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1F1FC8">
      <w:pPr>
        <w:divId w:val="929433408"/>
        <w:rPr>
          <w:rFonts w:eastAsia="Times New Roman"/>
          <w:vanish/>
        </w:rPr>
      </w:pPr>
      <w:r>
        <w:rPr>
          <w:rFonts w:eastAsia="Times New Roman"/>
          <w:vanish/>
        </w:rPr>
        <w:t>0000895728false2021FYhttp://fasb.org/us-gaap/2021-01-31#AccountingStandardsUpdate201613Member33.33130.043.842.750.022.074.347.65012.050.042.750.02.503.403.104.100.551.603.402.353.202.824.202.50P3Y1.0one year3.08.0P5Y10.0364P1YP3Y1.0two50075010-year</w:t>
      </w:r>
      <w:r>
        <w:rPr>
          <w:rFonts w:eastAsia="Times New Roman"/>
          <w:vanish/>
        </w:rPr>
        <w:t>4.263.164.202.764.773.983.984.014.014.603.882.4P4Y303.92.030http://fasb.org/us-gaap/2021-01-31#DeferredCostsAndOtherAssetshttp://fasb.org/us-gaap/2021-01-31#DeferredCostsAndOtherAssetshttp://fasb.org/us-gaap/2021-01-31#AccountsPayableAndOtherAccruedLiabili</w:t>
      </w:r>
      <w:r>
        <w:rPr>
          <w:rFonts w:eastAsia="Times New Roman"/>
          <w:vanish/>
        </w:rPr>
        <w:t>tiesCurrenthttp://fasb.org/us-gaap/2021-01-31#AccountsPayableAndOtherAccruedLiabilitiesCurrenthttp://fasb.org/us-gaap/2021-01-31#OtherLiabilitiesNoncurrenthttp://fasb.org/us-gaap/2021-01-31#OtherLiabilitiesNoncurrenthttp://fasb.org/us-gaap/2021-01-31#Prope</w:t>
      </w:r>
      <w:r>
        <w:rPr>
          <w:rFonts w:eastAsia="Times New Roman"/>
          <w:vanish/>
        </w:rPr>
        <w:t>rtyPlantAndEquipmentAndFinanceLeaseRightOfUseAssetAfterAccumulatedDepreciationAndAmortizationhttp://fasb.org/us-gaap/2021-01-31#PropertyPlantAndEquipmentAndFinanceLeaseRightOfUseAssetAfterAccumulatedDepreciationAndAmortizationhttp://fasb.org/us-gaap/2021-0</w:t>
      </w:r>
      <w:r>
        <w:rPr>
          <w:rFonts w:eastAsia="Times New Roman"/>
          <w:vanish/>
        </w:rPr>
        <w:t>1-31#LongTermDebtAndCapitalLeaseObligationsCurrenthttp://fasb.org/us-gaap/2021-01-31#LongTermDebtAndCapitalLeaseObligationsCurrenthttp://fasb.org/us-gaap/2021-01-31#OtherLiabilitiesNoncurrenthttp://fasb.org/us-gaap/2021-01-31#OtherLiabilitiesNoncurrent0000</w:t>
      </w:r>
      <w:r>
        <w:rPr>
          <w:rFonts w:eastAsia="Times New Roman"/>
          <w:vanish/>
        </w:rPr>
        <w:t>8957282021-01-012021-12-310000895728us-gaap:CommonStockMember2021-01-012021-12-310000895728enb:A6.375FixedtoFloatingRateSubordinatedNotesSeries2018BDue2078Member2021-01-012021-12-3100008957282021-06-30iso4217:USD00008957282022-02-04xbrli:shares0000895728en</w:t>
      </w:r>
      <w:r>
        <w:rPr>
          <w:rFonts w:eastAsia="Times New Roman"/>
          <w:vanish/>
        </w:rPr>
        <w:t>b:CommoditySalesMember2021-01-012021-12-31iso4217:CAD0000895728enb:CommoditySalesMember2020-01-012020-12-310000895728enb:CommoditySalesMember2019-01-012019-12-310000895728enb:GasDistributionServiceMember2021-01-012021-12-310000895728enb:GasDistributionServ</w:t>
      </w:r>
      <w:r>
        <w:rPr>
          <w:rFonts w:eastAsia="Times New Roman"/>
          <w:vanish/>
        </w:rPr>
        <w:t>iceMember2020-01-012020-12-310000895728enb:GasDistributionServiceMember2019-01-012019-12-310000895728enb:TransportationAndOtherServicesMember2021-01-012021-12-310000895728enb:TransportationAndOtherServicesMember2020-01-012020-12-310000895728enb:Transportat</w:t>
      </w:r>
      <w:r>
        <w:rPr>
          <w:rFonts w:eastAsia="Times New Roman"/>
          <w:vanish/>
        </w:rPr>
        <w:t>ionAndOtherServicesMember2019-01-012019-12-3100008957282020-01-012020-12-3100008957282019-01-012019-12-31iso4217:CADxbrli:shares0000895728us-gaap:PreferredStockMember2020-12-310000895728us-gaap:PreferredStockMember2019-12-310000895728us-gaap:PreferredStock</w:t>
      </w:r>
      <w:r>
        <w:rPr>
          <w:rFonts w:eastAsia="Times New Roman"/>
          <w:vanish/>
        </w:rPr>
        <w:t>Member2018-12-310000895728us-gaap:CommonStockMember2020-12-310000895728us-gaap:CommonStockMember2019-12-310000895728us-gaap:CommonStockMember2018-12-310000895728us-gaap:CommonStockMember2021-01-012021-12-310000895728us-gaap:CommonStockMember2020-01-012020-</w:t>
      </w:r>
      <w:r>
        <w:rPr>
          <w:rFonts w:eastAsia="Times New Roman"/>
          <w:vanish/>
        </w:rPr>
        <w:t>12-310000895728us-gaap:CommonStockMember2019-01-012019-12-310000895728us-gaap:CommonStockMember2021-12-310000895728us-gaap:AdditionalPaidInCapitalMember2020-12-310000895728us-gaap:AdditionalPaidInCapitalMember2019-12-310000895728us-gaap:AdditionalPaidInCap</w:t>
      </w:r>
      <w:r>
        <w:rPr>
          <w:rFonts w:eastAsia="Times New Roman"/>
          <w:vanish/>
        </w:rPr>
        <w:t>italMember2018-12-310000895728us-gaap:AdditionalPaidInCapitalMember2021-01-012021-12-310000895728us-gaap:AdditionalPaidInCapitalMember2020-01-012020-12-310000895728us-gaap:AdditionalPaidInCapitalMember2019-01-012019-12-310000895728us-gaap:AdditionalPaidInC</w:t>
      </w:r>
      <w:r>
        <w:rPr>
          <w:rFonts w:eastAsia="Times New Roman"/>
          <w:vanish/>
        </w:rPr>
        <w:t>apitalMember2021-12-310000895728us-gaap:RetainedEarningsMember2020-12-310000895728us-gaap:RetainedEarningsMember2019-12-310000895728us-gaap:RetainedEarningsMember2018-12-310000895728us-gaap:RetainedEarningsMember2021-01-012021-12-310000895728us-gaap:Retain</w:t>
      </w:r>
      <w:r>
        <w:rPr>
          <w:rFonts w:eastAsia="Times New Roman"/>
          <w:vanish/>
        </w:rPr>
        <w:t>edEarningsMember2020-01-012020-12-310000895728us-gaap:RetainedEarningsMember2019-01-012019-12-310000895728us-gaap:RetainedEarningsMembersrt:CumulativeEffectPeriodOfAdoptionAdjustmentMember2020-12-310000895728us-gaap:RetainedEarningsMember2021-12-3100008957</w:t>
      </w:r>
      <w:r>
        <w:rPr>
          <w:rFonts w:eastAsia="Times New Roman"/>
          <w:vanish/>
        </w:rPr>
        <w:t>28us-gaap:AccumulatedOtherComprehensiveIncomeMember2020-12-310000895728us-gaap:AccumulatedOtherComprehensiveIncomeMember2019-12-310000895728us-gaap:AccumulatedOtherComprehensiveIncomeMember2018-12-310000895728us-gaap:AccumulatedOtherComprehensiveIncomeMemb</w:t>
      </w:r>
      <w:r>
        <w:rPr>
          <w:rFonts w:eastAsia="Times New Roman"/>
          <w:vanish/>
        </w:rPr>
        <w:t>er2021-01-012021-12-310000895728us-gaap:AccumulatedOtherComprehensiveIncomeMember2020-01-012020-12-310000895728us-gaap:AccumulatedOtherComprehensiveIncomeMember2019-01-012019-12-310000895728us-gaap:AccumulatedOtherComprehensiveIncomeMember2021-12-310000895</w:t>
      </w:r>
      <w:r>
        <w:rPr>
          <w:rFonts w:eastAsia="Times New Roman"/>
          <w:vanish/>
        </w:rPr>
        <w:t>728us-gaap:TreasuryStockMember2020-12-310000895728us-gaap:TreasuryStockMember2019-12-310000895728us-gaap:TreasuryStockMember2018-12-310000895728us-gaap:TreasuryStockMember2021-01-012021-12-310000895728us-gaap:TreasuryStockMember2020-01-012020-12-3100008957</w:t>
      </w:r>
      <w:r>
        <w:rPr>
          <w:rFonts w:eastAsia="Times New Roman"/>
          <w:vanish/>
        </w:rPr>
        <w:t>28us-gaap:TreasuryStockMember2019-01-012019-12-310000895728us-gaap:TreasuryStockMember2021-12-310000895728us-gaap:ParentMember2021-12-310000895728us-gaap:ParentMember2020-12-310000895728us-gaap:ParentMember2019-12-310000895728us-gaap:NoncontrollingInterest</w:t>
      </w:r>
      <w:r>
        <w:rPr>
          <w:rFonts w:eastAsia="Times New Roman"/>
          <w:vanish/>
        </w:rPr>
        <w:t>Member2020-12-310000895728us-gaap:NoncontrollingInterestMember2019-12-310000895728us-gaap:NoncontrollingInterestMember2018-12-310000895728us-gaap:NoncontrollingInterestMember2021-01-012021-12-310000895728us-gaap:NoncontrollingInterestMember2020-01-012020-1</w:t>
      </w:r>
      <w:r>
        <w:rPr>
          <w:rFonts w:eastAsia="Times New Roman"/>
          <w:vanish/>
        </w:rPr>
        <w:t>2-310000895728us-gaap:NoncontrollingInterestMember2019-01-012019-12-310000895728us-gaap:NoncontrollingInterestMember2021-12-3100008957282021-12-3100008957282020-12-3100008957282019-12-3100008957282018-12-31enb:segment0000895728enb:DeferralForNegotiatedDepr</w:t>
      </w:r>
      <w:r>
        <w:rPr>
          <w:rFonts w:eastAsia="Times New Roman"/>
          <w:vanish/>
        </w:rPr>
        <w:t>eciationRatesForPhaseInPlansMember2021-12-310000895728enb:TransportationRevenueMember2021-01-012021-12-310000895728enb:TransportationRevenueMember2020-01-012020-12-310000895728enb:TransportationRevenueMember2019-01-012019-12-310000895728us-gaap:SalesRevenu</w:t>
      </w:r>
      <w:r>
        <w:rPr>
          <w:rFonts w:eastAsia="Times New Roman"/>
          <w:vanish/>
        </w:rPr>
        <w:t>eNetMemberus-gaap:CustomerConcentrationRiskMemberenb:LargestNonAffiliatedCustomerMember2021-01-012021-12-31xbrli:pure0000895728us-gaap:SalesRevenueNetMemberus-gaap:CustomerConcentrationRiskMemberenb:LargestNonAffiliatedCustomerMember2020-01-012020-12-31enb</w:t>
      </w:r>
      <w:r>
        <w:rPr>
          <w:rFonts w:eastAsia="Times New Roman"/>
          <w:vanish/>
        </w:rPr>
        <w:t>:depreciation_method0000895728us-gaap:PerformanceSharesMember2021-01-012021-12-310000895728us-gaap:OperatingSegmentsMemberenb:TransportationRevenueMemberenb:LiquidsPipelinesSegmentMember2021-01-012021-12-310000895728us-gaap:OperatingSegmentsMemberenb:GasTr</w:t>
      </w:r>
      <w:r>
        <w:rPr>
          <w:rFonts w:eastAsia="Times New Roman"/>
          <w:vanish/>
        </w:rPr>
        <w:t>ansmissionandMidstreamSegmentMemberenb:TransportationRevenueMember2021-01-012021-12-310000895728us-gaap:OperatingSegmentsMemberenb:GasDistributionandStorageSegmentMemberenb:TransportationRevenueMember2021-01-012021-12-310000895728us-gaap:OperatingSegmentsM</w:t>
      </w:r>
      <w:r>
        <w:rPr>
          <w:rFonts w:eastAsia="Times New Roman"/>
          <w:vanish/>
        </w:rPr>
        <w:t>emberenb:TransportationRevenueMemberenb:RenewablePowerGenerationSegmentMember2021-01-012021-12-310000895728enb:EnergyServicesSegmentMemberus-gaap:OperatingSegmentsMemberenb:TransportationRevenueMember2021-01-012021-12-310000895728enb:TransportationRevenueM</w:t>
      </w:r>
      <w:r>
        <w:rPr>
          <w:rFonts w:eastAsia="Times New Roman"/>
          <w:vanish/>
        </w:rPr>
        <w:t>emberenb:EliminationsAndReconcilingItemsMember2021-01-012021-12-310000895728enb:StorageandOtherRevenueMemberus-gaap:OperatingSegmentsMemberenb:LiquidsPipelinesSegmentMember2021-01-012021-12-310000895728enb:StorageandOtherRevenueMemberus-gaap:OperatingSegme</w:t>
      </w:r>
      <w:r>
        <w:rPr>
          <w:rFonts w:eastAsia="Times New Roman"/>
          <w:vanish/>
        </w:rPr>
        <w:t>ntsMemberenb:GasTransmissionandMidstreamSegmentMember2021-01-012021-12-310000895728enb:StorageandOtherRevenueMemberus-gaap:OperatingSegmentsMemberenb:GasDistributionandStorageSegmentMember2021-01-012021-12-310000895728enb:StorageandOtherRevenueMemberus-gaa</w:t>
      </w:r>
      <w:r>
        <w:rPr>
          <w:rFonts w:eastAsia="Times New Roman"/>
          <w:vanish/>
        </w:rPr>
        <w:t>p:OperatingSegmentsMemberenb:RenewablePowerGenerationSegmentMember2021-01-012021-12-310000895728enb:StorageandOtherRevenueMemberenb:EnergyServicesSegmentMemberus-gaap:OperatingSegmentsMember2021-01-012021-12-310000895728enb:StorageandOtherRevenueMemberenb:</w:t>
      </w:r>
      <w:r>
        <w:rPr>
          <w:rFonts w:eastAsia="Times New Roman"/>
          <w:vanish/>
        </w:rPr>
        <w:t>EliminationsAndReconcilingItemsMember2021-01-012021-12-310000895728enb:StorageandOtherRevenueMember2021-01-012021-12-310000895728enb:GasGatheringandProcessingRevenueMemberus-gaap:OperatingSegmentsMemberenb:LiquidsPipelinesSegmentMember2021-01-012021-12-310</w:t>
      </w:r>
      <w:r>
        <w:rPr>
          <w:rFonts w:eastAsia="Times New Roman"/>
          <w:vanish/>
        </w:rPr>
        <w:t>000895728enb:GasGatheringandProcessingRevenueMemberus-gaap:OperatingSegmentsMemberenb:GasTransmissionandMidstreamSegmentMember2021-01-012021-12-310000895728enb:GasGatheringandProcessingRevenueMemberus-gaap:OperatingSegmentsMemberenb:GasDistributionandStora</w:t>
      </w:r>
      <w:r>
        <w:rPr>
          <w:rFonts w:eastAsia="Times New Roman"/>
          <w:vanish/>
        </w:rPr>
        <w:t>geSegmentMember2021-01-012021-12-310000895728enb:GasGatheringandProcessingRevenueMemberus-gaap:OperatingSegmentsMemberenb:RenewablePowerGenerationSegmentMember2021-01-012021-12-310000895728enb:GasGatheringandProcessingRevenueMemberenb:EnergyServicesSegment</w:t>
      </w:r>
      <w:r>
        <w:rPr>
          <w:rFonts w:eastAsia="Times New Roman"/>
          <w:vanish/>
        </w:rPr>
        <w:t>Memberus-gaap:OperatingSegmentsMember2021-01-012021-12-310000895728enb:GasGatheringandProcessingRevenueMemberenb:EliminationsAndReconcilingItemsMember2021-01-012021-12-310000895728enb:GasGatheringandProcessingRevenueMember2021-01-012021-12-310000895728enb:</w:t>
      </w:r>
      <w:r>
        <w:rPr>
          <w:rFonts w:eastAsia="Times New Roman"/>
          <w:vanish/>
        </w:rPr>
        <w:t>GasDistributionServiceMemberus-gaap:OperatingSegmentsMemberenb:LiquidsPipelinesSegmentMember2021-01-012021-12-310000895728enb:GasDistributionServiceMemberus-gaap:OperatingSegmentsMemberenb:GasTransmissionandMidstreamSegmentMember2021-01-012021-12-310000895</w:t>
      </w:r>
      <w:r>
        <w:rPr>
          <w:rFonts w:eastAsia="Times New Roman"/>
          <w:vanish/>
        </w:rPr>
        <w:t>728enb:GasDistributionServiceMemberus-gaap:OperatingSegmentsMemberenb:GasDistributionandStorageSegmentMember2021-01-012021-12-310000895728enb:GasDistributionServiceMemberus-gaap:OperatingSegmentsMemberenb:RenewablePowerGenerationSegmentMember2021-01-012021</w:t>
      </w:r>
      <w:r>
        <w:rPr>
          <w:rFonts w:eastAsia="Times New Roman"/>
          <w:vanish/>
        </w:rPr>
        <w:t>-12-310000895728enb:EnergyServicesSegmentMemberenb:GasDistributionServiceMemberus-gaap:OperatingSegmentsMember2021-01-012021-12-310000895728enb:GasDistributionServiceMemberenb:EliminationsAndReconcilingItemsMember2021-01-012021-12-310000895728enb:Electrici</w:t>
      </w:r>
      <w:r>
        <w:rPr>
          <w:rFonts w:eastAsia="Times New Roman"/>
          <w:vanish/>
        </w:rPr>
        <w:t>tyandTransmissionRevenueMemberus-gaap:OperatingSegmentsMemberenb:LiquidsPipelinesSegmentMember2021-01-012021-12-310000895728enb:ElectricityandTransmissionRevenueMemberus-gaap:OperatingSegmentsMemberenb:GasTransmissionandMidstreamSegmentMember2021-01-012021</w:t>
      </w:r>
      <w:r>
        <w:rPr>
          <w:rFonts w:eastAsia="Times New Roman"/>
          <w:vanish/>
        </w:rPr>
        <w:t>-12-310000895728enb:ElectricityandTransmissionRevenueMemberus-gaap:OperatingSegmentsMemberenb:GasDistributionandStorageSegmentMember2021-01-012021-12-310000895728enb:ElectricityandTransmissionRevenueMemberus-gaap:OperatingSegmentsMemberenb:RenewablePowerGe</w:t>
      </w:r>
      <w:r>
        <w:rPr>
          <w:rFonts w:eastAsia="Times New Roman"/>
          <w:vanish/>
        </w:rPr>
        <w:t>nerationSegmentMember2021-01-012021-12-310000895728enb:ElectricityandTransmissionRevenueMemberenb:EnergyServicesSegmentMemberus-gaap:OperatingSegmentsMember2021-01-012021-12-310000895728enb:ElectricityandTransmissionRevenueMemberenb:EliminationsAndReconcil</w:t>
      </w:r>
      <w:r>
        <w:rPr>
          <w:rFonts w:eastAsia="Times New Roman"/>
          <w:vanish/>
        </w:rPr>
        <w:t>ingItemsMember2021-01-012021-12-310000895728enb:ElectricityandTransmissionRevenueMember2021-01-012021-12-310000895728us-gaap:OperatingSegmentsMemberenb:LiquidsPipelinesSegmentMember2021-01-012021-12-310000895728us-gaap:OperatingSegmentsMemberenb:GasTransmi</w:t>
      </w:r>
      <w:r>
        <w:rPr>
          <w:rFonts w:eastAsia="Times New Roman"/>
          <w:vanish/>
        </w:rPr>
        <w:t>ssionandMidstreamSegmentMember2021-01-012021-12-310000895728us-gaap:OperatingSegmentsMemberenb:GasDistributionandStorageSegmentMember2021-01-012021-12-310000895728us-gaap:OperatingSegmentsMemberenb:RenewablePowerGenerationSegmentMember2021-01-012021-12-310</w:t>
      </w:r>
      <w:r>
        <w:rPr>
          <w:rFonts w:eastAsia="Times New Roman"/>
          <w:vanish/>
        </w:rPr>
        <w:t>000895728enb:EnergyServicesSegmentMemberus-gaap:OperatingSegmentsMember2021-01-012021-12-310000895728enb:EliminationsAndReconcilingItemsMember2021-01-012021-12-310000895728us-gaap:OperatingSegmentsMemberenb:CommoditySalesMemberenb:LiquidsPipelinesSegmentMe</w:t>
      </w:r>
      <w:r>
        <w:rPr>
          <w:rFonts w:eastAsia="Times New Roman"/>
          <w:vanish/>
        </w:rPr>
        <w:t>mber2021-01-012021-12-310000895728us-gaap:OperatingSegmentsMemberenb:GasTransmissionandMidstreamSegmentMemberenb:CommoditySalesMember2021-01-012021-12-310000895728us-gaap:OperatingSegmentsMemberenb:CommoditySalesMemberenb:GasDistributionandStorageSegmentMe</w:t>
      </w:r>
      <w:r>
        <w:rPr>
          <w:rFonts w:eastAsia="Times New Roman"/>
          <w:vanish/>
        </w:rPr>
        <w:t>mber2021-01-012021-12-310000895728us-gaap:OperatingSegmentsMemberenb:CommoditySalesMemberenb:RenewablePowerGenerationSegmentMember2021-01-012021-12-310000895728enb:EnergyServicesSegmentMemberus-gaap:OperatingSegmentsMemberenb:CommoditySalesMember2021-01-01</w:t>
      </w:r>
      <w:r>
        <w:rPr>
          <w:rFonts w:eastAsia="Times New Roman"/>
          <w:vanish/>
        </w:rPr>
        <w:t>2021-12-310000895728enb:CommoditySalesMemberenb:EliminationsAndReconcilingItemsMember2021-01-012021-12-310000895728enb:OtherRevenueMemberus-gaap:OperatingSegmentsMemberenb:LiquidsPipelinesSegmentMember2021-01-012021-12-310000895728enb:OtherRevenueMemberus-</w:t>
      </w:r>
      <w:r>
        <w:rPr>
          <w:rFonts w:eastAsia="Times New Roman"/>
          <w:vanish/>
        </w:rPr>
        <w:t>gaap:OperatingSegmentsMemberenb:GasTransmissionandMidstreamSegmentMember2021-01-012021-12-310000895728enb:OtherRevenueMemberus-gaap:OperatingSegmentsMemberenb:GasDistributionandStorageSegmentMember2021-01-012021-12-310000895728enb:OtherRevenueMemberus-gaap</w:t>
      </w:r>
      <w:r>
        <w:rPr>
          <w:rFonts w:eastAsia="Times New Roman"/>
          <w:vanish/>
        </w:rPr>
        <w:t>:OperatingSegmentsMemberenb:RenewablePowerGenerationSegmentMember2021-01-012021-12-310000895728enb:EnergyServicesSegmentMemberenb:OtherRevenueMemberus-gaap:OperatingSegmentsMember2021-01-012021-12-310000895728enb:OtherRevenueMemberenb:EliminationsAndReconc</w:t>
      </w:r>
      <w:r>
        <w:rPr>
          <w:rFonts w:eastAsia="Times New Roman"/>
          <w:vanish/>
        </w:rPr>
        <w:t>ilingItemsMember2021-01-012021-12-310000895728enb:OtherRevenueMember2021-01-012021-12-310000895728us-gaap:IntersegmentEliminationMemberenb:LiquidsPipelinesSegmentMember2021-01-012021-12-310000895728us-gaap:IntersegmentEliminationMemberenb:GasTransmissionan</w:t>
      </w:r>
      <w:r>
        <w:rPr>
          <w:rFonts w:eastAsia="Times New Roman"/>
          <w:vanish/>
        </w:rPr>
        <w:t>dMidstreamSegmentMember2021-01-012021-12-310000895728us-gaap:IntersegmentEliminationMemberenb:GasDistributionandStorageSegmentMember2021-01-012021-12-310000895728us-gaap:IntersegmentEliminationMemberenb:RenewablePowerGenerationSegmentMember2021-01-012021-1</w:t>
      </w:r>
      <w:r>
        <w:rPr>
          <w:rFonts w:eastAsia="Times New Roman"/>
          <w:vanish/>
        </w:rPr>
        <w:t>2-310000895728us-gaap:IntersegmentEliminationMemberenb:EnergyServicesSegmentMember2021-01-012021-12-310000895728us-gaap:IntersegmentEliminationMember2021-01-012021-12-310000895728us-gaap:OperatingSegmentsMemberenb:TransportationRevenueMemberenb:LiquidsPipe</w:t>
      </w:r>
      <w:r>
        <w:rPr>
          <w:rFonts w:eastAsia="Times New Roman"/>
          <w:vanish/>
        </w:rPr>
        <w:t>linesSegmentMember2020-01-012020-12-310000895728us-gaap:OperatingSegmentsMemberenb:GasTransmissionandMidstreamSegmentMemberenb:TransportationRevenueMember2020-01-012020-12-310000895728us-gaap:OperatingSegmentsMemberenb:GasDistributionandStorageSegmentMembe</w:t>
      </w:r>
      <w:r>
        <w:rPr>
          <w:rFonts w:eastAsia="Times New Roman"/>
          <w:vanish/>
        </w:rPr>
        <w:t>renb:TransportationRevenueMember2020-01-012020-12-310000895728us-gaap:OperatingSegmentsMemberenb:TransportationRevenueMemberenb:RenewablePowerGenerationSegmentMember2020-01-012020-12-310000895728enb:EnergyServicesSegmentMemberus-gaap:OperatingSegmentsMembe</w:t>
      </w:r>
      <w:r>
        <w:rPr>
          <w:rFonts w:eastAsia="Times New Roman"/>
          <w:vanish/>
        </w:rPr>
        <w:t>renb:TransportationRevenueMember2020-01-012020-12-310000895728enb:TransportationRevenueMemberenb:EliminationsAndReconcilingItemsMember2020-01-012020-12-310000895728enb:StorageandOtherRevenueMemberus-gaap:OperatingSegmentsMemberenb:LiquidsPipelinesSegmentMe</w:t>
      </w:r>
      <w:r>
        <w:rPr>
          <w:rFonts w:eastAsia="Times New Roman"/>
          <w:vanish/>
        </w:rPr>
        <w:t>mber2020-01-012020-12-310000895728enb:StorageandOtherRevenueMemberus-gaap:OperatingSegmentsMemberenb:GasTransmissionandMidstreamSegmentMember2020-01-012020-12-310000895728enb:StorageandOtherRevenueMemberus-gaap:OperatingSegmentsMemberenb:GasDistributionand</w:t>
      </w:r>
      <w:r>
        <w:rPr>
          <w:rFonts w:eastAsia="Times New Roman"/>
          <w:vanish/>
        </w:rPr>
        <w:t>StorageSegmentMember2020-01-012020-12-310000895728enb:StorageandOtherRevenueMemberus-gaap:OperatingSegmentsMemberenb:RenewablePowerGenerationSegmentMember2020-01-012020-12-310000895728enb:StorageandOtherRevenueMemberenb:EnergyServicesSegmentMemberus-gaap:O</w:t>
      </w:r>
      <w:r>
        <w:rPr>
          <w:rFonts w:eastAsia="Times New Roman"/>
          <w:vanish/>
        </w:rPr>
        <w:t>peratingSegmentsMember2020-01-012020-12-310000895728enb:StorageandOtherRevenueMemberenb:EliminationsAndReconcilingItemsMember2020-01-012020-12-310000895728enb:StorageandOtherRevenueMember2020-01-012020-12-310000895728enb:GasGatheringandProcessingRevenueMem</w:t>
      </w:r>
      <w:r>
        <w:rPr>
          <w:rFonts w:eastAsia="Times New Roman"/>
          <w:vanish/>
        </w:rPr>
        <w:t>berus-gaap:OperatingSegmentsMemberenb:LiquidsPipelinesSegmentMember2020-01-012020-12-310000895728enb:GasGatheringandProcessingRevenueMemberus-gaap:OperatingSegmentsMemberenb:GasTransmissionandMidstreamSegmentMember2020-01-012020-12-310000895728enb:GasGathe</w:t>
      </w:r>
      <w:r>
        <w:rPr>
          <w:rFonts w:eastAsia="Times New Roman"/>
          <w:vanish/>
        </w:rPr>
        <w:t>ringandProcessingRevenueMemberus-gaap:OperatingSegmentsMemberenb:GasDistributionandStorageSegmentMember2020-01-012020-12-310000895728enb:GasGatheringandProcessingRevenueMemberus-gaap:OperatingSegmentsMemberenb:RenewablePowerGenerationSegmentMember2020-01-0</w:t>
      </w:r>
      <w:r>
        <w:rPr>
          <w:rFonts w:eastAsia="Times New Roman"/>
          <w:vanish/>
        </w:rPr>
        <w:t>12020-12-310000895728enb:GasGatheringandProcessingRevenueMemberenb:EnergyServicesSegmentMemberus-gaap:OperatingSegmentsMember2020-01-012020-12-310000895728enb:GasGatheringandProcessingRevenueMemberenb:EliminationsAndReconcilingItemsMember2020-01-012020-12-</w:t>
      </w:r>
      <w:r>
        <w:rPr>
          <w:rFonts w:eastAsia="Times New Roman"/>
          <w:vanish/>
        </w:rPr>
        <w:t>310000895728enb:GasGatheringandProcessingRevenueMember2020-01-012020-12-310000895728enb:GasDistributionServiceMemberus-gaap:OperatingSegmentsMemberenb:LiquidsPipelinesSegmentMember2020-01-012020-12-310000895728enb:GasDistributionServiceMemberus-gaap:Operat</w:t>
      </w:r>
      <w:r>
        <w:rPr>
          <w:rFonts w:eastAsia="Times New Roman"/>
          <w:vanish/>
        </w:rPr>
        <w:t>ingSegmentsMemberenb:GasTransmissionandMidstreamSegmentMember2020-01-012020-12-310000895728enb:GasDistributionServiceMemberus-gaap:OperatingSegmentsMemberenb:GasDistributionandStorageSegmentMember2020-01-012020-12-310000895728enb:GasDistributionServiceMemb</w:t>
      </w:r>
      <w:r>
        <w:rPr>
          <w:rFonts w:eastAsia="Times New Roman"/>
          <w:vanish/>
        </w:rPr>
        <w:t>erus-gaap:OperatingSegmentsMemberenb:RenewablePowerGenerationSegmentMember2020-01-012020-12-310000895728enb:EnergyServicesSegmentMemberenb:GasDistributionServiceMemberus-gaap:OperatingSegmentsMember2020-01-012020-12-310000895728enb:GasDistributionServiceMe</w:t>
      </w:r>
      <w:r>
        <w:rPr>
          <w:rFonts w:eastAsia="Times New Roman"/>
          <w:vanish/>
        </w:rPr>
        <w:t>mberenb:EliminationsAndReconcilingItemsMember2020-01-012020-12-310000895728enb:ElectricityandTransmissionRevenueMemberus-gaap:OperatingSegmentsMemberenb:LiquidsPipelinesSegmentMember2020-01-012020-12-310000895728enb:ElectricityandTransmissionRevenueMemberu</w:t>
      </w:r>
      <w:r>
        <w:rPr>
          <w:rFonts w:eastAsia="Times New Roman"/>
          <w:vanish/>
        </w:rPr>
        <w:t>s-gaap:OperatingSegmentsMemberenb:GasTransmissionandMidstreamSegmentMember2020-01-012020-12-310000895728enb:ElectricityandTransmissionRevenueMemberus-gaap:OperatingSegmentsMemberenb:GasDistributionandStorageSegmentMember2020-01-012020-12-310000895728enb:El</w:t>
      </w:r>
      <w:r>
        <w:rPr>
          <w:rFonts w:eastAsia="Times New Roman"/>
          <w:vanish/>
        </w:rPr>
        <w:t>ectricityandTransmissionRevenueMemberus-gaap:OperatingSegmentsMemberenb:RenewablePowerGenerationSegmentMember2020-01-012020-12-310000895728enb:ElectricityandTransmissionRevenueMemberenb:EnergyServicesSegmentMemberus-gaap:OperatingSegmentsMember2020-01-0120</w:t>
      </w:r>
      <w:r>
        <w:rPr>
          <w:rFonts w:eastAsia="Times New Roman"/>
          <w:vanish/>
        </w:rPr>
        <w:t>20-12-310000895728enb:ElectricityandTransmissionRevenueMemberenb:EliminationsAndReconcilingItemsMember2020-01-012020-12-310000895728enb:ElectricityandTransmissionRevenueMember2020-01-012020-12-310000895728us-gaap:OperatingSegmentsMemberenb:LiquidsPipelines</w:t>
      </w:r>
      <w:r>
        <w:rPr>
          <w:rFonts w:eastAsia="Times New Roman"/>
          <w:vanish/>
        </w:rPr>
        <w:t>SegmentMember2020-01-012020-12-310000895728us-gaap:OperatingSegmentsMemberenb:GasTransmissionandMidstreamSegmentMember2020-01-012020-12-310000895728us-gaap:OperatingSegmentsMemberenb:GasDistributionandStorageSegmentMember2020-01-012020-12-310000895728us-ga</w:t>
      </w:r>
      <w:r>
        <w:rPr>
          <w:rFonts w:eastAsia="Times New Roman"/>
          <w:vanish/>
        </w:rPr>
        <w:t>ap:OperatingSegmentsMemberenb:RenewablePowerGenerationSegmentMember2020-01-012020-12-310000895728enb:EnergyServicesSegmentMemberus-gaap:OperatingSegmentsMember2020-01-012020-12-310000895728enb:EliminationsAndReconcilingItemsMember2020-01-012020-12-31000089</w:t>
      </w:r>
      <w:r>
        <w:rPr>
          <w:rFonts w:eastAsia="Times New Roman"/>
          <w:vanish/>
        </w:rPr>
        <w:t>5728us-gaap:OperatingSegmentsMemberenb:CommoditySalesMemberenb:LiquidsPipelinesSegmentMember2020-01-012020-12-310000895728us-gaap:OperatingSegmentsMemberenb:GasTransmissionandMidstreamSegmentMemberenb:CommoditySalesMember2020-01-012020-12-310000895728us-ga</w:t>
      </w:r>
      <w:r>
        <w:rPr>
          <w:rFonts w:eastAsia="Times New Roman"/>
          <w:vanish/>
        </w:rPr>
        <w:t>ap:OperatingSegmentsMemberenb:CommoditySalesMemberenb:GasDistributionandStorageSegmentMember2020-01-012020-12-310000895728us-gaap:OperatingSegmentsMemberenb:CommoditySalesMemberenb:RenewablePowerGenerationSegmentMember2020-01-012020-12-310000895728enb:Ener</w:t>
      </w:r>
      <w:r>
        <w:rPr>
          <w:rFonts w:eastAsia="Times New Roman"/>
          <w:vanish/>
        </w:rPr>
        <w:t>gyServicesSegmentMemberus-gaap:OperatingSegmentsMemberenb:CommoditySalesMember2020-01-012020-12-310000895728enb:CommoditySalesMemberenb:EliminationsAndReconcilingItemsMember2020-01-012020-12-310000895728enb:OtherRevenueMemberus-gaap:OperatingSegmentsMember</w:t>
      </w:r>
      <w:r>
        <w:rPr>
          <w:rFonts w:eastAsia="Times New Roman"/>
          <w:vanish/>
        </w:rPr>
        <w:t>enb:LiquidsPipelinesSegmentMember2020-01-012020-12-310000895728enb:OtherRevenueMemberus-gaap:OperatingSegmentsMemberenb:GasTransmissionandMidstreamSegmentMember2020-01-012020-12-310000895728enb:OtherRevenueMemberus-gaap:OperatingSegmentsMemberenb:GasDistri</w:t>
      </w:r>
      <w:r>
        <w:rPr>
          <w:rFonts w:eastAsia="Times New Roman"/>
          <w:vanish/>
        </w:rPr>
        <w:t>butionandStorageSegmentMember2020-01-012020-12-310000895728enb:OtherRevenueMemberus-gaap:OperatingSegmentsMemberenb:RenewablePowerGenerationSegmentMember2020-01-012020-12-310000895728enb:EnergyServicesSegmentMemberenb:OtherRevenueMemberus-gaap:OperatingSeg</w:t>
      </w:r>
      <w:r>
        <w:rPr>
          <w:rFonts w:eastAsia="Times New Roman"/>
          <w:vanish/>
        </w:rPr>
        <w:t>mentsMember2020-01-012020-12-310000895728enb:OtherRevenueMemberenb:EliminationsAndReconcilingItemsMember2020-01-012020-12-310000895728enb:OtherRevenueMember2020-01-012020-12-310000895728us-gaap:IntersegmentEliminationMemberenb:LiquidsPipelinesSegmentMember</w:t>
      </w:r>
      <w:r>
        <w:rPr>
          <w:rFonts w:eastAsia="Times New Roman"/>
          <w:vanish/>
        </w:rPr>
        <w:t>2020-01-012020-12-310000895728us-gaap:IntersegmentEliminationMemberenb:GasTransmissionandMidstreamSegmentMember2020-01-012020-12-310000895728us-gaap:IntersegmentEliminationMemberenb:GasDistributionandStorageSegmentMember2020-01-012020-12-310000895728us-gaa</w:t>
      </w:r>
      <w:r>
        <w:rPr>
          <w:rFonts w:eastAsia="Times New Roman"/>
          <w:vanish/>
        </w:rPr>
        <w:t>p:IntersegmentEliminationMemberenb:RenewablePowerGenerationSegmentMember2020-01-012020-12-310000895728us-gaap:IntersegmentEliminationMemberenb:EnergyServicesSegmentMember2020-01-012020-12-310000895728us-gaap:IntersegmentEliminationMember2020-01-012020-12-3</w:t>
      </w:r>
      <w:r>
        <w:rPr>
          <w:rFonts w:eastAsia="Times New Roman"/>
          <w:vanish/>
        </w:rPr>
        <w:t>10000895728us-gaap:OperatingSegmentsMemberenb:TransportationRevenueMemberenb:LiquidsPipelinesSegmentMember2019-01-012019-12-310000895728us-gaap:OperatingSegmentsMemberenb:GasTransmissionandMidstreamSegmentMemberenb:TransportationRevenueMember2019-01-012019</w:t>
      </w:r>
      <w:r>
        <w:rPr>
          <w:rFonts w:eastAsia="Times New Roman"/>
          <w:vanish/>
        </w:rPr>
        <w:t>-12-310000895728us-gaap:OperatingSegmentsMemberenb:GasDistributionandStorageSegmentMemberenb:TransportationRevenueMember2019-01-012019-12-310000895728us-gaap:OperatingSegmentsMemberenb:TransportationRevenueMemberenb:RenewablePowerGenerationSegmentMember201</w:t>
      </w:r>
      <w:r>
        <w:rPr>
          <w:rFonts w:eastAsia="Times New Roman"/>
          <w:vanish/>
        </w:rPr>
        <w:t>9-01-012019-12-310000895728enb:EnergyServicesSegmentMemberus-gaap:OperatingSegmentsMemberenb:TransportationRevenueMember2019-01-012019-12-310000895728enb:TransportationRevenueMemberenb:EliminationsAndReconcilingItemsMember2019-01-012019-12-310000895728enb:</w:t>
      </w:r>
      <w:r>
        <w:rPr>
          <w:rFonts w:eastAsia="Times New Roman"/>
          <w:vanish/>
        </w:rPr>
        <w:t>StorageandOtherRevenueMemberus-gaap:OperatingSegmentsMemberenb:LiquidsPipelinesSegmentMember2019-01-012019-12-310000895728enb:StorageandOtherRevenueMemberus-gaap:OperatingSegmentsMemberenb:GasTransmissionandMidstreamSegmentMember2019-01-012019-12-310000895</w:t>
      </w:r>
      <w:r>
        <w:rPr>
          <w:rFonts w:eastAsia="Times New Roman"/>
          <w:vanish/>
        </w:rPr>
        <w:t>728enb:StorageandOtherRevenueMemberus-gaap:OperatingSegmentsMemberenb:GasDistributionandStorageSegmentMember2019-01-012019-12-310000895728enb:StorageandOtherRevenueMemberus-gaap:OperatingSegmentsMemberenb:RenewablePowerGenerationSegmentMember2019-01-012019</w:t>
      </w:r>
      <w:r>
        <w:rPr>
          <w:rFonts w:eastAsia="Times New Roman"/>
          <w:vanish/>
        </w:rPr>
        <w:t>-12-310000895728enb:StorageandOtherRevenueMemberenb:EnergyServicesSegmentMemberus-gaap:OperatingSegmentsMember2019-01-012019-12-310000895728enb:StorageandOtherRevenueMemberenb:EliminationsAndReconcilingItemsMember2019-01-012019-12-310000895728enb:Storagean</w:t>
      </w:r>
      <w:r>
        <w:rPr>
          <w:rFonts w:eastAsia="Times New Roman"/>
          <w:vanish/>
        </w:rPr>
        <w:t>dOtherRevenueMember2019-01-012019-12-310000895728enb:GasGatheringandProcessingRevenueMemberus-gaap:OperatingSegmentsMemberenb:LiquidsPipelinesSegmentMember2019-01-012019-12-310000895728enb:GasGatheringandProcessingRevenueMemberus-gaap:OperatingSegmentsMemb</w:t>
      </w:r>
      <w:r>
        <w:rPr>
          <w:rFonts w:eastAsia="Times New Roman"/>
          <w:vanish/>
        </w:rPr>
        <w:t>erenb:GasTransmissionandMidstreamSegmentMember2019-01-012019-12-310000895728enb:GasGatheringandProcessingRevenueMemberus-gaap:OperatingSegmentsMemberenb:GasDistributionandStorageSegmentMember2019-01-012019-12-310000895728enb:GasGatheringandProcessingRevenu</w:t>
      </w:r>
      <w:r>
        <w:rPr>
          <w:rFonts w:eastAsia="Times New Roman"/>
          <w:vanish/>
        </w:rPr>
        <w:t>eMemberus-gaap:OperatingSegmentsMemberenb:RenewablePowerGenerationSegmentMember2019-01-012019-12-310000895728enb:GasGatheringandProcessingRevenueMemberenb:EnergyServicesSegmentMemberus-gaap:OperatingSegmentsMember2019-01-012019-12-310000895728enb:GasGather</w:t>
      </w:r>
      <w:r>
        <w:rPr>
          <w:rFonts w:eastAsia="Times New Roman"/>
          <w:vanish/>
        </w:rPr>
        <w:t>ingandProcessingRevenueMemberenb:EliminationsAndReconcilingItemsMember2019-01-012019-12-310000895728enb:GasGatheringandProcessingRevenueMember2019-01-012019-12-310000895728enb:GasDistributionServiceMemberus-gaap:OperatingSegmentsMemberenb:LiquidsPipelinesS</w:t>
      </w:r>
      <w:r>
        <w:rPr>
          <w:rFonts w:eastAsia="Times New Roman"/>
          <w:vanish/>
        </w:rPr>
        <w:t>egmentMember2019-01-012019-12-310000895728enb:GasDistributionServiceMemberus-gaap:OperatingSegmentsMemberenb:GasTransmissionandMidstreamSegmentMember2019-01-012019-12-310000895728enb:GasDistributionServiceMemberus-gaap:OperatingSegmentsMemberenb:GasDistrib</w:t>
      </w:r>
      <w:r>
        <w:rPr>
          <w:rFonts w:eastAsia="Times New Roman"/>
          <w:vanish/>
        </w:rPr>
        <w:t>utionandStorageSegmentMember2019-01-012019-12-310000895728enb:GasDistributionServiceMemberus-gaap:OperatingSegmentsMemberenb:RenewablePowerGenerationSegmentMember2019-01-012019-12-310000895728enb:EnergyServicesSegmentMemberenb:GasDistributionServiceMemberu</w:t>
      </w:r>
      <w:r>
        <w:rPr>
          <w:rFonts w:eastAsia="Times New Roman"/>
          <w:vanish/>
        </w:rPr>
        <w:t>s-gaap:OperatingSegmentsMember2019-01-012019-12-310000895728enb:GasDistributionServiceMemberenb:EliminationsAndReconcilingItemsMember2019-01-012019-12-310000895728enb:ElectricityandTransmissionRevenueMemberus-gaap:OperatingSegmentsMemberenb:LiquidsPipeline</w:t>
      </w:r>
      <w:r>
        <w:rPr>
          <w:rFonts w:eastAsia="Times New Roman"/>
          <w:vanish/>
        </w:rPr>
        <w:t>sSegmentMember2019-01-012019-12-310000895728enb:ElectricityandTransmissionRevenueMemberus-gaap:OperatingSegmentsMemberenb:GasTransmissionandMidstreamSegmentMember2019-01-012019-12-310000895728enb:ElectricityandTransmissionRevenueMemberus-gaap:OperatingSegm</w:t>
      </w:r>
      <w:r>
        <w:rPr>
          <w:rFonts w:eastAsia="Times New Roman"/>
          <w:vanish/>
        </w:rPr>
        <w:t>entsMemberenb:GasDistributionandStorageSegmentMember2019-01-012019-12-310000895728enb:ElectricityandTransmissionRevenueMemberus-gaap:OperatingSegmentsMemberenb:RenewablePowerGenerationSegmentMember2019-01-012019-12-310000895728enb:ElectricityandTransmissio</w:t>
      </w:r>
      <w:r>
        <w:rPr>
          <w:rFonts w:eastAsia="Times New Roman"/>
          <w:vanish/>
        </w:rPr>
        <w:t>nRevenueMemberenb:EnergyServicesSegmentMemberus-gaap:OperatingSegmentsMember2019-01-012019-12-310000895728enb:ElectricityandTransmissionRevenueMemberenb:EliminationsAndReconcilingItemsMember2019-01-012019-12-310000895728enb:ElectricityandTransmissionRevenu</w:t>
      </w:r>
      <w:r>
        <w:rPr>
          <w:rFonts w:eastAsia="Times New Roman"/>
          <w:vanish/>
        </w:rPr>
        <w:t>eMember2019-01-012019-12-310000895728us-gaap:OperatingSegmentsMemberenb:CommoditySalesMemberenb:LiquidsPipelinesSegmentMember2019-01-012019-12-310000895728us-gaap:OperatingSegmentsMemberenb:GasTransmissionandMidstreamSegmentMemberenb:CommoditySalesMember20</w:t>
      </w:r>
      <w:r>
        <w:rPr>
          <w:rFonts w:eastAsia="Times New Roman"/>
          <w:vanish/>
        </w:rPr>
        <w:t>19-01-012019-12-310000895728us-gaap:OperatingSegmentsMemberenb:CommoditySalesMemberenb:GasDistributionandStorageSegmentMember2019-01-012019-12-310000895728us-gaap:OperatingSegmentsMemberenb:CommoditySalesMemberenb:RenewablePowerGenerationSegmentMember2019-</w:t>
      </w:r>
      <w:r>
        <w:rPr>
          <w:rFonts w:eastAsia="Times New Roman"/>
          <w:vanish/>
        </w:rPr>
        <w:t>01-012019-12-310000895728enb:EnergyServicesSegmentMemberus-gaap:OperatingSegmentsMemberenb:CommoditySalesMember2019-01-012019-12-310000895728enb:CommoditySalesMemberenb:EliminationsAndReconcilingItemsMember2019-01-012019-12-310000895728us-gaap:OperatingSeg</w:t>
      </w:r>
      <w:r>
        <w:rPr>
          <w:rFonts w:eastAsia="Times New Roman"/>
          <w:vanish/>
        </w:rPr>
        <w:t>mentsMemberenb:LiquidsPipelinesSegmentMember2019-01-012019-12-310000895728us-gaap:OperatingSegmentsMemberenb:GasTransmissionandMidstreamSegmentMember2019-01-012019-12-310000895728us-gaap:OperatingSegmentsMemberenb:GasDistributionandStorageSegmentMember2019</w:t>
      </w:r>
      <w:r>
        <w:rPr>
          <w:rFonts w:eastAsia="Times New Roman"/>
          <w:vanish/>
        </w:rPr>
        <w:t>-01-012019-12-310000895728us-gaap:OperatingSegmentsMemberenb:RenewablePowerGenerationSegmentMember2019-01-012019-12-310000895728enb:EnergyServicesSegmentMemberus-gaap:OperatingSegmentsMember2019-01-012019-12-310000895728enb:EliminationsAndReconcilingItemsM</w:t>
      </w:r>
      <w:r>
        <w:rPr>
          <w:rFonts w:eastAsia="Times New Roman"/>
          <w:vanish/>
        </w:rPr>
        <w:t>ember2019-01-012019-12-310000895728enb:OtherRevenueMemberus-gaap:OperatingSegmentsMemberenb:LiquidsPipelinesSegmentMember2019-01-012019-12-310000895728enb:OtherRevenueMemberus-gaap:OperatingSegmentsMemberenb:GasTransmissionandMidstreamSegmentMember2019-01-</w:t>
      </w:r>
      <w:r>
        <w:rPr>
          <w:rFonts w:eastAsia="Times New Roman"/>
          <w:vanish/>
        </w:rPr>
        <w:t>012019-12-310000895728enb:OtherRevenueMemberus-gaap:OperatingSegmentsMemberenb:GasDistributionandStorageSegmentMember2019-01-012019-12-310000895728enb:OtherRevenueMemberus-gaap:OperatingSegmentsMemberenb:RenewablePowerGenerationSegmentMember2019-01-012019-</w:t>
      </w:r>
      <w:r>
        <w:rPr>
          <w:rFonts w:eastAsia="Times New Roman"/>
          <w:vanish/>
        </w:rPr>
        <w:t>12-310000895728enb:EnergyServicesSegmentMemberenb:OtherRevenueMemberus-gaap:OperatingSegmentsMember2019-01-012019-12-310000895728enb:OtherRevenueMemberenb:EliminationsAndReconcilingItemsMember2019-01-012019-12-310000895728enb:OtherRevenueMember2019-01-0120</w:t>
      </w:r>
      <w:r>
        <w:rPr>
          <w:rFonts w:eastAsia="Times New Roman"/>
          <w:vanish/>
        </w:rPr>
        <w:t>19-12-310000895728us-gaap:IntersegmentEliminationMemberenb:LiquidsPipelinesSegmentMember2019-01-012019-12-310000895728us-gaap:IntersegmentEliminationMemberenb:GasTransmissionandMidstreamSegmentMember2019-01-012019-12-310000895728us-gaap:IntersegmentElimina</w:t>
      </w:r>
      <w:r>
        <w:rPr>
          <w:rFonts w:eastAsia="Times New Roman"/>
          <w:vanish/>
        </w:rPr>
        <w:t>tionMemberenb:GasDistributionandStorageSegmentMember2019-01-012019-12-310000895728us-gaap:IntersegmentEliminationMemberenb:RenewablePowerGenerationSegmentMember2019-01-012019-12-310000895728us-gaap:IntersegmentEliminationMemberenb:EnergyServicesSegmentMemb</w:t>
      </w:r>
      <w:r>
        <w:rPr>
          <w:rFonts w:eastAsia="Times New Roman"/>
          <w:vanish/>
        </w:rPr>
        <w:t>er2019-01-012019-12-310000895728us-gaap:IntersegmentEliminationMember2019-01-012019-12-3100008957282022-01-012021-12-310000895728us-gaap:TransferredAtPointInTimeMemberenb:LiquidsPipelinesSegmentMember2021-01-012021-12-310000895728enb:GasTransmissionandMids</w:t>
      </w:r>
      <w:r>
        <w:rPr>
          <w:rFonts w:eastAsia="Times New Roman"/>
          <w:vanish/>
        </w:rPr>
        <w:t>treamSegmentMemberus-gaap:TransferredAtPointInTimeMember2021-01-012021-12-310000895728us-gaap:TransferredAtPointInTimeMemberenb:GasDistributionandStorageSegmentMember2021-01-012021-12-310000895728us-gaap:TransferredAtPointInTimeMemberenb:RenewablePowerGene</w:t>
      </w:r>
      <w:r>
        <w:rPr>
          <w:rFonts w:eastAsia="Times New Roman"/>
          <w:vanish/>
        </w:rPr>
        <w:t>rationSegmentMember2021-01-012021-12-310000895728us-gaap:TransferredAtPointInTimeMember2021-01-012021-12-310000895728us-gaap:TransferredOverTimeMemberenb:LiquidsPipelinesSegmentMember2021-01-012021-12-310000895728enb:GasTransmissionandMidstreamSegmentMembe</w:t>
      </w:r>
      <w:r>
        <w:rPr>
          <w:rFonts w:eastAsia="Times New Roman"/>
          <w:vanish/>
        </w:rPr>
        <w:t>rus-gaap:TransferredOverTimeMember2021-01-012021-12-310000895728enb:GasDistributionandStorageSegmentMemberus-gaap:TransferredOverTimeMember2021-01-012021-12-310000895728us-gaap:TransferredOverTimeMemberenb:RenewablePowerGenerationSegmentMember2021-01-01202</w:t>
      </w:r>
      <w:r>
        <w:rPr>
          <w:rFonts w:eastAsia="Times New Roman"/>
          <w:vanish/>
        </w:rPr>
        <w:t>1-12-310000895728us-gaap:TransferredOverTimeMember2021-01-012021-12-310000895728enb:LiquidsPipelinesSegmentMember2021-01-012021-12-310000895728enb:GasTransmissionandMidstreamSegmentMember2021-01-012021-12-310000895728enb:GasDistributionandStorageSegmentMem</w:t>
      </w:r>
      <w:r>
        <w:rPr>
          <w:rFonts w:eastAsia="Times New Roman"/>
          <w:vanish/>
        </w:rPr>
        <w:t>ber2021-01-012021-12-310000895728enb:RenewablePowerGenerationSegmentMember2021-01-012021-12-310000895728us-gaap:TransferredAtPointInTimeMemberenb:LiquidsPipelinesSegmentMember2020-01-012020-12-310000895728enb:GasTransmissionandMidstreamSegmentMemberus-gaap</w:t>
      </w:r>
      <w:r>
        <w:rPr>
          <w:rFonts w:eastAsia="Times New Roman"/>
          <w:vanish/>
        </w:rPr>
        <w:t>:TransferredAtPointInTimeMember2020-01-012020-12-310000895728us-gaap:TransferredAtPointInTimeMemberenb:GasDistributionandStorageSegmentMember2020-01-012020-12-310000895728us-gaap:TransferredAtPointInTimeMemberenb:RenewablePowerGenerationSegmentMember2020-0</w:t>
      </w:r>
      <w:r>
        <w:rPr>
          <w:rFonts w:eastAsia="Times New Roman"/>
          <w:vanish/>
        </w:rPr>
        <w:t>1-012020-12-310000895728us-gaap:TransferredAtPointInTimeMember2020-01-012020-12-310000895728us-gaap:TransferredOverTimeMemberenb:LiquidsPipelinesSegmentMember2020-01-012020-12-310000895728enb:GasTransmissionandMidstreamSegmentMemberus-gaap:TransferredOverT</w:t>
      </w:r>
      <w:r>
        <w:rPr>
          <w:rFonts w:eastAsia="Times New Roman"/>
          <w:vanish/>
        </w:rPr>
        <w:t>imeMember2020-01-012020-12-310000895728enb:GasDistributionandStorageSegmentMemberus-gaap:TransferredOverTimeMember2020-01-012020-12-310000895728us-gaap:TransferredOverTimeMemberenb:RenewablePowerGenerationSegmentMember2020-01-012020-12-310000895728us-gaap:</w:t>
      </w:r>
      <w:r>
        <w:rPr>
          <w:rFonts w:eastAsia="Times New Roman"/>
          <w:vanish/>
        </w:rPr>
        <w:t>TransferredOverTimeMember2020-01-012020-12-310000895728enb:LiquidsPipelinesSegmentMember2020-01-012020-12-310000895728enb:GasTransmissionandMidstreamSegmentMember2020-01-012020-12-310000895728enb:GasDistributionandStorageSegmentMember2020-01-012020-12-3100</w:t>
      </w:r>
      <w:r>
        <w:rPr>
          <w:rFonts w:eastAsia="Times New Roman"/>
          <w:vanish/>
        </w:rPr>
        <w:t>00895728enb:RenewablePowerGenerationSegmentMember2020-01-012020-12-310000895728us-gaap:TransferredAtPointInTimeMemberenb:LiquidsPipelinesSegmentMember2019-01-012019-12-310000895728enb:GasTransmissionandMidstreamSegmentMemberus-gaap:TransferredAtPointInTime</w:t>
      </w:r>
      <w:r>
        <w:rPr>
          <w:rFonts w:eastAsia="Times New Roman"/>
          <w:vanish/>
        </w:rPr>
        <w:t>Member2019-01-012019-12-310000895728us-gaap:TransferredAtPointInTimeMemberenb:GasDistributionandStorageSegmentMember2019-01-012019-12-310000895728us-gaap:TransferredAtPointInTimeMemberenb:RenewablePowerGenerationSegmentMember2019-01-012019-12-310000895728u</w:t>
      </w:r>
      <w:r>
        <w:rPr>
          <w:rFonts w:eastAsia="Times New Roman"/>
          <w:vanish/>
        </w:rPr>
        <w:t>s-gaap:TransferredAtPointInTimeMember2019-01-012019-12-310000895728us-gaap:TransferredOverTimeMemberenb:LiquidsPipelinesSegmentMember2019-01-012019-12-310000895728enb:GasTransmissionandMidstreamSegmentMemberus-gaap:TransferredOverTimeMember2019-01-012019-1</w:t>
      </w:r>
      <w:r>
        <w:rPr>
          <w:rFonts w:eastAsia="Times New Roman"/>
          <w:vanish/>
        </w:rPr>
        <w:t>2-310000895728enb:GasDistributionandStorageSegmentMemberus-gaap:TransferredOverTimeMember2019-01-012019-12-310000895728us-gaap:TransferredOverTimeMemberenb:RenewablePowerGenerationSegmentMember2019-01-012019-12-310000895728us-gaap:TransferredOverTimeMember</w:t>
      </w:r>
      <w:r>
        <w:rPr>
          <w:rFonts w:eastAsia="Times New Roman"/>
          <w:vanish/>
        </w:rPr>
        <w:t>2019-01-012019-12-310000895728enb:LiquidsPipelinesSegmentMember2019-01-012019-12-310000895728enb:GasTransmissionandMidstreamSegmentMember2019-01-012019-12-310000895728enb:GasDistributionandStorageSegmentMember2019-01-012019-12-310000895728enb:RenewablePowe</w:t>
      </w:r>
      <w:r>
        <w:rPr>
          <w:rFonts w:eastAsia="Times New Roman"/>
          <w:vanish/>
        </w:rPr>
        <w:t>rGenerationSegmentMember2019-01-012019-12-310000895728us-gaap:OperatingSegmentsMemberenb:GasPipelinesAndProcessingMember2021-01-012021-12-310000895728us-gaap:OperatingSegmentsMemberenb:EnergyServicesConsolidateMember2021-01-012021-12-310000895728us-gaap:Op</w:t>
      </w:r>
      <w:r>
        <w:rPr>
          <w:rFonts w:eastAsia="Times New Roman"/>
          <w:vanish/>
        </w:rPr>
        <w:t>eratingSegmentsMemberenb:LiquidsPipelinesSegmentMember2021-12-310000895728us-gaap:OperatingSegmentsMemberenb:GasPipelinesAndProcessingMember2021-12-310000895728us-gaap:OperatingSegmentsMemberenb:GasDistributionandStorageSegmentMember2021-12-310000895728us-</w:t>
      </w:r>
      <w:r>
        <w:rPr>
          <w:rFonts w:eastAsia="Times New Roman"/>
          <w:vanish/>
        </w:rPr>
        <w:t>gaap:OperatingSegmentsMemberenb:RenewablePowerGenerationSegmentMember2021-12-310000895728us-gaap:OperatingSegmentsMemberenb:EnergyServicesConsolidateMember2021-12-310000895728enb:EliminationsAndReconcilingItemsMember2021-12-310000895728us-gaap:OperatingSeg</w:t>
      </w:r>
      <w:r>
        <w:rPr>
          <w:rFonts w:eastAsia="Times New Roman"/>
          <w:vanish/>
        </w:rPr>
        <w:t>mentsMemberenb:GasPipelinesAndProcessingMember2020-01-012020-12-310000895728us-gaap:OperatingSegmentsMemberenb:EnergyServicesConsolidateMember2020-01-012020-12-310000895728us-gaap:OperatingSegmentsMemberenb:LiquidsPipelinesSegmentMember2020-12-310000895728</w:t>
      </w:r>
      <w:r>
        <w:rPr>
          <w:rFonts w:eastAsia="Times New Roman"/>
          <w:vanish/>
        </w:rPr>
        <w:t>us-gaap:OperatingSegmentsMemberenb:GasPipelinesAndProcessingMember2020-12-310000895728us-gaap:OperatingSegmentsMemberenb:GasDistributionandStorageSegmentMember2020-12-310000895728us-gaap:OperatingSegmentsMemberenb:RenewablePowerGenerationSegmentMember2020-</w:t>
      </w:r>
      <w:r>
        <w:rPr>
          <w:rFonts w:eastAsia="Times New Roman"/>
          <w:vanish/>
        </w:rPr>
        <w:t>12-310000895728us-gaap:OperatingSegmentsMemberenb:EnergyServicesConsolidateMember2020-12-310000895728enb:EliminationsAndReconcilingItemsMember2020-12-310000895728us-gaap:OperatingSegmentsMemberenb:GasPipelinesAndProcessingMember2019-01-012019-12-3100008957</w:t>
      </w:r>
      <w:r>
        <w:rPr>
          <w:rFonts w:eastAsia="Times New Roman"/>
          <w:vanish/>
        </w:rPr>
        <w:t>28us-gaap:OperatingSegmentsMemberenb:EnergyServicesConsolidateMember2019-01-012019-12-310000895728us-gaap:OperatingSegmentsMemberenb:LiquidsPipelinesSegmentMember2019-12-310000895728us-gaap:OperatingSegmentsMemberenb:GasPipelinesAndProcessingMember2019-12-</w:t>
      </w:r>
      <w:r>
        <w:rPr>
          <w:rFonts w:eastAsia="Times New Roman"/>
          <w:vanish/>
        </w:rPr>
        <w:t>310000895728us-gaap:OperatingSegmentsMemberenb:GasDistributionandStorageSegmentMember2019-12-310000895728us-gaap:OperatingSegmentsMemberenb:RenewablePowerGenerationSegmentMember2019-12-310000895728us-gaap:OperatingSegmentsMemberenb:EnergyServicesConsolidat</w:t>
      </w:r>
      <w:r>
        <w:rPr>
          <w:rFonts w:eastAsia="Times New Roman"/>
          <w:vanish/>
        </w:rPr>
        <w:t>eMember2019-12-310000895728enb:EliminationsAndReconcilingItemsMember2019-12-310000895728country:CA2021-01-012021-12-310000895728country:CA2020-01-012020-12-310000895728country:CA2019-01-012019-12-310000895728country:US2021-01-012021-12-310000895728country:</w:t>
      </w:r>
      <w:r>
        <w:rPr>
          <w:rFonts w:eastAsia="Times New Roman"/>
          <w:vanish/>
        </w:rPr>
        <w:t>US2020-01-012020-12-310000895728country:US2019-01-012019-12-310000895728country:CA2021-12-310000895728country:CA2020-12-310000895728country:US2021-12-310000895728country:US2020-12-310000895728enb:CanadianMainlineMember2021-01-012021-12-310000895728enb:Cana</w:t>
      </w:r>
      <w:r>
        <w:rPr>
          <w:rFonts w:eastAsia="Times New Roman"/>
          <w:vanish/>
        </w:rPr>
        <w:t>dianMainlineMember2021-12-310000895728enb:CanadianMainlineMember2020-12-310000895728enb:SouthernLightsMember2021-01-012021-12-310000895728enb:EnbridgeGasDistributionMember2021-01-012021-12-310000895728enb:RegulatoryAssetsLiabilitiesUnderRecoveryOfFuelCosts</w:t>
      </w:r>
      <w:r>
        <w:rPr>
          <w:rFonts w:eastAsia="Times New Roman"/>
          <w:vanish/>
        </w:rPr>
        <w:t>Member2021-12-310000895728enb:RegulatoryAssetsLiabilitiesUnderRecoveryOfFuelCostsMember2020-12-310000895728us-gaap:OtherRegulatoryAssetsLiabilitiesMember2021-12-310000895728us-gaap:OtherRegulatoryAssetsLiabilitiesMember2020-12-310000895728us-gaap:DeferredI</w:t>
      </w:r>
      <w:r>
        <w:rPr>
          <w:rFonts w:eastAsia="Times New Roman"/>
          <w:vanish/>
        </w:rPr>
        <w:t>ncomeTaxChargesMember2021-12-310000895728us-gaap:DeferredIncomeTaxChargesMember2020-12-310000895728enb:RegulatoryAssetsLiabilitiesLongTermDebtMember2021-12-310000895728enb:RegulatoryAssetsLiabilitiesLongTermDebtMember2020-12-310000895728enb:RegulatoryAsset</w:t>
      </w:r>
      <w:r>
        <w:rPr>
          <w:rFonts w:eastAsia="Times New Roman"/>
          <w:vanish/>
        </w:rPr>
        <w:t>NegativeSalvageMember2021-12-310000895728enb:RegulatoryAssetNegativeSalvageMember2020-12-310000895728enb:RegulatoryAssetsLiabilitiesPurchaseGasVarianceMember2021-12-310000895728enb:RegulatoryAssetsLiabilitiesPurchaseGasVarianceMember2020-12-310000895728enb</w:t>
      </w:r>
      <w:r>
        <w:rPr>
          <w:rFonts w:eastAsia="Times New Roman"/>
          <w:vanish/>
        </w:rPr>
        <w:t>:RegulatoryAssetsLiabilitiesAccountingPolicyChangesMember2021-12-310000895728enb:RegulatoryAssetsLiabilitiesAccountingPolicyChangesMember2020-12-310000895728us-gaap:PensionAndOtherPostretirementPlansCostsMember2021-12-310000895728us-gaap:PensionAndOtherPos</w:t>
      </w:r>
      <w:r>
        <w:rPr>
          <w:rFonts w:eastAsia="Times New Roman"/>
          <w:vanish/>
        </w:rPr>
        <w:t>tretirementPlansCostsMember2020-12-310000895728enb:PurchasedGasVarianceMember2021-12-310000895728enb:PurchasedGasVarianceMember2020-12-310000895728us-gaap:OtherRegulatoryAssetsLiabilitiesMember2021-12-310000895728us-gaap:OtherRegulatoryAssetsLiabilitiesMem</w:t>
      </w:r>
      <w:r>
        <w:rPr>
          <w:rFonts w:eastAsia="Times New Roman"/>
          <w:vanish/>
        </w:rPr>
        <w:t>ber2020-12-310000895728us-gaap:RemovalCostsMember2021-12-310000895728us-gaap:RemovalCostsMember2020-12-310000895728enb:RegulatoryAssetsLiabilitiesUSIncomeTaxesMember2021-12-310000895728enb:RegulatoryAssetsLiabilitiesUSIncomeTaxesMember2020-12-310000895728u</w:t>
      </w:r>
      <w:r>
        <w:rPr>
          <w:rFonts w:eastAsia="Times New Roman"/>
          <w:vanish/>
        </w:rPr>
        <w:t>s-gaap:EnvironmentalRestorationCostsMember2021-12-310000895728us-gaap:EnvironmentalRestorationCostsMember2020-12-310000895728enb:ModaMidstreamOperatingLLCModaMember2021-10-122021-10-120000895728enb:ModaMidstreamOperatingLLCModaMember2021-10-120000895728enb</w:t>
      </w:r>
      <w:r>
        <w:rPr>
          <w:rFonts w:eastAsia="Times New Roman"/>
          <w:vanish/>
        </w:rPr>
        <w:t>:ModaMidstreamOperatingLLCModaMember2021-01-012021-12-310000895728enb:ModaMidstreamOperatingLLCModaMember2021-10-122021-12-310000895728enb:ModaMidstreamOperatingLLCModaMember2020-01-012020-12-310000895728enb:ModaMidstreamOperatingLLCModaMember2021-12-31000</w:t>
      </w:r>
      <w:r>
        <w:rPr>
          <w:rFonts w:eastAsia="Times New Roman"/>
          <w:vanish/>
        </w:rPr>
        <w:t>0895728enb:Line10CrudeOilMemberus-gaap:DisposalGroupHeldforsaleNotDiscontinuedOperationsMember2020-06-012020-06-010000895728enb:MontanaAlbertaTieLineMemberus-gaap:DisposalGroupHeldforsaleNotDiscontinuedOperationsMember2019-01-012019-12-310000895728enb:Mont</w:t>
      </w:r>
      <w:r>
        <w:rPr>
          <w:rFonts w:eastAsia="Times New Roman"/>
          <w:vanish/>
        </w:rPr>
        <w:t>anaAlbertaTieLineMemberus-gaap:DisposalGroupDisposedOfBySaleNotDiscontinuedOperationsMember2020-05-012020-05-010000895728us-gaap:DisposalGroupDisposedOfBySaleNotDiscontinuedOperationsMemberenb:AssetsOfOzarkPipelineMember2020-04-012020-04-010000895728us-gaa</w:t>
      </w:r>
      <w:r>
        <w:rPr>
          <w:rFonts w:eastAsia="Times New Roman"/>
          <w:vanish/>
        </w:rPr>
        <w:t>p:DisposalGroupDisposedOfBySaleNotDiscontinuedOperationsMemberenb:CanadianNaturalGasGatheringandProcessingBusinessMember2018-07-040000895728us-gaap:DisposalGroupDisposedOfBySaleNotDiscontinuedOperationsMemberenb:FederallyRegulatedFacilitiesMember2019-12-31</w:t>
      </w:r>
      <w:r>
        <w:rPr>
          <w:rFonts w:eastAsia="Times New Roman"/>
          <w:vanish/>
        </w:rPr>
        <w:t>2019-12-310000895728us-gaap:DisposalGroupDisposedOfBySaleNotDiscontinuedOperationsMemberenb:FederallyRegulatedFacilitiesMember2019-01-012019-12-310000895728us-gaap:DisposalGroupDisposedOfBySaleNotDiscontinuedOperationsMemberenb:St.LawrenceGasCompanyMember2</w:t>
      </w:r>
      <w:r>
        <w:rPr>
          <w:rFonts w:eastAsia="Times New Roman"/>
          <w:vanish/>
        </w:rPr>
        <w:t>019-11-012019-11-010000895728us-gaap:DisposalGroupDisposedOfBySaleNotDiscontinuedOperationsMemberenb:St.LawrenceGasCompanyMember2019-01-012019-12-310000895728enb:EnbridgeGasNewBrunswickMemberus-gaap:DisposalGroupDisposedOfBySaleNotDiscontinuedOperationsMem</w:t>
      </w:r>
      <w:r>
        <w:rPr>
          <w:rFonts w:eastAsia="Times New Roman"/>
          <w:vanish/>
        </w:rPr>
        <w:t>ber2019-10-012019-10-010000895728enb:EnbridgeGasNewBrunswickMemberus-gaap:DisposalGroupDisposedOfBySaleNotDiscontinuedOperationsMember2019-01-012019-12-310000895728enb:EnbridgeGasNewBrunswickMemberus-gaap:DisposalGroupDisposedOfBySaleNotDiscontinuedOperati</w:t>
      </w:r>
      <w:r>
        <w:rPr>
          <w:rFonts w:eastAsia="Times New Roman"/>
          <w:vanish/>
        </w:rPr>
        <w:t>onsMember2019-10-010000895728us-gaap:PipelinesMember2021-01-012021-12-310000895728us-gaap:PipelinesMember2021-12-310000895728us-gaap:PipelinesMember2020-12-310000895728enb:PumpingEquipmentBuildingTanksAndOtherMember2021-01-012021-12-310000895728enb:Pumping</w:t>
      </w:r>
      <w:r>
        <w:rPr>
          <w:rFonts w:eastAsia="Times New Roman"/>
          <w:vanish/>
        </w:rPr>
        <w:t>EquipmentBuildingTanksAndOtherMember2021-12-310000895728enb:PumpingEquipmentBuildingTanksAndOtherMember2020-12-310000895728enb:LandAndRightOfWayMember2021-01-012021-12-310000895728enb:LandAndRightOfWayMember2021-12-310000895728enb:LandAndRightOfWayMember20</w:t>
      </w:r>
      <w:r>
        <w:rPr>
          <w:rFonts w:eastAsia="Times New Roman"/>
          <w:vanish/>
        </w:rPr>
        <w:t>20-12-310000895728enb:GasMainsServicesAndOtherMember2021-01-012021-12-310000895728enb:GasMainsServicesAndOtherMember2021-12-310000895728enb:GasMainsServicesAndOtherMember2020-12-310000895728enb:CompressorsMetersAndOtherOperatingEquipmentMember2021-01-01202</w:t>
      </w:r>
      <w:r>
        <w:rPr>
          <w:rFonts w:eastAsia="Times New Roman"/>
          <w:vanish/>
        </w:rPr>
        <w:t>1-12-310000895728enb:CompressorsMetersAndOtherOperatingEquipmentMember2021-12-310000895728enb:CompressorsMetersAndOtherOperatingEquipmentMember2020-12-310000895728enb:ProcessingAndTreatingPlantsMember2021-01-012021-12-310000895728enb:ProcessingAndTreatingP</w:t>
      </w:r>
      <w:r>
        <w:rPr>
          <w:rFonts w:eastAsia="Times New Roman"/>
          <w:vanish/>
        </w:rPr>
        <w:t>lantsMember2021-12-310000895728enb:ProcessingAndTreatingPlantsMember2020-12-310000895728enb:StorageMember2021-01-012021-12-310000895728enb:StorageMember2021-12-310000895728enb:StorageMember2020-12-310000895728enb:WindTurbinesSolarPanelsAndOtherMember2021-0</w:t>
      </w:r>
      <w:r>
        <w:rPr>
          <w:rFonts w:eastAsia="Times New Roman"/>
          <w:vanish/>
        </w:rPr>
        <w:t>1-012021-12-310000895728enb:WindTurbinesSolarPanelsAndOtherMember2021-12-310000895728enb:WindTurbinesSolarPanelsAndOtherMember2020-12-310000895728enb:AccessNortheastProjectMember2019-01-012019-12-310000895728us-gaap:VariableInterestEntityPrimaryBeneficiary</w:t>
      </w:r>
      <w:r>
        <w:rPr>
          <w:rFonts w:eastAsia="Times New Roman"/>
          <w:vanish/>
        </w:rPr>
        <w:t>Member2021-12-310000895728us-gaap:VariableInterestEntityPrimaryBeneficiaryMember2020-12-310000895728enb:AuxSableLiquidsNotPrimaryBeneficiaryMemberus-gaap:VariableInterestEntityNotPrimaryBeneficiaryMember2021-12-310000895728enb:EolienMaritimeFranceSasNotPri</w:t>
      </w:r>
      <w:r>
        <w:rPr>
          <w:rFonts w:eastAsia="Times New Roman"/>
          <w:vanish/>
        </w:rPr>
        <w:t>maryBeneficiaryMemberus-gaap:VariableInterestEntityNotPrimaryBeneficiaryMember2021-12-310000895728us-gaap:VariableInterestEntityNotPrimaryBeneficiaryMemberenb:EnbridgeRenewableInfrastructureInvestmentsS.a.r.l.ERIIMember2021-12-310000895728us-gaap:VariableI</w:t>
      </w:r>
      <w:r>
        <w:rPr>
          <w:rFonts w:eastAsia="Times New Roman"/>
          <w:vanish/>
        </w:rPr>
        <w:t>nterestEntityNotPrimaryBeneficiaryMemberenb:RampionOffshoreWindLimitedNotPrimaryBeneficiaryMember2021-12-310000895728enb:VectorPipelineLPNotPrimaryBeneficiaryMemberus-gaap:VariableInterestEntityNotPrimaryBeneficiaryMember2021-12-310000895728us-gaap:Variabl</w:t>
      </w:r>
      <w:r>
        <w:rPr>
          <w:rFonts w:eastAsia="Times New Roman"/>
          <w:vanish/>
        </w:rPr>
        <w:t>eInterestEntityNotPrimaryBeneficiaryMemberenb:OtherNotPrimaryBeneficiaryMember2021-12-310000895728us-gaap:VariableInterestEntityNotPrimaryBeneficiaryMember2021-12-310000895728enb:AuxSableLiquidsNotPrimaryBeneficiaryMemberus-gaap:VariableInterestEntityNotPr</w:t>
      </w:r>
      <w:r>
        <w:rPr>
          <w:rFonts w:eastAsia="Times New Roman"/>
          <w:vanish/>
        </w:rPr>
        <w:t>imaryBeneficiaryMember2020-12-310000895728enb:EolienMaritimeFranceSasNotPrimaryBeneficiaryMemberus-gaap:VariableInterestEntityNotPrimaryBeneficiaryMember2020-12-310000895728us-gaap:VariableInterestEntityNotPrimaryBeneficiaryMemberenb:EnbridgeRenewableInfra</w:t>
      </w:r>
      <w:r>
        <w:rPr>
          <w:rFonts w:eastAsia="Times New Roman"/>
          <w:vanish/>
        </w:rPr>
        <w:t>structureInvestmentsS.a.r.l.ERIIMember2020-12-310000895728us-gaap:VariableInterestEntityNotPrimaryBeneficiaryMemberenb:PenneastPipelineCompanyLLCMember2020-12-310000895728us-gaap:VariableInterestEntityNotPrimaryBeneficiaryMemberenb:RampionOffshoreWindLimit</w:t>
      </w:r>
      <w:r>
        <w:rPr>
          <w:rFonts w:eastAsia="Times New Roman"/>
          <w:vanish/>
        </w:rPr>
        <w:t>edNotPrimaryBeneficiaryMember2020-12-310000895728enb:VectorPipelineLPNotPrimaryBeneficiaryMemberus-gaap:VariableInterestEntityNotPrimaryBeneficiaryMember2020-12-310000895728us-gaap:VariableInterestEntityNotPrimaryBeneficiaryMemberenb:OtherNotPrimaryBenefic</w:t>
      </w:r>
      <w:r>
        <w:rPr>
          <w:rFonts w:eastAsia="Times New Roman"/>
          <w:vanish/>
        </w:rPr>
        <w:t>iaryMember2020-12-310000895728us-gaap:VariableInterestEntityNotPrimaryBeneficiaryMember2020-12-310000895728enb:EIHSarlMember2018-03-182018-03-180000895728enb:EIHSarlMember2021-01-012021-12-310000895728enb:MaRenBakkenCompanyLLCMemberenb:LiquidsPipelinesSegm</w:t>
      </w:r>
      <w:r>
        <w:rPr>
          <w:rFonts w:eastAsia="Times New Roman"/>
          <w:vanish/>
        </w:rPr>
        <w:t>entMember2021-12-310000895728enb:MaRenBakkenCompanyLLCMemberenb:LiquidsPipelinesSegmentMember2020-12-310000895728enb:GrayOakHoldingsLLCMemberenb:LiquidsPipelinesSegmentMember2021-12-310000895728enb:GrayOakHoldingsLLCMemberenb:LiquidsPipelinesSegmentMember2</w:t>
      </w:r>
      <w:r>
        <w:rPr>
          <w:rFonts w:eastAsia="Times New Roman"/>
          <w:vanish/>
        </w:rPr>
        <w:t>020-12-310000895728enb:SeawayPipelineMemberenb:LiquidsPipelinesSegmentMember2021-12-310000895728enb:SeawayPipelineMemberenb:LiquidsPipelinesSegmentMember2020-12-310000895728enb:IllinoisExtensionPipelineCompanyLLCNotPrimaryBeneficiaryMemberenb:LiquidsPipeli</w:t>
      </w:r>
      <w:r>
        <w:rPr>
          <w:rFonts w:eastAsia="Times New Roman"/>
          <w:vanish/>
        </w:rPr>
        <w:t>nesSegmentMember2021-12-310000895728enb:IllinoisExtensionPipelineCompanyLLCNotPrimaryBeneficiaryMemberenb:LiquidsPipelinesSegmentMember2020-12-310000895728enb:CactusIIPipelineLLCMemberenb:LiquidsPipelinesSegmentMember2021-12-310000895728enb:CactusIIPipelin</w:t>
      </w:r>
      <w:r>
        <w:rPr>
          <w:rFonts w:eastAsia="Times New Roman"/>
          <w:vanish/>
        </w:rPr>
        <w:t>eLLCMemberenb:LiquidsPipelinesSegmentMember2020-12-310000895728enb:OtherEquityInvesteeMemberenb:LiquidsPipelinesSegmentMember2021-12-310000895728enb:OtherEquityInvesteeMemberenb:LiquidsPipelinesSegmentMember2020-12-310000895728enb:AlliancePipelineCanadaAnd</w:t>
      </w:r>
      <w:r>
        <w:rPr>
          <w:rFonts w:eastAsia="Times New Roman"/>
          <w:vanish/>
        </w:rPr>
        <w:t>UsMemberenb:GasPipelinesAndProcessingMember2021-12-310000895728enb:AlliancePipelineCanadaAndUsMemberenb:GasPipelinesAndProcessingMember2020-12-310000895728enb:AuxSableMemberenb:GasPipelinesAndProcessingMember2021-12-310000895728enb:AuxSableMemberenb:GasPip</w:t>
      </w:r>
      <w:r>
        <w:rPr>
          <w:rFonts w:eastAsia="Times New Roman"/>
          <w:vanish/>
        </w:rPr>
        <w:t>elinesAndProcessingMember2020-12-310000895728enb:DCPMidstreamLLCMemberenb:GasPipelinesAndProcessingMember2021-12-310000895728enb:DCPMidstreamLLCMemberenb:GasPipelinesAndProcessingMember2020-12-310000895728enb:GulfstreamNaturalGasSystemLLCMemberenb:GasPipel</w:t>
      </w:r>
      <w:r>
        <w:rPr>
          <w:rFonts w:eastAsia="Times New Roman"/>
          <w:vanish/>
        </w:rPr>
        <w:t>inesAndProcessingMember2021-12-310000895728enb:GulfstreamNaturalGasSystemLLCMemberenb:GasPipelinesAndProcessingMember2020-12-310000895728enb:NexusGasTransmissionLLCMemberenb:GasPipelinesAndProcessingMember2021-12-310000895728enb:NexusGasTransmissionLLCMemb</w:t>
      </w:r>
      <w:r>
        <w:rPr>
          <w:rFonts w:eastAsia="Times New Roman"/>
          <w:vanish/>
        </w:rPr>
        <w:t>erenb:GasPipelinesAndProcessingMember2020-12-310000895728enb:GasPipelinesAndProcessingMemberenb:PenneastPipelineCompanyLLCMember2021-12-310000895728enb:GasPipelinesAndProcessingMemberenb:PenneastPipelineCompanyLLCMember2020-12-310000895728enb:GasPipelinesA</w:t>
      </w:r>
      <w:r>
        <w:rPr>
          <w:rFonts w:eastAsia="Times New Roman"/>
          <w:vanish/>
        </w:rPr>
        <w:t>ndProcessingMemberenb:SabalTrailTransmissionLLCMember2021-12-310000895728enb:GasPipelinesAndProcessingMemberenb:SabalTrailTransmissionLLCMember2020-12-310000895728enb:SoutheatSupplyHeaderLLCMemberenb:GasPipelinesAndProcessingMember2021-12-310000895728enb:S</w:t>
      </w:r>
      <w:r>
        <w:rPr>
          <w:rFonts w:eastAsia="Times New Roman"/>
          <w:vanish/>
        </w:rPr>
        <w:t>outheatSupplyHeaderLLCMemberenb:GasPipelinesAndProcessingMember2020-12-310000895728enb:SteckmanRidgeLPMemberenb:GasPipelinesAndProcessingMember2021-12-310000895728enb:SteckmanRidgeLPMemberenb:GasPipelinesAndProcessingMember2020-12-310000895728enb:VectorPip</w:t>
      </w:r>
      <w:r>
        <w:rPr>
          <w:rFonts w:eastAsia="Times New Roman"/>
          <w:vanish/>
        </w:rPr>
        <w:t>elineMemberenb:GasPipelinesAndProcessingMember2021-12-310000895728enb:VectorPipelineMemberenb:GasPipelinesAndProcessingMember2020-12-310000895728enb:OffshoreJointVenturesMemberenb:GasPipelinesAndProcessingMember2021-12-310000895728enb:OffshoreJointVentures</w:t>
      </w:r>
      <w:r>
        <w:rPr>
          <w:rFonts w:eastAsia="Times New Roman"/>
          <w:vanish/>
        </w:rPr>
        <w:t>Memberenb:GasPipelinesAndProcessingMember2020-12-310000895728enb:OtherEquityInvesteeMemberenb:GasPipelinesAndProcessingMember2021-12-310000895728enb:OtherEquityInvesteeMemberenb:GasPipelinesAndProcessingMember2020-12-310000895728us-gaap:CommonStockMemberen</w:t>
      </w:r>
      <w:r>
        <w:rPr>
          <w:rFonts w:eastAsia="Times New Roman"/>
          <w:vanish/>
        </w:rPr>
        <w:t>b:NovercoIncMemberenb:GasDistributionandStorageSegmentMember2021-12-310000895728us-gaap:CommonStockMemberenb:NovercoIncMemberenb:GasDistributionandStorageSegmentMember2020-12-310000895728us-gaap:CommonStockMemberenb:OtherEquityInvesteeMemberenb:GasDistribu</w:t>
      </w:r>
      <w:r>
        <w:rPr>
          <w:rFonts w:eastAsia="Times New Roman"/>
          <w:vanish/>
        </w:rPr>
        <w:t>tionandStorageSegmentMember2021-12-310000895728us-gaap:CommonStockMemberenb:OtherEquityInvesteeMemberenb:GasDistributionandStorageSegmentMember2020-12-310000895728enb:EIHSarlMemberenb:RenewablePowerGenerationSegmentMember2021-12-310000895728enb:EIHSarlMemb</w:t>
      </w:r>
      <w:r>
        <w:rPr>
          <w:rFonts w:eastAsia="Times New Roman"/>
          <w:vanish/>
        </w:rPr>
        <w:t>erenb:RenewablePowerGenerationSegmentMember2020-12-310000895728enb:EnbridgeRenewableInfrastructureInvestmentsS.a.r.l.ERIIMemberenb:RenewablePowerGenerationSegmentMember2021-12-310000895728enb:EnbridgeRenewableInfrastructureInvestmentsS.a.r.l.ERIIMemberenb:</w:t>
      </w:r>
      <w:r>
        <w:rPr>
          <w:rFonts w:eastAsia="Times New Roman"/>
          <w:vanish/>
        </w:rPr>
        <w:t>RenewablePowerGenerationSegmentMember2020-12-310000895728enb:RampionOffshoreWindProjectMemberenb:RenewablePowerGenerationSegmentMember2021-12-310000895728enb:RampionOffshoreWindProjectMemberenb:RenewablePowerGenerationSegmentMember2020-12-310000895728enb:N</w:t>
      </w:r>
      <w:r>
        <w:rPr>
          <w:rFonts w:eastAsia="Times New Roman"/>
          <w:vanish/>
        </w:rPr>
        <w:t>extBridgeInfrastructureLPMemberenb:RenewablePowerGenerationSegmentMember2021-12-310000895728enb:NextBridgeInfrastructureLPMemberenb:RenewablePowerGenerationSegmentMember2020-12-310000895728enb:OtherEquityInvesteeMemberenb:RenewablePowerGenerationSegmentMem</w:t>
      </w:r>
      <w:r>
        <w:rPr>
          <w:rFonts w:eastAsia="Times New Roman"/>
          <w:vanish/>
        </w:rPr>
        <w:t>ber2021-12-310000895728enb:OtherEquityInvesteeMemberenb:RenewablePowerGenerationSegmentMember2020-12-310000895728enb:OtherEquityInvesteeMemberenb:EliminationAndOtherMember2021-12-310000895728enb:OtherEquityInvesteeMemberenb:EliminationAndOtherMember2020-12</w:t>
      </w:r>
      <w:r>
        <w:rPr>
          <w:rFonts w:eastAsia="Times New Roman"/>
          <w:vanish/>
        </w:rPr>
        <w:t>-310000895728us-gaap:PreferredStockMemberenb:GasDistributionandStorageSegmentMemberenb:NovercoIncMember2021-12-310000895728us-gaap:PreferredStockMemberenb:GasDistributionandStorageSegmentMemberenb:NovercoIncMember2020-12-310000895728enb:EmergingTechnologie</w:t>
      </w:r>
      <w:r>
        <w:rPr>
          <w:rFonts w:eastAsia="Times New Roman"/>
          <w:vanish/>
        </w:rPr>
        <w:t>sAndOtherMemberenb:RenewablePowerGenerationSegmentMember2021-12-310000895728enb:EmergingTechnologiesAndOtherMemberenb:RenewablePowerGenerationSegmentMember2020-12-310000895728enb:OtherEntityMemberenb:EliminationAndOtherMember2021-12-310000895728enb:OtherEn</w:t>
      </w:r>
      <w:r>
        <w:rPr>
          <w:rFonts w:eastAsia="Times New Roman"/>
          <w:vanish/>
        </w:rPr>
        <w:t>tityMemberenb:EliminationAndOtherMember2020-12-310000895728enb:MaRenBakkenCompanyLLCMemberenb:BakkenPipelineInvestmentsLLCMember2021-12-310000895728enb:BakkenPipelineInvestmentsLLCMemberenb:BakkenPipelineSystemMember2021-12-310000895728enb:MaRenBakkenCompa</w:t>
      </w:r>
      <w:r>
        <w:rPr>
          <w:rFonts w:eastAsia="Times New Roman"/>
          <w:vanish/>
        </w:rPr>
        <w:t>nyLLCMemberenb:BakkenPipelineSystemMember2021-12-310000895728enb:GrayOakHoldingsLLCMember2021-12-310000895728enb:GrayOakHoldingsLLCMemberenb:GrayOakHoldingsLLCMember2021-12-310000895728enb:CactusIIPipelineLLCMemberenb:LiquidsPipelinesSegmentMember2021-10-3</w:t>
      </w:r>
      <w:r>
        <w:rPr>
          <w:rFonts w:eastAsia="Times New Roman"/>
          <w:vanish/>
        </w:rPr>
        <w:t>10000895728enb:DCPMidstreamLLCMemberenb:DCPMidstreamLPMember2021-12-310000895728enb:NovercoIncMember2021-06-060000895728enb:EIHSarlMember2021-03-180000895728enb:EolienMaritimeFranceSasMember2021-03-1800008957282021-03-180000895728enb:SaintNazaireMember2021</w:t>
      </w:r>
      <w:r>
        <w:rPr>
          <w:rFonts w:eastAsia="Times New Roman"/>
          <w:vanish/>
        </w:rPr>
        <w:t>-03-180000895728enb:FcampMember2021-03-180000895728enb:CalvadosMember2021-03-180000895728us-gaap:EquityMethodInvestmentNonconsolidatedInvesteeOrGroupOfInvesteesMember2021-01-012021-12-310000895728us-gaap:EquityMethodInvestmentNonconsolidatedInvesteeOrGroup</w:t>
      </w:r>
      <w:r>
        <w:rPr>
          <w:rFonts w:eastAsia="Times New Roman"/>
          <w:vanish/>
        </w:rPr>
        <w:t>OfInvesteesMember2020-01-012020-12-310000895728us-gaap:EquityMethodInvestmentNonconsolidatedInvesteeOrGroupOfInvesteesMember2019-01-012019-12-310000895728us-gaap:EquityMethodInvestmentNonconsolidatedInvesteeOrGroupOfInvesteesMember2021-12-310000895728us-ga</w:t>
      </w:r>
      <w:r>
        <w:rPr>
          <w:rFonts w:eastAsia="Times New Roman"/>
          <w:vanish/>
        </w:rPr>
        <w:t>ap:EquityMethodInvestmentNonconsolidatedInvesteeOrGroupOfInvesteesMember2020-12-310000895728enb:NovercoIncMember2021-06-062021-06-060000895728enb:NovercoIncMember2021-12-302021-12-300000895728enb:PenneastPipelineCompanyLLCMember2021-12-310000895728enb:Penn</w:t>
      </w:r>
      <w:r>
        <w:rPr>
          <w:rFonts w:eastAsia="Times New Roman"/>
          <w:vanish/>
        </w:rPr>
        <w:t>eastPipelineCompanyLLCMember2021-01-012021-12-310000895728enb:PenneastPipelineCompanyLLCMember2020-12-310000895728enb:SteckmanRidgeLPMember2020-12-310000895728enb:SteckmanRidgeLPMember2020-01-012020-12-310000895728enb:SteckmanRidgeLPMember2021-12-310000895</w:t>
      </w:r>
      <w:r>
        <w:rPr>
          <w:rFonts w:eastAsia="Times New Roman"/>
          <w:vanish/>
        </w:rPr>
        <w:t>728enb:SoutheastSupplyHeaderLLCMember2020-12-310000895728enb:SoutheastSupplyHeaderLLCMember2020-01-012020-12-310000895728enb:SoutheastSupplyHeaderLLCMember2021-12-310000895728enb:DCPMidstreamLLCMember2021-12-310000895728enb:DCPMidstreamLLCMember2020-01-012</w:t>
      </w:r>
      <w:r>
        <w:rPr>
          <w:rFonts w:eastAsia="Times New Roman"/>
          <w:vanish/>
        </w:rPr>
        <w:t>020-12-310000895728enb:DCPMidstreamLLCMember2021-01-012021-12-310000895728enb:DCPMidstreamLLCMember2020-12-310000895728srt:MinimumMemberenb:OtherEquityInvesteeMemberenb:LiquidsPipelinesSegmentMember2021-12-310000895728srt:MaximumMemberenb:OtherEquityInvest</w:t>
      </w:r>
      <w:r>
        <w:rPr>
          <w:rFonts w:eastAsia="Times New Roman"/>
          <w:vanish/>
        </w:rPr>
        <w:t>eeMemberenb:LiquidsPipelinesSegmentMember2021-12-310000895728enb:AuxSableMembersrt:MinimumMemberenb:GasPipelinesAndProcessingMember2021-12-310000895728srt:MaximumMemberenb:AuxSableMemberenb:GasPipelinesAndProcessingMember2021-12-310000895728srt:MinimumMemb</w:t>
      </w:r>
      <w:r>
        <w:rPr>
          <w:rFonts w:eastAsia="Times New Roman"/>
          <w:vanish/>
        </w:rPr>
        <w:t>erenb:OffshoreJointVenturesMemberenb:GasPipelinesAndProcessingMember2021-12-310000895728srt:MaximumMemberenb:OffshoreJointVenturesMemberenb:GasPipelinesAndProcessingMember2021-12-310000895728us-gaap:CommonStockMembersrt:MinimumMemberenb:OtherEquityInvestee</w:t>
      </w:r>
      <w:r>
        <w:rPr>
          <w:rFonts w:eastAsia="Times New Roman"/>
          <w:vanish/>
        </w:rPr>
        <w:t>Memberenb:GasDistributionandStorageSegmentMember2021-12-310000895728us-gaap:CommonStockMembersrt:MaximumMemberenb:OtherEquityInvesteeMemberenb:GasDistributionandStorageSegmentMember2021-12-310000895728srt:MinimumMemberenb:OtherEquityInvesteeMemberenb:Renew</w:t>
      </w:r>
      <w:r>
        <w:rPr>
          <w:rFonts w:eastAsia="Times New Roman"/>
          <w:vanish/>
        </w:rPr>
        <w:t>ablePowerGenerationSegmentMember2021-12-310000895728srt:MaximumMemberenb:OtherEquityInvesteeMemberenb:RenewablePowerGenerationSegmentMember2021-12-310000895728srt:MinimumMemberenb:OtherEquityInvesteeMemberenb:EliminationAndOtherMember2021-12-310000895728sr</w:t>
      </w:r>
      <w:r>
        <w:rPr>
          <w:rFonts w:eastAsia="Times New Roman"/>
          <w:vanish/>
        </w:rPr>
        <w:t>t:MaximumMemberenb:OtherEquityInvesteeMemberenb:EliminationAndOtherMember2021-12-310000895728us-gaap:CustomerRelationshipsMember2021-12-310000895728enb:PowerPurchaseAgreementsMember2021-12-310000895728enb:ProjectAgreementsMember2021-12-310000895728us-gaap:</w:t>
      </w:r>
      <w:r>
        <w:rPr>
          <w:rFonts w:eastAsia="Times New Roman"/>
          <w:vanish/>
        </w:rPr>
        <w:t>SoftwareAndSoftwareDevelopmentCostsMember2021-12-310000895728us-gaap:OtherIntangibleAssetsMember2021-12-310000895728us-gaap:InProcessResearchAndDevelopmentMember2021-12-310000895728us-gaap:SoftwareAndSoftwareDevelopmentCostsMember2020-12-310000895728enb:Po</w:t>
      </w:r>
      <w:r>
        <w:rPr>
          <w:rFonts w:eastAsia="Times New Roman"/>
          <w:vanish/>
        </w:rPr>
        <w:t>werPurchaseAgreementsMember2020-12-310000895728enb:ProjectAgreementsMember2020-12-310000895728us-gaap:CustomerRelationshipsMember2020-12-310000895728us-gaap:OtherIntangibleAssetsMember2020-12-310000895728us-gaap:InProcessResearchAndDevelopmentMember2020-12</w:t>
      </w:r>
      <w:r>
        <w:rPr>
          <w:rFonts w:eastAsia="Times New Roman"/>
          <w:vanish/>
        </w:rPr>
        <w:t>-310000895728enb:LiquidsPipelinesSegmentMember2019-12-310000895728enb:GasTransmissionandMidstreamSegmentMember2019-12-310000895728enb:GasDistributionandStorageSegmentMember2019-12-310000895728enb:EnergyServicesSegmentMember2019-12-310000895728enb:EnergySer</w:t>
      </w:r>
      <w:r>
        <w:rPr>
          <w:rFonts w:eastAsia="Times New Roman"/>
          <w:vanish/>
        </w:rPr>
        <w:t>vicesSegmentMember2020-01-012020-12-310000895728enb:LiquidsPipelinesSegmentMember2020-12-310000895728enb:GasTransmissionandMidstreamSegmentMember2020-12-310000895728enb:GasDistributionandStorageSegmentMember2020-12-310000895728enb:EnergyServicesSegmentMemb</w:t>
      </w:r>
      <w:r>
        <w:rPr>
          <w:rFonts w:eastAsia="Times New Roman"/>
          <w:vanish/>
        </w:rPr>
        <w:t>er2020-12-310000895728enb:EnergyServicesSegmentMember2021-01-012021-12-310000895728enb:LiquidsPipelinesSegmentMember2021-12-310000895728enb:GasTransmissionandMidstreamSegmentMember2021-12-310000895728enb:GasDistributionandStorageSegmentMember2021-12-310000</w:t>
      </w:r>
      <w:r>
        <w:rPr>
          <w:rFonts w:eastAsia="Times New Roman"/>
          <w:vanish/>
        </w:rPr>
        <w:t>895728enb:EnergyServicesSegmentMember2021-12-310000895728enb:TermLoanMembersrt:ParentCompanyMember2021-12-310000895728enb:TermLoanMembersrt:ParentCompanyMember2020-12-310000895728us-gaap:MediumTermNotesMembersrt:ParentCompanyMember2021-12-310000895728us-ga</w:t>
      </w:r>
      <w:r>
        <w:rPr>
          <w:rFonts w:eastAsia="Times New Roman"/>
          <w:vanish/>
        </w:rPr>
        <w:t>ap:MediumTermNotesMembersrt:ParentCompanyMember2020-12-310000895728enb:SustainabilityLinkedBondsMembersrt:ParentCompanyMember2021-12-310000895728enb:SustainabilityLinkedBondsMembersrt:ParentCompanyMember2020-12-310000895728enb:FixedToFixedTermSubordinatedT</w:t>
      </w:r>
      <w:r>
        <w:rPr>
          <w:rFonts w:eastAsia="Times New Roman"/>
          <w:vanish/>
        </w:rPr>
        <w:t>ermNotesMembersrt:ParentCompanyMember2021-12-310000895728enb:FixedToFixedTermSubordinatedTermNotesMembersrt:ParentCompanyMember2020-12-310000895728enb:FixedToFloatingSubordinatedTermNotesMembersrt:ParentCompanyMember2021-12-310000895728enb:FixedToFloatingS</w:t>
      </w:r>
      <w:r>
        <w:rPr>
          <w:rFonts w:eastAsia="Times New Roman"/>
          <w:vanish/>
        </w:rPr>
        <w:t>ubordinatedTermNotesMembersrt:ParentCompanyMember2020-12-310000895728enb:FloatingRateNoteMembersrt:ParentCompanyMember2021-12-310000895728enb:FloatingRateNoteMembersrt:ParentCompanyMember2020-12-310000895728enb:CommercialPaperAndCreditFacilityDrawsMembersr</w:t>
      </w:r>
      <w:r>
        <w:rPr>
          <w:rFonts w:eastAsia="Times New Roman"/>
          <w:vanish/>
        </w:rPr>
        <w:t>t:ParentCompanyMember2021-12-310000895728enb:CommercialPaperAndCreditFacilityDrawsMembersrt:ParentCompanyMember2020-12-310000895728srt:ParentCompanyMemberus-gaap:CapitalLeaseObligationsMember2021-12-310000895728srt:ParentCompanyMemberus-gaap:CapitalLeaseOb</w:t>
      </w:r>
      <w:r>
        <w:rPr>
          <w:rFonts w:eastAsia="Times New Roman"/>
          <w:vanish/>
        </w:rPr>
        <w:t>ligationsMember2020-12-310000895728enb:CommercialPaperAndCreditFacilityDrawsMemberenb:EnbridgeUSIncMember2021-12-310000895728enb:CommercialPaperAndCreditFacilityDrawsMemberenb:EnbridgeUSIncMember2020-12-310000895728enb:EnbridgeUSIncMemberus-gaap:CapitalLea</w:t>
      </w:r>
      <w:r>
        <w:rPr>
          <w:rFonts w:eastAsia="Times New Roman"/>
          <w:vanish/>
        </w:rPr>
        <w:t>seObligationsMember2021-12-310000895728enb:EnbridgeUSIncMemberus-gaap:CapitalLeaseObligationsMember2020-12-310000895728enb:EnbridgeEnergyPartnersLpMemberus-gaap:SeniorNotesMember2021-12-310000895728enb:EnbridgeEnergyPartnersLpMemberus-gaap:SeniorNotesMembe</w:t>
      </w:r>
      <w:r>
        <w:rPr>
          <w:rFonts w:eastAsia="Times New Roman"/>
          <w:vanish/>
        </w:rPr>
        <w:t>r2020-12-310000895728us-gaap:MediumTermNotesMemberenb:EnbridgeGasInc.Member2021-12-310000895728us-gaap:MediumTermNotesMemberenb:EnbridgeGasInc.Member2020-12-310000895728enb:DebenturesMemberenb:EnbridgeGasInc.Member2021-12-310000895728enb:DebenturesMemberen</w:t>
      </w:r>
      <w:r>
        <w:rPr>
          <w:rFonts w:eastAsia="Times New Roman"/>
          <w:vanish/>
        </w:rPr>
        <w:t>b:EnbridgeGasInc.Member2020-12-310000895728enb:EnbridgeGasInc.Memberenb:CommercialPaperAndCreditFacilityDrawsMember2021-12-310000895728enb:EnbridgeGasInc.Memberenb:CommercialPaperAndCreditFacilityDrawsMember2020-12-310000895728enb:EnbridgePipelinesSouthern</w:t>
      </w:r>
      <w:r>
        <w:rPr>
          <w:rFonts w:eastAsia="Times New Roman"/>
          <w:vanish/>
        </w:rPr>
        <w:t>LightsLLCMemberus-gaap:SeniorNotesMember2021-12-310000895728enb:EnbridgePipelinesSouthernLightsLLCMemberus-gaap:SeniorNotesMember2020-12-310000895728us-gaap:MediumTermNotesMemberenb:EnbridgePipelinesIncMember2021-12-310000895728us-gaap:MediumTermNotesMembe</w:t>
      </w:r>
      <w:r>
        <w:rPr>
          <w:rFonts w:eastAsia="Times New Roman"/>
          <w:vanish/>
        </w:rPr>
        <w:t>renb:EnbridgePipelinesIncMember2020-12-310000895728enb:DebenturesMemberenb:EnbridgePipelinesIncMember2021-12-310000895728enb:DebenturesMemberenb:EnbridgePipelinesIncMember2020-12-310000895728enb:CommercialPaperAndCreditFacilityDrawsMemberenb:EnbridgePipeli</w:t>
      </w:r>
      <w:r>
        <w:rPr>
          <w:rFonts w:eastAsia="Times New Roman"/>
          <w:vanish/>
        </w:rPr>
        <w:t>nesIncMember2021-12-310000895728enb:CommercialPaperAndCreditFacilityDrawsMemberenb:EnbridgePipelinesIncMember2020-12-310000895728enb:EnbridgeSouthernLightsLPMemberus-gaap:SeniorNotesMember2021-12-310000895728enb:EnbridgeSouthernLightsLPMemberus-gaap:Senior</w:t>
      </w:r>
      <w:r>
        <w:rPr>
          <w:rFonts w:eastAsia="Times New Roman"/>
          <w:vanish/>
        </w:rPr>
        <w:t>NotesMember2020-12-310000895728enb:SpectraEnergyCorpMemberus-gaap:SeniorNotesMember2021-12-310000895728enb:SpectraEnergyCorpMemberus-gaap:SeniorNotesMember2020-12-310000895728enb:SpectraEnergyPartnersLPMemberus-gaap:SeniorNotesMember2021-12-310000895728enb</w:t>
      </w:r>
      <w:r>
        <w:rPr>
          <w:rFonts w:eastAsia="Times New Roman"/>
          <w:vanish/>
        </w:rPr>
        <w:t>:SpectraEnergyPartnersLPMemberus-gaap:SeniorNotesMember2020-12-310000895728us-gaap:MediumTermNotesMemberenb:WestcoastEnergyIncMember2021-12-310000895728us-gaap:MediumTermNotesMemberenb:WestcoastEnergyIncMember2020-12-310000895728enb:WestcoastEnergyIncMembe</w:t>
      </w:r>
      <w:r>
        <w:rPr>
          <w:rFonts w:eastAsia="Times New Roman"/>
          <w:vanish/>
        </w:rPr>
        <w:t>renb:DebenturesMember2021-12-310000895728enb:WestcoastEnergyIncMemberenb:DebenturesMember2020-12-310000895728enb:FixedToFixedTermSubordinatedTermNotesMembersrt:ParentCompanyMember2021-01-012021-12-310000895728enb:FixedToFixedTermSubordinatedTermNotesMember</w:t>
      </w:r>
      <w:r>
        <w:rPr>
          <w:rFonts w:eastAsia="Times New Roman"/>
          <w:vanish/>
        </w:rPr>
        <w:t>us-gaap:UsTreasuryUstInterestRateMembersrt:ParentCompanyMemberenb:DebtInstrumentInterestRateTermsPeriodOneMember2021-01-012021-12-310000895728enb:FixedToFixedTermSubordinatedTermNotesMemberus-gaap:UsTreasuryUstInterestRateMemberenb:DebtInstrumentInterestRa</w:t>
      </w:r>
      <w:r>
        <w:rPr>
          <w:rFonts w:eastAsia="Times New Roman"/>
          <w:vanish/>
        </w:rPr>
        <w:t>teTermsPeriodTwoMembersrt:ParentCompanyMember2021-01-012021-12-310000895728enb:FixedToFloatingSubordinatedTermNotesMembersrt:ParentCompanyMember2021-01-012021-12-310000895728enb:FloatingRateNoteMembersrt:ParentCompanyMemberus-gaap:LondonInterbankOfferedRat</w:t>
      </w:r>
      <w:r>
        <w:rPr>
          <w:rFonts w:eastAsia="Times New Roman"/>
          <w:vanish/>
        </w:rPr>
        <w:t>eLIBORMember2021-01-012021-12-310000895728enb:FloatingRateNoteMemberus-gaap:SecuredOvernightFinancingRateSofrOvernightIndexSwapRateMembersrt:ParentCompanyMember2021-01-012021-12-310000895728srt:ParentCompanyMember2021-12-310000895728enb:EnbridgeUSIncMember</w:t>
      </w:r>
      <w:r>
        <w:rPr>
          <w:rFonts w:eastAsia="Times New Roman"/>
          <w:vanish/>
        </w:rPr>
        <w:t>2021-12-310000895728enb:EnbridgePipelinesIncMember2021-12-310000895728enb:UnionGasLimitedMember2021-12-310000895728enb:CommittedCreditFacilityMember2021-12-310000895728us-gaap:SubsequentEventMember2022-02-100000895728enb:UncommittedCreditFacilityMember2021</w:t>
      </w:r>
      <w:r>
        <w:rPr>
          <w:rFonts w:eastAsia="Times New Roman"/>
          <w:vanish/>
        </w:rPr>
        <w:t>-12-310000895728enb:UncommittedCreditFacilityMember2020-12-310000895728enb:UncommittedCreditFacilityMember2021-01-012021-12-310000895728enb:CommercialPaperAndCreditFacilityDrawsMember2021-12-310000895728enb:CommercialPaperAndCreditFacilityDrawsMember2020-1</w:t>
      </w:r>
      <w:r>
        <w:rPr>
          <w:rFonts w:eastAsia="Times New Roman"/>
          <w:vanish/>
        </w:rPr>
        <w:t>2-310000895728enb:FloatingRateNotesDueFebruary2023Membersrt:ParentCompanyMember2021-12-310000895728enb:A250SustainabilityLinkedSeniorNotesDueAugust2033Membersrt:ParentCompanyMember2021-12-310000895728enb:A340SeniorNotesDueAugust2051Membersrt:ParentCompanyM</w:t>
      </w:r>
      <w:r>
        <w:rPr>
          <w:rFonts w:eastAsia="Times New Roman"/>
          <w:vanish/>
        </w:rPr>
        <w:t>ember2021-12-310000895728enb:A310SustainabilityLinkedMediumTermNotesDueSeptember2033Membersrt:ParentCompanyMember2021-12-310000895728enb:A410MediumTermNotesDueSeptember2051Membersrt:ParentCompanyMember2021-12-310000895728enb:A055SeniorTermNotesDueOctober20</w:t>
      </w:r>
      <w:r>
        <w:rPr>
          <w:rFonts w:eastAsia="Times New Roman"/>
          <w:vanish/>
        </w:rPr>
        <w:t>23Membersrt:ParentCompanyMember2021-12-310000895728srt:ParentCompanyMemberenb:A160SeniorTermNotesDueOctober2026Member2021-12-310000895728srt:ParentCompanyMemberenb:A340SeniorTermNotesDueAugust2051Member2021-12-310000895728enb:EnbridgeGasInc.Memberenb:A235M</w:t>
      </w:r>
      <w:r>
        <w:rPr>
          <w:rFonts w:eastAsia="Times New Roman"/>
          <w:vanish/>
        </w:rPr>
        <w:t>ediumTermNotesDueSeptember2031Member2021-12-310000895728enb:A320MediumTermNotesDueSeptember2051Memberenb:EnbridgeGasInc.Member2021-12-310000895728enb:EnbridgePipelinesIncMemberenb:A282MediumTermNotesDueMay2031Member2021-12-310000895728enb:A420MediumTermNot</w:t>
      </w:r>
      <w:r>
        <w:rPr>
          <w:rFonts w:eastAsia="Times New Roman"/>
          <w:vanish/>
        </w:rPr>
        <w:t>esDueMay2051Memberenb:EnbridgePipelinesIncMember2021-12-310000895728enb:SpectraEnergyPartnersLPMemberenb:A250SeniorNotesDueSeptember2031Member2021-12-310000895728us-gaap:SecuredOvernightFinancingRateSofrOvernightIndexSwapRateMemberenb:FloatingRateNotesDueF</w:t>
      </w:r>
      <w:r>
        <w:rPr>
          <w:rFonts w:eastAsia="Times New Roman"/>
          <w:vanish/>
        </w:rPr>
        <w:t>ebruary2023Membersrt:ParentCompanyMember2021-01-012021-12-310000895728enb:A426MediumTermNotesFebruary2021Membersrt:ParentCompanyMember2021-01-012021-12-310000895728enb:A316MediumTermNotesMarch2021Membersrt:ParentCompanyMember2021-01-012021-12-310000895728e</w:t>
      </w:r>
      <w:r>
        <w:rPr>
          <w:rFonts w:eastAsia="Times New Roman"/>
          <w:vanish/>
        </w:rPr>
        <w:t>nb:EnbridgeEnergyPartnersLpMemberenb:A420SeniorNotesJune2021Member2021-01-012021-12-310000895728enb:A276MediumTermNotesMay2021Memberenb:EnbridgeGasInc.Member2021-01-012021-12-310000895728enb:EnbridgeGasInc.Memberenb:A477MediumTermNotesDecember2021Member202</w:t>
      </w:r>
      <w:r>
        <w:rPr>
          <w:rFonts w:eastAsia="Times New Roman"/>
          <w:vanish/>
        </w:rPr>
        <w:t>1-01-012021-12-310000895728enb:EnbridgePipelinesSouthernLightsLLCMemberenb:A398SeniorNotesJuneAndDecember2021Member2021-01-012021-12-310000895728enb:A401SeniorNotesJuneAndDecember2021Memberenb:EnbridgeSouthernLightsLPMember2021-01-012021-12-310000895728enb</w:t>
      </w:r>
      <w:r>
        <w:rPr>
          <w:rFonts w:eastAsia="Times New Roman"/>
          <w:vanish/>
        </w:rPr>
        <w:t>:A460SeniorNotesMarch2021Memberenb:SpectraEnergyPartnersLPMember2021-01-012021-12-310000895728enb:WestcoastEnergyIncMemberenb:A388MediumTermNotesOctober2021Member2021-01-012021-12-310000895728enb:DebenturesAndTermNotesMember2021-01-012021-12-310000895728en</w:t>
      </w:r>
      <w:r>
        <w:rPr>
          <w:rFonts w:eastAsia="Times New Roman"/>
          <w:vanish/>
        </w:rPr>
        <w:t>b:DebenturesAndTermNotesMember2020-01-012020-12-310000895728enb:DebenturesAndTermNotesMember2019-01-012019-12-310000895728enb:CommercialPaperAndCreditFacilityDrawsMember2021-01-012021-12-310000895728enb:CommercialPaperAndCreditFacilityDrawsMember2020-01-01</w:t>
      </w:r>
      <w:r>
        <w:rPr>
          <w:rFonts w:eastAsia="Times New Roman"/>
          <w:vanish/>
        </w:rPr>
        <w:t>2020-12-310000895728enb:CommercialPaperAndCreditFacilityDrawsMember2019-01-012019-12-310000895728enb:SpectraEnergyCorpMember2021-01-012021-12-310000895728enb:SpectraEnergyCorpMember2020-01-012020-12-310000895728enb:SpectraEnergyCorpMember2019-01-012019-12-</w:t>
      </w:r>
      <w:r>
        <w:rPr>
          <w:rFonts w:eastAsia="Times New Roman"/>
          <w:vanish/>
        </w:rPr>
        <w:t>310000895728enb:A250SustainabilityLinkedSeniorNotesDueAugust2033Membersrt:ParentCompanyMember2021-06-300000895728enb:A340SeniorNotesDueAugust2051Membersrt:ParentCompanyMember2021-06-300000895728enb:A310SustainabilityLinkedMediumTermNotesDueSeptember2033Mem</w:t>
      </w:r>
      <w:r>
        <w:rPr>
          <w:rFonts w:eastAsia="Times New Roman"/>
          <w:vanish/>
        </w:rPr>
        <w:t>bersrt:ParentCompanyMember2021-09-300000895728enb:A410MediumTermNotesDueSeptember2051Membersrt:ParentCompanyMember2021-09-300000895728enb:A055SeniorTermNotesDueOctober2023Membersrt:ParentCompanyMember2021-10-310000895728srt:ParentCompanyMemberenb:A160Senio</w:t>
      </w:r>
      <w:r>
        <w:rPr>
          <w:rFonts w:eastAsia="Times New Roman"/>
          <w:vanish/>
        </w:rPr>
        <w:t>rTermNotesDueOctober2026Member2021-10-310000895728srt:ParentCompanyMemberenb:A340SeniorTermNotesDueAugust2051Member2021-10-310000895728enb:EnbridgeGasInc.Memberenb:A235MediumTermNotesDueSeptember2031Member2021-09-300000895728enb:A320MediumTermNotesDueSepte</w:t>
      </w:r>
      <w:r>
        <w:rPr>
          <w:rFonts w:eastAsia="Times New Roman"/>
          <w:vanish/>
        </w:rPr>
        <w:t>mber2051Memberenb:EnbridgeGasInc.Member2021-09-300000895728enb:EnbridgePipelinesIncMemberenb:A282MediumTermNotesDueMay2031Member2021-05-310000895728enb:A420MediumTermNotesDueMay2051Memberenb:EnbridgePipelinesIncMember2021-05-310000895728enb:SpectraEnergyPa</w:t>
      </w:r>
      <w:r>
        <w:rPr>
          <w:rFonts w:eastAsia="Times New Roman"/>
          <w:vanish/>
        </w:rPr>
        <w:t>rtnersLPMemberenb:A250SeniorNotesDueSeptember2031Member2021-09-300000895728us-gaap:RevolvingCreditFacilityMemberenb:SustainabilityLinkedCreditFacilityMember2021-02-102021-02-100000895728us-gaap:RevolvingCreditFacilityMemberenb:SustainabilityLinkedCreditFac</w:t>
      </w:r>
      <w:r>
        <w:rPr>
          <w:rFonts w:eastAsia="Times New Roman"/>
          <w:vanish/>
        </w:rPr>
        <w:t>ilityMember2021-02-100000895728enb:SyndicatedCreditFacilityMemberus-gaap:RevolvingCreditFacilityMember2021-02-102021-02-100000895728enb:FiveYearCreditFacilitiesMemberus-gaap:RevolvingCreditFacilityMember2021-07-230000895728enb:FiveYearCreditFacilitiesMembe</w:t>
      </w:r>
      <w:r>
        <w:rPr>
          <w:rFonts w:eastAsia="Times New Roman"/>
          <w:vanish/>
        </w:rPr>
        <w:t>rus-gaap:RevolvingCreditFacilityMember2021-07-222021-07-230000895728enb:A364DayExtendibleCreditFacilitiesMemberus-gaap:RevolvingCreditFacilityMember2021-07-230000895728enb:A364DayExtendibleCreditFacilitiesMemberus-gaap:RevolvingCreditFacilityMember2021-07-</w:t>
      </w:r>
      <w:r>
        <w:rPr>
          <w:rFonts w:eastAsia="Times New Roman"/>
          <w:vanish/>
        </w:rPr>
        <w:t>222021-07-230000895728us-gaap:SubsequentEventMemberus-gaap:RevolvingCreditFacilityMemberenb:SustainabilityLinkedCreditFacilityMember2022-02-102022-02-100000895728us-gaap:SubsequentEventMemberus-gaap:RevolvingCreditFacilityMemberenb:SustainabilityLinkedCred</w:t>
      </w:r>
      <w:r>
        <w:rPr>
          <w:rFonts w:eastAsia="Times New Roman"/>
          <w:vanish/>
        </w:rPr>
        <w:t>itFacilityMember2022-02-100000895728enb:TermLoanMember2021-02-25enb:loan0000895728enb:TermLoanMember2021-02-252021-02-250000895728us-gaap:SubsequentEventMemberenb:A10YearFixedToFixedSubordinatedNotesMemberus-gaap:SubordinatedDebtMember2022-01-190000895728u</w:t>
      </w:r>
      <w:r>
        <w:rPr>
          <w:rFonts w:eastAsia="Times New Roman"/>
          <w:vanish/>
        </w:rPr>
        <w:t>s-gaap:SubsequentEventMemberenb:A10YearFixedToFixedSubordinatedNotesMemberus-gaap:SubordinatedDebtMember2022-01-192022-01-190000895728enb:A426MediumTermNotesFebruary2021Membersrt:ParentCompanyMember2021-02-280000895728enb:A316MediumTermNotesMarch2021Member</w:t>
      </w:r>
      <w:r>
        <w:rPr>
          <w:rFonts w:eastAsia="Times New Roman"/>
          <w:vanish/>
        </w:rPr>
        <w:t>srt:ParentCompanyMember2021-03-310000895728enb:EnbridgeEnergyPartnersLpMemberenb:A420SeniorNotesJune2021Member2021-06-300000895728enb:A276MediumTermNotesMay2021Memberenb:EnbridgeGasInc.Member2021-05-310000895728enb:EnbridgeGasInc.Memberenb:A477MediumTermNo</w:t>
      </w:r>
      <w:r>
        <w:rPr>
          <w:rFonts w:eastAsia="Times New Roman"/>
          <w:vanish/>
        </w:rPr>
        <w:t>tesDecember2021Member2021-12-310000895728enb:EnbridgePipelinesSouthernLightsLLCMemberenb:A398SeniorNotesJuneAndDecember2021Member2021-06-300000895728enb:EnbridgePipelinesSouthernLightsLLCMemberenb:A398SeniorNotesJuneAndDecember2021Member2021-12-31000089572</w:t>
      </w:r>
      <w:r>
        <w:rPr>
          <w:rFonts w:eastAsia="Times New Roman"/>
          <w:vanish/>
        </w:rPr>
        <w:t>8enb:A401SeniorNotesJuneAndDecember2021Memberenb:EnbridgeSouthernLightsLPMember2021-12-310000895728enb:A401SeniorNotesJuneAndDecember2021Memberenb:EnbridgeSouthernLightsLPMember2021-06-300000895728enb:A460SeniorNotesMarch2021Memberenb:SpectraEnergyPartners</w:t>
      </w:r>
      <w:r>
        <w:rPr>
          <w:rFonts w:eastAsia="Times New Roman"/>
          <w:vanish/>
        </w:rPr>
        <w:t>LPMember2021-03-310000895728enb:WestcoastEnergyIncMemberenb:A388MediumTermNotesOctober2021Member2021-10-310000895728srt:MinimumMember2021-01-012021-12-310000895728srt:MaximumMember2021-01-012021-12-310000895728srt:MinimumMember2020-01-012020-12-31000089572</w:t>
      </w:r>
      <w:r>
        <w:rPr>
          <w:rFonts w:eastAsia="Times New Roman"/>
          <w:vanish/>
        </w:rPr>
        <w:t>8srt:MaximumMember2020-01-012020-12-310000895728enb:AlgonquinGasTransmissionLLCMember2021-12-310000895728enb:AlgonquinGasTransmissionLLCMember2020-12-310000895728enb:MaritimesandNortheastPipelineMember2021-12-310000895728enb:MaritimesandNortheastPipelineMe</w:t>
      </w:r>
      <w:r>
        <w:rPr>
          <w:rFonts w:eastAsia="Times New Roman"/>
          <w:vanish/>
        </w:rPr>
        <w:t>mber2020-12-310000895728enb:RenewableEnergyAssetsMember2021-12-310000895728enb:RenewableEnergyAssetsMember2020-12-310000895728enb:WestcoastEnergyIncMember2021-12-310000895728enb:WestcoastEnergyIncMember2020-12-310000895728enb:WestcoastEnergyIncMemberus-gaa</w:t>
      </w:r>
      <w:r>
        <w:rPr>
          <w:rFonts w:eastAsia="Times New Roman"/>
          <w:vanish/>
        </w:rPr>
        <w:t>p:PreferredStockMemberenb:CumulativeRedeemablePreferredStockMember2021-12-310000895728enb:WestcoastEnergyIncMemberus-gaap:PreferredStockMemberenb:CumulativeRedeemablePreferredStockMember2020-12-310000895728us-gaap:PreferredStockMemberenb:Series7PreferredSt</w:t>
      </w:r>
      <w:r>
        <w:rPr>
          <w:rFonts w:eastAsia="Times New Roman"/>
          <w:vanish/>
        </w:rPr>
        <w:t>ockMember2019-03-202019-03-200000895728us-gaap:PreferredStockMemberenb:Series8PreferredStockMember2019-03-202019-03-200000895728us-gaap:PreferredStockMemberenb:Series7PreferredStockMember2019-03-200000895728us-gaap:PreferredStockMemberenb:Series8PreferredS</w:t>
      </w:r>
      <w:r>
        <w:rPr>
          <w:rFonts w:eastAsia="Times New Roman"/>
          <w:vanish/>
        </w:rPr>
        <w:t>tockMember2019-03-2000008957282019-03-202019-03-200000895728us-gaap:PreferredStockMember2019-03-202019-03-200000895728enb:WestcoastEnergyIncMemberenb:Series10PreferredStockMemberus-gaap:PreferredStockMember2021-01-152021-01-150000895728enb:WestcoastEnergyI</w:t>
      </w:r>
      <w:r>
        <w:rPr>
          <w:rFonts w:eastAsia="Times New Roman"/>
          <w:vanish/>
        </w:rPr>
        <w:t>ncMemberenb:Series10PreferredStockMemberus-gaap:PreferredStockMember2021-01-150000895728enb:WestcoastEnergyIncMemberenb:Series10PreferredStockMemberus-gaap:PreferredStockMember2020-12-310000895728enb:WestcoastEnergyIncMemberus-gaap:PreferredStockMemberenb:</w:t>
      </w:r>
      <w:r>
        <w:rPr>
          <w:rFonts w:eastAsia="Times New Roman"/>
          <w:vanish/>
        </w:rPr>
        <w:t>Series12PreferredStockMember2021-10-152021-10-150000895728enb:WestcoastEnergyIncMemberus-gaap:PreferredStockMemberenb:Series12PreferredStockMember2021-10-150000895728enb:WestcoastEnergyIncMemberus-gaap:PreferredStockMemberenb:Series12PreferredStockMember20</w:t>
      </w:r>
      <w:r>
        <w:rPr>
          <w:rFonts w:eastAsia="Times New Roman"/>
          <w:vanish/>
        </w:rPr>
        <w:t>21-01-012021-12-310000895728us-gaap:PreferredStockMemberus-gaap:SeriesAPreferredStockMember2021-12-310000895728us-gaap:PreferredStockMemberus-gaap:SeriesAPreferredStockMember2020-12-310000895728us-gaap:PreferredStockMemberus-gaap:SeriesAPreferredStockMembe</w:t>
      </w:r>
      <w:r>
        <w:rPr>
          <w:rFonts w:eastAsia="Times New Roman"/>
          <w:vanish/>
        </w:rPr>
        <w:t>r2019-12-310000895728us-gaap:SeriesBPreferredStockMemberus-gaap:PreferredStockMember2021-12-310000895728us-gaap:SeriesBPreferredStockMemberus-gaap:PreferredStockMember2020-12-310000895728us-gaap:SeriesBPreferredStockMemberus-gaap:PreferredStockMember2019-1</w:t>
      </w:r>
      <w:r>
        <w:rPr>
          <w:rFonts w:eastAsia="Times New Roman"/>
          <w:vanish/>
        </w:rPr>
        <w:t>2-310000895728us-gaap:SeriesCPreferredStockMemberus-gaap:PreferredStockMember2021-12-310000895728us-gaap:SeriesCPreferredStockMemberus-gaap:PreferredStockMember2020-12-310000895728us-gaap:SeriesCPreferredStockMemberus-gaap:PreferredStockMember2019-12-31000</w:t>
      </w:r>
      <w:r>
        <w:rPr>
          <w:rFonts w:eastAsia="Times New Roman"/>
          <w:vanish/>
        </w:rPr>
        <w:t>0895728us-gaap:SeriesDPreferredStockMemberus-gaap:PreferredStockMember2021-12-310000895728us-gaap:SeriesDPreferredStockMemberus-gaap:PreferredStockMember2020-12-310000895728us-gaap:SeriesDPreferredStockMemberus-gaap:PreferredStockMember2019-12-310000895728</w:t>
      </w:r>
      <w:r>
        <w:rPr>
          <w:rFonts w:eastAsia="Times New Roman"/>
          <w:vanish/>
        </w:rPr>
        <w:t>us-gaap:SeriesFPreferredStockMemberus-gaap:PreferredStockMember2021-12-310000895728us-gaap:SeriesFPreferredStockMemberus-gaap:PreferredStockMember2020-12-310000895728us-gaap:SeriesFPreferredStockMemberus-gaap:PreferredStockMember2019-12-310000895728us-gaap</w:t>
      </w:r>
      <w:r>
        <w:rPr>
          <w:rFonts w:eastAsia="Times New Roman"/>
          <w:vanish/>
        </w:rPr>
        <w:t>:SeriesHPreferredStockMemberus-gaap:PreferredStockMember2021-12-310000895728us-gaap:SeriesHPreferredStockMemberus-gaap:PreferredStockMember2020-12-310000895728us-gaap:SeriesHPreferredStockMemberus-gaap:PreferredStockMember2019-12-310000895728enb:SeriesJPre</w:t>
      </w:r>
      <w:r>
        <w:rPr>
          <w:rFonts w:eastAsia="Times New Roman"/>
          <w:vanish/>
        </w:rPr>
        <w:t>ferredStockMemberus-gaap:PreferredStockMember2021-12-310000895728enb:SeriesJPreferredStockMemberus-gaap:PreferredStockMember2020-12-310000895728enb:SeriesJPreferredStockMemberus-gaap:PreferredStockMember2019-12-310000895728enb:SeriesLPreferredStockMemberus</w:t>
      </w:r>
      <w:r>
        <w:rPr>
          <w:rFonts w:eastAsia="Times New Roman"/>
          <w:vanish/>
        </w:rPr>
        <w:t>-gaap:PreferredStockMember2021-12-310000895728enb:SeriesLPreferredStockMemberus-gaap:PreferredStockMember2020-12-310000895728enb:SeriesLPreferredStockMemberus-gaap:PreferredStockMember2019-12-310000895728us-gaap:PreferredStockMemberenb:SeriesNPreferredStoc</w:t>
      </w:r>
      <w:r>
        <w:rPr>
          <w:rFonts w:eastAsia="Times New Roman"/>
          <w:vanish/>
        </w:rPr>
        <w:t>kMember2021-12-310000895728us-gaap:PreferredStockMemberenb:SeriesNPreferredStockMember2020-12-310000895728us-gaap:PreferredStockMemberenb:SeriesNPreferredStockMember2019-12-310000895728us-gaap:PreferredStockMemberenb:SeriesPPreferredStockMember2021-12-3100</w:t>
      </w:r>
      <w:r>
        <w:rPr>
          <w:rFonts w:eastAsia="Times New Roman"/>
          <w:vanish/>
        </w:rPr>
        <w:t>00895728us-gaap:PreferredStockMemberenb:SeriesPPreferredStockMember2020-12-310000895728us-gaap:PreferredStockMemberenb:SeriesPPreferredStockMember2019-12-310000895728us-gaap:PreferredStockMemberenb:SeriesRPreferredStockMember2021-12-310000895728us-gaap:Pre</w:t>
      </w:r>
      <w:r>
        <w:rPr>
          <w:rFonts w:eastAsia="Times New Roman"/>
          <w:vanish/>
        </w:rPr>
        <w:t>ferredStockMemberenb:SeriesRPreferredStockMember2020-12-310000895728us-gaap:PreferredStockMemberenb:SeriesRPreferredStockMember2019-12-310000895728us-gaap:PreferredStockMemberenb:Series1PreferredStockMember2021-12-310000895728us-gaap:PreferredStockMemberen</w:t>
      </w:r>
      <w:r>
        <w:rPr>
          <w:rFonts w:eastAsia="Times New Roman"/>
          <w:vanish/>
        </w:rPr>
        <w:t>b:Series1PreferredStockMember2020-12-310000895728us-gaap:PreferredStockMemberenb:Series1PreferredStockMember2019-12-310000895728enb:Series3PreferredStockMemberus-gaap:PreferredStockMember2021-12-310000895728enb:Series3PreferredStockMemberus-gaap:PreferredS</w:t>
      </w:r>
      <w:r>
        <w:rPr>
          <w:rFonts w:eastAsia="Times New Roman"/>
          <w:vanish/>
        </w:rPr>
        <w:t>tockMember2020-12-310000895728enb:Series3PreferredStockMemberus-gaap:PreferredStockMember2019-12-310000895728enb:Series5PreferredStockMemberus-gaap:PreferredStockMember2021-12-310000895728enb:Series5PreferredStockMemberus-gaap:PreferredStockMember2020-12-3</w:t>
      </w:r>
      <w:r>
        <w:rPr>
          <w:rFonts w:eastAsia="Times New Roman"/>
          <w:vanish/>
        </w:rPr>
        <w:t>10000895728enb:Series5PreferredStockMemberus-gaap:PreferredStockMember2019-12-310000895728us-gaap:PreferredStockMemberenb:Series7PreferredStockMember2021-12-310000895728us-gaap:PreferredStockMemberenb:Series7PreferredStockMember2020-12-310000895728us-gaap:</w:t>
      </w:r>
      <w:r>
        <w:rPr>
          <w:rFonts w:eastAsia="Times New Roman"/>
          <w:vanish/>
        </w:rPr>
        <w:t>PreferredStockMemberenb:Series7PreferredStockMember2019-12-310000895728enb:Series9PreferredStockMemberus-gaap:PreferredStockMember2021-12-310000895728enb:Series9PreferredStockMemberus-gaap:PreferredStockMember2020-12-310000895728enb:Series9PreferredStockMe</w:t>
      </w:r>
      <w:r>
        <w:rPr>
          <w:rFonts w:eastAsia="Times New Roman"/>
          <w:vanish/>
        </w:rPr>
        <w:t>mberus-gaap:PreferredStockMember2019-12-310000895728us-gaap:PreferredStockMemberenb:Series11PreferredStockMember2021-12-310000895728us-gaap:PreferredStockMemberenb:Series11PreferredStockMember2020-12-310000895728us-gaap:PreferredStockMemberenb:Series11Pref</w:t>
      </w:r>
      <w:r>
        <w:rPr>
          <w:rFonts w:eastAsia="Times New Roman"/>
          <w:vanish/>
        </w:rPr>
        <w:t>erredStockMember2019-12-310000895728enb:Series13PreferredStockMemberus-gaap:PreferredStockMember2021-12-310000895728enb:Series13PreferredStockMemberus-gaap:PreferredStockMember2020-12-310000895728enb:Series13PreferredStockMemberus-gaap:PreferredStockMember</w:t>
      </w:r>
      <w:r>
        <w:rPr>
          <w:rFonts w:eastAsia="Times New Roman"/>
          <w:vanish/>
        </w:rPr>
        <w:t>2019-12-310000895728enb:Series15PreferredStockMemberus-gaap:PreferredStockMember2021-12-310000895728enb:Series15PreferredStockMemberus-gaap:PreferredStockMember2020-12-310000895728enb:Series15PreferredStockMemberus-gaap:PreferredStockMember2019-12-31000089</w:t>
      </w:r>
      <w:r>
        <w:rPr>
          <w:rFonts w:eastAsia="Times New Roman"/>
          <w:vanish/>
        </w:rPr>
        <w:t>5728enb:Series17PreferredStockMemberus-gaap:PreferredStockMember2021-12-310000895728enb:Series17PreferredStockMemberus-gaap:PreferredStockMember2020-12-310000895728enb:Series17PreferredStockMemberus-gaap:PreferredStockMember2019-12-310000895728enb:Preferen</w:t>
      </w:r>
      <w:r>
        <w:rPr>
          <w:rFonts w:eastAsia="Times New Roman"/>
          <w:vanish/>
        </w:rPr>
        <w:t>ceSharesSeries19Memberus-gaap:PreferredStockMember2021-12-310000895728enb:PreferenceSharesSeries19Memberus-gaap:PreferredStockMember2020-12-310000895728enb:PreferenceSharesSeries19Memberus-gaap:PreferredStockMember2019-12-310000895728us-gaap:PreferredStock</w:t>
      </w:r>
      <w:r>
        <w:rPr>
          <w:rFonts w:eastAsia="Times New Roman"/>
          <w:vanish/>
        </w:rPr>
        <w:t>Member2021-01-012021-12-310000895728us-gaap:PreferredStockMember2020-01-012020-12-310000895728us-gaap:PreferredStockMember2019-01-012019-12-310000895728us-gaap:PreferredStockMember2021-12-310000895728us-gaap:PreferredStockMemberus-gaap:SeriesAPreferredStoc</w:t>
      </w:r>
      <w:r>
        <w:rPr>
          <w:rFonts w:eastAsia="Times New Roman"/>
          <w:vanish/>
        </w:rPr>
        <w:t>kMember2021-01-012021-12-310000895728us-gaap:SeriesBPreferredStockMemberus-gaap:PreferredStockMember2021-01-012021-12-310000895728us-gaap:SeriesCPreferredStockMemberus-gaap:PreferredStockMember2021-01-012021-12-310000895728us-gaap:SeriesDPreferredStockMemb</w:t>
      </w:r>
      <w:r>
        <w:rPr>
          <w:rFonts w:eastAsia="Times New Roman"/>
          <w:vanish/>
        </w:rPr>
        <w:t>erus-gaap:PreferredStockMember2021-01-012021-12-310000895728us-gaap:SeriesFPreferredStockMemberus-gaap:PreferredStockMember2021-01-012021-12-310000895728us-gaap:SeriesHPreferredStockMemberus-gaap:PreferredStockMember2021-01-012021-12-310000895728enb:Series</w:t>
      </w:r>
      <w:r>
        <w:rPr>
          <w:rFonts w:eastAsia="Times New Roman"/>
          <w:vanish/>
        </w:rPr>
        <w:t>JPreferredStockMemberus-gaap:PreferredStockMember2021-01-012021-12-31iso4217:USDxbrli:shares0000895728enb:SeriesLPreferredStockMemberus-gaap:PreferredStockMember2021-01-012021-12-310000895728us-gaap:PreferredStockMemberenb:SeriesNPreferredStockMember2021-0</w:t>
      </w:r>
      <w:r>
        <w:rPr>
          <w:rFonts w:eastAsia="Times New Roman"/>
          <w:vanish/>
        </w:rPr>
        <w:t>1-012021-12-310000895728us-gaap:PreferredStockMemberenb:SeriesPPreferredStockMember2021-01-012021-12-310000895728us-gaap:PreferredStockMemberenb:SeriesRPreferredStockMember2021-01-012021-12-310000895728us-gaap:PreferredStockMemberenb:Series1PreferredStockM</w:t>
      </w:r>
      <w:r>
        <w:rPr>
          <w:rFonts w:eastAsia="Times New Roman"/>
          <w:vanish/>
        </w:rPr>
        <w:t>ember2021-01-012021-12-310000895728enb:Series3PreferredStockMemberus-gaap:PreferredStockMember2021-01-012021-12-310000895728enb:Series5PreferredStockMemberus-gaap:PreferredStockMember2021-01-012021-12-310000895728us-gaap:PreferredStockMemberenb:Series7Pref</w:t>
      </w:r>
      <w:r>
        <w:rPr>
          <w:rFonts w:eastAsia="Times New Roman"/>
          <w:vanish/>
        </w:rPr>
        <w:t>erredStockMember2021-01-012021-12-310000895728enb:Series9PreferredStockMemberus-gaap:PreferredStockMember2021-01-012021-12-310000895728us-gaap:PreferredStockMemberenb:Series11PreferredStockMember2021-01-012021-12-310000895728enb:Series13PreferredStockMembe</w:t>
      </w:r>
      <w:r>
        <w:rPr>
          <w:rFonts w:eastAsia="Times New Roman"/>
          <w:vanish/>
        </w:rPr>
        <w:t>rus-gaap:PreferredStockMember2021-01-012021-12-310000895728enb:Series15PreferredStockMemberus-gaap:PreferredStockMember2021-01-012021-12-310000895728enb:Series17PreferredStockMemberus-gaap:PreferredStockMember2021-01-012021-12-310000895728enb:PreferenceSha</w:t>
      </w:r>
      <w:r>
        <w:rPr>
          <w:rFonts w:eastAsia="Times New Roman"/>
          <w:vanish/>
        </w:rPr>
        <w:t>resSeries19Memberus-gaap:PreferredStockMember2021-01-012021-12-310000895728us-gaap:PreferredStockMemberenb:PreferredStockExcludingSeriesMember2021-01-012021-12-310000895728us-gaap:PreferredStockMemberus-gaap:SeriesEPreferredStockMember2021-01-012021-12-310</w:t>
      </w:r>
      <w:r>
        <w:rPr>
          <w:rFonts w:eastAsia="Times New Roman"/>
          <w:vanish/>
        </w:rPr>
        <w:t>000895728us-gaap:PreferredStockMemberus-gaap:SeriesGPreferredStockMember2021-01-012021-12-310000895728us-gaap:PreferredStockMemberenb:SeriesIPreferredStockMember2021-01-012021-12-310000895728enb:SeriesOPreferredStockMemberus-gaap:PreferredStockMember2021-0</w:t>
      </w:r>
      <w:r>
        <w:rPr>
          <w:rFonts w:eastAsia="Times New Roman"/>
          <w:vanish/>
        </w:rPr>
        <w:t>1-012021-12-310000895728enb:SeriesQPreferredStockMemberus-gaap:PreferredStockMember2021-01-012021-12-310000895728us-gaap:PreferredStockMemberenb:SeriesSPreferredStockMember2021-01-012021-12-310000895728us-gaap:PreferredStockMemberenb:Series4PreferredStockM</w:t>
      </w:r>
      <w:r>
        <w:rPr>
          <w:rFonts w:eastAsia="Times New Roman"/>
          <w:vanish/>
        </w:rPr>
        <w:t>ember2021-01-012021-12-310000895728us-gaap:PreferredStockMemberenb:Series8PreferredStockMember2021-01-012021-12-310000895728enb:Series10PreferredStockMemberus-gaap:PreferredStockMember2021-01-012021-12-310000895728us-gaap:PreferredStockMemberenb:Series12Pr</w:t>
      </w:r>
      <w:r>
        <w:rPr>
          <w:rFonts w:eastAsia="Times New Roman"/>
          <w:vanish/>
        </w:rPr>
        <w:t>eferredStockMember2021-01-012021-12-310000895728enb:Series14PreferredStockMemberus-gaap:PreferredStockMember2021-01-012021-12-310000895728us-gaap:PreferredStockMemberenb:Series16PreferredStockMember2021-01-012021-12-310000895728us-gaap:PreferredStockMember</w:t>
      </w:r>
      <w:r>
        <w:rPr>
          <w:rFonts w:eastAsia="Times New Roman"/>
          <w:vanish/>
        </w:rPr>
        <w:t>enb:Series18PreferredStockMember2021-01-012021-12-310000895728us-gaap:PreferredStockMemberenb:Series20PreferredStockMember2021-01-012021-12-310000895728us-gaap:PreferredStockMemberenb:SeriesKPreferredStockMember2021-01-012021-12-310000895728enb:SeriesMPref</w:t>
      </w:r>
      <w:r>
        <w:rPr>
          <w:rFonts w:eastAsia="Times New Roman"/>
          <w:vanish/>
        </w:rPr>
        <w:t>erredStockMemberus-gaap:PreferredStockMember2021-01-012021-12-310000895728enb:Series2PreferredStockMemberus-gaap:PreferredStockMember2021-01-012021-12-310000895728us-gaap:PreferredStockMemberenb:Series6PreferredStockMember2021-01-012021-12-310000895728us-g</w:t>
      </w:r>
      <w:r>
        <w:rPr>
          <w:rFonts w:eastAsia="Times New Roman"/>
          <w:vanish/>
        </w:rPr>
        <w:t>aap:SeriesCPreferredStockMember2021-03-012021-03-010000895728us-gaap:SeriesCPreferredStockMember2021-02-282021-02-280000895728us-gaap:SeriesCPreferredStockMember2021-06-012021-06-010000895728us-gaap:SeriesCPreferredStockMember2021-09-012021-09-010000895728</w:t>
      </w:r>
      <w:r>
        <w:rPr>
          <w:rFonts w:eastAsia="Times New Roman"/>
          <w:vanish/>
        </w:rPr>
        <w:t>us-gaap:SeriesCPreferredStockMember2021-12-012021-12-010000895728us-gaap:SeriesCPreferredStockMemberus-gaap:UsTreasuryUstInterestRateMemberus-gaap:PreferredStockMember2021-12-31enb:compensationPlan0000895728enb:IncentiveStockOptionsMember2021-01-012021-12-</w:t>
      </w:r>
      <w:r>
        <w:rPr>
          <w:rFonts w:eastAsia="Times New Roman"/>
          <w:vanish/>
        </w:rPr>
        <w:t>310000895728enb:IncentiveStockOptionsMember2020-12-310000895728enb:IncentiveStockOptionsMember2021-12-310000895728enb:IncentiveStockOptionsMember2020-01-012020-12-310000895728enb:IncentiveStockOptionsMember2019-01-012019-12-310000895728enb:IncentiveStockOp</w:t>
      </w:r>
      <w:r>
        <w:rPr>
          <w:rFonts w:eastAsia="Times New Roman"/>
          <w:vanish/>
        </w:rPr>
        <w:t>tionsMember2019-12-310000895728enb:CanadianEmployeesMemberenb:IncentiveStockOptionsMember2021-12-310000895728enb:CanadianEmployeesMemberenb:IncentiveStockOptionsMember2020-12-310000895728enb:CanadianEmployeesMemberenb:IncentiveStockOptionsMember2019-12-310</w:t>
      </w:r>
      <w:r>
        <w:rPr>
          <w:rFonts w:eastAsia="Times New Roman"/>
          <w:vanish/>
        </w:rPr>
        <w:t>000895728enb:UnitedStatesEmployeesMemberenb:IncentiveStockOptionsMember2021-12-310000895728enb:UnitedStatesEmployeesMemberenb:IncentiveStockOptionsMember2020-12-310000895728enb:UnitedStatesEmployeesMemberenb:IncentiveStockOptionsMember2019-12-310000895728e</w:t>
      </w:r>
      <w:r>
        <w:rPr>
          <w:rFonts w:eastAsia="Times New Roman"/>
          <w:vanish/>
        </w:rPr>
        <w:t>nb:RetirementEligibleEmployeesMemberenb:IncentiveStockOptionsMember2021-01-012021-12-310000895728srt:MinimumMemberus-gaap:PerformanceSharesMember2021-12-310000895728srt:MaximumMemberus-gaap:PerformanceSharesMember2021-12-310000895728us-gaap:PerformanceShar</w:t>
      </w:r>
      <w:r>
        <w:rPr>
          <w:rFonts w:eastAsia="Times New Roman"/>
          <w:vanish/>
        </w:rPr>
        <w:t>esMember2021-12-310000895728us-gaap:PerformanceSharesMember2020-12-310000895728us-gaap:PerformanceSharesMember2019-12-310000895728us-gaap:PerformanceSharesMember2020-01-012020-12-310000895728us-gaap:PerformanceSharesMember2019-01-012019-12-310000895728us-g</w:t>
      </w:r>
      <w:r>
        <w:rPr>
          <w:rFonts w:eastAsia="Times New Roman"/>
          <w:vanish/>
        </w:rPr>
        <w:t>aap:RestrictedStockUnitsRSUMember2021-01-012021-12-310000895728us-gaap:RestrictedStockUnitsRSUMember2020-12-310000895728us-gaap:RestrictedStockUnitsRSUMember2021-12-310000895728us-gaap:RestrictedStockUnitsRSUMember2020-01-012020-12-310000895728us-gaap:Rest</w:t>
      </w:r>
      <w:r>
        <w:rPr>
          <w:rFonts w:eastAsia="Times New Roman"/>
          <w:vanish/>
        </w:rPr>
        <w:t>rictedStockUnitsRSUMember2019-01-012019-12-310000895728us-gaap:AccumulatedGainLossCashFlowHedgeIncludingNoncontrollingInterestMember2020-12-310000895728us-gaap:AccumulatedOtherComprehensiveIncomeLossDerivativeQualifyingAsHedgeExcludedComponentIncludingPort</w:t>
      </w:r>
      <w:r>
        <w:rPr>
          <w:rFonts w:eastAsia="Times New Roman"/>
          <w:vanish/>
        </w:rPr>
        <w:t>ionAttributableToNoncontrollingInterestMember2020-12-310000895728enb:AccumulatedNetGainLossNetInvestmentHedgeIncludingNoncontollingInterestMemberMember2020-12-310000895728us-gaap:AccumulatedForeignCurrencyAdjustmentIncludingPortionAttributableToNoncontroll</w:t>
      </w:r>
      <w:r>
        <w:rPr>
          <w:rFonts w:eastAsia="Times New Roman"/>
          <w:vanish/>
        </w:rPr>
        <w:t>ingInterestMember2020-12-310000895728us-gaap:AccumulatedNetInvestmentGainLossIncludingPortionAttributableToNoncontrollingInterestMember2020-12-310000895728us-gaap:AccumulatedDefinedBenefitPlansAdjustmentIncludingPortionAttributableToNoncontrollingInterestM</w:t>
      </w:r>
      <w:r>
        <w:rPr>
          <w:rFonts w:eastAsia="Times New Roman"/>
          <w:vanish/>
        </w:rPr>
        <w:t>ember2020-12-310000895728us-gaap:AociIncludingPortionAttributableToNoncontrollingInterestMember2020-12-310000895728us-gaap:AccumulatedGainLossCashFlowHedgeIncludingNoncontrollingInterestMember2021-01-012021-12-310000895728us-gaap:AccumulatedOtherComprehens</w:t>
      </w:r>
      <w:r>
        <w:rPr>
          <w:rFonts w:eastAsia="Times New Roman"/>
          <w:vanish/>
        </w:rPr>
        <w:t>iveIncomeLossDerivativeQualifyingAsHedgeExcludedComponentIncludingPortionAttributableToNoncontrollingInterestMember2021-01-012021-12-310000895728enb:AccumulatedNetGainLossNetInvestmentHedgeIncludingNoncontollingInterestMemberMember2021-01-012021-12-3100008</w:t>
      </w:r>
      <w:r>
        <w:rPr>
          <w:rFonts w:eastAsia="Times New Roman"/>
          <w:vanish/>
        </w:rPr>
        <w:t>95728us-gaap:AccumulatedForeignCurrencyAdjustmentIncludingPortionAttributableToNoncontrollingInterestMember2021-01-012021-12-310000895728us-gaap:AccumulatedNetInvestmentGainLossIncludingPortionAttributableToNoncontrollingInterestMember2021-01-012021-12-310</w:t>
      </w:r>
      <w:r>
        <w:rPr>
          <w:rFonts w:eastAsia="Times New Roman"/>
          <w:vanish/>
        </w:rPr>
        <w:t>000895728us-gaap:AccumulatedDefinedBenefitPlansAdjustmentIncludingPortionAttributableToNoncontrollingInterestMember2021-01-012021-12-310000895728us-gaap:InterestRateContractMemberus-gaap:AccumulatedGainLossCashFlowHedgeIncludingNoncontrollingInterestMember</w:t>
      </w:r>
      <w:r>
        <w:rPr>
          <w:rFonts w:eastAsia="Times New Roman"/>
          <w:vanish/>
        </w:rPr>
        <w:t>2021-01-012021-12-310000895728us-gaap:InterestRateContractMember2021-01-012021-12-310000895728us-gaap:AccumulatedGainLossCashFlowHedgeIncludingNoncontrollingInterestMemberus-gaap:CommodityContractMember2021-01-012021-12-310000895728us-gaap:CommodityContrac</w:t>
      </w:r>
      <w:r>
        <w:rPr>
          <w:rFonts w:eastAsia="Times New Roman"/>
          <w:vanish/>
        </w:rPr>
        <w:t>tMember2021-01-012021-12-310000895728us-gaap:AccumulatedGainLossCashFlowHedgeIncludingNoncontrollingInterestMemberus-gaap:ForeignExchangeContractMember2021-01-012021-12-310000895728us-gaap:ForeignExchangeContractMember2021-01-012021-12-310000895728us-gaap:</w:t>
      </w:r>
      <w:r>
        <w:rPr>
          <w:rFonts w:eastAsia="Times New Roman"/>
          <w:vanish/>
        </w:rPr>
        <w:t>OtherContractMemberus-gaap:AccumulatedGainLossCashFlowHedgeIncludingNoncontrollingInterestMember2021-01-012021-12-310000895728us-gaap:OtherContractMember2021-01-012021-12-310000895728enb:EquityInvestmentDisposalMember2021-01-012021-12-310000895728us-gaap:A</w:t>
      </w:r>
      <w:r>
        <w:rPr>
          <w:rFonts w:eastAsia="Times New Roman"/>
          <w:vanish/>
        </w:rPr>
        <w:t>ccumulatedGainLossCashFlowHedgeIncludingNoncontrollingInterestMember2021-12-310000895728us-gaap:AccumulatedOtherComprehensiveIncomeLossDerivativeQualifyingAsHedgeExcludedComponentIncludingPortionAttributableToNoncontrollingInterestMember2021-12-31000089572</w:t>
      </w:r>
      <w:r>
        <w:rPr>
          <w:rFonts w:eastAsia="Times New Roman"/>
          <w:vanish/>
        </w:rPr>
        <w:t>8enb:AccumulatedNetGainLossNetInvestmentHedgeIncludingNoncontollingInterestMemberMember2021-12-310000895728us-gaap:AccumulatedForeignCurrencyAdjustmentIncludingPortionAttributableToNoncontrollingInterestMember2021-12-310000895728us-gaap:AccumulatedNetInves</w:t>
      </w:r>
      <w:r>
        <w:rPr>
          <w:rFonts w:eastAsia="Times New Roman"/>
          <w:vanish/>
        </w:rPr>
        <w:t>tmentGainLossIncludingPortionAttributableToNoncontrollingInterestMember2021-12-310000895728us-gaap:AccumulatedDefinedBenefitPlansAdjustmentIncludingPortionAttributableToNoncontrollingInterestMember2021-12-310000895728us-gaap:AociIncludingPortionAttributabl</w:t>
      </w:r>
      <w:r>
        <w:rPr>
          <w:rFonts w:eastAsia="Times New Roman"/>
          <w:vanish/>
        </w:rPr>
        <w:t>eToNoncontrollingInterestMember2021-12-310000895728us-gaap:AccumulatedGainLossCashFlowHedgeIncludingNoncontrollingInterestMember2019-12-310000895728us-gaap:AccumulatedOtherComprehensiveIncomeLossDerivativeQualifyingAsHedgeExcludedComponentIncludingPortionA</w:t>
      </w:r>
      <w:r>
        <w:rPr>
          <w:rFonts w:eastAsia="Times New Roman"/>
          <w:vanish/>
        </w:rPr>
        <w:t>ttributableToNoncontrollingInterestMember2019-12-310000895728enb:AccumulatedNetGainLossNetInvestmentHedgeIncludingNoncontollingInterestMemberMember2019-12-310000895728us-gaap:AccumulatedForeignCurrencyAdjustmentIncludingPortionAttributableToNoncontrollingI</w:t>
      </w:r>
      <w:r>
        <w:rPr>
          <w:rFonts w:eastAsia="Times New Roman"/>
          <w:vanish/>
        </w:rPr>
        <w:t>nterestMember2019-12-310000895728us-gaap:AccumulatedNetInvestmentGainLossIncludingPortionAttributableToNoncontrollingInterestMember2019-12-310000895728us-gaap:AccumulatedDefinedBenefitPlansAdjustmentIncludingPortionAttributableToNoncontrollingInterestMembe</w:t>
      </w:r>
      <w:r>
        <w:rPr>
          <w:rFonts w:eastAsia="Times New Roman"/>
          <w:vanish/>
        </w:rPr>
        <w:t>r2019-12-310000895728us-gaap:AociIncludingPortionAttributableToNoncontrollingInterestMember2019-12-310000895728us-gaap:AccumulatedGainLossCashFlowHedgeIncludingNoncontrollingInterestMember2020-01-012020-12-310000895728us-gaap:AccumulatedOtherComprehensiveI</w:t>
      </w:r>
      <w:r>
        <w:rPr>
          <w:rFonts w:eastAsia="Times New Roman"/>
          <w:vanish/>
        </w:rPr>
        <w:t>ncomeLossDerivativeQualifyingAsHedgeExcludedComponentIncludingPortionAttributableToNoncontrollingInterestMember2020-01-012020-12-310000895728enb:AccumulatedNetGainLossNetInvestmentHedgeIncludingNoncontollingInterestMemberMember2020-01-012020-12-31000089572</w:t>
      </w:r>
      <w:r>
        <w:rPr>
          <w:rFonts w:eastAsia="Times New Roman"/>
          <w:vanish/>
        </w:rPr>
        <w:t>8us-gaap:AccumulatedForeignCurrencyAdjustmentIncludingPortionAttributableToNoncontrollingInterestMember2020-01-012020-12-310000895728us-gaap:AccumulatedNetInvestmentGainLossIncludingPortionAttributableToNoncontrollingInterestMember2020-01-012020-12-3100008</w:t>
      </w:r>
      <w:r>
        <w:rPr>
          <w:rFonts w:eastAsia="Times New Roman"/>
          <w:vanish/>
        </w:rPr>
        <w:t>95728us-gaap:AccumulatedDefinedBenefitPlansAdjustmentIncludingPortionAttributableToNoncontrollingInterestMember2020-01-012020-12-310000895728us-gaap:InterestRateContractMemberus-gaap:AccumulatedGainLossCashFlowHedgeIncludingNoncontrollingInterestMember2020</w:t>
      </w:r>
      <w:r>
        <w:rPr>
          <w:rFonts w:eastAsia="Times New Roman"/>
          <w:vanish/>
        </w:rPr>
        <w:t>-01-012020-12-310000895728us-gaap:InterestRateContractMember2020-01-012020-12-310000895728us-gaap:AccumulatedGainLossCashFlowHedgeIncludingNoncontrollingInterestMemberus-gaap:ForeignExchangeContractMember2020-01-012020-12-310000895728us-gaap:ForeignExchang</w:t>
      </w:r>
      <w:r>
        <w:rPr>
          <w:rFonts w:eastAsia="Times New Roman"/>
          <w:vanish/>
        </w:rPr>
        <w:t>eContractMember2020-01-012020-12-310000895728us-gaap:OtherContractMemberus-gaap:AccumulatedGainLossCashFlowHedgeIncludingNoncontrollingInterestMember2020-01-012020-12-310000895728us-gaap:OtherContractMember2020-01-012020-12-310000895728us-gaap:AccumulatedG</w:t>
      </w:r>
      <w:r>
        <w:rPr>
          <w:rFonts w:eastAsia="Times New Roman"/>
          <w:vanish/>
        </w:rPr>
        <w:t>ainLossCashFlowHedgeIncludingNoncontrollingInterestMember2018-12-310000895728enb:AccumulatedNetGainLossNetInvestmentHedgeIncludingNoncontollingInterestMemberMember2018-12-310000895728us-gaap:AccumulatedForeignCurrencyAdjustmentIncludingPortionAttributableT</w:t>
      </w:r>
      <w:r>
        <w:rPr>
          <w:rFonts w:eastAsia="Times New Roman"/>
          <w:vanish/>
        </w:rPr>
        <w:t>oNoncontrollingInterestMember2018-12-310000895728us-gaap:AccumulatedNetInvestmentGainLossIncludingPortionAttributableToNoncontrollingInterestMember2018-12-310000895728us-gaap:AccumulatedDefinedBenefitPlansAdjustmentIncludingPortionAttributableToNoncontroll</w:t>
      </w:r>
      <w:r>
        <w:rPr>
          <w:rFonts w:eastAsia="Times New Roman"/>
          <w:vanish/>
        </w:rPr>
        <w:t>ingInterestMember2018-12-310000895728us-gaap:AociIncludingPortionAttributableToNoncontrollingInterestMember2018-12-310000895728us-gaap:AccumulatedGainLossCashFlowHedgeIncludingNoncontrollingInterestMember2019-01-012019-12-310000895728enb:AccumulatedNetGain</w:t>
      </w:r>
      <w:r>
        <w:rPr>
          <w:rFonts w:eastAsia="Times New Roman"/>
          <w:vanish/>
        </w:rPr>
        <w:t>LossNetInvestmentHedgeIncludingNoncontollingInterestMemberMember2019-01-012019-12-310000895728us-gaap:AccumulatedForeignCurrencyAdjustmentIncludingPortionAttributableToNoncontrollingInterestMember2019-01-012019-12-310000895728us-gaap:AccumulatedNetInvestme</w:t>
      </w:r>
      <w:r>
        <w:rPr>
          <w:rFonts w:eastAsia="Times New Roman"/>
          <w:vanish/>
        </w:rPr>
        <w:t>ntGainLossIncludingPortionAttributableToNoncontrollingInterestMember2019-01-012019-12-310000895728us-gaap:AccumulatedDefinedBenefitPlansAdjustmentIncludingPortionAttributableToNoncontrollingInterestMember2019-01-012019-12-310000895728us-gaap:InterestRateCo</w:t>
      </w:r>
      <w:r>
        <w:rPr>
          <w:rFonts w:eastAsia="Times New Roman"/>
          <w:vanish/>
        </w:rPr>
        <w:t>ntractMemberus-gaap:AccumulatedGainLossCashFlowHedgeIncludingNoncontrollingInterestMember2019-01-012019-12-310000895728us-gaap:InterestRateContractMember2019-01-012019-12-310000895728us-gaap:AccumulatedGainLossCashFlowHedgeIncludingNoncontrollingInterestMe</w:t>
      </w:r>
      <w:r>
        <w:rPr>
          <w:rFonts w:eastAsia="Times New Roman"/>
          <w:vanish/>
        </w:rPr>
        <w:t>mberus-gaap:CommodityContractMember2019-01-012019-12-310000895728us-gaap:CommodityContractMember2019-01-012019-12-310000895728us-gaap:AccumulatedGainLossCashFlowHedgeIncludingNoncontrollingInterestMemberus-gaap:ForeignExchangeContractMember2019-01-012019-1</w:t>
      </w:r>
      <w:r>
        <w:rPr>
          <w:rFonts w:eastAsia="Times New Roman"/>
          <w:vanish/>
        </w:rPr>
        <w:t>2-310000895728us-gaap:ForeignExchangeContractMember2019-01-012019-12-310000895728us-gaap:OtherContractMemberus-gaap:AccumulatedGainLossCashFlowHedgeIncludingNoncontrollingInterestMember2019-01-012019-12-310000895728us-gaap:OtherContractMember2019-01-012019</w:t>
      </w:r>
      <w:r>
        <w:rPr>
          <w:rFonts w:eastAsia="Times New Roman"/>
          <w:vanish/>
        </w:rPr>
        <w:t>-12-310000895728enb:AccountsReceivableAndOtherMemberus-gaap:DesignatedAsHedgingInstrumentMemberus-gaap:CashFlowHedgingMemberus-gaap:ForeignExchangeContractMember2021-12-310000895728enb:AccountsReceivableAndOtherMemberus-gaap:DesignatedAsHedgingInstrumentMe</w:t>
      </w:r>
      <w:r>
        <w:rPr>
          <w:rFonts w:eastAsia="Times New Roman"/>
          <w:vanish/>
        </w:rPr>
        <w:t>mberus-gaap:NetInvestmentHedgingMemberus-gaap:ForeignExchangeContractMember2021-12-310000895728enb:AccountsReceivableAndOtherMemberus-gaap:DesignatedAsHedgingInstrumentMemberus-gaap:FairValueHedgingMemberus-gaap:ForeignExchangeContractMember2021-12-3100008</w:t>
      </w:r>
      <w:r>
        <w:rPr>
          <w:rFonts w:eastAsia="Times New Roman"/>
          <w:vanish/>
        </w:rPr>
        <w:t>95728us-gaap:NondesignatedMemberenb:AccountsReceivableAndOtherMemberus-gaap:ForeignExchangeContractMember2021-12-310000895728enb:AccountsReceivableAndOtherMemberus-gaap:ForeignExchangeContractMember2021-12-310000895728us-gaap:InterestRateContractMemberenb:</w:t>
      </w:r>
      <w:r>
        <w:rPr>
          <w:rFonts w:eastAsia="Times New Roman"/>
          <w:vanish/>
        </w:rPr>
        <w:t>AccountsReceivableAndOtherMemberus-gaap:DesignatedAsHedgingInstrumentMemberus-gaap:CashFlowHedgingMember2021-12-310000895728us-gaap:InterestRateContractMemberenb:AccountsReceivableAndOtherMemberus-gaap:DesignatedAsHedgingInstrumentMemberus-gaap:NetInvestme</w:t>
      </w:r>
      <w:r>
        <w:rPr>
          <w:rFonts w:eastAsia="Times New Roman"/>
          <w:vanish/>
        </w:rPr>
        <w:t>ntHedgingMember2021-12-310000895728us-gaap:InterestRateContractMemberenb:AccountsReceivableAndOtherMemberus-gaap:DesignatedAsHedgingInstrumentMemberus-gaap:FairValueHedgingMember2021-12-310000895728us-gaap:InterestRateContractMemberus-gaap:NondesignatedMem</w:t>
      </w:r>
      <w:r>
        <w:rPr>
          <w:rFonts w:eastAsia="Times New Roman"/>
          <w:vanish/>
        </w:rPr>
        <w:t>berenb:AccountsReceivableAndOtherMember2021-12-310000895728us-gaap:InterestRateContractMemberenb:AccountsReceivableAndOtherMember2021-12-310000895728enb:AccountsReceivableAndOtherMemberus-gaap:DesignatedAsHedgingInstrumentMemberus-gaap:CommodityContractMem</w:t>
      </w:r>
      <w:r>
        <w:rPr>
          <w:rFonts w:eastAsia="Times New Roman"/>
          <w:vanish/>
        </w:rPr>
        <w:t>berus-gaap:CashFlowHedgingMember2021-12-310000895728enb:AccountsReceivableAndOtherMemberus-gaap:DesignatedAsHedgingInstrumentMemberus-gaap:NetInvestmentHedgingMemberus-gaap:CommodityContractMember2021-12-310000895728enb:AccountsReceivableAndOtherMemberus-g</w:t>
      </w:r>
      <w:r>
        <w:rPr>
          <w:rFonts w:eastAsia="Times New Roman"/>
          <w:vanish/>
        </w:rPr>
        <w:t>aap:DesignatedAsHedgingInstrumentMemberus-gaap:FairValueHedgingMemberus-gaap:CommodityContractMember2021-12-310000895728us-gaap:NondesignatedMemberenb:AccountsReceivableAndOtherMemberus-gaap:CommodityContractMember2021-12-310000895728enb:AccountsReceivable</w:t>
      </w:r>
      <w:r>
        <w:rPr>
          <w:rFonts w:eastAsia="Times New Roman"/>
          <w:vanish/>
        </w:rPr>
        <w:t>AndOtherMemberus-gaap:CommodityContractMember2021-12-310000895728us-gaap:OtherContractMemberenb:AccountsReceivableAndOtherMemberus-gaap:DesignatedAsHedgingInstrumentMemberus-gaap:CashFlowHedgingMember2021-12-310000895728us-gaap:OtherContractMemberenb:Accou</w:t>
      </w:r>
      <w:r>
        <w:rPr>
          <w:rFonts w:eastAsia="Times New Roman"/>
          <w:vanish/>
        </w:rPr>
        <w:t>ntsReceivableAndOtherMemberus-gaap:DesignatedAsHedgingInstrumentMemberus-gaap:NetInvestmentHedgingMember2021-12-310000895728us-gaap:OtherContractMemberenb:AccountsReceivableAndOtherMemberus-gaap:DesignatedAsHedgingInstrumentMemberus-gaap:FairValueHedgingMe</w:t>
      </w:r>
      <w:r>
        <w:rPr>
          <w:rFonts w:eastAsia="Times New Roman"/>
          <w:vanish/>
        </w:rPr>
        <w:t>mber2021-12-310000895728us-gaap:OtherContractMemberus-gaap:NondesignatedMemberenb:AccountsReceivableAndOtherMember2021-12-310000895728us-gaap:OtherContractMemberenb:AccountsReceivableAndOtherMember2021-12-310000895728enb:AccountsReceivableAndOtherMemberus-</w:t>
      </w:r>
      <w:r>
        <w:rPr>
          <w:rFonts w:eastAsia="Times New Roman"/>
          <w:vanish/>
        </w:rPr>
        <w:t>gaap:DesignatedAsHedgingInstrumentMemberus-gaap:CashFlowHedgingMember2021-12-310000895728enb:AccountsReceivableAndOtherMemberus-gaap:DesignatedAsHedgingInstrumentMemberus-gaap:NetInvestmentHedgingMember2021-12-310000895728enb:AccountsReceivableAndOtherMemb</w:t>
      </w:r>
      <w:r>
        <w:rPr>
          <w:rFonts w:eastAsia="Times New Roman"/>
          <w:vanish/>
        </w:rPr>
        <w:t>erus-gaap:DesignatedAsHedgingInstrumentMemberus-gaap:FairValueHedgingMember2021-12-310000895728us-gaap:NondesignatedMemberenb:AccountsReceivableAndOtherMember2021-12-310000895728enb:AccountsReceivableAndOtherMember2021-12-310000895728enb:DeferredAmountsAnd</w:t>
      </w:r>
      <w:r>
        <w:rPr>
          <w:rFonts w:eastAsia="Times New Roman"/>
          <w:vanish/>
        </w:rPr>
        <w:t>OtherMemberus-gaap:DesignatedAsHedgingInstrumentMemberus-gaap:CashFlowHedgingMemberus-gaap:ForeignExchangeContractMember2021-12-310000895728enb:DeferredAmountsAndOtherMemberus-gaap:DesignatedAsHedgingInstrumentMemberus-gaap:NetInvestmentHedgingMemberus-gaa</w:t>
      </w:r>
      <w:r>
        <w:rPr>
          <w:rFonts w:eastAsia="Times New Roman"/>
          <w:vanish/>
        </w:rPr>
        <w:t>p:ForeignExchangeContractMember2021-12-310000895728enb:DeferredAmountsAndOtherMemberus-gaap:DesignatedAsHedgingInstrumentMemberus-gaap:FairValueHedgingMemberus-gaap:ForeignExchangeContractMember2021-12-310000895728enb:DeferredAmountsAndOtherMemberus-gaap:N</w:t>
      </w:r>
      <w:r>
        <w:rPr>
          <w:rFonts w:eastAsia="Times New Roman"/>
          <w:vanish/>
        </w:rPr>
        <w:t>ondesignatedMemberus-gaap:ForeignExchangeContractMember2021-12-310000895728enb:DeferredAmountsAndOtherMemberus-gaap:ForeignExchangeContractMember2021-12-310000895728us-gaap:InterestRateContractMemberenb:DeferredAmountsAndOtherMemberus-gaap:DesignatedAsHedg</w:t>
      </w:r>
      <w:r>
        <w:rPr>
          <w:rFonts w:eastAsia="Times New Roman"/>
          <w:vanish/>
        </w:rPr>
        <w:t>ingInstrumentMemberus-gaap:CashFlowHedgingMember2021-12-310000895728us-gaap:InterestRateContractMemberenb:DeferredAmountsAndOtherMemberus-gaap:DesignatedAsHedgingInstrumentMemberus-gaap:NetInvestmentHedgingMember2021-12-310000895728us-gaap:InterestRateCont</w:t>
      </w:r>
      <w:r>
        <w:rPr>
          <w:rFonts w:eastAsia="Times New Roman"/>
          <w:vanish/>
        </w:rPr>
        <w:t>ractMemberenb:DeferredAmountsAndOtherMemberus-gaap:DesignatedAsHedgingInstrumentMemberus-gaap:FairValueHedgingMember2021-12-310000895728us-gaap:InterestRateContractMemberenb:DeferredAmountsAndOtherMemberus-gaap:NondesignatedMember2021-12-310000895728us-gaa</w:t>
      </w:r>
      <w:r>
        <w:rPr>
          <w:rFonts w:eastAsia="Times New Roman"/>
          <w:vanish/>
        </w:rPr>
        <w:t>p:InterestRateContractMemberenb:DeferredAmountsAndOtherMember2021-12-310000895728enb:DeferredAmountsAndOtherMemberus-gaap:DesignatedAsHedgingInstrumentMemberus-gaap:CommodityContractMemberus-gaap:CashFlowHedgingMember2021-12-310000895728enb:DeferredAmounts</w:t>
      </w:r>
      <w:r>
        <w:rPr>
          <w:rFonts w:eastAsia="Times New Roman"/>
          <w:vanish/>
        </w:rPr>
        <w:t>AndOtherMemberus-gaap:DesignatedAsHedgingInstrumentMemberus-gaap:NetInvestmentHedgingMemberus-gaap:CommodityContractMember2021-12-310000895728enb:DeferredAmountsAndOtherMemberus-gaap:DesignatedAsHedgingInstrumentMemberus-gaap:FairValueHedgingMemberus-gaap:</w:t>
      </w:r>
      <w:r>
        <w:rPr>
          <w:rFonts w:eastAsia="Times New Roman"/>
          <w:vanish/>
        </w:rPr>
        <w:t>CommodityContractMember2021-12-310000895728enb:DeferredAmountsAndOtherMemberus-gaap:NondesignatedMemberus-gaap:CommodityContractMember2021-12-310000895728enb:DeferredAmountsAndOtherMemberus-gaap:CommodityContractMember2021-12-310000895728enb:DeferredAmount</w:t>
      </w:r>
      <w:r>
        <w:rPr>
          <w:rFonts w:eastAsia="Times New Roman"/>
          <w:vanish/>
        </w:rPr>
        <w:t>sAndOtherMemberus-gaap:OtherContractMemberus-gaap:DesignatedAsHedgingInstrumentMemberus-gaap:CashFlowHedgingMember2021-12-310000895728enb:DeferredAmountsAndOtherMemberus-gaap:OtherContractMemberus-gaap:DesignatedAsHedgingInstrumentMemberus-gaap:NetInvestme</w:t>
      </w:r>
      <w:r>
        <w:rPr>
          <w:rFonts w:eastAsia="Times New Roman"/>
          <w:vanish/>
        </w:rPr>
        <w:t>ntHedgingMember2021-12-310000895728enb:DeferredAmountsAndOtherMemberus-gaap:OtherContractMemberus-gaap:DesignatedAsHedgingInstrumentMemberus-gaap:FairValueHedgingMember2021-12-310000895728enb:DeferredAmountsAndOtherMemberus-gaap:OtherContractMemberus-gaap:</w:t>
      </w:r>
      <w:r>
        <w:rPr>
          <w:rFonts w:eastAsia="Times New Roman"/>
          <w:vanish/>
        </w:rPr>
        <w:t>NondesignatedMember2021-12-310000895728us-gaap:OtherContractMemberenb:DeferredAmountsAndOtherMember2021-12-310000895728enb:DeferredAmountsAndOtherMemberus-gaap:DesignatedAsHedgingInstrumentMemberus-gaap:CashFlowHedgingMember2021-12-310000895728enb:Deferred</w:t>
      </w:r>
      <w:r>
        <w:rPr>
          <w:rFonts w:eastAsia="Times New Roman"/>
          <w:vanish/>
        </w:rPr>
        <w:t>AmountsAndOtherMemberus-gaap:DesignatedAsHedgingInstrumentMemberus-gaap:NetInvestmentHedgingMember2021-12-310000895728enb:DeferredAmountsAndOtherMemberus-gaap:DesignatedAsHedgingInstrumentMemberus-gaap:FairValueHedgingMember2021-12-310000895728enb:Deferred</w:t>
      </w:r>
      <w:r>
        <w:rPr>
          <w:rFonts w:eastAsia="Times New Roman"/>
          <w:vanish/>
        </w:rPr>
        <w:t>AmountsAndOtherMemberus-gaap:NondesignatedMember2021-12-310000895728enb:DeferredAmountsAndOtherMember2021-12-310000895728us-gaap:DesignatedAsHedgingInstrumentMemberenb:AccountsPayableAndOtherMemberus-gaap:CashFlowHedgingMemberus-gaap:ForeignExchangeContrac</w:t>
      </w:r>
      <w:r>
        <w:rPr>
          <w:rFonts w:eastAsia="Times New Roman"/>
          <w:vanish/>
        </w:rPr>
        <w:t>tMember2021-12-310000895728us-gaap:DesignatedAsHedgingInstrumentMemberenb:AccountsPayableAndOtherMemberus-gaap:NetInvestmentHedgingMemberus-gaap:ForeignExchangeContractMember2021-12-310000895728us-gaap:DesignatedAsHedgingInstrumentMemberenb:AccountsPayable</w:t>
      </w:r>
      <w:r>
        <w:rPr>
          <w:rFonts w:eastAsia="Times New Roman"/>
          <w:vanish/>
        </w:rPr>
        <w:t>AndOtherMemberus-gaap:FairValueHedgingMemberus-gaap:ForeignExchangeContractMember2021-12-310000895728us-gaap:NondesignatedMemberenb:AccountsPayableAndOtherMemberus-gaap:ForeignExchangeContractMember2021-12-310000895728enb:AccountsPayableAndOtherMemberus-ga</w:t>
      </w:r>
      <w:r>
        <w:rPr>
          <w:rFonts w:eastAsia="Times New Roman"/>
          <w:vanish/>
        </w:rPr>
        <w:t>ap:ForeignExchangeContractMember2021-12-310000895728us-gaap:InterestRateContractMemberus-gaap:DesignatedAsHedgingInstrumentMemberenb:AccountsPayableAndOtherMemberus-gaap:CashFlowHedgingMember2021-12-310000895728us-gaap:InterestRateContractMemberus-gaap:Des</w:t>
      </w:r>
      <w:r>
        <w:rPr>
          <w:rFonts w:eastAsia="Times New Roman"/>
          <w:vanish/>
        </w:rPr>
        <w:t>ignatedAsHedgingInstrumentMemberenb:AccountsPayableAndOtherMemberus-gaap:NetInvestmentHedgingMember2021-12-310000895728us-gaap:InterestRateContractMemberus-gaap:DesignatedAsHedgingInstrumentMemberenb:AccountsPayableAndOtherMemberus-gaap:FairValueHedgingMem</w:t>
      </w:r>
      <w:r>
        <w:rPr>
          <w:rFonts w:eastAsia="Times New Roman"/>
          <w:vanish/>
        </w:rPr>
        <w:t>ber2021-12-310000895728us-gaap:InterestRateContractMemberus-gaap:NondesignatedMemberenb:AccountsPayableAndOtherMember2021-12-310000895728us-gaap:InterestRateContractMemberenb:AccountsPayableAndOtherMember2021-12-310000895728us-gaap:DesignatedAsHedgingInstr</w:t>
      </w:r>
      <w:r>
        <w:rPr>
          <w:rFonts w:eastAsia="Times New Roman"/>
          <w:vanish/>
        </w:rPr>
        <w:t>umentMemberenb:AccountsPayableAndOtherMemberus-gaap:CommodityContractMemberus-gaap:CashFlowHedgingMember2021-12-310000895728us-gaap:DesignatedAsHedgingInstrumentMemberenb:AccountsPayableAndOtherMemberus-gaap:NetInvestmentHedgingMemberus-gaap:CommodityContr</w:t>
      </w:r>
      <w:r>
        <w:rPr>
          <w:rFonts w:eastAsia="Times New Roman"/>
          <w:vanish/>
        </w:rPr>
        <w:t>actMember2021-12-310000895728us-gaap:DesignatedAsHedgingInstrumentMemberenb:AccountsPayableAndOtherMemberus-gaap:FairValueHedgingMemberus-gaap:CommodityContractMember2021-12-310000895728us-gaap:NondesignatedMemberenb:AccountsPayableAndOtherMemberus-gaap:Co</w:t>
      </w:r>
      <w:r>
        <w:rPr>
          <w:rFonts w:eastAsia="Times New Roman"/>
          <w:vanish/>
        </w:rPr>
        <w:t>mmodityContractMember2021-12-310000895728enb:AccountsPayableAndOtherMemberus-gaap:CommodityContractMember2021-12-310000895728us-gaap:OtherContractMemberus-gaap:DesignatedAsHedgingInstrumentMemberenb:AccountsPayableAndOtherMemberus-gaap:CashFlowHedgingMembe</w:t>
      </w:r>
      <w:r>
        <w:rPr>
          <w:rFonts w:eastAsia="Times New Roman"/>
          <w:vanish/>
        </w:rPr>
        <w:t>r2021-12-310000895728us-gaap:OtherContractMemberus-gaap:DesignatedAsHedgingInstrumentMemberenb:AccountsPayableAndOtherMemberus-gaap:NetInvestmentHedgingMember2021-12-310000895728us-gaap:OtherContractMemberus-gaap:DesignatedAsHedgingInstrumentMemberenb:Acco</w:t>
      </w:r>
      <w:r>
        <w:rPr>
          <w:rFonts w:eastAsia="Times New Roman"/>
          <w:vanish/>
        </w:rPr>
        <w:t>untsPayableAndOtherMemberus-gaap:FairValueHedgingMember2021-12-310000895728us-gaap:OtherContractMemberus-gaap:NondesignatedMemberenb:AccountsPayableAndOtherMember2021-12-310000895728us-gaap:OtherContractMemberenb:AccountsPayableAndOtherMember2021-12-310000</w:t>
      </w:r>
      <w:r>
        <w:rPr>
          <w:rFonts w:eastAsia="Times New Roman"/>
          <w:vanish/>
        </w:rPr>
        <w:t>895728us-gaap:DesignatedAsHedgingInstrumentMemberenb:AccountsPayableAndOtherMemberus-gaap:CashFlowHedgingMember2021-12-310000895728us-gaap:DesignatedAsHedgingInstrumentMemberenb:AccountsPayableAndOtherMemberus-gaap:NetInvestmentHedgingMember2021-12-3100008</w:t>
      </w:r>
      <w:r>
        <w:rPr>
          <w:rFonts w:eastAsia="Times New Roman"/>
          <w:vanish/>
        </w:rPr>
        <w:t>95728us-gaap:DesignatedAsHedgingInstrumentMemberenb:AccountsPayableAndOtherMemberus-gaap:FairValueHedgingMember2021-12-310000895728us-gaap:NondesignatedMemberenb:AccountsPayableAndOtherMember2021-12-310000895728enb:AccountsPayableAndOtherMember2021-12-3100</w:t>
      </w:r>
      <w:r>
        <w:rPr>
          <w:rFonts w:eastAsia="Times New Roman"/>
          <w:vanish/>
        </w:rPr>
        <w:t>00895728us-gaap:OtherLiabilitiesMemberus-gaap:DesignatedAsHedgingInstrumentMemberus-gaap:CashFlowHedgingMemberus-gaap:ForeignExchangeContractMember2021-12-310000895728us-gaap:OtherLiabilitiesMemberus-gaap:DesignatedAsHedgingInstrumentMemberus-gaap:NetInves</w:t>
      </w:r>
      <w:r>
        <w:rPr>
          <w:rFonts w:eastAsia="Times New Roman"/>
          <w:vanish/>
        </w:rPr>
        <w:t>tmentHedgingMemberus-gaap:ForeignExchangeContractMember2021-12-310000895728us-gaap:OtherLiabilitiesMemberus-gaap:DesignatedAsHedgingInstrumentMemberus-gaap:FairValueHedgingMemberus-gaap:ForeignExchangeContractMember2021-12-310000895728us-gaap:OtherLiabilit</w:t>
      </w:r>
      <w:r>
        <w:rPr>
          <w:rFonts w:eastAsia="Times New Roman"/>
          <w:vanish/>
        </w:rPr>
        <w:t>iesMemberus-gaap:NondesignatedMemberus-gaap:ForeignExchangeContractMember2021-12-310000895728us-gaap:OtherLiabilitiesMemberus-gaap:ForeignExchangeContractMember2021-12-310000895728us-gaap:OtherLiabilitiesMemberus-gaap:InterestRateContractMemberus-gaap:Desi</w:t>
      </w:r>
      <w:r>
        <w:rPr>
          <w:rFonts w:eastAsia="Times New Roman"/>
          <w:vanish/>
        </w:rPr>
        <w:t>gnatedAsHedgingInstrumentMemberus-gaap:CashFlowHedgingMember2021-12-310000895728us-gaap:OtherLiabilitiesMemberus-gaap:InterestRateContractMemberus-gaap:DesignatedAsHedgingInstrumentMemberus-gaap:NetInvestmentHedgingMember2021-12-310000895728us-gaap:OtherLi</w:t>
      </w:r>
      <w:r>
        <w:rPr>
          <w:rFonts w:eastAsia="Times New Roman"/>
          <w:vanish/>
        </w:rPr>
        <w:t>abilitiesMemberus-gaap:InterestRateContractMemberus-gaap:DesignatedAsHedgingInstrumentMemberus-gaap:FairValueHedgingMember2021-12-310000895728us-gaap:OtherLiabilitiesMemberus-gaap:InterestRateContractMemberus-gaap:NondesignatedMember2021-12-310000895728us-</w:t>
      </w:r>
      <w:r>
        <w:rPr>
          <w:rFonts w:eastAsia="Times New Roman"/>
          <w:vanish/>
        </w:rPr>
        <w:t>gaap:InterestRateContractMemberus-gaap:OtherLiabilitiesMember2021-12-310000895728us-gaap:OtherLiabilitiesMemberus-gaap:DesignatedAsHedgingInstrumentMemberus-gaap:CommodityContractMemberus-gaap:CashFlowHedgingMember2021-12-310000895728us-gaap:OtherLiabiliti</w:t>
      </w:r>
      <w:r>
        <w:rPr>
          <w:rFonts w:eastAsia="Times New Roman"/>
          <w:vanish/>
        </w:rPr>
        <w:t>esMemberus-gaap:DesignatedAsHedgingInstrumentMemberus-gaap:NetInvestmentHedgingMemberus-gaap:CommodityContractMember2021-12-310000895728us-gaap:OtherLiabilitiesMemberus-gaap:DesignatedAsHedgingInstrumentMemberus-gaap:FairValueHedgingMemberus-gaap:Commodity</w:t>
      </w:r>
      <w:r>
        <w:rPr>
          <w:rFonts w:eastAsia="Times New Roman"/>
          <w:vanish/>
        </w:rPr>
        <w:t>ContractMember2021-12-310000895728us-gaap:OtherLiabilitiesMemberus-gaap:NondesignatedMemberus-gaap:CommodityContractMember2021-12-310000895728us-gaap:OtherLiabilitiesMemberus-gaap:CommodityContractMember2021-12-310000895728us-gaap:OtherLiabilitiesMemberus-</w:t>
      </w:r>
      <w:r>
        <w:rPr>
          <w:rFonts w:eastAsia="Times New Roman"/>
          <w:vanish/>
        </w:rPr>
        <w:t>gaap:OtherContractMemberus-gaap:DesignatedAsHedgingInstrumentMemberus-gaap:CashFlowHedgingMember2021-12-310000895728us-gaap:OtherLiabilitiesMemberus-gaap:OtherContractMemberus-gaap:DesignatedAsHedgingInstrumentMemberus-gaap:NetInvestmentHedgingMember2021-1</w:t>
      </w:r>
      <w:r>
        <w:rPr>
          <w:rFonts w:eastAsia="Times New Roman"/>
          <w:vanish/>
        </w:rPr>
        <w:t>2-310000895728us-gaap:OtherLiabilitiesMemberus-gaap:OtherContractMemberus-gaap:DesignatedAsHedgingInstrumentMemberus-gaap:FairValueHedgingMember2021-12-310000895728us-gaap:OtherLiabilitiesMemberus-gaap:OtherContractMemberus-gaap:NondesignatedMember2021-12-</w:t>
      </w:r>
      <w:r>
        <w:rPr>
          <w:rFonts w:eastAsia="Times New Roman"/>
          <w:vanish/>
        </w:rPr>
        <w:t>310000895728us-gaap:OtherLiabilitiesMemberus-gaap:OtherContractMember2021-12-310000895728us-gaap:OtherLiabilitiesMemberus-gaap:DesignatedAsHedgingInstrumentMemberus-gaap:CashFlowHedgingMember2021-12-310000895728us-gaap:OtherLiabilitiesMemberus-gaap:Designa</w:t>
      </w:r>
      <w:r>
        <w:rPr>
          <w:rFonts w:eastAsia="Times New Roman"/>
          <w:vanish/>
        </w:rPr>
        <w:t>tedAsHedgingInstrumentMemberus-gaap:NetInvestmentHedgingMember2021-12-310000895728us-gaap:OtherLiabilitiesMemberus-gaap:DesignatedAsHedgingInstrumentMemberus-gaap:FairValueHedgingMember2021-12-310000895728us-gaap:OtherLiabilitiesMemberus-gaap:Nondesignated</w:t>
      </w:r>
      <w:r>
        <w:rPr>
          <w:rFonts w:eastAsia="Times New Roman"/>
          <w:vanish/>
        </w:rPr>
        <w:t>Member2021-12-310000895728us-gaap:OtherLiabilitiesMember2021-12-310000895728us-gaap:DesignatedAsHedgingInstrumentMemberus-gaap:CashFlowHedgingMemberus-gaap:ForeignExchangeContractMember2021-12-310000895728us-gaap:DesignatedAsHedgingInstrumentMemberus-gaap:</w:t>
      </w:r>
      <w:r>
        <w:rPr>
          <w:rFonts w:eastAsia="Times New Roman"/>
          <w:vanish/>
        </w:rPr>
        <w:t>NetInvestmentHedgingMemberus-gaap:ForeignExchangeContractMember2021-12-310000895728us-gaap:DesignatedAsHedgingInstrumentMemberus-gaap:FairValueHedgingMemberus-gaap:ForeignExchangeContractMember2021-12-310000895728us-gaap:NondesignatedMemberus-gaap:ForeignE</w:t>
      </w:r>
      <w:r>
        <w:rPr>
          <w:rFonts w:eastAsia="Times New Roman"/>
          <w:vanish/>
        </w:rPr>
        <w:t>xchangeContractMember2021-12-310000895728us-gaap:ForeignExchangeContractMember2021-12-310000895728us-gaap:InterestRateContractMemberus-gaap:DesignatedAsHedgingInstrumentMemberus-gaap:CashFlowHedgingMember2021-12-310000895728us-gaap:InterestRateContractMemb</w:t>
      </w:r>
      <w:r>
        <w:rPr>
          <w:rFonts w:eastAsia="Times New Roman"/>
          <w:vanish/>
        </w:rPr>
        <w:t>erus-gaap:DesignatedAsHedgingInstrumentMemberus-gaap:NetInvestmentHedgingMember2021-12-310000895728us-gaap:InterestRateContractMemberus-gaap:DesignatedAsHedgingInstrumentMemberus-gaap:FairValueHedgingMember2021-12-310000895728us-gaap:InterestRateContractMe</w:t>
      </w:r>
      <w:r>
        <w:rPr>
          <w:rFonts w:eastAsia="Times New Roman"/>
          <w:vanish/>
        </w:rPr>
        <w:t>mberus-gaap:NondesignatedMember2021-12-310000895728us-gaap:InterestRateContractMember2021-12-310000895728us-gaap:DesignatedAsHedgingInstrumentMemberus-gaap:CommodityContractMemberus-gaap:CashFlowHedgingMember2021-12-310000895728us-gaap:DesignatedAsHedgingI</w:t>
      </w:r>
      <w:r>
        <w:rPr>
          <w:rFonts w:eastAsia="Times New Roman"/>
          <w:vanish/>
        </w:rPr>
        <w:t>nstrumentMemberus-gaap:NetInvestmentHedgingMemberus-gaap:CommodityContractMember2021-12-310000895728us-gaap:DesignatedAsHedgingInstrumentMemberus-gaap:FairValueHedgingMemberus-gaap:CommodityContractMember2021-12-310000895728us-gaap:NondesignatedMemberus-ga</w:t>
      </w:r>
      <w:r>
        <w:rPr>
          <w:rFonts w:eastAsia="Times New Roman"/>
          <w:vanish/>
        </w:rPr>
        <w:t>ap:CommodityContractMember2021-12-310000895728us-gaap:CommodityContractMember2021-12-310000895728us-gaap:OtherContractMemberus-gaap:DesignatedAsHedgingInstrumentMemberus-gaap:CashFlowHedgingMember2021-12-310000895728us-gaap:OtherContractMemberus-gaap:Desig</w:t>
      </w:r>
      <w:r>
        <w:rPr>
          <w:rFonts w:eastAsia="Times New Roman"/>
          <w:vanish/>
        </w:rPr>
        <w:t>natedAsHedgingInstrumentMemberus-gaap:NetInvestmentHedgingMember2021-12-310000895728us-gaap:OtherContractMemberus-gaap:DesignatedAsHedgingInstrumentMemberus-gaap:FairValueHedgingMember2021-12-310000895728us-gaap:OtherContractMemberus-gaap:NondesignatedMemb</w:t>
      </w:r>
      <w:r>
        <w:rPr>
          <w:rFonts w:eastAsia="Times New Roman"/>
          <w:vanish/>
        </w:rPr>
        <w:t>er2021-12-310000895728us-gaap:OtherContractMember2021-12-310000895728us-gaap:DesignatedAsHedgingInstrumentMemberus-gaap:CashFlowHedgingMember2021-12-310000895728us-gaap:DesignatedAsHedgingInstrumentMemberus-gaap:NetInvestmentHedgingMember2021-12-3100008957</w:t>
      </w:r>
      <w:r>
        <w:rPr>
          <w:rFonts w:eastAsia="Times New Roman"/>
          <w:vanish/>
        </w:rPr>
        <w:t>28us-gaap:DesignatedAsHedgingInstrumentMemberus-gaap:FairValueHedgingMember2021-12-310000895728us-gaap:NondesignatedMember2021-12-310000895728enb:AccountsReceivableAndOtherMemberus-gaap:DesignatedAsHedgingInstrumentMemberus-gaap:CashFlowHedgingMemberus-gaa</w:t>
      </w:r>
      <w:r>
        <w:rPr>
          <w:rFonts w:eastAsia="Times New Roman"/>
          <w:vanish/>
        </w:rPr>
        <w:t>p:ForeignExchangeContractMember2020-12-310000895728enb:AccountsReceivableAndOtherMemberus-gaap:DesignatedAsHedgingInstrumentMemberus-gaap:NetInvestmentHedgingMemberus-gaap:ForeignExchangeContractMember2020-12-310000895728enb:AccountsReceivableAndOtherMembe</w:t>
      </w:r>
      <w:r>
        <w:rPr>
          <w:rFonts w:eastAsia="Times New Roman"/>
          <w:vanish/>
        </w:rPr>
        <w:t>rus-gaap:DesignatedAsHedgingInstrumentMemberus-gaap:FairValueHedgingMemberus-gaap:ForeignExchangeContractMember2020-12-310000895728us-gaap:NondesignatedMemberenb:AccountsReceivableAndOtherMemberus-gaap:ForeignExchangeContractMember2020-12-310000895728enb:A</w:t>
      </w:r>
      <w:r>
        <w:rPr>
          <w:rFonts w:eastAsia="Times New Roman"/>
          <w:vanish/>
        </w:rPr>
        <w:t>ccountsReceivableAndOtherMemberus-gaap:ForeignExchangeContractMember2020-12-310000895728us-gaap:InterestRateContractMemberenb:AccountsReceivableAndOtherMemberus-gaap:DesignatedAsHedgingInstrumentMemberus-gaap:CashFlowHedgingMember2020-12-310000895728us-gaa</w:t>
      </w:r>
      <w:r>
        <w:rPr>
          <w:rFonts w:eastAsia="Times New Roman"/>
          <w:vanish/>
        </w:rPr>
        <w:t>p:InterestRateContractMemberenb:AccountsReceivableAndOtherMemberus-gaap:DesignatedAsHedgingInstrumentMemberus-gaap:NetInvestmentHedgingMember2020-12-310000895728us-gaap:InterestRateContractMemberenb:AccountsReceivableAndOtherMemberus-gaap:DesignatedAsHedgi</w:t>
      </w:r>
      <w:r>
        <w:rPr>
          <w:rFonts w:eastAsia="Times New Roman"/>
          <w:vanish/>
        </w:rPr>
        <w:t>ngInstrumentMemberus-gaap:FairValueHedgingMember2020-12-310000895728us-gaap:InterestRateContractMemberus-gaap:NondesignatedMemberenb:AccountsReceivableAndOtherMember2020-12-310000895728us-gaap:InterestRateContractMemberenb:AccountsReceivableAndOtherMember2</w:t>
      </w:r>
      <w:r>
        <w:rPr>
          <w:rFonts w:eastAsia="Times New Roman"/>
          <w:vanish/>
        </w:rPr>
        <w:t>020-12-310000895728enb:AccountsReceivableAndOtherMemberus-gaap:DesignatedAsHedgingInstrumentMemberus-gaap:CommodityContractMemberus-gaap:CashFlowHedgingMember2020-12-310000895728enb:AccountsReceivableAndOtherMemberus-gaap:DesignatedAsHedgingInstrumentMembe</w:t>
      </w:r>
      <w:r>
        <w:rPr>
          <w:rFonts w:eastAsia="Times New Roman"/>
          <w:vanish/>
        </w:rPr>
        <w:t>rus-gaap:NetInvestmentHedgingMemberus-gaap:CommodityContractMember2020-12-310000895728enb:AccountsReceivableAndOtherMemberus-gaap:DesignatedAsHedgingInstrumentMemberus-gaap:FairValueHedgingMemberus-gaap:CommodityContractMember2020-12-310000895728us-gaap:No</w:t>
      </w:r>
      <w:r>
        <w:rPr>
          <w:rFonts w:eastAsia="Times New Roman"/>
          <w:vanish/>
        </w:rPr>
        <w:t>ndesignatedMemberenb:AccountsReceivableAndOtherMemberus-gaap:CommodityContractMember2020-12-310000895728enb:AccountsReceivableAndOtherMemberus-gaap:CommodityContractMember2020-12-310000895728us-gaap:OtherContractMemberenb:AccountsReceivableAndOtherMemberus</w:t>
      </w:r>
      <w:r>
        <w:rPr>
          <w:rFonts w:eastAsia="Times New Roman"/>
          <w:vanish/>
        </w:rPr>
        <w:t>-gaap:DesignatedAsHedgingInstrumentMemberus-gaap:CashFlowHedgingMember2020-12-310000895728us-gaap:OtherContractMemberenb:AccountsReceivableAndOtherMemberus-gaap:DesignatedAsHedgingInstrumentMemberus-gaap:NetInvestmentHedgingMember2020-12-310000895728us-gaa</w:t>
      </w:r>
      <w:r>
        <w:rPr>
          <w:rFonts w:eastAsia="Times New Roman"/>
          <w:vanish/>
        </w:rPr>
        <w:t>p:OtherContractMemberenb:AccountsReceivableAndOtherMemberus-gaap:DesignatedAsHedgingInstrumentMemberus-gaap:FairValueHedgingMember2020-12-310000895728us-gaap:OtherContractMemberus-gaap:NondesignatedMemberenb:AccountsReceivableAndOtherMember2020-12-31000089</w:t>
      </w:r>
      <w:r>
        <w:rPr>
          <w:rFonts w:eastAsia="Times New Roman"/>
          <w:vanish/>
        </w:rPr>
        <w:t>5728us-gaap:OtherContractMemberenb:AccountsReceivableAndOtherMember2020-12-310000895728enb:AccountsReceivableAndOtherMemberus-gaap:DesignatedAsHedgingInstrumentMemberus-gaap:CashFlowHedgingMember2020-12-310000895728enb:AccountsReceivableAndOtherMemberus-ga</w:t>
      </w:r>
      <w:r>
        <w:rPr>
          <w:rFonts w:eastAsia="Times New Roman"/>
          <w:vanish/>
        </w:rPr>
        <w:t>ap:DesignatedAsHedgingInstrumentMemberus-gaap:NetInvestmentHedgingMember2020-12-310000895728enb:AccountsReceivableAndOtherMemberus-gaap:DesignatedAsHedgingInstrumentMemberus-gaap:FairValueHedgingMember2020-12-310000895728us-gaap:NondesignatedMemberenb:Acco</w:t>
      </w:r>
      <w:r>
        <w:rPr>
          <w:rFonts w:eastAsia="Times New Roman"/>
          <w:vanish/>
        </w:rPr>
        <w:t>untsReceivableAndOtherMember2020-12-310000895728enb:AccountsReceivableAndOtherMember2020-12-310000895728enb:DeferredAmountsAndOtherMemberus-gaap:DesignatedAsHedgingInstrumentMemberus-gaap:CashFlowHedgingMemberus-gaap:ForeignExchangeContractMember2020-12-31</w:t>
      </w:r>
      <w:r>
        <w:rPr>
          <w:rFonts w:eastAsia="Times New Roman"/>
          <w:vanish/>
        </w:rPr>
        <w:t>0000895728enb:DeferredAmountsAndOtherMemberus-gaap:DesignatedAsHedgingInstrumentMemberus-gaap:NetInvestmentHedgingMemberus-gaap:ForeignExchangeContractMember2020-12-310000895728enb:DeferredAmountsAndOtherMemberus-gaap:DesignatedAsHedgingInstrumentMemberus-</w:t>
      </w:r>
      <w:r>
        <w:rPr>
          <w:rFonts w:eastAsia="Times New Roman"/>
          <w:vanish/>
        </w:rPr>
        <w:t>gaap:FairValueHedgingMemberus-gaap:ForeignExchangeContractMember2020-12-310000895728enb:DeferredAmountsAndOtherMemberus-gaap:NondesignatedMemberus-gaap:ForeignExchangeContractMember2020-12-310000895728enb:DeferredAmountsAndOtherMemberus-gaap:ForeignExchang</w:t>
      </w:r>
      <w:r>
        <w:rPr>
          <w:rFonts w:eastAsia="Times New Roman"/>
          <w:vanish/>
        </w:rPr>
        <w:t>eContractMember2020-12-310000895728us-gaap:InterestRateContractMemberenb:DeferredAmountsAndOtherMemberus-gaap:DesignatedAsHedgingInstrumentMemberus-gaap:CashFlowHedgingMember2020-12-310000895728us-gaap:InterestRateContractMemberenb:DeferredAmountsAndOtherM</w:t>
      </w:r>
      <w:r>
        <w:rPr>
          <w:rFonts w:eastAsia="Times New Roman"/>
          <w:vanish/>
        </w:rPr>
        <w:t>emberus-gaap:DesignatedAsHedgingInstrumentMemberus-gaap:NetInvestmentHedgingMember2020-12-310000895728us-gaap:InterestRateContractMemberenb:DeferredAmountsAndOtherMemberus-gaap:DesignatedAsHedgingInstrumentMemberus-gaap:FairValueHedgingMember2020-12-310000</w:t>
      </w:r>
      <w:r>
        <w:rPr>
          <w:rFonts w:eastAsia="Times New Roman"/>
          <w:vanish/>
        </w:rPr>
        <w:t>895728us-gaap:InterestRateContractMemberenb:DeferredAmountsAndOtherMemberus-gaap:NondesignatedMember2020-12-310000895728us-gaap:InterestRateContractMemberenb:DeferredAmountsAndOtherMember2020-12-310000895728enb:DeferredAmountsAndOtherMemberus-gaap:Designat</w:t>
      </w:r>
      <w:r>
        <w:rPr>
          <w:rFonts w:eastAsia="Times New Roman"/>
          <w:vanish/>
        </w:rPr>
        <w:t>edAsHedgingInstrumentMemberus-gaap:CommodityContractMemberus-gaap:CashFlowHedgingMember2020-12-310000895728enb:DeferredAmountsAndOtherMemberus-gaap:DesignatedAsHedgingInstrumentMemberus-gaap:NetInvestmentHedgingMemberus-gaap:CommodityContractMember2020-12-</w:t>
      </w:r>
      <w:r>
        <w:rPr>
          <w:rFonts w:eastAsia="Times New Roman"/>
          <w:vanish/>
        </w:rPr>
        <w:t>310000895728enb:DeferredAmountsAndOtherMemberus-gaap:DesignatedAsHedgingInstrumentMemberus-gaap:FairValueHedgingMemberus-gaap:CommodityContractMember2020-12-310000895728enb:DeferredAmountsAndOtherMemberus-gaap:NondesignatedMemberus-gaap:CommodityContractMe</w:t>
      </w:r>
      <w:r>
        <w:rPr>
          <w:rFonts w:eastAsia="Times New Roman"/>
          <w:vanish/>
        </w:rPr>
        <w:t>mber2020-12-310000895728enb:DeferredAmountsAndOtherMemberus-gaap:CommodityContractMember2020-12-310000895728enb:DeferredAmountsAndOtherMemberus-gaap:OtherContractMemberus-gaap:DesignatedAsHedgingInstrumentMemberus-gaap:CashFlowHedgingMember2020-12-31000089</w:t>
      </w:r>
      <w:r>
        <w:rPr>
          <w:rFonts w:eastAsia="Times New Roman"/>
          <w:vanish/>
        </w:rPr>
        <w:t>5728enb:DeferredAmountsAndOtherMemberus-gaap:OtherContractMemberus-gaap:DesignatedAsHedgingInstrumentMemberus-gaap:NetInvestmentHedgingMember2020-12-310000895728enb:DeferredAmountsAndOtherMemberus-gaap:OtherContractMemberus-gaap:DesignatedAsHedgingInstrume</w:t>
      </w:r>
      <w:r>
        <w:rPr>
          <w:rFonts w:eastAsia="Times New Roman"/>
          <w:vanish/>
        </w:rPr>
        <w:t>ntMemberus-gaap:FairValueHedgingMember2020-12-310000895728enb:DeferredAmountsAndOtherMemberus-gaap:OtherContractMemberus-gaap:NondesignatedMember2020-12-310000895728us-gaap:OtherContractMemberenb:DeferredAmountsAndOtherMember2020-12-310000895728enb:Deferre</w:t>
      </w:r>
      <w:r>
        <w:rPr>
          <w:rFonts w:eastAsia="Times New Roman"/>
          <w:vanish/>
        </w:rPr>
        <w:t>dAmountsAndOtherMemberus-gaap:DesignatedAsHedgingInstrumentMemberus-gaap:CashFlowHedgingMember2020-12-310000895728enb:DeferredAmountsAndOtherMemberus-gaap:DesignatedAsHedgingInstrumentMemberus-gaap:NetInvestmentHedgingMember2020-12-310000895728enb:Deferred</w:t>
      </w:r>
      <w:r>
        <w:rPr>
          <w:rFonts w:eastAsia="Times New Roman"/>
          <w:vanish/>
        </w:rPr>
        <w:t>AmountsAndOtherMemberus-gaap:DesignatedAsHedgingInstrumentMemberus-gaap:FairValueHedgingMember2020-12-310000895728enb:DeferredAmountsAndOtherMemberus-gaap:NondesignatedMember2020-12-310000895728enb:DeferredAmountsAndOtherMember2020-12-310000895728us-gaap:D</w:t>
      </w:r>
      <w:r>
        <w:rPr>
          <w:rFonts w:eastAsia="Times New Roman"/>
          <w:vanish/>
        </w:rPr>
        <w:t>esignatedAsHedgingInstrumentMemberenb:AccountsPayableAndOtherMemberus-gaap:CashFlowHedgingMemberus-gaap:ForeignExchangeContractMember2020-12-310000895728us-gaap:DesignatedAsHedgingInstrumentMemberenb:AccountsPayableAndOtherMemberus-gaap:NetInvestmentHedgin</w:t>
      </w:r>
      <w:r>
        <w:rPr>
          <w:rFonts w:eastAsia="Times New Roman"/>
          <w:vanish/>
        </w:rPr>
        <w:t>gMemberus-gaap:ForeignExchangeContractMember2020-12-310000895728us-gaap:DesignatedAsHedgingInstrumentMemberenb:AccountsPayableAndOtherMemberus-gaap:FairValueHedgingMemberus-gaap:ForeignExchangeContractMember2020-12-310000895728us-gaap:NondesignatedMemberen</w:t>
      </w:r>
      <w:r>
        <w:rPr>
          <w:rFonts w:eastAsia="Times New Roman"/>
          <w:vanish/>
        </w:rPr>
        <w:t>b:AccountsPayableAndOtherMemberus-gaap:ForeignExchangeContractMember2020-12-310000895728enb:AccountsPayableAndOtherMemberus-gaap:ForeignExchangeContractMember2020-12-310000895728us-gaap:InterestRateContractMemberus-gaap:DesignatedAsHedgingInstrumentMembere</w:t>
      </w:r>
      <w:r>
        <w:rPr>
          <w:rFonts w:eastAsia="Times New Roman"/>
          <w:vanish/>
        </w:rPr>
        <w:t>nb:AccountsPayableAndOtherMemberus-gaap:CashFlowHedgingMember2020-12-310000895728us-gaap:InterestRateContractMemberus-gaap:DesignatedAsHedgingInstrumentMemberenb:AccountsPayableAndOtherMemberus-gaap:NetInvestmentHedgingMember2020-12-310000895728us-gaap:Int</w:t>
      </w:r>
      <w:r>
        <w:rPr>
          <w:rFonts w:eastAsia="Times New Roman"/>
          <w:vanish/>
        </w:rPr>
        <w:t>erestRateContractMemberus-gaap:DesignatedAsHedgingInstrumentMemberenb:AccountsPayableAndOtherMemberus-gaap:FairValueHedgingMember2020-12-310000895728us-gaap:InterestRateContractMemberus-gaap:NondesignatedMemberenb:AccountsPayableAndOtherMember2020-12-31000</w:t>
      </w:r>
      <w:r>
        <w:rPr>
          <w:rFonts w:eastAsia="Times New Roman"/>
          <w:vanish/>
        </w:rPr>
        <w:t>0895728us-gaap:InterestRateContractMemberenb:AccountsPayableAndOtherMember2020-12-310000895728us-gaap:DesignatedAsHedgingInstrumentMemberenb:AccountsPayableAndOtherMemberus-gaap:CommodityContractMemberus-gaap:CashFlowHedgingMember2020-12-310000895728us-gaa</w:t>
      </w:r>
      <w:r>
        <w:rPr>
          <w:rFonts w:eastAsia="Times New Roman"/>
          <w:vanish/>
        </w:rPr>
        <w:t>p:DesignatedAsHedgingInstrumentMemberenb:AccountsPayableAndOtherMemberus-gaap:NetInvestmentHedgingMemberus-gaap:CommodityContractMember2020-12-310000895728us-gaap:DesignatedAsHedgingInstrumentMemberenb:AccountsPayableAndOtherMemberus-gaap:FairValueHedgingM</w:t>
      </w:r>
      <w:r>
        <w:rPr>
          <w:rFonts w:eastAsia="Times New Roman"/>
          <w:vanish/>
        </w:rPr>
        <w:t>emberus-gaap:CommodityContractMember2020-12-310000895728us-gaap:NondesignatedMemberenb:AccountsPayableAndOtherMemberus-gaap:CommodityContractMember2020-12-310000895728enb:AccountsPayableAndOtherMemberus-gaap:CommodityContractMember2020-12-310000895728us-ga</w:t>
      </w:r>
      <w:r>
        <w:rPr>
          <w:rFonts w:eastAsia="Times New Roman"/>
          <w:vanish/>
        </w:rPr>
        <w:t>ap:OtherContractMemberus-gaap:DesignatedAsHedgingInstrumentMemberenb:AccountsPayableAndOtherMemberus-gaap:CashFlowHedgingMember2020-12-310000895728us-gaap:OtherContractMemberus-gaap:DesignatedAsHedgingInstrumentMemberenb:AccountsPayableAndOtherMemberus-gaa</w:t>
      </w:r>
      <w:r>
        <w:rPr>
          <w:rFonts w:eastAsia="Times New Roman"/>
          <w:vanish/>
        </w:rPr>
        <w:t>p:NetInvestmentHedgingMember2020-12-310000895728us-gaap:OtherContractMemberus-gaap:DesignatedAsHedgingInstrumentMemberenb:AccountsPayableAndOtherMemberus-gaap:FairValueHedgingMember2020-12-310000895728us-gaap:OtherContractMemberus-gaap:NondesignatedMembere</w:t>
      </w:r>
      <w:r>
        <w:rPr>
          <w:rFonts w:eastAsia="Times New Roman"/>
          <w:vanish/>
        </w:rPr>
        <w:t>nb:AccountsPayableAndOtherMember2020-12-310000895728us-gaap:OtherContractMemberenb:AccountsPayableAndOtherMember2020-12-310000895728us-gaap:DesignatedAsHedgingInstrumentMemberenb:AccountsPayableAndOtherMemberus-gaap:CashFlowHedgingMember2020-12-31000089572</w:t>
      </w:r>
      <w:r>
        <w:rPr>
          <w:rFonts w:eastAsia="Times New Roman"/>
          <w:vanish/>
        </w:rPr>
        <w:t>8us-gaap:DesignatedAsHedgingInstrumentMemberenb:AccountsPayableAndOtherMemberus-gaap:NetInvestmentHedgingMember2020-12-310000895728us-gaap:DesignatedAsHedgingInstrumentMemberenb:AccountsPayableAndOtherMemberus-gaap:FairValueHedgingMember2020-12-31000089572</w:t>
      </w:r>
      <w:r>
        <w:rPr>
          <w:rFonts w:eastAsia="Times New Roman"/>
          <w:vanish/>
        </w:rPr>
        <w:t>8us-gaap:NondesignatedMemberenb:AccountsPayableAndOtherMember2020-12-310000895728enb:AccountsPayableAndOtherMember2020-12-310000895728us-gaap:OtherLiabilitiesMemberus-gaap:DesignatedAsHedgingInstrumentMemberus-gaap:CashFlowHedgingMemberus-gaap:ForeignExcha</w:t>
      </w:r>
      <w:r>
        <w:rPr>
          <w:rFonts w:eastAsia="Times New Roman"/>
          <w:vanish/>
        </w:rPr>
        <w:t>ngeContractMember2020-12-310000895728us-gaap:OtherLiabilitiesMemberus-gaap:DesignatedAsHedgingInstrumentMemberus-gaap:NetInvestmentHedgingMemberus-gaap:ForeignExchangeContractMember2020-12-310000895728us-gaap:OtherLiabilitiesMemberus-gaap:DesignatedAsHedgi</w:t>
      </w:r>
      <w:r>
        <w:rPr>
          <w:rFonts w:eastAsia="Times New Roman"/>
          <w:vanish/>
        </w:rPr>
        <w:t>ngInstrumentMemberus-gaap:FairValueHedgingMemberus-gaap:ForeignExchangeContractMember2020-12-310000895728us-gaap:OtherLiabilitiesMemberus-gaap:NondesignatedMemberus-gaap:ForeignExchangeContractMember2020-12-310000895728us-gaap:OtherLiabilitiesMemberus-gaap</w:t>
      </w:r>
      <w:r>
        <w:rPr>
          <w:rFonts w:eastAsia="Times New Roman"/>
          <w:vanish/>
        </w:rPr>
        <w:t>:ForeignExchangeContractMember2020-12-310000895728us-gaap:OtherLiabilitiesMemberus-gaap:InterestRateContractMemberus-gaap:DesignatedAsHedgingInstrumentMemberus-gaap:CashFlowHedgingMember2020-12-310000895728us-gaap:OtherLiabilitiesMemberus-gaap:InterestRate</w:t>
      </w:r>
      <w:r>
        <w:rPr>
          <w:rFonts w:eastAsia="Times New Roman"/>
          <w:vanish/>
        </w:rPr>
        <w:t>ContractMemberus-gaap:DesignatedAsHedgingInstrumentMemberus-gaap:NetInvestmentHedgingMember2020-12-310000895728us-gaap:OtherLiabilitiesMemberus-gaap:InterestRateContractMemberus-gaap:DesignatedAsHedgingInstrumentMemberus-gaap:FairValueHedgingMember2020-12-</w:t>
      </w:r>
      <w:r>
        <w:rPr>
          <w:rFonts w:eastAsia="Times New Roman"/>
          <w:vanish/>
        </w:rPr>
        <w:t>310000895728us-gaap:OtherLiabilitiesMemberus-gaap:InterestRateContractMemberus-gaap:NondesignatedMember2020-12-310000895728us-gaap:InterestRateContractMemberus-gaap:OtherLiabilitiesMember2020-12-310000895728us-gaap:OtherLiabilitiesMemberus-gaap:DesignatedA</w:t>
      </w:r>
      <w:r>
        <w:rPr>
          <w:rFonts w:eastAsia="Times New Roman"/>
          <w:vanish/>
        </w:rPr>
        <w:t>sHedgingInstrumentMemberus-gaap:CommodityContractMemberus-gaap:CashFlowHedgingMember2020-12-310000895728us-gaap:OtherLiabilitiesMemberus-gaap:DesignatedAsHedgingInstrumentMemberus-gaap:NetInvestmentHedgingMemberus-gaap:CommodityContractMember2020-12-310000</w:t>
      </w:r>
      <w:r>
        <w:rPr>
          <w:rFonts w:eastAsia="Times New Roman"/>
          <w:vanish/>
        </w:rPr>
        <w:t>895728us-gaap:OtherLiabilitiesMemberus-gaap:DesignatedAsHedgingInstrumentMemberus-gaap:FairValueHedgingMemberus-gaap:CommodityContractMember2020-12-310000895728us-gaap:OtherLiabilitiesMemberus-gaap:NondesignatedMemberus-gaap:CommodityContractMember2020-12-</w:t>
      </w:r>
      <w:r>
        <w:rPr>
          <w:rFonts w:eastAsia="Times New Roman"/>
          <w:vanish/>
        </w:rPr>
        <w:t>310000895728us-gaap:OtherLiabilitiesMemberus-gaap:CommodityContractMember2020-12-310000895728us-gaap:OtherLiabilitiesMemberus-gaap:OtherContractMemberus-gaap:DesignatedAsHedgingInstrumentMemberus-gaap:CashFlowHedgingMember2020-12-310000895728us-gaap:OtherL</w:t>
      </w:r>
      <w:r>
        <w:rPr>
          <w:rFonts w:eastAsia="Times New Roman"/>
          <w:vanish/>
        </w:rPr>
        <w:t>iabilitiesMemberus-gaap:OtherContractMemberus-gaap:DesignatedAsHedgingInstrumentMemberus-gaap:NetInvestmentHedgingMember2020-12-310000895728us-gaap:OtherLiabilitiesMemberus-gaap:OtherContractMemberus-gaap:DesignatedAsHedgingInstrumentMemberus-gaap:FairValu</w:t>
      </w:r>
      <w:r>
        <w:rPr>
          <w:rFonts w:eastAsia="Times New Roman"/>
          <w:vanish/>
        </w:rPr>
        <w:t>eHedgingMember2020-12-310000895728us-gaap:OtherLiabilitiesMemberus-gaap:OtherContractMemberus-gaap:NondesignatedMember2020-12-310000895728us-gaap:OtherLiabilitiesMemberus-gaap:OtherContractMember2020-12-310000895728us-gaap:OtherLiabilitiesMemberus-gaap:Des</w:t>
      </w:r>
      <w:r>
        <w:rPr>
          <w:rFonts w:eastAsia="Times New Roman"/>
          <w:vanish/>
        </w:rPr>
        <w:t>ignatedAsHedgingInstrumentMemberus-gaap:CashFlowHedgingMember2020-12-310000895728us-gaap:OtherLiabilitiesMemberus-gaap:DesignatedAsHedgingInstrumentMemberus-gaap:NetInvestmentHedgingMember2020-12-310000895728us-gaap:OtherLiabilitiesMemberus-gaap:Designated</w:t>
      </w:r>
      <w:r>
        <w:rPr>
          <w:rFonts w:eastAsia="Times New Roman"/>
          <w:vanish/>
        </w:rPr>
        <w:t>AsHedgingInstrumentMemberus-gaap:FairValueHedgingMember2020-12-310000895728us-gaap:OtherLiabilitiesMemberus-gaap:NondesignatedMember2020-12-310000895728us-gaap:OtherLiabilitiesMember2020-12-310000895728us-gaap:DesignatedAsHedgingInstrumentMemberus-gaap:Cas</w:t>
      </w:r>
      <w:r>
        <w:rPr>
          <w:rFonts w:eastAsia="Times New Roman"/>
          <w:vanish/>
        </w:rPr>
        <w:t>hFlowHedgingMemberus-gaap:ForeignExchangeContractMember2020-12-310000895728us-gaap:DesignatedAsHedgingInstrumentMemberus-gaap:NetInvestmentHedgingMemberus-gaap:ForeignExchangeContractMember2020-12-310000895728us-gaap:DesignatedAsHedgingInstrumentMemberus-g</w:t>
      </w:r>
      <w:r>
        <w:rPr>
          <w:rFonts w:eastAsia="Times New Roman"/>
          <w:vanish/>
        </w:rPr>
        <w:t>aap:FairValueHedgingMemberus-gaap:ForeignExchangeContractMember2020-12-310000895728us-gaap:NondesignatedMemberus-gaap:ForeignExchangeContractMember2020-12-310000895728us-gaap:ForeignExchangeContractMember2020-12-310000895728us-gaap:InterestRateContractMemb</w:t>
      </w:r>
      <w:r>
        <w:rPr>
          <w:rFonts w:eastAsia="Times New Roman"/>
          <w:vanish/>
        </w:rPr>
        <w:t>erus-gaap:DesignatedAsHedgingInstrumentMemberus-gaap:CashFlowHedgingMember2020-12-310000895728us-gaap:InterestRateContractMemberus-gaap:DesignatedAsHedgingInstrumentMemberus-gaap:NetInvestmentHedgingMember2020-12-310000895728us-gaap:InterestRateContractMem</w:t>
      </w:r>
      <w:r>
        <w:rPr>
          <w:rFonts w:eastAsia="Times New Roman"/>
          <w:vanish/>
        </w:rPr>
        <w:t>berus-gaap:DesignatedAsHedgingInstrumentMemberus-gaap:FairValueHedgingMember2020-12-310000895728us-gaap:InterestRateContractMemberus-gaap:NondesignatedMember2020-12-310000895728us-gaap:InterestRateContractMember2020-12-310000895728us-gaap:DesignatedAsHedgi</w:t>
      </w:r>
      <w:r>
        <w:rPr>
          <w:rFonts w:eastAsia="Times New Roman"/>
          <w:vanish/>
        </w:rPr>
        <w:t>ngInstrumentMemberus-gaap:CommodityContractMemberus-gaap:CashFlowHedgingMember2020-12-310000895728us-gaap:DesignatedAsHedgingInstrumentMemberus-gaap:NetInvestmentHedgingMemberus-gaap:CommodityContractMember2020-12-310000895728us-gaap:DesignatedAsHedgingIns</w:t>
      </w:r>
      <w:r>
        <w:rPr>
          <w:rFonts w:eastAsia="Times New Roman"/>
          <w:vanish/>
        </w:rPr>
        <w:t>trumentMemberus-gaap:FairValueHedgingMemberus-gaap:CommodityContractMember2020-12-310000895728us-gaap:NondesignatedMemberus-gaap:CommodityContractMember2020-12-310000895728us-gaap:CommodityContractMember2020-12-310000895728us-gaap:OtherContractMemberus-gaa</w:t>
      </w:r>
      <w:r>
        <w:rPr>
          <w:rFonts w:eastAsia="Times New Roman"/>
          <w:vanish/>
        </w:rPr>
        <w:t>p:DesignatedAsHedgingInstrumentMemberus-gaap:CashFlowHedgingMember2020-12-310000895728us-gaap:OtherContractMemberus-gaap:DesignatedAsHedgingInstrumentMemberus-gaap:NetInvestmentHedgingMember2020-12-310000895728us-gaap:OtherContractMemberus-gaap:DesignatedA</w:t>
      </w:r>
      <w:r>
        <w:rPr>
          <w:rFonts w:eastAsia="Times New Roman"/>
          <w:vanish/>
        </w:rPr>
        <w:t>sHedgingInstrumentMemberus-gaap:FairValueHedgingMember2020-12-310000895728us-gaap:OtherContractMemberus-gaap:NondesignatedMember2020-12-310000895728us-gaap:OtherContractMember2020-12-310000895728us-gaap:DesignatedAsHedgingInstrumentMemberus-gaap:CashFlowHe</w:t>
      </w:r>
      <w:r>
        <w:rPr>
          <w:rFonts w:eastAsia="Times New Roman"/>
          <w:vanish/>
        </w:rPr>
        <w:t>dgingMember2020-12-310000895728us-gaap:DesignatedAsHedgingInstrumentMemberus-gaap:NetInvestmentHedgingMember2020-12-310000895728us-gaap:DesignatedAsHedgingInstrumentMemberus-gaap:FairValueHedgingMember2020-12-310000895728us-gaap:NondesignatedMember2020-12-</w:t>
      </w:r>
      <w:r>
        <w:rPr>
          <w:rFonts w:eastAsia="Times New Roman"/>
          <w:vanish/>
        </w:rPr>
        <w:t>310000895728enb:ForeignExchangeForwardPurchaseContractMember2021-12-310000895728enb:ForeignExchangeForwardPurchaseContractMember2020-12-310000895728enb:ForeignExchangeForwardSellContractMember2021-12-310000895728enb:ForeignExchangeForwardSellContractMember</w:t>
      </w:r>
      <w:r>
        <w:rPr>
          <w:rFonts w:eastAsia="Times New Roman"/>
          <w:vanish/>
        </w:rPr>
        <w:t>2020-12-31iso4217:GBPiso4217:EURiso4217:JPY0000895728enb:InterestRateContractForShortTermBorrowingsMember2021-12-310000895728enb:InterestRateContractForShortTermBorrowingsMember2020-12-310000895728enb:InterestRateContractForLongTermBorrowingsPayFixedRateMe</w:t>
      </w:r>
      <w:r>
        <w:rPr>
          <w:rFonts w:eastAsia="Times New Roman"/>
          <w:vanish/>
        </w:rPr>
        <w:t>mber2021-12-310000895728enb:InterestRateContractForLongTermBorrowingsPayFixedRateMember2020-12-310000895728us-gaap:EquityContractMember2021-12-310000895728us-gaap:EquityContractMember2020-12-310000895728srt:NaturalGasReservesMemberus-gaap:CommodityContract</w:t>
      </w:r>
      <w:r>
        <w:rPr>
          <w:rFonts w:eastAsia="Times New Roman"/>
          <w:vanish/>
        </w:rPr>
        <w:t>Member2021-12-31utr:Bcf0000895728srt:NaturalGasReservesMemberus-gaap:CommodityContractMember2020-12-310000895728srt:CrudeOilMemberus-gaap:CommodityContractMember2021-12-31utr:MMBbls0000895728srt:CrudeOilMemberus-gaap:CommodityContractMember2020-12-31000089</w:t>
      </w:r>
      <w:r>
        <w:rPr>
          <w:rFonts w:eastAsia="Times New Roman"/>
          <w:vanish/>
        </w:rPr>
        <w:t>5728enb:PowerMemberus-gaap:ShortMemberus-gaap:CommodityContractMember2021-12-31utr:MWh0000895728enb:PowerMemberus-gaap:ShortMemberus-gaap:CommodityContractMember2020-12-310000895728us-gaap:ForeignExchangeContractMemberus-gaap:CashFlowHedgingMember2021-01-0</w:t>
      </w:r>
      <w:r>
        <w:rPr>
          <w:rFonts w:eastAsia="Times New Roman"/>
          <w:vanish/>
        </w:rPr>
        <w:t>12021-12-310000895728us-gaap:ForeignExchangeContractMemberus-gaap:CashFlowHedgingMember2020-01-012020-12-310000895728us-gaap:ForeignExchangeContractMemberus-gaap:CashFlowHedgingMember2019-01-012019-12-310000895728us-gaap:InterestRateContractMemberus-gaap:C</w:t>
      </w:r>
      <w:r>
        <w:rPr>
          <w:rFonts w:eastAsia="Times New Roman"/>
          <w:vanish/>
        </w:rPr>
        <w:t>ashFlowHedgingMember2021-01-012021-12-310000895728us-gaap:InterestRateContractMemberus-gaap:CashFlowHedgingMember2020-01-012020-12-310000895728us-gaap:InterestRateContractMemberus-gaap:CashFlowHedgingMember2019-01-012019-12-310000895728us-gaap:CommodityCon</w:t>
      </w:r>
      <w:r>
        <w:rPr>
          <w:rFonts w:eastAsia="Times New Roman"/>
          <w:vanish/>
        </w:rPr>
        <w:t>tractMemberus-gaap:CashFlowHedgingMember2021-01-012021-12-310000895728us-gaap:CommodityContractMemberus-gaap:CashFlowHedgingMember2020-01-012020-12-310000895728us-gaap:CommodityContractMemberus-gaap:CashFlowHedgingMember2019-01-012019-12-310000895728us-gaa</w:t>
      </w:r>
      <w:r>
        <w:rPr>
          <w:rFonts w:eastAsia="Times New Roman"/>
          <w:vanish/>
        </w:rPr>
        <w:t>p:OtherContractMemberus-gaap:CashFlowHedgingMember2021-01-012021-12-310000895728us-gaap:OtherContractMemberus-gaap:CashFlowHedgingMember2020-01-012020-12-310000895728us-gaap:OtherContractMemberus-gaap:CashFlowHedgingMember2019-01-012019-12-310000895728us-g</w:t>
      </w:r>
      <w:r>
        <w:rPr>
          <w:rFonts w:eastAsia="Times New Roman"/>
          <w:vanish/>
        </w:rPr>
        <w:t>aap:FairValueHedgingMemberus-gaap:ForeignExchangeContractMember2021-01-012021-12-310000895728us-gaap:FairValueHedgingMemberus-gaap:ForeignExchangeContractMember2020-01-012020-12-310000895728us-gaap:FairValueHedgingMemberus-gaap:ForeignExchangeContractMembe</w:t>
      </w:r>
      <w:r>
        <w:rPr>
          <w:rFonts w:eastAsia="Times New Roman"/>
          <w:vanish/>
        </w:rPr>
        <w:t>r2019-01-012019-12-310000895728us-gaap:NetInvestmentHedgingMemberus-gaap:ForeignExchangeContractMember2021-01-012021-12-310000895728us-gaap:NetInvestmentHedgingMemberus-gaap:ForeignExchangeContractMember2020-01-012020-12-310000895728us-gaap:NetInvestmentHe</w:t>
      </w:r>
      <w:r>
        <w:rPr>
          <w:rFonts w:eastAsia="Times New Roman"/>
          <w:vanish/>
        </w:rPr>
        <w:t>dgingMemberus-gaap:ForeignExchangeContractMember2019-01-012019-12-310000895728us-gaap:CommodityContractMember2020-01-012020-12-310000895728us-gaap:CashFlowHedgingMember2021-01-012021-12-310000895728us-gaap:InterestRateContractMemberus-gaap:FairValueHedging</w:t>
      </w:r>
      <w:r>
        <w:rPr>
          <w:rFonts w:eastAsia="Times New Roman"/>
          <w:vanish/>
        </w:rPr>
        <w:t>Member2021-01-012021-12-310000895728us-gaap:InterestRateContractMemberus-gaap:FairValueHedgingMember2020-01-012020-12-310000895728us-gaap:NondesignatedMemberus-gaap:ForeignExchangeContractMember2021-01-012021-12-310000895728us-gaap:NondesignatedMemberus-ga</w:t>
      </w:r>
      <w:r>
        <w:rPr>
          <w:rFonts w:eastAsia="Times New Roman"/>
          <w:vanish/>
        </w:rPr>
        <w:t>ap:ForeignExchangeContractMember2020-01-012020-12-310000895728us-gaap:NondesignatedMemberus-gaap:ForeignExchangeContractMember2019-01-012019-12-310000895728us-gaap:InterestRateContractMemberus-gaap:NondesignatedMember2021-01-012021-12-310000895728us-gaap:I</w:t>
      </w:r>
      <w:r>
        <w:rPr>
          <w:rFonts w:eastAsia="Times New Roman"/>
          <w:vanish/>
        </w:rPr>
        <w:t>nterestRateContractMemberus-gaap:NondesignatedMember2020-01-012020-12-310000895728us-gaap:InterestRateContractMemberus-gaap:NondesignatedMember2019-01-012019-12-310000895728us-gaap:NondesignatedMemberus-gaap:CommodityContractMember2021-01-012021-12-3100008</w:t>
      </w:r>
      <w:r>
        <w:rPr>
          <w:rFonts w:eastAsia="Times New Roman"/>
          <w:vanish/>
        </w:rPr>
        <w:t>95728us-gaap:NondesignatedMemberus-gaap:CommodityContractMember2020-01-012020-12-310000895728us-gaap:NondesignatedMemberus-gaap:CommodityContractMember2019-01-012019-12-310000895728us-gaap:OtherContractMemberus-gaap:NondesignatedMember2021-01-012021-12-310</w:t>
      </w:r>
      <w:r>
        <w:rPr>
          <w:rFonts w:eastAsia="Times New Roman"/>
          <w:vanish/>
        </w:rPr>
        <w:t>000895728us-gaap:OtherContractMemberus-gaap:NondesignatedMember2020-01-012020-12-310000895728us-gaap:OtherContractMemberus-gaap:NondesignatedMember2019-01-012019-12-310000895728us-gaap:NondesignatedMember2021-01-012021-12-310000895728us-gaap:NondesignatedM</w:t>
      </w:r>
      <w:r>
        <w:rPr>
          <w:rFonts w:eastAsia="Times New Roman"/>
          <w:vanish/>
        </w:rPr>
        <w:t>ember2020-01-012020-12-310000895728us-gaap:NondesignatedMember2019-01-012019-12-310000895728us-gaap:NondesignatedMemberenb:TransportationAndOtherServicesMemberus-gaap:ForeignExchangeContractMember2021-01-012021-12-310000895728us-gaap:NondesignatedMemberenb</w:t>
      </w:r>
      <w:r>
        <w:rPr>
          <w:rFonts w:eastAsia="Times New Roman"/>
          <w:vanish/>
        </w:rPr>
        <w:t>:TransportationAndOtherServicesMemberus-gaap:ForeignExchangeContractMember2020-01-012020-12-310000895728us-gaap:NondesignatedMemberenb:TransportationAndOtherServicesMemberus-gaap:ForeignExchangeContractMember2019-01-012019-12-310000895728us-gaap:Nondesigna</w:t>
      </w:r>
      <w:r>
        <w:rPr>
          <w:rFonts w:eastAsia="Times New Roman"/>
          <w:vanish/>
        </w:rPr>
        <w:t>tedMemberenb:OtherIncomeExpenseMemberus-gaap:ForeignExchangeContractMember2021-01-012021-12-310000895728us-gaap:NondesignatedMemberenb:OtherIncomeExpenseMemberus-gaap:ForeignExchangeContractMember2020-01-012020-12-310000895728us-gaap:NondesignatedMemberenb</w:t>
      </w:r>
      <w:r>
        <w:rPr>
          <w:rFonts w:eastAsia="Times New Roman"/>
          <w:vanish/>
        </w:rPr>
        <w:t>:OtherIncomeExpenseMemberus-gaap:ForeignExchangeContractMember2019-01-012019-12-310000895728us-gaap:NondesignatedMemberenb:TransportationAndOtherServicesMemberus-gaap:CommodityContractMember2021-01-012021-12-310000895728us-gaap:NondesignatedMemberenb:Trans</w:t>
      </w:r>
      <w:r>
        <w:rPr>
          <w:rFonts w:eastAsia="Times New Roman"/>
          <w:vanish/>
        </w:rPr>
        <w:t>portationAndOtherServicesMemberus-gaap:CommodityContractMember2020-01-012020-12-310000895728us-gaap:NondesignatedMemberenb:TransportationAndOtherServicesMemberus-gaap:CommodityContractMember2019-01-012019-12-310000895728us-gaap:NondesignatedMemberenb:Commo</w:t>
      </w:r>
      <w:r>
        <w:rPr>
          <w:rFonts w:eastAsia="Times New Roman"/>
          <w:vanish/>
        </w:rPr>
        <w:t>ditySalesMemberus-gaap:CommodityContractMember2021-01-012021-12-310000895728us-gaap:NondesignatedMemberenb:CommoditySalesMemberus-gaap:CommodityContractMember2020-01-012020-12-310000895728us-gaap:NondesignatedMemberenb:CommoditySalesMemberus-gaap:Commodity</w:t>
      </w:r>
      <w:r>
        <w:rPr>
          <w:rFonts w:eastAsia="Times New Roman"/>
          <w:vanish/>
        </w:rPr>
        <w:t>ContractMember2019-01-012019-12-310000895728us-gaap:NondesignatedMemberenb:CommodityCostsMemberus-gaap:CommodityContractMember2021-01-012021-12-310000895728us-gaap:NondesignatedMemberenb:CommodityCostsMemberus-gaap:CommodityContractMember2020-01-012020-12-</w:t>
      </w:r>
      <w:r>
        <w:rPr>
          <w:rFonts w:eastAsia="Times New Roman"/>
          <w:vanish/>
        </w:rPr>
        <w:t>310000895728us-gaap:NondesignatedMemberenb:CommodityCostsMemberus-gaap:CommodityContractMember2019-01-012019-12-310000895728us-gaap:NondesignatedMemberenb:OperatingAndAdministrativeExpenseMemberus-gaap:CommodityContractMember2021-01-012021-12-310000895728u</w:t>
      </w:r>
      <w:r>
        <w:rPr>
          <w:rFonts w:eastAsia="Times New Roman"/>
          <w:vanish/>
        </w:rPr>
        <w:t>s-gaap:NondesignatedMemberenb:OperatingAndAdministrativeExpenseMemberus-gaap:CommodityContractMember2020-01-012020-12-310000895728us-gaap:NondesignatedMemberenb:OperatingAndAdministrativeExpenseMemberus-gaap:CommodityContractMember2019-01-012019-12-3100008</w:t>
      </w:r>
      <w:r>
        <w:rPr>
          <w:rFonts w:eastAsia="Times New Roman"/>
          <w:vanish/>
        </w:rPr>
        <w:t>95728enb:CanadianFinancialInstitutionsMemberus-gaap:DerivativeMember2021-01-012021-12-310000895728enb:CanadianFinancialInstitutionsMemberus-gaap:DerivativeMember2020-01-012020-12-310000895728enb:USFinancialInstitutionsMemberus-gaap:DerivativeMember2021-01-</w:t>
      </w:r>
      <w:r>
        <w:rPr>
          <w:rFonts w:eastAsia="Times New Roman"/>
          <w:vanish/>
        </w:rPr>
        <w:t>012021-12-310000895728enb:USFinancialInstitutionsMemberus-gaap:DerivativeMember2020-01-012020-12-310000895728enb:EuropeanFinancialInstitutionsMemberus-gaap:DerivativeMember2021-01-012021-12-310000895728enb:EuropeanFinancialInstitutionsMemberus-gaap:Derivat</w:t>
      </w:r>
      <w:r>
        <w:rPr>
          <w:rFonts w:eastAsia="Times New Roman"/>
          <w:vanish/>
        </w:rPr>
        <w:t>iveMember2020-01-012020-12-310000895728enb:AsianFinancialInstitutionsMemberus-gaap:DerivativeMember2021-01-012021-12-310000895728enb:AsianFinancialInstitutionsMemberus-gaap:DerivativeMember2020-01-012020-12-310000895728enb:OtherCounterpartiesMemberus-gaap:</w:t>
      </w:r>
      <w:r>
        <w:rPr>
          <w:rFonts w:eastAsia="Times New Roman"/>
          <w:vanish/>
        </w:rPr>
        <w:t>DerivativeMember2021-01-012021-12-310000895728enb:OtherCounterpartiesMemberus-gaap:DerivativeMember2020-01-012020-12-310000895728us-gaap:DerivativeMember2021-01-012021-12-310000895728us-gaap:DerivativeMember2020-01-012020-12-310000895728us-gaap:FairValueIn</w:t>
      </w:r>
      <w:r>
        <w:rPr>
          <w:rFonts w:eastAsia="Times New Roman"/>
          <w:vanish/>
        </w:rPr>
        <w:t>putsLevel1Memberus-gaap:EstimateOfFairValueFairValueDisclosureMemberus-gaap:ForeignExchangeContractMember2021-12-310000895728us-gaap:FairValueInputsLevel2Memberus-gaap:EstimateOfFairValueFairValueDisclosureMemberus-gaap:ForeignExchangeContractMember2021-12</w:t>
      </w:r>
      <w:r>
        <w:rPr>
          <w:rFonts w:eastAsia="Times New Roman"/>
          <w:vanish/>
        </w:rPr>
        <w:t>-310000895728us-gaap:FairValueInputsLevel3Memberus-gaap:EstimateOfFairValueFairValueDisclosureMemberus-gaap:ForeignExchangeContractMember2021-12-310000895728us-gaap:EstimateOfFairValueFairValueDisclosureMemberus-gaap:ForeignExchangeContractMember2021-12-31</w:t>
      </w:r>
      <w:r>
        <w:rPr>
          <w:rFonts w:eastAsia="Times New Roman"/>
          <w:vanish/>
        </w:rPr>
        <w:t>0000895728us-gaap:InterestRateContractMemberus-gaap:FairValueInputsLevel1Memberus-gaap:EstimateOfFairValueFairValueDisclosureMember2021-12-310000895728us-gaap:InterestRateContractMemberus-gaap:FairValueInputsLevel2Memberus-gaap:EstimateOfFairValueFairValue</w:t>
      </w:r>
      <w:r>
        <w:rPr>
          <w:rFonts w:eastAsia="Times New Roman"/>
          <w:vanish/>
        </w:rPr>
        <w:t>DisclosureMember2021-12-310000895728us-gaap:InterestRateContractMemberus-gaap:FairValueInputsLevel3Memberus-gaap:EstimateOfFairValueFairValueDisclosureMember2021-12-310000895728us-gaap:InterestRateContractMemberus-gaap:EstimateOfFairValueFairValueDisclosur</w:t>
      </w:r>
      <w:r>
        <w:rPr>
          <w:rFonts w:eastAsia="Times New Roman"/>
          <w:vanish/>
        </w:rPr>
        <w:t>eMember2021-12-310000895728us-gaap:FairValueInputsLevel1Memberus-gaap:CommodityContractMemberus-gaap:EstimateOfFairValueFairValueDisclosureMember2021-12-310000895728us-gaap:FairValueInputsLevel2Memberus-gaap:CommodityContractMemberus-gaap:EstimateOfFairVal</w:t>
      </w:r>
      <w:r>
        <w:rPr>
          <w:rFonts w:eastAsia="Times New Roman"/>
          <w:vanish/>
        </w:rPr>
        <w:t>ueFairValueDisclosureMember2021-12-310000895728us-gaap:FairValueInputsLevel3Memberus-gaap:CommodityContractMemberus-gaap:EstimateOfFairValueFairValueDisclosureMember2021-12-310000895728us-gaap:CommodityContractMemberus-gaap:EstimateOfFairValueFairValueDisc</w:t>
      </w:r>
      <w:r>
        <w:rPr>
          <w:rFonts w:eastAsia="Times New Roman"/>
          <w:vanish/>
        </w:rPr>
        <w:t>losureMember2021-12-310000895728us-gaap:OtherContractMemberus-gaap:FairValueInputsLevel1Memberus-gaap:EstimateOfFairValueFairValueDisclosureMember2021-12-310000895728us-gaap:OtherContractMemberus-gaap:FairValueInputsLevel2Memberus-gaap:EstimateOfFairValueF</w:t>
      </w:r>
      <w:r>
        <w:rPr>
          <w:rFonts w:eastAsia="Times New Roman"/>
          <w:vanish/>
        </w:rPr>
        <w:t>airValueDisclosureMember2021-12-310000895728us-gaap:OtherContractMemberus-gaap:FairValueInputsLevel3Memberus-gaap:EstimateOfFairValueFairValueDisclosureMember2021-12-310000895728us-gaap:OtherContractMemberus-gaap:EstimateOfFairValueFairValueDisclosureMembe</w:t>
      </w:r>
      <w:r>
        <w:rPr>
          <w:rFonts w:eastAsia="Times New Roman"/>
          <w:vanish/>
        </w:rPr>
        <w:t>r2021-12-310000895728us-gaap:FairValueInputsLevel1Memberus-gaap:EstimateOfFairValueFairValueDisclosureMember2021-12-310000895728us-gaap:FairValueInputsLevel2Memberus-gaap:EstimateOfFairValueFairValueDisclosureMember2021-12-310000895728us-gaap:FairValueInpu</w:t>
      </w:r>
      <w:r>
        <w:rPr>
          <w:rFonts w:eastAsia="Times New Roman"/>
          <w:vanish/>
        </w:rPr>
        <w:t>tsLevel3Memberus-gaap:EstimateOfFairValueFairValueDisclosureMember2021-12-310000895728us-gaap:EstimateOfFairValueFairValueDisclosureMember2021-12-310000895728us-gaap:FairValueInputsLevel1Memberus-gaap:EstimateOfFairValueFairValueDisclosureMemberus-gaap:For</w:t>
      </w:r>
      <w:r>
        <w:rPr>
          <w:rFonts w:eastAsia="Times New Roman"/>
          <w:vanish/>
        </w:rPr>
        <w:t>eignExchangeContractMember2020-12-310000895728us-gaap:FairValueInputsLevel2Memberus-gaap:EstimateOfFairValueFairValueDisclosureMemberus-gaap:ForeignExchangeContractMember2020-12-310000895728us-gaap:FairValueInputsLevel3Memberus-gaap:EstimateOfFairValueFair</w:t>
      </w:r>
      <w:r>
        <w:rPr>
          <w:rFonts w:eastAsia="Times New Roman"/>
          <w:vanish/>
        </w:rPr>
        <w:t>ValueDisclosureMemberus-gaap:ForeignExchangeContractMember2020-12-310000895728us-gaap:EstimateOfFairValueFairValueDisclosureMemberus-gaap:ForeignExchangeContractMember2020-12-310000895728us-gaap:InterestRateContractMemberus-gaap:FairValueInputsLevel1Member</w:t>
      </w:r>
      <w:r>
        <w:rPr>
          <w:rFonts w:eastAsia="Times New Roman"/>
          <w:vanish/>
        </w:rPr>
        <w:t>us-gaap:EstimateOfFairValueFairValueDisclosureMember2020-12-310000895728us-gaap:InterestRateContractMemberus-gaap:FairValueInputsLevel2Memberus-gaap:EstimateOfFairValueFairValueDisclosureMember2020-12-310000895728us-gaap:InterestRateContractMemberus-gaap:F</w:t>
      </w:r>
      <w:r>
        <w:rPr>
          <w:rFonts w:eastAsia="Times New Roman"/>
          <w:vanish/>
        </w:rPr>
        <w:t>airValueInputsLevel3Memberus-gaap:EstimateOfFairValueFairValueDisclosureMember2020-12-310000895728us-gaap:InterestRateContractMemberus-gaap:EstimateOfFairValueFairValueDisclosureMember2020-12-310000895728us-gaap:FairValueInputsLevel1Memberus-gaap:Commodity</w:t>
      </w:r>
      <w:r>
        <w:rPr>
          <w:rFonts w:eastAsia="Times New Roman"/>
          <w:vanish/>
        </w:rPr>
        <w:t>ContractMemberus-gaap:EstimateOfFairValueFairValueDisclosureMember2020-12-310000895728us-gaap:FairValueInputsLevel2Memberus-gaap:CommodityContractMemberus-gaap:EstimateOfFairValueFairValueDisclosureMember2020-12-310000895728us-gaap:FairValueInputsLevel3Mem</w:t>
      </w:r>
      <w:r>
        <w:rPr>
          <w:rFonts w:eastAsia="Times New Roman"/>
          <w:vanish/>
        </w:rPr>
        <w:t>berus-gaap:CommodityContractMemberus-gaap:EstimateOfFairValueFairValueDisclosureMember2020-12-310000895728us-gaap:CommodityContractMemberus-gaap:EstimateOfFairValueFairValueDisclosureMember2020-12-310000895728us-gaap:OtherContractMemberus-gaap:FairValueInp</w:t>
      </w:r>
      <w:r>
        <w:rPr>
          <w:rFonts w:eastAsia="Times New Roman"/>
          <w:vanish/>
        </w:rPr>
        <w:t>utsLevel1Memberus-gaap:EstimateOfFairValueFairValueDisclosureMember2020-12-310000895728us-gaap:OtherContractMemberus-gaap:FairValueInputsLevel2Memberus-gaap:EstimateOfFairValueFairValueDisclosureMember2020-12-310000895728us-gaap:OtherContractMemberus-gaap:</w:t>
      </w:r>
      <w:r>
        <w:rPr>
          <w:rFonts w:eastAsia="Times New Roman"/>
          <w:vanish/>
        </w:rPr>
        <w:t>FairValueInputsLevel3Memberus-gaap:EstimateOfFairValueFairValueDisclosureMember2020-12-310000895728us-gaap:OtherContractMemberus-gaap:EstimateOfFairValueFairValueDisclosureMember2020-12-310000895728us-gaap:FairValueInputsLevel1Memberus-gaap:EstimateOfFairV</w:t>
      </w:r>
      <w:r>
        <w:rPr>
          <w:rFonts w:eastAsia="Times New Roman"/>
          <w:vanish/>
        </w:rPr>
        <w:t>alueFairValueDisclosureMember2020-12-310000895728us-gaap:FairValueInputsLevel2Memberus-gaap:EstimateOfFairValueFairValueDisclosureMember2020-12-310000895728us-gaap:FairValueInputsLevel3Memberus-gaap:EstimateOfFairValueFairValueDisclosureMember2020-12-31000</w:t>
      </w:r>
      <w:r>
        <w:rPr>
          <w:rFonts w:eastAsia="Times New Roman"/>
          <w:vanish/>
        </w:rPr>
        <w:t>0895728us-gaap:EstimateOfFairValueFairValueDisclosureMember2020-12-310000895728srt:NaturalGasReservesMemberus-gaap:MarketApproachValuationTechniqueMemberus-gaap:FairValueInputsLevel3Memberenb:FinancialForwardCommodityContractMemberus-gaap:EstimateOfFairVal</w:t>
      </w:r>
      <w:r>
        <w:rPr>
          <w:rFonts w:eastAsia="Times New Roman"/>
          <w:vanish/>
        </w:rPr>
        <w:t>ueFairValueDisclosureMember2021-12-310000895728srt:NaturalGasReservesMemberus-gaap:MarketApproachValuationTechniqueMembersrt:MinimumMemberus-gaap:FairValueInputsLevel3Memberenb:FinancialForwardCommodityContractMember2021-12-31iso4217:CADenb:MillionsofBTU-M</w:t>
      </w:r>
      <w:r>
        <w:rPr>
          <w:rFonts w:eastAsia="Times New Roman"/>
          <w:vanish/>
        </w:rPr>
        <w:t>MBTU0000895728srt:NaturalGasReservesMemberus-gaap:MarketApproachValuationTechniqueMembersrt:MaximumMemberus-gaap:FairValueInputsLevel3Memberenb:FinancialForwardCommodityContractMember2021-12-310000895728srt:NaturalGasReservesMemberus-gaap:MarketApproachVal</w:t>
      </w:r>
      <w:r>
        <w:rPr>
          <w:rFonts w:eastAsia="Times New Roman"/>
          <w:vanish/>
        </w:rPr>
        <w:t>uationTechniqueMembersrt:WeightedAverageMemberus-gaap:FairValueInputsLevel3Memberenb:FinancialForwardCommodityContractMember2021-12-310000895728us-gaap:MarketApproachValuationTechniqueMemberus-gaap:FairValueInputsLevel3Memberenb:FinancialForwardCommodityCo</w:t>
      </w:r>
      <w:r>
        <w:rPr>
          <w:rFonts w:eastAsia="Times New Roman"/>
          <w:vanish/>
        </w:rPr>
        <w:t>ntractMembersrt:CrudeOilMemberus-gaap:EstimateOfFairValueFairValueDisclosureMember2021-12-310000895728us-gaap:MarketApproachValuationTechniqueMembersrt:MinimumMemberus-gaap:FairValueInputsLevel3Memberenb:FinancialForwardCommodityContractMembersrt:CrudeOilM</w:t>
      </w:r>
      <w:r>
        <w:rPr>
          <w:rFonts w:eastAsia="Times New Roman"/>
          <w:vanish/>
        </w:rPr>
        <w:t>ember2021-12-31iso4217:CADutr:bbl0000895728us-gaap:MarketApproachValuationTechniqueMembersrt:MaximumMemberus-gaap:FairValueInputsLevel3Memberenb:FinancialForwardCommodityContractMembersrt:CrudeOilMember2021-12-310000895728us-gaap:MarketApproachValuationTec</w:t>
      </w:r>
      <w:r>
        <w:rPr>
          <w:rFonts w:eastAsia="Times New Roman"/>
          <w:vanish/>
        </w:rPr>
        <w:t>hniqueMembersrt:WeightedAverageMemberus-gaap:FairValueInputsLevel3Memberenb:FinancialForwardCommodityContractMembersrt:CrudeOilMember2021-12-310000895728us-gaap:MarketApproachValuationTechniqueMemberus-gaap:FairValueInputsLevel3Memberenb:FinancialForwardCo</w:t>
      </w:r>
      <w:r>
        <w:rPr>
          <w:rFonts w:eastAsia="Times New Roman"/>
          <w:vanish/>
        </w:rPr>
        <w:t>mmodityContractMemberenb:PowerMemberus-gaap:EstimateOfFairValueFairValueDisclosureMember2021-12-310000895728us-gaap:MarketApproachValuationTechniqueMembersrt:MinimumMemberus-gaap:FairValueInputsLevel3Memberenb:FinancialForwardCommodityContractMemberenb:Pow</w:t>
      </w:r>
      <w:r>
        <w:rPr>
          <w:rFonts w:eastAsia="Times New Roman"/>
          <w:vanish/>
        </w:rPr>
        <w:t>erMember2021-12-31iso4217:CADutr:MWh0000895728us-gaap:MarketApproachValuationTechniqueMembersrt:MaximumMemberus-gaap:FairValueInputsLevel3Memberenb:FinancialForwardCommodityContractMemberenb:PowerMember2021-12-310000895728us-gaap:MarketApproachValuationTec</w:t>
      </w:r>
      <w:r>
        <w:rPr>
          <w:rFonts w:eastAsia="Times New Roman"/>
          <w:vanish/>
        </w:rPr>
        <w:t>hniqueMembersrt:WeightedAverageMemberus-gaap:FairValueInputsLevel3Memberenb:FinancialForwardCommodityContractMemberenb:PowerMember2021-12-310000895728srt:NaturalGasReservesMemberus-gaap:MarketApproachValuationTechniqueMemberenb:PhysicalForwardCommodityCont</w:t>
      </w:r>
      <w:r>
        <w:rPr>
          <w:rFonts w:eastAsia="Times New Roman"/>
          <w:vanish/>
        </w:rPr>
        <w:t>ractMemberus-gaap:FairValueInputsLevel3Memberus-gaap:EstimateOfFairValueFairValueDisclosureMember2021-12-310000895728srt:NaturalGasReservesMemberus-gaap:MarketApproachValuationTechniqueMembersrt:MinimumMemberenb:PhysicalForwardCommodityContractMemberus-gaa</w:t>
      </w:r>
      <w:r>
        <w:rPr>
          <w:rFonts w:eastAsia="Times New Roman"/>
          <w:vanish/>
        </w:rPr>
        <w:t>p:FairValueInputsLevel3Member2021-12-310000895728srt:NaturalGasReservesMemberus-gaap:MarketApproachValuationTechniqueMembersrt:MaximumMemberenb:PhysicalForwardCommodityContractMemberus-gaap:FairValueInputsLevel3Member2021-12-310000895728srt:NaturalGasReser</w:t>
      </w:r>
      <w:r>
        <w:rPr>
          <w:rFonts w:eastAsia="Times New Roman"/>
          <w:vanish/>
        </w:rPr>
        <w:t>vesMemberus-gaap:MarketApproachValuationTechniqueMembersrt:WeightedAverageMemberenb:PhysicalForwardCommodityContractMemberus-gaap:FairValueInputsLevel3Member2021-12-310000895728us-gaap:MarketApproachValuationTechniqueMemberenb:PhysicalForwardCommodityContr</w:t>
      </w:r>
      <w:r>
        <w:rPr>
          <w:rFonts w:eastAsia="Times New Roman"/>
          <w:vanish/>
        </w:rPr>
        <w:t>actMemberus-gaap:FairValueInputsLevel3Membersrt:CrudeOilMemberus-gaap:EstimateOfFairValueFairValueDisclosureMember2021-12-310000895728us-gaap:MarketApproachValuationTechniqueMembersrt:MinimumMemberenb:PhysicalForwardCommodityContractMemberus-gaap:FairValue</w:t>
      </w:r>
      <w:r>
        <w:rPr>
          <w:rFonts w:eastAsia="Times New Roman"/>
          <w:vanish/>
        </w:rPr>
        <w:t>InputsLevel3Membersrt:CrudeOilMember2021-12-310000895728us-gaap:MarketApproachValuationTechniqueMembersrt:MaximumMemberenb:PhysicalForwardCommodityContractMemberus-gaap:FairValueInputsLevel3Membersrt:CrudeOilMember2021-12-310000895728us-gaap:MarketApproach</w:t>
      </w:r>
      <w:r>
        <w:rPr>
          <w:rFonts w:eastAsia="Times New Roman"/>
          <w:vanish/>
        </w:rPr>
        <w:t>ValuationTechniqueMembersrt:WeightedAverageMemberenb:PhysicalForwardCommodityContractMemberus-gaap:FairValueInputsLevel3Membersrt:CrudeOilMember2021-12-310000895728us-gaap:NetInvestmentHedgingMember2021-01-012021-12-310000895728us-gaap:NetInvestmentHedging</w:t>
      </w:r>
      <w:r>
        <w:rPr>
          <w:rFonts w:eastAsia="Times New Roman"/>
          <w:vanish/>
        </w:rPr>
        <w:t>Member2020-01-012020-12-310000895728us-gaap:CarryingReportedAmountFairValueDisclosureMember2021-12-310000895728us-gaap:CarryingReportedAmountFairValueDisclosureMember2020-12-310000895728srt:MaximumMember2021-12-310000895728us-gaap:InterestRateSwaptionMembe</w:t>
      </w:r>
      <w:r>
        <w:rPr>
          <w:rFonts w:eastAsia="Times New Roman"/>
          <w:vanish/>
        </w:rPr>
        <w:t>r2021-12-310000895728enb:InterestRateContractForLongTermBorrowingsMember2021-12-310000895728enb:OtherCountriesMember2021-01-012021-12-310000895728enb:OtherCountriesMember2020-01-012020-12-310000895728enb:OtherCountriesMember2019-01-012019-12-310000895728us</w:t>
      </w:r>
      <w:r>
        <w:rPr>
          <w:rFonts w:eastAsia="Times New Roman"/>
          <w:vanish/>
        </w:rPr>
        <w:t>-gaap:PensionPlansDefinedBenefitMembercountry:CA2020-12-310000895728us-gaap:PensionPlansDefinedBenefitMembercountry:CA2019-12-310000895728us-gaap:ForeignPlanMemberus-gaap:PensionPlansDefinedBenefitMember2020-12-310000895728us-gaap:ForeignPlanMemberus-gaap:</w:t>
      </w:r>
      <w:r>
        <w:rPr>
          <w:rFonts w:eastAsia="Times New Roman"/>
          <w:vanish/>
        </w:rPr>
        <w:t>PensionPlansDefinedBenefitMember2019-12-310000895728us-gaap:PensionPlansDefinedBenefitMembercountry:CA2021-01-012021-12-310000895728us-gaap:PensionPlansDefinedBenefitMembercountry:CA2020-01-012020-12-310000895728us-gaap:ForeignPlanMemberus-gaap:PensionPlan</w:t>
      </w:r>
      <w:r>
        <w:rPr>
          <w:rFonts w:eastAsia="Times New Roman"/>
          <w:vanish/>
        </w:rPr>
        <w:t>sDefinedBenefitMember2021-01-012021-12-310000895728us-gaap:ForeignPlanMemberus-gaap:PensionPlansDefinedBenefitMember2020-01-012020-12-310000895728us-gaap:PensionPlansDefinedBenefitMembercountry:CA2021-12-310000895728us-gaap:ForeignPlanMemberus-gaap:Pension</w:t>
      </w:r>
      <w:r>
        <w:rPr>
          <w:rFonts w:eastAsia="Times New Roman"/>
          <w:vanish/>
        </w:rPr>
        <w:t>PlansDefinedBenefitMember2021-12-310000895728us-gaap:SupplementalEmployeeRetirementPlanDefinedBenefitMembercountry:CA2021-12-310000895728us-gaap:SupplementalEmployeeRetirementPlanDefinedBenefitMembercountry:CA2020-12-310000895728us-gaap:ForeignPlanMemberus</w:t>
      </w:r>
      <w:r>
        <w:rPr>
          <w:rFonts w:eastAsia="Times New Roman"/>
          <w:vanish/>
        </w:rPr>
        <w:t>-gaap:SupplementalEmployeeRetirementPlanDefinedBenefitMember2021-12-310000895728us-gaap:ForeignPlanMemberus-gaap:SupplementalEmployeeRetirementPlanDefinedBenefitMember2020-12-310000895728country:CA2021-12-310000895728country:CA2020-12-310000895728us-gaap:F</w:t>
      </w:r>
      <w:r>
        <w:rPr>
          <w:rFonts w:eastAsia="Times New Roman"/>
          <w:vanish/>
        </w:rPr>
        <w:t>oreignPlanMember2021-12-310000895728us-gaap:ForeignPlanMember2020-12-310000895728country:CAus-gaap:OtherPostretirementBenefitPlansDefinedBenefitMember2021-12-310000895728country:CAus-gaap:OtherPostretirementBenefitPlansDefinedBenefitMember2020-12-310000895</w:t>
      </w:r>
      <w:r>
        <w:rPr>
          <w:rFonts w:eastAsia="Times New Roman"/>
          <w:vanish/>
        </w:rPr>
        <w:t>728us-gaap:ForeignPlanMemberus-gaap:OtherPostretirementBenefitPlansDefinedBenefitMember2021-12-310000895728us-gaap:ForeignPlanMemberus-gaap:OtherPostretirementBenefitPlansDefinedBenefitMember2020-12-310000895728us-gaap:PensionPlansDefinedBenefitMembercount</w:t>
      </w:r>
      <w:r>
        <w:rPr>
          <w:rFonts w:eastAsia="Times New Roman"/>
          <w:vanish/>
        </w:rPr>
        <w:t>ry:CA2019-01-012019-12-310000895728us-gaap:ForeignPlanMemberus-gaap:PensionPlansDefinedBenefitMember2019-01-012019-12-310000895728country:CAus-gaap:OtherPostretirementBenefitPlansDefinedBenefitMember2019-12-310000895728us-gaap:ForeignPlanMemberus-gaap:Othe</w:t>
      </w:r>
      <w:r>
        <w:rPr>
          <w:rFonts w:eastAsia="Times New Roman"/>
          <w:vanish/>
        </w:rPr>
        <w:t>rPostretirementBenefitPlansDefinedBenefitMember2019-12-310000895728country:CAus-gaap:OtherPostretirementBenefitPlansDefinedBenefitMember2021-01-012021-12-310000895728country:CAus-gaap:OtherPostretirementBenefitPlansDefinedBenefitMember2020-01-012020-12-310</w:t>
      </w:r>
      <w:r>
        <w:rPr>
          <w:rFonts w:eastAsia="Times New Roman"/>
          <w:vanish/>
        </w:rPr>
        <w:t>000895728us-gaap:ForeignPlanMemberus-gaap:OtherPostretirementBenefitPlansDefinedBenefitMember2021-01-012021-12-310000895728us-gaap:ForeignPlanMemberus-gaap:OtherPostretirementBenefitPlansDefinedBenefitMember2020-01-012020-12-310000895728country:CAus-gaap:O</w:t>
      </w:r>
      <w:r>
        <w:rPr>
          <w:rFonts w:eastAsia="Times New Roman"/>
          <w:vanish/>
        </w:rPr>
        <w:t>therPostretirementBenefitPlansDefinedBenefitMember2019-01-012019-12-310000895728us-gaap:ForeignPlanMemberus-gaap:OtherPostretirementBenefitPlansDefinedBenefitMember2019-01-012019-12-310000895728us-gaap:ForeignPlanMember2021-01-012021-12-310000895728us-gaap</w:t>
      </w:r>
      <w:r>
        <w:rPr>
          <w:rFonts w:eastAsia="Times New Roman"/>
          <w:vanish/>
        </w:rPr>
        <w:t>:ForeignPlanMember2020-01-012020-12-310000895728country:CAus-gaap:DefinedBenefitPlanEquitySecuritiesMember2021-12-310000895728country:CAus-gaap:DefinedBenefitPlanEquitySecuritiesMember2020-12-310000895728us-gaap:ForeignPlanMemberus-gaap:DefinedBenefitPlanE</w:t>
      </w:r>
      <w:r>
        <w:rPr>
          <w:rFonts w:eastAsia="Times New Roman"/>
          <w:vanish/>
        </w:rPr>
        <w:t>quitySecuritiesMember2021-12-310000895728us-gaap:ForeignPlanMemberus-gaap:DefinedBenefitPlanEquitySecuritiesMember2020-12-310000895728country:CAus-gaap:FixedIncomeSecuritiesMember2021-12-310000895728country:CAus-gaap:FixedIncomeSecuritiesMember2020-12-3100</w:t>
      </w:r>
      <w:r>
        <w:rPr>
          <w:rFonts w:eastAsia="Times New Roman"/>
          <w:vanish/>
        </w:rPr>
        <w:t>00895728us-gaap:ForeignPlanMemberus-gaap:FixedIncomeSecuritiesMember2021-12-310000895728us-gaap:ForeignPlanMemberus-gaap:FixedIncomeSecuritiesMember2020-12-310000895728enb:OtherPlanAssetsMembercountry:CA2021-12-310000895728enb:OtherPlanAssetsMembercountry:</w:t>
      </w:r>
      <w:r>
        <w:rPr>
          <w:rFonts w:eastAsia="Times New Roman"/>
          <w:vanish/>
        </w:rPr>
        <w:t>CA2020-12-310000895728us-gaap:ForeignPlanMemberenb:OtherPlanAssetsMember2021-12-310000895728us-gaap:ForeignPlanMemberenb:OtherPlanAssetsMember2020-12-310000895728us-gaap:PensionPlansDefinedBenefitMemberus-gaap:FairValueInputsLevel1Membercountry:CAus-gaap:D</w:t>
      </w:r>
      <w:r>
        <w:rPr>
          <w:rFonts w:eastAsia="Times New Roman"/>
          <w:vanish/>
        </w:rPr>
        <w:t>efinedBenefitPlanCashAndCashEquivalentsMember2021-12-310000895728us-gaap:PensionPlansDefinedBenefitMembercountry:CAus-gaap:DefinedBenefitPlanCashAndCashEquivalentsMemberus-gaap:FairValueInputsLevel2Member2021-12-310000895728us-gaap:PensionPlansDefinedBenef</w:t>
      </w:r>
      <w:r>
        <w:rPr>
          <w:rFonts w:eastAsia="Times New Roman"/>
          <w:vanish/>
        </w:rPr>
        <w:t>itMemberus-gaap:FairValueInputsLevel3Membercountry:CAus-gaap:DefinedBenefitPlanCashAndCashEquivalentsMember2021-12-310000895728us-gaap:PensionPlansDefinedBenefitMembercountry:CAus-gaap:DefinedBenefitPlanCashAndCashEquivalentsMember2021-12-310000895728us-ga</w:t>
      </w:r>
      <w:r>
        <w:rPr>
          <w:rFonts w:eastAsia="Times New Roman"/>
          <w:vanish/>
        </w:rPr>
        <w:t>ap:ForeignPlanMemberus-gaap:PensionPlansDefinedBenefitMemberus-gaap:FairValueInputsLevel1Memberus-gaap:DefinedBenefitPlanCashAndCashEquivalentsMember2021-12-310000895728us-gaap:ForeignPlanMemberus-gaap:PensionPlansDefinedBenefitMemberus-gaap:DefinedBenefit</w:t>
      </w:r>
      <w:r>
        <w:rPr>
          <w:rFonts w:eastAsia="Times New Roman"/>
          <w:vanish/>
        </w:rPr>
        <w:t>PlanCashAndCashEquivalentsMemberus-gaap:FairValueInputsLevel2Member2021-12-310000895728us-gaap:ForeignPlanMemberus-gaap:PensionPlansDefinedBenefitMemberus-gaap:FairValueInputsLevel3Memberus-gaap:DefinedBenefitPlanCashAndCashEquivalentsMember2021-12-3100008</w:t>
      </w:r>
      <w:r>
        <w:rPr>
          <w:rFonts w:eastAsia="Times New Roman"/>
          <w:vanish/>
        </w:rPr>
        <w:t>95728us-gaap:ForeignPlanMemberus-gaap:PensionPlansDefinedBenefitMemberus-gaap:DefinedBenefitPlanCashAndCashEquivalentsMember2021-12-310000895728us-gaap:DefinedBenefitPlanEquitySecuritiesNonUsMemberus-gaap:PensionPlansDefinedBenefitMemberus-gaap:FairValueIn</w:t>
      </w:r>
      <w:r>
        <w:rPr>
          <w:rFonts w:eastAsia="Times New Roman"/>
          <w:vanish/>
        </w:rPr>
        <w:t>putsLevel1Membercountry:CA2021-12-310000895728us-gaap:DefinedBenefitPlanEquitySecuritiesNonUsMemberus-gaap:PensionPlansDefinedBenefitMembercountry:CAus-gaap:FairValueInputsLevel2Member2021-12-310000895728us-gaap:DefinedBenefitPlanEquitySecuritiesNonUsMembe</w:t>
      </w:r>
      <w:r>
        <w:rPr>
          <w:rFonts w:eastAsia="Times New Roman"/>
          <w:vanish/>
        </w:rPr>
        <w:t>rus-gaap:PensionPlansDefinedBenefitMemberus-gaap:FairValueInputsLevel3Membercountry:CA2021-12-310000895728us-gaap:DefinedBenefitPlanEquitySecuritiesNonUsMemberus-gaap:PensionPlansDefinedBenefitMembercountry:CA2021-12-310000895728us-gaap:ForeignPlanMemberus</w:t>
      </w:r>
      <w:r>
        <w:rPr>
          <w:rFonts w:eastAsia="Times New Roman"/>
          <w:vanish/>
        </w:rPr>
        <w:t>-gaap:DefinedBenefitPlanEquitySecuritiesNonUsMemberus-gaap:PensionPlansDefinedBenefitMemberus-gaap:FairValueInputsLevel1Member2021-12-310000895728us-gaap:ForeignPlanMemberus-gaap:DefinedBenefitPlanEquitySecuritiesNonUsMemberus-gaap:PensionPlansDefinedBenef</w:t>
      </w:r>
      <w:r>
        <w:rPr>
          <w:rFonts w:eastAsia="Times New Roman"/>
          <w:vanish/>
        </w:rPr>
        <w:t>itMemberus-gaap:FairValueInputsLevel2Member2021-12-310000895728us-gaap:ForeignPlanMemberus-gaap:DefinedBenefitPlanEquitySecuritiesNonUsMemberus-gaap:PensionPlansDefinedBenefitMemberus-gaap:FairValueInputsLevel3Member2021-12-310000895728us-gaap:ForeignPlanM</w:t>
      </w:r>
      <w:r>
        <w:rPr>
          <w:rFonts w:eastAsia="Times New Roman"/>
          <w:vanish/>
        </w:rPr>
        <w:t>emberus-gaap:DefinedBenefitPlanEquitySecuritiesNonUsMemberus-gaap:PensionPlansDefinedBenefitMember2021-12-310000895728us-gaap:PensionPlansDefinedBenefitMemberus-gaap:FairValueInputsLevel1Memberus-gaap:DefinedBenefitPlanEquitySecuritiesUsMembercountry:CA202</w:t>
      </w:r>
      <w:r>
        <w:rPr>
          <w:rFonts w:eastAsia="Times New Roman"/>
          <w:vanish/>
        </w:rPr>
        <w:t>1-12-310000895728us-gaap:PensionPlansDefinedBenefitMemberus-gaap:DefinedBenefitPlanEquitySecuritiesUsMembercountry:CAus-gaap:FairValueInputsLevel2Member2021-12-310000895728us-gaap:PensionPlansDefinedBenefitMemberus-gaap:FairValueInputsLevel3Memberus-gaap:D</w:t>
      </w:r>
      <w:r>
        <w:rPr>
          <w:rFonts w:eastAsia="Times New Roman"/>
          <w:vanish/>
        </w:rPr>
        <w:t>efinedBenefitPlanEquitySecuritiesUsMembercountry:CA2021-12-310000895728us-gaap:PensionPlansDefinedBenefitMemberus-gaap:DefinedBenefitPlanEquitySecuritiesUsMembercountry:CA2021-12-310000895728us-gaap:ForeignPlanMemberus-gaap:PensionPlansDefinedBenefitMember</w:t>
      </w:r>
      <w:r>
        <w:rPr>
          <w:rFonts w:eastAsia="Times New Roman"/>
          <w:vanish/>
        </w:rPr>
        <w:t>us-gaap:FairValueInputsLevel1Memberus-gaap:DefinedBenefitPlanEquitySecuritiesUsMember2021-12-310000895728us-gaap:ForeignPlanMemberus-gaap:PensionPlansDefinedBenefitMemberus-gaap:DefinedBenefitPlanEquitySecuritiesUsMemberus-gaap:FairValueInputsLevel2Member2</w:t>
      </w:r>
      <w:r>
        <w:rPr>
          <w:rFonts w:eastAsia="Times New Roman"/>
          <w:vanish/>
        </w:rPr>
        <w:t>021-12-310000895728us-gaap:ForeignPlanMemberus-gaap:PensionPlansDefinedBenefitMemberus-gaap:FairValueInputsLevel3Memberus-gaap:DefinedBenefitPlanEquitySecuritiesUsMember2021-12-310000895728us-gaap:ForeignPlanMemberus-gaap:PensionPlansDefinedBenefitMemberus</w:t>
      </w:r>
      <w:r>
        <w:rPr>
          <w:rFonts w:eastAsia="Times New Roman"/>
          <w:vanish/>
        </w:rPr>
        <w:t>-gaap:DefinedBenefitPlanEquitySecuritiesUsMember2021-12-310000895728us-gaap:PensionPlansDefinedBenefitMemberus-gaap:FairValueInputsLevel1Memberenb:DefinedBenefitPlanEquitySecuritiesGlobalMembercountry:CA2021-12-310000895728us-gaap:PensionPlansDefinedBenefi</w:t>
      </w:r>
      <w:r>
        <w:rPr>
          <w:rFonts w:eastAsia="Times New Roman"/>
          <w:vanish/>
        </w:rPr>
        <w:t>tMemberenb:DefinedBenefitPlanEquitySecuritiesGlobalMembercountry:CAus-gaap:FairValueInputsLevel2Member2021-12-310000895728us-gaap:PensionPlansDefinedBenefitMemberus-gaap:FairValueInputsLevel3Memberenb:DefinedBenefitPlanEquitySecuritiesGlobalMembercountry:C</w:t>
      </w:r>
      <w:r>
        <w:rPr>
          <w:rFonts w:eastAsia="Times New Roman"/>
          <w:vanish/>
        </w:rPr>
        <w:t>A2021-12-310000895728us-gaap:PensionPlansDefinedBenefitMemberenb:DefinedBenefitPlanEquitySecuritiesGlobalMembercountry:CA2021-12-310000895728us-gaap:ForeignPlanMemberus-gaap:PensionPlansDefinedBenefitMemberus-gaap:FairValueInputsLevel1Memberenb:DefinedBene</w:t>
      </w:r>
      <w:r>
        <w:rPr>
          <w:rFonts w:eastAsia="Times New Roman"/>
          <w:vanish/>
        </w:rPr>
        <w:t>fitPlanEquitySecuritiesGlobalMember2021-12-310000895728us-gaap:ForeignPlanMemberus-gaap:PensionPlansDefinedBenefitMemberenb:DefinedBenefitPlanEquitySecuritiesGlobalMemberus-gaap:FairValueInputsLevel2Member2021-12-310000895728us-gaap:ForeignPlanMemberus-gaa</w:t>
      </w:r>
      <w:r>
        <w:rPr>
          <w:rFonts w:eastAsia="Times New Roman"/>
          <w:vanish/>
        </w:rPr>
        <w:t>p:PensionPlansDefinedBenefitMemberus-gaap:FairValueInputsLevel3Memberenb:DefinedBenefitPlanEquitySecuritiesGlobalMember2021-12-310000895728us-gaap:ForeignPlanMemberus-gaap:PensionPlansDefinedBenefitMemberenb:DefinedBenefitPlanEquitySecuritiesGlobalMember20</w:t>
      </w:r>
      <w:r>
        <w:rPr>
          <w:rFonts w:eastAsia="Times New Roman"/>
          <w:vanish/>
        </w:rPr>
        <w:t>21-12-310000895728us-gaap:PensionPlansDefinedBenefitMemberenb:DomesticGovernmentBondsMemberus-gaap:FairValueInputsLevel1Membercountry:CA2021-12-310000895728us-gaap:PensionPlansDefinedBenefitMemberenb:DomesticGovernmentBondsMembercountry:CAus-gaap:FairValue</w:t>
      </w:r>
      <w:r>
        <w:rPr>
          <w:rFonts w:eastAsia="Times New Roman"/>
          <w:vanish/>
        </w:rPr>
        <w:t>InputsLevel2Member2021-12-310000895728us-gaap:PensionPlansDefinedBenefitMemberenb:DomesticGovernmentBondsMemberus-gaap:FairValueInputsLevel3Membercountry:CA2021-12-310000895728us-gaap:PensionPlansDefinedBenefitMemberenb:DomesticGovernmentBondsMembercountry</w:t>
      </w:r>
      <w:r>
        <w:rPr>
          <w:rFonts w:eastAsia="Times New Roman"/>
          <w:vanish/>
        </w:rPr>
        <w:t>:CA2021-12-310000895728us-gaap:ForeignPlanMemberus-gaap:PensionPlansDefinedBenefitMemberenb:DomesticGovernmentBondsMemberus-gaap:FairValueInputsLevel1Member2021-12-310000895728us-gaap:ForeignPlanMemberus-gaap:PensionPlansDefinedBenefitMemberenb:DomesticGov</w:t>
      </w:r>
      <w:r>
        <w:rPr>
          <w:rFonts w:eastAsia="Times New Roman"/>
          <w:vanish/>
        </w:rPr>
        <w:t>ernmentBondsMemberus-gaap:FairValueInputsLevel2Member2021-12-310000895728us-gaap:ForeignPlanMemberus-gaap:PensionPlansDefinedBenefitMemberenb:DomesticGovernmentBondsMemberus-gaap:FairValueInputsLevel3Member2021-12-310000895728us-gaap:ForeignPlanMemberus-ga</w:t>
      </w:r>
      <w:r>
        <w:rPr>
          <w:rFonts w:eastAsia="Times New Roman"/>
          <w:vanish/>
        </w:rPr>
        <w:t>ap:PensionPlansDefinedBenefitMemberenb:DomesticGovernmentBondsMember2021-12-310000895728us-gaap:PensionPlansDefinedBenefitMemberus-gaap:FairValueInputsLevel1Membercountry:CAus-gaap:CorporateBondSecuritiesMember2021-12-310000895728us-gaap:PensionPlansDefine</w:t>
      </w:r>
      <w:r>
        <w:rPr>
          <w:rFonts w:eastAsia="Times New Roman"/>
          <w:vanish/>
        </w:rPr>
        <w:t>dBenefitMembercountry:CAus-gaap:FairValueInputsLevel2Memberus-gaap:CorporateBondSecuritiesMember2021-12-310000895728us-gaap:PensionPlansDefinedBenefitMemberus-gaap:FairValueInputsLevel3Membercountry:CAus-gaap:CorporateBondSecuritiesMember2021-12-3100008957</w:t>
      </w:r>
      <w:r>
        <w:rPr>
          <w:rFonts w:eastAsia="Times New Roman"/>
          <w:vanish/>
        </w:rPr>
        <w:t>28us-gaap:PensionPlansDefinedBenefitMembercountry:CAus-gaap:CorporateBondSecuritiesMember2021-12-310000895728us-gaap:ForeignPlanMemberus-gaap:PensionPlansDefinedBenefitMemberus-gaap:FairValueInputsLevel1Memberus-gaap:CorporateBondSecuritiesMember2021-12-31</w:t>
      </w:r>
      <w:r>
        <w:rPr>
          <w:rFonts w:eastAsia="Times New Roman"/>
          <w:vanish/>
        </w:rPr>
        <w:t>0000895728us-gaap:ForeignPlanMemberus-gaap:PensionPlansDefinedBenefitMemberus-gaap:FairValueInputsLevel2Memberus-gaap:CorporateBondSecuritiesMember2021-12-310000895728us-gaap:ForeignPlanMemberus-gaap:PensionPlansDefinedBenefitMemberus-gaap:FairValueInputsL</w:t>
      </w:r>
      <w:r>
        <w:rPr>
          <w:rFonts w:eastAsia="Times New Roman"/>
          <w:vanish/>
        </w:rPr>
        <w:t>evel3Memberus-gaap:CorporateBondSecuritiesMember2021-12-310000895728us-gaap:ForeignPlanMemberus-gaap:PensionPlansDefinedBenefitMemberus-gaap:CorporateBondSecuritiesMember2021-12-310000895728us-gaap:PensionPlansDefinedBenefitMemberus-gaap:RealEstateMemberus</w:t>
      </w:r>
      <w:r>
        <w:rPr>
          <w:rFonts w:eastAsia="Times New Roman"/>
          <w:vanish/>
        </w:rPr>
        <w:t>-gaap:FairValueInputsLevel1Membercountry:CA2021-12-310000895728us-gaap:PensionPlansDefinedBenefitMemberus-gaap:RealEstateMembercountry:CAus-gaap:FairValueInputsLevel2Member2021-12-310000895728us-gaap:PensionPlansDefinedBenefitMemberus-gaap:RealEstateMember</w:t>
      </w:r>
      <w:r>
        <w:rPr>
          <w:rFonts w:eastAsia="Times New Roman"/>
          <w:vanish/>
        </w:rPr>
        <w:t>us-gaap:FairValueInputsLevel3Membercountry:CA2021-12-310000895728us-gaap:PensionPlansDefinedBenefitMemberus-gaap:RealEstateMembercountry:CA2021-12-310000895728us-gaap:ForeignPlanMemberus-gaap:PensionPlansDefinedBenefitMemberus-gaap:RealEstateMemberus-gaap:</w:t>
      </w:r>
      <w:r>
        <w:rPr>
          <w:rFonts w:eastAsia="Times New Roman"/>
          <w:vanish/>
        </w:rPr>
        <w:t>FairValueInputsLevel1Member2021-12-310000895728us-gaap:ForeignPlanMemberus-gaap:PensionPlansDefinedBenefitMemberus-gaap:RealEstateMemberus-gaap:FairValueInputsLevel2Member2021-12-310000895728us-gaap:ForeignPlanMemberus-gaap:PensionPlansDefinedBenefitMember</w:t>
      </w:r>
      <w:r>
        <w:rPr>
          <w:rFonts w:eastAsia="Times New Roman"/>
          <w:vanish/>
        </w:rPr>
        <w:t>us-gaap:RealEstateMemberus-gaap:FairValueInputsLevel3Member2021-12-310000895728us-gaap:ForeignPlanMemberus-gaap:PensionPlansDefinedBenefitMemberus-gaap:RealEstateMember2021-12-310000895728us-gaap:PensionPlansDefinedBenefitMemberus-gaap:FairValueInputsLevel</w:t>
      </w:r>
      <w:r>
        <w:rPr>
          <w:rFonts w:eastAsia="Times New Roman"/>
          <w:vanish/>
        </w:rPr>
        <w:t>1Membercountry:CAus-gaap:ForeignExchangeContractMember2021-12-310000895728us-gaap:PensionPlansDefinedBenefitMembercountry:CAus-gaap:FairValueInputsLevel2Memberus-gaap:ForeignExchangeContractMember2021-12-310000895728us-gaap:PensionPlansDefinedBenefitMember</w:t>
      </w:r>
      <w:r>
        <w:rPr>
          <w:rFonts w:eastAsia="Times New Roman"/>
          <w:vanish/>
        </w:rPr>
        <w:t>us-gaap:FairValueInputsLevel3Membercountry:CAus-gaap:ForeignExchangeContractMember2021-12-310000895728us-gaap:PensionPlansDefinedBenefitMembercountry:CAus-gaap:ForeignExchangeContractMember2021-12-310000895728us-gaap:ForeignPlanMemberus-gaap:PensionPlansDe</w:t>
      </w:r>
      <w:r>
        <w:rPr>
          <w:rFonts w:eastAsia="Times New Roman"/>
          <w:vanish/>
        </w:rPr>
        <w:t>finedBenefitMemberus-gaap:FairValueInputsLevel1Memberus-gaap:ForeignExchangeContractMember2021-12-310000895728us-gaap:ForeignPlanMemberus-gaap:PensionPlansDefinedBenefitMemberus-gaap:FairValueInputsLevel2Memberus-gaap:ForeignExchangeContractMember2021-12-3</w:t>
      </w:r>
      <w:r>
        <w:rPr>
          <w:rFonts w:eastAsia="Times New Roman"/>
          <w:vanish/>
        </w:rPr>
        <w:t>10000895728us-gaap:ForeignPlanMemberus-gaap:PensionPlansDefinedBenefitMemberus-gaap:FairValueInputsLevel3Memberus-gaap:ForeignExchangeContractMember2021-12-310000895728us-gaap:ForeignPlanMemberus-gaap:PensionPlansDefinedBenefitMemberus-gaap:ForeignExchange</w:t>
      </w:r>
      <w:r>
        <w:rPr>
          <w:rFonts w:eastAsia="Times New Roman"/>
          <w:vanish/>
        </w:rPr>
        <w:t>ContractMember2021-12-310000895728us-gaap:PensionPlansDefinedBenefitMemberus-gaap:FairValueInputsLevel1Membercountry:CA2021-12-310000895728us-gaap:PensionPlansDefinedBenefitMembercountry:CAus-gaap:FairValueInputsLevel2Member2021-12-310000895728us-gaap:Pens</w:t>
      </w:r>
      <w:r>
        <w:rPr>
          <w:rFonts w:eastAsia="Times New Roman"/>
          <w:vanish/>
        </w:rPr>
        <w:t>ionPlansDefinedBenefitMemberus-gaap:FairValueInputsLevel3Membercountry:CA2021-12-310000895728us-gaap:ForeignPlanMemberus-gaap:PensionPlansDefinedBenefitMemberus-gaap:FairValueInputsLevel1Member2021-12-310000895728us-gaap:ForeignPlanMemberus-gaap:PensionPla</w:t>
      </w:r>
      <w:r>
        <w:rPr>
          <w:rFonts w:eastAsia="Times New Roman"/>
          <w:vanish/>
        </w:rPr>
        <w:t>nsDefinedBenefitMemberus-gaap:FairValueInputsLevel2Member2021-12-310000895728us-gaap:ForeignPlanMemberus-gaap:PensionPlansDefinedBenefitMemberus-gaap:FairValueInputsLevel3Member2021-12-310000895728us-gaap:PensionPlansDefinedBenefitMemberus-gaap:FairValueIn</w:t>
      </w:r>
      <w:r>
        <w:rPr>
          <w:rFonts w:eastAsia="Times New Roman"/>
          <w:vanish/>
        </w:rPr>
        <w:t>putsLevel1Membercountry:CAus-gaap:DefinedBenefitPlanCashAndCashEquivalentsMember2020-12-310000895728us-gaap:PensionPlansDefinedBenefitMembercountry:CAus-gaap:DefinedBenefitPlanCashAndCashEquivalentsMemberus-gaap:FairValueInputsLevel2Member2020-12-310000895</w:t>
      </w:r>
      <w:r>
        <w:rPr>
          <w:rFonts w:eastAsia="Times New Roman"/>
          <w:vanish/>
        </w:rPr>
        <w:t>728us-gaap:PensionPlansDefinedBenefitMemberus-gaap:FairValueInputsLevel3Membercountry:CAus-gaap:DefinedBenefitPlanCashAndCashEquivalentsMember2020-12-310000895728us-gaap:PensionPlansDefinedBenefitMembercountry:CAus-gaap:DefinedBenefitPlanCashAndCashEquival</w:t>
      </w:r>
      <w:r>
        <w:rPr>
          <w:rFonts w:eastAsia="Times New Roman"/>
          <w:vanish/>
        </w:rPr>
        <w:t>entsMember2020-12-310000895728us-gaap:ForeignPlanMemberus-gaap:PensionPlansDefinedBenefitMemberus-gaap:FairValueInputsLevel1Memberus-gaap:DefinedBenefitPlanCashAndCashEquivalentsMember2020-12-310000895728us-gaap:ForeignPlanMemberus-gaap:PensionPlansDefined</w:t>
      </w:r>
      <w:r>
        <w:rPr>
          <w:rFonts w:eastAsia="Times New Roman"/>
          <w:vanish/>
        </w:rPr>
        <w:t>BenefitMemberus-gaap:DefinedBenefitPlanCashAndCashEquivalentsMemberus-gaap:FairValueInputsLevel2Member2020-12-310000895728us-gaap:ForeignPlanMemberus-gaap:PensionPlansDefinedBenefitMemberus-gaap:FairValueInputsLevel3Memberus-gaap:DefinedBenefitPlanCashAndC</w:t>
      </w:r>
      <w:r>
        <w:rPr>
          <w:rFonts w:eastAsia="Times New Roman"/>
          <w:vanish/>
        </w:rPr>
        <w:t>ashEquivalentsMember2020-12-310000895728us-gaap:ForeignPlanMemberus-gaap:PensionPlansDefinedBenefitMemberus-gaap:DefinedBenefitPlanCashAndCashEquivalentsMember2020-12-310000895728us-gaap:DefinedBenefitPlanEquitySecuritiesNonUsMemberus-gaap:PensionPlansDefi</w:t>
      </w:r>
      <w:r>
        <w:rPr>
          <w:rFonts w:eastAsia="Times New Roman"/>
          <w:vanish/>
        </w:rPr>
        <w:t>nedBenefitMemberus-gaap:FairValueInputsLevel1Membercountry:CA2020-12-310000895728us-gaap:DefinedBenefitPlanEquitySecuritiesNonUsMemberus-gaap:PensionPlansDefinedBenefitMembercountry:CAus-gaap:FairValueInputsLevel2Member2020-12-310000895728us-gaap:DefinedBe</w:t>
      </w:r>
      <w:r>
        <w:rPr>
          <w:rFonts w:eastAsia="Times New Roman"/>
          <w:vanish/>
        </w:rPr>
        <w:t>nefitPlanEquitySecuritiesNonUsMemberus-gaap:PensionPlansDefinedBenefitMemberus-gaap:FairValueInputsLevel3Membercountry:CA2020-12-310000895728us-gaap:DefinedBenefitPlanEquitySecuritiesNonUsMemberus-gaap:PensionPlansDefinedBenefitMembercountry:CA2020-12-3100</w:t>
      </w:r>
      <w:r>
        <w:rPr>
          <w:rFonts w:eastAsia="Times New Roman"/>
          <w:vanish/>
        </w:rPr>
        <w:t>00895728us-gaap:ForeignPlanMemberus-gaap:DefinedBenefitPlanEquitySecuritiesNonUsMemberus-gaap:PensionPlansDefinedBenefitMemberus-gaap:FairValueInputsLevel1Member2020-12-310000895728us-gaap:ForeignPlanMemberus-gaap:DefinedBenefitPlanEquitySecuritiesNonUsMem</w:t>
      </w:r>
      <w:r>
        <w:rPr>
          <w:rFonts w:eastAsia="Times New Roman"/>
          <w:vanish/>
        </w:rPr>
        <w:t>berus-gaap:PensionPlansDefinedBenefitMemberus-gaap:FairValueInputsLevel2Member2020-12-310000895728us-gaap:ForeignPlanMemberus-gaap:DefinedBenefitPlanEquitySecuritiesNonUsMemberus-gaap:PensionPlansDefinedBenefitMemberus-gaap:FairValueInputsLevel3Member2020-</w:t>
      </w:r>
      <w:r>
        <w:rPr>
          <w:rFonts w:eastAsia="Times New Roman"/>
          <w:vanish/>
        </w:rPr>
        <w:t>12-310000895728us-gaap:ForeignPlanMemberus-gaap:DefinedBenefitPlanEquitySecuritiesNonUsMemberus-gaap:PensionPlansDefinedBenefitMember2020-12-310000895728us-gaap:PensionPlansDefinedBenefitMemberus-gaap:FairValueInputsLevel1Memberus-gaap:DefinedBenefitPlanEq</w:t>
      </w:r>
      <w:r>
        <w:rPr>
          <w:rFonts w:eastAsia="Times New Roman"/>
          <w:vanish/>
        </w:rPr>
        <w:t>uitySecuritiesUsMembercountry:CA2020-12-310000895728us-gaap:PensionPlansDefinedBenefitMemberus-gaap:DefinedBenefitPlanEquitySecuritiesUsMembercountry:CAus-gaap:FairValueInputsLevel2Member2020-12-310000895728us-gaap:PensionPlansDefinedBenefitMemberus-gaap:F</w:t>
      </w:r>
      <w:r>
        <w:rPr>
          <w:rFonts w:eastAsia="Times New Roman"/>
          <w:vanish/>
        </w:rPr>
        <w:t>airValueInputsLevel3Memberus-gaap:DefinedBenefitPlanEquitySecuritiesUsMembercountry:CA2020-12-310000895728us-gaap:PensionPlansDefinedBenefitMemberus-gaap:DefinedBenefitPlanEquitySecuritiesUsMembercountry:CA2020-12-310000895728us-gaap:ForeignPlanMemberus-ga</w:t>
      </w:r>
      <w:r>
        <w:rPr>
          <w:rFonts w:eastAsia="Times New Roman"/>
          <w:vanish/>
        </w:rPr>
        <w:t>ap:PensionPlansDefinedBenefitMemberus-gaap:FairValueInputsLevel1Memberus-gaap:DefinedBenefitPlanEquitySecuritiesUsMember2020-12-310000895728us-gaap:ForeignPlanMemberus-gaap:PensionPlansDefinedBenefitMemberus-gaap:DefinedBenefitPlanEquitySecuritiesUsMemberu</w:t>
      </w:r>
      <w:r>
        <w:rPr>
          <w:rFonts w:eastAsia="Times New Roman"/>
          <w:vanish/>
        </w:rPr>
        <w:t>s-gaap:FairValueInputsLevel2Member2020-12-310000895728us-gaap:ForeignPlanMemberus-gaap:PensionPlansDefinedBenefitMemberus-gaap:FairValueInputsLevel3Memberus-gaap:DefinedBenefitPlanEquitySecuritiesUsMember2020-12-310000895728us-gaap:ForeignPlanMemberus-gaap</w:t>
      </w:r>
      <w:r>
        <w:rPr>
          <w:rFonts w:eastAsia="Times New Roman"/>
          <w:vanish/>
        </w:rPr>
        <w:t>:PensionPlansDefinedBenefitMemberus-gaap:DefinedBenefitPlanEquitySecuritiesUsMember2020-12-310000895728us-gaap:PensionPlansDefinedBenefitMemberus-gaap:FairValueInputsLevel1Memberenb:DefinedBenefitPlanEquitySecuritiesGlobalMembercountry:CA2020-12-3100008957</w:t>
      </w:r>
      <w:r>
        <w:rPr>
          <w:rFonts w:eastAsia="Times New Roman"/>
          <w:vanish/>
        </w:rPr>
        <w:t>28us-gaap:PensionPlansDefinedBenefitMemberenb:DefinedBenefitPlanEquitySecuritiesGlobalMembercountry:CAus-gaap:FairValueInputsLevel2Member2020-12-310000895728us-gaap:PensionPlansDefinedBenefitMemberus-gaap:FairValueInputsLevel3Memberenb:DefinedBenefitPlanEq</w:t>
      </w:r>
      <w:r>
        <w:rPr>
          <w:rFonts w:eastAsia="Times New Roman"/>
          <w:vanish/>
        </w:rPr>
        <w:t>uitySecuritiesGlobalMembercountry:CA2020-12-310000895728us-gaap:PensionPlansDefinedBenefitMemberenb:DefinedBenefitPlanEquitySecuritiesGlobalMembercountry:CA2020-12-310000895728us-gaap:ForeignPlanMemberus-gaap:PensionPlansDefinedBenefitMemberus-gaap:FairVal</w:t>
      </w:r>
      <w:r>
        <w:rPr>
          <w:rFonts w:eastAsia="Times New Roman"/>
          <w:vanish/>
        </w:rPr>
        <w:t>ueInputsLevel1Memberenb:DefinedBenefitPlanEquitySecuritiesGlobalMember2020-12-310000895728us-gaap:ForeignPlanMemberus-gaap:PensionPlansDefinedBenefitMemberenb:DefinedBenefitPlanEquitySecuritiesGlobalMemberus-gaap:FairValueInputsLevel2Member2020-12-31000089</w:t>
      </w:r>
      <w:r>
        <w:rPr>
          <w:rFonts w:eastAsia="Times New Roman"/>
          <w:vanish/>
        </w:rPr>
        <w:t>5728us-gaap:ForeignPlanMemberus-gaap:PensionPlansDefinedBenefitMemberus-gaap:FairValueInputsLevel3Memberenb:DefinedBenefitPlanEquitySecuritiesGlobalMember2020-12-310000895728us-gaap:ForeignPlanMemberus-gaap:PensionPlansDefinedBenefitMemberenb:DefinedBenefi</w:t>
      </w:r>
      <w:r>
        <w:rPr>
          <w:rFonts w:eastAsia="Times New Roman"/>
          <w:vanish/>
        </w:rPr>
        <w:t>tPlanEquitySecuritiesGlobalMember2020-12-310000895728us-gaap:PensionPlansDefinedBenefitMemberenb:DomesticGovernmentBondsMemberus-gaap:FairValueInputsLevel1Membercountry:CA2020-12-310000895728us-gaap:PensionPlansDefinedBenefitMemberenb:DomesticGovernmentBon</w:t>
      </w:r>
      <w:r>
        <w:rPr>
          <w:rFonts w:eastAsia="Times New Roman"/>
          <w:vanish/>
        </w:rPr>
        <w:t>dsMembercountry:CAus-gaap:FairValueInputsLevel2Member2020-12-310000895728us-gaap:PensionPlansDefinedBenefitMemberenb:DomesticGovernmentBondsMemberus-gaap:FairValueInputsLevel3Membercountry:CA2020-12-310000895728us-gaap:PensionPlansDefinedBenefitMemberenb:D</w:t>
      </w:r>
      <w:r>
        <w:rPr>
          <w:rFonts w:eastAsia="Times New Roman"/>
          <w:vanish/>
        </w:rPr>
        <w:t>omesticGovernmentBondsMembercountry:CA2020-12-310000895728us-gaap:ForeignPlanMemberus-gaap:PensionPlansDefinedBenefitMemberenb:DomesticGovernmentBondsMemberus-gaap:FairValueInputsLevel1Member2020-12-310000895728us-gaap:ForeignPlanMemberus-gaap:PensionPlans</w:t>
      </w:r>
      <w:r>
        <w:rPr>
          <w:rFonts w:eastAsia="Times New Roman"/>
          <w:vanish/>
        </w:rPr>
        <w:t>DefinedBenefitMemberenb:DomesticGovernmentBondsMemberus-gaap:FairValueInputsLevel2Member2020-12-310000895728us-gaap:ForeignPlanMemberus-gaap:PensionPlansDefinedBenefitMemberenb:DomesticGovernmentBondsMemberus-gaap:FairValueInputsLevel3Member2020-12-3100008</w:t>
      </w:r>
      <w:r>
        <w:rPr>
          <w:rFonts w:eastAsia="Times New Roman"/>
          <w:vanish/>
        </w:rPr>
        <w:t>95728us-gaap:ForeignPlanMemberus-gaap:PensionPlansDefinedBenefitMemberenb:DomesticGovernmentBondsMember2020-12-310000895728us-gaap:PensionPlansDefinedBenefitMemberus-gaap:FairValueInputsLevel1Membercountry:CAus-gaap:CorporateBondSecuritiesMember2020-12-310</w:t>
      </w:r>
      <w:r>
        <w:rPr>
          <w:rFonts w:eastAsia="Times New Roman"/>
          <w:vanish/>
        </w:rPr>
        <w:t>000895728us-gaap:PensionPlansDefinedBenefitMembercountry:CAus-gaap:FairValueInputsLevel2Memberus-gaap:CorporateBondSecuritiesMember2020-12-310000895728us-gaap:PensionPlansDefinedBenefitMemberus-gaap:FairValueInputsLevel3Membercountry:CAus-gaap:CorporateBon</w:t>
      </w:r>
      <w:r>
        <w:rPr>
          <w:rFonts w:eastAsia="Times New Roman"/>
          <w:vanish/>
        </w:rPr>
        <w:t>dSecuritiesMember2020-12-310000895728us-gaap:PensionPlansDefinedBenefitMembercountry:CAus-gaap:CorporateBondSecuritiesMember2020-12-310000895728us-gaap:ForeignPlanMemberus-gaap:PensionPlansDefinedBenefitMemberus-gaap:FairValueInputsLevel1Memberus-gaap:Corp</w:t>
      </w:r>
      <w:r>
        <w:rPr>
          <w:rFonts w:eastAsia="Times New Roman"/>
          <w:vanish/>
        </w:rPr>
        <w:t>orateBondSecuritiesMember2020-12-310000895728us-gaap:ForeignPlanMemberus-gaap:PensionPlansDefinedBenefitMemberus-gaap:FairValueInputsLevel2Memberus-gaap:CorporateBondSecuritiesMember2020-12-310000895728us-gaap:ForeignPlanMemberus-gaap:PensionPlansDefinedBe</w:t>
      </w:r>
      <w:r>
        <w:rPr>
          <w:rFonts w:eastAsia="Times New Roman"/>
          <w:vanish/>
        </w:rPr>
        <w:t>nefitMemberus-gaap:FairValueInputsLevel3Memberus-gaap:CorporateBondSecuritiesMember2020-12-310000895728us-gaap:ForeignPlanMemberus-gaap:PensionPlansDefinedBenefitMemberus-gaap:CorporateBondSecuritiesMember2020-12-310000895728us-gaap:PensionPlansDefinedBene</w:t>
      </w:r>
      <w:r>
        <w:rPr>
          <w:rFonts w:eastAsia="Times New Roman"/>
          <w:vanish/>
        </w:rPr>
        <w:t>fitMemberus-gaap:RealEstateMemberus-gaap:FairValueInputsLevel1Membercountry:CA2020-12-310000895728us-gaap:PensionPlansDefinedBenefitMemberus-gaap:RealEstateMembercountry:CAus-gaap:FairValueInputsLevel2Member2020-12-310000895728us-gaap:PensionPlansDefinedBe</w:t>
      </w:r>
      <w:r>
        <w:rPr>
          <w:rFonts w:eastAsia="Times New Roman"/>
          <w:vanish/>
        </w:rPr>
        <w:t>nefitMemberus-gaap:RealEstateMemberus-gaap:FairValueInputsLevel3Membercountry:CA2020-12-310000895728us-gaap:PensionPlansDefinedBenefitMemberus-gaap:RealEstateMembercountry:CA2020-12-310000895728us-gaap:ForeignPlanMemberus-gaap:PensionPlansDefinedBenefitMem</w:t>
      </w:r>
      <w:r>
        <w:rPr>
          <w:rFonts w:eastAsia="Times New Roman"/>
          <w:vanish/>
        </w:rPr>
        <w:t>berus-gaap:RealEstateMemberus-gaap:FairValueInputsLevel1Member2020-12-310000895728us-gaap:ForeignPlanMemberus-gaap:PensionPlansDefinedBenefitMemberus-gaap:RealEstateMemberus-gaap:FairValueInputsLevel2Member2020-12-310000895728us-gaap:ForeignPlanMemberus-ga</w:t>
      </w:r>
      <w:r>
        <w:rPr>
          <w:rFonts w:eastAsia="Times New Roman"/>
          <w:vanish/>
        </w:rPr>
        <w:t>ap:PensionPlansDefinedBenefitMemberus-gaap:RealEstateMemberus-gaap:FairValueInputsLevel3Member2020-12-310000895728us-gaap:ForeignPlanMemberus-gaap:PensionPlansDefinedBenefitMemberus-gaap:RealEstateMember2020-12-310000895728us-gaap:PensionPlansDefinedBenefi</w:t>
      </w:r>
      <w:r>
        <w:rPr>
          <w:rFonts w:eastAsia="Times New Roman"/>
          <w:vanish/>
        </w:rPr>
        <w:t>tMemberus-gaap:FairValueInputsLevel1Membercountry:CAus-gaap:ForeignExchangeContractMember2020-12-310000895728us-gaap:PensionPlansDefinedBenefitMembercountry:CAus-gaap:FairValueInputsLevel2Memberus-gaap:ForeignExchangeContractMember2020-12-310000895728us-ga</w:t>
      </w:r>
      <w:r>
        <w:rPr>
          <w:rFonts w:eastAsia="Times New Roman"/>
          <w:vanish/>
        </w:rPr>
        <w:t>ap:PensionPlansDefinedBenefitMemberus-gaap:FairValueInputsLevel3Membercountry:CAus-gaap:ForeignExchangeContractMember2020-12-310000895728us-gaap:PensionPlansDefinedBenefitMembercountry:CAus-gaap:ForeignExchangeContractMember2020-12-310000895728us-gaap:Fore</w:t>
      </w:r>
      <w:r>
        <w:rPr>
          <w:rFonts w:eastAsia="Times New Roman"/>
          <w:vanish/>
        </w:rPr>
        <w:t>ignPlanMemberus-gaap:PensionPlansDefinedBenefitMemberus-gaap:FairValueInputsLevel1Memberus-gaap:ForeignExchangeContractMember2020-12-310000895728us-gaap:ForeignPlanMemberus-gaap:PensionPlansDefinedBenefitMemberus-gaap:FairValueInputsLevel2Memberus-gaap:For</w:t>
      </w:r>
      <w:r>
        <w:rPr>
          <w:rFonts w:eastAsia="Times New Roman"/>
          <w:vanish/>
        </w:rPr>
        <w:t>eignExchangeContractMember2020-12-310000895728us-gaap:ForeignPlanMemberus-gaap:PensionPlansDefinedBenefitMemberus-gaap:FairValueInputsLevel3Memberus-gaap:ForeignExchangeContractMember2020-12-310000895728us-gaap:ForeignPlanMemberus-gaap:PensionPlansDefinedB</w:t>
      </w:r>
      <w:r>
        <w:rPr>
          <w:rFonts w:eastAsia="Times New Roman"/>
          <w:vanish/>
        </w:rPr>
        <w:t>enefitMemberus-gaap:ForeignExchangeContractMember2020-12-310000895728us-gaap:PensionPlansDefinedBenefitMemberus-gaap:FairValueInputsLevel1Membercountry:CA2020-12-310000895728us-gaap:PensionPlansDefinedBenefitMembercountry:CAus-gaap:FairValueInputsLevel2Mem</w:t>
      </w:r>
      <w:r>
        <w:rPr>
          <w:rFonts w:eastAsia="Times New Roman"/>
          <w:vanish/>
        </w:rPr>
        <w:t>ber2020-12-310000895728us-gaap:PensionPlansDefinedBenefitMemberus-gaap:FairValueInputsLevel3Membercountry:CA2020-12-310000895728us-gaap:ForeignPlanMemberus-gaap:PensionPlansDefinedBenefitMemberus-gaap:FairValueInputsLevel1Member2020-12-310000895728us-gaap:</w:t>
      </w:r>
      <w:r>
        <w:rPr>
          <w:rFonts w:eastAsia="Times New Roman"/>
          <w:vanish/>
        </w:rPr>
        <w:t>ForeignPlanMemberus-gaap:PensionPlansDefinedBenefitMemberus-gaap:FairValueInputsLevel2Member2020-12-310000895728us-gaap:ForeignPlanMemberus-gaap:PensionPlansDefinedBenefitMemberus-gaap:FairValueInputsLevel3Member2020-12-310000895728us-gaap:PensionPlansDefi</w:t>
      </w:r>
      <w:r>
        <w:rPr>
          <w:rFonts w:eastAsia="Times New Roman"/>
          <w:vanish/>
        </w:rPr>
        <w:t>nedBenefitMemberus-gaap:FairValueInputsLevel3Membercountry:CA2019-12-310000895728us-gaap:ForeignPlanMemberus-gaap:PensionPlansDefinedBenefitMemberus-gaap:FairValueInputsLevel3Member2019-12-310000895728us-gaap:PensionPlansDefinedBenefitMemberus-gaap:FairVal</w:t>
      </w:r>
      <w:r>
        <w:rPr>
          <w:rFonts w:eastAsia="Times New Roman"/>
          <w:vanish/>
        </w:rPr>
        <w:t>ueInputsLevel3Membercountry:CA2021-01-012021-12-310000895728us-gaap:PensionPlansDefinedBenefitMemberus-gaap:FairValueInputsLevel3Membercountry:CA2020-01-012020-12-310000895728us-gaap:ForeignPlanMemberus-gaap:PensionPlansDefinedBenefitMemberus-gaap:FairValu</w:t>
      </w:r>
      <w:r>
        <w:rPr>
          <w:rFonts w:eastAsia="Times New Roman"/>
          <w:vanish/>
        </w:rPr>
        <w:t>eInputsLevel3Member2021-01-012021-12-310000895728us-gaap:ForeignPlanMemberus-gaap:PensionPlansDefinedBenefitMemberus-gaap:FairValueInputsLevel3Member2020-01-012020-12-310000895728us-gaap:ForeignPlanMemberus-gaap:FairValueInputsLevel1Memberus-gaap:DefinedBe</w:t>
      </w:r>
      <w:r>
        <w:rPr>
          <w:rFonts w:eastAsia="Times New Roman"/>
          <w:vanish/>
        </w:rPr>
        <w:t>nefitPlanCashAndCashEquivalentsMemberus-gaap:EstimateOfFairValueFairValueDisclosureMemberus-gaap:OtherPostretirementBenefitPlansDefinedBenefitMember2021-12-310000895728us-gaap:ForeignPlanMemberus-gaap:DefinedBenefitPlanCashAndCashEquivalentsMemberus-gaap:F</w:t>
      </w:r>
      <w:r>
        <w:rPr>
          <w:rFonts w:eastAsia="Times New Roman"/>
          <w:vanish/>
        </w:rPr>
        <w:t>airValueInputsLevel2Memberus-gaap:EstimateOfFairValueFairValueDisclosureMemberus-gaap:OtherPostretirementBenefitPlansDefinedBenefitMember2021-12-310000895728us-gaap:ForeignPlanMemberus-gaap:FairValueInputsLevel3Memberus-gaap:DefinedBenefitPlanCashAndCashEq</w:t>
      </w:r>
      <w:r>
        <w:rPr>
          <w:rFonts w:eastAsia="Times New Roman"/>
          <w:vanish/>
        </w:rPr>
        <w:t>uivalentsMemberus-gaap:EstimateOfFairValueFairValueDisclosureMemberus-gaap:OtherPostretirementBenefitPlansDefinedBenefitMember2021-12-310000895728us-gaap:ForeignPlanMemberus-gaap:DefinedBenefitPlanCashAndCashEquivalentsMemberus-gaap:EstimateOfFairValueFair</w:t>
      </w:r>
      <w:r>
        <w:rPr>
          <w:rFonts w:eastAsia="Times New Roman"/>
          <w:vanish/>
        </w:rPr>
        <w:t>ValueDisclosureMemberus-gaap:OtherPostretirementBenefitPlansDefinedBenefitMember2021-12-310000895728us-gaap:ForeignPlanMemberus-gaap:FairValueInputsLevel1Memberus-gaap:DefinedBenefitPlanEquitySecuritiesUsMemberus-gaap:OtherPostretirementBenefitPlansDefined</w:t>
      </w:r>
      <w:r>
        <w:rPr>
          <w:rFonts w:eastAsia="Times New Roman"/>
          <w:vanish/>
        </w:rPr>
        <w:t>BenefitMember2021-12-310000895728us-gaap:ForeignPlanMemberus-gaap:DefinedBenefitPlanEquitySecuritiesUsMemberus-gaap:FairValueInputsLevel2Memberus-gaap:OtherPostretirementBenefitPlansDefinedBenefitMember2021-12-310000895728us-gaap:ForeignPlanMemberus-gaap:F</w:t>
      </w:r>
      <w:r>
        <w:rPr>
          <w:rFonts w:eastAsia="Times New Roman"/>
          <w:vanish/>
        </w:rPr>
        <w:t>airValueInputsLevel3Memberus-gaap:DefinedBenefitPlanEquitySecuritiesUsMemberus-gaap:OtherPostretirementBenefitPlansDefinedBenefitMember2021-12-310000895728us-gaap:ForeignPlanMemberus-gaap:DefinedBenefitPlanEquitySecuritiesUsMemberus-gaap:OtherPostretiremen</w:t>
      </w:r>
      <w:r>
        <w:rPr>
          <w:rFonts w:eastAsia="Times New Roman"/>
          <w:vanish/>
        </w:rPr>
        <w:t>tBenefitPlansDefinedBenefitMember2021-12-310000895728us-gaap:ForeignPlanMemberus-gaap:DefinedBenefitPlanEquitySecuritiesNonUsMemberus-gaap:FairValueInputsLevel1Memberus-gaap:OtherPostretirementBenefitPlansDefinedBenefitMember2021-12-310000895728us-gaap:For</w:t>
      </w:r>
      <w:r>
        <w:rPr>
          <w:rFonts w:eastAsia="Times New Roman"/>
          <w:vanish/>
        </w:rPr>
        <w:t>eignPlanMemberus-gaap:DefinedBenefitPlanEquitySecuritiesNonUsMemberus-gaap:FairValueInputsLevel2Memberus-gaap:OtherPostretirementBenefitPlansDefinedBenefitMember2021-12-310000895728us-gaap:ForeignPlanMemberus-gaap:DefinedBenefitPlanEquitySecuritiesNonUsMem</w:t>
      </w:r>
      <w:r>
        <w:rPr>
          <w:rFonts w:eastAsia="Times New Roman"/>
          <w:vanish/>
        </w:rPr>
        <w:t>berus-gaap:FairValueInputsLevel3Memberus-gaap:OtherPostretirementBenefitPlansDefinedBenefitMember2021-12-310000895728us-gaap:ForeignPlanMemberus-gaap:DefinedBenefitPlanEquitySecuritiesNonUsMemberus-gaap:OtherPostretirementBenefitPlansDefinedBenefitMember20</w:t>
      </w:r>
      <w:r>
        <w:rPr>
          <w:rFonts w:eastAsia="Times New Roman"/>
          <w:vanish/>
        </w:rPr>
        <w:t>21-12-310000895728us-gaap:ForeignPlanMemberenb:DomesticGovernmentBondsMemberus-gaap:FairValueInputsLevel1Memberus-gaap:EstimateOfFairValueFairValueDisclosureMemberus-gaap:OtherPostretirementBenefitPlansDefinedBenefitMember2021-12-310000895728us-gaap:Foreig</w:t>
      </w:r>
      <w:r>
        <w:rPr>
          <w:rFonts w:eastAsia="Times New Roman"/>
          <w:vanish/>
        </w:rPr>
        <w:t>nPlanMemberenb:DomesticGovernmentBondsMemberus-gaap:FairValueInputsLevel2Memberus-gaap:EstimateOfFairValueFairValueDisclosureMemberus-gaap:OtherPostretirementBenefitPlansDefinedBenefitMember2021-12-310000895728us-gaap:ForeignPlanMemberenb:DomesticGovernmen</w:t>
      </w:r>
      <w:r>
        <w:rPr>
          <w:rFonts w:eastAsia="Times New Roman"/>
          <w:vanish/>
        </w:rPr>
        <w:t>tBondsMemberus-gaap:FairValueInputsLevel3Memberus-gaap:EstimateOfFairValueFairValueDisclosureMemberus-gaap:OtherPostretirementBenefitPlansDefinedBenefitMember2021-12-310000895728us-gaap:ForeignPlanMemberenb:DomesticGovernmentBondsMemberus-gaap:EstimateOfFa</w:t>
      </w:r>
      <w:r>
        <w:rPr>
          <w:rFonts w:eastAsia="Times New Roman"/>
          <w:vanish/>
        </w:rPr>
        <w:t>irValueFairValueDisclosureMemberus-gaap:OtherPostretirementBenefitPlansDefinedBenefitMember2021-12-310000895728us-gaap:ForeignPlanMemberus-gaap:FairValueInputsLevel1Memberus-gaap:CorporateBondSecuritiesMemberus-gaap:EstimateOfFairValueFairValueDisclosureMe</w:t>
      </w:r>
      <w:r>
        <w:rPr>
          <w:rFonts w:eastAsia="Times New Roman"/>
          <w:vanish/>
        </w:rPr>
        <w:t>mberus-gaap:OtherPostretirementBenefitPlansDefinedBenefitMember2021-12-310000895728us-gaap:ForeignPlanMemberus-gaap:CorporateBondSecuritiesMemberus-gaap:FairValueInputsLevel2Memberus-gaap:EstimateOfFairValueFairValueDisclosureMemberus-gaap:OtherPostretirem</w:t>
      </w:r>
      <w:r>
        <w:rPr>
          <w:rFonts w:eastAsia="Times New Roman"/>
          <w:vanish/>
        </w:rPr>
        <w:t>entBenefitPlansDefinedBenefitMember2021-12-310000895728us-gaap:ForeignPlanMemberus-gaap:FairValueInputsLevel3Memberus-gaap:CorporateBondSecuritiesMemberus-gaap:EstimateOfFairValueFairValueDisclosureMemberus-gaap:OtherPostretirementBenefitPlansDefinedBenefi</w:t>
      </w:r>
      <w:r>
        <w:rPr>
          <w:rFonts w:eastAsia="Times New Roman"/>
          <w:vanish/>
        </w:rPr>
        <w:t>tMember2021-12-310000895728us-gaap:ForeignPlanMemberus-gaap:CorporateBondSecuritiesMemberus-gaap:EstimateOfFairValueFairValueDisclosureMemberus-gaap:OtherPostretirementBenefitPlansDefinedBenefitMember2021-12-310000895728us-gaap:ForeignPlanMemberus-gaap:Rea</w:t>
      </w:r>
      <w:r>
        <w:rPr>
          <w:rFonts w:eastAsia="Times New Roman"/>
          <w:vanish/>
        </w:rPr>
        <w:t>lEstateMemberus-gaap:FairValueInputsLevel1Memberus-gaap:EstimateOfFairValueFairValueDisclosureMemberus-gaap:OtherPostretirementBenefitPlansDefinedBenefitMember2021-12-310000895728us-gaap:ForeignPlanMemberus-gaap:RealEstateMemberus-gaap:FairValueInputsLevel</w:t>
      </w:r>
      <w:r>
        <w:rPr>
          <w:rFonts w:eastAsia="Times New Roman"/>
          <w:vanish/>
        </w:rPr>
        <w:t>2Memberus-gaap:EstimateOfFairValueFairValueDisclosureMemberus-gaap:OtherPostretirementBenefitPlansDefinedBenefitMember2021-12-310000895728us-gaap:ForeignPlanMemberus-gaap:RealEstateMemberus-gaap:FairValueInputsLevel3Memberus-gaap:EstimateOfFairValueFairVal</w:t>
      </w:r>
      <w:r>
        <w:rPr>
          <w:rFonts w:eastAsia="Times New Roman"/>
          <w:vanish/>
        </w:rPr>
        <w:t>ueDisclosureMemberus-gaap:OtherPostretirementBenefitPlansDefinedBenefitMember2021-12-310000895728us-gaap:ForeignPlanMemberus-gaap:RealEstateMemberus-gaap:EstimateOfFairValueFairValueDisclosureMemberus-gaap:OtherPostretirementBenefitPlansDefinedBenefitMembe</w:t>
      </w:r>
      <w:r>
        <w:rPr>
          <w:rFonts w:eastAsia="Times New Roman"/>
          <w:vanish/>
        </w:rPr>
        <w:t>r2021-12-310000895728us-gaap:ForeignPlanMemberus-gaap:FairValueInputsLevel1Memberus-gaap:EstimateOfFairValueFairValueDisclosureMemberus-gaap:OtherPostretirementBenefitPlansDefinedBenefitMember2021-12-310000895728us-gaap:ForeignPlanMemberus-gaap:FairValueIn</w:t>
      </w:r>
      <w:r>
        <w:rPr>
          <w:rFonts w:eastAsia="Times New Roman"/>
          <w:vanish/>
        </w:rPr>
        <w:t>putsLevel2Memberus-gaap:EstimateOfFairValueFairValueDisclosureMemberus-gaap:OtherPostretirementBenefitPlansDefinedBenefitMember2021-12-310000895728us-gaap:ForeignPlanMemberus-gaap:FairValueInputsLevel3Memberus-gaap:EstimateOfFairValueFairValueDisclosureMem</w:t>
      </w:r>
      <w:r>
        <w:rPr>
          <w:rFonts w:eastAsia="Times New Roman"/>
          <w:vanish/>
        </w:rPr>
        <w:t>berus-gaap:OtherPostretirementBenefitPlansDefinedBenefitMember2021-12-310000895728us-gaap:ForeignPlanMemberus-gaap:EstimateOfFairValueFairValueDisclosureMemberus-gaap:OtherPostretirementBenefitPlansDefinedBenefitMember2021-12-310000895728us-gaap:ForeignPla</w:t>
      </w:r>
      <w:r>
        <w:rPr>
          <w:rFonts w:eastAsia="Times New Roman"/>
          <w:vanish/>
        </w:rPr>
        <w:t>nMemberus-gaap:FairValueInputsLevel1Memberus-gaap:DefinedBenefitPlanEquitySecuritiesUsMemberus-gaap:OtherPostretirementBenefitPlansDefinedBenefitMember2020-12-310000895728us-gaap:ForeignPlanMemberus-gaap:DefinedBenefitPlanEquitySecuritiesUsMemberus-gaap:Fa</w:t>
      </w:r>
      <w:r>
        <w:rPr>
          <w:rFonts w:eastAsia="Times New Roman"/>
          <w:vanish/>
        </w:rPr>
        <w:t>irValueInputsLevel2Memberus-gaap:OtherPostretirementBenefitPlansDefinedBenefitMember2020-12-310000895728us-gaap:ForeignPlanMemberus-gaap:FairValueInputsLevel3Memberus-gaap:DefinedBenefitPlanEquitySecuritiesUsMemberus-gaap:OtherPostretirementBenefitPlansDef</w:t>
      </w:r>
      <w:r>
        <w:rPr>
          <w:rFonts w:eastAsia="Times New Roman"/>
          <w:vanish/>
        </w:rPr>
        <w:t>inedBenefitMember2020-12-310000895728us-gaap:ForeignPlanMemberus-gaap:DefinedBenefitPlanEquitySecuritiesUsMemberus-gaap:OtherPostretirementBenefitPlansDefinedBenefitMember2020-12-310000895728us-gaap:ForeignPlanMemberus-gaap:DefinedBenefitPlanEquitySecuriti</w:t>
      </w:r>
      <w:r>
        <w:rPr>
          <w:rFonts w:eastAsia="Times New Roman"/>
          <w:vanish/>
        </w:rPr>
        <w:t>esNonUsMemberus-gaap:FairValueInputsLevel1Memberus-gaap:OtherPostretirementBenefitPlansDefinedBenefitMember2020-12-310000895728us-gaap:ForeignPlanMemberus-gaap:DefinedBenefitPlanEquitySecuritiesNonUsMemberus-gaap:FairValueInputsLevel2Memberus-gaap:OtherPos</w:t>
      </w:r>
      <w:r>
        <w:rPr>
          <w:rFonts w:eastAsia="Times New Roman"/>
          <w:vanish/>
        </w:rPr>
        <w:t>tretirementBenefitPlansDefinedBenefitMember2020-12-310000895728us-gaap:ForeignPlanMemberus-gaap:DefinedBenefitPlanEquitySecuritiesNonUsMemberus-gaap:FairValueInputsLevel3Memberus-gaap:OtherPostretirementBenefitPlansDefinedBenefitMember2020-12-310000895728u</w:t>
      </w:r>
      <w:r>
        <w:rPr>
          <w:rFonts w:eastAsia="Times New Roman"/>
          <w:vanish/>
        </w:rPr>
        <w:t>s-gaap:ForeignPlanMemberus-gaap:DefinedBenefitPlanEquitySecuritiesNonUsMemberus-gaap:OtherPostretirementBenefitPlansDefinedBenefitMember2020-12-310000895728us-gaap:ForeignPlanMemberenb:DomesticGovernmentBondsMemberus-gaap:FairValueInputsLevel1Memberus-gaap</w:t>
      </w:r>
      <w:r>
        <w:rPr>
          <w:rFonts w:eastAsia="Times New Roman"/>
          <w:vanish/>
        </w:rPr>
        <w:t>:EstimateOfFairValueFairValueDisclosureMemberus-gaap:OtherPostretirementBenefitPlansDefinedBenefitMember2020-12-310000895728us-gaap:ForeignPlanMemberenb:DomesticGovernmentBondsMemberus-gaap:FairValueInputsLevel2Memberus-gaap:EstimateOfFairValueFairValueDis</w:t>
      </w:r>
      <w:r>
        <w:rPr>
          <w:rFonts w:eastAsia="Times New Roman"/>
          <w:vanish/>
        </w:rPr>
        <w:t>closureMemberus-gaap:OtherPostretirementBenefitPlansDefinedBenefitMember2020-12-310000895728us-gaap:ForeignPlanMemberenb:DomesticGovernmentBondsMemberus-gaap:FairValueInputsLevel3Memberus-gaap:EstimateOfFairValueFairValueDisclosureMemberus-gaap:OtherPostre</w:t>
      </w:r>
      <w:r>
        <w:rPr>
          <w:rFonts w:eastAsia="Times New Roman"/>
          <w:vanish/>
        </w:rPr>
        <w:t>tirementBenefitPlansDefinedBenefitMember2020-12-310000895728us-gaap:ForeignPlanMemberenb:DomesticGovernmentBondsMemberus-gaap:EstimateOfFairValueFairValueDisclosureMemberus-gaap:OtherPostretirementBenefitPlansDefinedBenefitMember2020-12-310000895728us-gaap</w:t>
      </w:r>
      <w:r>
        <w:rPr>
          <w:rFonts w:eastAsia="Times New Roman"/>
          <w:vanish/>
        </w:rPr>
        <w:t>:ForeignPlanMemberus-gaap:FairValueInputsLevel1Memberus-gaap:CorporateBondSecuritiesMemberus-gaap:EstimateOfFairValueFairValueDisclosureMemberus-gaap:OtherPostretirementBenefitPlansDefinedBenefitMember2020-12-310000895728us-gaap:ForeignPlanMemberus-gaap:Co</w:t>
      </w:r>
      <w:r>
        <w:rPr>
          <w:rFonts w:eastAsia="Times New Roman"/>
          <w:vanish/>
        </w:rPr>
        <w:t>rporateBondSecuritiesMemberus-gaap:FairValueInputsLevel2Memberus-gaap:EstimateOfFairValueFairValueDisclosureMemberus-gaap:OtherPostretirementBenefitPlansDefinedBenefitMember2020-12-310000895728us-gaap:ForeignPlanMemberus-gaap:FairValueInputsLevel3Memberus-</w:t>
      </w:r>
      <w:r>
        <w:rPr>
          <w:rFonts w:eastAsia="Times New Roman"/>
          <w:vanish/>
        </w:rPr>
        <w:t>gaap:CorporateBondSecuritiesMemberus-gaap:EstimateOfFairValueFairValueDisclosureMemberus-gaap:OtherPostretirementBenefitPlansDefinedBenefitMember2020-12-310000895728us-gaap:ForeignPlanMemberus-gaap:RealEstateMemberus-gaap:FairValueInputsLevel1Memberus-gaap</w:t>
      </w:r>
      <w:r>
        <w:rPr>
          <w:rFonts w:eastAsia="Times New Roman"/>
          <w:vanish/>
        </w:rPr>
        <w:t>:EstimateOfFairValueFairValueDisclosureMemberus-gaap:OtherPostretirementBenefitPlansDefinedBenefitMember2020-12-310000895728us-gaap:ForeignPlanMemberus-gaap:RealEstateMemberus-gaap:FairValueInputsLevel2Memberus-gaap:EstimateOfFairValueFairValueDisclosureMe</w:t>
      </w:r>
      <w:r>
        <w:rPr>
          <w:rFonts w:eastAsia="Times New Roman"/>
          <w:vanish/>
        </w:rPr>
        <w:t>mberus-gaap:OtherPostretirementBenefitPlansDefinedBenefitMember2020-12-310000895728us-gaap:ForeignPlanMemberus-gaap:RealEstateMemberus-gaap:FairValueInputsLevel3Memberus-gaap:EstimateOfFairValueFairValueDisclosureMemberus-gaap:OtherPostretirementBenefitPla</w:t>
      </w:r>
      <w:r>
        <w:rPr>
          <w:rFonts w:eastAsia="Times New Roman"/>
          <w:vanish/>
        </w:rPr>
        <w:t>nsDefinedBenefitMember2020-12-310000895728us-gaap:ForeignPlanMemberus-gaap:RealEstateMemberus-gaap:EstimateOfFairValueFairValueDisclosureMemberus-gaap:OtherPostretirementBenefitPlansDefinedBenefitMember2020-12-310000895728us-gaap:ForeignPlanMemberus-gaap:F</w:t>
      </w:r>
      <w:r>
        <w:rPr>
          <w:rFonts w:eastAsia="Times New Roman"/>
          <w:vanish/>
        </w:rPr>
        <w:t>airValueInputsLevel1Memberus-gaap:EstimateOfFairValueFairValueDisclosureMemberus-gaap:OtherPostretirementBenefitPlansDefinedBenefitMember2020-12-310000895728us-gaap:ForeignPlanMemberus-gaap:FairValueInputsLevel2Memberus-gaap:EstimateOfFairValueFairValueDis</w:t>
      </w:r>
      <w:r>
        <w:rPr>
          <w:rFonts w:eastAsia="Times New Roman"/>
          <w:vanish/>
        </w:rPr>
        <w:t>closureMemberus-gaap:OtherPostretirementBenefitPlansDefinedBenefitMember2020-12-310000895728us-gaap:ForeignPlanMemberus-gaap:FairValueInputsLevel3Memberus-gaap:EstimateOfFairValueFairValueDisclosureMemberus-gaap:OtherPostretirementBenefitPlansDefinedBenefi</w:t>
      </w:r>
      <w:r>
        <w:rPr>
          <w:rFonts w:eastAsia="Times New Roman"/>
          <w:vanish/>
        </w:rPr>
        <w:t>tMember2020-12-310000895728us-gaap:ForeignPlanMemberus-gaap:EstimateOfFairValueFairValueDisclosureMemberus-gaap:OtherPostretirementBenefitPlansDefinedBenefitMember2020-12-310000895728us-gaap:ForeignPlanMemberus-gaap:FairValueInputsLevel3Memberus-gaap:Other</w:t>
      </w:r>
      <w:r>
        <w:rPr>
          <w:rFonts w:eastAsia="Times New Roman"/>
          <w:vanish/>
        </w:rPr>
        <w:t>PostretirementBenefitPlansDefinedBenefitMember2020-12-310000895728us-gaap:ForeignPlanMemberus-gaap:FairValueInputsLevel3Memberus-gaap:OtherPostretirementBenefitPlansDefinedBenefitMember2019-12-310000895728us-gaap:ForeignPlanMemberus-gaap:FairValueInputsLev</w:t>
      </w:r>
      <w:r>
        <w:rPr>
          <w:rFonts w:eastAsia="Times New Roman"/>
          <w:vanish/>
        </w:rPr>
        <w:t>el3Memberus-gaap:OtherPostretirementBenefitPlansDefinedBenefitMember2021-01-012021-12-310000895728us-gaap:ForeignPlanMemberus-gaap:FairValueInputsLevel3Memberus-gaap:OtherPostretirementBenefitPlansDefinedBenefitMember2020-01-012020-12-310000895728us-gaap:F</w:t>
      </w:r>
      <w:r>
        <w:rPr>
          <w:rFonts w:eastAsia="Times New Roman"/>
          <w:vanish/>
        </w:rPr>
        <w:t>oreignPlanMemberus-gaap:FairValueInputsLevel3Memberus-gaap:OtherPostretirementBenefitPlansDefinedBenefitMember2021-12-310000895728us-gaap:ForeignPlanMember2019-01-012019-12-310000895728srt:MinimumMember2021-12-310000895728srt:AffiliatedEntityMember2021-12-</w:t>
      </w:r>
      <w:r>
        <w:rPr>
          <w:rFonts w:eastAsia="Times New Roman"/>
          <w:vanish/>
        </w:rPr>
        <w:t>310000895728srt:AffiliatedEntityMember2020-12-310000895728us-gaap:InvesteeMember2021-01-012021-12-310000895728us-gaap:InvesteeMember2020-01-012020-12-310000895728us-gaap:InvesteeMember2019-01-012019-12-310000895728enb:SeawayCrudePipelineSystemMember2021-01</w:t>
      </w:r>
      <w:r>
        <w:rPr>
          <w:rFonts w:eastAsia="Times New Roman"/>
          <w:vanish/>
        </w:rPr>
        <w:t>-012021-12-310000895728enb:SeawayCrudePipelineSystemMember2020-01-012020-12-310000895728enb:SeawayCrudePipelineSystemMember2019-01-012019-12-310000895728enb:AuxSableCanadaLPMember2021-01-012021-12-310000895728enb:AuxSableCanadaLPMember2020-01-012020-12-310</w:t>
      </w:r>
      <w:r>
        <w:rPr>
          <w:rFonts w:eastAsia="Times New Roman"/>
          <w:vanish/>
        </w:rPr>
        <w:t>000895728enb:AuxSableCanadaLPMember2019-01-012019-12-3100008957282021-01-012021-03-3100008957282021-04-012021-06-3000008957282021-07-012021-09-3000008957282021-10-012021-12-3100008957282020-01-012020-03-3100008957282020-04-012020-06-3000008957282020-07-012</w:t>
      </w:r>
      <w:r>
        <w:rPr>
          <w:rFonts w:eastAsia="Times New Roman"/>
          <w:vanish/>
        </w:rPr>
        <w:t>020-09-3000008957282020-10-012020-12-31</w:t>
      </w:r>
    </w:p>
    <w:p w:rsidR="00000000" w:rsidRDefault="001F1FC8">
      <w:pPr>
        <w:jc w:val="center"/>
        <w:divId w:val="851527073"/>
        <w:rPr>
          <w:rFonts w:eastAsia="Times New Roman"/>
        </w:rPr>
      </w:pP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8201"/>
        <w:gridCol w:w="36"/>
      </w:tblGrid>
      <w:tr w:rsidR="00000000">
        <w:trPr>
          <w:divId w:val="198130515"/>
          <w:jc w:val="center"/>
        </w:trPr>
        <w:tc>
          <w:tcPr>
            <w:tcW w:w="50" w:type="pct"/>
            <w:vAlign w:val="center"/>
            <w:hideMark/>
          </w:tcPr>
          <w:p w:rsidR="00000000" w:rsidRDefault="001F1FC8">
            <w:pPr>
              <w:jc w:val="center"/>
              <w:rPr>
                <w:rFonts w:eastAsia="Times New Roman"/>
              </w:rPr>
            </w:pPr>
          </w:p>
        </w:tc>
        <w:tc>
          <w:tcPr>
            <w:tcW w:w="4945"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r>
      <w:tr w:rsidR="00000000">
        <w:trPr>
          <w:divId w:val="198130515"/>
          <w:trHeight w:val="60"/>
          <w:jc w:val="center"/>
        </w:trPr>
        <w:tc>
          <w:tcPr>
            <w:tcW w:w="0" w:type="auto"/>
            <w:gridSpan w:val="3"/>
            <w:tcBorders>
              <w:top w:val="single" w:sz="8" w:space="0" w:color="000000"/>
              <w:bottom w:val="single" w:sz="8" w:space="0" w:color="000000"/>
            </w:tcBorders>
            <w:tcMar>
              <w:top w:w="0" w:type="dxa"/>
              <w:left w:w="20" w:type="dxa"/>
              <w:bottom w:w="0" w:type="dxa"/>
              <w:right w:w="20" w:type="dxa"/>
            </w:tcMar>
            <w:vAlign w:val="center"/>
            <w:hideMark/>
          </w:tcPr>
          <w:p w:rsidR="00000000" w:rsidRDefault="001F1FC8">
            <w:pPr>
              <w:rPr>
                <w:rFonts w:eastAsia="Times New Roman"/>
                <w:sz w:val="20"/>
                <w:szCs w:val="20"/>
              </w:rPr>
            </w:pPr>
          </w:p>
        </w:tc>
      </w:tr>
    </w:tbl>
    <w:p w:rsidR="00000000" w:rsidRDefault="001F1FC8">
      <w:pPr>
        <w:jc w:val="center"/>
        <w:rPr>
          <w:rFonts w:eastAsia="Times New Roman"/>
        </w:rPr>
      </w:pPr>
      <w:r>
        <w:rPr>
          <w:rFonts w:ascii="Arial" w:eastAsia="Times New Roman" w:hAnsi="Arial" w:cs="Arial"/>
          <w:b/>
          <w:bCs/>
          <w:color w:val="000000"/>
          <w:sz w:val="28"/>
          <w:szCs w:val="28"/>
        </w:rPr>
        <w:t>UNITED STATES</w:t>
      </w:r>
    </w:p>
    <w:p w:rsidR="00000000" w:rsidRDefault="001F1FC8">
      <w:pPr>
        <w:jc w:val="center"/>
        <w:rPr>
          <w:rFonts w:eastAsia="Times New Roman"/>
        </w:rPr>
      </w:pPr>
      <w:r>
        <w:rPr>
          <w:rFonts w:ascii="Arial" w:eastAsia="Times New Roman" w:hAnsi="Arial" w:cs="Arial"/>
          <w:b/>
          <w:bCs/>
          <w:color w:val="000000"/>
          <w:sz w:val="28"/>
          <w:szCs w:val="28"/>
        </w:rPr>
        <w:t>SECURITIES AND EXCHANGE COMMISSION</w:t>
      </w:r>
    </w:p>
    <w:p w:rsidR="00000000" w:rsidRDefault="001F1FC8">
      <w:pPr>
        <w:jc w:val="center"/>
        <w:rPr>
          <w:rFonts w:eastAsia="Times New Roman"/>
        </w:rPr>
      </w:pPr>
      <w:r>
        <w:rPr>
          <w:rFonts w:ascii="Arial" w:eastAsia="Times New Roman" w:hAnsi="Arial" w:cs="Arial"/>
          <w:b/>
          <w:bCs/>
          <w:color w:val="000000"/>
          <w:sz w:val="22"/>
          <w:szCs w:val="22"/>
        </w:rPr>
        <w:t>Washington, D.C. 20549</w:t>
      </w:r>
    </w:p>
    <w:p w:rsidR="00000000" w:rsidRDefault="001F1FC8">
      <w:pPr>
        <w:jc w:val="center"/>
        <w:rPr>
          <w:rFonts w:eastAsia="Times New Roman"/>
        </w:rPr>
      </w:pPr>
      <w:r>
        <w:rPr>
          <w:rFonts w:ascii="Arial" w:eastAsia="Times New Roman" w:hAnsi="Arial" w:cs="Arial"/>
          <w:color w:val="000000"/>
          <w:sz w:val="12"/>
          <w:szCs w:val="12"/>
        </w:rPr>
        <w:t>_______________________________</w:t>
      </w:r>
    </w:p>
    <w:p w:rsidR="00000000" w:rsidRDefault="001F1FC8">
      <w:pPr>
        <w:jc w:val="center"/>
        <w:divId w:val="1968198109"/>
        <w:rPr>
          <w:rFonts w:eastAsia="Times New Roman"/>
        </w:rPr>
      </w:pPr>
      <w:r>
        <w:rPr>
          <w:rFonts w:ascii="Arial" w:eastAsia="Times New Roman" w:hAnsi="Arial" w:cs="Arial"/>
          <w:b/>
          <w:bCs/>
          <w:color w:val="000000"/>
        </w:rPr>
        <w:t xml:space="preserve">FORM 10-K </w:t>
      </w:r>
    </w:p>
    <w:p w:rsidR="00000000" w:rsidRDefault="001F1FC8">
      <w:pPr>
        <w:jc w:val="center"/>
        <w:rPr>
          <w:rFonts w:eastAsia="Times New Roman"/>
        </w:rPr>
      </w:pPr>
      <w:r>
        <w:rPr>
          <w:rFonts w:ascii="Arial" w:eastAsia="Times New Roman" w:hAnsi="Arial" w:cs="Arial"/>
          <w:color w:val="000000"/>
          <w:sz w:val="12"/>
          <w:szCs w:val="12"/>
        </w:rPr>
        <w:t>_______________________________</w:t>
      </w:r>
    </w:p>
    <w:tbl>
      <w:tblPr>
        <w:tblW w:w="4284" w:type="pct"/>
        <w:jc w:val="center"/>
        <w:tblCellMar>
          <w:top w:w="15" w:type="dxa"/>
          <w:left w:w="15" w:type="dxa"/>
          <w:bottom w:w="15" w:type="dxa"/>
          <w:right w:w="15" w:type="dxa"/>
        </w:tblCellMar>
        <w:tblLook w:val="04A0" w:firstRow="1" w:lastRow="0" w:firstColumn="1" w:lastColumn="0" w:noHBand="0" w:noVBand="1"/>
      </w:tblPr>
      <w:tblGrid>
        <w:gridCol w:w="45"/>
        <w:gridCol w:w="261"/>
        <w:gridCol w:w="36"/>
        <w:gridCol w:w="37"/>
        <w:gridCol w:w="86"/>
        <w:gridCol w:w="36"/>
        <w:gridCol w:w="37"/>
        <w:gridCol w:w="6543"/>
        <w:gridCol w:w="36"/>
      </w:tblGrid>
      <w:tr w:rsidR="00000000">
        <w:trPr>
          <w:divId w:val="582879367"/>
          <w:jc w:val="center"/>
        </w:trPr>
        <w:tc>
          <w:tcPr>
            <w:tcW w:w="50" w:type="pct"/>
            <w:vAlign w:val="center"/>
            <w:hideMark/>
          </w:tcPr>
          <w:p w:rsidR="00000000" w:rsidRDefault="001F1FC8">
            <w:pPr>
              <w:jc w:val="center"/>
              <w:rPr>
                <w:rFonts w:eastAsia="Times New Roman"/>
              </w:rPr>
            </w:pPr>
          </w:p>
        </w:tc>
        <w:tc>
          <w:tcPr>
            <w:tcW w:w="220"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c>
          <w:tcPr>
            <w:tcW w:w="33"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c>
          <w:tcPr>
            <w:tcW w:w="50" w:type="pct"/>
            <w:vAlign w:val="center"/>
            <w:hideMark/>
          </w:tcPr>
          <w:p w:rsidR="00000000" w:rsidRDefault="001F1FC8">
            <w:pPr>
              <w:rPr>
                <w:rFonts w:eastAsia="Times New Roman"/>
                <w:sz w:val="20"/>
                <w:szCs w:val="20"/>
              </w:rPr>
            </w:pPr>
          </w:p>
        </w:tc>
        <w:tc>
          <w:tcPr>
            <w:tcW w:w="4626"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r>
      <w:tr w:rsidR="00000000">
        <w:trPr>
          <w:divId w:val="582879367"/>
          <w:jc w:val="center"/>
        </w:trPr>
        <w:tc>
          <w:tcPr>
            <w:tcW w:w="0" w:type="auto"/>
            <w:gridSpan w:val="3"/>
            <w:tcMar>
              <w:top w:w="30" w:type="dxa"/>
              <w:left w:w="20" w:type="dxa"/>
              <w:bottom w:w="30" w:type="dxa"/>
              <w:right w:w="20" w:type="dxa"/>
            </w:tcMar>
            <w:hideMark/>
          </w:tcPr>
          <w:p w:rsidR="00000000" w:rsidRDefault="001F1FC8">
            <w:pPr>
              <w:jc w:val="right"/>
              <w:rPr>
                <w:rFonts w:eastAsia="Times New Roman"/>
              </w:rPr>
            </w:pPr>
            <w:r>
              <w:rPr>
                <w:rFonts w:ascii="Segoe UI Symbol" w:eastAsia="Times New Roman" w:hAnsi="Segoe UI Symbol" w:cs="Segoe UI Symbol"/>
                <w:color w:val="000000"/>
              </w:rPr>
              <w:t>☒</w:t>
            </w:r>
          </w:p>
        </w:tc>
        <w:tc>
          <w:tcPr>
            <w:tcW w:w="0" w:type="auto"/>
            <w:gridSpan w:val="3"/>
            <w:tcMar>
              <w:top w:w="30" w:type="dxa"/>
              <w:left w:w="20" w:type="dxa"/>
              <w:bottom w:w="30" w:type="dxa"/>
              <w:right w:w="20" w:type="dxa"/>
            </w:tcMar>
            <w:vAlign w:val="bottom"/>
            <w:hideMark/>
          </w:tcPr>
          <w:p w:rsidR="00000000" w:rsidRDefault="001F1FC8">
            <w:pPr>
              <w:jc w:val="center"/>
              <w:rPr>
                <w:rFonts w:eastAsia="Times New Roman"/>
              </w:rPr>
            </w:pPr>
            <w:r>
              <w:rPr>
                <w:rFonts w:ascii="Arial" w:eastAsia="Times New Roman" w:hAnsi="Arial" w:cs="Arial"/>
                <w:color w:val="000000"/>
                <w:sz w:val="26"/>
                <w:szCs w:val="26"/>
              </w:rPr>
              <w:t> </w:t>
            </w:r>
          </w:p>
        </w:tc>
        <w:tc>
          <w:tcPr>
            <w:tcW w:w="0" w:type="auto"/>
            <w:gridSpan w:val="3"/>
            <w:tcMar>
              <w:top w:w="30" w:type="dxa"/>
              <w:left w:w="20" w:type="dxa"/>
              <w:bottom w:w="30" w:type="dxa"/>
              <w:right w:w="20" w:type="dxa"/>
            </w:tcMar>
            <w:vAlign w:val="bottom"/>
            <w:hideMark/>
          </w:tcPr>
          <w:p w:rsidR="00000000" w:rsidRDefault="001F1FC8">
            <w:pPr>
              <w:jc w:val="center"/>
              <w:rPr>
                <w:rFonts w:eastAsia="Times New Roman"/>
              </w:rPr>
            </w:pPr>
            <w:r>
              <w:rPr>
                <w:rFonts w:ascii="Arial" w:eastAsia="Times New Roman" w:hAnsi="Arial" w:cs="Arial"/>
                <w:b/>
                <w:bCs/>
                <w:color w:val="000000"/>
                <w:sz w:val="18"/>
                <w:szCs w:val="18"/>
              </w:rPr>
              <w:t>ANNUAL REPORT PURSUANT TO SECTION 13 OR 15(d) OF THE</w:t>
            </w:r>
          </w:p>
          <w:p w:rsidR="00000000" w:rsidRDefault="001F1FC8">
            <w:pPr>
              <w:jc w:val="center"/>
              <w:rPr>
                <w:rFonts w:eastAsia="Times New Roman"/>
              </w:rPr>
            </w:pPr>
            <w:r>
              <w:rPr>
                <w:rFonts w:ascii="Arial" w:eastAsia="Times New Roman" w:hAnsi="Arial" w:cs="Arial"/>
                <w:b/>
                <w:bCs/>
                <w:color w:val="000000"/>
                <w:sz w:val="18"/>
                <w:szCs w:val="18"/>
              </w:rPr>
              <w:t>SECURITIES EXCHANGE ACT OF 1934</w:t>
            </w:r>
          </w:p>
        </w:tc>
      </w:tr>
    </w:tbl>
    <w:p w:rsidR="00000000" w:rsidRDefault="001F1FC8">
      <w:pPr>
        <w:jc w:val="center"/>
        <w:rPr>
          <w:rFonts w:eastAsia="Times New Roman"/>
        </w:rPr>
      </w:pPr>
      <w:r>
        <w:rPr>
          <w:rFonts w:ascii="Arial" w:eastAsia="Times New Roman" w:hAnsi="Arial" w:cs="Arial"/>
          <w:b/>
          <w:bCs/>
          <w:color w:val="000000"/>
          <w:sz w:val="20"/>
          <w:szCs w:val="20"/>
        </w:rPr>
        <w:t xml:space="preserve">For the fiscal year ended December 31, 2021 </w:t>
      </w:r>
    </w:p>
    <w:p w:rsidR="00000000" w:rsidRDefault="001F1FC8">
      <w:pPr>
        <w:jc w:val="center"/>
        <w:rPr>
          <w:rFonts w:eastAsia="Times New Roman"/>
        </w:rPr>
      </w:pPr>
      <w:r>
        <w:rPr>
          <w:rFonts w:ascii="Arial" w:eastAsia="Times New Roman" w:hAnsi="Arial" w:cs="Arial"/>
          <w:b/>
          <w:bCs/>
          <w:color w:val="000000"/>
          <w:sz w:val="20"/>
          <w:szCs w:val="20"/>
        </w:rPr>
        <w:t>or</w:t>
      </w:r>
    </w:p>
    <w:tbl>
      <w:tblPr>
        <w:tblW w:w="4284" w:type="pct"/>
        <w:jc w:val="center"/>
        <w:tblCellMar>
          <w:top w:w="15" w:type="dxa"/>
          <w:left w:w="15" w:type="dxa"/>
          <w:bottom w:w="15" w:type="dxa"/>
          <w:right w:w="15" w:type="dxa"/>
        </w:tblCellMar>
        <w:tblLook w:val="04A0" w:firstRow="1" w:lastRow="0" w:firstColumn="1" w:lastColumn="0" w:noHBand="0" w:noVBand="1"/>
      </w:tblPr>
      <w:tblGrid>
        <w:gridCol w:w="45"/>
        <w:gridCol w:w="261"/>
        <w:gridCol w:w="36"/>
        <w:gridCol w:w="37"/>
        <w:gridCol w:w="86"/>
        <w:gridCol w:w="36"/>
        <w:gridCol w:w="37"/>
        <w:gridCol w:w="6543"/>
        <w:gridCol w:w="36"/>
      </w:tblGrid>
      <w:tr w:rsidR="00000000">
        <w:trPr>
          <w:divId w:val="1017342551"/>
          <w:jc w:val="center"/>
        </w:trPr>
        <w:tc>
          <w:tcPr>
            <w:tcW w:w="50" w:type="pct"/>
            <w:vAlign w:val="center"/>
            <w:hideMark/>
          </w:tcPr>
          <w:p w:rsidR="00000000" w:rsidRDefault="001F1FC8">
            <w:pPr>
              <w:jc w:val="center"/>
              <w:rPr>
                <w:rFonts w:eastAsia="Times New Roman"/>
              </w:rPr>
            </w:pPr>
          </w:p>
        </w:tc>
        <w:tc>
          <w:tcPr>
            <w:tcW w:w="220"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c>
          <w:tcPr>
            <w:tcW w:w="33"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c>
          <w:tcPr>
            <w:tcW w:w="50" w:type="pct"/>
            <w:vAlign w:val="center"/>
            <w:hideMark/>
          </w:tcPr>
          <w:p w:rsidR="00000000" w:rsidRDefault="001F1FC8">
            <w:pPr>
              <w:rPr>
                <w:rFonts w:eastAsia="Times New Roman"/>
                <w:sz w:val="20"/>
                <w:szCs w:val="20"/>
              </w:rPr>
            </w:pPr>
          </w:p>
        </w:tc>
        <w:tc>
          <w:tcPr>
            <w:tcW w:w="4626"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r>
      <w:tr w:rsidR="00000000">
        <w:trPr>
          <w:divId w:val="1017342551"/>
          <w:jc w:val="center"/>
        </w:trPr>
        <w:tc>
          <w:tcPr>
            <w:tcW w:w="0" w:type="auto"/>
            <w:gridSpan w:val="3"/>
            <w:tcMar>
              <w:top w:w="30" w:type="dxa"/>
              <w:left w:w="20" w:type="dxa"/>
              <w:bottom w:w="30" w:type="dxa"/>
              <w:right w:w="20" w:type="dxa"/>
            </w:tcMar>
            <w:hideMark/>
          </w:tcPr>
          <w:p w:rsidR="00000000" w:rsidRDefault="001F1FC8">
            <w:pPr>
              <w:jc w:val="right"/>
              <w:rPr>
                <w:rFonts w:eastAsia="Times New Roman"/>
              </w:rPr>
            </w:pPr>
            <w:r>
              <w:rPr>
                <w:rFonts w:ascii="Segoe UI Symbol" w:eastAsia="Times New Roman" w:hAnsi="Segoe UI Symbol" w:cs="Segoe UI Symbol"/>
                <w:color w:val="000000"/>
              </w:rPr>
              <w:t>☐</w:t>
            </w:r>
          </w:p>
        </w:tc>
        <w:tc>
          <w:tcPr>
            <w:tcW w:w="0" w:type="auto"/>
            <w:gridSpan w:val="3"/>
            <w:tcMar>
              <w:top w:w="30" w:type="dxa"/>
              <w:left w:w="20" w:type="dxa"/>
              <w:bottom w:w="30" w:type="dxa"/>
              <w:right w:w="20" w:type="dxa"/>
            </w:tcMar>
            <w:vAlign w:val="bottom"/>
            <w:hideMark/>
          </w:tcPr>
          <w:p w:rsidR="00000000" w:rsidRDefault="001F1FC8">
            <w:pPr>
              <w:jc w:val="center"/>
              <w:rPr>
                <w:rFonts w:eastAsia="Times New Roman"/>
              </w:rPr>
            </w:pPr>
            <w:r>
              <w:rPr>
                <w:rFonts w:ascii="Arial" w:eastAsia="Times New Roman" w:hAnsi="Arial" w:cs="Arial"/>
                <w:color w:val="000000"/>
                <w:sz w:val="26"/>
                <w:szCs w:val="26"/>
              </w:rPr>
              <w:t> </w:t>
            </w:r>
          </w:p>
        </w:tc>
        <w:tc>
          <w:tcPr>
            <w:tcW w:w="0" w:type="auto"/>
            <w:gridSpan w:val="3"/>
            <w:tcMar>
              <w:top w:w="30" w:type="dxa"/>
              <w:left w:w="20" w:type="dxa"/>
              <w:bottom w:w="30" w:type="dxa"/>
              <w:right w:w="20" w:type="dxa"/>
            </w:tcMar>
            <w:vAlign w:val="bottom"/>
            <w:hideMark/>
          </w:tcPr>
          <w:p w:rsidR="00000000" w:rsidRDefault="001F1FC8">
            <w:pPr>
              <w:jc w:val="center"/>
              <w:rPr>
                <w:rFonts w:eastAsia="Times New Roman"/>
              </w:rPr>
            </w:pPr>
            <w:r>
              <w:rPr>
                <w:rFonts w:ascii="Arial" w:eastAsia="Times New Roman" w:hAnsi="Arial" w:cs="Arial"/>
                <w:b/>
                <w:bCs/>
                <w:color w:val="000000"/>
                <w:sz w:val="18"/>
                <w:szCs w:val="18"/>
              </w:rPr>
              <w:t>TRANSITION REPORT PURSUANT TO SECTION 13 OR 15(d) OF THE</w:t>
            </w:r>
          </w:p>
          <w:p w:rsidR="00000000" w:rsidRDefault="001F1FC8">
            <w:pPr>
              <w:jc w:val="center"/>
              <w:rPr>
                <w:rFonts w:eastAsia="Times New Roman"/>
              </w:rPr>
            </w:pPr>
            <w:r>
              <w:rPr>
                <w:rFonts w:ascii="Arial" w:eastAsia="Times New Roman" w:hAnsi="Arial" w:cs="Arial"/>
                <w:b/>
                <w:bCs/>
                <w:color w:val="000000"/>
                <w:sz w:val="18"/>
                <w:szCs w:val="18"/>
              </w:rPr>
              <w:t>SECURITIES EXCHANGE ACT OF 1934</w:t>
            </w:r>
          </w:p>
        </w:tc>
      </w:tr>
    </w:tbl>
    <w:p w:rsidR="00000000" w:rsidRDefault="001F1FC8">
      <w:pPr>
        <w:jc w:val="center"/>
        <w:rPr>
          <w:rFonts w:eastAsia="Times New Roman"/>
        </w:rPr>
      </w:pPr>
      <w:r>
        <w:rPr>
          <w:rFonts w:ascii="Arial" w:eastAsia="Times New Roman" w:hAnsi="Arial" w:cs="Arial"/>
          <w:b/>
          <w:bCs/>
          <w:color w:val="000000"/>
          <w:sz w:val="20"/>
          <w:szCs w:val="20"/>
        </w:rPr>
        <w:t>For the transition period from         to        </w:t>
      </w:r>
    </w:p>
    <w:p w:rsidR="00000000" w:rsidRDefault="001F1FC8">
      <w:pPr>
        <w:jc w:val="center"/>
        <w:rPr>
          <w:rFonts w:eastAsia="Times New Roman"/>
        </w:rPr>
      </w:pPr>
      <w:r>
        <w:rPr>
          <w:rFonts w:ascii="Arial" w:eastAsia="Times New Roman" w:hAnsi="Arial" w:cs="Arial"/>
          <w:b/>
          <w:bCs/>
          <w:color w:val="000000"/>
          <w:sz w:val="20"/>
          <w:szCs w:val="20"/>
        </w:rPr>
        <w:t xml:space="preserve">Commission file number 1-10934 </w:t>
      </w:r>
    </w:p>
    <w:p w:rsidR="00000000" w:rsidRDefault="001F1FC8">
      <w:pPr>
        <w:jc w:val="center"/>
        <w:rPr>
          <w:rFonts w:eastAsia="Times New Roman"/>
        </w:rPr>
      </w:pPr>
      <w:r>
        <w:rPr>
          <w:rFonts w:ascii="Arial" w:eastAsia="Times New Roman" w:hAnsi="Arial" w:cs="Arial"/>
          <w:color w:val="000000"/>
          <w:sz w:val="12"/>
          <w:szCs w:val="12"/>
        </w:rPr>
        <w:t>_______________________________</w:t>
      </w:r>
    </w:p>
    <w:p w:rsidR="00000000" w:rsidRDefault="001F1FC8">
      <w:pPr>
        <w:jc w:val="center"/>
        <w:rPr>
          <w:rFonts w:eastAsia="Times New Roman"/>
        </w:rPr>
      </w:pPr>
      <w:r>
        <w:rPr>
          <w:rFonts w:ascii="Arial" w:eastAsia="Times New Roman" w:hAnsi="Arial" w:cs="Arial"/>
          <w:b/>
          <w:bCs/>
          <w:color w:val="000000"/>
          <w:sz w:val="28"/>
          <w:szCs w:val="28"/>
        </w:rPr>
        <w:t>ENBRIDGE INC.</w:t>
      </w:r>
    </w:p>
    <w:p w:rsidR="00000000" w:rsidRDefault="001F1FC8">
      <w:pPr>
        <w:ind w:firstLine="45"/>
        <w:jc w:val="center"/>
        <w:rPr>
          <w:rFonts w:eastAsia="Times New Roman"/>
        </w:rPr>
      </w:pPr>
      <w:r>
        <w:rPr>
          <w:rFonts w:ascii="Arial" w:eastAsia="Times New Roman" w:hAnsi="Arial" w:cs="Arial"/>
          <w:color w:val="000000"/>
          <w:sz w:val="16"/>
          <w:szCs w:val="16"/>
        </w:rPr>
        <w:t>(Exact Name of Registrant as Specified in Its Charter)</w:t>
      </w:r>
    </w:p>
    <w:p w:rsidR="00000000" w:rsidRDefault="001F1FC8">
      <w:pPr>
        <w:jc w:val="center"/>
        <w:rPr>
          <w:rFonts w:eastAsia="Times New Roman"/>
        </w:rPr>
      </w:pPr>
      <w:r>
        <w:rPr>
          <w:rFonts w:ascii="Arial" w:eastAsia="Times New Roman" w:hAnsi="Arial" w:cs="Arial"/>
          <w:color w:val="000000"/>
          <w:sz w:val="12"/>
          <w:szCs w:val="12"/>
        </w:rPr>
        <w:t>_______________________________</w:t>
      </w:r>
    </w:p>
    <w:tbl>
      <w:tblPr>
        <w:tblW w:w="5000" w:type="pct"/>
        <w:tblCellMar>
          <w:top w:w="15" w:type="dxa"/>
          <w:left w:w="15" w:type="dxa"/>
          <w:bottom w:w="15" w:type="dxa"/>
          <w:right w:w="15" w:type="dxa"/>
        </w:tblCellMar>
        <w:tblLook w:val="04A0" w:firstRow="1" w:lastRow="0" w:firstColumn="1" w:lastColumn="0" w:noHBand="0" w:noVBand="1"/>
      </w:tblPr>
      <w:tblGrid>
        <w:gridCol w:w="69"/>
        <w:gridCol w:w="3872"/>
        <w:gridCol w:w="36"/>
        <w:gridCol w:w="69"/>
        <w:gridCol w:w="247"/>
        <w:gridCol w:w="36"/>
        <w:gridCol w:w="69"/>
        <w:gridCol w:w="3872"/>
        <w:gridCol w:w="36"/>
      </w:tblGrid>
      <w:tr w:rsidR="00000000">
        <w:trPr>
          <w:divId w:val="663511359"/>
        </w:trPr>
        <w:tc>
          <w:tcPr>
            <w:tcW w:w="50" w:type="pct"/>
            <w:vAlign w:val="center"/>
            <w:hideMark/>
          </w:tcPr>
          <w:p w:rsidR="00000000" w:rsidRDefault="001F1FC8">
            <w:pPr>
              <w:jc w:val="center"/>
              <w:rPr>
                <w:rFonts w:eastAsia="Times New Roman"/>
              </w:rPr>
            </w:pPr>
          </w:p>
        </w:tc>
        <w:tc>
          <w:tcPr>
            <w:tcW w:w="2338"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c>
          <w:tcPr>
            <w:tcW w:w="50" w:type="pct"/>
            <w:vAlign w:val="center"/>
            <w:hideMark/>
          </w:tcPr>
          <w:p w:rsidR="00000000" w:rsidRDefault="001F1FC8">
            <w:pPr>
              <w:rPr>
                <w:rFonts w:eastAsia="Times New Roman"/>
                <w:sz w:val="20"/>
                <w:szCs w:val="20"/>
              </w:rPr>
            </w:pPr>
          </w:p>
        </w:tc>
        <w:tc>
          <w:tcPr>
            <w:tcW w:w="157"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c>
          <w:tcPr>
            <w:tcW w:w="50" w:type="pct"/>
            <w:vAlign w:val="center"/>
            <w:hideMark/>
          </w:tcPr>
          <w:p w:rsidR="00000000" w:rsidRDefault="001F1FC8">
            <w:pPr>
              <w:rPr>
                <w:rFonts w:eastAsia="Times New Roman"/>
                <w:sz w:val="20"/>
                <w:szCs w:val="20"/>
              </w:rPr>
            </w:pPr>
          </w:p>
        </w:tc>
        <w:tc>
          <w:tcPr>
            <w:tcW w:w="2338"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r>
      <w:tr w:rsidR="00000000">
        <w:trPr>
          <w:divId w:val="663511359"/>
        </w:trPr>
        <w:tc>
          <w:tcPr>
            <w:tcW w:w="0" w:type="auto"/>
            <w:gridSpan w:val="3"/>
            <w:tcMar>
              <w:top w:w="30" w:type="dxa"/>
              <w:left w:w="20" w:type="dxa"/>
              <w:bottom w:w="30" w:type="dxa"/>
              <w:right w:w="20" w:type="dxa"/>
            </w:tcMar>
            <w:vAlign w:val="bottom"/>
            <w:hideMark/>
          </w:tcPr>
          <w:p w:rsidR="00000000" w:rsidRDefault="001F1FC8">
            <w:pPr>
              <w:jc w:val="center"/>
              <w:rPr>
                <w:rFonts w:eastAsia="Times New Roman"/>
              </w:rPr>
            </w:pPr>
            <w:r>
              <w:rPr>
                <w:rFonts w:ascii="Arial" w:eastAsia="Times New Roman" w:hAnsi="Arial" w:cs="Arial"/>
                <w:b/>
                <w:bCs/>
                <w:color w:val="000000"/>
                <w:sz w:val="18"/>
                <w:szCs w:val="18"/>
              </w:rPr>
              <w:t>Canada</w:t>
            </w:r>
          </w:p>
        </w:tc>
        <w:tc>
          <w:tcPr>
            <w:tcW w:w="0" w:type="auto"/>
            <w:gridSpan w:val="3"/>
            <w:tcMar>
              <w:top w:w="30" w:type="dxa"/>
              <w:left w:w="20" w:type="dxa"/>
              <w:bottom w:w="30" w:type="dxa"/>
              <w:right w:w="20" w:type="dxa"/>
            </w:tcMar>
            <w:vAlign w:val="bottom"/>
            <w:hideMark/>
          </w:tcPr>
          <w:p w:rsidR="00000000" w:rsidRDefault="001F1FC8">
            <w:pPr>
              <w:jc w:val="center"/>
              <w:rPr>
                <w:rFonts w:eastAsia="Times New Roman"/>
              </w:rPr>
            </w:pPr>
            <w:r>
              <w:rPr>
                <w:rFonts w:ascii="Arial" w:eastAsia="Times New Roman" w:hAnsi="Arial" w:cs="Arial"/>
                <w:color w:val="000000"/>
                <w:sz w:val="18"/>
                <w:szCs w:val="18"/>
              </w:rPr>
              <w:t> </w:t>
            </w:r>
          </w:p>
        </w:tc>
        <w:tc>
          <w:tcPr>
            <w:tcW w:w="0" w:type="auto"/>
            <w:gridSpan w:val="3"/>
            <w:tcMar>
              <w:top w:w="30" w:type="dxa"/>
              <w:left w:w="20" w:type="dxa"/>
              <w:bottom w:w="30" w:type="dxa"/>
              <w:right w:w="20" w:type="dxa"/>
            </w:tcMar>
            <w:vAlign w:val="bottom"/>
            <w:hideMark/>
          </w:tcPr>
          <w:p w:rsidR="00000000" w:rsidRDefault="001F1FC8">
            <w:pPr>
              <w:jc w:val="center"/>
              <w:rPr>
                <w:rFonts w:eastAsia="Times New Roman"/>
              </w:rPr>
            </w:pPr>
            <w:r>
              <w:rPr>
                <w:rFonts w:ascii="Arial" w:eastAsia="Times New Roman" w:hAnsi="Arial" w:cs="Arial"/>
                <w:b/>
                <w:bCs/>
                <w:color w:val="000000"/>
                <w:sz w:val="18"/>
                <w:szCs w:val="18"/>
              </w:rPr>
              <w:t>98-0377957</w:t>
            </w:r>
          </w:p>
        </w:tc>
      </w:tr>
      <w:tr w:rsidR="00000000">
        <w:trPr>
          <w:divId w:val="663511359"/>
        </w:trPr>
        <w:tc>
          <w:tcPr>
            <w:tcW w:w="0" w:type="auto"/>
            <w:gridSpan w:val="3"/>
            <w:tcMar>
              <w:top w:w="30" w:type="dxa"/>
              <w:left w:w="20" w:type="dxa"/>
              <w:bottom w:w="30" w:type="dxa"/>
              <w:right w:w="20" w:type="dxa"/>
            </w:tcMar>
            <w:vAlign w:val="bottom"/>
            <w:hideMark/>
          </w:tcPr>
          <w:p w:rsidR="00000000" w:rsidRDefault="001F1FC8">
            <w:pPr>
              <w:jc w:val="center"/>
              <w:rPr>
                <w:rFonts w:eastAsia="Times New Roman"/>
              </w:rPr>
            </w:pPr>
            <w:r>
              <w:rPr>
                <w:rFonts w:ascii="Arial" w:eastAsia="Times New Roman" w:hAnsi="Arial" w:cs="Arial"/>
                <w:color w:val="000000"/>
                <w:sz w:val="18"/>
                <w:szCs w:val="18"/>
              </w:rPr>
              <w:t>(State or Other Jurisdiction of</w:t>
            </w:r>
          </w:p>
          <w:p w:rsidR="00000000" w:rsidRDefault="001F1FC8">
            <w:pPr>
              <w:jc w:val="center"/>
              <w:rPr>
                <w:rFonts w:eastAsia="Times New Roman"/>
              </w:rPr>
            </w:pPr>
            <w:r>
              <w:rPr>
                <w:rFonts w:ascii="Arial" w:eastAsia="Times New Roman" w:hAnsi="Arial" w:cs="Arial"/>
                <w:color w:val="000000"/>
                <w:sz w:val="18"/>
                <w:szCs w:val="18"/>
              </w:rPr>
              <w:t>Incorporation or Organization)</w:t>
            </w:r>
          </w:p>
        </w:tc>
        <w:tc>
          <w:tcPr>
            <w:tcW w:w="0" w:type="auto"/>
            <w:gridSpan w:val="3"/>
            <w:tcMar>
              <w:top w:w="30" w:type="dxa"/>
              <w:left w:w="20" w:type="dxa"/>
              <w:bottom w:w="30" w:type="dxa"/>
              <w:right w:w="20" w:type="dxa"/>
            </w:tcMar>
            <w:vAlign w:val="bottom"/>
            <w:hideMark/>
          </w:tcPr>
          <w:p w:rsidR="00000000" w:rsidRDefault="001F1FC8">
            <w:pPr>
              <w:jc w:val="center"/>
              <w:rPr>
                <w:rFonts w:eastAsia="Times New Roman"/>
              </w:rPr>
            </w:pPr>
            <w:r>
              <w:rPr>
                <w:rFonts w:ascii="Arial" w:eastAsia="Times New Roman" w:hAnsi="Arial" w:cs="Arial"/>
                <w:color w:val="000000"/>
                <w:sz w:val="18"/>
                <w:szCs w:val="18"/>
              </w:rPr>
              <w:t> </w:t>
            </w:r>
          </w:p>
        </w:tc>
        <w:tc>
          <w:tcPr>
            <w:tcW w:w="0" w:type="auto"/>
            <w:gridSpan w:val="3"/>
            <w:tcMar>
              <w:top w:w="30" w:type="dxa"/>
              <w:left w:w="20" w:type="dxa"/>
              <w:bottom w:w="30" w:type="dxa"/>
              <w:right w:w="20" w:type="dxa"/>
            </w:tcMar>
            <w:vAlign w:val="bottom"/>
            <w:hideMark/>
          </w:tcPr>
          <w:p w:rsidR="00000000" w:rsidRDefault="001F1FC8">
            <w:pPr>
              <w:jc w:val="center"/>
              <w:rPr>
                <w:rFonts w:eastAsia="Times New Roman"/>
              </w:rPr>
            </w:pPr>
            <w:r>
              <w:rPr>
                <w:rFonts w:ascii="Arial" w:eastAsia="Times New Roman" w:hAnsi="Arial" w:cs="Arial"/>
                <w:color w:val="000000"/>
                <w:sz w:val="18"/>
                <w:szCs w:val="18"/>
              </w:rPr>
              <w:t>(I.R.S. Employer</w:t>
            </w:r>
          </w:p>
          <w:p w:rsidR="00000000" w:rsidRDefault="001F1FC8">
            <w:pPr>
              <w:jc w:val="center"/>
              <w:rPr>
                <w:rFonts w:eastAsia="Times New Roman"/>
              </w:rPr>
            </w:pPr>
            <w:r>
              <w:rPr>
                <w:rFonts w:ascii="Arial" w:eastAsia="Times New Roman" w:hAnsi="Arial" w:cs="Arial"/>
                <w:color w:val="000000"/>
                <w:sz w:val="18"/>
                <w:szCs w:val="18"/>
              </w:rPr>
              <w:t>Identification No.)</w:t>
            </w:r>
          </w:p>
        </w:tc>
      </w:tr>
    </w:tbl>
    <w:p w:rsidR="00000000" w:rsidRDefault="001F1FC8">
      <w:pPr>
        <w:jc w:val="center"/>
        <w:rPr>
          <w:rFonts w:eastAsia="Times New Roman"/>
        </w:rPr>
      </w:pPr>
      <w:r>
        <w:rPr>
          <w:rFonts w:ascii="Arial" w:eastAsia="Times New Roman" w:hAnsi="Arial" w:cs="Arial"/>
          <w:b/>
          <w:bCs/>
          <w:color w:val="000000"/>
          <w:sz w:val="20"/>
          <w:szCs w:val="20"/>
        </w:rPr>
        <w:t xml:space="preserve">200, 425 - 1st Street S.W. </w:t>
      </w:r>
    </w:p>
    <w:p w:rsidR="00000000" w:rsidRDefault="001F1FC8">
      <w:pPr>
        <w:jc w:val="center"/>
        <w:rPr>
          <w:rFonts w:eastAsia="Times New Roman"/>
        </w:rPr>
      </w:pPr>
      <w:r>
        <w:rPr>
          <w:rFonts w:ascii="Arial" w:eastAsia="Times New Roman" w:hAnsi="Arial" w:cs="Arial"/>
          <w:b/>
          <w:bCs/>
          <w:color w:val="000000"/>
          <w:sz w:val="20"/>
          <w:szCs w:val="20"/>
        </w:rPr>
        <w:t xml:space="preserve">Calgary, Alberta, Canada T2P 3L8 </w:t>
      </w:r>
    </w:p>
    <w:p w:rsidR="00000000" w:rsidRDefault="001F1FC8">
      <w:pPr>
        <w:ind w:firstLine="45"/>
        <w:jc w:val="center"/>
        <w:rPr>
          <w:rFonts w:eastAsia="Times New Roman"/>
        </w:rPr>
      </w:pPr>
      <w:r>
        <w:rPr>
          <w:rFonts w:ascii="Arial" w:eastAsia="Times New Roman" w:hAnsi="Arial" w:cs="Arial"/>
          <w:color w:val="000000"/>
          <w:sz w:val="16"/>
          <w:szCs w:val="16"/>
        </w:rPr>
        <w:t>(Address of Principal Executive Offices) (Zip Code)</w:t>
      </w:r>
    </w:p>
    <w:p w:rsidR="00000000" w:rsidRDefault="001F1FC8">
      <w:pPr>
        <w:ind w:firstLine="45"/>
        <w:jc w:val="center"/>
        <w:rPr>
          <w:rFonts w:eastAsia="Times New Roman"/>
        </w:rPr>
      </w:pPr>
      <w:r>
        <w:rPr>
          <w:rFonts w:ascii="Arial" w:eastAsia="Times New Roman" w:hAnsi="Arial" w:cs="Arial"/>
          <w:color w:val="000000"/>
          <w:sz w:val="20"/>
          <w:szCs w:val="20"/>
        </w:rPr>
        <w:t xml:space="preserve">Registrant’s telephone number, including area code </w:t>
      </w:r>
      <w:r>
        <w:rPr>
          <w:rFonts w:ascii="Arial" w:eastAsia="Times New Roman" w:hAnsi="Arial" w:cs="Arial"/>
          <w:b/>
          <w:bCs/>
          <w:color w:val="000000"/>
          <w:sz w:val="20"/>
          <w:szCs w:val="20"/>
        </w:rPr>
        <w:t xml:space="preserve">(403) 231-3900 </w:t>
      </w:r>
    </w:p>
    <w:p w:rsidR="00000000" w:rsidRDefault="001F1FC8">
      <w:pPr>
        <w:jc w:val="center"/>
        <w:rPr>
          <w:rFonts w:eastAsia="Times New Roman"/>
        </w:rPr>
      </w:pPr>
      <w:r>
        <w:rPr>
          <w:rFonts w:ascii="Arial" w:eastAsia="Times New Roman" w:hAnsi="Arial" w:cs="Arial"/>
          <w:color w:val="000000"/>
          <w:sz w:val="12"/>
          <w:szCs w:val="12"/>
        </w:rPr>
        <w:t>_______________________________</w:t>
      </w:r>
    </w:p>
    <w:p w:rsidR="00000000" w:rsidRDefault="001F1FC8">
      <w:pPr>
        <w:ind w:firstLine="45"/>
        <w:jc w:val="center"/>
        <w:rPr>
          <w:rFonts w:eastAsia="Times New Roman"/>
        </w:rPr>
      </w:pPr>
      <w:r>
        <w:rPr>
          <w:rFonts w:ascii="Arial" w:eastAsia="Times New Roman" w:hAnsi="Arial" w:cs="Arial"/>
          <w:color w:val="000000"/>
          <w:sz w:val="20"/>
          <w:szCs w:val="20"/>
        </w:rPr>
        <w:t>Securities registered pursuant to Section 12(b) of the Act:</w:t>
      </w:r>
    </w:p>
    <w:tbl>
      <w:tblPr>
        <w:tblW w:w="4992" w:type="pct"/>
        <w:tblCellMar>
          <w:top w:w="15" w:type="dxa"/>
          <w:left w:w="15" w:type="dxa"/>
          <w:bottom w:w="15" w:type="dxa"/>
          <w:right w:w="15" w:type="dxa"/>
        </w:tblCellMar>
        <w:tblLook w:val="04A0" w:firstRow="1" w:lastRow="0" w:firstColumn="1" w:lastColumn="0" w:noHBand="0" w:noVBand="1"/>
      </w:tblPr>
      <w:tblGrid>
        <w:gridCol w:w="69"/>
        <w:gridCol w:w="3091"/>
        <w:gridCol w:w="38"/>
        <w:gridCol w:w="69"/>
        <w:gridCol w:w="1426"/>
        <w:gridCol w:w="36"/>
        <w:gridCol w:w="69"/>
        <w:gridCol w:w="3459"/>
        <w:gridCol w:w="36"/>
      </w:tblGrid>
      <w:tr w:rsidR="00000000">
        <w:trPr>
          <w:divId w:val="231817023"/>
        </w:trPr>
        <w:tc>
          <w:tcPr>
            <w:tcW w:w="50" w:type="pct"/>
            <w:vAlign w:val="center"/>
            <w:hideMark/>
          </w:tcPr>
          <w:p w:rsidR="00000000" w:rsidRDefault="001F1FC8">
            <w:pPr>
              <w:ind w:firstLine="45"/>
              <w:jc w:val="center"/>
              <w:rPr>
                <w:rFonts w:eastAsia="Times New Roman"/>
              </w:rPr>
            </w:pPr>
          </w:p>
        </w:tc>
        <w:tc>
          <w:tcPr>
            <w:tcW w:w="1872"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c>
          <w:tcPr>
            <w:tcW w:w="50" w:type="pct"/>
            <w:vAlign w:val="center"/>
            <w:hideMark/>
          </w:tcPr>
          <w:p w:rsidR="00000000" w:rsidRDefault="001F1FC8">
            <w:pPr>
              <w:rPr>
                <w:rFonts w:eastAsia="Times New Roman"/>
                <w:sz w:val="20"/>
                <w:szCs w:val="20"/>
              </w:rPr>
            </w:pPr>
          </w:p>
        </w:tc>
        <w:tc>
          <w:tcPr>
            <w:tcW w:w="868"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c>
          <w:tcPr>
            <w:tcW w:w="50" w:type="pct"/>
            <w:vAlign w:val="center"/>
            <w:hideMark/>
          </w:tcPr>
          <w:p w:rsidR="00000000" w:rsidRDefault="001F1FC8">
            <w:pPr>
              <w:rPr>
                <w:rFonts w:eastAsia="Times New Roman"/>
                <w:sz w:val="20"/>
                <w:szCs w:val="20"/>
              </w:rPr>
            </w:pPr>
          </w:p>
        </w:tc>
        <w:tc>
          <w:tcPr>
            <w:tcW w:w="2094"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r>
      <w:tr w:rsidR="00000000">
        <w:trPr>
          <w:divId w:val="231817023"/>
        </w:trPr>
        <w:tc>
          <w:tcPr>
            <w:tcW w:w="0" w:type="auto"/>
            <w:gridSpan w:val="3"/>
            <w:tcMar>
              <w:top w:w="30" w:type="dxa"/>
              <w:left w:w="20" w:type="dxa"/>
              <w:bottom w:w="30" w:type="dxa"/>
              <w:right w:w="20" w:type="dxa"/>
            </w:tcMar>
            <w:vAlign w:val="bottom"/>
            <w:hideMark/>
          </w:tcPr>
          <w:p w:rsidR="00000000" w:rsidRDefault="001F1FC8">
            <w:pPr>
              <w:jc w:val="center"/>
              <w:rPr>
                <w:rFonts w:eastAsia="Times New Roman"/>
              </w:rPr>
            </w:pPr>
            <w:r>
              <w:rPr>
                <w:rFonts w:ascii="Arial" w:eastAsia="Times New Roman" w:hAnsi="Arial" w:cs="Arial"/>
                <w:b/>
                <w:bCs/>
                <w:color w:val="000000"/>
                <w:sz w:val="18"/>
                <w:szCs w:val="18"/>
                <w:u w:val="single"/>
              </w:rPr>
              <w:t>Title of each class</w:t>
            </w:r>
          </w:p>
        </w:tc>
        <w:tc>
          <w:tcPr>
            <w:tcW w:w="0" w:type="auto"/>
            <w:gridSpan w:val="3"/>
            <w:tcMar>
              <w:top w:w="30" w:type="dxa"/>
              <w:left w:w="20" w:type="dxa"/>
              <w:bottom w:w="30" w:type="dxa"/>
              <w:right w:w="20" w:type="dxa"/>
            </w:tcMar>
            <w:vAlign w:val="bottom"/>
            <w:hideMark/>
          </w:tcPr>
          <w:p w:rsidR="00000000" w:rsidRDefault="001F1FC8">
            <w:pPr>
              <w:jc w:val="center"/>
              <w:rPr>
                <w:rFonts w:eastAsia="Times New Roman"/>
              </w:rPr>
            </w:pPr>
            <w:r>
              <w:rPr>
                <w:rFonts w:ascii="Arial" w:eastAsia="Times New Roman" w:hAnsi="Arial" w:cs="Arial"/>
                <w:b/>
                <w:bCs/>
                <w:color w:val="000000"/>
                <w:sz w:val="18"/>
                <w:szCs w:val="18"/>
                <w:u w:val="single"/>
              </w:rPr>
              <w:t>Trading Symbol(s)</w:t>
            </w:r>
          </w:p>
        </w:tc>
        <w:tc>
          <w:tcPr>
            <w:tcW w:w="0" w:type="auto"/>
            <w:gridSpan w:val="3"/>
            <w:tcMar>
              <w:top w:w="30" w:type="dxa"/>
              <w:left w:w="20" w:type="dxa"/>
              <w:bottom w:w="30" w:type="dxa"/>
              <w:right w:w="20" w:type="dxa"/>
            </w:tcMar>
            <w:vAlign w:val="bottom"/>
            <w:hideMark/>
          </w:tcPr>
          <w:p w:rsidR="00000000" w:rsidRDefault="001F1FC8">
            <w:pPr>
              <w:jc w:val="center"/>
              <w:rPr>
                <w:rFonts w:eastAsia="Times New Roman"/>
              </w:rPr>
            </w:pPr>
            <w:r>
              <w:rPr>
                <w:rFonts w:ascii="Arial" w:eastAsia="Times New Roman" w:hAnsi="Arial" w:cs="Arial"/>
                <w:b/>
                <w:bCs/>
                <w:color w:val="000000"/>
                <w:sz w:val="18"/>
                <w:szCs w:val="18"/>
                <w:u w:val="single"/>
              </w:rPr>
              <w:t>Name of each exchange on which registered</w:t>
            </w:r>
          </w:p>
        </w:tc>
      </w:tr>
      <w:tr w:rsidR="00000000">
        <w:trPr>
          <w:divId w:val="231817023"/>
        </w:trPr>
        <w:tc>
          <w:tcPr>
            <w:tcW w:w="0" w:type="auto"/>
            <w:gridSpan w:val="3"/>
            <w:tcMar>
              <w:top w:w="30" w:type="dxa"/>
              <w:left w:w="20" w:type="dxa"/>
              <w:bottom w:w="30" w:type="dxa"/>
              <w:right w:w="20" w:type="dxa"/>
            </w:tcMar>
            <w:vAlign w:val="bottom"/>
            <w:hideMark/>
          </w:tcPr>
          <w:p w:rsidR="00000000" w:rsidRDefault="001F1FC8">
            <w:pPr>
              <w:jc w:val="center"/>
              <w:rPr>
                <w:rFonts w:eastAsia="Times New Roman"/>
              </w:rPr>
            </w:pPr>
            <w:r>
              <w:rPr>
                <w:rFonts w:ascii="Arial" w:eastAsia="Times New Roman" w:hAnsi="Arial" w:cs="Arial"/>
                <w:color w:val="000000"/>
                <w:sz w:val="18"/>
                <w:szCs w:val="18"/>
              </w:rPr>
              <w:t>Common Shares</w:t>
            </w:r>
          </w:p>
        </w:tc>
        <w:tc>
          <w:tcPr>
            <w:tcW w:w="0" w:type="auto"/>
            <w:gridSpan w:val="3"/>
            <w:tcMar>
              <w:top w:w="30" w:type="dxa"/>
              <w:left w:w="20" w:type="dxa"/>
              <w:bottom w:w="30" w:type="dxa"/>
              <w:right w:w="20" w:type="dxa"/>
            </w:tcMar>
            <w:vAlign w:val="bottom"/>
            <w:hideMark/>
          </w:tcPr>
          <w:p w:rsidR="00000000" w:rsidRDefault="001F1FC8">
            <w:pPr>
              <w:jc w:val="center"/>
              <w:rPr>
                <w:rFonts w:eastAsia="Times New Roman"/>
              </w:rPr>
            </w:pPr>
            <w:r>
              <w:rPr>
                <w:rFonts w:ascii="Arial" w:eastAsia="Times New Roman" w:hAnsi="Arial" w:cs="Arial"/>
                <w:color w:val="000000"/>
                <w:sz w:val="18"/>
                <w:szCs w:val="18"/>
              </w:rPr>
              <w:t>ENB</w:t>
            </w:r>
          </w:p>
        </w:tc>
        <w:tc>
          <w:tcPr>
            <w:tcW w:w="0" w:type="auto"/>
            <w:gridSpan w:val="3"/>
            <w:tcMar>
              <w:top w:w="30" w:type="dxa"/>
              <w:left w:w="20" w:type="dxa"/>
              <w:bottom w:w="30" w:type="dxa"/>
              <w:right w:w="20" w:type="dxa"/>
            </w:tcMar>
            <w:vAlign w:val="bottom"/>
            <w:hideMark/>
          </w:tcPr>
          <w:p w:rsidR="00000000" w:rsidRDefault="001F1FC8">
            <w:pPr>
              <w:jc w:val="center"/>
              <w:rPr>
                <w:rFonts w:eastAsia="Times New Roman"/>
              </w:rPr>
            </w:pPr>
            <w:r>
              <w:rPr>
                <w:rFonts w:ascii="Arial" w:eastAsia="Times New Roman" w:hAnsi="Arial" w:cs="Arial"/>
                <w:color w:val="000000"/>
                <w:sz w:val="18"/>
                <w:szCs w:val="18"/>
              </w:rPr>
              <w:t>New York Stock Exchange</w:t>
            </w:r>
          </w:p>
        </w:tc>
      </w:tr>
      <w:tr w:rsidR="00000000">
        <w:trPr>
          <w:divId w:val="231817023"/>
        </w:trPr>
        <w:tc>
          <w:tcPr>
            <w:tcW w:w="0" w:type="auto"/>
            <w:gridSpan w:val="3"/>
            <w:tcMar>
              <w:top w:w="30" w:type="dxa"/>
              <w:left w:w="20" w:type="dxa"/>
              <w:bottom w:w="30" w:type="dxa"/>
              <w:right w:w="20" w:type="dxa"/>
            </w:tcMar>
            <w:vAlign w:val="bottom"/>
            <w:hideMark/>
          </w:tcPr>
          <w:p w:rsidR="00000000" w:rsidRDefault="001F1FC8">
            <w:pPr>
              <w:jc w:val="center"/>
              <w:rPr>
                <w:rFonts w:eastAsia="Times New Roman"/>
              </w:rPr>
            </w:pPr>
            <w:r>
              <w:rPr>
                <w:rFonts w:ascii="Arial" w:eastAsia="Times New Roman" w:hAnsi="Arial" w:cs="Arial"/>
                <w:color w:val="000000"/>
                <w:sz w:val="18"/>
                <w:szCs w:val="18"/>
              </w:rPr>
              <w:t>6.375% Fixed-to-Floating Rate Subordinated Notes Series 2018-B due 2078</w:t>
            </w:r>
          </w:p>
        </w:tc>
        <w:tc>
          <w:tcPr>
            <w:tcW w:w="0" w:type="auto"/>
            <w:gridSpan w:val="3"/>
            <w:tcMar>
              <w:top w:w="30" w:type="dxa"/>
              <w:left w:w="20" w:type="dxa"/>
              <w:bottom w:w="30" w:type="dxa"/>
              <w:right w:w="20" w:type="dxa"/>
            </w:tcMar>
            <w:vAlign w:val="bottom"/>
            <w:hideMark/>
          </w:tcPr>
          <w:p w:rsidR="00000000" w:rsidRDefault="001F1FC8">
            <w:pPr>
              <w:jc w:val="center"/>
              <w:rPr>
                <w:rFonts w:eastAsia="Times New Roman"/>
              </w:rPr>
            </w:pPr>
            <w:r>
              <w:rPr>
                <w:rFonts w:ascii="Arial" w:eastAsia="Times New Roman" w:hAnsi="Arial" w:cs="Arial"/>
                <w:color w:val="000000"/>
                <w:sz w:val="18"/>
                <w:szCs w:val="18"/>
              </w:rPr>
              <w:t>ENBA</w:t>
            </w:r>
          </w:p>
        </w:tc>
        <w:tc>
          <w:tcPr>
            <w:tcW w:w="0" w:type="auto"/>
            <w:gridSpan w:val="3"/>
            <w:tcMar>
              <w:top w:w="30" w:type="dxa"/>
              <w:left w:w="20" w:type="dxa"/>
              <w:bottom w:w="30" w:type="dxa"/>
              <w:right w:w="20" w:type="dxa"/>
            </w:tcMar>
            <w:vAlign w:val="bottom"/>
            <w:hideMark/>
          </w:tcPr>
          <w:p w:rsidR="00000000" w:rsidRDefault="001F1FC8">
            <w:pPr>
              <w:jc w:val="center"/>
              <w:rPr>
                <w:rFonts w:eastAsia="Times New Roman"/>
              </w:rPr>
            </w:pPr>
            <w:r>
              <w:rPr>
                <w:rFonts w:ascii="Arial" w:eastAsia="Times New Roman" w:hAnsi="Arial" w:cs="Arial"/>
                <w:color w:val="000000"/>
                <w:sz w:val="18"/>
                <w:szCs w:val="18"/>
              </w:rPr>
              <w:t>New York Stock Exchange</w:t>
            </w:r>
          </w:p>
        </w:tc>
      </w:tr>
    </w:tbl>
    <w:p w:rsidR="00000000" w:rsidRDefault="001F1FC8">
      <w:pPr>
        <w:ind w:firstLine="45"/>
        <w:jc w:val="center"/>
        <w:rPr>
          <w:rFonts w:eastAsia="Times New Roman"/>
        </w:rPr>
      </w:pPr>
      <w:r>
        <w:rPr>
          <w:rFonts w:ascii="Arial" w:eastAsia="Times New Roman" w:hAnsi="Arial" w:cs="Arial"/>
          <w:color w:val="000000"/>
          <w:sz w:val="20"/>
          <w:szCs w:val="20"/>
        </w:rPr>
        <w:t xml:space="preserve">Securities registered pursuant to Section 12(g) of the Act: </w:t>
      </w:r>
      <w:r>
        <w:rPr>
          <w:rFonts w:ascii="Arial" w:eastAsia="Times New Roman" w:hAnsi="Arial" w:cs="Arial"/>
          <w:b/>
          <w:bCs/>
          <w:color w:val="000000"/>
          <w:sz w:val="20"/>
          <w:szCs w:val="20"/>
        </w:rPr>
        <w:t>None</w:t>
      </w:r>
    </w:p>
    <w:p w:rsidR="00000000" w:rsidRDefault="001F1FC8">
      <w:pPr>
        <w:jc w:val="center"/>
        <w:rPr>
          <w:rFonts w:eastAsia="Times New Roman"/>
        </w:rPr>
      </w:pPr>
      <w:r>
        <w:rPr>
          <w:rFonts w:ascii="Arial" w:eastAsia="Times New Roman" w:hAnsi="Arial" w:cs="Arial"/>
          <w:color w:val="000000"/>
          <w:sz w:val="12"/>
          <w:szCs w:val="12"/>
        </w:rPr>
        <w:t>_______________________________</w:t>
      </w:r>
    </w:p>
    <w:p w:rsidR="00000000" w:rsidRDefault="001F1FC8">
      <w:pPr>
        <w:ind w:firstLine="360"/>
        <w:jc w:val="both"/>
        <w:rPr>
          <w:rFonts w:eastAsia="Times New Roman"/>
        </w:rPr>
      </w:pPr>
      <w:r>
        <w:rPr>
          <w:rFonts w:ascii="Arial" w:eastAsia="Times New Roman" w:hAnsi="Arial" w:cs="Arial"/>
          <w:color w:val="000000"/>
          <w:sz w:val="16"/>
          <w:szCs w:val="16"/>
        </w:rPr>
        <w:t xml:space="preserve">Indicate by check mark if the registrant is a well-known seasoned issuer, as defined in Rule 405 of the Securities Act. Yes </w:t>
      </w:r>
      <w:r>
        <w:rPr>
          <w:rFonts w:ascii="Segoe UI Symbol" w:eastAsia="Times New Roman" w:hAnsi="Segoe UI Symbol" w:cs="Segoe UI Symbol"/>
          <w:color w:val="000000"/>
          <w:sz w:val="16"/>
          <w:szCs w:val="16"/>
        </w:rPr>
        <w:t>☒</w:t>
      </w:r>
      <w:r>
        <w:rPr>
          <w:rFonts w:ascii="Arial" w:eastAsia="Times New Roman" w:hAnsi="Arial" w:cs="Arial"/>
          <w:color w:val="000000"/>
          <w:sz w:val="16"/>
          <w:szCs w:val="16"/>
        </w:rPr>
        <w:t xml:space="preserve"> No </w:t>
      </w:r>
      <w:r>
        <w:rPr>
          <w:rFonts w:ascii="Segoe UI Symbol" w:eastAsia="Times New Roman" w:hAnsi="Segoe UI Symbol" w:cs="Segoe UI Symbol"/>
          <w:color w:val="000000"/>
          <w:sz w:val="16"/>
          <w:szCs w:val="16"/>
        </w:rPr>
        <w:t>☐</w:t>
      </w:r>
    </w:p>
    <w:p w:rsidR="00000000" w:rsidRDefault="001F1FC8">
      <w:pPr>
        <w:ind w:firstLine="360"/>
        <w:jc w:val="both"/>
        <w:rPr>
          <w:rFonts w:eastAsia="Times New Roman"/>
        </w:rPr>
      </w:pPr>
      <w:r>
        <w:rPr>
          <w:rFonts w:ascii="Arial" w:eastAsia="Times New Roman" w:hAnsi="Arial" w:cs="Arial"/>
          <w:color w:val="000000"/>
          <w:sz w:val="16"/>
          <w:szCs w:val="16"/>
        </w:rPr>
        <w:t xml:space="preserve">Indicate by check mark if the registrant is not required to file reports pursuant to Section 13 or Section 15(d) of the Act. Yes </w:t>
      </w:r>
      <w:r>
        <w:rPr>
          <w:rFonts w:ascii="Segoe UI Symbol" w:eastAsia="Times New Roman" w:hAnsi="Segoe UI Symbol" w:cs="Segoe UI Symbol"/>
          <w:color w:val="000000"/>
          <w:sz w:val="16"/>
          <w:szCs w:val="16"/>
        </w:rPr>
        <w:t>☐</w:t>
      </w:r>
      <w:r>
        <w:rPr>
          <w:rFonts w:ascii="Arial" w:eastAsia="Times New Roman" w:hAnsi="Arial" w:cs="Arial"/>
          <w:color w:val="000000"/>
          <w:sz w:val="16"/>
          <w:szCs w:val="16"/>
        </w:rPr>
        <w:t xml:space="preserve"> No </w:t>
      </w:r>
      <w:r>
        <w:rPr>
          <w:rFonts w:ascii="Segoe UI Symbol" w:eastAsia="Times New Roman" w:hAnsi="Segoe UI Symbol" w:cs="Segoe UI Symbol"/>
          <w:color w:val="000000"/>
          <w:sz w:val="16"/>
          <w:szCs w:val="16"/>
        </w:rPr>
        <w:t>☒</w:t>
      </w:r>
    </w:p>
    <w:p w:rsidR="00000000" w:rsidRDefault="001F1FC8">
      <w:pPr>
        <w:ind w:firstLine="360"/>
        <w:jc w:val="both"/>
        <w:rPr>
          <w:rFonts w:eastAsia="Times New Roman"/>
        </w:rPr>
      </w:pPr>
      <w:r>
        <w:rPr>
          <w:rFonts w:ascii="Arial" w:eastAsia="Times New Roman" w:hAnsi="Arial" w:cs="Arial"/>
          <w:color w:val="000000"/>
          <w:sz w:val="16"/>
          <w:szCs w:val="16"/>
        </w:rPr>
        <w:t>Indicate by check mark whether the registrant (1) has filed all reports required to be filed by Section 13 or 15(d) of t</w:t>
      </w:r>
      <w:r>
        <w:rPr>
          <w:rFonts w:ascii="Arial" w:eastAsia="Times New Roman" w:hAnsi="Arial" w:cs="Arial"/>
          <w:color w:val="000000"/>
          <w:sz w:val="16"/>
          <w:szCs w:val="16"/>
        </w:rPr>
        <w:t xml:space="preserve">he Securities Exchange Act of 1934 during the preceding 12 months (or for such shorter period that the registrant was required to file such reports), and (2) has been subject to such filing requirements for the past 90 days. Yes </w:t>
      </w:r>
      <w:r>
        <w:rPr>
          <w:rFonts w:ascii="Segoe UI Symbol" w:eastAsia="Times New Roman" w:hAnsi="Segoe UI Symbol" w:cs="Segoe UI Symbol"/>
          <w:color w:val="000000"/>
          <w:sz w:val="16"/>
          <w:szCs w:val="16"/>
        </w:rPr>
        <w:t>☒</w:t>
      </w:r>
      <w:r>
        <w:rPr>
          <w:rFonts w:ascii="Arial" w:eastAsia="Times New Roman" w:hAnsi="Arial" w:cs="Arial"/>
          <w:color w:val="000000"/>
          <w:sz w:val="16"/>
          <w:szCs w:val="16"/>
        </w:rPr>
        <w:t xml:space="preserve"> No </w:t>
      </w:r>
      <w:r>
        <w:rPr>
          <w:rFonts w:ascii="Segoe UI Symbol" w:eastAsia="Times New Roman" w:hAnsi="Segoe UI Symbol" w:cs="Segoe UI Symbol"/>
          <w:color w:val="000000"/>
          <w:sz w:val="16"/>
          <w:szCs w:val="16"/>
        </w:rPr>
        <w:t>☐</w:t>
      </w:r>
    </w:p>
    <w:p w:rsidR="00000000" w:rsidRDefault="001F1FC8">
      <w:pPr>
        <w:ind w:firstLine="360"/>
        <w:jc w:val="both"/>
        <w:rPr>
          <w:rFonts w:eastAsia="Times New Roman"/>
        </w:rPr>
      </w:pPr>
      <w:r>
        <w:rPr>
          <w:rFonts w:ascii="Arial" w:eastAsia="Times New Roman" w:hAnsi="Arial" w:cs="Arial"/>
          <w:color w:val="000000"/>
          <w:sz w:val="16"/>
          <w:szCs w:val="16"/>
        </w:rPr>
        <w:t>Indicate by check ma</w:t>
      </w:r>
      <w:r>
        <w:rPr>
          <w:rFonts w:ascii="Arial" w:eastAsia="Times New Roman" w:hAnsi="Arial" w:cs="Arial"/>
          <w:color w:val="000000"/>
          <w:sz w:val="16"/>
          <w:szCs w:val="16"/>
        </w:rPr>
        <w:t>rk whether the registrant has submitted electronically every Interactive Data File required to be submitted pursuant to Rule 405 of Regulation S-T (§232.405 of this chapter) during the preceding 12 months (or for such shorter period that the registrant was</w:t>
      </w:r>
      <w:r>
        <w:rPr>
          <w:rFonts w:ascii="Arial" w:eastAsia="Times New Roman" w:hAnsi="Arial" w:cs="Arial"/>
          <w:color w:val="000000"/>
          <w:sz w:val="16"/>
          <w:szCs w:val="16"/>
        </w:rPr>
        <w:t xml:space="preserve"> required to submit such files). Yes </w:t>
      </w:r>
      <w:r>
        <w:rPr>
          <w:rFonts w:ascii="Segoe UI Symbol" w:eastAsia="Times New Roman" w:hAnsi="Segoe UI Symbol" w:cs="Segoe UI Symbol"/>
          <w:color w:val="000000"/>
          <w:sz w:val="16"/>
          <w:szCs w:val="16"/>
        </w:rPr>
        <w:t>☒</w:t>
      </w:r>
      <w:r>
        <w:rPr>
          <w:rFonts w:ascii="Arial" w:eastAsia="Times New Roman" w:hAnsi="Arial" w:cs="Arial"/>
          <w:color w:val="000000"/>
          <w:sz w:val="16"/>
          <w:szCs w:val="16"/>
        </w:rPr>
        <w:t xml:space="preserve"> No </w:t>
      </w:r>
      <w:r>
        <w:rPr>
          <w:rFonts w:ascii="Segoe UI Symbol" w:eastAsia="Times New Roman" w:hAnsi="Segoe UI Symbol" w:cs="Segoe UI Symbol"/>
          <w:color w:val="000000"/>
          <w:sz w:val="16"/>
          <w:szCs w:val="16"/>
        </w:rPr>
        <w:t>☐</w:t>
      </w:r>
    </w:p>
    <w:p w:rsidR="00000000" w:rsidRDefault="001F1FC8">
      <w:pPr>
        <w:ind w:firstLine="360"/>
        <w:jc w:val="both"/>
        <w:rPr>
          <w:rFonts w:eastAsia="Times New Roman"/>
        </w:rPr>
      </w:pPr>
      <w:r>
        <w:rPr>
          <w:rFonts w:ascii="Arial" w:eastAsia="Times New Roman" w:hAnsi="Arial" w:cs="Arial"/>
          <w:color w:val="000000"/>
          <w:sz w:val="16"/>
          <w:szCs w:val="16"/>
        </w:rPr>
        <w:t>Indicate by check mark whether the registrant is a large accelerated filer, an accelerated filer, a non-accelerated filer, or a smaller reporting company. See the definitions of “large accelerated filer,” “accele</w:t>
      </w:r>
      <w:r>
        <w:rPr>
          <w:rFonts w:ascii="Arial" w:eastAsia="Times New Roman" w:hAnsi="Arial" w:cs="Arial"/>
          <w:color w:val="000000"/>
          <w:sz w:val="16"/>
          <w:szCs w:val="16"/>
        </w:rPr>
        <w:t>rated filer”, “smaller reporting company” and "emerging growth company" in Rule 12b-2 of the Exchange Act.</w:t>
      </w:r>
    </w:p>
    <w:tbl>
      <w:tblPr>
        <w:tblW w:w="5000" w:type="pct"/>
        <w:tblCellMar>
          <w:top w:w="15" w:type="dxa"/>
          <w:left w:w="15" w:type="dxa"/>
          <w:bottom w:w="15" w:type="dxa"/>
          <w:right w:w="15" w:type="dxa"/>
        </w:tblCellMar>
        <w:tblLook w:val="04A0" w:firstRow="1" w:lastRow="0" w:firstColumn="1" w:lastColumn="0" w:noHBand="0" w:noVBand="1"/>
      </w:tblPr>
      <w:tblGrid>
        <w:gridCol w:w="58"/>
        <w:gridCol w:w="2776"/>
        <w:gridCol w:w="36"/>
        <w:gridCol w:w="37"/>
        <w:gridCol w:w="161"/>
        <w:gridCol w:w="36"/>
        <w:gridCol w:w="38"/>
        <w:gridCol w:w="2322"/>
        <w:gridCol w:w="36"/>
        <w:gridCol w:w="59"/>
        <w:gridCol w:w="2471"/>
        <w:gridCol w:w="36"/>
        <w:gridCol w:w="37"/>
        <w:gridCol w:w="167"/>
        <w:gridCol w:w="36"/>
      </w:tblGrid>
      <w:tr w:rsidR="00000000">
        <w:trPr>
          <w:divId w:val="581330864"/>
        </w:trPr>
        <w:tc>
          <w:tcPr>
            <w:tcW w:w="50" w:type="pct"/>
            <w:vAlign w:val="center"/>
            <w:hideMark/>
          </w:tcPr>
          <w:p w:rsidR="00000000" w:rsidRDefault="001F1FC8">
            <w:pPr>
              <w:ind w:firstLine="360"/>
              <w:jc w:val="both"/>
              <w:rPr>
                <w:rFonts w:eastAsia="Times New Roman"/>
              </w:rPr>
            </w:pPr>
          </w:p>
        </w:tc>
        <w:tc>
          <w:tcPr>
            <w:tcW w:w="1685"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c>
          <w:tcPr>
            <w:tcW w:w="100"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c>
          <w:tcPr>
            <w:tcW w:w="50" w:type="pct"/>
            <w:vAlign w:val="center"/>
            <w:hideMark/>
          </w:tcPr>
          <w:p w:rsidR="00000000" w:rsidRDefault="001F1FC8">
            <w:pPr>
              <w:rPr>
                <w:rFonts w:eastAsia="Times New Roman"/>
                <w:sz w:val="20"/>
                <w:szCs w:val="20"/>
              </w:rPr>
            </w:pPr>
          </w:p>
        </w:tc>
        <w:tc>
          <w:tcPr>
            <w:tcW w:w="1412"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c>
          <w:tcPr>
            <w:tcW w:w="50" w:type="pct"/>
            <w:vAlign w:val="center"/>
            <w:hideMark/>
          </w:tcPr>
          <w:p w:rsidR="00000000" w:rsidRDefault="001F1FC8">
            <w:pPr>
              <w:rPr>
                <w:rFonts w:eastAsia="Times New Roman"/>
                <w:sz w:val="20"/>
                <w:szCs w:val="20"/>
              </w:rPr>
            </w:pPr>
          </w:p>
        </w:tc>
        <w:tc>
          <w:tcPr>
            <w:tcW w:w="1501"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c>
          <w:tcPr>
            <w:tcW w:w="115"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r>
      <w:tr w:rsidR="00000000">
        <w:trPr>
          <w:divId w:val="581330864"/>
        </w:trPr>
        <w:tc>
          <w:tcPr>
            <w:tcW w:w="0" w:type="auto"/>
            <w:gridSpan w:val="3"/>
            <w:tcMar>
              <w:top w:w="30" w:type="dxa"/>
              <w:left w:w="20" w:type="dxa"/>
              <w:bottom w:w="30" w:type="dxa"/>
              <w:right w:w="20" w:type="dxa"/>
            </w:tcMar>
            <w:vAlign w:val="bottom"/>
            <w:hideMark/>
          </w:tcPr>
          <w:p w:rsidR="00000000" w:rsidRDefault="001F1FC8">
            <w:pPr>
              <w:jc w:val="center"/>
              <w:rPr>
                <w:rFonts w:eastAsia="Times New Roman"/>
              </w:rPr>
            </w:pPr>
            <w:r>
              <w:rPr>
                <w:rFonts w:ascii="Arial" w:eastAsia="Times New Roman" w:hAnsi="Arial" w:cs="Arial"/>
                <w:color w:val="000000"/>
                <w:sz w:val="16"/>
                <w:szCs w:val="16"/>
              </w:rPr>
              <w:t>Large Accelerated Filer</w:t>
            </w:r>
          </w:p>
        </w:tc>
        <w:tc>
          <w:tcPr>
            <w:tcW w:w="0" w:type="auto"/>
            <w:gridSpan w:val="3"/>
            <w:tcMar>
              <w:top w:w="30" w:type="dxa"/>
              <w:left w:w="20" w:type="dxa"/>
              <w:bottom w:w="30" w:type="dxa"/>
              <w:right w:w="20" w:type="dxa"/>
            </w:tcMar>
            <w:vAlign w:val="bottom"/>
            <w:hideMark/>
          </w:tcPr>
          <w:p w:rsidR="00000000" w:rsidRDefault="001F1FC8">
            <w:pPr>
              <w:jc w:val="center"/>
              <w:rPr>
                <w:rFonts w:eastAsia="Times New Roman"/>
              </w:rPr>
            </w:pPr>
            <w:r>
              <w:rPr>
                <w:rFonts w:ascii="Segoe UI Symbol" w:eastAsia="Times New Roman" w:hAnsi="Segoe UI Symbol" w:cs="Segoe UI Symbol"/>
                <w:color w:val="000000"/>
                <w:sz w:val="16"/>
                <w:szCs w:val="16"/>
              </w:rPr>
              <w:t>☒</w:t>
            </w:r>
          </w:p>
        </w:tc>
        <w:tc>
          <w:tcPr>
            <w:tcW w:w="0" w:type="auto"/>
            <w:gridSpan w:val="3"/>
            <w:tcMar>
              <w:top w:w="30" w:type="dxa"/>
              <w:left w:w="20" w:type="dxa"/>
              <w:bottom w:w="30" w:type="dxa"/>
              <w:right w:w="20" w:type="dxa"/>
            </w:tcMar>
            <w:vAlign w:val="bottom"/>
            <w:hideMark/>
          </w:tcPr>
          <w:p w:rsidR="00000000" w:rsidRDefault="001F1FC8">
            <w:pPr>
              <w:jc w:val="center"/>
              <w:rPr>
                <w:rFonts w:eastAsia="Times New Roman"/>
              </w:rPr>
            </w:pPr>
            <w:r>
              <w:rPr>
                <w:rFonts w:ascii="Arial" w:eastAsia="Times New Roman" w:hAnsi="Arial" w:cs="Arial"/>
                <w:color w:val="000000"/>
                <w:sz w:val="16"/>
                <w:szCs w:val="16"/>
              </w:rPr>
              <w:t> </w:t>
            </w:r>
          </w:p>
        </w:tc>
        <w:tc>
          <w:tcPr>
            <w:tcW w:w="0" w:type="auto"/>
            <w:gridSpan w:val="3"/>
            <w:tcMar>
              <w:top w:w="30" w:type="dxa"/>
              <w:left w:w="20" w:type="dxa"/>
              <w:bottom w:w="30" w:type="dxa"/>
              <w:right w:w="20" w:type="dxa"/>
            </w:tcMar>
            <w:vAlign w:val="bottom"/>
            <w:hideMark/>
          </w:tcPr>
          <w:p w:rsidR="00000000" w:rsidRDefault="001F1FC8">
            <w:pPr>
              <w:jc w:val="center"/>
              <w:rPr>
                <w:rFonts w:eastAsia="Times New Roman"/>
              </w:rPr>
            </w:pPr>
            <w:r>
              <w:rPr>
                <w:rFonts w:ascii="Arial" w:eastAsia="Times New Roman" w:hAnsi="Arial" w:cs="Arial"/>
                <w:color w:val="000000"/>
                <w:sz w:val="16"/>
                <w:szCs w:val="16"/>
              </w:rPr>
              <w:t>Accelerated Filer</w:t>
            </w:r>
          </w:p>
        </w:tc>
        <w:tc>
          <w:tcPr>
            <w:tcW w:w="0" w:type="auto"/>
            <w:gridSpan w:val="3"/>
            <w:tcMar>
              <w:top w:w="30" w:type="dxa"/>
              <w:left w:w="20" w:type="dxa"/>
              <w:bottom w:w="30" w:type="dxa"/>
              <w:right w:w="20" w:type="dxa"/>
            </w:tcMar>
            <w:vAlign w:val="bottom"/>
            <w:hideMark/>
          </w:tcPr>
          <w:p w:rsidR="00000000" w:rsidRDefault="001F1FC8">
            <w:pPr>
              <w:jc w:val="center"/>
              <w:rPr>
                <w:rFonts w:eastAsia="Times New Roman"/>
              </w:rPr>
            </w:pPr>
            <w:r>
              <w:rPr>
                <w:rFonts w:ascii="Segoe UI Symbol" w:eastAsia="Times New Roman" w:hAnsi="Segoe UI Symbol" w:cs="Segoe UI Symbol"/>
                <w:color w:val="000000"/>
                <w:sz w:val="16"/>
                <w:szCs w:val="16"/>
              </w:rPr>
              <w:t>☐</w:t>
            </w:r>
          </w:p>
        </w:tc>
      </w:tr>
      <w:tr w:rsidR="00000000">
        <w:trPr>
          <w:divId w:val="581330864"/>
        </w:trPr>
        <w:tc>
          <w:tcPr>
            <w:tcW w:w="0" w:type="auto"/>
            <w:gridSpan w:val="3"/>
            <w:tcMar>
              <w:top w:w="30" w:type="dxa"/>
              <w:left w:w="20" w:type="dxa"/>
              <w:bottom w:w="30" w:type="dxa"/>
              <w:right w:w="20" w:type="dxa"/>
            </w:tcMar>
            <w:vAlign w:val="bottom"/>
            <w:hideMark/>
          </w:tcPr>
          <w:p w:rsidR="00000000" w:rsidRDefault="001F1FC8">
            <w:pPr>
              <w:jc w:val="center"/>
              <w:rPr>
                <w:rFonts w:eastAsia="Times New Roman"/>
              </w:rPr>
            </w:pPr>
            <w:r>
              <w:rPr>
                <w:rFonts w:ascii="Arial" w:eastAsia="Times New Roman" w:hAnsi="Arial" w:cs="Arial"/>
                <w:color w:val="000000"/>
                <w:sz w:val="16"/>
                <w:szCs w:val="16"/>
              </w:rPr>
              <w:t>Non-Accelerated Filer</w:t>
            </w:r>
          </w:p>
        </w:tc>
        <w:tc>
          <w:tcPr>
            <w:tcW w:w="0" w:type="auto"/>
            <w:gridSpan w:val="3"/>
            <w:tcMar>
              <w:top w:w="30" w:type="dxa"/>
              <w:left w:w="20" w:type="dxa"/>
              <w:bottom w:w="30" w:type="dxa"/>
              <w:right w:w="20" w:type="dxa"/>
            </w:tcMar>
            <w:vAlign w:val="bottom"/>
            <w:hideMark/>
          </w:tcPr>
          <w:p w:rsidR="00000000" w:rsidRDefault="001F1FC8">
            <w:pPr>
              <w:jc w:val="center"/>
              <w:rPr>
                <w:rFonts w:eastAsia="Times New Roman"/>
              </w:rPr>
            </w:pPr>
            <w:r>
              <w:rPr>
                <w:rFonts w:ascii="Segoe UI Symbol" w:eastAsia="Times New Roman" w:hAnsi="Segoe UI Symbol" w:cs="Segoe UI Symbol"/>
                <w:color w:val="000000"/>
                <w:sz w:val="16"/>
                <w:szCs w:val="16"/>
              </w:rPr>
              <w:t>☐</w:t>
            </w:r>
          </w:p>
        </w:tc>
        <w:tc>
          <w:tcPr>
            <w:tcW w:w="0" w:type="auto"/>
            <w:gridSpan w:val="3"/>
            <w:tcMar>
              <w:top w:w="30" w:type="dxa"/>
              <w:left w:w="20" w:type="dxa"/>
              <w:bottom w:w="30" w:type="dxa"/>
              <w:right w:w="20" w:type="dxa"/>
            </w:tcMar>
            <w:vAlign w:val="bottom"/>
            <w:hideMark/>
          </w:tcPr>
          <w:p w:rsidR="00000000" w:rsidRDefault="001F1FC8">
            <w:pPr>
              <w:jc w:val="center"/>
              <w:rPr>
                <w:rFonts w:eastAsia="Times New Roman"/>
              </w:rPr>
            </w:pPr>
            <w:r>
              <w:rPr>
                <w:rFonts w:ascii="Arial" w:eastAsia="Times New Roman" w:hAnsi="Arial" w:cs="Arial"/>
                <w:color w:val="000000"/>
                <w:sz w:val="16"/>
                <w:szCs w:val="16"/>
              </w:rPr>
              <w:t> </w:t>
            </w:r>
          </w:p>
        </w:tc>
        <w:tc>
          <w:tcPr>
            <w:tcW w:w="0" w:type="auto"/>
            <w:gridSpan w:val="3"/>
            <w:tcMar>
              <w:top w:w="30" w:type="dxa"/>
              <w:left w:w="20" w:type="dxa"/>
              <w:bottom w:w="30" w:type="dxa"/>
              <w:right w:w="20" w:type="dxa"/>
            </w:tcMar>
            <w:vAlign w:val="bottom"/>
            <w:hideMark/>
          </w:tcPr>
          <w:p w:rsidR="00000000" w:rsidRDefault="001F1FC8">
            <w:pPr>
              <w:jc w:val="center"/>
              <w:rPr>
                <w:rFonts w:eastAsia="Times New Roman"/>
              </w:rPr>
            </w:pPr>
            <w:r>
              <w:rPr>
                <w:rFonts w:ascii="Arial" w:eastAsia="Times New Roman" w:hAnsi="Arial" w:cs="Arial"/>
                <w:color w:val="000000"/>
                <w:sz w:val="16"/>
                <w:szCs w:val="16"/>
              </w:rPr>
              <w:t>Smaller reporting company</w:t>
            </w:r>
          </w:p>
        </w:tc>
        <w:tc>
          <w:tcPr>
            <w:tcW w:w="0" w:type="auto"/>
            <w:gridSpan w:val="3"/>
            <w:tcMar>
              <w:top w:w="30" w:type="dxa"/>
              <w:left w:w="20" w:type="dxa"/>
              <w:bottom w:w="30" w:type="dxa"/>
              <w:right w:w="20" w:type="dxa"/>
            </w:tcMar>
            <w:vAlign w:val="bottom"/>
            <w:hideMark/>
          </w:tcPr>
          <w:p w:rsidR="00000000" w:rsidRDefault="001F1FC8">
            <w:pPr>
              <w:jc w:val="center"/>
              <w:rPr>
                <w:rFonts w:eastAsia="Times New Roman"/>
              </w:rPr>
            </w:pPr>
            <w:r>
              <w:rPr>
                <w:rFonts w:ascii="Segoe UI Symbol" w:eastAsia="Times New Roman" w:hAnsi="Segoe UI Symbol" w:cs="Segoe UI Symbol"/>
                <w:color w:val="000000"/>
                <w:sz w:val="16"/>
                <w:szCs w:val="16"/>
              </w:rPr>
              <w:t>☐</w:t>
            </w:r>
          </w:p>
        </w:tc>
      </w:tr>
      <w:tr w:rsidR="00000000">
        <w:trPr>
          <w:divId w:val="581330864"/>
        </w:trPr>
        <w:tc>
          <w:tcPr>
            <w:tcW w:w="0" w:type="auto"/>
            <w:gridSpan w:val="3"/>
            <w:tcMar>
              <w:top w:w="30" w:type="dxa"/>
              <w:left w:w="20" w:type="dxa"/>
              <w:bottom w:w="30" w:type="dxa"/>
              <w:right w:w="20" w:type="dxa"/>
            </w:tcMar>
            <w:vAlign w:val="bottom"/>
            <w:hideMark/>
          </w:tcPr>
          <w:p w:rsidR="00000000" w:rsidRDefault="001F1FC8">
            <w:pPr>
              <w:jc w:val="center"/>
              <w:rPr>
                <w:rFonts w:eastAsia="Times New Roman"/>
              </w:rPr>
            </w:pPr>
            <w:r>
              <w:rPr>
                <w:rFonts w:ascii="Arial" w:eastAsia="Times New Roman" w:hAnsi="Arial" w:cs="Arial"/>
                <w:color w:val="000000"/>
                <w:sz w:val="16"/>
                <w:szCs w:val="16"/>
              </w:rPr>
              <w:t>Emerging growth company</w:t>
            </w:r>
          </w:p>
        </w:tc>
        <w:tc>
          <w:tcPr>
            <w:tcW w:w="0" w:type="auto"/>
            <w:gridSpan w:val="3"/>
            <w:tcMar>
              <w:top w:w="30" w:type="dxa"/>
              <w:left w:w="20" w:type="dxa"/>
              <w:bottom w:w="30" w:type="dxa"/>
              <w:right w:w="20" w:type="dxa"/>
            </w:tcMar>
            <w:vAlign w:val="bottom"/>
            <w:hideMark/>
          </w:tcPr>
          <w:p w:rsidR="00000000" w:rsidRDefault="001F1FC8">
            <w:pPr>
              <w:jc w:val="center"/>
              <w:rPr>
                <w:rFonts w:eastAsia="Times New Roman"/>
              </w:rPr>
            </w:pPr>
            <w:r>
              <w:rPr>
                <w:rFonts w:ascii="Segoe UI Symbol" w:eastAsia="Times New Roman" w:hAnsi="Segoe UI Symbol" w:cs="Segoe UI Symbol"/>
                <w:color w:val="000000"/>
                <w:sz w:val="16"/>
                <w:szCs w:val="16"/>
              </w:rPr>
              <w:t>☐</w:t>
            </w:r>
          </w:p>
        </w:tc>
        <w:tc>
          <w:tcPr>
            <w:tcW w:w="0" w:type="auto"/>
            <w:gridSpan w:val="3"/>
            <w:tcMar>
              <w:top w:w="0" w:type="dxa"/>
              <w:left w:w="20" w:type="dxa"/>
              <w:bottom w:w="0" w:type="dxa"/>
              <w:right w:w="20" w:type="dxa"/>
            </w:tcMar>
            <w:vAlign w:val="center"/>
            <w:hideMark/>
          </w:tcPr>
          <w:p w:rsidR="00000000" w:rsidRDefault="001F1FC8">
            <w:pPr>
              <w:jc w:val="center"/>
              <w:rPr>
                <w:rFonts w:eastAsia="Times New Roman"/>
              </w:rPr>
            </w:pPr>
          </w:p>
        </w:tc>
        <w:tc>
          <w:tcPr>
            <w:tcW w:w="0" w:type="auto"/>
            <w:gridSpan w:val="3"/>
            <w:tcMar>
              <w:top w:w="0" w:type="dxa"/>
              <w:left w:w="20" w:type="dxa"/>
              <w:bottom w:w="0" w:type="dxa"/>
              <w:right w:w="20" w:type="dxa"/>
            </w:tcMar>
            <w:vAlign w:val="center"/>
            <w:hideMark/>
          </w:tcPr>
          <w:p w:rsidR="00000000" w:rsidRDefault="001F1FC8">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1F1FC8">
            <w:pPr>
              <w:rPr>
                <w:rFonts w:eastAsia="Times New Roman"/>
                <w:sz w:val="20"/>
                <w:szCs w:val="20"/>
              </w:rPr>
            </w:pPr>
          </w:p>
        </w:tc>
      </w:tr>
    </w:tbl>
    <w:p w:rsidR="00000000" w:rsidRDefault="001F1FC8">
      <w:pPr>
        <w:ind w:firstLine="360"/>
        <w:jc w:val="both"/>
        <w:rPr>
          <w:rFonts w:eastAsia="Times New Roman"/>
        </w:rPr>
      </w:pPr>
      <w:r>
        <w:rPr>
          <w:rFonts w:ascii="Arial" w:eastAsia="Times New Roman" w:hAnsi="Arial" w:cs="Arial"/>
          <w:color w:val="000000"/>
          <w:sz w:val="16"/>
          <w:szCs w:val="16"/>
        </w:rPr>
        <w:t xml:space="preserve">If an emerging growth company, indicate by check mark if the registrant has elected not to use the extended transition period for complying with any new or revised financial accounting standards provided pursuant to Section 13(a) of the Exchange Act. </w:t>
      </w:r>
      <w:r>
        <w:rPr>
          <w:rFonts w:ascii="Segoe UI Symbol" w:eastAsia="Times New Roman" w:hAnsi="Segoe UI Symbol" w:cs="Segoe UI Symbol"/>
          <w:color w:val="000000"/>
          <w:sz w:val="16"/>
          <w:szCs w:val="16"/>
        </w:rPr>
        <w:t>☐</w:t>
      </w:r>
      <w:r>
        <w:rPr>
          <w:rFonts w:ascii="Arial" w:eastAsia="Times New Roman" w:hAnsi="Arial" w:cs="Arial"/>
          <w:color w:val="000000"/>
          <w:sz w:val="16"/>
          <w:szCs w:val="16"/>
        </w:rPr>
        <w:t xml:space="preserve"> </w:t>
      </w:r>
    </w:p>
    <w:p w:rsidR="00000000" w:rsidRDefault="001F1FC8">
      <w:pPr>
        <w:ind w:firstLine="360"/>
        <w:jc w:val="both"/>
        <w:rPr>
          <w:rFonts w:eastAsia="Times New Roman"/>
        </w:rPr>
      </w:pPr>
      <w:r>
        <w:rPr>
          <w:rFonts w:ascii="Arial" w:eastAsia="Times New Roman" w:hAnsi="Arial" w:cs="Arial"/>
          <w:color w:val="000000"/>
          <w:sz w:val="16"/>
          <w:szCs w:val="16"/>
        </w:rPr>
        <w:lastRenderedPageBreak/>
        <w:t>In</w:t>
      </w:r>
      <w:r>
        <w:rPr>
          <w:rFonts w:ascii="Arial" w:eastAsia="Times New Roman" w:hAnsi="Arial" w:cs="Arial"/>
          <w:color w:val="000000"/>
          <w:sz w:val="16"/>
          <w:szCs w:val="16"/>
        </w:rPr>
        <w:t>dicate by check mark whether the registrant has filed a report on and attestation to its management's assessment of the effectiveness of its internal control over financial reporting under Section 404(b) of the Sarbanes-Oxley Act (15 U.S.C. 7262(b)) by the</w:t>
      </w:r>
      <w:r>
        <w:rPr>
          <w:rFonts w:ascii="Arial" w:eastAsia="Times New Roman" w:hAnsi="Arial" w:cs="Arial"/>
          <w:color w:val="000000"/>
          <w:sz w:val="16"/>
          <w:szCs w:val="16"/>
        </w:rPr>
        <w:t xml:space="preserve"> registered public accounting firm that prepared or issued its audit report. Yes </w:t>
      </w:r>
      <w:r>
        <w:rPr>
          <w:rFonts w:ascii="Segoe UI Symbol" w:eastAsia="Times New Roman" w:hAnsi="Segoe UI Symbol" w:cs="Segoe UI Symbol"/>
          <w:color w:val="000000"/>
          <w:sz w:val="16"/>
          <w:szCs w:val="16"/>
        </w:rPr>
        <w:t>☒</w:t>
      </w:r>
      <w:r>
        <w:rPr>
          <w:rFonts w:ascii="Arial" w:eastAsia="Times New Roman" w:hAnsi="Arial" w:cs="Arial"/>
          <w:color w:val="000000"/>
          <w:sz w:val="16"/>
          <w:szCs w:val="16"/>
        </w:rPr>
        <w:t xml:space="preserve"> No </w:t>
      </w:r>
      <w:r>
        <w:rPr>
          <w:rFonts w:ascii="Segoe UI Symbol" w:eastAsia="Times New Roman" w:hAnsi="Segoe UI Symbol" w:cs="Segoe UI Symbol"/>
          <w:color w:val="000000"/>
          <w:sz w:val="16"/>
          <w:szCs w:val="16"/>
        </w:rPr>
        <w:t>☐</w:t>
      </w:r>
    </w:p>
    <w:p w:rsidR="00000000" w:rsidRDefault="001F1FC8">
      <w:pPr>
        <w:ind w:firstLine="360"/>
        <w:jc w:val="both"/>
        <w:rPr>
          <w:rFonts w:eastAsia="Times New Roman"/>
        </w:rPr>
      </w:pPr>
      <w:r>
        <w:rPr>
          <w:rFonts w:ascii="Arial" w:eastAsia="Times New Roman" w:hAnsi="Arial" w:cs="Arial"/>
          <w:color w:val="000000"/>
          <w:sz w:val="16"/>
          <w:szCs w:val="16"/>
        </w:rPr>
        <w:t xml:space="preserve">Indicate by check mark whether the registrant is a shell company (as defined in Rule 12b-2 of the Exchange Act). Yes </w:t>
      </w:r>
      <w:r>
        <w:rPr>
          <w:rFonts w:ascii="Segoe UI Symbol" w:eastAsia="Times New Roman" w:hAnsi="Segoe UI Symbol" w:cs="Segoe UI Symbol"/>
          <w:color w:val="000000"/>
          <w:sz w:val="16"/>
          <w:szCs w:val="16"/>
        </w:rPr>
        <w:t>☐</w:t>
      </w:r>
      <w:r>
        <w:rPr>
          <w:rFonts w:ascii="Arial" w:eastAsia="Times New Roman" w:hAnsi="Arial" w:cs="Arial"/>
          <w:color w:val="000000"/>
          <w:sz w:val="16"/>
          <w:szCs w:val="16"/>
        </w:rPr>
        <w:t xml:space="preserve"> No </w:t>
      </w:r>
      <w:r>
        <w:rPr>
          <w:rFonts w:ascii="Segoe UI Symbol" w:eastAsia="Times New Roman" w:hAnsi="Segoe UI Symbol" w:cs="Segoe UI Symbol"/>
          <w:color w:val="000000"/>
          <w:sz w:val="16"/>
          <w:szCs w:val="16"/>
        </w:rPr>
        <w:t>☒</w:t>
      </w:r>
    </w:p>
    <w:p w:rsidR="00000000" w:rsidRDefault="001F1FC8">
      <w:pPr>
        <w:ind w:firstLine="360"/>
        <w:jc w:val="both"/>
        <w:rPr>
          <w:rFonts w:eastAsia="Times New Roman"/>
        </w:rPr>
      </w:pPr>
      <w:r>
        <w:rPr>
          <w:rFonts w:ascii="Arial" w:eastAsia="Times New Roman" w:hAnsi="Arial" w:cs="Arial"/>
          <w:color w:val="000000"/>
          <w:sz w:val="16"/>
          <w:szCs w:val="16"/>
        </w:rPr>
        <w:t xml:space="preserve">The aggregate market value of the registrant’s common shares held by non-affiliates computed by reference to the price at which the </w:t>
      </w:r>
      <w:r>
        <w:rPr>
          <w:rFonts w:ascii="Arial" w:eastAsia="Times New Roman" w:hAnsi="Arial" w:cs="Arial"/>
          <w:color w:val="000000"/>
          <w:sz w:val="16"/>
          <w:szCs w:val="16"/>
        </w:rPr>
        <w:t>common equity was last sold on June 30, 2021, was approximately US$77.7 billion.</w:t>
      </w:r>
    </w:p>
    <w:p w:rsidR="00000000" w:rsidRDefault="001F1FC8">
      <w:pPr>
        <w:ind w:firstLine="360"/>
        <w:jc w:val="both"/>
        <w:rPr>
          <w:rFonts w:eastAsia="Times New Roman"/>
        </w:rPr>
      </w:pPr>
      <w:r>
        <w:rPr>
          <w:rFonts w:ascii="Arial" w:eastAsia="Times New Roman" w:hAnsi="Arial" w:cs="Arial"/>
          <w:color w:val="000000"/>
          <w:sz w:val="16"/>
          <w:szCs w:val="16"/>
        </w:rPr>
        <w:t>As at February 4, 2022, the registrant had 2,026,274,277 common shares outstanding.</w:t>
      </w:r>
    </w:p>
    <w:p w:rsidR="00000000" w:rsidRDefault="001F1FC8">
      <w:pPr>
        <w:ind w:firstLine="360"/>
        <w:jc w:val="both"/>
        <w:divId w:val="1938439314"/>
        <w:rPr>
          <w:rFonts w:eastAsia="Times New Roman"/>
        </w:rPr>
      </w:pPr>
    </w:p>
    <w:p w:rsidR="00000000" w:rsidRDefault="001F1FC8">
      <w:pPr>
        <w:jc w:val="center"/>
        <w:rPr>
          <w:rFonts w:eastAsia="Times New Roman"/>
        </w:rPr>
      </w:pPr>
      <w:r>
        <w:rPr>
          <w:rFonts w:ascii="Arial" w:eastAsia="Times New Roman" w:hAnsi="Arial" w:cs="Arial"/>
          <w:color w:val="000000"/>
          <w:sz w:val="18"/>
          <w:szCs w:val="18"/>
        </w:rPr>
        <w:t>DOCUMENTS INCORPORATED BY REFERENCE:</w:t>
      </w:r>
    </w:p>
    <w:p w:rsidR="00000000" w:rsidRDefault="001F1FC8">
      <w:pPr>
        <w:jc w:val="center"/>
        <w:rPr>
          <w:rFonts w:eastAsia="Times New Roman"/>
        </w:rPr>
      </w:pPr>
      <w:r>
        <w:rPr>
          <w:rFonts w:ascii="Arial" w:eastAsia="Times New Roman" w:hAnsi="Arial" w:cs="Arial"/>
          <w:color w:val="000000"/>
          <w:sz w:val="18"/>
          <w:szCs w:val="18"/>
        </w:rPr>
        <w:t>Not applicable.</w:t>
      </w:r>
    </w:p>
    <w:p w:rsidR="00000000" w:rsidRDefault="001F1FC8">
      <w:pPr>
        <w:divId w:val="1217859156"/>
        <w:rPr>
          <w:rFonts w:eastAsia="Times New Roman"/>
        </w:rPr>
      </w:pPr>
    </w:p>
    <w:p w:rsidR="00000000" w:rsidRDefault="001F1FC8">
      <w:pPr>
        <w:rPr>
          <w:rFonts w:eastAsia="Times New Roman"/>
        </w:rPr>
      </w:pPr>
      <w:r>
        <w:rPr>
          <w:rFonts w:eastAsia="Times New Roman"/>
        </w:rPr>
        <w:pict>
          <v:rect id="_x0000_i1025" style="width:0;height:1.5pt" o:hralign="center" o:hrstd="t" o:hr="t" fillcolor="#a0a0a0" stroked="f"/>
        </w:pict>
      </w:r>
    </w:p>
    <w:p w:rsidR="00000000" w:rsidRDefault="001F1FC8">
      <w:pPr>
        <w:jc w:val="center"/>
        <w:divId w:val="1602375802"/>
        <w:rPr>
          <w:rFonts w:eastAsia="Times New Roman"/>
        </w:rPr>
      </w:pPr>
    </w:p>
    <w:p w:rsidR="00000000" w:rsidRDefault="001F1FC8">
      <w:pPr>
        <w:divId w:val="1841577087"/>
        <w:rPr>
          <w:rFonts w:eastAsia="Times New Roman"/>
        </w:rPr>
      </w:pPr>
      <w:r>
        <w:rPr>
          <w:rFonts w:ascii="Arial" w:eastAsia="Times New Roman" w:hAnsi="Arial" w:cs="Arial"/>
          <w:b/>
          <w:bCs/>
          <w:color w:val="000000"/>
          <w:sz w:val="28"/>
          <w:szCs w:val="28"/>
        </w:rPr>
        <w:t>EXPLANATORY NOTE</w:t>
      </w:r>
    </w:p>
    <w:p w:rsidR="00000000" w:rsidRDefault="001F1FC8">
      <w:pPr>
        <w:divId w:val="2145660427"/>
        <w:rPr>
          <w:rFonts w:eastAsia="Times New Roman"/>
        </w:rPr>
      </w:pPr>
    </w:p>
    <w:p w:rsidR="00000000" w:rsidRDefault="001F1FC8">
      <w:pPr>
        <w:divId w:val="1768883213"/>
        <w:rPr>
          <w:rFonts w:eastAsia="Times New Roman"/>
        </w:rPr>
      </w:pPr>
      <w:r>
        <w:rPr>
          <w:rFonts w:ascii="Arial" w:eastAsia="Times New Roman" w:hAnsi="Arial" w:cs="Arial"/>
          <w:color w:val="000000"/>
          <w:sz w:val="20"/>
          <w:szCs w:val="20"/>
        </w:rPr>
        <w:t xml:space="preserve">Enbridge Inc., a corporation existing under the </w:t>
      </w:r>
      <w:r>
        <w:rPr>
          <w:rFonts w:ascii="Arial" w:eastAsia="Times New Roman" w:hAnsi="Arial" w:cs="Arial"/>
          <w:i/>
          <w:iCs/>
          <w:color w:val="000000"/>
          <w:sz w:val="20"/>
          <w:szCs w:val="20"/>
        </w:rPr>
        <w:t>Canada Business Corporations Act</w:t>
      </w:r>
      <w:r>
        <w:rPr>
          <w:rFonts w:ascii="Arial" w:eastAsia="Times New Roman" w:hAnsi="Arial" w:cs="Arial"/>
          <w:color w:val="000000"/>
          <w:sz w:val="20"/>
          <w:szCs w:val="20"/>
        </w:rPr>
        <w:t>, qualifies as a foreign private issuer in the United States of America (US) for purposes of the Securities Exchange Act of 1934, as amended (the Exchange Act). Although, as a foreign private issuer, Enbridge Inc. is not required to do so, Enbridge Inc. cu</w:t>
      </w:r>
      <w:r>
        <w:rPr>
          <w:rFonts w:ascii="Arial" w:eastAsia="Times New Roman" w:hAnsi="Arial" w:cs="Arial"/>
          <w:color w:val="000000"/>
          <w:sz w:val="20"/>
          <w:szCs w:val="20"/>
        </w:rPr>
        <w:t>rrently files annual reports on Form 10-K, quarterly reports on Form 10-Q, and current reports on Form 8-K with the Securities and Exchange Commission (SEC) instead of filing the reporting forms available to foreign private issuers.</w:t>
      </w:r>
    </w:p>
    <w:p w:rsidR="00000000" w:rsidRDefault="001F1FC8">
      <w:pPr>
        <w:divId w:val="1656907590"/>
        <w:rPr>
          <w:rFonts w:eastAsia="Times New Roman"/>
        </w:rPr>
      </w:pPr>
    </w:p>
    <w:p w:rsidR="00000000" w:rsidRDefault="001F1FC8">
      <w:pPr>
        <w:divId w:val="275522447"/>
        <w:rPr>
          <w:rFonts w:eastAsia="Times New Roman"/>
        </w:rPr>
      </w:pPr>
      <w:r>
        <w:rPr>
          <w:rFonts w:ascii="Arial" w:eastAsia="Times New Roman" w:hAnsi="Arial" w:cs="Arial"/>
          <w:color w:val="000000"/>
          <w:sz w:val="20"/>
          <w:szCs w:val="20"/>
        </w:rPr>
        <w:t>Enbridge Inc. intends</w:t>
      </w:r>
      <w:r>
        <w:rPr>
          <w:rFonts w:ascii="Arial" w:eastAsia="Times New Roman" w:hAnsi="Arial" w:cs="Arial"/>
          <w:color w:val="000000"/>
          <w:sz w:val="20"/>
          <w:szCs w:val="20"/>
        </w:rPr>
        <w:t xml:space="preserve"> to prepare and file a management proxy circular and related material under Canadian requirements. As Enbridge Inc.’s management proxy circular is not filed pursuant to Regulation 14A, Enbridge Inc. may not incorporate by reference information required by </w:t>
      </w:r>
      <w:r>
        <w:rPr>
          <w:rFonts w:ascii="Arial" w:eastAsia="Times New Roman" w:hAnsi="Arial" w:cs="Arial"/>
          <w:color w:val="000000"/>
          <w:sz w:val="20"/>
          <w:szCs w:val="20"/>
        </w:rPr>
        <w:t>Part III of this Form 10-K from its management proxy circular. Accordingly, in reliance upon and as permitted by Instruction G(3) to Form 10-K, Enbridge Inc. will be filing an amendment to this Form 10-K containing the Part III information no later than 12</w:t>
      </w:r>
      <w:r>
        <w:rPr>
          <w:rFonts w:ascii="Arial" w:eastAsia="Times New Roman" w:hAnsi="Arial" w:cs="Arial"/>
          <w:color w:val="000000"/>
          <w:sz w:val="20"/>
          <w:szCs w:val="20"/>
        </w:rPr>
        <w:t>0 days after the end of the fiscal year covered by this Form 10-K.</w:t>
      </w:r>
    </w:p>
    <w:p w:rsidR="00000000" w:rsidRDefault="001F1FC8">
      <w:pPr>
        <w:divId w:val="734669553"/>
        <w:rPr>
          <w:rFonts w:eastAsia="Times New Roman"/>
        </w:rPr>
      </w:pPr>
    </w:p>
    <w:p w:rsidR="00000000" w:rsidRDefault="001F1FC8">
      <w:pPr>
        <w:jc w:val="center"/>
        <w:divId w:val="41449197"/>
        <w:rPr>
          <w:rFonts w:eastAsia="Times New Roman"/>
        </w:rPr>
      </w:pPr>
      <w:r>
        <w:rPr>
          <w:rFonts w:ascii="Arial" w:eastAsia="Times New Roman" w:hAnsi="Arial" w:cs="Arial"/>
          <w:color w:val="000000"/>
          <w:sz w:val="20"/>
          <w:szCs w:val="20"/>
        </w:rPr>
        <w:t>2</w:t>
      </w:r>
    </w:p>
    <w:p w:rsidR="00000000" w:rsidRDefault="001F1FC8">
      <w:pPr>
        <w:rPr>
          <w:rFonts w:eastAsia="Times New Roman"/>
        </w:rPr>
      </w:pPr>
      <w:r>
        <w:rPr>
          <w:rFonts w:eastAsia="Times New Roman"/>
        </w:rPr>
        <w:pict>
          <v:rect id="_x0000_i1026" style="width:0;height:1.5pt" o:hralign="center" o:hrstd="t" o:hr="t" fillcolor="#a0a0a0" stroked="f"/>
        </w:pict>
      </w:r>
    </w:p>
    <w:p w:rsidR="00000000" w:rsidRDefault="001F1FC8">
      <w:pPr>
        <w:jc w:val="center"/>
        <w:divId w:val="1496722260"/>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68"/>
        <w:gridCol w:w="731"/>
        <w:gridCol w:w="36"/>
        <w:gridCol w:w="69"/>
        <w:gridCol w:w="6473"/>
        <w:gridCol w:w="39"/>
        <w:gridCol w:w="69"/>
        <w:gridCol w:w="785"/>
        <w:gridCol w:w="36"/>
      </w:tblGrid>
      <w:tr w:rsidR="00000000">
        <w:trPr>
          <w:divId w:val="1002471031"/>
        </w:trPr>
        <w:tc>
          <w:tcPr>
            <w:tcW w:w="50" w:type="pct"/>
            <w:vAlign w:val="center"/>
            <w:hideMark/>
          </w:tcPr>
          <w:p w:rsidR="00000000" w:rsidRDefault="001F1FC8">
            <w:pPr>
              <w:jc w:val="center"/>
              <w:rPr>
                <w:rFonts w:eastAsia="Times New Roman"/>
              </w:rPr>
            </w:pPr>
          </w:p>
        </w:tc>
        <w:tc>
          <w:tcPr>
            <w:tcW w:w="449"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c>
          <w:tcPr>
            <w:tcW w:w="50" w:type="pct"/>
            <w:vAlign w:val="center"/>
            <w:hideMark/>
          </w:tcPr>
          <w:p w:rsidR="00000000" w:rsidRDefault="001F1FC8">
            <w:pPr>
              <w:rPr>
                <w:rFonts w:eastAsia="Times New Roman"/>
                <w:sz w:val="20"/>
                <w:szCs w:val="20"/>
              </w:rPr>
            </w:pPr>
          </w:p>
        </w:tc>
        <w:tc>
          <w:tcPr>
            <w:tcW w:w="3905"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c>
          <w:tcPr>
            <w:tcW w:w="50" w:type="pct"/>
            <w:vAlign w:val="center"/>
            <w:hideMark/>
          </w:tcPr>
          <w:p w:rsidR="00000000" w:rsidRDefault="001F1FC8">
            <w:pPr>
              <w:rPr>
                <w:rFonts w:eastAsia="Times New Roman"/>
                <w:sz w:val="20"/>
                <w:szCs w:val="20"/>
              </w:rPr>
            </w:pPr>
          </w:p>
        </w:tc>
        <w:tc>
          <w:tcPr>
            <w:tcW w:w="481"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r>
      <w:tr w:rsidR="00000000">
        <w:trPr>
          <w:divId w:val="1002471031"/>
        </w:trPr>
        <w:tc>
          <w:tcPr>
            <w:tcW w:w="0" w:type="auto"/>
            <w:gridSpan w:val="3"/>
            <w:tcMar>
              <w:top w:w="0" w:type="dxa"/>
              <w:left w:w="20" w:type="dxa"/>
              <w:bottom w:w="0" w:type="dxa"/>
              <w:right w:w="20" w:type="dxa"/>
            </w:tcMar>
            <w:vAlign w:val="center"/>
            <w:hideMark/>
          </w:tcPr>
          <w:p w:rsidR="00000000" w:rsidRDefault="001F1FC8">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1F1FC8">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1F1FC8">
            <w:pPr>
              <w:jc w:val="center"/>
              <w:rPr>
                <w:rFonts w:eastAsia="Times New Roman"/>
              </w:rPr>
            </w:pPr>
            <w:r>
              <w:rPr>
                <w:rFonts w:ascii="Arial" w:eastAsia="Times New Roman" w:hAnsi="Arial" w:cs="Arial"/>
                <w:b/>
                <w:bCs/>
                <w:color w:val="000000"/>
                <w:sz w:val="16"/>
                <w:szCs w:val="16"/>
              </w:rPr>
              <w:t>Page</w:t>
            </w:r>
          </w:p>
        </w:tc>
      </w:tr>
      <w:tr w:rsidR="00000000">
        <w:trPr>
          <w:divId w:val="1002471031"/>
        </w:trPr>
        <w:tc>
          <w:tcPr>
            <w:tcW w:w="0" w:type="auto"/>
            <w:gridSpan w:val="3"/>
            <w:tcMar>
              <w:top w:w="0" w:type="dxa"/>
              <w:left w:w="20" w:type="dxa"/>
              <w:bottom w:w="0" w:type="dxa"/>
              <w:right w:w="20" w:type="dxa"/>
            </w:tcMar>
            <w:vAlign w:val="center"/>
            <w:hideMark/>
          </w:tcPr>
          <w:p w:rsidR="00000000" w:rsidRDefault="001F1FC8">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1F1FC8">
            <w:pPr>
              <w:rPr>
                <w:rFonts w:eastAsia="Times New Roman"/>
              </w:rPr>
            </w:pPr>
            <w:r>
              <w:rPr>
                <w:rFonts w:ascii="Arial" w:eastAsia="Times New Roman" w:hAnsi="Arial" w:cs="Arial"/>
                <w:b/>
                <w:bCs/>
                <w:color w:val="000000"/>
                <w:sz w:val="20"/>
                <w:szCs w:val="20"/>
              </w:rPr>
              <w:t>PART I</w:t>
            </w: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  </w:t>
            </w:r>
          </w:p>
        </w:tc>
      </w:tr>
      <w:tr w:rsidR="00000000">
        <w:trPr>
          <w:divId w:val="1002471031"/>
        </w:trPr>
        <w:tc>
          <w:tcPr>
            <w:tcW w:w="0" w:type="auto"/>
            <w:gridSpan w:val="3"/>
            <w:tcMar>
              <w:top w:w="30" w:type="dxa"/>
              <w:left w:w="20" w:type="dxa"/>
              <w:bottom w:w="30" w:type="dxa"/>
              <w:right w:w="20" w:type="dxa"/>
            </w:tcMar>
            <w:vAlign w:val="bottom"/>
            <w:hideMark/>
          </w:tcPr>
          <w:p w:rsidR="00000000" w:rsidRDefault="001F1FC8">
            <w:pPr>
              <w:rPr>
                <w:rFonts w:eastAsia="Times New Roman"/>
              </w:rPr>
            </w:pPr>
            <w:r>
              <w:rPr>
                <w:rFonts w:ascii="Arial" w:eastAsia="Times New Roman" w:hAnsi="Arial" w:cs="Arial"/>
                <w:color w:val="000000"/>
                <w:sz w:val="20"/>
                <w:szCs w:val="20"/>
              </w:rPr>
              <w:t>Item 1.</w:t>
            </w:r>
          </w:p>
        </w:tc>
        <w:tc>
          <w:tcPr>
            <w:tcW w:w="0" w:type="auto"/>
            <w:gridSpan w:val="3"/>
            <w:tcMar>
              <w:top w:w="30" w:type="dxa"/>
              <w:left w:w="20" w:type="dxa"/>
              <w:bottom w:w="30" w:type="dxa"/>
              <w:right w:w="20" w:type="dxa"/>
            </w:tcMar>
            <w:vAlign w:val="bottom"/>
            <w:hideMark/>
          </w:tcPr>
          <w:p w:rsidR="00000000" w:rsidRDefault="001F1FC8">
            <w:pPr>
              <w:divId w:val="1558857200"/>
              <w:rPr>
                <w:rFonts w:eastAsia="Times New Roman"/>
              </w:rPr>
            </w:pPr>
            <w:hyperlink w:anchor="iec242c2d4e1d466fad82d89d469f78fa_25" w:history="1">
              <w:r>
                <w:rPr>
                  <w:rStyle w:val="a3"/>
                  <w:rFonts w:ascii="Arial" w:eastAsia="Times New Roman" w:hAnsi="Arial" w:cs="Arial"/>
                  <w:sz w:val="20"/>
                  <w:szCs w:val="20"/>
                </w:rPr>
                <w:t>Business</w:t>
              </w:r>
            </w:hyperlink>
          </w:p>
        </w:tc>
        <w:tc>
          <w:tcPr>
            <w:tcW w:w="0" w:type="auto"/>
            <w:gridSpan w:val="3"/>
            <w:tcMar>
              <w:top w:w="30" w:type="dxa"/>
              <w:left w:w="20" w:type="dxa"/>
              <w:bottom w:w="30" w:type="dxa"/>
              <w:right w:w="20" w:type="dxa"/>
            </w:tcMar>
            <w:vAlign w:val="bottom"/>
            <w:hideMark/>
          </w:tcPr>
          <w:p w:rsidR="00000000" w:rsidRDefault="001F1FC8">
            <w:pPr>
              <w:jc w:val="right"/>
              <w:rPr>
                <w:rFonts w:eastAsia="Times New Roman"/>
              </w:rPr>
            </w:pPr>
            <w:hyperlink w:anchor="iec242c2d4e1d466fad82d89d469f78fa_25" w:history="1">
              <w:r>
                <w:rPr>
                  <w:rStyle w:val="a3"/>
                  <w:rFonts w:ascii="Arial" w:eastAsia="Times New Roman" w:hAnsi="Arial" w:cs="Arial"/>
                  <w:sz w:val="20"/>
                  <w:szCs w:val="20"/>
                </w:rPr>
                <w:t>8</w:t>
              </w:r>
            </w:hyperlink>
          </w:p>
        </w:tc>
      </w:tr>
      <w:tr w:rsidR="00000000">
        <w:trPr>
          <w:divId w:val="1002471031"/>
        </w:trPr>
        <w:tc>
          <w:tcPr>
            <w:tcW w:w="0" w:type="auto"/>
            <w:gridSpan w:val="3"/>
            <w:tcMar>
              <w:top w:w="30" w:type="dxa"/>
              <w:left w:w="20" w:type="dxa"/>
              <w:bottom w:w="30" w:type="dxa"/>
              <w:right w:w="20" w:type="dxa"/>
            </w:tcMar>
            <w:vAlign w:val="bottom"/>
            <w:hideMark/>
          </w:tcPr>
          <w:p w:rsidR="00000000" w:rsidRDefault="001F1FC8">
            <w:pPr>
              <w:rPr>
                <w:rFonts w:eastAsia="Times New Roman"/>
              </w:rPr>
            </w:pPr>
            <w:r>
              <w:rPr>
                <w:rFonts w:ascii="Arial" w:eastAsia="Times New Roman" w:hAnsi="Arial" w:cs="Arial"/>
                <w:color w:val="000000"/>
                <w:sz w:val="20"/>
                <w:szCs w:val="20"/>
              </w:rPr>
              <w:t>Item 1A.</w:t>
            </w:r>
          </w:p>
        </w:tc>
        <w:tc>
          <w:tcPr>
            <w:tcW w:w="0" w:type="auto"/>
            <w:gridSpan w:val="3"/>
            <w:tcMar>
              <w:top w:w="30" w:type="dxa"/>
              <w:left w:w="20" w:type="dxa"/>
              <w:bottom w:w="30" w:type="dxa"/>
              <w:right w:w="20" w:type="dxa"/>
            </w:tcMar>
            <w:vAlign w:val="bottom"/>
            <w:hideMark/>
          </w:tcPr>
          <w:p w:rsidR="00000000" w:rsidRDefault="001F1FC8">
            <w:pPr>
              <w:divId w:val="624972189"/>
              <w:rPr>
                <w:rFonts w:eastAsia="Times New Roman"/>
              </w:rPr>
            </w:pPr>
            <w:hyperlink w:anchor="iec242c2d4e1d466fad82d89d469f78fa_67" w:history="1">
              <w:r>
                <w:rPr>
                  <w:rStyle w:val="a3"/>
                  <w:rFonts w:ascii="Arial" w:eastAsia="Times New Roman" w:hAnsi="Arial" w:cs="Arial"/>
                  <w:sz w:val="20"/>
                  <w:szCs w:val="20"/>
                </w:rPr>
                <w:t>Risk Factors</w:t>
              </w:r>
            </w:hyperlink>
          </w:p>
        </w:tc>
        <w:tc>
          <w:tcPr>
            <w:tcW w:w="0" w:type="auto"/>
            <w:gridSpan w:val="3"/>
            <w:tcMar>
              <w:top w:w="30" w:type="dxa"/>
              <w:left w:w="20" w:type="dxa"/>
              <w:bottom w:w="30" w:type="dxa"/>
              <w:right w:w="20" w:type="dxa"/>
            </w:tcMar>
            <w:vAlign w:val="bottom"/>
            <w:hideMark/>
          </w:tcPr>
          <w:p w:rsidR="00000000" w:rsidRDefault="001F1FC8">
            <w:pPr>
              <w:jc w:val="right"/>
              <w:rPr>
                <w:rFonts w:eastAsia="Times New Roman"/>
              </w:rPr>
            </w:pPr>
            <w:hyperlink w:anchor="iec242c2d4e1d466fad82d89d469f78fa_67" w:history="1">
              <w:r>
                <w:rPr>
                  <w:rStyle w:val="a3"/>
                  <w:rFonts w:ascii="Arial" w:eastAsia="Times New Roman" w:hAnsi="Arial" w:cs="Arial"/>
                  <w:sz w:val="20"/>
                  <w:szCs w:val="20"/>
                </w:rPr>
                <w:t>42</w:t>
              </w:r>
            </w:hyperlink>
          </w:p>
        </w:tc>
      </w:tr>
      <w:tr w:rsidR="00000000">
        <w:trPr>
          <w:divId w:val="1002471031"/>
        </w:trPr>
        <w:tc>
          <w:tcPr>
            <w:tcW w:w="0" w:type="auto"/>
            <w:gridSpan w:val="3"/>
            <w:tcMar>
              <w:top w:w="30" w:type="dxa"/>
              <w:left w:w="20" w:type="dxa"/>
              <w:bottom w:w="30" w:type="dxa"/>
              <w:right w:w="20" w:type="dxa"/>
            </w:tcMar>
            <w:vAlign w:val="bottom"/>
            <w:hideMark/>
          </w:tcPr>
          <w:p w:rsidR="00000000" w:rsidRDefault="001F1FC8">
            <w:pPr>
              <w:rPr>
                <w:rFonts w:eastAsia="Times New Roman"/>
              </w:rPr>
            </w:pPr>
            <w:r>
              <w:rPr>
                <w:rFonts w:ascii="Arial" w:eastAsia="Times New Roman" w:hAnsi="Arial" w:cs="Arial"/>
                <w:color w:val="000000"/>
                <w:sz w:val="20"/>
                <w:szCs w:val="20"/>
              </w:rPr>
              <w:t>Item 1B.</w:t>
            </w:r>
          </w:p>
        </w:tc>
        <w:tc>
          <w:tcPr>
            <w:tcW w:w="0" w:type="auto"/>
            <w:gridSpan w:val="3"/>
            <w:tcMar>
              <w:top w:w="30" w:type="dxa"/>
              <w:left w:w="20" w:type="dxa"/>
              <w:bottom w:w="30" w:type="dxa"/>
              <w:right w:w="20" w:type="dxa"/>
            </w:tcMar>
            <w:vAlign w:val="bottom"/>
            <w:hideMark/>
          </w:tcPr>
          <w:p w:rsidR="00000000" w:rsidRDefault="001F1FC8">
            <w:pPr>
              <w:divId w:val="102892183"/>
              <w:rPr>
                <w:rFonts w:eastAsia="Times New Roman"/>
              </w:rPr>
            </w:pPr>
            <w:hyperlink w:anchor="iec242c2d4e1d466fad82d89d469f78fa_70" w:history="1">
              <w:r>
                <w:rPr>
                  <w:rStyle w:val="a3"/>
                  <w:rFonts w:ascii="Arial" w:eastAsia="Times New Roman" w:hAnsi="Arial" w:cs="Arial"/>
                  <w:sz w:val="20"/>
                  <w:szCs w:val="20"/>
                </w:rPr>
                <w:t>Unresolved Staff Comments</w:t>
              </w:r>
            </w:hyperlink>
          </w:p>
        </w:tc>
        <w:tc>
          <w:tcPr>
            <w:tcW w:w="0" w:type="auto"/>
            <w:gridSpan w:val="3"/>
            <w:tcMar>
              <w:top w:w="30" w:type="dxa"/>
              <w:left w:w="20" w:type="dxa"/>
              <w:bottom w:w="30" w:type="dxa"/>
              <w:right w:w="20" w:type="dxa"/>
            </w:tcMar>
            <w:vAlign w:val="bottom"/>
            <w:hideMark/>
          </w:tcPr>
          <w:p w:rsidR="00000000" w:rsidRDefault="001F1FC8">
            <w:pPr>
              <w:jc w:val="right"/>
              <w:rPr>
                <w:rFonts w:eastAsia="Times New Roman"/>
              </w:rPr>
            </w:pPr>
            <w:hyperlink w:anchor="iec242c2d4e1d466fad82d89d469f78fa_70" w:history="1">
              <w:r>
                <w:rPr>
                  <w:rStyle w:val="a3"/>
                  <w:rFonts w:ascii="Arial" w:eastAsia="Times New Roman" w:hAnsi="Arial" w:cs="Arial"/>
                  <w:sz w:val="20"/>
                  <w:szCs w:val="20"/>
                </w:rPr>
                <w:t>54</w:t>
              </w:r>
            </w:hyperlink>
          </w:p>
        </w:tc>
      </w:tr>
      <w:tr w:rsidR="00000000">
        <w:trPr>
          <w:divId w:val="1002471031"/>
        </w:trPr>
        <w:tc>
          <w:tcPr>
            <w:tcW w:w="0" w:type="auto"/>
            <w:gridSpan w:val="3"/>
            <w:tcMar>
              <w:top w:w="30" w:type="dxa"/>
              <w:left w:w="20" w:type="dxa"/>
              <w:bottom w:w="30" w:type="dxa"/>
              <w:right w:w="20" w:type="dxa"/>
            </w:tcMar>
            <w:vAlign w:val="bottom"/>
            <w:hideMark/>
          </w:tcPr>
          <w:p w:rsidR="00000000" w:rsidRDefault="001F1FC8">
            <w:pPr>
              <w:rPr>
                <w:rFonts w:eastAsia="Times New Roman"/>
              </w:rPr>
            </w:pPr>
            <w:r>
              <w:rPr>
                <w:rFonts w:ascii="Arial" w:eastAsia="Times New Roman" w:hAnsi="Arial" w:cs="Arial"/>
                <w:color w:val="000000"/>
                <w:sz w:val="20"/>
                <w:szCs w:val="20"/>
              </w:rPr>
              <w:t>Item 2.</w:t>
            </w:r>
          </w:p>
        </w:tc>
        <w:tc>
          <w:tcPr>
            <w:tcW w:w="0" w:type="auto"/>
            <w:gridSpan w:val="3"/>
            <w:tcMar>
              <w:top w:w="30" w:type="dxa"/>
              <w:left w:w="20" w:type="dxa"/>
              <w:bottom w:w="30" w:type="dxa"/>
              <w:right w:w="20" w:type="dxa"/>
            </w:tcMar>
            <w:vAlign w:val="bottom"/>
            <w:hideMark/>
          </w:tcPr>
          <w:p w:rsidR="00000000" w:rsidRDefault="001F1FC8">
            <w:pPr>
              <w:divId w:val="1962613131"/>
              <w:rPr>
                <w:rFonts w:eastAsia="Times New Roman"/>
              </w:rPr>
            </w:pPr>
            <w:hyperlink w:anchor="iec242c2d4e1d466fad82d89d469f78fa_73" w:history="1">
              <w:r>
                <w:rPr>
                  <w:rStyle w:val="a3"/>
                  <w:rFonts w:ascii="Arial" w:eastAsia="Times New Roman" w:hAnsi="Arial" w:cs="Arial"/>
                  <w:sz w:val="20"/>
                  <w:szCs w:val="20"/>
                </w:rPr>
                <w:t>Properties</w:t>
              </w:r>
            </w:hyperlink>
          </w:p>
        </w:tc>
        <w:tc>
          <w:tcPr>
            <w:tcW w:w="0" w:type="auto"/>
            <w:gridSpan w:val="3"/>
            <w:tcMar>
              <w:top w:w="30" w:type="dxa"/>
              <w:left w:w="20" w:type="dxa"/>
              <w:bottom w:w="30" w:type="dxa"/>
              <w:right w:w="20" w:type="dxa"/>
            </w:tcMar>
            <w:vAlign w:val="bottom"/>
            <w:hideMark/>
          </w:tcPr>
          <w:p w:rsidR="00000000" w:rsidRDefault="001F1FC8">
            <w:pPr>
              <w:jc w:val="right"/>
              <w:rPr>
                <w:rFonts w:eastAsia="Times New Roman"/>
              </w:rPr>
            </w:pPr>
            <w:hyperlink w:anchor="iec242c2d4e1d466fad82d89d469f78fa_73" w:history="1">
              <w:r>
                <w:rPr>
                  <w:rStyle w:val="a3"/>
                  <w:rFonts w:ascii="Arial" w:eastAsia="Times New Roman" w:hAnsi="Arial" w:cs="Arial"/>
                  <w:sz w:val="20"/>
                  <w:szCs w:val="20"/>
                </w:rPr>
                <w:t>55</w:t>
              </w:r>
            </w:hyperlink>
          </w:p>
        </w:tc>
      </w:tr>
      <w:tr w:rsidR="00000000">
        <w:trPr>
          <w:divId w:val="1002471031"/>
        </w:trPr>
        <w:tc>
          <w:tcPr>
            <w:tcW w:w="0" w:type="auto"/>
            <w:gridSpan w:val="3"/>
            <w:tcMar>
              <w:top w:w="30" w:type="dxa"/>
              <w:left w:w="20" w:type="dxa"/>
              <w:bottom w:w="30" w:type="dxa"/>
              <w:right w:w="20" w:type="dxa"/>
            </w:tcMar>
            <w:vAlign w:val="bottom"/>
            <w:hideMark/>
          </w:tcPr>
          <w:p w:rsidR="00000000" w:rsidRDefault="001F1FC8">
            <w:pPr>
              <w:rPr>
                <w:rFonts w:eastAsia="Times New Roman"/>
              </w:rPr>
            </w:pPr>
            <w:r>
              <w:rPr>
                <w:rFonts w:ascii="Arial" w:eastAsia="Times New Roman" w:hAnsi="Arial" w:cs="Arial"/>
                <w:color w:val="000000"/>
                <w:sz w:val="20"/>
                <w:szCs w:val="20"/>
              </w:rPr>
              <w:t>Item 3.</w:t>
            </w:r>
          </w:p>
        </w:tc>
        <w:tc>
          <w:tcPr>
            <w:tcW w:w="0" w:type="auto"/>
            <w:gridSpan w:val="3"/>
            <w:tcMar>
              <w:top w:w="30" w:type="dxa"/>
              <w:left w:w="20" w:type="dxa"/>
              <w:bottom w:w="30" w:type="dxa"/>
              <w:right w:w="20" w:type="dxa"/>
            </w:tcMar>
            <w:vAlign w:val="bottom"/>
            <w:hideMark/>
          </w:tcPr>
          <w:p w:rsidR="00000000" w:rsidRDefault="001F1FC8">
            <w:pPr>
              <w:divId w:val="1927960875"/>
              <w:rPr>
                <w:rFonts w:eastAsia="Times New Roman"/>
              </w:rPr>
            </w:pPr>
            <w:hyperlink w:anchor="iec242c2d4e1d466fad82d89d469f78fa_76" w:history="1">
              <w:r>
                <w:rPr>
                  <w:rStyle w:val="a3"/>
                  <w:rFonts w:ascii="Arial" w:eastAsia="Times New Roman" w:hAnsi="Arial" w:cs="Arial"/>
                  <w:sz w:val="20"/>
                  <w:szCs w:val="20"/>
                </w:rPr>
                <w:t>Legal Proceedings</w:t>
              </w:r>
            </w:hyperlink>
          </w:p>
        </w:tc>
        <w:tc>
          <w:tcPr>
            <w:tcW w:w="0" w:type="auto"/>
            <w:gridSpan w:val="3"/>
            <w:tcMar>
              <w:top w:w="30" w:type="dxa"/>
              <w:left w:w="20" w:type="dxa"/>
              <w:bottom w:w="30" w:type="dxa"/>
              <w:right w:w="20" w:type="dxa"/>
            </w:tcMar>
            <w:vAlign w:val="bottom"/>
            <w:hideMark/>
          </w:tcPr>
          <w:p w:rsidR="00000000" w:rsidRDefault="001F1FC8">
            <w:pPr>
              <w:jc w:val="right"/>
              <w:rPr>
                <w:rFonts w:eastAsia="Times New Roman"/>
              </w:rPr>
            </w:pPr>
            <w:hyperlink w:anchor="iec242c2d4e1d466fad82d89d469f78fa_76" w:history="1">
              <w:r>
                <w:rPr>
                  <w:rStyle w:val="a3"/>
                  <w:rFonts w:ascii="Arial" w:eastAsia="Times New Roman" w:hAnsi="Arial" w:cs="Arial"/>
                  <w:sz w:val="20"/>
                  <w:szCs w:val="20"/>
                </w:rPr>
                <w:t>55</w:t>
              </w:r>
            </w:hyperlink>
          </w:p>
        </w:tc>
      </w:tr>
      <w:tr w:rsidR="00000000">
        <w:trPr>
          <w:divId w:val="1002471031"/>
        </w:trPr>
        <w:tc>
          <w:tcPr>
            <w:tcW w:w="0" w:type="auto"/>
            <w:gridSpan w:val="3"/>
            <w:tcMar>
              <w:top w:w="30" w:type="dxa"/>
              <w:left w:w="20" w:type="dxa"/>
              <w:bottom w:w="30" w:type="dxa"/>
              <w:right w:w="20" w:type="dxa"/>
            </w:tcMar>
            <w:vAlign w:val="bottom"/>
            <w:hideMark/>
          </w:tcPr>
          <w:p w:rsidR="00000000" w:rsidRDefault="001F1FC8">
            <w:pPr>
              <w:rPr>
                <w:rFonts w:eastAsia="Times New Roman"/>
              </w:rPr>
            </w:pPr>
            <w:r>
              <w:rPr>
                <w:rFonts w:ascii="Arial" w:eastAsia="Times New Roman" w:hAnsi="Arial" w:cs="Arial"/>
                <w:color w:val="000000"/>
                <w:sz w:val="20"/>
                <w:szCs w:val="20"/>
              </w:rPr>
              <w:t>Item 4.</w:t>
            </w:r>
          </w:p>
        </w:tc>
        <w:tc>
          <w:tcPr>
            <w:tcW w:w="0" w:type="auto"/>
            <w:gridSpan w:val="3"/>
            <w:tcMar>
              <w:top w:w="30" w:type="dxa"/>
              <w:left w:w="20" w:type="dxa"/>
              <w:bottom w:w="30" w:type="dxa"/>
              <w:right w:w="20" w:type="dxa"/>
            </w:tcMar>
            <w:vAlign w:val="bottom"/>
            <w:hideMark/>
          </w:tcPr>
          <w:p w:rsidR="00000000" w:rsidRDefault="001F1FC8">
            <w:pPr>
              <w:divId w:val="1469009398"/>
              <w:rPr>
                <w:rFonts w:eastAsia="Times New Roman"/>
              </w:rPr>
            </w:pPr>
            <w:hyperlink w:anchor="iec242c2d4e1d466fad82d89d469f78fa_79" w:history="1">
              <w:r>
                <w:rPr>
                  <w:rStyle w:val="a3"/>
                  <w:rFonts w:ascii="Arial" w:eastAsia="Times New Roman" w:hAnsi="Arial" w:cs="Arial"/>
                  <w:sz w:val="20"/>
                  <w:szCs w:val="20"/>
                </w:rPr>
                <w:t>Mine Safety Disclosures</w:t>
              </w:r>
            </w:hyperlink>
          </w:p>
        </w:tc>
        <w:tc>
          <w:tcPr>
            <w:tcW w:w="0" w:type="auto"/>
            <w:gridSpan w:val="3"/>
            <w:tcMar>
              <w:top w:w="30" w:type="dxa"/>
              <w:left w:w="20" w:type="dxa"/>
              <w:bottom w:w="30" w:type="dxa"/>
              <w:right w:w="20" w:type="dxa"/>
            </w:tcMar>
            <w:vAlign w:val="bottom"/>
            <w:hideMark/>
          </w:tcPr>
          <w:p w:rsidR="00000000" w:rsidRDefault="001F1FC8">
            <w:pPr>
              <w:jc w:val="right"/>
              <w:rPr>
                <w:rFonts w:eastAsia="Times New Roman"/>
              </w:rPr>
            </w:pPr>
            <w:hyperlink w:anchor="iec242c2d4e1d466fad82d89d469f78fa_79" w:history="1">
              <w:r>
                <w:rPr>
                  <w:rStyle w:val="a3"/>
                  <w:rFonts w:ascii="Arial" w:eastAsia="Times New Roman" w:hAnsi="Arial" w:cs="Arial"/>
                  <w:sz w:val="20"/>
                  <w:szCs w:val="20"/>
                </w:rPr>
                <w:t>55</w:t>
              </w:r>
            </w:hyperlink>
          </w:p>
        </w:tc>
      </w:tr>
      <w:tr w:rsidR="00000000">
        <w:trPr>
          <w:divId w:val="1002471031"/>
        </w:trPr>
        <w:tc>
          <w:tcPr>
            <w:tcW w:w="0" w:type="auto"/>
            <w:gridSpan w:val="3"/>
            <w:tcMar>
              <w:top w:w="0" w:type="dxa"/>
              <w:left w:w="20" w:type="dxa"/>
              <w:bottom w:w="0" w:type="dxa"/>
              <w:right w:w="20" w:type="dxa"/>
            </w:tcMar>
            <w:vAlign w:val="center"/>
            <w:hideMark/>
          </w:tcPr>
          <w:p w:rsidR="00000000" w:rsidRDefault="001F1FC8">
            <w:pPr>
              <w:jc w:val="right"/>
              <w:rPr>
                <w:rFonts w:eastAsia="Times New Roman"/>
              </w:rPr>
            </w:pPr>
          </w:p>
        </w:tc>
        <w:tc>
          <w:tcPr>
            <w:tcW w:w="0" w:type="auto"/>
            <w:gridSpan w:val="3"/>
            <w:tcMar>
              <w:top w:w="30" w:type="dxa"/>
              <w:left w:w="20" w:type="dxa"/>
              <w:bottom w:w="30" w:type="dxa"/>
              <w:right w:w="20" w:type="dxa"/>
            </w:tcMar>
            <w:vAlign w:val="bottom"/>
            <w:hideMark/>
          </w:tcPr>
          <w:p w:rsidR="00000000" w:rsidRDefault="001F1FC8">
            <w:pPr>
              <w:rPr>
                <w:rFonts w:eastAsia="Times New Roman"/>
              </w:rPr>
            </w:pPr>
            <w:r>
              <w:rPr>
                <w:rFonts w:ascii="Arial" w:eastAsia="Times New Roman" w:hAnsi="Arial" w:cs="Arial"/>
                <w:b/>
                <w:bCs/>
                <w:color w:val="000000"/>
                <w:sz w:val="20"/>
                <w:szCs w:val="20"/>
              </w:rPr>
              <w:t>PART II</w:t>
            </w:r>
          </w:p>
        </w:tc>
        <w:tc>
          <w:tcPr>
            <w:tcW w:w="0" w:type="auto"/>
            <w:gridSpan w:val="3"/>
            <w:tcMar>
              <w:top w:w="0" w:type="dxa"/>
              <w:left w:w="20" w:type="dxa"/>
              <w:bottom w:w="0" w:type="dxa"/>
              <w:right w:w="20" w:type="dxa"/>
            </w:tcMar>
            <w:vAlign w:val="center"/>
            <w:hideMark/>
          </w:tcPr>
          <w:p w:rsidR="00000000" w:rsidRDefault="001F1FC8">
            <w:pPr>
              <w:rPr>
                <w:rFonts w:eastAsia="Times New Roman"/>
              </w:rPr>
            </w:pPr>
          </w:p>
        </w:tc>
      </w:tr>
      <w:tr w:rsidR="00000000">
        <w:trPr>
          <w:divId w:val="1002471031"/>
        </w:trPr>
        <w:tc>
          <w:tcPr>
            <w:tcW w:w="0" w:type="auto"/>
            <w:gridSpan w:val="3"/>
            <w:tcMar>
              <w:top w:w="30" w:type="dxa"/>
              <w:left w:w="20" w:type="dxa"/>
              <w:bottom w:w="30" w:type="dxa"/>
              <w:right w:w="20" w:type="dxa"/>
            </w:tcMar>
            <w:hideMark/>
          </w:tcPr>
          <w:p w:rsidR="00000000" w:rsidRDefault="001F1FC8">
            <w:pPr>
              <w:rPr>
                <w:rFonts w:eastAsia="Times New Roman"/>
              </w:rPr>
            </w:pPr>
            <w:r>
              <w:rPr>
                <w:rFonts w:ascii="Arial" w:eastAsia="Times New Roman" w:hAnsi="Arial" w:cs="Arial"/>
                <w:color w:val="000000"/>
                <w:sz w:val="20"/>
                <w:szCs w:val="20"/>
              </w:rPr>
              <w:t xml:space="preserve">Item 5. </w:t>
            </w:r>
          </w:p>
        </w:tc>
        <w:tc>
          <w:tcPr>
            <w:tcW w:w="0" w:type="auto"/>
            <w:gridSpan w:val="3"/>
            <w:tcMar>
              <w:top w:w="30" w:type="dxa"/>
              <w:left w:w="20" w:type="dxa"/>
              <w:bottom w:w="30" w:type="dxa"/>
              <w:right w:w="20" w:type="dxa"/>
            </w:tcMar>
            <w:vAlign w:val="bottom"/>
            <w:hideMark/>
          </w:tcPr>
          <w:p w:rsidR="00000000" w:rsidRDefault="001F1FC8">
            <w:pPr>
              <w:divId w:val="1791393406"/>
              <w:rPr>
                <w:rFonts w:eastAsia="Times New Roman"/>
              </w:rPr>
            </w:pPr>
            <w:hyperlink w:anchor="iec242c2d4e1d466fad82d89d469f78fa_85" w:history="1">
              <w:r>
                <w:rPr>
                  <w:rStyle w:val="a3"/>
                  <w:rFonts w:ascii="Arial" w:eastAsia="Times New Roman" w:hAnsi="Arial" w:cs="Arial"/>
                  <w:sz w:val="20"/>
                  <w:szCs w:val="20"/>
                </w:rPr>
                <w:t>Market for Registrant’</w:t>
              </w:r>
              <w:r>
                <w:rPr>
                  <w:rStyle w:val="a3"/>
                  <w:rFonts w:ascii="Arial" w:eastAsia="Times New Roman" w:hAnsi="Arial" w:cs="Arial"/>
                  <w:sz w:val="20"/>
                  <w:szCs w:val="20"/>
                </w:rPr>
                <w:t>s Common Equity, Related Stockholder Matters and Issuer Purchases of Equity Securities</w:t>
              </w:r>
            </w:hyperlink>
          </w:p>
        </w:tc>
        <w:tc>
          <w:tcPr>
            <w:tcW w:w="0" w:type="auto"/>
            <w:gridSpan w:val="3"/>
            <w:tcMar>
              <w:top w:w="30" w:type="dxa"/>
              <w:left w:w="20" w:type="dxa"/>
              <w:bottom w:w="30" w:type="dxa"/>
              <w:right w:w="20" w:type="dxa"/>
            </w:tcMar>
            <w:vAlign w:val="bottom"/>
            <w:hideMark/>
          </w:tcPr>
          <w:p w:rsidR="00000000" w:rsidRDefault="001F1FC8">
            <w:pPr>
              <w:jc w:val="right"/>
              <w:rPr>
                <w:rFonts w:eastAsia="Times New Roman"/>
              </w:rPr>
            </w:pPr>
            <w:hyperlink w:anchor="iec242c2d4e1d466fad82d89d469f78fa_85" w:history="1">
              <w:r>
                <w:rPr>
                  <w:rStyle w:val="a3"/>
                  <w:rFonts w:ascii="Arial" w:eastAsia="Times New Roman" w:hAnsi="Arial" w:cs="Arial"/>
                  <w:sz w:val="20"/>
                  <w:szCs w:val="20"/>
                </w:rPr>
                <w:t>56</w:t>
              </w:r>
            </w:hyperlink>
          </w:p>
        </w:tc>
      </w:tr>
      <w:tr w:rsidR="00000000">
        <w:trPr>
          <w:divId w:val="1002471031"/>
        </w:trPr>
        <w:tc>
          <w:tcPr>
            <w:tcW w:w="0" w:type="auto"/>
            <w:gridSpan w:val="3"/>
            <w:tcMar>
              <w:top w:w="30" w:type="dxa"/>
              <w:left w:w="20" w:type="dxa"/>
              <w:bottom w:w="30" w:type="dxa"/>
              <w:right w:w="20" w:type="dxa"/>
            </w:tcMar>
            <w:hideMark/>
          </w:tcPr>
          <w:p w:rsidR="00000000" w:rsidRDefault="001F1FC8">
            <w:pPr>
              <w:rPr>
                <w:rFonts w:eastAsia="Times New Roman"/>
              </w:rPr>
            </w:pPr>
            <w:r>
              <w:rPr>
                <w:rFonts w:ascii="Arial" w:eastAsia="Times New Roman" w:hAnsi="Arial" w:cs="Arial"/>
                <w:color w:val="000000"/>
                <w:sz w:val="20"/>
                <w:szCs w:val="20"/>
              </w:rPr>
              <w:t>Item 6.</w:t>
            </w:r>
          </w:p>
        </w:tc>
        <w:tc>
          <w:tcPr>
            <w:tcW w:w="0" w:type="auto"/>
            <w:gridSpan w:val="3"/>
            <w:tcMar>
              <w:top w:w="30" w:type="dxa"/>
              <w:left w:w="20" w:type="dxa"/>
              <w:bottom w:w="30" w:type="dxa"/>
              <w:right w:w="20" w:type="dxa"/>
            </w:tcMar>
            <w:vAlign w:val="bottom"/>
            <w:hideMark/>
          </w:tcPr>
          <w:p w:rsidR="00000000" w:rsidRDefault="001F1FC8">
            <w:pPr>
              <w:divId w:val="1361323042"/>
              <w:rPr>
                <w:rFonts w:eastAsia="Times New Roman"/>
              </w:rPr>
            </w:pPr>
            <w:hyperlink w:anchor="iec242c2d4e1d466fad82d89d469f78fa_88" w:history="1">
              <w:r>
                <w:rPr>
                  <w:rStyle w:val="a3"/>
                  <w:rFonts w:ascii="Arial" w:eastAsia="Times New Roman" w:hAnsi="Arial" w:cs="Arial"/>
                  <w:sz w:val="20"/>
                  <w:szCs w:val="20"/>
                </w:rPr>
                <w:t>[Reserved]</w:t>
              </w:r>
            </w:hyperlink>
          </w:p>
        </w:tc>
        <w:tc>
          <w:tcPr>
            <w:tcW w:w="0" w:type="auto"/>
            <w:gridSpan w:val="3"/>
            <w:tcMar>
              <w:top w:w="30" w:type="dxa"/>
              <w:left w:w="20" w:type="dxa"/>
              <w:bottom w:w="30" w:type="dxa"/>
              <w:right w:w="20" w:type="dxa"/>
            </w:tcMar>
            <w:vAlign w:val="bottom"/>
            <w:hideMark/>
          </w:tcPr>
          <w:p w:rsidR="00000000" w:rsidRDefault="001F1FC8">
            <w:pPr>
              <w:jc w:val="right"/>
              <w:rPr>
                <w:rFonts w:eastAsia="Times New Roman"/>
              </w:rPr>
            </w:pPr>
            <w:hyperlink w:anchor="iec242c2d4e1d466fad82d89d469f78fa_88" w:history="1">
              <w:r>
                <w:rPr>
                  <w:rStyle w:val="a3"/>
                  <w:rFonts w:ascii="Arial" w:eastAsia="Times New Roman" w:hAnsi="Arial" w:cs="Arial"/>
                  <w:sz w:val="20"/>
                  <w:szCs w:val="20"/>
                </w:rPr>
                <w:t>57</w:t>
              </w:r>
            </w:hyperlink>
          </w:p>
        </w:tc>
      </w:tr>
      <w:tr w:rsidR="00000000">
        <w:trPr>
          <w:divId w:val="1002471031"/>
        </w:trPr>
        <w:tc>
          <w:tcPr>
            <w:tcW w:w="0" w:type="auto"/>
            <w:gridSpan w:val="3"/>
            <w:tcMar>
              <w:top w:w="30" w:type="dxa"/>
              <w:left w:w="20" w:type="dxa"/>
              <w:bottom w:w="30" w:type="dxa"/>
              <w:right w:w="20" w:type="dxa"/>
            </w:tcMar>
            <w:hideMark/>
          </w:tcPr>
          <w:p w:rsidR="00000000" w:rsidRDefault="001F1FC8">
            <w:pPr>
              <w:rPr>
                <w:rFonts w:eastAsia="Times New Roman"/>
              </w:rPr>
            </w:pPr>
            <w:r>
              <w:rPr>
                <w:rFonts w:ascii="Arial" w:eastAsia="Times New Roman" w:hAnsi="Arial" w:cs="Arial"/>
                <w:color w:val="000000"/>
                <w:sz w:val="20"/>
                <w:szCs w:val="20"/>
              </w:rPr>
              <w:t>Item 7.</w:t>
            </w:r>
          </w:p>
        </w:tc>
        <w:tc>
          <w:tcPr>
            <w:tcW w:w="0" w:type="auto"/>
            <w:gridSpan w:val="3"/>
            <w:tcMar>
              <w:top w:w="30" w:type="dxa"/>
              <w:left w:w="20" w:type="dxa"/>
              <w:bottom w:w="30" w:type="dxa"/>
              <w:right w:w="20" w:type="dxa"/>
            </w:tcMar>
            <w:vAlign w:val="bottom"/>
            <w:hideMark/>
          </w:tcPr>
          <w:p w:rsidR="00000000" w:rsidRDefault="001F1FC8">
            <w:pPr>
              <w:divId w:val="789738118"/>
              <w:rPr>
                <w:rFonts w:eastAsia="Times New Roman"/>
              </w:rPr>
            </w:pPr>
            <w:hyperlink w:anchor="iec242c2d4e1d466fad82d89d469f78fa_91" w:history="1">
              <w:r>
                <w:rPr>
                  <w:rStyle w:val="a3"/>
                  <w:rFonts w:ascii="Arial" w:eastAsia="Times New Roman" w:hAnsi="Arial" w:cs="Arial"/>
                  <w:sz w:val="20"/>
                  <w:szCs w:val="20"/>
                </w:rPr>
                <w:t>Management’</w:t>
              </w:r>
              <w:r>
                <w:rPr>
                  <w:rStyle w:val="a3"/>
                  <w:rFonts w:ascii="Arial" w:eastAsia="Times New Roman" w:hAnsi="Arial" w:cs="Arial"/>
                  <w:sz w:val="20"/>
                  <w:szCs w:val="20"/>
                </w:rPr>
                <w:t>s Discussion and Analysis of Financial Condition and Results of Operations</w:t>
              </w:r>
            </w:hyperlink>
          </w:p>
        </w:tc>
        <w:tc>
          <w:tcPr>
            <w:tcW w:w="0" w:type="auto"/>
            <w:gridSpan w:val="3"/>
            <w:tcMar>
              <w:top w:w="30" w:type="dxa"/>
              <w:left w:w="20" w:type="dxa"/>
              <w:bottom w:w="30" w:type="dxa"/>
              <w:right w:w="20" w:type="dxa"/>
            </w:tcMar>
            <w:vAlign w:val="bottom"/>
            <w:hideMark/>
          </w:tcPr>
          <w:p w:rsidR="00000000" w:rsidRDefault="001F1FC8">
            <w:pPr>
              <w:jc w:val="right"/>
              <w:rPr>
                <w:rFonts w:eastAsia="Times New Roman"/>
              </w:rPr>
            </w:pPr>
            <w:hyperlink w:anchor="iec242c2d4e1d466fad82d89d469f78fa_91" w:history="1">
              <w:r>
                <w:rPr>
                  <w:rStyle w:val="a3"/>
                  <w:rFonts w:ascii="Arial" w:eastAsia="Times New Roman" w:hAnsi="Arial" w:cs="Arial"/>
                  <w:sz w:val="20"/>
                  <w:szCs w:val="20"/>
                </w:rPr>
                <w:t>58</w:t>
              </w:r>
            </w:hyperlink>
          </w:p>
        </w:tc>
      </w:tr>
      <w:tr w:rsidR="00000000">
        <w:trPr>
          <w:divId w:val="1002471031"/>
        </w:trPr>
        <w:tc>
          <w:tcPr>
            <w:tcW w:w="0" w:type="auto"/>
            <w:gridSpan w:val="3"/>
            <w:tcMar>
              <w:top w:w="30" w:type="dxa"/>
              <w:left w:w="20" w:type="dxa"/>
              <w:bottom w:w="30" w:type="dxa"/>
              <w:right w:w="20" w:type="dxa"/>
            </w:tcMar>
            <w:hideMark/>
          </w:tcPr>
          <w:p w:rsidR="00000000" w:rsidRDefault="001F1FC8">
            <w:pPr>
              <w:rPr>
                <w:rFonts w:eastAsia="Times New Roman"/>
              </w:rPr>
            </w:pPr>
            <w:r>
              <w:rPr>
                <w:rFonts w:ascii="Arial" w:eastAsia="Times New Roman" w:hAnsi="Arial" w:cs="Arial"/>
                <w:color w:val="000000"/>
                <w:sz w:val="20"/>
                <w:szCs w:val="20"/>
              </w:rPr>
              <w:t>Item 7A.</w:t>
            </w:r>
          </w:p>
        </w:tc>
        <w:tc>
          <w:tcPr>
            <w:tcW w:w="0" w:type="auto"/>
            <w:gridSpan w:val="3"/>
            <w:tcMar>
              <w:top w:w="30" w:type="dxa"/>
              <w:left w:w="20" w:type="dxa"/>
              <w:bottom w:w="30" w:type="dxa"/>
              <w:right w:w="20" w:type="dxa"/>
            </w:tcMar>
            <w:vAlign w:val="bottom"/>
            <w:hideMark/>
          </w:tcPr>
          <w:p w:rsidR="00000000" w:rsidRDefault="001F1FC8">
            <w:pPr>
              <w:divId w:val="531960546"/>
              <w:rPr>
                <w:rFonts w:eastAsia="Times New Roman"/>
              </w:rPr>
            </w:pPr>
            <w:hyperlink w:anchor="iec242c2d4e1d466fad82d89d469f78fa_202" w:history="1">
              <w:r>
                <w:rPr>
                  <w:rStyle w:val="a3"/>
                  <w:rFonts w:ascii="Arial" w:eastAsia="Times New Roman" w:hAnsi="Arial" w:cs="Arial"/>
                  <w:sz w:val="20"/>
                  <w:szCs w:val="20"/>
                </w:rPr>
                <w:t>Quantitative and Qualitative Disclosures About Market Risk</w:t>
              </w:r>
            </w:hyperlink>
          </w:p>
        </w:tc>
        <w:tc>
          <w:tcPr>
            <w:tcW w:w="0" w:type="auto"/>
            <w:gridSpan w:val="3"/>
            <w:tcMar>
              <w:top w:w="30" w:type="dxa"/>
              <w:left w:w="20" w:type="dxa"/>
              <w:bottom w:w="30" w:type="dxa"/>
              <w:right w:w="20" w:type="dxa"/>
            </w:tcMar>
            <w:vAlign w:val="bottom"/>
            <w:hideMark/>
          </w:tcPr>
          <w:p w:rsidR="00000000" w:rsidRDefault="001F1FC8">
            <w:pPr>
              <w:jc w:val="right"/>
              <w:rPr>
                <w:rFonts w:eastAsia="Times New Roman"/>
              </w:rPr>
            </w:pPr>
            <w:hyperlink w:anchor="iec242c2d4e1d466fad82d89d469f78fa_202" w:history="1">
              <w:r>
                <w:rPr>
                  <w:rStyle w:val="a3"/>
                  <w:rFonts w:ascii="Arial" w:eastAsia="Times New Roman" w:hAnsi="Arial" w:cs="Arial"/>
                  <w:sz w:val="20"/>
                  <w:szCs w:val="20"/>
                </w:rPr>
                <w:t>90</w:t>
              </w:r>
            </w:hyperlink>
          </w:p>
        </w:tc>
      </w:tr>
      <w:tr w:rsidR="00000000">
        <w:trPr>
          <w:divId w:val="1002471031"/>
        </w:trPr>
        <w:tc>
          <w:tcPr>
            <w:tcW w:w="0" w:type="auto"/>
            <w:gridSpan w:val="3"/>
            <w:tcMar>
              <w:top w:w="30" w:type="dxa"/>
              <w:left w:w="20" w:type="dxa"/>
              <w:bottom w:w="30" w:type="dxa"/>
              <w:right w:w="20" w:type="dxa"/>
            </w:tcMar>
            <w:hideMark/>
          </w:tcPr>
          <w:p w:rsidR="00000000" w:rsidRDefault="001F1FC8">
            <w:pPr>
              <w:rPr>
                <w:rFonts w:eastAsia="Times New Roman"/>
              </w:rPr>
            </w:pPr>
            <w:r>
              <w:rPr>
                <w:rFonts w:ascii="Arial" w:eastAsia="Times New Roman" w:hAnsi="Arial" w:cs="Arial"/>
                <w:color w:val="000000"/>
                <w:sz w:val="20"/>
                <w:szCs w:val="20"/>
              </w:rPr>
              <w:t>Item 8.</w:t>
            </w:r>
          </w:p>
        </w:tc>
        <w:tc>
          <w:tcPr>
            <w:tcW w:w="0" w:type="auto"/>
            <w:gridSpan w:val="3"/>
            <w:tcMar>
              <w:top w:w="30" w:type="dxa"/>
              <w:left w:w="20" w:type="dxa"/>
              <w:bottom w:w="30" w:type="dxa"/>
              <w:right w:w="20" w:type="dxa"/>
            </w:tcMar>
            <w:vAlign w:val="bottom"/>
            <w:hideMark/>
          </w:tcPr>
          <w:p w:rsidR="00000000" w:rsidRDefault="001F1FC8">
            <w:pPr>
              <w:divId w:val="2050182358"/>
              <w:rPr>
                <w:rFonts w:eastAsia="Times New Roman"/>
              </w:rPr>
            </w:pPr>
            <w:hyperlink w:anchor="iec242c2d4e1d466fad82d89d469f78fa_205" w:history="1">
              <w:r>
                <w:rPr>
                  <w:rStyle w:val="a3"/>
                  <w:rFonts w:ascii="Arial" w:eastAsia="Times New Roman" w:hAnsi="Arial" w:cs="Arial"/>
                  <w:sz w:val="20"/>
                  <w:szCs w:val="20"/>
                </w:rPr>
                <w:t>Financial Statements and Supplementary Data</w:t>
              </w:r>
            </w:hyperlink>
          </w:p>
        </w:tc>
        <w:tc>
          <w:tcPr>
            <w:tcW w:w="0" w:type="auto"/>
            <w:gridSpan w:val="3"/>
            <w:tcMar>
              <w:top w:w="30" w:type="dxa"/>
              <w:left w:w="20" w:type="dxa"/>
              <w:bottom w:w="30" w:type="dxa"/>
              <w:right w:w="20" w:type="dxa"/>
            </w:tcMar>
            <w:vAlign w:val="bottom"/>
            <w:hideMark/>
          </w:tcPr>
          <w:p w:rsidR="00000000" w:rsidRDefault="001F1FC8">
            <w:pPr>
              <w:jc w:val="right"/>
              <w:rPr>
                <w:rFonts w:eastAsia="Times New Roman"/>
              </w:rPr>
            </w:pPr>
            <w:hyperlink w:anchor="iec242c2d4e1d466fad82d89d469f78fa_205" w:history="1">
              <w:r>
                <w:rPr>
                  <w:rStyle w:val="a3"/>
                  <w:rFonts w:ascii="Arial" w:eastAsia="Times New Roman" w:hAnsi="Arial" w:cs="Arial"/>
                  <w:sz w:val="20"/>
                  <w:szCs w:val="20"/>
                </w:rPr>
                <w:t>93</w:t>
              </w:r>
            </w:hyperlink>
          </w:p>
        </w:tc>
      </w:tr>
      <w:tr w:rsidR="00000000">
        <w:trPr>
          <w:divId w:val="1002471031"/>
        </w:trPr>
        <w:tc>
          <w:tcPr>
            <w:tcW w:w="0" w:type="auto"/>
            <w:gridSpan w:val="3"/>
            <w:tcMar>
              <w:top w:w="30" w:type="dxa"/>
              <w:left w:w="20" w:type="dxa"/>
              <w:bottom w:w="30" w:type="dxa"/>
              <w:right w:w="20" w:type="dxa"/>
            </w:tcMar>
            <w:hideMark/>
          </w:tcPr>
          <w:p w:rsidR="00000000" w:rsidRDefault="001F1FC8">
            <w:pPr>
              <w:rPr>
                <w:rFonts w:eastAsia="Times New Roman"/>
              </w:rPr>
            </w:pPr>
            <w:r>
              <w:rPr>
                <w:rFonts w:ascii="Arial" w:eastAsia="Times New Roman" w:hAnsi="Arial" w:cs="Arial"/>
                <w:color w:val="000000"/>
                <w:sz w:val="20"/>
                <w:szCs w:val="20"/>
              </w:rPr>
              <w:t>Item 9.</w:t>
            </w:r>
          </w:p>
        </w:tc>
        <w:tc>
          <w:tcPr>
            <w:tcW w:w="0" w:type="auto"/>
            <w:gridSpan w:val="3"/>
            <w:tcMar>
              <w:top w:w="30" w:type="dxa"/>
              <w:left w:w="20" w:type="dxa"/>
              <w:bottom w:w="30" w:type="dxa"/>
              <w:right w:w="20" w:type="dxa"/>
            </w:tcMar>
            <w:vAlign w:val="bottom"/>
            <w:hideMark/>
          </w:tcPr>
          <w:p w:rsidR="00000000" w:rsidRDefault="001F1FC8">
            <w:pPr>
              <w:divId w:val="1577127954"/>
              <w:rPr>
                <w:rFonts w:eastAsia="Times New Roman"/>
              </w:rPr>
            </w:pPr>
            <w:hyperlink w:anchor="iec242c2d4e1d466fad82d89d469f78fa_391" w:history="1">
              <w:r>
                <w:rPr>
                  <w:rStyle w:val="a3"/>
                  <w:rFonts w:ascii="Arial" w:eastAsia="Times New Roman" w:hAnsi="Arial" w:cs="Arial"/>
                  <w:sz w:val="20"/>
                  <w:szCs w:val="20"/>
                </w:rPr>
                <w:t>Changes in and Disagreements with Accountants on Accounting and Financial Disclosure</w:t>
              </w:r>
            </w:hyperlink>
          </w:p>
        </w:tc>
        <w:tc>
          <w:tcPr>
            <w:tcW w:w="0" w:type="auto"/>
            <w:gridSpan w:val="3"/>
            <w:tcMar>
              <w:top w:w="30" w:type="dxa"/>
              <w:left w:w="20" w:type="dxa"/>
              <w:bottom w:w="30" w:type="dxa"/>
              <w:right w:w="20" w:type="dxa"/>
            </w:tcMar>
            <w:vAlign w:val="bottom"/>
            <w:hideMark/>
          </w:tcPr>
          <w:p w:rsidR="00000000" w:rsidRDefault="001F1FC8">
            <w:pPr>
              <w:jc w:val="right"/>
              <w:rPr>
                <w:rFonts w:eastAsia="Times New Roman"/>
              </w:rPr>
            </w:pPr>
            <w:hyperlink w:anchor="iec242c2d4e1d466fad82d89d469f78fa_391" w:history="1">
              <w:r>
                <w:rPr>
                  <w:rStyle w:val="a3"/>
                  <w:rFonts w:ascii="Arial" w:eastAsia="Times New Roman" w:hAnsi="Arial" w:cs="Arial"/>
                  <w:sz w:val="20"/>
                  <w:szCs w:val="20"/>
                </w:rPr>
                <w:t>179</w:t>
              </w:r>
            </w:hyperlink>
          </w:p>
        </w:tc>
      </w:tr>
      <w:tr w:rsidR="00000000">
        <w:trPr>
          <w:divId w:val="1002471031"/>
        </w:trPr>
        <w:tc>
          <w:tcPr>
            <w:tcW w:w="0" w:type="auto"/>
            <w:gridSpan w:val="3"/>
            <w:tcMar>
              <w:top w:w="30" w:type="dxa"/>
              <w:left w:w="20" w:type="dxa"/>
              <w:bottom w:w="30" w:type="dxa"/>
              <w:right w:w="20" w:type="dxa"/>
            </w:tcMar>
            <w:hideMark/>
          </w:tcPr>
          <w:p w:rsidR="00000000" w:rsidRDefault="001F1FC8">
            <w:pPr>
              <w:rPr>
                <w:rFonts w:eastAsia="Times New Roman"/>
              </w:rPr>
            </w:pPr>
            <w:r>
              <w:rPr>
                <w:rFonts w:ascii="Arial" w:eastAsia="Times New Roman" w:hAnsi="Arial" w:cs="Arial"/>
                <w:color w:val="000000"/>
                <w:sz w:val="20"/>
                <w:szCs w:val="20"/>
              </w:rPr>
              <w:t>Item 9A.</w:t>
            </w:r>
          </w:p>
        </w:tc>
        <w:tc>
          <w:tcPr>
            <w:tcW w:w="0" w:type="auto"/>
            <w:gridSpan w:val="3"/>
            <w:tcMar>
              <w:top w:w="30" w:type="dxa"/>
              <w:left w:w="20" w:type="dxa"/>
              <w:bottom w:w="30" w:type="dxa"/>
              <w:right w:w="20" w:type="dxa"/>
            </w:tcMar>
            <w:vAlign w:val="bottom"/>
            <w:hideMark/>
          </w:tcPr>
          <w:p w:rsidR="00000000" w:rsidRDefault="001F1FC8">
            <w:pPr>
              <w:divId w:val="418674764"/>
              <w:rPr>
                <w:rFonts w:eastAsia="Times New Roman"/>
              </w:rPr>
            </w:pPr>
            <w:hyperlink w:anchor="iec242c2d4e1d466fad82d89d469f78fa_394" w:history="1">
              <w:r>
                <w:rPr>
                  <w:rStyle w:val="a3"/>
                  <w:rFonts w:ascii="Arial" w:eastAsia="Times New Roman" w:hAnsi="Arial" w:cs="Arial"/>
                  <w:sz w:val="20"/>
                  <w:szCs w:val="20"/>
                </w:rPr>
                <w:t>Controls and Procedures</w:t>
              </w:r>
            </w:hyperlink>
          </w:p>
        </w:tc>
        <w:tc>
          <w:tcPr>
            <w:tcW w:w="0" w:type="auto"/>
            <w:gridSpan w:val="3"/>
            <w:tcMar>
              <w:top w:w="30" w:type="dxa"/>
              <w:left w:w="20" w:type="dxa"/>
              <w:bottom w:w="30" w:type="dxa"/>
              <w:right w:w="20" w:type="dxa"/>
            </w:tcMar>
            <w:vAlign w:val="bottom"/>
            <w:hideMark/>
          </w:tcPr>
          <w:p w:rsidR="00000000" w:rsidRDefault="001F1FC8">
            <w:pPr>
              <w:jc w:val="right"/>
              <w:rPr>
                <w:rFonts w:eastAsia="Times New Roman"/>
              </w:rPr>
            </w:pPr>
            <w:hyperlink w:anchor="iec242c2d4e1d466fad82d89d469f78fa_394" w:history="1">
              <w:r>
                <w:rPr>
                  <w:rStyle w:val="a3"/>
                  <w:rFonts w:ascii="Arial" w:eastAsia="Times New Roman" w:hAnsi="Arial" w:cs="Arial"/>
                  <w:sz w:val="20"/>
                  <w:szCs w:val="20"/>
                </w:rPr>
                <w:t>179</w:t>
              </w:r>
            </w:hyperlink>
          </w:p>
        </w:tc>
      </w:tr>
      <w:tr w:rsidR="00000000">
        <w:trPr>
          <w:divId w:val="1002471031"/>
        </w:trPr>
        <w:tc>
          <w:tcPr>
            <w:tcW w:w="0" w:type="auto"/>
            <w:gridSpan w:val="3"/>
            <w:tcMar>
              <w:top w:w="30" w:type="dxa"/>
              <w:left w:w="20" w:type="dxa"/>
              <w:bottom w:w="30" w:type="dxa"/>
              <w:right w:w="20" w:type="dxa"/>
            </w:tcMar>
            <w:hideMark/>
          </w:tcPr>
          <w:p w:rsidR="00000000" w:rsidRDefault="001F1FC8">
            <w:pPr>
              <w:rPr>
                <w:rFonts w:eastAsia="Times New Roman"/>
              </w:rPr>
            </w:pPr>
            <w:r>
              <w:rPr>
                <w:rFonts w:ascii="Arial" w:eastAsia="Times New Roman" w:hAnsi="Arial" w:cs="Arial"/>
                <w:color w:val="000000"/>
                <w:sz w:val="20"/>
                <w:szCs w:val="20"/>
              </w:rPr>
              <w:lastRenderedPageBreak/>
              <w:t>Item 9B.</w:t>
            </w:r>
          </w:p>
        </w:tc>
        <w:tc>
          <w:tcPr>
            <w:tcW w:w="0" w:type="auto"/>
            <w:gridSpan w:val="3"/>
            <w:tcMar>
              <w:top w:w="30" w:type="dxa"/>
              <w:left w:w="20" w:type="dxa"/>
              <w:bottom w:w="30" w:type="dxa"/>
              <w:right w:w="20" w:type="dxa"/>
            </w:tcMar>
            <w:vAlign w:val="bottom"/>
            <w:hideMark/>
          </w:tcPr>
          <w:p w:rsidR="00000000" w:rsidRDefault="001F1FC8">
            <w:pPr>
              <w:divId w:val="664746598"/>
              <w:rPr>
                <w:rFonts w:eastAsia="Times New Roman"/>
              </w:rPr>
            </w:pPr>
            <w:hyperlink w:anchor="iec242c2d4e1d466fad82d89d469f78fa_397" w:history="1">
              <w:r>
                <w:rPr>
                  <w:rStyle w:val="a3"/>
                  <w:rFonts w:ascii="Arial" w:eastAsia="Times New Roman" w:hAnsi="Arial" w:cs="Arial"/>
                  <w:sz w:val="20"/>
                  <w:szCs w:val="20"/>
                </w:rPr>
                <w:t>Other Information</w:t>
              </w:r>
            </w:hyperlink>
          </w:p>
        </w:tc>
        <w:tc>
          <w:tcPr>
            <w:tcW w:w="0" w:type="auto"/>
            <w:gridSpan w:val="3"/>
            <w:tcMar>
              <w:top w:w="30" w:type="dxa"/>
              <w:left w:w="20" w:type="dxa"/>
              <w:bottom w:w="30" w:type="dxa"/>
              <w:right w:w="20" w:type="dxa"/>
            </w:tcMar>
            <w:vAlign w:val="bottom"/>
            <w:hideMark/>
          </w:tcPr>
          <w:p w:rsidR="00000000" w:rsidRDefault="001F1FC8">
            <w:pPr>
              <w:jc w:val="right"/>
              <w:rPr>
                <w:rFonts w:eastAsia="Times New Roman"/>
              </w:rPr>
            </w:pPr>
            <w:hyperlink w:anchor="iec242c2d4e1d466fad82d89d469f78fa_397" w:history="1">
              <w:r>
                <w:rPr>
                  <w:rStyle w:val="a3"/>
                  <w:rFonts w:ascii="Arial" w:eastAsia="Times New Roman" w:hAnsi="Arial" w:cs="Arial"/>
                  <w:sz w:val="20"/>
                  <w:szCs w:val="20"/>
                </w:rPr>
                <w:t>180</w:t>
              </w:r>
            </w:hyperlink>
          </w:p>
        </w:tc>
      </w:tr>
      <w:tr w:rsidR="00000000">
        <w:trPr>
          <w:divId w:val="1002471031"/>
        </w:trPr>
        <w:tc>
          <w:tcPr>
            <w:tcW w:w="0" w:type="auto"/>
            <w:gridSpan w:val="3"/>
            <w:tcMar>
              <w:top w:w="30" w:type="dxa"/>
              <w:left w:w="20" w:type="dxa"/>
              <w:bottom w:w="30" w:type="dxa"/>
              <w:right w:w="20" w:type="dxa"/>
            </w:tcMar>
            <w:vAlign w:val="bottom"/>
            <w:hideMark/>
          </w:tcPr>
          <w:p w:rsidR="00000000" w:rsidRDefault="001F1FC8">
            <w:pPr>
              <w:rPr>
                <w:rFonts w:eastAsia="Times New Roman"/>
              </w:rPr>
            </w:pPr>
            <w:r>
              <w:rPr>
                <w:rFonts w:ascii="Arial" w:eastAsia="Times New Roman" w:hAnsi="Arial" w:cs="Arial"/>
                <w:color w:val="000000"/>
                <w:sz w:val="20"/>
                <w:szCs w:val="20"/>
              </w:rPr>
              <w:t>Item 9C.</w:t>
            </w:r>
          </w:p>
        </w:tc>
        <w:tc>
          <w:tcPr>
            <w:tcW w:w="0" w:type="auto"/>
            <w:gridSpan w:val="3"/>
            <w:tcMar>
              <w:top w:w="30" w:type="dxa"/>
              <w:left w:w="20" w:type="dxa"/>
              <w:bottom w:w="30" w:type="dxa"/>
              <w:right w:w="20" w:type="dxa"/>
            </w:tcMar>
            <w:vAlign w:val="bottom"/>
            <w:hideMark/>
          </w:tcPr>
          <w:p w:rsidR="00000000" w:rsidRDefault="001F1FC8">
            <w:pPr>
              <w:divId w:val="1740399243"/>
              <w:rPr>
                <w:rFonts w:eastAsia="Times New Roman"/>
              </w:rPr>
            </w:pPr>
            <w:hyperlink w:anchor="iec242c2d4e1d466fad82d89d469f78fa_3579" w:history="1">
              <w:r>
                <w:rPr>
                  <w:rStyle w:val="a3"/>
                  <w:rFonts w:ascii="Arial" w:eastAsia="Times New Roman" w:hAnsi="Arial" w:cs="Arial"/>
                  <w:sz w:val="20"/>
                  <w:szCs w:val="20"/>
                </w:rPr>
                <w:t>Disclosure Regarding Foreign Jurisdictions that Prevent Inspections</w:t>
              </w:r>
            </w:hyperlink>
          </w:p>
        </w:tc>
        <w:tc>
          <w:tcPr>
            <w:tcW w:w="0" w:type="auto"/>
            <w:gridSpan w:val="3"/>
            <w:tcMar>
              <w:top w:w="30" w:type="dxa"/>
              <w:left w:w="20" w:type="dxa"/>
              <w:bottom w:w="30" w:type="dxa"/>
              <w:right w:w="20" w:type="dxa"/>
            </w:tcMar>
            <w:vAlign w:val="bottom"/>
            <w:hideMark/>
          </w:tcPr>
          <w:p w:rsidR="00000000" w:rsidRDefault="001F1FC8">
            <w:pPr>
              <w:jc w:val="right"/>
              <w:rPr>
                <w:rFonts w:eastAsia="Times New Roman"/>
              </w:rPr>
            </w:pPr>
            <w:hyperlink w:anchor="iec242c2d4e1d466fad82d89d469f78fa_3579" w:history="1">
              <w:r>
                <w:rPr>
                  <w:rStyle w:val="a3"/>
                  <w:rFonts w:ascii="Arial" w:eastAsia="Times New Roman" w:hAnsi="Arial" w:cs="Arial"/>
                  <w:sz w:val="20"/>
                  <w:szCs w:val="20"/>
                </w:rPr>
                <w:t>180</w:t>
              </w:r>
            </w:hyperlink>
          </w:p>
        </w:tc>
      </w:tr>
      <w:tr w:rsidR="00000000">
        <w:trPr>
          <w:divId w:val="1002471031"/>
        </w:trPr>
        <w:tc>
          <w:tcPr>
            <w:tcW w:w="0" w:type="auto"/>
            <w:gridSpan w:val="3"/>
            <w:tcMar>
              <w:top w:w="0" w:type="dxa"/>
              <w:left w:w="20" w:type="dxa"/>
              <w:bottom w:w="0" w:type="dxa"/>
              <w:right w:w="20" w:type="dxa"/>
            </w:tcMar>
            <w:vAlign w:val="center"/>
            <w:hideMark/>
          </w:tcPr>
          <w:p w:rsidR="00000000" w:rsidRDefault="001F1FC8">
            <w:pPr>
              <w:jc w:val="right"/>
              <w:rPr>
                <w:rFonts w:eastAsia="Times New Roman"/>
              </w:rPr>
            </w:pPr>
          </w:p>
        </w:tc>
        <w:tc>
          <w:tcPr>
            <w:tcW w:w="0" w:type="auto"/>
            <w:gridSpan w:val="3"/>
            <w:tcMar>
              <w:top w:w="30" w:type="dxa"/>
              <w:left w:w="20" w:type="dxa"/>
              <w:bottom w:w="30" w:type="dxa"/>
              <w:right w:w="20" w:type="dxa"/>
            </w:tcMar>
            <w:vAlign w:val="bottom"/>
            <w:hideMark/>
          </w:tcPr>
          <w:p w:rsidR="00000000" w:rsidRDefault="001F1FC8">
            <w:pPr>
              <w:rPr>
                <w:rFonts w:eastAsia="Times New Roman"/>
              </w:rPr>
            </w:pPr>
            <w:r>
              <w:rPr>
                <w:rFonts w:ascii="Arial" w:eastAsia="Times New Roman" w:hAnsi="Arial" w:cs="Arial"/>
                <w:b/>
                <w:bCs/>
                <w:color w:val="000000"/>
                <w:sz w:val="20"/>
                <w:szCs w:val="20"/>
              </w:rPr>
              <w:t>PART III</w:t>
            </w:r>
          </w:p>
        </w:tc>
        <w:tc>
          <w:tcPr>
            <w:tcW w:w="0" w:type="auto"/>
            <w:gridSpan w:val="3"/>
            <w:tcMar>
              <w:top w:w="0" w:type="dxa"/>
              <w:left w:w="20" w:type="dxa"/>
              <w:bottom w:w="0" w:type="dxa"/>
              <w:right w:w="20" w:type="dxa"/>
            </w:tcMar>
            <w:vAlign w:val="center"/>
            <w:hideMark/>
          </w:tcPr>
          <w:p w:rsidR="00000000" w:rsidRDefault="001F1FC8">
            <w:pPr>
              <w:rPr>
                <w:rFonts w:eastAsia="Times New Roman"/>
              </w:rPr>
            </w:pPr>
          </w:p>
        </w:tc>
      </w:tr>
      <w:tr w:rsidR="00000000">
        <w:trPr>
          <w:divId w:val="1002471031"/>
        </w:trPr>
        <w:tc>
          <w:tcPr>
            <w:tcW w:w="0" w:type="auto"/>
            <w:gridSpan w:val="3"/>
            <w:tcMar>
              <w:top w:w="30" w:type="dxa"/>
              <w:left w:w="20" w:type="dxa"/>
              <w:bottom w:w="30" w:type="dxa"/>
              <w:right w:w="20" w:type="dxa"/>
            </w:tcMar>
            <w:hideMark/>
          </w:tcPr>
          <w:p w:rsidR="00000000" w:rsidRDefault="001F1FC8">
            <w:pPr>
              <w:rPr>
                <w:rFonts w:eastAsia="Times New Roman"/>
              </w:rPr>
            </w:pPr>
            <w:r>
              <w:rPr>
                <w:rFonts w:ascii="Arial" w:eastAsia="Times New Roman" w:hAnsi="Arial" w:cs="Arial"/>
                <w:color w:val="000000"/>
                <w:sz w:val="20"/>
                <w:szCs w:val="20"/>
              </w:rPr>
              <w:t>Item 10.</w:t>
            </w:r>
          </w:p>
        </w:tc>
        <w:tc>
          <w:tcPr>
            <w:tcW w:w="0" w:type="auto"/>
            <w:gridSpan w:val="3"/>
            <w:tcMar>
              <w:top w:w="30" w:type="dxa"/>
              <w:left w:w="20" w:type="dxa"/>
              <w:bottom w:w="30" w:type="dxa"/>
              <w:right w:w="20" w:type="dxa"/>
            </w:tcMar>
            <w:vAlign w:val="bottom"/>
            <w:hideMark/>
          </w:tcPr>
          <w:p w:rsidR="00000000" w:rsidRDefault="001F1FC8">
            <w:pPr>
              <w:divId w:val="325059883"/>
              <w:rPr>
                <w:rFonts w:eastAsia="Times New Roman"/>
              </w:rPr>
            </w:pPr>
            <w:hyperlink w:anchor="iec242c2d4e1d466fad82d89d469f78fa_403" w:history="1">
              <w:r>
                <w:rPr>
                  <w:rStyle w:val="a3"/>
                  <w:rFonts w:ascii="Arial" w:eastAsia="Times New Roman" w:hAnsi="Arial" w:cs="Arial"/>
                  <w:sz w:val="20"/>
                  <w:szCs w:val="20"/>
                </w:rPr>
                <w:t>Directors, Executive Officers and Corporate Governance</w:t>
              </w:r>
            </w:hyperlink>
          </w:p>
        </w:tc>
        <w:tc>
          <w:tcPr>
            <w:tcW w:w="0" w:type="auto"/>
            <w:gridSpan w:val="3"/>
            <w:tcMar>
              <w:top w:w="30" w:type="dxa"/>
              <w:left w:w="20" w:type="dxa"/>
              <w:bottom w:w="30" w:type="dxa"/>
              <w:right w:w="20" w:type="dxa"/>
            </w:tcMar>
            <w:vAlign w:val="bottom"/>
            <w:hideMark/>
          </w:tcPr>
          <w:p w:rsidR="00000000" w:rsidRDefault="001F1FC8">
            <w:pPr>
              <w:jc w:val="right"/>
              <w:rPr>
                <w:rFonts w:eastAsia="Times New Roman"/>
              </w:rPr>
            </w:pPr>
            <w:hyperlink w:anchor="iec242c2d4e1d466fad82d89d469f78fa_403" w:history="1">
              <w:r>
                <w:rPr>
                  <w:rStyle w:val="a3"/>
                  <w:rFonts w:ascii="Arial" w:eastAsia="Times New Roman" w:hAnsi="Arial" w:cs="Arial"/>
                  <w:sz w:val="20"/>
                  <w:szCs w:val="20"/>
                </w:rPr>
                <w:t>181</w:t>
              </w:r>
            </w:hyperlink>
          </w:p>
        </w:tc>
      </w:tr>
      <w:tr w:rsidR="00000000">
        <w:trPr>
          <w:divId w:val="1002471031"/>
        </w:trPr>
        <w:tc>
          <w:tcPr>
            <w:tcW w:w="0" w:type="auto"/>
            <w:gridSpan w:val="3"/>
            <w:tcMar>
              <w:top w:w="30" w:type="dxa"/>
              <w:left w:w="20" w:type="dxa"/>
              <w:bottom w:w="30" w:type="dxa"/>
              <w:right w:w="20" w:type="dxa"/>
            </w:tcMar>
            <w:hideMark/>
          </w:tcPr>
          <w:p w:rsidR="00000000" w:rsidRDefault="001F1FC8">
            <w:pPr>
              <w:rPr>
                <w:rFonts w:eastAsia="Times New Roman"/>
              </w:rPr>
            </w:pPr>
            <w:r>
              <w:rPr>
                <w:rFonts w:ascii="Arial" w:eastAsia="Times New Roman" w:hAnsi="Arial" w:cs="Arial"/>
                <w:color w:val="000000"/>
                <w:sz w:val="20"/>
                <w:szCs w:val="20"/>
              </w:rPr>
              <w:t>Item 11.</w:t>
            </w:r>
          </w:p>
        </w:tc>
        <w:tc>
          <w:tcPr>
            <w:tcW w:w="0" w:type="auto"/>
            <w:gridSpan w:val="3"/>
            <w:tcMar>
              <w:top w:w="30" w:type="dxa"/>
              <w:left w:w="20" w:type="dxa"/>
              <w:bottom w:w="30" w:type="dxa"/>
              <w:right w:w="20" w:type="dxa"/>
            </w:tcMar>
            <w:vAlign w:val="bottom"/>
            <w:hideMark/>
          </w:tcPr>
          <w:p w:rsidR="00000000" w:rsidRDefault="001F1FC8">
            <w:pPr>
              <w:divId w:val="1045763052"/>
              <w:rPr>
                <w:rFonts w:eastAsia="Times New Roman"/>
              </w:rPr>
            </w:pPr>
            <w:hyperlink w:anchor="iec242c2d4e1d466fad82d89d469f78fa_406" w:history="1">
              <w:r>
                <w:rPr>
                  <w:rStyle w:val="a3"/>
                  <w:rFonts w:ascii="Arial" w:eastAsia="Times New Roman" w:hAnsi="Arial" w:cs="Arial"/>
                  <w:sz w:val="20"/>
                  <w:szCs w:val="20"/>
                </w:rPr>
                <w:t>E</w:t>
              </w:r>
              <w:r>
                <w:rPr>
                  <w:rStyle w:val="a3"/>
                  <w:rFonts w:ascii="Arial" w:eastAsia="Times New Roman" w:hAnsi="Arial" w:cs="Arial"/>
                  <w:sz w:val="20"/>
                  <w:szCs w:val="20"/>
                </w:rPr>
                <w:t>xecutive Compensation</w:t>
              </w:r>
            </w:hyperlink>
          </w:p>
        </w:tc>
        <w:tc>
          <w:tcPr>
            <w:tcW w:w="0" w:type="auto"/>
            <w:gridSpan w:val="3"/>
            <w:tcMar>
              <w:top w:w="30" w:type="dxa"/>
              <w:left w:w="20" w:type="dxa"/>
              <w:bottom w:w="30" w:type="dxa"/>
              <w:right w:w="20" w:type="dxa"/>
            </w:tcMar>
            <w:vAlign w:val="bottom"/>
            <w:hideMark/>
          </w:tcPr>
          <w:p w:rsidR="00000000" w:rsidRDefault="001F1FC8">
            <w:pPr>
              <w:jc w:val="right"/>
              <w:rPr>
                <w:rFonts w:eastAsia="Times New Roman"/>
              </w:rPr>
            </w:pPr>
            <w:hyperlink w:anchor="iec242c2d4e1d466fad82d89d469f78fa_406" w:history="1">
              <w:r>
                <w:rPr>
                  <w:rStyle w:val="a3"/>
                  <w:rFonts w:ascii="Arial" w:eastAsia="Times New Roman" w:hAnsi="Arial" w:cs="Arial"/>
                  <w:sz w:val="20"/>
                  <w:szCs w:val="20"/>
                </w:rPr>
                <w:t>181</w:t>
              </w:r>
            </w:hyperlink>
          </w:p>
        </w:tc>
      </w:tr>
      <w:tr w:rsidR="00000000">
        <w:trPr>
          <w:divId w:val="1002471031"/>
        </w:trPr>
        <w:tc>
          <w:tcPr>
            <w:tcW w:w="0" w:type="auto"/>
            <w:gridSpan w:val="3"/>
            <w:tcMar>
              <w:top w:w="30" w:type="dxa"/>
              <w:left w:w="20" w:type="dxa"/>
              <w:bottom w:w="30" w:type="dxa"/>
              <w:right w:w="20" w:type="dxa"/>
            </w:tcMar>
            <w:hideMark/>
          </w:tcPr>
          <w:p w:rsidR="00000000" w:rsidRDefault="001F1FC8">
            <w:pPr>
              <w:rPr>
                <w:rFonts w:eastAsia="Times New Roman"/>
              </w:rPr>
            </w:pPr>
            <w:r>
              <w:rPr>
                <w:rFonts w:ascii="Arial" w:eastAsia="Times New Roman" w:hAnsi="Arial" w:cs="Arial"/>
                <w:color w:val="000000"/>
                <w:sz w:val="20"/>
                <w:szCs w:val="20"/>
              </w:rPr>
              <w:t>Item 12.</w:t>
            </w:r>
          </w:p>
        </w:tc>
        <w:tc>
          <w:tcPr>
            <w:tcW w:w="0" w:type="auto"/>
            <w:gridSpan w:val="3"/>
            <w:tcMar>
              <w:top w:w="30" w:type="dxa"/>
              <w:left w:w="20" w:type="dxa"/>
              <w:bottom w:w="30" w:type="dxa"/>
              <w:right w:w="20" w:type="dxa"/>
            </w:tcMar>
            <w:vAlign w:val="bottom"/>
            <w:hideMark/>
          </w:tcPr>
          <w:p w:rsidR="00000000" w:rsidRDefault="001F1FC8">
            <w:pPr>
              <w:divId w:val="1104494674"/>
              <w:rPr>
                <w:rFonts w:eastAsia="Times New Roman"/>
              </w:rPr>
            </w:pPr>
            <w:hyperlink w:anchor="iec242c2d4e1d466fad82d89d469f78fa_409" w:history="1">
              <w:r>
                <w:rPr>
                  <w:rStyle w:val="a3"/>
                  <w:rFonts w:ascii="Arial" w:eastAsia="Times New Roman" w:hAnsi="Arial" w:cs="Arial"/>
                  <w:sz w:val="20"/>
                  <w:szCs w:val="20"/>
                </w:rPr>
                <w:t>Security Ownership of Certain Beneficial Owners and Management and Related Stockholder Matters</w:t>
              </w:r>
            </w:hyperlink>
          </w:p>
        </w:tc>
        <w:tc>
          <w:tcPr>
            <w:tcW w:w="0" w:type="auto"/>
            <w:gridSpan w:val="3"/>
            <w:tcMar>
              <w:top w:w="30" w:type="dxa"/>
              <w:left w:w="20" w:type="dxa"/>
              <w:bottom w:w="30" w:type="dxa"/>
              <w:right w:w="20" w:type="dxa"/>
            </w:tcMar>
            <w:vAlign w:val="bottom"/>
            <w:hideMark/>
          </w:tcPr>
          <w:p w:rsidR="00000000" w:rsidRDefault="001F1FC8">
            <w:pPr>
              <w:jc w:val="right"/>
              <w:rPr>
                <w:rFonts w:eastAsia="Times New Roman"/>
              </w:rPr>
            </w:pPr>
            <w:hyperlink w:anchor="iec242c2d4e1d466fad82d89d469f78fa_409" w:history="1">
              <w:r>
                <w:rPr>
                  <w:rStyle w:val="a3"/>
                  <w:rFonts w:ascii="Arial" w:eastAsia="Times New Roman" w:hAnsi="Arial" w:cs="Arial"/>
                  <w:sz w:val="20"/>
                  <w:szCs w:val="20"/>
                </w:rPr>
                <w:t>181</w:t>
              </w:r>
            </w:hyperlink>
          </w:p>
        </w:tc>
      </w:tr>
      <w:tr w:rsidR="00000000">
        <w:trPr>
          <w:divId w:val="1002471031"/>
        </w:trPr>
        <w:tc>
          <w:tcPr>
            <w:tcW w:w="0" w:type="auto"/>
            <w:gridSpan w:val="3"/>
            <w:tcMar>
              <w:top w:w="30" w:type="dxa"/>
              <w:left w:w="20" w:type="dxa"/>
              <w:bottom w:w="30" w:type="dxa"/>
              <w:right w:w="20" w:type="dxa"/>
            </w:tcMar>
            <w:hideMark/>
          </w:tcPr>
          <w:p w:rsidR="00000000" w:rsidRDefault="001F1FC8">
            <w:pPr>
              <w:rPr>
                <w:rFonts w:eastAsia="Times New Roman"/>
              </w:rPr>
            </w:pPr>
            <w:r>
              <w:rPr>
                <w:rFonts w:ascii="Arial" w:eastAsia="Times New Roman" w:hAnsi="Arial" w:cs="Arial"/>
                <w:color w:val="000000"/>
                <w:sz w:val="20"/>
                <w:szCs w:val="20"/>
              </w:rPr>
              <w:t>Item 13.</w:t>
            </w:r>
          </w:p>
        </w:tc>
        <w:tc>
          <w:tcPr>
            <w:tcW w:w="0" w:type="auto"/>
            <w:gridSpan w:val="3"/>
            <w:tcMar>
              <w:top w:w="30" w:type="dxa"/>
              <w:left w:w="20" w:type="dxa"/>
              <w:bottom w:w="30" w:type="dxa"/>
              <w:right w:w="20" w:type="dxa"/>
            </w:tcMar>
            <w:vAlign w:val="bottom"/>
            <w:hideMark/>
          </w:tcPr>
          <w:p w:rsidR="00000000" w:rsidRDefault="001F1FC8">
            <w:pPr>
              <w:divId w:val="856234133"/>
              <w:rPr>
                <w:rFonts w:eastAsia="Times New Roman"/>
              </w:rPr>
            </w:pPr>
            <w:hyperlink w:anchor="iec242c2d4e1d466fad82d89d469f78fa_412" w:history="1">
              <w:r>
                <w:rPr>
                  <w:rStyle w:val="a3"/>
                  <w:rFonts w:ascii="Arial" w:eastAsia="Times New Roman" w:hAnsi="Arial" w:cs="Arial"/>
                  <w:sz w:val="20"/>
                  <w:szCs w:val="20"/>
                </w:rPr>
                <w:t>Certain Relationships and Related Transactions, and Director Independence</w:t>
              </w:r>
            </w:hyperlink>
          </w:p>
        </w:tc>
        <w:tc>
          <w:tcPr>
            <w:tcW w:w="0" w:type="auto"/>
            <w:gridSpan w:val="3"/>
            <w:tcMar>
              <w:top w:w="30" w:type="dxa"/>
              <w:left w:w="20" w:type="dxa"/>
              <w:bottom w:w="30" w:type="dxa"/>
              <w:right w:w="20" w:type="dxa"/>
            </w:tcMar>
            <w:vAlign w:val="bottom"/>
            <w:hideMark/>
          </w:tcPr>
          <w:p w:rsidR="00000000" w:rsidRDefault="001F1FC8">
            <w:pPr>
              <w:jc w:val="right"/>
              <w:rPr>
                <w:rFonts w:eastAsia="Times New Roman"/>
              </w:rPr>
            </w:pPr>
            <w:hyperlink w:anchor="iec242c2d4e1d466fad82d89d469f78fa_412" w:history="1">
              <w:r>
                <w:rPr>
                  <w:rStyle w:val="a3"/>
                  <w:rFonts w:ascii="Arial" w:eastAsia="Times New Roman" w:hAnsi="Arial" w:cs="Arial"/>
                  <w:sz w:val="20"/>
                  <w:szCs w:val="20"/>
                </w:rPr>
                <w:t>181</w:t>
              </w:r>
            </w:hyperlink>
          </w:p>
        </w:tc>
      </w:tr>
      <w:tr w:rsidR="00000000">
        <w:trPr>
          <w:divId w:val="1002471031"/>
        </w:trPr>
        <w:tc>
          <w:tcPr>
            <w:tcW w:w="0" w:type="auto"/>
            <w:gridSpan w:val="3"/>
            <w:tcMar>
              <w:top w:w="30" w:type="dxa"/>
              <w:left w:w="20" w:type="dxa"/>
              <w:bottom w:w="30" w:type="dxa"/>
              <w:right w:w="20" w:type="dxa"/>
            </w:tcMar>
            <w:hideMark/>
          </w:tcPr>
          <w:p w:rsidR="00000000" w:rsidRDefault="001F1FC8">
            <w:pPr>
              <w:rPr>
                <w:rFonts w:eastAsia="Times New Roman"/>
              </w:rPr>
            </w:pPr>
            <w:r>
              <w:rPr>
                <w:rFonts w:ascii="Arial" w:eastAsia="Times New Roman" w:hAnsi="Arial" w:cs="Arial"/>
                <w:color w:val="000000"/>
                <w:sz w:val="20"/>
                <w:szCs w:val="20"/>
              </w:rPr>
              <w:t>Item 14.</w:t>
            </w:r>
          </w:p>
        </w:tc>
        <w:tc>
          <w:tcPr>
            <w:tcW w:w="0" w:type="auto"/>
            <w:gridSpan w:val="3"/>
            <w:tcMar>
              <w:top w:w="30" w:type="dxa"/>
              <w:left w:w="20" w:type="dxa"/>
              <w:bottom w:w="30" w:type="dxa"/>
              <w:right w:w="20" w:type="dxa"/>
            </w:tcMar>
            <w:vAlign w:val="bottom"/>
            <w:hideMark/>
          </w:tcPr>
          <w:p w:rsidR="00000000" w:rsidRDefault="001F1FC8">
            <w:pPr>
              <w:divId w:val="595788020"/>
              <w:rPr>
                <w:rFonts w:eastAsia="Times New Roman"/>
              </w:rPr>
            </w:pPr>
            <w:hyperlink w:anchor="iec242c2d4e1d466fad82d89d469f78fa_415" w:history="1">
              <w:r>
                <w:rPr>
                  <w:rStyle w:val="a3"/>
                  <w:rFonts w:ascii="Arial" w:eastAsia="Times New Roman" w:hAnsi="Arial" w:cs="Arial"/>
                  <w:sz w:val="20"/>
                  <w:szCs w:val="20"/>
                </w:rPr>
                <w:t>Principal Accounting Fees and Services</w:t>
              </w:r>
            </w:hyperlink>
          </w:p>
        </w:tc>
        <w:tc>
          <w:tcPr>
            <w:tcW w:w="0" w:type="auto"/>
            <w:gridSpan w:val="3"/>
            <w:tcMar>
              <w:top w:w="30" w:type="dxa"/>
              <w:left w:w="20" w:type="dxa"/>
              <w:bottom w:w="30" w:type="dxa"/>
              <w:right w:w="20" w:type="dxa"/>
            </w:tcMar>
            <w:vAlign w:val="bottom"/>
            <w:hideMark/>
          </w:tcPr>
          <w:p w:rsidR="00000000" w:rsidRDefault="001F1FC8">
            <w:pPr>
              <w:jc w:val="right"/>
              <w:rPr>
                <w:rFonts w:eastAsia="Times New Roman"/>
              </w:rPr>
            </w:pPr>
            <w:hyperlink w:anchor="iec242c2d4e1d466fad82d89d469f78fa_415" w:history="1">
              <w:r>
                <w:rPr>
                  <w:rStyle w:val="a3"/>
                  <w:rFonts w:ascii="Arial" w:eastAsia="Times New Roman" w:hAnsi="Arial" w:cs="Arial"/>
                  <w:sz w:val="20"/>
                  <w:szCs w:val="20"/>
                </w:rPr>
                <w:t>181</w:t>
              </w:r>
            </w:hyperlink>
          </w:p>
        </w:tc>
      </w:tr>
      <w:tr w:rsidR="00000000">
        <w:trPr>
          <w:divId w:val="1002471031"/>
        </w:trPr>
        <w:tc>
          <w:tcPr>
            <w:tcW w:w="0" w:type="auto"/>
            <w:gridSpan w:val="3"/>
            <w:tcMar>
              <w:top w:w="0" w:type="dxa"/>
              <w:left w:w="20" w:type="dxa"/>
              <w:bottom w:w="0" w:type="dxa"/>
              <w:right w:w="20" w:type="dxa"/>
            </w:tcMar>
            <w:vAlign w:val="center"/>
            <w:hideMark/>
          </w:tcPr>
          <w:p w:rsidR="00000000" w:rsidRDefault="001F1FC8">
            <w:pPr>
              <w:jc w:val="right"/>
              <w:rPr>
                <w:rFonts w:eastAsia="Times New Roman"/>
              </w:rPr>
            </w:pPr>
          </w:p>
        </w:tc>
        <w:tc>
          <w:tcPr>
            <w:tcW w:w="0" w:type="auto"/>
            <w:gridSpan w:val="3"/>
            <w:tcMar>
              <w:top w:w="30" w:type="dxa"/>
              <w:left w:w="20" w:type="dxa"/>
              <w:bottom w:w="30" w:type="dxa"/>
              <w:right w:w="20" w:type="dxa"/>
            </w:tcMar>
            <w:vAlign w:val="bottom"/>
            <w:hideMark/>
          </w:tcPr>
          <w:p w:rsidR="00000000" w:rsidRDefault="001F1FC8">
            <w:pPr>
              <w:rPr>
                <w:rFonts w:eastAsia="Times New Roman"/>
              </w:rPr>
            </w:pPr>
            <w:r>
              <w:rPr>
                <w:rFonts w:ascii="Arial" w:eastAsia="Times New Roman" w:hAnsi="Arial" w:cs="Arial"/>
                <w:b/>
                <w:bCs/>
                <w:color w:val="000000"/>
                <w:sz w:val="20"/>
                <w:szCs w:val="20"/>
              </w:rPr>
              <w:t>PART IV</w:t>
            </w:r>
          </w:p>
        </w:tc>
        <w:tc>
          <w:tcPr>
            <w:tcW w:w="0" w:type="auto"/>
            <w:gridSpan w:val="3"/>
            <w:tcMar>
              <w:top w:w="0" w:type="dxa"/>
              <w:left w:w="20" w:type="dxa"/>
              <w:bottom w:w="0" w:type="dxa"/>
              <w:right w:w="20" w:type="dxa"/>
            </w:tcMar>
            <w:vAlign w:val="center"/>
            <w:hideMark/>
          </w:tcPr>
          <w:p w:rsidR="00000000" w:rsidRDefault="001F1FC8">
            <w:pPr>
              <w:rPr>
                <w:rFonts w:eastAsia="Times New Roman"/>
              </w:rPr>
            </w:pPr>
          </w:p>
        </w:tc>
      </w:tr>
      <w:tr w:rsidR="00000000">
        <w:trPr>
          <w:divId w:val="1002471031"/>
        </w:trPr>
        <w:tc>
          <w:tcPr>
            <w:tcW w:w="0" w:type="auto"/>
            <w:gridSpan w:val="3"/>
            <w:tcMar>
              <w:top w:w="30" w:type="dxa"/>
              <w:left w:w="20" w:type="dxa"/>
              <w:bottom w:w="30" w:type="dxa"/>
              <w:right w:w="20" w:type="dxa"/>
            </w:tcMar>
            <w:hideMark/>
          </w:tcPr>
          <w:p w:rsidR="00000000" w:rsidRDefault="001F1FC8">
            <w:pPr>
              <w:rPr>
                <w:rFonts w:eastAsia="Times New Roman"/>
              </w:rPr>
            </w:pPr>
            <w:r>
              <w:rPr>
                <w:rFonts w:ascii="Arial" w:eastAsia="Times New Roman" w:hAnsi="Arial" w:cs="Arial"/>
                <w:color w:val="000000"/>
                <w:sz w:val="20"/>
                <w:szCs w:val="20"/>
              </w:rPr>
              <w:t>Item 15.</w:t>
            </w:r>
          </w:p>
        </w:tc>
        <w:tc>
          <w:tcPr>
            <w:tcW w:w="0" w:type="auto"/>
            <w:gridSpan w:val="3"/>
            <w:tcMar>
              <w:top w:w="30" w:type="dxa"/>
              <w:left w:w="20" w:type="dxa"/>
              <w:bottom w:w="30" w:type="dxa"/>
              <w:right w:w="20" w:type="dxa"/>
            </w:tcMar>
            <w:vAlign w:val="bottom"/>
            <w:hideMark/>
          </w:tcPr>
          <w:p w:rsidR="00000000" w:rsidRDefault="001F1FC8">
            <w:pPr>
              <w:divId w:val="313797059"/>
              <w:rPr>
                <w:rFonts w:eastAsia="Times New Roman"/>
              </w:rPr>
            </w:pPr>
            <w:hyperlink w:anchor="iec242c2d4e1d466fad82d89d469f78fa_421" w:history="1">
              <w:r>
                <w:rPr>
                  <w:rStyle w:val="a3"/>
                  <w:rFonts w:ascii="Arial" w:eastAsia="Times New Roman" w:hAnsi="Arial" w:cs="Arial"/>
                  <w:sz w:val="20"/>
                  <w:szCs w:val="20"/>
                </w:rPr>
                <w:t>Exhibits and Financial Statement Schedules</w:t>
              </w:r>
            </w:hyperlink>
          </w:p>
        </w:tc>
        <w:tc>
          <w:tcPr>
            <w:tcW w:w="0" w:type="auto"/>
            <w:gridSpan w:val="3"/>
            <w:tcMar>
              <w:top w:w="30" w:type="dxa"/>
              <w:left w:w="20" w:type="dxa"/>
              <w:bottom w:w="30" w:type="dxa"/>
              <w:right w:w="20" w:type="dxa"/>
            </w:tcMar>
            <w:vAlign w:val="bottom"/>
            <w:hideMark/>
          </w:tcPr>
          <w:p w:rsidR="00000000" w:rsidRDefault="001F1FC8">
            <w:pPr>
              <w:jc w:val="right"/>
              <w:rPr>
                <w:rFonts w:eastAsia="Times New Roman"/>
              </w:rPr>
            </w:pPr>
            <w:hyperlink w:anchor="iec242c2d4e1d466fad82d89d469f78fa_421" w:history="1">
              <w:r>
                <w:rPr>
                  <w:rStyle w:val="a3"/>
                  <w:rFonts w:ascii="Arial" w:eastAsia="Times New Roman" w:hAnsi="Arial" w:cs="Arial"/>
                  <w:sz w:val="20"/>
                  <w:szCs w:val="20"/>
                </w:rPr>
                <w:t>182</w:t>
              </w:r>
            </w:hyperlink>
          </w:p>
        </w:tc>
      </w:tr>
      <w:tr w:rsidR="00000000">
        <w:trPr>
          <w:divId w:val="1002471031"/>
        </w:trPr>
        <w:tc>
          <w:tcPr>
            <w:tcW w:w="0" w:type="auto"/>
            <w:gridSpan w:val="3"/>
            <w:tcMar>
              <w:top w:w="30" w:type="dxa"/>
              <w:left w:w="20" w:type="dxa"/>
              <w:bottom w:w="30" w:type="dxa"/>
              <w:right w:w="20" w:type="dxa"/>
            </w:tcMar>
            <w:vAlign w:val="bottom"/>
            <w:hideMark/>
          </w:tcPr>
          <w:p w:rsidR="00000000" w:rsidRDefault="001F1FC8">
            <w:pPr>
              <w:rPr>
                <w:rFonts w:eastAsia="Times New Roman"/>
              </w:rPr>
            </w:pPr>
            <w:r>
              <w:rPr>
                <w:rFonts w:ascii="Arial" w:eastAsia="Times New Roman" w:hAnsi="Arial" w:cs="Arial"/>
                <w:color w:val="000000"/>
                <w:sz w:val="20"/>
                <w:szCs w:val="20"/>
              </w:rPr>
              <w:t>Item 16.</w:t>
            </w:r>
          </w:p>
        </w:tc>
        <w:tc>
          <w:tcPr>
            <w:tcW w:w="0" w:type="auto"/>
            <w:gridSpan w:val="3"/>
            <w:tcMar>
              <w:top w:w="30" w:type="dxa"/>
              <w:left w:w="20" w:type="dxa"/>
              <w:bottom w:w="30" w:type="dxa"/>
              <w:right w:w="20" w:type="dxa"/>
            </w:tcMar>
            <w:vAlign w:val="bottom"/>
            <w:hideMark/>
          </w:tcPr>
          <w:p w:rsidR="00000000" w:rsidRDefault="001F1FC8">
            <w:pPr>
              <w:divId w:val="742486794"/>
              <w:rPr>
                <w:rFonts w:eastAsia="Times New Roman"/>
              </w:rPr>
            </w:pPr>
            <w:hyperlink w:anchor="iec242c2d4e1d466fad82d89d469f78fa_424" w:history="1">
              <w:r>
                <w:rPr>
                  <w:rStyle w:val="a3"/>
                  <w:rFonts w:ascii="Arial" w:eastAsia="Times New Roman" w:hAnsi="Arial" w:cs="Arial"/>
                  <w:sz w:val="20"/>
                  <w:szCs w:val="20"/>
                </w:rPr>
                <w:t>Form 10-K Sum</w:t>
              </w:r>
              <w:r>
                <w:rPr>
                  <w:rStyle w:val="a3"/>
                  <w:rFonts w:ascii="Arial" w:eastAsia="Times New Roman" w:hAnsi="Arial" w:cs="Arial"/>
                  <w:sz w:val="20"/>
                  <w:szCs w:val="20"/>
                </w:rPr>
                <w:t>mary</w:t>
              </w:r>
            </w:hyperlink>
          </w:p>
        </w:tc>
        <w:tc>
          <w:tcPr>
            <w:tcW w:w="0" w:type="auto"/>
            <w:gridSpan w:val="3"/>
            <w:tcMar>
              <w:top w:w="30" w:type="dxa"/>
              <w:left w:w="20" w:type="dxa"/>
              <w:bottom w:w="30" w:type="dxa"/>
              <w:right w:w="20" w:type="dxa"/>
            </w:tcMar>
            <w:vAlign w:val="bottom"/>
            <w:hideMark/>
          </w:tcPr>
          <w:p w:rsidR="00000000" w:rsidRDefault="001F1FC8">
            <w:pPr>
              <w:jc w:val="right"/>
              <w:rPr>
                <w:rFonts w:eastAsia="Times New Roman"/>
              </w:rPr>
            </w:pPr>
            <w:hyperlink w:anchor="iec242c2d4e1d466fad82d89d469f78fa_424" w:history="1">
              <w:r>
                <w:rPr>
                  <w:rStyle w:val="a3"/>
                  <w:rFonts w:ascii="Arial" w:eastAsia="Times New Roman" w:hAnsi="Arial" w:cs="Arial"/>
                  <w:sz w:val="20"/>
                  <w:szCs w:val="20"/>
                </w:rPr>
                <w:t>182</w:t>
              </w:r>
            </w:hyperlink>
          </w:p>
        </w:tc>
      </w:tr>
      <w:tr w:rsidR="00000000">
        <w:trPr>
          <w:divId w:val="1002471031"/>
        </w:trPr>
        <w:tc>
          <w:tcPr>
            <w:tcW w:w="0" w:type="auto"/>
            <w:gridSpan w:val="3"/>
            <w:tcMar>
              <w:top w:w="0" w:type="dxa"/>
              <w:left w:w="20" w:type="dxa"/>
              <w:bottom w:w="0" w:type="dxa"/>
              <w:right w:w="20" w:type="dxa"/>
            </w:tcMar>
            <w:vAlign w:val="center"/>
            <w:hideMark/>
          </w:tcPr>
          <w:p w:rsidR="00000000" w:rsidRDefault="001F1FC8">
            <w:pPr>
              <w:jc w:val="right"/>
              <w:rPr>
                <w:rFonts w:eastAsia="Times New Roman"/>
              </w:rPr>
            </w:pPr>
          </w:p>
        </w:tc>
        <w:tc>
          <w:tcPr>
            <w:tcW w:w="0" w:type="auto"/>
            <w:gridSpan w:val="3"/>
            <w:tcMar>
              <w:top w:w="30" w:type="dxa"/>
              <w:left w:w="20" w:type="dxa"/>
              <w:bottom w:w="30" w:type="dxa"/>
              <w:right w:w="20" w:type="dxa"/>
            </w:tcMar>
            <w:vAlign w:val="bottom"/>
            <w:hideMark/>
          </w:tcPr>
          <w:p w:rsidR="00000000" w:rsidRDefault="001F1FC8">
            <w:pPr>
              <w:divId w:val="1818105751"/>
              <w:rPr>
                <w:rFonts w:eastAsia="Times New Roman"/>
              </w:rPr>
            </w:pPr>
            <w:hyperlink w:anchor="iec242c2d4e1d466fad82d89d469f78fa_427" w:history="1">
              <w:r>
                <w:rPr>
                  <w:rStyle w:val="a3"/>
                  <w:rFonts w:ascii="Arial" w:eastAsia="Times New Roman" w:hAnsi="Arial" w:cs="Arial"/>
                  <w:sz w:val="20"/>
                  <w:szCs w:val="20"/>
                </w:rPr>
                <w:t>Exhibit Index</w:t>
              </w:r>
            </w:hyperlink>
          </w:p>
        </w:tc>
        <w:tc>
          <w:tcPr>
            <w:tcW w:w="0" w:type="auto"/>
            <w:gridSpan w:val="3"/>
            <w:tcMar>
              <w:top w:w="30" w:type="dxa"/>
              <w:left w:w="20" w:type="dxa"/>
              <w:bottom w:w="30" w:type="dxa"/>
              <w:right w:w="20" w:type="dxa"/>
            </w:tcMar>
            <w:vAlign w:val="bottom"/>
            <w:hideMark/>
          </w:tcPr>
          <w:p w:rsidR="00000000" w:rsidRDefault="001F1FC8">
            <w:pPr>
              <w:jc w:val="right"/>
              <w:rPr>
                <w:rFonts w:eastAsia="Times New Roman"/>
              </w:rPr>
            </w:pPr>
            <w:hyperlink w:anchor="iec242c2d4e1d466fad82d89d469f78fa_427" w:history="1">
              <w:r>
                <w:rPr>
                  <w:rStyle w:val="a3"/>
                  <w:rFonts w:ascii="Arial" w:eastAsia="Times New Roman" w:hAnsi="Arial" w:cs="Arial"/>
                  <w:sz w:val="20"/>
                  <w:szCs w:val="20"/>
                </w:rPr>
                <w:t>183</w:t>
              </w:r>
            </w:hyperlink>
          </w:p>
        </w:tc>
      </w:tr>
      <w:tr w:rsidR="00000000">
        <w:trPr>
          <w:divId w:val="1002471031"/>
        </w:trPr>
        <w:tc>
          <w:tcPr>
            <w:tcW w:w="0" w:type="auto"/>
            <w:gridSpan w:val="3"/>
            <w:tcMar>
              <w:top w:w="0" w:type="dxa"/>
              <w:left w:w="20" w:type="dxa"/>
              <w:bottom w:w="0" w:type="dxa"/>
              <w:right w:w="20" w:type="dxa"/>
            </w:tcMar>
            <w:vAlign w:val="center"/>
            <w:hideMark/>
          </w:tcPr>
          <w:p w:rsidR="00000000" w:rsidRDefault="001F1FC8">
            <w:pPr>
              <w:jc w:val="right"/>
              <w:rPr>
                <w:rFonts w:eastAsia="Times New Roman"/>
              </w:rPr>
            </w:pPr>
          </w:p>
        </w:tc>
        <w:tc>
          <w:tcPr>
            <w:tcW w:w="0" w:type="auto"/>
            <w:gridSpan w:val="3"/>
            <w:tcMar>
              <w:top w:w="30" w:type="dxa"/>
              <w:left w:w="20" w:type="dxa"/>
              <w:bottom w:w="30" w:type="dxa"/>
              <w:right w:w="20" w:type="dxa"/>
            </w:tcMar>
            <w:vAlign w:val="bottom"/>
            <w:hideMark/>
          </w:tcPr>
          <w:p w:rsidR="00000000" w:rsidRDefault="001F1FC8">
            <w:pPr>
              <w:divId w:val="253127637"/>
              <w:rPr>
                <w:rFonts w:eastAsia="Times New Roman"/>
              </w:rPr>
            </w:pPr>
            <w:r>
              <w:rPr>
                <w:rFonts w:ascii="Arial" w:eastAsia="Times New Roman" w:hAnsi="Arial" w:cs="Arial"/>
                <w:color w:val="0000FF"/>
                <w:sz w:val="20"/>
                <w:szCs w:val="20"/>
                <w:u w:val="single"/>
              </w:rPr>
              <w:t>Signatures</w:t>
            </w:r>
          </w:p>
        </w:tc>
        <w:tc>
          <w:tcPr>
            <w:tcW w:w="0" w:type="auto"/>
            <w:gridSpan w:val="3"/>
            <w:tcMar>
              <w:top w:w="30" w:type="dxa"/>
              <w:left w:w="20" w:type="dxa"/>
              <w:bottom w:w="30" w:type="dxa"/>
              <w:right w:w="20" w:type="dxa"/>
            </w:tcMar>
            <w:vAlign w:val="bottom"/>
            <w:hideMark/>
          </w:tcPr>
          <w:p w:rsidR="00000000" w:rsidRDefault="001F1FC8">
            <w:pPr>
              <w:jc w:val="right"/>
              <w:rPr>
                <w:rFonts w:eastAsia="Times New Roman"/>
              </w:rPr>
            </w:pPr>
            <w:hyperlink w:anchor="iec242c2d4e1d466fad82d89d469f78fa_430" w:history="1">
              <w:r>
                <w:rPr>
                  <w:rStyle w:val="a3"/>
                  <w:rFonts w:ascii="Arial" w:eastAsia="Times New Roman" w:hAnsi="Arial" w:cs="Arial"/>
                  <w:sz w:val="20"/>
                  <w:szCs w:val="20"/>
                </w:rPr>
                <w:t>189</w:t>
              </w:r>
            </w:hyperlink>
          </w:p>
        </w:tc>
      </w:tr>
    </w:tbl>
    <w:p w:rsidR="00000000" w:rsidRDefault="001F1FC8">
      <w:pPr>
        <w:jc w:val="center"/>
        <w:divId w:val="1289244260"/>
        <w:rPr>
          <w:rFonts w:eastAsia="Times New Roman"/>
        </w:rPr>
      </w:pPr>
      <w:r>
        <w:rPr>
          <w:rFonts w:ascii="Arial" w:eastAsia="Times New Roman" w:hAnsi="Arial" w:cs="Arial"/>
          <w:color w:val="000000"/>
          <w:sz w:val="20"/>
          <w:szCs w:val="20"/>
        </w:rPr>
        <w:t>3</w:t>
      </w:r>
    </w:p>
    <w:p w:rsidR="00000000" w:rsidRDefault="001F1FC8">
      <w:pPr>
        <w:rPr>
          <w:rFonts w:eastAsia="Times New Roman"/>
        </w:rPr>
      </w:pPr>
      <w:r>
        <w:rPr>
          <w:rFonts w:eastAsia="Times New Roman"/>
        </w:rPr>
        <w:pict>
          <v:rect id="_x0000_i1027" style="width:0;height:1.5pt" o:hralign="center" o:hrstd="t" o:hr="t" fillcolor="#a0a0a0" stroked="f"/>
        </w:pict>
      </w:r>
    </w:p>
    <w:p w:rsidR="00000000" w:rsidRDefault="001F1FC8">
      <w:pPr>
        <w:jc w:val="center"/>
        <w:divId w:val="17851377"/>
        <w:rPr>
          <w:rFonts w:eastAsia="Times New Roman"/>
        </w:rPr>
      </w:pPr>
    </w:p>
    <w:p w:rsidR="00000000" w:rsidRDefault="001F1FC8">
      <w:pPr>
        <w:divId w:val="767583942"/>
        <w:rPr>
          <w:rFonts w:eastAsia="Times New Roman"/>
        </w:rPr>
      </w:pPr>
      <w:r>
        <w:rPr>
          <w:rFonts w:ascii="Arial" w:eastAsia="Times New Roman" w:hAnsi="Arial" w:cs="Arial"/>
          <w:b/>
          <w:bCs/>
          <w:color w:val="000000"/>
          <w:sz w:val="28"/>
          <w:szCs w:val="28"/>
        </w:rPr>
        <w:t>GLOSSARY</w:t>
      </w:r>
    </w:p>
    <w:tbl>
      <w:tblPr>
        <w:tblW w:w="4991" w:type="pct"/>
        <w:tblCellMar>
          <w:top w:w="15" w:type="dxa"/>
          <w:left w:w="15" w:type="dxa"/>
          <w:bottom w:w="15" w:type="dxa"/>
          <w:right w:w="15" w:type="dxa"/>
        </w:tblCellMar>
        <w:tblLook w:val="04A0" w:firstRow="1" w:lastRow="0" w:firstColumn="1" w:lastColumn="0" w:noHBand="0" w:noVBand="1"/>
      </w:tblPr>
      <w:tblGrid>
        <w:gridCol w:w="60"/>
        <w:gridCol w:w="2454"/>
        <w:gridCol w:w="36"/>
        <w:gridCol w:w="36"/>
        <w:gridCol w:w="36"/>
        <w:gridCol w:w="36"/>
        <w:gridCol w:w="53"/>
        <w:gridCol w:w="5543"/>
        <w:gridCol w:w="37"/>
      </w:tblGrid>
      <w:tr w:rsidR="00000000">
        <w:trPr>
          <w:divId w:val="1168791035"/>
        </w:trPr>
        <w:tc>
          <w:tcPr>
            <w:tcW w:w="50" w:type="pct"/>
            <w:vAlign w:val="center"/>
            <w:hideMark/>
          </w:tcPr>
          <w:p w:rsidR="00000000" w:rsidRDefault="001F1FC8">
            <w:pPr>
              <w:rPr>
                <w:rFonts w:eastAsia="Times New Roman"/>
              </w:rPr>
            </w:pPr>
          </w:p>
        </w:tc>
        <w:tc>
          <w:tcPr>
            <w:tcW w:w="1493"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c>
          <w:tcPr>
            <w:tcW w:w="30"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c>
          <w:tcPr>
            <w:tcW w:w="50" w:type="pct"/>
            <w:vAlign w:val="center"/>
            <w:hideMark/>
          </w:tcPr>
          <w:p w:rsidR="00000000" w:rsidRDefault="001F1FC8">
            <w:pPr>
              <w:rPr>
                <w:rFonts w:eastAsia="Times New Roman"/>
                <w:sz w:val="20"/>
                <w:szCs w:val="20"/>
              </w:rPr>
            </w:pPr>
          </w:p>
        </w:tc>
        <w:tc>
          <w:tcPr>
            <w:tcW w:w="3355"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r>
      <w:tr w:rsidR="00000000">
        <w:trPr>
          <w:divId w:val="1168791035"/>
        </w:trPr>
        <w:tc>
          <w:tcPr>
            <w:tcW w:w="0" w:type="auto"/>
            <w:gridSpan w:val="3"/>
            <w:tcMar>
              <w:top w:w="30" w:type="dxa"/>
              <w:left w:w="20" w:type="dxa"/>
              <w:bottom w:w="30" w:type="dxa"/>
              <w:right w:w="20" w:type="dxa"/>
            </w:tcMar>
            <w:hideMark/>
          </w:tcPr>
          <w:p w:rsidR="00000000" w:rsidRDefault="001F1FC8">
            <w:pPr>
              <w:rPr>
                <w:rFonts w:eastAsia="Times New Roman"/>
              </w:rPr>
            </w:pPr>
            <w:r>
              <w:rPr>
                <w:rFonts w:ascii="Arial" w:eastAsia="Times New Roman" w:hAnsi="Arial" w:cs="Arial"/>
                <w:color w:val="000000"/>
                <w:sz w:val="20"/>
                <w:szCs w:val="20"/>
              </w:rPr>
              <w:t>AFUDC</w:t>
            </w:r>
          </w:p>
        </w:tc>
        <w:tc>
          <w:tcPr>
            <w:tcW w:w="0" w:type="auto"/>
            <w:gridSpan w:val="3"/>
            <w:tcMar>
              <w:top w:w="0" w:type="dxa"/>
              <w:left w:w="20" w:type="dxa"/>
              <w:bottom w:w="0" w:type="dxa"/>
              <w:right w:w="20" w:type="dxa"/>
            </w:tcMar>
            <w:vAlign w:val="center"/>
            <w:hideMark/>
          </w:tcPr>
          <w:p w:rsidR="00000000" w:rsidRDefault="001F1FC8">
            <w:pPr>
              <w:rPr>
                <w:rFonts w:eastAsia="Times New Roman"/>
              </w:rPr>
            </w:pPr>
          </w:p>
        </w:tc>
        <w:tc>
          <w:tcPr>
            <w:tcW w:w="0" w:type="auto"/>
            <w:gridSpan w:val="3"/>
            <w:tcMar>
              <w:top w:w="30" w:type="dxa"/>
              <w:left w:w="20" w:type="dxa"/>
              <w:bottom w:w="30" w:type="dxa"/>
              <w:right w:w="20" w:type="dxa"/>
            </w:tcMar>
            <w:hideMark/>
          </w:tcPr>
          <w:p w:rsidR="00000000" w:rsidRDefault="001F1FC8">
            <w:pPr>
              <w:rPr>
                <w:rFonts w:eastAsia="Times New Roman"/>
              </w:rPr>
            </w:pPr>
            <w:r>
              <w:rPr>
                <w:rFonts w:ascii="Arial" w:eastAsia="Times New Roman" w:hAnsi="Arial" w:cs="Arial"/>
                <w:color w:val="000000"/>
                <w:sz w:val="20"/>
                <w:szCs w:val="20"/>
              </w:rPr>
              <w:t>Allowance for funds used during construction</w:t>
            </w:r>
          </w:p>
        </w:tc>
      </w:tr>
      <w:tr w:rsidR="00000000">
        <w:trPr>
          <w:divId w:val="1168791035"/>
        </w:trPr>
        <w:tc>
          <w:tcPr>
            <w:tcW w:w="0" w:type="auto"/>
            <w:gridSpan w:val="3"/>
            <w:tcMar>
              <w:top w:w="30" w:type="dxa"/>
              <w:left w:w="20" w:type="dxa"/>
              <w:bottom w:w="30" w:type="dxa"/>
              <w:right w:w="20" w:type="dxa"/>
            </w:tcMar>
            <w:hideMark/>
          </w:tcPr>
          <w:p w:rsidR="00000000" w:rsidRDefault="001F1FC8">
            <w:pPr>
              <w:rPr>
                <w:rFonts w:eastAsia="Times New Roman"/>
              </w:rPr>
            </w:pPr>
            <w:r>
              <w:rPr>
                <w:rFonts w:ascii="Arial" w:eastAsia="Times New Roman" w:hAnsi="Arial" w:cs="Arial"/>
                <w:color w:val="000000"/>
                <w:sz w:val="20"/>
                <w:szCs w:val="20"/>
              </w:rPr>
              <w:t>AOCI</w:t>
            </w:r>
          </w:p>
        </w:tc>
        <w:tc>
          <w:tcPr>
            <w:tcW w:w="0" w:type="auto"/>
            <w:gridSpan w:val="3"/>
            <w:tcMar>
              <w:top w:w="0" w:type="dxa"/>
              <w:left w:w="20" w:type="dxa"/>
              <w:bottom w:w="0" w:type="dxa"/>
              <w:right w:w="20" w:type="dxa"/>
            </w:tcMar>
            <w:vAlign w:val="center"/>
            <w:hideMark/>
          </w:tcPr>
          <w:p w:rsidR="00000000" w:rsidRDefault="001F1FC8">
            <w:pPr>
              <w:rPr>
                <w:rFonts w:eastAsia="Times New Roman"/>
              </w:rPr>
            </w:pPr>
          </w:p>
        </w:tc>
        <w:tc>
          <w:tcPr>
            <w:tcW w:w="0" w:type="auto"/>
            <w:gridSpan w:val="3"/>
            <w:tcMar>
              <w:top w:w="30" w:type="dxa"/>
              <w:left w:w="20" w:type="dxa"/>
              <w:bottom w:w="30" w:type="dxa"/>
              <w:right w:w="20" w:type="dxa"/>
            </w:tcMar>
            <w:hideMark/>
          </w:tcPr>
          <w:p w:rsidR="00000000" w:rsidRDefault="001F1FC8">
            <w:pPr>
              <w:rPr>
                <w:rFonts w:eastAsia="Times New Roman"/>
              </w:rPr>
            </w:pPr>
            <w:r>
              <w:rPr>
                <w:rFonts w:ascii="Arial" w:eastAsia="Times New Roman" w:hAnsi="Arial" w:cs="Arial"/>
                <w:color w:val="000000"/>
                <w:sz w:val="20"/>
                <w:szCs w:val="20"/>
              </w:rPr>
              <w:t>Accumulated other comprehensive income/(loss)</w:t>
            </w:r>
          </w:p>
        </w:tc>
      </w:tr>
      <w:tr w:rsidR="00000000">
        <w:trPr>
          <w:divId w:val="1168791035"/>
        </w:trPr>
        <w:tc>
          <w:tcPr>
            <w:tcW w:w="0" w:type="auto"/>
            <w:gridSpan w:val="3"/>
            <w:tcMar>
              <w:top w:w="30" w:type="dxa"/>
              <w:left w:w="20" w:type="dxa"/>
              <w:bottom w:w="30" w:type="dxa"/>
              <w:right w:w="20" w:type="dxa"/>
            </w:tcMar>
            <w:hideMark/>
          </w:tcPr>
          <w:p w:rsidR="00000000" w:rsidRDefault="001F1FC8">
            <w:pPr>
              <w:rPr>
                <w:rFonts w:eastAsia="Times New Roman"/>
              </w:rPr>
            </w:pPr>
            <w:r>
              <w:rPr>
                <w:rFonts w:ascii="Arial" w:eastAsia="Times New Roman" w:hAnsi="Arial" w:cs="Arial"/>
                <w:color w:val="000000"/>
                <w:sz w:val="20"/>
                <w:szCs w:val="20"/>
              </w:rPr>
              <w:t>ARO</w:t>
            </w:r>
          </w:p>
        </w:tc>
        <w:tc>
          <w:tcPr>
            <w:tcW w:w="0" w:type="auto"/>
            <w:gridSpan w:val="3"/>
            <w:tcMar>
              <w:top w:w="0" w:type="dxa"/>
              <w:left w:w="20" w:type="dxa"/>
              <w:bottom w:w="0" w:type="dxa"/>
              <w:right w:w="20" w:type="dxa"/>
            </w:tcMar>
            <w:vAlign w:val="center"/>
            <w:hideMark/>
          </w:tcPr>
          <w:p w:rsidR="00000000" w:rsidRDefault="001F1FC8">
            <w:pPr>
              <w:rPr>
                <w:rFonts w:eastAsia="Times New Roman"/>
              </w:rPr>
            </w:pPr>
          </w:p>
        </w:tc>
        <w:tc>
          <w:tcPr>
            <w:tcW w:w="0" w:type="auto"/>
            <w:gridSpan w:val="3"/>
            <w:tcMar>
              <w:top w:w="30" w:type="dxa"/>
              <w:left w:w="20" w:type="dxa"/>
              <w:bottom w:w="30" w:type="dxa"/>
              <w:right w:w="20" w:type="dxa"/>
            </w:tcMar>
            <w:hideMark/>
          </w:tcPr>
          <w:p w:rsidR="00000000" w:rsidRDefault="001F1FC8">
            <w:pPr>
              <w:rPr>
                <w:rFonts w:eastAsia="Times New Roman"/>
              </w:rPr>
            </w:pPr>
            <w:r>
              <w:rPr>
                <w:rFonts w:ascii="Arial" w:eastAsia="Times New Roman" w:hAnsi="Arial" w:cs="Arial"/>
                <w:color w:val="000000"/>
                <w:sz w:val="20"/>
                <w:szCs w:val="20"/>
              </w:rPr>
              <w:t>Asset retirement obligations</w:t>
            </w:r>
          </w:p>
        </w:tc>
      </w:tr>
      <w:tr w:rsidR="00000000">
        <w:trPr>
          <w:divId w:val="1168791035"/>
        </w:trPr>
        <w:tc>
          <w:tcPr>
            <w:tcW w:w="0" w:type="auto"/>
            <w:gridSpan w:val="3"/>
            <w:tcMar>
              <w:top w:w="30" w:type="dxa"/>
              <w:left w:w="20" w:type="dxa"/>
              <w:bottom w:w="30" w:type="dxa"/>
              <w:right w:w="20" w:type="dxa"/>
            </w:tcMar>
            <w:hideMark/>
          </w:tcPr>
          <w:p w:rsidR="00000000" w:rsidRDefault="001F1FC8">
            <w:pPr>
              <w:rPr>
                <w:rFonts w:eastAsia="Times New Roman"/>
              </w:rPr>
            </w:pPr>
            <w:r>
              <w:rPr>
                <w:rFonts w:ascii="Arial" w:eastAsia="Times New Roman" w:hAnsi="Arial" w:cs="Arial"/>
                <w:color w:val="000000"/>
                <w:sz w:val="20"/>
                <w:szCs w:val="20"/>
              </w:rPr>
              <w:t>ASC</w:t>
            </w:r>
          </w:p>
        </w:tc>
        <w:tc>
          <w:tcPr>
            <w:tcW w:w="0" w:type="auto"/>
            <w:gridSpan w:val="3"/>
            <w:tcMar>
              <w:top w:w="0" w:type="dxa"/>
              <w:left w:w="20" w:type="dxa"/>
              <w:bottom w:w="0" w:type="dxa"/>
              <w:right w:w="20" w:type="dxa"/>
            </w:tcMar>
            <w:vAlign w:val="center"/>
            <w:hideMark/>
          </w:tcPr>
          <w:p w:rsidR="00000000" w:rsidRDefault="001F1FC8">
            <w:pPr>
              <w:rPr>
                <w:rFonts w:eastAsia="Times New Roman"/>
              </w:rPr>
            </w:pPr>
          </w:p>
        </w:tc>
        <w:tc>
          <w:tcPr>
            <w:tcW w:w="0" w:type="auto"/>
            <w:gridSpan w:val="3"/>
            <w:tcMar>
              <w:top w:w="30" w:type="dxa"/>
              <w:left w:w="20" w:type="dxa"/>
              <w:bottom w:w="30" w:type="dxa"/>
              <w:right w:w="20" w:type="dxa"/>
            </w:tcMar>
            <w:hideMark/>
          </w:tcPr>
          <w:p w:rsidR="00000000" w:rsidRDefault="001F1FC8">
            <w:pPr>
              <w:rPr>
                <w:rFonts w:eastAsia="Times New Roman"/>
              </w:rPr>
            </w:pPr>
            <w:r>
              <w:rPr>
                <w:rFonts w:ascii="Arial" w:eastAsia="Times New Roman" w:hAnsi="Arial" w:cs="Arial"/>
                <w:color w:val="000000"/>
                <w:sz w:val="20"/>
                <w:szCs w:val="20"/>
              </w:rPr>
              <w:t>Accounting Standards Codification</w:t>
            </w:r>
          </w:p>
        </w:tc>
      </w:tr>
      <w:tr w:rsidR="00000000">
        <w:trPr>
          <w:divId w:val="1168791035"/>
        </w:trPr>
        <w:tc>
          <w:tcPr>
            <w:tcW w:w="0" w:type="auto"/>
            <w:gridSpan w:val="3"/>
            <w:tcMar>
              <w:top w:w="30" w:type="dxa"/>
              <w:left w:w="20" w:type="dxa"/>
              <w:bottom w:w="30" w:type="dxa"/>
              <w:right w:w="20" w:type="dxa"/>
            </w:tcMar>
            <w:hideMark/>
          </w:tcPr>
          <w:p w:rsidR="00000000" w:rsidRDefault="001F1FC8">
            <w:pPr>
              <w:rPr>
                <w:rFonts w:eastAsia="Times New Roman"/>
              </w:rPr>
            </w:pPr>
            <w:r>
              <w:rPr>
                <w:rFonts w:ascii="Arial" w:eastAsia="Times New Roman" w:hAnsi="Arial" w:cs="Arial"/>
                <w:color w:val="000000"/>
                <w:sz w:val="20"/>
                <w:szCs w:val="20"/>
              </w:rPr>
              <w:t>ASU</w:t>
            </w:r>
          </w:p>
        </w:tc>
        <w:tc>
          <w:tcPr>
            <w:tcW w:w="0" w:type="auto"/>
            <w:gridSpan w:val="3"/>
            <w:tcMar>
              <w:top w:w="0" w:type="dxa"/>
              <w:left w:w="20" w:type="dxa"/>
              <w:bottom w:w="0" w:type="dxa"/>
              <w:right w:w="20" w:type="dxa"/>
            </w:tcMar>
            <w:vAlign w:val="center"/>
            <w:hideMark/>
          </w:tcPr>
          <w:p w:rsidR="00000000" w:rsidRDefault="001F1FC8">
            <w:pPr>
              <w:rPr>
                <w:rFonts w:eastAsia="Times New Roman"/>
              </w:rPr>
            </w:pPr>
          </w:p>
        </w:tc>
        <w:tc>
          <w:tcPr>
            <w:tcW w:w="0" w:type="auto"/>
            <w:gridSpan w:val="3"/>
            <w:tcMar>
              <w:top w:w="30" w:type="dxa"/>
              <w:left w:w="20" w:type="dxa"/>
              <w:bottom w:w="30" w:type="dxa"/>
              <w:right w:w="20" w:type="dxa"/>
            </w:tcMar>
            <w:hideMark/>
          </w:tcPr>
          <w:p w:rsidR="00000000" w:rsidRDefault="001F1FC8">
            <w:pPr>
              <w:rPr>
                <w:rFonts w:eastAsia="Times New Roman"/>
              </w:rPr>
            </w:pPr>
            <w:r>
              <w:rPr>
                <w:rFonts w:ascii="Arial" w:eastAsia="Times New Roman" w:hAnsi="Arial" w:cs="Arial"/>
                <w:color w:val="000000"/>
                <w:sz w:val="20"/>
                <w:szCs w:val="20"/>
              </w:rPr>
              <w:t>Accounting Standards Update</w:t>
            </w:r>
          </w:p>
        </w:tc>
      </w:tr>
      <w:tr w:rsidR="00000000">
        <w:trPr>
          <w:divId w:val="1168791035"/>
        </w:trPr>
        <w:tc>
          <w:tcPr>
            <w:tcW w:w="0" w:type="auto"/>
            <w:gridSpan w:val="3"/>
            <w:tcMar>
              <w:top w:w="30" w:type="dxa"/>
              <w:left w:w="20" w:type="dxa"/>
              <w:bottom w:w="30" w:type="dxa"/>
              <w:right w:w="20" w:type="dxa"/>
            </w:tcMar>
            <w:hideMark/>
          </w:tcPr>
          <w:p w:rsidR="00000000" w:rsidRDefault="001F1FC8">
            <w:pPr>
              <w:rPr>
                <w:rFonts w:eastAsia="Times New Roman"/>
              </w:rPr>
            </w:pPr>
            <w:r>
              <w:rPr>
                <w:rFonts w:ascii="Arial" w:eastAsia="Times New Roman" w:hAnsi="Arial" w:cs="Arial"/>
                <w:color w:val="000000"/>
                <w:sz w:val="20"/>
                <w:szCs w:val="20"/>
              </w:rPr>
              <w:t>BC</w:t>
            </w:r>
          </w:p>
        </w:tc>
        <w:tc>
          <w:tcPr>
            <w:tcW w:w="0" w:type="auto"/>
            <w:gridSpan w:val="3"/>
            <w:tcMar>
              <w:top w:w="0" w:type="dxa"/>
              <w:left w:w="20" w:type="dxa"/>
              <w:bottom w:w="0" w:type="dxa"/>
              <w:right w:w="20" w:type="dxa"/>
            </w:tcMar>
            <w:vAlign w:val="center"/>
            <w:hideMark/>
          </w:tcPr>
          <w:p w:rsidR="00000000" w:rsidRDefault="001F1FC8">
            <w:pPr>
              <w:rPr>
                <w:rFonts w:eastAsia="Times New Roman"/>
              </w:rPr>
            </w:pPr>
          </w:p>
        </w:tc>
        <w:tc>
          <w:tcPr>
            <w:tcW w:w="0" w:type="auto"/>
            <w:gridSpan w:val="3"/>
            <w:tcMar>
              <w:top w:w="30" w:type="dxa"/>
              <w:left w:w="20" w:type="dxa"/>
              <w:bottom w:w="30" w:type="dxa"/>
              <w:right w:w="20" w:type="dxa"/>
            </w:tcMar>
            <w:hideMark/>
          </w:tcPr>
          <w:p w:rsidR="00000000" w:rsidRDefault="001F1FC8">
            <w:pPr>
              <w:rPr>
                <w:rFonts w:eastAsia="Times New Roman"/>
              </w:rPr>
            </w:pPr>
            <w:r>
              <w:rPr>
                <w:rFonts w:ascii="Arial" w:eastAsia="Times New Roman" w:hAnsi="Arial" w:cs="Arial"/>
                <w:color w:val="000000"/>
                <w:sz w:val="20"/>
                <w:szCs w:val="20"/>
              </w:rPr>
              <w:t>British Columbia</w:t>
            </w:r>
          </w:p>
        </w:tc>
      </w:tr>
      <w:tr w:rsidR="00000000">
        <w:trPr>
          <w:divId w:val="1168791035"/>
        </w:trPr>
        <w:tc>
          <w:tcPr>
            <w:tcW w:w="0" w:type="auto"/>
            <w:gridSpan w:val="3"/>
            <w:tcMar>
              <w:top w:w="30" w:type="dxa"/>
              <w:left w:w="20" w:type="dxa"/>
              <w:bottom w:w="30" w:type="dxa"/>
              <w:right w:w="20" w:type="dxa"/>
            </w:tcMar>
            <w:hideMark/>
          </w:tcPr>
          <w:p w:rsidR="00000000" w:rsidRDefault="001F1FC8">
            <w:pPr>
              <w:rPr>
                <w:rFonts w:eastAsia="Times New Roman"/>
              </w:rPr>
            </w:pPr>
            <w:r>
              <w:rPr>
                <w:rFonts w:ascii="Arial" w:eastAsia="Times New Roman" w:hAnsi="Arial" w:cs="Arial"/>
                <w:color w:val="000000"/>
                <w:sz w:val="20"/>
                <w:szCs w:val="20"/>
              </w:rPr>
              <w:t>bcf/d</w:t>
            </w:r>
          </w:p>
        </w:tc>
        <w:tc>
          <w:tcPr>
            <w:tcW w:w="0" w:type="auto"/>
            <w:gridSpan w:val="3"/>
            <w:tcMar>
              <w:top w:w="30" w:type="dxa"/>
              <w:left w:w="20" w:type="dxa"/>
              <w:bottom w:w="30" w:type="dxa"/>
              <w:right w:w="20" w:type="dxa"/>
            </w:tcMar>
            <w:hideMark/>
          </w:tcPr>
          <w:p w:rsidR="00000000" w:rsidRDefault="001F1FC8">
            <w:pPr>
              <w:rPr>
                <w:rFonts w:eastAsia="Times New Roman"/>
              </w:rPr>
            </w:pPr>
            <w:r>
              <w:rPr>
                <w:rFonts w:ascii="Arial" w:eastAsia="Times New Roman" w:hAnsi="Arial" w:cs="Arial"/>
                <w:color w:val="000000"/>
                <w:sz w:val="2"/>
                <w:szCs w:val="2"/>
              </w:rPr>
              <w:t> </w:t>
            </w:r>
          </w:p>
        </w:tc>
        <w:tc>
          <w:tcPr>
            <w:tcW w:w="0" w:type="auto"/>
            <w:gridSpan w:val="3"/>
            <w:tcMar>
              <w:top w:w="30" w:type="dxa"/>
              <w:left w:w="20" w:type="dxa"/>
              <w:bottom w:w="30" w:type="dxa"/>
              <w:right w:w="20" w:type="dxa"/>
            </w:tcMar>
            <w:hideMark/>
          </w:tcPr>
          <w:p w:rsidR="00000000" w:rsidRDefault="001F1FC8">
            <w:pPr>
              <w:rPr>
                <w:rFonts w:eastAsia="Times New Roman"/>
              </w:rPr>
            </w:pPr>
            <w:r>
              <w:rPr>
                <w:rFonts w:ascii="Arial" w:eastAsia="Times New Roman" w:hAnsi="Arial" w:cs="Arial"/>
                <w:color w:val="000000"/>
                <w:sz w:val="20"/>
                <w:szCs w:val="20"/>
              </w:rPr>
              <w:t>Billion cubic feet per day</w:t>
            </w:r>
          </w:p>
        </w:tc>
      </w:tr>
      <w:tr w:rsidR="00000000">
        <w:trPr>
          <w:divId w:val="1168791035"/>
        </w:trPr>
        <w:tc>
          <w:tcPr>
            <w:tcW w:w="0" w:type="auto"/>
            <w:gridSpan w:val="3"/>
            <w:tcMar>
              <w:top w:w="30" w:type="dxa"/>
              <w:left w:w="20" w:type="dxa"/>
              <w:bottom w:w="30" w:type="dxa"/>
              <w:right w:w="20" w:type="dxa"/>
            </w:tcMar>
            <w:hideMark/>
          </w:tcPr>
          <w:p w:rsidR="00000000" w:rsidRDefault="001F1FC8">
            <w:pPr>
              <w:rPr>
                <w:rFonts w:eastAsia="Times New Roman"/>
              </w:rPr>
            </w:pPr>
            <w:r>
              <w:rPr>
                <w:rFonts w:ascii="Arial" w:eastAsia="Times New Roman" w:hAnsi="Arial" w:cs="Arial"/>
                <w:color w:val="000000"/>
                <w:sz w:val="20"/>
                <w:szCs w:val="20"/>
              </w:rPr>
              <w:t>bpd</w:t>
            </w:r>
          </w:p>
        </w:tc>
        <w:tc>
          <w:tcPr>
            <w:tcW w:w="0" w:type="auto"/>
            <w:gridSpan w:val="3"/>
            <w:tcMar>
              <w:top w:w="30" w:type="dxa"/>
              <w:left w:w="20" w:type="dxa"/>
              <w:bottom w:w="30" w:type="dxa"/>
              <w:right w:w="20" w:type="dxa"/>
            </w:tcMar>
            <w:hideMark/>
          </w:tcPr>
          <w:p w:rsidR="00000000" w:rsidRDefault="001F1FC8">
            <w:pPr>
              <w:rPr>
                <w:rFonts w:eastAsia="Times New Roman"/>
              </w:rPr>
            </w:pPr>
            <w:r>
              <w:rPr>
                <w:rFonts w:ascii="Arial" w:eastAsia="Times New Roman" w:hAnsi="Arial" w:cs="Arial"/>
                <w:color w:val="000000"/>
                <w:sz w:val="2"/>
                <w:szCs w:val="2"/>
              </w:rPr>
              <w:t> </w:t>
            </w:r>
          </w:p>
        </w:tc>
        <w:tc>
          <w:tcPr>
            <w:tcW w:w="0" w:type="auto"/>
            <w:gridSpan w:val="3"/>
            <w:tcMar>
              <w:top w:w="30" w:type="dxa"/>
              <w:left w:w="20" w:type="dxa"/>
              <w:bottom w:w="30" w:type="dxa"/>
              <w:right w:w="20" w:type="dxa"/>
            </w:tcMar>
            <w:hideMark/>
          </w:tcPr>
          <w:p w:rsidR="00000000" w:rsidRDefault="001F1FC8">
            <w:pPr>
              <w:rPr>
                <w:rFonts w:eastAsia="Times New Roman"/>
              </w:rPr>
            </w:pPr>
            <w:r>
              <w:rPr>
                <w:rFonts w:ascii="Arial" w:eastAsia="Times New Roman" w:hAnsi="Arial" w:cs="Arial"/>
                <w:color w:val="000000"/>
                <w:sz w:val="20"/>
                <w:szCs w:val="20"/>
              </w:rPr>
              <w:t>Barrels per day</w:t>
            </w:r>
          </w:p>
        </w:tc>
      </w:tr>
      <w:tr w:rsidR="00000000">
        <w:trPr>
          <w:divId w:val="1168791035"/>
        </w:trPr>
        <w:tc>
          <w:tcPr>
            <w:tcW w:w="0" w:type="auto"/>
            <w:gridSpan w:val="3"/>
            <w:vAlign w:val="center"/>
            <w:hideMark/>
          </w:tcPr>
          <w:p w:rsidR="00000000" w:rsidRDefault="001F1FC8">
            <w:pPr>
              <w:rPr>
                <w:rFonts w:eastAsia="Times New Roman"/>
              </w:rPr>
            </w:pPr>
          </w:p>
        </w:tc>
        <w:tc>
          <w:tcPr>
            <w:tcW w:w="0" w:type="auto"/>
            <w:gridSpan w:val="3"/>
            <w:vAlign w:val="center"/>
            <w:hideMark/>
          </w:tcPr>
          <w:p w:rsidR="00000000" w:rsidRDefault="001F1FC8">
            <w:pPr>
              <w:rPr>
                <w:rFonts w:eastAsia="Times New Roman"/>
                <w:sz w:val="20"/>
                <w:szCs w:val="20"/>
              </w:rPr>
            </w:pPr>
          </w:p>
        </w:tc>
        <w:tc>
          <w:tcPr>
            <w:tcW w:w="0" w:type="auto"/>
            <w:gridSpan w:val="3"/>
            <w:vAlign w:val="center"/>
            <w:hideMark/>
          </w:tcPr>
          <w:p w:rsidR="00000000" w:rsidRDefault="001F1FC8">
            <w:pPr>
              <w:rPr>
                <w:rFonts w:eastAsia="Times New Roman"/>
                <w:sz w:val="20"/>
                <w:szCs w:val="20"/>
              </w:rPr>
            </w:pPr>
          </w:p>
        </w:tc>
      </w:tr>
      <w:tr w:rsidR="00000000">
        <w:trPr>
          <w:divId w:val="1168791035"/>
        </w:trPr>
        <w:tc>
          <w:tcPr>
            <w:tcW w:w="0" w:type="auto"/>
            <w:gridSpan w:val="3"/>
            <w:vAlign w:val="center"/>
            <w:hideMark/>
          </w:tcPr>
          <w:p w:rsidR="00000000" w:rsidRDefault="001F1FC8">
            <w:pPr>
              <w:rPr>
                <w:rFonts w:eastAsia="Times New Roman"/>
                <w:sz w:val="20"/>
                <w:szCs w:val="20"/>
              </w:rPr>
            </w:pPr>
          </w:p>
        </w:tc>
        <w:tc>
          <w:tcPr>
            <w:tcW w:w="0" w:type="auto"/>
            <w:gridSpan w:val="3"/>
            <w:vAlign w:val="center"/>
            <w:hideMark/>
          </w:tcPr>
          <w:p w:rsidR="00000000" w:rsidRDefault="001F1FC8">
            <w:pPr>
              <w:rPr>
                <w:rFonts w:eastAsia="Times New Roman"/>
                <w:sz w:val="20"/>
                <w:szCs w:val="20"/>
              </w:rPr>
            </w:pPr>
          </w:p>
        </w:tc>
        <w:tc>
          <w:tcPr>
            <w:tcW w:w="0" w:type="auto"/>
            <w:gridSpan w:val="3"/>
            <w:vAlign w:val="center"/>
            <w:hideMark/>
          </w:tcPr>
          <w:p w:rsidR="00000000" w:rsidRDefault="001F1FC8">
            <w:pPr>
              <w:rPr>
                <w:rFonts w:eastAsia="Times New Roman"/>
                <w:sz w:val="20"/>
                <w:szCs w:val="20"/>
              </w:rPr>
            </w:pPr>
          </w:p>
        </w:tc>
      </w:tr>
      <w:tr w:rsidR="00000000">
        <w:trPr>
          <w:divId w:val="1168791035"/>
        </w:trPr>
        <w:tc>
          <w:tcPr>
            <w:tcW w:w="0" w:type="auto"/>
            <w:gridSpan w:val="3"/>
            <w:tcMar>
              <w:top w:w="30" w:type="dxa"/>
              <w:left w:w="20" w:type="dxa"/>
              <w:bottom w:w="30" w:type="dxa"/>
              <w:right w:w="20" w:type="dxa"/>
            </w:tcMar>
            <w:hideMark/>
          </w:tcPr>
          <w:p w:rsidR="00000000" w:rsidRDefault="001F1FC8">
            <w:pPr>
              <w:rPr>
                <w:rFonts w:eastAsia="Times New Roman"/>
              </w:rPr>
            </w:pPr>
            <w:r>
              <w:rPr>
                <w:rFonts w:ascii="Arial" w:eastAsia="Times New Roman" w:hAnsi="Arial" w:cs="Arial"/>
                <w:color w:val="000000"/>
                <w:sz w:val="20"/>
                <w:szCs w:val="20"/>
              </w:rPr>
              <w:t>CCS</w:t>
            </w:r>
          </w:p>
        </w:tc>
        <w:tc>
          <w:tcPr>
            <w:tcW w:w="0" w:type="auto"/>
            <w:gridSpan w:val="3"/>
            <w:tcMar>
              <w:top w:w="0" w:type="dxa"/>
              <w:left w:w="20" w:type="dxa"/>
              <w:bottom w:w="0" w:type="dxa"/>
              <w:right w:w="20" w:type="dxa"/>
            </w:tcMar>
            <w:vAlign w:val="center"/>
            <w:hideMark/>
          </w:tcPr>
          <w:p w:rsidR="00000000" w:rsidRDefault="001F1FC8">
            <w:pPr>
              <w:rPr>
                <w:rFonts w:eastAsia="Times New Roman"/>
              </w:rPr>
            </w:pPr>
          </w:p>
        </w:tc>
        <w:tc>
          <w:tcPr>
            <w:tcW w:w="0" w:type="auto"/>
            <w:gridSpan w:val="3"/>
            <w:tcMar>
              <w:top w:w="30" w:type="dxa"/>
              <w:left w:w="20" w:type="dxa"/>
              <w:bottom w:w="30" w:type="dxa"/>
              <w:right w:w="20" w:type="dxa"/>
            </w:tcMar>
            <w:hideMark/>
          </w:tcPr>
          <w:p w:rsidR="00000000" w:rsidRDefault="001F1FC8">
            <w:pPr>
              <w:rPr>
                <w:rFonts w:eastAsia="Times New Roman"/>
              </w:rPr>
            </w:pPr>
            <w:r>
              <w:rPr>
                <w:rFonts w:ascii="Arial" w:eastAsia="Times New Roman" w:hAnsi="Arial" w:cs="Arial"/>
                <w:color w:val="000000"/>
                <w:sz w:val="20"/>
                <w:szCs w:val="20"/>
              </w:rPr>
              <w:t>Carbon capture and storage</w:t>
            </w:r>
          </w:p>
        </w:tc>
      </w:tr>
      <w:tr w:rsidR="00000000">
        <w:trPr>
          <w:divId w:val="1168791035"/>
        </w:trPr>
        <w:tc>
          <w:tcPr>
            <w:tcW w:w="0" w:type="auto"/>
            <w:gridSpan w:val="3"/>
            <w:tcMar>
              <w:top w:w="30" w:type="dxa"/>
              <w:left w:w="20" w:type="dxa"/>
              <w:bottom w:w="30" w:type="dxa"/>
              <w:right w:w="20" w:type="dxa"/>
            </w:tcMar>
            <w:hideMark/>
          </w:tcPr>
          <w:p w:rsidR="00000000" w:rsidRDefault="001F1FC8">
            <w:pPr>
              <w:rPr>
                <w:rFonts w:eastAsia="Times New Roman"/>
              </w:rPr>
            </w:pPr>
            <w:r>
              <w:rPr>
                <w:rFonts w:ascii="Arial" w:eastAsia="Times New Roman" w:hAnsi="Arial" w:cs="Arial"/>
                <w:color w:val="000000"/>
                <w:sz w:val="20"/>
                <w:szCs w:val="20"/>
              </w:rPr>
              <w:t>CER</w:t>
            </w:r>
          </w:p>
        </w:tc>
        <w:tc>
          <w:tcPr>
            <w:tcW w:w="0" w:type="auto"/>
            <w:gridSpan w:val="3"/>
            <w:tcMar>
              <w:top w:w="0" w:type="dxa"/>
              <w:left w:w="20" w:type="dxa"/>
              <w:bottom w:w="0" w:type="dxa"/>
              <w:right w:w="20" w:type="dxa"/>
            </w:tcMar>
            <w:vAlign w:val="center"/>
            <w:hideMark/>
          </w:tcPr>
          <w:p w:rsidR="00000000" w:rsidRDefault="001F1FC8">
            <w:pPr>
              <w:rPr>
                <w:rFonts w:eastAsia="Times New Roman"/>
              </w:rPr>
            </w:pPr>
          </w:p>
        </w:tc>
        <w:tc>
          <w:tcPr>
            <w:tcW w:w="0" w:type="auto"/>
            <w:gridSpan w:val="3"/>
            <w:tcMar>
              <w:top w:w="30" w:type="dxa"/>
              <w:left w:w="20" w:type="dxa"/>
              <w:bottom w:w="30" w:type="dxa"/>
              <w:right w:w="20" w:type="dxa"/>
            </w:tcMar>
            <w:hideMark/>
          </w:tcPr>
          <w:p w:rsidR="00000000" w:rsidRDefault="001F1FC8">
            <w:pPr>
              <w:rPr>
                <w:rFonts w:eastAsia="Times New Roman"/>
              </w:rPr>
            </w:pPr>
            <w:r>
              <w:rPr>
                <w:rFonts w:ascii="Arial" w:eastAsia="Times New Roman" w:hAnsi="Arial" w:cs="Arial"/>
                <w:color w:val="000000"/>
                <w:sz w:val="20"/>
                <w:szCs w:val="20"/>
              </w:rPr>
              <w:t>Canada Energy Regulator, created by the Canadian Energy Regulator Act which also repealed the National Energy Board Act, on August 28, 2019</w:t>
            </w:r>
          </w:p>
        </w:tc>
      </w:tr>
      <w:tr w:rsidR="00000000">
        <w:trPr>
          <w:divId w:val="1168791035"/>
        </w:trPr>
        <w:tc>
          <w:tcPr>
            <w:tcW w:w="0" w:type="auto"/>
            <w:gridSpan w:val="3"/>
            <w:tcMar>
              <w:top w:w="30" w:type="dxa"/>
              <w:left w:w="20" w:type="dxa"/>
              <w:bottom w:w="30" w:type="dxa"/>
              <w:right w:w="20" w:type="dxa"/>
            </w:tcMar>
            <w:hideMark/>
          </w:tcPr>
          <w:p w:rsidR="00000000" w:rsidRDefault="001F1FC8">
            <w:pPr>
              <w:rPr>
                <w:rFonts w:eastAsia="Times New Roman"/>
              </w:rPr>
            </w:pPr>
            <w:r>
              <w:rPr>
                <w:rFonts w:ascii="Arial" w:eastAsia="Times New Roman" w:hAnsi="Arial" w:cs="Arial"/>
                <w:color w:val="000000"/>
                <w:sz w:val="20"/>
                <w:szCs w:val="20"/>
              </w:rPr>
              <w:t>CPP Investments</w:t>
            </w:r>
          </w:p>
        </w:tc>
        <w:tc>
          <w:tcPr>
            <w:tcW w:w="0" w:type="auto"/>
            <w:gridSpan w:val="3"/>
            <w:tcMar>
              <w:top w:w="0" w:type="dxa"/>
              <w:left w:w="20" w:type="dxa"/>
              <w:bottom w:w="0" w:type="dxa"/>
              <w:right w:w="20" w:type="dxa"/>
            </w:tcMar>
            <w:vAlign w:val="center"/>
            <w:hideMark/>
          </w:tcPr>
          <w:p w:rsidR="00000000" w:rsidRDefault="001F1FC8">
            <w:pPr>
              <w:rPr>
                <w:rFonts w:eastAsia="Times New Roman"/>
              </w:rPr>
            </w:pPr>
          </w:p>
        </w:tc>
        <w:tc>
          <w:tcPr>
            <w:tcW w:w="0" w:type="auto"/>
            <w:gridSpan w:val="3"/>
            <w:tcMar>
              <w:top w:w="30" w:type="dxa"/>
              <w:left w:w="20" w:type="dxa"/>
              <w:bottom w:w="30" w:type="dxa"/>
              <w:right w:w="20" w:type="dxa"/>
            </w:tcMar>
            <w:hideMark/>
          </w:tcPr>
          <w:p w:rsidR="00000000" w:rsidRDefault="001F1FC8">
            <w:pPr>
              <w:rPr>
                <w:rFonts w:eastAsia="Times New Roman"/>
              </w:rPr>
            </w:pPr>
            <w:r>
              <w:rPr>
                <w:rFonts w:ascii="Arial" w:eastAsia="Times New Roman" w:hAnsi="Arial" w:cs="Arial"/>
                <w:color w:val="000000"/>
                <w:sz w:val="20"/>
                <w:szCs w:val="20"/>
              </w:rPr>
              <w:t>Canada Pension Plan Investment Board</w:t>
            </w:r>
          </w:p>
        </w:tc>
      </w:tr>
      <w:tr w:rsidR="00000000">
        <w:trPr>
          <w:divId w:val="1168791035"/>
        </w:trPr>
        <w:tc>
          <w:tcPr>
            <w:tcW w:w="0" w:type="auto"/>
            <w:gridSpan w:val="3"/>
            <w:tcMar>
              <w:top w:w="30" w:type="dxa"/>
              <w:left w:w="20" w:type="dxa"/>
              <w:bottom w:w="30" w:type="dxa"/>
              <w:right w:w="20" w:type="dxa"/>
            </w:tcMar>
            <w:hideMark/>
          </w:tcPr>
          <w:p w:rsidR="00000000" w:rsidRDefault="001F1FC8">
            <w:pPr>
              <w:rPr>
                <w:rFonts w:eastAsia="Times New Roman"/>
              </w:rPr>
            </w:pPr>
            <w:r>
              <w:rPr>
                <w:rFonts w:ascii="Arial" w:eastAsia="Times New Roman" w:hAnsi="Arial" w:cs="Arial"/>
                <w:color w:val="000000"/>
                <w:sz w:val="20"/>
                <w:szCs w:val="20"/>
              </w:rPr>
              <w:t>CTS</w:t>
            </w:r>
          </w:p>
        </w:tc>
        <w:tc>
          <w:tcPr>
            <w:tcW w:w="0" w:type="auto"/>
            <w:gridSpan w:val="3"/>
            <w:tcMar>
              <w:top w:w="30" w:type="dxa"/>
              <w:left w:w="20" w:type="dxa"/>
              <w:bottom w:w="30" w:type="dxa"/>
              <w:right w:w="20" w:type="dxa"/>
            </w:tcMar>
            <w:hideMark/>
          </w:tcPr>
          <w:p w:rsidR="00000000" w:rsidRDefault="001F1FC8">
            <w:pPr>
              <w:rPr>
                <w:rFonts w:eastAsia="Times New Roman"/>
              </w:rPr>
            </w:pPr>
            <w:r>
              <w:rPr>
                <w:rFonts w:ascii="Arial" w:eastAsia="Times New Roman" w:hAnsi="Arial" w:cs="Arial"/>
                <w:color w:val="000000"/>
                <w:sz w:val="2"/>
                <w:szCs w:val="2"/>
              </w:rPr>
              <w:t> </w:t>
            </w:r>
          </w:p>
        </w:tc>
        <w:tc>
          <w:tcPr>
            <w:tcW w:w="0" w:type="auto"/>
            <w:gridSpan w:val="3"/>
            <w:tcMar>
              <w:top w:w="30" w:type="dxa"/>
              <w:left w:w="20" w:type="dxa"/>
              <w:bottom w:w="30" w:type="dxa"/>
              <w:right w:w="20" w:type="dxa"/>
            </w:tcMar>
            <w:hideMark/>
          </w:tcPr>
          <w:p w:rsidR="00000000" w:rsidRDefault="001F1FC8">
            <w:pPr>
              <w:rPr>
                <w:rFonts w:eastAsia="Times New Roman"/>
              </w:rPr>
            </w:pPr>
            <w:r>
              <w:rPr>
                <w:rFonts w:ascii="Arial" w:eastAsia="Times New Roman" w:hAnsi="Arial" w:cs="Arial"/>
                <w:color w:val="000000"/>
                <w:sz w:val="20"/>
                <w:szCs w:val="20"/>
              </w:rPr>
              <w:t>Competitive Toll Settlement</w:t>
            </w:r>
          </w:p>
        </w:tc>
      </w:tr>
      <w:tr w:rsidR="00000000">
        <w:trPr>
          <w:divId w:val="1168791035"/>
        </w:trPr>
        <w:tc>
          <w:tcPr>
            <w:tcW w:w="0" w:type="auto"/>
            <w:gridSpan w:val="3"/>
            <w:tcMar>
              <w:top w:w="30" w:type="dxa"/>
              <w:left w:w="20" w:type="dxa"/>
              <w:bottom w:w="30" w:type="dxa"/>
              <w:right w:w="20" w:type="dxa"/>
            </w:tcMar>
            <w:hideMark/>
          </w:tcPr>
          <w:p w:rsidR="00000000" w:rsidRDefault="001F1FC8">
            <w:pPr>
              <w:rPr>
                <w:rFonts w:eastAsia="Times New Roman"/>
              </w:rPr>
            </w:pPr>
            <w:r>
              <w:rPr>
                <w:rFonts w:ascii="Arial" w:eastAsia="Times New Roman" w:hAnsi="Arial" w:cs="Arial"/>
                <w:color w:val="000000"/>
                <w:sz w:val="20"/>
                <w:szCs w:val="20"/>
              </w:rPr>
              <w:t>DAPL</w:t>
            </w:r>
          </w:p>
        </w:tc>
        <w:tc>
          <w:tcPr>
            <w:tcW w:w="0" w:type="auto"/>
            <w:gridSpan w:val="3"/>
            <w:tcMar>
              <w:top w:w="0" w:type="dxa"/>
              <w:left w:w="20" w:type="dxa"/>
              <w:bottom w:w="0" w:type="dxa"/>
              <w:right w:w="20" w:type="dxa"/>
            </w:tcMar>
            <w:vAlign w:val="center"/>
            <w:hideMark/>
          </w:tcPr>
          <w:p w:rsidR="00000000" w:rsidRDefault="001F1FC8">
            <w:pPr>
              <w:rPr>
                <w:rFonts w:eastAsia="Times New Roman"/>
              </w:rPr>
            </w:pPr>
          </w:p>
        </w:tc>
        <w:tc>
          <w:tcPr>
            <w:tcW w:w="0" w:type="auto"/>
            <w:gridSpan w:val="3"/>
            <w:tcMar>
              <w:top w:w="30" w:type="dxa"/>
              <w:left w:w="20" w:type="dxa"/>
              <w:bottom w:w="30" w:type="dxa"/>
              <w:right w:w="20" w:type="dxa"/>
            </w:tcMar>
            <w:hideMark/>
          </w:tcPr>
          <w:p w:rsidR="00000000" w:rsidRDefault="001F1FC8">
            <w:pPr>
              <w:rPr>
                <w:rFonts w:eastAsia="Times New Roman"/>
              </w:rPr>
            </w:pPr>
            <w:r>
              <w:rPr>
                <w:rFonts w:ascii="Arial" w:eastAsia="Times New Roman" w:hAnsi="Arial" w:cs="Arial"/>
                <w:color w:val="000000"/>
                <w:sz w:val="20"/>
                <w:szCs w:val="20"/>
              </w:rPr>
              <w:t>Dakota Access Pipeline</w:t>
            </w:r>
          </w:p>
        </w:tc>
      </w:tr>
      <w:tr w:rsidR="00000000">
        <w:trPr>
          <w:divId w:val="1168791035"/>
        </w:trPr>
        <w:tc>
          <w:tcPr>
            <w:tcW w:w="0" w:type="auto"/>
            <w:gridSpan w:val="3"/>
            <w:tcMar>
              <w:top w:w="30" w:type="dxa"/>
              <w:left w:w="20" w:type="dxa"/>
              <w:bottom w:w="30" w:type="dxa"/>
              <w:right w:w="20" w:type="dxa"/>
            </w:tcMar>
            <w:hideMark/>
          </w:tcPr>
          <w:p w:rsidR="00000000" w:rsidRDefault="001F1FC8">
            <w:pPr>
              <w:rPr>
                <w:rFonts w:eastAsia="Times New Roman"/>
              </w:rPr>
            </w:pPr>
            <w:r>
              <w:rPr>
                <w:rFonts w:ascii="Arial" w:eastAsia="Times New Roman" w:hAnsi="Arial" w:cs="Arial"/>
                <w:color w:val="000000"/>
                <w:sz w:val="20"/>
                <w:szCs w:val="20"/>
              </w:rPr>
              <w:t>Dawn</w:t>
            </w:r>
          </w:p>
        </w:tc>
        <w:tc>
          <w:tcPr>
            <w:tcW w:w="0" w:type="auto"/>
            <w:gridSpan w:val="3"/>
            <w:tcMar>
              <w:top w:w="0" w:type="dxa"/>
              <w:left w:w="20" w:type="dxa"/>
              <w:bottom w:w="0" w:type="dxa"/>
              <w:right w:w="20" w:type="dxa"/>
            </w:tcMar>
            <w:vAlign w:val="center"/>
            <w:hideMark/>
          </w:tcPr>
          <w:p w:rsidR="00000000" w:rsidRDefault="001F1FC8">
            <w:pPr>
              <w:rPr>
                <w:rFonts w:eastAsia="Times New Roman"/>
              </w:rPr>
            </w:pPr>
          </w:p>
        </w:tc>
        <w:tc>
          <w:tcPr>
            <w:tcW w:w="0" w:type="auto"/>
            <w:gridSpan w:val="3"/>
            <w:tcMar>
              <w:top w:w="30" w:type="dxa"/>
              <w:left w:w="20" w:type="dxa"/>
              <w:bottom w:w="30" w:type="dxa"/>
              <w:right w:w="20" w:type="dxa"/>
            </w:tcMar>
            <w:hideMark/>
          </w:tcPr>
          <w:p w:rsidR="00000000" w:rsidRDefault="001F1FC8">
            <w:pPr>
              <w:divId w:val="1429616849"/>
              <w:rPr>
                <w:rFonts w:eastAsia="Times New Roman"/>
              </w:rPr>
            </w:pPr>
            <w:r>
              <w:rPr>
                <w:rFonts w:ascii="Arial" w:eastAsia="Times New Roman" w:hAnsi="Arial" w:cs="Arial"/>
                <w:color w:val="000000"/>
                <w:sz w:val="20"/>
                <w:szCs w:val="20"/>
              </w:rPr>
              <w:t>An extensive network of underground storage pools at the Tecumseh Gas Storage facility and Dawn Hub</w:t>
            </w:r>
          </w:p>
        </w:tc>
      </w:tr>
      <w:tr w:rsidR="00000000">
        <w:trPr>
          <w:divId w:val="1168791035"/>
        </w:trPr>
        <w:tc>
          <w:tcPr>
            <w:tcW w:w="0" w:type="auto"/>
            <w:gridSpan w:val="3"/>
            <w:tcMar>
              <w:top w:w="30" w:type="dxa"/>
              <w:left w:w="20" w:type="dxa"/>
              <w:bottom w:w="30" w:type="dxa"/>
              <w:right w:w="20" w:type="dxa"/>
            </w:tcMar>
            <w:hideMark/>
          </w:tcPr>
          <w:p w:rsidR="00000000" w:rsidRDefault="001F1FC8">
            <w:pPr>
              <w:rPr>
                <w:rFonts w:eastAsia="Times New Roman"/>
              </w:rPr>
            </w:pPr>
            <w:r>
              <w:rPr>
                <w:rFonts w:ascii="Arial" w:eastAsia="Times New Roman" w:hAnsi="Arial" w:cs="Arial"/>
                <w:color w:val="000000"/>
                <w:sz w:val="20"/>
                <w:szCs w:val="20"/>
              </w:rPr>
              <w:t>DCP Midstream</w:t>
            </w:r>
          </w:p>
        </w:tc>
        <w:tc>
          <w:tcPr>
            <w:tcW w:w="0" w:type="auto"/>
            <w:gridSpan w:val="3"/>
            <w:tcMar>
              <w:top w:w="0" w:type="dxa"/>
              <w:left w:w="20" w:type="dxa"/>
              <w:bottom w:w="0" w:type="dxa"/>
              <w:right w:w="20" w:type="dxa"/>
            </w:tcMar>
            <w:vAlign w:val="center"/>
            <w:hideMark/>
          </w:tcPr>
          <w:p w:rsidR="00000000" w:rsidRDefault="001F1FC8">
            <w:pPr>
              <w:rPr>
                <w:rFonts w:eastAsia="Times New Roman"/>
              </w:rPr>
            </w:pPr>
          </w:p>
        </w:tc>
        <w:tc>
          <w:tcPr>
            <w:tcW w:w="0" w:type="auto"/>
            <w:gridSpan w:val="3"/>
            <w:tcMar>
              <w:top w:w="30" w:type="dxa"/>
              <w:left w:w="20" w:type="dxa"/>
              <w:bottom w:w="30" w:type="dxa"/>
              <w:right w:w="20" w:type="dxa"/>
            </w:tcMar>
            <w:hideMark/>
          </w:tcPr>
          <w:p w:rsidR="00000000" w:rsidRDefault="001F1FC8">
            <w:pPr>
              <w:rPr>
                <w:rFonts w:eastAsia="Times New Roman"/>
              </w:rPr>
            </w:pPr>
            <w:r>
              <w:rPr>
                <w:rFonts w:ascii="Arial" w:eastAsia="Times New Roman" w:hAnsi="Arial" w:cs="Arial"/>
                <w:color w:val="000000"/>
                <w:sz w:val="20"/>
                <w:szCs w:val="20"/>
              </w:rPr>
              <w:t>DCP Midstream, LLC</w:t>
            </w:r>
          </w:p>
        </w:tc>
      </w:tr>
      <w:tr w:rsidR="00000000">
        <w:trPr>
          <w:divId w:val="1168791035"/>
        </w:trPr>
        <w:tc>
          <w:tcPr>
            <w:tcW w:w="0" w:type="auto"/>
            <w:gridSpan w:val="3"/>
            <w:vAlign w:val="center"/>
            <w:hideMark/>
          </w:tcPr>
          <w:p w:rsidR="00000000" w:rsidRDefault="001F1FC8">
            <w:pPr>
              <w:rPr>
                <w:rFonts w:eastAsia="Times New Roman"/>
              </w:rPr>
            </w:pPr>
          </w:p>
        </w:tc>
        <w:tc>
          <w:tcPr>
            <w:tcW w:w="0" w:type="auto"/>
            <w:gridSpan w:val="3"/>
            <w:vAlign w:val="center"/>
            <w:hideMark/>
          </w:tcPr>
          <w:p w:rsidR="00000000" w:rsidRDefault="001F1FC8">
            <w:pPr>
              <w:rPr>
                <w:rFonts w:eastAsia="Times New Roman"/>
                <w:sz w:val="20"/>
                <w:szCs w:val="20"/>
              </w:rPr>
            </w:pPr>
          </w:p>
        </w:tc>
        <w:tc>
          <w:tcPr>
            <w:tcW w:w="0" w:type="auto"/>
            <w:gridSpan w:val="3"/>
            <w:vAlign w:val="center"/>
            <w:hideMark/>
          </w:tcPr>
          <w:p w:rsidR="00000000" w:rsidRDefault="001F1FC8">
            <w:pPr>
              <w:rPr>
                <w:rFonts w:eastAsia="Times New Roman"/>
                <w:sz w:val="20"/>
                <w:szCs w:val="20"/>
              </w:rPr>
            </w:pPr>
          </w:p>
        </w:tc>
      </w:tr>
      <w:tr w:rsidR="00000000">
        <w:trPr>
          <w:divId w:val="1168791035"/>
        </w:trPr>
        <w:tc>
          <w:tcPr>
            <w:tcW w:w="0" w:type="auto"/>
            <w:gridSpan w:val="3"/>
            <w:vAlign w:val="center"/>
            <w:hideMark/>
          </w:tcPr>
          <w:p w:rsidR="00000000" w:rsidRDefault="001F1FC8">
            <w:pPr>
              <w:rPr>
                <w:rFonts w:eastAsia="Times New Roman"/>
                <w:sz w:val="20"/>
                <w:szCs w:val="20"/>
              </w:rPr>
            </w:pPr>
          </w:p>
        </w:tc>
        <w:tc>
          <w:tcPr>
            <w:tcW w:w="0" w:type="auto"/>
            <w:gridSpan w:val="3"/>
            <w:vAlign w:val="center"/>
            <w:hideMark/>
          </w:tcPr>
          <w:p w:rsidR="00000000" w:rsidRDefault="001F1FC8">
            <w:pPr>
              <w:rPr>
                <w:rFonts w:eastAsia="Times New Roman"/>
                <w:sz w:val="20"/>
                <w:szCs w:val="20"/>
              </w:rPr>
            </w:pPr>
          </w:p>
        </w:tc>
        <w:tc>
          <w:tcPr>
            <w:tcW w:w="0" w:type="auto"/>
            <w:gridSpan w:val="3"/>
            <w:vAlign w:val="center"/>
            <w:hideMark/>
          </w:tcPr>
          <w:p w:rsidR="00000000" w:rsidRDefault="001F1FC8">
            <w:pPr>
              <w:rPr>
                <w:rFonts w:eastAsia="Times New Roman"/>
                <w:sz w:val="20"/>
                <w:szCs w:val="20"/>
              </w:rPr>
            </w:pPr>
          </w:p>
        </w:tc>
      </w:tr>
      <w:tr w:rsidR="00000000">
        <w:trPr>
          <w:divId w:val="1168791035"/>
        </w:trPr>
        <w:tc>
          <w:tcPr>
            <w:tcW w:w="0" w:type="auto"/>
            <w:gridSpan w:val="3"/>
            <w:tcMar>
              <w:top w:w="30" w:type="dxa"/>
              <w:left w:w="20" w:type="dxa"/>
              <w:bottom w:w="30" w:type="dxa"/>
              <w:right w:w="20" w:type="dxa"/>
            </w:tcMar>
            <w:hideMark/>
          </w:tcPr>
          <w:p w:rsidR="00000000" w:rsidRDefault="001F1FC8">
            <w:pPr>
              <w:rPr>
                <w:rFonts w:eastAsia="Times New Roman"/>
              </w:rPr>
            </w:pPr>
            <w:r>
              <w:rPr>
                <w:rFonts w:ascii="Arial" w:eastAsia="Times New Roman" w:hAnsi="Arial" w:cs="Arial"/>
                <w:color w:val="000000"/>
                <w:sz w:val="20"/>
                <w:szCs w:val="20"/>
              </w:rPr>
              <w:t>EBITDA</w:t>
            </w:r>
          </w:p>
        </w:tc>
        <w:tc>
          <w:tcPr>
            <w:tcW w:w="0" w:type="auto"/>
            <w:gridSpan w:val="3"/>
            <w:tcMar>
              <w:top w:w="30" w:type="dxa"/>
              <w:left w:w="20" w:type="dxa"/>
              <w:bottom w:w="30" w:type="dxa"/>
              <w:right w:w="20" w:type="dxa"/>
            </w:tcMar>
            <w:hideMark/>
          </w:tcPr>
          <w:p w:rsidR="00000000" w:rsidRDefault="001F1FC8">
            <w:pPr>
              <w:rPr>
                <w:rFonts w:eastAsia="Times New Roman"/>
              </w:rPr>
            </w:pPr>
            <w:r>
              <w:rPr>
                <w:rFonts w:ascii="Arial" w:eastAsia="Times New Roman" w:hAnsi="Arial" w:cs="Arial"/>
                <w:color w:val="000000"/>
                <w:sz w:val="2"/>
                <w:szCs w:val="2"/>
              </w:rPr>
              <w:t> </w:t>
            </w:r>
          </w:p>
        </w:tc>
        <w:tc>
          <w:tcPr>
            <w:tcW w:w="0" w:type="auto"/>
            <w:gridSpan w:val="3"/>
            <w:tcMar>
              <w:top w:w="30" w:type="dxa"/>
              <w:left w:w="20" w:type="dxa"/>
              <w:bottom w:w="30" w:type="dxa"/>
              <w:right w:w="20" w:type="dxa"/>
            </w:tcMar>
            <w:hideMark/>
          </w:tcPr>
          <w:p w:rsidR="00000000" w:rsidRDefault="001F1FC8">
            <w:pPr>
              <w:rPr>
                <w:rFonts w:eastAsia="Times New Roman"/>
              </w:rPr>
            </w:pPr>
            <w:r>
              <w:rPr>
                <w:rFonts w:ascii="Arial" w:eastAsia="Times New Roman" w:hAnsi="Arial" w:cs="Arial"/>
                <w:color w:val="000000"/>
                <w:sz w:val="20"/>
                <w:szCs w:val="20"/>
              </w:rPr>
              <w:t>Earnings before interest, income taxes and depreciation and amortization</w:t>
            </w:r>
          </w:p>
        </w:tc>
      </w:tr>
      <w:tr w:rsidR="00000000">
        <w:trPr>
          <w:divId w:val="1168791035"/>
        </w:trPr>
        <w:tc>
          <w:tcPr>
            <w:tcW w:w="0" w:type="auto"/>
            <w:gridSpan w:val="3"/>
            <w:vAlign w:val="center"/>
            <w:hideMark/>
          </w:tcPr>
          <w:p w:rsidR="00000000" w:rsidRDefault="001F1FC8">
            <w:pPr>
              <w:rPr>
                <w:rFonts w:eastAsia="Times New Roman"/>
              </w:rPr>
            </w:pPr>
          </w:p>
        </w:tc>
        <w:tc>
          <w:tcPr>
            <w:tcW w:w="0" w:type="auto"/>
            <w:gridSpan w:val="3"/>
            <w:vAlign w:val="center"/>
            <w:hideMark/>
          </w:tcPr>
          <w:p w:rsidR="00000000" w:rsidRDefault="001F1FC8">
            <w:pPr>
              <w:rPr>
                <w:rFonts w:eastAsia="Times New Roman"/>
                <w:sz w:val="20"/>
                <w:szCs w:val="20"/>
              </w:rPr>
            </w:pPr>
          </w:p>
        </w:tc>
        <w:tc>
          <w:tcPr>
            <w:tcW w:w="0" w:type="auto"/>
            <w:gridSpan w:val="3"/>
            <w:vAlign w:val="center"/>
            <w:hideMark/>
          </w:tcPr>
          <w:p w:rsidR="00000000" w:rsidRDefault="001F1FC8">
            <w:pPr>
              <w:rPr>
                <w:rFonts w:eastAsia="Times New Roman"/>
                <w:sz w:val="20"/>
                <w:szCs w:val="20"/>
              </w:rPr>
            </w:pPr>
          </w:p>
        </w:tc>
      </w:tr>
      <w:tr w:rsidR="00000000">
        <w:trPr>
          <w:divId w:val="1168791035"/>
        </w:trPr>
        <w:tc>
          <w:tcPr>
            <w:tcW w:w="0" w:type="auto"/>
            <w:gridSpan w:val="3"/>
            <w:tcMar>
              <w:top w:w="30" w:type="dxa"/>
              <w:left w:w="20" w:type="dxa"/>
              <w:bottom w:w="30" w:type="dxa"/>
              <w:right w:w="20" w:type="dxa"/>
            </w:tcMar>
            <w:hideMark/>
          </w:tcPr>
          <w:p w:rsidR="00000000" w:rsidRDefault="001F1FC8">
            <w:pPr>
              <w:rPr>
                <w:rFonts w:eastAsia="Times New Roman"/>
              </w:rPr>
            </w:pPr>
            <w:r>
              <w:rPr>
                <w:rFonts w:ascii="Arial" w:eastAsia="Times New Roman" w:hAnsi="Arial" w:cs="Arial"/>
                <w:color w:val="000000"/>
                <w:sz w:val="20"/>
                <w:szCs w:val="20"/>
              </w:rPr>
              <w:t>EEP</w:t>
            </w:r>
          </w:p>
        </w:tc>
        <w:tc>
          <w:tcPr>
            <w:tcW w:w="0" w:type="auto"/>
            <w:gridSpan w:val="3"/>
            <w:tcMar>
              <w:top w:w="30" w:type="dxa"/>
              <w:left w:w="20" w:type="dxa"/>
              <w:bottom w:w="30" w:type="dxa"/>
              <w:right w:w="20" w:type="dxa"/>
            </w:tcMar>
            <w:hideMark/>
          </w:tcPr>
          <w:p w:rsidR="00000000" w:rsidRDefault="001F1FC8">
            <w:pPr>
              <w:rPr>
                <w:rFonts w:eastAsia="Times New Roman"/>
              </w:rPr>
            </w:pPr>
            <w:r>
              <w:rPr>
                <w:rFonts w:ascii="Arial" w:eastAsia="Times New Roman" w:hAnsi="Arial" w:cs="Arial"/>
                <w:color w:val="000000"/>
                <w:sz w:val="2"/>
                <w:szCs w:val="2"/>
              </w:rPr>
              <w:t> </w:t>
            </w:r>
          </w:p>
        </w:tc>
        <w:tc>
          <w:tcPr>
            <w:tcW w:w="0" w:type="auto"/>
            <w:gridSpan w:val="3"/>
            <w:tcMar>
              <w:top w:w="30" w:type="dxa"/>
              <w:left w:w="20" w:type="dxa"/>
              <w:bottom w:w="30" w:type="dxa"/>
              <w:right w:w="20" w:type="dxa"/>
            </w:tcMar>
            <w:hideMark/>
          </w:tcPr>
          <w:p w:rsidR="00000000" w:rsidRDefault="001F1FC8">
            <w:pPr>
              <w:rPr>
                <w:rFonts w:eastAsia="Times New Roman"/>
              </w:rPr>
            </w:pPr>
            <w:r>
              <w:rPr>
                <w:rFonts w:ascii="Arial" w:eastAsia="Times New Roman" w:hAnsi="Arial" w:cs="Arial"/>
                <w:color w:val="000000"/>
                <w:sz w:val="20"/>
                <w:szCs w:val="20"/>
              </w:rPr>
              <w:t>Enbridge Energy Partners, L.P.</w:t>
            </w:r>
          </w:p>
        </w:tc>
      </w:tr>
      <w:tr w:rsidR="00000000">
        <w:trPr>
          <w:divId w:val="1168791035"/>
        </w:trPr>
        <w:tc>
          <w:tcPr>
            <w:tcW w:w="0" w:type="auto"/>
            <w:gridSpan w:val="3"/>
            <w:vAlign w:val="center"/>
            <w:hideMark/>
          </w:tcPr>
          <w:p w:rsidR="00000000" w:rsidRDefault="001F1FC8">
            <w:pPr>
              <w:rPr>
                <w:rFonts w:eastAsia="Times New Roman"/>
              </w:rPr>
            </w:pPr>
          </w:p>
        </w:tc>
        <w:tc>
          <w:tcPr>
            <w:tcW w:w="0" w:type="auto"/>
            <w:gridSpan w:val="3"/>
            <w:vAlign w:val="center"/>
            <w:hideMark/>
          </w:tcPr>
          <w:p w:rsidR="00000000" w:rsidRDefault="001F1FC8">
            <w:pPr>
              <w:rPr>
                <w:rFonts w:eastAsia="Times New Roman"/>
                <w:sz w:val="20"/>
                <w:szCs w:val="20"/>
              </w:rPr>
            </w:pPr>
          </w:p>
        </w:tc>
        <w:tc>
          <w:tcPr>
            <w:tcW w:w="0" w:type="auto"/>
            <w:gridSpan w:val="3"/>
            <w:vAlign w:val="center"/>
            <w:hideMark/>
          </w:tcPr>
          <w:p w:rsidR="00000000" w:rsidRDefault="001F1FC8">
            <w:pPr>
              <w:rPr>
                <w:rFonts w:eastAsia="Times New Roman"/>
                <w:sz w:val="20"/>
                <w:szCs w:val="20"/>
              </w:rPr>
            </w:pPr>
          </w:p>
        </w:tc>
      </w:tr>
      <w:tr w:rsidR="00000000">
        <w:trPr>
          <w:divId w:val="1168791035"/>
        </w:trPr>
        <w:tc>
          <w:tcPr>
            <w:tcW w:w="0" w:type="auto"/>
            <w:gridSpan w:val="3"/>
            <w:tcMar>
              <w:top w:w="30" w:type="dxa"/>
              <w:left w:w="20" w:type="dxa"/>
              <w:bottom w:w="30" w:type="dxa"/>
              <w:right w:w="20" w:type="dxa"/>
            </w:tcMar>
            <w:hideMark/>
          </w:tcPr>
          <w:p w:rsidR="00000000" w:rsidRDefault="001F1FC8">
            <w:pPr>
              <w:rPr>
                <w:rFonts w:eastAsia="Times New Roman"/>
              </w:rPr>
            </w:pPr>
            <w:r>
              <w:rPr>
                <w:rFonts w:ascii="Arial" w:eastAsia="Times New Roman" w:hAnsi="Arial" w:cs="Arial"/>
                <w:color w:val="000000"/>
                <w:sz w:val="20"/>
                <w:szCs w:val="20"/>
              </w:rPr>
              <w:t>EIEC</w:t>
            </w:r>
          </w:p>
        </w:tc>
        <w:tc>
          <w:tcPr>
            <w:tcW w:w="0" w:type="auto"/>
            <w:gridSpan w:val="3"/>
            <w:tcMar>
              <w:top w:w="0" w:type="dxa"/>
              <w:left w:w="20" w:type="dxa"/>
              <w:bottom w:w="0" w:type="dxa"/>
              <w:right w:w="20" w:type="dxa"/>
            </w:tcMar>
            <w:vAlign w:val="center"/>
            <w:hideMark/>
          </w:tcPr>
          <w:p w:rsidR="00000000" w:rsidRDefault="001F1FC8">
            <w:pPr>
              <w:rPr>
                <w:rFonts w:eastAsia="Times New Roman"/>
              </w:rPr>
            </w:pPr>
          </w:p>
        </w:tc>
        <w:tc>
          <w:tcPr>
            <w:tcW w:w="0" w:type="auto"/>
            <w:gridSpan w:val="3"/>
            <w:tcMar>
              <w:top w:w="30" w:type="dxa"/>
              <w:left w:w="20" w:type="dxa"/>
              <w:bottom w:w="30" w:type="dxa"/>
              <w:right w:w="20" w:type="dxa"/>
            </w:tcMar>
            <w:hideMark/>
          </w:tcPr>
          <w:p w:rsidR="00000000" w:rsidRDefault="001F1FC8">
            <w:pPr>
              <w:rPr>
                <w:rFonts w:eastAsia="Times New Roman"/>
              </w:rPr>
            </w:pPr>
            <w:r>
              <w:rPr>
                <w:rFonts w:ascii="Arial" w:eastAsia="Times New Roman" w:hAnsi="Arial" w:cs="Arial"/>
                <w:color w:val="000000"/>
                <w:sz w:val="20"/>
                <w:szCs w:val="20"/>
              </w:rPr>
              <w:t>Enbridge Ingleside Energy Center</w:t>
            </w:r>
          </w:p>
        </w:tc>
      </w:tr>
      <w:tr w:rsidR="00000000">
        <w:trPr>
          <w:divId w:val="1168791035"/>
        </w:trPr>
        <w:tc>
          <w:tcPr>
            <w:tcW w:w="0" w:type="auto"/>
            <w:gridSpan w:val="3"/>
            <w:tcMar>
              <w:top w:w="30" w:type="dxa"/>
              <w:left w:w="20" w:type="dxa"/>
              <w:bottom w:w="30" w:type="dxa"/>
              <w:right w:w="20" w:type="dxa"/>
            </w:tcMar>
            <w:hideMark/>
          </w:tcPr>
          <w:p w:rsidR="00000000" w:rsidRDefault="001F1FC8">
            <w:pPr>
              <w:rPr>
                <w:rFonts w:eastAsia="Times New Roman"/>
              </w:rPr>
            </w:pPr>
            <w:r>
              <w:rPr>
                <w:rFonts w:ascii="Arial" w:eastAsia="Times New Roman" w:hAnsi="Arial" w:cs="Arial"/>
                <w:color w:val="000000"/>
                <w:sz w:val="20"/>
                <w:szCs w:val="20"/>
              </w:rPr>
              <w:t>EIS</w:t>
            </w:r>
          </w:p>
        </w:tc>
        <w:tc>
          <w:tcPr>
            <w:tcW w:w="0" w:type="auto"/>
            <w:gridSpan w:val="3"/>
            <w:tcMar>
              <w:top w:w="0" w:type="dxa"/>
              <w:left w:w="20" w:type="dxa"/>
              <w:bottom w:w="0" w:type="dxa"/>
              <w:right w:w="20" w:type="dxa"/>
            </w:tcMar>
            <w:vAlign w:val="center"/>
            <w:hideMark/>
          </w:tcPr>
          <w:p w:rsidR="00000000" w:rsidRDefault="001F1FC8">
            <w:pPr>
              <w:rPr>
                <w:rFonts w:eastAsia="Times New Roman"/>
              </w:rPr>
            </w:pPr>
          </w:p>
        </w:tc>
        <w:tc>
          <w:tcPr>
            <w:tcW w:w="0" w:type="auto"/>
            <w:gridSpan w:val="3"/>
            <w:tcMar>
              <w:top w:w="30" w:type="dxa"/>
              <w:left w:w="20" w:type="dxa"/>
              <w:bottom w:w="30" w:type="dxa"/>
              <w:right w:w="20" w:type="dxa"/>
            </w:tcMar>
            <w:hideMark/>
          </w:tcPr>
          <w:p w:rsidR="00000000" w:rsidRDefault="001F1FC8">
            <w:pPr>
              <w:rPr>
                <w:rFonts w:eastAsia="Times New Roman"/>
              </w:rPr>
            </w:pPr>
            <w:r>
              <w:rPr>
                <w:rFonts w:ascii="Arial" w:eastAsia="Times New Roman" w:hAnsi="Arial" w:cs="Arial"/>
                <w:color w:val="000000"/>
                <w:sz w:val="20"/>
                <w:szCs w:val="20"/>
              </w:rPr>
              <w:t>Environmental Impact Statement</w:t>
            </w:r>
          </w:p>
        </w:tc>
      </w:tr>
      <w:tr w:rsidR="00000000">
        <w:trPr>
          <w:divId w:val="1168791035"/>
        </w:trPr>
        <w:tc>
          <w:tcPr>
            <w:tcW w:w="0" w:type="auto"/>
            <w:gridSpan w:val="3"/>
            <w:tcMar>
              <w:top w:w="30" w:type="dxa"/>
              <w:left w:w="20" w:type="dxa"/>
              <w:bottom w:w="30" w:type="dxa"/>
              <w:right w:w="20" w:type="dxa"/>
            </w:tcMar>
            <w:hideMark/>
          </w:tcPr>
          <w:p w:rsidR="00000000" w:rsidRDefault="001F1FC8">
            <w:pPr>
              <w:rPr>
                <w:rFonts w:eastAsia="Times New Roman"/>
              </w:rPr>
            </w:pPr>
            <w:r>
              <w:rPr>
                <w:rFonts w:ascii="Arial" w:eastAsia="Times New Roman" w:hAnsi="Arial" w:cs="Arial"/>
                <w:color w:val="000000"/>
                <w:sz w:val="20"/>
                <w:szCs w:val="20"/>
              </w:rPr>
              <w:t>EMF</w:t>
            </w:r>
          </w:p>
        </w:tc>
        <w:tc>
          <w:tcPr>
            <w:tcW w:w="0" w:type="auto"/>
            <w:gridSpan w:val="3"/>
            <w:tcMar>
              <w:top w:w="0" w:type="dxa"/>
              <w:left w:w="20" w:type="dxa"/>
              <w:bottom w:w="0" w:type="dxa"/>
              <w:right w:w="20" w:type="dxa"/>
            </w:tcMar>
            <w:vAlign w:val="center"/>
            <w:hideMark/>
          </w:tcPr>
          <w:p w:rsidR="00000000" w:rsidRDefault="001F1FC8">
            <w:pPr>
              <w:rPr>
                <w:rFonts w:eastAsia="Times New Roman"/>
              </w:rPr>
            </w:pPr>
          </w:p>
        </w:tc>
        <w:tc>
          <w:tcPr>
            <w:tcW w:w="0" w:type="auto"/>
            <w:gridSpan w:val="3"/>
            <w:tcMar>
              <w:top w:w="30" w:type="dxa"/>
              <w:left w:w="20" w:type="dxa"/>
              <w:bottom w:w="30" w:type="dxa"/>
              <w:right w:w="20" w:type="dxa"/>
            </w:tcMar>
            <w:hideMark/>
          </w:tcPr>
          <w:p w:rsidR="00000000" w:rsidRDefault="001F1FC8">
            <w:pPr>
              <w:rPr>
                <w:rFonts w:eastAsia="Times New Roman"/>
              </w:rPr>
            </w:pPr>
            <w:r>
              <w:rPr>
                <w:rFonts w:ascii="Arial" w:eastAsia="Times New Roman" w:hAnsi="Arial" w:cs="Arial"/>
                <w:color w:val="000000"/>
                <w:sz w:val="20"/>
                <w:szCs w:val="20"/>
              </w:rPr>
              <w:t>É</w:t>
            </w:r>
            <w:r>
              <w:rPr>
                <w:rFonts w:ascii="Arial" w:eastAsia="Times New Roman" w:hAnsi="Arial" w:cs="Arial"/>
                <w:color w:val="000000"/>
                <w:sz w:val="20"/>
                <w:szCs w:val="20"/>
              </w:rPr>
              <w:t>olien Maritime France SAS</w:t>
            </w:r>
          </w:p>
        </w:tc>
      </w:tr>
      <w:tr w:rsidR="00000000">
        <w:trPr>
          <w:divId w:val="1168791035"/>
        </w:trPr>
        <w:tc>
          <w:tcPr>
            <w:tcW w:w="0" w:type="auto"/>
            <w:gridSpan w:val="3"/>
            <w:tcMar>
              <w:top w:w="30" w:type="dxa"/>
              <w:left w:w="20" w:type="dxa"/>
              <w:bottom w:w="30" w:type="dxa"/>
              <w:right w:w="20" w:type="dxa"/>
            </w:tcMar>
            <w:hideMark/>
          </w:tcPr>
          <w:p w:rsidR="00000000" w:rsidRDefault="001F1FC8">
            <w:pPr>
              <w:rPr>
                <w:rFonts w:eastAsia="Times New Roman"/>
              </w:rPr>
            </w:pPr>
            <w:r>
              <w:rPr>
                <w:rFonts w:ascii="Arial" w:eastAsia="Times New Roman" w:hAnsi="Arial" w:cs="Arial"/>
                <w:color w:val="000000"/>
                <w:sz w:val="20"/>
                <w:szCs w:val="20"/>
              </w:rPr>
              <w:t>Enbridge</w:t>
            </w:r>
          </w:p>
        </w:tc>
        <w:tc>
          <w:tcPr>
            <w:tcW w:w="0" w:type="auto"/>
            <w:gridSpan w:val="3"/>
            <w:tcMar>
              <w:top w:w="30" w:type="dxa"/>
              <w:left w:w="20" w:type="dxa"/>
              <w:bottom w:w="30" w:type="dxa"/>
              <w:right w:w="20" w:type="dxa"/>
            </w:tcMar>
            <w:hideMark/>
          </w:tcPr>
          <w:p w:rsidR="00000000" w:rsidRDefault="001F1FC8">
            <w:pPr>
              <w:rPr>
                <w:rFonts w:eastAsia="Times New Roman"/>
              </w:rPr>
            </w:pPr>
            <w:r>
              <w:rPr>
                <w:rFonts w:ascii="Arial" w:eastAsia="Times New Roman" w:hAnsi="Arial" w:cs="Arial"/>
                <w:color w:val="000000"/>
                <w:sz w:val="2"/>
                <w:szCs w:val="2"/>
              </w:rPr>
              <w:t> </w:t>
            </w:r>
          </w:p>
        </w:tc>
        <w:tc>
          <w:tcPr>
            <w:tcW w:w="0" w:type="auto"/>
            <w:gridSpan w:val="3"/>
            <w:tcMar>
              <w:top w:w="30" w:type="dxa"/>
              <w:left w:w="20" w:type="dxa"/>
              <w:bottom w:w="30" w:type="dxa"/>
              <w:right w:w="20" w:type="dxa"/>
            </w:tcMar>
            <w:hideMark/>
          </w:tcPr>
          <w:p w:rsidR="00000000" w:rsidRDefault="001F1FC8">
            <w:pPr>
              <w:rPr>
                <w:rFonts w:eastAsia="Times New Roman"/>
              </w:rPr>
            </w:pPr>
            <w:r>
              <w:rPr>
                <w:rFonts w:ascii="Arial" w:eastAsia="Times New Roman" w:hAnsi="Arial" w:cs="Arial"/>
                <w:color w:val="000000"/>
                <w:sz w:val="20"/>
                <w:szCs w:val="20"/>
              </w:rPr>
              <w:t>Enbridge Inc.</w:t>
            </w:r>
          </w:p>
        </w:tc>
      </w:tr>
      <w:tr w:rsidR="00000000">
        <w:trPr>
          <w:divId w:val="1168791035"/>
        </w:trPr>
        <w:tc>
          <w:tcPr>
            <w:tcW w:w="0" w:type="auto"/>
            <w:gridSpan w:val="3"/>
            <w:tcMar>
              <w:top w:w="30" w:type="dxa"/>
              <w:left w:w="20" w:type="dxa"/>
              <w:bottom w:w="30" w:type="dxa"/>
              <w:right w:w="20" w:type="dxa"/>
            </w:tcMar>
            <w:hideMark/>
          </w:tcPr>
          <w:p w:rsidR="00000000" w:rsidRDefault="001F1FC8">
            <w:pPr>
              <w:rPr>
                <w:rFonts w:eastAsia="Times New Roman"/>
              </w:rPr>
            </w:pPr>
            <w:r>
              <w:rPr>
                <w:rFonts w:ascii="Arial" w:eastAsia="Times New Roman" w:hAnsi="Arial" w:cs="Arial"/>
                <w:color w:val="000000"/>
                <w:sz w:val="20"/>
                <w:szCs w:val="20"/>
              </w:rPr>
              <w:t>Enbridge Gas</w:t>
            </w:r>
          </w:p>
        </w:tc>
        <w:tc>
          <w:tcPr>
            <w:tcW w:w="0" w:type="auto"/>
            <w:gridSpan w:val="3"/>
            <w:tcMar>
              <w:top w:w="0" w:type="dxa"/>
              <w:left w:w="20" w:type="dxa"/>
              <w:bottom w:w="0" w:type="dxa"/>
              <w:right w:w="20" w:type="dxa"/>
            </w:tcMar>
            <w:vAlign w:val="center"/>
            <w:hideMark/>
          </w:tcPr>
          <w:p w:rsidR="00000000" w:rsidRDefault="001F1FC8">
            <w:pPr>
              <w:rPr>
                <w:rFonts w:eastAsia="Times New Roman"/>
              </w:rPr>
            </w:pPr>
          </w:p>
        </w:tc>
        <w:tc>
          <w:tcPr>
            <w:tcW w:w="0" w:type="auto"/>
            <w:gridSpan w:val="3"/>
            <w:tcMar>
              <w:top w:w="30" w:type="dxa"/>
              <w:left w:w="20" w:type="dxa"/>
              <w:bottom w:w="30" w:type="dxa"/>
              <w:right w:w="20" w:type="dxa"/>
            </w:tcMar>
            <w:hideMark/>
          </w:tcPr>
          <w:p w:rsidR="00000000" w:rsidRDefault="001F1FC8">
            <w:pPr>
              <w:rPr>
                <w:rFonts w:eastAsia="Times New Roman"/>
              </w:rPr>
            </w:pPr>
            <w:r>
              <w:rPr>
                <w:rFonts w:ascii="Arial" w:eastAsia="Times New Roman" w:hAnsi="Arial" w:cs="Arial"/>
                <w:color w:val="000000"/>
                <w:sz w:val="20"/>
                <w:szCs w:val="20"/>
              </w:rPr>
              <w:t>Enbridge Gas Inc.</w:t>
            </w:r>
          </w:p>
        </w:tc>
      </w:tr>
      <w:tr w:rsidR="00000000">
        <w:trPr>
          <w:divId w:val="1168791035"/>
        </w:trPr>
        <w:tc>
          <w:tcPr>
            <w:tcW w:w="0" w:type="auto"/>
            <w:gridSpan w:val="3"/>
            <w:vAlign w:val="center"/>
            <w:hideMark/>
          </w:tcPr>
          <w:p w:rsidR="00000000" w:rsidRDefault="001F1FC8">
            <w:pPr>
              <w:rPr>
                <w:rFonts w:eastAsia="Times New Roman"/>
              </w:rPr>
            </w:pPr>
          </w:p>
        </w:tc>
        <w:tc>
          <w:tcPr>
            <w:tcW w:w="0" w:type="auto"/>
            <w:gridSpan w:val="3"/>
            <w:vAlign w:val="center"/>
            <w:hideMark/>
          </w:tcPr>
          <w:p w:rsidR="00000000" w:rsidRDefault="001F1FC8">
            <w:pPr>
              <w:rPr>
                <w:rFonts w:eastAsia="Times New Roman"/>
                <w:sz w:val="20"/>
                <w:szCs w:val="20"/>
              </w:rPr>
            </w:pPr>
          </w:p>
        </w:tc>
        <w:tc>
          <w:tcPr>
            <w:tcW w:w="0" w:type="auto"/>
            <w:gridSpan w:val="3"/>
            <w:vAlign w:val="center"/>
            <w:hideMark/>
          </w:tcPr>
          <w:p w:rsidR="00000000" w:rsidRDefault="001F1FC8">
            <w:pPr>
              <w:rPr>
                <w:rFonts w:eastAsia="Times New Roman"/>
                <w:sz w:val="20"/>
                <w:szCs w:val="20"/>
              </w:rPr>
            </w:pPr>
          </w:p>
        </w:tc>
      </w:tr>
      <w:tr w:rsidR="00000000">
        <w:trPr>
          <w:divId w:val="1168791035"/>
        </w:trPr>
        <w:tc>
          <w:tcPr>
            <w:tcW w:w="0" w:type="auto"/>
            <w:gridSpan w:val="3"/>
            <w:tcMar>
              <w:top w:w="30" w:type="dxa"/>
              <w:left w:w="20" w:type="dxa"/>
              <w:bottom w:w="30" w:type="dxa"/>
              <w:right w:w="20" w:type="dxa"/>
            </w:tcMar>
            <w:hideMark/>
          </w:tcPr>
          <w:p w:rsidR="00000000" w:rsidRDefault="001F1FC8">
            <w:pPr>
              <w:rPr>
                <w:rFonts w:eastAsia="Times New Roman"/>
              </w:rPr>
            </w:pPr>
            <w:r>
              <w:rPr>
                <w:rFonts w:ascii="Arial" w:eastAsia="Times New Roman" w:hAnsi="Arial" w:cs="Arial"/>
                <w:color w:val="000000"/>
                <w:sz w:val="20"/>
                <w:szCs w:val="20"/>
              </w:rPr>
              <w:t>ESG</w:t>
            </w:r>
          </w:p>
        </w:tc>
        <w:tc>
          <w:tcPr>
            <w:tcW w:w="0" w:type="auto"/>
            <w:gridSpan w:val="3"/>
            <w:tcMar>
              <w:top w:w="30" w:type="dxa"/>
              <w:left w:w="20" w:type="dxa"/>
              <w:bottom w:w="30" w:type="dxa"/>
              <w:right w:w="20" w:type="dxa"/>
            </w:tcMar>
            <w:hideMark/>
          </w:tcPr>
          <w:p w:rsidR="00000000" w:rsidRDefault="001F1FC8">
            <w:pPr>
              <w:rPr>
                <w:rFonts w:eastAsia="Times New Roman"/>
              </w:rPr>
            </w:pPr>
            <w:r>
              <w:rPr>
                <w:rFonts w:ascii="Arial" w:eastAsia="Times New Roman" w:hAnsi="Arial" w:cs="Arial"/>
                <w:color w:val="000000"/>
                <w:sz w:val="2"/>
                <w:szCs w:val="2"/>
              </w:rPr>
              <w:t> </w:t>
            </w:r>
          </w:p>
        </w:tc>
        <w:tc>
          <w:tcPr>
            <w:tcW w:w="0" w:type="auto"/>
            <w:gridSpan w:val="3"/>
            <w:tcMar>
              <w:top w:w="30" w:type="dxa"/>
              <w:left w:w="20" w:type="dxa"/>
              <w:bottom w:w="30" w:type="dxa"/>
              <w:right w:w="20" w:type="dxa"/>
            </w:tcMar>
            <w:hideMark/>
          </w:tcPr>
          <w:p w:rsidR="00000000" w:rsidRDefault="001F1FC8">
            <w:pPr>
              <w:rPr>
                <w:rFonts w:eastAsia="Times New Roman"/>
              </w:rPr>
            </w:pPr>
            <w:r>
              <w:rPr>
                <w:rFonts w:ascii="Arial" w:eastAsia="Times New Roman" w:hAnsi="Arial" w:cs="Arial"/>
                <w:color w:val="000000"/>
                <w:sz w:val="20"/>
                <w:szCs w:val="20"/>
              </w:rPr>
              <w:t>Environment, Social and Governance</w:t>
            </w:r>
          </w:p>
        </w:tc>
      </w:tr>
      <w:tr w:rsidR="00000000">
        <w:trPr>
          <w:divId w:val="1168791035"/>
        </w:trPr>
        <w:tc>
          <w:tcPr>
            <w:tcW w:w="0" w:type="auto"/>
            <w:gridSpan w:val="3"/>
            <w:vAlign w:val="center"/>
            <w:hideMark/>
          </w:tcPr>
          <w:p w:rsidR="00000000" w:rsidRDefault="001F1FC8">
            <w:pPr>
              <w:rPr>
                <w:rFonts w:eastAsia="Times New Roman"/>
              </w:rPr>
            </w:pPr>
          </w:p>
        </w:tc>
        <w:tc>
          <w:tcPr>
            <w:tcW w:w="0" w:type="auto"/>
            <w:gridSpan w:val="3"/>
            <w:vAlign w:val="center"/>
            <w:hideMark/>
          </w:tcPr>
          <w:p w:rsidR="00000000" w:rsidRDefault="001F1FC8">
            <w:pPr>
              <w:rPr>
                <w:rFonts w:eastAsia="Times New Roman"/>
                <w:sz w:val="20"/>
                <w:szCs w:val="20"/>
              </w:rPr>
            </w:pPr>
          </w:p>
        </w:tc>
        <w:tc>
          <w:tcPr>
            <w:tcW w:w="0" w:type="auto"/>
            <w:gridSpan w:val="3"/>
            <w:vAlign w:val="center"/>
            <w:hideMark/>
          </w:tcPr>
          <w:p w:rsidR="00000000" w:rsidRDefault="001F1FC8">
            <w:pPr>
              <w:rPr>
                <w:rFonts w:eastAsia="Times New Roman"/>
                <w:sz w:val="20"/>
                <w:szCs w:val="20"/>
              </w:rPr>
            </w:pPr>
          </w:p>
        </w:tc>
      </w:tr>
      <w:tr w:rsidR="00000000">
        <w:trPr>
          <w:divId w:val="1168791035"/>
        </w:trPr>
        <w:tc>
          <w:tcPr>
            <w:tcW w:w="0" w:type="auto"/>
            <w:gridSpan w:val="3"/>
            <w:tcMar>
              <w:top w:w="30" w:type="dxa"/>
              <w:left w:w="20" w:type="dxa"/>
              <w:bottom w:w="30" w:type="dxa"/>
              <w:right w:w="20" w:type="dxa"/>
            </w:tcMar>
            <w:hideMark/>
          </w:tcPr>
          <w:p w:rsidR="00000000" w:rsidRDefault="001F1FC8">
            <w:pPr>
              <w:rPr>
                <w:rFonts w:eastAsia="Times New Roman"/>
              </w:rPr>
            </w:pPr>
            <w:r>
              <w:rPr>
                <w:rFonts w:ascii="Arial" w:eastAsia="Times New Roman" w:hAnsi="Arial" w:cs="Arial"/>
                <w:color w:val="000000"/>
                <w:sz w:val="20"/>
                <w:szCs w:val="20"/>
              </w:rPr>
              <w:t>FERC</w:t>
            </w:r>
          </w:p>
        </w:tc>
        <w:tc>
          <w:tcPr>
            <w:tcW w:w="0" w:type="auto"/>
            <w:gridSpan w:val="3"/>
            <w:tcMar>
              <w:top w:w="30" w:type="dxa"/>
              <w:left w:w="20" w:type="dxa"/>
              <w:bottom w:w="30" w:type="dxa"/>
              <w:right w:w="20" w:type="dxa"/>
            </w:tcMar>
            <w:hideMark/>
          </w:tcPr>
          <w:p w:rsidR="00000000" w:rsidRDefault="001F1FC8">
            <w:pPr>
              <w:rPr>
                <w:rFonts w:eastAsia="Times New Roman"/>
              </w:rPr>
            </w:pPr>
            <w:r>
              <w:rPr>
                <w:rFonts w:ascii="Arial" w:eastAsia="Times New Roman" w:hAnsi="Arial" w:cs="Arial"/>
                <w:color w:val="000000"/>
                <w:sz w:val="2"/>
                <w:szCs w:val="2"/>
              </w:rPr>
              <w:t> </w:t>
            </w:r>
          </w:p>
        </w:tc>
        <w:tc>
          <w:tcPr>
            <w:tcW w:w="0" w:type="auto"/>
            <w:gridSpan w:val="3"/>
            <w:tcMar>
              <w:top w:w="30" w:type="dxa"/>
              <w:left w:w="20" w:type="dxa"/>
              <w:bottom w:w="30" w:type="dxa"/>
              <w:right w:w="20" w:type="dxa"/>
            </w:tcMar>
            <w:hideMark/>
          </w:tcPr>
          <w:p w:rsidR="00000000" w:rsidRDefault="001F1FC8">
            <w:pPr>
              <w:rPr>
                <w:rFonts w:eastAsia="Times New Roman"/>
              </w:rPr>
            </w:pPr>
            <w:r>
              <w:rPr>
                <w:rFonts w:ascii="Arial" w:eastAsia="Times New Roman" w:hAnsi="Arial" w:cs="Arial"/>
                <w:color w:val="000000"/>
                <w:sz w:val="20"/>
                <w:szCs w:val="20"/>
              </w:rPr>
              <w:t>Federal Energy Regulatory Commission</w:t>
            </w:r>
          </w:p>
        </w:tc>
      </w:tr>
      <w:tr w:rsidR="00000000">
        <w:trPr>
          <w:divId w:val="1168791035"/>
        </w:trPr>
        <w:tc>
          <w:tcPr>
            <w:tcW w:w="0" w:type="auto"/>
            <w:gridSpan w:val="3"/>
            <w:tcMar>
              <w:top w:w="30" w:type="dxa"/>
              <w:left w:w="20" w:type="dxa"/>
              <w:bottom w:w="30" w:type="dxa"/>
              <w:right w:w="20" w:type="dxa"/>
            </w:tcMar>
            <w:hideMark/>
          </w:tcPr>
          <w:p w:rsidR="00000000" w:rsidRDefault="001F1FC8">
            <w:pPr>
              <w:rPr>
                <w:rFonts w:eastAsia="Times New Roman"/>
              </w:rPr>
            </w:pPr>
            <w:r>
              <w:rPr>
                <w:rFonts w:ascii="Arial" w:eastAsia="Times New Roman" w:hAnsi="Arial" w:cs="Arial"/>
                <w:color w:val="000000"/>
                <w:sz w:val="20"/>
                <w:szCs w:val="20"/>
              </w:rPr>
              <w:lastRenderedPageBreak/>
              <w:t>Flanagan South</w:t>
            </w:r>
          </w:p>
        </w:tc>
        <w:tc>
          <w:tcPr>
            <w:tcW w:w="0" w:type="auto"/>
            <w:gridSpan w:val="3"/>
            <w:tcMar>
              <w:top w:w="30" w:type="dxa"/>
              <w:left w:w="20" w:type="dxa"/>
              <w:bottom w:w="30" w:type="dxa"/>
              <w:right w:w="20" w:type="dxa"/>
            </w:tcMar>
            <w:hideMark/>
          </w:tcPr>
          <w:p w:rsidR="00000000" w:rsidRDefault="001F1FC8">
            <w:pPr>
              <w:rPr>
                <w:rFonts w:eastAsia="Times New Roman"/>
              </w:rPr>
            </w:pPr>
            <w:r>
              <w:rPr>
                <w:rFonts w:ascii="Arial" w:eastAsia="Times New Roman" w:hAnsi="Arial" w:cs="Arial"/>
                <w:color w:val="000000"/>
                <w:sz w:val="2"/>
                <w:szCs w:val="2"/>
              </w:rPr>
              <w:t> </w:t>
            </w:r>
          </w:p>
        </w:tc>
        <w:tc>
          <w:tcPr>
            <w:tcW w:w="0" w:type="auto"/>
            <w:gridSpan w:val="3"/>
            <w:tcMar>
              <w:top w:w="30" w:type="dxa"/>
              <w:left w:w="20" w:type="dxa"/>
              <w:bottom w:w="30" w:type="dxa"/>
              <w:right w:w="20" w:type="dxa"/>
            </w:tcMar>
            <w:hideMark/>
          </w:tcPr>
          <w:p w:rsidR="00000000" w:rsidRDefault="001F1FC8">
            <w:pPr>
              <w:rPr>
                <w:rFonts w:eastAsia="Times New Roman"/>
              </w:rPr>
            </w:pPr>
            <w:r>
              <w:rPr>
                <w:rFonts w:ascii="Arial" w:eastAsia="Times New Roman" w:hAnsi="Arial" w:cs="Arial"/>
                <w:color w:val="000000"/>
                <w:sz w:val="20"/>
                <w:szCs w:val="20"/>
              </w:rPr>
              <w:t>Flanagan South Pipeline</w:t>
            </w:r>
          </w:p>
        </w:tc>
      </w:tr>
      <w:tr w:rsidR="00000000">
        <w:trPr>
          <w:divId w:val="1168791035"/>
        </w:trPr>
        <w:tc>
          <w:tcPr>
            <w:tcW w:w="0" w:type="auto"/>
            <w:gridSpan w:val="3"/>
            <w:tcMar>
              <w:top w:w="30" w:type="dxa"/>
              <w:left w:w="20" w:type="dxa"/>
              <w:bottom w:w="30" w:type="dxa"/>
              <w:right w:w="20" w:type="dxa"/>
            </w:tcMar>
            <w:hideMark/>
          </w:tcPr>
          <w:p w:rsidR="00000000" w:rsidRDefault="001F1FC8">
            <w:pPr>
              <w:rPr>
                <w:rFonts w:eastAsia="Times New Roman"/>
              </w:rPr>
            </w:pPr>
            <w:r>
              <w:rPr>
                <w:rFonts w:ascii="Arial" w:eastAsia="Times New Roman" w:hAnsi="Arial" w:cs="Arial"/>
                <w:color w:val="000000"/>
                <w:sz w:val="20"/>
                <w:szCs w:val="20"/>
              </w:rPr>
              <w:t>GHG</w:t>
            </w:r>
          </w:p>
        </w:tc>
        <w:tc>
          <w:tcPr>
            <w:tcW w:w="0" w:type="auto"/>
            <w:gridSpan w:val="3"/>
            <w:tcMar>
              <w:top w:w="30" w:type="dxa"/>
              <w:left w:w="20" w:type="dxa"/>
              <w:bottom w:w="30" w:type="dxa"/>
              <w:right w:w="20" w:type="dxa"/>
            </w:tcMar>
            <w:hideMark/>
          </w:tcPr>
          <w:p w:rsidR="00000000" w:rsidRDefault="001F1FC8">
            <w:pPr>
              <w:rPr>
                <w:rFonts w:eastAsia="Times New Roman"/>
              </w:rPr>
            </w:pPr>
            <w:r>
              <w:rPr>
                <w:rFonts w:ascii="Arial" w:eastAsia="Times New Roman" w:hAnsi="Arial" w:cs="Arial"/>
                <w:color w:val="000000"/>
                <w:sz w:val="2"/>
                <w:szCs w:val="2"/>
              </w:rPr>
              <w:t> </w:t>
            </w:r>
          </w:p>
        </w:tc>
        <w:tc>
          <w:tcPr>
            <w:tcW w:w="0" w:type="auto"/>
            <w:gridSpan w:val="3"/>
            <w:tcMar>
              <w:top w:w="30" w:type="dxa"/>
              <w:left w:w="20" w:type="dxa"/>
              <w:bottom w:w="30" w:type="dxa"/>
              <w:right w:w="20" w:type="dxa"/>
            </w:tcMar>
            <w:hideMark/>
          </w:tcPr>
          <w:p w:rsidR="00000000" w:rsidRDefault="001F1FC8">
            <w:pPr>
              <w:rPr>
                <w:rFonts w:eastAsia="Times New Roman"/>
              </w:rPr>
            </w:pPr>
            <w:r>
              <w:rPr>
                <w:rFonts w:ascii="Arial" w:eastAsia="Times New Roman" w:hAnsi="Arial" w:cs="Arial"/>
                <w:color w:val="000000"/>
                <w:sz w:val="20"/>
                <w:szCs w:val="20"/>
              </w:rPr>
              <w:t>Greenhouse gas</w:t>
            </w:r>
          </w:p>
        </w:tc>
      </w:tr>
      <w:tr w:rsidR="00000000">
        <w:trPr>
          <w:divId w:val="1168791035"/>
        </w:trPr>
        <w:tc>
          <w:tcPr>
            <w:tcW w:w="0" w:type="auto"/>
            <w:gridSpan w:val="3"/>
            <w:tcMar>
              <w:top w:w="30" w:type="dxa"/>
              <w:left w:w="20" w:type="dxa"/>
              <w:bottom w:w="30" w:type="dxa"/>
              <w:right w:w="20" w:type="dxa"/>
            </w:tcMar>
            <w:hideMark/>
          </w:tcPr>
          <w:p w:rsidR="00000000" w:rsidRDefault="001F1FC8">
            <w:pPr>
              <w:rPr>
                <w:rFonts w:eastAsia="Times New Roman"/>
              </w:rPr>
            </w:pPr>
            <w:r>
              <w:rPr>
                <w:rFonts w:ascii="Arial" w:eastAsia="Times New Roman" w:hAnsi="Arial" w:cs="Arial"/>
                <w:color w:val="000000"/>
                <w:sz w:val="20"/>
                <w:szCs w:val="20"/>
              </w:rPr>
              <w:t>H2</w:t>
            </w:r>
          </w:p>
        </w:tc>
        <w:tc>
          <w:tcPr>
            <w:tcW w:w="0" w:type="auto"/>
            <w:gridSpan w:val="3"/>
            <w:tcMar>
              <w:top w:w="0" w:type="dxa"/>
              <w:left w:w="20" w:type="dxa"/>
              <w:bottom w:w="0" w:type="dxa"/>
              <w:right w:w="20" w:type="dxa"/>
            </w:tcMar>
            <w:vAlign w:val="center"/>
            <w:hideMark/>
          </w:tcPr>
          <w:p w:rsidR="00000000" w:rsidRDefault="001F1FC8">
            <w:pPr>
              <w:rPr>
                <w:rFonts w:eastAsia="Times New Roman"/>
              </w:rPr>
            </w:pPr>
          </w:p>
        </w:tc>
        <w:tc>
          <w:tcPr>
            <w:tcW w:w="0" w:type="auto"/>
            <w:gridSpan w:val="3"/>
            <w:tcMar>
              <w:top w:w="30" w:type="dxa"/>
              <w:left w:w="20" w:type="dxa"/>
              <w:bottom w:w="30" w:type="dxa"/>
              <w:right w:w="20" w:type="dxa"/>
            </w:tcMar>
            <w:hideMark/>
          </w:tcPr>
          <w:p w:rsidR="00000000" w:rsidRDefault="001F1FC8">
            <w:pPr>
              <w:rPr>
                <w:rFonts w:eastAsia="Times New Roman"/>
              </w:rPr>
            </w:pPr>
            <w:r>
              <w:rPr>
                <w:rFonts w:ascii="Arial" w:eastAsia="Times New Roman" w:hAnsi="Arial" w:cs="Arial"/>
                <w:color w:val="000000"/>
                <w:sz w:val="20"/>
                <w:szCs w:val="20"/>
              </w:rPr>
              <w:t>Hydrogen gas</w:t>
            </w:r>
          </w:p>
        </w:tc>
      </w:tr>
      <w:tr w:rsidR="00000000">
        <w:trPr>
          <w:divId w:val="1168791035"/>
        </w:trPr>
        <w:tc>
          <w:tcPr>
            <w:tcW w:w="0" w:type="auto"/>
            <w:gridSpan w:val="3"/>
            <w:vAlign w:val="center"/>
            <w:hideMark/>
          </w:tcPr>
          <w:p w:rsidR="00000000" w:rsidRDefault="001F1FC8">
            <w:pPr>
              <w:rPr>
                <w:rFonts w:eastAsia="Times New Roman"/>
              </w:rPr>
            </w:pPr>
          </w:p>
        </w:tc>
        <w:tc>
          <w:tcPr>
            <w:tcW w:w="0" w:type="auto"/>
            <w:gridSpan w:val="3"/>
            <w:vAlign w:val="center"/>
            <w:hideMark/>
          </w:tcPr>
          <w:p w:rsidR="00000000" w:rsidRDefault="001F1FC8">
            <w:pPr>
              <w:rPr>
                <w:rFonts w:eastAsia="Times New Roman"/>
                <w:sz w:val="20"/>
                <w:szCs w:val="20"/>
              </w:rPr>
            </w:pPr>
          </w:p>
        </w:tc>
        <w:tc>
          <w:tcPr>
            <w:tcW w:w="0" w:type="auto"/>
            <w:gridSpan w:val="3"/>
            <w:vAlign w:val="center"/>
            <w:hideMark/>
          </w:tcPr>
          <w:p w:rsidR="00000000" w:rsidRDefault="001F1FC8">
            <w:pPr>
              <w:rPr>
                <w:rFonts w:eastAsia="Times New Roman"/>
                <w:sz w:val="20"/>
                <w:szCs w:val="20"/>
              </w:rPr>
            </w:pPr>
          </w:p>
        </w:tc>
      </w:tr>
      <w:tr w:rsidR="00000000">
        <w:trPr>
          <w:divId w:val="1168791035"/>
        </w:trPr>
        <w:tc>
          <w:tcPr>
            <w:tcW w:w="0" w:type="auto"/>
            <w:gridSpan w:val="3"/>
            <w:tcMar>
              <w:top w:w="30" w:type="dxa"/>
              <w:left w:w="20" w:type="dxa"/>
              <w:bottom w:w="30" w:type="dxa"/>
              <w:right w:w="20" w:type="dxa"/>
            </w:tcMar>
            <w:hideMark/>
          </w:tcPr>
          <w:p w:rsidR="00000000" w:rsidRDefault="001F1FC8">
            <w:pPr>
              <w:rPr>
                <w:rFonts w:eastAsia="Times New Roman"/>
              </w:rPr>
            </w:pPr>
            <w:r>
              <w:rPr>
                <w:rFonts w:ascii="Arial" w:eastAsia="Times New Roman" w:hAnsi="Arial" w:cs="Arial"/>
                <w:color w:val="000000"/>
                <w:sz w:val="20"/>
                <w:szCs w:val="20"/>
              </w:rPr>
              <w:t>IJT</w:t>
            </w:r>
          </w:p>
        </w:tc>
        <w:tc>
          <w:tcPr>
            <w:tcW w:w="0" w:type="auto"/>
            <w:gridSpan w:val="3"/>
            <w:tcMar>
              <w:top w:w="30" w:type="dxa"/>
              <w:left w:w="20" w:type="dxa"/>
              <w:bottom w:w="30" w:type="dxa"/>
              <w:right w:w="20" w:type="dxa"/>
            </w:tcMar>
            <w:hideMark/>
          </w:tcPr>
          <w:p w:rsidR="00000000" w:rsidRDefault="001F1FC8">
            <w:pPr>
              <w:rPr>
                <w:rFonts w:eastAsia="Times New Roman"/>
              </w:rPr>
            </w:pPr>
            <w:r>
              <w:rPr>
                <w:rFonts w:ascii="Arial" w:eastAsia="Times New Roman" w:hAnsi="Arial" w:cs="Arial"/>
                <w:color w:val="000000"/>
                <w:sz w:val="2"/>
                <w:szCs w:val="2"/>
              </w:rPr>
              <w:t> </w:t>
            </w:r>
          </w:p>
        </w:tc>
        <w:tc>
          <w:tcPr>
            <w:tcW w:w="0" w:type="auto"/>
            <w:gridSpan w:val="3"/>
            <w:tcMar>
              <w:top w:w="30" w:type="dxa"/>
              <w:left w:w="20" w:type="dxa"/>
              <w:bottom w:w="30" w:type="dxa"/>
              <w:right w:w="20" w:type="dxa"/>
            </w:tcMar>
            <w:hideMark/>
          </w:tcPr>
          <w:p w:rsidR="00000000" w:rsidRDefault="001F1FC8">
            <w:pPr>
              <w:rPr>
                <w:rFonts w:eastAsia="Times New Roman"/>
              </w:rPr>
            </w:pPr>
            <w:r>
              <w:rPr>
                <w:rFonts w:ascii="Arial" w:eastAsia="Times New Roman" w:hAnsi="Arial" w:cs="Arial"/>
                <w:color w:val="000000"/>
                <w:sz w:val="20"/>
                <w:szCs w:val="20"/>
              </w:rPr>
              <w:t>International Joint Tariff</w:t>
            </w:r>
          </w:p>
        </w:tc>
      </w:tr>
      <w:tr w:rsidR="00000000">
        <w:trPr>
          <w:divId w:val="1168791035"/>
        </w:trPr>
        <w:tc>
          <w:tcPr>
            <w:tcW w:w="0" w:type="auto"/>
            <w:gridSpan w:val="3"/>
            <w:tcMar>
              <w:top w:w="30" w:type="dxa"/>
              <w:left w:w="20" w:type="dxa"/>
              <w:bottom w:w="30" w:type="dxa"/>
              <w:right w:w="20" w:type="dxa"/>
            </w:tcMar>
            <w:hideMark/>
          </w:tcPr>
          <w:p w:rsidR="00000000" w:rsidRDefault="001F1FC8">
            <w:pPr>
              <w:rPr>
                <w:rFonts w:eastAsia="Times New Roman"/>
              </w:rPr>
            </w:pPr>
            <w:r>
              <w:rPr>
                <w:rFonts w:ascii="Arial" w:eastAsia="Times New Roman" w:hAnsi="Arial" w:cs="Arial"/>
                <w:color w:val="000000"/>
                <w:sz w:val="20"/>
                <w:szCs w:val="20"/>
              </w:rPr>
              <w:t>ISO</w:t>
            </w:r>
          </w:p>
        </w:tc>
        <w:tc>
          <w:tcPr>
            <w:tcW w:w="0" w:type="auto"/>
            <w:gridSpan w:val="3"/>
            <w:tcMar>
              <w:top w:w="0" w:type="dxa"/>
              <w:left w:w="20" w:type="dxa"/>
              <w:bottom w:w="0" w:type="dxa"/>
              <w:right w:w="20" w:type="dxa"/>
            </w:tcMar>
            <w:vAlign w:val="center"/>
            <w:hideMark/>
          </w:tcPr>
          <w:p w:rsidR="00000000" w:rsidRDefault="001F1FC8">
            <w:pPr>
              <w:rPr>
                <w:rFonts w:eastAsia="Times New Roman"/>
              </w:rPr>
            </w:pPr>
          </w:p>
        </w:tc>
        <w:tc>
          <w:tcPr>
            <w:tcW w:w="0" w:type="auto"/>
            <w:gridSpan w:val="3"/>
            <w:tcMar>
              <w:top w:w="30" w:type="dxa"/>
              <w:left w:w="20" w:type="dxa"/>
              <w:bottom w:w="30" w:type="dxa"/>
              <w:right w:w="20" w:type="dxa"/>
            </w:tcMar>
            <w:hideMark/>
          </w:tcPr>
          <w:p w:rsidR="00000000" w:rsidRDefault="001F1FC8">
            <w:pPr>
              <w:rPr>
                <w:rFonts w:eastAsia="Times New Roman"/>
              </w:rPr>
            </w:pPr>
            <w:r>
              <w:rPr>
                <w:rFonts w:ascii="Arial" w:eastAsia="Times New Roman" w:hAnsi="Arial" w:cs="Arial"/>
                <w:color w:val="000000"/>
                <w:sz w:val="20"/>
                <w:szCs w:val="20"/>
              </w:rPr>
              <w:t>Incentive Stock Options</w:t>
            </w:r>
          </w:p>
        </w:tc>
      </w:tr>
      <w:tr w:rsidR="00000000">
        <w:trPr>
          <w:divId w:val="1168791035"/>
        </w:trPr>
        <w:tc>
          <w:tcPr>
            <w:tcW w:w="0" w:type="auto"/>
            <w:gridSpan w:val="3"/>
            <w:vAlign w:val="center"/>
            <w:hideMark/>
          </w:tcPr>
          <w:p w:rsidR="00000000" w:rsidRDefault="001F1FC8">
            <w:pPr>
              <w:rPr>
                <w:rFonts w:eastAsia="Times New Roman"/>
              </w:rPr>
            </w:pPr>
          </w:p>
        </w:tc>
        <w:tc>
          <w:tcPr>
            <w:tcW w:w="0" w:type="auto"/>
            <w:gridSpan w:val="3"/>
            <w:vAlign w:val="center"/>
            <w:hideMark/>
          </w:tcPr>
          <w:p w:rsidR="00000000" w:rsidRDefault="001F1FC8">
            <w:pPr>
              <w:rPr>
                <w:rFonts w:eastAsia="Times New Roman"/>
                <w:sz w:val="20"/>
                <w:szCs w:val="20"/>
              </w:rPr>
            </w:pPr>
          </w:p>
        </w:tc>
        <w:tc>
          <w:tcPr>
            <w:tcW w:w="0" w:type="auto"/>
            <w:gridSpan w:val="3"/>
            <w:vAlign w:val="center"/>
            <w:hideMark/>
          </w:tcPr>
          <w:p w:rsidR="00000000" w:rsidRDefault="001F1FC8">
            <w:pPr>
              <w:rPr>
                <w:rFonts w:eastAsia="Times New Roman"/>
                <w:sz w:val="20"/>
                <w:szCs w:val="20"/>
              </w:rPr>
            </w:pPr>
          </w:p>
        </w:tc>
      </w:tr>
      <w:tr w:rsidR="00000000">
        <w:trPr>
          <w:divId w:val="1168791035"/>
        </w:trPr>
        <w:tc>
          <w:tcPr>
            <w:tcW w:w="0" w:type="auto"/>
            <w:gridSpan w:val="3"/>
            <w:tcMar>
              <w:top w:w="30" w:type="dxa"/>
              <w:left w:w="20" w:type="dxa"/>
              <w:bottom w:w="30" w:type="dxa"/>
              <w:right w:w="20" w:type="dxa"/>
            </w:tcMar>
            <w:hideMark/>
          </w:tcPr>
          <w:p w:rsidR="00000000" w:rsidRDefault="001F1FC8">
            <w:pPr>
              <w:rPr>
                <w:rFonts w:eastAsia="Times New Roman"/>
              </w:rPr>
            </w:pPr>
            <w:r>
              <w:rPr>
                <w:rFonts w:ascii="Arial" w:eastAsia="Times New Roman" w:hAnsi="Arial" w:cs="Arial"/>
                <w:color w:val="000000"/>
                <w:sz w:val="20"/>
                <w:szCs w:val="20"/>
              </w:rPr>
              <w:t>kbpd</w:t>
            </w:r>
          </w:p>
        </w:tc>
        <w:tc>
          <w:tcPr>
            <w:tcW w:w="0" w:type="auto"/>
            <w:gridSpan w:val="3"/>
            <w:tcMar>
              <w:top w:w="0" w:type="dxa"/>
              <w:left w:w="20" w:type="dxa"/>
              <w:bottom w:w="0" w:type="dxa"/>
              <w:right w:w="20" w:type="dxa"/>
            </w:tcMar>
            <w:vAlign w:val="center"/>
            <w:hideMark/>
          </w:tcPr>
          <w:p w:rsidR="00000000" w:rsidRDefault="001F1FC8">
            <w:pPr>
              <w:rPr>
                <w:rFonts w:eastAsia="Times New Roman"/>
              </w:rPr>
            </w:pPr>
          </w:p>
        </w:tc>
        <w:tc>
          <w:tcPr>
            <w:tcW w:w="0" w:type="auto"/>
            <w:gridSpan w:val="3"/>
            <w:tcMar>
              <w:top w:w="30" w:type="dxa"/>
              <w:left w:w="20" w:type="dxa"/>
              <w:bottom w:w="30" w:type="dxa"/>
              <w:right w:w="20" w:type="dxa"/>
            </w:tcMar>
            <w:hideMark/>
          </w:tcPr>
          <w:p w:rsidR="00000000" w:rsidRDefault="001F1FC8">
            <w:pPr>
              <w:rPr>
                <w:rFonts w:eastAsia="Times New Roman"/>
              </w:rPr>
            </w:pPr>
            <w:r>
              <w:rPr>
                <w:rFonts w:ascii="Arial" w:eastAsia="Times New Roman" w:hAnsi="Arial" w:cs="Arial"/>
                <w:color w:val="000000"/>
                <w:sz w:val="20"/>
                <w:szCs w:val="20"/>
              </w:rPr>
              <w:t>Thousand barrels per day</w:t>
            </w:r>
          </w:p>
        </w:tc>
      </w:tr>
      <w:tr w:rsidR="00000000">
        <w:trPr>
          <w:divId w:val="1168791035"/>
        </w:trPr>
        <w:tc>
          <w:tcPr>
            <w:tcW w:w="0" w:type="auto"/>
            <w:gridSpan w:val="3"/>
            <w:vAlign w:val="center"/>
            <w:hideMark/>
          </w:tcPr>
          <w:p w:rsidR="00000000" w:rsidRDefault="001F1FC8">
            <w:pPr>
              <w:rPr>
                <w:rFonts w:eastAsia="Times New Roman"/>
              </w:rPr>
            </w:pPr>
          </w:p>
        </w:tc>
        <w:tc>
          <w:tcPr>
            <w:tcW w:w="0" w:type="auto"/>
            <w:gridSpan w:val="3"/>
            <w:vAlign w:val="center"/>
            <w:hideMark/>
          </w:tcPr>
          <w:p w:rsidR="00000000" w:rsidRDefault="001F1FC8">
            <w:pPr>
              <w:rPr>
                <w:rFonts w:eastAsia="Times New Roman"/>
                <w:sz w:val="20"/>
                <w:szCs w:val="20"/>
              </w:rPr>
            </w:pPr>
          </w:p>
        </w:tc>
        <w:tc>
          <w:tcPr>
            <w:tcW w:w="0" w:type="auto"/>
            <w:gridSpan w:val="3"/>
            <w:vAlign w:val="center"/>
            <w:hideMark/>
          </w:tcPr>
          <w:p w:rsidR="00000000" w:rsidRDefault="001F1FC8">
            <w:pPr>
              <w:rPr>
                <w:rFonts w:eastAsia="Times New Roman"/>
                <w:sz w:val="20"/>
                <w:szCs w:val="20"/>
              </w:rPr>
            </w:pPr>
          </w:p>
        </w:tc>
      </w:tr>
      <w:tr w:rsidR="00000000">
        <w:trPr>
          <w:divId w:val="1168791035"/>
        </w:trPr>
        <w:tc>
          <w:tcPr>
            <w:tcW w:w="0" w:type="auto"/>
            <w:gridSpan w:val="3"/>
            <w:tcMar>
              <w:top w:w="30" w:type="dxa"/>
              <w:left w:w="20" w:type="dxa"/>
              <w:bottom w:w="30" w:type="dxa"/>
              <w:right w:w="20" w:type="dxa"/>
            </w:tcMar>
            <w:hideMark/>
          </w:tcPr>
          <w:p w:rsidR="00000000" w:rsidRDefault="001F1FC8">
            <w:pPr>
              <w:rPr>
                <w:rFonts w:eastAsia="Times New Roman"/>
              </w:rPr>
            </w:pPr>
            <w:r>
              <w:rPr>
                <w:rFonts w:ascii="Arial" w:eastAsia="Times New Roman" w:hAnsi="Arial" w:cs="Arial"/>
                <w:color w:val="000000"/>
                <w:sz w:val="20"/>
                <w:szCs w:val="20"/>
              </w:rPr>
              <w:t>LMCI</w:t>
            </w:r>
          </w:p>
        </w:tc>
        <w:tc>
          <w:tcPr>
            <w:tcW w:w="0" w:type="auto"/>
            <w:gridSpan w:val="3"/>
            <w:tcMar>
              <w:top w:w="0" w:type="dxa"/>
              <w:left w:w="20" w:type="dxa"/>
              <w:bottom w:w="0" w:type="dxa"/>
              <w:right w:w="20" w:type="dxa"/>
            </w:tcMar>
            <w:vAlign w:val="center"/>
            <w:hideMark/>
          </w:tcPr>
          <w:p w:rsidR="00000000" w:rsidRDefault="001F1FC8">
            <w:pPr>
              <w:rPr>
                <w:rFonts w:eastAsia="Times New Roman"/>
              </w:rPr>
            </w:pPr>
          </w:p>
        </w:tc>
        <w:tc>
          <w:tcPr>
            <w:tcW w:w="0" w:type="auto"/>
            <w:gridSpan w:val="3"/>
            <w:tcMar>
              <w:top w:w="30" w:type="dxa"/>
              <w:left w:w="20" w:type="dxa"/>
              <w:bottom w:w="30" w:type="dxa"/>
              <w:right w:w="20" w:type="dxa"/>
            </w:tcMar>
            <w:hideMark/>
          </w:tcPr>
          <w:p w:rsidR="00000000" w:rsidRDefault="001F1FC8">
            <w:pPr>
              <w:rPr>
                <w:rFonts w:eastAsia="Times New Roman"/>
              </w:rPr>
            </w:pPr>
            <w:r>
              <w:rPr>
                <w:rFonts w:ascii="Arial" w:eastAsia="Times New Roman" w:hAnsi="Arial" w:cs="Arial"/>
                <w:color w:val="000000"/>
                <w:sz w:val="20"/>
                <w:szCs w:val="20"/>
              </w:rPr>
              <w:t>Land Matters Consultation Initiative</w:t>
            </w:r>
          </w:p>
        </w:tc>
      </w:tr>
      <w:tr w:rsidR="00000000">
        <w:trPr>
          <w:divId w:val="1168791035"/>
        </w:trPr>
        <w:tc>
          <w:tcPr>
            <w:tcW w:w="0" w:type="auto"/>
            <w:gridSpan w:val="3"/>
            <w:tcMar>
              <w:top w:w="30" w:type="dxa"/>
              <w:left w:w="20" w:type="dxa"/>
              <w:bottom w:w="30" w:type="dxa"/>
              <w:right w:w="20" w:type="dxa"/>
            </w:tcMar>
            <w:hideMark/>
          </w:tcPr>
          <w:p w:rsidR="00000000" w:rsidRDefault="001F1FC8">
            <w:pPr>
              <w:rPr>
                <w:rFonts w:eastAsia="Times New Roman"/>
              </w:rPr>
            </w:pPr>
            <w:r>
              <w:rPr>
                <w:rFonts w:ascii="Arial" w:eastAsia="Times New Roman" w:hAnsi="Arial" w:cs="Arial"/>
                <w:color w:val="000000"/>
                <w:sz w:val="20"/>
                <w:szCs w:val="20"/>
              </w:rPr>
              <w:t>LNG</w:t>
            </w:r>
          </w:p>
        </w:tc>
        <w:tc>
          <w:tcPr>
            <w:tcW w:w="0" w:type="auto"/>
            <w:gridSpan w:val="3"/>
            <w:tcMar>
              <w:top w:w="30" w:type="dxa"/>
              <w:left w:w="20" w:type="dxa"/>
              <w:bottom w:w="30" w:type="dxa"/>
              <w:right w:w="20" w:type="dxa"/>
            </w:tcMar>
            <w:hideMark/>
          </w:tcPr>
          <w:p w:rsidR="00000000" w:rsidRDefault="001F1FC8">
            <w:pPr>
              <w:rPr>
                <w:rFonts w:eastAsia="Times New Roman"/>
              </w:rPr>
            </w:pPr>
            <w:r>
              <w:rPr>
                <w:rFonts w:ascii="Arial" w:eastAsia="Times New Roman" w:hAnsi="Arial" w:cs="Arial"/>
                <w:color w:val="000000"/>
                <w:sz w:val="2"/>
                <w:szCs w:val="2"/>
              </w:rPr>
              <w:t> </w:t>
            </w:r>
          </w:p>
        </w:tc>
        <w:tc>
          <w:tcPr>
            <w:tcW w:w="0" w:type="auto"/>
            <w:gridSpan w:val="3"/>
            <w:tcMar>
              <w:top w:w="30" w:type="dxa"/>
              <w:left w:w="20" w:type="dxa"/>
              <w:bottom w:w="30" w:type="dxa"/>
              <w:right w:w="20" w:type="dxa"/>
            </w:tcMar>
            <w:hideMark/>
          </w:tcPr>
          <w:p w:rsidR="00000000" w:rsidRDefault="001F1FC8">
            <w:pPr>
              <w:rPr>
                <w:rFonts w:eastAsia="Times New Roman"/>
              </w:rPr>
            </w:pPr>
            <w:r>
              <w:rPr>
                <w:rFonts w:ascii="Arial" w:eastAsia="Times New Roman" w:hAnsi="Arial" w:cs="Arial"/>
                <w:color w:val="000000"/>
                <w:sz w:val="20"/>
                <w:szCs w:val="20"/>
              </w:rPr>
              <w:t>Liquefied natural gas</w:t>
            </w:r>
          </w:p>
        </w:tc>
      </w:tr>
      <w:tr w:rsidR="00000000">
        <w:trPr>
          <w:divId w:val="1168791035"/>
        </w:trPr>
        <w:tc>
          <w:tcPr>
            <w:tcW w:w="0" w:type="auto"/>
            <w:gridSpan w:val="3"/>
            <w:tcMar>
              <w:top w:w="30" w:type="dxa"/>
              <w:left w:w="20" w:type="dxa"/>
              <w:bottom w:w="30" w:type="dxa"/>
              <w:right w:w="20" w:type="dxa"/>
            </w:tcMar>
            <w:hideMark/>
          </w:tcPr>
          <w:p w:rsidR="00000000" w:rsidRDefault="001F1FC8">
            <w:pPr>
              <w:rPr>
                <w:rFonts w:eastAsia="Times New Roman"/>
              </w:rPr>
            </w:pPr>
            <w:r>
              <w:rPr>
                <w:rFonts w:ascii="Arial" w:eastAsia="Times New Roman" w:hAnsi="Arial" w:cs="Arial"/>
                <w:color w:val="000000"/>
                <w:sz w:val="20"/>
                <w:szCs w:val="20"/>
              </w:rPr>
              <w:t>MATL</w:t>
            </w:r>
          </w:p>
        </w:tc>
        <w:tc>
          <w:tcPr>
            <w:tcW w:w="0" w:type="auto"/>
            <w:gridSpan w:val="3"/>
            <w:tcMar>
              <w:top w:w="0" w:type="dxa"/>
              <w:left w:w="20" w:type="dxa"/>
              <w:bottom w:w="0" w:type="dxa"/>
              <w:right w:w="20" w:type="dxa"/>
            </w:tcMar>
            <w:vAlign w:val="center"/>
            <w:hideMark/>
          </w:tcPr>
          <w:p w:rsidR="00000000" w:rsidRDefault="001F1FC8">
            <w:pPr>
              <w:rPr>
                <w:rFonts w:eastAsia="Times New Roman"/>
              </w:rPr>
            </w:pPr>
          </w:p>
        </w:tc>
        <w:tc>
          <w:tcPr>
            <w:tcW w:w="0" w:type="auto"/>
            <w:gridSpan w:val="3"/>
            <w:tcMar>
              <w:top w:w="30" w:type="dxa"/>
              <w:left w:w="20" w:type="dxa"/>
              <w:bottom w:w="30" w:type="dxa"/>
              <w:right w:w="20" w:type="dxa"/>
            </w:tcMar>
            <w:hideMark/>
          </w:tcPr>
          <w:p w:rsidR="00000000" w:rsidRDefault="001F1FC8">
            <w:pPr>
              <w:rPr>
                <w:rFonts w:eastAsia="Times New Roman"/>
              </w:rPr>
            </w:pPr>
            <w:r>
              <w:rPr>
                <w:rFonts w:ascii="Arial" w:eastAsia="Times New Roman" w:hAnsi="Arial" w:cs="Arial"/>
                <w:color w:val="000000"/>
                <w:sz w:val="20"/>
                <w:szCs w:val="20"/>
              </w:rPr>
              <w:t>Montana-Alberta Tie-Line</w:t>
            </w:r>
          </w:p>
        </w:tc>
      </w:tr>
      <w:tr w:rsidR="00000000">
        <w:trPr>
          <w:divId w:val="1168791035"/>
        </w:trPr>
        <w:tc>
          <w:tcPr>
            <w:tcW w:w="0" w:type="auto"/>
            <w:gridSpan w:val="3"/>
            <w:tcMar>
              <w:top w:w="30" w:type="dxa"/>
              <w:left w:w="20" w:type="dxa"/>
              <w:bottom w:w="30" w:type="dxa"/>
              <w:right w:w="20" w:type="dxa"/>
            </w:tcMar>
            <w:hideMark/>
          </w:tcPr>
          <w:p w:rsidR="00000000" w:rsidRDefault="001F1FC8">
            <w:pPr>
              <w:rPr>
                <w:rFonts w:eastAsia="Times New Roman"/>
              </w:rPr>
            </w:pPr>
            <w:r>
              <w:rPr>
                <w:rFonts w:ascii="Arial" w:eastAsia="Times New Roman" w:hAnsi="Arial" w:cs="Arial"/>
                <w:color w:val="000000"/>
                <w:sz w:val="20"/>
                <w:szCs w:val="20"/>
              </w:rPr>
              <w:t>MD&amp;A</w:t>
            </w:r>
          </w:p>
        </w:tc>
        <w:tc>
          <w:tcPr>
            <w:tcW w:w="0" w:type="auto"/>
            <w:gridSpan w:val="3"/>
            <w:tcMar>
              <w:top w:w="30" w:type="dxa"/>
              <w:left w:w="20" w:type="dxa"/>
              <w:bottom w:w="30" w:type="dxa"/>
              <w:right w:w="20" w:type="dxa"/>
            </w:tcMar>
            <w:hideMark/>
          </w:tcPr>
          <w:p w:rsidR="00000000" w:rsidRDefault="001F1FC8">
            <w:pPr>
              <w:rPr>
                <w:rFonts w:eastAsia="Times New Roman"/>
              </w:rPr>
            </w:pPr>
            <w:r>
              <w:rPr>
                <w:rFonts w:ascii="Arial" w:eastAsia="Times New Roman" w:hAnsi="Arial" w:cs="Arial"/>
                <w:color w:val="000000"/>
                <w:sz w:val="2"/>
                <w:szCs w:val="2"/>
              </w:rPr>
              <w:t> </w:t>
            </w:r>
          </w:p>
        </w:tc>
        <w:tc>
          <w:tcPr>
            <w:tcW w:w="0" w:type="auto"/>
            <w:gridSpan w:val="3"/>
            <w:tcMar>
              <w:top w:w="30" w:type="dxa"/>
              <w:left w:w="20" w:type="dxa"/>
              <w:bottom w:w="30" w:type="dxa"/>
              <w:right w:w="20" w:type="dxa"/>
            </w:tcMar>
            <w:hideMark/>
          </w:tcPr>
          <w:p w:rsidR="00000000" w:rsidRDefault="001F1FC8">
            <w:pPr>
              <w:rPr>
                <w:rFonts w:eastAsia="Times New Roman"/>
              </w:rPr>
            </w:pPr>
            <w:r>
              <w:rPr>
                <w:rFonts w:ascii="Arial" w:eastAsia="Times New Roman" w:hAnsi="Arial" w:cs="Arial"/>
                <w:color w:val="000000"/>
                <w:sz w:val="20"/>
                <w:szCs w:val="20"/>
              </w:rPr>
              <w:t>Management’s Discussion and Analysis</w:t>
            </w:r>
          </w:p>
        </w:tc>
      </w:tr>
      <w:tr w:rsidR="00000000">
        <w:trPr>
          <w:divId w:val="1168791035"/>
        </w:trPr>
        <w:tc>
          <w:tcPr>
            <w:tcW w:w="0" w:type="auto"/>
            <w:gridSpan w:val="3"/>
            <w:tcMar>
              <w:top w:w="30" w:type="dxa"/>
              <w:left w:w="20" w:type="dxa"/>
              <w:bottom w:w="30" w:type="dxa"/>
              <w:right w:w="20" w:type="dxa"/>
            </w:tcMar>
            <w:hideMark/>
          </w:tcPr>
          <w:p w:rsidR="00000000" w:rsidRDefault="001F1FC8">
            <w:pPr>
              <w:rPr>
                <w:rFonts w:eastAsia="Times New Roman"/>
              </w:rPr>
            </w:pPr>
            <w:r>
              <w:rPr>
                <w:rFonts w:ascii="Arial" w:eastAsia="Times New Roman" w:hAnsi="Arial" w:cs="Arial"/>
                <w:color w:val="000000"/>
                <w:sz w:val="20"/>
                <w:szCs w:val="20"/>
              </w:rPr>
              <w:t>Moda</w:t>
            </w:r>
          </w:p>
        </w:tc>
        <w:tc>
          <w:tcPr>
            <w:tcW w:w="0" w:type="auto"/>
            <w:gridSpan w:val="3"/>
            <w:tcMar>
              <w:top w:w="0" w:type="dxa"/>
              <w:left w:w="20" w:type="dxa"/>
              <w:bottom w:w="0" w:type="dxa"/>
              <w:right w:w="20" w:type="dxa"/>
            </w:tcMar>
            <w:vAlign w:val="center"/>
            <w:hideMark/>
          </w:tcPr>
          <w:p w:rsidR="00000000" w:rsidRDefault="001F1FC8">
            <w:pPr>
              <w:rPr>
                <w:rFonts w:eastAsia="Times New Roman"/>
              </w:rPr>
            </w:pPr>
          </w:p>
        </w:tc>
        <w:tc>
          <w:tcPr>
            <w:tcW w:w="0" w:type="auto"/>
            <w:gridSpan w:val="3"/>
            <w:tcMar>
              <w:top w:w="30" w:type="dxa"/>
              <w:left w:w="20" w:type="dxa"/>
              <w:bottom w:w="30" w:type="dxa"/>
              <w:right w:w="20" w:type="dxa"/>
            </w:tcMar>
            <w:hideMark/>
          </w:tcPr>
          <w:p w:rsidR="00000000" w:rsidRDefault="001F1FC8">
            <w:pPr>
              <w:divId w:val="824395026"/>
              <w:rPr>
                <w:rFonts w:eastAsia="Times New Roman"/>
              </w:rPr>
            </w:pPr>
            <w:r>
              <w:rPr>
                <w:rFonts w:ascii="Arial" w:eastAsia="Times New Roman" w:hAnsi="Arial" w:cs="Arial"/>
                <w:color w:val="000000"/>
                <w:sz w:val="20"/>
                <w:szCs w:val="20"/>
              </w:rPr>
              <w:t xml:space="preserve">Moda Midstream Operating, LLC </w:t>
            </w:r>
          </w:p>
        </w:tc>
      </w:tr>
      <w:tr w:rsidR="00000000">
        <w:trPr>
          <w:divId w:val="1168791035"/>
        </w:trPr>
        <w:tc>
          <w:tcPr>
            <w:tcW w:w="0" w:type="auto"/>
            <w:gridSpan w:val="3"/>
            <w:vAlign w:val="center"/>
            <w:hideMark/>
          </w:tcPr>
          <w:p w:rsidR="00000000" w:rsidRDefault="001F1FC8">
            <w:pPr>
              <w:rPr>
                <w:rFonts w:eastAsia="Times New Roman"/>
              </w:rPr>
            </w:pPr>
          </w:p>
        </w:tc>
        <w:tc>
          <w:tcPr>
            <w:tcW w:w="0" w:type="auto"/>
            <w:gridSpan w:val="3"/>
            <w:vAlign w:val="center"/>
            <w:hideMark/>
          </w:tcPr>
          <w:p w:rsidR="00000000" w:rsidRDefault="001F1FC8">
            <w:pPr>
              <w:rPr>
                <w:rFonts w:eastAsia="Times New Roman"/>
                <w:sz w:val="20"/>
                <w:szCs w:val="20"/>
              </w:rPr>
            </w:pPr>
          </w:p>
        </w:tc>
        <w:tc>
          <w:tcPr>
            <w:tcW w:w="0" w:type="auto"/>
            <w:gridSpan w:val="3"/>
            <w:vAlign w:val="center"/>
            <w:hideMark/>
          </w:tcPr>
          <w:p w:rsidR="00000000" w:rsidRDefault="001F1FC8">
            <w:pPr>
              <w:rPr>
                <w:rFonts w:eastAsia="Times New Roman"/>
                <w:sz w:val="20"/>
                <w:szCs w:val="20"/>
              </w:rPr>
            </w:pPr>
          </w:p>
        </w:tc>
      </w:tr>
      <w:tr w:rsidR="00000000">
        <w:trPr>
          <w:divId w:val="1168791035"/>
        </w:trPr>
        <w:tc>
          <w:tcPr>
            <w:tcW w:w="0" w:type="auto"/>
            <w:gridSpan w:val="3"/>
            <w:vAlign w:val="center"/>
            <w:hideMark/>
          </w:tcPr>
          <w:p w:rsidR="00000000" w:rsidRDefault="001F1FC8">
            <w:pPr>
              <w:rPr>
                <w:rFonts w:eastAsia="Times New Roman"/>
                <w:sz w:val="20"/>
                <w:szCs w:val="20"/>
              </w:rPr>
            </w:pPr>
          </w:p>
        </w:tc>
        <w:tc>
          <w:tcPr>
            <w:tcW w:w="0" w:type="auto"/>
            <w:gridSpan w:val="3"/>
            <w:vAlign w:val="center"/>
            <w:hideMark/>
          </w:tcPr>
          <w:p w:rsidR="00000000" w:rsidRDefault="001F1FC8">
            <w:pPr>
              <w:rPr>
                <w:rFonts w:eastAsia="Times New Roman"/>
                <w:sz w:val="20"/>
                <w:szCs w:val="20"/>
              </w:rPr>
            </w:pPr>
          </w:p>
        </w:tc>
        <w:tc>
          <w:tcPr>
            <w:tcW w:w="0" w:type="auto"/>
            <w:gridSpan w:val="3"/>
            <w:vAlign w:val="center"/>
            <w:hideMark/>
          </w:tcPr>
          <w:p w:rsidR="00000000" w:rsidRDefault="001F1FC8">
            <w:pPr>
              <w:rPr>
                <w:rFonts w:eastAsia="Times New Roman"/>
                <w:sz w:val="20"/>
                <w:szCs w:val="20"/>
              </w:rPr>
            </w:pPr>
          </w:p>
        </w:tc>
      </w:tr>
      <w:tr w:rsidR="00000000">
        <w:trPr>
          <w:divId w:val="1168791035"/>
        </w:trPr>
        <w:tc>
          <w:tcPr>
            <w:tcW w:w="0" w:type="auto"/>
            <w:gridSpan w:val="3"/>
            <w:vAlign w:val="center"/>
            <w:hideMark/>
          </w:tcPr>
          <w:p w:rsidR="00000000" w:rsidRDefault="001F1FC8">
            <w:pPr>
              <w:rPr>
                <w:rFonts w:eastAsia="Times New Roman"/>
                <w:sz w:val="20"/>
                <w:szCs w:val="20"/>
              </w:rPr>
            </w:pPr>
          </w:p>
        </w:tc>
        <w:tc>
          <w:tcPr>
            <w:tcW w:w="0" w:type="auto"/>
            <w:gridSpan w:val="3"/>
            <w:vAlign w:val="center"/>
            <w:hideMark/>
          </w:tcPr>
          <w:p w:rsidR="00000000" w:rsidRDefault="001F1FC8">
            <w:pPr>
              <w:rPr>
                <w:rFonts w:eastAsia="Times New Roman"/>
                <w:sz w:val="20"/>
                <w:szCs w:val="20"/>
              </w:rPr>
            </w:pPr>
          </w:p>
        </w:tc>
        <w:tc>
          <w:tcPr>
            <w:tcW w:w="0" w:type="auto"/>
            <w:gridSpan w:val="3"/>
            <w:vAlign w:val="center"/>
            <w:hideMark/>
          </w:tcPr>
          <w:p w:rsidR="00000000" w:rsidRDefault="001F1FC8">
            <w:pPr>
              <w:rPr>
                <w:rFonts w:eastAsia="Times New Roman"/>
                <w:sz w:val="20"/>
                <w:szCs w:val="20"/>
              </w:rPr>
            </w:pPr>
          </w:p>
        </w:tc>
      </w:tr>
    </w:tbl>
    <w:p w:rsidR="00000000" w:rsidRDefault="001F1FC8">
      <w:pPr>
        <w:jc w:val="center"/>
        <w:divId w:val="219364779"/>
        <w:rPr>
          <w:rFonts w:eastAsia="Times New Roman"/>
        </w:rPr>
      </w:pPr>
      <w:r>
        <w:rPr>
          <w:rFonts w:ascii="Arial" w:eastAsia="Times New Roman" w:hAnsi="Arial" w:cs="Arial"/>
          <w:color w:val="000000"/>
          <w:sz w:val="20"/>
          <w:szCs w:val="20"/>
        </w:rPr>
        <w:t>4</w:t>
      </w:r>
    </w:p>
    <w:p w:rsidR="00000000" w:rsidRDefault="001F1FC8">
      <w:pPr>
        <w:rPr>
          <w:rFonts w:eastAsia="Times New Roman"/>
        </w:rPr>
      </w:pPr>
      <w:r>
        <w:rPr>
          <w:rFonts w:eastAsia="Times New Roman"/>
        </w:rPr>
        <w:pict>
          <v:rect id="_x0000_i1028" style="width:0;height:1.5pt" o:hralign="center" o:hrstd="t" o:hr="t" fillcolor="#a0a0a0" stroked="f"/>
        </w:pict>
      </w:r>
    </w:p>
    <w:p w:rsidR="00000000" w:rsidRDefault="001F1FC8">
      <w:pPr>
        <w:jc w:val="center"/>
        <w:divId w:val="1929997431"/>
        <w:rPr>
          <w:rFonts w:eastAsia="Times New Roman"/>
        </w:rPr>
      </w:pPr>
    </w:p>
    <w:tbl>
      <w:tblPr>
        <w:tblW w:w="4991" w:type="pct"/>
        <w:tblCellMar>
          <w:top w:w="15" w:type="dxa"/>
          <w:left w:w="15" w:type="dxa"/>
          <w:bottom w:w="15" w:type="dxa"/>
          <w:right w:w="15" w:type="dxa"/>
        </w:tblCellMar>
        <w:tblLook w:val="04A0" w:firstRow="1" w:lastRow="0" w:firstColumn="1" w:lastColumn="0" w:noHBand="0" w:noVBand="1"/>
      </w:tblPr>
      <w:tblGrid>
        <w:gridCol w:w="60"/>
        <w:gridCol w:w="2454"/>
        <w:gridCol w:w="37"/>
        <w:gridCol w:w="36"/>
        <w:gridCol w:w="36"/>
        <w:gridCol w:w="36"/>
        <w:gridCol w:w="52"/>
        <w:gridCol w:w="5543"/>
        <w:gridCol w:w="37"/>
      </w:tblGrid>
      <w:tr w:rsidR="00000000">
        <w:trPr>
          <w:divId w:val="1597133949"/>
        </w:trPr>
        <w:tc>
          <w:tcPr>
            <w:tcW w:w="50" w:type="pct"/>
            <w:vAlign w:val="center"/>
            <w:hideMark/>
          </w:tcPr>
          <w:p w:rsidR="00000000" w:rsidRDefault="001F1FC8">
            <w:pPr>
              <w:jc w:val="center"/>
              <w:rPr>
                <w:rFonts w:eastAsia="Times New Roman"/>
              </w:rPr>
            </w:pPr>
          </w:p>
        </w:tc>
        <w:tc>
          <w:tcPr>
            <w:tcW w:w="1493"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c>
          <w:tcPr>
            <w:tcW w:w="30"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c>
          <w:tcPr>
            <w:tcW w:w="50" w:type="pct"/>
            <w:vAlign w:val="center"/>
            <w:hideMark/>
          </w:tcPr>
          <w:p w:rsidR="00000000" w:rsidRDefault="001F1FC8">
            <w:pPr>
              <w:rPr>
                <w:rFonts w:eastAsia="Times New Roman"/>
                <w:sz w:val="20"/>
                <w:szCs w:val="20"/>
              </w:rPr>
            </w:pPr>
          </w:p>
        </w:tc>
        <w:tc>
          <w:tcPr>
            <w:tcW w:w="3355"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r>
      <w:tr w:rsidR="00000000">
        <w:trPr>
          <w:divId w:val="1597133949"/>
        </w:trPr>
        <w:tc>
          <w:tcPr>
            <w:tcW w:w="0" w:type="auto"/>
            <w:gridSpan w:val="3"/>
            <w:tcMar>
              <w:top w:w="30" w:type="dxa"/>
              <w:left w:w="20" w:type="dxa"/>
              <w:bottom w:w="30" w:type="dxa"/>
              <w:right w:w="20" w:type="dxa"/>
            </w:tcMar>
            <w:hideMark/>
          </w:tcPr>
          <w:p w:rsidR="00000000" w:rsidRDefault="001F1FC8">
            <w:pPr>
              <w:rPr>
                <w:rFonts w:eastAsia="Times New Roman"/>
              </w:rPr>
            </w:pPr>
            <w:r>
              <w:rPr>
                <w:rFonts w:ascii="Arial" w:eastAsia="Times New Roman" w:hAnsi="Arial" w:cs="Arial"/>
                <w:color w:val="000000"/>
                <w:sz w:val="20"/>
                <w:szCs w:val="20"/>
              </w:rPr>
              <w:t>MW</w:t>
            </w:r>
          </w:p>
        </w:tc>
        <w:tc>
          <w:tcPr>
            <w:tcW w:w="0" w:type="auto"/>
            <w:gridSpan w:val="3"/>
            <w:tcMar>
              <w:top w:w="30" w:type="dxa"/>
              <w:left w:w="20" w:type="dxa"/>
              <w:bottom w:w="30" w:type="dxa"/>
              <w:right w:w="20" w:type="dxa"/>
            </w:tcMar>
            <w:hideMark/>
          </w:tcPr>
          <w:p w:rsidR="00000000" w:rsidRDefault="001F1FC8">
            <w:pPr>
              <w:rPr>
                <w:rFonts w:eastAsia="Times New Roman"/>
              </w:rPr>
            </w:pPr>
            <w:r>
              <w:rPr>
                <w:rFonts w:ascii="Arial" w:eastAsia="Times New Roman" w:hAnsi="Arial" w:cs="Arial"/>
                <w:color w:val="000000"/>
                <w:sz w:val="2"/>
                <w:szCs w:val="2"/>
              </w:rPr>
              <w:t> </w:t>
            </w:r>
          </w:p>
        </w:tc>
        <w:tc>
          <w:tcPr>
            <w:tcW w:w="0" w:type="auto"/>
            <w:gridSpan w:val="3"/>
            <w:tcMar>
              <w:top w:w="30" w:type="dxa"/>
              <w:left w:w="20" w:type="dxa"/>
              <w:bottom w:w="30" w:type="dxa"/>
              <w:right w:w="20" w:type="dxa"/>
            </w:tcMar>
            <w:hideMark/>
          </w:tcPr>
          <w:p w:rsidR="00000000" w:rsidRDefault="001F1FC8">
            <w:pPr>
              <w:rPr>
                <w:rFonts w:eastAsia="Times New Roman"/>
              </w:rPr>
            </w:pPr>
            <w:r>
              <w:rPr>
                <w:rFonts w:ascii="Arial" w:eastAsia="Times New Roman" w:hAnsi="Arial" w:cs="Arial"/>
                <w:color w:val="000000"/>
                <w:sz w:val="20"/>
                <w:szCs w:val="20"/>
              </w:rPr>
              <w:t>Megawatts</w:t>
            </w:r>
          </w:p>
        </w:tc>
      </w:tr>
      <w:tr w:rsidR="00000000">
        <w:trPr>
          <w:divId w:val="1597133949"/>
        </w:trPr>
        <w:tc>
          <w:tcPr>
            <w:tcW w:w="0" w:type="auto"/>
            <w:gridSpan w:val="3"/>
            <w:tcMar>
              <w:top w:w="30" w:type="dxa"/>
              <w:left w:w="20" w:type="dxa"/>
              <w:bottom w:w="30" w:type="dxa"/>
              <w:right w:w="20" w:type="dxa"/>
            </w:tcMar>
            <w:hideMark/>
          </w:tcPr>
          <w:p w:rsidR="00000000" w:rsidRDefault="001F1FC8">
            <w:pPr>
              <w:rPr>
                <w:rFonts w:eastAsia="Times New Roman"/>
              </w:rPr>
            </w:pPr>
            <w:r>
              <w:rPr>
                <w:rFonts w:ascii="Arial" w:eastAsia="Times New Roman" w:hAnsi="Arial" w:cs="Arial"/>
                <w:color w:val="000000"/>
                <w:sz w:val="20"/>
                <w:szCs w:val="20"/>
              </w:rPr>
              <w:t>NCIB</w:t>
            </w:r>
          </w:p>
        </w:tc>
        <w:tc>
          <w:tcPr>
            <w:tcW w:w="0" w:type="auto"/>
            <w:gridSpan w:val="3"/>
            <w:tcMar>
              <w:top w:w="0" w:type="dxa"/>
              <w:left w:w="20" w:type="dxa"/>
              <w:bottom w:w="0" w:type="dxa"/>
              <w:right w:w="20" w:type="dxa"/>
            </w:tcMar>
            <w:vAlign w:val="center"/>
            <w:hideMark/>
          </w:tcPr>
          <w:p w:rsidR="00000000" w:rsidRDefault="001F1FC8">
            <w:pPr>
              <w:rPr>
                <w:rFonts w:eastAsia="Times New Roman"/>
              </w:rPr>
            </w:pPr>
          </w:p>
        </w:tc>
        <w:tc>
          <w:tcPr>
            <w:tcW w:w="0" w:type="auto"/>
            <w:gridSpan w:val="3"/>
            <w:tcMar>
              <w:top w:w="30" w:type="dxa"/>
              <w:left w:w="20" w:type="dxa"/>
              <w:bottom w:w="30" w:type="dxa"/>
              <w:right w:w="20" w:type="dxa"/>
            </w:tcMar>
            <w:hideMark/>
          </w:tcPr>
          <w:p w:rsidR="00000000" w:rsidRDefault="001F1FC8">
            <w:pPr>
              <w:rPr>
                <w:rFonts w:eastAsia="Times New Roman"/>
              </w:rPr>
            </w:pPr>
            <w:r>
              <w:rPr>
                <w:rFonts w:ascii="Arial" w:eastAsia="Times New Roman" w:hAnsi="Arial" w:cs="Arial"/>
                <w:color w:val="000000"/>
                <w:sz w:val="20"/>
                <w:szCs w:val="20"/>
              </w:rPr>
              <w:t>Normal course issuer bid</w:t>
            </w:r>
          </w:p>
        </w:tc>
      </w:tr>
      <w:tr w:rsidR="00000000">
        <w:trPr>
          <w:divId w:val="1597133949"/>
        </w:trPr>
        <w:tc>
          <w:tcPr>
            <w:tcW w:w="0" w:type="auto"/>
            <w:gridSpan w:val="3"/>
            <w:tcMar>
              <w:top w:w="30" w:type="dxa"/>
              <w:left w:w="20" w:type="dxa"/>
              <w:bottom w:w="30" w:type="dxa"/>
              <w:right w:w="20" w:type="dxa"/>
            </w:tcMar>
            <w:hideMark/>
          </w:tcPr>
          <w:p w:rsidR="00000000" w:rsidRDefault="001F1FC8">
            <w:pPr>
              <w:rPr>
                <w:rFonts w:eastAsia="Times New Roman"/>
              </w:rPr>
            </w:pPr>
            <w:r>
              <w:rPr>
                <w:rFonts w:ascii="Arial" w:eastAsia="Times New Roman" w:hAnsi="Arial" w:cs="Arial"/>
                <w:color w:val="000000"/>
                <w:sz w:val="20"/>
                <w:szCs w:val="20"/>
              </w:rPr>
              <w:t>NGLs</w:t>
            </w:r>
          </w:p>
        </w:tc>
        <w:tc>
          <w:tcPr>
            <w:tcW w:w="0" w:type="auto"/>
            <w:gridSpan w:val="3"/>
            <w:tcMar>
              <w:top w:w="30" w:type="dxa"/>
              <w:left w:w="20" w:type="dxa"/>
              <w:bottom w:w="30" w:type="dxa"/>
              <w:right w:w="20" w:type="dxa"/>
            </w:tcMar>
            <w:hideMark/>
          </w:tcPr>
          <w:p w:rsidR="00000000" w:rsidRDefault="001F1FC8">
            <w:pPr>
              <w:rPr>
                <w:rFonts w:eastAsia="Times New Roman"/>
              </w:rPr>
            </w:pPr>
            <w:r>
              <w:rPr>
                <w:rFonts w:ascii="Arial" w:eastAsia="Times New Roman" w:hAnsi="Arial" w:cs="Arial"/>
                <w:color w:val="000000"/>
                <w:sz w:val="2"/>
                <w:szCs w:val="2"/>
              </w:rPr>
              <w:t> </w:t>
            </w:r>
          </w:p>
        </w:tc>
        <w:tc>
          <w:tcPr>
            <w:tcW w:w="0" w:type="auto"/>
            <w:gridSpan w:val="3"/>
            <w:tcMar>
              <w:top w:w="30" w:type="dxa"/>
              <w:left w:w="20" w:type="dxa"/>
              <w:bottom w:w="30" w:type="dxa"/>
              <w:right w:w="20" w:type="dxa"/>
            </w:tcMar>
            <w:hideMark/>
          </w:tcPr>
          <w:p w:rsidR="00000000" w:rsidRDefault="001F1FC8">
            <w:pPr>
              <w:rPr>
                <w:rFonts w:eastAsia="Times New Roman"/>
              </w:rPr>
            </w:pPr>
            <w:r>
              <w:rPr>
                <w:rFonts w:ascii="Arial" w:eastAsia="Times New Roman" w:hAnsi="Arial" w:cs="Arial"/>
                <w:color w:val="000000"/>
                <w:sz w:val="20"/>
                <w:szCs w:val="20"/>
              </w:rPr>
              <w:t>Natural gas liquids</w:t>
            </w:r>
          </w:p>
        </w:tc>
      </w:tr>
      <w:tr w:rsidR="00000000">
        <w:trPr>
          <w:divId w:val="1597133949"/>
        </w:trPr>
        <w:tc>
          <w:tcPr>
            <w:tcW w:w="0" w:type="auto"/>
            <w:gridSpan w:val="3"/>
            <w:tcMar>
              <w:top w:w="30" w:type="dxa"/>
              <w:left w:w="20" w:type="dxa"/>
              <w:bottom w:w="30" w:type="dxa"/>
              <w:right w:w="20" w:type="dxa"/>
            </w:tcMar>
            <w:hideMark/>
          </w:tcPr>
          <w:p w:rsidR="00000000" w:rsidRDefault="001F1FC8">
            <w:pPr>
              <w:rPr>
                <w:rFonts w:eastAsia="Times New Roman"/>
              </w:rPr>
            </w:pPr>
            <w:r>
              <w:rPr>
                <w:rFonts w:ascii="Arial" w:eastAsia="Times New Roman" w:hAnsi="Arial" w:cs="Arial"/>
                <w:color w:val="000000"/>
                <w:sz w:val="20"/>
                <w:szCs w:val="20"/>
              </w:rPr>
              <w:t>Noverco</w:t>
            </w:r>
          </w:p>
        </w:tc>
        <w:tc>
          <w:tcPr>
            <w:tcW w:w="0" w:type="auto"/>
            <w:gridSpan w:val="3"/>
            <w:tcMar>
              <w:top w:w="30" w:type="dxa"/>
              <w:left w:w="20" w:type="dxa"/>
              <w:bottom w:w="30" w:type="dxa"/>
              <w:right w:w="20" w:type="dxa"/>
            </w:tcMar>
            <w:hideMark/>
          </w:tcPr>
          <w:p w:rsidR="00000000" w:rsidRDefault="001F1FC8">
            <w:pPr>
              <w:rPr>
                <w:rFonts w:eastAsia="Times New Roman"/>
              </w:rPr>
            </w:pPr>
            <w:r>
              <w:rPr>
                <w:rFonts w:ascii="Arial" w:eastAsia="Times New Roman" w:hAnsi="Arial" w:cs="Arial"/>
                <w:color w:val="000000"/>
                <w:sz w:val="2"/>
                <w:szCs w:val="2"/>
              </w:rPr>
              <w:t> </w:t>
            </w:r>
          </w:p>
        </w:tc>
        <w:tc>
          <w:tcPr>
            <w:tcW w:w="0" w:type="auto"/>
            <w:gridSpan w:val="3"/>
            <w:tcMar>
              <w:top w:w="30" w:type="dxa"/>
              <w:left w:w="20" w:type="dxa"/>
              <w:bottom w:w="30" w:type="dxa"/>
              <w:right w:w="20" w:type="dxa"/>
            </w:tcMar>
            <w:hideMark/>
          </w:tcPr>
          <w:p w:rsidR="00000000" w:rsidRDefault="001F1FC8">
            <w:pPr>
              <w:rPr>
                <w:rFonts w:eastAsia="Times New Roman"/>
              </w:rPr>
            </w:pPr>
            <w:r>
              <w:rPr>
                <w:rFonts w:ascii="Arial" w:eastAsia="Times New Roman" w:hAnsi="Arial" w:cs="Arial"/>
                <w:color w:val="000000"/>
                <w:sz w:val="20"/>
                <w:szCs w:val="20"/>
              </w:rPr>
              <w:t>Noverco Inc.</w:t>
            </w:r>
          </w:p>
        </w:tc>
      </w:tr>
      <w:tr w:rsidR="00000000">
        <w:trPr>
          <w:divId w:val="1597133949"/>
        </w:trPr>
        <w:tc>
          <w:tcPr>
            <w:tcW w:w="0" w:type="auto"/>
            <w:gridSpan w:val="3"/>
            <w:tcMar>
              <w:top w:w="30" w:type="dxa"/>
              <w:left w:w="20" w:type="dxa"/>
              <w:bottom w:w="30" w:type="dxa"/>
              <w:right w:w="20" w:type="dxa"/>
            </w:tcMar>
            <w:hideMark/>
          </w:tcPr>
          <w:p w:rsidR="00000000" w:rsidRDefault="001F1FC8">
            <w:pPr>
              <w:rPr>
                <w:rFonts w:eastAsia="Times New Roman"/>
              </w:rPr>
            </w:pPr>
            <w:r>
              <w:rPr>
                <w:rFonts w:ascii="Arial" w:eastAsia="Times New Roman" w:hAnsi="Arial" w:cs="Arial"/>
                <w:color w:val="000000"/>
                <w:sz w:val="20"/>
                <w:szCs w:val="20"/>
              </w:rPr>
              <w:t>NYSE</w:t>
            </w:r>
          </w:p>
        </w:tc>
        <w:tc>
          <w:tcPr>
            <w:tcW w:w="0" w:type="auto"/>
            <w:gridSpan w:val="3"/>
            <w:tcMar>
              <w:top w:w="0" w:type="dxa"/>
              <w:left w:w="20" w:type="dxa"/>
              <w:bottom w:w="0" w:type="dxa"/>
              <w:right w:w="20" w:type="dxa"/>
            </w:tcMar>
            <w:vAlign w:val="center"/>
            <w:hideMark/>
          </w:tcPr>
          <w:p w:rsidR="00000000" w:rsidRDefault="001F1FC8">
            <w:pPr>
              <w:rPr>
                <w:rFonts w:eastAsia="Times New Roman"/>
              </w:rPr>
            </w:pPr>
          </w:p>
        </w:tc>
        <w:tc>
          <w:tcPr>
            <w:tcW w:w="0" w:type="auto"/>
            <w:gridSpan w:val="3"/>
            <w:tcMar>
              <w:top w:w="30" w:type="dxa"/>
              <w:left w:w="20" w:type="dxa"/>
              <w:bottom w:w="30" w:type="dxa"/>
              <w:right w:w="20" w:type="dxa"/>
            </w:tcMar>
            <w:hideMark/>
          </w:tcPr>
          <w:p w:rsidR="00000000" w:rsidRDefault="001F1FC8">
            <w:pPr>
              <w:rPr>
                <w:rFonts w:eastAsia="Times New Roman"/>
              </w:rPr>
            </w:pPr>
            <w:r>
              <w:rPr>
                <w:rFonts w:ascii="Arial" w:eastAsia="Times New Roman" w:hAnsi="Arial" w:cs="Arial"/>
                <w:color w:val="000000"/>
                <w:sz w:val="20"/>
                <w:szCs w:val="20"/>
              </w:rPr>
              <w:t>New York Stock Exchange</w:t>
            </w:r>
          </w:p>
        </w:tc>
      </w:tr>
      <w:tr w:rsidR="00000000">
        <w:trPr>
          <w:divId w:val="1597133949"/>
        </w:trPr>
        <w:tc>
          <w:tcPr>
            <w:tcW w:w="0" w:type="auto"/>
            <w:gridSpan w:val="3"/>
            <w:tcMar>
              <w:top w:w="30" w:type="dxa"/>
              <w:left w:w="20" w:type="dxa"/>
              <w:bottom w:w="30" w:type="dxa"/>
              <w:right w:w="20" w:type="dxa"/>
            </w:tcMar>
            <w:hideMark/>
          </w:tcPr>
          <w:p w:rsidR="00000000" w:rsidRDefault="001F1FC8">
            <w:pPr>
              <w:rPr>
                <w:rFonts w:eastAsia="Times New Roman"/>
              </w:rPr>
            </w:pPr>
            <w:r>
              <w:rPr>
                <w:rFonts w:ascii="Arial" w:eastAsia="Times New Roman" w:hAnsi="Arial" w:cs="Arial"/>
                <w:color w:val="000000"/>
                <w:sz w:val="20"/>
                <w:szCs w:val="20"/>
              </w:rPr>
              <w:t>OBPS</w:t>
            </w:r>
          </w:p>
        </w:tc>
        <w:tc>
          <w:tcPr>
            <w:tcW w:w="0" w:type="auto"/>
            <w:gridSpan w:val="3"/>
            <w:tcMar>
              <w:top w:w="0" w:type="dxa"/>
              <w:left w:w="20" w:type="dxa"/>
              <w:bottom w:w="0" w:type="dxa"/>
              <w:right w:w="20" w:type="dxa"/>
            </w:tcMar>
            <w:vAlign w:val="center"/>
            <w:hideMark/>
          </w:tcPr>
          <w:p w:rsidR="00000000" w:rsidRDefault="001F1FC8">
            <w:pPr>
              <w:rPr>
                <w:rFonts w:eastAsia="Times New Roman"/>
              </w:rPr>
            </w:pPr>
          </w:p>
        </w:tc>
        <w:tc>
          <w:tcPr>
            <w:tcW w:w="0" w:type="auto"/>
            <w:gridSpan w:val="3"/>
            <w:tcMar>
              <w:top w:w="30" w:type="dxa"/>
              <w:left w:w="20" w:type="dxa"/>
              <w:bottom w:w="30" w:type="dxa"/>
              <w:right w:w="20" w:type="dxa"/>
            </w:tcMar>
            <w:vAlign w:val="bottom"/>
            <w:hideMark/>
          </w:tcPr>
          <w:p w:rsidR="00000000" w:rsidRDefault="001F1FC8">
            <w:pPr>
              <w:rPr>
                <w:rFonts w:eastAsia="Times New Roman"/>
              </w:rPr>
            </w:pPr>
            <w:r>
              <w:rPr>
                <w:rFonts w:ascii="Arial" w:eastAsia="Times New Roman" w:hAnsi="Arial" w:cs="Arial"/>
                <w:color w:val="000000"/>
                <w:sz w:val="20"/>
                <w:szCs w:val="20"/>
              </w:rPr>
              <w:t>Output-based pricing system</w:t>
            </w:r>
          </w:p>
        </w:tc>
      </w:tr>
      <w:tr w:rsidR="00000000">
        <w:trPr>
          <w:divId w:val="1597133949"/>
        </w:trPr>
        <w:tc>
          <w:tcPr>
            <w:tcW w:w="0" w:type="auto"/>
            <w:gridSpan w:val="3"/>
            <w:tcMar>
              <w:top w:w="30" w:type="dxa"/>
              <w:left w:w="20" w:type="dxa"/>
              <w:bottom w:w="30" w:type="dxa"/>
              <w:right w:w="20" w:type="dxa"/>
            </w:tcMar>
            <w:hideMark/>
          </w:tcPr>
          <w:p w:rsidR="00000000" w:rsidRDefault="001F1FC8">
            <w:pPr>
              <w:rPr>
                <w:rFonts w:eastAsia="Times New Roman"/>
              </w:rPr>
            </w:pPr>
            <w:r>
              <w:rPr>
                <w:rFonts w:ascii="Arial" w:eastAsia="Times New Roman" w:hAnsi="Arial" w:cs="Arial"/>
                <w:color w:val="000000"/>
                <w:sz w:val="20"/>
                <w:szCs w:val="20"/>
              </w:rPr>
              <w:t>OCI</w:t>
            </w:r>
          </w:p>
        </w:tc>
        <w:tc>
          <w:tcPr>
            <w:tcW w:w="0" w:type="auto"/>
            <w:gridSpan w:val="3"/>
            <w:tcMar>
              <w:top w:w="0" w:type="dxa"/>
              <w:left w:w="20" w:type="dxa"/>
              <w:bottom w:w="0" w:type="dxa"/>
              <w:right w:w="20" w:type="dxa"/>
            </w:tcMar>
            <w:vAlign w:val="center"/>
            <w:hideMark/>
          </w:tcPr>
          <w:p w:rsidR="00000000" w:rsidRDefault="001F1FC8">
            <w:pPr>
              <w:rPr>
                <w:rFonts w:eastAsia="Times New Roman"/>
              </w:rPr>
            </w:pPr>
          </w:p>
        </w:tc>
        <w:tc>
          <w:tcPr>
            <w:tcW w:w="0" w:type="auto"/>
            <w:gridSpan w:val="3"/>
            <w:tcMar>
              <w:top w:w="30" w:type="dxa"/>
              <w:left w:w="20" w:type="dxa"/>
              <w:bottom w:w="30" w:type="dxa"/>
              <w:right w:w="20" w:type="dxa"/>
            </w:tcMar>
            <w:hideMark/>
          </w:tcPr>
          <w:p w:rsidR="00000000" w:rsidRDefault="001F1FC8">
            <w:pPr>
              <w:rPr>
                <w:rFonts w:eastAsia="Times New Roman"/>
              </w:rPr>
            </w:pPr>
            <w:r>
              <w:rPr>
                <w:rFonts w:ascii="Arial" w:eastAsia="Times New Roman" w:hAnsi="Arial" w:cs="Arial"/>
                <w:color w:val="000000"/>
                <w:sz w:val="20"/>
                <w:szCs w:val="20"/>
              </w:rPr>
              <w:t>Other comprehensive income/(loss)</w:t>
            </w:r>
          </w:p>
        </w:tc>
      </w:tr>
      <w:tr w:rsidR="00000000">
        <w:trPr>
          <w:divId w:val="1597133949"/>
        </w:trPr>
        <w:tc>
          <w:tcPr>
            <w:tcW w:w="0" w:type="auto"/>
            <w:gridSpan w:val="3"/>
            <w:tcMar>
              <w:top w:w="30" w:type="dxa"/>
              <w:left w:w="20" w:type="dxa"/>
              <w:bottom w:w="30" w:type="dxa"/>
              <w:right w:w="20" w:type="dxa"/>
            </w:tcMar>
            <w:hideMark/>
          </w:tcPr>
          <w:p w:rsidR="00000000" w:rsidRDefault="001F1FC8">
            <w:pPr>
              <w:rPr>
                <w:rFonts w:eastAsia="Times New Roman"/>
              </w:rPr>
            </w:pPr>
            <w:r>
              <w:rPr>
                <w:rFonts w:ascii="Arial" w:eastAsia="Times New Roman" w:hAnsi="Arial" w:cs="Arial"/>
                <w:color w:val="000000"/>
                <w:sz w:val="20"/>
                <w:szCs w:val="20"/>
              </w:rPr>
              <w:t>OEB</w:t>
            </w:r>
          </w:p>
        </w:tc>
        <w:tc>
          <w:tcPr>
            <w:tcW w:w="0" w:type="auto"/>
            <w:gridSpan w:val="3"/>
            <w:tcMar>
              <w:top w:w="30" w:type="dxa"/>
              <w:left w:w="20" w:type="dxa"/>
              <w:bottom w:w="30" w:type="dxa"/>
              <w:right w:w="20" w:type="dxa"/>
            </w:tcMar>
            <w:hideMark/>
          </w:tcPr>
          <w:p w:rsidR="00000000" w:rsidRDefault="001F1FC8">
            <w:pPr>
              <w:rPr>
                <w:rFonts w:eastAsia="Times New Roman"/>
              </w:rPr>
            </w:pPr>
            <w:r>
              <w:rPr>
                <w:rFonts w:ascii="Arial" w:eastAsia="Times New Roman" w:hAnsi="Arial" w:cs="Arial"/>
                <w:color w:val="000000"/>
                <w:sz w:val="2"/>
                <w:szCs w:val="2"/>
              </w:rPr>
              <w:t> </w:t>
            </w:r>
          </w:p>
        </w:tc>
        <w:tc>
          <w:tcPr>
            <w:tcW w:w="0" w:type="auto"/>
            <w:gridSpan w:val="3"/>
            <w:tcMar>
              <w:top w:w="30" w:type="dxa"/>
              <w:left w:w="20" w:type="dxa"/>
              <w:bottom w:w="30" w:type="dxa"/>
              <w:right w:w="20" w:type="dxa"/>
            </w:tcMar>
            <w:hideMark/>
          </w:tcPr>
          <w:p w:rsidR="00000000" w:rsidRDefault="001F1FC8">
            <w:pPr>
              <w:rPr>
                <w:rFonts w:eastAsia="Times New Roman"/>
              </w:rPr>
            </w:pPr>
            <w:r>
              <w:rPr>
                <w:rFonts w:ascii="Arial" w:eastAsia="Times New Roman" w:hAnsi="Arial" w:cs="Arial"/>
                <w:color w:val="000000"/>
                <w:sz w:val="20"/>
                <w:szCs w:val="20"/>
              </w:rPr>
              <w:t>Ontario Energy Board</w:t>
            </w:r>
          </w:p>
        </w:tc>
      </w:tr>
      <w:tr w:rsidR="00000000">
        <w:trPr>
          <w:divId w:val="1597133949"/>
        </w:trPr>
        <w:tc>
          <w:tcPr>
            <w:tcW w:w="0" w:type="auto"/>
            <w:gridSpan w:val="3"/>
            <w:tcMar>
              <w:top w:w="30" w:type="dxa"/>
              <w:left w:w="20" w:type="dxa"/>
              <w:bottom w:w="30" w:type="dxa"/>
              <w:right w:w="20" w:type="dxa"/>
            </w:tcMar>
            <w:hideMark/>
          </w:tcPr>
          <w:p w:rsidR="00000000" w:rsidRDefault="001F1FC8">
            <w:pPr>
              <w:rPr>
                <w:rFonts w:eastAsia="Times New Roman"/>
              </w:rPr>
            </w:pPr>
            <w:r>
              <w:rPr>
                <w:rFonts w:ascii="Arial" w:eastAsia="Times New Roman" w:hAnsi="Arial" w:cs="Arial"/>
                <w:color w:val="000000"/>
                <w:sz w:val="20"/>
                <w:szCs w:val="20"/>
              </w:rPr>
              <w:t>OPEB</w:t>
            </w:r>
          </w:p>
        </w:tc>
        <w:tc>
          <w:tcPr>
            <w:tcW w:w="0" w:type="auto"/>
            <w:gridSpan w:val="3"/>
            <w:tcMar>
              <w:top w:w="0" w:type="dxa"/>
              <w:left w:w="20" w:type="dxa"/>
              <w:bottom w:w="0" w:type="dxa"/>
              <w:right w:w="20" w:type="dxa"/>
            </w:tcMar>
            <w:vAlign w:val="center"/>
            <w:hideMark/>
          </w:tcPr>
          <w:p w:rsidR="00000000" w:rsidRDefault="001F1FC8">
            <w:pPr>
              <w:rPr>
                <w:rFonts w:eastAsia="Times New Roman"/>
              </w:rPr>
            </w:pPr>
          </w:p>
        </w:tc>
        <w:tc>
          <w:tcPr>
            <w:tcW w:w="0" w:type="auto"/>
            <w:gridSpan w:val="3"/>
            <w:tcMar>
              <w:top w:w="30" w:type="dxa"/>
              <w:left w:w="20" w:type="dxa"/>
              <w:bottom w:w="30" w:type="dxa"/>
              <w:right w:w="20" w:type="dxa"/>
            </w:tcMar>
            <w:hideMark/>
          </w:tcPr>
          <w:p w:rsidR="00000000" w:rsidRDefault="001F1FC8">
            <w:pPr>
              <w:rPr>
                <w:rFonts w:eastAsia="Times New Roman"/>
              </w:rPr>
            </w:pPr>
            <w:r>
              <w:rPr>
                <w:rFonts w:ascii="Arial" w:eastAsia="Times New Roman" w:hAnsi="Arial" w:cs="Arial"/>
                <w:color w:val="000000"/>
                <w:sz w:val="20"/>
                <w:szCs w:val="20"/>
              </w:rPr>
              <w:t>Other postretirement benefit obligations</w:t>
            </w:r>
          </w:p>
        </w:tc>
      </w:tr>
      <w:tr w:rsidR="00000000">
        <w:trPr>
          <w:divId w:val="1597133949"/>
        </w:trPr>
        <w:tc>
          <w:tcPr>
            <w:tcW w:w="0" w:type="auto"/>
            <w:gridSpan w:val="3"/>
            <w:tcMar>
              <w:top w:w="30" w:type="dxa"/>
              <w:left w:w="20" w:type="dxa"/>
              <w:bottom w:w="30" w:type="dxa"/>
              <w:right w:w="20" w:type="dxa"/>
            </w:tcMar>
            <w:hideMark/>
          </w:tcPr>
          <w:p w:rsidR="00000000" w:rsidRDefault="001F1FC8">
            <w:pPr>
              <w:rPr>
                <w:rFonts w:eastAsia="Times New Roman"/>
              </w:rPr>
            </w:pPr>
            <w:r>
              <w:rPr>
                <w:rFonts w:ascii="Arial" w:eastAsia="Times New Roman" w:hAnsi="Arial" w:cs="Arial"/>
                <w:color w:val="000000"/>
                <w:sz w:val="20"/>
                <w:szCs w:val="20"/>
              </w:rPr>
              <w:t>PHMSA</w:t>
            </w:r>
          </w:p>
        </w:tc>
        <w:tc>
          <w:tcPr>
            <w:tcW w:w="0" w:type="auto"/>
            <w:gridSpan w:val="3"/>
            <w:tcMar>
              <w:top w:w="0" w:type="dxa"/>
              <w:left w:w="20" w:type="dxa"/>
              <w:bottom w:w="0" w:type="dxa"/>
              <w:right w:w="20" w:type="dxa"/>
            </w:tcMar>
            <w:vAlign w:val="center"/>
            <w:hideMark/>
          </w:tcPr>
          <w:p w:rsidR="00000000" w:rsidRDefault="001F1FC8">
            <w:pPr>
              <w:rPr>
                <w:rFonts w:eastAsia="Times New Roman"/>
              </w:rPr>
            </w:pPr>
          </w:p>
        </w:tc>
        <w:tc>
          <w:tcPr>
            <w:tcW w:w="0" w:type="auto"/>
            <w:gridSpan w:val="3"/>
            <w:tcMar>
              <w:top w:w="30" w:type="dxa"/>
              <w:left w:w="20" w:type="dxa"/>
              <w:bottom w:w="30" w:type="dxa"/>
              <w:right w:w="20" w:type="dxa"/>
            </w:tcMar>
            <w:hideMark/>
          </w:tcPr>
          <w:p w:rsidR="00000000" w:rsidRDefault="001F1FC8">
            <w:pPr>
              <w:rPr>
                <w:rFonts w:eastAsia="Times New Roman"/>
              </w:rPr>
            </w:pPr>
            <w:r>
              <w:rPr>
                <w:rFonts w:ascii="Arial" w:eastAsia="Times New Roman" w:hAnsi="Arial" w:cs="Arial"/>
                <w:color w:val="000000"/>
                <w:sz w:val="20"/>
                <w:szCs w:val="20"/>
              </w:rPr>
              <w:t>Pipeline and Hazardous Materials Safety Administration</w:t>
            </w:r>
          </w:p>
        </w:tc>
      </w:tr>
      <w:tr w:rsidR="00000000">
        <w:trPr>
          <w:divId w:val="1597133949"/>
        </w:trPr>
        <w:tc>
          <w:tcPr>
            <w:tcW w:w="0" w:type="auto"/>
            <w:gridSpan w:val="3"/>
            <w:vAlign w:val="center"/>
            <w:hideMark/>
          </w:tcPr>
          <w:p w:rsidR="00000000" w:rsidRDefault="001F1FC8">
            <w:pPr>
              <w:rPr>
                <w:rFonts w:eastAsia="Times New Roman"/>
              </w:rPr>
            </w:pPr>
          </w:p>
        </w:tc>
        <w:tc>
          <w:tcPr>
            <w:tcW w:w="0" w:type="auto"/>
            <w:gridSpan w:val="3"/>
            <w:vAlign w:val="center"/>
            <w:hideMark/>
          </w:tcPr>
          <w:p w:rsidR="00000000" w:rsidRDefault="001F1FC8">
            <w:pPr>
              <w:rPr>
                <w:rFonts w:eastAsia="Times New Roman"/>
                <w:sz w:val="20"/>
                <w:szCs w:val="20"/>
              </w:rPr>
            </w:pPr>
          </w:p>
        </w:tc>
        <w:tc>
          <w:tcPr>
            <w:tcW w:w="0" w:type="auto"/>
            <w:gridSpan w:val="3"/>
            <w:vAlign w:val="center"/>
            <w:hideMark/>
          </w:tcPr>
          <w:p w:rsidR="00000000" w:rsidRDefault="001F1FC8">
            <w:pPr>
              <w:rPr>
                <w:rFonts w:eastAsia="Times New Roman"/>
                <w:sz w:val="20"/>
                <w:szCs w:val="20"/>
              </w:rPr>
            </w:pPr>
          </w:p>
        </w:tc>
      </w:tr>
      <w:tr w:rsidR="00000000">
        <w:trPr>
          <w:divId w:val="1597133949"/>
        </w:trPr>
        <w:tc>
          <w:tcPr>
            <w:tcW w:w="0" w:type="auto"/>
            <w:gridSpan w:val="3"/>
            <w:tcMar>
              <w:top w:w="30" w:type="dxa"/>
              <w:left w:w="20" w:type="dxa"/>
              <w:bottom w:w="30" w:type="dxa"/>
              <w:right w:w="20" w:type="dxa"/>
            </w:tcMar>
            <w:hideMark/>
          </w:tcPr>
          <w:p w:rsidR="00000000" w:rsidRDefault="001F1FC8">
            <w:pPr>
              <w:rPr>
                <w:rFonts w:eastAsia="Times New Roman"/>
              </w:rPr>
            </w:pPr>
            <w:r>
              <w:rPr>
                <w:rFonts w:ascii="Arial" w:eastAsia="Times New Roman" w:hAnsi="Arial" w:cs="Arial"/>
                <w:color w:val="000000"/>
                <w:sz w:val="20"/>
                <w:szCs w:val="20"/>
              </w:rPr>
              <w:t>PSU</w:t>
            </w:r>
          </w:p>
        </w:tc>
        <w:tc>
          <w:tcPr>
            <w:tcW w:w="0" w:type="auto"/>
            <w:gridSpan w:val="3"/>
            <w:tcMar>
              <w:top w:w="0" w:type="dxa"/>
              <w:left w:w="20" w:type="dxa"/>
              <w:bottom w:w="0" w:type="dxa"/>
              <w:right w:w="20" w:type="dxa"/>
            </w:tcMar>
            <w:vAlign w:val="center"/>
            <w:hideMark/>
          </w:tcPr>
          <w:p w:rsidR="00000000" w:rsidRDefault="001F1FC8">
            <w:pPr>
              <w:rPr>
                <w:rFonts w:eastAsia="Times New Roman"/>
              </w:rPr>
            </w:pPr>
          </w:p>
        </w:tc>
        <w:tc>
          <w:tcPr>
            <w:tcW w:w="0" w:type="auto"/>
            <w:gridSpan w:val="3"/>
            <w:tcMar>
              <w:top w:w="30" w:type="dxa"/>
              <w:left w:w="20" w:type="dxa"/>
              <w:bottom w:w="30" w:type="dxa"/>
              <w:right w:w="20" w:type="dxa"/>
            </w:tcMar>
            <w:hideMark/>
          </w:tcPr>
          <w:p w:rsidR="00000000" w:rsidRDefault="001F1FC8">
            <w:pPr>
              <w:rPr>
                <w:rFonts w:eastAsia="Times New Roman"/>
              </w:rPr>
            </w:pPr>
            <w:r>
              <w:rPr>
                <w:rFonts w:ascii="Arial" w:eastAsia="Times New Roman" w:hAnsi="Arial" w:cs="Arial"/>
                <w:color w:val="000000"/>
                <w:sz w:val="20"/>
                <w:szCs w:val="20"/>
              </w:rPr>
              <w:t xml:space="preserve">Performance Stock Units </w:t>
            </w:r>
          </w:p>
        </w:tc>
      </w:tr>
      <w:tr w:rsidR="00000000">
        <w:trPr>
          <w:divId w:val="1597133949"/>
        </w:trPr>
        <w:tc>
          <w:tcPr>
            <w:tcW w:w="0" w:type="auto"/>
            <w:gridSpan w:val="3"/>
            <w:tcMar>
              <w:top w:w="30" w:type="dxa"/>
              <w:left w:w="20" w:type="dxa"/>
              <w:bottom w:w="30" w:type="dxa"/>
              <w:right w:w="20" w:type="dxa"/>
            </w:tcMar>
            <w:hideMark/>
          </w:tcPr>
          <w:p w:rsidR="00000000" w:rsidRDefault="001F1FC8">
            <w:pPr>
              <w:rPr>
                <w:rFonts w:eastAsia="Times New Roman"/>
              </w:rPr>
            </w:pPr>
            <w:r>
              <w:rPr>
                <w:rFonts w:ascii="Arial" w:eastAsia="Times New Roman" w:hAnsi="Arial" w:cs="Arial"/>
                <w:color w:val="000000"/>
                <w:sz w:val="20"/>
                <w:szCs w:val="20"/>
              </w:rPr>
              <w:t>RNG</w:t>
            </w:r>
          </w:p>
        </w:tc>
        <w:tc>
          <w:tcPr>
            <w:tcW w:w="0" w:type="auto"/>
            <w:gridSpan w:val="3"/>
            <w:tcMar>
              <w:top w:w="0" w:type="dxa"/>
              <w:left w:w="20" w:type="dxa"/>
              <w:bottom w:w="0" w:type="dxa"/>
              <w:right w:w="20" w:type="dxa"/>
            </w:tcMar>
            <w:vAlign w:val="center"/>
            <w:hideMark/>
          </w:tcPr>
          <w:p w:rsidR="00000000" w:rsidRDefault="001F1FC8">
            <w:pPr>
              <w:rPr>
                <w:rFonts w:eastAsia="Times New Roman"/>
              </w:rPr>
            </w:pPr>
          </w:p>
        </w:tc>
        <w:tc>
          <w:tcPr>
            <w:tcW w:w="0" w:type="auto"/>
            <w:gridSpan w:val="3"/>
            <w:tcMar>
              <w:top w:w="30" w:type="dxa"/>
              <w:left w:w="20" w:type="dxa"/>
              <w:bottom w:w="30" w:type="dxa"/>
              <w:right w:w="20" w:type="dxa"/>
            </w:tcMar>
            <w:hideMark/>
          </w:tcPr>
          <w:p w:rsidR="00000000" w:rsidRDefault="001F1FC8">
            <w:pPr>
              <w:rPr>
                <w:rFonts w:eastAsia="Times New Roman"/>
              </w:rPr>
            </w:pPr>
            <w:r>
              <w:rPr>
                <w:rFonts w:ascii="Arial" w:eastAsia="Times New Roman" w:hAnsi="Arial" w:cs="Arial"/>
                <w:color w:val="000000"/>
                <w:sz w:val="20"/>
                <w:szCs w:val="20"/>
              </w:rPr>
              <w:t>Renewable natural gas</w:t>
            </w:r>
          </w:p>
        </w:tc>
      </w:tr>
      <w:tr w:rsidR="00000000">
        <w:trPr>
          <w:divId w:val="1597133949"/>
        </w:trPr>
        <w:tc>
          <w:tcPr>
            <w:tcW w:w="0" w:type="auto"/>
            <w:gridSpan w:val="3"/>
            <w:tcMar>
              <w:top w:w="30" w:type="dxa"/>
              <w:left w:w="20" w:type="dxa"/>
              <w:bottom w:w="30" w:type="dxa"/>
              <w:right w:w="20" w:type="dxa"/>
            </w:tcMar>
            <w:hideMark/>
          </w:tcPr>
          <w:p w:rsidR="00000000" w:rsidRDefault="001F1FC8">
            <w:pPr>
              <w:rPr>
                <w:rFonts w:eastAsia="Times New Roman"/>
              </w:rPr>
            </w:pPr>
            <w:r>
              <w:rPr>
                <w:rFonts w:ascii="Arial" w:eastAsia="Times New Roman" w:hAnsi="Arial" w:cs="Arial"/>
                <w:color w:val="000000"/>
                <w:sz w:val="20"/>
                <w:szCs w:val="20"/>
              </w:rPr>
              <w:t>ROU</w:t>
            </w:r>
          </w:p>
        </w:tc>
        <w:tc>
          <w:tcPr>
            <w:tcW w:w="0" w:type="auto"/>
            <w:gridSpan w:val="3"/>
            <w:tcMar>
              <w:top w:w="0" w:type="dxa"/>
              <w:left w:w="20" w:type="dxa"/>
              <w:bottom w:w="0" w:type="dxa"/>
              <w:right w:w="20" w:type="dxa"/>
            </w:tcMar>
            <w:vAlign w:val="center"/>
            <w:hideMark/>
          </w:tcPr>
          <w:p w:rsidR="00000000" w:rsidRDefault="001F1FC8">
            <w:pPr>
              <w:rPr>
                <w:rFonts w:eastAsia="Times New Roman"/>
              </w:rPr>
            </w:pPr>
          </w:p>
        </w:tc>
        <w:tc>
          <w:tcPr>
            <w:tcW w:w="0" w:type="auto"/>
            <w:gridSpan w:val="3"/>
            <w:tcMar>
              <w:top w:w="30" w:type="dxa"/>
              <w:left w:w="20" w:type="dxa"/>
              <w:bottom w:w="30" w:type="dxa"/>
              <w:right w:w="20" w:type="dxa"/>
            </w:tcMar>
            <w:hideMark/>
          </w:tcPr>
          <w:p w:rsidR="00000000" w:rsidRDefault="001F1FC8">
            <w:pPr>
              <w:rPr>
                <w:rFonts w:eastAsia="Times New Roman"/>
              </w:rPr>
            </w:pPr>
            <w:r>
              <w:rPr>
                <w:rFonts w:ascii="Arial" w:eastAsia="Times New Roman" w:hAnsi="Arial" w:cs="Arial"/>
                <w:color w:val="000000"/>
                <w:sz w:val="20"/>
                <w:szCs w:val="20"/>
              </w:rPr>
              <w:t>Right-of-use</w:t>
            </w:r>
          </w:p>
        </w:tc>
      </w:tr>
      <w:tr w:rsidR="00000000">
        <w:trPr>
          <w:divId w:val="1597133949"/>
        </w:trPr>
        <w:tc>
          <w:tcPr>
            <w:tcW w:w="0" w:type="auto"/>
            <w:gridSpan w:val="3"/>
            <w:tcMar>
              <w:top w:w="30" w:type="dxa"/>
              <w:left w:w="20" w:type="dxa"/>
              <w:bottom w:w="30" w:type="dxa"/>
              <w:right w:w="20" w:type="dxa"/>
            </w:tcMar>
            <w:hideMark/>
          </w:tcPr>
          <w:p w:rsidR="00000000" w:rsidRDefault="001F1FC8">
            <w:pPr>
              <w:rPr>
                <w:rFonts w:eastAsia="Times New Roman"/>
              </w:rPr>
            </w:pPr>
            <w:r>
              <w:rPr>
                <w:rFonts w:ascii="Arial" w:eastAsia="Times New Roman" w:hAnsi="Arial" w:cs="Arial"/>
                <w:color w:val="000000"/>
                <w:sz w:val="20"/>
                <w:szCs w:val="20"/>
              </w:rPr>
              <w:t>RSU</w:t>
            </w:r>
          </w:p>
        </w:tc>
        <w:tc>
          <w:tcPr>
            <w:tcW w:w="0" w:type="auto"/>
            <w:gridSpan w:val="3"/>
            <w:tcMar>
              <w:top w:w="0" w:type="dxa"/>
              <w:left w:w="20" w:type="dxa"/>
              <w:bottom w:w="0" w:type="dxa"/>
              <w:right w:w="20" w:type="dxa"/>
            </w:tcMar>
            <w:vAlign w:val="center"/>
            <w:hideMark/>
          </w:tcPr>
          <w:p w:rsidR="00000000" w:rsidRDefault="001F1FC8">
            <w:pPr>
              <w:rPr>
                <w:rFonts w:eastAsia="Times New Roman"/>
              </w:rPr>
            </w:pPr>
          </w:p>
        </w:tc>
        <w:tc>
          <w:tcPr>
            <w:tcW w:w="0" w:type="auto"/>
            <w:gridSpan w:val="3"/>
            <w:tcMar>
              <w:top w:w="30" w:type="dxa"/>
              <w:left w:w="20" w:type="dxa"/>
              <w:bottom w:w="30" w:type="dxa"/>
              <w:right w:w="20" w:type="dxa"/>
            </w:tcMar>
            <w:hideMark/>
          </w:tcPr>
          <w:p w:rsidR="00000000" w:rsidRDefault="001F1FC8">
            <w:pPr>
              <w:rPr>
                <w:rFonts w:eastAsia="Times New Roman"/>
              </w:rPr>
            </w:pPr>
            <w:r>
              <w:rPr>
                <w:rFonts w:ascii="Arial" w:eastAsia="Times New Roman" w:hAnsi="Arial" w:cs="Arial"/>
                <w:color w:val="000000"/>
                <w:sz w:val="20"/>
                <w:szCs w:val="20"/>
              </w:rPr>
              <w:t>Restricted Stock Units</w:t>
            </w:r>
          </w:p>
        </w:tc>
      </w:tr>
      <w:tr w:rsidR="00000000">
        <w:trPr>
          <w:divId w:val="1597133949"/>
        </w:trPr>
        <w:tc>
          <w:tcPr>
            <w:tcW w:w="0" w:type="auto"/>
            <w:gridSpan w:val="3"/>
            <w:tcMar>
              <w:top w:w="30" w:type="dxa"/>
              <w:left w:w="20" w:type="dxa"/>
              <w:bottom w:w="30" w:type="dxa"/>
              <w:right w:w="20" w:type="dxa"/>
            </w:tcMar>
            <w:hideMark/>
          </w:tcPr>
          <w:p w:rsidR="00000000" w:rsidRDefault="001F1FC8">
            <w:pPr>
              <w:rPr>
                <w:rFonts w:eastAsia="Times New Roman"/>
              </w:rPr>
            </w:pPr>
            <w:r>
              <w:rPr>
                <w:rFonts w:ascii="Arial" w:eastAsia="Times New Roman" w:hAnsi="Arial" w:cs="Arial"/>
                <w:color w:val="000000"/>
                <w:sz w:val="20"/>
                <w:szCs w:val="20"/>
              </w:rPr>
              <w:t>Sabal Trail</w:t>
            </w:r>
          </w:p>
        </w:tc>
        <w:tc>
          <w:tcPr>
            <w:tcW w:w="0" w:type="auto"/>
            <w:gridSpan w:val="3"/>
            <w:tcMar>
              <w:top w:w="0" w:type="dxa"/>
              <w:left w:w="20" w:type="dxa"/>
              <w:bottom w:w="0" w:type="dxa"/>
              <w:right w:w="20" w:type="dxa"/>
            </w:tcMar>
            <w:vAlign w:val="center"/>
            <w:hideMark/>
          </w:tcPr>
          <w:p w:rsidR="00000000" w:rsidRDefault="001F1FC8">
            <w:pPr>
              <w:rPr>
                <w:rFonts w:eastAsia="Times New Roman"/>
              </w:rPr>
            </w:pPr>
          </w:p>
        </w:tc>
        <w:tc>
          <w:tcPr>
            <w:tcW w:w="0" w:type="auto"/>
            <w:gridSpan w:val="3"/>
            <w:tcMar>
              <w:top w:w="30" w:type="dxa"/>
              <w:left w:w="20" w:type="dxa"/>
              <w:bottom w:w="30" w:type="dxa"/>
              <w:right w:w="20" w:type="dxa"/>
            </w:tcMar>
            <w:hideMark/>
          </w:tcPr>
          <w:p w:rsidR="00000000" w:rsidRDefault="001F1FC8">
            <w:pPr>
              <w:rPr>
                <w:rFonts w:eastAsia="Times New Roman"/>
              </w:rPr>
            </w:pPr>
            <w:r>
              <w:rPr>
                <w:rFonts w:ascii="Arial" w:eastAsia="Times New Roman" w:hAnsi="Arial" w:cs="Arial"/>
                <w:color w:val="000000"/>
                <w:sz w:val="20"/>
                <w:szCs w:val="20"/>
              </w:rPr>
              <w:t>Sabal Trail Transmission, LLC</w:t>
            </w:r>
          </w:p>
        </w:tc>
      </w:tr>
      <w:tr w:rsidR="00000000">
        <w:trPr>
          <w:divId w:val="1597133949"/>
        </w:trPr>
        <w:tc>
          <w:tcPr>
            <w:tcW w:w="0" w:type="auto"/>
            <w:gridSpan w:val="3"/>
            <w:tcMar>
              <w:top w:w="30" w:type="dxa"/>
              <w:left w:w="20" w:type="dxa"/>
              <w:bottom w:w="30" w:type="dxa"/>
              <w:right w:w="20" w:type="dxa"/>
            </w:tcMar>
            <w:hideMark/>
          </w:tcPr>
          <w:p w:rsidR="00000000" w:rsidRDefault="001F1FC8">
            <w:pPr>
              <w:rPr>
                <w:rFonts w:eastAsia="Times New Roman"/>
              </w:rPr>
            </w:pPr>
            <w:r>
              <w:rPr>
                <w:rFonts w:ascii="Arial" w:eastAsia="Times New Roman" w:hAnsi="Arial" w:cs="Arial"/>
                <w:color w:val="000000"/>
                <w:sz w:val="20"/>
                <w:szCs w:val="20"/>
              </w:rPr>
              <w:t>Seaway Pipeline</w:t>
            </w:r>
          </w:p>
        </w:tc>
        <w:tc>
          <w:tcPr>
            <w:tcW w:w="0" w:type="auto"/>
            <w:gridSpan w:val="3"/>
            <w:tcMar>
              <w:top w:w="30" w:type="dxa"/>
              <w:left w:w="20" w:type="dxa"/>
              <w:bottom w:w="30" w:type="dxa"/>
              <w:right w:w="20" w:type="dxa"/>
            </w:tcMar>
            <w:hideMark/>
          </w:tcPr>
          <w:p w:rsidR="00000000" w:rsidRDefault="001F1FC8">
            <w:pPr>
              <w:rPr>
                <w:rFonts w:eastAsia="Times New Roman"/>
              </w:rPr>
            </w:pPr>
            <w:r>
              <w:rPr>
                <w:rFonts w:ascii="Arial" w:eastAsia="Times New Roman" w:hAnsi="Arial" w:cs="Arial"/>
                <w:color w:val="000000"/>
                <w:sz w:val="2"/>
                <w:szCs w:val="2"/>
              </w:rPr>
              <w:t> </w:t>
            </w:r>
          </w:p>
        </w:tc>
        <w:tc>
          <w:tcPr>
            <w:tcW w:w="0" w:type="auto"/>
            <w:gridSpan w:val="3"/>
            <w:tcMar>
              <w:top w:w="30" w:type="dxa"/>
              <w:left w:w="20" w:type="dxa"/>
              <w:bottom w:w="30" w:type="dxa"/>
              <w:right w:w="20" w:type="dxa"/>
            </w:tcMar>
            <w:hideMark/>
          </w:tcPr>
          <w:p w:rsidR="00000000" w:rsidRDefault="001F1FC8">
            <w:pPr>
              <w:rPr>
                <w:rFonts w:eastAsia="Times New Roman"/>
              </w:rPr>
            </w:pPr>
            <w:r>
              <w:rPr>
                <w:rFonts w:ascii="Arial" w:eastAsia="Times New Roman" w:hAnsi="Arial" w:cs="Arial"/>
                <w:color w:val="000000"/>
                <w:sz w:val="20"/>
                <w:szCs w:val="20"/>
              </w:rPr>
              <w:t>Seaway Crude Pipeline System</w:t>
            </w:r>
          </w:p>
        </w:tc>
      </w:tr>
      <w:tr w:rsidR="00000000">
        <w:trPr>
          <w:divId w:val="1597133949"/>
        </w:trPr>
        <w:tc>
          <w:tcPr>
            <w:tcW w:w="0" w:type="auto"/>
            <w:gridSpan w:val="3"/>
            <w:tcMar>
              <w:top w:w="30" w:type="dxa"/>
              <w:left w:w="20" w:type="dxa"/>
              <w:bottom w:w="30" w:type="dxa"/>
              <w:right w:w="20" w:type="dxa"/>
            </w:tcMar>
            <w:hideMark/>
          </w:tcPr>
          <w:p w:rsidR="00000000" w:rsidRDefault="001F1FC8">
            <w:pPr>
              <w:rPr>
                <w:rFonts w:eastAsia="Times New Roman"/>
              </w:rPr>
            </w:pPr>
            <w:r>
              <w:rPr>
                <w:rFonts w:ascii="Arial" w:eastAsia="Times New Roman" w:hAnsi="Arial" w:cs="Arial"/>
                <w:color w:val="000000"/>
                <w:sz w:val="20"/>
                <w:szCs w:val="20"/>
              </w:rPr>
              <w:t>SEP</w:t>
            </w:r>
          </w:p>
        </w:tc>
        <w:tc>
          <w:tcPr>
            <w:tcW w:w="0" w:type="auto"/>
            <w:gridSpan w:val="3"/>
            <w:tcMar>
              <w:top w:w="0" w:type="dxa"/>
              <w:left w:w="20" w:type="dxa"/>
              <w:bottom w:w="0" w:type="dxa"/>
              <w:right w:w="20" w:type="dxa"/>
            </w:tcMar>
            <w:vAlign w:val="center"/>
            <w:hideMark/>
          </w:tcPr>
          <w:p w:rsidR="00000000" w:rsidRDefault="001F1FC8">
            <w:pPr>
              <w:rPr>
                <w:rFonts w:eastAsia="Times New Roman"/>
              </w:rPr>
            </w:pPr>
          </w:p>
        </w:tc>
        <w:tc>
          <w:tcPr>
            <w:tcW w:w="0" w:type="auto"/>
            <w:gridSpan w:val="3"/>
            <w:tcMar>
              <w:top w:w="30" w:type="dxa"/>
              <w:left w:w="20" w:type="dxa"/>
              <w:bottom w:w="30" w:type="dxa"/>
              <w:right w:w="20" w:type="dxa"/>
            </w:tcMar>
            <w:hideMark/>
          </w:tcPr>
          <w:p w:rsidR="00000000" w:rsidRDefault="001F1FC8">
            <w:pPr>
              <w:rPr>
                <w:rFonts w:eastAsia="Times New Roman"/>
              </w:rPr>
            </w:pPr>
            <w:r>
              <w:rPr>
                <w:rFonts w:ascii="Arial" w:eastAsia="Times New Roman" w:hAnsi="Arial" w:cs="Arial"/>
                <w:color w:val="000000"/>
                <w:sz w:val="20"/>
                <w:szCs w:val="20"/>
              </w:rPr>
              <w:t>Spectra Energy Partners, LP</w:t>
            </w:r>
          </w:p>
        </w:tc>
      </w:tr>
      <w:tr w:rsidR="00000000">
        <w:trPr>
          <w:divId w:val="1597133949"/>
        </w:trPr>
        <w:tc>
          <w:tcPr>
            <w:tcW w:w="0" w:type="auto"/>
            <w:gridSpan w:val="3"/>
            <w:tcMar>
              <w:top w:w="30" w:type="dxa"/>
              <w:left w:w="20" w:type="dxa"/>
              <w:bottom w:w="30" w:type="dxa"/>
              <w:right w:w="20" w:type="dxa"/>
            </w:tcMar>
            <w:hideMark/>
          </w:tcPr>
          <w:p w:rsidR="00000000" w:rsidRDefault="001F1FC8">
            <w:pPr>
              <w:rPr>
                <w:rFonts w:eastAsia="Times New Roman"/>
              </w:rPr>
            </w:pPr>
            <w:r>
              <w:rPr>
                <w:rFonts w:ascii="Arial" w:eastAsia="Times New Roman" w:hAnsi="Arial" w:cs="Arial"/>
                <w:color w:val="000000"/>
                <w:sz w:val="20"/>
                <w:szCs w:val="20"/>
              </w:rPr>
              <w:t>Spectra Energy</w:t>
            </w:r>
          </w:p>
        </w:tc>
        <w:tc>
          <w:tcPr>
            <w:tcW w:w="0" w:type="auto"/>
            <w:gridSpan w:val="3"/>
            <w:tcMar>
              <w:top w:w="30" w:type="dxa"/>
              <w:left w:w="20" w:type="dxa"/>
              <w:bottom w:w="30" w:type="dxa"/>
              <w:right w:w="20" w:type="dxa"/>
            </w:tcMar>
            <w:hideMark/>
          </w:tcPr>
          <w:p w:rsidR="00000000" w:rsidRDefault="001F1FC8">
            <w:pPr>
              <w:rPr>
                <w:rFonts w:eastAsia="Times New Roman"/>
              </w:rPr>
            </w:pPr>
            <w:r>
              <w:rPr>
                <w:rFonts w:ascii="Arial" w:eastAsia="Times New Roman" w:hAnsi="Arial" w:cs="Arial"/>
                <w:color w:val="000000"/>
                <w:sz w:val="2"/>
                <w:szCs w:val="2"/>
              </w:rPr>
              <w:t> </w:t>
            </w:r>
          </w:p>
        </w:tc>
        <w:tc>
          <w:tcPr>
            <w:tcW w:w="0" w:type="auto"/>
            <w:gridSpan w:val="3"/>
            <w:tcMar>
              <w:top w:w="30" w:type="dxa"/>
              <w:left w:w="20" w:type="dxa"/>
              <w:bottom w:w="30" w:type="dxa"/>
              <w:right w:w="20" w:type="dxa"/>
            </w:tcMar>
            <w:hideMark/>
          </w:tcPr>
          <w:p w:rsidR="00000000" w:rsidRDefault="001F1FC8">
            <w:pPr>
              <w:rPr>
                <w:rFonts w:eastAsia="Times New Roman"/>
              </w:rPr>
            </w:pPr>
            <w:r>
              <w:rPr>
                <w:rFonts w:ascii="Arial" w:eastAsia="Times New Roman" w:hAnsi="Arial" w:cs="Arial"/>
                <w:color w:val="000000"/>
                <w:sz w:val="20"/>
                <w:szCs w:val="20"/>
              </w:rPr>
              <w:t>Spectra Energy Corp</w:t>
            </w:r>
          </w:p>
        </w:tc>
      </w:tr>
      <w:tr w:rsidR="00000000">
        <w:trPr>
          <w:divId w:val="1597133949"/>
        </w:trPr>
        <w:tc>
          <w:tcPr>
            <w:tcW w:w="0" w:type="auto"/>
            <w:gridSpan w:val="3"/>
            <w:tcMar>
              <w:top w:w="30" w:type="dxa"/>
              <w:left w:w="20" w:type="dxa"/>
              <w:bottom w:w="30" w:type="dxa"/>
              <w:right w:w="20" w:type="dxa"/>
            </w:tcMar>
            <w:hideMark/>
          </w:tcPr>
          <w:p w:rsidR="00000000" w:rsidRDefault="001F1FC8">
            <w:pPr>
              <w:rPr>
                <w:rFonts w:eastAsia="Times New Roman"/>
              </w:rPr>
            </w:pPr>
            <w:r>
              <w:rPr>
                <w:rFonts w:ascii="Arial" w:eastAsia="Times New Roman" w:hAnsi="Arial" w:cs="Arial"/>
                <w:color w:val="000000"/>
                <w:sz w:val="20"/>
                <w:szCs w:val="20"/>
              </w:rPr>
              <w:t>SPOT</w:t>
            </w:r>
          </w:p>
        </w:tc>
        <w:tc>
          <w:tcPr>
            <w:tcW w:w="0" w:type="auto"/>
            <w:gridSpan w:val="3"/>
            <w:tcMar>
              <w:top w:w="0" w:type="dxa"/>
              <w:left w:w="20" w:type="dxa"/>
              <w:bottom w:w="0" w:type="dxa"/>
              <w:right w:w="20" w:type="dxa"/>
            </w:tcMar>
            <w:vAlign w:val="center"/>
            <w:hideMark/>
          </w:tcPr>
          <w:p w:rsidR="00000000" w:rsidRDefault="001F1FC8">
            <w:pPr>
              <w:rPr>
                <w:rFonts w:eastAsia="Times New Roman"/>
              </w:rPr>
            </w:pPr>
          </w:p>
        </w:tc>
        <w:tc>
          <w:tcPr>
            <w:tcW w:w="0" w:type="auto"/>
            <w:gridSpan w:val="3"/>
            <w:tcMar>
              <w:top w:w="30" w:type="dxa"/>
              <w:left w:w="20" w:type="dxa"/>
              <w:bottom w:w="30" w:type="dxa"/>
              <w:right w:w="20" w:type="dxa"/>
            </w:tcMar>
            <w:hideMark/>
          </w:tcPr>
          <w:p w:rsidR="00000000" w:rsidRDefault="001F1FC8">
            <w:pPr>
              <w:rPr>
                <w:rFonts w:eastAsia="Times New Roman"/>
              </w:rPr>
            </w:pPr>
            <w:r>
              <w:rPr>
                <w:rFonts w:ascii="Arial" w:eastAsia="Times New Roman" w:hAnsi="Arial" w:cs="Arial"/>
                <w:color w:val="000000"/>
                <w:sz w:val="20"/>
                <w:szCs w:val="20"/>
              </w:rPr>
              <w:t xml:space="preserve">Sea Port Oil Terminal </w:t>
            </w:r>
          </w:p>
        </w:tc>
      </w:tr>
      <w:tr w:rsidR="00000000">
        <w:trPr>
          <w:divId w:val="1597133949"/>
        </w:trPr>
        <w:tc>
          <w:tcPr>
            <w:tcW w:w="0" w:type="auto"/>
            <w:gridSpan w:val="3"/>
            <w:vAlign w:val="center"/>
            <w:hideMark/>
          </w:tcPr>
          <w:p w:rsidR="00000000" w:rsidRDefault="001F1FC8">
            <w:pPr>
              <w:rPr>
                <w:rFonts w:eastAsia="Times New Roman"/>
              </w:rPr>
            </w:pPr>
          </w:p>
        </w:tc>
        <w:tc>
          <w:tcPr>
            <w:tcW w:w="0" w:type="auto"/>
            <w:gridSpan w:val="3"/>
            <w:vAlign w:val="center"/>
            <w:hideMark/>
          </w:tcPr>
          <w:p w:rsidR="00000000" w:rsidRDefault="001F1FC8">
            <w:pPr>
              <w:rPr>
                <w:rFonts w:eastAsia="Times New Roman"/>
                <w:sz w:val="20"/>
                <w:szCs w:val="20"/>
              </w:rPr>
            </w:pPr>
          </w:p>
        </w:tc>
        <w:tc>
          <w:tcPr>
            <w:tcW w:w="0" w:type="auto"/>
            <w:gridSpan w:val="3"/>
            <w:vAlign w:val="center"/>
            <w:hideMark/>
          </w:tcPr>
          <w:p w:rsidR="00000000" w:rsidRDefault="001F1FC8">
            <w:pPr>
              <w:rPr>
                <w:rFonts w:eastAsia="Times New Roman"/>
                <w:sz w:val="20"/>
                <w:szCs w:val="20"/>
              </w:rPr>
            </w:pPr>
          </w:p>
        </w:tc>
      </w:tr>
      <w:tr w:rsidR="00000000">
        <w:trPr>
          <w:divId w:val="1597133949"/>
        </w:trPr>
        <w:tc>
          <w:tcPr>
            <w:tcW w:w="0" w:type="auto"/>
            <w:gridSpan w:val="3"/>
            <w:vAlign w:val="center"/>
            <w:hideMark/>
          </w:tcPr>
          <w:p w:rsidR="00000000" w:rsidRDefault="001F1FC8">
            <w:pPr>
              <w:rPr>
                <w:rFonts w:eastAsia="Times New Roman"/>
                <w:sz w:val="20"/>
                <w:szCs w:val="20"/>
              </w:rPr>
            </w:pPr>
          </w:p>
        </w:tc>
        <w:tc>
          <w:tcPr>
            <w:tcW w:w="0" w:type="auto"/>
            <w:gridSpan w:val="3"/>
            <w:vAlign w:val="center"/>
            <w:hideMark/>
          </w:tcPr>
          <w:p w:rsidR="00000000" w:rsidRDefault="001F1FC8">
            <w:pPr>
              <w:rPr>
                <w:rFonts w:eastAsia="Times New Roman"/>
                <w:sz w:val="20"/>
                <w:szCs w:val="20"/>
              </w:rPr>
            </w:pPr>
          </w:p>
        </w:tc>
        <w:tc>
          <w:tcPr>
            <w:tcW w:w="0" w:type="auto"/>
            <w:gridSpan w:val="3"/>
            <w:vAlign w:val="center"/>
            <w:hideMark/>
          </w:tcPr>
          <w:p w:rsidR="00000000" w:rsidRDefault="001F1FC8">
            <w:pPr>
              <w:rPr>
                <w:rFonts w:eastAsia="Times New Roman"/>
                <w:sz w:val="20"/>
                <w:szCs w:val="20"/>
              </w:rPr>
            </w:pPr>
          </w:p>
        </w:tc>
      </w:tr>
      <w:tr w:rsidR="00000000">
        <w:trPr>
          <w:divId w:val="1597133949"/>
        </w:trPr>
        <w:tc>
          <w:tcPr>
            <w:tcW w:w="0" w:type="auto"/>
            <w:gridSpan w:val="3"/>
            <w:tcMar>
              <w:top w:w="30" w:type="dxa"/>
              <w:left w:w="20" w:type="dxa"/>
              <w:bottom w:w="30" w:type="dxa"/>
              <w:right w:w="20" w:type="dxa"/>
            </w:tcMar>
            <w:hideMark/>
          </w:tcPr>
          <w:p w:rsidR="00000000" w:rsidRDefault="001F1FC8">
            <w:pPr>
              <w:rPr>
                <w:rFonts w:eastAsia="Times New Roman"/>
              </w:rPr>
            </w:pPr>
            <w:r>
              <w:rPr>
                <w:rFonts w:ascii="Arial" w:eastAsia="Times New Roman" w:hAnsi="Arial" w:cs="Arial"/>
                <w:color w:val="000000"/>
                <w:sz w:val="20"/>
                <w:szCs w:val="20"/>
              </w:rPr>
              <w:t>Texas Eastern</w:t>
            </w:r>
          </w:p>
        </w:tc>
        <w:tc>
          <w:tcPr>
            <w:tcW w:w="0" w:type="auto"/>
            <w:gridSpan w:val="3"/>
            <w:tcMar>
              <w:top w:w="0" w:type="dxa"/>
              <w:left w:w="20" w:type="dxa"/>
              <w:bottom w:w="0" w:type="dxa"/>
              <w:right w:w="20" w:type="dxa"/>
            </w:tcMar>
            <w:vAlign w:val="center"/>
            <w:hideMark/>
          </w:tcPr>
          <w:p w:rsidR="00000000" w:rsidRDefault="001F1FC8">
            <w:pPr>
              <w:rPr>
                <w:rFonts w:eastAsia="Times New Roman"/>
              </w:rPr>
            </w:pPr>
          </w:p>
        </w:tc>
        <w:tc>
          <w:tcPr>
            <w:tcW w:w="0" w:type="auto"/>
            <w:gridSpan w:val="3"/>
            <w:tcMar>
              <w:top w:w="30" w:type="dxa"/>
              <w:left w:w="20" w:type="dxa"/>
              <w:bottom w:w="30" w:type="dxa"/>
              <w:right w:w="20" w:type="dxa"/>
            </w:tcMar>
            <w:hideMark/>
          </w:tcPr>
          <w:p w:rsidR="00000000" w:rsidRDefault="001F1FC8">
            <w:pPr>
              <w:rPr>
                <w:rFonts w:eastAsia="Times New Roman"/>
              </w:rPr>
            </w:pPr>
            <w:r>
              <w:rPr>
                <w:rFonts w:ascii="Arial" w:eastAsia="Times New Roman" w:hAnsi="Arial" w:cs="Arial"/>
                <w:color w:val="000000"/>
                <w:sz w:val="20"/>
                <w:szCs w:val="20"/>
              </w:rPr>
              <w:t>Texas Eastern Transmission, L.P.</w:t>
            </w:r>
          </w:p>
        </w:tc>
      </w:tr>
      <w:tr w:rsidR="00000000">
        <w:trPr>
          <w:divId w:val="1597133949"/>
        </w:trPr>
        <w:tc>
          <w:tcPr>
            <w:tcW w:w="0" w:type="auto"/>
            <w:gridSpan w:val="3"/>
            <w:vAlign w:val="center"/>
            <w:hideMark/>
          </w:tcPr>
          <w:p w:rsidR="00000000" w:rsidRDefault="001F1FC8">
            <w:pPr>
              <w:rPr>
                <w:rFonts w:eastAsia="Times New Roman"/>
              </w:rPr>
            </w:pPr>
          </w:p>
        </w:tc>
        <w:tc>
          <w:tcPr>
            <w:tcW w:w="0" w:type="auto"/>
            <w:gridSpan w:val="3"/>
            <w:vAlign w:val="center"/>
            <w:hideMark/>
          </w:tcPr>
          <w:p w:rsidR="00000000" w:rsidRDefault="001F1FC8">
            <w:pPr>
              <w:rPr>
                <w:rFonts w:eastAsia="Times New Roman"/>
                <w:sz w:val="20"/>
                <w:szCs w:val="20"/>
              </w:rPr>
            </w:pPr>
          </w:p>
        </w:tc>
        <w:tc>
          <w:tcPr>
            <w:tcW w:w="0" w:type="auto"/>
            <w:gridSpan w:val="3"/>
            <w:vAlign w:val="center"/>
            <w:hideMark/>
          </w:tcPr>
          <w:p w:rsidR="00000000" w:rsidRDefault="001F1FC8">
            <w:pPr>
              <w:rPr>
                <w:rFonts w:eastAsia="Times New Roman"/>
                <w:sz w:val="20"/>
                <w:szCs w:val="20"/>
              </w:rPr>
            </w:pPr>
          </w:p>
        </w:tc>
      </w:tr>
      <w:tr w:rsidR="00000000">
        <w:trPr>
          <w:divId w:val="1597133949"/>
        </w:trPr>
        <w:tc>
          <w:tcPr>
            <w:tcW w:w="0" w:type="auto"/>
            <w:gridSpan w:val="3"/>
            <w:vAlign w:val="center"/>
            <w:hideMark/>
          </w:tcPr>
          <w:p w:rsidR="00000000" w:rsidRDefault="001F1FC8">
            <w:pPr>
              <w:rPr>
                <w:rFonts w:eastAsia="Times New Roman"/>
                <w:sz w:val="20"/>
                <w:szCs w:val="20"/>
              </w:rPr>
            </w:pPr>
          </w:p>
        </w:tc>
        <w:tc>
          <w:tcPr>
            <w:tcW w:w="0" w:type="auto"/>
            <w:gridSpan w:val="3"/>
            <w:vAlign w:val="center"/>
            <w:hideMark/>
          </w:tcPr>
          <w:p w:rsidR="00000000" w:rsidRDefault="001F1FC8">
            <w:pPr>
              <w:rPr>
                <w:rFonts w:eastAsia="Times New Roman"/>
                <w:sz w:val="20"/>
                <w:szCs w:val="20"/>
              </w:rPr>
            </w:pPr>
          </w:p>
        </w:tc>
        <w:tc>
          <w:tcPr>
            <w:tcW w:w="0" w:type="auto"/>
            <w:gridSpan w:val="3"/>
            <w:vAlign w:val="center"/>
            <w:hideMark/>
          </w:tcPr>
          <w:p w:rsidR="00000000" w:rsidRDefault="001F1FC8">
            <w:pPr>
              <w:rPr>
                <w:rFonts w:eastAsia="Times New Roman"/>
                <w:sz w:val="20"/>
                <w:szCs w:val="20"/>
              </w:rPr>
            </w:pPr>
          </w:p>
        </w:tc>
      </w:tr>
      <w:tr w:rsidR="00000000">
        <w:trPr>
          <w:divId w:val="1597133949"/>
        </w:trPr>
        <w:tc>
          <w:tcPr>
            <w:tcW w:w="0" w:type="auto"/>
            <w:gridSpan w:val="3"/>
            <w:tcMar>
              <w:top w:w="30" w:type="dxa"/>
              <w:left w:w="20" w:type="dxa"/>
              <w:bottom w:w="30" w:type="dxa"/>
              <w:right w:w="20" w:type="dxa"/>
            </w:tcMar>
            <w:hideMark/>
          </w:tcPr>
          <w:p w:rsidR="00000000" w:rsidRDefault="001F1FC8">
            <w:pPr>
              <w:rPr>
                <w:rFonts w:eastAsia="Times New Roman"/>
              </w:rPr>
            </w:pPr>
            <w:r>
              <w:rPr>
                <w:rFonts w:ascii="Arial" w:eastAsia="Times New Roman" w:hAnsi="Arial" w:cs="Arial"/>
                <w:color w:val="000000"/>
                <w:sz w:val="20"/>
                <w:szCs w:val="20"/>
              </w:rPr>
              <w:t>TSX</w:t>
            </w:r>
          </w:p>
        </w:tc>
        <w:tc>
          <w:tcPr>
            <w:tcW w:w="0" w:type="auto"/>
            <w:gridSpan w:val="3"/>
            <w:tcMar>
              <w:top w:w="0" w:type="dxa"/>
              <w:left w:w="20" w:type="dxa"/>
              <w:bottom w:w="0" w:type="dxa"/>
              <w:right w:w="20" w:type="dxa"/>
            </w:tcMar>
            <w:vAlign w:val="center"/>
            <w:hideMark/>
          </w:tcPr>
          <w:p w:rsidR="00000000" w:rsidRDefault="001F1FC8">
            <w:pPr>
              <w:rPr>
                <w:rFonts w:eastAsia="Times New Roman"/>
              </w:rPr>
            </w:pPr>
          </w:p>
        </w:tc>
        <w:tc>
          <w:tcPr>
            <w:tcW w:w="0" w:type="auto"/>
            <w:gridSpan w:val="3"/>
            <w:tcMar>
              <w:top w:w="30" w:type="dxa"/>
              <w:left w:w="20" w:type="dxa"/>
              <w:bottom w:w="30" w:type="dxa"/>
              <w:right w:w="20" w:type="dxa"/>
            </w:tcMar>
            <w:vAlign w:val="bottom"/>
            <w:hideMark/>
          </w:tcPr>
          <w:p w:rsidR="00000000" w:rsidRDefault="001F1FC8">
            <w:pPr>
              <w:rPr>
                <w:rFonts w:eastAsia="Times New Roman"/>
              </w:rPr>
            </w:pPr>
            <w:r>
              <w:rPr>
                <w:rFonts w:ascii="Arial" w:eastAsia="Times New Roman" w:hAnsi="Arial" w:cs="Arial"/>
                <w:color w:val="000000"/>
                <w:sz w:val="20"/>
                <w:szCs w:val="20"/>
              </w:rPr>
              <w:t>Toronto Stock Exchange</w:t>
            </w:r>
          </w:p>
        </w:tc>
      </w:tr>
      <w:tr w:rsidR="00000000">
        <w:trPr>
          <w:divId w:val="1597133949"/>
        </w:trPr>
        <w:tc>
          <w:tcPr>
            <w:tcW w:w="0" w:type="auto"/>
            <w:gridSpan w:val="3"/>
            <w:vAlign w:val="center"/>
            <w:hideMark/>
          </w:tcPr>
          <w:p w:rsidR="00000000" w:rsidRDefault="001F1FC8">
            <w:pPr>
              <w:rPr>
                <w:rFonts w:eastAsia="Times New Roman"/>
              </w:rPr>
            </w:pPr>
          </w:p>
        </w:tc>
        <w:tc>
          <w:tcPr>
            <w:tcW w:w="0" w:type="auto"/>
            <w:gridSpan w:val="3"/>
            <w:vAlign w:val="center"/>
            <w:hideMark/>
          </w:tcPr>
          <w:p w:rsidR="00000000" w:rsidRDefault="001F1FC8">
            <w:pPr>
              <w:rPr>
                <w:rFonts w:eastAsia="Times New Roman"/>
                <w:sz w:val="20"/>
                <w:szCs w:val="20"/>
              </w:rPr>
            </w:pPr>
          </w:p>
        </w:tc>
        <w:tc>
          <w:tcPr>
            <w:tcW w:w="0" w:type="auto"/>
            <w:gridSpan w:val="3"/>
            <w:vAlign w:val="center"/>
            <w:hideMark/>
          </w:tcPr>
          <w:p w:rsidR="00000000" w:rsidRDefault="001F1FC8">
            <w:pPr>
              <w:rPr>
                <w:rFonts w:eastAsia="Times New Roman"/>
                <w:sz w:val="20"/>
                <w:szCs w:val="20"/>
              </w:rPr>
            </w:pPr>
          </w:p>
        </w:tc>
      </w:tr>
      <w:tr w:rsidR="00000000">
        <w:trPr>
          <w:divId w:val="1597133949"/>
        </w:trPr>
        <w:tc>
          <w:tcPr>
            <w:tcW w:w="0" w:type="auto"/>
            <w:gridSpan w:val="3"/>
            <w:tcMar>
              <w:top w:w="30" w:type="dxa"/>
              <w:left w:w="20" w:type="dxa"/>
              <w:bottom w:w="30" w:type="dxa"/>
              <w:right w:w="20" w:type="dxa"/>
            </w:tcMar>
            <w:hideMark/>
          </w:tcPr>
          <w:p w:rsidR="00000000" w:rsidRDefault="001F1FC8">
            <w:pPr>
              <w:rPr>
                <w:rFonts w:eastAsia="Times New Roman"/>
              </w:rPr>
            </w:pPr>
            <w:r>
              <w:rPr>
                <w:rFonts w:ascii="Arial" w:eastAsia="Times New Roman" w:hAnsi="Arial" w:cs="Arial"/>
                <w:color w:val="000000"/>
                <w:sz w:val="20"/>
                <w:szCs w:val="20"/>
              </w:rPr>
              <w:t>US</w:t>
            </w:r>
          </w:p>
        </w:tc>
        <w:tc>
          <w:tcPr>
            <w:tcW w:w="0" w:type="auto"/>
            <w:gridSpan w:val="3"/>
            <w:tcMar>
              <w:top w:w="0" w:type="dxa"/>
              <w:left w:w="20" w:type="dxa"/>
              <w:bottom w:w="0" w:type="dxa"/>
              <w:right w:w="20" w:type="dxa"/>
            </w:tcMar>
            <w:vAlign w:val="center"/>
            <w:hideMark/>
          </w:tcPr>
          <w:p w:rsidR="00000000" w:rsidRDefault="001F1FC8">
            <w:pPr>
              <w:rPr>
                <w:rFonts w:eastAsia="Times New Roman"/>
              </w:rPr>
            </w:pPr>
          </w:p>
        </w:tc>
        <w:tc>
          <w:tcPr>
            <w:tcW w:w="0" w:type="auto"/>
            <w:gridSpan w:val="3"/>
            <w:tcMar>
              <w:top w:w="30" w:type="dxa"/>
              <w:left w:w="20" w:type="dxa"/>
              <w:bottom w:w="30" w:type="dxa"/>
              <w:right w:w="20" w:type="dxa"/>
            </w:tcMar>
            <w:hideMark/>
          </w:tcPr>
          <w:p w:rsidR="00000000" w:rsidRDefault="001F1FC8">
            <w:pPr>
              <w:rPr>
                <w:rFonts w:eastAsia="Times New Roman"/>
              </w:rPr>
            </w:pPr>
            <w:r>
              <w:rPr>
                <w:rFonts w:ascii="Arial" w:eastAsia="Times New Roman" w:hAnsi="Arial" w:cs="Arial"/>
                <w:color w:val="000000"/>
                <w:sz w:val="20"/>
                <w:szCs w:val="20"/>
              </w:rPr>
              <w:t>United States of America</w:t>
            </w:r>
          </w:p>
        </w:tc>
      </w:tr>
      <w:tr w:rsidR="00000000">
        <w:trPr>
          <w:divId w:val="1597133949"/>
        </w:trPr>
        <w:tc>
          <w:tcPr>
            <w:tcW w:w="0" w:type="auto"/>
            <w:gridSpan w:val="3"/>
            <w:tcMar>
              <w:top w:w="30" w:type="dxa"/>
              <w:left w:w="20" w:type="dxa"/>
              <w:bottom w:w="30" w:type="dxa"/>
              <w:right w:w="20" w:type="dxa"/>
            </w:tcMar>
            <w:hideMark/>
          </w:tcPr>
          <w:p w:rsidR="00000000" w:rsidRDefault="001F1FC8">
            <w:pPr>
              <w:rPr>
                <w:rFonts w:eastAsia="Times New Roman"/>
              </w:rPr>
            </w:pPr>
            <w:r>
              <w:rPr>
                <w:rFonts w:ascii="Arial" w:eastAsia="Times New Roman" w:hAnsi="Arial" w:cs="Arial"/>
                <w:color w:val="000000"/>
                <w:sz w:val="20"/>
                <w:szCs w:val="20"/>
              </w:rPr>
              <w:t>US GAAP</w:t>
            </w:r>
          </w:p>
        </w:tc>
        <w:tc>
          <w:tcPr>
            <w:tcW w:w="0" w:type="auto"/>
            <w:gridSpan w:val="3"/>
            <w:tcMar>
              <w:top w:w="30" w:type="dxa"/>
              <w:left w:w="20" w:type="dxa"/>
              <w:bottom w:w="30" w:type="dxa"/>
              <w:right w:w="20" w:type="dxa"/>
            </w:tcMar>
            <w:hideMark/>
          </w:tcPr>
          <w:p w:rsidR="00000000" w:rsidRDefault="001F1FC8">
            <w:pPr>
              <w:rPr>
                <w:rFonts w:eastAsia="Times New Roman"/>
              </w:rPr>
            </w:pPr>
            <w:r>
              <w:rPr>
                <w:rFonts w:ascii="Arial" w:eastAsia="Times New Roman" w:hAnsi="Arial" w:cs="Arial"/>
                <w:color w:val="000000"/>
                <w:sz w:val="2"/>
                <w:szCs w:val="2"/>
              </w:rPr>
              <w:t> </w:t>
            </w:r>
          </w:p>
        </w:tc>
        <w:tc>
          <w:tcPr>
            <w:tcW w:w="0" w:type="auto"/>
            <w:gridSpan w:val="3"/>
            <w:tcMar>
              <w:top w:w="30" w:type="dxa"/>
              <w:left w:w="20" w:type="dxa"/>
              <w:bottom w:w="30" w:type="dxa"/>
              <w:right w:w="20" w:type="dxa"/>
            </w:tcMar>
            <w:hideMark/>
          </w:tcPr>
          <w:p w:rsidR="00000000" w:rsidRDefault="001F1FC8">
            <w:pPr>
              <w:rPr>
                <w:rFonts w:eastAsia="Times New Roman"/>
              </w:rPr>
            </w:pPr>
            <w:r>
              <w:rPr>
                <w:rFonts w:ascii="Arial" w:eastAsia="Times New Roman" w:hAnsi="Arial" w:cs="Arial"/>
                <w:color w:val="000000"/>
                <w:sz w:val="20"/>
                <w:szCs w:val="20"/>
              </w:rPr>
              <w:t>Generally accepted accounting principles in the United States of America</w:t>
            </w:r>
          </w:p>
        </w:tc>
      </w:tr>
      <w:tr w:rsidR="00000000">
        <w:trPr>
          <w:divId w:val="1597133949"/>
        </w:trPr>
        <w:tc>
          <w:tcPr>
            <w:tcW w:w="0" w:type="auto"/>
            <w:gridSpan w:val="3"/>
            <w:tcMar>
              <w:top w:w="30" w:type="dxa"/>
              <w:left w:w="20" w:type="dxa"/>
              <w:bottom w:w="30" w:type="dxa"/>
              <w:right w:w="20" w:type="dxa"/>
            </w:tcMar>
            <w:hideMark/>
          </w:tcPr>
          <w:p w:rsidR="00000000" w:rsidRDefault="001F1FC8">
            <w:pPr>
              <w:rPr>
                <w:rFonts w:eastAsia="Times New Roman"/>
              </w:rPr>
            </w:pPr>
            <w:r>
              <w:rPr>
                <w:rFonts w:ascii="Arial" w:eastAsia="Times New Roman" w:hAnsi="Arial" w:cs="Arial"/>
                <w:color w:val="000000"/>
                <w:sz w:val="20"/>
                <w:szCs w:val="20"/>
              </w:rPr>
              <w:t>US L3R Program</w:t>
            </w:r>
          </w:p>
        </w:tc>
        <w:tc>
          <w:tcPr>
            <w:tcW w:w="0" w:type="auto"/>
            <w:gridSpan w:val="3"/>
            <w:tcMar>
              <w:top w:w="30" w:type="dxa"/>
              <w:left w:w="20" w:type="dxa"/>
              <w:bottom w:w="30" w:type="dxa"/>
              <w:right w:w="20" w:type="dxa"/>
            </w:tcMar>
            <w:hideMark/>
          </w:tcPr>
          <w:p w:rsidR="00000000" w:rsidRDefault="001F1FC8">
            <w:pPr>
              <w:rPr>
                <w:rFonts w:eastAsia="Times New Roman"/>
              </w:rPr>
            </w:pPr>
            <w:r>
              <w:rPr>
                <w:rFonts w:ascii="Arial" w:eastAsia="Times New Roman" w:hAnsi="Arial" w:cs="Arial"/>
                <w:color w:val="000000"/>
                <w:sz w:val="2"/>
                <w:szCs w:val="2"/>
              </w:rPr>
              <w:t> </w:t>
            </w:r>
          </w:p>
        </w:tc>
        <w:tc>
          <w:tcPr>
            <w:tcW w:w="0" w:type="auto"/>
            <w:gridSpan w:val="3"/>
            <w:tcMar>
              <w:top w:w="30" w:type="dxa"/>
              <w:left w:w="20" w:type="dxa"/>
              <w:bottom w:w="30" w:type="dxa"/>
              <w:right w:w="20" w:type="dxa"/>
            </w:tcMar>
            <w:hideMark/>
          </w:tcPr>
          <w:p w:rsidR="00000000" w:rsidRDefault="001F1FC8">
            <w:pPr>
              <w:rPr>
                <w:rFonts w:eastAsia="Times New Roman"/>
              </w:rPr>
            </w:pPr>
            <w:r>
              <w:rPr>
                <w:rFonts w:ascii="Arial" w:eastAsia="Times New Roman" w:hAnsi="Arial" w:cs="Arial"/>
                <w:color w:val="000000"/>
                <w:sz w:val="20"/>
                <w:szCs w:val="20"/>
              </w:rPr>
              <w:t>United States portion of the Line 3 Replacement Program</w:t>
            </w:r>
          </w:p>
        </w:tc>
      </w:tr>
      <w:tr w:rsidR="00000000">
        <w:trPr>
          <w:divId w:val="1597133949"/>
        </w:trPr>
        <w:tc>
          <w:tcPr>
            <w:tcW w:w="0" w:type="auto"/>
            <w:gridSpan w:val="3"/>
            <w:vAlign w:val="center"/>
            <w:hideMark/>
          </w:tcPr>
          <w:p w:rsidR="00000000" w:rsidRDefault="001F1FC8">
            <w:pPr>
              <w:rPr>
                <w:rFonts w:eastAsia="Times New Roman"/>
              </w:rPr>
            </w:pPr>
          </w:p>
        </w:tc>
        <w:tc>
          <w:tcPr>
            <w:tcW w:w="0" w:type="auto"/>
            <w:gridSpan w:val="3"/>
            <w:vAlign w:val="center"/>
            <w:hideMark/>
          </w:tcPr>
          <w:p w:rsidR="00000000" w:rsidRDefault="001F1FC8">
            <w:pPr>
              <w:rPr>
                <w:rFonts w:eastAsia="Times New Roman"/>
                <w:sz w:val="20"/>
                <w:szCs w:val="20"/>
              </w:rPr>
            </w:pPr>
          </w:p>
        </w:tc>
        <w:tc>
          <w:tcPr>
            <w:tcW w:w="0" w:type="auto"/>
            <w:gridSpan w:val="3"/>
            <w:vAlign w:val="center"/>
            <w:hideMark/>
          </w:tcPr>
          <w:p w:rsidR="00000000" w:rsidRDefault="001F1FC8">
            <w:pPr>
              <w:rPr>
                <w:rFonts w:eastAsia="Times New Roman"/>
                <w:sz w:val="20"/>
                <w:szCs w:val="20"/>
              </w:rPr>
            </w:pPr>
          </w:p>
        </w:tc>
      </w:tr>
      <w:tr w:rsidR="00000000">
        <w:trPr>
          <w:divId w:val="1597133949"/>
        </w:trPr>
        <w:tc>
          <w:tcPr>
            <w:tcW w:w="0" w:type="auto"/>
            <w:gridSpan w:val="3"/>
            <w:tcMar>
              <w:top w:w="30" w:type="dxa"/>
              <w:left w:w="20" w:type="dxa"/>
              <w:bottom w:w="30" w:type="dxa"/>
              <w:right w:w="20" w:type="dxa"/>
            </w:tcMar>
            <w:hideMark/>
          </w:tcPr>
          <w:p w:rsidR="00000000" w:rsidRDefault="001F1FC8">
            <w:pPr>
              <w:rPr>
                <w:rFonts w:eastAsia="Times New Roman"/>
              </w:rPr>
            </w:pPr>
            <w:r>
              <w:rPr>
                <w:rFonts w:ascii="Arial" w:eastAsia="Times New Roman" w:hAnsi="Arial" w:cs="Arial"/>
                <w:color w:val="000000"/>
                <w:sz w:val="20"/>
                <w:szCs w:val="20"/>
              </w:rPr>
              <w:t>VIE</w:t>
            </w:r>
          </w:p>
        </w:tc>
        <w:tc>
          <w:tcPr>
            <w:tcW w:w="0" w:type="auto"/>
            <w:gridSpan w:val="3"/>
            <w:tcMar>
              <w:top w:w="0" w:type="dxa"/>
              <w:left w:w="20" w:type="dxa"/>
              <w:bottom w:w="0" w:type="dxa"/>
              <w:right w:w="20" w:type="dxa"/>
            </w:tcMar>
            <w:vAlign w:val="center"/>
            <w:hideMark/>
          </w:tcPr>
          <w:p w:rsidR="00000000" w:rsidRDefault="001F1FC8">
            <w:pPr>
              <w:rPr>
                <w:rFonts w:eastAsia="Times New Roman"/>
              </w:rPr>
            </w:pPr>
          </w:p>
        </w:tc>
        <w:tc>
          <w:tcPr>
            <w:tcW w:w="0" w:type="auto"/>
            <w:gridSpan w:val="3"/>
            <w:tcMar>
              <w:top w:w="30" w:type="dxa"/>
              <w:left w:w="20" w:type="dxa"/>
              <w:bottom w:w="30" w:type="dxa"/>
              <w:right w:w="20" w:type="dxa"/>
            </w:tcMar>
            <w:hideMark/>
          </w:tcPr>
          <w:p w:rsidR="00000000" w:rsidRDefault="001F1FC8">
            <w:pPr>
              <w:rPr>
                <w:rFonts w:eastAsia="Times New Roman"/>
              </w:rPr>
            </w:pPr>
            <w:r>
              <w:rPr>
                <w:rFonts w:ascii="Arial" w:eastAsia="Times New Roman" w:hAnsi="Arial" w:cs="Arial"/>
                <w:color w:val="000000"/>
                <w:sz w:val="20"/>
                <w:szCs w:val="20"/>
              </w:rPr>
              <w:t>Variable interest entities</w:t>
            </w:r>
          </w:p>
        </w:tc>
      </w:tr>
      <w:tr w:rsidR="00000000">
        <w:trPr>
          <w:divId w:val="1597133949"/>
        </w:trPr>
        <w:tc>
          <w:tcPr>
            <w:tcW w:w="0" w:type="auto"/>
            <w:gridSpan w:val="3"/>
            <w:vAlign w:val="center"/>
            <w:hideMark/>
          </w:tcPr>
          <w:p w:rsidR="00000000" w:rsidRDefault="001F1FC8">
            <w:pPr>
              <w:rPr>
                <w:rFonts w:eastAsia="Times New Roman"/>
              </w:rPr>
            </w:pPr>
          </w:p>
        </w:tc>
        <w:tc>
          <w:tcPr>
            <w:tcW w:w="0" w:type="auto"/>
            <w:gridSpan w:val="3"/>
            <w:vAlign w:val="center"/>
            <w:hideMark/>
          </w:tcPr>
          <w:p w:rsidR="00000000" w:rsidRDefault="001F1FC8">
            <w:pPr>
              <w:rPr>
                <w:rFonts w:eastAsia="Times New Roman"/>
                <w:sz w:val="20"/>
                <w:szCs w:val="20"/>
              </w:rPr>
            </w:pPr>
          </w:p>
        </w:tc>
        <w:tc>
          <w:tcPr>
            <w:tcW w:w="0" w:type="auto"/>
            <w:gridSpan w:val="3"/>
            <w:vAlign w:val="center"/>
            <w:hideMark/>
          </w:tcPr>
          <w:p w:rsidR="00000000" w:rsidRDefault="001F1FC8">
            <w:pPr>
              <w:rPr>
                <w:rFonts w:eastAsia="Times New Roman"/>
                <w:sz w:val="20"/>
                <w:szCs w:val="20"/>
              </w:rPr>
            </w:pPr>
          </w:p>
        </w:tc>
      </w:tr>
      <w:tr w:rsidR="00000000">
        <w:trPr>
          <w:divId w:val="1597133949"/>
        </w:trPr>
        <w:tc>
          <w:tcPr>
            <w:tcW w:w="0" w:type="auto"/>
            <w:gridSpan w:val="3"/>
            <w:tcMar>
              <w:top w:w="30" w:type="dxa"/>
              <w:left w:w="20" w:type="dxa"/>
              <w:bottom w:w="30" w:type="dxa"/>
              <w:right w:w="20" w:type="dxa"/>
            </w:tcMar>
            <w:hideMark/>
          </w:tcPr>
          <w:p w:rsidR="00000000" w:rsidRDefault="001F1FC8">
            <w:pPr>
              <w:rPr>
                <w:rFonts w:eastAsia="Times New Roman"/>
              </w:rPr>
            </w:pPr>
            <w:r>
              <w:rPr>
                <w:rFonts w:ascii="Arial" w:eastAsia="Times New Roman" w:hAnsi="Arial" w:cs="Arial"/>
                <w:color w:val="000000"/>
                <w:sz w:val="20"/>
                <w:szCs w:val="20"/>
              </w:rPr>
              <w:t>Westcoast</w:t>
            </w:r>
          </w:p>
        </w:tc>
        <w:tc>
          <w:tcPr>
            <w:tcW w:w="0" w:type="auto"/>
            <w:gridSpan w:val="3"/>
            <w:tcMar>
              <w:top w:w="0" w:type="dxa"/>
              <w:left w:w="20" w:type="dxa"/>
              <w:bottom w:w="0" w:type="dxa"/>
              <w:right w:w="20" w:type="dxa"/>
            </w:tcMar>
            <w:vAlign w:val="center"/>
            <w:hideMark/>
          </w:tcPr>
          <w:p w:rsidR="00000000" w:rsidRDefault="001F1FC8">
            <w:pPr>
              <w:rPr>
                <w:rFonts w:eastAsia="Times New Roman"/>
              </w:rPr>
            </w:pPr>
          </w:p>
        </w:tc>
        <w:tc>
          <w:tcPr>
            <w:tcW w:w="0" w:type="auto"/>
            <w:gridSpan w:val="3"/>
            <w:tcMar>
              <w:top w:w="30" w:type="dxa"/>
              <w:left w:w="20" w:type="dxa"/>
              <w:bottom w:w="30" w:type="dxa"/>
              <w:right w:w="20" w:type="dxa"/>
            </w:tcMar>
            <w:hideMark/>
          </w:tcPr>
          <w:p w:rsidR="00000000" w:rsidRDefault="001F1FC8">
            <w:pPr>
              <w:rPr>
                <w:rFonts w:eastAsia="Times New Roman"/>
              </w:rPr>
            </w:pPr>
            <w:r>
              <w:rPr>
                <w:rFonts w:ascii="Arial" w:eastAsia="Times New Roman" w:hAnsi="Arial" w:cs="Arial"/>
                <w:color w:val="000000"/>
                <w:sz w:val="20"/>
                <w:szCs w:val="20"/>
              </w:rPr>
              <w:t>Westcoast Energy Inc.</w:t>
            </w:r>
          </w:p>
        </w:tc>
      </w:tr>
    </w:tbl>
    <w:p w:rsidR="00000000" w:rsidRDefault="001F1FC8">
      <w:pPr>
        <w:divId w:val="1640455665"/>
        <w:rPr>
          <w:rFonts w:eastAsia="Times New Roman"/>
        </w:rPr>
      </w:pPr>
    </w:p>
    <w:p w:rsidR="00000000" w:rsidRDefault="001F1FC8">
      <w:pPr>
        <w:jc w:val="center"/>
        <w:divId w:val="2095278826"/>
        <w:rPr>
          <w:rFonts w:eastAsia="Times New Roman"/>
        </w:rPr>
      </w:pPr>
      <w:r>
        <w:rPr>
          <w:rFonts w:ascii="Arial" w:eastAsia="Times New Roman" w:hAnsi="Arial" w:cs="Arial"/>
          <w:color w:val="000000"/>
          <w:sz w:val="20"/>
          <w:szCs w:val="20"/>
        </w:rPr>
        <w:t>5</w:t>
      </w:r>
    </w:p>
    <w:p w:rsidR="00000000" w:rsidRDefault="001F1FC8">
      <w:pPr>
        <w:rPr>
          <w:rFonts w:eastAsia="Times New Roman"/>
        </w:rPr>
      </w:pPr>
      <w:r>
        <w:rPr>
          <w:rFonts w:eastAsia="Times New Roman"/>
        </w:rPr>
        <w:pict>
          <v:rect id="_x0000_i1029" style="width:0;height:1.5pt" o:hralign="center" o:hrstd="t" o:hr="t" fillcolor="#a0a0a0" stroked="f"/>
        </w:pict>
      </w:r>
    </w:p>
    <w:p w:rsidR="00000000" w:rsidRDefault="001F1FC8">
      <w:pPr>
        <w:jc w:val="center"/>
        <w:divId w:val="567114537"/>
        <w:rPr>
          <w:rFonts w:eastAsia="Times New Roman"/>
        </w:rPr>
      </w:pPr>
    </w:p>
    <w:p w:rsidR="00000000" w:rsidRDefault="001F1FC8">
      <w:pPr>
        <w:divId w:val="225074442"/>
        <w:rPr>
          <w:rFonts w:eastAsia="Times New Roman"/>
        </w:rPr>
      </w:pPr>
      <w:r>
        <w:rPr>
          <w:rFonts w:ascii="Arial" w:eastAsia="Times New Roman" w:hAnsi="Arial" w:cs="Arial"/>
          <w:b/>
          <w:bCs/>
          <w:color w:val="000000"/>
          <w:sz w:val="28"/>
          <w:szCs w:val="28"/>
        </w:rPr>
        <w:t>CONVENTIONS</w:t>
      </w:r>
    </w:p>
    <w:p w:rsidR="00000000" w:rsidRDefault="001F1FC8">
      <w:pPr>
        <w:divId w:val="1507473661"/>
        <w:rPr>
          <w:rFonts w:eastAsia="Times New Roman"/>
        </w:rPr>
      </w:pPr>
      <w:r>
        <w:rPr>
          <w:rFonts w:ascii="Arial" w:eastAsia="Times New Roman" w:hAnsi="Arial" w:cs="Arial"/>
          <w:color w:val="000000"/>
          <w:sz w:val="20"/>
          <w:szCs w:val="20"/>
        </w:rPr>
        <w:lastRenderedPageBreak/>
        <w:t>The terms "we", "our", "us" and "Enbridge" as used in this report refer collectively to Enbridge Inc. and its subsidiaries unless the context suggests otherwise. These terms are used for convenience only and are not intended as a precise description of any</w:t>
      </w:r>
      <w:r>
        <w:rPr>
          <w:rFonts w:ascii="Arial" w:eastAsia="Times New Roman" w:hAnsi="Arial" w:cs="Arial"/>
          <w:color w:val="000000"/>
          <w:sz w:val="20"/>
          <w:szCs w:val="20"/>
        </w:rPr>
        <w:t xml:space="preserve"> separate legal entity within Enbridge.</w:t>
      </w:r>
    </w:p>
    <w:p w:rsidR="00000000" w:rsidRDefault="001F1FC8">
      <w:pPr>
        <w:divId w:val="1385762825"/>
        <w:rPr>
          <w:rFonts w:eastAsia="Times New Roman"/>
        </w:rPr>
      </w:pPr>
    </w:p>
    <w:p w:rsidR="00000000" w:rsidRDefault="001F1FC8">
      <w:pPr>
        <w:divId w:val="1011643153"/>
        <w:rPr>
          <w:rFonts w:eastAsia="Times New Roman"/>
        </w:rPr>
      </w:pPr>
      <w:r>
        <w:rPr>
          <w:rFonts w:ascii="Arial" w:eastAsia="Times New Roman" w:hAnsi="Arial" w:cs="Arial"/>
          <w:color w:val="000000"/>
          <w:sz w:val="20"/>
          <w:szCs w:val="20"/>
        </w:rPr>
        <w:t>Unless otherwise specified, all dollar amounts are expressed in Canadian dollars, all references to “dollars” or “$” are to Canadian dollars and all references to “US$” are to US dollars. All amounts are provided o</w:t>
      </w:r>
      <w:r>
        <w:rPr>
          <w:rFonts w:ascii="Arial" w:eastAsia="Times New Roman" w:hAnsi="Arial" w:cs="Arial"/>
          <w:color w:val="000000"/>
          <w:sz w:val="20"/>
          <w:szCs w:val="20"/>
        </w:rPr>
        <w:t>n a before tax basis, unless otherwise stated.</w:t>
      </w:r>
    </w:p>
    <w:p w:rsidR="00000000" w:rsidRDefault="001F1FC8">
      <w:pPr>
        <w:divId w:val="97142970"/>
        <w:rPr>
          <w:rFonts w:eastAsia="Times New Roman"/>
        </w:rPr>
      </w:pPr>
    </w:p>
    <w:p w:rsidR="00000000" w:rsidRDefault="001F1FC8">
      <w:pPr>
        <w:jc w:val="both"/>
        <w:rPr>
          <w:rFonts w:eastAsia="Times New Roman"/>
        </w:rPr>
      </w:pPr>
      <w:r>
        <w:rPr>
          <w:rFonts w:ascii="Arial" w:eastAsia="Times New Roman" w:hAnsi="Arial" w:cs="Arial"/>
          <w:b/>
          <w:bCs/>
          <w:color w:val="000000"/>
          <w:sz w:val="28"/>
          <w:szCs w:val="28"/>
        </w:rPr>
        <w:t>FORWARD-LOOKING INFORMATION</w:t>
      </w:r>
    </w:p>
    <w:p w:rsidR="00000000" w:rsidRDefault="001F1FC8">
      <w:pPr>
        <w:divId w:val="411046688"/>
        <w:rPr>
          <w:rFonts w:eastAsia="Times New Roman"/>
        </w:rPr>
      </w:pPr>
      <w:r>
        <w:rPr>
          <w:rFonts w:ascii="Arial" w:eastAsia="Times New Roman" w:hAnsi="Arial" w:cs="Arial"/>
          <w:i/>
          <w:iCs/>
          <w:color w:val="000000"/>
          <w:sz w:val="18"/>
          <w:szCs w:val="18"/>
        </w:rPr>
        <w:t>Forward-looking information, or forward-looking statements, have been included in this Annual Report on Form 10-K to provide information about us and our subsidiaries and affiliat</w:t>
      </w:r>
      <w:r>
        <w:rPr>
          <w:rFonts w:ascii="Arial" w:eastAsia="Times New Roman" w:hAnsi="Arial" w:cs="Arial"/>
          <w:i/>
          <w:iCs/>
          <w:color w:val="000000"/>
          <w:sz w:val="18"/>
          <w:szCs w:val="18"/>
        </w:rPr>
        <w:t>es, including management’s assessment of our and our subsidiaries’ future plans and operations. This information may not be appropriate for other purposes. Forward-looking statements are typically identified by words such as ‘‘anticipate”, “believe”, “esti</w:t>
      </w:r>
      <w:r>
        <w:rPr>
          <w:rFonts w:ascii="Arial" w:eastAsia="Times New Roman" w:hAnsi="Arial" w:cs="Arial"/>
          <w:i/>
          <w:iCs/>
          <w:color w:val="000000"/>
          <w:sz w:val="18"/>
          <w:szCs w:val="18"/>
        </w:rPr>
        <w:t>mate”, “expect”, “forecast”, “intend”, “likely”, “plan”, “project”, “target” and similar words suggesting future outcomes or statements regarding an outlook. Forward-looking information or statements included or incorporated by reference in this document i</w:t>
      </w:r>
      <w:r>
        <w:rPr>
          <w:rFonts w:ascii="Arial" w:eastAsia="Times New Roman" w:hAnsi="Arial" w:cs="Arial"/>
          <w:i/>
          <w:iCs/>
          <w:color w:val="000000"/>
          <w:sz w:val="18"/>
          <w:szCs w:val="18"/>
        </w:rPr>
        <w:t>nclude, but are not limited to, statements with respect to the following: our corporate vision and strategy, including strategic priorities and enablers; the COVID-19 pandemic and the duration and impact thereof; energy intensity and emissions reduction ta</w:t>
      </w:r>
      <w:r>
        <w:rPr>
          <w:rFonts w:ascii="Arial" w:eastAsia="Times New Roman" w:hAnsi="Arial" w:cs="Arial"/>
          <w:i/>
          <w:iCs/>
          <w:color w:val="000000"/>
          <w:sz w:val="18"/>
          <w:szCs w:val="18"/>
        </w:rPr>
        <w:t>rgets and related Environment, Social and Governance (ESG) matters; diversity and inclusion goals; expected supply of, demand for, and prices of crude oil, natural gas, natural gas liquids (NGLs), liquified natural gas and renewable energy; energy transiti</w:t>
      </w:r>
      <w:r>
        <w:rPr>
          <w:rFonts w:ascii="Arial" w:eastAsia="Times New Roman" w:hAnsi="Arial" w:cs="Arial"/>
          <w:i/>
          <w:iCs/>
          <w:color w:val="000000"/>
          <w:sz w:val="18"/>
          <w:szCs w:val="18"/>
        </w:rPr>
        <w:t>on; anticipated utilization of our existing assets; expected earnings before interest, income taxes and depreciation and amortization (EBITDA); expected earnings/(loss); expected future cash flows and distributable cash flow; dividend growth and payout pol</w:t>
      </w:r>
      <w:r>
        <w:rPr>
          <w:rFonts w:ascii="Arial" w:eastAsia="Times New Roman" w:hAnsi="Arial" w:cs="Arial"/>
          <w:i/>
          <w:iCs/>
          <w:color w:val="000000"/>
          <w:sz w:val="18"/>
          <w:szCs w:val="18"/>
        </w:rPr>
        <w:t>icy; financial strength and flexibility; expectations on sources of liquidity and sufficiency of financial resources; expected strategic priorities and performance of the Liquids Pipelines, Gas Transmission and Midstream, Gas Distribution and Storage, Rene</w:t>
      </w:r>
      <w:r>
        <w:rPr>
          <w:rFonts w:ascii="Arial" w:eastAsia="Times New Roman" w:hAnsi="Arial" w:cs="Arial"/>
          <w:i/>
          <w:iCs/>
          <w:color w:val="000000"/>
          <w:sz w:val="18"/>
          <w:szCs w:val="18"/>
        </w:rPr>
        <w:t>wable Power Generation and Energy Services businesses; expected costs related to announced projects and projects under construction and for maintenance; expected in-service dates for announced projects and projects under construction and for maintenance; e</w:t>
      </w:r>
      <w:r>
        <w:rPr>
          <w:rFonts w:ascii="Arial" w:eastAsia="Times New Roman" w:hAnsi="Arial" w:cs="Arial"/>
          <w:i/>
          <w:iCs/>
          <w:color w:val="000000"/>
          <w:sz w:val="18"/>
          <w:szCs w:val="18"/>
        </w:rPr>
        <w:t xml:space="preserve">xpected capital expenditures, investment capacity and capital allocation priorities; expected equity funding requirements for our commercially secured growth program; expected future growth and expansion opportunities; expectations about our joint venture </w:t>
      </w:r>
      <w:r>
        <w:rPr>
          <w:rFonts w:ascii="Arial" w:eastAsia="Times New Roman" w:hAnsi="Arial" w:cs="Arial"/>
          <w:i/>
          <w:iCs/>
          <w:color w:val="000000"/>
          <w:sz w:val="18"/>
          <w:szCs w:val="18"/>
        </w:rPr>
        <w:t>partners’ ability to complete and finance projects under construction; expected closing of acquisitions and dispositions and the timing thereof; expected benefits of transactions, including the realization of efficiencies, synergies and cost savings; expec</w:t>
      </w:r>
      <w:r>
        <w:rPr>
          <w:rFonts w:ascii="Arial" w:eastAsia="Times New Roman" w:hAnsi="Arial" w:cs="Arial"/>
          <w:i/>
          <w:iCs/>
          <w:color w:val="000000"/>
          <w:sz w:val="18"/>
          <w:szCs w:val="18"/>
        </w:rPr>
        <w:t xml:space="preserve">ted future actions of regulators and courts; toll and rate cases discussions and filings, including Mainline System contracting; anticipated competition; United States Line 3 Replacement Program (US L3R Program), including anticipated in-service dates and </w:t>
      </w:r>
      <w:r>
        <w:rPr>
          <w:rFonts w:ascii="Arial" w:eastAsia="Times New Roman" w:hAnsi="Arial" w:cs="Arial"/>
          <w:i/>
          <w:iCs/>
          <w:color w:val="000000"/>
          <w:sz w:val="18"/>
          <w:szCs w:val="18"/>
        </w:rPr>
        <w:t>capital costs; and Line 5 dual pipelines and related litigation and other matters.</w:t>
      </w:r>
    </w:p>
    <w:p w:rsidR="00000000" w:rsidRDefault="001F1FC8">
      <w:pPr>
        <w:divId w:val="1303844828"/>
        <w:rPr>
          <w:rFonts w:eastAsia="Times New Roman"/>
        </w:rPr>
      </w:pPr>
    </w:p>
    <w:p w:rsidR="00000000" w:rsidRDefault="001F1FC8">
      <w:pPr>
        <w:divId w:val="1959724025"/>
        <w:rPr>
          <w:rFonts w:eastAsia="Times New Roman"/>
        </w:rPr>
      </w:pPr>
      <w:r>
        <w:rPr>
          <w:rFonts w:ascii="Arial" w:eastAsia="Times New Roman" w:hAnsi="Arial" w:cs="Arial"/>
          <w:i/>
          <w:iCs/>
          <w:color w:val="000000"/>
          <w:sz w:val="18"/>
          <w:szCs w:val="18"/>
        </w:rPr>
        <w:t>Although we believe these forward-looking statements are reasonable based on the information available on the date such statements are made and processes used to prepare t</w:t>
      </w:r>
      <w:r>
        <w:rPr>
          <w:rFonts w:ascii="Arial" w:eastAsia="Times New Roman" w:hAnsi="Arial" w:cs="Arial"/>
          <w:i/>
          <w:iCs/>
          <w:color w:val="000000"/>
          <w:sz w:val="18"/>
          <w:szCs w:val="18"/>
        </w:rPr>
        <w:t>he information, such statements are not guarantees of future performance and readers are cautioned against placing undue reliance on forward-looking statements. By their nature, these statements involve a variety of assumptions, known and unknown risks and</w:t>
      </w:r>
      <w:r>
        <w:rPr>
          <w:rFonts w:ascii="Arial" w:eastAsia="Times New Roman" w:hAnsi="Arial" w:cs="Arial"/>
          <w:i/>
          <w:iCs/>
          <w:color w:val="000000"/>
          <w:sz w:val="18"/>
          <w:szCs w:val="18"/>
        </w:rPr>
        <w:t xml:space="preserve"> uncertainties and other factors, which may cause actual results, levels of activity and achievements to differ materially from those expressed or implied by such statements. Material assumptions include assumptions about the following: the COVID-19 pandem</w:t>
      </w:r>
      <w:r>
        <w:rPr>
          <w:rFonts w:ascii="Arial" w:eastAsia="Times New Roman" w:hAnsi="Arial" w:cs="Arial"/>
          <w:i/>
          <w:iCs/>
          <w:color w:val="000000"/>
          <w:sz w:val="18"/>
          <w:szCs w:val="18"/>
        </w:rPr>
        <w:t>ic and the duration and impact thereof; the expected supply of and demand for crude oil, natural gas, NGL and renewable energy; prices of crude oil, natural gas, NGLs and renewable energy; anticipated utilization of assets; exchange rates; inflation; inter</w:t>
      </w:r>
      <w:r>
        <w:rPr>
          <w:rFonts w:ascii="Arial" w:eastAsia="Times New Roman" w:hAnsi="Arial" w:cs="Arial"/>
          <w:i/>
          <w:iCs/>
          <w:color w:val="000000"/>
          <w:sz w:val="18"/>
          <w:szCs w:val="18"/>
        </w:rPr>
        <w:t>est rates; availability and price of labor and construction materials; operational reliability; customer and regulatory approvals; maintenance of support and regulatory approvals for our projects; anticipated in-service dates; weather; the timing and closi</w:t>
      </w:r>
      <w:r>
        <w:rPr>
          <w:rFonts w:ascii="Arial" w:eastAsia="Times New Roman" w:hAnsi="Arial" w:cs="Arial"/>
          <w:i/>
          <w:iCs/>
          <w:color w:val="000000"/>
          <w:sz w:val="18"/>
          <w:szCs w:val="18"/>
        </w:rPr>
        <w:t>ng of acquisitions and dispositions; the realization of anticipated benefits and synergies of transactions; governmental legislation; litigation; estimated future dividends and impact of our dividend policy on our future cash flows; our credit ratings; cap</w:t>
      </w:r>
      <w:r>
        <w:rPr>
          <w:rFonts w:ascii="Arial" w:eastAsia="Times New Roman" w:hAnsi="Arial" w:cs="Arial"/>
          <w:i/>
          <w:iCs/>
          <w:color w:val="000000"/>
          <w:sz w:val="18"/>
          <w:szCs w:val="18"/>
        </w:rPr>
        <w:t>ital project funding; hedging program; expected EBITDA; expected earnings/(loss); expected future cash flows; and expected distributable cash flow. Assumptions regarding the expected supply of and demand for crude oil, natural gas, NGLs and renewable energ</w:t>
      </w:r>
      <w:r>
        <w:rPr>
          <w:rFonts w:ascii="Arial" w:eastAsia="Times New Roman" w:hAnsi="Arial" w:cs="Arial"/>
          <w:i/>
          <w:iCs/>
          <w:color w:val="000000"/>
          <w:sz w:val="18"/>
          <w:szCs w:val="18"/>
        </w:rPr>
        <w:t>y, and the prices of these commodities, are material to and underlie all forward-looking statements, as they may impact current and future levels of demand for our services. Similarly, exchange rates, inflation, interest rates and the COVID-19 pandemic imp</w:t>
      </w:r>
      <w:r>
        <w:rPr>
          <w:rFonts w:ascii="Arial" w:eastAsia="Times New Roman" w:hAnsi="Arial" w:cs="Arial"/>
          <w:i/>
          <w:iCs/>
          <w:color w:val="000000"/>
          <w:sz w:val="18"/>
          <w:szCs w:val="18"/>
        </w:rPr>
        <w:t>act the economies and business environments in which we operate and may impact levels of demand for our services and cost of inputs, and are therefore inherent in all forward-looking statements. Due to the interdependencies and correlation of these macroec</w:t>
      </w:r>
      <w:r>
        <w:rPr>
          <w:rFonts w:ascii="Arial" w:eastAsia="Times New Roman" w:hAnsi="Arial" w:cs="Arial"/>
          <w:i/>
          <w:iCs/>
          <w:color w:val="000000"/>
          <w:sz w:val="18"/>
          <w:szCs w:val="18"/>
        </w:rPr>
        <w:t>onomic factors, the impact of any one assumption on a forward-</w:t>
      </w:r>
    </w:p>
    <w:p w:rsidR="00000000" w:rsidRDefault="001F1FC8">
      <w:pPr>
        <w:jc w:val="center"/>
        <w:divId w:val="2111733451"/>
        <w:rPr>
          <w:rFonts w:eastAsia="Times New Roman"/>
        </w:rPr>
      </w:pPr>
      <w:r>
        <w:rPr>
          <w:rFonts w:ascii="Arial" w:eastAsia="Times New Roman" w:hAnsi="Arial" w:cs="Arial"/>
          <w:color w:val="000000"/>
          <w:sz w:val="20"/>
          <w:szCs w:val="20"/>
        </w:rPr>
        <w:t>6</w:t>
      </w:r>
    </w:p>
    <w:p w:rsidR="00000000" w:rsidRDefault="001F1FC8">
      <w:pPr>
        <w:rPr>
          <w:rFonts w:eastAsia="Times New Roman"/>
        </w:rPr>
      </w:pPr>
      <w:r>
        <w:rPr>
          <w:rFonts w:eastAsia="Times New Roman"/>
        </w:rPr>
        <w:pict>
          <v:rect id="_x0000_i1030" style="width:0;height:1.5pt" o:hralign="center" o:hrstd="t" o:hr="t" fillcolor="#a0a0a0" stroked="f"/>
        </w:pict>
      </w:r>
    </w:p>
    <w:p w:rsidR="00000000" w:rsidRDefault="001F1FC8">
      <w:pPr>
        <w:jc w:val="center"/>
        <w:divId w:val="468330176"/>
        <w:rPr>
          <w:rFonts w:eastAsia="Times New Roman"/>
        </w:rPr>
      </w:pPr>
    </w:p>
    <w:p w:rsidR="00000000" w:rsidRDefault="001F1FC8">
      <w:pPr>
        <w:divId w:val="594285611"/>
        <w:rPr>
          <w:rFonts w:eastAsia="Times New Roman"/>
        </w:rPr>
      </w:pPr>
      <w:r>
        <w:rPr>
          <w:rFonts w:ascii="Arial" w:eastAsia="Times New Roman" w:hAnsi="Arial" w:cs="Arial"/>
          <w:i/>
          <w:iCs/>
          <w:color w:val="000000"/>
          <w:sz w:val="18"/>
          <w:szCs w:val="18"/>
        </w:rPr>
        <w:t>looking statement cannot be determined with certainty, particularly with respect to expected EBITDA, expected earnings/(loss), expected future cash flow</w:t>
      </w:r>
      <w:r>
        <w:rPr>
          <w:rFonts w:ascii="Arial" w:eastAsia="Times New Roman" w:hAnsi="Arial" w:cs="Arial"/>
          <w:i/>
          <w:iCs/>
          <w:color w:val="000000"/>
          <w:sz w:val="18"/>
          <w:szCs w:val="18"/>
        </w:rPr>
        <w:t>s, expected distributable cash flow or estimated future dividends. The most relevant assumptions associated with forward-looking statements regarding announced projects and projects under construction, including estimated completion dates and expected capi</w:t>
      </w:r>
      <w:r>
        <w:rPr>
          <w:rFonts w:ascii="Arial" w:eastAsia="Times New Roman" w:hAnsi="Arial" w:cs="Arial"/>
          <w:i/>
          <w:iCs/>
          <w:color w:val="000000"/>
          <w:sz w:val="18"/>
          <w:szCs w:val="18"/>
        </w:rPr>
        <w:t>tal expenditures, include the following: the availability and price of labor and construction materials; the effects of inflation and foreign exchange rates on labor and material costs; the effects of interest rates on borrowing costs; the impact of weathe</w:t>
      </w:r>
      <w:r>
        <w:rPr>
          <w:rFonts w:ascii="Arial" w:eastAsia="Times New Roman" w:hAnsi="Arial" w:cs="Arial"/>
          <w:i/>
          <w:iCs/>
          <w:color w:val="000000"/>
          <w:sz w:val="18"/>
          <w:szCs w:val="18"/>
        </w:rPr>
        <w:t>r, customer, government, court and regulatory approvals on construction and in-service schedules and cost recovery regimes; and the COVID-19 pandemic and the duration and impact thereof.</w:t>
      </w:r>
    </w:p>
    <w:p w:rsidR="00000000" w:rsidRDefault="001F1FC8">
      <w:pPr>
        <w:divId w:val="927228016"/>
        <w:rPr>
          <w:rFonts w:eastAsia="Times New Roman"/>
        </w:rPr>
      </w:pPr>
    </w:p>
    <w:p w:rsidR="00000000" w:rsidRDefault="001F1FC8">
      <w:pPr>
        <w:divId w:val="1027633848"/>
        <w:rPr>
          <w:rFonts w:eastAsia="Times New Roman"/>
        </w:rPr>
      </w:pPr>
      <w:r>
        <w:rPr>
          <w:rFonts w:ascii="Arial" w:eastAsia="Times New Roman" w:hAnsi="Arial" w:cs="Arial"/>
          <w:i/>
          <w:iCs/>
          <w:color w:val="000000"/>
          <w:sz w:val="18"/>
          <w:szCs w:val="18"/>
        </w:rPr>
        <w:t>Our forward-looking statements are subject to risks and uncertainti</w:t>
      </w:r>
      <w:r>
        <w:rPr>
          <w:rFonts w:ascii="Arial" w:eastAsia="Times New Roman" w:hAnsi="Arial" w:cs="Arial"/>
          <w:i/>
          <w:iCs/>
          <w:color w:val="000000"/>
          <w:sz w:val="18"/>
          <w:szCs w:val="18"/>
        </w:rPr>
        <w:t>es pertaining to the successful execution of our strategic priorities, operating performance, legislative and regulatory parameters; litigation, including with respect to the Dakota Access Pipeline (DAPL) and the Line 5 dual pipelines; acquisitions, dispos</w:t>
      </w:r>
      <w:r>
        <w:rPr>
          <w:rFonts w:ascii="Arial" w:eastAsia="Times New Roman" w:hAnsi="Arial" w:cs="Arial"/>
          <w:i/>
          <w:iCs/>
          <w:color w:val="000000"/>
          <w:sz w:val="18"/>
          <w:szCs w:val="18"/>
        </w:rPr>
        <w:t>itions and other transactions and the realization of anticipated benefits therefrom; our dividend policy; project approval and support; renewals of rights-of-way; weather; economic and competitive conditions; public opinion; changes in tax laws and tax rat</w:t>
      </w:r>
      <w:r>
        <w:rPr>
          <w:rFonts w:ascii="Arial" w:eastAsia="Times New Roman" w:hAnsi="Arial" w:cs="Arial"/>
          <w:i/>
          <w:iCs/>
          <w:color w:val="000000"/>
          <w:sz w:val="18"/>
          <w:szCs w:val="18"/>
        </w:rPr>
        <w:t>es; exchange rates; interest rates; commodity prices; political decisions; the supply of, demand for and prices of commodities; and the COVID-19 pandemic, including but not limited to those risks and uncertainties discussed in this Annual Report on Form 10</w:t>
      </w:r>
      <w:r>
        <w:rPr>
          <w:rFonts w:ascii="Arial" w:eastAsia="Times New Roman" w:hAnsi="Arial" w:cs="Arial"/>
          <w:i/>
          <w:iCs/>
          <w:color w:val="000000"/>
          <w:sz w:val="18"/>
          <w:szCs w:val="18"/>
        </w:rPr>
        <w:t>-K and in our other filings with Canadian and US securities regulators. The impact of any one risk, uncertainty or factor on a particular forward-looking statement is not determinable with certainty as these are interdependent and our future course of acti</w:t>
      </w:r>
      <w:r>
        <w:rPr>
          <w:rFonts w:ascii="Arial" w:eastAsia="Times New Roman" w:hAnsi="Arial" w:cs="Arial"/>
          <w:i/>
          <w:iCs/>
          <w:color w:val="000000"/>
          <w:sz w:val="18"/>
          <w:szCs w:val="18"/>
        </w:rPr>
        <w:t>on depends on management’s assessment of all information available at the relevant time. Except to the extent required by applicable law, Enbridge assumes no obligation to publicly update or revise any forward-looking statement made in this Annual Report o</w:t>
      </w:r>
      <w:r>
        <w:rPr>
          <w:rFonts w:ascii="Arial" w:eastAsia="Times New Roman" w:hAnsi="Arial" w:cs="Arial"/>
          <w:i/>
          <w:iCs/>
          <w:color w:val="000000"/>
          <w:sz w:val="18"/>
          <w:szCs w:val="18"/>
        </w:rPr>
        <w:t>n Form 10-K or otherwise, whether as a result of new information, future events or otherwise. All forward-looking statements, whether written or oral, attributable to us or persons acting on our behalf, are expressly qualified in their entirety by these ca</w:t>
      </w:r>
      <w:r>
        <w:rPr>
          <w:rFonts w:ascii="Arial" w:eastAsia="Times New Roman" w:hAnsi="Arial" w:cs="Arial"/>
          <w:i/>
          <w:iCs/>
          <w:color w:val="000000"/>
          <w:sz w:val="18"/>
          <w:szCs w:val="18"/>
        </w:rPr>
        <w:t>utionary statements.</w:t>
      </w:r>
    </w:p>
    <w:p w:rsidR="00000000" w:rsidRDefault="001F1FC8">
      <w:pPr>
        <w:divId w:val="843281459"/>
        <w:rPr>
          <w:rFonts w:eastAsia="Times New Roman"/>
        </w:rPr>
      </w:pPr>
    </w:p>
    <w:p w:rsidR="00000000" w:rsidRDefault="001F1FC8">
      <w:pPr>
        <w:divId w:val="1985114489"/>
        <w:rPr>
          <w:rFonts w:eastAsia="Times New Roman"/>
        </w:rPr>
      </w:pPr>
      <w:r>
        <w:rPr>
          <w:rFonts w:ascii="Arial" w:eastAsia="Times New Roman" w:hAnsi="Arial" w:cs="Arial"/>
          <w:b/>
          <w:bCs/>
          <w:color w:val="000000"/>
          <w:sz w:val="28"/>
          <w:szCs w:val="28"/>
        </w:rPr>
        <w:t>NON-GAAP AND OTHER FINANCIAL MEASURES</w:t>
      </w:r>
    </w:p>
    <w:p w:rsidR="00000000" w:rsidRDefault="001F1FC8">
      <w:pPr>
        <w:divId w:val="1444227667"/>
        <w:rPr>
          <w:rFonts w:eastAsia="Times New Roman"/>
        </w:rPr>
      </w:pPr>
      <w:r>
        <w:rPr>
          <w:rFonts w:ascii="Arial" w:eastAsia="Times New Roman" w:hAnsi="Arial" w:cs="Arial"/>
          <w:i/>
          <w:iCs/>
          <w:color w:val="000000"/>
          <w:sz w:val="18"/>
          <w:szCs w:val="18"/>
        </w:rPr>
        <w:t>Part II</w:t>
      </w:r>
      <w:r>
        <w:rPr>
          <w:rFonts w:ascii="Arial" w:eastAsia="Times New Roman" w:hAnsi="Arial" w:cs="Arial"/>
          <w:color w:val="000000"/>
          <w:sz w:val="18"/>
          <w:szCs w:val="18"/>
        </w:rPr>
        <w:t>.</w:t>
      </w:r>
      <w:r>
        <w:rPr>
          <w:rFonts w:ascii="Arial" w:eastAsia="Times New Roman" w:hAnsi="Arial" w:cs="Arial"/>
          <w:i/>
          <w:iCs/>
          <w:color w:val="000000"/>
          <w:sz w:val="18"/>
          <w:szCs w:val="18"/>
        </w:rPr>
        <w:t xml:space="preserve"> </w:t>
      </w:r>
      <w:r>
        <w:rPr>
          <w:rFonts w:ascii="Arial" w:eastAsia="Times New Roman" w:hAnsi="Arial" w:cs="Arial"/>
          <w:color w:val="000000"/>
          <w:sz w:val="18"/>
          <w:szCs w:val="18"/>
        </w:rPr>
        <w:t>Item 7. Management’s Discussion and Analysis of Financial Condition and Results of Operations</w:t>
      </w:r>
      <w:r>
        <w:rPr>
          <w:rFonts w:ascii="Arial" w:eastAsia="Times New Roman" w:hAnsi="Arial" w:cs="Arial"/>
          <w:i/>
          <w:iCs/>
          <w:color w:val="000000"/>
          <w:sz w:val="18"/>
          <w:szCs w:val="18"/>
        </w:rPr>
        <w:t xml:space="preserve"> (MD&amp;A) in this Annual Report on Form 10-K makes reference to non-GAAP and other financial me</w:t>
      </w:r>
      <w:r>
        <w:rPr>
          <w:rFonts w:ascii="Arial" w:eastAsia="Times New Roman" w:hAnsi="Arial" w:cs="Arial"/>
          <w:i/>
          <w:iCs/>
          <w:color w:val="000000"/>
          <w:sz w:val="18"/>
          <w:szCs w:val="18"/>
        </w:rPr>
        <w:t>asures, including EBITDA. EBITDA is defined as earnings before interest, income taxes, depreciation and amortization. Management uses EBITDA to assess performance of Enbridge and to set targets. Management believes the presentation of EBITDA gives useful i</w:t>
      </w:r>
      <w:r>
        <w:rPr>
          <w:rFonts w:ascii="Arial" w:eastAsia="Times New Roman" w:hAnsi="Arial" w:cs="Arial"/>
          <w:i/>
          <w:iCs/>
          <w:color w:val="000000"/>
          <w:sz w:val="18"/>
          <w:szCs w:val="18"/>
        </w:rPr>
        <w:t xml:space="preserve">nformation to investors as it provides increased transparency and insight into the performance of Enbridge. </w:t>
      </w:r>
    </w:p>
    <w:p w:rsidR="00000000" w:rsidRDefault="001F1FC8">
      <w:pPr>
        <w:divId w:val="1358310110"/>
        <w:rPr>
          <w:rFonts w:eastAsia="Times New Roman"/>
        </w:rPr>
      </w:pPr>
    </w:p>
    <w:p w:rsidR="00000000" w:rsidRDefault="001F1FC8">
      <w:pPr>
        <w:divId w:val="745810961"/>
        <w:rPr>
          <w:rFonts w:eastAsia="Times New Roman"/>
        </w:rPr>
      </w:pPr>
      <w:r>
        <w:rPr>
          <w:rFonts w:ascii="Arial" w:eastAsia="Times New Roman" w:hAnsi="Arial" w:cs="Arial"/>
          <w:i/>
          <w:iCs/>
          <w:color w:val="000000"/>
          <w:sz w:val="18"/>
          <w:szCs w:val="18"/>
        </w:rPr>
        <w:t>The non-GAAP and other financial measures described above are not measures that have a standardized meaning prescribed by generally accepted acco</w:t>
      </w:r>
      <w:r>
        <w:rPr>
          <w:rFonts w:ascii="Arial" w:eastAsia="Times New Roman" w:hAnsi="Arial" w:cs="Arial"/>
          <w:i/>
          <w:iCs/>
          <w:color w:val="000000"/>
          <w:sz w:val="18"/>
          <w:szCs w:val="18"/>
        </w:rPr>
        <w:t>unting principles in the United States of America (US GAAP) and are not US GAAP measures. Therefore, these measures may not be comparable with similar measures presented by other issuers. A reconciliation of historical non-GAAP and other financial measures</w:t>
      </w:r>
      <w:r>
        <w:rPr>
          <w:rFonts w:ascii="Arial" w:eastAsia="Times New Roman" w:hAnsi="Arial" w:cs="Arial"/>
          <w:i/>
          <w:iCs/>
          <w:color w:val="000000"/>
          <w:sz w:val="18"/>
          <w:szCs w:val="18"/>
        </w:rPr>
        <w:t xml:space="preserve"> to the most directly comparable GAAP measures is set out in this MD&amp;A and is available on our website. Additional information on non-GAAP and other financial measures may be found on our website, www.sedar.com or www.sec.gov.</w:t>
      </w:r>
    </w:p>
    <w:p w:rsidR="00000000" w:rsidRDefault="001F1FC8">
      <w:pPr>
        <w:divId w:val="612785729"/>
        <w:rPr>
          <w:rFonts w:eastAsia="Times New Roman"/>
        </w:rPr>
      </w:pPr>
    </w:p>
    <w:p w:rsidR="00000000" w:rsidRDefault="001F1FC8">
      <w:pPr>
        <w:jc w:val="center"/>
        <w:divId w:val="308438678"/>
        <w:rPr>
          <w:rFonts w:eastAsia="Times New Roman"/>
        </w:rPr>
      </w:pPr>
      <w:r>
        <w:rPr>
          <w:rFonts w:ascii="Arial" w:eastAsia="Times New Roman" w:hAnsi="Arial" w:cs="Arial"/>
          <w:color w:val="000000"/>
          <w:sz w:val="20"/>
          <w:szCs w:val="20"/>
        </w:rPr>
        <w:t>7</w:t>
      </w:r>
    </w:p>
    <w:p w:rsidR="00000000" w:rsidRDefault="001F1FC8">
      <w:pPr>
        <w:rPr>
          <w:rFonts w:eastAsia="Times New Roman"/>
        </w:rPr>
      </w:pPr>
      <w:r>
        <w:rPr>
          <w:rFonts w:eastAsia="Times New Roman"/>
        </w:rPr>
        <w:pict>
          <v:rect id="_x0000_i1031" style="width:0;height:1.5pt" o:hralign="center" o:hrstd="t" o:hr="t" fillcolor="#a0a0a0" stroked="f"/>
        </w:pict>
      </w:r>
    </w:p>
    <w:p w:rsidR="00000000" w:rsidRDefault="001F1FC8">
      <w:pPr>
        <w:jc w:val="center"/>
        <w:divId w:val="333187019"/>
        <w:rPr>
          <w:rFonts w:eastAsia="Times New Roman"/>
        </w:rPr>
      </w:pPr>
    </w:p>
    <w:p w:rsidR="00000000" w:rsidRDefault="001F1FC8">
      <w:pPr>
        <w:jc w:val="center"/>
        <w:rPr>
          <w:rFonts w:eastAsia="Times New Roman"/>
        </w:rPr>
      </w:pPr>
      <w:r>
        <w:rPr>
          <w:rFonts w:ascii="Arial" w:eastAsia="Times New Roman" w:hAnsi="Arial" w:cs="Arial"/>
          <w:b/>
          <w:bCs/>
          <w:color w:val="000000"/>
          <w:sz w:val="28"/>
          <w:szCs w:val="28"/>
        </w:rPr>
        <w:t>PART I</w:t>
      </w:r>
    </w:p>
    <w:p w:rsidR="00000000" w:rsidRDefault="001F1FC8">
      <w:pPr>
        <w:jc w:val="center"/>
        <w:rPr>
          <w:rFonts w:eastAsia="Times New Roman"/>
        </w:rPr>
      </w:pPr>
    </w:p>
    <w:p w:rsidR="00000000" w:rsidRDefault="001F1FC8">
      <w:pPr>
        <w:divId w:val="143788232"/>
        <w:rPr>
          <w:rFonts w:eastAsia="Times New Roman"/>
        </w:rPr>
      </w:pPr>
      <w:r>
        <w:rPr>
          <w:rFonts w:ascii="Arial" w:eastAsia="Times New Roman" w:hAnsi="Arial" w:cs="Arial"/>
          <w:b/>
          <w:bCs/>
          <w:color w:val="000000"/>
          <w:sz w:val="28"/>
          <w:szCs w:val="28"/>
        </w:rPr>
        <w:t>ITEM 1. BUSINESS</w:t>
      </w:r>
    </w:p>
    <w:p w:rsidR="00000000" w:rsidRDefault="001F1FC8">
      <w:pPr>
        <w:divId w:val="2003316787"/>
        <w:rPr>
          <w:rFonts w:eastAsia="Times New Roman"/>
        </w:rPr>
      </w:pPr>
    </w:p>
    <w:p w:rsidR="00000000" w:rsidRDefault="001F1FC8">
      <w:pPr>
        <w:divId w:val="626277781"/>
        <w:rPr>
          <w:rFonts w:eastAsia="Times New Roman"/>
        </w:rPr>
      </w:pPr>
      <w:r>
        <w:rPr>
          <w:rFonts w:ascii="Arial" w:eastAsia="Times New Roman" w:hAnsi="Arial" w:cs="Arial"/>
          <w:color w:val="000000"/>
          <w:sz w:val="20"/>
          <w:szCs w:val="20"/>
        </w:rPr>
        <w:t>We are a leading North American energy infrastructure company. We safely and reliably deliver the energy people need and want to fuel quality of life. Our core businesses include Liquids Pipelines, which transports approximately 30% of the crude oil produc</w:t>
      </w:r>
      <w:r>
        <w:rPr>
          <w:rFonts w:ascii="Arial" w:eastAsia="Times New Roman" w:hAnsi="Arial" w:cs="Arial"/>
          <w:color w:val="000000"/>
          <w:sz w:val="20"/>
          <w:szCs w:val="20"/>
        </w:rPr>
        <w:t>ed in North America; Gas Transmission and Midstream, which transports approximately 20% of the natural gas consumed in the US; Gas Distribution and Storage, which serves approximately 75% of Ontario residents via approximately 3.8 million meter connections</w:t>
      </w:r>
      <w:r>
        <w:rPr>
          <w:rFonts w:ascii="Arial" w:eastAsia="Times New Roman" w:hAnsi="Arial" w:cs="Arial"/>
          <w:color w:val="000000"/>
          <w:sz w:val="20"/>
          <w:szCs w:val="20"/>
        </w:rPr>
        <w:t>; and Renewable Power Generation, which generates approximately 1,766 megawatts (MW) of net renewable power in North America and Europe. Our common shares trade on the Toronto Stock Exchange (TSX) and New York Stock Exchange (NYSE) under the symbol ENB. We</w:t>
      </w:r>
      <w:r>
        <w:rPr>
          <w:rFonts w:ascii="Arial" w:eastAsia="Times New Roman" w:hAnsi="Arial" w:cs="Arial"/>
          <w:color w:val="000000"/>
          <w:sz w:val="20"/>
          <w:szCs w:val="20"/>
        </w:rPr>
        <w:t xml:space="preserve"> were incorporated on April 13, 1970 under the Companies Ordinance of the Northwest Territories and were continued under the Canada Business Corporations Act on December 15, 1987.</w:t>
      </w:r>
    </w:p>
    <w:p w:rsidR="00000000" w:rsidRDefault="001F1FC8">
      <w:pPr>
        <w:divId w:val="347146318"/>
        <w:rPr>
          <w:rFonts w:eastAsia="Times New Roman"/>
        </w:rPr>
      </w:pPr>
    </w:p>
    <w:p w:rsidR="00000000" w:rsidRDefault="001F1FC8">
      <w:pPr>
        <w:divId w:val="607352984"/>
        <w:rPr>
          <w:rFonts w:eastAsia="Times New Roman"/>
        </w:rPr>
      </w:pPr>
      <w:r>
        <w:rPr>
          <w:rFonts w:ascii="Arial" w:eastAsia="Times New Roman" w:hAnsi="Arial" w:cs="Arial"/>
          <w:color w:val="000000"/>
          <w:sz w:val="20"/>
          <w:szCs w:val="20"/>
        </w:rPr>
        <w:t>A more detailed description of each of our businesses and underlying asset</w:t>
      </w:r>
      <w:r>
        <w:rPr>
          <w:rFonts w:ascii="Arial" w:eastAsia="Times New Roman" w:hAnsi="Arial" w:cs="Arial"/>
          <w:color w:val="000000"/>
          <w:sz w:val="20"/>
          <w:szCs w:val="20"/>
        </w:rPr>
        <w:t xml:space="preserve">s is provided below under </w:t>
      </w:r>
      <w:r>
        <w:rPr>
          <w:rFonts w:ascii="Arial" w:eastAsia="Times New Roman" w:hAnsi="Arial" w:cs="Arial"/>
          <w:i/>
          <w:iCs/>
          <w:color w:val="000000"/>
          <w:sz w:val="20"/>
          <w:szCs w:val="20"/>
        </w:rPr>
        <w:t>Business Segments.</w:t>
      </w:r>
    </w:p>
    <w:p w:rsidR="00000000" w:rsidRDefault="001F1FC8">
      <w:pPr>
        <w:divId w:val="301081742"/>
        <w:rPr>
          <w:rFonts w:eastAsia="Times New Roman"/>
        </w:rPr>
      </w:pPr>
    </w:p>
    <w:p w:rsidR="00000000" w:rsidRDefault="001F1FC8">
      <w:pPr>
        <w:divId w:val="1989824287"/>
        <w:rPr>
          <w:rFonts w:eastAsia="Times New Roman"/>
        </w:rPr>
      </w:pPr>
      <w:r>
        <w:rPr>
          <w:rFonts w:ascii="Arial" w:eastAsia="Times New Roman" w:hAnsi="Arial" w:cs="Arial"/>
          <w:b/>
          <w:bCs/>
          <w:color w:val="000000"/>
          <w:sz w:val="28"/>
          <w:szCs w:val="28"/>
        </w:rPr>
        <w:t>CORPORATE VISION AND STRATEGY</w:t>
      </w:r>
    </w:p>
    <w:p w:rsidR="00000000" w:rsidRDefault="001F1FC8">
      <w:pPr>
        <w:divId w:val="1964657090"/>
        <w:rPr>
          <w:rFonts w:eastAsia="Times New Roman"/>
        </w:rPr>
      </w:pPr>
    </w:p>
    <w:p w:rsidR="00000000" w:rsidRDefault="001F1FC8">
      <w:pPr>
        <w:divId w:val="1076706647"/>
        <w:rPr>
          <w:rFonts w:eastAsia="Times New Roman"/>
        </w:rPr>
      </w:pPr>
      <w:r>
        <w:rPr>
          <w:rFonts w:ascii="Arial" w:eastAsia="Times New Roman" w:hAnsi="Arial" w:cs="Arial"/>
          <w:b/>
          <w:bCs/>
          <w:color w:val="000000"/>
          <w:sz w:val="20"/>
          <w:szCs w:val="20"/>
        </w:rPr>
        <w:t>VISION</w:t>
      </w:r>
    </w:p>
    <w:p w:rsidR="00000000" w:rsidRDefault="001F1FC8">
      <w:pPr>
        <w:divId w:val="1539774451"/>
        <w:rPr>
          <w:rFonts w:eastAsia="Times New Roman"/>
        </w:rPr>
      </w:pPr>
      <w:r>
        <w:rPr>
          <w:rFonts w:ascii="Arial" w:eastAsia="Times New Roman" w:hAnsi="Arial" w:cs="Arial"/>
          <w:color w:val="000000"/>
          <w:sz w:val="20"/>
          <w:szCs w:val="20"/>
        </w:rPr>
        <w:t xml:space="preserve">Our primary purpose as a company is to fuel quality of life by providing the energy people need and want, in a safe, clean and socially responsible way. Our vision to be </w:t>
      </w:r>
      <w:r>
        <w:rPr>
          <w:rFonts w:ascii="Arial" w:eastAsia="Times New Roman" w:hAnsi="Arial" w:cs="Arial"/>
          <w:color w:val="000000"/>
          <w:sz w:val="20"/>
          <w:szCs w:val="20"/>
        </w:rPr>
        <w:t>the leading energy infrastructure company in North America supports this purpose. In pursuing this vision, we play a critical role in enabling the economic and social well-being of people in the areas we serve who depend on access to affordable and reliabl</w:t>
      </w:r>
      <w:r>
        <w:rPr>
          <w:rFonts w:ascii="Arial" w:eastAsia="Times New Roman" w:hAnsi="Arial" w:cs="Arial"/>
          <w:color w:val="000000"/>
          <w:sz w:val="20"/>
          <w:szCs w:val="20"/>
        </w:rPr>
        <w:t xml:space="preserve">e energy of all types. Our infrastructure franchises transport, distribute, and generate energy including liquids, natural gas, renewable power, and low-carbon fuels like Renewable Natural Gas (RNG). We recognize that the energy system is changing, and we </w:t>
      </w:r>
      <w:r>
        <w:rPr>
          <w:rFonts w:ascii="Arial" w:eastAsia="Times New Roman" w:hAnsi="Arial" w:cs="Arial"/>
          <w:color w:val="000000"/>
          <w:sz w:val="20"/>
          <w:szCs w:val="20"/>
        </w:rPr>
        <w:t>aim to bridge to that cleaner energy future by investing in low-carbon platforms while ensuring the continuity and stability that the world requires through the transition.</w:t>
      </w:r>
    </w:p>
    <w:p w:rsidR="00000000" w:rsidRDefault="001F1FC8">
      <w:pPr>
        <w:divId w:val="1389452500"/>
        <w:rPr>
          <w:rFonts w:eastAsia="Times New Roman"/>
        </w:rPr>
      </w:pPr>
    </w:p>
    <w:p w:rsidR="00000000" w:rsidRDefault="001F1FC8">
      <w:pPr>
        <w:divId w:val="1680044361"/>
        <w:rPr>
          <w:rFonts w:eastAsia="Times New Roman"/>
        </w:rPr>
      </w:pPr>
      <w:r>
        <w:rPr>
          <w:rFonts w:ascii="Arial" w:eastAsia="Times New Roman" w:hAnsi="Arial" w:cs="Arial"/>
          <w:color w:val="000000"/>
          <w:sz w:val="20"/>
          <w:szCs w:val="20"/>
        </w:rPr>
        <w:t>Our investor value proposition is founded on our ability to deliver predictable cash flows and a growing stream of dividends year-over-year through investment in, and efficient operation of, energy infrastructure assets that are strategically positioned be</w:t>
      </w:r>
      <w:r>
        <w:rPr>
          <w:rFonts w:ascii="Arial" w:eastAsia="Times New Roman" w:hAnsi="Arial" w:cs="Arial"/>
          <w:color w:val="000000"/>
          <w:sz w:val="20"/>
          <w:szCs w:val="20"/>
        </w:rPr>
        <w:t xml:space="preserve">tween key supply basins and strong demand-pull markets. Our assets are underpinned by long-term contracts, regulated cost-of-service tolling frameworks, power purchase agreements, and other low-risk commercial arrangements. </w:t>
      </w:r>
    </w:p>
    <w:p w:rsidR="00000000" w:rsidRDefault="001F1FC8">
      <w:pPr>
        <w:divId w:val="567889024"/>
        <w:rPr>
          <w:rFonts w:eastAsia="Times New Roman"/>
        </w:rPr>
      </w:pPr>
    </w:p>
    <w:p w:rsidR="00000000" w:rsidRDefault="001F1FC8">
      <w:pPr>
        <w:divId w:val="1852917323"/>
        <w:rPr>
          <w:rFonts w:eastAsia="Times New Roman"/>
        </w:rPr>
      </w:pPr>
      <w:r>
        <w:rPr>
          <w:rFonts w:ascii="Arial" w:eastAsia="Times New Roman" w:hAnsi="Arial" w:cs="Arial"/>
          <w:color w:val="000000"/>
          <w:sz w:val="20"/>
          <w:szCs w:val="20"/>
        </w:rPr>
        <w:t>We strive to be a leader in E</w:t>
      </w:r>
      <w:r>
        <w:rPr>
          <w:rFonts w:ascii="Arial" w:eastAsia="Times New Roman" w:hAnsi="Arial" w:cs="Arial"/>
          <w:color w:val="000000"/>
          <w:sz w:val="20"/>
          <w:szCs w:val="20"/>
        </w:rPr>
        <w:t>SG; worker and public safety; emissions reduction; stakeholder relations; customer service; community investment; and employee engagement and satisfaction.</w:t>
      </w:r>
    </w:p>
    <w:p w:rsidR="00000000" w:rsidRDefault="001F1FC8">
      <w:pPr>
        <w:divId w:val="1317416776"/>
        <w:rPr>
          <w:rFonts w:eastAsia="Times New Roman"/>
        </w:rPr>
      </w:pPr>
    </w:p>
    <w:p w:rsidR="00000000" w:rsidRDefault="001F1FC8">
      <w:pPr>
        <w:divId w:val="1725371702"/>
        <w:rPr>
          <w:rFonts w:eastAsia="Times New Roman"/>
        </w:rPr>
      </w:pPr>
      <w:r>
        <w:rPr>
          <w:rFonts w:ascii="Arial" w:eastAsia="Times New Roman" w:hAnsi="Arial" w:cs="Arial"/>
          <w:b/>
          <w:bCs/>
          <w:color w:val="000000"/>
          <w:sz w:val="20"/>
          <w:szCs w:val="20"/>
        </w:rPr>
        <w:t>STRATEGY</w:t>
      </w:r>
    </w:p>
    <w:p w:rsidR="00000000" w:rsidRDefault="001F1FC8">
      <w:pPr>
        <w:divId w:val="1111586171"/>
        <w:rPr>
          <w:rFonts w:eastAsia="Times New Roman"/>
        </w:rPr>
      </w:pPr>
      <w:r>
        <w:rPr>
          <w:rFonts w:ascii="Arial" w:eastAsia="Times New Roman" w:hAnsi="Arial" w:cs="Arial"/>
          <w:color w:val="000000"/>
          <w:sz w:val="20"/>
          <w:szCs w:val="20"/>
        </w:rPr>
        <w:t>An in-depth understanding of energy supply and demand fundamentals coupled with disciplin</w:t>
      </w:r>
      <w:r>
        <w:rPr>
          <w:rFonts w:ascii="Arial" w:eastAsia="Times New Roman" w:hAnsi="Arial" w:cs="Arial"/>
          <w:color w:val="000000"/>
          <w:sz w:val="20"/>
          <w:szCs w:val="20"/>
        </w:rPr>
        <w:t xml:space="preserve">ed capital allocation principles has helped us become an industry leader supported by a diverse set of assets across the energy system. Our assets have reliably generated low-risk, resilient cash flows through many commodity and economic cycles, including </w:t>
      </w:r>
      <w:r>
        <w:rPr>
          <w:rFonts w:ascii="Arial" w:eastAsia="Times New Roman" w:hAnsi="Arial" w:cs="Arial"/>
          <w:color w:val="000000"/>
          <w:sz w:val="20"/>
          <w:szCs w:val="20"/>
        </w:rPr>
        <w:t xml:space="preserve">the COVID-19 pandemic and the ensuing volatile economic recovery. </w:t>
      </w:r>
    </w:p>
    <w:p w:rsidR="00000000" w:rsidRDefault="001F1FC8">
      <w:pPr>
        <w:divId w:val="684356980"/>
        <w:rPr>
          <w:rFonts w:eastAsia="Times New Roman"/>
        </w:rPr>
      </w:pPr>
    </w:p>
    <w:p w:rsidR="00000000" w:rsidRDefault="001F1FC8">
      <w:pPr>
        <w:jc w:val="center"/>
        <w:divId w:val="110831976"/>
        <w:rPr>
          <w:rFonts w:eastAsia="Times New Roman"/>
        </w:rPr>
      </w:pPr>
      <w:r>
        <w:rPr>
          <w:rFonts w:ascii="Arial" w:eastAsia="Times New Roman" w:hAnsi="Arial" w:cs="Arial"/>
          <w:color w:val="000000"/>
          <w:sz w:val="20"/>
          <w:szCs w:val="20"/>
        </w:rPr>
        <w:t>8</w:t>
      </w:r>
    </w:p>
    <w:p w:rsidR="00000000" w:rsidRDefault="001F1FC8">
      <w:pPr>
        <w:rPr>
          <w:rFonts w:eastAsia="Times New Roman"/>
        </w:rPr>
      </w:pPr>
      <w:r>
        <w:rPr>
          <w:rFonts w:eastAsia="Times New Roman"/>
        </w:rPr>
        <w:pict>
          <v:rect id="_x0000_i1032" style="width:0;height:1.5pt" o:hralign="center" o:hrstd="t" o:hr="t" fillcolor="#a0a0a0" stroked="f"/>
        </w:pict>
      </w:r>
    </w:p>
    <w:p w:rsidR="00000000" w:rsidRDefault="001F1FC8">
      <w:pPr>
        <w:jc w:val="center"/>
        <w:divId w:val="618217240"/>
        <w:rPr>
          <w:rFonts w:eastAsia="Times New Roman"/>
        </w:rPr>
      </w:pPr>
    </w:p>
    <w:p w:rsidR="00000000" w:rsidRDefault="001F1FC8">
      <w:pPr>
        <w:divId w:val="432433719"/>
        <w:rPr>
          <w:rFonts w:eastAsia="Times New Roman"/>
        </w:rPr>
      </w:pPr>
      <w:r>
        <w:rPr>
          <w:rFonts w:ascii="Arial" w:eastAsia="Times New Roman" w:hAnsi="Arial" w:cs="Arial"/>
          <w:color w:val="000000"/>
          <w:sz w:val="20"/>
          <w:szCs w:val="20"/>
        </w:rPr>
        <w:t>To ensure we continue to be an industry leader and value creator going forward, we maintain a robust strategic planning approach. We regularly con</w:t>
      </w:r>
      <w:r>
        <w:rPr>
          <w:rFonts w:ascii="Arial" w:eastAsia="Times New Roman" w:hAnsi="Arial" w:cs="Arial"/>
          <w:color w:val="000000"/>
          <w:sz w:val="20"/>
          <w:szCs w:val="20"/>
        </w:rPr>
        <w:t>duct scenario and resiliency analysis on both our assets and on our business strategy. We test various value enhancement and maximization options, and we engage regularly with our Board of Directors (Board) to ensure alignment and maintain active oversight</w:t>
      </w:r>
      <w:r>
        <w:rPr>
          <w:rFonts w:ascii="Arial" w:eastAsia="Times New Roman" w:hAnsi="Arial" w:cs="Arial"/>
          <w:color w:val="000000"/>
          <w:sz w:val="20"/>
          <w:szCs w:val="20"/>
        </w:rPr>
        <w:t>. This Board participation includes updates and discussions throughout the year and a dedicated session to Strategy Planning annually. This comprehensive approach will continue to guide investment decisions moving forward.</w:t>
      </w:r>
    </w:p>
    <w:p w:rsidR="00000000" w:rsidRDefault="001F1FC8">
      <w:pPr>
        <w:divId w:val="2046523336"/>
        <w:rPr>
          <w:rFonts w:eastAsia="Times New Roman"/>
        </w:rPr>
      </w:pPr>
    </w:p>
    <w:p w:rsidR="00000000" w:rsidRDefault="001F1FC8">
      <w:pPr>
        <w:divId w:val="1367415298"/>
        <w:rPr>
          <w:rFonts w:eastAsia="Times New Roman"/>
        </w:rPr>
      </w:pPr>
      <w:r>
        <w:rPr>
          <w:rFonts w:ascii="Arial" w:eastAsia="Times New Roman" w:hAnsi="Arial" w:cs="Arial"/>
          <w:color w:val="000000"/>
          <w:sz w:val="20"/>
          <w:szCs w:val="20"/>
        </w:rPr>
        <w:t>Predictable growth is a hallmar</w:t>
      </w:r>
      <w:r>
        <w:rPr>
          <w:rFonts w:ascii="Arial" w:eastAsia="Times New Roman" w:hAnsi="Arial" w:cs="Arial"/>
          <w:color w:val="000000"/>
          <w:sz w:val="20"/>
          <w:szCs w:val="20"/>
        </w:rPr>
        <w:t>k of our investor value proposition. We see a 5-7% compound annual growth rate in distributable cash flow per share through 2024, relative to 2021, underpinned by opportunities to advance returns in our base business and grow organically through discipline</w:t>
      </w:r>
      <w:r>
        <w:rPr>
          <w:rFonts w:ascii="Arial" w:eastAsia="Times New Roman" w:hAnsi="Arial" w:cs="Arial"/>
          <w:color w:val="000000"/>
          <w:sz w:val="20"/>
          <w:szCs w:val="20"/>
        </w:rPr>
        <w:t xml:space="preserve">d capital allocation. Our diversified footprint allows for selective investment in both our core businesses and in emerging low carbon energy platforms such as carbon capture and storage (CCS), hydrogen gas (H2), and RNG. </w:t>
      </w:r>
    </w:p>
    <w:p w:rsidR="00000000" w:rsidRDefault="001F1FC8">
      <w:pPr>
        <w:divId w:val="1217813755"/>
        <w:rPr>
          <w:rFonts w:eastAsia="Times New Roman"/>
        </w:rPr>
      </w:pPr>
    </w:p>
    <w:p w:rsidR="00000000" w:rsidRDefault="001F1FC8">
      <w:pPr>
        <w:divId w:val="562104019"/>
        <w:rPr>
          <w:rFonts w:eastAsia="Times New Roman"/>
        </w:rPr>
      </w:pPr>
      <w:r>
        <w:rPr>
          <w:rFonts w:ascii="Arial" w:eastAsia="Times New Roman" w:hAnsi="Arial" w:cs="Arial"/>
          <w:color w:val="000000"/>
          <w:sz w:val="20"/>
          <w:szCs w:val="20"/>
        </w:rPr>
        <w:t xml:space="preserve">In 2021, we progressed several </w:t>
      </w:r>
      <w:r>
        <w:rPr>
          <w:rFonts w:ascii="Arial" w:eastAsia="Times New Roman" w:hAnsi="Arial" w:cs="Arial"/>
          <w:color w:val="000000"/>
          <w:sz w:val="20"/>
          <w:szCs w:val="20"/>
        </w:rPr>
        <w:t xml:space="preserve">of our strategic priorities. For example: </w:t>
      </w:r>
    </w:p>
    <w:p w:rsidR="00000000" w:rsidRDefault="001F1FC8">
      <w:pPr>
        <w:divId w:val="1284768703"/>
        <w:rPr>
          <w:rFonts w:eastAsia="Times New Roman"/>
        </w:rPr>
      </w:pPr>
    </w:p>
    <w:p w:rsidR="00000000" w:rsidRDefault="001F1FC8">
      <w:pPr>
        <w:ind w:hanging="360"/>
        <w:divId w:val="1146047738"/>
        <w:rPr>
          <w:rFonts w:eastAsia="Times New Roman"/>
        </w:rPr>
      </w:pPr>
      <w:r>
        <w:rPr>
          <w:rFonts w:ascii="Arial" w:eastAsia="Times New Roman" w:hAnsi="Arial" w:cs="Arial"/>
          <w:color w:val="000000"/>
          <w:sz w:val="20"/>
          <w:szCs w:val="20"/>
        </w:rPr>
        <w:t>•Our Liquids Pipelines team delivered record mainline throughput, placed $5.6 billion of capital into service (Line 3 Replacement, Southern Access), added 90 kbpd of system expansions into Petroleum Administrati</w:t>
      </w:r>
      <w:r>
        <w:rPr>
          <w:rFonts w:ascii="Arial" w:eastAsia="Times New Roman" w:hAnsi="Arial" w:cs="Arial"/>
          <w:color w:val="000000"/>
          <w:sz w:val="20"/>
          <w:szCs w:val="20"/>
        </w:rPr>
        <w:t>on for Defense Districts (PADD) III, and acquired the Ingleside Energy Center in Corpus Christi and related assets which extends our reach into global light-oil export markets.</w:t>
      </w:r>
    </w:p>
    <w:p w:rsidR="00000000" w:rsidRDefault="001F1FC8">
      <w:pPr>
        <w:divId w:val="636566970"/>
        <w:rPr>
          <w:rFonts w:eastAsia="Times New Roman"/>
        </w:rPr>
      </w:pPr>
    </w:p>
    <w:p w:rsidR="00000000" w:rsidRDefault="001F1FC8">
      <w:pPr>
        <w:ind w:hanging="360"/>
        <w:divId w:val="663822750"/>
        <w:rPr>
          <w:rFonts w:eastAsia="Times New Roman"/>
        </w:rPr>
      </w:pPr>
      <w:r>
        <w:rPr>
          <w:rFonts w:ascii="Arial" w:eastAsia="Times New Roman" w:hAnsi="Arial" w:cs="Arial"/>
          <w:color w:val="000000"/>
          <w:sz w:val="20"/>
          <w:szCs w:val="20"/>
        </w:rPr>
        <w:t>•</w:t>
      </w:r>
      <w:r>
        <w:rPr>
          <w:rFonts w:ascii="Arial" w:eastAsia="Times New Roman" w:hAnsi="Arial" w:cs="Arial"/>
          <w:color w:val="000000"/>
          <w:sz w:val="20"/>
          <w:szCs w:val="20"/>
        </w:rPr>
        <w:t>Our Gas Transmission and Midstream business successfully placed $3.1 billion of capital into service, completed favorable rate settlements, which added $150 million of incremental EBITDA, and continued to advance more than $2 billion of expansion opportuni</w:t>
      </w:r>
      <w:r>
        <w:rPr>
          <w:rFonts w:ascii="Arial" w:eastAsia="Times New Roman" w:hAnsi="Arial" w:cs="Arial"/>
          <w:color w:val="000000"/>
          <w:sz w:val="20"/>
          <w:szCs w:val="20"/>
        </w:rPr>
        <w:t>ties.</w:t>
      </w:r>
    </w:p>
    <w:p w:rsidR="00000000" w:rsidRDefault="001F1FC8">
      <w:pPr>
        <w:divId w:val="1327855623"/>
        <w:rPr>
          <w:rFonts w:eastAsia="Times New Roman"/>
        </w:rPr>
      </w:pPr>
    </w:p>
    <w:p w:rsidR="00000000" w:rsidRDefault="001F1FC8">
      <w:pPr>
        <w:ind w:hanging="360"/>
        <w:divId w:val="1352413637"/>
        <w:rPr>
          <w:rFonts w:eastAsia="Times New Roman"/>
        </w:rPr>
      </w:pPr>
      <w:r>
        <w:rPr>
          <w:rFonts w:ascii="Arial" w:eastAsia="Times New Roman" w:hAnsi="Arial" w:cs="Arial"/>
          <w:color w:val="000000"/>
          <w:sz w:val="20"/>
          <w:szCs w:val="20"/>
        </w:rPr>
        <w:t>•Our Gas Distribution and Storage utility provided uninterrupted services during the ongoing pandemic, added over 40 thousand new customers, completed 190 modernization projects, placed two RNG projects into service, and completed an H2 blending pi</w:t>
      </w:r>
      <w:r>
        <w:rPr>
          <w:rFonts w:ascii="Arial" w:eastAsia="Times New Roman" w:hAnsi="Arial" w:cs="Arial"/>
          <w:color w:val="000000"/>
          <w:sz w:val="20"/>
          <w:szCs w:val="20"/>
        </w:rPr>
        <w:t>lot.</w:t>
      </w:r>
    </w:p>
    <w:p w:rsidR="00000000" w:rsidRDefault="001F1FC8">
      <w:pPr>
        <w:divId w:val="2058123717"/>
        <w:rPr>
          <w:rFonts w:eastAsia="Times New Roman"/>
        </w:rPr>
      </w:pPr>
    </w:p>
    <w:p w:rsidR="00000000" w:rsidRDefault="001F1FC8">
      <w:pPr>
        <w:ind w:hanging="360"/>
        <w:divId w:val="878511422"/>
        <w:rPr>
          <w:rFonts w:eastAsia="Times New Roman"/>
        </w:rPr>
      </w:pPr>
      <w:r>
        <w:rPr>
          <w:rFonts w:ascii="Arial" w:eastAsia="Times New Roman" w:hAnsi="Arial" w:cs="Arial"/>
          <w:color w:val="000000"/>
          <w:sz w:val="20"/>
          <w:szCs w:val="20"/>
        </w:rPr>
        <w:t>•In Europe, Renewable Power Generation advanced construction of the 480 MW Saint Nazaire project, the 500 MW Fécamp project, and the 448 MW Calvados project, and sanctioned the Provence Grand Large floating offshore wind facility.</w:t>
      </w:r>
    </w:p>
    <w:p w:rsidR="00000000" w:rsidRDefault="001F1FC8">
      <w:pPr>
        <w:divId w:val="623389364"/>
        <w:rPr>
          <w:rFonts w:eastAsia="Times New Roman"/>
        </w:rPr>
      </w:pPr>
    </w:p>
    <w:p w:rsidR="00000000" w:rsidRDefault="001F1FC8">
      <w:pPr>
        <w:ind w:hanging="360"/>
        <w:divId w:val="1293092567"/>
        <w:rPr>
          <w:rFonts w:eastAsia="Times New Roman"/>
        </w:rPr>
      </w:pPr>
      <w:r>
        <w:rPr>
          <w:rFonts w:ascii="Arial" w:eastAsia="Times New Roman" w:hAnsi="Arial" w:cs="Arial"/>
          <w:color w:val="000000"/>
          <w:sz w:val="20"/>
          <w:szCs w:val="20"/>
        </w:rPr>
        <w:t>•We advanced our</w:t>
      </w:r>
      <w:r>
        <w:rPr>
          <w:rFonts w:ascii="Arial" w:eastAsia="Times New Roman" w:hAnsi="Arial" w:cs="Arial"/>
          <w:color w:val="000000"/>
          <w:sz w:val="20"/>
          <w:szCs w:val="20"/>
        </w:rPr>
        <w:t xml:space="preserve"> self-power strategy and commissioned two projects, Alberta Solar One on our Liquids Pipeline system and Heidlersberg on our Gas Transmission system. Ten additional self-power facilities (~100MW) were approved for future development. </w:t>
      </w:r>
    </w:p>
    <w:p w:rsidR="00000000" w:rsidRDefault="001F1FC8">
      <w:pPr>
        <w:divId w:val="1851485976"/>
        <w:rPr>
          <w:rFonts w:eastAsia="Times New Roman"/>
        </w:rPr>
      </w:pPr>
    </w:p>
    <w:p w:rsidR="00000000" w:rsidRDefault="001F1FC8">
      <w:pPr>
        <w:ind w:hanging="360"/>
        <w:divId w:val="145443192"/>
        <w:rPr>
          <w:rFonts w:eastAsia="Times New Roman"/>
        </w:rPr>
      </w:pPr>
      <w:r>
        <w:rPr>
          <w:rFonts w:ascii="Arial" w:eastAsia="Times New Roman" w:hAnsi="Arial" w:cs="Arial"/>
          <w:color w:val="000000"/>
          <w:sz w:val="20"/>
          <w:szCs w:val="20"/>
        </w:rPr>
        <w:t>•We established our</w:t>
      </w:r>
      <w:r>
        <w:rPr>
          <w:rFonts w:ascii="Arial" w:eastAsia="Times New Roman" w:hAnsi="Arial" w:cs="Arial"/>
          <w:color w:val="000000"/>
          <w:sz w:val="20"/>
          <w:szCs w:val="20"/>
        </w:rPr>
        <w:t xml:space="preserve"> New Energy Technologies team to advance our low-carbon strategy. Through several strategic partnerships, we are working to develop solutions in RNG, H2 and CCS and to accelerate global and industry-specific low-carbon objectives.</w:t>
      </w:r>
    </w:p>
    <w:p w:rsidR="00000000" w:rsidRDefault="001F1FC8">
      <w:pPr>
        <w:divId w:val="821851328"/>
        <w:rPr>
          <w:rFonts w:eastAsia="Times New Roman"/>
        </w:rPr>
      </w:pPr>
    </w:p>
    <w:p w:rsidR="00000000" w:rsidRDefault="001F1FC8">
      <w:pPr>
        <w:ind w:hanging="360"/>
        <w:divId w:val="343676192"/>
        <w:rPr>
          <w:rFonts w:eastAsia="Times New Roman"/>
        </w:rPr>
      </w:pPr>
      <w:r>
        <w:rPr>
          <w:rFonts w:ascii="Arial" w:eastAsia="Times New Roman" w:hAnsi="Arial" w:cs="Arial"/>
          <w:color w:val="000000"/>
          <w:sz w:val="20"/>
          <w:szCs w:val="20"/>
        </w:rPr>
        <w:t>•We continued to make m</w:t>
      </w:r>
      <w:r>
        <w:rPr>
          <w:rFonts w:ascii="Arial" w:eastAsia="Times New Roman" w:hAnsi="Arial" w:cs="Arial"/>
          <w:color w:val="000000"/>
          <w:sz w:val="20"/>
          <w:szCs w:val="20"/>
        </w:rPr>
        <w:t>eaningful progress towards our ESG goals that include a 35% reduction in greenhouse gas (GHG) emissions intensity from our operations by 2030 (net zero GHG emissions by 2050) and increased representation of diverse groups within our workforce and the Board</w:t>
      </w:r>
      <w:r>
        <w:rPr>
          <w:rFonts w:ascii="Arial" w:eastAsia="Times New Roman" w:hAnsi="Arial" w:cs="Arial"/>
          <w:color w:val="000000"/>
          <w:sz w:val="20"/>
          <w:szCs w:val="20"/>
        </w:rPr>
        <w:t xml:space="preserve"> of Directors by 2025.</w:t>
      </w:r>
    </w:p>
    <w:p w:rsidR="00000000" w:rsidRDefault="001F1FC8">
      <w:pPr>
        <w:divId w:val="2038580038"/>
        <w:rPr>
          <w:rFonts w:eastAsia="Times New Roman"/>
        </w:rPr>
      </w:pPr>
    </w:p>
    <w:p w:rsidR="00000000" w:rsidRDefault="001F1FC8">
      <w:pPr>
        <w:ind w:hanging="360"/>
        <w:divId w:val="2130001749"/>
        <w:rPr>
          <w:rFonts w:eastAsia="Times New Roman"/>
        </w:rPr>
      </w:pPr>
      <w:r>
        <w:rPr>
          <w:rFonts w:ascii="Arial" w:eastAsia="Times New Roman" w:hAnsi="Arial" w:cs="Arial"/>
          <w:color w:val="000000"/>
          <w:sz w:val="20"/>
          <w:szCs w:val="20"/>
        </w:rPr>
        <w:t>•We sold $1.2 billion of assets at attractive valuations, further strengthening our financial flexibility. In addition, we continued to reduce our operating costs ($1.2 billion since 2017), increasing our profitability and competit</w:t>
      </w:r>
      <w:r>
        <w:rPr>
          <w:rFonts w:ascii="Arial" w:eastAsia="Times New Roman" w:hAnsi="Arial" w:cs="Arial"/>
          <w:color w:val="000000"/>
          <w:sz w:val="20"/>
          <w:szCs w:val="20"/>
        </w:rPr>
        <w:t>iveness.</w:t>
      </w:r>
    </w:p>
    <w:p w:rsidR="00000000" w:rsidRDefault="001F1FC8">
      <w:pPr>
        <w:divId w:val="1118835196"/>
        <w:rPr>
          <w:rFonts w:eastAsia="Times New Roman"/>
        </w:rPr>
      </w:pPr>
    </w:p>
    <w:p w:rsidR="00000000" w:rsidRDefault="001F1FC8">
      <w:pPr>
        <w:jc w:val="center"/>
        <w:divId w:val="182715131"/>
        <w:rPr>
          <w:rFonts w:eastAsia="Times New Roman"/>
        </w:rPr>
      </w:pPr>
      <w:r>
        <w:rPr>
          <w:rFonts w:ascii="Arial" w:eastAsia="Times New Roman" w:hAnsi="Arial" w:cs="Arial"/>
          <w:color w:val="000000"/>
          <w:sz w:val="20"/>
          <w:szCs w:val="20"/>
        </w:rPr>
        <w:t>9</w:t>
      </w:r>
    </w:p>
    <w:p w:rsidR="00000000" w:rsidRDefault="001F1FC8">
      <w:pPr>
        <w:rPr>
          <w:rFonts w:eastAsia="Times New Roman"/>
        </w:rPr>
      </w:pPr>
      <w:r>
        <w:rPr>
          <w:rFonts w:eastAsia="Times New Roman"/>
        </w:rPr>
        <w:pict>
          <v:rect id="_x0000_i1033" style="width:0;height:1.5pt" o:hralign="center" o:hrstd="t" o:hr="t" fillcolor="#a0a0a0" stroked="f"/>
        </w:pict>
      </w:r>
    </w:p>
    <w:p w:rsidR="00000000" w:rsidRDefault="001F1FC8">
      <w:pPr>
        <w:jc w:val="center"/>
        <w:divId w:val="2134790390"/>
        <w:rPr>
          <w:rFonts w:eastAsia="Times New Roman"/>
        </w:rPr>
      </w:pPr>
    </w:p>
    <w:p w:rsidR="00000000" w:rsidRDefault="001F1FC8">
      <w:pPr>
        <w:divId w:val="2126189138"/>
        <w:rPr>
          <w:rFonts w:eastAsia="Times New Roman"/>
        </w:rPr>
      </w:pPr>
      <w:r>
        <w:rPr>
          <w:rFonts w:ascii="Arial" w:eastAsia="Times New Roman" w:hAnsi="Arial" w:cs="Arial"/>
          <w:b/>
          <w:bCs/>
          <w:color w:val="000000"/>
          <w:sz w:val="20"/>
          <w:szCs w:val="20"/>
        </w:rPr>
        <w:t>These achievements are discussed in further detail in Part II.</w:t>
      </w:r>
      <w:r>
        <w:rPr>
          <w:rFonts w:ascii="Arial" w:eastAsia="Times New Roman" w:hAnsi="Arial" w:cs="Arial"/>
          <w:b/>
          <w:bCs/>
          <w:i/>
          <w:iCs/>
          <w:color w:val="000000"/>
          <w:sz w:val="20"/>
          <w:szCs w:val="20"/>
        </w:rPr>
        <w:t xml:space="preserve"> Item 7. Management’s Discussion and Analysis of Financial Condition and Results of Operations.</w:t>
      </w:r>
    </w:p>
    <w:p w:rsidR="00000000" w:rsidRDefault="001F1FC8">
      <w:pPr>
        <w:divId w:val="1944149910"/>
        <w:rPr>
          <w:rFonts w:eastAsia="Times New Roman"/>
        </w:rPr>
      </w:pPr>
    </w:p>
    <w:p w:rsidR="00000000" w:rsidRDefault="001F1FC8">
      <w:pPr>
        <w:divId w:val="694040733"/>
        <w:rPr>
          <w:rFonts w:eastAsia="Times New Roman"/>
        </w:rPr>
      </w:pPr>
      <w:r>
        <w:rPr>
          <w:rFonts w:ascii="Arial" w:eastAsia="Times New Roman" w:hAnsi="Arial" w:cs="Arial"/>
          <w:color w:val="000000"/>
          <w:sz w:val="20"/>
          <w:szCs w:val="20"/>
        </w:rPr>
        <w:t>Looking ahead, our near-term strategic prior</w:t>
      </w:r>
      <w:r>
        <w:rPr>
          <w:rFonts w:ascii="Arial" w:eastAsia="Times New Roman" w:hAnsi="Arial" w:cs="Arial"/>
          <w:color w:val="000000"/>
          <w:sz w:val="20"/>
          <w:szCs w:val="20"/>
        </w:rPr>
        <w:t>ities remain similar to years past. As always, proactively advancing the safety of communities and assets, protecting the environment, and maintaining reliability will always be our top priorities. We are focused on enhancing the value of our existing asse</w:t>
      </w:r>
      <w:r>
        <w:rPr>
          <w:rFonts w:ascii="Arial" w:eastAsia="Times New Roman" w:hAnsi="Arial" w:cs="Arial"/>
          <w:color w:val="000000"/>
          <w:sz w:val="20"/>
          <w:szCs w:val="20"/>
        </w:rPr>
        <w:t>ts in Liquids Pipelines, Gas Transmission and Midstream, Gas Distribution and Storage, and Renewable Power Generation.</w:t>
      </w:r>
    </w:p>
    <w:p w:rsidR="00000000" w:rsidRDefault="001F1FC8">
      <w:pPr>
        <w:divId w:val="31199570"/>
        <w:rPr>
          <w:rFonts w:eastAsia="Times New Roman"/>
        </w:rPr>
      </w:pPr>
    </w:p>
    <w:p w:rsidR="00000000" w:rsidRDefault="001F1FC8">
      <w:pPr>
        <w:divId w:val="384110142"/>
        <w:rPr>
          <w:rFonts w:eastAsia="Times New Roman"/>
        </w:rPr>
      </w:pPr>
      <w:r>
        <w:rPr>
          <w:rFonts w:ascii="Arial" w:eastAsia="Times New Roman" w:hAnsi="Arial" w:cs="Arial"/>
          <w:color w:val="000000"/>
          <w:sz w:val="20"/>
          <w:szCs w:val="20"/>
        </w:rPr>
        <w:t>We will continue to enhance base business returns, capitalize on our advantaged liquids and natural gas pipeline infrastructure, emphas</w:t>
      </w:r>
      <w:r>
        <w:rPr>
          <w:rFonts w:ascii="Arial" w:eastAsia="Times New Roman" w:hAnsi="Arial" w:cs="Arial"/>
          <w:color w:val="000000"/>
          <w:sz w:val="20"/>
          <w:szCs w:val="20"/>
        </w:rPr>
        <w:t xml:space="preserve">izing export-driven opportunities and in-franchise organic growth, and developing low-carbon opportunities across our business. </w:t>
      </w:r>
    </w:p>
    <w:p w:rsidR="00000000" w:rsidRDefault="001F1FC8">
      <w:pPr>
        <w:divId w:val="1523084947"/>
        <w:rPr>
          <w:rFonts w:eastAsia="Times New Roman"/>
        </w:rPr>
      </w:pPr>
    </w:p>
    <w:p w:rsidR="00000000" w:rsidRDefault="001F1FC8">
      <w:pPr>
        <w:divId w:val="332924221"/>
        <w:rPr>
          <w:rFonts w:eastAsia="Times New Roman"/>
        </w:rPr>
      </w:pPr>
      <w:r>
        <w:rPr>
          <w:rFonts w:ascii="Arial" w:eastAsia="Times New Roman" w:hAnsi="Arial" w:cs="Arial"/>
          <w:color w:val="000000"/>
          <w:sz w:val="20"/>
          <w:szCs w:val="20"/>
        </w:rPr>
        <w:t>Our key strategic priorities are summarized below:</w:t>
      </w:r>
    </w:p>
    <w:p w:rsidR="00000000" w:rsidRDefault="001F1FC8">
      <w:pPr>
        <w:divId w:val="118112094"/>
        <w:rPr>
          <w:rFonts w:eastAsia="Times New Roman"/>
        </w:rPr>
      </w:pPr>
    </w:p>
    <w:p w:rsidR="00000000" w:rsidRDefault="001F1FC8">
      <w:pPr>
        <w:divId w:val="158274251"/>
        <w:rPr>
          <w:rFonts w:eastAsia="Times New Roman"/>
        </w:rPr>
      </w:pPr>
      <w:r>
        <w:rPr>
          <w:rFonts w:ascii="Arial" w:eastAsia="Times New Roman" w:hAnsi="Arial" w:cs="Arial"/>
          <w:b/>
          <w:bCs/>
          <w:color w:val="000000"/>
          <w:sz w:val="20"/>
          <w:szCs w:val="20"/>
        </w:rPr>
        <w:t>Ensure Safe Reliable Operations</w:t>
      </w:r>
    </w:p>
    <w:p w:rsidR="00000000" w:rsidRDefault="001F1FC8">
      <w:pPr>
        <w:divId w:val="341203233"/>
        <w:rPr>
          <w:rFonts w:eastAsia="Times New Roman"/>
        </w:rPr>
      </w:pPr>
      <w:r>
        <w:rPr>
          <w:rFonts w:ascii="Arial" w:eastAsia="Times New Roman" w:hAnsi="Arial" w:cs="Arial"/>
          <w:color w:val="000000"/>
          <w:sz w:val="20"/>
          <w:szCs w:val="20"/>
        </w:rPr>
        <w:t>Safety and operational reliability remai</w:t>
      </w:r>
      <w:r>
        <w:rPr>
          <w:rFonts w:ascii="Arial" w:eastAsia="Times New Roman" w:hAnsi="Arial" w:cs="Arial"/>
          <w:color w:val="000000"/>
          <w:sz w:val="20"/>
          <w:szCs w:val="20"/>
        </w:rPr>
        <w:t>n the foundation of our strategy. Our commitment to safety and operational reliability means achieving and maintaining industry leadership in safety (process, public and personal) and ensuring the reliability and integrity of the systems we operate, in ord</w:t>
      </w:r>
      <w:r>
        <w:rPr>
          <w:rFonts w:ascii="Arial" w:eastAsia="Times New Roman" w:hAnsi="Arial" w:cs="Arial"/>
          <w:color w:val="000000"/>
          <w:sz w:val="20"/>
          <w:szCs w:val="20"/>
        </w:rPr>
        <w:t xml:space="preserve">er to generate, transport and deliver energy while protecting people and the environment. </w:t>
      </w:r>
    </w:p>
    <w:p w:rsidR="00000000" w:rsidRDefault="001F1FC8">
      <w:pPr>
        <w:divId w:val="1618246286"/>
        <w:rPr>
          <w:rFonts w:eastAsia="Times New Roman"/>
        </w:rPr>
      </w:pPr>
    </w:p>
    <w:p w:rsidR="00000000" w:rsidRDefault="001F1FC8">
      <w:pPr>
        <w:divId w:val="1475676303"/>
        <w:rPr>
          <w:rFonts w:eastAsia="Times New Roman"/>
        </w:rPr>
      </w:pPr>
      <w:r>
        <w:rPr>
          <w:rFonts w:ascii="Arial" w:eastAsia="Times New Roman" w:hAnsi="Arial" w:cs="Arial"/>
          <w:b/>
          <w:bCs/>
          <w:color w:val="000000"/>
          <w:sz w:val="20"/>
          <w:szCs w:val="20"/>
        </w:rPr>
        <w:t>Enhance Returns from our Base Businesses</w:t>
      </w:r>
    </w:p>
    <w:p w:rsidR="00000000" w:rsidRDefault="001F1FC8">
      <w:pPr>
        <w:divId w:val="1607077813"/>
        <w:rPr>
          <w:rFonts w:eastAsia="Times New Roman"/>
        </w:rPr>
      </w:pPr>
      <w:r>
        <w:rPr>
          <w:rFonts w:ascii="Arial" w:eastAsia="Times New Roman" w:hAnsi="Arial" w:cs="Arial"/>
          <w:color w:val="000000"/>
          <w:sz w:val="20"/>
          <w:szCs w:val="20"/>
        </w:rPr>
        <w:t>A key priority is to drive growth through an ongoing focus on optimization, productivity, and efficiency across all our businesses. Examples include: the application of drag-reducing agents and pump station horsepower additions to optimize throughput on ou</w:t>
      </w:r>
      <w:r>
        <w:rPr>
          <w:rFonts w:ascii="Arial" w:eastAsia="Times New Roman" w:hAnsi="Arial" w:cs="Arial"/>
          <w:color w:val="000000"/>
          <w:sz w:val="20"/>
          <w:szCs w:val="20"/>
        </w:rPr>
        <w:t xml:space="preserve">r liquids system, the execution of toll settlements and rate case filings to optimize revenue within our gas transmission franchises, the expansion of low-carbon gas offerings to modernize and integrate value chains at our gas utility, and more generally, </w:t>
      </w:r>
      <w:r>
        <w:rPr>
          <w:rFonts w:ascii="Arial" w:eastAsia="Times New Roman" w:hAnsi="Arial" w:cs="Arial"/>
          <w:color w:val="000000"/>
          <w:sz w:val="20"/>
          <w:szCs w:val="20"/>
        </w:rPr>
        <w:t xml:space="preserve">and the creation of sustainable cost savings across the organization through process improvement and/or system enhancements. </w:t>
      </w:r>
    </w:p>
    <w:p w:rsidR="00000000" w:rsidRDefault="001F1FC8">
      <w:pPr>
        <w:divId w:val="434710334"/>
        <w:rPr>
          <w:rFonts w:eastAsia="Times New Roman"/>
        </w:rPr>
      </w:pPr>
    </w:p>
    <w:p w:rsidR="00000000" w:rsidRDefault="001F1FC8">
      <w:pPr>
        <w:divId w:val="2050646053"/>
        <w:rPr>
          <w:rFonts w:eastAsia="Times New Roman"/>
        </w:rPr>
      </w:pPr>
      <w:r>
        <w:rPr>
          <w:rFonts w:ascii="Arial" w:eastAsia="Times New Roman" w:hAnsi="Arial" w:cs="Arial"/>
          <w:b/>
          <w:bCs/>
          <w:color w:val="000000"/>
          <w:sz w:val="20"/>
          <w:szCs w:val="20"/>
        </w:rPr>
        <w:t xml:space="preserve">Execute the Capital Program and Grow Core Business </w:t>
      </w:r>
    </w:p>
    <w:p w:rsidR="00000000" w:rsidRDefault="001F1FC8">
      <w:pPr>
        <w:divId w:val="550768543"/>
        <w:rPr>
          <w:rFonts w:eastAsia="Times New Roman"/>
        </w:rPr>
      </w:pPr>
      <w:r>
        <w:rPr>
          <w:rFonts w:ascii="Arial" w:eastAsia="Times New Roman" w:hAnsi="Arial" w:cs="Arial"/>
          <w:color w:val="000000"/>
          <w:sz w:val="20"/>
          <w:szCs w:val="20"/>
        </w:rPr>
        <w:t>Successful project execution is integral to our financial performance and to</w:t>
      </w:r>
      <w:r>
        <w:rPr>
          <w:rFonts w:ascii="Arial" w:eastAsia="Times New Roman" w:hAnsi="Arial" w:cs="Arial"/>
          <w:color w:val="000000"/>
          <w:sz w:val="20"/>
          <w:szCs w:val="20"/>
        </w:rPr>
        <w:t xml:space="preserve"> the strategic positioning of our business over the long term. Our ongoing objective is to deliver our slate of secured projects (currently $9 billion through 2024) at the lowest practical cost while maintaining the highest standards for safety, quality, c</w:t>
      </w:r>
      <w:r>
        <w:rPr>
          <w:rFonts w:ascii="Arial" w:eastAsia="Times New Roman" w:hAnsi="Arial" w:cs="Arial"/>
          <w:color w:val="000000"/>
          <w:sz w:val="20"/>
          <w:szCs w:val="20"/>
        </w:rPr>
        <w:t xml:space="preserve">ustomer satisfaction and environmental and regulatory compliance. For a discussion of our current portfolio of capital projects, refer to Part II. </w:t>
      </w:r>
      <w:r>
        <w:rPr>
          <w:rFonts w:ascii="Arial" w:eastAsia="Times New Roman" w:hAnsi="Arial" w:cs="Arial"/>
          <w:i/>
          <w:iCs/>
          <w:color w:val="000000"/>
          <w:sz w:val="20"/>
          <w:szCs w:val="20"/>
        </w:rPr>
        <w:t>Item 7. Management's Discussion and Analysis of Financial Condition and Results of Operations - Growth Projec</w:t>
      </w:r>
      <w:r>
        <w:rPr>
          <w:rFonts w:ascii="Arial" w:eastAsia="Times New Roman" w:hAnsi="Arial" w:cs="Arial"/>
          <w:i/>
          <w:iCs/>
          <w:color w:val="000000"/>
          <w:sz w:val="20"/>
          <w:szCs w:val="20"/>
        </w:rPr>
        <w:t>ts - Commercially Secured Projects</w:t>
      </w:r>
      <w:r>
        <w:rPr>
          <w:rFonts w:ascii="Arial" w:eastAsia="Times New Roman" w:hAnsi="Arial" w:cs="Arial"/>
          <w:color w:val="000000"/>
          <w:sz w:val="20"/>
          <w:szCs w:val="20"/>
        </w:rPr>
        <w:t>.</w:t>
      </w:r>
    </w:p>
    <w:p w:rsidR="00000000" w:rsidRDefault="001F1FC8">
      <w:pPr>
        <w:divId w:val="1320889844"/>
        <w:rPr>
          <w:rFonts w:eastAsia="Times New Roman"/>
        </w:rPr>
      </w:pPr>
    </w:p>
    <w:p w:rsidR="00000000" w:rsidRDefault="001F1FC8">
      <w:pPr>
        <w:divId w:val="1986010166"/>
        <w:rPr>
          <w:rFonts w:eastAsia="Times New Roman"/>
        </w:rPr>
      </w:pPr>
      <w:r>
        <w:rPr>
          <w:rFonts w:ascii="Arial" w:eastAsia="Times New Roman" w:hAnsi="Arial" w:cs="Arial"/>
          <w:color w:val="000000"/>
          <w:sz w:val="20"/>
          <w:szCs w:val="20"/>
        </w:rPr>
        <w:t>In seeking to extend growth, we expect to have sufficient self-funding capacity of about $5 to $6 billion per year to invest in new organic growth capital without issuing any additional common equity and maintaining ke</w:t>
      </w:r>
      <w:r>
        <w:rPr>
          <w:rFonts w:ascii="Arial" w:eastAsia="Times New Roman" w:hAnsi="Arial" w:cs="Arial"/>
          <w:color w:val="000000"/>
          <w:sz w:val="20"/>
          <w:szCs w:val="20"/>
        </w:rPr>
        <w:t>y credit metrics. We will remain disciplined and deploy capital towards the best uses, prioritizing balance sheet strength, investment in low capital intensity growth and regulated utility or utility-like projects. We will carefully assess our remaining in</w:t>
      </w:r>
      <w:r>
        <w:rPr>
          <w:rFonts w:ascii="Arial" w:eastAsia="Times New Roman" w:hAnsi="Arial" w:cs="Arial"/>
          <w:color w:val="000000"/>
          <w:sz w:val="20"/>
          <w:szCs w:val="20"/>
        </w:rPr>
        <w:t>vestable capacity, deploying capital to the most value-enhancing opportunities available to us, including further organic growth, asset acquisitions, and share buybacks, or further deleveraging our balance sheet.</w:t>
      </w:r>
    </w:p>
    <w:p w:rsidR="00000000" w:rsidRDefault="001F1FC8">
      <w:pPr>
        <w:divId w:val="1101410031"/>
        <w:rPr>
          <w:rFonts w:eastAsia="Times New Roman"/>
        </w:rPr>
      </w:pPr>
    </w:p>
    <w:p w:rsidR="00000000" w:rsidRDefault="001F1FC8">
      <w:pPr>
        <w:divId w:val="257057819"/>
        <w:rPr>
          <w:rFonts w:eastAsia="Times New Roman"/>
        </w:rPr>
      </w:pPr>
      <w:r>
        <w:rPr>
          <w:rFonts w:ascii="Arial" w:eastAsia="Times New Roman" w:hAnsi="Arial" w:cs="Arial"/>
          <w:color w:val="000000"/>
          <w:sz w:val="20"/>
          <w:szCs w:val="20"/>
        </w:rPr>
        <w:t>Looking ahead, we see strong utilization of our existing network and opportunities for future growth within each of our businesses. For example:</w:t>
      </w:r>
    </w:p>
    <w:p w:rsidR="00000000" w:rsidRDefault="001F1FC8">
      <w:pPr>
        <w:divId w:val="1925259325"/>
        <w:rPr>
          <w:rFonts w:eastAsia="Times New Roman"/>
        </w:rPr>
      </w:pPr>
    </w:p>
    <w:p w:rsidR="00000000" w:rsidRDefault="001F1FC8">
      <w:pPr>
        <w:ind w:hanging="360"/>
        <w:divId w:val="1555658041"/>
        <w:rPr>
          <w:rFonts w:eastAsia="Times New Roman"/>
        </w:rPr>
      </w:pPr>
      <w:r>
        <w:rPr>
          <w:rFonts w:ascii="Arial" w:eastAsia="Times New Roman" w:hAnsi="Arial" w:cs="Arial"/>
          <w:color w:val="000000"/>
          <w:sz w:val="20"/>
          <w:szCs w:val="20"/>
        </w:rPr>
        <w:t>•Our liquids pipelines infrastructure will remain a vital connection between key supply basins and demand-pul</w:t>
      </w:r>
      <w:r>
        <w:rPr>
          <w:rFonts w:ascii="Arial" w:eastAsia="Times New Roman" w:hAnsi="Arial" w:cs="Arial"/>
          <w:color w:val="000000"/>
          <w:sz w:val="20"/>
          <w:szCs w:val="20"/>
        </w:rPr>
        <w:t>l markets such as the refinery hubs in the US Midwest, Eastern Canada, and the US Gulf Coast. The emergence of CCS offers the potential to provide new growth opportunities over the long term.</w:t>
      </w:r>
    </w:p>
    <w:p w:rsidR="00000000" w:rsidRDefault="001F1FC8">
      <w:pPr>
        <w:divId w:val="771821572"/>
        <w:rPr>
          <w:rFonts w:eastAsia="Times New Roman"/>
        </w:rPr>
      </w:pPr>
    </w:p>
    <w:p w:rsidR="00000000" w:rsidRDefault="001F1FC8">
      <w:pPr>
        <w:jc w:val="center"/>
        <w:divId w:val="98070596"/>
        <w:rPr>
          <w:rFonts w:eastAsia="Times New Roman"/>
        </w:rPr>
      </w:pPr>
      <w:r>
        <w:rPr>
          <w:rFonts w:ascii="Arial" w:eastAsia="Times New Roman" w:hAnsi="Arial" w:cs="Arial"/>
          <w:color w:val="000000"/>
          <w:sz w:val="20"/>
          <w:szCs w:val="20"/>
        </w:rPr>
        <w:t>10</w:t>
      </w:r>
    </w:p>
    <w:p w:rsidR="00000000" w:rsidRDefault="001F1FC8">
      <w:pPr>
        <w:rPr>
          <w:rFonts w:eastAsia="Times New Roman"/>
        </w:rPr>
      </w:pPr>
      <w:r>
        <w:rPr>
          <w:rFonts w:eastAsia="Times New Roman"/>
        </w:rPr>
        <w:pict>
          <v:rect id="_x0000_i1034" style="width:0;height:1.5pt" o:hralign="center" o:hrstd="t" o:hr="t" fillcolor="#a0a0a0" stroked="f"/>
        </w:pict>
      </w:r>
    </w:p>
    <w:p w:rsidR="00000000" w:rsidRDefault="001F1FC8">
      <w:pPr>
        <w:jc w:val="center"/>
        <w:divId w:val="244464006"/>
        <w:rPr>
          <w:rFonts w:eastAsia="Times New Roman"/>
        </w:rPr>
      </w:pPr>
    </w:p>
    <w:p w:rsidR="00000000" w:rsidRDefault="001F1FC8">
      <w:pPr>
        <w:ind w:hanging="360"/>
        <w:divId w:val="1941570903"/>
        <w:rPr>
          <w:rFonts w:eastAsia="Times New Roman"/>
        </w:rPr>
      </w:pPr>
      <w:r>
        <w:rPr>
          <w:rFonts w:ascii="Arial" w:eastAsia="Times New Roman" w:hAnsi="Arial" w:cs="Arial"/>
          <w:color w:val="000000"/>
          <w:sz w:val="20"/>
          <w:szCs w:val="20"/>
        </w:rPr>
        <w:t>•Our natural gas pip</w:t>
      </w:r>
      <w:r>
        <w:rPr>
          <w:rFonts w:ascii="Arial" w:eastAsia="Times New Roman" w:hAnsi="Arial" w:cs="Arial"/>
          <w:color w:val="000000"/>
          <w:sz w:val="20"/>
          <w:szCs w:val="20"/>
        </w:rPr>
        <w:t xml:space="preserve">elines business will seek extension and expansion opportunities driven by new load demand from gas-fired power generation, industrial growth, and coastal liquefied natural gas (LNG) plants. Looking forward, blending RNG and H2 production projects into our </w:t>
      </w:r>
      <w:r>
        <w:rPr>
          <w:rFonts w:ascii="Arial" w:eastAsia="Times New Roman" w:hAnsi="Arial" w:cs="Arial"/>
          <w:color w:val="000000"/>
          <w:sz w:val="20"/>
          <w:szCs w:val="20"/>
        </w:rPr>
        <w:t>system will enhance asset longevity and enable us to offer a differentiated low-carbon service to customers.</w:t>
      </w:r>
    </w:p>
    <w:p w:rsidR="00000000" w:rsidRDefault="001F1FC8">
      <w:pPr>
        <w:divId w:val="1874226866"/>
        <w:rPr>
          <w:rFonts w:eastAsia="Times New Roman"/>
        </w:rPr>
      </w:pPr>
    </w:p>
    <w:p w:rsidR="00000000" w:rsidRDefault="001F1FC8">
      <w:pPr>
        <w:ind w:hanging="360"/>
        <w:divId w:val="999694637"/>
        <w:rPr>
          <w:rFonts w:eastAsia="Times New Roman"/>
        </w:rPr>
      </w:pPr>
      <w:r>
        <w:rPr>
          <w:rFonts w:ascii="Arial" w:eastAsia="Times New Roman" w:hAnsi="Arial" w:cs="Arial"/>
          <w:color w:val="000000"/>
          <w:sz w:val="20"/>
          <w:szCs w:val="20"/>
        </w:rPr>
        <w:t>•Our gas distribution utility will continue to grow through customer additions, productivity enhancements, modernization investments and faciliti</w:t>
      </w:r>
      <w:r>
        <w:rPr>
          <w:rFonts w:ascii="Arial" w:eastAsia="Times New Roman" w:hAnsi="Arial" w:cs="Arial"/>
          <w:color w:val="000000"/>
          <w:sz w:val="20"/>
          <w:szCs w:val="20"/>
        </w:rPr>
        <w:t>es that blend H2 and RNG into gas supply, and expansion of our demand-side management and distributed energy programs.</w:t>
      </w:r>
    </w:p>
    <w:p w:rsidR="00000000" w:rsidRDefault="001F1FC8">
      <w:pPr>
        <w:divId w:val="1122843989"/>
        <w:rPr>
          <w:rFonts w:eastAsia="Times New Roman"/>
        </w:rPr>
      </w:pPr>
    </w:p>
    <w:p w:rsidR="00000000" w:rsidRDefault="001F1FC8">
      <w:pPr>
        <w:ind w:hanging="360"/>
        <w:divId w:val="1967806716"/>
        <w:rPr>
          <w:rFonts w:eastAsia="Times New Roman"/>
        </w:rPr>
      </w:pPr>
      <w:r>
        <w:rPr>
          <w:rFonts w:ascii="Arial" w:eastAsia="Times New Roman" w:hAnsi="Arial" w:cs="Arial"/>
          <w:color w:val="000000"/>
          <w:sz w:val="20"/>
          <w:szCs w:val="20"/>
        </w:rPr>
        <w:t>•Our mature capabilities in the offshore and onshore wind sector position us well to compete for new projects across the development cy</w:t>
      </w:r>
      <w:r>
        <w:rPr>
          <w:rFonts w:ascii="Arial" w:eastAsia="Times New Roman" w:hAnsi="Arial" w:cs="Arial"/>
          <w:color w:val="000000"/>
          <w:sz w:val="20"/>
          <w:szCs w:val="20"/>
        </w:rPr>
        <w:t>cle in Europe and North America, while our multi-year program to self-power existing pipeline compressor stations represents highly visible and scalable growth.</w:t>
      </w:r>
    </w:p>
    <w:p w:rsidR="00000000" w:rsidRDefault="001F1FC8">
      <w:pPr>
        <w:divId w:val="1286808206"/>
        <w:rPr>
          <w:rFonts w:eastAsia="Times New Roman"/>
        </w:rPr>
      </w:pPr>
    </w:p>
    <w:p w:rsidR="00000000" w:rsidRDefault="001F1FC8">
      <w:pPr>
        <w:divId w:val="1135561631"/>
        <w:rPr>
          <w:rFonts w:eastAsia="Times New Roman"/>
        </w:rPr>
      </w:pPr>
      <w:r>
        <w:rPr>
          <w:rFonts w:ascii="Arial" w:eastAsia="Times New Roman" w:hAnsi="Arial" w:cs="Arial"/>
          <w:b/>
          <w:bCs/>
          <w:color w:val="000000"/>
          <w:sz w:val="20"/>
          <w:szCs w:val="20"/>
        </w:rPr>
        <w:t xml:space="preserve">Maintain Financial Strength and Flexibility </w:t>
      </w:r>
    </w:p>
    <w:p w:rsidR="00000000" w:rsidRDefault="001F1FC8">
      <w:pPr>
        <w:divId w:val="915167491"/>
        <w:rPr>
          <w:rFonts w:eastAsia="Times New Roman"/>
        </w:rPr>
      </w:pPr>
      <w:r>
        <w:rPr>
          <w:rFonts w:ascii="Arial" w:eastAsia="Times New Roman" w:hAnsi="Arial" w:cs="Arial"/>
          <w:color w:val="000000"/>
          <w:sz w:val="20"/>
          <w:szCs w:val="20"/>
        </w:rPr>
        <w:t>The maintenance of our financial strength is cri</w:t>
      </w:r>
      <w:r>
        <w:rPr>
          <w:rFonts w:ascii="Arial" w:eastAsia="Times New Roman" w:hAnsi="Arial" w:cs="Arial"/>
          <w:color w:val="000000"/>
          <w:sz w:val="20"/>
          <w:szCs w:val="20"/>
        </w:rPr>
        <w:t>tical to our strategy. Our financing strategies are designed to retain strong investment-grade credit ratings to ensure that we have the financial capacity to meet our capital funding needs and the flexibility to manage capital market disruptions. Our curr</w:t>
      </w:r>
      <w:r>
        <w:rPr>
          <w:rFonts w:ascii="Arial" w:eastAsia="Times New Roman" w:hAnsi="Arial" w:cs="Arial"/>
          <w:color w:val="000000"/>
          <w:sz w:val="20"/>
          <w:szCs w:val="20"/>
        </w:rPr>
        <w:t>ent secured capital program, which extends to 2024, can be readily financed through internally generated cash flow and available balance sheet capacity without issuance of additional common equity and we will seek to secure new growth within our “self-fund</w:t>
      </w:r>
      <w:r>
        <w:rPr>
          <w:rFonts w:ascii="Arial" w:eastAsia="Times New Roman" w:hAnsi="Arial" w:cs="Arial"/>
          <w:color w:val="000000"/>
          <w:sz w:val="20"/>
          <w:szCs w:val="20"/>
        </w:rPr>
        <w:t xml:space="preserve">ed” equity model. In addition, we continue to look at opportunities to monetize non-core assets at attractive valuations. For further discussion on our financing strategies, refer to Part II. </w:t>
      </w:r>
      <w:r>
        <w:rPr>
          <w:rFonts w:ascii="Arial" w:eastAsia="Times New Roman" w:hAnsi="Arial" w:cs="Arial"/>
          <w:i/>
          <w:iCs/>
          <w:color w:val="000000"/>
          <w:sz w:val="20"/>
          <w:szCs w:val="20"/>
        </w:rPr>
        <w:t>Item 7. Management's Discussion and Analysis of Financial Condit</w:t>
      </w:r>
      <w:r>
        <w:rPr>
          <w:rFonts w:ascii="Arial" w:eastAsia="Times New Roman" w:hAnsi="Arial" w:cs="Arial"/>
          <w:i/>
          <w:iCs/>
          <w:color w:val="000000"/>
          <w:sz w:val="20"/>
          <w:szCs w:val="20"/>
        </w:rPr>
        <w:t>ion and Results of Operations - Liquidity and Capital Resources</w:t>
      </w:r>
      <w:r>
        <w:rPr>
          <w:rFonts w:ascii="Arial" w:eastAsia="Times New Roman" w:hAnsi="Arial" w:cs="Arial"/>
          <w:color w:val="000000"/>
          <w:sz w:val="20"/>
          <w:szCs w:val="20"/>
        </w:rPr>
        <w:t>.</w:t>
      </w:r>
    </w:p>
    <w:p w:rsidR="00000000" w:rsidRDefault="001F1FC8">
      <w:pPr>
        <w:divId w:val="1739279797"/>
        <w:rPr>
          <w:rFonts w:eastAsia="Times New Roman"/>
        </w:rPr>
      </w:pPr>
    </w:p>
    <w:p w:rsidR="00000000" w:rsidRDefault="001F1FC8">
      <w:pPr>
        <w:divId w:val="647445286"/>
        <w:rPr>
          <w:rFonts w:eastAsia="Times New Roman"/>
        </w:rPr>
      </w:pPr>
      <w:r>
        <w:rPr>
          <w:rFonts w:ascii="Arial" w:eastAsia="Times New Roman" w:hAnsi="Arial" w:cs="Arial"/>
          <w:b/>
          <w:bCs/>
          <w:color w:val="000000"/>
          <w:sz w:val="20"/>
          <w:szCs w:val="20"/>
        </w:rPr>
        <w:t xml:space="preserve">Disciplined Capital Allocation </w:t>
      </w:r>
    </w:p>
    <w:p w:rsidR="00000000" w:rsidRDefault="001F1FC8">
      <w:pPr>
        <w:divId w:val="1287010783"/>
        <w:rPr>
          <w:rFonts w:eastAsia="Times New Roman"/>
        </w:rPr>
      </w:pPr>
      <w:r>
        <w:rPr>
          <w:rFonts w:ascii="Arial" w:eastAsia="Times New Roman" w:hAnsi="Arial" w:cs="Arial"/>
          <w:color w:val="000000"/>
          <w:sz w:val="20"/>
          <w:szCs w:val="20"/>
        </w:rPr>
        <w:t xml:space="preserve">We assess the latest fundamental trends, monitor the business landscape and proactively conduct business development activities with the goal of identifying </w:t>
      </w:r>
      <w:r>
        <w:rPr>
          <w:rFonts w:ascii="Arial" w:eastAsia="Times New Roman" w:hAnsi="Arial" w:cs="Arial"/>
          <w:color w:val="000000"/>
          <w:sz w:val="20"/>
          <w:szCs w:val="20"/>
        </w:rPr>
        <w:t>an industry-leading opportunity set for capital deployment. Opportunities are screened, analyzed and assessed using a disciplined investment framework with the objective of ensuring effective deployment of capital to achieve attractive risk-adjusted return</w:t>
      </w:r>
      <w:r>
        <w:rPr>
          <w:rFonts w:ascii="Arial" w:eastAsia="Times New Roman" w:hAnsi="Arial" w:cs="Arial"/>
          <w:color w:val="000000"/>
          <w:sz w:val="20"/>
          <w:szCs w:val="20"/>
        </w:rPr>
        <w:t>s, while maintaining our low-risk “utility-like” business model.</w:t>
      </w:r>
    </w:p>
    <w:p w:rsidR="00000000" w:rsidRDefault="001F1FC8">
      <w:pPr>
        <w:divId w:val="966397355"/>
        <w:rPr>
          <w:rFonts w:eastAsia="Times New Roman"/>
        </w:rPr>
      </w:pPr>
    </w:p>
    <w:p w:rsidR="00000000" w:rsidRDefault="001F1FC8">
      <w:pPr>
        <w:divId w:val="1794710741"/>
        <w:rPr>
          <w:rFonts w:eastAsia="Times New Roman"/>
        </w:rPr>
      </w:pPr>
      <w:r>
        <w:rPr>
          <w:rFonts w:ascii="Arial" w:eastAsia="Times New Roman" w:hAnsi="Arial" w:cs="Arial"/>
          <w:color w:val="000000"/>
          <w:sz w:val="20"/>
          <w:szCs w:val="20"/>
        </w:rPr>
        <w:t xml:space="preserve">All investment opportunities are evaluated based on their potential to advance our strategy, mitigate risk, support our ESG goals, and create additional financial flexibility. Our primary emphasis in the near term is on low capital-intensive opportunities </w:t>
      </w:r>
      <w:r>
        <w:rPr>
          <w:rFonts w:ascii="Arial" w:eastAsia="Times New Roman" w:hAnsi="Arial" w:cs="Arial"/>
          <w:color w:val="000000"/>
          <w:sz w:val="20"/>
          <w:szCs w:val="20"/>
        </w:rPr>
        <w:t>to enhance returns in existing businesses (organic expansions and optimizations), modernization of our systems and utility rate-based investments. Execution risk remains high for large scale, long-duration development projects and, therefore, our focus wil</w:t>
      </w:r>
      <w:r>
        <w:rPr>
          <w:rFonts w:ascii="Arial" w:eastAsia="Times New Roman" w:hAnsi="Arial" w:cs="Arial"/>
          <w:color w:val="000000"/>
          <w:sz w:val="20"/>
          <w:szCs w:val="20"/>
        </w:rPr>
        <w:t xml:space="preserve">l be on projects where we can carefully manage at-risk capital during the permitting and construction phases. </w:t>
      </w:r>
    </w:p>
    <w:p w:rsidR="00000000" w:rsidRDefault="001F1FC8">
      <w:pPr>
        <w:divId w:val="493841588"/>
        <w:rPr>
          <w:rFonts w:eastAsia="Times New Roman"/>
        </w:rPr>
      </w:pPr>
    </w:p>
    <w:p w:rsidR="00000000" w:rsidRDefault="001F1FC8">
      <w:pPr>
        <w:divId w:val="1422414894"/>
        <w:rPr>
          <w:rFonts w:eastAsia="Times New Roman"/>
        </w:rPr>
      </w:pPr>
      <w:r>
        <w:rPr>
          <w:rFonts w:ascii="Arial" w:eastAsia="Times New Roman" w:hAnsi="Arial" w:cs="Arial"/>
          <w:color w:val="000000"/>
          <w:sz w:val="20"/>
          <w:szCs w:val="20"/>
        </w:rPr>
        <w:t>In evaluating typical investment opportunities, we also consider other potential capital allocation alternatives. Other alternatives for capita</w:t>
      </w:r>
      <w:r>
        <w:rPr>
          <w:rFonts w:ascii="Arial" w:eastAsia="Times New Roman" w:hAnsi="Arial" w:cs="Arial"/>
          <w:color w:val="000000"/>
          <w:sz w:val="20"/>
          <w:szCs w:val="20"/>
        </w:rPr>
        <w:t xml:space="preserve">l deployment depend on our current outlook and include further dividend increases, further debt reduction, and/or share re-purchases. </w:t>
      </w:r>
    </w:p>
    <w:p w:rsidR="00000000" w:rsidRDefault="001F1FC8">
      <w:pPr>
        <w:divId w:val="102771859"/>
        <w:rPr>
          <w:rFonts w:eastAsia="Times New Roman"/>
        </w:rPr>
      </w:pPr>
    </w:p>
    <w:p w:rsidR="00000000" w:rsidRDefault="001F1FC8">
      <w:pPr>
        <w:divId w:val="630284235"/>
        <w:rPr>
          <w:rFonts w:eastAsia="Times New Roman"/>
        </w:rPr>
      </w:pPr>
      <w:r>
        <w:rPr>
          <w:rFonts w:ascii="Arial" w:eastAsia="Times New Roman" w:hAnsi="Arial" w:cs="Arial"/>
          <w:b/>
          <w:bCs/>
          <w:color w:val="000000"/>
          <w:sz w:val="20"/>
          <w:szCs w:val="20"/>
        </w:rPr>
        <w:t>Adapt to Energy Transition Over Time</w:t>
      </w:r>
    </w:p>
    <w:p w:rsidR="00000000" w:rsidRDefault="001F1FC8">
      <w:pPr>
        <w:divId w:val="211115863"/>
        <w:rPr>
          <w:rFonts w:eastAsia="Times New Roman"/>
        </w:rPr>
      </w:pPr>
      <w:r>
        <w:rPr>
          <w:rFonts w:ascii="Arial" w:eastAsia="Times New Roman" w:hAnsi="Arial" w:cs="Arial"/>
          <w:color w:val="000000"/>
          <w:sz w:val="20"/>
          <w:szCs w:val="20"/>
        </w:rPr>
        <w:t xml:space="preserve">As the global population grows and standards of living continue to improve around </w:t>
      </w:r>
      <w:r>
        <w:rPr>
          <w:rFonts w:ascii="Arial" w:eastAsia="Times New Roman" w:hAnsi="Arial" w:cs="Arial"/>
          <w:color w:val="000000"/>
          <w:sz w:val="20"/>
          <w:szCs w:val="20"/>
        </w:rPr>
        <w:t>the world, more energy will be needed. At the same time, our society increasingly recognizes the impacts of greenhouse gas emissions on the world’s climate. Accordingly, energy systems are being reshaped as industry participants, regulators and consumers s</w:t>
      </w:r>
      <w:r>
        <w:rPr>
          <w:rFonts w:ascii="Arial" w:eastAsia="Times New Roman" w:hAnsi="Arial" w:cs="Arial"/>
          <w:color w:val="000000"/>
          <w:sz w:val="20"/>
          <w:szCs w:val="20"/>
        </w:rPr>
        <w:t>eek to lower emissions. As a diversified energy infrastructure company, we are well positioned to play a key role in the transition to a low-emissions economy by leading the development of the future energy systems and partnering with customers on their lo</w:t>
      </w:r>
      <w:r>
        <w:rPr>
          <w:rFonts w:ascii="Arial" w:eastAsia="Times New Roman" w:hAnsi="Arial" w:cs="Arial"/>
          <w:color w:val="000000"/>
          <w:sz w:val="20"/>
          <w:szCs w:val="20"/>
        </w:rPr>
        <w:t>w-carbon strategies, while at the same time working to reduce our own emissions. Furthermore, we have tested our assets for various energy transition scenarios and concluded that they are highly resilient and can be relied upon for stable cash flow generat</w:t>
      </w:r>
      <w:r>
        <w:rPr>
          <w:rFonts w:ascii="Arial" w:eastAsia="Times New Roman" w:hAnsi="Arial" w:cs="Arial"/>
          <w:color w:val="000000"/>
          <w:sz w:val="20"/>
          <w:szCs w:val="20"/>
        </w:rPr>
        <w:t>ion well into the future.</w:t>
      </w:r>
    </w:p>
    <w:p w:rsidR="00000000" w:rsidRDefault="001F1FC8">
      <w:pPr>
        <w:divId w:val="952437523"/>
        <w:rPr>
          <w:rFonts w:eastAsia="Times New Roman"/>
        </w:rPr>
      </w:pPr>
    </w:p>
    <w:p w:rsidR="00000000" w:rsidRDefault="001F1FC8">
      <w:pPr>
        <w:jc w:val="center"/>
        <w:divId w:val="1492283907"/>
        <w:rPr>
          <w:rFonts w:eastAsia="Times New Roman"/>
        </w:rPr>
      </w:pPr>
      <w:r>
        <w:rPr>
          <w:rFonts w:ascii="Arial" w:eastAsia="Times New Roman" w:hAnsi="Arial" w:cs="Arial"/>
          <w:color w:val="000000"/>
          <w:sz w:val="20"/>
          <w:szCs w:val="20"/>
        </w:rPr>
        <w:t>11</w:t>
      </w:r>
    </w:p>
    <w:p w:rsidR="00000000" w:rsidRDefault="001F1FC8">
      <w:pPr>
        <w:rPr>
          <w:rFonts w:eastAsia="Times New Roman"/>
        </w:rPr>
      </w:pPr>
      <w:r>
        <w:rPr>
          <w:rFonts w:eastAsia="Times New Roman"/>
        </w:rPr>
        <w:pict>
          <v:rect id="_x0000_i1035" style="width:0;height:1.5pt" o:hralign="center" o:hrstd="t" o:hr="t" fillcolor="#a0a0a0" stroked="f"/>
        </w:pict>
      </w:r>
    </w:p>
    <w:p w:rsidR="00000000" w:rsidRDefault="001F1FC8">
      <w:pPr>
        <w:jc w:val="center"/>
        <w:divId w:val="813646928"/>
        <w:rPr>
          <w:rFonts w:eastAsia="Times New Roman"/>
        </w:rPr>
      </w:pPr>
    </w:p>
    <w:p w:rsidR="00000000" w:rsidRDefault="001F1FC8">
      <w:pPr>
        <w:divId w:val="1415542861"/>
        <w:rPr>
          <w:rFonts w:eastAsia="Times New Roman"/>
        </w:rPr>
      </w:pPr>
      <w:r>
        <w:rPr>
          <w:rFonts w:ascii="Arial" w:eastAsia="Times New Roman" w:hAnsi="Arial" w:cs="Arial"/>
          <w:color w:val="000000"/>
          <w:sz w:val="20"/>
          <w:szCs w:val="20"/>
        </w:rPr>
        <w:t>We believe that diversification and innovation will play a significant role in the transition to a low-carbon future. To date, we have made large investments in natural gas infrastructur</w:t>
      </w:r>
      <w:r>
        <w:rPr>
          <w:rFonts w:ascii="Arial" w:eastAsia="Times New Roman" w:hAnsi="Arial" w:cs="Arial"/>
          <w:color w:val="000000"/>
          <w:sz w:val="20"/>
          <w:szCs w:val="20"/>
        </w:rPr>
        <w:t>e and continue to see significant opportunity in renewable energy. Our focus areas in renewable energy remain in offshore wind and utility-scale onshore projects. We are also taking a leadership role in other low-carbon platforms like CCS, H2 and RNG where</w:t>
      </w:r>
      <w:r>
        <w:rPr>
          <w:rFonts w:ascii="Arial" w:eastAsia="Times New Roman" w:hAnsi="Arial" w:cs="Arial"/>
          <w:color w:val="000000"/>
          <w:sz w:val="20"/>
          <w:szCs w:val="20"/>
        </w:rPr>
        <w:t xml:space="preserve"> we can leverage our infrastructure capability and stakeholder relationships to accelerate growth and extend the value of our existing assets. Additionally, all new investments that we make will need to have a clear path to achieve net zero emissions.</w:t>
      </w:r>
    </w:p>
    <w:p w:rsidR="00000000" w:rsidRDefault="001F1FC8">
      <w:pPr>
        <w:divId w:val="1226992152"/>
        <w:rPr>
          <w:rFonts w:eastAsia="Times New Roman"/>
        </w:rPr>
      </w:pPr>
    </w:p>
    <w:p w:rsidR="00000000" w:rsidRDefault="001F1FC8">
      <w:pPr>
        <w:divId w:val="1090003165"/>
        <w:rPr>
          <w:rFonts w:eastAsia="Times New Roman"/>
        </w:rPr>
      </w:pPr>
      <w:r>
        <w:rPr>
          <w:rFonts w:ascii="Arial" w:eastAsia="Times New Roman" w:hAnsi="Arial" w:cs="Arial"/>
          <w:color w:val="000000"/>
          <w:sz w:val="20"/>
          <w:szCs w:val="20"/>
        </w:rPr>
        <w:t>We</w:t>
      </w:r>
      <w:r>
        <w:rPr>
          <w:rFonts w:ascii="Arial" w:eastAsia="Times New Roman" w:hAnsi="Arial" w:cs="Arial"/>
          <w:color w:val="000000"/>
          <w:sz w:val="20"/>
          <w:szCs w:val="20"/>
        </w:rPr>
        <w:t xml:space="preserve"> recognize our customer's expectations of a transition to a lower-carbon economy and are working actively to be a differentiated service provider by leveraging our ESG leadership and world-class execution capabilities. </w:t>
      </w:r>
    </w:p>
    <w:p w:rsidR="00000000" w:rsidRDefault="001F1FC8">
      <w:pPr>
        <w:divId w:val="1217014022"/>
        <w:rPr>
          <w:rFonts w:eastAsia="Times New Roman"/>
        </w:rPr>
      </w:pPr>
    </w:p>
    <w:p w:rsidR="00000000" w:rsidRDefault="001F1FC8">
      <w:pPr>
        <w:divId w:val="1879469420"/>
        <w:rPr>
          <w:rFonts w:eastAsia="Times New Roman"/>
        </w:rPr>
      </w:pPr>
      <w:r>
        <w:rPr>
          <w:rFonts w:ascii="Arial" w:eastAsia="Times New Roman" w:hAnsi="Arial" w:cs="Arial"/>
          <w:b/>
          <w:bCs/>
          <w:color w:val="000000"/>
          <w:sz w:val="20"/>
          <w:szCs w:val="20"/>
        </w:rPr>
        <w:t>STRATEGIC ENABLERS</w:t>
      </w:r>
    </w:p>
    <w:p w:rsidR="00000000" w:rsidRDefault="001F1FC8">
      <w:pPr>
        <w:divId w:val="1639646996"/>
        <w:rPr>
          <w:rFonts w:eastAsia="Times New Roman"/>
        </w:rPr>
      </w:pPr>
      <w:r>
        <w:rPr>
          <w:rFonts w:ascii="Arial" w:eastAsia="Times New Roman" w:hAnsi="Arial" w:cs="Arial"/>
          <w:color w:val="000000"/>
          <w:sz w:val="20"/>
          <w:szCs w:val="20"/>
        </w:rPr>
        <w:t xml:space="preserve">Our success in </w:t>
      </w:r>
      <w:r>
        <w:rPr>
          <w:rFonts w:ascii="Arial" w:eastAsia="Times New Roman" w:hAnsi="Arial" w:cs="Arial"/>
          <w:color w:val="000000"/>
          <w:sz w:val="20"/>
          <w:szCs w:val="20"/>
        </w:rPr>
        <w:t>executing on our strategic priorities is enabled by our commitment to ESG, the quality and capabilities of our people, and the extent to which we embrace technology and innovation as a competitive advantage.</w:t>
      </w:r>
    </w:p>
    <w:p w:rsidR="00000000" w:rsidRDefault="001F1FC8">
      <w:pPr>
        <w:divId w:val="278874934"/>
        <w:rPr>
          <w:rFonts w:eastAsia="Times New Roman"/>
        </w:rPr>
      </w:pPr>
    </w:p>
    <w:p w:rsidR="00000000" w:rsidRDefault="001F1FC8">
      <w:pPr>
        <w:divId w:val="2069918858"/>
        <w:rPr>
          <w:rFonts w:eastAsia="Times New Roman"/>
        </w:rPr>
      </w:pPr>
      <w:r>
        <w:rPr>
          <w:rFonts w:ascii="Arial" w:eastAsia="Times New Roman" w:hAnsi="Arial" w:cs="Arial"/>
          <w:b/>
          <w:bCs/>
          <w:color w:val="000000"/>
          <w:sz w:val="20"/>
          <w:szCs w:val="20"/>
        </w:rPr>
        <w:t>ESG</w:t>
      </w:r>
    </w:p>
    <w:p w:rsidR="00000000" w:rsidRDefault="001F1FC8">
      <w:pPr>
        <w:divId w:val="1778744533"/>
        <w:rPr>
          <w:rFonts w:eastAsia="Times New Roman"/>
        </w:rPr>
      </w:pPr>
      <w:r>
        <w:rPr>
          <w:rFonts w:ascii="Arial" w:eastAsia="Times New Roman" w:hAnsi="Arial" w:cs="Arial"/>
          <w:color w:val="000000"/>
          <w:sz w:val="20"/>
          <w:szCs w:val="20"/>
        </w:rPr>
        <w:t xml:space="preserve">Sustainability is integral to our ability </w:t>
      </w:r>
      <w:r>
        <w:rPr>
          <w:rFonts w:ascii="Arial" w:eastAsia="Times New Roman" w:hAnsi="Arial" w:cs="Arial"/>
          <w:color w:val="000000"/>
          <w:sz w:val="20"/>
          <w:szCs w:val="20"/>
        </w:rPr>
        <w:t>to safely and reliably deliver the energy people need and want. How well we perform as a steward of our environment; as a safe operator of essential energy infrastructure; as a diverse and inclusive employer; and as a responsible corporate citizen is inext</w:t>
      </w:r>
      <w:r>
        <w:rPr>
          <w:rFonts w:ascii="Arial" w:eastAsia="Times New Roman" w:hAnsi="Arial" w:cs="Arial"/>
          <w:color w:val="000000"/>
          <w:sz w:val="20"/>
          <w:szCs w:val="20"/>
        </w:rPr>
        <w:t xml:space="preserve">ricably linked to our ability to achieve our strategic priorities and create long-term value for all stakeholders. </w:t>
      </w:r>
    </w:p>
    <w:p w:rsidR="00000000" w:rsidRDefault="001F1FC8">
      <w:pPr>
        <w:divId w:val="618876635"/>
        <w:rPr>
          <w:rFonts w:eastAsia="Times New Roman"/>
        </w:rPr>
      </w:pPr>
    </w:p>
    <w:p w:rsidR="00000000" w:rsidRDefault="001F1FC8">
      <w:pPr>
        <w:divId w:val="1394158713"/>
        <w:rPr>
          <w:rFonts w:eastAsia="Times New Roman"/>
        </w:rPr>
      </w:pPr>
      <w:r>
        <w:rPr>
          <w:rFonts w:ascii="Arial" w:eastAsia="Times New Roman" w:hAnsi="Arial" w:cs="Arial"/>
          <w:color w:val="000000"/>
          <w:sz w:val="20"/>
          <w:szCs w:val="20"/>
        </w:rPr>
        <w:t>Our commitment to strong ESG practices and performance has long been core to how we do business and we are proud to be recognized as a lea</w:t>
      </w:r>
      <w:r>
        <w:rPr>
          <w:rFonts w:ascii="Arial" w:eastAsia="Times New Roman" w:hAnsi="Arial" w:cs="Arial"/>
          <w:color w:val="000000"/>
          <w:sz w:val="20"/>
          <w:szCs w:val="20"/>
        </w:rPr>
        <w:t>der amongst our peers. In 2020, we set out ambitious goal</w:t>
      </w:r>
      <w:r>
        <w:rPr>
          <w:rFonts w:ascii="Arial" w:eastAsia="Times New Roman" w:hAnsi="Arial" w:cs="Arial"/>
          <w:color w:val="000000"/>
          <w:sz w:val="20"/>
          <w:szCs w:val="20"/>
        </w:rPr>
        <w:t>s</w:t>
      </w:r>
      <w:r>
        <w:rPr>
          <w:rFonts w:ascii="Arial" w:eastAsia="Times New Roman" w:hAnsi="Arial" w:cs="Arial"/>
          <w:color w:val="000000"/>
          <w:sz w:val="10"/>
          <w:szCs w:val="10"/>
        </w:rPr>
        <w:t>1</w:t>
      </w:r>
      <w:r>
        <w:rPr>
          <w:rFonts w:ascii="Arial" w:eastAsia="Times New Roman" w:hAnsi="Arial" w:cs="Arial"/>
          <w:color w:val="000000"/>
          <w:sz w:val="20"/>
          <w:szCs w:val="20"/>
        </w:rPr>
        <w:t xml:space="preserve"> including:</w:t>
      </w:r>
    </w:p>
    <w:p w:rsidR="00000000" w:rsidRDefault="001F1FC8">
      <w:pPr>
        <w:divId w:val="545683422"/>
        <w:rPr>
          <w:rFonts w:eastAsia="Times New Roman"/>
        </w:rPr>
      </w:pPr>
    </w:p>
    <w:p w:rsidR="00000000" w:rsidRDefault="001F1FC8">
      <w:pPr>
        <w:ind w:hanging="360"/>
        <w:divId w:val="589968763"/>
        <w:rPr>
          <w:rFonts w:eastAsia="Times New Roman"/>
        </w:rPr>
      </w:pPr>
      <w:r>
        <w:rPr>
          <w:rFonts w:ascii="Arial" w:eastAsia="Times New Roman" w:hAnsi="Arial" w:cs="Arial"/>
          <w:color w:val="000000"/>
          <w:sz w:val="20"/>
          <w:szCs w:val="20"/>
        </w:rPr>
        <w:t>•Net zero GHG emissions by 2050 with an interim target to reduce GHG emissions intensity 35% by 2030 compared to the 2018 baseline.</w:t>
      </w:r>
    </w:p>
    <w:p w:rsidR="00000000" w:rsidRDefault="001F1FC8">
      <w:pPr>
        <w:divId w:val="1201743099"/>
        <w:rPr>
          <w:rFonts w:eastAsia="Times New Roman"/>
        </w:rPr>
      </w:pPr>
    </w:p>
    <w:p w:rsidR="00000000" w:rsidRDefault="001F1FC8">
      <w:pPr>
        <w:ind w:hanging="360"/>
        <w:divId w:val="979459087"/>
        <w:rPr>
          <w:rFonts w:eastAsia="Times New Roman"/>
        </w:rPr>
      </w:pPr>
      <w:r>
        <w:rPr>
          <w:rFonts w:ascii="Arial" w:eastAsia="Times New Roman" w:hAnsi="Arial" w:cs="Arial"/>
          <w:color w:val="000000"/>
          <w:sz w:val="20"/>
          <w:szCs w:val="20"/>
        </w:rPr>
        <w:t>•Increased representation of diverse groups withi</w:t>
      </w:r>
      <w:r>
        <w:rPr>
          <w:rFonts w:ascii="Arial" w:eastAsia="Times New Roman" w:hAnsi="Arial" w:cs="Arial"/>
          <w:color w:val="000000"/>
          <w:sz w:val="20"/>
          <w:szCs w:val="20"/>
        </w:rPr>
        <w:t>n our workforce by 2025, including representation goals of 40% women and 28% racial and ethnic groups, along with new initiatives to enhance supplier diversity.</w:t>
      </w:r>
    </w:p>
    <w:p w:rsidR="00000000" w:rsidRDefault="001F1FC8">
      <w:pPr>
        <w:divId w:val="1384257253"/>
        <w:rPr>
          <w:rFonts w:eastAsia="Times New Roman"/>
        </w:rPr>
      </w:pPr>
    </w:p>
    <w:p w:rsidR="00000000" w:rsidRDefault="001F1FC8">
      <w:pPr>
        <w:ind w:hanging="360"/>
        <w:divId w:val="1828088095"/>
        <w:rPr>
          <w:rFonts w:eastAsia="Times New Roman"/>
        </w:rPr>
      </w:pPr>
      <w:r>
        <w:rPr>
          <w:rFonts w:ascii="Arial" w:eastAsia="Times New Roman" w:hAnsi="Arial" w:cs="Arial"/>
          <w:color w:val="000000"/>
          <w:sz w:val="20"/>
          <w:szCs w:val="20"/>
        </w:rPr>
        <w:t>•Strengthening diversity on our Board with representation goals of 40% women and 20% racial a</w:t>
      </w:r>
      <w:r>
        <w:rPr>
          <w:rFonts w:ascii="Arial" w:eastAsia="Times New Roman" w:hAnsi="Arial" w:cs="Arial"/>
          <w:color w:val="000000"/>
          <w:sz w:val="20"/>
          <w:szCs w:val="20"/>
        </w:rPr>
        <w:t>nd ethnic groups by 2025.</w:t>
      </w:r>
    </w:p>
    <w:p w:rsidR="00000000" w:rsidRDefault="001F1FC8">
      <w:pPr>
        <w:divId w:val="1908148999"/>
        <w:rPr>
          <w:rFonts w:eastAsia="Times New Roman"/>
        </w:rPr>
      </w:pPr>
    </w:p>
    <w:p w:rsidR="00000000" w:rsidRDefault="001F1FC8">
      <w:pPr>
        <w:ind w:hanging="360"/>
        <w:divId w:val="317807400"/>
        <w:rPr>
          <w:rFonts w:eastAsia="Times New Roman"/>
        </w:rPr>
      </w:pPr>
      <w:r>
        <w:rPr>
          <w:rFonts w:ascii="Arial" w:eastAsia="Times New Roman" w:hAnsi="Arial" w:cs="Arial"/>
          <w:color w:val="000000"/>
          <w:sz w:val="20"/>
          <w:szCs w:val="20"/>
        </w:rPr>
        <w:t>•</w:t>
      </w:r>
      <w:r>
        <w:rPr>
          <w:rFonts w:ascii="Arial" w:eastAsia="Times New Roman" w:hAnsi="Arial" w:cs="Arial"/>
          <w:color w:val="000000"/>
          <w:sz w:val="20"/>
          <w:szCs w:val="20"/>
        </w:rPr>
        <w:t>Annual safety and reliability targets that drive continuous improvement towards our goal of zero incidents, injuries, and implementation of robust cyber defense programs.</w:t>
      </w:r>
    </w:p>
    <w:p w:rsidR="00000000" w:rsidRDefault="001F1FC8">
      <w:pPr>
        <w:ind w:hanging="180"/>
        <w:divId w:val="996498951"/>
        <w:rPr>
          <w:rFonts w:eastAsia="Times New Roman"/>
        </w:rPr>
      </w:pPr>
    </w:p>
    <w:p w:rsidR="00000000" w:rsidRDefault="001F1FC8">
      <w:pPr>
        <w:divId w:val="1463961321"/>
        <w:rPr>
          <w:rFonts w:eastAsia="Times New Roman"/>
        </w:rPr>
      </w:pPr>
      <w:r>
        <w:rPr>
          <w:rFonts w:ascii="Arial" w:eastAsia="Times New Roman" w:hAnsi="Arial" w:cs="Arial"/>
          <w:color w:val="000000"/>
          <w:sz w:val="20"/>
          <w:szCs w:val="20"/>
        </w:rPr>
        <w:t>Beginning in 2021, we began linking ESG performance to incentive compensation and a</w:t>
      </w:r>
      <w:r>
        <w:rPr>
          <w:rFonts w:ascii="Arial" w:eastAsia="Times New Roman" w:hAnsi="Arial" w:cs="Arial"/>
          <w:color w:val="000000"/>
          <w:sz w:val="20"/>
          <w:szCs w:val="20"/>
        </w:rPr>
        <w:t xml:space="preserve">re making meaningful progress toward these targets by executing on specific action plans. In addition, we issued our first sustainability-linked loan and sustainability-linked bond that ties our financing to our ESG goals. </w:t>
      </w:r>
    </w:p>
    <w:p w:rsidR="00000000" w:rsidRDefault="001F1FC8">
      <w:pPr>
        <w:divId w:val="103159432"/>
        <w:rPr>
          <w:rFonts w:eastAsia="Times New Roman"/>
        </w:rPr>
      </w:pPr>
    </w:p>
    <w:p w:rsidR="00000000" w:rsidRDefault="001F1FC8">
      <w:pPr>
        <w:ind w:hanging="180"/>
        <w:divId w:val="1742868516"/>
        <w:rPr>
          <w:rFonts w:eastAsia="Times New Roman"/>
        </w:rPr>
      </w:pPr>
      <w:r>
        <w:rPr>
          <w:rFonts w:ascii="Arial" w:eastAsia="Times New Roman" w:hAnsi="Arial" w:cs="Arial"/>
          <w:i/>
          <w:iCs/>
          <w:color w:val="000000"/>
          <w:sz w:val="16"/>
          <w:szCs w:val="16"/>
        </w:rPr>
        <w:t xml:space="preserve">1 All percentages or specific </w:t>
      </w:r>
      <w:r>
        <w:rPr>
          <w:rFonts w:ascii="Arial" w:eastAsia="Times New Roman" w:hAnsi="Arial" w:cs="Arial"/>
          <w:i/>
          <w:iCs/>
          <w:color w:val="000000"/>
          <w:sz w:val="16"/>
          <w:szCs w:val="16"/>
        </w:rPr>
        <w:t>goals regarding inclusion, diversity, equity and accessibility are aspirational goals which we intend to achieve in a manner compliant with state, local, provincial and federal law, including, but not limited to, US federal regulations, Equal Employment Op</w:t>
      </w:r>
      <w:r>
        <w:rPr>
          <w:rFonts w:ascii="Arial" w:eastAsia="Times New Roman" w:hAnsi="Arial" w:cs="Arial"/>
          <w:i/>
          <w:iCs/>
          <w:color w:val="000000"/>
          <w:sz w:val="16"/>
          <w:szCs w:val="16"/>
        </w:rPr>
        <w:t>portunity Commission, Department of Labor and Office of Federal Contract Compliance Programs.</w:t>
      </w:r>
    </w:p>
    <w:p w:rsidR="00000000" w:rsidRDefault="001F1FC8">
      <w:pPr>
        <w:jc w:val="center"/>
        <w:divId w:val="856232667"/>
        <w:rPr>
          <w:rFonts w:eastAsia="Times New Roman"/>
        </w:rPr>
      </w:pPr>
      <w:r>
        <w:rPr>
          <w:rFonts w:ascii="Arial" w:eastAsia="Times New Roman" w:hAnsi="Arial" w:cs="Arial"/>
          <w:color w:val="000000"/>
          <w:sz w:val="20"/>
          <w:szCs w:val="20"/>
        </w:rPr>
        <w:t>12</w:t>
      </w:r>
    </w:p>
    <w:p w:rsidR="00000000" w:rsidRDefault="001F1FC8">
      <w:pPr>
        <w:rPr>
          <w:rFonts w:eastAsia="Times New Roman"/>
        </w:rPr>
      </w:pPr>
      <w:r>
        <w:rPr>
          <w:rFonts w:eastAsia="Times New Roman"/>
        </w:rPr>
        <w:pict>
          <v:rect id="_x0000_i1036" style="width:0;height:1.5pt" o:hralign="center" o:hrstd="t" o:hr="t" fillcolor="#a0a0a0" stroked="f"/>
        </w:pict>
      </w:r>
    </w:p>
    <w:p w:rsidR="00000000" w:rsidRDefault="001F1FC8">
      <w:pPr>
        <w:jc w:val="center"/>
        <w:divId w:val="2118793629"/>
        <w:rPr>
          <w:rFonts w:eastAsia="Times New Roman"/>
        </w:rPr>
      </w:pPr>
    </w:p>
    <w:p w:rsidR="00000000" w:rsidRDefault="001F1FC8">
      <w:pPr>
        <w:divId w:val="1558055119"/>
        <w:rPr>
          <w:rFonts w:eastAsia="Times New Roman"/>
        </w:rPr>
      </w:pPr>
      <w:r>
        <w:rPr>
          <w:rFonts w:ascii="Arial" w:eastAsia="Times New Roman" w:hAnsi="Arial" w:cs="Arial"/>
          <w:color w:val="000000"/>
          <w:sz w:val="20"/>
          <w:szCs w:val="20"/>
        </w:rPr>
        <w:t>Enbridge aims to continuously strengthen its approach to emissions reporting and reduction and is expanding its approach to include the following additional actions:</w:t>
      </w:r>
    </w:p>
    <w:p w:rsidR="00000000" w:rsidRDefault="001F1FC8">
      <w:pPr>
        <w:divId w:val="1893543711"/>
        <w:rPr>
          <w:rFonts w:eastAsia="Times New Roman"/>
        </w:rPr>
      </w:pPr>
    </w:p>
    <w:p w:rsidR="00000000" w:rsidRDefault="001F1FC8">
      <w:pPr>
        <w:ind w:hanging="360"/>
        <w:divId w:val="1241410020"/>
        <w:rPr>
          <w:rFonts w:eastAsia="Times New Roman"/>
        </w:rPr>
      </w:pPr>
      <w:r>
        <w:rPr>
          <w:rFonts w:ascii="Arial" w:eastAsia="Times New Roman" w:hAnsi="Arial" w:cs="Arial"/>
          <w:color w:val="000000"/>
          <w:sz w:val="20"/>
          <w:szCs w:val="20"/>
        </w:rPr>
        <w:t>•Ensure that investment decision making aligns wit</w:t>
      </w:r>
      <w:r>
        <w:rPr>
          <w:rFonts w:ascii="Arial" w:eastAsia="Times New Roman" w:hAnsi="Arial" w:cs="Arial"/>
          <w:color w:val="000000"/>
          <w:sz w:val="20"/>
          <w:szCs w:val="20"/>
        </w:rPr>
        <w:t>h Enbridge’s interim and long-term emissions reduction goals.</w:t>
      </w:r>
    </w:p>
    <w:p w:rsidR="00000000" w:rsidRDefault="001F1FC8">
      <w:pPr>
        <w:divId w:val="126821744"/>
        <w:rPr>
          <w:rFonts w:eastAsia="Times New Roman"/>
        </w:rPr>
      </w:pPr>
    </w:p>
    <w:p w:rsidR="00000000" w:rsidRDefault="001F1FC8">
      <w:pPr>
        <w:ind w:hanging="360"/>
        <w:divId w:val="1306275988"/>
        <w:rPr>
          <w:rFonts w:eastAsia="Times New Roman"/>
        </w:rPr>
      </w:pPr>
      <w:r>
        <w:rPr>
          <w:rFonts w:ascii="Arial" w:eastAsia="Times New Roman" w:hAnsi="Arial" w:cs="Arial"/>
          <w:color w:val="000000"/>
          <w:sz w:val="20"/>
          <w:szCs w:val="20"/>
        </w:rPr>
        <w:t>•Continue to proactively work with the organizations developing science-based guidelines for emissions targets in the midstream sector.</w:t>
      </w:r>
    </w:p>
    <w:p w:rsidR="00000000" w:rsidRDefault="001F1FC8">
      <w:pPr>
        <w:divId w:val="595213500"/>
        <w:rPr>
          <w:rFonts w:eastAsia="Times New Roman"/>
        </w:rPr>
      </w:pPr>
    </w:p>
    <w:p w:rsidR="00000000" w:rsidRDefault="001F1FC8">
      <w:pPr>
        <w:ind w:hanging="360"/>
        <w:divId w:val="279070260"/>
        <w:rPr>
          <w:rFonts w:eastAsia="Times New Roman"/>
        </w:rPr>
      </w:pPr>
      <w:r>
        <w:rPr>
          <w:rFonts w:ascii="Arial" w:eastAsia="Times New Roman" w:hAnsi="Arial" w:cs="Arial"/>
          <w:color w:val="000000"/>
          <w:sz w:val="20"/>
          <w:szCs w:val="20"/>
        </w:rPr>
        <w:t>•Work with key suppliers to support the further reduct</w:t>
      </w:r>
      <w:r>
        <w:rPr>
          <w:rFonts w:ascii="Arial" w:eastAsia="Times New Roman" w:hAnsi="Arial" w:cs="Arial"/>
          <w:color w:val="000000"/>
          <w:sz w:val="20"/>
          <w:szCs w:val="20"/>
        </w:rPr>
        <w:t>ion of Scope 3 emissions.</w:t>
      </w:r>
    </w:p>
    <w:p w:rsidR="00000000" w:rsidRDefault="001F1FC8">
      <w:pPr>
        <w:divId w:val="1257863520"/>
        <w:rPr>
          <w:rFonts w:eastAsia="Times New Roman"/>
        </w:rPr>
      </w:pPr>
    </w:p>
    <w:p w:rsidR="00000000" w:rsidRDefault="001F1FC8">
      <w:pPr>
        <w:ind w:hanging="360"/>
        <w:divId w:val="279067262"/>
        <w:rPr>
          <w:rFonts w:eastAsia="Times New Roman"/>
        </w:rPr>
      </w:pPr>
      <w:r>
        <w:rPr>
          <w:rFonts w:ascii="Arial" w:eastAsia="Times New Roman" w:hAnsi="Arial" w:cs="Arial"/>
          <w:color w:val="000000"/>
          <w:sz w:val="20"/>
          <w:szCs w:val="20"/>
        </w:rPr>
        <w:t>•Further develop low carbon energy partnerships to drive innovation across our business, with a focus on renewable power, renewable natural gas, hydrogen and carbon capture.</w:t>
      </w:r>
    </w:p>
    <w:p w:rsidR="00000000" w:rsidRDefault="001F1FC8">
      <w:pPr>
        <w:divId w:val="269510560"/>
        <w:rPr>
          <w:rFonts w:eastAsia="Times New Roman"/>
        </w:rPr>
      </w:pPr>
    </w:p>
    <w:p w:rsidR="00000000" w:rsidRDefault="001F1FC8">
      <w:pPr>
        <w:divId w:val="371881842"/>
        <w:rPr>
          <w:rFonts w:eastAsia="Times New Roman"/>
        </w:rPr>
      </w:pPr>
      <w:r>
        <w:rPr>
          <w:rFonts w:ascii="Arial" w:eastAsia="Times New Roman" w:hAnsi="Arial" w:cs="Arial"/>
          <w:color w:val="000000"/>
          <w:sz w:val="20"/>
          <w:szCs w:val="20"/>
        </w:rPr>
        <w:t>Achieving our goals will put us in a better position</w:t>
      </w:r>
      <w:r>
        <w:rPr>
          <w:rFonts w:ascii="Arial" w:eastAsia="Times New Roman" w:hAnsi="Arial" w:cs="Arial"/>
          <w:color w:val="000000"/>
          <w:sz w:val="20"/>
          <w:szCs w:val="20"/>
        </w:rPr>
        <w:t xml:space="preserve"> to successfully transition to a low-carbon, more diverse, and inclusive future.</w:t>
      </w:r>
    </w:p>
    <w:p w:rsidR="00000000" w:rsidRDefault="001F1FC8">
      <w:pPr>
        <w:divId w:val="1802453330"/>
        <w:rPr>
          <w:rFonts w:eastAsia="Times New Roman"/>
        </w:rPr>
      </w:pPr>
    </w:p>
    <w:p w:rsidR="00000000" w:rsidRDefault="001F1FC8">
      <w:pPr>
        <w:divId w:val="278075468"/>
        <w:rPr>
          <w:rFonts w:eastAsia="Times New Roman"/>
        </w:rPr>
      </w:pPr>
      <w:r>
        <w:rPr>
          <w:rFonts w:ascii="Arial" w:eastAsia="Times New Roman" w:hAnsi="Arial" w:cs="Arial"/>
          <w:b/>
          <w:bCs/>
          <w:color w:val="000000"/>
          <w:sz w:val="20"/>
          <w:szCs w:val="20"/>
        </w:rPr>
        <w:t>People</w:t>
      </w:r>
    </w:p>
    <w:p w:rsidR="00000000" w:rsidRDefault="001F1FC8">
      <w:pPr>
        <w:divId w:val="566917529"/>
        <w:rPr>
          <w:rFonts w:eastAsia="Times New Roman"/>
        </w:rPr>
      </w:pPr>
      <w:r>
        <w:rPr>
          <w:rFonts w:ascii="Arial" w:eastAsia="Times New Roman" w:hAnsi="Arial" w:cs="Arial"/>
          <w:color w:val="000000"/>
          <w:sz w:val="20"/>
          <w:szCs w:val="20"/>
        </w:rPr>
        <w:t>Our employees are essential to our long-term success and enhancing the capability of our people to maximize their potential is a key area of focus. We value diversity</w:t>
      </w:r>
      <w:r>
        <w:rPr>
          <w:rFonts w:ascii="Arial" w:eastAsia="Times New Roman" w:hAnsi="Arial" w:cs="Arial"/>
          <w:color w:val="000000"/>
          <w:sz w:val="20"/>
          <w:szCs w:val="20"/>
        </w:rPr>
        <w:t>, and diverse thought, and have embedded inclusive practices in our programs and approach to people management. Furthermore, we strive to maintain industry competitive compensation, flexibility, and retention programs that provide both short-term and long-</w:t>
      </w:r>
      <w:r>
        <w:rPr>
          <w:rFonts w:ascii="Arial" w:eastAsia="Times New Roman" w:hAnsi="Arial" w:cs="Arial"/>
          <w:color w:val="000000"/>
          <w:sz w:val="20"/>
          <w:szCs w:val="20"/>
        </w:rPr>
        <w:t>term performance incentives.</w:t>
      </w:r>
    </w:p>
    <w:p w:rsidR="00000000" w:rsidRDefault="001F1FC8">
      <w:pPr>
        <w:divId w:val="17391870"/>
        <w:rPr>
          <w:rFonts w:eastAsia="Times New Roman"/>
        </w:rPr>
      </w:pPr>
    </w:p>
    <w:p w:rsidR="00000000" w:rsidRDefault="001F1FC8">
      <w:pPr>
        <w:divId w:val="232549087"/>
        <w:rPr>
          <w:rFonts w:eastAsia="Times New Roman"/>
        </w:rPr>
      </w:pPr>
      <w:r>
        <w:rPr>
          <w:rFonts w:ascii="Arial" w:eastAsia="Times New Roman" w:hAnsi="Arial" w:cs="Arial"/>
          <w:b/>
          <w:bCs/>
          <w:color w:val="000000"/>
          <w:sz w:val="20"/>
          <w:szCs w:val="20"/>
        </w:rPr>
        <w:t>Technology</w:t>
      </w:r>
    </w:p>
    <w:p w:rsidR="00000000" w:rsidRDefault="001F1FC8">
      <w:pPr>
        <w:divId w:val="599601893"/>
        <w:rPr>
          <w:rFonts w:eastAsia="Times New Roman"/>
        </w:rPr>
      </w:pPr>
      <w:r>
        <w:rPr>
          <w:rFonts w:ascii="Arial" w:eastAsia="Times New Roman" w:hAnsi="Arial" w:cs="Arial"/>
          <w:color w:val="000000"/>
          <w:sz w:val="20"/>
          <w:szCs w:val="20"/>
        </w:rPr>
        <w:t>Given the competitive climate of today’s energy sector, we recognize the vital role technology can play in helping to achieve our strategic objectives. We’re committed to pursuing innovation and technology solution</w:t>
      </w:r>
      <w:r>
        <w:rPr>
          <w:rFonts w:ascii="Arial" w:eastAsia="Times New Roman" w:hAnsi="Arial" w:cs="Arial"/>
          <w:color w:val="000000"/>
          <w:sz w:val="20"/>
          <w:szCs w:val="20"/>
        </w:rPr>
        <w:t>s that further improve our safety performance, maximize revenues, improve efficiencies, and enable transition to new, cleaner energy solutions. Our two Technology and Innovation labs, located in Calgary and Houston, embody our commitment to technology enab</w:t>
      </w:r>
      <w:r>
        <w:rPr>
          <w:rFonts w:ascii="Arial" w:eastAsia="Times New Roman" w:hAnsi="Arial" w:cs="Arial"/>
          <w:color w:val="000000"/>
          <w:sz w:val="20"/>
          <w:szCs w:val="20"/>
        </w:rPr>
        <w:t>led business solutions. Leveraging the benefits of technology to contribute to safety, reliability and the profitability of assets has become entrenched in our everyday operations.</w:t>
      </w:r>
    </w:p>
    <w:p w:rsidR="00000000" w:rsidRDefault="001F1FC8">
      <w:pPr>
        <w:divId w:val="404185063"/>
        <w:rPr>
          <w:rFonts w:eastAsia="Times New Roman"/>
        </w:rPr>
      </w:pPr>
    </w:p>
    <w:p w:rsidR="00000000" w:rsidRDefault="001F1FC8">
      <w:pPr>
        <w:divId w:val="941693231"/>
        <w:rPr>
          <w:rFonts w:eastAsia="Times New Roman"/>
        </w:rPr>
      </w:pPr>
      <w:r>
        <w:rPr>
          <w:rFonts w:ascii="Arial" w:eastAsia="Times New Roman" w:hAnsi="Arial" w:cs="Arial"/>
          <w:color w:val="000000"/>
          <w:sz w:val="20"/>
          <w:szCs w:val="20"/>
        </w:rPr>
        <w:t>We provide annual progress updates related to the above initiatives, alon</w:t>
      </w:r>
      <w:r>
        <w:rPr>
          <w:rFonts w:ascii="Arial" w:eastAsia="Times New Roman" w:hAnsi="Arial" w:cs="Arial"/>
          <w:color w:val="000000"/>
          <w:sz w:val="20"/>
          <w:szCs w:val="20"/>
        </w:rPr>
        <w:t xml:space="preserve">g with our assumptions and other relevant information, in our annual Sustainability Report which can be found at </w:t>
      </w:r>
      <w:r>
        <w:rPr>
          <w:rFonts w:ascii="Arial" w:eastAsia="Times New Roman" w:hAnsi="Arial" w:cs="Arial"/>
          <w:color w:val="000000"/>
          <w:sz w:val="20"/>
          <w:szCs w:val="20"/>
          <w:u w:val="single"/>
        </w:rPr>
        <w:t>https://www.enbridge.com/sustainability-reports</w:t>
      </w:r>
      <w:r>
        <w:rPr>
          <w:rFonts w:ascii="Arial" w:eastAsia="Times New Roman" w:hAnsi="Arial" w:cs="Arial"/>
          <w:color w:val="000000"/>
          <w:sz w:val="20"/>
          <w:szCs w:val="20"/>
        </w:rPr>
        <w:t xml:space="preserve">. </w:t>
      </w:r>
      <w:r>
        <w:rPr>
          <w:rFonts w:ascii="Arial" w:eastAsia="Times New Roman" w:hAnsi="Arial" w:cs="Arial"/>
          <w:b/>
          <w:bCs/>
          <w:i/>
          <w:iCs/>
          <w:color w:val="000000"/>
          <w:sz w:val="20"/>
          <w:szCs w:val="20"/>
        </w:rPr>
        <w:t>Unless otherwise specifically stated, none of the information contained on, or connected to, t</w:t>
      </w:r>
      <w:r>
        <w:rPr>
          <w:rFonts w:ascii="Arial" w:eastAsia="Times New Roman" w:hAnsi="Arial" w:cs="Arial"/>
          <w:b/>
          <w:bCs/>
          <w:i/>
          <w:iCs/>
          <w:color w:val="000000"/>
          <w:sz w:val="20"/>
          <w:szCs w:val="20"/>
        </w:rPr>
        <w:t>he Enbridge website, including our annual Sustainability Report, is incorporated by reference in, or otherwise part of, this Annual Report on Form 10-K</w:t>
      </w:r>
      <w:r>
        <w:rPr>
          <w:rFonts w:ascii="Arial" w:eastAsia="Times New Roman" w:hAnsi="Arial" w:cs="Arial"/>
          <w:color w:val="000000"/>
          <w:sz w:val="20"/>
          <w:szCs w:val="20"/>
        </w:rPr>
        <w:t>.</w:t>
      </w:r>
    </w:p>
    <w:p w:rsidR="00000000" w:rsidRDefault="001F1FC8">
      <w:pPr>
        <w:divId w:val="699282263"/>
        <w:rPr>
          <w:rFonts w:eastAsia="Times New Roman"/>
        </w:rPr>
      </w:pPr>
    </w:p>
    <w:p w:rsidR="00000000" w:rsidRDefault="001F1FC8">
      <w:pPr>
        <w:divId w:val="629283602"/>
        <w:rPr>
          <w:rFonts w:eastAsia="Times New Roman"/>
        </w:rPr>
      </w:pPr>
      <w:r>
        <w:rPr>
          <w:rFonts w:ascii="Arial" w:eastAsia="Times New Roman" w:hAnsi="Arial" w:cs="Arial"/>
          <w:b/>
          <w:bCs/>
          <w:color w:val="000000"/>
          <w:sz w:val="28"/>
          <w:szCs w:val="28"/>
        </w:rPr>
        <w:t>BUSINESS SEGMENTS</w:t>
      </w:r>
    </w:p>
    <w:p w:rsidR="00000000" w:rsidRDefault="001F1FC8">
      <w:pPr>
        <w:divId w:val="199057045"/>
        <w:rPr>
          <w:rFonts w:eastAsia="Times New Roman"/>
        </w:rPr>
      </w:pPr>
    </w:p>
    <w:p w:rsidR="00000000" w:rsidRDefault="001F1FC8">
      <w:pPr>
        <w:divId w:val="663626585"/>
        <w:rPr>
          <w:rFonts w:eastAsia="Times New Roman"/>
        </w:rPr>
      </w:pPr>
      <w:r>
        <w:rPr>
          <w:rFonts w:ascii="Arial" w:eastAsia="Times New Roman" w:hAnsi="Arial" w:cs="Arial"/>
          <w:color w:val="000000"/>
          <w:sz w:val="20"/>
          <w:szCs w:val="20"/>
        </w:rPr>
        <w:t>Our activities are carried out through five business segments: Liquids Pipelines; Gas Transmission and Midstream; Gas Distribution and Storage; Renewable Power Generation; and Energy Services, as discussed below.</w:t>
      </w:r>
    </w:p>
    <w:p w:rsidR="00000000" w:rsidRDefault="001F1FC8">
      <w:pPr>
        <w:divId w:val="792750741"/>
        <w:rPr>
          <w:rFonts w:eastAsia="Times New Roman"/>
        </w:rPr>
      </w:pPr>
    </w:p>
    <w:p w:rsidR="00000000" w:rsidRDefault="001F1FC8">
      <w:pPr>
        <w:jc w:val="center"/>
        <w:divId w:val="1905751743"/>
        <w:rPr>
          <w:rFonts w:eastAsia="Times New Roman"/>
        </w:rPr>
      </w:pPr>
      <w:r>
        <w:rPr>
          <w:rFonts w:ascii="Arial" w:eastAsia="Times New Roman" w:hAnsi="Arial" w:cs="Arial"/>
          <w:color w:val="000000"/>
          <w:sz w:val="20"/>
          <w:szCs w:val="20"/>
        </w:rPr>
        <w:t>13</w:t>
      </w:r>
    </w:p>
    <w:p w:rsidR="00000000" w:rsidRDefault="001F1FC8">
      <w:pPr>
        <w:rPr>
          <w:rFonts w:eastAsia="Times New Roman"/>
        </w:rPr>
      </w:pPr>
      <w:r>
        <w:rPr>
          <w:rFonts w:eastAsia="Times New Roman"/>
        </w:rPr>
        <w:pict>
          <v:rect id="_x0000_i1037" style="width:0;height:1.5pt" o:hralign="center" o:hrstd="t" o:hr="t" fillcolor="#a0a0a0" stroked="f"/>
        </w:pict>
      </w:r>
    </w:p>
    <w:p w:rsidR="00000000" w:rsidRDefault="001F1FC8">
      <w:pPr>
        <w:jc w:val="center"/>
        <w:divId w:val="376853174"/>
        <w:rPr>
          <w:rFonts w:eastAsia="Times New Roman"/>
        </w:rPr>
      </w:pPr>
    </w:p>
    <w:p w:rsidR="00000000" w:rsidRDefault="001F1FC8">
      <w:pPr>
        <w:divId w:val="751314767"/>
        <w:rPr>
          <w:rFonts w:eastAsia="Times New Roman"/>
        </w:rPr>
      </w:pPr>
      <w:r>
        <w:rPr>
          <w:rFonts w:ascii="Arial" w:eastAsia="Times New Roman" w:hAnsi="Arial" w:cs="Arial"/>
          <w:b/>
          <w:bCs/>
          <w:color w:val="000000"/>
          <w:sz w:val="28"/>
          <w:szCs w:val="28"/>
        </w:rPr>
        <w:t>LIQUIDS PIPELINES</w:t>
      </w:r>
    </w:p>
    <w:p w:rsidR="00000000" w:rsidRDefault="001F1FC8">
      <w:pPr>
        <w:divId w:val="57628119"/>
        <w:rPr>
          <w:rFonts w:eastAsia="Times New Roman"/>
        </w:rPr>
      </w:pPr>
    </w:p>
    <w:p w:rsidR="00000000" w:rsidRDefault="001F1FC8">
      <w:pPr>
        <w:divId w:val="937830480"/>
        <w:rPr>
          <w:rFonts w:eastAsia="Times New Roman"/>
        </w:rPr>
      </w:pPr>
      <w:r>
        <w:rPr>
          <w:rFonts w:ascii="Arial" w:eastAsia="Times New Roman" w:hAnsi="Arial" w:cs="Arial"/>
          <w:color w:val="000000"/>
          <w:sz w:val="20"/>
          <w:szCs w:val="20"/>
        </w:rPr>
        <w:t>Liquids Pipelines consists of pipelines and terminals in Canada and the US that transport and export various grades of crude oil and other liquid hydrocarbons.</w:t>
      </w:r>
    </w:p>
    <w:p w:rsidR="00000000" w:rsidRDefault="001F1FC8">
      <w:pPr>
        <w:divId w:val="559831891"/>
        <w:rPr>
          <w:rFonts w:eastAsia="Times New Roman"/>
        </w:rPr>
      </w:pPr>
    </w:p>
    <w:p w:rsidR="00000000" w:rsidRDefault="001F1FC8">
      <w:pPr>
        <w:divId w:val="705451909"/>
        <w:rPr>
          <w:rFonts w:eastAsia="Times New Roman"/>
        </w:rPr>
      </w:pPr>
      <w:r>
        <w:rPr>
          <w:rFonts w:eastAsia="Times New Roman"/>
          <w:noProof/>
        </w:rPr>
        <w:drawing>
          <wp:inline distT="0" distB="0" distL="0" distR="0">
            <wp:extent cx="304800" cy="30480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link="rId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000000" w:rsidRDefault="001F1FC8">
      <w:pPr>
        <w:divId w:val="948853132"/>
        <w:rPr>
          <w:rFonts w:eastAsia="Times New Roman"/>
        </w:rPr>
      </w:pPr>
    </w:p>
    <w:p w:rsidR="00000000" w:rsidRDefault="001F1FC8">
      <w:pPr>
        <w:jc w:val="center"/>
        <w:divId w:val="66652565"/>
        <w:rPr>
          <w:rFonts w:eastAsia="Times New Roman"/>
        </w:rPr>
      </w:pPr>
      <w:r>
        <w:rPr>
          <w:rFonts w:ascii="Arial" w:eastAsia="Times New Roman" w:hAnsi="Arial" w:cs="Arial"/>
          <w:color w:val="000000"/>
          <w:sz w:val="20"/>
          <w:szCs w:val="20"/>
        </w:rPr>
        <w:t>14</w:t>
      </w:r>
    </w:p>
    <w:p w:rsidR="00000000" w:rsidRDefault="001F1FC8">
      <w:pPr>
        <w:rPr>
          <w:rFonts w:eastAsia="Times New Roman"/>
        </w:rPr>
      </w:pPr>
      <w:r>
        <w:rPr>
          <w:rFonts w:eastAsia="Times New Roman"/>
        </w:rPr>
        <w:pict>
          <v:rect id="_x0000_i1039" style="width:0;height:1.5pt" o:hralign="center" o:hrstd="t" o:hr="t" fillcolor="#a0a0a0" stroked="f"/>
        </w:pict>
      </w:r>
    </w:p>
    <w:p w:rsidR="00000000" w:rsidRDefault="001F1FC8">
      <w:pPr>
        <w:jc w:val="center"/>
        <w:divId w:val="1771505691"/>
        <w:rPr>
          <w:rFonts w:eastAsia="Times New Roman"/>
        </w:rPr>
      </w:pPr>
    </w:p>
    <w:p w:rsidR="00000000" w:rsidRDefault="001F1FC8">
      <w:pPr>
        <w:divId w:val="2073431080"/>
        <w:rPr>
          <w:rFonts w:eastAsia="Times New Roman"/>
        </w:rPr>
      </w:pPr>
      <w:r>
        <w:rPr>
          <w:rFonts w:ascii="Arial" w:eastAsia="Times New Roman" w:hAnsi="Arial" w:cs="Arial"/>
          <w:b/>
          <w:bCs/>
          <w:color w:val="000000"/>
          <w:sz w:val="20"/>
          <w:szCs w:val="20"/>
        </w:rPr>
        <w:t>MAINLINE SYSTEM</w:t>
      </w:r>
    </w:p>
    <w:p w:rsidR="00000000" w:rsidRDefault="001F1FC8">
      <w:pPr>
        <w:divId w:val="1861166239"/>
        <w:rPr>
          <w:rFonts w:eastAsia="Times New Roman"/>
        </w:rPr>
      </w:pPr>
      <w:r>
        <w:rPr>
          <w:rFonts w:ascii="Arial" w:eastAsia="Times New Roman" w:hAnsi="Arial" w:cs="Arial"/>
          <w:color w:val="000000"/>
          <w:sz w:val="20"/>
          <w:szCs w:val="20"/>
        </w:rPr>
        <w:t>The Mainline System is comprised of the Canadian Mainline and the Lakehead System. The Canadian Mainline is a common carrier pipeline system which transports various grades of crude oil and other liquid hydrocarbons within western Canada an</w:t>
      </w:r>
      <w:r>
        <w:rPr>
          <w:rFonts w:ascii="Arial" w:eastAsia="Times New Roman" w:hAnsi="Arial" w:cs="Arial"/>
          <w:color w:val="000000"/>
          <w:sz w:val="20"/>
          <w:szCs w:val="20"/>
        </w:rPr>
        <w:t>d from western Canada to the Canada/US border near Gretna, Manitoba and Neche, North Dakota and from the US/Canada border near Port Huron, Michigan and Sarnia, Ontario to eastern Canada and the northeastern US. The Canadian Mainline includes six adjacent p</w:t>
      </w:r>
      <w:r>
        <w:rPr>
          <w:rFonts w:ascii="Arial" w:eastAsia="Times New Roman" w:hAnsi="Arial" w:cs="Arial"/>
          <w:color w:val="000000"/>
          <w:sz w:val="20"/>
          <w:szCs w:val="20"/>
        </w:rPr>
        <w:t>ipelines with a combined operating capacity of approximately 3.1 million barrels per day (mmbpd) that connect with the Lakehead System at the Canada/US border, as well as five pipelines that deliver crude oil and refined products into eastern Canada and th</w:t>
      </w:r>
      <w:r>
        <w:rPr>
          <w:rFonts w:ascii="Arial" w:eastAsia="Times New Roman" w:hAnsi="Arial" w:cs="Arial"/>
          <w:color w:val="000000"/>
          <w:sz w:val="20"/>
          <w:szCs w:val="20"/>
        </w:rPr>
        <w:t>e northeastern US. We have operated, and frequently expanded, the Canadian Mainline since 1949. The Lakehead System is the portion of the Mainline System in the US. It is an interstate common carrier pipeline system regulated by the Federal Energy Regulato</w:t>
      </w:r>
      <w:r>
        <w:rPr>
          <w:rFonts w:ascii="Arial" w:eastAsia="Times New Roman" w:hAnsi="Arial" w:cs="Arial"/>
          <w:color w:val="000000"/>
          <w:sz w:val="20"/>
          <w:szCs w:val="20"/>
        </w:rPr>
        <w:t>ry Commission (FERC) and is the primary transporter of crude oil and liquid petroleum from western Canada to the US.</w:t>
      </w:r>
    </w:p>
    <w:p w:rsidR="00000000" w:rsidRDefault="001F1FC8">
      <w:pPr>
        <w:divId w:val="210580436"/>
        <w:rPr>
          <w:rFonts w:eastAsia="Times New Roman"/>
        </w:rPr>
      </w:pPr>
    </w:p>
    <w:p w:rsidR="00000000" w:rsidRDefault="001F1FC8">
      <w:pPr>
        <w:divId w:val="1707757501"/>
        <w:rPr>
          <w:rFonts w:eastAsia="Times New Roman"/>
        </w:rPr>
      </w:pPr>
      <w:r>
        <w:rPr>
          <w:rFonts w:ascii="Arial" w:eastAsia="Times New Roman" w:hAnsi="Arial" w:cs="Arial"/>
          <w:b/>
          <w:bCs/>
          <w:color w:val="000000"/>
          <w:sz w:val="20"/>
          <w:szCs w:val="20"/>
        </w:rPr>
        <w:t>Tolling Framework</w:t>
      </w:r>
    </w:p>
    <w:p w:rsidR="00000000" w:rsidRDefault="001F1FC8">
      <w:pPr>
        <w:divId w:val="844904310"/>
        <w:rPr>
          <w:rFonts w:eastAsia="Times New Roman"/>
        </w:rPr>
      </w:pPr>
      <w:r>
        <w:rPr>
          <w:rFonts w:ascii="Arial" w:eastAsia="Times New Roman" w:hAnsi="Arial" w:cs="Arial"/>
          <w:color w:val="000000"/>
          <w:sz w:val="20"/>
          <w:szCs w:val="20"/>
        </w:rPr>
        <w:t>The Competitive Toll Settlement (CTS) which governed tolls paid for products shipped on the Canadian Mainline, with the</w:t>
      </w:r>
      <w:r>
        <w:rPr>
          <w:rFonts w:ascii="Arial" w:eastAsia="Times New Roman" w:hAnsi="Arial" w:cs="Arial"/>
          <w:color w:val="000000"/>
          <w:sz w:val="20"/>
          <w:szCs w:val="20"/>
        </w:rPr>
        <w:t xml:space="preserve"> exception of Lines 8 and 9 which are tolled on a separate basis, expired on June 30, 2021. The CTS was a 10-year negotiated agreement and provided for a Canadian Local Toll (CLT) for deliveries within western Canada, as well as an International Joint Tari</w:t>
      </w:r>
      <w:r>
        <w:rPr>
          <w:rFonts w:ascii="Arial" w:eastAsia="Times New Roman" w:hAnsi="Arial" w:cs="Arial"/>
          <w:color w:val="000000"/>
          <w:sz w:val="20"/>
          <w:szCs w:val="20"/>
        </w:rPr>
        <w:t xml:space="preserve">ff (IJT) for crude oil shipments originating in western Canada, on the Canadian Mainline, and delivered into the US, via the Lakehead System, and into eastern Canada. The IJT tolls were denominated in US dollars. </w:t>
      </w:r>
    </w:p>
    <w:p w:rsidR="00000000" w:rsidRDefault="001F1FC8">
      <w:pPr>
        <w:divId w:val="977298653"/>
        <w:rPr>
          <w:rFonts w:eastAsia="Times New Roman"/>
        </w:rPr>
      </w:pPr>
    </w:p>
    <w:p w:rsidR="00000000" w:rsidRDefault="001F1FC8">
      <w:pPr>
        <w:divId w:val="604077695"/>
        <w:rPr>
          <w:rFonts w:eastAsia="Times New Roman"/>
        </w:rPr>
      </w:pPr>
      <w:r>
        <w:rPr>
          <w:rFonts w:ascii="Arial" w:eastAsia="Times New Roman" w:hAnsi="Arial" w:cs="Arial"/>
          <w:color w:val="000000"/>
          <w:sz w:val="20"/>
          <w:szCs w:val="20"/>
        </w:rPr>
        <w:t>On December 19, 2019, we submitted an ap</w:t>
      </w:r>
      <w:r>
        <w:rPr>
          <w:rFonts w:ascii="Arial" w:eastAsia="Times New Roman" w:hAnsi="Arial" w:cs="Arial"/>
          <w:color w:val="000000"/>
          <w:sz w:val="20"/>
          <w:szCs w:val="20"/>
        </w:rPr>
        <w:t>plication to the Canada Energy Regulator (CER) to implement contracting on our Canadian Mainline System. On November 26, 2021, the CER denied the application on the basis that, among other things, contracting as proposed would result in a significant chang</w:t>
      </w:r>
      <w:r>
        <w:rPr>
          <w:rFonts w:ascii="Arial" w:eastAsia="Times New Roman" w:hAnsi="Arial" w:cs="Arial"/>
          <w:color w:val="000000"/>
          <w:sz w:val="20"/>
          <w:szCs w:val="20"/>
        </w:rPr>
        <w:t>e to access the Canadian Mainline and potentially inequitable outcomes to some shippers and non-shippers without a compelling justification.</w:t>
      </w:r>
    </w:p>
    <w:p w:rsidR="00000000" w:rsidRDefault="001F1FC8">
      <w:pPr>
        <w:divId w:val="1966547728"/>
        <w:rPr>
          <w:rFonts w:eastAsia="Times New Roman"/>
        </w:rPr>
      </w:pPr>
    </w:p>
    <w:p w:rsidR="00000000" w:rsidRDefault="001F1FC8">
      <w:pPr>
        <w:divId w:val="1090272038"/>
        <w:rPr>
          <w:rFonts w:eastAsia="Times New Roman"/>
        </w:rPr>
      </w:pPr>
      <w:r>
        <w:rPr>
          <w:rFonts w:ascii="Arial" w:eastAsia="Times New Roman" w:hAnsi="Arial" w:cs="Arial"/>
          <w:color w:val="000000"/>
          <w:sz w:val="20"/>
          <w:szCs w:val="20"/>
        </w:rPr>
        <w:t>Effective July 1, 2021, the Mainline System is on Interim Tolls which will remain in effect until new tolls are a</w:t>
      </w:r>
      <w:r>
        <w:rPr>
          <w:rFonts w:ascii="Arial" w:eastAsia="Times New Roman" w:hAnsi="Arial" w:cs="Arial"/>
          <w:color w:val="000000"/>
          <w:sz w:val="20"/>
          <w:szCs w:val="20"/>
        </w:rPr>
        <w:t xml:space="preserve">pproved by the CER. In accordance with the terms of the CTS, Interim Tolls are equal to the CTS exit tolls on June 30, 2021 and are subject to finalization and adjustment applicable to the interim period, if any. We are currently exploring, with customers </w:t>
      </w:r>
      <w:r>
        <w:rPr>
          <w:rFonts w:ascii="Arial" w:eastAsia="Times New Roman" w:hAnsi="Arial" w:cs="Arial"/>
          <w:color w:val="000000"/>
          <w:sz w:val="20"/>
          <w:szCs w:val="20"/>
        </w:rPr>
        <w:t>and other stakeholders, alternatives that may include: a modified and extended CTS, a new incentive rate-making agreement, or a cost-of-service rate-making structure. Any negotiated settlement would require CER approval before implementation. New tolling f</w:t>
      </w:r>
      <w:r>
        <w:rPr>
          <w:rFonts w:ascii="Arial" w:eastAsia="Times New Roman" w:hAnsi="Arial" w:cs="Arial"/>
          <w:color w:val="000000"/>
          <w:sz w:val="20"/>
          <w:szCs w:val="20"/>
        </w:rPr>
        <w:t xml:space="preserve">ramework clarity is expected by 2023. </w:t>
      </w:r>
    </w:p>
    <w:p w:rsidR="00000000" w:rsidRDefault="001F1FC8">
      <w:pPr>
        <w:divId w:val="1248198897"/>
        <w:rPr>
          <w:rFonts w:eastAsia="Times New Roman"/>
        </w:rPr>
      </w:pPr>
    </w:p>
    <w:p w:rsidR="00000000" w:rsidRDefault="001F1FC8">
      <w:pPr>
        <w:divId w:val="360939317"/>
        <w:rPr>
          <w:rFonts w:eastAsia="Times New Roman"/>
        </w:rPr>
      </w:pPr>
      <w:r>
        <w:rPr>
          <w:rFonts w:ascii="Arial" w:eastAsia="Times New Roman" w:hAnsi="Arial" w:cs="Arial"/>
          <w:color w:val="000000"/>
          <w:sz w:val="20"/>
          <w:szCs w:val="20"/>
        </w:rPr>
        <w:t xml:space="preserve">Shippers continue to nominate volumes on a monthly basis and we continue to allocate capacity to maximize the efficiency of the Mainline System. </w:t>
      </w:r>
    </w:p>
    <w:p w:rsidR="00000000" w:rsidRDefault="001F1FC8">
      <w:pPr>
        <w:divId w:val="1095202937"/>
        <w:rPr>
          <w:rFonts w:eastAsia="Times New Roman"/>
        </w:rPr>
      </w:pPr>
    </w:p>
    <w:p w:rsidR="00000000" w:rsidRDefault="001F1FC8">
      <w:pPr>
        <w:divId w:val="1962346996"/>
        <w:rPr>
          <w:rFonts w:eastAsia="Times New Roman"/>
        </w:rPr>
      </w:pPr>
      <w:r>
        <w:rPr>
          <w:rFonts w:ascii="Arial" w:eastAsia="Times New Roman" w:hAnsi="Arial" w:cs="Arial"/>
          <w:color w:val="000000"/>
          <w:sz w:val="20"/>
          <w:szCs w:val="20"/>
        </w:rPr>
        <w:t>Local tolls for service on the Lakehead System are not affected by Interim Tolls and continue to be established pursuant to the Lakehead System’s existing toll agreements, as described below.</w:t>
      </w:r>
      <w:r>
        <w:rPr>
          <w:rFonts w:ascii="Arial" w:eastAsia="Times New Roman" w:hAnsi="Arial" w:cs="Arial"/>
          <w:b/>
          <w:bCs/>
          <w:i/>
          <w:iCs/>
          <w:color w:val="000000"/>
          <w:sz w:val="20"/>
          <w:szCs w:val="20"/>
        </w:rPr>
        <w:t xml:space="preserve"> </w:t>
      </w:r>
      <w:r>
        <w:rPr>
          <w:rFonts w:ascii="Arial" w:eastAsia="Times New Roman" w:hAnsi="Arial" w:cs="Arial"/>
          <w:color w:val="000000"/>
          <w:sz w:val="20"/>
          <w:szCs w:val="20"/>
        </w:rPr>
        <w:t>Under Interim Tolls, the Canadian Mainline’s share of the toll r</w:t>
      </w:r>
      <w:r>
        <w:rPr>
          <w:rFonts w:ascii="Arial" w:eastAsia="Times New Roman" w:hAnsi="Arial" w:cs="Arial"/>
          <w:color w:val="000000"/>
          <w:sz w:val="20"/>
          <w:szCs w:val="20"/>
        </w:rPr>
        <w:t xml:space="preserve">elating to pipeline transportation of a batch from any western Canada receipt point to the US border is equal to the toll applicable to that batch’s US delivery point less the Lakehead System’s local toll to that delivery point. While on Interim Tolls, we </w:t>
      </w:r>
      <w:r>
        <w:rPr>
          <w:rFonts w:ascii="Arial" w:eastAsia="Times New Roman" w:hAnsi="Arial" w:cs="Arial"/>
          <w:color w:val="000000"/>
          <w:sz w:val="20"/>
          <w:szCs w:val="20"/>
        </w:rPr>
        <w:t>will continue to refer to this amount as the Canadian Mainline IJT Residual Benchmark Toll which is denominated in US dollars.</w:t>
      </w:r>
    </w:p>
    <w:p w:rsidR="00000000" w:rsidRDefault="001F1FC8">
      <w:pPr>
        <w:divId w:val="1355618748"/>
        <w:rPr>
          <w:rFonts w:eastAsia="Times New Roman"/>
        </w:rPr>
      </w:pPr>
    </w:p>
    <w:p w:rsidR="00000000" w:rsidRDefault="001F1FC8">
      <w:pPr>
        <w:jc w:val="center"/>
        <w:divId w:val="1356033016"/>
        <w:rPr>
          <w:rFonts w:eastAsia="Times New Roman"/>
        </w:rPr>
      </w:pPr>
      <w:r>
        <w:rPr>
          <w:rFonts w:ascii="Arial" w:eastAsia="Times New Roman" w:hAnsi="Arial" w:cs="Arial"/>
          <w:color w:val="000000"/>
          <w:sz w:val="20"/>
          <w:szCs w:val="20"/>
        </w:rPr>
        <w:t>15</w:t>
      </w:r>
    </w:p>
    <w:p w:rsidR="00000000" w:rsidRDefault="001F1FC8">
      <w:pPr>
        <w:rPr>
          <w:rFonts w:eastAsia="Times New Roman"/>
        </w:rPr>
      </w:pPr>
      <w:r>
        <w:rPr>
          <w:rFonts w:eastAsia="Times New Roman"/>
        </w:rPr>
        <w:pict>
          <v:rect id="_x0000_i1040" style="width:0;height:1.5pt" o:hralign="center" o:hrstd="t" o:hr="t" fillcolor="#a0a0a0" stroked="f"/>
        </w:pict>
      </w:r>
    </w:p>
    <w:p w:rsidR="00000000" w:rsidRDefault="001F1FC8">
      <w:pPr>
        <w:jc w:val="center"/>
        <w:divId w:val="622927291"/>
        <w:rPr>
          <w:rFonts w:eastAsia="Times New Roman"/>
        </w:rPr>
      </w:pPr>
    </w:p>
    <w:p w:rsidR="00000000" w:rsidRDefault="001F1FC8">
      <w:pPr>
        <w:divId w:val="344524436"/>
        <w:rPr>
          <w:rFonts w:eastAsia="Times New Roman"/>
        </w:rPr>
      </w:pPr>
      <w:r>
        <w:rPr>
          <w:rFonts w:ascii="Arial" w:eastAsia="Times New Roman" w:hAnsi="Arial" w:cs="Arial"/>
          <w:b/>
          <w:bCs/>
          <w:color w:val="000000"/>
          <w:sz w:val="20"/>
          <w:szCs w:val="20"/>
        </w:rPr>
        <w:t>Lakehead System Local Tolls</w:t>
      </w:r>
    </w:p>
    <w:p w:rsidR="00000000" w:rsidRDefault="001F1FC8">
      <w:pPr>
        <w:divId w:val="1671175747"/>
        <w:rPr>
          <w:rFonts w:eastAsia="Times New Roman"/>
        </w:rPr>
      </w:pPr>
      <w:r>
        <w:rPr>
          <w:rFonts w:ascii="Arial" w:eastAsia="Times New Roman" w:hAnsi="Arial" w:cs="Arial"/>
          <w:color w:val="000000"/>
          <w:sz w:val="20"/>
          <w:szCs w:val="20"/>
        </w:rPr>
        <w:t>Transportation rates are governed by the FERC for deliveri</w:t>
      </w:r>
      <w:r>
        <w:rPr>
          <w:rFonts w:ascii="Arial" w:eastAsia="Times New Roman" w:hAnsi="Arial" w:cs="Arial"/>
          <w:color w:val="000000"/>
          <w:sz w:val="20"/>
          <w:szCs w:val="20"/>
        </w:rPr>
        <w:t>es from the Canada/US border near Neche, North Dakota, Clearbrook, Minnesota and other points to principal delivery points on the Lakehead System. The Lakehead System periodically adjusts these transportation rates as allowed under the FERC’s index methodo</w:t>
      </w:r>
      <w:r>
        <w:rPr>
          <w:rFonts w:ascii="Arial" w:eastAsia="Times New Roman" w:hAnsi="Arial" w:cs="Arial"/>
          <w:color w:val="000000"/>
          <w:sz w:val="20"/>
          <w:szCs w:val="20"/>
        </w:rPr>
        <w:t>logy and tariff agreements, the main components of which are index rates and the Facilities Surcharge Mechanism. Index rates, the base portion of the transportation rates for the Lakehead System, are subject to an annual inflationary adjustment which canno</w:t>
      </w:r>
      <w:r>
        <w:rPr>
          <w:rFonts w:ascii="Arial" w:eastAsia="Times New Roman" w:hAnsi="Arial" w:cs="Arial"/>
          <w:color w:val="000000"/>
          <w:sz w:val="20"/>
          <w:szCs w:val="20"/>
        </w:rPr>
        <w:t xml:space="preserve">t exceed established ceiling rates as approved by the FERC. The Facilities Surcharge Mechanism allows the Lakehead System to recover costs associated with certain shipper-requested projects through an incremental surcharge in addition to the existing base </w:t>
      </w:r>
      <w:r>
        <w:rPr>
          <w:rFonts w:ascii="Arial" w:eastAsia="Times New Roman" w:hAnsi="Arial" w:cs="Arial"/>
          <w:color w:val="000000"/>
          <w:sz w:val="20"/>
          <w:szCs w:val="20"/>
        </w:rPr>
        <w:t>rates and is subject to annual adjustment on April 1 of each year. To the extent that the Lakehead System transportation rates materially under-recover the Lakehead System cost of service, an application can be made with the FERC to seek approval to increa</w:t>
      </w:r>
      <w:r>
        <w:rPr>
          <w:rFonts w:ascii="Arial" w:eastAsia="Times New Roman" w:hAnsi="Arial" w:cs="Arial"/>
          <w:color w:val="000000"/>
          <w:sz w:val="20"/>
          <w:szCs w:val="20"/>
        </w:rPr>
        <w:t>se the rates in order to bring recoveries in-line with costs.</w:t>
      </w:r>
    </w:p>
    <w:p w:rsidR="00000000" w:rsidRDefault="001F1FC8">
      <w:pPr>
        <w:divId w:val="189802323"/>
        <w:rPr>
          <w:rFonts w:eastAsia="Times New Roman"/>
        </w:rPr>
      </w:pPr>
    </w:p>
    <w:p w:rsidR="00000000" w:rsidRDefault="001F1FC8">
      <w:pPr>
        <w:divId w:val="766772486"/>
        <w:rPr>
          <w:rFonts w:eastAsia="Times New Roman"/>
        </w:rPr>
      </w:pPr>
      <w:r>
        <w:rPr>
          <w:rFonts w:ascii="Arial" w:eastAsia="Times New Roman" w:hAnsi="Arial" w:cs="Arial"/>
          <w:color w:val="000000"/>
          <w:sz w:val="20"/>
          <w:szCs w:val="20"/>
        </w:rPr>
        <w:t>On May 21, 2021, we filed a cost-of-service application to raise our base rates effective July 1, 2021. On June 30, 2021, the FERC issued an order to accept the rates subject to refund. This m</w:t>
      </w:r>
      <w:r>
        <w:rPr>
          <w:rFonts w:ascii="Arial" w:eastAsia="Times New Roman" w:hAnsi="Arial" w:cs="Arial"/>
          <w:color w:val="000000"/>
          <w:sz w:val="20"/>
          <w:szCs w:val="20"/>
        </w:rPr>
        <w:t>atter is currently in the FERC settlement process.</w:t>
      </w:r>
    </w:p>
    <w:p w:rsidR="00000000" w:rsidRDefault="001F1FC8">
      <w:pPr>
        <w:divId w:val="1020934210"/>
        <w:rPr>
          <w:rFonts w:eastAsia="Times New Roman"/>
        </w:rPr>
      </w:pPr>
    </w:p>
    <w:p w:rsidR="00000000" w:rsidRDefault="001F1FC8">
      <w:pPr>
        <w:divId w:val="1556552272"/>
        <w:rPr>
          <w:rFonts w:eastAsia="Times New Roman"/>
        </w:rPr>
      </w:pPr>
      <w:r>
        <w:rPr>
          <w:rFonts w:ascii="Arial" w:eastAsia="Times New Roman" w:hAnsi="Arial" w:cs="Arial"/>
          <w:b/>
          <w:bCs/>
          <w:color w:val="000000"/>
          <w:sz w:val="20"/>
          <w:szCs w:val="20"/>
        </w:rPr>
        <w:t>REGIONAL OIL SANDS SYSTEM</w:t>
      </w:r>
    </w:p>
    <w:p w:rsidR="00000000" w:rsidRDefault="001F1FC8">
      <w:pPr>
        <w:divId w:val="2091729520"/>
        <w:rPr>
          <w:rFonts w:eastAsia="Times New Roman"/>
        </w:rPr>
      </w:pPr>
      <w:r>
        <w:rPr>
          <w:rFonts w:ascii="Arial" w:eastAsia="Times New Roman" w:hAnsi="Arial" w:cs="Arial"/>
          <w:color w:val="000000"/>
          <w:sz w:val="20"/>
          <w:szCs w:val="20"/>
        </w:rPr>
        <w:t>The Regional Oil Sands System includes five intra-Alberta long-haul pipelines; the Athabasca Pipeline, Waupisoo Pipeline, Woodland Pipeline, Wood Buffalo Extension/Athabasca Twi</w:t>
      </w:r>
      <w:r>
        <w:rPr>
          <w:rFonts w:ascii="Arial" w:eastAsia="Times New Roman" w:hAnsi="Arial" w:cs="Arial"/>
          <w:color w:val="000000"/>
          <w:sz w:val="20"/>
          <w:szCs w:val="20"/>
        </w:rPr>
        <w:t>n pipeline system and the Norlite Pipeline System (Norlite), as well as two large terminals: the Athabasca Terminal located north of Fort McMurray, Alberta and the Cheecham Terminal, located south of Fort McMurray, Alberta. The Regional Oil Sands System al</w:t>
      </w:r>
      <w:r>
        <w:rPr>
          <w:rFonts w:ascii="Arial" w:eastAsia="Times New Roman" w:hAnsi="Arial" w:cs="Arial"/>
          <w:color w:val="000000"/>
          <w:sz w:val="20"/>
          <w:szCs w:val="20"/>
        </w:rPr>
        <w:t>so includes numerous laterals and related facilities which currently provide access for oil sands production from twelve producing oil sands projects.</w:t>
      </w:r>
    </w:p>
    <w:p w:rsidR="00000000" w:rsidRDefault="001F1FC8">
      <w:pPr>
        <w:divId w:val="1777210121"/>
        <w:rPr>
          <w:rFonts w:eastAsia="Times New Roman"/>
        </w:rPr>
      </w:pPr>
    </w:p>
    <w:p w:rsidR="00000000" w:rsidRDefault="001F1FC8">
      <w:pPr>
        <w:divId w:val="1505239784"/>
        <w:rPr>
          <w:rFonts w:eastAsia="Times New Roman"/>
        </w:rPr>
      </w:pPr>
      <w:r>
        <w:rPr>
          <w:rFonts w:ascii="Arial" w:eastAsia="Times New Roman" w:hAnsi="Arial" w:cs="Arial"/>
          <w:color w:val="000000"/>
          <w:sz w:val="20"/>
          <w:szCs w:val="20"/>
        </w:rPr>
        <w:t xml:space="preserve">The combined capacity of the intra-Alberta long-haul pipelines is approximately 1,090 kbpd to Edmonton </w:t>
      </w:r>
      <w:r>
        <w:rPr>
          <w:rFonts w:ascii="Arial" w:eastAsia="Times New Roman" w:hAnsi="Arial" w:cs="Arial"/>
          <w:color w:val="000000"/>
          <w:sz w:val="20"/>
          <w:szCs w:val="20"/>
        </w:rPr>
        <w:t>and 1,370 kbpd into Hardisty, with Norlite providing approximately 218 kbpd of diluent capacity into the Fort McMurray region. We have a 50% interest in the Woodland Pipeline and a 70% interest in Norlite. The Regional Oil Sands System is anchored by long-</w:t>
      </w:r>
      <w:r>
        <w:rPr>
          <w:rFonts w:ascii="Arial" w:eastAsia="Times New Roman" w:hAnsi="Arial" w:cs="Arial"/>
          <w:color w:val="000000"/>
          <w:sz w:val="20"/>
          <w:szCs w:val="20"/>
        </w:rPr>
        <w:t>term agreements with multiple oil sands producers that provide cash flow stability and also include provisions for the recovery of some of the operating costs of this system.</w:t>
      </w:r>
    </w:p>
    <w:p w:rsidR="00000000" w:rsidRDefault="001F1FC8">
      <w:pPr>
        <w:divId w:val="692002355"/>
        <w:rPr>
          <w:rFonts w:eastAsia="Times New Roman"/>
        </w:rPr>
      </w:pPr>
    </w:p>
    <w:p w:rsidR="00000000" w:rsidRDefault="001F1FC8">
      <w:pPr>
        <w:divId w:val="453602735"/>
        <w:rPr>
          <w:rFonts w:eastAsia="Times New Roman"/>
        </w:rPr>
      </w:pPr>
      <w:r>
        <w:rPr>
          <w:rFonts w:ascii="Arial" w:eastAsia="Times New Roman" w:hAnsi="Arial" w:cs="Arial"/>
          <w:b/>
          <w:bCs/>
          <w:color w:val="000000"/>
          <w:sz w:val="20"/>
          <w:szCs w:val="20"/>
        </w:rPr>
        <w:t>GULF COAST AND MID-CONTINENT</w:t>
      </w:r>
    </w:p>
    <w:p w:rsidR="00000000" w:rsidRDefault="001F1FC8">
      <w:pPr>
        <w:divId w:val="2108305786"/>
        <w:rPr>
          <w:rFonts w:eastAsia="Times New Roman"/>
        </w:rPr>
      </w:pPr>
      <w:r>
        <w:rPr>
          <w:rFonts w:ascii="Arial" w:eastAsia="Times New Roman" w:hAnsi="Arial" w:cs="Arial"/>
          <w:color w:val="000000"/>
          <w:sz w:val="20"/>
          <w:szCs w:val="20"/>
        </w:rPr>
        <w:t>Gulf Coast includes Seaway Crude Pipeline System (Seaway Pipeline), Flanagan South Pipeline (Flanagan South), Spearhead Pipeline, Gray Oak Pipeline and the Enbridge Ingleside Energy Center (EIEC), as well as the Mid-Continent System (Cushing Terminal).</w:t>
      </w:r>
    </w:p>
    <w:p w:rsidR="00000000" w:rsidRDefault="001F1FC8">
      <w:pPr>
        <w:divId w:val="1037926328"/>
        <w:rPr>
          <w:rFonts w:eastAsia="Times New Roman"/>
        </w:rPr>
      </w:pPr>
    </w:p>
    <w:p w:rsidR="00000000" w:rsidRDefault="001F1FC8">
      <w:pPr>
        <w:divId w:val="1809587124"/>
        <w:rPr>
          <w:rFonts w:eastAsia="Times New Roman"/>
        </w:rPr>
      </w:pPr>
      <w:r>
        <w:rPr>
          <w:rFonts w:ascii="Arial" w:eastAsia="Times New Roman" w:hAnsi="Arial" w:cs="Arial"/>
          <w:color w:val="000000"/>
          <w:sz w:val="20"/>
          <w:szCs w:val="20"/>
        </w:rPr>
        <w:t>W</w:t>
      </w:r>
      <w:r>
        <w:rPr>
          <w:rFonts w:ascii="Arial" w:eastAsia="Times New Roman" w:hAnsi="Arial" w:cs="Arial"/>
          <w:color w:val="000000"/>
          <w:sz w:val="20"/>
          <w:szCs w:val="20"/>
        </w:rPr>
        <w:t>e have a 50% interest in the 1,078-kilometer (670-mile) Seaway Pipeline, including the 805-kilometer (500-mile), 30-inch diameter long-haul system between Cushing, Oklahoma and Freeport, Texas, as well as the Texas City Terminal and Distribution System whi</w:t>
      </w:r>
      <w:r>
        <w:rPr>
          <w:rFonts w:ascii="Arial" w:eastAsia="Times New Roman" w:hAnsi="Arial" w:cs="Arial"/>
          <w:color w:val="000000"/>
          <w:sz w:val="20"/>
          <w:szCs w:val="20"/>
        </w:rPr>
        <w:t>ch serve refineries in the Houston and Texas City areas. Total aggregate capacity on the Seaway Pipeline system is approximately 950 kbpd. Seaway Pipeline also includes 8.8 million barrels of crude oil storage tank capacity on the Texas Gulf Coast.</w:t>
      </w:r>
    </w:p>
    <w:p w:rsidR="00000000" w:rsidRDefault="001F1FC8">
      <w:pPr>
        <w:divId w:val="1629700920"/>
        <w:rPr>
          <w:rFonts w:eastAsia="Times New Roman"/>
        </w:rPr>
      </w:pPr>
    </w:p>
    <w:p w:rsidR="00000000" w:rsidRDefault="001F1FC8">
      <w:pPr>
        <w:divId w:val="1256473066"/>
        <w:rPr>
          <w:rFonts w:eastAsia="Times New Roman"/>
        </w:rPr>
      </w:pPr>
      <w:r>
        <w:rPr>
          <w:rFonts w:ascii="Arial" w:eastAsia="Times New Roman" w:hAnsi="Arial" w:cs="Arial"/>
          <w:color w:val="000000"/>
          <w:sz w:val="20"/>
          <w:szCs w:val="20"/>
        </w:rPr>
        <w:t>Flana</w:t>
      </w:r>
      <w:r>
        <w:rPr>
          <w:rFonts w:ascii="Arial" w:eastAsia="Times New Roman" w:hAnsi="Arial" w:cs="Arial"/>
          <w:color w:val="000000"/>
          <w:sz w:val="20"/>
          <w:szCs w:val="20"/>
        </w:rPr>
        <w:t>gan South is a 950-kilometer (590-mile), 36-inch diameter interstate crude oil pipeline that originates at our terminal at Flanagan, Illinois, a delivery point on the Lakehead System, and terminates in Cushing, Oklahoma. Flanagan South has a capacity of ap</w:t>
      </w:r>
      <w:r>
        <w:rPr>
          <w:rFonts w:ascii="Arial" w:eastAsia="Times New Roman" w:hAnsi="Arial" w:cs="Arial"/>
          <w:color w:val="000000"/>
          <w:sz w:val="20"/>
          <w:szCs w:val="20"/>
        </w:rPr>
        <w:t>proximately 600 kbpd.</w:t>
      </w:r>
    </w:p>
    <w:p w:rsidR="00000000" w:rsidRDefault="001F1FC8">
      <w:pPr>
        <w:divId w:val="1224217307"/>
        <w:rPr>
          <w:rFonts w:eastAsia="Times New Roman"/>
        </w:rPr>
      </w:pPr>
    </w:p>
    <w:p w:rsidR="00000000" w:rsidRDefault="001F1FC8">
      <w:pPr>
        <w:divId w:val="1902473141"/>
        <w:rPr>
          <w:rFonts w:eastAsia="Times New Roman"/>
        </w:rPr>
      </w:pPr>
      <w:r>
        <w:rPr>
          <w:rFonts w:ascii="Arial" w:eastAsia="Times New Roman" w:hAnsi="Arial" w:cs="Arial"/>
          <w:color w:val="000000"/>
          <w:sz w:val="20"/>
          <w:szCs w:val="20"/>
        </w:rPr>
        <w:t>Spearhead Pipeline is a long-haul pipeline that delivers crude oil from Flanagan, Illinois, a delivery point on the Lakehead System, to Cushing, Oklahoma. The Spearhead pipeline has a capacity of approximately 193 kbpd.</w:t>
      </w:r>
    </w:p>
    <w:p w:rsidR="00000000" w:rsidRDefault="001F1FC8">
      <w:pPr>
        <w:divId w:val="330377755"/>
        <w:rPr>
          <w:rFonts w:eastAsia="Times New Roman"/>
        </w:rPr>
      </w:pPr>
    </w:p>
    <w:p w:rsidR="00000000" w:rsidRDefault="001F1FC8">
      <w:pPr>
        <w:jc w:val="center"/>
        <w:divId w:val="1450082262"/>
        <w:rPr>
          <w:rFonts w:eastAsia="Times New Roman"/>
        </w:rPr>
      </w:pPr>
      <w:r>
        <w:rPr>
          <w:rFonts w:ascii="Arial" w:eastAsia="Times New Roman" w:hAnsi="Arial" w:cs="Arial"/>
          <w:color w:val="000000"/>
          <w:sz w:val="20"/>
          <w:szCs w:val="20"/>
        </w:rPr>
        <w:t>16</w:t>
      </w:r>
    </w:p>
    <w:p w:rsidR="00000000" w:rsidRDefault="001F1FC8">
      <w:pPr>
        <w:rPr>
          <w:rFonts w:eastAsia="Times New Roman"/>
        </w:rPr>
      </w:pPr>
      <w:r>
        <w:rPr>
          <w:rFonts w:eastAsia="Times New Roman"/>
        </w:rPr>
        <w:pict>
          <v:rect id="_x0000_i1041" style="width:0;height:1.5pt" o:hralign="center" o:hrstd="t" o:hr="t" fillcolor="#a0a0a0" stroked="f"/>
        </w:pict>
      </w:r>
    </w:p>
    <w:p w:rsidR="00000000" w:rsidRDefault="001F1FC8">
      <w:pPr>
        <w:jc w:val="center"/>
        <w:divId w:val="1943108866"/>
        <w:rPr>
          <w:rFonts w:eastAsia="Times New Roman"/>
        </w:rPr>
      </w:pPr>
    </w:p>
    <w:p w:rsidR="00000000" w:rsidRDefault="001F1FC8">
      <w:pPr>
        <w:divId w:val="1908756716"/>
        <w:rPr>
          <w:rFonts w:eastAsia="Times New Roman"/>
        </w:rPr>
      </w:pPr>
      <w:r>
        <w:rPr>
          <w:rFonts w:ascii="Arial" w:eastAsia="Times New Roman" w:hAnsi="Arial" w:cs="Arial"/>
          <w:color w:val="000000"/>
          <w:sz w:val="20"/>
          <w:szCs w:val="20"/>
        </w:rPr>
        <w:t xml:space="preserve">The Gray Oak pipeline is a 1,368-kilometer (850-mile) crude oil system, which runs from the Permian Basin in West Texas to the US Gulf Coast. The Gray Oak pipeline has an expected average annual capacity of 900 kbpd and transports light crude oil. We have </w:t>
      </w:r>
      <w:r>
        <w:rPr>
          <w:rFonts w:ascii="Arial" w:eastAsia="Times New Roman" w:hAnsi="Arial" w:cs="Arial"/>
          <w:color w:val="000000"/>
          <w:sz w:val="20"/>
          <w:szCs w:val="20"/>
        </w:rPr>
        <w:t>an effective 22.8% interest in the pipeline. Initial in-service for the pipeline commenced in November 2019 with full service achieved in the second quarter of 2020.</w:t>
      </w:r>
    </w:p>
    <w:p w:rsidR="00000000" w:rsidRDefault="001F1FC8">
      <w:pPr>
        <w:divId w:val="2145732488"/>
        <w:rPr>
          <w:rFonts w:eastAsia="Times New Roman"/>
        </w:rPr>
      </w:pPr>
    </w:p>
    <w:p w:rsidR="00000000" w:rsidRDefault="001F1FC8">
      <w:pPr>
        <w:divId w:val="1163859998"/>
        <w:rPr>
          <w:rFonts w:eastAsia="Times New Roman"/>
        </w:rPr>
      </w:pPr>
      <w:r>
        <w:rPr>
          <w:rFonts w:ascii="Arial" w:eastAsia="Times New Roman" w:hAnsi="Arial" w:cs="Arial"/>
          <w:color w:val="000000"/>
          <w:sz w:val="20"/>
          <w:szCs w:val="20"/>
        </w:rPr>
        <w:t>The Mid-Continent System is comprised of storage terminals at Cushing, Oklahoma (Cushing</w:t>
      </w:r>
      <w:r>
        <w:rPr>
          <w:rFonts w:ascii="Arial" w:eastAsia="Times New Roman" w:hAnsi="Arial" w:cs="Arial"/>
          <w:color w:val="000000"/>
          <w:sz w:val="20"/>
          <w:szCs w:val="20"/>
        </w:rPr>
        <w:t xml:space="preserve"> Terminal), consisting of over 80 individual storage tanks ranging in size from 78 to 570 thousand barrels. Total storage shell capacity of Cushing Terminal is approximately 20 million barrels. A portion of the storage facilities are used for operational p</w:t>
      </w:r>
      <w:r>
        <w:rPr>
          <w:rFonts w:ascii="Arial" w:eastAsia="Times New Roman" w:hAnsi="Arial" w:cs="Arial"/>
          <w:color w:val="000000"/>
          <w:sz w:val="20"/>
          <w:szCs w:val="20"/>
        </w:rPr>
        <w:t>urposes, while the remainder are contracted to various crude oil market participants for their term storage requirements.</w:t>
      </w:r>
      <w:r>
        <w:rPr>
          <w:rFonts w:eastAsia="Times New Roman"/>
          <w:color w:val="000000"/>
          <w:sz w:val="16"/>
          <w:szCs w:val="16"/>
        </w:rPr>
        <w:t xml:space="preserve"> </w:t>
      </w:r>
      <w:r>
        <w:rPr>
          <w:rFonts w:ascii="Arial" w:eastAsia="Times New Roman" w:hAnsi="Arial" w:cs="Arial"/>
          <w:color w:val="000000"/>
          <w:sz w:val="20"/>
          <w:szCs w:val="20"/>
        </w:rPr>
        <w:t xml:space="preserve">Contract fees include fixed monthly storage fees, throughput fees for receiving and delivering crude to and from connecting pipelines </w:t>
      </w:r>
      <w:r>
        <w:rPr>
          <w:rFonts w:ascii="Arial" w:eastAsia="Times New Roman" w:hAnsi="Arial" w:cs="Arial"/>
          <w:color w:val="000000"/>
          <w:sz w:val="20"/>
          <w:szCs w:val="20"/>
        </w:rPr>
        <w:t>and terminals, as well as blending fees.</w:t>
      </w:r>
    </w:p>
    <w:p w:rsidR="00000000" w:rsidRDefault="001F1FC8">
      <w:pPr>
        <w:divId w:val="1474516354"/>
        <w:rPr>
          <w:rFonts w:eastAsia="Times New Roman"/>
        </w:rPr>
      </w:pPr>
    </w:p>
    <w:p w:rsidR="00000000" w:rsidRDefault="001F1FC8">
      <w:pPr>
        <w:divId w:val="262686000"/>
        <w:rPr>
          <w:rFonts w:eastAsia="Times New Roman"/>
        </w:rPr>
      </w:pPr>
      <w:r>
        <w:rPr>
          <w:rFonts w:ascii="Arial" w:eastAsia="Times New Roman" w:hAnsi="Arial" w:cs="Arial"/>
          <w:color w:val="000000"/>
          <w:sz w:val="20"/>
          <w:szCs w:val="20"/>
        </w:rPr>
        <w:t>In October 2021, we acquired a 100 percent operating interest in the Ingleside Energy Center (renamed the Enbridge Ingleside Energy Center (EIEC)), located near Corpus Christi, Texas. This terminal is comprised of</w:t>
      </w:r>
      <w:r>
        <w:rPr>
          <w:rFonts w:ascii="Arial" w:eastAsia="Times New Roman" w:hAnsi="Arial" w:cs="Arial"/>
          <w:color w:val="000000"/>
          <w:sz w:val="20"/>
          <w:szCs w:val="20"/>
        </w:rPr>
        <w:t xml:space="preserve"> 15.6 million barrels of storage and 1.5 million barrels per day of export capacity. We also acquired a 20% interest in the 670-kbpd Cactus II Pipeline, a 100% interest in the 300-kbpd Viola pipeline, and a 100% interest in the 350-thousand-barrel Taft Ter</w:t>
      </w:r>
      <w:r>
        <w:rPr>
          <w:rFonts w:ascii="Arial" w:eastAsia="Times New Roman" w:hAnsi="Arial" w:cs="Arial"/>
          <w:color w:val="000000"/>
          <w:sz w:val="20"/>
          <w:szCs w:val="20"/>
        </w:rPr>
        <w:t>minal.</w:t>
      </w:r>
    </w:p>
    <w:p w:rsidR="00000000" w:rsidRDefault="001F1FC8">
      <w:pPr>
        <w:divId w:val="1389184645"/>
        <w:rPr>
          <w:rFonts w:eastAsia="Times New Roman"/>
        </w:rPr>
      </w:pPr>
    </w:p>
    <w:p w:rsidR="00000000" w:rsidRDefault="001F1FC8">
      <w:pPr>
        <w:divId w:val="74981581"/>
        <w:rPr>
          <w:rFonts w:eastAsia="Times New Roman"/>
        </w:rPr>
      </w:pPr>
      <w:r>
        <w:rPr>
          <w:rFonts w:ascii="Arial" w:eastAsia="Times New Roman" w:hAnsi="Arial" w:cs="Arial"/>
          <w:b/>
          <w:bCs/>
          <w:color w:val="000000"/>
          <w:sz w:val="20"/>
          <w:szCs w:val="20"/>
        </w:rPr>
        <w:t>OTHER</w:t>
      </w:r>
    </w:p>
    <w:p w:rsidR="00000000" w:rsidRDefault="001F1FC8">
      <w:pPr>
        <w:divId w:val="1698577990"/>
        <w:rPr>
          <w:rFonts w:eastAsia="Times New Roman"/>
        </w:rPr>
      </w:pPr>
      <w:r>
        <w:rPr>
          <w:rFonts w:ascii="Arial" w:eastAsia="Times New Roman" w:hAnsi="Arial" w:cs="Arial"/>
          <w:color w:val="000000"/>
          <w:sz w:val="20"/>
          <w:szCs w:val="20"/>
        </w:rPr>
        <w:t>Other includes Southern Lights Pipeline, Express-Platte System, Bakken System and Feeder Pipelines and Other.</w:t>
      </w:r>
    </w:p>
    <w:p w:rsidR="00000000" w:rsidRDefault="001F1FC8">
      <w:pPr>
        <w:divId w:val="392704715"/>
        <w:rPr>
          <w:rFonts w:eastAsia="Times New Roman"/>
        </w:rPr>
      </w:pPr>
    </w:p>
    <w:p w:rsidR="00000000" w:rsidRDefault="001F1FC8">
      <w:pPr>
        <w:divId w:val="907181012"/>
        <w:rPr>
          <w:rFonts w:eastAsia="Times New Roman"/>
        </w:rPr>
      </w:pPr>
      <w:r>
        <w:rPr>
          <w:rFonts w:ascii="Arial" w:eastAsia="Times New Roman" w:hAnsi="Arial" w:cs="Arial"/>
          <w:color w:val="000000"/>
          <w:sz w:val="20"/>
          <w:szCs w:val="20"/>
        </w:rPr>
        <w:t>Southern Lights Pipeline is a single stream 180 kbpd 16/18/20-inch diameter pipeline that ships diluent from the Manhattan Termin</w:t>
      </w:r>
      <w:r>
        <w:rPr>
          <w:rFonts w:ascii="Arial" w:eastAsia="Times New Roman" w:hAnsi="Arial" w:cs="Arial"/>
          <w:color w:val="000000"/>
          <w:sz w:val="20"/>
          <w:szCs w:val="20"/>
        </w:rPr>
        <w:t>al near Chicago, Illinois to three western Canadian delivery facilities, located at the Edmonton and Hardisty terminals in Alberta and the Kerrobert terminal in Saskatchewan. Both the Canadian portion of Southern Lights Pipeline and the US portion of South</w:t>
      </w:r>
      <w:r>
        <w:rPr>
          <w:rFonts w:ascii="Arial" w:eastAsia="Times New Roman" w:hAnsi="Arial" w:cs="Arial"/>
          <w:color w:val="000000"/>
          <w:sz w:val="20"/>
          <w:szCs w:val="20"/>
        </w:rPr>
        <w:t>ern Lights Pipeline receive tariff revenues under long-term contracts with committed shippers. Southern Lights Pipeline capacity is 90% contracted with the remaining 10% of the capacity assigned for shippers to ship uncommitted volumes.</w:t>
      </w:r>
    </w:p>
    <w:p w:rsidR="00000000" w:rsidRDefault="001F1FC8">
      <w:pPr>
        <w:divId w:val="277641089"/>
        <w:rPr>
          <w:rFonts w:eastAsia="Times New Roman"/>
        </w:rPr>
      </w:pPr>
    </w:p>
    <w:p w:rsidR="00000000" w:rsidRDefault="001F1FC8">
      <w:pPr>
        <w:divId w:val="1150710470"/>
        <w:rPr>
          <w:rFonts w:eastAsia="Times New Roman"/>
        </w:rPr>
      </w:pPr>
      <w:r>
        <w:rPr>
          <w:rFonts w:ascii="Arial" w:eastAsia="Times New Roman" w:hAnsi="Arial" w:cs="Arial"/>
          <w:color w:val="000000"/>
          <w:sz w:val="20"/>
          <w:szCs w:val="20"/>
        </w:rPr>
        <w:t>The Express-Platt</w:t>
      </w:r>
      <w:r>
        <w:rPr>
          <w:rFonts w:ascii="Arial" w:eastAsia="Times New Roman" w:hAnsi="Arial" w:cs="Arial"/>
          <w:color w:val="000000"/>
          <w:sz w:val="20"/>
          <w:szCs w:val="20"/>
        </w:rPr>
        <w:t>e System consists of the Express pipeline and the Platte pipeline, and crude oil storage of approximately 5.6 million barrels. It is an approximate 2,736-kilometer (1,700-mile) long crude oil transportation system, which begins at Hardisty, Alberta, and te</w:t>
      </w:r>
      <w:r>
        <w:rPr>
          <w:rFonts w:ascii="Arial" w:eastAsia="Times New Roman" w:hAnsi="Arial" w:cs="Arial"/>
          <w:color w:val="000000"/>
          <w:sz w:val="20"/>
          <w:szCs w:val="20"/>
        </w:rPr>
        <w:t>rminates at Wood River, Illinois. The 310 kbpd Express pipeline carries crude oil to US refining markets in the Rocky Mountains area, including Montana, Wyoming, Colorado and Utah. The 145 to 164 kbpd Platte pipeline, which interconnects with the Express p</w:t>
      </w:r>
      <w:r>
        <w:rPr>
          <w:rFonts w:ascii="Arial" w:eastAsia="Times New Roman" w:hAnsi="Arial" w:cs="Arial"/>
          <w:color w:val="000000"/>
          <w:sz w:val="20"/>
          <w:szCs w:val="20"/>
        </w:rPr>
        <w:t>ipeline at Casper, Wyoming, transports crude oil predominantly from the Bakken shale and western Canada to refineries in the midwest. Express pipeline capacity is typically committed under long-term take-or-pay contracts with shippers. A small portion of E</w:t>
      </w:r>
      <w:r>
        <w:rPr>
          <w:rFonts w:ascii="Arial" w:eastAsia="Times New Roman" w:hAnsi="Arial" w:cs="Arial"/>
          <w:color w:val="000000"/>
          <w:sz w:val="20"/>
          <w:szCs w:val="20"/>
        </w:rPr>
        <w:t>xpress pipeline capacity and all of the Platte pipeline capacity is used by uncommitted shippers who pay only for the pipeline capacity they actually use in a given month.</w:t>
      </w:r>
    </w:p>
    <w:p w:rsidR="00000000" w:rsidRDefault="001F1FC8">
      <w:pPr>
        <w:divId w:val="1235042054"/>
        <w:rPr>
          <w:rFonts w:eastAsia="Times New Roman"/>
        </w:rPr>
      </w:pPr>
    </w:p>
    <w:p w:rsidR="00000000" w:rsidRDefault="001F1FC8">
      <w:pPr>
        <w:divId w:val="1704089940"/>
        <w:rPr>
          <w:rFonts w:eastAsia="Times New Roman"/>
        </w:rPr>
      </w:pPr>
      <w:r>
        <w:rPr>
          <w:rFonts w:ascii="Arial" w:eastAsia="Times New Roman" w:hAnsi="Arial" w:cs="Arial"/>
          <w:color w:val="000000"/>
          <w:sz w:val="20"/>
          <w:szCs w:val="20"/>
        </w:rPr>
        <w:t>The Bakken System consists of the North Dakota System and the Bakken Pipeline Syst</w:t>
      </w:r>
      <w:r>
        <w:rPr>
          <w:rFonts w:ascii="Arial" w:eastAsia="Times New Roman" w:hAnsi="Arial" w:cs="Arial"/>
          <w:color w:val="000000"/>
          <w:sz w:val="20"/>
          <w:szCs w:val="20"/>
        </w:rPr>
        <w:t>em. The North Dakota System services the Bakken in North Dakota and is comprised of a crude oil gathering and interstate pipeline transportation system. The gathering system provides delivery to Clearbrook, Minnesota for service on the Lakehead system or a</w:t>
      </w:r>
      <w:r>
        <w:rPr>
          <w:rFonts w:ascii="Arial" w:eastAsia="Times New Roman" w:hAnsi="Arial" w:cs="Arial"/>
          <w:color w:val="000000"/>
          <w:sz w:val="20"/>
          <w:szCs w:val="20"/>
        </w:rPr>
        <w:t xml:space="preserve"> variety of interconnecting pipeline and rail export facilities. The interstate portion of the system has both US and Canadian components that extend from Berthold, North Dakota into Cromer, Manitoba.</w:t>
      </w:r>
    </w:p>
    <w:p w:rsidR="00000000" w:rsidRDefault="001F1FC8">
      <w:pPr>
        <w:divId w:val="2084599079"/>
        <w:rPr>
          <w:rFonts w:eastAsia="Times New Roman"/>
        </w:rPr>
      </w:pPr>
    </w:p>
    <w:p w:rsidR="00000000" w:rsidRDefault="001F1FC8">
      <w:pPr>
        <w:divId w:val="42797842"/>
        <w:rPr>
          <w:rFonts w:eastAsia="Times New Roman"/>
        </w:rPr>
      </w:pPr>
      <w:r>
        <w:rPr>
          <w:rFonts w:ascii="Arial" w:eastAsia="Times New Roman" w:hAnsi="Arial" w:cs="Arial"/>
          <w:color w:val="000000"/>
          <w:sz w:val="20"/>
          <w:szCs w:val="20"/>
        </w:rPr>
        <w:t xml:space="preserve">Tariffs on the US portion of the North Dakota System </w:t>
      </w:r>
      <w:r>
        <w:rPr>
          <w:rFonts w:ascii="Arial" w:eastAsia="Times New Roman" w:hAnsi="Arial" w:cs="Arial"/>
          <w:color w:val="000000"/>
          <w:sz w:val="20"/>
          <w:szCs w:val="20"/>
        </w:rPr>
        <w:t>are governed by the FERC. The Canadian portion is categorized as a Group 2 pipeline, and as such, its tolls are regulated by the CER on a complaint basis. Tolls on the interstate pipeline system are based on long-term take-or-pay agreements with anchor shi</w:t>
      </w:r>
      <w:r>
        <w:rPr>
          <w:rFonts w:ascii="Arial" w:eastAsia="Times New Roman" w:hAnsi="Arial" w:cs="Arial"/>
          <w:color w:val="000000"/>
          <w:sz w:val="20"/>
          <w:szCs w:val="20"/>
        </w:rPr>
        <w:t>ppers</w:t>
      </w:r>
      <w:r>
        <w:rPr>
          <w:rFonts w:eastAsia="Times New Roman"/>
          <w:i/>
          <w:iCs/>
          <w:color w:val="000000"/>
          <w:sz w:val="20"/>
          <w:szCs w:val="20"/>
        </w:rPr>
        <w:t>.</w:t>
      </w:r>
    </w:p>
    <w:p w:rsidR="00000000" w:rsidRDefault="001F1FC8">
      <w:pPr>
        <w:divId w:val="963584847"/>
        <w:rPr>
          <w:rFonts w:eastAsia="Times New Roman"/>
        </w:rPr>
      </w:pPr>
    </w:p>
    <w:p w:rsidR="00000000" w:rsidRDefault="001F1FC8">
      <w:pPr>
        <w:jc w:val="center"/>
        <w:divId w:val="302128202"/>
        <w:rPr>
          <w:rFonts w:eastAsia="Times New Roman"/>
        </w:rPr>
      </w:pPr>
      <w:r>
        <w:rPr>
          <w:rFonts w:ascii="Arial" w:eastAsia="Times New Roman" w:hAnsi="Arial" w:cs="Arial"/>
          <w:color w:val="000000"/>
          <w:sz w:val="20"/>
          <w:szCs w:val="20"/>
        </w:rPr>
        <w:t>17</w:t>
      </w:r>
    </w:p>
    <w:p w:rsidR="00000000" w:rsidRDefault="001F1FC8">
      <w:pPr>
        <w:rPr>
          <w:rFonts w:eastAsia="Times New Roman"/>
        </w:rPr>
      </w:pPr>
      <w:r>
        <w:rPr>
          <w:rFonts w:eastAsia="Times New Roman"/>
        </w:rPr>
        <w:pict>
          <v:rect id="_x0000_i1042" style="width:0;height:1.5pt" o:hralign="center" o:hrstd="t" o:hr="t" fillcolor="#a0a0a0" stroked="f"/>
        </w:pict>
      </w:r>
    </w:p>
    <w:p w:rsidR="00000000" w:rsidRDefault="001F1FC8">
      <w:pPr>
        <w:jc w:val="center"/>
        <w:divId w:val="1533806576"/>
        <w:rPr>
          <w:rFonts w:eastAsia="Times New Roman"/>
        </w:rPr>
      </w:pPr>
    </w:p>
    <w:p w:rsidR="00000000" w:rsidRDefault="001F1FC8">
      <w:pPr>
        <w:divId w:val="511534951"/>
        <w:rPr>
          <w:rFonts w:eastAsia="Times New Roman"/>
        </w:rPr>
      </w:pPr>
      <w:r>
        <w:rPr>
          <w:rFonts w:ascii="Arial" w:eastAsia="Times New Roman" w:hAnsi="Arial" w:cs="Arial"/>
          <w:color w:val="000000"/>
          <w:sz w:val="20"/>
          <w:szCs w:val="20"/>
        </w:rPr>
        <w:t>We have an effective 27.6% interest in the Bakken Pipeline System, which connects the Bakken formation in North Dakota to markets in eastern PADD II and the US Gulf Coast. The Bakken Pipeline System consist</w:t>
      </w:r>
      <w:r>
        <w:rPr>
          <w:rFonts w:ascii="Arial" w:eastAsia="Times New Roman" w:hAnsi="Arial" w:cs="Arial"/>
          <w:color w:val="000000"/>
          <w:sz w:val="20"/>
          <w:szCs w:val="20"/>
        </w:rPr>
        <w:t>s of the DAPL from the Bakken area in North Dakota to Patoka, Illinois, and the Energy Transfer Crude Oil Pipeline from Patoka, Illinois to Nederland, Texas. Current capacity is 750 kbpd of crude oil with the potential to be expanded through additional pum</w:t>
      </w:r>
      <w:r>
        <w:rPr>
          <w:rFonts w:ascii="Arial" w:eastAsia="Times New Roman" w:hAnsi="Arial" w:cs="Arial"/>
          <w:color w:val="000000"/>
          <w:sz w:val="20"/>
          <w:szCs w:val="20"/>
        </w:rPr>
        <w:t>ping horsepower. The Bakken Pipeline System is anchored by long-term throughput commitments from a number of producers.</w:t>
      </w:r>
    </w:p>
    <w:p w:rsidR="00000000" w:rsidRDefault="001F1FC8">
      <w:pPr>
        <w:divId w:val="217400246"/>
        <w:rPr>
          <w:rFonts w:eastAsia="Times New Roman"/>
        </w:rPr>
      </w:pPr>
    </w:p>
    <w:p w:rsidR="00000000" w:rsidRDefault="001F1FC8">
      <w:pPr>
        <w:divId w:val="1089500602"/>
        <w:rPr>
          <w:rFonts w:eastAsia="Times New Roman"/>
        </w:rPr>
      </w:pPr>
      <w:r>
        <w:rPr>
          <w:rFonts w:ascii="Arial" w:eastAsia="Times New Roman" w:hAnsi="Arial" w:cs="Arial"/>
          <w:color w:val="000000"/>
          <w:sz w:val="20"/>
          <w:szCs w:val="20"/>
        </w:rPr>
        <w:t>Feeder Pipelines and Other includes a number of liquids storage assets and pipeline systems in Canada and the US.</w:t>
      </w:r>
    </w:p>
    <w:p w:rsidR="00000000" w:rsidRDefault="001F1FC8">
      <w:pPr>
        <w:divId w:val="510027544"/>
        <w:rPr>
          <w:rFonts w:eastAsia="Times New Roman"/>
        </w:rPr>
      </w:pPr>
    </w:p>
    <w:p w:rsidR="00000000" w:rsidRDefault="001F1FC8">
      <w:pPr>
        <w:divId w:val="691684735"/>
        <w:rPr>
          <w:rFonts w:eastAsia="Times New Roman"/>
        </w:rPr>
      </w:pPr>
      <w:r>
        <w:rPr>
          <w:rFonts w:ascii="Arial" w:eastAsia="Times New Roman" w:hAnsi="Arial" w:cs="Arial"/>
          <w:color w:val="000000"/>
          <w:sz w:val="20"/>
          <w:szCs w:val="20"/>
        </w:rPr>
        <w:t>Key assets include</w:t>
      </w:r>
      <w:r>
        <w:rPr>
          <w:rFonts w:ascii="Arial" w:eastAsia="Times New Roman" w:hAnsi="Arial" w:cs="Arial"/>
          <w:color w:val="000000"/>
          <w:sz w:val="20"/>
          <w:szCs w:val="20"/>
        </w:rPr>
        <w:t>d in Feeder Pipelines and Other are the Hardisty Contract Terminal and Hardisty Storage Caverns located near Hardisty, Alberta, a key crude oil pipeline hub in western Canada and the Southern Access Extension (SAX) pipeline which originates in Flanagan, Il</w:t>
      </w:r>
      <w:r>
        <w:rPr>
          <w:rFonts w:ascii="Arial" w:eastAsia="Times New Roman" w:hAnsi="Arial" w:cs="Arial"/>
          <w:color w:val="000000"/>
          <w:sz w:val="20"/>
          <w:szCs w:val="20"/>
        </w:rPr>
        <w:t>linois and delivers to Patoka, Illinois. We have an effective 65% interest in the 300 kbpd SAX pipeline of which the majority of its capacity is commercially secured under long-term take-or-pay contracts with shippers</w:t>
      </w:r>
      <w:r>
        <w:rPr>
          <w:rFonts w:eastAsia="Times New Roman"/>
          <w:color w:val="000000"/>
          <w:sz w:val="20"/>
          <w:szCs w:val="20"/>
        </w:rPr>
        <w:t>.</w:t>
      </w:r>
    </w:p>
    <w:p w:rsidR="00000000" w:rsidRDefault="001F1FC8">
      <w:pPr>
        <w:divId w:val="767236875"/>
        <w:rPr>
          <w:rFonts w:eastAsia="Times New Roman"/>
        </w:rPr>
      </w:pPr>
    </w:p>
    <w:p w:rsidR="00000000" w:rsidRDefault="001F1FC8">
      <w:pPr>
        <w:divId w:val="2140417831"/>
        <w:rPr>
          <w:rFonts w:eastAsia="Times New Roman"/>
        </w:rPr>
      </w:pPr>
      <w:r>
        <w:rPr>
          <w:rFonts w:ascii="Arial" w:eastAsia="Times New Roman" w:hAnsi="Arial" w:cs="Arial"/>
          <w:color w:val="000000"/>
          <w:sz w:val="20"/>
          <w:szCs w:val="20"/>
        </w:rPr>
        <w:t>Feeder Pipelines and Other also inc</w:t>
      </w:r>
      <w:r>
        <w:rPr>
          <w:rFonts w:ascii="Arial" w:eastAsia="Times New Roman" w:hAnsi="Arial" w:cs="Arial"/>
          <w:color w:val="000000"/>
          <w:sz w:val="20"/>
          <w:szCs w:val="20"/>
        </w:rPr>
        <w:t>ludes Patoka Storage, the Toledo pipeline</w:t>
      </w:r>
      <w:r>
        <w:rPr>
          <w:rFonts w:eastAsia="Times New Roman"/>
          <w:color w:val="000000"/>
          <w:sz w:val="20"/>
          <w:szCs w:val="20"/>
        </w:rPr>
        <w:t xml:space="preserve"> </w:t>
      </w:r>
      <w:r>
        <w:rPr>
          <w:rFonts w:ascii="Arial" w:eastAsia="Times New Roman" w:hAnsi="Arial" w:cs="Arial"/>
          <w:color w:val="000000"/>
          <w:sz w:val="20"/>
          <w:szCs w:val="20"/>
        </w:rPr>
        <w:t xml:space="preserve">system and the Norman Wells (NW) System. Patoka Storage is comprised of four storage tanks with 480 thousand barrels of shell capacity located in Patoka, Illinois. The 101 kbpd Toledo pipeline system connects with </w:t>
      </w:r>
      <w:r>
        <w:rPr>
          <w:rFonts w:ascii="Arial" w:eastAsia="Times New Roman" w:hAnsi="Arial" w:cs="Arial"/>
          <w:color w:val="000000"/>
          <w:sz w:val="20"/>
          <w:szCs w:val="20"/>
        </w:rPr>
        <w:t>the Lakehead System and delivers to Ohio and Michigan. The 45 kbpd NW System transports crude oil from Norman Wells in the Northwest Territories to Zama, Alberta and has a cost-of-service rate structure based on established terms with shippers.</w:t>
      </w:r>
    </w:p>
    <w:p w:rsidR="00000000" w:rsidRDefault="001F1FC8">
      <w:pPr>
        <w:divId w:val="1933002447"/>
        <w:rPr>
          <w:rFonts w:eastAsia="Times New Roman"/>
        </w:rPr>
      </w:pPr>
    </w:p>
    <w:p w:rsidR="00000000" w:rsidRDefault="001F1FC8">
      <w:pPr>
        <w:divId w:val="2119717905"/>
        <w:rPr>
          <w:rFonts w:eastAsia="Times New Roman"/>
        </w:rPr>
      </w:pPr>
      <w:r>
        <w:rPr>
          <w:rFonts w:ascii="Arial" w:eastAsia="Times New Roman" w:hAnsi="Arial" w:cs="Arial"/>
          <w:b/>
          <w:bCs/>
          <w:color w:val="000000"/>
          <w:sz w:val="20"/>
          <w:szCs w:val="20"/>
        </w:rPr>
        <w:t>COMPETITION</w:t>
      </w:r>
    </w:p>
    <w:p w:rsidR="00000000" w:rsidRDefault="001F1FC8">
      <w:pPr>
        <w:divId w:val="949973762"/>
        <w:rPr>
          <w:rFonts w:eastAsia="Times New Roman"/>
        </w:rPr>
      </w:pPr>
      <w:r>
        <w:rPr>
          <w:rFonts w:ascii="Arial" w:eastAsia="Times New Roman" w:hAnsi="Arial" w:cs="Arial"/>
          <w:color w:val="000000"/>
          <w:sz w:val="20"/>
          <w:szCs w:val="20"/>
        </w:rPr>
        <w:t>Competition to our liquids pipelines network comes primarily from infrastructure or logistics alternatives that transport liquid hydrocarbons from production basins in, which we operate, to markets in Canada, the US and internationally. Competi</w:t>
      </w:r>
      <w:r>
        <w:rPr>
          <w:rFonts w:ascii="Arial" w:eastAsia="Times New Roman" w:hAnsi="Arial" w:cs="Arial"/>
          <w:color w:val="000000"/>
          <w:sz w:val="20"/>
          <w:szCs w:val="20"/>
        </w:rPr>
        <w:t xml:space="preserve">tion from existing and proposed pipelines is based primarily on access to supply, end use markets, the cost of transportation, contract structure and the quality and reliability of service. Additionally, volatile crude price differentials and insufficient </w:t>
      </w:r>
      <w:r>
        <w:rPr>
          <w:rFonts w:ascii="Arial" w:eastAsia="Times New Roman" w:hAnsi="Arial" w:cs="Arial"/>
          <w:color w:val="000000"/>
          <w:sz w:val="20"/>
          <w:szCs w:val="20"/>
        </w:rPr>
        <w:t>pipeline capacity on either our or competitors' pipelines can make transportation of crude oil by rail competitive, particularly to markets not currently served by pipelines.</w:t>
      </w:r>
    </w:p>
    <w:p w:rsidR="00000000" w:rsidRDefault="001F1FC8">
      <w:pPr>
        <w:divId w:val="904801552"/>
        <w:rPr>
          <w:rFonts w:eastAsia="Times New Roman"/>
        </w:rPr>
      </w:pPr>
    </w:p>
    <w:p w:rsidR="00000000" w:rsidRDefault="001F1FC8">
      <w:pPr>
        <w:divId w:val="1720785689"/>
        <w:rPr>
          <w:rFonts w:eastAsia="Times New Roman"/>
        </w:rPr>
      </w:pPr>
      <w:r>
        <w:rPr>
          <w:rFonts w:ascii="Arial" w:eastAsia="Times New Roman" w:hAnsi="Arial" w:cs="Arial"/>
          <w:color w:val="000000"/>
          <w:sz w:val="20"/>
          <w:szCs w:val="20"/>
        </w:rPr>
        <w:t>We believe that our liquids pipelines systems will continue to provide competit</w:t>
      </w:r>
      <w:r>
        <w:rPr>
          <w:rFonts w:ascii="Arial" w:eastAsia="Times New Roman" w:hAnsi="Arial" w:cs="Arial"/>
          <w:color w:val="000000"/>
          <w:sz w:val="20"/>
          <w:szCs w:val="20"/>
        </w:rPr>
        <w:t>ive and attractive options to producers in the Western Canadian Sedimentary Basin (WCSB), North Dakota, and more recently the Permian Basin, due to our market access, competitive tolls and flexibility through our multiple delivery and storage points. We al</w:t>
      </w:r>
      <w:r>
        <w:rPr>
          <w:rFonts w:ascii="Arial" w:eastAsia="Times New Roman" w:hAnsi="Arial" w:cs="Arial"/>
          <w:color w:val="000000"/>
          <w:sz w:val="20"/>
          <w:szCs w:val="20"/>
        </w:rPr>
        <w:t xml:space="preserve">so employ long-term agreements with shippers, which mitigates competition risk by ensuring consistent supply to our liquids pipelines network. Our current complement of growth projects to expand market access and to enhance capacity on our pipeline system </w:t>
      </w:r>
      <w:r>
        <w:rPr>
          <w:rFonts w:ascii="Arial" w:eastAsia="Times New Roman" w:hAnsi="Arial" w:cs="Arial"/>
          <w:color w:val="000000"/>
          <w:sz w:val="20"/>
          <w:szCs w:val="20"/>
        </w:rPr>
        <w:t>will provide additional competitive solutions for liquids transportation. We have a proven track record of successfully executing projects to meet the needs of our customers.</w:t>
      </w:r>
    </w:p>
    <w:p w:rsidR="00000000" w:rsidRDefault="001F1FC8">
      <w:pPr>
        <w:divId w:val="728648239"/>
        <w:rPr>
          <w:rFonts w:eastAsia="Times New Roman"/>
        </w:rPr>
      </w:pPr>
    </w:p>
    <w:p w:rsidR="00000000" w:rsidRDefault="001F1FC8">
      <w:pPr>
        <w:divId w:val="422724481"/>
        <w:rPr>
          <w:rFonts w:eastAsia="Times New Roman"/>
        </w:rPr>
      </w:pPr>
      <w:r>
        <w:rPr>
          <w:rFonts w:ascii="Arial" w:eastAsia="Times New Roman" w:hAnsi="Arial" w:cs="Arial"/>
          <w:b/>
          <w:bCs/>
          <w:color w:val="000000"/>
          <w:sz w:val="20"/>
          <w:szCs w:val="20"/>
        </w:rPr>
        <w:t>SUPPLY AND DEMAND</w:t>
      </w:r>
    </w:p>
    <w:p w:rsidR="00000000" w:rsidRDefault="001F1FC8">
      <w:pPr>
        <w:divId w:val="1466771028"/>
        <w:rPr>
          <w:rFonts w:eastAsia="Times New Roman"/>
        </w:rPr>
      </w:pPr>
      <w:r>
        <w:rPr>
          <w:rFonts w:ascii="Arial" w:eastAsia="Times New Roman" w:hAnsi="Arial" w:cs="Arial"/>
          <w:color w:val="000000"/>
          <w:sz w:val="20"/>
          <w:szCs w:val="20"/>
        </w:rPr>
        <w:t>We have an established and successful history of being the la</w:t>
      </w:r>
      <w:r>
        <w:rPr>
          <w:rFonts w:ascii="Arial" w:eastAsia="Times New Roman" w:hAnsi="Arial" w:cs="Arial"/>
          <w:color w:val="000000"/>
          <w:sz w:val="20"/>
          <w:szCs w:val="20"/>
        </w:rPr>
        <w:t>rgest transporter of crude oil to the US, the world’s largest market for crude oil. While US demand for Canadian crude oil production will support the use of our infrastructure for the foreseeable future, North American and global crude oil supply and dema</w:t>
      </w:r>
      <w:r>
        <w:rPr>
          <w:rFonts w:ascii="Arial" w:eastAsia="Times New Roman" w:hAnsi="Arial" w:cs="Arial"/>
          <w:color w:val="000000"/>
          <w:sz w:val="20"/>
          <w:szCs w:val="20"/>
        </w:rPr>
        <w:t>nd fundamentals are shifting, and we have a role to play in this transition by developing long-term transportation options that enable the efficient flow of crude oil from supply regions to end-user markets, both domestic and global.</w:t>
      </w:r>
    </w:p>
    <w:p w:rsidR="00000000" w:rsidRDefault="001F1FC8">
      <w:pPr>
        <w:divId w:val="1982691849"/>
        <w:rPr>
          <w:rFonts w:eastAsia="Times New Roman"/>
        </w:rPr>
      </w:pPr>
    </w:p>
    <w:p w:rsidR="00000000" w:rsidRDefault="001F1FC8">
      <w:pPr>
        <w:divId w:val="1683318221"/>
        <w:rPr>
          <w:rFonts w:eastAsia="Times New Roman"/>
        </w:rPr>
      </w:pPr>
      <w:r>
        <w:rPr>
          <w:rFonts w:ascii="Arial" w:eastAsia="Times New Roman" w:hAnsi="Arial" w:cs="Arial"/>
          <w:color w:val="000000"/>
          <w:sz w:val="20"/>
          <w:szCs w:val="20"/>
        </w:rPr>
        <w:t>The COVID-19 pandemi</w:t>
      </w:r>
      <w:r>
        <w:rPr>
          <w:rFonts w:ascii="Arial" w:eastAsia="Times New Roman" w:hAnsi="Arial" w:cs="Arial"/>
          <w:color w:val="000000"/>
          <w:sz w:val="20"/>
          <w:szCs w:val="20"/>
        </w:rPr>
        <w:t>c had a significant negative impact on the crude oil market in 2020 with decreased demand from the economic slowdown and government imposed mobility restrictions. However, 2021 has seen global crude oil demand recover to levels close to pre-pandemic highs.</w:t>
      </w:r>
      <w:r>
        <w:rPr>
          <w:rFonts w:ascii="Arial" w:eastAsia="Times New Roman" w:hAnsi="Arial" w:cs="Arial"/>
          <w:color w:val="000000"/>
          <w:sz w:val="20"/>
          <w:szCs w:val="20"/>
        </w:rPr>
        <w:t xml:space="preserve"> International prices have strengthened to multi-year highs as global demand has outpaced the return of supply as publicly traded producers have adopted a more disciplined approach to capital allocation for new drilling.</w:t>
      </w:r>
    </w:p>
    <w:p w:rsidR="00000000" w:rsidRDefault="001F1FC8">
      <w:pPr>
        <w:jc w:val="center"/>
        <w:divId w:val="518277835"/>
        <w:rPr>
          <w:rFonts w:eastAsia="Times New Roman"/>
        </w:rPr>
      </w:pPr>
      <w:r>
        <w:rPr>
          <w:rFonts w:ascii="Arial" w:eastAsia="Times New Roman" w:hAnsi="Arial" w:cs="Arial"/>
          <w:color w:val="000000"/>
          <w:sz w:val="20"/>
          <w:szCs w:val="20"/>
        </w:rPr>
        <w:t>18</w:t>
      </w:r>
    </w:p>
    <w:p w:rsidR="00000000" w:rsidRDefault="001F1FC8">
      <w:pPr>
        <w:rPr>
          <w:rFonts w:eastAsia="Times New Roman"/>
        </w:rPr>
      </w:pPr>
      <w:r>
        <w:rPr>
          <w:rFonts w:eastAsia="Times New Roman"/>
        </w:rPr>
        <w:pict>
          <v:rect id="_x0000_i1043" style="width:0;height:1.5pt" o:hralign="center" o:hrstd="t" o:hr="t" fillcolor="#a0a0a0" stroked="f"/>
        </w:pict>
      </w:r>
    </w:p>
    <w:p w:rsidR="00000000" w:rsidRDefault="001F1FC8">
      <w:pPr>
        <w:jc w:val="center"/>
        <w:divId w:val="828054140"/>
        <w:rPr>
          <w:rFonts w:eastAsia="Times New Roman"/>
        </w:rPr>
      </w:pPr>
    </w:p>
    <w:p w:rsidR="00000000" w:rsidRDefault="001F1FC8">
      <w:pPr>
        <w:divId w:val="69229905"/>
        <w:rPr>
          <w:rFonts w:eastAsia="Times New Roman"/>
        </w:rPr>
      </w:pPr>
      <w:r>
        <w:rPr>
          <w:rFonts w:ascii="Arial" w:eastAsia="Times New Roman" w:hAnsi="Arial" w:cs="Arial"/>
          <w:color w:val="000000"/>
          <w:sz w:val="20"/>
          <w:szCs w:val="20"/>
        </w:rPr>
        <w:t xml:space="preserve">Our Mainline System throughput, as measured at the Canada/US border at Gretna, Manitoba ended the year delivering 3.1 million barrels per day, as the Line 3 Replacement program has come into service. Refinery demand in the upper Midwest PADD II market has </w:t>
      </w:r>
      <w:r>
        <w:rPr>
          <w:rFonts w:ascii="Arial" w:eastAsia="Times New Roman" w:hAnsi="Arial" w:cs="Arial"/>
          <w:color w:val="000000"/>
          <w:sz w:val="20"/>
          <w:szCs w:val="20"/>
        </w:rPr>
        <w:t>been strong given the economic recovery and enhanced mobility demand. On the US Gulf Coast, lower supply of heavy crude from Latin America and the Middle East is driving increased demand for Canadian heavy crude.</w:t>
      </w:r>
    </w:p>
    <w:p w:rsidR="00000000" w:rsidRDefault="001F1FC8">
      <w:pPr>
        <w:divId w:val="667589"/>
        <w:rPr>
          <w:rFonts w:eastAsia="Times New Roman"/>
        </w:rPr>
      </w:pPr>
      <w:r>
        <w:rPr>
          <w:rFonts w:ascii="Arial" w:eastAsia="Times New Roman" w:hAnsi="Arial" w:cs="Arial"/>
          <w:color w:val="000000"/>
          <w:sz w:val="20"/>
          <w:szCs w:val="20"/>
        </w:rPr>
        <w:t>Global crude oil demand in most base case f</w:t>
      </w:r>
      <w:r>
        <w:rPr>
          <w:rFonts w:ascii="Arial" w:eastAsia="Times New Roman" w:hAnsi="Arial" w:cs="Arial"/>
          <w:color w:val="000000"/>
          <w:sz w:val="20"/>
          <w:szCs w:val="20"/>
        </w:rPr>
        <w:t>orecasts is expected to grow into the next decade, primarily driven by emerging economies in regions outside the Organization for Economic Cooperation and Development (OECD), such as India and China. In North America, demand growth for transportation fuels</w:t>
      </w:r>
      <w:r>
        <w:rPr>
          <w:rFonts w:ascii="Arial" w:eastAsia="Times New Roman" w:hAnsi="Arial" w:cs="Arial"/>
          <w:color w:val="000000"/>
          <w:sz w:val="20"/>
          <w:szCs w:val="20"/>
        </w:rPr>
        <w:t xml:space="preserve"> is expected to moderate over time due to vehicle fuel efficiency improvement and increasing sales of electric vehicles.</w:t>
      </w:r>
    </w:p>
    <w:p w:rsidR="00000000" w:rsidRDefault="001F1FC8">
      <w:pPr>
        <w:divId w:val="518008610"/>
        <w:rPr>
          <w:rFonts w:eastAsia="Times New Roman"/>
        </w:rPr>
      </w:pPr>
    </w:p>
    <w:p w:rsidR="00000000" w:rsidRDefault="001F1FC8">
      <w:pPr>
        <w:divId w:val="962153520"/>
        <w:rPr>
          <w:rFonts w:eastAsia="Times New Roman"/>
        </w:rPr>
      </w:pPr>
      <w:r>
        <w:rPr>
          <w:rFonts w:ascii="Arial" w:eastAsia="Times New Roman" w:hAnsi="Arial" w:cs="Arial"/>
          <w:color w:val="000000"/>
          <w:sz w:val="20"/>
          <w:szCs w:val="20"/>
        </w:rPr>
        <w:t>New supply to meet this growing demand will primarily come from Organization of the Petroleum Exporting Countries (OPEC) countries an</w:t>
      </w:r>
      <w:r>
        <w:rPr>
          <w:rFonts w:ascii="Arial" w:eastAsia="Times New Roman" w:hAnsi="Arial" w:cs="Arial"/>
          <w:color w:val="000000"/>
          <w:sz w:val="20"/>
          <w:szCs w:val="20"/>
        </w:rPr>
        <w:t>d North America. Growth in supply from OPEC will be led by Saudi Arabia and the United Arab Emirates with their significant low cost reserves and could be supplemented by the return of sanctioned Iranian production. Growth in North America will be driven b</w:t>
      </w:r>
      <w:r>
        <w:rPr>
          <w:rFonts w:ascii="Arial" w:eastAsia="Times New Roman" w:hAnsi="Arial" w:cs="Arial"/>
          <w:color w:val="000000"/>
          <w:sz w:val="20"/>
          <w:szCs w:val="20"/>
        </w:rPr>
        <w:t>y the Permian Basin which is a large and cost competitive light crude oil resource base. In addition, heavy crude oil growth is expected from the WCSB as additional egress availability will support expansion of existing projects and some potential new gree</w:t>
      </w:r>
      <w:r>
        <w:rPr>
          <w:rFonts w:ascii="Arial" w:eastAsia="Times New Roman" w:hAnsi="Arial" w:cs="Arial"/>
          <w:color w:val="000000"/>
          <w:sz w:val="20"/>
          <w:szCs w:val="20"/>
        </w:rPr>
        <w:t>nfield facilities.</w:t>
      </w:r>
    </w:p>
    <w:p w:rsidR="00000000" w:rsidRDefault="001F1FC8">
      <w:pPr>
        <w:divId w:val="2035035923"/>
        <w:rPr>
          <w:rFonts w:eastAsia="Times New Roman"/>
        </w:rPr>
      </w:pPr>
    </w:p>
    <w:p w:rsidR="00000000" w:rsidRDefault="001F1FC8">
      <w:pPr>
        <w:divId w:val="105008850"/>
        <w:rPr>
          <w:rFonts w:eastAsia="Times New Roman"/>
        </w:rPr>
      </w:pPr>
      <w:r>
        <w:rPr>
          <w:rFonts w:ascii="Arial" w:eastAsia="Times New Roman" w:hAnsi="Arial" w:cs="Arial"/>
          <w:color w:val="000000"/>
          <w:sz w:val="20"/>
          <w:szCs w:val="20"/>
        </w:rPr>
        <w:t>The combination of long term demand growth in non-OECD nations, domestic demand contraction over time, and continued production growth in the Permian Basin and WCSB highlights the importance of our strategic asset footprint and reinfor</w:t>
      </w:r>
      <w:r>
        <w:rPr>
          <w:rFonts w:ascii="Arial" w:eastAsia="Times New Roman" w:hAnsi="Arial" w:cs="Arial"/>
          <w:color w:val="000000"/>
          <w:sz w:val="20"/>
          <w:szCs w:val="20"/>
        </w:rPr>
        <w:t>ces the need for additional export oriented infrastructure. We are well positioned to meet these evolving supply and demand fundamentals through expansion of system capacity for incremental access to the US Gulf Coast, and through further development of ou</w:t>
      </w:r>
      <w:r>
        <w:rPr>
          <w:rFonts w:ascii="Arial" w:eastAsia="Times New Roman" w:hAnsi="Arial" w:cs="Arial"/>
          <w:color w:val="000000"/>
          <w:sz w:val="20"/>
          <w:szCs w:val="20"/>
        </w:rPr>
        <w:t>r new Enbridge Ingleside Energy Center in Corpus Christi, the largest crude oil export facility in North America.</w:t>
      </w:r>
    </w:p>
    <w:p w:rsidR="00000000" w:rsidRDefault="001F1FC8">
      <w:pPr>
        <w:divId w:val="1651209745"/>
        <w:rPr>
          <w:rFonts w:eastAsia="Times New Roman"/>
        </w:rPr>
      </w:pPr>
    </w:p>
    <w:p w:rsidR="00000000" w:rsidRDefault="001F1FC8">
      <w:pPr>
        <w:divId w:val="602878281"/>
        <w:rPr>
          <w:rFonts w:eastAsia="Times New Roman"/>
        </w:rPr>
      </w:pPr>
      <w:r>
        <w:rPr>
          <w:rFonts w:ascii="Arial" w:eastAsia="Times New Roman" w:hAnsi="Arial" w:cs="Arial"/>
          <w:color w:val="000000"/>
          <w:sz w:val="20"/>
          <w:szCs w:val="20"/>
        </w:rPr>
        <w:t>Opposition to fossil fuel development in conjunction with evolving consumer preferences and new technology could underpin accelerated energy</w:t>
      </w:r>
      <w:r>
        <w:rPr>
          <w:rFonts w:ascii="Arial" w:eastAsia="Times New Roman" w:hAnsi="Arial" w:cs="Arial"/>
          <w:color w:val="000000"/>
          <w:sz w:val="20"/>
          <w:szCs w:val="20"/>
        </w:rPr>
        <w:t xml:space="preserve"> transition scenarios impacting long term supply and demand of crude oil. We continue to closely monitor the evolution of all of these factors to be able to pro-actively adapt our business to help meet our customers’ and society’s energy needs.</w:t>
      </w:r>
    </w:p>
    <w:p w:rsidR="00000000" w:rsidRDefault="001F1FC8">
      <w:pPr>
        <w:divId w:val="1431658920"/>
        <w:rPr>
          <w:rFonts w:eastAsia="Times New Roman"/>
        </w:rPr>
      </w:pPr>
    </w:p>
    <w:p w:rsidR="00000000" w:rsidRDefault="001F1FC8">
      <w:pPr>
        <w:divId w:val="571543027"/>
        <w:rPr>
          <w:rFonts w:eastAsia="Times New Roman"/>
        </w:rPr>
      </w:pPr>
      <w:r>
        <w:rPr>
          <w:rFonts w:ascii="Arial" w:eastAsia="Times New Roman" w:hAnsi="Arial" w:cs="Arial"/>
          <w:color w:val="000000"/>
          <w:sz w:val="20"/>
          <w:szCs w:val="20"/>
        </w:rPr>
        <w:t xml:space="preserve">Progress </w:t>
      </w:r>
      <w:r>
        <w:rPr>
          <w:rFonts w:ascii="Arial" w:eastAsia="Times New Roman" w:hAnsi="Arial" w:cs="Arial"/>
          <w:color w:val="000000"/>
          <w:sz w:val="20"/>
          <w:szCs w:val="20"/>
        </w:rPr>
        <w:t xml:space="preserve">on the development and construction of our commercially secured growth projects is discussed in Part II. </w:t>
      </w:r>
      <w:r>
        <w:rPr>
          <w:rFonts w:ascii="Arial" w:eastAsia="Times New Roman" w:hAnsi="Arial" w:cs="Arial"/>
          <w:i/>
          <w:iCs/>
          <w:color w:val="000000"/>
          <w:sz w:val="20"/>
          <w:szCs w:val="20"/>
        </w:rPr>
        <w:t>Item 7.</w:t>
      </w:r>
      <w:r>
        <w:rPr>
          <w:rFonts w:ascii="Arial" w:eastAsia="Times New Roman" w:hAnsi="Arial" w:cs="Arial"/>
          <w:color w:val="000000"/>
          <w:sz w:val="20"/>
          <w:szCs w:val="20"/>
        </w:rPr>
        <w:t xml:space="preserve"> </w:t>
      </w:r>
      <w:r>
        <w:rPr>
          <w:rFonts w:ascii="Arial" w:eastAsia="Times New Roman" w:hAnsi="Arial" w:cs="Arial"/>
          <w:i/>
          <w:iCs/>
          <w:color w:val="000000"/>
          <w:sz w:val="20"/>
          <w:szCs w:val="20"/>
        </w:rPr>
        <w:t>Management's Discussion and Analysis of Financial Condition and Results of Operations - Growth Projects - Commercially Secured Projects.</w:t>
      </w:r>
    </w:p>
    <w:p w:rsidR="00000000" w:rsidRDefault="001F1FC8">
      <w:pPr>
        <w:divId w:val="1065105723"/>
        <w:rPr>
          <w:rFonts w:eastAsia="Times New Roman"/>
        </w:rPr>
      </w:pPr>
    </w:p>
    <w:p w:rsidR="00000000" w:rsidRDefault="001F1FC8">
      <w:pPr>
        <w:jc w:val="center"/>
        <w:divId w:val="422802629"/>
        <w:rPr>
          <w:rFonts w:eastAsia="Times New Roman"/>
        </w:rPr>
      </w:pPr>
      <w:r>
        <w:rPr>
          <w:rFonts w:ascii="Arial" w:eastAsia="Times New Roman" w:hAnsi="Arial" w:cs="Arial"/>
          <w:color w:val="000000"/>
          <w:sz w:val="20"/>
          <w:szCs w:val="20"/>
        </w:rPr>
        <w:t>19</w:t>
      </w:r>
    </w:p>
    <w:p w:rsidR="00000000" w:rsidRDefault="001F1FC8">
      <w:pPr>
        <w:rPr>
          <w:rFonts w:eastAsia="Times New Roman"/>
        </w:rPr>
      </w:pPr>
      <w:r>
        <w:rPr>
          <w:rFonts w:eastAsia="Times New Roman"/>
        </w:rPr>
        <w:pict>
          <v:rect id="_x0000_i1044" style="width:0;height:1.5pt" o:hralign="center" o:hrstd="t" o:hr="t" fillcolor="#a0a0a0" stroked="f"/>
        </w:pict>
      </w:r>
    </w:p>
    <w:p w:rsidR="00000000" w:rsidRDefault="001F1FC8">
      <w:pPr>
        <w:jc w:val="center"/>
        <w:divId w:val="1465930581"/>
        <w:rPr>
          <w:rFonts w:eastAsia="Times New Roman"/>
        </w:rPr>
      </w:pPr>
    </w:p>
    <w:p w:rsidR="00000000" w:rsidRDefault="001F1FC8">
      <w:pPr>
        <w:jc w:val="both"/>
        <w:rPr>
          <w:rFonts w:eastAsia="Times New Roman"/>
        </w:rPr>
      </w:pPr>
      <w:r>
        <w:rPr>
          <w:rFonts w:ascii="Arial" w:eastAsia="Times New Roman" w:hAnsi="Arial" w:cs="Arial"/>
          <w:b/>
          <w:bCs/>
          <w:color w:val="000000"/>
          <w:sz w:val="28"/>
          <w:szCs w:val="28"/>
        </w:rPr>
        <w:t>GAS TRANSMISSION AND MIDSTREAM</w:t>
      </w:r>
    </w:p>
    <w:p w:rsidR="00000000" w:rsidRDefault="001F1FC8">
      <w:pPr>
        <w:divId w:val="135033039"/>
        <w:rPr>
          <w:rFonts w:eastAsia="Times New Roman"/>
        </w:rPr>
      </w:pPr>
    </w:p>
    <w:p w:rsidR="00000000" w:rsidRDefault="001F1FC8">
      <w:pPr>
        <w:divId w:val="1354184562"/>
        <w:rPr>
          <w:rFonts w:eastAsia="Times New Roman"/>
        </w:rPr>
      </w:pPr>
      <w:r>
        <w:rPr>
          <w:rFonts w:ascii="Arial" w:eastAsia="Times New Roman" w:hAnsi="Arial" w:cs="Arial"/>
          <w:color w:val="000000"/>
          <w:sz w:val="20"/>
          <w:szCs w:val="20"/>
        </w:rPr>
        <w:t>Gas Transmission and Midstream consists of our investments in natural gas pipelines and gathering and processing facilities in Canada and the US, including US Gas Transmission, Canadian Gas Transmission, US Midstream and other assets.</w:t>
      </w:r>
    </w:p>
    <w:p w:rsidR="00000000" w:rsidRDefault="001F1FC8">
      <w:pPr>
        <w:jc w:val="both"/>
        <w:rPr>
          <w:rFonts w:eastAsia="Times New Roman"/>
        </w:rPr>
      </w:pPr>
      <w:r>
        <w:rPr>
          <w:rFonts w:eastAsia="Times New Roman"/>
          <w:noProof/>
        </w:rPr>
        <w:drawing>
          <wp:inline distT="0" distB="0" distL="0" distR="0">
            <wp:extent cx="304800" cy="30480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link="rId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000000" w:rsidRDefault="001F1FC8">
      <w:pPr>
        <w:jc w:val="both"/>
        <w:rPr>
          <w:rFonts w:eastAsia="Times New Roman"/>
        </w:rPr>
      </w:pPr>
    </w:p>
    <w:p w:rsidR="00000000" w:rsidRDefault="001F1FC8">
      <w:pPr>
        <w:jc w:val="center"/>
        <w:divId w:val="670790173"/>
        <w:rPr>
          <w:rFonts w:eastAsia="Times New Roman"/>
        </w:rPr>
      </w:pPr>
      <w:r>
        <w:rPr>
          <w:rFonts w:ascii="Arial" w:eastAsia="Times New Roman" w:hAnsi="Arial" w:cs="Arial"/>
          <w:color w:val="000000"/>
          <w:sz w:val="20"/>
          <w:szCs w:val="20"/>
        </w:rPr>
        <w:t>20</w:t>
      </w:r>
    </w:p>
    <w:p w:rsidR="00000000" w:rsidRDefault="001F1FC8">
      <w:pPr>
        <w:rPr>
          <w:rFonts w:eastAsia="Times New Roman"/>
        </w:rPr>
      </w:pPr>
      <w:r>
        <w:rPr>
          <w:rFonts w:eastAsia="Times New Roman"/>
        </w:rPr>
        <w:pict>
          <v:rect id="_x0000_i1046" style="width:0;height:1.5pt" o:hralign="center" o:hrstd="t" o:hr="t" fillcolor="#a0a0a0" stroked="f"/>
        </w:pict>
      </w:r>
    </w:p>
    <w:p w:rsidR="00000000" w:rsidRDefault="001F1FC8">
      <w:pPr>
        <w:jc w:val="center"/>
        <w:divId w:val="1560628699"/>
        <w:rPr>
          <w:rFonts w:eastAsia="Times New Roman"/>
        </w:rPr>
      </w:pPr>
    </w:p>
    <w:p w:rsidR="00000000" w:rsidRDefault="001F1FC8">
      <w:pPr>
        <w:divId w:val="1539514261"/>
        <w:rPr>
          <w:rFonts w:eastAsia="Times New Roman"/>
        </w:rPr>
      </w:pPr>
      <w:r>
        <w:rPr>
          <w:rFonts w:ascii="Arial" w:eastAsia="Times New Roman" w:hAnsi="Arial" w:cs="Arial"/>
          <w:b/>
          <w:bCs/>
          <w:color w:val="000000"/>
          <w:sz w:val="20"/>
          <w:szCs w:val="20"/>
        </w:rPr>
        <w:t>US GAS TRANSMISSION</w:t>
      </w:r>
    </w:p>
    <w:p w:rsidR="00000000" w:rsidRDefault="001F1FC8">
      <w:pPr>
        <w:divId w:val="836383592"/>
        <w:rPr>
          <w:rFonts w:eastAsia="Times New Roman"/>
        </w:rPr>
      </w:pPr>
      <w:r>
        <w:rPr>
          <w:rFonts w:ascii="Arial" w:eastAsia="Times New Roman" w:hAnsi="Arial" w:cs="Arial"/>
          <w:color w:val="000000"/>
          <w:sz w:val="20"/>
          <w:szCs w:val="20"/>
        </w:rPr>
        <w:t>US Gas Transmission includes ownership interests in Texas Eastern Transmission, L.P. (Texas Eastern), Algonquin Gas Transmission, LLC (Algonquin), Maritimes &amp; Northeast (M&amp;N) (US and Canada), East Tennessee Natural Gas, LLC (East Tennessee), Gulfstream Nat</w:t>
      </w:r>
      <w:r>
        <w:rPr>
          <w:rFonts w:ascii="Arial" w:eastAsia="Times New Roman" w:hAnsi="Arial" w:cs="Arial"/>
          <w:color w:val="000000"/>
          <w:sz w:val="20"/>
          <w:szCs w:val="20"/>
        </w:rPr>
        <w:t>ural Gas System, L.L.C. (Gulfstream), Sabal Trail Transmission (Sabal Trail), NEXUS Gas Transmission Pipeline (NEXUS), Valley Crossing Pipeline, LLC. (Valley Crossing), Southeast Supply Header (SESH), Vector Pipeline L.P. (Vector) and certain other gas pip</w:t>
      </w:r>
      <w:r>
        <w:rPr>
          <w:rFonts w:ascii="Arial" w:eastAsia="Times New Roman" w:hAnsi="Arial" w:cs="Arial"/>
          <w:color w:val="000000"/>
          <w:sz w:val="20"/>
          <w:szCs w:val="20"/>
        </w:rPr>
        <w:t>eline and storage assets. The US Gas Transmission business primarily provides transmission and storage of natural gas through interstate pipeline systems for customers in various regions of the northeastern, southern and midwestern US.</w:t>
      </w:r>
    </w:p>
    <w:p w:rsidR="00000000" w:rsidRDefault="001F1FC8">
      <w:pPr>
        <w:divId w:val="791630179"/>
        <w:rPr>
          <w:rFonts w:eastAsia="Times New Roman"/>
        </w:rPr>
      </w:pPr>
    </w:p>
    <w:p w:rsidR="00000000" w:rsidRDefault="001F1FC8">
      <w:pPr>
        <w:divId w:val="1738092063"/>
        <w:rPr>
          <w:rFonts w:eastAsia="Times New Roman"/>
        </w:rPr>
      </w:pPr>
      <w:r>
        <w:rPr>
          <w:rFonts w:ascii="Arial" w:eastAsia="Times New Roman" w:hAnsi="Arial" w:cs="Arial"/>
          <w:color w:val="000000"/>
          <w:sz w:val="20"/>
          <w:szCs w:val="20"/>
        </w:rPr>
        <w:t xml:space="preserve">The Texas Eastern </w:t>
      </w:r>
      <w:r>
        <w:rPr>
          <w:rFonts w:ascii="Arial" w:eastAsia="Times New Roman" w:hAnsi="Arial" w:cs="Arial"/>
          <w:color w:val="000000"/>
          <w:sz w:val="20"/>
          <w:szCs w:val="20"/>
        </w:rPr>
        <w:t>natural gas transmission system extends from supply and demand centers in the Gulf Coast region of Texas and Louisiana to supply and demand centers in Ohio, Pennsylvania, New Jersey and New York. Texas Eastern's onshore system has a peak day capacity of 13</w:t>
      </w:r>
      <w:r>
        <w:rPr>
          <w:rFonts w:ascii="Arial" w:eastAsia="Times New Roman" w:hAnsi="Arial" w:cs="Arial"/>
          <w:color w:val="000000"/>
          <w:sz w:val="20"/>
          <w:szCs w:val="20"/>
        </w:rPr>
        <w:t xml:space="preserve">.09 billion cubic feet per day (bcf/d) of natural gas on approximately 13,807-kilometers (8,579-miles) of pipeline and associated compressor stations. Texas Eastern is also connected to four affiliated storage facilities that are partially or wholly-owned </w:t>
      </w:r>
      <w:r>
        <w:rPr>
          <w:rFonts w:ascii="Arial" w:eastAsia="Times New Roman" w:hAnsi="Arial" w:cs="Arial"/>
          <w:color w:val="000000"/>
          <w:sz w:val="20"/>
          <w:szCs w:val="20"/>
        </w:rPr>
        <w:t>by other entities within the US Gas Transmission business.</w:t>
      </w:r>
    </w:p>
    <w:p w:rsidR="00000000" w:rsidRDefault="001F1FC8">
      <w:pPr>
        <w:divId w:val="2139294373"/>
        <w:rPr>
          <w:rFonts w:eastAsia="Times New Roman"/>
        </w:rPr>
      </w:pPr>
    </w:p>
    <w:p w:rsidR="00000000" w:rsidRDefault="001F1FC8">
      <w:pPr>
        <w:divId w:val="1889565577"/>
        <w:rPr>
          <w:rFonts w:eastAsia="Times New Roman"/>
        </w:rPr>
      </w:pPr>
      <w:r>
        <w:rPr>
          <w:rFonts w:ascii="Arial" w:eastAsia="Times New Roman" w:hAnsi="Arial" w:cs="Arial"/>
          <w:color w:val="000000"/>
          <w:sz w:val="20"/>
          <w:szCs w:val="20"/>
        </w:rPr>
        <w:t>The Algonquin natural gas transmission system connects with Texas Eastern’s facilities in New Jersey and extends through New Jersey, New York, Connecticut, Rhode Island and Massachusetts where it</w:t>
      </w:r>
      <w:r>
        <w:rPr>
          <w:rFonts w:ascii="Arial" w:eastAsia="Times New Roman" w:hAnsi="Arial" w:cs="Arial"/>
          <w:color w:val="000000"/>
          <w:sz w:val="20"/>
          <w:szCs w:val="20"/>
        </w:rPr>
        <w:t xml:space="preserve"> connects to M&amp;N US. The system has a peak day capacity of 3.09 bcf/d of natural gas on approximately 1,820-kilometers (1,131-miles) of pipeline with associated compressor stations. </w:t>
      </w:r>
    </w:p>
    <w:p w:rsidR="00000000" w:rsidRDefault="001F1FC8">
      <w:pPr>
        <w:divId w:val="1398161636"/>
        <w:rPr>
          <w:rFonts w:eastAsia="Times New Roman"/>
        </w:rPr>
      </w:pPr>
    </w:p>
    <w:p w:rsidR="00000000" w:rsidRDefault="001F1FC8">
      <w:pPr>
        <w:divId w:val="2043553892"/>
        <w:rPr>
          <w:rFonts w:eastAsia="Times New Roman"/>
        </w:rPr>
      </w:pPr>
      <w:r>
        <w:rPr>
          <w:rFonts w:ascii="Arial" w:eastAsia="Times New Roman" w:hAnsi="Arial" w:cs="Arial"/>
          <w:color w:val="000000"/>
          <w:sz w:val="20"/>
          <w:szCs w:val="20"/>
        </w:rPr>
        <w:t>M&amp;N US has a peak day capacity of 0.83 bcf/d of natural gas on approxim</w:t>
      </w:r>
      <w:r>
        <w:rPr>
          <w:rFonts w:ascii="Arial" w:eastAsia="Times New Roman" w:hAnsi="Arial" w:cs="Arial"/>
          <w:color w:val="000000"/>
          <w:sz w:val="20"/>
          <w:szCs w:val="20"/>
        </w:rPr>
        <w:t>ately 552-kilometers (343-miles) of mainline interstate natural gas transmission system, including associated compressor stations, which extends from northeastern Massachusetts to the border of Canada near Baileyville, Maine. M&amp;N Canada has a peak day capa</w:t>
      </w:r>
      <w:r>
        <w:rPr>
          <w:rFonts w:ascii="Arial" w:eastAsia="Times New Roman" w:hAnsi="Arial" w:cs="Arial"/>
          <w:color w:val="000000"/>
          <w:sz w:val="20"/>
          <w:szCs w:val="20"/>
        </w:rPr>
        <w:t>city 0.55 bcf/d on approximately 885-kilometers (550-miles) of interprovincial natural gas transmission mainline system that extends from Goldboro, Nova Scotia to the US border near Baileyville, Maine. We have a 78% interest in M&amp;N US and M&amp;N Canada.</w:t>
      </w:r>
    </w:p>
    <w:p w:rsidR="00000000" w:rsidRDefault="001F1FC8">
      <w:pPr>
        <w:divId w:val="656542215"/>
        <w:rPr>
          <w:rFonts w:eastAsia="Times New Roman"/>
        </w:rPr>
      </w:pPr>
    </w:p>
    <w:p w:rsidR="00000000" w:rsidRDefault="001F1FC8">
      <w:pPr>
        <w:divId w:val="783815947"/>
        <w:rPr>
          <w:rFonts w:eastAsia="Times New Roman"/>
        </w:rPr>
      </w:pPr>
      <w:r>
        <w:rPr>
          <w:rFonts w:ascii="Arial" w:eastAsia="Times New Roman" w:hAnsi="Arial" w:cs="Arial"/>
          <w:color w:val="000000"/>
          <w:sz w:val="20"/>
          <w:szCs w:val="20"/>
        </w:rPr>
        <w:t>Eas</w:t>
      </w:r>
      <w:r>
        <w:rPr>
          <w:rFonts w:ascii="Arial" w:eastAsia="Times New Roman" w:hAnsi="Arial" w:cs="Arial"/>
          <w:color w:val="000000"/>
          <w:sz w:val="20"/>
          <w:szCs w:val="20"/>
        </w:rPr>
        <w:t>t Tennessee’s natural gas transmission system has a peak day capacity of 1.86 bcf/d of natural gas, crosses Texas Eastern’s system at two locations in Tennessee and consists of two mainline systems totaling approximately 2,456-kilometers (1,526-miles) of p</w:t>
      </w:r>
      <w:r>
        <w:rPr>
          <w:rFonts w:ascii="Arial" w:eastAsia="Times New Roman" w:hAnsi="Arial" w:cs="Arial"/>
          <w:color w:val="000000"/>
          <w:sz w:val="20"/>
          <w:szCs w:val="20"/>
        </w:rPr>
        <w:t>ipeline in Tennessee, Georgia, North Carolina and Virginia, with associated compressor stations. East Tennessee has a LNG storage facility in Tennessee and also connects to the Saltville storage facilities in Virginia.</w:t>
      </w:r>
    </w:p>
    <w:p w:rsidR="00000000" w:rsidRDefault="001F1FC8">
      <w:pPr>
        <w:divId w:val="1483690015"/>
        <w:rPr>
          <w:rFonts w:eastAsia="Times New Roman"/>
        </w:rPr>
      </w:pPr>
    </w:p>
    <w:p w:rsidR="00000000" w:rsidRDefault="001F1FC8">
      <w:pPr>
        <w:divId w:val="1562325120"/>
        <w:rPr>
          <w:rFonts w:eastAsia="Times New Roman"/>
        </w:rPr>
      </w:pPr>
      <w:r>
        <w:rPr>
          <w:rFonts w:ascii="Arial" w:eastAsia="Times New Roman" w:hAnsi="Arial" w:cs="Arial"/>
          <w:color w:val="000000"/>
          <w:sz w:val="20"/>
          <w:szCs w:val="20"/>
        </w:rPr>
        <w:t>Gulfstream is an approximately 1,19</w:t>
      </w:r>
      <w:r>
        <w:rPr>
          <w:rFonts w:ascii="Arial" w:eastAsia="Times New Roman" w:hAnsi="Arial" w:cs="Arial"/>
          <w:color w:val="000000"/>
          <w:sz w:val="20"/>
          <w:szCs w:val="20"/>
        </w:rPr>
        <w:t>9-kilometer (745-mile) interstate natural gas transmission system with associated compressor stations. Gulfstream has a peak day capacity of 1.31 bcf/d of natural gas from Mississippi, Alabama, Louisiana and Texas, crossing the Gulf of Mexico to markets in</w:t>
      </w:r>
      <w:r>
        <w:rPr>
          <w:rFonts w:ascii="Arial" w:eastAsia="Times New Roman" w:hAnsi="Arial" w:cs="Arial"/>
          <w:color w:val="000000"/>
          <w:sz w:val="20"/>
          <w:szCs w:val="20"/>
        </w:rPr>
        <w:t xml:space="preserve"> central and southern Florida. We have a 50% interest in Gulfstream.</w:t>
      </w:r>
    </w:p>
    <w:p w:rsidR="00000000" w:rsidRDefault="001F1FC8">
      <w:pPr>
        <w:divId w:val="1165710563"/>
        <w:rPr>
          <w:rFonts w:eastAsia="Times New Roman"/>
        </w:rPr>
      </w:pPr>
    </w:p>
    <w:p w:rsidR="00000000" w:rsidRDefault="001F1FC8">
      <w:pPr>
        <w:divId w:val="954141080"/>
        <w:rPr>
          <w:rFonts w:eastAsia="Times New Roman"/>
        </w:rPr>
      </w:pPr>
      <w:r>
        <w:rPr>
          <w:rFonts w:ascii="Arial" w:eastAsia="Times New Roman" w:hAnsi="Arial" w:cs="Arial"/>
          <w:color w:val="000000"/>
          <w:sz w:val="20"/>
          <w:szCs w:val="20"/>
        </w:rPr>
        <w:t>Sabal Trail is an approximately 832-kilometer (517-mile) pipeline that provides firm natural gas transportation. Facilities include a pipeline, laterals and various compressor stations.</w:t>
      </w:r>
      <w:r>
        <w:rPr>
          <w:rFonts w:ascii="Arial" w:eastAsia="Times New Roman" w:hAnsi="Arial" w:cs="Arial"/>
          <w:color w:val="000000"/>
          <w:sz w:val="20"/>
          <w:szCs w:val="20"/>
        </w:rPr>
        <w:t xml:space="preserve"> The pipeline infrastructure is located in Alabama, Georgia and Florida, and adds approximately 1.0 bcf/d of capacity enabling the access of onshore gas supplies. We have a 50% interest in Sabal Trail.</w:t>
      </w:r>
    </w:p>
    <w:p w:rsidR="00000000" w:rsidRDefault="001F1FC8">
      <w:pPr>
        <w:divId w:val="104083478"/>
        <w:rPr>
          <w:rFonts w:eastAsia="Times New Roman"/>
        </w:rPr>
      </w:pPr>
    </w:p>
    <w:p w:rsidR="00000000" w:rsidRDefault="001F1FC8">
      <w:pPr>
        <w:divId w:val="1554852624"/>
        <w:rPr>
          <w:rFonts w:eastAsia="Times New Roman"/>
        </w:rPr>
      </w:pPr>
      <w:r>
        <w:rPr>
          <w:rFonts w:ascii="Arial" w:eastAsia="Times New Roman" w:hAnsi="Arial" w:cs="Arial"/>
          <w:color w:val="000000"/>
          <w:sz w:val="20"/>
          <w:szCs w:val="20"/>
        </w:rPr>
        <w:t>NEXUS is an approximately 414-kilometer (257-mile) i</w:t>
      </w:r>
      <w:r>
        <w:rPr>
          <w:rFonts w:ascii="Arial" w:eastAsia="Times New Roman" w:hAnsi="Arial" w:cs="Arial"/>
          <w:color w:val="000000"/>
          <w:sz w:val="20"/>
          <w:szCs w:val="20"/>
        </w:rPr>
        <w:t>nterstate natural gas transmission system with associated compressor stations. NEXUS transports natural gas from our Texas Eastern system in Ohio to our Vector interstate pipeline in Michigan, with peak day capacity of 1.4 bcf/d. Through its interconnect w</w:t>
      </w:r>
      <w:r>
        <w:rPr>
          <w:rFonts w:ascii="Arial" w:eastAsia="Times New Roman" w:hAnsi="Arial" w:cs="Arial"/>
          <w:color w:val="000000"/>
          <w:sz w:val="20"/>
          <w:szCs w:val="20"/>
        </w:rPr>
        <w:t>ith Vector, NEXUS provides a connection to Dawn Hub, the largest integrated underground storage facility in Canada and one of the largest in North America, located in southwestern Ontario adjacent to the Greater Toronto Area. We have a 50% interest in NEXU</w:t>
      </w:r>
      <w:r>
        <w:rPr>
          <w:rFonts w:ascii="Arial" w:eastAsia="Times New Roman" w:hAnsi="Arial" w:cs="Arial"/>
          <w:color w:val="000000"/>
          <w:sz w:val="20"/>
          <w:szCs w:val="20"/>
        </w:rPr>
        <w:t>S.</w:t>
      </w:r>
    </w:p>
    <w:p w:rsidR="00000000" w:rsidRDefault="001F1FC8">
      <w:pPr>
        <w:divId w:val="692658879"/>
        <w:rPr>
          <w:rFonts w:eastAsia="Times New Roman"/>
        </w:rPr>
      </w:pPr>
    </w:p>
    <w:p w:rsidR="00000000" w:rsidRDefault="001F1FC8">
      <w:pPr>
        <w:jc w:val="center"/>
        <w:divId w:val="345907792"/>
        <w:rPr>
          <w:rFonts w:eastAsia="Times New Roman"/>
        </w:rPr>
      </w:pPr>
      <w:r>
        <w:rPr>
          <w:rFonts w:ascii="Arial" w:eastAsia="Times New Roman" w:hAnsi="Arial" w:cs="Arial"/>
          <w:color w:val="000000"/>
          <w:sz w:val="20"/>
          <w:szCs w:val="20"/>
        </w:rPr>
        <w:t>21</w:t>
      </w:r>
    </w:p>
    <w:p w:rsidR="00000000" w:rsidRDefault="001F1FC8">
      <w:pPr>
        <w:rPr>
          <w:rFonts w:eastAsia="Times New Roman"/>
        </w:rPr>
      </w:pPr>
      <w:r>
        <w:rPr>
          <w:rFonts w:eastAsia="Times New Roman"/>
        </w:rPr>
        <w:pict>
          <v:rect id="_x0000_i1047" style="width:0;height:1.5pt" o:hralign="center" o:hrstd="t" o:hr="t" fillcolor="#a0a0a0" stroked="f"/>
        </w:pict>
      </w:r>
    </w:p>
    <w:p w:rsidR="00000000" w:rsidRDefault="001F1FC8">
      <w:pPr>
        <w:jc w:val="center"/>
        <w:divId w:val="1974945170"/>
        <w:rPr>
          <w:rFonts w:eastAsia="Times New Roman"/>
        </w:rPr>
      </w:pPr>
    </w:p>
    <w:p w:rsidR="00000000" w:rsidRDefault="001F1FC8">
      <w:pPr>
        <w:divId w:val="46415812"/>
        <w:rPr>
          <w:rFonts w:eastAsia="Times New Roman"/>
        </w:rPr>
      </w:pPr>
      <w:r>
        <w:rPr>
          <w:rFonts w:ascii="Arial" w:eastAsia="Times New Roman" w:hAnsi="Arial" w:cs="Arial"/>
          <w:color w:val="000000"/>
          <w:sz w:val="20"/>
          <w:szCs w:val="20"/>
        </w:rPr>
        <w:t xml:space="preserve">Valley Crossing is an approximately 285-kilometer (177-mile) intrastate natural gas transmission system, with associated compressor stations. The pipeline infrastructure is located in Texas and provides market </w:t>
      </w:r>
      <w:r>
        <w:rPr>
          <w:rFonts w:ascii="Arial" w:eastAsia="Times New Roman" w:hAnsi="Arial" w:cs="Arial"/>
          <w:color w:val="000000"/>
          <w:sz w:val="20"/>
          <w:szCs w:val="20"/>
        </w:rPr>
        <w:t>access of up to 2.6 bcf/d of design capacity to the Comisión Federal de Electricidad, Mexico’s state-owned utility.</w:t>
      </w:r>
    </w:p>
    <w:p w:rsidR="00000000" w:rsidRDefault="001F1FC8">
      <w:pPr>
        <w:divId w:val="1822234907"/>
        <w:rPr>
          <w:rFonts w:eastAsia="Times New Roman"/>
        </w:rPr>
      </w:pPr>
    </w:p>
    <w:p w:rsidR="00000000" w:rsidRDefault="001F1FC8">
      <w:pPr>
        <w:divId w:val="800803541"/>
        <w:rPr>
          <w:rFonts w:eastAsia="Times New Roman"/>
        </w:rPr>
      </w:pPr>
      <w:r>
        <w:rPr>
          <w:rFonts w:ascii="Arial" w:eastAsia="Times New Roman" w:hAnsi="Arial" w:cs="Arial"/>
          <w:color w:val="000000"/>
          <w:sz w:val="20"/>
          <w:szCs w:val="20"/>
        </w:rPr>
        <w:t>SESH is an approximately 462-kilometer (287-mile) natural gas transmission system with associated compressor stations. SESH extends from the Perryville Hub in northeastern Louisiana where the shale gas production of eastern Texas, northern Louisiana and Ar</w:t>
      </w:r>
      <w:r>
        <w:rPr>
          <w:rFonts w:ascii="Arial" w:eastAsia="Times New Roman" w:hAnsi="Arial" w:cs="Arial"/>
          <w:color w:val="000000"/>
          <w:sz w:val="20"/>
          <w:szCs w:val="20"/>
        </w:rPr>
        <w:t>kansas, along with conventional production, is reached from six major interconnections. SESH extends to Alabama, interconnecting with 14 major north-south pipelines and three high-deliverability storage facilities and has a peak day capacity of 1.1 bcf/d o</w:t>
      </w:r>
      <w:r>
        <w:rPr>
          <w:rFonts w:ascii="Arial" w:eastAsia="Times New Roman" w:hAnsi="Arial" w:cs="Arial"/>
          <w:color w:val="000000"/>
          <w:sz w:val="20"/>
          <w:szCs w:val="20"/>
        </w:rPr>
        <w:t>f natural gas. We have a 50% interest in SESH.</w:t>
      </w:r>
    </w:p>
    <w:p w:rsidR="00000000" w:rsidRDefault="001F1FC8">
      <w:pPr>
        <w:divId w:val="1623535622"/>
        <w:rPr>
          <w:rFonts w:eastAsia="Times New Roman"/>
        </w:rPr>
      </w:pPr>
    </w:p>
    <w:p w:rsidR="00000000" w:rsidRDefault="001F1FC8">
      <w:pPr>
        <w:divId w:val="1839690519"/>
        <w:rPr>
          <w:rFonts w:eastAsia="Times New Roman"/>
        </w:rPr>
      </w:pPr>
      <w:r>
        <w:rPr>
          <w:rFonts w:ascii="Arial" w:eastAsia="Times New Roman" w:hAnsi="Arial" w:cs="Arial"/>
          <w:color w:val="000000"/>
          <w:sz w:val="20"/>
          <w:szCs w:val="20"/>
        </w:rPr>
        <w:t>Vector is an approximately 560-kilometer (348-mile) pipeline travelling between Joliet, Illinois in the Chicago area and Ontario. Vector can deliver 1.745 bcf/d of natural gas, of which 455 million cubic fee</w:t>
      </w:r>
      <w:r>
        <w:rPr>
          <w:rFonts w:ascii="Arial" w:eastAsia="Times New Roman" w:hAnsi="Arial" w:cs="Arial"/>
          <w:color w:val="000000"/>
          <w:sz w:val="20"/>
          <w:szCs w:val="20"/>
        </w:rPr>
        <w:t>t per day (mmcf/d) is leased to NEXUS. We have a 60% interest in Vector.</w:t>
      </w:r>
    </w:p>
    <w:p w:rsidR="00000000" w:rsidRDefault="001F1FC8">
      <w:pPr>
        <w:divId w:val="1794707314"/>
        <w:rPr>
          <w:rFonts w:eastAsia="Times New Roman"/>
        </w:rPr>
      </w:pPr>
    </w:p>
    <w:p w:rsidR="00000000" w:rsidRDefault="001F1FC8">
      <w:pPr>
        <w:divId w:val="602301030"/>
        <w:rPr>
          <w:rFonts w:eastAsia="Times New Roman"/>
        </w:rPr>
      </w:pPr>
      <w:r>
        <w:rPr>
          <w:rFonts w:ascii="Arial" w:eastAsia="Times New Roman" w:hAnsi="Arial" w:cs="Arial"/>
          <w:color w:val="000000"/>
          <w:sz w:val="20"/>
          <w:szCs w:val="20"/>
        </w:rPr>
        <w:t>Transmission and storage services are generally provided under firm agreements where customers reserve capacity in pipelines and storage facilities. The vast majority of these agree</w:t>
      </w:r>
      <w:r>
        <w:rPr>
          <w:rFonts w:ascii="Arial" w:eastAsia="Times New Roman" w:hAnsi="Arial" w:cs="Arial"/>
          <w:color w:val="000000"/>
          <w:sz w:val="20"/>
          <w:szCs w:val="20"/>
        </w:rPr>
        <w:t>ments provide for fixed reservation charges that are paid monthly regardless of the actual volumes transported on the pipelines, plus a small variable component that is based on volumes transported, injected or withdrawn, which is intended to recover varia</w:t>
      </w:r>
      <w:r>
        <w:rPr>
          <w:rFonts w:ascii="Arial" w:eastAsia="Times New Roman" w:hAnsi="Arial" w:cs="Arial"/>
          <w:color w:val="000000"/>
          <w:sz w:val="20"/>
          <w:szCs w:val="20"/>
        </w:rPr>
        <w:t>ble costs.</w:t>
      </w:r>
    </w:p>
    <w:p w:rsidR="00000000" w:rsidRDefault="001F1FC8">
      <w:pPr>
        <w:divId w:val="2058969013"/>
        <w:rPr>
          <w:rFonts w:eastAsia="Times New Roman"/>
        </w:rPr>
      </w:pPr>
    </w:p>
    <w:p w:rsidR="00000000" w:rsidRDefault="001F1FC8">
      <w:pPr>
        <w:divId w:val="1352295074"/>
        <w:rPr>
          <w:rFonts w:eastAsia="Times New Roman"/>
        </w:rPr>
      </w:pPr>
      <w:r>
        <w:rPr>
          <w:rFonts w:ascii="Arial" w:eastAsia="Times New Roman" w:hAnsi="Arial" w:cs="Arial"/>
          <w:color w:val="000000"/>
          <w:sz w:val="20"/>
          <w:szCs w:val="20"/>
        </w:rPr>
        <w:t>Interruptible transmission and storage services are also available where customers can use capacity if it exists at the time of the request and are generally at a higher toll than long-term contracted rates. Interruptible revenues depend on th</w:t>
      </w:r>
      <w:r>
        <w:rPr>
          <w:rFonts w:ascii="Arial" w:eastAsia="Times New Roman" w:hAnsi="Arial" w:cs="Arial"/>
          <w:color w:val="000000"/>
          <w:sz w:val="20"/>
          <w:szCs w:val="20"/>
        </w:rPr>
        <w:t>e amount of volumes transported or stored and the associated rates for this service. Storage operations also provide a variety of other value-added services including natural gas parking, loaning and balancing services to meet customers’ needs.</w:t>
      </w:r>
    </w:p>
    <w:p w:rsidR="00000000" w:rsidRDefault="001F1FC8">
      <w:pPr>
        <w:jc w:val="both"/>
        <w:rPr>
          <w:rFonts w:eastAsia="Times New Roman"/>
        </w:rPr>
      </w:pPr>
    </w:p>
    <w:p w:rsidR="00000000" w:rsidRDefault="001F1FC8">
      <w:pPr>
        <w:jc w:val="both"/>
        <w:rPr>
          <w:rFonts w:eastAsia="Times New Roman"/>
        </w:rPr>
      </w:pPr>
      <w:r>
        <w:rPr>
          <w:rFonts w:ascii="Arial" w:eastAsia="Times New Roman" w:hAnsi="Arial" w:cs="Arial"/>
          <w:b/>
          <w:bCs/>
          <w:color w:val="000000"/>
          <w:sz w:val="20"/>
          <w:szCs w:val="20"/>
        </w:rPr>
        <w:t xml:space="preserve">CANADIAN </w:t>
      </w:r>
      <w:r>
        <w:rPr>
          <w:rFonts w:ascii="Arial" w:eastAsia="Times New Roman" w:hAnsi="Arial" w:cs="Arial"/>
          <w:b/>
          <w:bCs/>
          <w:color w:val="000000"/>
          <w:sz w:val="20"/>
          <w:szCs w:val="20"/>
        </w:rPr>
        <w:t>GAS TRANSMISSION</w:t>
      </w:r>
    </w:p>
    <w:p w:rsidR="00000000" w:rsidRDefault="001F1FC8">
      <w:pPr>
        <w:divId w:val="2091613880"/>
        <w:rPr>
          <w:rFonts w:eastAsia="Times New Roman"/>
        </w:rPr>
      </w:pPr>
      <w:r>
        <w:rPr>
          <w:rFonts w:ascii="Arial" w:eastAsia="Times New Roman" w:hAnsi="Arial" w:cs="Arial"/>
          <w:color w:val="000000"/>
          <w:sz w:val="20"/>
          <w:szCs w:val="20"/>
        </w:rPr>
        <w:t>Canadian Gas Transmission is comprised of Westcoast Energy Inc.’s (Westcoast) British Columbia (BC) Pipeline, Alliance Pipeline and other minor midstream gas gathering pipelines.</w:t>
      </w:r>
    </w:p>
    <w:p w:rsidR="00000000" w:rsidRDefault="001F1FC8">
      <w:pPr>
        <w:divId w:val="1988513679"/>
        <w:rPr>
          <w:rFonts w:eastAsia="Times New Roman"/>
        </w:rPr>
      </w:pPr>
    </w:p>
    <w:p w:rsidR="00000000" w:rsidRDefault="001F1FC8">
      <w:pPr>
        <w:divId w:val="1043090903"/>
        <w:rPr>
          <w:rFonts w:eastAsia="Times New Roman"/>
        </w:rPr>
      </w:pPr>
      <w:r>
        <w:rPr>
          <w:rFonts w:ascii="Arial" w:eastAsia="Times New Roman" w:hAnsi="Arial" w:cs="Arial"/>
          <w:color w:val="000000"/>
          <w:sz w:val="20"/>
          <w:szCs w:val="20"/>
        </w:rPr>
        <w:t>BC Pipeline has a peak day capacity of 3.6 bcf/d of natura</w:t>
      </w:r>
      <w:r>
        <w:rPr>
          <w:rFonts w:ascii="Arial" w:eastAsia="Times New Roman" w:hAnsi="Arial" w:cs="Arial"/>
          <w:color w:val="000000"/>
          <w:sz w:val="20"/>
          <w:szCs w:val="20"/>
        </w:rPr>
        <w:t xml:space="preserve">l gas on approximately 2,950-kilometers (1,833-miles) of transmission pipeline in BC and Alberta that includes associated mainline compressor stations. It provides cost-of-service based natural gas transmission services. </w:t>
      </w:r>
    </w:p>
    <w:p w:rsidR="00000000" w:rsidRDefault="001F1FC8">
      <w:pPr>
        <w:divId w:val="1292714520"/>
        <w:rPr>
          <w:rFonts w:eastAsia="Times New Roman"/>
        </w:rPr>
      </w:pPr>
    </w:p>
    <w:p w:rsidR="00000000" w:rsidRDefault="001F1FC8">
      <w:pPr>
        <w:divId w:val="1051659017"/>
        <w:rPr>
          <w:rFonts w:eastAsia="Times New Roman"/>
        </w:rPr>
      </w:pPr>
      <w:r>
        <w:rPr>
          <w:rFonts w:ascii="Arial" w:eastAsia="Times New Roman" w:hAnsi="Arial" w:cs="Arial"/>
          <w:color w:val="000000"/>
          <w:sz w:val="20"/>
          <w:szCs w:val="20"/>
        </w:rPr>
        <w:t>Alliance Pipeline is an approxim</w:t>
      </w:r>
      <w:r>
        <w:rPr>
          <w:rFonts w:ascii="Arial" w:eastAsia="Times New Roman" w:hAnsi="Arial" w:cs="Arial"/>
          <w:color w:val="000000"/>
          <w:sz w:val="20"/>
          <w:szCs w:val="20"/>
        </w:rPr>
        <w:t>ately 3,000-kilometer (1,864-mile) integrated, high-pressure natural gas transmission pipeline with approximately 860-kilometers (534-miles) of lateral pipelines and related infrastructure. It transports liquids-rich natural gas from northeast BC, northwes</w:t>
      </w:r>
      <w:r>
        <w:rPr>
          <w:rFonts w:ascii="Arial" w:eastAsia="Times New Roman" w:hAnsi="Arial" w:cs="Arial"/>
          <w:color w:val="000000"/>
          <w:sz w:val="20"/>
          <w:szCs w:val="20"/>
        </w:rPr>
        <w:t xml:space="preserve">t Alberta and the Bakken area in North Dakota to the Alliance Chicago gas exchange hub downstream of the Aux Sable NGL extraction and fractionation plant at Channahon, Illinois. The system has a peak day capacity of 1.8 bcf/d of natural gas. We have a 50% </w:t>
      </w:r>
      <w:r>
        <w:rPr>
          <w:rFonts w:ascii="Arial" w:eastAsia="Times New Roman" w:hAnsi="Arial" w:cs="Arial"/>
          <w:color w:val="000000"/>
          <w:sz w:val="20"/>
          <w:szCs w:val="20"/>
        </w:rPr>
        <w:t>interest in Alliance Pipeline.</w:t>
      </w:r>
    </w:p>
    <w:p w:rsidR="00000000" w:rsidRDefault="001F1FC8">
      <w:pPr>
        <w:divId w:val="1532574742"/>
        <w:rPr>
          <w:rFonts w:eastAsia="Times New Roman"/>
        </w:rPr>
      </w:pPr>
    </w:p>
    <w:p w:rsidR="00000000" w:rsidRDefault="001F1FC8">
      <w:pPr>
        <w:divId w:val="605388006"/>
        <w:rPr>
          <w:rFonts w:eastAsia="Times New Roman"/>
        </w:rPr>
      </w:pPr>
      <w:r>
        <w:rPr>
          <w:rFonts w:ascii="Arial" w:eastAsia="Times New Roman" w:hAnsi="Arial" w:cs="Arial"/>
          <w:color w:val="000000"/>
          <w:sz w:val="20"/>
          <w:szCs w:val="20"/>
        </w:rPr>
        <w:t>The majority of transportation services provided by Canadian Gas Transmission are under firm agreements, which provide for fixed reservation charges that are paid monthly regardless of actual volumes transported on the pipe</w:t>
      </w:r>
      <w:r>
        <w:rPr>
          <w:rFonts w:ascii="Arial" w:eastAsia="Times New Roman" w:hAnsi="Arial" w:cs="Arial"/>
          <w:color w:val="000000"/>
          <w:sz w:val="20"/>
          <w:szCs w:val="20"/>
        </w:rPr>
        <w:t>line, plus a small variable component that is based on volumes transported to recover variable costs. Canadian Gas Transmission also provides interruptible transmission services where customers can use capacity if it is available at the time of request. Pa</w:t>
      </w:r>
      <w:r>
        <w:rPr>
          <w:rFonts w:ascii="Arial" w:eastAsia="Times New Roman" w:hAnsi="Arial" w:cs="Arial"/>
          <w:color w:val="000000"/>
          <w:sz w:val="20"/>
          <w:szCs w:val="20"/>
        </w:rPr>
        <w:t>yments under these services are based on volumes transported.</w:t>
      </w:r>
    </w:p>
    <w:p w:rsidR="00000000" w:rsidRDefault="001F1FC8">
      <w:pPr>
        <w:divId w:val="748619763"/>
        <w:rPr>
          <w:rFonts w:eastAsia="Times New Roman"/>
        </w:rPr>
      </w:pPr>
    </w:p>
    <w:p w:rsidR="00000000" w:rsidRDefault="001F1FC8">
      <w:pPr>
        <w:jc w:val="center"/>
        <w:divId w:val="1894384993"/>
        <w:rPr>
          <w:rFonts w:eastAsia="Times New Roman"/>
        </w:rPr>
      </w:pPr>
      <w:r>
        <w:rPr>
          <w:rFonts w:ascii="Arial" w:eastAsia="Times New Roman" w:hAnsi="Arial" w:cs="Arial"/>
          <w:color w:val="000000"/>
          <w:sz w:val="20"/>
          <w:szCs w:val="20"/>
        </w:rPr>
        <w:t>22</w:t>
      </w:r>
    </w:p>
    <w:p w:rsidR="00000000" w:rsidRDefault="001F1FC8">
      <w:pPr>
        <w:rPr>
          <w:rFonts w:eastAsia="Times New Roman"/>
        </w:rPr>
      </w:pPr>
      <w:r>
        <w:rPr>
          <w:rFonts w:eastAsia="Times New Roman"/>
        </w:rPr>
        <w:pict>
          <v:rect id="_x0000_i1048" style="width:0;height:1.5pt" o:hralign="center" o:hrstd="t" o:hr="t" fillcolor="#a0a0a0" stroked="f"/>
        </w:pict>
      </w:r>
    </w:p>
    <w:p w:rsidR="00000000" w:rsidRDefault="001F1FC8">
      <w:pPr>
        <w:jc w:val="center"/>
        <w:divId w:val="367948692"/>
        <w:rPr>
          <w:rFonts w:eastAsia="Times New Roman"/>
        </w:rPr>
      </w:pPr>
    </w:p>
    <w:p w:rsidR="00000000" w:rsidRDefault="001F1FC8">
      <w:pPr>
        <w:jc w:val="both"/>
        <w:rPr>
          <w:rFonts w:eastAsia="Times New Roman"/>
        </w:rPr>
      </w:pPr>
      <w:r>
        <w:rPr>
          <w:rFonts w:ascii="Arial" w:eastAsia="Times New Roman" w:hAnsi="Arial" w:cs="Arial"/>
          <w:b/>
          <w:bCs/>
          <w:color w:val="000000"/>
          <w:sz w:val="20"/>
          <w:szCs w:val="20"/>
        </w:rPr>
        <w:t>US MIDSTREAM</w:t>
      </w:r>
    </w:p>
    <w:p w:rsidR="00000000" w:rsidRDefault="001F1FC8">
      <w:pPr>
        <w:divId w:val="523708698"/>
        <w:rPr>
          <w:rFonts w:eastAsia="Times New Roman"/>
        </w:rPr>
      </w:pPr>
      <w:r>
        <w:rPr>
          <w:rFonts w:ascii="Arial" w:eastAsia="Times New Roman" w:hAnsi="Arial" w:cs="Arial"/>
          <w:color w:val="000000"/>
          <w:sz w:val="20"/>
          <w:szCs w:val="20"/>
        </w:rPr>
        <w:t>US Midstream includes a 42.7% interest in each of Aux Sable Liquid Products LP and Aux Sable Midstream LLC, and a 50% interest in Aux Sab</w:t>
      </w:r>
      <w:r>
        <w:rPr>
          <w:rFonts w:ascii="Arial" w:eastAsia="Times New Roman" w:hAnsi="Arial" w:cs="Arial"/>
          <w:color w:val="000000"/>
          <w:sz w:val="20"/>
          <w:szCs w:val="20"/>
        </w:rPr>
        <w:t>le Canada LP (collectively, Aux Sable). Aux Sable Liquid Products LP owns and operates an NGL extraction and fractionation plant at Channahon, Illinois, outside Chicago, near the terminus of Alliance Pipeline. Aux Sable also owns facilities connected to Al</w:t>
      </w:r>
      <w:r>
        <w:rPr>
          <w:rFonts w:ascii="Arial" w:eastAsia="Times New Roman" w:hAnsi="Arial" w:cs="Arial"/>
          <w:color w:val="000000"/>
          <w:sz w:val="20"/>
          <w:szCs w:val="20"/>
        </w:rPr>
        <w:t>liance Pipeline that facilitate</w:t>
      </w:r>
      <w:r>
        <w:rPr>
          <w:rFonts w:ascii="Arial" w:eastAsia="Times New Roman" w:hAnsi="Arial" w:cs="Arial"/>
          <w:color w:val="000000"/>
        </w:rPr>
        <w:t xml:space="preserve"> </w:t>
      </w:r>
      <w:r>
        <w:rPr>
          <w:rFonts w:ascii="Arial" w:eastAsia="Times New Roman" w:hAnsi="Arial" w:cs="Arial"/>
          <w:color w:val="000000"/>
          <w:sz w:val="20"/>
          <w:szCs w:val="20"/>
        </w:rPr>
        <w:t xml:space="preserve">delivery of liquids-rich natural gas for processing at the Aux Sable plant. These facilities include the Palermo Conditioning Plant and the Prairie Rose Pipeline in the Bakken area of North Dakota, owned and operated by Aux </w:t>
      </w:r>
      <w:r>
        <w:rPr>
          <w:rFonts w:ascii="Arial" w:eastAsia="Times New Roman" w:hAnsi="Arial" w:cs="Arial"/>
          <w:color w:val="000000"/>
          <w:sz w:val="20"/>
          <w:szCs w:val="20"/>
        </w:rPr>
        <w:t>Sable Midstream US; and Aux Sable Canada’s interests in the Montney area of BC, comprising the Septimus Pipeline. Aux Sable Canada also owns a facility which processes refinery/upgrader offgas in Fort Saskatchewan, Alberta.</w:t>
      </w:r>
    </w:p>
    <w:p w:rsidR="00000000" w:rsidRDefault="001F1FC8">
      <w:pPr>
        <w:jc w:val="both"/>
        <w:rPr>
          <w:rFonts w:eastAsia="Times New Roman"/>
        </w:rPr>
      </w:pPr>
    </w:p>
    <w:p w:rsidR="00000000" w:rsidRDefault="001F1FC8">
      <w:pPr>
        <w:divId w:val="1800301181"/>
        <w:rPr>
          <w:rFonts w:eastAsia="Times New Roman"/>
        </w:rPr>
      </w:pPr>
      <w:r>
        <w:rPr>
          <w:rFonts w:ascii="Arial" w:eastAsia="Times New Roman" w:hAnsi="Arial" w:cs="Arial"/>
          <w:color w:val="000000"/>
          <w:sz w:val="20"/>
          <w:szCs w:val="20"/>
        </w:rPr>
        <w:t>US Midstream also includes a 5</w:t>
      </w:r>
      <w:r>
        <w:rPr>
          <w:rFonts w:ascii="Arial" w:eastAsia="Times New Roman" w:hAnsi="Arial" w:cs="Arial"/>
          <w:color w:val="000000"/>
          <w:sz w:val="20"/>
          <w:szCs w:val="20"/>
        </w:rPr>
        <w:t>0% investment in DCP Midstream, LLC (DCP Midstream), which indirectly owns approximately 57% of DCP Midstream, LP, including limited partner and general partner interests. DCP Midstream, LP is a master limited partnership, with a diversified portfolio of a</w:t>
      </w:r>
      <w:r>
        <w:rPr>
          <w:rFonts w:ascii="Arial" w:eastAsia="Times New Roman" w:hAnsi="Arial" w:cs="Arial"/>
          <w:color w:val="000000"/>
          <w:sz w:val="20"/>
          <w:szCs w:val="20"/>
        </w:rPr>
        <w:t>ssets, engaged in the business of gathering, compressing, treating, processing, transporting, storing and selling natural gas; producing, fractionating, transporting, storing and selling NGLs; and recovering and selling condensate. DCP Midstream, LP owns a</w:t>
      </w:r>
      <w:r>
        <w:rPr>
          <w:rFonts w:ascii="Arial" w:eastAsia="Times New Roman" w:hAnsi="Arial" w:cs="Arial"/>
          <w:color w:val="000000"/>
          <w:sz w:val="20"/>
          <w:szCs w:val="20"/>
        </w:rPr>
        <w:t>nd operates more than 36 plants and approximately 90,123-kilometers (56,000-miles) of natural gas and natural gas liquids pipelines, with operations in nine states across major producing regions.</w:t>
      </w:r>
    </w:p>
    <w:p w:rsidR="00000000" w:rsidRDefault="001F1FC8">
      <w:pPr>
        <w:jc w:val="both"/>
        <w:rPr>
          <w:rFonts w:eastAsia="Times New Roman"/>
        </w:rPr>
      </w:pPr>
    </w:p>
    <w:p w:rsidR="00000000" w:rsidRDefault="001F1FC8">
      <w:pPr>
        <w:jc w:val="both"/>
        <w:rPr>
          <w:rFonts w:eastAsia="Times New Roman"/>
        </w:rPr>
      </w:pPr>
      <w:r>
        <w:rPr>
          <w:rFonts w:ascii="Arial" w:eastAsia="Times New Roman" w:hAnsi="Arial" w:cs="Arial"/>
          <w:b/>
          <w:bCs/>
          <w:color w:val="000000"/>
          <w:sz w:val="20"/>
          <w:szCs w:val="20"/>
        </w:rPr>
        <w:t>OTHER</w:t>
      </w:r>
    </w:p>
    <w:p w:rsidR="00000000" w:rsidRDefault="001F1FC8">
      <w:pPr>
        <w:divId w:val="1676348699"/>
        <w:rPr>
          <w:rFonts w:eastAsia="Times New Roman"/>
        </w:rPr>
      </w:pPr>
      <w:r>
        <w:rPr>
          <w:rFonts w:ascii="Arial" w:eastAsia="Times New Roman" w:hAnsi="Arial" w:cs="Arial"/>
          <w:color w:val="000000"/>
          <w:sz w:val="20"/>
          <w:szCs w:val="20"/>
        </w:rPr>
        <w:t>Other consists primarily of our offshore assets. Enb</w:t>
      </w:r>
      <w:r>
        <w:rPr>
          <w:rFonts w:ascii="Arial" w:eastAsia="Times New Roman" w:hAnsi="Arial" w:cs="Arial"/>
          <w:color w:val="000000"/>
          <w:sz w:val="20"/>
          <w:szCs w:val="20"/>
        </w:rPr>
        <w:t xml:space="preserve">ridge Offshore Pipelines is comprised of 11 natural gas gathering and FERC regulated transmission pipelines and four oil pipelines. These pipelines are located in four major corridors in the Gulf of Mexico, extending to deepwater developments, and include </w:t>
      </w:r>
      <w:r>
        <w:rPr>
          <w:rFonts w:ascii="Arial" w:eastAsia="Times New Roman" w:hAnsi="Arial" w:cs="Arial"/>
          <w:color w:val="000000"/>
          <w:sz w:val="20"/>
          <w:szCs w:val="20"/>
        </w:rPr>
        <w:t>almost 2,100-kilometers (1,300-miles) of underwater pipe and onshore facilities with total capacity of approximately 6.5 bcf/d</w:t>
      </w:r>
      <w:r>
        <w:rPr>
          <w:rFonts w:eastAsia="Times New Roman"/>
          <w:color w:val="000000"/>
          <w:sz w:val="20"/>
          <w:szCs w:val="20"/>
        </w:rPr>
        <w:t>.</w:t>
      </w:r>
    </w:p>
    <w:p w:rsidR="00000000" w:rsidRDefault="001F1FC8">
      <w:pPr>
        <w:divId w:val="1591088257"/>
        <w:rPr>
          <w:rFonts w:eastAsia="Times New Roman"/>
        </w:rPr>
      </w:pPr>
    </w:p>
    <w:p w:rsidR="00000000" w:rsidRDefault="001F1FC8">
      <w:pPr>
        <w:divId w:val="463743291"/>
        <w:rPr>
          <w:rFonts w:eastAsia="Times New Roman"/>
        </w:rPr>
      </w:pPr>
      <w:r>
        <w:rPr>
          <w:rFonts w:ascii="Arial" w:eastAsia="Times New Roman" w:hAnsi="Arial" w:cs="Arial"/>
          <w:b/>
          <w:bCs/>
          <w:color w:val="000000"/>
          <w:sz w:val="20"/>
          <w:szCs w:val="20"/>
        </w:rPr>
        <w:t>COMPETITION</w:t>
      </w:r>
    </w:p>
    <w:p w:rsidR="00000000" w:rsidRDefault="001F1FC8">
      <w:pPr>
        <w:divId w:val="1619606825"/>
        <w:rPr>
          <w:rFonts w:eastAsia="Times New Roman"/>
        </w:rPr>
      </w:pPr>
      <w:r>
        <w:rPr>
          <w:rFonts w:ascii="Arial" w:eastAsia="Times New Roman" w:hAnsi="Arial" w:cs="Arial"/>
          <w:color w:val="000000"/>
          <w:sz w:val="20"/>
          <w:szCs w:val="20"/>
        </w:rPr>
        <w:t>Our natural gas transmission and storage businesses compete with similar facilities that serve our supply and market areas in the transmission and storage of natural gas. The principal elements of competition are location, rates, terms of service, flexibil</w:t>
      </w:r>
      <w:r>
        <w:rPr>
          <w:rFonts w:ascii="Arial" w:eastAsia="Times New Roman" w:hAnsi="Arial" w:cs="Arial"/>
          <w:color w:val="000000"/>
          <w:sz w:val="20"/>
          <w:szCs w:val="20"/>
        </w:rPr>
        <w:t>ity and reliability of service.</w:t>
      </w:r>
    </w:p>
    <w:p w:rsidR="00000000" w:rsidRDefault="001F1FC8">
      <w:pPr>
        <w:divId w:val="1668560671"/>
        <w:rPr>
          <w:rFonts w:eastAsia="Times New Roman"/>
        </w:rPr>
      </w:pPr>
    </w:p>
    <w:p w:rsidR="00000000" w:rsidRDefault="001F1FC8">
      <w:pPr>
        <w:divId w:val="1060128481"/>
        <w:rPr>
          <w:rFonts w:eastAsia="Times New Roman"/>
        </w:rPr>
      </w:pPr>
      <w:r>
        <w:rPr>
          <w:rFonts w:ascii="Arial" w:eastAsia="Times New Roman" w:hAnsi="Arial" w:cs="Arial"/>
          <w:color w:val="000000"/>
          <w:sz w:val="20"/>
          <w:szCs w:val="20"/>
        </w:rPr>
        <w:t>The natural gas transported in our business competes with other forms of energy available to our customers and end-users, including electricity, coal, propane, fuel oils, nuclear and renewable energy. Factors that influenc</w:t>
      </w:r>
      <w:r>
        <w:rPr>
          <w:rFonts w:ascii="Arial" w:eastAsia="Times New Roman" w:hAnsi="Arial" w:cs="Arial"/>
          <w:color w:val="000000"/>
          <w:sz w:val="20"/>
          <w:szCs w:val="20"/>
        </w:rPr>
        <w:t>e the demand for natural gas include price changes, the availability of natural gas and other forms of energy, levels of business activity, long-term economic conditions, conservation, legislation, governmental regulations, the ability to convert to altern</w:t>
      </w:r>
      <w:r>
        <w:rPr>
          <w:rFonts w:ascii="Arial" w:eastAsia="Times New Roman" w:hAnsi="Arial" w:cs="Arial"/>
          <w:color w:val="000000"/>
          <w:sz w:val="20"/>
          <w:szCs w:val="20"/>
        </w:rPr>
        <w:t>ative fuels, weather and other factors.</w:t>
      </w:r>
    </w:p>
    <w:p w:rsidR="00000000" w:rsidRDefault="001F1FC8">
      <w:pPr>
        <w:divId w:val="1005322885"/>
        <w:rPr>
          <w:rFonts w:eastAsia="Times New Roman"/>
        </w:rPr>
      </w:pPr>
    </w:p>
    <w:p w:rsidR="00000000" w:rsidRDefault="001F1FC8">
      <w:pPr>
        <w:divId w:val="647711846"/>
        <w:rPr>
          <w:rFonts w:eastAsia="Times New Roman"/>
        </w:rPr>
      </w:pPr>
      <w:r>
        <w:rPr>
          <w:rFonts w:ascii="Arial" w:eastAsia="Times New Roman" w:hAnsi="Arial" w:cs="Arial"/>
          <w:color w:val="000000"/>
          <w:sz w:val="20"/>
          <w:szCs w:val="20"/>
        </w:rPr>
        <w:t>Competition exists in all markets that our businesses serve. Competitors include interstate/interprovincial and intrastate/intraprovincial pipelines or their affiliates and other midstream businesses that transport</w:t>
      </w:r>
      <w:r>
        <w:rPr>
          <w:rFonts w:ascii="Arial" w:eastAsia="Times New Roman" w:hAnsi="Arial" w:cs="Arial"/>
          <w:color w:val="000000"/>
          <w:sz w:val="20"/>
          <w:szCs w:val="20"/>
        </w:rPr>
        <w:t>, gather, treat, process and market natural gas or NGLs. Because pipelines are generally the most efficient mode of transportation for natural gas over land, the most significant competitors of our natural gas pipelines are other pipeline companies.</w:t>
      </w:r>
    </w:p>
    <w:p w:rsidR="00000000" w:rsidRDefault="001F1FC8">
      <w:pPr>
        <w:divId w:val="175505718"/>
        <w:rPr>
          <w:rFonts w:eastAsia="Times New Roman"/>
        </w:rPr>
      </w:pPr>
    </w:p>
    <w:p w:rsidR="00000000" w:rsidRDefault="001F1FC8">
      <w:pPr>
        <w:divId w:val="2034650996"/>
        <w:rPr>
          <w:rFonts w:eastAsia="Times New Roman"/>
        </w:rPr>
      </w:pPr>
      <w:r>
        <w:rPr>
          <w:rFonts w:ascii="Arial" w:eastAsia="Times New Roman" w:hAnsi="Arial" w:cs="Arial"/>
          <w:b/>
          <w:bCs/>
          <w:color w:val="000000"/>
          <w:sz w:val="20"/>
          <w:szCs w:val="20"/>
        </w:rPr>
        <w:t>SUPP</w:t>
      </w:r>
      <w:r>
        <w:rPr>
          <w:rFonts w:ascii="Arial" w:eastAsia="Times New Roman" w:hAnsi="Arial" w:cs="Arial"/>
          <w:b/>
          <w:bCs/>
          <w:color w:val="000000"/>
          <w:sz w:val="20"/>
          <w:szCs w:val="20"/>
        </w:rPr>
        <w:t>LY AND DEMAND</w:t>
      </w:r>
    </w:p>
    <w:p w:rsidR="00000000" w:rsidRDefault="001F1FC8">
      <w:pPr>
        <w:divId w:val="744688019"/>
        <w:rPr>
          <w:rFonts w:eastAsia="Times New Roman"/>
        </w:rPr>
      </w:pPr>
      <w:r>
        <w:rPr>
          <w:rFonts w:ascii="Arial" w:eastAsia="Times New Roman" w:hAnsi="Arial" w:cs="Arial"/>
          <w:color w:val="000000"/>
          <w:sz w:val="20"/>
          <w:szCs w:val="20"/>
        </w:rPr>
        <w:t xml:space="preserve">Our gas transmission assets make up one of the largest natural gas transportation networks in North America, driving connectivity between prolific supply basins and major demand centers within the continent. Our systems have been integral to </w:t>
      </w:r>
      <w:r>
        <w:rPr>
          <w:rFonts w:ascii="Arial" w:eastAsia="Times New Roman" w:hAnsi="Arial" w:cs="Arial"/>
          <w:color w:val="000000"/>
          <w:sz w:val="20"/>
          <w:szCs w:val="20"/>
        </w:rPr>
        <w:t xml:space="preserve">the transition in supply and demand markets over the last decade and will continue to play a part as the energy landscape evolves. </w:t>
      </w:r>
    </w:p>
    <w:p w:rsidR="00000000" w:rsidRDefault="001F1FC8">
      <w:pPr>
        <w:divId w:val="1701779376"/>
        <w:rPr>
          <w:rFonts w:eastAsia="Times New Roman"/>
        </w:rPr>
      </w:pPr>
    </w:p>
    <w:p w:rsidR="00000000" w:rsidRDefault="001F1FC8">
      <w:pPr>
        <w:jc w:val="center"/>
        <w:divId w:val="1020349420"/>
        <w:rPr>
          <w:rFonts w:eastAsia="Times New Roman"/>
        </w:rPr>
      </w:pPr>
      <w:r>
        <w:rPr>
          <w:rFonts w:ascii="Arial" w:eastAsia="Times New Roman" w:hAnsi="Arial" w:cs="Arial"/>
          <w:color w:val="000000"/>
          <w:sz w:val="20"/>
          <w:szCs w:val="20"/>
        </w:rPr>
        <w:t>23</w:t>
      </w:r>
    </w:p>
    <w:p w:rsidR="00000000" w:rsidRDefault="001F1FC8">
      <w:pPr>
        <w:rPr>
          <w:rFonts w:eastAsia="Times New Roman"/>
        </w:rPr>
      </w:pPr>
      <w:r>
        <w:rPr>
          <w:rFonts w:eastAsia="Times New Roman"/>
        </w:rPr>
        <w:pict>
          <v:rect id="_x0000_i1049" style="width:0;height:1.5pt" o:hralign="center" o:hrstd="t" o:hr="t" fillcolor="#a0a0a0" stroked="f"/>
        </w:pict>
      </w:r>
    </w:p>
    <w:p w:rsidR="00000000" w:rsidRDefault="001F1FC8">
      <w:pPr>
        <w:jc w:val="center"/>
        <w:divId w:val="1268198372"/>
        <w:rPr>
          <w:rFonts w:eastAsia="Times New Roman"/>
        </w:rPr>
      </w:pPr>
    </w:p>
    <w:p w:rsidR="00000000" w:rsidRDefault="001F1FC8">
      <w:pPr>
        <w:divId w:val="1727297917"/>
        <w:rPr>
          <w:rFonts w:eastAsia="Times New Roman"/>
        </w:rPr>
      </w:pPr>
      <w:r>
        <w:rPr>
          <w:rFonts w:ascii="Arial" w:eastAsia="Times New Roman" w:hAnsi="Arial" w:cs="Arial"/>
          <w:color w:val="000000"/>
          <w:sz w:val="20"/>
          <w:szCs w:val="20"/>
        </w:rPr>
        <w:t>In 2010, natural gas production in each of the Appalachian and Permian basins were less than 5.0 bcf/d each. Today, these regions produce more than 47.5 bcf/d of natural gas on a combined basis. Improved technology and</w:t>
      </w:r>
      <w:r>
        <w:rPr>
          <w:rFonts w:ascii="Arial" w:eastAsia="Times New Roman" w:hAnsi="Arial" w:cs="Arial"/>
          <w:color w:val="000000"/>
          <w:sz w:val="20"/>
          <w:szCs w:val="20"/>
        </w:rPr>
        <w:t xml:space="preserve"> increased shale gas drilling have increased the supply of low-cost natural gas. As well, there has been and continues to be a corresponding increase in demand for our natural gas infrastructure in North America. Through a series of expansions and reversal</w:t>
      </w:r>
      <w:r>
        <w:rPr>
          <w:rFonts w:ascii="Arial" w:eastAsia="Times New Roman" w:hAnsi="Arial" w:cs="Arial"/>
          <w:color w:val="000000"/>
          <w:sz w:val="20"/>
          <w:szCs w:val="20"/>
        </w:rPr>
        <w:t>s on our core systems, combined with the execution of greenfield projects and strategic acquisitions, we have been able to meet the needs of producers and consumers alike. Our US Gas Transmission systems were initially designed to transport natural gas fro</w:t>
      </w:r>
      <w:r>
        <w:rPr>
          <w:rFonts w:ascii="Arial" w:eastAsia="Times New Roman" w:hAnsi="Arial" w:cs="Arial"/>
          <w:color w:val="000000"/>
          <w:sz w:val="20"/>
          <w:szCs w:val="20"/>
        </w:rPr>
        <w:t>m the Gulf Coast to the supply starved northeast markets. Our asset base now has the capability to transport diverse bi-directional supply to the northeast, southeast, midwest, Gulf Coast and LNG markets on a fully subscribed and highly utilized basis.</w:t>
      </w:r>
    </w:p>
    <w:p w:rsidR="00000000" w:rsidRDefault="001F1FC8">
      <w:pPr>
        <w:divId w:val="1580679117"/>
        <w:rPr>
          <w:rFonts w:eastAsia="Times New Roman"/>
        </w:rPr>
      </w:pPr>
    </w:p>
    <w:p w:rsidR="00000000" w:rsidRDefault="001F1FC8">
      <w:pPr>
        <w:divId w:val="1040592741"/>
        <w:rPr>
          <w:rFonts w:eastAsia="Times New Roman"/>
        </w:rPr>
      </w:pPr>
      <w:r>
        <w:rPr>
          <w:rFonts w:ascii="Arial" w:eastAsia="Times New Roman" w:hAnsi="Arial" w:cs="Arial"/>
          <w:color w:val="000000"/>
          <w:sz w:val="20"/>
          <w:szCs w:val="20"/>
        </w:rPr>
        <w:t>T</w:t>
      </w:r>
      <w:r>
        <w:rPr>
          <w:rFonts w:ascii="Arial" w:eastAsia="Times New Roman" w:hAnsi="Arial" w:cs="Arial"/>
          <w:color w:val="000000"/>
          <w:sz w:val="20"/>
          <w:szCs w:val="20"/>
        </w:rPr>
        <w:t>he northeast market continues its role as a predominantly supply constrained region with steady demand. The bi-directional capabilities offered by our US Gas Transmission system allows us to deliver in an efficient manner to our regional customers. The reg</w:t>
      </w:r>
      <w:r>
        <w:rPr>
          <w:rFonts w:ascii="Arial" w:eastAsia="Times New Roman" w:hAnsi="Arial" w:cs="Arial"/>
          <w:color w:val="000000"/>
          <w:sz w:val="20"/>
          <w:szCs w:val="20"/>
        </w:rPr>
        <w:t>ion has seen an increase in natural gas supply due to the development of the Marcellus and Utica shales in the Appalachia region.</w:t>
      </w:r>
    </w:p>
    <w:p w:rsidR="00000000" w:rsidRDefault="001F1FC8">
      <w:pPr>
        <w:divId w:val="1367368311"/>
        <w:rPr>
          <w:rFonts w:eastAsia="Times New Roman"/>
        </w:rPr>
      </w:pPr>
    </w:p>
    <w:p w:rsidR="00000000" w:rsidRDefault="001F1FC8">
      <w:pPr>
        <w:divId w:val="603000581"/>
        <w:rPr>
          <w:rFonts w:eastAsia="Times New Roman"/>
        </w:rPr>
      </w:pPr>
      <w:r>
        <w:rPr>
          <w:rFonts w:ascii="Arial" w:eastAsia="Times New Roman" w:hAnsi="Arial" w:cs="Arial"/>
          <w:color w:val="000000"/>
          <w:sz w:val="20"/>
          <w:szCs w:val="20"/>
        </w:rPr>
        <w:t>The southeast market is linked to multiple, highly liquid supply pools that include the Marcellus and Utica shale developmen</w:t>
      </w:r>
      <w:r>
        <w:rPr>
          <w:rFonts w:ascii="Arial" w:eastAsia="Times New Roman" w:hAnsi="Arial" w:cs="Arial"/>
          <w:color w:val="000000"/>
          <w:sz w:val="20"/>
          <w:szCs w:val="20"/>
        </w:rPr>
        <w:t>ts, offering consistent supply and stable pricing to a growing population of end-use customers across our multiple systems under long term, utility-like arrangements.</w:t>
      </w:r>
    </w:p>
    <w:p w:rsidR="00000000" w:rsidRDefault="001F1FC8">
      <w:pPr>
        <w:divId w:val="1152671554"/>
        <w:rPr>
          <w:rFonts w:eastAsia="Times New Roman"/>
        </w:rPr>
      </w:pPr>
    </w:p>
    <w:p w:rsidR="00000000" w:rsidRDefault="001F1FC8">
      <w:pPr>
        <w:divId w:val="128206328"/>
        <w:rPr>
          <w:rFonts w:eastAsia="Times New Roman"/>
        </w:rPr>
      </w:pPr>
      <w:r>
        <w:rPr>
          <w:rFonts w:ascii="Arial" w:eastAsia="Times New Roman" w:hAnsi="Arial" w:cs="Arial"/>
          <w:color w:val="000000"/>
          <w:sz w:val="20"/>
          <w:szCs w:val="20"/>
        </w:rPr>
        <w:t>With connectivity to Appalachian and western Canadian supply through our systems, the m</w:t>
      </w:r>
      <w:r>
        <w:rPr>
          <w:rFonts w:ascii="Arial" w:eastAsia="Times New Roman" w:hAnsi="Arial" w:cs="Arial"/>
          <w:color w:val="000000"/>
          <w:sz w:val="20"/>
          <w:szCs w:val="20"/>
        </w:rPr>
        <w:t>idwest market has access to two of the lowest cost gas producing regions on the continent. As demand in the region is expected to continue to grow by approximately 2.0 bcf/d over the next two decades, maintaining this link will remain important. Flexibilit</w:t>
      </w:r>
      <w:r>
        <w:rPr>
          <w:rFonts w:ascii="Arial" w:eastAsia="Times New Roman" w:hAnsi="Arial" w:cs="Arial"/>
          <w:color w:val="000000"/>
          <w:sz w:val="20"/>
          <w:szCs w:val="20"/>
        </w:rPr>
        <w:t>y in supply for this market is especially critical to maintaining liquidity and price stability as natural gas continues to replace coal-fired generation.</w:t>
      </w:r>
    </w:p>
    <w:p w:rsidR="00000000" w:rsidRDefault="001F1FC8">
      <w:pPr>
        <w:divId w:val="1398481228"/>
        <w:rPr>
          <w:rFonts w:eastAsia="Times New Roman"/>
        </w:rPr>
      </w:pPr>
    </w:p>
    <w:p w:rsidR="00000000" w:rsidRDefault="001F1FC8">
      <w:pPr>
        <w:divId w:val="17701409"/>
        <w:rPr>
          <w:rFonts w:eastAsia="Times New Roman"/>
        </w:rPr>
      </w:pPr>
      <w:r>
        <w:rPr>
          <w:rFonts w:ascii="Arial" w:eastAsia="Times New Roman" w:hAnsi="Arial" w:cs="Arial"/>
          <w:color w:val="000000"/>
          <w:sz w:val="20"/>
          <w:szCs w:val="20"/>
        </w:rPr>
        <w:t>Gulf Coast demand growth is being driven by an increase in the volume of LNG exports, an ongoing wa</w:t>
      </w:r>
      <w:r>
        <w:rPr>
          <w:rFonts w:ascii="Arial" w:eastAsia="Times New Roman" w:hAnsi="Arial" w:cs="Arial"/>
          <w:color w:val="000000"/>
          <w:sz w:val="20"/>
          <w:szCs w:val="20"/>
        </w:rPr>
        <w:t>ve of gas-intensive petrochemical facilities, along with power generation and additional pipeline exports to Mexico. Demand to these markets in the region is anticipated to grow by more than 23.0 bcf/d through 2040. The Gulf Coast market has been the benef</w:t>
      </w:r>
      <w:r>
        <w:rPr>
          <w:rFonts w:ascii="Arial" w:eastAsia="Times New Roman" w:hAnsi="Arial" w:cs="Arial"/>
          <w:color w:val="000000"/>
          <w:sz w:val="20"/>
          <w:szCs w:val="20"/>
        </w:rPr>
        <w:t>iciary of low cost capacity on our assets as the relationship between supply and market centers has shifted. Such cost-effective capacity is difficult to access or replicate, offering existing shippers and transporters stability of capacity and utilization</w:t>
      </w:r>
      <w:r>
        <w:rPr>
          <w:rFonts w:ascii="Arial" w:eastAsia="Times New Roman" w:hAnsi="Arial" w:cs="Arial"/>
          <w:color w:val="000000"/>
          <w:sz w:val="20"/>
          <w:szCs w:val="20"/>
        </w:rPr>
        <w:t>. Tide-water market access and proximity to Mexico continue to make this region a platform of global trade as pipeline and LNG exports continue their growth trajectory. The US exported over 11 bcf/d of natural gas to LNG markets, primarily from the Gulf Co</w:t>
      </w:r>
      <w:r>
        <w:rPr>
          <w:rFonts w:ascii="Arial" w:eastAsia="Times New Roman" w:hAnsi="Arial" w:cs="Arial"/>
          <w:color w:val="000000"/>
          <w:sz w:val="20"/>
          <w:szCs w:val="20"/>
        </w:rPr>
        <w:t>ast region, at the end of 2021.</w:t>
      </w:r>
    </w:p>
    <w:p w:rsidR="00000000" w:rsidRDefault="001F1FC8">
      <w:pPr>
        <w:divId w:val="1638222179"/>
        <w:rPr>
          <w:rFonts w:eastAsia="Times New Roman"/>
        </w:rPr>
      </w:pPr>
    </w:p>
    <w:p w:rsidR="00000000" w:rsidRDefault="001F1FC8">
      <w:pPr>
        <w:divId w:val="1758095593"/>
        <w:rPr>
          <w:rFonts w:eastAsia="Times New Roman"/>
        </w:rPr>
      </w:pPr>
      <w:r>
        <w:rPr>
          <w:rFonts w:ascii="Arial" w:eastAsia="Times New Roman" w:hAnsi="Arial" w:cs="Arial"/>
          <w:color w:val="000000"/>
          <w:sz w:val="20"/>
          <w:szCs w:val="20"/>
        </w:rPr>
        <w:t>Western Canada, not unlike other supply hubs, is a source of low-cost supply seeking access to premium markets in North America and globally. One of the few vital links to demand centers in the pacific northwest are our ow</w:t>
      </w:r>
      <w:r>
        <w:rPr>
          <w:rFonts w:ascii="Arial" w:eastAsia="Times New Roman" w:hAnsi="Arial" w:cs="Arial"/>
          <w:color w:val="000000"/>
          <w:sz w:val="20"/>
          <w:szCs w:val="20"/>
        </w:rPr>
        <w:t>n systems in the region, which are highly utilized.</w:t>
      </w:r>
    </w:p>
    <w:p w:rsidR="00000000" w:rsidRDefault="001F1FC8">
      <w:pPr>
        <w:divId w:val="1662001903"/>
        <w:rPr>
          <w:rFonts w:eastAsia="Times New Roman"/>
        </w:rPr>
      </w:pPr>
    </w:p>
    <w:p w:rsidR="00000000" w:rsidRDefault="001F1FC8">
      <w:pPr>
        <w:divId w:val="1079474502"/>
        <w:rPr>
          <w:rFonts w:eastAsia="Times New Roman"/>
        </w:rPr>
      </w:pPr>
      <w:r>
        <w:rPr>
          <w:rFonts w:ascii="Arial" w:eastAsia="Times New Roman" w:hAnsi="Arial" w:cs="Arial"/>
          <w:color w:val="000000"/>
          <w:sz w:val="20"/>
          <w:szCs w:val="20"/>
        </w:rPr>
        <w:t xml:space="preserve">Global energy demand is expected to increase approximately 27% by 2040, according to the International Energy Agency, driven primarily by economic growth in non-OECD countries. Natural gas will play an </w:t>
      </w:r>
      <w:r>
        <w:rPr>
          <w:rFonts w:ascii="Arial" w:eastAsia="Times New Roman" w:hAnsi="Arial" w:cs="Arial"/>
          <w:color w:val="000000"/>
          <w:sz w:val="20"/>
          <w:szCs w:val="20"/>
        </w:rPr>
        <w:t>important role in meeting this energy demand as gas consumption is anticipated to grow by approximately 23% during this period as one of the world’s fastest growing energy sources. North American exports will play a significant part in meeting global deman</w:t>
      </w:r>
      <w:r>
        <w:rPr>
          <w:rFonts w:ascii="Arial" w:eastAsia="Times New Roman" w:hAnsi="Arial" w:cs="Arial"/>
          <w:color w:val="000000"/>
          <w:sz w:val="20"/>
          <w:szCs w:val="20"/>
        </w:rPr>
        <w:t>d, underscoring the ability of our assets to remain highly utilized by shippers, and highlighting the need for incremental transportation solutions across North America. In response to these global fundamentals, we believe we are well positioned to provide</w:t>
      </w:r>
      <w:r>
        <w:rPr>
          <w:rFonts w:ascii="Arial" w:eastAsia="Times New Roman" w:hAnsi="Arial" w:cs="Arial"/>
          <w:color w:val="000000"/>
          <w:sz w:val="20"/>
          <w:szCs w:val="20"/>
        </w:rPr>
        <w:t xml:space="preserve"> value-added solutions to shippers. Opposition to natural gas development, including new pipeline projects, has been increasing in recent years. This may challenge continued growth of the North American gas market and the ability to efficiently connect sup</w:t>
      </w:r>
      <w:r>
        <w:rPr>
          <w:rFonts w:ascii="Arial" w:eastAsia="Times New Roman" w:hAnsi="Arial" w:cs="Arial"/>
          <w:color w:val="000000"/>
          <w:sz w:val="20"/>
          <w:szCs w:val="20"/>
        </w:rPr>
        <w:t>ply and demand. We are responding to the need for regional infrastructure with additional investments in Canadian and US gas transportation facilities. Progress on the development and construction of our commercially secured growth projects is discussed in</w:t>
      </w:r>
      <w:r>
        <w:rPr>
          <w:rFonts w:ascii="Arial" w:eastAsia="Times New Roman" w:hAnsi="Arial" w:cs="Arial"/>
          <w:color w:val="000000"/>
          <w:sz w:val="20"/>
          <w:szCs w:val="20"/>
        </w:rPr>
        <w:t xml:space="preserve"> Part II. </w:t>
      </w:r>
      <w:r>
        <w:rPr>
          <w:rFonts w:ascii="Arial" w:eastAsia="Times New Roman" w:hAnsi="Arial" w:cs="Arial"/>
          <w:i/>
          <w:iCs/>
          <w:color w:val="000000"/>
          <w:sz w:val="20"/>
          <w:szCs w:val="20"/>
        </w:rPr>
        <w:t>Item 7. Management’s Discussion and Analysis of Financial Condition and Results of Operations - Growth Projects - Commercially Secured Projects</w:t>
      </w:r>
      <w:r>
        <w:rPr>
          <w:rFonts w:eastAsia="Times New Roman"/>
          <w:color w:val="000000"/>
          <w:sz w:val="20"/>
          <w:szCs w:val="20"/>
        </w:rPr>
        <w:t>.</w:t>
      </w:r>
    </w:p>
    <w:p w:rsidR="00000000" w:rsidRDefault="001F1FC8">
      <w:pPr>
        <w:divId w:val="577254840"/>
        <w:rPr>
          <w:rFonts w:eastAsia="Times New Roman"/>
        </w:rPr>
      </w:pPr>
    </w:p>
    <w:p w:rsidR="00000000" w:rsidRDefault="001F1FC8">
      <w:pPr>
        <w:jc w:val="center"/>
        <w:divId w:val="2118788772"/>
        <w:rPr>
          <w:rFonts w:eastAsia="Times New Roman"/>
        </w:rPr>
      </w:pPr>
      <w:r>
        <w:rPr>
          <w:rFonts w:ascii="Arial" w:eastAsia="Times New Roman" w:hAnsi="Arial" w:cs="Arial"/>
          <w:color w:val="000000"/>
          <w:sz w:val="20"/>
          <w:szCs w:val="20"/>
        </w:rPr>
        <w:t>24</w:t>
      </w:r>
    </w:p>
    <w:p w:rsidR="00000000" w:rsidRDefault="001F1FC8">
      <w:pPr>
        <w:rPr>
          <w:rFonts w:eastAsia="Times New Roman"/>
        </w:rPr>
      </w:pPr>
      <w:r>
        <w:rPr>
          <w:rFonts w:eastAsia="Times New Roman"/>
        </w:rPr>
        <w:pict>
          <v:rect id="_x0000_i1050" style="width:0;height:1.5pt" o:hralign="center" o:hrstd="t" o:hr="t" fillcolor="#a0a0a0" stroked="f"/>
        </w:pict>
      </w:r>
    </w:p>
    <w:p w:rsidR="00000000" w:rsidRDefault="001F1FC8">
      <w:pPr>
        <w:jc w:val="center"/>
        <w:divId w:val="330837788"/>
        <w:rPr>
          <w:rFonts w:eastAsia="Times New Roman"/>
        </w:rPr>
      </w:pPr>
    </w:p>
    <w:p w:rsidR="00000000" w:rsidRDefault="001F1FC8">
      <w:pPr>
        <w:jc w:val="both"/>
        <w:rPr>
          <w:rFonts w:eastAsia="Times New Roman"/>
        </w:rPr>
      </w:pPr>
      <w:r>
        <w:rPr>
          <w:rFonts w:ascii="Arial" w:eastAsia="Times New Roman" w:hAnsi="Arial" w:cs="Arial"/>
          <w:b/>
          <w:bCs/>
          <w:color w:val="000000"/>
          <w:sz w:val="28"/>
          <w:szCs w:val="28"/>
        </w:rPr>
        <w:t>GAS DISTRIBUTION AND STORAGE</w:t>
      </w:r>
    </w:p>
    <w:p w:rsidR="00000000" w:rsidRDefault="001F1FC8">
      <w:pPr>
        <w:divId w:val="1319069282"/>
        <w:rPr>
          <w:rFonts w:eastAsia="Times New Roman"/>
        </w:rPr>
      </w:pPr>
    </w:p>
    <w:p w:rsidR="00000000" w:rsidRDefault="001F1FC8">
      <w:pPr>
        <w:divId w:val="1607886804"/>
        <w:rPr>
          <w:rFonts w:eastAsia="Times New Roman"/>
        </w:rPr>
      </w:pPr>
      <w:r>
        <w:rPr>
          <w:rFonts w:ascii="Arial" w:eastAsia="Times New Roman" w:hAnsi="Arial" w:cs="Arial"/>
          <w:color w:val="000000"/>
          <w:sz w:val="20"/>
          <w:szCs w:val="20"/>
        </w:rPr>
        <w:t>Gas Distribution and Storage consists of our natural gas utility operations, the core of which is Enbridge Gas Inc. (Enbridge Gas), which serves residential, commercial and industrial cus</w:t>
      </w:r>
      <w:r>
        <w:rPr>
          <w:rFonts w:ascii="Arial" w:eastAsia="Times New Roman" w:hAnsi="Arial" w:cs="Arial"/>
          <w:color w:val="000000"/>
          <w:sz w:val="20"/>
          <w:szCs w:val="20"/>
        </w:rPr>
        <w:t xml:space="preserve">tomers throughout Ontario. This business segment also includes natural gas distribution activities in Québec and previously included an investment in Noverco Inc. (Noverco) which was sold on December 30, 2021. Please refer to Part II. </w:t>
      </w:r>
      <w:r>
        <w:rPr>
          <w:rFonts w:ascii="Arial" w:eastAsia="Times New Roman" w:hAnsi="Arial" w:cs="Arial"/>
          <w:i/>
          <w:iCs/>
          <w:color w:val="000000"/>
          <w:sz w:val="20"/>
          <w:szCs w:val="20"/>
        </w:rPr>
        <w:t>Item 8. Financial Sta</w:t>
      </w:r>
      <w:r>
        <w:rPr>
          <w:rFonts w:ascii="Arial" w:eastAsia="Times New Roman" w:hAnsi="Arial" w:cs="Arial"/>
          <w:i/>
          <w:iCs/>
          <w:color w:val="000000"/>
          <w:sz w:val="20"/>
          <w:szCs w:val="20"/>
        </w:rPr>
        <w:t xml:space="preserve">tements and Supplementary data - Note 8 - Acquisitions and Dispositions </w:t>
      </w:r>
      <w:r>
        <w:rPr>
          <w:rFonts w:ascii="Arial" w:eastAsia="Times New Roman" w:hAnsi="Arial" w:cs="Arial"/>
          <w:color w:val="000000"/>
          <w:sz w:val="20"/>
          <w:szCs w:val="20"/>
        </w:rPr>
        <w:t>for further details.</w:t>
      </w:r>
    </w:p>
    <w:p w:rsidR="00000000" w:rsidRDefault="001F1FC8">
      <w:pPr>
        <w:divId w:val="1572352070"/>
        <w:rPr>
          <w:rFonts w:eastAsia="Times New Roman"/>
        </w:rPr>
      </w:pPr>
    </w:p>
    <w:p w:rsidR="00000000" w:rsidRDefault="001F1FC8">
      <w:pPr>
        <w:divId w:val="2066836553"/>
        <w:rPr>
          <w:rFonts w:eastAsia="Times New Roman"/>
        </w:rPr>
      </w:pPr>
      <w:r>
        <w:rPr>
          <w:rFonts w:eastAsia="Times New Roman"/>
          <w:noProof/>
        </w:rPr>
        <w:drawing>
          <wp:inline distT="0" distB="0" distL="0" distR="0">
            <wp:extent cx="304800" cy="304800"/>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link="rId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000000" w:rsidRDefault="001F1FC8">
      <w:pPr>
        <w:jc w:val="both"/>
        <w:rPr>
          <w:rFonts w:eastAsia="Times New Roman"/>
        </w:rPr>
      </w:pPr>
    </w:p>
    <w:p w:rsidR="00000000" w:rsidRDefault="001F1FC8">
      <w:pPr>
        <w:jc w:val="both"/>
        <w:rPr>
          <w:rFonts w:eastAsia="Times New Roman"/>
        </w:rPr>
      </w:pPr>
      <w:r>
        <w:rPr>
          <w:rFonts w:ascii="Arial" w:eastAsia="Times New Roman" w:hAnsi="Arial" w:cs="Arial"/>
          <w:b/>
          <w:bCs/>
          <w:color w:val="000000"/>
          <w:sz w:val="20"/>
          <w:szCs w:val="20"/>
        </w:rPr>
        <w:t xml:space="preserve">ENBRIDGE GAS </w:t>
      </w:r>
    </w:p>
    <w:p w:rsidR="00000000" w:rsidRDefault="001F1FC8">
      <w:pPr>
        <w:divId w:val="1265114835"/>
        <w:rPr>
          <w:rFonts w:eastAsia="Times New Roman"/>
        </w:rPr>
      </w:pPr>
      <w:r>
        <w:rPr>
          <w:rFonts w:ascii="Arial" w:eastAsia="Times New Roman" w:hAnsi="Arial" w:cs="Arial"/>
          <w:color w:val="000000"/>
          <w:sz w:val="20"/>
          <w:szCs w:val="20"/>
        </w:rPr>
        <w:t xml:space="preserve">Enbridge Gas is a rate-regulated natural gas distribution utility with storage and transmission services that has been in operation for 173 years. Enbridge Gas serves approximately 75% of Ontario residents via approximately </w:t>
      </w:r>
      <w:r>
        <w:rPr>
          <w:rFonts w:ascii="Arial" w:eastAsia="Times New Roman" w:hAnsi="Arial" w:cs="Arial"/>
          <w:color w:val="000000"/>
          <w:sz w:val="20"/>
          <w:szCs w:val="20"/>
          <w:shd w:val="clear" w:color="auto" w:fill="FFFFFF"/>
        </w:rPr>
        <w:t>3.8 million</w:t>
      </w:r>
      <w:r>
        <w:rPr>
          <w:rFonts w:ascii="Arial" w:eastAsia="Times New Roman" w:hAnsi="Arial" w:cs="Arial"/>
          <w:color w:val="000000"/>
          <w:sz w:val="20"/>
          <w:szCs w:val="20"/>
        </w:rPr>
        <w:t xml:space="preserve"> residential, commerc</w:t>
      </w:r>
      <w:r>
        <w:rPr>
          <w:rFonts w:ascii="Arial" w:eastAsia="Times New Roman" w:hAnsi="Arial" w:cs="Arial"/>
          <w:color w:val="000000"/>
          <w:sz w:val="20"/>
          <w:szCs w:val="20"/>
        </w:rPr>
        <w:t>ial and industrial meter connections.</w:t>
      </w:r>
    </w:p>
    <w:p w:rsidR="00000000" w:rsidRDefault="001F1FC8">
      <w:pPr>
        <w:divId w:val="577906647"/>
        <w:rPr>
          <w:rFonts w:eastAsia="Times New Roman"/>
        </w:rPr>
      </w:pPr>
    </w:p>
    <w:p w:rsidR="00000000" w:rsidRDefault="001F1FC8">
      <w:pPr>
        <w:divId w:val="141237221"/>
        <w:rPr>
          <w:rFonts w:eastAsia="Times New Roman"/>
        </w:rPr>
      </w:pPr>
      <w:r>
        <w:rPr>
          <w:rFonts w:ascii="Arial" w:eastAsia="Times New Roman" w:hAnsi="Arial" w:cs="Arial"/>
          <w:color w:val="000000"/>
          <w:sz w:val="20"/>
          <w:szCs w:val="20"/>
        </w:rPr>
        <w:t>There are three principal interrelated aspects of the natural gas distribution business in which Enbridge Gas is directly involved: Distribution, Transportation and Storage.</w:t>
      </w:r>
    </w:p>
    <w:p w:rsidR="00000000" w:rsidRDefault="001F1FC8">
      <w:pPr>
        <w:divId w:val="1045064935"/>
        <w:rPr>
          <w:rFonts w:eastAsia="Times New Roman"/>
        </w:rPr>
      </w:pPr>
    </w:p>
    <w:p w:rsidR="00000000" w:rsidRDefault="001F1FC8">
      <w:pPr>
        <w:divId w:val="2012829116"/>
        <w:rPr>
          <w:rFonts w:eastAsia="Times New Roman"/>
        </w:rPr>
      </w:pPr>
      <w:r>
        <w:rPr>
          <w:rFonts w:ascii="Arial" w:eastAsia="Times New Roman" w:hAnsi="Arial" w:cs="Arial"/>
          <w:color w:val="000000"/>
          <w:sz w:val="20"/>
          <w:szCs w:val="20"/>
        </w:rPr>
        <w:t>In 2021, Enbridge Gas implemented a volu</w:t>
      </w:r>
      <w:r>
        <w:rPr>
          <w:rFonts w:ascii="Arial" w:eastAsia="Times New Roman" w:hAnsi="Arial" w:cs="Arial"/>
          <w:color w:val="000000"/>
          <w:sz w:val="20"/>
          <w:szCs w:val="20"/>
        </w:rPr>
        <w:t xml:space="preserve">ntary RNG pilot program, whereby customers can voluntarily contribute towards the incremental cost of low carbon RNG to displace regular natural gas, and a pilot project which allows regular natural gas to be blended with H2, in an isolated portion of the </w:t>
      </w:r>
      <w:r>
        <w:rPr>
          <w:rFonts w:ascii="Arial" w:eastAsia="Times New Roman" w:hAnsi="Arial" w:cs="Arial"/>
          <w:color w:val="000000"/>
          <w:sz w:val="20"/>
          <w:szCs w:val="20"/>
        </w:rPr>
        <w:t xml:space="preserve">existing distribution system, in an effort to gain insight into the use of H2 as a method for decarbonizing natural gas for the purpose of reducing GHG emissions. </w:t>
      </w:r>
    </w:p>
    <w:p w:rsidR="00000000" w:rsidRDefault="001F1FC8">
      <w:pPr>
        <w:divId w:val="723648667"/>
        <w:rPr>
          <w:rFonts w:eastAsia="Times New Roman"/>
        </w:rPr>
      </w:pPr>
    </w:p>
    <w:p w:rsidR="00000000" w:rsidRDefault="001F1FC8">
      <w:pPr>
        <w:jc w:val="center"/>
        <w:divId w:val="1045638174"/>
        <w:rPr>
          <w:rFonts w:eastAsia="Times New Roman"/>
        </w:rPr>
      </w:pPr>
      <w:r>
        <w:rPr>
          <w:rFonts w:ascii="Arial" w:eastAsia="Times New Roman" w:hAnsi="Arial" w:cs="Arial"/>
          <w:color w:val="000000"/>
          <w:sz w:val="20"/>
          <w:szCs w:val="20"/>
        </w:rPr>
        <w:t>25</w:t>
      </w:r>
    </w:p>
    <w:p w:rsidR="00000000" w:rsidRDefault="001F1FC8">
      <w:pPr>
        <w:rPr>
          <w:rFonts w:eastAsia="Times New Roman"/>
        </w:rPr>
      </w:pPr>
      <w:r>
        <w:rPr>
          <w:rFonts w:eastAsia="Times New Roman"/>
        </w:rPr>
        <w:pict>
          <v:rect id="_x0000_i1052" style="width:0;height:1.5pt" o:hralign="center" o:hrstd="t" o:hr="t" fillcolor="#a0a0a0" stroked="f"/>
        </w:pict>
      </w:r>
    </w:p>
    <w:p w:rsidR="00000000" w:rsidRDefault="001F1FC8">
      <w:pPr>
        <w:jc w:val="center"/>
        <w:divId w:val="1526090470"/>
        <w:rPr>
          <w:rFonts w:eastAsia="Times New Roman"/>
        </w:rPr>
      </w:pPr>
    </w:p>
    <w:p w:rsidR="00000000" w:rsidRDefault="001F1FC8">
      <w:pPr>
        <w:divId w:val="114107337"/>
        <w:rPr>
          <w:rFonts w:eastAsia="Times New Roman"/>
        </w:rPr>
      </w:pPr>
      <w:r>
        <w:rPr>
          <w:rFonts w:ascii="Arial" w:eastAsia="Times New Roman" w:hAnsi="Arial" w:cs="Arial"/>
          <w:b/>
          <w:bCs/>
          <w:color w:val="000000"/>
          <w:sz w:val="20"/>
          <w:szCs w:val="20"/>
        </w:rPr>
        <w:t>Distribution</w:t>
      </w:r>
    </w:p>
    <w:p w:rsidR="00000000" w:rsidRDefault="001F1FC8">
      <w:pPr>
        <w:divId w:val="1742672022"/>
        <w:rPr>
          <w:rFonts w:eastAsia="Times New Roman"/>
        </w:rPr>
      </w:pPr>
      <w:r>
        <w:rPr>
          <w:rFonts w:ascii="Arial" w:eastAsia="Times New Roman" w:hAnsi="Arial" w:cs="Arial"/>
          <w:color w:val="000000"/>
          <w:sz w:val="20"/>
          <w:szCs w:val="20"/>
        </w:rPr>
        <w:t>Enbridge Gas’ principal source of r</w:t>
      </w:r>
      <w:r>
        <w:rPr>
          <w:rFonts w:ascii="Arial" w:eastAsia="Times New Roman" w:hAnsi="Arial" w:cs="Arial"/>
          <w:color w:val="000000"/>
          <w:sz w:val="20"/>
          <w:szCs w:val="20"/>
        </w:rPr>
        <w:t>evenue arises from distribution of natural gas to customers. The services provided to residential, small commercial and industrial heating customers are primarily on a general service basis, without a specific fixed term or fixed price contract. The servic</w:t>
      </w:r>
      <w:r>
        <w:rPr>
          <w:rFonts w:ascii="Arial" w:eastAsia="Times New Roman" w:hAnsi="Arial" w:cs="Arial"/>
          <w:color w:val="000000"/>
          <w:sz w:val="20"/>
          <w:szCs w:val="20"/>
        </w:rPr>
        <w:t>es provided to larger commercial and industrial customers are usually on an annual contract basis under firm or interruptible service contracts. Under a firm contract, Enbridge Gas is obligated to deliver natural gas to the customer up to a maximum daily v</w:t>
      </w:r>
      <w:r>
        <w:rPr>
          <w:rFonts w:ascii="Arial" w:eastAsia="Times New Roman" w:hAnsi="Arial" w:cs="Arial"/>
          <w:color w:val="000000"/>
          <w:sz w:val="20"/>
          <w:szCs w:val="20"/>
        </w:rPr>
        <w:t>olume. The service provided under an interruptible contract is similar to that of a firm contract, except that it allows for service interruption at Enbridge Gas’ option primarily to meet seasonal or peak demands. The Ontario Energy Board (OEB) approves ra</w:t>
      </w:r>
      <w:r>
        <w:rPr>
          <w:rFonts w:ascii="Arial" w:eastAsia="Times New Roman" w:hAnsi="Arial" w:cs="Arial"/>
          <w:color w:val="000000"/>
          <w:sz w:val="20"/>
          <w:szCs w:val="20"/>
        </w:rPr>
        <w:t>tes for both contract and general services. The distribution system consists of approximately 147,000-kilometers (91,342-miles) of pipelines that carry natural gas from the point of local supply to customers.</w:t>
      </w:r>
    </w:p>
    <w:p w:rsidR="00000000" w:rsidRDefault="001F1FC8">
      <w:pPr>
        <w:divId w:val="1728408773"/>
        <w:rPr>
          <w:rFonts w:eastAsia="Times New Roman"/>
        </w:rPr>
      </w:pPr>
    </w:p>
    <w:p w:rsidR="00000000" w:rsidRDefault="001F1FC8">
      <w:pPr>
        <w:divId w:val="1754231570"/>
        <w:rPr>
          <w:rFonts w:eastAsia="Times New Roman"/>
        </w:rPr>
      </w:pPr>
      <w:r>
        <w:rPr>
          <w:rFonts w:ascii="Arial" w:eastAsia="Times New Roman" w:hAnsi="Arial" w:cs="Arial"/>
          <w:color w:val="000000"/>
          <w:sz w:val="20"/>
          <w:szCs w:val="20"/>
        </w:rPr>
        <w:t>Customers have a choice with respect to natur</w:t>
      </w:r>
      <w:r>
        <w:rPr>
          <w:rFonts w:ascii="Arial" w:eastAsia="Times New Roman" w:hAnsi="Arial" w:cs="Arial"/>
          <w:color w:val="000000"/>
          <w:sz w:val="20"/>
          <w:szCs w:val="20"/>
        </w:rPr>
        <w:t xml:space="preserve">al gas supply. Customers may purchase and deliver their own natural gas to points upstream of the distribution system or directly into Enbridge Gas’ distribution system, or, alternatively, they may choose a system supply option, whereby customers purchase </w:t>
      </w:r>
      <w:r>
        <w:rPr>
          <w:rFonts w:ascii="Arial" w:eastAsia="Times New Roman" w:hAnsi="Arial" w:cs="Arial"/>
          <w:color w:val="000000"/>
          <w:sz w:val="20"/>
          <w:szCs w:val="20"/>
        </w:rPr>
        <w:t>natural gas from Enbridge Gas’ supply portfolio. To acquire the necessary volume of natural gas to serve its customers, Enbridge Gas maintains a diversified natural gas supply portfolio, acquiring supplies on a delivered basis in Ontario, as well as acquir</w:t>
      </w:r>
      <w:r>
        <w:rPr>
          <w:rFonts w:ascii="Arial" w:eastAsia="Times New Roman" w:hAnsi="Arial" w:cs="Arial"/>
          <w:color w:val="000000"/>
          <w:sz w:val="20"/>
          <w:szCs w:val="20"/>
        </w:rPr>
        <w:t>ing supply from multiple supply basins across North America.</w:t>
      </w:r>
    </w:p>
    <w:p w:rsidR="00000000" w:rsidRDefault="001F1FC8">
      <w:pPr>
        <w:divId w:val="562907280"/>
        <w:rPr>
          <w:rFonts w:eastAsia="Times New Roman"/>
        </w:rPr>
      </w:pPr>
    </w:p>
    <w:p w:rsidR="00000000" w:rsidRDefault="001F1FC8">
      <w:pPr>
        <w:divId w:val="1593129534"/>
        <w:rPr>
          <w:rFonts w:eastAsia="Times New Roman"/>
        </w:rPr>
      </w:pPr>
      <w:r>
        <w:rPr>
          <w:rFonts w:ascii="Arial" w:eastAsia="Times New Roman" w:hAnsi="Arial" w:cs="Arial"/>
          <w:b/>
          <w:bCs/>
          <w:color w:val="000000"/>
          <w:sz w:val="20"/>
          <w:szCs w:val="20"/>
        </w:rPr>
        <w:t>Transportation</w:t>
      </w:r>
    </w:p>
    <w:p w:rsidR="00000000" w:rsidRDefault="001F1FC8">
      <w:pPr>
        <w:divId w:val="1957904682"/>
        <w:rPr>
          <w:rFonts w:eastAsia="Times New Roman"/>
        </w:rPr>
      </w:pPr>
      <w:r>
        <w:rPr>
          <w:rFonts w:ascii="Arial" w:eastAsia="Times New Roman" w:hAnsi="Arial" w:cs="Arial"/>
          <w:color w:val="000000"/>
          <w:sz w:val="20"/>
          <w:szCs w:val="20"/>
        </w:rPr>
        <w:t>Enbridge Gas contracts for firm transportation service, primarily with TransCanada Pipelines Limited (TransCanada), Vector and NEXUS, to meet its annual natural gas supply requir</w:t>
      </w:r>
      <w:r>
        <w:rPr>
          <w:rFonts w:ascii="Arial" w:eastAsia="Times New Roman" w:hAnsi="Arial" w:cs="Arial"/>
          <w:color w:val="000000"/>
          <w:sz w:val="20"/>
          <w:szCs w:val="20"/>
        </w:rPr>
        <w:t>ements. The transportation service contracts are not directly linked with any particular source of natural gas supply. Separating transportation contracts from natural gas supply allows Enbridge Gas flexibility in obtaining its own natural gas supply and a</w:t>
      </w:r>
      <w:r>
        <w:rPr>
          <w:rFonts w:ascii="Arial" w:eastAsia="Times New Roman" w:hAnsi="Arial" w:cs="Arial"/>
          <w:color w:val="000000"/>
          <w:sz w:val="20"/>
          <w:szCs w:val="20"/>
        </w:rPr>
        <w:t>ccommodating the requests of its direct purchase customers for assignment of TransCanada capacity. Enbridge Gas forecasts the natural gas supply needs of its customers, including the associated transportation and storage requirements.</w:t>
      </w:r>
    </w:p>
    <w:p w:rsidR="00000000" w:rsidRDefault="001F1FC8">
      <w:pPr>
        <w:divId w:val="185486031"/>
        <w:rPr>
          <w:rFonts w:eastAsia="Times New Roman"/>
        </w:rPr>
      </w:pPr>
    </w:p>
    <w:p w:rsidR="00000000" w:rsidRDefault="001F1FC8">
      <w:pPr>
        <w:divId w:val="2120223760"/>
        <w:rPr>
          <w:rFonts w:eastAsia="Times New Roman"/>
        </w:rPr>
      </w:pPr>
      <w:r>
        <w:rPr>
          <w:rFonts w:ascii="Arial" w:eastAsia="Times New Roman" w:hAnsi="Arial" w:cs="Arial"/>
          <w:color w:val="000000"/>
          <w:sz w:val="20"/>
          <w:szCs w:val="20"/>
        </w:rPr>
        <w:t>In addition to cont</w:t>
      </w:r>
      <w:r>
        <w:rPr>
          <w:rFonts w:ascii="Arial" w:eastAsia="Times New Roman" w:hAnsi="Arial" w:cs="Arial"/>
          <w:color w:val="000000"/>
          <w:sz w:val="20"/>
          <w:szCs w:val="20"/>
        </w:rPr>
        <w:t>racting for transportation service, Enbridge Gas offers firm and interruptible transportation services on its own Dawn-Parkway pipeline system. Enbridge Gas’ transmission system consists of approximately 5,500-kilometers (3,418-miles) of high-pressure pipe</w:t>
      </w:r>
      <w:r>
        <w:rPr>
          <w:rFonts w:ascii="Arial" w:eastAsia="Times New Roman" w:hAnsi="Arial" w:cs="Arial"/>
          <w:color w:val="000000"/>
          <w:sz w:val="20"/>
          <w:szCs w:val="20"/>
        </w:rPr>
        <w:t>line and five mainline compressor stations and has an effective peak daily demand capacity of 7.6 bcf/d. Enbridge Gas’ transmission system also links an extensive network of underground storage pools at the Tecumseh Gas Storage facility and Dawn Hub (colle</w:t>
      </w:r>
      <w:r>
        <w:rPr>
          <w:rFonts w:ascii="Arial" w:eastAsia="Times New Roman" w:hAnsi="Arial" w:cs="Arial"/>
          <w:color w:val="000000"/>
          <w:sz w:val="20"/>
          <w:szCs w:val="20"/>
        </w:rPr>
        <w:t>ctively, Dawn) to major Canadian and US markets, and forms an important link in moving natural gas from western Canada and US supply basins to central Canadian and northeastern US markets.</w:t>
      </w:r>
    </w:p>
    <w:p w:rsidR="00000000" w:rsidRDefault="001F1FC8">
      <w:pPr>
        <w:divId w:val="1110514719"/>
        <w:rPr>
          <w:rFonts w:eastAsia="Times New Roman"/>
        </w:rPr>
      </w:pPr>
    </w:p>
    <w:p w:rsidR="00000000" w:rsidRDefault="001F1FC8">
      <w:pPr>
        <w:divId w:val="1870024656"/>
        <w:rPr>
          <w:rFonts w:eastAsia="Times New Roman"/>
        </w:rPr>
      </w:pPr>
      <w:r>
        <w:rPr>
          <w:rFonts w:ascii="Arial" w:eastAsia="Times New Roman" w:hAnsi="Arial" w:cs="Arial"/>
          <w:color w:val="000000"/>
          <w:sz w:val="20"/>
          <w:szCs w:val="20"/>
        </w:rPr>
        <w:t>As the supply of natural gas in areas close to Ontario continues to grow, there is an increased demand to access these diverse supplies at Dawn and transport them along the Dawn-Parkway pipeline system to markets in Ontario, eastern Canada and the northeas</w:t>
      </w:r>
      <w:r>
        <w:rPr>
          <w:rFonts w:ascii="Arial" w:eastAsia="Times New Roman" w:hAnsi="Arial" w:cs="Arial"/>
          <w:color w:val="000000"/>
          <w:sz w:val="20"/>
          <w:szCs w:val="20"/>
        </w:rPr>
        <w:t>tern US. Enbridge Gas delivered 1,943 bcf of gas through its distribution and transmission system in 2021. A substantial amount of Enbridge Gas’ transportation revenue is generated by fixed annual demand charges, with the average length of a long-term cont</w:t>
      </w:r>
      <w:r>
        <w:rPr>
          <w:rFonts w:ascii="Arial" w:eastAsia="Times New Roman" w:hAnsi="Arial" w:cs="Arial"/>
          <w:color w:val="000000"/>
          <w:sz w:val="20"/>
          <w:szCs w:val="20"/>
        </w:rPr>
        <w:t>ract being approximately 15 years and the longest remaining contract term being 19 years.</w:t>
      </w:r>
    </w:p>
    <w:p w:rsidR="00000000" w:rsidRDefault="001F1FC8">
      <w:pPr>
        <w:divId w:val="163670438"/>
        <w:rPr>
          <w:rFonts w:eastAsia="Times New Roman"/>
        </w:rPr>
      </w:pPr>
    </w:p>
    <w:p w:rsidR="00000000" w:rsidRDefault="001F1FC8">
      <w:pPr>
        <w:divId w:val="847671563"/>
        <w:rPr>
          <w:rFonts w:eastAsia="Times New Roman"/>
        </w:rPr>
      </w:pPr>
      <w:r>
        <w:rPr>
          <w:rFonts w:ascii="Arial" w:eastAsia="Times New Roman" w:hAnsi="Arial" w:cs="Arial"/>
          <w:b/>
          <w:bCs/>
          <w:color w:val="000000"/>
          <w:sz w:val="20"/>
          <w:szCs w:val="20"/>
        </w:rPr>
        <w:t>Storage</w:t>
      </w:r>
    </w:p>
    <w:p w:rsidR="00000000" w:rsidRDefault="001F1FC8">
      <w:pPr>
        <w:divId w:val="1766145628"/>
        <w:rPr>
          <w:rFonts w:eastAsia="Times New Roman"/>
        </w:rPr>
      </w:pPr>
      <w:r>
        <w:rPr>
          <w:rFonts w:ascii="Arial" w:eastAsia="Times New Roman" w:hAnsi="Arial" w:cs="Arial"/>
          <w:color w:val="000000"/>
          <w:sz w:val="20"/>
          <w:szCs w:val="20"/>
        </w:rPr>
        <w:t xml:space="preserve">Enbridge Gas’ business is highly seasonal as daily market demand for natural gas fluctuates with changes in weather, with peak consumption occurring in the </w:t>
      </w:r>
      <w:r>
        <w:rPr>
          <w:rFonts w:ascii="Arial" w:eastAsia="Times New Roman" w:hAnsi="Arial" w:cs="Arial"/>
          <w:color w:val="000000"/>
          <w:sz w:val="20"/>
          <w:szCs w:val="20"/>
        </w:rPr>
        <w:t xml:space="preserve">winter months. Utilization of storage facilities permits Enbridge Gas to take delivery of natural gas on favorable terms during off-peak summer periods for subsequent use during the winter heating season. This practice permits Enbridge Gas to minimize the </w:t>
      </w:r>
      <w:r>
        <w:rPr>
          <w:rFonts w:ascii="Arial" w:eastAsia="Times New Roman" w:hAnsi="Arial" w:cs="Arial"/>
          <w:color w:val="000000"/>
          <w:sz w:val="20"/>
          <w:szCs w:val="20"/>
        </w:rPr>
        <w:t>annual cost of transportation of natural gas from its supply basins, assists in reducing its overall cost of natural gas supply and adds a measure of security in the event of any short-term interruption of transportation of natural gas to Enbridge Gas’ fra</w:t>
      </w:r>
      <w:r>
        <w:rPr>
          <w:rFonts w:ascii="Arial" w:eastAsia="Times New Roman" w:hAnsi="Arial" w:cs="Arial"/>
          <w:color w:val="000000"/>
          <w:sz w:val="20"/>
          <w:szCs w:val="20"/>
        </w:rPr>
        <w:t>nchise areas.</w:t>
      </w:r>
    </w:p>
    <w:p w:rsidR="00000000" w:rsidRDefault="001F1FC8">
      <w:pPr>
        <w:divId w:val="1713073376"/>
        <w:rPr>
          <w:rFonts w:eastAsia="Times New Roman"/>
        </w:rPr>
      </w:pPr>
    </w:p>
    <w:p w:rsidR="00000000" w:rsidRDefault="001F1FC8">
      <w:pPr>
        <w:jc w:val="center"/>
        <w:divId w:val="1996755793"/>
        <w:rPr>
          <w:rFonts w:eastAsia="Times New Roman"/>
        </w:rPr>
      </w:pPr>
      <w:r>
        <w:rPr>
          <w:rFonts w:ascii="Arial" w:eastAsia="Times New Roman" w:hAnsi="Arial" w:cs="Arial"/>
          <w:color w:val="000000"/>
          <w:sz w:val="20"/>
          <w:szCs w:val="20"/>
        </w:rPr>
        <w:t>26</w:t>
      </w:r>
    </w:p>
    <w:p w:rsidR="00000000" w:rsidRDefault="001F1FC8">
      <w:pPr>
        <w:rPr>
          <w:rFonts w:eastAsia="Times New Roman"/>
        </w:rPr>
      </w:pPr>
      <w:r>
        <w:rPr>
          <w:rFonts w:eastAsia="Times New Roman"/>
        </w:rPr>
        <w:pict>
          <v:rect id="_x0000_i1053" style="width:0;height:1.5pt" o:hralign="center" o:hrstd="t" o:hr="t" fillcolor="#a0a0a0" stroked="f"/>
        </w:pict>
      </w:r>
    </w:p>
    <w:p w:rsidR="00000000" w:rsidRDefault="001F1FC8">
      <w:pPr>
        <w:jc w:val="center"/>
        <w:divId w:val="1172186041"/>
        <w:rPr>
          <w:rFonts w:eastAsia="Times New Roman"/>
        </w:rPr>
      </w:pPr>
    </w:p>
    <w:p w:rsidR="00000000" w:rsidRDefault="001F1FC8">
      <w:pPr>
        <w:divId w:val="1924485272"/>
        <w:rPr>
          <w:rFonts w:eastAsia="Times New Roman"/>
        </w:rPr>
      </w:pPr>
      <w:r>
        <w:rPr>
          <w:rFonts w:ascii="Arial" w:eastAsia="Times New Roman" w:hAnsi="Arial" w:cs="Arial"/>
          <w:color w:val="000000"/>
          <w:sz w:val="20"/>
          <w:szCs w:val="20"/>
        </w:rPr>
        <w:t>Enbridge Gas’ storage facility at Dawn is located in southwestern Ontario, and has a total working capacity of approximately 281 bcf in 34 underground facilities located in depleted gas fields. Dawn</w:t>
      </w:r>
      <w:r>
        <w:rPr>
          <w:rFonts w:ascii="Arial" w:eastAsia="Times New Roman" w:hAnsi="Arial" w:cs="Arial"/>
          <w:color w:val="000000"/>
          <w:sz w:val="20"/>
          <w:szCs w:val="20"/>
        </w:rPr>
        <w:t xml:space="preserve"> is the largest integrated underground storage facility in Canada and one of the largest in North America. Approximately 180 bcf of the total working capacity is available to Enbridge Gas for utility operations. Enbridge Gas also has storage contracts with</w:t>
      </w:r>
      <w:r>
        <w:rPr>
          <w:rFonts w:ascii="Arial" w:eastAsia="Times New Roman" w:hAnsi="Arial" w:cs="Arial"/>
          <w:color w:val="000000"/>
          <w:sz w:val="20"/>
          <w:szCs w:val="20"/>
        </w:rPr>
        <w:t xml:space="preserve"> third parties for 21 bcf of storage capacity.</w:t>
      </w:r>
    </w:p>
    <w:p w:rsidR="00000000" w:rsidRDefault="001F1FC8">
      <w:pPr>
        <w:divId w:val="1932081270"/>
        <w:rPr>
          <w:rFonts w:eastAsia="Times New Roman"/>
        </w:rPr>
      </w:pPr>
    </w:p>
    <w:p w:rsidR="00000000" w:rsidRDefault="001F1FC8">
      <w:pPr>
        <w:divId w:val="477768903"/>
        <w:rPr>
          <w:rFonts w:eastAsia="Times New Roman"/>
        </w:rPr>
      </w:pPr>
      <w:r>
        <w:rPr>
          <w:rFonts w:ascii="Arial" w:eastAsia="Times New Roman" w:hAnsi="Arial" w:cs="Arial"/>
          <w:color w:val="000000"/>
          <w:sz w:val="20"/>
          <w:szCs w:val="20"/>
        </w:rPr>
        <w:t xml:space="preserve">Dawn offers customers an important link in the movement of natural gas from western Canadian and US supply basins to markets in central Canada and the northeast US. Dawn's configuration provides flexibility </w:t>
      </w:r>
      <w:r>
        <w:rPr>
          <w:rFonts w:ascii="Arial" w:eastAsia="Times New Roman" w:hAnsi="Arial" w:cs="Arial"/>
          <w:color w:val="000000"/>
          <w:sz w:val="20"/>
          <w:szCs w:val="20"/>
        </w:rPr>
        <w:t>for injections, withdrawals and cycling. Customers can purchase both firm and interruptible storage services at Dawn. Dawn offers customers a wide range of market choices and options with easy access to upstream and downstream markets. During 2021, Dawn pr</w:t>
      </w:r>
      <w:r>
        <w:rPr>
          <w:rFonts w:ascii="Arial" w:eastAsia="Times New Roman" w:hAnsi="Arial" w:cs="Arial"/>
          <w:color w:val="000000"/>
          <w:sz w:val="20"/>
          <w:szCs w:val="20"/>
        </w:rPr>
        <w:t>ovided services such as storage, balancing, gas loans, transport, exchange and peaking services to over 200 counterparties.</w:t>
      </w:r>
    </w:p>
    <w:p w:rsidR="00000000" w:rsidRDefault="001F1FC8">
      <w:pPr>
        <w:divId w:val="1832523226"/>
        <w:rPr>
          <w:rFonts w:eastAsia="Times New Roman"/>
        </w:rPr>
      </w:pPr>
    </w:p>
    <w:p w:rsidR="00000000" w:rsidRDefault="001F1FC8">
      <w:pPr>
        <w:divId w:val="1752122468"/>
        <w:rPr>
          <w:rFonts w:eastAsia="Times New Roman"/>
        </w:rPr>
      </w:pPr>
      <w:r>
        <w:rPr>
          <w:rFonts w:ascii="Arial" w:eastAsia="Times New Roman" w:hAnsi="Arial" w:cs="Arial"/>
          <w:color w:val="000000"/>
          <w:sz w:val="20"/>
          <w:szCs w:val="20"/>
        </w:rPr>
        <w:t>A substantial amount of Enbridge Gas’ storage revenue is generated by fixed annual demand charges, with the average length of a lo</w:t>
      </w:r>
      <w:r>
        <w:rPr>
          <w:rFonts w:ascii="Arial" w:eastAsia="Times New Roman" w:hAnsi="Arial" w:cs="Arial"/>
          <w:color w:val="000000"/>
          <w:sz w:val="20"/>
          <w:szCs w:val="20"/>
        </w:rPr>
        <w:t>ng-term contract being approximately four years and the longest remaining contract term being 15 years.</w:t>
      </w:r>
    </w:p>
    <w:p w:rsidR="00000000" w:rsidRDefault="001F1FC8">
      <w:pPr>
        <w:divId w:val="1312950498"/>
        <w:rPr>
          <w:rFonts w:eastAsia="Times New Roman"/>
        </w:rPr>
      </w:pPr>
    </w:p>
    <w:p w:rsidR="00000000" w:rsidRDefault="001F1FC8">
      <w:pPr>
        <w:divId w:val="1611431685"/>
        <w:rPr>
          <w:rFonts w:eastAsia="Times New Roman"/>
        </w:rPr>
      </w:pPr>
      <w:r>
        <w:rPr>
          <w:rFonts w:ascii="Arial" w:eastAsia="Times New Roman" w:hAnsi="Arial" w:cs="Arial"/>
          <w:b/>
          <w:bCs/>
          <w:color w:val="000000"/>
          <w:sz w:val="20"/>
          <w:szCs w:val="20"/>
        </w:rPr>
        <w:t>NOVERCO</w:t>
      </w:r>
    </w:p>
    <w:p w:rsidR="00000000" w:rsidRDefault="001F1FC8">
      <w:pPr>
        <w:divId w:val="7755626"/>
        <w:rPr>
          <w:rFonts w:eastAsia="Times New Roman"/>
        </w:rPr>
      </w:pPr>
      <w:r>
        <w:rPr>
          <w:rFonts w:ascii="Arial" w:eastAsia="Times New Roman" w:hAnsi="Arial" w:cs="Arial"/>
          <w:color w:val="000000"/>
          <w:sz w:val="20"/>
          <w:szCs w:val="20"/>
        </w:rPr>
        <w:t>Noverco is a holding company that wholly-owns Énergir, LP (Énergir), formerly known as Gaz Metro Limited Partnership, a natural gas distributi</w:t>
      </w:r>
      <w:r>
        <w:rPr>
          <w:rFonts w:ascii="Arial" w:eastAsia="Times New Roman" w:hAnsi="Arial" w:cs="Arial"/>
          <w:color w:val="000000"/>
          <w:sz w:val="20"/>
          <w:szCs w:val="20"/>
        </w:rPr>
        <w:t>on company operating in Québec, with interests in subsidiary companies operating gas transmission, gas distribution and power distribution businesses in Québec and Vermont. Énergir serves approximately 525,000 residential and industrial customers and is re</w:t>
      </w:r>
      <w:r>
        <w:rPr>
          <w:rFonts w:ascii="Arial" w:eastAsia="Times New Roman" w:hAnsi="Arial" w:cs="Arial"/>
          <w:color w:val="000000"/>
          <w:sz w:val="20"/>
          <w:szCs w:val="20"/>
        </w:rPr>
        <w:t>gulated by the Québec Régie de l’énergie and the Vermont Public Utility Commission. Noverco also holds an investment in our common shares. We owned an equity interest in Noverco through ownership of 38.9% of its common shares and an investment in its prefe</w:t>
      </w:r>
      <w:r>
        <w:rPr>
          <w:rFonts w:ascii="Arial" w:eastAsia="Times New Roman" w:hAnsi="Arial" w:cs="Arial"/>
          <w:color w:val="000000"/>
          <w:sz w:val="20"/>
          <w:szCs w:val="20"/>
        </w:rPr>
        <w:t xml:space="preserve">rred shares. On December 30, 2021, we sold our 38.9% non-operating minority ownership interest in Noverco to Trencap L.P. for $1.1 billion in cash. </w:t>
      </w:r>
    </w:p>
    <w:p w:rsidR="00000000" w:rsidRDefault="001F1FC8">
      <w:pPr>
        <w:divId w:val="537548291"/>
        <w:rPr>
          <w:rFonts w:eastAsia="Times New Roman"/>
        </w:rPr>
      </w:pPr>
    </w:p>
    <w:p w:rsidR="00000000" w:rsidRDefault="001F1FC8">
      <w:pPr>
        <w:divId w:val="1613393300"/>
        <w:rPr>
          <w:rFonts w:eastAsia="Times New Roman"/>
        </w:rPr>
      </w:pPr>
      <w:r>
        <w:rPr>
          <w:rFonts w:ascii="Arial" w:eastAsia="Times New Roman" w:hAnsi="Arial" w:cs="Arial"/>
          <w:b/>
          <w:bCs/>
          <w:color w:val="000000"/>
          <w:sz w:val="20"/>
          <w:szCs w:val="20"/>
        </w:rPr>
        <w:t>GAZIFÈRE</w:t>
      </w:r>
    </w:p>
    <w:p w:rsidR="00000000" w:rsidRDefault="001F1FC8">
      <w:pPr>
        <w:divId w:val="1572889331"/>
        <w:rPr>
          <w:rFonts w:eastAsia="Times New Roman"/>
        </w:rPr>
      </w:pPr>
      <w:r>
        <w:rPr>
          <w:rFonts w:ascii="Arial" w:eastAsia="Times New Roman" w:hAnsi="Arial" w:cs="Arial"/>
          <w:color w:val="000000"/>
          <w:sz w:val="20"/>
          <w:szCs w:val="20"/>
        </w:rPr>
        <w:t>We wholly own Gazifère, a natural gas distribution company that serves approximately 44,000 cust</w:t>
      </w:r>
      <w:r>
        <w:rPr>
          <w:rFonts w:ascii="Arial" w:eastAsia="Times New Roman" w:hAnsi="Arial" w:cs="Arial"/>
          <w:color w:val="000000"/>
          <w:sz w:val="20"/>
          <w:szCs w:val="20"/>
        </w:rPr>
        <w:t>omers in western Québec, a market not served by Énergir. Gazifère is regulated by the Québec Régie de l’énergie.</w:t>
      </w:r>
    </w:p>
    <w:p w:rsidR="00000000" w:rsidRDefault="001F1FC8">
      <w:pPr>
        <w:divId w:val="559754407"/>
        <w:rPr>
          <w:rFonts w:eastAsia="Times New Roman"/>
        </w:rPr>
      </w:pPr>
    </w:p>
    <w:p w:rsidR="00000000" w:rsidRDefault="001F1FC8">
      <w:pPr>
        <w:divId w:val="555162592"/>
        <w:rPr>
          <w:rFonts w:eastAsia="Times New Roman"/>
        </w:rPr>
      </w:pPr>
      <w:r>
        <w:rPr>
          <w:rFonts w:ascii="Arial" w:eastAsia="Times New Roman" w:hAnsi="Arial" w:cs="Arial"/>
          <w:b/>
          <w:bCs/>
          <w:color w:val="000000"/>
          <w:sz w:val="20"/>
          <w:szCs w:val="20"/>
        </w:rPr>
        <w:t>COMPETITION</w:t>
      </w:r>
    </w:p>
    <w:p w:rsidR="00000000" w:rsidRDefault="001F1FC8">
      <w:pPr>
        <w:divId w:val="1696152010"/>
        <w:rPr>
          <w:rFonts w:eastAsia="Times New Roman"/>
        </w:rPr>
      </w:pPr>
      <w:r>
        <w:rPr>
          <w:rFonts w:ascii="Arial" w:eastAsia="Times New Roman" w:hAnsi="Arial" w:cs="Arial"/>
          <w:color w:val="000000"/>
          <w:sz w:val="20"/>
          <w:szCs w:val="20"/>
        </w:rPr>
        <w:t>Enbridge Gas’ distribution system is regulated by the OEB and is subject to regulation in a number of areas, including rates. Enb</w:t>
      </w:r>
      <w:r>
        <w:rPr>
          <w:rFonts w:ascii="Arial" w:eastAsia="Times New Roman" w:hAnsi="Arial" w:cs="Arial"/>
          <w:color w:val="000000"/>
          <w:sz w:val="20"/>
          <w:szCs w:val="20"/>
        </w:rPr>
        <w:t>ridge Gas is not generally subject to third-party distribution competition within its franchise areas.</w:t>
      </w:r>
    </w:p>
    <w:p w:rsidR="00000000" w:rsidRDefault="001F1FC8">
      <w:pPr>
        <w:divId w:val="474108433"/>
        <w:rPr>
          <w:rFonts w:eastAsia="Times New Roman"/>
        </w:rPr>
      </w:pPr>
    </w:p>
    <w:p w:rsidR="00000000" w:rsidRDefault="001F1FC8">
      <w:pPr>
        <w:divId w:val="2007438684"/>
        <w:rPr>
          <w:rFonts w:eastAsia="Times New Roman"/>
        </w:rPr>
      </w:pPr>
      <w:r>
        <w:rPr>
          <w:rFonts w:ascii="Arial" w:eastAsia="Times New Roman" w:hAnsi="Arial" w:cs="Arial"/>
          <w:color w:val="000000"/>
          <w:sz w:val="20"/>
          <w:szCs w:val="20"/>
        </w:rPr>
        <w:t xml:space="preserve">Enbridge Gas competes with other forms of energy available to its customers and end-users, including electricity, coal, propane and fuel oils. Factors </w:t>
      </w:r>
      <w:r>
        <w:rPr>
          <w:rFonts w:ascii="Arial" w:eastAsia="Times New Roman" w:hAnsi="Arial" w:cs="Arial"/>
          <w:color w:val="000000"/>
          <w:sz w:val="20"/>
          <w:szCs w:val="20"/>
        </w:rPr>
        <w:t>that influence the demand for natural gas include weather, price changes, the availability of natural gas and other forms of energy, the level of business activity, conservation, legislation including the federal carbon pricing law, governmental regulation</w:t>
      </w:r>
      <w:r>
        <w:rPr>
          <w:rFonts w:ascii="Arial" w:eastAsia="Times New Roman" w:hAnsi="Arial" w:cs="Arial"/>
          <w:color w:val="000000"/>
          <w:sz w:val="20"/>
          <w:szCs w:val="20"/>
        </w:rPr>
        <w:t>s, the ability to convert to alternative fuels and other factors.</w:t>
      </w:r>
    </w:p>
    <w:p w:rsidR="00000000" w:rsidRDefault="001F1FC8">
      <w:pPr>
        <w:divId w:val="1709798427"/>
        <w:rPr>
          <w:rFonts w:eastAsia="Times New Roman"/>
        </w:rPr>
      </w:pPr>
    </w:p>
    <w:p w:rsidR="00000000" w:rsidRDefault="001F1FC8">
      <w:pPr>
        <w:divId w:val="1829978066"/>
        <w:rPr>
          <w:rFonts w:eastAsia="Times New Roman"/>
        </w:rPr>
      </w:pPr>
      <w:r>
        <w:rPr>
          <w:rFonts w:ascii="Arial" w:eastAsia="Times New Roman" w:hAnsi="Arial" w:cs="Arial"/>
          <w:b/>
          <w:bCs/>
          <w:color w:val="000000"/>
          <w:sz w:val="20"/>
          <w:szCs w:val="20"/>
        </w:rPr>
        <w:t>SUPPLY AND DEMAND</w:t>
      </w:r>
    </w:p>
    <w:p w:rsidR="00000000" w:rsidRDefault="001F1FC8">
      <w:pPr>
        <w:divId w:val="2037852869"/>
        <w:rPr>
          <w:rFonts w:eastAsia="Times New Roman"/>
        </w:rPr>
      </w:pPr>
      <w:r>
        <w:rPr>
          <w:rFonts w:ascii="Arial" w:eastAsia="Times New Roman" w:hAnsi="Arial" w:cs="Arial"/>
          <w:color w:val="000000"/>
          <w:sz w:val="20"/>
          <w:szCs w:val="20"/>
        </w:rPr>
        <w:t>We expect that demand for natural gas in North America will continue to see steady annual growth over the long term with continued growth in peak day demands, however the</w:t>
      </w:r>
      <w:r>
        <w:rPr>
          <w:rFonts w:ascii="Arial" w:eastAsia="Times New Roman" w:hAnsi="Arial" w:cs="Arial"/>
          <w:color w:val="000000"/>
          <w:sz w:val="20"/>
          <w:szCs w:val="20"/>
        </w:rPr>
        <w:t>re are risks to the natural gas market that may challenge its growth prospects. Evolving customer preferences for lower-carbon fuels and more efficient technologies, combined with increasing opposition to natural gas development in North America, may reduc</w:t>
      </w:r>
      <w:r>
        <w:rPr>
          <w:rFonts w:ascii="Arial" w:eastAsia="Times New Roman" w:hAnsi="Arial" w:cs="Arial"/>
          <w:color w:val="000000"/>
          <w:sz w:val="20"/>
          <w:szCs w:val="20"/>
        </w:rPr>
        <w:t>e the markets’ ability to efficiently deploy capital to connect supply and demand. We monitor these factors closely to be able to develop our business strategy to align with shifts in customer preferences.</w:t>
      </w:r>
    </w:p>
    <w:p w:rsidR="00000000" w:rsidRDefault="001F1FC8">
      <w:pPr>
        <w:divId w:val="1294290538"/>
        <w:rPr>
          <w:rFonts w:eastAsia="Times New Roman"/>
        </w:rPr>
      </w:pPr>
    </w:p>
    <w:p w:rsidR="00000000" w:rsidRDefault="001F1FC8">
      <w:pPr>
        <w:jc w:val="center"/>
        <w:divId w:val="1271862818"/>
        <w:rPr>
          <w:rFonts w:eastAsia="Times New Roman"/>
        </w:rPr>
      </w:pPr>
      <w:r>
        <w:rPr>
          <w:rFonts w:ascii="Arial" w:eastAsia="Times New Roman" w:hAnsi="Arial" w:cs="Arial"/>
          <w:color w:val="000000"/>
          <w:sz w:val="20"/>
          <w:szCs w:val="20"/>
        </w:rPr>
        <w:t>27</w:t>
      </w:r>
    </w:p>
    <w:p w:rsidR="00000000" w:rsidRDefault="001F1FC8">
      <w:pPr>
        <w:rPr>
          <w:rFonts w:eastAsia="Times New Roman"/>
        </w:rPr>
      </w:pPr>
      <w:r>
        <w:rPr>
          <w:rFonts w:eastAsia="Times New Roman"/>
        </w:rPr>
        <w:pict>
          <v:rect id="_x0000_i1054" style="width:0;height:1.5pt" o:hralign="center" o:hrstd="t" o:hr="t" fillcolor="#a0a0a0" stroked="f"/>
        </w:pict>
      </w:r>
    </w:p>
    <w:p w:rsidR="00000000" w:rsidRDefault="001F1FC8">
      <w:pPr>
        <w:jc w:val="center"/>
        <w:divId w:val="1180435654"/>
        <w:rPr>
          <w:rFonts w:eastAsia="Times New Roman"/>
        </w:rPr>
      </w:pPr>
    </w:p>
    <w:p w:rsidR="00000000" w:rsidRDefault="001F1FC8">
      <w:pPr>
        <w:divId w:val="770395966"/>
        <w:rPr>
          <w:rFonts w:eastAsia="Times New Roman"/>
        </w:rPr>
      </w:pPr>
      <w:r>
        <w:rPr>
          <w:rFonts w:ascii="Arial" w:eastAsia="Times New Roman" w:hAnsi="Arial" w:cs="Arial"/>
          <w:color w:val="000000"/>
          <w:sz w:val="20"/>
          <w:szCs w:val="20"/>
        </w:rPr>
        <w:t>We expect demand for natural gas connections in Ontario to maintain its recent growth profile due to continued population growth and with competitively priced natural gas expected to continue to provide a significant p</w:t>
      </w:r>
      <w:r>
        <w:rPr>
          <w:rFonts w:ascii="Arial" w:eastAsia="Times New Roman" w:hAnsi="Arial" w:cs="Arial"/>
          <w:color w:val="000000"/>
          <w:sz w:val="20"/>
          <w:szCs w:val="20"/>
        </w:rPr>
        <w:t xml:space="preserve">rice advantage relative to alternate energy options, even with increasing carbon charges. Specific interest in natural gas connections is expected to come from communities that are not currently serviced by natural gas in Ontario. </w:t>
      </w:r>
    </w:p>
    <w:p w:rsidR="00000000" w:rsidRDefault="001F1FC8">
      <w:pPr>
        <w:divId w:val="560023115"/>
        <w:rPr>
          <w:rFonts w:eastAsia="Times New Roman"/>
        </w:rPr>
      </w:pPr>
    </w:p>
    <w:p w:rsidR="00000000" w:rsidRDefault="001F1FC8">
      <w:pPr>
        <w:divId w:val="1053584284"/>
        <w:rPr>
          <w:rFonts w:eastAsia="Times New Roman"/>
        </w:rPr>
      </w:pPr>
      <w:r>
        <w:rPr>
          <w:rFonts w:ascii="Arial" w:eastAsia="Times New Roman" w:hAnsi="Arial" w:cs="Arial"/>
          <w:color w:val="000000"/>
          <w:sz w:val="20"/>
          <w:szCs w:val="20"/>
        </w:rPr>
        <w:t>Enbridge Gas continues</w:t>
      </w:r>
      <w:r>
        <w:rPr>
          <w:rFonts w:ascii="Arial" w:eastAsia="Times New Roman" w:hAnsi="Arial" w:cs="Arial"/>
          <w:color w:val="000000"/>
          <w:sz w:val="20"/>
          <w:szCs w:val="20"/>
        </w:rPr>
        <w:t xml:space="preserve"> to focus on promoting conservation and energy efficiency by undertaking activities focused on reducing natural gas consumption through various demand side management programs offered across all markets and sourcing supply with a smaller carbon footprint. </w:t>
      </w:r>
      <w:r>
        <w:rPr>
          <w:rFonts w:ascii="Arial" w:eastAsia="Times New Roman" w:hAnsi="Arial" w:cs="Arial"/>
          <w:color w:val="000000"/>
          <w:sz w:val="20"/>
          <w:szCs w:val="20"/>
        </w:rPr>
        <w:t>In addition to our existing RNG programs, we are also expanding our efforts in other low-carbon supply sourcing such as Responsibly Sourced Natural Gas, and Hydrogen Gas.</w:t>
      </w:r>
    </w:p>
    <w:p w:rsidR="00000000" w:rsidRDefault="001F1FC8">
      <w:pPr>
        <w:divId w:val="1511868512"/>
        <w:rPr>
          <w:rFonts w:eastAsia="Times New Roman"/>
        </w:rPr>
      </w:pPr>
    </w:p>
    <w:p w:rsidR="00000000" w:rsidRDefault="001F1FC8">
      <w:pPr>
        <w:divId w:val="670528081"/>
        <w:rPr>
          <w:rFonts w:eastAsia="Times New Roman"/>
        </w:rPr>
      </w:pPr>
      <w:r>
        <w:rPr>
          <w:rFonts w:ascii="Arial" w:eastAsia="Times New Roman" w:hAnsi="Arial" w:cs="Arial"/>
          <w:color w:val="000000"/>
          <w:sz w:val="20"/>
          <w:szCs w:val="20"/>
        </w:rPr>
        <w:t xml:space="preserve">The storage and transportation marketplace continues to respond to changing natural gas supply dynamics, including a recovering supply environment which was negatively impacted by the global pandemic. </w:t>
      </w:r>
    </w:p>
    <w:p w:rsidR="00000000" w:rsidRDefault="001F1FC8">
      <w:pPr>
        <w:divId w:val="1126043171"/>
        <w:rPr>
          <w:rFonts w:eastAsia="Times New Roman"/>
        </w:rPr>
      </w:pPr>
    </w:p>
    <w:p w:rsidR="00000000" w:rsidRDefault="001F1FC8">
      <w:pPr>
        <w:divId w:val="1641613096"/>
        <w:rPr>
          <w:rFonts w:eastAsia="Times New Roman"/>
        </w:rPr>
      </w:pPr>
      <w:r>
        <w:rPr>
          <w:rFonts w:ascii="Arial" w:eastAsia="Times New Roman" w:hAnsi="Arial" w:cs="Arial"/>
          <w:color w:val="000000"/>
          <w:sz w:val="20"/>
          <w:szCs w:val="20"/>
        </w:rPr>
        <w:t>Over the past decade, growth in the North American g</w:t>
      </w:r>
      <w:r>
        <w:rPr>
          <w:rFonts w:ascii="Arial" w:eastAsia="Times New Roman" w:hAnsi="Arial" w:cs="Arial"/>
          <w:color w:val="000000"/>
          <w:sz w:val="20"/>
          <w:szCs w:val="20"/>
        </w:rPr>
        <w:t xml:space="preserve">as supply landscape, driven mainly by the development of unconventional gas resources in the Montney, Permian, Marcellus and Utica supply basins, has resulted in lower annual commodity prices and narrower seasonal price spreads. Unregulated storage values </w:t>
      </w:r>
      <w:r>
        <w:rPr>
          <w:rFonts w:ascii="Arial" w:eastAsia="Times New Roman" w:hAnsi="Arial" w:cs="Arial"/>
          <w:color w:val="000000"/>
          <w:sz w:val="20"/>
          <w:szCs w:val="20"/>
        </w:rPr>
        <w:t>are primarily determined by the difference in value between winter and summer natural gas prices. Storage values have been relatively stable as North American natural gas supply and demand slowly returned to a more balanced position.</w:t>
      </w:r>
    </w:p>
    <w:p w:rsidR="00000000" w:rsidRDefault="001F1FC8">
      <w:pPr>
        <w:divId w:val="328798816"/>
        <w:rPr>
          <w:rFonts w:eastAsia="Times New Roman"/>
        </w:rPr>
      </w:pPr>
    </w:p>
    <w:p w:rsidR="00000000" w:rsidRDefault="001F1FC8">
      <w:pPr>
        <w:jc w:val="center"/>
        <w:divId w:val="1992366648"/>
        <w:rPr>
          <w:rFonts w:eastAsia="Times New Roman"/>
        </w:rPr>
      </w:pPr>
      <w:r>
        <w:rPr>
          <w:rFonts w:ascii="Arial" w:eastAsia="Times New Roman" w:hAnsi="Arial" w:cs="Arial"/>
          <w:color w:val="000000"/>
          <w:sz w:val="20"/>
          <w:szCs w:val="20"/>
        </w:rPr>
        <w:t>28</w:t>
      </w:r>
    </w:p>
    <w:p w:rsidR="00000000" w:rsidRDefault="001F1FC8">
      <w:pPr>
        <w:rPr>
          <w:rFonts w:eastAsia="Times New Roman"/>
        </w:rPr>
      </w:pPr>
      <w:r>
        <w:rPr>
          <w:rFonts w:eastAsia="Times New Roman"/>
        </w:rPr>
        <w:pict>
          <v:rect id="_x0000_i1055" style="width:0;height:1.5pt" o:hralign="center" o:hrstd="t" o:hr="t" fillcolor="#a0a0a0" stroked="f"/>
        </w:pict>
      </w:r>
    </w:p>
    <w:p w:rsidR="00000000" w:rsidRDefault="001F1FC8">
      <w:pPr>
        <w:jc w:val="center"/>
        <w:divId w:val="1482117409"/>
        <w:rPr>
          <w:rFonts w:eastAsia="Times New Roman"/>
        </w:rPr>
      </w:pPr>
    </w:p>
    <w:p w:rsidR="00000000" w:rsidRDefault="001F1FC8">
      <w:pPr>
        <w:jc w:val="both"/>
        <w:rPr>
          <w:rFonts w:eastAsia="Times New Roman"/>
        </w:rPr>
      </w:pPr>
      <w:r>
        <w:rPr>
          <w:rFonts w:ascii="Arial" w:eastAsia="Times New Roman" w:hAnsi="Arial" w:cs="Arial"/>
          <w:b/>
          <w:bCs/>
          <w:color w:val="000000"/>
          <w:sz w:val="28"/>
          <w:szCs w:val="28"/>
        </w:rPr>
        <w:t>RENEWABLE POWER GENERATION</w:t>
      </w:r>
    </w:p>
    <w:p w:rsidR="00000000" w:rsidRDefault="001F1FC8">
      <w:pPr>
        <w:divId w:val="1902400172"/>
        <w:rPr>
          <w:rFonts w:eastAsia="Times New Roman"/>
        </w:rPr>
      </w:pPr>
    </w:p>
    <w:p w:rsidR="00000000" w:rsidRDefault="001F1FC8">
      <w:pPr>
        <w:divId w:val="735979530"/>
        <w:rPr>
          <w:rFonts w:eastAsia="Times New Roman"/>
        </w:rPr>
      </w:pPr>
      <w:r>
        <w:rPr>
          <w:rFonts w:ascii="Arial" w:eastAsia="Times New Roman" w:hAnsi="Arial" w:cs="Arial"/>
          <w:color w:val="000000"/>
          <w:sz w:val="20"/>
          <w:szCs w:val="20"/>
        </w:rPr>
        <w:t>Renewable Power Generation consists primarily of investments in wind and solar assets, as well as geothermal, waste heat recovery, and transmission assets. In North America, assets are primarily located in</w:t>
      </w:r>
      <w:r>
        <w:rPr>
          <w:rFonts w:ascii="Arial" w:eastAsia="Times New Roman" w:hAnsi="Arial" w:cs="Arial"/>
          <w:color w:val="000000"/>
          <w:sz w:val="20"/>
          <w:szCs w:val="20"/>
        </w:rPr>
        <w:t xml:space="preserve"> the provinces of Alberta, Saskatchewan, Ontario, and Québec and in the states of Colorado, Texas, Indiana and West Virginia. We are also developing several solar self-power projects along our oil and gas rights-of-way in North America. In Europe, we hold </w:t>
      </w:r>
      <w:r>
        <w:rPr>
          <w:rFonts w:ascii="Arial" w:eastAsia="Times New Roman" w:hAnsi="Arial" w:cs="Arial"/>
          <w:color w:val="000000"/>
          <w:sz w:val="20"/>
          <w:szCs w:val="20"/>
        </w:rPr>
        <w:t>equity interests in operating offshore wind facilities in the coastal waters of the United Kingdom and Germany, as well as interests in several offshore wind projects under construction and active development in France. Further, we are pursuing new Europea</w:t>
      </w:r>
      <w:r>
        <w:rPr>
          <w:rFonts w:ascii="Arial" w:eastAsia="Times New Roman" w:hAnsi="Arial" w:cs="Arial"/>
          <w:color w:val="000000"/>
          <w:sz w:val="20"/>
          <w:szCs w:val="20"/>
        </w:rPr>
        <w:t>n offshore wind development opportunities through Maple Power Ltd., a joint venture in which we hold a 50% interest.</w:t>
      </w:r>
    </w:p>
    <w:p w:rsidR="00000000" w:rsidRDefault="001F1FC8">
      <w:pPr>
        <w:divId w:val="448865471"/>
        <w:rPr>
          <w:rFonts w:eastAsia="Times New Roman"/>
        </w:rPr>
      </w:pPr>
    </w:p>
    <w:p w:rsidR="00000000" w:rsidRDefault="001F1FC8">
      <w:pPr>
        <w:divId w:val="1266111337"/>
        <w:rPr>
          <w:rFonts w:eastAsia="Times New Roman"/>
        </w:rPr>
      </w:pPr>
      <w:r>
        <w:rPr>
          <w:rFonts w:eastAsia="Times New Roman"/>
          <w:noProof/>
        </w:rPr>
        <w:drawing>
          <wp:inline distT="0" distB="0" distL="0" distR="0">
            <wp:extent cx="304800" cy="304800"/>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link="rId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000000" w:rsidRDefault="001F1FC8">
      <w:pPr>
        <w:divId w:val="1936860944"/>
        <w:rPr>
          <w:rFonts w:eastAsia="Times New Roman"/>
        </w:rPr>
      </w:pPr>
    </w:p>
    <w:p w:rsidR="00000000" w:rsidRDefault="001F1FC8">
      <w:pPr>
        <w:jc w:val="center"/>
        <w:divId w:val="356547013"/>
        <w:rPr>
          <w:rFonts w:eastAsia="Times New Roman"/>
        </w:rPr>
      </w:pPr>
      <w:r>
        <w:rPr>
          <w:rFonts w:ascii="Arial" w:eastAsia="Times New Roman" w:hAnsi="Arial" w:cs="Arial"/>
          <w:color w:val="000000"/>
          <w:sz w:val="20"/>
          <w:szCs w:val="20"/>
        </w:rPr>
        <w:t>29</w:t>
      </w:r>
    </w:p>
    <w:p w:rsidR="00000000" w:rsidRDefault="001F1FC8">
      <w:pPr>
        <w:rPr>
          <w:rFonts w:eastAsia="Times New Roman"/>
        </w:rPr>
      </w:pPr>
      <w:r>
        <w:rPr>
          <w:rFonts w:eastAsia="Times New Roman"/>
        </w:rPr>
        <w:pict>
          <v:rect id="_x0000_i1057" style="width:0;height:1.5pt" o:hralign="center" o:hrstd="t" o:hr="t" fillcolor="#a0a0a0" stroked="f"/>
        </w:pict>
      </w:r>
    </w:p>
    <w:p w:rsidR="00000000" w:rsidRDefault="001F1FC8">
      <w:pPr>
        <w:jc w:val="center"/>
        <w:divId w:val="2096243301"/>
        <w:rPr>
          <w:rFonts w:eastAsia="Times New Roman"/>
        </w:rPr>
      </w:pPr>
    </w:p>
    <w:p w:rsidR="00000000" w:rsidRDefault="001F1FC8">
      <w:pPr>
        <w:divId w:val="24522804"/>
        <w:rPr>
          <w:rFonts w:eastAsia="Times New Roman"/>
        </w:rPr>
      </w:pPr>
      <w:r>
        <w:rPr>
          <w:rFonts w:ascii="Arial" w:eastAsia="Times New Roman" w:hAnsi="Arial" w:cs="Arial"/>
          <w:color w:val="000000"/>
          <w:sz w:val="20"/>
          <w:szCs w:val="20"/>
        </w:rPr>
        <w:t>Combined Renewable Power Generation investments represent approximately 2,178 MW of net generation capacity. Of this amount, approximately:</w:t>
      </w:r>
    </w:p>
    <w:p w:rsidR="00000000" w:rsidRDefault="001F1FC8">
      <w:pPr>
        <w:ind w:hanging="360"/>
        <w:divId w:val="1617132116"/>
        <w:rPr>
          <w:rFonts w:eastAsia="Times New Roman"/>
        </w:rPr>
      </w:pPr>
      <w:r>
        <w:rPr>
          <w:rFonts w:ascii="Arial" w:eastAsia="Times New Roman" w:hAnsi="Arial" w:cs="Arial"/>
          <w:color w:val="000000"/>
          <w:sz w:val="20"/>
          <w:szCs w:val="20"/>
        </w:rPr>
        <w:t>•1,392 MW is generated by North American wind facilities;</w:t>
      </w:r>
    </w:p>
    <w:p w:rsidR="00000000" w:rsidRDefault="001F1FC8">
      <w:pPr>
        <w:ind w:hanging="360"/>
        <w:divId w:val="212739983"/>
        <w:rPr>
          <w:rFonts w:eastAsia="Times New Roman"/>
        </w:rPr>
      </w:pPr>
      <w:r>
        <w:rPr>
          <w:rFonts w:ascii="Arial" w:eastAsia="Times New Roman" w:hAnsi="Arial" w:cs="Arial"/>
          <w:color w:val="000000"/>
          <w:sz w:val="20"/>
          <w:szCs w:val="20"/>
        </w:rPr>
        <w:t>•255 MW is generated by European offshore wind facilit</w:t>
      </w:r>
      <w:r>
        <w:rPr>
          <w:rFonts w:ascii="Arial" w:eastAsia="Times New Roman" w:hAnsi="Arial" w:cs="Arial"/>
          <w:color w:val="000000"/>
          <w:sz w:val="20"/>
          <w:szCs w:val="20"/>
        </w:rPr>
        <w:t>ies;</w:t>
      </w:r>
    </w:p>
    <w:p w:rsidR="00000000" w:rsidRDefault="001F1FC8">
      <w:pPr>
        <w:ind w:hanging="360"/>
        <w:divId w:val="662129093"/>
        <w:rPr>
          <w:rFonts w:eastAsia="Times New Roman"/>
        </w:rPr>
      </w:pPr>
      <w:r>
        <w:rPr>
          <w:rFonts w:ascii="Arial" w:eastAsia="Times New Roman" w:hAnsi="Arial" w:cs="Arial"/>
          <w:color w:val="000000"/>
          <w:sz w:val="20"/>
          <w:szCs w:val="20"/>
        </w:rPr>
        <w:t>•309 MW will be generated by the Saint-Nazaire, Fécamp and Calvados Offshore Wind projects, all of which are currently under construction;</w:t>
      </w:r>
    </w:p>
    <w:p w:rsidR="00000000" w:rsidRDefault="001F1FC8">
      <w:pPr>
        <w:ind w:hanging="360"/>
        <w:divId w:val="544410361"/>
        <w:rPr>
          <w:rFonts w:eastAsia="Times New Roman"/>
        </w:rPr>
      </w:pPr>
      <w:r>
        <w:rPr>
          <w:rFonts w:ascii="Arial" w:eastAsia="Times New Roman" w:hAnsi="Arial" w:cs="Arial"/>
          <w:color w:val="000000"/>
          <w:sz w:val="20"/>
          <w:szCs w:val="20"/>
        </w:rPr>
        <w:t>•</w:t>
      </w:r>
      <w:r>
        <w:rPr>
          <w:rFonts w:ascii="Arial" w:eastAsia="Times New Roman" w:hAnsi="Arial" w:cs="Arial"/>
          <w:color w:val="000000"/>
          <w:sz w:val="20"/>
          <w:szCs w:val="20"/>
        </w:rPr>
        <w:t>6 MW will be generated by the Provence Grand Large Floating Offshore Wind project, which secured funding in 2021 and continues to prepare onshore construction; and</w:t>
      </w:r>
    </w:p>
    <w:p w:rsidR="00000000" w:rsidRDefault="001F1FC8">
      <w:pPr>
        <w:ind w:hanging="360"/>
        <w:divId w:val="2099448659"/>
        <w:rPr>
          <w:rFonts w:eastAsia="Times New Roman"/>
        </w:rPr>
      </w:pPr>
      <w:r>
        <w:rPr>
          <w:rFonts w:ascii="Arial" w:eastAsia="Times New Roman" w:hAnsi="Arial" w:cs="Arial"/>
          <w:color w:val="000000"/>
          <w:sz w:val="20"/>
          <w:szCs w:val="20"/>
        </w:rPr>
        <w:t>•93 MW is generated by North American solar facilities in operation, with an additional 97 M</w:t>
      </w:r>
      <w:r>
        <w:rPr>
          <w:rFonts w:ascii="Arial" w:eastAsia="Times New Roman" w:hAnsi="Arial" w:cs="Arial"/>
          <w:color w:val="000000"/>
          <w:sz w:val="20"/>
          <w:szCs w:val="20"/>
        </w:rPr>
        <w:t>W in projects in early construction and under-construction.</w:t>
      </w:r>
    </w:p>
    <w:p w:rsidR="00000000" w:rsidRDefault="001F1FC8">
      <w:pPr>
        <w:divId w:val="1752191702"/>
        <w:rPr>
          <w:rFonts w:eastAsia="Times New Roman"/>
        </w:rPr>
      </w:pPr>
    </w:p>
    <w:p w:rsidR="00000000" w:rsidRDefault="001F1FC8">
      <w:pPr>
        <w:divId w:val="2062050252"/>
        <w:rPr>
          <w:rFonts w:eastAsia="Times New Roman"/>
        </w:rPr>
      </w:pPr>
      <w:r>
        <w:rPr>
          <w:rFonts w:ascii="Arial" w:eastAsia="Times New Roman" w:hAnsi="Arial" w:cs="Arial"/>
          <w:color w:val="000000"/>
          <w:sz w:val="20"/>
          <w:szCs w:val="20"/>
        </w:rPr>
        <w:t>The vast majority of the power produced from these facilities is sold under long-term Power Purchase Agreements (PPAs).</w:t>
      </w:r>
    </w:p>
    <w:p w:rsidR="00000000" w:rsidRDefault="001F1FC8">
      <w:pPr>
        <w:divId w:val="844323410"/>
        <w:rPr>
          <w:rFonts w:eastAsia="Times New Roman"/>
        </w:rPr>
      </w:pPr>
    </w:p>
    <w:p w:rsidR="00000000" w:rsidRDefault="001F1FC8">
      <w:pPr>
        <w:divId w:val="694579017"/>
        <w:rPr>
          <w:rFonts w:eastAsia="Times New Roman"/>
        </w:rPr>
      </w:pPr>
      <w:r>
        <w:rPr>
          <w:rFonts w:ascii="Arial" w:eastAsia="Times New Roman" w:hAnsi="Arial" w:cs="Arial"/>
          <w:color w:val="000000"/>
          <w:sz w:val="20"/>
          <w:szCs w:val="20"/>
        </w:rPr>
        <w:t>Renewable Power Generation also includes our 25% interest in the East-We</w:t>
      </w:r>
      <w:r>
        <w:rPr>
          <w:rFonts w:ascii="Arial" w:eastAsia="Times New Roman" w:hAnsi="Arial" w:cs="Arial"/>
          <w:color w:val="000000"/>
          <w:sz w:val="20"/>
          <w:szCs w:val="20"/>
        </w:rPr>
        <w:t>st Tie, a 450-MW transmission line in northwestern Ontario, which is currently under construction and is expected to reach commercial operation in the first half of 2022.</w:t>
      </w:r>
    </w:p>
    <w:p w:rsidR="00000000" w:rsidRDefault="001F1FC8">
      <w:pPr>
        <w:divId w:val="1870604774"/>
        <w:rPr>
          <w:rFonts w:eastAsia="Times New Roman"/>
        </w:rPr>
      </w:pPr>
    </w:p>
    <w:p w:rsidR="00000000" w:rsidRDefault="001F1FC8">
      <w:pPr>
        <w:divId w:val="2038046088"/>
        <w:rPr>
          <w:rFonts w:eastAsia="Times New Roman"/>
        </w:rPr>
      </w:pPr>
      <w:r>
        <w:rPr>
          <w:rFonts w:ascii="Arial" w:eastAsia="Times New Roman" w:hAnsi="Arial" w:cs="Arial"/>
          <w:b/>
          <w:bCs/>
          <w:color w:val="000000"/>
          <w:sz w:val="20"/>
          <w:szCs w:val="20"/>
        </w:rPr>
        <w:t>JOINT VENTURES / EQUITY INVESTMENTS</w:t>
      </w:r>
    </w:p>
    <w:p w:rsidR="00000000" w:rsidRDefault="001F1FC8">
      <w:pPr>
        <w:divId w:val="1756050566"/>
        <w:rPr>
          <w:rFonts w:eastAsia="Times New Roman"/>
        </w:rPr>
      </w:pPr>
      <w:r>
        <w:rPr>
          <w:rFonts w:ascii="Arial" w:eastAsia="Times New Roman" w:hAnsi="Arial" w:cs="Arial"/>
          <w:color w:val="000000"/>
          <w:sz w:val="20"/>
          <w:szCs w:val="20"/>
        </w:rPr>
        <w:t xml:space="preserve">The investments in the Canadian wind and solar </w:t>
      </w:r>
      <w:r>
        <w:rPr>
          <w:rFonts w:ascii="Arial" w:eastAsia="Times New Roman" w:hAnsi="Arial" w:cs="Arial"/>
          <w:color w:val="000000"/>
          <w:sz w:val="20"/>
          <w:szCs w:val="20"/>
        </w:rPr>
        <w:t xml:space="preserve">assets (excluding self-power) and two of the US renewable assets are held within a joint venture in which we maintain a 51% interest and which we manage and operate. </w:t>
      </w:r>
    </w:p>
    <w:p w:rsidR="00000000" w:rsidRDefault="001F1FC8">
      <w:pPr>
        <w:divId w:val="316812153"/>
        <w:rPr>
          <w:rFonts w:eastAsia="Times New Roman"/>
        </w:rPr>
      </w:pPr>
    </w:p>
    <w:p w:rsidR="00000000" w:rsidRDefault="001F1FC8">
      <w:pPr>
        <w:divId w:val="1601373282"/>
        <w:rPr>
          <w:rFonts w:eastAsia="Times New Roman"/>
        </w:rPr>
      </w:pPr>
      <w:r>
        <w:rPr>
          <w:rFonts w:ascii="Arial" w:eastAsia="Times New Roman" w:hAnsi="Arial" w:cs="Arial"/>
          <w:color w:val="000000"/>
          <w:sz w:val="20"/>
          <w:szCs w:val="20"/>
        </w:rPr>
        <w:t xml:space="preserve">We also own interests in European offshore wind facilities through the following joint </w:t>
      </w:r>
      <w:r>
        <w:rPr>
          <w:rFonts w:ascii="Arial" w:eastAsia="Times New Roman" w:hAnsi="Arial" w:cs="Arial"/>
          <w:color w:val="000000"/>
          <w:sz w:val="20"/>
          <w:szCs w:val="20"/>
        </w:rPr>
        <w:t>ventures:</w:t>
      </w:r>
    </w:p>
    <w:p w:rsidR="00000000" w:rsidRDefault="001F1FC8">
      <w:pPr>
        <w:ind w:hanging="360"/>
        <w:divId w:val="791434999"/>
        <w:rPr>
          <w:rFonts w:eastAsia="Times New Roman"/>
        </w:rPr>
      </w:pPr>
      <w:r>
        <w:rPr>
          <w:rFonts w:ascii="Arial" w:eastAsia="Times New Roman" w:hAnsi="Arial" w:cs="Arial"/>
          <w:color w:val="000000"/>
          <w:sz w:val="20"/>
          <w:szCs w:val="20"/>
        </w:rPr>
        <w:t>•a 24.9% interest in Rampion Offshore Wind, located in the United Kingdom;</w:t>
      </w:r>
    </w:p>
    <w:p w:rsidR="00000000" w:rsidRDefault="001F1FC8">
      <w:pPr>
        <w:ind w:hanging="360"/>
        <w:divId w:val="1698508610"/>
        <w:rPr>
          <w:rFonts w:eastAsia="Times New Roman"/>
        </w:rPr>
      </w:pPr>
      <w:r>
        <w:rPr>
          <w:rFonts w:ascii="Arial" w:eastAsia="Times New Roman" w:hAnsi="Arial" w:cs="Arial"/>
          <w:color w:val="000000"/>
          <w:sz w:val="20"/>
          <w:szCs w:val="20"/>
        </w:rPr>
        <w:t>•</w:t>
      </w:r>
      <w:r>
        <w:rPr>
          <w:rFonts w:ascii="Arial" w:eastAsia="Times New Roman" w:hAnsi="Arial" w:cs="Arial"/>
          <w:color w:val="000000"/>
          <w:sz w:val="20"/>
          <w:szCs w:val="20"/>
        </w:rPr>
        <w:t xml:space="preserve">a 25.4% interest in Hohe See Offshore and its subsequent expansion, located in Germany; </w:t>
      </w:r>
    </w:p>
    <w:p w:rsidR="00000000" w:rsidRDefault="001F1FC8">
      <w:pPr>
        <w:ind w:hanging="360"/>
        <w:divId w:val="300158195"/>
        <w:rPr>
          <w:rFonts w:eastAsia="Times New Roman"/>
        </w:rPr>
      </w:pPr>
      <w:r>
        <w:rPr>
          <w:rFonts w:ascii="Arial" w:eastAsia="Times New Roman" w:hAnsi="Arial" w:cs="Arial"/>
          <w:color w:val="000000"/>
          <w:sz w:val="20"/>
          <w:szCs w:val="20"/>
        </w:rPr>
        <w:t>•a 25.5% interest in the Saint-Nazaire Offshore Wind project, under construction in France;</w:t>
      </w:r>
    </w:p>
    <w:p w:rsidR="00000000" w:rsidRDefault="001F1FC8">
      <w:pPr>
        <w:ind w:hanging="360"/>
        <w:divId w:val="1375276460"/>
        <w:rPr>
          <w:rFonts w:eastAsia="Times New Roman"/>
        </w:rPr>
      </w:pPr>
      <w:r>
        <w:rPr>
          <w:rFonts w:ascii="Arial" w:eastAsia="Times New Roman" w:hAnsi="Arial" w:cs="Arial"/>
          <w:color w:val="000000"/>
          <w:sz w:val="20"/>
          <w:szCs w:val="20"/>
        </w:rPr>
        <w:t>•a 25% interest in the Provence Grande Large Floating Offshore Wind project</w:t>
      </w:r>
      <w:r>
        <w:rPr>
          <w:rFonts w:ascii="Arial" w:eastAsia="Times New Roman" w:hAnsi="Arial" w:cs="Arial"/>
          <w:color w:val="000000"/>
          <w:sz w:val="20"/>
          <w:szCs w:val="20"/>
        </w:rPr>
        <w:t>, in pre-construction in France;</w:t>
      </w:r>
    </w:p>
    <w:p w:rsidR="00000000" w:rsidRDefault="001F1FC8">
      <w:pPr>
        <w:ind w:hanging="360"/>
        <w:divId w:val="193273867"/>
        <w:rPr>
          <w:rFonts w:eastAsia="Times New Roman"/>
        </w:rPr>
      </w:pPr>
      <w:r>
        <w:rPr>
          <w:rFonts w:ascii="Arial" w:eastAsia="Times New Roman" w:hAnsi="Arial" w:cs="Arial"/>
          <w:color w:val="000000"/>
          <w:sz w:val="20"/>
          <w:szCs w:val="20"/>
        </w:rPr>
        <w:t>•a 17.9% interest in the Fécamp Offshore Wind project, under construction in France; and</w:t>
      </w:r>
    </w:p>
    <w:p w:rsidR="00000000" w:rsidRDefault="001F1FC8">
      <w:pPr>
        <w:ind w:hanging="360"/>
        <w:divId w:val="1321616729"/>
        <w:rPr>
          <w:rFonts w:eastAsia="Times New Roman"/>
        </w:rPr>
      </w:pPr>
      <w:r>
        <w:rPr>
          <w:rFonts w:ascii="Arial" w:eastAsia="Times New Roman" w:hAnsi="Arial" w:cs="Arial"/>
          <w:color w:val="000000"/>
          <w:sz w:val="20"/>
          <w:szCs w:val="20"/>
        </w:rPr>
        <w:t>•a 21.7% interest in the Calvados Offshore Wind project, in pre-construction in France.</w:t>
      </w:r>
    </w:p>
    <w:p w:rsidR="00000000" w:rsidRDefault="001F1FC8">
      <w:pPr>
        <w:divId w:val="41758478"/>
        <w:rPr>
          <w:rFonts w:eastAsia="Times New Roman"/>
        </w:rPr>
      </w:pPr>
    </w:p>
    <w:p w:rsidR="00000000" w:rsidRDefault="001F1FC8">
      <w:pPr>
        <w:divId w:val="797381006"/>
        <w:rPr>
          <w:rFonts w:eastAsia="Times New Roman"/>
        </w:rPr>
      </w:pPr>
      <w:r>
        <w:rPr>
          <w:rFonts w:ascii="Arial" w:eastAsia="Times New Roman" w:hAnsi="Arial" w:cs="Arial"/>
          <w:color w:val="000000"/>
          <w:sz w:val="20"/>
          <w:szCs w:val="20"/>
        </w:rPr>
        <w:t>The ownership interest percentages in the Sa</w:t>
      </w:r>
      <w:r>
        <w:rPr>
          <w:rFonts w:ascii="Arial" w:eastAsia="Times New Roman" w:hAnsi="Arial" w:cs="Arial"/>
          <w:color w:val="000000"/>
          <w:sz w:val="20"/>
          <w:szCs w:val="20"/>
        </w:rPr>
        <w:t>int-Nazaire, Fécamp, and Calvados Offshore Wind projects reflect the sale of 49% of an entity that holds our 50% interest in Éolien Maritime France SAS (EMF) to the Canada Pension Plan Investment Board (CPP Investments) which closed in the first half of 20</w:t>
      </w:r>
      <w:r>
        <w:rPr>
          <w:rFonts w:ascii="Arial" w:eastAsia="Times New Roman" w:hAnsi="Arial" w:cs="Arial"/>
          <w:color w:val="000000"/>
          <w:sz w:val="20"/>
          <w:szCs w:val="20"/>
        </w:rPr>
        <w:t>21.</w:t>
      </w:r>
    </w:p>
    <w:p w:rsidR="00000000" w:rsidRDefault="001F1FC8">
      <w:pPr>
        <w:divId w:val="1958027414"/>
        <w:rPr>
          <w:rFonts w:eastAsia="Times New Roman"/>
        </w:rPr>
      </w:pPr>
    </w:p>
    <w:p w:rsidR="00000000" w:rsidRDefault="001F1FC8">
      <w:pPr>
        <w:divId w:val="924000300"/>
        <w:rPr>
          <w:rFonts w:eastAsia="Times New Roman"/>
        </w:rPr>
      </w:pPr>
      <w:r>
        <w:rPr>
          <w:rFonts w:ascii="Arial" w:eastAsia="Times New Roman" w:hAnsi="Arial" w:cs="Arial"/>
          <w:b/>
          <w:bCs/>
          <w:color w:val="000000"/>
          <w:sz w:val="20"/>
          <w:szCs w:val="20"/>
        </w:rPr>
        <w:t>COMPETITION</w:t>
      </w:r>
    </w:p>
    <w:p w:rsidR="00000000" w:rsidRDefault="001F1FC8">
      <w:pPr>
        <w:divId w:val="1269699760"/>
        <w:rPr>
          <w:rFonts w:eastAsia="Times New Roman"/>
        </w:rPr>
      </w:pPr>
      <w:r>
        <w:rPr>
          <w:rFonts w:ascii="Arial" w:eastAsia="Times New Roman" w:hAnsi="Arial" w:cs="Arial"/>
          <w:color w:val="000000"/>
          <w:sz w:val="20"/>
          <w:szCs w:val="20"/>
        </w:rPr>
        <w:t>Renewable Power Generation operates in the North American and European power markets, which are subject to competition and supply and demand fundamentals for power in the jurisdictions in which they operate. The majority of revenue is gen</w:t>
      </w:r>
      <w:r>
        <w:rPr>
          <w:rFonts w:ascii="Arial" w:eastAsia="Times New Roman" w:hAnsi="Arial" w:cs="Arial"/>
          <w:color w:val="000000"/>
          <w:sz w:val="20"/>
          <w:szCs w:val="20"/>
        </w:rPr>
        <w:t xml:space="preserve">erated pursuant to long-term PPAs (or has been substantially hedged). As such, the financial performance is not significantly impacted by fluctuating power prices arising from supply/demand imbalances or the actions of competing facilities during the term </w:t>
      </w:r>
      <w:r>
        <w:rPr>
          <w:rFonts w:ascii="Arial" w:eastAsia="Times New Roman" w:hAnsi="Arial" w:cs="Arial"/>
          <w:color w:val="000000"/>
          <w:sz w:val="20"/>
          <w:szCs w:val="20"/>
        </w:rPr>
        <w:t>of the applicable contracts. However, the renewable energy sector includes large utilities, small independent power producers and private equity investors, which are expected to aggressively compete for new project development opportunities and for the rig</w:t>
      </w:r>
      <w:r>
        <w:rPr>
          <w:rFonts w:ascii="Arial" w:eastAsia="Times New Roman" w:hAnsi="Arial" w:cs="Arial"/>
          <w:color w:val="000000"/>
          <w:sz w:val="20"/>
          <w:szCs w:val="20"/>
        </w:rPr>
        <w:t>ht to supply customers when contracts expire.</w:t>
      </w:r>
    </w:p>
    <w:p w:rsidR="00000000" w:rsidRDefault="001F1FC8">
      <w:pPr>
        <w:divId w:val="823936515"/>
        <w:rPr>
          <w:rFonts w:eastAsia="Times New Roman"/>
        </w:rPr>
      </w:pPr>
    </w:p>
    <w:p w:rsidR="00000000" w:rsidRDefault="001F1FC8">
      <w:pPr>
        <w:divId w:val="1827933843"/>
        <w:rPr>
          <w:rFonts w:eastAsia="Times New Roman"/>
        </w:rPr>
      </w:pPr>
      <w:r>
        <w:rPr>
          <w:rFonts w:ascii="Arial" w:eastAsia="Times New Roman" w:hAnsi="Arial" w:cs="Arial"/>
          <w:color w:val="000000"/>
          <w:sz w:val="20"/>
          <w:szCs w:val="20"/>
        </w:rPr>
        <w:t>To grow in an environment of heightened competition, we strategically seek opportunities to collaborate with well-established renewable power developers and financial partners and to target regions with comme</w:t>
      </w:r>
      <w:r>
        <w:rPr>
          <w:rFonts w:ascii="Arial" w:eastAsia="Times New Roman" w:hAnsi="Arial" w:cs="Arial"/>
          <w:color w:val="000000"/>
          <w:sz w:val="20"/>
          <w:szCs w:val="20"/>
        </w:rPr>
        <w:t>rcial constructs consistent with our low risk business model. In addition, we bring to bear the expertise of completing and delivering large scale infrastructure projects.</w:t>
      </w:r>
    </w:p>
    <w:p w:rsidR="00000000" w:rsidRDefault="001F1FC8">
      <w:pPr>
        <w:divId w:val="807631823"/>
        <w:rPr>
          <w:rFonts w:eastAsia="Times New Roman"/>
        </w:rPr>
      </w:pPr>
    </w:p>
    <w:p w:rsidR="00000000" w:rsidRDefault="001F1FC8">
      <w:pPr>
        <w:jc w:val="center"/>
        <w:divId w:val="1333029333"/>
        <w:rPr>
          <w:rFonts w:eastAsia="Times New Roman"/>
        </w:rPr>
      </w:pPr>
      <w:r>
        <w:rPr>
          <w:rFonts w:ascii="Arial" w:eastAsia="Times New Roman" w:hAnsi="Arial" w:cs="Arial"/>
          <w:color w:val="000000"/>
          <w:sz w:val="20"/>
          <w:szCs w:val="20"/>
        </w:rPr>
        <w:t>30</w:t>
      </w:r>
    </w:p>
    <w:p w:rsidR="00000000" w:rsidRDefault="001F1FC8">
      <w:pPr>
        <w:rPr>
          <w:rFonts w:eastAsia="Times New Roman"/>
        </w:rPr>
      </w:pPr>
      <w:r>
        <w:rPr>
          <w:rFonts w:eastAsia="Times New Roman"/>
        </w:rPr>
        <w:pict>
          <v:rect id="_x0000_i1058" style="width:0;height:1.5pt" o:hralign="center" o:hrstd="t" o:hr="t" fillcolor="#a0a0a0" stroked="f"/>
        </w:pict>
      </w:r>
    </w:p>
    <w:p w:rsidR="00000000" w:rsidRDefault="001F1FC8">
      <w:pPr>
        <w:jc w:val="center"/>
        <w:divId w:val="1919558741"/>
        <w:rPr>
          <w:rFonts w:eastAsia="Times New Roman"/>
        </w:rPr>
      </w:pPr>
    </w:p>
    <w:p w:rsidR="00000000" w:rsidRDefault="001F1FC8">
      <w:pPr>
        <w:divId w:val="1801726528"/>
        <w:rPr>
          <w:rFonts w:eastAsia="Times New Roman"/>
        </w:rPr>
      </w:pPr>
      <w:r>
        <w:rPr>
          <w:rFonts w:ascii="Arial" w:eastAsia="Times New Roman" w:hAnsi="Arial" w:cs="Arial"/>
          <w:b/>
          <w:bCs/>
          <w:color w:val="000000"/>
          <w:sz w:val="20"/>
          <w:szCs w:val="20"/>
        </w:rPr>
        <w:t>SUPPLY AND DEMAND</w:t>
      </w:r>
    </w:p>
    <w:p w:rsidR="00000000" w:rsidRDefault="001F1FC8">
      <w:pPr>
        <w:divId w:val="1768695876"/>
        <w:rPr>
          <w:rFonts w:eastAsia="Times New Roman"/>
        </w:rPr>
      </w:pPr>
      <w:r>
        <w:rPr>
          <w:rFonts w:ascii="Arial" w:eastAsia="Times New Roman" w:hAnsi="Arial" w:cs="Arial"/>
          <w:color w:val="000000"/>
          <w:sz w:val="20"/>
          <w:szCs w:val="20"/>
        </w:rPr>
        <w:t>The renewable power generation network in North America and Europe is expected to grow significantly over the next 20 years due to the replacement of older fossil fuel-based sources of electricity generation in support of announced governmental carbon emis</w:t>
      </w:r>
      <w:r>
        <w:rPr>
          <w:rFonts w:ascii="Arial" w:eastAsia="Times New Roman" w:hAnsi="Arial" w:cs="Arial"/>
          <w:color w:val="000000"/>
          <w:sz w:val="20"/>
          <w:szCs w:val="20"/>
        </w:rPr>
        <w:t>sions reduction targets. Any additional governmental actions toward reducing emissions and/or increasing electrification will further accelerate renewable electricity demand growth and electrification across all sectors.</w:t>
      </w:r>
    </w:p>
    <w:p w:rsidR="00000000" w:rsidRDefault="001F1FC8">
      <w:pPr>
        <w:divId w:val="1370494834"/>
        <w:rPr>
          <w:rFonts w:eastAsia="Times New Roman"/>
        </w:rPr>
      </w:pPr>
    </w:p>
    <w:p w:rsidR="00000000" w:rsidRDefault="001F1FC8">
      <w:pPr>
        <w:divId w:val="1875995323"/>
        <w:rPr>
          <w:rFonts w:eastAsia="Times New Roman"/>
        </w:rPr>
      </w:pPr>
      <w:r>
        <w:rPr>
          <w:rFonts w:ascii="Arial" w:eastAsia="Times New Roman" w:hAnsi="Arial" w:cs="Arial"/>
          <w:color w:val="000000"/>
          <w:sz w:val="20"/>
          <w:szCs w:val="20"/>
        </w:rPr>
        <w:t>On the demand side, North America</w:t>
      </w:r>
      <w:r>
        <w:rPr>
          <w:rFonts w:ascii="Arial" w:eastAsia="Times New Roman" w:hAnsi="Arial" w:cs="Arial"/>
          <w:color w:val="000000"/>
          <w:sz w:val="20"/>
          <w:szCs w:val="20"/>
        </w:rPr>
        <w:t>n economic growth over the longer term and the continued electrification and transition to low-carbon strategies within the residential, transportation and industrial sectors are expected to drive growing electricity demand. Furthermore, voluntary GHG emis</w:t>
      </w:r>
      <w:r>
        <w:rPr>
          <w:rFonts w:ascii="Arial" w:eastAsia="Times New Roman" w:hAnsi="Arial" w:cs="Arial"/>
          <w:color w:val="000000"/>
          <w:sz w:val="20"/>
          <w:szCs w:val="20"/>
        </w:rPr>
        <w:t>sions targets are becoming increasingly expected by stakeholders, which is driving significant demand from corporate electricity end-users for clean electricity and environmental attributes. However, continued efficiency gains are expected to make the econ</w:t>
      </w:r>
      <w:r>
        <w:rPr>
          <w:rFonts w:ascii="Arial" w:eastAsia="Times New Roman" w:hAnsi="Arial" w:cs="Arial"/>
          <w:color w:val="000000"/>
          <w:sz w:val="20"/>
          <w:szCs w:val="20"/>
        </w:rPr>
        <w:t xml:space="preserve">omy less energy-intensive and temper overall demand growth. </w:t>
      </w:r>
    </w:p>
    <w:p w:rsidR="00000000" w:rsidRDefault="001F1FC8">
      <w:pPr>
        <w:divId w:val="1091513324"/>
        <w:rPr>
          <w:rFonts w:eastAsia="Times New Roman"/>
        </w:rPr>
      </w:pPr>
    </w:p>
    <w:p w:rsidR="00000000" w:rsidRDefault="001F1FC8">
      <w:pPr>
        <w:divId w:val="280919765"/>
        <w:rPr>
          <w:rFonts w:eastAsia="Times New Roman"/>
        </w:rPr>
      </w:pPr>
      <w:r>
        <w:rPr>
          <w:rFonts w:ascii="Arial" w:eastAsia="Times New Roman" w:hAnsi="Arial" w:cs="Arial"/>
          <w:color w:val="000000"/>
          <w:sz w:val="20"/>
          <w:szCs w:val="20"/>
        </w:rPr>
        <w:t xml:space="preserve">On the supply side in North America, legislation is accelerating the retirement of aging coal-fired generation, while generation from conventional nuclear power is also forecast to decline. As </w:t>
      </w:r>
      <w:r>
        <w:rPr>
          <w:rFonts w:ascii="Arial" w:eastAsia="Times New Roman" w:hAnsi="Arial" w:cs="Arial"/>
          <w:color w:val="000000"/>
          <w:sz w:val="20"/>
          <w:szCs w:val="20"/>
        </w:rPr>
        <w:t>a result, North America requires significant new generation capacity from preferred technologies. Gas-fired and renewable energy facilities, including solar and wind (which make up the bulk of our renewable power assets), are generally the preferred source</w:t>
      </w:r>
      <w:r>
        <w:rPr>
          <w:rFonts w:ascii="Arial" w:eastAsia="Times New Roman" w:hAnsi="Arial" w:cs="Arial"/>
          <w:color w:val="000000"/>
          <w:sz w:val="20"/>
          <w:szCs w:val="20"/>
        </w:rPr>
        <w:t>s to replace coal-fired generation due to their low carbon intensities.</w:t>
      </w:r>
    </w:p>
    <w:p w:rsidR="00000000" w:rsidRDefault="001F1FC8">
      <w:pPr>
        <w:divId w:val="1365011520"/>
        <w:rPr>
          <w:rFonts w:eastAsia="Times New Roman"/>
        </w:rPr>
      </w:pPr>
    </w:p>
    <w:p w:rsidR="00000000" w:rsidRDefault="001F1FC8">
      <w:pPr>
        <w:divId w:val="155000622"/>
        <w:rPr>
          <w:rFonts w:eastAsia="Times New Roman"/>
        </w:rPr>
      </w:pPr>
      <w:r>
        <w:rPr>
          <w:rFonts w:ascii="Arial" w:eastAsia="Times New Roman" w:hAnsi="Arial" w:cs="Arial"/>
          <w:color w:val="000000"/>
          <w:sz w:val="20"/>
          <w:szCs w:val="20"/>
        </w:rPr>
        <w:t xml:space="preserve">The falling capital and operating costs of wind and solar, combined with their improving capacity factors, are expected to continue the ongoing trend of making renewable energy more </w:t>
      </w:r>
      <w:r>
        <w:rPr>
          <w:rFonts w:ascii="Arial" w:eastAsia="Times New Roman" w:hAnsi="Arial" w:cs="Arial"/>
          <w:color w:val="000000"/>
          <w:sz w:val="20"/>
          <w:szCs w:val="20"/>
        </w:rPr>
        <w:t>competitive and support investment over the long-term, regardless of available government incentives. Generation from renewable sources is expected to double over the next two decades in North America. Aside from the construction of new wind and solar faci</w:t>
      </w:r>
      <w:r>
        <w:rPr>
          <w:rFonts w:ascii="Arial" w:eastAsia="Times New Roman" w:hAnsi="Arial" w:cs="Arial"/>
          <w:color w:val="000000"/>
          <w:sz w:val="20"/>
          <w:szCs w:val="20"/>
        </w:rPr>
        <w:t>lities, other growth opportunities include repowering projects to increase output from, and extending the project-life of, our existing facilities.</w:t>
      </w:r>
    </w:p>
    <w:p w:rsidR="00000000" w:rsidRDefault="001F1FC8">
      <w:pPr>
        <w:divId w:val="837842478"/>
        <w:rPr>
          <w:rFonts w:eastAsia="Times New Roman"/>
        </w:rPr>
      </w:pPr>
    </w:p>
    <w:p w:rsidR="00000000" w:rsidRDefault="001F1FC8">
      <w:pPr>
        <w:divId w:val="1938245578"/>
        <w:rPr>
          <w:rFonts w:eastAsia="Times New Roman"/>
        </w:rPr>
      </w:pPr>
      <w:r>
        <w:rPr>
          <w:rFonts w:ascii="Arial" w:eastAsia="Times New Roman" w:hAnsi="Arial" w:cs="Arial"/>
          <w:color w:val="000000"/>
          <w:sz w:val="20"/>
          <w:szCs w:val="20"/>
        </w:rPr>
        <w:t>In Europe, the renewable energy outlook is robust. Demand for electricity is expected to gradually increas</w:t>
      </w:r>
      <w:r>
        <w:rPr>
          <w:rFonts w:ascii="Arial" w:eastAsia="Times New Roman" w:hAnsi="Arial" w:cs="Arial"/>
          <w:color w:val="000000"/>
          <w:sz w:val="20"/>
          <w:szCs w:val="20"/>
        </w:rPr>
        <w:t>e over the next two decades, driven by electrification of transportation and buildings. Energy efficiency gains will temper, but not eliminate, demand growth. Renewable power will play a significant role in the United Kingdom’s ability to meet their aggres</w:t>
      </w:r>
      <w:r>
        <w:rPr>
          <w:rFonts w:ascii="Arial" w:eastAsia="Times New Roman" w:hAnsi="Arial" w:cs="Arial"/>
          <w:color w:val="000000"/>
          <w:sz w:val="20"/>
          <w:szCs w:val="20"/>
        </w:rPr>
        <w:t>sive low-carbon and renewable energy targets, particularly offshore wind.</w:t>
      </w:r>
    </w:p>
    <w:p w:rsidR="00000000" w:rsidRDefault="001F1FC8">
      <w:pPr>
        <w:divId w:val="935287072"/>
        <w:rPr>
          <w:rFonts w:eastAsia="Times New Roman"/>
        </w:rPr>
      </w:pPr>
    </w:p>
    <w:p w:rsidR="00000000" w:rsidRDefault="001F1FC8">
      <w:pPr>
        <w:divId w:val="1110585353"/>
        <w:rPr>
          <w:rFonts w:eastAsia="Times New Roman"/>
        </w:rPr>
      </w:pPr>
      <w:r>
        <w:rPr>
          <w:rFonts w:ascii="Arial" w:eastAsia="Times New Roman" w:hAnsi="Arial" w:cs="Arial"/>
          <w:color w:val="000000"/>
          <w:sz w:val="20"/>
          <w:szCs w:val="20"/>
        </w:rPr>
        <w:t>On the supply side, the International Energy Agency expects coal to fall by more than 90% from 2020 levels, while nuclear falls by one-third, by 2040. Over the same period, it anti</w:t>
      </w:r>
      <w:r>
        <w:rPr>
          <w:rFonts w:ascii="Arial" w:eastAsia="Times New Roman" w:hAnsi="Arial" w:cs="Arial"/>
          <w:color w:val="000000"/>
          <w:sz w:val="20"/>
          <w:szCs w:val="20"/>
        </w:rPr>
        <w:t>cipates power generation from renewable sources will more than double, including installed (onshore and offshore) wind more than doubling and photovoltaics solar power nearly tripling. We, through our European joint ventures, continue to invest in offshore</w:t>
      </w:r>
      <w:r>
        <w:rPr>
          <w:rFonts w:ascii="Arial" w:eastAsia="Times New Roman" w:hAnsi="Arial" w:cs="Arial"/>
          <w:color w:val="000000"/>
          <w:sz w:val="20"/>
          <w:szCs w:val="20"/>
        </w:rPr>
        <w:t xml:space="preserve"> wind projects in the United Kingdom, France and Germany, and to explore opportunities, to meet the growing demand.</w:t>
      </w:r>
    </w:p>
    <w:p w:rsidR="00000000" w:rsidRDefault="001F1FC8">
      <w:pPr>
        <w:divId w:val="1605844085"/>
        <w:rPr>
          <w:rFonts w:eastAsia="Times New Roman"/>
        </w:rPr>
      </w:pPr>
    </w:p>
    <w:p w:rsidR="00000000" w:rsidRDefault="001F1FC8">
      <w:pPr>
        <w:jc w:val="both"/>
        <w:rPr>
          <w:rFonts w:eastAsia="Times New Roman"/>
        </w:rPr>
      </w:pPr>
      <w:r>
        <w:rPr>
          <w:rFonts w:ascii="Arial" w:eastAsia="Times New Roman" w:hAnsi="Arial" w:cs="Arial"/>
          <w:b/>
          <w:bCs/>
          <w:color w:val="000000"/>
          <w:sz w:val="28"/>
          <w:szCs w:val="28"/>
        </w:rPr>
        <w:t>ENERGY SERVICES</w:t>
      </w:r>
    </w:p>
    <w:p w:rsidR="00000000" w:rsidRDefault="001F1FC8">
      <w:pPr>
        <w:divId w:val="2074311249"/>
        <w:rPr>
          <w:rFonts w:eastAsia="Times New Roman"/>
        </w:rPr>
      </w:pPr>
    </w:p>
    <w:p w:rsidR="00000000" w:rsidRDefault="001F1FC8">
      <w:pPr>
        <w:divId w:val="818691270"/>
        <w:rPr>
          <w:rFonts w:eastAsia="Times New Roman"/>
        </w:rPr>
      </w:pPr>
      <w:r>
        <w:rPr>
          <w:rFonts w:ascii="Arial" w:eastAsia="Times New Roman" w:hAnsi="Arial" w:cs="Arial"/>
          <w:color w:val="000000"/>
          <w:sz w:val="20"/>
          <w:szCs w:val="20"/>
        </w:rPr>
        <w:t>The Energy Services businesses in Canada and the US provide physical commodity marketing and logistical services to Nort</w:t>
      </w:r>
      <w:r>
        <w:rPr>
          <w:rFonts w:ascii="Arial" w:eastAsia="Times New Roman" w:hAnsi="Arial" w:cs="Arial"/>
          <w:color w:val="000000"/>
          <w:sz w:val="20"/>
          <w:szCs w:val="20"/>
        </w:rPr>
        <w:t>h American refiners, producers, and other customers.</w:t>
      </w:r>
    </w:p>
    <w:p w:rsidR="00000000" w:rsidRDefault="001F1FC8">
      <w:pPr>
        <w:divId w:val="193347761"/>
        <w:rPr>
          <w:rFonts w:eastAsia="Times New Roman"/>
        </w:rPr>
      </w:pPr>
    </w:p>
    <w:p w:rsidR="00000000" w:rsidRDefault="001F1FC8">
      <w:pPr>
        <w:divId w:val="1861551708"/>
        <w:rPr>
          <w:rFonts w:eastAsia="Times New Roman"/>
        </w:rPr>
      </w:pPr>
      <w:r>
        <w:rPr>
          <w:rFonts w:ascii="Arial" w:eastAsia="Times New Roman" w:hAnsi="Arial" w:cs="Arial"/>
          <w:color w:val="000000"/>
          <w:sz w:val="20"/>
          <w:szCs w:val="20"/>
        </w:rPr>
        <w:t>Energy Services is primarily focused on servicing customers across the value chain and capturing value from quality, time, and location price differentials when opportunities arise. To execute these st</w:t>
      </w:r>
      <w:r>
        <w:rPr>
          <w:rFonts w:ascii="Arial" w:eastAsia="Times New Roman" w:hAnsi="Arial" w:cs="Arial"/>
          <w:color w:val="000000"/>
          <w:sz w:val="20"/>
          <w:szCs w:val="20"/>
        </w:rPr>
        <w:t>rategies, Energy Services transports and stores on both Enbridge-owned and third party assets using a combination of contracted long-term and short-term pipeline, storage, railcar, and truck capacity agreements.</w:t>
      </w:r>
    </w:p>
    <w:p w:rsidR="00000000" w:rsidRDefault="001F1FC8">
      <w:pPr>
        <w:divId w:val="15886737"/>
        <w:rPr>
          <w:rFonts w:eastAsia="Times New Roman"/>
        </w:rPr>
      </w:pPr>
    </w:p>
    <w:p w:rsidR="00000000" w:rsidRDefault="001F1FC8">
      <w:pPr>
        <w:jc w:val="center"/>
        <w:divId w:val="347101837"/>
        <w:rPr>
          <w:rFonts w:eastAsia="Times New Roman"/>
        </w:rPr>
      </w:pPr>
      <w:r>
        <w:rPr>
          <w:rFonts w:ascii="Arial" w:eastAsia="Times New Roman" w:hAnsi="Arial" w:cs="Arial"/>
          <w:color w:val="000000"/>
          <w:sz w:val="20"/>
          <w:szCs w:val="20"/>
        </w:rPr>
        <w:t>31</w:t>
      </w:r>
    </w:p>
    <w:p w:rsidR="00000000" w:rsidRDefault="001F1FC8">
      <w:pPr>
        <w:rPr>
          <w:rFonts w:eastAsia="Times New Roman"/>
        </w:rPr>
      </w:pPr>
      <w:r>
        <w:rPr>
          <w:rFonts w:eastAsia="Times New Roman"/>
        </w:rPr>
        <w:pict>
          <v:rect id="_x0000_i1059" style="width:0;height:1.5pt" o:hralign="center" o:hrstd="t" o:hr="t" fillcolor="#a0a0a0" stroked="f"/>
        </w:pict>
      </w:r>
    </w:p>
    <w:p w:rsidR="00000000" w:rsidRDefault="001F1FC8">
      <w:pPr>
        <w:jc w:val="center"/>
        <w:divId w:val="1444691290"/>
        <w:rPr>
          <w:rFonts w:eastAsia="Times New Roman"/>
        </w:rPr>
      </w:pPr>
    </w:p>
    <w:p w:rsidR="00000000" w:rsidRDefault="001F1FC8">
      <w:pPr>
        <w:divId w:val="1198004283"/>
        <w:rPr>
          <w:rFonts w:eastAsia="Times New Roman"/>
        </w:rPr>
      </w:pPr>
      <w:r>
        <w:rPr>
          <w:rFonts w:ascii="Arial" w:eastAsia="Times New Roman" w:hAnsi="Arial" w:cs="Arial"/>
          <w:b/>
          <w:bCs/>
          <w:color w:val="000000"/>
          <w:sz w:val="20"/>
          <w:szCs w:val="20"/>
        </w:rPr>
        <w:t>COMPETITION</w:t>
      </w:r>
    </w:p>
    <w:p w:rsidR="00000000" w:rsidRDefault="001F1FC8">
      <w:pPr>
        <w:divId w:val="560333834"/>
        <w:rPr>
          <w:rFonts w:eastAsia="Times New Roman"/>
        </w:rPr>
      </w:pPr>
      <w:r>
        <w:rPr>
          <w:rFonts w:ascii="Arial" w:eastAsia="Times New Roman" w:hAnsi="Arial" w:cs="Arial"/>
          <w:color w:val="000000"/>
          <w:sz w:val="20"/>
          <w:szCs w:val="20"/>
        </w:rPr>
        <w:t>Energy Services’ earnings are primarily generated from arbitrage opportunities which, by their nature, can be replicated by competitors. An increase in market participants entering into similar arbitrage strategies could have an impact on our e</w:t>
      </w:r>
      <w:r>
        <w:rPr>
          <w:rFonts w:ascii="Arial" w:eastAsia="Times New Roman" w:hAnsi="Arial" w:cs="Arial"/>
          <w:color w:val="000000"/>
          <w:sz w:val="20"/>
          <w:szCs w:val="20"/>
        </w:rPr>
        <w:t>arnings. Efforts to mitigate competition risk include diversification of the marketing business by transacting at the majority of major hubs in North America and establishing long-term relationships with clients and pipelines.</w:t>
      </w:r>
    </w:p>
    <w:p w:rsidR="00000000" w:rsidRDefault="001F1FC8">
      <w:pPr>
        <w:divId w:val="57360740"/>
        <w:rPr>
          <w:rFonts w:eastAsia="Times New Roman"/>
        </w:rPr>
      </w:pPr>
    </w:p>
    <w:p w:rsidR="00000000" w:rsidRDefault="001F1FC8">
      <w:pPr>
        <w:divId w:val="777260641"/>
        <w:rPr>
          <w:rFonts w:eastAsia="Times New Roman"/>
        </w:rPr>
      </w:pPr>
      <w:r>
        <w:rPr>
          <w:rFonts w:ascii="Arial" w:eastAsia="Times New Roman" w:hAnsi="Arial" w:cs="Arial"/>
          <w:b/>
          <w:bCs/>
          <w:color w:val="000000"/>
          <w:sz w:val="28"/>
          <w:szCs w:val="28"/>
        </w:rPr>
        <w:t>ELIMINATIONS AND OTHER</w:t>
      </w:r>
    </w:p>
    <w:p w:rsidR="00000000" w:rsidRDefault="001F1FC8">
      <w:pPr>
        <w:divId w:val="935022665"/>
        <w:rPr>
          <w:rFonts w:eastAsia="Times New Roman"/>
        </w:rPr>
      </w:pPr>
    </w:p>
    <w:p w:rsidR="00000000" w:rsidRDefault="001F1FC8">
      <w:pPr>
        <w:divId w:val="486172426"/>
        <w:rPr>
          <w:rFonts w:eastAsia="Times New Roman"/>
        </w:rPr>
      </w:pPr>
      <w:r>
        <w:rPr>
          <w:rFonts w:ascii="Arial" w:eastAsia="Times New Roman" w:hAnsi="Arial" w:cs="Arial"/>
          <w:color w:val="000000"/>
          <w:sz w:val="20"/>
          <w:szCs w:val="20"/>
        </w:rPr>
        <w:t>El</w:t>
      </w:r>
      <w:r>
        <w:rPr>
          <w:rFonts w:ascii="Arial" w:eastAsia="Times New Roman" w:hAnsi="Arial" w:cs="Arial"/>
          <w:color w:val="000000"/>
          <w:sz w:val="20"/>
          <w:szCs w:val="20"/>
        </w:rPr>
        <w:t>iminations and Other includes operating and administrative costs that are not allocated to business segments and the impact of foreign exchange hedge settlements. Eliminations and Other also includes new business development activities and corporate invest</w:t>
      </w:r>
      <w:r>
        <w:rPr>
          <w:rFonts w:ascii="Arial" w:eastAsia="Times New Roman" w:hAnsi="Arial" w:cs="Arial"/>
          <w:color w:val="000000"/>
          <w:sz w:val="20"/>
          <w:szCs w:val="20"/>
        </w:rPr>
        <w:t>ments.</w:t>
      </w:r>
    </w:p>
    <w:p w:rsidR="00000000" w:rsidRDefault="001F1FC8">
      <w:pPr>
        <w:divId w:val="354305445"/>
        <w:rPr>
          <w:rFonts w:eastAsia="Times New Roman"/>
        </w:rPr>
      </w:pPr>
    </w:p>
    <w:p w:rsidR="00000000" w:rsidRDefault="001F1FC8">
      <w:pPr>
        <w:divId w:val="2016224996"/>
        <w:rPr>
          <w:rFonts w:eastAsia="Times New Roman"/>
        </w:rPr>
      </w:pPr>
      <w:r>
        <w:rPr>
          <w:rFonts w:ascii="Arial" w:eastAsia="Times New Roman" w:hAnsi="Arial" w:cs="Arial"/>
          <w:b/>
          <w:bCs/>
          <w:color w:val="000000"/>
          <w:sz w:val="28"/>
          <w:szCs w:val="28"/>
        </w:rPr>
        <w:t>REGULATION</w:t>
      </w:r>
    </w:p>
    <w:p w:rsidR="00000000" w:rsidRDefault="001F1FC8">
      <w:pPr>
        <w:divId w:val="460923820"/>
        <w:rPr>
          <w:rFonts w:eastAsia="Times New Roman"/>
        </w:rPr>
      </w:pPr>
    </w:p>
    <w:p w:rsidR="00000000" w:rsidRDefault="001F1FC8">
      <w:pPr>
        <w:divId w:val="548881880"/>
        <w:rPr>
          <w:rFonts w:eastAsia="Times New Roman"/>
        </w:rPr>
      </w:pPr>
      <w:r>
        <w:rPr>
          <w:rFonts w:ascii="Arial" w:eastAsia="Times New Roman" w:hAnsi="Arial" w:cs="Arial"/>
          <w:b/>
          <w:bCs/>
          <w:color w:val="000000"/>
          <w:sz w:val="20"/>
          <w:szCs w:val="20"/>
        </w:rPr>
        <w:t>GOVERNMENT REGULATION</w:t>
      </w:r>
    </w:p>
    <w:p w:rsidR="00000000" w:rsidRDefault="001F1FC8">
      <w:pPr>
        <w:divId w:val="25182272"/>
        <w:rPr>
          <w:rFonts w:eastAsia="Times New Roman"/>
        </w:rPr>
      </w:pPr>
      <w:r>
        <w:rPr>
          <w:rFonts w:ascii="Arial" w:eastAsia="Times New Roman" w:hAnsi="Arial" w:cs="Arial"/>
          <w:b/>
          <w:bCs/>
          <w:color w:val="000000"/>
          <w:sz w:val="20"/>
          <w:szCs w:val="20"/>
        </w:rPr>
        <w:t>Pipeline Regulation</w:t>
      </w:r>
    </w:p>
    <w:p w:rsidR="00000000" w:rsidRDefault="001F1FC8">
      <w:pPr>
        <w:divId w:val="2097633972"/>
        <w:rPr>
          <w:rFonts w:eastAsia="Times New Roman"/>
        </w:rPr>
      </w:pPr>
      <w:r>
        <w:rPr>
          <w:rFonts w:ascii="Arial" w:eastAsia="Times New Roman" w:hAnsi="Arial" w:cs="Arial"/>
          <w:color w:val="000000"/>
          <w:sz w:val="20"/>
          <w:szCs w:val="20"/>
        </w:rPr>
        <w:t>Our Liquids Pipelines and Gas Transmission and Midstream assets are subject to numerous operational rules and regulations mandated by governments or applicable regulatory authorities, breaches of which could result in fines, penalties, operating restrictio</w:t>
      </w:r>
      <w:r>
        <w:rPr>
          <w:rFonts w:ascii="Arial" w:eastAsia="Times New Roman" w:hAnsi="Arial" w:cs="Arial"/>
          <w:color w:val="000000"/>
          <w:sz w:val="20"/>
          <w:szCs w:val="20"/>
        </w:rPr>
        <w:t>ns and an overall increase in operating and compliance costs.</w:t>
      </w:r>
    </w:p>
    <w:p w:rsidR="00000000" w:rsidRDefault="001F1FC8">
      <w:pPr>
        <w:divId w:val="1175532491"/>
        <w:rPr>
          <w:rFonts w:eastAsia="Times New Roman"/>
        </w:rPr>
      </w:pPr>
    </w:p>
    <w:p w:rsidR="00000000" w:rsidRDefault="001F1FC8">
      <w:pPr>
        <w:divId w:val="349374366"/>
        <w:rPr>
          <w:rFonts w:eastAsia="Times New Roman"/>
        </w:rPr>
      </w:pPr>
      <w:r>
        <w:rPr>
          <w:rFonts w:ascii="Arial" w:eastAsia="Times New Roman" w:hAnsi="Arial" w:cs="Arial"/>
          <w:color w:val="000000"/>
          <w:sz w:val="20"/>
          <w:szCs w:val="20"/>
        </w:rPr>
        <w:t xml:space="preserve">In the US, our interstate pipeline operations are subject to pipeline safety laws and regulations administered by the Pipeline and Hazardous Materials Safety Administration (PHMSA), an agency </w:t>
      </w:r>
      <w:r>
        <w:rPr>
          <w:rFonts w:ascii="Arial" w:eastAsia="Times New Roman" w:hAnsi="Arial" w:cs="Arial"/>
          <w:color w:val="000000"/>
          <w:sz w:val="20"/>
          <w:szCs w:val="20"/>
        </w:rPr>
        <w:t>within the United States Department of Transportation. These laws and regulations require us to comply with a significant set of requirements for the design, construction, maintenance and operation of our interstate pipelines. These laws and regulations, a</w:t>
      </w:r>
      <w:r>
        <w:rPr>
          <w:rFonts w:ascii="Arial" w:eastAsia="Times New Roman" w:hAnsi="Arial" w:cs="Arial"/>
          <w:color w:val="000000"/>
          <w:sz w:val="20"/>
          <w:szCs w:val="20"/>
        </w:rPr>
        <w:t>mong other things, include requirements to monitor and maintain the integrity of our pipelines and to operate them at permissible pressures.</w:t>
      </w:r>
    </w:p>
    <w:p w:rsidR="00000000" w:rsidRDefault="001F1FC8">
      <w:pPr>
        <w:divId w:val="821627400"/>
        <w:rPr>
          <w:rFonts w:eastAsia="Times New Roman"/>
        </w:rPr>
      </w:pPr>
    </w:p>
    <w:p w:rsidR="00000000" w:rsidRDefault="001F1FC8">
      <w:pPr>
        <w:divId w:val="1816724219"/>
        <w:rPr>
          <w:rFonts w:eastAsia="Times New Roman"/>
        </w:rPr>
      </w:pPr>
      <w:r>
        <w:rPr>
          <w:rFonts w:ascii="Arial" w:eastAsia="Times New Roman" w:hAnsi="Arial" w:cs="Arial"/>
          <w:color w:val="000000"/>
          <w:sz w:val="20"/>
          <w:szCs w:val="20"/>
        </w:rPr>
        <w:t>PHMSA continues to review existing regulations and establish new regulations to support safety standards that are</w:t>
      </w:r>
      <w:r>
        <w:rPr>
          <w:rFonts w:ascii="Arial" w:eastAsia="Times New Roman" w:hAnsi="Arial" w:cs="Arial"/>
          <w:color w:val="000000"/>
          <w:sz w:val="20"/>
          <w:szCs w:val="20"/>
        </w:rPr>
        <w:t xml:space="preserve"> designed to improve and expand operations integrity management processes. There remains uncertainty as to how these standards will be implemented, but it is expected that the changes will impose additional costs on new pipeline projects as well as on exis</w:t>
      </w:r>
      <w:r>
        <w:rPr>
          <w:rFonts w:ascii="Arial" w:eastAsia="Times New Roman" w:hAnsi="Arial" w:cs="Arial"/>
          <w:color w:val="000000"/>
          <w:sz w:val="20"/>
          <w:szCs w:val="20"/>
        </w:rPr>
        <w:t>ting operations. In this climate of increasingly stringent regulation, pipeline failure or failures to comply with applicable regulations could result in reduction of allowable operating pressures as authorized by PHMSA, which would reduce available capaci</w:t>
      </w:r>
      <w:r>
        <w:rPr>
          <w:rFonts w:ascii="Arial" w:eastAsia="Times New Roman" w:hAnsi="Arial" w:cs="Arial"/>
          <w:color w:val="000000"/>
          <w:sz w:val="20"/>
          <w:szCs w:val="20"/>
        </w:rPr>
        <w:t>ty on our pipelines. Should any of these risks materialize, it may have an adverse effect on our operations, capital expenditures, earnings, cash flows, financial condition and competitive advantage.</w:t>
      </w:r>
    </w:p>
    <w:p w:rsidR="00000000" w:rsidRDefault="001F1FC8">
      <w:pPr>
        <w:divId w:val="1836412431"/>
        <w:rPr>
          <w:rFonts w:eastAsia="Times New Roman"/>
        </w:rPr>
      </w:pPr>
    </w:p>
    <w:p w:rsidR="00000000" w:rsidRDefault="001F1FC8">
      <w:pPr>
        <w:divId w:val="1529371348"/>
        <w:rPr>
          <w:rFonts w:eastAsia="Times New Roman"/>
        </w:rPr>
      </w:pPr>
      <w:r>
        <w:rPr>
          <w:rFonts w:ascii="Arial" w:eastAsia="Times New Roman" w:hAnsi="Arial" w:cs="Arial"/>
          <w:color w:val="000000"/>
          <w:sz w:val="20"/>
          <w:szCs w:val="20"/>
        </w:rPr>
        <w:t>Our ability to establish transportation and storage ra</w:t>
      </w:r>
      <w:r>
        <w:rPr>
          <w:rFonts w:ascii="Arial" w:eastAsia="Times New Roman" w:hAnsi="Arial" w:cs="Arial"/>
          <w:color w:val="000000"/>
          <w:sz w:val="20"/>
          <w:szCs w:val="20"/>
        </w:rPr>
        <w:t xml:space="preserve">tes on our US interstate natural gas facilities are subject to regulation by the FERC, whose rulings and policies could have an adverse impact on the ability of such pipeline and storage assets to recover their respective full cost of operating, including </w:t>
      </w:r>
      <w:r>
        <w:rPr>
          <w:rFonts w:ascii="Arial" w:eastAsia="Times New Roman" w:hAnsi="Arial" w:cs="Arial"/>
          <w:color w:val="000000"/>
          <w:sz w:val="20"/>
          <w:szCs w:val="20"/>
        </w:rPr>
        <w:t>a reasonable rate of return. Regulatory or administrative actions by FERC such as rate proceedings, applications to certify construction of new facilities, and depreciation and amortization policies can affect our business, including decreasing tariff rate</w:t>
      </w:r>
      <w:r>
        <w:rPr>
          <w:rFonts w:ascii="Arial" w:eastAsia="Times New Roman" w:hAnsi="Arial" w:cs="Arial"/>
          <w:color w:val="000000"/>
          <w:sz w:val="20"/>
          <w:szCs w:val="20"/>
        </w:rPr>
        <w:t xml:space="preserve">s and revenues and increasing our costs of doing business. </w:t>
      </w:r>
    </w:p>
    <w:p w:rsidR="00000000" w:rsidRDefault="001F1FC8">
      <w:pPr>
        <w:divId w:val="359283388"/>
        <w:rPr>
          <w:rFonts w:eastAsia="Times New Roman"/>
        </w:rPr>
      </w:pPr>
    </w:p>
    <w:p w:rsidR="00000000" w:rsidRDefault="001F1FC8">
      <w:pPr>
        <w:divId w:val="1204369124"/>
        <w:rPr>
          <w:rFonts w:eastAsia="Times New Roman"/>
        </w:rPr>
      </w:pPr>
      <w:r>
        <w:rPr>
          <w:rFonts w:ascii="Arial" w:eastAsia="Times New Roman" w:hAnsi="Arial" w:cs="Arial"/>
          <w:color w:val="000000"/>
          <w:sz w:val="20"/>
          <w:szCs w:val="20"/>
        </w:rPr>
        <w:t>In Canada, our pipeline operations are subject to pipeline safety regulations administered by the CER or provincial regulators. Applicable legislation and regulations require us to comply with a significant set of requirements for the design, construction,</w:t>
      </w:r>
      <w:r>
        <w:rPr>
          <w:rFonts w:ascii="Arial" w:eastAsia="Times New Roman" w:hAnsi="Arial" w:cs="Arial"/>
          <w:color w:val="000000"/>
          <w:sz w:val="20"/>
          <w:szCs w:val="20"/>
        </w:rPr>
        <w:t xml:space="preserve"> maintenance and operation of our pipelines. Among other obligations, this regulatory framework imposes requirements to monitor and maintain the integrity of our pipelines.</w:t>
      </w:r>
    </w:p>
    <w:p w:rsidR="00000000" w:rsidRDefault="001F1FC8">
      <w:pPr>
        <w:divId w:val="1399788710"/>
        <w:rPr>
          <w:rFonts w:eastAsia="Times New Roman"/>
        </w:rPr>
      </w:pPr>
    </w:p>
    <w:p w:rsidR="00000000" w:rsidRDefault="001F1FC8">
      <w:pPr>
        <w:jc w:val="center"/>
        <w:divId w:val="906038480"/>
        <w:rPr>
          <w:rFonts w:eastAsia="Times New Roman"/>
        </w:rPr>
      </w:pPr>
      <w:r>
        <w:rPr>
          <w:rFonts w:ascii="Arial" w:eastAsia="Times New Roman" w:hAnsi="Arial" w:cs="Arial"/>
          <w:color w:val="000000"/>
          <w:sz w:val="20"/>
          <w:szCs w:val="20"/>
        </w:rPr>
        <w:t>32</w:t>
      </w:r>
    </w:p>
    <w:p w:rsidR="00000000" w:rsidRDefault="001F1FC8">
      <w:pPr>
        <w:rPr>
          <w:rFonts w:eastAsia="Times New Roman"/>
        </w:rPr>
      </w:pPr>
      <w:r>
        <w:rPr>
          <w:rFonts w:eastAsia="Times New Roman"/>
        </w:rPr>
        <w:pict>
          <v:rect id="_x0000_i1060" style="width:0;height:1.5pt" o:hralign="center" o:hrstd="t" o:hr="t" fillcolor="#a0a0a0" stroked="f"/>
        </w:pict>
      </w:r>
    </w:p>
    <w:p w:rsidR="00000000" w:rsidRDefault="001F1FC8">
      <w:pPr>
        <w:jc w:val="center"/>
        <w:divId w:val="735325018"/>
        <w:rPr>
          <w:rFonts w:eastAsia="Times New Roman"/>
        </w:rPr>
      </w:pPr>
    </w:p>
    <w:p w:rsidR="00000000" w:rsidRDefault="001F1FC8">
      <w:pPr>
        <w:divId w:val="640116632"/>
        <w:rPr>
          <w:rFonts w:eastAsia="Times New Roman"/>
        </w:rPr>
      </w:pPr>
      <w:r>
        <w:rPr>
          <w:rFonts w:ascii="Arial" w:eastAsia="Times New Roman" w:hAnsi="Arial" w:cs="Arial"/>
          <w:color w:val="000000"/>
          <w:sz w:val="20"/>
          <w:szCs w:val="20"/>
        </w:rPr>
        <w:t>As in the US, several legislative change</w:t>
      </w:r>
      <w:r>
        <w:rPr>
          <w:rFonts w:ascii="Arial" w:eastAsia="Times New Roman" w:hAnsi="Arial" w:cs="Arial"/>
          <w:color w:val="000000"/>
          <w:sz w:val="20"/>
          <w:szCs w:val="20"/>
        </w:rPr>
        <w:t>s addressing pipeline safety in Canada have recently been enacted. The changes evidence an increased focus on the implementation of management systems to address key areas such as emergency management, integrity management, safety, security and environment</w:t>
      </w:r>
      <w:r>
        <w:rPr>
          <w:rFonts w:ascii="Arial" w:eastAsia="Times New Roman" w:hAnsi="Arial" w:cs="Arial"/>
          <w:color w:val="000000"/>
          <w:sz w:val="20"/>
          <w:szCs w:val="20"/>
        </w:rPr>
        <w:t>al protection. Other legislative changes have created authority for the CER to impose administrative monetary penalties for non-compliance with the regulatory regime it administers, as well as to impose financial requirements for future abandonment and maj</w:t>
      </w:r>
      <w:r>
        <w:rPr>
          <w:rFonts w:ascii="Arial" w:eastAsia="Times New Roman" w:hAnsi="Arial" w:cs="Arial"/>
          <w:color w:val="000000"/>
          <w:sz w:val="20"/>
          <w:szCs w:val="20"/>
        </w:rPr>
        <w:t>or pipeline releases.</w:t>
      </w:r>
    </w:p>
    <w:p w:rsidR="00000000" w:rsidRDefault="001F1FC8">
      <w:pPr>
        <w:divId w:val="1804344846"/>
        <w:rPr>
          <w:rFonts w:eastAsia="Times New Roman"/>
        </w:rPr>
      </w:pPr>
    </w:p>
    <w:p w:rsidR="00000000" w:rsidRDefault="001F1FC8">
      <w:pPr>
        <w:divId w:val="565266715"/>
        <w:rPr>
          <w:rFonts w:eastAsia="Times New Roman"/>
        </w:rPr>
      </w:pPr>
      <w:r>
        <w:rPr>
          <w:rFonts w:ascii="Arial" w:eastAsia="Times New Roman" w:hAnsi="Arial" w:cs="Arial"/>
          <w:color w:val="000000"/>
          <w:sz w:val="20"/>
          <w:szCs w:val="20"/>
        </w:rPr>
        <w:t>A key component of pipeline safety and reliability is the approach to integrity management that uses reliability targets and safety case assessments. A long history of extensive inline inspection has provided detailed knowledge of t</w:t>
      </w:r>
      <w:r>
        <w:rPr>
          <w:rFonts w:ascii="Arial" w:eastAsia="Times New Roman" w:hAnsi="Arial" w:cs="Arial"/>
          <w:color w:val="000000"/>
          <w:sz w:val="20"/>
          <w:szCs w:val="20"/>
        </w:rPr>
        <w:t>he assets in our pipeline systems. Our pipelines are assessed and maintained, in a proactive manner, such that the probability of a release is sufficiently low and that our reliability targets are met. Furthermore, the integrity management program has an i</w:t>
      </w:r>
      <w:r>
        <w:rPr>
          <w:rFonts w:ascii="Arial" w:eastAsia="Times New Roman" w:hAnsi="Arial" w:cs="Arial"/>
          <w:color w:val="000000"/>
          <w:sz w:val="20"/>
          <w:szCs w:val="20"/>
        </w:rPr>
        <w:t>ndependent step to check the results of our integrity assessments to validate the effectiveness of the program and to ensure that the operational risk remains as low as reasonably practicable throughout the integrity inspection and assessment cycle. As ins</w:t>
      </w:r>
      <w:r>
        <w:rPr>
          <w:rFonts w:ascii="Arial" w:eastAsia="Times New Roman" w:hAnsi="Arial" w:cs="Arial"/>
          <w:color w:val="000000"/>
          <w:sz w:val="20"/>
          <w:szCs w:val="20"/>
        </w:rPr>
        <w:t xml:space="preserve">pection technology, pipeline materials and construction practices improve with time, and new data on threats and pipeline condition are gathered, our methods of maintaining fitness for service evolves, with a strong focus on continual improvement in every </w:t>
      </w:r>
      <w:r>
        <w:rPr>
          <w:rFonts w:ascii="Arial" w:eastAsia="Times New Roman" w:hAnsi="Arial" w:cs="Arial"/>
          <w:color w:val="000000"/>
          <w:sz w:val="20"/>
          <w:szCs w:val="20"/>
        </w:rPr>
        <w:t>aspect of integrity management.</w:t>
      </w:r>
    </w:p>
    <w:p w:rsidR="00000000" w:rsidRDefault="001F1FC8">
      <w:pPr>
        <w:divId w:val="648556815"/>
        <w:rPr>
          <w:rFonts w:eastAsia="Times New Roman"/>
        </w:rPr>
      </w:pPr>
    </w:p>
    <w:p w:rsidR="00000000" w:rsidRDefault="001F1FC8">
      <w:pPr>
        <w:divId w:val="292637321"/>
        <w:rPr>
          <w:rFonts w:eastAsia="Times New Roman"/>
        </w:rPr>
      </w:pPr>
      <w:r>
        <w:rPr>
          <w:rFonts w:ascii="Arial" w:eastAsia="Times New Roman" w:hAnsi="Arial" w:cs="Arial"/>
          <w:color w:val="000000"/>
          <w:sz w:val="20"/>
          <w:szCs w:val="20"/>
        </w:rPr>
        <w:t>Our pipelines also face economic regulation risk. Broadly defined, economic regulation risk is the risk that governments or regulatory agencies change or reject proposed or existing commercial arrangements or policies, inc</w:t>
      </w:r>
      <w:r>
        <w:rPr>
          <w:rFonts w:ascii="Arial" w:eastAsia="Times New Roman" w:hAnsi="Arial" w:cs="Arial"/>
          <w:color w:val="000000"/>
          <w:sz w:val="20"/>
          <w:szCs w:val="20"/>
        </w:rPr>
        <w:t xml:space="preserve">luding permits and regulatory approvals for both new and existing projects or agreements, upon which future and current operations are dependent. Our Mainline System and other liquids pipelines and gas transmission facilities are subject to the actions of </w:t>
      </w:r>
      <w:r>
        <w:rPr>
          <w:rFonts w:ascii="Arial" w:eastAsia="Times New Roman" w:hAnsi="Arial" w:cs="Arial"/>
          <w:color w:val="000000"/>
          <w:sz w:val="20"/>
          <w:szCs w:val="20"/>
        </w:rPr>
        <w:t xml:space="preserve">various regulators, including the CER and the FERC, with respect to the tariffs and tolls of those pipelines. The changing or rejecting of commercial arrangements, including decisions by regulators on the applicable permits and tariff structure or changes </w:t>
      </w:r>
      <w:r>
        <w:rPr>
          <w:rFonts w:ascii="Arial" w:eastAsia="Times New Roman" w:hAnsi="Arial" w:cs="Arial"/>
          <w:color w:val="000000"/>
          <w:sz w:val="20"/>
          <w:szCs w:val="20"/>
        </w:rPr>
        <w:t xml:space="preserve">in interpretations of existing regulations by courts or regulators, could have an adverse effect on our revenues and earnings. </w:t>
      </w:r>
    </w:p>
    <w:p w:rsidR="00000000" w:rsidRDefault="001F1FC8">
      <w:pPr>
        <w:divId w:val="199324197"/>
        <w:rPr>
          <w:rFonts w:eastAsia="Times New Roman"/>
        </w:rPr>
      </w:pPr>
    </w:p>
    <w:p w:rsidR="00000000" w:rsidRDefault="001F1FC8">
      <w:pPr>
        <w:divId w:val="780955899"/>
        <w:rPr>
          <w:rFonts w:eastAsia="Times New Roman"/>
        </w:rPr>
      </w:pPr>
      <w:r>
        <w:rPr>
          <w:rFonts w:ascii="Arial" w:eastAsia="Times New Roman" w:hAnsi="Arial" w:cs="Arial"/>
          <w:b/>
          <w:bCs/>
          <w:color w:val="000000"/>
          <w:sz w:val="20"/>
          <w:szCs w:val="20"/>
        </w:rPr>
        <w:t>Gas Distribution and Storage</w:t>
      </w:r>
    </w:p>
    <w:p w:rsidR="00000000" w:rsidRDefault="001F1FC8">
      <w:pPr>
        <w:divId w:val="1998024377"/>
        <w:rPr>
          <w:rFonts w:eastAsia="Times New Roman"/>
        </w:rPr>
      </w:pPr>
      <w:r>
        <w:rPr>
          <w:rFonts w:ascii="Arial" w:eastAsia="Times New Roman" w:hAnsi="Arial" w:cs="Arial"/>
          <w:color w:val="000000"/>
          <w:sz w:val="20"/>
          <w:szCs w:val="20"/>
        </w:rPr>
        <w:t>Our gas distribution and storage utility operations are regulated by the OEB and the Québec Régie</w:t>
      </w:r>
      <w:r>
        <w:rPr>
          <w:rFonts w:ascii="Arial" w:eastAsia="Times New Roman" w:hAnsi="Arial" w:cs="Arial"/>
          <w:color w:val="000000"/>
          <w:sz w:val="20"/>
          <w:szCs w:val="20"/>
        </w:rPr>
        <w:t xml:space="preserve"> de l’énergie, among others. To the extent that the regulators’ future actions are different from current expectations, the timing and amount of recovery or refund of amounts recorded on the Consolidated Statements of Financial Position, or amounts that wo</w:t>
      </w:r>
      <w:r>
        <w:rPr>
          <w:rFonts w:ascii="Arial" w:eastAsia="Times New Roman" w:hAnsi="Arial" w:cs="Arial"/>
          <w:color w:val="000000"/>
          <w:sz w:val="20"/>
          <w:szCs w:val="20"/>
        </w:rPr>
        <w:t>uld have been recorded on the Consolidated Statements of Financial Position in the absence of the effects of regulation, could be different from the amounts that are eventually recovered or refunded.</w:t>
      </w:r>
    </w:p>
    <w:p w:rsidR="00000000" w:rsidRDefault="001F1FC8">
      <w:pPr>
        <w:divId w:val="1441296956"/>
        <w:rPr>
          <w:rFonts w:eastAsia="Times New Roman"/>
        </w:rPr>
      </w:pPr>
    </w:p>
    <w:p w:rsidR="00000000" w:rsidRDefault="001F1FC8">
      <w:pPr>
        <w:divId w:val="337315708"/>
        <w:rPr>
          <w:rFonts w:eastAsia="Times New Roman"/>
        </w:rPr>
      </w:pPr>
      <w:r>
        <w:rPr>
          <w:rFonts w:ascii="Arial" w:eastAsia="Times New Roman" w:hAnsi="Arial" w:cs="Arial"/>
          <w:color w:val="000000"/>
          <w:sz w:val="20"/>
          <w:szCs w:val="20"/>
        </w:rPr>
        <w:t xml:space="preserve">Enbridge Gas' distribution rates, commencing in 2019, </w:t>
      </w:r>
      <w:r>
        <w:rPr>
          <w:rFonts w:ascii="Arial" w:eastAsia="Times New Roman" w:hAnsi="Arial" w:cs="Arial"/>
          <w:color w:val="000000"/>
          <w:sz w:val="20"/>
          <w:szCs w:val="20"/>
        </w:rPr>
        <w:t>are set under a five-year incentive regulation (IR) framework using a price cap mechanism. The price cap mechanism establishes new rates each year through an annual base rate escalation at inflation less a 0.3% productivity factor, annual updates for certa</w:t>
      </w:r>
      <w:r>
        <w:rPr>
          <w:rFonts w:ascii="Arial" w:eastAsia="Times New Roman" w:hAnsi="Arial" w:cs="Arial"/>
          <w:color w:val="000000"/>
          <w:sz w:val="20"/>
          <w:szCs w:val="20"/>
        </w:rPr>
        <w:t xml:space="preserve">in costs to be passed through to customers, and where applicable, the recovery of material discrete incremental capital investments beyond those that can be funded through base rates. The IR framework includes the continuation and establishment of certain </w:t>
      </w:r>
      <w:r>
        <w:rPr>
          <w:rFonts w:ascii="Arial" w:eastAsia="Times New Roman" w:hAnsi="Arial" w:cs="Arial"/>
          <w:color w:val="000000"/>
          <w:sz w:val="20"/>
          <w:szCs w:val="20"/>
        </w:rPr>
        <w:t>deferral and variance accounts, as well as an earnings sharing mechanism that requires Enbridge Gas to share equally with customers any earnings in excess of 150 basis points over the annual OEB approved return on equity (ROE).</w:t>
      </w:r>
    </w:p>
    <w:p w:rsidR="00000000" w:rsidRDefault="001F1FC8">
      <w:pPr>
        <w:divId w:val="993601653"/>
        <w:rPr>
          <w:rFonts w:eastAsia="Times New Roman"/>
        </w:rPr>
      </w:pPr>
    </w:p>
    <w:p w:rsidR="00000000" w:rsidRDefault="001F1FC8">
      <w:pPr>
        <w:divId w:val="807746404"/>
        <w:rPr>
          <w:rFonts w:eastAsia="Times New Roman"/>
        </w:rPr>
      </w:pPr>
      <w:r>
        <w:rPr>
          <w:rFonts w:ascii="Arial" w:eastAsia="Times New Roman" w:hAnsi="Arial" w:cs="Arial"/>
          <w:color w:val="000000"/>
          <w:sz w:val="20"/>
          <w:szCs w:val="20"/>
        </w:rPr>
        <w:t>We retain dedicated professional staff and maintain strong relationships with customers, intervenors and regulators. This strong regulatory relationship continued in 2021 following OEB Decisions and Orders approving Phase 2 of Enbridge Gas’ application for</w:t>
      </w:r>
      <w:r>
        <w:rPr>
          <w:rFonts w:ascii="Arial" w:eastAsia="Times New Roman" w:hAnsi="Arial" w:cs="Arial"/>
          <w:color w:val="000000"/>
          <w:sz w:val="20"/>
          <w:szCs w:val="20"/>
        </w:rPr>
        <w:t xml:space="preserve"> 2021 rates and Phase 1 of Enbridge Gas’ application for 2022 rates. The Phase 2 Decision and Order approved the funding of $124 million in 2021 discrete incremental capital investment requested through the incremental capital module, while the Phase 1 Dec</w:t>
      </w:r>
      <w:r>
        <w:rPr>
          <w:rFonts w:ascii="Arial" w:eastAsia="Times New Roman" w:hAnsi="Arial" w:cs="Arial"/>
          <w:color w:val="000000"/>
          <w:sz w:val="20"/>
          <w:szCs w:val="20"/>
        </w:rPr>
        <w:t>ision and Order approved 2022 base rate escalation under the price cap mechanism.</w:t>
      </w:r>
    </w:p>
    <w:p w:rsidR="00000000" w:rsidRDefault="001F1FC8">
      <w:pPr>
        <w:divId w:val="289289225"/>
        <w:rPr>
          <w:rFonts w:eastAsia="Times New Roman"/>
        </w:rPr>
      </w:pPr>
    </w:p>
    <w:p w:rsidR="00000000" w:rsidRDefault="001F1FC8">
      <w:pPr>
        <w:jc w:val="center"/>
        <w:divId w:val="1635795693"/>
        <w:rPr>
          <w:rFonts w:eastAsia="Times New Roman"/>
        </w:rPr>
      </w:pPr>
      <w:r>
        <w:rPr>
          <w:rFonts w:ascii="Arial" w:eastAsia="Times New Roman" w:hAnsi="Arial" w:cs="Arial"/>
          <w:color w:val="000000"/>
          <w:sz w:val="20"/>
          <w:szCs w:val="20"/>
        </w:rPr>
        <w:t>33</w:t>
      </w:r>
    </w:p>
    <w:p w:rsidR="00000000" w:rsidRDefault="001F1FC8">
      <w:pPr>
        <w:rPr>
          <w:rFonts w:eastAsia="Times New Roman"/>
        </w:rPr>
      </w:pPr>
      <w:r>
        <w:rPr>
          <w:rFonts w:eastAsia="Times New Roman"/>
        </w:rPr>
        <w:pict>
          <v:rect id="_x0000_i1061" style="width:0;height:1.5pt" o:hralign="center" o:hrstd="t" o:hr="t" fillcolor="#a0a0a0" stroked="f"/>
        </w:pict>
      </w:r>
    </w:p>
    <w:p w:rsidR="00000000" w:rsidRDefault="001F1FC8">
      <w:pPr>
        <w:jc w:val="center"/>
        <w:divId w:val="1973629807"/>
        <w:rPr>
          <w:rFonts w:eastAsia="Times New Roman"/>
        </w:rPr>
      </w:pPr>
    </w:p>
    <w:p w:rsidR="00000000" w:rsidRDefault="001F1FC8">
      <w:pPr>
        <w:divId w:val="1300384765"/>
        <w:rPr>
          <w:rFonts w:eastAsia="Times New Roman"/>
        </w:rPr>
      </w:pPr>
      <w:r>
        <w:rPr>
          <w:rFonts w:ascii="Arial" w:eastAsia="Times New Roman" w:hAnsi="Arial" w:cs="Arial"/>
          <w:color w:val="000000"/>
          <w:sz w:val="20"/>
          <w:szCs w:val="20"/>
        </w:rPr>
        <w:t>Enbridge Gas continues to develop opportunities to support a low-carbon future in Ontario. In 2021, we received OEB approval of an</w:t>
      </w:r>
      <w:r>
        <w:rPr>
          <w:rFonts w:ascii="Arial" w:eastAsia="Times New Roman" w:hAnsi="Arial" w:cs="Arial"/>
          <w:color w:val="000000"/>
          <w:sz w:val="20"/>
          <w:szCs w:val="20"/>
        </w:rPr>
        <w:t xml:space="preserve"> Integrated Resource Planning (IRP) framework. The framework requires Enbridge Gas to consider facility and non-pipe demand and/or supply side alternatives (IRP alternatives) to address systems needs of its regulated operations, where certain parameters ha</w:t>
      </w:r>
      <w:r>
        <w:rPr>
          <w:rFonts w:ascii="Arial" w:eastAsia="Times New Roman" w:hAnsi="Arial" w:cs="Arial"/>
          <w:color w:val="000000"/>
          <w:sz w:val="20"/>
          <w:szCs w:val="20"/>
        </w:rPr>
        <w:t>ve been met. The framework will also allow Enbridge Gas to pursue an IRP alternative (or combination of IRP and facility alternative) where it is found to be in the best interest of Enbridge Gas and its customers, taking into account reliability and safety</w:t>
      </w:r>
      <w:r>
        <w:rPr>
          <w:rFonts w:ascii="Arial" w:eastAsia="Times New Roman" w:hAnsi="Arial" w:cs="Arial"/>
          <w:color w:val="000000"/>
          <w:sz w:val="20"/>
          <w:szCs w:val="20"/>
        </w:rPr>
        <w:t xml:space="preserve">, cost-effectiveness, public policy, optimized scoping, and risk management. </w:t>
      </w:r>
    </w:p>
    <w:p w:rsidR="00000000" w:rsidRDefault="001F1FC8">
      <w:pPr>
        <w:divId w:val="1464732356"/>
        <w:rPr>
          <w:rFonts w:eastAsia="Times New Roman"/>
        </w:rPr>
      </w:pPr>
    </w:p>
    <w:p w:rsidR="00000000" w:rsidRDefault="001F1FC8">
      <w:pPr>
        <w:divId w:val="214896380"/>
        <w:rPr>
          <w:rFonts w:eastAsia="Times New Roman"/>
        </w:rPr>
      </w:pPr>
      <w:r>
        <w:rPr>
          <w:rFonts w:ascii="Arial" w:eastAsia="Times New Roman" w:hAnsi="Arial" w:cs="Arial"/>
          <w:b/>
          <w:bCs/>
          <w:color w:val="000000"/>
          <w:sz w:val="20"/>
          <w:szCs w:val="20"/>
        </w:rPr>
        <w:t>Renewable Power Generation</w:t>
      </w:r>
    </w:p>
    <w:p w:rsidR="00000000" w:rsidRDefault="001F1FC8">
      <w:pPr>
        <w:divId w:val="1863125888"/>
        <w:rPr>
          <w:rFonts w:eastAsia="Times New Roman"/>
        </w:rPr>
      </w:pPr>
      <w:r>
        <w:rPr>
          <w:rFonts w:ascii="Arial" w:eastAsia="Times New Roman" w:hAnsi="Arial" w:cs="Arial"/>
          <w:color w:val="000000"/>
          <w:sz w:val="20"/>
          <w:szCs w:val="20"/>
        </w:rPr>
        <w:t>Renewable Power Generation is subject to numerous operational rules and regulations mandated by governments or applicable regulatory authorities, bre</w:t>
      </w:r>
      <w:r>
        <w:rPr>
          <w:rFonts w:ascii="Arial" w:eastAsia="Times New Roman" w:hAnsi="Arial" w:cs="Arial"/>
          <w:color w:val="000000"/>
          <w:sz w:val="20"/>
          <w:szCs w:val="20"/>
        </w:rPr>
        <w:t>aches of which could result in fines, penalties, operating restrictions and an overall increase in operating and compliance costs.</w:t>
      </w:r>
    </w:p>
    <w:p w:rsidR="00000000" w:rsidRDefault="001F1FC8">
      <w:pPr>
        <w:divId w:val="1123186631"/>
        <w:rPr>
          <w:rFonts w:eastAsia="Times New Roman"/>
        </w:rPr>
      </w:pPr>
    </w:p>
    <w:p w:rsidR="00000000" w:rsidRDefault="001F1FC8">
      <w:pPr>
        <w:divId w:val="696078335"/>
        <w:rPr>
          <w:rFonts w:eastAsia="Times New Roman"/>
        </w:rPr>
      </w:pPr>
      <w:r>
        <w:rPr>
          <w:rFonts w:ascii="Arial" w:eastAsia="Times New Roman" w:hAnsi="Arial" w:cs="Arial"/>
          <w:color w:val="000000"/>
          <w:sz w:val="20"/>
          <w:szCs w:val="20"/>
        </w:rPr>
        <w:t>The North American Reliability Council (NERC) is an international regulatory authority responsible for establishing and enf</w:t>
      </w:r>
      <w:r>
        <w:rPr>
          <w:rFonts w:ascii="Arial" w:eastAsia="Times New Roman" w:hAnsi="Arial" w:cs="Arial"/>
          <w:color w:val="000000"/>
          <w:sz w:val="20"/>
          <w:szCs w:val="20"/>
        </w:rPr>
        <w:t>orcing Reliability Standards to reduce risks to the reliability and security of the grid in Canada, the United States, and Mexico. It is subject to oversight from the FERC and provincial governments in Canada. The FERC has authority over many markets in th</w:t>
      </w:r>
      <w:r>
        <w:rPr>
          <w:rFonts w:ascii="Arial" w:eastAsia="Times New Roman" w:hAnsi="Arial" w:cs="Arial"/>
          <w:color w:val="000000"/>
          <w:sz w:val="20"/>
          <w:szCs w:val="20"/>
        </w:rPr>
        <w:t>e US and is tasked with ensuring safe, reliable, and secure interstate transmission of electricity, natural gas, and oil. This includes establishing reliability standards and determining certain pricing aspects of transmission development and access, among</w:t>
      </w:r>
      <w:r>
        <w:rPr>
          <w:rFonts w:ascii="Arial" w:eastAsia="Times New Roman" w:hAnsi="Arial" w:cs="Arial"/>
          <w:color w:val="000000"/>
          <w:sz w:val="20"/>
          <w:szCs w:val="20"/>
        </w:rPr>
        <w:t xml:space="preserve"> others. NERC and FERC standards and pricing decisions are also updated from time to time and could impact our operations, capital expenditures, earnings, and cash flows, though some of these impacts could be positive for our business.</w:t>
      </w:r>
    </w:p>
    <w:p w:rsidR="00000000" w:rsidRDefault="001F1FC8">
      <w:pPr>
        <w:divId w:val="2047563646"/>
        <w:rPr>
          <w:rFonts w:eastAsia="Times New Roman"/>
        </w:rPr>
      </w:pPr>
    </w:p>
    <w:p w:rsidR="00000000" w:rsidRDefault="001F1FC8">
      <w:pPr>
        <w:divId w:val="236087758"/>
        <w:rPr>
          <w:rFonts w:eastAsia="Times New Roman"/>
        </w:rPr>
      </w:pPr>
      <w:r>
        <w:rPr>
          <w:rFonts w:ascii="Arial" w:eastAsia="Times New Roman" w:hAnsi="Arial" w:cs="Arial"/>
          <w:color w:val="000000"/>
          <w:sz w:val="20"/>
          <w:szCs w:val="20"/>
        </w:rPr>
        <w:t xml:space="preserve">At the US federal </w:t>
      </w:r>
      <w:r>
        <w:rPr>
          <w:rFonts w:ascii="Arial" w:eastAsia="Times New Roman" w:hAnsi="Arial" w:cs="Arial"/>
          <w:color w:val="000000"/>
          <w:sz w:val="20"/>
          <w:szCs w:val="20"/>
        </w:rPr>
        <w:t>level, our Renewable Power Generation assets are subject to legislation overseen by the US Fish and Wildlife Service, which is aimed at reducing the impact of development and human activity on wildlife, along with other federal environmental permitting leg</w:t>
      </w:r>
      <w:r>
        <w:rPr>
          <w:rFonts w:ascii="Arial" w:eastAsia="Times New Roman" w:hAnsi="Arial" w:cs="Arial"/>
          <w:color w:val="000000"/>
          <w:sz w:val="20"/>
          <w:szCs w:val="20"/>
        </w:rPr>
        <w:t>islation. These federal environmental laws are subject to change from time to time which could require Enbridge to obtain new permits, update practices, or amend operations and operating expenditures.</w:t>
      </w:r>
    </w:p>
    <w:p w:rsidR="00000000" w:rsidRDefault="001F1FC8">
      <w:pPr>
        <w:divId w:val="932318441"/>
        <w:rPr>
          <w:rFonts w:eastAsia="Times New Roman"/>
        </w:rPr>
      </w:pPr>
    </w:p>
    <w:p w:rsidR="00000000" w:rsidRDefault="001F1FC8">
      <w:pPr>
        <w:divId w:val="1199319891"/>
        <w:rPr>
          <w:rFonts w:eastAsia="Times New Roman"/>
        </w:rPr>
      </w:pPr>
      <w:r>
        <w:rPr>
          <w:rFonts w:ascii="Arial" w:eastAsia="Times New Roman" w:hAnsi="Arial" w:cs="Arial"/>
          <w:color w:val="000000"/>
          <w:sz w:val="20"/>
          <w:szCs w:val="20"/>
        </w:rPr>
        <w:t xml:space="preserve">In Canada, the Federal Government does not generally </w:t>
      </w:r>
      <w:r>
        <w:rPr>
          <w:rFonts w:ascii="Arial" w:eastAsia="Times New Roman" w:hAnsi="Arial" w:cs="Arial"/>
          <w:color w:val="000000"/>
          <w:sz w:val="20"/>
          <w:szCs w:val="20"/>
        </w:rPr>
        <w:t>regulate the electricity sector though it has imposed a federal carbon price on other sectors via its output-based pricing system (OBPS) and may seek to impose emissions standards on the electricity sector in the future.</w:t>
      </w:r>
    </w:p>
    <w:p w:rsidR="00000000" w:rsidRDefault="001F1FC8">
      <w:pPr>
        <w:divId w:val="625500806"/>
        <w:rPr>
          <w:rFonts w:eastAsia="Times New Roman"/>
        </w:rPr>
      </w:pPr>
    </w:p>
    <w:p w:rsidR="00000000" w:rsidRDefault="001F1FC8">
      <w:pPr>
        <w:divId w:val="1599170060"/>
        <w:rPr>
          <w:rFonts w:eastAsia="Times New Roman"/>
        </w:rPr>
      </w:pPr>
      <w:r>
        <w:rPr>
          <w:rFonts w:ascii="Arial" w:eastAsia="Times New Roman" w:hAnsi="Arial" w:cs="Arial"/>
          <w:color w:val="000000"/>
          <w:sz w:val="20"/>
          <w:szCs w:val="20"/>
        </w:rPr>
        <w:t>Our Renewable Power Generation as</w:t>
      </w:r>
      <w:r>
        <w:rPr>
          <w:rFonts w:ascii="Arial" w:eastAsia="Times New Roman" w:hAnsi="Arial" w:cs="Arial"/>
          <w:color w:val="000000"/>
          <w:sz w:val="20"/>
          <w:szCs w:val="20"/>
        </w:rPr>
        <w:t xml:space="preserve">sets in France and Germany each have federal policies in place and are subject to directives and regulations established and enforced by the European Union (EU). These include the Renewable Energy Directive (RED II most recently passed set targets through </w:t>
      </w:r>
      <w:r>
        <w:rPr>
          <w:rFonts w:ascii="Arial" w:eastAsia="Times New Roman" w:hAnsi="Arial" w:cs="Arial"/>
          <w:color w:val="000000"/>
          <w:sz w:val="20"/>
          <w:szCs w:val="20"/>
        </w:rPr>
        <w:t xml:space="preserve">2030), the European Green Deal, and ongoing work on financing mechanisms and transmission directives and programs. The EU is also responsible for establishing environmental protection rules and permitting standards. All of these are subject to change from </w:t>
      </w:r>
      <w:r>
        <w:rPr>
          <w:rFonts w:ascii="Arial" w:eastAsia="Times New Roman" w:hAnsi="Arial" w:cs="Arial"/>
          <w:color w:val="000000"/>
          <w:sz w:val="20"/>
          <w:szCs w:val="20"/>
        </w:rPr>
        <w:t>time to time, which could impact our operations and related expenditures; however the EU’s general direction is to facilitate increased renewable power integration to its grid.</w:t>
      </w:r>
    </w:p>
    <w:p w:rsidR="00000000" w:rsidRDefault="001F1FC8">
      <w:pPr>
        <w:divId w:val="219638040"/>
        <w:rPr>
          <w:rFonts w:eastAsia="Times New Roman"/>
        </w:rPr>
      </w:pPr>
    </w:p>
    <w:p w:rsidR="00000000" w:rsidRDefault="001F1FC8">
      <w:pPr>
        <w:divId w:val="1694303013"/>
        <w:rPr>
          <w:rFonts w:eastAsia="Times New Roman"/>
        </w:rPr>
      </w:pPr>
      <w:r>
        <w:rPr>
          <w:rFonts w:ascii="Arial" w:eastAsia="Times New Roman" w:hAnsi="Arial" w:cs="Arial"/>
          <w:color w:val="000000"/>
          <w:sz w:val="20"/>
          <w:szCs w:val="20"/>
        </w:rPr>
        <w:t xml:space="preserve">The United Kingdom (UK) government is responsible for establishing renewable </w:t>
      </w:r>
      <w:r>
        <w:rPr>
          <w:rFonts w:ascii="Arial" w:eastAsia="Times New Roman" w:hAnsi="Arial" w:cs="Arial"/>
          <w:color w:val="000000"/>
          <w:sz w:val="20"/>
          <w:szCs w:val="20"/>
        </w:rPr>
        <w:t>energy and carbon pricing policies for the entire UK, as well as long-term electricity sector planning and procurement mechanisms and structure for auctions that are administered at the national level, e.g., England, Scotland, within the UK. Each country w</w:t>
      </w:r>
      <w:r>
        <w:rPr>
          <w:rFonts w:ascii="Arial" w:eastAsia="Times New Roman" w:hAnsi="Arial" w:cs="Arial"/>
          <w:color w:val="000000"/>
          <w:sz w:val="20"/>
          <w:szCs w:val="20"/>
        </w:rPr>
        <w:t>ithin the UK is also responsible for establishing its own environmental and permitting regulations. This process is still ongoing following Brexit and in some cases continues to result in more volatile merchant power prices; however, expanded interconnecto</w:t>
      </w:r>
      <w:r>
        <w:rPr>
          <w:rFonts w:ascii="Arial" w:eastAsia="Times New Roman" w:hAnsi="Arial" w:cs="Arial"/>
          <w:color w:val="000000"/>
          <w:sz w:val="20"/>
          <w:szCs w:val="20"/>
        </w:rPr>
        <w:t>rs to Europe and policies aimed at increasing domestic renewable capacity are in progress.</w:t>
      </w:r>
    </w:p>
    <w:p w:rsidR="00000000" w:rsidRDefault="001F1FC8">
      <w:pPr>
        <w:divId w:val="904023939"/>
        <w:rPr>
          <w:rFonts w:eastAsia="Times New Roman"/>
        </w:rPr>
      </w:pPr>
    </w:p>
    <w:p w:rsidR="00000000" w:rsidRDefault="001F1FC8">
      <w:pPr>
        <w:jc w:val="center"/>
        <w:divId w:val="1641837726"/>
        <w:rPr>
          <w:rFonts w:eastAsia="Times New Roman"/>
        </w:rPr>
      </w:pPr>
      <w:r>
        <w:rPr>
          <w:rFonts w:ascii="Arial" w:eastAsia="Times New Roman" w:hAnsi="Arial" w:cs="Arial"/>
          <w:color w:val="000000"/>
          <w:sz w:val="20"/>
          <w:szCs w:val="20"/>
        </w:rPr>
        <w:t>34</w:t>
      </w:r>
    </w:p>
    <w:p w:rsidR="00000000" w:rsidRDefault="001F1FC8">
      <w:pPr>
        <w:rPr>
          <w:rFonts w:eastAsia="Times New Roman"/>
        </w:rPr>
      </w:pPr>
      <w:r>
        <w:rPr>
          <w:rFonts w:eastAsia="Times New Roman"/>
        </w:rPr>
        <w:pict>
          <v:rect id="_x0000_i1062" style="width:0;height:1.5pt" o:hralign="center" o:hrstd="t" o:hr="t" fillcolor="#a0a0a0" stroked="f"/>
        </w:pict>
      </w:r>
    </w:p>
    <w:p w:rsidR="00000000" w:rsidRDefault="001F1FC8">
      <w:pPr>
        <w:jc w:val="center"/>
        <w:divId w:val="754322461"/>
        <w:rPr>
          <w:rFonts w:eastAsia="Times New Roman"/>
        </w:rPr>
      </w:pPr>
    </w:p>
    <w:p w:rsidR="00000000" w:rsidRDefault="001F1FC8">
      <w:pPr>
        <w:divId w:val="788091916"/>
        <w:rPr>
          <w:rFonts w:eastAsia="Times New Roman"/>
        </w:rPr>
      </w:pPr>
      <w:r>
        <w:rPr>
          <w:rFonts w:ascii="Arial" w:eastAsia="Times New Roman" w:hAnsi="Arial" w:cs="Arial"/>
          <w:b/>
          <w:bCs/>
          <w:color w:val="000000"/>
          <w:sz w:val="20"/>
          <w:szCs w:val="20"/>
        </w:rPr>
        <w:t>Energy Services</w:t>
      </w:r>
    </w:p>
    <w:p w:rsidR="00000000" w:rsidRDefault="001F1FC8">
      <w:pPr>
        <w:divId w:val="1753046875"/>
        <w:rPr>
          <w:rFonts w:eastAsia="Times New Roman"/>
        </w:rPr>
      </w:pPr>
      <w:r>
        <w:rPr>
          <w:rFonts w:ascii="Arial" w:eastAsia="Times New Roman" w:hAnsi="Arial" w:cs="Arial"/>
          <w:color w:val="000000"/>
          <w:sz w:val="20"/>
          <w:szCs w:val="20"/>
        </w:rPr>
        <w:t>Energy Services is regulated by government authorities in the areas of commodity trading, import and expor</w:t>
      </w:r>
      <w:r>
        <w:rPr>
          <w:rFonts w:ascii="Arial" w:eastAsia="Times New Roman" w:hAnsi="Arial" w:cs="Arial"/>
          <w:color w:val="000000"/>
          <w:sz w:val="20"/>
          <w:szCs w:val="20"/>
        </w:rPr>
        <w:t>t compliance and the transportation of commodities. Non-compliance with governing rules and regulations could result in fines, penalties and operating restrictions. These consequences would have an adverse effect on operations, earnings, cash flows, financ</w:t>
      </w:r>
      <w:r>
        <w:rPr>
          <w:rFonts w:ascii="Arial" w:eastAsia="Times New Roman" w:hAnsi="Arial" w:cs="Arial"/>
          <w:color w:val="000000"/>
          <w:sz w:val="20"/>
          <w:szCs w:val="20"/>
        </w:rPr>
        <w:t>ial condition and competitive advantage. Energy Services retains dedicated professional staff and has a robust regulatory compliance program to mitigate these potential risks associated with the business.</w:t>
      </w:r>
    </w:p>
    <w:p w:rsidR="00000000" w:rsidRDefault="001F1FC8">
      <w:pPr>
        <w:divId w:val="1567062530"/>
        <w:rPr>
          <w:rFonts w:eastAsia="Times New Roman"/>
        </w:rPr>
      </w:pPr>
    </w:p>
    <w:p w:rsidR="00000000" w:rsidRDefault="001F1FC8">
      <w:pPr>
        <w:divId w:val="1126893063"/>
        <w:rPr>
          <w:rFonts w:eastAsia="Times New Roman"/>
        </w:rPr>
      </w:pPr>
      <w:r>
        <w:rPr>
          <w:rFonts w:ascii="Arial" w:eastAsia="Times New Roman" w:hAnsi="Arial" w:cs="Arial"/>
          <w:color w:val="000000"/>
          <w:sz w:val="20"/>
          <w:szCs w:val="20"/>
        </w:rPr>
        <w:t>In the US, commodity marketing is regulated by th</w:t>
      </w:r>
      <w:r>
        <w:rPr>
          <w:rFonts w:ascii="Arial" w:eastAsia="Times New Roman" w:hAnsi="Arial" w:cs="Arial"/>
          <w:color w:val="000000"/>
          <w:sz w:val="20"/>
          <w:szCs w:val="20"/>
        </w:rPr>
        <w:t>e Commodity Futures Trading Commission, the SEC, the Federal Trade Commission, the various commodity exchanges, the US Department of Justice and state regulators. The interstate marketing of electricity and natural gas is also regulated by the FERC. The pr</w:t>
      </w:r>
      <w:r>
        <w:rPr>
          <w:rFonts w:ascii="Arial" w:eastAsia="Times New Roman" w:hAnsi="Arial" w:cs="Arial"/>
          <w:color w:val="000000"/>
          <w:sz w:val="20"/>
          <w:szCs w:val="20"/>
        </w:rPr>
        <w:t xml:space="preserve">ovincial and territorial securities regulators similarly regulate commodity marketing within Canada and are members of the Canadian Securities Administrators. In addition, the Regional Transmission Organizations and Independent System Operators in both US </w:t>
      </w:r>
      <w:r>
        <w:rPr>
          <w:rFonts w:ascii="Arial" w:eastAsia="Times New Roman" w:hAnsi="Arial" w:cs="Arial"/>
          <w:color w:val="000000"/>
          <w:sz w:val="20"/>
          <w:szCs w:val="20"/>
        </w:rPr>
        <w:t>and Canada regulate commodity marketing. These various regulators enforce, among other things, the prohibition of market manipulation, fraud and disruptive trading. To mitigate risks related to commodity trading, Energy Services has implemented a robust re</w:t>
      </w:r>
      <w:r>
        <w:rPr>
          <w:rFonts w:ascii="Arial" w:eastAsia="Times New Roman" w:hAnsi="Arial" w:cs="Arial"/>
          <w:color w:val="000000"/>
          <w:sz w:val="20"/>
          <w:szCs w:val="20"/>
        </w:rPr>
        <w:t>gulatory compliance program that includes targeted training.</w:t>
      </w:r>
    </w:p>
    <w:p w:rsidR="00000000" w:rsidRDefault="001F1FC8">
      <w:pPr>
        <w:divId w:val="969283636"/>
        <w:rPr>
          <w:rFonts w:eastAsia="Times New Roman"/>
        </w:rPr>
      </w:pPr>
    </w:p>
    <w:p w:rsidR="00000000" w:rsidRDefault="001F1FC8">
      <w:pPr>
        <w:divId w:val="184908880"/>
        <w:rPr>
          <w:rFonts w:eastAsia="Times New Roman"/>
        </w:rPr>
      </w:pPr>
      <w:r>
        <w:rPr>
          <w:rFonts w:ascii="Arial" w:eastAsia="Times New Roman" w:hAnsi="Arial" w:cs="Arial"/>
          <w:color w:val="000000"/>
          <w:sz w:val="20"/>
          <w:szCs w:val="20"/>
        </w:rPr>
        <w:t>The export of natural gas out of Alberta is regulated by the Alberta Energy Regulator. The import and export of commodities between Canada and the US is subject to regulation by the CER and the US Department of Energy, as well as customs authorities. In pa</w:t>
      </w:r>
      <w:r>
        <w:rPr>
          <w:rFonts w:ascii="Arial" w:eastAsia="Times New Roman" w:hAnsi="Arial" w:cs="Arial"/>
          <w:color w:val="000000"/>
          <w:sz w:val="20"/>
          <w:szCs w:val="20"/>
        </w:rPr>
        <w:t>rticular, import and export permits are required, with associated regular reporting requirements. Breaches of such import and export rules could result in an inability to perform day to day operations, and therein negatively impact the earnings of the busi</w:t>
      </w:r>
      <w:r>
        <w:rPr>
          <w:rFonts w:ascii="Arial" w:eastAsia="Times New Roman" w:hAnsi="Arial" w:cs="Arial"/>
          <w:color w:val="000000"/>
          <w:sz w:val="20"/>
          <w:szCs w:val="20"/>
        </w:rPr>
        <w:t>ness.</w:t>
      </w:r>
    </w:p>
    <w:p w:rsidR="00000000" w:rsidRDefault="001F1FC8">
      <w:pPr>
        <w:divId w:val="708457704"/>
        <w:rPr>
          <w:rFonts w:eastAsia="Times New Roman"/>
        </w:rPr>
      </w:pPr>
    </w:p>
    <w:p w:rsidR="00000000" w:rsidRDefault="001F1FC8">
      <w:pPr>
        <w:divId w:val="1007899739"/>
        <w:rPr>
          <w:rFonts w:eastAsia="Times New Roman"/>
        </w:rPr>
      </w:pPr>
      <w:r>
        <w:rPr>
          <w:rFonts w:ascii="Arial" w:eastAsia="Times New Roman" w:hAnsi="Arial" w:cs="Arial"/>
          <w:color w:val="000000"/>
          <w:sz w:val="20"/>
          <w:szCs w:val="20"/>
        </w:rPr>
        <w:t>The transportation of crude oil and natural gas liquids by railcar or truck is regulated by the US Department of Transportation, Transport Canada and provincial regulation. Each jurisdiction requires compliance with security, safety, emergency mana</w:t>
      </w:r>
      <w:r>
        <w:rPr>
          <w:rFonts w:ascii="Arial" w:eastAsia="Times New Roman" w:hAnsi="Arial" w:cs="Arial"/>
          <w:color w:val="000000"/>
          <w:sz w:val="20"/>
          <w:szCs w:val="20"/>
        </w:rPr>
        <w:t>gement, and environmental laws and regulations related to ground transportation of commodities. Risks associated with transportation of crude or natural gas liquids include unplanned releases. In the event of a release, remediation of the affected area wou</w:t>
      </w:r>
      <w:r>
        <w:rPr>
          <w:rFonts w:ascii="Arial" w:eastAsia="Times New Roman" w:hAnsi="Arial" w:cs="Arial"/>
          <w:color w:val="000000"/>
          <w:sz w:val="20"/>
          <w:szCs w:val="20"/>
        </w:rPr>
        <w:t>ld be required. Energy Services engages third parties, such as the Emergency Response Assistance Canada, Chemical Transportation Emergency Center and Canadian Transport Emergency Center to assist in such remediation.</w:t>
      </w:r>
    </w:p>
    <w:p w:rsidR="00000000" w:rsidRDefault="001F1FC8">
      <w:pPr>
        <w:divId w:val="1250193311"/>
        <w:rPr>
          <w:rFonts w:eastAsia="Times New Roman"/>
        </w:rPr>
      </w:pPr>
    </w:p>
    <w:p w:rsidR="00000000" w:rsidRDefault="001F1FC8">
      <w:pPr>
        <w:divId w:val="1572962301"/>
        <w:rPr>
          <w:rFonts w:eastAsia="Times New Roman"/>
        </w:rPr>
      </w:pPr>
      <w:r>
        <w:rPr>
          <w:rFonts w:ascii="Arial" w:eastAsia="Times New Roman" w:hAnsi="Arial" w:cs="Arial"/>
          <w:b/>
          <w:bCs/>
          <w:color w:val="000000"/>
          <w:sz w:val="20"/>
          <w:szCs w:val="20"/>
        </w:rPr>
        <w:t>ENVIRONMENTAL REGULATION</w:t>
      </w:r>
    </w:p>
    <w:p w:rsidR="00000000" w:rsidRDefault="001F1FC8">
      <w:pPr>
        <w:divId w:val="1019358215"/>
        <w:rPr>
          <w:rFonts w:eastAsia="Times New Roman"/>
        </w:rPr>
      </w:pPr>
      <w:r>
        <w:rPr>
          <w:rFonts w:ascii="Arial" w:eastAsia="Times New Roman" w:hAnsi="Arial" w:cs="Arial"/>
          <w:b/>
          <w:bCs/>
          <w:color w:val="000000"/>
          <w:sz w:val="20"/>
          <w:szCs w:val="20"/>
        </w:rPr>
        <w:t>Pipeline Reg</w:t>
      </w:r>
      <w:r>
        <w:rPr>
          <w:rFonts w:ascii="Arial" w:eastAsia="Times New Roman" w:hAnsi="Arial" w:cs="Arial"/>
          <w:b/>
          <w:bCs/>
          <w:color w:val="000000"/>
          <w:sz w:val="20"/>
          <w:szCs w:val="20"/>
        </w:rPr>
        <w:t>ulation</w:t>
      </w:r>
    </w:p>
    <w:p w:rsidR="00000000" w:rsidRDefault="001F1FC8">
      <w:pPr>
        <w:divId w:val="447434153"/>
        <w:rPr>
          <w:rFonts w:eastAsia="Times New Roman"/>
        </w:rPr>
      </w:pPr>
      <w:r>
        <w:rPr>
          <w:rFonts w:ascii="Arial" w:eastAsia="Times New Roman" w:hAnsi="Arial" w:cs="Arial"/>
          <w:color w:val="000000"/>
          <w:sz w:val="20"/>
          <w:szCs w:val="20"/>
        </w:rPr>
        <w:t>Our Liquids Pipelines and Gas Transmission and Midstream assets are subject to numerous federal, state and provincial environmental laws and regulations affecting many aspects of our present and future operations, including air emissions, water qua</w:t>
      </w:r>
      <w:r>
        <w:rPr>
          <w:rFonts w:ascii="Arial" w:eastAsia="Times New Roman" w:hAnsi="Arial" w:cs="Arial"/>
          <w:color w:val="000000"/>
          <w:sz w:val="20"/>
          <w:szCs w:val="20"/>
        </w:rPr>
        <w:t>lity, water discharge and waste. These laws and regulations generally require us to obtain and comply with a wide variety of environmental licenses, permits and other approvals.</w:t>
      </w:r>
    </w:p>
    <w:p w:rsidR="00000000" w:rsidRDefault="001F1FC8">
      <w:pPr>
        <w:divId w:val="1848402158"/>
        <w:rPr>
          <w:rFonts w:eastAsia="Times New Roman"/>
        </w:rPr>
      </w:pPr>
    </w:p>
    <w:p w:rsidR="00000000" w:rsidRDefault="001F1FC8">
      <w:pPr>
        <w:divId w:val="506557123"/>
        <w:rPr>
          <w:rFonts w:eastAsia="Times New Roman"/>
        </w:rPr>
      </w:pPr>
      <w:r>
        <w:rPr>
          <w:rFonts w:ascii="Arial" w:eastAsia="Times New Roman" w:hAnsi="Arial" w:cs="Arial"/>
          <w:color w:val="000000"/>
          <w:sz w:val="20"/>
          <w:szCs w:val="20"/>
        </w:rPr>
        <w:t>In particular, in the US, compliance with major Clean Air Act regulatory pro</w:t>
      </w:r>
      <w:r>
        <w:rPr>
          <w:rFonts w:ascii="Arial" w:eastAsia="Times New Roman" w:hAnsi="Arial" w:cs="Arial"/>
          <w:color w:val="000000"/>
          <w:sz w:val="20"/>
          <w:szCs w:val="20"/>
        </w:rPr>
        <w:t>grams is likely to cause us to incur significant capital expenditures to obtain permits, evaluate off-site impacts of our operations, install pollution control equipment, and otherwise assure compliance. Some states in which we operate are implementing new</w:t>
      </w:r>
      <w:r>
        <w:rPr>
          <w:rFonts w:ascii="Arial" w:eastAsia="Times New Roman" w:hAnsi="Arial" w:cs="Arial"/>
          <w:color w:val="000000"/>
          <w:sz w:val="20"/>
          <w:szCs w:val="20"/>
        </w:rPr>
        <w:t xml:space="preserve"> emissions limits to comply with 2008 ozone standards regulated under the National Ambient Air Quality Standards. In 2015, the ozone standards were lowered even further from 75 parts per billion (ppb) to 70 ppb, which may require states to implement additi</w:t>
      </w:r>
      <w:r>
        <w:rPr>
          <w:rFonts w:ascii="Arial" w:eastAsia="Times New Roman" w:hAnsi="Arial" w:cs="Arial"/>
          <w:color w:val="000000"/>
          <w:sz w:val="20"/>
          <w:szCs w:val="20"/>
        </w:rPr>
        <w:t>onal emissions regulations. The precise nature of these compliance obligations at each of our facilities has not been finally determined and may depend in part on future regulatory changes. In addition, compliance with new and emerging environmental regula</w:t>
      </w:r>
      <w:r>
        <w:rPr>
          <w:rFonts w:ascii="Arial" w:eastAsia="Times New Roman" w:hAnsi="Arial" w:cs="Arial"/>
          <w:color w:val="000000"/>
          <w:sz w:val="20"/>
          <w:szCs w:val="20"/>
        </w:rPr>
        <w:t>tory programs may significantly increase our operating costs compared to historical levels.</w:t>
      </w:r>
    </w:p>
    <w:p w:rsidR="00000000" w:rsidRDefault="001F1FC8">
      <w:pPr>
        <w:divId w:val="1335842821"/>
        <w:rPr>
          <w:rFonts w:eastAsia="Times New Roman"/>
        </w:rPr>
      </w:pPr>
    </w:p>
    <w:p w:rsidR="00000000" w:rsidRDefault="001F1FC8">
      <w:pPr>
        <w:jc w:val="center"/>
        <w:divId w:val="1474910769"/>
        <w:rPr>
          <w:rFonts w:eastAsia="Times New Roman"/>
        </w:rPr>
      </w:pPr>
      <w:r>
        <w:rPr>
          <w:rFonts w:ascii="Arial" w:eastAsia="Times New Roman" w:hAnsi="Arial" w:cs="Arial"/>
          <w:color w:val="000000"/>
          <w:sz w:val="20"/>
          <w:szCs w:val="20"/>
        </w:rPr>
        <w:t>35</w:t>
      </w:r>
    </w:p>
    <w:p w:rsidR="00000000" w:rsidRDefault="001F1FC8">
      <w:pPr>
        <w:rPr>
          <w:rFonts w:eastAsia="Times New Roman"/>
        </w:rPr>
      </w:pPr>
      <w:r>
        <w:rPr>
          <w:rFonts w:eastAsia="Times New Roman"/>
        </w:rPr>
        <w:pict>
          <v:rect id="_x0000_i1063" style="width:0;height:1.5pt" o:hralign="center" o:hrstd="t" o:hr="t" fillcolor="#a0a0a0" stroked="f"/>
        </w:pict>
      </w:r>
    </w:p>
    <w:p w:rsidR="00000000" w:rsidRDefault="001F1FC8">
      <w:pPr>
        <w:jc w:val="center"/>
        <w:divId w:val="944189529"/>
        <w:rPr>
          <w:rFonts w:eastAsia="Times New Roman"/>
        </w:rPr>
      </w:pPr>
    </w:p>
    <w:p w:rsidR="00000000" w:rsidRDefault="001F1FC8">
      <w:pPr>
        <w:divId w:val="1702126626"/>
        <w:rPr>
          <w:rFonts w:eastAsia="Times New Roman"/>
        </w:rPr>
      </w:pPr>
      <w:r>
        <w:rPr>
          <w:rFonts w:ascii="Arial" w:eastAsia="Times New Roman" w:hAnsi="Arial" w:cs="Arial"/>
          <w:color w:val="000000"/>
          <w:sz w:val="20"/>
          <w:szCs w:val="20"/>
        </w:rPr>
        <w:t>In the US, climate change action is evolving at federal, state and regional levels. The Supreme Court decision in Massac</w:t>
      </w:r>
      <w:r>
        <w:rPr>
          <w:rFonts w:ascii="Arial" w:eastAsia="Times New Roman" w:hAnsi="Arial" w:cs="Arial"/>
          <w:color w:val="000000"/>
          <w:sz w:val="20"/>
          <w:szCs w:val="20"/>
        </w:rPr>
        <w:t>husetts v. Environmental Protection Agency in 2007 established that GHG emissions were pollutants subject to regulation under the Clean Air Act. Pursuant to federal regulations, we are currently subject to an obligation to report our GHG emissions at our l</w:t>
      </w:r>
      <w:r>
        <w:rPr>
          <w:rFonts w:ascii="Arial" w:eastAsia="Times New Roman" w:hAnsi="Arial" w:cs="Arial"/>
          <w:color w:val="000000"/>
          <w:sz w:val="20"/>
          <w:szCs w:val="20"/>
        </w:rPr>
        <w:t>argest emitting facilities but are not generally subject to limits on emissions of GHGs. The new US presidential administration has also announced that policies designed to combat climate change and reduce GHG emissions will be a key legislative and regula</w:t>
      </w:r>
      <w:r>
        <w:rPr>
          <w:rFonts w:ascii="Arial" w:eastAsia="Times New Roman" w:hAnsi="Arial" w:cs="Arial"/>
          <w:color w:val="000000"/>
          <w:sz w:val="20"/>
          <w:szCs w:val="20"/>
        </w:rPr>
        <w:t>tory priority, and thus stricter emissions limits and air quality enforcement actions are likely. In addition, a number of states have joined regional GHG initiatives, and a number are developing their own programs that would mandate reductions in GHG emis</w:t>
      </w:r>
      <w:r>
        <w:rPr>
          <w:rFonts w:ascii="Arial" w:eastAsia="Times New Roman" w:hAnsi="Arial" w:cs="Arial"/>
          <w:color w:val="000000"/>
          <w:sz w:val="20"/>
          <w:szCs w:val="20"/>
        </w:rPr>
        <w:t>sions. Public interest groups and regulatory agencies are increasingly focusing on the emission of methane associated with natural gas development and transmission as a source of GHG emissions. However, as the key details of future GHG restrictions and com</w:t>
      </w:r>
      <w:r>
        <w:rPr>
          <w:rFonts w:ascii="Arial" w:eastAsia="Times New Roman" w:hAnsi="Arial" w:cs="Arial"/>
          <w:color w:val="000000"/>
          <w:sz w:val="20"/>
          <w:szCs w:val="20"/>
        </w:rPr>
        <w:t>pliance mechanisms remain undefined, the likely future effects on our business are highly uncertain.</w:t>
      </w:r>
    </w:p>
    <w:p w:rsidR="00000000" w:rsidRDefault="001F1FC8">
      <w:pPr>
        <w:divId w:val="332608822"/>
        <w:rPr>
          <w:rFonts w:eastAsia="Times New Roman"/>
        </w:rPr>
      </w:pPr>
    </w:p>
    <w:p w:rsidR="00000000" w:rsidRDefault="001F1FC8">
      <w:pPr>
        <w:divId w:val="50547064"/>
        <w:rPr>
          <w:rFonts w:eastAsia="Times New Roman"/>
        </w:rPr>
      </w:pPr>
      <w:r>
        <w:rPr>
          <w:rFonts w:ascii="Arial" w:eastAsia="Times New Roman" w:hAnsi="Arial" w:cs="Arial"/>
          <w:color w:val="000000"/>
          <w:sz w:val="20"/>
          <w:szCs w:val="20"/>
        </w:rPr>
        <w:t>For its part, Canada has reaffirmed its strong preference for a harmonized approach on climate action with that of the US. In 2019, the Government of Can</w:t>
      </w:r>
      <w:r>
        <w:rPr>
          <w:rFonts w:ascii="Arial" w:eastAsia="Times New Roman" w:hAnsi="Arial" w:cs="Arial"/>
          <w:color w:val="000000"/>
          <w:sz w:val="20"/>
          <w:szCs w:val="20"/>
        </w:rPr>
        <w:t>ada implemented a federal system of carbon pricing. The pricing applies to provinces and territories that do not have a carbon pricing system in place that meets the federal benchmark. The Canadian Net-Zero Emissions Accountability Act,</w:t>
      </w:r>
      <w:r>
        <w:rPr>
          <w:rFonts w:ascii="Arial" w:eastAsia="Times New Roman" w:hAnsi="Arial" w:cs="Arial"/>
          <w:i/>
          <w:iCs/>
          <w:color w:val="000000"/>
          <w:sz w:val="20"/>
          <w:szCs w:val="20"/>
        </w:rPr>
        <w:t xml:space="preserve"> </w:t>
      </w:r>
      <w:r>
        <w:rPr>
          <w:rFonts w:ascii="Arial" w:eastAsia="Times New Roman" w:hAnsi="Arial" w:cs="Arial"/>
          <w:color w:val="000000"/>
          <w:sz w:val="20"/>
          <w:szCs w:val="20"/>
        </w:rPr>
        <w:t>which received royal assent in April 2021, requires national targets for the reduction of GHG emissions in Canada be set, with the objective of attaining net-zero emissions by 2050. As of April 2021, the federal carbon price was raised to $40 per tonne. Th</w:t>
      </w:r>
      <w:r>
        <w:rPr>
          <w:rFonts w:ascii="Arial" w:eastAsia="Times New Roman" w:hAnsi="Arial" w:cs="Arial"/>
          <w:color w:val="000000"/>
          <w:sz w:val="20"/>
          <w:szCs w:val="20"/>
        </w:rPr>
        <w:t>is will increase to $65 per tonne in 2023 and rise to $170 per tonne of carbon dioxide equivalent in 2030.</w:t>
      </w:r>
    </w:p>
    <w:p w:rsidR="00000000" w:rsidRDefault="001F1FC8">
      <w:pPr>
        <w:divId w:val="717239085"/>
        <w:rPr>
          <w:rFonts w:eastAsia="Times New Roman"/>
        </w:rPr>
      </w:pPr>
    </w:p>
    <w:p w:rsidR="00000000" w:rsidRDefault="001F1FC8">
      <w:pPr>
        <w:divId w:val="1242177053"/>
        <w:rPr>
          <w:rFonts w:eastAsia="Times New Roman"/>
        </w:rPr>
      </w:pPr>
      <w:r>
        <w:rPr>
          <w:rFonts w:ascii="Arial" w:eastAsia="Times New Roman" w:hAnsi="Arial" w:cs="Arial"/>
          <w:color w:val="000000"/>
          <w:sz w:val="20"/>
          <w:szCs w:val="20"/>
        </w:rPr>
        <w:t>Due to the speculative outlook regarding any US federal and state policies, we cannot estimate the potential effect of proposed GHG policies on our</w:t>
      </w:r>
      <w:r>
        <w:rPr>
          <w:rFonts w:ascii="Arial" w:eastAsia="Times New Roman" w:hAnsi="Arial" w:cs="Arial"/>
          <w:color w:val="000000"/>
          <w:sz w:val="20"/>
          <w:szCs w:val="20"/>
        </w:rPr>
        <w:t xml:space="preserve"> future consolidated results of operations, financial position or cash flows. However, such legislation or regulation could materially increase our operating costs, require material capital expenditures or create additional permitting, which could delay pr</w:t>
      </w:r>
      <w:r>
        <w:rPr>
          <w:rFonts w:ascii="Arial" w:eastAsia="Times New Roman" w:hAnsi="Arial" w:cs="Arial"/>
          <w:color w:val="000000"/>
          <w:sz w:val="20"/>
          <w:szCs w:val="20"/>
        </w:rPr>
        <w:t>oposed construction projects.</w:t>
      </w:r>
    </w:p>
    <w:p w:rsidR="00000000" w:rsidRDefault="001F1FC8">
      <w:pPr>
        <w:divId w:val="1152910038"/>
        <w:rPr>
          <w:rFonts w:eastAsia="Times New Roman"/>
        </w:rPr>
      </w:pPr>
    </w:p>
    <w:p w:rsidR="00000000" w:rsidRDefault="001F1FC8">
      <w:pPr>
        <w:divId w:val="1658730219"/>
        <w:rPr>
          <w:rFonts w:eastAsia="Times New Roman"/>
        </w:rPr>
      </w:pPr>
      <w:r>
        <w:rPr>
          <w:rFonts w:ascii="Arial" w:eastAsia="Times New Roman" w:hAnsi="Arial" w:cs="Arial"/>
          <w:b/>
          <w:bCs/>
          <w:color w:val="000000"/>
          <w:sz w:val="20"/>
          <w:szCs w:val="20"/>
        </w:rPr>
        <w:t>Gas Distribution and Storage</w:t>
      </w:r>
    </w:p>
    <w:p w:rsidR="00000000" w:rsidRDefault="001F1FC8">
      <w:pPr>
        <w:divId w:val="1714843692"/>
        <w:rPr>
          <w:rFonts w:eastAsia="Times New Roman"/>
        </w:rPr>
      </w:pPr>
      <w:r>
        <w:rPr>
          <w:rFonts w:ascii="Arial" w:eastAsia="Times New Roman" w:hAnsi="Arial" w:cs="Arial"/>
          <w:color w:val="000000"/>
          <w:sz w:val="20"/>
          <w:szCs w:val="20"/>
        </w:rPr>
        <w:t>Our Gas Distribution and Storage operations, facilities and workers are subject to municipal, provincial and federal legislation which regulate the protection of the environment and the health an</w:t>
      </w:r>
      <w:r>
        <w:rPr>
          <w:rFonts w:ascii="Arial" w:eastAsia="Times New Roman" w:hAnsi="Arial" w:cs="Arial"/>
          <w:color w:val="000000"/>
          <w:sz w:val="20"/>
          <w:szCs w:val="20"/>
        </w:rPr>
        <w:t>d safety of workers. Environmental legislation primarily includes regulation of spills and emissions to air, land and water; hazardous waste management; the assessment and management of contaminated sites; protection of environmentally sensitive areas, and</w:t>
      </w:r>
      <w:r>
        <w:rPr>
          <w:rFonts w:ascii="Arial" w:eastAsia="Times New Roman" w:hAnsi="Arial" w:cs="Arial"/>
          <w:color w:val="000000"/>
          <w:sz w:val="20"/>
          <w:szCs w:val="20"/>
        </w:rPr>
        <w:t xml:space="preserve"> species at risk and their habitat; and the reporting and reduction of GHG emissions.</w:t>
      </w:r>
    </w:p>
    <w:p w:rsidR="00000000" w:rsidRDefault="001F1FC8">
      <w:pPr>
        <w:divId w:val="62601829"/>
        <w:rPr>
          <w:rFonts w:eastAsia="Times New Roman"/>
        </w:rPr>
      </w:pPr>
    </w:p>
    <w:p w:rsidR="00000000" w:rsidRDefault="001F1FC8">
      <w:pPr>
        <w:divId w:val="1529954681"/>
        <w:rPr>
          <w:rFonts w:eastAsia="Times New Roman"/>
        </w:rPr>
      </w:pPr>
      <w:r>
        <w:rPr>
          <w:rFonts w:ascii="Arial" w:eastAsia="Times New Roman" w:hAnsi="Arial" w:cs="Arial"/>
          <w:color w:val="000000"/>
          <w:sz w:val="20"/>
          <w:szCs w:val="20"/>
        </w:rPr>
        <w:t>Gas distribution system operation, as with any industrial operation, has the potential risk of abnormal or emergency conditions, or other unplanned events that could re</w:t>
      </w:r>
      <w:r>
        <w:rPr>
          <w:rFonts w:ascii="Arial" w:eastAsia="Times New Roman" w:hAnsi="Arial" w:cs="Arial"/>
          <w:color w:val="000000"/>
          <w:sz w:val="20"/>
          <w:szCs w:val="20"/>
        </w:rPr>
        <w:t>sult in releases or emissions exceeding permitted levels. These events could result in injuries to workers or the public, adverse impacts to the environment, property damage and/or regulatory infractions including orders and fines. We could also incur futu</w:t>
      </w:r>
      <w:r>
        <w:rPr>
          <w:rFonts w:ascii="Arial" w:eastAsia="Times New Roman" w:hAnsi="Arial" w:cs="Arial"/>
          <w:color w:val="000000"/>
          <w:sz w:val="20"/>
          <w:szCs w:val="20"/>
        </w:rPr>
        <w:t>re liability for soil and groundwater contamination associated with past and present site activities.</w:t>
      </w:r>
    </w:p>
    <w:p w:rsidR="00000000" w:rsidRDefault="001F1FC8">
      <w:pPr>
        <w:divId w:val="1499232022"/>
        <w:rPr>
          <w:rFonts w:eastAsia="Times New Roman"/>
        </w:rPr>
      </w:pPr>
    </w:p>
    <w:p w:rsidR="00000000" w:rsidRDefault="001F1FC8">
      <w:pPr>
        <w:divId w:val="719791305"/>
        <w:rPr>
          <w:rFonts w:eastAsia="Times New Roman"/>
        </w:rPr>
      </w:pPr>
      <w:r>
        <w:rPr>
          <w:rFonts w:ascii="Arial" w:eastAsia="Times New Roman" w:hAnsi="Arial" w:cs="Arial"/>
          <w:color w:val="000000"/>
          <w:sz w:val="20"/>
          <w:szCs w:val="20"/>
        </w:rPr>
        <w:t>In addition to gas distribution, we also operate storage facilities and a small volume of oil and brine production in southwestern Ontario. Environmenta</w:t>
      </w:r>
      <w:r>
        <w:rPr>
          <w:rFonts w:ascii="Arial" w:eastAsia="Times New Roman" w:hAnsi="Arial" w:cs="Arial"/>
          <w:color w:val="000000"/>
          <w:sz w:val="20"/>
          <w:szCs w:val="20"/>
        </w:rPr>
        <w:t>l risk associated with these facilities has the potential for unplanned releases. In the event of a release, remediation of the affected area would be required. There would also be potential for fines, orders or charges under environmental legislation, and</w:t>
      </w:r>
      <w:r>
        <w:rPr>
          <w:rFonts w:ascii="Arial" w:eastAsia="Times New Roman" w:hAnsi="Arial" w:cs="Arial"/>
          <w:color w:val="000000"/>
          <w:sz w:val="20"/>
          <w:szCs w:val="20"/>
        </w:rPr>
        <w:t xml:space="preserve"> potential third-party liability claims by any affected landowners.</w:t>
      </w:r>
    </w:p>
    <w:p w:rsidR="00000000" w:rsidRDefault="001F1FC8">
      <w:pPr>
        <w:divId w:val="1180924172"/>
        <w:rPr>
          <w:rFonts w:eastAsia="Times New Roman"/>
        </w:rPr>
      </w:pPr>
    </w:p>
    <w:p w:rsidR="00000000" w:rsidRDefault="001F1FC8">
      <w:pPr>
        <w:jc w:val="center"/>
        <w:divId w:val="1936093181"/>
        <w:rPr>
          <w:rFonts w:eastAsia="Times New Roman"/>
        </w:rPr>
      </w:pPr>
      <w:r>
        <w:rPr>
          <w:rFonts w:ascii="Arial" w:eastAsia="Times New Roman" w:hAnsi="Arial" w:cs="Arial"/>
          <w:color w:val="000000"/>
          <w:sz w:val="20"/>
          <w:szCs w:val="20"/>
        </w:rPr>
        <w:t>36</w:t>
      </w:r>
    </w:p>
    <w:p w:rsidR="00000000" w:rsidRDefault="001F1FC8">
      <w:pPr>
        <w:rPr>
          <w:rFonts w:eastAsia="Times New Roman"/>
        </w:rPr>
      </w:pPr>
      <w:r>
        <w:rPr>
          <w:rFonts w:eastAsia="Times New Roman"/>
        </w:rPr>
        <w:pict>
          <v:rect id="_x0000_i1064" style="width:0;height:1.5pt" o:hralign="center" o:hrstd="t" o:hr="t" fillcolor="#a0a0a0" stroked="f"/>
        </w:pict>
      </w:r>
    </w:p>
    <w:p w:rsidR="00000000" w:rsidRDefault="001F1FC8">
      <w:pPr>
        <w:jc w:val="center"/>
        <w:divId w:val="1505170625"/>
        <w:rPr>
          <w:rFonts w:eastAsia="Times New Roman"/>
        </w:rPr>
      </w:pPr>
    </w:p>
    <w:p w:rsidR="00000000" w:rsidRDefault="001F1FC8">
      <w:pPr>
        <w:divId w:val="1213466912"/>
        <w:rPr>
          <w:rFonts w:eastAsia="Times New Roman"/>
        </w:rPr>
      </w:pPr>
      <w:r>
        <w:rPr>
          <w:rFonts w:ascii="Arial" w:eastAsia="Times New Roman" w:hAnsi="Arial" w:cs="Arial"/>
          <w:color w:val="000000"/>
          <w:sz w:val="20"/>
          <w:szCs w:val="20"/>
        </w:rPr>
        <w:t>The gas distribution system and our other operations must maintain environmental approvals and permits from regulators to operate. As a result, these assets and facilities are subject to periodic inspections and/or aud</w:t>
      </w:r>
      <w:r>
        <w:rPr>
          <w:rFonts w:ascii="Arial" w:eastAsia="Times New Roman" w:hAnsi="Arial" w:cs="Arial"/>
          <w:color w:val="000000"/>
          <w:sz w:val="20"/>
          <w:szCs w:val="20"/>
        </w:rPr>
        <w:t>its. Annual reports, such as Annual Written Summary Reports for Environmental Compliance Approvals (ECAs) are submitted to the Ontario Ministry of the Environment, Conservation and Parks (MECP) and other regulators to demonstrate we are in good standing wi</w:t>
      </w:r>
      <w:r>
        <w:rPr>
          <w:rFonts w:ascii="Arial" w:eastAsia="Times New Roman" w:hAnsi="Arial" w:cs="Arial"/>
          <w:color w:val="000000"/>
          <w:sz w:val="20"/>
          <w:szCs w:val="20"/>
        </w:rPr>
        <w:t>th our environmental requirements. Failure to maintain regulatory compliance could result in operational interruptions, fines, and/or orders for additional pollution control technology or environmental mitigation. As environmental requirements and regulati</w:t>
      </w:r>
      <w:r>
        <w:rPr>
          <w:rFonts w:ascii="Arial" w:eastAsia="Times New Roman" w:hAnsi="Arial" w:cs="Arial"/>
          <w:color w:val="000000"/>
          <w:sz w:val="20"/>
          <w:szCs w:val="20"/>
        </w:rPr>
        <w:t>ons become more stringent, the cost to maintain compliance and the time required to obtain approvals is expected to increase.</w:t>
      </w:r>
    </w:p>
    <w:p w:rsidR="00000000" w:rsidRDefault="001F1FC8">
      <w:pPr>
        <w:divId w:val="681712156"/>
        <w:rPr>
          <w:rFonts w:eastAsia="Times New Roman"/>
        </w:rPr>
      </w:pPr>
    </w:p>
    <w:p w:rsidR="00000000" w:rsidRDefault="001F1FC8">
      <w:pPr>
        <w:divId w:val="1137455162"/>
        <w:rPr>
          <w:rFonts w:eastAsia="Times New Roman"/>
        </w:rPr>
      </w:pPr>
      <w:r>
        <w:rPr>
          <w:rFonts w:ascii="Arial" w:eastAsia="Times New Roman" w:hAnsi="Arial" w:cs="Arial"/>
          <w:color w:val="000000"/>
          <w:sz w:val="20"/>
          <w:szCs w:val="20"/>
        </w:rPr>
        <w:t>As in previous years, in 2021, we reported operational GHG emissions, including emissions from stationary combustion, flaring, v</w:t>
      </w:r>
      <w:r>
        <w:rPr>
          <w:rFonts w:ascii="Arial" w:eastAsia="Times New Roman" w:hAnsi="Arial" w:cs="Arial"/>
          <w:color w:val="000000"/>
          <w:sz w:val="20"/>
          <w:szCs w:val="20"/>
        </w:rPr>
        <w:t>enting and fugitive sources to Environment and Climate Change Canada (ECCC), the Ontario MECP, and a number of voluntary reporting programs. In accordance with the provincial GHG regulations, stationary combustion and flaring emissions related to storage a</w:t>
      </w:r>
      <w:r>
        <w:rPr>
          <w:rFonts w:ascii="Arial" w:eastAsia="Times New Roman" w:hAnsi="Arial" w:cs="Arial"/>
          <w:color w:val="000000"/>
          <w:sz w:val="20"/>
          <w:szCs w:val="20"/>
        </w:rPr>
        <w:t>nd transmission operations were verified in detail by a third-party accredited verifier with no material discrepancies found.</w:t>
      </w:r>
    </w:p>
    <w:p w:rsidR="00000000" w:rsidRDefault="001F1FC8">
      <w:pPr>
        <w:divId w:val="1243371198"/>
        <w:rPr>
          <w:rFonts w:eastAsia="Times New Roman"/>
        </w:rPr>
      </w:pPr>
    </w:p>
    <w:p w:rsidR="00000000" w:rsidRDefault="001F1FC8">
      <w:pPr>
        <w:divId w:val="1808472087"/>
        <w:rPr>
          <w:rFonts w:eastAsia="Times New Roman"/>
        </w:rPr>
      </w:pPr>
      <w:r>
        <w:rPr>
          <w:rFonts w:ascii="Arial" w:eastAsia="Times New Roman" w:hAnsi="Arial" w:cs="Arial"/>
          <w:color w:val="000000"/>
          <w:sz w:val="20"/>
          <w:szCs w:val="20"/>
        </w:rPr>
        <w:t xml:space="preserve">Enbridge Gas utilizes emissions data management processes and systems to help with the data capture and mandatory and voluntary </w:t>
      </w:r>
      <w:r>
        <w:rPr>
          <w:rFonts w:ascii="Arial" w:eastAsia="Times New Roman" w:hAnsi="Arial" w:cs="Arial"/>
          <w:color w:val="000000"/>
          <w:sz w:val="20"/>
          <w:szCs w:val="20"/>
        </w:rPr>
        <w:t>reporting needs. Quantification methodologies and emission factors will continually be updated in our systems as required. Enbridge Gas continues to work with industry associations to refine quantification methodologies and emissions factors, as well as be</w:t>
      </w:r>
      <w:r>
        <w:rPr>
          <w:rFonts w:ascii="Arial" w:eastAsia="Times New Roman" w:hAnsi="Arial" w:cs="Arial"/>
          <w:color w:val="000000"/>
          <w:sz w:val="20"/>
          <w:szCs w:val="20"/>
        </w:rPr>
        <w:t>st management practices to minimize emissions.</w:t>
      </w:r>
    </w:p>
    <w:p w:rsidR="00000000" w:rsidRDefault="001F1FC8">
      <w:pPr>
        <w:divId w:val="1017661083"/>
        <w:rPr>
          <w:rFonts w:eastAsia="Times New Roman"/>
        </w:rPr>
      </w:pPr>
    </w:p>
    <w:p w:rsidR="00000000" w:rsidRDefault="001F1FC8">
      <w:pPr>
        <w:divId w:val="852917128"/>
        <w:rPr>
          <w:rFonts w:eastAsia="Times New Roman"/>
        </w:rPr>
      </w:pPr>
      <w:r>
        <w:rPr>
          <w:rFonts w:ascii="Arial" w:eastAsia="Times New Roman" w:hAnsi="Arial" w:cs="Arial"/>
          <w:color w:val="000000"/>
          <w:sz w:val="20"/>
          <w:szCs w:val="20"/>
        </w:rPr>
        <w:t>In October 2018, the federal government confirmed that Ontario is subject to the federal government’s carbon pricing program, otherwise known as the Federal Carbon Pricing Backstop Program. This program cons</w:t>
      </w:r>
      <w:r>
        <w:rPr>
          <w:rFonts w:ascii="Arial" w:eastAsia="Times New Roman" w:hAnsi="Arial" w:cs="Arial"/>
          <w:color w:val="000000"/>
          <w:sz w:val="20"/>
          <w:szCs w:val="20"/>
        </w:rPr>
        <w:t>ists of two components: a carbon charge levied on fossil fuels, including natural gas, and an OBPS.</w:t>
      </w:r>
    </w:p>
    <w:p w:rsidR="00000000" w:rsidRDefault="001F1FC8">
      <w:pPr>
        <w:divId w:val="1160343904"/>
        <w:rPr>
          <w:rFonts w:eastAsia="Times New Roman"/>
        </w:rPr>
      </w:pPr>
    </w:p>
    <w:p w:rsidR="00000000" w:rsidRDefault="001F1FC8">
      <w:pPr>
        <w:divId w:val="572617904"/>
        <w:rPr>
          <w:rFonts w:eastAsia="Times New Roman"/>
        </w:rPr>
      </w:pPr>
      <w:r>
        <w:rPr>
          <w:rFonts w:ascii="Arial" w:eastAsia="Times New Roman" w:hAnsi="Arial" w:cs="Arial"/>
          <w:color w:val="000000"/>
          <w:sz w:val="20"/>
          <w:szCs w:val="20"/>
        </w:rPr>
        <w:t>The federal carbon charge took effect on April 1, 2019 at a rate of 3.91 cents/cubic meter (m3) of natural gas and is applicable to the majority of custom</w:t>
      </w:r>
      <w:r>
        <w:rPr>
          <w:rFonts w:ascii="Arial" w:eastAsia="Times New Roman" w:hAnsi="Arial" w:cs="Arial"/>
          <w:color w:val="000000"/>
          <w:sz w:val="20"/>
          <w:szCs w:val="20"/>
        </w:rPr>
        <w:t>ers. Enbridge Gas is registered as a natural gas distributor with the Canada Revenue Agency and remits the federal carbon charge on a monthly basis. The charge increases annually on April 1 of each year by 1.96 cents/m3, rising up to 9.79 cents/m3 in 2022.</w:t>
      </w:r>
      <w:r>
        <w:rPr>
          <w:rFonts w:ascii="Arial" w:eastAsia="Times New Roman" w:hAnsi="Arial" w:cs="Arial"/>
          <w:color w:val="000000"/>
          <w:sz w:val="20"/>
          <w:szCs w:val="20"/>
        </w:rPr>
        <w:t xml:space="preserve"> In December 2020, the federal government announced plans to increase the federal carbon price by $15 per tonne each year in 2023, rising to $170 per tonne of carbon dioxide equivalent in 2030. Enbridge Gas estimates that this will equate to a federal carb</w:t>
      </w:r>
      <w:r>
        <w:rPr>
          <w:rFonts w:ascii="Arial" w:eastAsia="Times New Roman" w:hAnsi="Arial" w:cs="Arial"/>
          <w:color w:val="000000"/>
          <w:sz w:val="20"/>
          <w:szCs w:val="20"/>
        </w:rPr>
        <w:t>on charge on natural gas of approximately 33.31 cents/m3 in 2030. Enbridge Gas applies for approval from the OEB on an annual basis to pass through federal carbon charges.</w:t>
      </w:r>
      <w:r>
        <w:rPr>
          <w:rFonts w:ascii="Calibri" w:eastAsia="Times New Roman" w:hAnsi="Calibri" w:cs="Calibri"/>
          <w:i/>
          <w:iCs/>
          <w:color w:val="FF0000"/>
        </w:rPr>
        <w:t xml:space="preserve"> </w:t>
      </w:r>
    </w:p>
    <w:p w:rsidR="00000000" w:rsidRDefault="001F1FC8">
      <w:pPr>
        <w:divId w:val="656424091"/>
        <w:rPr>
          <w:rFonts w:eastAsia="Times New Roman"/>
        </w:rPr>
      </w:pPr>
    </w:p>
    <w:p w:rsidR="00000000" w:rsidRDefault="001F1FC8">
      <w:pPr>
        <w:divId w:val="275720111"/>
        <w:rPr>
          <w:rFonts w:eastAsia="Times New Roman"/>
        </w:rPr>
      </w:pPr>
      <w:r>
        <w:rPr>
          <w:rFonts w:ascii="Arial" w:eastAsia="Times New Roman" w:hAnsi="Arial" w:cs="Arial"/>
          <w:color w:val="000000"/>
          <w:sz w:val="20"/>
          <w:szCs w:val="20"/>
        </w:rPr>
        <w:t xml:space="preserve">The OBPS component came into effect on January 1, 2019. Under OBPS, a registered </w:t>
      </w:r>
      <w:r>
        <w:rPr>
          <w:rFonts w:ascii="Arial" w:eastAsia="Times New Roman" w:hAnsi="Arial" w:cs="Arial"/>
          <w:color w:val="000000"/>
          <w:sz w:val="20"/>
          <w:szCs w:val="20"/>
        </w:rPr>
        <w:t>facility has a compliance obligation for the portion of their emissions that exceeds their annual facility emissions limit, which is calculated based on the sector specific output-based standard and annual production. Enbridge Gas is registered with ECCC a</w:t>
      </w:r>
      <w:r>
        <w:rPr>
          <w:rFonts w:ascii="Arial" w:eastAsia="Times New Roman" w:hAnsi="Arial" w:cs="Arial"/>
          <w:color w:val="000000"/>
          <w:sz w:val="20"/>
          <w:szCs w:val="20"/>
        </w:rPr>
        <w:t>s an emitter in the OBPS program and has an annual compliance obligation associated with the combustion and flaring emissions associated with its natural gas pipeline transmission system. As a registered facility under OBPS,</w:t>
      </w:r>
      <w:r>
        <w:rPr>
          <w:rFonts w:ascii="Arial" w:eastAsia="Times New Roman" w:hAnsi="Arial" w:cs="Arial"/>
          <w:color w:val="000000"/>
        </w:rPr>
        <w:t xml:space="preserve"> </w:t>
      </w:r>
      <w:r>
        <w:rPr>
          <w:rFonts w:ascii="Arial" w:eastAsia="Times New Roman" w:hAnsi="Arial" w:cs="Arial"/>
          <w:color w:val="000000"/>
          <w:sz w:val="20"/>
          <w:szCs w:val="20"/>
        </w:rPr>
        <w:t>Enbridge Gas submitted an annua</w:t>
      </w:r>
      <w:r>
        <w:rPr>
          <w:rFonts w:ascii="Arial" w:eastAsia="Times New Roman" w:hAnsi="Arial" w:cs="Arial"/>
          <w:color w:val="000000"/>
          <w:sz w:val="20"/>
          <w:szCs w:val="20"/>
        </w:rPr>
        <w:t>l report along with the required verification report from an accredited third-party verifier who found no material misstatements. Enbridge Gas is required to remit payment for facility emissions that exceed its annual facility emissions limit. Due to COVID</w:t>
      </w:r>
      <w:r>
        <w:rPr>
          <w:rFonts w:ascii="Arial" w:eastAsia="Times New Roman" w:hAnsi="Arial" w:cs="Arial"/>
          <w:color w:val="000000"/>
          <w:sz w:val="20"/>
          <w:szCs w:val="20"/>
        </w:rPr>
        <w:t>-19, ECCC delayed the payment deadline for the 2019 compliance obligation from December 15, 2020 to April 15, 2021. Enbridge Gas made payment for the 2019 compliance obligation in March 2021 and for the 2020 compliance obligation in November 2021.</w:t>
      </w:r>
    </w:p>
    <w:p w:rsidR="00000000" w:rsidRDefault="001F1FC8">
      <w:pPr>
        <w:divId w:val="2007242111"/>
        <w:rPr>
          <w:rFonts w:eastAsia="Times New Roman"/>
        </w:rPr>
      </w:pPr>
    </w:p>
    <w:p w:rsidR="00000000" w:rsidRDefault="001F1FC8">
      <w:pPr>
        <w:jc w:val="center"/>
        <w:divId w:val="1110901740"/>
        <w:rPr>
          <w:rFonts w:eastAsia="Times New Roman"/>
        </w:rPr>
      </w:pPr>
      <w:r>
        <w:rPr>
          <w:rFonts w:ascii="Arial" w:eastAsia="Times New Roman" w:hAnsi="Arial" w:cs="Arial"/>
          <w:color w:val="000000"/>
          <w:sz w:val="20"/>
          <w:szCs w:val="20"/>
        </w:rPr>
        <w:t>37</w:t>
      </w:r>
    </w:p>
    <w:p w:rsidR="00000000" w:rsidRDefault="001F1FC8">
      <w:pPr>
        <w:rPr>
          <w:rFonts w:eastAsia="Times New Roman"/>
        </w:rPr>
      </w:pPr>
      <w:r>
        <w:rPr>
          <w:rFonts w:eastAsia="Times New Roman"/>
        </w:rPr>
        <w:pict>
          <v:rect id="_x0000_i1065" style="width:0;height:1.5pt" o:hralign="center" o:hrstd="t" o:hr="t" fillcolor="#a0a0a0" stroked="f"/>
        </w:pict>
      </w:r>
    </w:p>
    <w:p w:rsidR="00000000" w:rsidRDefault="001F1FC8">
      <w:pPr>
        <w:jc w:val="center"/>
        <w:divId w:val="391273621"/>
        <w:rPr>
          <w:rFonts w:eastAsia="Times New Roman"/>
        </w:rPr>
      </w:pPr>
    </w:p>
    <w:p w:rsidR="00000000" w:rsidRDefault="001F1FC8">
      <w:pPr>
        <w:divId w:val="1508667676"/>
        <w:rPr>
          <w:rFonts w:eastAsia="Times New Roman"/>
        </w:rPr>
      </w:pPr>
      <w:r>
        <w:rPr>
          <w:rFonts w:ascii="Arial" w:eastAsia="Times New Roman" w:hAnsi="Arial" w:cs="Arial"/>
          <w:color w:val="000000"/>
          <w:sz w:val="20"/>
          <w:szCs w:val="20"/>
        </w:rPr>
        <w:t>In September 2020, Ontario and the federal government announced that the federal government has accepted that Ontario’s Emission Performance Standards (EPS) will replace the federal OBPS for industrial facilities. In Mar</w:t>
      </w:r>
      <w:r>
        <w:rPr>
          <w:rFonts w:ascii="Arial" w:eastAsia="Times New Roman" w:hAnsi="Arial" w:cs="Arial"/>
          <w:color w:val="000000"/>
          <w:sz w:val="20"/>
          <w:szCs w:val="20"/>
        </w:rPr>
        <w:t>ch 2021, the federal government announced that the federal OBPS will stand down in Ontario at the end of 2021 and Ontario will transition to the EPS effective January 1, 2022. In September 2021, the Greenhouse Gas Pollution Pricing Act was amended to remov</w:t>
      </w:r>
      <w:r>
        <w:rPr>
          <w:rFonts w:ascii="Arial" w:eastAsia="Times New Roman" w:hAnsi="Arial" w:cs="Arial"/>
          <w:color w:val="000000"/>
          <w:sz w:val="20"/>
          <w:szCs w:val="20"/>
        </w:rPr>
        <w:t>e Ontario as a covered province effective January 1, 2022. Beginning January 1, 2022, Enbridge Gas will have a compliance obligation under the EPS program for its facility-related emissions, as well as the federal carbon charge for its customer-related emi</w:t>
      </w:r>
      <w:r>
        <w:rPr>
          <w:rFonts w:ascii="Arial" w:eastAsia="Times New Roman" w:hAnsi="Arial" w:cs="Arial"/>
          <w:color w:val="000000"/>
          <w:sz w:val="20"/>
          <w:szCs w:val="20"/>
        </w:rPr>
        <w:t>ssions.</w:t>
      </w:r>
    </w:p>
    <w:p w:rsidR="00000000" w:rsidRDefault="001F1FC8">
      <w:pPr>
        <w:divId w:val="1542013982"/>
        <w:rPr>
          <w:rFonts w:eastAsia="Times New Roman"/>
        </w:rPr>
      </w:pPr>
    </w:p>
    <w:p w:rsidR="00000000" w:rsidRDefault="001F1FC8">
      <w:pPr>
        <w:divId w:val="1210992138"/>
        <w:rPr>
          <w:rFonts w:eastAsia="Times New Roman"/>
        </w:rPr>
      </w:pPr>
      <w:r>
        <w:rPr>
          <w:rFonts w:ascii="Arial" w:eastAsia="Times New Roman" w:hAnsi="Arial" w:cs="Arial"/>
          <w:b/>
          <w:bCs/>
          <w:color w:val="000000"/>
          <w:sz w:val="28"/>
          <w:szCs w:val="28"/>
        </w:rPr>
        <w:t>HUMAN CAPITAL RESOURCES</w:t>
      </w:r>
    </w:p>
    <w:p w:rsidR="00000000" w:rsidRDefault="001F1FC8">
      <w:pPr>
        <w:divId w:val="2081245541"/>
        <w:rPr>
          <w:rFonts w:eastAsia="Times New Roman"/>
        </w:rPr>
      </w:pPr>
    </w:p>
    <w:p w:rsidR="00000000" w:rsidRDefault="001F1FC8">
      <w:pPr>
        <w:divId w:val="1257589862"/>
        <w:rPr>
          <w:rFonts w:eastAsia="Times New Roman"/>
        </w:rPr>
      </w:pPr>
      <w:r>
        <w:rPr>
          <w:rFonts w:ascii="Arial" w:eastAsia="Times New Roman" w:hAnsi="Arial" w:cs="Arial"/>
          <w:b/>
          <w:bCs/>
          <w:color w:val="000000"/>
          <w:sz w:val="20"/>
          <w:szCs w:val="20"/>
        </w:rPr>
        <w:t>WORKFORCE SIZE AND COMPOSITION</w:t>
      </w:r>
    </w:p>
    <w:p w:rsidR="00000000" w:rsidRDefault="001F1FC8">
      <w:pPr>
        <w:divId w:val="162285884"/>
        <w:rPr>
          <w:rFonts w:eastAsia="Times New Roman"/>
        </w:rPr>
      </w:pPr>
      <w:r>
        <w:rPr>
          <w:rFonts w:ascii="Arial" w:eastAsia="Times New Roman" w:hAnsi="Arial" w:cs="Arial"/>
          <w:color w:val="000000"/>
          <w:sz w:val="20"/>
          <w:szCs w:val="20"/>
        </w:rPr>
        <w:t>As at December 31, 2021, we had approximately 10,900 regular employees, including approximately 1,500 unionized employees across our North American operations. This total rises to nearly 13</w:t>
      </w:r>
      <w:r>
        <w:rPr>
          <w:rFonts w:ascii="Arial" w:eastAsia="Times New Roman" w:hAnsi="Arial" w:cs="Arial"/>
          <w:color w:val="000000"/>
          <w:sz w:val="20"/>
          <w:szCs w:val="20"/>
        </w:rPr>
        <w:t>,000 if temporary employees and contractors are included. We have a strong preference for direct employment relationships but where we have collectively bargained-for employees, we have mature working relationships with our labor unions and the parties hav</w:t>
      </w:r>
      <w:r>
        <w:rPr>
          <w:rFonts w:ascii="Arial" w:eastAsia="Times New Roman" w:hAnsi="Arial" w:cs="Arial"/>
          <w:color w:val="000000"/>
          <w:sz w:val="20"/>
          <w:szCs w:val="20"/>
        </w:rPr>
        <w:t>e traditionally committed themselves to the achievement of renewal agreements without a work stoppage.</w:t>
      </w:r>
    </w:p>
    <w:p w:rsidR="00000000" w:rsidRDefault="001F1FC8">
      <w:pPr>
        <w:divId w:val="719016090"/>
        <w:rPr>
          <w:rFonts w:eastAsia="Times New Roman"/>
        </w:rPr>
      </w:pPr>
    </w:p>
    <w:p w:rsidR="00000000" w:rsidRDefault="001F1FC8">
      <w:pPr>
        <w:divId w:val="1390953822"/>
        <w:rPr>
          <w:rFonts w:eastAsia="Times New Roman"/>
        </w:rPr>
      </w:pPr>
      <w:r>
        <w:rPr>
          <w:rFonts w:ascii="Arial" w:eastAsia="Times New Roman" w:hAnsi="Arial" w:cs="Arial"/>
          <w:b/>
          <w:bCs/>
          <w:color w:val="000000"/>
          <w:sz w:val="20"/>
          <w:szCs w:val="20"/>
        </w:rPr>
        <w:t>SAFETY</w:t>
      </w:r>
    </w:p>
    <w:p w:rsidR="00000000" w:rsidRDefault="001F1FC8">
      <w:pPr>
        <w:divId w:val="919754983"/>
        <w:rPr>
          <w:rFonts w:eastAsia="Times New Roman"/>
        </w:rPr>
      </w:pPr>
      <w:r>
        <w:rPr>
          <w:rFonts w:ascii="Arial" w:eastAsia="Times New Roman" w:hAnsi="Arial" w:cs="Arial"/>
          <w:color w:val="000000"/>
          <w:sz w:val="20"/>
          <w:szCs w:val="20"/>
        </w:rPr>
        <w:t>We believe all injuries, incidents and occupational illnesses are preventable. Our overall focus on employee and contractor safety, including th</w:t>
      </w:r>
      <w:r>
        <w:rPr>
          <w:rFonts w:ascii="Arial" w:eastAsia="Times New Roman" w:hAnsi="Arial" w:cs="Arial"/>
          <w:color w:val="000000"/>
          <w:sz w:val="20"/>
          <w:szCs w:val="20"/>
        </w:rPr>
        <w:t xml:space="preserve">rough the COVID-19 pandemic, continues to result in strong performance compared against industry benchmarks and we are actively engaged in continuous improvement exercises as we pursue our goal of zero incidents. </w:t>
      </w:r>
    </w:p>
    <w:p w:rsidR="00000000" w:rsidRDefault="001F1FC8">
      <w:pPr>
        <w:divId w:val="922758279"/>
        <w:rPr>
          <w:rFonts w:eastAsia="Times New Roman"/>
        </w:rPr>
      </w:pPr>
    </w:p>
    <w:p w:rsidR="00000000" w:rsidRDefault="001F1FC8">
      <w:pPr>
        <w:divId w:val="1322467316"/>
        <w:rPr>
          <w:rFonts w:eastAsia="Times New Roman"/>
        </w:rPr>
      </w:pPr>
      <w:r>
        <w:rPr>
          <w:rFonts w:ascii="Arial" w:eastAsia="Times New Roman" w:hAnsi="Arial" w:cs="Arial"/>
          <w:b/>
          <w:bCs/>
          <w:color w:val="000000"/>
          <w:sz w:val="20"/>
          <w:szCs w:val="20"/>
        </w:rPr>
        <w:t>DIVERSITY AND INCLUSION</w:t>
      </w:r>
    </w:p>
    <w:p w:rsidR="00000000" w:rsidRDefault="001F1FC8">
      <w:pPr>
        <w:divId w:val="310910044"/>
        <w:rPr>
          <w:rFonts w:eastAsia="Times New Roman"/>
        </w:rPr>
      </w:pPr>
      <w:r>
        <w:rPr>
          <w:rFonts w:ascii="Arial" w:eastAsia="Times New Roman" w:hAnsi="Arial" w:cs="Arial"/>
          <w:color w:val="000000"/>
          <w:sz w:val="20"/>
          <w:szCs w:val="20"/>
        </w:rPr>
        <w:t>To ensure our workforce is reflective of the communities where we operate, we have pursued efforts to increase the representation of women, underrepresented ethnic and racial groups, people with disabilities and veterans. In 2021 we set diversity represent</w:t>
      </w:r>
      <w:r>
        <w:rPr>
          <w:rFonts w:ascii="Arial" w:eastAsia="Times New Roman" w:hAnsi="Arial" w:cs="Arial"/>
          <w:color w:val="000000"/>
          <w:sz w:val="20"/>
          <w:szCs w:val="20"/>
        </w:rPr>
        <w:t xml:space="preserve">ation goals and shared these goals with employees and external stakeholders. Consistent with our culture, we remain committed to open, two-way dialogue related to our goals, enhancing transparency and accountability for all stakeholders. </w:t>
      </w:r>
    </w:p>
    <w:p w:rsidR="00000000" w:rsidRDefault="001F1FC8">
      <w:pPr>
        <w:divId w:val="98766727"/>
        <w:rPr>
          <w:rFonts w:eastAsia="Times New Roman"/>
        </w:rPr>
      </w:pPr>
    </w:p>
    <w:p w:rsidR="00000000" w:rsidRDefault="001F1FC8">
      <w:pPr>
        <w:divId w:val="688945440"/>
        <w:rPr>
          <w:rFonts w:eastAsia="Times New Roman"/>
        </w:rPr>
      </w:pPr>
      <w:r>
        <w:rPr>
          <w:rFonts w:eastAsia="Times New Roman"/>
          <w:noProof/>
        </w:rPr>
        <w:drawing>
          <wp:inline distT="0" distB="0" distL="0" distR="0">
            <wp:extent cx="304800" cy="304800"/>
            <wp:effectExtent l="0" t="0" r="0"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000000" w:rsidRDefault="001F1FC8">
      <w:pPr>
        <w:divId w:val="1639606973"/>
        <w:rPr>
          <w:rFonts w:eastAsia="Times New Roman"/>
        </w:rPr>
      </w:pPr>
    </w:p>
    <w:p w:rsidR="00000000" w:rsidRDefault="001F1FC8">
      <w:pPr>
        <w:divId w:val="207183522"/>
        <w:rPr>
          <w:rFonts w:eastAsia="Times New Roman"/>
        </w:rPr>
      </w:pPr>
      <w:r>
        <w:rPr>
          <w:rFonts w:ascii="Arial" w:eastAsia="Times New Roman" w:hAnsi="Arial" w:cs="Arial"/>
          <w:color w:val="000000"/>
          <w:sz w:val="20"/>
          <w:szCs w:val="20"/>
        </w:rPr>
        <w:t>In 2021, we added Inclusion to our core va</w:t>
      </w:r>
      <w:r>
        <w:rPr>
          <w:rFonts w:ascii="Arial" w:eastAsia="Times New Roman" w:hAnsi="Arial" w:cs="Arial"/>
          <w:color w:val="000000"/>
          <w:sz w:val="20"/>
          <w:szCs w:val="20"/>
        </w:rPr>
        <w:t xml:space="preserve">lues of Safety, Integrity and Respect to demonstrate this commitment. We are building an organization where people feel safe and welcome and have the opportunity to thrive and grow based on merit. As part of our evolving ESG strategy, we created a tighter </w:t>
      </w:r>
      <w:r>
        <w:rPr>
          <w:rFonts w:ascii="Arial" w:eastAsia="Times New Roman" w:hAnsi="Arial" w:cs="Arial"/>
          <w:color w:val="000000"/>
          <w:sz w:val="20"/>
          <w:szCs w:val="20"/>
        </w:rPr>
        <w:t>link between our success and the workforce related ESG measures – including safety, emissions reduction efforts and diversity &amp; inclusion – that enable it. As a result, beginning in 2021, key metrics in these areas are embedded in our scorecards and direct</w:t>
      </w:r>
      <w:r>
        <w:rPr>
          <w:rFonts w:ascii="Arial" w:eastAsia="Times New Roman" w:hAnsi="Arial" w:cs="Arial"/>
          <w:color w:val="000000"/>
          <w:sz w:val="20"/>
          <w:szCs w:val="20"/>
        </w:rPr>
        <w:t>ly impact compensation.</w:t>
      </w:r>
    </w:p>
    <w:p w:rsidR="00000000" w:rsidRDefault="001F1FC8">
      <w:pPr>
        <w:divId w:val="576670597"/>
        <w:rPr>
          <w:rFonts w:eastAsia="Times New Roman"/>
        </w:rPr>
      </w:pPr>
    </w:p>
    <w:p w:rsidR="00000000" w:rsidRDefault="001F1FC8">
      <w:pPr>
        <w:jc w:val="center"/>
        <w:divId w:val="1198472880"/>
        <w:rPr>
          <w:rFonts w:eastAsia="Times New Roman"/>
        </w:rPr>
      </w:pPr>
      <w:r>
        <w:rPr>
          <w:rFonts w:ascii="Arial" w:eastAsia="Times New Roman" w:hAnsi="Arial" w:cs="Arial"/>
          <w:color w:val="000000"/>
          <w:sz w:val="20"/>
          <w:szCs w:val="20"/>
        </w:rPr>
        <w:t>38</w:t>
      </w:r>
    </w:p>
    <w:p w:rsidR="00000000" w:rsidRDefault="001F1FC8">
      <w:pPr>
        <w:rPr>
          <w:rFonts w:eastAsia="Times New Roman"/>
        </w:rPr>
      </w:pPr>
      <w:r>
        <w:rPr>
          <w:rFonts w:eastAsia="Times New Roman"/>
        </w:rPr>
        <w:pict>
          <v:rect id="_x0000_i1067" style="width:0;height:1.5pt" o:hralign="center" o:hrstd="t" o:hr="t" fillcolor="#a0a0a0" stroked="f"/>
        </w:pict>
      </w:r>
    </w:p>
    <w:p w:rsidR="00000000" w:rsidRDefault="001F1FC8">
      <w:pPr>
        <w:jc w:val="center"/>
        <w:divId w:val="1492334157"/>
        <w:rPr>
          <w:rFonts w:eastAsia="Times New Roman"/>
        </w:rPr>
      </w:pPr>
    </w:p>
    <w:p w:rsidR="00000000" w:rsidRDefault="001F1FC8">
      <w:pPr>
        <w:divId w:val="1283533413"/>
        <w:rPr>
          <w:rFonts w:eastAsia="Times New Roman"/>
        </w:rPr>
      </w:pPr>
      <w:r>
        <w:rPr>
          <w:rFonts w:ascii="Arial" w:eastAsia="Times New Roman" w:hAnsi="Arial" w:cs="Arial"/>
          <w:b/>
          <w:bCs/>
          <w:color w:val="000000"/>
          <w:sz w:val="20"/>
          <w:szCs w:val="20"/>
        </w:rPr>
        <w:t>PRODUCTIVITY AND DEVELOPMENT</w:t>
      </w:r>
    </w:p>
    <w:p w:rsidR="00000000" w:rsidRDefault="001F1FC8">
      <w:pPr>
        <w:divId w:val="76677508"/>
        <w:rPr>
          <w:rFonts w:eastAsia="Times New Roman"/>
        </w:rPr>
      </w:pPr>
      <w:r>
        <w:rPr>
          <w:rFonts w:ascii="Arial" w:eastAsia="Times New Roman" w:hAnsi="Arial" w:cs="Arial"/>
          <w:color w:val="000000"/>
          <w:sz w:val="20"/>
          <w:szCs w:val="20"/>
        </w:rPr>
        <w:t>We continually invest in our people’s personal and professional development because we recognize their success is our success. Every year, employees are provid</w:t>
      </w:r>
      <w:r>
        <w:rPr>
          <w:rFonts w:ascii="Arial" w:eastAsia="Times New Roman" w:hAnsi="Arial" w:cs="Arial"/>
          <w:color w:val="000000"/>
          <w:sz w:val="20"/>
          <w:szCs w:val="20"/>
        </w:rPr>
        <w:t>ed access to a range of development and re-skilling opportunities through a variety of channels, including: extensive catalog of self-directed learning (10,000+ external courses plus proprietary Enbridge University courses); on-the-job learning opportuniti</w:t>
      </w:r>
      <w:r>
        <w:rPr>
          <w:rFonts w:ascii="Arial" w:eastAsia="Times New Roman" w:hAnsi="Arial" w:cs="Arial"/>
          <w:color w:val="000000"/>
          <w:sz w:val="20"/>
          <w:szCs w:val="20"/>
        </w:rPr>
        <w:t>es and rotational assignments; curated leadership development programs; educational reimbursement; and developmental relationships with mentors through our formal mentor-protégé matching program.</w:t>
      </w:r>
    </w:p>
    <w:p w:rsidR="00000000" w:rsidRDefault="001F1FC8">
      <w:pPr>
        <w:divId w:val="509805936"/>
        <w:rPr>
          <w:rFonts w:eastAsia="Times New Roman"/>
        </w:rPr>
      </w:pPr>
    </w:p>
    <w:p w:rsidR="00000000" w:rsidRDefault="001F1FC8">
      <w:pPr>
        <w:divId w:val="765731930"/>
        <w:rPr>
          <w:rFonts w:eastAsia="Times New Roman"/>
        </w:rPr>
      </w:pPr>
      <w:r>
        <w:rPr>
          <w:rFonts w:ascii="Arial" w:eastAsia="Times New Roman" w:hAnsi="Arial" w:cs="Arial"/>
          <w:b/>
          <w:bCs/>
          <w:color w:val="000000"/>
          <w:sz w:val="28"/>
          <w:szCs w:val="28"/>
        </w:rPr>
        <w:t>EXECUTIVE OFFICERS</w:t>
      </w:r>
    </w:p>
    <w:p w:rsidR="00000000" w:rsidRDefault="001F1FC8">
      <w:pPr>
        <w:divId w:val="664166880"/>
        <w:rPr>
          <w:rFonts w:eastAsia="Times New Roman"/>
        </w:rPr>
      </w:pPr>
    </w:p>
    <w:p w:rsidR="00000000" w:rsidRDefault="001F1FC8">
      <w:pPr>
        <w:divId w:val="1759520155"/>
        <w:rPr>
          <w:rFonts w:eastAsia="Times New Roman"/>
        </w:rPr>
      </w:pPr>
      <w:r>
        <w:rPr>
          <w:rFonts w:ascii="Arial" w:eastAsia="Times New Roman" w:hAnsi="Arial" w:cs="Arial"/>
          <w:color w:val="000000"/>
          <w:sz w:val="20"/>
          <w:szCs w:val="20"/>
        </w:rPr>
        <w:t>The following table sets forth inform</w:t>
      </w:r>
      <w:r>
        <w:rPr>
          <w:rFonts w:ascii="Arial" w:eastAsia="Times New Roman" w:hAnsi="Arial" w:cs="Arial"/>
          <w:color w:val="000000"/>
          <w:sz w:val="20"/>
          <w:szCs w:val="20"/>
        </w:rPr>
        <w:t>ation regarding our executive officers as at February 11, 2022:</w:t>
      </w:r>
    </w:p>
    <w:tbl>
      <w:tblPr>
        <w:tblW w:w="4967" w:type="pct"/>
        <w:tblCellMar>
          <w:top w:w="15" w:type="dxa"/>
          <w:left w:w="15" w:type="dxa"/>
          <w:bottom w:w="15" w:type="dxa"/>
          <w:right w:w="15" w:type="dxa"/>
        </w:tblCellMar>
        <w:tblLook w:val="04A0" w:firstRow="1" w:lastRow="0" w:firstColumn="1" w:lastColumn="0" w:noHBand="0" w:noVBand="1"/>
      </w:tblPr>
      <w:tblGrid>
        <w:gridCol w:w="68"/>
        <w:gridCol w:w="1663"/>
        <w:gridCol w:w="37"/>
        <w:gridCol w:w="68"/>
        <w:gridCol w:w="520"/>
        <w:gridCol w:w="36"/>
        <w:gridCol w:w="69"/>
        <w:gridCol w:w="5752"/>
        <w:gridCol w:w="38"/>
      </w:tblGrid>
      <w:tr w:rsidR="00000000">
        <w:trPr>
          <w:divId w:val="1820808829"/>
        </w:trPr>
        <w:tc>
          <w:tcPr>
            <w:tcW w:w="50" w:type="pct"/>
            <w:vAlign w:val="center"/>
            <w:hideMark/>
          </w:tcPr>
          <w:p w:rsidR="00000000" w:rsidRDefault="001F1FC8">
            <w:pPr>
              <w:rPr>
                <w:rFonts w:eastAsia="Times New Roman"/>
              </w:rPr>
            </w:pPr>
          </w:p>
        </w:tc>
        <w:tc>
          <w:tcPr>
            <w:tcW w:w="1017"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c>
          <w:tcPr>
            <w:tcW w:w="50" w:type="pct"/>
            <w:vAlign w:val="center"/>
            <w:hideMark/>
          </w:tcPr>
          <w:p w:rsidR="00000000" w:rsidRDefault="001F1FC8">
            <w:pPr>
              <w:rPr>
                <w:rFonts w:eastAsia="Times New Roman"/>
                <w:sz w:val="20"/>
                <w:szCs w:val="20"/>
              </w:rPr>
            </w:pPr>
          </w:p>
        </w:tc>
        <w:tc>
          <w:tcPr>
            <w:tcW w:w="324"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c>
          <w:tcPr>
            <w:tcW w:w="50" w:type="pct"/>
            <w:vAlign w:val="center"/>
            <w:hideMark/>
          </w:tcPr>
          <w:p w:rsidR="00000000" w:rsidRDefault="001F1FC8">
            <w:pPr>
              <w:rPr>
                <w:rFonts w:eastAsia="Times New Roman"/>
                <w:sz w:val="20"/>
                <w:szCs w:val="20"/>
              </w:rPr>
            </w:pPr>
          </w:p>
        </w:tc>
        <w:tc>
          <w:tcPr>
            <w:tcW w:w="3493"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r>
      <w:tr w:rsidR="00000000">
        <w:trPr>
          <w:divId w:val="1820808829"/>
        </w:trPr>
        <w:tc>
          <w:tcPr>
            <w:tcW w:w="0" w:type="auto"/>
            <w:gridSpan w:val="3"/>
            <w:tcMar>
              <w:top w:w="30" w:type="dxa"/>
              <w:left w:w="20" w:type="dxa"/>
              <w:bottom w:w="30" w:type="dxa"/>
              <w:right w:w="20" w:type="dxa"/>
            </w:tcMar>
            <w:vAlign w:val="bottom"/>
            <w:hideMark/>
          </w:tcPr>
          <w:p w:rsidR="00000000" w:rsidRDefault="001F1FC8">
            <w:pPr>
              <w:rPr>
                <w:rFonts w:eastAsia="Times New Roman"/>
              </w:rPr>
            </w:pPr>
            <w:r>
              <w:rPr>
                <w:rFonts w:ascii="Arial" w:eastAsia="Times New Roman" w:hAnsi="Arial" w:cs="Arial"/>
                <w:b/>
                <w:bCs/>
                <w:color w:val="000000"/>
                <w:sz w:val="20"/>
                <w:szCs w:val="20"/>
                <w:u w:val="single"/>
              </w:rPr>
              <w:t>Name</w:t>
            </w:r>
          </w:p>
        </w:tc>
        <w:tc>
          <w:tcPr>
            <w:tcW w:w="0" w:type="auto"/>
            <w:gridSpan w:val="3"/>
            <w:tcMar>
              <w:top w:w="30" w:type="dxa"/>
              <w:left w:w="20" w:type="dxa"/>
              <w:bottom w:w="30" w:type="dxa"/>
              <w:right w:w="20" w:type="dxa"/>
            </w:tcMar>
            <w:vAlign w:val="bottom"/>
            <w:hideMark/>
          </w:tcPr>
          <w:p w:rsidR="00000000" w:rsidRDefault="001F1FC8">
            <w:pPr>
              <w:rPr>
                <w:rFonts w:eastAsia="Times New Roman"/>
              </w:rPr>
            </w:pPr>
            <w:r>
              <w:rPr>
                <w:rFonts w:ascii="Arial" w:eastAsia="Times New Roman" w:hAnsi="Arial" w:cs="Arial"/>
                <w:b/>
                <w:bCs/>
                <w:color w:val="000000"/>
                <w:sz w:val="20"/>
                <w:szCs w:val="20"/>
                <w:u w:val="single"/>
              </w:rPr>
              <w:t>Age</w:t>
            </w:r>
          </w:p>
        </w:tc>
        <w:tc>
          <w:tcPr>
            <w:tcW w:w="0" w:type="auto"/>
            <w:gridSpan w:val="3"/>
            <w:tcMar>
              <w:top w:w="30" w:type="dxa"/>
              <w:left w:w="20" w:type="dxa"/>
              <w:bottom w:w="30" w:type="dxa"/>
              <w:right w:w="20" w:type="dxa"/>
            </w:tcMar>
            <w:vAlign w:val="bottom"/>
            <w:hideMark/>
          </w:tcPr>
          <w:p w:rsidR="00000000" w:rsidRDefault="001F1FC8">
            <w:pPr>
              <w:rPr>
                <w:rFonts w:eastAsia="Times New Roman"/>
              </w:rPr>
            </w:pPr>
            <w:r>
              <w:rPr>
                <w:rFonts w:ascii="Arial" w:eastAsia="Times New Roman" w:hAnsi="Arial" w:cs="Arial"/>
                <w:b/>
                <w:bCs/>
                <w:color w:val="000000"/>
                <w:sz w:val="20"/>
                <w:szCs w:val="20"/>
                <w:u w:val="single"/>
              </w:rPr>
              <w:t>Position</w:t>
            </w:r>
          </w:p>
        </w:tc>
      </w:tr>
      <w:tr w:rsidR="00000000">
        <w:trPr>
          <w:divId w:val="1820808829"/>
        </w:trPr>
        <w:tc>
          <w:tcPr>
            <w:tcW w:w="0" w:type="auto"/>
            <w:gridSpan w:val="3"/>
            <w:tcMar>
              <w:top w:w="30" w:type="dxa"/>
              <w:left w:w="20" w:type="dxa"/>
              <w:bottom w:w="30" w:type="dxa"/>
              <w:right w:w="20" w:type="dxa"/>
            </w:tcMar>
            <w:vAlign w:val="bottom"/>
            <w:hideMark/>
          </w:tcPr>
          <w:p w:rsidR="00000000" w:rsidRDefault="001F1FC8">
            <w:pPr>
              <w:rPr>
                <w:rFonts w:eastAsia="Times New Roman"/>
              </w:rPr>
            </w:pPr>
            <w:r>
              <w:rPr>
                <w:rFonts w:ascii="Arial" w:eastAsia="Times New Roman" w:hAnsi="Arial" w:cs="Arial"/>
                <w:color w:val="000000"/>
                <w:sz w:val="20"/>
                <w:szCs w:val="20"/>
              </w:rPr>
              <w:t>Al Monaco</w:t>
            </w:r>
          </w:p>
        </w:tc>
        <w:tc>
          <w:tcPr>
            <w:tcW w:w="0" w:type="auto"/>
            <w:gridSpan w:val="3"/>
            <w:tcMar>
              <w:top w:w="30" w:type="dxa"/>
              <w:left w:w="20" w:type="dxa"/>
              <w:bottom w:w="30" w:type="dxa"/>
              <w:right w:w="20" w:type="dxa"/>
            </w:tcMar>
            <w:vAlign w:val="bottom"/>
            <w:hideMark/>
          </w:tcPr>
          <w:p w:rsidR="00000000" w:rsidRDefault="001F1FC8">
            <w:pPr>
              <w:rPr>
                <w:rFonts w:eastAsia="Times New Roman"/>
              </w:rPr>
            </w:pPr>
            <w:r>
              <w:rPr>
                <w:rFonts w:ascii="Arial" w:eastAsia="Times New Roman" w:hAnsi="Arial" w:cs="Arial"/>
                <w:color w:val="000000"/>
                <w:sz w:val="20"/>
                <w:szCs w:val="20"/>
              </w:rPr>
              <w:t>62</w:t>
            </w:r>
          </w:p>
        </w:tc>
        <w:tc>
          <w:tcPr>
            <w:tcW w:w="0" w:type="auto"/>
            <w:gridSpan w:val="3"/>
            <w:tcMar>
              <w:top w:w="30" w:type="dxa"/>
              <w:left w:w="20" w:type="dxa"/>
              <w:bottom w:w="30" w:type="dxa"/>
              <w:right w:w="20" w:type="dxa"/>
            </w:tcMar>
            <w:vAlign w:val="bottom"/>
            <w:hideMark/>
          </w:tcPr>
          <w:p w:rsidR="00000000" w:rsidRDefault="001F1FC8">
            <w:pPr>
              <w:rPr>
                <w:rFonts w:eastAsia="Times New Roman"/>
              </w:rPr>
            </w:pPr>
            <w:r>
              <w:rPr>
                <w:rFonts w:ascii="Arial" w:eastAsia="Times New Roman" w:hAnsi="Arial" w:cs="Arial"/>
                <w:color w:val="000000"/>
                <w:sz w:val="20"/>
                <w:szCs w:val="20"/>
              </w:rPr>
              <w:t>President &amp; Chief Executive Officer</w:t>
            </w:r>
          </w:p>
        </w:tc>
      </w:tr>
      <w:tr w:rsidR="00000000">
        <w:trPr>
          <w:divId w:val="1820808829"/>
        </w:trPr>
        <w:tc>
          <w:tcPr>
            <w:tcW w:w="0" w:type="auto"/>
            <w:gridSpan w:val="3"/>
            <w:tcMar>
              <w:top w:w="30" w:type="dxa"/>
              <w:left w:w="20" w:type="dxa"/>
              <w:bottom w:w="30" w:type="dxa"/>
              <w:right w:w="20" w:type="dxa"/>
            </w:tcMar>
            <w:vAlign w:val="bottom"/>
            <w:hideMark/>
          </w:tcPr>
          <w:p w:rsidR="00000000" w:rsidRDefault="001F1FC8">
            <w:pPr>
              <w:rPr>
                <w:rFonts w:eastAsia="Times New Roman"/>
              </w:rPr>
            </w:pPr>
            <w:r>
              <w:rPr>
                <w:rFonts w:ascii="Arial" w:eastAsia="Times New Roman" w:hAnsi="Arial" w:cs="Arial"/>
                <w:color w:val="000000"/>
                <w:sz w:val="20"/>
                <w:szCs w:val="20"/>
              </w:rPr>
              <w:t>Vern D. Yu</w:t>
            </w:r>
          </w:p>
        </w:tc>
        <w:tc>
          <w:tcPr>
            <w:tcW w:w="0" w:type="auto"/>
            <w:gridSpan w:val="3"/>
            <w:tcMar>
              <w:top w:w="30" w:type="dxa"/>
              <w:left w:w="20" w:type="dxa"/>
              <w:bottom w:w="30" w:type="dxa"/>
              <w:right w:w="20" w:type="dxa"/>
            </w:tcMar>
            <w:vAlign w:val="bottom"/>
            <w:hideMark/>
          </w:tcPr>
          <w:p w:rsidR="00000000" w:rsidRDefault="001F1FC8">
            <w:pPr>
              <w:rPr>
                <w:rFonts w:eastAsia="Times New Roman"/>
              </w:rPr>
            </w:pPr>
            <w:r>
              <w:rPr>
                <w:rFonts w:ascii="Arial" w:eastAsia="Times New Roman" w:hAnsi="Arial" w:cs="Arial"/>
                <w:color w:val="000000"/>
                <w:sz w:val="20"/>
                <w:szCs w:val="20"/>
              </w:rPr>
              <w:t>55</w:t>
            </w:r>
          </w:p>
        </w:tc>
        <w:tc>
          <w:tcPr>
            <w:tcW w:w="0" w:type="auto"/>
            <w:gridSpan w:val="3"/>
            <w:tcMar>
              <w:top w:w="30" w:type="dxa"/>
              <w:left w:w="20" w:type="dxa"/>
              <w:bottom w:w="30" w:type="dxa"/>
              <w:right w:w="20" w:type="dxa"/>
            </w:tcMar>
            <w:vAlign w:val="bottom"/>
            <w:hideMark/>
          </w:tcPr>
          <w:p w:rsidR="00000000" w:rsidRDefault="001F1FC8">
            <w:pPr>
              <w:rPr>
                <w:rFonts w:eastAsia="Times New Roman"/>
              </w:rPr>
            </w:pPr>
            <w:r>
              <w:rPr>
                <w:rFonts w:ascii="Arial" w:eastAsia="Times New Roman" w:hAnsi="Arial" w:cs="Arial"/>
                <w:color w:val="000000"/>
                <w:sz w:val="20"/>
                <w:szCs w:val="20"/>
              </w:rPr>
              <w:t>Executive Vice President &amp; Chief Financial Officer</w:t>
            </w:r>
          </w:p>
        </w:tc>
      </w:tr>
      <w:tr w:rsidR="00000000">
        <w:trPr>
          <w:divId w:val="1820808829"/>
        </w:trPr>
        <w:tc>
          <w:tcPr>
            <w:tcW w:w="0" w:type="auto"/>
            <w:gridSpan w:val="3"/>
            <w:tcMar>
              <w:top w:w="30" w:type="dxa"/>
              <w:left w:w="20" w:type="dxa"/>
              <w:bottom w:w="30" w:type="dxa"/>
              <w:right w:w="20" w:type="dxa"/>
            </w:tcMar>
            <w:vAlign w:val="bottom"/>
            <w:hideMark/>
          </w:tcPr>
          <w:p w:rsidR="00000000" w:rsidRDefault="001F1FC8">
            <w:pPr>
              <w:rPr>
                <w:rFonts w:eastAsia="Times New Roman"/>
              </w:rPr>
            </w:pPr>
            <w:r>
              <w:rPr>
                <w:rFonts w:ascii="Arial" w:eastAsia="Times New Roman" w:hAnsi="Arial" w:cs="Arial"/>
                <w:color w:val="000000"/>
                <w:sz w:val="20"/>
                <w:szCs w:val="20"/>
              </w:rPr>
              <w:t>Colin K. Gruending</w:t>
            </w:r>
          </w:p>
        </w:tc>
        <w:tc>
          <w:tcPr>
            <w:tcW w:w="0" w:type="auto"/>
            <w:gridSpan w:val="3"/>
            <w:tcMar>
              <w:top w:w="30" w:type="dxa"/>
              <w:left w:w="20" w:type="dxa"/>
              <w:bottom w:w="30" w:type="dxa"/>
              <w:right w:w="20" w:type="dxa"/>
            </w:tcMar>
            <w:vAlign w:val="bottom"/>
            <w:hideMark/>
          </w:tcPr>
          <w:p w:rsidR="00000000" w:rsidRDefault="001F1FC8">
            <w:pPr>
              <w:rPr>
                <w:rFonts w:eastAsia="Times New Roman"/>
              </w:rPr>
            </w:pPr>
            <w:r>
              <w:rPr>
                <w:rFonts w:ascii="Arial" w:eastAsia="Times New Roman" w:hAnsi="Arial" w:cs="Arial"/>
                <w:color w:val="000000"/>
                <w:sz w:val="20"/>
                <w:szCs w:val="20"/>
              </w:rPr>
              <w:t>52</w:t>
            </w:r>
          </w:p>
        </w:tc>
        <w:tc>
          <w:tcPr>
            <w:tcW w:w="0" w:type="auto"/>
            <w:gridSpan w:val="3"/>
            <w:tcMar>
              <w:top w:w="30" w:type="dxa"/>
              <w:left w:w="20" w:type="dxa"/>
              <w:bottom w:w="30" w:type="dxa"/>
              <w:right w:w="20" w:type="dxa"/>
            </w:tcMar>
            <w:vAlign w:val="bottom"/>
            <w:hideMark/>
          </w:tcPr>
          <w:p w:rsidR="00000000" w:rsidRDefault="001F1FC8">
            <w:pPr>
              <w:rPr>
                <w:rFonts w:eastAsia="Times New Roman"/>
              </w:rPr>
            </w:pPr>
            <w:r>
              <w:rPr>
                <w:rFonts w:ascii="Arial" w:eastAsia="Times New Roman" w:hAnsi="Arial" w:cs="Arial"/>
                <w:color w:val="000000"/>
                <w:sz w:val="20"/>
                <w:szCs w:val="20"/>
              </w:rPr>
              <w:t>Executive Vice President &amp; President, Liquids Pipelines</w:t>
            </w:r>
          </w:p>
        </w:tc>
      </w:tr>
      <w:tr w:rsidR="00000000">
        <w:trPr>
          <w:divId w:val="1820808829"/>
        </w:trPr>
        <w:tc>
          <w:tcPr>
            <w:tcW w:w="0" w:type="auto"/>
            <w:gridSpan w:val="3"/>
            <w:tcMar>
              <w:top w:w="30" w:type="dxa"/>
              <w:left w:w="20" w:type="dxa"/>
              <w:bottom w:w="30" w:type="dxa"/>
              <w:right w:w="20" w:type="dxa"/>
            </w:tcMar>
            <w:vAlign w:val="bottom"/>
            <w:hideMark/>
          </w:tcPr>
          <w:p w:rsidR="00000000" w:rsidRDefault="001F1FC8">
            <w:pPr>
              <w:rPr>
                <w:rFonts w:eastAsia="Times New Roman"/>
              </w:rPr>
            </w:pPr>
            <w:r>
              <w:rPr>
                <w:rFonts w:ascii="Arial" w:eastAsia="Times New Roman" w:hAnsi="Arial" w:cs="Arial"/>
                <w:color w:val="000000"/>
                <w:sz w:val="20"/>
                <w:szCs w:val="20"/>
              </w:rPr>
              <w:t>Cynthia L. Hansen</w:t>
            </w:r>
          </w:p>
        </w:tc>
        <w:tc>
          <w:tcPr>
            <w:tcW w:w="0" w:type="auto"/>
            <w:gridSpan w:val="3"/>
            <w:tcMar>
              <w:top w:w="30" w:type="dxa"/>
              <w:left w:w="20" w:type="dxa"/>
              <w:bottom w:w="30" w:type="dxa"/>
              <w:right w:w="20" w:type="dxa"/>
            </w:tcMar>
            <w:vAlign w:val="bottom"/>
            <w:hideMark/>
          </w:tcPr>
          <w:p w:rsidR="00000000" w:rsidRDefault="001F1FC8">
            <w:pPr>
              <w:rPr>
                <w:rFonts w:eastAsia="Times New Roman"/>
              </w:rPr>
            </w:pPr>
            <w:r>
              <w:rPr>
                <w:rFonts w:ascii="Arial" w:eastAsia="Times New Roman" w:hAnsi="Arial" w:cs="Arial"/>
                <w:color w:val="000000"/>
                <w:sz w:val="20"/>
                <w:szCs w:val="20"/>
              </w:rPr>
              <w:t>57</w:t>
            </w:r>
          </w:p>
        </w:tc>
        <w:tc>
          <w:tcPr>
            <w:tcW w:w="0" w:type="auto"/>
            <w:gridSpan w:val="3"/>
            <w:tcMar>
              <w:top w:w="30" w:type="dxa"/>
              <w:left w:w="20" w:type="dxa"/>
              <w:bottom w:w="30" w:type="dxa"/>
              <w:right w:w="20" w:type="dxa"/>
            </w:tcMar>
            <w:vAlign w:val="bottom"/>
            <w:hideMark/>
          </w:tcPr>
          <w:p w:rsidR="00000000" w:rsidRDefault="001F1FC8">
            <w:pPr>
              <w:rPr>
                <w:rFonts w:eastAsia="Times New Roman"/>
              </w:rPr>
            </w:pPr>
            <w:r>
              <w:rPr>
                <w:rFonts w:ascii="Arial" w:eastAsia="Times New Roman" w:hAnsi="Arial" w:cs="Arial"/>
                <w:color w:val="000000"/>
                <w:sz w:val="20"/>
                <w:szCs w:val="20"/>
              </w:rPr>
              <w:t>Executive Vice President &amp; President, Gas Distribution and Storage</w:t>
            </w:r>
          </w:p>
        </w:tc>
      </w:tr>
      <w:tr w:rsidR="00000000">
        <w:trPr>
          <w:divId w:val="1820808829"/>
        </w:trPr>
        <w:tc>
          <w:tcPr>
            <w:tcW w:w="0" w:type="auto"/>
            <w:gridSpan w:val="3"/>
            <w:tcMar>
              <w:top w:w="30" w:type="dxa"/>
              <w:left w:w="20" w:type="dxa"/>
              <w:bottom w:w="30" w:type="dxa"/>
              <w:right w:w="20" w:type="dxa"/>
            </w:tcMar>
            <w:vAlign w:val="bottom"/>
            <w:hideMark/>
          </w:tcPr>
          <w:p w:rsidR="00000000" w:rsidRDefault="001F1FC8">
            <w:pPr>
              <w:rPr>
                <w:rFonts w:eastAsia="Times New Roman"/>
              </w:rPr>
            </w:pPr>
            <w:r>
              <w:rPr>
                <w:rFonts w:ascii="Arial" w:eastAsia="Times New Roman" w:hAnsi="Arial" w:cs="Arial"/>
                <w:color w:val="000000"/>
                <w:sz w:val="20"/>
                <w:szCs w:val="20"/>
              </w:rPr>
              <w:t>Byron C. Neiles</w:t>
            </w:r>
          </w:p>
        </w:tc>
        <w:tc>
          <w:tcPr>
            <w:tcW w:w="0" w:type="auto"/>
            <w:gridSpan w:val="3"/>
            <w:tcMar>
              <w:top w:w="30" w:type="dxa"/>
              <w:left w:w="20" w:type="dxa"/>
              <w:bottom w:w="30" w:type="dxa"/>
              <w:right w:w="20" w:type="dxa"/>
            </w:tcMar>
            <w:vAlign w:val="bottom"/>
            <w:hideMark/>
          </w:tcPr>
          <w:p w:rsidR="00000000" w:rsidRDefault="001F1FC8">
            <w:pPr>
              <w:rPr>
                <w:rFonts w:eastAsia="Times New Roman"/>
              </w:rPr>
            </w:pPr>
            <w:r>
              <w:rPr>
                <w:rFonts w:ascii="Arial" w:eastAsia="Times New Roman" w:hAnsi="Arial" w:cs="Arial"/>
                <w:color w:val="000000"/>
                <w:sz w:val="20"/>
                <w:szCs w:val="20"/>
              </w:rPr>
              <w:t>56</w:t>
            </w:r>
          </w:p>
        </w:tc>
        <w:tc>
          <w:tcPr>
            <w:tcW w:w="0" w:type="auto"/>
            <w:gridSpan w:val="3"/>
            <w:tcMar>
              <w:top w:w="30" w:type="dxa"/>
              <w:left w:w="20" w:type="dxa"/>
              <w:bottom w:w="30" w:type="dxa"/>
              <w:right w:w="20" w:type="dxa"/>
            </w:tcMar>
            <w:vAlign w:val="bottom"/>
            <w:hideMark/>
          </w:tcPr>
          <w:p w:rsidR="00000000" w:rsidRDefault="001F1FC8">
            <w:pPr>
              <w:rPr>
                <w:rFonts w:eastAsia="Times New Roman"/>
              </w:rPr>
            </w:pPr>
            <w:r>
              <w:rPr>
                <w:rFonts w:ascii="Arial" w:eastAsia="Times New Roman" w:hAnsi="Arial" w:cs="Arial"/>
                <w:color w:val="000000"/>
                <w:sz w:val="20"/>
                <w:szCs w:val="20"/>
              </w:rPr>
              <w:t>Executive Vice President, Corporate Services</w:t>
            </w:r>
          </w:p>
        </w:tc>
      </w:tr>
      <w:tr w:rsidR="00000000">
        <w:trPr>
          <w:divId w:val="1820808829"/>
        </w:trPr>
        <w:tc>
          <w:tcPr>
            <w:tcW w:w="0" w:type="auto"/>
            <w:gridSpan w:val="3"/>
            <w:tcMar>
              <w:top w:w="30" w:type="dxa"/>
              <w:left w:w="20" w:type="dxa"/>
              <w:bottom w:w="30" w:type="dxa"/>
              <w:right w:w="20" w:type="dxa"/>
            </w:tcMar>
            <w:vAlign w:val="bottom"/>
            <w:hideMark/>
          </w:tcPr>
          <w:p w:rsidR="00000000" w:rsidRDefault="001F1FC8">
            <w:pPr>
              <w:rPr>
                <w:rFonts w:eastAsia="Times New Roman"/>
              </w:rPr>
            </w:pPr>
            <w:r>
              <w:rPr>
                <w:rFonts w:ascii="Arial" w:eastAsia="Times New Roman" w:hAnsi="Arial" w:cs="Arial"/>
                <w:color w:val="000000"/>
                <w:sz w:val="20"/>
                <w:szCs w:val="20"/>
              </w:rPr>
              <w:t>Robert R. Rooney</w:t>
            </w:r>
          </w:p>
        </w:tc>
        <w:tc>
          <w:tcPr>
            <w:tcW w:w="0" w:type="auto"/>
            <w:gridSpan w:val="3"/>
            <w:tcMar>
              <w:top w:w="30" w:type="dxa"/>
              <w:left w:w="20" w:type="dxa"/>
              <w:bottom w:w="30" w:type="dxa"/>
              <w:right w:w="20" w:type="dxa"/>
            </w:tcMar>
            <w:vAlign w:val="bottom"/>
            <w:hideMark/>
          </w:tcPr>
          <w:p w:rsidR="00000000" w:rsidRDefault="001F1FC8">
            <w:pPr>
              <w:rPr>
                <w:rFonts w:eastAsia="Times New Roman"/>
              </w:rPr>
            </w:pPr>
            <w:r>
              <w:rPr>
                <w:rFonts w:ascii="Arial" w:eastAsia="Times New Roman" w:hAnsi="Arial" w:cs="Arial"/>
                <w:color w:val="000000"/>
                <w:sz w:val="20"/>
                <w:szCs w:val="20"/>
              </w:rPr>
              <w:t>65</w:t>
            </w:r>
          </w:p>
        </w:tc>
        <w:tc>
          <w:tcPr>
            <w:tcW w:w="0" w:type="auto"/>
            <w:gridSpan w:val="3"/>
            <w:tcMar>
              <w:top w:w="30" w:type="dxa"/>
              <w:left w:w="20" w:type="dxa"/>
              <w:bottom w:w="30" w:type="dxa"/>
              <w:right w:w="20" w:type="dxa"/>
            </w:tcMar>
            <w:vAlign w:val="bottom"/>
            <w:hideMark/>
          </w:tcPr>
          <w:p w:rsidR="00000000" w:rsidRDefault="001F1FC8">
            <w:pPr>
              <w:rPr>
                <w:rFonts w:eastAsia="Times New Roman"/>
              </w:rPr>
            </w:pPr>
            <w:r>
              <w:rPr>
                <w:rFonts w:ascii="Arial" w:eastAsia="Times New Roman" w:hAnsi="Arial" w:cs="Arial"/>
                <w:color w:val="000000"/>
                <w:sz w:val="20"/>
                <w:szCs w:val="20"/>
              </w:rPr>
              <w:t>Executive Vice President &amp; Chief Legal Officer</w:t>
            </w:r>
          </w:p>
        </w:tc>
      </w:tr>
      <w:tr w:rsidR="00000000">
        <w:trPr>
          <w:divId w:val="1820808829"/>
        </w:trPr>
        <w:tc>
          <w:tcPr>
            <w:tcW w:w="0" w:type="auto"/>
            <w:gridSpan w:val="3"/>
            <w:tcMar>
              <w:top w:w="30" w:type="dxa"/>
              <w:left w:w="20" w:type="dxa"/>
              <w:bottom w:w="30" w:type="dxa"/>
              <w:right w:w="20" w:type="dxa"/>
            </w:tcMar>
            <w:hideMark/>
          </w:tcPr>
          <w:p w:rsidR="00000000" w:rsidRDefault="001F1FC8">
            <w:pPr>
              <w:rPr>
                <w:rFonts w:eastAsia="Times New Roman"/>
              </w:rPr>
            </w:pPr>
            <w:r>
              <w:rPr>
                <w:rFonts w:ascii="Arial" w:eastAsia="Times New Roman" w:hAnsi="Arial" w:cs="Arial"/>
                <w:color w:val="000000"/>
                <w:sz w:val="20"/>
                <w:szCs w:val="20"/>
              </w:rPr>
              <w:t>William T. Yardley</w:t>
            </w:r>
          </w:p>
        </w:tc>
        <w:tc>
          <w:tcPr>
            <w:tcW w:w="0" w:type="auto"/>
            <w:gridSpan w:val="3"/>
            <w:tcMar>
              <w:top w:w="30" w:type="dxa"/>
              <w:left w:w="20" w:type="dxa"/>
              <w:bottom w:w="30" w:type="dxa"/>
              <w:right w:w="20" w:type="dxa"/>
            </w:tcMar>
            <w:hideMark/>
          </w:tcPr>
          <w:p w:rsidR="00000000" w:rsidRDefault="001F1FC8">
            <w:pPr>
              <w:rPr>
                <w:rFonts w:eastAsia="Times New Roman"/>
              </w:rPr>
            </w:pPr>
            <w:r>
              <w:rPr>
                <w:rFonts w:ascii="Arial" w:eastAsia="Times New Roman" w:hAnsi="Arial" w:cs="Arial"/>
                <w:color w:val="000000"/>
                <w:sz w:val="20"/>
                <w:szCs w:val="20"/>
              </w:rPr>
              <w:t>57</w:t>
            </w:r>
          </w:p>
        </w:tc>
        <w:tc>
          <w:tcPr>
            <w:tcW w:w="0" w:type="auto"/>
            <w:gridSpan w:val="3"/>
            <w:tcMar>
              <w:top w:w="30" w:type="dxa"/>
              <w:left w:w="20" w:type="dxa"/>
              <w:bottom w:w="30" w:type="dxa"/>
              <w:right w:w="20" w:type="dxa"/>
            </w:tcMar>
            <w:vAlign w:val="bottom"/>
            <w:hideMark/>
          </w:tcPr>
          <w:p w:rsidR="00000000" w:rsidRDefault="001F1FC8">
            <w:pPr>
              <w:rPr>
                <w:rFonts w:eastAsia="Times New Roman"/>
              </w:rPr>
            </w:pPr>
            <w:r>
              <w:rPr>
                <w:rFonts w:ascii="Arial" w:eastAsia="Times New Roman" w:hAnsi="Arial" w:cs="Arial"/>
                <w:color w:val="000000"/>
                <w:sz w:val="20"/>
                <w:szCs w:val="20"/>
              </w:rPr>
              <w:t xml:space="preserve">Executive Vice President &amp; </w:t>
            </w:r>
            <w:r>
              <w:rPr>
                <w:rFonts w:ascii="Arial" w:eastAsia="Times New Roman" w:hAnsi="Arial" w:cs="Arial"/>
                <w:color w:val="000000"/>
                <w:sz w:val="20"/>
                <w:szCs w:val="20"/>
              </w:rPr>
              <w:t>President, Gas Transmission and Midstream</w:t>
            </w:r>
          </w:p>
        </w:tc>
      </w:tr>
      <w:tr w:rsidR="00000000">
        <w:trPr>
          <w:divId w:val="1820808829"/>
        </w:trPr>
        <w:tc>
          <w:tcPr>
            <w:tcW w:w="0" w:type="auto"/>
            <w:gridSpan w:val="3"/>
            <w:tcMar>
              <w:top w:w="30" w:type="dxa"/>
              <w:left w:w="20" w:type="dxa"/>
              <w:bottom w:w="30" w:type="dxa"/>
              <w:right w:w="20" w:type="dxa"/>
            </w:tcMar>
            <w:vAlign w:val="bottom"/>
            <w:hideMark/>
          </w:tcPr>
          <w:p w:rsidR="00000000" w:rsidRDefault="001F1FC8">
            <w:pPr>
              <w:rPr>
                <w:rFonts w:eastAsia="Times New Roman"/>
              </w:rPr>
            </w:pPr>
            <w:r>
              <w:rPr>
                <w:rFonts w:ascii="Arial" w:eastAsia="Times New Roman" w:hAnsi="Arial" w:cs="Arial"/>
                <w:color w:val="000000"/>
                <w:sz w:val="20"/>
                <w:szCs w:val="20"/>
              </w:rPr>
              <w:t>Matthew Akman</w:t>
            </w:r>
          </w:p>
        </w:tc>
        <w:tc>
          <w:tcPr>
            <w:tcW w:w="0" w:type="auto"/>
            <w:gridSpan w:val="3"/>
            <w:tcMar>
              <w:top w:w="30" w:type="dxa"/>
              <w:left w:w="20" w:type="dxa"/>
              <w:bottom w:w="30" w:type="dxa"/>
              <w:right w:w="20" w:type="dxa"/>
            </w:tcMar>
            <w:vAlign w:val="bottom"/>
            <w:hideMark/>
          </w:tcPr>
          <w:p w:rsidR="00000000" w:rsidRDefault="001F1FC8">
            <w:pPr>
              <w:rPr>
                <w:rFonts w:eastAsia="Times New Roman"/>
              </w:rPr>
            </w:pPr>
            <w:r>
              <w:rPr>
                <w:rFonts w:ascii="Arial" w:eastAsia="Times New Roman" w:hAnsi="Arial" w:cs="Arial"/>
                <w:color w:val="000000"/>
                <w:sz w:val="20"/>
                <w:szCs w:val="20"/>
              </w:rPr>
              <w:t>54</w:t>
            </w:r>
          </w:p>
        </w:tc>
        <w:tc>
          <w:tcPr>
            <w:tcW w:w="0" w:type="auto"/>
            <w:gridSpan w:val="3"/>
            <w:tcMar>
              <w:top w:w="30" w:type="dxa"/>
              <w:left w:w="20" w:type="dxa"/>
              <w:bottom w:w="30" w:type="dxa"/>
              <w:right w:w="20" w:type="dxa"/>
            </w:tcMar>
            <w:vAlign w:val="bottom"/>
            <w:hideMark/>
          </w:tcPr>
          <w:p w:rsidR="00000000" w:rsidRDefault="001F1FC8">
            <w:pPr>
              <w:rPr>
                <w:rFonts w:eastAsia="Times New Roman"/>
              </w:rPr>
            </w:pPr>
            <w:r>
              <w:rPr>
                <w:rFonts w:ascii="Arial" w:eastAsia="Times New Roman" w:hAnsi="Arial" w:cs="Arial"/>
                <w:color w:val="000000"/>
                <w:sz w:val="20"/>
                <w:szCs w:val="20"/>
              </w:rPr>
              <w:t>Senior Vice President, Strategy, Power &amp; New Energy Technologies</w:t>
            </w:r>
          </w:p>
        </w:tc>
      </w:tr>
      <w:tr w:rsidR="00000000">
        <w:trPr>
          <w:divId w:val="1820808829"/>
        </w:trPr>
        <w:tc>
          <w:tcPr>
            <w:tcW w:w="0" w:type="auto"/>
            <w:gridSpan w:val="3"/>
            <w:tcMar>
              <w:top w:w="30" w:type="dxa"/>
              <w:left w:w="20" w:type="dxa"/>
              <w:bottom w:w="30" w:type="dxa"/>
              <w:right w:w="20" w:type="dxa"/>
            </w:tcMar>
            <w:vAlign w:val="bottom"/>
            <w:hideMark/>
          </w:tcPr>
          <w:p w:rsidR="00000000" w:rsidRDefault="001F1FC8">
            <w:pPr>
              <w:rPr>
                <w:rFonts w:eastAsia="Times New Roman"/>
              </w:rPr>
            </w:pPr>
            <w:r>
              <w:rPr>
                <w:rFonts w:ascii="Arial" w:eastAsia="Times New Roman" w:hAnsi="Arial" w:cs="Arial"/>
                <w:color w:val="000000"/>
                <w:sz w:val="20"/>
                <w:szCs w:val="20"/>
              </w:rPr>
              <w:t>Allen C. Capps</w:t>
            </w:r>
          </w:p>
        </w:tc>
        <w:tc>
          <w:tcPr>
            <w:tcW w:w="0" w:type="auto"/>
            <w:gridSpan w:val="3"/>
            <w:tcMar>
              <w:top w:w="30" w:type="dxa"/>
              <w:left w:w="20" w:type="dxa"/>
              <w:bottom w:w="30" w:type="dxa"/>
              <w:right w:w="20" w:type="dxa"/>
            </w:tcMar>
            <w:vAlign w:val="bottom"/>
            <w:hideMark/>
          </w:tcPr>
          <w:p w:rsidR="00000000" w:rsidRDefault="001F1FC8">
            <w:pPr>
              <w:rPr>
                <w:rFonts w:eastAsia="Times New Roman"/>
              </w:rPr>
            </w:pPr>
            <w:r>
              <w:rPr>
                <w:rFonts w:ascii="Arial" w:eastAsia="Times New Roman" w:hAnsi="Arial" w:cs="Arial"/>
                <w:color w:val="000000"/>
                <w:sz w:val="20"/>
                <w:szCs w:val="20"/>
              </w:rPr>
              <w:t>51</w:t>
            </w:r>
          </w:p>
        </w:tc>
        <w:tc>
          <w:tcPr>
            <w:tcW w:w="0" w:type="auto"/>
            <w:gridSpan w:val="3"/>
            <w:tcMar>
              <w:top w:w="30" w:type="dxa"/>
              <w:left w:w="20" w:type="dxa"/>
              <w:bottom w:w="30" w:type="dxa"/>
              <w:right w:w="20" w:type="dxa"/>
            </w:tcMar>
            <w:vAlign w:val="bottom"/>
            <w:hideMark/>
          </w:tcPr>
          <w:p w:rsidR="00000000" w:rsidRDefault="001F1FC8">
            <w:pPr>
              <w:rPr>
                <w:rFonts w:eastAsia="Times New Roman"/>
              </w:rPr>
            </w:pPr>
            <w:r>
              <w:rPr>
                <w:rFonts w:ascii="Arial" w:eastAsia="Times New Roman" w:hAnsi="Arial" w:cs="Arial"/>
                <w:color w:val="000000"/>
                <w:sz w:val="20"/>
                <w:szCs w:val="20"/>
              </w:rPr>
              <w:t>Senior Vice President, Corporate Development &amp; Energy Services</w:t>
            </w:r>
          </w:p>
        </w:tc>
      </w:tr>
    </w:tbl>
    <w:p w:rsidR="00000000" w:rsidRDefault="001F1FC8">
      <w:pPr>
        <w:divId w:val="148838047"/>
        <w:rPr>
          <w:rFonts w:eastAsia="Times New Roman"/>
        </w:rPr>
      </w:pPr>
    </w:p>
    <w:p w:rsidR="00000000" w:rsidRDefault="001F1FC8">
      <w:pPr>
        <w:divId w:val="1385520136"/>
        <w:rPr>
          <w:rFonts w:eastAsia="Times New Roman"/>
        </w:rPr>
      </w:pPr>
      <w:r>
        <w:rPr>
          <w:rFonts w:ascii="Arial" w:eastAsia="Times New Roman" w:hAnsi="Arial" w:cs="Arial"/>
          <w:color w:val="000000"/>
          <w:sz w:val="20"/>
          <w:szCs w:val="20"/>
        </w:rPr>
        <w:t xml:space="preserve">Al Monaco was appointed President and Chief Executive Officer on October 1, 2012. Mr. Monaco is also a member of the Enbridge Board of Directors. </w:t>
      </w:r>
    </w:p>
    <w:p w:rsidR="00000000" w:rsidRDefault="001F1FC8">
      <w:pPr>
        <w:divId w:val="1199709352"/>
        <w:rPr>
          <w:rFonts w:eastAsia="Times New Roman"/>
        </w:rPr>
      </w:pPr>
    </w:p>
    <w:p w:rsidR="00000000" w:rsidRDefault="001F1FC8">
      <w:pPr>
        <w:divId w:val="1602299167"/>
        <w:rPr>
          <w:rFonts w:eastAsia="Times New Roman"/>
        </w:rPr>
      </w:pPr>
      <w:r>
        <w:rPr>
          <w:rFonts w:ascii="Arial" w:eastAsia="Times New Roman" w:hAnsi="Arial" w:cs="Arial"/>
          <w:color w:val="000000"/>
          <w:sz w:val="20"/>
          <w:szCs w:val="20"/>
        </w:rPr>
        <w:t>Vern D. Yu was appointed Executive Vice President and Chief Financial Officer on October 1, 2021, with over</w:t>
      </w:r>
      <w:r>
        <w:rPr>
          <w:rFonts w:ascii="Arial" w:eastAsia="Times New Roman" w:hAnsi="Arial" w:cs="Arial"/>
          <w:color w:val="000000"/>
          <w:sz w:val="20"/>
          <w:szCs w:val="20"/>
        </w:rPr>
        <w:t>sight for all of Enbridge’s financial affairs including investor relations, financial reporting, financial planning, treasury, tax, insurance, risk and audit management functions as well as implementation of our ERP transformation system. Previously, Mr. Y</w:t>
      </w:r>
      <w:r>
        <w:rPr>
          <w:rFonts w:ascii="Arial" w:eastAsia="Times New Roman" w:hAnsi="Arial" w:cs="Arial"/>
          <w:color w:val="000000"/>
          <w:sz w:val="20"/>
          <w:szCs w:val="20"/>
        </w:rPr>
        <w:t>u served as Executive Vice President and President, Liquids Pipelines and prior to that served as President and Chief Operating Officer for Liquids Pipelines and as Executive Vice President and Chief Development Officer. Effective March 1, 2022, Mr. Yu wil</w:t>
      </w:r>
      <w:r>
        <w:rPr>
          <w:rFonts w:ascii="Arial" w:eastAsia="Times New Roman" w:hAnsi="Arial" w:cs="Arial"/>
          <w:color w:val="000000"/>
          <w:sz w:val="20"/>
          <w:szCs w:val="20"/>
        </w:rPr>
        <w:t>l be appointed as Executive Vice President, Corporate Development and Chief Financial Officer.</w:t>
      </w:r>
    </w:p>
    <w:p w:rsidR="00000000" w:rsidRDefault="001F1FC8">
      <w:pPr>
        <w:divId w:val="600407960"/>
        <w:rPr>
          <w:rFonts w:eastAsia="Times New Roman"/>
        </w:rPr>
      </w:pPr>
    </w:p>
    <w:p w:rsidR="00000000" w:rsidRDefault="001F1FC8">
      <w:pPr>
        <w:divId w:val="462426353"/>
        <w:rPr>
          <w:rFonts w:eastAsia="Times New Roman"/>
        </w:rPr>
      </w:pPr>
      <w:r>
        <w:rPr>
          <w:rFonts w:ascii="Arial" w:eastAsia="Times New Roman" w:hAnsi="Arial" w:cs="Arial"/>
          <w:color w:val="000000"/>
          <w:sz w:val="20"/>
          <w:szCs w:val="20"/>
        </w:rPr>
        <w:t>Colin K. Gruending was appointed Executive Vice President and President, Liquids Pipelines on October 1, 2021. Mr. Gruending is responsible for the overall lea</w:t>
      </w:r>
      <w:r>
        <w:rPr>
          <w:rFonts w:ascii="Arial" w:eastAsia="Times New Roman" w:hAnsi="Arial" w:cs="Arial"/>
          <w:color w:val="000000"/>
          <w:sz w:val="20"/>
          <w:szCs w:val="20"/>
        </w:rPr>
        <w:t>dership and operations of Enbridge’s Liquids Pipelines business. Previously, he served as our Executive Vice President and Chief Financial Officer and as Senior Vice President, Corporate Development and Investment Review.</w:t>
      </w:r>
    </w:p>
    <w:p w:rsidR="00000000" w:rsidRDefault="001F1FC8">
      <w:pPr>
        <w:divId w:val="2145006336"/>
        <w:rPr>
          <w:rFonts w:eastAsia="Times New Roman"/>
        </w:rPr>
      </w:pPr>
    </w:p>
    <w:p w:rsidR="00000000" w:rsidRDefault="001F1FC8">
      <w:pPr>
        <w:divId w:val="506331978"/>
        <w:rPr>
          <w:rFonts w:eastAsia="Times New Roman"/>
        </w:rPr>
      </w:pPr>
      <w:r>
        <w:rPr>
          <w:rFonts w:ascii="Arial" w:eastAsia="Times New Roman" w:hAnsi="Arial" w:cs="Arial"/>
          <w:color w:val="000000"/>
          <w:sz w:val="20"/>
          <w:szCs w:val="20"/>
        </w:rPr>
        <w:t xml:space="preserve">Cynthia L. Hansen was appointed </w:t>
      </w:r>
      <w:r>
        <w:rPr>
          <w:rFonts w:ascii="Arial" w:eastAsia="Times New Roman" w:hAnsi="Arial" w:cs="Arial"/>
          <w:color w:val="000000"/>
          <w:sz w:val="20"/>
          <w:szCs w:val="20"/>
        </w:rPr>
        <w:t>Executive Vice President and President, Gas Distribution and Storage, on June 1, 2019. Ms. Hansen is responsible for the overall leadership and operations of Enbridge Gas, following the amalgamation of Enbridge Gas Distribution Inc. (EGD) and Union Gas Lim</w:t>
      </w:r>
      <w:r>
        <w:rPr>
          <w:rFonts w:ascii="Arial" w:eastAsia="Times New Roman" w:hAnsi="Arial" w:cs="Arial"/>
          <w:color w:val="000000"/>
          <w:sz w:val="20"/>
          <w:szCs w:val="20"/>
        </w:rPr>
        <w:t>ited (Union Gas), as well as Gazifère. Previously, our Executive Vice President, Utilities and Power Operations, Ms. Hansen is also the Executive Sponsor for Asset and Work Management Transformation across Enbridge, working with other business unit leaders</w:t>
      </w:r>
      <w:r>
        <w:rPr>
          <w:rFonts w:ascii="Arial" w:eastAsia="Times New Roman" w:hAnsi="Arial" w:cs="Arial"/>
          <w:color w:val="000000"/>
          <w:sz w:val="20"/>
          <w:szCs w:val="20"/>
        </w:rPr>
        <w:t>. Effective March 1, 2022, Ms. Hansen will be appointed as the Executive Vice President and President of Gas Transmission and Midstream and Michele E. Harradence will be appointed as Senior Vice President and President, Gas Distribution and Storage. Ms. Ha</w:t>
      </w:r>
      <w:r>
        <w:rPr>
          <w:rFonts w:ascii="Arial" w:eastAsia="Times New Roman" w:hAnsi="Arial" w:cs="Arial"/>
          <w:color w:val="000000"/>
          <w:sz w:val="20"/>
          <w:szCs w:val="20"/>
        </w:rPr>
        <w:t xml:space="preserve">rradence most recently held the role of Senior Vice President and Chief Operations Officer, Gas Transmission and Midstream. </w:t>
      </w:r>
    </w:p>
    <w:p w:rsidR="00000000" w:rsidRDefault="001F1FC8">
      <w:pPr>
        <w:divId w:val="1059980402"/>
        <w:rPr>
          <w:rFonts w:eastAsia="Times New Roman"/>
        </w:rPr>
      </w:pPr>
    </w:p>
    <w:p w:rsidR="00000000" w:rsidRDefault="001F1FC8">
      <w:pPr>
        <w:jc w:val="center"/>
        <w:divId w:val="391538957"/>
        <w:rPr>
          <w:rFonts w:eastAsia="Times New Roman"/>
        </w:rPr>
      </w:pPr>
      <w:r>
        <w:rPr>
          <w:rFonts w:ascii="Arial" w:eastAsia="Times New Roman" w:hAnsi="Arial" w:cs="Arial"/>
          <w:color w:val="000000"/>
          <w:sz w:val="20"/>
          <w:szCs w:val="20"/>
        </w:rPr>
        <w:t>39</w:t>
      </w:r>
    </w:p>
    <w:p w:rsidR="00000000" w:rsidRDefault="001F1FC8">
      <w:pPr>
        <w:rPr>
          <w:rFonts w:eastAsia="Times New Roman"/>
        </w:rPr>
      </w:pPr>
      <w:r>
        <w:rPr>
          <w:rFonts w:eastAsia="Times New Roman"/>
        </w:rPr>
        <w:pict>
          <v:rect id="_x0000_i1068" style="width:0;height:1.5pt" o:hralign="center" o:hrstd="t" o:hr="t" fillcolor="#a0a0a0" stroked="f"/>
        </w:pict>
      </w:r>
    </w:p>
    <w:p w:rsidR="00000000" w:rsidRDefault="001F1FC8">
      <w:pPr>
        <w:jc w:val="center"/>
        <w:divId w:val="606736443"/>
        <w:rPr>
          <w:rFonts w:eastAsia="Times New Roman"/>
        </w:rPr>
      </w:pPr>
    </w:p>
    <w:p w:rsidR="00000000" w:rsidRDefault="001F1FC8">
      <w:pPr>
        <w:divId w:val="1131094689"/>
        <w:rPr>
          <w:rFonts w:eastAsia="Times New Roman"/>
        </w:rPr>
      </w:pPr>
      <w:r>
        <w:rPr>
          <w:rFonts w:ascii="Arial" w:eastAsia="Times New Roman" w:hAnsi="Arial" w:cs="Arial"/>
          <w:color w:val="000000"/>
          <w:sz w:val="20"/>
          <w:szCs w:val="20"/>
        </w:rPr>
        <w:t>Byron C. Neiles was appointed Executive Vice President, Corporate Services on May 2, 2016. Mr. Neiles has oversight of our information technology, human resources, real estate, supply chain management, safety, environment, land &amp; right-of-way, and public a</w:t>
      </w:r>
      <w:r>
        <w:rPr>
          <w:rFonts w:ascii="Arial" w:eastAsia="Times New Roman" w:hAnsi="Arial" w:cs="Arial"/>
          <w:color w:val="000000"/>
          <w:sz w:val="20"/>
          <w:szCs w:val="20"/>
        </w:rPr>
        <w:t xml:space="preserve">ffairs, communications and sustainability functions. </w:t>
      </w:r>
    </w:p>
    <w:p w:rsidR="00000000" w:rsidRDefault="001F1FC8">
      <w:pPr>
        <w:divId w:val="160900029"/>
        <w:rPr>
          <w:rFonts w:eastAsia="Times New Roman"/>
        </w:rPr>
      </w:pPr>
    </w:p>
    <w:p w:rsidR="00000000" w:rsidRDefault="001F1FC8">
      <w:pPr>
        <w:divId w:val="609707492"/>
        <w:rPr>
          <w:rFonts w:eastAsia="Times New Roman"/>
        </w:rPr>
      </w:pPr>
      <w:r>
        <w:rPr>
          <w:rFonts w:ascii="Arial" w:eastAsia="Times New Roman" w:hAnsi="Arial" w:cs="Arial"/>
          <w:color w:val="000000"/>
          <w:sz w:val="20"/>
          <w:szCs w:val="20"/>
        </w:rPr>
        <w:t>Robert R. Rooney was appointed Executive Vice President and Chief Legal Officer on February 1, 2017. Mr. Rooney leads our legal, ethics and compliance, security and aviation teams across the organizat</w:t>
      </w:r>
      <w:r>
        <w:rPr>
          <w:rFonts w:ascii="Arial" w:eastAsia="Times New Roman" w:hAnsi="Arial" w:cs="Arial"/>
          <w:color w:val="000000"/>
          <w:sz w:val="20"/>
          <w:szCs w:val="20"/>
        </w:rPr>
        <w:t>ion.</w:t>
      </w:r>
    </w:p>
    <w:p w:rsidR="00000000" w:rsidRDefault="001F1FC8">
      <w:pPr>
        <w:divId w:val="118693858"/>
        <w:rPr>
          <w:rFonts w:eastAsia="Times New Roman"/>
        </w:rPr>
      </w:pPr>
    </w:p>
    <w:p w:rsidR="00000000" w:rsidRDefault="001F1FC8">
      <w:pPr>
        <w:divId w:val="867447437"/>
        <w:rPr>
          <w:rFonts w:eastAsia="Times New Roman"/>
        </w:rPr>
      </w:pPr>
      <w:r>
        <w:rPr>
          <w:rFonts w:ascii="Arial" w:eastAsia="Times New Roman" w:hAnsi="Arial" w:cs="Arial"/>
          <w:color w:val="000000"/>
          <w:sz w:val="20"/>
          <w:szCs w:val="20"/>
        </w:rPr>
        <w:t>William T. Yardley was named Executive Vice President and President, Gas Transmission and Midstream on February 27, 2017. Mr. Yardley was previously President of Spectra Energy Corp's (Spectra Energy) US Transmission and Storage business, leading th</w:t>
      </w:r>
      <w:r>
        <w:rPr>
          <w:rFonts w:ascii="Arial" w:eastAsia="Times New Roman" w:hAnsi="Arial" w:cs="Arial"/>
          <w:color w:val="000000"/>
          <w:sz w:val="20"/>
          <w:szCs w:val="20"/>
        </w:rPr>
        <w:t>e business development, project execution, operations and environment, health and safety efforts associated with Spectra Energy’s US portfolio of assets. Mr. Yardley will retire on May 31, 2022.</w:t>
      </w:r>
    </w:p>
    <w:p w:rsidR="00000000" w:rsidRDefault="001F1FC8">
      <w:pPr>
        <w:divId w:val="1893424087"/>
        <w:rPr>
          <w:rFonts w:eastAsia="Times New Roman"/>
        </w:rPr>
      </w:pPr>
    </w:p>
    <w:p w:rsidR="00000000" w:rsidRDefault="001F1FC8">
      <w:pPr>
        <w:divId w:val="1757314522"/>
        <w:rPr>
          <w:rFonts w:eastAsia="Times New Roman"/>
        </w:rPr>
      </w:pPr>
      <w:r>
        <w:rPr>
          <w:rFonts w:ascii="Arial" w:eastAsia="Times New Roman" w:hAnsi="Arial" w:cs="Arial"/>
          <w:color w:val="000000"/>
          <w:sz w:val="20"/>
          <w:szCs w:val="20"/>
        </w:rPr>
        <w:t>Matthew Akman was appointed Senior Vice President, Strategy</w:t>
      </w:r>
      <w:r>
        <w:rPr>
          <w:rFonts w:ascii="Arial" w:eastAsia="Times New Roman" w:hAnsi="Arial" w:cs="Arial"/>
          <w:color w:val="000000"/>
          <w:sz w:val="20"/>
          <w:szCs w:val="20"/>
        </w:rPr>
        <w:t xml:space="preserve"> &amp; Power on June 1, 2019 and he is currently Senior Vice President, Strategy, Power &amp; New Energy Technologies. He is responsible for the corporate strategic planning process and all renewable power operations and development globally, as well as for our Ne</w:t>
      </w:r>
      <w:r>
        <w:rPr>
          <w:rFonts w:ascii="Arial" w:eastAsia="Times New Roman" w:hAnsi="Arial" w:cs="Arial"/>
          <w:color w:val="000000"/>
          <w:sz w:val="20"/>
          <w:szCs w:val="20"/>
        </w:rPr>
        <w:t>w Energy Technologies team formed in 2021. Mr. Akman joined Enbridge in early 2016 as our head of Corporate Strategy and also previously held responsibilities for Corporate Development and Investor Relations.</w:t>
      </w:r>
    </w:p>
    <w:p w:rsidR="00000000" w:rsidRDefault="001F1FC8">
      <w:pPr>
        <w:divId w:val="1317146316"/>
        <w:rPr>
          <w:rFonts w:eastAsia="Times New Roman"/>
        </w:rPr>
      </w:pPr>
    </w:p>
    <w:p w:rsidR="00000000" w:rsidRDefault="001F1FC8">
      <w:pPr>
        <w:divId w:val="753208927"/>
        <w:rPr>
          <w:rFonts w:eastAsia="Times New Roman"/>
        </w:rPr>
      </w:pPr>
      <w:r>
        <w:rPr>
          <w:rFonts w:ascii="Arial" w:eastAsia="Times New Roman" w:hAnsi="Arial" w:cs="Arial"/>
          <w:color w:val="000000"/>
          <w:sz w:val="20"/>
          <w:szCs w:val="20"/>
        </w:rPr>
        <w:t>Allen C. Capps was appointed Senior Vice Pres</w:t>
      </w:r>
      <w:r>
        <w:rPr>
          <w:rFonts w:ascii="Arial" w:eastAsia="Times New Roman" w:hAnsi="Arial" w:cs="Arial"/>
          <w:color w:val="000000"/>
          <w:sz w:val="20"/>
          <w:szCs w:val="20"/>
        </w:rPr>
        <w:t>ident, Corporate Development and Energy Services in September 2020. He is responsible for capital allocation, investment review, corporate business development including Mergers &amp; Acquisitions and Energy Services. Prior to assuming his current role, Mr. Ca</w:t>
      </w:r>
      <w:r>
        <w:rPr>
          <w:rFonts w:ascii="Arial" w:eastAsia="Times New Roman" w:hAnsi="Arial" w:cs="Arial"/>
          <w:color w:val="000000"/>
          <w:sz w:val="20"/>
          <w:szCs w:val="20"/>
        </w:rPr>
        <w:t xml:space="preserve">pps served as Senior Vice President, Corporate Development and Investment Review. Mr. Capps has also served as Senior Vice President and Chief Accounting Officer and before that Vice President and Controller of Spectra Energy. Effective March 1, 2022, Mr. </w:t>
      </w:r>
      <w:r>
        <w:rPr>
          <w:rFonts w:ascii="Arial" w:eastAsia="Times New Roman" w:hAnsi="Arial" w:cs="Arial"/>
          <w:color w:val="000000"/>
          <w:sz w:val="20"/>
          <w:szCs w:val="20"/>
        </w:rPr>
        <w:t>Capps will be appointed as the Senior Vice President and Chief Commercial Officer of Gas Transmission &amp; Midstream.</w:t>
      </w:r>
    </w:p>
    <w:p w:rsidR="00000000" w:rsidRDefault="001F1FC8">
      <w:pPr>
        <w:divId w:val="1642271758"/>
        <w:rPr>
          <w:rFonts w:eastAsia="Times New Roman"/>
        </w:rPr>
      </w:pPr>
    </w:p>
    <w:p w:rsidR="00000000" w:rsidRDefault="001F1FC8">
      <w:pPr>
        <w:divId w:val="1686780828"/>
        <w:rPr>
          <w:rFonts w:eastAsia="Times New Roman"/>
        </w:rPr>
      </w:pPr>
      <w:r>
        <w:rPr>
          <w:rFonts w:ascii="Arial" w:eastAsia="Times New Roman" w:hAnsi="Arial" w:cs="Arial"/>
          <w:b/>
          <w:bCs/>
          <w:color w:val="000000"/>
          <w:sz w:val="28"/>
          <w:szCs w:val="28"/>
        </w:rPr>
        <w:t>ADDITIONAL INFORMATION</w:t>
      </w:r>
    </w:p>
    <w:p w:rsidR="00000000" w:rsidRDefault="001F1FC8">
      <w:pPr>
        <w:divId w:val="1589314896"/>
        <w:rPr>
          <w:rFonts w:eastAsia="Times New Roman"/>
        </w:rPr>
      </w:pPr>
    </w:p>
    <w:p w:rsidR="00000000" w:rsidRDefault="001F1FC8">
      <w:pPr>
        <w:divId w:val="1434788968"/>
        <w:rPr>
          <w:rFonts w:eastAsia="Times New Roman"/>
        </w:rPr>
      </w:pPr>
      <w:r>
        <w:rPr>
          <w:rFonts w:ascii="Arial" w:eastAsia="Times New Roman" w:hAnsi="Arial" w:cs="Arial"/>
          <w:color w:val="000000"/>
          <w:sz w:val="20"/>
          <w:szCs w:val="20"/>
        </w:rPr>
        <w:t xml:space="preserve">Additional information about us is available on our website at www.enbridge.com, on SEDAR at www.sedar.com and on </w:t>
      </w:r>
      <w:r>
        <w:rPr>
          <w:rFonts w:ascii="Arial" w:eastAsia="Times New Roman" w:hAnsi="Arial" w:cs="Arial"/>
          <w:color w:val="000000"/>
          <w:sz w:val="20"/>
          <w:szCs w:val="20"/>
        </w:rPr>
        <w:t>EDGAR at www.sec.gov. The aforementioned information is made available in accordance with legal requirements and is not, unless otherwise specifically stated, incorporated by reference into this Annual Report on Form 10-K. We make available free of charge,</w:t>
      </w:r>
      <w:r>
        <w:rPr>
          <w:rFonts w:ascii="Arial" w:eastAsia="Times New Roman" w:hAnsi="Arial" w:cs="Arial"/>
          <w:color w:val="000000"/>
          <w:sz w:val="20"/>
          <w:szCs w:val="20"/>
        </w:rPr>
        <w:t xml:space="preserve"> through our website, annual reports on Form 10-K, quarterly reports on Form 10-Q and current reports on Form 8-K and amendments to those reports filed or furnished pursuant to Section 13(a) or 15(d) of the Exchange Act, as well as proxy statements, as soo</w:t>
      </w:r>
      <w:r>
        <w:rPr>
          <w:rFonts w:ascii="Arial" w:eastAsia="Times New Roman" w:hAnsi="Arial" w:cs="Arial"/>
          <w:color w:val="000000"/>
          <w:sz w:val="20"/>
          <w:szCs w:val="20"/>
        </w:rPr>
        <w:t>n as reasonably practicable after we electronically file such material with, or furnish it to, the SEC. Reports, proxy statements and other information filed with the SEC may also be obtained through the SEC’s website (www.sec.gov).</w:t>
      </w:r>
    </w:p>
    <w:p w:rsidR="00000000" w:rsidRDefault="001F1FC8">
      <w:pPr>
        <w:divId w:val="1295793618"/>
        <w:rPr>
          <w:rFonts w:eastAsia="Times New Roman"/>
        </w:rPr>
      </w:pPr>
    </w:p>
    <w:p w:rsidR="00000000" w:rsidRDefault="001F1FC8">
      <w:pPr>
        <w:divId w:val="1265573650"/>
        <w:rPr>
          <w:rFonts w:eastAsia="Times New Roman"/>
        </w:rPr>
      </w:pPr>
      <w:r>
        <w:rPr>
          <w:rFonts w:ascii="Arial" w:eastAsia="Times New Roman" w:hAnsi="Arial" w:cs="Arial"/>
          <w:b/>
          <w:bCs/>
          <w:color w:val="000000"/>
          <w:sz w:val="20"/>
          <w:szCs w:val="20"/>
        </w:rPr>
        <w:t xml:space="preserve">ENBRIDGE GAS INC. </w:t>
      </w:r>
    </w:p>
    <w:p w:rsidR="00000000" w:rsidRDefault="001F1FC8">
      <w:pPr>
        <w:divId w:val="233901090"/>
        <w:rPr>
          <w:rFonts w:eastAsia="Times New Roman"/>
        </w:rPr>
      </w:pPr>
      <w:r>
        <w:rPr>
          <w:rFonts w:ascii="Arial" w:eastAsia="Times New Roman" w:hAnsi="Arial" w:cs="Arial"/>
          <w:color w:val="000000"/>
          <w:sz w:val="20"/>
          <w:szCs w:val="20"/>
        </w:rPr>
        <w:t>Ad</w:t>
      </w:r>
      <w:r>
        <w:rPr>
          <w:rFonts w:ascii="Arial" w:eastAsia="Times New Roman" w:hAnsi="Arial" w:cs="Arial"/>
          <w:color w:val="000000"/>
          <w:sz w:val="20"/>
          <w:szCs w:val="20"/>
        </w:rPr>
        <w:t>ditional information about Enbridge Gas can be found in its annual information form, financial statements and management's discussion and analysis (MD&amp;A) for the year ended December 31, 2021, which have been filed with the securities commissions or similar</w:t>
      </w:r>
      <w:r>
        <w:rPr>
          <w:rFonts w:ascii="Arial" w:eastAsia="Times New Roman" w:hAnsi="Arial" w:cs="Arial"/>
          <w:color w:val="000000"/>
          <w:sz w:val="20"/>
          <w:szCs w:val="20"/>
        </w:rPr>
        <w:t xml:space="preserve"> authorities in each of the provinces of Canada. These documents contain detailed disclosure with respect to Enbridge Gas and are publicly available on SEDAR at www.sedar.com. These documents are not, unless otherwise specifically stated, incorporated by r</w:t>
      </w:r>
      <w:r>
        <w:rPr>
          <w:rFonts w:ascii="Arial" w:eastAsia="Times New Roman" w:hAnsi="Arial" w:cs="Arial"/>
          <w:color w:val="000000"/>
          <w:sz w:val="20"/>
          <w:szCs w:val="20"/>
        </w:rPr>
        <w:t>eference into this Annual Report on Form 10-K.</w:t>
      </w:r>
    </w:p>
    <w:p w:rsidR="00000000" w:rsidRDefault="001F1FC8">
      <w:pPr>
        <w:divId w:val="2096319029"/>
        <w:rPr>
          <w:rFonts w:eastAsia="Times New Roman"/>
        </w:rPr>
      </w:pPr>
    </w:p>
    <w:p w:rsidR="00000000" w:rsidRDefault="001F1FC8">
      <w:pPr>
        <w:jc w:val="center"/>
        <w:divId w:val="2031180786"/>
        <w:rPr>
          <w:rFonts w:eastAsia="Times New Roman"/>
        </w:rPr>
      </w:pPr>
      <w:r>
        <w:rPr>
          <w:rFonts w:ascii="Arial" w:eastAsia="Times New Roman" w:hAnsi="Arial" w:cs="Arial"/>
          <w:color w:val="000000"/>
          <w:sz w:val="20"/>
          <w:szCs w:val="20"/>
        </w:rPr>
        <w:t>40</w:t>
      </w:r>
    </w:p>
    <w:p w:rsidR="00000000" w:rsidRDefault="001F1FC8">
      <w:pPr>
        <w:rPr>
          <w:rFonts w:eastAsia="Times New Roman"/>
        </w:rPr>
      </w:pPr>
      <w:r>
        <w:rPr>
          <w:rFonts w:eastAsia="Times New Roman"/>
        </w:rPr>
        <w:pict>
          <v:rect id="_x0000_i1069" style="width:0;height:1.5pt" o:hralign="center" o:hrstd="t" o:hr="t" fillcolor="#a0a0a0" stroked="f"/>
        </w:pict>
      </w:r>
    </w:p>
    <w:p w:rsidR="00000000" w:rsidRDefault="001F1FC8">
      <w:pPr>
        <w:jc w:val="center"/>
        <w:divId w:val="63185040"/>
        <w:rPr>
          <w:rFonts w:eastAsia="Times New Roman"/>
        </w:rPr>
      </w:pPr>
    </w:p>
    <w:p w:rsidR="00000000" w:rsidRDefault="001F1FC8">
      <w:pPr>
        <w:divId w:val="1120227201"/>
        <w:rPr>
          <w:rFonts w:eastAsia="Times New Roman"/>
        </w:rPr>
      </w:pPr>
      <w:r>
        <w:rPr>
          <w:rFonts w:ascii="Arial" w:eastAsia="Times New Roman" w:hAnsi="Arial" w:cs="Arial"/>
          <w:b/>
          <w:bCs/>
          <w:color w:val="000000"/>
          <w:sz w:val="20"/>
          <w:szCs w:val="20"/>
        </w:rPr>
        <w:t>ENBRIDGE PIPELINES INC.</w:t>
      </w:r>
    </w:p>
    <w:p w:rsidR="00000000" w:rsidRDefault="001F1FC8">
      <w:pPr>
        <w:divId w:val="806048624"/>
        <w:rPr>
          <w:rFonts w:eastAsia="Times New Roman"/>
        </w:rPr>
      </w:pPr>
      <w:r>
        <w:rPr>
          <w:rFonts w:ascii="Arial" w:eastAsia="Times New Roman" w:hAnsi="Arial" w:cs="Arial"/>
          <w:color w:val="000000"/>
          <w:sz w:val="20"/>
          <w:szCs w:val="20"/>
        </w:rPr>
        <w:t xml:space="preserve">Additional information about Enbridge Pipelines Inc. (EPI) can be found in its annual information form, financial statements and MD&amp;A for the year ended December 31, 2021, which have been filed </w:t>
      </w:r>
      <w:r>
        <w:rPr>
          <w:rFonts w:ascii="Arial" w:eastAsia="Times New Roman" w:hAnsi="Arial" w:cs="Arial"/>
          <w:color w:val="000000"/>
          <w:sz w:val="20"/>
          <w:szCs w:val="20"/>
        </w:rPr>
        <w:t>with the securities commissions or similar authorities in each of the provinces of Canada. These documents contain detailed disclosure with respect to EPI and are publicly available on SEDAR at www.sedar.com. These documents are not, unless otherwise speci</w:t>
      </w:r>
      <w:r>
        <w:rPr>
          <w:rFonts w:ascii="Arial" w:eastAsia="Times New Roman" w:hAnsi="Arial" w:cs="Arial"/>
          <w:color w:val="000000"/>
          <w:sz w:val="20"/>
          <w:szCs w:val="20"/>
        </w:rPr>
        <w:t>fically stated, incorporated by reference into this Annual Report on Form 10-K.</w:t>
      </w:r>
    </w:p>
    <w:p w:rsidR="00000000" w:rsidRDefault="001F1FC8">
      <w:pPr>
        <w:divId w:val="338042948"/>
        <w:rPr>
          <w:rFonts w:eastAsia="Times New Roman"/>
        </w:rPr>
      </w:pPr>
    </w:p>
    <w:p w:rsidR="00000000" w:rsidRDefault="001F1FC8">
      <w:pPr>
        <w:divId w:val="1805731906"/>
        <w:rPr>
          <w:rFonts w:eastAsia="Times New Roman"/>
        </w:rPr>
      </w:pPr>
      <w:r>
        <w:rPr>
          <w:rFonts w:ascii="Arial" w:eastAsia="Times New Roman" w:hAnsi="Arial" w:cs="Arial"/>
          <w:b/>
          <w:bCs/>
          <w:color w:val="000000"/>
          <w:sz w:val="20"/>
          <w:szCs w:val="20"/>
        </w:rPr>
        <w:t>WESTCOAST ENERGY INC.</w:t>
      </w:r>
    </w:p>
    <w:p w:rsidR="00000000" w:rsidRDefault="001F1FC8">
      <w:pPr>
        <w:divId w:val="1000814461"/>
        <w:rPr>
          <w:rFonts w:eastAsia="Times New Roman"/>
        </w:rPr>
      </w:pPr>
      <w:r>
        <w:rPr>
          <w:rFonts w:ascii="Arial" w:eastAsia="Times New Roman" w:hAnsi="Arial" w:cs="Arial"/>
          <w:color w:val="000000"/>
          <w:sz w:val="20"/>
          <w:szCs w:val="20"/>
        </w:rPr>
        <w:t xml:space="preserve">Additional information about Westcoast can be found in its annual information form, financial statements and MD&amp;A for the year ended December 31, 2021, </w:t>
      </w:r>
      <w:r>
        <w:rPr>
          <w:rFonts w:ascii="Arial" w:eastAsia="Times New Roman" w:hAnsi="Arial" w:cs="Arial"/>
          <w:color w:val="000000"/>
          <w:sz w:val="20"/>
          <w:szCs w:val="20"/>
        </w:rPr>
        <w:t>which have been filed with the securities commissions or similar authorities in each of the provinces of Canada. These documents contain detailed disclosure with respect to Westcoast and are publicly available on SEDAR at www.sedar.com. These documents are</w:t>
      </w:r>
      <w:r>
        <w:rPr>
          <w:rFonts w:ascii="Arial" w:eastAsia="Times New Roman" w:hAnsi="Arial" w:cs="Arial"/>
          <w:color w:val="000000"/>
          <w:sz w:val="20"/>
          <w:szCs w:val="20"/>
        </w:rPr>
        <w:t xml:space="preserve"> not, unless otherwise specifically stated, incorporated by reference into this Annual Report on Form 10-K.</w:t>
      </w:r>
    </w:p>
    <w:p w:rsidR="00000000" w:rsidRDefault="001F1FC8">
      <w:pPr>
        <w:divId w:val="1439564477"/>
        <w:rPr>
          <w:rFonts w:eastAsia="Times New Roman"/>
        </w:rPr>
      </w:pPr>
    </w:p>
    <w:p w:rsidR="00000000" w:rsidRDefault="001F1FC8">
      <w:pPr>
        <w:jc w:val="center"/>
        <w:divId w:val="513803877"/>
        <w:rPr>
          <w:rFonts w:eastAsia="Times New Roman"/>
        </w:rPr>
      </w:pPr>
      <w:r>
        <w:rPr>
          <w:rFonts w:ascii="Arial" w:eastAsia="Times New Roman" w:hAnsi="Arial" w:cs="Arial"/>
          <w:color w:val="000000"/>
          <w:sz w:val="20"/>
          <w:szCs w:val="20"/>
        </w:rPr>
        <w:t>41</w:t>
      </w:r>
    </w:p>
    <w:p w:rsidR="00000000" w:rsidRDefault="001F1FC8">
      <w:pPr>
        <w:rPr>
          <w:rFonts w:eastAsia="Times New Roman"/>
        </w:rPr>
      </w:pPr>
      <w:r>
        <w:rPr>
          <w:rFonts w:eastAsia="Times New Roman"/>
        </w:rPr>
        <w:pict>
          <v:rect id="_x0000_i1070" style="width:0;height:1.5pt" o:hralign="center" o:hrstd="t" o:hr="t" fillcolor="#a0a0a0" stroked="f"/>
        </w:pict>
      </w:r>
    </w:p>
    <w:p w:rsidR="00000000" w:rsidRDefault="001F1FC8">
      <w:pPr>
        <w:jc w:val="center"/>
        <w:divId w:val="1345207791"/>
        <w:rPr>
          <w:rFonts w:eastAsia="Times New Roman"/>
        </w:rPr>
      </w:pPr>
    </w:p>
    <w:p w:rsidR="00000000" w:rsidRDefault="001F1FC8">
      <w:pPr>
        <w:divId w:val="437718363"/>
        <w:rPr>
          <w:rFonts w:eastAsia="Times New Roman"/>
        </w:rPr>
      </w:pPr>
      <w:r>
        <w:rPr>
          <w:rFonts w:ascii="Arial" w:eastAsia="Times New Roman" w:hAnsi="Arial" w:cs="Arial"/>
          <w:b/>
          <w:bCs/>
          <w:color w:val="000000"/>
          <w:sz w:val="28"/>
          <w:szCs w:val="28"/>
        </w:rPr>
        <w:t>ITEM 1A. RISK FACTORS</w:t>
      </w:r>
    </w:p>
    <w:p w:rsidR="00000000" w:rsidRDefault="001F1FC8">
      <w:pPr>
        <w:divId w:val="1777216210"/>
        <w:rPr>
          <w:rFonts w:eastAsia="Times New Roman"/>
        </w:rPr>
      </w:pPr>
    </w:p>
    <w:p w:rsidR="00000000" w:rsidRDefault="001F1FC8">
      <w:pPr>
        <w:divId w:val="1336961454"/>
        <w:rPr>
          <w:rFonts w:eastAsia="Times New Roman"/>
        </w:rPr>
      </w:pPr>
      <w:r>
        <w:rPr>
          <w:rFonts w:ascii="Arial" w:eastAsia="Times New Roman" w:hAnsi="Arial" w:cs="Arial"/>
          <w:color w:val="000000"/>
          <w:sz w:val="20"/>
          <w:szCs w:val="20"/>
        </w:rPr>
        <w:t>The following risk factors could materially and adversely affect our business, o</w:t>
      </w:r>
      <w:r>
        <w:rPr>
          <w:rFonts w:ascii="Arial" w:eastAsia="Times New Roman" w:hAnsi="Arial" w:cs="Arial"/>
          <w:color w:val="000000"/>
          <w:sz w:val="20"/>
          <w:szCs w:val="20"/>
        </w:rPr>
        <w:t>perations, financial results, market price or value of our securities. This list is not exhaustive, and we place no priority or likelihood based on order of presentation or grouping under sub-captions.</w:t>
      </w:r>
    </w:p>
    <w:p w:rsidR="00000000" w:rsidRDefault="001F1FC8">
      <w:pPr>
        <w:divId w:val="1922912230"/>
        <w:rPr>
          <w:rFonts w:eastAsia="Times New Roman"/>
        </w:rPr>
      </w:pPr>
    </w:p>
    <w:p w:rsidR="00000000" w:rsidRDefault="001F1FC8">
      <w:pPr>
        <w:divId w:val="1070271040"/>
        <w:rPr>
          <w:rFonts w:eastAsia="Times New Roman"/>
        </w:rPr>
      </w:pPr>
      <w:r>
        <w:rPr>
          <w:rFonts w:ascii="Arial" w:eastAsia="Times New Roman" w:hAnsi="Arial" w:cs="Arial"/>
          <w:b/>
          <w:bCs/>
          <w:color w:val="000000"/>
          <w:sz w:val="20"/>
          <w:szCs w:val="20"/>
        </w:rPr>
        <w:t>RISKS RELATED TO CLIMATE CHANGE</w:t>
      </w:r>
    </w:p>
    <w:p w:rsidR="00000000" w:rsidRDefault="001F1FC8">
      <w:pPr>
        <w:divId w:val="889073424"/>
        <w:rPr>
          <w:rFonts w:eastAsia="Times New Roman"/>
        </w:rPr>
      </w:pPr>
    </w:p>
    <w:p w:rsidR="00000000" w:rsidRDefault="001F1FC8">
      <w:pPr>
        <w:divId w:val="35550097"/>
        <w:rPr>
          <w:rFonts w:eastAsia="Times New Roman"/>
        </w:rPr>
      </w:pPr>
      <w:r>
        <w:rPr>
          <w:rFonts w:ascii="Arial" w:eastAsia="Times New Roman" w:hAnsi="Arial" w:cs="Arial"/>
          <w:b/>
          <w:bCs/>
          <w:i/>
          <w:iCs/>
          <w:color w:val="000000"/>
          <w:sz w:val="20"/>
          <w:szCs w:val="20"/>
        </w:rPr>
        <w:t>Climate change ris</w:t>
      </w:r>
      <w:r>
        <w:rPr>
          <w:rFonts w:ascii="Arial" w:eastAsia="Times New Roman" w:hAnsi="Arial" w:cs="Arial"/>
          <w:b/>
          <w:bCs/>
          <w:i/>
          <w:iCs/>
          <w:color w:val="000000"/>
          <w:sz w:val="20"/>
          <w:szCs w:val="20"/>
        </w:rPr>
        <w:t>ks could adversely affect our business, operations and financial results, and these effects could be material.</w:t>
      </w:r>
    </w:p>
    <w:p w:rsidR="00000000" w:rsidRDefault="001F1FC8">
      <w:pPr>
        <w:divId w:val="891891278"/>
        <w:rPr>
          <w:rFonts w:eastAsia="Times New Roman"/>
        </w:rPr>
      </w:pPr>
      <w:r>
        <w:rPr>
          <w:rFonts w:ascii="Arial" w:eastAsia="Times New Roman" w:hAnsi="Arial" w:cs="Arial"/>
          <w:color w:val="000000"/>
          <w:sz w:val="20"/>
          <w:szCs w:val="20"/>
        </w:rPr>
        <w:t>Climate change presents both physical and transition risks to our organization. A summary of these risks is discussed below.</w:t>
      </w:r>
      <w:r>
        <w:rPr>
          <w:rFonts w:ascii="Arial" w:eastAsia="Times New Roman" w:hAnsi="Arial" w:cs="Arial"/>
          <w:color w:val="000000"/>
        </w:rPr>
        <w:t xml:space="preserve"> </w:t>
      </w:r>
      <w:r>
        <w:rPr>
          <w:rFonts w:ascii="Arial" w:eastAsia="Times New Roman" w:hAnsi="Arial" w:cs="Arial"/>
          <w:color w:val="000000"/>
          <w:sz w:val="20"/>
          <w:szCs w:val="20"/>
        </w:rPr>
        <w:t>Given the interconne</w:t>
      </w:r>
      <w:r>
        <w:rPr>
          <w:rFonts w:ascii="Arial" w:eastAsia="Times New Roman" w:hAnsi="Arial" w:cs="Arial"/>
          <w:color w:val="000000"/>
          <w:sz w:val="20"/>
          <w:szCs w:val="20"/>
        </w:rPr>
        <w:t xml:space="preserve">cted nature of climate impacts, however, we also discuss these risks within the context of other risks impacting Enbridge throughout Item 1A - </w:t>
      </w:r>
      <w:r>
        <w:rPr>
          <w:rFonts w:ascii="Arial" w:eastAsia="Times New Roman" w:hAnsi="Arial" w:cs="Arial"/>
          <w:i/>
          <w:iCs/>
          <w:color w:val="000000"/>
          <w:sz w:val="20"/>
          <w:szCs w:val="20"/>
        </w:rPr>
        <w:t>Risk Factors</w:t>
      </w:r>
      <w:r>
        <w:rPr>
          <w:rFonts w:ascii="Arial" w:eastAsia="Times New Roman" w:hAnsi="Arial" w:cs="Arial"/>
          <w:color w:val="000000"/>
          <w:sz w:val="20"/>
          <w:szCs w:val="20"/>
        </w:rPr>
        <w:t>. Climate change and its associated impacts may increase our exposure to, and magnitude of, the other</w:t>
      </w:r>
      <w:r>
        <w:rPr>
          <w:rFonts w:ascii="Arial" w:eastAsia="Times New Roman" w:hAnsi="Arial" w:cs="Arial"/>
          <w:color w:val="000000"/>
          <w:sz w:val="20"/>
          <w:szCs w:val="20"/>
        </w:rPr>
        <w:t xml:space="preserve"> risks identified in Item 1A - </w:t>
      </w:r>
      <w:r>
        <w:rPr>
          <w:rFonts w:ascii="Arial" w:eastAsia="Times New Roman" w:hAnsi="Arial" w:cs="Arial"/>
          <w:i/>
          <w:iCs/>
          <w:color w:val="000000"/>
          <w:sz w:val="20"/>
          <w:szCs w:val="20"/>
        </w:rPr>
        <w:t>Risk Factors</w:t>
      </w:r>
      <w:r>
        <w:rPr>
          <w:rFonts w:ascii="Arial" w:eastAsia="Times New Roman" w:hAnsi="Arial" w:cs="Arial"/>
          <w:color w:val="000000"/>
          <w:sz w:val="20"/>
          <w:szCs w:val="20"/>
        </w:rPr>
        <w:t>. Our business, financial condition, results of operations, cash flows, reputation, access to and cost of capital or insurance, business plans or strategy may all be adversely impacted as a result of climate chang</w:t>
      </w:r>
      <w:r>
        <w:rPr>
          <w:rFonts w:ascii="Arial" w:eastAsia="Times New Roman" w:hAnsi="Arial" w:cs="Arial"/>
          <w:color w:val="000000"/>
          <w:sz w:val="20"/>
          <w:szCs w:val="20"/>
        </w:rPr>
        <w:t>e and its associated impacts.</w:t>
      </w:r>
    </w:p>
    <w:p w:rsidR="00000000" w:rsidRDefault="001F1FC8">
      <w:pPr>
        <w:divId w:val="1888372454"/>
        <w:rPr>
          <w:rFonts w:eastAsia="Times New Roman"/>
        </w:rPr>
      </w:pPr>
    </w:p>
    <w:p w:rsidR="00000000" w:rsidRDefault="001F1FC8">
      <w:pPr>
        <w:divId w:val="299965531"/>
        <w:rPr>
          <w:rFonts w:eastAsia="Times New Roman"/>
        </w:rPr>
      </w:pPr>
      <w:r>
        <w:rPr>
          <w:rFonts w:ascii="Arial" w:eastAsia="Times New Roman" w:hAnsi="Arial" w:cs="Arial"/>
          <w:b/>
          <w:bCs/>
          <w:i/>
          <w:iCs/>
          <w:color w:val="000000"/>
          <w:sz w:val="20"/>
          <w:szCs w:val="20"/>
        </w:rPr>
        <w:t>PHYSICAL RISKS</w:t>
      </w:r>
    </w:p>
    <w:p w:rsidR="00000000" w:rsidRDefault="001F1FC8">
      <w:pPr>
        <w:divId w:val="1443188742"/>
        <w:rPr>
          <w:rFonts w:eastAsia="Times New Roman"/>
        </w:rPr>
      </w:pPr>
      <w:r>
        <w:rPr>
          <w:rFonts w:ascii="Arial" w:eastAsia="Times New Roman" w:hAnsi="Arial" w:cs="Arial"/>
          <w:color w:val="000000"/>
          <w:sz w:val="20"/>
          <w:szCs w:val="20"/>
        </w:rPr>
        <w:t>Physical risks relate to the physical impacts of climate change. These risks could damage our assets or affect the safety and reliability of our operations.</w:t>
      </w:r>
    </w:p>
    <w:p w:rsidR="00000000" w:rsidRDefault="001F1FC8">
      <w:pPr>
        <w:divId w:val="401804221"/>
        <w:rPr>
          <w:rFonts w:eastAsia="Times New Roman"/>
        </w:rPr>
      </w:pPr>
    </w:p>
    <w:p w:rsidR="00000000" w:rsidRDefault="001F1FC8">
      <w:pPr>
        <w:divId w:val="1790275656"/>
        <w:rPr>
          <w:rFonts w:eastAsia="Times New Roman"/>
        </w:rPr>
      </w:pPr>
      <w:r>
        <w:rPr>
          <w:rFonts w:ascii="Arial" w:eastAsia="Times New Roman" w:hAnsi="Arial" w:cs="Arial"/>
          <w:color w:val="000000"/>
          <w:sz w:val="20"/>
          <w:szCs w:val="20"/>
        </w:rPr>
        <w:t>Climate change could result in extreme variability in weather patterns, such as increased frequen</w:t>
      </w:r>
      <w:r>
        <w:rPr>
          <w:rFonts w:ascii="Arial" w:eastAsia="Times New Roman" w:hAnsi="Arial" w:cs="Arial"/>
          <w:color w:val="000000"/>
          <w:sz w:val="20"/>
          <w:szCs w:val="20"/>
        </w:rPr>
        <w:t>cy and severity of extreme weather events, heavy snowfall, heavy rainfall, floods, landslides, fires, hurricanes, tropical storms, ice storms, rising mean temperature and sea levels, and long-term changes in precipitation patterns. Our assets and operation</w:t>
      </w:r>
      <w:r>
        <w:rPr>
          <w:rFonts w:ascii="Arial" w:eastAsia="Times New Roman" w:hAnsi="Arial" w:cs="Arial"/>
          <w:color w:val="000000"/>
          <w:sz w:val="20"/>
          <w:szCs w:val="20"/>
        </w:rPr>
        <w:t>s are exposed to potential interruption or damage from these kinds of events, and we may also experience reduced access to our assets or increased risk of loss of life or injury or damage to property and the environment. We have experienced operational int</w:t>
      </w:r>
      <w:r>
        <w:rPr>
          <w:rFonts w:ascii="Arial" w:eastAsia="Times New Roman" w:hAnsi="Arial" w:cs="Arial"/>
          <w:color w:val="000000"/>
          <w:sz w:val="20"/>
          <w:szCs w:val="20"/>
        </w:rPr>
        <w:t>erruptions and damage to our assets from such weather events in the past, and we expect to experience climate related physical risks in the future, potentially with increasing frequency or severity. Operational risk is intensified by changing climate and m</w:t>
      </w:r>
      <w:r>
        <w:rPr>
          <w:rFonts w:ascii="Arial" w:eastAsia="Times New Roman" w:hAnsi="Arial" w:cs="Arial"/>
          <w:color w:val="000000"/>
          <w:sz w:val="20"/>
          <w:szCs w:val="20"/>
        </w:rPr>
        <w:t>ore extreme weather events. Any of these physical risks could result in substantial losses for which our insurance may not be sufficient or available and for which we may bear a part or all of the cost.</w:t>
      </w:r>
    </w:p>
    <w:p w:rsidR="00000000" w:rsidRDefault="001F1FC8">
      <w:pPr>
        <w:divId w:val="666251803"/>
        <w:rPr>
          <w:rFonts w:eastAsia="Times New Roman"/>
        </w:rPr>
      </w:pPr>
    </w:p>
    <w:p w:rsidR="00000000" w:rsidRDefault="001F1FC8">
      <w:pPr>
        <w:divId w:val="1592425674"/>
        <w:rPr>
          <w:rFonts w:eastAsia="Times New Roman"/>
        </w:rPr>
      </w:pPr>
      <w:r>
        <w:rPr>
          <w:rFonts w:ascii="Arial" w:eastAsia="Times New Roman" w:hAnsi="Arial" w:cs="Arial"/>
          <w:b/>
          <w:bCs/>
          <w:i/>
          <w:iCs/>
          <w:color w:val="000000"/>
          <w:sz w:val="20"/>
          <w:szCs w:val="20"/>
        </w:rPr>
        <w:t>TRANSITION RISKS</w:t>
      </w:r>
    </w:p>
    <w:p w:rsidR="00000000" w:rsidRDefault="001F1FC8">
      <w:pPr>
        <w:divId w:val="1937710902"/>
        <w:rPr>
          <w:rFonts w:eastAsia="Times New Roman"/>
        </w:rPr>
      </w:pPr>
      <w:r>
        <w:rPr>
          <w:rFonts w:ascii="Arial" w:eastAsia="Times New Roman" w:hAnsi="Arial" w:cs="Arial"/>
          <w:color w:val="000000"/>
          <w:sz w:val="20"/>
          <w:szCs w:val="20"/>
        </w:rPr>
        <w:t>Transition risks relate to the tra</w:t>
      </w:r>
      <w:r>
        <w:rPr>
          <w:rFonts w:ascii="Arial" w:eastAsia="Times New Roman" w:hAnsi="Arial" w:cs="Arial"/>
          <w:color w:val="000000"/>
          <w:sz w:val="20"/>
          <w:szCs w:val="20"/>
        </w:rPr>
        <w:t>nsition to a lower-emission economy, which may increase our cost of operations, impact our business plans, and influence stakeholder decisions about our company, each of which could adversely impact our strategic plan, business, operations or financial res</w:t>
      </w:r>
      <w:r>
        <w:rPr>
          <w:rFonts w:ascii="Arial" w:eastAsia="Times New Roman" w:hAnsi="Arial" w:cs="Arial"/>
          <w:color w:val="000000"/>
          <w:sz w:val="20"/>
          <w:szCs w:val="20"/>
        </w:rPr>
        <w:t>ults. These transition risks include:</w:t>
      </w:r>
    </w:p>
    <w:p w:rsidR="00000000" w:rsidRDefault="001F1FC8">
      <w:pPr>
        <w:divId w:val="1975867690"/>
        <w:rPr>
          <w:rFonts w:eastAsia="Times New Roman"/>
        </w:rPr>
      </w:pPr>
    </w:p>
    <w:p w:rsidR="00000000" w:rsidRDefault="001F1FC8">
      <w:pPr>
        <w:divId w:val="1148090385"/>
        <w:rPr>
          <w:rFonts w:eastAsia="Times New Roman"/>
        </w:rPr>
      </w:pPr>
      <w:r>
        <w:rPr>
          <w:rFonts w:ascii="Arial" w:eastAsia="Times New Roman" w:hAnsi="Arial" w:cs="Arial"/>
          <w:b/>
          <w:bCs/>
          <w:i/>
          <w:iCs/>
          <w:color w:val="000000"/>
          <w:sz w:val="20"/>
          <w:szCs w:val="20"/>
        </w:rPr>
        <w:t>Policy and legal risks</w:t>
      </w:r>
    </w:p>
    <w:p w:rsidR="00000000" w:rsidRDefault="001F1FC8">
      <w:pPr>
        <w:divId w:val="1631326815"/>
        <w:rPr>
          <w:rFonts w:eastAsia="Times New Roman"/>
        </w:rPr>
      </w:pPr>
      <w:r>
        <w:rPr>
          <w:rFonts w:ascii="Arial" w:eastAsia="Times New Roman" w:hAnsi="Arial" w:cs="Arial"/>
          <w:color w:val="000000"/>
          <w:sz w:val="20"/>
          <w:szCs w:val="20"/>
        </w:rPr>
        <w:t>Foreign and domestic governments continue to evaluate and implement policy, legislation, and regulations focused on reducing GHG emissions, promoting adaptation to climate change, transitioning to a low-carbon economy, and disclosure of climate-related mat</w:t>
      </w:r>
      <w:r>
        <w:rPr>
          <w:rFonts w:ascii="Arial" w:eastAsia="Times New Roman" w:hAnsi="Arial" w:cs="Arial"/>
          <w:color w:val="000000"/>
          <w:sz w:val="20"/>
          <w:szCs w:val="20"/>
        </w:rPr>
        <w:t>ters. Such policies, laws and regulations vary at the federal, state, provincial and municipal levels in which Enbridge operates and can be highly variable and subject to change. It is expected that further investments will be required to meet new regulato</w:t>
      </w:r>
      <w:r>
        <w:rPr>
          <w:rFonts w:ascii="Arial" w:eastAsia="Times New Roman" w:hAnsi="Arial" w:cs="Arial"/>
          <w:color w:val="000000"/>
          <w:sz w:val="20"/>
          <w:szCs w:val="20"/>
        </w:rPr>
        <w:t>ry requirements. In addition, in recent years there has been an increase in climate and disclosure-related litigation against governments as well as companies involved in the energy industry. There is no assurance that our company will not be impacted by s</w:t>
      </w:r>
      <w:r>
        <w:rPr>
          <w:rFonts w:ascii="Arial" w:eastAsia="Times New Roman" w:hAnsi="Arial" w:cs="Arial"/>
          <w:color w:val="000000"/>
          <w:sz w:val="20"/>
          <w:szCs w:val="20"/>
        </w:rPr>
        <w:t xml:space="preserve">uch litigation. </w:t>
      </w:r>
    </w:p>
    <w:p w:rsidR="00000000" w:rsidRDefault="001F1FC8">
      <w:pPr>
        <w:divId w:val="1395396922"/>
        <w:rPr>
          <w:rFonts w:eastAsia="Times New Roman"/>
        </w:rPr>
      </w:pPr>
    </w:p>
    <w:p w:rsidR="00000000" w:rsidRDefault="001F1FC8">
      <w:pPr>
        <w:jc w:val="center"/>
        <w:divId w:val="2078046142"/>
        <w:rPr>
          <w:rFonts w:eastAsia="Times New Roman"/>
        </w:rPr>
      </w:pPr>
      <w:r>
        <w:rPr>
          <w:rFonts w:ascii="Arial" w:eastAsia="Times New Roman" w:hAnsi="Arial" w:cs="Arial"/>
          <w:color w:val="000000"/>
          <w:sz w:val="20"/>
          <w:szCs w:val="20"/>
        </w:rPr>
        <w:t>42</w:t>
      </w:r>
    </w:p>
    <w:p w:rsidR="00000000" w:rsidRDefault="001F1FC8">
      <w:pPr>
        <w:rPr>
          <w:rFonts w:eastAsia="Times New Roman"/>
        </w:rPr>
      </w:pPr>
      <w:r>
        <w:rPr>
          <w:rFonts w:eastAsia="Times New Roman"/>
        </w:rPr>
        <w:pict>
          <v:rect id="_x0000_i1071" style="width:0;height:1.5pt" o:hralign="center" o:hrstd="t" o:hr="t" fillcolor="#a0a0a0" stroked="f"/>
        </w:pict>
      </w:r>
    </w:p>
    <w:p w:rsidR="00000000" w:rsidRDefault="001F1FC8">
      <w:pPr>
        <w:jc w:val="center"/>
        <w:divId w:val="72968603"/>
        <w:rPr>
          <w:rFonts w:eastAsia="Times New Roman"/>
        </w:rPr>
      </w:pPr>
    </w:p>
    <w:p w:rsidR="00000000" w:rsidRDefault="001F1FC8">
      <w:pPr>
        <w:divId w:val="344211294"/>
        <w:rPr>
          <w:rFonts w:eastAsia="Times New Roman"/>
        </w:rPr>
      </w:pPr>
      <w:r>
        <w:rPr>
          <w:rFonts w:ascii="Arial" w:eastAsia="Times New Roman" w:hAnsi="Arial" w:cs="Arial"/>
          <w:b/>
          <w:bCs/>
          <w:i/>
          <w:iCs/>
          <w:color w:val="000000"/>
          <w:sz w:val="20"/>
          <w:szCs w:val="20"/>
        </w:rPr>
        <w:t>Technology risks</w:t>
      </w:r>
    </w:p>
    <w:p w:rsidR="00000000" w:rsidRDefault="001F1FC8">
      <w:pPr>
        <w:divId w:val="259799013"/>
        <w:rPr>
          <w:rFonts w:eastAsia="Times New Roman"/>
        </w:rPr>
      </w:pPr>
      <w:r>
        <w:rPr>
          <w:rFonts w:ascii="Arial" w:eastAsia="Times New Roman" w:hAnsi="Arial" w:cs="Arial"/>
          <w:color w:val="000000"/>
          <w:sz w:val="20"/>
          <w:szCs w:val="20"/>
        </w:rPr>
        <w:t xml:space="preserve">Our success in executing our strategic plan, including our role in the transition to a lower-carbon economy, and attaining our GHG emissions reduction goals and targets, depends, </w:t>
      </w:r>
      <w:r>
        <w:rPr>
          <w:rFonts w:ascii="Arial" w:eastAsia="Times New Roman" w:hAnsi="Arial" w:cs="Arial"/>
          <w:color w:val="000000"/>
          <w:sz w:val="20"/>
          <w:szCs w:val="20"/>
        </w:rPr>
        <w:t>in part, on technology (including technology still under development), innovation and continued diversification with renewable power and other low carbon energy infrastructure as well as modernization of our infrastructure to reduce GHG emissions. Achievin</w:t>
      </w:r>
      <w:r>
        <w:rPr>
          <w:rFonts w:ascii="Arial" w:eastAsia="Times New Roman" w:hAnsi="Arial" w:cs="Arial"/>
          <w:color w:val="000000"/>
          <w:sz w:val="20"/>
          <w:szCs w:val="20"/>
        </w:rPr>
        <w:t>g our GHG emissions reductions goals and targets could require significant capital expenditures and resources, with the potential that the costs required to achieve our goals and targets materially differ from our original estimates and expectations. Simil</w:t>
      </w:r>
      <w:r>
        <w:rPr>
          <w:rFonts w:ascii="Arial" w:eastAsia="Times New Roman" w:hAnsi="Arial" w:cs="Arial"/>
          <w:color w:val="000000"/>
          <w:sz w:val="20"/>
          <w:szCs w:val="20"/>
        </w:rPr>
        <w:t xml:space="preserve">arly, there is a risk that emissions reduction technology – like battery storage, CCS or direct air capture – do not materialize as expected, making it more difficult to reduce emissions. </w:t>
      </w:r>
    </w:p>
    <w:p w:rsidR="00000000" w:rsidRDefault="001F1FC8">
      <w:pPr>
        <w:divId w:val="1943490003"/>
        <w:rPr>
          <w:rFonts w:eastAsia="Times New Roman"/>
        </w:rPr>
      </w:pPr>
    </w:p>
    <w:p w:rsidR="00000000" w:rsidRDefault="001F1FC8">
      <w:pPr>
        <w:divId w:val="901063092"/>
        <w:rPr>
          <w:rFonts w:eastAsia="Times New Roman"/>
        </w:rPr>
      </w:pPr>
      <w:r>
        <w:rPr>
          <w:rFonts w:ascii="Arial" w:eastAsia="Times New Roman" w:hAnsi="Arial" w:cs="Arial"/>
          <w:b/>
          <w:bCs/>
          <w:i/>
          <w:iCs/>
          <w:color w:val="000000"/>
          <w:sz w:val="20"/>
          <w:szCs w:val="20"/>
        </w:rPr>
        <w:t>Market risks</w:t>
      </w:r>
    </w:p>
    <w:p w:rsidR="00000000" w:rsidRDefault="001F1FC8">
      <w:pPr>
        <w:divId w:val="2032951435"/>
        <w:rPr>
          <w:rFonts w:eastAsia="Times New Roman"/>
        </w:rPr>
      </w:pPr>
      <w:r>
        <w:rPr>
          <w:rFonts w:ascii="Arial" w:eastAsia="Times New Roman" w:hAnsi="Arial" w:cs="Arial"/>
          <w:color w:val="000000"/>
          <w:sz w:val="20"/>
          <w:szCs w:val="20"/>
        </w:rPr>
        <w:t>Climate change concerns, increase in demand for low-</w:t>
      </w:r>
      <w:r>
        <w:rPr>
          <w:rFonts w:ascii="Arial" w:eastAsia="Times New Roman" w:hAnsi="Arial" w:cs="Arial"/>
          <w:color w:val="000000"/>
          <w:sz w:val="20"/>
          <w:szCs w:val="20"/>
        </w:rPr>
        <w:t xml:space="preserve">carbon and zero-emissions energy, alternative and new energy sources and technologies, changing customer behavior and reduced energy consumption could impact the demand for our services or securities. The pace and scale of the transition to a lower carbon </w:t>
      </w:r>
      <w:r>
        <w:rPr>
          <w:rFonts w:ascii="Arial" w:eastAsia="Times New Roman" w:hAnsi="Arial" w:cs="Arial"/>
          <w:color w:val="000000"/>
          <w:sz w:val="20"/>
          <w:szCs w:val="20"/>
        </w:rPr>
        <w:t>economy may pose a climate-related transition risk if Enbridge diversifies either too quickly or too slowly. Similarly, uncertainty in market signals, such as abrupt and unexpected shifts in energy costs and demands, including due to climate change concern</w:t>
      </w:r>
      <w:r>
        <w:rPr>
          <w:rFonts w:ascii="Arial" w:eastAsia="Times New Roman" w:hAnsi="Arial" w:cs="Arial"/>
          <w:color w:val="000000"/>
          <w:sz w:val="20"/>
          <w:szCs w:val="20"/>
        </w:rPr>
        <w:t xml:space="preserve">s, can impact revenue through reduced throughput volumes on our pipeline transportation systems. </w:t>
      </w:r>
    </w:p>
    <w:p w:rsidR="00000000" w:rsidRDefault="001F1FC8">
      <w:pPr>
        <w:divId w:val="1450007536"/>
        <w:rPr>
          <w:rFonts w:eastAsia="Times New Roman"/>
        </w:rPr>
      </w:pPr>
    </w:p>
    <w:p w:rsidR="00000000" w:rsidRDefault="001F1FC8">
      <w:pPr>
        <w:divId w:val="620382112"/>
        <w:rPr>
          <w:rFonts w:eastAsia="Times New Roman"/>
        </w:rPr>
      </w:pPr>
      <w:r>
        <w:rPr>
          <w:rFonts w:ascii="Arial" w:eastAsia="Times New Roman" w:hAnsi="Arial" w:cs="Arial"/>
          <w:b/>
          <w:bCs/>
          <w:i/>
          <w:iCs/>
          <w:color w:val="000000"/>
          <w:sz w:val="20"/>
          <w:szCs w:val="20"/>
        </w:rPr>
        <w:t>Reputational</w:t>
      </w:r>
      <w:r>
        <w:rPr>
          <w:rFonts w:ascii="Arial" w:eastAsia="Times New Roman" w:hAnsi="Arial" w:cs="Arial"/>
          <w:b/>
          <w:bCs/>
          <w:i/>
          <w:iCs/>
          <w:color w:val="000000"/>
        </w:rPr>
        <w:t xml:space="preserve"> </w:t>
      </w:r>
      <w:r>
        <w:rPr>
          <w:rFonts w:ascii="Arial" w:eastAsia="Times New Roman" w:hAnsi="Arial" w:cs="Arial"/>
          <w:b/>
          <w:bCs/>
          <w:i/>
          <w:iCs/>
          <w:color w:val="000000"/>
          <w:sz w:val="20"/>
          <w:szCs w:val="20"/>
        </w:rPr>
        <w:t>risks</w:t>
      </w:r>
    </w:p>
    <w:p w:rsidR="00000000" w:rsidRDefault="001F1FC8">
      <w:pPr>
        <w:divId w:val="1656452694"/>
        <w:rPr>
          <w:rFonts w:eastAsia="Times New Roman"/>
        </w:rPr>
      </w:pPr>
      <w:r>
        <w:rPr>
          <w:rFonts w:ascii="Arial" w:eastAsia="Times New Roman" w:hAnsi="Arial" w:cs="Arial"/>
          <w:color w:val="000000"/>
          <w:sz w:val="20"/>
          <w:szCs w:val="20"/>
        </w:rPr>
        <w:t>We have long been committed to strong ESG practices and performance, and in November 2020, we introduced a set of ESG goals to strengthen</w:t>
      </w:r>
      <w:r>
        <w:rPr>
          <w:rFonts w:ascii="Arial" w:eastAsia="Times New Roman" w:hAnsi="Arial" w:cs="Arial"/>
          <w:color w:val="000000"/>
          <w:sz w:val="20"/>
          <w:szCs w:val="20"/>
        </w:rPr>
        <w:t xml:space="preserve"> transparency and accountability. We have set GHG emissions reduction goals and a strategic priority to adapt to the energy transition over time. If we are not able to achieve our GHG emissions reduction goals, we are not able to meet future climate, emiss</w:t>
      </w:r>
      <w:r>
        <w:rPr>
          <w:rFonts w:ascii="Arial" w:eastAsia="Times New Roman" w:hAnsi="Arial" w:cs="Arial"/>
          <w:color w:val="000000"/>
          <w:sz w:val="20"/>
          <w:szCs w:val="20"/>
        </w:rPr>
        <w:t>ions or other reporting requirements of regulators, or we are not able to meet or manage current and future expectations and issues important to investors or other stakeholders, including those related to climate change, it could negatively impact our repu</w:t>
      </w:r>
      <w:r>
        <w:rPr>
          <w:rFonts w:ascii="Arial" w:eastAsia="Times New Roman" w:hAnsi="Arial" w:cs="Arial"/>
          <w:color w:val="000000"/>
          <w:sz w:val="20"/>
          <w:szCs w:val="20"/>
        </w:rPr>
        <w:t xml:space="preserve">tation and our business, operations or financial results. </w:t>
      </w:r>
    </w:p>
    <w:p w:rsidR="00000000" w:rsidRDefault="001F1FC8">
      <w:pPr>
        <w:divId w:val="1961262559"/>
        <w:rPr>
          <w:rFonts w:eastAsia="Times New Roman"/>
        </w:rPr>
      </w:pPr>
    </w:p>
    <w:p w:rsidR="00000000" w:rsidRDefault="001F1FC8">
      <w:pPr>
        <w:divId w:val="109933512"/>
        <w:rPr>
          <w:rFonts w:eastAsia="Times New Roman"/>
        </w:rPr>
      </w:pPr>
      <w:r>
        <w:rPr>
          <w:rFonts w:ascii="Arial" w:eastAsia="Times New Roman" w:hAnsi="Arial" w:cs="Arial"/>
          <w:b/>
          <w:bCs/>
          <w:color w:val="000000"/>
          <w:sz w:val="20"/>
          <w:szCs w:val="20"/>
        </w:rPr>
        <w:t>RISKS RELATED TO OPERATIONAL DISRUPTION OR CATASTROPHIC EVENTS</w:t>
      </w:r>
    </w:p>
    <w:p w:rsidR="00000000" w:rsidRDefault="001F1FC8">
      <w:pPr>
        <w:divId w:val="1538200431"/>
        <w:rPr>
          <w:rFonts w:eastAsia="Times New Roman"/>
        </w:rPr>
      </w:pPr>
    </w:p>
    <w:p w:rsidR="00000000" w:rsidRDefault="001F1FC8">
      <w:pPr>
        <w:divId w:val="184295227"/>
        <w:rPr>
          <w:rFonts w:eastAsia="Times New Roman"/>
        </w:rPr>
      </w:pPr>
      <w:r>
        <w:rPr>
          <w:rFonts w:ascii="Arial" w:eastAsia="Times New Roman" w:hAnsi="Arial" w:cs="Arial"/>
          <w:b/>
          <w:bCs/>
          <w:i/>
          <w:iCs/>
          <w:color w:val="000000"/>
          <w:sz w:val="20"/>
          <w:szCs w:val="20"/>
        </w:rPr>
        <w:t>Pipeline operations involve numerous risks that may adversely affect our business, financial results and the environment.</w:t>
      </w:r>
    </w:p>
    <w:p w:rsidR="00000000" w:rsidRDefault="001F1FC8">
      <w:pPr>
        <w:divId w:val="465662852"/>
        <w:rPr>
          <w:rFonts w:eastAsia="Times New Roman"/>
        </w:rPr>
      </w:pPr>
      <w:r>
        <w:rPr>
          <w:rFonts w:ascii="Arial" w:eastAsia="Times New Roman" w:hAnsi="Arial" w:cs="Arial"/>
          <w:color w:val="000000"/>
          <w:sz w:val="20"/>
          <w:szCs w:val="20"/>
        </w:rPr>
        <w:t>Operatio</w:t>
      </w:r>
      <w:r>
        <w:rPr>
          <w:rFonts w:ascii="Arial" w:eastAsia="Times New Roman" w:hAnsi="Arial" w:cs="Arial"/>
          <w:color w:val="000000"/>
          <w:sz w:val="20"/>
          <w:szCs w:val="20"/>
        </w:rPr>
        <w:t xml:space="preserve">n of complex pipeline systems, gathering, treating, storing and processing operations involves many risks, hazards and uncertainties. </w:t>
      </w:r>
    </w:p>
    <w:p w:rsidR="00000000" w:rsidRDefault="001F1FC8">
      <w:pPr>
        <w:divId w:val="896744704"/>
        <w:rPr>
          <w:rFonts w:eastAsia="Times New Roman"/>
        </w:rPr>
      </w:pPr>
    </w:p>
    <w:p w:rsidR="00000000" w:rsidRDefault="001F1FC8">
      <w:pPr>
        <w:divId w:val="1398936146"/>
        <w:rPr>
          <w:rFonts w:eastAsia="Times New Roman"/>
        </w:rPr>
      </w:pPr>
      <w:r>
        <w:rPr>
          <w:rFonts w:ascii="Arial" w:eastAsia="Times New Roman" w:hAnsi="Arial" w:cs="Arial"/>
          <w:color w:val="000000"/>
          <w:sz w:val="20"/>
          <w:szCs w:val="20"/>
        </w:rPr>
        <w:t>These operational risks include adverse weather conditions, natural disasters, accidents, the breakdown or failure of e</w:t>
      </w:r>
      <w:r>
        <w:rPr>
          <w:rFonts w:ascii="Arial" w:eastAsia="Times New Roman" w:hAnsi="Arial" w:cs="Arial"/>
          <w:color w:val="000000"/>
          <w:sz w:val="20"/>
          <w:szCs w:val="20"/>
        </w:rPr>
        <w:t>quipment or processes, and the performance of the facilities below expected levels of capacity and efficiency and catastrophic events. Climate change presents physical risks relating to the physical impacts of climate change, which can affect the safety an</w:t>
      </w:r>
      <w:r>
        <w:rPr>
          <w:rFonts w:ascii="Arial" w:eastAsia="Times New Roman" w:hAnsi="Arial" w:cs="Arial"/>
          <w:color w:val="000000"/>
          <w:sz w:val="20"/>
          <w:szCs w:val="20"/>
        </w:rPr>
        <w:t>d reliability of our operations. Climate change could result in extreme variability in weather patterns, such as increased frequency and severity of extreme weather events, extreme hot and cold weather, heavy snowfall, heavy rainfall, floods, landslides, f</w:t>
      </w:r>
      <w:r>
        <w:rPr>
          <w:rFonts w:ascii="Arial" w:eastAsia="Times New Roman" w:hAnsi="Arial" w:cs="Arial"/>
          <w:color w:val="000000"/>
          <w:sz w:val="20"/>
          <w:szCs w:val="20"/>
        </w:rPr>
        <w:t xml:space="preserve">ires, hurricanes, tropical storms, ice storms, rising mean temperature and sea levels, and long-term changes in precipitation patterns. </w:t>
      </w:r>
    </w:p>
    <w:p w:rsidR="00000000" w:rsidRDefault="001F1FC8">
      <w:pPr>
        <w:divId w:val="1689982053"/>
        <w:rPr>
          <w:rFonts w:eastAsia="Times New Roman"/>
        </w:rPr>
      </w:pPr>
    </w:p>
    <w:p w:rsidR="00000000" w:rsidRDefault="001F1FC8">
      <w:pPr>
        <w:divId w:val="2144813497"/>
        <w:rPr>
          <w:rFonts w:eastAsia="Times New Roman"/>
        </w:rPr>
      </w:pPr>
      <w:r>
        <w:rPr>
          <w:rFonts w:ascii="Arial" w:eastAsia="Times New Roman" w:hAnsi="Arial" w:cs="Arial"/>
          <w:color w:val="000000"/>
          <w:sz w:val="20"/>
          <w:szCs w:val="20"/>
        </w:rPr>
        <w:t>Our assets and operations are exposed to potential interruption or damage from these kinds of events, and we may also</w:t>
      </w:r>
      <w:r>
        <w:rPr>
          <w:rFonts w:ascii="Arial" w:eastAsia="Times New Roman" w:hAnsi="Arial" w:cs="Arial"/>
          <w:color w:val="000000"/>
          <w:sz w:val="20"/>
          <w:szCs w:val="20"/>
        </w:rPr>
        <w:t xml:space="preserve"> experience reduced access to our assets, increased risk of loss of life or injury, damage to our property and our assets, environmental pollution or impairment of our operations. These kinds of events could also result in rupture or release of product fro</w:t>
      </w:r>
      <w:r>
        <w:rPr>
          <w:rFonts w:ascii="Arial" w:eastAsia="Times New Roman" w:hAnsi="Arial" w:cs="Arial"/>
          <w:color w:val="000000"/>
          <w:sz w:val="20"/>
          <w:szCs w:val="20"/>
        </w:rPr>
        <w:t>m our pipeline systems and facilities. Such events could result in substantial losses for which insurance may not be sufficient or available and for which we may bear a part or all of the cost. Operational risk is also intensified by changing climate and m</w:t>
      </w:r>
      <w:r>
        <w:rPr>
          <w:rFonts w:ascii="Arial" w:eastAsia="Times New Roman" w:hAnsi="Arial" w:cs="Arial"/>
          <w:color w:val="000000"/>
          <w:sz w:val="20"/>
          <w:szCs w:val="20"/>
        </w:rPr>
        <w:t xml:space="preserve">ore extreme weather events. </w:t>
      </w:r>
    </w:p>
    <w:p w:rsidR="00000000" w:rsidRDefault="001F1FC8">
      <w:pPr>
        <w:divId w:val="8679016"/>
        <w:rPr>
          <w:rFonts w:eastAsia="Times New Roman"/>
        </w:rPr>
      </w:pPr>
    </w:p>
    <w:p w:rsidR="00000000" w:rsidRDefault="001F1FC8">
      <w:pPr>
        <w:jc w:val="center"/>
        <w:divId w:val="1045374911"/>
        <w:rPr>
          <w:rFonts w:eastAsia="Times New Roman"/>
        </w:rPr>
      </w:pPr>
      <w:r>
        <w:rPr>
          <w:rFonts w:ascii="Arial" w:eastAsia="Times New Roman" w:hAnsi="Arial" w:cs="Arial"/>
          <w:color w:val="000000"/>
          <w:sz w:val="20"/>
          <w:szCs w:val="20"/>
        </w:rPr>
        <w:t>43</w:t>
      </w:r>
    </w:p>
    <w:p w:rsidR="00000000" w:rsidRDefault="001F1FC8">
      <w:pPr>
        <w:rPr>
          <w:rFonts w:eastAsia="Times New Roman"/>
        </w:rPr>
      </w:pPr>
      <w:r>
        <w:rPr>
          <w:rFonts w:eastAsia="Times New Roman"/>
        </w:rPr>
        <w:pict>
          <v:rect id="_x0000_i1072" style="width:0;height:1.5pt" o:hralign="center" o:hrstd="t" o:hr="t" fillcolor="#a0a0a0" stroked="f"/>
        </w:pict>
      </w:r>
    </w:p>
    <w:p w:rsidR="00000000" w:rsidRDefault="001F1FC8">
      <w:pPr>
        <w:jc w:val="center"/>
        <w:divId w:val="797840453"/>
        <w:rPr>
          <w:rFonts w:eastAsia="Times New Roman"/>
        </w:rPr>
      </w:pPr>
    </w:p>
    <w:p w:rsidR="00000000" w:rsidRDefault="001F1FC8">
      <w:pPr>
        <w:divId w:val="785390523"/>
        <w:rPr>
          <w:rFonts w:eastAsia="Times New Roman"/>
        </w:rPr>
      </w:pPr>
      <w:r>
        <w:rPr>
          <w:rFonts w:ascii="Arial" w:eastAsia="Times New Roman" w:hAnsi="Arial" w:cs="Arial"/>
          <w:color w:val="000000"/>
          <w:sz w:val="20"/>
          <w:szCs w:val="20"/>
        </w:rPr>
        <w:t>An environmental incident is an event that may cause environmental harm and could lead to an increased cost of operating and insuring our assets, thereby negatively impacting earnings. An environmental incident could have lasting reputational impacts and c</w:t>
      </w:r>
      <w:r>
        <w:rPr>
          <w:rFonts w:ascii="Arial" w:eastAsia="Times New Roman" w:hAnsi="Arial" w:cs="Arial"/>
          <w:color w:val="000000"/>
          <w:sz w:val="20"/>
          <w:szCs w:val="20"/>
        </w:rPr>
        <w:t>ould impact our ability to work with various stakeholders. For pipeline and storage assets located near populated areas, including residential communities, commercial business centers, industrial sites and other public gathering locations, the level of dam</w:t>
      </w:r>
      <w:r>
        <w:rPr>
          <w:rFonts w:ascii="Arial" w:eastAsia="Times New Roman" w:hAnsi="Arial" w:cs="Arial"/>
          <w:color w:val="000000"/>
          <w:sz w:val="20"/>
          <w:szCs w:val="20"/>
        </w:rPr>
        <w:t>age resulting from these events could be greater.</w:t>
      </w:r>
    </w:p>
    <w:p w:rsidR="00000000" w:rsidRDefault="001F1FC8">
      <w:pPr>
        <w:divId w:val="1926450479"/>
        <w:rPr>
          <w:rFonts w:eastAsia="Times New Roman"/>
        </w:rPr>
      </w:pPr>
    </w:p>
    <w:p w:rsidR="00000000" w:rsidRDefault="001F1FC8">
      <w:pPr>
        <w:divId w:val="488717256"/>
        <w:rPr>
          <w:rFonts w:eastAsia="Times New Roman"/>
        </w:rPr>
      </w:pPr>
      <w:r>
        <w:rPr>
          <w:rFonts w:ascii="Arial" w:eastAsia="Times New Roman" w:hAnsi="Arial" w:cs="Arial"/>
          <w:color w:val="000000"/>
          <w:sz w:val="20"/>
          <w:szCs w:val="20"/>
        </w:rPr>
        <w:t>We have experienced such events in the past, including in 2010 on Lines 6A and 6B of the Lakehead System; in October 2018 at the BC Pipeline T-South system; in January 2019, August 2019 and May 2020 at th</w:t>
      </w:r>
      <w:r>
        <w:rPr>
          <w:rFonts w:ascii="Arial" w:eastAsia="Times New Roman" w:hAnsi="Arial" w:cs="Arial"/>
          <w:color w:val="000000"/>
          <w:sz w:val="20"/>
          <w:szCs w:val="20"/>
        </w:rPr>
        <w:t>e Texas Eastern Pipeline; impacts from the winter storm in February 2021 in Texas and from wildfires in July 2021 and flooding in November 2021 in BC. We have incurred and expect to continue to incur significant costs in preparing for or responding to oper</w:t>
      </w:r>
      <w:r>
        <w:rPr>
          <w:rFonts w:ascii="Arial" w:eastAsia="Times New Roman" w:hAnsi="Arial" w:cs="Arial"/>
          <w:color w:val="000000"/>
          <w:sz w:val="20"/>
          <w:szCs w:val="20"/>
        </w:rPr>
        <w:t>ational risks and events. We expect to continue to experience climate related physical risks, potentially with increasing frequency and severity, and we cannot guarantee that we will not experience catastrophic or other events in the future. In addition, w</w:t>
      </w:r>
      <w:r>
        <w:rPr>
          <w:rFonts w:ascii="Arial" w:eastAsia="Times New Roman" w:hAnsi="Arial" w:cs="Arial"/>
          <w:color w:val="000000"/>
          <w:sz w:val="20"/>
          <w:szCs w:val="20"/>
        </w:rPr>
        <w:t xml:space="preserve">e could be subject to litigation and significant fines and penalties from regulators in connection with any such events. </w:t>
      </w:r>
    </w:p>
    <w:p w:rsidR="00000000" w:rsidRDefault="001F1FC8">
      <w:pPr>
        <w:divId w:val="301810819"/>
        <w:rPr>
          <w:rFonts w:eastAsia="Times New Roman"/>
        </w:rPr>
      </w:pPr>
    </w:p>
    <w:p w:rsidR="00000000" w:rsidRDefault="001F1FC8">
      <w:pPr>
        <w:divId w:val="1847600028"/>
        <w:rPr>
          <w:rFonts w:eastAsia="Times New Roman"/>
        </w:rPr>
      </w:pPr>
      <w:r>
        <w:rPr>
          <w:rFonts w:ascii="Arial" w:eastAsia="Times New Roman" w:hAnsi="Arial" w:cs="Arial"/>
          <w:b/>
          <w:bCs/>
          <w:i/>
          <w:iCs/>
          <w:color w:val="000000"/>
          <w:sz w:val="20"/>
          <w:szCs w:val="20"/>
        </w:rPr>
        <w:t>A service interruption could have a significant impact on our operations, and negatively impact financial results, relationships wit</w:t>
      </w:r>
      <w:r>
        <w:rPr>
          <w:rFonts w:ascii="Arial" w:eastAsia="Times New Roman" w:hAnsi="Arial" w:cs="Arial"/>
          <w:b/>
          <w:bCs/>
          <w:i/>
          <w:iCs/>
          <w:color w:val="000000"/>
          <w:sz w:val="20"/>
          <w:szCs w:val="20"/>
        </w:rPr>
        <w:t>h stakeholders and our reputation.</w:t>
      </w:r>
    </w:p>
    <w:p w:rsidR="00000000" w:rsidRDefault="001F1FC8">
      <w:pPr>
        <w:divId w:val="826824400"/>
        <w:rPr>
          <w:rFonts w:eastAsia="Times New Roman"/>
        </w:rPr>
      </w:pPr>
      <w:r>
        <w:rPr>
          <w:rFonts w:ascii="Arial" w:eastAsia="Times New Roman" w:hAnsi="Arial" w:cs="Arial"/>
          <w:color w:val="000000"/>
          <w:sz w:val="20"/>
          <w:szCs w:val="20"/>
        </w:rPr>
        <w:t xml:space="preserve">A service interruption due to a major power disruption, curtailment of commodity supply, operational incident, availability of gas supply or distribution or other reasons could have a significant impact on our operations </w:t>
      </w:r>
      <w:r>
        <w:rPr>
          <w:rFonts w:ascii="Arial" w:eastAsia="Times New Roman" w:hAnsi="Arial" w:cs="Arial"/>
          <w:color w:val="000000"/>
          <w:sz w:val="20"/>
          <w:szCs w:val="20"/>
        </w:rPr>
        <w:t xml:space="preserve">and negatively impact financial results, relationships with stakeholders, our reputation or the safety of our end customers. Service interruptions that impact our crude oil and natural gas transportation services can negatively impact shippers’ operations </w:t>
      </w:r>
      <w:r>
        <w:rPr>
          <w:rFonts w:ascii="Arial" w:eastAsia="Times New Roman" w:hAnsi="Arial" w:cs="Arial"/>
          <w:color w:val="000000"/>
          <w:sz w:val="20"/>
          <w:szCs w:val="20"/>
        </w:rPr>
        <w:t>and earnings as they are dependent on our services to move their product to market or fulfill their own contractual arrangements. We have experienced, and may again experience, service interruptions including in connection with the kinds of operational inc</w:t>
      </w:r>
      <w:r>
        <w:rPr>
          <w:rFonts w:ascii="Arial" w:eastAsia="Times New Roman" w:hAnsi="Arial" w:cs="Arial"/>
          <w:color w:val="000000"/>
          <w:sz w:val="20"/>
          <w:szCs w:val="20"/>
        </w:rPr>
        <w:t>idents referred to in the previous risk factor.</w:t>
      </w:r>
    </w:p>
    <w:p w:rsidR="00000000" w:rsidRDefault="001F1FC8">
      <w:pPr>
        <w:divId w:val="307904796"/>
        <w:rPr>
          <w:rFonts w:eastAsia="Times New Roman"/>
        </w:rPr>
      </w:pPr>
    </w:p>
    <w:p w:rsidR="00000000" w:rsidRDefault="001F1FC8">
      <w:pPr>
        <w:divId w:val="1863320564"/>
        <w:rPr>
          <w:rFonts w:eastAsia="Times New Roman"/>
        </w:rPr>
      </w:pPr>
      <w:r>
        <w:rPr>
          <w:rFonts w:ascii="Arial" w:eastAsia="Times New Roman" w:hAnsi="Arial" w:cs="Arial"/>
          <w:b/>
          <w:bCs/>
          <w:i/>
          <w:iCs/>
          <w:color w:val="000000"/>
          <w:sz w:val="20"/>
          <w:szCs w:val="20"/>
        </w:rPr>
        <w:t>Our operations involve safety risks to the public and to our workers and contractors.</w:t>
      </w:r>
    </w:p>
    <w:p w:rsidR="00000000" w:rsidRDefault="001F1FC8">
      <w:pPr>
        <w:divId w:val="1080979067"/>
        <w:rPr>
          <w:rFonts w:eastAsia="Times New Roman"/>
        </w:rPr>
      </w:pPr>
      <w:r>
        <w:rPr>
          <w:rFonts w:ascii="Arial" w:eastAsia="Times New Roman" w:hAnsi="Arial" w:cs="Arial"/>
          <w:color w:val="000000"/>
          <w:sz w:val="20"/>
          <w:szCs w:val="20"/>
        </w:rPr>
        <w:t xml:space="preserve">Several of our pipelines and distribution systems and related assets are operated in close proximity to populated areas </w:t>
      </w:r>
      <w:r>
        <w:rPr>
          <w:rFonts w:ascii="Arial" w:eastAsia="Times New Roman" w:hAnsi="Arial" w:cs="Arial"/>
          <w:color w:val="000000"/>
          <w:sz w:val="20"/>
          <w:szCs w:val="20"/>
        </w:rPr>
        <w:t>and a major incident could result in injury or loss of life to members of the public. In addition, given the natural hazards inherent in our operations, our workers and contractors are subject to personal safety risks. A public safety incident or an injury</w:t>
      </w:r>
      <w:r>
        <w:rPr>
          <w:rFonts w:ascii="Arial" w:eastAsia="Times New Roman" w:hAnsi="Arial" w:cs="Arial"/>
          <w:color w:val="000000"/>
          <w:sz w:val="20"/>
          <w:szCs w:val="20"/>
        </w:rPr>
        <w:t xml:space="preserve"> or loss of life to our workers or contractors, which we have experienced in the past and, despite the precautions we take, may experience in the future, could result in reputational damage to us, material repair costs or increased costs of operating and i</w:t>
      </w:r>
      <w:r>
        <w:rPr>
          <w:rFonts w:ascii="Arial" w:eastAsia="Times New Roman" w:hAnsi="Arial" w:cs="Arial"/>
          <w:color w:val="000000"/>
          <w:sz w:val="20"/>
          <w:szCs w:val="20"/>
        </w:rPr>
        <w:t>nsuring our assets.</w:t>
      </w:r>
    </w:p>
    <w:p w:rsidR="00000000" w:rsidRDefault="001F1FC8">
      <w:pPr>
        <w:divId w:val="258292343"/>
        <w:rPr>
          <w:rFonts w:eastAsia="Times New Roman"/>
        </w:rPr>
      </w:pPr>
    </w:p>
    <w:p w:rsidR="00000000" w:rsidRDefault="001F1FC8">
      <w:pPr>
        <w:divId w:val="2128116131"/>
        <w:rPr>
          <w:rFonts w:eastAsia="Times New Roman"/>
        </w:rPr>
      </w:pPr>
      <w:r>
        <w:rPr>
          <w:rFonts w:ascii="Arial" w:eastAsia="Times New Roman" w:hAnsi="Arial" w:cs="Arial"/>
          <w:b/>
          <w:bCs/>
          <w:i/>
          <w:iCs/>
          <w:color w:val="000000"/>
          <w:sz w:val="20"/>
          <w:szCs w:val="20"/>
        </w:rPr>
        <w:t xml:space="preserve">Cyber-attacks or security breaches could adversely affect our business, operations or financial results. </w:t>
      </w:r>
    </w:p>
    <w:p w:rsidR="00000000" w:rsidRDefault="001F1FC8">
      <w:pPr>
        <w:divId w:val="114370419"/>
        <w:rPr>
          <w:rFonts w:eastAsia="Times New Roman"/>
        </w:rPr>
      </w:pPr>
      <w:r>
        <w:rPr>
          <w:rFonts w:ascii="Arial" w:eastAsia="Times New Roman" w:hAnsi="Arial" w:cs="Arial"/>
          <w:color w:val="000000"/>
          <w:sz w:val="20"/>
          <w:szCs w:val="20"/>
        </w:rPr>
        <w:t>Our business is dependent upon information systems and other digital technologies for controlling our plants, pipelines and othe</w:t>
      </w:r>
      <w:r>
        <w:rPr>
          <w:rFonts w:ascii="Arial" w:eastAsia="Times New Roman" w:hAnsi="Arial" w:cs="Arial"/>
          <w:color w:val="000000"/>
          <w:sz w:val="20"/>
          <w:szCs w:val="20"/>
        </w:rPr>
        <w:t xml:space="preserve">r assets, processing transactions and summarizing and reporting results of operations. The secure processing, maintenance and transmission of information is critical to our operations. A security breach of our network or systems, or the network or systems </w:t>
      </w:r>
      <w:r>
        <w:rPr>
          <w:rFonts w:ascii="Arial" w:eastAsia="Times New Roman" w:hAnsi="Arial" w:cs="Arial"/>
          <w:color w:val="000000"/>
          <w:sz w:val="20"/>
          <w:szCs w:val="20"/>
        </w:rPr>
        <w:t>of our third-party vendors, could result in improper operation of our assets, potentially including delays in the delivery or availability of our customers’ products, contamination or degradation of the products we transport, store and distribute, or relea</w:t>
      </w:r>
      <w:r>
        <w:rPr>
          <w:rFonts w:ascii="Arial" w:eastAsia="Times New Roman" w:hAnsi="Arial" w:cs="Arial"/>
          <w:color w:val="000000"/>
          <w:sz w:val="20"/>
          <w:szCs w:val="20"/>
        </w:rPr>
        <w:t>ses of hydrocarbon products for which we could be held liable. Furthermore, we and some of our vendors collect and store sensitive data in the ordinary course of our business, including personal information of our employees and residential gas distribution</w:t>
      </w:r>
      <w:r>
        <w:rPr>
          <w:rFonts w:ascii="Arial" w:eastAsia="Times New Roman" w:hAnsi="Arial" w:cs="Arial"/>
          <w:color w:val="000000"/>
          <w:sz w:val="20"/>
          <w:szCs w:val="20"/>
        </w:rPr>
        <w:t xml:space="preserve"> customers as well as our proprietary business information and that of our customers, suppliers, investors and other stakeholders. </w:t>
      </w:r>
    </w:p>
    <w:p w:rsidR="00000000" w:rsidRDefault="001F1FC8">
      <w:pPr>
        <w:divId w:val="26486432"/>
        <w:rPr>
          <w:rFonts w:eastAsia="Times New Roman"/>
        </w:rPr>
      </w:pPr>
    </w:p>
    <w:p w:rsidR="00000000" w:rsidRDefault="001F1FC8">
      <w:pPr>
        <w:jc w:val="center"/>
        <w:divId w:val="1770155270"/>
        <w:rPr>
          <w:rFonts w:eastAsia="Times New Roman"/>
        </w:rPr>
      </w:pPr>
      <w:r>
        <w:rPr>
          <w:rFonts w:ascii="Arial" w:eastAsia="Times New Roman" w:hAnsi="Arial" w:cs="Arial"/>
          <w:color w:val="000000"/>
          <w:sz w:val="20"/>
          <w:szCs w:val="20"/>
        </w:rPr>
        <w:t>44</w:t>
      </w:r>
    </w:p>
    <w:p w:rsidR="00000000" w:rsidRDefault="001F1FC8">
      <w:pPr>
        <w:rPr>
          <w:rFonts w:eastAsia="Times New Roman"/>
        </w:rPr>
      </w:pPr>
      <w:r>
        <w:rPr>
          <w:rFonts w:eastAsia="Times New Roman"/>
        </w:rPr>
        <w:pict>
          <v:rect id="_x0000_i1073" style="width:0;height:1.5pt" o:hralign="center" o:hrstd="t" o:hr="t" fillcolor="#a0a0a0" stroked="f"/>
        </w:pict>
      </w:r>
    </w:p>
    <w:p w:rsidR="00000000" w:rsidRDefault="001F1FC8">
      <w:pPr>
        <w:jc w:val="center"/>
        <w:divId w:val="1151286802"/>
        <w:rPr>
          <w:rFonts w:eastAsia="Times New Roman"/>
        </w:rPr>
      </w:pPr>
    </w:p>
    <w:p w:rsidR="00000000" w:rsidRDefault="001F1FC8">
      <w:pPr>
        <w:divId w:val="1384139235"/>
        <w:rPr>
          <w:rFonts w:eastAsia="Times New Roman"/>
        </w:rPr>
      </w:pPr>
      <w:r>
        <w:rPr>
          <w:rFonts w:ascii="Arial" w:eastAsia="Times New Roman" w:hAnsi="Arial" w:cs="Arial"/>
          <w:color w:val="000000"/>
          <w:sz w:val="20"/>
          <w:szCs w:val="20"/>
        </w:rPr>
        <w:t xml:space="preserve">Cybersecurity risks have increased in recent years as a result of the proliferation of new technologies and the increased sophistication, magnitude and frequency of cyber-attacks and data security breaches, as well as </w:t>
      </w:r>
      <w:r>
        <w:rPr>
          <w:rFonts w:ascii="Arial" w:eastAsia="Times New Roman" w:hAnsi="Arial" w:cs="Arial"/>
          <w:color w:val="000000"/>
          <w:sz w:val="20"/>
          <w:szCs w:val="20"/>
        </w:rPr>
        <w:t>due to international and national political factors. Because of the critical nature of our infrastructure and our use of information systems and other digital technologies to control our assets, we face a heightened risk of cyber-attacks. New cybersecurity</w:t>
      </w:r>
      <w:r>
        <w:rPr>
          <w:rFonts w:ascii="Arial" w:eastAsia="Times New Roman" w:hAnsi="Arial" w:cs="Arial"/>
          <w:color w:val="000000"/>
          <w:sz w:val="20"/>
          <w:szCs w:val="20"/>
        </w:rPr>
        <w:t xml:space="preserve"> regulations have been recently implemented resulting in additional regulatory oversight and compliance requirements. </w:t>
      </w:r>
    </w:p>
    <w:p w:rsidR="00000000" w:rsidRDefault="001F1FC8">
      <w:pPr>
        <w:divId w:val="674377404"/>
        <w:rPr>
          <w:rFonts w:eastAsia="Times New Roman"/>
        </w:rPr>
      </w:pPr>
    </w:p>
    <w:p w:rsidR="00000000" w:rsidRDefault="001F1FC8">
      <w:pPr>
        <w:divId w:val="111216458"/>
        <w:rPr>
          <w:rFonts w:eastAsia="Times New Roman"/>
        </w:rPr>
      </w:pPr>
      <w:r>
        <w:rPr>
          <w:rFonts w:ascii="Arial" w:eastAsia="Times New Roman" w:hAnsi="Arial" w:cs="Arial"/>
          <w:color w:val="000000"/>
          <w:sz w:val="20"/>
          <w:szCs w:val="20"/>
        </w:rPr>
        <w:t>During the normal course of business, we have experienced and expect to continue to experience attempts to gain unauthorized access, co</w:t>
      </w:r>
      <w:r>
        <w:rPr>
          <w:rFonts w:ascii="Arial" w:eastAsia="Times New Roman" w:hAnsi="Arial" w:cs="Arial"/>
          <w:color w:val="000000"/>
          <w:sz w:val="20"/>
          <w:szCs w:val="20"/>
        </w:rPr>
        <w:t>mpromise our information systems or to disrupt our operations through cyber-attacks or security breaches, although none to our knowledge have had a material adverse effect on our business, operations or financial results. Despite our security measures, our</w:t>
      </w:r>
      <w:r>
        <w:rPr>
          <w:rFonts w:ascii="Arial" w:eastAsia="Times New Roman" w:hAnsi="Arial" w:cs="Arial"/>
          <w:color w:val="000000"/>
          <w:sz w:val="20"/>
          <w:szCs w:val="20"/>
        </w:rPr>
        <w:t xml:space="preserve"> information systems or those of our vendors are expected to become the target of further cyber-attacks or security breaches which could compromise our systems, affect our ability to correctly record, process and report transactions, result in the loss of </w:t>
      </w:r>
      <w:r>
        <w:rPr>
          <w:rFonts w:ascii="Arial" w:eastAsia="Times New Roman" w:hAnsi="Arial" w:cs="Arial"/>
          <w:color w:val="000000"/>
          <w:sz w:val="20"/>
          <w:szCs w:val="20"/>
        </w:rPr>
        <w:t>information, or cause operational disruption. As a result of a cyber-attack or security breach, we could also be liable under laws that protect the privacy of personal information, subject to regulatory penalties, incur additional costs for remediation, li</w:t>
      </w:r>
      <w:r>
        <w:rPr>
          <w:rFonts w:ascii="Arial" w:eastAsia="Times New Roman" w:hAnsi="Arial" w:cs="Arial"/>
          <w:color w:val="000000"/>
          <w:sz w:val="20"/>
          <w:szCs w:val="20"/>
        </w:rPr>
        <w:t>tigation or other costs, all of which could materially adversely affect our reputation, business, operations or financial results.</w:t>
      </w:r>
    </w:p>
    <w:p w:rsidR="00000000" w:rsidRDefault="001F1FC8">
      <w:pPr>
        <w:divId w:val="497502959"/>
        <w:rPr>
          <w:rFonts w:eastAsia="Times New Roman"/>
        </w:rPr>
      </w:pPr>
    </w:p>
    <w:p w:rsidR="00000000" w:rsidRDefault="001F1FC8">
      <w:pPr>
        <w:divId w:val="1666202082"/>
        <w:rPr>
          <w:rFonts w:eastAsia="Times New Roman"/>
        </w:rPr>
      </w:pPr>
      <w:r>
        <w:rPr>
          <w:rFonts w:ascii="Arial" w:eastAsia="Times New Roman" w:hAnsi="Arial" w:cs="Arial"/>
          <w:b/>
          <w:bCs/>
          <w:i/>
          <w:iCs/>
          <w:color w:val="000000"/>
          <w:sz w:val="20"/>
          <w:szCs w:val="20"/>
        </w:rPr>
        <w:t>Pandemics, epidemics or disease outbreaks, such as the COVID-19 pandemic, may adversely affect local and global economies a</w:t>
      </w:r>
      <w:r>
        <w:rPr>
          <w:rFonts w:ascii="Arial" w:eastAsia="Times New Roman" w:hAnsi="Arial" w:cs="Arial"/>
          <w:b/>
          <w:bCs/>
          <w:i/>
          <w:iCs/>
          <w:color w:val="000000"/>
          <w:sz w:val="20"/>
          <w:szCs w:val="20"/>
        </w:rPr>
        <w:t>nd our business, operations or financial results.</w:t>
      </w:r>
    </w:p>
    <w:p w:rsidR="00000000" w:rsidRDefault="001F1FC8">
      <w:pPr>
        <w:divId w:val="646471399"/>
        <w:rPr>
          <w:rFonts w:eastAsia="Times New Roman"/>
        </w:rPr>
      </w:pPr>
      <w:r>
        <w:rPr>
          <w:rFonts w:ascii="Arial" w:eastAsia="Times New Roman" w:hAnsi="Arial" w:cs="Arial"/>
          <w:color w:val="000000"/>
          <w:sz w:val="20"/>
          <w:szCs w:val="20"/>
        </w:rPr>
        <w:t>Disruptions caused by pandemics, epidemics or disease outbreaks, in locations in which we operate or globally, could materially adversely affect our business, operations, financial results and forward-looki</w:t>
      </w:r>
      <w:r>
        <w:rPr>
          <w:rFonts w:ascii="Arial" w:eastAsia="Times New Roman" w:hAnsi="Arial" w:cs="Arial"/>
          <w:color w:val="000000"/>
          <w:sz w:val="20"/>
          <w:szCs w:val="20"/>
        </w:rPr>
        <w:t xml:space="preserve">ng expectations. </w:t>
      </w:r>
    </w:p>
    <w:p w:rsidR="00000000" w:rsidRDefault="001F1FC8">
      <w:pPr>
        <w:divId w:val="1744376785"/>
        <w:rPr>
          <w:rFonts w:eastAsia="Times New Roman"/>
        </w:rPr>
      </w:pPr>
    </w:p>
    <w:p w:rsidR="00000000" w:rsidRDefault="001F1FC8">
      <w:pPr>
        <w:divId w:val="965046397"/>
        <w:rPr>
          <w:rFonts w:eastAsia="Times New Roman"/>
        </w:rPr>
      </w:pPr>
      <w:r>
        <w:rPr>
          <w:rFonts w:ascii="Arial" w:eastAsia="Times New Roman" w:hAnsi="Arial" w:cs="Arial"/>
          <w:color w:val="000000"/>
          <w:sz w:val="20"/>
          <w:szCs w:val="20"/>
        </w:rPr>
        <w:t>In response to the rapid global spread of COVID-19, governments continue to enact emergency measures to combat the spread of the virus. These measures include restrictions on business activity and travel, as well as requirements to isol</w:t>
      </w:r>
      <w:r>
        <w:rPr>
          <w:rFonts w:ascii="Arial" w:eastAsia="Times New Roman" w:hAnsi="Arial" w:cs="Arial"/>
          <w:color w:val="000000"/>
          <w:sz w:val="20"/>
          <w:szCs w:val="20"/>
        </w:rPr>
        <w:t>ate or quarantine. Certain of our operations and projects have been deemed essential services in critical infrastructure sectors and are currently exempt from certain business activity restrictions. COVID-19 and government responses have interrupted busine</w:t>
      </w:r>
      <w:r>
        <w:rPr>
          <w:rFonts w:ascii="Arial" w:eastAsia="Times New Roman" w:hAnsi="Arial" w:cs="Arial"/>
          <w:color w:val="000000"/>
          <w:sz w:val="20"/>
          <w:szCs w:val="20"/>
        </w:rPr>
        <w:t>ss activities and supply chains, disrupted travel, and contributed to significant volatility in the financial and commodity markets.</w:t>
      </w:r>
    </w:p>
    <w:p w:rsidR="00000000" w:rsidRDefault="001F1FC8">
      <w:pPr>
        <w:divId w:val="204373180"/>
        <w:rPr>
          <w:rFonts w:eastAsia="Times New Roman"/>
        </w:rPr>
      </w:pPr>
    </w:p>
    <w:p w:rsidR="00000000" w:rsidRDefault="001F1FC8">
      <w:pPr>
        <w:divId w:val="1814827108"/>
        <w:rPr>
          <w:rFonts w:eastAsia="Times New Roman"/>
        </w:rPr>
      </w:pPr>
      <w:r>
        <w:rPr>
          <w:rFonts w:ascii="Arial" w:eastAsia="Times New Roman" w:hAnsi="Arial" w:cs="Arial"/>
          <w:color w:val="000000"/>
          <w:sz w:val="20"/>
          <w:szCs w:val="20"/>
        </w:rPr>
        <w:t>Given the ongoing and dynamic nature of the COVID-19 pandemic, further impacts will depend on future developments and fac</w:t>
      </w:r>
      <w:r>
        <w:rPr>
          <w:rFonts w:ascii="Arial" w:eastAsia="Times New Roman" w:hAnsi="Arial" w:cs="Arial"/>
          <w:color w:val="000000"/>
          <w:sz w:val="20"/>
          <w:szCs w:val="20"/>
        </w:rPr>
        <w:t>tors outside of our control, which are uncertain, evolving and cannot be predicted, including new information which may emerge concerning the severity or duration of this pandemic (including new COVID-19 strains and the efficacy of vaccines) and actions ta</w:t>
      </w:r>
      <w:r>
        <w:rPr>
          <w:rFonts w:ascii="Arial" w:eastAsia="Times New Roman" w:hAnsi="Arial" w:cs="Arial"/>
          <w:color w:val="000000"/>
          <w:sz w:val="20"/>
          <w:szCs w:val="20"/>
        </w:rPr>
        <w:t>ken by governments and others to contain or end the COVID-19 pandemic or its impact. Such developments include disruptions, which have had or may have an adverse effect on our customers, suppliers, regulators, business, operations and financial results.</w:t>
      </w:r>
    </w:p>
    <w:p w:rsidR="00000000" w:rsidRDefault="001F1FC8">
      <w:pPr>
        <w:divId w:val="1436751077"/>
        <w:rPr>
          <w:rFonts w:eastAsia="Times New Roman"/>
        </w:rPr>
      </w:pPr>
    </w:p>
    <w:p w:rsidR="00000000" w:rsidRDefault="001F1FC8">
      <w:pPr>
        <w:divId w:val="565263143"/>
        <w:rPr>
          <w:rFonts w:eastAsia="Times New Roman"/>
        </w:rPr>
      </w:pPr>
      <w:r>
        <w:rPr>
          <w:rFonts w:ascii="Arial" w:eastAsia="Times New Roman" w:hAnsi="Arial" w:cs="Arial"/>
          <w:color w:val="000000"/>
          <w:sz w:val="20"/>
          <w:szCs w:val="20"/>
        </w:rPr>
        <w:t xml:space="preserve">There can be no assurance that our strategies to address potential disruptions will mitigate these risks or the adverse impacts to our business, operations and financial results. In addition, disruptions related to the COVID-19 pandemic have had, or could </w:t>
      </w:r>
      <w:r>
        <w:rPr>
          <w:rFonts w:ascii="Arial" w:eastAsia="Times New Roman" w:hAnsi="Arial" w:cs="Arial"/>
          <w:color w:val="000000"/>
          <w:sz w:val="20"/>
          <w:szCs w:val="20"/>
        </w:rPr>
        <w:t>continue to have, the effect of heightening many of the other risks described in this Item 1A.</w:t>
      </w:r>
      <w:r>
        <w:rPr>
          <w:rFonts w:ascii="Arial" w:eastAsia="Times New Roman" w:hAnsi="Arial" w:cs="Arial"/>
          <w:i/>
          <w:iCs/>
          <w:color w:val="000000"/>
          <w:sz w:val="20"/>
          <w:szCs w:val="20"/>
        </w:rPr>
        <w:t xml:space="preserve"> Risk Factors</w:t>
      </w:r>
      <w:r>
        <w:rPr>
          <w:rFonts w:ascii="Arial" w:eastAsia="Times New Roman" w:hAnsi="Arial" w:cs="Arial"/>
          <w:color w:val="000000"/>
          <w:sz w:val="20"/>
          <w:szCs w:val="20"/>
        </w:rPr>
        <w:t xml:space="preserve">. </w:t>
      </w:r>
    </w:p>
    <w:p w:rsidR="00000000" w:rsidRDefault="001F1FC8">
      <w:pPr>
        <w:divId w:val="1583249825"/>
        <w:rPr>
          <w:rFonts w:eastAsia="Times New Roman"/>
        </w:rPr>
      </w:pPr>
    </w:p>
    <w:p w:rsidR="00000000" w:rsidRDefault="001F1FC8">
      <w:pPr>
        <w:jc w:val="center"/>
        <w:divId w:val="1390416890"/>
        <w:rPr>
          <w:rFonts w:eastAsia="Times New Roman"/>
        </w:rPr>
      </w:pPr>
      <w:r>
        <w:rPr>
          <w:rFonts w:ascii="Arial" w:eastAsia="Times New Roman" w:hAnsi="Arial" w:cs="Arial"/>
          <w:color w:val="000000"/>
          <w:sz w:val="20"/>
          <w:szCs w:val="20"/>
        </w:rPr>
        <w:t>45</w:t>
      </w:r>
    </w:p>
    <w:p w:rsidR="00000000" w:rsidRDefault="001F1FC8">
      <w:pPr>
        <w:rPr>
          <w:rFonts w:eastAsia="Times New Roman"/>
        </w:rPr>
      </w:pPr>
      <w:r>
        <w:rPr>
          <w:rFonts w:eastAsia="Times New Roman"/>
        </w:rPr>
        <w:pict>
          <v:rect id="_x0000_i1074" style="width:0;height:1.5pt" o:hralign="center" o:hrstd="t" o:hr="t" fillcolor="#a0a0a0" stroked="f"/>
        </w:pict>
      </w:r>
    </w:p>
    <w:p w:rsidR="00000000" w:rsidRDefault="001F1FC8">
      <w:pPr>
        <w:jc w:val="center"/>
        <w:divId w:val="197133125"/>
        <w:rPr>
          <w:rFonts w:eastAsia="Times New Roman"/>
        </w:rPr>
      </w:pPr>
    </w:p>
    <w:p w:rsidR="00000000" w:rsidRDefault="001F1FC8">
      <w:pPr>
        <w:divId w:val="1919363111"/>
        <w:rPr>
          <w:rFonts w:eastAsia="Times New Roman"/>
        </w:rPr>
      </w:pPr>
      <w:r>
        <w:rPr>
          <w:rFonts w:ascii="Arial" w:eastAsia="Times New Roman" w:hAnsi="Arial" w:cs="Arial"/>
          <w:b/>
          <w:bCs/>
          <w:i/>
          <w:iCs/>
          <w:color w:val="000000"/>
          <w:sz w:val="20"/>
          <w:szCs w:val="20"/>
        </w:rPr>
        <w:t>Terrorist attacks and threats, escalation of military activity in response to these attacks or acts of war, and other civil unrest or activism could adversely affect our business, operations or financial results.</w:t>
      </w:r>
    </w:p>
    <w:p w:rsidR="00000000" w:rsidRDefault="001F1FC8">
      <w:pPr>
        <w:divId w:val="1633058147"/>
        <w:rPr>
          <w:rFonts w:eastAsia="Times New Roman"/>
        </w:rPr>
      </w:pPr>
      <w:r>
        <w:rPr>
          <w:rFonts w:ascii="Arial" w:eastAsia="Times New Roman" w:hAnsi="Arial" w:cs="Arial"/>
          <w:color w:val="000000"/>
          <w:sz w:val="20"/>
          <w:szCs w:val="20"/>
        </w:rPr>
        <w:t>Terro</w:t>
      </w:r>
      <w:r>
        <w:rPr>
          <w:rFonts w:ascii="Arial" w:eastAsia="Times New Roman" w:hAnsi="Arial" w:cs="Arial"/>
          <w:color w:val="000000"/>
          <w:sz w:val="20"/>
          <w:szCs w:val="20"/>
        </w:rPr>
        <w:t>rist attacks and threats (which may take the form of cyber-attacks), escalation of military activity or acts of war, or other civil unrest or activism may have significant effects on general economic conditions and may cause fluctuations in consumer confid</w:t>
      </w:r>
      <w:r>
        <w:rPr>
          <w:rFonts w:ascii="Arial" w:eastAsia="Times New Roman" w:hAnsi="Arial" w:cs="Arial"/>
          <w:color w:val="000000"/>
          <w:sz w:val="20"/>
          <w:szCs w:val="20"/>
        </w:rPr>
        <w:t>ence and spending and market liquidity, each of which could adversely affect our business. Future terrorist attacks, rumors or threats of war, actual conflicts involving the US, or Canada, or military or trade disruptions may significantly affect our opera</w:t>
      </w:r>
      <w:r>
        <w:rPr>
          <w:rFonts w:ascii="Arial" w:eastAsia="Times New Roman" w:hAnsi="Arial" w:cs="Arial"/>
          <w:color w:val="000000"/>
          <w:sz w:val="20"/>
          <w:szCs w:val="20"/>
        </w:rPr>
        <w:t xml:space="preserve">tions and those of our customers. Strategic targets, such as energy related assets, may be at greater risk of future attacks than other targets in the US and Canada. In addition, increased environmental activism against pipeline construction and operation </w:t>
      </w:r>
      <w:r>
        <w:rPr>
          <w:rFonts w:ascii="Arial" w:eastAsia="Times New Roman" w:hAnsi="Arial" w:cs="Arial"/>
          <w:color w:val="000000"/>
          <w:sz w:val="20"/>
          <w:szCs w:val="20"/>
        </w:rPr>
        <w:t>could potentially result in work delays, reduced demand for our products and services, increased legislation or denial or delay of permits and rights-of-way. Finally, the disruption or a significant increase in energy prices could result in government-impo</w:t>
      </w:r>
      <w:r>
        <w:rPr>
          <w:rFonts w:ascii="Arial" w:eastAsia="Times New Roman" w:hAnsi="Arial" w:cs="Arial"/>
          <w:color w:val="000000"/>
          <w:sz w:val="20"/>
          <w:szCs w:val="20"/>
        </w:rPr>
        <w:t>sed price controls. It is possible that any of these occurrences, or a combination of them, could adversely affect our business, operations or financial results.</w:t>
      </w:r>
    </w:p>
    <w:p w:rsidR="00000000" w:rsidRDefault="001F1FC8">
      <w:pPr>
        <w:divId w:val="2046982984"/>
        <w:rPr>
          <w:rFonts w:eastAsia="Times New Roman"/>
        </w:rPr>
      </w:pPr>
    </w:p>
    <w:p w:rsidR="00000000" w:rsidRDefault="001F1FC8">
      <w:pPr>
        <w:divId w:val="509180798"/>
        <w:rPr>
          <w:rFonts w:eastAsia="Times New Roman"/>
        </w:rPr>
      </w:pPr>
      <w:r>
        <w:rPr>
          <w:rFonts w:ascii="Arial" w:eastAsia="Times New Roman" w:hAnsi="Arial" w:cs="Arial"/>
          <w:b/>
          <w:bCs/>
          <w:color w:val="000000"/>
          <w:sz w:val="20"/>
          <w:szCs w:val="20"/>
        </w:rPr>
        <w:t>RISKS RELATED TO OUR BUSINESS AND INDUSTRY</w:t>
      </w:r>
    </w:p>
    <w:p w:rsidR="00000000" w:rsidRDefault="001F1FC8">
      <w:pPr>
        <w:divId w:val="1253050391"/>
        <w:rPr>
          <w:rFonts w:eastAsia="Times New Roman"/>
        </w:rPr>
      </w:pPr>
    </w:p>
    <w:p w:rsidR="00000000" w:rsidRDefault="001F1FC8">
      <w:pPr>
        <w:divId w:val="1461530353"/>
        <w:rPr>
          <w:rFonts w:eastAsia="Times New Roman"/>
        </w:rPr>
      </w:pPr>
      <w:r>
        <w:rPr>
          <w:rFonts w:ascii="Arial" w:eastAsia="Times New Roman" w:hAnsi="Arial" w:cs="Arial"/>
          <w:b/>
          <w:bCs/>
          <w:i/>
          <w:iCs/>
          <w:color w:val="000000"/>
          <w:sz w:val="20"/>
          <w:szCs w:val="20"/>
        </w:rPr>
        <w:t>There are utilization risks with respect to our</w:t>
      </w:r>
      <w:r>
        <w:rPr>
          <w:rFonts w:ascii="Arial" w:eastAsia="Times New Roman" w:hAnsi="Arial" w:cs="Arial"/>
          <w:b/>
          <w:bCs/>
          <w:i/>
          <w:iCs/>
          <w:color w:val="000000"/>
          <w:sz w:val="20"/>
          <w:szCs w:val="20"/>
        </w:rPr>
        <w:t xml:space="preserve"> assets.</w:t>
      </w:r>
    </w:p>
    <w:p w:rsidR="00000000" w:rsidRDefault="001F1FC8">
      <w:pPr>
        <w:divId w:val="1453867116"/>
        <w:rPr>
          <w:rFonts w:eastAsia="Times New Roman"/>
        </w:rPr>
      </w:pPr>
      <w:r>
        <w:rPr>
          <w:rFonts w:ascii="Arial" w:eastAsia="Times New Roman" w:hAnsi="Arial" w:cs="Arial"/>
          <w:color w:val="000000"/>
          <w:sz w:val="20"/>
          <w:szCs w:val="20"/>
        </w:rPr>
        <w:t>With respect to our Liquids Pipelines assets, we may be exposed to throughput risk on the Canadian Mainline depending upon the tolling framework we adopt for that system, and we are exposed to throughput risk under certain tolling agreements appli</w:t>
      </w:r>
      <w:r>
        <w:rPr>
          <w:rFonts w:ascii="Arial" w:eastAsia="Times New Roman" w:hAnsi="Arial" w:cs="Arial"/>
          <w:color w:val="000000"/>
          <w:sz w:val="20"/>
          <w:szCs w:val="20"/>
        </w:rPr>
        <w:t>cable to other liquids pipelines assets, such as the Lakehead System. A decrease in volumes transported can directly and adversely affect our revenues and earnings. Factors such as changing market fundamentals, capacity bottlenecks, regulatory restrictions</w:t>
      </w:r>
      <w:r>
        <w:rPr>
          <w:rFonts w:ascii="Arial" w:eastAsia="Times New Roman" w:hAnsi="Arial" w:cs="Arial"/>
          <w:color w:val="000000"/>
          <w:sz w:val="20"/>
          <w:szCs w:val="20"/>
        </w:rPr>
        <w:t>, maintenance and operational incidents on our system and upstream or downstream facilities and increased competition can all impact the utilization of our assets. Market fundamentals, such as commodity prices and price differentials, weather, gasoline pri</w:t>
      </w:r>
      <w:r>
        <w:rPr>
          <w:rFonts w:ascii="Arial" w:eastAsia="Times New Roman" w:hAnsi="Arial" w:cs="Arial"/>
          <w:color w:val="000000"/>
          <w:sz w:val="20"/>
          <w:szCs w:val="20"/>
        </w:rPr>
        <w:t>ce and consumption, alternative and new energy sources and technologies, and global supply disruptions outside of our control can impact both the supply of and demand for crude oil and other liquid hydrocarbons transported on our pipelines.</w:t>
      </w:r>
    </w:p>
    <w:p w:rsidR="00000000" w:rsidRDefault="001F1FC8">
      <w:pPr>
        <w:divId w:val="310522769"/>
        <w:rPr>
          <w:rFonts w:eastAsia="Times New Roman"/>
        </w:rPr>
      </w:pPr>
    </w:p>
    <w:p w:rsidR="00000000" w:rsidRDefault="001F1FC8">
      <w:pPr>
        <w:divId w:val="1652097720"/>
        <w:rPr>
          <w:rFonts w:eastAsia="Times New Roman"/>
        </w:rPr>
      </w:pPr>
      <w:r>
        <w:rPr>
          <w:rFonts w:ascii="Arial" w:eastAsia="Times New Roman" w:hAnsi="Arial" w:cs="Arial"/>
          <w:color w:val="000000"/>
          <w:sz w:val="20"/>
          <w:szCs w:val="20"/>
        </w:rPr>
        <w:t xml:space="preserve">With respect </w:t>
      </w:r>
      <w:r>
        <w:rPr>
          <w:rFonts w:ascii="Arial" w:eastAsia="Times New Roman" w:hAnsi="Arial" w:cs="Arial"/>
          <w:color w:val="000000"/>
          <w:sz w:val="20"/>
          <w:szCs w:val="20"/>
        </w:rPr>
        <w:t>to our Gas Transmission and Midstream assets, gas supply and demand dynamics continue to change due to shifts in regional production and consumption. These shifts can lead to fluctuations in commodity prices and price differentials, resulting in oversupply</w:t>
      </w:r>
      <w:r>
        <w:rPr>
          <w:rFonts w:ascii="Arial" w:eastAsia="Times New Roman" w:hAnsi="Arial" w:cs="Arial"/>
          <w:color w:val="000000"/>
          <w:sz w:val="20"/>
          <w:szCs w:val="20"/>
        </w:rPr>
        <w:t xml:space="preserve"> of pipeline takeaway capacity in some areas and an adverse effect to the utilization of our systems. Other factors affecting system utilization include operational incidents, regulatory restrictions, system maintenance, and increased competition.</w:t>
      </w:r>
    </w:p>
    <w:p w:rsidR="00000000" w:rsidRDefault="001F1FC8">
      <w:pPr>
        <w:divId w:val="1152405000"/>
        <w:rPr>
          <w:rFonts w:eastAsia="Times New Roman"/>
        </w:rPr>
      </w:pPr>
    </w:p>
    <w:p w:rsidR="00000000" w:rsidRDefault="001F1FC8">
      <w:pPr>
        <w:divId w:val="433985552"/>
        <w:rPr>
          <w:rFonts w:eastAsia="Times New Roman"/>
        </w:rPr>
      </w:pPr>
      <w:r>
        <w:rPr>
          <w:rFonts w:ascii="Arial" w:eastAsia="Times New Roman" w:hAnsi="Arial" w:cs="Arial"/>
          <w:color w:val="000000"/>
          <w:sz w:val="20"/>
          <w:szCs w:val="20"/>
        </w:rPr>
        <w:t>With r</w:t>
      </w:r>
      <w:r>
        <w:rPr>
          <w:rFonts w:ascii="Arial" w:eastAsia="Times New Roman" w:hAnsi="Arial" w:cs="Arial"/>
          <w:color w:val="000000"/>
          <w:sz w:val="20"/>
          <w:szCs w:val="20"/>
        </w:rPr>
        <w:t>espect to our Gas Distribution and Storage assets, customers are billed on both a fixed charge and volumetric basis and our ability to collect the total revenue requirement (the cost of providing service, including a reasonable return to the utility) depen</w:t>
      </w:r>
      <w:r>
        <w:rPr>
          <w:rFonts w:ascii="Arial" w:eastAsia="Times New Roman" w:hAnsi="Arial" w:cs="Arial"/>
          <w:color w:val="000000"/>
          <w:sz w:val="20"/>
          <w:szCs w:val="20"/>
        </w:rPr>
        <w:t>ds on achieving the forecast distribution volume established in the rate-making process. The probability of realizing such volume is contingent upon four key forecast variables: weather, economic conditions, pricing of competitive energy sources and growth</w:t>
      </w:r>
      <w:r>
        <w:rPr>
          <w:rFonts w:ascii="Arial" w:eastAsia="Times New Roman" w:hAnsi="Arial" w:cs="Arial"/>
          <w:color w:val="000000"/>
          <w:sz w:val="20"/>
          <w:szCs w:val="20"/>
        </w:rPr>
        <w:t xml:space="preserve"> in the number of customers. Weather is a significant driver of delivery volumes, given that a significant portion of our Gas Distribution customer base uses natural gas for space heating. Distribution volume may also be impacted by the increased adoption </w:t>
      </w:r>
      <w:r>
        <w:rPr>
          <w:rFonts w:ascii="Arial" w:eastAsia="Times New Roman" w:hAnsi="Arial" w:cs="Arial"/>
          <w:color w:val="000000"/>
          <w:sz w:val="20"/>
          <w:szCs w:val="20"/>
        </w:rPr>
        <w:t>of energy efficient technologies, along with more efficient building construction, that continue to place downward pressure on consumption. In addition, conservation efforts by customers may further contribute to a decline in annual average consumption. Sa</w:t>
      </w:r>
      <w:r>
        <w:rPr>
          <w:rFonts w:ascii="Arial" w:eastAsia="Times New Roman" w:hAnsi="Arial" w:cs="Arial"/>
          <w:color w:val="000000"/>
          <w:sz w:val="20"/>
          <w:szCs w:val="20"/>
        </w:rPr>
        <w:t xml:space="preserve">les and transportation service to large volume commercial and industrial customers is more susceptible to prevailing economic conditions. As well, the pricing of competitive energy sources affects volume distributed to these sectors as some customers have </w:t>
      </w:r>
      <w:r>
        <w:rPr>
          <w:rFonts w:ascii="Arial" w:eastAsia="Times New Roman" w:hAnsi="Arial" w:cs="Arial"/>
          <w:color w:val="000000"/>
          <w:sz w:val="20"/>
          <w:szCs w:val="20"/>
        </w:rPr>
        <w:t xml:space="preserve">the ability to switch to an alternate fuel. Even in those circumstances where we attain our respective total forecast distribution volume, our Gas Distribution business may not earn its expected ROE due to other forecast variables, such as the mix between </w:t>
      </w:r>
      <w:r>
        <w:rPr>
          <w:rFonts w:ascii="Arial" w:eastAsia="Times New Roman" w:hAnsi="Arial" w:cs="Arial"/>
          <w:color w:val="000000"/>
          <w:sz w:val="20"/>
          <w:szCs w:val="20"/>
        </w:rPr>
        <w:t>the higher margin residential and commercial sectors and the lower margin industrial sector. Our Gas Distribution business remains at risk for the actual versus forecast large volume contract commercial and industrial volumes.</w:t>
      </w:r>
    </w:p>
    <w:p w:rsidR="00000000" w:rsidRDefault="001F1FC8">
      <w:pPr>
        <w:divId w:val="804542889"/>
        <w:rPr>
          <w:rFonts w:eastAsia="Times New Roman"/>
        </w:rPr>
      </w:pPr>
    </w:p>
    <w:p w:rsidR="00000000" w:rsidRDefault="001F1FC8">
      <w:pPr>
        <w:jc w:val="center"/>
        <w:divId w:val="1546481594"/>
        <w:rPr>
          <w:rFonts w:eastAsia="Times New Roman"/>
        </w:rPr>
      </w:pPr>
      <w:r>
        <w:rPr>
          <w:rFonts w:ascii="Arial" w:eastAsia="Times New Roman" w:hAnsi="Arial" w:cs="Arial"/>
          <w:color w:val="000000"/>
          <w:sz w:val="20"/>
          <w:szCs w:val="20"/>
        </w:rPr>
        <w:t>46</w:t>
      </w:r>
    </w:p>
    <w:p w:rsidR="00000000" w:rsidRDefault="001F1FC8">
      <w:pPr>
        <w:rPr>
          <w:rFonts w:eastAsia="Times New Roman"/>
        </w:rPr>
      </w:pPr>
      <w:r>
        <w:rPr>
          <w:rFonts w:eastAsia="Times New Roman"/>
        </w:rPr>
        <w:pict>
          <v:rect id="_x0000_i1075" style="width:0;height:1.5pt" o:hralign="center" o:hrstd="t" o:hr="t" fillcolor="#a0a0a0" stroked="f"/>
        </w:pict>
      </w:r>
    </w:p>
    <w:p w:rsidR="00000000" w:rsidRDefault="001F1FC8">
      <w:pPr>
        <w:jc w:val="center"/>
        <w:divId w:val="1577472101"/>
        <w:rPr>
          <w:rFonts w:eastAsia="Times New Roman"/>
        </w:rPr>
      </w:pPr>
    </w:p>
    <w:p w:rsidR="00000000" w:rsidRDefault="001F1FC8">
      <w:pPr>
        <w:divId w:val="1106147774"/>
        <w:rPr>
          <w:rFonts w:eastAsia="Times New Roman"/>
        </w:rPr>
      </w:pPr>
      <w:r>
        <w:rPr>
          <w:rFonts w:ascii="Arial" w:eastAsia="Times New Roman" w:hAnsi="Arial" w:cs="Arial"/>
          <w:color w:val="000000"/>
          <w:sz w:val="20"/>
          <w:szCs w:val="20"/>
        </w:rPr>
        <w:t>With respect to our Renewable Power Generation assets, earnings from these assets are highly dependent on weather and atmospheric conditions as well as continued operational availability of these energy producing assets. While the expected en</w:t>
      </w:r>
      <w:r>
        <w:rPr>
          <w:rFonts w:ascii="Arial" w:eastAsia="Times New Roman" w:hAnsi="Arial" w:cs="Arial"/>
          <w:color w:val="000000"/>
          <w:sz w:val="20"/>
          <w:szCs w:val="20"/>
        </w:rPr>
        <w:t xml:space="preserve">ergy yields for Renewable Power Generation projects are predicted using long-term historical data, wind and solar resources are subject to natural variation from year-to-year and from season-to-season. Any prolonged reduction in wind or solar resources at </w:t>
      </w:r>
      <w:r>
        <w:rPr>
          <w:rFonts w:ascii="Arial" w:eastAsia="Times New Roman" w:hAnsi="Arial" w:cs="Arial"/>
          <w:color w:val="000000"/>
          <w:sz w:val="20"/>
          <w:szCs w:val="20"/>
        </w:rPr>
        <w:t>any of the Renewable Power Generation facilities could lead to decreased earnings and cash flows for us. Additionally, inefficiencies or interruptions of Renewable Power Generation facilities due to operational disturbances or outages resulting from weathe</w:t>
      </w:r>
      <w:r>
        <w:rPr>
          <w:rFonts w:ascii="Arial" w:eastAsia="Times New Roman" w:hAnsi="Arial" w:cs="Arial"/>
          <w:color w:val="000000"/>
          <w:sz w:val="20"/>
          <w:szCs w:val="20"/>
        </w:rPr>
        <w:t>r conditions or other factors, could also impact earnings.</w:t>
      </w:r>
    </w:p>
    <w:p w:rsidR="00000000" w:rsidRDefault="001F1FC8">
      <w:pPr>
        <w:divId w:val="539977196"/>
        <w:rPr>
          <w:rFonts w:eastAsia="Times New Roman"/>
        </w:rPr>
      </w:pPr>
    </w:p>
    <w:p w:rsidR="00000000" w:rsidRDefault="001F1FC8">
      <w:pPr>
        <w:divId w:val="1067217668"/>
        <w:rPr>
          <w:rFonts w:eastAsia="Times New Roman"/>
        </w:rPr>
      </w:pPr>
      <w:r>
        <w:rPr>
          <w:rFonts w:ascii="Arial" w:eastAsia="Times New Roman" w:hAnsi="Arial" w:cs="Arial"/>
          <w:b/>
          <w:bCs/>
          <w:i/>
          <w:iCs/>
          <w:color w:val="000000"/>
          <w:sz w:val="20"/>
          <w:szCs w:val="20"/>
        </w:rPr>
        <w:t>Our assets vary in age and were constructed over many decades which may cause our inspection, maintenance or repair costs to increase in the future.</w:t>
      </w:r>
    </w:p>
    <w:p w:rsidR="00000000" w:rsidRDefault="001F1FC8">
      <w:pPr>
        <w:divId w:val="367923659"/>
        <w:rPr>
          <w:rFonts w:eastAsia="Times New Roman"/>
        </w:rPr>
      </w:pPr>
      <w:r>
        <w:rPr>
          <w:rFonts w:ascii="Arial" w:eastAsia="Times New Roman" w:hAnsi="Arial" w:cs="Arial"/>
          <w:color w:val="000000"/>
          <w:sz w:val="20"/>
          <w:szCs w:val="20"/>
        </w:rPr>
        <w:t>Our pipelines vary in age and were constructed</w:t>
      </w:r>
      <w:r>
        <w:rPr>
          <w:rFonts w:ascii="Arial" w:eastAsia="Times New Roman" w:hAnsi="Arial" w:cs="Arial"/>
          <w:color w:val="000000"/>
          <w:sz w:val="20"/>
          <w:szCs w:val="20"/>
        </w:rPr>
        <w:t xml:space="preserve"> over many decades. Pipelines are generally long-lived assets, and pipeline construction and coating techniques have changed over time. Depending on the era of construction, some assets require more frequent inspections, which could result in increased mai</w:t>
      </w:r>
      <w:r>
        <w:rPr>
          <w:rFonts w:ascii="Arial" w:eastAsia="Times New Roman" w:hAnsi="Arial" w:cs="Arial"/>
          <w:color w:val="000000"/>
          <w:sz w:val="20"/>
          <w:szCs w:val="20"/>
        </w:rPr>
        <w:t>ntenance or repair expenditures in the future. Any significant increase in these expenditures could adversely affect our business, operations or financial results.</w:t>
      </w:r>
    </w:p>
    <w:p w:rsidR="00000000" w:rsidRDefault="001F1FC8">
      <w:pPr>
        <w:divId w:val="342753592"/>
        <w:rPr>
          <w:rFonts w:eastAsia="Times New Roman"/>
        </w:rPr>
      </w:pPr>
    </w:p>
    <w:p w:rsidR="00000000" w:rsidRDefault="001F1FC8">
      <w:pPr>
        <w:divId w:val="1074738301"/>
        <w:rPr>
          <w:rFonts w:eastAsia="Times New Roman"/>
        </w:rPr>
      </w:pPr>
      <w:r>
        <w:rPr>
          <w:rFonts w:ascii="Arial" w:eastAsia="Times New Roman" w:hAnsi="Arial" w:cs="Arial"/>
          <w:b/>
          <w:bCs/>
          <w:i/>
          <w:iCs/>
          <w:color w:val="000000"/>
          <w:sz w:val="20"/>
          <w:szCs w:val="20"/>
        </w:rPr>
        <w:t>Competition may result in a reduction in demand for our services, fewer project opportunit</w:t>
      </w:r>
      <w:r>
        <w:rPr>
          <w:rFonts w:ascii="Arial" w:eastAsia="Times New Roman" w:hAnsi="Arial" w:cs="Arial"/>
          <w:b/>
          <w:bCs/>
          <w:i/>
          <w:iCs/>
          <w:color w:val="000000"/>
          <w:sz w:val="20"/>
          <w:szCs w:val="20"/>
        </w:rPr>
        <w:t>ies or assumption of risk that results in weaker or more volatile financial performance than expected.</w:t>
      </w:r>
    </w:p>
    <w:p w:rsidR="00000000" w:rsidRDefault="001F1FC8">
      <w:pPr>
        <w:divId w:val="1102185175"/>
        <w:rPr>
          <w:rFonts w:eastAsia="Times New Roman"/>
        </w:rPr>
      </w:pPr>
      <w:r>
        <w:rPr>
          <w:rFonts w:ascii="Arial" w:eastAsia="Times New Roman" w:hAnsi="Arial" w:cs="Arial"/>
          <w:color w:val="000000"/>
          <w:sz w:val="20"/>
          <w:szCs w:val="20"/>
        </w:rPr>
        <w:t>We face competition from competing carriers available to ship western Canadian liquid hydrocarbons to markets in Canada, the US and internationally and f</w:t>
      </w:r>
      <w:r>
        <w:rPr>
          <w:rFonts w:ascii="Arial" w:eastAsia="Times New Roman" w:hAnsi="Arial" w:cs="Arial"/>
          <w:color w:val="000000"/>
          <w:sz w:val="20"/>
          <w:szCs w:val="20"/>
        </w:rPr>
        <w:t xml:space="preserve">rom proposed pipelines that seek to access markets currently served by our liquids pipelines. Competition among existing pipelines is based primarily on the cost of transportation, access to supply, the quality and reliability of service, contract carrier </w:t>
      </w:r>
      <w:r>
        <w:rPr>
          <w:rFonts w:ascii="Arial" w:eastAsia="Times New Roman" w:hAnsi="Arial" w:cs="Arial"/>
          <w:color w:val="000000"/>
          <w:sz w:val="20"/>
          <w:szCs w:val="20"/>
        </w:rPr>
        <w:t xml:space="preserve">alternatives and proximity to markets. We also face competition from alternative storage facilities. Our natural gas transmission and storage businesses compete with similar facilities that serve our supply and market areas in the transmission and storage </w:t>
      </w:r>
      <w:r>
        <w:rPr>
          <w:rFonts w:ascii="Arial" w:eastAsia="Times New Roman" w:hAnsi="Arial" w:cs="Arial"/>
          <w:color w:val="000000"/>
          <w:sz w:val="20"/>
          <w:szCs w:val="20"/>
        </w:rPr>
        <w:t>of natural gas. The natural gas transported in our business competes with other forms of energy available to our customers and end-users, including electricity, coal, propane, fuel oils, and renewable energy. Renewable Power Generation business faces compe</w:t>
      </w:r>
      <w:r>
        <w:rPr>
          <w:rFonts w:ascii="Arial" w:eastAsia="Times New Roman" w:hAnsi="Arial" w:cs="Arial"/>
          <w:color w:val="000000"/>
          <w:sz w:val="20"/>
          <w:szCs w:val="20"/>
        </w:rPr>
        <w:t>tition in the procurement of long-term power purchase agreements and from other fuel sources in the markets in which we operate. Competition in all of our businesses, including competition for new project development opportunities, could have a negative im</w:t>
      </w:r>
      <w:r>
        <w:rPr>
          <w:rFonts w:ascii="Arial" w:eastAsia="Times New Roman" w:hAnsi="Arial" w:cs="Arial"/>
          <w:color w:val="000000"/>
          <w:sz w:val="20"/>
          <w:szCs w:val="20"/>
        </w:rPr>
        <w:t>pact on our business, financial condition or results of operations.</w:t>
      </w:r>
    </w:p>
    <w:p w:rsidR="00000000" w:rsidRDefault="001F1FC8">
      <w:pPr>
        <w:divId w:val="36785577"/>
        <w:rPr>
          <w:rFonts w:eastAsia="Times New Roman"/>
        </w:rPr>
      </w:pPr>
    </w:p>
    <w:p w:rsidR="00000000" w:rsidRDefault="001F1FC8">
      <w:pPr>
        <w:divId w:val="1578243268"/>
        <w:rPr>
          <w:rFonts w:eastAsia="Times New Roman"/>
        </w:rPr>
      </w:pPr>
      <w:r>
        <w:rPr>
          <w:rFonts w:ascii="Arial" w:eastAsia="Times New Roman" w:hAnsi="Arial" w:cs="Arial"/>
          <w:b/>
          <w:bCs/>
          <w:i/>
          <w:iCs/>
          <w:color w:val="000000"/>
          <w:sz w:val="20"/>
          <w:szCs w:val="20"/>
        </w:rPr>
        <w:t>Execution of our projects subjects us to various regulatory, operational and market risks that may affect our financial results.</w:t>
      </w:r>
    </w:p>
    <w:p w:rsidR="00000000" w:rsidRDefault="001F1FC8">
      <w:pPr>
        <w:divId w:val="693265353"/>
        <w:rPr>
          <w:rFonts w:eastAsia="Times New Roman"/>
        </w:rPr>
      </w:pPr>
      <w:r>
        <w:rPr>
          <w:rFonts w:ascii="Arial" w:eastAsia="Times New Roman" w:hAnsi="Arial" w:cs="Arial"/>
          <w:color w:val="000000"/>
          <w:sz w:val="20"/>
          <w:szCs w:val="20"/>
        </w:rPr>
        <w:t>Our ability to successfully bring our secured capital growth program into service is exposed to risks including:</w:t>
      </w:r>
    </w:p>
    <w:p w:rsidR="00000000" w:rsidRDefault="001F1FC8">
      <w:pPr>
        <w:divId w:val="1260484445"/>
        <w:rPr>
          <w:rFonts w:eastAsia="Times New Roman"/>
        </w:rPr>
      </w:pPr>
    </w:p>
    <w:p w:rsidR="00000000" w:rsidRDefault="001F1FC8">
      <w:pPr>
        <w:ind w:hanging="360"/>
        <w:divId w:val="1766150357"/>
        <w:rPr>
          <w:rFonts w:eastAsia="Times New Roman"/>
        </w:rPr>
      </w:pPr>
      <w:r>
        <w:rPr>
          <w:rFonts w:ascii="Arial" w:eastAsia="Times New Roman" w:hAnsi="Arial" w:cs="Arial"/>
          <w:color w:val="000000"/>
          <w:sz w:val="20"/>
          <w:szCs w:val="20"/>
        </w:rPr>
        <w:t>•the ability to obtain or amend necessary approvals and permits from governments and regulatory agencies on a timely basis and with acceptabl</w:t>
      </w:r>
      <w:r>
        <w:rPr>
          <w:rFonts w:ascii="Arial" w:eastAsia="Times New Roman" w:hAnsi="Arial" w:cs="Arial"/>
          <w:color w:val="000000"/>
          <w:sz w:val="20"/>
          <w:szCs w:val="20"/>
        </w:rPr>
        <w:t xml:space="preserve">e terms and conditions and to maintain those issued approvals and permits and satisfy the terms and conditions imposed therein; </w:t>
      </w:r>
    </w:p>
    <w:p w:rsidR="00000000" w:rsidRDefault="001F1FC8">
      <w:pPr>
        <w:ind w:hanging="360"/>
        <w:divId w:val="143549392"/>
        <w:rPr>
          <w:rFonts w:eastAsia="Times New Roman"/>
        </w:rPr>
      </w:pPr>
      <w:r>
        <w:rPr>
          <w:rFonts w:ascii="Arial" w:eastAsia="Times New Roman" w:hAnsi="Arial" w:cs="Arial"/>
          <w:color w:val="000000"/>
          <w:sz w:val="20"/>
          <w:szCs w:val="20"/>
        </w:rPr>
        <w:t>•</w:t>
      </w:r>
      <w:r>
        <w:rPr>
          <w:rFonts w:ascii="Arial" w:eastAsia="Times New Roman" w:hAnsi="Arial" w:cs="Arial"/>
          <w:color w:val="000000"/>
          <w:sz w:val="20"/>
          <w:szCs w:val="20"/>
        </w:rPr>
        <w:t xml:space="preserve">opposition by third parties, physical protests, interference with or damage to our property or infrastructure, litigation or increased execution and stakeholder engagement complexity; </w:t>
      </w:r>
    </w:p>
    <w:p w:rsidR="00000000" w:rsidRDefault="001F1FC8">
      <w:pPr>
        <w:ind w:hanging="360"/>
        <w:divId w:val="931083555"/>
        <w:rPr>
          <w:rFonts w:eastAsia="Times New Roman"/>
        </w:rPr>
      </w:pPr>
      <w:r>
        <w:rPr>
          <w:rFonts w:ascii="Arial" w:eastAsia="Times New Roman" w:hAnsi="Arial" w:cs="Arial"/>
          <w:color w:val="000000"/>
          <w:sz w:val="20"/>
          <w:szCs w:val="20"/>
        </w:rPr>
        <w:t>•new or incremental changes in federal, state, provincial and local law</w:t>
      </w:r>
      <w:r>
        <w:rPr>
          <w:rFonts w:ascii="Arial" w:eastAsia="Times New Roman" w:hAnsi="Arial" w:cs="Arial"/>
          <w:color w:val="000000"/>
          <w:sz w:val="20"/>
          <w:szCs w:val="20"/>
        </w:rPr>
        <w:t xml:space="preserve">s and regulations after projects are sanctioned; </w:t>
      </w:r>
    </w:p>
    <w:p w:rsidR="00000000" w:rsidRDefault="001F1FC8">
      <w:pPr>
        <w:ind w:hanging="360"/>
        <w:divId w:val="361521681"/>
        <w:rPr>
          <w:rFonts w:eastAsia="Times New Roman"/>
        </w:rPr>
      </w:pPr>
      <w:r>
        <w:rPr>
          <w:rFonts w:ascii="Arial" w:eastAsia="Times New Roman" w:hAnsi="Arial" w:cs="Arial"/>
          <w:color w:val="000000"/>
          <w:sz w:val="20"/>
          <w:szCs w:val="20"/>
        </w:rPr>
        <w:t xml:space="preserve">•inflationary pressures on labor, materials and equipment, which have decreased price predictability; </w:t>
      </w:r>
    </w:p>
    <w:p w:rsidR="00000000" w:rsidRDefault="001F1FC8">
      <w:pPr>
        <w:ind w:hanging="360"/>
        <w:divId w:val="1561474511"/>
        <w:rPr>
          <w:rFonts w:eastAsia="Times New Roman"/>
        </w:rPr>
      </w:pPr>
      <w:r>
        <w:rPr>
          <w:rFonts w:ascii="Arial" w:eastAsia="Times New Roman" w:hAnsi="Arial" w:cs="Arial"/>
          <w:color w:val="000000"/>
          <w:sz w:val="20"/>
          <w:szCs w:val="20"/>
        </w:rPr>
        <w:t xml:space="preserve">•bottlenecked global supply chains and logistics, which have increased delivery times of materials and </w:t>
      </w:r>
      <w:r>
        <w:rPr>
          <w:rFonts w:ascii="Arial" w:eastAsia="Times New Roman" w:hAnsi="Arial" w:cs="Arial"/>
          <w:color w:val="000000"/>
          <w:sz w:val="20"/>
          <w:szCs w:val="20"/>
        </w:rPr>
        <w:t xml:space="preserve">equipment; </w:t>
      </w:r>
    </w:p>
    <w:p w:rsidR="00000000" w:rsidRDefault="001F1FC8">
      <w:pPr>
        <w:ind w:hanging="360"/>
        <w:divId w:val="1752966029"/>
        <w:rPr>
          <w:rFonts w:eastAsia="Times New Roman"/>
        </w:rPr>
      </w:pPr>
      <w:r>
        <w:rPr>
          <w:rFonts w:ascii="Arial" w:eastAsia="Times New Roman" w:hAnsi="Arial" w:cs="Arial"/>
          <w:color w:val="000000"/>
          <w:sz w:val="20"/>
          <w:szCs w:val="20"/>
        </w:rPr>
        <w:t xml:space="preserve">•timely acquisition or renewal of rights-of-way or land rights with acceptable terms and conditions; </w:t>
      </w:r>
    </w:p>
    <w:p w:rsidR="00000000" w:rsidRDefault="001F1FC8">
      <w:pPr>
        <w:ind w:hanging="360"/>
        <w:divId w:val="1766337139"/>
        <w:rPr>
          <w:rFonts w:eastAsia="Times New Roman"/>
        </w:rPr>
      </w:pPr>
      <w:r>
        <w:rPr>
          <w:rFonts w:ascii="Arial" w:eastAsia="Times New Roman" w:hAnsi="Arial" w:cs="Arial"/>
          <w:color w:val="000000"/>
          <w:sz w:val="20"/>
          <w:szCs w:val="20"/>
        </w:rPr>
        <w:t xml:space="preserve">•extreme weather events (e.g. hurricanes, forest fires, floods); or </w:t>
      </w:r>
    </w:p>
    <w:p w:rsidR="00000000" w:rsidRDefault="001F1FC8">
      <w:pPr>
        <w:ind w:hanging="360"/>
        <w:divId w:val="180552828"/>
        <w:rPr>
          <w:rFonts w:eastAsia="Times New Roman"/>
        </w:rPr>
      </w:pPr>
      <w:r>
        <w:rPr>
          <w:rFonts w:ascii="Arial" w:eastAsia="Times New Roman" w:hAnsi="Arial" w:cs="Arial"/>
          <w:color w:val="000000"/>
          <w:sz w:val="20"/>
          <w:szCs w:val="20"/>
        </w:rPr>
        <w:t>•contractor or supplier non-performance, weather, geological or other fac</w:t>
      </w:r>
      <w:r>
        <w:rPr>
          <w:rFonts w:ascii="Arial" w:eastAsia="Times New Roman" w:hAnsi="Arial" w:cs="Arial"/>
          <w:color w:val="000000"/>
          <w:sz w:val="20"/>
          <w:szCs w:val="20"/>
        </w:rPr>
        <w:t xml:space="preserve">tors beyond our control. </w:t>
      </w:r>
    </w:p>
    <w:p w:rsidR="00000000" w:rsidRDefault="001F1FC8">
      <w:pPr>
        <w:divId w:val="213351016"/>
        <w:rPr>
          <w:rFonts w:eastAsia="Times New Roman"/>
        </w:rPr>
      </w:pPr>
    </w:p>
    <w:p w:rsidR="00000000" w:rsidRDefault="001F1FC8">
      <w:pPr>
        <w:jc w:val="center"/>
        <w:divId w:val="219098951"/>
        <w:rPr>
          <w:rFonts w:eastAsia="Times New Roman"/>
        </w:rPr>
      </w:pPr>
      <w:r>
        <w:rPr>
          <w:rFonts w:ascii="Arial" w:eastAsia="Times New Roman" w:hAnsi="Arial" w:cs="Arial"/>
          <w:color w:val="000000"/>
          <w:sz w:val="20"/>
          <w:szCs w:val="20"/>
        </w:rPr>
        <w:t>47</w:t>
      </w:r>
    </w:p>
    <w:p w:rsidR="00000000" w:rsidRDefault="001F1FC8">
      <w:pPr>
        <w:rPr>
          <w:rFonts w:eastAsia="Times New Roman"/>
        </w:rPr>
      </w:pPr>
      <w:r>
        <w:rPr>
          <w:rFonts w:eastAsia="Times New Roman"/>
        </w:rPr>
        <w:pict>
          <v:rect id="_x0000_i1076" style="width:0;height:1.5pt" o:hralign="center" o:hrstd="t" o:hr="t" fillcolor="#a0a0a0" stroked="f"/>
        </w:pict>
      </w:r>
    </w:p>
    <w:p w:rsidR="00000000" w:rsidRDefault="001F1FC8">
      <w:pPr>
        <w:jc w:val="center"/>
        <w:divId w:val="2079742985"/>
        <w:rPr>
          <w:rFonts w:eastAsia="Times New Roman"/>
        </w:rPr>
      </w:pPr>
    </w:p>
    <w:p w:rsidR="00000000" w:rsidRDefault="001F1FC8">
      <w:pPr>
        <w:divId w:val="1670908795"/>
        <w:rPr>
          <w:rFonts w:eastAsia="Times New Roman"/>
        </w:rPr>
      </w:pPr>
      <w:r>
        <w:rPr>
          <w:rFonts w:ascii="Arial" w:eastAsia="Times New Roman" w:hAnsi="Arial" w:cs="Arial"/>
          <w:color w:val="000000"/>
          <w:sz w:val="20"/>
          <w:szCs w:val="20"/>
        </w:rPr>
        <w:t xml:space="preserve">Any of these risks could prevent a project from proceeding, delay its completion or increase its anticipated cost. </w:t>
      </w:r>
    </w:p>
    <w:p w:rsidR="00000000" w:rsidRDefault="001F1FC8">
      <w:pPr>
        <w:divId w:val="1952742641"/>
        <w:rPr>
          <w:rFonts w:eastAsia="Times New Roman"/>
        </w:rPr>
      </w:pPr>
    </w:p>
    <w:p w:rsidR="00000000" w:rsidRDefault="001F1FC8">
      <w:pPr>
        <w:divId w:val="1728020407"/>
        <w:rPr>
          <w:rFonts w:eastAsia="Times New Roman"/>
        </w:rPr>
      </w:pPr>
      <w:r>
        <w:rPr>
          <w:rFonts w:ascii="Arial" w:eastAsia="Times New Roman" w:hAnsi="Arial" w:cs="Arial"/>
          <w:color w:val="000000"/>
          <w:sz w:val="20"/>
          <w:szCs w:val="20"/>
        </w:rPr>
        <w:t>New projects may not achieve their expected investment return, which</w:t>
      </w:r>
      <w:r>
        <w:rPr>
          <w:rFonts w:ascii="Arial" w:eastAsia="Times New Roman" w:hAnsi="Arial" w:cs="Arial"/>
          <w:color w:val="000000"/>
          <w:sz w:val="20"/>
          <w:szCs w:val="20"/>
        </w:rPr>
        <w:t xml:space="preserve"> could affect our financial results, reputation and hinder our ability to secure future projects. Recent projects that have experienced various degrees of impacts include the US L3R Program that was placed into service in the third quarter of 2021, Line 5 </w:t>
      </w:r>
      <w:r>
        <w:rPr>
          <w:rFonts w:ascii="Arial" w:eastAsia="Times New Roman" w:hAnsi="Arial" w:cs="Arial"/>
          <w:color w:val="000000"/>
          <w:sz w:val="20"/>
          <w:szCs w:val="20"/>
        </w:rPr>
        <w:t xml:space="preserve">projects (tunnel and reroute), Texas Eastern Modernization, East-West Tie and Offshore Wind. For additional discussion of specific proceedings that could affect our operations and financial results, refer to Part II. </w:t>
      </w:r>
      <w:r>
        <w:rPr>
          <w:rFonts w:ascii="Arial" w:eastAsia="Times New Roman" w:hAnsi="Arial" w:cs="Arial"/>
          <w:i/>
          <w:iCs/>
          <w:color w:val="000000"/>
          <w:sz w:val="20"/>
          <w:szCs w:val="20"/>
        </w:rPr>
        <w:t>Item 7. Management's Discussion and Ana</w:t>
      </w:r>
      <w:r>
        <w:rPr>
          <w:rFonts w:ascii="Arial" w:eastAsia="Times New Roman" w:hAnsi="Arial" w:cs="Arial"/>
          <w:i/>
          <w:iCs/>
          <w:color w:val="000000"/>
          <w:sz w:val="20"/>
          <w:szCs w:val="20"/>
        </w:rPr>
        <w:t>lysis of Financial Condition and Results of Operations - Legal and Other Updates.</w:t>
      </w:r>
    </w:p>
    <w:p w:rsidR="00000000" w:rsidRDefault="001F1FC8">
      <w:pPr>
        <w:divId w:val="1217668008"/>
        <w:rPr>
          <w:rFonts w:eastAsia="Times New Roman"/>
        </w:rPr>
      </w:pPr>
    </w:p>
    <w:p w:rsidR="00000000" w:rsidRDefault="001F1FC8">
      <w:pPr>
        <w:divId w:val="45839041"/>
        <w:rPr>
          <w:rFonts w:eastAsia="Times New Roman"/>
        </w:rPr>
      </w:pPr>
      <w:r>
        <w:rPr>
          <w:rFonts w:ascii="Arial" w:eastAsia="Times New Roman" w:hAnsi="Arial" w:cs="Arial"/>
          <w:b/>
          <w:bCs/>
          <w:i/>
          <w:iCs/>
          <w:color w:val="000000"/>
          <w:sz w:val="20"/>
          <w:szCs w:val="20"/>
        </w:rPr>
        <w:t>Changing expectations from stakeholders regarding ESG practices and climate change or erosion of stakeholder trust or confidence could damage our reputation and influence a</w:t>
      </w:r>
      <w:r>
        <w:rPr>
          <w:rFonts w:ascii="Arial" w:eastAsia="Times New Roman" w:hAnsi="Arial" w:cs="Arial"/>
          <w:b/>
          <w:bCs/>
          <w:i/>
          <w:iCs/>
          <w:color w:val="000000"/>
          <w:sz w:val="20"/>
          <w:szCs w:val="20"/>
        </w:rPr>
        <w:t>ctions or decisions about our company and industry and have negative impacts on our business, operations or financial results.</w:t>
      </w:r>
    </w:p>
    <w:p w:rsidR="00000000" w:rsidRDefault="001F1FC8">
      <w:pPr>
        <w:divId w:val="1955673177"/>
        <w:rPr>
          <w:rFonts w:eastAsia="Times New Roman"/>
        </w:rPr>
      </w:pPr>
      <w:r>
        <w:rPr>
          <w:rFonts w:ascii="Arial" w:eastAsia="Times New Roman" w:hAnsi="Arial" w:cs="Arial"/>
          <w:color w:val="000000"/>
          <w:sz w:val="20"/>
          <w:szCs w:val="20"/>
        </w:rPr>
        <w:t xml:space="preserve">Companies across all sectors and industries are facing changing expectations or increasing scrutiny from stakeholders related to </w:t>
      </w:r>
      <w:r>
        <w:rPr>
          <w:rFonts w:ascii="Arial" w:eastAsia="Times New Roman" w:hAnsi="Arial" w:cs="Arial"/>
          <w:color w:val="000000"/>
          <w:sz w:val="20"/>
          <w:szCs w:val="20"/>
        </w:rPr>
        <w:t>their approach to ESG matters of greatest relevance to their business and to their stakeholders. For energy companies, climate change, safety, stakeholder and Indigenous relations remain primary focus areas, while other environmental elements such as biodi</w:t>
      </w:r>
      <w:r>
        <w:rPr>
          <w:rFonts w:ascii="Arial" w:eastAsia="Times New Roman" w:hAnsi="Arial" w:cs="Arial"/>
          <w:color w:val="000000"/>
          <w:sz w:val="20"/>
          <w:szCs w:val="20"/>
        </w:rPr>
        <w:t xml:space="preserve">versity are ascendant; changing expectations of our practices and performance across these and other ESG areas may impose additional costs or create exposure to new or additional risks. </w:t>
      </w:r>
    </w:p>
    <w:p w:rsidR="00000000" w:rsidRDefault="001F1FC8">
      <w:pPr>
        <w:divId w:val="1495953973"/>
        <w:rPr>
          <w:rFonts w:eastAsia="Times New Roman"/>
        </w:rPr>
      </w:pPr>
    </w:p>
    <w:p w:rsidR="00000000" w:rsidRDefault="001F1FC8">
      <w:pPr>
        <w:divId w:val="403264980"/>
        <w:rPr>
          <w:rFonts w:eastAsia="Times New Roman"/>
        </w:rPr>
      </w:pPr>
      <w:r>
        <w:rPr>
          <w:rFonts w:ascii="Arial" w:eastAsia="Times New Roman" w:hAnsi="Arial" w:cs="Arial"/>
          <w:color w:val="000000"/>
          <w:sz w:val="20"/>
          <w:szCs w:val="20"/>
        </w:rPr>
        <w:t>Our operations, projects and growth opportunities require us to hav</w:t>
      </w:r>
      <w:r>
        <w:rPr>
          <w:rFonts w:ascii="Arial" w:eastAsia="Times New Roman" w:hAnsi="Arial" w:cs="Arial"/>
          <w:color w:val="000000"/>
          <w:sz w:val="20"/>
          <w:szCs w:val="20"/>
        </w:rPr>
        <w:t>e strong relationships with key stakeholders, including local communities, Indigenous groups and communities and other groups directly impacted by our activities, as well as governments and government agencies, investor advocacy groups, institutional inves</w:t>
      </w:r>
      <w:r>
        <w:rPr>
          <w:rFonts w:ascii="Arial" w:eastAsia="Times New Roman" w:hAnsi="Arial" w:cs="Arial"/>
          <w:color w:val="000000"/>
          <w:sz w:val="20"/>
          <w:szCs w:val="20"/>
        </w:rPr>
        <w:t xml:space="preserve">tors, investment funds, financial institutions, insurers and others, which are increasingly focused on ESG practices. </w:t>
      </w:r>
    </w:p>
    <w:p w:rsidR="00000000" w:rsidRDefault="001F1FC8">
      <w:pPr>
        <w:divId w:val="1108427630"/>
        <w:rPr>
          <w:rFonts w:eastAsia="Times New Roman"/>
        </w:rPr>
      </w:pPr>
    </w:p>
    <w:p w:rsidR="00000000" w:rsidRDefault="001F1FC8">
      <w:pPr>
        <w:divId w:val="1584561345"/>
        <w:rPr>
          <w:rFonts w:eastAsia="Times New Roman"/>
        </w:rPr>
      </w:pPr>
      <w:r>
        <w:rPr>
          <w:rFonts w:ascii="Arial" w:eastAsia="Times New Roman" w:hAnsi="Arial" w:cs="Arial"/>
          <w:color w:val="000000"/>
          <w:sz w:val="20"/>
          <w:szCs w:val="20"/>
        </w:rPr>
        <w:t>Enhanced public awareness of climate change has driven an increase in demand for low-carbon and zero-emissions energy. Enbridge has a l</w:t>
      </w:r>
      <w:r>
        <w:rPr>
          <w:rFonts w:ascii="Arial" w:eastAsia="Times New Roman" w:hAnsi="Arial" w:cs="Arial"/>
          <w:color w:val="000000"/>
          <w:sz w:val="20"/>
          <w:szCs w:val="20"/>
        </w:rPr>
        <w:t>ong history of diversifying its portfolio of businesses to align with the mix of energy that people need and want. However, the pace and scale of the transition to a lower emissions economy may pose a climate-related transition risk if Enbridge diversifies</w:t>
      </w:r>
      <w:r>
        <w:rPr>
          <w:rFonts w:ascii="Arial" w:eastAsia="Times New Roman" w:hAnsi="Arial" w:cs="Arial"/>
          <w:color w:val="000000"/>
          <w:sz w:val="20"/>
          <w:szCs w:val="20"/>
        </w:rPr>
        <w:t xml:space="preserve"> either too quickly or too slowly. Similarly, unexpected shifts in energy demands, including due to climate changes concerns, can impact revenue through reduced throughput volumes on our pipeline transportation system. </w:t>
      </w:r>
    </w:p>
    <w:p w:rsidR="00000000" w:rsidRDefault="001F1FC8">
      <w:pPr>
        <w:divId w:val="390078322"/>
        <w:rPr>
          <w:rFonts w:eastAsia="Times New Roman"/>
        </w:rPr>
      </w:pPr>
    </w:p>
    <w:p w:rsidR="00000000" w:rsidRDefault="001F1FC8">
      <w:pPr>
        <w:divId w:val="1474063257"/>
        <w:rPr>
          <w:rFonts w:eastAsia="Times New Roman"/>
        </w:rPr>
      </w:pPr>
      <w:r>
        <w:rPr>
          <w:rFonts w:ascii="Arial" w:eastAsia="Times New Roman" w:hAnsi="Arial" w:cs="Arial"/>
          <w:color w:val="000000"/>
          <w:sz w:val="20"/>
          <w:szCs w:val="20"/>
        </w:rPr>
        <w:t>We have long been committed to str</w:t>
      </w:r>
      <w:r>
        <w:rPr>
          <w:rFonts w:ascii="Arial" w:eastAsia="Times New Roman" w:hAnsi="Arial" w:cs="Arial"/>
          <w:color w:val="000000"/>
          <w:sz w:val="20"/>
          <w:szCs w:val="20"/>
        </w:rPr>
        <w:t>ong ESG practices, performance and reporting, and in late 2020 introduced a set of ESG goals to strengthen transparency and accountability. The goals include increasing diversity and inclusion within our organization and reducing emissions from our operati</w:t>
      </w:r>
      <w:r>
        <w:rPr>
          <w:rFonts w:ascii="Arial" w:eastAsia="Times New Roman" w:hAnsi="Arial" w:cs="Arial"/>
          <w:color w:val="000000"/>
          <w:sz w:val="20"/>
          <w:szCs w:val="20"/>
        </w:rPr>
        <w:t>ons to net zero by 2050, with corporate and business unit action plans aligned to our strategic priority to adapt to the energy transition over time. Given elevated long-term risks associated with climate change, there have also been efforts in recent year</w:t>
      </w:r>
      <w:r>
        <w:rPr>
          <w:rFonts w:ascii="Arial" w:eastAsia="Times New Roman" w:hAnsi="Arial" w:cs="Arial"/>
          <w:color w:val="000000"/>
          <w:sz w:val="20"/>
          <w:szCs w:val="20"/>
        </w:rPr>
        <w:t>s by the investment community, including increased engagement with companies on climate change and decreasing the carbon intensity of their portfolios. If we are not able to achieve our GHG emissions reduction goals, are not able to meet future climate, em</w:t>
      </w:r>
      <w:r>
        <w:rPr>
          <w:rFonts w:ascii="Arial" w:eastAsia="Times New Roman" w:hAnsi="Arial" w:cs="Arial"/>
          <w:color w:val="000000"/>
          <w:sz w:val="20"/>
          <w:szCs w:val="20"/>
        </w:rPr>
        <w:t>issions or other reporting requirements of regulators, or are not able to meet or manage current and future expectations or issues important to investors or other stakeholders including those related to climate change, it could negatively impact stakeholde</w:t>
      </w:r>
      <w:r>
        <w:rPr>
          <w:rFonts w:ascii="Arial" w:eastAsia="Times New Roman" w:hAnsi="Arial" w:cs="Arial"/>
          <w:color w:val="000000"/>
          <w:sz w:val="20"/>
          <w:szCs w:val="20"/>
        </w:rPr>
        <w:t xml:space="preserve">r trust and confidence, our reputation, and our business, operations or financial results, including: </w:t>
      </w:r>
    </w:p>
    <w:p w:rsidR="00000000" w:rsidRDefault="001F1FC8">
      <w:pPr>
        <w:divId w:val="1786382631"/>
        <w:rPr>
          <w:rFonts w:eastAsia="Times New Roman"/>
        </w:rPr>
      </w:pPr>
    </w:p>
    <w:p w:rsidR="00000000" w:rsidRDefault="001F1FC8">
      <w:pPr>
        <w:ind w:hanging="360"/>
        <w:divId w:val="848837676"/>
        <w:rPr>
          <w:rFonts w:eastAsia="Times New Roman"/>
        </w:rPr>
      </w:pPr>
      <w:r>
        <w:rPr>
          <w:rFonts w:ascii="Arial" w:eastAsia="Times New Roman" w:hAnsi="Arial" w:cs="Arial"/>
          <w:color w:val="000000"/>
          <w:sz w:val="20"/>
          <w:szCs w:val="20"/>
        </w:rPr>
        <w:t>•loss of business;</w:t>
      </w:r>
    </w:p>
    <w:p w:rsidR="00000000" w:rsidRDefault="001F1FC8">
      <w:pPr>
        <w:ind w:hanging="360"/>
        <w:divId w:val="2141461663"/>
        <w:rPr>
          <w:rFonts w:eastAsia="Times New Roman"/>
        </w:rPr>
      </w:pPr>
      <w:r>
        <w:rPr>
          <w:rFonts w:ascii="Arial" w:eastAsia="Times New Roman" w:hAnsi="Arial" w:cs="Arial"/>
          <w:color w:val="000000"/>
          <w:sz w:val="20"/>
          <w:szCs w:val="20"/>
        </w:rPr>
        <w:t>•loss of ability to secure growth opportunities;</w:t>
      </w:r>
    </w:p>
    <w:p w:rsidR="00000000" w:rsidRDefault="001F1FC8">
      <w:pPr>
        <w:ind w:hanging="360"/>
        <w:divId w:val="182521489"/>
        <w:rPr>
          <w:rFonts w:eastAsia="Times New Roman"/>
        </w:rPr>
      </w:pPr>
      <w:r>
        <w:rPr>
          <w:rFonts w:ascii="Arial" w:eastAsia="Times New Roman" w:hAnsi="Arial" w:cs="Arial"/>
          <w:color w:val="000000"/>
          <w:sz w:val="20"/>
          <w:szCs w:val="20"/>
        </w:rPr>
        <w:t>•delays in project execution;</w:t>
      </w:r>
    </w:p>
    <w:p w:rsidR="00000000" w:rsidRDefault="001F1FC8">
      <w:pPr>
        <w:ind w:hanging="360"/>
        <w:divId w:val="1349138600"/>
        <w:rPr>
          <w:rFonts w:eastAsia="Times New Roman"/>
        </w:rPr>
      </w:pPr>
      <w:r>
        <w:rPr>
          <w:rFonts w:ascii="Arial" w:eastAsia="Times New Roman" w:hAnsi="Arial" w:cs="Arial"/>
          <w:color w:val="000000"/>
          <w:sz w:val="20"/>
          <w:szCs w:val="20"/>
        </w:rPr>
        <w:t>•</w:t>
      </w:r>
      <w:r>
        <w:rPr>
          <w:rFonts w:ascii="Arial" w:eastAsia="Times New Roman" w:hAnsi="Arial" w:cs="Arial"/>
          <w:color w:val="000000"/>
          <w:sz w:val="20"/>
          <w:szCs w:val="20"/>
        </w:rPr>
        <w:t>legal action, such as the legal challenges to the operation of Line 5 in Michigan and Wisconsin;</w:t>
      </w:r>
    </w:p>
    <w:p w:rsidR="00000000" w:rsidRDefault="001F1FC8">
      <w:pPr>
        <w:ind w:hanging="360"/>
        <w:divId w:val="591739372"/>
        <w:rPr>
          <w:rFonts w:eastAsia="Times New Roman"/>
        </w:rPr>
      </w:pPr>
      <w:r>
        <w:rPr>
          <w:rFonts w:ascii="Arial" w:eastAsia="Times New Roman" w:hAnsi="Arial" w:cs="Arial"/>
          <w:color w:val="000000"/>
          <w:sz w:val="20"/>
          <w:szCs w:val="20"/>
        </w:rPr>
        <w:t>•increased regulatory oversight;</w:t>
      </w:r>
    </w:p>
    <w:p w:rsidR="00000000" w:rsidRDefault="001F1FC8">
      <w:pPr>
        <w:ind w:hanging="360"/>
        <w:divId w:val="1054237264"/>
        <w:rPr>
          <w:rFonts w:eastAsia="Times New Roman"/>
        </w:rPr>
      </w:pPr>
      <w:r>
        <w:rPr>
          <w:rFonts w:ascii="Arial" w:eastAsia="Times New Roman" w:hAnsi="Arial" w:cs="Arial"/>
          <w:color w:val="000000"/>
          <w:sz w:val="20"/>
          <w:szCs w:val="20"/>
        </w:rPr>
        <w:t>•loss of ability to obtain and maintain necessary approvals and permits from governments and regulatory agencies on a timely b</w:t>
      </w:r>
      <w:r>
        <w:rPr>
          <w:rFonts w:ascii="Arial" w:eastAsia="Times New Roman" w:hAnsi="Arial" w:cs="Arial"/>
          <w:color w:val="000000"/>
          <w:sz w:val="20"/>
          <w:szCs w:val="20"/>
        </w:rPr>
        <w:t>asis and on acceptable terms;</w:t>
      </w:r>
    </w:p>
    <w:p w:rsidR="00000000" w:rsidRDefault="001F1FC8">
      <w:pPr>
        <w:jc w:val="center"/>
        <w:divId w:val="1005088144"/>
        <w:rPr>
          <w:rFonts w:eastAsia="Times New Roman"/>
        </w:rPr>
      </w:pPr>
      <w:r>
        <w:rPr>
          <w:rFonts w:ascii="Arial" w:eastAsia="Times New Roman" w:hAnsi="Arial" w:cs="Arial"/>
          <w:color w:val="000000"/>
          <w:sz w:val="20"/>
          <w:szCs w:val="20"/>
        </w:rPr>
        <w:t>48</w:t>
      </w:r>
    </w:p>
    <w:p w:rsidR="00000000" w:rsidRDefault="001F1FC8">
      <w:pPr>
        <w:rPr>
          <w:rFonts w:eastAsia="Times New Roman"/>
        </w:rPr>
      </w:pPr>
      <w:r>
        <w:rPr>
          <w:rFonts w:eastAsia="Times New Roman"/>
        </w:rPr>
        <w:pict>
          <v:rect id="_x0000_i1077" style="width:0;height:1.5pt" o:hralign="center" o:hrstd="t" o:hr="t" fillcolor="#a0a0a0" stroked="f"/>
        </w:pict>
      </w:r>
    </w:p>
    <w:p w:rsidR="00000000" w:rsidRDefault="001F1FC8">
      <w:pPr>
        <w:jc w:val="center"/>
        <w:divId w:val="1031807472"/>
        <w:rPr>
          <w:rFonts w:eastAsia="Times New Roman"/>
        </w:rPr>
      </w:pPr>
    </w:p>
    <w:p w:rsidR="00000000" w:rsidRDefault="001F1FC8">
      <w:pPr>
        <w:ind w:hanging="360"/>
        <w:divId w:val="197620930"/>
        <w:rPr>
          <w:rFonts w:eastAsia="Times New Roman"/>
        </w:rPr>
      </w:pPr>
      <w:r>
        <w:rPr>
          <w:rFonts w:ascii="Arial" w:eastAsia="Times New Roman" w:hAnsi="Arial" w:cs="Arial"/>
          <w:color w:val="000000"/>
          <w:sz w:val="20"/>
          <w:szCs w:val="20"/>
        </w:rPr>
        <w:t>•impediments on our ability to acquire or renew rights-of-way or land rights on a timely basis and on acceptable terms;</w:t>
      </w:r>
    </w:p>
    <w:p w:rsidR="00000000" w:rsidRDefault="001F1FC8">
      <w:pPr>
        <w:ind w:hanging="360"/>
        <w:divId w:val="1748185040"/>
        <w:rPr>
          <w:rFonts w:eastAsia="Times New Roman"/>
        </w:rPr>
      </w:pPr>
      <w:r>
        <w:rPr>
          <w:rFonts w:ascii="Arial" w:eastAsia="Times New Roman" w:hAnsi="Arial" w:cs="Arial"/>
          <w:color w:val="000000"/>
          <w:sz w:val="20"/>
          <w:szCs w:val="20"/>
        </w:rPr>
        <w:t>•changing investor sentiment regarding investment in the oil and</w:t>
      </w:r>
      <w:r>
        <w:rPr>
          <w:rFonts w:ascii="Arial" w:eastAsia="Times New Roman" w:hAnsi="Arial" w:cs="Arial"/>
          <w:color w:val="000000"/>
          <w:sz w:val="20"/>
          <w:szCs w:val="20"/>
        </w:rPr>
        <w:t xml:space="preserve"> gas industry or our company;</w:t>
      </w:r>
    </w:p>
    <w:p w:rsidR="00000000" w:rsidRDefault="001F1FC8">
      <w:pPr>
        <w:ind w:hanging="360"/>
        <w:divId w:val="1504004856"/>
        <w:rPr>
          <w:rFonts w:eastAsia="Times New Roman"/>
        </w:rPr>
      </w:pPr>
      <w:r>
        <w:rPr>
          <w:rFonts w:ascii="Arial" w:eastAsia="Times New Roman" w:hAnsi="Arial" w:cs="Arial"/>
          <w:color w:val="000000"/>
          <w:sz w:val="20"/>
          <w:szCs w:val="20"/>
        </w:rPr>
        <w:t>•restricted access to and cost of capital and insurance; and</w:t>
      </w:r>
    </w:p>
    <w:p w:rsidR="00000000" w:rsidRDefault="001F1FC8">
      <w:pPr>
        <w:ind w:hanging="360"/>
        <w:divId w:val="622151889"/>
        <w:rPr>
          <w:rFonts w:eastAsia="Times New Roman"/>
        </w:rPr>
      </w:pPr>
      <w:r>
        <w:rPr>
          <w:rFonts w:ascii="Arial" w:eastAsia="Times New Roman" w:hAnsi="Arial" w:cs="Arial"/>
          <w:color w:val="000000"/>
          <w:sz w:val="20"/>
          <w:szCs w:val="20"/>
        </w:rPr>
        <w:t>•loss of ability to hire and retain top talent.</w:t>
      </w:r>
    </w:p>
    <w:p w:rsidR="00000000" w:rsidRDefault="001F1FC8">
      <w:pPr>
        <w:divId w:val="527255964"/>
        <w:rPr>
          <w:rFonts w:eastAsia="Times New Roman"/>
        </w:rPr>
      </w:pPr>
    </w:p>
    <w:p w:rsidR="00000000" w:rsidRDefault="001F1FC8">
      <w:pPr>
        <w:divId w:val="1974410035"/>
        <w:rPr>
          <w:rFonts w:eastAsia="Times New Roman"/>
        </w:rPr>
      </w:pPr>
      <w:r>
        <w:rPr>
          <w:rFonts w:ascii="Arial" w:eastAsia="Times New Roman" w:hAnsi="Arial" w:cs="Arial"/>
          <w:color w:val="000000"/>
          <w:sz w:val="20"/>
          <w:szCs w:val="20"/>
        </w:rPr>
        <w:t>We are also exposed to the risk of higher costs, delays, project cancellations, new restrictions or the cessation o</w:t>
      </w:r>
      <w:r>
        <w:rPr>
          <w:rFonts w:ascii="Arial" w:eastAsia="Times New Roman" w:hAnsi="Arial" w:cs="Arial"/>
          <w:color w:val="000000"/>
          <w:sz w:val="20"/>
          <w:szCs w:val="20"/>
        </w:rPr>
        <w:t>f operations of existing pipelines due to increasing pressure on governments and regulators. Recent judicial decisions have increased the ability of groups to make claims and oppose projects in regulatory and legal forums. In addition to issues raised by g</w:t>
      </w:r>
      <w:r>
        <w:rPr>
          <w:rFonts w:ascii="Arial" w:eastAsia="Times New Roman" w:hAnsi="Arial" w:cs="Arial"/>
          <w:color w:val="000000"/>
          <w:sz w:val="20"/>
          <w:szCs w:val="20"/>
        </w:rPr>
        <w:t>roups focused on particular project impacts, we and others in the energy and pipeline businesses are facing organized opposition to oil and gas extraction and shipment of oil and gas products.</w:t>
      </w:r>
    </w:p>
    <w:p w:rsidR="00000000" w:rsidRDefault="001F1FC8">
      <w:pPr>
        <w:divId w:val="257718541"/>
        <w:rPr>
          <w:rFonts w:eastAsia="Times New Roman"/>
        </w:rPr>
      </w:pPr>
    </w:p>
    <w:p w:rsidR="00000000" w:rsidRDefault="001F1FC8">
      <w:pPr>
        <w:divId w:val="305934765"/>
        <w:rPr>
          <w:rFonts w:eastAsia="Times New Roman"/>
        </w:rPr>
      </w:pPr>
      <w:r>
        <w:rPr>
          <w:rFonts w:ascii="Arial" w:eastAsia="Times New Roman" w:hAnsi="Arial" w:cs="Arial"/>
          <w:b/>
          <w:bCs/>
          <w:i/>
          <w:iCs/>
          <w:color w:val="000000"/>
          <w:sz w:val="20"/>
          <w:szCs w:val="20"/>
        </w:rPr>
        <w:t>Our forecasted assumptions may not materialize as expected, i</w:t>
      </w:r>
      <w:r>
        <w:rPr>
          <w:rFonts w:ascii="Arial" w:eastAsia="Times New Roman" w:hAnsi="Arial" w:cs="Arial"/>
          <w:b/>
          <w:bCs/>
          <w:i/>
          <w:iCs/>
          <w:color w:val="000000"/>
          <w:sz w:val="20"/>
          <w:szCs w:val="20"/>
        </w:rPr>
        <w:t>ncluding on our expansion projects, acquisitions and divestitures.</w:t>
      </w:r>
    </w:p>
    <w:p w:rsidR="00000000" w:rsidRDefault="001F1FC8">
      <w:pPr>
        <w:divId w:val="1235507621"/>
        <w:rPr>
          <w:rFonts w:eastAsia="Times New Roman"/>
        </w:rPr>
      </w:pPr>
      <w:r>
        <w:rPr>
          <w:rFonts w:ascii="Arial" w:eastAsia="Times New Roman" w:hAnsi="Arial" w:cs="Arial"/>
          <w:color w:val="000000"/>
          <w:sz w:val="20"/>
          <w:szCs w:val="20"/>
        </w:rPr>
        <w:t>We evaluate expansion projects, acquisitions and divestitures on an ongoing basis. Planning and investment analysis is highly dependent on accurate forecasting assumptions and to the extent</w:t>
      </w:r>
      <w:r>
        <w:rPr>
          <w:rFonts w:ascii="Arial" w:eastAsia="Times New Roman" w:hAnsi="Arial" w:cs="Arial"/>
          <w:color w:val="000000"/>
          <w:sz w:val="20"/>
          <w:szCs w:val="20"/>
        </w:rPr>
        <w:t xml:space="preserve"> that these assumptions do not materialize, financial performance may be lower or more volatile than expected. Volatility and unpredictability in the economy, both locally and globally, and changes in cost estimates, project scoping and risk assessment cou</w:t>
      </w:r>
      <w:r>
        <w:rPr>
          <w:rFonts w:ascii="Arial" w:eastAsia="Times New Roman" w:hAnsi="Arial" w:cs="Arial"/>
          <w:color w:val="000000"/>
          <w:sz w:val="20"/>
          <w:szCs w:val="20"/>
        </w:rPr>
        <w:t>ld result in a loss of our profits.Similarly, uncertainty in market signals, such as abrupt and unexpected shifts in energy costs and demands, as we saw in 2020 resulting from the COVID-19 pandemic, have impacted, and may in the future impact, revenue thro</w:t>
      </w:r>
      <w:r>
        <w:rPr>
          <w:rFonts w:ascii="Arial" w:eastAsia="Times New Roman" w:hAnsi="Arial" w:cs="Arial"/>
          <w:color w:val="000000"/>
          <w:sz w:val="20"/>
          <w:szCs w:val="20"/>
        </w:rPr>
        <w:t>ugh reduced throughput volumes on our pipeline transportation system.</w:t>
      </w:r>
    </w:p>
    <w:p w:rsidR="00000000" w:rsidRDefault="001F1FC8">
      <w:pPr>
        <w:divId w:val="1088037125"/>
        <w:rPr>
          <w:rFonts w:eastAsia="Times New Roman"/>
        </w:rPr>
      </w:pPr>
    </w:p>
    <w:p w:rsidR="00000000" w:rsidRDefault="001F1FC8">
      <w:pPr>
        <w:divId w:val="1479760174"/>
        <w:rPr>
          <w:rFonts w:eastAsia="Times New Roman"/>
        </w:rPr>
      </w:pPr>
      <w:r>
        <w:rPr>
          <w:rFonts w:ascii="Arial" w:eastAsia="Times New Roman" w:hAnsi="Arial" w:cs="Arial"/>
          <w:b/>
          <w:bCs/>
          <w:i/>
          <w:iCs/>
          <w:color w:val="000000"/>
          <w:sz w:val="20"/>
          <w:szCs w:val="20"/>
        </w:rPr>
        <w:t>Our insurance coverage may not be sufficient to cover our losses in the event of an accident, natural disaster or other hazardous event.</w:t>
      </w:r>
    </w:p>
    <w:p w:rsidR="00000000" w:rsidRDefault="001F1FC8">
      <w:pPr>
        <w:divId w:val="1593510404"/>
        <w:rPr>
          <w:rFonts w:eastAsia="Times New Roman"/>
        </w:rPr>
      </w:pPr>
      <w:r>
        <w:rPr>
          <w:rFonts w:ascii="Arial" w:eastAsia="Times New Roman" w:hAnsi="Arial" w:cs="Arial"/>
          <w:color w:val="000000"/>
          <w:sz w:val="20"/>
          <w:szCs w:val="20"/>
        </w:rPr>
        <w:t>Our operations are subject to many hazards inhe</w:t>
      </w:r>
      <w:r>
        <w:rPr>
          <w:rFonts w:ascii="Arial" w:eastAsia="Times New Roman" w:hAnsi="Arial" w:cs="Arial"/>
          <w:color w:val="000000"/>
          <w:sz w:val="20"/>
          <w:szCs w:val="20"/>
        </w:rPr>
        <w:t xml:space="preserve">rent in our industry. Our assets may experience physical damage as a result of an accident or natural disaster. These hazards can also cause, and in some cases have caused, personal injury and loss of life, severe damage to and destruction of property and </w:t>
      </w:r>
      <w:r>
        <w:rPr>
          <w:rFonts w:ascii="Arial" w:eastAsia="Times New Roman" w:hAnsi="Arial" w:cs="Arial"/>
          <w:color w:val="000000"/>
          <w:sz w:val="20"/>
          <w:szCs w:val="20"/>
        </w:rPr>
        <w:t>equipment, pollution or environmental damage, and suspension of operations. We maintain a comprehensive insurance program for us, our subsidiaries and certain of our affiliates to mitigate the financial impacts arising from these hazards. This program incl</w:t>
      </w:r>
      <w:r>
        <w:rPr>
          <w:rFonts w:ascii="Arial" w:eastAsia="Times New Roman" w:hAnsi="Arial" w:cs="Arial"/>
          <w:color w:val="000000"/>
          <w:sz w:val="20"/>
          <w:szCs w:val="20"/>
        </w:rPr>
        <w:t>udes insurance coverage in types and amounts and with terms and conditions that are generally consistent with coverage customary for our industry; however, insurance does not cover all events in all circumstances.</w:t>
      </w:r>
    </w:p>
    <w:p w:rsidR="00000000" w:rsidRDefault="001F1FC8">
      <w:pPr>
        <w:divId w:val="1492676319"/>
        <w:rPr>
          <w:rFonts w:eastAsia="Times New Roman"/>
        </w:rPr>
      </w:pPr>
    </w:p>
    <w:p w:rsidR="00000000" w:rsidRDefault="001F1FC8">
      <w:pPr>
        <w:divId w:val="350650328"/>
        <w:rPr>
          <w:rFonts w:eastAsia="Times New Roman"/>
        </w:rPr>
      </w:pPr>
      <w:r>
        <w:rPr>
          <w:rFonts w:ascii="Arial" w:eastAsia="Times New Roman" w:hAnsi="Arial" w:cs="Arial"/>
          <w:color w:val="000000"/>
          <w:sz w:val="20"/>
          <w:szCs w:val="20"/>
        </w:rPr>
        <w:t>In the unlikely event that multiple insu</w:t>
      </w:r>
      <w:r>
        <w:rPr>
          <w:rFonts w:ascii="Arial" w:eastAsia="Times New Roman" w:hAnsi="Arial" w:cs="Arial"/>
          <w:color w:val="000000"/>
          <w:sz w:val="20"/>
          <w:szCs w:val="20"/>
        </w:rPr>
        <w:t>rable incidents that in the aggregate exceed coverage limits occur within the same insurance period, the total insurance coverage will be allocated among our entities on an equitable basis based on an insurance allocation agreement among us and our subsidi</w:t>
      </w:r>
      <w:r>
        <w:rPr>
          <w:rFonts w:ascii="Arial" w:eastAsia="Times New Roman" w:hAnsi="Arial" w:cs="Arial"/>
          <w:color w:val="000000"/>
          <w:sz w:val="20"/>
          <w:szCs w:val="20"/>
        </w:rPr>
        <w:t>aries. Additionally, even with insurance, if any natural disaster or other hazardous event leads to a catastrophic interruption in operations, we may not be able to restore operations without significant interruption.</w:t>
      </w:r>
    </w:p>
    <w:p w:rsidR="00000000" w:rsidRDefault="001F1FC8">
      <w:pPr>
        <w:divId w:val="481653052"/>
        <w:rPr>
          <w:rFonts w:eastAsia="Times New Roman"/>
        </w:rPr>
      </w:pPr>
    </w:p>
    <w:p w:rsidR="00000000" w:rsidRDefault="001F1FC8">
      <w:pPr>
        <w:divId w:val="584384689"/>
        <w:rPr>
          <w:rFonts w:eastAsia="Times New Roman"/>
        </w:rPr>
      </w:pPr>
      <w:r>
        <w:rPr>
          <w:rFonts w:ascii="Arial" w:eastAsia="Times New Roman" w:hAnsi="Arial" w:cs="Arial"/>
          <w:b/>
          <w:bCs/>
          <w:i/>
          <w:iCs/>
          <w:color w:val="000000"/>
          <w:sz w:val="20"/>
          <w:szCs w:val="20"/>
        </w:rPr>
        <w:t>We are exposed to the credit risk of</w:t>
      </w:r>
      <w:r>
        <w:rPr>
          <w:rFonts w:ascii="Arial" w:eastAsia="Times New Roman" w:hAnsi="Arial" w:cs="Arial"/>
          <w:b/>
          <w:bCs/>
          <w:i/>
          <w:iCs/>
          <w:color w:val="000000"/>
          <w:sz w:val="20"/>
          <w:szCs w:val="20"/>
        </w:rPr>
        <w:t xml:space="preserve"> our customers.</w:t>
      </w:r>
    </w:p>
    <w:p w:rsidR="00000000" w:rsidRDefault="001F1FC8">
      <w:pPr>
        <w:divId w:val="402071979"/>
        <w:rPr>
          <w:rFonts w:eastAsia="Times New Roman"/>
        </w:rPr>
      </w:pPr>
      <w:r>
        <w:rPr>
          <w:rFonts w:ascii="Arial" w:eastAsia="Times New Roman" w:hAnsi="Arial" w:cs="Arial"/>
          <w:color w:val="000000"/>
          <w:sz w:val="20"/>
          <w:szCs w:val="20"/>
        </w:rPr>
        <w:t>We are exposed to the credit risk of our customers in the ordinary course of our business. Generally, our customers are rated investment-grade, are otherwise considered creditworthy or provide us security to satisfy credit concerns. However, we cannot pred</w:t>
      </w:r>
      <w:r>
        <w:rPr>
          <w:rFonts w:ascii="Arial" w:eastAsia="Times New Roman" w:hAnsi="Arial" w:cs="Arial"/>
          <w:color w:val="000000"/>
          <w:sz w:val="20"/>
          <w:szCs w:val="20"/>
        </w:rPr>
        <w:t>ict to what extent our business would be impacted by deteriorating conditions in the economy, including possible declines in our customers’ creditworthiness. It is possible that customer payment defaults, if significant, could adversely affect our earnings</w:t>
      </w:r>
      <w:r>
        <w:rPr>
          <w:rFonts w:ascii="Arial" w:eastAsia="Times New Roman" w:hAnsi="Arial" w:cs="Arial"/>
          <w:color w:val="000000"/>
          <w:sz w:val="20"/>
          <w:szCs w:val="20"/>
        </w:rPr>
        <w:t xml:space="preserve"> and cash flows.</w:t>
      </w:r>
    </w:p>
    <w:p w:rsidR="00000000" w:rsidRDefault="001F1FC8">
      <w:pPr>
        <w:divId w:val="948857517"/>
        <w:rPr>
          <w:rFonts w:eastAsia="Times New Roman"/>
        </w:rPr>
      </w:pPr>
    </w:p>
    <w:p w:rsidR="00000000" w:rsidRDefault="001F1FC8">
      <w:pPr>
        <w:jc w:val="center"/>
        <w:divId w:val="160588699"/>
        <w:rPr>
          <w:rFonts w:eastAsia="Times New Roman"/>
        </w:rPr>
      </w:pPr>
      <w:r>
        <w:rPr>
          <w:rFonts w:ascii="Arial" w:eastAsia="Times New Roman" w:hAnsi="Arial" w:cs="Arial"/>
          <w:color w:val="000000"/>
          <w:sz w:val="20"/>
          <w:szCs w:val="20"/>
        </w:rPr>
        <w:t>49</w:t>
      </w:r>
    </w:p>
    <w:p w:rsidR="00000000" w:rsidRDefault="001F1FC8">
      <w:pPr>
        <w:rPr>
          <w:rFonts w:eastAsia="Times New Roman"/>
        </w:rPr>
      </w:pPr>
      <w:r>
        <w:rPr>
          <w:rFonts w:eastAsia="Times New Roman"/>
        </w:rPr>
        <w:pict>
          <v:rect id="_x0000_i1078" style="width:0;height:1.5pt" o:hralign="center" o:hrstd="t" o:hr="t" fillcolor="#a0a0a0" stroked="f"/>
        </w:pict>
      </w:r>
    </w:p>
    <w:p w:rsidR="00000000" w:rsidRDefault="001F1FC8">
      <w:pPr>
        <w:jc w:val="center"/>
        <w:divId w:val="2093115226"/>
        <w:rPr>
          <w:rFonts w:eastAsia="Times New Roman"/>
        </w:rPr>
      </w:pPr>
    </w:p>
    <w:p w:rsidR="00000000" w:rsidRDefault="001F1FC8">
      <w:pPr>
        <w:divId w:val="125900700"/>
        <w:rPr>
          <w:rFonts w:eastAsia="Times New Roman"/>
        </w:rPr>
      </w:pPr>
      <w:r>
        <w:rPr>
          <w:rFonts w:ascii="Arial" w:eastAsia="Times New Roman" w:hAnsi="Arial" w:cs="Arial"/>
          <w:b/>
          <w:bCs/>
          <w:i/>
          <w:iCs/>
          <w:color w:val="000000"/>
          <w:sz w:val="20"/>
          <w:szCs w:val="20"/>
        </w:rPr>
        <w:t>Our risk management policies cannot eliminate all risks. In addition, any non-compliance with our risk management policies could adversely affect our business, operations or financial results.</w:t>
      </w:r>
    </w:p>
    <w:p w:rsidR="00000000" w:rsidRDefault="001F1FC8">
      <w:pPr>
        <w:divId w:val="1171488248"/>
        <w:rPr>
          <w:rFonts w:eastAsia="Times New Roman"/>
        </w:rPr>
      </w:pPr>
      <w:r>
        <w:rPr>
          <w:rFonts w:ascii="Arial" w:eastAsia="Times New Roman" w:hAnsi="Arial" w:cs="Arial"/>
          <w:color w:val="000000"/>
          <w:sz w:val="20"/>
          <w:szCs w:val="20"/>
        </w:rPr>
        <w:t>We use financial derivatives to manage risks associated with ch</w:t>
      </w:r>
      <w:r>
        <w:rPr>
          <w:rFonts w:ascii="Arial" w:eastAsia="Times New Roman" w:hAnsi="Arial" w:cs="Arial"/>
          <w:color w:val="000000"/>
          <w:sz w:val="20"/>
          <w:szCs w:val="20"/>
        </w:rPr>
        <w:t xml:space="preserve">anges in foreign exchange rates, interest rates, commodity prices and our share price to reduce volatility of our cash flows. Based on our risk management policies, all of our financial derivatives are associated with an underlying asset, liability and/or </w:t>
      </w:r>
      <w:r>
        <w:rPr>
          <w:rFonts w:ascii="Arial" w:eastAsia="Times New Roman" w:hAnsi="Arial" w:cs="Arial"/>
          <w:color w:val="000000"/>
          <w:sz w:val="20"/>
          <w:szCs w:val="20"/>
        </w:rPr>
        <w:t xml:space="preserve">forecasted transaction and not intended for speculative purposes. </w:t>
      </w:r>
    </w:p>
    <w:p w:rsidR="00000000" w:rsidRDefault="001F1FC8">
      <w:pPr>
        <w:divId w:val="910625106"/>
        <w:rPr>
          <w:rFonts w:eastAsia="Times New Roman"/>
        </w:rPr>
      </w:pPr>
    </w:p>
    <w:p w:rsidR="00000000" w:rsidRDefault="001F1FC8">
      <w:pPr>
        <w:divId w:val="116262586"/>
        <w:rPr>
          <w:rFonts w:eastAsia="Times New Roman"/>
        </w:rPr>
      </w:pPr>
      <w:r>
        <w:rPr>
          <w:rFonts w:ascii="Arial" w:eastAsia="Times New Roman" w:hAnsi="Arial" w:cs="Arial"/>
          <w:color w:val="000000"/>
          <w:sz w:val="20"/>
          <w:szCs w:val="20"/>
        </w:rPr>
        <w:t>These policies cannot, however, eliminate all risk including unauthorized trading. Although this activity is monitored independently by our risk management function, we can provide no ass</w:t>
      </w:r>
      <w:r>
        <w:rPr>
          <w:rFonts w:ascii="Arial" w:eastAsia="Times New Roman" w:hAnsi="Arial" w:cs="Arial"/>
          <w:color w:val="000000"/>
          <w:sz w:val="20"/>
          <w:szCs w:val="20"/>
        </w:rPr>
        <w:t>urance that we will detect and prevent all unauthorized trading and other violations, particularly if deception, collusion or other intentional misconduct is involved, and any such violations could adversely affect our business, operations or financial res</w:t>
      </w:r>
      <w:r>
        <w:rPr>
          <w:rFonts w:ascii="Arial" w:eastAsia="Times New Roman" w:hAnsi="Arial" w:cs="Arial"/>
          <w:color w:val="000000"/>
          <w:sz w:val="20"/>
          <w:szCs w:val="20"/>
        </w:rPr>
        <w:t>ults.</w:t>
      </w:r>
    </w:p>
    <w:p w:rsidR="00000000" w:rsidRDefault="001F1FC8">
      <w:pPr>
        <w:divId w:val="98181395"/>
        <w:rPr>
          <w:rFonts w:eastAsia="Times New Roman"/>
        </w:rPr>
      </w:pPr>
    </w:p>
    <w:p w:rsidR="00000000" w:rsidRDefault="001F1FC8">
      <w:pPr>
        <w:divId w:val="1978610004"/>
        <w:rPr>
          <w:rFonts w:eastAsia="Times New Roman"/>
        </w:rPr>
      </w:pPr>
      <w:r>
        <w:rPr>
          <w:rFonts w:ascii="Arial" w:eastAsia="Times New Roman" w:hAnsi="Arial" w:cs="Arial"/>
          <w:b/>
          <w:bCs/>
          <w:i/>
          <w:iCs/>
          <w:color w:val="000000"/>
          <w:sz w:val="20"/>
          <w:szCs w:val="20"/>
        </w:rPr>
        <w:t>Our business requires the retention and recruitment of a skilled and diverse workforce, and difficulties in recruiting and retaining our workforce could result in a failure to implement our business plans.</w:t>
      </w:r>
    </w:p>
    <w:p w:rsidR="00000000" w:rsidRDefault="001F1FC8">
      <w:pPr>
        <w:divId w:val="1810702114"/>
        <w:rPr>
          <w:rFonts w:eastAsia="Times New Roman"/>
        </w:rPr>
      </w:pPr>
      <w:r>
        <w:rPr>
          <w:rFonts w:ascii="Arial" w:eastAsia="Times New Roman" w:hAnsi="Arial" w:cs="Arial"/>
          <w:color w:val="000000"/>
          <w:sz w:val="20"/>
          <w:szCs w:val="20"/>
        </w:rPr>
        <w:t xml:space="preserve">Our operations and management require the </w:t>
      </w:r>
      <w:r>
        <w:rPr>
          <w:rFonts w:ascii="Arial" w:eastAsia="Times New Roman" w:hAnsi="Arial" w:cs="Arial"/>
          <w:color w:val="000000"/>
          <w:sz w:val="20"/>
          <w:szCs w:val="20"/>
        </w:rPr>
        <w:t xml:space="preserve">retention and recruitment of a skilled and diverse workforce, including engineers, technical personnel and other professionals. We and our affiliates compete with other companies in the energy industry, and for some jobs the broader labor market, for this </w:t>
      </w:r>
      <w:r>
        <w:rPr>
          <w:rFonts w:ascii="Arial" w:eastAsia="Times New Roman" w:hAnsi="Arial" w:cs="Arial"/>
          <w:color w:val="000000"/>
          <w:sz w:val="20"/>
          <w:szCs w:val="20"/>
        </w:rPr>
        <w:t>skilled workforce. If we are unable to retain current employees and/or recruit new employees of comparable knowledge and experience, our business could be negatively impacted. In addition, we could experience increased costs to retain and recruit these pro</w:t>
      </w:r>
      <w:r>
        <w:rPr>
          <w:rFonts w:ascii="Arial" w:eastAsia="Times New Roman" w:hAnsi="Arial" w:cs="Arial"/>
          <w:color w:val="000000"/>
          <w:sz w:val="20"/>
          <w:szCs w:val="20"/>
        </w:rPr>
        <w:t>fessionals.</w:t>
      </w:r>
    </w:p>
    <w:p w:rsidR="00000000" w:rsidRDefault="001F1FC8">
      <w:pPr>
        <w:divId w:val="1876041496"/>
        <w:rPr>
          <w:rFonts w:eastAsia="Times New Roman"/>
        </w:rPr>
      </w:pPr>
    </w:p>
    <w:p w:rsidR="00000000" w:rsidRDefault="001F1FC8">
      <w:pPr>
        <w:divId w:val="1581717708"/>
        <w:rPr>
          <w:rFonts w:eastAsia="Times New Roman"/>
        </w:rPr>
      </w:pPr>
      <w:r>
        <w:rPr>
          <w:rFonts w:ascii="Arial" w:eastAsia="Times New Roman" w:hAnsi="Arial" w:cs="Arial"/>
          <w:b/>
          <w:bCs/>
          <w:i/>
          <w:iCs/>
          <w:color w:val="000000"/>
          <w:sz w:val="20"/>
          <w:szCs w:val="20"/>
        </w:rPr>
        <w:t>Our transformation projects may fail to fully deliver anticipated results.</w:t>
      </w:r>
    </w:p>
    <w:p w:rsidR="00000000" w:rsidRDefault="001F1FC8">
      <w:pPr>
        <w:divId w:val="1546602491"/>
        <w:rPr>
          <w:rFonts w:eastAsia="Times New Roman"/>
        </w:rPr>
      </w:pPr>
      <w:r>
        <w:rPr>
          <w:rFonts w:ascii="Arial" w:eastAsia="Times New Roman" w:hAnsi="Arial" w:cs="Arial"/>
          <w:color w:val="000000"/>
          <w:sz w:val="20"/>
          <w:szCs w:val="20"/>
        </w:rPr>
        <w:t>We launched projects starting in 2016 to transform various processes, capabilities and reporting systems infrastructure to continuously improve effectiveness and effic</w:t>
      </w:r>
      <w:r>
        <w:rPr>
          <w:rFonts w:ascii="Arial" w:eastAsia="Times New Roman" w:hAnsi="Arial" w:cs="Arial"/>
          <w:color w:val="000000"/>
          <w:sz w:val="20"/>
          <w:szCs w:val="20"/>
        </w:rPr>
        <w:t>iency across the organization and are subject to transformation project risk with respect to these projects. Such projects, some of which will continue beyond 2022, are subject to transformation project risk. Transformation project risk is the risk that mo</w:t>
      </w:r>
      <w:r>
        <w:rPr>
          <w:rFonts w:ascii="Arial" w:eastAsia="Times New Roman" w:hAnsi="Arial" w:cs="Arial"/>
          <w:color w:val="000000"/>
          <w:sz w:val="20"/>
          <w:szCs w:val="20"/>
        </w:rPr>
        <w:t>dernization projects carried out by us and our subsidiaries do not fully deliver anticipated results due to insufficiently addressing the risks associated with project execution and change management. This could result in negative financial, operational an</w:t>
      </w:r>
      <w:r>
        <w:rPr>
          <w:rFonts w:ascii="Arial" w:eastAsia="Times New Roman" w:hAnsi="Arial" w:cs="Arial"/>
          <w:color w:val="000000"/>
          <w:sz w:val="20"/>
          <w:szCs w:val="20"/>
        </w:rPr>
        <w:t>d reputational impacts.</w:t>
      </w:r>
    </w:p>
    <w:p w:rsidR="00000000" w:rsidRDefault="001F1FC8">
      <w:pPr>
        <w:divId w:val="2058239152"/>
        <w:rPr>
          <w:rFonts w:eastAsia="Times New Roman"/>
        </w:rPr>
      </w:pPr>
    </w:p>
    <w:p w:rsidR="00000000" w:rsidRDefault="001F1FC8">
      <w:pPr>
        <w:divId w:val="1077674967"/>
        <w:rPr>
          <w:rFonts w:eastAsia="Times New Roman"/>
        </w:rPr>
      </w:pPr>
      <w:r>
        <w:rPr>
          <w:rFonts w:ascii="Arial" w:eastAsia="Times New Roman" w:hAnsi="Arial" w:cs="Arial"/>
          <w:b/>
          <w:bCs/>
          <w:i/>
          <w:iCs/>
          <w:color w:val="000000"/>
          <w:sz w:val="20"/>
          <w:szCs w:val="20"/>
        </w:rPr>
        <w:t xml:space="preserve">Our business is undergoing significant changes driven by technological advancements and the energy transition, which could impact our strategic plan, business, operations or financial results. </w:t>
      </w:r>
    </w:p>
    <w:p w:rsidR="00000000" w:rsidRDefault="001F1FC8">
      <w:pPr>
        <w:divId w:val="1410618635"/>
        <w:rPr>
          <w:rFonts w:eastAsia="Times New Roman"/>
        </w:rPr>
      </w:pPr>
      <w:r>
        <w:rPr>
          <w:rFonts w:ascii="Arial" w:eastAsia="Times New Roman" w:hAnsi="Arial" w:cs="Arial"/>
          <w:color w:val="000000"/>
          <w:sz w:val="20"/>
          <w:szCs w:val="20"/>
        </w:rPr>
        <w:t>Our success in executing our strateg</w:t>
      </w:r>
      <w:r>
        <w:rPr>
          <w:rFonts w:ascii="Arial" w:eastAsia="Times New Roman" w:hAnsi="Arial" w:cs="Arial"/>
          <w:color w:val="000000"/>
          <w:sz w:val="20"/>
          <w:szCs w:val="20"/>
        </w:rPr>
        <w:t>ic plan, including our role in the transition to a low-carbon economy, and attaining our GHG emissions reduction goals and targets depends, in part, on technology (including technology still under development), innovation and continued diversification with</w:t>
      </w:r>
      <w:r>
        <w:rPr>
          <w:rFonts w:ascii="Arial" w:eastAsia="Times New Roman" w:hAnsi="Arial" w:cs="Arial"/>
          <w:color w:val="000000"/>
          <w:sz w:val="20"/>
          <w:szCs w:val="20"/>
        </w:rPr>
        <w:t xml:space="preserve"> renewable power and other low carbon energy infrastructure as well as modernization of our infrastructure to reduce GHG emissions, all of which could require significant capital expenditures and resources. Public policy relating to climate change can driv</w:t>
      </w:r>
      <w:r>
        <w:rPr>
          <w:rFonts w:ascii="Arial" w:eastAsia="Times New Roman" w:hAnsi="Arial" w:cs="Arial"/>
          <w:color w:val="000000"/>
          <w:sz w:val="20"/>
          <w:szCs w:val="20"/>
        </w:rPr>
        <w:t>e investment in lower-emissions technologies which could impact both the supply of and demand for crude oil and other liquid hydrocarbons transported on our pipelines.</w:t>
      </w:r>
    </w:p>
    <w:p w:rsidR="00000000" w:rsidRDefault="001F1FC8">
      <w:pPr>
        <w:divId w:val="395012078"/>
        <w:rPr>
          <w:rFonts w:eastAsia="Times New Roman"/>
        </w:rPr>
      </w:pPr>
    </w:p>
    <w:p w:rsidR="00000000" w:rsidRDefault="001F1FC8">
      <w:pPr>
        <w:divId w:val="1130636816"/>
        <w:rPr>
          <w:rFonts w:eastAsia="Times New Roman"/>
        </w:rPr>
      </w:pPr>
      <w:r>
        <w:rPr>
          <w:rFonts w:ascii="Arial" w:eastAsia="Times New Roman" w:hAnsi="Arial" w:cs="Arial"/>
          <w:b/>
          <w:bCs/>
          <w:i/>
          <w:iCs/>
          <w:color w:val="000000"/>
          <w:sz w:val="20"/>
          <w:szCs w:val="20"/>
        </w:rPr>
        <w:t xml:space="preserve">Our Liquids Pipelines growth rate and results may be directly and indirectly affected </w:t>
      </w:r>
      <w:r>
        <w:rPr>
          <w:rFonts w:ascii="Arial" w:eastAsia="Times New Roman" w:hAnsi="Arial" w:cs="Arial"/>
          <w:b/>
          <w:bCs/>
          <w:i/>
          <w:iCs/>
          <w:color w:val="000000"/>
          <w:sz w:val="20"/>
          <w:szCs w:val="20"/>
        </w:rPr>
        <w:t>by commodity prices and government policy.</w:t>
      </w:r>
    </w:p>
    <w:p w:rsidR="00000000" w:rsidRDefault="001F1FC8">
      <w:pPr>
        <w:divId w:val="1401781926"/>
        <w:rPr>
          <w:rFonts w:eastAsia="Times New Roman"/>
        </w:rPr>
      </w:pPr>
      <w:r>
        <w:rPr>
          <w:rFonts w:ascii="Arial" w:eastAsia="Times New Roman" w:hAnsi="Arial" w:cs="Arial"/>
          <w:color w:val="000000"/>
          <w:sz w:val="20"/>
          <w:szCs w:val="20"/>
        </w:rPr>
        <w:t>This intervention had a negligible impact on the Mainline System throughput, as enough inventory existed to meet refinery customer needs and service our favorable markets. Wide commodity price basis between Wester</w:t>
      </w:r>
      <w:r>
        <w:rPr>
          <w:rFonts w:ascii="Arial" w:eastAsia="Times New Roman" w:hAnsi="Arial" w:cs="Arial"/>
          <w:color w:val="000000"/>
          <w:sz w:val="20"/>
          <w:szCs w:val="20"/>
        </w:rPr>
        <w:t>n Canada and global tidewater markets have negatively impacted producer netbacks and margins in the past years that largely resulted from pipeline infrastructure takeaway capacity from producing regions in Western Canada and North Dakota which are operatin</w:t>
      </w:r>
      <w:r>
        <w:rPr>
          <w:rFonts w:ascii="Arial" w:eastAsia="Times New Roman" w:hAnsi="Arial" w:cs="Arial"/>
          <w:color w:val="000000"/>
          <w:sz w:val="20"/>
          <w:szCs w:val="20"/>
        </w:rPr>
        <w:t>g at capacity. A protracted long-term outlook for low crude oil prices could result in delay or cancellation of future projects. Effective December 31, 2021, the Government of Alberta lifted the oil production curtailment that was imposed in December 2018.</w:t>
      </w:r>
    </w:p>
    <w:p w:rsidR="00000000" w:rsidRDefault="001F1FC8">
      <w:pPr>
        <w:divId w:val="1538464487"/>
        <w:rPr>
          <w:rFonts w:eastAsia="Times New Roman"/>
        </w:rPr>
      </w:pPr>
    </w:p>
    <w:p w:rsidR="00000000" w:rsidRDefault="001F1FC8">
      <w:pPr>
        <w:jc w:val="center"/>
        <w:divId w:val="340546134"/>
        <w:rPr>
          <w:rFonts w:eastAsia="Times New Roman"/>
        </w:rPr>
      </w:pPr>
      <w:r>
        <w:rPr>
          <w:rFonts w:ascii="Arial" w:eastAsia="Times New Roman" w:hAnsi="Arial" w:cs="Arial"/>
          <w:color w:val="000000"/>
          <w:sz w:val="20"/>
          <w:szCs w:val="20"/>
        </w:rPr>
        <w:t>50</w:t>
      </w:r>
    </w:p>
    <w:p w:rsidR="00000000" w:rsidRDefault="001F1FC8">
      <w:pPr>
        <w:rPr>
          <w:rFonts w:eastAsia="Times New Roman"/>
        </w:rPr>
      </w:pPr>
      <w:r>
        <w:rPr>
          <w:rFonts w:eastAsia="Times New Roman"/>
        </w:rPr>
        <w:pict>
          <v:rect id="_x0000_i1079" style="width:0;height:1.5pt" o:hralign="center" o:hrstd="t" o:hr="t" fillcolor="#a0a0a0" stroked="f"/>
        </w:pict>
      </w:r>
    </w:p>
    <w:p w:rsidR="00000000" w:rsidRDefault="001F1FC8">
      <w:pPr>
        <w:jc w:val="center"/>
        <w:divId w:val="579098974"/>
        <w:rPr>
          <w:rFonts w:eastAsia="Times New Roman"/>
        </w:rPr>
      </w:pPr>
    </w:p>
    <w:p w:rsidR="00000000" w:rsidRDefault="001F1FC8">
      <w:pPr>
        <w:divId w:val="338237538"/>
        <w:rPr>
          <w:rFonts w:eastAsia="Times New Roman"/>
        </w:rPr>
      </w:pPr>
      <w:r>
        <w:rPr>
          <w:rFonts w:ascii="Arial" w:eastAsia="Times New Roman" w:hAnsi="Arial" w:cs="Arial"/>
          <w:color w:val="000000"/>
          <w:sz w:val="20"/>
          <w:szCs w:val="20"/>
        </w:rPr>
        <w:t>The tight conventional oil plays of Western Canada, the Permian basin, and the Bakken region of North Dakota have short cycle break-even time horizons, typically less than 24 months, and high decline rates that c</w:t>
      </w:r>
      <w:r>
        <w:rPr>
          <w:rFonts w:ascii="Arial" w:eastAsia="Times New Roman" w:hAnsi="Arial" w:cs="Arial"/>
          <w:color w:val="000000"/>
          <w:sz w:val="20"/>
          <w:szCs w:val="20"/>
        </w:rPr>
        <w:t>an be well managed through active hedging programs and are positioned to react quickly to market signals. Accordingly, during periods of comparatively low prices, drilling programs, unsupported by hedging programs, will be reduced and as such supply growth</w:t>
      </w:r>
      <w:r>
        <w:rPr>
          <w:rFonts w:ascii="Arial" w:eastAsia="Times New Roman" w:hAnsi="Arial" w:cs="Arial"/>
          <w:color w:val="000000"/>
          <w:sz w:val="20"/>
          <w:szCs w:val="20"/>
        </w:rPr>
        <w:t xml:space="preserve"> from tight oil basins may be lower, which may impact volumes on our pipeline systems.</w:t>
      </w:r>
    </w:p>
    <w:p w:rsidR="00000000" w:rsidRDefault="001F1FC8">
      <w:pPr>
        <w:divId w:val="1941644898"/>
        <w:rPr>
          <w:rFonts w:eastAsia="Times New Roman"/>
        </w:rPr>
      </w:pPr>
    </w:p>
    <w:p w:rsidR="00000000" w:rsidRDefault="001F1FC8">
      <w:pPr>
        <w:divId w:val="80614040"/>
        <w:rPr>
          <w:rFonts w:eastAsia="Times New Roman"/>
        </w:rPr>
      </w:pPr>
      <w:r>
        <w:rPr>
          <w:rFonts w:ascii="Arial" w:eastAsia="Times New Roman" w:hAnsi="Arial" w:cs="Arial"/>
          <w:b/>
          <w:bCs/>
          <w:i/>
          <w:iCs/>
          <w:color w:val="000000"/>
          <w:sz w:val="20"/>
          <w:szCs w:val="20"/>
        </w:rPr>
        <w:t>Our Energy Services and Gas Transmission and Midstream results may be adversely affected by commodity price volatility.</w:t>
      </w:r>
    </w:p>
    <w:p w:rsidR="00000000" w:rsidRDefault="001F1FC8">
      <w:pPr>
        <w:divId w:val="1651403429"/>
        <w:rPr>
          <w:rFonts w:eastAsia="Times New Roman"/>
        </w:rPr>
      </w:pPr>
      <w:r>
        <w:rPr>
          <w:rFonts w:ascii="Arial" w:eastAsia="Times New Roman" w:hAnsi="Arial" w:cs="Arial"/>
          <w:color w:val="000000"/>
          <w:sz w:val="20"/>
          <w:szCs w:val="20"/>
        </w:rPr>
        <w:t>Within our US Midstream assets, through our inv</w:t>
      </w:r>
      <w:r>
        <w:rPr>
          <w:rFonts w:ascii="Arial" w:eastAsia="Times New Roman" w:hAnsi="Arial" w:cs="Arial"/>
          <w:color w:val="000000"/>
          <w:sz w:val="20"/>
          <w:szCs w:val="20"/>
        </w:rPr>
        <w:t>estments in DCP Midstream and Aux Sable, we are engaged in the businesses of gathering, treating and processing natural gas and natural gas liquids. The financial results of these businesses are directly impacted by changes in commodity prices.</w:t>
      </w:r>
    </w:p>
    <w:p w:rsidR="00000000" w:rsidRDefault="001F1FC8">
      <w:pPr>
        <w:divId w:val="1814717320"/>
        <w:rPr>
          <w:rFonts w:eastAsia="Times New Roman"/>
        </w:rPr>
      </w:pPr>
    </w:p>
    <w:p w:rsidR="00000000" w:rsidRDefault="001F1FC8">
      <w:pPr>
        <w:divId w:val="2119638199"/>
        <w:rPr>
          <w:rFonts w:eastAsia="Times New Roman"/>
        </w:rPr>
      </w:pPr>
      <w:r>
        <w:rPr>
          <w:rFonts w:ascii="Arial" w:eastAsia="Times New Roman" w:hAnsi="Arial" w:cs="Arial"/>
          <w:color w:val="000000"/>
          <w:sz w:val="20"/>
          <w:szCs w:val="20"/>
        </w:rPr>
        <w:t>Energy Se</w:t>
      </w:r>
      <w:r>
        <w:rPr>
          <w:rFonts w:ascii="Arial" w:eastAsia="Times New Roman" w:hAnsi="Arial" w:cs="Arial"/>
          <w:color w:val="000000"/>
          <w:sz w:val="20"/>
          <w:szCs w:val="20"/>
        </w:rPr>
        <w:t>rvices generates margin by capitalizing on quality, time and location differentials when opportunities arise. Lower commodity prices due to changing market conditions could limit margin opportunities and impede Energy Services' ability to cover capacity co</w:t>
      </w:r>
      <w:r>
        <w:rPr>
          <w:rFonts w:ascii="Arial" w:eastAsia="Times New Roman" w:hAnsi="Arial" w:cs="Arial"/>
          <w:color w:val="000000"/>
          <w:sz w:val="20"/>
          <w:szCs w:val="20"/>
        </w:rPr>
        <w:t>mmitments.</w:t>
      </w:r>
    </w:p>
    <w:p w:rsidR="00000000" w:rsidRDefault="001F1FC8">
      <w:pPr>
        <w:divId w:val="695739482"/>
        <w:rPr>
          <w:rFonts w:eastAsia="Times New Roman"/>
        </w:rPr>
      </w:pPr>
    </w:p>
    <w:p w:rsidR="00000000" w:rsidRDefault="001F1FC8">
      <w:pPr>
        <w:divId w:val="376979138"/>
        <w:rPr>
          <w:rFonts w:eastAsia="Times New Roman"/>
        </w:rPr>
      </w:pPr>
      <w:r>
        <w:rPr>
          <w:rFonts w:ascii="Arial" w:eastAsia="Times New Roman" w:hAnsi="Arial" w:cs="Arial"/>
          <w:b/>
          <w:bCs/>
          <w:i/>
          <w:iCs/>
          <w:color w:val="000000"/>
          <w:sz w:val="20"/>
          <w:szCs w:val="20"/>
        </w:rPr>
        <w:t>We rely on access to short-term and long-term capital markets to finance capital requirements and support liquidity needs, and cost effective access to those markets can be affected, particularly if we or our rated subsidiaries are unable to maintain an in</w:t>
      </w:r>
      <w:r>
        <w:rPr>
          <w:rFonts w:ascii="Arial" w:eastAsia="Times New Roman" w:hAnsi="Arial" w:cs="Arial"/>
          <w:b/>
          <w:bCs/>
          <w:i/>
          <w:iCs/>
          <w:color w:val="000000"/>
          <w:sz w:val="20"/>
          <w:szCs w:val="20"/>
        </w:rPr>
        <w:t>vestment-grade credit rating.</w:t>
      </w:r>
    </w:p>
    <w:p w:rsidR="00000000" w:rsidRDefault="001F1FC8">
      <w:pPr>
        <w:divId w:val="1163468393"/>
        <w:rPr>
          <w:rFonts w:eastAsia="Times New Roman"/>
        </w:rPr>
      </w:pPr>
      <w:r>
        <w:rPr>
          <w:rFonts w:ascii="Arial" w:eastAsia="Times New Roman" w:hAnsi="Arial" w:cs="Arial"/>
          <w:color w:val="000000"/>
          <w:sz w:val="20"/>
          <w:szCs w:val="20"/>
        </w:rPr>
        <w:t>A significant portion of our consolidated asset base is financed with debt. The maturity and repayment profile of debt used to finance investments often does not correlate to cash flows from assets. Accordingly, we rely on acc</w:t>
      </w:r>
      <w:r>
        <w:rPr>
          <w:rFonts w:ascii="Arial" w:eastAsia="Times New Roman" w:hAnsi="Arial" w:cs="Arial"/>
          <w:color w:val="000000"/>
          <w:sz w:val="20"/>
          <w:szCs w:val="20"/>
        </w:rPr>
        <w:t>ess to both short-term and long-term capital markets as a source of liquidity for capital requirements not satisfied by cash flows from operations and to fund investments originally financed through debt. Our senior unsecured long-term debt is currently ra</w:t>
      </w:r>
      <w:r>
        <w:rPr>
          <w:rFonts w:ascii="Arial" w:eastAsia="Times New Roman" w:hAnsi="Arial" w:cs="Arial"/>
          <w:color w:val="000000"/>
          <w:sz w:val="20"/>
          <w:szCs w:val="20"/>
        </w:rPr>
        <w:t>ted investment-grade by various rating agencies. If the rating agencies were to rate us or our rated subsidiaries below investment-grade, our borrowing costs would increase, perhaps significantly. Consequently, we would likely be required to pay a higher i</w:t>
      </w:r>
      <w:r>
        <w:rPr>
          <w:rFonts w:ascii="Arial" w:eastAsia="Times New Roman" w:hAnsi="Arial" w:cs="Arial"/>
          <w:color w:val="000000"/>
          <w:sz w:val="20"/>
          <w:szCs w:val="20"/>
        </w:rPr>
        <w:t>nterest rate in future financings and our potential pool of investors and funding sources could decrease.</w:t>
      </w:r>
    </w:p>
    <w:p w:rsidR="00000000" w:rsidRDefault="001F1FC8">
      <w:pPr>
        <w:divId w:val="615671842"/>
        <w:rPr>
          <w:rFonts w:eastAsia="Times New Roman"/>
        </w:rPr>
      </w:pPr>
    </w:p>
    <w:p w:rsidR="00000000" w:rsidRDefault="001F1FC8">
      <w:pPr>
        <w:divId w:val="81685400"/>
        <w:rPr>
          <w:rFonts w:eastAsia="Times New Roman"/>
        </w:rPr>
      </w:pPr>
      <w:r>
        <w:rPr>
          <w:rFonts w:ascii="Arial" w:eastAsia="Times New Roman" w:hAnsi="Arial" w:cs="Arial"/>
          <w:color w:val="000000"/>
          <w:sz w:val="20"/>
          <w:szCs w:val="20"/>
        </w:rPr>
        <w:t>We maintain revolving credit facilities to provide back-up for commercial paper programs for borrowings and/or letters of credit at various entities</w:t>
      </w:r>
      <w:r>
        <w:rPr>
          <w:rFonts w:ascii="Arial" w:eastAsia="Times New Roman" w:hAnsi="Arial" w:cs="Arial"/>
          <w:color w:val="000000"/>
          <w:sz w:val="20"/>
          <w:szCs w:val="20"/>
        </w:rPr>
        <w:t>. These facilities typically include financial covenants and failure to maintain these covenants at a particular entity could preclude that entity from issuing commercial paper or letters of credit or borrowing under the revolving credit facility, which co</w:t>
      </w:r>
      <w:r>
        <w:rPr>
          <w:rFonts w:ascii="Arial" w:eastAsia="Times New Roman" w:hAnsi="Arial" w:cs="Arial"/>
          <w:color w:val="000000"/>
          <w:sz w:val="20"/>
          <w:szCs w:val="20"/>
        </w:rPr>
        <w:t>uld affect cash flows or restrict business. Furthermore, if our short-term debt rating were to be downgraded, access to the commercial paper market could be significantly limited. Although this would not affect our ability to draw under our credit faciliti</w:t>
      </w:r>
      <w:r>
        <w:rPr>
          <w:rFonts w:ascii="Arial" w:eastAsia="Times New Roman" w:hAnsi="Arial" w:cs="Arial"/>
          <w:color w:val="000000"/>
          <w:sz w:val="20"/>
          <w:szCs w:val="20"/>
        </w:rPr>
        <w:t>es, borrowing costs could be significantly higher.</w:t>
      </w:r>
    </w:p>
    <w:p w:rsidR="00000000" w:rsidRDefault="001F1FC8">
      <w:pPr>
        <w:divId w:val="1063601051"/>
        <w:rPr>
          <w:rFonts w:eastAsia="Times New Roman"/>
        </w:rPr>
      </w:pPr>
    </w:p>
    <w:p w:rsidR="00000000" w:rsidRDefault="001F1FC8">
      <w:pPr>
        <w:divId w:val="597720072"/>
        <w:rPr>
          <w:rFonts w:eastAsia="Times New Roman"/>
        </w:rPr>
      </w:pPr>
      <w:r>
        <w:rPr>
          <w:rFonts w:ascii="Arial" w:eastAsia="Times New Roman" w:hAnsi="Arial" w:cs="Arial"/>
          <w:color w:val="000000"/>
          <w:sz w:val="20"/>
          <w:szCs w:val="20"/>
        </w:rPr>
        <w:t>If we are not able to access capital at competitive rates, our ability to finance operations and implement our strategy may be affected. An inability to access capital may limit our ability to pursue enh</w:t>
      </w:r>
      <w:r>
        <w:rPr>
          <w:rFonts w:ascii="Arial" w:eastAsia="Times New Roman" w:hAnsi="Arial" w:cs="Arial"/>
          <w:color w:val="000000"/>
          <w:sz w:val="20"/>
          <w:szCs w:val="20"/>
        </w:rPr>
        <w:t xml:space="preserve">ancements or acquisitions that we may otherwise rely on for future growth. Any downgrade or other event negatively affecting the credit ratings of our subsidiaries could make their costs of borrowing higher or access to funding sources more limited, which </w:t>
      </w:r>
      <w:r>
        <w:rPr>
          <w:rFonts w:ascii="Arial" w:eastAsia="Times New Roman" w:hAnsi="Arial" w:cs="Arial"/>
          <w:color w:val="000000"/>
          <w:sz w:val="20"/>
          <w:szCs w:val="20"/>
        </w:rPr>
        <w:t>in turn could increase our need to provide liquidity in the form of capital contributions or loans to such subsidiaries, thus reducing the liquidity and borrowing availability of the consolidated group.</w:t>
      </w:r>
    </w:p>
    <w:p w:rsidR="00000000" w:rsidRDefault="001F1FC8">
      <w:pPr>
        <w:divId w:val="1612324984"/>
        <w:rPr>
          <w:rFonts w:eastAsia="Times New Roman"/>
        </w:rPr>
      </w:pPr>
    </w:p>
    <w:p w:rsidR="00000000" w:rsidRDefault="001F1FC8">
      <w:pPr>
        <w:divId w:val="832842277"/>
        <w:rPr>
          <w:rFonts w:eastAsia="Times New Roman"/>
        </w:rPr>
      </w:pPr>
      <w:r>
        <w:rPr>
          <w:rFonts w:ascii="Arial" w:eastAsia="Times New Roman" w:hAnsi="Arial" w:cs="Arial"/>
          <w:b/>
          <w:bCs/>
          <w:color w:val="000000"/>
          <w:sz w:val="20"/>
          <w:szCs w:val="20"/>
        </w:rPr>
        <w:t>RISKS RELATED TO GOVERNMENT REGULATION AND LEGAL RI</w:t>
      </w:r>
      <w:r>
        <w:rPr>
          <w:rFonts w:ascii="Arial" w:eastAsia="Times New Roman" w:hAnsi="Arial" w:cs="Arial"/>
          <w:b/>
          <w:bCs/>
          <w:color w:val="000000"/>
          <w:sz w:val="20"/>
          <w:szCs w:val="20"/>
        </w:rPr>
        <w:t>SKS</w:t>
      </w:r>
    </w:p>
    <w:p w:rsidR="00000000" w:rsidRDefault="001F1FC8">
      <w:pPr>
        <w:divId w:val="1846431481"/>
        <w:rPr>
          <w:rFonts w:eastAsia="Times New Roman"/>
        </w:rPr>
      </w:pPr>
    </w:p>
    <w:p w:rsidR="00000000" w:rsidRDefault="001F1FC8">
      <w:pPr>
        <w:divId w:val="1429306810"/>
        <w:rPr>
          <w:rFonts w:eastAsia="Times New Roman"/>
        </w:rPr>
      </w:pPr>
      <w:r>
        <w:rPr>
          <w:rFonts w:ascii="Arial" w:eastAsia="Times New Roman" w:hAnsi="Arial" w:cs="Arial"/>
          <w:b/>
          <w:bCs/>
          <w:i/>
          <w:iCs/>
          <w:color w:val="000000"/>
          <w:sz w:val="20"/>
          <w:szCs w:val="20"/>
        </w:rPr>
        <w:t>Many of our operations are regulated and failure to secure timely regulatory approval for our proposed projects, or loss of required approvals for our existing operations, could have a negative impact on our business, operations or financial results.</w:t>
      </w:r>
      <w:r>
        <w:rPr>
          <w:rFonts w:ascii="Arial" w:eastAsia="Times New Roman" w:hAnsi="Arial" w:cs="Arial"/>
          <w:b/>
          <w:bCs/>
          <w:i/>
          <w:iCs/>
          <w:color w:val="000000"/>
          <w:sz w:val="20"/>
          <w:szCs w:val="20"/>
        </w:rPr>
        <w:t xml:space="preserve"> </w:t>
      </w:r>
    </w:p>
    <w:p w:rsidR="00000000" w:rsidRDefault="001F1FC8">
      <w:pPr>
        <w:divId w:val="1953441502"/>
        <w:rPr>
          <w:rFonts w:eastAsia="Times New Roman"/>
        </w:rPr>
      </w:pPr>
      <w:r>
        <w:rPr>
          <w:rFonts w:ascii="Arial" w:eastAsia="Times New Roman" w:hAnsi="Arial" w:cs="Arial"/>
          <w:color w:val="000000"/>
          <w:sz w:val="20"/>
          <w:szCs w:val="20"/>
        </w:rPr>
        <w:t xml:space="preserve">The nature and degree of regulation and legislation affecting energy companies in Canada and the US have changed significantly in recent years. </w:t>
      </w:r>
    </w:p>
    <w:p w:rsidR="00000000" w:rsidRDefault="001F1FC8">
      <w:pPr>
        <w:divId w:val="478890175"/>
        <w:rPr>
          <w:rFonts w:eastAsia="Times New Roman"/>
        </w:rPr>
      </w:pPr>
    </w:p>
    <w:p w:rsidR="00000000" w:rsidRDefault="001F1FC8">
      <w:pPr>
        <w:jc w:val="center"/>
        <w:divId w:val="1587575587"/>
        <w:rPr>
          <w:rFonts w:eastAsia="Times New Roman"/>
        </w:rPr>
      </w:pPr>
      <w:r>
        <w:rPr>
          <w:rFonts w:ascii="Arial" w:eastAsia="Times New Roman" w:hAnsi="Arial" w:cs="Arial"/>
          <w:color w:val="000000"/>
          <w:sz w:val="20"/>
          <w:szCs w:val="20"/>
        </w:rPr>
        <w:t>51</w:t>
      </w:r>
    </w:p>
    <w:p w:rsidR="00000000" w:rsidRDefault="001F1FC8">
      <w:pPr>
        <w:rPr>
          <w:rFonts w:eastAsia="Times New Roman"/>
        </w:rPr>
      </w:pPr>
      <w:r>
        <w:rPr>
          <w:rFonts w:eastAsia="Times New Roman"/>
        </w:rPr>
        <w:pict>
          <v:rect id="_x0000_i1080" style="width:0;height:1.5pt" o:hralign="center" o:hrstd="t" o:hr="t" fillcolor="#a0a0a0" stroked="f"/>
        </w:pict>
      </w:r>
    </w:p>
    <w:p w:rsidR="00000000" w:rsidRDefault="001F1FC8">
      <w:pPr>
        <w:jc w:val="center"/>
        <w:divId w:val="1395278980"/>
        <w:rPr>
          <w:rFonts w:eastAsia="Times New Roman"/>
        </w:rPr>
      </w:pPr>
    </w:p>
    <w:p w:rsidR="00000000" w:rsidRDefault="001F1FC8">
      <w:pPr>
        <w:divId w:val="197931256"/>
        <w:rPr>
          <w:rFonts w:eastAsia="Times New Roman"/>
        </w:rPr>
      </w:pPr>
      <w:r>
        <w:rPr>
          <w:rFonts w:ascii="Arial" w:eastAsia="Times New Roman" w:hAnsi="Arial" w:cs="Arial"/>
          <w:color w:val="000000"/>
          <w:sz w:val="20"/>
          <w:szCs w:val="20"/>
        </w:rPr>
        <w:t>In Canada, the passing of the Canadian Energy Regulator Act and th</w:t>
      </w:r>
      <w:r>
        <w:rPr>
          <w:rFonts w:ascii="Arial" w:eastAsia="Times New Roman" w:hAnsi="Arial" w:cs="Arial"/>
          <w:color w:val="000000"/>
          <w:sz w:val="20"/>
          <w:szCs w:val="20"/>
        </w:rPr>
        <w:t>e Impact Assessment Act under Bill C-69, which came into force on August 28, 2019, adds steps in the regulatory process and extends overall timelines associated with regulatory approvals for new projects which trigger a federal impact assessment. Changes t</w:t>
      </w:r>
      <w:r>
        <w:rPr>
          <w:rFonts w:ascii="Arial" w:eastAsia="Times New Roman" w:hAnsi="Arial" w:cs="Arial"/>
          <w:color w:val="000000"/>
          <w:sz w:val="20"/>
          <w:szCs w:val="20"/>
        </w:rPr>
        <w:t xml:space="preserve">o the BC regulatory framework have also been made, including a new Environmental Assessment Act, which came into force in December 2019, affecting provincially-regulated projects in a similar manner as those that are federally-regulated. Within the US and </w:t>
      </w:r>
      <w:r>
        <w:rPr>
          <w:rFonts w:ascii="Arial" w:eastAsia="Times New Roman" w:hAnsi="Arial" w:cs="Arial"/>
          <w:color w:val="000000"/>
          <w:sz w:val="20"/>
          <w:szCs w:val="20"/>
        </w:rPr>
        <w:t>in Canada, pipelines companies continue to face opposition from anti-pipeline activists, Indigenous and tribal groups and communities, citizens, environmental groups and politicians concerned with either the safety of pipelines or environmental effects. In</w:t>
      </w:r>
      <w:r>
        <w:rPr>
          <w:rFonts w:ascii="Arial" w:eastAsia="Times New Roman" w:hAnsi="Arial" w:cs="Arial"/>
          <w:color w:val="000000"/>
          <w:sz w:val="20"/>
          <w:szCs w:val="20"/>
        </w:rPr>
        <w:t xml:space="preserve"> the US, several federal agencies made changes to regulations that were designed to streamline permitting, including changes that the Environmental Protection Agency made in June 2020 to regulations implementing Section 401 of the Clean Water Act and the J</w:t>
      </w:r>
      <w:r>
        <w:rPr>
          <w:rFonts w:ascii="Arial" w:eastAsia="Times New Roman" w:hAnsi="Arial" w:cs="Arial"/>
          <w:color w:val="000000"/>
          <w:sz w:val="20"/>
          <w:szCs w:val="20"/>
        </w:rPr>
        <w:t>uly 2020 Council on Environmental Quality revisions to regulations implementing the National Environmental Policy Act. These and many other regulations adopted during the previous US presidential administration are not only being challenged in multiple cou</w:t>
      </w:r>
      <w:r>
        <w:rPr>
          <w:rFonts w:ascii="Arial" w:eastAsia="Times New Roman" w:hAnsi="Arial" w:cs="Arial"/>
          <w:color w:val="000000"/>
          <w:sz w:val="20"/>
          <w:szCs w:val="20"/>
        </w:rPr>
        <w:t xml:space="preserve">rts, but have now been expressly targeted for rollback by the new US administration, which is expected to modify or reverse the regulations. </w:t>
      </w:r>
    </w:p>
    <w:p w:rsidR="00000000" w:rsidRDefault="001F1FC8">
      <w:pPr>
        <w:divId w:val="506798113"/>
        <w:rPr>
          <w:rFonts w:eastAsia="Times New Roman"/>
        </w:rPr>
      </w:pPr>
    </w:p>
    <w:p w:rsidR="00000000" w:rsidRDefault="001F1FC8">
      <w:pPr>
        <w:divId w:val="414982381"/>
        <w:rPr>
          <w:rFonts w:eastAsia="Times New Roman"/>
        </w:rPr>
      </w:pPr>
      <w:r>
        <w:rPr>
          <w:rFonts w:ascii="Arial" w:eastAsia="Times New Roman" w:hAnsi="Arial" w:cs="Arial"/>
          <w:color w:val="000000"/>
          <w:sz w:val="20"/>
          <w:szCs w:val="20"/>
        </w:rPr>
        <w:t>These actions could adversely impact permitting of a wide range of energy projects. We may not be able to obtain</w:t>
      </w:r>
      <w:r>
        <w:rPr>
          <w:rFonts w:ascii="Arial" w:eastAsia="Times New Roman" w:hAnsi="Arial" w:cs="Arial"/>
          <w:color w:val="000000"/>
          <w:sz w:val="20"/>
          <w:szCs w:val="20"/>
        </w:rPr>
        <w:t xml:space="preserve"> or maintain all required regulatory approvals for our operating assets or development projects. If there is a delay in obtaining any required regulatory approvals, if we fail to obtain or comply with them, or if laws or regulations change or are administe</w:t>
      </w:r>
      <w:r>
        <w:rPr>
          <w:rFonts w:ascii="Arial" w:eastAsia="Times New Roman" w:hAnsi="Arial" w:cs="Arial"/>
          <w:color w:val="000000"/>
          <w:sz w:val="20"/>
          <w:szCs w:val="20"/>
        </w:rPr>
        <w:t xml:space="preserve">red in a more stringent manner, the operations of facilities or the development of new facilities could be prevented, delayed or become subject to additional costs. </w:t>
      </w:r>
    </w:p>
    <w:p w:rsidR="00000000" w:rsidRDefault="001F1FC8">
      <w:pPr>
        <w:divId w:val="706026445"/>
        <w:rPr>
          <w:rFonts w:eastAsia="Times New Roman"/>
        </w:rPr>
      </w:pPr>
    </w:p>
    <w:p w:rsidR="00000000" w:rsidRDefault="001F1FC8">
      <w:pPr>
        <w:divId w:val="675962734"/>
        <w:rPr>
          <w:rFonts w:eastAsia="Times New Roman"/>
        </w:rPr>
      </w:pPr>
      <w:r>
        <w:rPr>
          <w:rFonts w:ascii="Arial" w:eastAsia="Times New Roman" w:hAnsi="Arial" w:cs="Arial"/>
          <w:b/>
          <w:bCs/>
          <w:i/>
          <w:iCs/>
          <w:color w:val="000000"/>
          <w:sz w:val="20"/>
          <w:szCs w:val="20"/>
        </w:rPr>
        <w:t>Our operations are subject to numerous environmental laws and regulations, including tho</w:t>
      </w:r>
      <w:r>
        <w:rPr>
          <w:rFonts w:ascii="Arial" w:eastAsia="Times New Roman" w:hAnsi="Arial" w:cs="Arial"/>
          <w:b/>
          <w:bCs/>
          <w:i/>
          <w:iCs/>
          <w:color w:val="000000"/>
          <w:sz w:val="20"/>
          <w:szCs w:val="20"/>
        </w:rPr>
        <w:t>se relating to climate change and GHG emissions and climate-related disclosure, as well as internal initiatives to reduce GHG emissions, compliance with which may require significant capital expenditures, increase our cost of operations and affect or limit</w:t>
      </w:r>
      <w:r>
        <w:rPr>
          <w:rFonts w:ascii="Arial" w:eastAsia="Times New Roman" w:hAnsi="Arial" w:cs="Arial"/>
          <w:b/>
          <w:bCs/>
          <w:i/>
          <w:iCs/>
          <w:color w:val="000000"/>
          <w:sz w:val="20"/>
          <w:szCs w:val="20"/>
        </w:rPr>
        <w:t xml:space="preserve"> our business plans, or expose us to environmental liabilities.</w:t>
      </w:r>
    </w:p>
    <w:p w:rsidR="00000000" w:rsidRDefault="001F1FC8">
      <w:pPr>
        <w:divId w:val="746389655"/>
        <w:rPr>
          <w:rFonts w:eastAsia="Times New Roman"/>
        </w:rPr>
      </w:pPr>
      <w:r>
        <w:rPr>
          <w:rFonts w:ascii="Arial" w:eastAsia="Times New Roman" w:hAnsi="Arial" w:cs="Arial"/>
          <w:color w:val="000000"/>
          <w:sz w:val="20"/>
          <w:szCs w:val="20"/>
        </w:rPr>
        <w:t xml:space="preserve">We are subject to numerous environmental laws and regulations affecting many aspects of our present and future operations, including air emissions, water quality, wastewater discharges, solid </w:t>
      </w:r>
      <w:r>
        <w:rPr>
          <w:rFonts w:ascii="Arial" w:eastAsia="Times New Roman" w:hAnsi="Arial" w:cs="Arial"/>
          <w:color w:val="000000"/>
          <w:sz w:val="20"/>
          <w:szCs w:val="20"/>
        </w:rPr>
        <w:t>waste and hazardous waste.</w:t>
      </w:r>
    </w:p>
    <w:p w:rsidR="00000000" w:rsidRDefault="001F1FC8">
      <w:pPr>
        <w:divId w:val="654073221"/>
        <w:rPr>
          <w:rFonts w:eastAsia="Times New Roman"/>
        </w:rPr>
      </w:pPr>
    </w:p>
    <w:p w:rsidR="00000000" w:rsidRDefault="001F1FC8">
      <w:pPr>
        <w:divId w:val="1682853574"/>
        <w:rPr>
          <w:rFonts w:eastAsia="Times New Roman"/>
        </w:rPr>
      </w:pPr>
      <w:r>
        <w:rPr>
          <w:rFonts w:ascii="Arial" w:eastAsia="Times New Roman" w:hAnsi="Arial" w:cs="Arial"/>
          <w:color w:val="000000"/>
          <w:sz w:val="20"/>
          <w:szCs w:val="20"/>
        </w:rPr>
        <w:t>Foreign and domestic governments continue to evaluate and implement policy, legislation, and regulations focused on restricting GHG emissions, promoting adaptation to climate change and the transition to a low-carbon economy, and disclosure of climate-rela</w:t>
      </w:r>
      <w:r>
        <w:rPr>
          <w:rFonts w:ascii="Arial" w:eastAsia="Times New Roman" w:hAnsi="Arial" w:cs="Arial"/>
          <w:color w:val="000000"/>
          <w:sz w:val="20"/>
          <w:szCs w:val="20"/>
        </w:rPr>
        <w:t>ted matters. Such policies, laws and regulations vary at the</w:t>
      </w:r>
      <w:r>
        <w:rPr>
          <w:rFonts w:ascii="Arial" w:eastAsia="Times New Roman" w:hAnsi="Arial" w:cs="Arial"/>
          <w:color w:val="000000"/>
          <w:sz w:val="20"/>
          <w:szCs w:val="20"/>
        </w:rPr>
        <w:t> </w:t>
      </w:r>
      <w:r>
        <w:rPr>
          <w:rFonts w:ascii="Arial" w:eastAsia="Times New Roman" w:hAnsi="Arial" w:cs="Arial"/>
          <w:color w:val="000000"/>
          <w:sz w:val="20"/>
          <w:szCs w:val="20"/>
        </w:rPr>
        <w:t>federal, state, and provincial levels in which Enbridge operates and can be highly variable and subject to</w:t>
      </w:r>
      <w:r>
        <w:rPr>
          <w:rFonts w:ascii="Arial" w:eastAsia="Times New Roman" w:hAnsi="Arial" w:cs="Arial"/>
          <w:color w:val="000000"/>
          <w:sz w:val="20"/>
          <w:szCs w:val="20"/>
        </w:rPr>
        <w:t> </w:t>
      </w:r>
      <w:r>
        <w:rPr>
          <w:rFonts w:ascii="Arial" w:eastAsia="Times New Roman" w:hAnsi="Arial" w:cs="Arial"/>
          <w:color w:val="000000"/>
          <w:sz w:val="20"/>
          <w:szCs w:val="20"/>
        </w:rPr>
        <w:t>change. International multilateral agreements, the obligations adopted thereunder, incre</w:t>
      </w:r>
      <w:r>
        <w:rPr>
          <w:rFonts w:ascii="Arial" w:eastAsia="Times New Roman" w:hAnsi="Arial" w:cs="Arial"/>
          <w:color w:val="000000"/>
          <w:sz w:val="20"/>
          <w:szCs w:val="20"/>
        </w:rPr>
        <w:t>asing physical impacts of climate change, changing political and public opinion and legal challenges concerning the adequacy of climate-related policy brought against governments and corporations, among other factors, are expected to accelerate the impleme</w:t>
      </w:r>
      <w:r>
        <w:rPr>
          <w:rFonts w:ascii="Arial" w:eastAsia="Times New Roman" w:hAnsi="Arial" w:cs="Arial"/>
          <w:color w:val="000000"/>
          <w:sz w:val="20"/>
          <w:szCs w:val="20"/>
        </w:rPr>
        <w:t xml:space="preserve">ntation of these measures. </w:t>
      </w:r>
    </w:p>
    <w:p w:rsidR="00000000" w:rsidRDefault="001F1FC8">
      <w:pPr>
        <w:divId w:val="742144844"/>
        <w:rPr>
          <w:rFonts w:eastAsia="Times New Roman"/>
        </w:rPr>
      </w:pPr>
    </w:p>
    <w:p w:rsidR="00000000" w:rsidRDefault="001F1FC8">
      <w:pPr>
        <w:divId w:val="1917783521"/>
        <w:rPr>
          <w:rFonts w:eastAsia="Times New Roman"/>
        </w:rPr>
      </w:pPr>
      <w:r>
        <w:rPr>
          <w:rFonts w:ascii="Arial" w:eastAsia="Times New Roman" w:hAnsi="Arial" w:cs="Arial"/>
          <w:color w:val="000000"/>
          <w:sz w:val="20"/>
          <w:szCs w:val="20"/>
        </w:rPr>
        <w:t>Enbridge is required to adhere to a number of implicit and explicit carbon-pricing mechanisms. These mechanisms may present climate-related transition risk to our business strategy, impacting both commodity demand and the over</w:t>
      </w:r>
      <w:r>
        <w:rPr>
          <w:rFonts w:ascii="Arial" w:eastAsia="Times New Roman" w:hAnsi="Arial" w:cs="Arial"/>
          <w:color w:val="000000"/>
          <w:sz w:val="20"/>
          <w:szCs w:val="20"/>
        </w:rPr>
        <w:t xml:space="preserve">all energy mix we deliver. </w:t>
      </w:r>
    </w:p>
    <w:p w:rsidR="00000000" w:rsidRDefault="001F1FC8">
      <w:pPr>
        <w:divId w:val="1973945347"/>
        <w:rPr>
          <w:rFonts w:eastAsia="Times New Roman"/>
        </w:rPr>
      </w:pPr>
    </w:p>
    <w:p w:rsidR="00000000" w:rsidRDefault="001F1FC8">
      <w:pPr>
        <w:divId w:val="4404978"/>
        <w:rPr>
          <w:rFonts w:eastAsia="Times New Roman"/>
        </w:rPr>
      </w:pPr>
      <w:r>
        <w:rPr>
          <w:rFonts w:ascii="Arial" w:eastAsia="Times New Roman" w:hAnsi="Arial" w:cs="Arial"/>
          <w:color w:val="000000"/>
          <w:sz w:val="20"/>
          <w:szCs w:val="20"/>
        </w:rPr>
        <w:t>Failure to comply with environmental laws and regulations and failure to secure permits necessary for our operations may result in the imposition of fines, penalties and injunctive measures affecting our operating assets. In a</w:t>
      </w:r>
      <w:r>
        <w:rPr>
          <w:rFonts w:ascii="Arial" w:eastAsia="Times New Roman" w:hAnsi="Arial" w:cs="Arial"/>
          <w:color w:val="000000"/>
          <w:sz w:val="20"/>
          <w:szCs w:val="20"/>
        </w:rPr>
        <w:t xml:space="preserve">ddition, changes in environmental laws and regulations or the enactment of new environmental laws or regulations, including those related to climate change and GHG emissions, could result in a material increase in our cost of compliance with such laws and </w:t>
      </w:r>
      <w:r>
        <w:rPr>
          <w:rFonts w:ascii="Arial" w:eastAsia="Times New Roman" w:hAnsi="Arial" w:cs="Arial"/>
          <w:color w:val="000000"/>
          <w:sz w:val="20"/>
          <w:szCs w:val="20"/>
        </w:rPr>
        <w:t>regulations, such as costs to monitor and report our emissions and install new emission controls to reduce emissions. We may not be able to include some or all of such increased costs in the rates charged by our pipelines or other facilities. Efforts to re</w:t>
      </w:r>
      <w:r>
        <w:rPr>
          <w:rFonts w:ascii="Arial" w:eastAsia="Times New Roman" w:hAnsi="Arial" w:cs="Arial"/>
          <w:color w:val="000000"/>
          <w:sz w:val="20"/>
          <w:szCs w:val="20"/>
        </w:rPr>
        <w:t xml:space="preserve">gulate or restrict GHG emissions could also drive down demand for the products we transport. </w:t>
      </w:r>
    </w:p>
    <w:p w:rsidR="00000000" w:rsidRDefault="001F1FC8">
      <w:pPr>
        <w:divId w:val="2113743396"/>
        <w:rPr>
          <w:rFonts w:eastAsia="Times New Roman"/>
        </w:rPr>
      </w:pPr>
    </w:p>
    <w:p w:rsidR="00000000" w:rsidRDefault="001F1FC8">
      <w:pPr>
        <w:jc w:val="center"/>
        <w:divId w:val="788165781"/>
        <w:rPr>
          <w:rFonts w:eastAsia="Times New Roman"/>
        </w:rPr>
      </w:pPr>
      <w:r>
        <w:rPr>
          <w:rFonts w:ascii="Arial" w:eastAsia="Times New Roman" w:hAnsi="Arial" w:cs="Arial"/>
          <w:color w:val="000000"/>
          <w:sz w:val="20"/>
          <w:szCs w:val="20"/>
        </w:rPr>
        <w:t>52</w:t>
      </w:r>
    </w:p>
    <w:p w:rsidR="00000000" w:rsidRDefault="001F1FC8">
      <w:pPr>
        <w:rPr>
          <w:rFonts w:eastAsia="Times New Roman"/>
        </w:rPr>
      </w:pPr>
      <w:r>
        <w:rPr>
          <w:rFonts w:eastAsia="Times New Roman"/>
        </w:rPr>
        <w:pict>
          <v:rect id="_x0000_i1081" style="width:0;height:1.5pt" o:hralign="center" o:hrstd="t" o:hr="t" fillcolor="#a0a0a0" stroked="f"/>
        </w:pict>
      </w:r>
    </w:p>
    <w:p w:rsidR="00000000" w:rsidRDefault="001F1FC8">
      <w:pPr>
        <w:jc w:val="center"/>
        <w:divId w:val="103809331"/>
        <w:rPr>
          <w:rFonts w:eastAsia="Times New Roman"/>
        </w:rPr>
      </w:pPr>
    </w:p>
    <w:p w:rsidR="00000000" w:rsidRDefault="001F1FC8">
      <w:pPr>
        <w:divId w:val="60300991"/>
        <w:rPr>
          <w:rFonts w:eastAsia="Times New Roman"/>
        </w:rPr>
      </w:pPr>
      <w:r>
        <w:rPr>
          <w:rFonts w:ascii="Arial" w:eastAsia="Times New Roman" w:hAnsi="Arial" w:cs="Arial"/>
          <w:color w:val="000000"/>
          <w:sz w:val="20"/>
          <w:szCs w:val="20"/>
        </w:rPr>
        <w:t>We may not be able to obtain or maintain all required environmental regulatory approvals and permits for our operating assets or development projects. If there is a delay in obtaining any required environmental regulat</w:t>
      </w:r>
      <w:r>
        <w:rPr>
          <w:rFonts w:ascii="Arial" w:eastAsia="Times New Roman" w:hAnsi="Arial" w:cs="Arial"/>
          <w:color w:val="000000"/>
          <w:sz w:val="20"/>
          <w:szCs w:val="20"/>
        </w:rPr>
        <w:t>ory approvals or permits, if we fail to obtain or comply with them, or if environmental laws or regulations change or are administered in a more stringent manner, the operations of facilities or the development of new facilities could be prevented, delayed</w:t>
      </w:r>
      <w:r>
        <w:rPr>
          <w:rFonts w:ascii="Arial" w:eastAsia="Times New Roman" w:hAnsi="Arial" w:cs="Arial"/>
          <w:color w:val="000000"/>
          <w:sz w:val="20"/>
          <w:szCs w:val="20"/>
        </w:rPr>
        <w:t xml:space="preserve"> or become subject to additional costs. We expect that costs we incur to comply with environmental regulations in the future may have a significant effect on our earnings and cash flows.</w:t>
      </w:r>
    </w:p>
    <w:p w:rsidR="00000000" w:rsidRDefault="001F1FC8">
      <w:pPr>
        <w:divId w:val="233899610"/>
        <w:rPr>
          <w:rFonts w:eastAsia="Times New Roman"/>
        </w:rPr>
      </w:pPr>
    </w:p>
    <w:p w:rsidR="00000000" w:rsidRDefault="001F1FC8">
      <w:pPr>
        <w:divId w:val="703485989"/>
        <w:rPr>
          <w:rFonts w:eastAsia="Times New Roman"/>
        </w:rPr>
      </w:pPr>
      <w:r>
        <w:rPr>
          <w:rFonts w:ascii="Arial" w:eastAsia="Times New Roman" w:hAnsi="Arial" w:cs="Arial"/>
          <w:color w:val="000000"/>
          <w:sz w:val="20"/>
          <w:szCs w:val="20"/>
        </w:rPr>
        <w:t>In November 2020, we set new ESG goals for the future related to GH</w:t>
      </w:r>
      <w:r>
        <w:rPr>
          <w:rFonts w:ascii="Arial" w:eastAsia="Times New Roman" w:hAnsi="Arial" w:cs="Arial"/>
          <w:color w:val="000000"/>
          <w:sz w:val="20"/>
          <w:szCs w:val="20"/>
        </w:rPr>
        <w:t>G emissions reduction. Our ability to achieve these goals depends on many factors, including our ability to reduce emissions from our operations through modernization and innovation, reduce the emissions intensity of the electricity we buy, invest in renew</w:t>
      </w:r>
      <w:r>
        <w:rPr>
          <w:rFonts w:ascii="Arial" w:eastAsia="Times New Roman" w:hAnsi="Arial" w:cs="Arial"/>
          <w:color w:val="000000"/>
          <w:sz w:val="20"/>
          <w:szCs w:val="20"/>
        </w:rPr>
        <w:t>ables and low carbon energy and balance residual emissions through carbon offset credits. The cost associated with our GHG emissions reduction goals could be significant. There is also a risk that some or all of the expected benefits and opportunities of a</w:t>
      </w:r>
      <w:r>
        <w:rPr>
          <w:rFonts w:ascii="Arial" w:eastAsia="Times New Roman" w:hAnsi="Arial" w:cs="Arial"/>
          <w:color w:val="000000"/>
          <w:sz w:val="20"/>
          <w:szCs w:val="20"/>
        </w:rPr>
        <w:t>chieving the various GHG emissions reduction and energy transition goals may fail to materialize, may cost more to achieve or may not occur within the anticipated time periods. Similarly, there is a risk that emissions reduction technology – like battery s</w:t>
      </w:r>
      <w:r>
        <w:rPr>
          <w:rFonts w:ascii="Arial" w:eastAsia="Times New Roman" w:hAnsi="Arial" w:cs="Arial"/>
          <w:color w:val="000000"/>
          <w:sz w:val="20"/>
          <w:szCs w:val="20"/>
        </w:rPr>
        <w:t>torage or direct air capture – do not materialize as expected making it more difficult to reduce emissions. Failure to achieve our emissions targets could result in reputational harm, changing investor sentiment regarding investment in Enbridge or a negati</w:t>
      </w:r>
      <w:r>
        <w:rPr>
          <w:rFonts w:ascii="Arial" w:eastAsia="Times New Roman" w:hAnsi="Arial" w:cs="Arial"/>
          <w:color w:val="000000"/>
          <w:sz w:val="20"/>
          <w:szCs w:val="20"/>
        </w:rPr>
        <w:t>ve impact on access to and cost of capital, including penalties associated with our sustainability-linked bond offerings.</w:t>
      </w:r>
    </w:p>
    <w:p w:rsidR="00000000" w:rsidRDefault="001F1FC8">
      <w:pPr>
        <w:divId w:val="871916641"/>
        <w:rPr>
          <w:rFonts w:eastAsia="Times New Roman"/>
        </w:rPr>
      </w:pPr>
    </w:p>
    <w:p w:rsidR="00000000" w:rsidRDefault="001F1FC8">
      <w:pPr>
        <w:divId w:val="152261167"/>
        <w:rPr>
          <w:rFonts w:eastAsia="Times New Roman"/>
        </w:rPr>
      </w:pPr>
      <w:r>
        <w:rPr>
          <w:rFonts w:ascii="Arial" w:eastAsia="Times New Roman" w:hAnsi="Arial" w:cs="Arial"/>
          <w:b/>
          <w:bCs/>
          <w:i/>
          <w:iCs/>
          <w:color w:val="000000"/>
          <w:sz w:val="20"/>
          <w:szCs w:val="20"/>
        </w:rPr>
        <w:t>Our operations are subject to operational regulation and other requirements, including compliance with easements and other land tenu</w:t>
      </w:r>
      <w:r>
        <w:rPr>
          <w:rFonts w:ascii="Arial" w:eastAsia="Times New Roman" w:hAnsi="Arial" w:cs="Arial"/>
          <w:b/>
          <w:bCs/>
          <w:i/>
          <w:iCs/>
          <w:color w:val="000000"/>
          <w:sz w:val="20"/>
          <w:szCs w:val="20"/>
        </w:rPr>
        <w:t xml:space="preserve">re documents, and failure to comply with applicable regulations and other requirements could have a negative impact on our reputation, business, operations or financial results. </w:t>
      </w:r>
    </w:p>
    <w:p w:rsidR="00000000" w:rsidRDefault="001F1FC8">
      <w:pPr>
        <w:divId w:val="1801220957"/>
        <w:rPr>
          <w:rFonts w:eastAsia="Times New Roman"/>
        </w:rPr>
      </w:pPr>
      <w:r>
        <w:rPr>
          <w:rFonts w:ascii="Arial" w:eastAsia="Times New Roman" w:hAnsi="Arial" w:cs="Arial"/>
          <w:color w:val="000000"/>
          <w:sz w:val="20"/>
          <w:szCs w:val="20"/>
        </w:rPr>
        <w:t xml:space="preserve">Operational risks relate to compliance with applicable operational rules and </w:t>
      </w:r>
      <w:r>
        <w:rPr>
          <w:rFonts w:ascii="Arial" w:eastAsia="Times New Roman" w:hAnsi="Arial" w:cs="Arial"/>
          <w:color w:val="000000"/>
          <w:sz w:val="20"/>
          <w:szCs w:val="20"/>
        </w:rPr>
        <w:t>regulations mandated by governments, applicable regulatory authorities, or other requirements that may be found in easements or other agreements that provide a legal basis for our operations, breaches of which could result in fines, penalties, awards of da</w:t>
      </w:r>
      <w:r>
        <w:rPr>
          <w:rFonts w:ascii="Arial" w:eastAsia="Times New Roman" w:hAnsi="Arial" w:cs="Arial"/>
          <w:color w:val="000000"/>
          <w:sz w:val="20"/>
          <w:szCs w:val="20"/>
        </w:rPr>
        <w:t>mages, operating restrictions (including shutdown of lines) and an overall increase in operating and compliance costs. We do not own all of the land on which our pipelines, facilities and other assets are located and we obtain the rights to construct and o</w:t>
      </w:r>
      <w:r>
        <w:rPr>
          <w:rFonts w:ascii="Arial" w:eastAsia="Times New Roman" w:hAnsi="Arial" w:cs="Arial"/>
          <w:color w:val="000000"/>
          <w:sz w:val="20"/>
          <w:szCs w:val="20"/>
        </w:rPr>
        <w:t>perate our pipelines and other assets from third parties or government entities. In addition, some of our pipelines, facilities and other assets cross Indigenous lands pursuant to rights-of-way or other land tenure interests. Our loss of these rights could</w:t>
      </w:r>
      <w:r>
        <w:rPr>
          <w:rFonts w:ascii="Arial" w:eastAsia="Times New Roman" w:hAnsi="Arial" w:cs="Arial"/>
          <w:color w:val="000000"/>
          <w:sz w:val="20"/>
          <w:szCs w:val="20"/>
        </w:rPr>
        <w:t xml:space="preserve"> have an adverse effect on our reputation, operations and financial results. Regulator scrutiny over our assets and operations has the potential to increase operating costs or limit future projects. Regulatory enforcement actions issued by regulators for n</w:t>
      </w:r>
      <w:r>
        <w:rPr>
          <w:rFonts w:ascii="Arial" w:eastAsia="Times New Roman" w:hAnsi="Arial" w:cs="Arial"/>
          <w:color w:val="000000"/>
          <w:sz w:val="20"/>
          <w:szCs w:val="20"/>
        </w:rPr>
        <w:t>on-compliant findings can increase operating costs and negatively impact reputation. Potential regulatory changes and legal challenges could have an impact on our future earnings from existing operations and the cost related to the construction of new proj</w:t>
      </w:r>
      <w:r>
        <w:rPr>
          <w:rFonts w:ascii="Arial" w:eastAsia="Times New Roman" w:hAnsi="Arial" w:cs="Arial"/>
          <w:color w:val="000000"/>
          <w:sz w:val="20"/>
          <w:szCs w:val="20"/>
        </w:rPr>
        <w:t xml:space="preserve">ects. Regulators' future actions may differ from current expectations, or future legislative changes may impact the regulatory environments in which we operate. While we seek to mitigate operational regulation risk by actively monitoring and consulting on </w:t>
      </w:r>
      <w:r>
        <w:rPr>
          <w:rFonts w:ascii="Arial" w:eastAsia="Times New Roman" w:hAnsi="Arial" w:cs="Arial"/>
          <w:color w:val="000000"/>
          <w:sz w:val="20"/>
          <w:szCs w:val="20"/>
        </w:rPr>
        <w:t>potential regulatory requirement changes with the respective regulators directly, or through industry associations, and by developing response plans to regulatory changes or enforcement actions, such mitigation efforts may be ineffective or insufficient. W</w:t>
      </w:r>
      <w:r>
        <w:rPr>
          <w:rFonts w:ascii="Arial" w:eastAsia="Times New Roman" w:hAnsi="Arial" w:cs="Arial"/>
          <w:color w:val="000000"/>
          <w:sz w:val="20"/>
          <w:szCs w:val="20"/>
        </w:rPr>
        <w:t>hile we believe the safe and reliable operation of our assets and adherence to existing regulations is the best approach to managing operational regulatory risk, the potential remains for regulators or other government officials to make unilateral decision</w:t>
      </w:r>
      <w:r>
        <w:rPr>
          <w:rFonts w:ascii="Arial" w:eastAsia="Times New Roman" w:hAnsi="Arial" w:cs="Arial"/>
          <w:color w:val="000000"/>
          <w:sz w:val="20"/>
          <w:szCs w:val="20"/>
        </w:rPr>
        <w:t>s that could disrupt our operations or have an adverse financial impact on us.</w:t>
      </w:r>
    </w:p>
    <w:p w:rsidR="00000000" w:rsidRDefault="001F1FC8">
      <w:pPr>
        <w:divId w:val="1323048809"/>
        <w:rPr>
          <w:rFonts w:eastAsia="Times New Roman"/>
        </w:rPr>
      </w:pPr>
    </w:p>
    <w:p w:rsidR="00000000" w:rsidRDefault="001F1FC8">
      <w:pPr>
        <w:jc w:val="center"/>
        <w:divId w:val="357389292"/>
        <w:rPr>
          <w:rFonts w:eastAsia="Times New Roman"/>
        </w:rPr>
      </w:pPr>
      <w:r>
        <w:rPr>
          <w:rFonts w:ascii="Arial" w:eastAsia="Times New Roman" w:hAnsi="Arial" w:cs="Arial"/>
          <w:color w:val="000000"/>
          <w:sz w:val="20"/>
          <w:szCs w:val="20"/>
        </w:rPr>
        <w:t>53</w:t>
      </w:r>
    </w:p>
    <w:p w:rsidR="00000000" w:rsidRDefault="001F1FC8">
      <w:pPr>
        <w:rPr>
          <w:rFonts w:eastAsia="Times New Roman"/>
        </w:rPr>
      </w:pPr>
      <w:r>
        <w:rPr>
          <w:rFonts w:eastAsia="Times New Roman"/>
        </w:rPr>
        <w:pict>
          <v:rect id="_x0000_i1082" style="width:0;height:1.5pt" o:hralign="center" o:hrstd="t" o:hr="t" fillcolor="#a0a0a0" stroked="f"/>
        </w:pict>
      </w:r>
    </w:p>
    <w:p w:rsidR="00000000" w:rsidRDefault="001F1FC8">
      <w:pPr>
        <w:jc w:val="center"/>
        <w:divId w:val="237252868"/>
        <w:rPr>
          <w:rFonts w:eastAsia="Times New Roman"/>
        </w:rPr>
      </w:pPr>
    </w:p>
    <w:p w:rsidR="00000000" w:rsidRDefault="001F1FC8">
      <w:pPr>
        <w:divId w:val="1976444313"/>
        <w:rPr>
          <w:rFonts w:eastAsia="Times New Roman"/>
        </w:rPr>
      </w:pPr>
      <w:r>
        <w:rPr>
          <w:rFonts w:ascii="Arial" w:eastAsia="Times New Roman" w:hAnsi="Arial" w:cs="Arial"/>
          <w:b/>
          <w:bCs/>
          <w:i/>
          <w:iCs/>
          <w:color w:val="000000"/>
          <w:sz w:val="20"/>
          <w:szCs w:val="20"/>
        </w:rPr>
        <w:t>Our operations are subject to economic regulation and failure to secure regulatory approval for our proposed or existing commercial ar</w:t>
      </w:r>
      <w:r>
        <w:rPr>
          <w:rFonts w:ascii="Arial" w:eastAsia="Times New Roman" w:hAnsi="Arial" w:cs="Arial"/>
          <w:b/>
          <w:bCs/>
          <w:i/>
          <w:iCs/>
          <w:color w:val="000000"/>
          <w:sz w:val="20"/>
          <w:szCs w:val="20"/>
        </w:rPr>
        <w:t xml:space="preserve">rangements could have a negative impact on our business, operations or financial results. </w:t>
      </w:r>
    </w:p>
    <w:p w:rsidR="00000000" w:rsidRDefault="001F1FC8">
      <w:pPr>
        <w:divId w:val="1829705184"/>
        <w:rPr>
          <w:rFonts w:eastAsia="Times New Roman"/>
        </w:rPr>
      </w:pPr>
      <w:r>
        <w:rPr>
          <w:rFonts w:ascii="Arial" w:eastAsia="Times New Roman" w:hAnsi="Arial" w:cs="Arial"/>
          <w:color w:val="000000"/>
          <w:sz w:val="20"/>
          <w:szCs w:val="20"/>
        </w:rPr>
        <w:t>Our liquids pipelines, gas transmission and gas distribution assets face economic regulation risk. Broadly defined, economic regulation risk is the risk that governm</w:t>
      </w:r>
      <w:r>
        <w:rPr>
          <w:rFonts w:ascii="Arial" w:eastAsia="Times New Roman" w:hAnsi="Arial" w:cs="Arial"/>
          <w:color w:val="000000"/>
          <w:sz w:val="20"/>
          <w:szCs w:val="20"/>
        </w:rPr>
        <w:t xml:space="preserve">ents or regulatory agencies change or reject proposed or existing commercial arrangements or policies, including permits and regulatory approvals for both new and existing projects or agreements, upon which future and current operations are dependent. Our </w:t>
      </w:r>
      <w:r>
        <w:rPr>
          <w:rFonts w:ascii="Arial" w:eastAsia="Times New Roman" w:hAnsi="Arial" w:cs="Arial"/>
          <w:color w:val="000000"/>
          <w:sz w:val="20"/>
          <w:szCs w:val="20"/>
        </w:rPr>
        <w:t>Mainline System, other liquids pipelines and gas transmission assets are subject to the actions of various regulators, including the CER and the FERC, with respect to the tariffs and tolls of those pipelines. The changing or rejecting of commercial arrange</w:t>
      </w:r>
      <w:r>
        <w:rPr>
          <w:rFonts w:ascii="Arial" w:eastAsia="Times New Roman" w:hAnsi="Arial" w:cs="Arial"/>
          <w:color w:val="000000"/>
          <w:sz w:val="20"/>
          <w:szCs w:val="20"/>
        </w:rPr>
        <w:t xml:space="preserve">ments, including decisions by regulators on the applicable permits and tariff structure or changes in interpretations of existing regulations by courts or regulators such as with respect to Mainline Contrating, could have an adverse effect on our revenues </w:t>
      </w:r>
      <w:r>
        <w:rPr>
          <w:rFonts w:ascii="Arial" w:eastAsia="Times New Roman" w:hAnsi="Arial" w:cs="Arial"/>
          <w:color w:val="000000"/>
          <w:sz w:val="20"/>
          <w:szCs w:val="20"/>
        </w:rPr>
        <w:t>and earnings.</w:t>
      </w:r>
    </w:p>
    <w:p w:rsidR="00000000" w:rsidRDefault="001F1FC8">
      <w:pPr>
        <w:divId w:val="845440420"/>
        <w:rPr>
          <w:rFonts w:eastAsia="Times New Roman"/>
        </w:rPr>
      </w:pPr>
    </w:p>
    <w:p w:rsidR="00000000" w:rsidRDefault="001F1FC8">
      <w:pPr>
        <w:divId w:val="1987203939"/>
        <w:rPr>
          <w:rFonts w:eastAsia="Times New Roman"/>
        </w:rPr>
      </w:pPr>
      <w:r>
        <w:rPr>
          <w:rFonts w:ascii="Arial" w:eastAsia="Times New Roman" w:hAnsi="Arial" w:cs="Arial"/>
          <w:b/>
          <w:bCs/>
          <w:i/>
          <w:iCs/>
          <w:color w:val="000000"/>
          <w:sz w:val="20"/>
          <w:szCs w:val="20"/>
        </w:rPr>
        <w:t xml:space="preserve">We could be subject to changes in our tax rates, the adoption of new US, Canadian or international tax legislation or exposure to additional tax liabilities. </w:t>
      </w:r>
    </w:p>
    <w:p w:rsidR="00000000" w:rsidRDefault="001F1FC8">
      <w:pPr>
        <w:divId w:val="224881147"/>
        <w:rPr>
          <w:rFonts w:eastAsia="Times New Roman"/>
        </w:rPr>
      </w:pPr>
      <w:r>
        <w:rPr>
          <w:rFonts w:ascii="Arial" w:eastAsia="Times New Roman" w:hAnsi="Arial" w:cs="Arial"/>
          <w:color w:val="000000"/>
          <w:sz w:val="20"/>
          <w:szCs w:val="20"/>
        </w:rPr>
        <w:t>We are subject to taxes in the US, Canada and numerous foreign jurisdictions. Due</w:t>
      </w:r>
      <w:r>
        <w:rPr>
          <w:rFonts w:ascii="Arial" w:eastAsia="Times New Roman" w:hAnsi="Arial" w:cs="Arial"/>
          <w:color w:val="000000"/>
          <w:sz w:val="20"/>
          <w:szCs w:val="20"/>
        </w:rPr>
        <w:t xml:space="preserve"> to economic and political conditions, tax rates in various jurisdictions may be subject to significant change. Our effective tax rates could be affected by changes in the mix of earnings in countries with differing statutory tax rates, changes in the valu</w:t>
      </w:r>
      <w:r>
        <w:rPr>
          <w:rFonts w:ascii="Arial" w:eastAsia="Times New Roman" w:hAnsi="Arial" w:cs="Arial"/>
          <w:color w:val="000000"/>
          <w:sz w:val="20"/>
          <w:szCs w:val="20"/>
        </w:rPr>
        <w:t>ation of deferred tax assets and liabilities, or changes in tax laws or their interpretation. In particular, we are anticipating interest deductibility rules to be tabled in Canada, possible new tax legislation to be passed in the US and a minimum tax rate</w:t>
      </w:r>
      <w:r>
        <w:rPr>
          <w:rFonts w:ascii="Arial" w:eastAsia="Times New Roman" w:hAnsi="Arial" w:cs="Arial"/>
          <w:color w:val="000000"/>
          <w:sz w:val="20"/>
          <w:szCs w:val="20"/>
        </w:rPr>
        <w:t xml:space="preserve"> to be introduced on a global basis for OECD countries. All of these measures could cause our effective tax rate to increase.</w:t>
      </w:r>
    </w:p>
    <w:p w:rsidR="00000000" w:rsidRDefault="001F1FC8">
      <w:pPr>
        <w:divId w:val="1505899684"/>
        <w:rPr>
          <w:rFonts w:eastAsia="Times New Roman"/>
        </w:rPr>
      </w:pPr>
    </w:p>
    <w:p w:rsidR="00000000" w:rsidRDefault="001F1FC8">
      <w:pPr>
        <w:divId w:val="147862481"/>
        <w:rPr>
          <w:rFonts w:eastAsia="Times New Roman"/>
        </w:rPr>
      </w:pPr>
      <w:r>
        <w:rPr>
          <w:rFonts w:ascii="Arial" w:eastAsia="Times New Roman" w:hAnsi="Arial" w:cs="Arial"/>
          <w:color w:val="000000"/>
          <w:sz w:val="20"/>
          <w:szCs w:val="20"/>
        </w:rPr>
        <w:t>We are also subject to the examination of our tax returns and other tax matters by the US Internal Revenue Service, the Canada R</w:t>
      </w:r>
      <w:r>
        <w:rPr>
          <w:rFonts w:ascii="Arial" w:eastAsia="Times New Roman" w:hAnsi="Arial" w:cs="Arial"/>
          <w:color w:val="000000"/>
          <w:sz w:val="20"/>
          <w:szCs w:val="20"/>
        </w:rPr>
        <w:t>evenue Agency and other tax authorities and governmental bodies. We regularly assess the likelihood of an adverse outcome resulting from these examinations to determine the adequacy of our provision for taxes. There can be no assurance as to the outcome of</w:t>
      </w:r>
      <w:r>
        <w:rPr>
          <w:rFonts w:ascii="Arial" w:eastAsia="Times New Roman" w:hAnsi="Arial" w:cs="Arial"/>
          <w:color w:val="000000"/>
          <w:sz w:val="20"/>
          <w:szCs w:val="20"/>
        </w:rPr>
        <w:t xml:space="preserve"> these examinations. If our effective tax rates were to increase, particularly in the US or Canada, or if the ultimate determination of our taxes owed is for an amount in excess of amounts previously accrued, our financial condition and operating results c</w:t>
      </w:r>
      <w:r>
        <w:rPr>
          <w:rFonts w:ascii="Arial" w:eastAsia="Times New Roman" w:hAnsi="Arial" w:cs="Arial"/>
          <w:color w:val="000000"/>
          <w:sz w:val="20"/>
          <w:szCs w:val="20"/>
        </w:rPr>
        <w:t>ould be materially adversely affected.</w:t>
      </w:r>
    </w:p>
    <w:p w:rsidR="00000000" w:rsidRDefault="001F1FC8">
      <w:pPr>
        <w:divId w:val="1820226619"/>
        <w:rPr>
          <w:rFonts w:eastAsia="Times New Roman"/>
        </w:rPr>
      </w:pPr>
    </w:p>
    <w:p w:rsidR="00000000" w:rsidRDefault="001F1FC8">
      <w:pPr>
        <w:divId w:val="825824075"/>
        <w:rPr>
          <w:rFonts w:eastAsia="Times New Roman"/>
        </w:rPr>
      </w:pPr>
      <w:r>
        <w:rPr>
          <w:rFonts w:ascii="Arial" w:eastAsia="Times New Roman" w:hAnsi="Arial" w:cs="Arial"/>
          <w:b/>
          <w:bCs/>
          <w:i/>
          <w:iCs/>
          <w:color w:val="000000"/>
          <w:sz w:val="20"/>
          <w:szCs w:val="20"/>
        </w:rPr>
        <w:t>We are involved in numerous legal proceedings, the outcomes of which are uncertain, and resolutions adverse to us could adversely affect our financial results.</w:t>
      </w:r>
    </w:p>
    <w:p w:rsidR="00000000" w:rsidRDefault="001F1FC8">
      <w:pPr>
        <w:divId w:val="554438877"/>
        <w:rPr>
          <w:rFonts w:eastAsia="Times New Roman"/>
        </w:rPr>
      </w:pPr>
      <w:r>
        <w:rPr>
          <w:rFonts w:ascii="Arial" w:eastAsia="Times New Roman" w:hAnsi="Arial" w:cs="Arial"/>
          <w:color w:val="000000"/>
          <w:sz w:val="20"/>
          <w:szCs w:val="20"/>
        </w:rPr>
        <w:t>We are subject to numerous legal proceedings. In recent</w:t>
      </w:r>
      <w:r>
        <w:rPr>
          <w:rFonts w:ascii="Arial" w:eastAsia="Times New Roman" w:hAnsi="Arial" w:cs="Arial"/>
          <w:color w:val="000000"/>
          <w:sz w:val="20"/>
          <w:szCs w:val="20"/>
        </w:rPr>
        <w:t xml:space="preserve"> years there has been an increase in climate and disclosure-related litigation against governments as well as companies involved in the energy industry. There is no assurance that we will not be impacted by such litigation. Litigation is subject to many un</w:t>
      </w:r>
      <w:r>
        <w:rPr>
          <w:rFonts w:ascii="Arial" w:eastAsia="Times New Roman" w:hAnsi="Arial" w:cs="Arial"/>
          <w:color w:val="000000"/>
          <w:sz w:val="20"/>
          <w:szCs w:val="20"/>
        </w:rPr>
        <w:t>certainties, and we cannot predict the outcome of individual matters with assurance. It is reasonably possible that the final resolution of some of the matters in which we are involved could require additional expenditures, in excess of established reserve</w:t>
      </w:r>
      <w:r>
        <w:rPr>
          <w:rFonts w:ascii="Arial" w:eastAsia="Times New Roman" w:hAnsi="Arial" w:cs="Arial"/>
          <w:color w:val="000000"/>
          <w:sz w:val="20"/>
          <w:szCs w:val="20"/>
        </w:rPr>
        <w:t xml:space="preserve">s, over an extended period of time and in a range of amounts that could adversely affect our financial results or affect our reputation. Refer to Part II. </w:t>
      </w:r>
      <w:r>
        <w:rPr>
          <w:rFonts w:ascii="Arial" w:eastAsia="Times New Roman" w:hAnsi="Arial" w:cs="Arial"/>
          <w:i/>
          <w:iCs/>
          <w:color w:val="000000"/>
          <w:sz w:val="20"/>
          <w:szCs w:val="20"/>
        </w:rPr>
        <w:t>Item 7. Management's Discussion and Analysis of Financial Condition and Results of Operations - Legal</w:t>
      </w:r>
      <w:r>
        <w:rPr>
          <w:rFonts w:ascii="Arial" w:eastAsia="Times New Roman" w:hAnsi="Arial" w:cs="Arial"/>
          <w:i/>
          <w:iCs/>
          <w:color w:val="000000"/>
          <w:sz w:val="20"/>
          <w:szCs w:val="20"/>
        </w:rPr>
        <w:t xml:space="preserve"> and Other Updates</w:t>
      </w:r>
      <w:r>
        <w:rPr>
          <w:rFonts w:ascii="Arial" w:eastAsia="Times New Roman" w:hAnsi="Arial" w:cs="Arial"/>
          <w:color w:val="000000"/>
          <w:sz w:val="20"/>
          <w:szCs w:val="20"/>
        </w:rPr>
        <w:t xml:space="preserve"> for a discussion of certain legal proceedings with recent developments.</w:t>
      </w:r>
    </w:p>
    <w:p w:rsidR="00000000" w:rsidRDefault="001F1FC8">
      <w:pPr>
        <w:divId w:val="1882940000"/>
        <w:rPr>
          <w:rFonts w:eastAsia="Times New Roman"/>
        </w:rPr>
      </w:pPr>
    </w:p>
    <w:p w:rsidR="00000000" w:rsidRDefault="001F1FC8">
      <w:pPr>
        <w:divId w:val="456294071"/>
        <w:rPr>
          <w:rFonts w:eastAsia="Times New Roman"/>
        </w:rPr>
      </w:pPr>
      <w:r>
        <w:rPr>
          <w:rFonts w:ascii="Arial" w:eastAsia="Times New Roman" w:hAnsi="Arial" w:cs="Arial"/>
          <w:b/>
          <w:bCs/>
          <w:color w:val="000000"/>
          <w:sz w:val="28"/>
          <w:szCs w:val="28"/>
        </w:rPr>
        <w:t>ITEM 1B. UNRESOLVED STAFF COMMENTS</w:t>
      </w:r>
    </w:p>
    <w:p w:rsidR="00000000" w:rsidRDefault="001F1FC8">
      <w:pPr>
        <w:divId w:val="1907186933"/>
        <w:rPr>
          <w:rFonts w:eastAsia="Times New Roman"/>
        </w:rPr>
      </w:pPr>
    </w:p>
    <w:p w:rsidR="00000000" w:rsidRDefault="001F1FC8">
      <w:pPr>
        <w:divId w:val="1354116630"/>
        <w:rPr>
          <w:rFonts w:eastAsia="Times New Roman"/>
        </w:rPr>
      </w:pPr>
      <w:r>
        <w:rPr>
          <w:rFonts w:ascii="Arial" w:eastAsia="Times New Roman" w:hAnsi="Arial" w:cs="Arial"/>
          <w:color w:val="000000"/>
          <w:sz w:val="20"/>
          <w:szCs w:val="20"/>
        </w:rPr>
        <w:t>None.</w:t>
      </w:r>
    </w:p>
    <w:p w:rsidR="00000000" w:rsidRDefault="001F1FC8">
      <w:pPr>
        <w:divId w:val="660039611"/>
        <w:rPr>
          <w:rFonts w:eastAsia="Times New Roman"/>
        </w:rPr>
      </w:pPr>
    </w:p>
    <w:p w:rsidR="00000000" w:rsidRDefault="001F1FC8">
      <w:pPr>
        <w:jc w:val="center"/>
        <w:divId w:val="398021070"/>
        <w:rPr>
          <w:rFonts w:eastAsia="Times New Roman"/>
        </w:rPr>
      </w:pPr>
      <w:r>
        <w:rPr>
          <w:rFonts w:ascii="Arial" w:eastAsia="Times New Roman" w:hAnsi="Arial" w:cs="Arial"/>
          <w:color w:val="000000"/>
          <w:sz w:val="20"/>
          <w:szCs w:val="20"/>
        </w:rPr>
        <w:t>54</w:t>
      </w:r>
    </w:p>
    <w:p w:rsidR="00000000" w:rsidRDefault="001F1FC8">
      <w:pPr>
        <w:rPr>
          <w:rFonts w:eastAsia="Times New Roman"/>
        </w:rPr>
      </w:pPr>
      <w:r>
        <w:rPr>
          <w:rFonts w:eastAsia="Times New Roman"/>
        </w:rPr>
        <w:pict>
          <v:rect id="_x0000_i1083" style="width:0;height:1.5pt" o:hralign="center" o:hrstd="t" o:hr="t" fillcolor="#a0a0a0" stroked="f"/>
        </w:pict>
      </w:r>
    </w:p>
    <w:p w:rsidR="00000000" w:rsidRDefault="001F1FC8">
      <w:pPr>
        <w:jc w:val="center"/>
        <w:divId w:val="1799299650"/>
        <w:rPr>
          <w:rFonts w:eastAsia="Times New Roman"/>
        </w:rPr>
      </w:pPr>
    </w:p>
    <w:p w:rsidR="00000000" w:rsidRDefault="001F1FC8">
      <w:pPr>
        <w:jc w:val="both"/>
        <w:rPr>
          <w:rFonts w:eastAsia="Times New Roman"/>
        </w:rPr>
      </w:pPr>
      <w:r>
        <w:rPr>
          <w:rFonts w:ascii="Arial" w:eastAsia="Times New Roman" w:hAnsi="Arial" w:cs="Arial"/>
          <w:b/>
          <w:bCs/>
          <w:color w:val="000000"/>
          <w:sz w:val="28"/>
          <w:szCs w:val="28"/>
        </w:rPr>
        <w:t>ITEM 2. PROPERTIES</w:t>
      </w:r>
    </w:p>
    <w:p w:rsidR="00000000" w:rsidRDefault="001F1FC8">
      <w:pPr>
        <w:jc w:val="both"/>
        <w:rPr>
          <w:rFonts w:eastAsia="Times New Roman"/>
        </w:rPr>
      </w:pPr>
    </w:p>
    <w:p w:rsidR="00000000" w:rsidRDefault="001F1FC8">
      <w:pPr>
        <w:divId w:val="1225797016"/>
        <w:rPr>
          <w:rFonts w:eastAsia="Times New Roman"/>
        </w:rPr>
      </w:pPr>
      <w:r>
        <w:rPr>
          <w:rFonts w:ascii="Arial" w:eastAsia="Times New Roman" w:hAnsi="Arial" w:cs="Arial"/>
          <w:color w:val="000000"/>
          <w:sz w:val="20"/>
          <w:szCs w:val="20"/>
        </w:rPr>
        <w:t xml:space="preserve">Descriptions of our properties and maps depicting the locations of our liquids and natural gas systems are included in Part 1. </w:t>
      </w:r>
      <w:r>
        <w:rPr>
          <w:rFonts w:ascii="Arial" w:eastAsia="Times New Roman" w:hAnsi="Arial" w:cs="Arial"/>
          <w:i/>
          <w:iCs/>
          <w:color w:val="000000"/>
          <w:sz w:val="20"/>
          <w:szCs w:val="20"/>
        </w:rPr>
        <w:t>Item 1. Business.</w:t>
      </w:r>
    </w:p>
    <w:p w:rsidR="00000000" w:rsidRDefault="001F1FC8">
      <w:pPr>
        <w:divId w:val="812992597"/>
        <w:rPr>
          <w:rFonts w:eastAsia="Times New Roman"/>
        </w:rPr>
      </w:pPr>
    </w:p>
    <w:p w:rsidR="00000000" w:rsidRDefault="001F1FC8">
      <w:pPr>
        <w:divId w:val="187642105"/>
        <w:rPr>
          <w:rFonts w:eastAsia="Times New Roman"/>
        </w:rPr>
      </w:pPr>
      <w:r>
        <w:rPr>
          <w:rFonts w:ascii="Arial" w:eastAsia="Times New Roman" w:hAnsi="Arial" w:cs="Arial"/>
          <w:color w:val="000000"/>
          <w:sz w:val="20"/>
          <w:szCs w:val="20"/>
        </w:rPr>
        <w:t xml:space="preserve">In general, our systems are located on land owned </w:t>
      </w:r>
      <w:r>
        <w:rPr>
          <w:rFonts w:ascii="Arial" w:eastAsia="Times New Roman" w:hAnsi="Arial" w:cs="Arial"/>
          <w:color w:val="000000"/>
          <w:sz w:val="20"/>
          <w:szCs w:val="20"/>
        </w:rPr>
        <w:t>by others and are operated under easements and rights-of-way, licenses, leases or permits that have been granted by private land-owners, First Nations, Native American Tribes, public authorities, railways or public utilities. Our liquids pipeline systems h</w:t>
      </w:r>
      <w:r>
        <w:rPr>
          <w:rFonts w:ascii="Arial" w:eastAsia="Times New Roman" w:hAnsi="Arial" w:cs="Arial"/>
          <w:color w:val="000000"/>
          <w:sz w:val="20"/>
          <w:szCs w:val="20"/>
        </w:rPr>
        <w:t>ave pumping stations, tanks, terminals and certain other facilities that are located on land that is owned by us and/or used by us under easements, licenses, leases or permits. Additionally, our natural gas pipeline systems have natural gas compressor stat</w:t>
      </w:r>
      <w:r>
        <w:rPr>
          <w:rFonts w:ascii="Arial" w:eastAsia="Times New Roman" w:hAnsi="Arial" w:cs="Arial"/>
          <w:color w:val="000000"/>
          <w:sz w:val="20"/>
          <w:szCs w:val="20"/>
        </w:rPr>
        <w:t>ions, of which the vast majority are located on land that is owned by us, with the remainder used by us under easements, leases or permits.</w:t>
      </w:r>
    </w:p>
    <w:p w:rsidR="00000000" w:rsidRDefault="001F1FC8">
      <w:pPr>
        <w:divId w:val="1366174278"/>
        <w:rPr>
          <w:rFonts w:eastAsia="Times New Roman"/>
        </w:rPr>
      </w:pPr>
    </w:p>
    <w:p w:rsidR="00000000" w:rsidRDefault="001F1FC8">
      <w:pPr>
        <w:divId w:val="1491826646"/>
        <w:rPr>
          <w:rFonts w:eastAsia="Times New Roman"/>
        </w:rPr>
      </w:pPr>
      <w:r>
        <w:rPr>
          <w:rFonts w:ascii="Arial" w:eastAsia="Times New Roman" w:hAnsi="Arial" w:cs="Arial"/>
          <w:color w:val="000000"/>
          <w:sz w:val="20"/>
          <w:szCs w:val="20"/>
        </w:rPr>
        <w:t>Titles to Enbridge owned properties or affiliate entities may be subject to encumbrances in some cases. We believe</w:t>
      </w:r>
      <w:r>
        <w:rPr>
          <w:rFonts w:ascii="Arial" w:eastAsia="Times New Roman" w:hAnsi="Arial" w:cs="Arial"/>
          <w:color w:val="000000"/>
          <w:sz w:val="20"/>
          <w:szCs w:val="20"/>
        </w:rPr>
        <w:t xml:space="preserve"> that none of these burdens should materially detract from the value of these properties or materially interfere with their use in the operation of our business.</w:t>
      </w:r>
    </w:p>
    <w:p w:rsidR="00000000" w:rsidRDefault="001F1FC8">
      <w:pPr>
        <w:divId w:val="55783110"/>
        <w:rPr>
          <w:rFonts w:eastAsia="Times New Roman"/>
        </w:rPr>
      </w:pPr>
    </w:p>
    <w:p w:rsidR="00000000" w:rsidRDefault="001F1FC8">
      <w:pPr>
        <w:divId w:val="1924685252"/>
        <w:rPr>
          <w:rFonts w:eastAsia="Times New Roman"/>
        </w:rPr>
      </w:pPr>
      <w:r>
        <w:rPr>
          <w:rFonts w:ascii="Arial" w:eastAsia="Times New Roman" w:hAnsi="Arial" w:cs="Arial"/>
          <w:b/>
          <w:bCs/>
          <w:color w:val="000000"/>
          <w:sz w:val="28"/>
          <w:szCs w:val="28"/>
        </w:rPr>
        <w:t>ITEM 3. LEGAL PROCEEDINGS</w:t>
      </w:r>
    </w:p>
    <w:p w:rsidR="00000000" w:rsidRDefault="001F1FC8">
      <w:pPr>
        <w:divId w:val="1368875286"/>
        <w:rPr>
          <w:rFonts w:eastAsia="Times New Roman"/>
        </w:rPr>
      </w:pPr>
    </w:p>
    <w:p w:rsidR="00000000" w:rsidRDefault="001F1FC8">
      <w:pPr>
        <w:divId w:val="722101790"/>
        <w:rPr>
          <w:rFonts w:eastAsia="Times New Roman"/>
        </w:rPr>
      </w:pPr>
      <w:r>
        <w:rPr>
          <w:rFonts w:ascii="Arial" w:eastAsia="Times New Roman" w:hAnsi="Arial" w:cs="Arial"/>
          <w:color w:val="000000"/>
          <w:sz w:val="20"/>
          <w:szCs w:val="20"/>
        </w:rPr>
        <w:t xml:space="preserve">We are involved in various legal and administrative proceedings </w:t>
      </w:r>
      <w:r>
        <w:rPr>
          <w:rFonts w:ascii="Arial" w:eastAsia="Times New Roman" w:hAnsi="Arial" w:cs="Arial"/>
          <w:color w:val="000000"/>
          <w:sz w:val="20"/>
          <w:szCs w:val="20"/>
        </w:rPr>
        <w:t>and litigation arising in the ordinary course of business. The outcome of these matters is not predictable at this time. However, we believe that the ultimate resolution of these matters will not have a material adverse effect on our financial condition, r</w:t>
      </w:r>
      <w:r>
        <w:rPr>
          <w:rFonts w:ascii="Arial" w:eastAsia="Times New Roman" w:hAnsi="Arial" w:cs="Arial"/>
          <w:color w:val="000000"/>
          <w:sz w:val="20"/>
          <w:szCs w:val="20"/>
        </w:rPr>
        <w:t xml:space="preserve">esults of operations or cash flows in future periods. Refer to Part II. </w:t>
      </w:r>
      <w:r>
        <w:rPr>
          <w:rFonts w:ascii="Arial" w:eastAsia="Times New Roman" w:hAnsi="Arial" w:cs="Arial"/>
          <w:i/>
          <w:iCs/>
          <w:color w:val="000000"/>
          <w:sz w:val="20"/>
          <w:szCs w:val="20"/>
        </w:rPr>
        <w:t>Item 7. Management's Discussion and Analysis of Financial Condition and Results of Operations - Legal and Other Updates</w:t>
      </w:r>
      <w:r>
        <w:rPr>
          <w:rFonts w:ascii="Arial" w:eastAsia="Times New Roman" w:hAnsi="Arial" w:cs="Arial"/>
          <w:color w:val="000000"/>
          <w:sz w:val="20"/>
          <w:szCs w:val="20"/>
          <w:shd w:val="clear" w:color="auto" w:fill="FFFFFF"/>
        </w:rPr>
        <w:t xml:space="preserve"> for discussion of certain legal proceedings with recent developm</w:t>
      </w:r>
      <w:r>
        <w:rPr>
          <w:rFonts w:ascii="Arial" w:eastAsia="Times New Roman" w:hAnsi="Arial" w:cs="Arial"/>
          <w:color w:val="000000"/>
          <w:sz w:val="20"/>
          <w:szCs w:val="20"/>
          <w:shd w:val="clear" w:color="auto" w:fill="FFFFFF"/>
        </w:rPr>
        <w:t>ents.</w:t>
      </w:r>
    </w:p>
    <w:p w:rsidR="00000000" w:rsidRDefault="001F1FC8">
      <w:pPr>
        <w:divId w:val="1060252667"/>
        <w:rPr>
          <w:rFonts w:eastAsia="Times New Roman"/>
        </w:rPr>
      </w:pPr>
    </w:p>
    <w:p w:rsidR="00000000" w:rsidRDefault="001F1FC8">
      <w:pPr>
        <w:divId w:val="1505785150"/>
        <w:rPr>
          <w:rFonts w:eastAsia="Times New Roman"/>
        </w:rPr>
      </w:pPr>
      <w:r>
        <w:rPr>
          <w:rFonts w:ascii="Arial" w:eastAsia="Times New Roman" w:hAnsi="Arial" w:cs="Arial"/>
          <w:color w:val="000000"/>
          <w:sz w:val="20"/>
          <w:szCs w:val="20"/>
        </w:rPr>
        <w:t>SEC regulations require the disclosure of any proceeding under environmental laws to which a governmental authority is a party unless the registrant reasonably believes it will not result in monetary sanctions over a certain threshold. Given the size of ou</w:t>
      </w:r>
      <w:r>
        <w:rPr>
          <w:rFonts w:ascii="Arial" w:eastAsia="Times New Roman" w:hAnsi="Arial" w:cs="Arial"/>
          <w:color w:val="000000"/>
          <w:sz w:val="20"/>
          <w:szCs w:val="20"/>
        </w:rPr>
        <w:t>r operations, we have elected to use a threshold of US$1 million for the purposes of determining proceedings requiring disclosure.</w:t>
      </w:r>
    </w:p>
    <w:p w:rsidR="00000000" w:rsidRDefault="001F1FC8">
      <w:pPr>
        <w:divId w:val="1700007637"/>
        <w:rPr>
          <w:rFonts w:eastAsia="Times New Roman"/>
        </w:rPr>
      </w:pPr>
    </w:p>
    <w:p w:rsidR="00000000" w:rsidRDefault="001F1FC8">
      <w:pPr>
        <w:divId w:val="292954666"/>
        <w:rPr>
          <w:rFonts w:eastAsia="Times New Roman"/>
        </w:rPr>
      </w:pPr>
      <w:r>
        <w:rPr>
          <w:rFonts w:ascii="Arial" w:eastAsia="Times New Roman" w:hAnsi="Arial" w:cs="Arial"/>
          <w:color w:val="000000"/>
          <w:sz w:val="20"/>
          <w:szCs w:val="20"/>
        </w:rPr>
        <w:t xml:space="preserve">The Minnesota Department of Natural Resources (DNR) issued an Administrative Penalty Order on September 16, 2021 due to an </w:t>
      </w:r>
      <w:r>
        <w:rPr>
          <w:rFonts w:ascii="Arial" w:eastAsia="Times New Roman" w:hAnsi="Arial" w:cs="Arial"/>
          <w:color w:val="000000"/>
          <w:sz w:val="20"/>
          <w:szCs w:val="20"/>
        </w:rPr>
        <w:t xml:space="preserve">uncontrolled groundwater flow at Clearbrook. The groundwater flow was stopped in January 2022 after diligently implementing the steps required under the remedial action plan. We have also provided all required information to date. A contested case was not </w:t>
      </w:r>
      <w:r>
        <w:rPr>
          <w:rFonts w:ascii="Arial" w:eastAsia="Times New Roman" w:hAnsi="Arial" w:cs="Arial"/>
          <w:color w:val="000000"/>
          <w:sz w:val="20"/>
          <w:szCs w:val="20"/>
        </w:rPr>
        <w:t xml:space="preserve">sought in this matter; instead, the penalty and mitigation amounts will be paid as directed for the Clearbrook site. A separate US$2.75 million escrow account is being established for any potential future monitoring and mitigation. In total, Enbridge will </w:t>
      </w:r>
      <w:r>
        <w:rPr>
          <w:rFonts w:ascii="Arial" w:eastAsia="Times New Roman" w:hAnsi="Arial" w:cs="Arial"/>
          <w:color w:val="000000"/>
          <w:sz w:val="20"/>
          <w:szCs w:val="20"/>
        </w:rPr>
        <w:t>direct US$3.3 million to address this matter. With work complete at Clearbrook and a second site, Enbridge continues to work with the DNR towards a corrective action plan for the final location, including ongoing restoration, monitoring, and mitigation for</w:t>
      </w:r>
      <w:r>
        <w:rPr>
          <w:rFonts w:ascii="Arial" w:eastAsia="Times New Roman" w:hAnsi="Arial" w:cs="Arial"/>
          <w:color w:val="000000"/>
          <w:sz w:val="20"/>
          <w:szCs w:val="20"/>
        </w:rPr>
        <w:t xml:space="preserve"> all three sites.</w:t>
      </w:r>
    </w:p>
    <w:p w:rsidR="00000000" w:rsidRDefault="001F1FC8">
      <w:pPr>
        <w:divId w:val="1006175056"/>
        <w:rPr>
          <w:rFonts w:eastAsia="Times New Roman"/>
        </w:rPr>
      </w:pPr>
    </w:p>
    <w:p w:rsidR="00000000" w:rsidRDefault="001F1FC8">
      <w:pPr>
        <w:divId w:val="794762882"/>
        <w:rPr>
          <w:rFonts w:eastAsia="Times New Roman"/>
        </w:rPr>
      </w:pPr>
      <w:r>
        <w:rPr>
          <w:rFonts w:ascii="Arial" w:eastAsia="Times New Roman" w:hAnsi="Arial" w:cs="Arial"/>
          <w:b/>
          <w:bCs/>
          <w:color w:val="000000"/>
          <w:sz w:val="28"/>
          <w:szCs w:val="28"/>
        </w:rPr>
        <w:t>ITEM 4. MINE SAFETY DISCLOSURES</w:t>
      </w:r>
    </w:p>
    <w:p w:rsidR="00000000" w:rsidRDefault="001F1FC8">
      <w:pPr>
        <w:divId w:val="1753625448"/>
        <w:rPr>
          <w:rFonts w:eastAsia="Times New Roman"/>
        </w:rPr>
      </w:pPr>
    </w:p>
    <w:p w:rsidR="00000000" w:rsidRDefault="001F1FC8">
      <w:pPr>
        <w:divId w:val="799153712"/>
        <w:rPr>
          <w:rFonts w:eastAsia="Times New Roman"/>
        </w:rPr>
      </w:pPr>
      <w:r>
        <w:rPr>
          <w:rFonts w:ascii="Arial" w:eastAsia="Times New Roman" w:hAnsi="Arial" w:cs="Arial"/>
          <w:color w:val="000000"/>
          <w:sz w:val="20"/>
          <w:szCs w:val="20"/>
        </w:rPr>
        <w:t>Not applicable.</w:t>
      </w:r>
    </w:p>
    <w:p w:rsidR="00000000" w:rsidRDefault="001F1FC8">
      <w:pPr>
        <w:jc w:val="center"/>
        <w:divId w:val="763110078"/>
        <w:rPr>
          <w:rFonts w:eastAsia="Times New Roman"/>
        </w:rPr>
      </w:pPr>
      <w:r>
        <w:rPr>
          <w:rFonts w:ascii="Arial" w:eastAsia="Times New Roman" w:hAnsi="Arial" w:cs="Arial"/>
          <w:color w:val="000000"/>
          <w:sz w:val="20"/>
          <w:szCs w:val="20"/>
        </w:rPr>
        <w:t>55</w:t>
      </w:r>
    </w:p>
    <w:p w:rsidR="00000000" w:rsidRDefault="001F1FC8">
      <w:pPr>
        <w:rPr>
          <w:rFonts w:eastAsia="Times New Roman"/>
        </w:rPr>
      </w:pPr>
      <w:r>
        <w:rPr>
          <w:rFonts w:eastAsia="Times New Roman"/>
        </w:rPr>
        <w:pict>
          <v:rect id="_x0000_i1084" style="width:0;height:1.5pt" o:hralign="center" o:hrstd="t" o:hr="t" fillcolor="#a0a0a0" stroked="f"/>
        </w:pict>
      </w:r>
    </w:p>
    <w:p w:rsidR="00000000" w:rsidRDefault="001F1FC8">
      <w:pPr>
        <w:jc w:val="center"/>
        <w:divId w:val="915211800"/>
        <w:rPr>
          <w:rFonts w:eastAsia="Times New Roman"/>
        </w:rPr>
      </w:pPr>
    </w:p>
    <w:p w:rsidR="00000000" w:rsidRDefault="001F1FC8">
      <w:pPr>
        <w:jc w:val="center"/>
        <w:rPr>
          <w:rFonts w:eastAsia="Times New Roman"/>
        </w:rPr>
      </w:pPr>
      <w:r>
        <w:rPr>
          <w:rFonts w:ascii="Arial" w:eastAsia="Times New Roman" w:hAnsi="Arial" w:cs="Arial"/>
          <w:b/>
          <w:bCs/>
          <w:color w:val="000000"/>
          <w:sz w:val="28"/>
          <w:szCs w:val="28"/>
        </w:rPr>
        <w:t>PART II</w:t>
      </w:r>
    </w:p>
    <w:p w:rsidR="00000000" w:rsidRDefault="001F1FC8">
      <w:pPr>
        <w:jc w:val="center"/>
        <w:rPr>
          <w:rFonts w:eastAsia="Times New Roman"/>
        </w:rPr>
      </w:pPr>
    </w:p>
    <w:p w:rsidR="00000000" w:rsidRDefault="001F1FC8">
      <w:pPr>
        <w:divId w:val="1452433780"/>
        <w:rPr>
          <w:rFonts w:eastAsia="Times New Roman"/>
        </w:rPr>
      </w:pPr>
      <w:r>
        <w:rPr>
          <w:rFonts w:ascii="Arial" w:eastAsia="Times New Roman" w:hAnsi="Arial" w:cs="Arial"/>
          <w:b/>
          <w:bCs/>
          <w:color w:val="000000"/>
          <w:sz w:val="28"/>
          <w:szCs w:val="28"/>
        </w:rPr>
        <w:t>ITEM 5. MARKET FOR REGISTRANT'S COMMON EQUITY, RELATED STOCKHOLDER MATTERS AND ISSUER PURCHASES OF EQUITY SECURITIES</w:t>
      </w:r>
    </w:p>
    <w:p w:rsidR="00000000" w:rsidRDefault="001F1FC8">
      <w:pPr>
        <w:divId w:val="1311204713"/>
        <w:rPr>
          <w:rFonts w:eastAsia="Times New Roman"/>
        </w:rPr>
      </w:pPr>
    </w:p>
    <w:p w:rsidR="00000000" w:rsidRDefault="001F1FC8">
      <w:pPr>
        <w:divId w:val="464664425"/>
        <w:rPr>
          <w:rFonts w:eastAsia="Times New Roman"/>
        </w:rPr>
      </w:pPr>
      <w:r>
        <w:rPr>
          <w:rFonts w:ascii="Arial" w:eastAsia="Times New Roman" w:hAnsi="Arial" w:cs="Arial"/>
          <w:b/>
          <w:bCs/>
          <w:color w:val="000000"/>
          <w:sz w:val="20"/>
          <w:szCs w:val="20"/>
        </w:rPr>
        <w:t>Common Stock</w:t>
      </w:r>
    </w:p>
    <w:p w:rsidR="00000000" w:rsidRDefault="001F1FC8">
      <w:pPr>
        <w:divId w:val="1200895425"/>
        <w:rPr>
          <w:rFonts w:eastAsia="Times New Roman"/>
        </w:rPr>
      </w:pPr>
      <w:r>
        <w:rPr>
          <w:rFonts w:ascii="Arial" w:eastAsia="Times New Roman" w:hAnsi="Arial" w:cs="Arial"/>
          <w:color w:val="000000"/>
          <w:sz w:val="20"/>
          <w:szCs w:val="20"/>
        </w:rPr>
        <w:t>Enbridge common stock is traded on the TSX and NYSE under the symbol “ENB.” As at February 4, 2022, there were 80,754 registered shareholders of record of Enbridge common stock. A substantially greater number of holders of Enbridge common stoc</w:t>
      </w:r>
      <w:r>
        <w:rPr>
          <w:rFonts w:ascii="Arial" w:eastAsia="Times New Roman" w:hAnsi="Arial" w:cs="Arial"/>
          <w:color w:val="000000"/>
          <w:sz w:val="20"/>
          <w:szCs w:val="20"/>
        </w:rPr>
        <w:t>k are "street name" or beneficial holders, whose shares are held by banks, brokers and other financial institutions.</w:t>
      </w:r>
    </w:p>
    <w:p w:rsidR="00000000" w:rsidRDefault="001F1FC8">
      <w:pPr>
        <w:divId w:val="1108542364"/>
        <w:rPr>
          <w:rFonts w:eastAsia="Times New Roman"/>
        </w:rPr>
      </w:pPr>
    </w:p>
    <w:p w:rsidR="00000000" w:rsidRDefault="001F1FC8">
      <w:pPr>
        <w:divId w:val="130900191"/>
        <w:rPr>
          <w:rFonts w:eastAsia="Times New Roman"/>
        </w:rPr>
      </w:pPr>
      <w:r>
        <w:rPr>
          <w:rFonts w:ascii="Arial" w:eastAsia="Times New Roman" w:hAnsi="Arial" w:cs="Arial"/>
          <w:b/>
          <w:bCs/>
          <w:color w:val="000000"/>
          <w:sz w:val="20"/>
          <w:szCs w:val="20"/>
        </w:rPr>
        <w:t>Securities Authorized for Issuance Under Equity Compensation Plans</w:t>
      </w:r>
    </w:p>
    <w:p w:rsidR="00000000" w:rsidRDefault="001F1FC8">
      <w:pPr>
        <w:divId w:val="1963340251"/>
        <w:rPr>
          <w:rFonts w:eastAsia="Times New Roman"/>
        </w:rPr>
      </w:pPr>
      <w:r>
        <w:rPr>
          <w:rFonts w:ascii="Arial" w:eastAsia="Times New Roman" w:hAnsi="Arial" w:cs="Arial"/>
          <w:color w:val="000000"/>
          <w:sz w:val="20"/>
          <w:szCs w:val="20"/>
        </w:rPr>
        <w:t>The information required by this Item will be contained in our Form 10</w:t>
      </w:r>
      <w:r>
        <w:rPr>
          <w:rFonts w:ascii="Arial" w:eastAsia="Times New Roman" w:hAnsi="Arial" w:cs="Arial"/>
          <w:color w:val="000000"/>
          <w:sz w:val="20"/>
          <w:szCs w:val="20"/>
        </w:rPr>
        <w:t xml:space="preserve">-K/A, which will be filed no later than 120 days after December 31, 2021. </w:t>
      </w:r>
    </w:p>
    <w:p w:rsidR="00000000" w:rsidRDefault="001F1FC8">
      <w:pPr>
        <w:divId w:val="746465410"/>
        <w:rPr>
          <w:rFonts w:eastAsia="Times New Roman"/>
        </w:rPr>
      </w:pPr>
    </w:p>
    <w:p w:rsidR="00000000" w:rsidRDefault="001F1FC8">
      <w:pPr>
        <w:divId w:val="417752977"/>
        <w:rPr>
          <w:rFonts w:eastAsia="Times New Roman"/>
        </w:rPr>
      </w:pPr>
      <w:r>
        <w:rPr>
          <w:rFonts w:ascii="Arial" w:eastAsia="Times New Roman" w:hAnsi="Arial" w:cs="Arial"/>
          <w:b/>
          <w:bCs/>
          <w:color w:val="000000"/>
          <w:sz w:val="20"/>
          <w:szCs w:val="20"/>
        </w:rPr>
        <w:t>Recent Sales of Unregistered Equity Securities</w:t>
      </w:r>
    </w:p>
    <w:p w:rsidR="00000000" w:rsidRDefault="001F1FC8">
      <w:pPr>
        <w:divId w:val="1250239896"/>
        <w:rPr>
          <w:rFonts w:eastAsia="Times New Roman"/>
        </w:rPr>
      </w:pPr>
      <w:r>
        <w:rPr>
          <w:rFonts w:ascii="Arial" w:eastAsia="Times New Roman" w:hAnsi="Arial" w:cs="Arial"/>
          <w:color w:val="000000"/>
          <w:sz w:val="20"/>
          <w:szCs w:val="20"/>
        </w:rPr>
        <w:t>None.</w:t>
      </w:r>
    </w:p>
    <w:p w:rsidR="00000000" w:rsidRDefault="001F1FC8">
      <w:pPr>
        <w:divId w:val="1347437153"/>
        <w:rPr>
          <w:rFonts w:eastAsia="Times New Roman"/>
        </w:rPr>
      </w:pPr>
    </w:p>
    <w:p w:rsidR="00000000" w:rsidRDefault="001F1FC8">
      <w:pPr>
        <w:divId w:val="353462094"/>
        <w:rPr>
          <w:rFonts w:eastAsia="Times New Roman"/>
        </w:rPr>
      </w:pPr>
      <w:r>
        <w:rPr>
          <w:rFonts w:ascii="Arial" w:eastAsia="Times New Roman" w:hAnsi="Arial" w:cs="Arial"/>
          <w:b/>
          <w:bCs/>
          <w:color w:val="000000"/>
          <w:sz w:val="20"/>
          <w:szCs w:val="20"/>
        </w:rPr>
        <w:t>Issuer Purchases of Equity Securities</w:t>
      </w:r>
    </w:p>
    <w:p w:rsidR="00000000" w:rsidRDefault="001F1FC8">
      <w:pPr>
        <w:divId w:val="1420522294"/>
        <w:rPr>
          <w:rFonts w:eastAsia="Times New Roman"/>
        </w:rPr>
      </w:pPr>
      <w:r>
        <w:rPr>
          <w:rFonts w:ascii="Arial" w:eastAsia="Times New Roman" w:hAnsi="Arial" w:cs="Arial"/>
          <w:color w:val="000000"/>
          <w:sz w:val="20"/>
          <w:szCs w:val="20"/>
        </w:rPr>
        <w:t>None.</w:t>
      </w:r>
    </w:p>
    <w:p w:rsidR="00000000" w:rsidRDefault="001F1FC8">
      <w:pPr>
        <w:divId w:val="283659120"/>
        <w:rPr>
          <w:rFonts w:eastAsia="Times New Roman"/>
        </w:rPr>
      </w:pPr>
    </w:p>
    <w:p w:rsidR="00000000" w:rsidRDefault="001F1FC8">
      <w:pPr>
        <w:divId w:val="841819451"/>
        <w:rPr>
          <w:rFonts w:eastAsia="Times New Roman"/>
        </w:rPr>
      </w:pPr>
      <w:r>
        <w:rPr>
          <w:rFonts w:ascii="Arial" w:eastAsia="Times New Roman" w:hAnsi="Arial" w:cs="Arial"/>
          <w:b/>
          <w:bCs/>
          <w:color w:val="000000"/>
          <w:sz w:val="20"/>
          <w:szCs w:val="20"/>
        </w:rPr>
        <w:t xml:space="preserve">Total Shareholder Return </w:t>
      </w:r>
    </w:p>
    <w:p w:rsidR="00000000" w:rsidRDefault="001F1FC8">
      <w:pPr>
        <w:divId w:val="1721972698"/>
        <w:rPr>
          <w:rFonts w:eastAsia="Times New Roman"/>
        </w:rPr>
      </w:pPr>
      <w:r>
        <w:rPr>
          <w:rFonts w:ascii="Arial" w:eastAsia="Times New Roman" w:hAnsi="Arial" w:cs="Arial"/>
          <w:color w:val="000000"/>
          <w:sz w:val="20"/>
          <w:szCs w:val="20"/>
        </w:rPr>
        <w:t>The following graph reflects the comparative changes</w:t>
      </w:r>
      <w:r>
        <w:rPr>
          <w:rFonts w:ascii="Arial" w:eastAsia="Times New Roman" w:hAnsi="Arial" w:cs="Arial"/>
          <w:color w:val="000000"/>
          <w:sz w:val="20"/>
          <w:szCs w:val="20"/>
        </w:rPr>
        <w:t xml:space="preserve"> in the value from January 1, 2017 through December 31, 2021 of $100 invested in (1) Enbridge Inc.’s common shares traded on the TSX, (2) the S&amp;P/TSX Composite index, (3) the S&amp;P 500 index, (4) our US peer group (comprising CNP, D, DTE, DUK, EPD, ET, KMI, </w:t>
      </w:r>
      <w:r>
        <w:rPr>
          <w:rFonts w:ascii="Arial" w:eastAsia="Times New Roman" w:hAnsi="Arial" w:cs="Arial"/>
          <w:color w:val="000000"/>
          <w:sz w:val="20"/>
          <w:szCs w:val="20"/>
        </w:rPr>
        <w:t>MMP, NEE, NI, OKE, PAA, PCG, SO, SRE and WMB) and (5) our Canadian peer group (comprising CU, FTS, PPL and TRP). The amounts included in the table were calculated assuming the reinvestment of dividends at the time dividends were paid.</w:t>
      </w:r>
    </w:p>
    <w:p w:rsidR="00000000" w:rsidRDefault="001F1FC8">
      <w:pPr>
        <w:divId w:val="1158038898"/>
        <w:rPr>
          <w:rFonts w:eastAsia="Times New Roman"/>
        </w:rPr>
      </w:pPr>
    </w:p>
    <w:p w:rsidR="00000000" w:rsidRDefault="001F1FC8">
      <w:pPr>
        <w:divId w:val="1031494084"/>
        <w:rPr>
          <w:rFonts w:eastAsia="Times New Roman"/>
        </w:rPr>
      </w:pPr>
      <w:r>
        <w:rPr>
          <w:rFonts w:eastAsia="Times New Roman"/>
          <w:noProof/>
        </w:rPr>
        <w:drawing>
          <wp:inline distT="0" distB="0" distL="0" distR="0">
            <wp:extent cx="304800" cy="304800"/>
            <wp:effectExtent l="0" t="0" r="0" b="0"/>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000000" w:rsidRDefault="001F1FC8">
      <w:pPr>
        <w:divId w:val="1166826695"/>
        <w:rPr>
          <w:rFonts w:eastAsia="Times New Roman"/>
        </w:rPr>
      </w:pPr>
    </w:p>
    <w:p w:rsidR="00000000" w:rsidRDefault="001F1FC8">
      <w:pPr>
        <w:jc w:val="center"/>
        <w:divId w:val="1764454896"/>
        <w:rPr>
          <w:rFonts w:eastAsia="Times New Roman"/>
        </w:rPr>
      </w:pPr>
      <w:r>
        <w:rPr>
          <w:rFonts w:ascii="Arial" w:eastAsia="Times New Roman" w:hAnsi="Arial" w:cs="Arial"/>
          <w:color w:val="000000"/>
          <w:sz w:val="20"/>
          <w:szCs w:val="20"/>
        </w:rPr>
        <w:t>56</w:t>
      </w:r>
    </w:p>
    <w:p w:rsidR="00000000" w:rsidRDefault="001F1FC8">
      <w:pPr>
        <w:rPr>
          <w:rFonts w:eastAsia="Times New Roman"/>
        </w:rPr>
      </w:pPr>
      <w:r>
        <w:rPr>
          <w:rFonts w:eastAsia="Times New Roman"/>
        </w:rPr>
        <w:pict>
          <v:rect id="_x0000_i1086" style="width:0;height:1.5pt" o:hralign="center" o:hrstd="t" o:hr="t" fillcolor="#a0a0a0" stroked="f"/>
        </w:pict>
      </w:r>
    </w:p>
    <w:p w:rsidR="00000000" w:rsidRDefault="001F1FC8">
      <w:pPr>
        <w:jc w:val="center"/>
        <w:divId w:val="458184815"/>
        <w:rPr>
          <w:rFonts w:eastAsia="Times New Roman"/>
        </w:rPr>
      </w:pP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3199"/>
        <w:gridCol w:w="37"/>
        <w:gridCol w:w="69"/>
        <w:gridCol w:w="973"/>
        <w:gridCol w:w="36"/>
        <w:gridCol w:w="69"/>
        <w:gridCol w:w="679"/>
        <w:gridCol w:w="37"/>
        <w:gridCol w:w="69"/>
        <w:gridCol w:w="679"/>
        <w:gridCol w:w="36"/>
        <w:gridCol w:w="69"/>
        <w:gridCol w:w="679"/>
        <w:gridCol w:w="36"/>
        <w:gridCol w:w="69"/>
        <w:gridCol w:w="679"/>
        <w:gridCol w:w="36"/>
        <w:gridCol w:w="70"/>
        <w:gridCol w:w="680"/>
        <w:gridCol w:w="36"/>
      </w:tblGrid>
      <w:tr w:rsidR="00000000">
        <w:trPr>
          <w:divId w:val="253517632"/>
          <w:jc w:val="center"/>
        </w:trPr>
        <w:tc>
          <w:tcPr>
            <w:tcW w:w="50" w:type="pct"/>
            <w:vAlign w:val="center"/>
            <w:hideMark/>
          </w:tcPr>
          <w:p w:rsidR="00000000" w:rsidRDefault="001F1FC8">
            <w:pPr>
              <w:jc w:val="center"/>
              <w:rPr>
                <w:rFonts w:eastAsia="Times New Roman"/>
              </w:rPr>
            </w:pPr>
          </w:p>
        </w:tc>
        <w:tc>
          <w:tcPr>
            <w:tcW w:w="1932"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c>
          <w:tcPr>
            <w:tcW w:w="50" w:type="pct"/>
            <w:vAlign w:val="center"/>
            <w:hideMark/>
          </w:tcPr>
          <w:p w:rsidR="00000000" w:rsidRDefault="001F1FC8">
            <w:pPr>
              <w:rPr>
                <w:rFonts w:eastAsia="Times New Roman"/>
                <w:sz w:val="20"/>
                <w:szCs w:val="20"/>
              </w:rPr>
            </w:pPr>
          </w:p>
        </w:tc>
        <w:tc>
          <w:tcPr>
            <w:tcW w:w="594"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c>
          <w:tcPr>
            <w:tcW w:w="50" w:type="pct"/>
            <w:vAlign w:val="center"/>
            <w:hideMark/>
          </w:tcPr>
          <w:p w:rsidR="00000000" w:rsidRDefault="001F1FC8">
            <w:pPr>
              <w:rPr>
                <w:rFonts w:eastAsia="Times New Roman"/>
                <w:sz w:val="20"/>
                <w:szCs w:val="20"/>
              </w:rPr>
            </w:pPr>
          </w:p>
        </w:tc>
        <w:tc>
          <w:tcPr>
            <w:tcW w:w="417"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c>
          <w:tcPr>
            <w:tcW w:w="50" w:type="pct"/>
            <w:vAlign w:val="center"/>
            <w:hideMark/>
          </w:tcPr>
          <w:p w:rsidR="00000000" w:rsidRDefault="001F1FC8">
            <w:pPr>
              <w:rPr>
                <w:rFonts w:eastAsia="Times New Roman"/>
                <w:sz w:val="20"/>
                <w:szCs w:val="20"/>
              </w:rPr>
            </w:pPr>
          </w:p>
        </w:tc>
        <w:tc>
          <w:tcPr>
            <w:tcW w:w="417"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c>
          <w:tcPr>
            <w:tcW w:w="50" w:type="pct"/>
            <w:vAlign w:val="center"/>
            <w:hideMark/>
          </w:tcPr>
          <w:p w:rsidR="00000000" w:rsidRDefault="001F1FC8">
            <w:pPr>
              <w:rPr>
                <w:rFonts w:eastAsia="Times New Roman"/>
                <w:sz w:val="20"/>
                <w:szCs w:val="20"/>
              </w:rPr>
            </w:pPr>
          </w:p>
        </w:tc>
        <w:tc>
          <w:tcPr>
            <w:tcW w:w="417"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c>
          <w:tcPr>
            <w:tcW w:w="50" w:type="pct"/>
            <w:vAlign w:val="center"/>
            <w:hideMark/>
          </w:tcPr>
          <w:p w:rsidR="00000000" w:rsidRDefault="001F1FC8">
            <w:pPr>
              <w:rPr>
                <w:rFonts w:eastAsia="Times New Roman"/>
                <w:sz w:val="20"/>
                <w:szCs w:val="20"/>
              </w:rPr>
            </w:pPr>
          </w:p>
        </w:tc>
        <w:tc>
          <w:tcPr>
            <w:tcW w:w="417"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c>
          <w:tcPr>
            <w:tcW w:w="50" w:type="pct"/>
            <w:vAlign w:val="center"/>
            <w:hideMark/>
          </w:tcPr>
          <w:p w:rsidR="00000000" w:rsidRDefault="001F1FC8">
            <w:pPr>
              <w:rPr>
                <w:rFonts w:eastAsia="Times New Roman"/>
                <w:sz w:val="20"/>
                <w:szCs w:val="20"/>
              </w:rPr>
            </w:pPr>
          </w:p>
        </w:tc>
        <w:tc>
          <w:tcPr>
            <w:tcW w:w="417"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r>
      <w:tr w:rsidR="00000000">
        <w:trPr>
          <w:divId w:val="253517632"/>
          <w:trHeight w:val="180"/>
          <w:jc w:val="center"/>
        </w:trPr>
        <w:tc>
          <w:tcPr>
            <w:tcW w:w="0" w:type="auto"/>
            <w:gridSpan w:val="3"/>
            <w:tcMar>
              <w:top w:w="30" w:type="dxa"/>
              <w:left w:w="20" w:type="dxa"/>
              <w:bottom w:w="30" w:type="dxa"/>
              <w:right w:w="20" w:type="dxa"/>
            </w:tcMar>
            <w:vAlign w:val="bottom"/>
            <w:hideMark/>
          </w:tcPr>
          <w:p w:rsidR="00000000" w:rsidRDefault="001F1FC8">
            <w:pPr>
              <w:rPr>
                <w:rFonts w:eastAsia="Times New Roman"/>
              </w:rPr>
            </w:pPr>
            <w:r>
              <w:rPr>
                <w:rFonts w:ascii="Arial" w:eastAsia="Times New Roman" w:hAnsi="Arial" w:cs="Arial"/>
                <w:color w:val="000000"/>
                <w:sz w:val="16"/>
                <w:szCs w:val="16"/>
              </w:rPr>
              <w:t> </w:t>
            </w:r>
          </w:p>
        </w:tc>
        <w:tc>
          <w:tcPr>
            <w:tcW w:w="0" w:type="auto"/>
            <w:gridSpan w:val="3"/>
            <w:vMerge w:val="restart"/>
            <w:tcMar>
              <w:top w:w="30" w:type="dxa"/>
              <w:left w:w="20" w:type="dxa"/>
              <w:bottom w:w="30" w:type="dxa"/>
              <w:right w:w="20" w:type="dxa"/>
            </w:tcMar>
            <w:vAlign w:val="center"/>
            <w:hideMark/>
          </w:tcPr>
          <w:p w:rsidR="00000000" w:rsidRDefault="001F1FC8">
            <w:pPr>
              <w:jc w:val="right"/>
              <w:rPr>
                <w:rFonts w:eastAsia="Times New Roman"/>
              </w:rPr>
            </w:pPr>
            <w:r>
              <w:rPr>
                <w:rFonts w:ascii="Arial" w:eastAsia="Times New Roman" w:hAnsi="Arial" w:cs="Arial"/>
                <w:color w:val="000000"/>
                <w:sz w:val="16"/>
                <w:szCs w:val="16"/>
              </w:rPr>
              <w:t>January 1,</w:t>
            </w:r>
            <w:r>
              <w:rPr>
                <w:rFonts w:ascii="Arial" w:eastAsia="Times New Roman" w:hAnsi="Arial" w:cs="Arial"/>
                <w:color w:val="000000"/>
                <w:sz w:val="16"/>
                <w:szCs w:val="16"/>
              </w:rPr>
              <w:br/>
              <w:t>2017</w:t>
            </w:r>
          </w:p>
        </w:tc>
        <w:tc>
          <w:tcPr>
            <w:tcW w:w="0" w:type="auto"/>
            <w:gridSpan w:val="15"/>
            <w:tcMar>
              <w:top w:w="30" w:type="dxa"/>
              <w:left w:w="20" w:type="dxa"/>
              <w:bottom w:w="30" w:type="dxa"/>
              <w:right w:w="20" w:type="dxa"/>
            </w:tcMar>
            <w:vAlign w:val="center"/>
            <w:hideMark/>
          </w:tcPr>
          <w:p w:rsidR="00000000" w:rsidRDefault="001F1FC8">
            <w:pPr>
              <w:jc w:val="center"/>
              <w:rPr>
                <w:rFonts w:eastAsia="Times New Roman"/>
              </w:rPr>
            </w:pPr>
            <w:r>
              <w:rPr>
                <w:rFonts w:ascii="Arial" w:eastAsia="Times New Roman" w:hAnsi="Arial" w:cs="Arial"/>
                <w:color w:val="000000"/>
                <w:sz w:val="16"/>
                <w:szCs w:val="16"/>
              </w:rPr>
              <w:t>December 31,</w:t>
            </w:r>
          </w:p>
        </w:tc>
      </w:tr>
      <w:tr w:rsidR="00000000">
        <w:trPr>
          <w:divId w:val="253517632"/>
          <w:trHeight w:val="180"/>
          <w:jc w:val="center"/>
        </w:trPr>
        <w:tc>
          <w:tcPr>
            <w:tcW w:w="0" w:type="auto"/>
            <w:gridSpan w:val="3"/>
            <w:tcMar>
              <w:top w:w="30" w:type="dxa"/>
              <w:left w:w="20" w:type="dxa"/>
              <w:bottom w:w="30" w:type="dxa"/>
              <w:right w:w="20" w:type="dxa"/>
            </w:tcMar>
            <w:vAlign w:val="bottom"/>
            <w:hideMark/>
          </w:tcPr>
          <w:p w:rsidR="00000000" w:rsidRDefault="001F1FC8">
            <w:pPr>
              <w:rPr>
                <w:rFonts w:eastAsia="Times New Roman"/>
              </w:rPr>
            </w:pPr>
            <w:r>
              <w:rPr>
                <w:rFonts w:ascii="Arial" w:eastAsia="Times New Roman" w:hAnsi="Arial" w:cs="Arial"/>
                <w:color w:val="000000"/>
                <w:sz w:val="16"/>
                <w:szCs w:val="16"/>
              </w:rPr>
              <w:t> </w:t>
            </w:r>
          </w:p>
        </w:tc>
        <w:tc>
          <w:tcPr>
            <w:tcW w:w="0" w:type="auto"/>
            <w:gridSpan w:val="3"/>
            <w:vMerge/>
            <w:vAlign w:val="center"/>
            <w:hideMark/>
          </w:tcPr>
          <w:p w:rsidR="00000000" w:rsidRDefault="001F1FC8">
            <w:pPr>
              <w:rPr>
                <w:rFonts w:eastAsia="Times New Roman"/>
              </w:rPr>
            </w:pP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1F1FC8">
            <w:pPr>
              <w:jc w:val="right"/>
              <w:rPr>
                <w:rFonts w:eastAsia="Times New Roman"/>
              </w:rPr>
            </w:pPr>
            <w:r>
              <w:rPr>
                <w:rFonts w:ascii="Arial" w:eastAsia="Times New Roman" w:hAnsi="Arial" w:cs="Arial"/>
                <w:color w:val="000000"/>
                <w:sz w:val="16"/>
                <w:szCs w:val="16"/>
              </w:rPr>
              <w:t>2017</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1F1FC8">
            <w:pPr>
              <w:jc w:val="right"/>
              <w:rPr>
                <w:rFonts w:eastAsia="Times New Roman"/>
              </w:rPr>
            </w:pPr>
            <w:r>
              <w:rPr>
                <w:rFonts w:ascii="Arial" w:eastAsia="Times New Roman" w:hAnsi="Arial" w:cs="Arial"/>
                <w:color w:val="000000"/>
                <w:sz w:val="16"/>
                <w:szCs w:val="16"/>
              </w:rPr>
              <w:t>2018</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1F1FC8">
            <w:pPr>
              <w:jc w:val="right"/>
              <w:rPr>
                <w:rFonts w:eastAsia="Times New Roman"/>
              </w:rPr>
            </w:pPr>
            <w:r>
              <w:rPr>
                <w:rFonts w:ascii="Arial" w:eastAsia="Times New Roman" w:hAnsi="Arial" w:cs="Arial"/>
                <w:color w:val="000000"/>
                <w:sz w:val="16"/>
                <w:szCs w:val="16"/>
              </w:rPr>
              <w:t>2019</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1F1FC8">
            <w:pPr>
              <w:jc w:val="right"/>
              <w:rPr>
                <w:rFonts w:eastAsia="Times New Roman"/>
              </w:rPr>
            </w:pPr>
            <w:r>
              <w:rPr>
                <w:rFonts w:ascii="Arial" w:eastAsia="Times New Roman" w:hAnsi="Arial" w:cs="Arial"/>
                <w:color w:val="000000"/>
                <w:sz w:val="16"/>
                <w:szCs w:val="16"/>
              </w:rPr>
              <w:t>2020</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1F1FC8">
            <w:pPr>
              <w:jc w:val="right"/>
              <w:rPr>
                <w:rFonts w:eastAsia="Times New Roman"/>
              </w:rPr>
            </w:pPr>
            <w:r>
              <w:rPr>
                <w:rFonts w:ascii="Arial" w:eastAsia="Times New Roman" w:hAnsi="Arial" w:cs="Arial"/>
                <w:color w:val="000000"/>
                <w:sz w:val="16"/>
                <w:szCs w:val="16"/>
              </w:rPr>
              <w:t>2021</w:t>
            </w:r>
          </w:p>
        </w:tc>
      </w:tr>
      <w:tr w:rsidR="00000000">
        <w:trPr>
          <w:divId w:val="253517632"/>
          <w:jc w:val="center"/>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1F1FC8">
            <w:pPr>
              <w:rPr>
                <w:rFonts w:eastAsia="Times New Roman"/>
              </w:rPr>
            </w:pPr>
            <w:r>
              <w:rPr>
                <w:rFonts w:ascii="Arial" w:eastAsia="Times New Roman" w:hAnsi="Arial" w:cs="Arial"/>
                <w:color w:val="000000"/>
                <w:sz w:val="16"/>
                <w:szCs w:val="16"/>
              </w:rPr>
              <w:t>Enbridge Inc.</w:t>
            </w: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16"/>
                <w:szCs w:val="16"/>
              </w:rPr>
              <w:t>100.00 </w:t>
            </w:r>
          </w:p>
        </w:tc>
        <w:tc>
          <w:tcPr>
            <w:tcW w:w="0" w:type="auto"/>
            <w:tcBorders>
              <w:top w:val="single" w:sz="4" w:space="0" w:color="000000"/>
            </w:tcBorders>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16"/>
                <w:szCs w:val="16"/>
              </w:rPr>
              <w:t>91.20 </w:t>
            </w:r>
          </w:p>
        </w:tc>
        <w:tc>
          <w:tcPr>
            <w:tcW w:w="0" w:type="auto"/>
            <w:tcBorders>
              <w:top w:val="single" w:sz="4" w:space="0" w:color="000000"/>
            </w:tcBorders>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16"/>
                <w:szCs w:val="16"/>
              </w:rPr>
              <w:t>83.64 </w:t>
            </w:r>
          </w:p>
        </w:tc>
        <w:tc>
          <w:tcPr>
            <w:tcW w:w="0" w:type="auto"/>
            <w:tcBorders>
              <w:top w:val="single" w:sz="4" w:space="0" w:color="000000"/>
            </w:tcBorders>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16"/>
                <w:szCs w:val="16"/>
              </w:rPr>
              <w:t>108.32 </w:t>
            </w:r>
          </w:p>
        </w:tc>
        <w:tc>
          <w:tcPr>
            <w:tcW w:w="0" w:type="auto"/>
            <w:tcBorders>
              <w:top w:val="single" w:sz="4" w:space="0" w:color="000000"/>
            </w:tcBorders>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16"/>
                <w:szCs w:val="16"/>
              </w:rPr>
              <w:t>91.84 </w:t>
            </w:r>
          </w:p>
        </w:tc>
        <w:tc>
          <w:tcPr>
            <w:tcW w:w="0" w:type="auto"/>
            <w:tcBorders>
              <w:top w:val="single" w:sz="4" w:space="0" w:color="000000"/>
            </w:tcBorders>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16"/>
                <w:szCs w:val="16"/>
              </w:rPr>
              <w:t>119.50 </w:t>
            </w:r>
          </w:p>
        </w:tc>
        <w:tc>
          <w:tcPr>
            <w:tcW w:w="0" w:type="auto"/>
            <w:tcBorders>
              <w:top w:val="single" w:sz="4" w:space="0" w:color="000000"/>
            </w:tcBorders>
            <w:tcMar>
              <w:top w:w="30" w:type="dxa"/>
              <w:left w:w="0" w:type="dxa"/>
              <w:bottom w:w="30" w:type="dxa"/>
              <w:right w:w="20" w:type="dxa"/>
            </w:tcMar>
            <w:vAlign w:val="center"/>
            <w:hideMark/>
          </w:tcPr>
          <w:p w:rsidR="00000000" w:rsidRDefault="001F1FC8">
            <w:pPr>
              <w:jc w:val="right"/>
              <w:rPr>
                <w:rFonts w:eastAsia="Times New Roman"/>
              </w:rPr>
            </w:pPr>
          </w:p>
        </w:tc>
      </w:tr>
      <w:tr w:rsidR="00000000">
        <w:trPr>
          <w:divId w:val="253517632"/>
          <w:jc w:val="center"/>
        </w:trPr>
        <w:tc>
          <w:tcPr>
            <w:tcW w:w="0" w:type="auto"/>
            <w:gridSpan w:val="3"/>
            <w:tcMar>
              <w:top w:w="30" w:type="dxa"/>
              <w:left w:w="20" w:type="dxa"/>
              <w:bottom w:w="30" w:type="dxa"/>
              <w:right w:w="20" w:type="dxa"/>
            </w:tcMar>
            <w:vAlign w:val="center"/>
            <w:hideMark/>
          </w:tcPr>
          <w:p w:rsidR="00000000" w:rsidRDefault="001F1FC8">
            <w:pPr>
              <w:rPr>
                <w:rFonts w:eastAsia="Times New Roman"/>
              </w:rPr>
            </w:pPr>
            <w:r>
              <w:rPr>
                <w:rFonts w:ascii="Arial" w:eastAsia="Times New Roman" w:hAnsi="Arial" w:cs="Arial"/>
                <w:color w:val="000000"/>
                <w:sz w:val="16"/>
                <w:szCs w:val="16"/>
              </w:rPr>
              <w:t>S&amp;</w:t>
            </w:r>
            <w:r>
              <w:rPr>
                <w:rFonts w:ascii="Arial" w:eastAsia="Times New Roman" w:hAnsi="Arial" w:cs="Arial"/>
                <w:color w:val="000000"/>
                <w:sz w:val="16"/>
                <w:szCs w:val="16"/>
              </w:rPr>
              <w:t>P/TSX Composite</w:t>
            </w:r>
          </w:p>
        </w:tc>
        <w:tc>
          <w:tcPr>
            <w:tcW w:w="0" w:type="auto"/>
            <w:gridSpan w:val="2"/>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16"/>
                <w:szCs w:val="16"/>
              </w:rPr>
              <w:t>100.00 </w:t>
            </w:r>
          </w:p>
        </w:tc>
        <w:tc>
          <w:tcPr>
            <w:tcW w:w="0" w:type="auto"/>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16"/>
                <w:szCs w:val="16"/>
              </w:rPr>
              <w:t>109.10 </w:t>
            </w:r>
          </w:p>
        </w:tc>
        <w:tc>
          <w:tcPr>
            <w:tcW w:w="0" w:type="auto"/>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16"/>
                <w:szCs w:val="16"/>
              </w:rPr>
              <w:t>99.40 </w:t>
            </w:r>
          </w:p>
        </w:tc>
        <w:tc>
          <w:tcPr>
            <w:tcW w:w="0" w:type="auto"/>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16"/>
                <w:szCs w:val="16"/>
              </w:rPr>
              <w:t>122.14 </w:t>
            </w:r>
          </w:p>
        </w:tc>
        <w:tc>
          <w:tcPr>
            <w:tcW w:w="0" w:type="auto"/>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16"/>
                <w:szCs w:val="16"/>
              </w:rPr>
              <w:t>128.98 </w:t>
            </w:r>
          </w:p>
        </w:tc>
        <w:tc>
          <w:tcPr>
            <w:tcW w:w="0" w:type="auto"/>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16"/>
                <w:szCs w:val="16"/>
              </w:rPr>
              <w:t>161.34 </w:t>
            </w:r>
          </w:p>
        </w:tc>
        <w:tc>
          <w:tcPr>
            <w:tcW w:w="0" w:type="auto"/>
            <w:tcMar>
              <w:top w:w="30" w:type="dxa"/>
              <w:left w:w="0" w:type="dxa"/>
              <w:bottom w:w="30" w:type="dxa"/>
              <w:right w:w="20" w:type="dxa"/>
            </w:tcMar>
            <w:vAlign w:val="center"/>
            <w:hideMark/>
          </w:tcPr>
          <w:p w:rsidR="00000000" w:rsidRDefault="001F1FC8">
            <w:pPr>
              <w:jc w:val="right"/>
              <w:rPr>
                <w:rFonts w:eastAsia="Times New Roman"/>
              </w:rPr>
            </w:pPr>
          </w:p>
        </w:tc>
      </w:tr>
      <w:tr w:rsidR="00000000">
        <w:trPr>
          <w:divId w:val="253517632"/>
          <w:jc w:val="center"/>
        </w:trPr>
        <w:tc>
          <w:tcPr>
            <w:tcW w:w="0" w:type="auto"/>
            <w:gridSpan w:val="3"/>
            <w:tcMar>
              <w:top w:w="30" w:type="dxa"/>
              <w:left w:w="20" w:type="dxa"/>
              <w:bottom w:w="30" w:type="dxa"/>
              <w:right w:w="20" w:type="dxa"/>
            </w:tcMar>
            <w:vAlign w:val="center"/>
            <w:hideMark/>
          </w:tcPr>
          <w:p w:rsidR="00000000" w:rsidRDefault="001F1FC8">
            <w:pPr>
              <w:rPr>
                <w:rFonts w:eastAsia="Times New Roman"/>
              </w:rPr>
            </w:pPr>
            <w:r>
              <w:rPr>
                <w:rFonts w:ascii="Arial" w:eastAsia="Times New Roman" w:hAnsi="Arial" w:cs="Arial"/>
                <w:color w:val="000000"/>
                <w:sz w:val="16"/>
                <w:szCs w:val="16"/>
              </w:rPr>
              <w:t>S&amp;P 500 Index</w:t>
            </w:r>
          </w:p>
        </w:tc>
        <w:tc>
          <w:tcPr>
            <w:tcW w:w="0" w:type="auto"/>
            <w:gridSpan w:val="2"/>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16"/>
                <w:szCs w:val="16"/>
              </w:rPr>
              <w:t>100.00 </w:t>
            </w:r>
          </w:p>
        </w:tc>
        <w:tc>
          <w:tcPr>
            <w:tcW w:w="0" w:type="auto"/>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16"/>
                <w:szCs w:val="16"/>
              </w:rPr>
              <w:t>121.83 </w:t>
            </w:r>
          </w:p>
        </w:tc>
        <w:tc>
          <w:tcPr>
            <w:tcW w:w="0" w:type="auto"/>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16"/>
                <w:szCs w:val="16"/>
              </w:rPr>
              <w:t>116.49 </w:t>
            </w:r>
          </w:p>
        </w:tc>
        <w:tc>
          <w:tcPr>
            <w:tcW w:w="0" w:type="auto"/>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16"/>
                <w:szCs w:val="16"/>
              </w:rPr>
              <w:t>153.17 </w:t>
            </w:r>
          </w:p>
        </w:tc>
        <w:tc>
          <w:tcPr>
            <w:tcW w:w="0" w:type="auto"/>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16"/>
                <w:szCs w:val="16"/>
              </w:rPr>
              <w:t>181.35 </w:t>
            </w:r>
          </w:p>
        </w:tc>
        <w:tc>
          <w:tcPr>
            <w:tcW w:w="0" w:type="auto"/>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16"/>
                <w:szCs w:val="16"/>
              </w:rPr>
              <w:t>233.41 </w:t>
            </w:r>
          </w:p>
        </w:tc>
        <w:tc>
          <w:tcPr>
            <w:tcW w:w="0" w:type="auto"/>
            <w:tcMar>
              <w:top w:w="30" w:type="dxa"/>
              <w:left w:w="0" w:type="dxa"/>
              <w:bottom w:w="30" w:type="dxa"/>
              <w:right w:w="20" w:type="dxa"/>
            </w:tcMar>
            <w:vAlign w:val="center"/>
            <w:hideMark/>
          </w:tcPr>
          <w:p w:rsidR="00000000" w:rsidRDefault="001F1FC8">
            <w:pPr>
              <w:jc w:val="right"/>
              <w:rPr>
                <w:rFonts w:eastAsia="Times New Roman"/>
              </w:rPr>
            </w:pPr>
          </w:p>
        </w:tc>
      </w:tr>
      <w:tr w:rsidR="00000000">
        <w:trPr>
          <w:divId w:val="253517632"/>
          <w:jc w:val="center"/>
        </w:trPr>
        <w:tc>
          <w:tcPr>
            <w:tcW w:w="0" w:type="auto"/>
            <w:gridSpan w:val="3"/>
            <w:tcMar>
              <w:top w:w="30" w:type="dxa"/>
              <w:left w:w="20" w:type="dxa"/>
              <w:bottom w:w="30" w:type="dxa"/>
              <w:right w:w="20" w:type="dxa"/>
            </w:tcMar>
            <w:vAlign w:val="center"/>
            <w:hideMark/>
          </w:tcPr>
          <w:p w:rsidR="00000000" w:rsidRDefault="001F1FC8">
            <w:pPr>
              <w:divId w:val="1006010035"/>
              <w:rPr>
                <w:rFonts w:eastAsia="Times New Roman"/>
              </w:rPr>
            </w:pPr>
            <w:r>
              <w:rPr>
                <w:rFonts w:ascii="Arial" w:eastAsia="Times New Roman" w:hAnsi="Arial" w:cs="Arial"/>
                <w:color w:val="000000"/>
                <w:sz w:val="16"/>
                <w:szCs w:val="16"/>
              </w:rPr>
              <w:t>US Peer</w:t>
            </w:r>
            <w:r>
              <w:rPr>
                <w:rFonts w:ascii="Arial" w:eastAsia="Times New Roman" w:hAnsi="Arial" w:cs="Arial"/>
                <w:color w:val="000000"/>
                <w:sz w:val="16"/>
                <w:szCs w:val="16"/>
              </w:rPr>
              <w:t>s</w:t>
            </w:r>
            <w:r>
              <w:rPr>
                <w:rFonts w:ascii="Arial" w:eastAsia="Times New Roman" w:hAnsi="Arial" w:cs="Arial"/>
                <w:color w:val="000000"/>
                <w:sz w:val="9"/>
                <w:szCs w:val="9"/>
              </w:rPr>
              <w:t>1</w:t>
            </w:r>
          </w:p>
        </w:tc>
        <w:tc>
          <w:tcPr>
            <w:tcW w:w="0" w:type="auto"/>
            <w:gridSpan w:val="2"/>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16"/>
                <w:szCs w:val="16"/>
              </w:rPr>
              <w:t>100.00 </w:t>
            </w:r>
          </w:p>
        </w:tc>
        <w:tc>
          <w:tcPr>
            <w:tcW w:w="0" w:type="auto"/>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16"/>
                <w:szCs w:val="16"/>
              </w:rPr>
              <w:t>103.37 </w:t>
            </w:r>
          </w:p>
        </w:tc>
        <w:tc>
          <w:tcPr>
            <w:tcW w:w="0" w:type="auto"/>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16"/>
                <w:szCs w:val="16"/>
              </w:rPr>
              <w:t>99.41 </w:t>
            </w:r>
          </w:p>
        </w:tc>
        <w:tc>
          <w:tcPr>
            <w:tcW w:w="0" w:type="auto"/>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16"/>
                <w:szCs w:val="16"/>
              </w:rPr>
              <w:t>121.77 </w:t>
            </w:r>
          </w:p>
        </w:tc>
        <w:tc>
          <w:tcPr>
            <w:tcW w:w="0" w:type="auto"/>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16"/>
                <w:szCs w:val="16"/>
              </w:rPr>
              <w:t>107.12 </w:t>
            </w:r>
          </w:p>
        </w:tc>
        <w:tc>
          <w:tcPr>
            <w:tcW w:w="0" w:type="auto"/>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16"/>
                <w:szCs w:val="16"/>
              </w:rPr>
              <w:t>131.86 </w:t>
            </w:r>
          </w:p>
        </w:tc>
        <w:tc>
          <w:tcPr>
            <w:tcW w:w="0" w:type="auto"/>
            <w:tcMar>
              <w:top w:w="30" w:type="dxa"/>
              <w:left w:w="0" w:type="dxa"/>
              <w:bottom w:w="30" w:type="dxa"/>
              <w:right w:w="20" w:type="dxa"/>
            </w:tcMar>
            <w:vAlign w:val="center"/>
            <w:hideMark/>
          </w:tcPr>
          <w:p w:rsidR="00000000" w:rsidRDefault="001F1FC8">
            <w:pPr>
              <w:jc w:val="right"/>
              <w:rPr>
                <w:rFonts w:eastAsia="Times New Roman"/>
              </w:rPr>
            </w:pPr>
          </w:p>
        </w:tc>
      </w:tr>
      <w:tr w:rsidR="00000000">
        <w:trPr>
          <w:divId w:val="253517632"/>
          <w:jc w:val="center"/>
        </w:trPr>
        <w:tc>
          <w:tcPr>
            <w:tcW w:w="0" w:type="auto"/>
            <w:gridSpan w:val="3"/>
            <w:tcBorders>
              <w:bottom w:val="single" w:sz="12" w:space="0" w:color="000000"/>
            </w:tcBorders>
            <w:tcMar>
              <w:top w:w="30" w:type="dxa"/>
              <w:left w:w="20" w:type="dxa"/>
              <w:bottom w:w="30" w:type="dxa"/>
              <w:right w:w="20" w:type="dxa"/>
            </w:tcMar>
            <w:vAlign w:val="center"/>
            <w:hideMark/>
          </w:tcPr>
          <w:p w:rsidR="00000000" w:rsidRDefault="001F1FC8">
            <w:pPr>
              <w:rPr>
                <w:rFonts w:eastAsia="Times New Roman"/>
              </w:rPr>
            </w:pPr>
            <w:r>
              <w:rPr>
                <w:rFonts w:ascii="Arial" w:eastAsia="Times New Roman" w:hAnsi="Arial" w:cs="Arial"/>
                <w:color w:val="000000"/>
                <w:sz w:val="16"/>
                <w:szCs w:val="16"/>
              </w:rPr>
              <w:t>Canadian Peers</w:t>
            </w:r>
          </w:p>
        </w:tc>
        <w:tc>
          <w:tcPr>
            <w:tcW w:w="0" w:type="auto"/>
            <w:gridSpan w:val="2"/>
            <w:tcBorders>
              <w:bottom w:val="single" w:sz="12" w:space="0" w:color="000000"/>
            </w:tcBorders>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16"/>
                <w:szCs w:val="16"/>
              </w:rPr>
              <w:t>100.00 </w:t>
            </w:r>
          </w:p>
        </w:tc>
        <w:tc>
          <w:tcPr>
            <w:tcW w:w="0" w:type="auto"/>
            <w:tcBorders>
              <w:bottom w:val="single" w:sz="12" w:space="0" w:color="000000"/>
            </w:tcBorders>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Borders>
              <w:bottom w:val="single" w:sz="12" w:space="0" w:color="000000"/>
            </w:tcBorders>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16"/>
                <w:szCs w:val="16"/>
              </w:rPr>
              <w:t>110.39 </w:t>
            </w:r>
          </w:p>
        </w:tc>
        <w:tc>
          <w:tcPr>
            <w:tcW w:w="0" w:type="auto"/>
            <w:tcBorders>
              <w:bottom w:val="single" w:sz="12" w:space="0" w:color="000000"/>
            </w:tcBorders>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Borders>
              <w:bottom w:val="single" w:sz="12" w:space="0" w:color="000000"/>
            </w:tcBorders>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16"/>
                <w:szCs w:val="16"/>
              </w:rPr>
              <w:t>101.93 </w:t>
            </w:r>
          </w:p>
        </w:tc>
        <w:tc>
          <w:tcPr>
            <w:tcW w:w="0" w:type="auto"/>
            <w:tcBorders>
              <w:bottom w:val="single" w:sz="12" w:space="0" w:color="000000"/>
            </w:tcBorders>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Borders>
              <w:bottom w:val="single" w:sz="12" w:space="0" w:color="000000"/>
            </w:tcBorders>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16"/>
                <w:szCs w:val="16"/>
              </w:rPr>
              <w:t>133.27 </w:t>
            </w:r>
          </w:p>
        </w:tc>
        <w:tc>
          <w:tcPr>
            <w:tcW w:w="0" w:type="auto"/>
            <w:tcBorders>
              <w:bottom w:val="single" w:sz="12" w:space="0" w:color="000000"/>
            </w:tcBorders>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Borders>
              <w:bottom w:val="single" w:sz="12" w:space="0" w:color="000000"/>
            </w:tcBorders>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16"/>
                <w:szCs w:val="16"/>
              </w:rPr>
              <w:t>110.56 </w:t>
            </w:r>
          </w:p>
        </w:tc>
        <w:tc>
          <w:tcPr>
            <w:tcW w:w="0" w:type="auto"/>
            <w:tcBorders>
              <w:bottom w:val="single" w:sz="12" w:space="0" w:color="000000"/>
            </w:tcBorders>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Borders>
              <w:bottom w:val="single" w:sz="12" w:space="0" w:color="000000"/>
            </w:tcBorders>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16"/>
                <w:szCs w:val="16"/>
              </w:rPr>
              <w:t>138.14 </w:t>
            </w:r>
          </w:p>
        </w:tc>
        <w:tc>
          <w:tcPr>
            <w:tcW w:w="0" w:type="auto"/>
            <w:tcBorders>
              <w:bottom w:val="single" w:sz="12" w:space="0" w:color="000000"/>
            </w:tcBorders>
            <w:tcMar>
              <w:top w:w="30" w:type="dxa"/>
              <w:left w:w="0" w:type="dxa"/>
              <w:bottom w:w="30" w:type="dxa"/>
              <w:right w:w="20" w:type="dxa"/>
            </w:tcMar>
            <w:vAlign w:val="center"/>
            <w:hideMark/>
          </w:tcPr>
          <w:p w:rsidR="00000000" w:rsidRDefault="001F1FC8">
            <w:pPr>
              <w:jc w:val="right"/>
              <w:rPr>
                <w:rFonts w:eastAsia="Times New Roman"/>
              </w:rPr>
            </w:pPr>
          </w:p>
        </w:tc>
      </w:tr>
    </w:tbl>
    <w:p w:rsidR="00000000" w:rsidRDefault="001F1FC8">
      <w:pPr>
        <w:ind w:hanging="180"/>
        <w:divId w:val="765156974"/>
        <w:rPr>
          <w:rFonts w:eastAsia="Times New Roman"/>
        </w:rPr>
      </w:pPr>
      <w:r>
        <w:rPr>
          <w:rFonts w:ascii="Arial" w:eastAsia="Times New Roman" w:hAnsi="Arial" w:cs="Arial"/>
          <w:i/>
          <w:iCs/>
          <w:color w:val="000000"/>
          <w:sz w:val="14"/>
          <w:szCs w:val="14"/>
        </w:rPr>
        <w:t>1F</w:t>
      </w:r>
      <w:r>
        <w:rPr>
          <w:rFonts w:ascii="Arial" w:eastAsia="Times New Roman" w:hAnsi="Arial" w:cs="Arial"/>
          <w:i/>
          <w:iCs/>
          <w:color w:val="000000"/>
          <w:sz w:val="14"/>
          <w:szCs w:val="14"/>
        </w:rPr>
        <w:t>or the purpose of the graph, it was assumed that CAD:US dollar conversion ratio remained at 1:1 for the years presented.</w:t>
      </w:r>
    </w:p>
    <w:p w:rsidR="00000000" w:rsidRDefault="001F1FC8">
      <w:pPr>
        <w:ind w:firstLine="180"/>
        <w:divId w:val="1448888524"/>
        <w:rPr>
          <w:rFonts w:eastAsia="Times New Roman"/>
        </w:rPr>
      </w:pPr>
    </w:p>
    <w:p w:rsidR="00000000" w:rsidRDefault="001F1FC8">
      <w:pPr>
        <w:divId w:val="1206717055"/>
        <w:rPr>
          <w:rFonts w:eastAsia="Times New Roman"/>
        </w:rPr>
      </w:pPr>
      <w:r>
        <w:rPr>
          <w:rFonts w:ascii="Arial" w:eastAsia="Times New Roman" w:hAnsi="Arial" w:cs="Arial"/>
          <w:b/>
          <w:bCs/>
          <w:color w:val="000000"/>
          <w:sz w:val="28"/>
          <w:szCs w:val="28"/>
        </w:rPr>
        <w:t>ITEM 6. [Reserved]</w:t>
      </w:r>
    </w:p>
    <w:p w:rsidR="00000000" w:rsidRDefault="001F1FC8">
      <w:pPr>
        <w:divId w:val="729382806"/>
        <w:rPr>
          <w:rFonts w:eastAsia="Times New Roman"/>
        </w:rPr>
      </w:pPr>
    </w:p>
    <w:p w:rsidR="00000000" w:rsidRDefault="001F1FC8">
      <w:pPr>
        <w:divId w:val="1263493575"/>
        <w:rPr>
          <w:rFonts w:eastAsia="Times New Roman"/>
        </w:rPr>
      </w:pPr>
    </w:p>
    <w:p w:rsidR="00000000" w:rsidRDefault="001F1FC8">
      <w:pPr>
        <w:jc w:val="center"/>
        <w:divId w:val="1177499234"/>
        <w:rPr>
          <w:rFonts w:eastAsia="Times New Roman"/>
        </w:rPr>
      </w:pPr>
      <w:r>
        <w:rPr>
          <w:rFonts w:ascii="Arial" w:eastAsia="Times New Roman" w:hAnsi="Arial" w:cs="Arial"/>
          <w:color w:val="000000"/>
          <w:sz w:val="20"/>
          <w:szCs w:val="20"/>
        </w:rPr>
        <w:t>57</w:t>
      </w:r>
    </w:p>
    <w:p w:rsidR="00000000" w:rsidRDefault="001F1FC8">
      <w:pPr>
        <w:rPr>
          <w:rFonts w:eastAsia="Times New Roman"/>
        </w:rPr>
      </w:pPr>
      <w:r>
        <w:rPr>
          <w:rFonts w:eastAsia="Times New Roman"/>
        </w:rPr>
        <w:pict>
          <v:rect id="_x0000_i1087" style="width:0;height:1.5pt" o:hralign="center" o:hrstd="t" o:hr="t" fillcolor="#a0a0a0" stroked="f"/>
        </w:pict>
      </w:r>
    </w:p>
    <w:p w:rsidR="00000000" w:rsidRDefault="001F1FC8">
      <w:pPr>
        <w:jc w:val="center"/>
        <w:divId w:val="1479494278"/>
        <w:rPr>
          <w:rFonts w:eastAsia="Times New Roman"/>
        </w:rPr>
      </w:pPr>
    </w:p>
    <w:p w:rsidR="00000000" w:rsidRDefault="001F1FC8">
      <w:pPr>
        <w:divId w:val="565147470"/>
        <w:rPr>
          <w:rFonts w:eastAsia="Times New Roman"/>
        </w:rPr>
      </w:pPr>
      <w:r>
        <w:rPr>
          <w:rFonts w:ascii="Arial" w:eastAsia="Times New Roman" w:hAnsi="Arial" w:cs="Arial"/>
          <w:b/>
          <w:bCs/>
          <w:color w:val="000000"/>
          <w:sz w:val="28"/>
          <w:szCs w:val="28"/>
        </w:rPr>
        <w:t>ITEM 7. MANAGEMENT'S DISCUSSION AND ANALYSIS OF FINANCIAL CONDITION AND RESULTS OF OPERATIONS</w:t>
      </w:r>
    </w:p>
    <w:p w:rsidR="00000000" w:rsidRDefault="001F1FC8">
      <w:pPr>
        <w:divId w:val="318075631"/>
        <w:rPr>
          <w:rFonts w:eastAsia="Times New Roman"/>
        </w:rPr>
      </w:pPr>
    </w:p>
    <w:p w:rsidR="00000000" w:rsidRDefault="001F1FC8">
      <w:pPr>
        <w:divId w:val="1734237262"/>
        <w:rPr>
          <w:rFonts w:eastAsia="Times New Roman"/>
        </w:rPr>
      </w:pPr>
      <w:r>
        <w:rPr>
          <w:rFonts w:ascii="Arial" w:eastAsia="Times New Roman" w:hAnsi="Arial" w:cs="Arial"/>
          <w:b/>
          <w:bCs/>
          <w:color w:val="000000"/>
          <w:sz w:val="26"/>
          <w:szCs w:val="26"/>
        </w:rPr>
        <w:t>INTRODUCTION</w:t>
      </w:r>
    </w:p>
    <w:p w:rsidR="00000000" w:rsidRDefault="001F1FC8">
      <w:pPr>
        <w:divId w:val="1152677541"/>
        <w:rPr>
          <w:rFonts w:eastAsia="Times New Roman"/>
        </w:rPr>
      </w:pPr>
    </w:p>
    <w:p w:rsidR="00000000" w:rsidRDefault="001F1FC8">
      <w:pPr>
        <w:divId w:val="1332374153"/>
        <w:rPr>
          <w:rFonts w:eastAsia="Times New Roman"/>
        </w:rPr>
      </w:pPr>
      <w:r>
        <w:rPr>
          <w:rFonts w:ascii="Arial" w:eastAsia="Times New Roman" w:hAnsi="Arial" w:cs="Arial"/>
          <w:color w:val="000000"/>
          <w:sz w:val="20"/>
          <w:szCs w:val="20"/>
        </w:rPr>
        <w:t xml:space="preserve">The following discussion and analysis of our financial condition and results of operations is based on and </w:t>
      </w:r>
      <w:r>
        <w:rPr>
          <w:rFonts w:ascii="Arial" w:eastAsia="Times New Roman" w:hAnsi="Arial" w:cs="Arial"/>
          <w:color w:val="000000"/>
          <w:sz w:val="20"/>
          <w:szCs w:val="20"/>
        </w:rPr>
        <w:t xml:space="preserve">should be read in conjunction with "Forward-Looking Information" and "Non-GAAP and Other Financial Measures", Part I. </w:t>
      </w:r>
      <w:r>
        <w:rPr>
          <w:rFonts w:ascii="Arial" w:eastAsia="Times New Roman" w:hAnsi="Arial" w:cs="Arial"/>
          <w:i/>
          <w:iCs/>
          <w:color w:val="000000"/>
          <w:sz w:val="20"/>
          <w:szCs w:val="20"/>
        </w:rPr>
        <w:t>Item 1A. Risk Factors</w:t>
      </w:r>
      <w:r>
        <w:rPr>
          <w:rFonts w:ascii="Arial" w:eastAsia="Times New Roman" w:hAnsi="Arial" w:cs="Arial"/>
          <w:color w:val="000000"/>
          <w:sz w:val="20"/>
          <w:szCs w:val="20"/>
        </w:rPr>
        <w:t xml:space="preserve"> and our consolidated financial statements and the accompanying notes included in Part II. </w:t>
      </w:r>
      <w:r>
        <w:rPr>
          <w:rFonts w:ascii="Arial" w:eastAsia="Times New Roman" w:hAnsi="Arial" w:cs="Arial"/>
          <w:i/>
          <w:iCs/>
          <w:color w:val="000000"/>
          <w:sz w:val="20"/>
          <w:szCs w:val="20"/>
        </w:rPr>
        <w:t>Item 8. Financial Statemen</w:t>
      </w:r>
      <w:r>
        <w:rPr>
          <w:rFonts w:ascii="Arial" w:eastAsia="Times New Roman" w:hAnsi="Arial" w:cs="Arial"/>
          <w:i/>
          <w:iCs/>
          <w:color w:val="000000"/>
          <w:sz w:val="20"/>
          <w:szCs w:val="20"/>
        </w:rPr>
        <w:t>ts and Supplementary Data</w:t>
      </w:r>
      <w:r>
        <w:rPr>
          <w:rFonts w:ascii="Arial" w:eastAsia="Times New Roman" w:hAnsi="Arial" w:cs="Arial"/>
          <w:color w:val="000000"/>
          <w:sz w:val="20"/>
          <w:szCs w:val="20"/>
        </w:rPr>
        <w:t xml:space="preserve"> of this Annual Report on Form 10-K.</w:t>
      </w:r>
    </w:p>
    <w:p w:rsidR="00000000" w:rsidRDefault="001F1FC8">
      <w:pPr>
        <w:divId w:val="963652222"/>
        <w:rPr>
          <w:rFonts w:eastAsia="Times New Roman"/>
        </w:rPr>
      </w:pPr>
    </w:p>
    <w:p w:rsidR="00000000" w:rsidRDefault="001F1FC8">
      <w:pPr>
        <w:divId w:val="819620288"/>
        <w:rPr>
          <w:rFonts w:eastAsia="Times New Roman"/>
        </w:rPr>
      </w:pPr>
      <w:r>
        <w:rPr>
          <w:rFonts w:ascii="Arial" w:eastAsia="Times New Roman" w:hAnsi="Arial" w:cs="Arial"/>
          <w:color w:val="000000"/>
          <w:sz w:val="20"/>
          <w:szCs w:val="20"/>
        </w:rPr>
        <w:t>This section of our Annual Report on Form 10-K discusses 2021 and 2020 items and year-over-year comparisons between 2021 and 2020. For discussion of 2019 items and year-over-year comparisons b</w:t>
      </w:r>
      <w:r>
        <w:rPr>
          <w:rFonts w:ascii="Arial" w:eastAsia="Times New Roman" w:hAnsi="Arial" w:cs="Arial"/>
          <w:color w:val="000000"/>
          <w:sz w:val="20"/>
          <w:szCs w:val="20"/>
        </w:rPr>
        <w:t xml:space="preserve">etween 2020 and 2019, refer to Part II. </w:t>
      </w:r>
      <w:r>
        <w:rPr>
          <w:rFonts w:ascii="Arial" w:eastAsia="Times New Roman" w:hAnsi="Arial" w:cs="Arial"/>
          <w:i/>
          <w:iCs/>
          <w:color w:val="000000"/>
          <w:sz w:val="20"/>
          <w:szCs w:val="20"/>
        </w:rPr>
        <w:t>Item 7. Management's Discussion and Analysis of Financial Condition and Results of Operations</w:t>
      </w:r>
      <w:r>
        <w:rPr>
          <w:rFonts w:ascii="Arial" w:eastAsia="Times New Roman" w:hAnsi="Arial" w:cs="Arial"/>
          <w:color w:val="000000"/>
          <w:sz w:val="20"/>
          <w:szCs w:val="20"/>
        </w:rPr>
        <w:t xml:space="preserve"> of our Annual Report on Form 10-K for the year ended December 31, 2020.</w:t>
      </w:r>
    </w:p>
    <w:p w:rsidR="00000000" w:rsidRDefault="001F1FC8">
      <w:pPr>
        <w:divId w:val="455029259"/>
        <w:rPr>
          <w:rFonts w:eastAsia="Times New Roman"/>
        </w:rPr>
      </w:pPr>
    </w:p>
    <w:p w:rsidR="00000000" w:rsidRDefault="001F1FC8">
      <w:pPr>
        <w:divId w:val="1598252176"/>
        <w:rPr>
          <w:rFonts w:eastAsia="Times New Roman"/>
        </w:rPr>
      </w:pPr>
      <w:r>
        <w:rPr>
          <w:rFonts w:ascii="Arial" w:eastAsia="Times New Roman" w:hAnsi="Arial" w:cs="Arial"/>
          <w:b/>
          <w:bCs/>
          <w:color w:val="000000"/>
          <w:sz w:val="26"/>
          <w:szCs w:val="26"/>
        </w:rPr>
        <w:t xml:space="preserve">RECENT DEVELOPMENTS </w:t>
      </w:r>
    </w:p>
    <w:p w:rsidR="00000000" w:rsidRDefault="001F1FC8">
      <w:pPr>
        <w:divId w:val="126314630"/>
        <w:rPr>
          <w:rFonts w:eastAsia="Times New Roman"/>
        </w:rPr>
      </w:pPr>
    </w:p>
    <w:p w:rsidR="00000000" w:rsidRDefault="001F1FC8">
      <w:pPr>
        <w:divId w:val="2003927013"/>
        <w:rPr>
          <w:rFonts w:eastAsia="Times New Roman"/>
        </w:rPr>
      </w:pPr>
      <w:r>
        <w:rPr>
          <w:rFonts w:ascii="Arial" w:eastAsia="Times New Roman" w:hAnsi="Arial" w:cs="Arial"/>
          <w:b/>
          <w:bCs/>
          <w:color w:val="000000"/>
          <w:sz w:val="20"/>
          <w:szCs w:val="20"/>
        </w:rPr>
        <w:t>ACQUISITION OF MODA MIDST</w:t>
      </w:r>
      <w:r>
        <w:rPr>
          <w:rFonts w:ascii="Arial" w:eastAsia="Times New Roman" w:hAnsi="Arial" w:cs="Arial"/>
          <w:b/>
          <w:bCs/>
          <w:color w:val="000000"/>
          <w:sz w:val="20"/>
          <w:szCs w:val="20"/>
        </w:rPr>
        <w:t>REAM OPERATING, LLC</w:t>
      </w:r>
    </w:p>
    <w:p w:rsidR="00000000" w:rsidRDefault="001F1FC8">
      <w:pPr>
        <w:divId w:val="298389271"/>
        <w:rPr>
          <w:rFonts w:eastAsia="Times New Roman"/>
        </w:rPr>
      </w:pPr>
    </w:p>
    <w:p w:rsidR="00000000" w:rsidRDefault="001F1FC8">
      <w:pPr>
        <w:divId w:val="1632789156"/>
        <w:rPr>
          <w:rFonts w:eastAsia="Times New Roman"/>
        </w:rPr>
      </w:pPr>
      <w:r>
        <w:rPr>
          <w:rFonts w:ascii="Arial" w:eastAsia="Times New Roman" w:hAnsi="Arial" w:cs="Arial"/>
          <w:color w:val="000000"/>
          <w:sz w:val="20"/>
          <w:szCs w:val="20"/>
        </w:rPr>
        <w:t>On October 12, 2021, we acquired Moda Midstream Operating, LLC (Moda) for $3.7 billion (US$3.0 billion) of cash plus potential contingent payments dependent on performance of the assets (the Acquisition). Moda owns and operates a vert</w:t>
      </w:r>
      <w:r>
        <w:rPr>
          <w:rFonts w:ascii="Arial" w:eastAsia="Times New Roman" w:hAnsi="Arial" w:cs="Arial"/>
          <w:color w:val="000000"/>
          <w:sz w:val="20"/>
          <w:szCs w:val="20"/>
        </w:rPr>
        <w:t xml:space="preserve">ically-integrated crude export system of pipeline and storage assets on the US Gulf Coast, including the EIEC located near Corpus Christi, Texas. EIEC, North America's largest crude export terminal, controls 15.6 million barrels of storage and 1.6 million </w:t>
      </w:r>
      <w:r>
        <w:rPr>
          <w:rFonts w:ascii="Arial" w:eastAsia="Times New Roman" w:hAnsi="Arial" w:cs="Arial"/>
          <w:color w:val="000000"/>
          <w:sz w:val="20"/>
          <w:szCs w:val="20"/>
        </w:rPr>
        <w:t>barrels per day (mmbpd) of export capacity and volumes are underpinned by 925- thousand barrels per day (kbpd) of long-term take-or-pay vessel loading contracts and 15.3 million barrels of long-term storage contracts. The Acquisition aligns with and advanc</w:t>
      </w:r>
      <w:r>
        <w:rPr>
          <w:rFonts w:ascii="Arial" w:eastAsia="Times New Roman" w:hAnsi="Arial" w:cs="Arial"/>
          <w:color w:val="000000"/>
          <w:sz w:val="20"/>
          <w:szCs w:val="20"/>
        </w:rPr>
        <w:t xml:space="preserve">es our US Gulf Coast export strategy and connectivity to low-cost and long-lived reserves in the Permian and Eagle Ford basins. </w:t>
      </w:r>
    </w:p>
    <w:p w:rsidR="00000000" w:rsidRDefault="001F1FC8">
      <w:pPr>
        <w:divId w:val="1407143052"/>
        <w:rPr>
          <w:rFonts w:eastAsia="Times New Roman"/>
        </w:rPr>
      </w:pPr>
    </w:p>
    <w:p w:rsidR="00000000" w:rsidRDefault="001F1FC8">
      <w:pPr>
        <w:divId w:val="616523937"/>
        <w:rPr>
          <w:rFonts w:eastAsia="Times New Roman"/>
        </w:rPr>
      </w:pPr>
      <w:r>
        <w:rPr>
          <w:rFonts w:ascii="Arial" w:eastAsia="Times New Roman" w:hAnsi="Arial" w:cs="Arial"/>
          <w:b/>
          <w:bCs/>
          <w:color w:val="000000"/>
          <w:sz w:val="20"/>
          <w:szCs w:val="20"/>
        </w:rPr>
        <w:t>NORMAL COURSE ISSUER BID</w:t>
      </w:r>
    </w:p>
    <w:p w:rsidR="00000000" w:rsidRDefault="001F1FC8">
      <w:pPr>
        <w:divId w:val="486477250"/>
        <w:rPr>
          <w:rFonts w:eastAsia="Times New Roman"/>
        </w:rPr>
      </w:pPr>
    </w:p>
    <w:p w:rsidR="00000000" w:rsidRDefault="001F1FC8">
      <w:pPr>
        <w:divId w:val="1690063595"/>
        <w:rPr>
          <w:rFonts w:eastAsia="Times New Roman"/>
        </w:rPr>
      </w:pPr>
      <w:r>
        <w:rPr>
          <w:rFonts w:ascii="Arial" w:eastAsia="Times New Roman" w:hAnsi="Arial" w:cs="Arial"/>
          <w:color w:val="000000"/>
          <w:sz w:val="20"/>
          <w:szCs w:val="20"/>
        </w:rPr>
        <w:t>On December 31, 2021, we announced that the Toronto Stock Exchange (TSX) had approved our normal c</w:t>
      </w:r>
      <w:r>
        <w:rPr>
          <w:rFonts w:ascii="Arial" w:eastAsia="Times New Roman" w:hAnsi="Arial" w:cs="Arial"/>
          <w:color w:val="000000"/>
          <w:sz w:val="20"/>
          <w:szCs w:val="20"/>
        </w:rPr>
        <w:t>ourse issuer bid (NCIB) to purchase, for cancellation, up to 31,062,331 of the outstanding common shares of Enbridge to an aggregate amount of up to $1.5 billion, subject to certain restrictions on the number of common shares that may be purchased on a sin</w:t>
      </w:r>
      <w:r>
        <w:rPr>
          <w:rFonts w:ascii="Arial" w:eastAsia="Times New Roman" w:hAnsi="Arial" w:cs="Arial"/>
          <w:color w:val="000000"/>
          <w:sz w:val="20"/>
          <w:szCs w:val="20"/>
        </w:rPr>
        <w:t>gle day.</w:t>
      </w:r>
    </w:p>
    <w:p w:rsidR="00000000" w:rsidRDefault="001F1FC8">
      <w:pPr>
        <w:divId w:val="778990855"/>
        <w:rPr>
          <w:rFonts w:eastAsia="Times New Roman"/>
        </w:rPr>
      </w:pPr>
    </w:p>
    <w:p w:rsidR="00000000" w:rsidRDefault="001F1FC8">
      <w:pPr>
        <w:divId w:val="1227451720"/>
        <w:rPr>
          <w:rFonts w:eastAsia="Times New Roman"/>
        </w:rPr>
      </w:pPr>
      <w:r>
        <w:rPr>
          <w:rFonts w:ascii="Arial" w:eastAsia="Times New Roman" w:hAnsi="Arial" w:cs="Arial"/>
          <w:color w:val="000000"/>
          <w:sz w:val="20"/>
          <w:szCs w:val="20"/>
        </w:rPr>
        <w:t>Purchases under the NCIB may be made through the facilities of the TSX, the New York Stock Exchange (NYSE) and other designated exchanges and alternative trading systems, commencing on January 5, 2022 and continuing until January 4, 2023, when t</w:t>
      </w:r>
      <w:r>
        <w:rPr>
          <w:rFonts w:ascii="Arial" w:eastAsia="Times New Roman" w:hAnsi="Arial" w:cs="Arial"/>
          <w:color w:val="000000"/>
          <w:sz w:val="20"/>
          <w:szCs w:val="20"/>
        </w:rPr>
        <w:t>he bid expires, or such earlier date on which Enbridge has either acquired the maximum number of common shares allowable under the NCIB or otherwise decide not to make any further repurchases under the NCIB. The maximum number of common shares that Enbridg</w:t>
      </w:r>
      <w:r>
        <w:rPr>
          <w:rFonts w:ascii="Arial" w:eastAsia="Times New Roman" w:hAnsi="Arial" w:cs="Arial"/>
          <w:color w:val="000000"/>
          <w:sz w:val="20"/>
          <w:szCs w:val="20"/>
        </w:rPr>
        <w:t>e may repurchase for cancellation represents approximately 1.53% of the 2,026,085,179 common shares issued and outstanding as at December 22, 2021.</w:t>
      </w:r>
    </w:p>
    <w:p w:rsidR="00000000" w:rsidRDefault="001F1FC8">
      <w:pPr>
        <w:divId w:val="485173440"/>
        <w:rPr>
          <w:rFonts w:eastAsia="Times New Roman"/>
        </w:rPr>
      </w:pPr>
    </w:p>
    <w:p w:rsidR="00000000" w:rsidRDefault="001F1FC8">
      <w:pPr>
        <w:jc w:val="center"/>
        <w:divId w:val="1796100483"/>
        <w:rPr>
          <w:rFonts w:eastAsia="Times New Roman"/>
        </w:rPr>
      </w:pPr>
      <w:r>
        <w:rPr>
          <w:rFonts w:ascii="Arial" w:eastAsia="Times New Roman" w:hAnsi="Arial" w:cs="Arial"/>
          <w:color w:val="000000"/>
          <w:sz w:val="20"/>
          <w:szCs w:val="20"/>
        </w:rPr>
        <w:t>58</w:t>
      </w:r>
    </w:p>
    <w:p w:rsidR="00000000" w:rsidRDefault="001F1FC8">
      <w:pPr>
        <w:rPr>
          <w:rFonts w:eastAsia="Times New Roman"/>
        </w:rPr>
      </w:pPr>
      <w:r>
        <w:rPr>
          <w:rFonts w:eastAsia="Times New Roman"/>
        </w:rPr>
        <w:pict>
          <v:rect id="_x0000_i1088" style="width:0;height:1.5pt" o:hralign="center" o:hrstd="t" o:hr="t" fillcolor="#a0a0a0" stroked="f"/>
        </w:pict>
      </w:r>
    </w:p>
    <w:p w:rsidR="00000000" w:rsidRDefault="001F1FC8">
      <w:pPr>
        <w:jc w:val="center"/>
        <w:divId w:val="1244030887"/>
        <w:rPr>
          <w:rFonts w:eastAsia="Times New Roman"/>
        </w:rPr>
      </w:pPr>
    </w:p>
    <w:p w:rsidR="00000000" w:rsidRDefault="001F1FC8">
      <w:pPr>
        <w:divId w:val="248924504"/>
        <w:rPr>
          <w:rFonts w:eastAsia="Times New Roman"/>
        </w:rPr>
      </w:pPr>
      <w:r>
        <w:rPr>
          <w:rFonts w:ascii="Arial" w:eastAsia="Times New Roman" w:hAnsi="Arial" w:cs="Arial"/>
          <w:b/>
          <w:bCs/>
          <w:color w:val="000000"/>
          <w:sz w:val="20"/>
          <w:szCs w:val="20"/>
        </w:rPr>
        <w:t xml:space="preserve">MAINLINE SYSTEM CONTRACTING </w:t>
      </w:r>
    </w:p>
    <w:p w:rsidR="00000000" w:rsidRDefault="001F1FC8">
      <w:pPr>
        <w:divId w:val="1071349361"/>
        <w:rPr>
          <w:rFonts w:eastAsia="Times New Roman"/>
        </w:rPr>
      </w:pPr>
    </w:p>
    <w:p w:rsidR="00000000" w:rsidRDefault="001F1FC8">
      <w:pPr>
        <w:divId w:val="1456101163"/>
        <w:rPr>
          <w:rFonts w:eastAsia="Times New Roman"/>
        </w:rPr>
      </w:pPr>
      <w:r>
        <w:rPr>
          <w:rFonts w:ascii="Arial" w:eastAsia="Times New Roman" w:hAnsi="Arial" w:cs="Arial"/>
          <w:color w:val="000000"/>
          <w:sz w:val="20"/>
          <w:szCs w:val="20"/>
        </w:rPr>
        <w:t>On December 19, 2019, we submitted an application to the Canada Energy Regulator (CER) to implement contracting on our Canadian Mainline System. On November 26, 2021, the CER denied the a</w:t>
      </w:r>
      <w:r>
        <w:rPr>
          <w:rFonts w:ascii="Arial" w:eastAsia="Times New Roman" w:hAnsi="Arial" w:cs="Arial"/>
          <w:color w:val="000000"/>
          <w:sz w:val="20"/>
          <w:szCs w:val="20"/>
        </w:rPr>
        <w:t>pplication on the basis that, among other things, contracting as proposed would result in a significant change to access the Canadian Mainline and potentially inequitable outcomes to some shippers and non-shippers without a compelling justification.</w:t>
      </w:r>
    </w:p>
    <w:p w:rsidR="00000000" w:rsidRDefault="001F1FC8">
      <w:pPr>
        <w:divId w:val="927234258"/>
        <w:rPr>
          <w:rFonts w:eastAsia="Times New Roman"/>
        </w:rPr>
      </w:pPr>
    </w:p>
    <w:p w:rsidR="00000000" w:rsidRDefault="001F1FC8">
      <w:pPr>
        <w:divId w:val="1088771314"/>
        <w:rPr>
          <w:rFonts w:eastAsia="Times New Roman"/>
        </w:rPr>
      </w:pPr>
      <w:r>
        <w:rPr>
          <w:rFonts w:ascii="Arial" w:eastAsia="Times New Roman" w:hAnsi="Arial" w:cs="Arial"/>
          <w:color w:val="000000"/>
          <w:sz w:val="20"/>
          <w:szCs w:val="20"/>
        </w:rPr>
        <w:t>We a</w:t>
      </w:r>
      <w:r>
        <w:rPr>
          <w:rFonts w:ascii="Arial" w:eastAsia="Times New Roman" w:hAnsi="Arial" w:cs="Arial"/>
          <w:color w:val="000000"/>
          <w:sz w:val="20"/>
          <w:szCs w:val="20"/>
        </w:rPr>
        <w:t>re currently exploring with customers and other stakeholders alternatives that may include: a modified and extended Competitive toll Settlement (CTS), a new incentive rate-making agreement or a cost-of-service rate-making structure. Any negotiated settleme</w:t>
      </w:r>
      <w:r>
        <w:rPr>
          <w:rFonts w:ascii="Arial" w:eastAsia="Times New Roman" w:hAnsi="Arial" w:cs="Arial"/>
          <w:color w:val="000000"/>
          <w:sz w:val="20"/>
          <w:szCs w:val="20"/>
        </w:rPr>
        <w:t>nt would require CER approval before implementation.</w:t>
      </w:r>
    </w:p>
    <w:p w:rsidR="00000000" w:rsidRDefault="001F1FC8">
      <w:pPr>
        <w:divId w:val="1573464181"/>
        <w:rPr>
          <w:rFonts w:eastAsia="Times New Roman"/>
        </w:rPr>
      </w:pPr>
    </w:p>
    <w:p w:rsidR="00000000" w:rsidRDefault="001F1FC8">
      <w:pPr>
        <w:divId w:val="875889262"/>
        <w:rPr>
          <w:rFonts w:eastAsia="Times New Roman"/>
        </w:rPr>
      </w:pPr>
      <w:r>
        <w:rPr>
          <w:rFonts w:ascii="Arial" w:eastAsia="Times New Roman" w:hAnsi="Arial" w:cs="Arial"/>
          <w:color w:val="000000"/>
          <w:sz w:val="20"/>
          <w:szCs w:val="20"/>
        </w:rPr>
        <w:t xml:space="preserve">In accordance with the terms of the CTS, which expired on June 30, 2021, the tolls in place on June 30, 2021 will continue on an interim basis, subject to finalization and adjustment applicable to the </w:t>
      </w:r>
      <w:r>
        <w:rPr>
          <w:rFonts w:ascii="Arial" w:eastAsia="Times New Roman" w:hAnsi="Arial" w:cs="Arial"/>
          <w:color w:val="000000"/>
          <w:sz w:val="20"/>
          <w:szCs w:val="20"/>
        </w:rPr>
        <w:t>interim period, if any.</w:t>
      </w:r>
    </w:p>
    <w:p w:rsidR="00000000" w:rsidRDefault="001F1FC8">
      <w:pPr>
        <w:divId w:val="775295319"/>
        <w:rPr>
          <w:rFonts w:eastAsia="Times New Roman"/>
        </w:rPr>
      </w:pPr>
    </w:p>
    <w:p w:rsidR="00000000" w:rsidRDefault="001F1FC8">
      <w:pPr>
        <w:divId w:val="1241407403"/>
        <w:rPr>
          <w:rFonts w:eastAsia="Times New Roman"/>
        </w:rPr>
      </w:pPr>
      <w:r>
        <w:rPr>
          <w:rFonts w:ascii="Arial" w:eastAsia="Times New Roman" w:hAnsi="Arial" w:cs="Arial"/>
          <w:b/>
          <w:bCs/>
          <w:color w:val="000000"/>
          <w:sz w:val="20"/>
          <w:szCs w:val="20"/>
        </w:rPr>
        <w:t>GAS TRANSMISSION AND MIDSTREAM RATE PROCEEDINGS</w:t>
      </w:r>
    </w:p>
    <w:p w:rsidR="00000000" w:rsidRDefault="001F1FC8">
      <w:pPr>
        <w:divId w:val="1291205410"/>
        <w:rPr>
          <w:rFonts w:eastAsia="Times New Roman"/>
        </w:rPr>
      </w:pPr>
    </w:p>
    <w:p w:rsidR="00000000" w:rsidRDefault="001F1FC8">
      <w:pPr>
        <w:divId w:val="257182508"/>
        <w:rPr>
          <w:rFonts w:eastAsia="Times New Roman"/>
        </w:rPr>
      </w:pPr>
      <w:r>
        <w:rPr>
          <w:rFonts w:ascii="Arial" w:eastAsia="Times New Roman" w:hAnsi="Arial" w:cs="Arial"/>
          <w:b/>
          <w:bCs/>
          <w:color w:val="000000"/>
          <w:sz w:val="20"/>
          <w:szCs w:val="20"/>
        </w:rPr>
        <w:t>Texas Eastern Transmission</w:t>
      </w:r>
    </w:p>
    <w:p w:rsidR="00000000" w:rsidRDefault="001F1FC8">
      <w:pPr>
        <w:divId w:val="1855920573"/>
        <w:rPr>
          <w:rFonts w:eastAsia="Times New Roman"/>
        </w:rPr>
      </w:pPr>
      <w:r>
        <w:rPr>
          <w:rFonts w:ascii="Arial" w:eastAsia="Times New Roman" w:hAnsi="Arial" w:cs="Arial"/>
          <w:color w:val="000000"/>
          <w:sz w:val="20"/>
          <w:szCs w:val="20"/>
        </w:rPr>
        <w:t>Texas Eastern Transmission, LP (Texas Eastern) filed a rate case on July 30, 2021. On August 31, 2021 the Federal Energy Regulatory Commission (FERC) iss</w:t>
      </w:r>
      <w:r>
        <w:rPr>
          <w:rFonts w:ascii="Arial" w:eastAsia="Times New Roman" w:hAnsi="Arial" w:cs="Arial"/>
          <w:color w:val="000000"/>
          <w:sz w:val="20"/>
          <w:szCs w:val="20"/>
        </w:rPr>
        <w:t>ued an order rejecting the July 30, 2021 filing in its entirety noting the proposed US federal income tax rate in the filing was not known and measurable (“August 2021 Order”). Additionally, the August 31, 2021 order directed Texas Eastern to show cause th</w:t>
      </w:r>
      <w:r>
        <w:rPr>
          <w:rFonts w:ascii="Arial" w:eastAsia="Times New Roman" w:hAnsi="Arial" w:cs="Arial"/>
          <w:color w:val="000000"/>
          <w:sz w:val="20"/>
          <w:szCs w:val="20"/>
        </w:rPr>
        <w:t xml:space="preserve">at its reservation charge crediting process is in accordance with FERC policy. </w:t>
      </w:r>
    </w:p>
    <w:p w:rsidR="00000000" w:rsidRDefault="001F1FC8">
      <w:pPr>
        <w:divId w:val="1872183863"/>
        <w:rPr>
          <w:rFonts w:eastAsia="Times New Roman"/>
        </w:rPr>
      </w:pPr>
    </w:p>
    <w:p w:rsidR="00000000" w:rsidRDefault="001F1FC8">
      <w:pPr>
        <w:divId w:val="1104417459"/>
        <w:rPr>
          <w:rFonts w:eastAsia="Times New Roman"/>
        </w:rPr>
      </w:pPr>
      <w:r>
        <w:rPr>
          <w:rFonts w:ascii="Arial" w:eastAsia="Times New Roman" w:hAnsi="Arial" w:cs="Arial"/>
          <w:color w:val="000000"/>
          <w:sz w:val="20"/>
          <w:szCs w:val="20"/>
        </w:rPr>
        <w:t xml:space="preserve">In response to the August 2021 Order, on September 30, 2021 Texas Eastern responded to the show cause directive and filed a new rate case using the current US federal income </w:t>
      </w:r>
      <w:r>
        <w:rPr>
          <w:rFonts w:ascii="Arial" w:eastAsia="Times New Roman" w:hAnsi="Arial" w:cs="Arial"/>
          <w:color w:val="000000"/>
          <w:sz w:val="20"/>
          <w:szCs w:val="20"/>
        </w:rPr>
        <w:t xml:space="preserve">tax rate. On October 29, 2021, the FERC issued an order accepting and suspending tariff records, subject to refund, conditions, and establishing hearing procedures for the new rate case filed on September 30, 2021. </w:t>
      </w:r>
    </w:p>
    <w:p w:rsidR="00000000" w:rsidRDefault="001F1FC8">
      <w:pPr>
        <w:divId w:val="1964925014"/>
        <w:rPr>
          <w:rFonts w:eastAsia="Times New Roman"/>
        </w:rPr>
      </w:pPr>
    </w:p>
    <w:p w:rsidR="00000000" w:rsidRDefault="001F1FC8">
      <w:pPr>
        <w:divId w:val="1933004223"/>
        <w:rPr>
          <w:rFonts w:eastAsia="Times New Roman"/>
        </w:rPr>
      </w:pPr>
      <w:r>
        <w:rPr>
          <w:rFonts w:ascii="Arial" w:eastAsia="Times New Roman" w:hAnsi="Arial" w:cs="Arial"/>
          <w:color w:val="000000"/>
          <w:sz w:val="20"/>
          <w:szCs w:val="20"/>
        </w:rPr>
        <w:t>Texas Eastern also filed for rehearing</w:t>
      </w:r>
      <w:r>
        <w:rPr>
          <w:rFonts w:ascii="Arial" w:eastAsia="Times New Roman" w:hAnsi="Arial" w:cs="Arial"/>
          <w:color w:val="000000"/>
          <w:sz w:val="20"/>
          <w:szCs w:val="20"/>
        </w:rPr>
        <w:t xml:space="preserve"> of the August 2021 Order. On January 20, 2022 the FERC issued an “Order Addressing Arguments Raised On Rehearing And Setting Aside Prior Order, In Part” (“January 2022 Order”). The January 2022 Order set aside the August 2021 Order, and accepted and suspe</w:t>
      </w:r>
      <w:r>
        <w:rPr>
          <w:rFonts w:ascii="Arial" w:eastAsia="Times New Roman" w:hAnsi="Arial" w:cs="Arial"/>
          <w:color w:val="000000"/>
          <w:sz w:val="20"/>
          <w:szCs w:val="20"/>
        </w:rPr>
        <w:t>nded Texas Eastern’s proposed rates from its initial rate case filing to be effective upon motion on February 1, 2022, subject to refund, conditions, and the outcome of hearing proceedings. In addition, the January 2022 Order directed Texas Eastern to remo</w:t>
      </w:r>
      <w:r>
        <w:rPr>
          <w:rFonts w:ascii="Arial" w:eastAsia="Times New Roman" w:hAnsi="Arial" w:cs="Arial"/>
          <w:color w:val="000000"/>
          <w:sz w:val="20"/>
          <w:szCs w:val="20"/>
        </w:rPr>
        <w:t>ve its proposed income tax adjustment and include the actual tax rate in the computation of its rates when it files to motion the suspended rates into effect.</w:t>
      </w:r>
    </w:p>
    <w:p w:rsidR="00000000" w:rsidRDefault="001F1FC8">
      <w:pPr>
        <w:divId w:val="621769790"/>
        <w:rPr>
          <w:rFonts w:eastAsia="Times New Roman"/>
        </w:rPr>
      </w:pPr>
    </w:p>
    <w:p w:rsidR="00000000" w:rsidRDefault="001F1FC8">
      <w:pPr>
        <w:divId w:val="269093371"/>
        <w:rPr>
          <w:rFonts w:eastAsia="Times New Roman"/>
        </w:rPr>
      </w:pPr>
      <w:r>
        <w:rPr>
          <w:rFonts w:ascii="Arial" w:eastAsia="Times New Roman" w:hAnsi="Arial" w:cs="Arial"/>
          <w:color w:val="000000"/>
          <w:sz w:val="20"/>
          <w:szCs w:val="20"/>
        </w:rPr>
        <w:t>Finally, the FERC left to the discretion of the Chief Administrative Law Judge whether to conso</w:t>
      </w:r>
      <w:r>
        <w:rPr>
          <w:rFonts w:ascii="Arial" w:eastAsia="Times New Roman" w:hAnsi="Arial" w:cs="Arial"/>
          <w:color w:val="000000"/>
          <w:sz w:val="20"/>
          <w:szCs w:val="20"/>
        </w:rPr>
        <w:t xml:space="preserve">lidate the two rate case proceedings. </w:t>
      </w:r>
    </w:p>
    <w:p w:rsidR="00000000" w:rsidRDefault="001F1FC8">
      <w:pPr>
        <w:divId w:val="1736080165"/>
        <w:rPr>
          <w:rFonts w:eastAsia="Times New Roman"/>
        </w:rPr>
      </w:pPr>
    </w:p>
    <w:p w:rsidR="00000000" w:rsidRDefault="001F1FC8">
      <w:pPr>
        <w:divId w:val="1606376413"/>
        <w:rPr>
          <w:rFonts w:eastAsia="Times New Roman"/>
        </w:rPr>
      </w:pPr>
      <w:r>
        <w:rPr>
          <w:rFonts w:ascii="Arial" w:eastAsia="Times New Roman" w:hAnsi="Arial" w:cs="Arial"/>
          <w:b/>
          <w:bCs/>
          <w:color w:val="000000"/>
          <w:sz w:val="20"/>
          <w:szCs w:val="20"/>
        </w:rPr>
        <w:t>East Tennessee</w:t>
      </w:r>
    </w:p>
    <w:p w:rsidR="00000000" w:rsidRDefault="001F1FC8">
      <w:pPr>
        <w:divId w:val="1298414304"/>
        <w:rPr>
          <w:rFonts w:eastAsia="Times New Roman"/>
        </w:rPr>
      </w:pPr>
      <w:r>
        <w:rPr>
          <w:rFonts w:ascii="Arial" w:eastAsia="Times New Roman" w:hAnsi="Arial" w:cs="Arial"/>
          <w:color w:val="000000"/>
          <w:sz w:val="20"/>
          <w:szCs w:val="20"/>
        </w:rPr>
        <w:t xml:space="preserve">East Tennessee Natural Gas, LLC (ETNG) filed a rate case in the second quarter of 2020 and an agreement in principle was reached with shippers in April 2021. A Stipulation and Agreement was filed on May 21, 2021, approved by the FERC on September 10, 2021 </w:t>
      </w:r>
      <w:r>
        <w:rPr>
          <w:rFonts w:ascii="Arial" w:eastAsia="Times New Roman" w:hAnsi="Arial" w:cs="Arial"/>
          <w:color w:val="000000"/>
          <w:sz w:val="20"/>
          <w:szCs w:val="20"/>
        </w:rPr>
        <w:t>and was effective on November 1, 2021.</w:t>
      </w:r>
    </w:p>
    <w:p w:rsidR="00000000" w:rsidRDefault="001F1FC8">
      <w:pPr>
        <w:divId w:val="1296985654"/>
        <w:rPr>
          <w:rFonts w:eastAsia="Times New Roman"/>
        </w:rPr>
      </w:pPr>
    </w:p>
    <w:p w:rsidR="00000000" w:rsidRDefault="001F1FC8">
      <w:pPr>
        <w:divId w:val="868878647"/>
        <w:rPr>
          <w:rFonts w:eastAsia="Times New Roman"/>
        </w:rPr>
      </w:pPr>
      <w:r>
        <w:rPr>
          <w:rFonts w:ascii="Arial" w:eastAsia="Times New Roman" w:hAnsi="Arial" w:cs="Arial"/>
          <w:b/>
          <w:bCs/>
          <w:color w:val="000000"/>
          <w:sz w:val="20"/>
          <w:szCs w:val="20"/>
        </w:rPr>
        <w:t>Maritimes &amp; Northeast Pipeline</w:t>
      </w:r>
    </w:p>
    <w:p w:rsidR="00000000" w:rsidRDefault="001F1FC8">
      <w:pPr>
        <w:divId w:val="381490011"/>
        <w:rPr>
          <w:rFonts w:eastAsia="Times New Roman"/>
        </w:rPr>
      </w:pPr>
      <w:r>
        <w:rPr>
          <w:rFonts w:ascii="Arial" w:eastAsia="Times New Roman" w:hAnsi="Arial" w:cs="Arial"/>
          <w:color w:val="000000"/>
          <w:sz w:val="20"/>
          <w:szCs w:val="20"/>
        </w:rPr>
        <w:t>The US portion of Maritimes &amp; Northeast Pipeline filed a rate case in the second quarter of 2020 and an agreement in principle was reached with shippers in December 2020. A Stipulation</w:t>
      </w:r>
      <w:r>
        <w:rPr>
          <w:rFonts w:ascii="Arial" w:eastAsia="Times New Roman" w:hAnsi="Arial" w:cs="Arial"/>
          <w:color w:val="000000"/>
          <w:sz w:val="20"/>
          <w:szCs w:val="20"/>
        </w:rPr>
        <w:t xml:space="preserve"> and Agreement was filed on February 17, 2021, approved by the FERC on April 30, 2021 and was effective on June 1, 2021. In December 2021, the CER approved interim rates for the Canadian portion of Maritimes &amp; Northeast Pipeline effective January 1, 2022, </w:t>
      </w:r>
      <w:r>
        <w:rPr>
          <w:rFonts w:ascii="Arial" w:eastAsia="Times New Roman" w:hAnsi="Arial" w:cs="Arial"/>
          <w:color w:val="000000"/>
          <w:sz w:val="20"/>
          <w:szCs w:val="20"/>
        </w:rPr>
        <w:t xml:space="preserve">which were based on the negotiated 2022 rates in the 2022-2023 settlement agreement and unanimously supported by shippers. A decision from the CER on the 2022-2023 settlement agreement is expected in the first quarter of 2022. </w:t>
      </w:r>
    </w:p>
    <w:p w:rsidR="00000000" w:rsidRDefault="001F1FC8">
      <w:pPr>
        <w:divId w:val="228424070"/>
        <w:rPr>
          <w:rFonts w:eastAsia="Times New Roman"/>
        </w:rPr>
      </w:pPr>
    </w:p>
    <w:p w:rsidR="00000000" w:rsidRDefault="001F1FC8">
      <w:pPr>
        <w:jc w:val="center"/>
        <w:divId w:val="603536648"/>
        <w:rPr>
          <w:rFonts w:eastAsia="Times New Roman"/>
        </w:rPr>
      </w:pPr>
      <w:r>
        <w:rPr>
          <w:rFonts w:ascii="Arial" w:eastAsia="Times New Roman" w:hAnsi="Arial" w:cs="Arial"/>
          <w:color w:val="000000"/>
          <w:sz w:val="20"/>
          <w:szCs w:val="20"/>
        </w:rPr>
        <w:t>59</w:t>
      </w:r>
    </w:p>
    <w:p w:rsidR="00000000" w:rsidRDefault="001F1FC8">
      <w:pPr>
        <w:rPr>
          <w:rFonts w:eastAsia="Times New Roman"/>
        </w:rPr>
      </w:pPr>
      <w:r>
        <w:rPr>
          <w:rFonts w:eastAsia="Times New Roman"/>
        </w:rPr>
        <w:pict>
          <v:rect id="_x0000_i1089" style="width:0;height:1.5pt" o:hralign="center" o:hrstd="t" o:hr="t" fillcolor="#a0a0a0" stroked="f"/>
        </w:pict>
      </w:r>
    </w:p>
    <w:p w:rsidR="00000000" w:rsidRDefault="001F1FC8">
      <w:pPr>
        <w:jc w:val="center"/>
        <w:divId w:val="1687706762"/>
        <w:rPr>
          <w:rFonts w:eastAsia="Times New Roman"/>
        </w:rPr>
      </w:pPr>
    </w:p>
    <w:p w:rsidR="00000000" w:rsidRDefault="001F1FC8">
      <w:pPr>
        <w:divId w:val="1045565754"/>
        <w:rPr>
          <w:rFonts w:eastAsia="Times New Roman"/>
        </w:rPr>
      </w:pPr>
      <w:r>
        <w:rPr>
          <w:rFonts w:ascii="Arial" w:eastAsia="Times New Roman" w:hAnsi="Arial" w:cs="Arial"/>
          <w:b/>
          <w:bCs/>
          <w:color w:val="000000"/>
          <w:sz w:val="20"/>
          <w:szCs w:val="20"/>
        </w:rPr>
        <w:t>Alliance Pipeline</w:t>
      </w:r>
    </w:p>
    <w:p w:rsidR="00000000" w:rsidRDefault="001F1FC8">
      <w:pPr>
        <w:divId w:val="1570462846"/>
        <w:rPr>
          <w:rFonts w:eastAsia="Times New Roman"/>
        </w:rPr>
      </w:pPr>
      <w:r>
        <w:rPr>
          <w:rFonts w:ascii="Arial" w:eastAsia="Times New Roman" w:hAnsi="Arial" w:cs="Arial"/>
          <w:color w:val="000000"/>
          <w:sz w:val="20"/>
          <w:szCs w:val="20"/>
        </w:rPr>
        <w:t>The US portion of Alliance Pipeline filed a rate case in the second quarter of 2020 and an agreement in principle was reached with shippers in January 2021. A Stipulation and Agreement was filed on Ma</w:t>
      </w:r>
      <w:r>
        <w:rPr>
          <w:rFonts w:ascii="Arial" w:eastAsia="Times New Roman" w:hAnsi="Arial" w:cs="Arial"/>
          <w:color w:val="000000"/>
          <w:sz w:val="20"/>
          <w:szCs w:val="20"/>
        </w:rPr>
        <w:t>rch 31, 2021, approved by the FERC on July 15, 2021 and was effective on September 1, 2021.</w:t>
      </w:r>
    </w:p>
    <w:p w:rsidR="00000000" w:rsidRDefault="001F1FC8">
      <w:pPr>
        <w:divId w:val="1744788748"/>
        <w:rPr>
          <w:rFonts w:eastAsia="Times New Roman"/>
        </w:rPr>
      </w:pPr>
    </w:p>
    <w:p w:rsidR="00000000" w:rsidRDefault="001F1FC8">
      <w:pPr>
        <w:divId w:val="855924971"/>
        <w:rPr>
          <w:rFonts w:eastAsia="Times New Roman"/>
        </w:rPr>
      </w:pPr>
      <w:r>
        <w:rPr>
          <w:rFonts w:ascii="Arial" w:eastAsia="Times New Roman" w:hAnsi="Arial" w:cs="Arial"/>
          <w:b/>
          <w:bCs/>
          <w:color w:val="000000"/>
          <w:sz w:val="20"/>
          <w:szCs w:val="20"/>
        </w:rPr>
        <w:t>British Columbia (BC) Pipeline</w:t>
      </w:r>
    </w:p>
    <w:p w:rsidR="00000000" w:rsidRDefault="001F1FC8">
      <w:pPr>
        <w:divId w:val="1129544426"/>
        <w:rPr>
          <w:rFonts w:eastAsia="Times New Roman"/>
        </w:rPr>
      </w:pPr>
      <w:r>
        <w:rPr>
          <w:rFonts w:ascii="Arial" w:eastAsia="Times New Roman" w:hAnsi="Arial" w:cs="Arial"/>
          <w:color w:val="000000"/>
          <w:sz w:val="20"/>
          <w:szCs w:val="20"/>
        </w:rPr>
        <w:t>The settlement agreement for our BC Pipeline system expired in December 2021. The CER has approved 2022 interim tolls for BC Pipeli</w:t>
      </w:r>
      <w:r>
        <w:rPr>
          <w:rFonts w:ascii="Arial" w:eastAsia="Times New Roman" w:hAnsi="Arial" w:cs="Arial"/>
          <w:color w:val="000000"/>
          <w:sz w:val="20"/>
          <w:szCs w:val="20"/>
        </w:rPr>
        <w:t>ne and settlement agreement negotiations are ongoing, with an expected agreement to be reached in the first half of 2022.</w:t>
      </w:r>
    </w:p>
    <w:p w:rsidR="00000000" w:rsidRDefault="001F1FC8">
      <w:pPr>
        <w:divId w:val="365956825"/>
        <w:rPr>
          <w:rFonts w:eastAsia="Times New Roman"/>
        </w:rPr>
      </w:pPr>
    </w:p>
    <w:p w:rsidR="00000000" w:rsidRDefault="001F1FC8">
      <w:pPr>
        <w:divId w:val="466703481"/>
        <w:rPr>
          <w:rFonts w:eastAsia="Times New Roman"/>
        </w:rPr>
      </w:pPr>
      <w:r>
        <w:rPr>
          <w:rFonts w:ascii="Arial" w:eastAsia="Times New Roman" w:hAnsi="Arial" w:cs="Arial"/>
          <w:b/>
          <w:bCs/>
          <w:color w:val="000000"/>
          <w:sz w:val="20"/>
          <w:szCs w:val="20"/>
        </w:rPr>
        <w:t>GAS DISTRIBUTION AND STORAGE RATE APPLICATIONS</w:t>
      </w:r>
    </w:p>
    <w:p w:rsidR="00000000" w:rsidRDefault="001F1FC8">
      <w:pPr>
        <w:divId w:val="1381788785"/>
        <w:rPr>
          <w:rFonts w:eastAsia="Times New Roman"/>
        </w:rPr>
      </w:pPr>
    </w:p>
    <w:p w:rsidR="00000000" w:rsidRDefault="001F1FC8">
      <w:pPr>
        <w:divId w:val="1226650513"/>
        <w:rPr>
          <w:rFonts w:eastAsia="Times New Roman"/>
        </w:rPr>
      </w:pPr>
      <w:r>
        <w:rPr>
          <w:rFonts w:ascii="Arial" w:eastAsia="Times New Roman" w:hAnsi="Arial" w:cs="Arial"/>
          <w:b/>
          <w:bCs/>
          <w:color w:val="000000"/>
          <w:sz w:val="20"/>
          <w:szCs w:val="20"/>
        </w:rPr>
        <w:t>2021 Rate Application</w:t>
      </w:r>
    </w:p>
    <w:p w:rsidR="00000000" w:rsidRDefault="001F1FC8">
      <w:pPr>
        <w:divId w:val="1614752582"/>
        <w:rPr>
          <w:rFonts w:eastAsia="Times New Roman"/>
        </w:rPr>
      </w:pPr>
      <w:r>
        <w:rPr>
          <w:rFonts w:ascii="Arial" w:eastAsia="Times New Roman" w:hAnsi="Arial" w:cs="Arial"/>
          <w:color w:val="000000"/>
          <w:sz w:val="20"/>
          <w:szCs w:val="20"/>
        </w:rPr>
        <w:t>Enbridge Gas Inc.'s (Enbridge Gas) rate applications are file</w:t>
      </w:r>
      <w:r>
        <w:rPr>
          <w:rFonts w:ascii="Arial" w:eastAsia="Times New Roman" w:hAnsi="Arial" w:cs="Arial"/>
          <w:color w:val="000000"/>
          <w:sz w:val="20"/>
          <w:szCs w:val="20"/>
        </w:rPr>
        <w:t>d in two phases. As part of an Ontario Energy Board (OEB) Decision and Order issued in November 2020, Phase 1 of the application for 2021 rates (the 2021 Application), exclusive of 2021 capital investment funding requested through the incremental capital m</w:t>
      </w:r>
      <w:r>
        <w:rPr>
          <w:rFonts w:ascii="Arial" w:eastAsia="Times New Roman" w:hAnsi="Arial" w:cs="Arial"/>
          <w:color w:val="000000"/>
          <w:sz w:val="20"/>
          <w:szCs w:val="20"/>
        </w:rPr>
        <w:t>odule (ICM) mechanism, was approved on an interim basis effective January 1, 2021. Through a subsequent OEB Rate Order issued in June 2021, Phase 2 of the 2021 Application, inclusive of funding for $124 million of requested 2021 ICM amounts, was approved e</w:t>
      </w:r>
      <w:r>
        <w:rPr>
          <w:rFonts w:ascii="Arial" w:eastAsia="Times New Roman" w:hAnsi="Arial" w:cs="Arial"/>
          <w:color w:val="000000"/>
          <w:sz w:val="20"/>
          <w:szCs w:val="20"/>
        </w:rPr>
        <w:t>ffective July 1, 2021, and interim rates in effect for 2021 were made final. The 2021 Application, which represented the third year of a five-year term, was filed in accordance with the parameters of the Enbridge Gas OEB approved Price Cap Incentive Regula</w:t>
      </w:r>
      <w:r>
        <w:rPr>
          <w:rFonts w:ascii="Arial" w:eastAsia="Times New Roman" w:hAnsi="Arial" w:cs="Arial"/>
          <w:color w:val="000000"/>
          <w:sz w:val="20"/>
          <w:szCs w:val="20"/>
        </w:rPr>
        <w:t>tion (IR) rate setting mechanism.</w:t>
      </w:r>
    </w:p>
    <w:p w:rsidR="00000000" w:rsidRDefault="001F1FC8">
      <w:pPr>
        <w:divId w:val="1102334215"/>
        <w:rPr>
          <w:rFonts w:eastAsia="Times New Roman"/>
        </w:rPr>
      </w:pPr>
    </w:p>
    <w:p w:rsidR="00000000" w:rsidRDefault="001F1FC8">
      <w:pPr>
        <w:divId w:val="746222794"/>
        <w:rPr>
          <w:rFonts w:eastAsia="Times New Roman"/>
        </w:rPr>
      </w:pPr>
      <w:r>
        <w:rPr>
          <w:rFonts w:ascii="Arial" w:eastAsia="Times New Roman" w:hAnsi="Arial" w:cs="Arial"/>
          <w:b/>
          <w:bCs/>
          <w:color w:val="000000"/>
          <w:sz w:val="20"/>
          <w:szCs w:val="20"/>
        </w:rPr>
        <w:t>2022 Rate Application</w:t>
      </w:r>
    </w:p>
    <w:p w:rsidR="00000000" w:rsidRDefault="001F1FC8">
      <w:pPr>
        <w:divId w:val="430971523"/>
        <w:rPr>
          <w:rFonts w:eastAsia="Times New Roman"/>
        </w:rPr>
      </w:pPr>
      <w:r>
        <w:rPr>
          <w:rFonts w:ascii="Arial" w:eastAsia="Times New Roman" w:hAnsi="Arial" w:cs="Arial"/>
          <w:color w:val="000000"/>
          <w:sz w:val="20"/>
          <w:szCs w:val="20"/>
        </w:rPr>
        <w:t>In June 2021, Enbridge Gas filed Phase 1 of the application with the OEB for the setting of rates for 2022 (the 2022 Application). The 2022 Application was filed in accordance with the parameters of</w:t>
      </w:r>
      <w:r>
        <w:rPr>
          <w:rFonts w:ascii="Arial" w:eastAsia="Times New Roman" w:hAnsi="Arial" w:cs="Arial"/>
          <w:color w:val="000000"/>
          <w:sz w:val="20"/>
          <w:szCs w:val="20"/>
        </w:rPr>
        <w:t xml:space="preserve"> the Enbridge Gas OEB approved Price Cap IR rate setting mechanism which represents the fourth year of a five-year term. In October 2021, the OEB approved a Phase 1 Settlement Proposal and Interim Rate Order effective January 1, 2022. Phase 2 of the 2022 A</w:t>
      </w:r>
      <w:r>
        <w:rPr>
          <w:rFonts w:ascii="Arial" w:eastAsia="Times New Roman" w:hAnsi="Arial" w:cs="Arial"/>
          <w:color w:val="000000"/>
          <w:sz w:val="20"/>
          <w:szCs w:val="20"/>
        </w:rPr>
        <w:t xml:space="preserve">pplication addressing ICM funding requirements was filed in October 2021, with a decision from the OEB expected in the second quarter of 2022. </w:t>
      </w:r>
    </w:p>
    <w:p w:rsidR="00000000" w:rsidRDefault="001F1FC8">
      <w:pPr>
        <w:divId w:val="701325018"/>
        <w:rPr>
          <w:rFonts w:eastAsia="Times New Roman"/>
        </w:rPr>
      </w:pPr>
    </w:p>
    <w:p w:rsidR="00000000" w:rsidRDefault="001F1FC8">
      <w:pPr>
        <w:divId w:val="1829973485"/>
        <w:rPr>
          <w:rFonts w:eastAsia="Times New Roman"/>
        </w:rPr>
      </w:pPr>
      <w:r>
        <w:rPr>
          <w:rFonts w:ascii="Arial" w:eastAsia="Times New Roman" w:hAnsi="Arial" w:cs="Arial"/>
          <w:b/>
          <w:bCs/>
          <w:color w:val="000000"/>
          <w:sz w:val="20"/>
          <w:szCs w:val="20"/>
        </w:rPr>
        <w:t>FINANCING UPDATE</w:t>
      </w:r>
    </w:p>
    <w:p w:rsidR="00000000" w:rsidRDefault="001F1FC8">
      <w:pPr>
        <w:divId w:val="1754013359"/>
        <w:rPr>
          <w:rFonts w:eastAsia="Times New Roman"/>
        </w:rPr>
      </w:pPr>
    </w:p>
    <w:p w:rsidR="00000000" w:rsidRDefault="001F1FC8">
      <w:pPr>
        <w:divId w:val="548496845"/>
        <w:rPr>
          <w:rFonts w:eastAsia="Times New Roman"/>
        </w:rPr>
      </w:pPr>
      <w:r>
        <w:rPr>
          <w:rFonts w:ascii="Arial" w:eastAsia="Times New Roman" w:hAnsi="Arial" w:cs="Arial"/>
          <w:color w:val="000000"/>
          <w:sz w:val="20"/>
          <w:szCs w:val="20"/>
        </w:rPr>
        <w:t>We completed long-term debt issuances totaling US$3.9 billion and $3.2 billion during the y</w:t>
      </w:r>
      <w:r>
        <w:rPr>
          <w:rFonts w:ascii="Arial" w:eastAsia="Times New Roman" w:hAnsi="Arial" w:cs="Arial"/>
          <w:color w:val="000000"/>
          <w:sz w:val="20"/>
          <w:szCs w:val="20"/>
        </w:rPr>
        <w:t>ear ended December 31, 2021, including an inaugural US$1.0 billion 12-year sustainability-linked senior notes issuance in June 2021 and an inaugural $1.1 billion Canadian 12-year sustainability-linked medium-term notes issuance in September 2021. We renewe</w:t>
      </w:r>
      <w:r>
        <w:rPr>
          <w:rFonts w:ascii="Arial" w:eastAsia="Times New Roman" w:hAnsi="Arial" w:cs="Arial"/>
          <w:color w:val="000000"/>
          <w:sz w:val="20"/>
          <w:szCs w:val="20"/>
        </w:rPr>
        <w:t>d approximately $8.0 billion of our five-year credit facilities, extending the maturity date out to July 2026. We also extended approximately $10.0 billion of our 364-day extendible credit facilities to July 2022, which includes a one-year term out provisi</w:t>
      </w:r>
      <w:r>
        <w:rPr>
          <w:rFonts w:ascii="Arial" w:eastAsia="Times New Roman" w:hAnsi="Arial" w:cs="Arial"/>
          <w:color w:val="000000"/>
          <w:sz w:val="20"/>
          <w:szCs w:val="20"/>
        </w:rPr>
        <w:t>on to July 2023.</w:t>
      </w:r>
    </w:p>
    <w:p w:rsidR="00000000" w:rsidRDefault="001F1FC8">
      <w:pPr>
        <w:divId w:val="465779962"/>
        <w:rPr>
          <w:rFonts w:eastAsia="Times New Roman"/>
        </w:rPr>
      </w:pPr>
    </w:p>
    <w:p w:rsidR="00000000" w:rsidRDefault="001F1FC8">
      <w:pPr>
        <w:divId w:val="1570386835"/>
        <w:rPr>
          <w:rFonts w:eastAsia="Times New Roman"/>
        </w:rPr>
      </w:pPr>
      <w:r>
        <w:rPr>
          <w:rFonts w:ascii="Arial" w:eastAsia="Times New Roman" w:hAnsi="Arial" w:cs="Arial"/>
          <w:color w:val="000000"/>
          <w:sz w:val="20"/>
          <w:szCs w:val="20"/>
        </w:rPr>
        <w:t>Our 2021 financing activities, in combination with the asset monetization activities noted below, provide significant liquidity that we expect will enable us to fund our current portfolio of capital projects without requiring access to t</w:t>
      </w:r>
      <w:r>
        <w:rPr>
          <w:rFonts w:ascii="Arial" w:eastAsia="Times New Roman" w:hAnsi="Arial" w:cs="Arial"/>
          <w:color w:val="000000"/>
          <w:sz w:val="20"/>
          <w:szCs w:val="20"/>
        </w:rPr>
        <w:t xml:space="preserve">he capital markets for the next 12 months should market access be restricted or pricing is unattractive. Refer to </w:t>
      </w:r>
      <w:r>
        <w:rPr>
          <w:rFonts w:ascii="Arial" w:eastAsia="Times New Roman" w:hAnsi="Arial" w:cs="Arial"/>
          <w:i/>
          <w:iCs/>
          <w:color w:val="000000"/>
          <w:sz w:val="20"/>
          <w:szCs w:val="20"/>
        </w:rPr>
        <w:t>Liquidity and Capital Resources</w:t>
      </w:r>
      <w:r>
        <w:rPr>
          <w:rFonts w:ascii="Arial" w:eastAsia="Times New Roman" w:hAnsi="Arial" w:cs="Arial"/>
          <w:color w:val="000000"/>
          <w:sz w:val="20"/>
          <w:szCs w:val="20"/>
        </w:rPr>
        <w:t xml:space="preserve">. </w:t>
      </w:r>
    </w:p>
    <w:p w:rsidR="00000000" w:rsidRDefault="001F1FC8">
      <w:pPr>
        <w:divId w:val="873081361"/>
        <w:rPr>
          <w:rFonts w:eastAsia="Times New Roman"/>
        </w:rPr>
      </w:pPr>
    </w:p>
    <w:p w:rsidR="00000000" w:rsidRDefault="001F1FC8">
      <w:pPr>
        <w:divId w:val="1902935118"/>
        <w:rPr>
          <w:rFonts w:eastAsia="Times New Roman"/>
        </w:rPr>
      </w:pPr>
      <w:r>
        <w:rPr>
          <w:rFonts w:ascii="Arial" w:eastAsia="Times New Roman" w:hAnsi="Arial" w:cs="Arial"/>
          <w:color w:val="000000"/>
          <w:sz w:val="20"/>
          <w:szCs w:val="20"/>
        </w:rPr>
        <w:t>On January 19, 2022, we closed a $750 million private placement offering of non-call 10-year fixed-to-fixe</w:t>
      </w:r>
      <w:r>
        <w:rPr>
          <w:rFonts w:ascii="Arial" w:eastAsia="Times New Roman" w:hAnsi="Arial" w:cs="Arial"/>
          <w:color w:val="000000"/>
          <w:sz w:val="20"/>
          <w:szCs w:val="20"/>
        </w:rPr>
        <w:t>d subordinated notes which mature on January 19, 2082. The net proceeds from the offering will be used to redeem the Preference Shares, Series 17 at par on March 1, 2022.</w:t>
      </w:r>
    </w:p>
    <w:p w:rsidR="00000000" w:rsidRDefault="001F1FC8">
      <w:pPr>
        <w:divId w:val="1825857482"/>
        <w:rPr>
          <w:rFonts w:eastAsia="Times New Roman"/>
        </w:rPr>
      </w:pPr>
    </w:p>
    <w:p w:rsidR="00000000" w:rsidRDefault="001F1FC8">
      <w:pPr>
        <w:divId w:val="1718385338"/>
        <w:rPr>
          <w:rFonts w:eastAsia="Times New Roman"/>
        </w:rPr>
      </w:pPr>
      <w:r>
        <w:rPr>
          <w:rFonts w:ascii="Arial" w:eastAsia="Times New Roman" w:hAnsi="Arial" w:cs="Arial"/>
          <w:color w:val="000000"/>
          <w:sz w:val="20"/>
          <w:szCs w:val="20"/>
        </w:rPr>
        <w:t>On February 10, 2022 we renewed our three year $1.0 billion sustainability-linked c</w:t>
      </w:r>
      <w:r>
        <w:rPr>
          <w:rFonts w:ascii="Arial" w:eastAsia="Times New Roman" w:hAnsi="Arial" w:cs="Arial"/>
          <w:color w:val="000000"/>
          <w:sz w:val="20"/>
          <w:szCs w:val="20"/>
        </w:rPr>
        <w:t>redit facility, extending the maturity date out to July 2025.</w:t>
      </w:r>
    </w:p>
    <w:p w:rsidR="00000000" w:rsidRDefault="001F1FC8">
      <w:pPr>
        <w:divId w:val="1399284880"/>
        <w:rPr>
          <w:rFonts w:eastAsia="Times New Roman"/>
        </w:rPr>
      </w:pPr>
    </w:p>
    <w:p w:rsidR="00000000" w:rsidRDefault="001F1FC8">
      <w:pPr>
        <w:jc w:val="center"/>
        <w:divId w:val="208616776"/>
        <w:rPr>
          <w:rFonts w:eastAsia="Times New Roman"/>
        </w:rPr>
      </w:pPr>
      <w:r>
        <w:rPr>
          <w:rFonts w:ascii="Arial" w:eastAsia="Times New Roman" w:hAnsi="Arial" w:cs="Arial"/>
          <w:color w:val="000000"/>
          <w:sz w:val="20"/>
          <w:szCs w:val="20"/>
        </w:rPr>
        <w:t>60</w:t>
      </w:r>
    </w:p>
    <w:p w:rsidR="00000000" w:rsidRDefault="001F1FC8">
      <w:pPr>
        <w:rPr>
          <w:rFonts w:eastAsia="Times New Roman"/>
        </w:rPr>
      </w:pPr>
      <w:r>
        <w:rPr>
          <w:rFonts w:eastAsia="Times New Roman"/>
        </w:rPr>
        <w:pict>
          <v:rect id="_x0000_i1090" style="width:0;height:1.5pt" o:hralign="center" o:hrstd="t" o:hr="t" fillcolor="#a0a0a0" stroked="f"/>
        </w:pict>
      </w:r>
    </w:p>
    <w:p w:rsidR="00000000" w:rsidRDefault="001F1FC8">
      <w:pPr>
        <w:jc w:val="center"/>
        <w:divId w:val="747918341"/>
        <w:rPr>
          <w:rFonts w:eastAsia="Times New Roman"/>
        </w:rPr>
      </w:pPr>
    </w:p>
    <w:p w:rsidR="00000000" w:rsidRDefault="001F1FC8">
      <w:pPr>
        <w:divId w:val="1760172278"/>
        <w:rPr>
          <w:rFonts w:eastAsia="Times New Roman"/>
        </w:rPr>
      </w:pPr>
      <w:r>
        <w:rPr>
          <w:rFonts w:ascii="Arial" w:eastAsia="Times New Roman" w:hAnsi="Arial" w:cs="Arial"/>
          <w:b/>
          <w:bCs/>
          <w:color w:val="000000"/>
          <w:sz w:val="20"/>
          <w:szCs w:val="20"/>
        </w:rPr>
        <w:t>Credit Rating Action</w:t>
      </w:r>
    </w:p>
    <w:p w:rsidR="00000000" w:rsidRDefault="001F1FC8">
      <w:pPr>
        <w:divId w:val="936253562"/>
        <w:rPr>
          <w:rFonts w:eastAsia="Times New Roman"/>
        </w:rPr>
      </w:pPr>
      <w:r>
        <w:rPr>
          <w:rFonts w:ascii="Arial" w:eastAsia="Times New Roman" w:hAnsi="Arial" w:cs="Arial"/>
          <w:color w:val="000000"/>
          <w:sz w:val="20"/>
          <w:szCs w:val="20"/>
        </w:rPr>
        <w:t>On June 1, 2021, Moody's Investors Service (Moody's) upgraded the credit ratings of Enbridge Inc., including our senior unsecured and issuer ratings, to Baa1 from Baa2. Moody's also upgraded the cr</w:t>
      </w:r>
      <w:r>
        <w:rPr>
          <w:rFonts w:ascii="Arial" w:eastAsia="Times New Roman" w:hAnsi="Arial" w:cs="Arial"/>
          <w:color w:val="000000"/>
          <w:sz w:val="20"/>
          <w:szCs w:val="20"/>
        </w:rPr>
        <w:t xml:space="preserve">edit ratings of our subsidiaries: Enbridge Energy Partners, L.P. (EEP), Enbridge Energy Limited Partnership (EELP), Spectra Energy Partners, LP (SEP) and Texas Eastern. The outlooks of all five entities are stable. </w:t>
      </w:r>
    </w:p>
    <w:p w:rsidR="00000000" w:rsidRDefault="001F1FC8">
      <w:pPr>
        <w:divId w:val="75984739"/>
        <w:rPr>
          <w:rFonts w:eastAsia="Times New Roman"/>
        </w:rPr>
      </w:pPr>
    </w:p>
    <w:p w:rsidR="00000000" w:rsidRDefault="001F1FC8">
      <w:pPr>
        <w:divId w:val="1498615374"/>
        <w:rPr>
          <w:rFonts w:eastAsia="Times New Roman"/>
        </w:rPr>
      </w:pPr>
      <w:r>
        <w:rPr>
          <w:rFonts w:ascii="Arial" w:eastAsia="Times New Roman" w:hAnsi="Arial" w:cs="Arial"/>
          <w:b/>
          <w:bCs/>
          <w:color w:val="000000"/>
          <w:sz w:val="20"/>
          <w:szCs w:val="20"/>
        </w:rPr>
        <w:t>ENERGY TRANSITION</w:t>
      </w:r>
    </w:p>
    <w:p w:rsidR="00000000" w:rsidRDefault="001F1FC8">
      <w:pPr>
        <w:divId w:val="1623851360"/>
        <w:rPr>
          <w:rFonts w:eastAsia="Times New Roman"/>
        </w:rPr>
      </w:pPr>
    </w:p>
    <w:p w:rsidR="00000000" w:rsidRDefault="001F1FC8">
      <w:pPr>
        <w:divId w:val="1295915590"/>
        <w:rPr>
          <w:rFonts w:eastAsia="Times New Roman"/>
        </w:rPr>
      </w:pPr>
      <w:r>
        <w:rPr>
          <w:rFonts w:ascii="Arial" w:eastAsia="Times New Roman" w:hAnsi="Arial" w:cs="Arial"/>
          <w:color w:val="000000"/>
          <w:sz w:val="20"/>
          <w:szCs w:val="20"/>
        </w:rPr>
        <w:t>Given the priority</w:t>
      </w:r>
      <w:r>
        <w:rPr>
          <w:rFonts w:ascii="Arial" w:eastAsia="Times New Roman" w:hAnsi="Arial" w:cs="Arial"/>
          <w:color w:val="000000"/>
          <w:sz w:val="20"/>
          <w:szCs w:val="20"/>
        </w:rPr>
        <w:t xml:space="preserve"> we are placing on low carbon investments and energy transition, we have established a dedicated New Energy Technologies team. This team will extend the capabilities we have built over the last 20 years of renewable investments and will establish prioritie</w:t>
      </w:r>
      <w:r>
        <w:rPr>
          <w:rFonts w:ascii="Arial" w:eastAsia="Times New Roman" w:hAnsi="Arial" w:cs="Arial"/>
          <w:color w:val="000000"/>
          <w:sz w:val="20"/>
          <w:szCs w:val="20"/>
        </w:rPr>
        <w:t>s and co-ordinate strategy across our business units. The team will also develop new partnerships to enable access to new technology, complementary assets and skills.</w:t>
      </w:r>
    </w:p>
    <w:p w:rsidR="00000000" w:rsidRDefault="001F1FC8">
      <w:pPr>
        <w:divId w:val="2138911642"/>
        <w:rPr>
          <w:rFonts w:eastAsia="Times New Roman"/>
        </w:rPr>
      </w:pPr>
    </w:p>
    <w:p w:rsidR="00000000" w:rsidRDefault="001F1FC8">
      <w:pPr>
        <w:divId w:val="1033195294"/>
        <w:rPr>
          <w:rFonts w:eastAsia="Times New Roman"/>
        </w:rPr>
      </w:pPr>
      <w:r>
        <w:rPr>
          <w:rFonts w:ascii="Arial" w:eastAsia="Times New Roman" w:hAnsi="Arial" w:cs="Arial"/>
          <w:color w:val="000000"/>
          <w:sz w:val="20"/>
          <w:szCs w:val="20"/>
        </w:rPr>
        <w:t>During 2021, the Alberta Solar One and Heidlersburg solar self-power projects were plac</w:t>
      </w:r>
      <w:r>
        <w:rPr>
          <w:rFonts w:ascii="Arial" w:eastAsia="Times New Roman" w:hAnsi="Arial" w:cs="Arial"/>
          <w:color w:val="000000"/>
          <w:sz w:val="20"/>
          <w:szCs w:val="20"/>
        </w:rPr>
        <w:t>ed into service. We also started the construction process on 10 additional solar self-power projects in Wisconsin, Illinois, Pennsylvania, Kentucky, Ohio and Minnesota, together capable of generating more than 97 megawatts (MW) MW of emissions-free electri</w:t>
      </w:r>
      <w:r>
        <w:rPr>
          <w:rFonts w:ascii="Arial" w:eastAsia="Times New Roman" w:hAnsi="Arial" w:cs="Arial"/>
          <w:color w:val="000000"/>
          <w:sz w:val="20"/>
          <w:szCs w:val="20"/>
        </w:rPr>
        <w:t>city. These projects will provide clean power to our liquids and natural gas pipeline right-of-way and support scope 1 and 2 emission targets.</w:t>
      </w:r>
    </w:p>
    <w:p w:rsidR="00000000" w:rsidRDefault="001F1FC8">
      <w:pPr>
        <w:divId w:val="1457142202"/>
        <w:rPr>
          <w:rFonts w:eastAsia="Times New Roman"/>
        </w:rPr>
      </w:pPr>
    </w:p>
    <w:p w:rsidR="00000000" w:rsidRDefault="001F1FC8">
      <w:pPr>
        <w:divId w:val="514854149"/>
        <w:rPr>
          <w:rFonts w:eastAsia="Times New Roman"/>
        </w:rPr>
      </w:pPr>
      <w:r>
        <w:rPr>
          <w:rFonts w:ascii="Arial" w:eastAsia="Times New Roman" w:hAnsi="Arial" w:cs="Arial"/>
          <w:b/>
          <w:bCs/>
          <w:color w:val="000000"/>
          <w:sz w:val="20"/>
          <w:szCs w:val="20"/>
        </w:rPr>
        <w:t>ASSET MONETIZATION</w:t>
      </w:r>
    </w:p>
    <w:p w:rsidR="00000000" w:rsidRDefault="001F1FC8">
      <w:pPr>
        <w:divId w:val="2044133708"/>
        <w:rPr>
          <w:rFonts w:eastAsia="Times New Roman"/>
        </w:rPr>
      </w:pPr>
    </w:p>
    <w:p w:rsidR="00000000" w:rsidRDefault="001F1FC8">
      <w:pPr>
        <w:divId w:val="1279606984"/>
        <w:rPr>
          <w:rFonts w:eastAsia="Times New Roman"/>
        </w:rPr>
      </w:pPr>
      <w:r>
        <w:rPr>
          <w:rFonts w:ascii="Arial" w:eastAsia="Times New Roman" w:hAnsi="Arial" w:cs="Arial"/>
          <w:b/>
          <w:bCs/>
          <w:color w:val="000000"/>
          <w:sz w:val="20"/>
          <w:szCs w:val="20"/>
        </w:rPr>
        <w:t>Éolien Maritime France SAS</w:t>
      </w:r>
    </w:p>
    <w:p w:rsidR="00000000" w:rsidRDefault="001F1FC8">
      <w:pPr>
        <w:divId w:val="1246652596"/>
        <w:rPr>
          <w:rFonts w:eastAsia="Times New Roman"/>
        </w:rPr>
      </w:pPr>
      <w:r>
        <w:rPr>
          <w:rFonts w:ascii="Arial" w:eastAsia="Times New Roman" w:hAnsi="Arial" w:cs="Arial"/>
          <w:color w:val="000000"/>
          <w:sz w:val="20"/>
          <w:szCs w:val="20"/>
        </w:rPr>
        <w:t xml:space="preserve">On March 18, 2021, we sold 49% of an entity that holds our 50% </w:t>
      </w:r>
      <w:r>
        <w:rPr>
          <w:rFonts w:ascii="Arial" w:eastAsia="Times New Roman" w:hAnsi="Arial" w:cs="Arial"/>
          <w:color w:val="000000"/>
          <w:sz w:val="20"/>
          <w:szCs w:val="20"/>
        </w:rPr>
        <w:t>interest in Éolien Maritime France SAS (EMF) to the Canada Pension Plan Investment Board (CPP Investments). CPP Investments will fund their 49% share of all ongoing future development capital. Through our investment in EMF, we own equity interests in three</w:t>
      </w:r>
      <w:r>
        <w:rPr>
          <w:rFonts w:ascii="Arial" w:eastAsia="Times New Roman" w:hAnsi="Arial" w:cs="Arial"/>
          <w:color w:val="000000"/>
          <w:sz w:val="20"/>
          <w:szCs w:val="20"/>
        </w:rPr>
        <w:t xml:space="preserve"> French offshore wind projects, including Saint-Nazaire (25.5%), Fécamp (17.9%) and Calvados (21.7%). The Calvados Offshore Wind Project reached a positive final investment decision in February 2021 and all three projects are now considered commercially se</w:t>
      </w:r>
      <w:r>
        <w:rPr>
          <w:rFonts w:ascii="Arial" w:eastAsia="Times New Roman" w:hAnsi="Arial" w:cs="Arial"/>
          <w:color w:val="000000"/>
          <w:sz w:val="20"/>
          <w:szCs w:val="20"/>
        </w:rPr>
        <w:t xml:space="preserve">cured and are under construction. </w:t>
      </w:r>
    </w:p>
    <w:p w:rsidR="00000000" w:rsidRDefault="001F1FC8">
      <w:pPr>
        <w:divId w:val="1576547999"/>
        <w:rPr>
          <w:rFonts w:eastAsia="Times New Roman"/>
        </w:rPr>
      </w:pPr>
    </w:p>
    <w:p w:rsidR="00000000" w:rsidRDefault="001F1FC8">
      <w:pPr>
        <w:divId w:val="409697191"/>
        <w:rPr>
          <w:rFonts w:eastAsia="Times New Roman"/>
        </w:rPr>
      </w:pPr>
      <w:r>
        <w:rPr>
          <w:rFonts w:ascii="Arial" w:eastAsia="Times New Roman" w:hAnsi="Arial" w:cs="Arial"/>
          <w:b/>
          <w:bCs/>
          <w:color w:val="000000"/>
          <w:sz w:val="20"/>
          <w:szCs w:val="20"/>
        </w:rPr>
        <w:t>Noverco Inc.</w:t>
      </w:r>
    </w:p>
    <w:p w:rsidR="00000000" w:rsidRDefault="001F1FC8">
      <w:pPr>
        <w:divId w:val="1597590838"/>
        <w:rPr>
          <w:rFonts w:eastAsia="Times New Roman"/>
        </w:rPr>
      </w:pPr>
      <w:r>
        <w:rPr>
          <w:rFonts w:ascii="Arial" w:eastAsia="Times New Roman" w:hAnsi="Arial" w:cs="Arial"/>
          <w:color w:val="000000"/>
          <w:sz w:val="20"/>
          <w:szCs w:val="20"/>
        </w:rPr>
        <w:t xml:space="preserve">On December 30, 2021, we sold our 38.9% non-operating minority ownership interest in Noverco Inc. (Noverco) to Trencap L.P. for $1.1 billion in cash. </w:t>
      </w:r>
    </w:p>
    <w:p w:rsidR="00000000" w:rsidRDefault="001F1FC8">
      <w:pPr>
        <w:divId w:val="878786450"/>
        <w:rPr>
          <w:rFonts w:eastAsia="Times New Roman"/>
        </w:rPr>
      </w:pPr>
    </w:p>
    <w:p w:rsidR="00000000" w:rsidRDefault="001F1FC8">
      <w:pPr>
        <w:jc w:val="center"/>
        <w:divId w:val="2088726357"/>
        <w:rPr>
          <w:rFonts w:eastAsia="Times New Roman"/>
        </w:rPr>
      </w:pPr>
      <w:r>
        <w:rPr>
          <w:rFonts w:ascii="Arial" w:eastAsia="Times New Roman" w:hAnsi="Arial" w:cs="Arial"/>
          <w:color w:val="000000"/>
          <w:sz w:val="20"/>
          <w:szCs w:val="20"/>
        </w:rPr>
        <w:t>61</w:t>
      </w:r>
    </w:p>
    <w:p w:rsidR="00000000" w:rsidRDefault="001F1FC8">
      <w:pPr>
        <w:rPr>
          <w:rFonts w:eastAsia="Times New Roman"/>
        </w:rPr>
      </w:pPr>
      <w:r>
        <w:rPr>
          <w:rFonts w:eastAsia="Times New Roman"/>
        </w:rPr>
        <w:pict>
          <v:rect id="_x0000_i1091" style="width:0;height:1.5pt" o:hralign="center" o:hrstd="t" o:hr="t" fillcolor="#a0a0a0" stroked="f"/>
        </w:pict>
      </w:r>
    </w:p>
    <w:p w:rsidR="00000000" w:rsidRDefault="001F1FC8">
      <w:pPr>
        <w:jc w:val="center"/>
        <w:divId w:val="1849442479"/>
        <w:rPr>
          <w:rFonts w:eastAsia="Times New Roman"/>
        </w:rPr>
      </w:pPr>
    </w:p>
    <w:p w:rsidR="00000000" w:rsidRDefault="001F1FC8">
      <w:pPr>
        <w:divId w:val="341394396"/>
        <w:rPr>
          <w:rFonts w:eastAsia="Times New Roman"/>
        </w:rPr>
      </w:pPr>
      <w:r>
        <w:rPr>
          <w:rFonts w:ascii="Arial" w:eastAsia="Times New Roman" w:hAnsi="Arial" w:cs="Arial"/>
          <w:b/>
          <w:bCs/>
          <w:color w:val="000000"/>
          <w:sz w:val="28"/>
          <w:szCs w:val="28"/>
        </w:rPr>
        <w:t>RESULTS OF OPERATIONS</w:t>
      </w:r>
    </w:p>
    <w:tbl>
      <w:tblPr>
        <w:tblW w:w="5000" w:type="pct"/>
        <w:tblCellMar>
          <w:top w:w="15" w:type="dxa"/>
          <w:left w:w="15" w:type="dxa"/>
          <w:bottom w:w="15" w:type="dxa"/>
          <w:right w:w="15" w:type="dxa"/>
        </w:tblCellMar>
        <w:tblLook w:val="04A0" w:firstRow="1" w:lastRow="0" w:firstColumn="1" w:lastColumn="0" w:noHBand="0" w:noVBand="1"/>
      </w:tblPr>
      <w:tblGrid>
        <w:gridCol w:w="68"/>
        <w:gridCol w:w="5445"/>
        <w:gridCol w:w="38"/>
        <w:gridCol w:w="68"/>
        <w:gridCol w:w="812"/>
        <w:gridCol w:w="38"/>
        <w:gridCol w:w="69"/>
        <w:gridCol w:w="812"/>
        <w:gridCol w:w="37"/>
        <w:gridCol w:w="69"/>
        <w:gridCol w:w="813"/>
        <w:gridCol w:w="37"/>
      </w:tblGrid>
      <w:tr w:rsidR="00000000">
        <w:trPr>
          <w:divId w:val="1389064485"/>
        </w:trPr>
        <w:tc>
          <w:tcPr>
            <w:tcW w:w="50" w:type="pct"/>
            <w:vAlign w:val="center"/>
            <w:hideMark/>
          </w:tcPr>
          <w:p w:rsidR="00000000" w:rsidRDefault="001F1FC8">
            <w:pPr>
              <w:rPr>
                <w:rFonts w:eastAsia="Times New Roman"/>
              </w:rPr>
            </w:pPr>
          </w:p>
        </w:tc>
        <w:tc>
          <w:tcPr>
            <w:tcW w:w="3286"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c>
          <w:tcPr>
            <w:tcW w:w="50" w:type="pct"/>
            <w:vAlign w:val="center"/>
            <w:hideMark/>
          </w:tcPr>
          <w:p w:rsidR="00000000" w:rsidRDefault="001F1FC8">
            <w:pPr>
              <w:rPr>
                <w:rFonts w:eastAsia="Times New Roman"/>
                <w:sz w:val="20"/>
                <w:szCs w:val="20"/>
              </w:rPr>
            </w:pPr>
          </w:p>
        </w:tc>
        <w:tc>
          <w:tcPr>
            <w:tcW w:w="497"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c>
          <w:tcPr>
            <w:tcW w:w="50" w:type="pct"/>
            <w:vAlign w:val="center"/>
            <w:hideMark/>
          </w:tcPr>
          <w:p w:rsidR="00000000" w:rsidRDefault="001F1FC8">
            <w:pPr>
              <w:rPr>
                <w:rFonts w:eastAsia="Times New Roman"/>
                <w:sz w:val="20"/>
                <w:szCs w:val="20"/>
              </w:rPr>
            </w:pPr>
          </w:p>
        </w:tc>
        <w:tc>
          <w:tcPr>
            <w:tcW w:w="497"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c>
          <w:tcPr>
            <w:tcW w:w="50" w:type="pct"/>
            <w:vAlign w:val="center"/>
            <w:hideMark/>
          </w:tcPr>
          <w:p w:rsidR="00000000" w:rsidRDefault="001F1FC8">
            <w:pPr>
              <w:rPr>
                <w:rFonts w:eastAsia="Times New Roman"/>
                <w:sz w:val="20"/>
                <w:szCs w:val="20"/>
              </w:rPr>
            </w:pPr>
          </w:p>
        </w:tc>
        <w:tc>
          <w:tcPr>
            <w:tcW w:w="498"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r>
      <w:tr w:rsidR="00000000">
        <w:trPr>
          <w:divId w:val="1389064485"/>
        </w:trPr>
        <w:tc>
          <w:tcPr>
            <w:tcW w:w="0" w:type="auto"/>
            <w:gridSpan w:val="3"/>
            <w:tcMar>
              <w:top w:w="0" w:type="dxa"/>
              <w:left w:w="20" w:type="dxa"/>
              <w:bottom w:w="0" w:type="dxa"/>
              <w:right w:w="20" w:type="dxa"/>
            </w:tcMar>
            <w:vAlign w:val="center"/>
            <w:hideMark/>
          </w:tcPr>
          <w:p w:rsidR="00000000" w:rsidRDefault="001F1FC8">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1F1FC8">
            <w:pPr>
              <w:jc w:val="center"/>
              <w:rPr>
                <w:rFonts w:eastAsia="Times New Roman"/>
              </w:rPr>
            </w:pPr>
            <w:r>
              <w:rPr>
                <w:rFonts w:ascii="Arial" w:eastAsia="Times New Roman" w:hAnsi="Arial" w:cs="Arial"/>
                <w:color w:val="000000"/>
                <w:sz w:val="20"/>
                <w:szCs w:val="20"/>
              </w:rPr>
              <w:t>Year ended December 31,</w:t>
            </w:r>
          </w:p>
        </w:tc>
      </w:tr>
      <w:tr w:rsidR="00000000">
        <w:trPr>
          <w:divId w:val="1389064485"/>
        </w:trPr>
        <w:tc>
          <w:tcPr>
            <w:tcW w:w="0" w:type="auto"/>
            <w:gridSpan w:val="3"/>
            <w:tcMar>
              <w:top w:w="30" w:type="dxa"/>
              <w:left w:w="20" w:type="dxa"/>
              <w:bottom w:w="30" w:type="dxa"/>
              <w:right w:w="20" w:type="dxa"/>
            </w:tcMar>
            <w:hideMark/>
          </w:tcPr>
          <w:p w:rsidR="00000000" w:rsidRDefault="001F1FC8">
            <w:pPr>
              <w:rPr>
                <w:rFonts w:eastAsia="Times New Roman"/>
              </w:rPr>
            </w:pPr>
            <w:r>
              <w:rPr>
                <w:rFonts w:ascii="Arial" w:eastAsia="Times New Roman" w:hAnsi="Arial" w:cs="Arial"/>
                <w:color w:val="000000"/>
                <w:sz w:val="20"/>
                <w:szCs w:val="20"/>
              </w:rPr>
              <w:t> </w:t>
            </w: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b/>
                <w:bCs/>
                <w:color w:val="000000"/>
                <w:sz w:val="20"/>
                <w:szCs w:val="20"/>
              </w:rPr>
              <w:t>2021</w:t>
            </w: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2020</w:t>
            </w: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2019</w:t>
            </w:r>
          </w:p>
        </w:tc>
      </w:tr>
      <w:tr w:rsidR="00000000">
        <w:trPr>
          <w:divId w:val="1389064485"/>
        </w:trPr>
        <w:tc>
          <w:tcPr>
            <w:tcW w:w="0" w:type="auto"/>
            <w:gridSpan w:val="3"/>
            <w:tcBorders>
              <w:top w:val="single" w:sz="4" w:space="0" w:color="000000"/>
            </w:tcBorders>
            <w:tcMar>
              <w:top w:w="30" w:type="dxa"/>
              <w:left w:w="20" w:type="dxa"/>
              <w:bottom w:w="30" w:type="dxa"/>
              <w:right w:w="20" w:type="dxa"/>
            </w:tcMar>
            <w:hideMark/>
          </w:tcPr>
          <w:p w:rsidR="00000000" w:rsidRDefault="001F1FC8">
            <w:pPr>
              <w:rPr>
                <w:rFonts w:eastAsia="Times New Roman"/>
              </w:rPr>
            </w:pPr>
            <w:r>
              <w:rPr>
                <w:rFonts w:ascii="Arial" w:eastAsia="Times New Roman" w:hAnsi="Arial" w:cs="Arial"/>
                <w:i/>
                <w:iCs/>
                <w:color w:val="000000"/>
                <w:sz w:val="16"/>
                <w:szCs w:val="16"/>
              </w:rPr>
              <w:t>(millions of Canadian dollars, except per share amounts)</w:t>
            </w:r>
          </w:p>
        </w:tc>
        <w:tc>
          <w:tcPr>
            <w:tcW w:w="0" w:type="auto"/>
            <w:gridSpan w:val="3"/>
            <w:tcBorders>
              <w:top w:val="single" w:sz="4" w:space="0" w:color="000000"/>
            </w:tcBorders>
            <w:shd w:val="clear" w:color="auto" w:fill="D9D9D9"/>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b/>
                <w:bCs/>
                <w:color w:val="000000"/>
                <w:sz w:val="20"/>
                <w:szCs w:val="20"/>
              </w:rPr>
              <w:t> </w:t>
            </w: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 </w:t>
            </w: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 </w:t>
            </w:r>
          </w:p>
        </w:tc>
      </w:tr>
      <w:tr w:rsidR="00000000">
        <w:trPr>
          <w:divId w:val="1389064485"/>
        </w:trPr>
        <w:tc>
          <w:tcPr>
            <w:tcW w:w="0" w:type="auto"/>
            <w:gridSpan w:val="3"/>
            <w:tcMar>
              <w:top w:w="30" w:type="dxa"/>
              <w:left w:w="20" w:type="dxa"/>
              <w:bottom w:w="30" w:type="dxa"/>
              <w:right w:w="20" w:type="dxa"/>
            </w:tcMar>
            <w:hideMark/>
          </w:tcPr>
          <w:p w:rsidR="00000000" w:rsidRDefault="001F1FC8">
            <w:pPr>
              <w:ind w:hanging="90"/>
              <w:divId w:val="1782528887"/>
              <w:rPr>
                <w:rFonts w:eastAsia="Times New Roman"/>
              </w:rPr>
            </w:pPr>
            <w:r>
              <w:rPr>
                <w:rFonts w:ascii="Arial" w:eastAsia="Times New Roman" w:hAnsi="Arial" w:cs="Arial"/>
                <w:b/>
                <w:bCs/>
                <w:color w:val="000000"/>
                <w:sz w:val="20"/>
                <w:szCs w:val="20"/>
              </w:rPr>
              <w:t>Segment earnings before interest, income taxes and depreciation and amortizatio</w:t>
            </w:r>
            <w:r>
              <w:rPr>
                <w:rFonts w:ascii="Arial" w:eastAsia="Times New Roman" w:hAnsi="Arial" w:cs="Arial"/>
                <w:b/>
                <w:bCs/>
                <w:color w:val="000000"/>
                <w:sz w:val="20"/>
                <w:szCs w:val="20"/>
              </w:rPr>
              <w:t>n</w:t>
            </w:r>
            <w:r>
              <w:rPr>
                <w:rFonts w:ascii="Arial" w:eastAsia="Times New Roman" w:hAnsi="Arial" w:cs="Arial"/>
                <w:b/>
                <w:bCs/>
                <w:color w:val="000000"/>
                <w:sz w:val="10"/>
                <w:szCs w:val="10"/>
              </w:rPr>
              <w:t>1</w:t>
            </w:r>
          </w:p>
        </w:tc>
        <w:tc>
          <w:tcPr>
            <w:tcW w:w="0" w:type="auto"/>
            <w:gridSpan w:val="3"/>
            <w:shd w:val="clear" w:color="auto" w:fill="D9D9D9"/>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b/>
                <w:bCs/>
                <w:color w:val="000000"/>
                <w:sz w:val="20"/>
                <w:szCs w:val="20"/>
              </w:rPr>
              <w:t> </w:t>
            </w:r>
          </w:p>
        </w:tc>
        <w:tc>
          <w:tcPr>
            <w:tcW w:w="0" w:type="auto"/>
            <w:gridSpan w:val="3"/>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 </w:t>
            </w:r>
          </w:p>
        </w:tc>
        <w:tc>
          <w:tcPr>
            <w:tcW w:w="0" w:type="auto"/>
            <w:gridSpan w:val="3"/>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 </w:t>
            </w:r>
          </w:p>
        </w:tc>
      </w:tr>
      <w:tr w:rsidR="00000000">
        <w:trPr>
          <w:divId w:val="1389064485"/>
        </w:trPr>
        <w:tc>
          <w:tcPr>
            <w:tcW w:w="0" w:type="auto"/>
            <w:gridSpan w:val="3"/>
            <w:tcMar>
              <w:top w:w="30" w:type="dxa"/>
              <w:left w:w="155" w:type="dxa"/>
              <w:bottom w:w="30" w:type="dxa"/>
              <w:right w:w="20" w:type="dxa"/>
            </w:tcMar>
            <w:vAlign w:val="center"/>
            <w:hideMark/>
          </w:tcPr>
          <w:p w:rsidR="00000000" w:rsidRDefault="001F1FC8">
            <w:pPr>
              <w:rPr>
                <w:rFonts w:eastAsia="Times New Roman"/>
              </w:rPr>
            </w:pPr>
            <w:r>
              <w:rPr>
                <w:rFonts w:ascii="Arial" w:eastAsia="Times New Roman" w:hAnsi="Arial" w:cs="Arial"/>
                <w:color w:val="000000"/>
                <w:sz w:val="20"/>
                <w:szCs w:val="20"/>
              </w:rPr>
              <w:t>Liquids Pipelines</w:t>
            </w:r>
          </w:p>
        </w:tc>
        <w:tc>
          <w:tcPr>
            <w:tcW w:w="0" w:type="auto"/>
            <w:gridSpan w:val="2"/>
            <w:shd w:val="clear" w:color="auto" w:fill="D9D9D9"/>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b/>
                <w:bCs/>
                <w:color w:val="000000"/>
                <w:sz w:val="20"/>
                <w:szCs w:val="20"/>
              </w:rPr>
              <w:t>7,897</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20"/>
                <w:szCs w:val="20"/>
              </w:rPr>
              <w:t>7,683 </w:t>
            </w:r>
          </w:p>
        </w:tc>
        <w:tc>
          <w:tcPr>
            <w:tcW w:w="0" w:type="auto"/>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20"/>
                <w:szCs w:val="20"/>
              </w:rPr>
              <w:t>7,681 </w:t>
            </w:r>
          </w:p>
        </w:tc>
        <w:tc>
          <w:tcPr>
            <w:tcW w:w="0" w:type="auto"/>
            <w:tcMar>
              <w:top w:w="30" w:type="dxa"/>
              <w:left w:w="0" w:type="dxa"/>
              <w:bottom w:w="30" w:type="dxa"/>
              <w:right w:w="20" w:type="dxa"/>
            </w:tcMar>
            <w:vAlign w:val="center"/>
            <w:hideMark/>
          </w:tcPr>
          <w:p w:rsidR="00000000" w:rsidRDefault="001F1FC8">
            <w:pPr>
              <w:jc w:val="right"/>
              <w:rPr>
                <w:rFonts w:eastAsia="Times New Roman"/>
              </w:rPr>
            </w:pPr>
          </w:p>
        </w:tc>
      </w:tr>
      <w:tr w:rsidR="00000000">
        <w:trPr>
          <w:divId w:val="1389064485"/>
        </w:trPr>
        <w:tc>
          <w:tcPr>
            <w:tcW w:w="0" w:type="auto"/>
            <w:gridSpan w:val="3"/>
            <w:tcMar>
              <w:top w:w="30" w:type="dxa"/>
              <w:left w:w="155" w:type="dxa"/>
              <w:bottom w:w="30" w:type="dxa"/>
              <w:right w:w="20" w:type="dxa"/>
            </w:tcMar>
            <w:vAlign w:val="center"/>
            <w:hideMark/>
          </w:tcPr>
          <w:p w:rsidR="00000000" w:rsidRDefault="001F1FC8">
            <w:pPr>
              <w:rPr>
                <w:rFonts w:eastAsia="Times New Roman"/>
              </w:rPr>
            </w:pPr>
            <w:r>
              <w:rPr>
                <w:rFonts w:ascii="Arial" w:eastAsia="Times New Roman" w:hAnsi="Arial" w:cs="Arial"/>
                <w:color w:val="000000"/>
                <w:sz w:val="20"/>
                <w:szCs w:val="20"/>
              </w:rPr>
              <w:t>Gas Transmission and Midstream</w:t>
            </w:r>
          </w:p>
        </w:tc>
        <w:tc>
          <w:tcPr>
            <w:tcW w:w="0" w:type="auto"/>
            <w:gridSpan w:val="2"/>
            <w:shd w:val="clear" w:color="auto" w:fill="D9D9D9"/>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b/>
                <w:bCs/>
                <w:color w:val="000000"/>
                <w:sz w:val="20"/>
                <w:szCs w:val="20"/>
              </w:rPr>
              <w:t>3,671</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20"/>
                <w:szCs w:val="20"/>
              </w:rPr>
              <w:t>1,087 </w:t>
            </w:r>
          </w:p>
        </w:tc>
        <w:tc>
          <w:tcPr>
            <w:tcW w:w="0" w:type="auto"/>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20"/>
                <w:szCs w:val="20"/>
              </w:rPr>
              <w:t>3,371 </w:t>
            </w:r>
          </w:p>
        </w:tc>
        <w:tc>
          <w:tcPr>
            <w:tcW w:w="0" w:type="auto"/>
            <w:tcMar>
              <w:top w:w="30" w:type="dxa"/>
              <w:left w:w="0" w:type="dxa"/>
              <w:bottom w:w="30" w:type="dxa"/>
              <w:right w:w="20" w:type="dxa"/>
            </w:tcMar>
            <w:vAlign w:val="center"/>
            <w:hideMark/>
          </w:tcPr>
          <w:p w:rsidR="00000000" w:rsidRDefault="001F1FC8">
            <w:pPr>
              <w:jc w:val="right"/>
              <w:rPr>
                <w:rFonts w:eastAsia="Times New Roman"/>
              </w:rPr>
            </w:pPr>
          </w:p>
        </w:tc>
      </w:tr>
      <w:tr w:rsidR="00000000">
        <w:trPr>
          <w:divId w:val="1389064485"/>
        </w:trPr>
        <w:tc>
          <w:tcPr>
            <w:tcW w:w="0" w:type="auto"/>
            <w:gridSpan w:val="3"/>
            <w:tcMar>
              <w:top w:w="30" w:type="dxa"/>
              <w:left w:w="155" w:type="dxa"/>
              <w:bottom w:w="30" w:type="dxa"/>
              <w:right w:w="20" w:type="dxa"/>
            </w:tcMar>
            <w:vAlign w:val="center"/>
            <w:hideMark/>
          </w:tcPr>
          <w:p w:rsidR="00000000" w:rsidRDefault="001F1FC8">
            <w:pPr>
              <w:rPr>
                <w:rFonts w:eastAsia="Times New Roman"/>
              </w:rPr>
            </w:pPr>
            <w:r>
              <w:rPr>
                <w:rFonts w:ascii="Arial" w:eastAsia="Times New Roman" w:hAnsi="Arial" w:cs="Arial"/>
                <w:color w:val="000000"/>
                <w:sz w:val="20"/>
                <w:szCs w:val="20"/>
              </w:rPr>
              <w:t>Gas Distribution and Storage</w:t>
            </w:r>
          </w:p>
        </w:tc>
        <w:tc>
          <w:tcPr>
            <w:tcW w:w="0" w:type="auto"/>
            <w:gridSpan w:val="2"/>
            <w:shd w:val="clear" w:color="auto" w:fill="D9D9D9"/>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b/>
                <w:bCs/>
                <w:color w:val="000000"/>
                <w:sz w:val="20"/>
                <w:szCs w:val="20"/>
              </w:rPr>
              <w:t>2,117</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20"/>
                <w:szCs w:val="20"/>
              </w:rPr>
              <w:t>1,748 </w:t>
            </w:r>
          </w:p>
        </w:tc>
        <w:tc>
          <w:tcPr>
            <w:tcW w:w="0" w:type="auto"/>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20"/>
                <w:szCs w:val="20"/>
              </w:rPr>
              <w:t>1,747 </w:t>
            </w:r>
          </w:p>
        </w:tc>
        <w:tc>
          <w:tcPr>
            <w:tcW w:w="0" w:type="auto"/>
            <w:tcMar>
              <w:top w:w="30" w:type="dxa"/>
              <w:left w:w="0" w:type="dxa"/>
              <w:bottom w:w="30" w:type="dxa"/>
              <w:right w:w="20" w:type="dxa"/>
            </w:tcMar>
            <w:vAlign w:val="center"/>
            <w:hideMark/>
          </w:tcPr>
          <w:p w:rsidR="00000000" w:rsidRDefault="001F1FC8">
            <w:pPr>
              <w:jc w:val="right"/>
              <w:rPr>
                <w:rFonts w:eastAsia="Times New Roman"/>
              </w:rPr>
            </w:pPr>
          </w:p>
        </w:tc>
      </w:tr>
      <w:tr w:rsidR="00000000">
        <w:trPr>
          <w:divId w:val="1389064485"/>
        </w:trPr>
        <w:tc>
          <w:tcPr>
            <w:tcW w:w="0" w:type="auto"/>
            <w:gridSpan w:val="3"/>
            <w:tcMar>
              <w:top w:w="30" w:type="dxa"/>
              <w:left w:w="155" w:type="dxa"/>
              <w:bottom w:w="30" w:type="dxa"/>
              <w:right w:w="20" w:type="dxa"/>
            </w:tcMar>
            <w:vAlign w:val="center"/>
            <w:hideMark/>
          </w:tcPr>
          <w:p w:rsidR="00000000" w:rsidRDefault="001F1FC8">
            <w:pPr>
              <w:rPr>
                <w:rFonts w:eastAsia="Times New Roman"/>
              </w:rPr>
            </w:pPr>
            <w:r>
              <w:rPr>
                <w:rFonts w:ascii="Arial" w:eastAsia="Times New Roman" w:hAnsi="Arial" w:cs="Arial"/>
                <w:color w:val="000000"/>
                <w:sz w:val="20"/>
                <w:szCs w:val="20"/>
              </w:rPr>
              <w:t>Renewable Power Generation</w:t>
            </w:r>
          </w:p>
        </w:tc>
        <w:tc>
          <w:tcPr>
            <w:tcW w:w="0" w:type="auto"/>
            <w:gridSpan w:val="2"/>
            <w:shd w:val="clear" w:color="auto" w:fill="D9D9D9"/>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b/>
                <w:bCs/>
                <w:color w:val="000000"/>
                <w:sz w:val="20"/>
                <w:szCs w:val="20"/>
              </w:rPr>
              <w:t>508</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20"/>
                <w:szCs w:val="20"/>
              </w:rPr>
              <w:t>523 </w:t>
            </w:r>
          </w:p>
        </w:tc>
        <w:tc>
          <w:tcPr>
            <w:tcW w:w="0" w:type="auto"/>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20"/>
                <w:szCs w:val="20"/>
              </w:rPr>
              <w:t>111 </w:t>
            </w:r>
          </w:p>
        </w:tc>
        <w:tc>
          <w:tcPr>
            <w:tcW w:w="0" w:type="auto"/>
            <w:tcMar>
              <w:top w:w="30" w:type="dxa"/>
              <w:left w:w="0" w:type="dxa"/>
              <w:bottom w:w="30" w:type="dxa"/>
              <w:right w:w="20" w:type="dxa"/>
            </w:tcMar>
            <w:vAlign w:val="center"/>
            <w:hideMark/>
          </w:tcPr>
          <w:p w:rsidR="00000000" w:rsidRDefault="001F1FC8">
            <w:pPr>
              <w:jc w:val="right"/>
              <w:rPr>
                <w:rFonts w:eastAsia="Times New Roman"/>
              </w:rPr>
            </w:pPr>
          </w:p>
        </w:tc>
      </w:tr>
      <w:tr w:rsidR="00000000">
        <w:trPr>
          <w:divId w:val="1389064485"/>
        </w:trPr>
        <w:tc>
          <w:tcPr>
            <w:tcW w:w="0" w:type="auto"/>
            <w:gridSpan w:val="3"/>
            <w:tcMar>
              <w:top w:w="30" w:type="dxa"/>
              <w:left w:w="155" w:type="dxa"/>
              <w:bottom w:w="30" w:type="dxa"/>
              <w:right w:w="20" w:type="dxa"/>
            </w:tcMar>
            <w:vAlign w:val="center"/>
            <w:hideMark/>
          </w:tcPr>
          <w:p w:rsidR="00000000" w:rsidRDefault="001F1FC8">
            <w:pPr>
              <w:rPr>
                <w:rFonts w:eastAsia="Times New Roman"/>
              </w:rPr>
            </w:pPr>
            <w:r>
              <w:rPr>
                <w:rFonts w:ascii="Arial" w:eastAsia="Times New Roman" w:hAnsi="Arial" w:cs="Arial"/>
                <w:color w:val="000000"/>
                <w:sz w:val="20"/>
                <w:szCs w:val="20"/>
              </w:rPr>
              <w:t>Energy Services</w:t>
            </w:r>
          </w:p>
        </w:tc>
        <w:tc>
          <w:tcPr>
            <w:tcW w:w="0" w:type="auto"/>
            <w:gridSpan w:val="2"/>
            <w:shd w:val="clear" w:color="auto" w:fill="D9D9D9"/>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b/>
                <w:bCs/>
                <w:color w:val="000000"/>
                <w:sz w:val="20"/>
                <w:szCs w:val="20"/>
              </w:rPr>
              <w:t>(313)</w:t>
            </w:r>
          </w:p>
        </w:tc>
        <w:tc>
          <w:tcPr>
            <w:tcW w:w="0" w:type="auto"/>
            <w:shd w:val="clear" w:color="auto" w:fill="D9D9D9"/>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20"/>
                <w:szCs w:val="20"/>
              </w:rPr>
              <w:t>(236)</w:t>
            </w:r>
          </w:p>
        </w:tc>
        <w:tc>
          <w:tcPr>
            <w:tcW w:w="0" w:type="auto"/>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20"/>
                <w:szCs w:val="20"/>
              </w:rPr>
              <w:t>250 </w:t>
            </w:r>
          </w:p>
        </w:tc>
        <w:tc>
          <w:tcPr>
            <w:tcW w:w="0" w:type="auto"/>
            <w:tcMar>
              <w:top w:w="30" w:type="dxa"/>
              <w:left w:w="0" w:type="dxa"/>
              <w:bottom w:w="30" w:type="dxa"/>
              <w:right w:w="20" w:type="dxa"/>
            </w:tcMar>
            <w:vAlign w:val="center"/>
            <w:hideMark/>
          </w:tcPr>
          <w:p w:rsidR="00000000" w:rsidRDefault="001F1FC8">
            <w:pPr>
              <w:jc w:val="right"/>
              <w:rPr>
                <w:rFonts w:eastAsia="Times New Roman"/>
              </w:rPr>
            </w:pPr>
          </w:p>
        </w:tc>
      </w:tr>
      <w:tr w:rsidR="00000000">
        <w:trPr>
          <w:divId w:val="1389064485"/>
        </w:trPr>
        <w:tc>
          <w:tcPr>
            <w:tcW w:w="0" w:type="auto"/>
            <w:gridSpan w:val="3"/>
            <w:tcMar>
              <w:top w:w="30" w:type="dxa"/>
              <w:left w:w="155" w:type="dxa"/>
              <w:bottom w:w="30" w:type="dxa"/>
              <w:right w:w="20" w:type="dxa"/>
            </w:tcMar>
            <w:vAlign w:val="center"/>
            <w:hideMark/>
          </w:tcPr>
          <w:p w:rsidR="00000000" w:rsidRDefault="001F1FC8">
            <w:pPr>
              <w:rPr>
                <w:rFonts w:eastAsia="Times New Roman"/>
              </w:rPr>
            </w:pPr>
            <w:r>
              <w:rPr>
                <w:rFonts w:ascii="Arial" w:eastAsia="Times New Roman" w:hAnsi="Arial" w:cs="Arial"/>
                <w:color w:val="000000"/>
                <w:sz w:val="20"/>
                <w:szCs w:val="20"/>
              </w:rPr>
              <w:t>Eliminations and Other</w:t>
            </w:r>
          </w:p>
        </w:tc>
        <w:tc>
          <w:tcPr>
            <w:tcW w:w="0" w:type="auto"/>
            <w:gridSpan w:val="2"/>
            <w:shd w:val="clear" w:color="auto" w:fill="D9D9D9"/>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b/>
                <w:bCs/>
                <w:color w:val="000000"/>
                <w:sz w:val="20"/>
                <w:szCs w:val="20"/>
              </w:rPr>
              <w:t>356</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20"/>
                <w:szCs w:val="20"/>
              </w:rPr>
              <w:t>(113)</w:t>
            </w:r>
          </w:p>
        </w:tc>
        <w:tc>
          <w:tcPr>
            <w:tcW w:w="0" w:type="auto"/>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20"/>
                <w:szCs w:val="20"/>
              </w:rPr>
              <w:t>429 </w:t>
            </w:r>
          </w:p>
        </w:tc>
        <w:tc>
          <w:tcPr>
            <w:tcW w:w="0" w:type="auto"/>
            <w:tcMar>
              <w:top w:w="30" w:type="dxa"/>
              <w:left w:w="0" w:type="dxa"/>
              <w:bottom w:w="30" w:type="dxa"/>
              <w:right w:w="20" w:type="dxa"/>
            </w:tcMar>
            <w:vAlign w:val="center"/>
            <w:hideMark/>
          </w:tcPr>
          <w:p w:rsidR="00000000" w:rsidRDefault="001F1FC8">
            <w:pPr>
              <w:jc w:val="right"/>
              <w:rPr>
                <w:rFonts w:eastAsia="Times New Roman"/>
              </w:rPr>
            </w:pPr>
          </w:p>
        </w:tc>
      </w:tr>
      <w:tr w:rsidR="00000000">
        <w:trPr>
          <w:divId w:val="1389064485"/>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1F1FC8">
            <w:pPr>
              <w:ind w:hanging="90"/>
              <w:divId w:val="1595239132"/>
              <w:rPr>
                <w:rFonts w:eastAsia="Times New Roman"/>
              </w:rPr>
            </w:pPr>
            <w:r>
              <w:rPr>
                <w:rFonts w:ascii="Arial" w:eastAsia="Times New Roman" w:hAnsi="Arial" w:cs="Arial"/>
                <w:b/>
                <w:bCs/>
                <w:color w:val="000000"/>
                <w:sz w:val="20"/>
                <w:szCs w:val="20"/>
              </w:rPr>
              <w:t>Earnings before interest, income taxes and depreciation and amortizatio</w:t>
            </w:r>
            <w:r>
              <w:rPr>
                <w:rFonts w:ascii="Arial" w:eastAsia="Times New Roman" w:hAnsi="Arial" w:cs="Arial"/>
                <w:b/>
                <w:bCs/>
                <w:color w:val="000000"/>
                <w:sz w:val="20"/>
                <w:szCs w:val="20"/>
              </w:rPr>
              <w:t>n</w:t>
            </w:r>
            <w:r>
              <w:rPr>
                <w:rFonts w:ascii="Arial" w:eastAsia="Times New Roman" w:hAnsi="Arial" w:cs="Arial"/>
                <w:b/>
                <w:bCs/>
                <w:color w:val="000000"/>
                <w:sz w:val="10"/>
                <w:szCs w:val="10"/>
              </w:rPr>
              <w:t>1</w:t>
            </w:r>
          </w:p>
        </w:tc>
        <w:tc>
          <w:tcPr>
            <w:tcW w:w="0" w:type="auto"/>
            <w:gridSpan w:val="2"/>
            <w:tcBorders>
              <w:top w:val="single" w:sz="4" w:space="0" w:color="000000"/>
            </w:tcBorders>
            <w:shd w:val="clear" w:color="auto" w:fill="D9D9D9"/>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b/>
                <w:bCs/>
                <w:color w:val="000000"/>
                <w:sz w:val="20"/>
                <w:szCs w:val="20"/>
              </w:rPr>
              <w:t>14,236</w:t>
            </w:r>
            <w:r>
              <w:rPr>
                <w:rFonts w:ascii="Arial" w:eastAsia="Times New Roman" w:hAnsi="Arial" w:cs="Arial"/>
                <w:color w:val="000000"/>
                <w:sz w:val="20"/>
                <w:szCs w:val="20"/>
              </w:rPr>
              <w:t> </w:t>
            </w:r>
          </w:p>
        </w:tc>
        <w:tc>
          <w:tcPr>
            <w:tcW w:w="0" w:type="auto"/>
            <w:tcBorders>
              <w:top w:val="single" w:sz="4" w:space="0" w:color="000000"/>
            </w:tcBorders>
            <w:shd w:val="clear" w:color="auto" w:fill="D9D9D9"/>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20"/>
                <w:szCs w:val="20"/>
              </w:rPr>
              <w:t>10,692 </w:t>
            </w:r>
          </w:p>
        </w:tc>
        <w:tc>
          <w:tcPr>
            <w:tcW w:w="0" w:type="auto"/>
            <w:tcBorders>
              <w:top w:val="single" w:sz="4" w:space="0" w:color="000000"/>
            </w:tcBorders>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20"/>
                <w:szCs w:val="20"/>
              </w:rPr>
              <w:t>13,589 </w:t>
            </w:r>
          </w:p>
        </w:tc>
        <w:tc>
          <w:tcPr>
            <w:tcW w:w="0" w:type="auto"/>
            <w:tcBorders>
              <w:top w:val="single" w:sz="4" w:space="0" w:color="000000"/>
            </w:tcBorders>
            <w:tcMar>
              <w:top w:w="30" w:type="dxa"/>
              <w:left w:w="0" w:type="dxa"/>
              <w:bottom w:w="30" w:type="dxa"/>
              <w:right w:w="20" w:type="dxa"/>
            </w:tcMar>
            <w:vAlign w:val="center"/>
            <w:hideMark/>
          </w:tcPr>
          <w:p w:rsidR="00000000" w:rsidRDefault="001F1FC8">
            <w:pPr>
              <w:jc w:val="right"/>
              <w:rPr>
                <w:rFonts w:eastAsia="Times New Roman"/>
              </w:rPr>
            </w:pPr>
          </w:p>
        </w:tc>
      </w:tr>
      <w:tr w:rsidR="00000000">
        <w:trPr>
          <w:divId w:val="1389064485"/>
        </w:trPr>
        <w:tc>
          <w:tcPr>
            <w:tcW w:w="0" w:type="auto"/>
            <w:gridSpan w:val="3"/>
            <w:tcMar>
              <w:top w:w="30" w:type="dxa"/>
              <w:left w:w="155" w:type="dxa"/>
              <w:bottom w:w="30" w:type="dxa"/>
              <w:right w:w="20" w:type="dxa"/>
            </w:tcMar>
            <w:vAlign w:val="center"/>
            <w:hideMark/>
          </w:tcPr>
          <w:p w:rsidR="00000000" w:rsidRDefault="001F1FC8">
            <w:pPr>
              <w:rPr>
                <w:rFonts w:eastAsia="Times New Roman"/>
              </w:rPr>
            </w:pPr>
            <w:r>
              <w:rPr>
                <w:rFonts w:ascii="Arial" w:eastAsia="Times New Roman" w:hAnsi="Arial" w:cs="Arial"/>
                <w:color w:val="000000"/>
                <w:sz w:val="20"/>
                <w:szCs w:val="20"/>
              </w:rPr>
              <w:t>Depreciation and amortization</w:t>
            </w:r>
          </w:p>
        </w:tc>
        <w:tc>
          <w:tcPr>
            <w:tcW w:w="0" w:type="auto"/>
            <w:gridSpan w:val="2"/>
            <w:shd w:val="clear" w:color="auto" w:fill="D9D9D9"/>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b/>
                <w:bCs/>
                <w:color w:val="000000"/>
                <w:sz w:val="20"/>
                <w:szCs w:val="20"/>
              </w:rPr>
              <w:t>(3,852)</w:t>
            </w:r>
          </w:p>
        </w:tc>
        <w:tc>
          <w:tcPr>
            <w:tcW w:w="0" w:type="auto"/>
            <w:shd w:val="clear" w:color="auto" w:fill="D9D9D9"/>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20"/>
                <w:szCs w:val="20"/>
              </w:rPr>
              <w:t>(3,712)</w:t>
            </w:r>
          </w:p>
        </w:tc>
        <w:tc>
          <w:tcPr>
            <w:tcW w:w="0" w:type="auto"/>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20"/>
                <w:szCs w:val="20"/>
              </w:rPr>
              <w:t>(3,391)</w:t>
            </w:r>
          </w:p>
        </w:tc>
        <w:tc>
          <w:tcPr>
            <w:tcW w:w="0" w:type="auto"/>
            <w:tcMar>
              <w:top w:w="30" w:type="dxa"/>
              <w:left w:w="0" w:type="dxa"/>
              <w:bottom w:w="30" w:type="dxa"/>
              <w:right w:w="20" w:type="dxa"/>
            </w:tcMar>
            <w:vAlign w:val="center"/>
            <w:hideMark/>
          </w:tcPr>
          <w:p w:rsidR="00000000" w:rsidRDefault="001F1FC8">
            <w:pPr>
              <w:jc w:val="right"/>
              <w:rPr>
                <w:rFonts w:eastAsia="Times New Roman"/>
              </w:rPr>
            </w:pPr>
          </w:p>
        </w:tc>
      </w:tr>
      <w:tr w:rsidR="00000000">
        <w:trPr>
          <w:divId w:val="1389064485"/>
        </w:trPr>
        <w:tc>
          <w:tcPr>
            <w:tcW w:w="0" w:type="auto"/>
            <w:gridSpan w:val="3"/>
            <w:tcMar>
              <w:top w:w="30" w:type="dxa"/>
              <w:left w:w="155" w:type="dxa"/>
              <w:bottom w:w="30" w:type="dxa"/>
              <w:right w:w="20" w:type="dxa"/>
            </w:tcMar>
            <w:vAlign w:val="center"/>
            <w:hideMark/>
          </w:tcPr>
          <w:p w:rsidR="00000000" w:rsidRDefault="001F1FC8">
            <w:pPr>
              <w:rPr>
                <w:rFonts w:eastAsia="Times New Roman"/>
              </w:rPr>
            </w:pPr>
            <w:r>
              <w:rPr>
                <w:rFonts w:ascii="Arial" w:eastAsia="Times New Roman" w:hAnsi="Arial" w:cs="Arial"/>
                <w:color w:val="000000"/>
                <w:sz w:val="20"/>
                <w:szCs w:val="20"/>
              </w:rPr>
              <w:t>Interest expense</w:t>
            </w:r>
          </w:p>
        </w:tc>
        <w:tc>
          <w:tcPr>
            <w:tcW w:w="0" w:type="auto"/>
            <w:gridSpan w:val="2"/>
            <w:shd w:val="clear" w:color="auto" w:fill="D9D9D9"/>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b/>
                <w:bCs/>
                <w:color w:val="000000"/>
                <w:sz w:val="20"/>
                <w:szCs w:val="20"/>
              </w:rPr>
              <w:t>(2,655)</w:t>
            </w:r>
          </w:p>
        </w:tc>
        <w:tc>
          <w:tcPr>
            <w:tcW w:w="0" w:type="auto"/>
            <w:shd w:val="clear" w:color="auto" w:fill="D9D9D9"/>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20"/>
                <w:szCs w:val="20"/>
              </w:rPr>
              <w:t>(2,790)</w:t>
            </w:r>
          </w:p>
        </w:tc>
        <w:tc>
          <w:tcPr>
            <w:tcW w:w="0" w:type="auto"/>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20"/>
                <w:szCs w:val="20"/>
              </w:rPr>
              <w:t>(2,663)</w:t>
            </w:r>
          </w:p>
        </w:tc>
        <w:tc>
          <w:tcPr>
            <w:tcW w:w="0" w:type="auto"/>
            <w:tcMar>
              <w:top w:w="30" w:type="dxa"/>
              <w:left w:w="0" w:type="dxa"/>
              <w:bottom w:w="30" w:type="dxa"/>
              <w:right w:w="20" w:type="dxa"/>
            </w:tcMar>
            <w:vAlign w:val="center"/>
            <w:hideMark/>
          </w:tcPr>
          <w:p w:rsidR="00000000" w:rsidRDefault="001F1FC8">
            <w:pPr>
              <w:jc w:val="right"/>
              <w:rPr>
                <w:rFonts w:eastAsia="Times New Roman"/>
              </w:rPr>
            </w:pPr>
          </w:p>
        </w:tc>
      </w:tr>
      <w:tr w:rsidR="00000000">
        <w:trPr>
          <w:divId w:val="1389064485"/>
        </w:trPr>
        <w:tc>
          <w:tcPr>
            <w:tcW w:w="0" w:type="auto"/>
            <w:gridSpan w:val="3"/>
            <w:tcMar>
              <w:top w:w="30" w:type="dxa"/>
              <w:left w:w="155" w:type="dxa"/>
              <w:bottom w:w="30" w:type="dxa"/>
              <w:right w:w="20" w:type="dxa"/>
            </w:tcMar>
            <w:vAlign w:val="center"/>
            <w:hideMark/>
          </w:tcPr>
          <w:p w:rsidR="00000000" w:rsidRDefault="001F1FC8">
            <w:pPr>
              <w:rPr>
                <w:rFonts w:eastAsia="Times New Roman"/>
              </w:rPr>
            </w:pPr>
            <w:r>
              <w:rPr>
                <w:rFonts w:ascii="Arial" w:eastAsia="Times New Roman" w:hAnsi="Arial" w:cs="Arial"/>
                <w:color w:val="000000"/>
                <w:sz w:val="20"/>
                <w:szCs w:val="20"/>
              </w:rPr>
              <w:t>Income tax expense</w:t>
            </w:r>
          </w:p>
        </w:tc>
        <w:tc>
          <w:tcPr>
            <w:tcW w:w="0" w:type="auto"/>
            <w:gridSpan w:val="2"/>
            <w:shd w:val="clear" w:color="auto" w:fill="D9D9D9"/>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b/>
                <w:bCs/>
                <w:color w:val="000000"/>
                <w:sz w:val="20"/>
                <w:szCs w:val="20"/>
              </w:rPr>
              <w:t>(1,415)</w:t>
            </w:r>
          </w:p>
        </w:tc>
        <w:tc>
          <w:tcPr>
            <w:tcW w:w="0" w:type="auto"/>
            <w:shd w:val="clear" w:color="auto" w:fill="D9D9D9"/>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20"/>
                <w:szCs w:val="20"/>
              </w:rPr>
              <w:t>(774)</w:t>
            </w:r>
          </w:p>
        </w:tc>
        <w:tc>
          <w:tcPr>
            <w:tcW w:w="0" w:type="auto"/>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20"/>
                <w:szCs w:val="20"/>
              </w:rPr>
              <w:t>(1,708)</w:t>
            </w:r>
          </w:p>
        </w:tc>
        <w:tc>
          <w:tcPr>
            <w:tcW w:w="0" w:type="auto"/>
            <w:tcMar>
              <w:top w:w="30" w:type="dxa"/>
              <w:left w:w="0" w:type="dxa"/>
              <w:bottom w:w="30" w:type="dxa"/>
              <w:right w:w="20" w:type="dxa"/>
            </w:tcMar>
            <w:vAlign w:val="center"/>
            <w:hideMark/>
          </w:tcPr>
          <w:p w:rsidR="00000000" w:rsidRDefault="001F1FC8">
            <w:pPr>
              <w:jc w:val="right"/>
              <w:rPr>
                <w:rFonts w:eastAsia="Times New Roman"/>
              </w:rPr>
            </w:pPr>
          </w:p>
        </w:tc>
      </w:tr>
      <w:tr w:rsidR="00000000">
        <w:trPr>
          <w:divId w:val="1389064485"/>
        </w:trPr>
        <w:tc>
          <w:tcPr>
            <w:tcW w:w="0" w:type="auto"/>
            <w:gridSpan w:val="3"/>
            <w:tcMar>
              <w:top w:w="30" w:type="dxa"/>
              <w:left w:w="20" w:type="dxa"/>
              <w:bottom w:w="30" w:type="dxa"/>
              <w:right w:w="20" w:type="dxa"/>
            </w:tcMar>
            <w:hideMark/>
          </w:tcPr>
          <w:p w:rsidR="00000000" w:rsidRDefault="001F1FC8">
            <w:pPr>
              <w:ind w:hanging="180"/>
              <w:divId w:val="271982144"/>
              <w:rPr>
                <w:rFonts w:eastAsia="Times New Roman"/>
              </w:rPr>
            </w:pPr>
            <w:r>
              <w:rPr>
                <w:rFonts w:ascii="Arial" w:eastAsia="Times New Roman" w:hAnsi="Arial" w:cs="Arial"/>
                <w:color w:val="000000"/>
                <w:sz w:val="20"/>
                <w:szCs w:val="20"/>
              </w:rPr>
              <w:t>Earnings attributable to noncontrolling interests and redeemable noncontrolling interests</w:t>
            </w:r>
          </w:p>
        </w:tc>
        <w:tc>
          <w:tcPr>
            <w:tcW w:w="0" w:type="auto"/>
            <w:gridSpan w:val="2"/>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20"/>
                <w:szCs w:val="20"/>
              </w:rPr>
              <w:t>(125)</w:t>
            </w:r>
          </w:p>
        </w:tc>
        <w:tc>
          <w:tcPr>
            <w:tcW w:w="0" w:type="auto"/>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(53)</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(122)</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r>
      <w:tr w:rsidR="00000000">
        <w:trPr>
          <w:divId w:val="1389064485"/>
        </w:trPr>
        <w:tc>
          <w:tcPr>
            <w:tcW w:w="0" w:type="auto"/>
            <w:gridSpan w:val="3"/>
            <w:tcMar>
              <w:top w:w="30" w:type="dxa"/>
              <w:left w:w="155" w:type="dxa"/>
              <w:bottom w:w="30" w:type="dxa"/>
              <w:right w:w="20" w:type="dxa"/>
            </w:tcMar>
            <w:vAlign w:val="center"/>
            <w:hideMark/>
          </w:tcPr>
          <w:p w:rsidR="00000000" w:rsidRDefault="001F1FC8">
            <w:pPr>
              <w:rPr>
                <w:rFonts w:eastAsia="Times New Roman"/>
              </w:rPr>
            </w:pPr>
            <w:r>
              <w:rPr>
                <w:rFonts w:ascii="Arial" w:eastAsia="Times New Roman" w:hAnsi="Arial" w:cs="Arial"/>
                <w:color w:val="000000"/>
                <w:sz w:val="20"/>
                <w:szCs w:val="20"/>
              </w:rPr>
              <w:t>Preference share dividends</w:t>
            </w:r>
          </w:p>
        </w:tc>
        <w:tc>
          <w:tcPr>
            <w:tcW w:w="0" w:type="auto"/>
            <w:gridSpan w:val="2"/>
            <w:shd w:val="clear" w:color="auto" w:fill="D9D9D9"/>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b/>
                <w:bCs/>
                <w:color w:val="000000"/>
                <w:sz w:val="20"/>
                <w:szCs w:val="20"/>
              </w:rPr>
              <w:t>(373)</w:t>
            </w:r>
          </w:p>
        </w:tc>
        <w:tc>
          <w:tcPr>
            <w:tcW w:w="0" w:type="auto"/>
            <w:shd w:val="clear" w:color="auto" w:fill="D9D9D9"/>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20"/>
                <w:szCs w:val="20"/>
              </w:rPr>
              <w:t>(380)</w:t>
            </w:r>
          </w:p>
        </w:tc>
        <w:tc>
          <w:tcPr>
            <w:tcW w:w="0" w:type="auto"/>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20"/>
                <w:szCs w:val="20"/>
              </w:rPr>
              <w:t>(383)</w:t>
            </w:r>
          </w:p>
        </w:tc>
        <w:tc>
          <w:tcPr>
            <w:tcW w:w="0" w:type="auto"/>
            <w:tcMar>
              <w:top w:w="30" w:type="dxa"/>
              <w:left w:w="0" w:type="dxa"/>
              <w:bottom w:w="30" w:type="dxa"/>
              <w:right w:w="20" w:type="dxa"/>
            </w:tcMar>
            <w:vAlign w:val="center"/>
            <w:hideMark/>
          </w:tcPr>
          <w:p w:rsidR="00000000" w:rsidRDefault="001F1FC8">
            <w:pPr>
              <w:jc w:val="right"/>
              <w:rPr>
                <w:rFonts w:eastAsia="Times New Roman"/>
              </w:rPr>
            </w:pPr>
          </w:p>
        </w:tc>
      </w:tr>
      <w:tr w:rsidR="00000000">
        <w:trPr>
          <w:divId w:val="1389064485"/>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1F1FC8">
            <w:pPr>
              <w:rPr>
                <w:rFonts w:eastAsia="Times New Roman"/>
              </w:rPr>
            </w:pPr>
            <w:r>
              <w:rPr>
                <w:rFonts w:ascii="Arial" w:eastAsia="Times New Roman" w:hAnsi="Arial" w:cs="Arial"/>
                <w:b/>
                <w:bCs/>
                <w:color w:val="000000"/>
                <w:sz w:val="20"/>
                <w:szCs w:val="20"/>
              </w:rPr>
              <w:t>Earnings attributable to common shareholders</w:t>
            </w:r>
          </w:p>
        </w:tc>
        <w:tc>
          <w:tcPr>
            <w:tcW w:w="0" w:type="auto"/>
            <w:gridSpan w:val="2"/>
            <w:tcBorders>
              <w:top w:val="single" w:sz="4" w:space="0" w:color="000000"/>
            </w:tcBorders>
            <w:shd w:val="clear" w:color="auto" w:fill="D9D9D9"/>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b/>
                <w:bCs/>
                <w:color w:val="000000"/>
                <w:sz w:val="20"/>
                <w:szCs w:val="20"/>
              </w:rPr>
              <w:t>5,816</w:t>
            </w:r>
            <w:r>
              <w:rPr>
                <w:rFonts w:ascii="Arial" w:eastAsia="Times New Roman" w:hAnsi="Arial" w:cs="Arial"/>
                <w:color w:val="000000"/>
                <w:sz w:val="20"/>
                <w:szCs w:val="20"/>
              </w:rPr>
              <w:t> </w:t>
            </w:r>
          </w:p>
        </w:tc>
        <w:tc>
          <w:tcPr>
            <w:tcW w:w="0" w:type="auto"/>
            <w:tcBorders>
              <w:top w:val="single" w:sz="4" w:space="0" w:color="000000"/>
            </w:tcBorders>
            <w:shd w:val="clear" w:color="auto" w:fill="D9D9D9"/>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20"/>
                <w:szCs w:val="20"/>
              </w:rPr>
              <w:t>2,983 </w:t>
            </w:r>
          </w:p>
        </w:tc>
        <w:tc>
          <w:tcPr>
            <w:tcW w:w="0" w:type="auto"/>
            <w:tcBorders>
              <w:top w:val="single" w:sz="4" w:space="0" w:color="000000"/>
            </w:tcBorders>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20"/>
                <w:szCs w:val="20"/>
              </w:rPr>
              <w:t>5,322 </w:t>
            </w:r>
          </w:p>
        </w:tc>
        <w:tc>
          <w:tcPr>
            <w:tcW w:w="0" w:type="auto"/>
            <w:tcBorders>
              <w:top w:val="single" w:sz="4" w:space="0" w:color="000000"/>
            </w:tcBorders>
            <w:tcMar>
              <w:top w:w="30" w:type="dxa"/>
              <w:left w:w="0" w:type="dxa"/>
              <w:bottom w:w="30" w:type="dxa"/>
              <w:right w:w="20" w:type="dxa"/>
            </w:tcMar>
            <w:vAlign w:val="center"/>
            <w:hideMark/>
          </w:tcPr>
          <w:p w:rsidR="00000000" w:rsidRDefault="001F1FC8">
            <w:pPr>
              <w:jc w:val="right"/>
              <w:rPr>
                <w:rFonts w:eastAsia="Times New Roman"/>
              </w:rPr>
            </w:pPr>
          </w:p>
        </w:tc>
      </w:tr>
      <w:tr w:rsidR="00000000">
        <w:trPr>
          <w:divId w:val="1389064485"/>
        </w:trPr>
        <w:tc>
          <w:tcPr>
            <w:tcW w:w="0" w:type="auto"/>
            <w:gridSpan w:val="3"/>
            <w:tcBorders>
              <w:top w:val="single" w:sz="4" w:space="0" w:color="000000"/>
            </w:tcBorders>
            <w:tcMar>
              <w:top w:w="30" w:type="dxa"/>
              <w:left w:w="155" w:type="dxa"/>
              <w:bottom w:w="30" w:type="dxa"/>
              <w:right w:w="20" w:type="dxa"/>
            </w:tcMar>
            <w:vAlign w:val="center"/>
            <w:hideMark/>
          </w:tcPr>
          <w:p w:rsidR="00000000" w:rsidRDefault="001F1FC8">
            <w:pPr>
              <w:rPr>
                <w:rFonts w:eastAsia="Times New Roman"/>
              </w:rPr>
            </w:pPr>
            <w:r>
              <w:rPr>
                <w:rFonts w:ascii="Arial" w:eastAsia="Times New Roman" w:hAnsi="Arial" w:cs="Arial"/>
                <w:color w:val="000000"/>
                <w:sz w:val="20"/>
                <w:szCs w:val="20"/>
              </w:rPr>
              <w:t>Earnings per common share</w:t>
            </w:r>
          </w:p>
        </w:tc>
        <w:tc>
          <w:tcPr>
            <w:tcW w:w="0" w:type="auto"/>
            <w:gridSpan w:val="2"/>
            <w:tcBorders>
              <w:top w:val="single" w:sz="4" w:space="0" w:color="000000"/>
            </w:tcBorders>
            <w:shd w:val="clear" w:color="auto" w:fill="D9D9D9"/>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b/>
                <w:bCs/>
                <w:color w:val="000000"/>
                <w:sz w:val="20"/>
                <w:szCs w:val="20"/>
              </w:rPr>
              <w:t>2.87</w:t>
            </w:r>
            <w:r>
              <w:rPr>
                <w:rFonts w:ascii="Arial" w:eastAsia="Times New Roman" w:hAnsi="Arial" w:cs="Arial"/>
                <w:color w:val="000000"/>
                <w:sz w:val="20"/>
                <w:szCs w:val="20"/>
              </w:rPr>
              <w:t> </w:t>
            </w:r>
          </w:p>
        </w:tc>
        <w:tc>
          <w:tcPr>
            <w:tcW w:w="0" w:type="auto"/>
            <w:tcBorders>
              <w:top w:val="single" w:sz="4" w:space="0" w:color="000000"/>
            </w:tcBorders>
            <w:shd w:val="clear" w:color="auto" w:fill="D9D9D9"/>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20"/>
                <w:szCs w:val="20"/>
              </w:rPr>
              <w:t>1.48 </w:t>
            </w:r>
          </w:p>
        </w:tc>
        <w:tc>
          <w:tcPr>
            <w:tcW w:w="0" w:type="auto"/>
            <w:tcBorders>
              <w:top w:val="single" w:sz="4" w:space="0" w:color="000000"/>
            </w:tcBorders>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20"/>
                <w:szCs w:val="20"/>
              </w:rPr>
              <w:t>2.64 </w:t>
            </w:r>
          </w:p>
        </w:tc>
        <w:tc>
          <w:tcPr>
            <w:tcW w:w="0" w:type="auto"/>
            <w:tcBorders>
              <w:top w:val="single" w:sz="4" w:space="0" w:color="000000"/>
            </w:tcBorders>
            <w:tcMar>
              <w:top w:w="30" w:type="dxa"/>
              <w:left w:w="0" w:type="dxa"/>
              <w:bottom w:w="30" w:type="dxa"/>
              <w:right w:w="20" w:type="dxa"/>
            </w:tcMar>
            <w:vAlign w:val="center"/>
            <w:hideMark/>
          </w:tcPr>
          <w:p w:rsidR="00000000" w:rsidRDefault="001F1FC8">
            <w:pPr>
              <w:jc w:val="right"/>
              <w:rPr>
                <w:rFonts w:eastAsia="Times New Roman"/>
              </w:rPr>
            </w:pPr>
          </w:p>
        </w:tc>
      </w:tr>
      <w:tr w:rsidR="00000000">
        <w:trPr>
          <w:divId w:val="1389064485"/>
        </w:trPr>
        <w:tc>
          <w:tcPr>
            <w:tcW w:w="0" w:type="auto"/>
            <w:gridSpan w:val="3"/>
            <w:tcBorders>
              <w:bottom w:val="single" w:sz="18" w:space="0" w:color="000000"/>
            </w:tcBorders>
            <w:tcMar>
              <w:top w:w="30" w:type="dxa"/>
              <w:left w:w="155" w:type="dxa"/>
              <w:bottom w:w="30" w:type="dxa"/>
              <w:right w:w="20" w:type="dxa"/>
            </w:tcMar>
            <w:vAlign w:val="center"/>
            <w:hideMark/>
          </w:tcPr>
          <w:p w:rsidR="00000000" w:rsidRDefault="001F1FC8">
            <w:pPr>
              <w:rPr>
                <w:rFonts w:eastAsia="Times New Roman"/>
              </w:rPr>
            </w:pPr>
            <w:r>
              <w:rPr>
                <w:rFonts w:ascii="Arial" w:eastAsia="Times New Roman" w:hAnsi="Arial" w:cs="Arial"/>
                <w:color w:val="000000"/>
                <w:sz w:val="20"/>
                <w:szCs w:val="20"/>
              </w:rPr>
              <w:t>Diluted earnings per common share</w:t>
            </w:r>
          </w:p>
        </w:tc>
        <w:tc>
          <w:tcPr>
            <w:tcW w:w="0" w:type="auto"/>
            <w:gridSpan w:val="2"/>
            <w:tcBorders>
              <w:bottom w:val="single" w:sz="18" w:space="0" w:color="000000"/>
            </w:tcBorders>
            <w:shd w:val="clear" w:color="auto" w:fill="DBDBDB"/>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b/>
                <w:bCs/>
                <w:color w:val="000000"/>
                <w:sz w:val="20"/>
                <w:szCs w:val="20"/>
              </w:rPr>
              <w:t>2.87</w:t>
            </w:r>
            <w:r>
              <w:rPr>
                <w:rFonts w:ascii="Arial" w:eastAsia="Times New Roman" w:hAnsi="Arial" w:cs="Arial"/>
                <w:color w:val="000000"/>
                <w:sz w:val="20"/>
                <w:szCs w:val="20"/>
              </w:rPr>
              <w:t> </w:t>
            </w:r>
          </w:p>
        </w:tc>
        <w:tc>
          <w:tcPr>
            <w:tcW w:w="0" w:type="auto"/>
            <w:tcBorders>
              <w:bottom w:val="single" w:sz="18" w:space="0" w:color="000000"/>
            </w:tcBorders>
            <w:shd w:val="clear" w:color="auto" w:fill="DBDBDB"/>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Borders>
              <w:bottom w:val="single" w:sz="18" w:space="0" w:color="000000"/>
            </w:tcBorders>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20"/>
                <w:szCs w:val="20"/>
              </w:rPr>
              <w:t>1.48 </w:t>
            </w:r>
          </w:p>
        </w:tc>
        <w:tc>
          <w:tcPr>
            <w:tcW w:w="0" w:type="auto"/>
            <w:tcBorders>
              <w:bottom w:val="single" w:sz="18" w:space="0" w:color="000000"/>
            </w:tcBorders>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Borders>
              <w:bottom w:val="single" w:sz="18" w:space="0" w:color="000000"/>
            </w:tcBorders>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20"/>
                <w:szCs w:val="20"/>
              </w:rPr>
              <w:t>2.63 </w:t>
            </w:r>
          </w:p>
        </w:tc>
        <w:tc>
          <w:tcPr>
            <w:tcW w:w="0" w:type="auto"/>
            <w:tcBorders>
              <w:bottom w:val="single" w:sz="18" w:space="0" w:color="000000"/>
            </w:tcBorders>
            <w:tcMar>
              <w:top w:w="30" w:type="dxa"/>
              <w:left w:w="0" w:type="dxa"/>
              <w:bottom w:w="30" w:type="dxa"/>
              <w:right w:w="20" w:type="dxa"/>
            </w:tcMar>
            <w:vAlign w:val="center"/>
            <w:hideMark/>
          </w:tcPr>
          <w:p w:rsidR="00000000" w:rsidRDefault="001F1FC8">
            <w:pPr>
              <w:jc w:val="right"/>
              <w:rPr>
                <w:rFonts w:eastAsia="Times New Roman"/>
              </w:rPr>
            </w:pPr>
          </w:p>
        </w:tc>
      </w:tr>
    </w:tbl>
    <w:p w:rsidR="00000000" w:rsidRDefault="001F1FC8">
      <w:pPr>
        <w:ind w:hanging="180"/>
        <w:divId w:val="1371153028"/>
        <w:rPr>
          <w:rFonts w:eastAsia="Times New Roman"/>
        </w:rPr>
      </w:pPr>
      <w:r>
        <w:rPr>
          <w:rFonts w:ascii="Arial" w:eastAsia="Times New Roman" w:hAnsi="Arial" w:cs="Arial"/>
          <w:i/>
          <w:iCs/>
          <w:color w:val="000000"/>
          <w:sz w:val="16"/>
          <w:szCs w:val="16"/>
        </w:rPr>
        <w:t>1</w:t>
      </w:r>
      <w:r>
        <w:rPr>
          <w:rFonts w:ascii="Arial" w:eastAsia="Times New Roman" w:hAnsi="Arial" w:cs="Arial"/>
          <w:i/>
          <w:iCs/>
          <w:color w:val="000000"/>
          <w:sz w:val="16"/>
          <w:szCs w:val="16"/>
        </w:rPr>
        <w:t>Non-GAAP financial measures.</w:t>
      </w:r>
    </w:p>
    <w:p w:rsidR="00000000" w:rsidRDefault="001F1FC8">
      <w:pPr>
        <w:divId w:val="788233741"/>
        <w:rPr>
          <w:rFonts w:eastAsia="Times New Roman"/>
        </w:rPr>
      </w:pPr>
    </w:p>
    <w:p w:rsidR="00000000" w:rsidRDefault="001F1FC8">
      <w:pPr>
        <w:divId w:val="1952083770"/>
        <w:rPr>
          <w:rFonts w:eastAsia="Times New Roman"/>
        </w:rPr>
      </w:pPr>
      <w:r>
        <w:rPr>
          <w:rFonts w:ascii="Arial" w:eastAsia="Times New Roman" w:hAnsi="Arial" w:cs="Arial"/>
          <w:b/>
          <w:bCs/>
          <w:color w:val="000000"/>
          <w:sz w:val="20"/>
          <w:szCs w:val="20"/>
        </w:rPr>
        <w:t>EARNINGS ATTRIBUTABLE TO COMMON SHAREHOLDERS</w:t>
      </w:r>
    </w:p>
    <w:p w:rsidR="00000000" w:rsidRDefault="001F1FC8">
      <w:pPr>
        <w:divId w:val="438987094"/>
        <w:rPr>
          <w:rFonts w:eastAsia="Times New Roman"/>
        </w:rPr>
      </w:pPr>
    </w:p>
    <w:p w:rsidR="00000000" w:rsidRDefault="001F1FC8">
      <w:pPr>
        <w:divId w:val="679048595"/>
        <w:rPr>
          <w:rFonts w:eastAsia="Times New Roman"/>
        </w:rPr>
      </w:pPr>
      <w:r>
        <w:rPr>
          <w:rFonts w:ascii="Arial" w:eastAsia="Times New Roman" w:hAnsi="Arial" w:cs="Arial"/>
          <w:b/>
          <w:bCs/>
          <w:color w:val="000000"/>
          <w:sz w:val="20"/>
          <w:szCs w:val="20"/>
        </w:rPr>
        <w:t>Year ended December 31, 2021 compared with year ended December 31, 2020</w:t>
      </w:r>
    </w:p>
    <w:p w:rsidR="00000000" w:rsidRDefault="001F1FC8">
      <w:pPr>
        <w:divId w:val="1163009462"/>
        <w:rPr>
          <w:rFonts w:eastAsia="Times New Roman"/>
        </w:rPr>
      </w:pPr>
    </w:p>
    <w:p w:rsidR="00000000" w:rsidRDefault="001F1FC8">
      <w:pPr>
        <w:divId w:val="1340087124"/>
        <w:rPr>
          <w:rFonts w:eastAsia="Times New Roman"/>
        </w:rPr>
      </w:pPr>
      <w:r>
        <w:rPr>
          <w:rFonts w:ascii="Arial" w:eastAsia="Times New Roman" w:hAnsi="Arial" w:cs="Arial"/>
          <w:color w:val="000000"/>
          <w:sz w:val="20"/>
          <w:szCs w:val="20"/>
        </w:rPr>
        <w:t>Earnings Attributable to Common Shareholders increased by $2.2 billion due to certain unusual, infrequen</w:t>
      </w:r>
      <w:r>
        <w:rPr>
          <w:rFonts w:ascii="Arial" w:eastAsia="Times New Roman" w:hAnsi="Arial" w:cs="Arial"/>
          <w:color w:val="000000"/>
          <w:sz w:val="20"/>
          <w:szCs w:val="20"/>
        </w:rPr>
        <w:t>t or other non-operating factors, primarily explained by the following:</w:t>
      </w:r>
    </w:p>
    <w:p w:rsidR="00000000" w:rsidRDefault="001F1FC8">
      <w:pPr>
        <w:ind w:hanging="360"/>
        <w:divId w:val="1653219231"/>
        <w:rPr>
          <w:rFonts w:eastAsia="Times New Roman"/>
        </w:rPr>
      </w:pPr>
      <w:r>
        <w:rPr>
          <w:rFonts w:ascii="Arial" w:eastAsia="Times New Roman" w:hAnsi="Arial" w:cs="Arial"/>
          <w:color w:val="000000"/>
          <w:sz w:val="20"/>
          <w:szCs w:val="20"/>
        </w:rPr>
        <w:t>•</w:t>
      </w:r>
      <w:r>
        <w:rPr>
          <w:rFonts w:ascii="Arial" w:eastAsia="Times New Roman" w:hAnsi="Arial" w:cs="Arial"/>
          <w:color w:val="000000"/>
          <w:sz w:val="20"/>
          <w:szCs w:val="20"/>
        </w:rPr>
        <w:t>a non-cash, unrealized net gain of $53 million ($40 million after-tax) in 2021, compared with an unrealized net loss of $122 million ($92 million after-tax) in 2020 reflecting the revaluation of derivatives used to manage the profitability of transportatio</w:t>
      </w:r>
      <w:r>
        <w:rPr>
          <w:rFonts w:ascii="Arial" w:eastAsia="Times New Roman" w:hAnsi="Arial" w:cs="Arial"/>
          <w:color w:val="000000"/>
          <w:sz w:val="20"/>
          <w:szCs w:val="20"/>
        </w:rPr>
        <w:t>n and storage transactions, as well as manage the exposure to movements in commodity prices;</w:t>
      </w:r>
    </w:p>
    <w:p w:rsidR="00000000" w:rsidRDefault="001F1FC8">
      <w:pPr>
        <w:ind w:hanging="360"/>
        <w:divId w:val="832330947"/>
        <w:rPr>
          <w:rFonts w:eastAsia="Times New Roman"/>
        </w:rPr>
      </w:pPr>
      <w:r>
        <w:rPr>
          <w:rFonts w:ascii="Arial" w:eastAsia="Times New Roman" w:hAnsi="Arial" w:cs="Arial"/>
          <w:color w:val="000000"/>
          <w:sz w:val="20"/>
          <w:szCs w:val="20"/>
          <w:shd w:val="clear" w:color="auto" w:fill="FFFFFF"/>
        </w:rPr>
        <w:t>•</w:t>
      </w:r>
      <w:r>
        <w:rPr>
          <w:rFonts w:ascii="Arial" w:eastAsia="Times New Roman" w:hAnsi="Arial" w:cs="Arial"/>
          <w:color w:val="000000"/>
          <w:sz w:val="20"/>
          <w:szCs w:val="20"/>
        </w:rPr>
        <w:t>an impairment loss of $111 million ($83 million after-tax) in 2021 to our investment in the PennEast pipeline project after a decision by project partners to ceas</w:t>
      </w:r>
      <w:r>
        <w:rPr>
          <w:rFonts w:ascii="Arial" w:eastAsia="Times New Roman" w:hAnsi="Arial" w:cs="Arial"/>
          <w:color w:val="000000"/>
          <w:sz w:val="20"/>
          <w:szCs w:val="20"/>
        </w:rPr>
        <w:t>e development, compared to a combined impairment loss of $615 million ($452 million after-tax) in 2020 to our investments in Southeast Supply Header (SESH) and Steckman Ridge, LP (Steckman);</w:t>
      </w:r>
    </w:p>
    <w:p w:rsidR="00000000" w:rsidRDefault="001F1FC8">
      <w:pPr>
        <w:ind w:hanging="360"/>
        <w:divId w:val="1450246488"/>
        <w:rPr>
          <w:rFonts w:eastAsia="Times New Roman"/>
        </w:rPr>
      </w:pPr>
      <w:r>
        <w:rPr>
          <w:rFonts w:ascii="Arial" w:eastAsia="Times New Roman" w:hAnsi="Arial" w:cs="Arial"/>
          <w:color w:val="000000"/>
          <w:sz w:val="20"/>
          <w:szCs w:val="20"/>
        </w:rPr>
        <w:t>•a gain of $303 million ($298 million after-tax) resulting from t</w:t>
      </w:r>
      <w:r>
        <w:rPr>
          <w:rFonts w:ascii="Arial" w:eastAsia="Times New Roman" w:hAnsi="Arial" w:cs="Arial"/>
          <w:color w:val="000000"/>
          <w:sz w:val="20"/>
          <w:szCs w:val="20"/>
        </w:rPr>
        <w:t>he sale of our investment in Noverco;</w:t>
      </w:r>
    </w:p>
    <w:p w:rsidR="00000000" w:rsidRDefault="001F1FC8">
      <w:pPr>
        <w:ind w:hanging="360"/>
        <w:divId w:val="505092422"/>
        <w:rPr>
          <w:rFonts w:eastAsia="Times New Roman"/>
        </w:rPr>
      </w:pPr>
      <w:r>
        <w:rPr>
          <w:rFonts w:ascii="Arial" w:eastAsia="Times New Roman" w:hAnsi="Arial" w:cs="Arial"/>
          <w:color w:val="000000"/>
          <w:sz w:val="20"/>
          <w:szCs w:val="20"/>
        </w:rPr>
        <w:t>•employee severance, transition and transformation costs of $147 million ($112 million after-tax) in 2021, compared to $339 million ($256 million after-tax) in 2020 primarily related to our voluntary workforce reductio</w:t>
      </w:r>
      <w:r>
        <w:rPr>
          <w:rFonts w:ascii="Arial" w:eastAsia="Times New Roman" w:hAnsi="Arial" w:cs="Arial"/>
          <w:color w:val="000000"/>
          <w:sz w:val="20"/>
          <w:szCs w:val="20"/>
        </w:rPr>
        <w:t xml:space="preserve">n program offered in the second quarter of 2020; </w:t>
      </w:r>
    </w:p>
    <w:p w:rsidR="00000000" w:rsidRDefault="001F1FC8">
      <w:pPr>
        <w:ind w:hanging="360"/>
        <w:divId w:val="283925294"/>
        <w:rPr>
          <w:rFonts w:eastAsia="Times New Roman"/>
        </w:rPr>
      </w:pPr>
      <w:r>
        <w:rPr>
          <w:rFonts w:ascii="Arial" w:eastAsia="Times New Roman" w:hAnsi="Arial" w:cs="Arial"/>
          <w:color w:val="000000"/>
          <w:sz w:val="20"/>
          <w:szCs w:val="20"/>
          <w:shd w:val="clear" w:color="auto" w:fill="FFFFFF"/>
        </w:rPr>
        <w:t>•</w:t>
      </w:r>
      <w:r>
        <w:rPr>
          <w:rFonts w:ascii="Arial" w:eastAsia="Times New Roman" w:hAnsi="Arial" w:cs="Arial"/>
          <w:color w:val="000000"/>
          <w:sz w:val="20"/>
          <w:szCs w:val="20"/>
        </w:rPr>
        <w:t xml:space="preserve">the absence in 2021 of a non-cash impairment to the carrying value of our investment in DCP Midstream, LLC (DCP Midstream) of $1.7 billion ($1.3 billion after-tax) and </w:t>
      </w:r>
      <w:r>
        <w:rPr>
          <w:rFonts w:ascii="Arial" w:eastAsia="Times New Roman" w:hAnsi="Arial" w:cs="Arial"/>
          <w:color w:val="000000"/>
          <w:sz w:val="20"/>
          <w:szCs w:val="20"/>
          <w:shd w:val="clear" w:color="auto" w:fill="FFFFFF"/>
        </w:rPr>
        <w:t>a $324 million loss</w:t>
      </w:r>
      <w:r>
        <w:rPr>
          <w:rFonts w:ascii="Arial" w:eastAsia="Times New Roman" w:hAnsi="Arial" w:cs="Arial"/>
          <w:color w:val="000000"/>
          <w:sz w:val="20"/>
          <w:szCs w:val="20"/>
        </w:rPr>
        <w:t xml:space="preserve"> ($244 million aft</w:t>
      </w:r>
      <w:r>
        <w:rPr>
          <w:rFonts w:ascii="Arial" w:eastAsia="Times New Roman" w:hAnsi="Arial" w:cs="Arial"/>
          <w:color w:val="000000"/>
          <w:sz w:val="20"/>
          <w:szCs w:val="20"/>
        </w:rPr>
        <w:t xml:space="preserve">er-tax) </w:t>
      </w:r>
      <w:r>
        <w:rPr>
          <w:rFonts w:ascii="Arial" w:eastAsia="Times New Roman" w:hAnsi="Arial" w:cs="Arial"/>
          <w:color w:val="000000"/>
          <w:sz w:val="20"/>
          <w:szCs w:val="20"/>
          <w:shd w:val="clear" w:color="auto" w:fill="FFFFFF"/>
        </w:rPr>
        <w:t>resulting from our share of asset and goodwill impairments recognized by DCP Midstream, both recognized in 2020</w:t>
      </w:r>
      <w:r>
        <w:rPr>
          <w:rFonts w:ascii="Arial" w:eastAsia="Times New Roman" w:hAnsi="Arial" w:cs="Arial"/>
          <w:color w:val="000000"/>
          <w:sz w:val="20"/>
          <w:szCs w:val="20"/>
        </w:rPr>
        <w:t>; and</w:t>
      </w:r>
    </w:p>
    <w:p w:rsidR="00000000" w:rsidRDefault="001F1FC8">
      <w:pPr>
        <w:jc w:val="center"/>
        <w:divId w:val="392125398"/>
        <w:rPr>
          <w:rFonts w:eastAsia="Times New Roman"/>
        </w:rPr>
      </w:pPr>
      <w:r>
        <w:rPr>
          <w:rFonts w:ascii="Arial" w:eastAsia="Times New Roman" w:hAnsi="Arial" w:cs="Arial"/>
          <w:color w:val="000000"/>
          <w:sz w:val="20"/>
          <w:szCs w:val="20"/>
        </w:rPr>
        <w:t>62</w:t>
      </w:r>
    </w:p>
    <w:p w:rsidR="00000000" w:rsidRDefault="001F1FC8">
      <w:pPr>
        <w:rPr>
          <w:rFonts w:eastAsia="Times New Roman"/>
        </w:rPr>
      </w:pPr>
      <w:r>
        <w:rPr>
          <w:rFonts w:eastAsia="Times New Roman"/>
        </w:rPr>
        <w:pict>
          <v:rect id="_x0000_i1092" style="width:0;height:1.5pt" o:hralign="center" o:hrstd="t" o:hr="t" fillcolor="#a0a0a0" stroked="f"/>
        </w:pict>
      </w:r>
    </w:p>
    <w:p w:rsidR="00000000" w:rsidRDefault="001F1FC8">
      <w:pPr>
        <w:jc w:val="center"/>
        <w:divId w:val="697437188"/>
        <w:rPr>
          <w:rFonts w:eastAsia="Times New Roman"/>
        </w:rPr>
      </w:pPr>
    </w:p>
    <w:p w:rsidR="00000000" w:rsidRDefault="001F1FC8">
      <w:pPr>
        <w:ind w:hanging="360"/>
        <w:divId w:val="1842307819"/>
        <w:rPr>
          <w:rFonts w:eastAsia="Times New Roman"/>
        </w:rPr>
      </w:pPr>
      <w:r>
        <w:rPr>
          <w:rFonts w:ascii="Arial" w:eastAsia="Times New Roman" w:hAnsi="Arial" w:cs="Arial"/>
          <w:color w:val="000000"/>
          <w:sz w:val="20"/>
          <w:szCs w:val="20"/>
        </w:rPr>
        <w:t>•the absence in 2021 of a $159 million loss ($119 million after-tax) recorded in 2020 to r</w:t>
      </w:r>
      <w:r>
        <w:rPr>
          <w:rFonts w:ascii="Arial" w:eastAsia="Times New Roman" w:hAnsi="Arial" w:cs="Arial"/>
          <w:color w:val="000000"/>
          <w:sz w:val="20"/>
          <w:szCs w:val="20"/>
        </w:rPr>
        <w:t>eflect the Texas Eastern rate case settlement that re-established the Excess Accumulated Deferred Income Tax (EDIT) regulated liability that was previously eliminated in December 2018; partially offset by</w:t>
      </w:r>
    </w:p>
    <w:p w:rsidR="00000000" w:rsidRDefault="001F1FC8">
      <w:pPr>
        <w:ind w:hanging="360"/>
        <w:divId w:val="1837376065"/>
        <w:rPr>
          <w:rFonts w:eastAsia="Times New Roman"/>
        </w:rPr>
      </w:pPr>
      <w:r>
        <w:rPr>
          <w:rFonts w:ascii="Arial" w:eastAsia="Times New Roman" w:hAnsi="Arial" w:cs="Arial"/>
          <w:color w:val="000000"/>
          <w:sz w:val="20"/>
          <w:szCs w:val="20"/>
        </w:rPr>
        <w:t>•a non-cash, unrealized derivative fair value net g</w:t>
      </w:r>
      <w:r>
        <w:rPr>
          <w:rFonts w:ascii="Arial" w:eastAsia="Times New Roman" w:hAnsi="Arial" w:cs="Arial"/>
          <w:color w:val="000000"/>
          <w:sz w:val="20"/>
          <w:szCs w:val="20"/>
        </w:rPr>
        <w:t>ain of $197 million ($150 million after-tax) in 2021, compared with a net gain of $856 million ($646 million after-tax) in 2020, reflecting net fair value gains and losses arising from changes in the mark-to-market value of derivative financial instruments</w:t>
      </w:r>
      <w:r>
        <w:rPr>
          <w:rFonts w:ascii="Arial" w:eastAsia="Times New Roman" w:hAnsi="Arial" w:cs="Arial"/>
          <w:color w:val="000000"/>
          <w:sz w:val="20"/>
          <w:szCs w:val="20"/>
        </w:rPr>
        <w:t xml:space="preserve"> used to manage foreign exchange risks.</w:t>
      </w:r>
    </w:p>
    <w:p w:rsidR="00000000" w:rsidRDefault="001F1FC8">
      <w:pPr>
        <w:divId w:val="922909100"/>
        <w:rPr>
          <w:rFonts w:eastAsia="Times New Roman"/>
        </w:rPr>
      </w:pPr>
    </w:p>
    <w:p w:rsidR="00000000" w:rsidRDefault="001F1FC8">
      <w:pPr>
        <w:divId w:val="1629362248"/>
        <w:rPr>
          <w:rFonts w:eastAsia="Times New Roman"/>
        </w:rPr>
      </w:pPr>
      <w:r>
        <w:rPr>
          <w:rFonts w:ascii="Arial" w:eastAsia="Times New Roman" w:hAnsi="Arial" w:cs="Arial"/>
          <w:color w:val="000000"/>
          <w:sz w:val="20"/>
          <w:szCs w:val="20"/>
        </w:rPr>
        <w:t>The non-cash, unrealized derivative fair value gains and losses discussed above generally arise as a result of a comprehensive long-term economic hedging program to mitigate interest rate, foreign exchange and comm</w:t>
      </w:r>
      <w:r>
        <w:rPr>
          <w:rFonts w:ascii="Arial" w:eastAsia="Times New Roman" w:hAnsi="Arial" w:cs="Arial"/>
          <w:color w:val="000000"/>
          <w:sz w:val="20"/>
          <w:szCs w:val="20"/>
        </w:rPr>
        <w:t>odity price risks. This program creates volatility in reported short-term earnings through the recognition of unrealized non-cash gains and losses on financial derivative instruments used to hedge these risks. Over the long-term, we believe our hedging pro</w:t>
      </w:r>
      <w:r>
        <w:rPr>
          <w:rFonts w:ascii="Arial" w:eastAsia="Times New Roman" w:hAnsi="Arial" w:cs="Arial"/>
          <w:color w:val="000000"/>
          <w:sz w:val="20"/>
          <w:szCs w:val="20"/>
        </w:rPr>
        <w:t>gram supports the reliable cash flows and dividend growth upon which our investor value proposition is based.</w:t>
      </w:r>
    </w:p>
    <w:p w:rsidR="00000000" w:rsidRDefault="001F1FC8">
      <w:pPr>
        <w:divId w:val="298540588"/>
        <w:rPr>
          <w:rFonts w:eastAsia="Times New Roman"/>
        </w:rPr>
      </w:pPr>
    </w:p>
    <w:p w:rsidR="00000000" w:rsidRDefault="001F1FC8">
      <w:pPr>
        <w:divId w:val="1454905050"/>
        <w:rPr>
          <w:rFonts w:eastAsia="Times New Roman"/>
        </w:rPr>
      </w:pPr>
      <w:r>
        <w:rPr>
          <w:rFonts w:ascii="Arial" w:eastAsia="Times New Roman" w:hAnsi="Arial" w:cs="Arial"/>
          <w:color w:val="000000"/>
          <w:sz w:val="20"/>
          <w:szCs w:val="20"/>
        </w:rPr>
        <w:t>After taking into consideration the factors above, the remaining $657 million increase in earnings attributable to common shareholders is primar</w:t>
      </w:r>
      <w:r>
        <w:rPr>
          <w:rFonts w:ascii="Arial" w:eastAsia="Times New Roman" w:hAnsi="Arial" w:cs="Arial"/>
          <w:color w:val="000000"/>
          <w:sz w:val="20"/>
          <w:szCs w:val="20"/>
        </w:rPr>
        <w:t>ily explained by the following significant business factors:</w:t>
      </w:r>
    </w:p>
    <w:p w:rsidR="00000000" w:rsidRDefault="001F1FC8">
      <w:pPr>
        <w:ind w:hanging="360"/>
        <w:divId w:val="1029376442"/>
        <w:rPr>
          <w:rFonts w:eastAsia="Times New Roman"/>
        </w:rPr>
      </w:pPr>
      <w:r>
        <w:rPr>
          <w:rFonts w:ascii="Arial" w:eastAsia="Times New Roman" w:hAnsi="Arial" w:cs="Arial"/>
          <w:color w:val="000000"/>
          <w:sz w:val="20"/>
          <w:szCs w:val="20"/>
        </w:rPr>
        <w:t xml:space="preserve">•stronger contributions from our Liquids Pipelines segment due to increased volumes enabled by incremental Line 3 capacity placed into service in the fourth quarter of 2021 and a higher Mainline </w:t>
      </w:r>
      <w:r>
        <w:rPr>
          <w:rFonts w:ascii="Arial" w:eastAsia="Times New Roman" w:hAnsi="Arial" w:cs="Arial"/>
          <w:color w:val="000000"/>
          <w:sz w:val="20"/>
          <w:szCs w:val="20"/>
        </w:rPr>
        <w:t>International Joint Tariff (IJT) Benchmark Toll, partially offset by the recognition of a provision against the interim Mainline IJT for barrels shipped between July 1, 2021 and December 31, 2021;</w:t>
      </w:r>
    </w:p>
    <w:p w:rsidR="00000000" w:rsidRDefault="001F1FC8">
      <w:pPr>
        <w:ind w:hanging="360"/>
        <w:divId w:val="479274239"/>
        <w:rPr>
          <w:rFonts w:eastAsia="Times New Roman"/>
        </w:rPr>
      </w:pPr>
      <w:r>
        <w:rPr>
          <w:rFonts w:ascii="Arial" w:eastAsia="Times New Roman" w:hAnsi="Arial" w:cs="Arial"/>
          <w:color w:val="000000"/>
          <w:sz w:val="20"/>
          <w:szCs w:val="20"/>
        </w:rPr>
        <w:t>•</w:t>
      </w:r>
      <w:r>
        <w:rPr>
          <w:rFonts w:ascii="Arial" w:eastAsia="Times New Roman" w:hAnsi="Arial" w:cs="Arial"/>
          <w:color w:val="000000"/>
          <w:sz w:val="20"/>
          <w:szCs w:val="20"/>
        </w:rPr>
        <w:t xml:space="preserve">increased earnings from our Gas Distribution and Storage segment due to increased rates and customer base; </w:t>
      </w:r>
    </w:p>
    <w:p w:rsidR="00000000" w:rsidRDefault="001F1FC8">
      <w:pPr>
        <w:ind w:hanging="360"/>
        <w:divId w:val="1855921255"/>
        <w:rPr>
          <w:rFonts w:eastAsia="Times New Roman"/>
        </w:rPr>
      </w:pPr>
      <w:r>
        <w:rPr>
          <w:rFonts w:ascii="Arial" w:eastAsia="Times New Roman" w:hAnsi="Arial" w:cs="Arial"/>
          <w:color w:val="000000"/>
          <w:sz w:val="20"/>
          <w:szCs w:val="20"/>
        </w:rPr>
        <w:t>•higher equity earnings from our Aux Sable and DCP Midstream joint ventures in our Gas Transmission and Midstream; and</w:t>
      </w:r>
    </w:p>
    <w:p w:rsidR="00000000" w:rsidRDefault="001F1FC8">
      <w:pPr>
        <w:ind w:hanging="360"/>
        <w:divId w:val="679310741"/>
        <w:rPr>
          <w:rFonts w:eastAsia="Times New Roman"/>
        </w:rPr>
      </w:pPr>
      <w:r>
        <w:rPr>
          <w:rFonts w:eastAsia="Times New Roman"/>
          <w:color w:val="000000"/>
          <w:sz w:val="20"/>
          <w:szCs w:val="20"/>
        </w:rPr>
        <w:t>•</w:t>
      </w:r>
      <w:r>
        <w:rPr>
          <w:rFonts w:ascii="Arial" w:eastAsia="Times New Roman" w:hAnsi="Arial" w:cs="Arial"/>
          <w:color w:val="000000"/>
          <w:sz w:val="20"/>
          <w:szCs w:val="20"/>
        </w:rPr>
        <w:t>lower interest expense for t</w:t>
      </w:r>
      <w:r>
        <w:rPr>
          <w:rFonts w:ascii="Arial" w:eastAsia="Times New Roman" w:hAnsi="Arial" w:cs="Arial"/>
          <w:color w:val="000000"/>
          <w:sz w:val="20"/>
          <w:szCs w:val="20"/>
        </w:rPr>
        <w:t>he first nine months of 2021 due to favourable interest rates on short-term borrowings, and the impact of a weaker US dollar currency that positively impacted the translation of interest payments on US dollar denominated debt.</w:t>
      </w:r>
    </w:p>
    <w:p w:rsidR="00000000" w:rsidRDefault="001F1FC8">
      <w:pPr>
        <w:ind w:hanging="720"/>
        <w:divId w:val="2145736387"/>
        <w:rPr>
          <w:rFonts w:eastAsia="Times New Roman"/>
        </w:rPr>
      </w:pPr>
    </w:p>
    <w:p w:rsidR="00000000" w:rsidRDefault="001F1FC8">
      <w:pPr>
        <w:divId w:val="278486854"/>
        <w:rPr>
          <w:rFonts w:eastAsia="Times New Roman"/>
        </w:rPr>
      </w:pPr>
      <w:r>
        <w:rPr>
          <w:rFonts w:ascii="Arial" w:eastAsia="Times New Roman" w:hAnsi="Arial" w:cs="Arial"/>
          <w:color w:val="000000"/>
          <w:sz w:val="20"/>
          <w:szCs w:val="20"/>
        </w:rPr>
        <w:t xml:space="preserve">The business factors above </w:t>
      </w:r>
      <w:r>
        <w:rPr>
          <w:rFonts w:ascii="Arial" w:eastAsia="Times New Roman" w:hAnsi="Arial" w:cs="Arial"/>
          <w:color w:val="000000"/>
          <w:sz w:val="20"/>
          <w:szCs w:val="20"/>
        </w:rPr>
        <w:t>were partially offset by the following:</w:t>
      </w:r>
    </w:p>
    <w:p w:rsidR="00000000" w:rsidRDefault="001F1FC8">
      <w:pPr>
        <w:ind w:hanging="360"/>
        <w:divId w:val="376468938"/>
        <w:rPr>
          <w:rFonts w:eastAsia="Times New Roman"/>
        </w:rPr>
      </w:pPr>
      <w:r>
        <w:rPr>
          <w:rFonts w:ascii="Arial" w:eastAsia="Times New Roman" w:hAnsi="Arial" w:cs="Arial"/>
          <w:color w:val="000000"/>
          <w:sz w:val="20"/>
          <w:szCs w:val="20"/>
        </w:rPr>
        <w:t>•decreased earnings from our Energy Services segment due to the significant compression of location and quality differentials in certain markets, fewer storage opportunities due to market backwardation, adverse impac</w:t>
      </w:r>
      <w:r>
        <w:rPr>
          <w:rFonts w:ascii="Arial" w:eastAsia="Times New Roman" w:hAnsi="Arial" w:cs="Arial"/>
          <w:color w:val="000000"/>
          <w:sz w:val="20"/>
          <w:szCs w:val="20"/>
        </w:rPr>
        <w:t>ts from the major winter storm experienced across the US Midwest during February 2021 and fewer opportunities to achieve profitable transportation margins on facilities in which Energy Services holds capacity obligations;</w:t>
      </w:r>
    </w:p>
    <w:p w:rsidR="00000000" w:rsidRDefault="001F1FC8">
      <w:pPr>
        <w:ind w:hanging="360"/>
        <w:divId w:val="1615818417"/>
        <w:rPr>
          <w:rFonts w:eastAsia="Times New Roman"/>
        </w:rPr>
      </w:pPr>
      <w:r>
        <w:rPr>
          <w:rFonts w:ascii="Arial" w:eastAsia="Times New Roman" w:hAnsi="Arial" w:cs="Arial"/>
          <w:color w:val="000000"/>
          <w:sz w:val="20"/>
          <w:szCs w:val="20"/>
        </w:rPr>
        <w:t>•the net unfavorable effect of tra</w:t>
      </w:r>
      <w:r>
        <w:rPr>
          <w:rFonts w:ascii="Arial" w:eastAsia="Times New Roman" w:hAnsi="Arial" w:cs="Arial"/>
          <w:color w:val="000000"/>
          <w:sz w:val="20"/>
          <w:szCs w:val="20"/>
        </w:rPr>
        <w:t xml:space="preserve">nslating US dollar EBITDA to Canadian dollars at a lower average exchange rate in 2021 compared to the same period in 2020; </w:t>
      </w:r>
    </w:p>
    <w:p w:rsidR="00000000" w:rsidRDefault="001F1FC8">
      <w:pPr>
        <w:ind w:hanging="360"/>
        <w:divId w:val="486824112"/>
        <w:rPr>
          <w:rFonts w:eastAsia="Times New Roman"/>
        </w:rPr>
      </w:pPr>
      <w:r>
        <w:rPr>
          <w:rFonts w:ascii="Arial" w:eastAsia="Times New Roman" w:hAnsi="Arial" w:cs="Arial"/>
          <w:color w:val="000000"/>
          <w:sz w:val="20"/>
          <w:szCs w:val="20"/>
        </w:rPr>
        <w:t>•the absence in 2021 of the recognition of revenue in 2020 from a rate settlement on Texas Eastern, partially offset by increased r</w:t>
      </w:r>
      <w:r>
        <w:rPr>
          <w:rFonts w:ascii="Arial" w:eastAsia="Times New Roman" w:hAnsi="Arial" w:cs="Arial"/>
          <w:color w:val="000000"/>
          <w:sz w:val="20"/>
          <w:szCs w:val="20"/>
        </w:rPr>
        <w:t>evenue due to the absence of pressure restrictions that existed on the Texas Eastern system in 2020; and</w:t>
      </w:r>
    </w:p>
    <w:p w:rsidR="00000000" w:rsidRDefault="001F1FC8">
      <w:pPr>
        <w:ind w:hanging="360"/>
        <w:divId w:val="149562461"/>
        <w:rPr>
          <w:rFonts w:eastAsia="Times New Roman"/>
        </w:rPr>
      </w:pPr>
      <w:r>
        <w:rPr>
          <w:rFonts w:ascii="Arial" w:eastAsia="Times New Roman" w:hAnsi="Arial" w:cs="Arial"/>
          <w:color w:val="000000"/>
          <w:sz w:val="20"/>
          <w:szCs w:val="20"/>
        </w:rPr>
        <w:t>•higher depreciation expense on new assets placed into service throughout 2021, including the US L3R Program, placed into service early in the fourth q</w:t>
      </w:r>
      <w:r>
        <w:rPr>
          <w:rFonts w:ascii="Arial" w:eastAsia="Times New Roman" w:hAnsi="Arial" w:cs="Arial"/>
          <w:color w:val="000000"/>
          <w:sz w:val="20"/>
          <w:szCs w:val="20"/>
        </w:rPr>
        <w:t>uarter and the EIEC, acquired in mid-October.</w:t>
      </w:r>
    </w:p>
    <w:p w:rsidR="00000000" w:rsidRDefault="001F1FC8">
      <w:pPr>
        <w:divId w:val="190806629"/>
        <w:rPr>
          <w:rFonts w:eastAsia="Times New Roman"/>
        </w:rPr>
      </w:pPr>
    </w:p>
    <w:p w:rsidR="00000000" w:rsidRDefault="001F1FC8">
      <w:pPr>
        <w:divId w:val="270820566"/>
        <w:rPr>
          <w:rFonts w:eastAsia="Times New Roman"/>
        </w:rPr>
      </w:pPr>
      <w:r>
        <w:rPr>
          <w:rFonts w:ascii="Arial" w:eastAsia="Times New Roman" w:hAnsi="Arial" w:cs="Arial"/>
          <w:b/>
          <w:bCs/>
          <w:color w:val="000000"/>
          <w:sz w:val="20"/>
          <w:szCs w:val="20"/>
        </w:rPr>
        <w:t xml:space="preserve">REVENUES </w:t>
      </w:r>
    </w:p>
    <w:p w:rsidR="00000000" w:rsidRDefault="001F1FC8">
      <w:pPr>
        <w:divId w:val="499350501"/>
        <w:rPr>
          <w:rFonts w:eastAsia="Times New Roman"/>
        </w:rPr>
      </w:pPr>
      <w:r>
        <w:rPr>
          <w:rFonts w:ascii="Arial" w:eastAsia="Times New Roman" w:hAnsi="Arial" w:cs="Arial"/>
          <w:color w:val="000000"/>
          <w:sz w:val="20"/>
          <w:szCs w:val="20"/>
        </w:rPr>
        <w:t>We generate revenues from three primary sources: transportation and other services, gas distribution sales and commodity sales.</w:t>
      </w:r>
    </w:p>
    <w:p w:rsidR="00000000" w:rsidRDefault="001F1FC8">
      <w:pPr>
        <w:divId w:val="1011563845"/>
        <w:rPr>
          <w:rFonts w:eastAsia="Times New Roman"/>
        </w:rPr>
      </w:pPr>
    </w:p>
    <w:p w:rsidR="00000000" w:rsidRDefault="001F1FC8">
      <w:pPr>
        <w:jc w:val="center"/>
        <w:divId w:val="595209109"/>
        <w:rPr>
          <w:rFonts w:eastAsia="Times New Roman"/>
        </w:rPr>
      </w:pPr>
      <w:r>
        <w:rPr>
          <w:rFonts w:ascii="Arial" w:eastAsia="Times New Roman" w:hAnsi="Arial" w:cs="Arial"/>
          <w:color w:val="000000"/>
          <w:sz w:val="20"/>
          <w:szCs w:val="20"/>
        </w:rPr>
        <w:t>63</w:t>
      </w:r>
    </w:p>
    <w:p w:rsidR="00000000" w:rsidRDefault="001F1FC8">
      <w:pPr>
        <w:rPr>
          <w:rFonts w:eastAsia="Times New Roman"/>
        </w:rPr>
      </w:pPr>
      <w:r>
        <w:rPr>
          <w:rFonts w:eastAsia="Times New Roman"/>
        </w:rPr>
        <w:pict>
          <v:rect id="_x0000_i1093" style="width:0;height:1.5pt" o:hralign="center" o:hrstd="t" o:hr="t" fillcolor="#a0a0a0" stroked="f"/>
        </w:pict>
      </w:r>
    </w:p>
    <w:p w:rsidR="00000000" w:rsidRDefault="001F1FC8">
      <w:pPr>
        <w:jc w:val="center"/>
        <w:divId w:val="343096565"/>
        <w:rPr>
          <w:rFonts w:eastAsia="Times New Roman"/>
        </w:rPr>
      </w:pPr>
    </w:p>
    <w:p w:rsidR="00000000" w:rsidRDefault="001F1FC8">
      <w:pPr>
        <w:divId w:val="680814729"/>
        <w:rPr>
          <w:rFonts w:eastAsia="Times New Roman"/>
        </w:rPr>
      </w:pPr>
      <w:r>
        <w:rPr>
          <w:rFonts w:ascii="Arial" w:eastAsia="Times New Roman" w:hAnsi="Arial" w:cs="Arial"/>
          <w:color w:val="000000"/>
          <w:sz w:val="20"/>
          <w:szCs w:val="20"/>
        </w:rPr>
        <w:t>Transportation and other services revenues of $16.2 billion, $16.2 billion and $16.6 billion for the years ended December 31, 2021, 2020 and 2019, respectively, were earned from our crude oil and natural gas pipeline t</w:t>
      </w:r>
      <w:r>
        <w:rPr>
          <w:rFonts w:ascii="Arial" w:eastAsia="Times New Roman" w:hAnsi="Arial" w:cs="Arial"/>
          <w:color w:val="000000"/>
          <w:sz w:val="20"/>
          <w:szCs w:val="20"/>
        </w:rPr>
        <w:t>ransportation businesses and also include power generation revenues from our portfolio of renewable and power generation assets. For our transportation assets operating under market-based arrangements, revenues are driven by volumes transported and the cor</w:t>
      </w:r>
      <w:r>
        <w:rPr>
          <w:rFonts w:ascii="Arial" w:eastAsia="Times New Roman" w:hAnsi="Arial" w:cs="Arial"/>
          <w:color w:val="000000"/>
          <w:sz w:val="20"/>
          <w:szCs w:val="20"/>
        </w:rPr>
        <w:t>responding tolls for transportation services. For assets operating under take-or-pay contracts, revenues reflect the terms of the underlying contract for services or capacity. For rate-regulated assets, revenues are charged in accordance with tolls establi</w:t>
      </w:r>
      <w:r>
        <w:rPr>
          <w:rFonts w:ascii="Arial" w:eastAsia="Times New Roman" w:hAnsi="Arial" w:cs="Arial"/>
          <w:color w:val="000000"/>
          <w:sz w:val="20"/>
          <w:szCs w:val="20"/>
        </w:rPr>
        <w:t xml:space="preserve">shed by the regulator and, in most cost-of-service based arrangements, are reflective of our cost to provide the service plus a regulator-approved rate of return. </w:t>
      </w:r>
    </w:p>
    <w:p w:rsidR="00000000" w:rsidRDefault="001F1FC8">
      <w:pPr>
        <w:divId w:val="1688747642"/>
        <w:rPr>
          <w:rFonts w:eastAsia="Times New Roman"/>
        </w:rPr>
      </w:pPr>
    </w:p>
    <w:p w:rsidR="00000000" w:rsidRDefault="001F1FC8">
      <w:pPr>
        <w:divId w:val="1485314590"/>
        <w:rPr>
          <w:rFonts w:eastAsia="Times New Roman"/>
        </w:rPr>
      </w:pPr>
      <w:r>
        <w:rPr>
          <w:rFonts w:ascii="Arial" w:eastAsia="Times New Roman" w:hAnsi="Arial" w:cs="Arial"/>
          <w:color w:val="000000"/>
          <w:sz w:val="20"/>
          <w:szCs w:val="20"/>
        </w:rPr>
        <w:t>Gas distribution sales revenues of $4.0 billion, $3.7 billion and $4.2 billion for the yea</w:t>
      </w:r>
      <w:r>
        <w:rPr>
          <w:rFonts w:ascii="Arial" w:eastAsia="Times New Roman" w:hAnsi="Arial" w:cs="Arial"/>
          <w:color w:val="000000"/>
          <w:sz w:val="20"/>
          <w:szCs w:val="20"/>
        </w:rPr>
        <w:t>rs ended December 31, 2021, 2020 and 2019, respectively, were recognized in a manner consistent with the underlying rate-setting mechanism mandated by the regulator. Revenues generated by the gas distribution businesses are primarily driven by volumes deli</w:t>
      </w:r>
      <w:r>
        <w:rPr>
          <w:rFonts w:ascii="Arial" w:eastAsia="Times New Roman" w:hAnsi="Arial" w:cs="Arial"/>
          <w:color w:val="000000"/>
          <w:sz w:val="20"/>
          <w:szCs w:val="20"/>
        </w:rPr>
        <w:t>vered, which vary with weather and customer composition and utilization, as well as regulator-approved rates. The cost of natural gas is passed through to customers through rates and does not ultimately impact earnings due to its flow-through nature.</w:t>
      </w:r>
    </w:p>
    <w:p w:rsidR="00000000" w:rsidRDefault="001F1FC8">
      <w:pPr>
        <w:divId w:val="1903442311"/>
        <w:rPr>
          <w:rFonts w:eastAsia="Times New Roman"/>
        </w:rPr>
      </w:pPr>
    </w:p>
    <w:p w:rsidR="00000000" w:rsidRDefault="001F1FC8">
      <w:pPr>
        <w:divId w:val="369115095"/>
        <w:rPr>
          <w:rFonts w:eastAsia="Times New Roman"/>
        </w:rPr>
      </w:pPr>
      <w:r>
        <w:rPr>
          <w:rFonts w:ascii="Arial" w:eastAsia="Times New Roman" w:hAnsi="Arial" w:cs="Arial"/>
          <w:color w:val="000000"/>
          <w:sz w:val="20"/>
          <w:szCs w:val="20"/>
        </w:rPr>
        <w:t>Com</w:t>
      </w:r>
      <w:r>
        <w:rPr>
          <w:rFonts w:ascii="Arial" w:eastAsia="Times New Roman" w:hAnsi="Arial" w:cs="Arial"/>
          <w:color w:val="000000"/>
          <w:sz w:val="20"/>
          <w:szCs w:val="20"/>
        </w:rPr>
        <w:t>modity sales revenues of $26.9 billion, $19.3 billion and $29.3 billion for the years ended December 31, 2021, 2020 and 2019, respectively, were generated primarily through our Energy Services operations. Energy Services includes the contemporaneous purcha</w:t>
      </w:r>
      <w:r>
        <w:rPr>
          <w:rFonts w:ascii="Arial" w:eastAsia="Times New Roman" w:hAnsi="Arial" w:cs="Arial"/>
          <w:color w:val="000000"/>
          <w:sz w:val="20"/>
          <w:szCs w:val="20"/>
        </w:rPr>
        <w:t>se and sale of crude oil, natural gas, power and Natural Gas Liquids (NGLs) to generate a margin, which is typically a small fraction of gross revenue. While sales revenue generated from these operations are impacted by commodity prices, net margins and ea</w:t>
      </w:r>
      <w:r>
        <w:rPr>
          <w:rFonts w:ascii="Arial" w:eastAsia="Times New Roman" w:hAnsi="Arial" w:cs="Arial"/>
          <w:color w:val="000000"/>
          <w:sz w:val="20"/>
          <w:szCs w:val="20"/>
        </w:rPr>
        <w:t>rnings are relatively insensitive to commodity prices and reflect activity levels which are driven by differences in commodity prices between locations, grades and points in time, rather than on absolute prices. Any residual commodity margin risk is closel</w:t>
      </w:r>
      <w:r>
        <w:rPr>
          <w:rFonts w:ascii="Arial" w:eastAsia="Times New Roman" w:hAnsi="Arial" w:cs="Arial"/>
          <w:color w:val="000000"/>
          <w:sz w:val="20"/>
          <w:szCs w:val="20"/>
        </w:rPr>
        <w:t>y monitored and managed. Revenues from these operations depend on activity levels, which vary from year-to-year depending on market conditions and commodity prices.</w:t>
      </w:r>
    </w:p>
    <w:p w:rsidR="00000000" w:rsidRDefault="001F1FC8">
      <w:pPr>
        <w:divId w:val="836967999"/>
        <w:rPr>
          <w:rFonts w:eastAsia="Times New Roman"/>
        </w:rPr>
      </w:pPr>
    </w:p>
    <w:p w:rsidR="00000000" w:rsidRDefault="001F1FC8">
      <w:pPr>
        <w:divId w:val="1678801384"/>
        <w:rPr>
          <w:rFonts w:eastAsia="Times New Roman"/>
        </w:rPr>
      </w:pPr>
      <w:r>
        <w:rPr>
          <w:rFonts w:ascii="Arial" w:eastAsia="Times New Roman" w:hAnsi="Arial" w:cs="Arial"/>
          <w:color w:val="000000"/>
          <w:sz w:val="20"/>
          <w:szCs w:val="20"/>
        </w:rPr>
        <w:t>Our revenues also include changes in unrealized derivative fair value gains and losses re</w:t>
      </w:r>
      <w:r>
        <w:rPr>
          <w:rFonts w:ascii="Arial" w:eastAsia="Times New Roman" w:hAnsi="Arial" w:cs="Arial"/>
          <w:color w:val="000000"/>
          <w:sz w:val="20"/>
          <w:szCs w:val="20"/>
        </w:rPr>
        <w:t>lated to foreign exchange and commodity price contracts used to manage exposures from movements in foreign exchange rates and commodity prices. The mark-to-market accounting creates volatility and impacts the comparability of revenues in the short-term, bu</w:t>
      </w:r>
      <w:r>
        <w:rPr>
          <w:rFonts w:ascii="Arial" w:eastAsia="Times New Roman" w:hAnsi="Arial" w:cs="Arial"/>
          <w:color w:val="000000"/>
          <w:sz w:val="20"/>
          <w:szCs w:val="20"/>
        </w:rPr>
        <w:t>t we believe over the long-term, the economic hedging program supports reliable cash flows.</w:t>
      </w:r>
    </w:p>
    <w:p w:rsidR="00000000" w:rsidRDefault="001F1FC8">
      <w:pPr>
        <w:divId w:val="1531718852"/>
        <w:rPr>
          <w:rFonts w:eastAsia="Times New Roman"/>
        </w:rPr>
      </w:pPr>
    </w:p>
    <w:p w:rsidR="00000000" w:rsidRDefault="001F1FC8">
      <w:pPr>
        <w:divId w:val="1992977900"/>
        <w:rPr>
          <w:rFonts w:eastAsia="Times New Roman"/>
        </w:rPr>
      </w:pPr>
      <w:r>
        <w:rPr>
          <w:rFonts w:ascii="Arial" w:eastAsia="Times New Roman" w:hAnsi="Arial" w:cs="Arial"/>
          <w:b/>
          <w:bCs/>
          <w:color w:val="000000"/>
          <w:sz w:val="26"/>
          <w:szCs w:val="26"/>
        </w:rPr>
        <w:t>BUSINESS SEGMENTS</w:t>
      </w:r>
    </w:p>
    <w:p w:rsidR="00000000" w:rsidRDefault="001F1FC8">
      <w:pPr>
        <w:divId w:val="549341142"/>
        <w:rPr>
          <w:rFonts w:eastAsia="Times New Roman"/>
        </w:rPr>
      </w:pPr>
    </w:p>
    <w:p w:rsidR="00000000" w:rsidRDefault="001F1FC8">
      <w:pPr>
        <w:divId w:val="1937669429"/>
        <w:rPr>
          <w:rFonts w:eastAsia="Times New Roman"/>
        </w:rPr>
      </w:pPr>
      <w:r>
        <w:rPr>
          <w:rFonts w:ascii="Arial" w:eastAsia="Times New Roman" w:hAnsi="Arial" w:cs="Arial"/>
          <w:b/>
          <w:bCs/>
          <w:color w:val="000000"/>
          <w:sz w:val="26"/>
          <w:szCs w:val="26"/>
        </w:rPr>
        <w:t>LIQUIDS PIPELINES</w:t>
      </w:r>
    </w:p>
    <w:tbl>
      <w:tblPr>
        <w:tblW w:w="5000" w:type="pct"/>
        <w:tblCellMar>
          <w:top w:w="15" w:type="dxa"/>
          <w:left w:w="15" w:type="dxa"/>
          <w:bottom w:w="15" w:type="dxa"/>
          <w:right w:w="15" w:type="dxa"/>
        </w:tblCellMar>
        <w:tblLook w:val="04A0" w:firstRow="1" w:lastRow="0" w:firstColumn="1" w:lastColumn="0" w:noHBand="0" w:noVBand="1"/>
      </w:tblPr>
      <w:tblGrid>
        <w:gridCol w:w="69"/>
        <w:gridCol w:w="5446"/>
        <w:gridCol w:w="37"/>
        <w:gridCol w:w="69"/>
        <w:gridCol w:w="812"/>
        <w:gridCol w:w="36"/>
        <w:gridCol w:w="69"/>
        <w:gridCol w:w="812"/>
        <w:gridCol w:w="36"/>
        <w:gridCol w:w="70"/>
        <w:gridCol w:w="814"/>
        <w:gridCol w:w="36"/>
      </w:tblGrid>
      <w:tr w:rsidR="00000000">
        <w:trPr>
          <w:divId w:val="1959021580"/>
        </w:trPr>
        <w:tc>
          <w:tcPr>
            <w:tcW w:w="50" w:type="pct"/>
            <w:vAlign w:val="center"/>
            <w:hideMark/>
          </w:tcPr>
          <w:p w:rsidR="00000000" w:rsidRDefault="001F1FC8">
            <w:pPr>
              <w:rPr>
                <w:rFonts w:eastAsia="Times New Roman"/>
              </w:rPr>
            </w:pPr>
          </w:p>
        </w:tc>
        <w:tc>
          <w:tcPr>
            <w:tcW w:w="3286"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c>
          <w:tcPr>
            <w:tcW w:w="50" w:type="pct"/>
            <w:vAlign w:val="center"/>
            <w:hideMark/>
          </w:tcPr>
          <w:p w:rsidR="00000000" w:rsidRDefault="001F1FC8">
            <w:pPr>
              <w:rPr>
                <w:rFonts w:eastAsia="Times New Roman"/>
                <w:sz w:val="20"/>
                <w:szCs w:val="20"/>
              </w:rPr>
            </w:pPr>
          </w:p>
        </w:tc>
        <w:tc>
          <w:tcPr>
            <w:tcW w:w="497"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c>
          <w:tcPr>
            <w:tcW w:w="50" w:type="pct"/>
            <w:vAlign w:val="center"/>
            <w:hideMark/>
          </w:tcPr>
          <w:p w:rsidR="00000000" w:rsidRDefault="001F1FC8">
            <w:pPr>
              <w:rPr>
                <w:rFonts w:eastAsia="Times New Roman"/>
                <w:sz w:val="20"/>
                <w:szCs w:val="20"/>
              </w:rPr>
            </w:pPr>
          </w:p>
        </w:tc>
        <w:tc>
          <w:tcPr>
            <w:tcW w:w="497"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c>
          <w:tcPr>
            <w:tcW w:w="50" w:type="pct"/>
            <w:vAlign w:val="center"/>
            <w:hideMark/>
          </w:tcPr>
          <w:p w:rsidR="00000000" w:rsidRDefault="001F1FC8">
            <w:pPr>
              <w:rPr>
                <w:rFonts w:eastAsia="Times New Roman"/>
                <w:sz w:val="20"/>
                <w:szCs w:val="20"/>
              </w:rPr>
            </w:pPr>
          </w:p>
        </w:tc>
        <w:tc>
          <w:tcPr>
            <w:tcW w:w="498"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r>
      <w:tr w:rsidR="00000000">
        <w:trPr>
          <w:divId w:val="1959021580"/>
        </w:trPr>
        <w:tc>
          <w:tcPr>
            <w:tcW w:w="0" w:type="auto"/>
            <w:gridSpan w:val="3"/>
            <w:tcMar>
              <w:top w:w="30" w:type="dxa"/>
              <w:left w:w="20" w:type="dxa"/>
              <w:bottom w:w="30" w:type="dxa"/>
              <w:right w:w="20" w:type="dxa"/>
            </w:tcMar>
            <w:vAlign w:val="center"/>
            <w:hideMark/>
          </w:tcPr>
          <w:p w:rsidR="00000000" w:rsidRDefault="001F1FC8">
            <w:pPr>
              <w:rPr>
                <w:rFonts w:eastAsia="Times New Roman"/>
              </w:rPr>
            </w:pPr>
            <w:r>
              <w:rPr>
                <w:rFonts w:ascii="Arial" w:eastAsia="Times New Roman" w:hAnsi="Arial" w:cs="Arial"/>
                <w:color w:val="000000"/>
                <w:sz w:val="2"/>
                <w:szCs w:val="2"/>
              </w:rPr>
              <w:t> </w:t>
            </w:r>
          </w:p>
        </w:tc>
        <w:tc>
          <w:tcPr>
            <w:tcW w:w="0" w:type="auto"/>
            <w:gridSpan w:val="3"/>
            <w:tcMar>
              <w:top w:w="30" w:type="dxa"/>
              <w:left w:w="20" w:type="dxa"/>
              <w:bottom w:w="30" w:type="dxa"/>
              <w:right w:w="20" w:type="dxa"/>
            </w:tcMar>
            <w:vAlign w:val="center"/>
            <w:hideMark/>
          </w:tcPr>
          <w:p w:rsidR="00000000" w:rsidRDefault="001F1FC8">
            <w:pPr>
              <w:jc w:val="right"/>
              <w:rPr>
                <w:rFonts w:eastAsia="Times New Roman"/>
              </w:rPr>
            </w:pPr>
            <w:r>
              <w:rPr>
                <w:rFonts w:ascii="Arial" w:eastAsia="Times New Roman" w:hAnsi="Arial" w:cs="Arial"/>
                <w:b/>
                <w:bCs/>
                <w:color w:val="000000"/>
                <w:sz w:val="20"/>
                <w:szCs w:val="20"/>
              </w:rPr>
              <w:t>2021</w:t>
            </w:r>
          </w:p>
        </w:tc>
        <w:tc>
          <w:tcPr>
            <w:tcW w:w="0" w:type="auto"/>
            <w:gridSpan w:val="3"/>
            <w:tcMar>
              <w:top w:w="30" w:type="dxa"/>
              <w:left w:w="20" w:type="dxa"/>
              <w:bottom w:w="30" w:type="dxa"/>
              <w:right w:w="20" w:type="dxa"/>
            </w:tcMar>
            <w:vAlign w:val="center"/>
            <w:hideMark/>
          </w:tcPr>
          <w:p w:rsidR="00000000" w:rsidRDefault="001F1FC8">
            <w:pPr>
              <w:jc w:val="right"/>
              <w:rPr>
                <w:rFonts w:eastAsia="Times New Roman"/>
              </w:rPr>
            </w:pPr>
            <w:r>
              <w:rPr>
                <w:rFonts w:ascii="Arial" w:eastAsia="Times New Roman" w:hAnsi="Arial" w:cs="Arial"/>
                <w:color w:val="000000"/>
                <w:sz w:val="20"/>
                <w:szCs w:val="20"/>
              </w:rPr>
              <w:t>2020</w:t>
            </w:r>
          </w:p>
        </w:tc>
        <w:tc>
          <w:tcPr>
            <w:tcW w:w="0" w:type="auto"/>
            <w:gridSpan w:val="3"/>
            <w:tcMar>
              <w:top w:w="30" w:type="dxa"/>
              <w:left w:w="20" w:type="dxa"/>
              <w:bottom w:w="30" w:type="dxa"/>
              <w:right w:w="20" w:type="dxa"/>
            </w:tcMar>
            <w:vAlign w:val="center"/>
            <w:hideMark/>
          </w:tcPr>
          <w:p w:rsidR="00000000" w:rsidRDefault="001F1FC8">
            <w:pPr>
              <w:jc w:val="right"/>
              <w:rPr>
                <w:rFonts w:eastAsia="Times New Roman"/>
              </w:rPr>
            </w:pPr>
            <w:r>
              <w:rPr>
                <w:rFonts w:ascii="Arial" w:eastAsia="Times New Roman" w:hAnsi="Arial" w:cs="Arial"/>
                <w:color w:val="000000"/>
                <w:sz w:val="20"/>
                <w:szCs w:val="20"/>
              </w:rPr>
              <w:t>2019</w:t>
            </w:r>
          </w:p>
        </w:tc>
      </w:tr>
      <w:tr w:rsidR="00000000">
        <w:trPr>
          <w:divId w:val="1959021580"/>
        </w:trPr>
        <w:tc>
          <w:tcPr>
            <w:tcW w:w="0" w:type="auto"/>
            <w:gridSpan w:val="3"/>
            <w:tcBorders>
              <w:top w:val="single" w:sz="4" w:space="0" w:color="000000"/>
            </w:tcBorders>
            <w:tcMar>
              <w:top w:w="30" w:type="dxa"/>
              <w:left w:w="20" w:type="dxa"/>
              <w:bottom w:w="30" w:type="dxa"/>
              <w:right w:w="20" w:type="dxa"/>
            </w:tcMar>
            <w:vAlign w:val="bottom"/>
            <w:hideMark/>
          </w:tcPr>
          <w:p w:rsidR="00000000" w:rsidRDefault="001F1FC8">
            <w:pPr>
              <w:rPr>
                <w:rFonts w:eastAsia="Times New Roman"/>
              </w:rPr>
            </w:pPr>
            <w:r>
              <w:rPr>
                <w:rFonts w:ascii="Arial" w:eastAsia="Times New Roman" w:hAnsi="Arial" w:cs="Arial"/>
                <w:i/>
                <w:iCs/>
                <w:color w:val="000000"/>
                <w:sz w:val="16"/>
                <w:szCs w:val="16"/>
              </w:rPr>
              <w:t>(millions of Canadian dollars)</w:t>
            </w:r>
          </w:p>
        </w:tc>
        <w:tc>
          <w:tcPr>
            <w:tcW w:w="0" w:type="auto"/>
            <w:gridSpan w:val="3"/>
            <w:tcBorders>
              <w:top w:val="single" w:sz="4" w:space="0" w:color="000000"/>
            </w:tcBorders>
            <w:shd w:val="clear" w:color="auto" w:fill="D8D8D8"/>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2"/>
                <w:szCs w:val="2"/>
              </w:rPr>
              <w:t> </w:t>
            </w: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2"/>
                <w:szCs w:val="2"/>
              </w:rPr>
              <w:t> </w:t>
            </w: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2"/>
                <w:szCs w:val="2"/>
              </w:rPr>
              <w:t> </w:t>
            </w:r>
          </w:p>
        </w:tc>
      </w:tr>
      <w:tr w:rsidR="00000000">
        <w:trPr>
          <w:divId w:val="1959021580"/>
        </w:trPr>
        <w:tc>
          <w:tcPr>
            <w:tcW w:w="0" w:type="auto"/>
            <w:gridSpan w:val="3"/>
            <w:tcBorders>
              <w:bottom w:val="single" w:sz="18" w:space="0" w:color="000000"/>
            </w:tcBorders>
            <w:tcMar>
              <w:top w:w="30" w:type="dxa"/>
              <w:left w:w="20" w:type="dxa"/>
              <w:bottom w:w="30" w:type="dxa"/>
              <w:right w:w="20" w:type="dxa"/>
            </w:tcMar>
            <w:vAlign w:val="bottom"/>
            <w:hideMark/>
          </w:tcPr>
          <w:p w:rsidR="00000000" w:rsidRDefault="001F1FC8">
            <w:pPr>
              <w:ind w:hanging="180"/>
              <w:divId w:val="127549561"/>
              <w:rPr>
                <w:rFonts w:eastAsia="Times New Roman"/>
              </w:rPr>
            </w:pPr>
            <w:r>
              <w:rPr>
                <w:rFonts w:ascii="Arial" w:eastAsia="Times New Roman" w:hAnsi="Arial" w:cs="Arial"/>
                <w:color w:val="000000"/>
                <w:sz w:val="20"/>
                <w:szCs w:val="20"/>
              </w:rPr>
              <w:t xml:space="preserve">Earnings before interest, income taxes and depreciation and </w:t>
            </w:r>
          </w:p>
          <w:p w:rsidR="00000000" w:rsidRDefault="001F1FC8">
            <w:pPr>
              <w:ind w:hanging="180"/>
              <w:divId w:val="1781753926"/>
              <w:rPr>
                <w:rFonts w:eastAsia="Times New Roman"/>
              </w:rPr>
            </w:pPr>
            <w:r>
              <w:rPr>
                <w:rFonts w:ascii="Arial" w:eastAsia="Times New Roman" w:hAnsi="Arial" w:cs="Arial"/>
                <w:color w:val="000000"/>
                <w:sz w:val="20"/>
                <w:szCs w:val="20"/>
              </w:rPr>
              <w:t>amortizatio</w:t>
            </w:r>
            <w:r>
              <w:rPr>
                <w:rFonts w:ascii="Arial" w:eastAsia="Times New Roman" w:hAnsi="Arial" w:cs="Arial"/>
                <w:color w:val="000000"/>
                <w:sz w:val="20"/>
                <w:szCs w:val="20"/>
              </w:rPr>
              <w:t>n</w:t>
            </w:r>
            <w:r>
              <w:rPr>
                <w:rFonts w:ascii="Arial" w:eastAsia="Times New Roman" w:hAnsi="Arial" w:cs="Arial"/>
                <w:color w:val="000000"/>
                <w:sz w:val="10"/>
                <w:szCs w:val="10"/>
              </w:rPr>
              <w:t>1</w:t>
            </w:r>
          </w:p>
        </w:tc>
        <w:tc>
          <w:tcPr>
            <w:tcW w:w="0" w:type="auto"/>
            <w:gridSpan w:val="2"/>
            <w:tcBorders>
              <w:bottom w:val="single" w:sz="18" w:space="0" w:color="000000"/>
            </w:tcBorders>
            <w:shd w:val="clear" w:color="auto" w:fill="D8D8D8"/>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20"/>
                <w:szCs w:val="20"/>
              </w:rPr>
              <w:t>7,897</w:t>
            </w:r>
            <w:r>
              <w:rPr>
                <w:rFonts w:ascii="Arial" w:eastAsia="Times New Roman" w:hAnsi="Arial" w:cs="Arial"/>
                <w:color w:val="000000"/>
                <w:sz w:val="20"/>
                <w:szCs w:val="20"/>
              </w:rPr>
              <w:t> </w:t>
            </w:r>
          </w:p>
        </w:tc>
        <w:tc>
          <w:tcPr>
            <w:tcW w:w="0" w:type="auto"/>
            <w:tcBorders>
              <w:bottom w:val="single" w:sz="18" w:space="0" w:color="000000"/>
            </w:tcBorders>
            <w:shd w:val="clear" w:color="auto" w:fill="D8D8D8"/>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Borders>
              <w:bottom w:val="single" w:sz="18" w:space="0" w:color="000000"/>
            </w:tcBorders>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7,683 </w:t>
            </w:r>
          </w:p>
        </w:tc>
        <w:tc>
          <w:tcPr>
            <w:tcW w:w="0" w:type="auto"/>
            <w:tcBorders>
              <w:bottom w:val="single" w:sz="18" w:space="0" w:color="000000"/>
            </w:tcBorders>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Borders>
              <w:bottom w:val="single" w:sz="18" w:space="0" w:color="000000"/>
            </w:tcBorders>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7,681 </w:t>
            </w:r>
          </w:p>
        </w:tc>
        <w:tc>
          <w:tcPr>
            <w:tcW w:w="0" w:type="auto"/>
            <w:tcBorders>
              <w:bottom w:val="single" w:sz="18" w:space="0" w:color="000000"/>
            </w:tcBorders>
            <w:tcMar>
              <w:top w:w="30" w:type="dxa"/>
              <w:left w:w="0" w:type="dxa"/>
              <w:bottom w:w="30" w:type="dxa"/>
              <w:right w:w="20" w:type="dxa"/>
            </w:tcMar>
            <w:vAlign w:val="bottom"/>
            <w:hideMark/>
          </w:tcPr>
          <w:p w:rsidR="00000000" w:rsidRDefault="001F1FC8">
            <w:pPr>
              <w:jc w:val="right"/>
              <w:rPr>
                <w:rFonts w:eastAsia="Times New Roman"/>
              </w:rPr>
            </w:pPr>
          </w:p>
        </w:tc>
      </w:tr>
    </w:tbl>
    <w:p w:rsidR="00000000" w:rsidRDefault="001F1FC8">
      <w:pPr>
        <w:ind w:hanging="180"/>
        <w:divId w:val="214051357"/>
        <w:rPr>
          <w:rFonts w:eastAsia="Times New Roman"/>
        </w:rPr>
      </w:pPr>
      <w:r>
        <w:rPr>
          <w:rFonts w:ascii="Arial" w:eastAsia="Times New Roman" w:hAnsi="Arial" w:cs="Arial"/>
          <w:i/>
          <w:iCs/>
          <w:color w:val="000000"/>
          <w:sz w:val="16"/>
          <w:szCs w:val="16"/>
        </w:rPr>
        <w:t>1Non-GAAP financial measure.</w:t>
      </w:r>
    </w:p>
    <w:p w:rsidR="00000000" w:rsidRDefault="001F1FC8">
      <w:pPr>
        <w:divId w:val="796029911"/>
        <w:rPr>
          <w:rFonts w:eastAsia="Times New Roman"/>
        </w:rPr>
      </w:pPr>
    </w:p>
    <w:p w:rsidR="00000000" w:rsidRDefault="001F1FC8">
      <w:pPr>
        <w:divId w:val="729109786"/>
        <w:rPr>
          <w:rFonts w:eastAsia="Times New Roman"/>
        </w:rPr>
      </w:pPr>
      <w:r>
        <w:rPr>
          <w:rFonts w:ascii="Arial" w:eastAsia="Times New Roman" w:hAnsi="Arial" w:cs="Arial"/>
          <w:b/>
          <w:bCs/>
          <w:color w:val="000000"/>
          <w:sz w:val="20"/>
          <w:szCs w:val="20"/>
        </w:rPr>
        <w:t>Year ended December 31, 2021 compared with year ended December 31, 2020</w:t>
      </w:r>
    </w:p>
    <w:p w:rsidR="00000000" w:rsidRDefault="001F1FC8">
      <w:pPr>
        <w:divId w:val="1536230779"/>
        <w:rPr>
          <w:rFonts w:eastAsia="Times New Roman"/>
        </w:rPr>
      </w:pPr>
    </w:p>
    <w:p w:rsidR="00000000" w:rsidRDefault="001F1FC8">
      <w:pPr>
        <w:divId w:val="1409692424"/>
        <w:rPr>
          <w:rFonts w:eastAsia="Times New Roman"/>
        </w:rPr>
      </w:pPr>
      <w:r>
        <w:rPr>
          <w:rFonts w:ascii="Arial" w:eastAsia="Times New Roman" w:hAnsi="Arial" w:cs="Arial"/>
          <w:color w:val="000000"/>
          <w:sz w:val="20"/>
          <w:szCs w:val="20"/>
        </w:rPr>
        <w:t>EBITDA was negatively impacted by $335 million due to certain unusual, infrequent or other non-operating factors, primarily explained by a non-cash, unrealized gain of $120 million in 2021 compared with an unrealized gain of $545 million in 2020 reflecting</w:t>
      </w:r>
      <w:r>
        <w:rPr>
          <w:rFonts w:ascii="Arial" w:eastAsia="Times New Roman" w:hAnsi="Arial" w:cs="Arial"/>
          <w:color w:val="000000"/>
          <w:sz w:val="20"/>
          <w:szCs w:val="20"/>
        </w:rPr>
        <w:t xml:space="preserve"> net fair value gains and losses arising from changes in the mark-to-market value of derivative financial instruments used to manage foreign exchange risks. </w:t>
      </w:r>
    </w:p>
    <w:p w:rsidR="00000000" w:rsidRDefault="001F1FC8">
      <w:pPr>
        <w:divId w:val="1545754814"/>
        <w:rPr>
          <w:rFonts w:eastAsia="Times New Roman"/>
        </w:rPr>
      </w:pPr>
    </w:p>
    <w:p w:rsidR="00000000" w:rsidRDefault="001F1FC8">
      <w:pPr>
        <w:jc w:val="center"/>
        <w:divId w:val="527303800"/>
        <w:rPr>
          <w:rFonts w:eastAsia="Times New Roman"/>
        </w:rPr>
      </w:pPr>
      <w:r>
        <w:rPr>
          <w:rFonts w:ascii="Arial" w:eastAsia="Times New Roman" w:hAnsi="Arial" w:cs="Arial"/>
          <w:color w:val="000000"/>
          <w:sz w:val="20"/>
          <w:szCs w:val="20"/>
        </w:rPr>
        <w:t>64</w:t>
      </w:r>
    </w:p>
    <w:p w:rsidR="00000000" w:rsidRDefault="001F1FC8">
      <w:pPr>
        <w:rPr>
          <w:rFonts w:eastAsia="Times New Roman"/>
        </w:rPr>
      </w:pPr>
      <w:r>
        <w:rPr>
          <w:rFonts w:eastAsia="Times New Roman"/>
        </w:rPr>
        <w:pict>
          <v:rect id="_x0000_i1094" style="width:0;height:1.5pt" o:hralign="center" o:hrstd="t" o:hr="t" fillcolor="#a0a0a0" stroked="f"/>
        </w:pict>
      </w:r>
    </w:p>
    <w:p w:rsidR="00000000" w:rsidRDefault="001F1FC8">
      <w:pPr>
        <w:jc w:val="center"/>
        <w:divId w:val="1603299562"/>
        <w:rPr>
          <w:rFonts w:eastAsia="Times New Roman"/>
        </w:rPr>
      </w:pPr>
    </w:p>
    <w:p w:rsidR="00000000" w:rsidRDefault="001F1FC8">
      <w:pPr>
        <w:divId w:val="1941789238"/>
        <w:rPr>
          <w:rFonts w:eastAsia="Times New Roman"/>
        </w:rPr>
      </w:pPr>
      <w:r>
        <w:rPr>
          <w:rFonts w:ascii="Arial" w:eastAsia="Times New Roman" w:hAnsi="Arial" w:cs="Arial"/>
          <w:color w:val="000000"/>
          <w:sz w:val="20"/>
          <w:szCs w:val="20"/>
        </w:rPr>
        <w:t>The factor above was partially offset by the following:</w:t>
      </w:r>
    </w:p>
    <w:p w:rsidR="00000000" w:rsidRDefault="001F1FC8">
      <w:pPr>
        <w:ind w:hanging="360"/>
        <w:divId w:val="1983122588"/>
        <w:rPr>
          <w:rFonts w:eastAsia="Times New Roman"/>
        </w:rPr>
      </w:pPr>
      <w:r>
        <w:rPr>
          <w:rFonts w:ascii="Arial" w:eastAsia="Times New Roman" w:hAnsi="Arial" w:cs="Arial"/>
          <w:color w:val="000000"/>
          <w:sz w:val="20"/>
          <w:szCs w:val="20"/>
        </w:rPr>
        <w:t>•a property tax settlement receipt of $57 million in 2021 related to the resolution of Minnesota property tax appeals for the tax years 2012 through 2018; and</w:t>
      </w:r>
    </w:p>
    <w:p w:rsidR="00000000" w:rsidRDefault="001F1FC8">
      <w:pPr>
        <w:ind w:hanging="360"/>
        <w:divId w:val="1375501742"/>
        <w:rPr>
          <w:rFonts w:eastAsia="Times New Roman"/>
        </w:rPr>
      </w:pPr>
      <w:r>
        <w:rPr>
          <w:rFonts w:ascii="Arial" w:eastAsia="Times New Roman" w:hAnsi="Arial" w:cs="Arial"/>
          <w:color w:val="000000"/>
          <w:sz w:val="20"/>
          <w:szCs w:val="20"/>
        </w:rPr>
        <w:t>•th</w:t>
      </w:r>
      <w:r>
        <w:rPr>
          <w:rFonts w:ascii="Arial" w:eastAsia="Times New Roman" w:hAnsi="Arial" w:cs="Arial"/>
          <w:color w:val="000000"/>
          <w:sz w:val="20"/>
          <w:szCs w:val="20"/>
        </w:rPr>
        <w:t>e absence in 2021 of $30 million of asset impairment losses recognized in 2020.</w:t>
      </w:r>
    </w:p>
    <w:p w:rsidR="00000000" w:rsidRDefault="001F1FC8">
      <w:pPr>
        <w:divId w:val="935134988"/>
        <w:rPr>
          <w:rFonts w:eastAsia="Times New Roman"/>
        </w:rPr>
      </w:pPr>
    </w:p>
    <w:p w:rsidR="00000000" w:rsidRDefault="001F1FC8">
      <w:pPr>
        <w:divId w:val="1323048451"/>
        <w:rPr>
          <w:rFonts w:eastAsia="Times New Roman"/>
        </w:rPr>
      </w:pPr>
      <w:r>
        <w:rPr>
          <w:rFonts w:ascii="Arial" w:eastAsia="Times New Roman" w:hAnsi="Arial" w:cs="Arial"/>
          <w:color w:val="000000"/>
          <w:sz w:val="20"/>
          <w:szCs w:val="20"/>
        </w:rPr>
        <w:t>After taking into consideration the factors above, the remaining $549 million increase is primarily explained by the following factors:</w:t>
      </w:r>
    </w:p>
    <w:p w:rsidR="00000000" w:rsidRDefault="001F1FC8">
      <w:pPr>
        <w:ind w:hanging="360"/>
        <w:divId w:val="1552690300"/>
        <w:rPr>
          <w:rFonts w:eastAsia="Times New Roman"/>
        </w:rPr>
      </w:pPr>
      <w:r>
        <w:rPr>
          <w:rFonts w:ascii="Arial" w:eastAsia="Times New Roman" w:hAnsi="Arial" w:cs="Arial"/>
          <w:color w:val="000000"/>
          <w:sz w:val="20"/>
          <w:szCs w:val="20"/>
        </w:rPr>
        <w:t>•higher Mainline system ex-Gretna aver</w:t>
      </w:r>
      <w:r>
        <w:rPr>
          <w:rFonts w:ascii="Arial" w:eastAsia="Times New Roman" w:hAnsi="Arial" w:cs="Arial"/>
          <w:color w:val="000000"/>
          <w:sz w:val="20"/>
          <w:szCs w:val="20"/>
        </w:rPr>
        <w:t>age throughput of 2.8 million barrels per day (mmbpd) in 2021 as compared to 2.6 mmbpd in 2020 driven by the rebounding demand for crude oil and related products as economies continue to recover from the impacts of the COVID-19 pandemic;</w:t>
      </w:r>
    </w:p>
    <w:p w:rsidR="00000000" w:rsidRDefault="001F1FC8">
      <w:pPr>
        <w:ind w:hanging="360"/>
        <w:divId w:val="954796627"/>
        <w:rPr>
          <w:rFonts w:eastAsia="Times New Roman"/>
        </w:rPr>
      </w:pPr>
      <w:r>
        <w:rPr>
          <w:rFonts w:ascii="Arial" w:eastAsia="Times New Roman" w:hAnsi="Arial" w:cs="Arial"/>
          <w:color w:val="000000"/>
          <w:sz w:val="20"/>
          <w:szCs w:val="20"/>
        </w:rPr>
        <w:t>•incremental L3R c</w:t>
      </w:r>
      <w:r>
        <w:rPr>
          <w:rFonts w:ascii="Arial" w:eastAsia="Times New Roman" w:hAnsi="Arial" w:cs="Arial"/>
          <w:color w:val="000000"/>
          <w:sz w:val="20"/>
          <w:szCs w:val="20"/>
        </w:rPr>
        <w:t xml:space="preserve">apacity that came into service October 2021 further supporting demand growth and the implementation of full L3R surcharge of US$0.93 per barrel beginning October 2021 compared to the Canadian L3R program US$0.20 per barrel; </w:t>
      </w:r>
    </w:p>
    <w:p w:rsidR="00000000" w:rsidRDefault="001F1FC8">
      <w:pPr>
        <w:ind w:hanging="360"/>
        <w:divId w:val="575170994"/>
        <w:rPr>
          <w:rFonts w:eastAsia="Times New Roman"/>
        </w:rPr>
      </w:pPr>
      <w:r>
        <w:rPr>
          <w:rFonts w:ascii="Arial" w:eastAsia="Times New Roman" w:hAnsi="Arial" w:cs="Arial"/>
          <w:color w:val="000000"/>
          <w:sz w:val="20"/>
          <w:szCs w:val="20"/>
        </w:rPr>
        <w:t>•a higher average IJT Benchmark</w:t>
      </w:r>
      <w:r>
        <w:rPr>
          <w:rFonts w:ascii="Arial" w:eastAsia="Times New Roman" w:hAnsi="Arial" w:cs="Arial"/>
          <w:color w:val="000000"/>
          <w:sz w:val="20"/>
          <w:szCs w:val="20"/>
        </w:rPr>
        <w:t xml:space="preserve"> Toll on our Mainline System of US$4.27 in 2021, compared with US$4.24 in 2020;</w:t>
      </w:r>
    </w:p>
    <w:p w:rsidR="00000000" w:rsidRDefault="001F1FC8">
      <w:pPr>
        <w:ind w:hanging="360"/>
        <w:divId w:val="132799733"/>
        <w:rPr>
          <w:rFonts w:eastAsia="Times New Roman"/>
        </w:rPr>
      </w:pPr>
      <w:r>
        <w:rPr>
          <w:rFonts w:ascii="Arial" w:eastAsia="Times New Roman" w:hAnsi="Arial" w:cs="Arial"/>
          <w:color w:val="000000"/>
          <w:sz w:val="20"/>
          <w:szCs w:val="20"/>
        </w:rPr>
        <w:t>•a higher foreign exchange hedge rate used to lock-in US dollar denominated Canadian Mainline revenue; and</w:t>
      </w:r>
    </w:p>
    <w:p w:rsidR="00000000" w:rsidRDefault="001F1FC8">
      <w:pPr>
        <w:ind w:hanging="360"/>
        <w:divId w:val="1476988018"/>
        <w:rPr>
          <w:rFonts w:eastAsia="Times New Roman"/>
        </w:rPr>
      </w:pPr>
      <w:r>
        <w:rPr>
          <w:rFonts w:ascii="Arial" w:eastAsia="Times New Roman" w:hAnsi="Arial" w:cs="Arial"/>
          <w:color w:val="000000"/>
          <w:sz w:val="20"/>
          <w:szCs w:val="20"/>
        </w:rPr>
        <w:t>•higher equity income from our investment in the Seaway Crude Pipelin</w:t>
      </w:r>
      <w:r>
        <w:rPr>
          <w:rFonts w:ascii="Arial" w:eastAsia="Times New Roman" w:hAnsi="Arial" w:cs="Arial"/>
          <w:color w:val="000000"/>
          <w:sz w:val="20"/>
          <w:szCs w:val="20"/>
        </w:rPr>
        <w:t>e System driven by increased volumes.</w:t>
      </w:r>
    </w:p>
    <w:p w:rsidR="00000000" w:rsidRDefault="001F1FC8">
      <w:pPr>
        <w:divId w:val="1840267408"/>
        <w:rPr>
          <w:rFonts w:eastAsia="Times New Roman"/>
        </w:rPr>
      </w:pPr>
    </w:p>
    <w:p w:rsidR="00000000" w:rsidRDefault="001F1FC8">
      <w:pPr>
        <w:divId w:val="1932353054"/>
        <w:rPr>
          <w:rFonts w:eastAsia="Times New Roman"/>
        </w:rPr>
      </w:pPr>
      <w:r>
        <w:rPr>
          <w:rFonts w:ascii="Arial" w:eastAsia="Times New Roman" w:hAnsi="Arial" w:cs="Arial"/>
          <w:color w:val="000000"/>
          <w:sz w:val="20"/>
          <w:szCs w:val="20"/>
        </w:rPr>
        <w:t>The positive business factors above were partially offset by the following:</w:t>
      </w:r>
    </w:p>
    <w:p w:rsidR="00000000" w:rsidRDefault="001F1FC8">
      <w:pPr>
        <w:ind w:hanging="360"/>
        <w:divId w:val="1243178146"/>
        <w:rPr>
          <w:rFonts w:eastAsia="Times New Roman"/>
        </w:rPr>
      </w:pPr>
      <w:r>
        <w:rPr>
          <w:rFonts w:ascii="Arial" w:eastAsia="Times New Roman" w:hAnsi="Arial" w:cs="Arial"/>
          <w:color w:val="000000"/>
          <w:sz w:val="20"/>
          <w:szCs w:val="20"/>
        </w:rPr>
        <w:t>•the recognition of a provision in the fourth quarter against the interim Mainline IJT for barrels shipped between July 1, 2021 and December</w:t>
      </w:r>
      <w:r>
        <w:rPr>
          <w:rFonts w:ascii="Arial" w:eastAsia="Times New Roman" w:hAnsi="Arial" w:cs="Arial"/>
          <w:color w:val="000000"/>
          <w:sz w:val="20"/>
          <w:szCs w:val="20"/>
        </w:rPr>
        <w:t xml:space="preserve"> 31, 2021; and</w:t>
      </w:r>
    </w:p>
    <w:p w:rsidR="00000000" w:rsidRDefault="001F1FC8">
      <w:pPr>
        <w:ind w:hanging="360"/>
        <w:divId w:val="1003976189"/>
        <w:rPr>
          <w:rFonts w:eastAsia="Times New Roman"/>
        </w:rPr>
      </w:pPr>
      <w:r>
        <w:rPr>
          <w:rFonts w:ascii="Arial" w:eastAsia="Times New Roman" w:hAnsi="Arial" w:cs="Arial"/>
          <w:color w:val="000000"/>
          <w:sz w:val="20"/>
          <w:szCs w:val="20"/>
        </w:rPr>
        <w:t>•</w:t>
      </w:r>
      <w:r>
        <w:rPr>
          <w:rFonts w:ascii="Arial" w:eastAsia="Times New Roman" w:hAnsi="Arial" w:cs="Arial"/>
          <w:color w:val="000000"/>
          <w:sz w:val="20"/>
          <w:szCs w:val="20"/>
        </w:rPr>
        <w:t>the net unfavorable effect of translating US dollar EBITDA to Canadian dollars at a lower average exchange rate in 2021 versus 2020.</w:t>
      </w:r>
    </w:p>
    <w:p w:rsidR="00000000" w:rsidRDefault="001F1FC8">
      <w:pPr>
        <w:divId w:val="111630425"/>
        <w:rPr>
          <w:rFonts w:eastAsia="Times New Roman"/>
        </w:rPr>
      </w:pPr>
    </w:p>
    <w:p w:rsidR="00000000" w:rsidRDefault="001F1FC8">
      <w:pPr>
        <w:divId w:val="1590231370"/>
        <w:rPr>
          <w:rFonts w:eastAsia="Times New Roman"/>
        </w:rPr>
      </w:pPr>
      <w:r>
        <w:rPr>
          <w:rFonts w:ascii="Arial" w:eastAsia="Times New Roman" w:hAnsi="Arial" w:cs="Arial"/>
          <w:b/>
          <w:bCs/>
          <w:color w:val="000000"/>
          <w:sz w:val="26"/>
          <w:szCs w:val="26"/>
        </w:rPr>
        <w:t>GAS TRANSMISSION AND MIDSTREAM</w:t>
      </w:r>
    </w:p>
    <w:tbl>
      <w:tblPr>
        <w:tblW w:w="5000" w:type="pct"/>
        <w:tblCellMar>
          <w:top w:w="15" w:type="dxa"/>
          <w:left w:w="15" w:type="dxa"/>
          <w:bottom w:w="15" w:type="dxa"/>
          <w:right w:w="15" w:type="dxa"/>
        </w:tblCellMar>
        <w:tblLook w:val="04A0" w:firstRow="1" w:lastRow="0" w:firstColumn="1" w:lastColumn="0" w:noHBand="0" w:noVBand="1"/>
      </w:tblPr>
      <w:tblGrid>
        <w:gridCol w:w="69"/>
        <w:gridCol w:w="5446"/>
        <w:gridCol w:w="37"/>
        <w:gridCol w:w="69"/>
        <w:gridCol w:w="812"/>
        <w:gridCol w:w="36"/>
        <w:gridCol w:w="69"/>
        <w:gridCol w:w="812"/>
        <w:gridCol w:w="36"/>
        <w:gridCol w:w="70"/>
        <w:gridCol w:w="814"/>
        <w:gridCol w:w="36"/>
      </w:tblGrid>
      <w:tr w:rsidR="00000000">
        <w:trPr>
          <w:divId w:val="331881067"/>
        </w:trPr>
        <w:tc>
          <w:tcPr>
            <w:tcW w:w="50" w:type="pct"/>
            <w:vAlign w:val="center"/>
            <w:hideMark/>
          </w:tcPr>
          <w:p w:rsidR="00000000" w:rsidRDefault="001F1FC8">
            <w:pPr>
              <w:rPr>
                <w:rFonts w:eastAsia="Times New Roman"/>
              </w:rPr>
            </w:pPr>
          </w:p>
        </w:tc>
        <w:tc>
          <w:tcPr>
            <w:tcW w:w="3286"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c>
          <w:tcPr>
            <w:tcW w:w="50" w:type="pct"/>
            <w:vAlign w:val="center"/>
            <w:hideMark/>
          </w:tcPr>
          <w:p w:rsidR="00000000" w:rsidRDefault="001F1FC8">
            <w:pPr>
              <w:rPr>
                <w:rFonts w:eastAsia="Times New Roman"/>
                <w:sz w:val="20"/>
                <w:szCs w:val="20"/>
              </w:rPr>
            </w:pPr>
          </w:p>
        </w:tc>
        <w:tc>
          <w:tcPr>
            <w:tcW w:w="497"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c>
          <w:tcPr>
            <w:tcW w:w="50" w:type="pct"/>
            <w:vAlign w:val="center"/>
            <w:hideMark/>
          </w:tcPr>
          <w:p w:rsidR="00000000" w:rsidRDefault="001F1FC8">
            <w:pPr>
              <w:rPr>
                <w:rFonts w:eastAsia="Times New Roman"/>
                <w:sz w:val="20"/>
                <w:szCs w:val="20"/>
              </w:rPr>
            </w:pPr>
          </w:p>
        </w:tc>
        <w:tc>
          <w:tcPr>
            <w:tcW w:w="497"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c>
          <w:tcPr>
            <w:tcW w:w="50" w:type="pct"/>
            <w:vAlign w:val="center"/>
            <w:hideMark/>
          </w:tcPr>
          <w:p w:rsidR="00000000" w:rsidRDefault="001F1FC8">
            <w:pPr>
              <w:rPr>
                <w:rFonts w:eastAsia="Times New Roman"/>
                <w:sz w:val="20"/>
                <w:szCs w:val="20"/>
              </w:rPr>
            </w:pPr>
          </w:p>
        </w:tc>
        <w:tc>
          <w:tcPr>
            <w:tcW w:w="498"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r>
      <w:tr w:rsidR="00000000">
        <w:trPr>
          <w:divId w:val="331881067"/>
        </w:trPr>
        <w:tc>
          <w:tcPr>
            <w:tcW w:w="0" w:type="auto"/>
            <w:gridSpan w:val="3"/>
            <w:tcMar>
              <w:top w:w="30" w:type="dxa"/>
              <w:left w:w="20" w:type="dxa"/>
              <w:bottom w:w="30" w:type="dxa"/>
              <w:right w:w="20" w:type="dxa"/>
            </w:tcMar>
            <w:hideMark/>
          </w:tcPr>
          <w:p w:rsidR="00000000" w:rsidRDefault="001F1FC8">
            <w:pPr>
              <w:rPr>
                <w:rFonts w:eastAsia="Times New Roman"/>
              </w:rPr>
            </w:pPr>
            <w:r>
              <w:rPr>
                <w:rFonts w:ascii="Arial" w:eastAsia="Times New Roman" w:hAnsi="Arial" w:cs="Arial"/>
                <w:color w:val="000000"/>
                <w:sz w:val="2"/>
                <w:szCs w:val="2"/>
              </w:rPr>
              <w:t> </w:t>
            </w:r>
          </w:p>
        </w:tc>
        <w:tc>
          <w:tcPr>
            <w:tcW w:w="0" w:type="auto"/>
            <w:gridSpan w:val="3"/>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b/>
                <w:bCs/>
                <w:color w:val="000000"/>
                <w:sz w:val="20"/>
                <w:szCs w:val="20"/>
              </w:rPr>
              <w:t>2021</w:t>
            </w:r>
          </w:p>
        </w:tc>
        <w:tc>
          <w:tcPr>
            <w:tcW w:w="0" w:type="auto"/>
            <w:gridSpan w:val="3"/>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2020</w:t>
            </w:r>
          </w:p>
        </w:tc>
        <w:tc>
          <w:tcPr>
            <w:tcW w:w="0" w:type="auto"/>
            <w:gridSpan w:val="3"/>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2019</w:t>
            </w:r>
          </w:p>
        </w:tc>
      </w:tr>
      <w:tr w:rsidR="00000000">
        <w:trPr>
          <w:divId w:val="331881067"/>
        </w:trPr>
        <w:tc>
          <w:tcPr>
            <w:tcW w:w="0" w:type="auto"/>
            <w:gridSpan w:val="3"/>
            <w:tcBorders>
              <w:top w:val="single" w:sz="4" w:space="0" w:color="000000"/>
            </w:tcBorders>
            <w:tcMar>
              <w:top w:w="30" w:type="dxa"/>
              <w:left w:w="20" w:type="dxa"/>
              <w:bottom w:w="30" w:type="dxa"/>
              <w:right w:w="20" w:type="dxa"/>
            </w:tcMar>
            <w:hideMark/>
          </w:tcPr>
          <w:p w:rsidR="00000000" w:rsidRDefault="001F1FC8">
            <w:pPr>
              <w:rPr>
                <w:rFonts w:eastAsia="Times New Roman"/>
              </w:rPr>
            </w:pPr>
            <w:r>
              <w:rPr>
                <w:rFonts w:ascii="Arial" w:eastAsia="Times New Roman" w:hAnsi="Arial" w:cs="Arial"/>
                <w:i/>
                <w:iCs/>
                <w:color w:val="000000"/>
                <w:sz w:val="16"/>
                <w:szCs w:val="16"/>
              </w:rPr>
              <w:t>(millions of Canadian dollars)</w:t>
            </w:r>
          </w:p>
        </w:tc>
        <w:tc>
          <w:tcPr>
            <w:tcW w:w="0" w:type="auto"/>
            <w:gridSpan w:val="3"/>
            <w:tcBorders>
              <w:top w:val="single" w:sz="4" w:space="0" w:color="000000"/>
            </w:tcBorders>
            <w:shd w:val="clear" w:color="auto" w:fill="D8D8D8"/>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2"/>
                <w:szCs w:val="2"/>
              </w:rPr>
              <w:t> </w:t>
            </w: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2"/>
                <w:szCs w:val="2"/>
              </w:rPr>
              <w:t> </w:t>
            </w: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2"/>
                <w:szCs w:val="2"/>
              </w:rPr>
              <w:t> </w:t>
            </w:r>
          </w:p>
        </w:tc>
      </w:tr>
      <w:tr w:rsidR="00000000">
        <w:trPr>
          <w:divId w:val="331881067"/>
        </w:trPr>
        <w:tc>
          <w:tcPr>
            <w:tcW w:w="0" w:type="auto"/>
            <w:gridSpan w:val="3"/>
            <w:tcBorders>
              <w:bottom w:val="single" w:sz="18" w:space="0" w:color="000000"/>
            </w:tcBorders>
            <w:tcMar>
              <w:top w:w="30" w:type="dxa"/>
              <w:left w:w="20" w:type="dxa"/>
              <w:bottom w:w="30" w:type="dxa"/>
              <w:right w:w="20" w:type="dxa"/>
            </w:tcMar>
            <w:hideMark/>
          </w:tcPr>
          <w:p w:rsidR="00000000" w:rsidRDefault="001F1FC8">
            <w:pPr>
              <w:ind w:hanging="180"/>
              <w:divId w:val="166017508"/>
              <w:rPr>
                <w:rFonts w:eastAsia="Times New Roman"/>
              </w:rPr>
            </w:pPr>
            <w:r>
              <w:rPr>
                <w:rFonts w:ascii="Arial" w:eastAsia="Times New Roman" w:hAnsi="Arial" w:cs="Arial"/>
                <w:color w:val="000000"/>
                <w:sz w:val="20"/>
                <w:szCs w:val="20"/>
              </w:rPr>
              <w:t>Earnings before interest, income taxes and depreciation and amortizatio</w:t>
            </w:r>
            <w:r>
              <w:rPr>
                <w:rFonts w:ascii="Arial" w:eastAsia="Times New Roman" w:hAnsi="Arial" w:cs="Arial"/>
                <w:color w:val="000000"/>
                <w:sz w:val="20"/>
                <w:szCs w:val="20"/>
              </w:rPr>
              <w:t>n</w:t>
            </w:r>
            <w:r>
              <w:rPr>
                <w:rFonts w:ascii="Arial" w:eastAsia="Times New Roman" w:hAnsi="Arial" w:cs="Arial"/>
                <w:color w:val="000000"/>
                <w:sz w:val="10"/>
                <w:szCs w:val="10"/>
              </w:rPr>
              <w:t>1</w:t>
            </w:r>
          </w:p>
        </w:tc>
        <w:tc>
          <w:tcPr>
            <w:tcW w:w="0" w:type="auto"/>
            <w:gridSpan w:val="2"/>
            <w:tcBorders>
              <w:bottom w:val="single" w:sz="18" w:space="0" w:color="000000"/>
            </w:tcBorders>
            <w:shd w:val="clear" w:color="auto" w:fill="D8D8D8"/>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20"/>
                <w:szCs w:val="20"/>
              </w:rPr>
              <w:t>3,671</w:t>
            </w:r>
            <w:r>
              <w:rPr>
                <w:rFonts w:ascii="Arial" w:eastAsia="Times New Roman" w:hAnsi="Arial" w:cs="Arial"/>
                <w:color w:val="000000"/>
                <w:sz w:val="20"/>
                <w:szCs w:val="20"/>
              </w:rPr>
              <w:t> </w:t>
            </w:r>
          </w:p>
        </w:tc>
        <w:tc>
          <w:tcPr>
            <w:tcW w:w="0" w:type="auto"/>
            <w:tcBorders>
              <w:bottom w:val="single" w:sz="18" w:space="0" w:color="000000"/>
            </w:tcBorders>
            <w:shd w:val="clear" w:color="auto" w:fill="D8D8D8"/>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Borders>
              <w:bottom w:val="single" w:sz="18" w:space="0" w:color="000000"/>
            </w:tcBorders>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1,087 </w:t>
            </w:r>
          </w:p>
        </w:tc>
        <w:tc>
          <w:tcPr>
            <w:tcW w:w="0" w:type="auto"/>
            <w:tcBorders>
              <w:bottom w:val="single" w:sz="18" w:space="0" w:color="000000"/>
            </w:tcBorders>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Borders>
              <w:bottom w:val="single" w:sz="18" w:space="0" w:color="000000"/>
            </w:tcBorders>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3,371 </w:t>
            </w:r>
          </w:p>
        </w:tc>
        <w:tc>
          <w:tcPr>
            <w:tcW w:w="0" w:type="auto"/>
            <w:tcBorders>
              <w:bottom w:val="single" w:sz="18" w:space="0" w:color="000000"/>
            </w:tcBorders>
            <w:tcMar>
              <w:top w:w="30" w:type="dxa"/>
              <w:left w:w="0" w:type="dxa"/>
              <w:bottom w:w="30" w:type="dxa"/>
              <w:right w:w="20" w:type="dxa"/>
            </w:tcMar>
            <w:vAlign w:val="bottom"/>
            <w:hideMark/>
          </w:tcPr>
          <w:p w:rsidR="00000000" w:rsidRDefault="001F1FC8">
            <w:pPr>
              <w:jc w:val="right"/>
              <w:rPr>
                <w:rFonts w:eastAsia="Times New Roman"/>
              </w:rPr>
            </w:pPr>
          </w:p>
        </w:tc>
      </w:tr>
    </w:tbl>
    <w:p w:rsidR="00000000" w:rsidRDefault="001F1FC8">
      <w:pPr>
        <w:ind w:hanging="180"/>
        <w:divId w:val="107625491"/>
        <w:rPr>
          <w:rFonts w:eastAsia="Times New Roman"/>
        </w:rPr>
      </w:pPr>
      <w:r>
        <w:rPr>
          <w:rFonts w:ascii="Arial" w:eastAsia="Times New Roman" w:hAnsi="Arial" w:cs="Arial"/>
          <w:i/>
          <w:iCs/>
          <w:color w:val="000000"/>
          <w:sz w:val="16"/>
          <w:szCs w:val="16"/>
        </w:rPr>
        <w:t>1Non-GAAP financial measure.</w:t>
      </w:r>
    </w:p>
    <w:p w:rsidR="00000000" w:rsidRDefault="001F1FC8">
      <w:pPr>
        <w:divId w:val="1360081983"/>
        <w:rPr>
          <w:rFonts w:eastAsia="Times New Roman"/>
        </w:rPr>
      </w:pPr>
    </w:p>
    <w:p w:rsidR="00000000" w:rsidRDefault="001F1FC8">
      <w:pPr>
        <w:divId w:val="1692490649"/>
        <w:rPr>
          <w:rFonts w:eastAsia="Times New Roman"/>
        </w:rPr>
      </w:pPr>
      <w:r>
        <w:rPr>
          <w:rFonts w:ascii="Arial" w:eastAsia="Times New Roman" w:hAnsi="Arial" w:cs="Arial"/>
          <w:b/>
          <w:bCs/>
          <w:color w:val="000000"/>
          <w:sz w:val="20"/>
          <w:szCs w:val="20"/>
        </w:rPr>
        <w:t>Year ended December </w:t>
      </w:r>
      <w:r>
        <w:rPr>
          <w:rFonts w:ascii="Arial" w:eastAsia="Times New Roman" w:hAnsi="Arial" w:cs="Arial"/>
          <w:b/>
          <w:bCs/>
          <w:color w:val="000000"/>
          <w:sz w:val="20"/>
          <w:szCs w:val="20"/>
        </w:rPr>
        <w:t>31, 2021 compared with year ended December 31, 2020</w:t>
      </w:r>
    </w:p>
    <w:p w:rsidR="00000000" w:rsidRDefault="001F1FC8">
      <w:pPr>
        <w:divId w:val="656886690"/>
        <w:rPr>
          <w:rFonts w:eastAsia="Times New Roman"/>
        </w:rPr>
      </w:pPr>
    </w:p>
    <w:p w:rsidR="00000000" w:rsidRDefault="001F1FC8">
      <w:pPr>
        <w:divId w:val="433130485"/>
        <w:rPr>
          <w:rFonts w:eastAsia="Times New Roman"/>
        </w:rPr>
      </w:pPr>
      <w:r>
        <w:rPr>
          <w:rFonts w:ascii="Arial" w:eastAsia="Times New Roman" w:hAnsi="Arial" w:cs="Arial"/>
          <w:color w:val="000000"/>
          <w:sz w:val="20"/>
          <w:szCs w:val="20"/>
        </w:rPr>
        <w:t>EBITDA was positively impacted by $2.6 billion due to certain unusual, infrequent or other non-operating factors primarily explained by the following:</w:t>
      </w:r>
    </w:p>
    <w:p w:rsidR="00000000" w:rsidRDefault="001F1FC8">
      <w:pPr>
        <w:ind w:hanging="360"/>
        <w:divId w:val="1034426888"/>
        <w:rPr>
          <w:rFonts w:eastAsia="Times New Roman"/>
        </w:rPr>
      </w:pPr>
      <w:r>
        <w:rPr>
          <w:rFonts w:ascii="Arial" w:eastAsia="Times New Roman" w:hAnsi="Arial" w:cs="Arial"/>
          <w:color w:val="000000"/>
          <w:sz w:val="20"/>
          <w:szCs w:val="20"/>
          <w:shd w:val="clear" w:color="auto" w:fill="FFFFFF"/>
        </w:rPr>
        <w:t>•</w:t>
      </w:r>
      <w:r>
        <w:rPr>
          <w:rFonts w:ascii="Arial" w:eastAsia="Times New Roman" w:hAnsi="Arial" w:cs="Arial"/>
          <w:color w:val="000000"/>
          <w:sz w:val="20"/>
          <w:szCs w:val="20"/>
        </w:rPr>
        <w:t>an impairment loss of $111 million in 2021 to our investment in the PennEast pipeline project after a decision by project partners to cease development, compared to a combined impairment loss of $615 million in 2020 to our investments in SESH and Steckman;</w:t>
      </w:r>
    </w:p>
    <w:p w:rsidR="00000000" w:rsidRDefault="001F1FC8">
      <w:pPr>
        <w:ind w:hanging="360"/>
        <w:divId w:val="1194149898"/>
        <w:rPr>
          <w:rFonts w:eastAsia="Times New Roman"/>
        </w:rPr>
      </w:pPr>
      <w:r>
        <w:rPr>
          <w:rFonts w:ascii="Arial" w:eastAsia="Times New Roman" w:hAnsi="Arial" w:cs="Arial"/>
          <w:color w:val="000000"/>
          <w:sz w:val="20"/>
          <w:szCs w:val="20"/>
          <w:shd w:val="clear" w:color="auto" w:fill="FFFFFF"/>
        </w:rPr>
        <w:t>•the absence in 2021 of a $1.7 billion non-cash impairment to the carrying value of our investment in DCP Midstream and a $324 million loss resulting from our share of asset and goodwill impairments recognized by DCP Midstream, both recognized in 2020;</w:t>
      </w:r>
    </w:p>
    <w:p w:rsidR="00000000" w:rsidRDefault="001F1FC8">
      <w:pPr>
        <w:ind w:hanging="360"/>
        <w:divId w:val="1276404912"/>
        <w:rPr>
          <w:rFonts w:eastAsia="Times New Roman"/>
        </w:rPr>
      </w:pPr>
      <w:r>
        <w:rPr>
          <w:rFonts w:ascii="Arial" w:eastAsia="Times New Roman" w:hAnsi="Arial" w:cs="Arial"/>
          <w:color w:val="000000"/>
          <w:sz w:val="20"/>
          <w:szCs w:val="20"/>
        </w:rPr>
        <w:t>•</w:t>
      </w:r>
      <w:r>
        <w:rPr>
          <w:rFonts w:ascii="Arial" w:eastAsia="Times New Roman" w:hAnsi="Arial" w:cs="Arial"/>
          <w:color w:val="000000"/>
          <w:sz w:val="20"/>
          <w:szCs w:val="20"/>
        </w:rPr>
        <w:t>the absence in 2021 of a $159 million loss recorded in 2020 to reflect the Texas Eastern rate case settlement that re-established the EDIT regulated liability that was previously eliminated in December 2018; partially offset by</w:t>
      </w:r>
    </w:p>
    <w:p w:rsidR="00000000" w:rsidRDefault="001F1FC8">
      <w:pPr>
        <w:ind w:hanging="360"/>
        <w:divId w:val="1410688263"/>
        <w:rPr>
          <w:rFonts w:eastAsia="Times New Roman"/>
        </w:rPr>
      </w:pPr>
      <w:r>
        <w:rPr>
          <w:rFonts w:ascii="Arial" w:eastAsia="Times New Roman" w:hAnsi="Arial" w:cs="Arial"/>
          <w:color w:val="000000"/>
          <w:sz w:val="20"/>
          <w:szCs w:val="20"/>
        </w:rPr>
        <w:t>•a negative impact in equity</w:t>
      </w:r>
      <w:r>
        <w:rPr>
          <w:rFonts w:ascii="Arial" w:eastAsia="Times New Roman" w:hAnsi="Arial" w:cs="Arial"/>
          <w:color w:val="000000"/>
          <w:sz w:val="20"/>
          <w:szCs w:val="20"/>
        </w:rPr>
        <w:t xml:space="preserve"> earnings of $44 million in 2021, compared with a positive impact of $22 million in 2020 relating to changes in the mark-to-market value of derivative financial instruments within our equity method investee, DCP Midstream.</w:t>
      </w:r>
    </w:p>
    <w:p w:rsidR="00000000" w:rsidRDefault="001F1FC8">
      <w:pPr>
        <w:divId w:val="1379863766"/>
        <w:rPr>
          <w:rFonts w:eastAsia="Times New Roman"/>
        </w:rPr>
      </w:pPr>
    </w:p>
    <w:p w:rsidR="00000000" w:rsidRDefault="001F1FC8">
      <w:pPr>
        <w:jc w:val="center"/>
        <w:divId w:val="154152091"/>
        <w:rPr>
          <w:rFonts w:eastAsia="Times New Roman"/>
        </w:rPr>
      </w:pPr>
      <w:r>
        <w:rPr>
          <w:rFonts w:ascii="Arial" w:eastAsia="Times New Roman" w:hAnsi="Arial" w:cs="Arial"/>
          <w:color w:val="000000"/>
          <w:sz w:val="20"/>
          <w:szCs w:val="20"/>
        </w:rPr>
        <w:t>65</w:t>
      </w:r>
    </w:p>
    <w:p w:rsidR="00000000" w:rsidRDefault="001F1FC8">
      <w:pPr>
        <w:rPr>
          <w:rFonts w:eastAsia="Times New Roman"/>
        </w:rPr>
      </w:pPr>
      <w:r>
        <w:rPr>
          <w:rFonts w:eastAsia="Times New Roman"/>
        </w:rPr>
        <w:pict>
          <v:rect id="_x0000_i1095" style="width:0;height:1.5pt" o:hralign="center" o:hrstd="t" o:hr="t" fillcolor="#a0a0a0" stroked="f"/>
        </w:pict>
      </w:r>
    </w:p>
    <w:p w:rsidR="00000000" w:rsidRDefault="001F1FC8">
      <w:pPr>
        <w:jc w:val="center"/>
        <w:divId w:val="339045424"/>
        <w:rPr>
          <w:rFonts w:eastAsia="Times New Roman"/>
        </w:rPr>
      </w:pPr>
    </w:p>
    <w:p w:rsidR="00000000" w:rsidRDefault="001F1FC8">
      <w:pPr>
        <w:divId w:val="608316985"/>
        <w:rPr>
          <w:rFonts w:eastAsia="Times New Roman"/>
        </w:rPr>
      </w:pPr>
      <w:r>
        <w:rPr>
          <w:rFonts w:ascii="Arial" w:eastAsia="Times New Roman" w:hAnsi="Arial" w:cs="Arial"/>
          <w:color w:val="000000"/>
          <w:sz w:val="20"/>
          <w:szCs w:val="20"/>
        </w:rPr>
        <w:t>After taking into consideration the factors above, we saw a $45 million decrease to EBITDA that is primarily explained by the following business factors:</w:t>
      </w:r>
    </w:p>
    <w:p w:rsidR="00000000" w:rsidRDefault="001F1FC8">
      <w:pPr>
        <w:ind w:hanging="360"/>
        <w:divId w:val="1162431567"/>
        <w:rPr>
          <w:rFonts w:eastAsia="Times New Roman"/>
        </w:rPr>
      </w:pPr>
      <w:r>
        <w:rPr>
          <w:rFonts w:ascii="Arial" w:eastAsia="Times New Roman" w:hAnsi="Arial" w:cs="Arial"/>
          <w:color w:val="000000"/>
          <w:sz w:val="20"/>
          <w:szCs w:val="20"/>
        </w:rPr>
        <w:t>•the net unfavorable effect of translating US dollar EBITDA at a lower Canadian to US dollar</w:t>
      </w:r>
      <w:r>
        <w:rPr>
          <w:rFonts w:ascii="Arial" w:eastAsia="Times New Roman" w:hAnsi="Arial" w:cs="Arial"/>
          <w:color w:val="000000"/>
          <w:sz w:val="20"/>
          <w:szCs w:val="20"/>
        </w:rPr>
        <w:t xml:space="preserve"> average exchange rate in 2021, compared to the same period in 2020; and</w:t>
      </w:r>
    </w:p>
    <w:p w:rsidR="00000000" w:rsidRDefault="001F1FC8">
      <w:pPr>
        <w:ind w:hanging="360"/>
        <w:divId w:val="64109180"/>
        <w:rPr>
          <w:rFonts w:eastAsia="Times New Roman"/>
        </w:rPr>
      </w:pPr>
      <w:r>
        <w:rPr>
          <w:rFonts w:ascii="Arial" w:eastAsia="Times New Roman" w:hAnsi="Arial" w:cs="Arial"/>
          <w:color w:val="000000"/>
          <w:sz w:val="20"/>
          <w:szCs w:val="20"/>
        </w:rPr>
        <w:t>•the absence in 2021 of the recognition of revenue in 2020 that related to the settlement of interim rates collected from shippers on Texas Eastern, retroactive to June 1, 2019.</w:t>
      </w:r>
    </w:p>
    <w:p w:rsidR="00000000" w:rsidRDefault="001F1FC8">
      <w:pPr>
        <w:divId w:val="942613827"/>
        <w:rPr>
          <w:rFonts w:eastAsia="Times New Roman"/>
        </w:rPr>
      </w:pPr>
    </w:p>
    <w:p w:rsidR="00000000" w:rsidRDefault="001F1FC8">
      <w:pPr>
        <w:divId w:val="88089939"/>
        <w:rPr>
          <w:rFonts w:eastAsia="Times New Roman"/>
        </w:rPr>
      </w:pPr>
      <w:r>
        <w:rPr>
          <w:rFonts w:ascii="Arial" w:eastAsia="Times New Roman" w:hAnsi="Arial" w:cs="Arial"/>
          <w:color w:val="000000"/>
          <w:sz w:val="20"/>
          <w:szCs w:val="20"/>
        </w:rPr>
        <w:t>The</w:t>
      </w:r>
      <w:r>
        <w:rPr>
          <w:rFonts w:ascii="Arial" w:eastAsia="Times New Roman" w:hAnsi="Arial" w:cs="Arial"/>
          <w:color w:val="000000"/>
          <w:sz w:val="20"/>
          <w:szCs w:val="20"/>
        </w:rPr>
        <w:t xml:space="preserve"> factors above were partially offset by the following positive factors:</w:t>
      </w:r>
    </w:p>
    <w:p w:rsidR="00000000" w:rsidRDefault="001F1FC8">
      <w:pPr>
        <w:ind w:hanging="360"/>
        <w:divId w:val="1842089167"/>
        <w:rPr>
          <w:rFonts w:eastAsia="Times New Roman"/>
        </w:rPr>
      </w:pPr>
      <w:r>
        <w:rPr>
          <w:rFonts w:ascii="Arial" w:eastAsia="Times New Roman" w:hAnsi="Arial" w:cs="Arial"/>
          <w:color w:val="000000"/>
          <w:sz w:val="20"/>
          <w:szCs w:val="20"/>
        </w:rPr>
        <w:t>•higher commodity prices benefiting equity earnings from our Aux Sable and DCP Midstream joint ventures;</w:t>
      </w:r>
    </w:p>
    <w:p w:rsidR="00000000" w:rsidRDefault="001F1FC8">
      <w:pPr>
        <w:ind w:hanging="360"/>
        <w:divId w:val="1782073171"/>
        <w:rPr>
          <w:rFonts w:eastAsia="Times New Roman"/>
        </w:rPr>
      </w:pPr>
      <w:r>
        <w:rPr>
          <w:rFonts w:ascii="Arial" w:eastAsia="Times New Roman" w:hAnsi="Arial" w:cs="Arial"/>
          <w:color w:val="000000"/>
          <w:sz w:val="20"/>
          <w:szCs w:val="20"/>
        </w:rPr>
        <w:t xml:space="preserve">•increased revenue due to the absence of pressure restrictions that existed on </w:t>
      </w:r>
      <w:r>
        <w:rPr>
          <w:rFonts w:ascii="Arial" w:eastAsia="Times New Roman" w:hAnsi="Arial" w:cs="Arial"/>
          <w:color w:val="000000"/>
          <w:sz w:val="20"/>
          <w:szCs w:val="20"/>
        </w:rPr>
        <w:t>the Texas Eastern system in 2020; and</w:t>
      </w:r>
    </w:p>
    <w:p w:rsidR="00000000" w:rsidRDefault="001F1FC8">
      <w:pPr>
        <w:ind w:hanging="360"/>
        <w:divId w:val="1388989423"/>
        <w:rPr>
          <w:rFonts w:eastAsia="Times New Roman"/>
        </w:rPr>
      </w:pPr>
      <w:r>
        <w:rPr>
          <w:rFonts w:ascii="Arial" w:eastAsia="Times New Roman" w:hAnsi="Arial" w:cs="Arial"/>
          <w:color w:val="000000"/>
          <w:sz w:val="20"/>
          <w:szCs w:val="20"/>
        </w:rPr>
        <w:t>•a full year of contributions from the Atlantic Bridge Phase III project after it commenced service in January of 2021.</w:t>
      </w:r>
    </w:p>
    <w:p w:rsidR="00000000" w:rsidRDefault="001F1FC8">
      <w:pPr>
        <w:divId w:val="478348632"/>
        <w:rPr>
          <w:rFonts w:eastAsia="Times New Roman"/>
        </w:rPr>
      </w:pPr>
    </w:p>
    <w:p w:rsidR="00000000" w:rsidRDefault="001F1FC8">
      <w:pPr>
        <w:divId w:val="184557420"/>
        <w:rPr>
          <w:rFonts w:eastAsia="Times New Roman"/>
        </w:rPr>
      </w:pPr>
      <w:r>
        <w:rPr>
          <w:rFonts w:ascii="Arial" w:eastAsia="Times New Roman" w:hAnsi="Arial" w:cs="Arial"/>
          <w:b/>
          <w:bCs/>
          <w:color w:val="000000"/>
          <w:sz w:val="26"/>
          <w:szCs w:val="26"/>
        </w:rPr>
        <w:t>GAS DISTRIBUTION AND STORAGE</w:t>
      </w:r>
    </w:p>
    <w:tbl>
      <w:tblPr>
        <w:tblW w:w="5000" w:type="pct"/>
        <w:tblCellMar>
          <w:top w:w="15" w:type="dxa"/>
          <w:left w:w="15" w:type="dxa"/>
          <w:bottom w:w="15" w:type="dxa"/>
          <w:right w:w="15" w:type="dxa"/>
        </w:tblCellMar>
        <w:tblLook w:val="04A0" w:firstRow="1" w:lastRow="0" w:firstColumn="1" w:lastColumn="0" w:noHBand="0" w:noVBand="1"/>
      </w:tblPr>
      <w:tblGrid>
        <w:gridCol w:w="69"/>
        <w:gridCol w:w="5446"/>
        <w:gridCol w:w="37"/>
        <w:gridCol w:w="69"/>
        <w:gridCol w:w="812"/>
        <w:gridCol w:w="36"/>
        <w:gridCol w:w="69"/>
        <w:gridCol w:w="812"/>
        <w:gridCol w:w="36"/>
        <w:gridCol w:w="70"/>
        <w:gridCol w:w="814"/>
        <w:gridCol w:w="36"/>
      </w:tblGrid>
      <w:tr w:rsidR="00000000">
        <w:trPr>
          <w:divId w:val="271135426"/>
        </w:trPr>
        <w:tc>
          <w:tcPr>
            <w:tcW w:w="50" w:type="pct"/>
            <w:vAlign w:val="center"/>
            <w:hideMark/>
          </w:tcPr>
          <w:p w:rsidR="00000000" w:rsidRDefault="001F1FC8">
            <w:pPr>
              <w:rPr>
                <w:rFonts w:eastAsia="Times New Roman"/>
              </w:rPr>
            </w:pPr>
          </w:p>
        </w:tc>
        <w:tc>
          <w:tcPr>
            <w:tcW w:w="3286"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c>
          <w:tcPr>
            <w:tcW w:w="50" w:type="pct"/>
            <w:vAlign w:val="center"/>
            <w:hideMark/>
          </w:tcPr>
          <w:p w:rsidR="00000000" w:rsidRDefault="001F1FC8">
            <w:pPr>
              <w:rPr>
                <w:rFonts w:eastAsia="Times New Roman"/>
                <w:sz w:val="20"/>
                <w:szCs w:val="20"/>
              </w:rPr>
            </w:pPr>
          </w:p>
        </w:tc>
        <w:tc>
          <w:tcPr>
            <w:tcW w:w="497"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c>
          <w:tcPr>
            <w:tcW w:w="50" w:type="pct"/>
            <w:vAlign w:val="center"/>
            <w:hideMark/>
          </w:tcPr>
          <w:p w:rsidR="00000000" w:rsidRDefault="001F1FC8">
            <w:pPr>
              <w:rPr>
                <w:rFonts w:eastAsia="Times New Roman"/>
                <w:sz w:val="20"/>
                <w:szCs w:val="20"/>
              </w:rPr>
            </w:pPr>
          </w:p>
        </w:tc>
        <w:tc>
          <w:tcPr>
            <w:tcW w:w="497"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c>
          <w:tcPr>
            <w:tcW w:w="50" w:type="pct"/>
            <w:vAlign w:val="center"/>
            <w:hideMark/>
          </w:tcPr>
          <w:p w:rsidR="00000000" w:rsidRDefault="001F1FC8">
            <w:pPr>
              <w:rPr>
                <w:rFonts w:eastAsia="Times New Roman"/>
                <w:sz w:val="20"/>
                <w:szCs w:val="20"/>
              </w:rPr>
            </w:pPr>
          </w:p>
        </w:tc>
        <w:tc>
          <w:tcPr>
            <w:tcW w:w="498"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r>
      <w:tr w:rsidR="00000000">
        <w:trPr>
          <w:divId w:val="271135426"/>
        </w:trPr>
        <w:tc>
          <w:tcPr>
            <w:tcW w:w="0" w:type="auto"/>
            <w:gridSpan w:val="3"/>
            <w:tcMar>
              <w:top w:w="30" w:type="dxa"/>
              <w:left w:w="20" w:type="dxa"/>
              <w:bottom w:w="30" w:type="dxa"/>
              <w:right w:w="20" w:type="dxa"/>
            </w:tcMar>
            <w:hideMark/>
          </w:tcPr>
          <w:p w:rsidR="00000000" w:rsidRDefault="001F1FC8">
            <w:pPr>
              <w:rPr>
                <w:rFonts w:eastAsia="Times New Roman"/>
              </w:rPr>
            </w:pPr>
            <w:r>
              <w:rPr>
                <w:rFonts w:ascii="Arial" w:eastAsia="Times New Roman" w:hAnsi="Arial" w:cs="Arial"/>
                <w:color w:val="000000"/>
                <w:sz w:val="2"/>
                <w:szCs w:val="2"/>
              </w:rPr>
              <w:t> </w:t>
            </w:r>
          </w:p>
        </w:tc>
        <w:tc>
          <w:tcPr>
            <w:tcW w:w="0" w:type="auto"/>
            <w:gridSpan w:val="3"/>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b/>
                <w:bCs/>
                <w:color w:val="000000"/>
                <w:sz w:val="20"/>
                <w:szCs w:val="20"/>
              </w:rPr>
              <w:t>2021</w:t>
            </w:r>
          </w:p>
        </w:tc>
        <w:tc>
          <w:tcPr>
            <w:tcW w:w="0" w:type="auto"/>
            <w:gridSpan w:val="3"/>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2020</w:t>
            </w:r>
          </w:p>
        </w:tc>
        <w:tc>
          <w:tcPr>
            <w:tcW w:w="0" w:type="auto"/>
            <w:gridSpan w:val="3"/>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2019</w:t>
            </w:r>
          </w:p>
        </w:tc>
      </w:tr>
      <w:tr w:rsidR="00000000">
        <w:trPr>
          <w:divId w:val="271135426"/>
        </w:trPr>
        <w:tc>
          <w:tcPr>
            <w:tcW w:w="0" w:type="auto"/>
            <w:gridSpan w:val="3"/>
            <w:tcBorders>
              <w:top w:val="single" w:sz="4" w:space="0" w:color="000000"/>
            </w:tcBorders>
            <w:tcMar>
              <w:top w:w="30" w:type="dxa"/>
              <w:left w:w="20" w:type="dxa"/>
              <w:bottom w:w="30" w:type="dxa"/>
              <w:right w:w="20" w:type="dxa"/>
            </w:tcMar>
            <w:hideMark/>
          </w:tcPr>
          <w:p w:rsidR="00000000" w:rsidRDefault="001F1FC8">
            <w:pPr>
              <w:rPr>
                <w:rFonts w:eastAsia="Times New Roman"/>
              </w:rPr>
            </w:pPr>
            <w:r>
              <w:rPr>
                <w:rFonts w:ascii="Arial" w:eastAsia="Times New Roman" w:hAnsi="Arial" w:cs="Arial"/>
                <w:i/>
                <w:iCs/>
                <w:color w:val="000000"/>
                <w:sz w:val="16"/>
                <w:szCs w:val="16"/>
              </w:rPr>
              <w:t>(millions of Canadian dollars)</w:t>
            </w:r>
          </w:p>
        </w:tc>
        <w:tc>
          <w:tcPr>
            <w:tcW w:w="0" w:type="auto"/>
            <w:gridSpan w:val="3"/>
            <w:tcBorders>
              <w:top w:val="single" w:sz="4" w:space="0" w:color="000000"/>
            </w:tcBorders>
            <w:shd w:val="clear" w:color="auto" w:fill="D8D8D8"/>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2"/>
                <w:szCs w:val="2"/>
              </w:rPr>
              <w:t> </w:t>
            </w: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2"/>
                <w:szCs w:val="2"/>
              </w:rPr>
              <w:t> </w:t>
            </w: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2"/>
                <w:szCs w:val="2"/>
              </w:rPr>
              <w:t> </w:t>
            </w:r>
          </w:p>
        </w:tc>
      </w:tr>
      <w:tr w:rsidR="00000000">
        <w:trPr>
          <w:divId w:val="271135426"/>
        </w:trPr>
        <w:tc>
          <w:tcPr>
            <w:tcW w:w="0" w:type="auto"/>
            <w:gridSpan w:val="3"/>
            <w:tcBorders>
              <w:bottom w:val="single" w:sz="18" w:space="0" w:color="000000"/>
            </w:tcBorders>
            <w:tcMar>
              <w:top w:w="30" w:type="dxa"/>
              <w:left w:w="20" w:type="dxa"/>
              <w:bottom w:w="30" w:type="dxa"/>
              <w:right w:w="20" w:type="dxa"/>
            </w:tcMar>
            <w:hideMark/>
          </w:tcPr>
          <w:p w:rsidR="00000000" w:rsidRDefault="001F1FC8">
            <w:pPr>
              <w:ind w:hanging="180"/>
              <w:divId w:val="243996247"/>
              <w:rPr>
                <w:rFonts w:eastAsia="Times New Roman"/>
              </w:rPr>
            </w:pPr>
            <w:r>
              <w:rPr>
                <w:rFonts w:ascii="Arial" w:eastAsia="Times New Roman" w:hAnsi="Arial" w:cs="Arial"/>
                <w:color w:val="000000"/>
                <w:sz w:val="20"/>
                <w:szCs w:val="20"/>
              </w:rPr>
              <w:t>Earnings before interest, income taxes and depreciation and amortizatio</w:t>
            </w:r>
            <w:r>
              <w:rPr>
                <w:rFonts w:ascii="Arial" w:eastAsia="Times New Roman" w:hAnsi="Arial" w:cs="Arial"/>
                <w:color w:val="000000"/>
                <w:sz w:val="20"/>
                <w:szCs w:val="20"/>
              </w:rPr>
              <w:t>n</w:t>
            </w:r>
            <w:r>
              <w:rPr>
                <w:rFonts w:ascii="Arial" w:eastAsia="Times New Roman" w:hAnsi="Arial" w:cs="Arial"/>
                <w:color w:val="000000"/>
                <w:sz w:val="10"/>
                <w:szCs w:val="10"/>
              </w:rPr>
              <w:t>1</w:t>
            </w:r>
          </w:p>
        </w:tc>
        <w:tc>
          <w:tcPr>
            <w:tcW w:w="0" w:type="auto"/>
            <w:gridSpan w:val="2"/>
            <w:tcBorders>
              <w:bottom w:val="single" w:sz="18" w:space="0" w:color="000000"/>
            </w:tcBorders>
            <w:shd w:val="clear" w:color="auto" w:fill="D8D8D8"/>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20"/>
                <w:szCs w:val="20"/>
              </w:rPr>
              <w:t>2,117</w:t>
            </w:r>
            <w:r>
              <w:rPr>
                <w:rFonts w:ascii="Arial" w:eastAsia="Times New Roman" w:hAnsi="Arial" w:cs="Arial"/>
                <w:color w:val="000000"/>
                <w:sz w:val="20"/>
                <w:szCs w:val="20"/>
              </w:rPr>
              <w:t> </w:t>
            </w:r>
          </w:p>
        </w:tc>
        <w:tc>
          <w:tcPr>
            <w:tcW w:w="0" w:type="auto"/>
            <w:tcBorders>
              <w:bottom w:val="single" w:sz="18" w:space="0" w:color="000000"/>
            </w:tcBorders>
            <w:shd w:val="clear" w:color="auto" w:fill="D8D8D8"/>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Borders>
              <w:bottom w:val="single" w:sz="18" w:space="0" w:color="000000"/>
            </w:tcBorders>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1,748 </w:t>
            </w:r>
          </w:p>
        </w:tc>
        <w:tc>
          <w:tcPr>
            <w:tcW w:w="0" w:type="auto"/>
            <w:tcBorders>
              <w:bottom w:val="single" w:sz="18" w:space="0" w:color="000000"/>
            </w:tcBorders>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Borders>
              <w:bottom w:val="single" w:sz="18" w:space="0" w:color="000000"/>
            </w:tcBorders>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1,747 </w:t>
            </w:r>
          </w:p>
        </w:tc>
        <w:tc>
          <w:tcPr>
            <w:tcW w:w="0" w:type="auto"/>
            <w:tcBorders>
              <w:bottom w:val="single" w:sz="18" w:space="0" w:color="000000"/>
            </w:tcBorders>
            <w:tcMar>
              <w:top w:w="30" w:type="dxa"/>
              <w:left w:w="0" w:type="dxa"/>
              <w:bottom w:w="30" w:type="dxa"/>
              <w:right w:w="20" w:type="dxa"/>
            </w:tcMar>
            <w:vAlign w:val="bottom"/>
            <w:hideMark/>
          </w:tcPr>
          <w:p w:rsidR="00000000" w:rsidRDefault="001F1FC8">
            <w:pPr>
              <w:jc w:val="right"/>
              <w:rPr>
                <w:rFonts w:eastAsia="Times New Roman"/>
              </w:rPr>
            </w:pPr>
          </w:p>
        </w:tc>
      </w:tr>
    </w:tbl>
    <w:p w:rsidR="00000000" w:rsidRDefault="001F1FC8">
      <w:pPr>
        <w:ind w:hanging="180"/>
        <w:divId w:val="1146706763"/>
        <w:rPr>
          <w:rFonts w:eastAsia="Times New Roman"/>
        </w:rPr>
      </w:pPr>
      <w:r>
        <w:rPr>
          <w:rFonts w:ascii="Arial" w:eastAsia="Times New Roman" w:hAnsi="Arial" w:cs="Arial"/>
          <w:i/>
          <w:iCs/>
          <w:color w:val="000000"/>
          <w:sz w:val="16"/>
          <w:szCs w:val="16"/>
        </w:rPr>
        <w:t>1Non-GAAP financial measure.</w:t>
      </w:r>
    </w:p>
    <w:p w:rsidR="00000000" w:rsidRDefault="001F1FC8">
      <w:pPr>
        <w:divId w:val="2022195111"/>
        <w:rPr>
          <w:rFonts w:eastAsia="Times New Roman"/>
        </w:rPr>
      </w:pPr>
    </w:p>
    <w:p w:rsidR="00000000" w:rsidRDefault="001F1FC8">
      <w:pPr>
        <w:divId w:val="49035282"/>
        <w:rPr>
          <w:rFonts w:eastAsia="Times New Roman"/>
        </w:rPr>
      </w:pPr>
      <w:r>
        <w:rPr>
          <w:rFonts w:ascii="Arial" w:eastAsia="Times New Roman" w:hAnsi="Arial" w:cs="Arial"/>
          <w:b/>
          <w:bCs/>
          <w:color w:val="000000"/>
          <w:sz w:val="20"/>
          <w:szCs w:val="20"/>
        </w:rPr>
        <w:t>Year ended December </w:t>
      </w:r>
      <w:r>
        <w:rPr>
          <w:rFonts w:ascii="Arial" w:eastAsia="Times New Roman" w:hAnsi="Arial" w:cs="Arial"/>
          <w:b/>
          <w:bCs/>
          <w:color w:val="000000"/>
          <w:sz w:val="20"/>
          <w:szCs w:val="20"/>
        </w:rPr>
        <w:t>31, 2021 compared with year ended December 31, 2020</w:t>
      </w:r>
    </w:p>
    <w:p w:rsidR="00000000" w:rsidRDefault="001F1FC8">
      <w:pPr>
        <w:divId w:val="844832128"/>
        <w:rPr>
          <w:rFonts w:eastAsia="Times New Roman"/>
        </w:rPr>
      </w:pPr>
    </w:p>
    <w:p w:rsidR="00000000" w:rsidRDefault="001F1FC8">
      <w:pPr>
        <w:divId w:val="1061900637"/>
        <w:rPr>
          <w:rFonts w:eastAsia="Times New Roman"/>
        </w:rPr>
      </w:pPr>
      <w:r>
        <w:rPr>
          <w:rFonts w:ascii="Arial" w:eastAsia="Times New Roman" w:hAnsi="Arial" w:cs="Arial"/>
          <w:color w:val="000000"/>
          <w:sz w:val="20"/>
          <w:szCs w:val="20"/>
        </w:rPr>
        <w:t>EBITDA was positively impacted by $338 million due to certain unusual, infrequent or other non-operating factors primarily explained by the following:</w:t>
      </w:r>
    </w:p>
    <w:p w:rsidR="00000000" w:rsidRDefault="001F1FC8">
      <w:pPr>
        <w:ind w:hanging="360"/>
        <w:divId w:val="121730988"/>
        <w:rPr>
          <w:rFonts w:eastAsia="Times New Roman"/>
        </w:rPr>
      </w:pPr>
      <w:r>
        <w:rPr>
          <w:rFonts w:ascii="Arial" w:eastAsia="Times New Roman" w:hAnsi="Arial" w:cs="Arial"/>
          <w:color w:val="000000"/>
          <w:sz w:val="20"/>
          <w:szCs w:val="20"/>
        </w:rPr>
        <w:t xml:space="preserve">•a gain of $303 million resulting from the sale of </w:t>
      </w:r>
      <w:r>
        <w:rPr>
          <w:rFonts w:ascii="Arial" w:eastAsia="Times New Roman" w:hAnsi="Arial" w:cs="Arial"/>
          <w:color w:val="000000"/>
          <w:sz w:val="20"/>
          <w:szCs w:val="20"/>
        </w:rPr>
        <w:t>our investment in Noverco; and</w:t>
      </w:r>
    </w:p>
    <w:p w:rsidR="00000000" w:rsidRDefault="001F1FC8">
      <w:pPr>
        <w:ind w:hanging="360"/>
        <w:divId w:val="854685685"/>
        <w:rPr>
          <w:rFonts w:eastAsia="Times New Roman"/>
        </w:rPr>
      </w:pPr>
      <w:r>
        <w:rPr>
          <w:rFonts w:ascii="Arial" w:eastAsia="Times New Roman" w:hAnsi="Arial" w:cs="Arial"/>
          <w:color w:val="000000"/>
          <w:sz w:val="20"/>
          <w:szCs w:val="20"/>
        </w:rPr>
        <w:t>•a non-cash, unrealized gain of $14 million in 2021, compared with a loss of $10 million in 2020, reflecting net fair value gains and losses arising from changes in the mark-to-market value of derivative financial instruments</w:t>
      </w:r>
      <w:r>
        <w:rPr>
          <w:rFonts w:ascii="Arial" w:eastAsia="Times New Roman" w:hAnsi="Arial" w:cs="Arial"/>
          <w:color w:val="000000"/>
          <w:sz w:val="20"/>
          <w:szCs w:val="20"/>
        </w:rPr>
        <w:t xml:space="preserve"> used to manage foreign exchange risks.</w:t>
      </w:r>
    </w:p>
    <w:p w:rsidR="00000000" w:rsidRDefault="001F1FC8">
      <w:pPr>
        <w:divId w:val="520512117"/>
        <w:rPr>
          <w:rFonts w:eastAsia="Times New Roman"/>
        </w:rPr>
      </w:pPr>
    </w:p>
    <w:p w:rsidR="00000000" w:rsidRDefault="001F1FC8">
      <w:pPr>
        <w:divId w:val="1225795127"/>
        <w:rPr>
          <w:rFonts w:eastAsia="Times New Roman"/>
        </w:rPr>
      </w:pPr>
      <w:r>
        <w:rPr>
          <w:rFonts w:ascii="Arial" w:eastAsia="Times New Roman" w:hAnsi="Arial" w:cs="Arial"/>
          <w:color w:val="000000"/>
          <w:sz w:val="20"/>
          <w:szCs w:val="20"/>
        </w:rPr>
        <w:t>After taking into consideration the positive factors above, the remaining $31 million increase is primarily explained by the following significant business factors:</w:t>
      </w:r>
    </w:p>
    <w:p w:rsidR="00000000" w:rsidRDefault="001F1FC8">
      <w:pPr>
        <w:ind w:hanging="360"/>
        <w:divId w:val="333151029"/>
        <w:rPr>
          <w:rFonts w:eastAsia="Times New Roman"/>
        </w:rPr>
      </w:pPr>
      <w:r>
        <w:rPr>
          <w:rFonts w:ascii="Arial" w:eastAsia="Times New Roman" w:hAnsi="Arial" w:cs="Arial"/>
          <w:color w:val="000000"/>
          <w:sz w:val="20"/>
          <w:szCs w:val="20"/>
        </w:rPr>
        <w:t>•higher distribution charges resulting from increases in rates and customer base; and</w:t>
      </w:r>
    </w:p>
    <w:p w:rsidR="00000000" w:rsidRDefault="001F1FC8">
      <w:pPr>
        <w:ind w:hanging="360"/>
        <w:divId w:val="1392192947"/>
        <w:rPr>
          <w:rFonts w:eastAsia="Times New Roman"/>
        </w:rPr>
      </w:pPr>
      <w:r>
        <w:rPr>
          <w:rFonts w:ascii="Arial" w:eastAsia="Times New Roman" w:hAnsi="Arial" w:cs="Arial"/>
          <w:color w:val="000000"/>
          <w:sz w:val="20"/>
          <w:szCs w:val="20"/>
        </w:rPr>
        <w:t>•high</w:t>
      </w:r>
      <w:r>
        <w:rPr>
          <w:rFonts w:ascii="Arial" w:eastAsia="Times New Roman" w:hAnsi="Arial" w:cs="Arial"/>
          <w:color w:val="000000"/>
          <w:sz w:val="20"/>
          <w:szCs w:val="20"/>
        </w:rPr>
        <w:t>er storage revenue, mainly relating to storage optimization activities.</w:t>
      </w:r>
    </w:p>
    <w:p w:rsidR="00000000" w:rsidRDefault="001F1FC8">
      <w:pPr>
        <w:divId w:val="1208758957"/>
        <w:rPr>
          <w:rFonts w:eastAsia="Times New Roman"/>
        </w:rPr>
      </w:pPr>
    </w:p>
    <w:p w:rsidR="00000000" w:rsidRDefault="001F1FC8">
      <w:pPr>
        <w:divId w:val="904268083"/>
        <w:rPr>
          <w:rFonts w:eastAsia="Times New Roman"/>
        </w:rPr>
      </w:pPr>
      <w:r>
        <w:rPr>
          <w:rFonts w:ascii="Arial" w:eastAsia="Times New Roman" w:hAnsi="Arial" w:cs="Arial"/>
          <w:color w:val="000000"/>
          <w:sz w:val="20"/>
          <w:szCs w:val="20"/>
        </w:rPr>
        <w:t>The positive business factors above were partially offset by the following factors:</w:t>
      </w:r>
    </w:p>
    <w:p w:rsidR="00000000" w:rsidRDefault="001F1FC8">
      <w:pPr>
        <w:ind w:hanging="360"/>
        <w:divId w:val="2003776454"/>
        <w:rPr>
          <w:rFonts w:eastAsia="Times New Roman"/>
        </w:rPr>
      </w:pPr>
      <w:r>
        <w:rPr>
          <w:rFonts w:ascii="Arial" w:eastAsia="Times New Roman" w:hAnsi="Arial" w:cs="Arial"/>
          <w:color w:val="000000"/>
          <w:sz w:val="20"/>
          <w:szCs w:val="20"/>
        </w:rPr>
        <w:t xml:space="preserve">•higher operating and administrative costs largely related to operational, pipeline integrity and </w:t>
      </w:r>
      <w:r>
        <w:rPr>
          <w:rFonts w:ascii="Arial" w:eastAsia="Times New Roman" w:hAnsi="Arial" w:cs="Arial"/>
          <w:color w:val="000000"/>
          <w:sz w:val="20"/>
          <w:szCs w:val="20"/>
        </w:rPr>
        <w:t>safety costs; and</w:t>
      </w:r>
    </w:p>
    <w:p w:rsidR="00000000" w:rsidRDefault="001F1FC8">
      <w:pPr>
        <w:ind w:hanging="360"/>
        <w:divId w:val="1012101378"/>
        <w:rPr>
          <w:rFonts w:eastAsia="Times New Roman"/>
        </w:rPr>
      </w:pPr>
      <w:r>
        <w:rPr>
          <w:rFonts w:ascii="Arial" w:eastAsia="Times New Roman" w:hAnsi="Arial" w:cs="Arial"/>
          <w:color w:val="000000"/>
          <w:sz w:val="20"/>
          <w:szCs w:val="20"/>
        </w:rPr>
        <w:t>•when compared with the normal weather forecast embedded in rates, weather was warmer in both 2021 and 2020, negatively impacting EBITDA in both years. Warmer than normal weather in 2021 negatively impacted 2021 EBITDA by approximately $5</w:t>
      </w:r>
      <w:r>
        <w:rPr>
          <w:rFonts w:ascii="Arial" w:eastAsia="Times New Roman" w:hAnsi="Arial" w:cs="Arial"/>
          <w:color w:val="000000"/>
          <w:sz w:val="20"/>
          <w:szCs w:val="20"/>
        </w:rPr>
        <w:t>5 million, while the warmer than normal weather in 2020 negatively impacted 2020 EBITDA by approximately $33 million.</w:t>
      </w:r>
    </w:p>
    <w:p w:rsidR="00000000" w:rsidRDefault="001F1FC8">
      <w:pPr>
        <w:divId w:val="2088335276"/>
        <w:rPr>
          <w:rFonts w:eastAsia="Times New Roman"/>
        </w:rPr>
      </w:pPr>
    </w:p>
    <w:p w:rsidR="00000000" w:rsidRDefault="001F1FC8">
      <w:pPr>
        <w:jc w:val="center"/>
        <w:divId w:val="673651671"/>
        <w:rPr>
          <w:rFonts w:eastAsia="Times New Roman"/>
        </w:rPr>
      </w:pPr>
      <w:r>
        <w:rPr>
          <w:rFonts w:ascii="Arial" w:eastAsia="Times New Roman" w:hAnsi="Arial" w:cs="Arial"/>
          <w:color w:val="000000"/>
          <w:sz w:val="20"/>
          <w:szCs w:val="20"/>
        </w:rPr>
        <w:t>66</w:t>
      </w:r>
    </w:p>
    <w:p w:rsidR="00000000" w:rsidRDefault="001F1FC8">
      <w:pPr>
        <w:rPr>
          <w:rFonts w:eastAsia="Times New Roman"/>
        </w:rPr>
      </w:pPr>
      <w:r>
        <w:rPr>
          <w:rFonts w:eastAsia="Times New Roman"/>
        </w:rPr>
        <w:pict>
          <v:rect id="_x0000_i1096" style="width:0;height:1.5pt" o:hralign="center" o:hrstd="t" o:hr="t" fillcolor="#a0a0a0" stroked="f"/>
        </w:pict>
      </w:r>
    </w:p>
    <w:p w:rsidR="00000000" w:rsidRDefault="001F1FC8">
      <w:pPr>
        <w:jc w:val="center"/>
        <w:divId w:val="1816678009"/>
        <w:rPr>
          <w:rFonts w:eastAsia="Times New Roman"/>
        </w:rPr>
      </w:pPr>
    </w:p>
    <w:p w:rsidR="00000000" w:rsidRDefault="001F1FC8">
      <w:pPr>
        <w:divId w:val="640964370"/>
        <w:rPr>
          <w:rFonts w:eastAsia="Times New Roman"/>
        </w:rPr>
      </w:pPr>
      <w:r>
        <w:rPr>
          <w:rFonts w:ascii="Arial" w:eastAsia="Times New Roman" w:hAnsi="Arial" w:cs="Arial"/>
          <w:b/>
          <w:bCs/>
          <w:color w:val="000000"/>
          <w:sz w:val="26"/>
          <w:szCs w:val="26"/>
        </w:rPr>
        <w:t>RENEWABLE POWER GENERATION</w:t>
      </w:r>
    </w:p>
    <w:p w:rsidR="00000000" w:rsidRDefault="001F1FC8">
      <w:pPr>
        <w:divId w:val="1749182634"/>
        <w:rPr>
          <w:rFonts w:eastAsia="Times New Roman"/>
        </w:rPr>
      </w:pPr>
    </w:p>
    <w:tbl>
      <w:tblPr>
        <w:tblW w:w="4991" w:type="pct"/>
        <w:tblCellMar>
          <w:top w:w="15" w:type="dxa"/>
          <w:left w:w="15" w:type="dxa"/>
          <w:bottom w:w="15" w:type="dxa"/>
          <w:right w:w="15" w:type="dxa"/>
        </w:tblCellMar>
        <w:tblLook w:val="04A0" w:firstRow="1" w:lastRow="0" w:firstColumn="1" w:lastColumn="0" w:noHBand="0" w:noVBand="1"/>
      </w:tblPr>
      <w:tblGrid>
        <w:gridCol w:w="69"/>
        <w:gridCol w:w="5433"/>
        <w:gridCol w:w="37"/>
        <w:gridCol w:w="69"/>
        <w:gridCol w:w="812"/>
        <w:gridCol w:w="36"/>
        <w:gridCol w:w="69"/>
        <w:gridCol w:w="812"/>
        <w:gridCol w:w="36"/>
        <w:gridCol w:w="69"/>
        <w:gridCol w:w="813"/>
        <w:gridCol w:w="36"/>
      </w:tblGrid>
      <w:tr w:rsidR="00000000">
        <w:trPr>
          <w:divId w:val="781459870"/>
        </w:trPr>
        <w:tc>
          <w:tcPr>
            <w:tcW w:w="50" w:type="pct"/>
            <w:vAlign w:val="center"/>
            <w:hideMark/>
          </w:tcPr>
          <w:p w:rsidR="00000000" w:rsidRDefault="001F1FC8">
            <w:pPr>
              <w:rPr>
                <w:rFonts w:eastAsia="Times New Roman"/>
              </w:rPr>
            </w:pPr>
          </w:p>
        </w:tc>
        <w:tc>
          <w:tcPr>
            <w:tcW w:w="3283"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c>
          <w:tcPr>
            <w:tcW w:w="50" w:type="pct"/>
            <w:vAlign w:val="center"/>
            <w:hideMark/>
          </w:tcPr>
          <w:p w:rsidR="00000000" w:rsidRDefault="001F1FC8">
            <w:pPr>
              <w:rPr>
                <w:rFonts w:eastAsia="Times New Roman"/>
                <w:sz w:val="20"/>
                <w:szCs w:val="20"/>
              </w:rPr>
            </w:pPr>
          </w:p>
        </w:tc>
        <w:tc>
          <w:tcPr>
            <w:tcW w:w="498"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c>
          <w:tcPr>
            <w:tcW w:w="50" w:type="pct"/>
            <w:vAlign w:val="center"/>
            <w:hideMark/>
          </w:tcPr>
          <w:p w:rsidR="00000000" w:rsidRDefault="001F1FC8">
            <w:pPr>
              <w:rPr>
                <w:rFonts w:eastAsia="Times New Roman"/>
                <w:sz w:val="20"/>
                <w:szCs w:val="20"/>
              </w:rPr>
            </w:pPr>
          </w:p>
        </w:tc>
        <w:tc>
          <w:tcPr>
            <w:tcW w:w="498"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c>
          <w:tcPr>
            <w:tcW w:w="50" w:type="pct"/>
            <w:vAlign w:val="center"/>
            <w:hideMark/>
          </w:tcPr>
          <w:p w:rsidR="00000000" w:rsidRDefault="001F1FC8">
            <w:pPr>
              <w:rPr>
                <w:rFonts w:eastAsia="Times New Roman"/>
                <w:sz w:val="20"/>
                <w:szCs w:val="20"/>
              </w:rPr>
            </w:pPr>
          </w:p>
        </w:tc>
        <w:tc>
          <w:tcPr>
            <w:tcW w:w="498"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r>
      <w:tr w:rsidR="00000000">
        <w:trPr>
          <w:divId w:val="781459870"/>
        </w:trPr>
        <w:tc>
          <w:tcPr>
            <w:tcW w:w="0" w:type="auto"/>
            <w:gridSpan w:val="3"/>
            <w:tcMar>
              <w:top w:w="30" w:type="dxa"/>
              <w:left w:w="20" w:type="dxa"/>
              <w:bottom w:w="30" w:type="dxa"/>
              <w:right w:w="20" w:type="dxa"/>
            </w:tcMar>
            <w:hideMark/>
          </w:tcPr>
          <w:p w:rsidR="00000000" w:rsidRDefault="001F1FC8">
            <w:pPr>
              <w:rPr>
                <w:rFonts w:eastAsia="Times New Roman"/>
              </w:rPr>
            </w:pPr>
            <w:r>
              <w:rPr>
                <w:rFonts w:ascii="Arial" w:eastAsia="Times New Roman" w:hAnsi="Arial" w:cs="Arial"/>
                <w:color w:val="000000"/>
                <w:sz w:val="2"/>
                <w:szCs w:val="2"/>
              </w:rPr>
              <w:t> </w:t>
            </w:r>
          </w:p>
        </w:tc>
        <w:tc>
          <w:tcPr>
            <w:tcW w:w="0" w:type="auto"/>
            <w:gridSpan w:val="3"/>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b/>
                <w:bCs/>
                <w:color w:val="000000"/>
                <w:sz w:val="20"/>
                <w:szCs w:val="20"/>
              </w:rPr>
              <w:t>2021</w:t>
            </w:r>
          </w:p>
        </w:tc>
        <w:tc>
          <w:tcPr>
            <w:tcW w:w="0" w:type="auto"/>
            <w:gridSpan w:val="3"/>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2020</w:t>
            </w:r>
          </w:p>
        </w:tc>
        <w:tc>
          <w:tcPr>
            <w:tcW w:w="0" w:type="auto"/>
            <w:gridSpan w:val="3"/>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2019</w:t>
            </w:r>
          </w:p>
        </w:tc>
      </w:tr>
      <w:tr w:rsidR="00000000">
        <w:trPr>
          <w:divId w:val="781459870"/>
        </w:trPr>
        <w:tc>
          <w:tcPr>
            <w:tcW w:w="0" w:type="auto"/>
            <w:gridSpan w:val="3"/>
            <w:tcBorders>
              <w:top w:val="single" w:sz="4" w:space="0" w:color="000000"/>
            </w:tcBorders>
            <w:tcMar>
              <w:top w:w="30" w:type="dxa"/>
              <w:left w:w="20" w:type="dxa"/>
              <w:bottom w:w="30" w:type="dxa"/>
              <w:right w:w="20" w:type="dxa"/>
            </w:tcMar>
            <w:hideMark/>
          </w:tcPr>
          <w:p w:rsidR="00000000" w:rsidRDefault="001F1FC8">
            <w:pPr>
              <w:rPr>
                <w:rFonts w:eastAsia="Times New Roman"/>
              </w:rPr>
            </w:pPr>
            <w:r>
              <w:rPr>
                <w:rFonts w:ascii="Arial" w:eastAsia="Times New Roman" w:hAnsi="Arial" w:cs="Arial"/>
                <w:i/>
                <w:iCs/>
                <w:color w:val="000000"/>
                <w:sz w:val="16"/>
                <w:szCs w:val="16"/>
              </w:rPr>
              <w:t>(millions of Canadian dollars)</w:t>
            </w:r>
          </w:p>
        </w:tc>
        <w:tc>
          <w:tcPr>
            <w:tcW w:w="0" w:type="auto"/>
            <w:gridSpan w:val="3"/>
            <w:tcBorders>
              <w:top w:val="single" w:sz="4" w:space="0" w:color="000000"/>
            </w:tcBorders>
            <w:shd w:val="clear" w:color="auto" w:fill="D8D8D8"/>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2"/>
                <w:szCs w:val="2"/>
              </w:rPr>
              <w:t> </w:t>
            </w: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2"/>
                <w:szCs w:val="2"/>
              </w:rPr>
              <w:t> </w:t>
            </w: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2"/>
                <w:szCs w:val="2"/>
              </w:rPr>
              <w:t> </w:t>
            </w:r>
          </w:p>
        </w:tc>
      </w:tr>
      <w:tr w:rsidR="00000000">
        <w:trPr>
          <w:divId w:val="781459870"/>
        </w:trPr>
        <w:tc>
          <w:tcPr>
            <w:tcW w:w="0" w:type="auto"/>
            <w:gridSpan w:val="3"/>
            <w:tcBorders>
              <w:bottom w:val="single" w:sz="18" w:space="0" w:color="000000"/>
            </w:tcBorders>
            <w:tcMar>
              <w:top w:w="30" w:type="dxa"/>
              <w:left w:w="20" w:type="dxa"/>
              <w:bottom w:w="30" w:type="dxa"/>
              <w:right w:w="20" w:type="dxa"/>
            </w:tcMar>
            <w:hideMark/>
          </w:tcPr>
          <w:p w:rsidR="00000000" w:rsidRDefault="001F1FC8">
            <w:pPr>
              <w:ind w:hanging="180"/>
              <w:divId w:val="1595086639"/>
              <w:rPr>
                <w:rFonts w:eastAsia="Times New Roman"/>
              </w:rPr>
            </w:pPr>
            <w:r>
              <w:rPr>
                <w:rFonts w:ascii="Arial" w:eastAsia="Times New Roman" w:hAnsi="Arial" w:cs="Arial"/>
                <w:color w:val="000000"/>
                <w:sz w:val="20"/>
                <w:szCs w:val="20"/>
              </w:rPr>
              <w:t>Earnings before interest, income taxes and depreciation and amortizatio</w:t>
            </w:r>
            <w:r>
              <w:rPr>
                <w:rFonts w:ascii="Arial" w:eastAsia="Times New Roman" w:hAnsi="Arial" w:cs="Arial"/>
                <w:color w:val="000000"/>
                <w:sz w:val="20"/>
                <w:szCs w:val="20"/>
              </w:rPr>
              <w:t>n</w:t>
            </w:r>
            <w:r>
              <w:rPr>
                <w:rFonts w:ascii="Arial" w:eastAsia="Times New Roman" w:hAnsi="Arial" w:cs="Arial"/>
                <w:color w:val="000000"/>
                <w:sz w:val="10"/>
                <w:szCs w:val="10"/>
              </w:rPr>
              <w:t>1</w:t>
            </w:r>
          </w:p>
        </w:tc>
        <w:tc>
          <w:tcPr>
            <w:tcW w:w="0" w:type="auto"/>
            <w:gridSpan w:val="2"/>
            <w:tcBorders>
              <w:bottom w:val="single" w:sz="18" w:space="0" w:color="000000"/>
            </w:tcBorders>
            <w:shd w:val="clear" w:color="auto" w:fill="D8D8D8"/>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20"/>
                <w:szCs w:val="20"/>
              </w:rPr>
              <w:t>508</w:t>
            </w:r>
            <w:r>
              <w:rPr>
                <w:rFonts w:ascii="Arial" w:eastAsia="Times New Roman" w:hAnsi="Arial" w:cs="Arial"/>
                <w:color w:val="000000"/>
                <w:sz w:val="20"/>
                <w:szCs w:val="20"/>
              </w:rPr>
              <w:t> </w:t>
            </w:r>
          </w:p>
        </w:tc>
        <w:tc>
          <w:tcPr>
            <w:tcW w:w="0" w:type="auto"/>
            <w:tcBorders>
              <w:bottom w:val="single" w:sz="18" w:space="0" w:color="000000"/>
            </w:tcBorders>
            <w:shd w:val="clear" w:color="auto" w:fill="D8D8D8"/>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Borders>
              <w:bottom w:val="single" w:sz="18" w:space="0" w:color="000000"/>
            </w:tcBorders>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523 </w:t>
            </w:r>
          </w:p>
        </w:tc>
        <w:tc>
          <w:tcPr>
            <w:tcW w:w="0" w:type="auto"/>
            <w:tcBorders>
              <w:bottom w:val="single" w:sz="18" w:space="0" w:color="000000"/>
            </w:tcBorders>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Borders>
              <w:bottom w:val="single" w:sz="18" w:space="0" w:color="000000"/>
            </w:tcBorders>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111 </w:t>
            </w:r>
          </w:p>
        </w:tc>
        <w:tc>
          <w:tcPr>
            <w:tcW w:w="0" w:type="auto"/>
            <w:tcBorders>
              <w:bottom w:val="single" w:sz="18" w:space="0" w:color="000000"/>
            </w:tcBorders>
            <w:tcMar>
              <w:top w:w="30" w:type="dxa"/>
              <w:left w:w="0" w:type="dxa"/>
              <w:bottom w:w="30" w:type="dxa"/>
              <w:right w:w="20" w:type="dxa"/>
            </w:tcMar>
            <w:vAlign w:val="bottom"/>
            <w:hideMark/>
          </w:tcPr>
          <w:p w:rsidR="00000000" w:rsidRDefault="001F1FC8">
            <w:pPr>
              <w:jc w:val="right"/>
              <w:rPr>
                <w:rFonts w:eastAsia="Times New Roman"/>
              </w:rPr>
            </w:pPr>
          </w:p>
        </w:tc>
      </w:tr>
    </w:tbl>
    <w:p w:rsidR="00000000" w:rsidRDefault="001F1FC8">
      <w:pPr>
        <w:ind w:hanging="180"/>
        <w:divId w:val="1025015101"/>
        <w:rPr>
          <w:rFonts w:eastAsia="Times New Roman"/>
        </w:rPr>
      </w:pPr>
      <w:r>
        <w:rPr>
          <w:rFonts w:ascii="Arial" w:eastAsia="Times New Roman" w:hAnsi="Arial" w:cs="Arial"/>
          <w:i/>
          <w:iCs/>
          <w:color w:val="000000"/>
          <w:sz w:val="16"/>
          <w:szCs w:val="16"/>
        </w:rPr>
        <w:t>1Non-GAAP financial measure.</w:t>
      </w:r>
    </w:p>
    <w:p w:rsidR="00000000" w:rsidRDefault="001F1FC8">
      <w:pPr>
        <w:divId w:val="951979634"/>
        <w:rPr>
          <w:rFonts w:eastAsia="Times New Roman"/>
        </w:rPr>
      </w:pPr>
    </w:p>
    <w:p w:rsidR="00000000" w:rsidRDefault="001F1FC8">
      <w:pPr>
        <w:divId w:val="1040516530"/>
        <w:rPr>
          <w:rFonts w:eastAsia="Times New Roman"/>
        </w:rPr>
      </w:pPr>
      <w:r>
        <w:rPr>
          <w:rFonts w:ascii="Arial" w:eastAsia="Times New Roman" w:hAnsi="Arial" w:cs="Arial"/>
          <w:b/>
          <w:bCs/>
          <w:color w:val="000000"/>
          <w:sz w:val="20"/>
          <w:szCs w:val="20"/>
        </w:rPr>
        <w:t>Year ended December </w:t>
      </w:r>
      <w:r>
        <w:rPr>
          <w:rFonts w:ascii="Arial" w:eastAsia="Times New Roman" w:hAnsi="Arial" w:cs="Arial"/>
          <w:b/>
          <w:bCs/>
          <w:color w:val="000000"/>
          <w:sz w:val="20"/>
          <w:szCs w:val="20"/>
        </w:rPr>
        <w:t>31, 2021 compared with year ended December 31, 2020</w:t>
      </w:r>
    </w:p>
    <w:p w:rsidR="00000000" w:rsidRDefault="001F1FC8">
      <w:pPr>
        <w:divId w:val="2036223996"/>
        <w:rPr>
          <w:rFonts w:eastAsia="Times New Roman"/>
        </w:rPr>
      </w:pPr>
    </w:p>
    <w:p w:rsidR="00000000" w:rsidRDefault="001F1FC8">
      <w:pPr>
        <w:divId w:val="437024411"/>
        <w:rPr>
          <w:rFonts w:eastAsia="Times New Roman"/>
        </w:rPr>
      </w:pPr>
      <w:r>
        <w:rPr>
          <w:rFonts w:ascii="Arial" w:eastAsia="Times New Roman" w:hAnsi="Arial" w:cs="Arial"/>
          <w:color w:val="000000"/>
          <w:sz w:val="20"/>
          <w:szCs w:val="20"/>
        </w:rPr>
        <w:t>EBITDA was negatively impacted by $15 million primarily explained by the following significant business factors:</w:t>
      </w:r>
    </w:p>
    <w:p w:rsidR="00000000" w:rsidRDefault="001F1FC8">
      <w:pPr>
        <w:ind w:hanging="360"/>
        <w:divId w:val="843283802"/>
        <w:rPr>
          <w:rFonts w:eastAsia="Times New Roman"/>
        </w:rPr>
      </w:pPr>
      <w:r>
        <w:rPr>
          <w:rFonts w:ascii="Arial" w:eastAsia="Times New Roman" w:hAnsi="Arial" w:cs="Arial"/>
          <w:color w:val="000000"/>
          <w:sz w:val="20"/>
          <w:szCs w:val="20"/>
        </w:rPr>
        <w:t>•weaker wind resources at Canadian and United States wind facilities and the effects from</w:t>
      </w:r>
      <w:r>
        <w:rPr>
          <w:rFonts w:ascii="Arial" w:eastAsia="Times New Roman" w:hAnsi="Arial" w:cs="Arial"/>
          <w:color w:val="000000"/>
          <w:sz w:val="20"/>
          <w:szCs w:val="20"/>
        </w:rPr>
        <w:t xml:space="preserve"> the Texas winter storm in February 2021; and</w:t>
      </w:r>
    </w:p>
    <w:p w:rsidR="00000000" w:rsidRDefault="001F1FC8">
      <w:pPr>
        <w:ind w:hanging="360"/>
        <w:divId w:val="205602705"/>
        <w:rPr>
          <w:rFonts w:eastAsia="Times New Roman"/>
        </w:rPr>
      </w:pPr>
      <w:r>
        <w:rPr>
          <w:rFonts w:ascii="Arial" w:eastAsia="Times New Roman" w:hAnsi="Arial" w:cs="Arial"/>
          <w:color w:val="000000"/>
          <w:sz w:val="20"/>
          <w:szCs w:val="20"/>
        </w:rPr>
        <w:t xml:space="preserve">•the absence in 2021 of reimbursements received in 2020 at certain Canadian wind facilities resulting from a change in operator; partially offset by </w:t>
      </w:r>
    </w:p>
    <w:p w:rsidR="00000000" w:rsidRDefault="001F1FC8">
      <w:pPr>
        <w:ind w:hanging="360"/>
        <w:divId w:val="1090156492"/>
        <w:rPr>
          <w:rFonts w:eastAsia="Times New Roman"/>
        </w:rPr>
      </w:pPr>
      <w:r>
        <w:rPr>
          <w:rFonts w:ascii="Arial" w:eastAsia="Times New Roman" w:hAnsi="Arial" w:cs="Arial"/>
          <w:color w:val="000000"/>
          <w:sz w:val="20"/>
          <w:szCs w:val="20"/>
        </w:rPr>
        <w:t>•</w:t>
      </w:r>
      <w:r>
        <w:rPr>
          <w:rFonts w:ascii="Arial" w:eastAsia="Times New Roman" w:hAnsi="Arial" w:cs="Arial"/>
          <w:color w:val="000000"/>
          <w:sz w:val="20"/>
          <w:szCs w:val="20"/>
        </w:rPr>
        <w:t>the sale of a 49% interest of an entity that holds our 50% interest in EMF.</w:t>
      </w:r>
    </w:p>
    <w:p w:rsidR="00000000" w:rsidRDefault="001F1FC8">
      <w:pPr>
        <w:divId w:val="1895117593"/>
        <w:rPr>
          <w:rFonts w:eastAsia="Times New Roman"/>
        </w:rPr>
      </w:pPr>
    </w:p>
    <w:p w:rsidR="00000000" w:rsidRDefault="001F1FC8">
      <w:pPr>
        <w:divId w:val="1526559028"/>
        <w:rPr>
          <w:rFonts w:eastAsia="Times New Roman"/>
        </w:rPr>
      </w:pPr>
      <w:r>
        <w:rPr>
          <w:rFonts w:ascii="Arial" w:eastAsia="Times New Roman" w:hAnsi="Arial" w:cs="Arial"/>
          <w:b/>
          <w:bCs/>
          <w:color w:val="000000"/>
          <w:sz w:val="26"/>
          <w:szCs w:val="26"/>
        </w:rPr>
        <w:t>ENERGY SERVICES</w:t>
      </w:r>
    </w:p>
    <w:tbl>
      <w:tblPr>
        <w:tblW w:w="4991" w:type="pct"/>
        <w:tblCellMar>
          <w:top w:w="15" w:type="dxa"/>
          <w:left w:w="15" w:type="dxa"/>
          <w:bottom w:w="15" w:type="dxa"/>
          <w:right w:w="15" w:type="dxa"/>
        </w:tblCellMar>
        <w:tblLook w:val="04A0" w:firstRow="1" w:lastRow="0" w:firstColumn="1" w:lastColumn="0" w:noHBand="0" w:noVBand="1"/>
      </w:tblPr>
      <w:tblGrid>
        <w:gridCol w:w="69"/>
        <w:gridCol w:w="5433"/>
        <w:gridCol w:w="37"/>
        <w:gridCol w:w="69"/>
        <w:gridCol w:w="812"/>
        <w:gridCol w:w="36"/>
        <w:gridCol w:w="69"/>
        <w:gridCol w:w="812"/>
        <w:gridCol w:w="36"/>
        <w:gridCol w:w="69"/>
        <w:gridCol w:w="813"/>
        <w:gridCol w:w="36"/>
      </w:tblGrid>
      <w:tr w:rsidR="00000000">
        <w:trPr>
          <w:divId w:val="304118458"/>
        </w:trPr>
        <w:tc>
          <w:tcPr>
            <w:tcW w:w="50" w:type="pct"/>
            <w:vAlign w:val="center"/>
            <w:hideMark/>
          </w:tcPr>
          <w:p w:rsidR="00000000" w:rsidRDefault="001F1FC8">
            <w:pPr>
              <w:rPr>
                <w:rFonts w:eastAsia="Times New Roman"/>
              </w:rPr>
            </w:pPr>
          </w:p>
        </w:tc>
        <w:tc>
          <w:tcPr>
            <w:tcW w:w="3283"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c>
          <w:tcPr>
            <w:tcW w:w="50" w:type="pct"/>
            <w:vAlign w:val="center"/>
            <w:hideMark/>
          </w:tcPr>
          <w:p w:rsidR="00000000" w:rsidRDefault="001F1FC8">
            <w:pPr>
              <w:rPr>
                <w:rFonts w:eastAsia="Times New Roman"/>
                <w:sz w:val="20"/>
                <w:szCs w:val="20"/>
              </w:rPr>
            </w:pPr>
          </w:p>
        </w:tc>
        <w:tc>
          <w:tcPr>
            <w:tcW w:w="498"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c>
          <w:tcPr>
            <w:tcW w:w="50" w:type="pct"/>
            <w:vAlign w:val="center"/>
            <w:hideMark/>
          </w:tcPr>
          <w:p w:rsidR="00000000" w:rsidRDefault="001F1FC8">
            <w:pPr>
              <w:rPr>
                <w:rFonts w:eastAsia="Times New Roman"/>
                <w:sz w:val="20"/>
                <w:szCs w:val="20"/>
              </w:rPr>
            </w:pPr>
          </w:p>
        </w:tc>
        <w:tc>
          <w:tcPr>
            <w:tcW w:w="498"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c>
          <w:tcPr>
            <w:tcW w:w="50" w:type="pct"/>
            <w:vAlign w:val="center"/>
            <w:hideMark/>
          </w:tcPr>
          <w:p w:rsidR="00000000" w:rsidRDefault="001F1FC8">
            <w:pPr>
              <w:rPr>
                <w:rFonts w:eastAsia="Times New Roman"/>
                <w:sz w:val="20"/>
                <w:szCs w:val="20"/>
              </w:rPr>
            </w:pPr>
          </w:p>
        </w:tc>
        <w:tc>
          <w:tcPr>
            <w:tcW w:w="498"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r>
      <w:tr w:rsidR="00000000">
        <w:trPr>
          <w:divId w:val="304118458"/>
        </w:trPr>
        <w:tc>
          <w:tcPr>
            <w:tcW w:w="0" w:type="auto"/>
            <w:gridSpan w:val="3"/>
            <w:tcMar>
              <w:top w:w="30" w:type="dxa"/>
              <w:left w:w="20" w:type="dxa"/>
              <w:bottom w:w="30" w:type="dxa"/>
              <w:right w:w="20" w:type="dxa"/>
            </w:tcMar>
            <w:hideMark/>
          </w:tcPr>
          <w:p w:rsidR="00000000" w:rsidRDefault="001F1FC8">
            <w:pPr>
              <w:rPr>
                <w:rFonts w:eastAsia="Times New Roman"/>
              </w:rPr>
            </w:pPr>
            <w:r>
              <w:rPr>
                <w:rFonts w:ascii="Arial" w:eastAsia="Times New Roman" w:hAnsi="Arial" w:cs="Arial"/>
                <w:color w:val="000000"/>
                <w:sz w:val="2"/>
                <w:szCs w:val="2"/>
              </w:rPr>
              <w:t> </w:t>
            </w:r>
          </w:p>
        </w:tc>
        <w:tc>
          <w:tcPr>
            <w:tcW w:w="0" w:type="auto"/>
            <w:gridSpan w:val="3"/>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b/>
                <w:bCs/>
                <w:color w:val="000000"/>
                <w:sz w:val="20"/>
                <w:szCs w:val="20"/>
              </w:rPr>
              <w:t>2021</w:t>
            </w:r>
          </w:p>
        </w:tc>
        <w:tc>
          <w:tcPr>
            <w:tcW w:w="0" w:type="auto"/>
            <w:gridSpan w:val="3"/>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2020</w:t>
            </w:r>
          </w:p>
        </w:tc>
        <w:tc>
          <w:tcPr>
            <w:tcW w:w="0" w:type="auto"/>
            <w:gridSpan w:val="3"/>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2019</w:t>
            </w:r>
          </w:p>
        </w:tc>
      </w:tr>
      <w:tr w:rsidR="00000000">
        <w:trPr>
          <w:divId w:val="304118458"/>
        </w:trPr>
        <w:tc>
          <w:tcPr>
            <w:tcW w:w="0" w:type="auto"/>
            <w:gridSpan w:val="3"/>
            <w:tcBorders>
              <w:top w:val="single" w:sz="4" w:space="0" w:color="000000"/>
            </w:tcBorders>
            <w:tcMar>
              <w:top w:w="30" w:type="dxa"/>
              <w:left w:w="20" w:type="dxa"/>
              <w:bottom w:w="30" w:type="dxa"/>
              <w:right w:w="20" w:type="dxa"/>
            </w:tcMar>
            <w:hideMark/>
          </w:tcPr>
          <w:p w:rsidR="00000000" w:rsidRDefault="001F1FC8">
            <w:pPr>
              <w:rPr>
                <w:rFonts w:eastAsia="Times New Roman"/>
              </w:rPr>
            </w:pPr>
            <w:r>
              <w:rPr>
                <w:rFonts w:ascii="Arial" w:eastAsia="Times New Roman" w:hAnsi="Arial" w:cs="Arial"/>
                <w:i/>
                <w:iCs/>
                <w:color w:val="000000"/>
                <w:sz w:val="16"/>
                <w:szCs w:val="16"/>
              </w:rPr>
              <w:t>(millions of Canadian dollars)</w:t>
            </w:r>
          </w:p>
        </w:tc>
        <w:tc>
          <w:tcPr>
            <w:tcW w:w="0" w:type="auto"/>
            <w:gridSpan w:val="3"/>
            <w:tcBorders>
              <w:top w:val="single" w:sz="4" w:space="0" w:color="000000"/>
            </w:tcBorders>
            <w:shd w:val="clear" w:color="auto" w:fill="D8D8D8"/>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2"/>
                <w:szCs w:val="2"/>
              </w:rPr>
              <w:t> </w:t>
            </w: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2"/>
                <w:szCs w:val="2"/>
              </w:rPr>
              <w:t> </w:t>
            </w: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2"/>
                <w:szCs w:val="2"/>
              </w:rPr>
              <w:t> </w:t>
            </w:r>
          </w:p>
        </w:tc>
      </w:tr>
      <w:tr w:rsidR="00000000">
        <w:trPr>
          <w:divId w:val="304118458"/>
        </w:trPr>
        <w:tc>
          <w:tcPr>
            <w:tcW w:w="0" w:type="auto"/>
            <w:gridSpan w:val="3"/>
            <w:tcBorders>
              <w:bottom w:val="single" w:sz="18" w:space="0" w:color="000000"/>
            </w:tcBorders>
            <w:tcMar>
              <w:top w:w="30" w:type="dxa"/>
              <w:left w:w="20" w:type="dxa"/>
              <w:bottom w:w="30" w:type="dxa"/>
              <w:right w:w="20" w:type="dxa"/>
            </w:tcMar>
            <w:hideMark/>
          </w:tcPr>
          <w:p w:rsidR="00000000" w:rsidRDefault="001F1FC8">
            <w:pPr>
              <w:ind w:hanging="180"/>
              <w:divId w:val="1917475906"/>
              <w:rPr>
                <w:rFonts w:eastAsia="Times New Roman"/>
              </w:rPr>
            </w:pPr>
            <w:r>
              <w:rPr>
                <w:rFonts w:ascii="Arial" w:eastAsia="Times New Roman" w:hAnsi="Arial" w:cs="Arial"/>
                <w:color w:val="000000"/>
                <w:sz w:val="20"/>
                <w:szCs w:val="20"/>
              </w:rPr>
              <w:t>Earnings/(loss) before interest, income taxes and depreciation and amortizatio</w:t>
            </w:r>
            <w:r>
              <w:rPr>
                <w:rFonts w:ascii="Arial" w:eastAsia="Times New Roman" w:hAnsi="Arial" w:cs="Arial"/>
                <w:color w:val="000000"/>
                <w:sz w:val="20"/>
                <w:szCs w:val="20"/>
              </w:rPr>
              <w:t>n</w:t>
            </w:r>
            <w:r>
              <w:rPr>
                <w:rFonts w:ascii="Arial" w:eastAsia="Times New Roman" w:hAnsi="Arial" w:cs="Arial"/>
                <w:color w:val="000000"/>
                <w:sz w:val="10"/>
                <w:szCs w:val="10"/>
              </w:rPr>
              <w:t>1</w:t>
            </w:r>
          </w:p>
        </w:tc>
        <w:tc>
          <w:tcPr>
            <w:tcW w:w="0" w:type="auto"/>
            <w:gridSpan w:val="2"/>
            <w:tcBorders>
              <w:bottom w:val="single" w:sz="18" w:space="0" w:color="000000"/>
            </w:tcBorders>
            <w:shd w:val="clear" w:color="auto" w:fill="D8D8D8"/>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20"/>
                <w:szCs w:val="20"/>
              </w:rPr>
              <w:t>(313)</w:t>
            </w:r>
          </w:p>
        </w:tc>
        <w:tc>
          <w:tcPr>
            <w:tcW w:w="0" w:type="auto"/>
            <w:tcBorders>
              <w:bottom w:val="single" w:sz="18" w:space="0" w:color="000000"/>
            </w:tcBorders>
            <w:shd w:val="clear" w:color="auto" w:fill="D8D8D8"/>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Borders>
              <w:bottom w:val="single" w:sz="18" w:space="0" w:color="000000"/>
            </w:tcBorders>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(236)</w:t>
            </w:r>
          </w:p>
        </w:tc>
        <w:tc>
          <w:tcPr>
            <w:tcW w:w="0" w:type="auto"/>
            <w:tcBorders>
              <w:bottom w:val="single" w:sz="18" w:space="0" w:color="000000"/>
            </w:tcBorders>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Borders>
              <w:bottom w:val="single" w:sz="18" w:space="0" w:color="000000"/>
            </w:tcBorders>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250 </w:t>
            </w:r>
          </w:p>
        </w:tc>
        <w:tc>
          <w:tcPr>
            <w:tcW w:w="0" w:type="auto"/>
            <w:tcBorders>
              <w:bottom w:val="single" w:sz="18" w:space="0" w:color="000000"/>
            </w:tcBorders>
            <w:tcMar>
              <w:top w:w="30" w:type="dxa"/>
              <w:left w:w="0" w:type="dxa"/>
              <w:bottom w:w="30" w:type="dxa"/>
              <w:right w:w="20" w:type="dxa"/>
            </w:tcMar>
            <w:vAlign w:val="bottom"/>
            <w:hideMark/>
          </w:tcPr>
          <w:p w:rsidR="00000000" w:rsidRDefault="001F1FC8">
            <w:pPr>
              <w:jc w:val="right"/>
              <w:rPr>
                <w:rFonts w:eastAsia="Times New Roman"/>
              </w:rPr>
            </w:pPr>
          </w:p>
        </w:tc>
      </w:tr>
    </w:tbl>
    <w:p w:rsidR="00000000" w:rsidRDefault="001F1FC8">
      <w:pPr>
        <w:ind w:hanging="180"/>
        <w:divId w:val="1696077238"/>
        <w:rPr>
          <w:rFonts w:eastAsia="Times New Roman"/>
        </w:rPr>
      </w:pPr>
      <w:r>
        <w:rPr>
          <w:rFonts w:ascii="Arial" w:eastAsia="Times New Roman" w:hAnsi="Arial" w:cs="Arial"/>
          <w:i/>
          <w:iCs/>
          <w:color w:val="000000"/>
          <w:sz w:val="16"/>
          <w:szCs w:val="16"/>
        </w:rPr>
        <w:t>1Non-GAAP financial measure.</w:t>
      </w:r>
    </w:p>
    <w:p w:rsidR="00000000" w:rsidRDefault="001F1FC8">
      <w:pPr>
        <w:divId w:val="1813980895"/>
        <w:rPr>
          <w:rFonts w:eastAsia="Times New Roman"/>
        </w:rPr>
      </w:pPr>
    </w:p>
    <w:p w:rsidR="00000000" w:rsidRDefault="001F1FC8">
      <w:pPr>
        <w:divId w:val="986014668"/>
        <w:rPr>
          <w:rFonts w:eastAsia="Times New Roman"/>
        </w:rPr>
      </w:pPr>
      <w:r>
        <w:rPr>
          <w:rFonts w:ascii="Arial" w:eastAsia="Times New Roman" w:hAnsi="Arial" w:cs="Arial"/>
          <w:color w:val="000000"/>
          <w:sz w:val="20"/>
          <w:szCs w:val="20"/>
        </w:rPr>
        <w:t>EBITDA from Energy Services is dependent on market conditions and results achieved in one period may not be indicative of results to be achieved in future periods.</w:t>
      </w:r>
    </w:p>
    <w:p w:rsidR="00000000" w:rsidRDefault="001F1FC8">
      <w:pPr>
        <w:jc w:val="both"/>
        <w:rPr>
          <w:rFonts w:eastAsia="Times New Roman"/>
        </w:rPr>
      </w:pPr>
    </w:p>
    <w:p w:rsidR="00000000" w:rsidRDefault="001F1FC8">
      <w:pPr>
        <w:jc w:val="both"/>
        <w:rPr>
          <w:rFonts w:eastAsia="Times New Roman"/>
        </w:rPr>
      </w:pPr>
      <w:r>
        <w:rPr>
          <w:rFonts w:ascii="Arial" w:eastAsia="Times New Roman" w:hAnsi="Arial" w:cs="Arial"/>
          <w:b/>
          <w:bCs/>
          <w:color w:val="000000"/>
          <w:sz w:val="20"/>
          <w:szCs w:val="20"/>
        </w:rPr>
        <w:t>Year ended December 31, 2021 compared with year ended December 31, 2020</w:t>
      </w:r>
    </w:p>
    <w:p w:rsidR="00000000" w:rsidRDefault="001F1FC8">
      <w:pPr>
        <w:divId w:val="587273606"/>
        <w:rPr>
          <w:rFonts w:eastAsia="Times New Roman"/>
        </w:rPr>
      </w:pPr>
    </w:p>
    <w:p w:rsidR="00000000" w:rsidRDefault="001F1FC8">
      <w:pPr>
        <w:divId w:val="1159927446"/>
        <w:rPr>
          <w:rFonts w:eastAsia="Times New Roman"/>
        </w:rPr>
      </w:pPr>
      <w:r>
        <w:rPr>
          <w:rFonts w:ascii="Arial" w:eastAsia="Times New Roman" w:hAnsi="Arial" w:cs="Arial"/>
          <w:color w:val="000000"/>
          <w:sz w:val="20"/>
          <w:szCs w:val="20"/>
        </w:rPr>
        <w:t>EBITDA was posit</w:t>
      </w:r>
      <w:r>
        <w:rPr>
          <w:rFonts w:ascii="Arial" w:eastAsia="Times New Roman" w:hAnsi="Arial" w:cs="Arial"/>
          <w:color w:val="000000"/>
          <w:sz w:val="20"/>
          <w:szCs w:val="20"/>
        </w:rPr>
        <w:t>ively impacted by $164 million due to certain unusual, infrequent or other non-operating factors, primarily explained by a non-cash, unrealized net gain of $53 million in 2021, compared with a loss of $122 million in 2020, reflecting the revaluation of der</w:t>
      </w:r>
      <w:r>
        <w:rPr>
          <w:rFonts w:ascii="Arial" w:eastAsia="Times New Roman" w:hAnsi="Arial" w:cs="Arial"/>
          <w:color w:val="000000"/>
          <w:sz w:val="20"/>
          <w:szCs w:val="20"/>
        </w:rPr>
        <w:t>ivatives used to manage the profitability of transportation and storage transactions, as well as manage the exposure to movements in commodity prices.</w:t>
      </w:r>
    </w:p>
    <w:p w:rsidR="00000000" w:rsidRDefault="001F1FC8">
      <w:pPr>
        <w:divId w:val="99691398"/>
        <w:rPr>
          <w:rFonts w:eastAsia="Times New Roman"/>
        </w:rPr>
      </w:pPr>
    </w:p>
    <w:p w:rsidR="00000000" w:rsidRDefault="001F1FC8">
      <w:pPr>
        <w:divId w:val="1322386388"/>
        <w:rPr>
          <w:rFonts w:eastAsia="Times New Roman"/>
        </w:rPr>
      </w:pPr>
      <w:r>
        <w:rPr>
          <w:rFonts w:ascii="Arial" w:eastAsia="Times New Roman" w:hAnsi="Arial" w:cs="Arial"/>
          <w:color w:val="000000"/>
          <w:sz w:val="20"/>
          <w:szCs w:val="20"/>
        </w:rPr>
        <w:t>After taking into consideration the positive factors above, the remaining $241 million decrease is primarily explained by the following significant business factors:</w:t>
      </w:r>
    </w:p>
    <w:p w:rsidR="00000000" w:rsidRDefault="001F1FC8">
      <w:pPr>
        <w:ind w:hanging="360"/>
        <w:divId w:val="1658605662"/>
        <w:rPr>
          <w:rFonts w:eastAsia="Times New Roman"/>
        </w:rPr>
      </w:pPr>
      <w:r>
        <w:rPr>
          <w:rFonts w:ascii="Arial" w:eastAsia="Times New Roman" w:hAnsi="Arial" w:cs="Arial"/>
          <w:color w:val="000000"/>
          <w:sz w:val="20"/>
          <w:szCs w:val="20"/>
        </w:rPr>
        <w:t>•significant compression of location and quality differentials in certain markets;</w:t>
      </w:r>
    </w:p>
    <w:p w:rsidR="00000000" w:rsidRDefault="001F1FC8">
      <w:pPr>
        <w:ind w:hanging="360"/>
        <w:divId w:val="1154418519"/>
        <w:rPr>
          <w:rFonts w:eastAsia="Times New Roman"/>
        </w:rPr>
      </w:pPr>
      <w:r>
        <w:rPr>
          <w:rFonts w:ascii="Arial" w:eastAsia="Times New Roman" w:hAnsi="Arial" w:cs="Arial"/>
          <w:color w:val="000000"/>
          <w:sz w:val="20"/>
          <w:szCs w:val="20"/>
        </w:rPr>
        <w:t>•limite</w:t>
      </w:r>
      <w:r>
        <w:rPr>
          <w:rFonts w:ascii="Arial" w:eastAsia="Times New Roman" w:hAnsi="Arial" w:cs="Arial"/>
          <w:color w:val="000000"/>
          <w:sz w:val="20"/>
          <w:szCs w:val="20"/>
        </w:rPr>
        <w:t>d storage opportunities in 2021 due to market backwardation compared to favorable storage opportunities in 2020;</w:t>
      </w:r>
    </w:p>
    <w:p w:rsidR="00000000" w:rsidRDefault="001F1FC8">
      <w:pPr>
        <w:ind w:hanging="360"/>
        <w:divId w:val="635182174"/>
        <w:rPr>
          <w:rFonts w:eastAsia="Times New Roman"/>
        </w:rPr>
      </w:pPr>
      <w:r>
        <w:rPr>
          <w:rFonts w:ascii="Arial" w:eastAsia="Times New Roman" w:hAnsi="Arial" w:cs="Arial"/>
          <w:color w:val="000000"/>
          <w:sz w:val="20"/>
          <w:szCs w:val="20"/>
        </w:rPr>
        <w:t>•fewer opportunities to achieve profitable transportation margins on facilities in which Energy Services holds capacity obligations; and</w:t>
      </w:r>
    </w:p>
    <w:p w:rsidR="00000000" w:rsidRDefault="001F1FC8">
      <w:pPr>
        <w:ind w:hanging="360"/>
        <w:divId w:val="1120606014"/>
        <w:rPr>
          <w:rFonts w:eastAsia="Times New Roman"/>
        </w:rPr>
      </w:pPr>
      <w:r>
        <w:rPr>
          <w:rFonts w:ascii="Arial" w:eastAsia="Times New Roman" w:hAnsi="Arial" w:cs="Arial"/>
          <w:color w:val="000000"/>
          <w:sz w:val="20"/>
          <w:szCs w:val="20"/>
        </w:rPr>
        <w:t>•adver</w:t>
      </w:r>
      <w:r>
        <w:rPr>
          <w:rFonts w:ascii="Arial" w:eastAsia="Times New Roman" w:hAnsi="Arial" w:cs="Arial"/>
          <w:color w:val="000000"/>
          <w:sz w:val="20"/>
          <w:szCs w:val="20"/>
        </w:rPr>
        <w:t>se impacts from the major winter storm experienced across the US Midwest during February 2021.</w:t>
      </w:r>
    </w:p>
    <w:p w:rsidR="00000000" w:rsidRDefault="001F1FC8">
      <w:pPr>
        <w:divId w:val="1135683941"/>
        <w:rPr>
          <w:rFonts w:eastAsia="Times New Roman"/>
        </w:rPr>
      </w:pPr>
    </w:p>
    <w:p w:rsidR="00000000" w:rsidRDefault="001F1FC8">
      <w:pPr>
        <w:jc w:val="center"/>
        <w:divId w:val="301081559"/>
        <w:rPr>
          <w:rFonts w:eastAsia="Times New Roman"/>
        </w:rPr>
      </w:pPr>
      <w:r>
        <w:rPr>
          <w:rFonts w:ascii="Arial" w:eastAsia="Times New Roman" w:hAnsi="Arial" w:cs="Arial"/>
          <w:color w:val="000000"/>
          <w:sz w:val="20"/>
          <w:szCs w:val="20"/>
        </w:rPr>
        <w:t>67</w:t>
      </w:r>
    </w:p>
    <w:p w:rsidR="00000000" w:rsidRDefault="001F1FC8">
      <w:pPr>
        <w:rPr>
          <w:rFonts w:eastAsia="Times New Roman"/>
        </w:rPr>
      </w:pPr>
      <w:r>
        <w:rPr>
          <w:rFonts w:eastAsia="Times New Roman"/>
        </w:rPr>
        <w:pict>
          <v:rect id="_x0000_i1097" style="width:0;height:1.5pt" o:hralign="center" o:hrstd="t" o:hr="t" fillcolor="#a0a0a0" stroked="f"/>
        </w:pict>
      </w:r>
    </w:p>
    <w:p w:rsidR="00000000" w:rsidRDefault="001F1FC8">
      <w:pPr>
        <w:jc w:val="center"/>
        <w:divId w:val="1894265628"/>
        <w:rPr>
          <w:rFonts w:eastAsia="Times New Roman"/>
        </w:rPr>
      </w:pPr>
    </w:p>
    <w:p w:rsidR="00000000" w:rsidRDefault="001F1FC8">
      <w:pPr>
        <w:divId w:val="1581787322"/>
        <w:rPr>
          <w:rFonts w:eastAsia="Times New Roman"/>
        </w:rPr>
      </w:pPr>
      <w:r>
        <w:rPr>
          <w:rFonts w:ascii="Arial" w:eastAsia="Times New Roman" w:hAnsi="Arial" w:cs="Arial"/>
          <w:b/>
          <w:bCs/>
          <w:color w:val="000000"/>
          <w:sz w:val="26"/>
          <w:szCs w:val="26"/>
        </w:rPr>
        <w:t>ELIMINATIONS AND OTHER</w:t>
      </w:r>
    </w:p>
    <w:p w:rsidR="00000000" w:rsidRDefault="001F1FC8">
      <w:pPr>
        <w:divId w:val="1771048606"/>
        <w:rPr>
          <w:rFonts w:eastAsia="Times New Roman"/>
        </w:rPr>
      </w:pPr>
      <w:r>
        <w:rPr>
          <w:rFonts w:ascii="Arial" w:eastAsia="Times New Roman" w:hAnsi="Arial" w:cs="Arial"/>
          <w:color w:val="000000"/>
          <w:sz w:val="20"/>
          <w:szCs w:val="20"/>
        </w:rPr>
        <w:t> </w:t>
      </w:r>
    </w:p>
    <w:tbl>
      <w:tblPr>
        <w:tblW w:w="4991" w:type="pct"/>
        <w:tblCellMar>
          <w:top w:w="15" w:type="dxa"/>
          <w:left w:w="15" w:type="dxa"/>
          <w:bottom w:w="15" w:type="dxa"/>
          <w:right w:w="15" w:type="dxa"/>
        </w:tblCellMar>
        <w:tblLook w:val="04A0" w:firstRow="1" w:lastRow="0" w:firstColumn="1" w:lastColumn="0" w:noHBand="0" w:noVBand="1"/>
      </w:tblPr>
      <w:tblGrid>
        <w:gridCol w:w="69"/>
        <w:gridCol w:w="5433"/>
        <w:gridCol w:w="37"/>
        <w:gridCol w:w="69"/>
        <w:gridCol w:w="812"/>
        <w:gridCol w:w="36"/>
        <w:gridCol w:w="69"/>
        <w:gridCol w:w="812"/>
        <w:gridCol w:w="36"/>
        <w:gridCol w:w="69"/>
        <w:gridCol w:w="813"/>
        <w:gridCol w:w="36"/>
      </w:tblGrid>
      <w:tr w:rsidR="00000000">
        <w:trPr>
          <w:divId w:val="1096947501"/>
        </w:trPr>
        <w:tc>
          <w:tcPr>
            <w:tcW w:w="50" w:type="pct"/>
            <w:vAlign w:val="center"/>
            <w:hideMark/>
          </w:tcPr>
          <w:p w:rsidR="00000000" w:rsidRDefault="001F1FC8">
            <w:pPr>
              <w:rPr>
                <w:rFonts w:eastAsia="Times New Roman"/>
              </w:rPr>
            </w:pPr>
          </w:p>
        </w:tc>
        <w:tc>
          <w:tcPr>
            <w:tcW w:w="3283"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c>
          <w:tcPr>
            <w:tcW w:w="50" w:type="pct"/>
            <w:vAlign w:val="center"/>
            <w:hideMark/>
          </w:tcPr>
          <w:p w:rsidR="00000000" w:rsidRDefault="001F1FC8">
            <w:pPr>
              <w:rPr>
                <w:rFonts w:eastAsia="Times New Roman"/>
                <w:sz w:val="20"/>
                <w:szCs w:val="20"/>
              </w:rPr>
            </w:pPr>
          </w:p>
        </w:tc>
        <w:tc>
          <w:tcPr>
            <w:tcW w:w="498"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c>
          <w:tcPr>
            <w:tcW w:w="50" w:type="pct"/>
            <w:vAlign w:val="center"/>
            <w:hideMark/>
          </w:tcPr>
          <w:p w:rsidR="00000000" w:rsidRDefault="001F1FC8">
            <w:pPr>
              <w:rPr>
                <w:rFonts w:eastAsia="Times New Roman"/>
                <w:sz w:val="20"/>
                <w:szCs w:val="20"/>
              </w:rPr>
            </w:pPr>
          </w:p>
        </w:tc>
        <w:tc>
          <w:tcPr>
            <w:tcW w:w="498"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c>
          <w:tcPr>
            <w:tcW w:w="50" w:type="pct"/>
            <w:vAlign w:val="center"/>
            <w:hideMark/>
          </w:tcPr>
          <w:p w:rsidR="00000000" w:rsidRDefault="001F1FC8">
            <w:pPr>
              <w:rPr>
                <w:rFonts w:eastAsia="Times New Roman"/>
                <w:sz w:val="20"/>
                <w:szCs w:val="20"/>
              </w:rPr>
            </w:pPr>
          </w:p>
        </w:tc>
        <w:tc>
          <w:tcPr>
            <w:tcW w:w="498"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r>
      <w:tr w:rsidR="00000000">
        <w:trPr>
          <w:divId w:val="1096947501"/>
        </w:trPr>
        <w:tc>
          <w:tcPr>
            <w:tcW w:w="0" w:type="auto"/>
            <w:gridSpan w:val="3"/>
            <w:tcMar>
              <w:top w:w="30" w:type="dxa"/>
              <w:left w:w="20" w:type="dxa"/>
              <w:bottom w:w="30" w:type="dxa"/>
              <w:right w:w="20" w:type="dxa"/>
            </w:tcMar>
            <w:hideMark/>
          </w:tcPr>
          <w:p w:rsidR="00000000" w:rsidRDefault="001F1FC8">
            <w:pPr>
              <w:rPr>
                <w:rFonts w:eastAsia="Times New Roman"/>
              </w:rPr>
            </w:pPr>
            <w:r>
              <w:rPr>
                <w:rFonts w:ascii="Arial" w:eastAsia="Times New Roman" w:hAnsi="Arial" w:cs="Arial"/>
                <w:color w:val="000000"/>
                <w:sz w:val="2"/>
                <w:szCs w:val="2"/>
              </w:rPr>
              <w:t> </w:t>
            </w:r>
          </w:p>
        </w:tc>
        <w:tc>
          <w:tcPr>
            <w:tcW w:w="0" w:type="auto"/>
            <w:gridSpan w:val="3"/>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b/>
                <w:bCs/>
                <w:color w:val="000000"/>
                <w:sz w:val="20"/>
                <w:szCs w:val="20"/>
              </w:rPr>
              <w:t>2021</w:t>
            </w:r>
          </w:p>
        </w:tc>
        <w:tc>
          <w:tcPr>
            <w:tcW w:w="0" w:type="auto"/>
            <w:gridSpan w:val="3"/>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2020</w:t>
            </w:r>
          </w:p>
        </w:tc>
        <w:tc>
          <w:tcPr>
            <w:tcW w:w="0" w:type="auto"/>
            <w:gridSpan w:val="3"/>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2019</w:t>
            </w:r>
          </w:p>
        </w:tc>
      </w:tr>
      <w:tr w:rsidR="00000000">
        <w:trPr>
          <w:divId w:val="1096947501"/>
        </w:trPr>
        <w:tc>
          <w:tcPr>
            <w:tcW w:w="0" w:type="auto"/>
            <w:gridSpan w:val="3"/>
            <w:tcBorders>
              <w:top w:val="single" w:sz="4" w:space="0" w:color="000000"/>
            </w:tcBorders>
            <w:tcMar>
              <w:top w:w="30" w:type="dxa"/>
              <w:left w:w="20" w:type="dxa"/>
              <w:bottom w:w="30" w:type="dxa"/>
              <w:right w:w="20" w:type="dxa"/>
            </w:tcMar>
            <w:hideMark/>
          </w:tcPr>
          <w:p w:rsidR="00000000" w:rsidRDefault="001F1FC8">
            <w:pPr>
              <w:rPr>
                <w:rFonts w:eastAsia="Times New Roman"/>
              </w:rPr>
            </w:pPr>
            <w:r>
              <w:rPr>
                <w:rFonts w:ascii="Arial" w:eastAsia="Times New Roman" w:hAnsi="Arial" w:cs="Arial"/>
                <w:i/>
                <w:iCs/>
                <w:color w:val="000000"/>
                <w:sz w:val="16"/>
                <w:szCs w:val="16"/>
              </w:rPr>
              <w:t>(millions of Canadian dollars)</w:t>
            </w:r>
          </w:p>
        </w:tc>
        <w:tc>
          <w:tcPr>
            <w:tcW w:w="0" w:type="auto"/>
            <w:gridSpan w:val="3"/>
            <w:tcBorders>
              <w:top w:val="single" w:sz="4" w:space="0" w:color="000000"/>
            </w:tcBorders>
            <w:shd w:val="clear" w:color="auto" w:fill="D8D8D8"/>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2"/>
                <w:szCs w:val="2"/>
              </w:rPr>
              <w:t> </w:t>
            </w: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2"/>
                <w:szCs w:val="2"/>
              </w:rPr>
              <w:t> </w:t>
            </w: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2"/>
                <w:szCs w:val="2"/>
              </w:rPr>
              <w:t> </w:t>
            </w:r>
          </w:p>
        </w:tc>
      </w:tr>
      <w:tr w:rsidR="00000000">
        <w:trPr>
          <w:divId w:val="1096947501"/>
        </w:trPr>
        <w:tc>
          <w:tcPr>
            <w:tcW w:w="0" w:type="auto"/>
            <w:gridSpan w:val="3"/>
            <w:tcBorders>
              <w:bottom w:val="single" w:sz="18" w:space="0" w:color="000000"/>
            </w:tcBorders>
            <w:tcMar>
              <w:top w:w="30" w:type="dxa"/>
              <w:left w:w="20" w:type="dxa"/>
              <w:bottom w:w="30" w:type="dxa"/>
              <w:right w:w="20" w:type="dxa"/>
            </w:tcMar>
            <w:hideMark/>
          </w:tcPr>
          <w:p w:rsidR="00000000" w:rsidRDefault="001F1FC8">
            <w:pPr>
              <w:ind w:hanging="180"/>
              <w:divId w:val="1264001086"/>
              <w:rPr>
                <w:rFonts w:eastAsia="Times New Roman"/>
              </w:rPr>
            </w:pPr>
            <w:r>
              <w:rPr>
                <w:rFonts w:ascii="Arial" w:eastAsia="Times New Roman" w:hAnsi="Arial" w:cs="Arial"/>
                <w:color w:val="000000"/>
                <w:sz w:val="20"/>
                <w:szCs w:val="20"/>
              </w:rPr>
              <w:t>Earnings/(loss) before interest, income taxes and depreciation and amortizatio</w:t>
            </w:r>
            <w:r>
              <w:rPr>
                <w:rFonts w:ascii="Arial" w:eastAsia="Times New Roman" w:hAnsi="Arial" w:cs="Arial"/>
                <w:color w:val="000000"/>
                <w:sz w:val="20"/>
                <w:szCs w:val="20"/>
              </w:rPr>
              <w:t>n</w:t>
            </w:r>
            <w:r>
              <w:rPr>
                <w:rFonts w:ascii="Arial" w:eastAsia="Times New Roman" w:hAnsi="Arial" w:cs="Arial"/>
                <w:color w:val="000000"/>
                <w:sz w:val="10"/>
                <w:szCs w:val="10"/>
              </w:rPr>
              <w:t>1</w:t>
            </w:r>
          </w:p>
        </w:tc>
        <w:tc>
          <w:tcPr>
            <w:tcW w:w="0" w:type="auto"/>
            <w:gridSpan w:val="2"/>
            <w:tcBorders>
              <w:bottom w:val="single" w:sz="18" w:space="0" w:color="000000"/>
            </w:tcBorders>
            <w:shd w:val="clear" w:color="auto" w:fill="D8D8D8"/>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20"/>
                <w:szCs w:val="20"/>
              </w:rPr>
              <w:t>356</w:t>
            </w:r>
            <w:r>
              <w:rPr>
                <w:rFonts w:ascii="Arial" w:eastAsia="Times New Roman" w:hAnsi="Arial" w:cs="Arial"/>
                <w:color w:val="000000"/>
                <w:sz w:val="20"/>
                <w:szCs w:val="20"/>
              </w:rPr>
              <w:t> </w:t>
            </w:r>
          </w:p>
        </w:tc>
        <w:tc>
          <w:tcPr>
            <w:tcW w:w="0" w:type="auto"/>
            <w:tcBorders>
              <w:bottom w:val="single" w:sz="18" w:space="0" w:color="000000"/>
            </w:tcBorders>
            <w:shd w:val="clear" w:color="auto" w:fill="D8D8D8"/>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Borders>
              <w:bottom w:val="single" w:sz="18" w:space="0" w:color="000000"/>
            </w:tcBorders>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(113)</w:t>
            </w:r>
          </w:p>
        </w:tc>
        <w:tc>
          <w:tcPr>
            <w:tcW w:w="0" w:type="auto"/>
            <w:tcBorders>
              <w:bottom w:val="single" w:sz="18" w:space="0" w:color="000000"/>
            </w:tcBorders>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Borders>
              <w:bottom w:val="single" w:sz="18" w:space="0" w:color="000000"/>
            </w:tcBorders>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429 </w:t>
            </w:r>
          </w:p>
        </w:tc>
        <w:tc>
          <w:tcPr>
            <w:tcW w:w="0" w:type="auto"/>
            <w:tcBorders>
              <w:bottom w:val="single" w:sz="18" w:space="0" w:color="000000"/>
            </w:tcBorders>
            <w:tcMar>
              <w:top w:w="30" w:type="dxa"/>
              <w:left w:w="0" w:type="dxa"/>
              <w:bottom w:w="30" w:type="dxa"/>
              <w:right w:w="20" w:type="dxa"/>
            </w:tcMar>
            <w:vAlign w:val="bottom"/>
            <w:hideMark/>
          </w:tcPr>
          <w:p w:rsidR="00000000" w:rsidRDefault="001F1FC8">
            <w:pPr>
              <w:jc w:val="right"/>
              <w:rPr>
                <w:rFonts w:eastAsia="Times New Roman"/>
              </w:rPr>
            </w:pPr>
          </w:p>
        </w:tc>
      </w:tr>
    </w:tbl>
    <w:p w:rsidR="00000000" w:rsidRDefault="001F1FC8">
      <w:pPr>
        <w:ind w:hanging="180"/>
        <w:divId w:val="501287054"/>
        <w:rPr>
          <w:rFonts w:eastAsia="Times New Roman"/>
        </w:rPr>
      </w:pPr>
      <w:r>
        <w:rPr>
          <w:rFonts w:ascii="Arial" w:eastAsia="Times New Roman" w:hAnsi="Arial" w:cs="Arial"/>
          <w:i/>
          <w:iCs/>
          <w:color w:val="000000"/>
          <w:sz w:val="16"/>
          <w:szCs w:val="16"/>
        </w:rPr>
        <w:t>1Non-GAAP financial measure.</w:t>
      </w:r>
    </w:p>
    <w:p w:rsidR="00000000" w:rsidRDefault="001F1FC8">
      <w:pPr>
        <w:divId w:val="986282224"/>
        <w:rPr>
          <w:rFonts w:eastAsia="Times New Roman"/>
        </w:rPr>
      </w:pPr>
    </w:p>
    <w:p w:rsidR="00000000" w:rsidRDefault="001F1FC8">
      <w:pPr>
        <w:divId w:val="746078678"/>
        <w:rPr>
          <w:rFonts w:eastAsia="Times New Roman"/>
        </w:rPr>
      </w:pPr>
      <w:r>
        <w:rPr>
          <w:rFonts w:ascii="Arial" w:eastAsia="Times New Roman" w:hAnsi="Arial" w:cs="Arial"/>
          <w:color w:val="000000"/>
          <w:sz w:val="20"/>
          <w:szCs w:val="20"/>
        </w:rPr>
        <w:t>Eliminations and Other includes operating and administrative costs which are not allocated to business segments and the impact of foreign exchange hedge settlements. Eliminations and Other also includes the impact of new business development activities and</w:t>
      </w:r>
      <w:r>
        <w:rPr>
          <w:rFonts w:ascii="Arial" w:eastAsia="Times New Roman" w:hAnsi="Arial" w:cs="Arial"/>
          <w:color w:val="000000"/>
          <w:sz w:val="20"/>
          <w:szCs w:val="20"/>
        </w:rPr>
        <w:t xml:space="preserve"> corporate investments.</w:t>
      </w:r>
    </w:p>
    <w:p w:rsidR="00000000" w:rsidRDefault="001F1FC8">
      <w:pPr>
        <w:divId w:val="1284338850"/>
        <w:rPr>
          <w:rFonts w:eastAsia="Times New Roman"/>
        </w:rPr>
      </w:pPr>
    </w:p>
    <w:p w:rsidR="00000000" w:rsidRDefault="001F1FC8">
      <w:pPr>
        <w:jc w:val="both"/>
        <w:rPr>
          <w:rFonts w:eastAsia="Times New Roman"/>
        </w:rPr>
      </w:pPr>
      <w:r>
        <w:rPr>
          <w:rFonts w:ascii="Arial" w:eastAsia="Times New Roman" w:hAnsi="Arial" w:cs="Arial"/>
          <w:b/>
          <w:bCs/>
          <w:color w:val="000000"/>
          <w:sz w:val="20"/>
          <w:szCs w:val="20"/>
        </w:rPr>
        <w:t>Year ended December 31, 2021 compared with year ended December 31, 2020</w:t>
      </w:r>
    </w:p>
    <w:p w:rsidR="00000000" w:rsidRDefault="001F1FC8">
      <w:pPr>
        <w:divId w:val="362368341"/>
        <w:rPr>
          <w:rFonts w:eastAsia="Times New Roman"/>
        </w:rPr>
      </w:pPr>
    </w:p>
    <w:p w:rsidR="00000000" w:rsidRDefault="001F1FC8">
      <w:pPr>
        <w:divId w:val="1571698494"/>
        <w:rPr>
          <w:rFonts w:eastAsia="Times New Roman"/>
        </w:rPr>
      </w:pPr>
      <w:r>
        <w:rPr>
          <w:rFonts w:ascii="Arial" w:eastAsia="Times New Roman" w:hAnsi="Arial" w:cs="Arial"/>
          <w:color w:val="000000"/>
          <w:sz w:val="20"/>
          <w:szCs w:val="20"/>
        </w:rPr>
        <w:t>EBITDA was positively impacted by $24 million due to certain unusual, infrequent or other non-operating factors, primarily explained by the following:</w:t>
      </w:r>
    </w:p>
    <w:p w:rsidR="00000000" w:rsidRDefault="001F1FC8">
      <w:pPr>
        <w:ind w:hanging="360"/>
        <w:divId w:val="1755740649"/>
        <w:rPr>
          <w:rFonts w:eastAsia="Times New Roman"/>
        </w:rPr>
      </w:pPr>
      <w:r>
        <w:rPr>
          <w:rFonts w:ascii="Arial" w:eastAsia="Times New Roman" w:hAnsi="Arial" w:cs="Arial"/>
          <w:color w:val="000000"/>
          <w:sz w:val="20"/>
          <w:szCs w:val="20"/>
        </w:rPr>
        <w:t>•</w:t>
      </w:r>
      <w:r>
        <w:rPr>
          <w:rFonts w:ascii="Arial" w:eastAsia="Times New Roman" w:hAnsi="Arial" w:cs="Arial"/>
          <w:color w:val="000000"/>
          <w:sz w:val="20"/>
          <w:szCs w:val="20"/>
        </w:rPr>
        <w:t>employee severance, transition and transformation costs of $87 million in 2021 compared with $279 million in 2020 primarily related to our voluntary workforce reduction program offered in the second quarter of 2020;</w:t>
      </w:r>
    </w:p>
    <w:p w:rsidR="00000000" w:rsidRDefault="001F1FC8">
      <w:pPr>
        <w:ind w:hanging="360"/>
        <w:divId w:val="169104902"/>
        <w:rPr>
          <w:rFonts w:eastAsia="Times New Roman"/>
        </w:rPr>
      </w:pPr>
      <w:r>
        <w:rPr>
          <w:rFonts w:ascii="Arial" w:eastAsia="Times New Roman" w:hAnsi="Arial" w:cs="Arial"/>
          <w:color w:val="000000"/>
          <w:sz w:val="20"/>
          <w:szCs w:val="20"/>
        </w:rPr>
        <w:t xml:space="preserve">•the absence in 2021 of a non-cash loss </w:t>
      </w:r>
      <w:r>
        <w:rPr>
          <w:rFonts w:ascii="Arial" w:eastAsia="Times New Roman" w:hAnsi="Arial" w:cs="Arial"/>
          <w:color w:val="000000"/>
          <w:sz w:val="20"/>
          <w:szCs w:val="20"/>
        </w:rPr>
        <w:t>of $74 million in 2020 relating to the recognition of a corporate guarantee obligation; and</w:t>
      </w:r>
    </w:p>
    <w:p w:rsidR="00000000" w:rsidRDefault="001F1FC8">
      <w:pPr>
        <w:ind w:hanging="360"/>
        <w:divId w:val="1133061556"/>
        <w:rPr>
          <w:rFonts w:eastAsia="Times New Roman"/>
        </w:rPr>
      </w:pPr>
      <w:r>
        <w:rPr>
          <w:rFonts w:ascii="Arial" w:eastAsia="Times New Roman" w:hAnsi="Arial" w:cs="Arial"/>
          <w:color w:val="000000"/>
          <w:sz w:val="20"/>
          <w:szCs w:val="20"/>
        </w:rPr>
        <w:t xml:space="preserve">•the absence in 2021 of a loss of $43 million in 2020 relating to the write-down of certain investments in emerging energy and other technologies; partially offset </w:t>
      </w:r>
      <w:r>
        <w:rPr>
          <w:rFonts w:ascii="Arial" w:eastAsia="Times New Roman" w:hAnsi="Arial" w:cs="Arial"/>
          <w:color w:val="000000"/>
          <w:sz w:val="20"/>
          <w:szCs w:val="20"/>
        </w:rPr>
        <w:t>by</w:t>
      </w:r>
    </w:p>
    <w:p w:rsidR="00000000" w:rsidRDefault="001F1FC8">
      <w:pPr>
        <w:ind w:hanging="360"/>
        <w:divId w:val="2056390763"/>
        <w:rPr>
          <w:rFonts w:eastAsia="Times New Roman"/>
        </w:rPr>
      </w:pPr>
      <w:r>
        <w:rPr>
          <w:rFonts w:ascii="Arial" w:eastAsia="Times New Roman" w:hAnsi="Arial" w:cs="Arial"/>
          <w:color w:val="000000"/>
          <w:sz w:val="20"/>
          <w:szCs w:val="20"/>
        </w:rPr>
        <w:t>•a non-cash, unrealized gain of $55 million in 2021 compared with a gain of $318 million in 2020 reflecting net fair value gains and losses arising from the change in the mark-to-market value of derivative financial instruments used to manage foreign ex</w:t>
      </w:r>
      <w:r>
        <w:rPr>
          <w:rFonts w:ascii="Arial" w:eastAsia="Times New Roman" w:hAnsi="Arial" w:cs="Arial"/>
          <w:color w:val="000000"/>
          <w:sz w:val="20"/>
          <w:szCs w:val="20"/>
        </w:rPr>
        <w:t>change risk.</w:t>
      </w:r>
    </w:p>
    <w:p w:rsidR="00000000" w:rsidRDefault="001F1FC8">
      <w:pPr>
        <w:divId w:val="1902518487"/>
        <w:rPr>
          <w:rFonts w:eastAsia="Times New Roman"/>
        </w:rPr>
      </w:pPr>
    </w:p>
    <w:p w:rsidR="00000000" w:rsidRDefault="001F1FC8">
      <w:pPr>
        <w:divId w:val="1593122257"/>
        <w:rPr>
          <w:rFonts w:eastAsia="Times New Roman"/>
        </w:rPr>
      </w:pPr>
      <w:r>
        <w:rPr>
          <w:rFonts w:ascii="Arial" w:eastAsia="Times New Roman" w:hAnsi="Arial" w:cs="Arial"/>
          <w:color w:val="000000"/>
          <w:sz w:val="20"/>
          <w:szCs w:val="20"/>
        </w:rPr>
        <w:t>After taking into consideration the factors above, the remaining $445 million increase is primarily explained by realized gains related to settlements under our enterprise-wide foreign exchange risk management program which substantially off</w:t>
      </w:r>
      <w:r>
        <w:rPr>
          <w:rFonts w:ascii="Arial" w:eastAsia="Times New Roman" w:hAnsi="Arial" w:cs="Arial"/>
          <w:color w:val="000000"/>
          <w:sz w:val="20"/>
          <w:szCs w:val="20"/>
        </w:rPr>
        <w:t>set the foreign currency exposures realized within our business segments’ results.</w:t>
      </w:r>
    </w:p>
    <w:p w:rsidR="00000000" w:rsidRDefault="001F1FC8">
      <w:pPr>
        <w:divId w:val="2002267033"/>
        <w:rPr>
          <w:rFonts w:eastAsia="Times New Roman"/>
        </w:rPr>
      </w:pPr>
    </w:p>
    <w:p w:rsidR="00000000" w:rsidRDefault="001F1FC8">
      <w:pPr>
        <w:jc w:val="center"/>
        <w:divId w:val="390692721"/>
        <w:rPr>
          <w:rFonts w:eastAsia="Times New Roman"/>
        </w:rPr>
      </w:pPr>
      <w:r>
        <w:rPr>
          <w:rFonts w:ascii="Arial" w:eastAsia="Times New Roman" w:hAnsi="Arial" w:cs="Arial"/>
          <w:color w:val="000000"/>
          <w:sz w:val="20"/>
          <w:szCs w:val="20"/>
        </w:rPr>
        <w:t>68</w:t>
      </w:r>
    </w:p>
    <w:p w:rsidR="00000000" w:rsidRDefault="001F1FC8">
      <w:pPr>
        <w:rPr>
          <w:rFonts w:eastAsia="Times New Roman"/>
        </w:rPr>
      </w:pPr>
      <w:r>
        <w:rPr>
          <w:rFonts w:eastAsia="Times New Roman"/>
        </w:rPr>
        <w:pict>
          <v:rect id="_x0000_i1098" style="width:0;height:1.5pt" o:hralign="center" o:hrstd="t" o:hr="t" fillcolor="#a0a0a0" stroked="f"/>
        </w:pict>
      </w:r>
    </w:p>
    <w:p w:rsidR="00000000" w:rsidRDefault="001F1FC8">
      <w:pPr>
        <w:jc w:val="center"/>
        <w:divId w:val="307167949"/>
        <w:rPr>
          <w:rFonts w:eastAsia="Times New Roman"/>
        </w:rPr>
      </w:pPr>
    </w:p>
    <w:p w:rsidR="00000000" w:rsidRDefault="001F1FC8">
      <w:pPr>
        <w:divId w:val="1888100189"/>
        <w:rPr>
          <w:rFonts w:eastAsia="Times New Roman"/>
        </w:rPr>
      </w:pPr>
      <w:r>
        <w:rPr>
          <w:rFonts w:ascii="Arial" w:eastAsia="Times New Roman" w:hAnsi="Arial" w:cs="Arial"/>
          <w:b/>
          <w:bCs/>
          <w:color w:val="000000"/>
          <w:sz w:val="26"/>
          <w:szCs w:val="26"/>
        </w:rPr>
        <w:t>GROWTH PROJECTS – COMMERCIALLY SECURED PROJECTS</w:t>
      </w:r>
    </w:p>
    <w:p w:rsidR="00000000" w:rsidRDefault="001F1FC8">
      <w:pPr>
        <w:divId w:val="1244952429"/>
        <w:rPr>
          <w:rFonts w:eastAsia="Times New Roman"/>
        </w:rPr>
      </w:pPr>
      <w:r>
        <w:rPr>
          <w:rFonts w:ascii="Arial" w:eastAsia="Times New Roman" w:hAnsi="Arial" w:cs="Arial"/>
          <w:color w:val="000000"/>
          <w:sz w:val="20"/>
          <w:szCs w:val="20"/>
        </w:rPr>
        <w:t> </w:t>
      </w:r>
    </w:p>
    <w:p w:rsidR="00000000" w:rsidRDefault="001F1FC8">
      <w:pPr>
        <w:divId w:val="830146482"/>
        <w:rPr>
          <w:rFonts w:eastAsia="Times New Roman"/>
        </w:rPr>
      </w:pPr>
      <w:r>
        <w:rPr>
          <w:rFonts w:ascii="Arial" w:eastAsia="Times New Roman" w:hAnsi="Arial" w:cs="Arial"/>
          <w:color w:val="000000"/>
          <w:sz w:val="20"/>
          <w:szCs w:val="20"/>
        </w:rPr>
        <w:t xml:space="preserve">The following table summarizes the status of our commercially secured projects, </w:t>
      </w:r>
      <w:r>
        <w:rPr>
          <w:rFonts w:ascii="Arial" w:eastAsia="Times New Roman" w:hAnsi="Arial" w:cs="Arial"/>
          <w:color w:val="000000"/>
          <w:sz w:val="20"/>
          <w:szCs w:val="20"/>
        </w:rPr>
        <w:t>organized by business segment:</w:t>
      </w:r>
    </w:p>
    <w:tbl>
      <w:tblPr>
        <w:tblW w:w="5000" w:type="pct"/>
        <w:tblCellMar>
          <w:top w:w="15" w:type="dxa"/>
          <w:left w:w="15" w:type="dxa"/>
          <w:bottom w:w="15" w:type="dxa"/>
          <w:right w:w="15" w:type="dxa"/>
        </w:tblCellMar>
        <w:tblLook w:val="04A0" w:firstRow="1" w:lastRow="0" w:firstColumn="1" w:lastColumn="0" w:noHBand="0" w:noVBand="1"/>
      </w:tblPr>
      <w:tblGrid>
        <w:gridCol w:w="74"/>
        <w:gridCol w:w="238"/>
        <w:gridCol w:w="36"/>
        <w:gridCol w:w="66"/>
        <w:gridCol w:w="1715"/>
        <w:gridCol w:w="37"/>
        <w:gridCol w:w="88"/>
        <w:gridCol w:w="978"/>
        <w:gridCol w:w="198"/>
        <w:gridCol w:w="69"/>
        <w:gridCol w:w="1014"/>
        <w:gridCol w:w="36"/>
        <w:gridCol w:w="63"/>
        <w:gridCol w:w="1553"/>
        <w:gridCol w:w="36"/>
        <w:gridCol w:w="89"/>
        <w:gridCol w:w="1022"/>
        <w:gridCol w:w="36"/>
        <w:gridCol w:w="82"/>
        <w:gridCol w:w="840"/>
        <w:gridCol w:w="36"/>
      </w:tblGrid>
      <w:tr w:rsidR="00000000">
        <w:trPr>
          <w:divId w:val="710304535"/>
        </w:trPr>
        <w:tc>
          <w:tcPr>
            <w:tcW w:w="50" w:type="pct"/>
            <w:vAlign w:val="center"/>
            <w:hideMark/>
          </w:tcPr>
          <w:p w:rsidR="00000000" w:rsidRDefault="001F1FC8">
            <w:pPr>
              <w:rPr>
                <w:rFonts w:eastAsia="Times New Roman"/>
              </w:rPr>
            </w:pPr>
          </w:p>
        </w:tc>
        <w:tc>
          <w:tcPr>
            <w:tcW w:w="161"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c>
          <w:tcPr>
            <w:tcW w:w="50" w:type="pct"/>
            <w:vAlign w:val="center"/>
            <w:hideMark/>
          </w:tcPr>
          <w:p w:rsidR="00000000" w:rsidRDefault="001F1FC8">
            <w:pPr>
              <w:rPr>
                <w:rFonts w:eastAsia="Times New Roman"/>
                <w:sz w:val="20"/>
                <w:szCs w:val="20"/>
              </w:rPr>
            </w:pPr>
          </w:p>
        </w:tc>
        <w:tc>
          <w:tcPr>
            <w:tcW w:w="1130"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c>
          <w:tcPr>
            <w:tcW w:w="50" w:type="pct"/>
            <w:vAlign w:val="center"/>
            <w:hideMark/>
          </w:tcPr>
          <w:p w:rsidR="00000000" w:rsidRDefault="001F1FC8">
            <w:pPr>
              <w:rPr>
                <w:rFonts w:eastAsia="Times New Roman"/>
                <w:sz w:val="20"/>
                <w:szCs w:val="20"/>
              </w:rPr>
            </w:pPr>
          </w:p>
        </w:tc>
        <w:tc>
          <w:tcPr>
            <w:tcW w:w="561"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c>
          <w:tcPr>
            <w:tcW w:w="50" w:type="pct"/>
            <w:vAlign w:val="center"/>
            <w:hideMark/>
          </w:tcPr>
          <w:p w:rsidR="00000000" w:rsidRDefault="001F1FC8">
            <w:pPr>
              <w:rPr>
                <w:rFonts w:eastAsia="Times New Roman"/>
                <w:sz w:val="20"/>
                <w:szCs w:val="20"/>
              </w:rPr>
            </w:pPr>
          </w:p>
        </w:tc>
        <w:tc>
          <w:tcPr>
            <w:tcW w:w="674"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c>
          <w:tcPr>
            <w:tcW w:w="50" w:type="pct"/>
            <w:vAlign w:val="center"/>
            <w:hideMark/>
          </w:tcPr>
          <w:p w:rsidR="00000000" w:rsidRDefault="001F1FC8">
            <w:pPr>
              <w:rPr>
                <w:rFonts w:eastAsia="Times New Roman"/>
                <w:sz w:val="20"/>
                <w:szCs w:val="20"/>
              </w:rPr>
            </w:pPr>
          </w:p>
        </w:tc>
        <w:tc>
          <w:tcPr>
            <w:tcW w:w="994"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c>
          <w:tcPr>
            <w:tcW w:w="50" w:type="pct"/>
            <w:vAlign w:val="center"/>
            <w:hideMark/>
          </w:tcPr>
          <w:p w:rsidR="00000000" w:rsidRDefault="001F1FC8">
            <w:pPr>
              <w:rPr>
                <w:rFonts w:eastAsia="Times New Roman"/>
                <w:sz w:val="20"/>
                <w:szCs w:val="20"/>
              </w:rPr>
            </w:pPr>
          </w:p>
        </w:tc>
        <w:tc>
          <w:tcPr>
            <w:tcW w:w="578"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c>
          <w:tcPr>
            <w:tcW w:w="50" w:type="pct"/>
            <w:vAlign w:val="center"/>
            <w:hideMark/>
          </w:tcPr>
          <w:p w:rsidR="00000000" w:rsidRDefault="001F1FC8">
            <w:pPr>
              <w:rPr>
                <w:rFonts w:eastAsia="Times New Roman"/>
                <w:sz w:val="20"/>
                <w:szCs w:val="20"/>
              </w:rPr>
            </w:pPr>
          </w:p>
        </w:tc>
        <w:tc>
          <w:tcPr>
            <w:tcW w:w="514"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r>
      <w:tr w:rsidR="00000000">
        <w:trPr>
          <w:divId w:val="710304535"/>
        </w:trPr>
        <w:tc>
          <w:tcPr>
            <w:tcW w:w="0" w:type="auto"/>
            <w:gridSpan w:val="3"/>
            <w:tcMar>
              <w:top w:w="0" w:type="dxa"/>
              <w:left w:w="20" w:type="dxa"/>
              <w:bottom w:w="0" w:type="dxa"/>
              <w:right w:w="20" w:type="dxa"/>
            </w:tcMar>
            <w:vAlign w:val="center"/>
            <w:hideMark/>
          </w:tcPr>
          <w:p w:rsidR="00000000" w:rsidRDefault="001F1FC8">
            <w:pPr>
              <w:rPr>
                <w:rFonts w:eastAsia="Times New Roman"/>
                <w:sz w:val="20"/>
                <w:szCs w:val="20"/>
              </w:rPr>
            </w:pPr>
          </w:p>
        </w:tc>
        <w:tc>
          <w:tcPr>
            <w:tcW w:w="0" w:type="auto"/>
            <w:gridSpan w:val="3"/>
            <w:tcBorders>
              <w:bottom w:val="single" w:sz="4" w:space="0" w:color="000000"/>
            </w:tcBorders>
            <w:tcMar>
              <w:top w:w="0" w:type="dxa"/>
              <w:left w:w="20" w:type="dxa"/>
              <w:bottom w:w="0" w:type="dxa"/>
              <w:right w:w="20" w:type="dxa"/>
            </w:tcMar>
            <w:vAlign w:val="center"/>
            <w:hideMark/>
          </w:tcPr>
          <w:p w:rsidR="00000000" w:rsidRDefault="001F1FC8">
            <w:pPr>
              <w:rPr>
                <w:rFonts w:eastAsia="Times New Roman"/>
                <w:sz w:val="20"/>
                <w:szCs w:val="20"/>
              </w:rPr>
            </w:pPr>
          </w:p>
        </w:tc>
        <w:tc>
          <w:tcPr>
            <w:tcW w:w="0" w:type="auto"/>
            <w:gridSpan w:val="3"/>
            <w:tcBorders>
              <w:bottom w:val="single" w:sz="4" w:space="0" w:color="000000"/>
            </w:tcBorders>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b/>
                <w:bCs/>
                <w:color w:val="000000"/>
                <w:sz w:val="20"/>
                <w:szCs w:val="20"/>
              </w:rPr>
              <w:t>Enbridge's Ownership Interest</w:t>
            </w:r>
          </w:p>
        </w:tc>
        <w:tc>
          <w:tcPr>
            <w:tcW w:w="0" w:type="auto"/>
            <w:gridSpan w:val="3"/>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b/>
                <w:bCs/>
                <w:color w:val="000000"/>
                <w:sz w:val="20"/>
                <w:szCs w:val="20"/>
              </w:rPr>
              <w:t>Estimated</w:t>
            </w:r>
            <w:r>
              <w:rPr>
                <w:rFonts w:ascii="Arial" w:eastAsia="Times New Roman" w:hAnsi="Arial" w:cs="Arial"/>
                <w:b/>
                <w:bCs/>
                <w:color w:val="000000"/>
                <w:sz w:val="20"/>
                <w:szCs w:val="20"/>
              </w:rPr>
              <w:br/>
              <w:t xml:space="preserve">Capital </w:t>
            </w:r>
          </w:p>
          <w:p w:rsidR="00000000" w:rsidRDefault="001F1FC8">
            <w:pPr>
              <w:jc w:val="right"/>
              <w:rPr>
                <w:rFonts w:eastAsia="Times New Roman"/>
              </w:rPr>
            </w:pPr>
            <w:r>
              <w:rPr>
                <w:rFonts w:ascii="Arial" w:eastAsia="Times New Roman" w:hAnsi="Arial" w:cs="Arial"/>
                <w:b/>
                <w:bCs/>
                <w:color w:val="000000"/>
                <w:sz w:val="20"/>
                <w:szCs w:val="20"/>
              </w:rPr>
              <w:t>Cos</w:t>
            </w:r>
            <w:r>
              <w:rPr>
                <w:rFonts w:ascii="Arial" w:eastAsia="Times New Roman" w:hAnsi="Arial" w:cs="Arial"/>
                <w:b/>
                <w:bCs/>
                <w:color w:val="000000"/>
                <w:sz w:val="20"/>
                <w:szCs w:val="20"/>
              </w:rPr>
              <w:t>t</w:t>
            </w:r>
            <w:r>
              <w:rPr>
                <w:rFonts w:ascii="Arial" w:eastAsia="Times New Roman" w:hAnsi="Arial" w:cs="Arial"/>
                <w:b/>
                <w:bCs/>
                <w:color w:val="000000"/>
                <w:sz w:val="10"/>
                <w:szCs w:val="10"/>
              </w:rPr>
              <w:t>1</w:t>
            </w:r>
          </w:p>
        </w:tc>
        <w:tc>
          <w:tcPr>
            <w:tcW w:w="0" w:type="auto"/>
            <w:gridSpan w:val="3"/>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b/>
                <w:bCs/>
                <w:color w:val="000000"/>
                <w:sz w:val="20"/>
                <w:szCs w:val="20"/>
              </w:rPr>
              <w:t>Expenditures</w:t>
            </w:r>
            <w:r>
              <w:rPr>
                <w:rFonts w:ascii="Arial" w:eastAsia="Times New Roman" w:hAnsi="Arial" w:cs="Arial"/>
                <w:b/>
                <w:bCs/>
                <w:color w:val="000000"/>
                <w:sz w:val="20"/>
                <w:szCs w:val="20"/>
              </w:rPr>
              <w:br/>
              <w:t>to Dat</w:t>
            </w:r>
            <w:r>
              <w:rPr>
                <w:rFonts w:ascii="Arial" w:eastAsia="Times New Roman" w:hAnsi="Arial" w:cs="Arial"/>
                <w:b/>
                <w:bCs/>
                <w:color w:val="000000"/>
                <w:sz w:val="20"/>
                <w:szCs w:val="20"/>
              </w:rPr>
              <w:t>e</w:t>
            </w:r>
            <w:r>
              <w:rPr>
                <w:rFonts w:ascii="Arial" w:eastAsia="Times New Roman" w:hAnsi="Arial" w:cs="Arial"/>
                <w:b/>
                <w:bCs/>
                <w:color w:val="000000"/>
                <w:sz w:val="10"/>
                <w:szCs w:val="10"/>
              </w:rPr>
              <w:t>2</w:t>
            </w:r>
          </w:p>
        </w:tc>
        <w:tc>
          <w:tcPr>
            <w:tcW w:w="0" w:type="auto"/>
            <w:gridSpan w:val="3"/>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b/>
                <w:bCs/>
                <w:color w:val="000000"/>
                <w:sz w:val="20"/>
                <w:szCs w:val="20"/>
              </w:rPr>
              <w:t>Statu</w:t>
            </w:r>
            <w:r>
              <w:rPr>
                <w:rFonts w:ascii="Arial" w:eastAsia="Times New Roman" w:hAnsi="Arial" w:cs="Arial"/>
                <w:b/>
                <w:bCs/>
                <w:color w:val="000000"/>
                <w:sz w:val="20"/>
                <w:szCs w:val="20"/>
              </w:rPr>
              <w:t>s</w:t>
            </w:r>
            <w:r>
              <w:rPr>
                <w:rFonts w:ascii="Arial" w:eastAsia="Times New Roman" w:hAnsi="Arial" w:cs="Arial"/>
                <w:b/>
                <w:bCs/>
                <w:color w:val="000000"/>
                <w:sz w:val="10"/>
                <w:szCs w:val="10"/>
              </w:rPr>
              <w:t>2</w:t>
            </w:r>
          </w:p>
        </w:tc>
        <w:tc>
          <w:tcPr>
            <w:tcW w:w="0" w:type="auto"/>
            <w:gridSpan w:val="3"/>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b/>
                <w:bCs/>
                <w:color w:val="000000"/>
                <w:sz w:val="20"/>
                <w:szCs w:val="20"/>
              </w:rPr>
              <w:t>Expected</w:t>
            </w:r>
            <w:r>
              <w:rPr>
                <w:rFonts w:ascii="Arial" w:eastAsia="Times New Roman" w:hAnsi="Arial" w:cs="Arial"/>
                <w:b/>
                <w:bCs/>
                <w:color w:val="000000"/>
                <w:sz w:val="20"/>
                <w:szCs w:val="20"/>
              </w:rPr>
              <w:br/>
              <w:t>In-Service</w:t>
            </w:r>
            <w:r>
              <w:rPr>
                <w:rFonts w:ascii="Arial" w:eastAsia="Times New Roman" w:hAnsi="Arial" w:cs="Arial"/>
                <w:b/>
                <w:bCs/>
                <w:color w:val="000000"/>
                <w:sz w:val="20"/>
                <w:szCs w:val="20"/>
              </w:rPr>
              <w:br/>
              <w:t>Date</w:t>
            </w:r>
          </w:p>
        </w:tc>
      </w:tr>
      <w:tr w:rsidR="00000000">
        <w:trPr>
          <w:divId w:val="710304535"/>
        </w:trPr>
        <w:tc>
          <w:tcPr>
            <w:tcW w:w="0" w:type="auto"/>
            <w:gridSpan w:val="9"/>
            <w:tcBorders>
              <w:top w:val="single" w:sz="4" w:space="0" w:color="000000"/>
            </w:tcBorders>
            <w:tcMar>
              <w:top w:w="30" w:type="dxa"/>
              <w:left w:w="20" w:type="dxa"/>
              <w:bottom w:w="30" w:type="dxa"/>
              <w:right w:w="20" w:type="dxa"/>
            </w:tcMar>
            <w:hideMark/>
          </w:tcPr>
          <w:p w:rsidR="00000000" w:rsidRDefault="001F1FC8">
            <w:pPr>
              <w:rPr>
                <w:rFonts w:eastAsia="Times New Roman"/>
              </w:rPr>
            </w:pPr>
            <w:r>
              <w:rPr>
                <w:rFonts w:ascii="Arial" w:eastAsia="Times New Roman" w:hAnsi="Arial" w:cs="Arial"/>
                <w:i/>
                <w:iCs/>
                <w:color w:val="000000"/>
                <w:sz w:val="16"/>
                <w:szCs w:val="16"/>
              </w:rPr>
              <w:t>(Canadian dollars, unless stated otherwise)</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1F1FC8">
            <w:pPr>
              <w:rPr>
                <w:rFonts w:eastAsia="Times New Roman"/>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1F1FC8">
            <w:pPr>
              <w:rPr>
                <w:rFonts w:eastAsia="Times New Roman"/>
                <w:sz w:val="20"/>
                <w:szCs w:val="20"/>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1F1FC8">
            <w:pPr>
              <w:rPr>
                <w:rFonts w:eastAsia="Times New Roman"/>
                <w:sz w:val="20"/>
                <w:szCs w:val="20"/>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1F1FC8">
            <w:pPr>
              <w:rPr>
                <w:rFonts w:eastAsia="Times New Roman"/>
                <w:sz w:val="20"/>
                <w:szCs w:val="20"/>
              </w:rPr>
            </w:pPr>
          </w:p>
        </w:tc>
      </w:tr>
      <w:tr w:rsidR="00000000">
        <w:trPr>
          <w:divId w:val="710304535"/>
        </w:trPr>
        <w:tc>
          <w:tcPr>
            <w:tcW w:w="0" w:type="auto"/>
            <w:gridSpan w:val="9"/>
            <w:tcMar>
              <w:top w:w="30" w:type="dxa"/>
              <w:left w:w="20" w:type="dxa"/>
              <w:bottom w:w="30" w:type="dxa"/>
              <w:right w:w="20" w:type="dxa"/>
            </w:tcMar>
            <w:hideMark/>
          </w:tcPr>
          <w:p w:rsidR="00000000" w:rsidRDefault="001F1FC8">
            <w:pPr>
              <w:rPr>
                <w:rFonts w:eastAsia="Times New Roman"/>
              </w:rPr>
            </w:pPr>
            <w:r>
              <w:rPr>
                <w:rFonts w:ascii="Arial" w:eastAsia="Times New Roman" w:hAnsi="Arial" w:cs="Arial"/>
                <w:b/>
                <w:bCs/>
                <w:color w:val="000000"/>
                <w:sz w:val="20"/>
                <w:szCs w:val="20"/>
              </w:rPr>
              <w:t>LIQUIDS PIPELINES</w:t>
            </w:r>
          </w:p>
        </w:tc>
        <w:tc>
          <w:tcPr>
            <w:tcW w:w="0" w:type="auto"/>
            <w:gridSpan w:val="3"/>
            <w:tcMar>
              <w:top w:w="0" w:type="dxa"/>
              <w:left w:w="20" w:type="dxa"/>
              <w:bottom w:w="0" w:type="dxa"/>
              <w:right w:w="20" w:type="dxa"/>
            </w:tcMar>
            <w:vAlign w:val="center"/>
            <w:hideMark/>
          </w:tcPr>
          <w:p w:rsidR="00000000" w:rsidRDefault="001F1FC8">
            <w:pPr>
              <w:rPr>
                <w:rFonts w:eastAsia="Times New Roman"/>
              </w:rPr>
            </w:pPr>
          </w:p>
        </w:tc>
        <w:tc>
          <w:tcPr>
            <w:tcW w:w="0" w:type="auto"/>
            <w:gridSpan w:val="3"/>
            <w:tcMar>
              <w:top w:w="0" w:type="dxa"/>
              <w:left w:w="20" w:type="dxa"/>
              <w:bottom w:w="0" w:type="dxa"/>
              <w:right w:w="20" w:type="dxa"/>
            </w:tcMar>
            <w:vAlign w:val="center"/>
            <w:hideMark/>
          </w:tcPr>
          <w:p w:rsidR="00000000" w:rsidRDefault="001F1FC8">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1F1FC8">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1F1FC8">
            <w:pPr>
              <w:rPr>
                <w:rFonts w:eastAsia="Times New Roman"/>
                <w:sz w:val="20"/>
                <w:szCs w:val="20"/>
              </w:rPr>
            </w:pPr>
          </w:p>
        </w:tc>
      </w:tr>
      <w:tr w:rsidR="00000000">
        <w:trPr>
          <w:divId w:val="710304535"/>
        </w:trPr>
        <w:tc>
          <w:tcPr>
            <w:tcW w:w="0" w:type="auto"/>
            <w:gridSpan w:val="3"/>
            <w:tcBorders>
              <w:top w:val="single" w:sz="4" w:space="0" w:color="000000"/>
            </w:tcBorders>
            <w:tcMar>
              <w:top w:w="30" w:type="dxa"/>
              <w:left w:w="20" w:type="dxa"/>
              <w:bottom w:w="30" w:type="dxa"/>
              <w:right w:w="20" w:type="dxa"/>
            </w:tcMar>
            <w:hideMark/>
          </w:tcPr>
          <w:p w:rsidR="00000000" w:rsidRDefault="001F1FC8">
            <w:pPr>
              <w:rPr>
                <w:rFonts w:eastAsia="Times New Roman"/>
              </w:rPr>
            </w:pPr>
            <w:r>
              <w:rPr>
                <w:rFonts w:ascii="Arial" w:eastAsia="Times New Roman" w:hAnsi="Arial" w:cs="Arial"/>
                <w:color w:val="000000"/>
                <w:sz w:val="20"/>
                <w:szCs w:val="20"/>
              </w:rPr>
              <w:t>1.</w:t>
            </w:r>
          </w:p>
        </w:tc>
        <w:tc>
          <w:tcPr>
            <w:tcW w:w="0" w:type="auto"/>
            <w:gridSpan w:val="3"/>
            <w:tcBorders>
              <w:top w:val="single" w:sz="4" w:space="0" w:color="000000"/>
            </w:tcBorders>
            <w:tcMar>
              <w:top w:w="30" w:type="dxa"/>
              <w:left w:w="200" w:type="dxa"/>
              <w:bottom w:w="30" w:type="dxa"/>
              <w:right w:w="20" w:type="dxa"/>
            </w:tcMar>
            <w:hideMark/>
          </w:tcPr>
          <w:p w:rsidR="00000000" w:rsidRDefault="001F1FC8">
            <w:pPr>
              <w:ind w:hanging="180"/>
              <w:rPr>
                <w:rFonts w:eastAsia="Times New Roman"/>
              </w:rPr>
            </w:pPr>
            <w:r>
              <w:rPr>
                <w:rFonts w:ascii="Arial" w:eastAsia="Times New Roman" w:hAnsi="Arial" w:cs="Arial"/>
                <w:color w:val="000000"/>
                <w:sz w:val="20"/>
                <w:szCs w:val="20"/>
              </w:rPr>
              <w:t xml:space="preserve">US Line 3 Replacement Program </w:t>
            </w:r>
          </w:p>
        </w:tc>
        <w:tc>
          <w:tcPr>
            <w:tcW w:w="0" w:type="auto"/>
            <w:gridSpan w:val="2"/>
            <w:tcBorders>
              <w:top w:val="single" w:sz="4" w:space="0" w:color="000000"/>
            </w:tcBorders>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color w:val="000000"/>
                <w:sz w:val="20"/>
                <w:szCs w:val="20"/>
              </w:rPr>
              <w:t>100 </w:t>
            </w:r>
          </w:p>
        </w:tc>
        <w:tc>
          <w:tcPr>
            <w:tcW w:w="0" w:type="auto"/>
            <w:tcBorders>
              <w:top w:val="single" w:sz="4" w:space="0" w:color="000000"/>
            </w:tcBorders>
            <w:tcMar>
              <w:top w:w="30" w:type="dxa"/>
              <w:left w:w="0" w:type="dxa"/>
              <w:bottom w:w="30" w:type="dxa"/>
              <w:right w:w="20" w:type="dxa"/>
            </w:tcMar>
            <w:hideMark/>
          </w:tcPr>
          <w:p w:rsidR="00000000" w:rsidRDefault="001F1FC8">
            <w:pPr>
              <w:jc w:val="right"/>
              <w:rPr>
                <w:rFonts w:eastAsia="Times New Roman"/>
              </w:rPr>
            </w:pPr>
            <w:r>
              <w:rPr>
                <w:rFonts w:ascii="Arial" w:eastAsia="Times New Roman" w:hAnsi="Arial" w:cs="Arial"/>
                <w:color w:val="000000"/>
                <w:sz w:val="20"/>
                <w:szCs w:val="20"/>
              </w:rPr>
              <w:t>%</w:t>
            </w:r>
          </w:p>
        </w:tc>
        <w:tc>
          <w:tcPr>
            <w:tcW w:w="0" w:type="auto"/>
            <w:gridSpan w:val="3"/>
            <w:tcBorders>
              <w:top w:val="single" w:sz="4" w:space="0" w:color="000000"/>
            </w:tcBorders>
            <w:tcMar>
              <w:top w:w="30" w:type="dxa"/>
              <w:left w:w="20" w:type="dxa"/>
              <w:bottom w:w="30" w:type="dxa"/>
              <w:right w:w="20" w:type="dxa"/>
            </w:tcMar>
            <w:hideMark/>
          </w:tcPr>
          <w:p w:rsidR="00000000" w:rsidRDefault="001F1FC8">
            <w:pPr>
              <w:jc w:val="right"/>
              <w:rPr>
                <w:rFonts w:eastAsia="Times New Roman"/>
              </w:rPr>
            </w:pPr>
            <w:r>
              <w:rPr>
                <w:rFonts w:ascii="Arial" w:eastAsia="Times New Roman" w:hAnsi="Arial" w:cs="Arial"/>
                <w:color w:val="000000"/>
                <w:sz w:val="20"/>
                <w:szCs w:val="20"/>
              </w:rPr>
              <w:t>US$4.0 billion</w:t>
            </w:r>
          </w:p>
        </w:tc>
        <w:tc>
          <w:tcPr>
            <w:tcW w:w="0" w:type="auto"/>
            <w:gridSpan w:val="3"/>
            <w:tcBorders>
              <w:top w:val="single" w:sz="4" w:space="0" w:color="000000"/>
            </w:tcBorders>
            <w:tcMar>
              <w:top w:w="30" w:type="dxa"/>
              <w:left w:w="20" w:type="dxa"/>
              <w:bottom w:w="30" w:type="dxa"/>
              <w:right w:w="20" w:type="dxa"/>
            </w:tcMar>
            <w:hideMark/>
          </w:tcPr>
          <w:p w:rsidR="00000000" w:rsidRDefault="001F1FC8">
            <w:pPr>
              <w:jc w:val="right"/>
              <w:rPr>
                <w:rFonts w:eastAsia="Times New Roman"/>
              </w:rPr>
            </w:pPr>
            <w:r>
              <w:rPr>
                <w:rFonts w:ascii="Arial" w:eastAsia="Times New Roman" w:hAnsi="Arial" w:cs="Arial"/>
                <w:color w:val="000000"/>
                <w:sz w:val="20"/>
                <w:szCs w:val="20"/>
              </w:rPr>
              <w:t>US$4.1 billion</w:t>
            </w:r>
          </w:p>
        </w:tc>
        <w:tc>
          <w:tcPr>
            <w:tcW w:w="0" w:type="auto"/>
            <w:gridSpan w:val="3"/>
            <w:tcBorders>
              <w:top w:val="single" w:sz="4" w:space="0" w:color="000000"/>
            </w:tcBorders>
            <w:tcMar>
              <w:top w:w="30" w:type="dxa"/>
              <w:left w:w="20" w:type="dxa"/>
              <w:bottom w:w="30" w:type="dxa"/>
              <w:right w:w="20" w:type="dxa"/>
            </w:tcMar>
            <w:hideMark/>
          </w:tcPr>
          <w:p w:rsidR="00000000" w:rsidRDefault="001F1FC8">
            <w:pPr>
              <w:jc w:val="right"/>
              <w:rPr>
                <w:rFonts w:eastAsia="Times New Roman"/>
              </w:rPr>
            </w:pPr>
            <w:r>
              <w:rPr>
                <w:rFonts w:ascii="Arial" w:eastAsia="Times New Roman" w:hAnsi="Arial" w:cs="Arial"/>
                <w:color w:val="000000"/>
                <w:sz w:val="20"/>
                <w:szCs w:val="20"/>
              </w:rPr>
              <w:t>Complete</w:t>
            </w:r>
          </w:p>
        </w:tc>
        <w:tc>
          <w:tcPr>
            <w:tcW w:w="0" w:type="auto"/>
            <w:gridSpan w:val="3"/>
            <w:tcBorders>
              <w:top w:val="single" w:sz="4" w:space="0" w:color="000000"/>
            </w:tcBorders>
            <w:tcMar>
              <w:top w:w="30" w:type="dxa"/>
              <w:left w:w="20" w:type="dxa"/>
              <w:bottom w:w="30" w:type="dxa"/>
              <w:right w:w="20" w:type="dxa"/>
            </w:tcMar>
            <w:hideMark/>
          </w:tcPr>
          <w:p w:rsidR="00000000" w:rsidRDefault="001F1FC8">
            <w:pPr>
              <w:jc w:val="right"/>
              <w:rPr>
                <w:rFonts w:eastAsia="Times New Roman"/>
              </w:rPr>
            </w:pPr>
            <w:r>
              <w:rPr>
                <w:rFonts w:ascii="Arial" w:eastAsia="Times New Roman" w:hAnsi="Arial" w:cs="Arial"/>
                <w:color w:val="000000"/>
                <w:sz w:val="20"/>
                <w:szCs w:val="20"/>
              </w:rPr>
              <w:t>In-service</w:t>
            </w:r>
          </w:p>
        </w:tc>
      </w:tr>
      <w:tr w:rsidR="00000000">
        <w:trPr>
          <w:divId w:val="710304535"/>
        </w:trPr>
        <w:tc>
          <w:tcPr>
            <w:tcW w:w="0" w:type="auto"/>
            <w:gridSpan w:val="3"/>
            <w:tcBorders>
              <w:top w:val="single" w:sz="4" w:space="0" w:color="000000"/>
            </w:tcBorders>
            <w:tcMar>
              <w:top w:w="30" w:type="dxa"/>
              <w:left w:w="20" w:type="dxa"/>
              <w:bottom w:w="30" w:type="dxa"/>
              <w:right w:w="20" w:type="dxa"/>
            </w:tcMar>
            <w:hideMark/>
          </w:tcPr>
          <w:p w:rsidR="00000000" w:rsidRDefault="001F1FC8">
            <w:pPr>
              <w:rPr>
                <w:rFonts w:eastAsia="Times New Roman"/>
              </w:rPr>
            </w:pPr>
            <w:r>
              <w:rPr>
                <w:rFonts w:ascii="Arial" w:eastAsia="Times New Roman" w:hAnsi="Arial" w:cs="Arial"/>
                <w:color w:val="000000"/>
                <w:sz w:val="20"/>
                <w:szCs w:val="20"/>
              </w:rPr>
              <w:t>2.</w:t>
            </w:r>
          </w:p>
        </w:tc>
        <w:tc>
          <w:tcPr>
            <w:tcW w:w="0" w:type="auto"/>
            <w:gridSpan w:val="3"/>
            <w:tcBorders>
              <w:top w:val="single" w:sz="4" w:space="0" w:color="000000"/>
            </w:tcBorders>
            <w:tcMar>
              <w:top w:w="30" w:type="dxa"/>
              <w:left w:w="200" w:type="dxa"/>
              <w:bottom w:w="30" w:type="dxa"/>
              <w:right w:w="20" w:type="dxa"/>
            </w:tcMar>
            <w:hideMark/>
          </w:tcPr>
          <w:p w:rsidR="00000000" w:rsidRDefault="001F1FC8">
            <w:pPr>
              <w:ind w:hanging="180"/>
              <w:rPr>
                <w:rFonts w:eastAsia="Times New Roman"/>
              </w:rPr>
            </w:pPr>
            <w:r>
              <w:rPr>
                <w:rFonts w:ascii="Arial" w:eastAsia="Times New Roman" w:hAnsi="Arial" w:cs="Arial"/>
                <w:color w:val="000000"/>
                <w:sz w:val="20"/>
                <w:szCs w:val="20"/>
              </w:rPr>
              <w:t>Southern Access Expansion</w:t>
            </w:r>
          </w:p>
        </w:tc>
        <w:tc>
          <w:tcPr>
            <w:tcW w:w="0" w:type="auto"/>
            <w:gridSpan w:val="2"/>
            <w:tcBorders>
              <w:top w:val="single" w:sz="4" w:space="0" w:color="000000"/>
            </w:tcBorders>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color w:val="000000"/>
                <w:sz w:val="20"/>
                <w:szCs w:val="20"/>
              </w:rPr>
              <w:t>100 </w:t>
            </w:r>
          </w:p>
        </w:tc>
        <w:tc>
          <w:tcPr>
            <w:tcW w:w="0" w:type="auto"/>
            <w:tcBorders>
              <w:top w:val="single" w:sz="4" w:space="0" w:color="000000"/>
            </w:tcBorders>
            <w:tcMar>
              <w:top w:w="30" w:type="dxa"/>
              <w:left w:w="0" w:type="dxa"/>
              <w:bottom w:w="30" w:type="dxa"/>
              <w:right w:w="20" w:type="dxa"/>
            </w:tcMar>
            <w:hideMark/>
          </w:tcPr>
          <w:p w:rsidR="00000000" w:rsidRDefault="001F1FC8">
            <w:pPr>
              <w:jc w:val="right"/>
              <w:rPr>
                <w:rFonts w:eastAsia="Times New Roman"/>
              </w:rPr>
            </w:pPr>
            <w:r>
              <w:rPr>
                <w:rFonts w:ascii="Arial" w:eastAsia="Times New Roman" w:hAnsi="Arial" w:cs="Arial"/>
                <w:color w:val="000000"/>
                <w:sz w:val="20"/>
                <w:szCs w:val="20"/>
              </w:rPr>
              <w:t>%</w:t>
            </w:r>
          </w:p>
        </w:tc>
        <w:tc>
          <w:tcPr>
            <w:tcW w:w="0" w:type="auto"/>
            <w:gridSpan w:val="3"/>
            <w:tcBorders>
              <w:top w:val="single" w:sz="4" w:space="0" w:color="000000"/>
            </w:tcBorders>
            <w:tcMar>
              <w:top w:w="30" w:type="dxa"/>
              <w:left w:w="20" w:type="dxa"/>
              <w:bottom w:w="30" w:type="dxa"/>
              <w:right w:w="20" w:type="dxa"/>
            </w:tcMar>
            <w:hideMark/>
          </w:tcPr>
          <w:p w:rsidR="00000000" w:rsidRDefault="001F1FC8">
            <w:pPr>
              <w:jc w:val="right"/>
              <w:rPr>
                <w:rFonts w:eastAsia="Times New Roman"/>
              </w:rPr>
            </w:pPr>
            <w:r>
              <w:rPr>
                <w:rFonts w:ascii="Arial" w:eastAsia="Times New Roman" w:hAnsi="Arial" w:cs="Arial"/>
                <w:color w:val="000000"/>
                <w:sz w:val="20"/>
                <w:szCs w:val="20"/>
              </w:rPr>
              <w:t>US$0.5 billion</w:t>
            </w:r>
          </w:p>
        </w:tc>
        <w:tc>
          <w:tcPr>
            <w:tcW w:w="0" w:type="auto"/>
            <w:gridSpan w:val="3"/>
            <w:tcBorders>
              <w:top w:val="single" w:sz="4" w:space="0" w:color="000000"/>
            </w:tcBorders>
            <w:tcMar>
              <w:top w:w="30" w:type="dxa"/>
              <w:left w:w="20" w:type="dxa"/>
              <w:bottom w:w="30" w:type="dxa"/>
              <w:right w:w="20" w:type="dxa"/>
            </w:tcMar>
            <w:hideMark/>
          </w:tcPr>
          <w:p w:rsidR="00000000" w:rsidRDefault="001F1FC8">
            <w:pPr>
              <w:jc w:val="right"/>
              <w:rPr>
                <w:rFonts w:eastAsia="Times New Roman"/>
              </w:rPr>
            </w:pPr>
            <w:r>
              <w:rPr>
                <w:rFonts w:ascii="Arial" w:eastAsia="Times New Roman" w:hAnsi="Arial" w:cs="Arial"/>
                <w:color w:val="000000"/>
                <w:sz w:val="20"/>
                <w:szCs w:val="20"/>
              </w:rPr>
              <w:t>US$0.5 billion</w:t>
            </w:r>
          </w:p>
        </w:tc>
        <w:tc>
          <w:tcPr>
            <w:tcW w:w="0" w:type="auto"/>
            <w:gridSpan w:val="3"/>
            <w:tcBorders>
              <w:top w:val="single" w:sz="4" w:space="0" w:color="000000"/>
            </w:tcBorders>
            <w:tcMar>
              <w:top w:w="30" w:type="dxa"/>
              <w:left w:w="20" w:type="dxa"/>
              <w:bottom w:w="30" w:type="dxa"/>
              <w:right w:w="20" w:type="dxa"/>
            </w:tcMar>
            <w:hideMark/>
          </w:tcPr>
          <w:p w:rsidR="00000000" w:rsidRDefault="001F1FC8">
            <w:pPr>
              <w:jc w:val="right"/>
              <w:rPr>
                <w:rFonts w:eastAsia="Times New Roman"/>
              </w:rPr>
            </w:pPr>
            <w:r>
              <w:rPr>
                <w:rFonts w:ascii="Arial" w:eastAsia="Times New Roman" w:hAnsi="Arial" w:cs="Arial"/>
                <w:color w:val="000000"/>
                <w:sz w:val="20"/>
                <w:szCs w:val="20"/>
              </w:rPr>
              <w:t>Complete</w:t>
            </w:r>
          </w:p>
        </w:tc>
        <w:tc>
          <w:tcPr>
            <w:tcW w:w="0" w:type="auto"/>
            <w:gridSpan w:val="3"/>
            <w:tcBorders>
              <w:top w:val="single" w:sz="4" w:space="0" w:color="000000"/>
            </w:tcBorders>
            <w:tcMar>
              <w:top w:w="30" w:type="dxa"/>
              <w:left w:w="20" w:type="dxa"/>
              <w:bottom w:w="30" w:type="dxa"/>
              <w:right w:w="20" w:type="dxa"/>
            </w:tcMar>
            <w:hideMark/>
          </w:tcPr>
          <w:p w:rsidR="00000000" w:rsidRDefault="001F1FC8">
            <w:pPr>
              <w:jc w:val="right"/>
              <w:rPr>
                <w:rFonts w:eastAsia="Times New Roman"/>
              </w:rPr>
            </w:pPr>
            <w:r>
              <w:rPr>
                <w:rFonts w:ascii="Arial" w:eastAsia="Times New Roman" w:hAnsi="Arial" w:cs="Arial"/>
                <w:color w:val="000000"/>
                <w:sz w:val="20"/>
                <w:szCs w:val="20"/>
              </w:rPr>
              <w:t>In-service</w:t>
            </w:r>
          </w:p>
        </w:tc>
      </w:tr>
      <w:tr w:rsidR="00000000">
        <w:trPr>
          <w:divId w:val="710304535"/>
        </w:trPr>
        <w:tc>
          <w:tcPr>
            <w:tcW w:w="0" w:type="auto"/>
            <w:gridSpan w:val="3"/>
            <w:tcBorders>
              <w:top w:val="single" w:sz="4" w:space="0" w:color="000000"/>
            </w:tcBorders>
            <w:tcMar>
              <w:top w:w="30" w:type="dxa"/>
              <w:left w:w="20" w:type="dxa"/>
              <w:bottom w:w="30" w:type="dxa"/>
              <w:right w:w="20" w:type="dxa"/>
            </w:tcMar>
            <w:hideMark/>
          </w:tcPr>
          <w:p w:rsidR="00000000" w:rsidRDefault="001F1FC8">
            <w:pPr>
              <w:rPr>
                <w:rFonts w:eastAsia="Times New Roman"/>
              </w:rPr>
            </w:pPr>
            <w:r>
              <w:rPr>
                <w:rFonts w:ascii="Arial" w:eastAsia="Times New Roman" w:hAnsi="Arial" w:cs="Arial"/>
                <w:color w:val="000000"/>
                <w:sz w:val="20"/>
                <w:szCs w:val="20"/>
              </w:rPr>
              <w:t>3.</w:t>
            </w:r>
          </w:p>
        </w:tc>
        <w:tc>
          <w:tcPr>
            <w:tcW w:w="0" w:type="auto"/>
            <w:gridSpan w:val="3"/>
            <w:tcBorders>
              <w:top w:val="single" w:sz="4" w:space="0" w:color="000000"/>
              <w:bottom w:val="single" w:sz="4" w:space="0" w:color="000000"/>
            </w:tcBorders>
            <w:tcMar>
              <w:top w:w="30" w:type="dxa"/>
              <w:left w:w="200" w:type="dxa"/>
              <w:bottom w:w="30" w:type="dxa"/>
              <w:right w:w="20" w:type="dxa"/>
            </w:tcMar>
            <w:hideMark/>
          </w:tcPr>
          <w:p w:rsidR="00000000" w:rsidRDefault="001F1FC8">
            <w:pPr>
              <w:ind w:hanging="180"/>
              <w:rPr>
                <w:rFonts w:eastAsia="Times New Roman"/>
              </w:rPr>
            </w:pPr>
            <w:r>
              <w:rPr>
                <w:rFonts w:ascii="Arial" w:eastAsia="Times New Roman" w:hAnsi="Arial" w:cs="Arial"/>
                <w:color w:val="000000"/>
                <w:sz w:val="20"/>
                <w:szCs w:val="20"/>
              </w:rPr>
              <w:t>Other - US</w:t>
            </w:r>
          </w:p>
        </w:tc>
        <w:tc>
          <w:tcPr>
            <w:tcW w:w="0" w:type="auto"/>
            <w:gridSpan w:val="2"/>
            <w:tcBorders>
              <w:top w:val="single" w:sz="4" w:space="0" w:color="000000"/>
              <w:bottom w:val="single" w:sz="4" w:space="0" w:color="000000"/>
            </w:tcBorders>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color w:val="000000"/>
                <w:sz w:val="20"/>
                <w:szCs w:val="20"/>
              </w:rPr>
              <w:t>100 </w:t>
            </w:r>
          </w:p>
        </w:tc>
        <w:tc>
          <w:tcPr>
            <w:tcW w:w="0" w:type="auto"/>
            <w:tcBorders>
              <w:top w:val="single" w:sz="4" w:space="0" w:color="000000"/>
              <w:bottom w:val="single" w:sz="4" w:space="0" w:color="000000"/>
            </w:tcBorders>
            <w:tcMar>
              <w:top w:w="30" w:type="dxa"/>
              <w:left w:w="0" w:type="dxa"/>
              <w:bottom w:w="30" w:type="dxa"/>
              <w:right w:w="20" w:type="dxa"/>
            </w:tcMar>
            <w:hideMark/>
          </w:tcPr>
          <w:p w:rsidR="00000000" w:rsidRDefault="001F1FC8">
            <w:pPr>
              <w:jc w:val="right"/>
              <w:rPr>
                <w:rFonts w:eastAsia="Times New Roman"/>
              </w:rPr>
            </w:pPr>
            <w:r>
              <w:rPr>
                <w:rFonts w:ascii="Arial" w:eastAsia="Times New Roman" w:hAnsi="Arial" w:cs="Arial"/>
                <w:color w:val="000000"/>
                <w:sz w:val="20"/>
                <w:szCs w:val="20"/>
              </w:rPr>
              <w:t>%</w:t>
            </w:r>
          </w:p>
        </w:tc>
        <w:tc>
          <w:tcPr>
            <w:tcW w:w="0" w:type="auto"/>
            <w:gridSpan w:val="3"/>
            <w:tcBorders>
              <w:top w:val="single" w:sz="4" w:space="0" w:color="000000"/>
              <w:bottom w:val="single" w:sz="4" w:space="0" w:color="000000"/>
            </w:tcBorders>
            <w:tcMar>
              <w:top w:w="30" w:type="dxa"/>
              <w:left w:w="20" w:type="dxa"/>
              <w:bottom w:w="30" w:type="dxa"/>
              <w:right w:w="20" w:type="dxa"/>
            </w:tcMar>
            <w:hideMark/>
          </w:tcPr>
          <w:p w:rsidR="00000000" w:rsidRDefault="001F1FC8">
            <w:pPr>
              <w:jc w:val="right"/>
              <w:rPr>
                <w:rFonts w:eastAsia="Times New Roman"/>
              </w:rPr>
            </w:pPr>
            <w:r>
              <w:rPr>
                <w:rFonts w:ascii="Arial" w:eastAsia="Times New Roman" w:hAnsi="Arial" w:cs="Arial"/>
                <w:color w:val="000000"/>
                <w:sz w:val="20"/>
                <w:szCs w:val="20"/>
              </w:rPr>
              <w:t>US$0.1 billion</w:t>
            </w:r>
          </w:p>
        </w:tc>
        <w:tc>
          <w:tcPr>
            <w:tcW w:w="0" w:type="auto"/>
            <w:gridSpan w:val="3"/>
            <w:tcBorders>
              <w:top w:val="single" w:sz="4" w:space="0" w:color="000000"/>
              <w:bottom w:val="single" w:sz="4" w:space="0" w:color="000000"/>
            </w:tcBorders>
            <w:tcMar>
              <w:top w:w="30" w:type="dxa"/>
              <w:left w:w="20" w:type="dxa"/>
              <w:bottom w:w="30" w:type="dxa"/>
              <w:right w:w="20" w:type="dxa"/>
            </w:tcMar>
            <w:hideMark/>
          </w:tcPr>
          <w:p w:rsidR="00000000" w:rsidRDefault="001F1FC8">
            <w:pPr>
              <w:jc w:val="right"/>
              <w:rPr>
                <w:rFonts w:eastAsia="Times New Roman"/>
              </w:rPr>
            </w:pPr>
            <w:r>
              <w:rPr>
                <w:rFonts w:ascii="Arial" w:eastAsia="Times New Roman" w:hAnsi="Arial" w:cs="Arial"/>
                <w:color w:val="000000"/>
                <w:sz w:val="20"/>
                <w:szCs w:val="20"/>
              </w:rPr>
              <w:t>US$0.1 billion</w:t>
            </w:r>
          </w:p>
        </w:tc>
        <w:tc>
          <w:tcPr>
            <w:tcW w:w="0" w:type="auto"/>
            <w:gridSpan w:val="3"/>
            <w:tcBorders>
              <w:top w:val="single" w:sz="4" w:space="0" w:color="000000"/>
            </w:tcBorders>
            <w:tcMar>
              <w:top w:w="30" w:type="dxa"/>
              <w:left w:w="20" w:type="dxa"/>
              <w:bottom w:w="30" w:type="dxa"/>
              <w:right w:w="20" w:type="dxa"/>
            </w:tcMar>
            <w:hideMark/>
          </w:tcPr>
          <w:p w:rsidR="00000000" w:rsidRDefault="001F1FC8">
            <w:pPr>
              <w:jc w:val="right"/>
              <w:rPr>
                <w:rFonts w:eastAsia="Times New Roman"/>
              </w:rPr>
            </w:pPr>
            <w:r>
              <w:rPr>
                <w:rFonts w:ascii="Arial" w:eastAsia="Times New Roman" w:hAnsi="Arial" w:cs="Arial"/>
                <w:color w:val="000000"/>
                <w:sz w:val="20"/>
                <w:szCs w:val="20"/>
              </w:rPr>
              <w:t>Complete</w:t>
            </w:r>
          </w:p>
        </w:tc>
        <w:tc>
          <w:tcPr>
            <w:tcW w:w="0" w:type="auto"/>
            <w:gridSpan w:val="3"/>
            <w:tcBorders>
              <w:top w:val="single" w:sz="4" w:space="0" w:color="000000"/>
            </w:tcBorders>
            <w:tcMar>
              <w:top w:w="30" w:type="dxa"/>
              <w:left w:w="20" w:type="dxa"/>
              <w:bottom w:w="30" w:type="dxa"/>
              <w:right w:w="20" w:type="dxa"/>
            </w:tcMar>
            <w:hideMark/>
          </w:tcPr>
          <w:p w:rsidR="00000000" w:rsidRDefault="001F1FC8">
            <w:pPr>
              <w:jc w:val="right"/>
              <w:rPr>
                <w:rFonts w:eastAsia="Times New Roman"/>
              </w:rPr>
            </w:pPr>
            <w:r>
              <w:rPr>
                <w:rFonts w:ascii="Arial" w:eastAsia="Times New Roman" w:hAnsi="Arial" w:cs="Arial"/>
                <w:color w:val="000000"/>
                <w:sz w:val="20"/>
                <w:szCs w:val="20"/>
              </w:rPr>
              <w:t>In-service</w:t>
            </w:r>
          </w:p>
        </w:tc>
      </w:tr>
      <w:tr w:rsidR="00000000">
        <w:trPr>
          <w:divId w:val="710304535"/>
        </w:trPr>
        <w:tc>
          <w:tcPr>
            <w:tcW w:w="0" w:type="auto"/>
            <w:gridSpan w:val="15"/>
            <w:tcBorders>
              <w:top w:val="single" w:sz="4" w:space="0" w:color="000000"/>
            </w:tcBorders>
            <w:tcMar>
              <w:top w:w="30" w:type="dxa"/>
              <w:left w:w="20" w:type="dxa"/>
              <w:bottom w:w="30" w:type="dxa"/>
              <w:right w:w="20" w:type="dxa"/>
            </w:tcMar>
            <w:hideMark/>
          </w:tcPr>
          <w:p w:rsidR="00000000" w:rsidRDefault="001F1FC8">
            <w:pPr>
              <w:rPr>
                <w:rFonts w:eastAsia="Times New Roman"/>
              </w:rPr>
            </w:pPr>
            <w:r>
              <w:rPr>
                <w:rFonts w:ascii="Arial" w:eastAsia="Times New Roman" w:hAnsi="Arial" w:cs="Arial"/>
                <w:b/>
                <w:bCs/>
                <w:color w:val="000000"/>
                <w:sz w:val="20"/>
                <w:szCs w:val="20"/>
              </w:rPr>
              <w:t>GAS TRANSMISSION AND MIDSTREAM</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1F1FC8">
            <w:pPr>
              <w:rPr>
                <w:rFonts w:eastAsia="Times New Roman"/>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1F1FC8">
            <w:pPr>
              <w:rPr>
                <w:rFonts w:eastAsia="Times New Roman"/>
                <w:sz w:val="20"/>
                <w:szCs w:val="20"/>
              </w:rPr>
            </w:pPr>
          </w:p>
        </w:tc>
      </w:tr>
      <w:tr w:rsidR="00000000">
        <w:trPr>
          <w:divId w:val="710304535"/>
        </w:trPr>
        <w:tc>
          <w:tcPr>
            <w:tcW w:w="0" w:type="auto"/>
            <w:gridSpan w:val="3"/>
            <w:tcBorders>
              <w:top w:val="single" w:sz="4" w:space="0" w:color="000000"/>
            </w:tcBorders>
            <w:tcMar>
              <w:top w:w="30" w:type="dxa"/>
              <w:left w:w="20" w:type="dxa"/>
              <w:bottom w:w="30" w:type="dxa"/>
              <w:right w:w="20" w:type="dxa"/>
            </w:tcMar>
            <w:hideMark/>
          </w:tcPr>
          <w:p w:rsidR="00000000" w:rsidRDefault="001F1FC8">
            <w:pPr>
              <w:rPr>
                <w:rFonts w:eastAsia="Times New Roman"/>
              </w:rPr>
            </w:pPr>
            <w:r>
              <w:rPr>
                <w:rFonts w:ascii="Arial" w:eastAsia="Times New Roman" w:hAnsi="Arial" w:cs="Arial"/>
                <w:color w:val="000000"/>
                <w:sz w:val="20"/>
                <w:szCs w:val="20"/>
              </w:rPr>
              <w:t>4.</w:t>
            </w:r>
          </w:p>
        </w:tc>
        <w:tc>
          <w:tcPr>
            <w:tcW w:w="0" w:type="auto"/>
            <w:gridSpan w:val="3"/>
            <w:tcBorders>
              <w:top w:val="single" w:sz="4" w:space="0" w:color="000000"/>
            </w:tcBorders>
            <w:tcMar>
              <w:top w:w="30" w:type="dxa"/>
              <w:left w:w="200" w:type="dxa"/>
              <w:bottom w:w="30" w:type="dxa"/>
              <w:right w:w="20" w:type="dxa"/>
            </w:tcMar>
            <w:hideMark/>
          </w:tcPr>
          <w:p w:rsidR="00000000" w:rsidRDefault="001F1FC8">
            <w:pPr>
              <w:ind w:hanging="180"/>
              <w:rPr>
                <w:rFonts w:eastAsia="Times New Roman"/>
              </w:rPr>
            </w:pPr>
            <w:r>
              <w:rPr>
                <w:rFonts w:ascii="Arial" w:eastAsia="Times New Roman" w:hAnsi="Arial" w:cs="Arial"/>
                <w:color w:val="000000"/>
                <w:sz w:val="20"/>
                <w:szCs w:val="20"/>
              </w:rPr>
              <w:t>T-South Reliability &amp; Expansion Program</w:t>
            </w:r>
          </w:p>
        </w:tc>
        <w:tc>
          <w:tcPr>
            <w:tcW w:w="0" w:type="auto"/>
            <w:gridSpan w:val="2"/>
            <w:tcBorders>
              <w:top w:val="single" w:sz="4" w:space="0" w:color="000000"/>
            </w:tcBorders>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color w:val="000000"/>
                <w:sz w:val="20"/>
                <w:szCs w:val="20"/>
              </w:rPr>
              <w:t>100 </w:t>
            </w:r>
          </w:p>
        </w:tc>
        <w:tc>
          <w:tcPr>
            <w:tcW w:w="0" w:type="auto"/>
            <w:tcBorders>
              <w:top w:val="single" w:sz="4" w:space="0" w:color="000000"/>
            </w:tcBorders>
            <w:tcMar>
              <w:top w:w="30" w:type="dxa"/>
              <w:left w:w="0" w:type="dxa"/>
              <w:bottom w:w="30" w:type="dxa"/>
              <w:right w:w="20" w:type="dxa"/>
            </w:tcMar>
            <w:hideMark/>
          </w:tcPr>
          <w:p w:rsidR="00000000" w:rsidRDefault="001F1FC8">
            <w:pPr>
              <w:jc w:val="right"/>
              <w:rPr>
                <w:rFonts w:eastAsia="Times New Roman"/>
              </w:rPr>
            </w:pPr>
            <w:r>
              <w:rPr>
                <w:rFonts w:ascii="Arial" w:eastAsia="Times New Roman" w:hAnsi="Arial" w:cs="Arial"/>
                <w:color w:val="000000"/>
                <w:sz w:val="20"/>
                <w:szCs w:val="20"/>
              </w:rPr>
              <w:t>%</w:t>
            </w:r>
          </w:p>
        </w:tc>
        <w:tc>
          <w:tcPr>
            <w:tcW w:w="0" w:type="auto"/>
            <w:gridSpan w:val="3"/>
            <w:tcBorders>
              <w:top w:val="single" w:sz="4" w:space="0" w:color="000000"/>
            </w:tcBorders>
            <w:tcMar>
              <w:top w:w="30" w:type="dxa"/>
              <w:left w:w="20" w:type="dxa"/>
              <w:bottom w:w="30" w:type="dxa"/>
              <w:right w:w="20" w:type="dxa"/>
            </w:tcMar>
            <w:hideMark/>
          </w:tcPr>
          <w:p w:rsidR="00000000" w:rsidRDefault="001F1FC8">
            <w:pPr>
              <w:jc w:val="right"/>
              <w:rPr>
                <w:rFonts w:eastAsia="Times New Roman"/>
              </w:rPr>
            </w:pPr>
            <w:r>
              <w:rPr>
                <w:rFonts w:ascii="Arial" w:eastAsia="Times New Roman" w:hAnsi="Arial" w:cs="Arial"/>
                <w:color w:val="000000"/>
                <w:sz w:val="20"/>
                <w:szCs w:val="20"/>
              </w:rPr>
              <w:t>$1.0 billion</w:t>
            </w:r>
          </w:p>
        </w:tc>
        <w:tc>
          <w:tcPr>
            <w:tcW w:w="0" w:type="auto"/>
            <w:gridSpan w:val="3"/>
            <w:tcBorders>
              <w:top w:val="single" w:sz="4" w:space="0" w:color="000000"/>
            </w:tcBorders>
            <w:tcMar>
              <w:top w:w="30" w:type="dxa"/>
              <w:left w:w="20" w:type="dxa"/>
              <w:bottom w:w="30" w:type="dxa"/>
              <w:right w:w="20" w:type="dxa"/>
            </w:tcMar>
            <w:hideMark/>
          </w:tcPr>
          <w:p w:rsidR="00000000" w:rsidRDefault="001F1FC8">
            <w:pPr>
              <w:jc w:val="right"/>
              <w:rPr>
                <w:rFonts w:eastAsia="Times New Roman"/>
              </w:rPr>
            </w:pPr>
            <w:r>
              <w:rPr>
                <w:rFonts w:ascii="Arial" w:eastAsia="Times New Roman" w:hAnsi="Arial" w:cs="Arial"/>
                <w:color w:val="000000"/>
                <w:sz w:val="20"/>
                <w:szCs w:val="20"/>
              </w:rPr>
              <w:t>$0.9 billion</w:t>
            </w:r>
          </w:p>
        </w:tc>
        <w:tc>
          <w:tcPr>
            <w:tcW w:w="0" w:type="auto"/>
            <w:gridSpan w:val="3"/>
            <w:tcBorders>
              <w:top w:val="single" w:sz="4" w:space="0" w:color="000000"/>
            </w:tcBorders>
            <w:tcMar>
              <w:top w:w="30" w:type="dxa"/>
              <w:left w:w="20" w:type="dxa"/>
              <w:bottom w:w="30" w:type="dxa"/>
              <w:right w:w="20" w:type="dxa"/>
            </w:tcMar>
            <w:hideMark/>
          </w:tcPr>
          <w:p w:rsidR="00000000" w:rsidRDefault="001F1FC8">
            <w:pPr>
              <w:jc w:val="right"/>
              <w:rPr>
                <w:rFonts w:eastAsia="Times New Roman"/>
              </w:rPr>
            </w:pPr>
            <w:r>
              <w:rPr>
                <w:rFonts w:ascii="Arial" w:eastAsia="Times New Roman" w:hAnsi="Arial" w:cs="Arial"/>
                <w:color w:val="000000"/>
                <w:sz w:val="20"/>
                <w:szCs w:val="20"/>
              </w:rPr>
              <w:t>Complete</w:t>
            </w:r>
          </w:p>
        </w:tc>
        <w:tc>
          <w:tcPr>
            <w:tcW w:w="0" w:type="auto"/>
            <w:gridSpan w:val="3"/>
            <w:tcBorders>
              <w:top w:val="single" w:sz="4" w:space="0" w:color="000000"/>
            </w:tcBorders>
            <w:tcMar>
              <w:top w:w="30" w:type="dxa"/>
              <w:left w:w="20" w:type="dxa"/>
              <w:bottom w:w="30" w:type="dxa"/>
              <w:right w:w="20" w:type="dxa"/>
            </w:tcMar>
            <w:hideMark/>
          </w:tcPr>
          <w:p w:rsidR="00000000" w:rsidRDefault="001F1FC8">
            <w:pPr>
              <w:jc w:val="right"/>
              <w:rPr>
                <w:rFonts w:eastAsia="Times New Roman"/>
              </w:rPr>
            </w:pPr>
            <w:r>
              <w:rPr>
                <w:rFonts w:ascii="Arial" w:eastAsia="Times New Roman" w:hAnsi="Arial" w:cs="Arial"/>
                <w:color w:val="000000"/>
                <w:sz w:val="20"/>
                <w:szCs w:val="20"/>
              </w:rPr>
              <w:t>In-service</w:t>
            </w:r>
          </w:p>
        </w:tc>
      </w:tr>
      <w:tr w:rsidR="00000000">
        <w:trPr>
          <w:divId w:val="710304535"/>
        </w:trPr>
        <w:tc>
          <w:tcPr>
            <w:tcW w:w="0" w:type="auto"/>
            <w:gridSpan w:val="3"/>
            <w:tcBorders>
              <w:top w:val="single" w:sz="4" w:space="0" w:color="000000"/>
            </w:tcBorders>
            <w:tcMar>
              <w:top w:w="30" w:type="dxa"/>
              <w:left w:w="20" w:type="dxa"/>
              <w:bottom w:w="30" w:type="dxa"/>
              <w:right w:w="20" w:type="dxa"/>
            </w:tcMar>
            <w:hideMark/>
          </w:tcPr>
          <w:p w:rsidR="00000000" w:rsidRDefault="001F1FC8">
            <w:pPr>
              <w:rPr>
                <w:rFonts w:eastAsia="Times New Roman"/>
              </w:rPr>
            </w:pPr>
            <w:r>
              <w:rPr>
                <w:rFonts w:ascii="Arial" w:eastAsia="Times New Roman" w:hAnsi="Arial" w:cs="Arial"/>
                <w:color w:val="000000"/>
                <w:sz w:val="20"/>
                <w:szCs w:val="20"/>
              </w:rPr>
              <w:t>5.</w:t>
            </w:r>
          </w:p>
        </w:tc>
        <w:tc>
          <w:tcPr>
            <w:tcW w:w="0" w:type="auto"/>
            <w:gridSpan w:val="3"/>
            <w:tcBorders>
              <w:top w:val="single" w:sz="4" w:space="0" w:color="000000"/>
            </w:tcBorders>
            <w:tcMar>
              <w:top w:w="30" w:type="dxa"/>
              <w:left w:w="200" w:type="dxa"/>
              <w:bottom w:w="30" w:type="dxa"/>
              <w:right w:w="20" w:type="dxa"/>
            </w:tcMar>
            <w:hideMark/>
          </w:tcPr>
          <w:p w:rsidR="00000000" w:rsidRDefault="001F1FC8">
            <w:pPr>
              <w:ind w:hanging="180"/>
              <w:rPr>
                <w:rFonts w:eastAsia="Times New Roman"/>
              </w:rPr>
            </w:pPr>
            <w:r>
              <w:rPr>
                <w:rFonts w:ascii="Arial" w:eastAsia="Times New Roman" w:hAnsi="Arial" w:cs="Arial"/>
                <w:color w:val="000000"/>
                <w:sz w:val="20"/>
                <w:szCs w:val="20"/>
              </w:rPr>
              <w:t>Spruce Ridge Project</w:t>
            </w:r>
          </w:p>
        </w:tc>
        <w:tc>
          <w:tcPr>
            <w:tcW w:w="0" w:type="auto"/>
            <w:gridSpan w:val="2"/>
            <w:tcBorders>
              <w:top w:val="single" w:sz="4" w:space="0" w:color="000000"/>
            </w:tcBorders>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color w:val="000000"/>
                <w:sz w:val="20"/>
                <w:szCs w:val="20"/>
              </w:rPr>
              <w:t>100 </w:t>
            </w:r>
          </w:p>
        </w:tc>
        <w:tc>
          <w:tcPr>
            <w:tcW w:w="0" w:type="auto"/>
            <w:tcBorders>
              <w:top w:val="single" w:sz="4" w:space="0" w:color="000000"/>
            </w:tcBorders>
            <w:tcMar>
              <w:top w:w="30" w:type="dxa"/>
              <w:left w:w="0" w:type="dxa"/>
              <w:bottom w:w="30" w:type="dxa"/>
              <w:right w:w="20" w:type="dxa"/>
            </w:tcMar>
            <w:hideMark/>
          </w:tcPr>
          <w:p w:rsidR="00000000" w:rsidRDefault="001F1FC8">
            <w:pPr>
              <w:jc w:val="right"/>
              <w:rPr>
                <w:rFonts w:eastAsia="Times New Roman"/>
              </w:rPr>
            </w:pPr>
            <w:r>
              <w:rPr>
                <w:rFonts w:ascii="Arial" w:eastAsia="Times New Roman" w:hAnsi="Arial" w:cs="Arial"/>
                <w:color w:val="000000"/>
                <w:sz w:val="20"/>
                <w:szCs w:val="20"/>
              </w:rPr>
              <w:t>%</w:t>
            </w:r>
          </w:p>
        </w:tc>
        <w:tc>
          <w:tcPr>
            <w:tcW w:w="0" w:type="auto"/>
            <w:gridSpan w:val="3"/>
            <w:tcBorders>
              <w:top w:val="single" w:sz="4" w:space="0" w:color="000000"/>
            </w:tcBorders>
            <w:tcMar>
              <w:top w:w="30" w:type="dxa"/>
              <w:left w:w="20" w:type="dxa"/>
              <w:bottom w:w="30" w:type="dxa"/>
              <w:right w:w="20" w:type="dxa"/>
            </w:tcMar>
            <w:hideMark/>
          </w:tcPr>
          <w:p w:rsidR="00000000" w:rsidRDefault="001F1FC8">
            <w:pPr>
              <w:jc w:val="right"/>
              <w:rPr>
                <w:rFonts w:eastAsia="Times New Roman"/>
              </w:rPr>
            </w:pPr>
            <w:r>
              <w:rPr>
                <w:rFonts w:ascii="Arial" w:eastAsia="Times New Roman" w:hAnsi="Arial" w:cs="Arial"/>
                <w:color w:val="000000"/>
                <w:sz w:val="20"/>
                <w:szCs w:val="20"/>
              </w:rPr>
              <w:t>$0.4 billion</w:t>
            </w:r>
          </w:p>
        </w:tc>
        <w:tc>
          <w:tcPr>
            <w:tcW w:w="0" w:type="auto"/>
            <w:gridSpan w:val="3"/>
            <w:tcBorders>
              <w:top w:val="single" w:sz="4" w:space="0" w:color="000000"/>
            </w:tcBorders>
            <w:tcMar>
              <w:top w:w="30" w:type="dxa"/>
              <w:left w:w="20" w:type="dxa"/>
              <w:bottom w:w="30" w:type="dxa"/>
              <w:right w:w="20" w:type="dxa"/>
            </w:tcMar>
            <w:hideMark/>
          </w:tcPr>
          <w:p w:rsidR="00000000" w:rsidRDefault="001F1FC8">
            <w:pPr>
              <w:jc w:val="right"/>
              <w:rPr>
                <w:rFonts w:eastAsia="Times New Roman"/>
              </w:rPr>
            </w:pPr>
            <w:r>
              <w:rPr>
                <w:rFonts w:ascii="Arial" w:eastAsia="Times New Roman" w:hAnsi="Arial" w:cs="Arial"/>
                <w:color w:val="000000"/>
                <w:sz w:val="20"/>
                <w:szCs w:val="20"/>
              </w:rPr>
              <w:t>$0.4 billion</w:t>
            </w:r>
          </w:p>
        </w:tc>
        <w:tc>
          <w:tcPr>
            <w:tcW w:w="0" w:type="auto"/>
            <w:gridSpan w:val="3"/>
            <w:tcBorders>
              <w:top w:val="single" w:sz="4" w:space="0" w:color="000000"/>
            </w:tcBorders>
            <w:tcMar>
              <w:top w:w="30" w:type="dxa"/>
              <w:left w:w="20" w:type="dxa"/>
              <w:bottom w:w="30" w:type="dxa"/>
              <w:right w:w="20" w:type="dxa"/>
            </w:tcMar>
            <w:hideMark/>
          </w:tcPr>
          <w:p w:rsidR="00000000" w:rsidRDefault="001F1FC8">
            <w:pPr>
              <w:jc w:val="right"/>
              <w:rPr>
                <w:rFonts w:eastAsia="Times New Roman"/>
              </w:rPr>
            </w:pPr>
            <w:r>
              <w:rPr>
                <w:rFonts w:ascii="Arial" w:eastAsia="Times New Roman" w:hAnsi="Arial" w:cs="Arial"/>
                <w:color w:val="000000"/>
                <w:sz w:val="20"/>
                <w:szCs w:val="20"/>
              </w:rPr>
              <w:t>Complete</w:t>
            </w:r>
          </w:p>
        </w:tc>
        <w:tc>
          <w:tcPr>
            <w:tcW w:w="0" w:type="auto"/>
            <w:gridSpan w:val="3"/>
            <w:tcBorders>
              <w:top w:val="single" w:sz="4" w:space="0" w:color="000000"/>
            </w:tcBorders>
            <w:tcMar>
              <w:top w:w="30" w:type="dxa"/>
              <w:left w:w="20" w:type="dxa"/>
              <w:bottom w:w="30" w:type="dxa"/>
              <w:right w:w="20" w:type="dxa"/>
            </w:tcMar>
            <w:hideMark/>
          </w:tcPr>
          <w:p w:rsidR="00000000" w:rsidRDefault="001F1FC8">
            <w:pPr>
              <w:jc w:val="right"/>
              <w:rPr>
                <w:rFonts w:eastAsia="Times New Roman"/>
              </w:rPr>
            </w:pPr>
            <w:r>
              <w:rPr>
                <w:rFonts w:ascii="Arial" w:eastAsia="Times New Roman" w:hAnsi="Arial" w:cs="Arial"/>
                <w:color w:val="000000"/>
                <w:sz w:val="20"/>
                <w:szCs w:val="20"/>
              </w:rPr>
              <w:t>In-service</w:t>
            </w:r>
          </w:p>
        </w:tc>
      </w:tr>
      <w:tr w:rsidR="00000000">
        <w:trPr>
          <w:divId w:val="710304535"/>
        </w:trPr>
        <w:tc>
          <w:tcPr>
            <w:tcW w:w="0" w:type="auto"/>
            <w:gridSpan w:val="3"/>
            <w:tcBorders>
              <w:top w:val="single" w:sz="4" w:space="0" w:color="000000"/>
            </w:tcBorders>
            <w:tcMar>
              <w:top w:w="30" w:type="dxa"/>
              <w:left w:w="20" w:type="dxa"/>
              <w:bottom w:w="30" w:type="dxa"/>
              <w:right w:w="20" w:type="dxa"/>
            </w:tcMar>
            <w:hideMark/>
          </w:tcPr>
          <w:p w:rsidR="00000000" w:rsidRDefault="001F1FC8">
            <w:pPr>
              <w:rPr>
                <w:rFonts w:eastAsia="Times New Roman"/>
              </w:rPr>
            </w:pPr>
            <w:r>
              <w:rPr>
                <w:rFonts w:ascii="Arial" w:eastAsia="Times New Roman" w:hAnsi="Arial" w:cs="Arial"/>
                <w:color w:val="000000"/>
                <w:sz w:val="20"/>
                <w:szCs w:val="20"/>
              </w:rPr>
              <w:t>6.</w:t>
            </w:r>
          </w:p>
        </w:tc>
        <w:tc>
          <w:tcPr>
            <w:tcW w:w="0" w:type="auto"/>
            <w:gridSpan w:val="3"/>
            <w:tcBorders>
              <w:top w:val="single" w:sz="4" w:space="0" w:color="000000"/>
            </w:tcBorders>
            <w:tcMar>
              <w:top w:w="30" w:type="dxa"/>
              <w:left w:w="20" w:type="dxa"/>
              <w:bottom w:w="30" w:type="dxa"/>
              <w:right w:w="20" w:type="dxa"/>
            </w:tcMar>
            <w:hideMark/>
          </w:tcPr>
          <w:p w:rsidR="00000000" w:rsidRDefault="001F1FC8">
            <w:pPr>
              <w:ind w:hanging="180"/>
              <w:divId w:val="1226378246"/>
              <w:rPr>
                <w:rFonts w:eastAsia="Times New Roman"/>
              </w:rPr>
            </w:pPr>
            <w:r>
              <w:rPr>
                <w:rFonts w:ascii="Arial" w:eastAsia="Times New Roman" w:hAnsi="Arial" w:cs="Arial"/>
                <w:color w:val="000000"/>
                <w:sz w:val="20"/>
                <w:szCs w:val="20"/>
              </w:rPr>
              <w:t xml:space="preserve">Texas Eastern Modernization </w:t>
            </w:r>
          </w:p>
        </w:tc>
        <w:tc>
          <w:tcPr>
            <w:tcW w:w="0" w:type="auto"/>
            <w:gridSpan w:val="2"/>
            <w:tcBorders>
              <w:top w:val="single" w:sz="4" w:space="0" w:color="000000"/>
            </w:tcBorders>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color w:val="000000"/>
                <w:sz w:val="20"/>
                <w:szCs w:val="20"/>
              </w:rPr>
              <w:t>100 </w:t>
            </w:r>
          </w:p>
        </w:tc>
        <w:tc>
          <w:tcPr>
            <w:tcW w:w="0" w:type="auto"/>
            <w:tcBorders>
              <w:top w:val="single" w:sz="4" w:space="0" w:color="000000"/>
            </w:tcBorders>
            <w:tcMar>
              <w:top w:w="30" w:type="dxa"/>
              <w:left w:w="0" w:type="dxa"/>
              <w:bottom w:w="30" w:type="dxa"/>
              <w:right w:w="20" w:type="dxa"/>
            </w:tcMar>
            <w:hideMark/>
          </w:tcPr>
          <w:p w:rsidR="00000000" w:rsidRDefault="001F1FC8">
            <w:pPr>
              <w:jc w:val="right"/>
              <w:rPr>
                <w:rFonts w:eastAsia="Times New Roman"/>
              </w:rPr>
            </w:pPr>
            <w:r>
              <w:rPr>
                <w:rFonts w:ascii="Arial" w:eastAsia="Times New Roman" w:hAnsi="Arial" w:cs="Arial"/>
                <w:color w:val="000000"/>
                <w:sz w:val="20"/>
                <w:szCs w:val="20"/>
              </w:rPr>
              <w:t>%</w:t>
            </w:r>
          </w:p>
        </w:tc>
        <w:tc>
          <w:tcPr>
            <w:tcW w:w="0" w:type="auto"/>
            <w:gridSpan w:val="3"/>
            <w:tcBorders>
              <w:top w:val="single" w:sz="4" w:space="0" w:color="000000"/>
            </w:tcBorders>
            <w:tcMar>
              <w:top w:w="30" w:type="dxa"/>
              <w:left w:w="20" w:type="dxa"/>
              <w:bottom w:w="30" w:type="dxa"/>
              <w:right w:w="20" w:type="dxa"/>
            </w:tcMar>
            <w:hideMark/>
          </w:tcPr>
          <w:p w:rsidR="00000000" w:rsidRDefault="001F1FC8">
            <w:pPr>
              <w:jc w:val="right"/>
              <w:rPr>
                <w:rFonts w:eastAsia="Times New Roman"/>
              </w:rPr>
            </w:pPr>
            <w:r>
              <w:rPr>
                <w:rFonts w:ascii="Arial" w:eastAsia="Times New Roman" w:hAnsi="Arial" w:cs="Arial"/>
                <w:color w:val="000000"/>
                <w:sz w:val="20"/>
                <w:szCs w:val="20"/>
              </w:rPr>
              <w:t>US$0.4 billion</w:t>
            </w:r>
          </w:p>
        </w:tc>
        <w:tc>
          <w:tcPr>
            <w:tcW w:w="0" w:type="auto"/>
            <w:gridSpan w:val="3"/>
            <w:tcBorders>
              <w:top w:val="single" w:sz="4" w:space="0" w:color="000000"/>
            </w:tcBorders>
            <w:tcMar>
              <w:top w:w="30" w:type="dxa"/>
              <w:left w:w="20" w:type="dxa"/>
              <w:bottom w:w="30" w:type="dxa"/>
              <w:right w:w="20" w:type="dxa"/>
            </w:tcMar>
            <w:hideMark/>
          </w:tcPr>
          <w:p w:rsidR="00000000" w:rsidRDefault="001F1FC8">
            <w:pPr>
              <w:jc w:val="right"/>
              <w:rPr>
                <w:rFonts w:eastAsia="Times New Roman"/>
              </w:rPr>
            </w:pPr>
            <w:r>
              <w:rPr>
                <w:rFonts w:ascii="Arial" w:eastAsia="Times New Roman" w:hAnsi="Arial" w:cs="Arial"/>
                <w:color w:val="000000"/>
                <w:sz w:val="20"/>
                <w:szCs w:val="20"/>
              </w:rPr>
              <w:t>No significant expenditures to date</w:t>
            </w:r>
          </w:p>
        </w:tc>
        <w:tc>
          <w:tcPr>
            <w:tcW w:w="0" w:type="auto"/>
            <w:gridSpan w:val="3"/>
            <w:tcBorders>
              <w:top w:val="single" w:sz="4" w:space="0" w:color="000000"/>
            </w:tcBorders>
            <w:tcMar>
              <w:top w:w="30" w:type="dxa"/>
              <w:left w:w="20" w:type="dxa"/>
              <w:bottom w:w="30" w:type="dxa"/>
              <w:right w:w="20" w:type="dxa"/>
            </w:tcMar>
            <w:hideMark/>
          </w:tcPr>
          <w:p w:rsidR="00000000" w:rsidRDefault="001F1FC8">
            <w:pPr>
              <w:jc w:val="right"/>
              <w:rPr>
                <w:rFonts w:eastAsia="Times New Roman"/>
              </w:rPr>
            </w:pPr>
            <w:r>
              <w:rPr>
                <w:rFonts w:ascii="Arial" w:eastAsia="Times New Roman" w:hAnsi="Arial" w:cs="Arial"/>
                <w:color w:val="000000"/>
                <w:sz w:val="20"/>
                <w:szCs w:val="20"/>
              </w:rPr>
              <w:t>Pre-construction</w:t>
            </w:r>
          </w:p>
        </w:tc>
        <w:tc>
          <w:tcPr>
            <w:tcW w:w="0" w:type="auto"/>
            <w:gridSpan w:val="3"/>
            <w:tcBorders>
              <w:top w:val="single" w:sz="4" w:space="0" w:color="000000"/>
            </w:tcBorders>
            <w:tcMar>
              <w:top w:w="30" w:type="dxa"/>
              <w:left w:w="20" w:type="dxa"/>
              <w:bottom w:w="30" w:type="dxa"/>
              <w:right w:w="20" w:type="dxa"/>
            </w:tcMar>
            <w:hideMark/>
          </w:tcPr>
          <w:p w:rsidR="00000000" w:rsidRDefault="001F1FC8">
            <w:pPr>
              <w:jc w:val="right"/>
              <w:rPr>
                <w:rFonts w:eastAsia="Times New Roman"/>
              </w:rPr>
            </w:pPr>
            <w:r>
              <w:rPr>
                <w:rFonts w:ascii="Arial" w:eastAsia="Times New Roman" w:hAnsi="Arial" w:cs="Arial"/>
                <w:color w:val="000000"/>
                <w:sz w:val="20"/>
                <w:szCs w:val="20"/>
              </w:rPr>
              <w:t>2024 - 2026</w:t>
            </w:r>
          </w:p>
        </w:tc>
      </w:tr>
      <w:tr w:rsidR="00000000">
        <w:trPr>
          <w:divId w:val="710304535"/>
        </w:trPr>
        <w:tc>
          <w:tcPr>
            <w:tcW w:w="0" w:type="auto"/>
            <w:gridSpan w:val="3"/>
            <w:tcBorders>
              <w:top w:val="single" w:sz="4" w:space="0" w:color="000000"/>
            </w:tcBorders>
            <w:tcMar>
              <w:top w:w="30" w:type="dxa"/>
              <w:left w:w="20" w:type="dxa"/>
              <w:bottom w:w="30" w:type="dxa"/>
              <w:right w:w="20" w:type="dxa"/>
            </w:tcMar>
            <w:hideMark/>
          </w:tcPr>
          <w:p w:rsidR="00000000" w:rsidRDefault="001F1FC8">
            <w:pPr>
              <w:rPr>
                <w:rFonts w:eastAsia="Times New Roman"/>
              </w:rPr>
            </w:pPr>
            <w:r>
              <w:rPr>
                <w:rFonts w:ascii="Arial" w:eastAsia="Times New Roman" w:hAnsi="Arial" w:cs="Arial"/>
                <w:color w:val="000000"/>
                <w:sz w:val="20"/>
                <w:szCs w:val="20"/>
              </w:rPr>
              <w:t>7.</w:t>
            </w:r>
          </w:p>
        </w:tc>
        <w:tc>
          <w:tcPr>
            <w:tcW w:w="0" w:type="auto"/>
            <w:gridSpan w:val="3"/>
            <w:tcBorders>
              <w:top w:val="single" w:sz="4" w:space="0" w:color="000000"/>
            </w:tcBorders>
            <w:tcMar>
              <w:top w:w="30" w:type="dxa"/>
              <w:left w:w="200" w:type="dxa"/>
              <w:bottom w:w="30" w:type="dxa"/>
              <w:right w:w="20" w:type="dxa"/>
            </w:tcMar>
            <w:hideMark/>
          </w:tcPr>
          <w:p w:rsidR="00000000" w:rsidRDefault="001F1FC8">
            <w:pPr>
              <w:ind w:hanging="180"/>
              <w:rPr>
                <w:rFonts w:eastAsia="Times New Roman"/>
              </w:rPr>
            </w:pPr>
            <w:r>
              <w:rPr>
                <w:rFonts w:ascii="Arial" w:eastAsia="Times New Roman" w:hAnsi="Arial" w:cs="Arial"/>
                <w:color w:val="000000"/>
                <w:sz w:val="20"/>
                <w:szCs w:val="20"/>
              </w:rPr>
              <w:t>Appalachia to Market II</w:t>
            </w:r>
          </w:p>
        </w:tc>
        <w:tc>
          <w:tcPr>
            <w:tcW w:w="0" w:type="auto"/>
            <w:gridSpan w:val="2"/>
            <w:tcBorders>
              <w:top w:val="single" w:sz="4" w:space="0" w:color="000000"/>
            </w:tcBorders>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color w:val="000000"/>
                <w:sz w:val="20"/>
                <w:szCs w:val="20"/>
              </w:rPr>
              <w:t>100 </w:t>
            </w:r>
          </w:p>
        </w:tc>
        <w:tc>
          <w:tcPr>
            <w:tcW w:w="0" w:type="auto"/>
            <w:tcBorders>
              <w:top w:val="single" w:sz="4" w:space="0" w:color="000000"/>
            </w:tcBorders>
            <w:tcMar>
              <w:top w:w="30" w:type="dxa"/>
              <w:left w:w="0" w:type="dxa"/>
              <w:bottom w:w="30" w:type="dxa"/>
              <w:right w:w="20" w:type="dxa"/>
            </w:tcMar>
            <w:hideMark/>
          </w:tcPr>
          <w:p w:rsidR="00000000" w:rsidRDefault="001F1FC8">
            <w:pPr>
              <w:jc w:val="right"/>
              <w:rPr>
                <w:rFonts w:eastAsia="Times New Roman"/>
              </w:rPr>
            </w:pPr>
            <w:r>
              <w:rPr>
                <w:rFonts w:ascii="Arial" w:eastAsia="Times New Roman" w:hAnsi="Arial" w:cs="Arial"/>
                <w:color w:val="000000"/>
                <w:sz w:val="20"/>
                <w:szCs w:val="20"/>
              </w:rPr>
              <w:t>%</w:t>
            </w:r>
          </w:p>
        </w:tc>
        <w:tc>
          <w:tcPr>
            <w:tcW w:w="0" w:type="auto"/>
            <w:gridSpan w:val="3"/>
            <w:tcBorders>
              <w:top w:val="single" w:sz="4" w:space="0" w:color="000000"/>
            </w:tcBorders>
            <w:tcMar>
              <w:top w:w="30" w:type="dxa"/>
              <w:left w:w="20" w:type="dxa"/>
              <w:bottom w:w="30" w:type="dxa"/>
              <w:right w:w="20" w:type="dxa"/>
            </w:tcMar>
            <w:hideMark/>
          </w:tcPr>
          <w:p w:rsidR="00000000" w:rsidRDefault="001F1FC8">
            <w:pPr>
              <w:jc w:val="right"/>
              <w:rPr>
                <w:rFonts w:eastAsia="Times New Roman"/>
              </w:rPr>
            </w:pPr>
            <w:r>
              <w:rPr>
                <w:rFonts w:ascii="Arial" w:eastAsia="Times New Roman" w:hAnsi="Arial" w:cs="Arial"/>
                <w:color w:val="000000"/>
                <w:sz w:val="20"/>
                <w:szCs w:val="20"/>
              </w:rPr>
              <w:t>US$0.1 billion</w:t>
            </w:r>
          </w:p>
        </w:tc>
        <w:tc>
          <w:tcPr>
            <w:tcW w:w="0" w:type="auto"/>
            <w:gridSpan w:val="3"/>
            <w:tcBorders>
              <w:top w:val="single" w:sz="4" w:space="0" w:color="000000"/>
            </w:tcBorders>
            <w:tcMar>
              <w:top w:w="30" w:type="dxa"/>
              <w:left w:w="20" w:type="dxa"/>
              <w:bottom w:w="30" w:type="dxa"/>
              <w:right w:w="20" w:type="dxa"/>
            </w:tcMar>
            <w:hideMark/>
          </w:tcPr>
          <w:p w:rsidR="00000000" w:rsidRDefault="001F1FC8">
            <w:pPr>
              <w:jc w:val="right"/>
              <w:rPr>
                <w:rFonts w:eastAsia="Times New Roman"/>
              </w:rPr>
            </w:pPr>
            <w:r>
              <w:rPr>
                <w:rFonts w:ascii="Arial" w:eastAsia="Times New Roman" w:hAnsi="Arial" w:cs="Arial"/>
                <w:color w:val="000000"/>
                <w:sz w:val="20"/>
                <w:szCs w:val="20"/>
              </w:rPr>
              <w:t>No significant expenditures to date</w:t>
            </w:r>
          </w:p>
        </w:tc>
        <w:tc>
          <w:tcPr>
            <w:tcW w:w="0" w:type="auto"/>
            <w:gridSpan w:val="3"/>
            <w:tcBorders>
              <w:top w:val="single" w:sz="4" w:space="0" w:color="000000"/>
            </w:tcBorders>
            <w:tcMar>
              <w:top w:w="30" w:type="dxa"/>
              <w:left w:w="20" w:type="dxa"/>
              <w:bottom w:w="30" w:type="dxa"/>
              <w:right w:w="20" w:type="dxa"/>
            </w:tcMar>
            <w:hideMark/>
          </w:tcPr>
          <w:p w:rsidR="00000000" w:rsidRDefault="001F1FC8">
            <w:pPr>
              <w:jc w:val="right"/>
              <w:rPr>
                <w:rFonts w:eastAsia="Times New Roman"/>
              </w:rPr>
            </w:pPr>
            <w:r>
              <w:rPr>
                <w:rFonts w:ascii="Arial" w:eastAsia="Times New Roman" w:hAnsi="Arial" w:cs="Arial"/>
                <w:color w:val="000000"/>
                <w:sz w:val="20"/>
                <w:szCs w:val="20"/>
              </w:rPr>
              <w:t>Pre-construction</w:t>
            </w:r>
          </w:p>
        </w:tc>
        <w:tc>
          <w:tcPr>
            <w:tcW w:w="0" w:type="auto"/>
            <w:gridSpan w:val="3"/>
            <w:tcBorders>
              <w:top w:val="single" w:sz="4" w:space="0" w:color="000000"/>
            </w:tcBorders>
            <w:tcMar>
              <w:top w:w="30" w:type="dxa"/>
              <w:left w:w="20" w:type="dxa"/>
              <w:bottom w:w="30" w:type="dxa"/>
              <w:right w:w="20" w:type="dxa"/>
            </w:tcMar>
            <w:hideMark/>
          </w:tcPr>
          <w:p w:rsidR="00000000" w:rsidRDefault="001F1FC8">
            <w:pPr>
              <w:jc w:val="right"/>
              <w:rPr>
                <w:rFonts w:eastAsia="Times New Roman"/>
              </w:rPr>
            </w:pPr>
            <w:r>
              <w:rPr>
                <w:rFonts w:ascii="Arial" w:eastAsia="Times New Roman" w:hAnsi="Arial" w:cs="Arial"/>
                <w:color w:val="000000"/>
                <w:sz w:val="20"/>
                <w:szCs w:val="20"/>
              </w:rPr>
              <w:t>2025</w:t>
            </w:r>
          </w:p>
        </w:tc>
      </w:tr>
      <w:tr w:rsidR="00000000">
        <w:trPr>
          <w:divId w:val="710304535"/>
        </w:trPr>
        <w:tc>
          <w:tcPr>
            <w:tcW w:w="0" w:type="auto"/>
            <w:gridSpan w:val="3"/>
            <w:tcBorders>
              <w:top w:val="single" w:sz="4" w:space="0" w:color="000000"/>
            </w:tcBorders>
            <w:tcMar>
              <w:top w:w="30" w:type="dxa"/>
              <w:left w:w="20" w:type="dxa"/>
              <w:bottom w:w="30" w:type="dxa"/>
              <w:right w:w="20" w:type="dxa"/>
            </w:tcMar>
            <w:hideMark/>
          </w:tcPr>
          <w:p w:rsidR="00000000" w:rsidRDefault="001F1FC8">
            <w:pPr>
              <w:rPr>
                <w:rFonts w:eastAsia="Times New Roman"/>
              </w:rPr>
            </w:pPr>
            <w:r>
              <w:rPr>
                <w:rFonts w:ascii="Arial" w:eastAsia="Times New Roman" w:hAnsi="Arial" w:cs="Arial"/>
                <w:color w:val="000000"/>
                <w:sz w:val="20"/>
                <w:szCs w:val="20"/>
              </w:rPr>
              <w:t>8.</w:t>
            </w:r>
          </w:p>
        </w:tc>
        <w:tc>
          <w:tcPr>
            <w:tcW w:w="0" w:type="auto"/>
            <w:gridSpan w:val="3"/>
            <w:tcBorders>
              <w:top w:val="single" w:sz="4" w:space="0" w:color="000000"/>
              <w:bottom w:val="single" w:sz="4" w:space="0" w:color="000000"/>
            </w:tcBorders>
            <w:tcMar>
              <w:top w:w="30" w:type="dxa"/>
              <w:left w:w="20" w:type="dxa"/>
              <w:bottom w:w="30" w:type="dxa"/>
              <w:right w:w="20" w:type="dxa"/>
            </w:tcMar>
            <w:hideMark/>
          </w:tcPr>
          <w:p w:rsidR="00000000" w:rsidRDefault="001F1FC8">
            <w:pPr>
              <w:ind w:hanging="180"/>
              <w:divId w:val="1157842935"/>
              <w:rPr>
                <w:rFonts w:eastAsia="Times New Roman"/>
              </w:rPr>
            </w:pPr>
            <w:r>
              <w:rPr>
                <w:rFonts w:ascii="Arial" w:eastAsia="Times New Roman" w:hAnsi="Arial" w:cs="Arial"/>
                <w:color w:val="000000"/>
                <w:sz w:val="20"/>
                <w:szCs w:val="20"/>
              </w:rPr>
              <w:t>Other - U</w:t>
            </w:r>
            <w:r>
              <w:rPr>
                <w:rFonts w:ascii="Arial" w:eastAsia="Times New Roman" w:hAnsi="Arial" w:cs="Arial"/>
                <w:color w:val="000000"/>
                <w:sz w:val="20"/>
                <w:szCs w:val="20"/>
              </w:rPr>
              <w:t>S</w:t>
            </w:r>
            <w:r>
              <w:rPr>
                <w:rFonts w:ascii="Arial" w:eastAsia="Times New Roman" w:hAnsi="Arial" w:cs="Arial"/>
                <w:color w:val="000000"/>
                <w:sz w:val="10"/>
                <w:szCs w:val="10"/>
              </w:rPr>
              <w:t>3</w:t>
            </w:r>
          </w:p>
        </w:tc>
        <w:tc>
          <w:tcPr>
            <w:tcW w:w="0" w:type="auto"/>
            <w:gridSpan w:val="3"/>
            <w:tcBorders>
              <w:top w:val="single" w:sz="4" w:space="0" w:color="000000"/>
              <w:bottom w:val="single" w:sz="4" w:space="0" w:color="000000"/>
            </w:tcBorders>
            <w:tcMar>
              <w:top w:w="30" w:type="dxa"/>
              <w:left w:w="20" w:type="dxa"/>
              <w:bottom w:w="30" w:type="dxa"/>
              <w:right w:w="20" w:type="dxa"/>
            </w:tcMar>
            <w:hideMark/>
          </w:tcPr>
          <w:p w:rsidR="00000000" w:rsidRDefault="001F1FC8">
            <w:pPr>
              <w:jc w:val="right"/>
              <w:rPr>
                <w:rFonts w:eastAsia="Times New Roman"/>
              </w:rPr>
            </w:pPr>
            <w:r>
              <w:rPr>
                <w:rFonts w:ascii="Arial" w:eastAsia="Times New Roman" w:hAnsi="Arial" w:cs="Arial"/>
                <w:color w:val="000000"/>
                <w:sz w:val="20"/>
                <w:szCs w:val="20"/>
              </w:rPr>
              <w:t>Various</w:t>
            </w:r>
          </w:p>
        </w:tc>
        <w:tc>
          <w:tcPr>
            <w:tcW w:w="0" w:type="auto"/>
            <w:gridSpan w:val="3"/>
            <w:tcBorders>
              <w:top w:val="single" w:sz="4" w:space="0" w:color="000000"/>
            </w:tcBorders>
            <w:tcMar>
              <w:top w:w="30" w:type="dxa"/>
              <w:left w:w="20" w:type="dxa"/>
              <w:bottom w:w="30" w:type="dxa"/>
              <w:right w:w="20" w:type="dxa"/>
            </w:tcMar>
            <w:hideMark/>
          </w:tcPr>
          <w:p w:rsidR="00000000" w:rsidRDefault="001F1FC8">
            <w:pPr>
              <w:jc w:val="right"/>
              <w:rPr>
                <w:rFonts w:eastAsia="Times New Roman"/>
              </w:rPr>
            </w:pPr>
            <w:r>
              <w:rPr>
                <w:rFonts w:ascii="Arial" w:eastAsia="Times New Roman" w:hAnsi="Arial" w:cs="Arial"/>
                <w:color w:val="000000"/>
                <w:sz w:val="20"/>
                <w:szCs w:val="20"/>
              </w:rPr>
              <w:t>US$0.6 billion</w:t>
            </w:r>
          </w:p>
        </w:tc>
        <w:tc>
          <w:tcPr>
            <w:tcW w:w="0" w:type="auto"/>
            <w:gridSpan w:val="3"/>
            <w:tcBorders>
              <w:top w:val="single" w:sz="4" w:space="0" w:color="000000"/>
            </w:tcBorders>
            <w:tcMar>
              <w:top w:w="30" w:type="dxa"/>
              <w:left w:w="20" w:type="dxa"/>
              <w:bottom w:w="30" w:type="dxa"/>
              <w:right w:w="20" w:type="dxa"/>
            </w:tcMar>
            <w:hideMark/>
          </w:tcPr>
          <w:p w:rsidR="00000000" w:rsidRDefault="001F1FC8">
            <w:pPr>
              <w:jc w:val="right"/>
              <w:rPr>
                <w:rFonts w:eastAsia="Times New Roman"/>
              </w:rPr>
            </w:pPr>
            <w:r>
              <w:rPr>
                <w:rFonts w:ascii="Arial" w:eastAsia="Times New Roman" w:hAnsi="Arial" w:cs="Arial"/>
                <w:color w:val="000000"/>
                <w:sz w:val="20"/>
                <w:szCs w:val="20"/>
              </w:rPr>
              <w:t>US$0.4 billion</w:t>
            </w:r>
          </w:p>
        </w:tc>
        <w:tc>
          <w:tcPr>
            <w:tcW w:w="0" w:type="auto"/>
            <w:gridSpan w:val="3"/>
            <w:tcBorders>
              <w:top w:val="single" w:sz="4" w:space="0" w:color="000000"/>
            </w:tcBorders>
            <w:tcMar>
              <w:top w:w="30" w:type="dxa"/>
              <w:left w:w="20" w:type="dxa"/>
              <w:bottom w:w="30" w:type="dxa"/>
              <w:right w:w="20" w:type="dxa"/>
            </w:tcMar>
            <w:hideMark/>
          </w:tcPr>
          <w:p w:rsidR="00000000" w:rsidRDefault="001F1FC8">
            <w:pPr>
              <w:jc w:val="right"/>
              <w:rPr>
                <w:rFonts w:eastAsia="Times New Roman"/>
              </w:rPr>
            </w:pPr>
            <w:r>
              <w:rPr>
                <w:rFonts w:ascii="Arial" w:eastAsia="Times New Roman" w:hAnsi="Arial" w:cs="Arial"/>
                <w:color w:val="000000"/>
                <w:sz w:val="20"/>
                <w:szCs w:val="20"/>
              </w:rPr>
              <w:t>Various stages</w:t>
            </w:r>
          </w:p>
        </w:tc>
        <w:tc>
          <w:tcPr>
            <w:tcW w:w="0" w:type="auto"/>
            <w:gridSpan w:val="3"/>
            <w:tcBorders>
              <w:top w:val="single" w:sz="4" w:space="0" w:color="000000"/>
            </w:tcBorders>
            <w:tcMar>
              <w:top w:w="30" w:type="dxa"/>
              <w:left w:w="20" w:type="dxa"/>
              <w:bottom w:w="30" w:type="dxa"/>
              <w:right w:w="20" w:type="dxa"/>
            </w:tcMar>
            <w:hideMark/>
          </w:tcPr>
          <w:p w:rsidR="00000000" w:rsidRDefault="001F1FC8">
            <w:pPr>
              <w:jc w:val="right"/>
              <w:rPr>
                <w:rFonts w:eastAsia="Times New Roman"/>
              </w:rPr>
            </w:pPr>
            <w:r>
              <w:rPr>
                <w:rFonts w:ascii="Arial" w:eastAsia="Times New Roman" w:hAnsi="Arial" w:cs="Arial"/>
                <w:color w:val="000000"/>
                <w:sz w:val="20"/>
                <w:szCs w:val="20"/>
              </w:rPr>
              <w:t>2021 - 2023</w:t>
            </w:r>
          </w:p>
        </w:tc>
      </w:tr>
      <w:tr w:rsidR="00000000">
        <w:trPr>
          <w:divId w:val="710304535"/>
        </w:trPr>
        <w:tc>
          <w:tcPr>
            <w:tcW w:w="0" w:type="auto"/>
            <w:gridSpan w:val="9"/>
            <w:tcBorders>
              <w:top w:val="single" w:sz="4" w:space="0" w:color="000000"/>
            </w:tcBorders>
            <w:tcMar>
              <w:top w:w="30" w:type="dxa"/>
              <w:left w:w="20" w:type="dxa"/>
              <w:bottom w:w="30" w:type="dxa"/>
              <w:right w:w="20" w:type="dxa"/>
            </w:tcMar>
            <w:hideMark/>
          </w:tcPr>
          <w:p w:rsidR="00000000" w:rsidRDefault="001F1FC8">
            <w:pPr>
              <w:rPr>
                <w:rFonts w:eastAsia="Times New Roman"/>
              </w:rPr>
            </w:pPr>
            <w:r>
              <w:rPr>
                <w:rFonts w:ascii="Arial" w:eastAsia="Times New Roman" w:hAnsi="Arial" w:cs="Arial"/>
                <w:b/>
                <w:bCs/>
                <w:color w:val="000000"/>
                <w:sz w:val="20"/>
                <w:szCs w:val="20"/>
              </w:rPr>
              <w:t>GAS DISTRIBUTION AND STORAGE</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1F1FC8">
            <w:pPr>
              <w:rPr>
                <w:rFonts w:eastAsia="Times New Roman"/>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1F1FC8">
            <w:pPr>
              <w:rPr>
                <w:rFonts w:eastAsia="Times New Roman"/>
                <w:sz w:val="20"/>
                <w:szCs w:val="20"/>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1F1FC8">
            <w:pPr>
              <w:rPr>
                <w:rFonts w:eastAsia="Times New Roman"/>
                <w:sz w:val="20"/>
                <w:szCs w:val="20"/>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1F1FC8">
            <w:pPr>
              <w:rPr>
                <w:rFonts w:eastAsia="Times New Roman"/>
                <w:sz w:val="20"/>
                <w:szCs w:val="20"/>
              </w:rPr>
            </w:pPr>
          </w:p>
        </w:tc>
      </w:tr>
      <w:tr w:rsidR="00000000">
        <w:trPr>
          <w:divId w:val="710304535"/>
        </w:trPr>
        <w:tc>
          <w:tcPr>
            <w:tcW w:w="0" w:type="auto"/>
            <w:gridSpan w:val="3"/>
            <w:tcBorders>
              <w:top w:val="single" w:sz="4" w:space="0" w:color="000000"/>
            </w:tcBorders>
            <w:tcMar>
              <w:top w:w="30" w:type="dxa"/>
              <w:left w:w="20" w:type="dxa"/>
              <w:bottom w:w="30" w:type="dxa"/>
              <w:right w:w="20" w:type="dxa"/>
            </w:tcMar>
            <w:hideMark/>
          </w:tcPr>
          <w:p w:rsidR="00000000" w:rsidRDefault="001F1FC8">
            <w:pPr>
              <w:rPr>
                <w:rFonts w:eastAsia="Times New Roman"/>
              </w:rPr>
            </w:pPr>
            <w:r>
              <w:rPr>
                <w:rFonts w:ascii="Arial" w:eastAsia="Times New Roman" w:hAnsi="Arial" w:cs="Arial"/>
                <w:color w:val="000000"/>
                <w:sz w:val="20"/>
                <w:szCs w:val="20"/>
              </w:rPr>
              <w:t>9.</w:t>
            </w:r>
          </w:p>
        </w:tc>
        <w:tc>
          <w:tcPr>
            <w:tcW w:w="0" w:type="auto"/>
            <w:gridSpan w:val="3"/>
            <w:tcBorders>
              <w:top w:val="single" w:sz="4" w:space="0" w:color="000000"/>
            </w:tcBorders>
            <w:tcMar>
              <w:top w:w="30" w:type="dxa"/>
              <w:left w:w="20" w:type="dxa"/>
              <w:bottom w:w="30" w:type="dxa"/>
              <w:right w:w="20" w:type="dxa"/>
            </w:tcMar>
            <w:hideMark/>
          </w:tcPr>
          <w:p w:rsidR="00000000" w:rsidRDefault="001F1FC8">
            <w:pPr>
              <w:ind w:hanging="180"/>
              <w:divId w:val="1821073350"/>
              <w:rPr>
                <w:rFonts w:eastAsia="Times New Roman"/>
              </w:rPr>
            </w:pPr>
            <w:r>
              <w:rPr>
                <w:rFonts w:ascii="Arial" w:eastAsia="Times New Roman" w:hAnsi="Arial" w:cs="Arial"/>
                <w:color w:val="000000"/>
                <w:sz w:val="20"/>
                <w:szCs w:val="20"/>
              </w:rPr>
              <w:t>System Enhancement Project</w:t>
            </w:r>
            <w:r>
              <w:rPr>
                <w:rFonts w:ascii="Arial" w:eastAsia="Times New Roman" w:hAnsi="Arial" w:cs="Arial"/>
                <w:color w:val="000000"/>
                <w:sz w:val="20"/>
                <w:szCs w:val="20"/>
              </w:rPr>
              <w:t>s</w:t>
            </w:r>
            <w:r>
              <w:rPr>
                <w:rFonts w:ascii="Arial" w:eastAsia="Times New Roman" w:hAnsi="Arial" w:cs="Arial"/>
                <w:color w:val="000000"/>
                <w:sz w:val="10"/>
                <w:szCs w:val="10"/>
              </w:rPr>
              <w:t>4</w:t>
            </w:r>
            <w:r>
              <w:rPr>
                <w:rFonts w:ascii="Arial" w:eastAsia="Times New Roman" w:hAnsi="Arial" w:cs="Arial"/>
                <w:color w:val="000000"/>
                <w:sz w:val="10"/>
                <w:szCs w:val="10"/>
              </w:rPr>
              <w:t xml:space="preserve"> </w:t>
            </w:r>
          </w:p>
        </w:tc>
        <w:tc>
          <w:tcPr>
            <w:tcW w:w="0" w:type="auto"/>
            <w:gridSpan w:val="2"/>
            <w:tcBorders>
              <w:top w:val="single" w:sz="4" w:space="0" w:color="000000"/>
            </w:tcBorders>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color w:val="000000"/>
                <w:sz w:val="20"/>
                <w:szCs w:val="20"/>
              </w:rPr>
              <w:t>100 </w:t>
            </w:r>
          </w:p>
        </w:tc>
        <w:tc>
          <w:tcPr>
            <w:tcW w:w="0" w:type="auto"/>
            <w:tcBorders>
              <w:top w:val="single" w:sz="4" w:space="0" w:color="000000"/>
            </w:tcBorders>
            <w:tcMar>
              <w:top w:w="30" w:type="dxa"/>
              <w:left w:w="0" w:type="dxa"/>
              <w:bottom w:w="30" w:type="dxa"/>
              <w:right w:w="20" w:type="dxa"/>
            </w:tcMar>
            <w:hideMark/>
          </w:tcPr>
          <w:p w:rsidR="00000000" w:rsidRDefault="001F1FC8">
            <w:pPr>
              <w:jc w:val="right"/>
              <w:rPr>
                <w:rFonts w:eastAsia="Times New Roman"/>
              </w:rPr>
            </w:pPr>
            <w:r>
              <w:rPr>
                <w:rFonts w:ascii="Arial" w:eastAsia="Times New Roman" w:hAnsi="Arial" w:cs="Arial"/>
                <w:color w:val="000000"/>
                <w:sz w:val="20"/>
                <w:szCs w:val="20"/>
              </w:rPr>
              <w:t>%</w:t>
            </w:r>
          </w:p>
        </w:tc>
        <w:tc>
          <w:tcPr>
            <w:tcW w:w="0" w:type="auto"/>
            <w:gridSpan w:val="3"/>
            <w:tcBorders>
              <w:top w:val="single" w:sz="4" w:space="0" w:color="000000"/>
            </w:tcBorders>
            <w:tcMar>
              <w:top w:w="30" w:type="dxa"/>
              <w:left w:w="20" w:type="dxa"/>
              <w:bottom w:w="30" w:type="dxa"/>
              <w:right w:w="20" w:type="dxa"/>
            </w:tcMar>
            <w:hideMark/>
          </w:tcPr>
          <w:p w:rsidR="00000000" w:rsidRDefault="001F1FC8">
            <w:pPr>
              <w:jc w:val="right"/>
              <w:rPr>
                <w:rFonts w:eastAsia="Times New Roman"/>
              </w:rPr>
            </w:pPr>
            <w:r>
              <w:rPr>
                <w:rFonts w:ascii="Arial" w:eastAsia="Times New Roman" w:hAnsi="Arial" w:cs="Arial"/>
                <w:color w:val="000000"/>
                <w:sz w:val="20"/>
                <w:szCs w:val="20"/>
              </w:rPr>
              <w:t>$0.4 billion</w:t>
            </w:r>
          </w:p>
        </w:tc>
        <w:tc>
          <w:tcPr>
            <w:tcW w:w="0" w:type="auto"/>
            <w:gridSpan w:val="3"/>
            <w:tcBorders>
              <w:top w:val="single" w:sz="4" w:space="0" w:color="000000"/>
            </w:tcBorders>
            <w:tcMar>
              <w:top w:w="30" w:type="dxa"/>
              <w:left w:w="20" w:type="dxa"/>
              <w:bottom w:w="30" w:type="dxa"/>
              <w:right w:w="20" w:type="dxa"/>
            </w:tcMar>
            <w:hideMark/>
          </w:tcPr>
          <w:p w:rsidR="00000000" w:rsidRDefault="001F1FC8">
            <w:pPr>
              <w:jc w:val="right"/>
              <w:rPr>
                <w:rFonts w:eastAsia="Times New Roman"/>
              </w:rPr>
            </w:pPr>
            <w:r>
              <w:rPr>
                <w:rFonts w:ascii="Arial" w:eastAsia="Times New Roman" w:hAnsi="Arial" w:cs="Arial"/>
                <w:color w:val="000000"/>
                <w:sz w:val="20"/>
                <w:szCs w:val="20"/>
              </w:rPr>
              <w:t>$0.1 billion</w:t>
            </w:r>
          </w:p>
        </w:tc>
        <w:tc>
          <w:tcPr>
            <w:tcW w:w="0" w:type="auto"/>
            <w:gridSpan w:val="3"/>
            <w:tcBorders>
              <w:top w:val="single" w:sz="4" w:space="0" w:color="000000"/>
            </w:tcBorders>
            <w:tcMar>
              <w:top w:w="30" w:type="dxa"/>
              <w:left w:w="20" w:type="dxa"/>
              <w:bottom w:w="30" w:type="dxa"/>
              <w:right w:w="20" w:type="dxa"/>
            </w:tcMar>
            <w:hideMark/>
          </w:tcPr>
          <w:p w:rsidR="00000000" w:rsidRDefault="001F1FC8">
            <w:pPr>
              <w:jc w:val="right"/>
              <w:rPr>
                <w:rFonts w:eastAsia="Times New Roman"/>
              </w:rPr>
            </w:pPr>
            <w:r>
              <w:rPr>
                <w:rFonts w:ascii="Arial" w:eastAsia="Times New Roman" w:hAnsi="Arial" w:cs="Arial"/>
                <w:color w:val="000000"/>
                <w:sz w:val="20"/>
                <w:szCs w:val="20"/>
              </w:rPr>
              <w:t>Various stages</w:t>
            </w:r>
          </w:p>
        </w:tc>
        <w:tc>
          <w:tcPr>
            <w:tcW w:w="0" w:type="auto"/>
            <w:gridSpan w:val="3"/>
            <w:tcBorders>
              <w:top w:val="single" w:sz="4" w:space="0" w:color="000000"/>
            </w:tcBorders>
            <w:tcMar>
              <w:top w:w="30" w:type="dxa"/>
              <w:left w:w="20" w:type="dxa"/>
              <w:bottom w:w="30" w:type="dxa"/>
              <w:right w:w="20" w:type="dxa"/>
            </w:tcMar>
            <w:hideMark/>
          </w:tcPr>
          <w:p w:rsidR="00000000" w:rsidRDefault="001F1FC8">
            <w:pPr>
              <w:jc w:val="right"/>
              <w:rPr>
                <w:rFonts w:eastAsia="Times New Roman"/>
              </w:rPr>
            </w:pPr>
            <w:r>
              <w:rPr>
                <w:rFonts w:ascii="Arial" w:eastAsia="Times New Roman" w:hAnsi="Arial" w:cs="Arial"/>
                <w:color w:val="000000"/>
                <w:sz w:val="20"/>
                <w:szCs w:val="20"/>
              </w:rPr>
              <w:t>2021 - 2023</w:t>
            </w:r>
          </w:p>
        </w:tc>
      </w:tr>
      <w:tr w:rsidR="00000000">
        <w:trPr>
          <w:divId w:val="710304535"/>
        </w:trPr>
        <w:tc>
          <w:tcPr>
            <w:tcW w:w="0" w:type="auto"/>
            <w:gridSpan w:val="3"/>
            <w:tcBorders>
              <w:top w:val="single" w:sz="4" w:space="0" w:color="000000"/>
            </w:tcBorders>
            <w:tcMar>
              <w:top w:w="30" w:type="dxa"/>
              <w:left w:w="20" w:type="dxa"/>
              <w:bottom w:w="30" w:type="dxa"/>
              <w:right w:w="20" w:type="dxa"/>
            </w:tcMar>
            <w:hideMark/>
          </w:tcPr>
          <w:p w:rsidR="00000000" w:rsidRDefault="001F1FC8">
            <w:pPr>
              <w:rPr>
                <w:rFonts w:eastAsia="Times New Roman"/>
              </w:rPr>
            </w:pPr>
            <w:r>
              <w:rPr>
                <w:rFonts w:ascii="Arial" w:eastAsia="Times New Roman" w:hAnsi="Arial" w:cs="Arial"/>
                <w:color w:val="000000"/>
                <w:sz w:val="20"/>
                <w:szCs w:val="20"/>
              </w:rPr>
              <w:t>10.</w:t>
            </w:r>
          </w:p>
        </w:tc>
        <w:tc>
          <w:tcPr>
            <w:tcW w:w="0" w:type="auto"/>
            <w:gridSpan w:val="3"/>
            <w:tcBorders>
              <w:top w:val="single" w:sz="4" w:space="0" w:color="000000"/>
            </w:tcBorders>
            <w:tcMar>
              <w:top w:w="30" w:type="dxa"/>
              <w:left w:w="200" w:type="dxa"/>
              <w:bottom w:w="30" w:type="dxa"/>
              <w:right w:w="20" w:type="dxa"/>
            </w:tcMar>
            <w:hideMark/>
          </w:tcPr>
          <w:p w:rsidR="00000000" w:rsidRDefault="001F1FC8">
            <w:pPr>
              <w:ind w:hanging="180"/>
              <w:rPr>
                <w:rFonts w:eastAsia="Times New Roman"/>
              </w:rPr>
            </w:pPr>
            <w:r>
              <w:rPr>
                <w:rFonts w:ascii="Arial" w:eastAsia="Times New Roman" w:hAnsi="Arial" w:cs="Arial"/>
                <w:color w:val="000000"/>
                <w:sz w:val="20"/>
                <w:szCs w:val="20"/>
              </w:rPr>
              <w:t>Storage Enhancements</w:t>
            </w:r>
          </w:p>
        </w:tc>
        <w:tc>
          <w:tcPr>
            <w:tcW w:w="0" w:type="auto"/>
            <w:gridSpan w:val="2"/>
            <w:tcBorders>
              <w:top w:val="single" w:sz="4" w:space="0" w:color="000000"/>
            </w:tcBorders>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color w:val="000000"/>
                <w:sz w:val="20"/>
                <w:szCs w:val="20"/>
              </w:rPr>
              <w:t>100 </w:t>
            </w:r>
          </w:p>
        </w:tc>
        <w:tc>
          <w:tcPr>
            <w:tcW w:w="0" w:type="auto"/>
            <w:tcBorders>
              <w:top w:val="single" w:sz="4" w:space="0" w:color="000000"/>
            </w:tcBorders>
            <w:tcMar>
              <w:top w:w="30" w:type="dxa"/>
              <w:left w:w="0" w:type="dxa"/>
              <w:bottom w:w="30" w:type="dxa"/>
              <w:right w:w="20" w:type="dxa"/>
            </w:tcMar>
            <w:hideMark/>
          </w:tcPr>
          <w:p w:rsidR="00000000" w:rsidRDefault="001F1FC8">
            <w:pPr>
              <w:jc w:val="right"/>
              <w:rPr>
                <w:rFonts w:eastAsia="Times New Roman"/>
              </w:rPr>
            </w:pPr>
            <w:r>
              <w:rPr>
                <w:rFonts w:ascii="Arial" w:eastAsia="Times New Roman" w:hAnsi="Arial" w:cs="Arial"/>
                <w:color w:val="000000"/>
                <w:sz w:val="20"/>
                <w:szCs w:val="20"/>
              </w:rPr>
              <w:t>%</w:t>
            </w:r>
          </w:p>
        </w:tc>
        <w:tc>
          <w:tcPr>
            <w:tcW w:w="0" w:type="auto"/>
            <w:gridSpan w:val="3"/>
            <w:tcBorders>
              <w:top w:val="single" w:sz="4" w:space="0" w:color="000000"/>
            </w:tcBorders>
            <w:tcMar>
              <w:top w:w="30" w:type="dxa"/>
              <w:left w:w="20" w:type="dxa"/>
              <w:bottom w:w="30" w:type="dxa"/>
              <w:right w:w="20" w:type="dxa"/>
            </w:tcMar>
            <w:hideMark/>
          </w:tcPr>
          <w:p w:rsidR="00000000" w:rsidRDefault="001F1FC8">
            <w:pPr>
              <w:jc w:val="right"/>
              <w:rPr>
                <w:rFonts w:eastAsia="Times New Roman"/>
              </w:rPr>
            </w:pPr>
            <w:r>
              <w:rPr>
                <w:rFonts w:ascii="Arial" w:eastAsia="Times New Roman" w:hAnsi="Arial" w:cs="Arial"/>
                <w:color w:val="000000"/>
                <w:sz w:val="20"/>
                <w:szCs w:val="20"/>
              </w:rPr>
              <w:t>$0.1 billion</w:t>
            </w:r>
          </w:p>
        </w:tc>
        <w:tc>
          <w:tcPr>
            <w:tcW w:w="0" w:type="auto"/>
            <w:gridSpan w:val="3"/>
            <w:tcBorders>
              <w:top w:val="single" w:sz="4" w:space="0" w:color="000000"/>
            </w:tcBorders>
            <w:tcMar>
              <w:top w:w="30" w:type="dxa"/>
              <w:left w:w="20" w:type="dxa"/>
              <w:bottom w:w="30" w:type="dxa"/>
              <w:right w:w="20" w:type="dxa"/>
            </w:tcMar>
            <w:hideMark/>
          </w:tcPr>
          <w:p w:rsidR="00000000" w:rsidRDefault="001F1FC8">
            <w:pPr>
              <w:jc w:val="right"/>
              <w:rPr>
                <w:rFonts w:eastAsia="Times New Roman"/>
              </w:rPr>
            </w:pPr>
            <w:r>
              <w:rPr>
                <w:rFonts w:ascii="Arial" w:eastAsia="Times New Roman" w:hAnsi="Arial" w:cs="Arial"/>
                <w:color w:val="000000"/>
                <w:sz w:val="20"/>
                <w:szCs w:val="20"/>
              </w:rPr>
              <w:t>No significant expenditures to date</w:t>
            </w:r>
          </w:p>
        </w:tc>
        <w:tc>
          <w:tcPr>
            <w:tcW w:w="0" w:type="auto"/>
            <w:gridSpan w:val="3"/>
            <w:tcBorders>
              <w:top w:val="single" w:sz="4" w:space="0" w:color="000000"/>
            </w:tcBorders>
            <w:tcMar>
              <w:top w:w="30" w:type="dxa"/>
              <w:left w:w="20" w:type="dxa"/>
              <w:bottom w:w="30" w:type="dxa"/>
              <w:right w:w="20" w:type="dxa"/>
            </w:tcMar>
            <w:hideMark/>
          </w:tcPr>
          <w:p w:rsidR="00000000" w:rsidRDefault="001F1FC8">
            <w:pPr>
              <w:jc w:val="right"/>
              <w:rPr>
                <w:rFonts w:eastAsia="Times New Roman"/>
              </w:rPr>
            </w:pPr>
            <w:r>
              <w:rPr>
                <w:rFonts w:ascii="Arial" w:eastAsia="Times New Roman" w:hAnsi="Arial" w:cs="Arial"/>
                <w:color w:val="000000"/>
                <w:sz w:val="20"/>
                <w:szCs w:val="20"/>
              </w:rPr>
              <w:t>Under construction</w:t>
            </w:r>
          </w:p>
        </w:tc>
        <w:tc>
          <w:tcPr>
            <w:tcW w:w="0" w:type="auto"/>
            <w:gridSpan w:val="3"/>
            <w:tcBorders>
              <w:top w:val="single" w:sz="4" w:space="0" w:color="000000"/>
            </w:tcBorders>
            <w:tcMar>
              <w:top w:w="30" w:type="dxa"/>
              <w:left w:w="20" w:type="dxa"/>
              <w:bottom w:w="30" w:type="dxa"/>
              <w:right w:w="20" w:type="dxa"/>
            </w:tcMar>
            <w:hideMark/>
          </w:tcPr>
          <w:p w:rsidR="00000000" w:rsidRDefault="001F1FC8">
            <w:pPr>
              <w:jc w:val="right"/>
              <w:rPr>
                <w:rFonts w:eastAsia="Times New Roman"/>
              </w:rPr>
            </w:pPr>
            <w:r>
              <w:rPr>
                <w:rFonts w:ascii="Arial" w:eastAsia="Times New Roman" w:hAnsi="Arial" w:cs="Arial"/>
                <w:color w:val="000000"/>
                <w:sz w:val="20"/>
                <w:szCs w:val="20"/>
              </w:rPr>
              <w:t>2H - 2022</w:t>
            </w:r>
          </w:p>
        </w:tc>
      </w:tr>
      <w:tr w:rsidR="00000000">
        <w:trPr>
          <w:divId w:val="710304535"/>
        </w:trPr>
        <w:tc>
          <w:tcPr>
            <w:tcW w:w="0" w:type="auto"/>
            <w:gridSpan w:val="3"/>
            <w:tcBorders>
              <w:top w:val="single" w:sz="4" w:space="0" w:color="000000"/>
            </w:tcBorders>
            <w:tcMar>
              <w:top w:w="30" w:type="dxa"/>
              <w:left w:w="20" w:type="dxa"/>
              <w:bottom w:w="30" w:type="dxa"/>
              <w:right w:w="20" w:type="dxa"/>
            </w:tcMar>
            <w:hideMark/>
          </w:tcPr>
          <w:p w:rsidR="00000000" w:rsidRDefault="001F1FC8">
            <w:pPr>
              <w:rPr>
                <w:rFonts w:eastAsia="Times New Roman"/>
              </w:rPr>
            </w:pPr>
            <w:r>
              <w:rPr>
                <w:rFonts w:ascii="Arial" w:eastAsia="Times New Roman" w:hAnsi="Arial" w:cs="Arial"/>
                <w:color w:val="000000"/>
                <w:sz w:val="20"/>
                <w:szCs w:val="20"/>
              </w:rPr>
              <w:t>11.</w:t>
            </w:r>
          </w:p>
        </w:tc>
        <w:tc>
          <w:tcPr>
            <w:tcW w:w="0" w:type="auto"/>
            <w:gridSpan w:val="3"/>
            <w:tcBorders>
              <w:top w:val="single" w:sz="4" w:space="0" w:color="000000"/>
              <w:bottom w:val="single" w:sz="4" w:space="0" w:color="000000"/>
            </w:tcBorders>
            <w:tcMar>
              <w:top w:w="30" w:type="dxa"/>
              <w:left w:w="20" w:type="dxa"/>
              <w:bottom w:w="30" w:type="dxa"/>
              <w:right w:w="20" w:type="dxa"/>
            </w:tcMar>
            <w:hideMark/>
          </w:tcPr>
          <w:p w:rsidR="00000000" w:rsidRDefault="001F1FC8">
            <w:pPr>
              <w:ind w:hanging="180"/>
              <w:divId w:val="1150712665"/>
              <w:rPr>
                <w:rFonts w:eastAsia="Times New Roman"/>
              </w:rPr>
            </w:pPr>
            <w:r>
              <w:rPr>
                <w:rFonts w:ascii="Arial" w:eastAsia="Times New Roman" w:hAnsi="Arial" w:cs="Arial"/>
                <w:color w:val="000000"/>
                <w:sz w:val="20"/>
                <w:szCs w:val="20"/>
              </w:rPr>
              <w:t>Natural Gas Expansion Progra</w:t>
            </w:r>
            <w:r>
              <w:rPr>
                <w:rFonts w:ascii="Arial" w:eastAsia="Times New Roman" w:hAnsi="Arial" w:cs="Arial"/>
                <w:color w:val="000000"/>
                <w:sz w:val="20"/>
                <w:szCs w:val="20"/>
              </w:rPr>
              <w:t>m</w:t>
            </w:r>
            <w:r>
              <w:rPr>
                <w:rFonts w:ascii="Arial" w:eastAsia="Times New Roman" w:hAnsi="Arial" w:cs="Arial"/>
                <w:color w:val="000000"/>
                <w:sz w:val="10"/>
                <w:szCs w:val="10"/>
              </w:rPr>
              <w:t>5</w:t>
            </w:r>
          </w:p>
        </w:tc>
        <w:tc>
          <w:tcPr>
            <w:tcW w:w="0" w:type="auto"/>
            <w:gridSpan w:val="2"/>
            <w:tcBorders>
              <w:top w:val="single" w:sz="4" w:space="0" w:color="000000"/>
              <w:bottom w:val="single" w:sz="4" w:space="0" w:color="000000"/>
            </w:tcBorders>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color w:val="000000"/>
                <w:sz w:val="20"/>
                <w:szCs w:val="20"/>
              </w:rPr>
              <w:t>100 </w:t>
            </w:r>
          </w:p>
        </w:tc>
        <w:tc>
          <w:tcPr>
            <w:tcW w:w="0" w:type="auto"/>
            <w:tcBorders>
              <w:top w:val="single" w:sz="4" w:space="0" w:color="000000"/>
              <w:bottom w:val="single" w:sz="4" w:space="0" w:color="000000"/>
            </w:tcBorders>
            <w:tcMar>
              <w:top w:w="30" w:type="dxa"/>
              <w:left w:w="0" w:type="dxa"/>
              <w:bottom w:w="30" w:type="dxa"/>
              <w:right w:w="20" w:type="dxa"/>
            </w:tcMar>
            <w:hideMark/>
          </w:tcPr>
          <w:p w:rsidR="00000000" w:rsidRDefault="001F1FC8">
            <w:pPr>
              <w:jc w:val="right"/>
              <w:rPr>
                <w:rFonts w:eastAsia="Times New Roman"/>
              </w:rPr>
            </w:pPr>
            <w:r>
              <w:rPr>
                <w:rFonts w:ascii="Arial" w:eastAsia="Times New Roman" w:hAnsi="Arial" w:cs="Arial"/>
                <w:color w:val="000000"/>
                <w:sz w:val="20"/>
                <w:szCs w:val="20"/>
              </w:rPr>
              <w:t>%</w:t>
            </w:r>
          </w:p>
        </w:tc>
        <w:tc>
          <w:tcPr>
            <w:tcW w:w="0" w:type="auto"/>
            <w:gridSpan w:val="3"/>
            <w:tcBorders>
              <w:top w:val="single" w:sz="4" w:space="0" w:color="000000"/>
              <w:bottom w:val="single" w:sz="4" w:space="0" w:color="000000"/>
            </w:tcBorders>
            <w:tcMar>
              <w:top w:w="30" w:type="dxa"/>
              <w:left w:w="20" w:type="dxa"/>
              <w:bottom w:w="30" w:type="dxa"/>
              <w:right w:w="20" w:type="dxa"/>
            </w:tcMar>
            <w:hideMark/>
          </w:tcPr>
          <w:p w:rsidR="00000000" w:rsidRDefault="001F1FC8">
            <w:pPr>
              <w:jc w:val="right"/>
              <w:rPr>
                <w:rFonts w:eastAsia="Times New Roman"/>
              </w:rPr>
            </w:pPr>
            <w:r>
              <w:rPr>
                <w:rFonts w:ascii="Arial" w:eastAsia="Times New Roman" w:hAnsi="Arial" w:cs="Arial"/>
                <w:color w:val="000000"/>
                <w:sz w:val="20"/>
                <w:szCs w:val="20"/>
              </w:rPr>
              <w:t>$0.1 billion</w:t>
            </w:r>
          </w:p>
        </w:tc>
        <w:tc>
          <w:tcPr>
            <w:tcW w:w="0" w:type="auto"/>
            <w:gridSpan w:val="3"/>
            <w:tcBorders>
              <w:top w:val="single" w:sz="4" w:space="0" w:color="000000"/>
              <w:bottom w:val="single" w:sz="4" w:space="0" w:color="000000"/>
            </w:tcBorders>
            <w:tcMar>
              <w:top w:w="30" w:type="dxa"/>
              <w:left w:w="20" w:type="dxa"/>
              <w:bottom w:w="30" w:type="dxa"/>
              <w:right w:w="20" w:type="dxa"/>
            </w:tcMar>
            <w:hideMark/>
          </w:tcPr>
          <w:p w:rsidR="00000000" w:rsidRDefault="001F1FC8">
            <w:pPr>
              <w:jc w:val="right"/>
              <w:rPr>
                <w:rFonts w:eastAsia="Times New Roman"/>
              </w:rPr>
            </w:pPr>
            <w:r>
              <w:rPr>
                <w:rFonts w:ascii="Arial" w:eastAsia="Times New Roman" w:hAnsi="Arial" w:cs="Arial"/>
                <w:color w:val="000000"/>
                <w:sz w:val="20"/>
                <w:szCs w:val="20"/>
              </w:rPr>
              <w:t>No significant expenditures to date</w:t>
            </w:r>
          </w:p>
        </w:tc>
        <w:tc>
          <w:tcPr>
            <w:tcW w:w="0" w:type="auto"/>
            <w:gridSpan w:val="3"/>
            <w:tcBorders>
              <w:top w:val="single" w:sz="4" w:space="0" w:color="000000"/>
            </w:tcBorders>
            <w:tcMar>
              <w:top w:w="30" w:type="dxa"/>
              <w:left w:w="20" w:type="dxa"/>
              <w:bottom w:w="30" w:type="dxa"/>
              <w:right w:w="20" w:type="dxa"/>
            </w:tcMar>
            <w:hideMark/>
          </w:tcPr>
          <w:p w:rsidR="00000000" w:rsidRDefault="001F1FC8">
            <w:pPr>
              <w:jc w:val="right"/>
              <w:rPr>
                <w:rFonts w:eastAsia="Times New Roman"/>
              </w:rPr>
            </w:pPr>
            <w:r>
              <w:rPr>
                <w:rFonts w:ascii="Arial" w:eastAsia="Times New Roman" w:hAnsi="Arial" w:cs="Arial"/>
                <w:color w:val="000000"/>
                <w:sz w:val="20"/>
                <w:szCs w:val="20"/>
              </w:rPr>
              <w:t>Pre-construction</w:t>
            </w:r>
          </w:p>
        </w:tc>
        <w:tc>
          <w:tcPr>
            <w:tcW w:w="0" w:type="auto"/>
            <w:gridSpan w:val="3"/>
            <w:tcBorders>
              <w:top w:val="single" w:sz="4" w:space="0" w:color="000000"/>
            </w:tcBorders>
            <w:tcMar>
              <w:top w:w="30" w:type="dxa"/>
              <w:left w:w="20" w:type="dxa"/>
              <w:bottom w:w="30" w:type="dxa"/>
              <w:right w:w="20" w:type="dxa"/>
            </w:tcMar>
            <w:hideMark/>
          </w:tcPr>
          <w:p w:rsidR="00000000" w:rsidRDefault="001F1FC8">
            <w:pPr>
              <w:jc w:val="right"/>
              <w:rPr>
                <w:rFonts w:eastAsia="Times New Roman"/>
              </w:rPr>
            </w:pPr>
            <w:r>
              <w:rPr>
                <w:rFonts w:ascii="Arial" w:eastAsia="Times New Roman" w:hAnsi="Arial" w:cs="Arial"/>
                <w:color w:val="000000"/>
                <w:sz w:val="20"/>
                <w:szCs w:val="20"/>
              </w:rPr>
              <w:t>2022 - 2027</w:t>
            </w:r>
          </w:p>
        </w:tc>
      </w:tr>
      <w:tr w:rsidR="00000000">
        <w:trPr>
          <w:divId w:val="710304535"/>
        </w:trPr>
        <w:tc>
          <w:tcPr>
            <w:tcW w:w="0" w:type="auto"/>
            <w:gridSpan w:val="15"/>
            <w:tcBorders>
              <w:top w:val="single" w:sz="4" w:space="0" w:color="000000"/>
            </w:tcBorders>
            <w:tcMar>
              <w:top w:w="30" w:type="dxa"/>
              <w:left w:w="20" w:type="dxa"/>
              <w:bottom w:w="30" w:type="dxa"/>
              <w:right w:w="20" w:type="dxa"/>
            </w:tcMar>
            <w:hideMark/>
          </w:tcPr>
          <w:p w:rsidR="00000000" w:rsidRDefault="001F1FC8">
            <w:pPr>
              <w:rPr>
                <w:rFonts w:eastAsia="Times New Roman"/>
              </w:rPr>
            </w:pPr>
            <w:r>
              <w:rPr>
                <w:rFonts w:ascii="Arial" w:eastAsia="Times New Roman" w:hAnsi="Arial" w:cs="Arial"/>
                <w:b/>
                <w:bCs/>
                <w:color w:val="000000"/>
                <w:sz w:val="20"/>
                <w:szCs w:val="20"/>
              </w:rPr>
              <w:t>RENEWABLE POWER GENERATION</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1F1FC8">
            <w:pPr>
              <w:rPr>
                <w:rFonts w:eastAsia="Times New Roman"/>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1F1FC8">
            <w:pPr>
              <w:rPr>
                <w:rFonts w:eastAsia="Times New Roman"/>
                <w:sz w:val="20"/>
                <w:szCs w:val="20"/>
              </w:rPr>
            </w:pPr>
          </w:p>
        </w:tc>
      </w:tr>
      <w:tr w:rsidR="00000000">
        <w:trPr>
          <w:divId w:val="710304535"/>
        </w:trPr>
        <w:tc>
          <w:tcPr>
            <w:tcW w:w="0" w:type="auto"/>
            <w:gridSpan w:val="3"/>
            <w:tcBorders>
              <w:top w:val="single" w:sz="4" w:space="0" w:color="000000"/>
            </w:tcBorders>
            <w:tcMar>
              <w:top w:w="30" w:type="dxa"/>
              <w:left w:w="20" w:type="dxa"/>
              <w:bottom w:w="30" w:type="dxa"/>
              <w:right w:w="20" w:type="dxa"/>
            </w:tcMar>
            <w:hideMark/>
          </w:tcPr>
          <w:p w:rsidR="00000000" w:rsidRDefault="001F1FC8">
            <w:pPr>
              <w:rPr>
                <w:rFonts w:eastAsia="Times New Roman"/>
              </w:rPr>
            </w:pPr>
            <w:r>
              <w:rPr>
                <w:rFonts w:ascii="Arial" w:eastAsia="Times New Roman" w:hAnsi="Arial" w:cs="Arial"/>
                <w:color w:val="000000"/>
                <w:sz w:val="20"/>
                <w:szCs w:val="20"/>
              </w:rPr>
              <w:t>12.</w:t>
            </w:r>
          </w:p>
        </w:tc>
        <w:tc>
          <w:tcPr>
            <w:tcW w:w="0" w:type="auto"/>
            <w:gridSpan w:val="3"/>
            <w:tcBorders>
              <w:top w:val="single" w:sz="4" w:space="0" w:color="000000"/>
            </w:tcBorders>
            <w:tcMar>
              <w:top w:w="30" w:type="dxa"/>
              <w:left w:w="20" w:type="dxa"/>
              <w:bottom w:w="30" w:type="dxa"/>
              <w:right w:w="20" w:type="dxa"/>
            </w:tcMar>
            <w:hideMark/>
          </w:tcPr>
          <w:p w:rsidR="00000000" w:rsidRDefault="001F1FC8">
            <w:pPr>
              <w:ind w:hanging="180"/>
              <w:divId w:val="846821775"/>
              <w:rPr>
                <w:rFonts w:eastAsia="Times New Roman"/>
              </w:rPr>
            </w:pPr>
            <w:r>
              <w:rPr>
                <w:rFonts w:ascii="Arial" w:eastAsia="Times New Roman" w:hAnsi="Arial" w:cs="Arial"/>
                <w:color w:val="000000"/>
                <w:sz w:val="20"/>
                <w:szCs w:val="20"/>
              </w:rPr>
              <w:t>East-West Tie Line</w:t>
            </w:r>
          </w:p>
        </w:tc>
        <w:tc>
          <w:tcPr>
            <w:tcW w:w="0" w:type="auto"/>
            <w:gridSpan w:val="2"/>
            <w:tcBorders>
              <w:top w:val="single" w:sz="4" w:space="0" w:color="000000"/>
            </w:tcBorders>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color w:val="000000"/>
                <w:sz w:val="20"/>
                <w:szCs w:val="20"/>
              </w:rPr>
              <w:t>25.0 </w:t>
            </w:r>
          </w:p>
        </w:tc>
        <w:tc>
          <w:tcPr>
            <w:tcW w:w="0" w:type="auto"/>
            <w:tcBorders>
              <w:top w:val="single" w:sz="4" w:space="0" w:color="000000"/>
            </w:tcBorders>
            <w:tcMar>
              <w:top w:w="30" w:type="dxa"/>
              <w:left w:w="0" w:type="dxa"/>
              <w:bottom w:w="30" w:type="dxa"/>
              <w:right w:w="20" w:type="dxa"/>
            </w:tcMar>
            <w:hideMark/>
          </w:tcPr>
          <w:p w:rsidR="00000000" w:rsidRDefault="001F1FC8">
            <w:pPr>
              <w:jc w:val="right"/>
              <w:rPr>
                <w:rFonts w:eastAsia="Times New Roman"/>
              </w:rPr>
            </w:pPr>
            <w:r>
              <w:rPr>
                <w:rFonts w:ascii="Arial" w:eastAsia="Times New Roman" w:hAnsi="Arial" w:cs="Arial"/>
                <w:color w:val="000000"/>
                <w:sz w:val="20"/>
                <w:szCs w:val="20"/>
              </w:rPr>
              <w:t>%</w:t>
            </w:r>
          </w:p>
        </w:tc>
        <w:tc>
          <w:tcPr>
            <w:tcW w:w="0" w:type="auto"/>
            <w:gridSpan w:val="3"/>
            <w:tcBorders>
              <w:top w:val="single" w:sz="4" w:space="0" w:color="000000"/>
            </w:tcBorders>
            <w:tcMar>
              <w:top w:w="30" w:type="dxa"/>
              <w:left w:w="20" w:type="dxa"/>
              <w:bottom w:w="30" w:type="dxa"/>
              <w:right w:w="20" w:type="dxa"/>
            </w:tcMar>
            <w:hideMark/>
          </w:tcPr>
          <w:p w:rsidR="00000000" w:rsidRDefault="001F1FC8">
            <w:pPr>
              <w:jc w:val="right"/>
              <w:rPr>
                <w:rFonts w:eastAsia="Times New Roman"/>
              </w:rPr>
            </w:pPr>
            <w:r>
              <w:rPr>
                <w:rFonts w:ascii="Arial" w:eastAsia="Times New Roman" w:hAnsi="Arial" w:cs="Arial"/>
                <w:color w:val="000000"/>
                <w:sz w:val="20"/>
                <w:szCs w:val="20"/>
              </w:rPr>
              <w:t>$0.2 billion</w:t>
            </w:r>
          </w:p>
        </w:tc>
        <w:tc>
          <w:tcPr>
            <w:tcW w:w="0" w:type="auto"/>
            <w:gridSpan w:val="3"/>
            <w:tcBorders>
              <w:top w:val="single" w:sz="4" w:space="0" w:color="000000"/>
            </w:tcBorders>
            <w:tcMar>
              <w:top w:w="30" w:type="dxa"/>
              <w:left w:w="20" w:type="dxa"/>
              <w:bottom w:w="30" w:type="dxa"/>
              <w:right w:w="20" w:type="dxa"/>
            </w:tcMar>
            <w:hideMark/>
          </w:tcPr>
          <w:p w:rsidR="00000000" w:rsidRDefault="001F1FC8">
            <w:pPr>
              <w:jc w:val="right"/>
              <w:rPr>
                <w:rFonts w:eastAsia="Times New Roman"/>
              </w:rPr>
            </w:pPr>
            <w:r>
              <w:rPr>
                <w:rFonts w:ascii="Arial" w:eastAsia="Times New Roman" w:hAnsi="Arial" w:cs="Arial"/>
                <w:color w:val="000000"/>
                <w:sz w:val="20"/>
                <w:szCs w:val="20"/>
              </w:rPr>
              <w:t>$0.2 billion</w:t>
            </w:r>
          </w:p>
        </w:tc>
        <w:tc>
          <w:tcPr>
            <w:tcW w:w="0" w:type="auto"/>
            <w:gridSpan w:val="3"/>
            <w:tcBorders>
              <w:top w:val="single" w:sz="4" w:space="0" w:color="000000"/>
            </w:tcBorders>
            <w:tcMar>
              <w:top w:w="30" w:type="dxa"/>
              <w:left w:w="20" w:type="dxa"/>
              <w:bottom w:w="30" w:type="dxa"/>
              <w:right w:w="20" w:type="dxa"/>
            </w:tcMar>
            <w:hideMark/>
          </w:tcPr>
          <w:p w:rsidR="00000000" w:rsidRDefault="001F1FC8">
            <w:pPr>
              <w:jc w:val="right"/>
              <w:rPr>
                <w:rFonts w:eastAsia="Times New Roman"/>
              </w:rPr>
            </w:pPr>
            <w:r>
              <w:rPr>
                <w:rFonts w:ascii="Arial" w:eastAsia="Times New Roman" w:hAnsi="Arial" w:cs="Arial"/>
                <w:color w:val="000000"/>
                <w:sz w:val="20"/>
                <w:szCs w:val="20"/>
              </w:rPr>
              <w:t>Under construction</w:t>
            </w:r>
          </w:p>
        </w:tc>
        <w:tc>
          <w:tcPr>
            <w:tcW w:w="0" w:type="auto"/>
            <w:gridSpan w:val="3"/>
            <w:tcBorders>
              <w:top w:val="single" w:sz="4" w:space="0" w:color="000000"/>
            </w:tcBorders>
            <w:tcMar>
              <w:top w:w="30" w:type="dxa"/>
              <w:left w:w="20" w:type="dxa"/>
              <w:bottom w:w="30" w:type="dxa"/>
              <w:right w:w="20" w:type="dxa"/>
            </w:tcMar>
            <w:hideMark/>
          </w:tcPr>
          <w:p w:rsidR="00000000" w:rsidRDefault="001F1FC8">
            <w:pPr>
              <w:jc w:val="right"/>
              <w:rPr>
                <w:rFonts w:eastAsia="Times New Roman"/>
              </w:rPr>
            </w:pPr>
            <w:r>
              <w:rPr>
                <w:rFonts w:ascii="Arial" w:eastAsia="Times New Roman" w:hAnsi="Arial" w:cs="Arial"/>
                <w:color w:val="000000"/>
                <w:sz w:val="20"/>
                <w:szCs w:val="20"/>
              </w:rPr>
              <w:t>1H - 2022</w:t>
            </w:r>
          </w:p>
        </w:tc>
      </w:tr>
      <w:tr w:rsidR="00000000">
        <w:trPr>
          <w:divId w:val="710304535"/>
        </w:trPr>
        <w:tc>
          <w:tcPr>
            <w:tcW w:w="0" w:type="auto"/>
            <w:gridSpan w:val="3"/>
            <w:tcBorders>
              <w:top w:val="single" w:sz="4" w:space="0" w:color="000000"/>
            </w:tcBorders>
            <w:tcMar>
              <w:top w:w="30" w:type="dxa"/>
              <w:left w:w="20" w:type="dxa"/>
              <w:bottom w:w="30" w:type="dxa"/>
              <w:right w:w="20" w:type="dxa"/>
            </w:tcMar>
            <w:hideMark/>
          </w:tcPr>
          <w:p w:rsidR="00000000" w:rsidRDefault="001F1FC8">
            <w:pPr>
              <w:rPr>
                <w:rFonts w:eastAsia="Times New Roman"/>
              </w:rPr>
            </w:pPr>
            <w:r>
              <w:rPr>
                <w:rFonts w:ascii="Arial" w:eastAsia="Times New Roman" w:hAnsi="Arial" w:cs="Arial"/>
                <w:color w:val="000000"/>
                <w:sz w:val="20"/>
                <w:szCs w:val="20"/>
              </w:rPr>
              <w:t>13.</w:t>
            </w:r>
          </w:p>
        </w:tc>
        <w:tc>
          <w:tcPr>
            <w:tcW w:w="0" w:type="auto"/>
            <w:gridSpan w:val="3"/>
            <w:tcBorders>
              <w:top w:val="single" w:sz="4" w:space="0" w:color="000000"/>
            </w:tcBorders>
            <w:tcMar>
              <w:top w:w="30" w:type="dxa"/>
              <w:left w:w="20" w:type="dxa"/>
              <w:bottom w:w="30" w:type="dxa"/>
              <w:right w:w="20" w:type="dxa"/>
            </w:tcMar>
            <w:hideMark/>
          </w:tcPr>
          <w:p w:rsidR="00000000" w:rsidRDefault="001F1FC8">
            <w:pPr>
              <w:ind w:hanging="180"/>
              <w:divId w:val="574052528"/>
              <w:rPr>
                <w:rFonts w:eastAsia="Times New Roman"/>
              </w:rPr>
            </w:pPr>
            <w:r>
              <w:rPr>
                <w:rFonts w:ascii="Arial" w:eastAsia="Times New Roman" w:hAnsi="Arial" w:cs="Arial"/>
                <w:color w:val="000000"/>
                <w:sz w:val="20"/>
                <w:szCs w:val="20"/>
              </w:rPr>
              <w:t>Solar Self-Power Project</w:t>
            </w:r>
            <w:r>
              <w:rPr>
                <w:rFonts w:ascii="Arial" w:eastAsia="Times New Roman" w:hAnsi="Arial" w:cs="Arial"/>
                <w:color w:val="000000"/>
                <w:sz w:val="20"/>
                <w:szCs w:val="20"/>
              </w:rPr>
              <w:t>s</w:t>
            </w:r>
            <w:r>
              <w:rPr>
                <w:rFonts w:ascii="Arial" w:eastAsia="Times New Roman" w:hAnsi="Arial" w:cs="Arial"/>
                <w:color w:val="000000"/>
                <w:sz w:val="10"/>
                <w:szCs w:val="10"/>
              </w:rPr>
              <w:t>6</w:t>
            </w:r>
          </w:p>
        </w:tc>
        <w:tc>
          <w:tcPr>
            <w:tcW w:w="0" w:type="auto"/>
            <w:gridSpan w:val="2"/>
            <w:tcBorders>
              <w:top w:val="single" w:sz="4" w:space="0" w:color="000000"/>
            </w:tcBorders>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color w:val="000000"/>
                <w:sz w:val="20"/>
                <w:szCs w:val="20"/>
              </w:rPr>
              <w:t>100 </w:t>
            </w:r>
          </w:p>
        </w:tc>
        <w:tc>
          <w:tcPr>
            <w:tcW w:w="0" w:type="auto"/>
            <w:tcBorders>
              <w:top w:val="single" w:sz="4" w:space="0" w:color="000000"/>
            </w:tcBorders>
            <w:tcMar>
              <w:top w:w="30" w:type="dxa"/>
              <w:left w:w="0" w:type="dxa"/>
              <w:bottom w:w="30" w:type="dxa"/>
              <w:right w:w="20" w:type="dxa"/>
            </w:tcMar>
            <w:hideMark/>
          </w:tcPr>
          <w:p w:rsidR="00000000" w:rsidRDefault="001F1FC8">
            <w:pPr>
              <w:jc w:val="right"/>
              <w:rPr>
                <w:rFonts w:eastAsia="Times New Roman"/>
              </w:rPr>
            </w:pPr>
            <w:r>
              <w:rPr>
                <w:rFonts w:ascii="Arial" w:eastAsia="Times New Roman" w:hAnsi="Arial" w:cs="Arial"/>
                <w:color w:val="000000"/>
                <w:sz w:val="20"/>
                <w:szCs w:val="20"/>
              </w:rPr>
              <w:t>%</w:t>
            </w:r>
          </w:p>
        </w:tc>
        <w:tc>
          <w:tcPr>
            <w:tcW w:w="0" w:type="auto"/>
            <w:gridSpan w:val="3"/>
            <w:tcBorders>
              <w:top w:val="single" w:sz="4" w:space="0" w:color="000000"/>
            </w:tcBorders>
            <w:tcMar>
              <w:top w:w="30" w:type="dxa"/>
              <w:left w:w="20" w:type="dxa"/>
              <w:bottom w:w="30" w:type="dxa"/>
              <w:right w:w="20" w:type="dxa"/>
            </w:tcMar>
            <w:hideMark/>
          </w:tcPr>
          <w:p w:rsidR="00000000" w:rsidRDefault="001F1FC8">
            <w:pPr>
              <w:jc w:val="right"/>
              <w:rPr>
                <w:rFonts w:eastAsia="Times New Roman"/>
              </w:rPr>
            </w:pPr>
            <w:r>
              <w:rPr>
                <w:rFonts w:ascii="Arial" w:eastAsia="Times New Roman" w:hAnsi="Arial" w:cs="Arial"/>
                <w:color w:val="000000"/>
                <w:sz w:val="20"/>
                <w:szCs w:val="20"/>
              </w:rPr>
              <w:t>US$0.2 billion</w:t>
            </w:r>
          </w:p>
        </w:tc>
        <w:tc>
          <w:tcPr>
            <w:tcW w:w="0" w:type="auto"/>
            <w:gridSpan w:val="3"/>
            <w:tcBorders>
              <w:top w:val="single" w:sz="4" w:space="0" w:color="000000"/>
            </w:tcBorders>
            <w:tcMar>
              <w:top w:w="30" w:type="dxa"/>
              <w:left w:w="20" w:type="dxa"/>
              <w:bottom w:w="30" w:type="dxa"/>
              <w:right w:w="20" w:type="dxa"/>
            </w:tcMar>
            <w:hideMark/>
          </w:tcPr>
          <w:p w:rsidR="00000000" w:rsidRDefault="001F1FC8">
            <w:pPr>
              <w:jc w:val="right"/>
              <w:rPr>
                <w:rFonts w:eastAsia="Times New Roman"/>
              </w:rPr>
            </w:pPr>
            <w:r>
              <w:rPr>
                <w:rFonts w:ascii="Arial" w:eastAsia="Times New Roman" w:hAnsi="Arial" w:cs="Arial"/>
                <w:color w:val="000000"/>
                <w:sz w:val="20"/>
                <w:szCs w:val="20"/>
              </w:rPr>
              <w:t>No significant expenditures to date</w:t>
            </w:r>
          </w:p>
        </w:tc>
        <w:tc>
          <w:tcPr>
            <w:tcW w:w="0" w:type="auto"/>
            <w:gridSpan w:val="3"/>
            <w:tcBorders>
              <w:top w:val="single" w:sz="4" w:space="0" w:color="000000"/>
            </w:tcBorders>
            <w:tcMar>
              <w:top w:w="30" w:type="dxa"/>
              <w:left w:w="20" w:type="dxa"/>
              <w:bottom w:w="30" w:type="dxa"/>
              <w:right w:w="20" w:type="dxa"/>
            </w:tcMar>
            <w:hideMark/>
          </w:tcPr>
          <w:p w:rsidR="00000000" w:rsidRDefault="001F1FC8">
            <w:pPr>
              <w:jc w:val="right"/>
              <w:rPr>
                <w:rFonts w:eastAsia="Times New Roman"/>
              </w:rPr>
            </w:pPr>
            <w:r>
              <w:rPr>
                <w:rFonts w:ascii="Arial" w:eastAsia="Times New Roman" w:hAnsi="Arial" w:cs="Arial"/>
                <w:color w:val="000000"/>
                <w:sz w:val="20"/>
                <w:szCs w:val="20"/>
              </w:rPr>
              <w:t>Pre-construction</w:t>
            </w:r>
          </w:p>
        </w:tc>
        <w:tc>
          <w:tcPr>
            <w:tcW w:w="0" w:type="auto"/>
            <w:gridSpan w:val="3"/>
            <w:tcBorders>
              <w:top w:val="single" w:sz="4" w:space="0" w:color="000000"/>
            </w:tcBorders>
            <w:tcMar>
              <w:top w:w="30" w:type="dxa"/>
              <w:left w:w="20" w:type="dxa"/>
              <w:bottom w:w="30" w:type="dxa"/>
              <w:right w:w="20" w:type="dxa"/>
            </w:tcMar>
            <w:hideMark/>
          </w:tcPr>
          <w:p w:rsidR="00000000" w:rsidRDefault="001F1FC8">
            <w:pPr>
              <w:jc w:val="right"/>
              <w:rPr>
                <w:rFonts w:eastAsia="Times New Roman"/>
              </w:rPr>
            </w:pPr>
            <w:r>
              <w:rPr>
                <w:rFonts w:ascii="Arial" w:eastAsia="Times New Roman" w:hAnsi="Arial" w:cs="Arial"/>
                <w:color w:val="000000"/>
                <w:sz w:val="20"/>
                <w:szCs w:val="20"/>
              </w:rPr>
              <w:t>2022 - 2023</w:t>
            </w:r>
          </w:p>
        </w:tc>
      </w:tr>
      <w:tr w:rsidR="00000000">
        <w:trPr>
          <w:divId w:val="710304535"/>
          <w:trHeight w:val="240"/>
        </w:trPr>
        <w:tc>
          <w:tcPr>
            <w:tcW w:w="0" w:type="auto"/>
            <w:gridSpan w:val="3"/>
            <w:vMerge w:val="restart"/>
            <w:tcBorders>
              <w:top w:val="single" w:sz="4" w:space="0" w:color="000000"/>
            </w:tcBorders>
            <w:tcMar>
              <w:top w:w="30" w:type="dxa"/>
              <w:left w:w="20" w:type="dxa"/>
              <w:bottom w:w="30" w:type="dxa"/>
              <w:right w:w="20" w:type="dxa"/>
            </w:tcMar>
            <w:hideMark/>
          </w:tcPr>
          <w:p w:rsidR="00000000" w:rsidRDefault="001F1FC8">
            <w:pPr>
              <w:rPr>
                <w:rFonts w:eastAsia="Times New Roman"/>
              </w:rPr>
            </w:pPr>
            <w:r>
              <w:rPr>
                <w:rFonts w:ascii="Arial" w:eastAsia="Times New Roman" w:hAnsi="Arial" w:cs="Arial"/>
                <w:color w:val="000000"/>
                <w:sz w:val="20"/>
                <w:szCs w:val="20"/>
              </w:rPr>
              <w:t>14.</w:t>
            </w:r>
          </w:p>
        </w:tc>
        <w:tc>
          <w:tcPr>
            <w:tcW w:w="0" w:type="auto"/>
            <w:gridSpan w:val="3"/>
            <w:vMerge w:val="restart"/>
            <w:tcBorders>
              <w:top w:val="single" w:sz="4" w:space="0" w:color="000000"/>
            </w:tcBorders>
            <w:tcMar>
              <w:top w:w="30" w:type="dxa"/>
              <w:left w:w="20" w:type="dxa"/>
              <w:bottom w:w="30" w:type="dxa"/>
              <w:right w:w="20" w:type="dxa"/>
            </w:tcMar>
            <w:hideMark/>
          </w:tcPr>
          <w:p w:rsidR="00000000" w:rsidRDefault="001F1FC8">
            <w:pPr>
              <w:ind w:hanging="180"/>
              <w:divId w:val="162088588"/>
              <w:rPr>
                <w:rFonts w:eastAsia="Times New Roman"/>
              </w:rPr>
            </w:pPr>
            <w:r>
              <w:rPr>
                <w:rFonts w:ascii="Arial" w:eastAsia="Times New Roman" w:hAnsi="Arial" w:cs="Arial"/>
                <w:color w:val="000000"/>
                <w:sz w:val="20"/>
                <w:szCs w:val="20"/>
              </w:rPr>
              <w:t>Saint-Nazaire France Offshore Wind Projec</w:t>
            </w:r>
            <w:r>
              <w:rPr>
                <w:rFonts w:ascii="Arial" w:eastAsia="Times New Roman" w:hAnsi="Arial" w:cs="Arial"/>
                <w:color w:val="000000"/>
                <w:sz w:val="20"/>
                <w:szCs w:val="20"/>
              </w:rPr>
              <w:t>t</w:t>
            </w:r>
            <w:r>
              <w:rPr>
                <w:rFonts w:ascii="Arial" w:eastAsia="Times New Roman" w:hAnsi="Arial" w:cs="Arial"/>
                <w:color w:val="000000"/>
                <w:sz w:val="10"/>
                <w:szCs w:val="10"/>
              </w:rPr>
              <w:t>7</w:t>
            </w:r>
          </w:p>
        </w:tc>
        <w:tc>
          <w:tcPr>
            <w:tcW w:w="0" w:type="auto"/>
            <w:gridSpan w:val="2"/>
            <w:vMerge w:val="restart"/>
            <w:tcBorders>
              <w:top w:val="single" w:sz="4" w:space="0" w:color="000000"/>
            </w:tcBorders>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color w:val="000000"/>
                <w:sz w:val="20"/>
                <w:szCs w:val="20"/>
              </w:rPr>
              <w:t>25.5 </w:t>
            </w:r>
          </w:p>
        </w:tc>
        <w:tc>
          <w:tcPr>
            <w:tcW w:w="0" w:type="auto"/>
            <w:vMerge w:val="restart"/>
            <w:tcBorders>
              <w:top w:val="single" w:sz="4" w:space="0" w:color="000000"/>
            </w:tcBorders>
            <w:tcMar>
              <w:top w:w="30" w:type="dxa"/>
              <w:left w:w="0" w:type="dxa"/>
              <w:bottom w:w="30" w:type="dxa"/>
              <w:right w:w="20" w:type="dxa"/>
            </w:tcMar>
            <w:hideMark/>
          </w:tcPr>
          <w:p w:rsidR="00000000" w:rsidRDefault="001F1FC8">
            <w:pPr>
              <w:jc w:val="right"/>
              <w:rPr>
                <w:rFonts w:eastAsia="Times New Roman"/>
              </w:rPr>
            </w:pPr>
            <w:r>
              <w:rPr>
                <w:rFonts w:ascii="Arial" w:eastAsia="Times New Roman" w:hAnsi="Arial" w:cs="Arial"/>
                <w:color w:val="000000"/>
                <w:sz w:val="20"/>
                <w:szCs w:val="20"/>
              </w:rPr>
              <w:t>%</w:t>
            </w:r>
          </w:p>
        </w:tc>
        <w:tc>
          <w:tcPr>
            <w:tcW w:w="0" w:type="auto"/>
            <w:gridSpan w:val="3"/>
            <w:tcBorders>
              <w:top w:val="single" w:sz="4" w:space="0" w:color="000000"/>
            </w:tcBorders>
            <w:tcMar>
              <w:top w:w="30" w:type="dxa"/>
              <w:left w:w="20" w:type="dxa"/>
              <w:bottom w:w="30" w:type="dxa"/>
              <w:right w:w="20" w:type="dxa"/>
            </w:tcMar>
            <w:hideMark/>
          </w:tcPr>
          <w:p w:rsidR="00000000" w:rsidRDefault="001F1FC8">
            <w:pPr>
              <w:jc w:val="right"/>
              <w:rPr>
                <w:rFonts w:eastAsia="Times New Roman"/>
              </w:rPr>
            </w:pPr>
            <w:r>
              <w:rPr>
                <w:rFonts w:ascii="Arial" w:eastAsia="Times New Roman" w:hAnsi="Arial" w:cs="Arial"/>
                <w:color w:val="000000"/>
                <w:sz w:val="20"/>
                <w:szCs w:val="20"/>
              </w:rPr>
              <w:t>$0.9 billion</w:t>
            </w:r>
          </w:p>
        </w:tc>
        <w:tc>
          <w:tcPr>
            <w:tcW w:w="0" w:type="auto"/>
            <w:gridSpan w:val="3"/>
            <w:tcBorders>
              <w:top w:val="single" w:sz="4" w:space="0" w:color="000000"/>
            </w:tcBorders>
            <w:tcMar>
              <w:top w:w="30" w:type="dxa"/>
              <w:left w:w="20" w:type="dxa"/>
              <w:bottom w:w="30" w:type="dxa"/>
              <w:right w:w="20" w:type="dxa"/>
            </w:tcMar>
            <w:hideMark/>
          </w:tcPr>
          <w:p w:rsidR="00000000" w:rsidRDefault="001F1FC8">
            <w:pPr>
              <w:jc w:val="right"/>
              <w:rPr>
                <w:rFonts w:eastAsia="Times New Roman"/>
              </w:rPr>
            </w:pPr>
            <w:r>
              <w:rPr>
                <w:rFonts w:ascii="Arial" w:eastAsia="Times New Roman" w:hAnsi="Arial" w:cs="Arial"/>
                <w:color w:val="000000"/>
                <w:sz w:val="20"/>
                <w:szCs w:val="20"/>
              </w:rPr>
              <w:t>$0.5 billion</w:t>
            </w:r>
          </w:p>
        </w:tc>
        <w:tc>
          <w:tcPr>
            <w:tcW w:w="0" w:type="auto"/>
            <w:gridSpan w:val="3"/>
            <w:vMerge w:val="restart"/>
            <w:tcBorders>
              <w:top w:val="single" w:sz="4" w:space="0" w:color="000000"/>
            </w:tcBorders>
            <w:tcMar>
              <w:top w:w="30" w:type="dxa"/>
              <w:left w:w="20" w:type="dxa"/>
              <w:bottom w:w="30" w:type="dxa"/>
              <w:right w:w="20" w:type="dxa"/>
            </w:tcMar>
            <w:hideMark/>
          </w:tcPr>
          <w:p w:rsidR="00000000" w:rsidRDefault="001F1FC8">
            <w:pPr>
              <w:jc w:val="right"/>
              <w:rPr>
                <w:rFonts w:eastAsia="Times New Roman"/>
              </w:rPr>
            </w:pPr>
            <w:r>
              <w:rPr>
                <w:rFonts w:ascii="Arial" w:eastAsia="Times New Roman" w:hAnsi="Arial" w:cs="Arial"/>
                <w:color w:val="000000"/>
                <w:sz w:val="20"/>
                <w:szCs w:val="20"/>
              </w:rPr>
              <w:t>Under construction</w:t>
            </w:r>
          </w:p>
        </w:tc>
        <w:tc>
          <w:tcPr>
            <w:tcW w:w="0" w:type="auto"/>
            <w:gridSpan w:val="3"/>
            <w:vMerge w:val="restart"/>
            <w:tcBorders>
              <w:top w:val="single" w:sz="4" w:space="0" w:color="000000"/>
            </w:tcBorders>
            <w:tcMar>
              <w:top w:w="30" w:type="dxa"/>
              <w:left w:w="20" w:type="dxa"/>
              <w:bottom w:w="30" w:type="dxa"/>
              <w:right w:w="20" w:type="dxa"/>
            </w:tcMar>
            <w:hideMark/>
          </w:tcPr>
          <w:p w:rsidR="00000000" w:rsidRDefault="001F1FC8">
            <w:pPr>
              <w:jc w:val="right"/>
              <w:rPr>
                <w:rFonts w:eastAsia="Times New Roman"/>
              </w:rPr>
            </w:pPr>
            <w:r>
              <w:rPr>
                <w:rFonts w:ascii="Arial" w:eastAsia="Times New Roman" w:hAnsi="Arial" w:cs="Arial"/>
                <w:color w:val="000000"/>
                <w:sz w:val="20"/>
                <w:szCs w:val="20"/>
              </w:rPr>
              <w:t>2H - 2022</w:t>
            </w:r>
          </w:p>
        </w:tc>
      </w:tr>
      <w:tr w:rsidR="00000000">
        <w:trPr>
          <w:divId w:val="710304535"/>
          <w:trHeight w:val="520"/>
        </w:trPr>
        <w:tc>
          <w:tcPr>
            <w:tcW w:w="0" w:type="auto"/>
            <w:gridSpan w:val="3"/>
            <w:vMerge/>
            <w:tcBorders>
              <w:top w:val="single" w:sz="4" w:space="0" w:color="000000"/>
            </w:tcBorders>
            <w:vAlign w:val="center"/>
            <w:hideMark/>
          </w:tcPr>
          <w:p w:rsidR="00000000" w:rsidRDefault="001F1FC8">
            <w:pPr>
              <w:rPr>
                <w:rFonts w:eastAsia="Times New Roman"/>
              </w:rPr>
            </w:pPr>
          </w:p>
        </w:tc>
        <w:tc>
          <w:tcPr>
            <w:tcW w:w="0" w:type="auto"/>
            <w:gridSpan w:val="3"/>
            <w:vMerge/>
            <w:tcBorders>
              <w:top w:val="single" w:sz="4" w:space="0" w:color="000000"/>
            </w:tcBorders>
            <w:vAlign w:val="center"/>
            <w:hideMark/>
          </w:tcPr>
          <w:p w:rsidR="00000000" w:rsidRDefault="001F1FC8">
            <w:pPr>
              <w:rPr>
                <w:rFonts w:eastAsia="Times New Roman"/>
              </w:rPr>
            </w:pPr>
          </w:p>
        </w:tc>
        <w:tc>
          <w:tcPr>
            <w:tcW w:w="0" w:type="auto"/>
            <w:gridSpan w:val="2"/>
            <w:vMerge/>
            <w:tcBorders>
              <w:top w:val="single" w:sz="4" w:space="0" w:color="000000"/>
            </w:tcBorders>
            <w:vAlign w:val="center"/>
            <w:hideMark/>
          </w:tcPr>
          <w:p w:rsidR="00000000" w:rsidRDefault="001F1FC8">
            <w:pPr>
              <w:rPr>
                <w:rFonts w:eastAsia="Times New Roman"/>
              </w:rPr>
            </w:pPr>
          </w:p>
        </w:tc>
        <w:tc>
          <w:tcPr>
            <w:tcW w:w="0" w:type="auto"/>
            <w:vMerge/>
            <w:tcBorders>
              <w:top w:val="single" w:sz="4" w:space="0" w:color="000000"/>
            </w:tcBorders>
            <w:vAlign w:val="center"/>
            <w:hideMark/>
          </w:tcPr>
          <w:p w:rsidR="00000000" w:rsidRDefault="001F1FC8">
            <w:pPr>
              <w:rPr>
                <w:rFonts w:eastAsia="Times New Roman"/>
              </w:rPr>
            </w:pPr>
          </w:p>
        </w:tc>
        <w:tc>
          <w:tcPr>
            <w:tcW w:w="0" w:type="auto"/>
            <w:gridSpan w:val="3"/>
            <w:tcMar>
              <w:top w:w="30" w:type="dxa"/>
              <w:left w:w="20" w:type="dxa"/>
              <w:bottom w:w="30" w:type="dxa"/>
              <w:right w:w="20" w:type="dxa"/>
            </w:tcMar>
            <w:hideMark/>
          </w:tcPr>
          <w:p w:rsidR="00000000" w:rsidRDefault="001F1FC8">
            <w:pPr>
              <w:jc w:val="right"/>
              <w:rPr>
                <w:rFonts w:eastAsia="Times New Roman"/>
              </w:rPr>
            </w:pPr>
            <w:r>
              <w:rPr>
                <w:rFonts w:ascii="Arial" w:eastAsia="Times New Roman" w:hAnsi="Arial" w:cs="Arial"/>
                <w:color w:val="000000"/>
                <w:sz w:val="20"/>
                <w:szCs w:val="20"/>
              </w:rPr>
              <w:t>(€0.6 billion)</w:t>
            </w:r>
          </w:p>
        </w:tc>
        <w:tc>
          <w:tcPr>
            <w:tcW w:w="0" w:type="auto"/>
            <w:gridSpan w:val="3"/>
            <w:tcMar>
              <w:top w:w="30" w:type="dxa"/>
              <w:left w:w="20" w:type="dxa"/>
              <w:bottom w:w="30" w:type="dxa"/>
              <w:right w:w="20" w:type="dxa"/>
            </w:tcMar>
            <w:hideMark/>
          </w:tcPr>
          <w:p w:rsidR="00000000" w:rsidRDefault="001F1FC8">
            <w:pPr>
              <w:jc w:val="right"/>
              <w:rPr>
                <w:rFonts w:eastAsia="Times New Roman"/>
              </w:rPr>
            </w:pPr>
            <w:r>
              <w:rPr>
                <w:rFonts w:ascii="Arial" w:eastAsia="Times New Roman" w:hAnsi="Arial" w:cs="Arial"/>
                <w:color w:val="000000"/>
                <w:sz w:val="20"/>
                <w:szCs w:val="20"/>
              </w:rPr>
              <w:t>(€0.3 billion)</w:t>
            </w:r>
          </w:p>
        </w:tc>
        <w:tc>
          <w:tcPr>
            <w:tcW w:w="0" w:type="auto"/>
            <w:gridSpan w:val="3"/>
            <w:vMerge/>
            <w:tcBorders>
              <w:top w:val="single" w:sz="4" w:space="0" w:color="000000"/>
            </w:tcBorders>
            <w:vAlign w:val="center"/>
            <w:hideMark/>
          </w:tcPr>
          <w:p w:rsidR="00000000" w:rsidRDefault="001F1FC8">
            <w:pPr>
              <w:rPr>
                <w:rFonts w:eastAsia="Times New Roman"/>
              </w:rPr>
            </w:pPr>
          </w:p>
        </w:tc>
        <w:tc>
          <w:tcPr>
            <w:tcW w:w="0" w:type="auto"/>
            <w:gridSpan w:val="3"/>
            <w:vMerge/>
            <w:tcBorders>
              <w:top w:val="single" w:sz="4" w:space="0" w:color="000000"/>
            </w:tcBorders>
            <w:vAlign w:val="center"/>
            <w:hideMark/>
          </w:tcPr>
          <w:p w:rsidR="00000000" w:rsidRDefault="001F1FC8">
            <w:pPr>
              <w:rPr>
                <w:rFonts w:eastAsia="Times New Roman"/>
              </w:rPr>
            </w:pPr>
          </w:p>
        </w:tc>
      </w:tr>
      <w:tr w:rsidR="00000000">
        <w:trPr>
          <w:divId w:val="710304535"/>
          <w:trHeight w:val="240"/>
        </w:trPr>
        <w:tc>
          <w:tcPr>
            <w:tcW w:w="0" w:type="auto"/>
            <w:gridSpan w:val="3"/>
            <w:vMerge w:val="restart"/>
            <w:tcBorders>
              <w:top w:val="single" w:sz="4" w:space="0" w:color="000000"/>
            </w:tcBorders>
            <w:tcMar>
              <w:top w:w="30" w:type="dxa"/>
              <w:left w:w="20" w:type="dxa"/>
              <w:bottom w:w="30" w:type="dxa"/>
              <w:right w:w="20" w:type="dxa"/>
            </w:tcMar>
            <w:hideMark/>
          </w:tcPr>
          <w:p w:rsidR="00000000" w:rsidRDefault="001F1FC8">
            <w:pPr>
              <w:rPr>
                <w:rFonts w:eastAsia="Times New Roman"/>
              </w:rPr>
            </w:pPr>
            <w:r>
              <w:rPr>
                <w:rFonts w:ascii="Arial" w:eastAsia="Times New Roman" w:hAnsi="Arial" w:cs="Arial"/>
                <w:color w:val="000000"/>
                <w:sz w:val="20"/>
                <w:szCs w:val="20"/>
              </w:rPr>
              <w:t>15.</w:t>
            </w:r>
          </w:p>
        </w:tc>
        <w:tc>
          <w:tcPr>
            <w:tcW w:w="0" w:type="auto"/>
            <w:gridSpan w:val="3"/>
            <w:vMerge w:val="restart"/>
            <w:tcBorders>
              <w:top w:val="single" w:sz="4" w:space="0" w:color="000000"/>
            </w:tcBorders>
            <w:tcMar>
              <w:top w:w="30" w:type="dxa"/>
              <w:left w:w="20" w:type="dxa"/>
              <w:bottom w:w="30" w:type="dxa"/>
              <w:right w:w="20" w:type="dxa"/>
            </w:tcMar>
            <w:hideMark/>
          </w:tcPr>
          <w:p w:rsidR="00000000" w:rsidRDefault="001F1FC8">
            <w:pPr>
              <w:ind w:hanging="180"/>
              <w:divId w:val="195388224"/>
              <w:rPr>
                <w:rFonts w:eastAsia="Times New Roman"/>
              </w:rPr>
            </w:pPr>
            <w:r>
              <w:rPr>
                <w:rFonts w:ascii="Arial" w:eastAsia="Times New Roman" w:hAnsi="Arial" w:cs="Arial"/>
                <w:color w:val="000000"/>
                <w:sz w:val="20"/>
                <w:szCs w:val="20"/>
              </w:rPr>
              <w:t>Provence Grand Large Floating Offshore Wind Projec</w:t>
            </w:r>
            <w:r>
              <w:rPr>
                <w:rFonts w:ascii="Arial" w:eastAsia="Times New Roman" w:hAnsi="Arial" w:cs="Arial"/>
                <w:color w:val="000000"/>
                <w:sz w:val="20"/>
                <w:szCs w:val="20"/>
              </w:rPr>
              <w:t>t</w:t>
            </w:r>
            <w:r>
              <w:rPr>
                <w:rFonts w:ascii="Arial" w:eastAsia="Times New Roman" w:hAnsi="Arial" w:cs="Arial"/>
                <w:color w:val="000000"/>
                <w:sz w:val="10"/>
                <w:szCs w:val="10"/>
              </w:rPr>
              <w:t>8</w:t>
            </w:r>
          </w:p>
        </w:tc>
        <w:tc>
          <w:tcPr>
            <w:tcW w:w="0" w:type="auto"/>
            <w:gridSpan w:val="2"/>
            <w:vMerge w:val="restart"/>
            <w:tcBorders>
              <w:top w:val="single" w:sz="4" w:space="0" w:color="000000"/>
            </w:tcBorders>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color w:val="000000"/>
                <w:sz w:val="20"/>
                <w:szCs w:val="20"/>
              </w:rPr>
              <w:t>25.0 </w:t>
            </w:r>
          </w:p>
        </w:tc>
        <w:tc>
          <w:tcPr>
            <w:tcW w:w="0" w:type="auto"/>
            <w:vMerge w:val="restart"/>
            <w:tcBorders>
              <w:top w:val="single" w:sz="4" w:space="0" w:color="000000"/>
            </w:tcBorders>
            <w:tcMar>
              <w:top w:w="30" w:type="dxa"/>
              <w:left w:w="0" w:type="dxa"/>
              <w:bottom w:w="30" w:type="dxa"/>
              <w:right w:w="20" w:type="dxa"/>
            </w:tcMar>
            <w:hideMark/>
          </w:tcPr>
          <w:p w:rsidR="00000000" w:rsidRDefault="001F1FC8">
            <w:pPr>
              <w:jc w:val="right"/>
              <w:rPr>
                <w:rFonts w:eastAsia="Times New Roman"/>
              </w:rPr>
            </w:pPr>
            <w:r>
              <w:rPr>
                <w:rFonts w:ascii="Arial" w:eastAsia="Times New Roman" w:hAnsi="Arial" w:cs="Arial"/>
                <w:color w:val="000000"/>
                <w:sz w:val="20"/>
                <w:szCs w:val="20"/>
              </w:rPr>
              <w:t>%</w:t>
            </w:r>
          </w:p>
        </w:tc>
        <w:tc>
          <w:tcPr>
            <w:tcW w:w="0" w:type="auto"/>
            <w:gridSpan w:val="3"/>
            <w:tcBorders>
              <w:top w:val="single" w:sz="4" w:space="0" w:color="000000"/>
            </w:tcBorders>
            <w:tcMar>
              <w:top w:w="30" w:type="dxa"/>
              <w:left w:w="20" w:type="dxa"/>
              <w:bottom w:w="30" w:type="dxa"/>
              <w:right w:w="20" w:type="dxa"/>
            </w:tcMar>
            <w:hideMark/>
          </w:tcPr>
          <w:p w:rsidR="00000000" w:rsidRDefault="001F1FC8">
            <w:pPr>
              <w:jc w:val="right"/>
              <w:rPr>
                <w:rFonts w:eastAsia="Times New Roman"/>
              </w:rPr>
            </w:pPr>
            <w:r>
              <w:rPr>
                <w:rFonts w:ascii="Arial" w:eastAsia="Times New Roman" w:hAnsi="Arial" w:cs="Arial"/>
                <w:color w:val="000000"/>
                <w:sz w:val="20"/>
                <w:szCs w:val="20"/>
              </w:rPr>
              <w:t>$0.1 billion</w:t>
            </w:r>
          </w:p>
        </w:tc>
        <w:tc>
          <w:tcPr>
            <w:tcW w:w="0" w:type="auto"/>
            <w:gridSpan w:val="3"/>
            <w:vMerge w:val="restart"/>
            <w:tcBorders>
              <w:top w:val="single" w:sz="4" w:space="0" w:color="000000"/>
            </w:tcBorders>
            <w:tcMar>
              <w:top w:w="30" w:type="dxa"/>
              <w:left w:w="20" w:type="dxa"/>
              <w:bottom w:w="30" w:type="dxa"/>
              <w:right w:w="20" w:type="dxa"/>
            </w:tcMar>
            <w:hideMark/>
          </w:tcPr>
          <w:p w:rsidR="00000000" w:rsidRDefault="001F1FC8">
            <w:pPr>
              <w:jc w:val="right"/>
              <w:rPr>
                <w:rFonts w:eastAsia="Times New Roman"/>
              </w:rPr>
            </w:pPr>
            <w:r>
              <w:rPr>
                <w:rFonts w:ascii="Arial" w:eastAsia="Times New Roman" w:hAnsi="Arial" w:cs="Arial"/>
                <w:color w:val="000000"/>
                <w:sz w:val="20"/>
                <w:szCs w:val="20"/>
              </w:rPr>
              <w:t>No significant expenditures to date</w:t>
            </w:r>
          </w:p>
        </w:tc>
        <w:tc>
          <w:tcPr>
            <w:tcW w:w="0" w:type="auto"/>
            <w:gridSpan w:val="3"/>
            <w:vMerge w:val="restart"/>
            <w:tcBorders>
              <w:top w:val="single" w:sz="4" w:space="0" w:color="000000"/>
            </w:tcBorders>
            <w:tcMar>
              <w:top w:w="30" w:type="dxa"/>
              <w:left w:w="20" w:type="dxa"/>
              <w:bottom w:w="30" w:type="dxa"/>
              <w:right w:w="20" w:type="dxa"/>
            </w:tcMar>
            <w:hideMark/>
          </w:tcPr>
          <w:p w:rsidR="00000000" w:rsidRDefault="001F1FC8">
            <w:pPr>
              <w:jc w:val="right"/>
              <w:rPr>
                <w:rFonts w:eastAsia="Times New Roman"/>
              </w:rPr>
            </w:pPr>
            <w:r>
              <w:rPr>
                <w:rFonts w:ascii="Arial" w:eastAsia="Times New Roman" w:hAnsi="Arial" w:cs="Arial"/>
                <w:color w:val="000000"/>
                <w:sz w:val="20"/>
                <w:szCs w:val="20"/>
              </w:rPr>
              <w:t>Pre-construction</w:t>
            </w:r>
          </w:p>
        </w:tc>
        <w:tc>
          <w:tcPr>
            <w:tcW w:w="0" w:type="auto"/>
            <w:gridSpan w:val="3"/>
            <w:vMerge w:val="restart"/>
            <w:tcBorders>
              <w:top w:val="single" w:sz="4" w:space="0" w:color="000000"/>
            </w:tcBorders>
            <w:tcMar>
              <w:top w:w="30" w:type="dxa"/>
              <w:left w:w="20" w:type="dxa"/>
              <w:bottom w:w="30" w:type="dxa"/>
              <w:right w:w="20" w:type="dxa"/>
            </w:tcMar>
            <w:hideMark/>
          </w:tcPr>
          <w:p w:rsidR="00000000" w:rsidRDefault="001F1FC8">
            <w:pPr>
              <w:jc w:val="right"/>
              <w:rPr>
                <w:rFonts w:eastAsia="Times New Roman"/>
              </w:rPr>
            </w:pPr>
            <w:r>
              <w:rPr>
                <w:rFonts w:ascii="Arial" w:eastAsia="Times New Roman" w:hAnsi="Arial" w:cs="Arial"/>
                <w:color w:val="000000"/>
                <w:sz w:val="20"/>
                <w:szCs w:val="20"/>
              </w:rPr>
              <w:t>2023</w:t>
            </w:r>
          </w:p>
        </w:tc>
      </w:tr>
      <w:tr w:rsidR="00000000">
        <w:trPr>
          <w:divId w:val="710304535"/>
          <w:trHeight w:val="520"/>
        </w:trPr>
        <w:tc>
          <w:tcPr>
            <w:tcW w:w="0" w:type="auto"/>
            <w:gridSpan w:val="3"/>
            <w:vMerge/>
            <w:tcBorders>
              <w:top w:val="single" w:sz="4" w:space="0" w:color="000000"/>
            </w:tcBorders>
            <w:vAlign w:val="center"/>
            <w:hideMark/>
          </w:tcPr>
          <w:p w:rsidR="00000000" w:rsidRDefault="001F1FC8">
            <w:pPr>
              <w:rPr>
                <w:rFonts w:eastAsia="Times New Roman"/>
              </w:rPr>
            </w:pPr>
          </w:p>
        </w:tc>
        <w:tc>
          <w:tcPr>
            <w:tcW w:w="0" w:type="auto"/>
            <w:gridSpan w:val="3"/>
            <w:vMerge/>
            <w:tcBorders>
              <w:top w:val="single" w:sz="4" w:space="0" w:color="000000"/>
            </w:tcBorders>
            <w:vAlign w:val="center"/>
            <w:hideMark/>
          </w:tcPr>
          <w:p w:rsidR="00000000" w:rsidRDefault="001F1FC8">
            <w:pPr>
              <w:rPr>
                <w:rFonts w:eastAsia="Times New Roman"/>
              </w:rPr>
            </w:pPr>
          </w:p>
        </w:tc>
        <w:tc>
          <w:tcPr>
            <w:tcW w:w="0" w:type="auto"/>
            <w:gridSpan w:val="2"/>
            <w:vMerge/>
            <w:tcBorders>
              <w:top w:val="single" w:sz="4" w:space="0" w:color="000000"/>
            </w:tcBorders>
            <w:vAlign w:val="center"/>
            <w:hideMark/>
          </w:tcPr>
          <w:p w:rsidR="00000000" w:rsidRDefault="001F1FC8">
            <w:pPr>
              <w:rPr>
                <w:rFonts w:eastAsia="Times New Roman"/>
              </w:rPr>
            </w:pPr>
          </w:p>
        </w:tc>
        <w:tc>
          <w:tcPr>
            <w:tcW w:w="0" w:type="auto"/>
            <w:vMerge/>
            <w:tcBorders>
              <w:top w:val="single" w:sz="4" w:space="0" w:color="000000"/>
            </w:tcBorders>
            <w:vAlign w:val="center"/>
            <w:hideMark/>
          </w:tcPr>
          <w:p w:rsidR="00000000" w:rsidRDefault="001F1FC8">
            <w:pPr>
              <w:rPr>
                <w:rFonts w:eastAsia="Times New Roman"/>
              </w:rPr>
            </w:pPr>
          </w:p>
        </w:tc>
        <w:tc>
          <w:tcPr>
            <w:tcW w:w="0" w:type="auto"/>
            <w:gridSpan w:val="3"/>
            <w:tcMar>
              <w:top w:w="30" w:type="dxa"/>
              <w:left w:w="20" w:type="dxa"/>
              <w:bottom w:w="30" w:type="dxa"/>
              <w:right w:w="20" w:type="dxa"/>
            </w:tcMar>
            <w:hideMark/>
          </w:tcPr>
          <w:p w:rsidR="00000000" w:rsidRDefault="001F1FC8">
            <w:pPr>
              <w:jc w:val="right"/>
              <w:rPr>
                <w:rFonts w:eastAsia="Times New Roman"/>
              </w:rPr>
            </w:pPr>
            <w:r>
              <w:rPr>
                <w:rFonts w:ascii="Arial" w:eastAsia="Times New Roman" w:hAnsi="Arial" w:cs="Arial"/>
                <w:color w:val="000000"/>
                <w:sz w:val="20"/>
                <w:szCs w:val="20"/>
              </w:rPr>
              <w:t>(€0.1 billion)</w:t>
            </w:r>
          </w:p>
        </w:tc>
        <w:tc>
          <w:tcPr>
            <w:tcW w:w="0" w:type="auto"/>
            <w:gridSpan w:val="3"/>
            <w:vMerge/>
            <w:tcBorders>
              <w:top w:val="single" w:sz="4" w:space="0" w:color="000000"/>
            </w:tcBorders>
            <w:vAlign w:val="center"/>
            <w:hideMark/>
          </w:tcPr>
          <w:p w:rsidR="00000000" w:rsidRDefault="001F1FC8">
            <w:pPr>
              <w:rPr>
                <w:rFonts w:eastAsia="Times New Roman"/>
              </w:rPr>
            </w:pPr>
          </w:p>
        </w:tc>
        <w:tc>
          <w:tcPr>
            <w:tcW w:w="0" w:type="auto"/>
            <w:gridSpan w:val="3"/>
            <w:vMerge/>
            <w:tcBorders>
              <w:top w:val="single" w:sz="4" w:space="0" w:color="000000"/>
            </w:tcBorders>
            <w:vAlign w:val="center"/>
            <w:hideMark/>
          </w:tcPr>
          <w:p w:rsidR="00000000" w:rsidRDefault="001F1FC8">
            <w:pPr>
              <w:rPr>
                <w:rFonts w:eastAsia="Times New Roman"/>
              </w:rPr>
            </w:pPr>
          </w:p>
        </w:tc>
        <w:tc>
          <w:tcPr>
            <w:tcW w:w="0" w:type="auto"/>
            <w:gridSpan w:val="3"/>
            <w:vMerge/>
            <w:tcBorders>
              <w:top w:val="single" w:sz="4" w:space="0" w:color="000000"/>
            </w:tcBorders>
            <w:vAlign w:val="center"/>
            <w:hideMark/>
          </w:tcPr>
          <w:p w:rsidR="00000000" w:rsidRDefault="001F1FC8">
            <w:pPr>
              <w:rPr>
                <w:rFonts w:eastAsia="Times New Roman"/>
              </w:rPr>
            </w:pPr>
          </w:p>
        </w:tc>
      </w:tr>
      <w:tr w:rsidR="00000000">
        <w:trPr>
          <w:divId w:val="710304535"/>
          <w:trHeight w:val="240"/>
        </w:trPr>
        <w:tc>
          <w:tcPr>
            <w:tcW w:w="0" w:type="auto"/>
            <w:gridSpan w:val="3"/>
            <w:vMerge w:val="restart"/>
            <w:tcBorders>
              <w:top w:val="single" w:sz="4" w:space="0" w:color="000000"/>
            </w:tcBorders>
            <w:tcMar>
              <w:top w:w="30" w:type="dxa"/>
              <w:left w:w="20" w:type="dxa"/>
              <w:bottom w:w="30" w:type="dxa"/>
              <w:right w:w="20" w:type="dxa"/>
            </w:tcMar>
            <w:hideMark/>
          </w:tcPr>
          <w:p w:rsidR="00000000" w:rsidRDefault="001F1FC8">
            <w:pPr>
              <w:rPr>
                <w:rFonts w:eastAsia="Times New Roman"/>
              </w:rPr>
            </w:pPr>
            <w:r>
              <w:rPr>
                <w:rFonts w:ascii="Arial" w:eastAsia="Times New Roman" w:hAnsi="Arial" w:cs="Arial"/>
                <w:color w:val="000000"/>
                <w:sz w:val="20"/>
                <w:szCs w:val="20"/>
              </w:rPr>
              <w:t>16.</w:t>
            </w:r>
          </w:p>
        </w:tc>
        <w:tc>
          <w:tcPr>
            <w:tcW w:w="0" w:type="auto"/>
            <w:gridSpan w:val="3"/>
            <w:vMerge w:val="restart"/>
            <w:tcBorders>
              <w:top w:val="single" w:sz="4" w:space="0" w:color="000000"/>
            </w:tcBorders>
            <w:tcMar>
              <w:top w:w="30" w:type="dxa"/>
              <w:left w:w="20" w:type="dxa"/>
              <w:bottom w:w="30" w:type="dxa"/>
              <w:right w:w="20" w:type="dxa"/>
            </w:tcMar>
            <w:hideMark/>
          </w:tcPr>
          <w:p w:rsidR="00000000" w:rsidRDefault="001F1FC8">
            <w:pPr>
              <w:ind w:hanging="180"/>
              <w:divId w:val="905653064"/>
              <w:rPr>
                <w:rFonts w:eastAsia="Times New Roman"/>
              </w:rPr>
            </w:pPr>
            <w:r>
              <w:rPr>
                <w:rFonts w:ascii="Arial" w:eastAsia="Times New Roman" w:hAnsi="Arial" w:cs="Arial"/>
                <w:color w:val="000000"/>
                <w:sz w:val="20"/>
                <w:szCs w:val="20"/>
              </w:rPr>
              <w:t>Fécamp Offshore Wind Projec</w:t>
            </w:r>
            <w:r>
              <w:rPr>
                <w:rFonts w:ascii="Arial" w:eastAsia="Times New Roman" w:hAnsi="Arial" w:cs="Arial"/>
                <w:color w:val="000000"/>
                <w:sz w:val="20"/>
                <w:szCs w:val="20"/>
              </w:rPr>
              <w:t>t</w:t>
            </w:r>
            <w:r>
              <w:rPr>
                <w:rFonts w:ascii="Arial" w:eastAsia="Times New Roman" w:hAnsi="Arial" w:cs="Arial"/>
                <w:color w:val="000000"/>
                <w:sz w:val="10"/>
                <w:szCs w:val="10"/>
              </w:rPr>
              <w:t>9</w:t>
            </w:r>
          </w:p>
        </w:tc>
        <w:tc>
          <w:tcPr>
            <w:tcW w:w="0" w:type="auto"/>
            <w:gridSpan w:val="2"/>
            <w:vMerge w:val="restart"/>
            <w:tcBorders>
              <w:top w:val="single" w:sz="4" w:space="0" w:color="000000"/>
            </w:tcBorders>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color w:val="000000"/>
                <w:sz w:val="20"/>
                <w:szCs w:val="20"/>
              </w:rPr>
              <w:t>17.9 </w:t>
            </w:r>
          </w:p>
        </w:tc>
        <w:tc>
          <w:tcPr>
            <w:tcW w:w="0" w:type="auto"/>
            <w:vMerge w:val="restart"/>
            <w:tcBorders>
              <w:top w:val="single" w:sz="4" w:space="0" w:color="000000"/>
            </w:tcBorders>
            <w:tcMar>
              <w:top w:w="30" w:type="dxa"/>
              <w:left w:w="0" w:type="dxa"/>
              <w:bottom w:w="30" w:type="dxa"/>
              <w:right w:w="20" w:type="dxa"/>
            </w:tcMar>
            <w:hideMark/>
          </w:tcPr>
          <w:p w:rsidR="00000000" w:rsidRDefault="001F1FC8">
            <w:pPr>
              <w:jc w:val="right"/>
              <w:rPr>
                <w:rFonts w:eastAsia="Times New Roman"/>
              </w:rPr>
            </w:pPr>
            <w:r>
              <w:rPr>
                <w:rFonts w:ascii="Arial" w:eastAsia="Times New Roman" w:hAnsi="Arial" w:cs="Arial"/>
                <w:color w:val="000000"/>
                <w:sz w:val="20"/>
                <w:szCs w:val="20"/>
              </w:rPr>
              <w:t>%</w:t>
            </w:r>
          </w:p>
        </w:tc>
        <w:tc>
          <w:tcPr>
            <w:tcW w:w="0" w:type="auto"/>
            <w:gridSpan w:val="3"/>
            <w:tcBorders>
              <w:top w:val="single" w:sz="4" w:space="0" w:color="000000"/>
            </w:tcBorders>
            <w:tcMar>
              <w:top w:w="30" w:type="dxa"/>
              <w:left w:w="20" w:type="dxa"/>
              <w:bottom w:w="30" w:type="dxa"/>
              <w:right w:w="20" w:type="dxa"/>
            </w:tcMar>
            <w:hideMark/>
          </w:tcPr>
          <w:p w:rsidR="00000000" w:rsidRDefault="001F1FC8">
            <w:pPr>
              <w:jc w:val="right"/>
              <w:rPr>
                <w:rFonts w:eastAsia="Times New Roman"/>
              </w:rPr>
            </w:pPr>
            <w:r>
              <w:rPr>
                <w:rFonts w:ascii="Arial" w:eastAsia="Times New Roman" w:hAnsi="Arial" w:cs="Arial"/>
                <w:color w:val="000000"/>
                <w:sz w:val="20"/>
                <w:szCs w:val="20"/>
              </w:rPr>
              <w:t>$0.7 billion</w:t>
            </w:r>
          </w:p>
        </w:tc>
        <w:tc>
          <w:tcPr>
            <w:tcW w:w="0" w:type="auto"/>
            <w:gridSpan w:val="3"/>
            <w:tcBorders>
              <w:top w:val="single" w:sz="4" w:space="0" w:color="000000"/>
            </w:tcBorders>
            <w:tcMar>
              <w:top w:w="30" w:type="dxa"/>
              <w:left w:w="20" w:type="dxa"/>
              <w:bottom w:w="30" w:type="dxa"/>
              <w:right w:w="20" w:type="dxa"/>
            </w:tcMar>
            <w:hideMark/>
          </w:tcPr>
          <w:p w:rsidR="00000000" w:rsidRDefault="001F1FC8">
            <w:pPr>
              <w:jc w:val="right"/>
              <w:rPr>
                <w:rFonts w:eastAsia="Times New Roman"/>
              </w:rPr>
            </w:pPr>
            <w:r>
              <w:rPr>
                <w:rFonts w:ascii="Arial" w:eastAsia="Times New Roman" w:hAnsi="Arial" w:cs="Arial"/>
                <w:color w:val="000000"/>
                <w:sz w:val="20"/>
                <w:szCs w:val="20"/>
              </w:rPr>
              <w:t>$0.3 billion</w:t>
            </w:r>
          </w:p>
        </w:tc>
        <w:tc>
          <w:tcPr>
            <w:tcW w:w="0" w:type="auto"/>
            <w:gridSpan w:val="3"/>
            <w:vMerge w:val="restart"/>
            <w:tcBorders>
              <w:top w:val="single" w:sz="4" w:space="0" w:color="000000"/>
            </w:tcBorders>
            <w:tcMar>
              <w:top w:w="30" w:type="dxa"/>
              <w:left w:w="20" w:type="dxa"/>
              <w:bottom w:w="30" w:type="dxa"/>
              <w:right w:w="20" w:type="dxa"/>
            </w:tcMar>
            <w:hideMark/>
          </w:tcPr>
          <w:p w:rsidR="00000000" w:rsidRDefault="001F1FC8">
            <w:pPr>
              <w:jc w:val="right"/>
              <w:rPr>
                <w:rFonts w:eastAsia="Times New Roman"/>
              </w:rPr>
            </w:pPr>
            <w:r>
              <w:rPr>
                <w:rFonts w:ascii="Arial" w:eastAsia="Times New Roman" w:hAnsi="Arial" w:cs="Arial"/>
                <w:color w:val="000000"/>
                <w:sz w:val="20"/>
                <w:szCs w:val="20"/>
              </w:rPr>
              <w:t>Under construction</w:t>
            </w:r>
          </w:p>
        </w:tc>
        <w:tc>
          <w:tcPr>
            <w:tcW w:w="0" w:type="auto"/>
            <w:gridSpan w:val="3"/>
            <w:vMerge w:val="restart"/>
            <w:tcBorders>
              <w:top w:val="single" w:sz="4" w:space="0" w:color="000000"/>
            </w:tcBorders>
            <w:tcMar>
              <w:top w:w="30" w:type="dxa"/>
              <w:left w:w="20" w:type="dxa"/>
              <w:bottom w:w="30" w:type="dxa"/>
              <w:right w:w="20" w:type="dxa"/>
            </w:tcMar>
            <w:hideMark/>
          </w:tcPr>
          <w:p w:rsidR="00000000" w:rsidRDefault="001F1FC8">
            <w:pPr>
              <w:jc w:val="right"/>
              <w:rPr>
                <w:rFonts w:eastAsia="Times New Roman"/>
              </w:rPr>
            </w:pPr>
            <w:r>
              <w:rPr>
                <w:rFonts w:ascii="Arial" w:eastAsia="Times New Roman" w:hAnsi="Arial" w:cs="Arial"/>
                <w:color w:val="000000"/>
                <w:sz w:val="20"/>
                <w:szCs w:val="20"/>
              </w:rPr>
              <w:t>2023</w:t>
            </w:r>
          </w:p>
        </w:tc>
      </w:tr>
      <w:tr w:rsidR="00000000">
        <w:trPr>
          <w:divId w:val="710304535"/>
          <w:trHeight w:val="240"/>
        </w:trPr>
        <w:tc>
          <w:tcPr>
            <w:tcW w:w="0" w:type="auto"/>
            <w:gridSpan w:val="3"/>
            <w:vMerge/>
            <w:tcBorders>
              <w:top w:val="single" w:sz="4" w:space="0" w:color="000000"/>
            </w:tcBorders>
            <w:vAlign w:val="center"/>
            <w:hideMark/>
          </w:tcPr>
          <w:p w:rsidR="00000000" w:rsidRDefault="001F1FC8">
            <w:pPr>
              <w:rPr>
                <w:rFonts w:eastAsia="Times New Roman"/>
              </w:rPr>
            </w:pPr>
          </w:p>
        </w:tc>
        <w:tc>
          <w:tcPr>
            <w:tcW w:w="0" w:type="auto"/>
            <w:gridSpan w:val="3"/>
            <w:vMerge/>
            <w:tcBorders>
              <w:top w:val="single" w:sz="4" w:space="0" w:color="000000"/>
            </w:tcBorders>
            <w:vAlign w:val="center"/>
            <w:hideMark/>
          </w:tcPr>
          <w:p w:rsidR="00000000" w:rsidRDefault="001F1FC8">
            <w:pPr>
              <w:rPr>
                <w:rFonts w:eastAsia="Times New Roman"/>
              </w:rPr>
            </w:pPr>
          </w:p>
        </w:tc>
        <w:tc>
          <w:tcPr>
            <w:tcW w:w="0" w:type="auto"/>
            <w:gridSpan w:val="2"/>
            <w:vMerge/>
            <w:tcBorders>
              <w:top w:val="single" w:sz="4" w:space="0" w:color="000000"/>
            </w:tcBorders>
            <w:vAlign w:val="center"/>
            <w:hideMark/>
          </w:tcPr>
          <w:p w:rsidR="00000000" w:rsidRDefault="001F1FC8">
            <w:pPr>
              <w:rPr>
                <w:rFonts w:eastAsia="Times New Roman"/>
              </w:rPr>
            </w:pPr>
          </w:p>
        </w:tc>
        <w:tc>
          <w:tcPr>
            <w:tcW w:w="0" w:type="auto"/>
            <w:vMerge/>
            <w:tcBorders>
              <w:top w:val="single" w:sz="4" w:space="0" w:color="000000"/>
            </w:tcBorders>
            <w:vAlign w:val="center"/>
            <w:hideMark/>
          </w:tcPr>
          <w:p w:rsidR="00000000" w:rsidRDefault="001F1FC8">
            <w:pPr>
              <w:rPr>
                <w:rFonts w:eastAsia="Times New Roman"/>
              </w:rPr>
            </w:pPr>
          </w:p>
        </w:tc>
        <w:tc>
          <w:tcPr>
            <w:tcW w:w="0" w:type="auto"/>
            <w:gridSpan w:val="3"/>
            <w:tcMar>
              <w:top w:w="30" w:type="dxa"/>
              <w:left w:w="20" w:type="dxa"/>
              <w:bottom w:w="30" w:type="dxa"/>
              <w:right w:w="20" w:type="dxa"/>
            </w:tcMar>
            <w:hideMark/>
          </w:tcPr>
          <w:p w:rsidR="00000000" w:rsidRDefault="001F1FC8">
            <w:pPr>
              <w:jc w:val="right"/>
              <w:rPr>
                <w:rFonts w:eastAsia="Times New Roman"/>
              </w:rPr>
            </w:pPr>
            <w:r>
              <w:rPr>
                <w:rFonts w:ascii="Arial" w:eastAsia="Times New Roman" w:hAnsi="Arial" w:cs="Arial"/>
                <w:color w:val="000000"/>
                <w:sz w:val="20"/>
                <w:szCs w:val="20"/>
              </w:rPr>
              <w:t>(€0.5 billion)</w:t>
            </w:r>
          </w:p>
        </w:tc>
        <w:tc>
          <w:tcPr>
            <w:tcW w:w="0" w:type="auto"/>
            <w:gridSpan w:val="3"/>
            <w:tcMar>
              <w:top w:w="30" w:type="dxa"/>
              <w:left w:w="20" w:type="dxa"/>
              <w:bottom w:w="30" w:type="dxa"/>
              <w:right w:w="20" w:type="dxa"/>
            </w:tcMar>
            <w:hideMark/>
          </w:tcPr>
          <w:p w:rsidR="00000000" w:rsidRDefault="001F1FC8">
            <w:pPr>
              <w:jc w:val="right"/>
              <w:rPr>
                <w:rFonts w:eastAsia="Times New Roman"/>
              </w:rPr>
            </w:pPr>
            <w:r>
              <w:rPr>
                <w:rFonts w:ascii="Arial" w:eastAsia="Times New Roman" w:hAnsi="Arial" w:cs="Arial"/>
                <w:color w:val="000000"/>
                <w:sz w:val="20"/>
                <w:szCs w:val="20"/>
              </w:rPr>
              <w:t>(€0.2 billion)</w:t>
            </w:r>
          </w:p>
        </w:tc>
        <w:tc>
          <w:tcPr>
            <w:tcW w:w="0" w:type="auto"/>
            <w:gridSpan w:val="3"/>
            <w:vMerge/>
            <w:tcBorders>
              <w:top w:val="single" w:sz="4" w:space="0" w:color="000000"/>
            </w:tcBorders>
            <w:vAlign w:val="center"/>
            <w:hideMark/>
          </w:tcPr>
          <w:p w:rsidR="00000000" w:rsidRDefault="001F1FC8">
            <w:pPr>
              <w:rPr>
                <w:rFonts w:eastAsia="Times New Roman"/>
              </w:rPr>
            </w:pPr>
          </w:p>
        </w:tc>
        <w:tc>
          <w:tcPr>
            <w:tcW w:w="0" w:type="auto"/>
            <w:gridSpan w:val="3"/>
            <w:vMerge/>
            <w:tcBorders>
              <w:top w:val="single" w:sz="4" w:space="0" w:color="000000"/>
            </w:tcBorders>
            <w:vAlign w:val="center"/>
            <w:hideMark/>
          </w:tcPr>
          <w:p w:rsidR="00000000" w:rsidRDefault="001F1FC8">
            <w:pPr>
              <w:rPr>
                <w:rFonts w:eastAsia="Times New Roman"/>
              </w:rPr>
            </w:pPr>
          </w:p>
        </w:tc>
      </w:tr>
      <w:tr w:rsidR="00000000">
        <w:trPr>
          <w:divId w:val="710304535"/>
          <w:trHeight w:val="240"/>
        </w:trPr>
        <w:tc>
          <w:tcPr>
            <w:tcW w:w="0" w:type="auto"/>
            <w:gridSpan w:val="3"/>
            <w:vMerge w:val="restart"/>
            <w:tcBorders>
              <w:top w:val="single" w:sz="4" w:space="0" w:color="000000"/>
              <w:bottom w:val="single" w:sz="12" w:space="0" w:color="000000"/>
            </w:tcBorders>
            <w:tcMar>
              <w:top w:w="30" w:type="dxa"/>
              <w:left w:w="200" w:type="dxa"/>
              <w:bottom w:w="30" w:type="dxa"/>
              <w:right w:w="20" w:type="dxa"/>
            </w:tcMar>
            <w:hideMark/>
          </w:tcPr>
          <w:p w:rsidR="00000000" w:rsidRDefault="001F1FC8">
            <w:pPr>
              <w:ind w:hanging="180"/>
              <w:rPr>
                <w:rFonts w:eastAsia="Times New Roman"/>
              </w:rPr>
            </w:pPr>
            <w:r>
              <w:rPr>
                <w:rFonts w:ascii="Arial" w:eastAsia="Times New Roman" w:hAnsi="Arial" w:cs="Arial"/>
                <w:color w:val="000000"/>
                <w:sz w:val="20"/>
                <w:szCs w:val="20"/>
              </w:rPr>
              <w:t>17.</w:t>
            </w:r>
          </w:p>
        </w:tc>
        <w:tc>
          <w:tcPr>
            <w:tcW w:w="0" w:type="auto"/>
            <w:gridSpan w:val="3"/>
            <w:vMerge w:val="restart"/>
            <w:tcBorders>
              <w:top w:val="single" w:sz="4" w:space="0" w:color="000000"/>
              <w:bottom w:val="single" w:sz="12" w:space="0" w:color="000000"/>
            </w:tcBorders>
            <w:tcMar>
              <w:top w:w="30" w:type="dxa"/>
              <w:left w:w="20" w:type="dxa"/>
              <w:bottom w:w="30" w:type="dxa"/>
              <w:right w:w="20" w:type="dxa"/>
            </w:tcMar>
            <w:hideMark/>
          </w:tcPr>
          <w:p w:rsidR="00000000" w:rsidRDefault="001F1FC8">
            <w:pPr>
              <w:ind w:hanging="180"/>
              <w:divId w:val="1835409677"/>
              <w:rPr>
                <w:rFonts w:eastAsia="Times New Roman"/>
              </w:rPr>
            </w:pPr>
            <w:r>
              <w:rPr>
                <w:rFonts w:ascii="Arial" w:eastAsia="Times New Roman" w:hAnsi="Arial" w:cs="Arial"/>
                <w:color w:val="000000"/>
                <w:sz w:val="20"/>
                <w:szCs w:val="20"/>
              </w:rPr>
              <w:t>Calvados Offshore Wind Projec</w:t>
            </w:r>
            <w:r>
              <w:rPr>
                <w:rFonts w:ascii="Arial" w:eastAsia="Times New Roman" w:hAnsi="Arial" w:cs="Arial"/>
                <w:color w:val="000000"/>
                <w:sz w:val="20"/>
                <w:szCs w:val="20"/>
              </w:rPr>
              <w:t>t</w:t>
            </w:r>
            <w:r>
              <w:rPr>
                <w:rFonts w:ascii="Arial" w:eastAsia="Times New Roman" w:hAnsi="Arial" w:cs="Arial"/>
                <w:color w:val="000000"/>
                <w:sz w:val="10"/>
                <w:szCs w:val="10"/>
              </w:rPr>
              <w:t>9</w:t>
            </w:r>
          </w:p>
        </w:tc>
        <w:tc>
          <w:tcPr>
            <w:tcW w:w="0" w:type="auto"/>
            <w:gridSpan w:val="2"/>
            <w:vMerge w:val="restart"/>
            <w:tcBorders>
              <w:top w:val="single" w:sz="4" w:space="0" w:color="000000"/>
              <w:bottom w:val="single" w:sz="12" w:space="0" w:color="000000"/>
            </w:tcBorders>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color w:val="000000"/>
                <w:sz w:val="20"/>
                <w:szCs w:val="20"/>
              </w:rPr>
              <w:t>21.7 </w:t>
            </w:r>
          </w:p>
        </w:tc>
        <w:tc>
          <w:tcPr>
            <w:tcW w:w="0" w:type="auto"/>
            <w:vMerge w:val="restart"/>
            <w:tcBorders>
              <w:top w:val="single" w:sz="4" w:space="0" w:color="000000"/>
              <w:bottom w:val="single" w:sz="12" w:space="0" w:color="000000"/>
            </w:tcBorders>
            <w:tcMar>
              <w:top w:w="30" w:type="dxa"/>
              <w:left w:w="0" w:type="dxa"/>
              <w:bottom w:w="30" w:type="dxa"/>
              <w:right w:w="20" w:type="dxa"/>
            </w:tcMar>
            <w:hideMark/>
          </w:tcPr>
          <w:p w:rsidR="00000000" w:rsidRDefault="001F1FC8">
            <w:pPr>
              <w:jc w:val="right"/>
              <w:rPr>
                <w:rFonts w:eastAsia="Times New Roman"/>
              </w:rPr>
            </w:pPr>
            <w:r>
              <w:rPr>
                <w:rFonts w:ascii="Arial" w:eastAsia="Times New Roman" w:hAnsi="Arial" w:cs="Arial"/>
                <w:color w:val="000000"/>
                <w:sz w:val="20"/>
                <w:szCs w:val="20"/>
              </w:rPr>
              <w:t>%</w:t>
            </w:r>
          </w:p>
        </w:tc>
        <w:tc>
          <w:tcPr>
            <w:tcW w:w="0" w:type="auto"/>
            <w:gridSpan w:val="3"/>
            <w:tcBorders>
              <w:top w:val="single" w:sz="4" w:space="0" w:color="000000"/>
            </w:tcBorders>
            <w:tcMar>
              <w:top w:w="30" w:type="dxa"/>
              <w:left w:w="20" w:type="dxa"/>
              <w:bottom w:w="30" w:type="dxa"/>
              <w:right w:w="20" w:type="dxa"/>
            </w:tcMar>
            <w:hideMark/>
          </w:tcPr>
          <w:p w:rsidR="00000000" w:rsidRDefault="001F1FC8">
            <w:pPr>
              <w:jc w:val="right"/>
              <w:rPr>
                <w:rFonts w:eastAsia="Times New Roman"/>
              </w:rPr>
            </w:pPr>
            <w:r>
              <w:rPr>
                <w:rFonts w:ascii="Arial" w:eastAsia="Times New Roman" w:hAnsi="Arial" w:cs="Arial"/>
                <w:color w:val="000000"/>
                <w:sz w:val="20"/>
                <w:szCs w:val="20"/>
              </w:rPr>
              <w:t>$0.9 billion</w:t>
            </w:r>
          </w:p>
        </w:tc>
        <w:tc>
          <w:tcPr>
            <w:tcW w:w="0" w:type="auto"/>
            <w:gridSpan w:val="3"/>
            <w:tcBorders>
              <w:top w:val="single" w:sz="4" w:space="0" w:color="000000"/>
            </w:tcBorders>
            <w:tcMar>
              <w:top w:w="30" w:type="dxa"/>
              <w:left w:w="20" w:type="dxa"/>
              <w:bottom w:w="30" w:type="dxa"/>
              <w:right w:w="20" w:type="dxa"/>
            </w:tcMar>
            <w:hideMark/>
          </w:tcPr>
          <w:p w:rsidR="00000000" w:rsidRDefault="001F1FC8">
            <w:pPr>
              <w:jc w:val="right"/>
              <w:rPr>
                <w:rFonts w:eastAsia="Times New Roman"/>
              </w:rPr>
            </w:pPr>
            <w:r>
              <w:rPr>
                <w:rFonts w:ascii="Arial" w:eastAsia="Times New Roman" w:hAnsi="Arial" w:cs="Arial"/>
                <w:color w:val="000000"/>
                <w:sz w:val="20"/>
                <w:szCs w:val="20"/>
              </w:rPr>
              <w:t>$0.1 billion</w:t>
            </w:r>
          </w:p>
        </w:tc>
        <w:tc>
          <w:tcPr>
            <w:tcW w:w="0" w:type="auto"/>
            <w:gridSpan w:val="3"/>
            <w:vMerge w:val="restart"/>
            <w:tcBorders>
              <w:top w:val="single" w:sz="4" w:space="0" w:color="000000"/>
              <w:bottom w:val="single" w:sz="12" w:space="0" w:color="000000"/>
            </w:tcBorders>
            <w:tcMar>
              <w:top w:w="30" w:type="dxa"/>
              <w:left w:w="20" w:type="dxa"/>
              <w:bottom w:w="30" w:type="dxa"/>
              <w:right w:w="20" w:type="dxa"/>
            </w:tcMar>
            <w:hideMark/>
          </w:tcPr>
          <w:p w:rsidR="00000000" w:rsidRDefault="001F1FC8">
            <w:pPr>
              <w:jc w:val="right"/>
              <w:rPr>
                <w:rFonts w:eastAsia="Times New Roman"/>
              </w:rPr>
            </w:pPr>
            <w:r>
              <w:rPr>
                <w:rFonts w:ascii="Arial" w:eastAsia="Times New Roman" w:hAnsi="Arial" w:cs="Arial"/>
                <w:color w:val="000000"/>
                <w:sz w:val="20"/>
                <w:szCs w:val="20"/>
              </w:rPr>
              <w:t>Pre-construction</w:t>
            </w:r>
          </w:p>
        </w:tc>
        <w:tc>
          <w:tcPr>
            <w:tcW w:w="0" w:type="auto"/>
            <w:gridSpan w:val="3"/>
            <w:vMerge w:val="restart"/>
            <w:tcBorders>
              <w:top w:val="single" w:sz="4" w:space="0" w:color="000000"/>
              <w:bottom w:val="single" w:sz="12" w:space="0" w:color="000000"/>
            </w:tcBorders>
            <w:tcMar>
              <w:top w:w="30" w:type="dxa"/>
              <w:left w:w="20" w:type="dxa"/>
              <w:bottom w:w="30" w:type="dxa"/>
              <w:right w:w="20" w:type="dxa"/>
            </w:tcMar>
            <w:hideMark/>
          </w:tcPr>
          <w:p w:rsidR="00000000" w:rsidRDefault="001F1FC8">
            <w:pPr>
              <w:jc w:val="right"/>
              <w:rPr>
                <w:rFonts w:eastAsia="Times New Roman"/>
              </w:rPr>
            </w:pPr>
            <w:r>
              <w:rPr>
                <w:rFonts w:ascii="Arial" w:eastAsia="Times New Roman" w:hAnsi="Arial" w:cs="Arial"/>
                <w:color w:val="000000"/>
                <w:sz w:val="20"/>
                <w:szCs w:val="20"/>
              </w:rPr>
              <w:t>2024</w:t>
            </w:r>
          </w:p>
        </w:tc>
      </w:tr>
      <w:tr w:rsidR="00000000">
        <w:trPr>
          <w:divId w:val="710304535"/>
          <w:trHeight w:val="240"/>
        </w:trPr>
        <w:tc>
          <w:tcPr>
            <w:tcW w:w="0" w:type="auto"/>
            <w:gridSpan w:val="3"/>
            <w:vMerge/>
            <w:tcBorders>
              <w:top w:val="single" w:sz="4" w:space="0" w:color="000000"/>
              <w:bottom w:val="single" w:sz="12" w:space="0" w:color="000000"/>
            </w:tcBorders>
            <w:vAlign w:val="center"/>
            <w:hideMark/>
          </w:tcPr>
          <w:p w:rsidR="00000000" w:rsidRDefault="001F1FC8">
            <w:pPr>
              <w:rPr>
                <w:rFonts w:eastAsia="Times New Roman"/>
              </w:rPr>
            </w:pPr>
          </w:p>
        </w:tc>
        <w:tc>
          <w:tcPr>
            <w:tcW w:w="0" w:type="auto"/>
            <w:gridSpan w:val="3"/>
            <w:vMerge/>
            <w:tcBorders>
              <w:top w:val="single" w:sz="4" w:space="0" w:color="000000"/>
              <w:bottom w:val="single" w:sz="12" w:space="0" w:color="000000"/>
            </w:tcBorders>
            <w:vAlign w:val="center"/>
            <w:hideMark/>
          </w:tcPr>
          <w:p w:rsidR="00000000" w:rsidRDefault="001F1FC8">
            <w:pPr>
              <w:rPr>
                <w:rFonts w:eastAsia="Times New Roman"/>
              </w:rPr>
            </w:pPr>
          </w:p>
        </w:tc>
        <w:tc>
          <w:tcPr>
            <w:tcW w:w="0" w:type="auto"/>
            <w:gridSpan w:val="2"/>
            <w:vMerge/>
            <w:tcBorders>
              <w:top w:val="single" w:sz="4" w:space="0" w:color="000000"/>
              <w:bottom w:val="single" w:sz="12" w:space="0" w:color="000000"/>
            </w:tcBorders>
            <w:vAlign w:val="center"/>
            <w:hideMark/>
          </w:tcPr>
          <w:p w:rsidR="00000000" w:rsidRDefault="001F1FC8">
            <w:pPr>
              <w:rPr>
                <w:rFonts w:eastAsia="Times New Roman"/>
              </w:rPr>
            </w:pPr>
          </w:p>
        </w:tc>
        <w:tc>
          <w:tcPr>
            <w:tcW w:w="0" w:type="auto"/>
            <w:vMerge/>
            <w:tcBorders>
              <w:top w:val="single" w:sz="4" w:space="0" w:color="000000"/>
              <w:bottom w:val="single" w:sz="12" w:space="0" w:color="000000"/>
            </w:tcBorders>
            <w:vAlign w:val="center"/>
            <w:hideMark/>
          </w:tcPr>
          <w:p w:rsidR="00000000" w:rsidRDefault="001F1FC8">
            <w:pPr>
              <w:rPr>
                <w:rFonts w:eastAsia="Times New Roman"/>
              </w:rPr>
            </w:pPr>
          </w:p>
        </w:tc>
        <w:tc>
          <w:tcPr>
            <w:tcW w:w="0" w:type="auto"/>
            <w:gridSpan w:val="3"/>
            <w:tcBorders>
              <w:bottom w:val="single" w:sz="12" w:space="0" w:color="000000"/>
            </w:tcBorders>
            <w:tcMar>
              <w:top w:w="30" w:type="dxa"/>
              <w:left w:w="20" w:type="dxa"/>
              <w:bottom w:w="30" w:type="dxa"/>
              <w:right w:w="20" w:type="dxa"/>
            </w:tcMar>
            <w:hideMark/>
          </w:tcPr>
          <w:p w:rsidR="00000000" w:rsidRDefault="001F1FC8">
            <w:pPr>
              <w:jc w:val="right"/>
              <w:rPr>
                <w:rFonts w:eastAsia="Times New Roman"/>
              </w:rPr>
            </w:pPr>
            <w:r>
              <w:rPr>
                <w:rFonts w:ascii="Arial" w:eastAsia="Times New Roman" w:hAnsi="Arial" w:cs="Arial"/>
                <w:color w:val="000000"/>
                <w:sz w:val="20"/>
                <w:szCs w:val="20"/>
              </w:rPr>
              <w:t>(€0.6 billion)</w:t>
            </w:r>
          </w:p>
        </w:tc>
        <w:tc>
          <w:tcPr>
            <w:tcW w:w="0" w:type="auto"/>
            <w:gridSpan w:val="3"/>
            <w:tcBorders>
              <w:bottom w:val="single" w:sz="12" w:space="0" w:color="000000"/>
            </w:tcBorders>
            <w:tcMar>
              <w:top w:w="30" w:type="dxa"/>
              <w:left w:w="20" w:type="dxa"/>
              <w:bottom w:w="30" w:type="dxa"/>
              <w:right w:w="20" w:type="dxa"/>
            </w:tcMar>
            <w:hideMark/>
          </w:tcPr>
          <w:p w:rsidR="00000000" w:rsidRDefault="001F1FC8">
            <w:pPr>
              <w:jc w:val="right"/>
              <w:rPr>
                <w:rFonts w:eastAsia="Times New Roman"/>
              </w:rPr>
            </w:pPr>
            <w:r>
              <w:rPr>
                <w:rFonts w:ascii="Arial" w:eastAsia="Times New Roman" w:hAnsi="Arial" w:cs="Arial"/>
                <w:color w:val="000000"/>
                <w:sz w:val="20"/>
                <w:szCs w:val="20"/>
              </w:rPr>
              <w:t>(€0.1 billion)</w:t>
            </w:r>
          </w:p>
        </w:tc>
        <w:tc>
          <w:tcPr>
            <w:tcW w:w="0" w:type="auto"/>
            <w:gridSpan w:val="3"/>
            <w:vMerge/>
            <w:tcBorders>
              <w:top w:val="single" w:sz="4" w:space="0" w:color="000000"/>
              <w:bottom w:val="single" w:sz="12" w:space="0" w:color="000000"/>
            </w:tcBorders>
            <w:vAlign w:val="center"/>
            <w:hideMark/>
          </w:tcPr>
          <w:p w:rsidR="00000000" w:rsidRDefault="001F1FC8">
            <w:pPr>
              <w:rPr>
                <w:rFonts w:eastAsia="Times New Roman"/>
              </w:rPr>
            </w:pPr>
          </w:p>
        </w:tc>
        <w:tc>
          <w:tcPr>
            <w:tcW w:w="0" w:type="auto"/>
            <w:gridSpan w:val="3"/>
            <w:vMerge/>
            <w:tcBorders>
              <w:top w:val="single" w:sz="4" w:space="0" w:color="000000"/>
              <w:bottom w:val="single" w:sz="12" w:space="0" w:color="000000"/>
            </w:tcBorders>
            <w:vAlign w:val="center"/>
            <w:hideMark/>
          </w:tcPr>
          <w:p w:rsidR="00000000" w:rsidRDefault="001F1FC8">
            <w:pPr>
              <w:rPr>
                <w:rFonts w:eastAsia="Times New Roman"/>
              </w:rPr>
            </w:pPr>
          </w:p>
        </w:tc>
      </w:tr>
    </w:tbl>
    <w:p w:rsidR="00000000" w:rsidRDefault="001F1FC8">
      <w:pPr>
        <w:ind w:hanging="270"/>
        <w:divId w:val="121730662"/>
        <w:rPr>
          <w:rFonts w:eastAsia="Times New Roman"/>
        </w:rPr>
      </w:pPr>
      <w:r>
        <w:rPr>
          <w:rFonts w:ascii="Arial" w:eastAsia="Times New Roman" w:hAnsi="Arial" w:cs="Arial"/>
          <w:i/>
          <w:iCs/>
          <w:color w:val="000000"/>
          <w:sz w:val="16"/>
          <w:szCs w:val="16"/>
        </w:rPr>
        <w:t>1</w:t>
      </w:r>
      <w:r>
        <w:rPr>
          <w:rFonts w:ascii="Arial" w:eastAsia="Times New Roman" w:hAnsi="Arial" w:cs="Arial"/>
          <w:i/>
          <w:iCs/>
          <w:color w:val="000000"/>
          <w:sz w:val="16"/>
          <w:szCs w:val="16"/>
        </w:rPr>
        <w:t>These amounts are estimates and are subject to upward or downward adjustment based on various factors. Where appropriate, the amounts reflect our share of joint venture projects.</w:t>
      </w:r>
    </w:p>
    <w:p w:rsidR="00000000" w:rsidRDefault="001F1FC8">
      <w:pPr>
        <w:ind w:hanging="270"/>
        <w:divId w:val="1161848990"/>
        <w:rPr>
          <w:rFonts w:eastAsia="Times New Roman"/>
        </w:rPr>
      </w:pPr>
      <w:r>
        <w:rPr>
          <w:rFonts w:ascii="Arial" w:eastAsia="Times New Roman" w:hAnsi="Arial" w:cs="Arial"/>
          <w:i/>
          <w:iCs/>
          <w:color w:val="000000"/>
          <w:sz w:val="16"/>
          <w:szCs w:val="16"/>
        </w:rPr>
        <w:t>2Expenditures to date reflect total cumulative expenditures incurred from inc</w:t>
      </w:r>
      <w:r>
        <w:rPr>
          <w:rFonts w:ascii="Arial" w:eastAsia="Times New Roman" w:hAnsi="Arial" w:cs="Arial"/>
          <w:i/>
          <w:iCs/>
          <w:color w:val="000000"/>
          <w:sz w:val="16"/>
          <w:szCs w:val="16"/>
        </w:rPr>
        <w:t>eption of the project up to December 31, 2021.</w:t>
      </w:r>
    </w:p>
    <w:p w:rsidR="00000000" w:rsidRDefault="001F1FC8">
      <w:pPr>
        <w:ind w:hanging="270"/>
        <w:divId w:val="281150435"/>
        <w:rPr>
          <w:rFonts w:eastAsia="Times New Roman"/>
        </w:rPr>
      </w:pPr>
      <w:r>
        <w:rPr>
          <w:rFonts w:ascii="Arial" w:eastAsia="Times New Roman" w:hAnsi="Arial" w:cs="Arial"/>
          <w:i/>
          <w:iCs/>
          <w:color w:val="000000"/>
          <w:sz w:val="16"/>
          <w:szCs w:val="16"/>
        </w:rPr>
        <w:t>3Includes the US$0.1 billion Texas Eastern Middlesex Extension placed into service in September of 2021 and the US$0.1 billion Cameron Extension Project placed into service in November of 2021.</w:t>
      </w:r>
    </w:p>
    <w:p w:rsidR="00000000" w:rsidRDefault="001F1FC8">
      <w:pPr>
        <w:jc w:val="center"/>
        <w:divId w:val="655962295"/>
        <w:rPr>
          <w:rFonts w:eastAsia="Times New Roman"/>
        </w:rPr>
      </w:pPr>
      <w:r>
        <w:rPr>
          <w:rFonts w:ascii="Arial" w:eastAsia="Times New Roman" w:hAnsi="Arial" w:cs="Arial"/>
          <w:color w:val="000000"/>
          <w:sz w:val="20"/>
          <w:szCs w:val="20"/>
        </w:rPr>
        <w:t>69</w:t>
      </w:r>
    </w:p>
    <w:p w:rsidR="00000000" w:rsidRDefault="001F1FC8">
      <w:pPr>
        <w:rPr>
          <w:rFonts w:eastAsia="Times New Roman"/>
        </w:rPr>
      </w:pPr>
      <w:r>
        <w:rPr>
          <w:rFonts w:eastAsia="Times New Roman"/>
        </w:rPr>
        <w:pict>
          <v:rect id="_x0000_i1099" style="width:0;height:1.5pt" o:hralign="center" o:hrstd="t" o:hr="t" fillcolor="#a0a0a0" stroked="f"/>
        </w:pict>
      </w:r>
    </w:p>
    <w:p w:rsidR="00000000" w:rsidRDefault="001F1FC8">
      <w:pPr>
        <w:jc w:val="center"/>
        <w:divId w:val="790825281"/>
        <w:rPr>
          <w:rFonts w:eastAsia="Times New Roman"/>
        </w:rPr>
      </w:pPr>
    </w:p>
    <w:p w:rsidR="00000000" w:rsidRDefault="001F1FC8">
      <w:pPr>
        <w:ind w:hanging="270"/>
        <w:divId w:val="452484974"/>
        <w:rPr>
          <w:rFonts w:eastAsia="Times New Roman"/>
        </w:rPr>
      </w:pPr>
      <w:r>
        <w:rPr>
          <w:rFonts w:ascii="Arial" w:eastAsia="Times New Roman" w:hAnsi="Arial" w:cs="Arial"/>
          <w:i/>
          <w:iCs/>
          <w:color w:val="000000"/>
          <w:sz w:val="16"/>
          <w:szCs w:val="16"/>
        </w:rPr>
        <w:t>4Includes the $0.1 billion London Line Replacement Project placed into service in December of 2021. Total estimated capital cost consists of site restoration work expected to be completed in 2022.</w:t>
      </w:r>
    </w:p>
    <w:p w:rsidR="00000000" w:rsidRDefault="001F1FC8">
      <w:pPr>
        <w:ind w:hanging="270"/>
        <w:divId w:val="669481215"/>
        <w:rPr>
          <w:rFonts w:eastAsia="Times New Roman"/>
        </w:rPr>
      </w:pPr>
      <w:r>
        <w:rPr>
          <w:rFonts w:ascii="Arial" w:eastAsia="Times New Roman" w:hAnsi="Arial" w:cs="Arial"/>
          <w:i/>
          <w:iCs/>
          <w:color w:val="000000"/>
          <w:sz w:val="16"/>
          <w:szCs w:val="16"/>
        </w:rPr>
        <w:t>5Represents Phase 2 of the Natura</w:t>
      </w:r>
      <w:r>
        <w:rPr>
          <w:rFonts w:ascii="Arial" w:eastAsia="Times New Roman" w:hAnsi="Arial" w:cs="Arial"/>
          <w:i/>
          <w:iCs/>
          <w:color w:val="000000"/>
          <w:sz w:val="16"/>
          <w:szCs w:val="16"/>
        </w:rPr>
        <w:t xml:space="preserve">l Gas Expansion Program (the Program) and the estimated capital cost is presented net of the maximum funding assistance we expect to receive from the Government of Ontario. The expected in-service dates represent the expected completion dates of the leave </w:t>
      </w:r>
      <w:r>
        <w:rPr>
          <w:rFonts w:ascii="Arial" w:eastAsia="Times New Roman" w:hAnsi="Arial" w:cs="Arial"/>
          <w:i/>
          <w:iCs/>
          <w:color w:val="000000"/>
          <w:sz w:val="16"/>
          <w:szCs w:val="16"/>
        </w:rPr>
        <w:t>to construct requirements.</w:t>
      </w:r>
    </w:p>
    <w:p w:rsidR="00000000" w:rsidRDefault="001F1FC8">
      <w:pPr>
        <w:ind w:hanging="270"/>
        <w:divId w:val="2032102007"/>
        <w:rPr>
          <w:rFonts w:eastAsia="Times New Roman"/>
        </w:rPr>
      </w:pPr>
      <w:r>
        <w:rPr>
          <w:rFonts w:ascii="Arial" w:eastAsia="Times New Roman" w:hAnsi="Arial" w:cs="Arial"/>
          <w:i/>
          <w:iCs/>
          <w:color w:val="000000"/>
          <w:sz w:val="16"/>
          <w:szCs w:val="16"/>
        </w:rPr>
        <w:t>6Self-Power Projects consists of solar self-power projects along our liquids and gas transmission systems. All 10 projects will be located at existing pump and/or compressor stations.</w:t>
      </w:r>
    </w:p>
    <w:p w:rsidR="00000000" w:rsidRDefault="001F1FC8">
      <w:pPr>
        <w:ind w:hanging="270"/>
        <w:divId w:val="1878422933"/>
        <w:rPr>
          <w:rFonts w:eastAsia="Times New Roman"/>
        </w:rPr>
      </w:pPr>
      <w:r>
        <w:rPr>
          <w:rFonts w:ascii="Arial" w:eastAsia="Times New Roman" w:hAnsi="Arial" w:cs="Arial"/>
          <w:i/>
          <w:iCs/>
          <w:color w:val="000000"/>
          <w:sz w:val="16"/>
          <w:szCs w:val="16"/>
        </w:rPr>
        <w:t>7Reflects the sale of 49% of an entity that h</w:t>
      </w:r>
      <w:r>
        <w:rPr>
          <w:rFonts w:ascii="Arial" w:eastAsia="Times New Roman" w:hAnsi="Arial" w:cs="Arial"/>
          <w:i/>
          <w:iCs/>
          <w:color w:val="000000"/>
          <w:sz w:val="16"/>
          <w:szCs w:val="16"/>
        </w:rPr>
        <w:t>olds our 50% interest in EMF to CPP Investments that closed in the first quarter of 2021. Our equity contribution is $0.15 billion, with the remainder of the project financed through non-recourse project level debt.</w:t>
      </w:r>
    </w:p>
    <w:p w:rsidR="00000000" w:rsidRDefault="001F1FC8">
      <w:pPr>
        <w:ind w:hanging="270"/>
        <w:divId w:val="28726145"/>
        <w:rPr>
          <w:rFonts w:eastAsia="Times New Roman"/>
        </w:rPr>
      </w:pPr>
      <w:r>
        <w:rPr>
          <w:rFonts w:ascii="Arial" w:eastAsia="Times New Roman" w:hAnsi="Arial" w:cs="Arial"/>
          <w:i/>
          <w:iCs/>
          <w:color w:val="000000"/>
          <w:sz w:val="16"/>
          <w:szCs w:val="16"/>
        </w:rPr>
        <w:t>8Reflects the sale of 50% of an entity t</w:t>
      </w:r>
      <w:r>
        <w:rPr>
          <w:rFonts w:ascii="Arial" w:eastAsia="Times New Roman" w:hAnsi="Arial" w:cs="Arial"/>
          <w:i/>
          <w:iCs/>
          <w:color w:val="000000"/>
          <w:sz w:val="16"/>
          <w:szCs w:val="16"/>
        </w:rPr>
        <w:t>hat holds our 50% interest in Provence Grand Large to CPP Investments. Our equity contribution is $0.05 billion, with the remainder of the project financed through non-recourse project level debt for each project.</w:t>
      </w:r>
    </w:p>
    <w:p w:rsidR="00000000" w:rsidRDefault="001F1FC8">
      <w:pPr>
        <w:ind w:hanging="270"/>
        <w:divId w:val="632951880"/>
        <w:rPr>
          <w:rFonts w:eastAsia="Times New Roman"/>
        </w:rPr>
      </w:pPr>
      <w:r>
        <w:rPr>
          <w:rFonts w:ascii="Arial" w:eastAsia="Times New Roman" w:hAnsi="Arial" w:cs="Arial"/>
          <w:i/>
          <w:iCs/>
          <w:color w:val="000000"/>
          <w:sz w:val="16"/>
          <w:szCs w:val="16"/>
        </w:rPr>
        <w:t xml:space="preserve">9Each project reflects the sale of 49% of </w:t>
      </w:r>
      <w:r>
        <w:rPr>
          <w:rFonts w:ascii="Arial" w:eastAsia="Times New Roman" w:hAnsi="Arial" w:cs="Arial"/>
          <w:i/>
          <w:iCs/>
          <w:color w:val="000000"/>
          <w:sz w:val="16"/>
          <w:szCs w:val="16"/>
        </w:rPr>
        <w:t>an entity that holds our 50% interest in EMF to CPP Investments that closed in the first quarter of 2021. Our equity contribution is $0.1 billion, with the remainder of the project financed through non-recourse project level debt.</w:t>
      </w:r>
    </w:p>
    <w:p w:rsidR="00000000" w:rsidRDefault="001F1FC8">
      <w:pPr>
        <w:ind w:hanging="180"/>
        <w:divId w:val="706874092"/>
        <w:rPr>
          <w:rFonts w:eastAsia="Times New Roman"/>
        </w:rPr>
      </w:pPr>
    </w:p>
    <w:p w:rsidR="00000000" w:rsidRDefault="001F1FC8">
      <w:pPr>
        <w:divId w:val="181552774"/>
        <w:rPr>
          <w:rFonts w:eastAsia="Times New Roman"/>
        </w:rPr>
      </w:pPr>
      <w:r>
        <w:rPr>
          <w:rFonts w:ascii="Arial" w:eastAsia="Times New Roman" w:hAnsi="Arial" w:cs="Arial"/>
          <w:color w:val="000000"/>
          <w:sz w:val="20"/>
          <w:szCs w:val="20"/>
        </w:rPr>
        <w:t xml:space="preserve">Risks related to the development and completion of growth projects are described under Part I. </w:t>
      </w:r>
      <w:r>
        <w:rPr>
          <w:rFonts w:ascii="Arial" w:eastAsia="Times New Roman" w:hAnsi="Arial" w:cs="Arial"/>
          <w:i/>
          <w:iCs/>
          <w:color w:val="000000"/>
          <w:sz w:val="20"/>
          <w:szCs w:val="20"/>
        </w:rPr>
        <w:t>Item 1A.</w:t>
      </w:r>
      <w:r>
        <w:rPr>
          <w:rFonts w:ascii="Arial" w:eastAsia="Times New Roman" w:hAnsi="Arial" w:cs="Arial"/>
          <w:color w:val="000000"/>
          <w:sz w:val="20"/>
          <w:szCs w:val="20"/>
        </w:rPr>
        <w:t xml:space="preserve"> </w:t>
      </w:r>
      <w:r>
        <w:rPr>
          <w:rFonts w:ascii="Arial" w:eastAsia="Times New Roman" w:hAnsi="Arial" w:cs="Arial"/>
          <w:i/>
          <w:iCs/>
          <w:color w:val="000000"/>
          <w:sz w:val="20"/>
          <w:szCs w:val="20"/>
        </w:rPr>
        <w:t>Risk Factors.</w:t>
      </w:r>
    </w:p>
    <w:p w:rsidR="00000000" w:rsidRDefault="001F1FC8">
      <w:pPr>
        <w:divId w:val="326713994"/>
        <w:rPr>
          <w:rFonts w:eastAsia="Times New Roman"/>
        </w:rPr>
      </w:pPr>
    </w:p>
    <w:p w:rsidR="00000000" w:rsidRDefault="001F1FC8">
      <w:pPr>
        <w:divId w:val="1257711478"/>
        <w:rPr>
          <w:rFonts w:eastAsia="Times New Roman"/>
        </w:rPr>
      </w:pPr>
      <w:r>
        <w:rPr>
          <w:rFonts w:ascii="Arial" w:eastAsia="Times New Roman" w:hAnsi="Arial" w:cs="Arial"/>
          <w:b/>
          <w:bCs/>
          <w:color w:val="000000"/>
          <w:sz w:val="20"/>
          <w:szCs w:val="20"/>
        </w:rPr>
        <w:t xml:space="preserve">LIQUIDS PIPELINES </w:t>
      </w:r>
    </w:p>
    <w:p w:rsidR="00000000" w:rsidRDefault="001F1FC8">
      <w:pPr>
        <w:divId w:val="1922837052"/>
        <w:rPr>
          <w:rFonts w:eastAsia="Times New Roman"/>
        </w:rPr>
      </w:pPr>
    </w:p>
    <w:p w:rsidR="00000000" w:rsidRDefault="001F1FC8">
      <w:pPr>
        <w:divId w:val="1262714762"/>
        <w:rPr>
          <w:rFonts w:eastAsia="Times New Roman"/>
        </w:rPr>
      </w:pPr>
      <w:r>
        <w:rPr>
          <w:rFonts w:ascii="Arial" w:eastAsia="Times New Roman" w:hAnsi="Arial" w:cs="Arial"/>
          <w:color w:val="000000"/>
          <w:sz w:val="20"/>
          <w:szCs w:val="20"/>
        </w:rPr>
        <w:t>The following commercially secured growth projects were placed into service in 2021:</w:t>
      </w:r>
    </w:p>
    <w:p w:rsidR="00000000" w:rsidRDefault="001F1FC8">
      <w:pPr>
        <w:divId w:val="61805181"/>
        <w:rPr>
          <w:rFonts w:eastAsia="Times New Roman"/>
        </w:rPr>
      </w:pPr>
    </w:p>
    <w:p w:rsidR="00000000" w:rsidRDefault="001F1FC8">
      <w:pPr>
        <w:ind w:hanging="360"/>
        <w:divId w:val="1313830855"/>
        <w:rPr>
          <w:rFonts w:eastAsia="Times New Roman"/>
        </w:rPr>
      </w:pPr>
      <w:r>
        <w:rPr>
          <w:rFonts w:ascii="Arial" w:eastAsia="Times New Roman" w:hAnsi="Arial" w:cs="Arial"/>
          <w:color w:val="000000"/>
          <w:sz w:val="20"/>
          <w:szCs w:val="20"/>
          <w:shd w:val="clear" w:color="auto" w:fill="FFFFFF"/>
        </w:rPr>
        <w:t>•</w:t>
      </w:r>
      <w:r>
        <w:rPr>
          <w:rFonts w:ascii="Arial" w:eastAsia="Times New Roman" w:hAnsi="Arial" w:cs="Arial"/>
          <w:b/>
          <w:bCs/>
          <w:color w:val="000000"/>
          <w:sz w:val="20"/>
          <w:szCs w:val="20"/>
        </w:rPr>
        <w:t>United States Line 3 Replac</w:t>
      </w:r>
      <w:r>
        <w:rPr>
          <w:rFonts w:ascii="Arial" w:eastAsia="Times New Roman" w:hAnsi="Arial" w:cs="Arial"/>
          <w:b/>
          <w:bCs/>
          <w:color w:val="000000"/>
          <w:sz w:val="20"/>
          <w:szCs w:val="20"/>
        </w:rPr>
        <w:t xml:space="preserve">ement Program </w:t>
      </w:r>
      <w:r>
        <w:rPr>
          <w:rFonts w:ascii="Arial" w:eastAsia="Times New Roman" w:hAnsi="Arial" w:cs="Arial"/>
          <w:color w:val="000000"/>
          <w:sz w:val="20"/>
          <w:szCs w:val="20"/>
        </w:rPr>
        <w:t>– replacement of the existing Line 3 crude oil pipeline between Neche, North Dakota and Superior, Wisconsin is now complete and in-service. The US L3R Program supports the safety and operational reliability of the Mainline System, enhances sy</w:t>
      </w:r>
      <w:r>
        <w:rPr>
          <w:rFonts w:ascii="Arial" w:eastAsia="Times New Roman" w:hAnsi="Arial" w:cs="Arial"/>
          <w:color w:val="000000"/>
          <w:sz w:val="20"/>
          <w:szCs w:val="20"/>
        </w:rPr>
        <w:t xml:space="preserve">stem flexibility and allows us to optimize throughput on the mainline. The US L3R Program restored the original capacity of 760 kbpd and brought the total Mainline System operating capacity to approximately 3.1 mmbpd. </w:t>
      </w:r>
    </w:p>
    <w:p w:rsidR="00000000" w:rsidRDefault="001F1FC8">
      <w:pPr>
        <w:divId w:val="1016155023"/>
        <w:rPr>
          <w:rFonts w:eastAsia="Times New Roman"/>
        </w:rPr>
      </w:pPr>
    </w:p>
    <w:p w:rsidR="00000000" w:rsidRDefault="001F1FC8">
      <w:pPr>
        <w:ind w:hanging="360"/>
        <w:divId w:val="1451587661"/>
        <w:rPr>
          <w:rFonts w:eastAsia="Times New Roman"/>
        </w:rPr>
      </w:pPr>
      <w:r>
        <w:rPr>
          <w:rFonts w:ascii="Arial" w:eastAsia="Times New Roman" w:hAnsi="Arial" w:cs="Arial"/>
          <w:b/>
          <w:bCs/>
          <w:color w:val="000000"/>
          <w:sz w:val="20"/>
          <w:szCs w:val="20"/>
          <w:shd w:val="clear" w:color="auto" w:fill="FFFFFF"/>
        </w:rPr>
        <w:t>•</w:t>
      </w:r>
      <w:r>
        <w:rPr>
          <w:rFonts w:ascii="Arial" w:eastAsia="Times New Roman" w:hAnsi="Arial" w:cs="Arial"/>
          <w:b/>
          <w:bCs/>
          <w:color w:val="000000"/>
          <w:sz w:val="20"/>
          <w:szCs w:val="20"/>
        </w:rPr>
        <w:t>Southern Access Expansion</w:t>
      </w:r>
      <w:r>
        <w:rPr>
          <w:rFonts w:ascii="Arial" w:eastAsia="Times New Roman" w:hAnsi="Arial" w:cs="Arial"/>
          <w:color w:val="000000"/>
          <w:sz w:val="20"/>
          <w:szCs w:val="20"/>
        </w:rPr>
        <w:t xml:space="preserve"> – expansion of our existing Southern Access crude oil pipeline from 996 kbpd to approximately 1,200 kbpd.</w:t>
      </w:r>
    </w:p>
    <w:p w:rsidR="00000000" w:rsidRDefault="001F1FC8">
      <w:pPr>
        <w:divId w:val="1353068360"/>
        <w:rPr>
          <w:rFonts w:eastAsia="Times New Roman"/>
        </w:rPr>
      </w:pPr>
    </w:p>
    <w:p w:rsidR="00000000" w:rsidRDefault="001F1FC8">
      <w:pPr>
        <w:divId w:val="1998068784"/>
        <w:rPr>
          <w:rFonts w:eastAsia="Times New Roman"/>
        </w:rPr>
      </w:pPr>
      <w:r>
        <w:rPr>
          <w:rFonts w:ascii="Arial" w:eastAsia="Times New Roman" w:hAnsi="Arial" w:cs="Arial"/>
          <w:b/>
          <w:bCs/>
          <w:color w:val="000000"/>
          <w:sz w:val="20"/>
          <w:szCs w:val="20"/>
        </w:rPr>
        <w:t>GAS TRANSMISSION AND MIDSTREAM</w:t>
      </w:r>
    </w:p>
    <w:p w:rsidR="00000000" w:rsidRDefault="001F1FC8">
      <w:pPr>
        <w:divId w:val="1765998622"/>
        <w:rPr>
          <w:rFonts w:eastAsia="Times New Roman"/>
        </w:rPr>
      </w:pPr>
    </w:p>
    <w:p w:rsidR="00000000" w:rsidRDefault="001F1FC8">
      <w:pPr>
        <w:divId w:val="355159754"/>
        <w:rPr>
          <w:rFonts w:eastAsia="Times New Roman"/>
        </w:rPr>
      </w:pPr>
      <w:r>
        <w:rPr>
          <w:rFonts w:ascii="Arial" w:eastAsia="Times New Roman" w:hAnsi="Arial" w:cs="Arial"/>
          <w:color w:val="000000"/>
          <w:sz w:val="20"/>
          <w:szCs w:val="20"/>
        </w:rPr>
        <w:t>The following commercially secured growth projects were placed into service in 2021:</w:t>
      </w:r>
    </w:p>
    <w:p w:rsidR="00000000" w:rsidRDefault="001F1FC8">
      <w:pPr>
        <w:divId w:val="1068385937"/>
        <w:rPr>
          <w:rFonts w:eastAsia="Times New Roman"/>
        </w:rPr>
      </w:pPr>
    </w:p>
    <w:p w:rsidR="00000000" w:rsidRDefault="001F1FC8">
      <w:pPr>
        <w:ind w:hanging="360"/>
        <w:divId w:val="1338996040"/>
        <w:rPr>
          <w:rFonts w:eastAsia="Times New Roman"/>
        </w:rPr>
      </w:pPr>
      <w:r>
        <w:rPr>
          <w:rFonts w:ascii="Arial" w:eastAsia="Times New Roman" w:hAnsi="Arial" w:cs="Arial"/>
          <w:b/>
          <w:bCs/>
          <w:color w:val="000000"/>
          <w:sz w:val="20"/>
          <w:szCs w:val="20"/>
          <w:shd w:val="clear" w:color="auto" w:fill="FFFFFF"/>
        </w:rPr>
        <w:t>•</w:t>
      </w:r>
      <w:r>
        <w:rPr>
          <w:rFonts w:ascii="Arial" w:eastAsia="Times New Roman" w:hAnsi="Arial" w:cs="Arial"/>
          <w:b/>
          <w:bCs/>
          <w:color w:val="000000"/>
          <w:sz w:val="20"/>
          <w:szCs w:val="20"/>
        </w:rPr>
        <w:t>A</w:t>
      </w:r>
      <w:r>
        <w:rPr>
          <w:rFonts w:ascii="Arial" w:eastAsia="Times New Roman" w:hAnsi="Arial" w:cs="Arial"/>
          <w:b/>
          <w:bCs/>
          <w:color w:val="000000"/>
          <w:sz w:val="20"/>
          <w:szCs w:val="20"/>
        </w:rPr>
        <w:t xml:space="preserve">tlantic Bridge Phase III </w:t>
      </w:r>
      <w:r>
        <w:rPr>
          <w:rFonts w:ascii="Arial" w:eastAsia="Times New Roman" w:hAnsi="Arial" w:cs="Arial"/>
          <w:color w:val="000000"/>
          <w:sz w:val="20"/>
          <w:szCs w:val="20"/>
        </w:rPr>
        <w:t>– an expansion of the Algonquin natural gas transmission systems which transports 133 million cubic feet per day (mmcf/d) of natural gas to the New England region. The third and final phase of Atlantic Bridge fully commenced servic</w:t>
      </w:r>
      <w:r>
        <w:rPr>
          <w:rFonts w:ascii="Arial" w:eastAsia="Times New Roman" w:hAnsi="Arial" w:cs="Arial"/>
          <w:color w:val="000000"/>
          <w:sz w:val="20"/>
          <w:szCs w:val="20"/>
        </w:rPr>
        <w:t>e in January 2021 with the Weymouth compressor station being brought online.</w:t>
      </w:r>
    </w:p>
    <w:p w:rsidR="00000000" w:rsidRDefault="001F1FC8">
      <w:pPr>
        <w:divId w:val="1684626924"/>
        <w:rPr>
          <w:rFonts w:eastAsia="Times New Roman"/>
        </w:rPr>
      </w:pPr>
    </w:p>
    <w:p w:rsidR="00000000" w:rsidRDefault="001F1FC8">
      <w:pPr>
        <w:ind w:hanging="360"/>
        <w:divId w:val="1370107109"/>
        <w:rPr>
          <w:rFonts w:eastAsia="Times New Roman"/>
        </w:rPr>
      </w:pPr>
      <w:r>
        <w:rPr>
          <w:rFonts w:ascii="Arial" w:eastAsia="Times New Roman" w:hAnsi="Arial" w:cs="Arial"/>
          <w:b/>
          <w:bCs/>
          <w:color w:val="000000"/>
          <w:sz w:val="20"/>
          <w:szCs w:val="20"/>
          <w:shd w:val="clear" w:color="auto" w:fill="FFFFFF"/>
        </w:rPr>
        <w:t>•</w:t>
      </w:r>
      <w:r>
        <w:rPr>
          <w:rFonts w:ascii="Arial" w:eastAsia="Times New Roman" w:hAnsi="Arial" w:cs="Arial"/>
          <w:b/>
          <w:bCs/>
          <w:color w:val="000000"/>
          <w:sz w:val="20"/>
          <w:szCs w:val="20"/>
        </w:rPr>
        <w:t>T-South Reliability &amp; Expansion Program</w:t>
      </w:r>
      <w:r>
        <w:rPr>
          <w:rFonts w:ascii="Arial" w:eastAsia="Times New Roman" w:hAnsi="Arial" w:cs="Arial"/>
          <w:color w:val="000000"/>
          <w:sz w:val="20"/>
          <w:szCs w:val="20"/>
        </w:rPr>
        <w:t xml:space="preserve"> – a natural gas pipeline expansion of Westcoast's BC Pipeline in southern BC that provides improved compressor reliability and additiona</w:t>
      </w:r>
      <w:r>
        <w:rPr>
          <w:rFonts w:ascii="Arial" w:eastAsia="Times New Roman" w:hAnsi="Arial" w:cs="Arial"/>
          <w:color w:val="000000"/>
          <w:sz w:val="20"/>
          <w:szCs w:val="20"/>
        </w:rPr>
        <w:t xml:space="preserve">l capacity of approximately 190 mmcf/d into the Huntington/Sumas market at the US/Canada border. </w:t>
      </w:r>
    </w:p>
    <w:p w:rsidR="00000000" w:rsidRDefault="001F1FC8">
      <w:pPr>
        <w:divId w:val="1831482755"/>
        <w:rPr>
          <w:rFonts w:eastAsia="Times New Roman"/>
        </w:rPr>
      </w:pPr>
    </w:p>
    <w:p w:rsidR="00000000" w:rsidRDefault="001F1FC8">
      <w:pPr>
        <w:ind w:hanging="360"/>
        <w:divId w:val="1975986695"/>
        <w:rPr>
          <w:rFonts w:eastAsia="Times New Roman"/>
        </w:rPr>
      </w:pPr>
      <w:r>
        <w:rPr>
          <w:rFonts w:ascii="Arial" w:eastAsia="Times New Roman" w:hAnsi="Arial" w:cs="Arial"/>
          <w:b/>
          <w:bCs/>
          <w:color w:val="000000"/>
          <w:sz w:val="20"/>
          <w:szCs w:val="20"/>
          <w:shd w:val="clear" w:color="auto" w:fill="FFFFFF"/>
        </w:rPr>
        <w:t>•</w:t>
      </w:r>
      <w:r>
        <w:rPr>
          <w:rFonts w:ascii="Arial" w:eastAsia="Times New Roman" w:hAnsi="Arial" w:cs="Arial"/>
          <w:b/>
          <w:bCs/>
          <w:color w:val="000000"/>
          <w:sz w:val="20"/>
          <w:szCs w:val="20"/>
        </w:rPr>
        <w:t xml:space="preserve">Spruce Ridge Project </w:t>
      </w:r>
      <w:r>
        <w:rPr>
          <w:rFonts w:ascii="Arial" w:eastAsia="Times New Roman" w:hAnsi="Arial" w:cs="Arial"/>
          <w:color w:val="000000"/>
          <w:sz w:val="20"/>
          <w:szCs w:val="20"/>
        </w:rPr>
        <w:t>– a natural gas pipeline expansion of Westcoast's BC Pipeline in northern BC. The project provides additional capacity of up to 402 mm</w:t>
      </w:r>
      <w:r>
        <w:rPr>
          <w:rFonts w:ascii="Arial" w:eastAsia="Times New Roman" w:hAnsi="Arial" w:cs="Arial"/>
          <w:color w:val="000000"/>
          <w:sz w:val="20"/>
          <w:szCs w:val="20"/>
        </w:rPr>
        <w:t xml:space="preserve">cf/d. </w:t>
      </w:r>
    </w:p>
    <w:p w:rsidR="00000000" w:rsidRDefault="001F1FC8">
      <w:pPr>
        <w:divId w:val="1357267933"/>
        <w:rPr>
          <w:rFonts w:eastAsia="Times New Roman"/>
        </w:rPr>
      </w:pPr>
    </w:p>
    <w:p w:rsidR="00000000" w:rsidRDefault="001F1FC8">
      <w:pPr>
        <w:divId w:val="505023652"/>
        <w:rPr>
          <w:rFonts w:eastAsia="Times New Roman"/>
        </w:rPr>
      </w:pPr>
      <w:r>
        <w:rPr>
          <w:rFonts w:ascii="Arial" w:eastAsia="Times New Roman" w:hAnsi="Arial" w:cs="Arial"/>
          <w:color w:val="000000"/>
          <w:sz w:val="20"/>
          <w:szCs w:val="20"/>
        </w:rPr>
        <w:t>The following commercially secured growth projects are currently in pre-construction stages:</w:t>
      </w:r>
    </w:p>
    <w:p w:rsidR="00000000" w:rsidRDefault="001F1FC8">
      <w:pPr>
        <w:divId w:val="10497011"/>
        <w:rPr>
          <w:rFonts w:eastAsia="Times New Roman"/>
        </w:rPr>
      </w:pPr>
    </w:p>
    <w:p w:rsidR="00000000" w:rsidRDefault="001F1FC8">
      <w:pPr>
        <w:ind w:hanging="360"/>
        <w:divId w:val="520824691"/>
        <w:rPr>
          <w:rFonts w:eastAsia="Times New Roman"/>
        </w:rPr>
      </w:pPr>
      <w:r>
        <w:rPr>
          <w:rFonts w:ascii="Arial" w:eastAsia="Times New Roman" w:hAnsi="Arial" w:cs="Arial"/>
          <w:b/>
          <w:bCs/>
          <w:color w:val="000000"/>
          <w:sz w:val="20"/>
          <w:szCs w:val="20"/>
        </w:rPr>
        <w:t xml:space="preserve">•Texas Eastern Modernization Phase II – </w:t>
      </w:r>
      <w:r>
        <w:rPr>
          <w:rFonts w:ascii="Arial" w:eastAsia="Times New Roman" w:hAnsi="Arial" w:cs="Arial"/>
          <w:color w:val="000000"/>
          <w:sz w:val="20"/>
          <w:szCs w:val="20"/>
        </w:rPr>
        <w:t>this program is the modernization of compression facilities in Pennsylvania and New Jersey to increase safety an</w:t>
      </w:r>
      <w:r>
        <w:rPr>
          <w:rFonts w:ascii="Arial" w:eastAsia="Times New Roman" w:hAnsi="Arial" w:cs="Arial"/>
          <w:color w:val="000000"/>
          <w:sz w:val="20"/>
          <w:szCs w:val="20"/>
        </w:rPr>
        <w:t>d reliability and reduce associated greenhouse gas emissions at multiple sites on our Texas Eastern system. The program will be completed in stages over a period of years beginning in 2024.</w:t>
      </w:r>
    </w:p>
    <w:p w:rsidR="00000000" w:rsidRDefault="001F1FC8">
      <w:pPr>
        <w:divId w:val="86463918"/>
        <w:rPr>
          <w:rFonts w:eastAsia="Times New Roman"/>
        </w:rPr>
      </w:pPr>
    </w:p>
    <w:p w:rsidR="00000000" w:rsidRDefault="001F1FC8">
      <w:pPr>
        <w:jc w:val="center"/>
        <w:divId w:val="621418992"/>
        <w:rPr>
          <w:rFonts w:eastAsia="Times New Roman"/>
        </w:rPr>
      </w:pPr>
      <w:r>
        <w:rPr>
          <w:rFonts w:ascii="Arial" w:eastAsia="Times New Roman" w:hAnsi="Arial" w:cs="Arial"/>
          <w:color w:val="000000"/>
          <w:sz w:val="20"/>
          <w:szCs w:val="20"/>
        </w:rPr>
        <w:t>70</w:t>
      </w:r>
    </w:p>
    <w:p w:rsidR="00000000" w:rsidRDefault="001F1FC8">
      <w:pPr>
        <w:rPr>
          <w:rFonts w:eastAsia="Times New Roman"/>
        </w:rPr>
      </w:pPr>
      <w:r>
        <w:rPr>
          <w:rFonts w:eastAsia="Times New Roman"/>
        </w:rPr>
        <w:pict>
          <v:rect id="_x0000_i1100" style="width:0;height:1.5pt" o:hralign="center" o:hrstd="t" o:hr="t" fillcolor="#a0a0a0" stroked="f"/>
        </w:pict>
      </w:r>
    </w:p>
    <w:p w:rsidR="00000000" w:rsidRDefault="001F1FC8">
      <w:pPr>
        <w:jc w:val="center"/>
        <w:divId w:val="1245532665"/>
        <w:rPr>
          <w:rFonts w:eastAsia="Times New Roman"/>
        </w:rPr>
      </w:pPr>
    </w:p>
    <w:p w:rsidR="00000000" w:rsidRDefault="001F1FC8">
      <w:pPr>
        <w:ind w:hanging="360"/>
        <w:divId w:val="1304693530"/>
        <w:rPr>
          <w:rFonts w:eastAsia="Times New Roman"/>
        </w:rPr>
      </w:pPr>
      <w:r>
        <w:rPr>
          <w:rFonts w:ascii="Arial" w:eastAsia="Times New Roman" w:hAnsi="Arial" w:cs="Arial"/>
          <w:b/>
          <w:bCs/>
          <w:color w:val="000000"/>
          <w:sz w:val="20"/>
          <w:szCs w:val="20"/>
        </w:rPr>
        <w:t>•</w:t>
      </w:r>
      <w:r>
        <w:rPr>
          <w:rFonts w:ascii="Arial" w:eastAsia="Times New Roman" w:hAnsi="Arial" w:cs="Arial"/>
          <w:b/>
          <w:bCs/>
          <w:color w:val="000000"/>
          <w:sz w:val="20"/>
          <w:szCs w:val="20"/>
        </w:rPr>
        <w:t xml:space="preserve">Appalachia to Market II </w:t>
      </w:r>
      <w:r>
        <w:rPr>
          <w:rFonts w:ascii="Arial" w:eastAsia="Times New Roman" w:hAnsi="Arial" w:cs="Arial"/>
          <w:color w:val="000000"/>
          <w:sz w:val="20"/>
          <w:szCs w:val="20"/>
        </w:rPr>
        <w:t>- the expansion is designed to deliver 55 MDth per day on the Texas Eastern pipeline from the Appalachia supply basin in Southwest Pennsylvania to existing local distribution company customers in New Jersey beginning in late 2025. T</w:t>
      </w:r>
      <w:r>
        <w:rPr>
          <w:rFonts w:ascii="Arial" w:eastAsia="Times New Roman" w:hAnsi="Arial" w:cs="Arial"/>
          <w:color w:val="000000"/>
          <w:sz w:val="20"/>
          <w:szCs w:val="20"/>
        </w:rPr>
        <w:t>he project is a brown-field expansion and upgrade of existing Texas Eastern facilities in Pennsylvania.</w:t>
      </w:r>
    </w:p>
    <w:p w:rsidR="00000000" w:rsidRDefault="001F1FC8">
      <w:pPr>
        <w:divId w:val="1673725374"/>
        <w:rPr>
          <w:rFonts w:eastAsia="Times New Roman"/>
        </w:rPr>
      </w:pPr>
    </w:p>
    <w:p w:rsidR="00000000" w:rsidRDefault="001F1FC8">
      <w:pPr>
        <w:divId w:val="1394428066"/>
        <w:rPr>
          <w:rFonts w:eastAsia="Times New Roman"/>
        </w:rPr>
      </w:pPr>
      <w:r>
        <w:rPr>
          <w:rFonts w:ascii="Arial" w:eastAsia="Times New Roman" w:hAnsi="Arial" w:cs="Arial"/>
          <w:b/>
          <w:bCs/>
          <w:color w:val="000000"/>
          <w:sz w:val="20"/>
          <w:szCs w:val="20"/>
        </w:rPr>
        <w:t>GAS DISTRIBUTION AND STORAGE</w:t>
      </w:r>
    </w:p>
    <w:p w:rsidR="00000000" w:rsidRDefault="001F1FC8">
      <w:pPr>
        <w:divId w:val="434902727"/>
        <w:rPr>
          <w:rFonts w:eastAsia="Times New Roman"/>
        </w:rPr>
      </w:pPr>
    </w:p>
    <w:p w:rsidR="00000000" w:rsidRDefault="001F1FC8">
      <w:pPr>
        <w:divId w:val="1415711060"/>
        <w:rPr>
          <w:rFonts w:eastAsia="Times New Roman"/>
        </w:rPr>
      </w:pPr>
      <w:r>
        <w:rPr>
          <w:rFonts w:ascii="Arial" w:eastAsia="Times New Roman" w:hAnsi="Arial" w:cs="Arial"/>
          <w:color w:val="000000"/>
          <w:sz w:val="20"/>
          <w:szCs w:val="20"/>
        </w:rPr>
        <w:t>The following commercially secured growth project was placed into service in 2021:</w:t>
      </w:r>
    </w:p>
    <w:p w:rsidR="00000000" w:rsidRDefault="001F1FC8">
      <w:pPr>
        <w:divId w:val="1746873656"/>
        <w:rPr>
          <w:rFonts w:eastAsia="Times New Roman"/>
        </w:rPr>
      </w:pPr>
    </w:p>
    <w:p w:rsidR="00000000" w:rsidRDefault="001F1FC8">
      <w:pPr>
        <w:ind w:hanging="360"/>
        <w:divId w:val="1279029631"/>
        <w:rPr>
          <w:rFonts w:eastAsia="Times New Roman"/>
        </w:rPr>
      </w:pPr>
      <w:r>
        <w:rPr>
          <w:rFonts w:ascii="Arial" w:eastAsia="Times New Roman" w:hAnsi="Arial" w:cs="Arial"/>
          <w:color w:val="000000"/>
          <w:sz w:val="20"/>
          <w:szCs w:val="20"/>
          <w:shd w:val="clear" w:color="auto" w:fill="FFFFFF"/>
        </w:rPr>
        <w:t>•</w:t>
      </w:r>
      <w:r>
        <w:rPr>
          <w:rFonts w:ascii="Arial" w:eastAsia="Times New Roman" w:hAnsi="Arial" w:cs="Arial"/>
          <w:b/>
          <w:bCs/>
          <w:color w:val="000000"/>
          <w:sz w:val="20"/>
          <w:szCs w:val="20"/>
        </w:rPr>
        <w:t xml:space="preserve">System Enhancement Projects </w:t>
      </w:r>
      <w:r>
        <w:rPr>
          <w:rFonts w:ascii="Arial" w:eastAsia="Times New Roman" w:hAnsi="Arial" w:cs="Arial"/>
          <w:color w:val="000000"/>
          <w:sz w:val="20"/>
          <w:szCs w:val="20"/>
        </w:rPr>
        <w:t>– The</w:t>
      </w:r>
      <w:r>
        <w:rPr>
          <w:rFonts w:ascii="Arial" w:eastAsia="Times New Roman" w:hAnsi="Arial" w:cs="Arial"/>
          <w:color w:val="000000"/>
          <w:sz w:val="20"/>
          <w:szCs w:val="20"/>
        </w:rPr>
        <w:t xml:space="preserve"> London Line Replacement Project replaced two existing pipelines known collectively as the London Line and included the construction of approximately 90.5- kilometers of natural gas pipeline and ancillary facilities in southern Ontario. </w:t>
      </w:r>
    </w:p>
    <w:p w:rsidR="00000000" w:rsidRDefault="001F1FC8">
      <w:pPr>
        <w:divId w:val="1231619191"/>
        <w:rPr>
          <w:rFonts w:eastAsia="Times New Roman"/>
        </w:rPr>
      </w:pPr>
    </w:p>
    <w:p w:rsidR="00000000" w:rsidRDefault="001F1FC8">
      <w:pPr>
        <w:divId w:val="1392579272"/>
        <w:rPr>
          <w:rFonts w:eastAsia="Times New Roman"/>
        </w:rPr>
      </w:pPr>
      <w:r>
        <w:rPr>
          <w:rFonts w:ascii="Arial" w:eastAsia="Times New Roman" w:hAnsi="Arial" w:cs="Arial"/>
          <w:color w:val="000000"/>
          <w:sz w:val="20"/>
          <w:szCs w:val="20"/>
        </w:rPr>
        <w:t>The following co</w:t>
      </w:r>
      <w:r>
        <w:rPr>
          <w:rFonts w:ascii="Arial" w:eastAsia="Times New Roman" w:hAnsi="Arial" w:cs="Arial"/>
          <w:color w:val="000000"/>
          <w:sz w:val="20"/>
          <w:szCs w:val="20"/>
        </w:rPr>
        <w:t>mmercially secured growth projects are currently in various stages of construction:</w:t>
      </w:r>
    </w:p>
    <w:p w:rsidR="00000000" w:rsidRDefault="001F1FC8">
      <w:pPr>
        <w:divId w:val="118107852"/>
        <w:rPr>
          <w:rFonts w:eastAsia="Times New Roman"/>
        </w:rPr>
      </w:pPr>
    </w:p>
    <w:p w:rsidR="00000000" w:rsidRDefault="001F1FC8">
      <w:pPr>
        <w:ind w:hanging="360"/>
        <w:divId w:val="1360278669"/>
        <w:rPr>
          <w:rFonts w:eastAsia="Times New Roman"/>
        </w:rPr>
      </w:pPr>
      <w:r>
        <w:rPr>
          <w:rFonts w:ascii="Arial" w:eastAsia="Times New Roman" w:hAnsi="Arial" w:cs="Arial"/>
          <w:b/>
          <w:bCs/>
          <w:color w:val="000000"/>
          <w:sz w:val="20"/>
          <w:szCs w:val="20"/>
          <w:shd w:val="clear" w:color="auto" w:fill="FFFFFF"/>
        </w:rPr>
        <w:t>•</w:t>
      </w:r>
      <w:r>
        <w:rPr>
          <w:rFonts w:ascii="Arial" w:eastAsia="Times New Roman" w:hAnsi="Arial" w:cs="Arial"/>
          <w:b/>
          <w:bCs/>
          <w:color w:val="000000"/>
          <w:sz w:val="20"/>
          <w:szCs w:val="20"/>
        </w:rPr>
        <w:t>System Enhancement Project</w:t>
      </w:r>
      <w:r>
        <w:rPr>
          <w:rFonts w:ascii="Arial" w:eastAsia="Times New Roman" w:hAnsi="Arial" w:cs="Arial"/>
          <w:color w:val="000000"/>
          <w:sz w:val="20"/>
          <w:szCs w:val="20"/>
        </w:rPr>
        <w:t xml:space="preserve"> – The Lake Shore Kipling Oshawa Loop (KOL) Replacement Project is a replacement of approximately 4.5-kilometers of natural gas pipeline and an</w:t>
      </w:r>
      <w:r>
        <w:rPr>
          <w:rFonts w:ascii="Arial" w:eastAsia="Times New Roman" w:hAnsi="Arial" w:cs="Arial"/>
          <w:color w:val="000000"/>
          <w:sz w:val="20"/>
          <w:szCs w:val="20"/>
        </w:rPr>
        <w:t>cillary facilities of the Cherry to Bathurst segment of the KOL along Lake Shore Boulevard in the City of Toronto. The St. Laurent Ottawa North Replacement Project is a replacement of approximately 16-kilometers of natural gas pipeline in the City of Ottaw</w:t>
      </w:r>
      <w:r>
        <w:rPr>
          <w:rFonts w:ascii="Arial" w:eastAsia="Times New Roman" w:hAnsi="Arial" w:cs="Arial"/>
          <w:color w:val="000000"/>
          <w:sz w:val="20"/>
          <w:szCs w:val="20"/>
        </w:rPr>
        <w:t>a. The first two phases of this project have already been completed. Phases 3 and 4 represent approximately 11.4-kilometers of pipeline.</w:t>
      </w:r>
    </w:p>
    <w:p w:rsidR="00000000" w:rsidRDefault="001F1FC8">
      <w:pPr>
        <w:ind w:hanging="360"/>
        <w:divId w:val="757025179"/>
        <w:rPr>
          <w:rFonts w:eastAsia="Times New Roman"/>
        </w:rPr>
      </w:pPr>
    </w:p>
    <w:p w:rsidR="00000000" w:rsidRDefault="001F1FC8">
      <w:pPr>
        <w:ind w:hanging="360"/>
        <w:divId w:val="1848324684"/>
        <w:rPr>
          <w:rFonts w:eastAsia="Times New Roman"/>
        </w:rPr>
      </w:pPr>
      <w:r>
        <w:rPr>
          <w:rFonts w:ascii="Arial" w:eastAsia="Times New Roman" w:hAnsi="Arial" w:cs="Arial"/>
          <w:color w:val="000000"/>
          <w:sz w:val="20"/>
          <w:szCs w:val="20"/>
          <w:shd w:val="clear" w:color="auto" w:fill="FFFFFF"/>
        </w:rPr>
        <w:t>•</w:t>
      </w:r>
      <w:r>
        <w:rPr>
          <w:rFonts w:ascii="Arial" w:eastAsia="Times New Roman" w:hAnsi="Arial" w:cs="Arial"/>
          <w:b/>
          <w:bCs/>
          <w:color w:val="000000"/>
          <w:sz w:val="20"/>
          <w:szCs w:val="20"/>
        </w:rPr>
        <w:t xml:space="preserve">Storage Enhancements </w:t>
      </w:r>
      <w:r>
        <w:rPr>
          <w:rFonts w:ascii="Arial" w:eastAsia="Times New Roman" w:hAnsi="Arial" w:cs="Arial"/>
          <w:color w:val="000000"/>
          <w:sz w:val="20"/>
          <w:szCs w:val="20"/>
        </w:rPr>
        <w:t>– Storage Enhancements are part of a larger delta pressuring project to increase deliverability</w:t>
      </w:r>
      <w:r>
        <w:rPr>
          <w:rFonts w:ascii="Arial" w:eastAsia="Times New Roman" w:hAnsi="Arial" w:cs="Arial"/>
          <w:color w:val="000000"/>
          <w:sz w:val="20"/>
          <w:szCs w:val="20"/>
        </w:rPr>
        <w:t xml:space="preserve"> and storage capacity at Enbridge Gas' storage facilities. The additional deliverability and storage capacity will be sold as part of Enbridge Gas' unregulated storage portfolio. </w:t>
      </w:r>
    </w:p>
    <w:p w:rsidR="00000000" w:rsidRDefault="001F1FC8">
      <w:pPr>
        <w:divId w:val="407311412"/>
        <w:rPr>
          <w:rFonts w:eastAsia="Times New Roman"/>
        </w:rPr>
      </w:pPr>
    </w:p>
    <w:p w:rsidR="00000000" w:rsidRDefault="001F1FC8">
      <w:pPr>
        <w:ind w:hanging="360"/>
        <w:divId w:val="295843146"/>
        <w:rPr>
          <w:rFonts w:eastAsia="Times New Roman"/>
        </w:rPr>
      </w:pPr>
      <w:r>
        <w:rPr>
          <w:rFonts w:ascii="Arial" w:eastAsia="Times New Roman" w:hAnsi="Arial" w:cs="Arial"/>
          <w:color w:val="000000"/>
          <w:sz w:val="20"/>
          <w:szCs w:val="20"/>
          <w:shd w:val="clear" w:color="auto" w:fill="FFFFFF"/>
        </w:rPr>
        <w:t>•</w:t>
      </w:r>
      <w:r>
        <w:rPr>
          <w:rFonts w:ascii="Arial" w:eastAsia="Times New Roman" w:hAnsi="Arial" w:cs="Arial"/>
          <w:b/>
          <w:bCs/>
          <w:color w:val="000000"/>
          <w:sz w:val="20"/>
          <w:szCs w:val="20"/>
        </w:rPr>
        <w:t xml:space="preserve">Natural Gas Expansion Program </w:t>
      </w:r>
      <w:r>
        <w:rPr>
          <w:rFonts w:ascii="Arial" w:eastAsia="Times New Roman" w:hAnsi="Arial" w:cs="Arial"/>
          <w:color w:val="000000"/>
          <w:sz w:val="20"/>
          <w:szCs w:val="20"/>
        </w:rPr>
        <w:t xml:space="preserve">– The Program was created under the Access </w:t>
      </w:r>
      <w:r>
        <w:rPr>
          <w:rFonts w:ascii="Arial" w:eastAsia="Times New Roman" w:hAnsi="Arial" w:cs="Arial"/>
          <w:color w:val="000000"/>
          <w:sz w:val="20"/>
          <w:szCs w:val="20"/>
        </w:rPr>
        <w:t>to Natural Gas Act, 2018 to help expand access to natural gas to areas of Ontario that currently do not have access to the natural gas distribution system. U</w:t>
      </w:r>
      <w:r>
        <w:rPr>
          <w:rFonts w:ascii="Arial" w:eastAsia="Times New Roman" w:hAnsi="Arial" w:cs="Arial"/>
          <w:color w:val="000000"/>
          <w:sz w:val="20"/>
          <w:szCs w:val="20"/>
          <w:shd w:val="clear" w:color="auto" w:fill="FFFFFF"/>
        </w:rPr>
        <w:t xml:space="preserve">nder Phase 2 of the Program, we </w:t>
      </w:r>
      <w:r>
        <w:rPr>
          <w:rFonts w:ascii="Arial" w:eastAsia="Times New Roman" w:hAnsi="Arial" w:cs="Arial"/>
          <w:color w:val="000000"/>
          <w:sz w:val="20"/>
          <w:szCs w:val="20"/>
        </w:rPr>
        <w:t>will be provided up to $214 million in funding assistance to delive</w:t>
      </w:r>
      <w:r>
        <w:rPr>
          <w:rFonts w:ascii="Arial" w:eastAsia="Times New Roman" w:hAnsi="Arial" w:cs="Arial"/>
          <w:color w:val="000000"/>
          <w:sz w:val="20"/>
          <w:szCs w:val="20"/>
        </w:rPr>
        <w:t xml:space="preserve">r 25 community expansion and two economic development projects throughout Ontario. </w:t>
      </w:r>
    </w:p>
    <w:p w:rsidR="00000000" w:rsidRDefault="001F1FC8">
      <w:pPr>
        <w:divId w:val="1770348657"/>
        <w:rPr>
          <w:rFonts w:eastAsia="Times New Roman"/>
        </w:rPr>
      </w:pPr>
    </w:p>
    <w:p w:rsidR="00000000" w:rsidRDefault="001F1FC8">
      <w:pPr>
        <w:divId w:val="1624799976"/>
        <w:rPr>
          <w:rFonts w:eastAsia="Times New Roman"/>
        </w:rPr>
      </w:pPr>
      <w:r>
        <w:rPr>
          <w:rFonts w:ascii="Arial" w:eastAsia="Times New Roman" w:hAnsi="Arial" w:cs="Arial"/>
          <w:b/>
          <w:bCs/>
          <w:color w:val="000000"/>
          <w:sz w:val="20"/>
          <w:szCs w:val="20"/>
        </w:rPr>
        <w:t xml:space="preserve">RENEWABLE POWER GENERATION </w:t>
      </w:r>
    </w:p>
    <w:p w:rsidR="00000000" w:rsidRDefault="001F1FC8">
      <w:pPr>
        <w:divId w:val="968977701"/>
        <w:rPr>
          <w:rFonts w:eastAsia="Times New Roman"/>
        </w:rPr>
      </w:pPr>
    </w:p>
    <w:p w:rsidR="00000000" w:rsidRDefault="001F1FC8">
      <w:pPr>
        <w:divId w:val="1331298361"/>
        <w:rPr>
          <w:rFonts w:eastAsia="Times New Roman"/>
        </w:rPr>
      </w:pPr>
      <w:r>
        <w:rPr>
          <w:rFonts w:ascii="Arial" w:eastAsia="Times New Roman" w:hAnsi="Arial" w:cs="Arial"/>
          <w:color w:val="000000"/>
          <w:sz w:val="20"/>
          <w:szCs w:val="20"/>
        </w:rPr>
        <w:t>The following commercially secured growth projects are currently in various stages of construction:</w:t>
      </w:r>
    </w:p>
    <w:p w:rsidR="00000000" w:rsidRDefault="001F1FC8">
      <w:pPr>
        <w:divId w:val="16279389"/>
        <w:rPr>
          <w:rFonts w:eastAsia="Times New Roman"/>
        </w:rPr>
      </w:pPr>
    </w:p>
    <w:p w:rsidR="00000000" w:rsidRDefault="001F1FC8">
      <w:pPr>
        <w:ind w:hanging="360"/>
        <w:divId w:val="229921353"/>
        <w:rPr>
          <w:rFonts w:eastAsia="Times New Roman"/>
        </w:rPr>
      </w:pPr>
      <w:r>
        <w:rPr>
          <w:rFonts w:ascii="Arial" w:eastAsia="Times New Roman" w:hAnsi="Arial" w:cs="Arial"/>
          <w:color w:val="000000"/>
          <w:sz w:val="20"/>
          <w:szCs w:val="20"/>
          <w:shd w:val="clear" w:color="auto" w:fill="FFFFFF"/>
        </w:rPr>
        <w:t>•</w:t>
      </w:r>
      <w:r>
        <w:rPr>
          <w:rFonts w:ascii="Arial" w:eastAsia="Times New Roman" w:hAnsi="Arial" w:cs="Arial"/>
          <w:b/>
          <w:bCs/>
          <w:color w:val="000000"/>
          <w:sz w:val="20"/>
          <w:szCs w:val="20"/>
        </w:rPr>
        <w:t xml:space="preserve">East-West Tie Line </w:t>
      </w:r>
      <w:r>
        <w:rPr>
          <w:rFonts w:ascii="Arial" w:eastAsia="Times New Roman" w:hAnsi="Arial" w:cs="Arial"/>
          <w:color w:val="000000"/>
          <w:sz w:val="20"/>
          <w:szCs w:val="20"/>
        </w:rPr>
        <w:t xml:space="preserve">– </w:t>
      </w:r>
      <w:r>
        <w:rPr>
          <w:rFonts w:ascii="Arial" w:eastAsia="Times New Roman" w:hAnsi="Arial" w:cs="Arial"/>
          <w:color w:val="000000"/>
          <w:sz w:val="20"/>
          <w:szCs w:val="20"/>
        </w:rPr>
        <w:t>a transmission project that will parallel an existing double-circuit, 230 kilovolt transmission line that connects the Wawa Transformer Station to the Lakehead Transformer Station near Thunder Bay, Ontario, including a connection midway in Marathon, Ontari</w:t>
      </w:r>
      <w:r>
        <w:rPr>
          <w:rFonts w:ascii="Arial" w:eastAsia="Times New Roman" w:hAnsi="Arial" w:cs="Arial"/>
          <w:color w:val="000000"/>
          <w:sz w:val="20"/>
          <w:szCs w:val="20"/>
        </w:rPr>
        <w:t>o.</w:t>
      </w:r>
    </w:p>
    <w:p w:rsidR="00000000" w:rsidRDefault="001F1FC8">
      <w:pPr>
        <w:divId w:val="1399790834"/>
        <w:rPr>
          <w:rFonts w:eastAsia="Times New Roman"/>
        </w:rPr>
      </w:pPr>
    </w:p>
    <w:p w:rsidR="00000000" w:rsidRDefault="001F1FC8">
      <w:pPr>
        <w:ind w:hanging="360"/>
        <w:divId w:val="63071256"/>
        <w:rPr>
          <w:rFonts w:eastAsia="Times New Roman"/>
        </w:rPr>
      </w:pPr>
      <w:r>
        <w:rPr>
          <w:rFonts w:ascii="Arial" w:eastAsia="Times New Roman" w:hAnsi="Arial" w:cs="Arial"/>
          <w:color w:val="000000"/>
          <w:sz w:val="20"/>
          <w:szCs w:val="20"/>
          <w:shd w:val="clear" w:color="auto" w:fill="FFFFFF"/>
        </w:rPr>
        <w:t>•</w:t>
      </w:r>
      <w:r>
        <w:rPr>
          <w:rFonts w:ascii="Arial" w:eastAsia="Times New Roman" w:hAnsi="Arial" w:cs="Arial"/>
          <w:b/>
          <w:bCs/>
          <w:color w:val="000000"/>
          <w:sz w:val="20"/>
          <w:szCs w:val="20"/>
        </w:rPr>
        <w:t>Solar Self-Power Projects</w:t>
      </w:r>
      <w:r>
        <w:rPr>
          <w:rFonts w:ascii="Arial" w:eastAsia="Times New Roman" w:hAnsi="Arial" w:cs="Arial"/>
          <w:color w:val="000000"/>
          <w:sz w:val="20"/>
          <w:szCs w:val="20"/>
        </w:rPr>
        <w:t xml:space="preserve"> – 10 solar self-power projects under development in Wisconsin, Illinois, Pennsylvania, Kentucky, Ohio and Minnesota, with a combined estimate of 97 MW of emissions-free generating capacity. These projects will provide clean </w:t>
      </w:r>
      <w:r>
        <w:rPr>
          <w:rFonts w:ascii="Arial" w:eastAsia="Times New Roman" w:hAnsi="Arial" w:cs="Arial"/>
          <w:color w:val="000000"/>
          <w:sz w:val="20"/>
          <w:szCs w:val="20"/>
        </w:rPr>
        <w:t xml:space="preserve">power directly to our liquids and natural gas pipeline rights-of-way. </w:t>
      </w:r>
    </w:p>
    <w:p w:rsidR="00000000" w:rsidRDefault="001F1FC8">
      <w:pPr>
        <w:divId w:val="149056628"/>
        <w:rPr>
          <w:rFonts w:eastAsia="Times New Roman"/>
        </w:rPr>
      </w:pPr>
    </w:p>
    <w:p w:rsidR="00000000" w:rsidRDefault="001F1FC8">
      <w:pPr>
        <w:ind w:hanging="360"/>
        <w:divId w:val="1165898848"/>
        <w:rPr>
          <w:rFonts w:eastAsia="Times New Roman"/>
        </w:rPr>
      </w:pPr>
      <w:r>
        <w:rPr>
          <w:rFonts w:ascii="Arial" w:eastAsia="Times New Roman" w:hAnsi="Arial" w:cs="Arial"/>
          <w:b/>
          <w:bCs/>
          <w:color w:val="000000"/>
          <w:sz w:val="16"/>
          <w:szCs w:val="16"/>
          <w:shd w:val="clear" w:color="auto" w:fill="FFFFFF"/>
        </w:rPr>
        <w:t>•</w:t>
      </w:r>
      <w:r>
        <w:rPr>
          <w:rFonts w:ascii="Arial" w:eastAsia="Times New Roman" w:hAnsi="Arial" w:cs="Arial"/>
          <w:b/>
          <w:bCs/>
          <w:color w:val="000000"/>
          <w:sz w:val="20"/>
          <w:szCs w:val="20"/>
        </w:rPr>
        <w:t xml:space="preserve">Saint-Nazaire France Offshore Wind Project </w:t>
      </w:r>
      <w:r>
        <w:rPr>
          <w:rFonts w:ascii="Arial" w:eastAsia="Times New Roman" w:hAnsi="Arial" w:cs="Arial"/>
          <w:color w:val="000000"/>
          <w:sz w:val="20"/>
          <w:szCs w:val="20"/>
        </w:rPr>
        <w:t>– a wind project located off the west coast of France that is expected to generate approximately 480-MW. Project revenues are backed by a 2</w:t>
      </w:r>
      <w:r>
        <w:rPr>
          <w:rFonts w:ascii="Arial" w:eastAsia="Times New Roman" w:hAnsi="Arial" w:cs="Arial"/>
          <w:color w:val="000000"/>
          <w:sz w:val="20"/>
          <w:szCs w:val="20"/>
        </w:rPr>
        <w:t xml:space="preserve">0-year fixed price power purchase agreement (PPA) with added power production protection. </w:t>
      </w:r>
    </w:p>
    <w:p w:rsidR="00000000" w:rsidRDefault="001F1FC8">
      <w:pPr>
        <w:divId w:val="1381711956"/>
        <w:rPr>
          <w:rFonts w:eastAsia="Times New Roman"/>
        </w:rPr>
      </w:pPr>
    </w:p>
    <w:p w:rsidR="00000000" w:rsidRDefault="001F1FC8">
      <w:pPr>
        <w:ind w:hanging="360"/>
        <w:divId w:val="1600143481"/>
        <w:rPr>
          <w:rFonts w:eastAsia="Times New Roman"/>
        </w:rPr>
      </w:pPr>
      <w:r>
        <w:rPr>
          <w:rFonts w:ascii="Arial" w:eastAsia="Times New Roman" w:hAnsi="Arial" w:cs="Arial"/>
          <w:b/>
          <w:bCs/>
          <w:color w:val="000000"/>
          <w:sz w:val="16"/>
          <w:szCs w:val="16"/>
          <w:shd w:val="clear" w:color="auto" w:fill="FFFFFF"/>
        </w:rPr>
        <w:t>•</w:t>
      </w:r>
      <w:r>
        <w:rPr>
          <w:rFonts w:ascii="Arial" w:eastAsia="Times New Roman" w:hAnsi="Arial" w:cs="Arial"/>
          <w:b/>
          <w:bCs/>
          <w:color w:val="000000"/>
          <w:sz w:val="20"/>
          <w:szCs w:val="20"/>
        </w:rPr>
        <w:t xml:space="preserve">Provence Grand Large Floating Offshore Wind Project </w:t>
      </w:r>
      <w:r>
        <w:rPr>
          <w:rFonts w:ascii="Arial" w:eastAsia="Times New Roman" w:hAnsi="Arial" w:cs="Arial"/>
          <w:color w:val="000000"/>
          <w:sz w:val="20"/>
          <w:szCs w:val="20"/>
        </w:rPr>
        <w:t>– a floating offshore wind facility off the southern coast of France that secured funding in 2021 and continue</w:t>
      </w:r>
      <w:r>
        <w:rPr>
          <w:rFonts w:ascii="Arial" w:eastAsia="Times New Roman" w:hAnsi="Arial" w:cs="Arial"/>
          <w:color w:val="000000"/>
          <w:sz w:val="20"/>
          <w:szCs w:val="20"/>
        </w:rPr>
        <w:t>s to prepare onshore construction and is expected to generate approximately 24-MW. Project revenues are underpinned by a 20-year fixed price PPA.</w:t>
      </w:r>
    </w:p>
    <w:p w:rsidR="00000000" w:rsidRDefault="001F1FC8">
      <w:pPr>
        <w:ind w:firstLine="360"/>
        <w:divId w:val="7101495"/>
        <w:rPr>
          <w:rFonts w:eastAsia="Times New Roman"/>
        </w:rPr>
      </w:pPr>
    </w:p>
    <w:p w:rsidR="00000000" w:rsidRDefault="001F1FC8">
      <w:pPr>
        <w:jc w:val="center"/>
        <w:divId w:val="1422794216"/>
        <w:rPr>
          <w:rFonts w:eastAsia="Times New Roman"/>
        </w:rPr>
      </w:pPr>
      <w:r>
        <w:rPr>
          <w:rFonts w:ascii="Arial" w:eastAsia="Times New Roman" w:hAnsi="Arial" w:cs="Arial"/>
          <w:color w:val="000000"/>
          <w:sz w:val="20"/>
          <w:szCs w:val="20"/>
        </w:rPr>
        <w:t>71</w:t>
      </w:r>
    </w:p>
    <w:p w:rsidR="00000000" w:rsidRDefault="001F1FC8">
      <w:pPr>
        <w:rPr>
          <w:rFonts w:eastAsia="Times New Roman"/>
        </w:rPr>
      </w:pPr>
      <w:r>
        <w:rPr>
          <w:rFonts w:eastAsia="Times New Roman"/>
        </w:rPr>
        <w:pict>
          <v:rect id="_x0000_i1101" style="width:0;height:1.5pt" o:hralign="center" o:hrstd="t" o:hr="t" fillcolor="#a0a0a0" stroked="f"/>
        </w:pict>
      </w:r>
    </w:p>
    <w:p w:rsidR="00000000" w:rsidRDefault="001F1FC8">
      <w:pPr>
        <w:jc w:val="center"/>
        <w:divId w:val="1882085980"/>
        <w:rPr>
          <w:rFonts w:eastAsia="Times New Roman"/>
        </w:rPr>
      </w:pPr>
    </w:p>
    <w:p w:rsidR="00000000" w:rsidRDefault="001F1FC8">
      <w:pPr>
        <w:ind w:hanging="360"/>
        <w:divId w:val="496964142"/>
        <w:rPr>
          <w:rFonts w:eastAsia="Times New Roman"/>
        </w:rPr>
      </w:pPr>
      <w:r>
        <w:rPr>
          <w:rFonts w:ascii="Arial" w:eastAsia="Times New Roman" w:hAnsi="Arial" w:cs="Arial"/>
          <w:b/>
          <w:bCs/>
          <w:color w:val="000000"/>
          <w:sz w:val="16"/>
          <w:szCs w:val="16"/>
          <w:shd w:val="clear" w:color="auto" w:fill="FFFFFF"/>
        </w:rPr>
        <w:t>•</w:t>
      </w:r>
      <w:r>
        <w:rPr>
          <w:rFonts w:ascii="Arial" w:eastAsia="Times New Roman" w:hAnsi="Arial" w:cs="Arial"/>
          <w:b/>
          <w:bCs/>
          <w:color w:val="000000"/>
          <w:sz w:val="20"/>
          <w:szCs w:val="20"/>
        </w:rPr>
        <w:t xml:space="preserve">Fécamp Offshore Wind Project </w:t>
      </w:r>
      <w:r>
        <w:rPr>
          <w:rFonts w:ascii="Arial" w:eastAsia="Times New Roman" w:hAnsi="Arial" w:cs="Arial"/>
          <w:color w:val="000000"/>
          <w:sz w:val="20"/>
          <w:szCs w:val="20"/>
        </w:rPr>
        <w:t>–</w:t>
      </w:r>
      <w:r>
        <w:rPr>
          <w:rFonts w:ascii="Arial" w:eastAsia="Times New Roman" w:hAnsi="Arial" w:cs="Arial"/>
          <w:b/>
          <w:bCs/>
          <w:color w:val="000000"/>
          <w:sz w:val="20"/>
          <w:szCs w:val="20"/>
        </w:rPr>
        <w:t xml:space="preserve"> </w:t>
      </w:r>
      <w:r>
        <w:rPr>
          <w:rFonts w:ascii="Arial" w:eastAsia="Times New Roman" w:hAnsi="Arial" w:cs="Arial"/>
          <w:color w:val="000000"/>
          <w:sz w:val="20"/>
          <w:szCs w:val="20"/>
        </w:rPr>
        <w:t xml:space="preserve">an offshore wind project located off the northwest coast of France and is expected to generate approximately 500-MW. Project revenues are underpinned by a 20-year fixed price PPA. </w:t>
      </w:r>
    </w:p>
    <w:p w:rsidR="00000000" w:rsidRDefault="001F1FC8">
      <w:pPr>
        <w:divId w:val="1896235842"/>
        <w:rPr>
          <w:rFonts w:eastAsia="Times New Roman"/>
        </w:rPr>
      </w:pPr>
    </w:p>
    <w:p w:rsidR="00000000" w:rsidRDefault="001F1FC8">
      <w:pPr>
        <w:ind w:hanging="360"/>
        <w:divId w:val="1575503100"/>
        <w:rPr>
          <w:rFonts w:eastAsia="Times New Roman"/>
        </w:rPr>
      </w:pPr>
      <w:r>
        <w:rPr>
          <w:rFonts w:ascii="Arial" w:eastAsia="Times New Roman" w:hAnsi="Arial" w:cs="Arial"/>
          <w:b/>
          <w:bCs/>
          <w:color w:val="000000"/>
          <w:sz w:val="16"/>
          <w:szCs w:val="16"/>
          <w:shd w:val="clear" w:color="auto" w:fill="FFFFFF"/>
        </w:rPr>
        <w:t>•</w:t>
      </w:r>
      <w:r>
        <w:rPr>
          <w:rFonts w:ascii="Arial" w:eastAsia="Times New Roman" w:hAnsi="Arial" w:cs="Arial"/>
          <w:b/>
          <w:bCs/>
          <w:color w:val="000000"/>
          <w:sz w:val="20"/>
          <w:szCs w:val="20"/>
        </w:rPr>
        <w:t>Ca</w:t>
      </w:r>
      <w:r>
        <w:rPr>
          <w:rFonts w:ascii="Arial" w:eastAsia="Times New Roman" w:hAnsi="Arial" w:cs="Arial"/>
          <w:b/>
          <w:bCs/>
          <w:color w:val="000000"/>
          <w:sz w:val="20"/>
          <w:szCs w:val="20"/>
        </w:rPr>
        <w:t xml:space="preserve">lvados Offshore Wind Project </w:t>
      </w:r>
      <w:r>
        <w:rPr>
          <w:rFonts w:ascii="Arial" w:eastAsia="Times New Roman" w:hAnsi="Arial" w:cs="Arial"/>
          <w:color w:val="000000"/>
          <w:sz w:val="20"/>
          <w:szCs w:val="20"/>
        </w:rPr>
        <w:t>–</w:t>
      </w:r>
      <w:r>
        <w:rPr>
          <w:rFonts w:ascii="Arial" w:eastAsia="Times New Roman" w:hAnsi="Arial" w:cs="Arial"/>
          <w:b/>
          <w:bCs/>
          <w:color w:val="000000"/>
          <w:sz w:val="20"/>
          <w:szCs w:val="20"/>
        </w:rPr>
        <w:t xml:space="preserve"> </w:t>
      </w:r>
      <w:r>
        <w:rPr>
          <w:rFonts w:ascii="Arial" w:eastAsia="Times New Roman" w:hAnsi="Arial" w:cs="Arial"/>
          <w:color w:val="000000"/>
          <w:sz w:val="20"/>
          <w:szCs w:val="20"/>
        </w:rPr>
        <w:t>an offshore wind project located off the northwest coast of France that is expected to generate approximately 448-MW. Project revenues are underpinned by a 20-year fixed price power purchase agreement.</w:t>
      </w:r>
    </w:p>
    <w:p w:rsidR="00000000" w:rsidRDefault="001F1FC8">
      <w:pPr>
        <w:divId w:val="306328156"/>
        <w:rPr>
          <w:rFonts w:eastAsia="Times New Roman"/>
        </w:rPr>
      </w:pPr>
    </w:p>
    <w:p w:rsidR="00000000" w:rsidRDefault="001F1FC8">
      <w:pPr>
        <w:divId w:val="27149443"/>
        <w:rPr>
          <w:rFonts w:eastAsia="Times New Roman"/>
        </w:rPr>
      </w:pPr>
      <w:r>
        <w:rPr>
          <w:rFonts w:ascii="Arial" w:eastAsia="Times New Roman" w:hAnsi="Arial" w:cs="Arial"/>
          <w:b/>
          <w:bCs/>
          <w:color w:val="000000"/>
          <w:sz w:val="26"/>
          <w:szCs w:val="26"/>
        </w:rPr>
        <w:t>OTHER ANNOUNCED PROJE</w:t>
      </w:r>
      <w:r>
        <w:rPr>
          <w:rFonts w:ascii="Arial" w:eastAsia="Times New Roman" w:hAnsi="Arial" w:cs="Arial"/>
          <w:b/>
          <w:bCs/>
          <w:color w:val="000000"/>
          <w:sz w:val="26"/>
          <w:szCs w:val="26"/>
        </w:rPr>
        <w:t>CTS UNDER DEVELOPMENT</w:t>
      </w:r>
    </w:p>
    <w:p w:rsidR="00000000" w:rsidRDefault="001F1FC8">
      <w:pPr>
        <w:divId w:val="1867793687"/>
        <w:rPr>
          <w:rFonts w:eastAsia="Times New Roman"/>
        </w:rPr>
      </w:pPr>
      <w:r>
        <w:rPr>
          <w:rFonts w:ascii="Arial" w:eastAsia="Times New Roman" w:hAnsi="Arial" w:cs="Arial"/>
          <w:color w:val="000000"/>
          <w:sz w:val="20"/>
          <w:szCs w:val="20"/>
        </w:rPr>
        <w:t> </w:t>
      </w:r>
    </w:p>
    <w:p w:rsidR="00000000" w:rsidRDefault="001F1FC8">
      <w:pPr>
        <w:divId w:val="470944746"/>
        <w:rPr>
          <w:rFonts w:eastAsia="Times New Roman"/>
        </w:rPr>
      </w:pPr>
      <w:r>
        <w:rPr>
          <w:rFonts w:ascii="Arial" w:eastAsia="Times New Roman" w:hAnsi="Arial" w:cs="Arial"/>
          <w:color w:val="000000"/>
          <w:sz w:val="20"/>
          <w:szCs w:val="20"/>
        </w:rPr>
        <w:t>The following projects have been announced by us, but have not yet met our criteria to be classified as commercially secured:</w:t>
      </w:r>
    </w:p>
    <w:p w:rsidR="00000000" w:rsidRDefault="001F1FC8">
      <w:pPr>
        <w:divId w:val="197083937"/>
        <w:rPr>
          <w:rFonts w:eastAsia="Times New Roman"/>
        </w:rPr>
      </w:pPr>
    </w:p>
    <w:p w:rsidR="00000000" w:rsidRDefault="001F1FC8">
      <w:pPr>
        <w:divId w:val="1520854422"/>
        <w:rPr>
          <w:rFonts w:eastAsia="Times New Roman"/>
        </w:rPr>
      </w:pPr>
      <w:r>
        <w:rPr>
          <w:rFonts w:ascii="Arial" w:eastAsia="Times New Roman" w:hAnsi="Arial" w:cs="Arial"/>
          <w:b/>
          <w:bCs/>
          <w:color w:val="000000"/>
          <w:sz w:val="20"/>
          <w:szCs w:val="20"/>
        </w:rPr>
        <w:t>LIQUIDS PIPELINES</w:t>
      </w:r>
    </w:p>
    <w:p w:rsidR="00000000" w:rsidRDefault="001F1FC8">
      <w:pPr>
        <w:divId w:val="1264415441"/>
        <w:rPr>
          <w:rFonts w:eastAsia="Times New Roman"/>
        </w:rPr>
      </w:pPr>
    </w:p>
    <w:p w:rsidR="00000000" w:rsidRDefault="001F1FC8">
      <w:pPr>
        <w:ind w:hanging="360"/>
        <w:divId w:val="1710690034"/>
        <w:rPr>
          <w:rFonts w:eastAsia="Times New Roman"/>
        </w:rPr>
      </w:pPr>
      <w:r>
        <w:rPr>
          <w:rFonts w:ascii="Arial" w:eastAsia="Times New Roman" w:hAnsi="Arial" w:cs="Arial"/>
          <w:b/>
          <w:bCs/>
          <w:color w:val="000000"/>
          <w:sz w:val="20"/>
          <w:szCs w:val="20"/>
          <w:shd w:val="clear" w:color="auto" w:fill="FFFFFF"/>
        </w:rPr>
        <w:t>•</w:t>
      </w:r>
      <w:r>
        <w:rPr>
          <w:rFonts w:ascii="Arial" w:eastAsia="Times New Roman" w:hAnsi="Arial" w:cs="Arial"/>
          <w:b/>
          <w:bCs/>
          <w:color w:val="000000"/>
          <w:sz w:val="20"/>
          <w:szCs w:val="20"/>
        </w:rPr>
        <w:t>Sea Port Oil Terminal Project</w:t>
      </w:r>
      <w:r>
        <w:rPr>
          <w:rFonts w:ascii="Arial" w:eastAsia="Times New Roman" w:hAnsi="Arial" w:cs="Arial"/>
          <w:color w:val="000000"/>
          <w:sz w:val="20"/>
          <w:szCs w:val="20"/>
        </w:rPr>
        <w:t xml:space="preserve"> – </w:t>
      </w:r>
      <w:r>
        <w:rPr>
          <w:rFonts w:ascii="Arial" w:eastAsia="Times New Roman" w:hAnsi="Arial" w:cs="Arial"/>
          <w:color w:val="000000"/>
          <w:sz w:val="20"/>
          <w:szCs w:val="20"/>
        </w:rPr>
        <w:t>the Sea Port Oil Terminal (SPOT) project consists of onshore and offshore facilities, including a fixed platform located approximately 30 miles off the coast of Brazoria County, Texas. SPOT is designed to load very large crude carriers at rates of approxim</w:t>
      </w:r>
      <w:r>
        <w:rPr>
          <w:rFonts w:ascii="Arial" w:eastAsia="Times New Roman" w:hAnsi="Arial" w:cs="Arial"/>
          <w:color w:val="000000"/>
          <w:sz w:val="20"/>
          <w:szCs w:val="20"/>
        </w:rPr>
        <w:t>ately 85,000 barrels per hour, or up to approximately 2 million bpd. Along with Enterprise Products Partners, L.P., we announced our intent to jointly develop and market SPOT, and we will work to finalize an equity participation agreement. The agreement wi</w:t>
      </w:r>
      <w:r>
        <w:rPr>
          <w:rFonts w:ascii="Arial" w:eastAsia="Times New Roman" w:hAnsi="Arial" w:cs="Arial"/>
          <w:color w:val="000000"/>
          <w:sz w:val="20"/>
          <w:szCs w:val="20"/>
        </w:rPr>
        <w:t>ll allow us to purchase an ownership interest in SPOT, subject to SPOT receiving a deep-water port license.</w:t>
      </w:r>
    </w:p>
    <w:p w:rsidR="00000000" w:rsidRDefault="001F1FC8">
      <w:pPr>
        <w:divId w:val="1561595201"/>
        <w:rPr>
          <w:rFonts w:eastAsia="Times New Roman"/>
        </w:rPr>
      </w:pPr>
    </w:p>
    <w:p w:rsidR="00000000" w:rsidRDefault="001F1FC8">
      <w:pPr>
        <w:ind w:hanging="360"/>
        <w:divId w:val="14772512"/>
        <w:rPr>
          <w:rFonts w:eastAsia="Times New Roman"/>
        </w:rPr>
      </w:pPr>
      <w:r>
        <w:rPr>
          <w:rFonts w:ascii="Arial" w:eastAsia="Times New Roman" w:hAnsi="Arial" w:cs="Arial"/>
          <w:b/>
          <w:bCs/>
          <w:color w:val="000000"/>
          <w:sz w:val="20"/>
          <w:szCs w:val="20"/>
          <w:shd w:val="clear" w:color="auto" w:fill="FFFFFF"/>
        </w:rPr>
        <w:t>•</w:t>
      </w:r>
      <w:r>
        <w:rPr>
          <w:rFonts w:ascii="Arial" w:eastAsia="Times New Roman" w:hAnsi="Arial" w:cs="Arial"/>
          <w:b/>
          <w:bCs/>
          <w:color w:val="000000"/>
          <w:sz w:val="20"/>
          <w:szCs w:val="20"/>
        </w:rPr>
        <w:t xml:space="preserve">Enbridge Houston Oil Terminal </w:t>
      </w:r>
      <w:r>
        <w:rPr>
          <w:rFonts w:ascii="Arial" w:eastAsia="Times New Roman" w:hAnsi="Arial" w:cs="Arial"/>
          <w:color w:val="000000"/>
          <w:sz w:val="20"/>
          <w:szCs w:val="20"/>
        </w:rPr>
        <w:t>– the terminal is expected to have an ultimate capability of up to 15 million barrels of storage, access to crude o</w:t>
      </w:r>
      <w:r>
        <w:rPr>
          <w:rFonts w:ascii="Arial" w:eastAsia="Times New Roman" w:hAnsi="Arial" w:cs="Arial"/>
          <w:color w:val="000000"/>
          <w:sz w:val="20"/>
          <w:szCs w:val="20"/>
        </w:rPr>
        <w:t>il from all major North American production basins and will be fully integrated with the Seaway Crude Pipeline System to allow for access to Houston-area refineries, existing export facilities, the SPOT project and other facilities in the future.</w:t>
      </w:r>
    </w:p>
    <w:p w:rsidR="00000000" w:rsidRDefault="001F1FC8">
      <w:pPr>
        <w:divId w:val="411321100"/>
        <w:rPr>
          <w:rFonts w:eastAsia="Times New Roman"/>
        </w:rPr>
      </w:pPr>
    </w:p>
    <w:p w:rsidR="00000000" w:rsidRDefault="001F1FC8">
      <w:pPr>
        <w:divId w:val="1294478177"/>
        <w:rPr>
          <w:rFonts w:eastAsia="Times New Roman"/>
        </w:rPr>
      </w:pPr>
      <w:r>
        <w:rPr>
          <w:rFonts w:ascii="Arial" w:eastAsia="Times New Roman" w:hAnsi="Arial" w:cs="Arial"/>
          <w:b/>
          <w:bCs/>
          <w:color w:val="000000"/>
          <w:sz w:val="20"/>
          <w:szCs w:val="20"/>
        </w:rPr>
        <w:t>GAS TRA</w:t>
      </w:r>
      <w:r>
        <w:rPr>
          <w:rFonts w:ascii="Arial" w:eastAsia="Times New Roman" w:hAnsi="Arial" w:cs="Arial"/>
          <w:b/>
          <w:bCs/>
          <w:color w:val="000000"/>
          <w:sz w:val="20"/>
          <w:szCs w:val="20"/>
        </w:rPr>
        <w:t>NSMISSION AND MIDSTREAM</w:t>
      </w:r>
    </w:p>
    <w:p w:rsidR="00000000" w:rsidRDefault="001F1FC8">
      <w:pPr>
        <w:divId w:val="1041976722"/>
        <w:rPr>
          <w:rFonts w:eastAsia="Times New Roman"/>
        </w:rPr>
      </w:pPr>
    </w:p>
    <w:p w:rsidR="00000000" w:rsidRDefault="001F1FC8">
      <w:pPr>
        <w:ind w:hanging="360"/>
        <w:divId w:val="1661551"/>
        <w:rPr>
          <w:rFonts w:eastAsia="Times New Roman"/>
        </w:rPr>
      </w:pPr>
      <w:r>
        <w:rPr>
          <w:rFonts w:ascii="Arial" w:eastAsia="Times New Roman" w:hAnsi="Arial" w:cs="Arial"/>
          <w:b/>
          <w:bCs/>
          <w:color w:val="000000"/>
          <w:sz w:val="20"/>
          <w:szCs w:val="20"/>
          <w:shd w:val="clear" w:color="auto" w:fill="FFFFFF"/>
        </w:rPr>
        <w:t>•</w:t>
      </w:r>
      <w:r>
        <w:rPr>
          <w:rFonts w:ascii="Arial" w:eastAsia="Times New Roman" w:hAnsi="Arial" w:cs="Arial"/>
          <w:b/>
          <w:bCs/>
          <w:color w:val="000000"/>
          <w:sz w:val="20"/>
          <w:szCs w:val="20"/>
        </w:rPr>
        <w:t>Rio Bravo Pipeline</w:t>
      </w:r>
      <w:r>
        <w:rPr>
          <w:rFonts w:ascii="Arial" w:eastAsia="Times New Roman" w:hAnsi="Arial" w:cs="Arial"/>
          <w:color w:val="000000"/>
          <w:sz w:val="20"/>
          <w:szCs w:val="20"/>
        </w:rPr>
        <w:t xml:space="preserve"> – the Rio Bravo Pipeline is designed to transport up to 4.5 billion cubic feet per day (bcf/d) of natural gas from the Agua Dulce supply area to NextDecade Corporation's (NextDecade) Rio Grande liquefied natura</w:t>
      </w:r>
      <w:r>
        <w:rPr>
          <w:rFonts w:ascii="Arial" w:eastAsia="Times New Roman" w:hAnsi="Arial" w:cs="Arial"/>
          <w:color w:val="000000"/>
          <w:sz w:val="20"/>
          <w:szCs w:val="20"/>
        </w:rPr>
        <w:t>l gas (LNG) export facility in the Port of Brownsville, Texas. We have executed a precedent agreement with NextDecade under which we will provide firm transportation capacity on the Rio Bravo Pipeline to NextDecade's Rio Grande LNG export facility for a te</w:t>
      </w:r>
      <w:r>
        <w:rPr>
          <w:rFonts w:ascii="Arial" w:eastAsia="Times New Roman" w:hAnsi="Arial" w:cs="Arial"/>
          <w:color w:val="000000"/>
          <w:sz w:val="20"/>
          <w:szCs w:val="20"/>
        </w:rPr>
        <w:t>rm of at least 20 years. Construction of the pipeline will be subject to the Rio Grande LNG export facility reaching a final investment decision.</w:t>
      </w:r>
    </w:p>
    <w:p w:rsidR="00000000" w:rsidRDefault="001F1FC8">
      <w:pPr>
        <w:divId w:val="2025860878"/>
        <w:rPr>
          <w:rFonts w:eastAsia="Times New Roman"/>
        </w:rPr>
      </w:pPr>
    </w:p>
    <w:p w:rsidR="00000000" w:rsidRDefault="001F1FC8">
      <w:pPr>
        <w:jc w:val="center"/>
        <w:divId w:val="1249077353"/>
        <w:rPr>
          <w:rFonts w:eastAsia="Times New Roman"/>
        </w:rPr>
      </w:pPr>
      <w:r>
        <w:rPr>
          <w:rFonts w:ascii="Arial" w:eastAsia="Times New Roman" w:hAnsi="Arial" w:cs="Arial"/>
          <w:color w:val="000000"/>
          <w:sz w:val="20"/>
          <w:szCs w:val="20"/>
        </w:rPr>
        <w:t>72</w:t>
      </w:r>
    </w:p>
    <w:p w:rsidR="00000000" w:rsidRDefault="001F1FC8">
      <w:pPr>
        <w:rPr>
          <w:rFonts w:eastAsia="Times New Roman"/>
        </w:rPr>
      </w:pPr>
      <w:r>
        <w:rPr>
          <w:rFonts w:eastAsia="Times New Roman"/>
        </w:rPr>
        <w:pict>
          <v:rect id="_x0000_i1102" style="width:0;height:1.5pt" o:hralign="center" o:hrstd="t" o:hr="t" fillcolor="#a0a0a0" stroked="f"/>
        </w:pict>
      </w:r>
    </w:p>
    <w:p w:rsidR="00000000" w:rsidRDefault="001F1FC8">
      <w:pPr>
        <w:jc w:val="center"/>
        <w:divId w:val="2107800993"/>
        <w:rPr>
          <w:rFonts w:eastAsia="Times New Roman"/>
        </w:rPr>
      </w:pPr>
    </w:p>
    <w:p w:rsidR="00000000" w:rsidRDefault="001F1FC8">
      <w:pPr>
        <w:ind w:hanging="360"/>
        <w:divId w:val="627782540"/>
        <w:rPr>
          <w:rFonts w:eastAsia="Times New Roman"/>
        </w:rPr>
      </w:pPr>
      <w:r>
        <w:rPr>
          <w:rFonts w:ascii="Arial" w:eastAsia="Times New Roman" w:hAnsi="Arial" w:cs="Arial"/>
          <w:b/>
          <w:bCs/>
          <w:color w:val="000000"/>
          <w:sz w:val="20"/>
          <w:szCs w:val="20"/>
          <w:shd w:val="clear" w:color="auto" w:fill="FFFFFF"/>
        </w:rPr>
        <w:t>•</w:t>
      </w:r>
      <w:r>
        <w:rPr>
          <w:rFonts w:ascii="Arial" w:eastAsia="Times New Roman" w:hAnsi="Arial" w:cs="Arial"/>
          <w:b/>
          <w:bCs/>
          <w:color w:val="000000"/>
          <w:sz w:val="20"/>
          <w:szCs w:val="20"/>
        </w:rPr>
        <w:t xml:space="preserve">Ridgeline Expansion Project Opportunity </w:t>
      </w:r>
      <w:r>
        <w:rPr>
          <w:rFonts w:ascii="Arial" w:eastAsia="Times New Roman" w:hAnsi="Arial" w:cs="Arial"/>
          <w:color w:val="000000"/>
          <w:sz w:val="20"/>
          <w:szCs w:val="20"/>
        </w:rPr>
        <w:t>–</w:t>
      </w:r>
      <w:r>
        <w:rPr>
          <w:rFonts w:ascii="Arial" w:eastAsia="Times New Roman" w:hAnsi="Arial" w:cs="Arial"/>
          <w:b/>
          <w:bCs/>
          <w:color w:val="000000"/>
          <w:sz w:val="20"/>
          <w:szCs w:val="20"/>
        </w:rPr>
        <w:t xml:space="preserve"> </w:t>
      </w:r>
      <w:r>
        <w:rPr>
          <w:rFonts w:ascii="Arial" w:eastAsia="Times New Roman" w:hAnsi="Arial" w:cs="Arial"/>
          <w:color w:val="000000"/>
          <w:sz w:val="20"/>
          <w:szCs w:val="20"/>
        </w:rPr>
        <w:t>We are working on a pot</w:t>
      </w:r>
      <w:r>
        <w:rPr>
          <w:rFonts w:ascii="Arial" w:eastAsia="Times New Roman" w:hAnsi="Arial" w:cs="Arial"/>
          <w:color w:val="000000"/>
          <w:sz w:val="20"/>
          <w:szCs w:val="20"/>
        </w:rPr>
        <w:t>ential expansion of the ETNG system which would provide additional natural gas for the Tennessee Valley Authority (TVA) to support the replacement of an existing coal-fired power plant as it continues to transition its generation mix towards lower-carbon f</w:t>
      </w:r>
      <w:r>
        <w:rPr>
          <w:rFonts w:ascii="Arial" w:eastAsia="Times New Roman" w:hAnsi="Arial" w:cs="Arial"/>
          <w:color w:val="000000"/>
          <w:sz w:val="20"/>
          <w:szCs w:val="20"/>
        </w:rPr>
        <w:t xml:space="preserve">uels. The TVA environmental review scoping process has begun for this proposed plant; TVA published a Notice of Intent on the Federal Register on June 15, 2021 to initiate their review process. Several options to replace the retiring coal-fired generation </w:t>
      </w:r>
      <w:r>
        <w:rPr>
          <w:rFonts w:ascii="Arial" w:eastAsia="Times New Roman" w:hAnsi="Arial" w:cs="Arial"/>
          <w:color w:val="000000"/>
          <w:sz w:val="20"/>
          <w:szCs w:val="20"/>
        </w:rPr>
        <w:t>would be assessed in TVA’s Environmental Impact Statement (EIS). Should the onsite natural gas option of building a combined cycle plant be selected through TVA’s review, we would deliver on the required expansion of the East Tennessee system. ETNG’s propo</w:t>
      </w:r>
      <w:r>
        <w:rPr>
          <w:rFonts w:ascii="Arial" w:eastAsia="Times New Roman" w:hAnsi="Arial" w:cs="Arial"/>
          <w:color w:val="000000"/>
          <w:sz w:val="20"/>
          <w:szCs w:val="20"/>
        </w:rPr>
        <w:t>sed project would consist of the installation of additional pipeline primarily along the ETNG system, the installation of one electric-powered compressor station and solar facilities behind the meter, as well as other design features all contributing to mi</w:t>
      </w:r>
      <w:r>
        <w:rPr>
          <w:rFonts w:ascii="Arial" w:eastAsia="Times New Roman" w:hAnsi="Arial" w:cs="Arial"/>
          <w:color w:val="000000"/>
          <w:sz w:val="20"/>
          <w:szCs w:val="20"/>
        </w:rPr>
        <w:t>nimizing greenhouse gas emissions. Should TVA’s environmental assessment determine that the natural gas solution of building an onsite combined cycle plant is the optimal supply source, and pending the approval and receipt of all necessary permits, constru</w:t>
      </w:r>
      <w:r>
        <w:rPr>
          <w:rFonts w:ascii="Arial" w:eastAsia="Times New Roman" w:hAnsi="Arial" w:cs="Arial"/>
          <w:color w:val="000000"/>
          <w:sz w:val="20"/>
          <w:szCs w:val="20"/>
        </w:rPr>
        <w:t>ction of the pipeline would begin in 2025 with a target in-service date of fall 2026.</w:t>
      </w:r>
    </w:p>
    <w:p w:rsidR="00000000" w:rsidRDefault="001F1FC8">
      <w:pPr>
        <w:divId w:val="733627767"/>
        <w:rPr>
          <w:rFonts w:eastAsia="Times New Roman"/>
        </w:rPr>
      </w:pPr>
    </w:p>
    <w:p w:rsidR="00000000" w:rsidRDefault="001F1FC8">
      <w:pPr>
        <w:ind w:hanging="360"/>
        <w:divId w:val="1889029485"/>
        <w:rPr>
          <w:rFonts w:eastAsia="Times New Roman"/>
        </w:rPr>
      </w:pPr>
      <w:r>
        <w:rPr>
          <w:rFonts w:ascii="Arial" w:eastAsia="Times New Roman" w:hAnsi="Arial" w:cs="Arial"/>
          <w:b/>
          <w:bCs/>
          <w:color w:val="000000"/>
          <w:sz w:val="20"/>
          <w:szCs w:val="20"/>
          <w:shd w:val="clear" w:color="auto" w:fill="FFFFFF"/>
        </w:rPr>
        <w:t>•</w:t>
      </w:r>
      <w:r>
        <w:rPr>
          <w:rFonts w:ascii="Arial" w:eastAsia="Times New Roman" w:hAnsi="Arial" w:cs="Arial"/>
          <w:b/>
          <w:bCs/>
          <w:color w:val="000000"/>
          <w:sz w:val="20"/>
          <w:szCs w:val="20"/>
        </w:rPr>
        <w:t xml:space="preserve">Valley Crossing Expansion Project </w:t>
      </w:r>
      <w:r>
        <w:rPr>
          <w:rFonts w:ascii="Arial" w:eastAsia="Times New Roman" w:hAnsi="Arial" w:cs="Arial"/>
          <w:color w:val="000000"/>
          <w:sz w:val="20"/>
          <w:szCs w:val="20"/>
        </w:rPr>
        <w:t>–</w:t>
      </w:r>
      <w:r>
        <w:rPr>
          <w:rFonts w:ascii="Arial" w:eastAsia="Times New Roman" w:hAnsi="Arial" w:cs="Arial"/>
          <w:b/>
          <w:bCs/>
          <w:color w:val="000000"/>
          <w:sz w:val="20"/>
          <w:szCs w:val="20"/>
        </w:rPr>
        <w:t xml:space="preserve"> </w:t>
      </w:r>
      <w:r>
        <w:rPr>
          <w:rFonts w:ascii="Arial" w:eastAsia="Times New Roman" w:hAnsi="Arial" w:cs="Arial"/>
          <w:color w:val="000000"/>
          <w:sz w:val="20"/>
          <w:szCs w:val="20"/>
        </w:rPr>
        <w:t xml:space="preserve">On January 10, 2022, we executed a precedent agreement with Texas LNG Brownsville LLC (Texas LNG) under which, via an expansion of </w:t>
      </w:r>
      <w:r>
        <w:rPr>
          <w:rFonts w:ascii="Arial" w:eastAsia="Times New Roman" w:hAnsi="Arial" w:cs="Arial"/>
          <w:color w:val="000000"/>
          <w:sz w:val="20"/>
          <w:szCs w:val="20"/>
        </w:rPr>
        <w:t xml:space="preserve">our Valley Crossing Pipeline, we will provide 0.72 bcf/d firm transportation capacity to Texas LNG’s proposed LNG liquefaction and export facility in the Port of Brownsville, Texas for a term of at least 20 years. Expansion of the pipeline will be subject </w:t>
      </w:r>
      <w:r>
        <w:rPr>
          <w:rFonts w:ascii="Arial" w:eastAsia="Times New Roman" w:hAnsi="Arial" w:cs="Arial"/>
          <w:color w:val="000000"/>
          <w:sz w:val="20"/>
          <w:szCs w:val="20"/>
        </w:rPr>
        <w:t>to Texas LNG’s export facility reaching a final investment decision.</w:t>
      </w:r>
    </w:p>
    <w:p w:rsidR="00000000" w:rsidRDefault="001F1FC8">
      <w:pPr>
        <w:divId w:val="1629817529"/>
        <w:rPr>
          <w:rFonts w:eastAsia="Times New Roman"/>
        </w:rPr>
      </w:pPr>
    </w:p>
    <w:p w:rsidR="00000000" w:rsidRDefault="001F1FC8">
      <w:pPr>
        <w:ind w:hanging="360"/>
        <w:divId w:val="1559050606"/>
        <w:rPr>
          <w:rFonts w:eastAsia="Times New Roman"/>
        </w:rPr>
      </w:pPr>
      <w:r>
        <w:rPr>
          <w:rFonts w:ascii="Arial" w:eastAsia="Times New Roman" w:hAnsi="Arial" w:cs="Arial"/>
          <w:b/>
          <w:bCs/>
          <w:color w:val="000000"/>
          <w:sz w:val="20"/>
          <w:szCs w:val="20"/>
        </w:rPr>
        <w:t>•Texas Eastern Venice Extension Project</w:t>
      </w:r>
      <w:r>
        <w:rPr>
          <w:rFonts w:ascii="Arial" w:eastAsia="Times New Roman" w:hAnsi="Arial" w:cs="Arial"/>
          <w:color w:val="000000"/>
          <w:sz w:val="20"/>
          <w:szCs w:val="20"/>
        </w:rPr>
        <w:t xml:space="preserve"> - a reversal and expansion of Texas Eastern’</w:t>
      </w:r>
      <w:r>
        <w:rPr>
          <w:rFonts w:ascii="Arial" w:eastAsia="Times New Roman" w:hAnsi="Arial" w:cs="Arial"/>
          <w:color w:val="000000"/>
          <w:sz w:val="20"/>
          <w:szCs w:val="20"/>
        </w:rPr>
        <w:t>s Line 40 from its existing New Roads compressor station to a new delivery point with the proposed Gator Express pipeline just south of Texas Eastern’s Larose compressor station. The project is expected to deliver 1.26 bcf/d of feed gas to Venture Global’s</w:t>
      </w:r>
      <w:r>
        <w:rPr>
          <w:rFonts w:ascii="Arial" w:eastAsia="Times New Roman" w:hAnsi="Arial" w:cs="Arial"/>
          <w:color w:val="000000"/>
          <w:sz w:val="20"/>
          <w:szCs w:val="20"/>
        </w:rPr>
        <w:t xml:space="preserve"> proposed Plaquemines LNG export facility located in Plaquemine Parish, Louisiana. The expansion will be subject to the Plaquemines LNG export facility reaching a final investment decision.</w:t>
      </w:r>
    </w:p>
    <w:p w:rsidR="00000000" w:rsidRDefault="001F1FC8">
      <w:pPr>
        <w:divId w:val="1507087039"/>
        <w:rPr>
          <w:rFonts w:eastAsia="Times New Roman"/>
        </w:rPr>
      </w:pPr>
    </w:p>
    <w:p w:rsidR="00000000" w:rsidRDefault="001F1FC8">
      <w:pPr>
        <w:divId w:val="30769130"/>
        <w:rPr>
          <w:rFonts w:eastAsia="Times New Roman"/>
        </w:rPr>
      </w:pPr>
      <w:r>
        <w:rPr>
          <w:rFonts w:ascii="Arial" w:eastAsia="Times New Roman" w:hAnsi="Arial" w:cs="Arial"/>
          <w:color w:val="000000"/>
          <w:sz w:val="20"/>
          <w:szCs w:val="20"/>
        </w:rPr>
        <w:t>We also have a portfolio of additional projects under developmen</w:t>
      </w:r>
      <w:r>
        <w:rPr>
          <w:rFonts w:ascii="Arial" w:eastAsia="Times New Roman" w:hAnsi="Arial" w:cs="Arial"/>
          <w:color w:val="000000"/>
          <w:sz w:val="20"/>
          <w:szCs w:val="20"/>
        </w:rPr>
        <w:t>t that have not yet progressed to the point of securement.</w:t>
      </w:r>
    </w:p>
    <w:p w:rsidR="00000000" w:rsidRDefault="001F1FC8">
      <w:pPr>
        <w:divId w:val="1854145476"/>
        <w:rPr>
          <w:rFonts w:eastAsia="Times New Roman"/>
        </w:rPr>
      </w:pPr>
    </w:p>
    <w:p w:rsidR="00000000" w:rsidRDefault="001F1FC8">
      <w:pPr>
        <w:divId w:val="2011252898"/>
        <w:rPr>
          <w:rFonts w:eastAsia="Times New Roman"/>
        </w:rPr>
      </w:pPr>
      <w:r>
        <w:rPr>
          <w:rFonts w:ascii="Arial" w:eastAsia="Times New Roman" w:hAnsi="Arial" w:cs="Arial"/>
          <w:b/>
          <w:bCs/>
          <w:color w:val="000000"/>
          <w:sz w:val="26"/>
          <w:szCs w:val="26"/>
        </w:rPr>
        <w:t>LIQUIDITY AND CAPITAL RESOURCES</w:t>
      </w:r>
    </w:p>
    <w:p w:rsidR="00000000" w:rsidRDefault="001F1FC8">
      <w:pPr>
        <w:divId w:val="25185242"/>
        <w:rPr>
          <w:rFonts w:eastAsia="Times New Roman"/>
        </w:rPr>
      </w:pPr>
    </w:p>
    <w:p w:rsidR="00000000" w:rsidRDefault="001F1FC8">
      <w:pPr>
        <w:divId w:val="120609828"/>
        <w:rPr>
          <w:rFonts w:eastAsia="Times New Roman"/>
        </w:rPr>
      </w:pPr>
      <w:r>
        <w:rPr>
          <w:rFonts w:ascii="Arial" w:eastAsia="Times New Roman" w:hAnsi="Arial" w:cs="Arial"/>
          <w:color w:val="000000"/>
          <w:sz w:val="20"/>
          <w:szCs w:val="20"/>
        </w:rPr>
        <w:t xml:space="preserve">The maintenance of financial strength and flexibility is fundamental to our growth strategy, particularly in light of the significant number and size of capital </w:t>
      </w:r>
      <w:r>
        <w:rPr>
          <w:rFonts w:ascii="Arial" w:eastAsia="Times New Roman" w:hAnsi="Arial" w:cs="Arial"/>
          <w:color w:val="000000"/>
          <w:sz w:val="20"/>
          <w:szCs w:val="20"/>
        </w:rPr>
        <w:t>projects currently secured or under development. Access to timely funding from capital markets could be limited by factors outside our control including, but not limited to, financial market volatility resulting from economic and political events both insi</w:t>
      </w:r>
      <w:r>
        <w:rPr>
          <w:rFonts w:ascii="Arial" w:eastAsia="Times New Roman" w:hAnsi="Arial" w:cs="Arial"/>
          <w:color w:val="000000"/>
          <w:sz w:val="20"/>
          <w:szCs w:val="20"/>
        </w:rPr>
        <w:t>de and outside North America. To mitigate such risks, we actively manage financial plans and strategies to ensure we maintain sufficient liquidity to meet routine operating and future capital requirements. In the near term, we generally expect to utilize c</w:t>
      </w:r>
      <w:r>
        <w:rPr>
          <w:rFonts w:ascii="Arial" w:eastAsia="Times New Roman" w:hAnsi="Arial" w:cs="Arial"/>
          <w:color w:val="000000"/>
          <w:sz w:val="20"/>
          <w:szCs w:val="20"/>
        </w:rPr>
        <w:t xml:space="preserve">ash from operations together with commercial paper issuance and/or credit facility draws and the proceeds of capital market offerings to fund liabilities as they become due, finance capital expenditures, fund debt retirements and pay common and preference </w:t>
      </w:r>
      <w:r>
        <w:rPr>
          <w:rFonts w:ascii="Arial" w:eastAsia="Times New Roman" w:hAnsi="Arial" w:cs="Arial"/>
          <w:color w:val="000000"/>
          <w:sz w:val="20"/>
          <w:szCs w:val="20"/>
        </w:rPr>
        <w:t xml:space="preserve">share dividends. We target to maintain sufficient liquidity through securement of committed credit facilities with a diversified group of banks and financial institutions to enable us to fund all anticipated requirements for approximately one year without </w:t>
      </w:r>
      <w:r>
        <w:rPr>
          <w:rFonts w:ascii="Arial" w:eastAsia="Times New Roman" w:hAnsi="Arial" w:cs="Arial"/>
          <w:color w:val="000000"/>
          <w:sz w:val="20"/>
          <w:szCs w:val="20"/>
        </w:rPr>
        <w:t>accessing the capital markets.</w:t>
      </w:r>
    </w:p>
    <w:p w:rsidR="00000000" w:rsidRDefault="001F1FC8">
      <w:pPr>
        <w:divId w:val="1736002301"/>
        <w:rPr>
          <w:rFonts w:eastAsia="Times New Roman"/>
        </w:rPr>
      </w:pPr>
    </w:p>
    <w:p w:rsidR="00000000" w:rsidRDefault="001F1FC8">
      <w:pPr>
        <w:divId w:val="1598978876"/>
        <w:rPr>
          <w:rFonts w:eastAsia="Times New Roman"/>
        </w:rPr>
      </w:pPr>
      <w:r>
        <w:rPr>
          <w:rFonts w:ascii="Arial" w:eastAsia="Times New Roman" w:hAnsi="Arial" w:cs="Arial"/>
          <w:color w:val="000000"/>
          <w:sz w:val="20"/>
          <w:szCs w:val="20"/>
        </w:rPr>
        <w:t xml:space="preserve">Material contractual obligations arising in the normal course of business primarily consist of long-term contracts, annual debt maturities and related interest obligations, rights-of-way and leases. See Part II. </w:t>
      </w:r>
      <w:r>
        <w:rPr>
          <w:rFonts w:ascii="Arial" w:eastAsia="Times New Roman" w:hAnsi="Arial" w:cs="Arial"/>
          <w:i/>
          <w:iCs/>
          <w:color w:val="000000"/>
          <w:sz w:val="20"/>
          <w:szCs w:val="20"/>
        </w:rPr>
        <w:t>Item 8. Fin</w:t>
      </w:r>
      <w:r>
        <w:rPr>
          <w:rFonts w:ascii="Arial" w:eastAsia="Times New Roman" w:hAnsi="Arial" w:cs="Arial"/>
          <w:i/>
          <w:iCs/>
          <w:color w:val="000000"/>
          <w:sz w:val="20"/>
          <w:szCs w:val="20"/>
        </w:rPr>
        <w:t>ancial Statements and Supplementary data - Note 18 - Debt and Note 27 - Leases</w:t>
      </w:r>
      <w:r>
        <w:rPr>
          <w:rFonts w:ascii="Arial" w:eastAsia="Times New Roman" w:hAnsi="Arial" w:cs="Arial"/>
          <w:color w:val="000000"/>
          <w:sz w:val="20"/>
          <w:szCs w:val="20"/>
        </w:rPr>
        <w:t xml:space="preserve"> for amounts outstanding at December 31, 2021, related to debt and leases.</w:t>
      </w:r>
    </w:p>
    <w:p w:rsidR="00000000" w:rsidRDefault="001F1FC8">
      <w:pPr>
        <w:divId w:val="1637106019"/>
        <w:rPr>
          <w:rFonts w:eastAsia="Times New Roman"/>
        </w:rPr>
      </w:pPr>
    </w:p>
    <w:p w:rsidR="00000000" w:rsidRDefault="001F1FC8">
      <w:pPr>
        <w:jc w:val="center"/>
        <w:divId w:val="27030835"/>
        <w:rPr>
          <w:rFonts w:eastAsia="Times New Roman"/>
        </w:rPr>
      </w:pPr>
      <w:r>
        <w:rPr>
          <w:rFonts w:ascii="Arial" w:eastAsia="Times New Roman" w:hAnsi="Arial" w:cs="Arial"/>
          <w:color w:val="000000"/>
          <w:sz w:val="20"/>
          <w:szCs w:val="20"/>
        </w:rPr>
        <w:t>73</w:t>
      </w:r>
    </w:p>
    <w:p w:rsidR="00000000" w:rsidRDefault="001F1FC8">
      <w:pPr>
        <w:rPr>
          <w:rFonts w:eastAsia="Times New Roman"/>
        </w:rPr>
      </w:pPr>
      <w:r>
        <w:rPr>
          <w:rFonts w:eastAsia="Times New Roman"/>
        </w:rPr>
        <w:pict>
          <v:rect id="_x0000_i1103" style="width:0;height:1.5pt" o:hralign="center" o:hrstd="t" o:hr="t" fillcolor="#a0a0a0" stroked="f"/>
        </w:pict>
      </w:r>
    </w:p>
    <w:p w:rsidR="00000000" w:rsidRDefault="001F1FC8">
      <w:pPr>
        <w:jc w:val="center"/>
        <w:divId w:val="1315067082"/>
        <w:rPr>
          <w:rFonts w:eastAsia="Times New Roman"/>
        </w:rPr>
      </w:pPr>
    </w:p>
    <w:p w:rsidR="00000000" w:rsidRDefault="001F1FC8">
      <w:pPr>
        <w:divId w:val="1472019332"/>
        <w:rPr>
          <w:rFonts w:eastAsia="Times New Roman"/>
        </w:rPr>
      </w:pPr>
      <w:r>
        <w:rPr>
          <w:rFonts w:ascii="Arial" w:eastAsia="Times New Roman" w:hAnsi="Arial" w:cs="Arial"/>
          <w:color w:val="000000"/>
          <w:sz w:val="20"/>
          <w:szCs w:val="20"/>
        </w:rPr>
        <w:t>Long-term contracts are contracts that we have signed for th</w:t>
      </w:r>
      <w:r>
        <w:rPr>
          <w:rFonts w:ascii="Arial" w:eastAsia="Times New Roman" w:hAnsi="Arial" w:cs="Arial"/>
          <w:color w:val="000000"/>
          <w:sz w:val="20"/>
          <w:szCs w:val="20"/>
        </w:rPr>
        <w:t xml:space="preserve">e purchase of services, pipe and other materials totaling $5.9 billion which are expected to be paid over the next five years. Long-term contracts also consists of the following purchase obligations: gas transportation and storage contracts, firm capacity </w:t>
      </w:r>
      <w:r>
        <w:rPr>
          <w:rFonts w:ascii="Arial" w:eastAsia="Times New Roman" w:hAnsi="Arial" w:cs="Arial"/>
          <w:color w:val="000000"/>
          <w:sz w:val="20"/>
          <w:szCs w:val="20"/>
        </w:rPr>
        <w:t>payments and gas purchase commitments, transportation, service and product purchase obligations, and power commitments.</w:t>
      </w:r>
    </w:p>
    <w:p w:rsidR="00000000" w:rsidRDefault="001F1FC8">
      <w:pPr>
        <w:divId w:val="1656912365"/>
        <w:rPr>
          <w:rFonts w:eastAsia="Times New Roman"/>
        </w:rPr>
      </w:pPr>
    </w:p>
    <w:p w:rsidR="00000000" w:rsidRDefault="001F1FC8">
      <w:pPr>
        <w:divId w:val="934243159"/>
        <w:rPr>
          <w:rFonts w:eastAsia="Times New Roman"/>
        </w:rPr>
      </w:pPr>
      <w:r>
        <w:rPr>
          <w:rFonts w:ascii="Arial" w:eastAsia="Times New Roman" w:hAnsi="Arial" w:cs="Arial"/>
          <w:color w:val="000000"/>
          <w:sz w:val="20"/>
          <w:szCs w:val="20"/>
        </w:rPr>
        <w:t>Our financing plan is regularly updated to reflect evolving capital requirements and financial market conditions and identifies a vari</w:t>
      </w:r>
      <w:r>
        <w:rPr>
          <w:rFonts w:ascii="Arial" w:eastAsia="Times New Roman" w:hAnsi="Arial" w:cs="Arial"/>
          <w:color w:val="000000"/>
          <w:sz w:val="20"/>
          <w:szCs w:val="20"/>
        </w:rPr>
        <w:t>ety of potential sources of debt and equity funding alternatives. Our current financing plan does not include any issuances of additional common equity. On January 19, 2022, we closed a $750 million private placement offering of non-call 10-year fixed-to-f</w:t>
      </w:r>
      <w:r>
        <w:rPr>
          <w:rFonts w:ascii="Arial" w:eastAsia="Times New Roman" w:hAnsi="Arial" w:cs="Arial"/>
          <w:color w:val="000000"/>
          <w:sz w:val="20"/>
          <w:szCs w:val="20"/>
        </w:rPr>
        <w:t>ixed subordinated notes which mature on January 19, 2082. The net proceeds from the offering will be used to redeem the Preference Shares, Series 17 at par on March 1, 2022.</w:t>
      </w:r>
    </w:p>
    <w:p w:rsidR="00000000" w:rsidRDefault="001F1FC8">
      <w:pPr>
        <w:divId w:val="133525393"/>
        <w:rPr>
          <w:rFonts w:eastAsia="Times New Roman"/>
        </w:rPr>
      </w:pPr>
    </w:p>
    <w:p w:rsidR="00000000" w:rsidRDefault="001F1FC8">
      <w:pPr>
        <w:divId w:val="737821462"/>
        <w:rPr>
          <w:rFonts w:eastAsia="Times New Roman"/>
        </w:rPr>
      </w:pPr>
      <w:r>
        <w:rPr>
          <w:rFonts w:ascii="Arial" w:eastAsia="Times New Roman" w:hAnsi="Arial" w:cs="Arial"/>
          <w:b/>
          <w:bCs/>
          <w:color w:val="000000"/>
          <w:sz w:val="20"/>
          <w:szCs w:val="20"/>
        </w:rPr>
        <w:t>CAPITAL MARKET ACCESS</w:t>
      </w:r>
    </w:p>
    <w:p w:rsidR="00000000" w:rsidRDefault="001F1FC8">
      <w:pPr>
        <w:divId w:val="970667064"/>
        <w:rPr>
          <w:rFonts w:eastAsia="Times New Roman"/>
        </w:rPr>
      </w:pPr>
      <w:r>
        <w:rPr>
          <w:rFonts w:ascii="Arial" w:eastAsia="Times New Roman" w:hAnsi="Arial" w:cs="Arial"/>
          <w:color w:val="000000"/>
          <w:sz w:val="20"/>
          <w:szCs w:val="20"/>
        </w:rPr>
        <w:t>We ensure ready access to capital markets, subject to market conditions, through maintenance of shelf prospectuses that allow for issuance of long-term debt, equity and other forms of long-term capital when market conditions are attractive. In accordance w</w:t>
      </w:r>
      <w:r>
        <w:rPr>
          <w:rFonts w:ascii="Arial" w:eastAsia="Times New Roman" w:hAnsi="Arial" w:cs="Arial"/>
          <w:color w:val="000000"/>
          <w:sz w:val="20"/>
          <w:szCs w:val="20"/>
        </w:rPr>
        <w:t>ith our funding plan, we completed the following long-term debt issuances totaling US$3.9 billion and $3.2 billion in 2021:</w:t>
      </w:r>
    </w:p>
    <w:p w:rsidR="00000000" w:rsidRDefault="001F1FC8">
      <w:pPr>
        <w:divId w:val="1453596237"/>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68"/>
        <w:gridCol w:w="2451"/>
        <w:gridCol w:w="36"/>
        <w:gridCol w:w="69"/>
        <w:gridCol w:w="1757"/>
        <w:gridCol w:w="37"/>
        <w:gridCol w:w="69"/>
        <w:gridCol w:w="2664"/>
        <w:gridCol w:w="37"/>
        <w:gridCol w:w="70"/>
        <w:gridCol w:w="1012"/>
        <w:gridCol w:w="36"/>
      </w:tblGrid>
      <w:tr w:rsidR="00000000">
        <w:trPr>
          <w:divId w:val="1406106177"/>
        </w:trPr>
        <w:tc>
          <w:tcPr>
            <w:tcW w:w="50" w:type="pct"/>
            <w:vAlign w:val="center"/>
            <w:hideMark/>
          </w:tcPr>
          <w:p w:rsidR="00000000" w:rsidRDefault="001F1FC8">
            <w:pPr>
              <w:rPr>
                <w:rFonts w:eastAsia="Times New Roman"/>
              </w:rPr>
            </w:pPr>
          </w:p>
        </w:tc>
        <w:tc>
          <w:tcPr>
            <w:tcW w:w="1483"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c>
          <w:tcPr>
            <w:tcW w:w="50" w:type="pct"/>
            <w:vAlign w:val="center"/>
            <w:hideMark/>
          </w:tcPr>
          <w:p w:rsidR="00000000" w:rsidRDefault="001F1FC8">
            <w:pPr>
              <w:rPr>
                <w:rFonts w:eastAsia="Times New Roman"/>
                <w:sz w:val="20"/>
                <w:szCs w:val="20"/>
              </w:rPr>
            </w:pPr>
          </w:p>
        </w:tc>
        <w:tc>
          <w:tcPr>
            <w:tcW w:w="1066"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c>
          <w:tcPr>
            <w:tcW w:w="50" w:type="pct"/>
            <w:vAlign w:val="center"/>
            <w:hideMark/>
          </w:tcPr>
          <w:p w:rsidR="00000000" w:rsidRDefault="001F1FC8">
            <w:pPr>
              <w:rPr>
                <w:rFonts w:eastAsia="Times New Roman"/>
                <w:sz w:val="20"/>
                <w:szCs w:val="20"/>
              </w:rPr>
            </w:pPr>
          </w:p>
        </w:tc>
        <w:tc>
          <w:tcPr>
            <w:tcW w:w="1611"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c>
          <w:tcPr>
            <w:tcW w:w="50" w:type="pct"/>
            <w:vAlign w:val="center"/>
            <w:hideMark/>
          </w:tcPr>
          <w:p w:rsidR="00000000" w:rsidRDefault="001F1FC8">
            <w:pPr>
              <w:rPr>
                <w:rFonts w:eastAsia="Times New Roman"/>
                <w:sz w:val="20"/>
                <w:szCs w:val="20"/>
              </w:rPr>
            </w:pPr>
          </w:p>
        </w:tc>
        <w:tc>
          <w:tcPr>
            <w:tcW w:w="618"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r>
      <w:tr w:rsidR="00000000">
        <w:trPr>
          <w:divId w:val="1406106177"/>
        </w:trPr>
        <w:tc>
          <w:tcPr>
            <w:tcW w:w="0" w:type="auto"/>
            <w:gridSpan w:val="3"/>
            <w:tcMar>
              <w:top w:w="30" w:type="dxa"/>
              <w:left w:w="20" w:type="dxa"/>
              <w:bottom w:w="30" w:type="dxa"/>
              <w:right w:w="20" w:type="dxa"/>
            </w:tcMar>
            <w:vAlign w:val="bottom"/>
            <w:hideMark/>
          </w:tcPr>
          <w:p w:rsidR="00000000" w:rsidRDefault="001F1FC8">
            <w:pPr>
              <w:rPr>
                <w:rFonts w:eastAsia="Times New Roman"/>
              </w:rPr>
            </w:pPr>
            <w:r>
              <w:rPr>
                <w:rFonts w:ascii="Arial" w:eastAsia="Times New Roman" w:hAnsi="Arial" w:cs="Arial"/>
                <w:color w:val="000000"/>
                <w:sz w:val="20"/>
                <w:szCs w:val="20"/>
              </w:rPr>
              <w:t>Entity</w:t>
            </w:r>
          </w:p>
        </w:tc>
        <w:tc>
          <w:tcPr>
            <w:tcW w:w="0" w:type="auto"/>
            <w:gridSpan w:val="3"/>
            <w:tcBorders>
              <w:bottom w:val="single" w:sz="4" w:space="0" w:color="000000"/>
            </w:tcBorders>
            <w:tcMar>
              <w:top w:w="30" w:type="dxa"/>
              <w:left w:w="20" w:type="dxa"/>
              <w:bottom w:w="30" w:type="dxa"/>
              <w:right w:w="20" w:type="dxa"/>
            </w:tcMar>
            <w:vAlign w:val="bottom"/>
            <w:hideMark/>
          </w:tcPr>
          <w:p w:rsidR="00000000" w:rsidRDefault="001F1FC8">
            <w:pPr>
              <w:rPr>
                <w:rFonts w:eastAsia="Times New Roman"/>
              </w:rPr>
            </w:pPr>
            <w:r>
              <w:rPr>
                <w:rFonts w:ascii="Arial" w:eastAsia="Times New Roman" w:hAnsi="Arial" w:cs="Arial"/>
                <w:color w:val="000000"/>
                <w:sz w:val="20"/>
                <w:szCs w:val="20"/>
              </w:rPr>
              <w:t>Issuance Date</w:t>
            </w:r>
          </w:p>
        </w:tc>
        <w:tc>
          <w:tcPr>
            <w:tcW w:w="0" w:type="auto"/>
            <w:gridSpan w:val="3"/>
            <w:tcBorders>
              <w:bottom w:val="single" w:sz="4" w:space="0" w:color="000000"/>
            </w:tcBorders>
            <w:tcMar>
              <w:top w:w="30" w:type="dxa"/>
              <w:left w:w="20" w:type="dxa"/>
              <w:bottom w:w="30" w:type="dxa"/>
              <w:right w:w="20" w:type="dxa"/>
            </w:tcMar>
            <w:vAlign w:val="bottom"/>
            <w:hideMark/>
          </w:tcPr>
          <w:p w:rsidR="00000000" w:rsidRDefault="001F1FC8">
            <w:pPr>
              <w:rPr>
                <w:rFonts w:eastAsia="Times New Roman"/>
              </w:rPr>
            </w:pPr>
            <w:r>
              <w:rPr>
                <w:rFonts w:ascii="Arial" w:eastAsia="Times New Roman" w:hAnsi="Arial" w:cs="Arial"/>
                <w:color w:val="000000"/>
                <w:sz w:val="20"/>
                <w:szCs w:val="20"/>
              </w:rPr>
              <w:t>Type of Issuance</w:t>
            </w:r>
          </w:p>
        </w:tc>
        <w:tc>
          <w:tcPr>
            <w:tcW w:w="0" w:type="auto"/>
            <w:gridSpan w:val="3"/>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Amount</w:t>
            </w:r>
          </w:p>
        </w:tc>
      </w:tr>
      <w:tr w:rsidR="00000000">
        <w:trPr>
          <w:divId w:val="1406106177"/>
        </w:trPr>
        <w:tc>
          <w:tcPr>
            <w:tcW w:w="0" w:type="auto"/>
            <w:gridSpan w:val="9"/>
            <w:tcBorders>
              <w:top w:val="single" w:sz="4" w:space="0" w:color="000000"/>
            </w:tcBorders>
            <w:tcMar>
              <w:top w:w="30" w:type="dxa"/>
              <w:left w:w="20" w:type="dxa"/>
              <w:bottom w:w="30" w:type="dxa"/>
              <w:right w:w="20" w:type="dxa"/>
            </w:tcMar>
            <w:hideMark/>
          </w:tcPr>
          <w:p w:rsidR="00000000" w:rsidRDefault="001F1FC8">
            <w:pPr>
              <w:rPr>
                <w:rFonts w:eastAsia="Times New Roman"/>
              </w:rPr>
            </w:pPr>
            <w:r>
              <w:rPr>
                <w:rFonts w:ascii="Arial" w:eastAsia="Times New Roman" w:hAnsi="Arial" w:cs="Arial"/>
                <w:i/>
                <w:iCs/>
                <w:color w:val="000000"/>
                <w:sz w:val="16"/>
                <w:szCs w:val="16"/>
              </w:rPr>
              <w:t>(in millions of Canadian dollars, unless stated otherwise)</w:t>
            </w: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2"/>
                <w:szCs w:val="2"/>
              </w:rPr>
              <w:t> </w:t>
            </w:r>
          </w:p>
        </w:tc>
      </w:tr>
      <w:tr w:rsidR="00000000">
        <w:trPr>
          <w:divId w:val="1406106177"/>
        </w:trPr>
        <w:tc>
          <w:tcPr>
            <w:tcW w:w="0" w:type="auto"/>
            <w:gridSpan w:val="3"/>
            <w:tcMar>
              <w:top w:w="30" w:type="dxa"/>
              <w:left w:w="20" w:type="dxa"/>
              <w:bottom w:w="30" w:type="dxa"/>
              <w:right w:w="20" w:type="dxa"/>
            </w:tcMar>
            <w:hideMark/>
          </w:tcPr>
          <w:p w:rsidR="00000000" w:rsidRDefault="001F1FC8">
            <w:pPr>
              <w:rPr>
                <w:rFonts w:eastAsia="Times New Roman"/>
              </w:rPr>
            </w:pPr>
            <w:r>
              <w:rPr>
                <w:rFonts w:ascii="Arial" w:eastAsia="Times New Roman" w:hAnsi="Arial" w:cs="Arial"/>
                <w:color w:val="000000"/>
                <w:sz w:val="20"/>
                <w:szCs w:val="20"/>
              </w:rPr>
              <w:t>Enbridge Inc.</w:t>
            </w:r>
          </w:p>
        </w:tc>
        <w:tc>
          <w:tcPr>
            <w:tcW w:w="0" w:type="auto"/>
            <w:gridSpan w:val="3"/>
            <w:tcMar>
              <w:top w:w="30" w:type="dxa"/>
              <w:left w:w="20" w:type="dxa"/>
              <w:bottom w:w="30" w:type="dxa"/>
              <w:right w:w="20" w:type="dxa"/>
            </w:tcMar>
            <w:vAlign w:val="bottom"/>
            <w:hideMark/>
          </w:tcPr>
          <w:p w:rsidR="00000000" w:rsidRDefault="001F1FC8">
            <w:pPr>
              <w:rPr>
                <w:rFonts w:eastAsia="Times New Roman"/>
              </w:rPr>
            </w:pPr>
            <w:r>
              <w:rPr>
                <w:rFonts w:ascii="Arial" w:eastAsia="Times New Roman" w:hAnsi="Arial" w:cs="Arial"/>
                <w:color w:val="000000"/>
                <w:sz w:val="20"/>
                <w:szCs w:val="20"/>
              </w:rPr>
              <w:t>February 2021</w:t>
            </w:r>
          </w:p>
        </w:tc>
        <w:tc>
          <w:tcPr>
            <w:tcW w:w="0" w:type="auto"/>
            <w:gridSpan w:val="3"/>
            <w:tcMar>
              <w:top w:w="30" w:type="dxa"/>
              <w:left w:w="20" w:type="dxa"/>
              <w:bottom w:w="30" w:type="dxa"/>
              <w:right w:w="20" w:type="dxa"/>
            </w:tcMar>
            <w:hideMark/>
          </w:tcPr>
          <w:p w:rsidR="00000000" w:rsidRDefault="001F1FC8">
            <w:pPr>
              <w:rPr>
                <w:rFonts w:eastAsia="Times New Roman"/>
              </w:rPr>
            </w:pPr>
            <w:r>
              <w:rPr>
                <w:rFonts w:ascii="Arial" w:eastAsia="Times New Roman" w:hAnsi="Arial" w:cs="Arial"/>
                <w:color w:val="000000"/>
                <w:sz w:val="20"/>
                <w:szCs w:val="20"/>
              </w:rPr>
              <w:t>Floating rate senior-notes</w:t>
            </w:r>
          </w:p>
        </w:tc>
        <w:tc>
          <w:tcPr>
            <w:tcW w:w="0" w:type="auto"/>
            <w:gridSpan w:val="3"/>
            <w:tcMar>
              <w:top w:w="30" w:type="dxa"/>
              <w:left w:w="20" w:type="dxa"/>
              <w:bottom w:w="30" w:type="dxa"/>
              <w:right w:w="20" w:type="dxa"/>
            </w:tcMar>
            <w:hideMark/>
          </w:tcPr>
          <w:p w:rsidR="00000000" w:rsidRDefault="001F1FC8">
            <w:pPr>
              <w:jc w:val="right"/>
              <w:rPr>
                <w:rFonts w:eastAsia="Times New Roman"/>
              </w:rPr>
            </w:pPr>
            <w:r>
              <w:rPr>
                <w:rFonts w:ascii="Arial" w:eastAsia="Times New Roman" w:hAnsi="Arial" w:cs="Arial"/>
                <w:color w:val="000000"/>
                <w:sz w:val="20"/>
                <w:szCs w:val="20"/>
              </w:rPr>
              <w:t>US$500</w:t>
            </w:r>
          </w:p>
        </w:tc>
      </w:tr>
      <w:tr w:rsidR="00000000">
        <w:trPr>
          <w:divId w:val="1406106177"/>
        </w:trPr>
        <w:tc>
          <w:tcPr>
            <w:tcW w:w="0" w:type="auto"/>
            <w:gridSpan w:val="3"/>
            <w:tcMar>
              <w:top w:w="30" w:type="dxa"/>
              <w:left w:w="20" w:type="dxa"/>
              <w:bottom w:w="30" w:type="dxa"/>
              <w:right w:w="20" w:type="dxa"/>
            </w:tcMar>
            <w:hideMark/>
          </w:tcPr>
          <w:p w:rsidR="00000000" w:rsidRDefault="001F1FC8">
            <w:pPr>
              <w:rPr>
                <w:rFonts w:eastAsia="Times New Roman"/>
              </w:rPr>
            </w:pPr>
            <w:r>
              <w:rPr>
                <w:rFonts w:ascii="Arial" w:eastAsia="Times New Roman" w:hAnsi="Arial" w:cs="Arial"/>
                <w:color w:val="000000"/>
                <w:sz w:val="20"/>
                <w:szCs w:val="20"/>
              </w:rPr>
              <w:t>Enbridge Inc.</w:t>
            </w:r>
          </w:p>
        </w:tc>
        <w:tc>
          <w:tcPr>
            <w:tcW w:w="0" w:type="auto"/>
            <w:gridSpan w:val="3"/>
            <w:tcMar>
              <w:top w:w="30" w:type="dxa"/>
              <w:left w:w="20" w:type="dxa"/>
              <w:bottom w:w="30" w:type="dxa"/>
              <w:right w:w="20" w:type="dxa"/>
            </w:tcMar>
            <w:vAlign w:val="bottom"/>
            <w:hideMark/>
          </w:tcPr>
          <w:p w:rsidR="00000000" w:rsidRDefault="001F1FC8">
            <w:pPr>
              <w:rPr>
                <w:rFonts w:eastAsia="Times New Roman"/>
              </w:rPr>
            </w:pPr>
            <w:r>
              <w:rPr>
                <w:rFonts w:ascii="Arial" w:eastAsia="Times New Roman" w:hAnsi="Arial" w:cs="Arial"/>
                <w:color w:val="000000"/>
                <w:sz w:val="20"/>
                <w:szCs w:val="20"/>
              </w:rPr>
              <w:t>June 2021</w:t>
            </w:r>
          </w:p>
        </w:tc>
        <w:tc>
          <w:tcPr>
            <w:tcW w:w="0" w:type="auto"/>
            <w:gridSpan w:val="3"/>
            <w:tcMar>
              <w:top w:w="30" w:type="dxa"/>
              <w:left w:w="20" w:type="dxa"/>
              <w:bottom w:w="30" w:type="dxa"/>
              <w:right w:w="20" w:type="dxa"/>
            </w:tcMar>
            <w:hideMark/>
          </w:tcPr>
          <w:p w:rsidR="00000000" w:rsidRDefault="001F1FC8">
            <w:pPr>
              <w:rPr>
                <w:rFonts w:eastAsia="Times New Roman"/>
              </w:rPr>
            </w:pPr>
            <w:r>
              <w:rPr>
                <w:rFonts w:ascii="Arial" w:eastAsia="Times New Roman" w:hAnsi="Arial" w:cs="Arial"/>
                <w:color w:val="000000"/>
                <w:sz w:val="20"/>
                <w:szCs w:val="20"/>
              </w:rPr>
              <w:t>Sustainability-linked senior notes</w:t>
            </w:r>
          </w:p>
        </w:tc>
        <w:tc>
          <w:tcPr>
            <w:tcW w:w="0" w:type="auto"/>
            <w:gridSpan w:val="3"/>
            <w:tcMar>
              <w:top w:w="30" w:type="dxa"/>
              <w:left w:w="20" w:type="dxa"/>
              <w:bottom w:w="30" w:type="dxa"/>
              <w:right w:w="20" w:type="dxa"/>
            </w:tcMar>
            <w:hideMark/>
          </w:tcPr>
          <w:p w:rsidR="00000000" w:rsidRDefault="001F1FC8">
            <w:pPr>
              <w:jc w:val="right"/>
              <w:rPr>
                <w:rFonts w:eastAsia="Times New Roman"/>
              </w:rPr>
            </w:pPr>
            <w:r>
              <w:rPr>
                <w:rFonts w:ascii="Arial" w:eastAsia="Times New Roman" w:hAnsi="Arial" w:cs="Arial"/>
                <w:color w:val="000000"/>
                <w:sz w:val="20"/>
                <w:szCs w:val="20"/>
              </w:rPr>
              <w:t>US$1,000</w:t>
            </w:r>
          </w:p>
        </w:tc>
      </w:tr>
      <w:tr w:rsidR="00000000">
        <w:trPr>
          <w:divId w:val="1406106177"/>
        </w:trPr>
        <w:tc>
          <w:tcPr>
            <w:tcW w:w="0" w:type="auto"/>
            <w:gridSpan w:val="3"/>
            <w:tcMar>
              <w:top w:w="30" w:type="dxa"/>
              <w:left w:w="20" w:type="dxa"/>
              <w:bottom w:w="30" w:type="dxa"/>
              <w:right w:w="20" w:type="dxa"/>
            </w:tcMar>
            <w:hideMark/>
          </w:tcPr>
          <w:p w:rsidR="00000000" w:rsidRDefault="001F1FC8">
            <w:pPr>
              <w:rPr>
                <w:rFonts w:eastAsia="Times New Roman"/>
              </w:rPr>
            </w:pPr>
            <w:r>
              <w:rPr>
                <w:rFonts w:ascii="Arial" w:eastAsia="Times New Roman" w:hAnsi="Arial" w:cs="Arial"/>
                <w:color w:val="000000"/>
                <w:sz w:val="20"/>
                <w:szCs w:val="20"/>
              </w:rPr>
              <w:t>Enbridge Inc.</w:t>
            </w:r>
          </w:p>
        </w:tc>
        <w:tc>
          <w:tcPr>
            <w:tcW w:w="0" w:type="auto"/>
            <w:gridSpan w:val="3"/>
            <w:tcMar>
              <w:top w:w="30" w:type="dxa"/>
              <w:left w:w="20" w:type="dxa"/>
              <w:bottom w:w="30" w:type="dxa"/>
              <w:right w:w="20" w:type="dxa"/>
            </w:tcMar>
            <w:vAlign w:val="bottom"/>
            <w:hideMark/>
          </w:tcPr>
          <w:p w:rsidR="00000000" w:rsidRDefault="001F1FC8">
            <w:pPr>
              <w:rPr>
                <w:rFonts w:eastAsia="Times New Roman"/>
              </w:rPr>
            </w:pPr>
            <w:r>
              <w:rPr>
                <w:rFonts w:ascii="Arial" w:eastAsia="Times New Roman" w:hAnsi="Arial" w:cs="Arial"/>
                <w:color w:val="000000"/>
                <w:sz w:val="20"/>
                <w:szCs w:val="20"/>
              </w:rPr>
              <w:t>June, October 2021</w:t>
            </w:r>
          </w:p>
        </w:tc>
        <w:tc>
          <w:tcPr>
            <w:tcW w:w="0" w:type="auto"/>
            <w:gridSpan w:val="3"/>
            <w:tcMar>
              <w:top w:w="30" w:type="dxa"/>
              <w:left w:w="20" w:type="dxa"/>
              <w:bottom w:w="30" w:type="dxa"/>
              <w:right w:w="20" w:type="dxa"/>
            </w:tcMar>
            <w:hideMark/>
          </w:tcPr>
          <w:p w:rsidR="00000000" w:rsidRDefault="001F1FC8">
            <w:pPr>
              <w:rPr>
                <w:rFonts w:eastAsia="Times New Roman"/>
              </w:rPr>
            </w:pPr>
            <w:r>
              <w:rPr>
                <w:rFonts w:ascii="Arial" w:eastAsia="Times New Roman" w:hAnsi="Arial" w:cs="Arial"/>
                <w:color w:val="000000"/>
                <w:sz w:val="20"/>
                <w:szCs w:val="20"/>
              </w:rPr>
              <w:t>Senior notes</w:t>
            </w:r>
          </w:p>
        </w:tc>
        <w:tc>
          <w:tcPr>
            <w:tcW w:w="0" w:type="auto"/>
            <w:gridSpan w:val="3"/>
            <w:tcMar>
              <w:top w:w="30" w:type="dxa"/>
              <w:left w:w="20" w:type="dxa"/>
              <w:bottom w:w="30" w:type="dxa"/>
              <w:right w:w="20" w:type="dxa"/>
            </w:tcMar>
            <w:hideMark/>
          </w:tcPr>
          <w:p w:rsidR="00000000" w:rsidRDefault="001F1FC8">
            <w:pPr>
              <w:jc w:val="right"/>
              <w:rPr>
                <w:rFonts w:eastAsia="Times New Roman"/>
              </w:rPr>
            </w:pPr>
            <w:r>
              <w:rPr>
                <w:rFonts w:ascii="Arial" w:eastAsia="Times New Roman" w:hAnsi="Arial" w:cs="Arial"/>
                <w:color w:val="000000"/>
                <w:sz w:val="20"/>
                <w:szCs w:val="20"/>
              </w:rPr>
              <w:t>US$2,000</w:t>
            </w:r>
          </w:p>
        </w:tc>
      </w:tr>
      <w:tr w:rsidR="00000000">
        <w:trPr>
          <w:divId w:val="1406106177"/>
        </w:trPr>
        <w:tc>
          <w:tcPr>
            <w:tcW w:w="0" w:type="auto"/>
            <w:gridSpan w:val="3"/>
            <w:tcMar>
              <w:top w:w="30" w:type="dxa"/>
              <w:left w:w="20" w:type="dxa"/>
              <w:bottom w:w="30" w:type="dxa"/>
              <w:right w:w="20" w:type="dxa"/>
            </w:tcMar>
            <w:hideMark/>
          </w:tcPr>
          <w:p w:rsidR="00000000" w:rsidRDefault="001F1FC8">
            <w:pPr>
              <w:rPr>
                <w:rFonts w:eastAsia="Times New Roman"/>
              </w:rPr>
            </w:pPr>
            <w:r>
              <w:rPr>
                <w:rFonts w:ascii="Arial" w:eastAsia="Times New Roman" w:hAnsi="Arial" w:cs="Arial"/>
                <w:color w:val="000000"/>
                <w:sz w:val="20"/>
                <w:szCs w:val="20"/>
              </w:rPr>
              <w:t>Enbridge Inc.</w:t>
            </w:r>
          </w:p>
        </w:tc>
        <w:tc>
          <w:tcPr>
            <w:tcW w:w="0" w:type="auto"/>
            <w:gridSpan w:val="3"/>
            <w:tcMar>
              <w:top w:w="30" w:type="dxa"/>
              <w:left w:w="20" w:type="dxa"/>
              <w:bottom w:w="30" w:type="dxa"/>
              <w:right w:w="20" w:type="dxa"/>
            </w:tcMar>
            <w:vAlign w:val="bottom"/>
            <w:hideMark/>
          </w:tcPr>
          <w:p w:rsidR="00000000" w:rsidRDefault="001F1FC8">
            <w:pPr>
              <w:rPr>
                <w:rFonts w:eastAsia="Times New Roman"/>
              </w:rPr>
            </w:pPr>
            <w:r>
              <w:rPr>
                <w:rFonts w:ascii="Arial" w:eastAsia="Times New Roman" w:hAnsi="Arial" w:cs="Arial"/>
                <w:color w:val="000000"/>
                <w:sz w:val="20"/>
                <w:szCs w:val="20"/>
              </w:rPr>
              <w:t>September 2021</w:t>
            </w:r>
          </w:p>
        </w:tc>
        <w:tc>
          <w:tcPr>
            <w:tcW w:w="0" w:type="auto"/>
            <w:gridSpan w:val="3"/>
            <w:tcMar>
              <w:top w:w="30" w:type="dxa"/>
              <w:left w:w="20" w:type="dxa"/>
              <w:bottom w:w="30" w:type="dxa"/>
              <w:right w:w="20" w:type="dxa"/>
            </w:tcMar>
            <w:hideMark/>
          </w:tcPr>
          <w:p w:rsidR="00000000" w:rsidRDefault="001F1FC8">
            <w:pPr>
              <w:rPr>
                <w:rFonts w:eastAsia="Times New Roman"/>
              </w:rPr>
            </w:pPr>
            <w:r>
              <w:rPr>
                <w:rFonts w:ascii="Arial" w:eastAsia="Times New Roman" w:hAnsi="Arial" w:cs="Arial"/>
                <w:color w:val="000000"/>
                <w:sz w:val="20"/>
                <w:szCs w:val="20"/>
              </w:rPr>
              <w:t>Medium-term notes</w:t>
            </w:r>
          </w:p>
        </w:tc>
        <w:tc>
          <w:tcPr>
            <w:tcW w:w="0" w:type="auto"/>
            <w:gridSpan w:val="3"/>
            <w:tcMar>
              <w:top w:w="30" w:type="dxa"/>
              <w:left w:w="20" w:type="dxa"/>
              <w:bottom w:w="30" w:type="dxa"/>
              <w:right w:w="20" w:type="dxa"/>
            </w:tcMar>
            <w:hideMark/>
          </w:tcPr>
          <w:p w:rsidR="00000000" w:rsidRDefault="001F1FC8">
            <w:pPr>
              <w:jc w:val="right"/>
              <w:rPr>
                <w:rFonts w:eastAsia="Times New Roman"/>
              </w:rPr>
            </w:pPr>
            <w:r>
              <w:rPr>
                <w:rFonts w:ascii="Arial" w:eastAsia="Times New Roman" w:hAnsi="Arial" w:cs="Arial"/>
                <w:color w:val="000000"/>
                <w:sz w:val="20"/>
                <w:szCs w:val="20"/>
              </w:rPr>
              <w:t>$1,100</w:t>
            </w:r>
          </w:p>
        </w:tc>
      </w:tr>
      <w:tr w:rsidR="00000000">
        <w:trPr>
          <w:divId w:val="1406106177"/>
        </w:trPr>
        <w:tc>
          <w:tcPr>
            <w:tcW w:w="0" w:type="auto"/>
            <w:gridSpan w:val="3"/>
            <w:tcMar>
              <w:top w:w="30" w:type="dxa"/>
              <w:left w:w="20" w:type="dxa"/>
              <w:bottom w:w="30" w:type="dxa"/>
              <w:right w:w="20" w:type="dxa"/>
            </w:tcMar>
            <w:hideMark/>
          </w:tcPr>
          <w:p w:rsidR="00000000" w:rsidRDefault="001F1FC8">
            <w:pPr>
              <w:rPr>
                <w:rFonts w:eastAsia="Times New Roman"/>
              </w:rPr>
            </w:pPr>
            <w:r>
              <w:rPr>
                <w:rFonts w:ascii="Arial" w:eastAsia="Times New Roman" w:hAnsi="Arial" w:cs="Arial"/>
                <w:color w:val="000000"/>
                <w:sz w:val="20"/>
                <w:szCs w:val="20"/>
              </w:rPr>
              <w:t>Enbridge Inc.</w:t>
            </w:r>
          </w:p>
        </w:tc>
        <w:tc>
          <w:tcPr>
            <w:tcW w:w="0" w:type="auto"/>
            <w:gridSpan w:val="3"/>
            <w:tcMar>
              <w:top w:w="30" w:type="dxa"/>
              <w:left w:w="20" w:type="dxa"/>
              <w:bottom w:w="30" w:type="dxa"/>
              <w:right w:w="20" w:type="dxa"/>
            </w:tcMar>
            <w:vAlign w:val="bottom"/>
            <w:hideMark/>
          </w:tcPr>
          <w:p w:rsidR="00000000" w:rsidRDefault="001F1FC8">
            <w:pPr>
              <w:rPr>
                <w:rFonts w:eastAsia="Times New Roman"/>
              </w:rPr>
            </w:pPr>
            <w:r>
              <w:rPr>
                <w:rFonts w:ascii="Arial" w:eastAsia="Times New Roman" w:hAnsi="Arial" w:cs="Arial"/>
                <w:color w:val="000000"/>
                <w:sz w:val="20"/>
                <w:szCs w:val="20"/>
              </w:rPr>
              <w:t>September 2021</w:t>
            </w:r>
          </w:p>
        </w:tc>
        <w:tc>
          <w:tcPr>
            <w:tcW w:w="0" w:type="auto"/>
            <w:gridSpan w:val="3"/>
            <w:tcMar>
              <w:top w:w="30" w:type="dxa"/>
              <w:left w:w="20" w:type="dxa"/>
              <w:bottom w:w="30" w:type="dxa"/>
              <w:right w:w="20" w:type="dxa"/>
            </w:tcMar>
            <w:hideMark/>
          </w:tcPr>
          <w:p w:rsidR="00000000" w:rsidRDefault="001F1FC8">
            <w:pPr>
              <w:rPr>
                <w:rFonts w:eastAsia="Times New Roman"/>
              </w:rPr>
            </w:pPr>
            <w:r>
              <w:rPr>
                <w:rFonts w:ascii="Arial" w:eastAsia="Times New Roman" w:hAnsi="Arial" w:cs="Arial"/>
                <w:color w:val="000000"/>
                <w:sz w:val="20"/>
                <w:szCs w:val="20"/>
              </w:rPr>
              <w:t>Sustainability-linked medium-term notes</w:t>
            </w:r>
          </w:p>
        </w:tc>
        <w:tc>
          <w:tcPr>
            <w:tcW w:w="0" w:type="auto"/>
            <w:gridSpan w:val="3"/>
            <w:tcMar>
              <w:top w:w="30" w:type="dxa"/>
              <w:left w:w="20" w:type="dxa"/>
              <w:bottom w:w="30" w:type="dxa"/>
              <w:right w:w="20" w:type="dxa"/>
            </w:tcMar>
            <w:hideMark/>
          </w:tcPr>
          <w:p w:rsidR="00000000" w:rsidRDefault="001F1FC8">
            <w:pPr>
              <w:jc w:val="right"/>
              <w:rPr>
                <w:rFonts w:eastAsia="Times New Roman"/>
              </w:rPr>
            </w:pPr>
            <w:r>
              <w:rPr>
                <w:rFonts w:ascii="Arial" w:eastAsia="Times New Roman" w:hAnsi="Arial" w:cs="Arial"/>
                <w:color w:val="000000"/>
                <w:sz w:val="20"/>
                <w:szCs w:val="20"/>
              </w:rPr>
              <w:t>$400</w:t>
            </w:r>
          </w:p>
        </w:tc>
      </w:tr>
      <w:tr w:rsidR="00000000">
        <w:trPr>
          <w:divId w:val="1406106177"/>
        </w:trPr>
        <w:tc>
          <w:tcPr>
            <w:tcW w:w="0" w:type="auto"/>
            <w:gridSpan w:val="3"/>
            <w:tcMar>
              <w:top w:w="30" w:type="dxa"/>
              <w:left w:w="20" w:type="dxa"/>
              <w:bottom w:w="30" w:type="dxa"/>
              <w:right w:w="20" w:type="dxa"/>
            </w:tcMar>
            <w:hideMark/>
          </w:tcPr>
          <w:p w:rsidR="00000000" w:rsidRDefault="001F1FC8">
            <w:pPr>
              <w:rPr>
                <w:rFonts w:eastAsia="Times New Roman"/>
              </w:rPr>
            </w:pPr>
            <w:r>
              <w:rPr>
                <w:rFonts w:ascii="Arial" w:eastAsia="Times New Roman" w:hAnsi="Arial" w:cs="Arial"/>
                <w:color w:val="000000"/>
                <w:sz w:val="20"/>
                <w:szCs w:val="20"/>
              </w:rPr>
              <w:t>Enbridge Gas Inc.</w:t>
            </w:r>
          </w:p>
        </w:tc>
        <w:tc>
          <w:tcPr>
            <w:tcW w:w="0" w:type="auto"/>
            <w:gridSpan w:val="3"/>
            <w:tcMar>
              <w:top w:w="30" w:type="dxa"/>
              <w:left w:w="20" w:type="dxa"/>
              <w:bottom w:w="30" w:type="dxa"/>
              <w:right w:w="20" w:type="dxa"/>
            </w:tcMar>
            <w:vAlign w:val="bottom"/>
            <w:hideMark/>
          </w:tcPr>
          <w:p w:rsidR="00000000" w:rsidRDefault="001F1FC8">
            <w:pPr>
              <w:rPr>
                <w:rFonts w:eastAsia="Times New Roman"/>
              </w:rPr>
            </w:pPr>
            <w:r>
              <w:rPr>
                <w:rFonts w:ascii="Arial" w:eastAsia="Times New Roman" w:hAnsi="Arial" w:cs="Arial"/>
                <w:color w:val="000000"/>
                <w:sz w:val="20"/>
                <w:szCs w:val="20"/>
              </w:rPr>
              <w:t>September 2021</w:t>
            </w:r>
          </w:p>
        </w:tc>
        <w:tc>
          <w:tcPr>
            <w:tcW w:w="0" w:type="auto"/>
            <w:gridSpan w:val="3"/>
            <w:tcMar>
              <w:top w:w="30" w:type="dxa"/>
              <w:left w:w="20" w:type="dxa"/>
              <w:bottom w:w="30" w:type="dxa"/>
              <w:right w:w="20" w:type="dxa"/>
            </w:tcMar>
            <w:hideMark/>
          </w:tcPr>
          <w:p w:rsidR="00000000" w:rsidRDefault="001F1FC8">
            <w:pPr>
              <w:rPr>
                <w:rFonts w:eastAsia="Times New Roman"/>
              </w:rPr>
            </w:pPr>
            <w:r>
              <w:rPr>
                <w:rFonts w:ascii="Arial" w:eastAsia="Times New Roman" w:hAnsi="Arial" w:cs="Arial"/>
                <w:color w:val="000000"/>
                <w:sz w:val="20"/>
                <w:szCs w:val="20"/>
              </w:rPr>
              <w:t>Medium-term notes</w:t>
            </w:r>
          </w:p>
        </w:tc>
        <w:tc>
          <w:tcPr>
            <w:tcW w:w="0" w:type="auto"/>
            <w:gridSpan w:val="3"/>
            <w:tcMar>
              <w:top w:w="30" w:type="dxa"/>
              <w:left w:w="20" w:type="dxa"/>
              <w:bottom w:w="30" w:type="dxa"/>
              <w:right w:w="20" w:type="dxa"/>
            </w:tcMar>
            <w:hideMark/>
          </w:tcPr>
          <w:p w:rsidR="00000000" w:rsidRDefault="001F1FC8">
            <w:pPr>
              <w:jc w:val="right"/>
              <w:rPr>
                <w:rFonts w:eastAsia="Times New Roman"/>
              </w:rPr>
            </w:pPr>
            <w:r>
              <w:rPr>
                <w:rFonts w:ascii="Arial" w:eastAsia="Times New Roman" w:hAnsi="Arial" w:cs="Arial"/>
                <w:color w:val="000000"/>
                <w:sz w:val="20"/>
                <w:szCs w:val="20"/>
              </w:rPr>
              <w:t>$900</w:t>
            </w:r>
          </w:p>
        </w:tc>
      </w:tr>
      <w:tr w:rsidR="00000000">
        <w:trPr>
          <w:divId w:val="1406106177"/>
        </w:trPr>
        <w:tc>
          <w:tcPr>
            <w:tcW w:w="0" w:type="auto"/>
            <w:gridSpan w:val="3"/>
            <w:tcMar>
              <w:top w:w="30" w:type="dxa"/>
              <w:left w:w="20" w:type="dxa"/>
              <w:bottom w:w="30" w:type="dxa"/>
              <w:right w:w="20" w:type="dxa"/>
            </w:tcMar>
            <w:hideMark/>
          </w:tcPr>
          <w:p w:rsidR="00000000" w:rsidRDefault="001F1FC8">
            <w:pPr>
              <w:rPr>
                <w:rFonts w:eastAsia="Times New Roman"/>
              </w:rPr>
            </w:pPr>
            <w:r>
              <w:rPr>
                <w:rFonts w:ascii="Arial" w:eastAsia="Times New Roman" w:hAnsi="Arial" w:cs="Arial"/>
                <w:color w:val="000000"/>
                <w:sz w:val="20"/>
                <w:szCs w:val="20"/>
              </w:rPr>
              <w:t>Enbridge Pipelines Inc.</w:t>
            </w:r>
          </w:p>
        </w:tc>
        <w:tc>
          <w:tcPr>
            <w:tcW w:w="0" w:type="auto"/>
            <w:gridSpan w:val="3"/>
            <w:tcMar>
              <w:top w:w="30" w:type="dxa"/>
              <w:left w:w="20" w:type="dxa"/>
              <w:bottom w:w="30" w:type="dxa"/>
              <w:right w:w="20" w:type="dxa"/>
            </w:tcMar>
            <w:vAlign w:val="bottom"/>
            <w:hideMark/>
          </w:tcPr>
          <w:p w:rsidR="00000000" w:rsidRDefault="001F1FC8">
            <w:pPr>
              <w:rPr>
                <w:rFonts w:eastAsia="Times New Roman"/>
              </w:rPr>
            </w:pPr>
            <w:r>
              <w:rPr>
                <w:rFonts w:ascii="Arial" w:eastAsia="Times New Roman" w:hAnsi="Arial" w:cs="Arial"/>
                <w:color w:val="000000"/>
                <w:sz w:val="20"/>
                <w:szCs w:val="20"/>
              </w:rPr>
              <w:t>May 2021</w:t>
            </w:r>
          </w:p>
        </w:tc>
        <w:tc>
          <w:tcPr>
            <w:tcW w:w="0" w:type="auto"/>
            <w:gridSpan w:val="3"/>
            <w:tcMar>
              <w:top w:w="30" w:type="dxa"/>
              <w:left w:w="20" w:type="dxa"/>
              <w:bottom w:w="30" w:type="dxa"/>
              <w:right w:w="20" w:type="dxa"/>
            </w:tcMar>
            <w:hideMark/>
          </w:tcPr>
          <w:p w:rsidR="00000000" w:rsidRDefault="001F1FC8">
            <w:pPr>
              <w:rPr>
                <w:rFonts w:eastAsia="Times New Roman"/>
              </w:rPr>
            </w:pPr>
            <w:r>
              <w:rPr>
                <w:rFonts w:ascii="Arial" w:eastAsia="Times New Roman" w:hAnsi="Arial" w:cs="Arial"/>
                <w:color w:val="000000"/>
                <w:sz w:val="20"/>
                <w:szCs w:val="20"/>
              </w:rPr>
              <w:t>Medium-term notes</w:t>
            </w:r>
          </w:p>
        </w:tc>
        <w:tc>
          <w:tcPr>
            <w:tcW w:w="0" w:type="auto"/>
            <w:gridSpan w:val="3"/>
            <w:tcMar>
              <w:top w:w="30" w:type="dxa"/>
              <w:left w:w="20" w:type="dxa"/>
              <w:bottom w:w="30" w:type="dxa"/>
              <w:right w:w="20" w:type="dxa"/>
            </w:tcMar>
            <w:hideMark/>
          </w:tcPr>
          <w:p w:rsidR="00000000" w:rsidRDefault="001F1FC8">
            <w:pPr>
              <w:jc w:val="right"/>
              <w:rPr>
                <w:rFonts w:eastAsia="Times New Roman"/>
              </w:rPr>
            </w:pPr>
            <w:r>
              <w:rPr>
                <w:rFonts w:ascii="Arial" w:eastAsia="Times New Roman" w:hAnsi="Arial" w:cs="Arial"/>
                <w:color w:val="000000"/>
                <w:sz w:val="20"/>
                <w:szCs w:val="20"/>
              </w:rPr>
              <w:t>$800</w:t>
            </w:r>
          </w:p>
        </w:tc>
      </w:tr>
      <w:tr w:rsidR="00000000">
        <w:trPr>
          <w:divId w:val="1406106177"/>
        </w:trPr>
        <w:tc>
          <w:tcPr>
            <w:tcW w:w="0" w:type="auto"/>
            <w:gridSpan w:val="3"/>
            <w:tcBorders>
              <w:bottom w:val="single" w:sz="8" w:space="0" w:color="000000"/>
            </w:tcBorders>
            <w:tcMar>
              <w:top w:w="30" w:type="dxa"/>
              <w:left w:w="20" w:type="dxa"/>
              <w:bottom w:w="30" w:type="dxa"/>
              <w:right w:w="20" w:type="dxa"/>
            </w:tcMar>
            <w:hideMark/>
          </w:tcPr>
          <w:p w:rsidR="00000000" w:rsidRDefault="001F1FC8">
            <w:pPr>
              <w:divId w:val="267196253"/>
              <w:rPr>
                <w:rFonts w:eastAsia="Times New Roman"/>
              </w:rPr>
            </w:pPr>
            <w:r>
              <w:rPr>
                <w:rFonts w:ascii="Arial" w:eastAsia="Times New Roman" w:hAnsi="Arial" w:cs="Arial"/>
                <w:color w:val="000000"/>
                <w:sz w:val="20"/>
                <w:szCs w:val="20"/>
              </w:rPr>
              <w:t>Spectra Energy Partners, L</w:t>
            </w:r>
            <w:r>
              <w:rPr>
                <w:rFonts w:ascii="Arial" w:eastAsia="Times New Roman" w:hAnsi="Arial" w:cs="Arial"/>
                <w:color w:val="000000"/>
                <w:sz w:val="20"/>
                <w:szCs w:val="20"/>
              </w:rPr>
              <w:t>P</w:t>
            </w:r>
            <w:r>
              <w:rPr>
                <w:rFonts w:ascii="Arial" w:eastAsia="Times New Roman" w:hAnsi="Arial" w:cs="Arial"/>
                <w:color w:val="000000"/>
                <w:sz w:val="10"/>
                <w:szCs w:val="10"/>
              </w:rPr>
              <w:t>1</w:t>
            </w: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1F1FC8">
            <w:pPr>
              <w:rPr>
                <w:rFonts w:eastAsia="Times New Roman"/>
              </w:rPr>
            </w:pPr>
            <w:r>
              <w:rPr>
                <w:rFonts w:ascii="Arial" w:eastAsia="Times New Roman" w:hAnsi="Arial" w:cs="Arial"/>
                <w:color w:val="000000"/>
                <w:sz w:val="20"/>
                <w:szCs w:val="20"/>
              </w:rPr>
              <w:t>September 2021</w:t>
            </w:r>
          </w:p>
        </w:tc>
        <w:tc>
          <w:tcPr>
            <w:tcW w:w="0" w:type="auto"/>
            <w:gridSpan w:val="3"/>
            <w:tcBorders>
              <w:bottom w:val="single" w:sz="8" w:space="0" w:color="000000"/>
            </w:tcBorders>
            <w:tcMar>
              <w:top w:w="30" w:type="dxa"/>
              <w:left w:w="20" w:type="dxa"/>
              <w:bottom w:w="30" w:type="dxa"/>
              <w:right w:w="20" w:type="dxa"/>
            </w:tcMar>
            <w:hideMark/>
          </w:tcPr>
          <w:p w:rsidR="00000000" w:rsidRDefault="001F1FC8">
            <w:pPr>
              <w:rPr>
                <w:rFonts w:eastAsia="Times New Roman"/>
              </w:rPr>
            </w:pPr>
            <w:r>
              <w:rPr>
                <w:rFonts w:ascii="Arial" w:eastAsia="Times New Roman" w:hAnsi="Arial" w:cs="Arial"/>
                <w:color w:val="000000"/>
                <w:sz w:val="20"/>
                <w:szCs w:val="20"/>
              </w:rPr>
              <w:t>Senior notes</w:t>
            </w:r>
          </w:p>
        </w:tc>
        <w:tc>
          <w:tcPr>
            <w:tcW w:w="0" w:type="auto"/>
            <w:gridSpan w:val="3"/>
            <w:tcBorders>
              <w:bottom w:val="single" w:sz="8" w:space="0" w:color="000000"/>
            </w:tcBorders>
            <w:tcMar>
              <w:top w:w="30" w:type="dxa"/>
              <w:left w:w="20" w:type="dxa"/>
              <w:bottom w:w="30" w:type="dxa"/>
              <w:right w:w="20" w:type="dxa"/>
            </w:tcMar>
            <w:hideMark/>
          </w:tcPr>
          <w:p w:rsidR="00000000" w:rsidRDefault="001F1FC8">
            <w:pPr>
              <w:jc w:val="right"/>
              <w:rPr>
                <w:rFonts w:eastAsia="Times New Roman"/>
              </w:rPr>
            </w:pPr>
            <w:r>
              <w:rPr>
                <w:rFonts w:ascii="Arial" w:eastAsia="Times New Roman" w:hAnsi="Arial" w:cs="Arial"/>
                <w:color w:val="000000"/>
                <w:sz w:val="20"/>
                <w:szCs w:val="20"/>
              </w:rPr>
              <w:t>US$400</w:t>
            </w:r>
          </w:p>
        </w:tc>
      </w:tr>
    </w:tbl>
    <w:p w:rsidR="00000000" w:rsidRDefault="001F1FC8">
      <w:pPr>
        <w:ind w:hanging="180"/>
        <w:divId w:val="758135480"/>
        <w:rPr>
          <w:rFonts w:eastAsia="Times New Roman"/>
        </w:rPr>
      </w:pPr>
      <w:r>
        <w:rPr>
          <w:rFonts w:ascii="Arial" w:eastAsia="Times New Roman" w:hAnsi="Arial" w:cs="Arial"/>
          <w:i/>
          <w:iCs/>
          <w:color w:val="000000"/>
          <w:sz w:val="16"/>
          <w:szCs w:val="16"/>
        </w:rPr>
        <w:t>1</w:t>
      </w:r>
      <w:r>
        <w:rPr>
          <w:rFonts w:ascii="Arial" w:eastAsia="Times New Roman" w:hAnsi="Arial" w:cs="Arial"/>
          <w:i/>
          <w:iCs/>
          <w:color w:val="000000"/>
          <w:sz w:val="16"/>
          <w:szCs w:val="16"/>
        </w:rPr>
        <w:t xml:space="preserve">Issued through Texas Eastern, a wholly-owned operating subsidiary of SEP. </w:t>
      </w:r>
    </w:p>
    <w:p w:rsidR="00000000" w:rsidRDefault="001F1FC8">
      <w:pPr>
        <w:ind w:hanging="180"/>
        <w:divId w:val="1178085532"/>
        <w:rPr>
          <w:rFonts w:eastAsia="Times New Roman"/>
        </w:rPr>
      </w:pPr>
    </w:p>
    <w:p w:rsidR="00000000" w:rsidRDefault="001F1FC8">
      <w:pPr>
        <w:divId w:val="182983498"/>
        <w:rPr>
          <w:rFonts w:eastAsia="Times New Roman"/>
        </w:rPr>
      </w:pPr>
      <w:r>
        <w:rPr>
          <w:rFonts w:ascii="Arial" w:eastAsia="Times New Roman" w:hAnsi="Arial" w:cs="Arial"/>
          <w:b/>
          <w:bCs/>
          <w:color w:val="000000"/>
          <w:sz w:val="20"/>
          <w:szCs w:val="20"/>
        </w:rPr>
        <w:t>Credit Facilities, Ratings and Liquidity</w:t>
      </w:r>
    </w:p>
    <w:p w:rsidR="00000000" w:rsidRDefault="001F1FC8">
      <w:pPr>
        <w:divId w:val="1979454469"/>
        <w:rPr>
          <w:rFonts w:eastAsia="Times New Roman"/>
        </w:rPr>
      </w:pPr>
      <w:r>
        <w:rPr>
          <w:rFonts w:ascii="Arial" w:eastAsia="Times New Roman" w:hAnsi="Arial" w:cs="Arial"/>
          <w:color w:val="000000"/>
          <w:sz w:val="20"/>
          <w:szCs w:val="20"/>
        </w:rPr>
        <w:t>To ensure ongoing liquidity and to mitigate the risk of capital market disruption, we maintain ready access to funds through committed ban</w:t>
      </w:r>
      <w:r>
        <w:rPr>
          <w:rFonts w:ascii="Arial" w:eastAsia="Times New Roman" w:hAnsi="Arial" w:cs="Arial"/>
          <w:color w:val="000000"/>
          <w:sz w:val="20"/>
          <w:szCs w:val="20"/>
        </w:rPr>
        <w:t>k credit facilities and actively manage our bank funding sources to optimize pricing and other terms. The following table provides details of our committed credit facilities at December 31, 2021:</w:t>
      </w:r>
    </w:p>
    <w:tbl>
      <w:tblPr>
        <w:tblW w:w="5000" w:type="pct"/>
        <w:tblCellMar>
          <w:top w:w="15" w:type="dxa"/>
          <w:left w:w="15" w:type="dxa"/>
          <w:bottom w:w="15" w:type="dxa"/>
          <w:right w:w="15" w:type="dxa"/>
        </w:tblCellMar>
        <w:tblLook w:val="04A0" w:firstRow="1" w:lastRow="0" w:firstColumn="1" w:lastColumn="0" w:noHBand="0" w:noVBand="1"/>
      </w:tblPr>
      <w:tblGrid>
        <w:gridCol w:w="69"/>
        <w:gridCol w:w="4370"/>
        <w:gridCol w:w="38"/>
        <w:gridCol w:w="71"/>
        <w:gridCol w:w="849"/>
        <w:gridCol w:w="36"/>
        <w:gridCol w:w="72"/>
        <w:gridCol w:w="848"/>
        <w:gridCol w:w="36"/>
        <w:gridCol w:w="69"/>
        <w:gridCol w:w="852"/>
        <w:gridCol w:w="36"/>
        <w:gridCol w:w="74"/>
        <w:gridCol w:w="850"/>
        <w:gridCol w:w="36"/>
      </w:tblGrid>
      <w:tr w:rsidR="00000000">
        <w:trPr>
          <w:divId w:val="376274381"/>
        </w:trPr>
        <w:tc>
          <w:tcPr>
            <w:tcW w:w="50" w:type="pct"/>
            <w:vAlign w:val="center"/>
            <w:hideMark/>
          </w:tcPr>
          <w:p w:rsidR="00000000" w:rsidRDefault="001F1FC8">
            <w:pPr>
              <w:rPr>
                <w:rFonts w:eastAsia="Times New Roman"/>
              </w:rPr>
            </w:pPr>
          </w:p>
        </w:tc>
        <w:tc>
          <w:tcPr>
            <w:tcW w:w="2637"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c>
          <w:tcPr>
            <w:tcW w:w="50" w:type="pct"/>
            <w:vAlign w:val="center"/>
            <w:hideMark/>
          </w:tcPr>
          <w:p w:rsidR="00000000" w:rsidRDefault="001F1FC8">
            <w:pPr>
              <w:rPr>
                <w:rFonts w:eastAsia="Times New Roman"/>
                <w:sz w:val="20"/>
                <w:szCs w:val="20"/>
              </w:rPr>
            </w:pPr>
          </w:p>
        </w:tc>
        <w:tc>
          <w:tcPr>
            <w:tcW w:w="521"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c>
          <w:tcPr>
            <w:tcW w:w="50" w:type="pct"/>
            <w:vAlign w:val="center"/>
            <w:hideMark/>
          </w:tcPr>
          <w:p w:rsidR="00000000" w:rsidRDefault="001F1FC8">
            <w:pPr>
              <w:rPr>
                <w:rFonts w:eastAsia="Times New Roman"/>
                <w:sz w:val="20"/>
                <w:szCs w:val="20"/>
              </w:rPr>
            </w:pPr>
          </w:p>
        </w:tc>
        <w:tc>
          <w:tcPr>
            <w:tcW w:w="521"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c>
          <w:tcPr>
            <w:tcW w:w="50" w:type="pct"/>
            <w:vAlign w:val="center"/>
            <w:hideMark/>
          </w:tcPr>
          <w:p w:rsidR="00000000" w:rsidRDefault="001F1FC8">
            <w:pPr>
              <w:rPr>
                <w:rFonts w:eastAsia="Times New Roman"/>
                <w:sz w:val="20"/>
                <w:szCs w:val="20"/>
              </w:rPr>
            </w:pPr>
          </w:p>
        </w:tc>
        <w:tc>
          <w:tcPr>
            <w:tcW w:w="521"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c>
          <w:tcPr>
            <w:tcW w:w="50" w:type="pct"/>
            <w:vAlign w:val="center"/>
            <w:hideMark/>
          </w:tcPr>
          <w:p w:rsidR="00000000" w:rsidRDefault="001F1FC8">
            <w:pPr>
              <w:rPr>
                <w:rFonts w:eastAsia="Times New Roman"/>
                <w:sz w:val="20"/>
                <w:szCs w:val="20"/>
              </w:rPr>
            </w:pPr>
          </w:p>
        </w:tc>
        <w:tc>
          <w:tcPr>
            <w:tcW w:w="522"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r>
      <w:tr w:rsidR="00000000">
        <w:trPr>
          <w:divId w:val="376274381"/>
        </w:trPr>
        <w:tc>
          <w:tcPr>
            <w:tcW w:w="0" w:type="auto"/>
            <w:gridSpan w:val="3"/>
            <w:tcMar>
              <w:top w:w="0" w:type="dxa"/>
              <w:left w:w="20" w:type="dxa"/>
              <w:bottom w:w="0" w:type="dxa"/>
              <w:right w:w="20" w:type="dxa"/>
            </w:tcMar>
            <w:vAlign w:val="center"/>
            <w:hideMark/>
          </w:tcPr>
          <w:p w:rsidR="00000000" w:rsidRDefault="001F1FC8">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Maturit</w:t>
            </w:r>
            <w:r>
              <w:rPr>
                <w:rFonts w:ascii="Arial" w:eastAsia="Times New Roman" w:hAnsi="Arial" w:cs="Arial"/>
                <w:color w:val="000000"/>
                <w:sz w:val="20"/>
                <w:szCs w:val="20"/>
              </w:rPr>
              <w:t>y</w:t>
            </w:r>
            <w:r>
              <w:rPr>
                <w:rFonts w:ascii="Arial" w:eastAsia="Times New Roman" w:hAnsi="Arial" w:cs="Arial"/>
                <w:color w:val="000000"/>
                <w:sz w:val="10"/>
                <w:szCs w:val="10"/>
              </w:rPr>
              <w:t>1</w:t>
            </w:r>
          </w:p>
        </w:tc>
        <w:tc>
          <w:tcPr>
            <w:tcW w:w="0" w:type="auto"/>
            <w:gridSpan w:val="3"/>
            <w:tcMar>
              <w:top w:w="30" w:type="dxa"/>
              <w:left w:w="20" w:type="dxa"/>
              <w:bottom w:w="30" w:type="dxa"/>
              <w:right w:w="20" w:type="dxa"/>
            </w:tcMar>
            <w:vAlign w:val="center"/>
            <w:hideMark/>
          </w:tcPr>
          <w:p w:rsidR="00000000" w:rsidRDefault="001F1FC8">
            <w:pPr>
              <w:jc w:val="right"/>
              <w:rPr>
                <w:rFonts w:eastAsia="Times New Roman"/>
              </w:rPr>
            </w:pPr>
            <w:r>
              <w:rPr>
                <w:rFonts w:ascii="Arial" w:eastAsia="Times New Roman" w:hAnsi="Arial" w:cs="Arial"/>
                <w:color w:val="000000"/>
                <w:sz w:val="20"/>
                <w:szCs w:val="20"/>
              </w:rPr>
              <w:t>Total Facilities</w:t>
            </w:r>
          </w:p>
        </w:tc>
        <w:tc>
          <w:tcPr>
            <w:tcW w:w="0" w:type="auto"/>
            <w:gridSpan w:val="3"/>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Draw</w:t>
            </w:r>
            <w:r>
              <w:rPr>
                <w:rFonts w:ascii="Arial" w:eastAsia="Times New Roman" w:hAnsi="Arial" w:cs="Arial"/>
                <w:color w:val="000000"/>
                <w:sz w:val="20"/>
                <w:szCs w:val="20"/>
              </w:rPr>
              <w:t>s</w:t>
            </w:r>
            <w:r>
              <w:rPr>
                <w:rFonts w:ascii="Arial" w:eastAsia="Times New Roman" w:hAnsi="Arial" w:cs="Arial"/>
                <w:color w:val="000000"/>
                <w:sz w:val="10"/>
                <w:szCs w:val="10"/>
              </w:rPr>
              <w:t>2</w:t>
            </w:r>
          </w:p>
        </w:tc>
        <w:tc>
          <w:tcPr>
            <w:tcW w:w="0" w:type="auto"/>
            <w:gridSpan w:val="3"/>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Available</w:t>
            </w:r>
          </w:p>
        </w:tc>
      </w:tr>
      <w:tr w:rsidR="00000000">
        <w:trPr>
          <w:divId w:val="376274381"/>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1F1FC8">
            <w:pPr>
              <w:rPr>
                <w:rFonts w:eastAsia="Times New Roman"/>
              </w:rPr>
            </w:pPr>
            <w:r>
              <w:rPr>
                <w:rFonts w:ascii="Arial" w:eastAsia="Times New Roman" w:hAnsi="Arial" w:cs="Arial"/>
                <w:i/>
                <w:iCs/>
                <w:color w:val="000000"/>
                <w:sz w:val="16"/>
                <w:szCs w:val="16"/>
              </w:rPr>
              <w:t>(millions of Canadian dollars)</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1F1FC8">
            <w:pPr>
              <w:jc w:val="right"/>
              <w:rPr>
                <w:rFonts w:eastAsia="Times New Roman"/>
              </w:rPr>
            </w:pPr>
            <w:r>
              <w:rPr>
                <w:rFonts w:ascii="Arial" w:eastAsia="Times New Roman" w:hAnsi="Arial" w:cs="Arial"/>
                <w:color w:val="000000"/>
                <w:sz w:val="20"/>
                <w:szCs w:val="20"/>
              </w:rPr>
              <w:t> </w:t>
            </w:r>
          </w:p>
        </w:tc>
        <w:tc>
          <w:tcPr>
            <w:tcW w:w="0" w:type="auto"/>
            <w:gridSpan w:val="3"/>
            <w:tcBorders>
              <w:top w:val="single" w:sz="4" w:space="0" w:color="000000"/>
            </w:tcBorders>
            <w:shd w:val="clear" w:color="auto" w:fill="D9D9D9"/>
            <w:tcMar>
              <w:top w:w="30" w:type="dxa"/>
              <w:left w:w="20" w:type="dxa"/>
              <w:bottom w:w="30" w:type="dxa"/>
              <w:right w:w="20" w:type="dxa"/>
            </w:tcMar>
            <w:vAlign w:val="center"/>
            <w:hideMark/>
          </w:tcPr>
          <w:p w:rsidR="00000000" w:rsidRDefault="001F1FC8">
            <w:pPr>
              <w:jc w:val="right"/>
              <w:rPr>
                <w:rFonts w:eastAsia="Times New Roman"/>
              </w:rPr>
            </w:pPr>
            <w:r>
              <w:rPr>
                <w:rFonts w:ascii="Arial" w:eastAsia="Times New Roman" w:hAnsi="Arial" w:cs="Arial"/>
                <w:color w:val="000000"/>
                <w:sz w:val="20"/>
                <w:szCs w:val="20"/>
              </w:rPr>
              <w:t> </w:t>
            </w:r>
          </w:p>
        </w:tc>
        <w:tc>
          <w:tcPr>
            <w:tcW w:w="0" w:type="auto"/>
            <w:gridSpan w:val="3"/>
            <w:tcBorders>
              <w:top w:val="single" w:sz="4" w:space="0" w:color="000000"/>
            </w:tcBorders>
            <w:shd w:val="clear" w:color="auto" w:fill="D9D9D9"/>
            <w:tcMar>
              <w:top w:w="30" w:type="dxa"/>
              <w:left w:w="20" w:type="dxa"/>
              <w:bottom w:w="30" w:type="dxa"/>
              <w:right w:w="20" w:type="dxa"/>
            </w:tcMar>
            <w:vAlign w:val="center"/>
            <w:hideMark/>
          </w:tcPr>
          <w:p w:rsidR="00000000" w:rsidRDefault="001F1FC8">
            <w:pPr>
              <w:jc w:val="right"/>
              <w:rPr>
                <w:rFonts w:eastAsia="Times New Roman"/>
              </w:rPr>
            </w:pPr>
            <w:r>
              <w:rPr>
                <w:rFonts w:ascii="Arial" w:eastAsia="Times New Roman" w:hAnsi="Arial" w:cs="Arial"/>
                <w:color w:val="000000"/>
                <w:sz w:val="20"/>
                <w:szCs w:val="20"/>
              </w:rPr>
              <w:t> </w:t>
            </w:r>
          </w:p>
        </w:tc>
        <w:tc>
          <w:tcPr>
            <w:tcW w:w="0" w:type="auto"/>
            <w:gridSpan w:val="3"/>
            <w:tcBorders>
              <w:top w:val="single" w:sz="4" w:space="0" w:color="000000"/>
            </w:tcBorders>
            <w:shd w:val="clear" w:color="auto" w:fill="D9D9D9"/>
            <w:tcMar>
              <w:top w:w="30" w:type="dxa"/>
              <w:left w:w="20" w:type="dxa"/>
              <w:bottom w:w="30" w:type="dxa"/>
              <w:right w:w="20" w:type="dxa"/>
            </w:tcMar>
            <w:vAlign w:val="center"/>
            <w:hideMark/>
          </w:tcPr>
          <w:p w:rsidR="00000000" w:rsidRDefault="001F1FC8">
            <w:pPr>
              <w:jc w:val="right"/>
              <w:rPr>
                <w:rFonts w:eastAsia="Times New Roman"/>
              </w:rPr>
            </w:pPr>
            <w:r>
              <w:rPr>
                <w:rFonts w:ascii="Arial" w:eastAsia="Times New Roman" w:hAnsi="Arial" w:cs="Arial"/>
                <w:color w:val="000000"/>
                <w:sz w:val="20"/>
                <w:szCs w:val="20"/>
              </w:rPr>
              <w:t> </w:t>
            </w:r>
          </w:p>
        </w:tc>
      </w:tr>
      <w:tr w:rsidR="00000000">
        <w:trPr>
          <w:divId w:val="376274381"/>
        </w:trPr>
        <w:tc>
          <w:tcPr>
            <w:tcW w:w="0" w:type="auto"/>
            <w:gridSpan w:val="3"/>
            <w:tcMar>
              <w:top w:w="30" w:type="dxa"/>
              <w:left w:w="20" w:type="dxa"/>
              <w:bottom w:w="30" w:type="dxa"/>
              <w:right w:w="20" w:type="dxa"/>
            </w:tcMar>
            <w:vAlign w:val="center"/>
            <w:hideMark/>
          </w:tcPr>
          <w:p w:rsidR="00000000" w:rsidRDefault="001F1FC8">
            <w:pPr>
              <w:rPr>
                <w:rFonts w:eastAsia="Times New Roman"/>
              </w:rPr>
            </w:pPr>
            <w:r>
              <w:rPr>
                <w:rFonts w:ascii="Arial" w:eastAsia="Times New Roman" w:hAnsi="Arial" w:cs="Arial"/>
                <w:color w:val="000000"/>
                <w:sz w:val="20"/>
                <w:szCs w:val="20"/>
              </w:rPr>
              <w:t>Enbridge Inc.</w:t>
            </w:r>
          </w:p>
        </w:tc>
        <w:tc>
          <w:tcPr>
            <w:tcW w:w="0" w:type="auto"/>
            <w:gridSpan w:val="3"/>
            <w:tcMar>
              <w:top w:w="30" w:type="dxa"/>
              <w:left w:w="20" w:type="dxa"/>
              <w:bottom w:w="30" w:type="dxa"/>
              <w:right w:w="20" w:type="dxa"/>
            </w:tcMar>
            <w:vAlign w:val="center"/>
            <w:hideMark/>
          </w:tcPr>
          <w:p w:rsidR="00000000" w:rsidRDefault="001F1FC8">
            <w:pPr>
              <w:jc w:val="right"/>
              <w:rPr>
                <w:rFonts w:eastAsia="Times New Roman"/>
              </w:rPr>
            </w:pPr>
            <w:r>
              <w:rPr>
                <w:rFonts w:ascii="Arial" w:eastAsia="Times New Roman" w:hAnsi="Arial" w:cs="Arial"/>
                <w:color w:val="000000"/>
                <w:sz w:val="20"/>
                <w:szCs w:val="20"/>
              </w:rPr>
              <w:t>2022-2026</w:t>
            </w:r>
          </w:p>
        </w:tc>
        <w:tc>
          <w:tcPr>
            <w:tcW w:w="0" w:type="auto"/>
            <w:gridSpan w:val="2"/>
            <w:shd w:val="clear" w:color="auto" w:fill="DBDBDB"/>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20"/>
                <w:szCs w:val="20"/>
              </w:rPr>
              <w:t>9,137</w:t>
            </w:r>
            <w:r>
              <w:rPr>
                <w:rFonts w:ascii="Arial" w:eastAsia="Times New Roman" w:hAnsi="Arial" w:cs="Arial"/>
                <w:color w:val="000000"/>
                <w:sz w:val="20"/>
                <w:szCs w:val="20"/>
              </w:rPr>
              <w:t> </w:t>
            </w:r>
          </w:p>
        </w:tc>
        <w:tc>
          <w:tcPr>
            <w:tcW w:w="0" w:type="auto"/>
            <w:shd w:val="clear" w:color="auto" w:fill="DBDBDB"/>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shd w:val="clear" w:color="auto" w:fill="DBDBDB"/>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20"/>
                <w:szCs w:val="20"/>
              </w:rPr>
              <w:t>7,837</w:t>
            </w:r>
            <w:r>
              <w:rPr>
                <w:rFonts w:ascii="Arial" w:eastAsia="Times New Roman" w:hAnsi="Arial" w:cs="Arial"/>
                <w:color w:val="000000"/>
                <w:sz w:val="20"/>
                <w:szCs w:val="20"/>
              </w:rPr>
              <w:t> </w:t>
            </w:r>
          </w:p>
        </w:tc>
        <w:tc>
          <w:tcPr>
            <w:tcW w:w="0" w:type="auto"/>
            <w:shd w:val="clear" w:color="auto" w:fill="DBDBDB"/>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b/>
                <w:bCs/>
                <w:color w:val="000000"/>
                <w:sz w:val="20"/>
                <w:szCs w:val="20"/>
              </w:rPr>
              <w:t>1,300</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1F1FC8">
            <w:pPr>
              <w:jc w:val="right"/>
              <w:rPr>
                <w:rFonts w:eastAsia="Times New Roman"/>
              </w:rPr>
            </w:pPr>
          </w:p>
        </w:tc>
      </w:tr>
      <w:tr w:rsidR="00000000">
        <w:trPr>
          <w:divId w:val="376274381"/>
        </w:trPr>
        <w:tc>
          <w:tcPr>
            <w:tcW w:w="0" w:type="auto"/>
            <w:gridSpan w:val="3"/>
            <w:tcMar>
              <w:top w:w="30" w:type="dxa"/>
              <w:left w:w="20" w:type="dxa"/>
              <w:bottom w:w="30" w:type="dxa"/>
              <w:right w:w="20" w:type="dxa"/>
            </w:tcMar>
            <w:vAlign w:val="center"/>
            <w:hideMark/>
          </w:tcPr>
          <w:p w:rsidR="00000000" w:rsidRDefault="001F1FC8">
            <w:pPr>
              <w:rPr>
                <w:rFonts w:eastAsia="Times New Roman"/>
              </w:rPr>
            </w:pPr>
            <w:r>
              <w:rPr>
                <w:rFonts w:ascii="Arial" w:eastAsia="Times New Roman" w:hAnsi="Arial" w:cs="Arial"/>
                <w:color w:val="000000"/>
                <w:sz w:val="20"/>
                <w:szCs w:val="20"/>
              </w:rPr>
              <w:t>Enbridge (U.S.) Inc.</w:t>
            </w:r>
          </w:p>
        </w:tc>
        <w:tc>
          <w:tcPr>
            <w:tcW w:w="0" w:type="auto"/>
            <w:gridSpan w:val="3"/>
            <w:tcMar>
              <w:top w:w="30" w:type="dxa"/>
              <w:left w:w="20" w:type="dxa"/>
              <w:bottom w:w="30" w:type="dxa"/>
              <w:right w:w="20" w:type="dxa"/>
            </w:tcMar>
            <w:vAlign w:val="center"/>
            <w:hideMark/>
          </w:tcPr>
          <w:p w:rsidR="00000000" w:rsidRDefault="001F1FC8">
            <w:pPr>
              <w:jc w:val="right"/>
              <w:rPr>
                <w:rFonts w:eastAsia="Times New Roman"/>
              </w:rPr>
            </w:pPr>
            <w:r>
              <w:rPr>
                <w:rFonts w:ascii="Arial" w:eastAsia="Times New Roman" w:hAnsi="Arial" w:cs="Arial"/>
                <w:color w:val="000000"/>
                <w:sz w:val="20"/>
                <w:szCs w:val="20"/>
              </w:rPr>
              <w:t>2023-2026</w:t>
            </w:r>
          </w:p>
        </w:tc>
        <w:tc>
          <w:tcPr>
            <w:tcW w:w="0" w:type="auto"/>
            <w:gridSpan w:val="2"/>
            <w:shd w:val="clear" w:color="auto" w:fill="DBDBDB"/>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20"/>
                <w:szCs w:val="20"/>
              </w:rPr>
              <w:t>6,948</w:t>
            </w:r>
            <w:r>
              <w:rPr>
                <w:rFonts w:ascii="Arial" w:eastAsia="Times New Roman" w:hAnsi="Arial" w:cs="Arial"/>
                <w:color w:val="000000"/>
                <w:sz w:val="20"/>
                <w:szCs w:val="20"/>
              </w:rPr>
              <w:t> </w:t>
            </w:r>
          </w:p>
        </w:tc>
        <w:tc>
          <w:tcPr>
            <w:tcW w:w="0" w:type="auto"/>
            <w:shd w:val="clear" w:color="auto" w:fill="DBDBDB"/>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shd w:val="clear" w:color="auto" w:fill="DBDBDB"/>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20"/>
                <w:szCs w:val="20"/>
              </w:rPr>
              <w:t>4,845</w:t>
            </w:r>
            <w:r>
              <w:rPr>
                <w:rFonts w:ascii="Arial" w:eastAsia="Times New Roman" w:hAnsi="Arial" w:cs="Arial"/>
                <w:color w:val="000000"/>
                <w:sz w:val="20"/>
                <w:szCs w:val="20"/>
              </w:rPr>
              <w:t> </w:t>
            </w:r>
          </w:p>
        </w:tc>
        <w:tc>
          <w:tcPr>
            <w:tcW w:w="0" w:type="auto"/>
            <w:shd w:val="clear" w:color="auto" w:fill="DBDBDB"/>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b/>
                <w:bCs/>
                <w:color w:val="000000"/>
                <w:sz w:val="20"/>
                <w:szCs w:val="20"/>
              </w:rPr>
              <w:t>2,103</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1F1FC8">
            <w:pPr>
              <w:jc w:val="right"/>
              <w:rPr>
                <w:rFonts w:eastAsia="Times New Roman"/>
              </w:rPr>
            </w:pPr>
          </w:p>
        </w:tc>
      </w:tr>
      <w:tr w:rsidR="00000000">
        <w:trPr>
          <w:divId w:val="376274381"/>
        </w:trPr>
        <w:tc>
          <w:tcPr>
            <w:tcW w:w="0" w:type="auto"/>
            <w:gridSpan w:val="3"/>
            <w:tcMar>
              <w:top w:w="30" w:type="dxa"/>
              <w:left w:w="20" w:type="dxa"/>
              <w:bottom w:w="30" w:type="dxa"/>
              <w:right w:w="20" w:type="dxa"/>
            </w:tcMar>
            <w:vAlign w:val="center"/>
            <w:hideMark/>
          </w:tcPr>
          <w:p w:rsidR="00000000" w:rsidRDefault="001F1FC8">
            <w:pPr>
              <w:rPr>
                <w:rFonts w:eastAsia="Times New Roman"/>
              </w:rPr>
            </w:pPr>
            <w:r>
              <w:rPr>
                <w:rFonts w:ascii="Arial" w:eastAsia="Times New Roman" w:hAnsi="Arial" w:cs="Arial"/>
                <w:color w:val="000000"/>
                <w:sz w:val="20"/>
                <w:szCs w:val="20"/>
              </w:rPr>
              <w:t>Enbridge Pipelines Inc.</w:t>
            </w:r>
          </w:p>
        </w:tc>
        <w:tc>
          <w:tcPr>
            <w:tcW w:w="0" w:type="auto"/>
            <w:gridSpan w:val="3"/>
            <w:tcMar>
              <w:top w:w="30" w:type="dxa"/>
              <w:left w:w="20" w:type="dxa"/>
              <w:bottom w:w="30" w:type="dxa"/>
              <w:right w:w="20" w:type="dxa"/>
            </w:tcMar>
            <w:vAlign w:val="center"/>
            <w:hideMark/>
          </w:tcPr>
          <w:p w:rsidR="00000000" w:rsidRDefault="001F1FC8">
            <w:pPr>
              <w:jc w:val="right"/>
              <w:rPr>
                <w:rFonts w:eastAsia="Times New Roman"/>
              </w:rPr>
            </w:pPr>
            <w:r>
              <w:rPr>
                <w:rFonts w:ascii="Arial" w:eastAsia="Times New Roman" w:hAnsi="Arial" w:cs="Arial"/>
                <w:color w:val="000000"/>
                <w:sz w:val="20"/>
                <w:szCs w:val="20"/>
              </w:rPr>
              <w:t>2023</w:t>
            </w:r>
          </w:p>
        </w:tc>
        <w:tc>
          <w:tcPr>
            <w:tcW w:w="0" w:type="auto"/>
            <w:gridSpan w:val="2"/>
            <w:shd w:val="clear" w:color="auto" w:fill="DBDBDB"/>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20"/>
                <w:szCs w:val="20"/>
              </w:rPr>
              <w:t>3,000</w:t>
            </w:r>
            <w:r>
              <w:rPr>
                <w:rFonts w:ascii="Arial" w:eastAsia="Times New Roman" w:hAnsi="Arial" w:cs="Arial"/>
                <w:color w:val="000000"/>
                <w:sz w:val="20"/>
                <w:szCs w:val="20"/>
              </w:rPr>
              <w:t> </w:t>
            </w:r>
          </w:p>
        </w:tc>
        <w:tc>
          <w:tcPr>
            <w:tcW w:w="0" w:type="auto"/>
            <w:shd w:val="clear" w:color="auto" w:fill="DBDBDB"/>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shd w:val="clear" w:color="auto" w:fill="DBDBDB"/>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20"/>
                <w:szCs w:val="20"/>
              </w:rPr>
              <w:t>667</w:t>
            </w:r>
            <w:r>
              <w:rPr>
                <w:rFonts w:ascii="Arial" w:eastAsia="Times New Roman" w:hAnsi="Arial" w:cs="Arial"/>
                <w:color w:val="000000"/>
                <w:sz w:val="20"/>
                <w:szCs w:val="20"/>
              </w:rPr>
              <w:t> </w:t>
            </w:r>
          </w:p>
        </w:tc>
        <w:tc>
          <w:tcPr>
            <w:tcW w:w="0" w:type="auto"/>
            <w:shd w:val="clear" w:color="auto" w:fill="DBDBDB"/>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b/>
                <w:bCs/>
                <w:color w:val="000000"/>
                <w:sz w:val="20"/>
                <w:szCs w:val="20"/>
              </w:rPr>
              <w:t>2,333</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1F1FC8">
            <w:pPr>
              <w:jc w:val="right"/>
              <w:rPr>
                <w:rFonts w:eastAsia="Times New Roman"/>
              </w:rPr>
            </w:pPr>
          </w:p>
        </w:tc>
      </w:tr>
      <w:tr w:rsidR="00000000">
        <w:trPr>
          <w:divId w:val="376274381"/>
        </w:trPr>
        <w:tc>
          <w:tcPr>
            <w:tcW w:w="0" w:type="auto"/>
            <w:gridSpan w:val="3"/>
            <w:tcMar>
              <w:top w:w="30" w:type="dxa"/>
              <w:left w:w="20" w:type="dxa"/>
              <w:bottom w:w="30" w:type="dxa"/>
              <w:right w:w="20" w:type="dxa"/>
            </w:tcMar>
            <w:vAlign w:val="center"/>
            <w:hideMark/>
          </w:tcPr>
          <w:p w:rsidR="00000000" w:rsidRDefault="001F1FC8">
            <w:pPr>
              <w:rPr>
                <w:rFonts w:eastAsia="Times New Roman"/>
              </w:rPr>
            </w:pPr>
            <w:r>
              <w:rPr>
                <w:rFonts w:ascii="Arial" w:eastAsia="Times New Roman" w:hAnsi="Arial" w:cs="Arial"/>
                <w:color w:val="000000"/>
                <w:sz w:val="20"/>
                <w:szCs w:val="20"/>
              </w:rPr>
              <w:t>Enbridge Gas Inc.</w:t>
            </w:r>
          </w:p>
        </w:tc>
        <w:tc>
          <w:tcPr>
            <w:tcW w:w="0" w:type="auto"/>
            <w:gridSpan w:val="3"/>
            <w:tcMar>
              <w:top w:w="30" w:type="dxa"/>
              <w:left w:w="20" w:type="dxa"/>
              <w:bottom w:w="30" w:type="dxa"/>
              <w:right w:w="20" w:type="dxa"/>
            </w:tcMar>
            <w:vAlign w:val="center"/>
            <w:hideMark/>
          </w:tcPr>
          <w:p w:rsidR="00000000" w:rsidRDefault="001F1FC8">
            <w:pPr>
              <w:jc w:val="right"/>
              <w:rPr>
                <w:rFonts w:eastAsia="Times New Roman"/>
              </w:rPr>
            </w:pPr>
            <w:r>
              <w:rPr>
                <w:rFonts w:ascii="Arial" w:eastAsia="Times New Roman" w:hAnsi="Arial" w:cs="Arial"/>
                <w:color w:val="000000"/>
                <w:sz w:val="20"/>
                <w:szCs w:val="20"/>
              </w:rPr>
              <w:t>2023</w:t>
            </w:r>
          </w:p>
        </w:tc>
        <w:tc>
          <w:tcPr>
            <w:tcW w:w="0" w:type="auto"/>
            <w:gridSpan w:val="2"/>
            <w:shd w:val="clear" w:color="auto" w:fill="DBDBDB"/>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20"/>
                <w:szCs w:val="20"/>
              </w:rPr>
              <w:t>2,000</w:t>
            </w:r>
            <w:r>
              <w:rPr>
                <w:rFonts w:ascii="Arial" w:eastAsia="Times New Roman" w:hAnsi="Arial" w:cs="Arial"/>
                <w:color w:val="000000"/>
                <w:sz w:val="20"/>
                <w:szCs w:val="20"/>
              </w:rPr>
              <w:t> </w:t>
            </w:r>
          </w:p>
        </w:tc>
        <w:tc>
          <w:tcPr>
            <w:tcW w:w="0" w:type="auto"/>
            <w:shd w:val="clear" w:color="auto" w:fill="DBDBDB"/>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shd w:val="clear" w:color="auto" w:fill="DBDBDB"/>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20"/>
                <w:szCs w:val="20"/>
              </w:rPr>
              <w:t>1,515</w:t>
            </w:r>
            <w:r>
              <w:rPr>
                <w:rFonts w:ascii="Arial" w:eastAsia="Times New Roman" w:hAnsi="Arial" w:cs="Arial"/>
                <w:color w:val="000000"/>
                <w:sz w:val="20"/>
                <w:szCs w:val="20"/>
              </w:rPr>
              <w:t> </w:t>
            </w:r>
          </w:p>
        </w:tc>
        <w:tc>
          <w:tcPr>
            <w:tcW w:w="0" w:type="auto"/>
            <w:shd w:val="clear" w:color="auto" w:fill="DBDBDB"/>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b/>
                <w:bCs/>
                <w:color w:val="000000"/>
                <w:sz w:val="20"/>
                <w:szCs w:val="20"/>
              </w:rPr>
              <w:t>485</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1F1FC8">
            <w:pPr>
              <w:jc w:val="right"/>
              <w:rPr>
                <w:rFonts w:eastAsia="Times New Roman"/>
              </w:rPr>
            </w:pPr>
          </w:p>
        </w:tc>
      </w:tr>
      <w:tr w:rsidR="00000000">
        <w:trPr>
          <w:divId w:val="376274381"/>
        </w:trPr>
        <w:tc>
          <w:tcPr>
            <w:tcW w:w="0" w:type="auto"/>
            <w:gridSpan w:val="3"/>
            <w:tcBorders>
              <w:top w:val="single" w:sz="4" w:space="0" w:color="000000"/>
              <w:bottom w:val="single" w:sz="8" w:space="0" w:color="000000"/>
            </w:tcBorders>
            <w:tcMar>
              <w:top w:w="30" w:type="dxa"/>
              <w:left w:w="20" w:type="dxa"/>
              <w:bottom w:w="30" w:type="dxa"/>
              <w:right w:w="20" w:type="dxa"/>
            </w:tcMar>
            <w:vAlign w:val="center"/>
            <w:hideMark/>
          </w:tcPr>
          <w:p w:rsidR="00000000" w:rsidRDefault="001F1FC8">
            <w:pPr>
              <w:rPr>
                <w:rFonts w:eastAsia="Times New Roman"/>
              </w:rPr>
            </w:pPr>
            <w:r>
              <w:rPr>
                <w:rFonts w:ascii="Arial" w:eastAsia="Times New Roman" w:hAnsi="Arial" w:cs="Arial"/>
                <w:color w:val="000000"/>
                <w:sz w:val="20"/>
                <w:szCs w:val="20"/>
              </w:rPr>
              <w:t>Total committed credit facilities</w:t>
            </w:r>
          </w:p>
        </w:tc>
        <w:tc>
          <w:tcPr>
            <w:tcW w:w="0" w:type="auto"/>
            <w:gridSpan w:val="3"/>
            <w:tcBorders>
              <w:top w:val="single" w:sz="4" w:space="0" w:color="000000"/>
              <w:bottom w:val="single" w:sz="8" w:space="0" w:color="000000"/>
            </w:tcBorders>
            <w:tcMar>
              <w:top w:w="30" w:type="dxa"/>
              <w:left w:w="20" w:type="dxa"/>
              <w:bottom w:w="30" w:type="dxa"/>
              <w:right w:w="20" w:type="dxa"/>
            </w:tcMar>
            <w:vAlign w:val="center"/>
            <w:hideMark/>
          </w:tcPr>
          <w:p w:rsidR="00000000" w:rsidRDefault="001F1FC8">
            <w:pPr>
              <w:jc w:val="right"/>
              <w:rPr>
                <w:rFonts w:eastAsia="Times New Roman"/>
              </w:rPr>
            </w:pPr>
            <w:r>
              <w:rPr>
                <w:rFonts w:ascii="Arial" w:eastAsia="Times New Roman" w:hAnsi="Arial" w:cs="Arial"/>
                <w:color w:val="000000"/>
                <w:sz w:val="20"/>
                <w:szCs w:val="20"/>
              </w:rPr>
              <w:t> </w:t>
            </w:r>
          </w:p>
        </w:tc>
        <w:tc>
          <w:tcPr>
            <w:tcW w:w="0" w:type="auto"/>
            <w:gridSpan w:val="2"/>
            <w:tcBorders>
              <w:top w:val="single" w:sz="4" w:space="0" w:color="000000"/>
              <w:bottom w:val="single" w:sz="8" w:space="0" w:color="000000"/>
            </w:tcBorders>
            <w:shd w:val="clear" w:color="auto" w:fill="D9D9D9"/>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b/>
                <w:bCs/>
                <w:color w:val="000000"/>
                <w:sz w:val="20"/>
                <w:szCs w:val="20"/>
              </w:rPr>
              <w:t>21,085</w:t>
            </w:r>
            <w:r>
              <w:rPr>
                <w:rFonts w:ascii="Arial" w:eastAsia="Times New Roman" w:hAnsi="Arial" w:cs="Arial"/>
                <w:color w:val="000000"/>
                <w:sz w:val="20"/>
                <w:szCs w:val="20"/>
              </w:rPr>
              <w:t> </w:t>
            </w:r>
          </w:p>
        </w:tc>
        <w:tc>
          <w:tcPr>
            <w:tcW w:w="0" w:type="auto"/>
            <w:tcBorders>
              <w:top w:val="single" w:sz="4" w:space="0" w:color="000000"/>
              <w:bottom w:val="single" w:sz="8" w:space="0" w:color="000000"/>
            </w:tcBorders>
            <w:shd w:val="clear" w:color="auto" w:fill="D9D9D9"/>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Borders>
              <w:top w:val="single" w:sz="4" w:space="0" w:color="000000"/>
              <w:bottom w:val="single" w:sz="8" w:space="0" w:color="000000"/>
            </w:tcBorders>
            <w:shd w:val="clear" w:color="auto" w:fill="D9D9D9"/>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b/>
                <w:bCs/>
                <w:color w:val="000000"/>
                <w:sz w:val="20"/>
                <w:szCs w:val="20"/>
              </w:rPr>
              <w:t>14,864</w:t>
            </w:r>
            <w:r>
              <w:rPr>
                <w:rFonts w:ascii="Arial" w:eastAsia="Times New Roman" w:hAnsi="Arial" w:cs="Arial"/>
                <w:color w:val="000000"/>
                <w:sz w:val="20"/>
                <w:szCs w:val="20"/>
              </w:rPr>
              <w:t> </w:t>
            </w:r>
          </w:p>
        </w:tc>
        <w:tc>
          <w:tcPr>
            <w:tcW w:w="0" w:type="auto"/>
            <w:tcBorders>
              <w:top w:val="single" w:sz="4" w:space="0" w:color="000000"/>
              <w:bottom w:val="single" w:sz="8" w:space="0" w:color="000000"/>
            </w:tcBorders>
            <w:shd w:val="clear" w:color="auto" w:fill="D9D9D9"/>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Borders>
              <w:top w:val="single" w:sz="4" w:space="0" w:color="000000"/>
              <w:bottom w:val="single" w:sz="8" w:space="0" w:color="000000"/>
            </w:tcBorders>
            <w:shd w:val="clear" w:color="auto" w:fill="D9D9D9"/>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b/>
                <w:bCs/>
                <w:color w:val="000000"/>
                <w:sz w:val="20"/>
                <w:szCs w:val="20"/>
              </w:rPr>
              <w:t>6,221</w:t>
            </w:r>
            <w:r>
              <w:rPr>
                <w:rFonts w:ascii="Arial" w:eastAsia="Times New Roman" w:hAnsi="Arial" w:cs="Arial"/>
                <w:color w:val="000000"/>
                <w:sz w:val="20"/>
                <w:szCs w:val="20"/>
              </w:rPr>
              <w:t> </w:t>
            </w:r>
          </w:p>
        </w:tc>
        <w:tc>
          <w:tcPr>
            <w:tcW w:w="0" w:type="auto"/>
            <w:tcBorders>
              <w:top w:val="single" w:sz="4" w:space="0" w:color="000000"/>
              <w:bottom w:val="single" w:sz="8" w:space="0" w:color="000000"/>
            </w:tcBorders>
            <w:shd w:val="clear" w:color="auto" w:fill="D9D9D9"/>
            <w:tcMar>
              <w:top w:w="30" w:type="dxa"/>
              <w:left w:w="0" w:type="dxa"/>
              <w:bottom w:w="30" w:type="dxa"/>
              <w:right w:w="20" w:type="dxa"/>
            </w:tcMar>
            <w:vAlign w:val="center"/>
            <w:hideMark/>
          </w:tcPr>
          <w:p w:rsidR="00000000" w:rsidRDefault="001F1FC8">
            <w:pPr>
              <w:jc w:val="right"/>
              <w:rPr>
                <w:rFonts w:eastAsia="Times New Roman"/>
              </w:rPr>
            </w:pPr>
          </w:p>
        </w:tc>
      </w:tr>
    </w:tbl>
    <w:p w:rsidR="00000000" w:rsidRDefault="001F1FC8">
      <w:pPr>
        <w:ind w:hanging="180"/>
        <w:divId w:val="1024401015"/>
        <w:rPr>
          <w:rFonts w:eastAsia="Times New Roman"/>
        </w:rPr>
      </w:pPr>
      <w:r>
        <w:rPr>
          <w:rFonts w:ascii="Arial" w:eastAsia="Times New Roman" w:hAnsi="Arial" w:cs="Arial"/>
          <w:i/>
          <w:iCs/>
          <w:color w:val="000000"/>
          <w:sz w:val="16"/>
          <w:szCs w:val="16"/>
        </w:rPr>
        <w:t>1</w:t>
      </w:r>
      <w:r>
        <w:rPr>
          <w:rFonts w:ascii="Arial" w:eastAsia="Times New Roman" w:hAnsi="Arial" w:cs="Arial"/>
          <w:i/>
          <w:iCs/>
          <w:color w:val="000000"/>
          <w:sz w:val="16"/>
          <w:szCs w:val="16"/>
        </w:rPr>
        <w:t>Maturity date is inclusive of the one-year term out option for certain credit facilities.</w:t>
      </w:r>
    </w:p>
    <w:p w:rsidR="00000000" w:rsidRDefault="001F1FC8">
      <w:pPr>
        <w:ind w:hanging="180"/>
        <w:divId w:val="1327366720"/>
        <w:rPr>
          <w:rFonts w:eastAsia="Times New Roman"/>
        </w:rPr>
      </w:pPr>
      <w:r>
        <w:rPr>
          <w:rFonts w:ascii="Arial" w:eastAsia="Times New Roman" w:hAnsi="Arial" w:cs="Arial"/>
          <w:i/>
          <w:iCs/>
          <w:color w:val="000000"/>
          <w:sz w:val="16"/>
          <w:szCs w:val="16"/>
        </w:rPr>
        <w:t>2Includes facility draws and commercial paper issuances that are back-stopped by credit facilities.</w:t>
      </w:r>
    </w:p>
    <w:p w:rsidR="00000000" w:rsidRDefault="001F1FC8">
      <w:pPr>
        <w:divId w:val="1376275278"/>
        <w:rPr>
          <w:rFonts w:eastAsia="Times New Roman"/>
        </w:rPr>
      </w:pPr>
    </w:p>
    <w:p w:rsidR="00000000" w:rsidRDefault="001F1FC8">
      <w:pPr>
        <w:divId w:val="171771804"/>
        <w:rPr>
          <w:rFonts w:eastAsia="Times New Roman"/>
        </w:rPr>
      </w:pPr>
      <w:r>
        <w:rPr>
          <w:rFonts w:ascii="Arial" w:eastAsia="Times New Roman" w:hAnsi="Arial" w:cs="Arial"/>
          <w:color w:val="000000"/>
          <w:sz w:val="20"/>
          <w:szCs w:val="20"/>
        </w:rPr>
        <w:t>On February 10, 2021, Enbridge Inc. entered into a three year, r</w:t>
      </w:r>
      <w:r>
        <w:rPr>
          <w:rFonts w:ascii="Arial" w:eastAsia="Times New Roman" w:hAnsi="Arial" w:cs="Arial"/>
          <w:color w:val="000000"/>
          <w:sz w:val="20"/>
          <w:szCs w:val="20"/>
        </w:rPr>
        <w:t>evolving, extendible, sustainability-linked credit facility for $1.0 billion with a syndicate of lenders and concurrently terminated our one year, revolving, syndicated credit facility for $3.0 billion.</w:t>
      </w:r>
    </w:p>
    <w:p w:rsidR="00000000" w:rsidRDefault="001F1FC8">
      <w:pPr>
        <w:divId w:val="1760255812"/>
        <w:rPr>
          <w:rFonts w:eastAsia="Times New Roman"/>
        </w:rPr>
      </w:pPr>
    </w:p>
    <w:p w:rsidR="00000000" w:rsidRDefault="001F1FC8">
      <w:pPr>
        <w:jc w:val="center"/>
        <w:divId w:val="1552766302"/>
        <w:rPr>
          <w:rFonts w:eastAsia="Times New Roman"/>
        </w:rPr>
      </w:pPr>
      <w:r>
        <w:rPr>
          <w:rFonts w:ascii="Arial" w:eastAsia="Times New Roman" w:hAnsi="Arial" w:cs="Arial"/>
          <w:color w:val="000000"/>
          <w:sz w:val="20"/>
          <w:szCs w:val="20"/>
        </w:rPr>
        <w:t>74</w:t>
      </w:r>
    </w:p>
    <w:p w:rsidR="00000000" w:rsidRDefault="001F1FC8">
      <w:pPr>
        <w:rPr>
          <w:rFonts w:eastAsia="Times New Roman"/>
        </w:rPr>
      </w:pPr>
      <w:r>
        <w:rPr>
          <w:rFonts w:eastAsia="Times New Roman"/>
        </w:rPr>
        <w:pict>
          <v:rect id="_x0000_i1104" style="width:0;height:1.5pt" o:hralign="center" o:hrstd="t" o:hr="t" fillcolor="#a0a0a0" stroked="f"/>
        </w:pict>
      </w:r>
    </w:p>
    <w:p w:rsidR="00000000" w:rsidRDefault="001F1FC8">
      <w:pPr>
        <w:jc w:val="center"/>
        <w:divId w:val="1530995244"/>
        <w:rPr>
          <w:rFonts w:eastAsia="Times New Roman"/>
        </w:rPr>
      </w:pPr>
    </w:p>
    <w:p w:rsidR="00000000" w:rsidRDefault="001F1FC8">
      <w:pPr>
        <w:divId w:val="1972705742"/>
        <w:rPr>
          <w:rFonts w:eastAsia="Times New Roman"/>
        </w:rPr>
      </w:pPr>
      <w:r>
        <w:rPr>
          <w:rFonts w:ascii="Arial" w:eastAsia="Times New Roman" w:hAnsi="Arial" w:cs="Arial"/>
          <w:color w:val="000000"/>
          <w:sz w:val="20"/>
          <w:szCs w:val="20"/>
        </w:rPr>
        <w:t>On July 22 and 23, 2021, we renewed approximately $8.0 billion of our five-year credit facilities, extending the maturity date out to July 2026. We also extended approximately $10.0 billion of our 364-day extendible cr</w:t>
      </w:r>
      <w:r>
        <w:rPr>
          <w:rFonts w:ascii="Arial" w:eastAsia="Times New Roman" w:hAnsi="Arial" w:cs="Arial"/>
          <w:color w:val="000000"/>
          <w:sz w:val="20"/>
          <w:szCs w:val="20"/>
        </w:rPr>
        <w:t>edit facilities to July 2022, which includes a one-year term out provision to July 2023.</w:t>
      </w:r>
    </w:p>
    <w:p w:rsidR="00000000" w:rsidRDefault="001F1FC8">
      <w:pPr>
        <w:divId w:val="324432393"/>
        <w:rPr>
          <w:rFonts w:eastAsia="Times New Roman"/>
        </w:rPr>
      </w:pPr>
    </w:p>
    <w:p w:rsidR="00000000" w:rsidRDefault="001F1FC8">
      <w:pPr>
        <w:divId w:val="1666661102"/>
        <w:rPr>
          <w:rFonts w:eastAsia="Times New Roman"/>
        </w:rPr>
      </w:pPr>
      <w:r>
        <w:rPr>
          <w:rFonts w:ascii="Arial" w:eastAsia="Times New Roman" w:hAnsi="Arial" w:cs="Arial"/>
          <w:color w:val="000000"/>
          <w:sz w:val="20"/>
          <w:szCs w:val="20"/>
        </w:rPr>
        <w:t>On February 10, 2022 we renewed our three year $1.0 billion sustainability-linked credit facility, extending the maturity date out to July 2025.</w:t>
      </w:r>
    </w:p>
    <w:p w:rsidR="00000000" w:rsidRDefault="001F1FC8">
      <w:pPr>
        <w:divId w:val="1501700882"/>
        <w:rPr>
          <w:rFonts w:eastAsia="Times New Roman"/>
        </w:rPr>
      </w:pPr>
    </w:p>
    <w:p w:rsidR="00000000" w:rsidRDefault="001F1FC8">
      <w:pPr>
        <w:divId w:val="73205692"/>
        <w:rPr>
          <w:rFonts w:eastAsia="Times New Roman"/>
        </w:rPr>
      </w:pPr>
      <w:r>
        <w:rPr>
          <w:rFonts w:ascii="Arial" w:eastAsia="Times New Roman" w:hAnsi="Arial" w:cs="Arial"/>
          <w:color w:val="000000"/>
          <w:sz w:val="20"/>
          <w:szCs w:val="20"/>
        </w:rPr>
        <w:t>In addition to the</w:t>
      </w:r>
      <w:r>
        <w:rPr>
          <w:rFonts w:ascii="Arial" w:eastAsia="Times New Roman" w:hAnsi="Arial" w:cs="Arial"/>
          <w:color w:val="000000"/>
          <w:sz w:val="20"/>
          <w:szCs w:val="20"/>
        </w:rPr>
        <w:t xml:space="preserve"> committed credit facilities noted above, we maintain $1.3 billion of uncommitted demand letter of credit facilities, of which $854 million was unutilized as at December 31, 2021. As at December 31, 2020, we had $849 million of uncommitted demand letter of</w:t>
      </w:r>
      <w:r>
        <w:rPr>
          <w:rFonts w:ascii="Arial" w:eastAsia="Times New Roman" w:hAnsi="Arial" w:cs="Arial"/>
          <w:color w:val="000000"/>
          <w:sz w:val="20"/>
          <w:szCs w:val="20"/>
        </w:rPr>
        <w:t xml:space="preserve"> credit facilities, of which $533 million was unutilized.</w:t>
      </w:r>
    </w:p>
    <w:p w:rsidR="00000000" w:rsidRDefault="001F1FC8">
      <w:pPr>
        <w:divId w:val="1346319486"/>
        <w:rPr>
          <w:rFonts w:eastAsia="Times New Roman"/>
        </w:rPr>
      </w:pPr>
    </w:p>
    <w:p w:rsidR="00000000" w:rsidRDefault="001F1FC8">
      <w:pPr>
        <w:divId w:val="1282422359"/>
        <w:rPr>
          <w:rFonts w:eastAsia="Times New Roman"/>
        </w:rPr>
      </w:pPr>
      <w:r>
        <w:rPr>
          <w:rFonts w:ascii="Arial" w:eastAsia="Times New Roman" w:hAnsi="Arial" w:cs="Arial"/>
          <w:color w:val="000000"/>
          <w:sz w:val="20"/>
          <w:szCs w:val="20"/>
        </w:rPr>
        <w:t xml:space="preserve">As at December 31, 2021, our net available liquidity totaled $6.5 billion (2020 - $12.7 billion), consisting of available credit facilities of $6.2 billion (2020 - $12.3 billion) and unrestricted </w:t>
      </w:r>
      <w:r>
        <w:rPr>
          <w:rFonts w:ascii="Arial" w:eastAsia="Times New Roman" w:hAnsi="Arial" w:cs="Arial"/>
          <w:color w:val="000000"/>
          <w:sz w:val="20"/>
          <w:szCs w:val="20"/>
        </w:rPr>
        <w:t>Cash and cash equivalents of $286 million (2020 - $452 million) as reported in the Consolidated Statements of Financial Position.</w:t>
      </w:r>
    </w:p>
    <w:p w:rsidR="00000000" w:rsidRDefault="001F1FC8">
      <w:pPr>
        <w:divId w:val="1279683782"/>
        <w:rPr>
          <w:rFonts w:eastAsia="Times New Roman"/>
        </w:rPr>
      </w:pPr>
    </w:p>
    <w:p w:rsidR="00000000" w:rsidRDefault="001F1FC8">
      <w:pPr>
        <w:divId w:val="406995957"/>
        <w:rPr>
          <w:rFonts w:eastAsia="Times New Roman"/>
        </w:rPr>
      </w:pPr>
      <w:r>
        <w:rPr>
          <w:rFonts w:ascii="Arial" w:eastAsia="Times New Roman" w:hAnsi="Arial" w:cs="Arial"/>
          <w:color w:val="000000"/>
          <w:sz w:val="20"/>
          <w:szCs w:val="20"/>
        </w:rPr>
        <w:t xml:space="preserve">Our credit facility agreements and term debt indentures include standard events of default and covenant provisions, whereby </w:t>
      </w:r>
      <w:r>
        <w:rPr>
          <w:rFonts w:ascii="Arial" w:eastAsia="Times New Roman" w:hAnsi="Arial" w:cs="Arial"/>
          <w:color w:val="000000"/>
          <w:sz w:val="20"/>
          <w:szCs w:val="20"/>
        </w:rPr>
        <w:t>accelerated repayment and/or termination of the agreements may result if we were to default on payment or violate certain covenants. As at December 31, 2021, we were in compliance with all debt covenants and expect to continue to comply with such covenants</w:t>
      </w:r>
      <w:r>
        <w:rPr>
          <w:rFonts w:ascii="Arial" w:eastAsia="Times New Roman" w:hAnsi="Arial" w:cs="Arial"/>
          <w:color w:val="000000"/>
          <w:sz w:val="20"/>
          <w:szCs w:val="20"/>
        </w:rPr>
        <w:t>.</w:t>
      </w:r>
    </w:p>
    <w:p w:rsidR="00000000" w:rsidRDefault="001F1FC8">
      <w:pPr>
        <w:divId w:val="791900404"/>
        <w:rPr>
          <w:rFonts w:eastAsia="Times New Roman"/>
        </w:rPr>
      </w:pPr>
      <w:r>
        <w:rPr>
          <w:rFonts w:ascii="Arial" w:eastAsia="Times New Roman" w:hAnsi="Arial" w:cs="Arial"/>
          <w:color w:val="000000"/>
          <w:sz w:val="20"/>
          <w:szCs w:val="20"/>
        </w:rPr>
        <w:t> </w:t>
      </w:r>
    </w:p>
    <w:p w:rsidR="00000000" w:rsidRDefault="001F1FC8">
      <w:pPr>
        <w:divId w:val="1783256364"/>
        <w:rPr>
          <w:rFonts w:eastAsia="Times New Roman"/>
        </w:rPr>
      </w:pPr>
      <w:r>
        <w:rPr>
          <w:rFonts w:ascii="Arial" w:eastAsia="Times New Roman" w:hAnsi="Arial" w:cs="Arial"/>
          <w:color w:val="000000"/>
          <w:sz w:val="20"/>
          <w:szCs w:val="20"/>
        </w:rPr>
        <w:t>Cash flow growth, proceeds from non-core asset dispositions, ready access to liquidity from diversified sources and a stable business model have enabled us to manage our credit profile. We actively monitor and manage key financial metrics with the obje</w:t>
      </w:r>
      <w:r>
        <w:rPr>
          <w:rFonts w:ascii="Arial" w:eastAsia="Times New Roman" w:hAnsi="Arial" w:cs="Arial"/>
          <w:color w:val="000000"/>
          <w:sz w:val="20"/>
          <w:szCs w:val="20"/>
        </w:rPr>
        <w:t>ctive of sustaining investment grade credit ratings from the major credit rating agencies and ongoing access to bank funding and term debt capital on attractive terms. Key measures of financial strength that are closely managed include the ability to servi</w:t>
      </w:r>
      <w:r>
        <w:rPr>
          <w:rFonts w:ascii="Arial" w:eastAsia="Times New Roman" w:hAnsi="Arial" w:cs="Arial"/>
          <w:color w:val="000000"/>
          <w:sz w:val="20"/>
          <w:szCs w:val="20"/>
        </w:rPr>
        <w:t>ce debt obligations from operating cash flow and the ratio of debt to EBITDA.</w:t>
      </w:r>
    </w:p>
    <w:p w:rsidR="00000000" w:rsidRDefault="001F1FC8">
      <w:pPr>
        <w:divId w:val="302656687"/>
        <w:rPr>
          <w:rFonts w:eastAsia="Times New Roman"/>
        </w:rPr>
      </w:pPr>
      <w:r>
        <w:rPr>
          <w:rFonts w:ascii="Arial" w:eastAsia="Times New Roman" w:hAnsi="Arial" w:cs="Arial"/>
          <w:color w:val="000000"/>
          <w:sz w:val="20"/>
          <w:szCs w:val="20"/>
        </w:rPr>
        <w:t> </w:t>
      </w:r>
    </w:p>
    <w:p w:rsidR="00000000" w:rsidRDefault="001F1FC8">
      <w:pPr>
        <w:divId w:val="1263563878"/>
        <w:rPr>
          <w:rFonts w:eastAsia="Times New Roman"/>
        </w:rPr>
      </w:pPr>
      <w:r>
        <w:rPr>
          <w:rFonts w:ascii="Arial" w:eastAsia="Times New Roman" w:hAnsi="Arial" w:cs="Arial"/>
          <w:color w:val="000000"/>
          <w:sz w:val="20"/>
          <w:szCs w:val="20"/>
        </w:rPr>
        <w:t>On June 1, 2021, Moody's upgraded the credit ratings of Enbridge Inc., including our senior unsecured and issuer ratings, to Baa1 from Baa2. Moody's also upgraded the credit ra</w:t>
      </w:r>
      <w:r>
        <w:rPr>
          <w:rFonts w:ascii="Arial" w:eastAsia="Times New Roman" w:hAnsi="Arial" w:cs="Arial"/>
          <w:color w:val="000000"/>
          <w:sz w:val="20"/>
          <w:szCs w:val="20"/>
        </w:rPr>
        <w:t>tings of our subsidiaries: EEP, EELP, SEP and Texas Eastern. The outlooks of all five entities are stable.</w:t>
      </w:r>
    </w:p>
    <w:p w:rsidR="00000000" w:rsidRDefault="001F1FC8">
      <w:pPr>
        <w:divId w:val="151408935"/>
        <w:rPr>
          <w:rFonts w:eastAsia="Times New Roman"/>
        </w:rPr>
      </w:pPr>
    </w:p>
    <w:p w:rsidR="00000000" w:rsidRDefault="001F1FC8">
      <w:pPr>
        <w:divId w:val="1381399616"/>
        <w:rPr>
          <w:rFonts w:eastAsia="Times New Roman"/>
        </w:rPr>
      </w:pPr>
      <w:r>
        <w:rPr>
          <w:rFonts w:ascii="Arial" w:eastAsia="Times New Roman" w:hAnsi="Arial" w:cs="Arial"/>
          <w:color w:val="000000"/>
          <w:sz w:val="20"/>
          <w:szCs w:val="20"/>
        </w:rPr>
        <w:t>There are no material restrictions on our cash. Total Restricted cash of $34 million, as reported on the Consolidated Statements of Financial Posit</w:t>
      </w:r>
      <w:r>
        <w:rPr>
          <w:rFonts w:ascii="Arial" w:eastAsia="Times New Roman" w:hAnsi="Arial" w:cs="Arial"/>
          <w:color w:val="000000"/>
          <w:sz w:val="20"/>
          <w:szCs w:val="20"/>
        </w:rPr>
        <w:t xml:space="preserve">ion, primarily includes cash collateral and future pipeline abandonment costs collected and held in trust. Cash and cash equivalents held by certain subsidiaries may not be readily accessible for alternative use by us. </w:t>
      </w:r>
    </w:p>
    <w:p w:rsidR="00000000" w:rsidRDefault="001F1FC8">
      <w:pPr>
        <w:divId w:val="1101604900"/>
        <w:rPr>
          <w:rFonts w:eastAsia="Times New Roman"/>
        </w:rPr>
      </w:pPr>
    </w:p>
    <w:p w:rsidR="00000000" w:rsidRDefault="001F1FC8">
      <w:pPr>
        <w:divId w:val="1859656010"/>
        <w:rPr>
          <w:rFonts w:eastAsia="Times New Roman"/>
        </w:rPr>
      </w:pPr>
      <w:r>
        <w:rPr>
          <w:rFonts w:ascii="Arial" w:eastAsia="Times New Roman" w:hAnsi="Arial" w:cs="Arial"/>
          <w:color w:val="000000"/>
          <w:sz w:val="20"/>
          <w:szCs w:val="20"/>
        </w:rPr>
        <w:t>Excluding current maturities of lo</w:t>
      </w:r>
      <w:r>
        <w:rPr>
          <w:rFonts w:ascii="Arial" w:eastAsia="Times New Roman" w:hAnsi="Arial" w:cs="Arial"/>
          <w:color w:val="000000"/>
          <w:sz w:val="20"/>
          <w:szCs w:val="20"/>
        </w:rPr>
        <w:t>ng-term debt, as at December 31, 2021 and 2020, we had a negative working capital position of $3.1 billion and $3.7 billion, respectively. In both periods, the major contributing factor to the negative working capital position was the current liabilities a</w:t>
      </w:r>
      <w:r>
        <w:rPr>
          <w:rFonts w:ascii="Arial" w:eastAsia="Times New Roman" w:hAnsi="Arial" w:cs="Arial"/>
          <w:color w:val="000000"/>
          <w:sz w:val="20"/>
          <w:szCs w:val="20"/>
        </w:rPr>
        <w:t>ssociated with our growth capital program.</w:t>
      </w:r>
    </w:p>
    <w:p w:rsidR="00000000" w:rsidRDefault="001F1FC8">
      <w:pPr>
        <w:divId w:val="692152583"/>
        <w:rPr>
          <w:rFonts w:eastAsia="Times New Roman"/>
        </w:rPr>
      </w:pPr>
      <w:r>
        <w:rPr>
          <w:rFonts w:ascii="Arial" w:eastAsia="Times New Roman" w:hAnsi="Arial" w:cs="Arial"/>
          <w:color w:val="000000"/>
          <w:sz w:val="20"/>
          <w:szCs w:val="20"/>
        </w:rPr>
        <w:t> </w:t>
      </w:r>
    </w:p>
    <w:p w:rsidR="00000000" w:rsidRDefault="001F1FC8">
      <w:pPr>
        <w:divId w:val="1622414203"/>
        <w:rPr>
          <w:rFonts w:eastAsia="Times New Roman"/>
        </w:rPr>
      </w:pPr>
      <w:r>
        <w:rPr>
          <w:rFonts w:ascii="Arial" w:eastAsia="Times New Roman" w:hAnsi="Arial" w:cs="Arial"/>
          <w:color w:val="000000"/>
          <w:sz w:val="20"/>
          <w:szCs w:val="20"/>
        </w:rPr>
        <w:t xml:space="preserve">To address this negative working capital position, we maintain significant liquidity in the form of committed credit facilities and other sources as previously discussed, which enable the funding of liabilities </w:t>
      </w:r>
      <w:r>
        <w:rPr>
          <w:rFonts w:ascii="Arial" w:eastAsia="Times New Roman" w:hAnsi="Arial" w:cs="Arial"/>
          <w:color w:val="000000"/>
          <w:sz w:val="20"/>
          <w:szCs w:val="20"/>
        </w:rPr>
        <w:t xml:space="preserve">as they become due. </w:t>
      </w:r>
    </w:p>
    <w:p w:rsidR="00000000" w:rsidRDefault="001F1FC8">
      <w:pPr>
        <w:divId w:val="1436053838"/>
        <w:rPr>
          <w:rFonts w:eastAsia="Times New Roman"/>
        </w:rPr>
      </w:pPr>
      <w:r>
        <w:rPr>
          <w:rFonts w:ascii="Arial" w:eastAsia="Times New Roman" w:hAnsi="Arial" w:cs="Arial"/>
          <w:color w:val="000000"/>
          <w:sz w:val="20"/>
          <w:szCs w:val="20"/>
        </w:rPr>
        <w:t> </w:t>
      </w:r>
    </w:p>
    <w:p w:rsidR="00000000" w:rsidRDefault="001F1FC8">
      <w:pPr>
        <w:jc w:val="center"/>
        <w:divId w:val="1487437377"/>
        <w:rPr>
          <w:rFonts w:eastAsia="Times New Roman"/>
        </w:rPr>
      </w:pPr>
      <w:r>
        <w:rPr>
          <w:rFonts w:ascii="Arial" w:eastAsia="Times New Roman" w:hAnsi="Arial" w:cs="Arial"/>
          <w:color w:val="000000"/>
          <w:sz w:val="20"/>
          <w:szCs w:val="20"/>
        </w:rPr>
        <w:t>75</w:t>
      </w:r>
    </w:p>
    <w:p w:rsidR="00000000" w:rsidRDefault="001F1FC8">
      <w:pPr>
        <w:rPr>
          <w:rFonts w:eastAsia="Times New Roman"/>
        </w:rPr>
      </w:pPr>
      <w:r>
        <w:rPr>
          <w:rFonts w:eastAsia="Times New Roman"/>
        </w:rPr>
        <w:pict>
          <v:rect id="_x0000_i1105" style="width:0;height:1.5pt" o:hralign="center" o:hrstd="t" o:hr="t" fillcolor="#a0a0a0" stroked="f"/>
        </w:pict>
      </w:r>
    </w:p>
    <w:p w:rsidR="00000000" w:rsidRDefault="001F1FC8">
      <w:pPr>
        <w:jc w:val="center"/>
        <w:divId w:val="1257708803"/>
        <w:rPr>
          <w:rFonts w:eastAsia="Times New Roman"/>
        </w:rPr>
      </w:pPr>
    </w:p>
    <w:p w:rsidR="00000000" w:rsidRDefault="001F1FC8">
      <w:pPr>
        <w:divId w:val="2098942874"/>
        <w:rPr>
          <w:rFonts w:eastAsia="Times New Roman"/>
        </w:rPr>
      </w:pPr>
      <w:r>
        <w:rPr>
          <w:rFonts w:ascii="Arial" w:eastAsia="Times New Roman" w:hAnsi="Arial" w:cs="Arial"/>
          <w:b/>
          <w:bCs/>
          <w:color w:val="000000"/>
          <w:sz w:val="20"/>
          <w:szCs w:val="20"/>
        </w:rPr>
        <w:t>SOURCES AND USES OF CASH</w:t>
      </w:r>
    </w:p>
    <w:p w:rsidR="00000000" w:rsidRDefault="001F1FC8">
      <w:pPr>
        <w:divId w:val="1248928424"/>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5446"/>
        <w:gridCol w:w="38"/>
        <w:gridCol w:w="70"/>
        <w:gridCol w:w="811"/>
        <w:gridCol w:w="36"/>
        <w:gridCol w:w="69"/>
        <w:gridCol w:w="812"/>
        <w:gridCol w:w="36"/>
        <w:gridCol w:w="69"/>
        <w:gridCol w:w="814"/>
        <w:gridCol w:w="36"/>
      </w:tblGrid>
      <w:tr w:rsidR="00000000">
        <w:trPr>
          <w:divId w:val="2070612366"/>
        </w:trPr>
        <w:tc>
          <w:tcPr>
            <w:tcW w:w="50" w:type="pct"/>
            <w:vAlign w:val="center"/>
            <w:hideMark/>
          </w:tcPr>
          <w:p w:rsidR="00000000" w:rsidRDefault="001F1FC8">
            <w:pPr>
              <w:rPr>
                <w:rFonts w:eastAsia="Times New Roman"/>
              </w:rPr>
            </w:pPr>
          </w:p>
        </w:tc>
        <w:tc>
          <w:tcPr>
            <w:tcW w:w="3286"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c>
          <w:tcPr>
            <w:tcW w:w="50" w:type="pct"/>
            <w:vAlign w:val="center"/>
            <w:hideMark/>
          </w:tcPr>
          <w:p w:rsidR="00000000" w:rsidRDefault="001F1FC8">
            <w:pPr>
              <w:rPr>
                <w:rFonts w:eastAsia="Times New Roman"/>
                <w:sz w:val="20"/>
                <w:szCs w:val="20"/>
              </w:rPr>
            </w:pPr>
          </w:p>
        </w:tc>
        <w:tc>
          <w:tcPr>
            <w:tcW w:w="497"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c>
          <w:tcPr>
            <w:tcW w:w="50" w:type="pct"/>
            <w:vAlign w:val="center"/>
            <w:hideMark/>
          </w:tcPr>
          <w:p w:rsidR="00000000" w:rsidRDefault="001F1FC8">
            <w:pPr>
              <w:rPr>
                <w:rFonts w:eastAsia="Times New Roman"/>
                <w:sz w:val="20"/>
                <w:szCs w:val="20"/>
              </w:rPr>
            </w:pPr>
          </w:p>
        </w:tc>
        <w:tc>
          <w:tcPr>
            <w:tcW w:w="497"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c>
          <w:tcPr>
            <w:tcW w:w="50" w:type="pct"/>
            <w:vAlign w:val="center"/>
            <w:hideMark/>
          </w:tcPr>
          <w:p w:rsidR="00000000" w:rsidRDefault="001F1FC8">
            <w:pPr>
              <w:rPr>
                <w:rFonts w:eastAsia="Times New Roman"/>
                <w:sz w:val="20"/>
                <w:szCs w:val="20"/>
              </w:rPr>
            </w:pPr>
          </w:p>
        </w:tc>
        <w:tc>
          <w:tcPr>
            <w:tcW w:w="498"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r>
      <w:tr w:rsidR="00000000">
        <w:trPr>
          <w:divId w:val="2070612366"/>
        </w:trPr>
        <w:tc>
          <w:tcPr>
            <w:tcW w:w="0" w:type="auto"/>
            <w:gridSpan w:val="3"/>
            <w:tcMar>
              <w:top w:w="30" w:type="dxa"/>
              <w:left w:w="20" w:type="dxa"/>
              <w:bottom w:w="30" w:type="dxa"/>
              <w:right w:w="20" w:type="dxa"/>
            </w:tcMar>
            <w:vAlign w:val="center"/>
            <w:hideMark/>
          </w:tcPr>
          <w:p w:rsidR="00000000" w:rsidRDefault="001F1FC8">
            <w:pPr>
              <w:rPr>
                <w:rFonts w:eastAsia="Times New Roman"/>
              </w:rPr>
            </w:pPr>
            <w:r>
              <w:rPr>
                <w:rFonts w:ascii="Arial" w:eastAsia="Times New Roman" w:hAnsi="Arial" w:cs="Arial"/>
                <w:color w:val="000000"/>
                <w:sz w:val="20"/>
                <w:szCs w:val="20"/>
              </w:rPr>
              <w:t>Year ended December 31,</w:t>
            </w:r>
          </w:p>
        </w:tc>
        <w:tc>
          <w:tcPr>
            <w:tcW w:w="0" w:type="auto"/>
            <w:gridSpan w:val="3"/>
            <w:tcMar>
              <w:top w:w="30" w:type="dxa"/>
              <w:left w:w="20" w:type="dxa"/>
              <w:bottom w:w="30" w:type="dxa"/>
              <w:right w:w="20" w:type="dxa"/>
            </w:tcMar>
            <w:vAlign w:val="center"/>
            <w:hideMark/>
          </w:tcPr>
          <w:p w:rsidR="00000000" w:rsidRDefault="001F1FC8">
            <w:pPr>
              <w:jc w:val="right"/>
              <w:rPr>
                <w:rFonts w:eastAsia="Times New Roman"/>
              </w:rPr>
            </w:pPr>
            <w:r>
              <w:rPr>
                <w:rFonts w:ascii="Arial" w:eastAsia="Times New Roman" w:hAnsi="Arial" w:cs="Arial"/>
                <w:b/>
                <w:bCs/>
                <w:color w:val="000000"/>
                <w:sz w:val="20"/>
                <w:szCs w:val="20"/>
              </w:rPr>
              <w:t>2021</w:t>
            </w:r>
          </w:p>
        </w:tc>
        <w:tc>
          <w:tcPr>
            <w:tcW w:w="0" w:type="auto"/>
            <w:gridSpan w:val="3"/>
            <w:tcMar>
              <w:top w:w="30" w:type="dxa"/>
              <w:left w:w="20" w:type="dxa"/>
              <w:bottom w:w="30" w:type="dxa"/>
              <w:right w:w="20" w:type="dxa"/>
            </w:tcMar>
            <w:vAlign w:val="center"/>
            <w:hideMark/>
          </w:tcPr>
          <w:p w:rsidR="00000000" w:rsidRDefault="001F1FC8">
            <w:pPr>
              <w:jc w:val="right"/>
              <w:rPr>
                <w:rFonts w:eastAsia="Times New Roman"/>
              </w:rPr>
            </w:pPr>
            <w:r>
              <w:rPr>
                <w:rFonts w:ascii="Arial" w:eastAsia="Times New Roman" w:hAnsi="Arial" w:cs="Arial"/>
                <w:color w:val="000000"/>
                <w:sz w:val="20"/>
                <w:szCs w:val="20"/>
              </w:rPr>
              <w:t>2020</w:t>
            </w:r>
          </w:p>
        </w:tc>
        <w:tc>
          <w:tcPr>
            <w:tcW w:w="0" w:type="auto"/>
            <w:gridSpan w:val="3"/>
            <w:tcMar>
              <w:top w:w="30" w:type="dxa"/>
              <w:left w:w="20" w:type="dxa"/>
              <w:bottom w:w="30" w:type="dxa"/>
              <w:right w:w="20" w:type="dxa"/>
            </w:tcMar>
            <w:vAlign w:val="center"/>
            <w:hideMark/>
          </w:tcPr>
          <w:p w:rsidR="00000000" w:rsidRDefault="001F1FC8">
            <w:pPr>
              <w:jc w:val="right"/>
              <w:rPr>
                <w:rFonts w:eastAsia="Times New Roman"/>
              </w:rPr>
            </w:pPr>
            <w:r>
              <w:rPr>
                <w:rFonts w:ascii="Arial" w:eastAsia="Times New Roman" w:hAnsi="Arial" w:cs="Arial"/>
                <w:color w:val="000000"/>
                <w:sz w:val="20"/>
                <w:szCs w:val="20"/>
              </w:rPr>
              <w:t>2019</w:t>
            </w:r>
          </w:p>
        </w:tc>
      </w:tr>
      <w:tr w:rsidR="00000000">
        <w:trPr>
          <w:divId w:val="2070612366"/>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1F1FC8">
            <w:pPr>
              <w:rPr>
                <w:rFonts w:eastAsia="Times New Roman"/>
              </w:rPr>
            </w:pPr>
            <w:r>
              <w:rPr>
                <w:rFonts w:ascii="Arial" w:eastAsia="Times New Roman" w:hAnsi="Arial" w:cs="Arial"/>
                <w:i/>
                <w:iCs/>
                <w:color w:val="000000"/>
                <w:sz w:val="16"/>
                <w:szCs w:val="16"/>
              </w:rPr>
              <w:t>(millions of Canadian dollars)</w:t>
            </w:r>
          </w:p>
        </w:tc>
        <w:tc>
          <w:tcPr>
            <w:tcW w:w="0" w:type="auto"/>
            <w:gridSpan w:val="3"/>
            <w:tcBorders>
              <w:top w:val="single" w:sz="4" w:space="0" w:color="000000"/>
            </w:tcBorders>
            <w:shd w:val="clear" w:color="auto" w:fill="D9D9D9"/>
            <w:tcMar>
              <w:top w:w="30" w:type="dxa"/>
              <w:left w:w="20" w:type="dxa"/>
              <w:bottom w:w="30" w:type="dxa"/>
              <w:right w:w="20" w:type="dxa"/>
            </w:tcMar>
            <w:vAlign w:val="center"/>
            <w:hideMark/>
          </w:tcPr>
          <w:p w:rsidR="00000000" w:rsidRDefault="001F1FC8">
            <w:pPr>
              <w:jc w:val="right"/>
              <w:rPr>
                <w:rFonts w:eastAsia="Times New Roman"/>
              </w:rPr>
            </w:pPr>
            <w:r>
              <w:rPr>
                <w:rFonts w:ascii="Arial" w:eastAsia="Times New Roman" w:hAnsi="Arial" w:cs="Arial"/>
                <w:color w:val="000000"/>
                <w:sz w:val="2"/>
                <w:szCs w:val="2"/>
              </w:rPr>
              <w:t> </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1F1FC8">
            <w:pPr>
              <w:jc w:val="right"/>
              <w:rPr>
                <w:rFonts w:eastAsia="Times New Roman"/>
              </w:rPr>
            </w:pPr>
            <w:r>
              <w:rPr>
                <w:rFonts w:ascii="Arial" w:eastAsia="Times New Roman" w:hAnsi="Arial" w:cs="Arial"/>
                <w:color w:val="000000"/>
                <w:sz w:val="2"/>
                <w:szCs w:val="2"/>
              </w:rPr>
              <w:t> </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1F1FC8">
            <w:pPr>
              <w:jc w:val="right"/>
              <w:rPr>
                <w:rFonts w:eastAsia="Times New Roman"/>
              </w:rPr>
            </w:pPr>
            <w:r>
              <w:rPr>
                <w:rFonts w:ascii="Arial" w:eastAsia="Times New Roman" w:hAnsi="Arial" w:cs="Arial"/>
                <w:color w:val="000000"/>
                <w:sz w:val="2"/>
                <w:szCs w:val="2"/>
              </w:rPr>
              <w:t> </w:t>
            </w:r>
          </w:p>
        </w:tc>
      </w:tr>
      <w:tr w:rsidR="00000000">
        <w:trPr>
          <w:divId w:val="2070612366"/>
        </w:trPr>
        <w:tc>
          <w:tcPr>
            <w:tcW w:w="0" w:type="auto"/>
            <w:gridSpan w:val="3"/>
            <w:tcMar>
              <w:top w:w="30" w:type="dxa"/>
              <w:left w:w="20" w:type="dxa"/>
              <w:bottom w:w="30" w:type="dxa"/>
              <w:right w:w="20" w:type="dxa"/>
            </w:tcMar>
            <w:vAlign w:val="center"/>
            <w:hideMark/>
          </w:tcPr>
          <w:p w:rsidR="00000000" w:rsidRDefault="001F1FC8">
            <w:pPr>
              <w:rPr>
                <w:rFonts w:eastAsia="Times New Roman"/>
              </w:rPr>
            </w:pPr>
            <w:r>
              <w:rPr>
                <w:rFonts w:ascii="Arial" w:eastAsia="Times New Roman" w:hAnsi="Arial" w:cs="Arial"/>
                <w:color w:val="000000"/>
                <w:sz w:val="20"/>
                <w:szCs w:val="20"/>
              </w:rPr>
              <w:t>Operating activities</w:t>
            </w:r>
          </w:p>
        </w:tc>
        <w:tc>
          <w:tcPr>
            <w:tcW w:w="0" w:type="auto"/>
            <w:gridSpan w:val="2"/>
            <w:shd w:val="clear" w:color="auto" w:fill="D9D9D9"/>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b/>
                <w:bCs/>
                <w:color w:val="000000"/>
                <w:sz w:val="20"/>
                <w:szCs w:val="20"/>
              </w:rPr>
              <w:t>9,256</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20"/>
                <w:szCs w:val="20"/>
              </w:rPr>
              <w:t>9,781 </w:t>
            </w:r>
          </w:p>
        </w:tc>
        <w:tc>
          <w:tcPr>
            <w:tcW w:w="0" w:type="auto"/>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20"/>
                <w:szCs w:val="20"/>
              </w:rPr>
              <w:t>9,398 </w:t>
            </w:r>
          </w:p>
        </w:tc>
        <w:tc>
          <w:tcPr>
            <w:tcW w:w="0" w:type="auto"/>
            <w:tcMar>
              <w:top w:w="30" w:type="dxa"/>
              <w:left w:w="0" w:type="dxa"/>
              <w:bottom w:w="30" w:type="dxa"/>
              <w:right w:w="20" w:type="dxa"/>
            </w:tcMar>
            <w:vAlign w:val="center"/>
            <w:hideMark/>
          </w:tcPr>
          <w:p w:rsidR="00000000" w:rsidRDefault="001F1FC8">
            <w:pPr>
              <w:jc w:val="right"/>
              <w:rPr>
                <w:rFonts w:eastAsia="Times New Roman"/>
              </w:rPr>
            </w:pPr>
          </w:p>
        </w:tc>
      </w:tr>
      <w:tr w:rsidR="00000000">
        <w:trPr>
          <w:divId w:val="2070612366"/>
        </w:trPr>
        <w:tc>
          <w:tcPr>
            <w:tcW w:w="0" w:type="auto"/>
            <w:gridSpan w:val="3"/>
            <w:tcMar>
              <w:top w:w="30" w:type="dxa"/>
              <w:left w:w="20" w:type="dxa"/>
              <w:bottom w:w="30" w:type="dxa"/>
              <w:right w:w="20" w:type="dxa"/>
            </w:tcMar>
            <w:vAlign w:val="center"/>
            <w:hideMark/>
          </w:tcPr>
          <w:p w:rsidR="00000000" w:rsidRDefault="001F1FC8">
            <w:pPr>
              <w:rPr>
                <w:rFonts w:eastAsia="Times New Roman"/>
              </w:rPr>
            </w:pPr>
            <w:r>
              <w:rPr>
                <w:rFonts w:ascii="Arial" w:eastAsia="Times New Roman" w:hAnsi="Arial" w:cs="Arial"/>
                <w:color w:val="000000"/>
                <w:sz w:val="20"/>
                <w:szCs w:val="20"/>
              </w:rPr>
              <w:t>Investing activities</w:t>
            </w:r>
          </w:p>
        </w:tc>
        <w:tc>
          <w:tcPr>
            <w:tcW w:w="0" w:type="auto"/>
            <w:gridSpan w:val="2"/>
            <w:shd w:val="clear" w:color="auto" w:fill="D9D9D9"/>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b/>
                <w:bCs/>
                <w:color w:val="000000"/>
                <w:sz w:val="20"/>
                <w:szCs w:val="20"/>
              </w:rPr>
              <w:t>(10,657)</w:t>
            </w:r>
          </w:p>
        </w:tc>
        <w:tc>
          <w:tcPr>
            <w:tcW w:w="0" w:type="auto"/>
            <w:shd w:val="clear" w:color="auto" w:fill="D9D9D9"/>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20"/>
                <w:szCs w:val="20"/>
              </w:rPr>
              <w:t>(5,177)</w:t>
            </w:r>
          </w:p>
        </w:tc>
        <w:tc>
          <w:tcPr>
            <w:tcW w:w="0" w:type="auto"/>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20"/>
                <w:szCs w:val="20"/>
              </w:rPr>
              <w:t>(4,658)</w:t>
            </w:r>
          </w:p>
        </w:tc>
        <w:tc>
          <w:tcPr>
            <w:tcW w:w="0" w:type="auto"/>
            <w:tcMar>
              <w:top w:w="30" w:type="dxa"/>
              <w:left w:w="0" w:type="dxa"/>
              <w:bottom w:w="30" w:type="dxa"/>
              <w:right w:w="20" w:type="dxa"/>
            </w:tcMar>
            <w:vAlign w:val="center"/>
            <w:hideMark/>
          </w:tcPr>
          <w:p w:rsidR="00000000" w:rsidRDefault="001F1FC8">
            <w:pPr>
              <w:jc w:val="right"/>
              <w:rPr>
                <w:rFonts w:eastAsia="Times New Roman"/>
              </w:rPr>
            </w:pPr>
          </w:p>
        </w:tc>
      </w:tr>
      <w:tr w:rsidR="00000000">
        <w:trPr>
          <w:divId w:val="2070612366"/>
        </w:trPr>
        <w:tc>
          <w:tcPr>
            <w:tcW w:w="0" w:type="auto"/>
            <w:gridSpan w:val="3"/>
            <w:tcMar>
              <w:top w:w="30" w:type="dxa"/>
              <w:left w:w="20" w:type="dxa"/>
              <w:bottom w:w="30" w:type="dxa"/>
              <w:right w:w="20" w:type="dxa"/>
            </w:tcMar>
            <w:vAlign w:val="center"/>
            <w:hideMark/>
          </w:tcPr>
          <w:p w:rsidR="00000000" w:rsidRDefault="001F1FC8">
            <w:pPr>
              <w:rPr>
                <w:rFonts w:eastAsia="Times New Roman"/>
              </w:rPr>
            </w:pPr>
            <w:r>
              <w:rPr>
                <w:rFonts w:ascii="Arial" w:eastAsia="Times New Roman" w:hAnsi="Arial" w:cs="Arial"/>
                <w:color w:val="000000"/>
                <w:sz w:val="20"/>
                <w:szCs w:val="20"/>
              </w:rPr>
              <w:t>Financing activities</w:t>
            </w:r>
          </w:p>
        </w:tc>
        <w:tc>
          <w:tcPr>
            <w:tcW w:w="0" w:type="auto"/>
            <w:gridSpan w:val="2"/>
            <w:shd w:val="clear" w:color="auto" w:fill="D9D9D9"/>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b/>
                <w:bCs/>
                <w:color w:val="000000"/>
                <w:sz w:val="20"/>
                <w:szCs w:val="20"/>
              </w:rPr>
              <w:t>1,236</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20"/>
                <w:szCs w:val="20"/>
              </w:rPr>
              <w:t>(4,770)</w:t>
            </w:r>
          </w:p>
        </w:tc>
        <w:tc>
          <w:tcPr>
            <w:tcW w:w="0" w:type="auto"/>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20"/>
                <w:szCs w:val="20"/>
              </w:rPr>
              <w:t>(4,745)</w:t>
            </w:r>
          </w:p>
        </w:tc>
        <w:tc>
          <w:tcPr>
            <w:tcW w:w="0" w:type="auto"/>
            <w:tcMar>
              <w:top w:w="30" w:type="dxa"/>
              <w:left w:w="0" w:type="dxa"/>
              <w:bottom w:w="30" w:type="dxa"/>
              <w:right w:w="20" w:type="dxa"/>
            </w:tcMar>
            <w:vAlign w:val="center"/>
            <w:hideMark/>
          </w:tcPr>
          <w:p w:rsidR="00000000" w:rsidRDefault="001F1FC8">
            <w:pPr>
              <w:jc w:val="right"/>
              <w:rPr>
                <w:rFonts w:eastAsia="Times New Roman"/>
              </w:rPr>
            </w:pPr>
          </w:p>
        </w:tc>
      </w:tr>
      <w:tr w:rsidR="00000000">
        <w:trPr>
          <w:divId w:val="2070612366"/>
        </w:trPr>
        <w:tc>
          <w:tcPr>
            <w:tcW w:w="0" w:type="auto"/>
            <w:gridSpan w:val="3"/>
            <w:tcMar>
              <w:top w:w="30" w:type="dxa"/>
              <w:left w:w="200" w:type="dxa"/>
              <w:bottom w:w="30" w:type="dxa"/>
              <w:right w:w="20" w:type="dxa"/>
            </w:tcMar>
            <w:vAlign w:val="center"/>
            <w:hideMark/>
          </w:tcPr>
          <w:p w:rsidR="00000000" w:rsidRDefault="001F1FC8">
            <w:pPr>
              <w:ind w:hanging="180"/>
              <w:rPr>
                <w:rFonts w:eastAsia="Times New Roman"/>
              </w:rPr>
            </w:pPr>
            <w:r>
              <w:rPr>
                <w:rFonts w:ascii="Arial" w:eastAsia="Times New Roman" w:hAnsi="Arial" w:cs="Arial"/>
                <w:color w:val="000000"/>
                <w:sz w:val="20"/>
                <w:szCs w:val="20"/>
              </w:rPr>
              <w:t>Effect of translation of foreign denominated cash and cash equivalents and restricted cash</w:t>
            </w:r>
          </w:p>
        </w:tc>
        <w:tc>
          <w:tcPr>
            <w:tcW w:w="0" w:type="auto"/>
            <w:gridSpan w:val="2"/>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20"/>
                <w:szCs w:val="20"/>
              </w:rPr>
              <w:t>(5)</w:t>
            </w:r>
          </w:p>
        </w:tc>
        <w:tc>
          <w:tcPr>
            <w:tcW w:w="0" w:type="auto"/>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(20)</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44 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r>
      <w:tr w:rsidR="00000000">
        <w:trPr>
          <w:divId w:val="2070612366"/>
        </w:trPr>
        <w:tc>
          <w:tcPr>
            <w:tcW w:w="0" w:type="auto"/>
            <w:gridSpan w:val="3"/>
            <w:tcBorders>
              <w:top w:val="single" w:sz="4" w:space="0" w:color="000000"/>
              <w:bottom w:val="single" w:sz="8" w:space="0" w:color="000000"/>
            </w:tcBorders>
            <w:tcMar>
              <w:top w:w="30" w:type="dxa"/>
              <w:left w:w="20" w:type="dxa"/>
              <w:bottom w:w="30" w:type="dxa"/>
              <w:right w:w="20" w:type="dxa"/>
            </w:tcMar>
            <w:vAlign w:val="center"/>
            <w:hideMark/>
          </w:tcPr>
          <w:p w:rsidR="00000000" w:rsidRDefault="001F1FC8">
            <w:pPr>
              <w:ind w:hanging="180"/>
              <w:divId w:val="348217773"/>
              <w:rPr>
                <w:rFonts w:eastAsia="Times New Roman"/>
              </w:rPr>
            </w:pPr>
            <w:r>
              <w:rPr>
                <w:rFonts w:ascii="Arial" w:eastAsia="Times New Roman" w:hAnsi="Arial" w:cs="Arial"/>
                <w:color w:val="000000"/>
                <w:sz w:val="20"/>
                <w:szCs w:val="20"/>
              </w:rPr>
              <w:t>Net increase/(decrease) in cash and cash equivalents and restricted cash</w:t>
            </w:r>
          </w:p>
        </w:tc>
        <w:tc>
          <w:tcPr>
            <w:tcW w:w="0" w:type="auto"/>
            <w:gridSpan w:val="2"/>
            <w:tcBorders>
              <w:top w:val="single" w:sz="4" w:space="0" w:color="000000"/>
              <w:bottom w:val="single" w:sz="8" w:space="0" w:color="000000"/>
            </w:tcBorders>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20"/>
                <w:szCs w:val="20"/>
              </w:rPr>
              <w:t>(170)</w:t>
            </w:r>
          </w:p>
        </w:tc>
        <w:tc>
          <w:tcPr>
            <w:tcW w:w="0" w:type="auto"/>
            <w:tcBorders>
              <w:top w:val="single" w:sz="4" w:space="0" w:color="000000"/>
              <w:bottom w:val="single" w:sz="8" w:space="0" w:color="000000"/>
            </w:tcBorders>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Borders>
              <w:top w:val="single" w:sz="4" w:space="0" w:color="000000"/>
              <w:bottom w:val="single" w:sz="8" w:space="0" w:color="000000"/>
            </w:tcBorders>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(186)</w:t>
            </w:r>
          </w:p>
        </w:tc>
        <w:tc>
          <w:tcPr>
            <w:tcW w:w="0" w:type="auto"/>
            <w:tcBorders>
              <w:top w:val="single" w:sz="4" w:space="0" w:color="000000"/>
              <w:bottom w:val="single" w:sz="8" w:space="0" w:color="000000"/>
            </w:tcBorders>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Borders>
              <w:top w:val="single" w:sz="4" w:space="0" w:color="000000"/>
              <w:bottom w:val="single" w:sz="8" w:space="0" w:color="000000"/>
            </w:tcBorders>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39 </w:t>
            </w:r>
          </w:p>
        </w:tc>
        <w:tc>
          <w:tcPr>
            <w:tcW w:w="0" w:type="auto"/>
            <w:tcBorders>
              <w:top w:val="single" w:sz="4" w:space="0" w:color="000000"/>
              <w:bottom w:val="single" w:sz="8" w:space="0" w:color="000000"/>
            </w:tcBorders>
            <w:tcMar>
              <w:top w:w="30" w:type="dxa"/>
              <w:left w:w="0" w:type="dxa"/>
              <w:bottom w:w="30" w:type="dxa"/>
              <w:right w:w="20" w:type="dxa"/>
            </w:tcMar>
            <w:vAlign w:val="bottom"/>
            <w:hideMark/>
          </w:tcPr>
          <w:p w:rsidR="00000000" w:rsidRDefault="001F1FC8">
            <w:pPr>
              <w:jc w:val="right"/>
              <w:rPr>
                <w:rFonts w:eastAsia="Times New Roman"/>
              </w:rPr>
            </w:pPr>
          </w:p>
        </w:tc>
      </w:tr>
    </w:tbl>
    <w:p w:rsidR="00000000" w:rsidRDefault="001F1FC8">
      <w:pPr>
        <w:divId w:val="699665564"/>
        <w:rPr>
          <w:rFonts w:eastAsia="Times New Roman"/>
        </w:rPr>
      </w:pPr>
      <w:r>
        <w:rPr>
          <w:rFonts w:ascii="Arial" w:eastAsia="Times New Roman" w:hAnsi="Arial" w:cs="Arial"/>
          <w:color w:val="000000"/>
          <w:sz w:val="20"/>
          <w:szCs w:val="20"/>
        </w:rPr>
        <w:t> </w:t>
      </w:r>
    </w:p>
    <w:p w:rsidR="00000000" w:rsidRDefault="001F1FC8">
      <w:pPr>
        <w:divId w:val="1438867389"/>
        <w:rPr>
          <w:rFonts w:eastAsia="Times New Roman"/>
        </w:rPr>
      </w:pPr>
      <w:r>
        <w:rPr>
          <w:rFonts w:ascii="Arial" w:eastAsia="Times New Roman" w:hAnsi="Arial" w:cs="Arial"/>
          <w:color w:val="000000"/>
          <w:sz w:val="20"/>
          <w:szCs w:val="20"/>
        </w:rPr>
        <w:t>Significant sources and uses of cash for the years ended December 31, 2021 and 2020 are summarized below:</w:t>
      </w:r>
    </w:p>
    <w:p w:rsidR="00000000" w:rsidRDefault="001F1FC8">
      <w:pPr>
        <w:divId w:val="1977641312"/>
        <w:rPr>
          <w:rFonts w:eastAsia="Times New Roman"/>
        </w:rPr>
      </w:pPr>
    </w:p>
    <w:p w:rsidR="00000000" w:rsidRDefault="001F1FC8">
      <w:pPr>
        <w:divId w:val="521549300"/>
        <w:rPr>
          <w:rFonts w:eastAsia="Times New Roman"/>
        </w:rPr>
      </w:pPr>
      <w:r>
        <w:rPr>
          <w:rFonts w:ascii="Arial" w:eastAsia="Times New Roman" w:hAnsi="Arial" w:cs="Arial"/>
          <w:b/>
          <w:bCs/>
          <w:color w:val="000000"/>
          <w:sz w:val="20"/>
          <w:szCs w:val="20"/>
        </w:rPr>
        <w:t>Operating Activities</w:t>
      </w:r>
    </w:p>
    <w:p w:rsidR="00000000" w:rsidRDefault="001F1FC8">
      <w:pPr>
        <w:divId w:val="1971746057"/>
        <w:rPr>
          <w:rFonts w:eastAsia="Times New Roman"/>
        </w:rPr>
      </w:pPr>
      <w:r>
        <w:rPr>
          <w:rFonts w:ascii="Arial" w:eastAsia="Times New Roman" w:hAnsi="Arial" w:cs="Arial"/>
          <w:color w:val="000000"/>
          <w:sz w:val="20"/>
          <w:szCs w:val="20"/>
        </w:rPr>
        <w:t>Typically, the primary factors impacting cash flow from operating activities year-over-year include changes in our operating assets and liabilities in the normal course due to various factors, including the impact of fluctuations in commodity prices and ac</w:t>
      </w:r>
      <w:r>
        <w:rPr>
          <w:rFonts w:ascii="Arial" w:eastAsia="Times New Roman" w:hAnsi="Arial" w:cs="Arial"/>
          <w:color w:val="000000"/>
          <w:sz w:val="20"/>
          <w:szCs w:val="20"/>
        </w:rPr>
        <w:t>tivity levels on working capital within our business segments, the timing of tax payments, as well as timing of cash receipts and payments generally. Refer to Part II.</w:t>
      </w:r>
      <w:r>
        <w:rPr>
          <w:rFonts w:ascii="Arial" w:eastAsia="Times New Roman" w:hAnsi="Arial" w:cs="Arial"/>
          <w:i/>
          <w:iCs/>
          <w:color w:val="000000"/>
          <w:sz w:val="20"/>
          <w:szCs w:val="20"/>
        </w:rPr>
        <w:t xml:space="preserve"> Item 8. Financial Statements and Supplementary Data - Note 28. Changes in Operating Asse</w:t>
      </w:r>
      <w:r>
        <w:rPr>
          <w:rFonts w:ascii="Arial" w:eastAsia="Times New Roman" w:hAnsi="Arial" w:cs="Arial"/>
          <w:i/>
          <w:iCs/>
          <w:color w:val="000000"/>
          <w:sz w:val="20"/>
          <w:szCs w:val="20"/>
        </w:rPr>
        <w:t xml:space="preserve">ts and Liabilities. </w:t>
      </w:r>
      <w:r>
        <w:rPr>
          <w:rFonts w:ascii="Arial" w:eastAsia="Times New Roman" w:hAnsi="Arial" w:cs="Arial"/>
          <w:color w:val="000000"/>
          <w:sz w:val="20"/>
          <w:szCs w:val="20"/>
        </w:rPr>
        <w:t xml:space="preserve">Cash provided by operating activities is also impacted by changes in earnings and certain unusual, infrequent and other non-operating factors, as discussed under </w:t>
      </w:r>
      <w:r>
        <w:rPr>
          <w:rFonts w:ascii="Arial" w:eastAsia="Times New Roman" w:hAnsi="Arial" w:cs="Arial"/>
          <w:i/>
          <w:iCs/>
          <w:color w:val="000000"/>
          <w:sz w:val="20"/>
          <w:szCs w:val="20"/>
        </w:rPr>
        <w:t>Results of Operations.</w:t>
      </w:r>
    </w:p>
    <w:p w:rsidR="00000000" w:rsidRDefault="001F1FC8">
      <w:pPr>
        <w:divId w:val="23136417"/>
        <w:rPr>
          <w:rFonts w:eastAsia="Times New Roman"/>
        </w:rPr>
      </w:pPr>
    </w:p>
    <w:p w:rsidR="00000000" w:rsidRDefault="001F1FC8">
      <w:pPr>
        <w:divId w:val="39864720"/>
        <w:rPr>
          <w:rFonts w:eastAsia="Times New Roman"/>
        </w:rPr>
      </w:pPr>
      <w:r>
        <w:rPr>
          <w:rFonts w:ascii="Arial" w:eastAsia="Times New Roman" w:hAnsi="Arial" w:cs="Arial"/>
          <w:b/>
          <w:bCs/>
          <w:color w:val="000000"/>
          <w:sz w:val="20"/>
          <w:szCs w:val="20"/>
        </w:rPr>
        <w:t>Investing Activities</w:t>
      </w:r>
    </w:p>
    <w:p w:rsidR="00000000" w:rsidRDefault="001F1FC8">
      <w:pPr>
        <w:divId w:val="678700417"/>
        <w:rPr>
          <w:rFonts w:eastAsia="Times New Roman"/>
        </w:rPr>
      </w:pPr>
      <w:r>
        <w:rPr>
          <w:rFonts w:ascii="Arial" w:eastAsia="Times New Roman" w:hAnsi="Arial" w:cs="Arial"/>
          <w:color w:val="000000"/>
          <w:sz w:val="20"/>
          <w:szCs w:val="20"/>
        </w:rPr>
        <w:t xml:space="preserve">We continue with the execution of our growth capital program which is further described in </w:t>
      </w:r>
      <w:r>
        <w:rPr>
          <w:rFonts w:ascii="Arial" w:eastAsia="Times New Roman" w:hAnsi="Arial" w:cs="Arial"/>
          <w:i/>
          <w:iCs/>
          <w:color w:val="000000"/>
          <w:sz w:val="20"/>
          <w:szCs w:val="20"/>
        </w:rPr>
        <w:t>Growth Projects - Commercially Secured Projects</w:t>
      </w:r>
      <w:r>
        <w:rPr>
          <w:rFonts w:ascii="Arial" w:eastAsia="Times New Roman" w:hAnsi="Arial" w:cs="Arial"/>
          <w:color w:val="000000"/>
          <w:sz w:val="20"/>
          <w:szCs w:val="20"/>
        </w:rPr>
        <w:t>. The timing of project approval, construction and in-service dates impacts the timing of cash requirements.</w:t>
      </w:r>
    </w:p>
    <w:p w:rsidR="00000000" w:rsidRDefault="001F1FC8">
      <w:pPr>
        <w:divId w:val="1462461885"/>
        <w:rPr>
          <w:rFonts w:eastAsia="Times New Roman"/>
        </w:rPr>
      </w:pPr>
    </w:p>
    <w:p w:rsidR="00000000" w:rsidRDefault="001F1FC8">
      <w:pPr>
        <w:divId w:val="388960003"/>
        <w:rPr>
          <w:rFonts w:eastAsia="Times New Roman"/>
        </w:rPr>
      </w:pPr>
      <w:r>
        <w:rPr>
          <w:rFonts w:ascii="Arial" w:eastAsia="Times New Roman" w:hAnsi="Arial" w:cs="Arial"/>
          <w:color w:val="000000"/>
          <w:sz w:val="20"/>
          <w:szCs w:val="20"/>
        </w:rPr>
        <w:t>A summa</w:t>
      </w:r>
      <w:r>
        <w:rPr>
          <w:rFonts w:ascii="Arial" w:eastAsia="Times New Roman" w:hAnsi="Arial" w:cs="Arial"/>
          <w:color w:val="000000"/>
          <w:sz w:val="20"/>
          <w:szCs w:val="20"/>
        </w:rPr>
        <w:t>ry of additions to property, plant and equipment for the years ended December 31, 2021, 2020 and 2019 is set out below:</w:t>
      </w:r>
    </w:p>
    <w:p w:rsidR="00000000" w:rsidRDefault="001F1FC8">
      <w:pPr>
        <w:divId w:val="1752194565"/>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5446"/>
        <w:gridCol w:w="36"/>
        <w:gridCol w:w="69"/>
        <w:gridCol w:w="812"/>
        <w:gridCol w:w="36"/>
        <w:gridCol w:w="69"/>
        <w:gridCol w:w="813"/>
        <w:gridCol w:w="36"/>
        <w:gridCol w:w="70"/>
        <w:gridCol w:w="814"/>
        <w:gridCol w:w="36"/>
      </w:tblGrid>
      <w:tr w:rsidR="00000000">
        <w:trPr>
          <w:divId w:val="1286230997"/>
        </w:trPr>
        <w:tc>
          <w:tcPr>
            <w:tcW w:w="50" w:type="pct"/>
            <w:vAlign w:val="center"/>
            <w:hideMark/>
          </w:tcPr>
          <w:p w:rsidR="00000000" w:rsidRDefault="001F1FC8">
            <w:pPr>
              <w:rPr>
                <w:rFonts w:eastAsia="Times New Roman"/>
              </w:rPr>
            </w:pPr>
          </w:p>
        </w:tc>
        <w:tc>
          <w:tcPr>
            <w:tcW w:w="3286"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c>
          <w:tcPr>
            <w:tcW w:w="50" w:type="pct"/>
            <w:vAlign w:val="center"/>
            <w:hideMark/>
          </w:tcPr>
          <w:p w:rsidR="00000000" w:rsidRDefault="001F1FC8">
            <w:pPr>
              <w:rPr>
                <w:rFonts w:eastAsia="Times New Roman"/>
                <w:sz w:val="20"/>
                <w:szCs w:val="20"/>
              </w:rPr>
            </w:pPr>
          </w:p>
        </w:tc>
        <w:tc>
          <w:tcPr>
            <w:tcW w:w="497"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c>
          <w:tcPr>
            <w:tcW w:w="50" w:type="pct"/>
            <w:vAlign w:val="center"/>
            <w:hideMark/>
          </w:tcPr>
          <w:p w:rsidR="00000000" w:rsidRDefault="001F1FC8">
            <w:pPr>
              <w:rPr>
                <w:rFonts w:eastAsia="Times New Roman"/>
                <w:sz w:val="20"/>
                <w:szCs w:val="20"/>
              </w:rPr>
            </w:pPr>
          </w:p>
        </w:tc>
        <w:tc>
          <w:tcPr>
            <w:tcW w:w="497"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c>
          <w:tcPr>
            <w:tcW w:w="50" w:type="pct"/>
            <w:vAlign w:val="center"/>
            <w:hideMark/>
          </w:tcPr>
          <w:p w:rsidR="00000000" w:rsidRDefault="001F1FC8">
            <w:pPr>
              <w:rPr>
                <w:rFonts w:eastAsia="Times New Roman"/>
                <w:sz w:val="20"/>
                <w:szCs w:val="20"/>
              </w:rPr>
            </w:pPr>
          </w:p>
        </w:tc>
        <w:tc>
          <w:tcPr>
            <w:tcW w:w="498"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r>
      <w:tr w:rsidR="00000000">
        <w:trPr>
          <w:divId w:val="1286230997"/>
        </w:trPr>
        <w:tc>
          <w:tcPr>
            <w:tcW w:w="0" w:type="auto"/>
            <w:gridSpan w:val="3"/>
            <w:tcMar>
              <w:top w:w="30" w:type="dxa"/>
              <w:left w:w="20" w:type="dxa"/>
              <w:bottom w:w="30" w:type="dxa"/>
              <w:right w:w="20" w:type="dxa"/>
            </w:tcMar>
            <w:vAlign w:val="center"/>
            <w:hideMark/>
          </w:tcPr>
          <w:p w:rsidR="00000000" w:rsidRDefault="001F1FC8">
            <w:pPr>
              <w:rPr>
                <w:rFonts w:eastAsia="Times New Roman"/>
              </w:rPr>
            </w:pPr>
            <w:r>
              <w:rPr>
                <w:rFonts w:ascii="Arial" w:eastAsia="Times New Roman" w:hAnsi="Arial" w:cs="Arial"/>
                <w:color w:val="000000"/>
                <w:sz w:val="20"/>
                <w:szCs w:val="20"/>
              </w:rPr>
              <w:t>Year ended December 31,</w:t>
            </w:r>
          </w:p>
        </w:tc>
        <w:tc>
          <w:tcPr>
            <w:tcW w:w="0" w:type="auto"/>
            <w:gridSpan w:val="3"/>
            <w:tcMar>
              <w:top w:w="30" w:type="dxa"/>
              <w:left w:w="20" w:type="dxa"/>
              <w:bottom w:w="30" w:type="dxa"/>
              <w:right w:w="20" w:type="dxa"/>
            </w:tcMar>
            <w:vAlign w:val="center"/>
            <w:hideMark/>
          </w:tcPr>
          <w:p w:rsidR="00000000" w:rsidRDefault="001F1FC8">
            <w:pPr>
              <w:jc w:val="right"/>
              <w:rPr>
                <w:rFonts w:eastAsia="Times New Roman"/>
              </w:rPr>
            </w:pPr>
            <w:r>
              <w:rPr>
                <w:rFonts w:ascii="Arial" w:eastAsia="Times New Roman" w:hAnsi="Arial" w:cs="Arial"/>
                <w:b/>
                <w:bCs/>
                <w:color w:val="000000"/>
                <w:sz w:val="20"/>
                <w:szCs w:val="20"/>
              </w:rPr>
              <w:t>2021</w:t>
            </w:r>
          </w:p>
        </w:tc>
        <w:tc>
          <w:tcPr>
            <w:tcW w:w="0" w:type="auto"/>
            <w:gridSpan w:val="3"/>
            <w:tcMar>
              <w:top w:w="30" w:type="dxa"/>
              <w:left w:w="20" w:type="dxa"/>
              <w:bottom w:w="30" w:type="dxa"/>
              <w:right w:w="20" w:type="dxa"/>
            </w:tcMar>
            <w:vAlign w:val="center"/>
            <w:hideMark/>
          </w:tcPr>
          <w:p w:rsidR="00000000" w:rsidRDefault="001F1FC8">
            <w:pPr>
              <w:jc w:val="right"/>
              <w:rPr>
                <w:rFonts w:eastAsia="Times New Roman"/>
              </w:rPr>
            </w:pPr>
            <w:r>
              <w:rPr>
                <w:rFonts w:ascii="Arial" w:eastAsia="Times New Roman" w:hAnsi="Arial" w:cs="Arial"/>
                <w:color w:val="000000"/>
                <w:sz w:val="20"/>
                <w:szCs w:val="20"/>
              </w:rPr>
              <w:t>2020</w:t>
            </w:r>
          </w:p>
        </w:tc>
        <w:tc>
          <w:tcPr>
            <w:tcW w:w="0" w:type="auto"/>
            <w:gridSpan w:val="3"/>
            <w:tcMar>
              <w:top w:w="30" w:type="dxa"/>
              <w:left w:w="20" w:type="dxa"/>
              <w:bottom w:w="30" w:type="dxa"/>
              <w:right w:w="20" w:type="dxa"/>
            </w:tcMar>
            <w:vAlign w:val="center"/>
            <w:hideMark/>
          </w:tcPr>
          <w:p w:rsidR="00000000" w:rsidRDefault="001F1FC8">
            <w:pPr>
              <w:jc w:val="right"/>
              <w:rPr>
                <w:rFonts w:eastAsia="Times New Roman"/>
              </w:rPr>
            </w:pPr>
            <w:r>
              <w:rPr>
                <w:rFonts w:ascii="Arial" w:eastAsia="Times New Roman" w:hAnsi="Arial" w:cs="Arial"/>
                <w:color w:val="000000"/>
                <w:sz w:val="20"/>
                <w:szCs w:val="20"/>
              </w:rPr>
              <w:t>2019</w:t>
            </w:r>
          </w:p>
        </w:tc>
      </w:tr>
      <w:tr w:rsidR="00000000">
        <w:trPr>
          <w:divId w:val="1286230997"/>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1F1FC8">
            <w:pPr>
              <w:rPr>
                <w:rFonts w:eastAsia="Times New Roman"/>
              </w:rPr>
            </w:pPr>
            <w:r>
              <w:rPr>
                <w:rFonts w:ascii="Arial" w:eastAsia="Times New Roman" w:hAnsi="Arial" w:cs="Arial"/>
                <w:i/>
                <w:iCs/>
                <w:color w:val="000000"/>
                <w:sz w:val="16"/>
                <w:szCs w:val="16"/>
              </w:rPr>
              <w:t>(millions of Canadian dollars)</w:t>
            </w:r>
          </w:p>
        </w:tc>
        <w:tc>
          <w:tcPr>
            <w:tcW w:w="0" w:type="auto"/>
            <w:gridSpan w:val="3"/>
            <w:tcBorders>
              <w:top w:val="single" w:sz="4" w:space="0" w:color="000000"/>
            </w:tcBorders>
            <w:shd w:val="clear" w:color="auto" w:fill="D9D9D9"/>
            <w:tcMar>
              <w:top w:w="30" w:type="dxa"/>
              <w:left w:w="20" w:type="dxa"/>
              <w:bottom w:w="30" w:type="dxa"/>
              <w:right w:w="20" w:type="dxa"/>
            </w:tcMar>
            <w:vAlign w:val="center"/>
            <w:hideMark/>
          </w:tcPr>
          <w:p w:rsidR="00000000" w:rsidRDefault="001F1FC8">
            <w:pPr>
              <w:jc w:val="right"/>
              <w:rPr>
                <w:rFonts w:eastAsia="Times New Roman"/>
              </w:rPr>
            </w:pPr>
            <w:r>
              <w:rPr>
                <w:rFonts w:ascii="Arial" w:eastAsia="Times New Roman" w:hAnsi="Arial" w:cs="Arial"/>
                <w:b/>
                <w:bCs/>
                <w:color w:val="000000"/>
                <w:sz w:val="2"/>
                <w:szCs w:val="2"/>
              </w:rPr>
              <w:t> </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1F1FC8">
            <w:pPr>
              <w:jc w:val="right"/>
              <w:rPr>
                <w:rFonts w:eastAsia="Times New Roman"/>
              </w:rPr>
            </w:pPr>
            <w:r>
              <w:rPr>
                <w:rFonts w:ascii="Arial" w:eastAsia="Times New Roman" w:hAnsi="Arial" w:cs="Arial"/>
                <w:color w:val="000000"/>
                <w:sz w:val="2"/>
                <w:szCs w:val="2"/>
              </w:rPr>
              <w:t> </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1F1FC8">
            <w:pPr>
              <w:jc w:val="right"/>
              <w:rPr>
                <w:rFonts w:eastAsia="Times New Roman"/>
              </w:rPr>
            </w:pPr>
            <w:r>
              <w:rPr>
                <w:rFonts w:ascii="Arial" w:eastAsia="Times New Roman" w:hAnsi="Arial" w:cs="Arial"/>
                <w:color w:val="000000"/>
                <w:sz w:val="2"/>
                <w:szCs w:val="2"/>
              </w:rPr>
              <w:t> </w:t>
            </w:r>
          </w:p>
        </w:tc>
      </w:tr>
      <w:tr w:rsidR="00000000">
        <w:trPr>
          <w:divId w:val="1286230997"/>
        </w:trPr>
        <w:tc>
          <w:tcPr>
            <w:tcW w:w="0" w:type="auto"/>
            <w:gridSpan w:val="3"/>
            <w:tcMar>
              <w:top w:w="30" w:type="dxa"/>
              <w:left w:w="20" w:type="dxa"/>
              <w:bottom w:w="30" w:type="dxa"/>
              <w:right w:w="20" w:type="dxa"/>
            </w:tcMar>
            <w:vAlign w:val="center"/>
            <w:hideMark/>
          </w:tcPr>
          <w:p w:rsidR="00000000" w:rsidRDefault="001F1FC8">
            <w:pPr>
              <w:rPr>
                <w:rFonts w:eastAsia="Times New Roman"/>
              </w:rPr>
            </w:pPr>
            <w:r>
              <w:rPr>
                <w:rFonts w:ascii="Arial" w:eastAsia="Times New Roman" w:hAnsi="Arial" w:cs="Arial"/>
                <w:color w:val="000000"/>
                <w:sz w:val="20"/>
                <w:szCs w:val="20"/>
              </w:rPr>
              <w:t>Liquids Pipelines</w:t>
            </w:r>
          </w:p>
        </w:tc>
        <w:tc>
          <w:tcPr>
            <w:tcW w:w="0" w:type="auto"/>
            <w:gridSpan w:val="2"/>
            <w:shd w:val="clear" w:color="auto" w:fill="D9D9D9"/>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b/>
                <w:bCs/>
                <w:color w:val="000000"/>
                <w:sz w:val="20"/>
                <w:szCs w:val="20"/>
              </w:rPr>
              <w:t>4,051</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20"/>
                <w:szCs w:val="20"/>
              </w:rPr>
              <w:t>2,032 </w:t>
            </w:r>
          </w:p>
        </w:tc>
        <w:tc>
          <w:tcPr>
            <w:tcW w:w="0" w:type="auto"/>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20"/>
                <w:szCs w:val="20"/>
              </w:rPr>
              <w:t>2,548 </w:t>
            </w:r>
          </w:p>
        </w:tc>
        <w:tc>
          <w:tcPr>
            <w:tcW w:w="0" w:type="auto"/>
            <w:tcMar>
              <w:top w:w="30" w:type="dxa"/>
              <w:left w:w="0" w:type="dxa"/>
              <w:bottom w:w="30" w:type="dxa"/>
              <w:right w:w="20" w:type="dxa"/>
            </w:tcMar>
            <w:vAlign w:val="center"/>
            <w:hideMark/>
          </w:tcPr>
          <w:p w:rsidR="00000000" w:rsidRDefault="001F1FC8">
            <w:pPr>
              <w:jc w:val="right"/>
              <w:rPr>
                <w:rFonts w:eastAsia="Times New Roman"/>
              </w:rPr>
            </w:pPr>
          </w:p>
        </w:tc>
      </w:tr>
      <w:tr w:rsidR="00000000">
        <w:trPr>
          <w:divId w:val="1286230997"/>
        </w:trPr>
        <w:tc>
          <w:tcPr>
            <w:tcW w:w="0" w:type="auto"/>
            <w:gridSpan w:val="3"/>
            <w:tcMar>
              <w:top w:w="30" w:type="dxa"/>
              <w:left w:w="20" w:type="dxa"/>
              <w:bottom w:w="30" w:type="dxa"/>
              <w:right w:w="20" w:type="dxa"/>
            </w:tcMar>
            <w:vAlign w:val="center"/>
            <w:hideMark/>
          </w:tcPr>
          <w:p w:rsidR="00000000" w:rsidRDefault="001F1FC8">
            <w:pPr>
              <w:rPr>
                <w:rFonts w:eastAsia="Times New Roman"/>
              </w:rPr>
            </w:pPr>
            <w:r>
              <w:rPr>
                <w:rFonts w:ascii="Arial" w:eastAsia="Times New Roman" w:hAnsi="Arial" w:cs="Arial"/>
                <w:color w:val="000000"/>
                <w:sz w:val="20"/>
                <w:szCs w:val="20"/>
              </w:rPr>
              <w:t>Gas Transmission and Midstream</w:t>
            </w:r>
          </w:p>
        </w:tc>
        <w:tc>
          <w:tcPr>
            <w:tcW w:w="0" w:type="auto"/>
            <w:gridSpan w:val="2"/>
            <w:shd w:val="clear" w:color="auto" w:fill="D9D9D9"/>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b/>
                <w:bCs/>
                <w:color w:val="000000"/>
                <w:sz w:val="20"/>
                <w:szCs w:val="20"/>
              </w:rPr>
              <w:t>2,353</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20"/>
                <w:szCs w:val="20"/>
              </w:rPr>
              <w:t>2,066 </w:t>
            </w:r>
          </w:p>
        </w:tc>
        <w:tc>
          <w:tcPr>
            <w:tcW w:w="0" w:type="auto"/>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20"/>
                <w:szCs w:val="20"/>
              </w:rPr>
              <w:t>1,695 </w:t>
            </w:r>
          </w:p>
        </w:tc>
        <w:tc>
          <w:tcPr>
            <w:tcW w:w="0" w:type="auto"/>
            <w:tcMar>
              <w:top w:w="30" w:type="dxa"/>
              <w:left w:w="0" w:type="dxa"/>
              <w:bottom w:w="30" w:type="dxa"/>
              <w:right w:w="20" w:type="dxa"/>
            </w:tcMar>
            <w:vAlign w:val="center"/>
            <w:hideMark/>
          </w:tcPr>
          <w:p w:rsidR="00000000" w:rsidRDefault="001F1FC8">
            <w:pPr>
              <w:jc w:val="right"/>
              <w:rPr>
                <w:rFonts w:eastAsia="Times New Roman"/>
              </w:rPr>
            </w:pPr>
          </w:p>
        </w:tc>
      </w:tr>
      <w:tr w:rsidR="00000000">
        <w:trPr>
          <w:divId w:val="1286230997"/>
        </w:trPr>
        <w:tc>
          <w:tcPr>
            <w:tcW w:w="0" w:type="auto"/>
            <w:gridSpan w:val="3"/>
            <w:tcMar>
              <w:top w:w="30" w:type="dxa"/>
              <w:left w:w="20" w:type="dxa"/>
              <w:bottom w:w="30" w:type="dxa"/>
              <w:right w:w="20" w:type="dxa"/>
            </w:tcMar>
            <w:vAlign w:val="center"/>
            <w:hideMark/>
          </w:tcPr>
          <w:p w:rsidR="00000000" w:rsidRDefault="001F1FC8">
            <w:pPr>
              <w:rPr>
                <w:rFonts w:eastAsia="Times New Roman"/>
              </w:rPr>
            </w:pPr>
            <w:r>
              <w:rPr>
                <w:rFonts w:ascii="Arial" w:eastAsia="Times New Roman" w:hAnsi="Arial" w:cs="Arial"/>
                <w:color w:val="000000"/>
                <w:sz w:val="20"/>
                <w:szCs w:val="20"/>
              </w:rPr>
              <w:t>Gas Distribution and Storage</w:t>
            </w:r>
          </w:p>
        </w:tc>
        <w:tc>
          <w:tcPr>
            <w:tcW w:w="0" w:type="auto"/>
            <w:gridSpan w:val="2"/>
            <w:shd w:val="clear" w:color="auto" w:fill="D9D9D9"/>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b/>
                <w:bCs/>
                <w:color w:val="000000"/>
                <w:sz w:val="20"/>
                <w:szCs w:val="20"/>
              </w:rPr>
              <w:t>1,343</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20"/>
                <w:szCs w:val="20"/>
              </w:rPr>
              <w:t>1,134 </w:t>
            </w:r>
          </w:p>
        </w:tc>
        <w:tc>
          <w:tcPr>
            <w:tcW w:w="0" w:type="auto"/>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20"/>
                <w:szCs w:val="20"/>
              </w:rPr>
              <w:t>1,100 </w:t>
            </w:r>
          </w:p>
        </w:tc>
        <w:tc>
          <w:tcPr>
            <w:tcW w:w="0" w:type="auto"/>
            <w:tcMar>
              <w:top w:w="30" w:type="dxa"/>
              <w:left w:w="0" w:type="dxa"/>
              <w:bottom w:w="30" w:type="dxa"/>
              <w:right w:w="20" w:type="dxa"/>
            </w:tcMar>
            <w:vAlign w:val="center"/>
            <w:hideMark/>
          </w:tcPr>
          <w:p w:rsidR="00000000" w:rsidRDefault="001F1FC8">
            <w:pPr>
              <w:jc w:val="right"/>
              <w:rPr>
                <w:rFonts w:eastAsia="Times New Roman"/>
              </w:rPr>
            </w:pPr>
          </w:p>
        </w:tc>
      </w:tr>
      <w:tr w:rsidR="00000000">
        <w:trPr>
          <w:divId w:val="1286230997"/>
        </w:trPr>
        <w:tc>
          <w:tcPr>
            <w:tcW w:w="0" w:type="auto"/>
            <w:gridSpan w:val="3"/>
            <w:tcMar>
              <w:top w:w="30" w:type="dxa"/>
              <w:left w:w="20" w:type="dxa"/>
              <w:bottom w:w="30" w:type="dxa"/>
              <w:right w:w="20" w:type="dxa"/>
            </w:tcMar>
            <w:vAlign w:val="center"/>
            <w:hideMark/>
          </w:tcPr>
          <w:p w:rsidR="00000000" w:rsidRDefault="001F1FC8">
            <w:pPr>
              <w:rPr>
                <w:rFonts w:eastAsia="Times New Roman"/>
              </w:rPr>
            </w:pPr>
            <w:r>
              <w:rPr>
                <w:rFonts w:ascii="Arial" w:eastAsia="Times New Roman" w:hAnsi="Arial" w:cs="Arial"/>
                <w:color w:val="000000"/>
                <w:sz w:val="20"/>
                <w:szCs w:val="20"/>
              </w:rPr>
              <w:t xml:space="preserve">Renewable Power Generation </w:t>
            </w:r>
          </w:p>
        </w:tc>
        <w:tc>
          <w:tcPr>
            <w:tcW w:w="0" w:type="auto"/>
            <w:gridSpan w:val="2"/>
            <w:shd w:val="clear" w:color="auto" w:fill="D9D9D9"/>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b/>
                <w:bCs/>
                <w:color w:val="000000"/>
                <w:sz w:val="20"/>
                <w:szCs w:val="20"/>
              </w:rPr>
              <w:t>16</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20"/>
                <w:szCs w:val="20"/>
              </w:rPr>
              <w:t>81 </w:t>
            </w:r>
          </w:p>
        </w:tc>
        <w:tc>
          <w:tcPr>
            <w:tcW w:w="0" w:type="auto"/>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20"/>
                <w:szCs w:val="20"/>
              </w:rPr>
              <w:t>23 </w:t>
            </w:r>
          </w:p>
        </w:tc>
        <w:tc>
          <w:tcPr>
            <w:tcW w:w="0" w:type="auto"/>
            <w:tcMar>
              <w:top w:w="30" w:type="dxa"/>
              <w:left w:w="0" w:type="dxa"/>
              <w:bottom w:w="30" w:type="dxa"/>
              <w:right w:w="20" w:type="dxa"/>
            </w:tcMar>
            <w:vAlign w:val="center"/>
            <w:hideMark/>
          </w:tcPr>
          <w:p w:rsidR="00000000" w:rsidRDefault="001F1FC8">
            <w:pPr>
              <w:jc w:val="right"/>
              <w:rPr>
                <w:rFonts w:eastAsia="Times New Roman"/>
              </w:rPr>
            </w:pPr>
          </w:p>
        </w:tc>
      </w:tr>
      <w:tr w:rsidR="00000000">
        <w:trPr>
          <w:divId w:val="1286230997"/>
        </w:trPr>
        <w:tc>
          <w:tcPr>
            <w:tcW w:w="0" w:type="auto"/>
            <w:gridSpan w:val="3"/>
            <w:tcMar>
              <w:top w:w="30" w:type="dxa"/>
              <w:left w:w="20" w:type="dxa"/>
              <w:bottom w:w="30" w:type="dxa"/>
              <w:right w:w="20" w:type="dxa"/>
            </w:tcMar>
            <w:vAlign w:val="center"/>
            <w:hideMark/>
          </w:tcPr>
          <w:p w:rsidR="00000000" w:rsidRDefault="001F1FC8">
            <w:pPr>
              <w:rPr>
                <w:rFonts w:eastAsia="Times New Roman"/>
              </w:rPr>
            </w:pPr>
            <w:r>
              <w:rPr>
                <w:rFonts w:ascii="Arial" w:eastAsia="Times New Roman" w:hAnsi="Arial" w:cs="Arial"/>
                <w:color w:val="000000"/>
                <w:sz w:val="20"/>
                <w:szCs w:val="20"/>
              </w:rPr>
              <w:t>Energy Services</w:t>
            </w:r>
          </w:p>
        </w:tc>
        <w:tc>
          <w:tcPr>
            <w:tcW w:w="0" w:type="auto"/>
            <w:gridSpan w:val="2"/>
            <w:shd w:val="clear" w:color="auto" w:fill="D9D9D9"/>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b/>
                <w:bCs/>
                <w:color w:val="000000"/>
                <w:sz w:val="20"/>
                <w:szCs w:val="20"/>
              </w:rPr>
              <w:t>1</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20"/>
                <w:szCs w:val="20"/>
              </w:rPr>
              <w:t>2 </w:t>
            </w:r>
          </w:p>
        </w:tc>
        <w:tc>
          <w:tcPr>
            <w:tcW w:w="0" w:type="auto"/>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20"/>
                <w:szCs w:val="20"/>
              </w:rPr>
              <w:t>2 </w:t>
            </w:r>
          </w:p>
        </w:tc>
        <w:tc>
          <w:tcPr>
            <w:tcW w:w="0" w:type="auto"/>
            <w:tcMar>
              <w:top w:w="30" w:type="dxa"/>
              <w:left w:w="0" w:type="dxa"/>
              <w:bottom w:w="30" w:type="dxa"/>
              <w:right w:w="20" w:type="dxa"/>
            </w:tcMar>
            <w:vAlign w:val="center"/>
            <w:hideMark/>
          </w:tcPr>
          <w:p w:rsidR="00000000" w:rsidRDefault="001F1FC8">
            <w:pPr>
              <w:jc w:val="right"/>
              <w:rPr>
                <w:rFonts w:eastAsia="Times New Roman"/>
              </w:rPr>
            </w:pPr>
          </w:p>
        </w:tc>
      </w:tr>
      <w:tr w:rsidR="00000000">
        <w:trPr>
          <w:divId w:val="1286230997"/>
        </w:trPr>
        <w:tc>
          <w:tcPr>
            <w:tcW w:w="0" w:type="auto"/>
            <w:gridSpan w:val="3"/>
            <w:tcMar>
              <w:top w:w="30" w:type="dxa"/>
              <w:left w:w="20" w:type="dxa"/>
              <w:bottom w:w="30" w:type="dxa"/>
              <w:right w:w="20" w:type="dxa"/>
            </w:tcMar>
            <w:vAlign w:val="center"/>
            <w:hideMark/>
          </w:tcPr>
          <w:p w:rsidR="00000000" w:rsidRDefault="001F1FC8">
            <w:pPr>
              <w:rPr>
                <w:rFonts w:eastAsia="Times New Roman"/>
              </w:rPr>
            </w:pPr>
            <w:r>
              <w:rPr>
                <w:rFonts w:ascii="Arial" w:eastAsia="Times New Roman" w:hAnsi="Arial" w:cs="Arial"/>
                <w:color w:val="000000"/>
                <w:sz w:val="20"/>
                <w:szCs w:val="20"/>
              </w:rPr>
              <w:t>Eliminations and Other</w:t>
            </w:r>
          </w:p>
        </w:tc>
        <w:tc>
          <w:tcPr>
            <w:tcW w:w="0" w:type="auto"/>
            <w:gridSpan w:val="2"/>
            <w:shd w:val="clear" w:color="auto" w:fill="D9D9D9"/>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b/>
                <w:bCs/>
                <w:color w:val="000000"/>
                <w:sz w:val="20"/>
                <w:szCs w:val="20"/>
              </w:rPr>
              <w:t>54</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20"/>
                <w:szCs w:val="20"/>
              </w:rPr>
              <w:t>90 </w:t>
            </w:r>
          </w:p>
        </w:tc>
        <w:tc>
          <w:tcPr>
            <w:tcW w:w="0" w:type="auto"/>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20"/>
                <w:szCs w:val="20"/>
              </w:rPr>
              <w:t>124 </w:t>
            </w:r>
          </w:p>
        </w:tc>
        <w:tc>
          <w:tcPr>
            <w:tcW w:w="0" w:type="auto"/>
            <w:tcMar>
              <w:top w:w="30" w:type="dxa"/>
              <w:left w:w="0" w:type="dxa"/>
              <w:bottom w:w="30" w:type="dxa"/>
              <w:right w:w="20" w:type="dxa"/>
            </w:tcMar>
            <w:vAlign w:val="center"/>
            <w:hideMark/>
          </w:tcPr>
          <w:p w:rsidR="00000000" w:rsidRDefault="001F1FC8">
            <w:pPr>
              <w:jc w:val="right"/>
              <w:rPr>
                <w:rFonts w:eastAsia="Times New Roman"/>
              </w:rPr>
            </w:pPr>
          </w:p>
        </w:tc>
      </w:tr>
      <w:tr w:rsidR="00000000">
        <w:trPr>
          <w:divId w:val="1286230997"/>
        </w:trPr>
        <w:tc>
          <w:tcPr>
            <w:tcW w:w="0" w:type="auto"/>
            <w:gridSpan w:val="3"/>
            <w:tcBorders>
              <w:top w:val="single" w:sz="4" w:space="0" w:color="000000"/>
              <w:bottom w:val="single" w:sz="8" w:space="0" w:color="000000"/>
            </w:tcBorders>
            <w:tcMar>
              <w:top w:w="30" w:type="dxa"/>
              <w:left w:w="20" w:type="dxa"/>
              <w:bottom w:w="30" w:type="dxa"/>
              <w:right w:w="20" w:type="dxa"/>
            </w:tcMar>
            <w:vAlign w:val="center"/>
            <w:hideMark/>
          </w:tcPr>
          <w:p w:rsidR="00000000" w:rsidRDefault="001F1FC8">
            <w:pPr>
              <w:rPr>
                <w:rFonts w:eastAsia="Times New Roman"/>
              </w:rPr>
            </w:pPr>
            <w:r>
              <w:rPr>
                <w:rFonts w:ascii="Arial" w:eastAsia="Times New Roman" w:hAnsi="Arial" w:cs="Arial"/>
                <w:color w:val="000000"/>
                <w:sz w:val="20"/>
                <w:szCs w:val="20"/>
              </w:rPr>
              <w:t>Total capital expenditures</w:t>
            </w:r>
          </w:p>
        </w:tc>
        <w:tc>
          <w:tcPr>
            <w:tcW w:w="0" w:type="auto"/>
            <w:gridSpan w:val="2"/>
            <w:tcBorders>
              <w:top w:val="single" w:sz="4" w:space="0" w:color="000000"/>
              <w:bottom w:val="single" w:sz="8" w:space="0" w:color="000000"/>
            </w:tcBorders>
            <w:shd w:val="clear" w:color="auto" w:fill="D9D9D9"/>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b/>
                <w:bCs/>
                <w:color w:val="000000"/>
                <w:sz w:val="20"/>
                <w:szCs w:val="20"/>
              </w:rPr>
              <w:t>7,818</w:t>
            </w:r>
            <w:r>
              <w:rPr>
                <w:rFonts w:ascii="Arial" w:eastAsia="Times New Roman" w:hAnsi="Arial" w:cs="Arial"/>
                <w:color w:val="000000"/>
                <w:sz w:val="20"/>
                <w:szCs w:val="20"/>
              </w:rPr>
              <w:t> </w:t>
            </w:r>
          </w:p>
        </w:tc>
        <w:tc>
          <w:tcPr>
            <w:tcW w:w="0" w:type="auto"/>
            <w:tcBorders>
              <w:top w:val="single" w:sz="4" w:space="0" w:color="000000"/>
              <w:bottom w:val="single" w:sz="8" w:space="0" w:color="000000"/>
            </w:tcBorders>
            <w:shd w:val="clear" w:color="auto" w:fill="D9D9D9"/>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Borders>
              <w:top w:val="single" w:sz="4" w:space="0" w:color="000000"/>
              <w:bottom w:val="single" w:sz="8" w:space="0" w:color="000000"/>
            </w:tcBorders>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20"/>
                <w:szCs w:val="20"/>
              </w:rPr>
              <w:t>5,405 </w:t>
            </w:r>
          </w:p>
        </w:tc>
        <w:tc>
          <w:tcPr>
            <w:tcW w:w="0" w:type="auto"/>
            <w:tcBorders>
              <w:top w:val="single" w:sz="4" w:space="0" w:color="000000"/>
              <w:bottom w:val="single" w:sz="8" w:space="0" w:color="000000"/>
            </w:tcBorders>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Borders>
              <w:top w:val="single" w:sz="4" w:space="0" w:color="000000"/>
              <w:bottom w:val="single" w:sz="8" w:space="0" w:color="000000"/>
            </w:tcBorders>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20"/>
                <w:szCs w:val="20"/>
              </w:rPr>
              <w:t>5,492 </w:t>
            </w:r>
          </w:p>
        </w:tc>
        <w:tc>
          <w:tcPr>
            <w:tcW w:w="0" w:type="auto"/>
            <w:tcBorders>
              <w:top w:val="single" w:sz="4" w:space="0" w:color="000000"/>
              <w:bottom w:val="single" w:sz="8" w:space="0" w:color="000000"/>
            </w:tcBorders>
            <w:tcMar>
              <w:top w:w="30" w:type="dxa"/>
              <w:left w:w="0" w:type="dxa"/>
              <w:bottom w:w="30" w:type="dxa"/>
              <w:right w:w="20" w:type="dxa"/>
            </w:tcMar>
            <w:vAlign w:val="center"/>
            <w:hideMark/>
          </w:tcPr>
          <w:p w:rsidR="00000000" w:rsidRDefault="001F1FC8">
            <w:pPr>
              <w:jc w:val="right"/>
              <w:rPr>
                <w:rFonts w:eastAsia="Times New Roman"/>
              </w:rPr>
            </w:pPr>
          </w:p>
        </w:tc>
      </w:tr>
    </w:tbl>
    <w:p w:rsidR="00000000" w:rsidRDefault="001F1FC8">
      <w:pPr>
        <w:divId w:val="557011020"/>
        <w:rPr>
          <w:rFonts w:eastAsia="Times New Roman"/>
        </w:rPr>
      </w:pPr>
    </w:p>
    <w:p w:rsidR="00000000" w:rsidRDefault="001F1FC8">
      <w:pPr>
        <w:divId w:val="610824778"/>
        <w:rPr>
          <w:rFonts w:eastAsia="Times New Roman"/>
        </w:rPr>
      </w:pPr>
      <w:r>
        <w:rPr>
          <w:rFonts w:ascii="Arial" w:eastAsia="Times New Roman" w:hAnsi="Arial" w:cs="Arial"/>
          <w:b/>
          <w:bCs/>
          <w:color w:val="000000"/>
          <w:sz w:val="20"/>
          <w:szCs w:val="20"/>
        </w:rPr>
        <w:t>2021</w:t>
      </w:r>
    </w:p>
    <w:p w:rsidR="00000000" w:rsidRDefault="001F1FC8">
      <w:pPr>
        <w:divId w:val="759370629"/>
        <w:rPr>
          <w:rFonts w:eastAsia="Times New Roman"/>
        </w:rPr>
      </w:pPr>
      <w:r>
        <w:rPr>
          <w:rFonts w:ascii="Arial" w:eastAsia="Times New Roman" w:hAnsi="Arial" w:cs="Arial"/>
          <w:color w:val="000000"/>
          <w:sz w:val="20"/>
          <w:szCs w:val="20"/>
        </w:rPr>
        <w:t>The increase in cash used in investing activities primarily resulted from the following factors:</w:t>
      </w:r>
    </w:p>
    <w:p w:rsidR="00000000" w:rsidRDefault="001F1FC8">
      <w:pPr>
        <w:ind w:hanging="360"/>
        <w:divId w:val="1497307715"/>
        <w:rPr>
          <w:rFonts w:eastAsia="Times New Roman"/>
        </w:rPr>
      </w:pPr>
      <w:r>
        <w:rPr>
          <w:rFonts w:ascii="Arial" w:eastAsia="Times New Roman" w:hAnsi="Arial" w:cs="Arial"/>
          <w:color w:val="000000"/>
          <w:sz w:val="20"/>
          <w:szCs w:val="20"/>
          <w:shd w:val="clear" w:color="auto" w:fill="FFFFFF"/>
        </w:rPr>
        <w:t>•Our acquisition of Moda on October 12, 2021 and higher capital expenditures related to the completion of the US L3R Program, partially offset by higher procee</w:t>
      </w:r>
      <w:r>
        <w:rPr>
          <w:rFonts w:ascii="Arial" w:eastAsia="Times New Roman" w:hAnsi="Arial" w:cs="Arial"/>
          <w:color w:val="000000"/>
          <w:sz w:val="20"/>
          <w:szCs w:val="20"/>
          <w:shd w:val="clear" w:color="auto" w:fill="FFFFFF"/>
        </w:rPr>
        <w:t>ds received from dispositions in 2021 compared with 2020 due to the sale of our interest in Noverco on December 30, 2021.</w:t>
      </w:r>
    </w:p>
    <w:p w:rsidR="00000000" w:rsidRDefault="001F1FC8">
      <w:pPr>
        <w:divId w:val="118962582"/>
        <w:rPr>
          <w:rFonts w:eastAsia="Times New Roman"/>
        </w:rPr>
      </w:pPr>
    </w:p>
    <w:p w:rsidR="00000000" w:rsidRDefault="001F1FC8">
      <w:pPr>
        <w:divId w:val="1137062806"/>
        <w:rPr>
          <w:rFonts w:eastAsia="Times New Roman"/>
        </w:rPr>
      </w:pPr>
      <w:r>
        <w:rPr>
          <w:rFonts w:ascii="Arial" w:eastAsia="Times New Roman" w:hAnsi="Arial" w:cs="Arial"/>
          <w:b/>
          <w:bCs/>
          <w:color w:val="000000"/>
          <w:sz w:val="20"/>
          <w:szCs w:val="20"/>
          <w:shd w:val="clear" w:color="auto" w:fill="FFFFFF"/>
        </w:rPr>
        <w:t>2020</w:t>
      </w:r>
    </w:p>
    <w:p w:rsidR="00000000" w:rsidRDefault="001F1FC8">
      <w:pPr>
        <w:divId w:val="263732254"/>
        <w:rPr>
          <w:rFonts w:eastAsia="Times New Roman"/>
        </w:rPr>
      </w:pPr>
      <w:r>
        <w:rPr>
          <w:rFonts w:ascii="Arial" w:eastAsia="Times New Roman" w:hAnsi="Arial" w:cs="Arial"/>
          <w:color w:val="000000"/>
          <w:sz w:val="20"/>
          <w:szCs w:val="20"/>
        </w:rPr>
        <w:t>The increase in cash used in investing activities primarily resulted from the following factors:</w:t>
      </w:r>
    </w:p>
    <w:p w:rsidR="00000000" w:rsidRDefault="001F1FC8">
      <w:pPr>
        <w:ind w:hanging="360"/>
        <w:divId w:val="2003654253"/>
        <w:rPr>
          <w:rFonts w:eastAsia="Times New Roman"/>
        </w:rPr>
      </w:pPr>
      <w:r>
        <w:rPr>
          <w:rFonts w:ascii="Arial" w:eastAsia="Times New Roman" w:hAnsi="Arial" w:cs="Arial"/>
          <w:color w:val="000000"/>
          <w:sz w:val="20"/>
          <w:szCs w:val="20"/>
        </w:rPr>
        <w:t>•</w:t>
      </w:r>
      <w:r>
        <w:rPr>
          <w:rFonts w:ascii="Arial" w:eastAsia="Times New Roman" w:hAnsi="Arial" w:cs="Arial"/>
          <w:color w:val="000000"/>
          <w:sz w:val="20"/>
          <w:szCs w:val="20"/>
        </w:rPr>
        <w:t>Lower proceeds from asset dispositions in 2020 compared with 2019, primarily due to the sale of the federally regulated portion of our Canadian natural gas gathering and processing businesses assets on December 31, 2019.</w:t>
      </w:r>
    </w:p>
    <w:p w:rsidR="00000000" w:rsidRDefault="001F1FC8">
      <w:pPr>
        <w:jc w:val="center"/>
        <w:divId w:val="757020742"/>
        <w:rPr>
          <w:rFonts w:eastAsia="Times New Roman"/>
        </w:rPr>
      </w:pPr>
      <w:r>
        <w:rPr>
          <w:rFonts w:ascii="Arial" w:eastAsia="Times New Roman" w:hAnsi="Arial" w:cs="Arial"/>
          <w:color w:val="000000"/>
          <w:sz w:val="20"/>
          <w:szCs w:val="20"/>
        </w:rPr>
        <w:t>76</w:t>
      </w:r>
    </w:p>
    <w:p w:rsidR="00000000" w:rsidRDefault="001F1FC8">
      <w:pPr>
        <w:rPr>
          <w:rFonts w:eastAsia="Times New Roman"/>
        </w:rPr>
      </w:pPr>
      <w:r>
        <w:rPr>
          <w:rFonts w:eastAsia="Times New Roman"/>
        </w:rPr>
        <w:pict>
          <v:rect id="_x0000_i1106" style="width:0;height:1.5pt" o:hralign="center" o:hrstd="t" o:hr="t" fillcolor="#a0a0a0" stroked="f"/>
        </w:pict>
      </w:r>
    </w:p>
    <w:p w:rsidR="00000000" w:rsidRDefault="001F1FC8">
      <w:pPr>
        <w:jc w:val="center"/>
        <w:divId w:val="1231231013"/>
        <w:rPr>
          <w:rFonts w:eastAsia="Times New Roman"/>
        </w:rPr>
      </w:pPr>
    </w:p>
    <w:p w:rsidR="00000000" w:rsidRDefault="001F1FC8">
      <w:pPr>
        <w:ind w:hanging="360"/>
        <w:divId w:val="1495872729"/>
        <w:rPr>
          <w:rFonts w:eastAsia="Times New Roman"/>
        </w:rPr>
      </w:pPr>
      <w:r>
        <w:rPr>
          <w:rFonts w:ascii="Arial" w:eastAsia="Times New Roman" w:hAnsi="Arial" w:cs="Arial"/>
          <w:color w:val="000000"/>
          <w:sz w:val="20"/>
          <w:szCs w:val="20"/>
        </w:rPr>
        <w:t>•The factor above was partially offset by lower contributions to the Gray Oak Holdings LLC equity investment in 2020, higher return of capital primarily from equity investments in Seaway Crude Holdings LLC, MarEn Bakken Company LLC, Gray Oak Holdings</w:t>
      </w:r>
      <w:r>
        <w:rPr>
          <w:rFonts w:ascii="Arial" w:eastAsia="Times New Roman" w:hAnsi="Arial" w:cs="Arial"/>
          <w:color w:val="000000"/>
          <w:sz w:val="20"/>
          <w:szCs w:val="20"/>
        </w:rPr>
        <w:t xml:space="preserve"> LLC and Enbridge Renewable Infrastructure Investments S.a.r.l., and lower net cash invested in affiliate loans in 2020 compared with 2019. </w:t>
      </w:r>
    </w:p>
    <w:p w:rsidR="00000000" w:rsidRDefault="001F1FC8">
      <w:pPr>
        <w:divId w:val="2074964357"/>
        <w:rPr>
          <w:rFonts w:eastAsia="Times New Roman"/>
        </w:rPr>
      </w:pPr>
    </w:p>
    <w:p w:rsidR="00000000" w:rsidRDefault="001F1FC8">
      <w:pPr>
        <w:divId w:val="804201309"/>
        <w:rPr>
          <w:rFonts w:eastAsia="Times New Roman"/>
        </w:rPr>
      </w:pPr>
      <w:r>
        <w:rPr>
          <w:rFonts w:ascii="Arial" w:eastAsia="Times New Roman" w:hAnsi="Arial" w:cs="Arial"/>
          <w:b/>
          <w:bCs/>
          <w:color w:val="000000"/>
          <w:sz w:val="20"/>
          <w:szCs w:val="20"/>
        </w:rPr>
        <w:t>Financing Activities</w:t>
      </w:r>
    </w:p>
    <w:p w:rsidR="00000000" w:rsidRDefault="001F1FC8">
      <w:pPr>
        <w:divId w:val="674767847"/>
        <w:rPr>
          <w:rFonts w:eastAsia="Times New Roman"/>
        </w:rPr>
      </w:pPr>
      <w:r>
        <w:rPr>
          <w:rFonts w:ascii="Arial" w:eastAsia="Times New Roman" w:hAnsi="Arial" w:cs="Arial"/>
          <w:color w:val="000000"/>
          <w:sz w:val="20"/>
          <w:szCs w:val="20"/>
        </w:rPr>
        <w:t>Cash provided by and used in financing activities primarily relates to issuances and repayme</w:t>
      </w:r>
      <w:r>
        <w:rPr>
          <w:rFonts w:ascii="Arial" w:eastAsia="Times New Roman" w:hAnsi="Arial" w:cs="Arial"/>
          <w:color w:val="000000"/>
          <w:sz w:val="20"/>
          <w:szCs w:val="20"/>
        </w:rPr>
        <w:t xml:space="preserve">nts of external debt, as well as transactions with our common and preference shareholders relating to dividends, share issuances and share redemptions. Cash from financing activities is also impacted by changes in distributions to, and contributions from, </w:t>
      </w:r>
      <w:r>
        <w:rPr>
          <w:rFonts w:ascii="Arial" w:eastAsia="Times New Roman" w:hAnsi="Arial" w:cs="Arial"/>
          <w:color w:val="000000"/>
          <w:sz w:val="20"/>
          <w:szCs w:val="20"/>
        </w:rPr>
        <w:t>noncontrolling interests.</w:t>
      </w:r>
    </w:p>
    <w:p w:rsidR="00000000" w:rsidRDefault="001F1FC8">
      <w:pPr>
        <w:divId w:val="1577668180"/>
        <w:rPr>
          <w:rFonts w:eastAsia="Times New Roman"/>
        </w:rPr>
      </w:pPr>
    </w:p>
    <w:p w:rsidR="00000000" w:rsidRDefault="001F1FC8">
      <w:pPr>
        <w:divId w:val="250816991"/>
        <w:rPr>
          <w:rFonts w:eastAsia="Times New Roman"/>
        </w:rPr>
      </w:pPr>
      <w:r>
        <w:rPr>
          <w:rFonts w:ascii="Arial" w:eastAsia="Times New Roman" w:hAnsi="Arial" w:cs="Arial"/>
          <w:b/>
          <w:bCs/>
          <w:color w:val="000000"/>
          <w:sz w:val="20"/>
          <w:szCs w:val="20"/>
        </w:rPr>
        <w:t>2021</w:t>
      </w:r>
    </w:p>
    <w:p w:rsidR="00000000" w:rsidRDefault="001F1FC8">
      <w:pPr>
        <w:divId w:val="1443768548"/>
        <w:rPr>
          <w:rFonts w:eastAsia="Times New Roman"/>
        </w:rPr>
      </w:pPr>
      <w:r>
        <w:rPr>
          <w:rFonts w:ascii="Arial" w:eastAsia="Times New Roman" w:hAnsi="Arial" w:cs="Arial"/>
          <w:color w:val="000000"/>
          <w:sz w:val="20"/>
          <w:szCs w:val="20"/>
        </w:rPr>
        <w:t>The increase in cash provided by financing activities primarily resulted from the following factors:</w:t>
      </w:r>
    </w:p>
    <w:p w:rsidR="00000000" w:rsidRDefault="001F1FC8">
      <w:pPr>
        <w:ind w:hanging="360"/>
        <w:divId w:val="1259752179"/>
        <w:rPr>
          <w:rFonts w:eastAsia="Times New Roman"/>
        </w:rPr>
      </w:pPr>
      <w:r>
        <w:rPr>
          <w:rFonts w:ascii="Arial" w:eastAsia="Times New Roman" w:hAnsi="Arial" w:cs="Arial"/>
          <w:color w:val="000000"/>
          <w:sz w:val="20"/>
          <w:szCs w:val="20"/>
          <w:shd w:val="clear" w:color="auto" w:fill="FFFFFF"/>
        </w:rPr>
        <w:t>•Increased issuances of long-term debt, commercial paper and credit facility draws and short-term borrowings, along with l</w:t>
      </w:r>
      <w:r>
        <w:rPr>
          <w:rFonts w:ascii="Arial" w:eastAsia="Times New Roman" w:hAnsi="Arial" w:cs="Arial"/>
          <w:color w:val="000000"/>
          <w:sz w:val="20"/>
          <w:szCs w:val="20"/>
          <w:shd w:val="clear" w:color="auto" w:fill="FFFFFF"/>
        </w:rPr>
        <w:t>ower repayments of long-term debt in 2021 compared to 2020.</w:t>
      </w:r>
    </w:p>
    <w:p w:rsidR="00000000" w:rsidRDefault="001F1FC8">
      <w:pPr>
        <w:ind w:hanging="360"/>
        <w:divId w:val="1839076925"/>
        <w:rPr>
          <w:rFonts w:eastAsia="Times New Roman"/>
        </w:rPr>
      </w:pPr>
      <w:r>
        <w:rPr>
          <w:rFonts w:ascii="Arial" w:eastAsia="Times New Roman" w:hAnsi="Arial" w:cs="Arial"/>
          <w:color w:val="000000"/>
          <w:sz w:val="20"/>
          <w:szCs w:val="20"/>
          <w:shd w:val="clear" w:color="auto" w:fill="FFFFFF"/>
        </w:rPr>
        <w:t>•The factors above were partially offset by the redempti</w:t>
      </w:r>
      <w:r>
        <w:rPr>
          <w:rFonts w:ascii="Arial" w:eastAsia="Times New Roman" w:hAnsi="Arial" w:cs="Arial"/>
          <w:color w:val="000000"/>
          <w:sz w:val="20"/>
          <w:szCs w:val="20"/>
        </w:rPr>
        <w:t xml:space="preserve">on of Westcoast Energy Inc.'s (Westcoast) </w:t>
      </w:r>
      <w:r>
        <w:rPr>
          <w:rFonts w:ascii="Arial" w:eastAsia="Times New Roman" w:hAnsi="Arial" w:cs="Arial"/>
          <w:color w:val="000000"/>
          <w:sz w:val="20"/>
          <w:szCs w:val="20"/>
          <w:shd w:val="clear" w:color="auto" w:fill="FFFFFF"/>
        </w:rPr>
        <w:t>preferred shares in 2021 and increased common share dividend payments primarily due to the increas</w:t>
      </w:r>
      <w:r>
        <w:rPr>
          <w:rFonts w:ascii="Arial" w:eastAsia="Times New Roman" w:hAnsi="Arial" w:cs="Arial"/>
          <w:color w:val="000000"/>
          <w:sz w:val="20"/>
          <w:szCs w:val="20"/>
          <w:shd w:val="clear" w:color="auto" w:fill="FFFFFF"/>
        </w:rPr>
        <w:t>e in our common share dividend rate.</w:t>
      </w:r>
    </w:p>
    <w:p w:rsidR="00000000" w:rsidRDefault="001F1FC8">
      <w:pPr>
        <w:divId w:val="550965611"/>
        <w:rPr>
          <w:rFonts w:eastAsia="Times New Roman"/>
        </w:rPr>
      </w:pPr>
    </w:p>
    <w:p w:rsidR="00000000" w:rsidRDefault="001F1FC8">
      <w:pPr>
        <w:divId w:val="1135832381"/>
        <w:rPr>
          <w:rFonts w:eastAsia="Times New Roman"/>
        </w:rPr>
      </w:pPr>
      <w:r>
        <w:rPr>
          <w:rFonts w:ascii="Arial" w:eastAsia="Times New Roman" w:hAnsi="Arial" w:cs="Arial"/>
          <w:b/>
          <w:bCs/>
          <w:color w:val="000000"/>
          <w:sz w:val="20"/>
          <w:szCs w:val="20"/>
        </w:rPr>
        <w:t>2020</w:t>
      </w:r>
    </w:p>
    <w:p w:rsidR="00000000" w:rsidRDefault="001F1FC8">
      <w:pPr>
        <w:divId w:val="1833912163"/>
        <w:rPr>
          <w:rFonts w:eastAsia="Times New Roman"/>
        </w:rPr>
      </w:pPr>
      <w:r>
        <w:rPr>
          <w:rFonts w:ascii="Arial" w:eastAsia="Times New Roman" w:hAnsi="Arial" w:cs="Arial"/>
          <w:color w:val="000000"/>
          <w:sz w:val="20"/>
          <w:szCs w:val="20"/>
        </w:rPr>
        <w:t>Cash used in financing activities in 2020 was consistent with 2019 due to the following factors:</w:t>
      </w:r>
    </w:p>
    <w:p w:rsidR="00000000" w:rsidRDefault="001F1FC8">
      <w:pPr>
        <w:ind w:hanging="360"/>
        <w:divId w:val="868105233"/>
        <w:rPr>
          <w:rFonts w:eastAsia="Times New Roman"/>
        </w:rPr>
      </w:pPr>
      <w:r>
        <w:rPr>
          <w:rFonts w:ascii="Arial" w:eastAsia="Times New Roman" w:hAnsi="Arial" w:cs="Arial"/>
          <w:color w:val="000000"/>
          <w:sz w:val="20"/>
          <w:szCs w:val="20"/>
        </w:rPr>
        <w:t>•</w:t>
      </w:r>
      <w:r>
        <w:rPr>
          <w:rFonts w:ascii="Arial" w:eastAsia="Times New Roman" w:hAnsi="Arial" w:cs="Arial"/>
          <w:color w:val="000000"/>
          <w:sz w:val="20"/>
          <w:szCs w:val="20"/>
        </w:rPr>
        <w:t>Increased commercial paper and credit facility draws, increased short-term borrowings and lower repayments of long-term debt in 2020 compared with 2019, partially offset by lower issuances of long-term debt.</w:t>
      </w:r>
    </w:p>
    <w:p w:rsidR="00000000" w:rsidRDefault="001F1FC8">
      <w:pPr>
        <w:ind w:hanging="360"/>
        <w:divId w:val="1795824200"/>
        <w:rPr>
          <w:rFonts w:eastAsia="Times New Roman"/>
        </w:rPr>
      </w:pPr>
      <w:r>
        <w:rPr>
          <w:rFonts w:ascii="Arial" w:eastAsia="Times New Roman" w:hAnsi="Arial" w:cs="Arial"/>
          <w:color w:val="000000"/>
          <w:sz w:val="20"/>
          <w:szCs w:val="20"/>
        </w:rPr>
        <w:t>•    The absence in 2020 of the redemption of We</w:t>
      </w:r>
      <w:r>
        <w:rPr>
          <w:rFonts w:ascii="Arial" w:eastAsia="Times New Roman" w:hAnsi="Arial" w:cs="Arial"/>
          <w:color w:val="000000"/>
          <w:sz w:val="20"/>
          <w:szCs w:val="20"/>
        </w:rPr>
        <w:t>stcoast's preferred shares in 2019.</w:t>
      </w:r>
    </w:p>
    <w:p w:rsidR="00000000" w:rsidRDefault="001F1FC8">
      <w:pPr>
        <w:ind w:hanging="360"/>
        <w:divId w:val="1194346623"/>
        <w:rPr>
          <w:rFonts w:eastAsia="Times New Roman"/>
        </w:rPr>
      </w:pPr>
      <w:r>
        <w:rPr>
          <w:rFonts w:ascii="Arial" w:eastAsia="Times New Roman" w:hAnsi="Arial" w:cs="Arial"/>
          <w:color w:val="000000"/>
          <w:sz w:val="20"/>
          <w:szCs w:val="20"/>
        </w:rPr>
        <w:t>•    The above factors were partially offset by i</w:t>
      </w:r>
      <w:r>
        <w:rPr>
          <w:rFonts w:ascii="Arial" w:eastAsia="Times New Roman" w:hAnsi="Arial" w:cs="Arial"/>
          <w:color w:val="000000"/>
          <w:sz w:val="20"/>
          <w:szCs w:val="20"/>
          <w:shd w:val="clear" w:color="auto" w:fill="FFFFFF"/>
        </w:rPr>
        <w:t>ncreased common share dividend payments primarily due to the increase in our common share dividend rate.</w:t>
      </w:r>
    </w:p>
    <w:p w:rsidR="00000000" w:rsidRDefault="001F1FC8">
      <w:pPr>
        <w:divId w:val="1399593165"/>
        <w:rPr>
          <w:rFonts w:eastAsia="Times New Roman"/>
        </w:rPr>
      </w:pPr>
    </w:p>
    <w:p w:rsidR="00000000" w:rsidRDefault="001F1FC8">
      <w:pPr>
        <w:divId w:val="2139226270"/>
        <w:rPr>
          <w:rFonts w:eastAsia="Times New Roman"/>
        </w:rPr>
      </w:pPr>
      <w:r>
        <w:rPr>
          <w:rFonts w:ascii="Arial" w:eastAsia="Times New Roman" w:hAnsi="Arial" w:cs="Arial"/>
          <w:b/>
          <w:bCs/>
          <w:color w:val="000000"/>
          <w:sz w:val="20"/>
          <w:szCs w:val="20"/>
        </w:rPr>
        <w:t>OFF-BALANCE SHEET ARRANGEMENTS</w:t>
      </w:r>
    </w:p>
    <w:p w:rsidR="00000000" w:rsidRDefault="001F1FC8">
      <w:pPr>
        <w:divId w:val="935407048"/>
        <w:rPr>
          <w:rFonts w:eastAsia="Times New Roman"/>
        </w:rPr>
      </w:pPr>
      <w:r>
        <w:rPr>
          <w:rFonts w:ascii="Arial" w:eastAsia="Times New Roman" w:hAnsi="Arial" w:cs="Arial"/>
          <w:color w:val="000000"/>
          <w:sz w:val="20"/>
          <w:szCs w:val="20"/>
        </w:rPr>
        <w:t>We enter into guarantee arrangeme</w:t>
      </w:r>
      <w:r>
        <w:rPr>
          <w:rFonts w:ascii="Arial" w:eastAsia="Times New Roman" w:hAnsi="Arial" w:cs="Arial"/>
          <w:color w:val="000000"/>
          <w:sz w:val="20"/>
          <w:szCs w:val="20"/>
        </w:rPr>
        <w:t xml:space="preserve">nts in the normal course of business to facilitate commercial transactions with third parties. These arrangements include financial guarantees, stand-by letters of credit, debt guarantees, surety bonds and indemnifications. See Part II. </w:t>
      </w:r>
      <w:r>
        <w:rPr>
          <w:rFonts w:ascii="Arial" w:eastAsia="Times New Roman" w:hAnsi="Arial" w:cs="Arial"/>
          <w:i/>
          <w:iCs/>
          <w:color w:val="000000"/>
          <w:sz w:val="20"/>
          <w:szCs w:val="20"/>
        </w:rPr>
        <w:t>Item 8. Financial S</w:t>
      </w:r>
      <w:r>
        <w:rPr>
          <w:rFonts w:ascii="Arial" w:eastAsia="Times New Roman" w:hAnsi="Arial" w:cs="Arial"/>
          <w:i/>
          <w:iCs/>
          <w:color w:val="000000"/>
          <w:sz w:val="20"/>
          <w:szCs w:val="20"/>
        </w:rPr>
        <w:t>tatements and Supplementary Data - Note 31 Guarantees</w:t>
      </w:r>
      <w:r>
        <w:rPr>
          <w:rFonts w:ascii="Arial" w:eastAsia="Times New Roman" w:hAnsi="Arial" w:cs="Arial"/>
          <w:color w:val="000000"/>
          <w:sz w:val="20"/>
          <w:szCs w:val="20"/>
        </w:rPr>
        <w:t xml:space="preserve"> for further discussion of guarantee arrangements.</w:t>
      </w:r>
    </w:p>
    <w:p w:rsidR="00000000" w:rsidRDefault="001F1FC8">
      <w:pPr>
        <w:divId w:val="1858808778"/>
        <w:rPr>
          <w:rFonts w:eastAsia="Times New Roman"/>
        </w:rPr>
      </w:pPr>
    </w:p>
    <w:p w:rsidR="00000000" w:rsidRDefault="001F1FC8">
      <w:pPr>
        <w:divId w:val="2100710198"/>
        <w:rPr>
          <w:rFonts w:eastAsia="Times New Roman"/>
        </w:rPr>
      </w:pPr>
      <w:r>
        <w:rPr>
          <w:rFonts w:ascii="Arial" w:eastAsia="Times New Roman" w:hAnsi="Arial" w:cs="Arial"/>
          <w:color w:val="000000"/>
          <w:sz w:val="20"/>
          <w:szCs w:val="20"/>
        </w:rPr>
        <w:t>Most of the guarantee arrangements that we enter into enhance the credit standings of certain subsidiaries, non-consolidated entities or less than 100</w:t>
      </w:r>
      <w:r>
        <w:rPr>
          <w:rFonts w:ascii="Arial" w:eastAsia="Times New Roman" w:hAnsi="Arial" w:cs="Arial"/>
          <w:color w:val="000000"/>
          <w:sz w:val="20"/>
          <w:szCs w:val="20"/>
        </w:rPr>
        <w:t>%-owned entities, enabling them to conduct business. As such, these guarantee arrangements involve elements of performance and credit risk which are not included on our Consolidated Statements of Financial Position. The possibility of us having to honor ou</w:t>
      </w:r>
      <w:r>
        <w:rPr>
          <w:rFonts w:ascii="Arial" w:eastAsia="Times New Roman" w:hAnsi="Arial" w:cs="Arial"/>
          <w:color w:val="000000"/>
          <w:sz w:val="20"/>
          <w:szCs w:val="20"/>
        </w:rPr>
        <w:t>r contingencies is largely dependent upon the future operations of our subsidiaries, investees and other third parties, or the occurrence of certain future events. Issuance of these guarantee arrangements is not required for the majority of our operations.</w:t>
      </w:r>
    </w:p>
    <w:p w:rsidR="00000000" w:rsidRDefault="001F1FC8">
      <w:pPr>
        <w:divId w:val="2109809701"/>
        <w:rPr>
          <w:rFonts w:eastAsia="Times New Roman"/>
        </w:rPr>
      </w:pPr>
    </w:p>
    <w:p w:rsidR="00000000" w:rsidRDefault="001F1FC8">
      <w:pPr>
        <w:divId w:val="688334751"/>
        <w:rPr>
          <w:rFonts w:eastAsia="Times New Roman"/>
        </w:rPr>
      </w:pPr>
      <w:r>
        <w:rPr>
          <w:rFonts w:ascii="Arial" w:eastAsia="Times New Roman" w:hAnsi="Arial" w:cs="Arial"/>
          <w:color w:val="000000"/>
          <w:sz w:val="20"/>
          <w:szCs w:val="20"/>
        </w:rPr>
        <w:t xml:space="preserve">We do not have material off-balance sheet financing entities or structures, except for guarantee arrangements and financings entered into by our equity investments. For additional information on these commitments, see Part II. </w:t>
      </w:r>
      <w:r>
        <w:rPr>
          <w:rFonts w:ascii="Arial" w:eastAsia="Times New Roman" w:hAnsi="Arial" w:cs="Arial"/>
          <w:i/>
          <w:iCs/>
          <w:color w:val="000000"/>
          <w:sz w:val="20"/>
          <w:szCs w:val="20"/>
        </w:rPr>
        <w:t>Item 8. Financial Statemen</w:t>
      </w:r>
      <w:r>
        <w:rPr>
          <w:rFonts w:ascii="Arial" w:eastAsia="Times New Roman" w:hAnsi="Arial" w:cs="Arial"/>
          <w:i/>
          <w:iCs/>
          <w:color w:val="000000"/>
          <w:sz w:val="20"/>
          <w:szCs w:val="20"/>
        </w:rPr>
        <w:t>ts and Supplementary Data -</w:t>
      </w:r>
      <w:r>
        <w:rPr>
          <w:rFonts w:ascii="Arial" w:eastAsia="Times New Roman" w:hAnsi="Arial" w:cs="Arial"/>
          <w:color w:val="000000"/>
          <w:sz w:val="20"/>
          <w:szCs w:val="20"/>
        </w:rPr>
        <w:t xml:space="preserve"> </w:t>
      </w:r>
      <w:r>
        <w:rPr>
          <w:rFonts w:ascii="Arial" w:eastAsia="Times New Roman" w:hAnsi="Arial" w:cs="Arial"/>
          <w:i/>
          <w:iCs/>
          <w:color w:val="000000"/>
          <w:sz w:val="20"/>
          <w:szCs w:val="20"/>
        </w:rPr>
        <w:t>Note 30 Commitments and Contingencies</w:t>
      </w:r>
      <w:r>
        <w:rPr>
          <w:rFonts w:ascii="Arial" w:eastAsia="Times New Roman" w:hAnsi="Arial" w:cs="Arial"/>
          <w:color w:val="000000"/>
          <w:sz w:val="20"/>
          <w:szCs w:val="20"/>
        </w:rPr>
        <w:t xml:space="preserve"> and</w:t>
      </w:r>
      <w:r>
        <w:rPr>
          <w:rFonts w:ascii="Arial" w:eastAsia="Times New Roman" w:hAnsi="Arial" w:cs="Arial"/>
          <w:i/>
          <w:iCs/>
          <w:color w:val="000000"/>
          <w:sz w:val="20"/>
          <w:szCs w:val="20"/>
        </w:rPr>
        <w:t xml:space="preserve"> Note 31 Guarantees</w:t>
      </w:r>
      <w:r>
        <w:rPr>
          <w:rFonts w:ascii="Arial" w:eastAsia="Times New Roman" w:hAnsi="Arial" w:cs="Arial"/>
          <w:color w:val="000000"/>
          <w:sz w:val="20"/>
          <w:szCs w:val="20"/>
        </w:rPr>
        <w:t>.</w:t>
      </w:r>
    </w:p>
    <w:p w:rsidR="00000000" w:rsidRDefault="001F1FC8">
      <w:pPr>
        <w:divId w:val="2144151127"/>
        <w:rPr>
          <w:rFonts w:eastAsia="Times New Roman"/>
        </w:rPr>
      </w:pPr>
    </w:p>
    <w:p w:rsidR="00000000" w:rsidRDefault="001F1FC8">
      <w:pPr>
        <w:divId w:val="1675381991"/>
        <w:rPr>
          <w:rFonts w:eastAsia="Times New Roman"/>
        </w:rPr>
      </w:pPr>
      <w:r>
        <w:rPr>
          <w:rFonts w:ascii="Arial" w:eastAsia="Times New Roman" w:hAnsi="Arial" w:cs="Arial"/>
          <w:color w:val="000000"/>
          <w:sz w:val="20"/>
          <w:szCs w:val="20"/>
        </w:rPr>
        <w:t xml:space="preserve">We do not have material off-balance sheet arrangements that have or are reasonably likely to have a current or future effect on our financial condition, changes in </w:t>
      </w:r>
      <w:r>
        <w:rPr>
          <w:rFonts w:ascii="Arial" w:eastAsia="Times New Roman" w:hAnsi="Arial" w:cs="Arial"/>
          <w:color w:val="000000"/>
          <w:sz w:val="20"/>
          <w:szCs w:val="20"/>
        </w:rPr>
        <w:t>financial condition, revenues or expenses, results of operations, liquidity, capital expenditures or capital resources.</w:t>
      </w:r>
    </w:p>
    <w:p w:rsidR="00000000" w:rsidRDefault="001F1FC8">
      <w:pPr>
        <w:divId w:val="1536116601"/>
        <w:rPr>
          <w:rFonts w:eastAsia="Times New Roman"/>
        </w:rPr>
      </w:pPr>
    </w:p>
    <w:p w:rsidR="00000000" w:rsidRDefault="001F1FC8">
      <w:pPr>
        <w:jc w:val="center"/>
        <w:divId w:val="116917976"/>
        <w:rPr>
          <w:rFonts w:eastAsia="Times New Roman"/>
        </w:rPr>
      </w:pPr>
      <w:r>
        <w:rPr>
          <w:rFonts w:ascii="Arial" w:eastAsia="Times New Roman" w:hAnsi="Arial" w:cs="Arial"/>
          <w:color w:val="000000"/>
          <w:sz w:val="20"/>
          <w:szCs w:val="20"/>
        </w:rPr>
        <w:t>77</w:t>
      </w:r>
    </w:p>
    <w:p w:rsidR="00000000" w:rsidRDefault="001F1FC8">
      <w:pPr>
        <w:rPr>
          <w:rFonts w:eastAsia="Times New Roman"/>
        </w:rPr>
      </w:pPr>
      <w:r>
        <w:rPr>
          <w:rFonts w:eastAsia="Times New Roman"/>
        </w:rPr>
        <w:pict>
          <v:rect id="_x0000_i1107" style="width:0;height:1.5pt" o:hralign="center" o:hrstd="t" o:hr="t" fillcolor="#a0a0a0" stroked="f"/>
        </w:pict>
      </w:r>
    </w:p>
    <w:p w:rsidR="00000000" w:rsidRDefault="001F1FC8">
      <w:pPr>
        <w:jc w:val="center"/>
        <w:divId w:val="11499612"/>
        <w:rPr>
          <w:rFonts w:eastAsia="Times New Roman"/>
        </w:rPr>
      </w:pPr>
    </w:p>
    <w:p w:rsidR="00000000" w:rsidRDefault="001F1FC8">
      <w:pPr>
        <w:divId w:val="54931586"/>
        <w:rPr>
          <w:rFonts w:eastAsia="Times New Roman"/>
        </w:rPr>
      </w:pPr>
      <w:r>
        <w:rPr>
          <w:rFonts w:ascii="Arial" w:eastAsia="Times New Roman" w:hAnsi="Arial" w:cs="Arial"/>
          <w:b/>
          <w:bCs/>
          <w:color w:val="000000"/>
          <w:sz w:val="20"/>
          <w:szCs w:val="20"/>
        </w:rPr>
        <w:t>Preference Share Issuances</w:t>
      </w:r>
    </w:p>
    <w:p w:rsidR="00000000" w:rsidRDefault="001F1FC8">
      <w:pPr>
        <w:divId w:val="43677208"/>
        <w:rPr>
          <w:rFonts w:eastAsia="Times New Roman"/>
        </w:rPr>
      </w:pPr>
      <w:r>
        <w:rPr>
          <w:rFonts w:ascii="Arial" w:eastAsia="Times New Roman" w:hAnsi="Arial" w:cs="Arial"/>
          <w:color w:val="000000"/>
          <w:sz w:val="20"/>
          <w:szCs w:val="20"/>
        </w:rPr>
        <w:t>Since July 2011, we have issued 315 million preference shares for gross proceeds of approximately $7.9 billion with the following characteristics:</w:t>
      </w:r>
    </w:p>
    <w:tbl>
      <w:tblPr>
        <w:tblW w:w="5000" w:type="pct"/>
        <w:tblCellMar>
          <w:top w:w="15" w:type="dxa"/>
          <w:left w:w="15" w:type="dxa"/>
          <w:bottom w:w="15" w:type="dxa"/>
          <w:right w:w="15" w:type="dxa"/>
        </w:tblCellMar>
        <w:tblLook w:val="04A0" w:firstRow="1" w:lastRow="0" w:firstColumn="1" w:lastColumn="0" w:noHBand="0" w:noVBand="1"/>
      </w:tblPr>
      <w:tblGrid>
        <w:gridCol w:w="65"/>
        <w:gridCol w:w="798"/>
        <w:gridCol w:w="36"/>
        <w:gridCol w:w="60"/>
        <w:gridCol w:w="1017"/>
        <w:gridCol w:w="36"/>
        <w:gridCol w:w="60"/>
        <w:gridCol w:w="1364"/>
        <w:gridCol w:w="163"/>
        <w:gridCol w:w="77"/>
        <w:gridCol w:w="879"/>
        <w:gridCol w:w="36"/>
        <w:gridCol w:w="67"/>
        <w:gridCol w:w="1010"/>
        <w:gridCol w:w="36"/>
        <w:gridCol w:w="60"/>
        <w:gridCol w:w="1524"/>
        <w:gridCol w:w="36"/>
        <w:gridCol w:w="61"/>
        <w:gridCol w:w="885"/>
        <w:gridCol w:w="36"/>
      </w:tblGrid>
      <w:tr w:rsidR="00000000">
        <w:trPr>
          <w:divId w:val="340742408"/>
        </w:trPr>
        <w:tc>
          <w:tcPr>
            <w:tcW w:w="50" w:type="pct"/>
            <w:vAlign w:val="center"/>
            <w:hideMark/>
          </w:tcPr>
          <w:p w:rsidR="00000000" w:rsidRDefault="001F1FC8">
            <w:pPr>
              <w:rPr>
                <w:rFonts w:eastAsia="Times New Roman"/>
              </w:rPr>
            </w:pPr>
          </w:p>
        </w:tc>
        <w:tc>
          <w:tcPr>
            <w:tcW w:w="497"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c>
          <w:tcPr>
            <w:tcW w:w="50" w:type="pct"/>
            <w:vAlign w:val="center"/>
            <w:hideMark/>
          </w:tcPr>
          <w:p w:rsidR="00000000" w:rsidRDefault="001F1FC8">
            <w:pPr>
              <w:rPr>
                <w:rFonts w:eastAsia="Times New Roman"/>
                <w:sz w:val="20"/>
                <w:szCs w:val="20"/>
              </w:rPr>
            </w:pPr>
          </w:p>
        </w:tc>
        <w:tc>
          <w:tcPr>
            <w:tcW w:w="626"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c>
          <w:tcPr>
            <w:tcW w:w="50" w:type="pct"/>
            <w:vAlign w:val="center"/>
            <w:hideMark/>
          </w:tcPr>
          <w:p w:rsidR="00000000" w:rsidRDefault="001F1FC8">
            <w:pPr>
              <w:rPr>
                <w:rFonts w:eastAsia="Times New Roman"/>
                <w:sz w:val="20"/>
                <w:szCs w:val="20"/>
              </w:rPr>
            </w:pPr>
          </w:p>
        </w:tc>
        <w:tc>
          <w:tcPr>
            <w:tcW w:w="834"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c>
          <w:tcPr>
            <w:tcW w:w="50" w:type="pct"/>
            <w:vAlign w:val="center"/>
            <w:hideMark/>
          </w:tcPr>
          <w:p w:rsidR="00000000" w:rsidRDefault="001F1FC8">
            <w:pPr>
              <w:rPr>
                <w:rFonts w:eastAsia="Times New Roman"/>
                <w:sz w:val="20"/>
                <w:szCs w:val="20"/>
              </w:rPr>
            </w:pPr>
          </w:p>
        </w:tc>
        <w:tc>
          <w:tcPr>
            <w:tcW w:w="553"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c>
          <w:tcPr>
            <w:tcW w:w="50" w:type="pct"/>
            <w:vAlign w:val="center"/>
            <w:hideMark/>
          </w:tcPr>
          <w:p w:rsidR="00000000" w:rsidRDefault="001F1FC8">
            <w:pPr>
              <w:rPr>
                <w:rFonts w:eastAsia="Times New Roman"/>
                <w:sz w:val="20"/>
                <w:szCs w:val="20"/>
              </w:rPr>
            </w:pPr>
          </w:p>
        </w:tc>
        <w:tc>
          <w:tcPr>
            <w:tcW w:w="626"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c>
          <w:tcPr>
            <w:tcW w:w="50" w:type="pct"/>
            <w:vAlign w:val="center"/>
            <w:hideMark/>
          </w:tcPr>
          <w:p w:rsidR="00000000" w:rsidRDefault="001F1FC8">
            <w:pPr>
              <w:rPr>
                <w:rFonts w:eastAsia="Times New Roman"/>
                <w:sz w:val="20"/>
                <w:szCs w:val="20"/>
              </w:rPr>
            </w:pPr>
          </w:p>
        </w:tc>
        <w:tc>
          <w:tcPr>
            <w:tcW w:w="930"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c>
          <w:tcPr>
            <w:tcW w:w="50" w:type="pct"/>
            <w:vAlign w:val="center"/>
            <w:hideMark/>
          </w:tcPr>
          <w:p w:rsidR="00000000" w:rsidRDefault="001F1FC8">
            <w:pPr>
              <w:rPr>
                <w:rFonts w:eastAsia="Times New Roman"/>
                <w:sz w:val="20"/>
                <w:szCs w:val="20"/>
              </w:rPr>
            </w:pPr>
          </w:p>
        </w:tc>
        <w:tc>
          <w:tcPr>
            <w:tcW w:w="546"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r>
      <w:tr w:rsidR="00000000">
        <w:trPr>
          <w:divId w:val="340742408"/>
        </w:trPr>
        <w:tc>
          <w:tcPr>
            <w:tcW w:w="0" w:type="auto"/>
            <w:gridSpan w:val="3"/>
            <w:tcMar>
              <w:top w:w="0" w:type="dxa"/>
              <w:left w:w="20" w:type="dxa"/>
              <w:bottom w:w="0" w:type="dxa"/>
              <w:right w:w="20" w:type="dxa"/>
            </w:tcMar>
            <w:vAlign w:val="center"/>
            <w:hideMark/>
          </w:tcPr>
          <w:p w:rsidR="00000000" w:rsidRDefault="001F1FC8">
            <w:pPr>
              <w:rPr>
                <w:rFonts w:eastAsia="Times New Roman"/>
                <w:sz w:val="20"/>
                <w:szCs w:val="20"/>
              </w:rPr>
            </w:pPr>
          </w:p>
        </w:tc>
        <w:tc>
          <w:tcPr>
            <w:tcW w:w="0" w:type="auto"/>
            <w:gridSpan w:val="3"/>
            <w:tcBorders>
              <w:bottom w:val="single" w:sz="4" w:space="0" w:color="000000"/>
            </w:tcBorders>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Gross Proceeds</w:t>
            </w:r>
          </w:p>
        </w:tc>
        <w:tc>
          <w:tcPr>
            <w:tcW w:w="0" w:type="auto"/>
            <w:gridSpan w:val="3"/>
            <w:tcBorders>
              <w:bottom w:val="single" w:sz="4" w:space="0" w:color="000000"/>
            </w:tcBorders>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Dividend Rate</w:t>
            </w:r>
          </w:p>
        </w:tc>
        <w:tc>
          <w:tcPr>
            <w:tcW w:w="0" w:type="auto"/>
            <w:gridSpan w:val="3"/>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Dividen</w:t>
            </w:r>
            <w:r>
              <w:rPr>
                <w:rFonts w:ascii="Arial" w:eastAsia="Times New Roman" w:hAnsi="Arial" w:cs="Arial"/>
                <w:color w:val="000000"/>
                <w:sz w:val="16"/>
                <w:szCs w:val="16"/>
              </w:rPr>
              <w:t>d</w:t>
            </w:r>
            <w:r>
              <w:rPr>
                <w:rFonts w:ascii="Arial" w:eastAsia="Times New Roman" w:hAnsi="Arial" w:cs="Arial"/>
                <w:color w:val="000000"/>
                <w:sz w:val="10"/>
                <w:szCs w:val="10"/>
              </w:rPr>
              <w:t>1</w:t>
            </w:r>
          </w:p>
        </w:tc>
        <w:tc>
          <w:tcPr>
            <w:tcW w:w="0" w:type="auto"/>
            <w:gridSpan w:val="3"/>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Per Share</w:t>
            </w:r>
          </w:p>
          <w:p w:rsidR="00000000" w:rsidRDefault="001F1FC8">
            <w:pPr>
              <w:jc w:val="right"/>
              <w:rPr>
                <w:rFonts w:eastAsia="Times New Roman"/>
              </w:rPr>
            </w:pPr>
            <w:r>
              <w:rPr>
                <w:rFonts w:ascii="Arial" w:eastAsia="Times New Roman" w:hAnsi="Arial" w:cs="Arial"/>
                <w:color w:val="000000"/>
                <w:sz w:val="16"/>
                <w:szCs w:val="16"/>
              </w:rPr>
              <w:t>Base</w:t>
            </w:r>
          </w:p>
          <w:p w:rsidR="00000000" w:rsidRDefault="001F1FC8">
            <w:pPr>
              <w:jc w:val="right"/>
              <w:rPr>
                <w:rFonts w:eastAsia="Times New Roman"/>
              </w:rPr>
            </w:pPr>
            <w:r>
              <w:rPr>
                <w:rFonts w:ascii="Arial" w:eastAsia="Times New Roman" w:hAnsi="Arial" w:cs="Arial"/>
                <w:color w:val="000000"/>
                <w:sz w:val="16"/>
                <w:szCs w:val="16"/>
              </w:rPr>
              <w:t>Redemption</w:t>
            </w:r>
          </w:p>
          <w:p w:rsidR="00000000" w:rsidRDefault="001F1FC8">
            <w:pPr>
              <w:jc w:val="right"/>
              <w:rPr>
                <w:rFonts w:eastAsia="Times New Roman"/>
              </w:rPr>
            </w:pPr>
            <w:r>
              <w:rPr>
                <w:rFonts w:ascii="Arial" w:eastAsia="Times New Roman" w:hAnsi="Arial" w:cs="Arial"/>
                <w:color w:val="000000"/>
                <w:sz w:val="16"/>
                <w:szCs w:val="16"/>
              </w:rPr>
              <w:t>Valu</w:t>
            </w:r>
            <w:r>
              <w:rPr>
                <w:rFonts w:ascii="Arial" w:eastAsia="Times New Roman" w:hAnsi="Arial" w:cs="Arial"/>
                <w:color w:val="000000"/>
                <w:sz w:val="16"/>
                <w:szCs w:val="16"/>
              </w:rPr>
              <w:t>e</w:t>
            </w:r>
            <w:r>
              <w:rPr>
                <w:rFonts w:ascii="Arial" w:eastAsia="Times New Roman" w:hAnsi="Arial" w:cs="Arial"/>
                <w:color w:val="000000"/>
                <w:sz w:val="10"/>
                <w:szCs w:val="10"/>
              </w:rPr>
              <w:t>2</w:t>
            </w:r>
          </w:p>
        </w:tc>
        <w:tc>
          <w:tcPr>
            <w:tcW w:w="0" w:type="auto"/>
            <w:gridSpan w:val="3"/>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Redemption</w:t>
            </w:r>
          </w:p>
          <w:p w:rsidR="00000000" w:rsidRDefault="001F1FC8">
            <w:pPr>
              <w:jc w:val="right"/>
              <w:rPr>
                <w:rFonts w:eastAsia="Times New Roman"/>
              </w:rPr>
            </w:pPr>
            <w:r>
              <w:rPr>
                <w:rFonts w:ascii="Arial" w:eastAsia="Times New Roman" w:hAnsi="Arial" w:cs="Arial"/>
                <w:color w:val="000000"/>
                <w:sz w:val="16"/>
                <w:szCs w:val="16"/>
              </w:rPr>
              <w:t>and Conversion</w:t>
            </w:r>
          </w:p>
          <w:p w:rsidR="00000000" w:rsidRDefault="001F1FC8">
            <w:pPr>
              <w:jc w:val="right"/>
              <w:rPr>
                <w:rFonts w:eastAsia="Times New Roman"/>
              </w:rPr>
            </w:pPr>
            <w:r>
              <w:rPr>
                <w:rFonts w:ascii="Arial" w:eastAsia="Times New Roman" w:hAnsi="Arial" w:cs="Arial"/>
                <w:color w:val="000000"/>
                <w:sz w:val="16"/>
                <w:szCs w:val="16"/>
              </w:rPr>
              <w:t>Option Dat</w:t>
            </w:r>
            <w:r>
              <w:rPr>
                <w:rFonts w:ascii="Arial" w:eastAsia="Times New Roman" w:hAnsi="Arial" w:cs="Arial"/>
                <w:color w:val="000000"/>
                <w:sz w:val="16"/>
                <w:szCs w:val="16"/>
              </w:rPr>
              <w:t>e</w:t>
            </w:r>
            <w:r>
              <w:rPr>
                <w:rFonts w:ascii="Arial" w:eastAsia="Times New Roman" w:hAnsi="Arial" w:cs="Arial"/>
                <w:color w:val="000000"/>
                <w:sz w:val="10"/>
                <w:szCs w:val="10"/>
              </w:rPr>
              <w:t>2,</w:t>
            </w:r>
            <w:r>
              <w:rPr>
                <w:rFonts w:ascii="Arial" w:eastAsia="Times New Roman" w:hAnsi="Arial" w:cs="Arial"/>
                <w:color w:val="000000"/>
                <w:sz w:val="10"/>
                <w:szCs w:val="10"/>
              </w:rPr>
              <w:t>3</w:t>
            </w:r>
          </w:p>
        </w:tc>
        <w:tc>
          <w:tcPr>
            <w:tcW w:w="0" w:type="auto"/>
            <w:gridSpan w:val="3"/>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Right to</w:t>
            </w:r>
          </w:p>
          <w:p w:rsidR="00000000" w:rsidRDefault="001F1FC8">
            <w:pPr>
              <w:jc w:val="right"/>
              <w:rPr>
                <w:rFonts w:eastAsia="Times New Roman"/>
              </w:rPr>
            </w:pPr>
            <w:r>
              <w:rPr>
                <w:rFonts w:ascii="Arial" w:eastAsia="Times New Roman" w:hAnsi="Arial" w:cs="Arial"/>
                <w:color w:val="000000"/>
                <w:sz w:val="16"/>
                <w:szCs w:val="16"/>
              </w:rPr>
              <w:t>Convert</w:t>
            </w:r>
          </w:p>
          <w:p w:rsidR="00000000" w:rsidRDefault="001F1FC8">
            <w:pPr>
              <w:jc w:val="right"/>
              <w:rPr>
                <w:rFonts w:eastAsia="Times New Roman"/>
              </w:rPr>
            </w:pPr>
            <w:r>
              <w:rPr>
                <w:rFonts w:ascii="Arial" w:eastAsia="Times New Roman" w:hAnsi="Arial" w:cs="Arial"/>
                <w:color w:val="000000"/>
                <w:sz w:val="16"/>
                <w:szCs w:val="16"/>
              </w:rPr>
              <w:t>Int</w:t>
            </w:r>
            <w:r>
              <w:rPr>
                <w:rFonts w:ascii="Arial" w:eastAsia="Times New Roman" w:hAnsi="Arial" w:cs="Arial"/>
                <w:color w:val="000000"/>
                <w:sz w:val="16"/>
                <w:szCs w:val="16"/>
              </w:rPr>
              <w:t>o</w:t>
            </w:r>
            <w:r>
              <w:rPr>
                <w:rFonts w:ascii="Arial" w:eastAsia="Times New Roman" w:hAnsi="Arial" w:cs="Arial"/>
                <w:color w:val="000000"/>
                <w:sz w:val="10"/>
                <w:szCs w:val="10"/>
              </w:rPr>
              <w:t>3,</w:t>
            </w:r>
            <w:r>
              <w:rPr>
                <w:rFonts w:ascii="Arial" w:eastAsia="Times New Roman" w:hAnsi="Arial" w:cs="Arial"/>
                <w:color w:val="000000"/>
                <w:sz w:val="10"/>
                <w:szCs w:val="10"/>
              </w:rPr>
              <w:t>4</w:t>
            </w:r>
          </w:p>
        </w:tc>
      </w:tr>
      <w:tr w:rsidR="00000000">
        <w:trPr>
          <w:divId w:val="340742408"/>
        </w:trPr>
        <w:tc>
          <w:tcPr>
            <w:tcW w:w="0" w:type="auto"/>
            <w:gridSpan w:val="9"/>
            <w:tcBorders>
              <w:top w:val="single" w:sz="4" w:space="0" w:color="000000"/>
            </w:tcBorders>
            <w:tcMar>
              <w:top w:w="30" w:type="dxa"/>
              <w:left w:w="20" w:type="dxa"/>
              <w:bottom w:w="30" w:type="dxa"/>
              <w:right w:w="20" w:type="dxa"/>
            </w:tcMar>
            <w:hideMark/>
          </w:tcPr>
          <w:p w:rsidR="00000000" w:rsidRDefault="001F1FC8">
            <w:pPr>
              <w:rPr>
                <w:rFonts w:eastAsia="Times New Roman"/>
              </w:rPr>
            </w:pPr>
            <w:r>
              <w:rPr>
                <w:rFonts w:ascii="Arial" w:eastAsia="Times New Roman" w:hAnsi="Arial" w:cs="Arial"/>
                <w:i/>
                <w:iCs/>
                <w:color w:val="000000"/>
                <w:sz w:val="16"/>
                <w:szCs w:val="16"/>
              </w:rPr>
              <w:t>(Canadian dollars, unless otherwise stated)</w:t>
            </w:r>
          </w:p>
        </w:tc>
        <w:tc>
          <w:tcPr>
            <w:tcW w:w="0" w:type="auto"/>
            <w:gridSpan w:val="3"/>
            <w:tcBorders>
              <w:top w:val="single" w:sz="4" w:space="0" w:color="000000"/>
            </w:tcBorders>
            <w:tcMar>
              <w:top w:w="30" w:type="dxa"/>
              <w:left w:w="20" w:type="dxa"/>
              <w:bottom w:w="30" w:type="dxa"/>
              <w:right w:w="20" w:type="dxa"/>
            </w:tcMar>
            <w:hideMark/>
          </w:tcPr>
          <w:p w:rsidR="00000000" w:rsidRDefault="001F1FC8">
            <w:pPr>
              <w:jc w:val="right"/>
              <w:rPr>
                <w:rFonts w:eastAsia="Times New Roman"/>
              </w:rPr>
            </w:pPr>
            <w:r>
              <w:rPr>
                <w:rFonts w:ascii="Arial" w:eastAsia="Times New Roman" w:hAnsi="Arial" w:cs="Arial"/>
                <w:color w:val="000000"/>
                <w:sz w:val="16"/>
                <w:szCs w:val="16"/>
              </w:rPr>
              <w:t> </w:t>
            </w:r>
          </w:p>
        </w:tc>
        <w:tc>
          <w:tcPr>
            <w:tcW w:w="0" w:type="auto"/>
            <w:gridSpan w:val="3"/>
            <w:tcBorders>
              <w:top w:val="single" w:sz="4" w:space="0" w:color="000000"/>
            </w:tcBorders>
            <w:tcMar>
              <w:top w:w="30" w:type="dxa"/>
              <w:left w:w="20" w:type="dxa"/>
              <w:bottom w:w="30" w:type="dxa"/>
              <w:right w:w="20" w:type="dxa"/>
            </w:tcMar>
            <w:hideMark/>
          </w:tcPr>
          <w:p w:rsidR="00000000" w:rsidRDefault="001F1FC8">
            <w:pPr>
              <w:jc w:val="right"/>
              <w:rPr>
                <w:rFonts w:eastAsia="Times New Roman"/>
              </w:rPr>
            </w:pPr>
            <w:r>
              <w:rPr>
                <w:rFonts w:ascii="Arial" w:eastAsia="Times New Roman" w:hAnsi="Arial" w:cs="Arial"/>
                <w:color w:val="000000"/>
                <w:sz w:val="16"/>
                <w:szCs w:val="16"/>
              </w:rPr>
              <w:t> </w:t>
            </w:r>
          </w:p>
        </w:tc>
        <w:tc>
          <w:tcPr>
            <w:tcW w:w="0" w:type="auto"/>
            <w:gridSpan w:val="3"/>
            <w:tcBorders>
              <w:top w:val="single" w:sz="4" w:space="0" w:color="000000"/>
            </w:tcBorders>
            <w:tcMar>
              <w:top w:w="30" w:type="dxa"/>
              <w:left w:w="20" w:type="dxa"/>
              <w:bottom w:w="30" w:type="dxa"/>
              <w:right w:w="20" w:type="dxa"/>
            </w:tcMar>
            <w:hideMark/>
          </w:tcPr>
          <w:p w:rsidR="00000000" w:rsidRDefault="001F1FC8">
            <w:pPr>
              <w:jc w:val="right"/>
              <w:rPr>
                <w:rFonts w:eastAsia="Times New Roman"/>
              </w:rPr>
            </w:pPr>
            <w:r>
              <w:rPr>
                <w:rFonts w:ascii="Arial" w:eastAsia="Times New Roman" w:hAnsi="Arial" w:cs="Arial"/>
                <w:color w:val="000000"/>
                <w:sz w:val="16"/>
                <w:szCs w:val="16"/>
              </w:rPr>
              <w:t> </w:t>
            </w:r>
          </w:p>
        </w:tc>
        <w:tc>
          <w:tcPr>
            <w:tcW w:w="0" w:type="auto"/>
            <w:gridSpan w:val="3"/>
            <w:tcBorders>
              <w:top w:val="single" w:sz="4" w:space="0" w:color="000000"/>
            </w:tcBorders>
            <w:tcMar>
              <w:top w:w="30" w:type="dxa"/>
              <w:left w:w="20" w:type="dxa"/>
              <w:bottom w:w="30" w:type="dxa"/>
              <w:right w:w="20" w:type="dxa"/>
            </w:tcMar>
            <w:hideMark/>
          </w:tcPr>
          <w:p w:rsidR="00000000" w:rsidRDefault="001F1FC8">
            <w:pPr>
              <w:jc w:val="right"/>
              <w:rPr>
                <w:rFonts w:eastAsia="Times New Roman"/>
              </w:rPr>
            </w:pPr>
            <w:r>
              <w:rPr>
                <w:rFonts w:ascii="Arial" w:eastAsia="Times New Roman" w:hAnsi="Arial" w:cs="Arial"/>
                <w:color w:val="000000"/>
                <w:sz w:val="16"/>
                <w:szCs w:val="16"/>
              </w:rPr>
              <w:t> </w:t>
            </w:r>
          </w:p>
        </w:tc>
      </w:tr>
      <w:tr w:rsidR="00000000">
        <w:trPr>
          <w:divId w:val="340742408"/>
        </w:trPr>
        <w:tc>
          <w:tcPr>
            <w:tcW w:w="0" w:type="auto"/>
            <w:gridSpan w:val="3"/>
            <w:tcMar>
              <w:top w:w="30" w:type="dxa"/>
              <w:left w:w="20" w:type="dxa"/>
              <w:bottom w:w="30" w:type="dxa"/>
              <w:right w:w="20" w:type="dxa"/>
            </w:tcMar>
            <w:vAlign w:val="bottom"/>
            <w:hideMark/>
          </w:tcPr>
          <w:p w:rsidR="00000000" w:rsidRDefault="001F1FC8">
            <w:pPr>
              <w:rPr>
                <w:rFonts w:eastAsia="Times New Roman"/>
              </w:rPr>
            </w:pPr>
            <w:r>
              <w:rPr>
                <w:rFonts w:ascii="Arial" w:eastAsia="Times New Roman" w:hAnsi="Arial" w:cs="Arial"/>
                <w:color w:val="000000"/>
                <w:sz w:val="16"/>
                <w:szCs w:val="16"/>
              </w:rPr>
              <w:t>Series A</w:t>
            </w:r>
          </w:p>
        </w:tc>
        <w:tc>
          <w:tcPr>
            <w:tcW w:w="0" w:type="auto"/>
            <w:gridSpan w:val="3"/>
            <w:tcMar>
              <w:top w:w="30" w:type="dxa"/>
              <w:left w:w="20" w:type="dxa"/>
              <w:bottom w:w="30" w:type="dxa"/>
              <w:right w:w="20" w:type="dxa"/>
            </w:tcMar>
            <w:hideMark/>
          </w:tcPr>
          <w:p w:rsidR="00000000" w:rsidRDefault="001F1FC8">
            <w:pPr>
              <w:jc w:val="right"/>
              <w:rPr>
                <w:rFonts w:eastAsia="Times New Roman"/>
              </w:rPr>
            </w:pPr>
            <w:r>
              <w:rPr>
                <w:rFonts w:ascii="Arial" w:eastAsia="Times New Roman" w:hAnsi="Arial" w:cs="Arial"/>
                <w:color w:val="000000"/>
                <w:sz w:val="16"/>
                <w:szCs w:val="16"/>
              </w:rPr>
              <w:t>$125 million</w:t>
            </w: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5.50 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w:t>
            </w:r>
          </w:p>
        </w:tc>
        <w:tc>
          <w:tcPr>
            <w:tcW w:w="0" w:type="auto"/>
            <w:gridSpan w:val="3"/>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$1.37500</w:t>
            </w:r>
          </w:p>
        </w:tc>
        <w:tc>
          <w:tcPr>
            <w:tcW w:w="0" w:type="auto"/>
            <w:gridSpan w:val="3"/>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$25</w:t>
            </w: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r>
      <w:tr w:rsidR="00000000">
        <w:trPr>
          <w:divId w:val="340742408"/>
        </w:trPr>
        <w:tc>
          <w:tcPr>
            <w:tcW w:w="0" w:type="auto"/>
            <w:gridSpan w:val="3"/>
            <w:tcMar>
              <w:top w:w="30" w:type="dxa"/>
              <w:left w:w="20" w:type="dxa"/>
              <w:bottom w:w="30" w:type="dxa"/>
              <w:right w:w="20" w:type="dxa"/>
            </w:tcMar>
            <w:vAlign w:val="bottom"/>
            <w:hideMark/>
          </w:tcPr>
          <w:p w:rsidR="00000000" w:rsidRDefault="001F1FC8">
            <w:pPr>
              <w:rPr>
                <w:rFonts w:eastAsia="Times New Roman"/>
              </w:rPr>
            </w:pPr>
            <w:r>
              <w:rPr>
                <w:rFonts w:ascii="Arial" w:eastAsia="Times New Roman" w:hAnsi="Arial" w:cs="Arial"/>
                <w:color w:val="000000"/>
                <w:sz w:val="16"/>
                <w:szCs w:val="16"/>
              </w:rPr>
              <w:t>Series B</w:t>
            </w:r>
          </w:p>
        </w:tc>
        <w:tc>
          <w:tcPr>
            <w:tcW w:w="0" w:type="auto"/>
            <w:gridSpan w:val="3"/>
            <w:tcMar>
              <w:top w:w="30" w:type="dxa"/>
              <w:left w:w="20" w:type="dxa"/>
              <w:bottom w:w="30" w:type="dxa"/>
              <w:right w:w="20" w:type="dxa"/>
            </w:tcMar>
            <w:hideMark/>
          </w:tcPr>
          <w:p w:rsidR="00000000" w:rsidRDefault="001F1FC8">
            <w:pPr>
              <w:jc w:val="right"/>
              <w:rPr>
                <w:rFonts w:eastAsia="Times New Roman"/>
              </w:rPr>
            </w:pPr>
            <w:r>
              <w:rPr>
                <w:rFonts w:ascii="Arial" w:eastAsia="Times New Roman" w:hAnsi="Arial" w:cs="Arial"/>
                <w:color w:val="000000"/>
                <w:sz w:val="16"/>
                <w:szCs w:val="16"/>
              </w:rPr>
              <w:t>$457 million</w:t>
            </w: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3.42 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w:t>
            </w:r>
          </w:p>
        </w:tc>
        <w:tc>
          <w:tcPr>
            <w:tcW w:w="0" w:type="auto"/>
            <w:gridSpan w:val="3"/>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$0.85360</w:t>
            </w:r>
          </w:p>
        </w:tc>
        <w:tc>
          <w:tcPr>
            <w:tcW w:w="0" w:type="auto"/>
            <w:gridSpan w:val="3"/>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$25</w:t>
            </w:r>
          </w:p>
        </w:tc>
        <w:tc>
          <w:tcPr>
            <w:tcW w:w="0" w:type="auto"/>
            <w:gridSpan w:val="3"/>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June 1, 2022</w:t>
            </w:r>
          </w:p>
        </w:tc>
        <w:tc>
          <w:tcPr>
            <w:tcW w:w="0" w:type="auto"/>
            <w:gridSpan w:val="3"/>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Series C</w:t>
            </w:r>
          </w:p>
        </w:tc>
      </w:tr>
      <w:tr w:rsidR="00000000">
        <w:trPr>
          <w:divId w:val="340742408"/>
        </w:trPr>
        <w:tc>
          <w:tcPr>
            <w:tcW w:w="0" w:type="auto"/>
            <w:gridSpan w:val="3"/>
            <w:tcMar>
              <w:top w:w="30" w:type="dxa"/>
              <w:left w:w="20" w:type="dxa"/>
              <w:bottom w:w="30" w:type="dxa"/>
              <w:right w:w="20" w:type="dxa"/>
            </w:tcMar>
            <w:vAlign w:val="bottom"/>
            <w:hideMark/>
          </w:tcPr>
          <w:p w:rsidR="00000000" w:rsidRDefault="001F1FC8">
            <w:pPr>
              <w:divId w:val="555549983"/>
              <w:rPr>
                <w:rFonts w:eastAsia="Times New Roman"/>
              </w:rPr>
            </w:pPr>
            <w:r>
              <w:rPr>
                <w:rFonts w:ascii="Arial" w:eastAsia="Times New Roman" w:hAnsi="Arial" w:cs="Arial"/>
                <w:color w:val="000000"/>
                <w:sz w:val="16"/>
                <w:szCs w:val="16"/>
              </w:rPr>
              <w:t xml:space="preserve">Series </w:t>
            </w:r>
            <w:r>
              <w:rPr>
                <w:rFonts w:ascii="Arial" w:eastAsia="Times New Roman" w:hAnsi="Arial" w:cs="Arial"/>
                <w:color w:val="000000"/>
                <w:sz w:val="16"/>
                <w:szCs w:val="16"/>
              </w:rPr>
              <w:t>C</w:t>
            </w:r>
            <w:r>
              <w:rPr>
                <w:rFonts w:ascii="Arial" w:eastAsia="Times New Roman" w:hAnsi="Arial" w:cs="Arial"/>
                <w:color w:val="000000"/>
                <w:sz w:val="10"/>
                <w:szCs w:val="10"/>
              </w:rPr>
              <w:t>5</w:t>
            </w:r>
          </w:p>
        </w:tc>
        <w:tc>
          <w:tcPr>
            <w:tcW w:w="0" w:type="auto"/>
            <w:gridSpan w:val="3"/>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$43 million</w:t>
            </w:r>
          </w:p>
        </w:tc>
        <w:tc>
          <w:tcPr>
            <w:tcW w:w="0" w:type="auto"/>
            <w:gridSpan w:val="3"/>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3-month treasury bill plus 2.40%</w:t>
            </w: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3"/>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$25</w:t>
            </w:r>
          </w:p>
        </w:tc>
        <w:tc>
          <w:tcPr>
            <w:tcW w:w="0" w:type="auto"/>
            <w:gridSpan w:val="3"/>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June 1, 2022</w:t>
            </w:r>
          </w:p>
        </w:tc>
        <w:tc>
          <w:tcPr>
            <w:tcW w:w="0" w:type="auto"/>
            <w:gridSpan w:val="3"/>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Series B</w:t>
            </w:r>
          </w:p>
        </w:tc>
      </w:tr>
      <w:tr w:rsidR="00000000">
        <w:trPr>
          <w:divId w:val="340742408"/>
        </w:trPr>
        <w:tc>
          <w:tcPr>
            <w:tcW w:w="0" w:type="auto"/>
            <w:gridSpan w:val="3"/>
            <w:tcMar>
              <w:top w:w="30" w:type="dxa"/>
              <w:left w:w="20" w:type="dxa"/>
              <w:bottom w:w="30" w:type="dxa"/>
              <w:right w:w="20" w:type="dxa"/>
            </w:tcMar>
            <w:vAlign w:val="bottom"/>
            <w:hideMark/>
          </w:tcPr>
          <w:p w:rsidR="00000000" w:rsidRDefault="001F1FC8">
            <w:pPr>
              <w:rPr>
                <w:rFonts w:eastAsia="Times New Roman"/>
              </w:rPr>
            </w:pPr>
            <w:r>
              <w:rPr>
                <w:rFonts w:ascii="Arial" w:eastAsia="Times New Roman" w:hAnsi="Arial" w:cs="Arial"/>
                <w:color w:val="000000"/>
                <w:sz w:val="16"/>
                <w:szCs w:val="16"/>
              </w:rPr>
              <w:t>Series D</w:t>
            </w:r>
          </w:p>
        </w:tc>
        <w:tc>
          <w:tcPr>
            <w:tcW w:w="0" w:type="auto"/>
            <w:gridSpan w:val="3"/>
            <w:tcMar>
              <w:top w:w="30" w:type="dxa"/>
              <w:left w:w="20" w:type="dxa"/>
              <w:bottom w:w="30" w:type="dxa"/>
              <w:right w:w="20" w:type="dxa"/>
            </w:tcMar>
            <w:hideMark/>
          </w:tcPr>
          <w:p w:rsidR="00000000" w:rsidRDefault="001F1FC8">
            <w:pPr>
              <w:jc w:val="right"/>
              <w:rPr>
                <w:rFonts w:eastAsia="Times New Roman"/>
              </w:rPr>
            </w:pPr>
            <w:r>
              <w:rPr>
                <w:rFonts w:ascii="Arial" w:eastAsia="Times New Roman" w:hAnsi="Arial" w:cs="Arial"/>
                <w:color w:val="000000"/>
                <w:sz w:val="16"/>
                <w:szCs w:val="16"/>
              </w:rPr>
              <w:t>$450 million</w:t>
            </w: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4.46 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w:t>
            </w:r>
          </w:p>
        </w:tc>
        <w:tc>
          <w:tcPr>
            <w:tcW w:w="0" w:type="auto"/>
            <w:gridSpan w:val="3"/>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$1.11500</w:t>
            </w:r>
          </w:p>
        </w:tc>
        <w:tc>
          <w:tcPr>
            <w:tcW w:w="0" w:type="auto"/>
            <w:gridSpan w:val="3"/>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$25</w:t>
            </w:r>
          </w:p>
        </w:tc>
        <w:tc>
          <w:tcPr>
            <w:tcW w:w="0" w:type="auto"/>
            <w:gridSpan w:val="3"/>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March 1, 2023</w:t>
            </w:r>
          </w:p>
        </w:tc>
        <w:tc>
          <w:tcPr>
            <w:tcW w:w="0" w:type="auto"/>
            <w:gridSpan w:val="3"/>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Series E</w:t>
            </w:r>
          </w:p>
        </w:tc>
      </w:tr>
      <w:tr w:rsidR="00000000">
        <w:trPr>
          <w:divId w:val="340742408"/>
        </w:trPr>
        <w:tc>
          <w:tcPr>
            <w:tcW w:w="0" w:type="auto"/>
            <w:gridSpan w:val="3"/>
            <w:tcMar>
              <w:top w:w="30" w:type="dxa"/>
              <w:left w:w="20" w:type="dxa"/>
              <w:bottom w:w="30" w:type="dxa"/>
              <w:right w:w="20" w:type="dxa"/>
            </w:tcMar>
            <w:vAlign w:val="bottom"/>
            <w:hideMark/>
          </w:tcPr>
          <w:p w:rsidR="00000000" w:rsidRDefault="001F1FC8">
            <w:pPr>
              <w:rPr>
                <w:rFonts w:eastAsia="Times New Roman"/>
              </w:rPr>
            </w:pPr>
            <w:r>
              <w:rPr>
                <w:rFonts w:ascii="Arial" w:eastAsia="Times New Roman" w:hAnsi="Arial" w:cs="Arial"/>
                <w:color w:val="000000"/>
                <w:sz w:val="16"/>
                <w:szCs w:val="16"/>
              </w:rPr>
              <w:t>Series F</w:t>
            </w:r>
          </w:p>
        </w:tc>
        <w:tc>
          <w:tcPr>
            <w:tcW w:w="0" w:type="auto"/>
            <w:gridSpan w:val="3"/>
            <w:tcMar>
              <w:top w:w="30" w:type="dxa"/>
              <w:left w:w="20" w:type="dxa"/>
              <w:bottom w:w="30" w:type="dxa"/>
              <w:right w:w="20" w:type="dxa"/>
            </w:tcMar>
            <w:hideMark/>
          </w:tcPr>
          <w:p w:rsidR="00000000" w:rsidRDefault="001F1FC8">
            <w:pPr>
              <w:jc w:val="right"/>
              <w:rPr>
                <w:rFonts w:eastAsia="Times New Roman"/>
              </w:rPr>
            </w:pPr>
            <w:r>
              <w:rPr>
                <w:rFonts w:ascii="Arial" w:eastAsia="Times New Roman" w:hAnsi="Arial" w:cs="Arial"/>
                <w:color w:val="000000"/>
                <w:sz w:val="16"/>
                <w:szCs w:val="16"/>
              </w:rPr>
              <w:t>$500 million</w:t>
            </w: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4.69 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w:t>
            </w:r>
          </w:p>
        </w:tc>
        <w:tc>
          <w:tcPr>
            <w:tcW w:w="0" w:type="auto"/>
            <w:gridSpan w:val="3"/>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$1.17224</w:t>
            </w:r>
          </w:p>
        </w:tc>
        <w:tc>
          <w:tcPr>
            <w:tcW w:w="0" w:type="auto"/>
            <w:gridSpan w:val="3"/>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$25</w:t>
            </w:r>
          </w:p>
        </w:tc>
        <w:tc>
          <w:tcPr>
            <w:tcW w:w="0" w:type="auto"/>
            <w:gridSpan w:val="3"/>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June 1, 2023</w:t>
            </w:r>
          </w:p>
        </w:tc>
        <w:tc>
          <w:tcPr>
            <w:tcW w:w="0" w:type="auto"/>
            <w:gridSpan w:val="3"/>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Series G</w:t>
            </w:r>
          </w:p>
        </w:tc>
      </w:tr>
      <w:tr w:rsidR="00000000">
        <w:trPr>
          <w:divId w:val="340742408"/>
        </w:trPr>
        <w:tc>
          <w:tcPr>
            <w:tcW w:w="0" w:type="auto"/>
            <w:gridSpan w:val="3"/>
            <w:tcMar>
              <w:top w:w="30" w:type="dxa"/>
              <w:left w:w="20" w:type="dxa"/>
              <w:bottom w:w="30" w:type="dxa"/>
              <w:right w:w="20" w:type="dxa"/>
            </w:tcMar>
            <w:vAlign w:val="bottom"/>
            <w:hideMark/>
          </w:tcPr>
          <w:p w:rsidR="00000000" w:rsidRDefault="001F1FC8">
            <w:pPr>
              <w:rPr>
                <w:rFonts w:eastAsia="Times New Roman"/>
              </w:rPr>
            </w:pPr>
            <w:r>
              <w:rPr>
                <w:rFonts w:ascii="Arial" w:eastAsia="Times New Roman" w:hAnsi="Arial" w:cs="Arial"/>
                <w:color w:val="000000"/>
                <w:sz w:val="16"/>
                <w:szCs w:val="16"/>
              </w:rPr>
              <w:t>Series H</w:t>
            </w:r>
          </w:p>
        </w:tc>
        <w:tc>
          <w:tcPr>
            <w:tcW w:w="0" w:type="auto"/>
            <w:gridSpan w:val="3"/>
            <w:tcMar>
              <w:top w:w="30" w:type="dxa"/>
              <w:left w:w="20" w:type="dxa"/>
              <w:bottom w:w="30" w:type="dxa"/>
              <w:right w:w="20" w:type="dxa"/>
            </w:tcMar>
            <w:hideMark/>
          </w:tcPr>
          <w:p w:rsidR="00000000" w:rsidRDefault="001F1FC8">
            <w:pPr>
              <w:jc w:val="right"/>
              <w:rPr>
                <w:rFonts w:eastAsia="Times New Roman"/>
              </w:rPr>
            </w:pPr>
            <w:r>
              <w:rPr>
                <w:rFonts w:ascii="Arial" w:eastAsia="Times New Roman" w:hAnsi="Arial" w:cs="Arial"/>
                <w:color w:val="000000"/>
                <w:sz w:val="16"/>
                <w:szCs w:val="16"/>
              </w:rPr>
              <w:t>$350 million</w:t>
            </w: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4.38 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w:t>
            </w:r>
          </w:p>
        </w:tc>
        <w:tc>
          <w:tcPr>
            <w:tcW w:w="0" w:type="auto"/>
            <w:gridSpan w:val="3"/>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$1.09400</w:t>
            </w:r>
          </w:p>
        </w:tc>
        <w:tc>
          <w:tcPr>
            <w:tcW w:w="0" w:type="auto"/>
            <w:gridSpan w:val="3"/>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$25</w:t>
            </w:r>
          </w:p>
        </w:tc>
        <w:tc>
          <w:tcPr>
            <w:tcW w:w="0" w:type="auto"/>
            <w:gridSpan w:val="3"/>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September 1, 2023</w:t>
            </w:r>
          </w:p>
        </w:tc>
        <w:tc>
          <w:tcPr>
            <w:tcW w:w="0" w:type="auto"/>
            <w:gridSpan w:val="3"/>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Series I</w:t>
            </w:r>
          </w:p>
        </w:tc>
      </w:tr>
      <w:tr w:rsidR="00000000">
        <w:trPr>
          <w:divId w:val="340742408"/>
        </w:trPr>
        <w:tc>
          <w:tcPr>
            <w:tcW w:w="0" w:type="auto"/>
            <w:gridSpan w:val="3"/>
            <w:tcMar>
              <w:top w:w="30" w:type="dxa"/>
              <w:left w:w="20" w:type="dxa"/>
              <w:bottom w:w="30" w:type="dxa"/>
              <w:right w:w="20" w:type="dxa"/>
            </w:tcMar>
            <w:vAlign w:val="bottom"/>
            <w:hideMark/>
          </w:tcPr>
          <w:p w:rsidR="00000000" w:rsidRDefault="001F1FC8">
            <w:pPr>
              <w:rPr>
                <w:rFonts w:eastAsia="Times New Roman"/>
              </w:rPr>
            </w:pPr>
            <w:r>
              <w:rPr>
                <w:rFonts w:ascii="Arial" w:eastAsia="Times New Roman" w:hAnsi="Arial" w:cs="Arial"/>
                <w:color w:val="000000"/>
                <w:sz w:val="16"/>
                <w:szCs w:val="16"/>
              </w:rPr>
              <w:t>Series J</w:t>
            </w:r>
          </w:p>
        </w:tc>
        <w:tc>
          <w:tcPr>
            <w:tcW w:w="0" w:type="auto"/>
            <w:gridSpan w:val="3"/>
            <w:tcMar>
              <w:top w:w="30" w:type="dxa"/>
              <w:left w:w="20" w:type="dxa"/>
              <w:bottom w:w="30" w:type="dxa"/>
              <w:right w:w="20" w:type="dxa"/>
            </w:tcMar>
            <w:hideMark/>
          </w:tcPr>
          <w:p w:rsidR="00000000" w:rsidRDefault="001F1FC8">
            <w:pPr>
              <w:jc w:val="right"/>
              <w:rPr>
                <w:rFonts w:eastAsia="Times New Roman"/>
              </w:rPr>
            </w:pPr>
            <w:r>
              <w:rPr>
                <w:rFonts w:ascii="Arial" w:eastAsia="Times New Roman" w:hAnsi="Arial" w:cs="Arial"/>
                <w:color w:val="000000"/>
                <w:sz w:val="16"/>
                <w:szCs w:val="16"/>
              </w:rPr>
              <w:t>US$200 million</w:t>
            </w: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4.89 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w:t>
            </w:r>
          </w:p>
        </w:tc>
        <w:tc>
          <w:tcPr>
            <w:tcW w:w="0" w:type="auto"/>
            <w:gridSpan w:val="3"/>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US$1.22160</w:t>
            </w:r>
          </w:p>
        </w:tc>
        <w:tc>
          <w:tcPr>
            <w:tcW w:w="0" w:type="auto"/>
            <w:gridSpan w:val="3"/>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US$25</w:t>
            </w:r>
          </w:p>
        </w:tc>
        <w:tc>
          <w:tcPr>
            <w:tcW w:w="0" w:type="auto"/>
            <w:gridSpan w:val="3"/>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June 1, 2022</w:t>
            </w:r>
          </w:p>
        </w:tc>
        <w:tc>
          <w:tcPr>
            <w:tcW w:w="0" w:type="auto"/>
            <w:gridSpan w:val="3"/>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Series K</w:t>
            </w:r>
          </w:p>
        </w:tc>
      </w:tr>
      <w:tr w:rsidR="00000000">
        <w:trPr>
          <w:divId w:val="340742408"/>
        </w:trPr>
        <w:tc>
          <w:tcPr>
            <w:tcW w:w="0" w:type="auto"/>
            <w:gridSpan w:val="3"/>
            <w:tcMar>
              <w:top w:w="30" w:type="dxa"/>
              <w:left w:w="20" w:type="dxa"/>
              <w:bottom w:w="30" w:type="dxa"/>
              <w:right w:w="20" w:type="dxa"/>
            </w:tcMar>
            <w:vAlign w:val="bottom"/>
            <w:hideMark/>
          </w:tcPr>
          <w:p w:rsidR="00000000" w:rsidRDefault="001F1FC8">
            <w:pPr>
              <w:rPr>
                <w:rFonts w:eastAsia="Times New Roman"/>
              </w:rPr>
            </w:pPr>
            <w:r>
              <w:rPr>
                <w:rFonts w:ascii="Arial" w:eastAsia="Times New Roman" w:hAnsi="Arial" w:cs="Arial"/>
                <w:color w:val="000000"/>
                <w:sz w:val="16"/>
                <w:szCs w:val="16"/>
              </w:rPr>
              <w:t>Series L</w:t>
            </w:r>
          </w:p>
        </w:tc>
        <w:tc>
          <w:tcPr>
            <w:tcW w:w="0" w:type="auto"/>
            <w:gridSpan w:val="3"/>
            <w:tcMar>
              <w:top w:w="30" w:type="dxa"/>
              <w:left w:w="20" w:type="dxa"/>
              <w:bottom w:w="30" w:type="dxa"/>
              <w:right w:w="20" w:type="dxa"/>
            </w:tcMar>
            <w:hideMark/>
          </w:tcPr>
          <w:p w:rsidR="00000000" w:rsidRDefault="001F1FC8">
            <w:pPr>
              <w:jc w:val="right"/>
              <w:rPr>
                <w:rFonts w:eastAsia="Times New Roman"/>
              </w:rPr>
            </w:pPr>
            <w:r>
              <w:rPr>
                <w:rFonts w:ascii="Arial" w:eastAsia="Times New Roman" w:hAnsi="Arial" w:cs="Arial"/>
                <w:color w:val="000000"/>
                <w:sz w:val="16"/>
                <w:szCs w:val="16"/>
              </w:rPr>
              <w:t>US$400 million</w:t>
            </w: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4.96 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w:t>
            </w:r>
          </w:p>
        </w:tc>
        <w:tc>
          <w:tcPr>
            <w:tcW w:w="0" w:type="auto"/>
            <w:gridSpan w:val="3"/>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US$1.23972</w:t>
            </w:r>
          </w:p>
        </w:tc>
        <w:tc>
          <w:tcPr>
            <w:tcW w:w="0" w:type="auto"/>
            <w:gridSpan w:val="3"/>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US$25</w:t>
            </w:r>
          </w:p>
        </w:tc>
        <w:tc>
          <w:tcPr>
            <w:tcW w:w="0" w:type="auto"/>
            <w:gridSpan w:val="3"/>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September 1, 2022</w:t>
            </w:r>
          </w:p>
        </w:tc>
        <w:tc>
          <w:tcPr>
            <w:tcW w:w="0" w:type="auto"/>
            <w:gridSpan w:val="3"/>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Series M</w:t>
            </w:r>
          </w:p>
        </w:tc>
      </w:tr>
      <w:tr w:rsidR="00000000">
        <w:trPr>
          <w:divId w:val="340742408"/>
        </w:trPr>
        <w:tc>
          <w:tcPr>
            <w:tcW w:w="0" w:type="auto"/>
            <w:gridSpan w:val="3"/>
            <w:tcMar>
              <w:top w:w="30" w:type="dxa"/>
              <w:left w:w="20" w:type="dxa"/>
              <w:bottom w:w="30" w:type="dxa"/>
              <w:right w:w="20" w:type="dxa"/>
            </w:tcMar>
            <w:vAlign w:val="bottom"/>
            <w:hideMark/>
          </w:tcPr>
          <w:p w:rsidR="00000000" w:rsidRDefault="001F1FC8">
            <w:pPr>
              <w:rPr>
                <w:rFonts w:eastAsia="Times New Roman"/>
              </w:rPr>
            </w:pPr>
            <w:r>
              <w:rPr>
                <w:rFonts w:ascii="Arial" w:eastAsia="Times New Roman" w:hAnsi="Arial" w:cs="Arial"/>
                <w:color w:val="000000"/>
                <w:sz w:val="16"/>
                <w:szCs w:val="16"/>
              </w:rPr>
              <w:t>Series N</w:t>
            </w:r>
          </w:p>
        </w:tc>
        <w:tc>
          <w:tcPr>
            <w:tcW w:w="0" w:type="auto"/>
            <w:gridSpan w:val="3"/>
            <w:tcMar>
              <w:top w:w="30" w:type="dxa"/>
              <w:left w:w="20" w:type="dxa"/>
              <w:bottom w:w="30" w:type="dxa"/>
              <w:right w:w="20" w:type="dxa"/>
            </w:tcMar>
            <w:hideMark/>
          </w:tcPr>
          <w:p w:rsidR="00000000" w:rsidRDefault="001F1FC8">
            <w:pPr>
              <w:jc w:val="right"/>
              <w:rPr>
                <w:rFonts w:eastAsia="Times New Roman"/>
              </w:rPr>
            </w:pPr>
            <w:r>
              <w:rPr>
                <w:rFonts w:ascii="Arial" w:eastAsia="Times New Roman" w:hAnsi="Arial" w:cs="Arial"/>
                <w:color w:val="000000"/>
                <w:sz w:val="16"/>
                <w:szCs w:val="16"/>
              </w:rPr>
              <w:t>$450 million</w:t>
            </w: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5.09 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w:t>
            </w:r>
          </w:p>
        </w:tc>
        <w:tc>
          <w:tcPr>
            <w:tcW w:w="0" w:type="auto"/>
            <w:gridSpan w:val="3"/>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$1.27152</w:t>
            </w:r>
          </w:p>
        </w:tc>
        <w:tc>
          <w:tcPr>
            <w:tcW w:w="0" w:type="auto"/>
            <w:gridSpan w:val="3"/>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$25</w:t>
            </w:r>
          </w:p>
        </w:tc>
        <w:tc>
          <w:tcPr>
            <w:tcW w:w="0" w:type="auto"/>
            <w:gridSpan w:val="3"/>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December 1, 2023</w:t>
            </w:r>
          </w:p>
        </w:tc>
        <w:tc>
          <w:tcPr>
            <w:tcW w:w="0" w:type="auto"/>
            <w:gridSpan w:val="3"/>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Series O</w:t>
            </w:r>
          </w:p>
        </w:tc>
      </w:tr>
      <w:tr w:rsidR="00000000">
        <w:trPr>
          <w:divId w:val="340742408"/>
        </w:trPr>
        <w:tc>
          <w:tcPr>
            <w:tcW w:w="0" w:type="auto"/>
            <w:gridSpan w:val="3"/>
            <w:tcMar>
              <w:top w:w="30" w:type="dxa"/>
              <w:left w:w="20" w:type="dxa"/>
              <w:bottom w:w="30" w:type="dxa"/>
              <w:right w:w="20" w:type="dxa"/>
            </w:tcMar>
            <w:vAlign w:val="bottom"/>
            <w:hideMark/>
          </w:tcPr>
          <w:p w:rsidR="00000000" w:rsidRDefault="001F1FC8">
            <w:pPr>
              <w:rPr>
                <w:rFonts w:eastAsia="Times New Roman"/>
              </w:rPr>
            </w:pPr>
            <w:r>
              <w:rPr>
                <w:rFonts w:ascii="Arial" w:eastAsia="Times New Roman" w:hAnsi="Arial" w:cs="Arial"/>
                <w:color w:val="000000"/>
                <w:sz w:val="16"/>
                <w:szCs w:val="16"/>
              </w:rPr>
              <w:t>Series P</w:t>
            </w:r>
          </w:p>
        </w:tc>
        <w:tc>
          <w:tcPr>
            <w:tcW w:w="0" w:type="auto"/>
            <w:gridSpan w:val="3"/>
            <w:tcMar>
              <w:top w:w="30" w:type="dxa"/>
              <w:left w:w="20" w:type="dxa"/>
              <w:bottom w:w="30" w:type="dxa"/>
              <w:right w:w="20" w:type="dxa"/>
            </w:tcMar>
            <w:hideMark/>
          </w:tcPr>
          <w:p w:rsidR="00000000" w:rsidRDefault="001F1FC8">
            <w:pPr>
              <w:jc w:val="right"/>
              <w:rPr>
                <w:rFonts w:eastAsia="Times New Roman"/>
              </w:rPr>
            </w:pPr>
            <w:r>
              <w:rPr>
                <w:rFonts w:ascii="Arial" w:eastAsia="Times New Roman" w:hAnsi="Arial" w:cs="Arial"/>
                <w:color w:val="000000"/>
                <w:sz w:val="16"/>
                <w:szCs w:val="16"/>
              </w:rPr>
              <w:t>$400 million</w:t>
            </w: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4.38 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w:t>
            </w:r>
          </w:p>
        </w:tc>
        <w:tc>
          <w:tcPr>
            <w:tcW w:w="0" w:type="auto"/>
            <w:gridSpan w:val="3"/>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$1.09476</w:t>
            </w:r>
          </w:p>
        </w:tc>
        <w:tc>
          <w:tcPr>
            <w:tcW w:w="0" w:type="auto"/>
            <w:gridSpan w:val="3"/>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$25</w:t>
            </w:r>
          </w:p>
        </w:tc>
        <w:tc>
          <w:tcPr>
            <w:tcW w:w="0" w:type="auto"/>
            <w:gridSpan w:val="3"/>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March 1, 2024</w:t>
            </w:r>
          </w:p>
        </w:tc>
        <w:tc>
          <w:tcPr>
            <w:tcW w:w="0" w:type="auto"/>
            <w:gridSpan w:val="3"/>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Series Q</w:t>
            </w:r>
          </w:p>
        </w:tc>
      </w:tr>
      <w:tr w:rsidR="00000000">
        <w:trPr>
          <w:divId w:val="340742408"/>
        </w:trPr>
        <w:tc>
          <w:tcPr>
            <w:tcW w:w="0" w:type="auto"/>
            <w:gridSpan w:val="3"/>
            <w:tcMar>
              <w:top w:w="30" w:type="dxa"/>
              <w:left w:w="20" w:type="dxa"/>
              <w:bottom w:w="30" w:type="dxa"/>
              <w:right w:w="20" w:type="dxa"/>
            </w:tcMar>
            <w:vAlign w:val="bottom"/>
            <w:hideMark/>
          </w:tcPr>
          <w:p w:rsidR="00000000" w:rsidRDefault="001F1FC8">
            <w:pPr>
              <w:rPr>
                <w:rFonts w:eastAsia="Times New Roman"/>
              </w:rPr>
            </w:pPr>
            <w:r>
              <w:rPr>
                <w:rFonts w:ascii="Arial" w:eastAsia="Times New Roman" w:hAnsi="Arial" w:cs="Arial"/>
                <w:color w:val="000000"/>
                <w:sz w:val="16"/>
                <w:szCs w:val="16"/>
              </w:rPr>
              <w:t>Series R</w:t>
            </w:r>
          </w:p>
        </w:tc>
        <w:tc>
          <w:tcPr>
            <w:tcW w:w="0" w:type="auto"/>
            <w:gridSpan w:val="3"/>
            <w:tcMar>
              <w:top w:w="30" w:type="dxa"/>
              <w:left w:w="20" w:type="dxa"/>
              <w:bottom w:w="30" w:type="dxa"/>
              <w:right w:w="20" w:type="dxa"/>
            </w:tcMar>
            <w:hideMark/>
          </w:tcPr>
          <w:p w:rsidR="00000000" w:rsidRDefault="001F1FC8">
            <w:pPr>
              <w:jc w:val="right"/>
              <w:rPr>
                <w:rFonts w:eastAsia="Times New Roman"/>
              </w:rPr>
            </w:pPr>
            <w:r>
              <w:rPr>
                <w:rFonts w:ascii="Arial" w:eastAsia="Times New Roman" w:hAnsi="Arial" w:cs="Arial"/>
                <w:color w:val="000000"/>
                <w:sz w:val="16"/>
                <w:szCs w:val="16"/>
              </w:rPr>
              <w:t>$400 million</w:t>
            </w: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4.07 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w:t>
            </w:r>
          </w:p>
        </w:tc>
        <w:tc>
          <w:tcPr>
            <w:tcW w:w="0" w:type="auto"/>
            <w:gridSpan w:val="3"/>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$1.01825</w:t>
            </w:r>
          </w:p>
        </w:tc>
        <w:tc>
          <w:tcPr>
            <w:tcW w:w="0" w:type="auto"/>
            <w:gridSpan w:val="3"/>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$25</w:t>
            </w:r>
          </w:p>
        </w:tc>
        <w:tc>
          <w:tcPr>
            <w:tcW w:w="0" w:type="auto"/>
            <w:gridSpan w:val="3"/>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June 1, 2024</w:t>
            </w:r>
          </w:p>
        </w:tc>
        <w:tc>
          <w:tcPr>
            <w:tcW w:w="0" w:type="auto"/>
            <w:gridSpan w:val="3"/>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Series S</w:t>
            </w:r>
          </w:p>
        </w:tc>
      </w:tr>
      <w:tr w:rsidR="00000000">
        <w:trPr>
          <w:divId w:val="340742408"/>
        </w:trPr>
        <w:tc>
          <w:tcPr>
            <w:tcW w:w="0" w:type="auto"/>
            <w:gridSpan w:val="3"/>
            <w:tcMar>
              <w:top w:w="30" w:type="dxa"/>
              <w:left w:w="20" w:type="dxa"/>
              <w:bottom w:w="30" w:type="dxa"/>
              <w:right w:w="20" w:type="dxa"/>
            </w:tcMar>
            <w:vAlign w:val="bottom"/>
            <w:hideMark/>
          </w:tcPr>
          <w:p w:rsidR="00000000" w:rsidRDefault="001F1FC8">
            <w:pPr>
              <w:rPr>
                <w:rFonts w:eastAsia="Times New Roman"/>
              </w:rPr>
            </w:pPr>
            <w:r>
              <w:rPr>
                <w:rFonts w:ascii="Arial" w:eastAsia="Times New Roman" w:hAnsi="Arial" w:cs="Arial"/>
                <w:color w:val="000000"/>
                <w:sz w:val="16"/>
                <w:szCs w:val="16"/>
              </w:rPr>
              <w:t>Series 1</w:t>
            </w:r>
          </w:p>
        </w:tc>
        <w:tc>
          <w:tcPr>
            <w:tcW w:w="0" w:type="auto"/>
            <w:gridSpan w:val="3"/>
            <w:tcMar>
              <w:top w:w="30" w:type="dxa"/>
              <w:left w:w="20" w:type="dxa"/>
              <w:bottom w:w="30" w:type="dxa"/>
              <w:right w:w="20" w:type="dxa"/>
            </w:tcMar>
            <w:hideMark/>
          </w:tcPr>
          <w:p w:rsidR="00000000" w:rsidRDefault="001F1FC8">
            <w:pPr>
              <w:jc w:val="right"/>
              <w:rPr>
                <w:rFonts w:eastAsia="Times New Roman"/>
              </w:rPr>
            </w:pPr>
            <w:r>
              <w:rPr>
                <w:rFonts w:ascii="Arial" w:eastAsia="Times New Roman" w:hAnsi="Arial" w:cs="Arial"/>
                <w:color w:val="000000"/>
                <w:sz w:val="16"/>
                <w:szCs w:val="16"/>
              </w:rPr>
              <w:t>US$400 million</w:t>
            </w: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5.95 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w:t>
            </w:r>
          </w:p>
        </w:tc>
        <w:tc>
          <w:tcPr>
            <w:tcW w:w="0" w:type="auto"/>
            <w:gridSpan w:val="3"/>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US$1.48728</w:t>
            </w:r>
          </w:p>
        </w:tc>
        <w:tc>
          <w:tcPr>
            <w:tcW w:w="0" w:type="auto"/>
            <w:gridSpan w:val="3"/>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US$25</w:t>
            </w:r>
          </w:p>
        </w:tc>
        <w:tc>
          <w:tcPr>
            <w:tcW w:w="0" w:type="auto"/>
            <w:gridSpan w:val="3"/>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June 1, 2023</w:t>
            </w:r>
          </w:p>
        </w:tc>
        <w:tc>
          <w:tcPr>
            <w:tcW w:w="0" w:type="auto"/>
            <w:gridSpan w:val="3"/>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Series 2</w:t>
            </w:r>
          </w:p>
        </w:tc>
      </w:tr>
      <w:tr w:rsidR="00000000">
        <w:trPr>
          <w:divId w:val="340742408"/>
        </w:trPr>
        <w:tc>
          <w:tcPr>
            <w:tcW w:w="0" w:type="auto"/>
            <w:gridSpan w:val="3"/>
            <w:tcMar>
              <w:top w:w="30" w:type="dxa"/>
              <w:left w:w="20" w:type="dxa"/>
              <w:bottom w:w="30" w:type="dxa"/>
              <w:right w:w="20" w:type="dxa"/>
            </w:tcMar>
            <w:vAlign w:val="bottom"/>
            <w:hideMark/>
          </w:tcPr>
          <w:p w:rsidR="00000000" w:rsidRDefault="001F1FC8">
            <w:pPr>
              <w:rPr>
                <w:rFonts w:eastAsia="Times New Roman"/>
              </w:rPr>
            </w:pPr>
            <w:r>
              <w:rPr>
                <w:rFonts w:ascii="Arial" w:eastAsia="Times New Roman" w:hAnsi="Arial" w:cs="Arial"/>
                <w:color w:val="000000"/>
                <w:sz w:val="16"/>
                <w:szCs w:val="16"/>
              </w:rPr>
              <w:t>Series 3</w:t>
            </w:r>
          </w:p>
        </w:tc>
        <w:tc>
          <w:tcPr>
            <w:tcW w:w="0" w:type="auto"/>
            <w:gridSpan w:val="3"/>
            <w:tcMar>
              <w:top w:w="30" w:type="dxa"/>
              <w:left w:w="20" w:type="dxa"/>
              <w:bottom w:w="30" w:type="dxa"/>
              <w:right w:w="20" w:type="dxa"/>
            </w:tcMar>
            <w:hideMark/>
          </w:tcPr>
          <w:p w:rsidR="00000000" w:rsidRDefault="001F1FC8">
            <w:pPr>
              <w:jc w:val="right"/>
              <w:rPr>
                <w:rFonts w:eastAsia="Times New Roman"/>
              </w:rPr>
            </w:pPr>
            <w:r>
              <w:rPr>
                <w:rFonts w:ascii="Arial" w:eastAsia="Times New Roman" w:hAnsi="Arial" w:cs="Arial"/>
                <w:color w:val="000000"/>
                <w:sz w:val="16"/>
                <w:szCs w:val="16"/>
              </w:rPr>
              <w:t>$600 million</w:t>
            </w: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3.74 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w:t>
            </w:r>
          </w:p>
        </w:tc>
        <w:tc>
          <w:tcPr>
            <w:tcW w:w="0" w:type="auto"/>
            <w:gridSpan w:val="3"/>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$0.93425</w:t>
            </w:r>
          </w:p>
        </w:tc>
        <w:tc>
          <w:tcPr>
            <w:tcW w:w="0" w:type="auto"/>
            <w:gridSpan w:val="3"/>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$25</w:t>
            </w:r>
          </w:p>
        </w:tc>
        <w:tc>
          <w:tcPr>
            <w:tcW w:w="0" w:type="auto"/>
            <w:gridSpan w:val="3"/>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September 1, 2024</w:t>
            </w:r>
          </w:p>
        </w:tc>
        <w:tc>
          <w:tcPr>
            <w:tcW w:w="0" w:type="auto"/>
            <w:gridSpan w:val="3"/>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Series 4</w:t>
            </w:r>
          </w:p>
        </w:tc>
      </w:tr>
      <w:tr w:rsidR="00000000">
        <w:trPr>
          <w:divId w:val="340742408"/>
        </w:trPr>
        <w:tc>
          <w:tcPr>
            <w:tcW w:w="0" w:type="auto"/>
            <w:gridSpan w:val="3"/>
            <w:tcMar>
              <w:top w:w="30" w:type="dxa"/>
              <w:left w:w="20" w:type="dxa"/>
              <w:bottom w:w="30" w:type="dxa"/>
              <w:right w:w="20" w:type="dxa"/>
            </w:tcMar>
            <w:vAlign w:val="bottom"/>
            <w:hideMark/>
          </w:tcPr>
          <w:p w:rsidR="00000000" w:rsidRDefault="001F1FC8">
            <w:pPr>
              <w:rPr>
                <w:rFonts w:eastAsia="Times New Roman"/>
              </w:rPr>
            </w:pPr>
            <w:r>
              <w:rPr>
                <w:rFonts w:ascii="Arial" w:eastAsia="Times New Roman" w:hAnsi="Arial" w:cs="Arial"/>
                <w:color w:val="000000"/>
                <w:sz w:val="16"/>
                <w:szCs w:val="16"/>
              </w:rPr>
              <w:t>Series 5</w:t>
            </w:r>
          </w:p>
        </w:tc>
        <w:tc>
          <w:tcPr>
            <w:tcW w:w="0" w:type="auto"/>
            <w:gridSpan w:val="3"/>
            <w:tcMar>
              <w:top w:w="30" w:type="dxa"/>
              <w:left w:w="20" w:type="dxa"/>
              <w:bottom w:w="30" w:type="dxa"/>
              <w:right w:w="20" w:type="dxa"/>
            </w:tcMar>
            <w:hideMark/>
          </w:tcPr>
          <w:p w:rsidR="00000000" w:rsidRDefault="001F1FC8">
            <w:pPr>
              <w:jc w:val="right"/>
              <w:rPr>
                <w:rFonts w:eastAsia="Times New Roman"/>
              </w:rPr>
            </w:pPr>
            <w:r>
              <w:rPr>
                <w:rFonts w:ascii="Arial" w:eastAsia="Times New Roman" w:hAnsi="Arial" w:cs="Arial"/>
                <w:color w:val="000000"/>
                <w:sz w:val="16"/>
                <w:szCs w:val="16"/>
              </w:rPr>
              <w:t>US$200 million</w:t>
            </w: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5.38 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w:t>
            </w:r>
          </w:p>
        </w:tc>
        <w:tc>
          <w:tcPr>
            <w:tcW w:w="0" w:type="auto"/>
            <w:gridSpan w:val="3"/>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US$1.34383</w:t>
            </w:r>
          </w:p>
        </w:tc>
        <w:tc>
          <w:tcPr>
            <w:tcW w:w="0" w:type="auto"/>
            <w:gridSpan w:val="3"/>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US$25</w:t>
            </w:r>
          </w:p>
        </w:tc>
        <w:tc>
          <w:tcPr>
            <w:tcW w:w="0" w:type="auto"/>
            <w:gridSpan w:val="3"/>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March 1, 2024</w:t>
            </w:r>
          </w:p>
        </w:tc>
        <w:tc>
          <w:tcPr>
            <w:tcW w:w="0" w:type="auto"/>
            <w:gridSpan w:val="3"/>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Series 6</w:t>
            </w:r>
          </w:p>
        </w:tc>
      </w:tr>
      <w:tr w:rsidR="00000000">
        <w:trPr>
          <w:divId w:val="340742408"/>
        </w:trPr>
        <w:tc>
          <w:tcPr>
            <w:tcW w:w="0" w:type="auto"/>
            <w:gridSpan w:val="3"/>
            <w:tcMar>
              <w:top w:w="30" w:type="dxa"/>
              <w:left w:w="20" w:type="dxa"/>
              <w:bottom w:w="30" w:type="dxa"/>
              <w:right w:w="20" w:type="dxa"/>
            </w:tcMar>
            <w:vAlign w:val="bottom"/>
            <w:hideMark/>
          </w:tcPr>
          <w:p w:rsidR="00000000" w:rsidRDefault="001F1FC8">
            <w:pPr>
              <w:rPr>
                <w:rFonts w:eastAsia="Times New Roman"/>
              </w:rPr>
            </w:pPr>
            <w:r>
              <w:rPr>
                <w:rFonts w:ascii="Arial" w:eastAsia="Times New Roman" w:hAnsi="Arial" w:cs="Arial"/>
                <w:color w:val="000000"/>
                <w:sz w:val="16"/>
                <w:szCs w:val="16"/>
              </w:rPr>
              <w:t>Series 7</w:t>
            </w:r>
          </w:p>
        </w:tc>
        <w:tc>
          <w:tcPr>
            <w:tcW w:w="0" w:type="auto"/>
            <w:gridSpan w:val="3"/>
            <w:tcMar>
              <w:top w:w="30" w:type="dxa"/>
              <w:left w:w="20" w:type="dxa"/>
              <w:bottom w:w="30" w:type="dxa"/>
              <w:right w:w="20" w:type="dxa"/>
            </w:tcMar>
            <w:hideMark/>
          </w:tcPr>
          <w:p w:rsidR="00000000" w:rsidRDefault="001F1FC8">
            <w:pPr>
              <w:jc w:val="right"/>
              <w:rPr>
                <w:rFonts w:eastAsia="Times New Roman"/>
              </w:rPr>
            </w:pPr>
            <w:r>
              <w:rPr>
                <w:rFonts w:ascii="Arial" w:eastAsia="Times New Roman" w:hAnsi="Arial" w:cs="Arial"/>
                <w:color w:val="000000"/>
                <w:sz w:val="16"/>
                <w:szCs w:val="16"/>
              </w:rPr>
              <w:t>$250 million</w:t>
            </w: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4.45 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w:t>
            </w:r>
          </w:p>
        </w:tc>
        <w:tc>
          <w:tcPr>
            <w:tcW w:w="0" w:type="auto"/>
            <w:gridSpan w:val="3"/>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$1.11224</w:t>
            </w:r>
          </w:p>
        </w:tc>
        <w:tc>
          <w:tcPr>
            <w:tcW w:w="0" w:type="auto"/>
            <w:gridSpan w:val="3"/>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$25</w:t>
            </w:r>
          </w:p>
        </w:tc>
        <w:tc>
          <w:tcPr>
            <w:tcW w:w="0" w:type="auto"/>
            <w:gridSpan w:val="3"/>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March 1, 2024</w:t>
            </w:r>
          </w:p>
        </w:tc>
        <w:tc>
          <w:tcPr>
            <w:tcW w:w="0" w:type="auto"/>
            <w:gridSpan w:val="3"/>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Series 8</w:t>
            </w:r>
          </w:p>
        </w:tc>
      </w:tr>
      <w:tr w:rsidR="00000000">
        <w:trPr>
          <w:divId w:val="340742408"/>
        </w:trPr>
        <w:tc>
          <w:tcPr>
            <w:tcW w:w="0" w:type="auto"/>
            <w:gridSpan w:val="3"/>
            <w:tcMar>
              <w:top w:w="30" w:type="dxa"/>
              <w:left w:w="20" w:type="dxa"/>
              <w:bottom w:w="30" w:type="dxa"/>
              <w:right w:w="20" w:type="dxa"/>
            </w:tcMar>
            <w:vAlign w:val="bottom"/>
            <w:hideMark/>
          </w:tcPr>
          <w:p w:rsidR="00000000" w:rsidRDefault="001F1FC8">
            <w:pPr>
              <w:rPr>
                <w:rFonts w:eastAsia="Times New Roman"/>
              </w:rPr>
            </w:pPr>
            <w:r>
              <w:rPr>
                <w:rFonts w:ascii="Arial" w:eastAsia="Times New Roman" w:hAnsi="Arial" w:cs="Arial"/>
                <w:color w:val="000000"/>
                <w:sz w:val="16"/>
                <w:szCs w:val="16"/>
              </w:rPr>
              <w:t>Series 9</w:t>
            </w:r>
          </w:p>
        </w:tc>
        <w:tc>
          <w:tcPr>
            <w:tcW w:w="0" w:type="auto"/>
            <w:gridSpan w:val="3"/>
            <w:tcMar>
              <w:top w:w="30" w:type="dxa"/>
              <w:left w:w="20" w:type="dxa"/>
              <w:bottom w:w="30" w:type="dxa"/>
              <w:right w:w="20" w:type="dxa"/>
            </w:tcMar>
            <w:hideMark/>
          </w:tcPr>
          <w:p w:rsidR="00000000" w:rsidRDefault="001F1FC8">
            <w:pPr>
              <w:jc w:val="right"/>
              <w:rPr>
                <w:rFonts w:eastAsia="Times New Roman"/>
              </w:rPr>
            </w:pPr>
            <w:r>
              <w:rPr>
                <w:rFonts w:ascii="Arial" w:eastAsia="Times New Roman" w:hAnsi="Arial" w:cs="Arial"/>
                <w:color w:val="000000"/>
                <w:sz w:val="16"/>
                <w:szCs w:val="16"/>
              </w:rPr>
              <w:t>$275 million</w:t>
            </w: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4.10 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w:t>
            </w:r>
          </w:p>
        </w:tc>
        <w:tc>
          <w:tcPr>
            <w:tcW w:w="0" w:type="auto"/>
            <w:gridSpan w:val="3"/>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$1.02424</w:t>
            </w:r>
          </w:p>
        </w:tc>
        <w:tc>
          <w:tcPr>
            <w:tcW w:w="0" w:type="auto"/>
            <w:gridSpan w:val="3"/>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$25</w:t>
            </w:r>
          </w:p>
        </w:tc>
        <w:tc>
          <w:tcPr>
            <w:tcW w:w="0" w:type="auto"/>
            <w:gridSpan w:val="3"/>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December 1, 2024</w:t>
            </w:r>
          </w:p>
        </w:tc>
        <w:tc>
          <w:tcPr>
            <w:tcW w:w="0" w:type="auto"/>
            <w:gridSpan w:val="3"/>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Series 10</w:t>
            </w:r>
          </w:p>
        </w:tc>
      </w:tr>
      <w:tr w:rsidR="00000000">
        <w:trPr>
          <w:divId w:val="340742408"/>
        </w:trPr>
        <w:tc>
          <w:tcPr>
            <w:tcW w:w="0" w:type="auto"/>
            <w:gridSpan w:val="3"/>
            <w:tcMar>
              <w:top w:w="30" w:type="dxa"/>
              <w:left w:w="20" w:type="dxa"/>
              <w:bottom w:w="30" w:type="dxa"/>
              <w:right w:w="20" w:type="dxa"/>
            </w:tcMar>
            <w:vAlign w:val="bottom"/>
            <w:hideMark/>
          </w:tcPr>
          <w:p w:rsidR="00000000" w:rsidRDefault="001F1FC8">
            <w:pPr>
              <w:rPr>
                <w:rFonts w:eastAsia="Times New Roman"/>
              </w:rPr>
            </w:pPr>
            <w:r>
              <w:rPr>
                <w:rFonts w:ascii="Arial" w:eastAsia="Times New Roman" w:hAnsi="Arial" w:cs="Arial"/>
                <w:color w:val="000000"/>
                <w:sz w:val="16"/>
                <w:szCs w:val="16"/>
              </w:rPr>
              <w:t>Series 11</w:t>
            </w:r>
          </w:p>
        </w:tc>
        <w:tc>
          <w:tcPr>
            <w:tcW w:w="0" w:type="auto"/>
            <w:gridSpan w:val="3"/>
            <w:tcMar>
              <w:top w:w="30" w:type="dxa"/>
              <w:left w:w="20" w:type="dxa"/>
              <w:bottom w:w="30" w:type="dxa"/>
              <w:right w:w="20" w:type="dxa"/>
            </w:tcMar>
            <w:hideMark/>
          </w:tcPr>
          <w:p w:rsidR="00000000" w:rsidRDefault="001F1FC8">
            <w:pPr>
              <w:jc w:val="right"/>
              <w:rPr>
                <w:rFonts w:eastAsia="Times New Roman"/>
              </w:rPr>
            </w:pPr>
            <w:r>
              <w:rPr>
                <w:rFonts w:ascii="Arial" w:eastAsia="Times New Roman" w:hAnsi="Arial" w:cs="Arial"/>
                <w:color w:val="000000"/>
                <w:sz w:val="16"/>
                <w:szCs w:val="16"/>
              </w:rPr>
              <w:t>$500 million</w:t>
            </w: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3.94 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w:t>
            </w:r>
          </w:p>
        </w:tc>
        <w:tc>
          <w:tcPr>
            <w:tcW w:w="0" w:type="auto"/>
            <w:gridSpan w:val="3"/>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$0.98452</w:t>
            </w:r>
          </w:p>
        </w:tc>
        <w:tc>
          <w:tcPr>
            <w:tcW w:w="0" w:type="auto"/>
            <w:gridSpan w:val="3"/>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$25</w:t>
            </w:r>
          </w:p>
        </w:tc>
        <w:tc>
          <w:tcPr>
            <w:tcW w:w="0" w:type="auto"/>
            <w:gridSpan w:val="3"/>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March 1, 2025</w:t>
            </w:r>
          </w:p>
        </w:tc>
        <w:tc>
          <w:tcPr>
            <w:tcW w:w="0" w:type="auto"/>
            <w:gridSpan w:val="3"/>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Series 12</w:t>
            </w:r>
          </w:p>
        </w:tc>
      </w:tr>
      <w:tr w:rsidR="00000000">
        <w:trPr>
          <w:divId w:val="340742408"/>
        </w:trPr>
        <w:tc>
          <w:tcPr>
            <w:tcW w:w="0" w:type="auto"/>
            <w:gridSpan w:val="3"/>
            <w:tcMar>
              <w:top w:w="30" w:type="dxa"/>
              <w:left w:w="20" w:type="dxa"/>
              <w:bottom w:w="30" w:type="dxa"/>
              <w:right w:w="20" w:type="dxa"/>
            </w:tcMar>
            <w:vAlign w:val="bottom"/>
            <w:hideMark/>
          </w:tcPr>
          <w:p w:rsidR="00000000" w:rsidRDefault="001F1FC8">
            <w:pPr>
              <w:rPr>
                <w:rFonts w:eastAsia="Times New Roman"/>
              </w:rPr>
            </w:pPr>
            <w:r>
              <w:rPr>
                <w:rFonts w:ascii="Arial" w:eastAsia="Times New Roman" w:hAnsi="Arial" w:cs="Arial"/>
                <w:color w:val="000000"/>
                <w:sz w:val="16"/>
                <w:szCs w:val="16"/>
              </w:rPr>
              <w:t>Series 13</w:t>
            </w:r>
          </w:p>
        </w:tc>
        <w:tc>
          <w:tcPr>
            <w:tcW w:w="0" w:type="auto"/>
            <w:gridSpan w:val="3"/>
            <w:tcMar>
              <w:top w:w="30" w:type="dxa"/>
              <w:left w:w="20" w:type="dxa"/>
              <w:bottom w:w="30" w:type="dxa"/>
              <w:right w:w="20" w:type="dxa"/>
            </w:tcMar>
            <w:hideMark/>
          </w:tcPr>
          <w:p w:rsidR="00000000" w:rsidRDefault="001F1FC8">
            <w:pPr>
              <w:jc w:val="right"/>
              <w:rPr>
                <w:rFonts w:eastAsia="Times New Roman"/>
              </w:rPr>
            </w:pPr>
            <w:r>
              <w:rPr>
                <w:rFonts w:ascii="Arial" w:eastAsia="Times New Roman" w:hAnsi="Arial" w:cs="Arial"/>
                <w:color w:val="000000"/>
                <w:sz w:val="16"/>
                <w:szCs w:val="16"/>
              </w:rPr>
              <w:t>$350 million</w:t>
            </w: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3.04 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w:t>
            </w:r>
          </w:p>
        </w:tc>
        <w:tc>
          <w:tcPr>
            <w:tcW w:w="0" w:type="auto"/>
            <w:gridSpan w:val="3"/>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$0.76076</w:t>
            </w:r>
          </w:p>
        </w:tc>
        <w:tc>
          <w:tcPr>
            <w:tcW w:w="0" w:type="auto"/>
            <w:gridSpan w:val="3"/>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$25</w:t>
            </w:r>
          </w:p>
        </w:tc>
        <w:tc>
          <w:tcPr>
            <w:tcW w:w="0" w:type="auto"/>
            <w:gridSpan w:val="3"/>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June 1, 2025</w:t>
            </w:r>
          </w:p>
        </w:tc>
        <w:tc>
          <w:tcPr>
            <w:tcW w:w="0" w:type="auto"/>
            <w:gridSpan w:val="3"/>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Series 14</w:t>
            </w:r>
          </w:p>
        </w:tc>
      </w:tr>
      <w:tr w:rsidR="00000000">
        <w:trPr>
          <w:divId w:val="340742408"/>
        </w:trPr>
        <w:tc>
          <w:tcPr>
            <w:tcW w:w="0" w:type="auto"/>
            <w:gridSpan w:val="3"/>
            <w:tcMar>
              <w:top w:w="30" w:type="dxa"/>
              <w:left w:w="20" w:type="dxa"/>
              <w:bottom w:w="30" w:type="dxa"/>
              <w:right w:w="20" w:type="dxa"/>
            </w:tcMar>
            <w:vAlign w:val="bottom"/>
            <w:hideMark/>
          </w:tcPr>
          <w:p w:rsidR="00000000" w:rsidRDefault="001F1FC8">
            <w:pPr>
              <w:rPr>
                <w:rFonts w:eastAsia="Times New Roman"/>
              </w:rPr>
            </w:pPr>
            <w:r>
              <w:rPr>
                <w:rFonts w:ascii="Arial" w:eastAsia="Times New Roman" w:hAnsi="Arial" w:cs="Arial"/>
                <w:color w:val="000000"/>
                <w:sz w:val="16"/>
                <w:szCs w:val="16"/>
              </w:rPr>
              <w:t>Series 15</w:t>
            </w:r>
          </w:p>
        </w:tc>
        <w:tc>
          <w:tcPr>
            <w:tcW w:w="0" w:type="auto"/>
            <w:gridSpan w:val="3"/>
            <w:tcMar>
              <w:top w:w="30" w:type="dxa"/>
              <w:left w:w="20" w:type="dxa"/>
              <w:bottom w:w="30" w:type="dxa"/>
              <w:right w:w="20" w:type="dxa"/>
            </w:tcMar>
            <w:hideMark/>
          </w:tcPr>
          <w:p w:rsidR="00000000" w:rsidRDefault="001F1FC8">
            <w:pPr>
              <w:jc w:val="right"/>
              <w:rPr>
                <w:rFonts w:eastAsia="Times New Roman"/>
              </w:rPr>
            </w:pPr>
            <w:r>
              <w:rPr>
                <w:rFonts w:ascii="Arial" w:eastAsia="Times New Roman" w:hAnsi="Arial" w:cs="Arial"/>
                <w:color w:val="000000"/>
                <w:sz w:val="16"/>
                <w:szCs w:val="16"/>
              </w:rPr>
              <w:t>$275 million</w:t>
            </w: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2.98 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w:t>
            </w:r>
          </w:p>
        </w:tc>
        <w:tc>
          <w:tcPr>
            <w:tcW w:w="0" w:type="auto"/>
            <w:gridSpan w:val="3"/>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$0.74576</w:t>
            </w:r>
          </w:p>
        </w:tc>
        <w:tc>
          <w:tcPr>
            <w:tcW w:w="0" w:type="auto"/>
            <w:gridSpan w:val="3"/>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$25</w:t>
            </w:r>
          </w:p>
        </w:tc>
        <w:tc>
          <w:tcPr>
            <w:tcW w:w="0" w:type="auto"/>
            <w:gridSpan w:val="3"/>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September 1, 2025</w:t>
            </w:r>
          </w:p>
        </w:tc>
        <w:tc>
          <w:tcPr>
            <w:tcW w:w="0" w:type="auto"/>
            <w:gridSpan w:val="3"/>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Series 16</w:t>
            </w:r>
          </w:p>
        </w:tc>
      </w:tr>
      <w:tr w:rsidR="00000000">
        <w:trPr>
          <w:divId w:val="340742408"/>
        </w:trPr>
        <w:tc>
          <w:tcPr>
            <w:tcW w:w="0" w:type="auto"/>
            <w:gridSpan w:val="3"/>
            <w:tcMar>
              <w:top w:w="30" w:type="dxa"/>
              <w:left w:w="20" w:type="dxa"/>
              <w:bottom w:w="30" w:type="dxa"/>
              <w:right w:w="20" w:type="dxa"/>
            </w:tcMar>
            <w:vAlign w:val="bottom"/>
            <w:hideMark/>
          </w:tcPr>
          <w:p w:rsidR="00000000" w:rsidRDefault="001F1FC8">
            <w:pPr>
              <w:rPr>
                <w:rFonts w:eastAsia="Times New Roman"/>
              </w:rPr>
            </w:pPr>
            <w:r>
              <w:rPr>
                <w:rFonts w:ascii="Arial" w:eastAsia="Times New Roman" w:hAnsi="Arial" w:cs="Arial"/>
                <w:color w:val="000000"/>
                <w:sz w:val="16"/>
                <w:szCs w:val="16"/>
              </w:rPr>
              <w:t>Series 17</w:t>
            </w:r>
          </w:p>
        </w:tc>
        <w:tc>
          <w:tcPr>
            <w:tcW w:w="0" w:type="auto"/>
            <w:gridSpan w:val="3"/>
            <w:tcMar>
              <w:top w:w="30" w:type="dxa"/>
              <w:left w:w="20" w:type="dxa"/>
              <w:bottom w:w="30" w:type="dxa"/>
              <w:right w:w="20" w:type="dxa"/>
            </w:tcMar>
            <w:hideMark/>
          </w:tcPr>
          <w:p w:rsidR="00000000" w:rsidRDefault="001F1FC8">
            <w:pPr>
              <w:jc w:val="right"/>
              <w:rPr>
                <w:rFonts w:eastAsia="Times New Roman"/>
              </w:rPr>
            </w:pPr>
            <w:r>
              <w:rPr>
                <w:rFonts w:ascii="Arial" w:eastAsia="Times New Roman" w:hAnsi="Arial" w:cs="Arial"/>
                <w:color w:val="000000"/>
                <w:sz w:val="16"/>
                <w:szCs w:val="16"/>
              </w:rPr>
              <w:t>$750 million</w:t>
            </w: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5.15 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w:t>
            </w:r>
          </w:p>
        </w:tc>
        <w:tc>
          <w:tcPr>
            <w:tcW w:w="0" w:type="auto"/>
            <w:gridSpan w:val="3"/>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$1.28750</w:t>
            </w:r>
          </w:p>
        </w:tc>
        <w:tc>
          <w:tcPr>
            <w:tcW w:w="0" w:type="auto"/>
            <w:gridSpan w:val="3"/>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$25</w:t>
            </w:r>
          </w:p>
        </w:tc>
        <w:tc>
          <w:tcPr>
            <w:tcW w:w="0" w:type="auto"/>
            <w:gridSpan w:val="3"/>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March 1, 2022</w:t>
            </w:r>
          </w:p>
        </w:tc>
        <w:tc>
          <w:tcPr>
            <w:tcW w:w="0" w:type="auto"/>
            <w:gridSpan w:val="3"/>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Series 18</w:t>
            </w:r>
          </w:p>
        </w:tc>
      </w:tr>
      <w:tr w:rsidR="00000000">
        <w:trPr>
          <w:divId w:val="340742408"/>
        </w:trPr>
        <w:tc>
          <w:tcPr>
            <w:tcW w:w="0" w:type="auto"/>
            <w:gridSpan w:val="3"/>
            <w:tcBorders>
              <w:bottom w:val="single" w:sz="8" w:space="0" w:color="000000"/>
            </w:tcBorders>
            <w:tcMar>
              <w:top w:w="30" w:type="dxa"/>
              <w:left w:w="20" w:type="dxa"/>
              <w:bottom w:w="30" w:type="dxa"/>
              <w:right w:w="20" w:type="dxa"/>
            </w:tcMar>
            <w:vAlign w:val="bottom"/>
            <w:hideMark/>
          </w:tcPr>
          <w:p w:rsidR="00000000" w:rsidRDefault="001F1FC8">
            <w:pPr>
              <w:rPr>
                <w:rFonts w:eastAsia="Times New Roman"/>
              </w:rPr>
            </w:pPr>
            <w:r>
              <w:rPr>
                <w:rFonts w:ascii="Arial" w:eastAsia="Times New Roman" w:hAnsi="Arial" w:cs="Arial"/>
                <w:color w:val="000000"/>
                <w:sz w:val="16"/>
                <w:szCs w:val="16"/>
              </w:rPr>
              <w:t>Series 19</w:t>
            </w:r>
          </w:p>
        </w:tc>
        <w:tc>
          <w:tcPr>
            <w:tcW w:w="0" w:type="auto"/>
            <w:gridSpan w:val="3"/>
            <w:tcBorders>
              <w:bottom w:val="single" w:sz="8" w:space="0" w:color="000000"/>
            </w:tcBorders>
            <w:tcMar>
              <w:top w:w="30" w:type="dxa"/>
              <w:left w:w="20" w:type="dxa"/>
              <w:bottom w:w="30" w:type="dxa"/>
              <w:right w:w="20" w:type="dxa"/>
            </w:tcMar>
            <w:hideMark/>
          </w:tcPr>
          <w:p w:rsidR="00000000" w:rsidRDefault="001F1FC8">
            <w:pPr>
              <w:jc w:val="right"/>
              <w:rPr>
                <w:rFonts w:eastAsia="Times New Roman"/>
              </w:rPr>
            </w:pPr>
            <w:r>
              <w:rPr>
                <w:rFonts w:ascii="Arial" w:eastAsia="Times New Roman" w:hAnsi="Arial" w:cs="Arial"/>
                <w:color w:val="000000"/>
                <w:sz w:val="16"/>
                <w:szCs w:val="16"/>
              </w:rPr>
              <w:t>$500 million</w:t>
            </w:r>
          </w:p>
        </w:tc>
        <w:tc>
          <w:tcPr>
            <w:tcW w:w="0" w:type="auto"/>
            <w:gridSpan w:val="2"/>
            <w:tcBorders>
              <w:bottom w:val="single" w:sz="8" w:space="0" w:color="000000"/>
            </w:tcBorders>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4.90 </w:t>
            </w:r>
          </w:p>
        </w:tc>
        <w:tc>
          <w:tcPr>
            <w:tcW w:w="0" w:type="auto"/>
            <w:tcBorders>
              <w:bottom w:val="single" w:sz="8" w:space="0" w:color="000000"/>
            </w:tcBorders>
            <w:tcMar>
              <w:top w:w="30" w:type="dxa"/>
              <w:left w:w="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w:t>
            </w: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$1.22500</w:t>
            </w: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$25</w:t>
            </w: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March 1, 2023</w:t>
            </w: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Series 20</w:t>
            </w:r>
          </w:p>
        </w:tc>
      </w:tr>
    </w:tbl>
    <w:p w:rsidR="00000000" w:rsidRDefault="001F1FC8">
      <w:pPr>
        <w:ind w:hanging="180"/>
        <w:divId w:val="805393189"/>
        <w:rPr>
          <w:rFonts w:eastAsia="Times New Roman"/>
        </w:rPr>
      </w:pPr>
      <w:r>
        <w:rPr>
          <w:rFonts w:ascii="Arial" w:eastAsia="Times New Roman" w:hAnsi="Arial" w:cs="Arial"/>
          <w:i/>
          <w:iCs/>
          <w:color w:val="000000"/>
          <w:sz w:val="16"/>
          <w:szCs w:val="16"/>
        </w:rPr>
        <w:t>1</w:t>
      </w:r>
      <w:r>
        <w:rPr>
          <w:rFonts w:ascii="Arial" w:eastAsia="Times New Roman" w:hAnsi="Arial" w:cs="Arial"/>
          <w:i/>
          <w:iCs/>
          <w:color w:val="000000"/>
          <w:sz w:val="16"/>
          <w:szCs w:val="16"/>
        </w:rPr>
        <w:t xml:space="preserve">The holder is entitled to receive a fixed, cumulative, quarterly preferential dividend, as declared by the Board of Directors. With the exception of Series A and Series C Preference Shares, such fixed dividend rate resets every five years beginning on the </w:t>
      </w:r>
      <w:r>
        <w:rPr>
          <w:rFonts w:ascii="Arial" w:eastAsia="Times New Roman" w:hAnsi="Arial" w:cs="Arial"/>
          <w:i/>
          <w:iCs/>
          <w:color w:val="000000"/>
          <w:sz w:val="16"/>
          <w:szCs w:val="16"/>
        </w:rPr>
        <w:t>initial redemption and conversion option date. The Series 17 and Series 19 Preference Shares contain a feature where the fixed dividend rate, when reset every five years, will not be less than 5.15% and 4.90%, respectively. No other series of Preference Sh</w:t>
      </w:r>
      <w:r>
        <w:rPr>
          <w:rFonts w:ascii="Arial" w:eastAsia="Times New Roman" w:hAnsi="Arial" w:cs="Arial"/>
          <w:i/>
          <w:iCs/>
          <w:color w:val="000000"/>
          <w:sz w:val="16"/>
          <w:szCs w:val="16"/>
        </w:rPr>
        <w:t>ares has this feature.</w:t>
      </w:r>
    </w:p>
    <w:p w:rsidR="00000000" w:rsidRDefault="001F1FC8">
      <w:pPr>
        <w:ind w:hanging="180"/>
        <w:divId w:val="1323317831"/>
        <w:rPr>
          <w:rFonts w:eastAsia="Times New Roman"/>
        </w:rPr>
      </w:pPr>
      <w:r>
        <w:rPr>
          <w:rFonts w:ascii="Arial" w:eastAsia="Times New Roman" w:hAnsi="Arial" w:cs="Arial"/>
          <w:i/>
          <w:iCs/>
          <w:color w:val="000000"/>
          <w:sz w:val="16"/>
          <w:szCs w:val="16"/>
        </w:rPr>
        <w:t>2Series A Preference Shares may be redeemed any time at our option. For all other series of Preference Shares, we may at our option, redeem all or a portion of the outstanding Preference Shares for the Base Redemption Value per share</w:t>
      </w:r>
      <w:r>
        <w:rPr>
          <w:rFonts w:ascii="Arial" w:eastAsia="Times New Roman" w:hAnsi="Arial" w:cs="Arial"/>
          <w:i/>
          <w:iCs/>
          <w:color w:val="000000"/>
          <w:sz w:val="16"/>
          <w:szCs w:val="16"/>
        </w:rPr>
        <w:t xml:space="preserve"> plus all accrued and unpaid dividends on the Redemption Option Date and on every fifth anniversary thereafter.</w:t>
      </w:r>
    </w:p>
    <w:p w:rsidR="00000000" w:rsidRDefault="001F1FC8">
      <w:pPr>
        <w:ind w:hanging="180"/>
        <w:divId w:val="1419206181"/>
        <w:rPr>
          <w:rFonts w:eastAsia="Times New Roman"/>
        </w:rPr>
      </w:pPr>
      <w:r>
        <w:rPr>
          <w:rFonts w:ascii="Arial" w:eastAsia="Times New Roman" w:hAnsi="Arial" w:cs="Arial"/>
          <w:i/>
          <w:iCs/>
          <w:color w:val="000000"/>
          <w:sz w:val="16"/>
          <w:szCs w:val="16"/>
        </w:rPr>
        <w:t>3The holder will have the right, subject to certain conditions, to convert their shares into Cumulative Redeemable Preference Shares of a specif</w:t>
      </w:r>
      <w:r>
        <w:rPr>
          <w:rFonts w:ascii="Arial" w:eastAsia="Times New Roman" w:hAnsi="Arial" w:cs="Arial"/>
          <w:i/>
          <w:iCs/>
          <w:color w:val="000000"/>
          <w:sz w:val="16"/>
          <w:szCs w:val="16"/>
        </w:rPr>
        <w:t>ied series on a one-for-one basis on the Conversion Option Date and every fifth anniversary thereafter at an ascribed issue price equal to the Base Redemption Value.</w:t>
      </w:r>
    </w:p>
    <w:p w:rsidR="00000000" w:rsidRDefault="001F1FC8">
      <w:pPr>
        <w:ind w:hanging="180"/>
        <w:divId w:val="1137146872"/>
        <w:rPr>
          <w:rFonts w:eastAsia="Times New Roman"/>
        </w:rPr>
      </w:pPr>
      <w:r>
        <w:rPr>
          <w:rFonts w:ascii="Arial" w:eastAsia="Times New Roman" w:hAnsi="Arial" w:cs="Arial"/>
          <w:i/>
          <w:iCs/>
          <w:color w:val="000000"/>
          <w:sz w:val="16"/>
          <w:szCs w:val="16"/>
        </w:rPr>
        <w:t>4With the exception of Series A Preference Shares, after the redemption and conversion opt</w:t>
      </w:r>
      <w:r>
        <w:rPr>
          <w:rFonts w:ascii="Arial" w:eastAsia="Times New Roman" w:hAnsi="Arial" w:cs="Arial"/>
          <w:i/>
          <w:iCs/>
          <w:color w:val="000000"/>
          <w:sz w:val="16"/>
          <w:szCs w:val="16"/>
        </w:rPr>
        <w:t xml:space="preserve">ion dates, holders may elect to receive quarterly floating rate cumulative dividends per share at a rate equal to: $25 x (number of days in quarter/number of days in a year) x three-month Government of Canada treasury bill rate </w:t>
      </w:r>
      <w:r>
        <w:rPr>
          <w:rFonts w:ascii="Arial" w:eastAsia="Times New Roman" w:hAnsi="Arial" w:cs="Arial"/>
          <w:color w:val="000000"/>
          <w:sz w:val="16"/>
          <w:szCs w:val="16"/>
        </w:rPr>
        <w:t>+</w:t>
      </w:r>
      <w:r>
        <w:rPr>
          <w:rFonts w:ascii="Arial" w:eastAsia="Times New Roman" w:hAnsi="Arial" w:cs="Arial"/>
          <w:i/>
          <w:iCs/>
          <w:color w:val="000000"/>
          <w:sz w:val="16"/>
          <w:szCs w:val="16"/>
        </w:rPr>
        <w:t xml:space="preserve"> 2.4% (Series C), 2.4% (Ser</w:t>
      </w:r>
      <w:r>
        <w:rPr>
          <w:rFonts w:ascii="Arial" w:eastAsia="Times New Roman" w:hAnsi="Arial" w:cs="Arial"/>
          <w:i/>
          <w:iCs/>
          <w:color w:val="000000"/>
          <w:sz w:val="16"/>
          <w:szCs w:val="16"/>
        </w:rPr>
        <w:t xml:space="preserve">ies E), 2.5% (Series G), 2.1% (Series I), 2.7% (Series O), 2.5% (Series Q), 2.5% (Series S), 2.4% (Series 4), 2.6% (Series 8), 2.7% (Series 10), 2.6% (Series 12), 2.7% (Series 14), 2.7% (Series 16), 4.1% (Series 18) or 3.2% (Series 20); or US$25 x (number </w:t>
      </w:r>
      <w:r>
        <w:rPr>
          <w:rFonts w:ascii="Arial" w:eastAsia="Times New Roman" w:hAnsi="Arial" w:cs="Arial"/>
          <w:i/>
          <w:iCs/>
          <w:color w:val="000000"/>
          <w:sz w:val="16"/>
          <w:szCs w:val="16"/>
        </w:rPr>
        <w:t>of days in quarter/number of days in a year) x three-month US Government treasury bill rate + 3.1% (Series K), 3.2% (Series M), 3.1% (Series 2) or 2.8% (Series 6).</w:t>
      </w:r>
    </w:p>
    <w:p w:rsidR="00000000" w:rsidRDefault="001F1FC8">
      <w:pPr>
        <w:ind w:hanging="180"/>
        <w:divId w:val="2145341655"/>
        <w:rPr>
          <w:rFonts w:eastAsia="Times New Roman"/>
        </w:rPr>
      </w:pPr>
      <w:r>
        <w:rPr>
          <w:rFonts w:ascii="Arial" w:eastAsia="Times New Roman" w:hAnsi="Arial" w:cs="Arial"/>
          <w:i/>
          <w:iCs/>
          <w:color w:val="000000"/>
          <w:sz w:val="16"/>
          <w:szCs w:val="16"/>
        </w:rPr>
        <w:t xml:space="preserve">5The floating quarterly dividend amount for the Series C Preference Shares was increased to </w:t>
      </w:r>
      <w:r>
        <w:rPr>
          <w:rFonts w:ascii="Arial" w:eastAsia="Times New Roman" w:hAnsi="Arial" w:cs="Arial"/>
          <w:i/>
          <w:iCs/>
          <w:color w:val="000000"/>
          <w:sz w:val="16"/>
          <w:szCs w:val="16"/>
        </w:rPr>
        <w:t>$0.15501 from $0.15349 on March 1, 2021, was increased to $0.15753 from $0.15501 on June 1, 2021, was increased to $0.16081 from $0.15753 on September 1, 2021 and was decreased to $0.15719 from $0.16081 on December 1, 2021, due to reset on a quarterly basi</w:t>
      </w:r>
      <w:r>
        <w:rPr>
          <w:rFonts w:ascii="Arial" w:eastAsia="Times New Roman" w:hAnsi="Arial" w:cs="Arial"/>
          <w:i/>
          <w:iCs/>
          <w:color w:val="000000"/>
          <w:sz w:val="16"/>
          <w:szCs w:val="16"/>
        </w:rPr>
        <w:t xml:space="preserve">s following the issuance thereof. </w:t>
      </w:r>
    </w:p>
    <w:p w:rsidR="00000000" w:rsidRDefault="001F1FC8">
      <w:pPr>
        <w:ind w:firstLine="180"/>
        <w:divId w:val="1429039035"/>
        <w:rPr>
          <w:rFonts w:eastAsia="Times New Roman"/>
        </w:rPr>
      </w:pPr>
    </w:p>
    <w:p w:rsidR="00000000" w:rsidRDefault="001F1FC8">
      <w:pPr>
        <w:ind w:firstLine="540"/>
        <w:divId w:val="304361943"/>
        <w:rPr>
          <w:rFonts w:eastAsia="Times New Roman"/>
        </w:rPr>
      </w:pPr>
      <w:r>
        <w:rPr>
          <w:rFonts w:ascii="Arial" w:eastAsia="Times New Roman" w:hAnsi="Arial" w:cs="Arial"/>
          <w:b/>
          <w:bCs/>
          <w:color w:val="000000"/>
          <w:sz w:val="20"/>
          <w:szCs w:val="20"/>
        </w:rPr>
        <w:t>PREFERENCE SHARE REDEMPTION</w:t>
      </w:r>
    </w:p>
    <w:p w:rsidR="00000000" w:rsidRDefault="001F1FC8">
      <w:pPr>
        <w:divId w:val="319190541"/>
        <w:rPr>
          <w:rFonts w:eastAsia="Times New Roman"/>
        </w:rPr>
      </w:pPr>
      <w:r>
        <w:rPr>
          <w:rFonts w:ascii="Arial" w:eastAsia="Times New Roman" w:hAnsi="Arial" w:cs="Arial"/>
          <w:color w:val="000000"/>
          <w:sz w:val="20"/>
          <w:szCs w:val="20"/>
        </w:rPr>
        <w:t>We intend to exercise our right to redeem all of our outstanding cumulative redeemable minimum rate reset preference shares, Series 17, on March 1, 2022 at a price of $25 per Series 17 share,</w:t>
      </w:r>
      <w:r>
        <w:rPr>
          <w:rFonts w:ascii="Arial" w:eastAsia="Times New Roman" w:hAnsi="Arial" w:cs="Arial"/>
          <w:color w:val="000000"/>
          <w:sz w:val="20"/>
          <w:szCs w:val="20"/>
        </w:rPr>
        <w:t xml:space="preserve"> together with all accrued and unpaid dividends, if any.</w:t>
      </w:r>
    </w:p>
    <w:p w:rsidR="00000000" w:rsidRDefault="001F1FC8">
      <w:pPr>
        <w:divId w:val="6446443"/>
        <w:rPr>
          <w:rFonts w:eastAsia="Times New Roman"/>
        </w:rPr>
      </w:pPr>
    </w:p>
    <w:p w:rsidR="00000000" w:rsidRDefault="001F1FC8">
      <w:pPr>
        <w:jc w:val="center"/>
        <w:divId w:val="1774353334"/>
        <w:rPr>
          <w:rFonts w:eastAsia="Times New Roman"/>
        </w:rPr>
      </w:pPr>
      <w:r>
        <w:rPr>
          <w:rFonts w:ascii="Arial" w:eastAsia="Times New Roman" w:hAnsi="Arial" w:cs="Arial"/>
          <w:color w:val="000000"/>
          <w:sz w:val="20"/>
          <w:szCs w:val="20"/>
        </w:rPr>
        <w:t>78</w:t>
      </w:r>
    </w:p>
    <w:p w:rsidR="00000000" w:rsidRDefault="001F1FC8">
      <w:pPr>
        <w:rPr>
          <w:rFonts w:eastAsia="Times New Roman"/>
        </w:rPr>
      </w:pPr>
      <w:r>
        <w:rPr>
          <w:rFonts w:eastAsia="Times New Roman"/>
        </w:rPr>
        <w:pict>
          <v:rect id="_x0000_i1108" style="width:0;height:1.5pt" o:hralign="center" o:hrstd="t" o:hr="t" fillcolor="#a0a0a0" stroked="f"/>
        </w:pict>
      </w:r>
    </w:p>
    <w:p w:rsidR="00000000" w:rsidRDefault="001F1FC8">
      <w:pPr>
        <w:jc w:val="center"/>
        <w:divId w:val="1596480614"/>
        <w:rPr>
          <w:rFonts w:eastAsia="Times New Roman"/>
        </w:rPr>
      </w:pPr>
    </w:p>
    <w:p w:rsidR="00000000" w:rsidRDefault="001F1FC8">
      <w:pPr>
        <w:divId w:val="1741902624"/>
        <w:rPr>
          <w:rFonts w:eastAsia="Times New Roman"/>
        </w:rPr>
      </w:pPr>
      <w:r>
        <w:rPr>
          <w:rFonts w:ascii="Arial" w:eastAsia="Times New Roman" w:hAnsi="Arial" w:cs="Arial"/>
          <w:b/>
          <w:bCs/>
          <w:color w:val="000000"/>
          <w:sz w:val="20"/>
          <w:szCs w:val="20"/>
        </w:rPr>
        <w:t>Dividends</w:t>
      </w:r>
    </w:p>
    <w:p w:rsidR="00000000" w:rsidRDefault="001F1FC8">
      <w:pPr>
        <w:divId w:val="329677306"/>
        <w:rPr>
          <w:rFonts w:eastAsia="Times New Roman"/>
        </w:rPr>
      </w:pPr>
      <w:r>
        <w:rPr>
          <w:rFonts w:ascii="Arial" w:eastAsia="Times New Roman" w:hAnsi="Arial" w:cs="Arial"/>
          <w:color w:val="000000"/>
          <w:sz w:val="20"/>
          <w:szCs w:val="20"/>
        </w:rPr>
        <w:t xml:space="preserve">We have paid common share dividends in every year since we became a publicly traded company in 1953. In December 2021, we announced a 3% increase in our quarterly dividend to $0.86 per common share, or $3.44 annualized, effective with the dividend payable </w:t>
      </w:r>
      <w:r>
        <w:rPr>
          <w:rFonts w:ascii="Arial" w:eastAsia="Times New Roman" w:hAnsi="Arial" w:cs="Arial"/>
          <w:color w:val="000000"/>
          <w:sz w:val="20"/>
          <w:szCs w:val="20"/>
        </w:rPr>
        <w:t>on March 1, 2022, thereby making a dividend increase for 27 straight years.</w:t>
      </w:r>
    </w:p>
    <w:p w:rsidR="00000000" w:rsidRDefault="001F1FC8">
      <w:pPr>
        <w:divId w:val="197789602"/>
        <w:rPr>
          <w:rFonts w:eastAsia="Times New Roman"/>
        </w:rPr>
      </w:pPr>
    </w:p>
    <w:p w:rsidR="00000000" w:rsidRDefault="001F1FC8">
      <w:pPr>
        <w:divId w:val="1280799955"/>
        <w:rPr>
          <w:rFonts w:eastAsia="Times New Roman"/>
        </w:rPr>
      </w:pPr>
      <w:r>
        <w:rPr>
          <w:rFonts w:ascii="Arial" w:eastAsia="Times New Roman" w:hAnsi="Arial" w:cs="Arial"/>
          <w:color w:val="000000"/>
          <w:sz w:val="20"/>
          <w:szCs w:val="20"/>
        </w:rPr>
        <w:t>For the years ended December 31, 2021 and 2020, total dividends paid were $6.8 billion and $6.6 billion, respectively, all of which were paid in cash and reflected in financing a</w:t>
      </w:r>
      <w:r>
        <w:rPr>
          <w:rFonts w:ascii="Arial" w:eastAsia="Times New Roman" w:hAnsi="Arial" w:cs="Arial"/>
          <w:color w:val="000000"/>
          <w:sz w:val="20"/>
          <w:szCs w:val="20"/>
        </w:rPr>
        <w:t xml:space="preserve">ctivities. </w:t>
      </w:r>
    </w:p>
    <w:p w:rsidR="00000000" w:rsidRDefault="001F1FC8">
      <w:pPr>
        <w:divId w:val="1757171845"/>
        <w:rPr>
          <w:rFonts w:eastAsia="Times New Roman"/>
        </w:rPr>
      </w:pPr>
    </w:p>
    <w:p w:rsidR="00000000" w:rsidRDefault="001F1FC8">
      <w:pPr>
        <w:divId w:val="647588419"/>
        <w:rPr>
          <w:rFonts w:eastAsia="Times New Roman"/>
        </w:rPr>
      </w:pPr>
      <w:r>
        <w:rPr>
          <w:rFonts w:ascii="Arial" w:eastAsia="Times New Roman" w:hAnsi="Arial" w:cs="Arial"/>
          <w:color w:val="000000"/>
          <w:sz w:val="20"/>
          <w:szCs w:val="20"/>
        </w:rPr>
        <w:t>On December 6, 2021, our Board of Directors declared the following quarterly dividends. All dividends are payable on March 1, 2022 to shareholders of record on February 15, 2022.</w:t>
      </w:r>
    </w:p>
    <w:tbl>
      <w:tblPr>
        <w:tblW w:w="5000" w:type="pct"/>
        <w:tblCellMar>
          <w:top w:w="15" w:type="dxa"/>
          <w:left w:w="15" w:type="dxa"/>
          <w:bottom w:w="15" w:type="dxa"/>
          <w:right w:w="15" w:type="dxa"/>
        </w:tblCellMar>
        <w:tblLook w:val="04A0" w:firstRow="1" w:lastRow="0" w:firstColumn="1" w:lastColumn="0" w:noHBand="0" w:noVBand="1"/>
      </w:tblPr>
      <w:tblGrid>
        <w:gridCol w:w="69"/>
        <w:gridCol w:w="6405"/>
        <w:gridCol w:w="37"/>
        <w:gridCol w:w="69"/>
        <w:gridCol w:w="1690"/>
        <w:gridCol w:w="36"/>
      </w:tblGrid>
      <w:tr w:rsidR="00000000">
        <w:trPr>
          <w:divId w:val="753357172"/>
        </w:trPr>
        <w:tc>
          <w:tcPr>
            <w:tcW w:w="50" w:type="pct"/>
            <w:vAlign w:val="center"/>
            <w:hideMark/>
          </w:tcPr>
          <w:p w:rsidR="00000000" w:rsidRDefault="001F1FC8">
            <w:pPr>
              <w:rPr>
                <w:rFonts w:eastAsia="Times New Roman"/>
              </w:rPr>
            </w:pPr>
          </w:p>
        </w:tc>
        <w:tc>
          <w:tcPr>
            <w:tcW w:w="3863"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c>
          <w:tcPr>
            <w:tcW w:w="50" w:type="pct"/>
            <w:vAlign w:val="center"/>
            <w:hideMark/>
          </w:tcPr>
          <w:p w:rsidR="00000000" w:rsidRDefault="001F1FC8">
            <w:pPr>
              <w:rPr>
                <w:rFonts w:eastAsia="Times New Roman"/>
                <w:sz w:val="20"/>
                <w:szCs w:val="20"/>
              </w:rPr>
            </w:pPr>
          </w:p>
        </w:tc>
        <w:tc>
          <w:tcPr>
            <w:tcW w:w="1026"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r>
      <w:tr w:rsidR="00000000">
        <w:trPr>
          <w:divId w:val="753357172"/>
        </w:trPr>
        <w:tc>
          <w:tcPr>
            <w:tcW w:w="0" w:type="auto"/>
            <w:gridSpan w:val="3"/>
            <w:tcBorders>
              <w:top w:val="single" w:sz="4" w:space="0" w:color="000000"/>
            </w:tcBorders>
            <w:tcMar>
              <w:top w:w="0" w:type="dxa"/>
              <w:left w:w="20" w:type="dxa"/>
              <w:bottom w:w="0" w:type="dxa"/>
              <w:right w:w="20" w:type="dxa"/>
            </w:tcMar>
            <w:vAlign w:val="center"/>
            <w:hideMark/>
          </w:tcPr>
          <w:p w:rsidR="00000000" w:rsidRDefault="001F1FC8">
            <w:pPr>
              <w:rPr>
                <w:rFonts w:eastAsia="Times New Roman"/>
                <w:sz w:val="20"/>
                <w:szCs w:val="20"/>
              </w:rPr>
            </w:pP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Dividend per share</w:t>
            </w:r>
          </w:p>
        </w:tc>
      </w:tr>
      <w:tr w:rsidR="00000000">
        <w:trPr>
          <w:divId w:val="753357172"/>
        </w:trPr>
        <w:tc>
          <w:tcPr>
            <w:tcW w:w="0" w:type="auto"/>
            <w:gridSpan w:val="3"/>
            <w:tcBorders>
              <w:top w:val="single" w:sz="4" w:space="0" w:color="000000"/>
            </w:tcBorders>
            <w:tcMar>
              <w:top w:w="30" w:type="dxa"/>
              <w:left w:w="20" w:type="dxa"/>
              <w:bottom w:w="30" w:type="dxa"/>
              <w:right w:w="20" w:type="dxa"/>
            </w:tcMar>
            <w:vAlign w:val="bottom"/>
            <w:hideMark/>
          </w:tcPr>
          <w:p w:rsidR="00000000" w:rsidRDefault="001F1FC8">
            <w:pPr>
              <w:divId w:val="923799615"/>
              <w:rPr>
                <w:rFonts w:eastAsia="Times New Roman"/>
              </w:rPr>
            </w:pPr>
            <w:r>
              <w:rPr>
                <w:rFonts w:ascii="Arial" w:eastAsia="Times New Roman" w:hAnsi="Arial" w:cs="Arial"/>
                <w:color w:val="000000"/>
                <w:sz w:val="20"/>
                <w:szCs w:val="20"/>
              </w:rPr>
              <w:t>Common Share</w:t>
            </w:r>
            <w:r>
              <w:rPr>
                <w:rFonts w:ascii="Arial" w:eastAsia="Times New Roman" w:hAnsi="Arial" w:cs="Arial"/>
                <w:color w:val="000000"/>
                <w:sz w:val="20"/>
                <w:szCs w:val="20"/>
              </w:rPr>
              <w:t>s</w:t>
            </w:r>
            <w:r>
              <w:rPr>
                <w:rFonts w:ascii="Arial" w:eastAsia="Times New Roman" w:hAnsi="Arial" w:cs="Arial"/>
                <w:color w:val="000000"/>
                <w:sz w:val="10"/>
                <w:szCs w:val="10"/>
              </w:rPr>
              <w:t>1</w:t>
            </w:r>
          </w:p>
        </w:tc>
        <w:tc>
          <w:tcPr>
            <w:tcW w:w="0" w:type="auto"/>
            <w:gridSpan w:val="2"/>
            <w:tcBorders>
              <w:top w:val="single" w:sz="4" w:space="0" w:color="000000"/>
            </w:tcBorders>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$0.86000 </w:t>
            </w:r>
          </w:p>
        </w:tc>
        <w:tc>
          <w:tcPr>
            <w:tcW w:w="0" w:type="auto"/>
            <w:tcBorders>
              <w:top w:val="single" w:sz="4" w:space="0" w:color="000000"/>
            </w:tcBorders>
            <w:tcMar>
              <w:top w:w="30" w:type="dxa"/>
              <w:left w:w="0" w:type="dxa"/>
              <w:bottom w:w="30" w:type="dxa"/>
              <w:right w:w="20" w:type="dxa"/>
            </w:tcMar>
            <w:vAlign w:val="bottom"/>
            <w:hideMark/>
          </w:tcPr>
          <w:p w:rsidR="00000000" w:rsidRDefault="001F1FC8">
            <w:pPr>
              <w:jc w:val="right"/>
              <w:rPr>
                <w:rFonts w:eastAsia="Times New Roman"/>
              </w:rPr>
            </w:pPr>
          </w:p>
        </w:tc>
      </w:tr>
      <w:tr w:rsidR="00000000">
        <w:trPr>
          <w:divId w:val="753357172"/>
        </w:trPr>
        <w:tc>
          <w:tcPr>
            <w:tcW w:w="0" w:type="auto"/>
            <w:gridSpan w:val="3"/>
            <w:tcMar>
              <w:top w:w="30" w:type="dxa"/>
              <w:left w:w="20" w:type="dxa"/>
              <w:bottom w:w="30" w:type="dxa"/>
              <w:right w:w="20" w:type="dxa"/>
            </w:tcMar>
            <w:vAlign w:val="bottom"/>
            <w:hideMark/>
          </w:tcPr>
          <w:p w:rsidR="00000000" w:rsidRDefault="001F1FC8">
            <w:pPr>
              <w:rPr>
                <w:rFonts w:eastAsia="Times New Roman"/>
              </w:rPr>
            </w:pPr>
            <w:r>
              <w:rPr>
                <w:rFonts w:ascii="Arial" w:eastAsia="Times New Roman" w:hAnsi="Arial" w:cs="Arial"/>
                <w:color w:val="000000"/>
                <w:sz w:val="20"/>
                <w:szCs w:val="20"/>
              </w:rPr>
              <w:t>Preference Shares, Series A</w:t>
            </w: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$0.34375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r>
      <w:tr w:rsidR="00000000">
        <w:trPr>
          <w:divId w:val="753357172"/>
        </w:trPr>
        <w:tc>
          <w:tcPr>
            <w:tcW w:w="0" w:type="auto"/>
            <w:gridSpan w:val="3"/>
            <w:tcMar>
              <w:top w:w="30" w:type="dxa"/>
              <w:left w:w="20" w:type="dxa"/>
              <w:bottom w:w="30" w:type="dxa"/>
              <w:right w:w="20" w:type="dxa"/>
            </w:tcMar>
            <w:vAlign w:val="bottom"/>
            <w:hideMark/>
          </w:tcPr>
          <w:p w:rsidR="00000000" w:rsidRDefault="001F1FC8">
            <w:pPr>
              <w:rPr>
                <w:rFonts w:eastAsia="Times New Roman"/>
              </w:rPr>
            </w:pPr>
            <w:r>
              <w:rPr>
                <w:rFonts w:ascii="Arial" w:eastAsia="Times New Roman" w:hAnsi="Arial" w:cs="Arial"/>
                <w:color w:val="000000"/>
                <w:sz w:val="20"/>
                <w:szCs w:val="20"/>
              </w:rPr>
              <w:t>Preference Shares, Series B</w:t>
            </w: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$0.21340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r>
      <w:tr w:rsidR="00000000">
        <w:trPr>
          <w:divId w:val="753357172"/>
        </w:trPr>
        <w:tc>
          <w:tcPr>
            <w:tcW w:w="0" w:type="auto"/>
            <w:gridSpan w:val="3"/>
            <w:tcMar>
              <w:top w:w="30" w:type="dxa"/>
              <w:left w:w="20" w:type="dxa"/>
              <w:bottom w:w="30" w:type="dxa"/>
              <w:right w:w="20" w:type="dxa"/>
            </w:tcMar>
            <w:vAlign w:val="bottom"/>
            <w:hideMark/>
          </w:tcPr>
          <w:p w:rsidR="00000000" w:rsidRDefault="001F1FC8">
            <w:pPr>
              <w:divId w:val="1141922061"/>
              <w:rPr>
                <w:rFonts w:eastAsia="Times New Roman"/>
              </w:rPr>
            </w:pPr>
            <w:r>
              <w:rPr>
                <w:rFonts w:ascii="Arial" w:eastAsia="Times New Roman" w:hAnsi="Arial" w:cs="Arial"/>
                <w:color w:val="000000"/>
                <w:sz w:val="20"/>
                <w:szCs w:val="20"/>
              </w:rPr>
              <w:t>Preference Shares, Series </w:t>
            </w:r>
            <w:r>
              <w:rPr>
                <w:rFonts w:ascii="Arial" w:eastAsia="Times New Roman" w:hAnsi="Arial" w:cs="Arial"/>
                <w:color w:val="000000"/>
                <w:sz w:val="20"/>
                <w:szCs w:val="20"/>
              </w:rPr>
              <w:t>C</w:t>
            </w:r>
            <w:r>
              <w:rPr>
                <w:rFonts w:ascii="Arial" w:eastAsia="Times New Roman" w:hAnsi="Arial" w:cs="Arial"/>
                <w:color w:val="000000"/>
                <w:sz w:val="10"/>
                <w:szCs w:val="10"/>
              </w:rPr>
              <w:t>2</w:t>
            </w: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$0.15719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r>
      <w:tr w:rsidR="00000000">
        <w:trPr>
          <w:divId w:val="753357172"/>
        </w:trPr>
        <w:tc>
          <w:tcPr>
            <w:tcW w:w="0" w:type="auto"/>
            <w:gridSpan w:val="3"/>
            <w:tcMar>
              <w:top w:w="30" w:type="dxa"/>
              <w:left w:w="20" w:type="dxa"/>
              <w:bottom w:w="30" w:type="dxa"/>
              <w:right w:w="20" w:type="dxa"/>
            </w:tcMar>
            <w:vAlign w:val="bottom"/>
            <w:hideMark/>
          </w:tcPr>
          <w:p w:rsidR="00000000" w:rsidRDefault="001F1FC8">
            <w:pPr>
              <w:rPr>
                <w:rFonts w:eastAsia="Times New Roman"/>
              </w:rPr>
            </w:pPr>
            <w:r>
              <w:rPr>
                <w:rFonts w:ascii="Arial" w:eastAsia="Times New Roman" w:hAnsi="Arial" w:cs="Arial"/>
                <w:color w:val="000000"/>
                <w:sz w:val="20"/>
                <w:szCs w:val="20"/>
              </w:rPr>
              <w:t>Preference Shares, Series D</w:t>
            </w: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$0.27875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r>
      <w:tr w:rsidR="00000000">
        <w:trPr>
          <w:divId w:val="753357172"/>
        </w:trPr>
        <w:tc>
          <w:tcPr>
            <w:tcW w:w="0" w:type="auto"/>
            <w:gridSpan w:val="3"/>
            <w:tcMar>
              <w:top w:w="30" w:type="dxa"/>
              <w:left w:w="20" w:type="dxa"/>
              <w:bottom w:w="30" w:type="dxa"/>
              <w:right w:w="20" w:type="dxa"/>
            </w:tcMar>
            <w:vAlign w:val="bottom"/>
            <w:hideMark/>
          </w:tcPr>
          <w:p w:rsidR="00000000" w:rsidRDefault="001F1FC8">
            <w:pPr>
              <w:rPr>
                <w:rFonts w:eastAsia="Times New Roman"/>
              </w:rPr>
            </w:pPr>
            <w:r>
              <w:rPr>
                <w:rFonts w:ascii="Arial" w:eastAsia="Times New Roman" w:hAnsi="Arial" w:cs="Arial"/>
                <w:color w:val="000000"/>
                <w:sz w:val="20"/>
                <w:szCs w:val="20"/>
              </w:rPr>
              <w:t>Preference Shares, Series F</w:t>
            </w: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$0.29306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r>
      <w:tr w:rsidR="00000000">
        <w:trPr>
          <w:divId w:val="753357172"/>
        </w:trPr>
        <w:tc>
          <w:tcPr>
            <w:tcW w:w="0" w:type="auto"/>
            <w:gridSpan w:val="3"/>
            <w:tcMar>
              <w:top w:w="30" w:type="dxa"/>
              <w:left w:w="20" w:type="dxa"/>
              <w:bottom w:w="30" w:type="dxa"/>
              <w:right w:w="20" w:type="dxa"/>
            </w:tcMar>
            <w:vAlign w:val="bottom"/>
            <w:hideMark/>
          </w:tcPr>
          <w:p w:rsidR="00000000" w:rsidRDefault="001F1FC8">
            <w:pPr>
              <w:rPr>
                <w:rFonts w:eastAsia="Times New Roman"/>
              </w:rPr>
            </w:pPr>
            <w:r>
              <w:rPr>
                <w:rFonts w:ascii="Arial" w:eastAsia="Times New Roman" w:hAnsi="Arial" w:cs="Arial"/>
                <w:color w:val="000000"/>
                <w:sz w:val="20"/>
                <w:szCs w:val="20"/>
              </w:rPr>
              <w:t>Preference Shares, Series H</w:t>
            </w: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$0.27350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r>
      <w:tr w:rsidR="00000000">
        <w:trPr>
          <w:divId w:val="753357172"/>
        </w:trPr>
        <w:tc>
          <w:tcPr>
            <w:tcW w:w="0" w:type="auto"/>
            <w:gridSpan w:val="3"/>
            <w:tcMar>
              <w:top w:w="30" w:type="dxa"/>
              <w:left w:w="20" w:type="dxa"/>
              <w:bottom w:w="30" w:type="dxa"/>
              <w:right w:w="20" w:type="dxa"/>
            </w:tcMar>
            <w:vAlign w:val="bottom"/>
            <w:hideMark/>
          </w:tcPr>
          <w:p w:rsidR="00000000" w:rsidRDefault="001F1FC8">
            <w:pPr>
              <w:rPr>
                <w:rFonts w:eastAsia="Times New Roman"/>
              </w:rPr>
            </w:pPr>
            <w:r>
              <w:rPr>
                <w:rFonts w:ascii="Arial" w:eastAsia="Times New Roman" w:hAnsi="Arial" w:cs="Arial"/>
                <w:color w:val="000000"/>
                <w:sz w:val="20"/>
                <w:szCs w:val="20"/>
              </w:rPr>
              <w:t>Preference Shares, Series J</w:t>
            </w: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US$0.30540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r>
      <w:tr w:rsidR="00000000">
        <w:trPr>
          <w:divId w:val="753357172"/>
        </w:trPr>
        <w:tc>
          <w:tcPr>
            <w:tcW w:w="0" w:type="auto"/>
            <w:gridSpan w:val="3"/>
            <w:tcMar>
              <w:top w:w="30" w:type="dxa"/>
              <w:left w:w="20" w:type="dxa"/>
              <w:bottom w:w="30" w:type="dxa"/>
              <w:right w:w="20" w:type="dxa"/>
            </w:tcMar>
            <w:vAlign w:val="bottom"/>
            <w:hideMark/>
          </w:tcPr>
          <w:p w:rsidR="00000000" w:rsidRDefault="001F1FC8">
            <w:pPr>
              <w:rPr>
                <w:rFonts w:eastAsia="Times New Roman"/>
              </w:rPr>
            </w:pPr>
            <w:r>
              <w:rPr>
                <w:rFonts w:ascii="Arial" w:eastAsia="Times New Roman" w:hAnsi="Arial" w:cs="Arial"/>
                <w:color w:val="000000"/>
                <w:sz w:val="20"/>
                <w:szCs w:val="20"/>
              </w:rPr>
              <w:t>Preference Shares, Series L</w:t>
            </w: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US$0.30993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r>
      <w:tr w:rsidR="00000000">
        <w:trPr>
          <w:divId w:val="753357172"/>
        </w:trPr>
        <w:tc>
          <w:tcPr>
            <w:tcW w:w="0" w:type="auto"/>
            <w:gridSpan w:val="3"/>
            <w:tcMar>
              <w:top w:w="30" w:type="dxa"/>
              <w:left w:w="20" w:type="dxa"/>
              <w:bottom w:w="30" w:type="dxa"/>
              <w:right w:w="20" w:type="dxa"/>
            </w:tcMar>
            <w:vAlign w:val="bottom"/>
            <w:hideMark/>
          </w:tcPr>
          <w:p w:rsidR="00000000" w:rsidRDefault="001F1FC8">
            <w:pPr>
              <w:rPr>
                <w:rFonts w:eastAsia="Times New Roman"/>
              </w:rPr>
            </w:pPr>
            <w:r>
              <w:rPr>
                <w:rFonts w:ascii="Arial" w:eastAsia="Times New Roman" w:hAnsi="Arial" w:cs="Arial"/>
                <w:color w:val="000000"/>
                <w:sz w:val="20"/>
                <w:szCs w:val="20"/>
              </w:rPr>
              <w:t>Preference Shares, Series N</w:t>
            </w: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$0.31788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r>
      <w:tr w:rsidR="00000000">
        <w:trPr>
          <w:divId w:val="753357172"/>
        </w:trPr>
        <w:tc>
          <w:tcPr>
            <w:tcW w:w="0" w:type="auto"/>
            <w:gridSpan w:val="3"/>
            <w:tcMar>
              <w:top w:w="30" w:type="dxa"/>
              <w:left w:w="20" w:type="dxa"/>
              <w:bottom w:w="30" w:type="dxa"/>
              <w:right w:w="20" w:type="dxa"/>
            </w:tcMar>
            <w:vAlign w:val="bottom"/>
            <w:hideMark/>
          </w:tcPr>
          <w:p w:rsidR="00000000" w:rsidRDefault="001F1FC8">
            <w:pPr>
              <w:rPr>
                <w:rFonts w:eastAsia="Times New Roman"/>
              </w:rPr>
            </w:pPr>
            <w:r>
              <w:rPr>
                <w:rFonts w:ascii="Arial" w:eastAsia="Times New Roman" w:hAnsi="Arial" w:cs="Arial"/>
                <w:color w:val="000000"/>
                <w:sz w:val="20"/>
                <w:szCs w:val="20"/>
              </w:rPr>
              <w:t>Preference Shares, Series P</w:t>
            </w: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$0.27369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r>
      <w:tr w:rsidR="00000000">
        <w:trPr>
          <w:divId w:val="753357172"/>
        </w:trPr>
        <w:tc>
          <w:tcPr>
            <w:tcW w:w="0" w:type="auto"/>
            <w:gridSpan w:val="3"/>
            <w:tcMar>
              <w:top w:w="30" w:type="dxa"/>
              <w:left w:w="20" w:type="dxa"/>
              <w:bottom w:w="30" w:type="dxa"/>
              <w:right w:w="20" w:type="dxa"/>
            </w:tcMar>
            <w:vAlign w:val="bottom"/>
            <w:hideMark/>
          </w:tcPr>
          <w:p w:rsidR="00000000" w:rsidRDefault="001F1FC8">
            <w:pPr>
              <w:rPr>
                <w:rFonts w:eastAsia="Times New Roman"/>
              </w:rPr>
            </w:pPr>
            <w:r>
              <w:rPr>
                <w:rFonts w:ascii="Arial" w:eastAsia="Times New Roman" w:hAnsi="Arial" w:cs="Arial"/>
                <w:color w:val="000000"/>
                <w:sz w:val="20"/>
                <w:szCs w:val="20"/>
              </w:rPr>
              <w:t>Preference Shares, Series R</w:t>
            </w: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$0.25456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r>
      <w:tr w:rsidR="00000000">
        <w:trPr>
          <w:divId w:val="753357172"/>
        </w:trPr>
        <w:tc>
          <w:tcPr>
            <w:tcW w:w="0" w:type="auto"/>
            <w:gridSpan w:val="3"/>
            <w:tcMar>
              <w:top w:w="30" w:type="dxa"/>
              <w:left w:w="20" w:type="dxa"/>
              <w:bottom w:w="30" w:type="dxa"/>
              <w:right w:w="20" w:type="dxa"/>
            </w:tcMar>
            <w:vAlign w:val="bottom"/>
            <w:hideMark/>
          </w:tcPr>
          <w:p w:rsidR="00000000" w:rsidRDefault="001F1FC8">
            <w:pPr>
              <w:rPr>
                <w:rFonts w:eastAsia="Times New Roman"/>
              </w:rPr>
            </w:pPr>
            <w:r>
              <w:rPr>
                <w:rFonts w:ascii="Arial" w:eastAsia="Times New Roman" w:hAnsi="Arial" w:cs="Arial"/>
                <w:color w:val="000000"/>
                <w:sz w:val="20"/>
                <w:szCs w:val="20"/>
              </w:rPr>
              <w:t>Preference Shares, Series 1</w:t>
            </w: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US$0.37182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r>
      <w:tr w:rsidR="00000000">
        <w:trPr>
          <w:divId w:val="753357172"/>
        </w:trPr>
        <w:tc>
          <w:tcPr>
            <w:tcW w:w="0" w:type="auto"/>
            <w:gridSpan w:val="3"/>
            <w:tcMar>
              <w:top w:w="30" w:type="dxa"/>
              <w:left w:w="20" w:type="dxa"/>
              <w:bottom w:w="30" w:type="dxa"/>
              <w:right w:w="20" w:type="dxa"/>
            </w:tcMar>
            <w:vAlign w:val="bottom"/>
            <w:hideMark/>
          </w:tcPr>
          <w:p w:rsidR="00000000" w:rsidRDefault="001F1FC8">
            <w:pPr>
              <w:rPr>
                <w:rFonts w:eastAsia="Times New Roman"/>
              </w:rPr>
            </w:pPr>
            <w:r>
              <w:rPr>
                <w:rFonts w:ascii="Arial" w:eastAsia="Times New Roman" w:hAnsi="Arial" w:cs="Arial"/>
                <w:color w:val="000000"/>
                <w:sz w:val="20"/>
                <w:szCs w:val="20"/>
              </w:rPr>
              <w:t>Preference Shares, Series 3</w:t>
            </w: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$0.23356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r>
      <w:tr w:rsidR="00000000">
        <w:trPr>
          <w:divId w:val="753357172"/>
        </w:trPr>
        <w:tc>
          <w:tcPr>
            <w:tcW w:w="0" w:type="auto"/>
            <w:gridSpan w:val="3"/>
            <w:tcMar>
              <w:top w:w="30" w:type="dxa"/>
              <w:left w:w="20" w:type="dxa"/>
              <w:bottom w:w="30" w:type="dxa"/>
              <w:right w:w="20" w:type="dxa"/>
            </w:tcMar>
            <w:vAlign w:val="bottom"/>
            <w:hideMark/>
          </w:tcPr>
          <w:p w:rsidR="00000000" w:rsidRDefault="001F1FC8">
            <w:pPr>
              <w:rPr>
                <w:rFonts w:eastAsia="Times New Roman"/>
              </w:rPr>
            </w:pPr>
            <w:r>
              <w:rPr>
                <w:rFonts w:ascii="Arial" w:eastAsia="Times New Roman" w:hAnsi="Arial" w:cs="Arial"/>
                <w:color w:val="000000"/>
                <w:sz w:val="20"/>
                <w:szCs w:val="20"/>
              </w:rPr>
              <w:t>Preference Shares, Series 5</w:t>
            </w: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US$0.33596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r>
      <w:tr w:rsidR="00000000">
        <w:trPr>
          <w:divId w:val="753357172"/>
        </w:trPr>
        <w:tc>
          <w:tcPr>
            <w:tcW w:w="0" w:type="auto"/>
            <w:gridSpan w:val="3"/>
            <w:tcMar>
              <w:top w:w="30" w:type="dxa"/>
              <w:left w:w="20" w:type="dxa"/>
              <w:bottom w:w="30" w:type="dxa"/>
              <w:right w:w="20" w:type="dxa"/>
            </w:tcMar>
            <w:vAlign w:val="bottom"/>
            <w:hideMark/>
          </w:tcPr>
          <w:p w:rsidR="00000000" w:rsidRDefault="001F1FC8">
            <w:pPr>
              <w:rPr>
                <w:rFonts w:eastAsia="Times New Roman"/>
              </w:rPr>
            </w:pPr>
            <w:r>
              <w:rPr>
                <w:rFonts w:ascii="Arial" w:eastAsia="Times New Roman" w:hAnsi="Arial" w:cs="Arial"/>
                <w:color w:val="000000"/>
                <w:sz w:val="20"/>
                <w:szCs w:val="20"/>
              </w:rPr>
              <w:t>Preference Shares, Series 7</w:t>
            </w: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$0.27806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r>
      <w:tr w:rsidR="00000000">
        <w:trPr>
          <w:divId w:val="753357172"/>
        </w:trPr>
        <w:tc>
          <w:tcPr>
            <w:tcW w:w="0" w:type="auto"/>
            <w:gridSpan w:val="3"/>
            <w:tcMar>
              <w:top w:w="30" w:type="dxa"/>
              <w:left w:w="20" w:type="dxa"/>
              <w:bottom w:w="30" w:type="dxa"/>
              <w:right w:w="20" w:type="dxa"/>
            </w:tcMar>
            <w:vAlign w:val="bottom"/>
            <w:hideMark/>
          </w:tcPr>
          <w:p w:rsidR="00000000" w:rsidRDefault="001F1FC8">
            <w:pPr>
              <w:rPr>
                <w:rFonts w:eastAsia="Times New Roman"/>
              </w:rPr>
            </w:pPr>
            <w:r>
              <w:rPr>
                <w:rFonts w:ascii="Arial" w:eastAsia="Times New Roman" w:hAnsi="Arial" w:cs="Arial"/>
                <w:color w:val="000000"/>
                <w:sz w:val="20"/>
                <w:szCs w:val="20"/>
              </w:rPr>
              <w:t>Preference Shares, Series 9</w:t>
            </w: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$0.25606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r>
      <w:tr w:rsidR="00000000">
        <w:trPr>
          <w:divId w:val="753357172"/>
        </w:trPr>
        <w:tc>
          <w:tcPr>
            <w:tcW w:w="0" w:type="auto"/>
            <w:gridSpan w:val="3"/>
            <w:tcMar>
              <w:top w:w="30" w:type="dxa"/>
              <w:left w:w="20" w:type="dxa"/>
              <w:bottom w:w="30" w:type="dxa"/>
              <w:right w:w="20" w:type="dxa"/>
            </w:tcMar>
            <w:vAlign w:val="bottom"/>
            <w:hideMark/>
          </w:tcPr>
          <w:p w:rsidR="00000000" w:rsidRDefault="001F1FC8">
            <w:pPr>
              <w:rPr>
                <w:rFonts w:eastAsia="Times New Roman"/>
              </w:rPr>
            </w:pPr>
            <w:r>
              <w:rPr>
                <w:rFonts w:ascii="Arial" w:eastAsia="Times New Roman" w:hAnsi="Arial" w:cs="Arial"/>
                <w:color w:val="000000"/>
                <w:sz w:val="20"/>
                <w:szCs w:val="20"/>
              </w:rPr>
              <w:t>Preference Shares, Series 11</w:t>
            </w: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$0.24613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r>
      <w:tr w:rsidR="00000000">
        <w:trPr>
          <w:divId w:val="753357172"/>
        </w:trPr>
        <w:tc>
          <w:tcPr>
            <w:tcW w:w="0" w:type="auto"/>
            <w:gridSpan w:val="3"/>
            <w:tcMar>
              <w:top w:w="30" w:type="dxa"/>
              <w:left w:w="20" w:type="dxa"/>
              <w:bottom w:w="30" w:type="dxa"/>
              <w:right w:w="20" w:type="dxa"/>
            </w:tcMar>
            <w:vAlign w:val="bottom"/>
            <w:hideMark/>
          </w:tcPr>
          <w:p w:rsidR="00000000" w:rsidRDefault="001F1FC8">
            <w:pPr>
              <w:rPr>
                <w:rFonts w:eastAsia="Times New Roman"/>
              </w:rPr>
            </w:pPr>
            <w:r>
              <w:rPr>
                <w:rFonts w:ascii="Arial" w:eastAsia="Times New Roman" w:hAnsi="Arial" w:cs="Arial"/>
                <w:color w:val="000000"/>
                <w:sz w:val="20"/>
                <w:szCs w:val="20"/>
              </w:rPr>
              <w:t>Preference Shares, Series 13</w:t>
            </w: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$0.19019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r>
      <w:tr w:rsidR="00000000">
        <w:trPr>
          <w:divId w:val="753357172"/>
        </w:trPr>
        <w:tc>
          <w:tcPr>
            <w:tcW w:w="0" w:type="auto"/>
            <w:gridSpan w:val="3"/>
            <w:tcMar>
              <w:top w:w="30" w:type="dxa"/>
              <w:left w:w="20" w:type="dxa"/>
              <w:bottom w:w="30" w:type="dxa"/>
              <w:right w:w="20" w:type="dxa"/>
            </w:tcMar>
            <w:vAlign w:val="bottom"/>
            <w:hideMark/>
          </w:tcPr>
          <w:p w:rsidR="00000000" w:rsidRDefault="001F1FC8">
            <w:pPr>
              <w:rPr>
                <w:rFonts w:eastAsia="Times New Roman"/>
              </w:rPr>
            </w:pPr>
            <w:r>
              <w:rPr>
                <w:rFonts w:ascii="Arial" w:eastAsia="Times New Roman" w:hAnsi="Arial" w:cs="Arial"/>
                <w:color w:val="000000"/>
                <w:sz w:val="20"/>
                <w:szCs w:val="20"/>
              </w:rPr>
              <w:t>Preference Shares, Series 15</w:t>
            </w: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$0.18644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r>
      <w:tr w:rsidR="00000000">
        <w:trPr>
          <w:divId w:val="753357172"/>
        </w:trPr>
        <w:tc>
          <w:tcPr>
            <w:tcW w:w="0" w:type="auto"/>
            <w:gridSpan w:val="3"/>
            <w:tcMar>
              <w:top w:w="30" w:type="dxa"/>
              <w:left w:w="20" w:type="dxa"/>
              <w:bottom w:w="30" w:type="dxa"/>
              <w:right w:w="20" w:type="dxa"/>
            </w:tcMar>
            <w:vAlign w:val="bottom"/>
            <w:hideMark/>
          </w:tcPr>
          <w:p w:rsidR="00000000" w:rsidRDefault="001F1FC8">
            <w:pPr>
              <w:rPr>
                <w:rFonts w:eastAsia="Times New Roman"/>
              </w:rPr>
            </w:pPr>
            <w:r>
              <w:rPr>
                <w:rFonts w:ascii="Arial" w:eastAsia="Times New Roman" w:hAnsi="Arial" w:cs="Arial"/>
                <w:color w:val="000000"/>
                <w:sz w:val="20"/>
                <w:szCs w:val="20"/>
              </w:rPr>
              <w:t>Preference Shares, Series 17</w:t>
            </w: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$0.32188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r>
      <w:tr w:rsidR="00000000">
        <w:trPr>
          <w:divId w:val="753357172"/>
        </w:trPr>
        <w:tc>
          <w:tcPr>
            <w:tcW w:w="0" w:type="auto"/>
            <w:gridSpan w:val="3"/>
            <w:tcBorders>
              <w:bottom w:val="single" w:sz="8" w:space="0" w:color="000000"/>
            </w:tcBorders>
            <w:tcMar>
              <w:top w:w="30" w:type="dxa"/>
              <w:left w:w="20" w:type="dxa"/>
              <w:bottom w:w="30" w:type="dxa"/>
              <w:right w:w="20" w:type="dxa"/>
            </w:tcMar>
            <w:vAlign w:val="bottom"/>
            <w:hideMark/>
          </w:tcPr>
          <w:p w:rsidR="00000000" w:rsidRDefault="001F1FC8">
            <w:pPr>
              <w:rPr>
                <w:rFonts w:eastAsia="Times New Roman"/>
              </w:rPr>
            </w:pPr>
            <w:r>
              <w:rPr>
                <w:rFonts w:ascii="Arial" w:eastAsia="Times New Roman" w:hAnsi="Arial" w:cs="Arial"/>
                <w:color w:val="000000"/>
                <w:sz w:val="20"/>
                <w:szCs w:val="20"/>
              </w:rPr>
              <w:t>Preference Shares, Series 19</w:t>
            </w:r>
          </w:p>
        </w:tc>
        <w:tc>
          <w:tcPr>
            <w:tcW w:w="0" w:type="auto"/>
            <w:gridSpan w:val="2"/>
            <w:tcBorders>
              <w:bottom w:val="single" w:sz="8" w:space="0" w:color="000000"/>
            </w:tcBorders>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$0.30625 </w:t>
            </w:r>
          </w:p>
        </w:tc>
        <w:tc>
          <w:tcPr>
            <w:tcW w:w="0" w:type="auto"/>
            <w:tcBorders>
              <w:bottom w:val="single" w:sz="8" w:space="0" w:color="000000"/>
            </w:tcBorders>
            <w:tcMar>
              <w:top w:w="30" w:type="dxa"/>
              <w:left w:w="0" w:type="dxa"/>
              <w:bottom w:w="30" w:type="dxa"/>
              <w:right w:w="20" w:type="dxa"/>
            </w:tcMar>
            <w:vAlign w:val="bottom"/>
            <w:hideMark/>
          </w:tcPr>
          <w:p w:rsidR="00000000" w:rsidRDefault="001F1FC8">
            <w:pPr>
              <w:jc w:val="right"/>
              <w:rPr>
                <w:rFonts w:eastAsia="Times New Roman"/>
              </w:rPr>
            </w:pPr>
          </w:p>
        </w:tc>
      </w:tr>
    </w:tbl>
    <w:p w:rsidR="00000000" w:rsidRDefault="001F1FC8">
      <w:pPr>
        <w:divId w:val="2110200418"/>
        <w:rPr>
          <w:rFonts w:eastAsia="Times New Roman"/>
        </w:rPr>
      </w:pPr>
      <w:r>
        <w:rPr>
          <w:rFonts w:ascii="Arial" w:eastAsia="Times New Roman" w:hAnsi="Arial" w:cs="Arial"/>
          <w:i/>
          <w:iCs/>
          <w:color w:val="000000"/>
          <w:sz w:val="16"/>
          <w:szCs w:val="16"/>
        </w:rPr>
        <w:t>1    </w:t>
      </w:r>
      <w:r>
        <w:rPr>
          <w:rFonts w:ascii="Arial" w:eastAsia="Times New Roman" w:hAnsi="Arial" w:cs="Arial"/>
          <w:i/>
          <w:iCs/>
          <w:color w:val="000000"/>
          <w:sz w:val="16"/>
          <w:szCs w:val="16"/>
        </w:rPr>
        <w:t xml:space="preserve">The quarterly dividend per common share was increased 3% to $0.86 from $0.835, effective March 1, 2022. </w:t>
      </w:r>
    </w:p>
    <w:p w:rsidR="00000000" w:rsidRDefault="001F1FC8">
      <w:pPr>
        <w:ind w:hanging="180"/>
        <w:divId w:val="1040860098"/>
        <w:rPr>
          <w:rFonts w:eastAsia="Times New Roman"/>
        </w:rPr>
      </w:pPr>
      <w:r>
        <w:rPr>
          <w:rFonts w:ascii="Arial" w:eastAsia="Times New Roman" w:hAnsi="Arial" w:cs="Arial"/>
          <w:i/>
          <w:iCs/>
          <w:color w:val="000000"/>
          <w:sz w:val="16"/>
          <w:szCs w:val="16"/>
        </w:rPr>
        <w:t>2    The quarterly dividend per share paid on Series C was increased to $0.15501 from $0.15349 on March 1, 2021, was increased to $0.15753 from $0.1550</w:t>
      </w:r>
      <w:r>
        <w:rPr>
          <w:rFonts w:ascii="Arial" w:eastAsia="Times New Roman" w:hAnsi="Arial" w:cs="Arial"/>
          <w:i/>
          <w:iCs/>
          <w:color w:val="000000"/>
          <w:sz w:val="16"/>
          <w:szCs w:val="16"/>
        </w:rPr>
        <w:t xml:space="preserve">1 on June 1, 2021, was increased to $0.16081 from $0.15753 on September 1, 2021 and was decreased to $0.15719 from $0.16081 on December 1, 2021, due to reset on a quarterly basis following the date of issuance of the Series C Preference Shares. </w:t>
      </w:r>
    </w:p>
    <w:p w:rsidR="00000000" w:rsidRDefault="001F1FC8">
      <w:pPr>
        <w:divId w:val="1937981124"/>
        <w:rPr>
          <w:rFonts w:eastAsia="Times New Roman"/>
        </w:rPr>
      </w:pPr>
    </w:p>
    <w:p w:rsidR="00000000" w:rsidRDefault="001F1FC8">
      <w:pPr>
        <w:jc w:val="center"/>
        <w:divId w:val="254173824"/>
        <w:rPr>
          <w:rFonts w:eastAsia="Times New Roman"/>
        </w:rPr>
      </w:pPr>
      <w:r>
        <w:rPr>
          <w:rFonts w:ascii="Arial" w:eastAsia="Times New Roman" w:hAnsi="Arial" w:cs="Arial"/>
          <w:color w:val="000000"/>
          <w:sz w:val="20"/>
          <w:szCs w:val="20"/>
        </w:rPr>
        <w:t>79</w:t>
      </w:r>
    </w:p>
    <w:p w:rsidR="00000000" w:rsidRDefault="001F1FC8">
      <w:pPr>
        <w:rPr>
          <w:rFonts w:eastAsia="Times New Roman"/>
        </w:rPr>
      </w:pPr>
      <w:r>
        <w:rPr>
          <w:rFonts w:eastAsia="Times New Roman"/>
        </w:rPr>
        <w:pict>
          <v:rect id="_x0000_i1109" style="width:0;height:1.5pt" o:hralign="center" o:hrstd="t" o:hr="t" fillcolor="#a0a0a0" stroked="f"/>
        </w:pict>
      </w:r>
    </w:p>
    <w:p w:rsidR="00000000" w:rsidRDefault="001F1FC8">
      <w:pPr>
        <w:jc w:val="center"/>
        <w:divId w:val="1803158481"/>
        <w:rPr>
          <w:rFonts w:eastAsia="Times New Roman"/>
        </w:rPr>
      </w:pPr>
    </w:p>
    <w:p w:rsidR="00000000" w:rsidRDefault="001F1FC8">
      <w:pPr>
        <w:jc w:val="both"/>
        <w:rPr>
          <w:rFonts w:eastAsia="Times New Roman"/>
        </w:rPr>
      </w:pPr>
      <w:r>
        <w:rPr>
          <w:rFonts w:ascii="Arial" w:eastAsia="Times New Roman" w:hAnsi="Arial" w:cs="Arial"/>
          <w:b/>
          <w:bCs/>
          <w:color w:val="000000"/>
          <w:sz w:val="26"/>
          <w:szCs w:val="26"/>
        </w:rPr>
        <w:t>SUMMARIZED FINANCIAL INFORMATION</w:t>
      </w:r>
    </w:p>
    <w:p w:rsidR="00000000" w:rsidRDefault="001F1FC8">
      <w:pPr>
        <w:jc w:val="both"/>
        <w:rPr>
          <w:rFonts w:eastAsia="Times New Roman"/>
        </w:rPr>
      </w:pPr>
    </w:p>
    <w:p w:rsidR="00000000" w:rsidRDefault="001F1FC8">
      <w:pPr>
        <w:divId w:val="1705401690"/>
        <w:rPr>
          <w:rFonts w:eastAsia="Times New Roman"/>
        </w:rPr>
      </w:pPr>
      <w:r>
        <w:rPr>
          <w:rFonts w:ascii="Arial" w:eastAsia="Times New Roman" w:hAnsi="Arial" w:cs="Arial"/>
          <w:color w:val="000000"/>
          <w:sz w:val="20"/>
          <w:szCs w:val="20"/>
        </w:rPr>
        <w:t>On January 22, 2019, Enbridge entered into supplemental indentures with its wholly-owned subsidiaries, SEP and EEP (the Partnerships), pursuant to which Enbridge fully and unconditionally</w:t>
      </w:r>
      <w:r>
        <w:rPr>
          <w:rFonts w:ascii="Arial" w:eastAsia="Times New Roman" w:hAnsi="Arial" w:cs="Arial"/>
          <w:color w:val="000000"/>
          <w:sz w:val="20"/>
          <w:szCs w:val="20"/>
        </w:rPr>
        <w:t xml:space="preserve"> guaranteed, on a senior unsecured basis, the payment obligations of the Partnerships with respect to the outstanding series of notes issued under the respective indentures of the Partnerships. Concurrently, the Partnerships entered into a subsidiary guara</w:t>
      </w:r>
      <w:r>
        <w:rPr>
          <w:rFonts w:ascii="Arial" w:eastAsia="Times New Roman" w:hAnsi="Arial" w:cs="Arial"/>
          <w:color w:val="000000"/>
          <w:sz w:val="20"/>
          <w:szCs w:val="20"/>
        </w:rPr>
        <w:t>ntee agreement pursuant to which they fully and unconditionally guaranteed, on a senior unsecured basis, the outstanding series of senior notes of Enbridge. The Partnerships have also entered into supplemental indentures with Enbridge pursuant to which the</w:t>
      </w:r>
      <w:r>
        <w:rPr>
          <w:rFonts w:ascii="Arial" w:eastAsia="Times New Roman" w:hAnsi="Arial" w:cs="Arial"/>
          <w:color w:val="000000"/>
          <w:sz w:val="20"/>
          <w:szCs w:val="20"/>
        </w:rPr>
        <w:t xml:space="preserve"> Partnerships have issued full and unconditional guarantees, on a senior unsecured basis, of senior notes issued by Enbridge subsequent to January 22, 2019. As a result of the guarantees, holders of any of the outstanding guaranteed notes of the Partnershi</w:t>
      </w:r>
      <w:r>
        <w:rPr>
          <w:rFonts w:ascii="Arial" w:eastAsia="Times New Roman" w:hAnsi="Arial" w:cs="Arial"/>
          <w:color w:val="000000"/>
          <w:sz w:val="20"/>
          <w:szCs w:val="20"/>
        </w:rPr>
        <w:t>ps (the Guaranteed Partnership Notes) are in the same position with respect to the net assets, income and cash flows of Enbridge as holders of Enbridge's outstanding guaranteed notes (the Guaranteed Enbridge Notes), and vice versa. Other than the Partnersh</w:t>
      </w:r>
      <w:r>
        <w:rPr>
          <w:rFonts w:ascii="Arial" w:eastAsia="Times New Roman" w:hAnsi="Arial" w:cs="Arial"/>
          <w:color w:val="000000"/>
          <w:sz w:val="20"/>
          <w:szCs w:val="20"/>
        </w:rPr>
        <w:t>ips, Enbridge subsidiaries (including the subsidiaries of the Partnerships, collectively, the Subsidiary Non-Guarantors), are not parties to the subsidiary guarantee agreement and have not otherwise guaranteed any of Enbridge's outstanding series of senior</w:t>
      </w:r>
      <w:r>
        <w:rPr>
          <w:rFonts w:ascii="Arial" w:eastAsia="Times New Roman" w:hAnsi="Arial" w:cs="Arial"/>
          <w:color w:val="000000"/>
          <w:sz w:val="20"/>
          <w:szCs w:val="20"/>
        </w:rPr>
        <w:t xml:space="preserve"> notes.</w:t>
      </w:r>
    </w:p>
    <w:p w:rsidR="00000000" w:rsidRDefault="001F1FC8">
      <w:pPr>
        <w:divId w:val="1968049106"/>
        <w:rPr>
          <w:rFonts w:eastAsia="Times New Roman"/>
        </w:rPr>
      </w:pPr>
    </w:p>
    <w:p w:rsidR="00000000" w:rsidRDefault="001F1FC8">
      <w:pPr>
        <w:divId w:val="1873110472"/>
        <w:rPr>
          <w:rFonts w:eastAsia="Times New Roman"/>
        </w:rPr>
      </w:pPr>
      <w:r>
        <w:rPr>
          <w:rFonts w:ascii="Arial" w:eastAsia="Times New Roman" w:hAnsi="Arial" w:cs="Arial"/>
          <w:b/>
          <w:bCs/>
          <w:color w:val="000000"/>
          <w:sz w:val="20"/>
          <w:szCs w:val="20"/>
        </w:rPr>
        <w:t>Consenting SEP notes and EEP notes under Guarantee</w:t>
      </w:r>
    </w:p>
    <w:p w:rsidR="00000000" w:rsidRDefault="001F1FC8">
      <w:pPr>
        <w:divId w:val="1232040352"/>
        <w:rPr>
          <w:rFonts w:eastAsia="Times New Roman"/>
        </w:rPr>
      </w:pPr>
    </w:p>
    <w:tbl>
      <w:tblPr>
        <w:tblW w:w="4919" w:type="pct"/>
        <w:jc w:val="center"/>
        <w:tblCellMar>
          <w:top w:w="15" w:type="dxa"/>
          <w:left w:w="15" w:type="dxa"/>
          <w:bottom w:w="15" w:type="dxa"/>
          <w:right w:w="15" w:type="dxa"/>
        </w:tblCellMar>
        <w:tblLook w:val="04A0" w:firstRow="1" w:lastRow="0" w:firstColumn="1" w:lastColumn="0" w:noHBand="0" w:noVBand="1"/>
      </w:tblPr>
      <w:tblGrid>
        <w:gridCol w:w="67"/>
        <w:gridCol w:w="3981"/>
        <w:gridCol w:w="37"/>
        <w:gridCol w:w="67"/>
        <w:gridCol w:w="3982"/>
        <w:gridCol w:w="37"/>
      </w:tblGrid>
      <w:tr w:rsidR="00000000">
        <w:trPr>
          <w:divId w:val="1193958530"/>
          <w:jc w:val="center"/>
        </w:trPr>
        <w:tc>
          <w:tcPr>
            <w:tcW w:w="50" w:type="pct"/>
            <w:vAlign w:val="center"/>
            <w:hideMark/>
          </w:tcPr>
          <w:p w:rsidR="00000000" w:rsidRDefault="001F1FC8">
            <w:pPr>
              <w:rPr>
                <w:rFonts w:eastAsia="Times New Roman"/>
              </w:rPr>
            </w:pPr>
          </w:p>
        </w:tc>
        <w:tc>
          <w:tcPr>
            <w:tcW w:w="2445"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c>
          <w:tcPr>
            <w:tcW w:w="50" w:type="pct"/>
            <w:vAlign w:val="center"/>
            <w:hideMark/>
          </w:tcPr>
          <w:p w:rsidR="00000000" w:rsidRDefault="001F1FC8">
            <w:pPr>
              <w:rPr>
                <w:rFonts w:eastAsia="Times New Roman"/>
                <w:sz w:val="20"/>
                <w:szCs w:val="20"/>
              </w:rPr>
            </w:pPr>
          </w:p>
        </w:tc>
        <w:tc>
          <w:tcPr>
            <w:tcW w:w="2445"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r>
      <w:tr w:rsidR="00000000">
        <w:trPr>
          <w:divId w:val="1193958530"/>
          <w:jc w:val="center"/>
        </w:trPr>
        <w:tc>
          <w:tcPr>
            <w:tcW w:w="0" w:type="auto"/>
            <w:gridSpan w:val="3"/>
            <w:tcMar>
              <w:top w:w="30" w:type="dxa"/>
              <w:left w:w="20" w:type="dxa"/>
              <w:bottom w:w="30" w:type="dxa"/>
              <w:right w:w="20" w:type="dxa"/>
            </w:tcMar>
            <w:vAlign w:val="bottom"/>
            <w:hideMark/>
          </w:tcPr>
          <w:p w:rsidR="00000000" w:rsidRDefault="001F1FC8">
            <w:pPr>
              <w:divId w:val="916136089"/>
              <w:rPr>
                <w:rFonts w:eastAsia="Times New Roman"/>
              </w:rPr>
            </w:pPr>
            <w:r>
              <w:rPr>
                <w:rFonts w:ascii="Arial" w:eastAsia="Times New Roman" w:hAnsi="Arial" w:cs="Arial"/>
                <w:b/>
                <w:bCs/>
                <w:color w:val="000000"/>
                <w:sz w:val="20"/>
                <w:szCs w:val="20"/>
              </w:rPr>
              <w:t>SEP Note</w:t>
            </w:r>
            <w:r>
              <w:rPr>
                <w:rFonts w:ascii="Arial" w:eastAsia="Times New Roman" w:hAnsi="Arial" w:cs="Arial"/>
                <w:b/>
                <w:bCs/>
                <w:color w:val="000000"/>
                <w:sz w:val="20"/>
                <w:szCs w:val="20"/>
              </w:rPr>
              <w:t>s</w:t>
            </w:r>
            <w:r>
              <w:rPr>
                <w:rFonts w:ascii="Arial" w:eastAsia="Times New Roman" w:hAnsi="Arial" w:cs="Arial"/>
                <w:b/>
                <w:bCs/>
                <w:color w:val="000000"/>
                <w:sz w:val="13"/>
                <w:szCs w:val="13"/>
              </w:rPr>
              <w:t>1</w:t>
            </w:r>
          </w:p>
        </w:tc>
        <w:tc>
          <w:tcPr>
            <w:tcW w:w="0" w:type="auto"/>
            <w:gridSpan w:val="3"/>
            <w:tcMar>
              <w:top w:w="30" w:type="dxa"/>
              <w:left w:w="20" w:type="dxa"/>
              <w:bottom w:w="30" w:type="dxa"/>
              <w:right w:w="20" w:type="dxa"/>
            </w:tcMar>
            <w:vAlign w:val="bottom"/>
            <w:hideMark/>
          </w:tcPr>
          <w:p w:rsidR="00000000" w:rsidRDefault="001F1FC8">
            <w:pPr>
              <w:divId w:val="599531070"/>
              <w:rPr>
                <w:rFonts w:eastAsia="Times New Roman"/>
              </w:rPr>
            </w:pPr>
            <w:r>
              <w:rPr>
                <w:rFonts w:ascii="Arial" w:eastAsia="Times New Roman" w:hAnsi="Arial" w:cs="Arial"/>
                <w:b/>
                <w:bCs/>
                <w:color w:val="000000"/>
                <w:sz w:val="20"/>
                <w:szCs w:val="20"/>
              </w:rPr>
              <w:t>EEP Note</w:t>
            </w:r>
            <w:r>
              <w:rPr>
                <w:rFonts w:ascii="Arial" w:eastAsia="Times New Roman" w:hAnsi="Arial" w:cs="Arial"/>
                <w:b/>
                <w:bCs/>
                <w:color w:val="000000"/>
                <w:sz w:val="20"/>
                <w:szCs w:val="20"/>
              </w:rPr>
              <w:t>s</w:t>
            </w:r>
            <w:r>
              <w:rPr>
                <w:rFonts w:ascii="Arial" w:eastAsia="Times New Roman" w:hAnsi="Arial" w:cs="Arial"/>
                <w:b/>
                <w:bCs/>
                <w:color w:val="000000"/>
                <w:sz w:val="13"/>
                <w:szCs w:val="13"/>
              </w:rPr>
              <w:t>2</w:t>
            </w:r>
          </w:p>
        </w:tc>
      </w:tr>
      <w:tr w:rsidR="00000000">
        <w:trPr>
          <w:divId w:val="1193958530"/>
          <w:jc w:val="center"/>
        </w:trPr>
        <w:tc>
          <w:tcPr>
            <w:tcW w:w="0" w:type="auto"/>
            <w:gridSpan w:val="3"/>
            <w:tcBorders>
              <w:top w:val="single" w:sz="8" w:space="0" w:color="000000"/>
            </w:tcBorders>
            <w:tcMar>
              <w:top w:w="30" w:type="dxa"/>
              <w:left w:w="245" w:type="dxa"/>
              <w:bottom w:w="30" w:type="dxa"/>
              <w:right w:w="20" w:type="dxa"/>
            </w:tcMar>
            <w:hideMark/>
          </w:tcPr>
          <w:p w:rsidR="00000000" w:rsidRDefault="001F1FC8">
            <w:pPr>
              <w:rPr>
                <w:rFonts w:eastAsia="Times New Roman"/>
              </w:rPr>
            </w:pPr>
            <w:r>
              <w:rPr>
                <w:rFonts w:ascii="Arial" w:eastAsia="Times New Roman" w:hAnsi="Arial" w:cs="Arial"/>
                <w:color w:val="000000"/>
                <w:sz w:val="20"/>
                <w:szCs w:val="20"/>
              </w:rPr>
              <w:t>4.750% Senior Notes due 2024</w:t>
            </w:r>
          </w:p>
        </w:tc>
        <w:tc>
          <w:tcPr>
            <w:tcW w:w="0" w:type="auto"/>
            <w:gridSpan w:val="3"/>
            <w:tcBorders>
              <w:top w:val="single" w:sz="8" w:space="0" w:color="000000"/>
            </w:tcBorders>
            <w:tcMar>
              <w:top w:w="30" w:type="dxa"/>
              <w:left w:w="245" w:type="dxa"/>
              <w:bottom w:w="30" w:type="dxa"/>
              <w:right w:w="20" w:type="dxa"/>
            </w:tcMar>
            <w:hideMark/>
          </w:tcPr>
          <w:p w:rsidR="00000000" w:rsidRDefault="001F1FC8">
            <w:pPr>
              <w:rPr>
                <w:rFonts w:eastAsia="Times New Roman"/>
              </w:rPr>
            </w:pPr>
            <w:r>
              <w:rPr>
                <w:rFonts w:ascii="Arial" w:eastAsia="Times New Roman" w:hAnsi="Arial" w:cs="Arial"/>
                <w:color w:val="000000"/>
                <w:sz w:val="20"/>
                <w:szCs w:val="20"/>
              </w:rPr>
              <w:t>5.875% Notes due 2025</w:t>
            </w:r>
          </w:p>
        </w:tc>
      </w:tr>
      <w:tr w:rsidR="00000000">
        <w:trPr>
          <w:divId w:val="1193958530"/>
          <w:jc w:val="center"/>
        </w:trPr>
        <w:tc>
          <w:tcPr>
            <w:tcW w:w="0" w:type="auto"/>
            <w:gridSpan w:val="3"/>
            <w:tcMar>
              <w:top w:w="30" w:type="dxa"/>
              <w:left w:w="245" w:type="dxa"/>
              <w:bottom w:w="30" w:type="dxa"/>
              <w:right w:w="20" w:type="dxa"/>
            </w:tcMar>
            <w:hideMark/>
          </w:tcPr>
          <w:p w:rsidR="00000000" w:rsidRDefault="001F1FC8">
            <w:pPr>
              <w:rPr>
                <w:rFonts w:eastAsia="Times New Roman"/>
              </w:rPr>
            </w:pPr>
            <w:r>
              <w:rPr>
                <w:rFonts w:ascii="Arial" w:eastAsia="Times New Roman" w:hAnsi="Arial" w:cs="Arial"/>
                <w:color w:val="000000"/>
                <w:sz w:val="20"/>
                <w:szCs w:val="20"/>
              </w:rPr>
              <w:t>3.500% Senior Notes due 2025</w:t>
            </w:r>
          </w:p>
        </w:tc>
        <w:tc>
          <w:tcPr>
            <w:tcW w:w="0" w:type="auto"/>
            <w:gridSpan w:val="3"/>
            <w:tcMar>
              <w:top w:w="30" w:type="dxa"/>
              <w:left w:w="245" w:type="dxa"/>
              <w:bottom w:w="30" w:type="dxa"/>
              <w:right w:w="20" w:type="dxa"/>
            </w:tcMar>
            <w:hideMark/>
          </w:tcPr>
          <w:p w:rsidR="00000000" w:rsidRDefault="001F1FC8">
            <w:pPr>
              <w:rPr>
                <w:rFonts w:eastAsia="Times New Roman"/>
              </w:rPr>
            </w:pPr>
            <w:r>
              <w:rPr>
                <w:rFonts w:ascii="Arial" w:eastAsia="Times New Roman" w:hAnsi="Arial" w:cs="Arial"/>
                <w:color w:val="000000"/>
                <w:sz w:val="20"/>
                <w:szCs w:val="20"/>
              </w:rPr>
              <w:t>5.950% Notes due 2033</w:t>
            </w:r>
          </w:p>
        </w:tc>
      </w:tr>
      <w:tr w:rsidR="00000000">
        <w:trPr>
          <w:divId w:val="1193958530"/>
          <w:jc w:val="center"/>
        </w:trPr>
        <w:tc>
          <w:tcPr>
            <w:tcW w:w="0" w:type="auto"/>
            <w:gridSpan w:val="3"/>
            <w:tcMar>
              <w:top w:w="30" w:type="dxa"/>
              <w:left w:w="245" w:type="dxa"/>
              <w:bottom w:w="30" w:type="dxa"/>
              <w:right w:w="20" w:type="dxa"/>
            </w:tcMar>
            <w:hideMark/>
          </w:tcPr>
          <w:p w:rsidR="00000000" w:rsidRDefault="001F1FC8">
            <w:pPr>
              <w:rPr>
                <w:rFonts w:eastAsia="Times New Roman"/>
              </w:rPr>
            </w:pPr>
            <w:r>
              <w:rPr>
                <w:rFonts w:ascii="Arial" w:eastAsia="Times New Roman" w:hAnsi="Arial" w:cs="Arial"/>
                <w:color w:val="000000"/>
                <w:sz w:val="20"/>
                <w:szCs w:val="20"/>
              </w:rPr>
              <w:t>3.375% Senior Notes due 2026</w:t>
            </w:r>
          </w:p>
        </w:tc>
        <w:tc>
          <w:tcPr>
            <w:tcW w:w="0" w:type="auto"/>
            <w:gridSpan w:val="3"/>
            <w:tcMar>
              <w:top w:w="30" w:type="dxa"/>
              <w:left w:w="245" w:type="dxa"/>
              <w:bottom w:w="30" w:type="dxa"/>
              <w:right w:w="20" w:type="dxa"/>
            </w:tcMar>
            <w:hideMark/>
          </w:tcPr>
          <w:p w:rsidR="00000000" w:rsidRDefault="001F1FC8">
            <w:pPr>
              <w:rPr>
                <w:rFonts w:eastAsia="Times New Roman"/>
              </w:rPr>
            </w:pPr>
            <w:r>
              <w:rPr>
                <w:rFonts w:ascii="Arial" w:eastAsia="Times New Roman" w:hAnsi="Arial" w:cs="Arial"/>
                <w:color w:val="000000"/>
                <w:sz w:val="20"/>
                <w:szCs w:val="20"/>
              </w:rPr>
              <w:t>6.300% Notes due 2034</w:t>
            </w:r>
          </w:p>
        </w:tc>
      </w:tr>
      <w:tr w:rsidR="00000000">
        <w:trPr>
          <w:divId w:val="1193958530"/>
          <w:jc w:val="center"/>
        </w:trPr>
        <w:tc>
          <w:tcPr>
            <w:tcW w:w="0" w:type="auto"/>
            <w:gridSpan w:val="3"/>
            <w:tcMar>
              <w:top w:w="30" w:type="dxa"/>
              <w:left w:w="245" w:type="dxa"/>
              <w:bottom w:w="30" w:type="dxa"/>
              <w:right w:w="20" w:type="dxa"/>
            </w:tcMar>
            <w:hideMark/>
          </w:tcPr>
          <w:p w:rsidR="00000000" w:rsidRDefault="001F1FC8">
            <w:pPr>
              <w:rPr>
                <w:rFonts w:eastAsia="Times New Roman"/>
              </w:rPr>
            </w:pPr>
            <w:r>
              <w:rPr>
                <w:rFonts w:ascii="Arial" w:eastAsia="Times New Roman" w:hAnsi="Arial" w:cs="Arial"/>
                <w:color w:val="000000"/>
                <w:sz w:val="20"/>
                <w:szCs w:val="20"/>
              </w:rPr>
              <w:t>5.950% Senior Notes due 2043</w:t>
            </w:r>
          </w:p>
        </w:tc>
        <w:tc>
          <w:tcPr>
            <w:tcW w:w="0" w:type="auto"/>
            <w:gridSpan w:val="3"/>
            <w:tcMar>
              <w:top w:w="30" w:type="dxa"/>
              <w:left w:w="245" w:type="dxa"/>
              <w:bottom w:w="30" w:type="dxa"/>
              <w:right w:w="20" w:type="dxa"/>
            </w:tcMar>
            <w:hideMark/>
          </w:tcPr>
          <w:p w:rsidR="00000000" w:rsidRDefault="001F1FC8">
            <w:pPr>
              <w:rPr>
                <w:rFonts w:eastAsia="Times New Roman"/>
              </w:rPr>
            </w:pPr>
            <w:r>
              <w:rPr>
                <w:rFonts w:ascii="Arial" w:eastAsia="Times New Roman" w:hAnsi="Arial" w:cs="Arial"/>
                <w:color w:val="000000"/>
                <w:sz w:val="20"/>
                <w:szCs w:val="20"/>
              </w:rPr>
              <w:t>7.500% Notes due 2038</w:t>
            </w:r>
          </w:p>
        </w:tc>
      </w:tr>
      <w:tr w:rsidR="00000000">
        <w:trPr>
          <w:divId w:val="1193958530"/>
          <w:jc w:val="center"/>
        </w:trPr>
        <w:tc>
          <w:tcPr>
            <w:tcW w:w="0" w:type="auto"/>
            <w:gridSpan w:val="3"/>
            <w:tcMar>
              <w:top w:w="30" w:type="dxa"/>
              <w:left w:w="245" w:type="dxa"/>
              <w:bottom w:w="30" w:type="dxa"/>
              <w:right w:w="20" w:type="dxa"/>
            </w:tcMar>
            <w:hideMark/>
          </w:tcPr>
          <w:p w:rsidR="00000000" w:rsidRDefault="001F1FC8">
            <w:pPr>
              <w:rPr>
                <w:rFonts w:eastAsia="Times New Roman"/>
              </w:rPr>
            </w:pPr>
            <w:r>
              <w:rPr>
                <w:rFonts w:ascii="Arial" w:eastAsia="Times New Roman" w:hAnsi="Arial" w:cs="Arial"/>
                <w:color w:val="000000"/>
                <w:sz w:val="20"/>
                <w:szCs w:val="20"/>
              </w:rPr>
              <w:t>4.500% Senior Notes due 2045</w:t>
            </w:r>
          </w:p>
        </w:tc>
        <w:tc>
          <w:tcPr>
            <w:tcW w:w="0" w:type="auto"/>
            <w:gridSpan w:val="3"/>
            <w:tcMar>
              <w:top w:w="30" w:type="dxa"/>
              <w:left w:w="245" w:type="dxa"/>
              <w:bottom w:w="30" w:type="dxa"/>
              <w:right w:w="20" w:type="dxa"/>
            </w:tcMar>
            <w:hideMark/>
          </w:tcPr>
          <w:p w:rsidR="00000000" w:rsidRDefault="001F1FC8">
            <w:pPr>
              <w:rPr>
                <w:rFonts w:eastAsia="Times New Roman"/>
              </w:rPr>
            </w:pPr>
            <w:r>
              <w:rPr>
                <w:rFonts w:ascii="Arial" w:eastAsia="Times New Roman" w:hAnsi="Arial" w:cs="Arial"/>
                <w:color w:val="000000"/>
                <w:sz w:val="20"/>
                <w:szCs w:val="20"/>
              </w:rPr>
              <w:t>5.500% Notes due 2040</w:t>
            </w:r>
          </w:p>
        </w:tc>
      </w:tr>
      <w:tr w:rsidR="00000000">
        <w:trPr>
          <w:divId w:val="1193958530"/>
          <w:jc w:val="center"/>
        </w:trPr>
        <w:tc>
          <w:tcPr>
            <w:tcW w:w="0" w:type="auto"/>
            <w:gridSpan w:val="3"/>
            <w:tcBorders>
              <w:bottom w:val="single" w:sz="8" w:space="0" w:color="000000"/>
            </w:tcBorders>
            <w:tcMar>
              <w:top w:w="0" w:type="dxa"/>
              <w:left w:w="245" w:type="dxa"/>
              <w:bottom w:w="0" w:type="dxa"/>
              <w:right w:w="20" w:type="dxa"/>
            </w:tcMar>
            <w:vAlign w:val="center"/>
            <w:hideMark/>
          </w:tcPr>
          <w:p w:rsidR="00000000" w:rsidRDefault="001F1FC8">
            <w:pPr>
              <w:rPr>
                <w:rFonts w:eastAsia="Times New Roman"/>
              </w:rPr>
            </w:pPr>
          </w:p>
        </w:tc>
        <w:tc>
          <w:tcPr>
            <w:tcW w:w="0" w:type="auto"/>
            <w:gridSpan w:val="3"/>
            <w:tcBorders>
              <w:bottom w:val="single" w:sz="8" w:space="0" w:color="000000"/>
            </w:tcBorders>
            <w:tcMar>
              <w:top w:w="30" w:type="dxa"/>
              <w:left w:w="245" w:type="dxa"/>
              <w:bottom w:w="30" w:type="dxa"/>
              <w:right w:w="20" w:type="dxa"/>
            </w:tcMar>
            <w:hideMark/>
          </w:tcPr>
          <w:p w:rsidR="00000000" w:rsidRDefault="001F1FC8">
            <w:pPr>
              <w:rPr>
                <w:rFonts w:eastAsia="Times New Roman"/>
              </w:rPr>
            </w:pPr>
            <w:r>
              <w:rPr>
                <w:rFonts w:ascii="Arial" w:eastAsia="Times New Roman" w:hAnsi="Arial" w:cs="Arial"/>
                <w:color w:val="000000"/>
                <w:sz w:val="20"/>
                <w:szCs w:val="20"/>
              </w:rPr>
              <w:t>7.375% Notes due 2045</w:t>
            </w:r>
          </w:p>
        </w:tc>
      </w:tr>
      <w:tr w:rsidR="00000000">
        <w:trPr>
          <w:divId w:val="1193958530"/>
          <w:jc w:val="center"/>
        </w:trPr>
        <w:tc>
          <w:tcPr>
            <w:tcW w:w="0" w:type="auto"/>
            <w:gridSpan w:val="3"/>
            <w:vAlign w:val="center"/>
            <w:hideMark/>
          </w:tcPr>
          <w:p w:rsidR="00000000" w:rsidRDefault="001F1FC8">
            <w:pPr>
              <w:rPr>
                <w:rFonts w:eastAsia="Times New Roman"/>
              </w:rPr>
            </w:pPr>
          </w:p>
        </w:tc>
        <w:tc>
          <w:tcPr>
            <w:tcW w:w="0" w:type="auto"/>
            <w:gridSpan w:val="3"/>
            <w:vAlign w:val="center"/>
            <w:hideMark/>
          </w:tcPr>
          <w:p w:rsidR="00000000" w:rsidRDefault="001F1FC8">
            <w:pPr>
              <w:rPr>
                <w:rFonts w:eastAsia="Times New Roman"/>
                <w:sz w:val="20"/>
                <w:szCs w:val="20"/>
              </w:rPr>
            </w:pPr>
          </w:p>
        </w:tc>
      </w:tr>
    </w:tbl>
    <w:p w:rsidR="00000000" w:rsidRDefault="001F1FC8">
      <w:pPr>
        <w:ind w:hanging="180"/>
        <w:divId w:val="133570117"/>
        <w:rPr>
          <w:rFonts w:eastAsia="Times New Roman"/>
        </w:rPr>
      </w:pPr>
      <w:r>
        <w:rPr>
          <w:rFonts w:ascii="Arial" w:eastAsia="Times New Roman" w:hAnsi="Arial" w:cs="Arial"/>
          <w:i/>
          <w:iCs/>
          <w:color w:val="000000"/>
          <w:sz w:val="16"/>
          <w:szCs w:val="16"/>
        </w:rPr>
        <w:t>1As at December </w:t>
      </w:r>
      <w:r>
        <w:rPr>
          <w:rFonts w:ascii="Arial" w:eastAsia="Times New Roman" w:hAnsi="Arial" w:cs="Arial"/>
          <w:i/>
          <w:iCs/>
          <w:color w:val="000000"/>
          <w:sz w:val="16"/>
          <w:szCs w:val="16"/>
        </w:rPr>
        <w:t>31, 2021, the aggregate outstanding principal amount of SEP notes was approximately US$3.2 billion.</w:t>
      </w:r>
    </w:p>
    <w:p w:rsidR="00000000" w:rsidRDefault="001F1FC8">
      <w:pPr>
        <w:ind w:hanging="180"/>
        <w:divId w:val="1048188280"/>
        <w:rPr>
          <w:rFonts w:eastAsia="Times New Roman"/>
        </w:rPr>
      </w:pPr>
      <w:r>
        <w:rPr>
          <w:rFonts w:ascii="Arial" w:eastAsia="Times New Roman" w:hAnsi="Arial" w:cs="Arial"/>
          <w:i/>
          <w:iCs/>
          <w:color w:val="000000"/>
          <w:sz w:val="16"/>
          <w:szCs w:val="16"/>
        </w:rPr>
        <w:t>2As at December 31, 2021, the aggregate outstanding principal amount of EEP notes was approximately US$2.4 billion.</w:t>
      </w:r>
    </w:p>
    <w:p w:rsidR="00000000" w:rsidRDefault="001F1FC8">
      <w:pPr>
        <w:jc w:val="both"/>
        <w:rPr>
          <w:rFonts w:eastAsia="Times New Roman"/>
        </w:rPr>
      </w:pPr>
    </w:p>
    <w:p w:rsidR="00000000" w:rsidRDefault="001F1FC8">
      <w:pPr>
        <w:jc w:val="center"/>
        <w:divId w:val="973490117"/>
        <w:rPr>
          <w:rFonts w:eastAsia="Times New Roman"/>
        </w:rPr>
      </w:pPr>
      <w:r>
        <w:rPr>
          <w:rFonts w:ascii="Arial" w:eastAsia="Times New Roman" w:hAnsi="Arial" w:cs="Arial"/>
          <w:color w:val="000000"/>
          <w:sz w:val="20"/>
          <w:szCs w:val="20"/>
        </w:rPr>
        <w:t>80</w:t>
      </w:r>
    </w:p>
    <w:p w:rsidR="00000000" w:rsidRDefault="001F1FC8">
      <w:pPr>
        <w:rPr>
          <w:rFonts w:eastAsia="Times New Roman"/>
        </w:rPr>
      </w:pPr>
      <w:r>
        <w:rPr>
          <w:rFonts w:eastAsia="Times New Roman"/>
        </w:rPr>
        <w:pict>
          <v:rect id="_x0000_i1110" style="width:0;height:1.5pt" o:hralign="center" o:hrstd="t" o:hr="t" fillcolor="#a0a0a0" stroked="f"/>
        </w:pict>
      </w:r>
    </w:p>
    <w:p w:rsidR="00000000" w:rsidRDefault="001F1FC8">
      <w:pPr>
        <w:jc w:val="center"/>
        <w:divId w:val="956446102"/>
        <w:rPr>
          <w:rFonts w:eastAsia="Times New Roman"/>
        </w:rPr>
      </w:pPr>
    </w:p>
    <w:p w:rsidR="00000000" w:rsidRDefault="001F1FC8">
      <w:pPr>
        <w:divId w:val="1331134109"/>
        <w:rPr>
          <w:rFonts w:eastAsia="Times New Roman"/>
        </w:rPr>
      </w:pPr>
      <w:r>
        <w:rPr>
          <w:rFonts w:ascii="Arial" w:eastAsia="Times New Roman" w:hAnsi="Arial" w:cs="Arial"/>
          <w:b/>
          <w:bCs/>
          <w:color w:val="000000"/>
          <w:sz w:val="20"/>
          <w:szCs w:val="20"/>
        </w:rPr>
        <w:t>Enbridge Notes under Guarantees</w:t>
      </w:r>
    </w:p>
    <w:tbl>
      <w:tblPr>
        <w:tblW w:w="5000" w:type="pct"/>
        <w:jc w:val="center"/>
        <w:tblCellMar>
          <w:top w:w="15" w:type="dxa"/>
          <w:left w:w="15" w:type="dxa"/>
          <w:bottom w:w="15" w:type="dxa"/>
          <w:right w:w="15" w:type="dxa"/>
        </w:tblCellMar>
        <w:tblLook w:val="04A0" w:firstRow="1" w:lastRow="0" w:firstColumn="1" w:lastColumn="0" w:noHBand="0" w:noVBand="1"/>
      </w:tblPr>
      <w:tblGrid>
        <w:gridCol w:w="68"/>
        <w:gridCol w:w="4047"/>
        <w:gridCol w:w="37"/>
        <w:gridCol w:w="69"/>
        <w:gridCol w:w="4048"/>
        <w:gridCol w:w="37"/>
      </w:tblGrid>
      <w:tr w:rsidR="00000000">
        <w:trPr>
          <w:divId w:val="1875730385"/>
          <w:jc w:val="center"/>
        </w:trPr>
        <w:tc>
          <w:tcPr>
            <w:tcW w:w="50" w:type="pct"/>
            <w:vAlign w:val="center"/>
            <w:hideMark/>
          </w:tcPr>
          <w:p w:rsidR="00000000" w:rsidRDefault="001F1FC8">
            <w:pPr>
              <w:rPr>
                <w:rFonts w:eastAsia="Times New Roman"/>
              </w:rPr>
            </w:pPr>
          </w:p>
        </w:tc>
        <w:tc>
          <w:tcPr>
            <w:tcW w:w="2445"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c>
          <w:tcPr>
            <w:tcW w:w="50" w:type="pct"/>
            <w:vAlign w:val="center"/>
            <w:hideMark/>
          </w:tcPr>
          <w:p w:rsidR="00000000" w:rsidRDefault="001F1FC8">
            <w:pPr>
              <w:rPr>
                <w:rFonts w:eastAsia="Times New Roman"/>
                <w:sz w:val="20"/>
                <w:szCs w:val="20"/>
              </w:rPr>
            </w:pPr>
          </w:p>
        </w:tc>
        <w:tc>
          <w:tcPr>
            <w:tcW w:w="2445"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r>
      <w:tr w:rsidR="00000000">
        <w:trPr>
          <w:divId w:val="1875730385"/>
          <w:jc w:val="center"/>
        </w:trPr>
        <w:tc>
          <w:tcPr>
            <w:tcW w:w="0" w:type="auto"/>
            <w:gridSpan w:val="3"/>
            <w:tcMar>
              <w:top w:w="30" w:type="dxa"/>
              <w:left w:w="20" w:type="dxa"/>
              <w:bottom w:w="30" w:type="dxa"/>
              <w:right w:w="20" w:type="dxa"/>
            </w:tcMar>
            <w:vAlign w:val="bottom"/>
            <w:hideMark/>
          </w:tcPr>
          <w:p w:rsidR="00000000" w:rsidRDefault="001F1FC8">
            <w:pPr>
              <w:divId w:val="2129397273"/>
              <w:rPr>
                <w:rFonts w:eastAsia="Times New Roman"/>
              </w:rPr>
            </w:pPr>
            <w:r>
              <w:rPr>
                <w:rFonts w:ascii="Arial" w:eastAsia="Times New Roman" w:hAnsi="Arial" w:cs="Arial"/>
                <w:b/>
                <w:bCs/>
                <w:color w:val="000000"/>
                <w:sz w:val="20"/>
                <w:szCs w:val="20"/>
              </w:rPr>
              <w:t>US Dollar Denominate</w:t>
            </w:r>
            <w:r>
              <w:rPr>
                <w:rFonts w:ascii="Arial" w:eastAsia="Times New Roman" w:hAnsi="Arial" w:cs="Arial"/>
                <w:b/>
                <w:bCs/>
                <w:color w:val="000000"/>
                <w:sz w:val="20"/>
                <w:szCs w:val="20"/>
              </w:rPr>
              <w:t>d</w:t>
            </w:r>
            <w:r>
              <w:rPr>
                <w:rFonts w:ascii="Arial" w:eastAsia="Times New Roman" w:hAnsi="Arial" w:cs="Arial"/>
                <w:b/>
                <w:bCs/>
                <w:color w:val="000000"/>
                <w:sz w:val="13"/>
                <w:szCs w:val="13"/>
              </w:rPr>
              <w:t>1</w:t>
            </w:r>
          </w:p>
        </w:tc>
        <w:tc>
          <w:tcPr>
            <w:tcW w:w="0" w:type="auto"/>
            <w:gridSpan w:val="3"/>
            <w:tcMar>
              <w:top w:w="30" w:type="dxa"/>
              <w:left w:w="20" w:type="dxa"/>
              <w:bottom w:w="30" w:type="dxa"/>
              <w:right w:w="20" w:type="dxa"/>
            </w:tcMar>
            <w:vAlign w:val="bottom"/>
            <w:hideMark/>
          </w:tcPr>
          <w:p w:rsidR="00000000" w:rsidRDefault="001F1FC8">
            <w:pPr>
              <w:divId w:val="127549048"/>
              <w:rPr>
                <w:rFonts w:eastAsia="Times New Roman"/>
              </w:rPr>
            </w:pPr>
            <w:r>
              <w:rPr>
                <w:rFonts w:ascii="Arial" w:eastAsia="Times New Roman" w:hAnsi="Arial" w:cs="Arial"/>
                <w:b/>
                <w:bCs/>
                <w:color w:val="000000"/>
                <w:sz w:val="20"/>
                <w:szCs w:val="20"/>
              </w:rPr>
              <w:t>Canadian Dollar Denominate</w:t>
            </w:r>
            <w:r>
              <w:rPr>
                <w:rFonts w:ascii="Arial" w:eastAsia="Times New Roman" w:hAnsi="Arial" w:cs="Arial"/>
                <w:b/>
                <w:bCs/>
                <w:color w:val="000000"/>
                <w:sz w:val="20"/>
                <w:szCs w:val="20"/>
              </w:rPr>
              <w:t>d</w:t>
            </w:r>
            <w:r>
              <w:rPr>
                <w:rFonts w:ascii="Arial" w:eastAsia="Times New Roman" w:hAnsi="Arial" w:cs="Arial"/>
                <w:b/>
                <w:bCs/>
                <w:color w:val="000000"/>
                <w:sz w:val="13"/>
                <w:szCs w:val="13"/>
              </w:rPr>
              <w:t>2</w:t>
            </w:r>
          </w:p>
        </w:tc>
      </w:tr>
      <w:tr w:rsidR="00000000">
        <w:trPr>
          <w:divId w:val="1875730385"/>
          <w:jc w:val="center"/>
        </w:trPr>
        <w:tc>
          <w:tcPr>
            <w:tcW w:w="0" w:type="auto"/>
            <w:gridSpan w:val="3"/>
            <w:tcBorders>
              <w:top w:val="single" w:sz="8" w:space="0" w:color="000000"/>
            </w:tcBorders>
            <w:tcMar>
              <w:top w:w="30" w:type="dxa"/>
              <w:left w:w="245" w:type="dxa"/>
              <w:bottom w:w="30" w:type="dxa"/>
              <w:right w:w="20" w:type="dxa"/>
            </w:tcMar>
            <w:vAlign w:val="bottom"/>
            <w:hideMark/>
          </w:tcPr>
          <w:p w:rsidR="00000000" w:rsidRDefault="001F1FC8">
            <w:pPr>
              <w:rPr>
                <w:rFonts w:eastAsia="Times New Roman"/>
              </w:rPr>
            </w:pPr>
            <w:r>
              <w:rPr>
                <w:rFonts w:ascii="Arial" w:eastAsia="Times New Roman" w:hAnsi="Arial" w:cs="Arial"/>
                <w:color w:val="000000"/>
                <w:sz w:val="20"/>
                <w:szCs w:val="20"/>
              </w:rPr>
              <w:t>Floating Rate Senior Notes due 2022</w:t>
            </w:r>
          </w:p>
        </w:tc>
        <w:tc>
          <w:tcPr>
            <w:tcW w:w="0" w:type="auto"/>
            <w:gridSpan w:val="3"/>
            <w:tcBorders>
              <w:top w:val="single" w:sz="8" w:space="0" w:color="000000"/>
            </w:tcBorders>
            <w:tcMar>
              <w:top w:w="30" w:type="dxa"/>
              <w:left w:w="245" w:type="dxa"/>
              <w:bottom w:w="30" w:type="dxa"/>
              <w:right w:w="20" w:type="dxa"/>
            </w:tcMar>
            <w:vAlign w:val="bottom"/>
            <w:hideMark/>
          </w:tcPr>
          <w:p w:rsidR="00000000" w:rsidRDefault="001F1FC8">
            <w:pPr>
              <w:rPr>
                <w:rFonts w:eastAsia="Times New Roman"/>
              </w:rPr>
            </w:pPr>
            <w:r>
              <w:rPr>
                <w:rFonts w:ascii="Arial" w:eastAsia="Times New Roman" w:hAnsi="Arial" w:cs="Arial"/>
                <w:color w:val="000000"/>
                <w:sz w:val="20"/>
                <w:szCs w:val="20"/>
              </w:rPr>
              <w:t>4.850% Senior Notes due 2022</w:t>
            </w:r>
          </w:p>
        </w:tc>
      </w:tr>
      <w:tr w:rsidR="00000000">
        <w:trPr>
          <w:divId w:val="1875730385"/>
          <w:jc w:val="center"/>
        </w:trPr>
        <w:tc>
          <w:tcPr>
            <w:tcW w:w="0" w:type="auto"/>
            <w:gridSpan w:val="3"/>
            <w:tcMar>
              <w:top w:w="30" w:type="dxa"/>
              <w:left w:w="245" w:type="dxa"/>
              <w:bottom w:w="30" w:type="dxa"/>
              <w:right w:w="20" w:type="dxa"/>
            </w:tcMar>
            <w:vAlign w:val="bottom"/>
            <w:hideMark/>
          </w:tcPr>
          <w:p w:rsidR="00000000" w:rsidRDefault="001F1FC8">
            <w:pPr>
              <w:rPr>
                <w:rFonts w:eastAsia="Times New Roman"/>
              </w:rPr>
            </w:pPr>
            <w:r>
              <w:rPr>
                <w:rFonts w:ascii="Arial" w:eastAsia="Times New Roman" w:hAnsi="Arial" w:cs="Arial"/>
                <w:color w:val="000000"/>
                <w:sz w:val="20"/>
                <w:szCs w:val="20"/>
              </w:rPr>
              <w:t>Floating Rate Senior Notes due 2023</w:t>
            </w:r>
          </w:p>
        </w:tc>
        <w:tc>
          <w:tcPr>
            <w:tcW w:w="0" w:type="auto"/>
            <w:gridSpan w:val="3"/>
            <w:tcMar>
              <w:top w:w="30" w:type="dxa"/>
              <w:left w:w="245" w:type="dxa"/>
              <w:bottom w:w="30" w:type="dxa"/>
              <w:right w:w="20" w:type="dxa"/>
            </w:tcMar>
            <w:vAlign w:val="bottom"/>
            <w:hideMark/>
          </w:tcPr>
          <w:p w:rsidR="00000000" w:rsidRDefault="001F1FC8">
            <w:pPr>
              <w:rPr>
                <w:rFonts w:eastAsia="Times New Roman"/>
              </w:rPr>
            </w:pPr>
            <w:r>
              <w:rPr>
                <w:rFonts w:ascii="Arial" w:eastAsia="Times New Roman" w:hAnsi="Arial" w:cs="Arial"/>
                <w:color w:val="000000"/>
                <w:sz w:val="20"/>
                <w:szCs w:val="20"/>
              </w:rPr>
              <w:t>3.190% Senior Notes due 2022</w:t>
            </w:r>
          </w:p>
        </w:tc>
      </w:tr>
      <w:tr w:rsidR="00000000">
        <w:trPr>
          <w:divId w:val="1875730385"/>
          <w:jc w:val="center"/>
        </w:trPr>
        <w:tc>
          <w:tcPr>
            <w:tcW w:w="0" w:type="auto"/>
            <w:gridSpan w:val="3"/>
            <w:tcMar>
              <w:top w:w="30" w:type="dxa"/>
              <w:left w:w="245" w:type="dxa"/>
              <w:bottom w:w="30" w:type="dxa"/>
              <w:right w:w="20" w:type="dxa"/>
            </w:tcMar>
            <w:vAlign w:val="bottom"/>
            <w:hideMark/>
          </w:tcPr>
          <w:p w:rsidR="00000000" w:rsidRDefault="001F1FC8">
            <w:pPr>
              <w:rPr>
                <w:rFonts w:eastAsia="Times New Roman"/>
              </w:rPr>
            </w:pPr>
            <w:r>
              <w:rPr>
                <w:rFonts w:ascii="Arial" w:eastAsia="Times New Roman" w:hAnsi="Arial" w:cs="Arial"/>
                <w:color w:val="000000"/>
                <w:sz w:val="20"/>
                <w:szCs w:val="20"/>
              </w:rPr>
              <w:t>2.900% Senior Notes due 2022</w:t>
            </w:r>
          </w:p>
        </w:tc>
        <w:tc>
          <w:tcPr>
            <w:tcW w:w="0" w:type="auto"/>
            <w:gridSpan w:val="3"/>
            <w:tcMar>
              <w:top w:w="30" w:type="dxa"/>
              <w:left w:w="245" w:type="dxa"/>
              <w:bottom w:w="30" w:type="dxa"/>
              <w:right w:w="20" w:type="dxa"/>
            </w:tcMar>
            <w:vAlign w:val="bottom"/>
            <w:hideMark/>
          </w:tcPr>
          <w:p w:rsidR="00000000" w:rsidRDefault="001F1FC8">
            <w:pPr>
              <w:rPr>
                <w:rFonts w:eastAsia="Times New Roman"/>
              </w:rPr>
            </w:pPr>
            <w:r>
              <w:rPr>
                <w:rFonts w:ascii="Arial" w:eastAsia="Times New Roman" w:hAnsi="Arial" w:cs="Arial"/>
                <w:color w:val="000000"/>
                <w:sz w:val="20"/>
                <w:szCs w:val="20"/>
              </w:rPr>
              <w:t>3.940% Senior Notes due 2023</w:t>
            </w:r>
          </w:p>
        </w:tc>
      </w:tr>
      <w:tr w:rsidR="00000000">
        <w:trPr>
          <w:divId w:val="1875730385"/>
          <w:jc w:val="center"/>
        </w:trPr>
        <w:tc>
          <w:tcPr>
            <w:tcW w:w="0" w:type="auto"/>
            <w:gridSpan w:val="3"/>
            <w:tcMar>
              <w:top w:w="30" w:type="dxa"/>
              <w:left w:w="245" w:type="dxa"/>
              <w:bottom w:w="30" w:type="dxa"/>
              <w:right w:w="20" w:type="dxa"/>
            </w:tcMar>
            <w:vAlign w:val="bottom"/>
            <w:hideMark/>
          </w:tcPr>
          <w:p w:rsidR="00000000" w:rsidRDefault="001F1FC8">
            <w:pPr>
              <w:rPr>
                <w:rFonts w:eastAsia="Times New Roman"/>
              </w:rPr>
            </w:pPr>
            <w:r>
              <w:rPr>
                <w:rFonts w:ascii="Arial" w:eastAsia="Times New Roman" w:hAnsi="Arial" w:cs="Arial"/>
                <w:color w:val="000000"/>
                <w:sz w:val="20"/>
                <w:szCs w:val="20"/>
              </w:rPr>
              <w:t>4.000% Senior Notes due 2023</w:t>
            </w:r>
          </w:p>
        </w:tc>
        <w:tc>
          <w:tcPr>
            <w:tcW w:w="0" w:type="auto"/>
            <w:gridSpan w:val="3"/>
            <w:tcMar>
              <w:top w:w="30" w:type="dxa"/>
              <w:left w:w="245" w:type="dxa"/>
              <w:bottom w:w="30" w:type="dxa"/>
              <w:right w:w="20" w:type="dxa"/>
            </w:tcMar>
            <w:vAlign w:val="bottom"/>
            <w:hideMark/>
          </w:tcPr>
          <w:p w:rsidR="00000000" w:rsidRDefault="001F1FC8">
            <w:pPr>
              <w:rPr>
                <w:rFonts w:eastAsia="Times New Roman"/>
              </w:rPr>
            </w:pPr>
            <w:r>
              <w:rPr>
                <w:rFonts w:ascii="Arial" w:eastAsia="Times New Roman" w:hAnsi="Arial" w:cs="Arial"/>
                <w:color w:val="000000"/>
                <w:sz w:val="20"/>
                <w:szCs w:val="20"/>
              </w:rPr>
              <w:t>3.940% Senior Notes due 2023</w:t>
            </w:r>
          </w:p>
        </w:tc>
      </w:tr>
      <w:tr w:rsidR="00000000">
        <w:trPr>
          <w:divId w:val="1875730385"/>
          <w:jc w:val="center"/>
        </w:trPr>
        <w:tc>
          <w:tcPr>
            <w:tcW w:w="0" w:type="auto"/>
            <w:gridSpan w:val="3"/>
            <w:tcMar>
              <w:top w:w="30" w:type="dxa"/>
              <w:left w:w="245" w:type="dxa"/>
              <w:bottom w:w="30" w:type="dxa"/>
              <w:right w:w="20" w:type="dxa"/>
            </w:tcMar>
            <w:vAlign w:val="bottom"/>
            <w:hideMark/>
          </w:tcPr>
          <w:p w:rsidR="00000000" w:rsidRDefault="001F1FC8">
            <w:pPr>
              <w:rPr>
                <w:rFonts w:eastAsia="Times New Roman"/>
              </w:rPr>
            </w:pPr>
            <w:r>
              <w:rPr>
                <w:rFonts w:ascii="Arial" w:eastAsia="Times New Roman" w:hAnsi="Arial" w:cs="Arial"/>
                <w:color w:val="000000"/>
                <w:sz w:val="20"/>
                <w:szCs w:val="20"/>
              </w:rPr>
              <w:t>0.550% Senior Notes due 2023</w:t>
            </w:r>
          </w:p>
        </w:tc>
        <w:tc>
          <w:tcPr>
            <w:tcW w:w="0" w:type="auto"/>
            <w:gridSpan w:val="3"/>
            <w:tcMar>
              <w:top w:w="30" w:type="dxa"/>
              <w:left w:w="245" w:type="dxa"/>
              <w:bottom w:w="30" w:type="dxa"/>
              <w:right w:w="20" w:type="dxa"/>
            </w:tcMar>
            <w:vAlign w:val="bottom"/>
            <w:hideMark/>
          </w:tcPr>
          <w:p w:rsidR="00000000" w:rsidRDefault="001F1FC8">
            <w:pPr>
              <w:rPr>
                <w:rFonts w:eastAsia="Times New Roman"/>
              </w:rPr>
            </w:pPr>
            <w:r>
              <w:rPr>
                <w:rFonts w:ascii="Arial" w:eastAsia="Times New Roman" w:hAnsi="Arial" w:cs="Arial"/>
                <w:color w:val="000000"/>
                <w:sz w:val="20"/>
                <w:szCs w:val="20"/>
              </w:rPr>
              <w:t>3.950% Senior Notes due 2024</w:t>
            </w:r>
          </w:p>
        </w:tc>
      </w:tr>
      <w:tr w:rsidR="00000000">
        <w:trPr>
          <w:divId w:val="1875730385"/>
          <w:jc w:val="center"/>
        </w:trPr>
        <w:tc>
          <w:tcPr>
            <w:tcW w:w="0" w:type="auto"/>
            <w:gridSpan w:val="3"/>
            <w:tcMar>
              <w:top w:w="30" w:type="dxa"/>
              <w:left w:w="245" w:type="dxa"/>
              <w:bottom w:w="30" w:type="dxa"/>
              <w:right w:w="20" w:type="dxa"/>
            </w:tcMar>
            <w:vAlign w:val="bottom"/>
            <w:hideMark/>
          </w:tcPr>
          <w:p w:rsidR="00000000" w:rsidRDefault="001F1FC8">
            <w:pPr>
              <w:rPr>
                <w:rFonts w:eastAsia="Times New Roman"/>
              </w:rPr>
            </w:pPr>
            <w:r>
              <w:rPr>
                <w:rFonts w:ascii="Arial" w:eastAsia="Times New Roman" w:hAnsi="Arial" w:cs="Arial"/>
                <w:color w:val="000000"/>
                <w:sz w:val="20"/>
                <w:szCs w:val="20"/>
              </w:rPr>
              <w:t>3.500% Senior Notes due 2024</w:t>
            </w:r>
          </w:p>
        </w:tc>
        <w:tc>
          <w:tcPr>
            <w:tcW w:w="0" w:type="auto"/>
            <w:gridSpan w:val="3"/>
            <w:tcMar>
              <w:top w:w="30" w:type="dxa"/>
              <w:left w:w="245" w:type="dxa"/>
              <w:bottom w:w="30" w:type="dxa"/>
              <w:right w:w="20" w:type="dxa"/>
            </w:tcMar>
            <w:vAlign w:val="bottom"/>
            <w:hideMark/>
          </w:tcPr>
          <w:p w:rsidR="00000000" w:rsidRDefault="001F1FC8">
            <w:pPr>
              <w:rPr>
                <w:rFonts w:eastAsia="Times New Roman"/>
              </w:rPr>
            </w:pPr>
            <w:r>
              <w:rPr>
                <w:rFonts w:ascii="Arial" w:eastAsia="Times New Roman" w:hAnsi="Arial" w:cs="Arial"/>
                <w:color w:val="000000"/>
                <w:sz w:val="20"/>
                <w:szCs w:val="20"/>
              </w:rPr>
              <w:t>2.440% Senior Notes due 2025</w:t>
            </w:r>
          </w:p>
        </w:tc>
      </w:tr>
      <w:tr w:rsidR="00000000">
        <w:trPr>
          <w:divId w:val="1875730385"/>
          <w:jc w:val="center"/>
        </w:trPr>
        <w:tc>
          <w:tcPr>
            <w:tcW w:w="0" w:type="auto"/>
            <w:gridSpan w:val="3"/>
            <w:tcMar>
              <w:top w:w="30" w:type="dxa"/>
              <w:left w:w="245" w:type="dxa"/>
              <w:bottom w:w="30" w:type="dxa"/>
              <w:right w:w="20" w:type="dxa"/>
            </w:tcMar>
            <w:vAlign w:val="bottom"/>
            <w:hideMark/>
          </w:tcPr>
          <w:p w:rsidR="00000000" w:rsidRDefault="001F1FC8">
            <w:pPr>
              <w:rPr>
                <w:rFonts w:eastAsia="Times New Roman"/>
              </w:rPr>
            </w:pPr>
            <w:r>
              <w:rPr>
                <w:rFonts w:ascii="Arial" w:eastAsia="Times New Roman" w:hAnsi="Arial" w:cs="Arial"/>
                <w:color w:val="000000"/>
                <w:sz w:val="20"/>
                <w:szCs w:val="20"/>
              </w:rPr>
              <w:t>2.500% Senior Notes due 2025</w:t>
            </w:r>
          </w:p>
        </w:tc>
        <w:tc>
          <w:tcPr>
            <w:tcW w:w="0" w:type="auto"/>
            <w:gridSpan w:val="3"/>
            <w:tcMar>
              <w:top w:w="30" w:type="dxa"/>
              <w:left w:w="245" w:type="dxa"/>
              <w:bottom w:w="30" w:type="dxa"/>
              <w:right w:w="20" w:type="dxa"/>
            </w:tcMar>
            <w:vAlign w:val="bottom"/>
            <w:hideMark/>
          </w:tcPr>
          <w:p w:rsidR="00000000" w:rsidRDefault="001F1FC8">
            <w:pPr>
              <w:rPr>
                <w:rFonts w:eastAsia="Times New Roman"/>
              </w:rPr>
            </w:pPr>
            <w:r>
              <w:rPr>
                <w:rFonts w:ascii="Arial" w:eastAsia="Times New Roman" w:hAnsi="Arial" w:cs="Arial"/>
                <w:color w:val="000000"/>
                <w:sz w:val="20"/>
                <w:szCs w:val="20"/>
              </w:rPr>
              <w:t>3.200% Senior Notes due 2027</w:t>
            </w:r>
          </w:p>
        </w:tc>
      </w:tr>
      <w:tr w:rsidR="00000000">
        <w:trPr>
          <w:divId w:val="1875730385"/>
          <w:jc w:val="center"/>
        </w:trPr>
        <w:tc>
          <w:tcPr>
            <w:tcW w:w="0" w:type="auto"/>
            <w:gridSpan w:val="3"/>
            <w:tcMar>
              <w:top w:w="30" w:type="dxa"/>
              <w:left w:w="245" w:type="dxa"/>
              <w:bottom w:w="30" w:type="dxa"/>
              <w:right w:w="20" w:type="dxa"/>
            </w:tcMar>
            <w:vAlign w:val="bottom"/>
            <w:hideMark/>
          </w:tcPr>
          <w:p w:rsidR="00000000" w:rsidRDefault="001F1FC8">
            <w:pPr>
              <w:rPr>
                <w:rFonts w:eastAsia="Times New Roman"/>
              </w:rPr>
            </w:pPr>
            <w:r>
              <w:rPr>
                <w:rFonts w:ascii="Arial" w:eastAsia="Times New Roman" w:hAnsi="Arial" w:cs="Arial"/>
                <w:color w:val="000000"/>
                <w:sz w:val="20"/>
                <w:szCs w:val="20"/>
              </w:rPr>
              <w:t>4.250% Senior Notes due 2026</w:t>
            </w:r>
          </w:p>
        </w:tc>
        <w:tc>
          <w:tcPr>
            <w:tcW w:w="0" w:type="auto"/>
            <w:gridSpan w:val="3"/>
            <w:tcMar>
              <w:top w:w="30" w:type="dxa"/>
              <w:left w:w="245" w:type="dxa"/>
              <w:bottom w:w="30" w:type="dxa"/>
              <w:right w:w="20" w:type="dxa"/>
            </w:tcMar>
            <w:vAlign w:val="bottom"/>
            <w:hideMark/>
          </w:tcPr>
          <w:p w:rsidR="00000000" w:rsidRDefault="001F1FC8">
            <w:pPr>
              <w:rPr>
                <w:rFonts w:eastAsia="Times New Roman"/>
              </w:rPr>
            </w:pPr>
            <w:r>
              <w:rPr>
                <w:rFonts w:ascii="Arial" w:eastAsia="Times New Roman" w:hAnsi="Arial" w:cs="Arial"/>
                <w:color w:val="000000"/>
                <w:sz w:val="20"/>
                <w:szCs w:val="20"/>
              </w:rPr>
              <w:t>6.100% Senior Notes due 2028</w:t>
            </w:r>
          </w:p>
        </w:tc>
      </w:tr>
      <w:tr w:rsidR="00000000">
        <w:trPr>
          <w:divId w:val="1875730385"/>
          <w:jc w:val="center"/>
        </w:trPr>
        <w:tc>
          <w:tcPr>
            <w:tcW w:w="0" w:type="auto"/>
            <w:gridSpan w:val="3"/>
            <w:tcMar>
              <w:top w:w="30" w:type="dxa"/>
              <w:left w:w="245" w:type="dxa"/>
              <w:bottom w:w="30" w:type="dxa"/>
              <w:right w:w="20" w:type="dxa"/>
            </w:tcMar>
            <w:vAlign w:val="bottom"/>
            <w:hideMark/>
          </w:tcPr>
          <w:p w:rsidR="00000000" w:rsidRDefault="001F1FC8">
            <w:pPr>
              <w:rPr>
                <w:rFonts w:eastAsia="Times New Roman"/>
              </w:rPr>
            </w:pPr>
            <w:r>
              <w:rPr>
                <w:rFonts w:ascii="Arial" w:eastAsia="Times New Roman" w:hAnsi="Arial" w:cs="Arial"/>
                <w:color w:val="000000"/>
                <w:sz w:val="20"/>
                <w:szCs w:val="20"/>
              </w:rPr>
              <w:t>1.600% Senior Notes due 2026</w:t>
            </w:r>
          </w:p>
        </w:tc>
        <w:tc>
          <w:tcPr>
            <w:tcW w:w="0" w:type="auto"/>
            <w:gridSpan w:val="3"/>
            <w:tcMar>
              <w:top w:w="30" w:type="dxa"/>
              <w:left w:w="245" w:type="dxa"/>
              <w:bottom w:w="30" w:type="dxa"/>
              <w:right w:w="20" w:type="dxa"/>
            </w:tcMar>
            <w:vAlign w:val="bottom"/>
            <w:hideMark/>
          </w:tcPr>
          <w:p w:rsidR="00000000" w:rsidRDefault="001F1FC8">
            <w:pPr>
              <w:rPr>
                <w:rFonts w:eastAsia="Times New Roman"/>
              </w:rPr>
            </w:pPr>
            <w:r>
              <w:rPr>
                <w:rFonts w:ascii="Arial" w:eastAsia="Times New Roman" w:hAnsi="Arial" w:cs="Arial"/>
                <w:color w:val="000000"/>
                <w:sz w:val="20"/>
                <w:szCs w:val="20"/>
              </w:rPr>
              <w:t>2.990% Senior Notes due 2029</w:t>
            </w:r>
          </w:p>
        </w:tc>
      </w:tr>
      <w:tr w:rsidR="00000000">
        <w:trPr>
          <w:divId w:val="1875730385"/>
          <w:jc w:val="center"/>
        </w:trPr>
        <w:tc>
          <w:tcPr>
            <w:tcW w:w="0" w:type="auto"/>
            <w:gridSpan w:val="3"/>
            <w:tcMar>
              <w:top w:w="30" w:type="dxa"/>
              <w:left w:w="245" w:type="dxa"/>
              <w:bottom w:w="30" w:type="dxa"/>
              <w:right w:w="20" w:type="dxa"/>
            </w:tcMar>
            <w:vAlign w:val="bottom"/>
            <w:hideMark/>
          </w:tcPr>
          <w:p w:rsidR="00000000" w:rsidRDefault="001F1FC8">
            <w:pPr>
              <w:rPr>
                <w:rFonts w:eastAsia="Times New Roman"/>
              </w:rPr>
            </w:pPr>
            <w:r>
              <w:rPr>
                <w:rFonts w:ascii="Arial" w:eastAsia="Times New Roman" w:hAnsi="Arial" w:cs="Arial"/>
                <w:color w:val="000000"/>
                <w:sz w:val="20"/>
                <w:szCs w:val="20"/>
              </w:rPr>
              <w:t>3.700% Senior Notes due 2027</w:t>
            </w:r>
          </w:p>
        </w:tc>
        <w:tc>
          <w:tcPr>
            <w:tcW w:w="0" w:type="auto"/>
            <w:gridSpan w:val="3"/>
            <w:tcMar>
              <w:top w:w="30" w:type="dxa"/>
              <w:left w:w="245" w:type="dxa"/>
              <w:bottom w:w="30" w:type="dxa"/>
              <w:right w:w="20" w:type="dxa"/>
            </w:tcMar>
            <w:vAlign w:val="bottom"/>
            <w:hideMark/>
          </w:tcPr>
          <w:p w:rsidR="00000000" w:rsidRDefault="001F1FC8">
            <w:pPr>
              <w:rPr>
                <w:rFonts w:eastAsia="Times New Roman"/>
              </w:rPr>
            </w:pPr>
            <w:r>
              <w:rPr>
                <w:rFonts w:ascii="Arial" w:eastAsia="Times New Roman" w:hAnsi="Arial" w:cs="Arial"/>
                <w:color w:val="000000"/>
                <w:sz w:val="20"/>
                <w:szCs w:val="20"/>
              </w:rPr>
              <w:t>7.220% Senior Notes due 2030</w:t>
            </w:r>
          </w:p>
        </w:tc>
      </w:tr>
      <w:tr w:rsidR="00000000">
        <w:trPr>
          <w:divId w:val="1875730385"/>
          <w:jc w:val="center"/>
        </w:trPr>
        <w:tc>
          <w:tcPr>
            <w:tcW w:w="0" w:type="auto"/>
            <w:gridSpan w:val="3"/>
            <w:tcMar>
              <w:top w:w="30" w:type="dxa"/>
              <w:left w:w="245" w:type="dxa"/>
              <w:bottom w:w="30" w:type="dxa"/>
              <w:right w:w="20" w:type="dxa"/>
            </w:tcMar>
            <w:vAlign w:val="bottom"/>
            <w:hideMark/>
          </w:tcPr>
          <w:p w:rsidR="00000000" w:rsidRDefault="001F1FC8">
            <w:pPr>
              <w:rPr>
                <w:rFonts w:eastAsia="Times New Roman"/>
              </w:rPr>
            </w:pPr>
            <w:r>
              <w:rPr>
                <w:rFonts w:ascii="Arial" w:eastAsia="Times New Roman" w:hAnsi="Arial" w:cs="Arial"/>
                <w:color w:val="000000"/>
                <w:sz w:val="20"/>
                <w:szCs w:val="20"/>
              </w:rPr>
              <w:t>3.125% Senior Notes due 2029</w:t>
            </w:r>
          </w:p>
        </w:tc>
        <w:tc>
          <w:tcPr>
            <w:tcW w:w="0" w:type="auto"/>
            <w:gridSpan w:val="3"/>
            <w:tcMar>
              <w:top w:w="30" w:type="dxa"/>
              <w:left w:w="245" w:type="dxa"/>
              <w:bottom w:w="30" w:type="dxa"/>
              <w:right w:w="20" w:type="dxa"/>
            </w:tcMar>
            <w:vAlign w:val="bottom"/>
            <w:hideMark/>
          </w:tcPr>
          <w:p w:rsidR="00000000" w:rsidRDefault="001F1FC8">
            <w:pPr>
              <w:rPr>
                <w:rFonts w:eastAsia="Times New Roman"/>
              </w:rPr>
            </w:pPr>
            <w:r>
              <w:rPr>
                <w:rFonts w:ascii="Arial" w:eastAsia="Times New Roman" w:hAnsi="Arial" w:cs="Arial"/>
                <w:color w:val="000000"/>
                <w:sz w:val="20"/>
                <w:szCs w:val="20"/>
              </w:rPr>
              <w:t>7.200% Senior Notes due 2032</w:t>
            </w:r>
          </w:p>
        </w:tc>
      </w:tr>
      <w:tr w:rsidR="00000000">
        <w:trPr>
          <w:divId w:val="1875730385"/>
          <w:jc w:val="center"/>
        </w:trPr>
        <w:tc>
          <w:tcPr>
            <w:tcW w:w="0" w:type="auto"/>
            <w:gridSpan w:val="3"/>
            <w:tcMar>
              <w:top w:w="30" w:type="dxa"/>
              <w:left w:w="245" w:type="dxa"/>
              <w:bottom w:w="30" w:type="dxa"/>
              <w:right w:w="20" w:type="dxa"/>
            </w:tcMar>
            <w:vAlign w:val="bottom"/>
            <w:hideMark/>
          </w:tcPr>
          <w:p w:rsidR="00000000" w:rsidRDefault="001F1FC8">
            <w:pPr>
              <w:rPr>
                <w:rFonts w:eastAsia="Times New Roman"/>
              </w:rPr>
            </w:pPr>
            <w:r>
              <w:rPr>
                <w:rFonts w:ascii="Arial" w:eastAsia="Times New Roman" w:hAnsi="Arial" w:cs="Arial"/>
                <w:color w:val="000000"/>
                <w:sz w:val="20"/>
                <w:szCs w:val="20"/>
              </w:rPr>
              <w:t>2.500% Sustainability-linked Senior Notes due 2033</w:t>
            </w:r>
          </w:p>
        </w:tc>
        <w:tc>
          <w:tcPr>
            <w:tcW w:w="0" w:type="auto"/>
            <w:gridSpan w:val="3"/>
            <w:tcMar>
              <w:top w:w="30" w:type="dxa"/>
              <w:left w:w="245" w:type="dxa"/>
              <w:bottom w:w="30" w:type="dxa"/>
              <w:right w:w="20" w:type="dxa"/>
            </w:tcMar>
            <w:vAlign w:val="bottom"/>
            <w:hideMark/>
          </w:tcPr>
          <w:p w:rsidR="00000000" w:rsidRDefault="001F1FC8">
            <w:pPr>
              <w:rPr>
                <w:rFonts w:eastAsia="Times New Roman"/>
              </w:rPr>
            </w:pPr>
            <w:r>
              <w:rPr>
                <w:rFonts w:ascii="Arial" w:eastAsia="Times New Roman" w:hAnsi="Arial" w:cs="Arial"/>
                <w:color w:val="000000"/>
                <w:sz w:val="20"/>
                <w:szCs w:val="20"/>
              </w:rPr>
              <w:t>3.100% Sustainability-linked Senior Notes due 2033</w:t>
            </w:r>
          </w:p>
        </w:tc>
      </w:tr>
      <w:tr w:rsidR="00000000">
        <w:trPr>
          <w:divId w:val="1875730385"/>
          <w:jc w:val="center"/>
        </w:trPr>
        <w:tc>
          <w:tcPr>
            <w:tcW w:w="0" w:type="auto"/>
            <w:gridSpan w:val="3"/>
            <w:tcMar>
              <w:top w:w="30" w:type="dxa"/>
              <w:left w:w="245" w:type="dxa"/>
              <w:bottom w:w="30" w:type="dxa"/>
              <w:right w:w="20" w:type="dxa"/>
            </w:tcMar>
            <w:vAlign w:val="bottom"/>
            <w:hideMark/>
          </w:tcPr>
          <w:p w:rsidR="00000000" w:rsidRDefault="001F1FC8">
            <w:pPr>
              <w:rPr>
                <w:rFonts w:eastAsia="Times New Roman"/>
              </w:rPr>
            </w:pPr>
            <w:r>
              <w:rPr>
                <w:rFonts w:ascii="Arial" w:eastAsia="Times New Roman" w:hAnsi="Arial" w:cs="Arial"/>
                <w:color w:val="000000"/>
                <w:sz w:val="20"/>
                <w:szCs w:val="20"/>
              </w:rPr>
              <w:t>4.500% Senior Notes due 2044</w:t>
            </w:r>
          </w:p>
        </w:tc>
        <w:tc>
          <w:tcPr>
            <w:tcW w:w="0" w:type="auto"/>
            <w:gridSpan w:val="3"/>
            <w:tcMar>
              <w:top w:w="30" w:type="dxa"/>
              <w:left w:w="245" w:type="dxa"/>
              <w:bottom w:w="30" w:type="dxa"/>
              <w:right w:w="20" w:type="dxa"/>
            </w:tcMar>
            <w:vAlign w:val="bottom"/>
            <w:hideMark/>
          </w:tcPr>
          <w:p w:rsidR="00000000" w:rsidRDefault="001F1FC8">
            <w:pPr>
              <w:rPr>
                <w:rFonts w:eastAsia="Times New Roman"/>
              </w:rPr>
            </w:pPr>
            <w:r>
              <w:rPr>
                <w:rFonts w:ascii="Arial" w:eastAsia="Times New Roman" w:hAnsi="Arial" w:cs="Arial"/>
                <w:color w:val="000000"/>
                <w:sz w:val="20"/>
                <w:szCs w:val="20"/>
              </w:rPr>
              <w:t>5.570% Senior Notes due 2035</w:t>
            </w:r>
          </w:p>
        </w:tc>
      </w:tr>
      <w:tr w:rsidR="00000000">
        <w:trPr>
          <w:divId w:val="1875730385"/>
          <w:jc w:val="center"/>
        </w:trPr>
        <w:tc>
          <w:tcPr>
            <w:tcW w:w="0" w:type="auto"/>
            <w:gridSpan w:val="3"/>
            <w:tcMar>
              <w:top w:w="30" w:type="dxa"/>
              <w:left w:w="245" w:type="dxa"/>
              <w:bottom w:w="30" w:type="dxa"/>
              <w:right w:w="20" w:type="dxa"/>
            </w:tcMar>
            <w:vAlign w:val="bottom"/>
            <w:hideMark/>
          </w:tcPr>
          <w:p w:rsidR="00000000" w:rsidRDefault="001F1FC8">
            <w:pPr>
              <w:rPr>
                <w:rFonts w:eastAsia="Times New Roman"/>
              </w:rPr>
            </w:pPr>
            <w:r>
              <w:rPr>
                <w:rFonts w:ascii="Arial" w:eastAsia="Times New Roman" w:hAnsi="Arial" w:cs="Arial"/>
                <w:color w:val="000000"/>
                <w:sz w:val="20"/>
                <w:szCs w:val="20"/>
              </w:rPr>
              <w:t>5.500% Senior Notes due 2046</w:t>
            </w:r>
          </w:p>
        </w:tc>
        <w:tc>
          <w:tcPr>
            <w:tcW w:w="0" w:type="auto"/>
            <w:gridSpan w:val="3"/>
            <w:tcMar>
              <w:top w:w="30" w:type="dxa"/>
              <w:left w:w="245" w:type="dxa"/>
              <w:bottom w:w="30" w:type="dxa"/>
              <w:right w:w="20" w:type="dxa"/>
            </w:tcMar>
            <w:vAlign w:val="bottom"/>
            <w:hideMark/>
          </w:tcPr>
          <w:p w:rsidR="00000000" w:rsidRDefault="001F1FC8">
            <w:pPr>
              <w:rPr>
                <w:rFonts w:eastAsia="Times New Roman"/>
              </w:rPr>
            </w:pPr>
            <w:r>
              <w:rPr>
                <w:rFonts w:ascii="Arial" w:eastAsia="Times New Roman" w:hAnsi="Arial" w:cs="Arial"/>
                <w:color w:val="000000"/>
                <w:sz w:val="20"/>
                <w:szCs w:val="20"/>
              </w:rPr>
              <w:t>5.750% Senior Notes due 2039</w:t>
            </w:r>
          </w:p>
        </w:tc>
      </w:tr>
      <w:tr w:rsidR="00000000">
        <w:trPr>
          <w:divId w:val="1875730385"/>
          <w:jc w:val="center"/>
        </w:trPr>
        <w:tc>
          <w:tcPr>
            <w:tcW w:w="0" w:type="auto"/>
            <w:gridSpan w:val="3"/>
            <w:tcMar>
              <w:top w:w="30" w:type="dxa"/>
              <w:left w:w="245" w:type="dxa"/>
              <w:bottom w:w="30" w:type="dxa"/>
              <w:right w:w="20" w:type="dxa"/>
            </w:tcMar>
            <w:vAlign w:val="bottom"/>
            <w:hideMark/>
          </w:tcPr>
          <w:p w:rsidR="00000000" w:rsidRDefault="001F1FC8">
            <w:pPr>
              <w:rPr>
                <w:rFonts w:eastAsia="Times New Roman"/>
              </w:rPr>
            </w:pPr>
            <w:r>
              <w:rPr>
                <w:rFonts w:ascii="Arial" w:eastAsia="Times New Roman" w:hAnsi="Arial" w:cs="Arial"/>
                <w:color w:val="000000"/>
                <w:sz w:val="20"/>
                <w:szCs w:val="20"/>
              </w:rPr>
              <w:t>4.000% Senior Notes due</w:t>
            </w:r>
            <w:r>
              <w:rPr>
                <w:rFonts w:ascii="Arial" w:eastAsia="Times New Roman" w:hAnsi="Arial" w:cs="Arial"/>
                <w:color w:val="000000"/>
                <w:sz w:val="20"/>
                <w:szCs w:val="20"/>
              </w:rPr>
              <w:t xml:space="preserve"> 2049</w:t>
            </w:r>
          </w:p>
        </w:tc>
        <w:tc>
          <w:tcPr>
            <w:tcW w:w="0" w:type="auto"/>
            <w:gridSpan w:val="3"/>
            <w:tcMar>
              <w:top w:w="30" w:type="dxa"/>
              <w:left w:w="245" w:type="dxa"/>
              <w:bottom w:w="30" w:type="dxa"/>
              <w:right w:w="20" w:type="dxa"/>
            </w:tcMar>
            <w:vAlign w:val="bottom"/>
            <w:hideMark/>
          </w:tcPr>
          <w:p w:rsidR="00000000" w:rsidRDefault="001F1FC8">
            <w:pPr>
              <w:rPr>
                <w:rFonts w:eastAsia="Times New Roman"/>
              </w:rPr>
            </w:pPr>
            <w:r>
              <w:rPr>
                <w:rFonts w:ascii="Arial" w:eastAsia="Times New Roman" w:hAnsi="Arial" w:cs="Arial"/>
                <w:color w:val="000000"/>
                <w:sz w:val="20"/>
                <w:szCs w:val="20"/>
              </w:rPr>
              <w:t>5.120% Senior Notes due 2040</w:t>
            </w:r>
          </w:p>
        </w:tc>
      </w:tr>
      <w:tr w:rsidR="00000000">
        <w:trPr>
          <w:divId w:val="1875730385"/>
          <w:jc w:val="center"/>
        </w:trPr>
        <w:tc>
          <w:tcPr>
            <w:tcW w:w="0" w:type="auto"/>
            <w:gridSpan w:val="3"/>
            <w:tcMar>
              <w:top w:w="30" w:type="dxa"/>
              <w:left w:w="245" w:type="dxa"/>
              <w:bottom w:w="30" w:type="dxa"/>
              <w:right w:w="20" w:type="dxa"/>
            </w:tcMar>
            <w:vAlign w:val="bottom"/>
            <w:hideMark/>
          </w:tcPr>
          <w:p w:rsidR="00000000" w:rsidRDefault="001F1FC8">
            <w:pPr>
              <w:rPr>
                <w:rFonts w:eastAsia="Times New Roman"/>
              </w:rPr>
            </w:pPr>
            <w:r>
              <w:rPr>
                <w:rFonts w:ascii="Arial" w:eastAsia="Times New Roman" w:hAnsi="Arial" w:cs="Arial"/>
                <w:color w:val="000000"/>
                <w:sz w:val="20"/>
                <w:szCs w:val="20"/>
              </w:rPr>
              <w:t>3.400% Senior Notes due 2051</w:t>
            </w:r>
          </w:p>
        </w:tc>
        <w:tc>
          <w:tcPr>
            <w:tcW w:w="0" w:type="auto"/>
            <w:gridSpan w:val="3"/>
            <w:tcMar>
              <w:top w:w="30" w:type="dxa"/>
              <w:left w:w="245" w:type="dxa"/>
              <w:bottom w:w="30" w:type="dxa"/>
              <w:right w:w="20" w:type="dxa"/>
            </w:tcMar>
            <w:vAlign w:val="bottom"/>
            <w:hideMark/>
          </w:tcPr>
          <w:p w:rsidR="00000000" w:rsidRDefault="001F1FC8">
            <w:pPr>
              <w:rPr>
                <w:rFonts w:eastAsia="Times New Roman"/>
              </w:rPr>
            </w:pPr>
            <w:r>
              <w:rPr>
                <w:rFonts w:ascii="Arial" w:eastAsia="Times New Roman" w:hAnsi="Arial" w:cs="Arial"/>
                <w:color w:val="000000"/>
                <w:sz w:val="20"/>
                <w:szCs w:val="20"/>
              </w:rPr>
              <w:t>4.240% Senior Notes due 2042</w:t>
            </w:r>
          </w:p>
        </w:tc>
      </w:tr>
      <w:tr w:rsidR="00000000">
        <w:trPr>
          <w:divId w:val="1875730385"/>
          <w:jc w:val="center"/>
        </w:trPr>
        <w:tc>
          <w:tcPr>
            <w:tcW w:w="0" w:type="auto"/>
            <w:gridSpan w:val="3"/>
            <w:tcMar>
              <w:top w:w="0" w:type="dxa"/>
              <w:left w:w="245" w:type="dxa"/>
              <w:bottom w:w="0" w:type="dxa"/>
              <w:right w:w="20" w:type="dxa"/>
            </w:tcMar>
            <w:vAlign w:val="center"/>
            <w:hideMark/>
          </w:tcPr>
          <w:p w:rsidR="00000000" w:rsidRDefault="001F1FC8">
            <w:pPr>
              <w:rPr>
                <w:rFonts w:eastAsia="Times New Roman"/>
              </w:rPr>
            </w:pPr>
          </w:p>
        </w:tc>
        <w:tc>
          <w:tcPr>
            <w:tcW w:w="0" w:type="auto"/>
            <w:gridSpan w:val="3"/>
            <w:tcMar>
              <w:top w:w="30" w:type="dxa"/>
              <w:left w:w="245" w:type="dxa"/>
              <w:bottom w:w="30" w:type="dxa"/>
              <w:right w:w="20" w:type="dxa"/>
            </w:tcMar>
            <w:vAlign w:val="bottom"/>
            <w:hideMark/>
          </w:tcPr>
          <w:p w:rsidR="00000000" w:rsidRDefault="001F1FC8">
            <w:pPr>
              <w:rPr>
                <w:rFonts w:eastAsia="Times New Roman"/>
              </w:rPr>
            </w:pPr>
            <w:r>
              <w:rPr>
                <w:rFonts w:ascii="Arial" w:eastAsia="Times New Roman" w:hAnsi="Arial" w:cs="Arial"/>
                <w:color w:val="000000"/>
                <w:sz w:val="20"/>
                <w:szCs w:val="20"/>
              </w:rPr>
              <w:t>4.570% Senior Notes due 2044</w:t>
            </w:r>
          </w:p>
        </w:tc>
      </w:tr>
      <w:tr w:rsidR="00000000">
        <w:trPr>
          <w:divId w:val="1875730385"/>
          <w:jc w:val="center"/>
        </w:trPr>
        <w:tc>
          <w:tcPr>
            <w:tcW w:w="0" w:type="auto"/>
            <w:gridSpan w:val="3"/>
            <w:tcMar>
              <w:top w:w="0" w:type="dxa"/>
              <w:left w:w="245" w:type="dxa"/>
              <w:bottom w:w="0" w:type="dxa"/>
              <w:right w:w="20" w:type="dxa"/>
            </w:tcMar>
            <w:vAlign w:val="center"/>
            <w:hideMark/>
          </w:tcPr>
          <w:p w:rsidR="00000000" w:rsidRDefault="001F1FC8">
            <w:pPr>
              <w:rPr>
                <w:rFonts w:eastAsia="Times New Roman"/>
              </w:rPr>
            </w:pPr>
          </w:p>
        </w:tc>
        <w:tc>
          <w:tcPr>
            <w:tcW w:w="0" w:type="auto"/>
            <w:gridSpan w:val="3"/>
            <w:tcMar>
              <w:top w:w="30" w:type="dxa"/>
              <w:left w:w="245" w:type="dxa"/>
              <w:bottom w:w="30" w:type="dxa"/>
              <w:right w:w="20" w:type="dxa"/>
            </w:tcMar>
            <w:vAlign w:val="bottom"/>
            <w:hideMark/>
          </w:tcPr>
          <w:p w:rsidR="00000000" w:rsidRDefault="001F1FC8">
            <w:pPr>
              <w:rPr>
                <w:rFonts w:eastAsia="Times New Roman"/>
              </w:rPr>
            </w:pPr>
            <w:r>
              <w:rPr>
                <w:rFonts w:ascii="Arial" w:eastAsia="Times New Roman" w:hAnsi="Arial" w:cs="Arial"/>
                <w:color w:val="000000"/>
                <w:sz w:val="20"/>
                <w:szCs w:val="20"/>
              </w:rPr>
              <w:t>4.870% Senior Notes due 2044</w:t>
            </w:r>
          </w:p>
        </w:tc>
      </w:tr>
      <w:tr w:rsidR="00000000">
        <w:trPr>
          <w:divId w:val="1875730385"/>
          <w:jc w:val="center"/>
        </w:trPr>
        <w:tc>
          <w:tcPr>
            <w:tcW w:w="0" w:type="auto"/>
            <w:gridSpan w:val="3"/>
            <w:tcMar>
              <w:top w:w="0" w:type="dxa"/>
              <w:left w:w="245" w:type="dxa"/>
              <w:bottom w:w="0" w:type="dxa"/>
              <w:right w:w="20" w:type="dxa"/>
            </w:tcMar>
            <w:vAlign w:val="center"/>
            <w:hideMark/>
          </w:tcPr>
          <w:p w:rsidR="00000000" w:rsidRDefault="001F1FC8">
            <w:pPr>
              <w:rPr>
                <w:rFonts w:eastAsia="Times New Roman"/>
              </w:rPr>
            </w:pPr>
          </w:p>
        </w:tc>
        <w:tc>
          <w:tcPr>
            <w:tcW w:w="0" w:type="auto"/>
            <w:gridSpan w:val="3"/>
            <w:tcMar>
              <w:top w:w="30" w:type="dxa"/>
              <w:left w:w="245" w:type="dxa"/>
              <w:bottom w:w="30" w:type="dxa"/>
              <w:right w:w="20" w:type="dxa"/>
            </w:tcMar>
            <w:vAlign w:val="bottom"/>
            <w:hideMark/>
          </w:tcPr>
          <w:p w:rsidR="00000000" w:rsidRDefault="001F1FC8">
            <w:pPr>
              <w:rPr>
                <w:rFonts w:eastAsia="Times New Roman"/>
              </w:rPr>
            </w:pPr>
            <w:r>
              <w:rPr>
                <w:rFonts w:ascii="Arial" w:eastAsia="Times New Roman" w:hAnsi="Arial" w:cs="Arial"/>
                <w:color w:val="000000"/>
                <w:sz w:val="20"/>
                <w:szCs w:val="20"/>
              </w:rPr>
              <w:t>4.100% Senior Notes due 2051</w:t>
            </w:r>
          </w:p>
        </w:tc>
      </w:tr>
      <w:tr w:rsidR="00000000">
        <w:trPr>
          <w:divId w:val="1875730385"/>
          <w:jc w:val="center"/>
        </w:trPr>
        <w:tc>
          <w:tcPr>
            <w:tcW w:w="0" w:type="auto"/>
            <w:gridSpan w:val="3"/>
            <w:tcBorders>
              <w:bottom w:val="single" w:sz="8" w:space="0" w:color="000000"/>
            </w:tcBorders>
            <w:tcMar>
              <w:top w:w="0" w:type="dxa"/>
              <w:left w:w="20" w:type="dxa"/>
              <w:bottom w:w="0" w:type="dxa"/>
              <w:right w:w="20" w:type="dxa"/>
            </w:tcMar>
            <w:vAlign w:val="center"/>
            <w:hideMark/>
          </w:tcPr>
          <w:p w:rsidR="00000000" w:rsidRDefault="001F1FC8">
            <w:pPr>
              <w:rPr>
                <w:rFonts w:eastAsia="Times New Roman"/>
              </w:rPr>
            </w:pPr>
          </w:p>
        </w:tc>
        <w:tc>
          <w:tcPr>
            <w:tcW w:w="0" w:type="auto"/>
            <w:gridSpan w:val="3"/>
            <w:tcBorders>
              <w:bottom w:val="single" w:sz="8" w:space="0" w:color="000000"/>
            </w:tcBorders>
            <w:tcMar>
              <w:top w:w="30" w:type="dxa"/>
              <w:left w:w="245" w:type="dxa"/>
              <w:bottom w:w="30" w:type="dxa"/>
              <w:right w:w="20" w:type="dxa"/>
            </w:tcMar>
            <w:vAlign w:val="bottom"/>
            <w:hideMark/>
          </w:tcPr>
          <w:p w:rsidR="00000000" w:rsidRDefault="001F1FC8">
            <w:pPr>
              <w:rPr>
                <w:rFonts w:eastAsia="Times New Roman"/>
              </w:rPr>
            </w:pPr>
            <w:r>
              <w:rPr>
                <w:rFonts w:ascii="Arial" w:eastAsia="Times New Roman" w:hAnsi="Arial" w:cs="Arial"/>
                <w:color w:val="000000"/>
                <w:sz w:val="20"/>
                <w:szCs w:val="20"/>
              </w:rPr>
              <w:t>4.560% Senior Notes due 2064</w:t>
            </w:r>
          </w:p>
        </w:tc>
      </w:tr>
      <w:tr w:rsidR="00000000">
        <w:trPr>
          <w:divId w:val="1875730385"/>
          <w:jc w:val="center"/>
        </w:trPr>
        <w:tc>
          <w:tcPr>
            <w:tcW w:w="0" w:type="auto"/>
            <w:gridSpan w:val="3"/>
            <w:vAlign w:val="center"/>
            <w:hideMark/>
          </w:tcPr>
          <w:p w:rsidR="00000000" w:rsidRDefault="001F1FC8">
            <w:pPr>
              <w:rPr>
                <w:rFonts w:eastAsia="Times New Roman"/>
              </w:rPr>
            </w:pPr>
          </w:p>
        </w:tc>
        <w:tc>
          <w:tcPr>
            <w:tcW w:w="0" w:type="auto"/>
            <w:gridSpan w:val="3"/>
            <w:vAlign w:val="center"/>
            <w:hideMark/>
          </w:tcPr>
          <w:p w:rsidR="00000000" w:rsidRDefault="001F1FC8">
            <w:pPr>
              <w:rPr>
                <w:rFonts w:eastAsia="Times New Roman"/>
                <w:sz w:val="20"/>
                <w:szCs w:val="20"/>
              </w:rPr>
            </w:pPr>
          </w:p>
        </w:tc>
      </w:tr>
      <w:tr w:rsidR="00000000">
        <w:trPr>
          <w:divId w:val="1875730385"/>
          <w:jc w:val="center"/>
        </w:trPr>
        <w:tc>
          <w:tcPr>
            <w:tcW w:w="0" w:type="auto"/>
            <w:gridSpan w:val="3"/>
            <w:vAlign w:val="center"/>
            <w:hideMark/>
          </w:tcPr>
          <w:p w:rsidR="00000000" w:rsidRDefault="001F1FC8">
            <w:pPr>
              <w:rPr>
                <w:rFonts w:eastAsia="Times New Roman"/>
                <w:sz w:val="20"/>
                <w:szCs w:val="20"/>
              </w:rPr>
            </w:pPr>
          </w:p>
        </w:tc>
        <w:tc>
          <w:tcPr>
            <w:tcW w:w="0" w:type="auto"/>
            <w:gridSpan w:val="3"/>
            <w:vAlign w:val="center"/>
            <w:hideMark/>
          </w:tcPr>
          <w:p w:rsidR="00000000" w:rsidRDefault="001F1FC8">
            <w:pPr>
              <w:rPr>
                <w:rFonts w:eastAsia="Times New Roman"/>
                <w:sz w:val="20"/>
                <w:szCs w:val="20"/>
              </w:rPr>
            </w:pPr>
          </w:p>
        </w:tc>
      </w:tr>
      <w:tr w:rsidR="00000000">
        <w:trPr>
          <w:divId w:val="1875730385"/>
          <w:jc w:val="center"/>
        </w:trPr>
        <w:tc>
          <w:tcPr>
            <w:tcW w:w="0" w:type="auto"/>
            <w:gridSpan w:val="3"/>
            <w:vAlign w:val="center"/>
            <w:hideMark/>
          </w:tcPr>
          <w:p w:rsidR="00000000" w:rsidRDefault="001F1FC8">
            <w:pPr>
              <w:rPr>
                <w:rFonts w:eastAsia="Times New Roman"/>
                <w:sz w:val="20"/>
                <w:szCs w:val="20"/>
              </w:rPr>
            </w:pPr>
          </w:p>
        </w:tc>
        <w:tc>
          <w:tcPr>
            <w:tcW w:w="0" w:type="auto"/>
            <w:gridSpan w:val="3"/>
            <w:vAlign w:val="center"/>
            <w:hideMark/>
          </w:tcPr>
          <w:p w:rsidR="00000000" w:rsidRDefault="001F1FC8">
            <w:pPr>
              <w:rPr>
                <w:rFonts w:eastAsia="Times New Roman"/>
                <w:sz w:val="20"/>
                <w:szCs w:val="20"/>
              </w:rPr>
            </w:pPr>
          </w:p>
        </w:tc>
      </w:tr>
      <w:tr w:rsidR="00000000">
        <w:trPr>
          <w:divId w:val="1875730385"/>
          <w:jc w:val="center"/>
        </w:trPr>
        <w:tc>
          <w:tcPr>
            <w:tcW w:w="0" w:type="auto"/>
            <w:gridSpan w:val="3"/>
            <w:vAlign w:val="center"/>
            <w:hideMark/>
          </w:tcPr>
          <w:p w:rsidR="00000000" w:rsidRDefault="001F1FC8">
            <w:pPr>
              <w:rPr>
                <w:rFonts w:eastAsia="Times New Roman"/>
                <w:sz w:val="20"/>
                <w:szCs w:val="20"/>
              </w:rPr>
            </w:pPr>
          </w:p>
        </w:tc>
        <w:tc>
          <w:tcPr>
            <w:tcW w:w="0" w:type="auto"/>
            <w:gridSpan w:val="3"/>
            <w:vAlign w:val="center"/>
            <w:hideMark/>
          </w:tcPr>
          <w:p w:rsidR="00000000" w:rsidRDefault="001F1FC8">
            <w:pPr>
              <w:rPr>
                <w:rFonts w:eastAsia="Times New Roman"/>
                <w:sz w:val="20"/>
                <w:szCs w:val="20"/>
              </w:rPr>
            </w:pPr>
          </w:p>
        </w:tc>
      </w:tr>
    </w:tbl>
    <w:p w:rsidR="00000000" w:rsidRDefault="001F1FC8">
      <w:pPr>
        <w:ind w:hanging="180"/>
        <w:divId w:val="2007703585"/>
        <w:rPr>
          <w:rFonts w:eastAsia="Times New Roman"/>
        </w:rPr>
      </w:pPr>
      <w:r>
        <w:rPr>
          <w:rFonts w:ascii="Arial" w:eastAsia="Times New Roman" w:hAnsi="Arial" w:cs="Arial"/>
          <w:i/>
          <w:iCs/>
          <w:color w:val="000000"/>
          <w:sz w:val="16"/>
          <w:szCs w:val="16"/>
        </w:rPr>
        <w:t>1As at December 31, 2021, the aggregate outstanding principal amount of the Enbrid</w:t>
      </w:r>
      <w:r>
        <w:rPr>
          <w:rFonts w:ascii="Arial" w:eastAsia="Times New Roman" w:hAnsi="Arial" w:cs="Arial"/>
          <w:i/>
          <w:iCs/>
          <w:color w:val="000000"/>
          <w:sz w:val="16"/>
          <w:szCs w:val="16"/>
          <w:shd w:val="clear" w:color="auto" w:fill="FFFFFF"/>
        </w:rPr>
        <w:t xml:space="preserve">ge US dollar </w:t>
      </w:r>
      <w:r>
        <w:rPr>
          <w:rFonts w:ascii="Arial" w:eastAsia="Times New Roman" w:hAnsi="Arial" w:cs="Arial"/>
          <w:i/>
          <w:iCs/>
          <w:color w:val="000000"/>
          <w:sz w:val="16"/>
          <w:szCs w:val="16"/>
        </w:rPr>
        <w:t>denominated notes was approximately US$11 billion.</w:t>
      </w:r>
    </w:p>
    <w:p w:rsidR="00000000" w:rsidRDefault="001F1FC8">
      <w:pPr>
        <w:ind w:hanging="180"/>
        <w:divId w:val="588513809"/>
        <w:rPr>
          <w:rFonts w:eastAsia="Times New Roman"/>
        </w:rPr>
      </w:pPr>
      <w:r>
        <w:rPr>
          <w:rFonts w:ascii="Arial" w:eastAsia="Times New Roman" w:hAnsi="Arial" w:cs="Arial"/>
          <w:i/>
          <w:iCs/>
          <w:color w:val="000000"/>
          <w:sz w:val="16"/>
          <w:szCs w:val="16"/>
        </w:rPr>
        <w:t>2As at December 31, 2021, the aggregate outstanding principal amount of the Enbridge Canadian dollar denominated notes was approximately $9.2 billion.</w:t>
      </w:r>
    </w:p>
    <w:p w:rsidR="00000000" w:rsidRDefault="001F1FC8">
      <w:pPr>
        <w:jc w:val="both"/>
        <w:rPr>
          <w:rFonts w:eastAsia="Times New Roman"/>
        </w:rPr>
      </w:pPr>
    </w:p>
    <w:p w:rsidR="00000000" w:rsidRDefault="001F1FC8">
      <w:pPr>
        <w:divId w:val="1442994291"/>
        <w:rPr>
          <w:rFonts w:eastAsia="Times New Roman"/>
        </w:rPr>
      </w:pPr>
      <w:r>
        <w:rPr>
          <w:rFonts w:ascii="Arial" w:eastAsia="Times New Roman" w:hAnsi="Arial" w:cs="Arial"/>
          <w:color w:val="000000"/>
          <w:sz w:val="20"/>
          <w:szCs w:val="20"/>
        </w:rPr>
        <w:t>Rule 3-10 of the US Securities and Exchange Commissi</w:t>
      </w:r>
      <w:r>
        <w:rPr>
          <w:rFonts w:ascii="Arial" w:eastAsia="Times New Roman" w:hAnsi="Arial" w:cs="Arial"/>
          <w:color w:val="000000"/>
          <w:sz w:val="20"/>
          <w:szCs w:val="20"/>
        </w:rPr>
        <w:t>on's (SEC) Regulation S-X provides an exemption from the reporting requirements of the Securities Exchange Act of 1934, as amended (Exchange Act) for fully consolidated subsidiary issuers of guaranteed securities and subsidiary guarantors and allows for su</w:t>
      </w:r>
      <w:r>
        <w:rPr>
          <w:rFonts w:ascii="Arial" w:eastAsia="Times New Roman" w:hAnsi="Arial" w:cs="Arial"/>
          <w:color w:val="000000"/>
          <w:sz w:val="20"/>
          <w:szCs w:val="20"/>
        </w:rPr>
        <w:t>mmarized financial information in lieu of filing separate financial statements for each of the Partnerships.</w:t>
      </w:r>
    </w:p>
    <w:p w:rsidR="00000000" w:rsidRDefault="001F1FC8">
      <w:pPr>
        <w:divId w:val="1413624297"/>
        <w:rPr>
          <w:rFonts w:eastAsia="Times New Roman"/>
        </w:rPr>
      </w:pPr>
    </w:p>
    <w:p w:rsidR="00000000" w:rsidRDefault="001F1FC8">
      <w:pPr>
        <w:divId w:val="1062412685"/>
        <w:rPr>
          <w:rFonts w:eastAsia="Times New Roman"/>
        </w:rPr>
      </w:pPr>
      <w:r>
        <w:rPr>
          <w:rFonts w:ascii="Arial" w:eastAsia="Times New Roman" w:hAnsi="Arial" w:cs="Arial"/>
          <w:color w:val="000000"/>
          <w:sz w:val="20"/>
          <w:szCs w:val="20"/>
        </w:rPr>
        <w:t>The following Summarized Combined Statement of Earnings and the Summarized Combined Statements of Financial Position combines the balances of EEP</w:t>
      </w:r>
      <w:r>
        <w:rPr>
          <w:rFonts w:ascii="Arial" w:eastAsia="Times New Roman" w:hAnsi="Arial" w:cs="Arial"/>
          <w:color w:val="000000"/>
          <w:sz w:val="20"/>
          <w:szCs w:val="20"/>
        </w:rPr>
        <w:t xml:space="preserve">, SEP and Enbridge. </w:t>
      </w:r>
    </w:p>
    <w:p w:rsidR="00000000" w:rsidRDefault="001F1FC8">
      <w:pPr>
        <w:divId w:val="567376797"/>
        <w:rPr>
          <w:rFonts w:eastAsia="Times New Roman"/>
        </w:rPr>
      </w:pPr>
    </w:p>
    <w:p w:rsidR="00000000" w:rsidRDefault="001F1FC8">
      <w:pPr>
        <w:divId w:val="1390111964"/>
        <w:rPr>
          <w:rFonts w:eastAsia="Times New Roman"/>
        </w:rPr>
      </w:pPr>
      <w:r>
        <w:rPr>
          <w:rFonts w:ascii="Arial" w:eastAsia="Times New Roman" w:hAnsi="Arial" w:cs="Arial"/>
          <w:b/>
          <w:bCs/>
          <w:color w:val="000000"/>
          <w:sz w:val="20"/>
          <w:szCs w:val="20"/>
        </w:rPr>
        <w:t>Summarized Combined Statement of Earnings</w:t>
      </w:r>
    </w:p>
    <w:tbl>
      <w:tblPr>
        <w:tblW w:w="5000" w:type="pct"/>
        <w:jc w:val="center"/>
        <w:tblCellMar>
          <w:top w:w="15" w:type="dxa"/>
          <w:left w:w="15" w:type="dxa"/>
          <w:bottom w:w="15" w:type="dxa"/>
          <w:right w:w="15" w:type="dxa"/>
        </w:tblCellMar>
        <w:tblLook w:val="04A0" w:firstRow="1" w:lastRow="0" w:firstColumn="1" w:lastColumn="0" w:noHBand="0" w:noVBand="1"/>
      </w:tblPr>
      <w:tblGrid>
        <w:gridCol w:w="68"/>
        <w:gridCol w:w="6272"/>
        <w:gridCol w:w="38"/>
        <w:gridCol w:w="69"/>
        <w:gridCol w:w="1823"/>
        <w:gridCol w:w="36"/>
      </w:tblGrid>
      <w:tr w:rsidR="00000000">
        <w:trPr>
          <w:divId w:val="821115552"/>
          <w:jc w:val="center"/>
        </w:trPr>
        <w:tc>
          <w:tcPr>
            <w:tcW w:w="50" w:type="pct"/>
            <w:vAlign w:val="center"/>
            <w:hideMark/>
          </w:tcPr>
          <w:p w:rsidR="00000000" w:rsidRDefault="001F1FC8">
            <w:pPr>
              <w:rPr>
                <w:rFonts w:eastAsia="Times New Roman"/>
              </w:rPr>
            </w:pPr>
          </w:p>
        </w:tc>
        <w:tc>
          <w:tcPr>
            <w:tcW w:w="3783"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c>
          <w:tcPr>
            <w:tcW w:w="50" w:type="pct"/>
            <w:vAlign w:val="center"/>
            <w:hideMark/>
          </w:tcPr>
          <w:p w:rsidR="00000000" w:rsidRDefault="001F1FC8">
            <w:pPr>
              <w:rPr>
                <w:rFonts w:eastAsia="Times New Roman"/>
                <w:sz w:val="20"/>
                <w:szCs w:val="20"/>
              </w:rPr>
            </w:pPr>
          </w:p>
        </w:tc>
        <w:tc>
          <w:tcPr>
            <w:tcW w:w="1106"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r>
      <w:tr w:rsidR="00000000">
        <w:trPr>
          <w:divId w:val="821115552"/>
          <w:jc w:val="center"/>
        </w:trPr>
        <w:tc>
          <w:tcPr>
            <w:tcW w:w="0" w:type="auto"/>
            <w:gridSpan w:val="3"/>
            <w:tcMar>
              <w:top w:w="0" w:type="dxa"/>
              <w:left w:w="20" w:type="dxa"/>
              <w:bottom w:w="0" w:type="dxa"/>
              <w:right w:w="20" w:type="dxa"/>
            </w:tcMar>
            <w:vAlign w:val="center"/>
            <w:hideMark/>
          </w:tcPr>
          <w:p w:rsidR="00000000" w:rsidRDefault="001F1FC8">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1F1FC8">
            <w:pPr>
              <w:jc w:val="center"/>
              <w:rPr>
                <w:rFonts w:eastAsia="Times New Roman"/>
              </w:rPr>
            </w:pPr>
            <w:r>
              <w:rPr>
                <w:rFonts w:ascii="Arial" w:eastAsia="Times New Roman" w:hAnsi="Arial" w:cs="Arial"/>
                <w:b/>
                <w:bCs/>
                <w:color w:val="000000"/>
                <w:sz w:val="20"/>
                <w:szCs w:val="20"/>
              </w:rPr>
              <w:t>Year ended December 31, 2021</w:t>
            </w:r>
          </w:p>
        </w:tc>
      </w:tr>
      <w:tr w:rsidR="00000000">
        <w:trPr>
          <w:divId w:val="821115552"/>
          <w:jc w:val="center"/>
        </w:trPr>
        <w:tc>
          <w:tcPr>
            <w:tcW w:w="0" w:type="auto"/>
            <w:gridSpan w:val="3"/>
            <w:tcBorders>
              <w:top w:val="single" w:sz="4" w:space="0" w:color="000000"/>
            </w:tcBorders>
            <w:tcMar>
              <w:top w:w="30" w:type="dxa"/>
              <w:left w:w="20" w:type="dxa"/>
              <w:bottom w:w="30" w:type="dxa"/>
              <w:right w:w="20" w:type="dxa"/>
            </w:tcMar>
            <w:vAlign w:val="bottom"/>
            <w:hideMark/>
          </w:tcPr>
          <w:p w:rsidR="00000000" w:rsidRDefault="001F1FC8">
            <w:pPr>
              <w:rPr>
                <w:rFonts w:eastAsia="Times New Roman"/>
              </w:rPr>
            </w:pPr>
            <w:r>
              <w:rPr>
                <w:rFonts w:ascii="Arial" w:eastAsia="Times New Roman" w:hAnsi="Arial" w:cs="Arial"/>
                <w:i/>
                <w:iCs/>
                <w:color w:val="000000"/>
                <w:sz w:val="16"/>
                <w:szCs w:val="16"/>
              </w:rPr>
              <w:t>(millions of Canadian dollars)</w:t>
            </w:r>
          </w:p>
        </w:tc>
        <w:tc>
          <w:tcPr>
            <w:tcW w:w="0" w:type="auto"/>
            <w:gridSpan w:val="3"/>
            <w:tcBorders>
              <w:top w:val="single" w:sz="4" w:space="0" w:color="000000"/>
            </w:tcBorders>
            <w:shd w:val="clear" w:color="auto" w:fill="D9D9D9"/>
            <w:tcMar>
              <w:top w:w="0" w:type="dxa"/>
              <w:left w:w="20" w:type="dxa"/>
              <w:bottom w:w="0" w:type="dxa"/>
              <w:right w:w="20" w:type="dxa"/>
            </w:tcMar>
            <w:vAlign w:val="center"/>
            <w:hideMark/>
          </w:tcPr>
          <w:p w:rsidR="00000000" w:rsidRDefault="001F1FC8">
            <w:pPr>
              <w:rPr>
                <w:rFonts w:eastAsia="Times New Roman"/>
              </w:rPr>
            </w:pPr>
          </w:p>
        </w:tc>
      </w:tr>
      <w:tr w:rsidR="00000000">
        <w:trPr>
          <w:divId w:val="821115552"/>
          <w:jc w:val="center"/>
        </w:trPr>
        <w:tc>
          <w:tcPr>
            <w:tcW w:w="0" w:type="auto"/>
            <w:gridSpan w:val="3"/>
            <w:tcMar>
              <w:top w:w="30" w:type="dxa"/>
              <w:left w:w="20" w:type="dxa"/>
              <w:bottom w:w="30" w:type="dxa"/>
              <w:right w:w="20" w:type="dxa"/>
            </w:tcMar>
            <w:vAlign w:val="bottom"/>
            <w:hideMark/>
          </w:tcPr>
          <w:p w:rsidR="00000000" w:rsidRDefault="001F1FC8">
            <w:pPr>
              <w:rPr>
                <w:rFonts w:eastAsia="Times New Roman"/>
              </w:rPr>
            </w:pPr>
            <w:r>
              <w:rPr>
                <w:rFonts w:ascii="Arial" w:eastAsia="Times New Roman" w:hAnsi="Arial" w:cs="Arial"/>
                <w:color w:val="000000"/>
                <w:sz w:val="20"/>
                <w:szCs w:val="20"/>
              </w:rPr>
              <w:t>Operating loss</w:t>
            </w:r>
          </w:p>
        </w:tc>
        <w:tc>
          <w:tcPr>
            <w:tcW w:w="0" w:type="auto"/>
            <w:gridSpan w:val="2"/>
            <w:shd w:val="clear" w:color="auto" w:fill="D9D9D9"/>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b/>
                <w:bCs/>
                <w:color w:val="000000"/>
                <w:sz w:val="20"/>
                <w:szCs w:val="20"/>
              </w:rPr>
              <w:t>(64)</w:t>
            </w:r>
          </w:p>
        </w:tc>
        <w:tc>
          <w:tcPr>
            <w:tcW w:w="0" w:type="auto"/>
            <w:shd w:val="clear" w:color="auto" w:fill="D9D9D9"/>
            <w:tcMar>
              <w:top w:w="30" w:type="dxa"/>
              <w:left w:w="0" w:type="dxa"/>
              <w:bottom w:w="30" w:type="dxa"/>
              <w:right w:w="20" w:type="dxa"/>
            </w:tcMar>
            <w:hideMark/>
          </w:tcPr>
          <w:p w:rsidR="00000000" w:rsidRDefault="001F1FC8">
            <w:pPr>
              <w:jc w:val="right"/>
              <w:rPr>
                <w:rFonts w:eastAsia="Times New Roman"/>
              </w:rPr>
            </w:pPr>
          </w:p>
        </w:tc>
      </w:tr>
      <w:tr w:rsidR="00000000">
        <w:trPr>
          <w:divId w:val="821115552"/>
          <w:jc w:val="center"/>
        </w:trPr>
        <w:tc>
          <w:tcPr>
            <w:tcW w:w="0" w:type="auto"/>
            <w:gridSpan w:val="3"/>
            <w:tcMar>
              <w:top w:w="30" w:type="dxa"/>
              <w:left w:w="20" w:type="dxa"/>
              <w:bottom w:w="30" w:type="dxa"/>
              <w:right w:w="20" w:type="dxa"/>
            </w:tcMar>
            <w:vAlign w:val="bottom"/>
            <w:hideMark/>
          </w:tcPr>
          <w:p w:rsidR="00000000" w:rsidRDefault="001F1FC8">
            <w:pPr>
              <w:rPr>
                <w:rFonts w:eastAsia="Times New Roman"/>
              </w:rPr>
            </w:pPr>
            <w:r>
              <w:rPr>
                <w:rFonts w:ascii="Arial" w:eastAsia="Times New Roman" w:hAnsi="Arial" w:cs="Arial"/>
                <w:color w:val="000000"/>
                <w:sz w:val="20"/>
                <w:szCs w:val="20"/>
              </w:rPr>
              <w:t>Earnings</w:t>
            </w:r>
          </w:p>
        </w:tc>
        <w:tc>
          <w:tcPr>
            <w:tcW w:w="0" w:type="auto"/>
            <w:gridSpan w:val="2"/>
            <w:shd w:val="clear" w:color="auto" w:fill="D9D9D9"/>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b/>
                <w:bCs/>
                <w:color w:val="000000"/>
                <w:sz w:val="20"/>
                <w:szCs w:val="20"/>
              </w:rPr>
              <w:t>4,970</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hideMark/>
          </w:tcPr>
          <w:p w:rsidR="00000000" w:rsidRDefault="001F1FC8">
            <w:pPr>
              <w:jc w:val="right"/>
              <w:rPr>
                <w:rFonts w:eastAsia="Times New Roman"/>
              </w:rPr>
            </w:pPr>
          </w:p>
        </w:tc>
      </w:tr>
      <w:tr w:rsidR="00000000">
        <w:trPr>
          <w:divId w:val="821115552"/>
          <w:jc w:val="center"/>
        </w:trPr>
        <w:tc>
          <w:tcPr>
            <w:tcW w:w="0" w:type="auto"/>
            <w:gridSpan w:val="3"/>
            <w:tcBorders>
              <w:bottom w:val="single" w:sz="8" w:space="0" w:color="000000"/>
            </w:tcBorders>
            <w:tcMar>
              <w:top w:w="30" w:type="dxa"/>
              <w:left w:w="200" w:type="dxa"/>
              <w:bottom w:w="30" w:type="dxa"/>
              <w:right w:w="20" w:type="dxa"/>
            </w:tcMar>
            <w:vAlign w:val="bottom"/>
            <w:hideMark/>
          </w:tcPr>
          <w:p w:rsidR="00000000" w:rsidRDefault="001F1FC8">
            <w:pPr>
              <w:ind w:hanging="180"/>
              <w:rPr>
                <w:rFonts w:eastAsia="Times New Roman"/>
              </w:rPr>
            </w:pPr>
            <w:r>
              <w:rPr>
                <w:rFonts w:ascii="Arial" w:eastAsia="Times New Roman" w:hAnsi="Arial" w:cs="Arial"/>
                <w:color w:val="000000"/>
                <w:sz w:val="20"/>
                <w:szCs w:val="20"/>
              </w:rPr>
              <w:t>Earnings attributable to common shareholders</w:t>
            </w:r>
          </w:p>
        </w:tc>
        <w:tc>
          <w:tcPr>
            <w:tcW w:w="0" w:type="auto"/>
            <w:gridSpan w:val="2"/>
            <w:tcBorders>
              <w:bottom w:val="single" w:sz="8" w:space="0" w:color="000000"/>
            </w:tcBorders>
            <w:shd w:val="clear" w:color="auto" w:fill="D9D9D9"/>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b/>
                <w:bCs/>
                <w:color w:val="000000"/>
                <w:sz w:val="20"/>
                <w:szCs w:val="20"/>
              </w:rPr>
              <w:t>4,604</w:t>
            </w:r>
            <w:r>
              <w:rPr>
                <w:rFonts w:ascii="Arial" w:eastAsia="Times New Roman" w:hAnsi="Arial" w:cs="Arial"/>
                <w:color w:val="000000"/>
                <w:sz w:val="20"/>
                <w:szCs w:val="20"/>
              </w:rPr>
              <w:t> </w:t>
            </w:r>
          </w:p>
        </w:tc>
        <w:tc>
          <w:tcPr>
            <w:tcW w:w="0" w:type="auto"/>
            <w:tcBorders>
              <w:bottom w:val="single" w:sz="8" w:space="0" w:color="000000"/>
            </w:tcBorders>
            <w:shd w:val="clear" w:color="auto" w:fill="D9D9D9"/>
            <w:tcMar>
              <w:top w:w="30" w:type="dxa"/>
              <w:left w:w="0" w:type="dxa"/>
              <w:bottom w:w="30" w:type="dxa"/>
              <w:right w:w="20" w:type="dxa"/>
            </w:tcMar>
            <w:hideMark/>
          </w:tcPr>
          <w:p w:rsidR="00000000" w:rsidRDefault="001F1FC8">
            <w:pPr>
              <w:jc w:val="right"/>
              <w:rPr>
                <w:rFonts w:eastAsia="Times New Roman"/>
              </w:rPr>
            </w:pPr>
          </w:p>
        </w:tc>
      </w:tr>
    </w:tbl>
    <w:p w:rsidR="00000000" w:rsidRDefault="001F1FC8">
      <w:pPr>
        <w:divId w:val="876814997"/>
        <w:rPr>
          <w:rFonts w:eastAsia="Times New Roman"/>
        </w:rPr>
      </w:pPr>
    </w:p>
    <w:p w:rsidR="00000000" w:rsidRDefault="001F1FC8">
      <w:pPr>
        <w:jc w:val="center"/>
        <w:divId w:val="1160269820"/>
        <w:rPr>
          <w:rFonts w:eastAsia="Times New Roman"/>
        </w:rPr>
      </w:pPr>
      <w:r>
        <w:rPr>
          <w:rFonts w:ascii="Arial" w:eastAsia="Times New Roman" w:hAnsi="Arial" w:cs="Arial"/>
          <w:color w:val="000000"/>
          <w:sz w:val="20"/>
          <w:szCs w:val="20"/>
        </w:rPr>
        <w:t>81</w:t>
      </w:r>
    </w:p>
    <w:p w:rsidR="00000000" w:rsidRDefault="001F1FC8">
      <w:pPr>
        <w:rPr>
          <w:rFonts w:eastAsia="Times New Roman"/>
        </w:rPr>
      </w:pPr>
      <w:r>
        <w:rPr>
          <w:rFonts w:eastAsia="Times New Roman"/>
        </w:rPr>
        <w:pict>
          <v:rect id="_x0000_i1111" style="width:0;height:1.5pt" o:hralign="center" o:hrstd="t" o:hr="t" fillcolor="#a0a0a0" stroked="f"/>
        </w:pict>
      </w:r>
    </w:p>
    <w:p w:rsidR="00000000" w:rsidRDefault="001F1FC8">
      <w:pPr>
        <w:jc w:val="center"/>
        <w:divId w:val="2003925130"/>
        <w:rPr>
          <w:rFonts w:eastAsia="Times New Roman"/>
        </w:rPr>
      </w:pPr>
    </w:p>
    <w:p w:rsidR="00000000" w:rsidRDefault="001F1FC8">
      <w:pPr>
        <w:divId w:val="1821654070"/>
        <w:rPr>
          <w:rFonts w:eastAsia="Times New Roman"/>
        </w:rPr>
      </w:pPr>
      <w:r>
        <w:rPr>
          <w:rFonts w:ascii="Arial" w:eastAsia="Times New Roman" w:hAnsi="Arial" w:cs="Arial"/>
          <w:b/>
          <w:bCs/>
          <w:color w:val="000000"/>
          <w:sz w:val="20"/>
          <w:szCs w:val="20"/>
        </w:rPr>
        <w:t>Summarized Combined Statements of Financial Position</w:t>
      </w:r>
    </w:p>
    <w:tbl>
      <w:tblPr>
        <w:tblW w:w="4991" w:type="pct"/>
        <w:jc w:val="center"/>
        <w:tblCellMar>
          <w:top w:w="15" w:type="dxa"/>
          <w:left w:w="15" w:type="dxa"/>
          <w:bottom w:w="15" w:type="dxa"/>
          <w:right w:w="15" w:type="dxa"/>
        </w:tblCellMar>
        <w:tblLook w:val="04A0" w:firstRow="1" w:lastRow="0" w:firstColumn="1" w:lastColumn="0" w:noHBand="0" w:noVBand="1"/>
      </w:tblPr>
      <w:tblGrid>
        <w:gridCol w:w="69"/>
        <w:gridCol w:w="5286"/>
        <w:gridCol w:w="37"/>
        <w:gridCol w:w="69"/>
        <w:gridCol w:w="1344"/>
        <w:gridCol w:w="36"/>
        <w:gridCol w:w="69"/>
        <w:gridCol w:w="1345"/>
        <w:gridCol w:w="36"/>
      </w:tblGrid>
      <w:tr w:rsidR="00000000">
        <w:trPr>
          <w:divId w:val="1004016466"/>
          <w:jc w:val="center"/>
        </w:trPr>
        <w:tc>
          <w:tcPr>
            <w:tcW w:w="50" w:type="pct"/>
            <w:vAlign w:val="center"/>
            <w:hideMark/>
          </w:tcPr>
          <w:p w:rsidR="00000000" w:rsidRDefault="001F1FC8">
            <w:pPr>
              <w:rPr>
                <w:rFonts w:eastAsia="Times New Roman"/>
              </w:rPr>
            </w:pPr>
          </w:p>
        </w:tc>
        <w:tc>
          <w:tcPr>
            <w:tcW w:w="3195"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c>
          <w:tcPr>
            <w:tcW w:w="50" w:type="pct"/>
            <w:vAlign w:val="center"/>
            <w:hideMark/>
          </w:tcPr>
          <w:p w:rsidR="00000000" w:rsidRDefault="001F1FC8">
            <w:pPr>
              <w:rPr>
                <w:rFonts w:eastAsia="Times New Roman"/>
                <w:sz w:val="20"/>
                <w:szCs w:val="20"/>
              </w:rPr>
            </w:pPr>
          </w:p>
        </w:tc>
        <w:tc>
          <w:tcPr>
            <w:tcW w:w="819"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c>
          <w:tcPr>
            <w:tcW w:w="50" w:type="pct"/>
            <w:vAlign w:val="center"/>
            <w:hideMark/>
          </w:tcPr>
          <w:p w:rsidR="00000000" w:rsidRDefault="001F1FC8">
            <w:pPr>
              <w:rPr>
                <w:rFonts w:eastAsia="Times New Roman"/>
                <w:sz w:val="20"/>
                <w:szCs w:val="20"/>
              </w:rPr>
            </w:pPr>
          </w:p>
        </w:tc>
        <w:tc>
          <w:tcPr>
            <w:tcW w:w="819"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r>
      <w:tr w:rsidR="00000000">
        <w:trPr>
          <w:divId w:val="1004016466"/>
          <w:jc w:val="center"/>
        </w:trPr>
        <w:tc>
          <w:tcPr>
            <w:tcW w:w="0" w:type="auto"/>
            <w:gridSpan w:val="3"/>
            <w:tcMar>
              <w:top w:w="0" w:type="dxa"/>
              <w:left w:w="20" w:type="dxa"/>
              <w:bottom w:w="0" w:type="dxa"/>
              <w:right w:w="20" w:type="dxa"/>
            </w:tcMar>
            <w:vAlign w:val="center"/>
            <w:hideMark/>
          </w:tcPr>
          <w:p w:rsidR="00000000" w:rsidRDefault="001F1FC8">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b/>
                <w:bCs/>
                <w:color w:val="000000"/>
                <w:sz w:val="20"/>
                <w:szCs w:val="20"/>
              </w:rPr>
              <w:t>December 31, 2021</w:t>
            </w:r>
          </w:p>
        </w:tc>
        <w:tc>
          <w:tcPr>
            <w:tcW w:w="0" w:type="auto"/>
            <w:gridSpan w:val="3"/>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December 31, 2020</w:t>
            </w:r>
          </w:p>
        </w:tc>
      </w:tr>
      <w:tr w:rsidR="00000000">
        <w:trPr>
          <w:divId w:val="1004016466"/>
          <w:jc w:val="center"/>
        </w:trPr>
        <w:tc>
          <w:tcPr>
            <w:tcW w:w="0" w:type="auto"/>
            <w:gridSpan w:val="3"/>
            <w:tcBorders>
              <w:top w:val="single" w:sz="4" w:space="0" w:color="000000"/>
            </w:tcBorders>
            <w:tcMar>
              <w:top w:w="30" w:type="dxa"/>
              <w:left w:w="20" w:type="dxa"/>
              <w:bottom w:w="30" w:type="dxa"/>
              <w:right w:w="20" w:type="dxa"/>
            </w:tcMar>
            <w:vAlign w:val="bottom"/>
            <w:hideMark/>
          </w:tcPr>
          <w:p w:rsidR="00000000" w:rsidRDefault="001F1FC8">
            <w:pPr>
              <w:rPr>
                <w:rFonts w:eastAsia="Times New Roman"/>
              </w:rPr>
            </w:pPr>
            <w:r>
              <w:rPr>
                <w:rFonts w:ascii="Arial" w:eastAsia="Times New Roman" w:hAnsi="Arial" w:cs="Arial"/>
                <w:i/>
                <w:iCs/>
                <w:color w:val="000000"/>
                <w:sz w:val="16"/>
                <w:szCs w:val="16"/>
              </w:rPr>
              <w:t>(millions of Canadian dollars)</w:t>
            </w:r>
          </w:p>
        </w:tc>
        <w:tc>
          <w:tcPr>
            <w:tcW w:w="0" w:type="auto"/>
            <w:gridSpan w:val="3"/>
            <w:tcBorders>
              <w:top w:val="single" w:sz="4" w:space="0" w:color="000000"/>
            </w:tcBorders>
            <w:shd w:val="clear" w:color="auto" w:fill="D9D9D9"/>
            <w:tcMar>
              <w:top w:w="0" w:type="dxa"/>
              <w:left w:w="20" w:type="dxa"/>
              <w:bottom w:w="0" w:type="dxa"/>
              <w:right w:w="20" w:type="dxa"/>
            </w:tcMar>
            <w:vAlign w:val="center"/>
            <w:hideMark/>
          </w:tcPr>
          <w:p w:rsidR="00000000" w:rsidRDefault="001F1FC8">
            <w:pPr>
              <w:rPr>
                <w:rFonts w:eastAsia="Times New Roman"/>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1F1FC8">
            <w:pPr>
              <w:rPr>
                <w:rFonts w:eastAsia="Times New Roman"/>
                <w:sz w:val="20"/>
                <w:szCs w:val="20"/>
              </w:rPr>
            </w:pPr>
          </w:p>
        </w:tc>
      </w:tr>
      <w:tr w:rsidR="00000000">
        <w:trPr>
          <w:divId w:val="1004016466"/>
          <w:jc w:val="center"/>
        </w:trPr>
        <w:tc>
          <w:tcPr>
            <w:tcW w:w="0" w:type="auto"/>
            <w:gridSpan w:val="3"/>
            <w:tcMar>
              <w:top w:w="30" w:type="dxa"/>
              <w:left w:w="20" w:type="dxa"/>
              <w:bottom w:w="30" w:type="dxa"/>
              <w:right w:w="20" w:type="dxa"/>
            </w:tcMar>
            <w:vAlign w:val="bottom"/>
            <w:hideMark/>
          </w:tcPr>
          <w:p w:rsidR="00000000" w:rsidRDefault="001F1FC8">
            <w:pPr>
              <w:rPr>
                <w:rFonts w:eastAsia="Times New Roman"/>
              </w:rPr>
            </w:pPr>
            <w:r>
              <w:rPr>
                <w:rFonts w:ascii="Arial" w:eastAsia="Times New Roman" w:hAnsi="Arial" w:cs="Arial"/>
                <w:color w:val="000000"/>
                <w:sz w:val="20"/>
                <w:szCs w:val="20"/>
              </w:rPr>
              <w:t>Accounts receivable from affiliates</w:t>
            </w:r>
          </w:p>
        </w:tc>
        <w:tc>
          <w:tcPr>
            <w:tcW w:w="0" w:type="auto"/>
            <w:gridSpan w:val="2"/>
            <w:shd w:val="clear" w:color="auto" w:fill="D9D9D9"/>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b/>
                <w:bCs/>
                <w:color w:val="000000"/>
                <w:sz w:val="20"/>
                <w:szCs w:val="20"/>
              </w:rPr>
              <w:t>3,442</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hideMark/>
          </w:tcPr>
          <w:p w:rsidR="00000000" w:rsidRDefault="001F1FC8">
            <w:pPr>
              <w:jc w:val="right"/>
              <w:rPr>
                <w:rFonts w:eastAsia="Times New Roman"/>
              </w:rPr>
            </w:pPr>
          </w:p>
        </w:tc>
        <w:tc>
          <w:tcPr>
            <w:tcW w:w="0" w:type="auto"/>
            <w:gridSpan w:val="3"/>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2,108</w:t>
            </w:r>
          </w:p>
        </w:tc>
      </w:tr>
      <w:tr w:rsidR="00000000">
        <w:trPr>
          <w:divId w:val="1004016466"/>
          <w:jc w:val="center"/>
        </w:trPr>
        <w:tc>
          <w:tcPr>
            <w:tcW w:w="0" w:type="auto"/>
            <w:gridSpan w:val="3"/>
            <w:tcMar>
              <w:top w:w="30" w:type="dxa"/>
              <w:left w:w="20" w:type="dxa"/>
              <w:bottom w:w="30" w:type="dxa"/>
              <w:right w:w="20" w:type="dxa"/>
            </w:tcMar>
            <w:vAlign w:val="bottom"/>
            <w:hideMark/>
          </w:tcPr>
          <w:p w:rsidR="00000000" w:rsidRDefault="001F1FC8">
            <w:pPr>
              <w:rPr>
                <w:rFonts w:eastAsia="Times New Roman"/>
              </w:rPr>
            </w:pPr>
            <w:r>
              <w:rPr>
                <w:rFonts w:ascii="Arial" w:eastAsia="Times New Roman" w:hAnsi="Arial" w:cs="Arial"/>
                <w:color w:val="000000"/>
                <w:sz w:val="20"/>
                <w:szCs w:val="20"/>
              </w:rPr>
              <w:t>Short-term loans receivable from affiliates</w:t>
            </w:r>
          </w:p>
        </w:tc>
        <w:tc>
          <w:tcPr>
            <w:tcW w:w="0" w:type="auto"/>
            <w:gridSpan w:val="2"/>
            <w:shd w:val="clear" w:color="auto" w:fill="D9D9D9"/>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b/>
                <w:bCs/>
                <w:color w:val="000000"/>
                <w:sz w:val="20"/>
                <w:szCs w:val="20"/>
              </w:rPr>
              <w:t>4,947</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hideMark/>
          </w:tcPr>
          <w:p w:rsidR="00000000" w:rsidRDefault="001F1FC8">
            <w:pPr>
              <w:jc w:val="right"/>
              <w:rPr>
                <w:rFonts w:eastAsia="Times New Roman"/>
              </w:rPr>
            </w:pPr>
          </w:p>
        </w:tc>
        <w:tc>
          <w:tcPr>
            <w:tcW w:w="0" w:type="auto"/>
            <w:gridSpan w:val="3"/>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4,926</w:t>
            </w:r>
          </w:p>
        </w:tc>
      </w:tr>
      <w:tr w:rsidR="00000000">
        <w:trPr>
          <w:divId w:val="1004016466"/>
          <w:jc w:val="center"/>
        </w:trPr>
        <w:tc>
          <w:tcPr>
            <w:tcW w:w="0" w:type="auto"/>
            <w:gridSpan w:val="3"/>
            <w:tcMar>
              <w:top w:w="30" w:type="dxa"/>
              <w:left w:w="20" w:type="dxa"/>
              <w:bottom w:w="30" w:type="dxa"/>
              <w:right w:w="20" w:type="dxa"/>
            </w:tcMar>
            <w:vAlign w:val="bottom"/>
            <w:hideMark/>
          </w:tcPr>
          <w:p w:rsidR="00000000" w:rsidRDefault="001F1FC8">
            <w:pPr>
              <w:rPr>
                <w:rFonts w:eastAsia="Times New Roman"/>
              </w:rPr>
            </w:pPr>
            <w:r>
              <w:rPr>
                <w:rFonts w:ascii="Arial" w:eastAsia="Times New Roman" w:hAnsi="Arial" w:cs="Arial"/>
                <w:color w:val="000000"/>
                <w:sz w:val="20"/>
                <w:szCs w:val="20"/>
              </w:rPr>
              <w:t>Other current assets</w:t>
            </w:r>
          </w:p>
        </w:tc>
        <w:tc>
          <w:tcPr>
            <w:tcW w:w="0" w:type="auto"/>
            <w:gridSpan w:val="2"/>
            <w:shd w:val="clear" w:color="auto" w:fill="D9D9D9"/>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b/>
                <w:bCs/>
                <w:color w:val="000000"/>
                <w:sz w:val="20"/>
                <w:szCs w:val="20"/>
              </w:rPr>
              <w:t>605</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hideMark/>
          </w:tcPr>
          <w:p w:rsidR="00000000" w:rsidRDefault="001F1FC8">
            <w:pPr>
              <w:jc w:val="right"/>
              <w:rPr>
                <w:rFonts w:eastAsia="Times New Roman"/>
              </w:rPr>
            </w:pPr>
          </w:p>
        </w:tc>
        <w:tc>
          <w:tcPr>
            <w:tcW w:w="0" w:type="auto"/>
            <w:gridSpan w:val="3"/>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375</w:t>
            </w:r>
          </w:p>
        </w:tc>
      </w:tr>
      <w:tr w:rsidR="00000000">
        <w:trPr>
          <w:divId w:val="1004016466"/>
          <w:jc w:val="center"/>
        </w:trPr>
        <w:tc>
          <w:tcPr>
            <w:tcW w:w="0" w:type="auto"/>
            <w:gridSpan w:val="3"/>
            <w:tcMar>
              <w:top w:w="30" w:type="dxa"/>
              <w:left w:w="20" w:type="dxa"/>
              <w:bottom w:w="30" w:type="dxa"/>
              <w:right w:w="20" w:type="dxa"/>
            </w:tcMar>
            <w:vAlign w:val="bottom"/>
            <w:hideMark/>
          </w:tcPr>
          <w:p w:rsidR="00000000" w:rsidRDefault="001F1FC8">
            <w:pPr>
              <w:rPr>
                <w:rFonts w:eastAsia="Times New Roman"/>
              </w:rPr>
            </w:pPr>
            <w:r>
              <w:rPr>
                <w:rFonts w:ascii="Arial" w:eastAsia="Times New Roman" w:hAnsi="Arial" w:cs="Arial"/>
                <w:color w:val="000000"/>
                <w:sz w:val="20"/>
                <w:szCs w:val="20"/>
              </w:rPr>
              <w:t>Long-term loans receivable from affiliates</w:t>
            </w:r>
          </w:p>
        </w:tc>
        <w:tc>
          <w:tcPr>
            <w:tcW w:w="0" w:type="auto"/>
            <w:gridSpan w:val="2"/>
            <w:shd w:val="clear" w:color="auto" w:fill="D9D9D9"/>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b/>
                <w:bCs/>
                <w:color w:val="000000"/>
                <w:sz w:val="20"/>
                <w:szCs w:val="20"/>
              </w:rPr>
              <w:t>51,983</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hideMark/>
          </w:tcPr>
          <w:p w:rsidR="00000000" w:rsidRDefault="001F1FC8">
            <w:pPr>
              <w:jc w:val="right"/>
              <w:rPr>
                <w:rFonts w:eastAsia="Times New Roman"/>
              </w:rPr>
            </w:pPr>
          </w:p>
        </w:tc>
        <w:tc>
          <w:tcPr>
            <w:tcW w:w="0" w:type="auto"/>
            <w:gridSpan w:val="3"/>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43,217</w:t>
            </w:r>
          </w:p>
        </w:tc>
      </w:tr>
      <w:tr w:rsidR="00000000">
        <w:trPr>
          <w:divId w:val="1004016466"/>
          <w:jc w:val="center"/>
        </w:trPr>
        <w:tc>
          <w:tcPr>
            <w:tcW w:w="0" w:type="auto"/>
            <w:gridSpan w:val="3"/>
            <w:tcMar>
              <w:top w:w="30" w:type="dxa"/>
              <w:left w:w="20" w:type="dxa"/>
              <w:bottom w:w="30" w:type="dxa"/>
              <w:right w:w="20" w:type="dxa"/>
            </w:tcMar>
            <w:vAlign w:val="bottom"/>
            <w:hideMark/>
          </w:tcPr>
          <w:p w:rsidR="00000000" w:rsidRDefault="001F1FC8">
            <w:pPr>
              <w:rPr>
                <w:rFonts w:eastAsia="Times New Roman"/>
              </w:rPr>
            </w:pPr>
            <w:r>
              <w:rPr>
                <w:rFonts w:ascii="Arial" w:eastAsia="Times New Roman" w:hAnsi="Arial" w:cs="Arial"/>
                <w:color w:val="000000"/>
                <w:sz w:val="20"/>
                <w:szCs w:val="20"/>
              </w:rPr>
              <w:t>Other long-term assets</w:t>
            </w:r>
          </w:p>
        </w:tc>
        <w:tc>
          <w:tcPr>
            <w:tcW w:w="0" w:type="auto"/>
            <w:gridSpan w:val="2"/>
            <w:shd w:val="clear" w:color="auto" w:fill="D9D9D9"/>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b/>
                <w:bCs/>
                <w:color w:val="000000"/>
                <w:sz w:val="20"/>
                <w:szCs w:val="20"/>
              </w:rPr>
              <w:t>3,732</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hideMark/>
          </w:tcPr>
          <w:p w:rsidR="00000000" w:rsidRDefault="001F1FC8">
            <w:pPr>
              <w:jc w:val="right"/>
              <w:rPr>
                <w:rFonts w:eastAsia="Times New Roman"/>
              </w:rPr>
            </w:pPr>
          </w:p>
        </w:tc>
        <w:tc>
          <w:tcPr>
            <w:tcW w:w="0" w:type="auto"/>
            <w:gridSpan w:val="3"/>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4,237</w:t>
            </w:r>
          </w:p>
        </w:tc>
      </w:tr>
      <w:tr w:rsidR="00000000">
        <w:trPr>
          <w:divId w:val="1004016466"/>
          <w:jc w:val="center"/>
        </w:trPr>
        <w:tc>
          <w:tcPr>
            <w:tcW w:w="0" w:type="auto"/>
            <w:gridSpan w:val="3"/>
            <w:tcMar>
              <w:top w:w="30" w:type="dxa"/>
              <w:left w:w="20" w:type="dxa"/>
              <w:bottom w:w="30" w:type="dxa"/>
              <w:right w:w="20" w:type="dxa"/>
            </w:tcMar>
            <w:vAlign w:val="bottom"/>
            <w:hideMark/>
          </w:tcPr>
          <w:p w:rsidR="00000000" w:rsidRDefault="001F1FC8">
            <w:pPr>
              <w:rPr>
                <w:rFonts w:eastAsia="Times New Roman"/>
              </w:rPr>
            </w:pPr>
            <w:r>
              <w:rPr>
                <w:rFonts w:ascii="Arial" w:eastAsia="Times New Roman" w:hAnsi="Arial" w:cs="Arial"/>
                <w:color w:val="000000"/>
                <w:sz w:val="20"/>
                <w:szCs w:val="20"/>
              </w:rPr>
              <w:t>Accounts payable to affiliates</w:t>
            </w:r>
          </w:p>
        </w:tc>
        <w:tc>
          <w:tcPr>
            <w:tcW w:w="0" w:type="auto"/>
            <w:gridSpan w:val="2"/>
            <w:shd w:val="clear" w:color="auto" w:fill="D9D9D9"/>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b/>
                <w:bCs/>
                <w:color w:val="000000"/>
                <w:sz w:val="20"/>
                <w:szCs w:val="20"/>
              </w:rPr>
              <w:t>1,982</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hideMark/>
          </w:tcPr>
          <w:p w:rsidR="00000000" w:rsidRDefault="001F1FC8">
            <w:pPr>
              <w:jc w:val="right"/>
              <w:rPr>
                <w:rFonts w:eastAsia="Times New Roman"/>
              </w:rPr>
            </w:pPr>
          </w:p>
        </w:tc>
        <w:tc>
          <w:tcPr>
            <w:tcW w:w="0" w:type="auto"/>
            <w:gridSpan w:val="3"/>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1,267</w:t>
            </w:r>
          </w:p>
        </w:tc>
      </w:tr>
      <w:tr w:rsidR="00000000">
        <w:trPr>
          <w:divId w:val="1004016466"/>
          <w:jc w:val="center"/>
        </w:trPr>
        <w:tc>
          <w:tcPr>
            <w:tcW w:w="0" w:type="auto"/>
            <w:gridSpan w:val="3"/>
            <w:tcMar>
              <w:top w:w="30" w:type="dxa"/>
              <w:left w:w="20" w:type="dxa"/>
              <w:bottom w:w="30" w:type="dxa"/>
              <w:right w:w="20" w:type="dxa"/>
            </w:tcMar>
            <w:vAlign w:val="bottom"/>
            <w:hideMark/>
          </w:tcPr>
          <w:p w:rsidR="00000000" w:rsidRDefault="001F1FC8">
            <w:pPr>
              <w:rPr>
                <w:rFonts w:eastAsia="Times New Roman"/>
              </w:rPr>
            </w:pPr>
            <w:r>
              <w:rPr>
                <w:rFonts w:ascii="Arial" w:eastAsia="Times New Roman" w:hAnsi="Arial" w:cs="Arial"/>
                <w:color w:val="000000"/>
                <w:sz w:val="20"/>
                <w:szCs w:val="20"/>
              </w:rPr>
              <w:t>Short-term loans payable to affiliates</w:t>
            </w:r>
          </w:p>
        </w:tc>
        <w:tc>
          <w:tcPr>
            <w:tcW w:w="0" w:type="auto"/>
            <w:gridSpan w:val="2"/>
            <w:shd w:val="clear" w:color="auto" w:fill="D9D9D9"/>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b/>
                <w:bCs/>
                <w:color w:val="000000"/>
                <w:sz w:val="20"/>
                <w:szCs w:val="20"/>
              </w:rPr>
              <w:t>2,891</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hideMark/>
          </w:tcPr>
          <w:p w:rsidR="00000000" w:rsidRDefault="001F1FC8">
            <w:pPr>
              <w:jc w:val="right"/>
              <w:rPr>
                <w:rFonts w:eastAsia="Times New Roman"/>
              </w:rPr>
            </w:pPr>
          </w:p>
        </w:tc>
        <w:tc>
          <w:tcPr>
            <w:tcW w:w="0" w:type="auto"/>
            <w:gridSpan w:val="3"/>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4,117</w:t>
            </w:r>
          </w:p>
        </w:tc>
      </w:tr>
      <w:tr w:rsidR="00000000">
        <w:trPr>
          <w:divId w:val="1004016466"/>
          <w:jc w:val="center"/>
        </w:trPr>
        <w:tc>
          <w:tcPr>
            <w:tcW w:w="0" w:type="auto"/>
            <w:gridSpan w:val="3"/>
            <w:tcMar>
              <w:top w:w="30" w:type="dxa"/>
              <w:left w:w="20" w:type="dxa"/>
              <w:bottom w:w="30" w:type="dxa"/>
              <w:right w:w="20" w:type="dxa"/>
            </w:tcMar>
            <w:vAlign w:val="bottom"/>
            <w:hideMark/>
          </w:tcPr>
          <w:p w:rsidR="00000000" w:rsidRDefault="001F1FC8">
            <w:pPr>
              <w:rPr>
                <w:rFonts w:eastAsia="Times New Roman"/>
              </w:rPr>
            </w:pPr>
            <w:r>
              <w:rPr>
                <w:rFonts w:ascii="Arial" w:eastAsia="Times New Roman" w:hAnsi="Arial" w:cs="Arial"/>
                <w:color w:val="000000"/>
                <w:sz w:val="20"/>
                <w:szCs w:val="20"/>
              </w:rPr>
              <w:t>Other current liabilities</w:t>
            </w:r>
          </w:p>
        </w:tc>
        <w:tc>
          <w:tcPr>
            <w:tcW w:w="0" w:type="auto"/>
            <w:gridSpan w:val="2"/>
            <w:shd w:val="clear" w:color="auto" w:fill="D9D9D9"/>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b/>
                <w:bCs/>
                <w:color w:val="000000"/>
                <w:sz w:val="20"/>
                <w:szCs w:val="20"/>
              </w:rPr>
              <w:t>8,110</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hideMark/>
          </w:tcPr>
          <w:p w:rsidR="00000000" w:rsidRDefault="001F1FC8">
            <w:pPr>
              <w:jc w:val="right"/>
              <w:rPr>
                <w:rFonts w:eastAsia="Times New Roman"/>
              </w:rPr>
            </w:pPr>
          </w:p>
        </w:tc>
        <w:tc>
          <w:tcPr>
            <w:tcW w:w="0" w:type="auto"/>
            <w:gridSpan w:val="3"/>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5,628</w:t>
            </w:r>
          </w:p>
        </w:tc>
      </w:tr>
      <w:tr w:rsidR="00000000">
        <w:trPr>
          <w:divId w:val="1004016466"/>
          <w:jc w:val="center"/>
        </w:trPr>
        <w:tc>
          <w:tcPr>
            <w:tcW w:w="0" w:type="auto"/>
            <w:gridSpan w:val="3"/>
            <w:tcMar>
              <w:top w:w="30" w:type="dxa"/>
              <w:left w:w="20" w:type="dxa"/>
              <w:bottom w:w="30" w:type="dxa"/>
              <w:right w:w="20" w:type="dxa"/>
            </w:tcMar>
            <w:vAlign w:val="bottom"/>
            <w:hideMark/>
          </w:tcPr>
          <w:p w:rsidR="00000000" w:rsidRDefault="001F1FC8">
            <w:pPr>
              <w:rPr>
                <w:rFonts w:eastAsia="Times New Roman"/>
              </w:rPr>
            </w:pPr>
            <w:r>
              <w:rPr>
                <w:rFonts w:ascii="Arial" w:eastAsia="Times New Roman" w:hAnsi="Arial" w:cs="Arial"/>
                <w:color w:val="000000"/>
                <w:sz w:val="20"/>
                <w:szCs w:val="20"/>
              </w:rPr>
              <w:t>Long-term loans payable to affiliates</w:t>
            </w:r>
          </w:p>
        </w:tc>
        <w:tc>
          <w:tcPr>
            <w:tcW w:w="0" w:type="auto"/>
            <w:gridSpan w:val="2"/>
            <w:shd w:val="clear" w:color="auto" w:fill="D9D9D9"/>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b/>
                <w:bCs/>
                <w:color w:val="000000"/>
                <w:sz w:val="20"/>
                <w:szCs w:val="20"/>
              </w:rPr>
              <w:t>41,370</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hideMark/>
          </w:tcPr>
          <w:p w:rsidR="00000000" w:rsidRDefault="001F1FC8">
            <w:pPr>
              <w:jc w:val="right"/>
              <w:rPr>
                <w:rFonts w:eastAsia="Times New Roman"/>
              </w:rPr>
            </w:pPr>
          </w:p>
        </w:tc>
        <w:tc>
          <w:tcPr>
            <w:tcW w:w="0" w:type="auto"/>
            <w:gridSpan w:val="3"/>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32,035</w:t>
            </w:r>
          </w:p>
        </w:tc>
      </w:tr>
      <w:tr w:rsidR="00000000">
        <w:trPr>
          <w:divId w:val="1004016466"/>
          <w:jc w:val="center"/>
        </w:trPr>
        <w:tc>
          <w:tcPr>
            <w:tcW w:w="0" w:type="auto"/>
            <w:gridSpan w:val="3"/>
            <w:tcBorders>
              <w:bottom w:val="single" w:sz="8" w:space="0" w:color="000000"/>
            </w:tcBorders>
            <w:tcMar>
              <w:top w:w="30" w:type="dxa"/>
              <w:left w:w="20" w:type="dxa"/>
              <w:bottom w:w="30" w:type="dxa"/>
              <w:right w:w="20" w:type="dxa"/>
            </w:tcMar>
            <w:vAlign w:val="bottom"/>
            <w:hideMark/>
          </w:tcPr>
          <w:p w:rsidR="00000000" w:rsidRDefault="001F1FC8">
            <w:pPr>
              <w:rPr>
                <w:rFonts w:eastAsia="Times New Roman"/>
              </w:rPr>
            </w:pPr>
            <w:r>
              <w:rPr>
                <w:rFonts w:ascii="Arial" w:eastAsia="Times New Roman" w:hAnsi="Arial" w:cs="Arial"/>
                <w:color w:val="000000"/>
                <w:sz w:val="20"/>
                <w:szCs w:val="20"/>
              </w:rPr>
              <w:t>Other long-term liabilities</w:t>
            </w:r>
          </w:p>
        </w:tc>
        <w:tc>
          <w:tcPr>
            <w:tcW w:w="0" w:type="auto"/>
            <w:gridSpan w:val="2"/>
            <w:tcBorders>
              <w:bottom w:val="single" w:sz="8" w:space="0" w:color="000000"/>
            </w:tcBorders>
            <w:shd w:val="clear" w:color="auto" w:fill="D9D9D9"/>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b/>
                <w:bCs/>
                <w:color w:val="000000"/>
                <w:sz w:val="20"/>
                <w:szCs w:val="20"/>
              </w:rPr>
              <w:t>41,353</w:t>
            </w:r>
            <w:r>
              <w:rPr>
                <w:rFonts w:ascii="Arial" w:eastAsia="Times New Roman" w:hAnsi="Arial" w:cs="Arial"/>
                <w:color w:val="000000"/>
                <w:sz w:val="20"/>
                <w:szCs w:val="20"/>
              </w:rPr>
              <w:t> </w:t>
            </w:r>
          </w:p>
        </w:tc>
        <w:tc>
          <w:tcPr>
            <w:tcW w:w="0" w:type="auto"/>
            <w:tcBorders>
              <w:bottom w:val="single" w:sz="8" w:space="0" w:color="000000"/>
            </w:tcBorders>
            <w:shd w:val="clear" w:color="auto" w:fill="D9D9D9"/>
            <w:tcMar>
              <w:top w:w="30" w:type="dxa"/>
              <w:left w:w="0" w:type="dxa"/>
              <w:bottom w:w="30" w:type="dxa"/>
              <w:right w:w="20" w:type="dxa"/>
            </w:tcMar>
            <w:hideMark/>
          </w:tcPr>
          <w:p w:rsidR="00000000" w:rsidRDefault="001F1FC8">
            <w:pPr>
              <w:jc w:val="right"/>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41,353</w:t>
            </w:r>
          </w:p>
        </w:tc>
      </w:tr>
    </w:tbl>
    <w:p w:rsidR="00000000" w:rsidRDefault="001F1FC8">
      <w:pPr>
        <w:divId w:val="1326864343"/>
        <w:rPr>
          <w:rFonts w:eastAsia="Times New Roman"/>
        </w:rPr>
      </w:pPr>
    </w:p>
    <w:p w:rsidR="00000000" w:rsidRDefault="001F1FC8">
      <w:pPr>
        <w:divId w:val="42020058"/>
        <w:rPr>
          <w:rFonts w:eastAsia="Times New Roman"/>
        </w:rPr>
      </w:pPr>
      <w:r>
        <w:rPr>
          <w:rFonts w:ascii="Arial" w:eastAsia="Times New Roman" w:hAnsi="Arial" w:cs="Arial"/>
          <w:color w:val="000000"/>
          <w:sz w:val="20"/>
          <w:szCs w:val="20"/>
        </w:rPr>
        <w:t>The Guaranteed Enbridge Notes and the Guaranteed Partnership Notes are structurally subordinated to the indebtedness of the Subsidiary Non-Guarantors in respect of the assets of those Subsidiary Non-Guarantors.</w:t>
      </w:r>
    </w:p>
    <w:p w:rsidR="00000000" w:rsidRDefault="001F1FC8">
      <w:pPr>
        <w:jc w:val="center"/>
        <w:rPr>
          <w:rFonts w:eastAsia="Times New Roman"/>
        </w:rPr>
      </w:pPr>
    </w:p>
    <w:p w:rsidR="00000000" w:rsidRDefault="001F1FC8">
      <w:pPr>
        <w:divId w:val="803233956"/>
        <w:rPr>
          <w:rFonts w:eastAsia="Times New Roman"/>
        </w:rPr>
      </w:pPr>
      <w:r>
        <w:rPr>
          <w:rFonts w:ascii="Arial" w:eastAsia="Times New Roman" w:hAnsi="Arial" w:cs="Arial"/>
          <w:color w:val="000000"/>
          <w:sz w:val="20"/>
          <w:szCs w:val="20"/>
        </w:rPr>
        <w:t>Under US bankruptcy law and comparable prov</w:t>
      </w:r>
      <w:r>
        <w:rPr>
          <w:rFonts w:ascii="Arial" w:eastAsia="Times New Roman" w:hAnsi="Arial" w:cs="Arial"/>
          <w:color w:val="000000"/>
          <w:sz w:val="20"/>
          <w:szCs w:val="20"/>
        </w:rPr>
        <w:t xml:space="preserve">isions of state fraudulent transfer laws, a guarantee can be voided, or claims may be subordinated to all other debts of that guarantor if, among other things, the guarantor, at the time the indebtedness evidenced by its guarantee or, in some states, when </w:t>
      </w:r>
      <w:r>
        <w:rPr>
          <w:rFonts w:ascii="Arial" w:eastAsia="Times New Roman" w:hAnsi="Arial" w:cs="Arial"/>
          <w:color w:val="000000"/>
          <w:sz w:val="20"/>
          <w:szCs w:val="20"/>
        </w:rPr>
        <w:t xml:space="preserve">payments become due under the guarantee: </w:t>
      </w:r>
    </w:p>
    <w:p w:rsidR="00000000" w:rsidRDefault="001F1FC8">
      <w:pPr>
        <w:divId w:val="286788478"/>
        <w:rPr>
          <w:rFonts w:eastAsia="Times New Roman"/>
        </w:rPr>
      </w:pPr>
    </w:p>
    <w:p w:rsidR="00000000" w:rsidRDefault="001F1FC8">
      <w:pPr>
        <w:ind w:hanging="360"/>
        <w:divId w:val="2053377653"/>
        <w:rPr>
          <w:rFonts w:eastAsia="Times New Roman"/>
        </w:rPr>
      </w:pPr>
      <w:r>
        <w:rPr>
          <w:rFonts w:ascii="Arial" w:eastAsia="Times New Roman" w:hAnsi="Arial" w:cs="Arial"/>
          <w:color w:val="000000"/>
          <w:sz w:val="20"/>
          <w:szCs w:val="20"/>
        </w:rPr>
        <w:t>•received less than reasonably equivalent value or fair consideration for the incurrence of the guarantee and was insolvent or rendered insolvent by reason of such incurrence;</w:t>
      </w:r>
    </w:p>
    <w:p w:rsidR="00000000" w:rsidRDefault="001F1FC8">
      <w:pPr>
        <w:ind w:hanging="360"/>
        <w:divId w:val="650252559"/>
        <w:rPr>
          <w:rFonts w:eastAsia="Times New Roman"/>
        </w:rPr>
      </w:pPr>
      <w:r>
        <w:rPr>
          <w:rFonts w:ascii="Arial" w:eastAsia="Times New Roman" w:hAnsi="Arial" w:cs="Arial"/>
          <w:color w:val="000000"/>
          <w:sz w:val="20"/>
          <w:szCs w:val="20"/>
        </w:rPr>
        <w:t>•was engaged in a business or transa</w:t>
      </w:r>
      <w:r>
        <w:rPr>
          <w:rFonts w:ascii="Arial" w:eastAsia="Times New Roman" w:hAnsi="Arial" w:cs="Arial"/>
          <w:color w:val="000000"/>
          <w:sz w:val="20"/>
          <w:szCs w:val="20"/>
        </w:rPr>
        <w:t>ction for which the guarantor’s remaining assets constituted unreasonably small capital; or</w:t>
      </w:r>
    </w:p>
    <w:p w:rsidR="00000000" w:rsidRDefault="001F1FC8">
      <w:pPr>
        <w:ind w:hanging="360"/>
        <w:divId w:val="50929305"/>
        <w:rPr>
          <w:rFonts w:eastAsia="Times New Roman"/>
        </w:rPr>
      </w:pPr>
      <w:r>
        <w:rPr>
          <w:rFonts w:ascii="Arial" w:eastAsia="Times New Roman" w:hAnsi="Arial" w:cs="Arial"/>
          <w:color w:val="000000"/>
          <w:sz w:val="20"/>
          <w:szCs w:val="20"/>
        </w:rPr>
        <w:t>•intended to incur, or believed that it would incur, debts beyond its ability to pay those debts as they mature.</w:t>
      </w:r>
    </w:p>
    <w:p w:rsidR="00000000" w:rsidRDefault="001F1FC8">
      <w:pPr>
        <w:divId w:val="1893468663"/>
        <w:rPr>
          <w:rFonts w:eastAsia="Times New Roman"/>
        </w:rPr>
      </w:pPr>
    </w:p>
    <w:p w:rsidR="00000000" w:rsidRDefault="001F1FC8">
      <w:pPr>
        <w:divId w:val="1636327136"/>
        <w:rPr>
          <w:rFonts w:eastAsia="Times New Roman"/>
        </w:rPr>
      </w:pPr>
      <w:r>
        <w:rPr>
          <w:rFonts w:ascii="Arial" w:eastAsia="Times New Roman" w:hAnsi="Arial" w:cs="Arial"/>
          <w:color w:val="000000"/>
          <w:sz w:val="20"/>
          <w:szCs w:val="20"/>
        </w:rPr>
        <w:t>The guarantees of the Guaranteed Enbridge Notes c</w:t>
      </w:r>
      <w:r>
        <w:rPr>
          <w:rFonts w:ascii="Arial" w:eastAsia="Times New Roman" w:hAnsi="Arial" w:cs="Arial"/>
          <w:color w:val="000000"/>
          <w:sz w:val="20"/>
          <w:szCs w:val="20"/>
        </w:rPr>
        <w:t>ontain provisions to limit the maximum amount of liability that the Partnerships could incur without causing the incurrence of obligations under the guarantee to be a fraudulent conveyance or fraudulent transfer under US federal or state law.</w:t>
      </w:r>
    </w:p>
    <w:p w:rsidR="00000000" w:rsidRDefault="001F1FC8">
      <w:pPr>
        <w:divId w:val="1448961450"/>
        <w:rPr>
          <w:rFonts w:eastAsia="Times New Roman"/>
        </w:rPr>
      </w:pPr>
    </w:p>
    <w:p w:rsidR="00000000" w:rsidRDefault="001F1FC8">
      <w:pPr>
        <w:divId w:val="1340153916"/>
        <w:rPr>
          <w:rFonts w:eastAsia="Times New Roman"/>
        </w:rPr>
      </w:pPr>
      <w:r>
        <w:rPr>
          <w:rFonts w:ascii="Arial" w:eastAsia="Times New Roman" w:hAnsi="Arial" w:cs="Arial"/>
          <w:color w:val="000000"/>
          <w:sz w:val="20"/>
          <w:szCs w:val="20"/>
        </w:rPr>
        <w:t>Each of the</w:t>
      </w:r>
      <w:r>
        <w:rPr>
          <w:rFonts w:ascii="Arial" w:eastAsia="Times New Roman" w:hAnsi="Arial" w:cs="Arial"/>
          <w:color w:val="000000"/>
          <w:sz w:val="20"/>
          <w:szCs w:val="20"/>
        </w:rPr>
        <w:t xml:space="preserve"> Partnerships is entitled to a right of contribution from the other Partnership for 50% of all payments, damages and expenses incurred by that Partnership in discharging its obligations under the guarantees for the Guaranteed Enbridge Notes. </w:t>
      </w:r>
    </w:p>
    <w:p w:rsidR="00000000" w:rsidRDefault="001F1FC8">
      <w:pPr>
        <w:divId w:val="507870304"/>
        <w:rPr>
          <w:rFonts w:eastAsia="Times New Roman"/>
        </w:rPr>
      </w:pPr>
    </w:p>
    <w:p w:rsidR="00000000" w:rsidRDefault="001F1FC8">
      <w:pPr>
        <w:divId w:val="748044571"/>
        <w:rPr>
          <w:rFonts w:eastAsia="Times New Roman"/>
        </w:rPr>
      </w:pPr>
      <w:r>
        <w:rPr>
          <w:rFonts w:ascii="Arial" w:eastAsia="Times New Roman" w:hAnsi="Arial" w:cs="Arial"/>
          <w:color w:val="000000"/>
          <w:sz w:val="20"/>
          <w:szCs w:val="20"/>
        </w:rPr>
        <w:t>Under the terms of the guarantee agreement and applicable supplemental indentures, the guarantees of either of the Partnerships of any Guaranteed Enbridge Notes will be unconditionally released and discharged automatically upon the occurrence of any of the</w:t>
      </w:r>
      <w:r>
        <w:rPr>
          <w:rFonts w:ascii="Arial" w:eastAsia="Times New Roman" w:hAnsi="Arial" w:cs="Arial"/>
          <w:color w:val="000000"/>
          <w:sz w:val="20"/>
          <w:szCs w:val="20"/>
        </w:rPr>
        <w:t xml:space="preserve"> following events:</w:t>
      </w:r>
    </w:p>
    <w:p w:rsidR="00000000" w:rsidRDefault="001F1FC8">
      <w:pPr>
        <w:divId w:val="956255115"/>
        <w:rPr>
          <w:rFonts w:eastAsia="Times New Roman"/>
        </w:rPr>
      </w:pPr>
    </w:p>
    <w:p w:rsidR="00000000" w:rsidRDefault="001F1FC8">
      <w:pPr>
        <w:ind w:hanging="360"/>
        <w:divId w:val="914515524"/>
        <w:rPr>
          <w:rFonts w:eastAsia="Times New Roman"/>
        </w:rPr>
      </w:pPr>
      <w:r>
        <w:rPr>
          <w:rFonts w:ascii="Arial" w:eastAsia="Times New Roman" w:hAnsi="Arial" w:cs="Arial"/>
          <w:color w:val="000000"/>
          <w:sz w:val="20"/>
          <w:szCs w:val="20"/>
        </w:rPr>
        <w:t>•any direct or indirect sale, exchange or transfer, whether by way of merger, sale or transfer of equity interests or otherwise, to any person that is not an affiliate of Enbridge, of any of Enbridge’s direct or indirect limited partne</w:t>
      </w:r>
      <w:r>
        <w:rPr>
          <w:rFonts w:ascii="Arial" w:eastAsia="Times New Roman" w:hAnsi="Arial" w:cs="Arial"/>
          <w:color w:val="000000"/>
          <w:sz w:val="20"/>
          <w:szCs w:val="20"/>
        </w:rPr>
        <w:t>rship of other equity interests in that Partnership as a result of which the Partnership ceases to be a consolidated subsidiary of Enbridge;</w:t>
      </w:r>
    </w:p>
    <w:p w:rsidR="00000000" w:rsidRDefault="001F1FC8">
      <w:pPr>
        <w:ind w:hanging="360"/>
        <w:divId w:val="1930767010"/>
        <w:rPr>
          <w:rFonts w:eastAsia="Times New Roman"/>
        </w:rPr>
      </w:pPr>
      <w:r>
        <w:rPr>
          <w:rFonts w:ascii="Arial" w:eastAsia="Times New Roman" w:hAnsi="Arial" w:cs="Arial"/>
          <w:color w:val="000000"/>
          <w:sz w:val="20"/>
          <w:szCs w:val="20"/>
        </w:rPr>
        <w:t>•the merger of that Partnership into Enbridge or the other Partnership or the liquidation and dissolution of that P</w:t>
      </w:r>
      <w:r>
        <w:rPr>
          <w:rFonts w:ascii="Arial" w:eastAsia="Times New Roman" w:hAnsi="Arial" w:cs="Arial"/>
          <w:color w:val="000000"/>
          <w:sz w:val="20"/>
          <w:szCs w:val="20"/>
        </w:rPr>
        <w:t>artnership;</w:t>
      </w:r>
    </w:p>
    <w:p w:rsidR="00000000" w:rsidRDefault="001F1FC8">
      <w:pPr>
        <w:ind w:hanging="360"/>
        <w:divId w:val="802887518"/>
        <w:rPr>
          <w:rFonts w:eastAsia="Times New Roman"/>
        </w:rPr>
      </w:pPr>
      <w:r>
        <w:rPr>
          <w:rFonts w:ascii="Arial" w:eastAsia="Times New Roman" w:hAnsi="Arial" w:cs="Arial"/>
          <w:color w:val="000000"/>
          <w:sz w:val="20"/>
          <w:szCs w:val="20"/>
        </w:rPr>
        <w:t>•the repayment in full or discharge or defeasance of those Guaranteed Enbridge Notes, as contemplated by the applicable indenture or guarantee agreement;</w:t>
      </w:r>
    </w:p>
    <w:p w:rsidR="00000000" w:rsidRDefault="001F1FC8">
      <w:pPr>
        <w:jc w:val="center"/>
        <w:divId w:val="1868369664"/>
        <w:rPr>
          <w:rFonts w:eastAsia="Times New Roman"/>
        </w:rPr>
      </w:pPr>
      <w:r>
        <w:rPr>
          <w:rFonts w:ascii="Arial" w:eastAsia="Times New Roman" w:hAnsi="Arial" w:cs="Arial"/>
          <w:color w:val="000000"/>
          <w:sz w:val="20"/>
          <w:szCs w:val="20"/>
        </w:rPr>
        <w:t>82</w:t>
      </w:r>
    </w:p>
    <w:p w:rsidR="00000000" w:rsidRDefault="001F1FC8">
      <w:pPr>
        <w:rPr>
          <w:rFonts w:eastAsia="Times New Roman"/>
        </w:rPr>
      </w:pPr>
      <w:r>
        <w:rPr>
          <w:rFonts w:eastAsia="Times New Roman"/>
        </w:rPr>
        <w:pict>
          <v:rect id="_x0000_i1112" style="width:0;height:1.5pt" o:hralign="center" o:hrstd="t" o:hr="t" fillcolor="#a0a0a0" stroked="f"/>
        </w:pict>
      </w:r>
    </w:p>
    <w:p w:rsidR="00000000" w:rsidRDefault="001F1FC8">
      <w:pPr>
        <w:jc w:val="center"/>
        <w:divId w:val="894701745"/>
        <w:rPr>
          <w:rFonts w:eastAsia="Times New Roman"/>
        </w:rPr>
      </w:pPr>
    </w:p>
    <w:p w:rsidR="00000000" w:rsidRDefault="001F1FC8">
      <w:pPr>
        <w:ind w:hanging="360"/>
        <w:divId w:val="1674255945"/>
        <w:rPr>
          <w:rFonts w:eastAsia="Times New Roman"/>
        </w:rPr>
      </w:pPr>
      <w:r>
        <w:rPr>
          <w:rFonts w:ascii="Arial" w:eastAsia="Times New Roman" w:hAnsi="Arial" w:cs="Arial"/>
          <w:color w:val="000000"/>
          <w:sz w:val="20"/>
          <w:szCs w:val="20"/>
        </w:rPr>
        <w:t>•with respect to EEP, the repayment in full or d</w:t>
      </w:r>
      <w:r>
        <w:rPr>
          <w:rFonts w:ascii="Arial" w:eastAsia="Times New Roman" w:hAnsi="Arial" w:cs="Arial"/>
          <w:color w:val="000000"/>
          <w:sz w:val="20"/>
          <w:szCs w:val="20"/>
        </w:rPr>
        <w:t>ischarge or defeasance of each of the consenting EEP notes listed above;</w:t>
      </w:r>
    </w:p>
    <w:p w:rsidR="00000000" w:rsidRDefault="001F1FC8">
      <w:pPr>
        <w:ind w:hanging="360"/>
        <w:divId w:val="2037848873"/>
        <w:rPr>
          <w:rFonts w:eastAsia="Times New Roman"/>
        </w:rPr>
      </w:pPr>
      <w:r>
        <w:rPr>
          <w:rFonts w:ascii="Arial" w:eastAsia="Times New Roman" w:hAnsi="Arial" w:cs="Arial"/>
          <w:color w:val="000000"/>
          <w:sz w:val="20"/>
          <w:szCs w:val="20"/>
        </w:rPr>
        <w:t>•with respect to SEP, the repayment in full or discharge or defeasance of each of the consenting SEP notes listed above; or</w:t>
      </w:r>
    </w:p>
    <w:p w:rsidR="00000000" w:rsidRDefault="001F1FC8">
      <w:pPr>
        <w:ind w:hanging="360"/>
        <w:divId w:val="139613883"/>
        <w:rPr>
          <w:rFonts w:eastAsia="Times New Roman"/>
        </w:rPr>
      </w:pPr>
      <w:r>
        <w:rPr>
          <w:rFonts w:ascii="Arial" w:eastAsia="Times New Roman" w:hAnsi="Arial" w:cs="Arial"/>
          <w:color w:val="000000"/>
          <w:sz w:val="20"/>
          <w:szCs w:val="20"/>
        </w:rPr>
        <w:t>•with respect to any series of Guaranteed Enbridge Notes, w</w:t>
      </w:r>
      <w:r>
        <w:rPr>
          <w:rFonts w:ascii="Arial" w:eastAsia="Times New Roman" w:hAnsi="Arial" w:cs="Arial"/>
          <w:color w:val="000000"/>
          <w:sz w:val="20"/>
          <w:szCs w:val="20"/>
        </w:rPr>
        <w:t>ith the consent of holders of at least a majority of the outstanding principal amount of that series of Guaranteed Enbridge Notes.</w:t>
      </w:r>
    </w:p>
    <w:p w:rsidR="00000000" w:rsidRDefault="001F1FC8">
      <w:pPr>
        <w:divId w:val="1565145107"/>
        <w:rPr>
          <w:rFonts w:eastAsia="Times New Roman"/>
        </w:rPr>
      </w:pPr>
    </w:p>
    <w:p w:rsidR="00000000" w:rsidRDefault="001F1FC8">
      <w:pPr>
        <w:divId w:val="1399129673"/>
        <w:rPr>
          <w:rFonts w:eastAsia="Times New Roman"/>
        </w:rPr>
      </w:pPr>
      <w:r>
        <w:rPr>
          <w:rFonts w:ascii="Arial" w:eastAsia="Times New Roman" w:hAnsi="Arial" w:cs="Arial"/>
          <w:color w:val="000000"/>
          <w:sz w:val="20"/>
          <w:szCs w:val="20"/>
        </w:rPr>
        <w:t>The guarantee obligations of Enbridge of the Guaranteed Partnership Notes will terminate with respect to any series of Guar</w:t>
      </w:r>
      <w:r>
        <w:rPr>
          <w:rFonts w:ascii="Arial" w:eastAsia="Times New Roman" w:hAnsi="Arial" w:cs="Arial"/>
          <w:color w:val="000000"/>
          <w:sz w:val="20"/>
          <w:szCs w:val="20"/>
        </w:rPr>
        <w:t>anteed Partnership Notes if that series is discharged or defeased.</w:t>
      </w:r>
    </w:p>
    <w:p w:rsidR="00000000" w:rsidRDefault="001F1FC8">
      <w:pPr>
        <w:divId w:val="375546745"/>
        <w:rPr>
          <w:rFonts w:eastAsia="Times New Roman"/>
        </w:rPr>
      </w:pPr>
    </w:p>
    <w:p w:rsidR="00000000" w:rsidRDefault="001F1FC8">
      <w:pPr>
        <w:divId w:val="822350421"/>
        <w:rPr>
          <w:rFonts w:eastAsia="Times New Roman"/>
        </w:rPr>
      </w:pPr>
      <w:r>
        <w:rPr>
          <w:rFonts w:ascii="Arial" w:eastAsia="Times New Roman" w:hAnsi="Arial" w:cs="Arial"/>
          <w:color w:val="000000"/>
          <w:sz w:val="20"/>
          <w:szCs w:val="20"/>
          <w:shd w:val="clear" w:color="auto" w:fill="FFFFFF"/>
        </w:rPr>
        <w:t>The Partnerships also guarantee the obligations of Enbridge under its existing credit facilities</w:t>
      </w:r>
      <w:r>
        <w:rPr>
          <w:rFonts w:ascii="Arial" w:eastAsia="Times New Roman" w:hAnsi="Arial" w:cs="Arial"/>
          <w:b/>
          <w:bCs/>
          <w:color w:val="000000"/>
          <w:sz w:val="20"/>
          <w:szCs w:val="20"/>
          <w:shd w:val="clear" w:color="auto" w:fill="FFFFFF"/>
        </w:rPr>
        <w:t>.</w:t>
      </w:r>
    </w:p>
    <w:p w:rsidR="00000000" w:rsidRDefault="001F1FC8">
      <w:pPr>
        <w:jc w:val="center"/>
        <w:rPr>
          <w:rFonts w:eastAsia="Times New Roman"/>
        </w:rPr>
      </w:pPr>
    </w:p>
    <w:p w:rsidR="00000000" w:rsidRDefault="001F1FC8">
      <w:pPr>
        <w:divId w:val="1300723726"/>
        <w:rPr>
          <w:rFonts w:eastAsia="Times New Roman"/>
        </w:rPr>
      </w:pPr>
      <w:r>
        <w:rPr>
          <w:rFonts w:ascii="Arial" w:eastAsia="Times New Roman" w:hAnsi="Arial" w:cs="Arial"/>
          <w:b/>
          <w:bCs/>
          <w:color w:val="000000"/>
          <w:sz w:val="26"/>
          <w:szCs w:val="26"/>
        </w:rPr>
        <w:t>LEGAL AND OTHER UPDATES</w:t>
      </w:r>
    </w:p>
    <w:p w:rsidR="00000000" w:rsidRDefault="001F1FC8">
      <w:pPr>
        <w:divId w:val="1852330827"/>
        <w:rPr>
          <w:rFonts w:eastAsia="Times New Roman"/>
        </w:rPr>
      </w:pPr>
    </w:p>
    <w:p w:rsidR="00000000" w:rsidRDefault="001F1FC8">
      <w:pPr>
        <w:divId w:val="281545703"/>
        <w:rPr>
          <w:rFonts w:eastAsia="Times New Roman"/>
        </w:rPr>
      </w:pPr>
      <w:r>
        <w:rPr>
          <w:rFonts w:ascii="Arial" w:eastAsia="Times New Roman" w:hAnsi="Arial" w:cs="Arial"/>
          <w:b/>
          <w:bCs/>
          <w:color w:val="000000"/>
          <w:sz w:val="20"/>
          <w:szCs w:val="20"/>
        </w:rPr>
        <w:t>LIQUIDS PIPELINES</w:t>
      </w:r>
    </w:p>
    <w:p w:rsidR="00000000" w:rsidRDefault="001F1FC8">
      <w:pPr>
        <w:divId w:val="455954521"/>
        <w:rPr>
          <w:rFonts w:eastAsia="Times New Roman"/>
        </w:rPr>
      </w:pPr>
    </w:p>
    <w:p w:rsidR="00000000" w:rsidRDefault="001F1FC8">
      <w:pPr>
        <w:divId w:val="2091463147"/>
        <w:rPr>
          <w:rFonts w:eastAsia="Times New Roman"/>
        </w:rPr>
      </w:pPr>
      <w:r>
        <w:rPr>
          <w:rFonts w:ascii="Arial" w:eastAsia="Times New Roman" w:hAnsi="Arial" w:cs="Arial"/>
          <w:b/>
          <w:bCs/>
          <w:color w:val="000000"/>
          <w:sz w:val="20"/>
          <w:szCs w:val="20"/>
        </w:rPr>
        <w:t>Michigan Line 5 Dual Pipelines - Straits of Mackinac Easement</w:t>
      </w:r>
    </w:p>
    <w:p w:rsidR="00000000" w:rsidRDefault="001F1FC8">
      <w:pPr>
        <w:divId w:val="749430882"/>
        <w:rPr>
          <w:rFonts w:eastAsia="Times New Roman"/>
        </w:rPr>
      </w:pPr>
      <w:r>
        <w:rPr>
          <w:rFonts w:ascii="Arial" w:eastAsia="Times New Roman" w:hAnsi="Arial" w:cs="Arial"/>
          <w:color w:val="000000"/>
          <w:sz w:val="20"/>
          <w:szCs w:val="20"/>
        </w:rPr>
        <w:t xml:space="preserve">In 2019, the Michigan Attorney General filed a complaint in the Michigan Ingham County Circuit Court (the Court) that requests the Court to declare the easement granted in 1953 that we have for </w:t>
      </w:r>
      <w:r>
        <w:rPr>
          <w:rFonts w:ascii="Arial" w:eastAsia="Times New Roman" w:hAnsi="Arial" w:cs="Arial"/>
          <w:color w:val="000000"/>
          <w:sz w:val="20"/>
          <w:szCs w:val="20"/>
        </w:rPr>
        <w:t>the operation of Line 5 in the Straits of Mackinac (the Straits) to be invalid and to prohibit continued operation of Line 5 in the Straits “as soon as possible after a reasonable notice period to allow orderly adjustments by affected parties”. On December</w:t>
      </w:r>
      <w:r>
        <w:rPr>
          <w:rFonts w:ascii="Arial" w:eastAsia="Times New Roman" w:hAnsi="Arial" w:cs="Arial"/>
          <w:color w:val="000000"/>
          <w:sz w:val="20"/>
          <w:szCs w:val="20"/>
        </w:rPr>
        <w:t xml:space="preserve"> 15, 2021, we removed the case to the US District Court in the Western District of Michigan (US District Court), where it was assigned to Judge Janet T. Neff. The removal of the Attorney General’s case to federal court follows a November 16, 2021 ruling (f</w:t>
      </w:r>
      <w:r>
        <w:rPr>
          <w:rFonts w:ascii="Arial" w:eastAsia="Times New Roman" w:hAnsi="Arial" w:cs="Arial"/>
          <w:color w:val="000000"/>
          <w:sz w:val="20"/>
          <w:szCs w:val="20"/>
        </w:rPr>
        <w:t>urther described below) which held that the similar (and now dismissed) 2020 lawsuit brought by the Governor to force Line 5’s shutdown raised important federal issues that should be heard in federal court. On December 21, 2021, the Attorney General made a</w:t>
      </w:r>
      <w:r>
        <w:rPr>
          <w:rFonts w:ascii="Arial" w:eastAsia="Times New Roman" w:hAnsi="Arial" w:cs="Arial"/>
          <w:color w:val="000000"/>
          <w:sz w:val="20"/>
          <w:szCs w:val="20"/>
        </w:rPr>
        <w:t xml:space="preserve"> request to file a remand motion and on December 28, 2021, we responded to her request to file that motion. On January 5, 2022, the court issued an Order allowing the Attorney General to file a motion to remand the 2019 case. The Attorney General’s motion </w:t>
      </w:r>
      <w:r>
        <w:rPr>
          <w:rFonts w:ascii="Arial" w:eastAsia="Times New Roman" w:hAnsi="Arial" w:cs="Arial"/>
          <w:color w:val="000000"/>
          <w:sz w:val="20"/>
          <w:szCs w:val="20"/>
        </w:rPr>
        <w:t xml:space="preserve">and brief was filed on January 14, 2022, and our response is due on February 11, 2022. The motion is expected to be fully briefed by March 2022. </w:t>
      </w:r>
    </w:p>
    <w:p w:rsidR="00000000" w:rsidRDefault="001F1FC8">
      <w:pPr>
        <w:divId w:val="665985236"/>
        <w:rPr>
          <w:rFonts w:eastAsia="Times New Roman"/>
        </w:rPr>
      </w:pPr>
    </w:p>
    <w:p w:rsidR="00000000" w:rsidRDefault="001F1FC8">
      <w:pPr>
        <w:divId w:val="1731154838"/>
        <w:rPr>
          <w:rFonts w:eastAsia="Times New Roman"/>
        </w:rPr>
      </w:pPr>
      <w:r>
        <w:rPr>
          <w:rFonts w:ascii="Arial" w:eastAsia="Times New Roman" w:hAnsi="Arial" w:cs="Arial"/>
          <w:color w:val="000000"/>
          <w:sz w:val="20"/>
          <w:szCs w:val="20"/>
        </w:rPr>
        <w:t>On November 13, 2020, the Governor of Michigan and the Director of the Michigan Department of Natural Resour</w:t>
      </w:r>
      <w:r>
        <w:rPr>
          <w:rFonts w:ascii="Arial" w:eastAsia="Times New Roman" w:hAnsi="Arial" w:cs="Arial"/>
          <w:color w:val="000000"/>
          <w:sz w:val="20"/>
          <w:szCs w:val="20"/>
        </w:rPr>
        <w:t xml:space="preserve">ces notified us that the State of Michigan (the State) was revoking and terminating the easement granted in 1953 that allows Line 5 to operate across the Straits. The notice demanded that the portion of Line 5 that crosses the Straits must be shut down by </w:t>
      </w:r>
      <w:r>
        <w:rPr>
          <w:rFonts w:ascii="Arial" w:eastAsia="Times New Roman" w:hAnsi="Arial" w:cs="Arial"/>
          <w:color w:val="000000"/>
          <w:sz w:val="20"/>
          <w:szCs w:val="20"/>
        </w:rPr>
        <w:t>May 2021. On November 24, 2020, we filed in the US District Court for the Western District of Michigan a Notice of Removal, which removed the State’s November Complaint to federal court, and a Complaint for Declaratory and Injunctive Relief that requests t</w:t>
      </w:r>
      <w:r>
        <w:rPr>
          <w:rFonts w:ascii="Arial" w:eastAsia="Times New Roman" w:hAnsi="Arial" w:cs="Arial"/>
          <w:color w:val="000000"/>
          <w:sz w:val="20"/>
          <w:szCs w:val="20"/>
        </w:rPr>
        <w:t>he US District Court to enjoin the Governor from taking any action to prevent or impede the operation of Line 5. US District Court Judge Neff was assigned to the cases and on November 16, 2021, Judge Neff issued an order denying the State’s motion to reman</w:t>
      </w:r>
      <w:r>
        <w:rPr>
          <w:rFonts w:ascii="Arial" w:eastAsia="Times New Roman" w:hAnsi="Arial" w:cs="Arial"/>
          <w:color w:val="000000"/>
          <w:sz w:val="20"/>
          <w:szCs w:val="20"/>
        </w:rPr>
        <w:t xml:space="preserve">d its 2020 case back to Ingham County Circuit Court ,finding that the case should remain in federal court. Judge Neff also ruled in our favor on our motion for additional briefing and granted the Government of Canada’s motion to file a supplemental brief, </w:t>
      </w:r>
      <w:r>
        <w:rPr>
          <w:rFonts w:ascii="Arial" w:eastAsia="Times New Roman" w:hAnsi="Arial" w:cs="Arial"/>
          <w:color w:val="000000"/>
          <w:sz w:val="20"/>
          <w:szCs w:val="20"/>
        </w:rPr>
        <w:t xml:space="preserve">which reiterated that the 1977 Transit Pipelines Treaty between the US and Canada had been invoked in October and that the matter is of great importance to Canada. Subsequently, the Governor voluntarily dismissed the State’s lawsuit on November 30, 2021. </w:t>
      </w:r>
    </w:p>
    <w:p w:rsidR="00000000" w:rsidRDefault="001F1FC8">
      <w:pPr>
        <w:divId w:val="830951212"/>
        <w:rPr>
          <w:rFonts w:eastAsia="Times New Roman"/>
        </w:rPr>
      </w:pPr>
    </w:p>
    <w:p w:rsidR="00000000" w:rsidRDefault="001F1FC8">
      <w:pPr>
        <w:divId w:val="1831865648"/>
        <w:rPr>
          <w:rFonts w:eastAsia="Times New Roman"/>
        </w:rPr>
      </w:pPr>
      <w:r>
        <w:rPr>
          <w:rFonts w:ascii="Arial" w:eastAsia="Times New Roman" w:hAnsi="Arial" w:cs="Arial"/>
          <w:color w:val="000000"/>
          <w:sz w:val="20"/>
          <w:szCs w:val="20"/>
        </w:rPr>
        <w:t>Our lawsuit to prohibit the Governor of Michigan and Director of the Michigan Department of Natural Resources from interfering with the operation of Line 5, remains in federal court. On November 30, 2021 the State made a request to Judge Neff to file a m</w:t>
      </w:r>
      <w:r>
        <w:rPr>
          <w:rFonts w:ascii="Arial" w:eastAsia="Times New Roman" w:hAnsi="Arial" w:cs="Arial"/>
          <w:color w:val="000000"/>
          <w:sz w:val="20"/>
          <w:szCs w:val="20"/>
        </w:rPr>
        <w:t xml:space="preserve">otion to dismiss the complaint. On the same date, we made a request to file a motion for summary judgment. Briefing on these motions began on January 18, 2022 and is scheduled to be complete by April 2022. </w:t>
      </w:r>
    </w:p>
    <w:p w:rsidR="00000000" w:rsidRDefault="001F1FC8">
      <w:pPr>
        <w:divId w:val="1936597387"/>
        <w:rPr>
          <w:rFonts w:eastAsia="Times New Roman"/>
        </w:rPr>
      </w:pPr>
    </w:p>
    <w:p w:rsidR="00000000" w:rsidRDefault="001F1FC8">
      <w:pPr>
        <w:jc w:val="center"/>
        <w:divId w:val="1403405062"/>
        <w:rPr>
          <w:rFonts w:eastAsia="Times New Roman"/>
        </w:rPr>
      </w:pPr>
      <w:r>
        <w:rPr>
          <w:rFonts w:ascii="Arial" w:eastAsia="Times New Roman" w:hAnsi="Arial" w:cs="Arial"/>
          <w:color w:val="000000"/>
          <w:sz w:val="20"/>
          <w:szCs w:val="20"/>
        </w:rPr>
        <w:t>83</w:t>
      </w:r>
    </w:p>
    <w:p w:rsidR="00000000" w:rsidRDefault="001F1FC8">
      <w:pPr>
        <w:rPr>
          <w:rFonts w:eastAsia="Times New Roman"/>
        </w:rPr>
      </w:pPr>
      <w:r>
        <w:rPr>
          <w:rFonts w:eastAsia="Times New Roman"/>
        </w:rPr>
        <w:pict>
          <v:rect id="_x0000_i1113" style="width:0;height:1.5pt" o:hralign="center" o:hrstd="t" o:hr="t" fillcolor="#a0a0a0" stroked="f"/>
        </w:pict>
      </w:r>
    </w:p>
    <w:p w:rsidR="00000000" w:rsidRDefault="001F1FC8">
      <w:pPr>
        <w:jc w:val="center"/>
        <w:divId w:val="894314928"/>
        <w:rPr>
          <w:rFonts w:eastAsia="Times New Roman"/>
        </w:rPr>
      </w:pPr>
    </w:p>
    <w:p w:rsidR="00000000" w:rsidRDefault="001F1FC8">
      <w:pPr>
        <w:divId w:val="1740403583"/>
        <w:rPr>
          <w:rFonts w:eastAsia="Times New Roman"/>
        </w:rPr>
      </w:pPr>
      <w:r>
        <w:rPr>
          <w:rFonts w:ascii="Arial" w:eastAsia="Times New Roman" w:hAnsi="Arial" w:cs="Arial"/>
          <w:color w:val="000000"/>
          <w:sz w:val="20"/>
          <w:szCs w:val="20"/>
        </w:rPr>
        <w:t>In 2021, we completed the engineering and design phase of the Great Lakes Tunnel Project and we have begun the process of hiring a contractor to construct the tunnel. We continue to actively pursue state and federal re</w:t>
      </w:r>
      <w:r>
        <w:rPr>
          <w:rFonts w:ascii="Arial" w:eastAsia="Times New Roman" w:hAnsi="Arial" w:cs="Arial"/>
          <w:color w:val="000000"/>
          <w:sz w:val="20"/>
          <w:szCs w:val="20"/>
        </w:rPr>
        <w:t>gulatory permits from the US Army Corps of Engineers (Army Corps), the Michigan Department of Environment, Great Lakes &amp; Energy (EGLE) and the Michigan Public Service Commission (MPSC). The EGLE permits were granted in the first quarter of 2021; one of the</w:t>
      </w:r>
      <w:r>
        <w:rPr>
          <w:rFonts w:ascii="Arial" w:eastAsia="Times New Roman" w:hAnsi="Arial" w:cs="Arial"/>
          <w:color w:val="000000"/>
          <w:sz w:val="20"/>
          <w:szCs w:val="20"/>
        </w:rPr>
        <w:t xml:space="preserve"> EGLE permits was challenged by the Bay Mills Indian Community. Dispositive motions are fully briefed and with the Administrative Law Judge for decision.</w:t>
      </w:r>
    </w:p>
    <w:p w:rsidR="00000000" w:rsidRDefault="001F1FC8">
      <w:pPr>
        <w:divId w:val="1963614882"/>
        <w:rPr>
          <w:rFonts w:eastAsia="Times New Roman"/>
        </w:rPr>
      </w:pPr>
    </w:p>
    <w:p w:rsidR="00000000" w:rsidRDefault="001F1FC8">
      <w:pPr>
        <w:divId w:val="321278744"/>
        <w:rPr>
          <w:rFonts w:eastAsia="Times New Roman"/>
        </w:rPr>
      </w:pPr>
      <w:r>
        <w:rPr>
          <w:rFonts w:ascii="Arial" w:eastAsia="Times New Roman" w:hAnsi="Arial" w:cs="Arial"/>
          <w:color w:val="000000"/>
          <w:sz w:val="20"/>
          <w:szCs w:val="20"/>
        </w:rPr>
        <w:t>On June 23, 2021, the Army Corps announced they would proceed with an EIS for the Great Lakes Tunnel</w:t>
      </w:r>
      <w:r>
        <w:rPr>
          <w:rFonts w:ascii="Arial" w:eastAsia="Times New Roman" w:hAnsi="Arial" w:cs="Arial"/>
          <w:color w:val="000000"/>
          <w:sz w:val="20"/>
          <w:szCs w:val="20"/>
        </w:rPr>
        <w:t xml:space="preserve"> Project to replace Line 5 at the Straits. On June 23, 2021, we issued a statement stating that construction on this project would be delayed due to the EIS. </w:t>
      </w:r>
    </w:p>
    <w:p w:rsidR="00000000" w:rsidRDefault="001F1FC8">
      <w:pPr>
        <w:divId w:val="1400128053"/>
        <w:rPr>
          <w:rFonts w:eastAsia="Times New Roman"/>
        </w:rPr>
      </w:pPr>
    </w:p>
    <w:p w:rsidR="00000000" w:rsidRDefault="001F1FC8">
      <w:pPr>
        <w:divId w:val="2125540280"/>
        <w:rPr>
          <w:rFonts w:eastAsia="Times New Roman"/>
        </w:rPr>
      </w:pPr>
      <w:r>
        <w:rPr>
          <w:rFonts w:ascii="Arial" w:eastAsia="Times New Roman" w:hAnsi="Arial" w:cs="Arial"/>
          <w:color w:val="000000"/>
          <w:sz w:val="20"/>
          <w:szCs w:val="20"/>
        </w:rPr>
        <w:t>In the MPSC contested case proceeding, testimony has been filed, and the hearing took place dur</w:t>
      </w:r>
      <w:r>
        <w:rPr>
          <w:rFonts w:ascii="Arial" w:eastAsia="Times New Roman" w:hAnsi="Arial" w:cs="Arial"/>
          <w:color w:val="000000"/>
          <w:sz w:val="20"/>
          <w:szCs w:val="20"/>
        </w:rPr>
        <w:t xml:space="preserve">ing January 2022, with briefing scheduled to be complete by March 2022. </w:t>
      </w:r>
    </w:p>
    <w:p w:rsidR="00000000" w:rsidRDefault="001F1FC8">
      <w:pPr>
        <w:divId w:val="1291208907"/>
        <w:rPr>
          <w:rFonts w:eastAsia="Times New Roman"/>
        </w:rPr>
      </w:pPr>
    </w:p>
    <w:p w:rsidR="00000000" w:rsidRDefault="001F1FC8">
      <w:pPr>
        <w:divId w:val="730083732"/>
        <w:rPr>
          <w:rFonts w:eastAsia="Times New Roman"/>
        </w:rPr>
      </w:pPr>
      <w:r>
        <w:rPr>
          <w:rFonts w:ascii="Arial" w:eastAsia="Times New Roman" w:hAnsi="Arial" w:cs="Arial"/>
          <w:b/>
          <w:bCs/>
          <w:color w:val="000000"/>
          <w:sz w:val="20"/>
          <w:szCs w:val="20"/>
        </w:rPr>
        <w:t>Dakota Access Pipeline</w:t>
      </w:r>
    </w:p>
    <w:p w:rsidR="00000000" w:rsidRDefault="001F1FC8">
      <w:pPr>
        <w:divId w:val="403650682"/>
        <w:rPr>
          <w:rFonts w:eastAsia="Times New Roman"/>
        </w:rPr>
      </w:pPr>
      <w:r>
        <w:rPr>
          <w:rFonts w:ascii="Arial" w:eastAsia="Times New Roman" w:hAnsi="Arial" w:cs="Arial"/>
          <w:color w:val="000000"/>
          <w:sz w:val="20"/>
          <w:szCs w:val="20"/>
        </w:rPr>
        <w:t>We own an effective interest of 27.6% in the Bakken Pipeline System, which is inclusive of DAPL. The Standing Rock Sioux Tribe and the Cheyenne River Sioux Tr</w:t>
      </w:r>
      <w:r>
        <w:rPr>
          <w:rFonts w:ascii="Arial" w:eastAsia="Times New Roman" w:hAnsi="Arial" w:cs="Arial"/>
          <w:color w:val="000000"/>
          <w:sz w:val="20"/>
          <w:szCs w:val="20"/>
        </w:rPr>
        <w:t>ibe filed lawsuits in 2016 with the US Court for the District of Columbia (the District Court) contesting the lawfulness of the Army Corps easement for DAPL, including the adequacy of the Army Corps’ environmental review and tribal consultation process. Th</w:t>
      </w:r>
      <w:r>
        <w:rPr>
          <w:rFonts w:ascii="Arial" w:eastAsia="Times New Roman" w:hAnsi="Arial" w:cs="Arial"/>
          <w:color w:val="000000"/>
          <w:sz w:val="20"/>
          <w:szCs w:val="20"/>
        </w:rPr>
        <w:t>e Oglala Sioux and Yankton Sioux Tribes also filed lawsuits alleging similar claims in 2018.</w:t>
      </w:r>
    </w:p>
    <w:p w:rsidR="00000000" w:rsidRDefault="001F1FC8">
      <w:pPr>
        <w:divId w:val="792021952"/>
        <w:rPr>
          <w:rFonts w:eastAsia="Times New Roman"/>
        </w:rPr>
      </w:pPr>
    </w:p>
    <w:p w:rsidR="00000000" w:rsidRDefault="001F1FC8">
      <w:pPr>
        <w:divId w:val="284239510"/>
        <w:rPr>
          <w:rFonts w:eastAsia="Times New Roman"/>
        </w:rPr>
      </w:pPr>
      <w:r>
        <w:rPr>
          <w:rFonts w:ascii="Arial" w:eastAsia="Times New Roman" w:hAnsi="Arial" w:cs="Arial"/>
          <w:color w:val="000000"/>
          <w:sz w:val="20"/>
          <w:szCs w:val="20"/>
        </w:rPr>
        <w:t>On June 14, 2017, the District Court found the Army Corps’ environmental review to be deficient and ordered the Army Corps to conduct further study concerning sp</w:t>
      </w:r>
      <w:r>
        <w:rPr>
          <w:rFonts w:ascii="Arial" w:eastAsia="Times New Roman" w:hAnsi="Arial" w:cs="Arial"/>
          <w:color w:val="000000"/>
          <w:sz w:val="20"/>
          <w:szCs w:val="20"/>
        </w:rPr>
        <w:t xml:space="preserve">ill risks from DAPL. In August 2018, the Army Corps completed on remand the further environmental review ordered by the District Court and reaffirmed the issuance of the easement for DAPL. All four plaintiff Tribes subsequently amended their complaints to </w:t>
      </w:r>
      <w:r>
        <w:rPr>
          <w:rFonts w:ascii="Arial" w:eastAsia="Times New Roman" w:hAnsi="Arial" w:cs="Arial"/>
          <w:color w:val="000000"/>
          <w:sz w:val="20"/>
          <w:szCs w:val="20"/>
        </w:rPr>
        <w:t>include claims challenging the adequacy of the Army Corps’ August 2018 remand decision.</w:t>
      </w:r>
    </w:p>
    <w:p w:rsidR="00000000" w:rsidRDefault="001F1FC8">
      <w:pPr>
        <w:divId w:val="1637836949"/>
        <w:rPr>
          <w:rFonts w:eastAsia="Times New Roman"/>
        </w:rPr>
      </w:pPr>
    </w:p>
    <w:p w:rsidR="00000000" w:rsidRDefault="001F1FC8">
      <w:pPr>
        <w:divId w:val="808939285"/>
        <w:rPr>
          <w:rFonts w:eastAsia="Times New Roman"/>
        </w:rPr>
      </w:pPr>
      <w:r>
        <w:rPr>
          <w:rFonts w:ascii="Arial" w:eastAsia="Times New Roman" w:hAnsi="Arial" w:cs="Arial"/>
          <w:color w:val="000000"/>
          <w:sz w:val="20"/>
          <w:szCs w:val="20"/>
        </w:rPr>
        <w:t>On March 25, 2020, in response to amended complaints from the Tribes, the District Court found the Army Corps’ environmental review on remand was deficient and ordere</w:t>
      </w:r>
      <w:r>
        <w:rPr>
          <w:rFonts w:ascii="Arial" w:eastAsia="Times New Roman" w:hAnsi="Arial" w:cs="Arial"/>
          <w:color w:val="000000"/>
          <w:sz w:val="20"/>
          <w:szCs w:val="20"/>
        </w:rPr>
        <w:t>d the Army Corps to prepare an EIS to address unresolved controversy pertaining to potential spill impacts resulting from DAPL. On July 6, 2020, the District Court issued an order vacating the Army Corps’ easement for DAPL and ordering that the pipeline be</w:t>
      </w:r>
      <w:r>
        <w:rPr>
          <w:rFonts w:ascii="Arial" w:eastAsia="Times New Roman" w:hAnsi="Arial" w:cs="Arial"/>
          <w:color w:val="000000"/>
          <w:sz w:val="20"/>
          <w:szCs w:val="20"/>
        </w:rPr>
        <w:t xml:space="preserve"> shut down by August 5, 2020. Dakota Access, LLC and the Army Corps appealed the decision and filed a motion for a stay pending appeal with the US Court of Appeals for the District of Columbia Circuit. On August 5, 2020, the US Court of Appeals stayed the </w:t>
      </w:r>
      <w:r>
        <w:rPr>
          <w:rFonts w:ascii="Arial" w:eastAsia="Times New Roman" w:hAnsi="Arial" w:cs="Arial"/>
          <w:color w:val="000000"/>
          <w:sz w:val="20"/>
          <w:szCs w:val="20"/>
        </w:rPr>
        <w:t xml:space="preserve">District Court’s July 6 order to shut down and empty the pipeline, but did not stay the District Court’s March 25 order requiring the Army Corps to prepare an EIS or the District Court’s July 6 order vacating the DAPL easement. </w:t>
      </w:r>
    </w:p>
    <w:p w:rsidR="00000000" w:rsidRDefault="001F1FC8">
      <w:pPr>
        <w:divId w:val="877477069"/>
        <w:rPr>
          <w:rFonts w:eastAsia="Times New Roman"/>
        </w:rPr>
      </w:pPr>
    </w:p>
    <w:p w:rsidR="00000000" w:rsidRDefault="001F1FC8">
      <w:pPr>
        <w:divId w:val="365911380"/>
        <w:rPr>
          <w:rFonts w:eastAsia="Times New Roman"/>
        </w:rPr>
      </w:pPr>
      <w:r>
        <w:rPr>
          <w:rFonts w:ascii="Arial" w:eastAsia="Times New Roman" w:hAnsi="Arial" w:cs="Arial"/>
          <w:color w:val="000000"/>
          <w:sz w:val="20"/>
          <w:szCs w:val="20"/>
        </w:rPr>
        <w:t xml:space="preserve">On January 26, 2021, the </w:t>
      </w:r>
      <w:r>
        <w:rPr>
          <w:rFonts w:ascii="Arial" w:eastAsia="Times New Roman" w:hAnsi="Arial" w:cs="Arial"/>
          <w:color w:val="000000"/>
          <w:sz w:val="20"/>
          <w:szCs w:val="20"/>
        </w:rPr>
        <w:t>US Court of Appeals affirmed the District Court’s decision, holding that the Army Corps is required to prepare an EIS and that the Army Corps’ easement for DAPL is vacated. Dakota Access, LLC has since filed a petition asking the US Supreme Court to review</w:t>
      </w:r>
      <w:r>
        <w:rPr>
          <w:rFonts w:ascii="Arial" w:eastAsia="Times New Roman" w:hAnsi="Arial" w:cs="Arial"/>
          <w:color w:val="000000"/>
          <w:sz w:val="20"/>
          <w:szCs w:val="20"/>
        </w:rPr>
        <w:t xml:space="preserve"> the decision that an EIS is required. The US Court of Appeals also determined that, absent considering the closure of DAPL in the context of an injunction proceeding, the District Court could not order DAPL’s operations to cease. While not an issue before</w:t>
      </w:r>
      <w:r>
        <w:rPr>
          <w:rFonts w:ascii="Arial" w:eastAsia="Times New Roman" w:hAnsi="Arial" w:cs="Arial"/>
          <w:color w:val="000000"/>
          <w:sz w:val="20"/>
          <w:szCs w:val="20"/>
        </w:rPr>
        <w:t xml:space="preserve"> the US Court of Appeals, the US Court of Appeals also recognized that the Army Corps could consider whether to allow DAPL to continue to operate in the absence of an easement. On September 20, 2021, DAPL requested that the US Supreme Court review the US C</w:t>
      </w:r>
      <w:r>
        <w:rPr>
          <w:rFonts w:ascii="Arial" w:eastAsia="Times New Roman" w:hAnsi="Arial" w:cs="Arial"/>
          <w:color w:val="000000"/>
          <w:sz w:val="20"/>
          <w:szCs w:val="20"/>
        </w:rPr>
        <w:t xml:space="preserve">ourt of Appeals decision. That request, opposed by the US Government and the Tribes, remands pending. </w:t>
      </w:r>
    </w:p>
    <w:p w:rsidR="00000000" w:rsidRDefault="001F1FC8">
      <w:pPr>
        <w:divId w:val="85805989"/>
        <w:rPr>
          <w:rFonts w:eastAsia="Times New Roman"/>
        </w:rPr>
      </w:pPr>
      <w:r>
        <w:rPr>
          <w:rFonts w:ascii="Arial" w:eastAsia="Times New Roman" w:hAnsi="Arial" w:cs="Arial"/>
          <w:color w:val="000000"/>
          <w:sz w:val="20"/>
          <w:szCs w:val="20"/>
        </w:rPr>
        <w:t>On May 21, 2021, the District Court dismissed the plaintiff Tribes’ request for an injunction enjoining DAPL from operating until the Army Corps has comp</w:t>
      </w:r>
      <w:r>
        <w:rPr>
          <w:rFonts w:ascii="Arial" w:eastAsia="Times New Roman" w:hAnsi="Arial" w:cs="Arial"/>
          <w:color w:val="000000"/>
          <w:sz w:val="20"/>
          <w:szCs w:val="20"/>
        </w:rPr>
        <w:t>leted its EIS. The right of the plaintiff Tribes to appeal the denial of the injunction request expired on July 20, 2021. The Army Corps earlier indicated that it did not intend, at that time, to exercise its authority to bar DAPL’s continued operation, no</w:t>
      </w:r>
      <w:r>
        <w:rPr>
          <w:rFonts w:ascii="Arial" w:eastAsia="Times New Roman" w:hAnsi="Arial" w:cs="Arial"/>
          <w:color w:val="000000"/>
          <w:sz w:val="20"/>
          <w:szCs w:val="20"/>
        </w:rPr>
        <w:t xml:space="preserve">twithstanding the absence of an easement and that it anticipates completing its EIS by March 2022. </w:t>
      </w:r>
    </w:p>
    <w:p w:rsidR="00000000" w:rsidRDefault="001F1FC8">
      <w:pPr>
        <w:divId w:val="485319086"/>
        <w:rPr>
          <w:rFonts w:eastAsia="Times New Roman"/>
        </w:rPr>
      </w:pPr>
    </w:p>
    <w:p w:rsidR="00000000" w:rsidRDefault="001F1FC8">
      <w:pPr>
        <w:jc w:val="center"/>
        <w:divId w:val="1878548350"/>
        <w:rPr>
          <w:rFonts w:eastAsia="Times New Roman"/>
        </w:rPr>
      </w:pPr>
      <w:r>
        <w:rPr>
          <w:rFonts w:ascii="Arial" w:eastAsia="Times New Roman" w:hAnsi="Arial" w:cs="Arial"/>
          <w:color w:val="000000"/>
          <w:sz w:val="20"/>
          <w:szCs w:val="20"/>
        </w:rPr>
        <w:t>84</w:t>
      </w:r>
    </w:p>
    <w:p w:rsidR="00000000" w:rsidRDefault="001F1FC8">
      <w:pPr>
        <w:rPr>
          <w:rFonts w:eastAsia="Times New Roman"/>
        </w:rPr>
      </w:pPr>
      <w:r>
        <w:rPr>
          <w:rFonts w:eastAsia="Times New Roman"/>
        </w:rPr>
        <w:pict>
          <v:rect id="_x0000_i1114" style="width:0;height:1.5pt" o:hralign="center" o:hrstd="t" o:hr="t" fillcolor="#a0a0a0" stroked="f"/>
        </w:pict>
      </w:r>
    </w:p>
    <w:p w:rsidR="00000000" w:rsidRDefault="001F1FC8">
      <w:pPr>
        <w:jc w:val="center"/>
        <w:divId w:val="1865897476"/>
        <w:rPr>
          <w:rFonts w:eastAsia="Times New Roman"/>
        </w:rPr>
      </w:pPr>
    </w:p>
    <w:p w:rsidR="00000000" w:rsidRDefault="001F1FC8">
      <w:pPr>
        <w:divId w:val="1931769247"/>
        <w:rPr>
          <w:rFonts w:eastAsia="Times New Roman"/>
        </w:rPr>
      </w:pPr>
      <w:r>
        <w:rPr>
          <w:rFonts w:ascii="Arial" w:eastAsia="Times New Roman" w:hAnsi="Arial" w:cs="Arial"/>
          <w:color w:val="000000"/>
          <w:sz w:val="20"/>
          <w:szCs w:val="20"/>
        </w:rPr>
        <w:t>On July 22, 2021, the Army Corps filed a notice with the District Court advising that the Pipeline and Hazardous</w:t>
      </w:r>
      <w:r>
        <w:rPr>
          <w:rFonts w:ascii="Arial" w:eastAsia="Times New Roman" w:hAnsi="Arial" w:cs="Arial"/>
          <w:color w:val="000000"/>
          <w:sz w:val="20"/>
          <w:szCs w:val="20"/>
        </w:rPr>
        <w:t xml:space="preserve"> Materials Safety Administration (PHMSA) issued a notice asserting violations of federal safety regulations resulting from the operation of DAPL. The Army Corps stated that it would consider PHMSA’s notice as part of its ongoing consideration of whether an</w:t>
      </w:r>
      <w:r>
        <w:rPr>
          <w:rFonts w:ascii="Arial" w:eastAsia="Times New Roman" w:hAnsi="Arial" w:cs="Arial"/>
          <w:color w:val="000000"/>
          <w:sz w:val="20"/>
          <w:szCs w:val="20"/>
        </w:rPr>
        <w:t xml:space="preserve">d how the Army Corps will enforce its rights on property crossed by the pipeline and in the context of the ongoing EIS. The Army Corps also granted the request from the Tribes to extend the EIS completion date to September 2022. </w:t>
      </w:r>
    </w:p>
    <w:p w:rsidR="00000000" w:rsidRDefault="001F1FC8">
      <w:pPr>
        <w:divId w:val="168493128"/>
        <w:rPr>
          <w:rFonts w:eastAsia="Times New Roman"/>
        </w:rPr>
      </w:pPr>
    </w:p>
    <w:p w:rsidR="00000000" w:rsidRDefault="001F1FC8">
      <w:pPr>
        <w:divId w:val="1208449253"/>
        <w:rPr>
          <w:rFonts w:eastAsia="Times New Roman"/>
        </w:rPr>
      </w:pPr>
      <w:r>
        <w:rPr>
          <w:rFonts w:ascii="Arial" w:eastAsia="Times New Roman" w:hAnsi="Arial" w:cs="Arial"/>
          <w:b/>
          <w:bCs/>
          <w:color w:val="000000"/>
          <w:sz w:val="20"/>
          <w:szCs w:val="20"/>
        </w:rPr>
        <w:t>OTHER LITIGATION</w:t>
      </w:r>
    </w:p>
    <w:p w:rsidR="00000000" w:rsidRDefault="001F1FC8">
      <w:pPr>
        <w:divId w:val="112796469"/>
        <w:rPr>
          <w:rFonts w:eastAsia="Times New Roman"/>
        </w:rPr>
      </w:pPr>
      <w:r>
        <w:rPr>
          <w:rFonts w:ascii="Arial" w:eastAsia="Times New Roman" w:hAnsi="Arial" w:cs="Arial"/>
          <w:color w:val="000000"/>
          <w:sz w:val="20"/>
          <w:szCs w:val="20"/>
        </w:rPr>
        <w:t xml:space="preserve">We and </w:t>
      </w:r>
      <w:r>
        <w:rPr>
          <w:rFonts w:ascii="Arial" w:eastAsia="Times New Roman" w:hAnsi="Arial" w:cs="Arial"/>
          <w:color w:val="000000"/>
          <w:sz w:val="20"/>
          <w:szCs w:val="20"/>
        </w:rPr>
        <w:t xml:space="preserve">our subsidiaries are involved in various other legal and regulatory actions and proceedings which arise in the normal course of business, including interventions in regulatory proceedings and challenges to regulatory approvals and permits. While the final </w:t>
      </w:r>
      <w:r>
        <w:rPr>
          <w:rFonts w:ascii="Arial" w:eastAsia="Times New Roman" w:hAnsi="Arial" w:cs="Arial"/>
          <w:color w:val="000000"/>
          <w:sz w:val="20"/>
          <w:szCs w:val="20"/>
        </w:rPr>
        <w:t>outcome of such actions and proceedings cannot be predicted with certainty, management believes that the resolution of such actions and proceedings will not have a material impact on our consolidated financial position or results of operations.</w:t>
      </w:r>
    </w:p>
    <w:p w:rsidR="00000000" w:rsidRDefault="001F1FC8">
      <w:pPr>
        <w:divId w:val="1128160510"/>
        <w:rPr>
          <w:rFonts w:eastAsia="Times New Roman"/>
        </w:rPr>
      </w:pPr>
    </w:p>
    <w:p w:rsidR="00000000" w:rsidRDefault="001F1FC8">
      <w:pPr>
        <w:divId w:val="645666526"/>
        <w:rPr>
          <w:rFonts w:eastAsia="Times New Roman"/>
        </w:rPr>
      </w:pPr>
      <w:r>
        <w:rPr>
          <w:rFonts w:ascii="Arial" w:eastAsia="Times New Roman" w:hAnsi="Arial" w:cs="Arial"/>
          <w:b/>
          <w:bCs/>
          <w:color w:val="000000"/>
          <w:sz w:val="20"/>
          <w:szCs w:val="20"/>
        </w:rPr>
        <w:t>TAX MATTE</w:t>
      </w:r>
      <w:r>
        <w:rPr>
          <w:rFonts w:ascii="Arial" w:eastAsia="Times New Roman" w:hAnsi="Arial" w:cs="Arial"/>
          <w:b/>
          <w:bCs/>
          <w:color w:val="000000"/>
          <w:sz w:val="20"/>
          <w:szCs w:val="20"/>
        </w:rPr>
        <w:t>RS</w:t>
      </w:r>
    </w:p>
    <w:p w:rsidR="00000000" w:rsidRDefault="001F1FC8">
      <w:pPr>
        <w:divId w:val="1112283062"/>
        <w:rPr>
          <w:rFonts w:eastAsia="Times New Roman"/>
        </w:rPr>
      </w:pPr>
      <w:r>
        <w:rPr>
          <w:rFonts w:ascii="Arial" w:eastAsia="Times New Roman" w:hAnsi="Arial" w:cs="Arial"/>
          <w:color w:val="000000"/>
          <w:sz w:val="20"/>
          <w:szCs w:val="20"/>
        </w:rPr>
        <w:t>We and our subsidiaries maintain tax liabilities related to uncertain tax positions. While fully supportable in our view, these tax positions, if challenged by tax authorities, may not be fully sustained on review.</w:t>
      </w:r>
    </w:p>
    <w:p w:rsidR="00000000" w:rsidRDefault="001F1FC8">
      <w:pPr>
        <w:divId w:val="493372858"/>
        <w:rPr>
          <w:rFonts w:eastAsia="Times New Roman"/>
        </w:rPr>
      </w:pPr>
    </w:p>
    <w:p w:rsidR="00000000" w:rsidRDefault="001F1FC8">
      <w:pPr>
        <w:divId w:val="301694713"/>
        <w:rPr>
          <w:rFonts w:eastAsia="Times New Roman"/>
        </w:rPr>
      </w:pPr>
      <w:r>
        <w:rPr>
          <w:rFonts w:ascii="Arial" w:eastAsia="Times New Roman" w:hAnsi="Arial" w:cs="Arial"/>
          <w:b/>
          <w:bCs/>
          <w:color w:val="000000"/>
          <w:sz w:val="26"/>
          <w:szCs w:val="26"/>
        </w:rPr>
        <w:t>CRITICAL ACCOUNTING ESTIMATES</w:t>
      </w:r>
    </w:p>
    <w:p w:rsidR="00000000" w:rsidRDefault="001F1FC8">
      <w:pPr>
        <w:divId w:val="933241735"/>
        <w:rPr>
          <w:rFonts w:eastAsia="Times New Roman"/>
        </w:rPr>
      </w:pPr>
    </w:p>
    <w:p w:rsidR="00000000" w:rsidRDefault="001F1FC8">
      <w:pPr>
        <w:divId w:val="353917791"/>
        <w:rPr>
          <w:rFonts w:eastAsia="Times New Roman"/>
        </w:rPr>
      </w:pPr>
      <w:r>
        <w:rPr>
          <w:rFonts w:ascii="Arial" w:eastAsia="Times New Roman" w:hAnsi="Arial" w:cs="Arial"/>
          <w:color w:val="000000"/>
          <w:sz w:val="20"/>
          <w:szCs w:val="20"/>
        </w:rPr>
        <w:t xml:space="preserve">Our consolidated financial statements are prepared in accordance with generally accepted accounting principles in the United States of America (US GAAP), which require management to make estimates, judgments and assumptions </w:t>
      </w:r>
      <w:r>
        <w:rPr>
          <w:rFonts w:ascii="Arial" w:eastAsia="Times New Roman" w:hAnsi="Arial" w:cs="Arial"/>
          <w:color w:val="000000"/>
          <w:sz w:val="20"/>
          <w:szCs w:val="20"/>
        </w:rPr>
        <w:t>that affect the amounts reported in our consolidated financial statements and accompanying notes. In making judgments and estimates, management relies on external information and observable conditions, where possible, supplemented by internal analysis as r</w:t>
      </w:r>
      <w:r>
        <w:rPr>
          <w:rFonts w:ascii="Arial" w:eastAsia="Times New Roman" w:hAnsi="Arial" w:cs="Arial"/>
          <w:color w:val="000000"/>
          <w:sz w:val="20"/>
          <w:szCs w:val="20"/>
        </w:rPr>
        <w:t>equired. We believe our most critical accounting policies and estimates discussed below have an impact across the various segments of our business.</w:t>
      </w:r>
    </w:p>
    <w:p w:rsidR="00000000" w:rsidRDefault="001F1FC8">
      <w:pPr>
        <w:divId w:val="2108311132"/>
        <w:rPr>
          <w:rFonts w:eastAsia="Times New Roman"/>
        </w:rPr>
      </w:pPr>
    </w:p>
    <w:p w:rsidR="00000000" w:rsidRDefault="001F1FC8">
      <w:pPr>
        <w:divId w:val="1182476125"/>
        <w:rPr>
          <w:rFonts w:eastAsia="Times New Roman"/>
        </w:rPr>
      </w:pPr>
      <w:r>
        <w:rPr>
          <w:rFonts w:ascii="Arial" w:eastAsia="Times New Roman" w:hAnsi="Arial" w:cs="Arial"/>
          <w:b/>
          <w:bCs/>
          <w:color w:val="000000"/>
          <w:sz w:val="20"/>
          <w:szCs w:val="20"/>
        </w:rPr>
        <w:t>Business Combinations</w:t>
      </w:r>
    </w:p>
    <w:p w:rsidR="00000000" w:rsidRDefault="001F1FC8">
      <w:pPr>
        <w:divId w:val="758795762"/>
        <w:rPr>
          <w:rFonts w:eastAsia="Times New Roman"/>
        </w:rPr>
      </w:pPr>
      <w:r>
        <w:rPr>
          <w:rFonts w:ascii="Arial" w:eastAsia="Times New Roman" w:hAnsi="Arial" w:cs="Arial"/>
          <w:color w:val="000000"/>
          <w:sz w:val="20"/>
          <w:szCs w:val="20"/>
        </w:rPr>
        <w:t xml:space="preserve">We apply the provisions of Accounting Standards Codification (ASC) 805 </w:t>
      </w:r>
      <w:r>
        <w:rPr>
          <w:rFonts w:ascii="Arial" w:eastAsia="Times New Roman" w:hAnsi="Arial" w:cs="Arial"/>
          <w:i/>
          <w:iCs/>
          <w:color w:val="000000"/>
          <w:sz w:val="20"/>
          <w:szCs w:val="20"/>
        </w:rPr>
        <w:t>Business Comb</w:t>
      </w:r>
      <w:r>
        <w:rPr>
          <w:rFonts w:ascii="Arial" w:eastAsia="Times New Roman" w:hAnsi="Arial" w:cs="Arial"/>
          <w:i/>
          <w:iCs/>
          <w:color w:val="000000"/>
          <w:sz w:val="20"/>
          <w:szCs w:val="20"/>
        </w:rPr>
        <w:t>inations</w:t>
      </w:r>
      <w:r>
        <w:rPr>
          <w:rFonts w:ascii="Arial" w:eastAsia="Times New Roman" w:hAnsi="Arial" w:cs="Arial"/>
          <w:color w:val="000000"/>
          <w:sz w:val="20"/>
          <w:szCs w:val="20"/>
        </w:rPr>
        <w:t xml:space="preserve"> in accounting for our acquisitions. The acquired long-lived assets, intangible assets and assumed liabilities are recorded at their estimated fair values at the date of acquisition. Goodwill represents the excess of the purchase price over the fai</w:t>
      </w:r>
      <w:r>
        <w:rPr>
          <w:rFonts w:ascii="Arial" w:eastAsia="Times New Roman" w:hAnsi="Arial" w:cs="Arial"/>
          <w:color w:val="000000"/>
          <w:sz w:val="20"/>
          <w:szCs w:val="20"/>
        </w:rPr>
        <w:t>r value of net assets. While we use our best estimates and assumptions to accurately value assets acquired and liabilities assumed at the date of acquisition, as well as any contingent consideration, our estimates are inherently uncertain and subject to re</w:t>
      </w:r>
      <w:r>
        <w:rPr>
          <w:rFonts w:ascii="Arial" w:eastAsia="Times New Roman" w:hAnsi="Arial" w:cs="Arial"/>
          <w:color w:val="000000"/>
          <w:sz w:val="20"/>
          <w:szCs w:val="20"/>
        </w:rPr>
        <w:t>finement. During the measurement period, which may be up to one year from the acquisition date, we record adjustments to the assets acquired and liabilities assumed with the corresponding offset to goodwill. Upon the conclusion of the measurement period or</w:t>
      </w:r>
      <w:r>
        <w:rPr>
          <w:rFonts w:ascii="Arial" w:eastAsia="Times New Roman" w:hAnsi="Arial" w:cs="Arial"/>
          <w:color w:val="000000"/>
          <w:sz w:val="20"/>
          <w:szCs w:val="20"/>
        </w:rPr>
        <w:t xml:space="preserve"> final determination of values of assets acquired or liabilities assumed, whichever comes first, any subsequent adjustments are recorded to our consolidated statements of operations.</w:t>
      </w:r>
    </w:p>
    <w:p w:rsidR="00000000" w:rsidRDefault="001F1FC8">
      <w:pPr>
        <w:divId w:val="1552881583"/>
        <w:rPr>
          <w:rFonts w:eastAsia="Times New Roman"/>
        </w:rPr>
      </w:pPr>
    </w:p>
    <w:p w:rsidR="00000000" w:rsidRDefault="001F1FC8">
      <w:pPr>
        <w:divId w:val="336925355"/>
        <w:rPr>
          <w:rFonts w:eastAsia="Times New Roman"/>
        </w:rPr>
      </w:pPr>
      <w:r>
        <w:rPr>
          <w:rFonts w:ascii="Arial" w:eastAsia="Times New Roman" w:hAnsi="Arial" w:cs="Arial"/>
          <w:color w:val="000000"/>
          <w:sz w:val="20"/>
          <w:szCs w:val="20"/>
        </w:rPr>
        <w:t>Accounting for business combinations requires significant judgment, est</w:t>
      </w:r>
      <w:r>
        <w:rPr>
          <w:rFonts w:ascii="Arial" w:eastAsia="Times New Roman" w:hAnsi="Arial" w:cs="Arial"/>
          <w:color w:val="000000"/>
          <w:sz w:val="20"/>
          <w:szCs w:val="20"/>
        </w:rPr>
        <w:t>imates and assumptions at the acquisition date. In developing estimates of fair values at the acquisition date, we utilize a variety of factors including market data, historical and future expected cash flows, growth rates and discount rates. The subjectiv</w:t>
      </w:r>
      <w:r>
        <w:rPr>
          <w:rFonts w:ascii="Arial" w:eastAsia="Times New Roman" w:hAnsi="Arial" w:cs="Arial"/>
          <w:color w:val="000000"/>
          <w:sz w:val="20"/>
          <w:szCs w:val="20"/>
        </w:rPr>
        <w:t>e nature of our assumptions increases the risk associated with estimates surrounding the projected performance of the acquired entity.</w:t>
      </w:r>
    </w:p>
    <w:p w:rsidR="00000000" w:rsidRDefault="001F1FC8">
      <w:pPr>
        <w:divId w:val="984504829"/>
        <w:rPr>
          <w:rFonts w:eastAsia="Times New Roman"/>
        </w:rPr>
      </w:pPr>
    </w:p>
    <w:p w:rsidR="00000000" w:rsidRDefault="001F1FC8">
      <w:pPr>
        <w:divId w:val="1495609349"/>
        <w:rPr>
          <w:rFonts w:eastAsia="Times New Roman"/>
        </w:rPr>
      </w:pPr>
      <w:r>
        <w:rPr>
          <w:rFonts w:ascii="Arial" w:eastAsia="Times New Roman" w:hAnsi="Arial" w:cs="Arial"/>
          <w:b/>
          <w:bCs/>
          <w:color w:val="000000"/>
          <w:sz w:val="20"/>
          <w:szCs w:val="20"/>
        </w:rPr>
        <w:t>Goodwill Impairment</w:t>
      </w:r>
    </w:p>
    <w:p w:rsidR="00000000" w:rsidRDefault="001F1FC8">
      <w:pPr>
        <w:divId w:val="1405689729"/>
        <w:rPr>
          <w:rFonts w:eastAsia="Times New Roman"/>
        </w:rPr>
      </w:pPr>
      <w:r>
        <w:rPr>
          <w:rFonts w:ascii="Arial" w:eastAsia="Times New Roman" w:hAnsi="Arial" w:cs="Arial"/>
          <w:color w:val="000000"/>
          <w:sz w:val="20"/>
          <w:szCs w:val="20"/>
        </w:rPr>
        <w:t>Goodwill represents the excess of the purchase price over the fair value of net identifiable assets</w:t>
      </w:r>
      <w:r>
        <w:rPr>
          <w:rFonts w:ascii="Arial" w:eastAsia="Times New Roman" w:hAnsi="Arial" w:cs="Arial"/>
          <w:color w:val="000000"/>
          <w:sz w:val="20"/>
          <w:szCs w:val="20"/>
        </w:rPr>
        <w:t xml:space="preserve"> on acquisition of a business. The carrying value of goodwill, which is not amortized, is assessed for impairment annually, or more frequently if events or changes in circumstances arise that suggest the carrying value of goodwill may be impaired.</w:t>
      </w:r>
    </w:p>
    <w:p w:rsidR="00000000" w:rsidRDefault="001F1FC8">
      <w:pPr>
        <w:divId w:val="440150066"/>
        <w:rPr>
          <w:rFonts w:eastAsia="Times New Roman"/>
        </w:rPr>
      </w:pPr>
    </w:p>
    <w:p w:rsidR="00000000" w:rsidRDefault="001F1FC8">
      <w:pPr>
        <w:jc w:val="center"/>
        <w:divId w:val="480583506"/>
        <w:rPr>
          <w:rFonts w:eastAsia="Times New Roman"/>
        </w:rPr>
      </w:pPr>
      <w:r>
        <w:rPr>
          <w:rFonts w:ascii="Arial" w:eastAsia="Times New Roman" w:hAnsi="Arial" w:cs="Arial"/>
          <w:color w:val="000000"/>
          <w:sz w:val="20"/>
          <w:szCs w:val="20"/>
        </w:rPr>
        <w:t>85</w:t>
      </w:r>
    </w:p>
    <w:p w:rsidR="00000000" w:rsidRDefault="001F1FC8">
      <w:pPr>
        <w:rPr>
          <w:rFonts w:eastAsia="Times New Roman"/>
        </w:rPr>
      </w:pPr>
      <w:r>
        <w:rPr>
          <w:rFonts w:eastAsia="Times New Roman"/>
        </w:rPr>
        <w:pict>
          <v:rect id="_x0000_i1115" style="width:0;height:1.5pt" o:hralign="center" o:hrstd="t" o:hr="t" fillcolor="#a0a0a0" stroked="f"/>
        </w:pict>
      </w:r>
    </w:p>
    <w:p w:rsidR="00000000" w:rsidRDefault="001F1FC8">
      <w:pPr>
        <w:jc w:val="center"/>
        <w:divId w:val="26372779"/>
        <w:rPr>
          <w:rFonts w:eastAsia="Times New Roman"/>
        </w:rPr>
      </w:pPr>
    </w:p>
    <w:p w:rsidR="00000000" w:rsidRDefault="001F1FC8">
      <w:pPr>
        <w:divId w:val="1088041008"/>
        <w:rPr>
          <w:rFonts w:eastAsia="Times New Roman"/>
        </w:rPr>
      </w:pPr>
      <w:r>
        <w:rPr>
          <w:rFonts w:ascii="Arial" w:eastAsia="Times New Roman" w:hAnsi="Arial" w:cs="Arial"/>
          <w:color w:val="000000"/>
          <w:sz w:val="20"/>
          <w:szCs w:val="20"/>
        </w:rPr>
        <w:t>We perform our impairment assessment annually on April 1 at the reporting unit level. Reporting units are determined by assessing whether the components of our operating segments constitute businesses for which discret</w:t>
      </w:r>
      <w:r>
        <w:rPr>
          <w:rFonts w:ascii="Arial" w:eastAsia="Times New Roman" w:hAnsi="Arial" w:cs="Arial"/>
          <w:color w:val="000000"/>
          <w:sz w:val="20"/>
          <w:szCs w:val="20"/>
        </w:rPr>
        <w:t>e information is available, whether segment management regularly reviews the operating results of those components and whether the economic and regulatory characteristics are similar.</w:t>
      </w:r>
    </w:p>
    <w:p w:rsidR="00000000" w:rsidRDefault="001F1FC8">
      <w:pPr>
        <w:divId w:val="778716707"/>
        <w:rPr>
          <w:rFonts w:eastAsia="Times New Roman"/>
        </w:rPr>
      </w:pPr>
    </w:p>
    <w:p w:rsidR="00000000" w:rsidRDefault="001F1FC8">
      <w:pPr>
        <w:divId w:val="1469857696"/>
        <w:rPr>
          <w:rFonts w:eastAsia="Times New Roman"/>
        </w:rPr>
      </w:pPr>
      <w:r>
        <w:rPr>
          <w:rFonts w:ascii="Arial" w:eastAsia="Times New Roman" w:hAnsi="Arial" w:cs="Arial"/>
          <w:color w:val="000000"/>
          <w:sz w:val="20"/>
          <w:szCs w:val="20"/>
        </w:rPr>
        <w:t>We have the option to first assess qualitative factors to determine wh</w:t>
      </w:r>
      <w:r>
        <w:rPr>
          <w:rFonts w:ascii="Arial" w:eastAsia="Times New Roman" w:hAnsi="Arial" w:cs="Arial"/>
          <w:color w:val="000000"/>
          <w:sz w:val="20"/>
          <w:szCs w:val="20"/>
        </w:rPr>
        <w:t>ether it is necessary to perform the quantitative goodwill impairment assessment. When performing a qualitative assessment, we determine the drivers of fair value for each reporting unit and evaluate whether those drivers have been positively or negatively</w:t>
      </w:r>
      <w:r>
        <w:rPr>
          <w:rFonts w:ascii="Arial" w:eastAsia="Times New Roman" w:hAnsi="Arial" w:cs="Arial"/>
          <w:color w:val="000000"/>
          <w:sz w:val="20"/>
          <w:szCs w:val="20"/>
        </w:rPr>
        <w:t xml:space="preserve"> affected by relevant events and circumstances since the last fair value assessment. Our evaluation includes, but is not limited to, assessment of macroeconomic trends, regulatory environments, capital accessibility, operating income trends, and industry c</w:t>
      </w:r>
      <w:r>
        <w:rPr>
          <w:rFonts w:ascii="Arial" w:eastAsia="Times New Roman" w:hAnsi="Arial" w:cs="Arial"/>
          <w:color w:val="000000"/>
          <w:sz w:val="20"/>
          <w:szCs w:val="20"/>
        </w:rPr>
        <w:t>onditions. Based on our assessment of the qualitative factors, if we determine it is more likely than not that the fair value of the reporting unit is less than it’s carrying amount, a quantitative goodwill impairment assessment is performed.</w:t>
      </w:r>
    </w:p>
    <w:p w:rsidR="00000000" w:rsidRDefault="001F1FC8">
      <w:pPr>
        <w:divId w:val="1862157067"/>
        <w:rPr>
          <w:rFonts w:eastAsia="Times New Roman"/>
        </w:rPr>
      </w:pPr>
    </w:p>
    <w:p w:rsidR="00000000" w:rsidRDefault="001F1FC8">
      <w:pPr>
        <w:divId w:val="587349646"/>
        <w:rPr>
          <w:rFonts w:eastAsia="Times New Roman"/>
        </w:rPr>
      </w:pPr>
      <w:r>
        <w:rPr>
          <w:rFonts w:ascii="Arial" w:eastAsia="Times New Roman" w:hAnsi="Arial" w:cs="Arial"/>
          <w:color w:val="000000"/>
          <w:sz w:val="20"/>
          <w:szCs w:val="20"/>
        </w:rPr>
        <w:t>The quantit</w:t>
      </w:r>
      <w:r>
        <w:rPr>
          <w:rFonts w:ascii="Arial" w:eastAsia="Times New Roman" w:hAnsi="Arial" w:cs="Arial"/>
          <w:color w:val="000000"/>
          <w:sz w:val="20"/>
          <w:szCs w:val="20"/>
        </w:rPr>
        <w:t xml:space="preserve">ative goodwill impairment assessment involves determining the fair value of our reporting units and comparing those values to the carrying value of each corresponding reporting unit. If the carrying value of a reporting unit, including allocated goodwill, </w:t>
      </w:r>
      <w:r>
        <w:rPr>
          <w:rFonts w:ascii="Arial" w:eastAsia="Times New Roman" w:hAnsi="Arial" w:cs="Arial"/>
          <w:color w:val="000000"/>
          <w:sz w:val="20"/>
          <w:szCs w:val="20"/>
        </w:rPr>
        <w:t>exceeds its fair value, goodwill impairment is measured at the amount by which the reporting unit’s carrying value exceeds its fair value. This amount should not exceed the carrying amount of goodwill. Fair value of our reporting units is estimated using a</w:t>
      </w:r>
      <w:r>
        <w:rPr>
          <w:rFonts w:ascii="Arial" w:eastAsia="Times New Roman" w:hAnsi="Arial" w:cs="Arial"/>
          <w:color w:val="000000"/>
          <w:sz w:val="20"/>
          <w:szCs w:val="20"/>
        </w:rPr>
        <w:t xml:space="preserve"> combination of discounted cash flow models and earnings multiples techniques. The determination of fair value using the discounted cash flow model technique requires the use of estimates and assumptions related to discount rates, projected operating incom</w:t>
      </w:r>
      <w:r>
        <w:rPr>
          <w:rFonts w:ascii="Arial" w:eastAsia="Times New Roman" w:hAnsi="Arial" w:cs="Arial"/>
          <w:color w:val="000000"/>
          <w:sz w:val="20"/>
          <w:szCs w:val="20"/>
        </w:rPr>
        <w:t>e, terminal value growth rates, capital expenditures and working capital levels. The cash flow projections include significant judgments and assumptions relating to discount rates and expected future capital expenditures. The determination of fair value us</w:t>
      </w:r>
      <w:r>
        <w:rPr>
          <w:rFonts w:ascii="Arial" w:eastAsia="Times New Roman" w:hAnsi="Arial" w:cs="Arial"/>
          <w:color w:val="000000"/>
          <w:sz w:val="20"/>
          <w:szCs w:val="20"/>
        </w:rPr>
        <w:t xml:space="preserve">ing the earnings multiples technique requires assumptions to be made in relation to maintainable earnings and earnings multipliers for reporting units. </w:t>
      </w:r>
    </w:p>
    <w:p w:rsidR="00000000" w:rsidRDefault="001F1FC8">
      <w:pPr>
        <w:divId w:val="1781411753"/>
        <w:rPr>
          <w:rFonts w:eastAsia="Times New Roman"/>
        </w:rPr>
      </w:pPr>
    </w:p>
    <w:p w:rsidR="00000000" w:rsidRDefault="001F1FC8">
      <w:pPr>
        <w:divId w:val="1869025647"/>
        <w:rPr>
          <w:rFonts w:eastAsia="Times New Roman"/>
        </w:rPr>
      </w:pPr>
      <w:r>
        <w:rPr>
          <w:rFonts w:ascii="Arial" w:eastAsia="Times New Roman" w:hAnsi="Arial" w:cs="Arial"/>
          <w:color w:val="000000"/>
          <w:sz w:val="20"/>
          <w:szCs w:val="20"/>
        </w:rPr>
        <w:t>Our most recent annual assessment of the goodwill balance was performed on April 1, 2021. As at April</w:t>
      </w:r>
      <w:r>
        <w:rPr>
          <w:rFonts w:ascii="Arial" w:eastAsia="Times New Roman" w:hAnsi="Arial" w:cs="Arial"/>
          <w:color w:val="000000"/>
          <w:sz w:val="20"/>
          <w:szCs w:val="20"/>
        </w:rPr>
        <w:t xml:space="preserve"> 1, 2021, our reporting units were equivalent to our reportable segments. We performed a quantitative goodwill impairment assessment for the Gas Transmission and Midstream reporting unit and qualitative assessments for the Liquids Pipelines and Gas Distrib</w:t>
      </w:r>
      <w:r>
        <w:rPr>
          <w:rFonts w:ascii="Arial" w:eastAsia="Times New Roman" w:hAnsi="Arial" w:cs="Arial"/>
          <w:color w:val="000000"/>
          <w:sz w:val="20"/>
          <w:szCs w:val="20"/>
        </w:rPr>
        <w:t>ution and Storage reporting units. Our goodwill impairment assessments did not result in an impairment charge. Also, we did not identify any indicators of goodwill impairment during the remainder of 2021.</w:t>
      </w:r>
    </w:p>
    <w:p w:rsidR="00000000" w:rsidRDefault="001F1FC8">
      <w:pPr>
        <w:divId w:val="1235897206"/>
        <w:rPr>
          <w:rFonts w:eastAsia="Times New Roman"/>
        </w:rPr>
      </w:pPr>
    </w:p>
    <w:p w:rsidR="00000000" w:rsidRDefault="001F1FC8">
      <w:pPr>
        <w:divId w:val="61949349"/>
        <w:rPr>
          <w:rFonts w:eastAsia="Times New Roman"/>
        </w:rPr>
      </w:pPr>
      <w:r>
        <w:rPr>
          <w:rFonts w:ascii="Arial" w:eastAsia="Times New Roman" w:hAnsi="Arial" w:cs="Arial"/>
          <w:b/>
          <w:bCs/>
          <w:color w:val="000000"/>
          <w:sz w:val="20"/>
          <w:szCs w:val="20"/>
        </w:rPr>
        <w:t>Asset Impairment</w:t>
      </w:r>
    </w:p>
    <w:p w:rsidR="00000000" w:rsidRDefault="001F1FC8">
      <w:pPr>
        <w:divId w:val="1805387705"/>
        <w:rPr>
          <w:rFonts w:eastAsia="Times New Roman"/>
        </w:rPr>
      </w:pPr>
      <w:r>
        <w:rPr>
          <w:rFonts w:ascii="Arial" w:eastAsia="Times New Roman" w:hAnsi="Arial" w:cs="Arial"/>
          <w:color w:val="000000"/>
          <w:sz w:val="20"/>
          <w:szCs w:val="20"/>
        </w:rPr>
        <w:t>We evaluate the recoverability o</w:t>
      </w:r>
      <w:r>
        <w:rPr>
          <w:rFonts w:ascii="Arial" w:eastAsia="Times New Roman" w:hAnsi="Arial" w:cs="Arial"/>
          <w:color w:val="000000"/>
          <w:sz w:val="20"/>
          <w:szCs w:val="20"/>
        </w:rPr>
        <w:t>f our property, plant and equipment when events or circumstances such as economic obsolescence, business climate, legal or regulatory changes, or other factors indicate we may not recover the carrying amount of our assets. We continually monitor our busine</w:t>
      </w:r>
      <w:r>
        <w:rPr>
          <w:rFonts w:ascii="Arial" w:eastAsia="Times New Roman" w:hAnsi="Arial" w:cs="Arial"/>
          <w:color w:val="000000"/>
          <w:sz w:val="20"/>
          <w:szCs w:val="20"/>
        </w:rPr>
        <w:t>sses, the market and business environments to identify indicators that could suggest an asset may not be recoverable. If it is determined that the carrying value of an asset exceeds the undiscounted cash flows expected from the asset, we will assess the fa</w:t>
      </w:r>
      <w:r>
        <w:rPr>
          <w:rFonts w:ascii="Arial" w:eastAsia="Times New Roman" w:hAnsi="Arial" w:cs="Arial"/>
          <w:color w:val="000000"/>
          <w:sz w:val="20"/>
          <w:szCs w:val="20"/>
        </w:rPr>
        <w:t>ir value of the asset. An impairment loss is recognized when the carrying amount of the asset exceeds its fair value.</w:t>
      </w:r>
    </w:p>
    <w:p w:rsidR="00000000" w:rsidRDefault="001F1FC8">
      <w:pPr>
        <w:divId w:val="1023478175"/>
        <w:rPr>
          <w:rFonts w:eastAsia="Times New Roman"/>
        </w:rPr>
      </w:pPr>
    </w:p>
    <w:p w:rsidR="00000000" w:rsidRDefault="001F1FC8">
      <w:pPr>
        <w:divId w:val="522868471"/>
        <w:rPr>
          <w:rFonts w:eastAsia="Times New Roman"/>
        </w:rPr>
      </w:pPr>
      <w:r>
        <w:rPr>
          <w:rFonts w:ascii="Arial" w:eastAsia="Times New Roman" w:hAnsi="Arial" w:cs="Arial"/>
          <w:color w:val="000000"/>
          <w:sz w:val="20"/>
          <w:szCs w:val="20"/>
        </w:rPr>
        <w:t xml:space="preserve">With respect to equity method investments, we assess at each balance sheet date whether there is objective evidence that the investment </w:t>
      </w:r>
      <w:r>
        <w:rPr>
          <w:rFonts w:ascii="Arial" w:eastAsia="Times New Roman" w:hAnsi="Arial" w:cs="Arial"/>
          <w:color w:val="000000"/>
          <w:sz w:val="20"/>
          <w:szCs w:val="20"/>
        </w:rPr>
        <w:t xml:space="preserve">is impaired by completing a quantitative or qualitative analysis of factors impacting the investment. If there is objective evidence of impairment, we determine whether the decline below carrying value is other than temporary. If the decline is determined </w:t>
      </w:r>
      <w:r>
        <w:rPr>
          <w:rFonts w:ascii="Arial" w:eastAsia="Times New Roman" w:hAnsi="Arial" w:cs="Arial"/>
          <w:color w:val="000000"/>
          <w:sz w:val="20"/>
          <w:szCs w:val="20"/>
        </w:rPr>
        <w:t>to be other than temporary, an impairment charge is recorded in earnings with an offsetting reduction to the carrying value of the investment.</w:t>
      </w:r>
    </w:p>
    <w:p w:rsidR="00000000" w:rsidRDefault="001F1FC8">
      <w:pPr>
        <w:divId w:val="1505054909"/>
        <w:rPr>
          <w:rFonts w:eastAsia="Times New Roman"/>
        </w:rPr>
      </w:pPr>
    </w:p>
    <w:p w:rsidR="00000000" w:rsidRDefault="001F1FC8">
      <w:pPr>
        <w:jc w:val="center"/>
        <w:divId w:val="315378941"/>
        <w:rPr>
          <w:rFonts w:eastAsia="Times New Roman"/>
        </w:rPr>
      </w:pPr>
      <w:r>
        <w:rPr>
          <w:rFonts w:ascii="Arial" w:eastAsia="Times New Roman" w:hAnsi="Arial" w:cs="Arial"/>
          <w:color w:val="000000"/>
          <w:sz w:val="20"/>
          <w:szCs w:val="20"/>
        </w:rPr>
        <w:t>86</w:t>
      </w:r>
    </w:p>
    <w:p w:rsidR="00000000" w:rsidRDefault="001F1FC8">
      <w:pPr>
        <w:rPr>
          <w:rFonts w:eastAsia="Times New Roman"/>
        </w:rPr>
      </w:pPr>
      <w:r>
        <w:rPr>
          <w:rFonts w:eastAsia="Times New Roman"/>
        </w:rPr>
        <w:pict>
          <v:rect id="_x0000_i1116" style="width:0;height:1.5pt" o:hralign="center" o:hrstd="t" o:hr="t" fillcolor="#a0a0a0" stroked="f"/>
        </w:pict>
      </w:r>
    </w:p>
    <w:p w:rsidR="00000000" w:rsidRDefault="001F1FC8">
      <w:pPr>
        <w:jc w:val="center"/>
        <w:divId w:val="934089953"/>
        <w:rPr>
          <w:rFonts w:eastAsia="Times New Roman"/>
        </w:rPr>
      </w:pPr>
    </w:p>
    <w:p w:rsidR="00000000" w:rsidRDefault="001F1FC8">
      <w:pPr>
        <w:divId w:val="2092192138"/>
        <w:rPr>
          <w:rFonts w:eastAsia="Times New Roman"/>
        </w:rPr>
      </w:pPr>
      <w:r>
        <w:rPr>
          <w:rFonts w:ascii="Arial" w:eastAsia="Times New Roman" w:hAnsi="Arial" w:cs="Arial"/>
          <w:color w:val="000000"/>
          <w:sz w:val="20"/>
          <w:szCs w:val="20"/>
        </w:rPr>
        <w:t>Asset fair value is determined by quoted market prices in active markets or present value techniques. The determination of the fair value using present value techniques requires the use of projections and assumptions r</w:t>
      </w:r>
      <w:r>
        <w:rPr>
          <w:rFonts w:ascii="Arial" w:eastAsia="Times New Roman" w:hAnsi="Arial" w:cs="Arial"/>
          <w:color w:val="000000"/>
          <w:sz w:val="20"/>
          <w:szCs w:val="20"/>
        </w:rPr>
        <w:t>egarding future cash flows and weighted average cost of capital. Any changes to these projections and assumptions could result in revisions to the evaluation of the recoverability of the asset and the recognition of an impairment loss in the Consolidated S</w:t>
      </w:r>
      <w:r>
        <w:rPr>
          <w:rFonts w:ascii="Arial" w:eastAsia="Times New Roman" w:hAnsi="Arial" w:cs="Arial"/>
          <w:color w:val="000000"/>
          <w:sz w:val="20"/>
          <w:szCs w:val="20"/>
        </w:rPr>
        <w:t>tatements of Earnings.</w:t>
      </w:r>
    </w:p>
    <w:p w:rsidR="00000000" w:rsidRDefault="001F1FC8">
      <w:pPr>
        <w:divId w:val="1215116722"/>
        <w:rPr>
          <w:rFonts w:eastAsia="Times New Roman"/>
        </w:rPr>
      </w:pPr>
    </w:p>
    <w:p w:rsidR="00000000" w:rsidRDefault="001F1FC8">
      <w:pPr>
        <w:divId w:val="408695017"/>
        <w:rPr>
          <w:rFonts w:eastAsia="Times New Roman"/>
        </w:rPr>
      </w:pPr>
      <w:r>
        <w:rPr>
          <w:rFonts w:ascii="Arial" w:eastAsia="Times New Roman" w:hAnsi="Arial" w:cs="Arial"/>
          <w:b/>
          <w:bCs/>
          <w:color w:val="000000"/>
          <w:sz w:val="20"/>
          <w:szCs w:val="20"/>
        </w:rPr>
        <w:t>Assets Held for Sale</w:t>
      </w:r>
    </w:p>
    <w:p w:rsidR="00000000" w:rsidRDefault="001F1FC8">
      <w:pPr>
        <w:divId w:val="40831702"/>
        <w:rPr>
          <w:rFonts w:eastAsia="Times New Roman"/>
        </w:rPr>
      </w:pPr>
      <w:r>
        <w:rPr>
          <w:rFonts w:ascii="Arial" w:eastAsia="Times New Roman" w:hAnsi="Arial" w:cs="Arial"/>
          <w:color w:val="000000"/>
          <w:sz w:val="20"/>
          <w:szCs w:val="20"/>
        </w:rPr>
        <w:t>We classify assets as held for sale when management commits to a formal plan to actively market an asset or a group of assets and when management believes it is probable the sale of the assets will occur within</w:t>
      </w:r>
      <w:r>
        <w:rPr>
          <w:rFonts w:ascii="Arial" w:eastAsia="Times New Roman" w:hAnsi="Arial" w:cs="Arial"/>
          <w:color w:val="000000"/>
          <w:sz w:val="20"/>
          <w:szCs w:val="20"/>
        </w:rPr>
        <w:t xml:space="preserve"> one year. We measure assets classified as held for sale at the lower of their carrying value and their estimated fair value less costs to sell.</w:t>
      </w:r>
    </w:p>
    <w:p w:rsidR="00000000" w:rsidRDefault="001F1FC8">
      <w:pPr>
        <w:divId w:val="849948484"/>
        <w:rPr>
          <w:rFonts w:eastAsia="Times New Roman"/>
        </w:rPr>
      </w:pPr>
    </w:p>
    <w:p w:rsidR="00000000" w:rsidRDefault="001F1FC8">
      <w:pPr>
        <w:divId w:val="1618172373"/>
        <w:rPr>
          <w:rFonts w:eastAsia="Times New Roman"/>
        </w:rPr>
      </w:pPr>
      <w:r>
        <w:rPr>
          <w:rFonts w:ascii="Arial" w:eastAsia="Times New Roman" w:hAnsi="Arial" w:cs="Arial"/>
          <w:b/>
          <w:bCs/>
          <w:color w:val="000000"/>
          <w:sz w:val="20"/>
          <w:szCs w:val="20"/>
        </w:rPr>
        <w:t>Regulatory Accounting</w:t>
      </w:r>
    </w:p>
    <w:p w:rsidR="00000000" w:rsidRDefault="001F1FC8">
      <w:pPr>
        <w:divId w:val="1867593798"/>
        <w:rPr>
          <w:rFonts w:eastAsia="Times New Roman"/>
        </w:rPr>
      </w:pPr>
      <w:r>
        <w:rPr>
          <w:rFonts w:ascii="Arial" w:eastAsia="Times New Roman" w:hAnsi="Arial" w:cs="Arial"/>
          <w:color w:val="000000"/>
          <w:sz w:val="20"/>
          <w:szCs w:val="20"/>
        </w:rPr>
        <w:t>Certain of our businesses are subject to regulation by various authorities, including b</w:t>
      </w:r>
      <w:r>
        <w:rPr>
          <w:rFonts w:ascii="Arial" w:eastAsia="Times New Roman" w:hAnsi="Arial" w:cs="Arial"/>
          <w:color w:val="000000"/>
          <w:sz w:val="20"/>
          <w:szCs w:val="20"/>
        </w:rPr>
        <w:t>ut not limited to, the CER, the FERC, the Alberta Energy Regulator, La Régie de l’energie du Québec and the OEB. Regulatory bodies exercise statutory authority over matters such as construction, rates and ratemaking and agreements with customers. To recogn</w:t>
      </w:r>
      <w:r>
        <w:rPr>
          <w:rFonts w:ascii="Arial" w:eastAsia="Times New Roman" w:hAnsi="Arial" w:cs="Arial"/>
          <w:color w:val="000000"/>
          <w:sz w:val="20"/>
          <w:szCs w:val="20"/>
        </w:rPr>
        <w:t>ize the economic effects of the actions of the regulator, the timing of recognition of certain revenues and expenses in these operations may differ from that otherwise expected under US GAAP for non-rate-regulated entities. Key determinants in the ratemaki</w:t>
      </w:r>
      <w:r>
        <w:rPr>
          <w:rFonts w:ascii="Arial" w:eastAsia="Times New Roman" w:hAnsi="Arial" w:cs="Arial"/>
          <w:color w:val="000000"/>
          <w:sz w:val="20"/>
          <w:szCs w:val="20"/>
        </w:rPr>
        <w:t>ng process are:</w:t>
      </w:r>
    </w:p>
    <w:p w:rsidR="00000000" w:rsidRDefault="001F1FC8">
      <w:pPr>
        <w:ind w:hanging="360"/>
        <w:divId w:val="2015911663"/>
        <w:rPr>
          <w:rFonts w:eastAsia="Times New Roman"/>
        </w:rPr>
      </w:pPr>
      <w:r>
        <w:rPr>
          <w:rFonts w:ascii="Arial" w:eastAsia="Times New Roman" w:hAnsi="Arial" w:cs="Arial"/>
          <w:color w:val="000000"/>
          <w:sz w:val="20"/>
          <w:szCs w:val="20"/>
        </w:rPr>
        <w:t>•Costs of providing service, including operating costs, capital invested, depreciation expense and taxes;</w:t>
      </w:r>
    </w:p>
    <w:p w:rsidR="00000000" w:rsidRDefault="001F1FC8">
      <w:pPr>
        <w:ind w:hanging="360"/>
        <w:divId w:val="294527179"/>
        <w:rPr>
          <w:rFonts w:eastAsia="Times New Roman"/>
        </w:rPr>
      </w:pPr>
      <w:r>
        <w:rPr>
          <w:rFonts w:ascii="Arial" w:eastAsia="Times New Roman" w:hAnsi="Arial" w:cs="Arial"/>
          <w:color w:val="000000"/>
          <w:sz w:val="20"/>
          <w:szCs w:val="20"/>
        </w:rPr>
        <w:t>•Allowed rate of return, including the equity component of the capital structure and related income taxes;</w:t>
      </w:r>
    </w:p>
    <w:p w:rsidR="00000000" w:rsidRDefault="001F1FC8">
      <w:pPr>
        <w:ind w:hanging="360"/>
        <w:divId w:val="568922500"/>
        <w:rPr>
          <w:rFonts w:eastAsia="Times New Roman"/>
        </w:rPr>
      </w:pPr>
      <w:r>
        <w:rPr>
          <w:rFonts w:ascii="Arial" w:eastAsia="Times New Roman" w:hAnsi="Arial" w:cs="Arial"/>
          <w:color w:val="000000"/>
          <w:sz w:val="20"/>
          <w:szCs w:val="20"/>
        </w:rPr>
        <w:t>•Interest costs on the debt</w:t>
      </w:r>
      <w:r>
        <w:rPr>
          <w:rFonts w:ascii="Arial" w:eastAsia="Times New Roman" w:hAnsi="Arial" w:cs="Arial"/>
          <w:color w:val="000000"/>
          <w:sz w:val="20"/>
          <w:szCs w:val="20"/>
        </w:rPr>
        <w:t xml:space="preserve"> component of the capital structure; and</w:t>
      </w:r>
    </w:p>
    <w:p w:rsidR="00000000" w:rsidRDefault="001F1FC8">
      <w:pPr>
        <w:ind w:hanging="360"/>
        <w:divId w:val="2040273340"/>
        <w:rPr>
          <w:rFonts w:eastAsia="Times New Roman"/>
        </w:rPr>
      </w:pPr>
      <w:r>
        <w:rPr>
          <w:rFonts w:ascii="Arial" w:eastAsia="Times New Roman" w:hAnsi="Arial" w:cs="Arial"/>
          <w:color w:val="000000"/>
          <w:sz w:val="20"/>
          <w:szCs w:val="20"/>
        </w:rPr>
        <w:t>•Contract and volume throughput assumptions.</w:t>
      </w:r>
    </w:p>
    <w:p w:rsidR="00000000" w:rsidRDefault="001F1FC8">
      <w:pPr>
        <w:divId w:val="1484199389"/>
        <w:rPr>
          <w:rFonts w:eastAsia="Times New Roman"/>
        </w:rPr>
      </w:pPr>
    </w:p>
    <w:p w:rsidR="00000000" w:rsidRDefault="001F1FC8">
      <w:pPr>
        <w:divId w:val="1323394738"/>
        <w:rPr>
          <w:rFonts w:eastAsia="Times New Roman"/>
        </w:rPr>
      </w:pPr>
      <w:r>
        <w:rPr>
          <w:rFonts w:ascii="Arial" w:eastAsia="Times New Roman" w:hAnsi="Arial" w:cs="Arial"/>
          <w:color w:val="000000"/>
          <w:sz w:val="20"/>
          <w:szCs w:val="20"/>
        </w:rPr>
        <w:t>The allowed rate of return is determined in accordance with the applicable regulatory model and may impact our profitability. The rates for a number of our projects are</w:t>
      </w:r>
      <w:r>
        <w:rPr>
          <w:rFonts w:ascii="Arial" w:eastAsia="Times New Roman" w:hAnsi="Arial" w:cs="Arial"/>
          <w:color w:val="000000"/>
          <w:sz w:val="20"/>
          <w:szCs w:val="20"/>
        </w:rPr>
        <w:t xml:space="preserve"> based on a cost-of-service recovery model that follows the regulators’ authoritative guidance. Under the cost-of-service tolling methodology, we calculate tolls based on forecast volumes and cost. A difference between forecast and actual results causes an</w:t>
      </w:r>
      <w:r>
        <w:rPr>
          <w:rFonts w:ascii="Arial" w:eastAsia="Times New Roman" w:hAnsi="Arial" w:cs="Arial"/>
          <w:color w:val="000000"/>
          <w:sz w:val="20"/>
          <w:szCs w:val="20"/>
        </w:rPr>
        <w:t xml:space="preserve"> over or under recovery in any given year. Regulatory assets represent amounts that are expected to be recovered from customers in future periods through rates. Regulatory liabilities represent amounts that are expected to be refunded to customers in futur</w:t>
      </w:r>
      <w:r>
        <w:rPr>
          <w:rFonts w:ascii="Arial" w:eastAsia="Times New Roman" w:hAnsi="Arial" w:cs="Arial"/>
          <w:color w:val="000000"/>
          <w:sz w:val="20"/>
          <w:szCs w:val="20"/>
        </w:rPr>
        <w:t>e periods through rates or expected to be paid to cover future abandonment costs in relation to the CER’s Land Matters Consultation Initiative (LMCI) and for future removal and site restoration costs as approved by the OEB.</w:t>
      </w:r>
    </w:p>
    <w:p w:rsidR="00000000" w:rsidRDefault="001F1FC8">
      <w:pPr>
        <w:divId w:val="1709525693"/>
        <w:rPr>
          <w:rFonts w:eastAsia="Times New Roman"/>
        </w:rPr>
      </w:pPr>
    </w:p>
    <w:p w:rsidR="00000000" w:rsidRDefault="001F1FC8">
      <w:pPr>
        <w:divId w:val="1654724477"/>
        <w:rPr>
          <w:rFonts w:eastAsia="Times New Roman"/>
        </w:rPr>
      </w:pPr>
      <w:r>
        <w:rPr>
          <w:rFonts w:ascii="Arial" w:eastAsia="Times New Roman" w:hAnsi="Arial" w:cs="Arial"/>
          <w:color w:val="000000"/>
          <w:sz w:val="20"/>
          <w:szCs w:val="20"/>
        </w:rPr>
        <w:t>To the extent that the regulat</w:t>
      </w:r>
      <w:r>
        <w:rPr>
          <w:rFonts w:ascii="Arial" w:eastAsia="Times New Roman" w:hAnsi="Arial" w:cs="Arial"/>
          <w:color w:val="000000"/>
          <w:sz w:val="20"/>
          <w:szCs w:val="20"/>
        </w:rPr>
        <w:t>or’s actions differ from our expectations, the timing and amount of recovery or settlement of regulatory balances could differ significantly from those recorded. In the absence of rate regulation, we would generally not recognize regulatory assets or liabi</w:t>
      </w:r>
      <w:r>
        <w:rPr>
          <w:rFonts w:ascii="Arial" w:eastAsia="Times New Roman" w:hAnsi="Arial" w:cs="Arial"/>
          <w:color w:val="000000"/>
          <w:sz w:val="20"/>
          <w:szCs w:val="20"/>
        </w:rPr>
        <w:t xml:space="preserve">lities and the earnings impact would be recorded in the period the expenses are incurred or revenues are earned. A regulatory asset or liability is recognized in respect of deferred income taxes when it is expected the amounts will be recovered or settled </w:t>
      </w:r>
      <w:r>
        <w:rPr>
          <w:rFonts w:ascii="Arial" w:eastAsia="Times New Roman" w:hAnsi="Arial" w:cs="Arial"/>
          <w:color w:val="000000"/>
          <w:sz w:val="20"/>
          <w:szCs w:val="20"/>
        </w:rPr>
        <w:t>through future regulator-approved rates.</w:t>
      </w:r>
    </w:p>
    <w:p w:rsidR="00000000" w:rsidRDefault="001F1FC8">
      <w:pPr>
        <w:divId w:val="443966452"/>
        <w:rPr>
          <w:rFonts w:eastAsia="Times New Roman"/>
        </w:rPr>
      </w:pPr>
    </w:p>
    <w:p w:rsidR="00000000" w:rsidRDefault="001F1FC8">
      <w:pPr>
        <w:divId w:val="564031005"/>
        <w:rPr>
          <w:rFonts w:eastAsia="Times New Roman"/>
        </w:rPr>
      </w:pPr>
      <w:r>
        <w:rPr>
          <w:rFonts w:ascii="Arial" w:eastAsia="Times New Roman" w:hAnsi="Arial" w:cs="Arial"/>
          <w:color w:val="000000"/>
          <w:sz w:val="20"/>
          <w:szCs w:val="20"/>
        </w:rPr>
        <w:t>As at December 31, 2021 and 2020, our regulatory assets totaled $5.9 billion and $5.6 billion, respectively, and regulatory liabilities totaled $3.4 billion and $3.4 billion, respectively.</w:t>
      </w:r>
    </w:p>
    <w:p w:rsidR="00000000" w:rsidRDefault="001F1FC8">
      <w:pPr>
        <w:divId w:val="62876742"/>
        <w:rPr>
          <w:rFonts w:eastAsia="Times New Roman"/>
        </w:rPr>
      </w:pPr>
    </w:p>
    <w:p w:rsidR="00000000" w:rsidRDefault="001F1FC8">
      <w:pPr>
        <w:jc w:val="center"/>
        <w:divId w:val="1684503933"/>
        <w:rPr>
          <w:rFonts w:eastAsia="Times New Roman"/>
        </w:rPr>
      </w:pPr>
      <w:r>
        <w:rPr>
          <w:rFonts w:ascii="Arial" w:eastAsia="Times New Roman" w:hAnsi="Arial" w:cs="Arial"/>
          <w:color w:val="000000"/>
          <w:sz w:val="20"/>
          <w:szCs w:val="20"/>
        </w:rPr>
        <w:t>87</w:t>
      </w:r>
    </w:p>
    <w:p w:rsidR="00000000" w:rsidRDefault="001F1FC8">
      <w:pPr>
        <w:rPr>
          <w:rFonts w:eastAsia="Times New Roman"/>
        </w:rPr>
      </w:pPr>
      <w:r>
        <w:rPr>
          <w:rFonts w:eastAsia="Times New Roman"/>
        </w:rPr>
        <w:pict>
          <v:rect id="_x0000_i1117" style="width:0;height:1.5pt" o:hralign="center" o:hrstd="t" o:hr="t" fillcolor="#a0a0a0" stroked="f"/>
        </w:pict>
      </w:r>
    </w:p>
    <w:p w:rsidR="00000000" w:rsidRDefault="001F1FC8">
      <w:pPr>
        <w:jc w:val="center"/>
        <w:divId w:val="523399689"/>
        <w:rPr>
          <w:rFonts w:eastAsia="Times New Roman"/>
        </w:rPr>
      </w:pPr>
    </w:p>
    <w:p w:rsidR="00000000" w:rsidRDefault="001F1FC8">
      <w:pPr>
        <w:divId w:val="1889610249"/>
        <w:rPr>
          <w:rFonts w:eastAsia="Times New Roman"/>
        </w:rPr>
      </w:pPr>
      <w:r>
        <w:rPr>
          <w:rFonts w:ascii="Arial" w:eastAsia="Times New Roman" w:hAnsi="Arial" w:cs="Arial"/>
          <w:b/>
          <w:bCs/>
          <w:color w:val="000000"/>
          <w:sz w:val="20"/>
          <w:szCs w:val="20"/>
        </w:rPr>
        <w:t>Depreciation</w:t>
      </w:r>
    </w:p>
    <w:p w:rsidR="00000000" w:rsidRDefault="001F1FC8">
      <w:pPr>
        <w:divId w:val="870218449"/>
        <w:rPr>
          <w:rFonts w:eastAsia="Times New Roman"/>
        </w:rPr>
      </w:pPr>
      <w:r>
        <w:rPr>
          <w:rFonts w:ascii="Arial" w:eastAsia="Times New Roman" w:hAnsi="Arial" w:cs="Arial"/>
          <w:color w:val="000000"/>
          <w:sz w:val="20"/>
          <w:szCs w:val="20"/>
        </w:rPr>
        <w:t>Depreciation of property, plant and equipment, our largest asset with a net book value at December 31, 2021 and 2020, of $100.1 billion and $94.6 billion, respectively, is charged in accordance with two primary methods. For</w:t>
      </w:r>
      <w:r>
        <w:rPr>
          <w:rFonts w:ascii="Arial" w:eastAsia="Times New Roman" w:hAnsi="Arial" w:cs="Arial"/>
          <w:color w:val="000000"/>
          <w:sz w:val="20"/>
          <w:szCs w:val="20"/>
        </w:rPr>
        <w:t xml:space="preserve"> distinct assets, depreciation is generally provided on a straight-line basis over the estimated useful lives of the assets commencing when the asset is placed in service. For largely homogeneous groups of assets with comparable useful lives, the pool meth</w:t>
      </w:r>
      <w:r>
        <w:rPr>
          <w:rFonts w:ascii="Arial" w:eastAsia="Times New Roman" w:hAnsi="Arial" w:cs="Arial"/>
          <w:color w:val="000000"/>
          <w:sz w:val="20"/>
          <w:szCs w:val="20"/>
        </w:rPr>
        <w:t>od of accounting is followed whereby similar assets are grouped and depreciated as a pool. When group assets are retired or otherwise disposed of, gains and losses are not reflected in earnings but are booked as an adjustment to accumulated depreciation.</w:t>
      </w:r>
    </w:p>
    <w:p w:rsidR="00000000" w:rsidRDefault="001F1FC8">
      <w:pPr>
        <w:divId w:val="1142036957"/>
        <w:rPr>
          <w:rFonts w:eastAsia="Times New Roman"/>
        </w:rPr>
      </w:pPr>
    </w:p>
    <w:p w:rsidR="00000000" w:rsidRDefault="001F1FC8">
      <w:pPr>
        <w:divId w:val="1361317817"/>
        <w:rPr>
          <w:rFonts w:eastAsia="Times New Roman"/>
        </w:rPr>
      </w:pPr>
      <w:r>
        <w:rPr>
          <w:rFonts w:ascii="Arial" w:eastAsia="Times New Roman" w:hAnsi="Arial" w:cs="Arial"/>
          <w:color w:val="000000"/>
          <w:sz w:val="20"/>
          <w:szCs w:val="20"/>
        </w:rPr>
        <w:t>When it is determined that the estimated service life of an asset no longer reflects the expected remaining period of benefit, prospective changes are made to the estimated service life. Estimates of useful lives are based on third party engineering studie</w:t>
      </w:r>
      <w:r>
        <w:rPr>
          <w:rFonts w:ascii="Arial" w:eastAsia="Times New Roman" w:hAnsi="Arial" w:cs="Arial"/>
          <w:color w:val="000000"/>
          <w:sz w:val="20"/>
          <w:szCs w:val="20"/>
        </w:rPr>
        <w:t>s, experience and/or industry practice. There are a number of assumptions inherent in estimating the service lives of our assets including the level of development, exploration, drilling, reserves and production of crude oil and natural gas in the supply a</w:t>
      </w:r>
      <w:r>
        <w:rPr>
          <w:rFonts w:ascii="Arial" w:eastAsia="Times New Roman" w:hAnsi="Arial" w:cs="Arial"/>
          <w:color w:val="000000"/>
          <w:sz w:val="20"/>
          <w:szCs w:val="20"/>
        </w:rPr>
        <w:t>reas served by our pipelines as well as the demand for crude oil and natural gas and the integrity of our systems. Changes in these assumptions could result in adjustments to the estimated service lives, which could result in material changes to depreciati</w:t>
      </w:r>
      <w:r>
        <w:rPr>
          <w:rFonts w:ascii="Arial" w:eastAsia="Times New Roman" w:hAnsi="Arial" w:cs="Arial"/>
          <w:color w:val="000000"/>
          <w:sz w:val="20"/>
          <w:szCs w:val="20"/>
        </w:rPr>
        <w:t>on expense in future periods in any of our business segments. For certain rate-regulated operations, depreciation rates are approved by the regulator and the regulator may require periodic studies or technical updates on useful lives which may change depre</w:t>
      </w:r>
      <w:r>
        <w:rPr>
          <w:rFonts w:ascii="Arial" w:eastAsia="Times New Roman" w:hAnsi="Arial" w:cs="Arial"/>
          <w:color w:val="000000"/>
          <w:sz w:val="20"/>
          <w:szCs w:val="20"/>
        </w:rPr>
        <w:t>ciation rates.</w:t>
      </w:r>
    </w:p>
    <w:p w:rsidR="00000000" w:rsidRDefault="001F1FC8">
      <w:pPr>
        <w:divId w:val="659313983"/>
        <w:rPr>
          <w:rFonts w:eastAsia="Times New Roman"/>
        </w:rPr>
      </w:pPr>
    </w:p>
    <w:p w:rsidR="00000000" w:rsidRDefault="001F1FC8">
      <w:pPr>
        <w:divId w:val="1744332549"/>
        <w:rPr>
          <w:rFonts w:eastAsia="Times New Roman"/>
        </w:rPr>
      </w:pPr>
      <w:r>
        <w:rPr>
          <w:rFonts w:ascii="Arial" w:eastAsia="Times New Roman" w:hAnsi="Arial" w:cs="Arial"/>
          <w:b/>
          <w:bCs/>
          <w:color w:val="000000"/>
          <w:sz w:val="20"/>
          <w:szCs w:val="20"/>
        </w:rPr>
        <w:t>Pension and Other Postretirement Benefits</w:t>
      </w:r>
    </w:p>
    <w:p w:rsidR="00000000" w:rsidRDefault="001F1FC8">
      <w:pPr>
        <w:divId w:val="1484272835"/>
        <w:rPr>
          <w:rFonts w:eastAsia="Times New Roman"/>
        </w:rPr>
      </w:pPr>
      <w:r>
        <w:rPr>
          <w:rFonts w:ascii="Arial" w:eastAsia="Times New Roman" w:hAnsi="Arial" w:cs="Arial"/>
          <w:color w:val="000000"/>
          <w:sz w:val="20"/>
          <w:szCs w:val="20"/>
        </w:rPr>
        <w:t>We use certain assumptions relating to the calculation of defined benefit pension and other postretirement liabilities and net periodic benefit costs. These assumptions comprise management’s best e</w:t>
      </w:r>
      <w:r>
        <w:rPr>
          <w:rFonts w:ascii="Arial" w:eastAsia="Times New Roman" w:hAnsi="Arial" w:cs="Arial"/>
          <w:color w:val="000000"/>
          <w:sz w:val="20"/>
          <w:szCs w:val="20"/>
        </w:rPr>
        <w:t>stimates of expected return on plan assets, future salary levels, other cost escalations, retirement ages of employees and other actuarial factors including discount rates and mortality. We determine discount rates by reference to rates of high-quality lon</w:t>
      </w:r>
      <w:r>
        <w:rPr>
          <w:rFonts w:ascii="Arial" w:eastAsia="Times New Roman" w:hAnsi="Arial" w:cs="Arial"/>
          <w:color w:val="000000"/>
          <w:sz w:val="20"/>
          <w:szCs w:val="20"/>
        </w:rPr>
        <w:t>g-term corporate bonds with maturities that approximate the timing of future payments anticipated to be made under each of the respective plans. The expected return on plan assets is determined using market-related values and assumptions on the asset mix c</w:t>
      </w:r>
      <w:r>
        <w:rPr>
          <w:rFonts w:ascii="Arial" w:eastAsia="Times New Roman" w:hAnsi="Arial" w:cs="Arial"/>
          <w:color w:val="000000"/>
          <w:sz w:val="20"/>
          <w:szCs w:val="20"/>
        </w:rPr>
        <w:t>onsistent with the investment policy relating to the assets and their projected returns. The assumptions are reviewed annually by our independent actuaries. Actual results that differ from results based on assumptions are amortized over future periods and,</w:t>
      </w:r>
      <w:r>
        <w:rPr>
          <w:rFonts w:ascii="Arial" w:eastAsia="Times New Roman" w:hAnsi="Arial" w:cs="Arial"/>
          <w:color w:val="000000"/>
          <w:sz w:val="20"/>
          <w:szCs w:val="20"/>
        </w:rPr>
        <w:t xml:space="preserve"> therefore, could materially affect the expense recognized and the recorded obligation in future periods. </w:t>
      </w:r>
    </w:p>
    <w:p w:rsidR="00000000" w:rsidRDefault="001F1FC8">
      <w:pPr>
        <w:divId w:val="1152068018"/>
        <w:rPr>
          <w:rFonts w:eastAsia="Times New Roman"/>
        </w:rPr>
      </w:pPr>
    </w:p>
    <w:p w:rsidR="00000000" w:rsidRDefault="001F1FC8">
      <w:pPr>
        <w:divId w:val="508299052"/>
        <w:rPr>
          <w:rFonts w:eastAsia="Times New Roman"/>
        </w:rPr>
      </w:pPr>
      <w:r>
        <w:rPr>
          <w:rFonts w:ascii="Arial" w:eastAsia="Times New Roman" w:hAnsi="Arial" w:cs="Arial"/>
          <w:color w:val="000000"/>
          <w:sz w:val="20"/>
          <w:szCs w:val="20"/>
        </w:rPr>
        <w:t>The following sensitivity analysis identifies the impact on the December 31, 2021 Consolidated Financial Statements of a 0.5% change in key pension</w:t>
      </w:r>
      <w:r>
        <w:rPr>
          <w:rFonts w:ascii="Arial" w:eastAsia="Times New Roman" w:hAnsi="Arial" w:cs="Arial"/>
          <w:color w:val="000000"/>
          <w:sz w:val="20"/>
          <w:szCs w:val="20"/>
        </w:rPr>
        <w:t xml:space="preserve"> and other postretirement benefit obligations (OPEB) assumptions:</w:t>
      </w:r>
    </w:p>
    <w:tbl>
      <w:tblPr>
        <w:tblW w:w="5000" w:type="pct"/>
        <w:tblCellMar>
          <w:top w:w="15" w:type="dxa"/>
          <w:left w:w="15" w:type="dxa"/>
          <w:bottom w:w="15" w:type="dxa"/>
          <w:right w:w="15" w:type="dxa"/>
        </w:tblCellMar>
        <w:tblLook w:val="04A0" w:firstRow="1" w:lastRow="0" w:firstColumn="1" w:lastColumn="0" w:noHBand="0" w:noVBand="1"/>
      </w:tblPr>
      <w:tblGrid>
        <w:gridCol w:w="59"/>
        <w:gridCol w:w="3571"/>
        <w:gridCol w:w="38"/>
        <w:gridCol w:w="71"/>
        <w:gridCol w:w="977"/>
        <w:gridCol w:w="37"/>
        <w:gridCol w:w="37"/>
        <w:gridCol w:w="37"/>
        <w:gridCol w:w="36"/>
        <w:gridCol w:w="62"/>
        <w:gridCol w:w="975"/>
        <w:gridCol w:w="36"/>
        <w:gridCol w:w="36"/>
        <w:gridCol w:w="36"/>
        <w:gridCol w:w="36"/>
        <w:gridCol w:w="71"/>
        <w:gridCol w:w="968"/>
        <w:gridCol w:w="37"/>
        <w:gridCol w:w="37"/>
        <w:gridCol w:w="36"/>
        <w:gridCol w:w="36"/>
        <w:gridCol w:w="62"/>
        <w:gridCol w:w="979"/>
        <w:gridCol w:w="36"/>
      </w:tblGrid>
      <w:tr w:rsidR="00000000">
        <w:trPr>
          <w:divId w:val="1805730959"/>
        </w:trPr>
        <w:tc>
          <w:tcPr>
            <w:tcW w:w="50" w:type="pct"/>
            <w:vAlign w:val="center"/>
            <w:hideMark/>
          </w:tcPr>
          <w:p w:rsidR="00000000" w:rsidRDefault="001F1FC8">
            <w:pPr>
              <w:rPr>
                <w:rFonts w:eastAsia="Times New Roman"/>
              </w:rPr>
            </w:pPr>
          </w:p>
        </w:tc>
        <w:tc>
          <w:tcPr>
            <w:tcW w:w="2164"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c>
          <w:tcPr>
            <w:tcW w:w="50" w:type="pct"/>
            <w:vAlign w:val="center"/>
            <w:hideMark/>
          </w:tcPr>
          <w:p w:rsidR="00000000" w:rsidRDefault="001F1FC8">
            <w:pPr>
              <w:rPr>
                <w:rFonts w:eastAsia="Times New Roman"/>
                <w:sz w:val="20"/>
                <w:szCs w:val="20"/>
              </w:rPr>
            </w:pPr>
          </w:p>
        </w:tc>
        <w:tc>
          <w:tcPr>
            <w:tcW w:w="610"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c>
          <w:tcPr>
            <w:tcW w:w="30"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c>
          <w:tcPr>
            <w:tcW w:w="50" w:type="pct"/>
            <w:vAlign w:val="center"/>
            <w:hideMark/>
          </w:tcPr>
          <w:p w:rsidR="00000000" w:rsidRDefault="001F1FC8">
            <w:pPr>
              <w:rPr>
                <w:rFonts w:eastAsia="Times New Roman"/>
                <w:sz w:val="20"/>
                <w:szCs w:val="20"/>
              </w:rPr>
            </w:pPr>
          </w:p>
        </w:tc>
        <w:tc>
          <w:tcPr>
            <w:tcW w:w="610"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c>
          <w:tcPr>
            <w:tcW w:w="30"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c>
          <w:tcPr>
            <w:tcW w:w="50" w:type="pct"/>
            <w:vAlign w:val="center"/>
            <w:hideMark/>
          </w:tcPr>
          <w:p w:rsidR="00000000" w:rsidRDefault="001F1FC8">
            <w:pPr>
              <w:rPr>
                <w:rFonts w:eastAsia="Times New Roman"/>
                <w:sz w:val="20"/>
                <w:szCs w:val="20"/>
              </w:rPr>
            </w:pPr>
          </w:p>
        </w:tc>
        <w:tc>
          <w:tcPr>
            <w:tcW w:w="610"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c>
          <w:tcPr>
            <w:tcW w:w="30"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c>
          <w:tcPr>
            <w:tcW w:w="50" w:type="pct"/>
            <w:vAlign w:val="center"/>
            <w:hideMark/>
          </w:tcPr>
          <w:p w:rsidR="00000000" w:rsidRDefault="001F1FC8">
            <w:pPr>
              <w:rPr>
                <w:rFonts w:eastAsia="Times New Roman"/>
                <w:sz w:val="20"/>
                <w:szCs w:val="20"/>
              </w:rPr>
            </w:pPr>
          </w:p>
        </w:tc>
        <w:tc>
          <w:tcPr>
            <w:tcW w:w="610"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r>
      <w:tr w:rsidR="00000000">
        <w:trPr>
          <w:divId w:val="1805730959"/>
        </w:trPr>
        <w:tc>
          <w:tcPr>
            <w:tcW w:w="0" w:type="auto"/>
            <w:gridSpan w:val="3"/>
            <w:tcMar>
              <w:top w:w="30" w:type="dxa"/>
              <w:left w:w="20" w:type="dxa"/>
              <w:bottom w:w="30" w:type="dxa"/>
              <w:right w:w="20" w:type="dxa"/>
            </w:tcMar>
            <w:hideMark/>
          </w:tcPr>
          <w:p w:rsidR="00000000" w:rsidRDefault="001F1FC8">
            <w:pPr>
              <w:rPr>
                <w:rFonts w:eastAsia="Times New Roman"/>
              </w:rPr>
            </w:pPr>
            <w:r>
              <w:rPr>
                <w:rFonts w:ascii="Arial" w:eastAsia="Times New Roman" w:hAnsi="Arial" w:cs="Arial"/>
                <w:color w:val="000000"/>
                <w:sz w:val="20"/>
                <w:szCs w:val="20"/>
              </w:rPr>
              <w:t> </w:t>
            </w:r>
          </w:p>
        </w:tc>
        <w:tc>
          <w:tcPr>
            <w:tcW w:w="0" w:type="auto"/>
            <w:gridSpan w:val="9"/>
            <w:tcMar>
              <w:top w:w="30" w:type="dxa"/>
              <w:left w:w="20" w:type="dxa"/>
              <w:bottom w:w="30" w:type="dxa"/>
              <w:right w:w="20" w:type="dxa"/>
            </w:tcMar>
            <w:vAlign w:val="bottom"/>
            <w:hideMark/>
          </w:tcPr>
          <w:p w:rsidR="00000000" w:rsidRDefault="001F1FC8">
            <w:pPr>
              <w:jc w:val="center"/>
              <w:rPr>
                <w:rFonts w:eastAsia="Times New Roman"/>
              </w:rPr>
            </w:pPr>
            <w:r>
              <w:rPr>
                <w:rFonts w:ascii="Arial" w:eastAsia="Times New Roman" w:hAnsi="Arial" w:cs="Arial"/>
                <w:color w:val="000000"/>
                <w:sz w:val="20"/>
                <w:szCs w:val="20"/>
              </w:rPr>
              <w:t>Canada</w:t>
            </w:r>
          </w:p>
        </w:tc>
        <w:tc>
          <w:tcPr>
            <w:tcW w:w="0" w:type="auto"/>
            <w:gridSpan w:val="3"/>
            <w:tcMar>
              <w:top w:w="0" w:type="dxa"/>
              <w:left w:w="20" w:type="dxa"/>
              <w:bottom w:w="0" w:type="dxa"/>
              <w:right w:w="20" w:type="dxa"/>
            </w:tcMar>
            <w:vAlign w:val="center"/>
            <w:hideMark/>
          </w:tcPr>
          <w:p w:rsidR="00000000" w:rsidRDefault="001F1FC8">
            <w:pPr>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1F1FC8">
            <w:pPr>
              <w:jc w:val="center"/>
              <w:rPr>
                <w:rFonts w:eastAsia="Times New Roman"/>
              </w:rPr>
            </w:pPr>
            <w:r>
              <w:rPr>
                <w:rFonts w:ascii="Arial" w:eastAsia="Times New Roman" w:hAnsi="Arial" w:cs="Arial"/>
                <w:color w:val="000000"/>
                <w:sz w:val="20"/>
                <w:szCs w:val="20"/>
              </w:rPr>
              <w:t>United States</w:t>
            </w:r>
          </w:p>
        </w:tc>
      </w:tr>
      <w:tr w:rsidR="00000000">
        <w:trPr>
          <w:divId w:val="1805730959"/>
        </w:trPr>
        <w:tc>
          <w:tcPr>
            <w:tcW w:w="0" w:type="auto"/>
            <w:gridSpan w:val="3"/>
            <w:tcMar>
              <w:top w:w="30" w:type="dxa"/>
              <w:left w:w="20" w:type="dxa"/>
              <w:bottom w:w="30" w:type="dxa"/>
              <w:right w:w="20" w:type="dxa"/>
            </w:tcMar>
            <w:hideMark/>
          </w:tcPr>
          <w:p w:rsidR="00000000" w:rsidRDefault="001F1FC8">
            <w:pPr>
              <w:rPr>
                <w:rFonts w:eastAsia="Times New Roman"/>
              </w:rPr>
            </w:pPr>
            <w:r>
              <w:rPr>
                <w:rFonts w:ascii="Arial" w:eastAsia="Times New Roman" w:hAnsi="Arial" w:cs="Arial"/>
                <w:color w:val="000000"/>
                <w:sz w:val="20"/>
                <w:szCs w:val="20"/>
              </w:rPr>
              <w:t> </w:t>
            </w: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Obligation</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1F1FC8">
            <w:pPr>
              <w:jc w:val="right"/>
              <w:rPr>
                <w:rFonts w:eastAsia="Times New Roman"/>
              </w:rPr>
            </w:pP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Expense</w:t>
            </w:r>
          </w:p>
        </w:tc>
        <w:tc>
          <w:tcPr>
            <w:tcW w:w="0" w:type="auto"/>
            <w:gridSpan w:val="3"/>
            <w:tcMar>
              <w:top w:w="0" w:type="dxa"/>
              <w:left w:w="20" w:type="dxa"/>
              <w:bottom w:w="0" w:type="dxa"/>
              <w:right w:w="20" w:type="dxa"/>
            </w:tcMar>
            <w:vAlign w:val="center"/>
            <w:hideMark/>
          </w:tcPr>
          <w:p w:rsidR="00000000" w:rsidRDefault="001F1FC8">
            <w:pPr>
              <w:jc w:val="right"/>
              <w:rPr>
                <w:rFonts w:eastAsia="Times New Roman"/>
              </w:rPr>
            </w:pP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Obligation</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1F1FC8">
            <w:pPr>
              <w:jc w:val="right"/>
              <w:rPr>
                <w:rFonts w:eastAsia="Times New Roman"/>
              </w:rPr>
            </w:pP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Expense</w:t>
            </w:r>
          </w:p>
        </w:tc>
      </w:tr>
      <w:tr w:rsidR="00000000">
        <w:trPr>
          <w:divId w:val="1805730959"/>
        </w:trPr>
        <w:tc>
          <w:tcPr>
            <w:tcW w:w="0" w:type="auto"/>
            <w:gridSpan w:val="3"/>
            <w:tcBorders>
              <w:top w:val="single" w:sz="4" w:space="0" w:color="000000"/>
            </w:tcBorders>
            <w:tcMar>
              <w:top w:w="30" w:type="dxa"/>
              <w:left w:w="20" w:type="dxa"/>
              <w:bottom w:w="30" w:type="dxa"/>
              <w:right w:w="20" w:type="dxa"/>
            </w:tcMar>
            <w:vAlign w:val="bottom"/>
            <w:hideMark/>
          </w:tcPr>
          <w:p w:rsidR="00000000" w:rsidRDefault="001F1FC8">
            <w:pPr>
              <w:rPr>
                <w:rFonts w:eastAsia="Times New Roman"/>
              </w:rPr>
            </w:pPr>
            <w:r>
              <w:rPr>
                <w:rFonts w:ascii="Arial" w:eastAsia="Times New Roman" w:hAnsi="Arial" w:cs="Arial"/>
                <w:i/>
                <w:iCs/>
                <w:color w:val="000000"/>
                <w:sz w:val="16"/>
                <w:szCs w:val="16"/>
              </w:rPr>
              <w:t>(millions of Canadian dollars)</w:t>
            </w: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 </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1F1FC8">
            <w:pPr>
              <w:jc w:val="right"/>
              <w:rPr>
                <w:rFonts w:eastAsia="Times New Roman"/>
              </w:rPr>
            </w:pP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 </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1F1FC8">
            <w:pPr>
              <w:jc w:val="right"/>
              <w:rPr>
                <w:rFonts w:eastAsia="Times New Roman"/>
              </w:rPr>
            </w:pP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 </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1F1FC8">
            <w:pPr>
              <w:jc w:val="right"/>
              <w:rPr>
                <w:rFonts w:eastAsia="Times New Roman"/>
              </w:rPr>
            </w:pP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 </w:t>
            </w:r>
          </w:p>
        </w:tc>
      </w:tr>
      <w:tr w:rsidR="00000000">
        <w:trPr>
          <w:divId w:val="1805730959"/>
        </w:trPr>
        <w:tc>
          <w:tcPr>
            <w:tcW w:w="0" w:type="auto"/>
            <w:gridSpan w:val="3"/>
            <w:tcMar>
              <w:top w:w="30" w:type="dxa"/>
              <w:left w:w="20" w:type="dxa"/>
              <w:bottom w:w="30" w:type="dxa"/>
              <w:right w:w="20" w:type="dxa"/>
            </w:tcMar>
            <w:vAlign w:val="bottom"/>
            <w:hideMark/>
          </w:tcPr>
          <w:p w:rsidR="00000000" w:rsidRDefault="001F1FC8">
            <w:pPr>
              <w:rPr>
                <w:rFonts w:eastAsia="Times New Roman"/>
              </w:rPr>
            </w:pPr>
            <w:r>
              <w:rPr>
                <w:rFonts w:ascii="Arial" w:eastAsia="Times New Roman" w:hAnsi="Arial" w:cs="Arial"/>
                <w:b/>
                <w:bCs/>
                <w:color w:val="000000"/>
                <w:sz w:val="20"/>
                <w:szCs w:val="20"/>
              </w:rPr>
              <w:t>Pension</w:t>
            </w:r>
          </w:p>
        </w:tc>
        <w:tc>
          <w:tcPr>
            <w:tcW w:w="0" w:type="auto"/>
            <w:gridSpan w:val="3"/>
            <w:tcMar>
              <w:top w:w="0" w:type="dxa"/>
              <w:left w:w="20" w:type="dxa"/>
              <w:bottom w:w="0" w:type="dxa"/>
              <w:right w:w="20" w:type="dxa"/>
            </w:tcMar>
            <w:vAlign w:val="center"/>
            <w:hideMark/>
          </w:tcPr>
          <w:p w:rsidR="00000000" w:rsidRDefault="001F1FC8">
            <w:pPr>
              <w:rPr>
                <w:rFonts w:eastAsia="Times New Roman"/>
              </w:rPr>
            </w:pPr>
          </w:p>
        </w:tc>
        <w:tc>
          <w:tcPr>
            <w:tcW w:w="0" w:type="auto"/>
            <w:gridSpan w:val="3"/>
            <w:tcMar>
              <w:top w:w="0" w:type="dxa"/>
              <w:left w:w="20" w:type="dxa"/>
              <w:bottom w:w="0" w:type="dxa"/>
              <w:right w:w="20" w:type="dxa"/>
            </w:tcMar>
            <w:vAlign w:val="center"/>
            <w:hideMark/>
          </w:tcPr>
          <w:p w:rsidR="00000000" w:rsidRDefault="001F1FC8">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1F1FC8">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1F1FC8">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1F1FC8">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1F1FC8">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1F1FC8">
            <w:pPr>
              <w:rPr>
                <w:rFonts w:eastAsia="Times New Roman"/>
                <w:sz w:val="20"/>
                <w:szCs w:val="20"/>
              </w:rPr>
            </w:pPr>
          </w:p>
        </w:tc>
      </w:tr>
      <w:tr w:rsidR="00000000">
        <w:trPr>
          <w:divId w:val="1805730959"/>
        </w:trPr>
        <w:tc>
          <w:tcPr>
            <w:tcW w:w="0" w:type="auto"/>
            <w:gridSpan w:val="3"/>
            <w:tcMar>
              <w:top w:w="30" w:type="dxa"/>
              <w:left w:w="20" w:type="dxa"/>
              <w:bottom w:w="30" w:type="dxa"/>
              <w:right w:w="20" w:type="dxa"/>
            </w:tcMar>
            <w:vAlign w:val="bottom"/>
            <w:hideMark/>
          </w:tcPr>
          <w:p w:rsidR="00000000" w:rsidRDefault="001F1FC8">
            <w:pPr>
              <w:rPr>
                <w:rFonts w:eastAsia="Times New Roman"/>
              </w:rPr>
            </w:pPr>
            <w:r>
              <w:rPr>
                <w:rFonts w:ascii="Arial" w:eastAsia="Times New Roman" w:hAnsi="Arial" w:cs="Arial"/>
                <w:color w:val="000000"/>
                <w:sz w:val="20"/>
                <w:szCs w:val="20"/>
              </w:rPr>
              <w:t>Decrease in discount rate</w:t>
            </w: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378 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1F1FC8">
            <w:pPr>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31 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1F1FC8">
            <w:pPr>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70 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1F1FC8">
            <w:pPr>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5 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r>
      <w:tr w:rsidR="00000000">
        <w:trPr>
          <w:divId w:val="1805730959"/>
        </w:trPr>
        <w:tc>
          <w:tcPr>
            <w:tcW w:w="0" w:type="auto"/>
            <w:gridSpan w:val="3"/>
            <w:tcMar>
              <w:top w:w="30" w:type="dxa"/>
              <w:left w:w="20" w:type="dxa"/>
              <w:bottom w:w="30" w:type="dxa"/>
              <w:right w:w="20" w:type="dxa"/>
            </w:tcMar>
            <w:hideMark/>
          </w:tcPr>
          <w:p w:rsidR="00000000" w:rsidRDefault="001F1FC8">
            <w:pPr>
              <w:rPr>
                <w:rFonts w:eastAsia="Times New Roman"/>
              </w:rPr>
            </w:pPr>
            <w:r>
              <w:rPr>
                <w:rFonts w:ascii="Arial" w:eastAsia="Times New Roman" w:hAnsi="Arial" w:cs="Arial"/>
                <w:color w:val="000000"/>
                <w:sz w:val="20"/>
                <w:szCs w:val="20"/>
              </w:rPr>
              <w:t>Decrease in expected return on assets</w:t>
            </w: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1F1FC8">
            <w:pPr>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21 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1F1FC8">
            <w:pPr>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1F1FC8">
            <w:pPr>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5 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r>
      <w:tr w:rsidR="00000000">
        <w:trPr>
          <w:divId w:val="1805730959"/>
        </w:trPr>
        <w:tc>
          <w:tcPr>
            <w:tcW w:w="0" w:type="auto"/>
            <w:gridSpan w:val="3"/>
            <w:tcMar>
              <w:top w:w="30" w:type="dxa"/>
              <w:left w:w="20" w:type="dxa"/>
              <w:bottom w:w="30" w:type="dxa"/>
              <w:right w:w="20" w:type="dxa"/>
            </w:tcMar>
            <w:hideMark/>
          </w:tcPr>
          <w:p w:rsidR="00000000" w:rsidRDefault="001F1FC8">
            <w:pPr>
              <w:rPr>
                <w:rFonts w:eastAsia="Times New Roman"/>
              </w:rPr>
            </w:pPr>
            <w:r>
              <w:rPr>
                <w:rFonts w:ascii="Arial" w:eastAsia="Times New Roman" w:hAnsi="Arial" w:cs="Arial"/>
                <w:color w:val="000000"/>
                <w:sz w:val="20"/>
                <w:szCs w:val="20"/>
              </w:rPr>
              <w:t>Decrease in rate of salary increase</w:t>
            </w: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(71)</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1F1FC8">
            <w:pPr>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(15)</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1F1FC8">
            <w:pPr>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(6)</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1F1FC8">
            <w:pPr>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(2)</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r>
      <w:tr w:rsidR="00000000">
        <w:trPr>
          <w:divId w:val="1805730959"/>
        </w:trPr>
        <w:tc>
          <w:tcPr>
            <w:tcW w:w="0" w:type="auto"/>
            <w:gridSpan w:val="3"/>
            <w:tcBorders>
              <w:top w:val="single" w:sz="4" w:space="0" w:color="000000"/>
            </w:tcBorders>
            <w:tcMar>
              <w:top w:w="30" w:type="dxa"/>
              <w:left w:w="20" w:type="dxa"/>
              <w:bottom w:w="30" w:type="dxa"/>
              <w:right w:w="20" w:type="dxa"/>
            </w:tcMar>
            <w:vAlign w:val="bottom"/>
            <w:hideMark/>
          </w:tcPr>
          <w:p w:rsidR="00000000" w:rsidRDefault="001F1FC8">
            <w:pPr>
              <w:rPr>
                <w:rFonts w:eastAsia="Times New Roman"/>
              </w:rPr>
            </w:pPr>
            <w:r>
              <w:rPr>
                <w:rFonts w:ascii="Arial" w:eastAsia="Times New Roman" w:hAnsi="Arial" w:cs="Arial"/>
                <w:b/>
                <w:bCs/>
                <w:color w:val="000000"/>
                <w:sz w:val="20"/>
                <w:szCs w:val="20"/>
              </w:rPr>
              <w:t>OPEB</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1F1FC8">
            <w:pPr>
              <w:rPr>
                <w:rFonts w:eastAsia="Times New Roman"/>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1F1FC8">
            <w:pPr>
              <w:rPr>
                <w:rFonts w:eastAsia="Times New Roman"/>
                <w:sz w:val="20"/>
                <w:szCs w:val="20"/>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1F1FC8">
            <w:pPr>
              <w:rPr>
                <w:rFonts w:eastAsia="Times New Roman"/>
                <w:sz w:val="20"/>
                <w:szCs w:val="20"/>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1F1FC8">
            <w:pPr>
              <w:rPr>
                <w:rFonts w:eastAsia="Times New Roman"/>
                <w:sz w:val="20"/>
                <w:szCs w:val="20"/>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1F1FC8">
            <w:pPr>
              <w:rPr>
                <w:rFonts w:eastAsia="Times New Roman"/>
                <w:sz w:val="20"/>
                <w:szCs w:val="20"/>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1F1FC8">
            <w:pPr>
              <w:rPr>
                <w:rFonts w:eastAsia="Times New Roman"/>
                <w:sz w:val="20"/>
                <w:szCs w:val="20"/>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1F1FC8">
            <w:pPr>
              <w:rPr>
                <w:rFonts w:eastAsia="Times New Roman"/>
                <w:sz w:val="20"/>
                <w:szCs w:val="20"/>
              </w:rPr>
            </w:pPr>
          </w:p>
        </w:tc>
      </w:tr>
      <w:tr w:rsidR="00000000">
        <w:trPr>
          <w:divId w:val="1805730959"/>
        </w:trPr>
        <w:tc>
          <w:tcPr>
            <w:tcW w:w="0" w:type="auto"/>
            <w:gridSpan w:val="3"/>
            <w:tcMar>
              <w:top w:w="30" w:type="dxa"/>
              <w:left w:w="20" w:type="dxa"/>
              <w:bottom w:w="30" w:type="dxa"/>
              <w:right w:w="20" w:type="dxa"/>
            </w:tcMar>
            <w:vAlign w:val="bottom"/>
            <w:hideMark/>
          </w:tcPr>
          <w:p w:rsidR="00000000" w:rsidRDefault="001F1FC8">
            <w:pPr>
              <w:rPr>
                <w:rFonts w:eastAsia="Times New Roman"/>
              </w:rPr>
            </w:pPr>
            <w:r>
              <w:rPr>
                <w:rFonts w:ascii="Arial" w:eastAsia="Times New Roman" w:hAnsi="Arial" w:cs="Arial"/>
                <w:color w:val="000000"/>
                <w:sz w:val="20"/>
                <w:szCs w:val="20"/>
              </w:rPr>
              <w:t>Decrease in discount rate</w:t>
            </w: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21 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1F1FC8">
            <w:pPr>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1 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1F1FC8">
            <w:pPr>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8 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1F1FC8">
            <w:pPr>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r>
      <w:tr w:rsidR="00000000">
        <w:trPr>
          <w:divId w:val="1805730959"/>
        </w:trPr>
        <w:tc>
          <w:tcPr>
            <w:tcW w:w="0" w:type="auto"/>
            <w:gridSpan w:val="3"/>
            <w:tcBorders>
              <w:bottom w:val="single" w:sz="8" w:space="0" w:color="000000"/>
            </w:tcBorders>
            <w:tcMar>
              <w:top w:w="30" w:type="dxa"/>
              <w:left w:w="20" w:type="dxa"/>
              <w:bottom w:w="30" w:type="dxa"/>
              <w:right w:w="20" w:type="dxa"/>
            </w:tcMar>
            <w:vAlign w:val="bottom"/>
            <w:hideMark/>
          </w:tcPr>
          <w:p w:rsidR="00000000" w:rsidRDefault="001F1FC8">
            <w:pPr>
              <w:rPr>
                <w:rFonts w:eastAsia="Times New Roman"/>
              </w:rPr>
            </w:pPr>
            <w:r>
              <w:rPr>
                <w:rFonts w:ascii="Arial" w:eastAsia="Times New Roman" w:hAnsi="Arial" w:cs="Arial"/>
                <w:color w:val="000000"/>
                <w:sz w:val="20"/>
                <w:szCs w:val="20"/>
              </w:rPr>
              <w:t>Decrease in expected return on assets</w:t>
            </w: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 xml:space="preserve"> N/A </w:t>
            </w:r>
          </w:p>
        </w:tc>
        <w:tc>
          <w:tcPr>
            <w:tcW w:w="0" w:type="auto"/>
            <w:gridSpan w:val="3"/>
            <w:tcBorders>
              <w:bottom w:val="single" w:sz="8" w:space="0" w:color="000000"/>
            </w:tcBorders>
            <w:tcMar>
              <w:top w:w="0" w:type="dxa"/>
              <w:left w:w="20" w:type="dxa"/>
              <w:bottom w:w="0" w:type="dxa"/>
              <w:right w:w="20" w:type="dxa"/>
            </w:tcMar>
            <w:vAlign w:val="center"/>
            <w:hideMark/>
          </w:tcPr>
          <w:p w:rsidR="00000000" w:rsidRDefault="001F1FC8">
            <w:pPr>
              <w:jc w:val="right"/>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 xml:space="preserve"> N/A </w:t>
            </w:r>
          </w:p>
        </w:tc>
        <w:tc>
          <w:tcPr>
            <w:tcW w:w="0" w:type="auto"/>
            <w:gridSpan w:val="3"/>
            <w:tcBorders>
              <w:bottom w:val="single" w:sz="8" w:space="0" w:color="000000"/>
            </w:tcBorders>
            <w:tcMar>
              <w:top w:w="0" w:type="dxa"/>
              <w:left w:w="20" w:type="dxa"/>
              <w:bottom w:w="0" w:type="dxa"/>
              <w:right w:w="20" w:type="dxa"/>
            </w:tcMar>
            <w:vAlign w:val="center"/>
            <w:hideMark/>
          </w:tcPr>
          <w:p w:rsidR="00000000" w:rsidRDefault="001F1FC8">
            <w:pPr>
              <w:jc w:val="right"/>
              <w:rPr>
                <w:rFonts w:eastAsia="Times New Roman"/>
              </w:rPr>
            </w:pPr>
          </w:p>
        </w:tc>
        <w:tc>
          <w:tcPr>
            <w:tcW w:w="0" w:type="auto"/>
            <w:gridSpan w:val="2"/>
            <w:tcBorders>
              <w:bottom w:val="single" w:sz="8" w:space="0" w:color="000000"/>
            </w:tcBorders>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 </w:t>
            </w:r>
          </w:p>
        </w:tc>
        <w:tc>
          <w:tcPr>
            <w:tcW w:w="0" w:type="auto"/>
            <w:tcBorders>
              <w:bottom w:val="single" w:sz="8" w:space="0" w:color="000000"/>
            </w:tcBorders>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3"/>
            <w:tcBorders>
              <w:bottom w:val="single" w:sz="8" w:space="0" w:color="000000"/>
            </w:tcBorders>
            <w:tcMar>
              <w:top w:w="0" w:type="dxa"/>
              <w:left w:w="20" w:type="dxa"/>
              <w:bottom w:w="0" w:type="dxa"/>
              <w:right w:w="20" w:type="dxa"/>
            </w:tcMar>
            <w:vAlign w:val="center"/>
            <w:hideMark/>
          </w:tcPr>
          <w:p w:rsidR="00000000" w:rsidRDefault="001F1FC8">
            <w:pPr>
              <w:jc w:val="right"/>
              <w:rPr>
                <w:rFonts w:eastAsia="Times New Roman"/>
                <w:sz w:val="20"/>
                <w:szCs w:val="20"/>
              </w:rPr>
            </w:pPr>
          </w:p>
        </w:tc>
        <w:tc>
          <w:tcPr>
            <w:tcW w:w="0" w:type="auto"/>
            <w:gridSpan w:val="2"/>
            <w:tcBorders>
              <w:bottom w:val="single" w:sz="8" w:space="0" w:color="000000"/>
            </w:tcBorders>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1 </w:t>
            </w:r>
          </w:p>
        </w:tc>
        <w:tc>
          <w:tcPr>
            <w:tcW w:w="0" w:type="auto"/>
            <w:tcBorders>
              <w:bottom w:val="single" w:sz="8" w:space="0" w:color="000000"/>
            </w:tcBorders>
            <w:tcMar>
              <w:top w:w="30" w:type="dxa"/>
              <w:left w:w="0" w:type="dxa"/>
              <w:bottom w:w="30" w:type="dxa"/>
              <w:right w:w="20" w:type="dxa"/>
            </w:tcMar>
            <w:vAlign w:val="bottom"/>
            <w:hideMark/>
          </w:tcPr>
          <w:p w:rsidR="00000000" w:rsidRDefault="001F1FC8">
            <w:pPr>
              <w:jc w:val="right"/>
              <w:rPr>
                <w:rFonts w:eastAsia="Times New Roman"/>
              </w:rPr>
            </w:pPr>
          </w:p>
        </w:tc>
      </w:tr>
    </w:tbl>
    <w:p w:rsidR="00000000" w:rsidRDefault="001F1FC8">
      <w:pPr>
        <w:divId w:val="1015769760"/>
        <w:rPr>
          <w:rFonts w:eastAsia="Times New Roman"/>
        </w:rPr>
      </w:pPr>
    </w:p>
    <w:p w:rsidR="00000000" w:rsidRDefault="001F1FC8">
      <w:pPr>
        <w:jc w:val="center"/>
        <w:divId w:val="669526175"/>
        <w:rPr>
          <w:rFonts w:eastAsia="Times New Roman"/>
        </w:rPr>
      </w:pPr>
      <w:r>
        <w:rPr>
          <w:rFonts w:ascii="Arial" w:eastAsia="Times New Roman" w:hAnsi="Arial" w:cs="Arial"/>
          <w:color w:val="000000"/>
          <w:sz w:val="20"/>
          <w:szCs w:val="20"/>
        </w:rPr>
        <w:t>88</w:t>
      </w:r>
    </w:p>
    <w:p w:rsidR="00000000" w:rsidRDefault="001F1FC8">
      <w:pPr>
        <w:rPr>
          <w:rFonts w:eastAsia="Times New Roman"/>
        </w:rPr>
      </w:pPr>
      <w:r>
        <w:rPr>
          <w:rFonts w:eastAsia="Times New Roman"/>
        </w:rPr>
        <w:pict>
          <v:rect id="_x0000_i1118" style="width:0;height:1.5pt" o:hralign="center" o:hrstd="t" o:hr="t" fillcolor="#a0a0a0" stroked="f"/>
        </w:pict>
      </w:r>
    </w:p>
    <w:p w:rsidR="00000000" w:rsidRDefault="001F1FC8">
      <w:pPr>
        <w:jc w:val="center"/>
        <w:divId w:val="230313068"/>
        <w:rPr>
          <w:rFonts w:eastAsia="Times New Roman"/>
        </w:rPr>
      </w:pPr>
    </w:p>
    <w:p w:rsidR="00000000" w:rsidRDefault="001F1FC8">
      <w:pPr>
        <w:divId w:val="1993482812"/>
        <w:rPr>
          <w:rFonts w:eastAsia="Times New Roman"/>
        </w:rPr>
      </w:pPr>
      <w:r>
        <w:rPr>
          <w:rFonts w:ascii="Arial" w:eastAsia="Times New Roman" w:hAnsi="Arial" w:cs="Arial"/>
          <w:b/>
          <w:bCs/>
          <w:color w:val="000000"/>
          <w:sz w:val="20"/>
          <w:szCs w:val="20"/>
        </w:rPr>
        <w:t>Contingent Liabilities</w:t>
      </w:r>
    </w:p>
    <w:p w:rsidR="00000000" w:rsidRDefault="001F1FC8">
      <w:pPr>
        <w:divId w:val="1701471634"/>
        <w:rPr>
          <w:rFonts w:eastAsia="Times New Roman"/>
        </w:rPr>
      </w:pPr>
      <w:r>
        <w:rPr>
          <w:rFonts w:ascii="Arial" w:eastAsia="Times New Roman" w:hAnsi="Arial" w:cs="Arial"/>
          <w:color w:val="000000"/>
          <w:sz w:val="20"/>
          <w:szCs w:val="20"/>
        </w:rPr>
        <w:t>Provisions for claims filed against us are determined on a case-by-case basis. Case estimates are reviewed on a regular basis and are updated as new information is received. The process of evalua</w:t>
      </w:r>
      <w:r>
        <w:rPr>
          <w:rFonts w:ascii="Arial" w:eastAsia="Times New Roman" w:hAnsi="Arial" w:cs="Arial"/>
          <w:color w:val="000000"/>
          <w:sz w:val="20"/>
          <w:szCs w:val="20"/>
        </w:rPr>
        <w:t>ting claims involves the use of estimates and a high degree of management judgment. Claims outstanding, the final determination of which could have a material impact on our financial results and certain subsidiaries and investments are detailed in Part II.</w:t>
      </w:r>
      <w:r>
        <w:rPr>
          <w:rFonts w:ascii="Arial" w:eastAsia="Times New Roman" w:hAnsi="Arial" w:cs="Arial"/>
          <w:color w:val="000000"/>
          <w:sz w:val="20"/>
          <w:szCs w:val="20"/>
        </w:rPr>
        <w:t xml:space="preserve"> </w:t>
      </w:r>
      <w:r>
        <w:rPr>
          <w:rFonts w:ascii="Arial" w:eastAsia="Times New Roman" w:hAnsi="Arial" w:cs="Arial"/>
          <w:i/>
          <w:iCs/>
          <w:color w:val="000000"/>
          <w:sz w:val="20"/>
          <w:szCs w:val="20"/>
        </w:rPr>
        <w:t>Item 8. Financial Statements and Supplementary Data - Note 30. Commitments and Contingencies</w:t>
      </w:r>
      <w:r>
        <w:rPr>
          <w:rFonts w:ascii="Arial" w:eastAsia="Times New Roman" w:hAnsi="Arial" w:cs="Arial"/>
          <w:color w:val="000000"/>
          <w:sz w:val="20"/>
          <w:szCs w:val="20"/>
        </w:rPr>
        <w:t>. In addition, any unasserted claims that later may become evident could have a material impact on our financial results and certain subsidiaries and investments.</w:t>
      </w:r>
    </w:p>
    <w:p w:rsidR="00000000" w:rsidRDefault="001F1FC8">
      <w:pPr>
        <w:divId w:val="650787601"/>
        <w:rPr>
          <w:rFonts w:eastAsia="Times New Roman"/>
        </w:rPr>
      </w:pPr>
    </w:p>
    <w:p w:rsidR="00000000" w:rsidRDefault="001F1FC8">
      <w:pPr>
        <w:divId w:val="260259787"/>
        <w:rPr>
          <w:rFonts w:eastAsia="Times New Roman"/>
        </w:rPr>
      </w:pPr>
      <w:r>
        <w:rPr>
          <w:rFonts w:ascii="Arial" w:eastAsia="Times New Roman" w:hAnsi="Arial" w:cs="Arial"/>
          <w:b/>
          <w:bCs/>
          <w:color w:val="000000"/>
          <w:sz w:val="20"/>
          <w:szCs w:val="20"/>
        </w:rPr>
        <w:t>Asset Retirement Obligations</w:t>
      </w:r>
    </w:p>
    <w:p w:rsidR="00000000" w:rsidRDefault="001F1FC8">
      <w:pPr>
        <w:divId w:val="2014407071"/>
        <w:rPr>
          <w:rFonts w:eastAsia="Times New Roman"/>
        </w:rPr>
      </w:pPr>
      <w:r>
        <w:rPr>
          <w:rFonts w:ascii="Arial" w:eastAsia="Times New Roman" w:hAnsi="Arial" w:cs="Arial"/>
          <w:color w:val="000000"/>
          <w:sz w:val="20"/>
          <w:szCs w:val="20"/>
        </w:rPr>
        <w:t xml:space="preserve">Asset Retirement Obligations (ARO) associated with the retirement of long-lived assets are measured at fair value and recognized as Accounts payable and other or Other long-term liabilities in the period in which they can be </w:t>
      </w:r>
      <w:r>
        <w:rPr>
          <w:rFonts w:ascii="Arial" w:eastAsia="Times New Roman" w:hAnsi="Arial" w:cs="Arial"/>
          <w:color w:val="000000"/>
          <w:sz w:val="20"/>
          <w:szCs w:val="20"/>
        </w:rPr>
        <w:t>reasonably determined. The fair value approximates the cost a third party would charge to perform the tasks necessary to retire such assets and is recognized at the present value of expected future cash flows. The discount rates used to estimate the presen</w:t>
      </w:r>
      <w:r>
        <w:rPr>
          <w:rFonts w:ascii="Arial" w:eastAsia="Times New Roman" w:hAnsi="Arial" w:cs="Arial"/>
          <w:color w:val="000000"/>
          <w:sz w:val="20"/>
          <w:szCs w:val="20"/>
        </w:rPr>
        <w:t>t value of the expected future cash flows for the year ended December 31, 2021 ranged from 0.9% to 9.0% (2020 - 1.8% to 9.0%). ARO is added to the carrying value of the associated asset and depreciated over the asset’s useful life. The corresponding liabil</w:t>
      </w:r>
      <w:r>
        <w:rPr>
          <w:rFonts w:ascii="Arial" w:eastAsia="Times New Roman" w:hAnsi="Arial" w:cs="Arial"/>
          <w:color w:val="000000"/>
          <w:sz w:val="20"/>
          <w:szCs w:val="20"/>
        </w:rPr>
        <w:t>ity is accreted over time through charges to earnings and is reduced by actual costs of decommissioning and reclamation. Our estimates of retirement costs could change as a result of changes in cost estimates and regulatory requirements. Currently, for the</w:t>
      </w:r>
      <w:r>
        <w:rPr>
          <w:rFonts w:ascii="Arial" w:eastAsia="Times New Roman" w:hAnsi="Arial" w:cs="Arial"/>
          <w:color w:val="000000"/>
          <w:sz w:val="20"/>
          <w:szCs w:val="20"/>
        </w:rPr>
        <w:t xml:space="preserve"> majority of our assets, there is insufficient data or information to reasonably determine the timing of settlement for estimating the fair value of the ARO. In these cases, the ARO cost is considered indeterminate for accounting purposes, as there is no d</w:t>
      </w:r>
      <w:r>
        <w:rPr>
          <w:rFonts w:ascii="Arial" w:eastAsia="Times New Roman" w:hAnsi="Arial" w:cs="Arial"/>
          <w:color w:val="000000"/>
          <w:sz w:val="20"/>
          <w:szCs w:val="20"/>
        </w:rPr>
        <w:t>ata or information that can be derived from past practice, industry practice or the estimated economic life of the asset.</w:t>
      </w:r>
    </w:p>
    <w:p w:rsidR="00000000" w:rsidRDefault="001F1FC8">
      <w:pPr>
        <w:divId w:val="264578200"/>
        <w:rPr>
          <w:rFonts w:eastAsia="Times New Roman"/>
        </w:rPr>
      </w:pPr>
    </w:p>
    <w:p w:rsidR="00000000" w:rsidRDefault="001F1FC8">
      <w:pPr>
        <w:divId w:val="357065"/>
        <w:rPr>
          <w:rFonts w:eastAsia="Times New Roman"/>
        </w:rPr>
      </w:pPr>
      <w:r>
        <w:rPr>
          <w:rFonts w:ascii="Arial" w:eastAsia="Times New Roman" w:hAnsi="Arial" w:cs="Arial"/>
          <w:color w:val="000000"/>
          <w:sz w:val="20"/>
          <w:szCs w:val="20"/>
        </w:rPr>
        <w:t>In 2009, the CER issued a decision related to the LMCI, which required holders of an authorization to operate a pipeline under the C</w:t>
      </w:r>
      <w:r>
        <w:rPr>
          <w:rFonts w:ascii="Arial" w:eastAsia="Times New Roman" w:hAnsi="Arial" w:cs="Arial"/>
          <w:color w:val="000000"/>
          <w:sz w:val="20"/>
          <w:szCs w:val="20"/>
        </w:rPr>
        <w:t>ER Act to file a proposed process and mechanism to set aside funds to pay for future abandonment costs in respect of the sites in Canada used for the operation of a pipeline. The CER's decision stated that while pipeline companies are ultimately responsibl</w:t>
      </w:r>
      <w:r>
        <w:rPr>
          <w:rFonts w:ascii="Arial" w:eastAsia="Times New Roman" w:hAnsi="Arial" w:cs="Arial"/>
          <w:color w:val="000000"/>
          <w:sz w:val="20"/>
          <w:szCs w:val="20"/>
        </w:rPr>
        <w:t>e for the full costs of abandoning pipelines, abandonment costs are a legitimate cost of providing service and are recoverable from the users of the pipeline upon approval by the CER. Following the CER's final approval of the collection mechanism and the s</w:t>
      </w:r>
      <w:r>
        <w:rPr>
          <w:rFonts w:ascii="Arial" w:eastAsia="Times New Roman" w:hAnsi="Arial" w:cs="Arial"/>
          <w:color w:val="000000"/>
          <w:sz w:val="20"/>
          <w:szCs w:val="20"/>
        </w:rPr>
        <w:t xml:space="preserve">et-aside mechanism for LMCI, we began collecting and setting aside funds to cover future abandonment costs effective January 1, 2015. The funds collected are held in trust in accordance with the CER decision. The funds collected from shippers are reported </w:t>
      </w:r>
      <w:r>
        <w:rPr>
          <w:rFonts w:ascii="Arial" w:eastAsia="Times New Roman" w:hAnsi="Arial" w:cs="Arial"/>
          <w:color w:val="000000"/>
          <w:sz w:val="20"/>
          <w:szCs w:val="20"/>
        </w:rPr>
        <w:t>within Transportation and other services revenues and Restricted long-term investments. Concurrently, we reflect the future abandonment cost as an increase to Operating and administrative expense and Other long-term liabilities.</w:t>
      </w:r>
    </w:p>
    <w:p w:rsidR="00000000" w:rsidRDefault="001F1FC8">
      <w:pPr>
        <w:divId w:val="735468020"/>
        <w:rPr>
          <w:rFonts w:eastAsia="Times New Roman"/>
        </w:rPr>
      </w:pPr>
    </w:p>
    <w:p w:rsidR="00000000" w:rsidRDefault="001F1FC8">
      <w:pPr>
        <w:divId w:val="173302959"/>
        <w:rPr>
          <w:rFonts w:eastAsia="Times New Roman"/>
        </w:rPr>
      </w:pPr>
      <w:r>
        <w:rPr>
          <w:rFonts w:ascii="Arial" w:eastAsia="Times New Roman" w:hAnsi="Arial" w:cs="Arial"/>
          <w:color w:val="000000"/>
          <w:sz w:val="20"/>
          <w:szCs w:val="20"/>
        </w:rPr>
        <w:t>The Minnesota Public Util</w:t>
      </w:r>
      <w:r>
        <w:rPr>
          <w:rFonts w:ascii="Arial" w:eastAsia="Times New Roman" w:hAnsi="Arial" w:cs="Arial"/>
          <w:color w:val="000000"/>
          <w:sz w:val="20"/>
          <w:szCs w:val="20"/>
        </w:rPr>
        <w:t>ities Commission (MPUC), in its June 28, 2018 decision granting the Line 3 Replacement Project’s Certificate of Need, required Enbridge to establish and fund a decommissioning trust (Decommissioning Trust Fund) for the purpose of funding the cost of retiri</w:t>
      </w:r>
      <w:r>
        <w:rPr>
          <w:rFonts w:ascii="Arial" w:eastAsia="Times New Roman" w:hAnsi="Arial" w:cs="Arial"/>
          <w:color w:val="000000"/>
          <w:sz w:val="20"/>
          <w:szCs w:val="20"/>
        </w:rPr>
        <w:t>ng Line 3 Replacement Project assets at the end of their useful lives. Further to the Certificate of Need decision, in late 2021 the MPUC established a process for the purpose of determining the terms and conditions of the Decommissioning Trust Fund. Enbri</w:t>
      </w:r>
      <w:r>
        <w:rPr>
          <w:rFonts w:ascii="Arial" w:eastAsia="Times New Roman" w:hAnsi="Arial" w:cs="Arial"/>
          <w:color w:val="000000"/>
          <w:sz w:val="20"/>
          <w:szCs w:val="20"/>
        </w:rPr>
        <w:t>dge anticipates this MPUC process to be completed in 2022, with a decision from the MPUC in the second half of 2022. Enbridge expects to recover contributions necessary to fund the Decommissioning Trust Fund from its shippers through rates.</w:t>
      </w:r>
    </w:p>
    <w:p w:rsidR="00000000" w:rsidRDefault="001F1FC8">
      <w:pPr>
        <w:divId w:val="962929789"/>
        <w:rPr>
          <w:rFonts w:eastAsia="Times New Roman"/>
        </w:rPr>
      </w:pPr>
    </w:p>
    <w:p w:rsidR="00000000" w:rsidRDefault="001F1FC8">
      <w:pPr>
        <w:divId w:val="1819419898"/>
        <w:rPr>
          <w:rFonts w:eastAsia="Times New Roman"/>
        </w:rPr>
      </w:pPr>
      <w:r>
        <w:rPr>
          <w:rFonts w:ascii="Arial" w:eastAsia="Times New Roman" w:hAnsi="Arial" w:cs="Arial"/>
          <w:b/>
          <w:bCs/>
          <w:color w:val="000000"/>
          <w:sz w:val="26"/>
          <w:szCs w:val="26"/>
        </w:rPr>
        <w:t>CHANGES IN AC</w:t>
      </w:r>
      <w:r>
        <w:rPr>
          <w:rFonts w:ascii="Arial" w:eastAsia="Times New Roman" w:hAnsi="Arial" w:cs="Arial"/>
          <w:b/>
          <w:bCs/>
          <w:color w:val="000000"/>
          <w:sz w:val="26"/>
          <w:szCs w:val="26"/>
        </w:rPr>
        <w:t>COUNTING POLICIES</w:t>
      </w:r>
    </w:p>
    <w:p w:rsidR="00000000" w:rsidRDefault="001F1FC8">
      <w:pPr>
        <w:divId w:val="242615311"/>
        <w:rPr>
          <w:rFonts w:eastAsia="Times New Roman"/>
        </w:rPr>
      </w:pPr>
    </w:p>
    <w:p w:rsidR="00000000" w:rsidRDefault="001F1FC8">
      <w:pPr>
        <w:divId w:val="1076822495"/>
        <w:rPr>
          <w:rFonts w:eastAsia="Times New Roman"/>
        </w:rPr>
      </w:pPr>
      <w:r>
        <w:rPr>
          <w:rFonts w:ascii="Arial" w:eastAsia="Times New Roman" w:hAnsi="Arial" w:cs="Arial"/>
          <w:color w:val="000000"/>
          <w:sz w:val="20"/>
          <w:szCs w:val="20"/>
        </w:rPr>
        <w:t xml:space="preserve">Refer to Part II. </w:t>
      </w:r>
      <w:r>
        <w:rPr>
          <w:rFonts w:ascii="Arial" w:eastAsia="Times New Roman" w:hAnsi="Arial" w:cs="Arial"/>
          <w:i/>
          <w:iCs/>
          <w:color w:val="000000"/>
          <w:sz w:val="20"/>
          <w:szCs w:val="20"/>
        </w:rPr>
        <w:t>Item 8. Financial Statements and Supplementary Data - Note 3. Changes in Accounting Policies</w:t>
      </w:r>
      <w:r>
        <w:rPr>
          <w:rFonts w:ascii="Arial" w:eastAsia="Times New Roman" w:hAnsi="Arial" w:cs="Arial"/>
          <w:color w:val="000000"/>
          <w:sz w:val="20"/>
          <w:szCs w:val="20"/>
        </w:rPr>
        <w:t>.</w:t>
      </w:r>
    </w:p>
    <w:p w:rsidR="00000000" w:rsidRDefault="001F1FC8">
      <w:pPr>
        <w:divId w:val="1428581366"/>
        <w:rPr>
          <w:rFonts w:eastAsia="Times New Roman"/>
        </w:rPr>
      </w:pPr>
    </w:p>
    <w:p w:rsidR="00000000" w:rsidRDefault="001F1FC8">
      <w:pPr>
        <w:jc w:val="center"/>
        <w:divId w:val="1507818585"/>
        <w:rPr>
          <w:rFonts w:eastAsia="Times New Roman"/>
        </w:rPr>
      </w:pPr>
      <w:r>
        <w:rPr>
          <w:rFonts w:ascii="Arial" w:eastAsia="Times New Roman" w:hAnsi="Arial" w:cs="Arial"/>
          <w:color w:val="000000"/>
          <w:sz w:val="20"/>
          <w:szCs w:val="20"/>
        </w:rPr>
        <w:t>89</w:t>
      </w:r>
    </w:p>
    <w:p w:rsidR="00000000" w:rsidRDefault="001F1FC8">
      <w:pPr>
        <w:rPr>
          <w:rFonts w:eastAsia="Times New Roman"/>
        </w:rPr>
      </w:pPr>
      <w:r>
        <w:rPr>
          <w:rFonts w:eastAsia="Times New Roman"/>
        </w:rPr>
        <w:pict>
          <v:rect id="_x0000_i1119" style="width:0;height:1.5pt" o:hralign="center" o:hrstd="t" o:hr="t" fillcolor="#a0a0a0" stroked="f"/>
        </w:pict>
      </w:r>
    </w:p>
    <w:p w:rsidR="00000000" w:rsidRDefault="001F1FC8">
      <w:pPr>
        <w:jc w:val="center"/>
        <w:divId w:val="1016616926"/>
        <w:rPr>
          <w:rFonts w:eastAsia="Times New Roman"/>
        </w:rPr>
      </w:pPr>
    </w:p>
    <w:p w:rsidR="00000000" w:rsidRDefault="001F1FC8">
      <w:pPr>
        <w:divId w:val="2130001977"/>
        <w:rPr>
          <w:rFonts w:eastAsia="Times New Roman"/>
        </w:rPr>
      </w:pPr>
      <w:r>
        <w:rPr>
          <w:rFonts w:ascii="Arial" w:eastAsia="Times New Roman" w:hAnsi="Arial" w:cs="Arial"/>
          <w:b/>
          <w:bCs/>
          <w:color w:val="000000"/>
          <w:sz w:val="28"/>
          <w:szCs w:val="28"/>
        </w:rPr>
        <w:t>ITEM 7A. QUANTITATIVE AND QUALITATIVE DISCLOSURES ABOUT MARKET RISK</w:t>
      </w:r>
    </w:p>
    <w:p w:rsidR="00000000" w:rsidRDefault="001F1FC8">
      <w:pPr>
        <w:divId w:val="1607957336"/>
        <w:rPr>
          <w:rFonts w:eastAsia="Times New Roman"/>
        </w:rPr>
      </w:pPr>
    </w:p>
    <w:p w:rsidR="00000000" w:rsidRDefault="001F1FC8">
      <w:pPr>
        <w:divId w:val="429081754"/>
        <w:rPr>
          <w:rFonts w:eastAsia="Times New Roman"/>
        </w:rPr>
      </w:pPr>
      <w:r>
        <w:rPr>
          <w:rFonts w:ascii="Arial" w:eastAsia="Times New Roman" w:hAnsi="Arial" w:cs="Arial"/>
          <w:color w:val="000000"/>
          <w:sz w:val="20"/>
          <w:szCs w:val="20"/>
        </w:rPr>
        <w:t>Our earnings, cash flows and other comprehensive income (OCI) are subject to movements in foreign exchange rates, interest rates, commodity prices and our share price.</w:t>
      </w:r>
    </w:p>
    <w:p w:rsidR="00000000" w:rsidRDefault="001F1FC8">
      <w:pPr>
        <w:divId w:val="1777627464"/>
        <w:rPr>
          <w:rFonts w:eastAsia="Times New Roman"/>
        </w:rPr>
      </w:pPr>
    </w:p>
    <w:p w:rsidR="00000000" w:rsidRDefault="001F1FC8">
      <w:pPr>
        <w:divId w:val="1931428969"/>
        <w:rPr>
          <w:rFonts w:eastAsia="Times New Roman"/>
        </w:rPr>
      </w:pPr>
      <w:r>
        <w:rPr>
          <w:rFonts w:ascii="Arial" w:eastAsia="Times New Roman" w:hAnsi="Arial" w:cs="Arial"/>
          <w:color w:val="000000"/>
          <w:sz w:val="20"/>
          <w:szCs w:val="20"/>
        </w:rPr>
        <w:t>The following su</w:t>
      </w:r>
      <w:r>
        <w:rPr>
          <w:rFonts w:ascii="Arial" w:eastAsia="Times New Roman" w:hAnsi="Arial" w:cs="Arial"/>
          <w:color w:val="000000"/>
          <w:sz w:val="20"/>
          <w:szCs w:val="20"/>
        </w:rPr>
        <w:t xml:space="preserve">mmarizes the types of market risks to which we are exposed and the risk management instruments used to mitigate them. We use a combination of qualifying and non-qualifying derivative instruments to manage the risks noted below. </w:t>
      </w:r>
    </w:p>
    <w:p w:rsidR="00000000" w:rsidRDefault="001F1FC8">
      <w:pPr>
        <w:divId w:val="2082171998"/>
        <w:rPr>
          <w:rFonts w:eastAsia="Times New Roman"/>
        </w:rPr>
      </w:pPr>
      <w:r>
        <w:rPr>
          <w:rFonts w:ascii="Arial" w:eastAsia="Times New Roman" w:hAnsi="Arial" w:cs="Arial"/>
          <w:color w:val="000000"/>
          <w:sz w:val="20"/>
          <w:szCs w:val="20"/>
        </w:rPr>
        <w:t> </w:t>
      </w:r>
    </w:p>
    <w:p w:rsidR="00000000" w:rsidRDefault="001F1FC8">
      <w:pPr>
        <w:divId w:val="35586499"/>
        <w:rPr>
          <w:rFonts w:eastAsia="Times New Roman"/>
        </w:rPr>
      </w:pPr>
      <w:r>
        <w:rPr>
          <w:rFonts w:ascii="Arial" w:eastAsia="Times New Roman" w:hAnsi="Arial" w:cs="Arial"/>
          <w:b/>
          <w:bCs/>
          <w:color w:val="000000"/>
          <w:sz w:val="20"/>
          <w:szCs w:val="20"/>
        </w:rPr>
        <w:t>Foreign Exchange Risk</w:t>
      </w:r>
    </w:p>
    <w:p w:rsidR="00000000" w:rsidRDefault="001F1FC8">
      <w:pPr>
        <w:divId w:val="400098588"/>
        <w:rPr>
          <w:rFonts w:eastAsia="Times New Roman"/>
        </w:rPr>
      </w:pPr>
      <w:r>
        <w:rPr>
          <w:rFonts w:ascii="Arial" w:eastAsia="Times New Roman" w:hAnsi="Arial" w:cs="Arial"/>
          <w:color w:val="000000"/>
          <w:sz w:val="20"/>
          <w:szCs w:val="20"/>
        </w:rPr>
        <w:t xml:space="preserve">We </w:t>
      </w:r>
      <w:r>
        <w:rPr>
          <w:rFonts w:ascii="Arial" w:eastAsia="Times New Roman" w:hAnsi="Arial" w:cs="Arial"/>
          <w:color w:val="000000"/>
          <w:sz w:val="20"/>
          <w:szCs w:val="20"/>
        </w:rPr>
        <w:t>generate certain revenues, incur expenses and hold a number of investments and subsidiaries that are denominated in currencies other than Canadian dollars. As a result, our earnings, cash flows and OCI are exposed to fluctuations resulting from foreign exc</w:t>
      </w:r>
      <w:r>
        <w:rPr>
          <w:rFonts w:ascii="Arial" w:eastAsia="Times New Roman" w:hAnsi="Arial" w:cs="Arial"/>
          <w:color w:val="000000"/>
          <w:sz w:val="20"/>
          <w:szCs w:val="20"/>
        </w:rPr>
        <w:t>hange rate variability.</w:t>
      </w:r>
    </w:p>
    <w:p w:rsidR="00000000" w:rsidRDefault="001F1FC8">
      <w:pPr>
        <w:divId w:val="7412989"/>
        <w:rPr>
          <w:rFonts w:eastAsia="Times New Roman"/>
        </w:rPr>
      </w:pPr>
      <w:r>
        <w:rPr>
          <w:rFonts w:ascii="Arial" w:eastAsia="Times New Roman" w:hAnsi="Arial" w:cs="Arial"/>
          <w:color w:val="000000"/>
          <w:sz w:val="20"/>
          <w:szCs w:val="20"/>
        </w:rPr>
        <w:t> </w:t>
      </w:r>
    </w:p>
    <w:p w:rsidR="00000000" w:rsidRDefault="001F1FC8">
      <w:pPr>
        <w:divId w:val="641348142"/>
        <w:rPr>
          <w:rFonts w:eastAsia="Times New Roman"/>
        </w:rPr>
      </w:pPr>
      <w:r>
        <w:rPr>
          <w:rFonts w:ascii="Arial" w:eastAsia="Times New Roman" w:hAnsi="Arial" w:cs="Arial"/>
          <w:color w:val="000000"/>
          <w:sz w:val="20"/>
          <w:szCs w:val="20"/>
        </w:rPr>
        <w:t>We employ financial derivative instruments to hedge foreign currency denominated earnings exposure. A combination of qualifying and non-qualifying derivative instruments is used to hedge anticipated foreign currency denominated re</w:t>
      </w:r>
      <w:r>
        <w:rPr>
          <w:rFonts w:ascii="Arial" w:eastAsia="Times New Roman" w:hAnsi="Arial" w:cs="Arial"/>
          <w:color w:val="000000"/>
          <w:sz w:val="20"/>
          <w:szCs w:val="20"/>
        </w:rPr>
        <w:t>venues and expenses and to manage variability in cash flows. We hedge certain net investments in US dollar denominated investments and subsidiaries using foreign currency derivatives and US dollar denominated debt.</w:t>
      </w:r>
    </w:p>
    <w:p w:rsidR="00000000" w:rsidRDefault="001F1FC8">
      <w:pPr>
        <w:divId w:val="751586062"/>
        <w:rPr>
          <w:rFonts w:eastAsia="Times New Roman"/>
        </w:rPr>
      </w:pPr>
      <w:r>
        <w:rPr>
          <w:rFonts w:ascii="Arial" w:eastAsia="Times New Roman" w:hAnsi="Arial" w:cs="Arial"/>
          <w:color w:val="000000"/>
          <w:sz w:val="20"/>
          <w:szCs w:val="20"/>
        </w:rPr>
        <w:t> </w:t>
      </w:r>
    </w:p>
    <w:p w:rsidR="00000000" w:rsidRDefault="001F1FC8">
      <w:pPr>
        <w:divId w:val="2045523712"/>
        <w:rPr>
          <w:rFonts w:eastAsia="Times New Roman"/>
        </w:rPr>
      </w:pPr>
      <w:r>
        <w:rPr>
          <w:rFonts w:ascii="Arial" w:eastAsia="Times New Roman" w:hAnsi="Arial" w:cs="Arial"/>
          <w:b/>
          <w:bCs/>
          <w:color w:val="000000"/>
          <w:sz w:val="20"/>
          <w:szCs w:val="20"/>
        </w:rPr>
        <w:t>Interest Rate Risk</w:t>
      </w:r>
    </w:p>
    <w:p w:rsidR="00000000" w:rsidRDefault="001F1FC8">
      <w:pPr>
        <w:divId w:val="178396584"/>
        <w:rPr>
          <w:rFonts w:eastAsia="Times New Roman"/>
        </w:rPr>
      </w:pPr>
      <w:r>
        <w:rPr>
          <w:rFonts w:ascii="Arial" w:eastAsia="Times New Roman" w:hAnsi="Arial" w:cs="Arial"/>
          <w:color w:val="000000"/>
          <w:sz w:val="20"/>
          <w:szCs w:val="20"/>
        </w:rPr>
        <w:t>Our earnings and cas</w:t>
      </w:r>
      <w:r>
        <w:rPr>
          <w:rFonts w:ascii="Arial" w:eastAsia="Times New Roman" w:hAnsi="Arial" w:cs="Arial"/>
          <w:color w:val="000000"/>
          <w:sz w:val="20"/>
          <w:szCs w:val="20"/>
        </w:rPr>
        <w:t>h flows are exposed to short-term interest rate variability due to the regular repricing of our variable rate debt, primarily commercial paper. We monitor our debt portfolio mix of fixed and variable rate debt instruments to manage a consolidated portfolio</w:t>
      </w:r>
      <w:r>
        <w:rPr>
          <w:rFonts w:ascii="Arial" w:eastAsia="Times New Roman" w:hAnsi="Arial" w:cs="Arial"/>
          <w:color w:val="000000"/>
          <w:sz w:val="20"/>
          <w:szCs w:val="20"/>
        </w:rPr>
        <w:t xml:space="preserve"> of floating rate debt within the Board of Directors approved policy limit of a maximum of 30% of floating rate debt as a percentage of total debt outstanding. We primarily use qualifying derivative instruments to manage interest rate risk. Pay fixed-recei</w:t>
      </w:r>
      <w:r>
        <w:rPr>
          <w:rFonts w:ascii="Arial" w:eastAsia="Times New Roman" w:hAnsi="Arial" w:cs="Arial"/>
          <w:color w:val="000000"/>
          <w:sz w:val="20"/>
          <w:szCs w:val="20"/>
        </w:rPr>
        <w:t>ve floating interest rate swaps may be used to hedge against the effect of future interest rate movements. We have implemented a program to mitigate the impact of short-term interest rate volatility on interest expense via execution of floating to fixed in</w:t>
      </w:r>
      <w:r>
        <w:rPr>
          <w:rFonts w:ascii="Arial" w:eastAsia="Times New Roman" w:hAnsi="Arial" w:cs="Arial"/>
          <w:color w:val="000000"/>
          <w:sz w:val="20"/>
          <w:szCs w:val="20"/>
        </w:rPr>
        <w:t xml:space="preserve">terest rate swaps with an average swap rate of 3.9%. </w:t>
      </w:r>
    </w:p>
    <w:p w:rsidR="00000000" w:rsidRDefault="001F1FC8">
      <w:pPr>
        <w:divId w:val="1063328840"/>
        <w:rPr>
          <w:rFonts w:eastAsia="Times New Roman"/>
        </w:rPr>
      </w:pPr>
    </w:p>
    <w:p w:rsidR="00000000" w:rsidRDefault="001F1FC8">
      <w:pPr>
        <w:divId w:val="50077068"/>
        <w:rPr>
          <w:rFonts w:eastAsia="Times New Roman"/>
        </w:rPr>
      </w:pPr>
      <w:r>
        <w:rPr>
          <w:rFonts w:ascii="Arial" w:eastAsia="Times New Roman" w:hAnsi="Arial" w:cs="Arial"/>
          <w:color w:val="000000"/>
          <w:sz w:val="20"/>
          <w:szCs w:val="20"/>
        </w:rPr>
        <w:t xml:space="preserve">We are exposed to changes in the fair value of fixed rate debt that arise as a result of changes in market interest rates. Pay floating-receive fixed interest rate swaps are used, when applicable, to hedge against future changes to the fair value of fixed </w:t>
      </w:r>
      <w:r>
        <w:rPr>
          <w:rFonts w:ascii="Arial" w:eastAsia="Times New Roman" w:hAnsi="Arial" w:cs="Arial"/>
          <w:color w:val="000000"/>
          <w:sz w:val="20"/>
          <w:szCs w:val="20"/>
        </w:rPr>
        <w:t xml:space="preserve">rate debt which mitigates the impact of fluctuations in fair value via execution of fixed to floating interest rate swaps. As at December 31, 2021, we do not have any pay floating-receive fixed interest rate swaps outstanding. </w:t>
      </w:r>
    </w:p>
    <w:p w:rsidR="00000000" w:rsidRDefault="001F1FC8">
      <w:pPr>
        <w:divId w:val="28991452"/>
        <w:rPr>
          <w:rFonts w:eastAsia="Times New Roman"/>
        </w:rPr>
      </w:pPr>
    </w:p>
    <w:p w:rsidR="00000000" w:rsidRDefault="001F1FC8">
      <w:pPr>
        <w:divId w:val="685911245"/>
        <w:rPr>
          <w:rFonts w:eastAsia="Times New Roman"/>
        </w:rPr>
      </w:pPr>
      <w:r>
        <w:rPr>
          <w:rFonts w:ascii="Arial" w:eastAsia="Times New Roman" w:hAnsi="Arial" w:cs="Arial"/>
          <w:color w:val="000000"/>
          <w:sz w:val="20"/>
          <w:szCs w:val="20"/>
        </w:rPr>
        <w:t>Our earnings and cash flow</w:t>
      </w:r>
      <w:r>
        <w:rPr>
          <w:rFonts w:ascii="Arial" w:eastAsia="Times New Roman" w:hAnsi="Arial" w:cs="Arial"/>
          <w:color w:val="000000"/>
          <w:sz w:val="20"/>
          <w:szCs w:val="20"/>
        </w:rPr>
        <w:t xml:space="preserve">s are also exposed to variability in longer term interest rates ahead of anticipated fixed rate term debt issuances. Forward starting interest rate swaps are used to hedge against the effect of future interest rate movements. We have established a program </w:t>
      </w:r>
      <w:r>
        <w:rPr>
          <w:rFonts w:ascii="Arial" w:eastAsia="Times New Roman" w:hAnsi="Arial" w:cs="Arial"/>
          <w:color w:val="000000"/>
          <w:sz w:val="20"/>
          <w:szCs w:val="20"/>
        </w:rPr>
        <w:t>including some of our subsidiaries to mitigate our exposure to long-term interest rate variability on select forecast term debt issuances via execution of floating to fixed interest rate swaps with an average swap rate of 2.0%.</w:t>
      </w:r>
    </w:p>
    <w:p w:rsidR="00000000" w:rsidRDefault="001F1FC8">
      <w:pPr>
        <w:divId w:val="1540438981"/>
        <w:rPr>
          <w:rFonts w:eastAsia="Times New Roman"/>
        </w:rPr>
      </w:pPr>
      <w:r>
        <w:rPr>
          <w:rFonts w:ascii="Arial" w:eastAsia="Times New Roman" w:hAnsi="Arial" w:cs="Arial"/>
          <w:color w:val="000000"/>
          <w:sz w:val="20"/>
          <w:szCs w:val="20"/>
        </w:rPr>
        <w:t> </w:t>
      </w:r>
    </w:p>
    <w:p w:rsidR="00000000" w:rsidRDefault="001F1FC8">
      <w:pPr>
        <w:divId w:val="284821045"/>
        <w:rPr>
          <w:rFonts w:eastAsia="Times New Roman"/>
        </w:rPr>
      </w:pPr>
      <w:r>
        <w:rPr>
          <w:rFonts w:ascii="Arial" w:eastAsia="Times New Roman" w:hAnsi="Arial" w:cs="Arial"/>
          <w:b/>
          <w:bCs/>
          <w:color w:val="000000"/>
          <w:sz w:val="20"/>
          <w:szCs w:val="20"/>
        </w:rPr>
        <w:t>Commodity Price Risk</w:t>
      </w:r>
    </w:p>
    <w:p w:rsidR="00000000" w:rsidRDefault="001F1FC8">
      <w:pPr>
        <w:divId w:val="387262886"/>
        <w:rPr>
          <w:rFonts w:eastAsia="Times New Roman"/>
        </w:rPr>
      </w:pPr>
      <w:r>
        <w:rPr>
          <w:rFonts w:ascii="Arial" w:eastAsia="Times New Roman" w:hAnsi="Arial" w:cs="Arial"/>
          <w:color w:val="000000"/>
          <w:sz w:val="20"/>
          <w:szCs w:val="20"/>
        </w:rPr>
        <w:t>Our e</w:t>
      </w:r>
      <w:r>
        <w:rPr>
          <w:rFonts w:ascii="Arial" w:eastAsia="Times New Roman" w:hAnsi="Arial" w:cs="Arial"/>
          <w:color w:val="000000"/>
          <w:sz w:val="20"/>
          <w:szCs w:val="20"/>
        </w:rPr>
        <w:t xml:space="preserve">arnings and cash flows are exposed to changes in commodity prices as a result of our ownership interests in certain assets and investments, as well as through the activities of our energy services subsidiaries. These commodities include natural gas, crude </w:t>
      </w:r>
      <w:r>
        <w:rPr>
          <w:rFonts w:ascii="Arial" w:eastAsia="Times New Roman" w:hAnsi="Arial" w:cs="Arial"/>
          <w:color w:val="000000"/>
          <w:sz w:val="20"/>
          <w:szCs w:val="20"/>
        </w:rPr>
        <w:t>oil, power and NGL. We employ financial and physical derivative instruments to fix a portion of the variable price exposures that arise from physical transactions involving these commodities. We use primarily non-qualifying derivative instruments to manage</w:t>
      </w:r>
      <w:r>
        <w:rPr>
          <w:rFonts w:ascii="Arial" w:eastAsia="Times New Roman" w:hAnsi="Arial" w:cs="Arial"/>
          <w:color w:val="000000"/>
          <w:sz w:val="20"/>
          <w:szCs w:val="20"/>
        </w:rPr>
        <w:t xml:space="preserve"> commodity price risk.</w:t>
      </w:r>
    </w:p>
    <w:p w:rsidR="00000000" w:rsidRDefault="001F1FC8">
      <w:pPr>
        <w:divId w:val="1477644401"/>
        <w:rPr>
          <w:rFonts w:eastAsia="Times New Roman"/>
        </w:rPr>
      </w:pPr>
      <w:r>
        <w:rPr>
          <w:rFonts w:ascii="Arial" w:eastAsia="Times New Roman" w:hAnsi="Arial" w:cs="Arial"/>
          <w:color w:val="000000"/>
          <w:sz w:val="20"/>
          <w:szCs w:val="20"/>
        </w:rPr>
        <w:t> </w:t>
      </w:r>
    </w:p>
    <w:p w:rsidR="00000000" w:rsidRDefault="001F1FC8">
      <w:pPr>
        <w:jc w:val="center"/>
        <w:divId w:val="1081295303"/>
        <w:rPr>
          <w:rFonts w:eastAsia="Times New Roman"/>
        </w:rPr>
      </w:pPr>
      <w:r>
        <w:rPr>
          <w:rFonts w:ascii="Arial" w:eastAsia="Times New Roman" w:hAnsi="Arial" w:cs="Arial"/>
          <w:color w:val="000000"/>
          <w:sz w:val="20"/>
          <w:szCs w:val="20"/>
        </w:rPr>
        <w:t>90</w:t>
      </w:r>
    </w:p>
    <w:p w:rsidR="00000000" w:rsidRDefault="001F1FC8">
      <w:pPr>
        <w:rPr>
          <w:rFonts w:eastAsia="Times New Roman"/>
        </w:rPr>
      </w:pPr>
      <w:r>
        <w:rPr>
          <w:rFonts w:eastAsia="Times New Roman"/>
        </w:rPr>
        <w:pict>
          <v:rect id="_x0000_i1120" style="width:0;height:1.5pt" o:hralign="center" o:hrstd="t" o:hr="t" fillcolor="#a0a0a0" stroked="f"/>
        </w:pict>
      </w:r>
    </w:p>
    <w:p w:rsidR="00000000" w:rsidRDefault="001F1FC8">
      <w:pPr>
        <w:jc w:val="center"/>
        <w:divId w:val="1631788948"/>
        <w:rPr>
          <w:rFonts w:eastAsia="Times New Roman"/>
        </w:rPr>
      </w:pPr>
    </w:p>
    <w:p w:rsidR="00000000" w:rsidRDefault="001F1FC8">
      <w:pPr>
        <w:divId w:val="327440737"/>
        <w:rPr>
          <w:rFonts w:eastAsia="Times New Roman"/>
        </w:rPr>
      </w:pPr>
      <w:r>
        <w:rPr>
          <w:rFonts w:ascii="Arial" w:eastAsia="Times New Roman" w:hAnsi="Arial" w:cs="Arial"/>
          <w:b/>
          <w:bCs/>
          <w:color w:val="000000"/>
          <w:sz w:val="20"/>
          <w:szCs w:val="20"/>
        </w:rPr>
        <w:t>Equity Price Risk</w:t>
      </w:r>
    </w:p>
    <w:p w:rsidR="00000000" w:rsidRDefault="001F1FC8">
      <w:pPr>
        <w:divId w:val="38211214"/>
        <w:rPr>
          <w:rFonts w:eastAsia="Times New Roman"/>
        </w:rPr>
      </w:pPr>
      <w:r>
        <w:rPr>
          <w:rFonts w:ascii="Arial" w:eastAsia="Times New Roman" w:hAnsi="Arial" w:cs="Arial"/>
          <w:color w:val="000000"/>
          <w:sz w:val="20"/>
          <w:szCs w:val="20"/>
        </w:rPr>
        <w:t>Equity price risk is the risk of earnings fluctuations due to changes in our share price. We have exposure to our own common share price through the issuance of various for</w:t>
      </w:r>
      <w:r>
        <w:rPr>
          <w:rFonts w:ascii="Arial" w:eastAsia="Times New Roman" w:hAnsi="Arial" w:cs="Arial"/>
          <w:color w:val="000000"/>
          <w:sz w:val="20"/>
          <w:szCs w:val="20"/>
        </w:rPr>
        <w:t>ms of stock-based compensation, which affect earnings through revaluation of the outstanding units every period. We use equity derivatives to manage the earnings volatility derived from one form of stock-based compensation, restricted share units. We use a</w:t>
      </w:r>
      <w:r>
        <w:rPr>
          <w:rFonts w:ascii="Arial" w:eastAsia="Times New Roman" w:hAnsi="Arial" w:cs="Arial"/>
          <w:color w:val="000000"/>
          <w:sz w:val="20"/>
          <w:szCs w:val="20"/>
        </w:rPr>
        <w:t xml:space="preserve"> combination of qualifying and non-qualifying derivative instruments to manage equity price risk. </w:t>
      </w:r>
    </w:p>
    <w:p w:rsidR="00000000" w:rsidRDefault="001F1FC8">
      <w:pPr>
        <w:divId w:val="1458111457"/>
        <w:rPr>
          <w:rFonts w:eastAsia="Times New Roman"/>
        </w:rPr>
      </w:pPr>
    </w:p>
    <w:p w:rsidR="00000000" w:rsidRDefault="001F1FC8">
      <w:pPr>
        <w:divId w:val="1651668276"/>
        <w:rPr>
          <w:rFonts w:eastAsia="Times New Roman"/>
        </w:rPr>
      </w:pPr>
      <w:r>
        <w:rPr>
          <w:rFonts w:ascii="Arial" w:eastAsia="Times New Roman" w:hAnsi="Arial" w:cs="Arial"/>
          <w:b/>
          <w:bCs/>
          <w:color w:val="000000"/>
          <w:sz w:val="20"/>
          <w:szCs w:val="20"/>
        </w:rPr>
        <w:t>Market Risk Management</w:t>
      </w:r>
    </w:p>
    <w:p w:rsidR="00000000" w:rsidRDefault="001F1FC8">
      <w:pPr>
        <w:divId w:val="1846893115"/>
        <w:rPr>
          <w:rFonts w:eastAsia="Times New Roman"/>
        </w:rPr>
      </w:pPr>
      <w:r>
        <w:rPr>
          <w:rFonts w:ascii="Arial" w:eastAsia="Times New Roman" w:hAnsi="Arial" w:cs="Arial"/>
          <w:color w:val="000000"/>
          <w:sz w:val="20"/>
          <w:szCs w:val="20"/>
        </w:rPr>
        <w:t xml:space="preserve">We have a Risk Policy to minimize the likelihood that adverse cash flow impacts arising from movements in market prices will exceed </w:t>
      </w:r>
      <w:r>
        <w:rPr>
          <w:rFonts w:ascii="Arial" w:eastAsia="Times New Roman" w:hAnsi="Arial" w:cs="Arial"/>
          <w:color w:val="000000"/>
          <w:sz w:val="20"/>
          <w:szCs w:val="20"/>
        </w:rPr>
        <w:t xml:space="preserve">a defined risk tolerance. We identify and measure all material market risks including commodity price risks, interest rate risks, foreign exchange risk and equity price risk using a standardized measurement methodology. Our market risk metric consolidates </w:t>
      </w:r>
      <w:r>
        <w:rPr>
          <w:rFonts w:ascii="Arial" w:eastAsia="Times New Roman" w:hAnsi="Arial" w:cs="Arial"/>
          <w:color w:val="000000"/>
          <w:sz w:val="20"/>
          <w:szCs w:val="20"/>
        </w:rPr>
        <w:t xml:space="preserve">the exposure after accounting for the impact of offsetting risks and limits the consolidated cash flow volatility arising from market related risks to an acceptable approved risk tolerance threshold. Our market risk metric is Cash Flow at Risk (CFaR). </w:t>
      </w:r>
    </w:p>
    <w:p w:rsidR="00000000" w:rsidRDefault="001F1FC8">
      <w:pPr>
        <w:divId w:val="785127309"/>
        <w:rPr>
          <w:rFonts w:eastAsia="Times New Roman"/>
        </w:rPr>
      </w:pPr>
    </w:p>
    <w:p w:rsidR="00000000" w:rsidRDefault="001F1FC8">
      <w:pPr>
        <w:divId w:val="151145634"/>
        <w:rPr>
          <w:rFonts w:eastAsia="Times New Roman"/>
        </w:rPr>
      </w:pPr>
      <w:r>
        <w:rPr>
          <w:rFonts w:ascii="Arial" w:eastAsia="Times New Roman" w:hAnsi="Arial" w:cs="Arial"/>
          <w:color w:val="000000"/>
          <w:sz w:val="20"/>
          <w:szCs w:val="20"/>
        </w:rPr>
        <w:t>C</w:t>
      </w:r>
      <w:r>
        <w:rPr>
          <w:rFonts w:ascii="Arial" w:eastAsia="Times New Roman" w:hAnsi="Arial" w:cs="Arial"/>
          <w:color w:val="000000"/>
          <w:sz w:val="20"/>
          <w:szCs w:val="20"/>
        </w:rPr>
        <w:t>FaR is a statistically derived measurement used to measure the maximum cash flow loss that could potentially result from adverse market price movements over a one month holding period for price sensitive non-derivative exposures and for derivative instrume</w:t>
      </w:r>
      <w:r>
        <w:rPr>
          <w:rFonts w:ascii="Arial" w:eastAsia="Times New Roman" w:hAnsi="Arial" w:cs="Arial"/>
          <w:color w:val="000000"/>
          <w:sz w:val="20"/>
          <w:szCs w:val="20"/>
        </w:rPr>
        <w:t>nts we hold or issue as recorded on the Consolidated Statements of Financial Position as at December 31, 2021. CFaR assumes that no further mitigating actions are taken to hedge or otherwise minimize exposures and the selection of a one month holding perio</w:t>
      </w:r>
      <w:r>
        <w:rPr>
          <w:rFonts w:ascii="Arial" w:eastAsia="Times New Roman" w:hAnsi="Arial" w:cs="Arial"/>
          <w:color w:val="000000"/>
          <w:sz w:val="20"/>
          <w:szCs w:val="20"/>
        </w:rPr>
        <w:t>d reflects the mix of price risk sensitive assets at Enbridge. As a practical matter, a large portion of Enbridge’s exposure could be hedged or unwound in a much shorter period if required to mitigate the risks.</w:t>
      </w:r>
    </w:p>
    <w:p w:rsidR="00000000" w:rsidRDefault="001F1FC8">
      <w:pPr>
        <w:divId w:val="135034697"/>
        <w:rPr>
          <w:rFonts w:eastAsia="Times New Roman"/>
        </w:rPr>
      </w:pPr>
    </w:p>
    <w:p w:rsidR="00000000" w:rsidRDefault="001F1FC8">
      <w:pPr>
        <w:divId w:val="1768886466"/>
        <w:rPr>
          <w:rFonts w:eastAsia="Times New Roman"/>
        </w:rPr>
      </w:pPr>
      <w:r>
        <w:rPr>
          <w:rFonts w:ascii="Arial" w:eastAsia="Times New Roman" w:hAnsi="Arial" w:cs="Arial"/>
          <w:color w:val="000000"/>
          <w:sz w:val="20"/>
          <w:szCs w:val="20"/>
        </w:rPr>
        <w:t>The consolidated CFaR policy limit for Enb</w:t>
      </w:r>
      <w:r>
        <w:rPr>
          <w:rFonts w:ascii="Arial" w:eastAsia="Times New Roman" w:hAnsi="Arial" w:cs="Arial"/>
          <w:color w:val="000000"/>
          <w:sz w:val="20"/>
          <w:szCs w:val="20"/>
        </w:rPr>
        <w:t>ridge is 3.5% of its forward 12 month normalized cash flow. At December 31, 2021 and 2020 CFaR was $103 million and $128 million or 0.9% and 1.2%, respectively, of estimated 12 month forward normalized cash flow.</w:t>
      </w:r>
    </w:p>
    <w:p w:rsidR="00000000" w:rsidRDefault="001F1FC8">
      <w:pPr>
        <w:divId w:val="1635018391"/>
        <w:rPr>
          <w:rFonts w:eastAsia="Times New Roman"/>
        </w:rPr>
      </w:pPr>
    </w:p>
    <w:p w:rsidR="00000000" w:rsidRDefault="001F1FC8">
      <w:pPr>
        <w:divId w:val="1702393359"/>
        <w:rPr>
          <w:rFonts w:eastAsia="Times New Roman"/>
        </w:rPr>
      </w:pPr>
      <w:r>
        <w:rPr>
          <w:rFonts w:ascii="Arial" w:eastAsia="Times New Roman" w:hAnsi="Arial" w:cs="Arial"/>
          <w:b/>
          <w:bCs/>
          <w:color w:val="000000"/>
          <w:sz w:val="20"/>
          <w:szCs w:val="20"/>
        </w:rPr>
        <w:t xml:space="preserve">LIQUIDITY RISK </w:t>
      </w:r>
    </w:p>
    <w:p w:rsidR="00000000" w:rsidRDefault="001F1FC8">
      <w:pPr>
        <w:divId w:val="965114230"/>
        <w:rPr>
          <w:rFonts w:eastAsia="Times New Roman"/>
        </w:rPr>
      </w:pPr>
      <w:r>
        <w:rPr>
          <w:rFonts w:ascii="Arial" w:eastAsia="Times New Roman" w:hAnsi="Arial" w:cs="Arial"/>
          <w:color w:val="000000"/>
          <w:sz w:val="20"/>
          <w:szCs w:val="20"/>
        </w:rPr>
        <w:t>Liquidity risk is the ris</w:t>
      </w:r>
      <w:r>
        <w:rPr>
          <w:rFonts w:ascii="Arial" w:eastAsia="Times New Roman" w:hAnsi="Arial" w:cs="Arial"/>
          <w:color w:val="000000"/>
          <w:sz w:val="20"/>
          <w:szCs w:val="20"/>
        </w:rPr>
        <w:t xml:space="preserve">k that we will not be able to meet our financial obligations, including commitments and guarantees, as they become due. In order to mitigate this risk, we forecast cash requirements over a 12 month rolling time period to determine whether sufficient funds </w:t>
      </w:r>
      <w:r>
        <w:rPr>
          <w:rFonts w:ascii="Arial" w:eastAsia="Times New Roman" w:hAnsi="Arial" w:cs="Arial"/>
          <w:color w:val="000000"/>
          <w:sz w:val="20"/>
          <w:szCs w:val="20"/>
        </w:rPr>
        <w:t>will be available and maintain substantial capacity under our committed bank lines of credit to address any contingencies. Our primary sources of liquidity and capital resources are funds generated from operations, the issuance of commercial paper and draw</w:t>
      </w:r>
      <w:r>
        <w:rPr>
          <w:rFonts w:ascii="Arial" w:eastAsia="Times New Roman" w:hAnsi="Arial" w:cs="Arial"/>
          <w:color w:val="000000"/>
          <w:sz w:val="20"/>
          <w:szCs w:val="20"/>
        </w:rPr>
        <w:t xml:space="preserve">s under committed credit facilities and long-term debt, which includes debentures and medium-term notes. We also maintain current shelf prospectuses with securities regulators which enables ready access to either the Canadian or US public capital markets, </w:t>
      </w:r>
      <w:r>
        <w:rPr>
          <w:rFonts w:ascii="Arial" w:eastAsia="Times New Roman" w:hAnsi="Arial" w:cs="Arial"/>
          <w:color w:val="000000"/>
          <w:sz w:val="20"/>
          <w:szCs w:val="20"/>
        </w:rPr>
        <w:t>subject to market conditions. In addition, we maintain sufficient liquidity through committed credit facilities with a diversified group of banks and institutions which, if necessary, enables us to fund all anticipated requirements for approximately one ye</w:t>
      </w:r>
      <w:r>
        <w:rPr>
          <w:rFonts w:ascii="Arial" w:eastAsia="Times New Roman" w:hAnsi="Arial" w:cs="Arial"/>
          <w:color w:val="000000"/>
          <w:sz w:val="20"/>
          <w:szCs w:val="20"/>
        </w:rPr>
        <w:t>ar without accessing the capital markets. We are in compliance with all the terms and conditions of our committed credit facility agreements and term debt indentures as at December 31, 2021. As a result, all credit facilities are available to us and the ba</w:t>
      </w:r>
      <w:r>
        <w:rPr>
          <w:rFonts w:ascii="Arial" w:eastAsia="Times New Roman" w:hAnsi="Arial" w:cs="Arial"/>
          <w:color w:val="000000"/>
          <w:sz w:val="20"/>
          <w:szCs w:val="20"/>
        </w:rPr>
        <w:t>nks are obligated to fund and have been funding us under the terms of the facilities.</w:t>
      </w:r>
    </w:p>
    <w:p w:rsidR="00000000" w:rsidRDefault="001F1FC8">
      <w:pPr>
        <w:divId w:val="1277177659"/>
        <w:rPr>
          <w:rFonts w:eastAsia="Times New Roman"/>
        </w:rPr>
      </w:pPr>
      <w:r>
        <w:rPr>
          <w:rFonts w:ascii="Arial" w:eastAsia="Times New Roman" w:hAnsi="Arial" w:cs="Arial"/>
          <w:color w:val="000000"/>
          <w:sz w:val="20"/>
          <w:szCs w:val="20"/>
        </w:rPr>
        <w:t> </w:t>
      </w:r>
    </w:p>
    <w:p w:rsidR="00000000" w:rsidRDefault="001F1FC8">
      <w:pPr>
        <w:divId w:val="2010206029"/>
        <w:rPr>
          <w:rFonts w:eastAsia="Times New Roman"/>
        </w:rPr>
      </w:pPr>
      <w:r>
        <w:rPr>
          <w:rFonts w:ascii="Arial" w:eastAsia="Times New Roman" w:hAnsi="Arial" w:cs="Arial"/>
          <w:b/>
          <w:bCs/>
          <w:color w:val="000000"/>
          <w:sz w:val="20"/>
          <w:szCs w:val="20"/>
        </w:rPr>
        <w:t>CREDIT RISK</w:t>
      </w:r>
    </w:p>
    <w:p w:rsidR="00000000" w:rsidRDefault="001F1FC8">
      <w:pPr>
        <w:divId w:val="1622372289"/>
        <w:rPr>
          <w:rFonts w:eastAsia="Times New Roman"/>
        </w:rPr>
      </w:pPr>
      <w:r>
        <w:rPr>
          <w:rFonts w:ascii="Arial" w:eastAsia="Times New Roman" w:hAnsi="Arial" w:cs="Arial"/>
          <w:color w:val="000000"/>
          <w:sz w:val="20"/>
          <w:szCs w:val="20"/>
        </w:rPr>
        <w:t>Entering into derivative instruments may result in exposure to credit risk from the possibility that a counterparty will default on its contractual obligati</w:t>
      </w:r>
      <w:r>
        <w:rPr>
          <w:rFonts w:ascii="Arial" w:eastAsia="Times New Roman" w:hAnsi="Arial" w:cs="Arial"/>
          <w:color w:val="000000"/>
          <w:sz w:val="20"/>
          <w:szCs w:val="20"/>
        </w:rPr>
        <w:t>ons. In order to mitigate this risk, we enter into risk management transactions primarily with institutions that possess strong investment grade credit ratings. Credit risk relating to derivative counterparties is mitigated through maintenance and monitori</w:t>
      </w:r>
      <w:r>
        <w:rPr>
          <w:rFonts w:ascii="Arial" w:eastAsia="Times New Roman" w:hAnsi="Arial" w:cs="Arial"/>
          <w:color w:val="000000"/>
          <w:sz w:val="20"/>
          <w:szCs w:val="20"/>
        </w:rPr>
        <w:t>ng of credit exposure limits and contractual requirements, netting arrangements, and ongoing monitoring of counterparty credit exposure using external credit rating services and other analytical tools.</w:t>
      </w:r>
    </w:p>
    <w:p w:rsidR="00000000" w:rsidRDefault="001F1FC8">
      <w:pPr>
        <w:divId w:val="1777869459"/>
        <w:rPr>
          <w:rFonts w:eastAsia="Times New Roman"/>
        </w:rPr>
      </w:pPr>
      <w:r>
        <w:rPr>
          <w:rFonts w:ascii="Arial" w:eastAsia="Times New Roman" w:hAnsi="Arial" w:cs="Arial"/>
          <w:color w:val="000000"/>
          <w:sz w:val="20"/>
          <w:szCs w:val="20"/>
        </w:rPr>
        <w:t> </w:t>
      </w:r>
    </w:p>
    <w:p w:rsidR="00000000" w:rsidRDefault="001F1FC8">
      <w:pPr>
        <w:jc w:val="center"/>
        <w:divId w:val="67462077"/>
        <w:rPr>
          <w:rFonts w:eastAsia="Times New Roman"/>
        </w:rPr>
      </w:pPr>
      <w:r>
        <w:rPr>
          <w:rFonts w:ascii="Arial" w:eastAsia="Times New Roman" w:hAnsi="Arial" w:cs="Arial"/>
          <w:color w:val="000000"/>
          <w:sz w:val="20"/>
          <w:szCs w:val="20"/>
        </w:rPr>
        <w:t>91</w:t>
      </w:r>
    </w:p>
    <w:p w:rsidR="00000000" w:rsidRDefault="001F1FC8">
      <w:pPr>
        <w:rPr>
          <w:rFonts w:eastAsia="Times New Roman"/>
        </w:rPr>
      </w:pPr>
      <w:r>
        <w:rPr>
          <w:rFonts w:eastAsia="Times New Roman"/>
        </w:rPr>
        <w:pict>
          <v:rect id="_x0000_i1121" style="width:0;height:1.5pt" o:hralign="center" o:hrstd="t" o:hr="t" fillcolor="#a0a0a0" stroked="f"/>
        </w:pict>
      </w:r>
    </w:p>
    <w:p w:rsidR="00000000" w:rsidRDefault="001F1FC8">
      <w:pPr>
        <w:jc w:val="center"/>
        <w:divId w:val="1509517165"/>
        <w:rPr>
          <w:rFonts w:eastAsia="Times New Roman"/>
        </w:rPr>
      </w:pPr>
    </w:p>
    <w:p w:rsidR="00000000" w:rsidRDefault="001F1FC8">
      <w:pPr>
        <w:divId w:val="1973710101"/>
        <w:rPr>
          <w:rFonts w:eastAsia="Times New Roman"/>
        </w:rPr>
      </w:pPr>
      <w:r>
        <w:rPr>
          <w:rFonts w:ascii="Arial" w:eastAsia="Times New Roman" w:hAnsi="Arial" w:cs="Arial"/>
          <w:color w:val="000000"/>
          <w:sz w:val="20"/>
          <w:szCs w:val="20"/>
        </w:rPr>
        <w:t>We generally have a policy of entering into individual International Swaps and Derivatives Association, Inc. agreements, or other similar derivative agreements, with the majority of our financial derivative counterpart</w:t>
      </w:r>
      <w:r>
        <w:rPr>
          <w:rFonts w:ascii="Arial" w:eastAsia="Times New Roman" w:hAnsi="Arial" w:cs="Arial"/>
          <w:color w:val="000000"/>
          <w:sz w:val="20"/>
          <w:szCs w:val="20"/>
        </w:rPr>
        <w:t>ies. These agreements provide for the net settlement of derivative instruments outstanding with specific counterparties in the event of bankruptcy or other significant credit events and reduce our credit risk exposure on financial derivative asset position</w:t>
      </w:r>
      <w:r>
        <w:rPr>
          <w:rFonts w:ascii="Arial" w:eastAsia="Times New Roman" w:hAnsi="Arial" w:cs="Arial"/>
          <w:color w:val="000000"/>
          <w:sz w:val="20"/>
          <w:szCs w:val="20"/>
        </w:rPr>
        <w:t>s outstanding with the counterparties in those circumstances.</w:t>
      </w:r>
    </w:p>
    <w:p w:rsidR="00000000" w:rsidRDefault="001F1FC8">
      <w:pPr>
        <w:divId w:val="1472481456"/>
        <w:rPr>
          <w:rFonts w:eastAsia="Times New Roman"/>
        </w:rPr>
      </w:pPr>
    </w:p>
    <w:p w:rsidR="00000000" w:rsidRDefault="001F1FC8">
      <w:pPr>
        <w:divId w:val="932468539"/>
        <w:rPr>
          <w:rFonts w:eastAsia="Times New Roman"/>
        </w:rPr>
      </w:pPr>
      <w:r>
        <w:rPr>
          <w:rFonts w:ascii="Arial" w:eastAsia="Times New Roman" w:hAnsi="Arial" w:cs="Arial"/>
          <w:b/>
          <w:bCs/>
          <w:color w:val="000000"/>
          <w:sz w:val="20"/>
          <w:szCs w:val="20"/>
        </w:rPr>
        <w:t>FAIR VALUE MEASUREMENTS</w:t>
      </w:r>
    </w:p>
    <w:p w:rsidR="00000000" w:rsidRDefault="001F1FC8">
      <w:pPr>
        <w:divId w:val="640041825"/>
        <w:rPr>
          <w:rFonts w:eastAsia="Times New Roman"/>
        </w:rPr>
      </w:pPr>
      <w:r>
        <w:rPr>
          <w:rFonts w:ascii="Arial" w:eastAsia="Times New Roman" w:hAnsi="Arial" w:cs="Arial"/>
          <w:color w:val="000000"/>
          <w:sz w:val="20"/>
          <w:szCs w:val="20"/>
        </w:rPr>
        <w:t>Our financial assets and liabilities measured at fair value on a recurring basis include derivative instruments. We also disclose the fair value of other financial instruments not measured at fair value. The fair value of financial instruments reflects our</w:t>
      </w:r>
      <w:r>
        <w:rPr>
          <w:rFonts w:ascii="Arial" w:eastAsia="Times New Roman" w:hAnsi="Arial" w:cs="Arial"/>
          <w:color w:val="000000"/>
          <w:sz w:val="20"/>
          <w:szCs w:val="20"/>
        </w:rPr>
        <w:t xml:space="preserve"> best estimates of market value based on generally accepted valuation techniques or models and is supported by observable market prices and rates. When such values are not available, we use discounted cash flow analysis from applicable yield curves based o</w:t>
      </w:r>
      <w:r>
        <w:rPr>
          <w:rFonts w:ascii="Arial" w:eastAsia="Times New Roman" w:hAnsi="Arial" w:cs="Arial"/>
          <w:color w:val="000000"/>
          <w:sz w:val="20"/>
          <w:szCs w:val="20"/>
        </w:rPr>
        <w:t>n observable market inputs to estimate fair value.</w:t>
      </w:r>
    </w:p>
    <w:p w:rsidR="00000000" w:rsidRDefault="001F1FC8">
      <w:pPr>
        <w:divId w:val="69156230"/>
        <w:rPr>
          <w:rFonts w:eastAsia="Times New Roman"/>
        </w:rPr>
      </w:pPr>
    </w:p>
    <w:p w:rsidR="00000000" w:rsidRDefault="001F1FC8">
      <w:pPr>
        <w:jc w:val="center"/>
        <w:divId w:val="1390807993"/>
        <w:rPr>
          <w:rFonts w:eastAsia="Times New Roman"/>
        </w:rPr>
      </w:pPr>
      <w:r>
        <w:rPr>
          <w:rFonts w:ascii="Arial" w:eastAsia="Times New Roman" w:hAnsi="Arial" w:cs="Arial"/>
          <w:color w:val="000000"/>
          <w:sz w:val="20"/>
          <w:szCs w:val="20"/>
        </w:rPr>
        <w:t>92</w:t>
      </w:r>
    </w:p>
    <w:p w:rsidR="00000000" w:rsidRDefault="001F1FC8">
      <w:pPr>
        <w:rPr>
          <w:rFonts w:eastAsia="Times New Roman"/>
        </w:rPr>
      </w:pPr>
      <w:r>
        <w:rPr>
          <w:rFonts w:eastAsia="Times New Roman"/>
        </w:rPr>
        <w:pict>
          <v:rect id="_x0000_i1122" style="width:0;height:1.5pt" o:hralign="center" o:hrstd="t" o:hr="t" fillcolor="#a0a0a0" stroked="f"/>
        </w:pict>
      </w:r>
    </w:p>
    <w:p w:rsidR="00000000" w:rsidRDefault="001F1FC8">
      <w:pPr>
        <w:jc w:val="center"/>
        <w:divId w:val="12927472"/>
        <w:rPr>
          <w:rFonts w:eastAsia="Times New Roman"/>
        </w:rPr>
      </w:pPr>
    </w:p>
    <w:p w:rsidR="00000000" w:rsidRDefault="001F1FC8">
      <w:pPr>
        <w:divId w:val="963849950"/>
        <w:rPr>
          <w:rFonts w:eastAsia="Times New Roman"/>
        </w:rPr>
      </w:pPr>
      <w:r>
        <w:rPr>
          <w:rFonts w:ascii="Arial" w:eastAsia="Times New Roman" w:hAnsi="Arial" w:cs="Arial"/>
          <w:b/>
          <w:bCs/>
          <w:color w:val="000000"/>
          <w:sz w:val="28"/>
          <w:szCs w:val="28"/>
        </w:rPr>
        <w:t>ITEM 8. FINANCIAL STATEMENTS AND SUPPLEMENTARY DATA</w:t>
      </w:r>
    </w:p>
    <w:p w:rsidR="00000000" w:rsidRDefault="001F1FC8">
      <w:pPr>
        <w:divId w:val="12999222"/>
        <w:rPr>
          <w:rFonts w:eastAsia="Times New Roman"/>
        </w:rPr>
      </w:pPr>
    </w:p>
    <w:p w:rsidR="00000000" w:rsidRDefault="001F1FC8">
      <w:pPr>
        <w:divId w:val="1788350526"/>
        <w:rPr>
          <w:rFonts w:eastAsia="Times New Roman"/>
        </w:rPr>
      </w:pPr>
      <w:r>
        <w:rPr>
          <w:rFonts w:ascii="Georgia" w:eastAsia="Times New Roman" w:hAnsi="Georgia"/>
          <w:color w:val="000000"/>
          <w:sz w:val="28"/>
          <w:szCs w:val="28"/>
        </w:rPr>
        <w:t>Report of Independent Registered Public Accounting Firm</w:t>
      </w:r>
    </w:p>
    <w:p w:rsidR="00000000" w:rsidRDefault="001F1FC8">
      <w:pPr>
        <w:divId w:val="476919828"/>
        <w:rPr>
          <w:rFonts w:eastAsia="Times New Roman"/>
        </w:rPr>
      </w:pPr>
    </w:p>
    <w:p w:rsidR="00000000" w:rsidRDefault="001F1FC8">
      <w:pPr>
        <w:divId w:val="1571454598"/>
        <w:rPr>
          <w:rFonts w:eastAsia="Times New Roman"/>
        </w:rPr>
      </w:pPr>
      <w:r>
        <w:rPr>
          <w:rFonts w:ascii="Arial" w:eastAsia="Times New Roman" w:hAnsi="Arial" w:cs="Arial"/>
          <w:color w:val="000000"/>
          <w:sz w:val="20"/>
          <w:szCs w:val="20"/>
        </w:rPr>
        <w:t>To the Shareholders and Board of Directors of Enbr</w:t>
      </w:r>
      <w:r>
        <w:rPr>
          <w:rFonts w:ascii="Arial" w:eastAsia="Times New Roman" w:hAnsi="Arial" w:cs="Arial"/>
          <w:color w:val="000000"/>
          <w:sz w:val="20"/>
          <w:szCs w:val="20"/>
        </w:rPr>
        <w:t>idge Inc.</w:t>
      </w:r>
    </w:p>
    <w:p w:rsidR="00000000" w:rsidRDefault="001F1FC8">
      <w:pPr>
        <w:divId w:val="55014463"/>
        <w:rPr>
          <w:rFonts w:eastAsia="Times New Roman"/>
        </w:rPr>
      </w:pPr>
      <w:r>
        <w:rPr>
          <w:rFonts w:ascii="Arial" w:eastAsia="Times New Roman" w:hAnsi="Arial" w:cs="Arial"/>
          <w:b/>
          <w:bCs/>
          <w:color w:val="000000"/>
          <w:sz w:val="20"/>
          <w:szCs w:val="20"/>
        </w:rPr>
        <w:t>Opinions on the Financial Statements and Internal Control over Financial Reporting</w:t>
      </w:r>
    </w:p>
    <w:p w:rsidR="00000000" w:rsidRDefault="001F1FC8">
      <w:pPr>
        <w:divId w:val="880744919"/>
        <w:rPr>
          <w:rFonts w:eastAsia="Times New Roman"/>
        </w:rPr>
      </w:pPr>
      <w:r>
        <w:rPr>
          <w:rFonts w:ascii="Arial" w:eastAsia="Times New Roman" w:hAnsi="Arial" w:cs="Arial"/>
          <w:color w:val="000000"/>
          <w:sz w:val="20"/>
          <w:szCs w:val="20"/>
        </w:rPr>
        <w:t>We have audited the accompanying consolidated statements of financial position of Enbridge Inc. and its subsidiaries (together, the Company) as of December 31, 202</w:t>
      </w:r>
      <w:r>
        <w:rPr>
          <w:rFonts w:ascii="Arial" w:eastAsia="Times New Roman" w:hAnsi="Arial" w:cs="Arial"/>
          <w:color w:val="000000"/>
          <w:sz w:val="20"/>
          <w:szCs w:val="20"/>
        </w:rPr>
        <w:t>1 and 2020, and the related consolidated statements of earnings, comprehensive income, changes in equity and cash flows for each of the three years in the period ended December 31, 2021, including the related notes (collectively referred to as the consolid</w:t>
      </w:r>
      <w:r>
        <w:rPr>
          <w:rFonts w:ascii="Arial" w:eastAsia="Times New Roman" w:hAnsi="Arial" w:cs="Arial"/>
          <w:color w:val="000000"/>
          <w:sz w:val="20"/>
          <w:szCs w:val="20"/>
        </w:rPr>
        <w:t xml:space="preserve">ated financial statements). We also have audited the Company’s internal control over financial reporting as of December 31, 2021, based on criteria established in </w:t>
      </w:r>
      <w:r>
        <w:rPr>
          <w:rFonts w:ascii="Arial" w:eastAsia="Times New Roman" w:hAnsi="Arial" w:cs="Arial"/>
          <w:i/>
          <w:iCs/>
          <w:color w:val="000000"/>
          <w:sz w:val="20"/>
          <w:szCs w:val="20"/>
        </w:rPr>
        <w:t>Internal Control – Integrated Framework</w:t>
      </w:r>
      <w:r>
        <w:rPr>
          <w:rFonts w:ascii="Arial" w:eastAsia="Times New Roman" w:hAnsi="Arial" w:cs="Arial"/>
          <w:color w:val="000000"/>
          <w:sz w:val="20"/>
          <w:szCs w:val="20"/>
        </w:rPr>
        <w:t xml:space="preserve"> (2013) issued by the Committee of Sponsoring Organiza</w:t>
      </w:r>
      <w:r>
        <w:rPr>
          <w:rFonts w:ascii="Arial" w:eastAsia="Times New Roman" w:hAnsi="Arial" w:cs="Arial"/>
          <w:color w:val="000000"/>
          <w:sz w:val="20"/>
          <w:szCs w:val="20"/>
        </w:rPr>
        <w:t>tions of the Treadway Commission (COSO).</w:t>
      </w:r>
    </w:p>
    <w:p w:rsidR="00000000" w:rsidRDefault="001F1FC8">
      <w:pPr>
        <w:divId w:val="1588032594"/>
        <w:rPr>
          <w:rFonts w:eastAsia="Times New Roman"/>
        </w:rPr>
      </w:pPr>
      <w:r>
        <w:rPr>
          <w:rFonts w:ascii="Arial" w:eastAsia="Times New Roman" w:hAnsi="Arial" w:cs="Arial"/>
          <w:color w:val="000000"/>
          <w:sz w:val="20"/>
          <w:szCs w:val="20"/>
        </w:rPr>
        <w:t>In our opinion, the consolidated financial statements referred to above present fairly, in all material respects, the financial position of the Company as of December 31, 2021 and 2020, and the results of its operat</w:t>
      </w:r>
      <w:r>
        <w:rPr>
          <w:rFonts w:ascii="Arial" w:eastAsia="Times New Roman" w:hAnsi="Arial" w:cs="Arial"/>
          <w:color w:val="000000"/>
          <w:sz w:val="20"/>
          <w:szCs w:val="20"/>
        </w:rPr>
        <w:t>ions and its cash flows for each of the three years in the period ended December 31, 2021 in conformity with accounting principles generally accepted in the United States of America. Also in our opinion, the Company maintained, in all material respects, ef</w:t>
      </w:r>
      <w:r>
        <w:rPr>
          <w:rFonts w:ascii="Arial" w:eastAsia="Times New Roman" w:hAnsi="Arial" w:cs="Arial"/>
          <w:color w:val="000000"/>
          <w:sz w:val="20"/>
          <w:szCs w:val="20"/>
        </w:rPr>
        <w:t xml:space="preserve">fective internal control over financial reporting as of December 31, 2021, based on criteria established in </w:t>
      </w:r>
      <w:r>
        <w:rPr>
          <w:rFonts w:ascii="Arial" w:eastAsia="Times New Roman" w:hAnsi="Arial" w:cs="Arial"/>
          <w:i/>
          <w:iCs/>
          <w:color w:val="000000"/>
          <w:sz w:val="20"/>
          <w:szCs w:val="20"/>
        </w:rPr>
        <w:t>Internal Control – Integrated Framework</w:t>
      </w:r>
      <w:r>
        <w:rPr>
          <w:rFonts w:ascii="Arial" w:eastAsia="Times New Roman" w:hAnsi="Arial" w:cs="Arial"/>
          <w:color w:val="000000"/>
          <w:sz w:val="20"/>
          <w:szCs w:val="20"/>
        </w:rPr>
        <w:t xml:space="preserve"> (2013) issued by the COSO.</w:t>
      </w:r>
    </w:p>
    <w:p w:rsidR="00000000" w:rsidRDefault="001F1FC8">
      <w:pPr>
        <w:divId w:val="359211942"/>
        <w:rPr>
          <w:rFonts w:eastAsia="Times New Roman"/>
        </w:rPr>
      </w:pPr>
      <w:r>
        <w:rPr>
          <w:rFonts w:ascii="Arial" w:eastAsia="Times New Roman" w:hAnsi="Arial" w:cs="Arial"/>
          <w:b/>
          <w:bCs/>
          <w:color w:val="000000"/>
          <w:sz w:val="20"/>
          <w:szCs w:val="20"/>
        </w:rPr>
        <w:t>Basis for Opinions</w:t>
      </w:r>
    </w:p>
    <w:p w:rsidR="00000000" w:rsidRDefault="001F1FC8">
      <w:pPr>
        <w:divId w:val="542712497"/>
        <w:rPr>
          <w:rFonts w:eastAsia="Times New Roman"/>
        </w:rPr>
      </w:pPr>
      <w:r>
        <w:rPr>
          <w:rFonts w:ascii="Arial" w:eastAsia="Times New Roman" w:hAnsi="Arial" w:cs="Arial"/>
          <w:color w:val="000000"/>
          <w:sz w:val="20"/>
          <w:szCs w:val="20"/>
        </w:rPr>
        <w:t>The Company’s management is responsible for these consolidated</w:t>
      </w:r>
      <w:r>
        <w:rPr>
          <w:rFonts w:ascii="Arial" w:eastAsia="Times New Roman" w:hAnsi="Arial" w:cs="Arial"/>
          <w:color w:val="000000"/>
          <w:sz w:val="20"/>
          <w:szCs w:val="20"/>
        </w:rPr>
        <w:t xml:space="preserve"> financial statements, for maintaining effective internal control over financial reporting, and for its assessment of the effectiveness of internal control over financial reporting, included in Management’s Annual Report on Internal Control over Financial </w:t>
      </w:r>
      <w:r>
        <w:rPr>
          <w:rFonts w:ascii="Arial" w:eastAsia="Times New Roman" w:hAnsi="Arial" w:cs="Arial"/>
          <w:color w:val="000000"/>
          <w:sz w:val="20"/>
          <w:szCs w:val="20"/>
        </w:rPr>
        <w:t>Reporting appearing under Item 9A. Our responsibility is to express opinions on the Company’s consolidated financial statements and on the Company’s internal control over financial reporting based on our audits. We are a public accounting firm registered w</w:t>
      </w:r>
      <w:r>
        <w:rPr>
          <w:rFonts w:ascii="Arial" w:eastAsia="Times New Roman" w:hAnsi="Arial" w:cs="Arial"/>
          <w:color w:val="000000"/>
          <w:sz w:val="20"/>
          <w:szCs w:val="20"/>
        </w:rPr>
        <w:t>ith the Public Company Accounting Oversight Board (United States) (PCAOB) and are required to be independent with respect to the Company in accordance with the U.S. federal securities laws and the applicable rules and regulations of the Securities and Exch</w:t>
      </w:r>
      <w:r>
        <w:rPr>
          <w:rFonts w:ascii="Arial" w:eastAsia="Times New Roman" w:hAnsi="Arial" w:cs="Arial"/>
          <w:color w:val="000000"/>
          <w:sz w:val="20"/>
          <w:szCs w:val="20"/>
        </w:rPr>
        <w:t>ange Commission and the PCAOB.</w:t>
      </w:r>
    </w:p>
    <w:p w:rsidR="00000000" w:rsidRDefault="001F1FC8">
      <w:pPr>
        <w:divId w:val="1617374028"/>
        <w:rPr>
          <w:rFonts w:eastAsia="Times New Roman"/>
        </w:rPr>
      </w:pPr>
      <w:r>
        <w:rPr>
          <w:rFonts w:ascii="Arial" w:eastAsia="Times New Roman" w:hAnsi="Arial" w:cs="Arial"/>
          <w:color w:val="000000"/>
          <w:sz w:val="20"/>
          <w:szCs w:val="20"/>
        </w:rPr>
        <w:t>We conducted our audits in accordance with the standards of the PCAOB. Those standards require that we plan and perform the audits to obtain reasonable assurance about whether the consolidated financial statements are free of</w:t>
      </w:r>
      <w:r>
        <w:rPr>
          <w:rFonts w:ascii="Arial" w:eastAsia="Times New Roman" w:hAnsi="Arial" w:cs="Arial"/>
          <w:color w:val="000000"/>
          <w:sz w:val="20"/>
          <w:szCs w:val="20"/>
        </w:rPr>
        <w:t xml:space="preserve"> material misstatement, whether due to error or fraud, and whether effective internal control over financial reporting was maintained in all material respects.</w:t>
      </w:r>
    </w:p>
    <w:p w:rsidR="00000000" w:rsidRDefault="001F1FC8">
      <w:pPr>
        <w:divId w:val="312804602"/>
        <w:rPr>
          <w:rFonts w:eastAsia="Times New Roman"/>
        </w:rPr>
      </w:pPr>
    </w:p>
    <w:p w:rsidR="00000000" w:rsidRDefault="001F1FC8">
      <w:pPr>
        <w:jc w:val="center"/>
        <w:divId w:val="1818452967"/>
        <w:rPr>
          <w:rFonts w:eastAsia="Times New Roman"/>
        </w:rPr>
      </w:pPr>
      <w:r>
        <w:rPr>
          <w:rFonts w:ascii="Arial" w:eastAsia="Times New Roman" w:hAnsi="Arial" w:cs="Arial"/>
          <w:color w:val="000000"/>
          <w:sz w:val="20"/>
          <w:szCs w:val="20"/>
        </w:rPr>
        <w:t>93</w:t>
      </w:r>
    </w:p>
    <w:p w:rsidR="00000000" w:rsidRDefault="001F1FC8">
      <w:pPr>
        <w:rPr>
          <w:rFonts w:eastAsia="Times New Roman"/>
        </w:rPr>
      </w:pPr>
      <w:r>
        <w:rPr>
          <w:rFonts w:eastAsia="Times New Roman"/>
        </w:rPr>
        <w:pict>
          <v:rect id="_x0000_i1123" style="width:0;height:1.5pt" o:hralign="center" o:hrstd="t" o:hr="t" fillcolor="#a0a0a0" stroked="f"/>
        </w:pict>
      </w:r>
    </w:p>
    <w:p w:rsidR="00000000" w:rsidRDefault="001F1FC8">
      <w:pPr>
        <w:jc w:val="center"/>
        <w:divId w:val="810173162"/>
        <w:rPr>
          <w:rFonts w:eastAsia="Times New Roman"/>
        </w:rPr>
      </w:pPr>
    </w:p>
    <w:p w:rsidR="00000000" w:rsidRDefault="001F1FC8">
      <w:pPr>
        <w:divId w:val="502664613"/>
        <w:rPr>
          <w:rFonts w:eastAsia="Times New Roman"/>
        </w:rPr>
      </w:pPr>
      <w:r>
        <w:rPr>
          <w:rFonts w:ascii="Arial" w:eastAsia="Times New Roman" w:hAnsi="Arial" w:cs="Arial"/>
          <w:color w:val="000000"/>
          <w:sz w:val="20"/>
          <w:szCs w:val="20"/>
        </w:rPr>
        <w:t xml:space="preserve">Our audits of the consolidated financial statements </w:t>
      </w:r>
      <w:r>
        <w:rPr>
          <w:rFonts w:ascii="Arial" w:eastAsia="Times New Roman" w:hAnsi="Arial" w:cs="Arial"/>
          <w:color w:val="000000"/>
          <w:sz w:val="20"/>
          <w:szCs w:val="20"/>
        </w:rPr>
        <w:t>included performing procedures to assess the risks of material misstatement of the consolidated financial statements, whether due to error or fraud, and performing procedures that respond to those risks. Such procedures included examining, on a test basis,</w:t>
      </w:r>
      <w:r>
        <w:rPr>
          <w:rFonts w:ascii="Arial" w:eastAsia="Times New Roman" w:hAnsi="Arial" w:cs="Arial"/>
          <w:color w:val="000000"/>
          <w:sz w:val="20"/>
          <w:szCs w:val="20"/>
        </w:rPr>
        <w:t xml:space="preserve"> evidence regarding the amounts and disclosures in the consolidated financial statements. Our audits also included evaluating the accounting principles used and significant estimates made by management, as well as evaluating the overall presentation of the</w:t>
      </w:r>
      <w:r>
        <w:rPr>
          <w:rFonts w:ascii="Arial" w:eastAsia="Times New Roman" w:hAnsi="Arial" w:cs="Arial"/>
          <w:color w:val="000000"/>
          <w:sz w:val="20"/>
          <w:szCs w:val="20"/>
        </w:rPr>
        <w:t xml:space="preserve"> consolidated financial statements. Our audit of internal control over financial reporting included obtaining an understanding of internal control over financial reporting, assessing the risk that a material weakness exists, and testing and evaluating the </w:t>
      </w:r>
      <w:r>
        <w:rPr>
          <w:rFonts w:ascii="Arial" w:eastAsia="Times New Roman" w:hAnsi="Arial" w:cs="Arial"/>
          <w:color w:val="000000"/>
          <w:sz w:val="20"/>
          <w:szCs w:val="20"/>
        </w:rPr>
        <w:t>design and operating effectiveness of internal control based on the assessed risk. Our audits also included performing such other procedures as we considered necessary in the circumstances. We believe that our audits provide a reasonable basis for our opin</w:t>
      </w:r>
      <w:r>
        <w:rPr>
          <w:rFonts w:ascii="Arial" w:eastAsia="Times New Roman" w:hAnsi="Arial" w:cs="Arial"/>
          <w:color w:val="000000"/>
          <w:sz w:val="20"/>
          <w:szCs w:val="20"/>
        </w:rPr>
        <w:t>ions.</w:t>
      </w:r>
    </w:p>
    <w:p w:rsidR="00000000" w:rsidRDefault="001F1FC8">
      <w:pPr>
        <w:divId w:val="1972709528"/>
        <w:rPr>
          <w:rFonts w:eastAsia="Times New Roman"/>
        </w:rPr>
      </w:pPr>
      <w:r>
        <w:rPr>
          <w:rFonts w:ascii="Arial" w:eastAsia="Times New Roman" w:hAnsi="Arial" w:cs="Arial"/>
          <w:b/>
          <w:bCs/>
          <w:color w:val="000000"/>
          <w:sz w:val="20"/>
          <w:szCs w:val="20"/>
        </w:rPr>
        <w:t>Definition and Limitations of Internal Control over Financial Reporting</w:t>
      </w:r>
    </w:p>
    <w:p w:rsidR="00000000" w:rsidRDefault="001F1FC8">
      <w:pPr>
        <w:divId w:val="1827552443"/>
        <w:rPr>
          <w:rFonts w:eastAsia="Times New Roman"/>
        </w:rPr>
      </w:pPr>
      <w:r>
        <w:rPr>
          <w:rFonts w:ascii="Arial" w:eastAsia="Times New Roman" w:hAnsi="Arial" w:cs="Arial"/>
          <w:color w:val="000000"/>
          <w:sz w:val="20"/>
          <w:szCs w:val="20"/>
        </w:rPr>
        <w:t>A company’s internal control over financial reporting is a process designed to provide reasonable assurance regarding the reliability of financial reporting and the preparation o</w:t>
      </w:r>
      <w:r>
        <w:rPr>
          <w:rFonts w:ascii="Arial" w:eastAsia="Times New Roman" w:hAnsi="Arial" w:cs="Arial"/>
          <w:color w:val="000000"/>
          <w:sz w:val="20"/>
          <w:szCs w:val="20"/>
        </w:rPr>
        <w:t>f financial statements for external purposes in accordance with generally accepted accounting principles. A company’s internal control over financial reporting includes those policies and procedures that (i) pertain to the maintenance of records that, in r</w:t>
      </w:r>
      <w:r>
        <w:rPr>
          <w:rFonts w:ascii="Arial" w:eastAsia="Times New Roman" w:hAnsi="Arial" w:cs="Arial"/>
          <w:color w:val="000000"/>
          <w:sz w:val="20"/>
          <w:szCs w:val="20"/>
        </w:rPr>
        <w:t>easonable detail, accurately and fairly reflect the transactions and dispositions of the assets of the company; (ii) provide reasonable assurance that transactions are recorded as necessary to permit preparation of financial statements in accordance with g</w:t>
      </w:r>
      <w:r>
        <w:rPr>
          <w:rFonts w:ascii="Arial" w:eastAsia="Times New Roman" w:hAnsi="Arial" w:cs="Arial"/>
          <w:color w:val="000000"/>
          <w:sz w:val="20"/>
          <w:szCs w:val="20"/>
        </w:rPr>
        <w:t>enerally accepted accounting principles, and that receipts and expenditures of the company are being made only in accordance with authorizations of management and directors of the company; and (iii) provide reasonable assurance regarding prevention or time</w:t>
      </w:r>
      <w:r>
        <w:rPr>
          <w:rFonts w:ascii="Arial" w:eastAsia="Times New Roman" w:hAnsi="Arial" w:cs="Arial"/>
          <w:color w:val="000000"/>
          <w:sz w:val="20"/>
          <w:szCs w:val="20"/>
        </w:rPr>
        <w:t>ly detection of unauthorized acquisition, use, or disposition of the company’s assets that could have a material effect on the financial statements.</w:t>
      </w:r>
    </w:p>
    <w:p w:rsidR="00000000" w:rsidRDefault="001F1FC8">
      <w:pPr>
        <w:divId w:val="1536113614"/>
        <w:rPr>
          <w:rFonts w:eastAsia="Times New Roman"/>
        </w:rPr>
      </w:pPr>
      <w:r>
        <w:rPr>
          <w:rFonts w:ascii="Arial" w:eastAsia="Times New Roman" w:hAnsi="Arial" w:cs="Arial"/>
          <w:color w:val="000000"/>
          <w:sz w:val="20"/>
          <w:szCs w:val="20"/>
        </w:rPr>
        <w:t>Because of its inherent limitations, internal control over financial reporting may not prevent or detect misstatements. Also, projections of any evaluation of effectiveness to future periods are subject to the risk that controls may become inadequate becau</w:t>
      </w:r>
      <w:r>
        <w:rPr>
          <w:rFonts w:ascii="Arial" w:eastAsia="Times New Roman" w:hAnsi="Arial" w:cs="Arial"/>
          <w:color w:val="000000"/>
          <w:sz w:val="20"/>
          <w:szCs w:val="20"/>
        </w:rPr>
        <w:t>se of changes in conditions, or that the degree of compliance with the policies or procedures may deteriorate.</w:t>
      </w:r>
    </w:p>
    <w:p w:rsidR="00000000" w:rsidRDefault="001F1FC8">
      <w:pPr>
        <w:divId w:val="1867206849"/>
        <w:rPr>
          <w:rFonts w:eastAsia="Times New Roman"/>
        </w:rPr>
      </w:pPr>
      <w:r>
        <w:rPr>
          <w:rFonts w:ascii="Arial" w:eastAsia="Times New Roman" w:hAnsi="Arial" w:cs="Arial"/>
          <w:b/>
          <w:bCs/>
          <w:color w:val="000000"/>
          <w:sz w:val="20"/>
          <w:szCs w:val="20"/>
        </w:rPr>
        <w:t xml:space="preserve">Critical Audit Matters </w:t>
      </w:r>
    </w:p>
    <w:p w:rsidR="00000000" w:rsidRDefault="001F1FC8">
      <w:pPr>
        <w:divId w:val="739523539"/>
        <w:rPr>
          <w:rFonts w:eastAsia="Times New Roman"/>
        </w:rPr>
      </w:pPr>
      <w:r>
        <w:rPr>
          <w:rFonts w:ascii="Arial" w:eastAsia="Times New Roman" w:hAnsi="Arial" w:cs="Arial"/>
          <w:color w:val="000000"/>
          <w:sz w:val="20"/>
          <w:szCs w:val="20"/>
        </w:rPr>
        <w:t>The critical audit matter communicated below is a matter arising from the current period audit of the consolidated financ</w:t>
      </w:r>
      <w:r>
        <w:rPr>
          <w:rFonts w:ascii="Arial" w:eastAsia="Times New Roman" w:hAnsi="Arial" w:cs="Arial"/>
          <w:color w:val="000000"/>
          <w:sz w:val="20"/>
          <w:szCs w:val="20"/>
        </w:rPr>
        <w:t xml:space="preserve">ial statements that was communicated or required to be communicated to the audit committee and that (i) relates to accounts or disclosures that are material to the consolidated financial statements and (ii) involved our especially challenging, subjective, </w:t>
      </w:r>
      <w:r>
        <w:rPr>
          <w:rFonts w:ascii="Arial" w:eastAsia="Times New Roman" w:hAnsi="Arial" w:cs="Arial"/>
          <w:color w:val="000000"/>
          <w:sz w:val="20"/>
          <w:szCs w:val="20"/>
        </w:rPr>
        <w:t>or complex judgments. The communication of critical audit matters does not alter in any way our opinion on the consolidated financial statements, taken as a whole, and we are not, by communicating the critical audit matter below, providing a separate opini</w:t>
      </w:r>
      <w:r>
        <w:rPr>
          <w:rFonts w:ascii="Arial" w:eastAsia="Times New Roman" w:hAnsi="Arial" w:cs="Arial"/>
          <w:color w:val="000000"/>
          <w:sz w:val="20"/>
          <w:szCs w:val="20"/>
        </w:rPr>
        <w:t>on on the critical audit matter or on the accounts or disclosures to which it relates.</w:t>
      </w:r>
    </w:p>
    <w:p w:rsidR="00000000" w:rsidRDefault="001F1FC8">
      <w:pPr>
        <w:jc w:val="center"/>
        <w:divId w:val="648435138"/>
        <w:rPr>
          <w:rFonts w:eastAsia="Times New Roman"/>
        </w:rPr>
      </w:pPr>
      <w:r>
        <w:rPr>
          <w:rFonts w:ascii="Arial" w:eastAsia="Times New Roman" w:hAnsi="Arial" w:cs="Arial"/>
          <w:color w:val="000000"/>
          <w:sz w:val="20"/>
          <w:szCs w:val="20"/>
        </w:rPr>
        <w:t>94</w:t>
      </w:r>
    </w:p>
    <w:p w:rsidR="00000000" w:rsidRDefault="001F1FC8">
      <w:pPr>
        <w:rPr>
          <w:rFonts w:eastAsia="Times New Roman"/>
        </w:rPr>
      </w:pPr>
      <w:r>
        <w:rPr>
          <w:rFonts w:eastAsia="Times New Roman"/>
        </w:rPr>
        <w:pict>
          <v:rect id="_x0000_i1124" style="width:0;height:1.5pt" o:hralign="center" o:hrstd="t" o:hr="t" fillcolor="#a0a0a0" stroked="f"/>
        </w:pict>
      </w:r>
    </w:p>
    <w:p w:rsidR="00000000" w:rsidRDefault="001F1FC8">
      <w:pPr>
        <w:jc w:val="center"/>
        <w:divId w:val="1860117556"/>
        <w:rPr>
          <w:rFonts w:eastAsia="Times New Roman"/>
        </w:rPr>
      </w:pPr>
    </w:p>
    <w:p w:rsidR="00000000" w:rsidRDefault="001F1FC8">
      <w:pPr>
        <w:divId w:val="2099521558"/>
        <w:rPr>
          <w:rFonts w:eastAsia="Times New Roman"/>
        </w:rPr>
      </w:pPr>
      <w:r>
        <w:rPr>
          <w:rFonts w:ascii="Arial" w:eastAsia="Times New Roman" w:hAnsi="Arial" w:cs="Arial"/>
          <w:i/>
          <w:iCs/>
          <w:color w:val="000000"/>
          <w:sz w:val="20"/>
          <w:szCs w:val="20"/>
        </w:rPr>
        <w:t>Goodwill impairment assessment</w:t>
      </w:r>
    </w:p>
    <w:p w:rsidR="00000000" w:rsidRDefault="001F1FC8">
      <w:pPr>
        <w:divId w:val="1985348693"/>
        <w:rPr>
          <w:rFonts w:eastAsia="Times New Roman"/>
        </w:rPr>
      </w:pPr>
      <w:r>
        <w:rPr>
          <w:rFonts w:ascii="Arial" w:eastAsia="Times New Roman" w:hAnsi="Arial" w:cs="Arial"/>
          <w:color w:val="000000"/>
          <w:sz w:val="20"/>
          <w:szCs w:val="20"/>
        </w:rPr>
        <w:t>As described in Notes 2 and 16 to the consolidated financial statements, the Company’s goodwill b</w:t>
      </w:r>
      <w:r>
        <w:rPr>
          <w:rFonts w:ascii="Arial" w:eastAsia="Times New Roman" w:hAnsi="Arial" w:cs="Arial"/>
          <w:color w:val="000000"/>
          <w:sz w:val="20"/>
          <w:szCs w:val="20"/>
        </w:rPr>
        <w:t>alance was $32,775 million at December 31, 2021. As disclosed by management, an annual goodwill impairment assessment is performed at the reporting unit level as of April 1 of each year, or more frequently if events or circumstances indicate that the carry</w:t>
      </w:r>
      <w:r>
        <w:rPr>
          <w:rFonts w:ascii="Arial" w:eastAsia="Times New Roman" w:hAnsi="Arial" w:cs="Arial"/>
          <w:color w:val="000000"/>
          <w:sz w:val="20"/>
          <w:szCs w:val="20"/>
        </w:rPr>
        <w:t>ing value of goodwill may be impaired. Management has the option to first assess qualitative factors to determine whether it is necessary to perform the quantitative goodwill impairment assessment. In making the qualitative assessment, management considers</w:t>
      </w:r>
      <w:r>
        <w:rPr>
          <w:rFonts w:ascii="Arial" w:eastAsia="Times New Roman" w:hAnsi="Arial" w:cs="Arial"/>
          <w:color w:val="000000"/>
          <w:sz w:val="20"/>
          <w:szCs w:val="20"/>
        </w:rPr>
        <w:t xml:space="preserve"> macroeconomic trends, changes to regulatory environments, capital accessibility, operating income trends, and changes to industry conditions. The quantitative goodwill impairment assessment involves determining the fair value of the Company’s reporting un</w:t>
      </w:r>
      <w:r>
        <w:rPr>
          <w:rFonts w:ascii="Arial" w:eastAsia="Times New Roman" w:hAnsi="Arial" w:cs="Arial"/>
          <w:color w:val="000000"/>
          <w:sz w:val="20"/>
          <w:szCs w:val="20"/>
        </w:rPr>
        <w:t>its and comparing those values to the carrying value of each reporting unit, including goodwill. Fair value is estimated using a combination of discounted cash flow and earnings multiples techniques. The determination of fair value using the discounted cas</w:t>
      </w:r>
      <w:r>
        <w:rPr>
          <w:rFonts w:ascii="Arial" w:eastAsia="Times New Roman" w:hAnsi="Arial" w:cs="Arial"/>
          <w:color w:val="000000"/>
          <w:sz w:val="20"/>
          <w:szCs w:val="20"/>
        </w:rPr>
        <w:t>h flow technique requires the use of estimates and assumptions related to discount rates, projected operating income, terminal value growth rates, expected future capital expenditures and working capital levels. The determination of fair value using the ea</w:t>
      </w:r>
      <w:r>
        <w:rPr>
          <w:rFonts w:ascii="Arial" w:eastAsia="Times New Roman" w:hAnsi="Arial" w:cs="Arial"/>
          <w:color w:val="000000"/>
          <w:sz w:val="20"/>
          <w:szCs w:val="20"/>
        </w:rPr>
        <w:t>rnings multiples technique requires assumptions to be made in relation to maintainable earnings and earnings multipliers for reporting units. In the current year, the quantitative goodwill impairment assessment was performed for the Gas Transmission and Mi</w:t>
      </w:r>
      <w:r>
        <w:rPr>
          <w:rFonts w:ascii="Arial" w:eastAsia="Times New Roman" w:hAnsi="Arial" w:cs="Arial"/>
          <w:color w:val="000000"/>
          <w:sz w:val="20"/>
          <w:szCs w:val="20"/>
        </w:rPr>
        <w:t>dstream (Gas Transmission) reporting unit, while the qualitative goodwill impairment assessments were performed for the Liquids Pipelines and Gas Distribution and Storage reporting units.</w:t>
      </w:r>
    </w:p>
    <w:p w:rsidR="00000000" w:rsidRDefault="001F1FC8">
      <w:pPr>
        <w:divId w:val="1195466004"/>
        <w:rPr>
          <w:rFonts w:eastAsia="Times New Roman"/>
        </w:rPr>
      </w:pPr>
      <w:r>
        <w:rPr>
          <w:rFonts w:ascii="Arial" w:eastAsia="Times New Roman" w:hAnsi="Arial" w:cs="Arial"/>
          <w:color w:val="000000"/>
          <w:sz w:val="20"/>
          <w:szCs w:val="20"/>
        </w:rPr>
        <w:t>The principal considerations for our determination that performing procedures relating to the goodwill impairment assessment is a critical audit matter are the significant judgment required by management when (i) developing the significant assumptions rela</w:t>
      </w:r>
      <w:r>
        <w:rPr>
          <w:rFonts w:ascii="Arial" w:eastAsia="Times New Roman" w:hAnsi="Arial" w:cs="Arial"/>
          <w:color w:val="000000"/>
          <w:sz w:val="20"/>
          <w:szCs w:val="20"/>
        </w:rPr>
        <w:t>ted to operating income trends used in the qualitative assessment for all reporting units outside of the Gas Transmission reporting unit, and (ii) developing such significant assumptions as discount rates, projected operating income, expected future capita</w:t>
      </w:r>
      <w:r>
        <w:rPr>
          <w:rFonts w:ascii="Arial" w:eastAsia="Times New Roman" w:hAnsi="Arial" w:cs="Arial"/>
          <w:color w:val="000000"/>
          <w:sz w:val="20"/>
          <w:szCs w:val="20"/>
        </w:rPr>
        <w:t>l expenditures and earnings multipliers used to estimate the fair value of the Gas Transmission reporting unit. This led to a high degree of auditor judgment, effort and subjectivity in performing procedures to evaluate the reasonableness of management’s s</w:t>
      </w:r>
      <w:r>
        <w:rPr>
          <w:rFonts w:ascii="Arial" w:eastAsia="Times New Roman" w:hAnsi="Arial" w:cs="Arial"/>
          <w:color w:val="000000"/>
          <w:sz w:val="20"/>
          <w:szCs w:val="20"/>
        </w:rPr>
        <w:t>ignificant assumptions used in the qualitative assessment and the quantitative assessment of the Gas Transmission reporting unit. In addition, the audit effort involved the use of professionals with specialized skill and knowledge to assist in performing t</w:t>
      </w:r>
      <w:r>
        <w:rPr>
          <w:rFonts w:ascii="Arial" w:eastAsia="Times New Roman" w:hAnsi="Arial" w:cs="Arial"/>
          <w:color w:val="000000"/>
          <w:sz w:val="20"/>
          <w:szCs w:val="20"/>
        </w:rPr>
        <w:t>he procedures and evaluating the audit evidence obtained over the quantitative assessment.</w:t>
      </w:r>
    </w:p>
    <w:p w:rsidR="00000000" w:rsidRDefault="001F1FC8">
      <w:pPr>
        <w:divId w:val="1695885932"/>
        <w:rPr>
          <w:rFonts w:eastAsia="Times New Roman"/>
        </w:rPr>
      </w:pPr>
      <w:r>
        <w:rPr>
          <w:rFonts w:ascii="Arial" w:eastAsia="Times New Roman" w:hAnsi="Arial" w:cs="Arial"/>
          <w:color w:val="000000"/>
          <w:sz w:val="20"/>
          <w:szCs w:val="20"/>
        </w:rPr>
        <w:t>Addressing the matter involved performing procedures and evaluating audit evidence in connection with forming our overall opinion on the consolidated financial state</w:t>
      </w:r>
      <w:r>
        <w:rPr>
          <w:rFonts w:ascii="Arial" w:eastAsia="Times New Roman" w:hAnsi="Arial" w:cs="Arial"/>
          <w:color w:val="000000"/>
          <w:sz w:val="20"/>
          <w:szCs w:val="20"/>
        </w:rPr>
        <w:t>ments. These procedures included testing the effectiveness of controls relating to management’s goodwill impairment assessment, including controls over (i) the development of significant assumptions related to operating income trends used in the qualitativ</w:t>
      </w:r>
      <w:r>
        <w:rPr>
          <w:rFonts w:ascii="Arial" w:eastAsia="Times New Roman" w:hAnsi="Arial" w:cs="Arial"/>
          <w:color w:val="000000"/>
          <w:sz w:val="20"/>
          <w:szCs w:val="20"/>
        </w:rPr>
        <w:t>e assessment and (ii) the determination of the fair value estimate of the Gas Transmission reporting unit. These procedures also included, among others (i) evaluating the reasonableness of significant assumptions used by management in the qualitative asses</w:t>
      </w:r>
      <w:r>
        <w:rPr>
          <w:rFonts w:ascii="Arial" w:eastAsia="Times New Roman" w:hAnsi="Arial" w:cs="Arial"/>
          <w:color w:val="000000"/>
          <w:sz w:val="20"/>
          <w:szCs w:val="20"/>
        </w:rPr>
        <w:t>sment of the Company’s reporting units, specifically those related to operating income trends and (ii) testing management’s process for developing the fair value estimate of the Gas Transmission reporting unit. Testing management’s process for developing t</w:t>
      </w:r>
      <w:r>
        <w:rPr>
          <w:rFonts w:ascii="Arial" w:eastAsia="Times New Roman" w:hAnsi="Arial" w:cs="Arial"/>
          <w:color w:val="000000"/>
          <w:sz w:val="20"/>
          <w:szCs w:val="20"/>
        </w:rPr>
        <w:t>he fair value estimate of the Gas Transmission reporting unit included evaluating the appropriateness of the discounted cash flow and the earnings multiples models; testing the completeness, accuracy, and relevance of underlying data used in the models; an</w:t>
      </w:r>
      <w:r>
        <w:rPr>
          <w:rFonts w:ascii="Arial" w:eastAsia="Times New Roman" w:hAnsi="Arial" w:cs="Arial"/>
          <w:color w:val="000000"/>
          <w:sz w:val="20"/>
          <w:szCs w:val="20"/>
        </w:rPr>
        <w:t>d evaluating the reasonableness of significant assumptions used by management in determining the fair value estimate including discount rates, projected operating income, expected future capital expenditures and earnings multipliers.</w:t>
      </w:r>
    </w:p>
    <w:p w:rsidR="00000000" w:rsidRDefault="001F1FC8">
      <w:pPr>
        <w:jc w:val="center"/>
        <w:divId w:val="2134789207"/>
        <w:rPr>
          <w:rFonts w:eastAsia="Times New Roman"/>
        </w:rPr>
      </w:pPr>
      <w:r>
        <w:rPr>
          <w:rFonts w:ascii="Arial" w:eastAsia="Times New Roman" w:hAnsi="Arial" w:cs="Arial"/>
          <w:color w:val="000000"/>
          <w:sz w:val="20"/>
          <w:szCs w:val="20"/>
        </w:rPr>
        <w:t>95</w:t>
      </w:r>
    </w:p>
    <w:p w:rsidR="00000000" w:rsidRDefault="001F1FC8">
      <w:pPr>
        <w:rPr>
          <w:rFonts w:eastAsia="Times New Roman"/>
        </w:rPr>
      </w:pPr>
      <w:r>
        <w:rPr>
          <w:rFonts w:eastAsia="Times New Roman"/>
        </w:rPr>
        <w:pict>
          <v:rect id="_x0000_i1125" style="width:0;height:1.5pt" o:hralign="center" o:hrstd="t" o:hr="t" fillcolor="#a0a0a0" stroked="f"/>
        </w:pict>
      </w:r>
    </w:p>
    <w:p w:rsidR="00000000" w:rsidRDefault="001F1FC8">
      <w:pPr>
        <w:jc w:val="center"/>
        <w:divId w:val="1451513811"/>
        <w:rPr>
          <w:rFonts w:eastAsia="Times New Roman"/>
        </w:rPr>
      </w:pPr>
    </w:p>
    <w:p w:rsidR="00000000" w:rsidRDefault="001F1FC8">
      <w:pPr>
        <w:divId w:val="1330258640"/>
        <w:rPr>
          <w:rFonts w:eastAsia="Times New Roman"/>
        </w:rPr>
      </w:pPr>
      <w:r>
        <w:rPr>
          <w:rFonts w:ascii="Arial" w:eastAsia="Times New Roman" w:hAnsi="Arial" w:cs="Arial"/>
          <w:color w:val="000000"/>
          <w:sz w:val="20"/>
          <w:szCs w:val="20"/>
        </w:rPr>
        <w:t xml:space="preserve">Assessing the reasonableness of projected operating income and its trends, and expected future capital expenditures, involved evaluating whether these significant assumptions were reasonable considering the current and past performance </w:t>
      </w:r>
      <w:r>
        <w:rPr>
          <w:rFonts w:ascii="Arial" w:eastAsia="Times New Roman" w:hAnsi="Arial" w:cs="Arial"/>
          <w:color w:val="000000"/>
          <w:sz w:val="20"/>
          <w:szCs w:val="20"/>
        </w:rPr>
        <w:t>of the Company’s reporting units, external industry data, and evidence obtained in other areas of the audit. Professionals with specialized skill and knowledge were used to assist in evaluating the appropriateness of management’s discounted cash flow and e</w:t>
      </w:r>
      <w:r>
        <w:rPr>
          <w:rFonts w:ascii="Arial" w:eastAsia="Times New Roman" w:hAnsi="Arial" w:cs="Arial"/>
          <w:color w:val="000000"/>
          <w:sz w:val="20"/>
          <w:szCs w:val="20"/>
        </w:rPr>
        <w:t>arnings multiples models and evaluating the reasonableness of assumptions used in the models, specifically discount rates and earnings multipliers.</w:t>
      </w:r>
    </w:p>
    <w:p w:rsidR="00000000" w:rsidRDefault="001F1FC8">
      <w:pPr>
        <w:divId w:val="262961973"/>
        <w:rPr>
          <w:rFonts w:eastAsia="Times New Roman"/>
        </w:rPr>
      </w:pPr>
    </w:p>
    <w:p w:rsidR="00000000" w:rsidRDefault="001F1FC8">
      <w:pPr>
        <w:divId w:val="1487042855"/>
        <w:rPr>
          <w:rFonts w:eastAsia="Times New Roman"/>
        </w:rPr>
      </w:pPr>
      <w:r>
        <w:rPr>
          <w:rFonts w:ascii="Arial" w:eastAsia="Times New Roman" w:hAnsi="Arial" w:cs="Arial"/>
          <w:b/>
          <w:bCs/>
          <w:color w:val="222222"/>
          <w:sz w:val="22"/>
          <w:szCs w:val="22"/>
          <w:shd w:val="clear" w:color="auto" w:fill="FFFFFF"/>
        </w:rPr>
        <w:t>/s/PricewaterhouseCoopers LLP</w:t>
      </w:r>
    </w:p>
    <w:p w:rsidR="00000000" w:rsidRDefault="001F1FC8">
      <w:pPr>
        <w:divId w:val="2027977257"/>
        <w:rPr>
          <w:rFonts w:eastAsia="Times New Roman"/>
        </w:rPr>
      </w:pPr>
      <w:r>
        <w:rPr>
          <w:rFonts w:ascii="Arial" w:eastAsia="Times New Roman" w:hAnsi="Arial" w:cs="Arial"/>
          <w:color w:val="000000"/>
          <w:sz w:val="20"/>
          <w:szCs w:val="20"/>
        </w:rPr>
        <w:t>Chartered Professional Accountants</w:t>
      </w:r>
    </w:p>
    <w:p w:rsidR="00000000" w:rsidRDefault="001F1FC8">
      <w:pPr>
        <w:divId w:val="736630631"/>
        <w:rPr>
          <w:rFonts w:eastAsia="Times New Roman"/>
        </w:rPr>
      </w:pPr>
      <w:r>
        <w:rPr>
          <w:rFonts w:ascii="Arial" w:eastAsia="Times New Roman" w:hAnsi="Arial" w:cs="Arial"/>
          <w:color w:val="000000"/>
          <w:sz w:val="20"/>
          <w:szCs w:val="20"/>
        </w:rPr>
        <w:t>Calgary, Canada</w:t>
      </w:r>
    </w:p>
    <w:p w:rsidR="00000000" w:rsidRDefault="001F1FC8">
      <w:pPr>
        <w:divId w:val="1715422634"/>
        <w:rPr>
          <w:rFonts w:eastAsia="Times New Roman"/>
        </w:rPr>
      </w:pPr>
      <w:r>
        <w:rPr>
          <w:rFonts w:ascii="Arial" w:eastAsia="Times New Roman" w:hAnsi="Arial" w:cs="Arial"/>
          <w:color w:val="000000"/>
          <w:sz w:val="20"/>
          <w:szCs w:val="20"/>
        </w:rPr>
        <w:t>February 11, 2022</w:t>
      </w:r>
    </w:p>
    <w:p w:rsidR="00000000" w:rsidRDefault="001F1FC8">
      <w:pPr>
        <w:divId w:val="503981058"/>
        <w:rPr>
          <w:rFonts w:eastAsia="Times New Roman"/>
        </w:rPr>
      </w:pPr>
      <w:r>
        <w:rPr>
          <w:rFonts w:ascii="Arial" w:eastAsia="Times New Roman" w:hAnsi="Arial" w:cs="Arial"/>
          <w:color w:val="000000"/>
          <w:sz w:val="20"/>
          <w:szCs w:val="20"/>
        </w:rPr>
        <w:t>We have</w:t>
      </w:r>
      <w:r>
        <w:rPr>
          <w:rFonts w:ascii="Arial" w:eastAsia="Times New Roman" w:hAnsi="Arial" w:cs="Arial"/>
          <w:color w:val="000000"/>
          <w:sz w:val="20"/>
          <w:szCs w:val="20"/>
        </w:rPr>
        <w:t xml:space="preserve"> served as the Company's auditor since 1949.</w:t>
      </w:r>
    </w:p>
    <w:p w:rsidR="00000000" w:rsidRDefault="001F1FC8">
      <w:pPr>
        <w:divId w:val="1692604573"/>
        <w:rPr>
          <w:rFonts w:eastAsia="Times New Roman"/>
        </w:rPr>
      </w:pPr>
    </w:p>
    <w:p w:rsidR="00000000" w:rsidRDefault="001F1FC8">
      <w:pPr>
        <w:divId w:val="1126122040"/>
        <w:rPr>
          <w:rFonts w:eastAsia="Times New Roman"/>
        </w:rPr>
      </w:pPr>
    </w:p>
    <w:p w:rsidR="00000000" w:rsidRDefault="001F1FC8">
      <w:pPr>
        <w:divId w:val="1833183947"/>
        <w:rPr>
          <w:rFonts w:eastAsia="Times New Roman"/>
        </w:rPr>
      </w:pPr>
    </w:p>
    <w:p w:rsidR="00000000" w:rsidRDefault="001F1FC8">
      <w:pPr>
        <w:divId w:val="1415778719"/>
        <w:rPr>
          <w:rFonts w:eastAsia="Times New Roman"/>
        </w:rPr>
      </w:pPr>
    </w:p>
    <w:p w:rsidR="00000000" w:rsidRDefault="001F1FC8">
      <w:pPr>
        <w:divId w:val="175583525"/>
        <w:rPr>
          <w:rFonts w:eastAsia="Times New Roman"/>
        </w:rPr>
      </w:pPr>
    </w:p>
    <w:p w:rsidR="00000000" w:rsidRDefault="001F1FC8">
      <w:pPr>
        <w:divId w:val="27919724"/>
        <w:rPr>
          <w:rFonts w:eastAsia="Times New Roman"/>
        </w:rPr>
      </w:pPr>
    </w:p>
    <w:p w:rsidR="00000000" w:rsidRDefault="001F1FC8">
      <w:pPr>
        <w:divId w:val="180704799"/>
        <w:rPr>
          <w:rFonts w:eastAsia="Times New Roman"/>
        </w:rPr>
      </w:pPr>
    </w:p>
    <w:p w:rsidR="00000000" w:rsidRDefault="001F1FC8">
      <w:pPr>
        <w:divId w:val="2011906814"/>
        <w:rPr>
          <w:rFonts w:eastAsia="Times New Roman"/>
        </w:rPr>
      </w:pPr>
    </w:p>
    <w:p w:rsidR="00000000" w:rsidRDefault="001F1FC8">
      <w:pPr>
        <w:divId w:val="375352580"/>
        <w:rPr>
          <w:rFonts w:eastAsia="Times New Roman"/>
        </w:rPr>
      </w:pPr>
    </w:p>
    <w:p w:rsidR="00000000" w:rsidRDefault="001F1FC8">
      <w:pPr>
        <w:divId w:val="1408192307"/>
        <w:rPr>
          <w:rFonts w:eastAsia="Times New Roman"/>
        </w:rPr>
      </w:pPr>
    </w:p>
    <w:p w:rsidR="00000000" w:rsidRDefault="001F1FC8">
      <w:pPr>
        <w:divId w:val="2025744163"/>
        <w:rPr>
          <w:rFonts w:eastAsia="Times New Roman"/>
        </w:rPr>
      </w:pPr>
    </w:p>
    <w:p w:rsidR="00000000" w:rsidRDefault="001F1FC8">
      <w:pPr>
        <w:divId w:val="1610577117"/>
        <w:rPr>
          <w:rFonts w:eastAsia="Times New Roman"/>
        </w:rPr>
      </w:pPr>
    </w:p>
    <w:p w:rsidR="00000000" w:rsidRDefault="001F1FC8">
      <w:pPr>
        <w:jc w:val="center"/>
        <w:divId w:val="1727954329"/>
        <w:rPr>
          <w:rFonts w:eastAsia="Times New Roman"/>
        </w:rPr>
      </w:pPr>
      <w:r>
        <w:rPr>
          <w:rFonts w:ascii="Arial" w:eastAsia="Times New Roman" w:hAnsi="Arial" w:cs="Arial"/>
          <w:color w:val="000000"/>
          <w:sz w:val="20"/>
          <w:szCs w:val="20"/>
        </w:rPr>
        <w:t>96</w:t>
      </w:r>
    </w:p>
    <w:p w:rsidR="00000000" w:rsidRDefault="001F1FC8">
      <w:pPr>
        <w:rPr>
          <w:rFonts w:eastAsia="Times New Roman"/>
        </w:rPr>
      </w:pPr>
      <w:r>
        <w:rPr>
          <w:rFonts w:eastAsia="Times New Roman"/>
        </w:rPr>
        <w:pict>
          <v:rect id="_x0000_i1126" style="width:0;height:1.5pt" o:hralign="center" o:hrstd="t" o:hr="t" fillcolor="#a0a0a0" stroked="f"/>
        </w:pict>
      </w:r>
    </w:p>
    <w:p w:rsidR="00000000" w:rsidRDefault="001F1FC8">
      <w:pPr>
        <w:jc w:val="center"/>
        <w:divId w:val="988829756"/>
        <w:rPr>
          <w:rFonts w:eastAsia="Times New Roman"/>
        </w:rPr>
      </w:pPr>
    </w:p>
    <w:p w:rsidR="00000000" w:rsidRDefault="001F1FC8">
      <w:pPr>
        <w:jc w:val="center"/>
        <w:rPr>
          <w:rFonts w:eastAsia="Times New Roman"/>
        </w:rPr>
      </w:pPr>
      <w:r>
        <w:rPr>
          <w:rFonts w:ascii="Arial" w:eastAsia="Times New Roman" w:hAnsi="Arial" w:cs="Arial"/>
          <w:b/>
          <w:bCs/>
          <w:color w:val="000000"/>
          <w:sz w:val="30"/>
          <w:szCs w:val="30"/>
        </w:rPr>
        <w:t>ENBRIDGE INC.</w:t>
      </w:r>
    </w:p>
    <w:p w:rsidR="00000000" w:rsidRDefault="001F1FC8">
      <w:pPr>
        <w:jc w:val="center"/>
        <w:rPr>
          <w:rFonts w:eastAsia="Times New Roman"/>
        </w:rPr>
      </w:pPr>
      <w:r>
        <w:rPr>
          <w:rFonts w:ascii="Arial" w:eastAsia="Times New Roman" w:hAnsi="Arial" w:cs="Arial"/>
          <w:b/>
          <w:bCs/>
          <w:color w:val="000000"/>
          <w:sz w:val="30"/>
          <w:szCs w:val="30"/>
        </w:rPr>
        <w:t>CONSOLIDATED STATEMENTS OF EARNINGS</w:t>
      </w:r>
    </w:p>
    <w:tbl>
      <w:tblPr>
        <w:tblW w:w="5000" w:type="pct"/>
        <w:tblCellMar>
          <w:top w:w="15" w:type="dxa"/>
          <w:left w:w="15" w:type="dxa"/>
          <w:bottom w:w="15" w:type="dxa"/>
          <w:right w:w="15" w:type="dxa"/>
        </w:tblCellMar>
        <w:tblLook w:val="04A0" w:firstRow="1" w:lastRow="0" w:firstColumn="1" w:lastColumn="0" w:noHBand="0" w:noVBand="1"/>
      </w:tblPr>
      <w:tblGrid>
        <w:gridCol w:w="69"/>
        <w:gridCol w:w="5446"/>
        <w:gridCol w:w="38"/>
        <w:gridCol w:w="69"/>
        <w:gridCol w:w="812"/>
        <w:gridCol w:w="36"/>
        <w:gridCol w:w="69"/>
        <w:gridCol w:w="812"/>
        <w:gridCol w:w="36"/>
        <w:gridCol w:w="69"/>
        <w:gridCol w:w="814"/>
        <w:gridCol w:w="36"/>
      </w:tblGrid>
      <w:tr w:rsidR="00000000">
        <w:trPr>
          <w:divId w:val="886721116"/>
        </w:trPr>
        <w:tc>
          <w:tcPr>
            <w:tcW w:w="50" w:type="pct"/>
            <w:vAlign w:val="center"/>
            <w:hideMark/>
          </w:tcPr>
          <w:p w:rsidR="00000000" w:rsidRDefault="001F1FC8">
            <w:pPr>
              <w:jc w:val="center"/>
              <w:rPr>
                <w:rFonts w:eastAsia="Times New Roman"/>
              </w:rPr>
            </w:pPr>
          </w:p>
        </w:tc>
        <w:tc>
          <w:tcPr>
            <w:tcW w:w="3286"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c>
          <w:tcPr>
            <w:tcW w:w="50" w:type="pct"/>
            <w:vAlign w:val="center"/>
            <w:hideMark/>
          </w:tcPr>
          <w:p w:rsidR="00000000" w:rsidRDefault="001F1FC8">
            <w:pPr>
              <w:rPr>
                <w:rFonts w:eastAsia="Times New Roman"/>
                <w:sz w:val="20"/>
                <w:szCs w:val="20"/>
              </w:rPr>
            </w:pPr>
          </w:p>
        </w:tc>
        <w:tc>
          <w:tcPr>
            <w:tcW w:w="497"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c>
          <w:tcPr>
            <w:tcW w:w="50" w:type="pct"/>
            <w:vAlign w:val="center"/>
            <w:hideMark/>
          </w:tcPr>
          <w:p w:rsidR="00000000" w:rsidRDefault="001F1FC8">
            <w:pPr>
              <w:rPr>
                <w:rFonts w:eastAsia="Times New Roman"/>
                <w:sz w:val="20"/>
                <w:szCs w:val="20"/>
              </w:rPr>
            </w:pPr>
          </w:p>
        </w:tc>
        <w:tc>
          <w:tcPr>
            <w:tcW w:w="497"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c>
          <w:tcPr>
            <w:tcW w:w="50" w:type="pct"/>
            <w:vAlign w:val="center"/>
            <w:hideMark/>
          </w:tcPr>
          <w:p w:rsidR="00000000" w:rsidRDefault="001F1FC8">
            <w:pPr>
              <w:rPr>
                <w:rFonts w:eastAsia="Times New Roman"/>
                <w:sz w:val="20"/>
                <w:szCs w:val="20"/>
              </w:rPr>
            </w:pPr>
          </w:p>
        </w:tc>
        <w:tc>
          <w:tcPr>
            <w:tcW w:w="498"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r>
      <w:tr w:rsidR="00000000">
        <w:trPr>
          <w:divId w:val="886721116"/>
        </w:trPr>
        <w:tc>
          <w:tcPr>
            <w:tcW w:w="0" w:type="auto"/>
            <w:gridSpan w:val="3"/>
            <w:tcMar>
              <w:top w:w="30" w:type="dxa"/>
              <w:left w:w="20" w:type="dxa"/>
              <w:bottom w:w="30" w:type="dxa"/>
              <w:right w:w="20" w:type="dxa"/>
            </w:tcMar>
            <w:vAlign w:val="center"/>
            <w:hideMark/>
          </w:tcPr>
          <w:p w:rsidR="00000000" w:rsidRDefault="001F1FC8">
            <w:pPr>
              <w:rPr>
                <w:rFonts w:eastAsia="Times New Roman"/>
              </w:rPr>
            </w:pPr>
            <w:r>
              <w:rPr>
                <w:rFonts w:ascii="Arial" w:eastAsia="Times New Roman" w:hAnsi="Arial" w:cs="Arial"/>
                <w:color w:val="000000"/>
                <w:sz w:val="20"/>
                <w:szCs w:val="20"/>
              </w:rPr>
              <w:t>Year ended December 31,</w:t>
            </w:r>
          </w:p>
        </w:tc>
        <w:tc>
          <w:tcPr>
            <w:tcW w:w="0" w:type="auto"/>
            <w:gridSpan w:val="3"/>
            <w:tcMar>
              <w:top w:w="30" w:type="dxa"/>
              <w:left w:w="20" w:type="dxa"/>
              <w:bottom w:w="30" w:type="dxa"/>
              <w:right w:w="20" w:type="dxa"/>
            </w:tcMar>
            <w:vAlign w:val="center"/>
            <w:hideMark/>
          </w:tcPr>
          <w:p w:rsidR="00000000" w:rsidRDefault="001F1FC8">
            <w:pPr>
              <w:jc w:val="right"/>
              <w:rPr>
                <w:rFonts w:eastAsia="Times New Roman"/>
              </w:rPr>
            </w:pPr>
            <w:r>
              <w:rPr>
                <w:rFonts w:ascii="Arial" w:eastAsia="Times New Roman" w:hAnsi="Arial" w:cs="Arial"/>
                <w:b/>
                <w:bCs/>
                <w:color w:val="000000"/>
                <w:sz w:val="20"/>
                <w:szCs w:val="20"/>
              </w:rPr>
              <w:t>2021</w:t>
            </w:r>
          </w:p>
        </w:tc>
        <w:tc>
          <w:tcPr>
            <w:tcW w:w="0" w:type="auto"/>
            <w:gridSpan w:val="3"/>
            <w:tcMar>
              <w:top w:w="30" w:type="dxa"/>
              <w:left w:w="20" w:type="dxa"/>
              <w:bottom w:w="30" w:type="dxa"/>
              <w:right w:w="20" w:type="dxa"/>
            </w:tcMar>
            <w:vAlign w:val="center"/>
            <w:hideMark/>
          </w:tcPr>
          <w:p w:rsidR="00000000" w:rsidRDefault="001F1FC8">
            <w:pPr>
              <w:jc w:val="right"/>
              <w:rPr>
                <w:rFonts w:eastAsia="Times New Roman"/>
              </w:rPr>
            </w:pPr>
            <w:r>
              <w:rPr>
                <w:rFonts w:ascii="Arial" w:eastAsia="Times New Roman" w:hAnsi="Arial" w:cs="Arial"/>
                <w:color w:val="000000"/>
                <w:sz w:val="20"/>
                <w:szCs w:val="20"/>
              </w:rPr>
              <w:t>2020</w:t>
            </w:r>
          </w:p>
        </w:tc>
        <w:tc>
          <w:tcPr>
            <w:tcW w:w="0" w:type="auto"/>
            <w:gridSpan w:val="3"/>
            <w:tcMar>
              <w:top w:w="30" w:type="dxa"/>
              <w:left w:w="20" w:type="dxa"/>
              <w:bottom w:w="30" w:type="dxa"/>
              <w:right w:w="20" w:type="dxa"/>
            </w:tcMar>
            <w:vAlign w:val="center"/>
            <w:hideMark/>
          </w:tcPr>
          <w:p w:rsidR="00000000" w:rsidRDefault="001F1FC8">
            <w:pPr>
              <w:jc w:val="right"/>
              <w:rPr>
                <w:rFonts w:eastAsia="Times New Roman"/>
              </w:rPr>
            </w:pPr>
            <w:r>
              <w:rPr>
                <w:rFonts w:ascii="Arial" w:eastAsia="Times New Roman" w:hAnsi="Arial" w:cs="Arial"/>
                <w:color w:val="000000"/>
                <w:sz w:val="20"/>
                <w:szCs w:val="20"/>
              </w:rPr>
              <w:t>2019</w:t>
            </w:r>
          </w:p>
        </w:tc>
      </w:tr>
      <w:tr w:rsidR="00000000">
        <w:trPr>
          <w:divId w:val="886721116"/>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1F1FC8">
            <w:pPr>
              <w:rPr>
                <w:rFonts w:eastAsia="Times New Roman"/>
              </w:rPr>
            </w:pPr>
            <w:r>
              <w:rPr>
                <w:rFonts w:ascii="Arial" w:eastAsia="Times New Roman" w:hAnsi="Arial" w:cs="Arial"/>
                <w:i/>
                <w:iCs/>
                <w:color w:val="000000"/>
                <w:sz w:val="16"/>
                <w:szCs w:val="16"/>
              </w:rPr>
              <w:t>(millions of Canadian dollars, except per share amounts)</w:t>
            </w:r>
          </w:p>
        </w:tc>
        <w:tc>
          <w:tcPr>
            <w:tcW w:w="0" w:type="auto"/>
            <w:gridSpan w:val="3"/>
            <w:tcBorders>
              <w:top w:val="single" w:sz="4" w:space="0" w:color="000000"/>
            </w:tcBorders>
            <w:shd w:val="clear" w:color="auto" w:fill="D8D8D8"/>
            <w:tcMar>
              <w:top w:w="0" w:type="dxa"/>
              <w:left w:w="20" w:type="dxa"/>
              <w:bottom w:w="0" w:type="dxa"/>
              <w:right w:w="20" w:type="dxa"/>
            </w:tcMar>
            <w:vAlign w:val="center"/>
            <w:hideMark/>
          </w:tcPr>
          <w:p w:rsidR="00000000" w:rsidRDefault="001F1FC8">
            <w:pPr>
              <w:rPr>
                <w:rFonts w:eastAsia="Times New Roman"/>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1F1FC8">
            <w:pPr>
              <w:rPr>
                <w:rFonts w:eastAsia="Times New Roman"/>
                <w:sz w:val="20"/>
                <w:szCs w:val="20"/>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1F1FC8">
            <w:pPr>
              <w:rPr>
                <w:rFonts w:eastAsia="Times New Roman"/>
                <w:sz w:val="20"/>
                <w:szCs w:val="20"/>
              </w:rPr>
            </w:pPr>
          </w:p>
        </w:tc>
      </w:tr>
      <w:tr w:rsidR="00000000">
        <w:trPr>
          <w:divId w:val="886721116"/>
        </w:trPr>
        <w:tc>
          <w:tcPr>
            <w:tcW w:w="0" w:type="auto"/>
            <w:gridSpan w:val="3"/>
            <w:tcMar>
              <w:top w:w="30" w:type="dxa"/>
              <w:left w:w="20" w:type="dxa"/>
              <w:bottom w:w="30" w:type="dxa"/>
              <w:right w:w="20" w:type="dxa"/>
            </w:tcMar>
            <w:vAlign w:val="center"/>
            <w:hideMark/>
          </w:tcPr>
          <w:p w:rsidR="00000000" w:rsidRDefault="001F1FC8">
            <w:pPr>
              <w:rPr>
                <w:rFonts w:eastAsia="Times New Roman"/>
              </w:rPr>
            </w:pPr>
            <w:r>
              <w:rPr>
                <w:rFonts w:ascii="Arial" w:eastAsia="Times New Roman" w:hAnsi="Arial" w:cs="Arial"/>
                <w:color w:val="000000"/>
                <w:sz w:val="20"/>
                <w:szCs w:val="20"/>
              </w:rPr>
              <w:t>Operating revenues</w:t>
            </w:r>
          </w:p>
        </w:tc>
        <w:tc>
          <w:tcPr>
            <w:tcW w:w="0" w:type="auto"/>
            <w:gridSpan w:val="3"/>
            <w:shd w:val="clear" w:color="auto" w:fill="D8D8D8"/>
            <w:tcMar>
              <w:top w:w="0" w:type="dxa"/>
              <w:left w:w="20" w:type="dxa"/>
              <w:bottom w:w="0" w:type="dxa"/>
              <w:right w:w="20" w:type="dxa"/>
            </w:tcMar>
            <w:vAlign w:val="center"/>
            <w:hideMark/>
          </w:tcPr>
          <w:p w:rsidR="00000000" w:rsidRDefault="001F1FC8">
            <w:pPr>
              <w:rPr>
                <w:rFonts w:eastAsia="Times New Roman"/>
              </w:rPr>
            </w:pPr>
          </w:p>
        </w:tc>
        <w:tc>
          <w:tcPr>
            <w:tcW w:w="0" w:type="auto"/>
            <w:gridSpan w:val="3"/>
            <w:tcMar>
              <w:top w:w="0" w:type="dxa"/>
              <w:left w:w="20" w:type="dxa"/>
              <w:bottom w:w="0" w:type="dxa"/>
              <w:right w:w="20" w:type="dxa"/>
            </w:tcMar>
            <w:vAlign w:val="center"/>
            <w:hideMark/>
          </w:tcPr>
          <w:p w:rsidR="00000000" w:rsidRDefault="001F1FC8">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1F1FC8">
            <w:pPr>
              <w:rPr>
                <w:rFonts w:eastAsia="Times New Roman"/>
                <w:sz w:val="20"/>
                <w:szCs w:val="20"/>
              </w:rPr>
            </w:pPr>
          </w:p>
        </w:tc>
      </w:tr>
      <w:tr w:rsidR="00000000">
        <w:trPr>
          <w:divId w:val="886721116"/>
        </w:trPr>
        <w:tc>
          <w:tcPr>
            <w:tcW w:w="0" w:type="auto"/>
            <w:gridSpan w:val="3"/>
            <w:tcMar>
              <w:top w:w="30" w:type="dxa"/>
              <w:left w:w="245" w:type="dxa"/>
              <w:bottom w:w="30" w:type="dxa"/>
              <w:right w:w="20" w:type="dxa"/>
            </w:tcMar>
            <w:vAlign w:val="center"/>
            <w:hideMark/>
          </w:tcPr>
          <w:p w:rsidR="00000000" w:rsidRDefault="001F1FC8">
            <w:pPr>
              <w:rPr>
                <w:rFonts w:eastAsia="Times New Roman"/>
              </w:rPr>
            </w:pPr>
            <w:r>
              <w:rPr>
                <w:rFonts w:ascii="Arial" w:eastAsia="Times New Roman" w:hAnsi="Arial" w:cs="Arial"/>
                <w:color w:val="000000"/>
                <w:sz w:val="20"/>
                <w:szCs w:val="20"/>
              </w:rPr>
              <w:t>Commodity sales</w:t>
            </w:r>
          </w:p>
        </w:tc>
        <w:tc>
          <w:tcPr>
            <w:tcW w:w="0" w:type="auto"/>
            <w:gridSpan w:val="2"/>
            <w:shd w:val="clear" w:color="auto" w:fill="D8D8D8"/>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b/>
                <w:bCs/>
                <w:color w:val="000000"/>
                <w:sz w:val="20"/>
                <w:szCs w:val="20"/>
              </w:rPr>
              <w:t>26,873</w:t>
            </w:r>
            <w:r>
              <w:rPr>
                <w:rFonts w:ascii="Arial" w:eastAsia="Times New Roman" w:hAnsi="Arial" w:cs="Arial"/>
                <w:color w:val="000000"/>
                <w:sz w:val="20"/>
                <w:szCs w:val="20"/>
              </w:rPr>
              <w:t> </w:t>
            </w:r>
          </w:p>
        </w:tc>
        <w:tc>
          <w:tcPr>
            <w:tcW w:w="0" w:type="auto"/>
            <w:shd w:val="clear" w:color="auto" w:fill="D8D8D8"/>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20"/>
                <w:szCs w:val="20"/>
              </w:rPr>
              <w:t>19,259 </w:t>
            </w:r>
          </w:p>
        </w:tc>
        <w:tc>
          <w:tcPr>
            <w:tcW w:w="0" w:type="auto"/>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20"/>
                <w:szCs w:val="20"/>
              </w:rPr>
              <w:t>29,309 </w:t>
            </w:r>
          </w:p>
        </w:tc>
        <w:tc>
          <w:tcPr>
            <w:tcW w:w="0" w:type="auto"/>
            <w:tcMar>
              <w:top w:w="30" w:type="dxa"/>
              <w:left w:w="0" w:type="dxa"/>
              <w:bottom w:w="30" w:type="dxa"/>
              <w:right w:w="20" w:type="dxa"/>
            </w:tcMar>
            <w:vAlign w:val="center"/>
            <w:hideMark/>
          </w:tcPr>
          <w:p w:rsidR="00000000" w:rsidRDefault="001F1FC8">
            <w:pPr>
              <w:jc w:val="right"/>
              <w:rPr>
                <w:rFonts w:eastAsia="Times New Roman"/>
              </w:rPr>
            </w:pPr>
          </w:p>
        </w:tc>
      </w:tr>
      <w:tr w:rsidR="00000000">
        <w:trPr>
          <w:divId w:val="886721116"/>
        </w:trPr>
        <w:tc>
          <w:tcPr>
            <w:tcW w:w="0" w:type="auto"/>
            <w:gridSpan w:val="3"/>
            <w:tcMar>
              <w:top w:w="30" w:type="dxa"/>
              <w:left w:w="245" w:type="dxa"/>
              <w:bottom w:w="30" w:type="dxa"/>
              <w:right w:w="20" w:type="dxa"/>
            </w:tcMar>
            <w:vAlign w:val="center"/>
            <w:hideMark/>
          </w:tcPr>
          <w:p w:rsidR="00000000" w:rsidRDefault="001F1FC8">
            <w:pPr>
              <w:rPr>
                <w:rFonts w:eastAsia="Times New Roman"/>
              </w:rPr>
            </w:pPr>
            <w:r>
              <w:rPr>
                <w:rFonts w:ascii="Arial" w:eastAsia="Times New Roman" w:hAnsi="Arial" w:cs="Arial"/>
                <w:color w:val="000000"/>
                <w:sz w:val="20"/>
                <w:szCs w:val="20"/>
              </w:rPr>
              <w:t>Gas distribution sales</w:t>
            </w:r>
          </w:p>
        </w:tc>
        <w:tc>
          <w:tcPr>
            <w:tcW w:w="0" w:type="auto"/>
            <w:gridSpan w:val="2"/>
            <w:shd w:val="clear" w:color="auto" w:fill="D8D8D8"/>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b/>
                <w:bCs/>
                <w:color w:val="000000"/>
                <w:sz w:val="20"/>
                <w:szCs w:val="20"/>
              </w:rPr>
              <w:t>4,026</w:t>
            </w:r>
            <w:r>
              <w:rPr>
                <w:rFonts w:ascii="Arial" w:eastAsia="Times New Roman" w:hAnsi="Arial" w:cs="Arial"/>
                <w:color w:val="000000"/>
                <w:sz w:val="20"/>
                <w:szCs w:val="20"/>
              </w:rPr>
              <w:t> </w:t>
            </w:r>
          </w:p>
        </w:tc>
        <w:tc>
          <w:tcPr>
            <w:tcW w:w="0" w:type="auto"/>
            <w:shd w:val="clear" w:color="auto" w:fill="D8D8D8"/>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20"/>
                <w:szCs w:val="20"/>
              </w:rPr>
              <w:t>3,663 </w:t>
            </w:r>
          </w:p>
        </w:tc>
        <w:tc>
          <w:tcPr>
            <w:tcW w:w="0" w:type="auto"/>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20"/>
                <w:szCs w:val="20"/>
              </w:rPr>
              <w:t>4,205 </w:t>
            </w:r>
          </w:p>
        </w:tc>
        <w:tc>
          <w:tcPr>
            <w:tcW w:w="0" w:type="auto"/>
            <w:tcMar>
              <w:top w:w="30" w:type="dxa"/>
              <w:left w:w="0" w:type="dxa"/>
              <w:bottom w:w="30" w:type="dxa"/>
              <w:right w:w="20" w:type="dxa"/>
            </w:tcMar>
            <w:vAlign w:val="center"/>
            <w:hideMark/>
          </w:tcPr>
          <w:p w:rsidR="00000000" w:rsidRDefault="001F1FC8">
            <w:pPr>
              <w:jc w:val="right"/>
              <w:rPr>
                <w:rFonts w:eastAsia="Times New Roman"/>
              </w:rPr>
            </w:pPr>
          </w:p>
        </w:tc>
      </w:tr>
      <w:tr w:rsidR="00000000">
        <w:trPr>
          <w:divId w:val="886721116"/>
        </w:trPr>
        <w:tc>
          <w:tcPr>
            <w:tcW w:w="0" w:type="auto"/>
            <w:gridSpan w:val="3"/>
            <w:tcMar>
              <w:top w:w="30" w:type="dxa"/>
              <w:left w:w="245" w:type="dxa"/>
              <w:bottom w:w="30" w:type="dxa"/>
              <w:right w:w="20" w:type="dxa"/>
            </w:tcMar>
            <w:vAlign w:val="center"/>
            <w:hideMark/>
          </w:tcPr>
          <w:p w:rsidR="00000000" w:rsidRDefault="001F1FC8">
            <w:pPr>
              <w:rPr>
                <w:rFonts w:eastAsia="Times New Roman"/>
              </w:rPr>
            </w:pPr>
            <w:r>
              <w:rPr>
                <w:rFonts w:ascii="Arial" w:eastAsia="Times New Roman" w:hAnsi="Arial" w:cs="Arial"/>
                <w:color w:val="000000"/>
                <w:sz w:val="20"/>
                <w:szCs w:val="20"/>
              </w:rPr>
              <w:t>Transportation and other services</w:t>
            </w:r>
          </w:p>
        </w:tc>
        <w:tc>
          <w:tcPr>
            <w:tcW w:w="0" w:type="auto"/>
            <w:gridSpan w:val="2"/>
            <w:shd w:val="clear" w:color="auto" w:fill="D8D8D8"/>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b/>
                <w:bCs/>
                <w:color w:val="000000"/>
                <w:sz w:val="20"/>
                <w:szCs w:val="20"/>
              </w:rPr>
              <w:t>16,172</w:t>
            </w:r>
            <w:r>
              <w:rPr>
                <w:rFonts w:ascii="Arial" w:eastAsia="Times New Roman" w:hAnsi="Arial" w:cs="Arial"/>
                <w:color w:val="000000"/>
                <w:sz w:val="20"/>
                <w:szCs w:val="20"/>
              </w:rPr>
              <w:t> </w:t>
            </w:r>
          </w:p>
        </w:tc>
        <w:tc>
          <w:tcPr>
            <w:tcW w:w="0" w:type="auto"/>
            <w:shd w:val="clear" w:color="auto" w:fill="D8D8D8"/>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20"/>
                <w:szCs w:val="20"/>
              </w:rPr>
              <w:t>16,165 </w:t>
            </w:r>
          </w:p>
        </w:tc>
        <w:tc>
          <w:tcPr>
            <w:tcW w:w="0" w:type="auto"/>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20"/>
                <w:szCs w:val="20"/>
              </w:rPr>
              <w:t>16,555 </w:t>
            </w:r>
          </w:p>
        </w:tc>
        <w:tc>
          <w:tcPr>
            <w:tcW w:w="0" w:type="auto"/>
            <w:tcMar>
              <w:top w:w="30" w:type="dxa"/>
              <w:left w:w="0" w:type="dxa"/>
              <w:bottom w:w="30" w:type="dxa"/>
              <w:right w:w="20" w:type="dxa"/>
            </w:tcMar>
            <w:vAlign w:val="center"/>
            <w:hideMark/>
          </w:tcPr>
          <w:p w:rsidR="00000000" w:rsidRDefault="001F1FC8">
            <w:pPr>
              <w:jc w:val="right"/>
              <w:rPr>
                <w:rFonts w:eastAsia="Times New Roman"/>
              </w:rPr>
            </w:pPr>
          </w:p>
        </w:tc>
      </w:tr>
      <w:tr w:rsidR="00000000">
        <w:trPr>
          <w:divId w:val="886721116"/>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1F1FC8">
            <w:pPr>
              <w:divId w:val="704134571"/>
              <w:rPr>
                <w:rFonts w:eastAsia="Times New Roman"/>
              </w:rPr>
            </w:pPr>
            <w:r>
              <w:rPr>
                <w:rFonts w:ascii="Arial" w:eastAsia="Times New Roman" w:hAnsi="Arial" w:cs="Arial"/>
                <w:color w:val="000000"/>
                <w:sz w:val="20"/>
                <w:szCs w:val="20"/>
              </w:rPr>
              <w:t xml:space="preserve">Total operating revenues </w:t>
            </w:r>
            <w:r>
              <w:rPr>
                <w:rFonts w:ascii="Arial" w:eastAsia="Times New Roman" w:hAnsi="Arial" w:cs="Arial"/>
                <w:i/>
                <w:iCs/>
                <w:color w:val="000000"/>
                <w:sz w:val="16"/>
                <w:szCs w:val="16"/>
              </w:rPr>
              <w:t>(Note 4)</w:t>
            </w:r>
          </w:p>
        </w:tc>
        <w:tc>
          <w:tcPr>
            <w:tcW w:w="0" w:type="auto"/>
            <w:gridSpan w:val="2"/>
            <w:tcBorders>
              <w:top w:val="single" w:sz="4" w:space="0" w:color="000000"/>
            </w:tcBorders>
            <w:shd w:val="clear" w:color="auto" w:fill="D8D8D8"/>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b/>
                <w:bCs/>
                <w:color w:val="000000"/>
                <w:sz w:val="20"/>
                <w:szCs w:val="20"/>
              </w:rPr>
              <w:t>47,071</w:t>
            </w:r>
            <w:r>
              <w:rPr>
                <w:rFonts w:ascii="Arial" w:eastAsia="Times New Roman" w:hAnsi="Arial" w:cs="Arial"/>
                <w:color w:val="000000"/>
                <w:sz w:val="20"/>
                <w:szCs w:val="20"/>
              </w:rPr>
              <w:t> </w:t>
            </w:r>
          </w:p>
        </w:tc>
        <w:tc>
          <w:tcPr>
            <w:tcW w:w="0" w:type="auto"/>
            <w:tcBorders>
              <w:top w:val="single" w:sz="4" w:space="0" w:color="000000"/>
            </w:tcBorders>
            <w:shd w:val="clear" w:color="auto" w:fill="D8D8D8"/>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20"/>
                <w:szCs w:val="20"/>
              </w:rPr>
              <w:t>39,087 </w:t>
            </w:r>
          </w:p>
        </w:tc>
        <w:tc>
          <w:tcPr>
            <w:tcW w:w="0" w:type="auto"/>
            <w:tcBorders>
              <w:top w:val="single" w:sz="4" w:space="0" w:color="000000"/>
            </w:tcBorders>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20"/>
                <w:szCs w:val="20"/>
              </w:rPr>
              <w:t>50,069 </w:t>
            </w:r>
          </w:p>
        </w:tc>
        <w:tc>
          <w:tcPr>
            <w:tcW w:w="0" w:type="auto"/>
            <w:tcBorders>
              <w:top w:val="single" w:sz="4" w:space="0" w:color="000000"/>
            </w:tcBorders>
            <w:tcMar>
              <w:top w:w="30" w:type="dxa"/>
              <w:left w:w="0" w:type="dxa"/>
              <w:bottom w:w="30" w:type="dxa"/>
              <w:right w:w="20" w:type="dxa"/>
            </w:tcMar>
            <w:vAlign w:val="center"/>
            <w:hideMark/>
          </w:tcPr>
          <w:p w:rsidR="00000000" w:rsidRDefault="001F1FC8">
            <w:pPr>
              <w:jc w:val="right"/>
              <w:rPr>
                <w:rFonts w:eastAsia="Times New Roman"/>
              </w:rPr>
            </w:pPr>
          </w:p>
        </w:tc>
      </w:tr>
      <w:tr w:rsidR="00000000">
        <w:trPr>
          <w:divId w:val="886721116"/>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1F1FC8">
            <w:pPr>
              <w:rPr>
                <w:rFonts w:eastAsia="Times New Roman"/>
              </w:rPr>
            </w:pPr>
            <w:r>
              <w:rPr>
                <w:rFonts w:ascii="Arial" w:eastAsia="Times New Roman" w:hAnsi="Arial" w:cs="Arial"/>
                <w:color w:val="000000"/>
                <w:sz w:val="20"/>
                <w:szCs w:val="20"/>
              </w:rPr>
              <w:t>Operating expenses</w:t>
            </w:r>
          </w:p>
        </w:tc>
        <w:tc>
          <w:tcPr>
            <w:tcW w:w="0" w:type="auto"/>
            <w:gridSpan w:val="3"/>
            <w:tcBorders>
              <w:top w:val="single" w:sz="4" w:space="0" w:color="000000"/>
            </w:tcBorders>
            <w:shd w:val="clear" w:color="auto" w:fill="D8D8D8"/>
            <w:tcMar>
              <w:top w:w="0" w:type="dxa"/>
              <w:left w:w="20" w:type="dxa"/>
              <w:bottom w:w="0" w:type="dxa"/>
              <w:right w:w="20" w:type="dxa"/>
            </w:tcMar>
            <w:vAlign w:val="center"/>
            <w:hideMark/>
          </w:tcPr>
          <w:p w:rsidR="00000000" w:rsidRDefault="001F1FC8">
            <w:pPr>
              <w:rPr>
                <w:rFonts w:eastAsia="Times New Roman"/>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1F1FC8">
            <w:pPr>
              <w:rPr>
                <w:rFonts w:eastAsia="Times New Roman"/>
                <w:sz w:val="20"/>
                <w:szCs w:val="20"/>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1F1FC8">
            <w:pPr>
              <w:rPr>
                <w:rFonts w:eastAsia="Times New Roman"/>
                <w:sz w:val="20"/>
                <w:szCs w:val="20"/>
              </w:rPr>
            </w:pPr>
          </w:p>
        </w:tc>
      </w:tr>
      <w:tr w:rsidR="00000000">
        <w:trPr>
          <w:divId w:val="886721116"/>
        </w:trPr>
        <w:tc>
          <w:tcPr>
            <w:tcW w:w="0" w:type="auto"/>
            <w:gridSpan w:val="3"/>
            <w:tcMar>
              <w:top w:w="30" w:type="dxa"/>
              <w:left w:w="245" w:type="dxa"/>
              <w:bottom w:w="30" w:type="dxa"/>
              <w:right w:w="20" w:type="dxa"/>
            </w:tcMar>
            <w:vAlign w:val="center"/>
            <w:hideMark/>
          </w:tcPr>
          <w:p w:rsidR="00000000" w:rsidRDefault="001F1FC8">
            <w:pPr>
              <w:rPr>
                <w:rFonts w:eastAsia="Times New Roman"/>
              </w:rPr>
            </w:pPr>
            <w:r>
              <w:rPr>
                <w:rFonts w:ascii="Arial" w:eastAsia="Times New Roman" w:hAnsi="Arial" w:cs="Arial"/>
                <w:color w:val="000000"/>
                <w:sz w:val="20"/>
                <w:szCs w:val="20"/>
              </w:rPr>
              <w:t>Commodity costs</w:t>
            </w:r>
          </w:p>
        </w:tc>
        <w:tc>
          <w:tcPr>
            <w:tcW w:w="0" w:type="auto"/>
            <w:gridSpan w:val="2"/>
            <w:shd w:val="clear" w:color="auto" w:fill="D8D8D8"/>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b/>
                <w:bCs/>
                <w:color w:val="000000"/>
                <w:sz w:val="20"/>
                <w:szCs w:val="20"/>
              </w:rPr>
              <w:t>26,608</w:t>
            </w:r>
            <w:r>
              <w:rPr>
                <w:rFonts w:ascii="Arial" w:eastAsia="Times New Roman" w:hAnsi="Arial" w:cs="Arial"/>
                <w:color w:val="000000"/>
                <w:sz w:val="20"/>
                <w:szCs w:val="20"/>
              </w:rPr>
              <w:t> </w:t>
            </w:r>
          </w:p>
        </w:tc>
        <w:tc>
          <w:tcPr>
            <w:tcW w:w="0" w:type="auto"/>
            <w:shd w:val="clear" w:color="auto" w:fill="D8D8D8"/>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20"/>
                <w:szCs w:val="20"/>
              </w:rPr>
              <w:t>18,890 </w:t>
            </w:r>
          </w:p>
        </w:tc>
        <w:tc>
          <w:tcPr>
            <w:tcW w:w="0" w:type="auto"/>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20"/>
                <w:szCs w:val="20"/>
              </w:rPr>
              <w:t>28,802 </w:t>
            </w:r>
          </w:p>
        </w:tc>
        <w:tc>
          <w:tcPr>
            <w:tcW w:w="0" w:type="auto"/>
            <w:tcMar>
              <w:top w:w="30" w:type="dxa"/>
              <w:left w:w="0" w:type="dxa"/>
              <w:bottom w:w="30" w:type="dxa"/>
              <w:right w:w="20" w:type="dxa"/>
            </w:tcMar>
            <w:vAlign w:val="center"/>
            <w:hideMark/>
          </w:tcPr>
          <w:p w:rsidR="00000000" w:rsidRDefault="001F1FC8">
            <w:pPr>
              <w:jc w:val="right"/>
              <w:rPr>
                <w:rFonts w:eastAsia="Times New Roman"/>
              </w:rPr>
            </w:pPr>
          </w:p>
        </w:tc>
      </w:tr>
      <w:tr w:rsidR="00000000">
        <w:trPr>
          <w:divId w:val="886721116"/>
        </w:trPr>
        <w:tc>
          <w:tcPr>
            <w:tcW w:w="0" w:type="auto"/>
            <w:gridSpan w:val="3"/>
            <w:tcMar>
              <w:top w:w="30" w:type="dxa"/>
              <w:left w:w="245" w:type="dxa"/>
              <w:bottom w:w="30" w:type="dxa"/>
              <w:right w:w="20" w:type="dxa"/>
            </w:tcMar>
            <w:vAlign w:val="center"/>
            <w:hideMark/>
          </w:tcPr>
          <w:p w:rsidR="00000000" w:rsidRDefault="001F1FC8">
            <w:pPr>
              <w:rPr>
                <w:rFonts w:eastAsia="Times New Roman"/>
              </w:rPr>
            </w:pPr>
            <w:r>
              <w:rPr>
                <w:rFonts w:ascii="Arial" w:eastAsia="Times New Roman" w:hAnsi="Arial" w:cs="Arial"/>
                <w:color w:val="000000"/>
                <w:sz w:val="20"/>
                <w:szCs w:val="20"/>
              </w:rPr>
              <w:t>Gas distribution costs</w:t>
            </w:r>
          </w:p>
        </w:tc>
        <w:tc>
          <w:tcPr>
            <w:tcW w:w="0" w:type="auto"/>
            <w:gridSpan w:val="2"/>
            <w:shd w:val="clear" w:color="auto" w:fill="D8D8D8"/>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b/>
                <w:bCs/>
                <w:color w:val="000000"/>
                <w:sz w:val="20"/>
                <w:szCs w:val="20"/>
              </w:rPr>
              <w:t>2,094</w:t>
            </w:r>
            <w:r>
              <w:rPr>
                <w:rFonts w:ascii="Arial" w:eastAsia="Times New Roman" w:hAnsi="Arial" w:cs="Arial"/>
                <w:color w:val="000000"/>
                <w:sz w:val="20"/>
                <w:szCs w:val="20"/>
              </w:rPr>
              <w:t> </w:t>
            </w:r>
          </w:p>
        </w:tc>
        <w:tc>
          <w:tcPr>
            <w:tcW w:w="0" w:type="auto"/>
            <w:shd w:val="clear" w:color="auto" w:fill="D8D8D8"/>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20"/>
                <w:szCs w:val="20"/>
              </w:rPr>
              <w:t>1,779 </w:t>
            </w:r>
          </w:p>
        </w:tc>
        <w:tc>
          <w:tcPr>
            <w:tcW w:w="0" w:type="auto"/>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20"/>
                <w:szCs w:val="20"/>
              </w:rPr>
              <w:t>2,202 </w:t>
            </w:r>
          </w:p>
        </w:tc>
        <w:tc>
          <w:tcPr>
            <w:tcW w:w="0" w:type="auto"/>
            <w:tcMar>
              <w:top w:w="30" w:type="dxa"/>
              <w:left w:w="0" w:type="dxa"/>
              <w:bottom w:w="30" w:type="dxa"/>
              <w:right w:w="20" w:type="dxa"/>
            </w:tcMar>
            <w:vAlign w:val="center"/>
            <w:hideMark/>
          </w:tcPr>
          <w:p w:rsidR="00000000" w:rsidRDefault="001F1FC8">
            <w:pPr>
              <w:jc w:val="right"/>
              <w:rPr>
                <w:rFonts w:eastAsia="Times New Roman"/>
              </w:rPr>
            </w:pPr>
          </w:p>
        </w:tc>
      </w:tr>
      <w:tr w:rsidR="00000000">
        <w:trPr>
          <w:divId w:val="886721116"/>
        </w:trPr>
        <w:tc>
          <w:tcPr>
            <w:tcW w:w="0" w:type="auto"/>
            <w:gridSpan w:val="3"/>
            <w:tcMar>
              <w:top w:w="30" w:type="dxa"/>
              <w:left w:w="245" w:type="dxa"/>
              <w:bottom w:w="30" w:type="dxa"/>
              <w:right w:w="20" w:type="dxa"/>
            </w:tcMar>
            <w:vAlign w:val="center"/>
            <w:hideMark/>
          </w:tcPr>
          <w:p w:rsidR="00000000" w:rsidRDefault="001F1FC8">
            <w:pPr>
              <w:rPr>
                <w:rFonts w:eastAsia="Times New Roman"/>
              </w:rPr>
            </w:pPr>
            <w:r>
              <w:rPr>
                <w:rFonts w:ascii="Arial" w:eastAsia="Times New Roman" w:hAnsi="Arial" w:cs="Arial"/>
                <w:color w:val="000000"/>
                <w:sz w:val="20"/>
                <w:szCs w:val="20"/>
              </w:rPr>
              <w:t>Operating and administrative</w:t>
            </w:r>
          </w:p>
        </w:tc>
        <w:tc>
          <w:tcPr>
            <w:tcW w:w="0" w:type="auto"/>
            <w:gridSpan w:val="2"/>
            <w:shd w:val="clear" w:color="auto" w:fill="D8D8D8"/>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b/>
                <w:bCs/>
                <w:color w:val="000000"/>
                <w:sz w:val="20"/>
                <w:szCs w:val="20"/>
              </w:rPr>
              <w:t>6,712</w:t>
            </w:r>
            <w:r>
              <w:rPr>
                <w:rFonts w:ascii="Arial" w:eastAsia="Times New Roman" w:hAnsi="Arial" w:cs="Arial"/>
                <w:color w:val="000000"/>
                <w:sz w:val="20"/>
                <w:szCs w:val="20"/>
              </w:rPr>
              <w:t> </w:t>
            </w:r>
          </w:p>
        </w:tc>
        <w:tc>
          <w:tcPr>
            <w:tcW w:w="0" w:type="auto"/>
            <w:shd w:val="clear" w:color="auto" w:fill="D8D8D8"/>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20"/>
                <w:szCs w:val="20"/>
              </w:rPr>
              <w:t>6,749 </w:t>
            </w:r>
          </w:p>
        </w:tc>
        <w:tc>
          <w:tcPr>
            <w:tcW w:w="0" w:type="auto"/>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20"/>
                <w:szCs w:val="20"/>
              </w:rPr>
              <w:t>6,991 </w:t>
            </w:r>
          </w:p>
        </w:tc>
        <w:tc>
          <w:tcPr>
            <w:tcW w:w="0" w:type="auto"/>
            <w:tcMar>
              <w:top w:w="30" w:type="dxa"/>
              <w:left w:w="0" w:type="dxa"/>
              <w:bottom w:w="30" w:type="dxa"/>
              <w:right w:w="20" w:type="dxa"/>
            </w:tcMar>
            <w:vAlign w:val="center"/>
            <w:hideMark/>
          </w:tcPr>
          <w:p w:rsidR="00000000" w:rsidRDefault="001F1FC8">
            <w:pPr>
              <w:jc w:val="right"/>
              <w:rPr>
                <w:rFonts w:eastAsia="Times New Roman"/>
              </w:rPr>
            </w:pPr>
          </w:p>
        </w:tc>
      </w:tr>
      <w:tr w:rsidR="00000000">
        <w:trPr>
          <w:divId w:val="886721116"/>
        </w:trPr>
        <w:tc>
          <w:tcPr>
            <w:tcW w:w="0" w:type="auto"/>
            <w:gridSpan w:val="3"/>
            <w:tcMar>
              <w:top w:w="30" w:type="dxa"/>
              <w:left w:w="245" w:type="dxa"/>
              <w:bottom w:w="30" w:type="dxa"/>
              <w:right w:w="20" w:type="dxa"/>
            </w:tcMar>
            <w:vAlign w:val="center"/>
            <w:hideMark/>
          </w:tcPr>
          <w:p w:rsidR="00000000" w:rsidRDefault="001F1FC8">
            <w:pPr>
              <w:rPr>
                <w:rFonts w:eastAsia="Times New Roman"/>
              </w:rPr>
            </w:pPr>
            <w:r>
              <w:rPr>
                <w:rFonts w:ascii="Arial" w:eastAsia="Times New Roman" w:hAnsi="Arial" w:cs="Arial"/>
                <w:color w:val="000000"/>
                <w:sz w:val="20"/>
                <w:szCs w:val="20"/>
              </w:rPr>
              <w:t>Depreciation and amortization</w:t>
            </w:r>
          </w:p>
        </w:tc>
        <w:tc>
          <w:tcPr>
            <w:tcW w:w="0" w:type="auto"/>
            <w:gridSpan w:val="2"/>
            <w:shd w:val="clear" w:color="auto" w:fill="D8D8D8"/>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b/>
                <w:bCs/>
                <w:color w:val="000000"/>
                <w:sz w:val="20"/>
                <w:szCs w:val="20"/>
              </w:rPr>
              <w:t>3,852</w:t>
            </w:r>
            <w:r>
              <w:rPr>
                <w:rFonts w:ascii="Arial" w:eastAsia="Times New Roman" w:hAnsi="Arial" w:cs="Arial"/>
                <w:color w:val="000000"/>
                <w:sz w:val="20"/>
                <w:szCs w:val="20"/>
              </w:rPr>
              <w:t> </w:t>
            </w:r>
          </w:p>
        </w:tc>
        <w:tc>
          <w:tcPr>
            <w:tcW w:w="0" w:type="auto"/>
            <w:shd w:val="clear" w:color="auto" w:fill="D8D8D8"/>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20"/>
                <w:szCs w:val="20"/>
              </w:rPr>
              <w:t>3,712 </w:t>
            </w:r>
          </w:p>
        </w:tc>
        <w:tc>
          <w:tcPr>
            <w:tcW w:w="0" w:type="auto"/>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20"/>
                <w:szCs w:val="20"/>
              </w:rPr>
              <w:t>3,391 </w:t>
            </w:r>
          </w:p>
        </w:tc>
        <w:tc>
          <w:tcPr>
            <w:tcW w:w="0" w:type="auto"/>
            <w:tcMar>
              <w:top w:w="30" w:type="dxa"/>
              <w:left w:w="0" w:type="dxa"/>
              <w:bottom w:w="30" w:type="dxa"/>
              <w:right w:w="20" w:type="dxa"/>
            </w:tcMar>
            <w:vAlign w:val="center"/>
            <w:hideMark/>
          </w:tcPr>
          <w:p w:rsidR="00000000" w:rsidRDefault="001F1FC8">
            <w:pPr>
              <w:jc w:val="right"/>
              <w:rPr>
                <w:rFonts w:eastAsia="Times New Roman"/>
              </w:rPr>
            </w:pPr>
          </w:p>
        </w:tc>
      </w:tr>
      <w:tr w:rsidR="00000000">
        <w:trPr>
          <w:divId w:val="886721116"/>
        </w:trPr>
        <w:tc>
          <w:tcPr>
            <w:tcW w:w="0" w:type="auto"/>
            <w:gridSpan w:val="3"/>
            <w:shd w:val="clear" w:color="auto" w:fill="FFFFFF"/>
            <w:tcMar>
              <w:top w:w="30" w:type="dxa"/>
              <w:left w:w="245" w:type="dxa"/>
              <w:bottom w:w="30" w:type="dxa"/>
              <w:right w:w="20" w:type="dxa"/>
            </w:tcMar>
            <w:vAlign w:val="center"/>
            <w:hideMark/>
          </w:tcPr>
          <w:p w:rsidR="00000000" w:rsidRDefault="001F1FC8">
            <w:pPr>
              <w:rPr>
                <w:rFonts w:eastAsia="Times New Roman"/>
              </w:rPr>
            </w:pPr>
            <w:r>
              <w:rPr>
                <w:rFonts w:ascii="Arial" w:eastAsia="Times New Roman" w:hAnsi="Arial" w:cs="Arial"/>
                <w:color w:val="000000"/>
                <w:sz w:val="20"/>
                <w:szCs w:val="20"/>
              </w:rPr>
              <w:t>Impairment of long-lived assets</w:t>
            </w:r>
          </w:p>
        </w:tc>
        <w:tc>
          <w:tcPr>
            <w:tcW w:w="0" w:type="auto"/>
            <w:gridSpan w:val="2"/>
            <w:shd w:val="clear" w:color="auto" w:fill="D8D8D8"/>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b/>
                <w:bCs/>
                <w:color w:val="000000"/>
                <w:sz w:val="20"/>
                <w:szCs w:val="20"/>
              </w:rPr>
              <w:t>—</w:t>
            </w:r>
            <w:r>
              <w:rPr>
                <w:rFonts w:ascii="Arial" w:eastAsia="Times New Roman" w:hAnsi="Arial" w:cs="Arial"/>
                <w:color w:val="000000"/>
                <w:sz w:val="20"/>
                <w:szCs w:val="20"/>
              </w:rPr>
              <w:t> </w:t>
            </w:r>
          </w:p>
        </w:tc>
        <w:tc>
          <w:tcPr>
            <w:tcW w:w="0" w:type="auto"/>
            <w:shd w:val="clear" w:color="auto" w:fill="D8D8D8"/>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20"/>
                <w:szCs w:val="20"/>
              </w:rPr>
              <w:t>— </w:t>
            </w:r>
          </w:p>
        </w:tc>
        <w:tc>
          <w:tcPr>
            <w:tcW w:w="0" w:type="auto"/>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20"/>
                <w:szCs w:val="20"/>
              </w:rPr>
              <w:t>423 </w:t>
            </w:r>
          </w:p>
        </w:tc>
        <w:tc>
          <w:tcPr>
            <w:tcW w:w="0" w:type="auto"/>
            <w:tcMar>
              <w:top w:w="30" w:type="dxa"/>
              <w:left w:w="0" w:type="dxa"/>
              <w:bottom w:w="30" w:type="dxa"/>
              <w:right w:w="20" w:type="dxa"/>
            </w:tcMar>
            <w:vAlign w:val="center"/>
            <w:hideMark/>
          </w:tcPr>
          <w:p w:rsidR="00000000" w:rsidRDefault="001F1FC8">
            <w:pPr>
              <w:jc w:val="right"/>
              <w:rPr>
                <w:rFonts w:eastAsia="Times New Roman"/>
              </w:rPr>
            </w:pPr>
          </w:p>
        </w:tc>
      </w:tr>
      <w:tr w:rsidR="00000000">
        <w:trPr>
          <w:divId w:val="886721116"/>
        </w:trPr>
        <w:tc>
          <w:tcPr>
            <w:tcW w:w="0" w:type="auto"/>
            <w:gridSpan w:val="3"/>
            <w:vAlign w:val="center"/>
            <w:hideMark/>
          </w:tcPr>
          <w:p w:rsidR="00000000" w:rsidRDefault="001F1FC8">
            <w:pPr>
              <w:jc w:val="right"/>
              <w:rPr>
                <w:rFonts w:eastAsia="Times New Roman"/>
                <w:sz w:val="20"/>
                <w:szCs w:val="20"/>
              </w:rPr>
            </w:pPr>
          </w:p>
        </w:tc>
        <w:tc>
          <w:tcPr>
            <w:tcW w:w="0" w:type="auto"/>
            <w:gridSpan w:val="3"/>
            <w:vAlign w:val="center"/>
            <w:hideMark/>
          </w:tcPr>
          <w:p w:rsidR="00000000" w:rsidRDefault="001F1FC8">
            <w:pPr>
              <w:rPr>
                <w:rFonts w:eastAsia="Times New Roman"/>
                <w:sz w:val="20"/>
                <w:szCs w:val="20"/>
              </w:rPr>
            </w:pPr>
          </w:p>
        </w:tc>
        <w:tc>
          <w:tcPr>
            <w:tcW w:w="0" w:type="auto"/>
            <w:gridSpan w:val="3"/>
            <w:vAlign w:val="center"/>
            <w:hideMark/>
          </w:tcPr>
          <w:p w:rsidR="00000000" w:rsidRDefault="001F1FC8">
            <w:pPr>
              <w:rPr>
                <w:rFonts w:eastAsia="Times New Roman"/>
                <w:sz w:val="20"/>
                <w:szCs w:val="20"/>
              </w:rPr>
            </w:pPr>
          </w:p>
        </w:tc>
        <w:tc>
          <w:tcPr>
            <w:tcW w:w="0" w:type="auto"/>
            <w:gridSpan w:val="3"/>
            <w:vAlign w:val="center"/>
            <w:hideMark/>
          </w:tcPr>
          <w:p w:rsidR="00000000" w:rsidRDefault="001F1FC8">
            <w:pPr>
              <w:rPr>
                <w:rFonts w:eastAsia="Times New Roman"/>
                <w:sz w:val="20"/>
                <w:szCs w:val="20"/>
              </w:rPr>
            </w:pPr>
          </w:p>
        </w:tc>
      </w:tr>
      <w:tr w:rsidR="00000000">
        <w:trPr>
          <w:divId w:val="886721116"/>
        </w:trPr>
        <w:tc>
          <w:tcPr>
            <w:tcW w:w="0" w:type="auto"/>
            <w:gridSpan w:val="3"/>
            <w:tcBorders>
              <w:top w:val="single" w:sz="4" w:space="0" w:color="000000"/>
            </w:tcBorders>
            <w:tcMar>
              <w:top w:w="30" w:type="dxa"/>
              <w:left w:w="245" w:type="dxa"/>
              <w:bottom w:w="30" w:type="dxa"/>
              <w:right w:w="20" w:type="dxa"/>
            </w:tcMar>
            <w:vAlign w:val="center"/>
            <w:hideMark/>
          </w:tcPr>
          <w:p w:rsidR="00000000" w:rsidRDefault="001F1FC8">
            <w:pPr>
              <w:rPr>
                <w:rFonts w:eastAsia="Times New Roman"/>
              </w:rPr>
            </w:pPr>
            <w:r>
              <w:rPr>
                <w:rFonts w:ascii="Arial" w:eastAsia="Times New Roman" w:hAnsi="Arial" w:cs="Arial"/>
                <w:color w:val="000000"/>
                <w:sz w:val="20"/>
                <w:szCs w:val="20"/>
              </w:rPr>
              <w:t>Total operating expenses</w:t>
            </w:r>
          </w:p>
        </w:tc>
        <w:tc>
          <w:tcPr>
            <w:tcW w:w="0" w:type="auto"/>
            <w:gridSpan w:val="2"/>
            <w:tcBorders>
              <w:top w:val="single" w:sz="4" w:space="0" w:color="000000"/>
            </w:tcBorders>
            <w:shd w:val="clear" w:color="auto" w:fill="D8D8D8"/>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b/>
                <w:bCs/>
                <w:color w:val="000000"/>
                <w:sz w:val="20"/>
                <w:szCs w:val="20"/>
              </w:rPr>
              <w:t>39,266</w:t>
            </w:r>
            <w:r>
              <w:rPr>
                <w:rFonts w:ascii="Arial" w:eastAsia="Times New Roman" w:hAnsi="Arial" w:cs="Arial"/>
                <w:color w:val="000000"/>
                <w:sz w:val="20"/>
                <w:szCs w:val="20"/>
              </w:rPr>
              <w:t> </w:t>
            </w:r>
          </w:p>
        </w:tc>
        <w:tc>
          <w:tcPr>
            <w:tcW w:w="0" w:type="auto"/>
            <w:tcBorders>
              <w:top w:val="single" w:sz="4" w:space="0" w:color="000000"/>
            </w:tcBorders>
            <w:shd w:val="clear" w:color="auto" w:fill="D8D8D8"/>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20"/>
                <w:szCs w:val="20"/>
              </w:rPr>
              <w:t>31,130 </w:t>
            </w:r>
          </w:p>
        </w:tc>
        <w:tc>
          <w:tcPr>
            <w:tcW w:w="0" w:type="auto"/>
            <w:tcBorders>
              <w:top w:val="single" w:sz="4" w:space="0" w:color="000000"/>
            </w:tcBorders>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20"/>
                <w:szCs w:val="20"/>
              </w:rPr>
              <w:t>41,809 </w:t>
            </w:r>
          </w:p>
        </w:tc>
        <w:tc>
          <w:tcPr>
            <w:tcW w:w="0" w:type="auto"/>
            <w:tcBorders>
              <w:top w:val="single" w:sz="4" w:space="0" w:color="000000"/>
            </w:tcBorders>
            <w:tcMar>
              <w:top w:w="30" w:type="dxa"/>
              <w:left w:w="0" w:type="dxa"/>
              <w:bottom w:w="30" w:type="dxa"/>
              <w:right w:w="20" w:type="dxa"/>
            </w:tcMar>
            <w:vAlign w:val="center"/>
            <w:hideMark/>
          </w:tcPr>
          <w:p w:rsidR="00000000" w:rsidRDefault="001F1FC8">
            <w:pPr>
              <w:jc w:val="right"/>
              <w:rPr>
                <w:rFonts w:eastAsia="Times New Roman"/>
              </w:rPr>
            </w:pPr>
          </w:p>
        </w:tc>
      </w:tr>
      <w:tr w:rsidR="00000000">
        <w:trPr>
          <w:divId w:val="886721116"/>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1F1FC8">
            <w:pPr>
              <w:rPr>
                <w:rFonts w:eastAsia="Times New Roman"/>
              </w:rPr>
            </w:pPr>
            <w:r>
              <w:rPr>
                <w:rFonts w:ascii="Arial" w:eastAsia="Times New Roman" w:hAnsi="Arial" w:cs="Arial"/>
                <w:color w:val="000000"/>
                <w:sz w:val="20"/>
                <w:szCs w:val="20"/>
              </w:rPr>
              <w:t>Operating income</w:t>
            </w:r>
          </w:p>
        </w:tc>
        <w:tc>
          <w:tcPr>
            <w:tcW w:w="0" w:type="auto"/>
            <w:gridSpan w:val="2"/>
            <w:tcBorders>
              <w:top w:val="single" w:sz="4" w:space="0" w:color="000000"/>
            </w:tcBorders>
            <w:shd w:val="clear" w:color="auto" w:fill="D8D8D8"/>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b/>
                <w:bCs/>
                <w:color w:val="000000"/>
                <w:sz w:val="20"/>
                <w:szCs w:val="20"/>
              </w:rPr>
              <w:t>7,805</w:t>
            </w:r>
            <w:r>
              <w:rPr>
                <w:rFonts w:ascii="Arial" w:eastAsia="Times New Roman" w:hAnsi="Arial" w:cs="Arial"/>
                <w:color w:val="000000"/>
                <w:sz w:val="20"/>
                <w:szCs w:val="20"/>
              </w:rPr>
              <w:t> </w:t>
            </w:r>
          </w:p>
        </w:tc>
        <w:tc>
          <w:tcPr>
            <w:tcW w:w="0" w:type="auto"/>
            <w:tcBorders>
              <w:top w:val="single" w:sz="4" w:space="0" w:color="000000"/>
            </w:tcBorders>
            <w:shd w:val="clear" w:color="auto" w:fill="D8D8D8"/>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20"/>
                <w:szCs w:val="20"/>
              </w:rPr>
              <w:t>7,957 </w:t>
            </w:r>
          </w:p>
        </w:tc>
        <w:tc>
          <w:tcPr>
            <w:tcW w:w="0" w:type="auto"/>
            <w:tcBorders>
              <w:top w:val="single" w:sz="4" w:space="0" w:color="000000"/>
            </w:tcBorders>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20"/>
                <w:szCs w:val="20"/>
              </w:rPr>
              <w:t>8,260 </w:t>
            </w:r>
          </w:p>
        </w:tc>
        <w:tc>
          <w:tcPr>
            <w:tcW w:w="0" w:type="auto"/>
            <w:tcBorders>
              <w:top w:val="single" w:sz="4" w:space="0" w:color="000000"/>
            </w:tcBorders>
            <w:tcMar>
              <w:top w:w="30" w:type="dxa"/>
              <w:left w:w="0" w:type="dxa"/>
              <w:bottom w:w="30" w:type="dxa"/>
              <w:right w:w="20" w:type="dxa"/>
            </w:tcMar>
            <w:vAlign w:val="center"/>
            <w:hideMark/>
          </w:tcPr>
          <w:p w:rsidR="00000000" w:rsidRDefault="001F1FC8">
            <w:pPr>
              <w:jc w:val="right"/>
              <w:rPr>
                <w:rFonts w:eastAsia="Times New Roman"/>
              </w:rPr>
            </w:pPr>
          </w:p>
        </w:tc>
      </w:tr>
      <w:tr w:rsidR="00000000">
        <w:trPr>
          <w:divId w:val="886721116"/>
        </w:trPr>
        <w:tc>
          <w:tcPr>
            <w:tcW w:w="0" w:type="auto"/>
            <w:gridSpan w:val="3"/>
            <w:tcMar>
              <w:top w:w="30" w:type="dxa"/>
              <w:left w:w="20" w:type="dxa"/>
              <w:bottom w:w="30" w:type="dxa"/>
              <w:right w:w="20" w:type="dxa"/>
            </w:tcMar>
            <w:vAlign w:val="center"/>
            <w:hideMark/>
          </w:tcPr>
          <w:p w:rsidR="00000000" w:rsidRDefault="001F1FC8">
            <w:pPr>
              <w:divId w:val="1830900609"/>
              <w:rPr>
                <w:rFonts w:eastAsia="Times New Roman"/>
              </w:rPr>
            </w:pPr>
            <w:r>
              <w:rPr>
                <w:rFonts w:ascii="Arial" w:eastAsia="Times New Roman" w:hAnsi="Arial" w:cs="Arial"/>
                <w:color w:val="000000"/>
                <w:sz w:val="20"/>
                <w:szCs w:val="20"/>
              </w:rPr>
              <w:t xml:space="preserve">Income from equity investments </w:t>
            </w:r>
            <w:r>
              <w:rPr>
                <w:rFonts w:ascii="Arial" w:eastAsia="Times New Roman" w:hAnsi="Arial" w:cs="Arial"/>
                <w:i/>
                <w:iCs/>
                <w:color w:val="000000"/>
                <w:sz w:val="16"/>
                <w:szCs w:val="16"/>
              </w:rPr>
              <w:t>(Note 13)</w:t>
            </w:r>
          </w:p>
        </w:tc>
        <w:tc>
          <w:tcPr>
            <w:tcW w:w="0" w:type="auto"/>
            <w:gridSpan w:val="2"/>
            <w:shd w:val="clear" w:color="auto" w:fill="D8D8D8"/>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b/>
                <w:bCs/>
                <w:color w:val="000000"/>
                <w:sz w:val="20"/>
                <w:szCs w:val="20"/>
              </w:rPr>
              <w:t>1,711</w:t>
            </w:r>
            <w:r>
              <w:rPr>
                <w:rFonts w:ascii="Arial" w:eastAsia="Times New Roman" w:hAnsi="Arial" w:cs="Arial"/>
                <w:color w:val="000000"/>
                <w:sz w:val="20"/>
                <w:szCs w:val="20"/>
              </w:rPr>
              <w:t> </w:t>
            </w:r>
          </w:p>
        </w:tc>
        <w:tc>
          <w:tcPr>
            <w:tcW w:w="0" w:type="auto"/>
            <w:shd w:val="clear" w:color="auto" w:fill="D8D8D8"/>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20"/>
                <w:szCs w:val="20"/>
              </w:rPr>
              <w:t>1,136 </w:t>
            </w:r>
          </w:p>
        </w:tc>
        <w:tc>
          <w:tcPr>
            <w:tcW w:w="0" w:type="auto"/>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20"/>
                <w:szCs w:val="20"/>
              </w:rPr>
              <w:t>1,503 </w:t>
            </w:r>
          </w:p>
        </w:tc>
        <w:tc>
          <w:tcPr>
            <w:tcW w:w="0" w:type="auto"/>
            <w:tcMar>
              <w:top w:w="30" w:type="dxa"/>
              <w:left w:w="0" w:type="dxa"/>
              <w:bottom w:w="30" w:type="dxa"/>
              <w:right w:w="20" w:type="dxa"/>
            </w:tcMar>
            <w:vAlign w:val="center"/>
            <w:hideMark/>
          </w:tcPr>
          <w:p w:rsidR="00000000" w:rsidRDefault="001F1FC8">
            <w:pPr>
              <w:jc w:val="right"/>
              <w:rPr>
                <w:rFonts w:eastAsia="Times New Roman"/>
              </w:rPr>
            </w:pPr>
          </w:p>
        </w:tc>
      </w:tr>
      <w:tr w:rsidR="00000000">
        <w:trPr>
          <w:divId w:val="886721116"/>
        </w:trPr>
        <w:tc>
          <w:tcPr>
            <w:tcW w:w="0" w:type="auto"/>
            <w:gridSpan w:val="3"/>
            <w:tcMar>
              <w:top w:w="30" w:type="dxa"/>
              <w:left w:w="20" w:type="dxa"/>
              <w:bottom w:w="30" w:type="dxa"/>
              <w:right w:w="20" w:type="dxa"/>
            </w:tcMar>
            <w:vAlign w:val="center"/>
            <w:hideMark/>
          </w:tcPr>
          <w:p w:rsidR="00000000" w:rsidRDefault="001F1FC8">
            <w:pPr>
              <w:divId w:val="374819365"/>
              <w:rPr>
                <w:rFonts w:eastAsia="Times New Roman"/>
              </w:rPr>
            </w:pPr>
            <w:r>
              <w:rPr>
                <w:rFonts w:ascii="Arial" w:eastAsia="Times New Roman" w:hAnsi="Arial" w:cs="Arial"/>
                <w:color w:val="000000"/>
                <w:sz w:val="20"/>
                <w:szCs w:val="20"/>
              </w:rPr>
              <w:t xml:space="preserve">Impairment of equity investments </w:t>
            </w:r>
            <w:r>
              <w:rPr>
                <w:rFonts w:ascii="Arial" w:eastAsia="Times New Roman" w:hAnsi="Arial" w:cs="Arial"/>
                <w:i/>
                <w:iCs/>
                <w:color w:val="000000"/>
                <w:sz w:val="16"/>
                <w:szCs w:val="16"/>
              </w:rPr>
              <w:t>(Note 13)</w:t>
            </w:r>
          </w:p>
        </w:tc>
        <w:tc>
          <w:tcPr>
            <w:tcW w:w="0" w:type="auto"/>
            <w:gridSpan w:val="2"/>
            <w:shd w:val="clear" w:color="auto" w:fill="D8D8D8"/>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b/>
                <w:bCs/>
                <w:color w:val="000000"/>
                <w:sz w:val="20"/>
                <w:szCs w:val="20"/>
              </w:rPr>
              <w:t>(111)</w:t>
            </w:r>
          </w:p>
        </w:tc>
        <w:tc>
          <w:tcPr>
            <w:tcW w:w="0" w:type="auto"/>
            <w:shd w:val="clear" w:color="auto" w:fill="D8D8D8"/>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20"/>
                <w:szCs w:val="20"/>
              </w:rPr>
              <w:t>(2,351)</w:t>
            </w:r>
          </w:p>
        </w:tc>
        <w:tc>
          <w:tcPr>
            <w:tcW w:w="0" w:type="auto"/>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20"/>
                <w:szCs w:val="20"/>
              </w:rPr>
              <w:t>— </w:t>
            </w:r>
          </w:p>
        </w:tc>
        <w:tc>
          <w:tcPr>
            <w:tcW w:w="0" w:type="auto"/>
            <w:tcMar>
              <w:top w:w="30" w:type="dxa"/>
              <w:left w:w="0" w:type="dxa"/>
              <w:bottom w:w="30" w:type="dxa"/>
              <w:right w:w="20" w:type="dxa"/>
            </w:tcMar>
            <w:vAlign w:val="center"/>
            <w:hideMark/>
          </w:tcPr>
          <w:p w:rsidR="00000000" w:rsidRDefault="001F1FC8">
            <w:pPr>
              <w:jc w:val="right"/>
              <w:rPr>
                <w:rFonts w:eastAsia="Times New Roman"/>
              </w:rPr>
            </w:pPr>
          </w:p>
        </w:tc>
      </w:tr>
      <w:tr w:rsidR="00000000">
        <w:trPr>
          <w:divId w:val="886721116"/>
        </w:trPr>
        <w:tc>
          <w:tcPr>
            <w:tcW w:w="0" w:type="auto"/>
            <w:gridSpan w:val="3"/>
            <w:tcMar>
              <w:top w:w="30" w:type="dxa"/>
              <w:left w:w="20" w:type="dxa"/>
              <w:bottom w:w="30" w:type="dxa"/>
              <w:right w:w="20" w:type="dxa"/>
            </w:tcMar>
            <w:vAlign w:val="center"/>
            <w:hideMark/>
          </w:tcPr>
          <w:p w:rsidR="00000000" w:rsidRDefault="001F1FC8">
            <w:pPr>
              <w:rPr>
                <w:rFonts w:eastAsia="Times New Roman"/>
              </w:rPr>
            </w:pPr>
            <w:r>
              <w:rPr>
                <w:rFonts w:ascii="Arial" w:eastAsia="Times New Roman" w:hAnsi="Arial" w:cs="Arial"/>
                <w:color w:val="000000"/>
                <w:sz w:val="20"/>
                <w:szCs w:val="20"/>
              </w:rPr>
              <w:t>Other income/(expense)</w:t>
            </w:r>
          </w:p>
        </w:tc>
        <w:tc>
          <w:tcPr>
            <w:tcW w:w="0" w:type="auto"/>
            <w:gridSpan w:val="3"/>
            <w:shd w:val="clear" w:color="auto" w:fill="D8D8D8"/>
            <w:tcMar>
              <w:top w:w="0" w:type="dxa"/>
              <w:left w:w="20" w:type="dxa"/>
              <w:bottom w:w="0" w:type="dxa"/>
              <w:right w:w="20" w:type="dxa"/>
            </w:tcMar>
            <w:vAlign w:val="center"/>
            <w:hideMark/>
          </w:tcPr>
          <w:p w:rsidR="00000000" w:rsidRDefault="001F1FC8">
            <w:pPr>
              <w:rPr>
                <w:rFonts w:eastAsia="Times New Roman"/>
              </w:rPr>
            </w:pPr>
          </w:p>
        </w:tc>
        <w:tc>
          <w:tcPr>
            <w:tcW w:w="0" w:type="auto"/>
            <w:gridSpan w:val="3"/>
            <w:tcMar>
              <w:top w:w="0" w:type="dxa"/>
              <w:left w:w="20" w:type="dxa"/>
              <w:bottom w:w="0" w:type="dxa"/>
              <w:right w:w="20" w:type="dxa"/>
            </w:tcMar>
            <w:vAlign w:val="center"/>
            <w:hideMark/>
          </w:tcPr>
          <w:p w:rsidR="00000000" w:rsidRDefault="001F1FC8">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1F1FC8">
            <w:pPr>
              <w:rPr>
                <w:rFonts w:eastAsia="Times New Roman"/>
                <w:sz w:val="20"/>
                <w:szCs w:val="20"/>
              </w:rPr>
            </w:pPr>
          </w:p>
        </w:tc>
      </w:tr>
      <w:tr w:rsidR="00000000">
        <w:trPr>
          <w:divId w:val="886721116"/>
        </w:trPr>
        <w:tc>
          <w:tcPr>
            <w:tcW w:w="0" w:type="auto"/>
            <w:gridSpan w:val="3"/>
            <w:tcMar>
              <w:top w:w="30" w:type="dxa"/>
              <w:left w:w="245" w:type="dxa"/>
              <w:bottom w:w="30" w:type="dxa"/>
              <w:right w:w="20" w:type="dxa"/>
            </w:tcMar>
            <w:vAlign w:val="center"/>
            <w:hideMark/>
          </w:tcPr>
          <w:p w:rsidR="00000000" w:rsidRDefault="001F1FC8">
            <w:pPr>
              <w:rPr>
                <w:rFonts w:eastAsia="Times New Roman"/>
              </w:rPr>
            </w:pPr>
            <w:r>
              <w:rPr>
                <w:rFonts w:ascii="Arial" w:eastAsia="Times New Roman" w:hAnsi="Arial" w:cs="Arial"/>
                <w:color w:val="000000"/>
                <w:sz w:val="20"/>
                <w:szCs w:val="20"/>
              </w:rPr>
              <w:t>Net foreign currency gain</w:t>
            </w:r>
          </w:p>
        </w:tc>
        <w:tc>
          <w:tcPr>
            <w:tcW w:w="0" w:type="auto"/>
            <w:gridSpan w:val="2"/>
            <w:shd w:val="clear" w:color="auto" w:fill="D8D8D8"/>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b/>
                <w:bCs/>
                <w:color w:val="000000"/>
                <w:sz w:val="20"/>
                <w:szCs w:val="20"/>
              </w:rPr>
              <w:t>286</w:t>
            </w:r>
            <w:r>
              <w:rPr>
                <w:rFonts w:ascii="Arial" w:eastAsia="Times New Roman" w:hAnsi="Arial" w:cs="Arial"/>
                <w:color w:val="000000"/>
                <w:sz w:val="20"/>
                <w:szCs w:val="20"/>
              </w:rPr>
              <w:t> </w:t>
            </w:r>
          </w:p>
        </w:tc>
        <w:tc>
          <w:tcPr>
            <w:tcW w:w="0" w:type="auto"/>
            <w:shd w:val="clear" w:color="auto" w:fill="D8D8D8"/>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20"/>
                <w:szCs w:val="20"/>
              </w:rPr>
              <w:t>181 </w:t>
            </w:r>
          </w:p>
        </w:tc>
        <w:tc>
          <w:tcPr>
            <w:tcW w:w="0" w:type="auto"/>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20"/>
                <w:szCs w:val="20"/>
              </w:rPr>
              <w:t>477 </w:t>
            </w:r>
          </w:p>
        </w:tc>
        <w:tc>
          <w:tcPr>
            <w:tcW w:w="0" w:type="auto"/>
            <w:tcMar>
              <w:top w:w="30" w:type="dxa"/>
              <w:left w:w="0" w:type="dxa"/>
              <w:bottom w:w="30" w:type="dxa"/>
              <w:right w:w="20" w:type="dxa"/>
            </w:tcMar>
            <w:vAlign w:val="center"/>
            <w:hideMark/>
          </w:tcPr>
          <w:p w:rsidR="00000000" w:rsidRDefault="001F1FC8">
            <w:pPr>
              <w:jc w:val="right"/>
              <w:rPr>
                <w:rFonts w:eastAsia="Times New Roman"/>
              </w:rPr>
            </w:pPr>
          </w:p>
        </w:tc>
      </w:tr>
      <w:tr w:rsidR="00000000">
        <w:trPr>
          <w:divId w:val="886721116"/>
        </w:trPr>
        <w:tc>
          <w:tcPr>
            <w:tcW w:w="0" w:type="auto"/>
            <w:gridSpan w:val="3"/>
            <w:tcMar>
              <w:top w:w="30" w:type="dxa"/>
              <w:left w:w="245" w:type="dxa"/>
              <w:bottom w:w="30" w:type="dxa"/>
              <w:right w:w="20" w:type="dxa"/>
            </w:tcMar>
            <w:vAlign w:val="center"/>
            <w:hideMark/>
          </w:tcPr>
          <w:p w:rsidR="00000000" w:rsidRDefault="001F1FC8">
            <w:pPr>
              <w:rPr>
                <w:rFonts w:eastAsia="Times New Roman"/>
              </w:rPr>
            </w:pPr>
            <w:r>
              <w:rPr>
                <w:rFonts w:ascii="Arial" w:eastAsia="Times New Roman" w:hAnsi="Arial" w:cs="Arial"/>
                <w:color w:val="000000"/>
                <w:sz w:val="20"/>
                <w:szCs w:val="20"/>
              </w:rPr>
              <w:t>Gain/(loss) on dispositions</w:t>
            </w:r>
          </w:p>
        </w:tc>
        <w:tc>
          <w:tcPr>
            <w:tcW w:w="0" w:type="auto"/>
            <w:gridSpan w:val="2"/>
            <w:shd w:val="clear" w:color="auto" w:fill="D8D8D8"/>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b/>
                <w:bCs/>
                <w:color w:val="000000"/>
                <w:sz w:val="20"/>
                <w:szCs w:val="20"/>
              </w:rPr>
              <w:t>319</w:t>
            </w:r>
            <w:r>
              <w:rPr>
                <w:rFonts w:ascii="Arial" w:eastAsia="Times New Roman" w:hAnsi="Arial" w:cs="Arial"/>
                <w:color w:val="000000"/>
                <w:sz w:val="20"/>
                <w:szCs w:val="20"/>
              </w:rPr>
              <w:t> </w:t>
            </w:r>
          </w:p>
        </w:tc>
        <w:tc>
          <w:tcPr>
            <w:tcW w:w="0" w:type="auto"/>
            <w:shd w:val="clear" w:color="auto" w:fill="D8D8D8"/>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20"/>
                <w:szCs w:val="20"/>
              </w:rPr>
              <w:t>(17)</w:t>
            </w:r>
          </w:p>
        </w:tc>
        <w:tc>
          <w:tcPr>
            <w:tcW w:w="0" w:type="auto"/>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20"/>
                <w:szCs w:val="20"/>
              </w:rPr>
              <w:t>(300)</w:t>
            </w:r>
          </w:p>
        </w:tc>
        <w:tc>
          <w:tcPr>
            <w:tcW w:w="0" w:type="auto"/>
            <w:tcMar>
              <w:top w:w="30" w:type="dxa"/>
              <w:left w:w="0" w:type="dxa"/>
              <w:bottom w:w="30" w:type="dxa"/>
              <w:right w:w="20" w:type="dxa"/>
            </w:tcMar>
            <w:vAlign w:val="center"/>
            <w:hideMark/>
          </w:tcPr>
          <w:p w:rsidR="00000000" w:rsidRDefault="001F1FC8">
            <w:pPr>
              <w:jc w:val="right"/>
              <w:rPr>
                <w:rFonts w:eastAsia="Times New Roman"/>
              </w:rPr>
            </w:pPr>
          </w:p>
        </w:tc>
      </w:tr>
      <w:tr w:rsidR="00000000">
        <w:trPr>
          <w:divId w:val="886721116"/>
        </w:trPr>
        <w:tc>
          <w:tcPr>
            <w:tcW w:w="0" w:type="auto"/>
            <w:gridSpan w:val="3"/>
            <w:tcMar>
              <w:top w:w="30" w:type="dxa"/>
              <w:left w:w="245" w:type="dxa"/>
              <w:bottom w:w="30" w:type="dxa"/>
              <w:right w:w="20" w:type="dxa"/>
            </w:tcMar>
            <w:vAlign w:val="center"/>
            <w:hideMark/>
          </w:tcPr>
          <w:p w:rsidR="00000000" w:rsidRDefault="001F1FC8">
            <w:pPr>
              <w:rPr>
                <w:rFonts w:eastAsia="Times New Roman"/>
              </w:rPr>
            </w:pPr>
            <w:r>
              <w:rPr>
                <w:rFonts w:ascii="Arial" w:eastAsia="Times New Roman" w:hAnsi="Arial" w:cs="Arial"/>
                <w:color w:val="000000"/>
                <w:sz w:val="20"/>
                <w:szCs w:val="20"/>
              </w:rPr>
              <w:t>Other</w:t>
            </w:r>
          </w:p>
        </w:tc>
        <w:tc>
          <w:tcPr>
            <w:tcW w:w="0" w:type="auto"/>
            <w:gridSpan w:val="2"/>
            <w:shd w:val="clear" w:color="auto" w:fill="D8D8D8"/>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b/>
                <w:bCs/>
                <w:color w:val="000000"/>
                <w:sz w:val="20"/>
                <w:szCs w:val="20"/>
              </w:rPr>
              <w:t>374</w:t>
            </w:r>
            <w:r>
              <w:rPr>
                <w:rFonts w:ascii="Arial" w:eastAsia="Times New Roman" w:hAnsi="Arial" w:cs="Arial"/>
                <w:color w:val="000000"/>
                <w:sz w:val="20"/>
                <w:szCs w:val="20"/>
              </w:rPr>
              <w:t> </w:t>
            </w:r>
          </w:p>
        </w:tc>
        <w:tc>
          <w:tcPr>
            <w:tcW w:w="0" w:type="auto"/>
            <w:shd w:val="clear" w:color="auto" w:fill="D8D8D8"/>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20"/>
                <w:szCs w:val="20"/>
              </w:rPr>
              <w:t>74 </w:t>
            </w:r>
          </w:p>
        </w:tc>
        <w:tc>
          <w:tcPr>
            <w:tcW w:w="0" w:type="auto"/>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20"/>
                <w:szCs w:val="20"/>
              </w:rPr>
              <w:t>258 </w:t>
            </w:r>
          </w:p>
        </w:tc>
        <w:tc>
          <w:tcPr>
            <w:tcW w:w="0" w:type="auto"/>
            <w:tcMar>
              <w:top w:w="30" w:type="dxa"/>
              <w:left w:w="0" w:type="dxa"/>
              <w:bottom w:w="30" w:type="dxa"/>
              <w:right w:w="20" w:type="dxa"/>
            </w:tcMar>
            <w:vAlign w:val="center"/>
            <w:hideMark/>
          </w:tcPr>
          <w:p w:rsidR="00000000" w:rsidRDefault="001F1FC8">
            <w:pPr>
              <w:jc w:val="right"/>
              <w:rPr>
                <w:rFonts w:eastAsia="Times New Roman"/>
              </w:rPr>
            </w:pPr>
          </w:p>
        </w:tc>
      </w:tr>
      <w:tr w:rsidR="00000000">
        <w:trPr>
          <w:divId w:val="886721116"/>
        </w:trPr>
        <w:tc>
          <w:tcPr>
            <w:tcW w:w="0" w:type="auto"/>
            <w:gridSpan w:val="3"/>
            <w:tcMar>
              <w:top w:w="30" w:type="dxa"/>
              <w:left w:w="20" w:type="dxa"/>
              <w:bottom w:w="30" w:type="dxa"/>
              <w:right w:w="20" w:type="dxa"/>
            </w:tcMar>
            <w:vAlign w:val="center"/>
            <w:hideMark/>
          </w:tcPr>
          <w:p w:rsidR="00000000" w:rsidRDefault="001F1FC8">
            <w:pPr>
              <w:divId w:val="340395045"/>
              <w:rPr>
                <w:rFonts w:eastAsia="Times New Roman"/>
              </w:rPr>
            </w:pPr>
            <w:r>
              <w:rPr>
                <w:rFonts w:ascii="Arial" w:eastAsia="Times New Roman" w:hAnsi="Arial" w:cs="Arial"/>
                <w:color w:val="000000"/>
                <w:sz w:val="20"/>
                <w:szCs w:val="20"/>
              </w:rPr>
              <w:t>Interest expense</w:t>
            </w:r>
            <w:r>
              <w:rPr>
                <w:rFonts w:ascii="Arial" w:eastAsia="Times New Roman" w:hAnsi="Arial" w:cs="Arial"/>
                <w:i/>
                <w:iCs/>
                <w:color w:val="000000"/>
                <w:sz w:val="16"/>
                <w:szCs w:val="16"/>
              </w:rPr>
              <w:t xml:space="preserve"> (Note 18)</w:t>
            </w:r>
          </w:p>
        </w:tc>
        <w:tc>
          <w:tcPr>
            <w:tcW w:w="0" w:type="auto"/>
            <w:gridSpan w:val="2"/>
            <w:shd w:val="clear" w:color="auto" w:fill="D8D8D8"/>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b/>
                <w:bCs/>
                <w:color w:val="000000"/>
                <w:sz w:val="20"/>
                <w:szCs w:val="20"/>
              </w:rPr>
              <w:t>(2,655)</w:t>
            </w:r>
          </w:p>
        </w:tc>
        <w:tc>
          <w:tcPr>
            <w:tcW w:w="0" w:type="auto"/>
            <w:shd w:val="clear" w:color="auto" w:fill="D8D8D8"/>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20"/>
                <w:szCs w:val="20"/>
              </w:rPr>
              <w:t>(2,790)</w:t>
            </w:r>
          </w:p>
        </w:tc>
        <w:tc>
          <w:tcPr>
            <w:tcW w:w="0" w:type="auto"/>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20"/>
                <w:szCs w:val="20"/>
              </w:rPr>
              <w:t>(2,663)</w:t>
            </w:r>
          </w:p>
        </w:tc>
        <w:tc>
          <w:tcPr>
            <w:tcW w:w="0" w:type="auto"/>
            <w:tcMar>
              <w:top w:w="30" w:type="dxa"/>
              <w:left w:w="0" w:type="dxa"/>
              <w:bottom w:w="30" w:type="dxa"/>
              <w:right w:w="20" w:type="dxa"/>
            </w:tcMar>
            <w:vAlign w:val="center"/>
            <w:hideMark/>
          </w:tcPr>
          <w:p w:rsidR="00000000" w:rsidRDefault="001F1FC8">
            <w:pPr>
              <w:jc w:val="right"/>
              <w:rPr>
                <w:rFonts w:eastAsia="Times New Roman"/>
              </w:rPr>
            </w:pPr>
          </w:p>
        </w:tc>
      </w:tr>
      <w:tr w:rsidR="00000000">
        <w:trPr>
          <w:divId w:val="886721116"/>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1F1FC8">
            <w:pPr>
              <w:rPr>
                <w:rFonts w:eastAsia="Times New Roman"/>
              </w:rPr>
            </w:pPr>
            <w:r>
              <w:rPr>
                <w:rFonts w:ascii="Arial" w:eastAsia="Times New Roman" w:hAnsi="Arial" w:cs="Arial"/>
                <w:color w:val="000000"/>
                <w:sz w:val="20"/>
                <w:szCs w:val="20"/>
              </w:rPr>
              <w:t>Earnings before income taxes</w:t>
            </w:r>
          </w:p>
        </w:tc>
        <w:tc>
          <w:tcPr>
            <w:tcW w:w="0" w:type="auto"/>
            <w:gridSpan w:val="2"/>
            <w:tcBorders>
              <w:top w:val="single" w:sz="4" w:space="0" w:color="000000"/>
            </w:tcBorders>
            <w:shd w:val="clear" w:color="auto" w:fill="D8D8D8"/>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b/>
                <w:bCs/>
                <w:color w:val="000000"/>
                <w:sz w:val="20"/>
                <w:szCs w:val="20"/>
              </w:rPr>
              <w:t>7,729</w:t>
            </w:r>
            <w:r>
              <w:rPr>
                <w:rFonts w:ascii="Arial" w:eastAsia="Times New Roman" w:hAnsi="Arial" w:cs="Arial"/>
                <w:color w:val="000000"/>
                <w:sz w:val="20"/>
                <w:szCs w:val="20"/>
              </w:rPr>
              <w:t> </w:t>
            </w:r>
          </w:p>
        </w:tc>
        <w:tc>
          <w:tcPr>
            <w:tcW w:w="0" w:type="auto"/>
            <w:tcBorders>
              <w:top w:val="single" w:sz="4" w:space="0" w:color="000000"/>
            </w:tcBorders>
            <w:shd w:val="clear" w:color="auto" w:fill="D8D8D8"/>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20"/>
                <w:szCs w:val="20"/>
              </w:rPr>
              <w:t>4,190 </w:t>
            </w:r>
          </w:p>
        </w:tc>
        <w:tc>
          <w:tcPr>
            <w:tcW w:w="0" w:type="auto"/>
            <w:tcBorders>
              <w:top w:val="single" w:sz="4" w:space="0" w:color="000000"/>
            </w:tcBorders>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20"/>
                <w:szCs w:val="20"/>
              </w:rPr>
              <w:t>7,535 </w:t>
            </w:r>
          </w:p>
        </w:tc>
        <w:tc>
          <w:tcPr>
            <w:tcW w:w="0" w:type="auto"/>
            <w:tcBorders>
              <w:top w:val="single" w:sz="4" w:space="0" w:color="000000"/>
            </w:tcBorders>
            <w:tcMar>
              <w:top w:w="30" w:type="dxa"/>
              <w:left w:w="0" w:type="dxa"/>
              <w:bottom w:w="30" w:type="dxa"/>
              <w:right w:w="20" w:type="dxa"/>
            </w:tcMar>
            <w:vAlign w:val="center"/>
            <w:hideMark/>
          </w:tcPr>
          <w:p w:rsidR="00000000" w:rsidRDefault="001F1FC8">
            <w:pPr>
              <w:jc w:val="right"/>
              <w:rPr>
                <w:rFonts w:eastAsia="Times New Roman"/>
              </w:rPr>
            </w:pPr>
          </w:p>
        </w:tc>
      </w:tr>
      <w:tr w:rsidR="00000000">
        <w:trPr>
          <w:divId w:val="886721116"/>
        </w:trPr>
        <w:tc>
          <w:tcPr>
            <w:tcW w:w="0" w:type="auto"/>
            <w:gridSpan w:val="3"/>
            <w:tcMar>
              <w:top w:w="30" w:type="dxa"/>
              <w:left w:w="20" w:type="dxa"/>
              <w:bottom w:w="30" w:type="dxa"/>
              <w:right w:w="20" w:type="dxa"/>
            </w:tcMar>
            <w:vAlign w:val="center"/>
            <w:hideMark/>
          </w:tcPr>
          <w:p w:rsidR="00000000" w:rsidRDefault="001F1FC8">
            <w:pPr>
              <w:divId w:val="423649072"/>
              <w:rPr>
                <w:rFonts w:eastAsia="Times New Roman"/>
              </w:rPr>
            </w:pPr>
            <w:r>
              <w:rPr>
                <w:rFonts w:ascii="Arial" w:eastAsia="Times New Roman" w:hAnsi="Arial" w:cs="Arial"/>
                <w:color w:val="000000"/>
                <w:sz w:val="20"/>
                <w:szCs w:val="20"/>
              </w:rPr>
              <w:t xml:space="preserve">Income tax expense </w:t>
            </w:r>
            <w:r>
              <w:rPr>
                <w:rFonts w:ascii="Arial" w:eastAsia="Times New Roman" w:hAnsi="Arial" w:cs="Arial"/>
                <w:i/>
                <w:iCs/>
                <w:color w:val="000000"/>
                <w:sz w:val="16"/>
                <w:szCs w:val="16"/>
              </w:rPr>
              <w:t>(Note 25)</w:t>
            </w:r>
          </w:p>
        </w:tc>
        <w:tc>
          <w:tcPr>
            <w:tcW w:w="0" w:type="auto"/>
            <w:gridSpan w:val="2"/>
            <w:shd w:val="clear" w:color="auto" w:fill="D8D8D8"/>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b/>
                <w:bCs/>
                <w:color w:val="000000"/>
                <w:sz w:val="20"/>
                <w:szCs w:val="20"/>
              </w:rPr>
              <w:t>(1,415)</w:t>
            </w:r>
          </w:p>
        </w:tc>
        <w:tc>
          <w:tcPr>
            <w:tcW w:w="0" w:type="auto"/>
            <w:shd w:val="clear" w:color="auto" w:fill="D8D8D8"/>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20"/>
                <w:szCs w:val="20"/>
              </w:rPr>
              <w:t>(774)</w:t>
            </w:r>
          </w:p>
        </w:tc>
        <w:tc>
          <w:tcPr>
            <w:tcW w:w="0" w:type="auto"/>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20"/>
                <w:szCs w:val="20"/>
              </w:rPr>
              <w:t>(1,708)</w:t>
            </w:r>
          </w:p>
        </w:tc>
        <w:tc>
          <w:tcPr>
            <w:tcW w:w="0" w:type="auto"/>
            <w:tcMar>
              <w:top w:w="30" w:type="dxa"/>
              <w:left w:w="0" w:type="dxa"/>
              <w:bottom w:w="30" w:type="dxa"/>
              <w:right w:w="20" w:type="dxa"/>
            </w:tcMar>
            <w:vAlign w:val="center"/>
            <w:hideMark/>
          </w:tcPr>
          <w:p w:rsidR="00000000" w:rsidRDefault="001F1FC8">
            <w:pPr>
              <w:jc w:val="right"/>
              <w:rPr>
                <w:rFonts w:eastAsia="Times New Roman"/>
              </w:rPr>
            </w:pPr>
          </w:p>
        </w:tc>
      </w:tr>
      <w:tr w:rsidR="00000000">
        <w:trPr>
          <w:divId w:val="886721116"/>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1F1FC8">
            <w:pPr>
              <w:divId w:val="1754886920"/>
              <w:rPr>
                <w:rFonts w:eastAsia="Times New Roman"/>
              </w:rPr>
            </w:pPr>
            <w:r>
              <w:rPr>
                <w:rFonts w:ascii="Arial" w:eastAsia="Times New Roman" w:hAnsi="Arial" w:cs="Arial"/>
                <w:color w:val="000000"/>
                <w:sz w:val="20"/>
                <w:szCs w:val="20"/>
              </w:rPr>
              <w:t>Earnings</w:t>
            </w:r>
          </w:p>
        </w:tc>
        <w:tc>
          <w:tcPr>
            <w:tcW w:w="0" w:type="auto"/>
            <w:gridSpan w:val="2"/>
            <w:tcBorders>
              <w:top w:val="single" w:sz="4" w:space="0" w:color="000000"/>
            </w:tcBorders>
            <w:shd w:val="clear" w:color="auto" w:fill="D8D8D8"/>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b/>
                <w:bCs/>
                <w:color w:val="000000"/>
                <w:sz w:val="20"/>
                <w:szCs w:val="20"/>
              </w:rPr>
              <w:t>6,314</w:t>
            </w:r>
            <w:r>
              <w:rPr>
                <w:rFonts w:ascii="Arial" w:eastAsia="Times New Roman" w:hAnsi="Arial" w:cs="Arial"/>
                <w:color w:val="000000"/>
                <w:sz w:val="20"/>
                <w:szCs w:val="20"/>
              </w:rPr>
              <w:t> </w:t>
            </w:r>
          </w:p>
        </w:tc>
        <w:tc>
          <w:tcPr>
            <w:tcW w:w="0" w:type="auto"/>
            <w:tcBorders>
              <w:top w:val="single" w:sz="4" w:space="0" w:color="000000"/>
            </w:tcBorders>
            <w:shd w:val="clear" w:color="auto" w:fill="D8D8D8"/>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20"/>
                <w:szCs w:val="20"/>
              </w:rPr>
              <w:t>3,416 </w:t>
            </w:r>
          </w:p>
        </w:tc>
        <w:tc>
          <w:tcPr>
            <w:tcW w:w="0" w:type="auto"/>
            <w:tcBorders>
              <w:top w:val="single" w:sz="4" w:space="0" w:color="000000"/>
            </w:tcBorders>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20"/>
                <w:szCs w:val="20"/>
              </w:rPr>
              <w:t>5,827 </w:t>
            </w:r>
          </w:p>
        </w:tc>
        <w:tc>
          <w:tcPr>
            <w:tcW w:w="0" w:type="auto"/>
            <w:tcBorders>
              <w:top w:val="single" w:sz="4" w:space="0" w:color="000000"/>
            </w:tcBorders>
            <w:tcMar>
              <w:top w:w="30" w:type="dxa"/>
              <w:left w:w="0" w:type="dxa"/>
              <w:bottom w:w="30" w:type="dxa"/>
              <w:right w:w="20" w:type="dxa"/>
            </w:tcMar>
            <w:vAlign w:val="center"/>
            <w:hideMark/>
          </w:tcPr>
          <w:p w:rsidR="00000000" w:rsidRDefault="001F1FC8">
            <w:pPr>
              <w:jc w:val="right"/>
              <w:rPr>
                <w:rFonts w:eastAsia="Times New Roman"/>
              </w:rPr>
            </w:pPr>
          </w:p>
        </w:tc>
      </w:tr>
      <w:tr w:rsidR="00000000">
        <w:trPr>
          <w:divId w:val="886721116"/>
        </w:trPr>
        <w:tc>
          <w:tcPr>
            <w:tcW w:w="0" w:type="auto"/>
            <w:gridSpan w:val="3"/>
            <w:tcMar>
              <w:top w:w="30" w:type="dxa"/>
              <w:left w:w="200" w:type="dxa"/>
              <w:bottom w:w="30" w:type="dxa"/>
              <w:right w:w="20" w:type="dxa"/>
            </w:tcMar>
            <w:vAlign w:val="center"/>
            <w:hideMark/>
          </w:tcPr>
          <w:p w:rsidR="00000000" w:rsidRDefault="001F1FC8">
            <w:pPr>
              <w:ind w:hanging="180"/>
              <w:rPr>
                <w:rFonts w:eastAsia="Times New Roman"/>
              </w:rPr>
            </w:pPr>
            <w:r>
              <w:rPr>
                <w:rFonts w:ascii="Arial" w:eastAsia="Times New Roman" w:hAnsi="Arial" w:cs="Arial"/>
                <w:color w:val="000000"/>
                <w:sz w:val="20"/>
                <w:szCs w:val="20"/>
              </w:rPr>
              <w:t>Earnings attributable to noncontrolling interests</w:t>
            </w:r>
          </w:p>
        </w:tc>
        <w:tc>
          <w:tcPr>
            <w:tcW w:w="0" w:type="auto"/>
            <w:gridSpan w:val="2"/>
            <w:shd w:val="clear" w:color="auto" w:fill="D8D8D8"/>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20"/>
                <w:szCs w:val="20"/>
              </w:rPr>
              <w:t>(125)</w:t>
            </w:r>
          </w:p>
        </w:tc>
        <w:tc>
          <w:tcPr>
            <w:tcW w:w="0" w:type="auto"/>
            <w:shd w:val="clear" w:color="auto" w:fill="D8D8D8"/>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(53)</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(122)</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r>
      <w:tr w:rsidR="00000000">
        <w:trPr>
          <w:divId w:val="886721116"/>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1F1FC8">
            <w:pPr>
              <w:divId w:val="588001581"/>
              <w:rPr>
                <w:rFonts w:eastAsia="Times New Roman"/>
              </w:rPr>
            </w:pPr>
            <w:r>
              <w:rPr>
                <w:rFonts w:ascii="Arial" w:eastAsia="Times New Roman" w:hAnsi="Arial" w:cs="Arial"/>
                <w:color w:val="000000"/>
                <w:sz w:val="20"/>
                <w:szCs w:val="20"/>
              </w:rPr>
              <w:t>Earnings attributable to controlling interests</w:t>
            </w:r>
          </w:p>
        </w:tc>
        <w:tc>
          <w:tcPr>
            <w:tcW w:w="0" w:type="auto"/>
            <w:gridSpan w:val="2"/>
            <w:tcBorders>
              <w:top w:val="single" w:sz="4" w:space="0" w:color="000000"/>
            </w:tcBorders>
            <w:shd w:val="clear" w:color="auto" w:fill="D8D8D8"/>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b/>
                <w:bCs/>
                <w:color w:val="000000"/>
                <w:sz w:val="20"/>
                <w:szCs w:val="20"/>
              </w:rPr>
              <w:t>6,189</w:t>
            </w:r>
            <w:r>
              <w:rPr>
                <w:rFonts w:ascii="Arial" w:eastAsia="Times New Roman" w:hAnsi="Arial" w:cs="Arial"/>
                <w:color w:val="000000"/>
                <w:sz w:val="20"/>
                <w:szCs w:val="20"/>
              </w:rPr>
              <w:t> </w:t>
            </w:r>
          </w:p>
        </w:tc>
        <w:tc>
          <w:tcPr>
            <w:tcW w:w="0" w:type="auto"/>
            <w:tcBorders>
              <w:top w:val="single" w:sz="4" w:space="0" w:color="000000"/>
            </w:tcBorders>
            <w:shd w:val="clear" w:color="auto" w:fill="D8D8D8"/>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20"/>
                <w:szCs w:val="20"/>
              </w:rPr>
              <w:t>3,363 </w:t>
            </w:r>
          </w:p>
        </w:tc>
        <w:tc>
          <w:tcPr>
            <w:tcW w:w="0" w:type="auto"/>
            <w:tcBorders>
              <w:top w:val="single" w:sz="4" w:space="0" w:color="000000"/>
            </w:tcBorders>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20"/>
                <w:szCs w:val="20"/>
              </w:rPr>
              <w:t>5,705 </w:t>
            </w:r>
          </w:p>
        </w:tc>
        <w:tc>
          <w:tcPr>
            <w:tcW w:w="0" w:type="auto"/>
            <w:tcBorders>
              <w:top w:val="single" w:sz="4" w:space="0" w:color="000000"/>
            </w:tcBorders>
            <w:tcMar>
              <w:top w:w="30" w:type="dxa"/>
              <w:left w:w="0" w:type="dxa"/>
              <w:bottom w:w="30" w:type="dxa"/>
              <w:right w:w="20" w:type="dxa"/>
            </w:tcMar>
            <w:vAlign w:val="center"/>
            <w:hideMark/>
          </w:tcPr>
          <w:p w:rsidR="00000000" w:rsidRDefault="001F1FC8">
            <w:pPr>
              <w:jc w:val="right"/>
              <w:rPr>
                <w:rFonts w:eastAsia="Times New Roman"/>
              </w:rPr>
            </w:pPr>
          </w:p>
        </w:tc>
      </w:tr>
      <w:tr w:rsidR="00000000">
        <w:trPr>
          <w:divId w:val="886721116"/>
        </w:trPr>
        <w:tc>
          <w:tcPr>
            <w:tcW w:w="0" w:type="auto"/>
            <w:gridSpan w:val="3"/>
            <w:tcMar>
              <w:top w:w="30" w:type="dxa"/>
              <w:left w:w="20" w:type="dxa"/>
              <w:bottom w:w="30" w:type="dxa"/>
              <w:right w:w="20" w:type="dxa"/>
            </w:tcMar>
            <w:vAlign w:val="center"/>
            <w:hideMark/>
          </w:tcPr>
          <w:p w:rsidR="00000000" w:rsidRDefault="001F1FC8">
            <w:pPr>
              <w:rPr>
                <w:rFonts w:eastAsia="Times New Roman"/>
              </w:rPr>
            </w:pPr>
            <w:r>
              <w:rPr>
                <w:rFonts w:ascii="Arial" w:eastAsia="Times New Roman" w:hAnsi="Arial" w:cs="Arial"/>
                <w:color w:val="000000"/>
                <w:sz w:val="20"/>
                <w:szCs w:val="20"/>
              </w:rPr>
              <w:t>Preference share dividends</w:t>
            </w:r>
          </w:p>
        </w:tc>
        <w:tc>
          <w:tcPr>
            <w:tcW w:w="0" w:type="auto"/>
            <w:gridSpan w:val="2"/>
            <w:shd w:val="clear" w:color="auto" w:fill="D8D8D8"/>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b/>
                <w:bCs/>
                <w:color w:val="000000"/>
                <w:sz w:val="20"/>
                <w:szCs w:val="20"/>
              </w:rPr>
              <w:t>(373)</w:t>
            </w:r>
          </w:p>
        </w:tc>
        <w:tc>
          <w:tcPr>
            <w:tcW w:w="0" w:type="auto"/>
            <w:shd w:val="clear" w:color="auto" w:fill="D8D8D8"/>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20"/>
                <w:szCs w:val="20"/>
              </w:rPr>
              <w:t>(380)</w:t>
            </w:r>
          </w:p>
        </w:tc>
        <w:tc>
          <w:tcPr>
            <w:tcW w:w="0" w:type="auto"/>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20"/>
                <w:szCs w:val="20"/>
              </w:rPr>
              <w:t>(383)</w:t>
            </w:r>
          </w:p>
        </w:tc>
        <w:tc>
          <w:tcPr>
            <w:tcW w:w="0" w:type="auto"/>
            <w:tcMar>
              <w:top w:w="30" w:type="dxa"/>
              <w:left w:w="0" w:type="dxa"/>
              <w:bottom w:w="30" w:type="dxa"/>
              <w:right w:w="20" w:type="dxa"/>
            </w:tcMar>
            <w:vAlign w:val="center"/>
            <w:hideMark/>
          </w:tcPr>
          <w:p w:rsidR="00000000" w:rsidRDefault="001F1FC8">
            <w:pPr>
              <w:jc w:val="right"/>
              <w:rPr>
                <w:rFonts w:eastAsia="Times New Roman"/>
              </w:rPr>
            </w:pPr>
          </w:p>
        </w:tc>
      </w:tr>
      <w:tr w:rsidR="00000000">
        <w:trPr>
          <w:divId w:val="886721116"/>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1F1FC8">
            <w:pPr>
              <w:divId w:val="550113555"/>
              <w:rPr>
                <w:rFonts w:eastAsia="Times New Roman"/>
              </w:rPr>
            </w:pPr>
            <w:r>
              <w:rPr>
                <w:rFonts w:ascii="Arial" w:eastAsia="Times New Roman" w:hAnsi="Arial" w:cs="Arial"/>
                <w:color w:val="000000"/>
                <w:sz w:val="20"/>
                <w:szCs w:val="20"/>
              </w:rPr>
              <w:t>Earnings attributable to common shareholders</w:t>
            </w:r>
          </w:p>
        </w:tc>
        <w:tc>
          <w:tcPr>
            <w:tcW w:w="0" w:type="auto"/>
            <w:gridSpan w:val="2"/>
            <w:tcBorders>
              <w:top w:val="single" w:sz="4" w:space="0" w:color="000000"/>
            </w:tcBorders>
            <w:shd w:val="clear" w:color="auto" w:fill="D8D8D8"/>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b/>
                <w:bCs/>
                <w:color w:val="000000"/>
                <w:sz w:val="20"/>
                <w:szCs w:val="20"/>
              </w:rPr>
              <w:t>5,816</w:t>
            </w:r>
            <w:r>
              <w:rPr>
                <w:rFonts w:ascii="Arial" w:eastAsia="Times New Roman" w:hAnsi="Arial" w:cs="Arial"/>
                <w:color w:val="000000"/>
                <w:sz w:val="20"/>
                <w:szCs w:val="20"/>
              </w:rPr>
              <w:t> </w:t>
            </w:r>
          </w:p>
        </w:tc>
        <w:tc>
          <w:tcPr>
            <w:tcW w:w="0" w:type="auto"/>
            <w:tcBorders>
              <w:top w:val="single" w:sz="4" w:space="0" w:color="000000"/>
            </w:tcBorders>
            <w:shd w:val="clear" w:color="auto" w:fill="D8D8D8"/>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20"/>
                <w:szCs w:val="20"/>
              </w:rPr>
              <w:t>2,983 </w:t>
            </w:r>
          </w:p>
        </w:tc>
        <w:tc>
          <w:tcPr>
            <w:tcW w:w="0" w:type="auto"/>
            <w:tcBorders>
              <w:top w:val="single" w:sz="4" w:space="0" w:color="000000"/>
            </w:tcBorders>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20"/>
                <w:szCs w:val="20"/>
              </w:rPr>
              <w:t>5,322 </w:t>
            </w:r>
          </w:p>
        </w:tc>
        <w:tc>
          <w:tcPr>
            <w:tcW w:w="0" w:type="auto"/>
            <w:tcBorders>
              <w:top w:val="single" w:sz="4" w:space="0" w:color="000000"/>
            </w:tcBorders>
            <w:tcMar>
              <w:top w:w="30" w:type="dxa"/>
              <w:left w:w="0" w:type="dxa"/>
              <w:bottom w:w="30" w:type="dxa"/>
              <w:right w:w="20" w:type="dxa"/>
            </w:tcMar>
            <w:vAlign w:val="center"/>
            <w:hideMark/>
          </w:tcPr>
          <w:p w:rsidR="00000000" w:rsidRDefault="001F1FC8">
            <w:pPr>
              <w:jc w:val="right"/>
              <w:rPr>
                <w:rFonts w:eastAsia="Times New Roman"/>
              </w:rPr>
            </w:pPr>
          </w:p>
        </w:tc>
      </w:tr>
      <w:tr w:rsidR="00000000">
        <w:trPr>
          <w:divId w:val="886721116"/>
        </w:trPr>
        <w:tc>
          <w:tcPr>
            <w:tcW w:w="0" w:type="auto"/>
            <w:gridSpan w:val="3"/>
            <w:tcBorders>
              <w:top w:val="single" w:sz="8" w:space="0" w:color="000000"/>
            </w:tcBorders>
            <w:tcMar>
              <w:top w:w="30" w:type="dxa"/>
              <w:left w:w="20" w:type="dxa"/>
              <w:bottom w:w="30" w:type="dxa"/>
              <w:right w:w="20" w:type="dxa"/>
            </w:tcMar>
            <w:vAlign w:val="center"/>
            <w:hideMark/>
          </w:tcPr>
          <w:p w:rsidR="00000000" w:rsidRDefault="001F1FC8">
            <w:pPr>
              <w:ind w:hanging="270"/>
              <w:divId w:val="82142574"/>
              <w:rPr>
                <w:rFonts w:eastAsia="Times New Roman"/>
              </w:rPr>
            </w:pPr>
            <w:r>
              <w:rPr>
                <w:rFonts w:ascii="Arial" w:eastAsia="Times New Roman" w:hAnsi="Arial" w:cs="Arial"/>
                <w:color w:val="000000"/>
                <w:sz w:val="20"/>
                <w:szCs w:val="20"/>
              </w:rPr>
              <w:t xml:space="preserve">Earnings per common share attributable to common shareholders </w:t>
            </w:r>
            <w:r>
              <w:rPr>
                <w:rFonts w:ascii="Arial" w:eastAsia="Times New Roman" w:hAnsi="Arial" w:cs="Arial"/>
                <w:i/>
                <w:iCs/>
                <w:color w:val="000000"/>
                <w:sz w:val="16"/>
                <w:szCs w:val="16"/>
              </w:rPr>
              <w:t>(Note 6)</w:t>
            </w:r>
          </w:p>
        </w:tc>
        <w:tc>
          <w:tcPr>
            <w:tcW w:w="0" w:type="auto"/>
            <w:gridSpan w:val="2"/>
            <w:tcBorders>
              <w:top w:val="single" w:sz="8" w:space="0" w:color="000000"/>
            </w:tcBorders>
            <w:shd w:val="clear" w:color="auto" w:fill="DBDBDB"/>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20"/>
                <w:szCs w:val="20"/>
              </w:rPr>
              <w:t>2.87</w:t>
            </w:r>
            <w:r>
              <w:rPr>
                <w:rFonts w:ascii="Arial" w:eastAsia="Times New Roman" w:hAnsi="Arial" w:cs="Arial"/>
                <w:color w:val="000000"/>
                <w:sz w:val="20"/>
                <w:szCs w:val="20"/>
              </w:rPr>
              <w:t> </w:t>
            </w:r>
          </w:p>
        </w:tc>
        <w:tc>
          <w:tcPr>
            <w:tcW w:w="0" w:type="auto"/>
            <w:tcBorders>
              <w:top w:val="single" w:sz="8" w:space="0" w:color="000000"/>
            </w:tcBorders>
            <w:shd w:val="clear" w:color="auto" w:fill="DBDBDB"/>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1.48 </w:t>
            </w:r>
          </w:p>
        </w:tc>
        <w:tc>
          <w:tcPr>
            <w:tcW w:w="0" w:type="auto"/>
            <w:tcBorders>
              <w:top w:val="single" w:sz="8" w:space="0" w:color="000000"/>
            </w:tcBorders>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2.64 </w:t>
            </w:r>
          </w:p>
        </w:tc>
        <w:tc>
          <w:tcPr>
            <w:tcW w:w="0" w:type="auto"/>
            <w:tcBorders>
              <w:top w:val="single" w:sz="8" w:space="0" w:color="000000"/>
            </w:tcBorders>
            <w:tcMar>
              <w:top w:w="30" w:type="dxa"/>
              <w:left w:w="0" w:type="dxa"/>
              <w:bottom w:w="30" w:type="dxa"/>
              <w:right w:w="20" w:type="dxa"/>
            </w:tcMar>
            <w:vAlign w:val="bottom"/>
            <w:hideMark/>
          </w:tcPr>
          <w:p w:rsidR="00000000" w:rsidRDefault="001F1FC8">
            <w:pPr>
              <w:jc w:val="right"/>
              <w:rPr>
                <w:rFonts w:eastAsia="Times New Roman"/>
              </w:rPr>
            </w:pPr>
          </w:p>
        </w:tc>
      </w:tr>
      <w:tr w:rsidR="00000000">
        <w:trPr>
          <w:divId w:val="886721116"/>
        </w:trPr>
        <w:tc>
          <w:tcPr>
            <w:tcW w:w="0" w:type="auto"/>
            <w:gridSpan w:val="3"/>
            <w:tcBorders>
              <w:top w:val="single" w:sz="8" w:space="0" w:color="000000"/>
              <w:bottom w:val="single" w:sz="8" w:space="0" w:color="000000"/>
            </w:tcBorders>
            <w:tcMar>
              <w:top w:w="30" w:type="dxa"/>
              <w:left w:w="20" w:type="dxa"/>
              <w:bottom w:w="30" w:type="dxa"/>
              <w:right w:w="20" w:type="dxa"/>
            </w:tcMar>
            <w:vAlign w:val="center"/>
            <w:hideMark/>
          </w:tcPr>
          <w:p w:rsidR="00000000" w:rsidRDefault="001F1FC8">
            <w:pPr>
              <w:ind w:hanging="270"/>
              <w:divId w:val="1098015243"/>
              <w:rPr>
                <w:rFonts w:eastAsia="Times New Roman"/>
              </w:rPr>
            </w:pPr>
            <w:r>
              <w:rPr>
                <w:rFonts w:ascii="Arial" w:eastAsia="Times New Roman" w:hAnsi="Arial" w:cs="Arial"/>
                <w:color w:val="000000"/>
                <w:sz w:val="20"/>
                <w:szCs w:val="20"/>
              </w:rPr>
              <w:t xml:space="preserve">Diluted earnings per common share attributable to common shareholders </w:t>
            </w:r>
            <w:r>
              <w:rPr>
                <w:rFonts w:ascii="Arial" w:eastAsia="Times New Roman" w:hAnsi="Arial" w:cs="Arial"/>
                <w:i/>
                <w:iCs/>
                <w:color w:val="000000"/>
                <w:sz w:val="16"/>
                <w:szCs w:val="16"/>
              </w:rPr>
              <w:t>(Note 6)</w:t>
            </w:r>
          </w:p>
        </w:tc>
        <w:tc>
          <w:tcPr>
            <w:tcW w:w="0" w:type="auto"/>
            <w:gridSpan w:val="2"/>
            <w:tcBorders>
              <w:top w:val="single" w:sz="8" w:space="0" w:color="000000"/>
              <w:bottom w:val="single" w:sz="8" w:space="0" w:color="000000"/>
            </w:tcBorders>
            <w:shd w:val="clear" w:color="auto" w:fill="DBDBDB"/>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20"/>
                <w:szCs w:val="20"/>
              </w:rPr>
              <w:t>2.87</w:t>
            </w:r>
            <w:r>
              <w:rPr>
                <w:rFonts w:ascii="Arial" w:eastAsia="Times New Roman" w:hAnsi="Arial" w:cs="Arial"/>
                <w:color w:val="000000"/>
                <w:sz w:val="20"/>
                <w:szCs w:val="20"/>
              </w:rPr>
              <w:t> </w:t>
            </w:r>
          </w:p>
        </w:tc>
        <w:tc>
          <w:tcPr>
            <w:tcW w:w="0" w:type="auto"/>
            <w:tcBorders>
              <w:top w:val="single" w:sz="8" w:space="0" w:color="000000"/>
              <w:bottom w:val="single" w:sz="8" w:space="0" w:color="000000"/>
            </w:tcBorders>
            <w:shd w:val="clear" w:color="auto" w:fill="DBDBDB"/>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Borders>
              <w:top w:val="single" w:sz="8" w:space="0" w:color="000000"/>
              <w:bottom w:val="single" w:sz="8" w:space="0" w:color="000000"/>
            </w:tcBorders>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1.48 </w:t>
            </w:r>
          </w:p>
        </w:tc>
        <w:tc>
          <w:tcPr>
            <w:tcW w:w="0" w:type="auto"/>
            <w:tcBorders>
              <w:top w:val="single" w:sz="8" w:space="0" w:color="000000"/>
              <w:bottom w:val="single" w:sz="8" w:space="0" w:color="000000"/>
            </w:tcBorders>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Borders>
              <w:top w:val="single" w:sz="8" w:space="0" w:color="000000"/>
              <w:bottom w:val="single" w:sz="8" w:space="0" w:color="000000"/>
            </w:tcBorders>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2.63 </w:t>
            </w:r>
          </w:p>
        </w:tc>
        <w:tc>
          <w:tcPr>
            <w:tcW w:w="0" w:type="auto"/>
            <w:tcBorders>
              <w:top w:val="single" w:sz="8" w:space="0" w:color="000000"/>
              <w:bottom w:val="single" w:sz="8" w:space="0" w:color="000000"/>
            </w:tcBorders>
            <w:tcMar>
              <w:top w:w="30" w:type="dxa"/>
              <w:left w:w="0" w:type="dxa"/>
              <w:bottom w:w="30" w:type="dxa"/>
              <w:right w:w="20" w:type="dxa"/>
            </w:tcMar>
            <w:vAlign w:val="bottom"/>
            <w:hideMark/>
          </w:tcPr>
          <w:p w:rsidR="00000000" w:rsidRDefault="001F1FC8">
            <w:pPr>
              <w:jc w:val="right"/>
              <w:rPr>
                <w:rFonts w:eastAsia="Times New Roman"/>
              </w:rPr>
            </w:pPr>
          </w:p>
        </w:tc>
      </w:tr>
    </w:tbl>
    <w:p w:rsidR="00000000" w:rsidRDefault="001F1FC8">
      <w:pPr>
        <w:divId w:val="1020860301"/>
        <w:rPr>
          <w:rFonts w:eastAsia="Times New Roman"/>
        </w:rPr>
      </w:pPr>
      <w:r>
        <w:rPr>
          <w:rFonts w:ascii="Arial" w:eastAsia="Times New Roman" w:hAnsi="Arial" w:cs="Arial"/>
          <w:color w:val="000000"/>
          <w:sz w:val="4"/>
          <w:szCs w:val="4"/>
        </w:rPr>
        <w:t> </w:t>
      </w:r>
    </w:p>
    <w:p w:rsidR="00000000" w:rsidRDefault="001F1FC8">
      <w:pPr>
        <w:divId w:val="149564250"/>
        <w:rPr>
          <w:rFonts w:eastAsia="Times New Roman"/>
        </w:rPr>
      </w:pPr>
      <w:r>
        <w:rPr>
          <w:rFonts w:ascii="Arial" w:eastAsia="Times New Roman" w:hAnsi="Arial" w:cs="Arial"/>
          <w:color w:val="000000"/>
          <w:sz w:val="16"/>
          <w:szCs w:val="16"/>
        </w:rPr>
        <w:t>The accompanying notes are an integral part of these consolidated financial statements.</w:t>
      </w:r>
    </w:p>
    <w:p w:rsidR="00000000" w:rsidRDefault="001F1FC8">
      <w:pPr>
        <w:jc w:val="center"/>
        <w:divId w:val="1046297942"/>
        <w:rPr>
          <w:rFonts w:eastAsia="Times New Roman"/>
        </w:rPr>
      </w:pPr>
      <w:r>
        <w:rPr>
          <w:rFonts w:ascii="Arial" w:eastAsia="Times New Roman" w:hAnsi="Arial" w:cs="Arial"/>
          <w:color w:val="000000"/>
          <w:sz w:val="20"/>
          <w:szCs w:val="20"/>
        </w:rPr>
        <w:t>97</w:t>
      </w:r>
    </w:p>
    <w:p w:rsidR="00000000" w:rsidRDefault="001F1FC8">
      <w:pPr>
        <w:rPr>
          <w:rFonts w:eastAsia="Times New Roman"/>
        </w:rPr>
      </w:pPr>
      <w:r>
        <w:rPr>
          <w:rFonts w:eastAsia="Times New Roman"/>
        </w:rPr>
        <w:pict>
          <v:rect id="_x0000_i1127" style="width:0;height:1.5pt" o:hralign="center" o:hrstd="t" o:hr="t" fillcolor="#a0a0a0" stroked="f"/>
        </w:pict>
      </w:r>
    </w:p>
    <w:p w:rsidR="00000000" w:rsidRDefault="001F1FC8">
      <w:pPr>
        <w:jc w:val="center"/>
        <w:divId w:val="437602731"/>
        <w:rPr>
          <w:rFonts w:eastAsia="Times New Roman"/>
        </w:rPr>
      </w:pPr>
    </w:p>
    <w:p w:rsidR="00000000" w:rsidRDefault="001F1FC8">
      <w:pPr>
        <w:jc w:val="center"/>
        <w:rPr>
          <w:rFonts w:eastAsia="Times New Roman"/>
        </w:rPr>
      </w:pPr>
      <w:r>
        <w:rPr>
          <w:rFonts w:ascii="Arial" w:eastAsia="Times New Roman" w:hAnsi="Arial" w:cs="Arial"/>
          <w:b/>
          <w:bCs/>
          <w:color w:val="000000"/>
          <w:sz w:val="30"/>
          <w:szCs w:val="30"/>
        </w:rPr>
        <w:t>ENBRIDGE INC.</w:t>
      </w:r>
    </w:p>
    <w:p w:rsidR="00000000" w:rsidRDefault="001F1FC8">
      <w:pPr>
        <w:jc w:val="center"/>
        <w:rPr>
          <w:rFonts w:eastAsia="Times New Roman"/>
        </w:rPr>
      </w:pPr>
      <w:r>
        <w:rPr>
          <w:rFonts w:ascii="Arial" w:eastAsia="Times New Roman" w:hAnsi="Arial" w:cs="Arial"/>
          <w:b/>
          <w:bCs/>
          <w:color w:val="000000"/>
          <w:sz w:val="30"/>
          <w:szCs w:val="30"/>
        </w:rPr>
        <w:t>CONSOLIDATED STATEMENTS OF COMPREHENSIVE INCOME</w:t>
      </w:r>
    </w:p>
    <w:tbl>
      <w:tblPr>
        <w:tblW w:w="5000" w:type="pct"/>
        <w:tblCellMar>
          <w:top w:w="15" w:type="dxa"/>
          <w:left w:w="15" w:type="dxa"/>
          <w:bottom w:w="15" w:type="dxa"/>
          <w:right w:w="15" w:type="dxa"/>
        </w:tblCellMar>
        <w:tblLook w:val="04A0" w:firstRow="1" w:lastRow="0" w:firstColumn="1" w:lastColumn="0" w:noHBand="0" w:noVBand="1"/>
      </w:tblPr>
      <w:tblGrid>
        <w:gridCol w:w="68"/>
        <w:gridCol w:w="5581"/>
        <w:gridCol w:w="39"/>
        <w:gridCol w:w="69"/>
        <w:gridCol w:w="679"/>
        <w:gridCol w:w="36"/>
        <w:gridCol w:w="69"/>
        <w:gridCol w:w="812"/>
        <w:gridCol w:w="36"/>
        <w:gridCol w:w="69"/>
        <w:gridCol w:w="812"/>
        <w:gridCol w:w="36"/>
      </w:tblGrid>
      <w:tr w:rsidR="00000000">
        <w:trPr>
          <w:divId w:val="892929856"/>
        </w:trPr>
        <w:tc>
          <w:tcPr>
            <w:tcW w:w="50" w:type="pct"/>
            <w:vAlign w:val="center"/>
            <w:hideMark/>
          </w:tcPr>
          <w:p w:rsidR="00000000" w:rsidRDefault="001F1FC8">
            <w:pPr>
              <w:jc w:val="center"/>
              <w:rPr>
                <w:rFonts w:eastAsia="Times New Roman"/>
              </w:rPr>
            </w:pPr>
          </w:p>
        </w:tc>
        <w:tc>
          <w:tcPr>
            <w:tcW w:w="3366"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c>
          <w:tcPr>
            <w:tcW w:w="50" w:type="pct"/>
            <w:vAlign w:val="center"/>
            <w:hideMark/>
          </w:tcPr>
          <w:p w:rsidR="00000000" w:rsidRDefault="001F1FC8">
            <w:pPr>
              <w:rPr>
                <w:rFonts w:eastAsia="Times New Roman"/>
                <w:sz w:val="20"/>
                <w:szCs w:val="20"/>
              </w:rPr>
            </w:pPr>
          </w:p>
        </w:tc>
        <w:tc>
          <w:tcPr>
            <w:tcW w:w="417"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c>
          <w:tcPr>
            <w:tcW w:w="50" w:type="pct"/>
            <w:vAlign w:val="center"/>
            <w:hideMark/>
          </w:tcPr>
          <w:p w:rsidR="00000000" w:rsidRDefault="001F1FC8">
            <w:pPr>
              <w:rPr>
                <w:rFonts w:eastAsia="Times New Roman"/>
                <w:sz w:val="20"/>
                <w:szCs w:val="20"/>
              </w:rPr>
            </w:pPr>
          </w:p>
        </w:tc>
        <w:tc>
          <w:tcPr>
            <w:tcW w:w="497"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c>
          <w:tcPr>
            <w:tcW w:w="50" w:type="pct"/>
            <w:vAlign w:val="center"/>
            <w:hideMark/>
          </w:tcPr>
          <w:p w:rsidR="00000000" w:rsidRDefault="001F1FC8">
            <w:pPr>
              <w:rPr>
                <w:rFonts w:eastAsia="Times New Roman"/>
                <w:sz w:val="20"/>
                <w:szCs w:val="20"/>
              </w:rPr>
            </w:pPr>
          </w:p>
        </w:tc>
        <w:tc>
          <w:tcPr>
            <w:tcW w:w="497"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r>
      <w:tr w:rsidR="00000000">
        <w:trPr>
          <w:divId w:val="892929856"/>
        </w:trPr>
        <w:tc>
          <w:tcPr>
            <w:tcW w:w="0" w:type="auto"/>
            <w:gridSpan w:val="3"/>
            <w:tcMar>
              <w:top w:w="30" w:type="dxa"/>
              <w:left w:w="20" w:type="dxa"/>
              <w:bottom w:w="30" w:type="dxa"/>
              <w:right w:w="20" w:type="dxa"/>
            </w:tcMar>
            <w:vAlign w:val="center"/>
            <w:hideMark/>
          </w:tcPr>
          <w:p w:rsidR="00000000" w:rsidRDefault="001F1FC8">
            <w:pPr>
              <w:rPr>
                <w:rFonts w:eastAsia="Times New Roman"/>
              </w:rPr>
            </w:pPr>
            <w:r>
              <w:rPr>
                <w:rFonts w:ascii="Arial" w:eastAsia="Times New Roman" w:hAnsi="Arial" w:cs="Arial"/>
                <w:color w:val="000000"/>
                <w:sz w:val="20"/>
                <w:szCs w:val="20"/>
              </w:rPr>
              <w:t>Year ended December 31,</w:t>
            </w:r>
          </w:p>
        </w:tc>
        <w:tc>
          <w:tcPr>
            <w:tcW w:w="0" w:type="auto"/>
            <w:gridSpan w:val="3"/>
            <w:tcMar>
              <w:top w:w="30" w:type="dxa"/>
              <w:left w:w="20" w:type="dxa"/>
              <w:bottom w:w="30" w:type="dxa"/>
              <w:right w:w="20" w:type="dxa"/>
            </w:tcMar>
            <w:vAlign w:val="center"/>
            <w:hideMark/>
          </w:tcPr>
          <w:p w:rsidR="00000000" w:rsidRDefault="001F1FC8">
            <w:pPr>
              <w:jc w:val="right"/>
              <w:rPr>
                <w:rFonts w:eastAsia="Times New Roman"/>
              </w:rPr>
            </w:pPr>
            <w:r>
              <w:rPr>
                <w:rFonts w:ascii="Arial" w:eastAsia="Times New Roman" w:hAnsi="Arial" w:cs="Arial"/>
                <w:b/>
                <w:bCs/>
                <w:color w:val="000000"/>
                <w:sz w:val="20"/>
                <w:szCs w:val="20"/>
              </w:rPr>
              <w:t>2021</w:t>
            </w:r>
          </w:p>
        </w:tc>
        <w:tc>
          <w:tcPr>
            <w:tcW w:w="0" w:type="auto"/>
            <w:gridSpan w:val="3"/>
            <w:tcMar>
              <w:top w:w="30" w:type="dxa"/>
              <w:left w:w="20" w:type="dxa"/>
              <w:bottom w:w="30" w:type="dxa"/>
              <w:right w:w="20" w:type="dxa"/>
            </w:tcMar>
            <w:vAlign w:val="center"/>
            <w:hideMark/>
          </w:tcPr>
          <w:p w:rsidR="00000000" w:rsidRDefault="001F1FC8">
            <w:pPr>
              <w:jc w:val="right"/>
              <w:rPr>
                <w:rFonts w:eastAsia="Times New Roman"/>
              </w:rPr>
            </w:pPr>
            <w:r>
              <w:rPr>
                <w:rFonts w:ascii="Arial" w:eastAsia="Times New Roman" w:hAnsi="Arial" w:cs="Arial"/>
                <w:color w:val="000000"/>
                <w:sz w:val="20"/>
                <w:szCs w:val="20"/>
              </w:rPr>
              <w:t>2020</w:t>
            </w:r>
          </w:p>
        </w:tc>
        <w:tc>
          <w:tcPr>
            <w:tcW w:w="0" w:type="auto"/>
            <w:gridSpan w:val="3"/>
            <w:tcMar>
              <w:top w:w="30" w:type="dxa"/>
              <w:left w:w="20" w:type="dxa"/>
              <w:bottom w:w="30" w:type="dxa"/>
              <w:right w:w="20" w:type="dxa"/>
            </w:tcMar>
            <w:vAlign w:val="center"/>
            <w:hideMark/>
          </w:tcPr>
          <w:p w:rsidR="00000000" w:rsidRDefault="001F1FC8">
            <w:pPr>
              <w:jc w:val="right"/>
              <w:rPr>
                <w:rFonts w:eastAsia="Times New Roman"/>
              </w:rPr>
            </w:pPr>
            <w:r>
              <w:rPr>
                <w:rFonts w:ascii="Arial" w:eastAsia="Times New Roman" w:hAnsi="Arial" w:cs="Arial"/>
                <w:color w:val="000000"/>
                <w:sz w:val="20"/>
                <w:szCs w:val="20"/>
              </w:rPr>
              <w:t>2019</w:t>
            </w:r>
          </w:p>
        </w:tc>
      </w:tr>
      <w:tr w:rsidR="00000000">
        <w:trPr>
          <w:divId w:val="892929856"/>
        </w:trPr>
        <w:tc>
          <w:tcPr>
            <w:tcW w:w="0" w:type="auto"/>
            <w:gridSpan w:val="3"/>
            <w:tcBorders>
              <w:top w:val="single" w:sz="4" w:space="0" w:color="000000"/>
            </w:tcBorders>
            <w:tcMar>
              <w:top w:w="30" w:type="dxa"/>
              <w:left w:w="20" w:type="dxa"/>
              <w:bottom w:w="30" w:type="dxa"/>
              <w:right w:w="20" w:type="dxa"/>
            </w:tcMar>
            <w:hideMark/>
          </w:tcPr>
          <w:p w:rsidR="00000000" w:rsidRDefault="001F1FC8">
            <w:pPr>
              <w:rPr>
                <w:rFonts w:eastAsia="Times New Roman"/>
              </w:rPr>
            </w:pPr>
            <w:r>
              <w:rPr>
                <w:rFonts w:ascii="Arial" w:eastAsia="Times New Roman" w:hAnsi="Arial" w:cs="Arial"/>
                <w:i/>
                <w:iCs/>
                <w:color w:val="000000"/>
                <w:sz w:val="16"/>
                <w:szCs w:val="16"/>
              </w:rPr>
              <w:t>(millions of Canadian dollars)</w:t>
            </w:r>
          </w:p>
        </w:tc>
        <w:tc>
          <w:tcPr>
            <w:tcW w:w="0" w:type="auto"/>
            <w:gridSpan w:val="3"/>
            <w:tcBorders>
              <w:top w:val="single" w:sz="4" w:space="0" w:color="000000"/>
            </w:tcBorders>
            <w:shd w:val="clear" w:color="auto" w:fill="D8D8D8"/>
            <w:tcMar>
              <w:top w:w="0" w:type="dxa"/>
              <w:left w:w="20" w:type="dxa"/>
              <w:bottom w:w="0" w:type="dxa"/>
              <w:right w:w="20" w:type="dxa"/>
            </w:tcMar>
            <w:vAlign w:val="center"/>
            <w:hideMark/>
          </w:tcPr>
          <w:p w:rsidR="00000000" w:rsidRDefault="001F1FC8">
            <w:pPr>
              <w:rPr>
                <w:rFonts w:eastAsia="Times New Roman"/>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1F1FC8">
            <w:pPr>
              <w:rPr>
                <w:rFonts w:eastAsia="Times New Roman"/>
                <w:sz w:val="20"/>
                <w:szCs w:val="20"/>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1F1FC8">
            <w:pPr>
              <w:rPr>
                <w:rFonts w:eastAsia="Times New Roman"/>
                <w:sz w:val="20"/>
                <w:szCs w:val="20"/>
              </w:rPr>
            </w:pPr>
          </w:p>
        </w:tc>
      </w:tr>
      <w:tr w:rsidR="00000000">
        <w:trPr>
          <w:divId w:val="892929856"/>
        </w:trPr>
        <w:tc>
          <w:tcPr>
            <w:tcW w:w="0" w:type="auto"/>
            <w:gridSpan w:val="3"/>
            <w:tcMar>
              <w:top w:w="30" w:type="dxa"/>
              <w:left w:w="20" w:type="dxa"/>
              <w:bottom w:w="30" w:type="dxa"/>
              <w:right w:w="20" w:type="dxa"/>
            </w:tcMar>
            <w:vAlign w:val="center"/>
            <w:hideMark/>
          </w:tcPr>
          <w:p w:rsidR="00000000" w:rsidRDefault="001F1FC8">
            <w:pPr>
              <w:rPr>
                <w:rFonts w:eastAsia="Times New Roman"/>
              </w:rPr>
            </w:pPr>
            <w:r>
              <w:rPr>
                <w:rFonts w:ascii="Arial" w:eastAsia="Times New Roman" w:hAnsi="Arial" w:cs="Arial"/>
                <w:color w:val="000000"/>
                <w:sz w:val="20"/>
                <w:szCs w:val="20"/>
              </w:rPr>
              <w:t>Earnings</w:t>
            </w:r>
          </w:p>
        </w:tc>
        <w:tc>
          <w:tcPr>
            <w:tcW w:w="0" w:type="auto"/>
            <w:gridSpan w:val="2"/>
            <w:shd w:val="clear" w:color="auto" w:fill="D8D8D8"/>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b/>
                <w:bCs/>
                <w:color w:val="000000"/>
                <w:sz w:val="20"/>
                <w:szCs w:val="20"/>
              </w:rPr>
              <w:t>6,314</w:t>
            </w:r>
            <w:r>
              <w:rPr>
                <w:rFonts w:ascii="Arial" w:eastAsia="Times New Roman" w:hAnsi="Arial" w:cs="Arial"/>
                <w:color w:val="000000"/>
                <w:sz w:val="20"/>
                <w:szCs w:val="20"/>
              </w:rPr>
              <w:t> </w:t>
            </w:r>
          </w:p>
        </w:tc>
        <w:tc>
          <w:tcPr>
            <w:tcW w:w="0" w:type="auto"/>
            <w:shd w:val="clear" w:color="auto" w:fill="D8D8D8"/>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20"/>
                <w:szCs w:val="20"/>
              </w:rPr>
              <w:t>3,416 </w:t>
            </w:r>
          </w:p>
        </w:tc>
        <w:tc>
          <w:tcPr>
            <w:tcW w:w="0" w:type="auto"/>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20"/>
                <w:szCs w:val="20"/>
              </w:rPr>
              <w:t>5,827 </w:t>
            </w:r>
          </w:p>
        </w:tc>
        <w:tc>
          <w:tcPr>
            <w:tcW w:w="0" w:type="auto"/>
            <w:tcMar>
              <w:top w:w="30" w:type="dxa"/>
              <w:left w:w="0" w:type="dxa"/>
              <w:bottom w:w="30" w:type="dxa"/>
              <w:right w:w="20" w:type="dxa"/>
            </w:tcMar>
            <w:vAlign w:val="center"/>
            <w:hideMark/>
          </w:tcPr>
          <w:p w:rsidR="00000000" w:rsidRDefault="001F1FC8">
            <w:pPr>
              <w:jc w:val="right"/>
              <w:rPr>
                <w:rFonts w:eastAsia="Times New Roman"/>
              </w:rPr>
            </w:pPr>
          </w:p>
        </w:tc>
      </w:tr>
      <w:tr w:rsidR="00000000">
        <w:trPr>
          <w:divId w:val="892929856"/>
        </w:trPr>
        <w:tc>
          <w:tcPr>
            <w:tcW w:w="0" w:type="auto"/>
            <w:gridSpan w:val="3"/>
            <w:tcMar>
              <w:top w:w="30" w:type="dxa"/>
              <w:left w:w="20" w:type="dxa"/>
              <w:bottom w:w="30" w:type="dxa"/>
              <w:right w:w="20" w:type="dxa"/>
            </w:tcMar>
            <w:vAlign w:val="center"/>
            <w:hideMark/>
          </w:tcPr>
          <w:p w:rsidR="00000000" w:rsidRDefault="001F1FC8">
            <w:pPr>
              <w:rPr>
                <w:rFonts w:eastAsia="Times New Roman"/>
              </w:rPr>
            </w:pPr>
            <w:r>
              <w:rPr>
                <w:rFonts w:ascii="Arial" w:eastAsia="Times New Roman" w:hAnsi="Arial" w:cs="Arial"/>
                <w:color w:val="000000"/>
                <w:sz w:val="20"/>
                <w:szCs w:val="20"/>
              </w:rPr>
              <w:t>Other comprehensive income/(loss), net of tax</w:t>
            </w:r>
          </w:p>
        </w:tc>
        <w:tc>
          <w:tcPr>
            <w:tcW w:w="0" w:type="auto"/>
            <w:gridSpan w:val="3"/>
            <w:shd w:val="clear" w:color="auto" w:fill="D8D8D8"/>
            <w:tcMar>
              <w:top w:w="0" w:type="dxa"/>
              <w:left w:w="20" w:type="dxa"/>
              <w:bottom w:w="0" w:type="dxa"/>
              <w:right w:w="20" w:type="dxa"/>
            </w:tcMar>
            <w:vAlign w:val="center"/>
            <w:hideMark/>
          </w:tcPr>
          <w:p w:rsidR="00000000" w:rsidRDefault="001F1FC8">
            <w:pPr>
              <w:rPr>
                <w:rFonts w:eastAsia="Times New Roman"/>
              </w:rPr>
            </w:pPr>
          </w:p>
        </w:tc>
        <w:tc>
          <w:tcPr>
            <w:tcW w:w="0" w:type="auto"/>
            <w:gridSpan w:val="3"/>
            <w:tcMar>
              <w:top w:w="0" w:type="dxa"/>
              <w:left w:w="20" w:type="dxa"/>
              <w:bottom w:w="0" w:type="dxa"/>
              <w:right w:w="20" w:type="dxa"/>
            </w:tcMar>
            <w:vAlign w:val="center"/>
            <w:hideMark/>
          </w:tcPr>
          <w:p w:rsidR="00000000" w:rsidRDefault="001F1FC8">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1F1FC8">
            <w:pPr>
              <w:rPr>
                <w:rFonts w:eastAsia="Times New Roman"/>
                <w:sz w:val="20"/>
                <w:szCs w:val="20"/>
              </w:rPr>
            </w:pPr>
          </w:p>
        </w:tc>
      </w:tr>
      <w:tr w:rsidR="00000000">
        <w:trPr>
          <w:divId w:val="892929856"/>
        </w:trPr>
        <w:tc>
          <w:tcPr>
            <w:tcW w:w="0" w:type="auto"/>
            <w:gridSpan w:val="3"/>
            <w:tcMar>
              <w:top w:w="30" w:type="dxa"/>
              <w:left w:w="245" w:type="dxa"/>
              <w:bottom w:w="30" w:type="dxa"/>
              <w:right w:w="20" w:type="dxa"/>
            </w:tcMar>
            <w:vAlign w:val="center"/>
            <w:hideMark/>
          </w:tcPr>
          <w:p w:rsidR="00000000" w:rsidRDefault="001F1FC8">
            <w:pPr>
              <w:rPr>
                <w:rFonts w:eastAsia="Times New Roman"/>
              </w:rPr>
            </w:pPr>
            <w:r>
              <w:rPr>
                <w:rFonts w:ascii="Arial" w:eastAsia="Times New Roman" w:hAnsi="Arial" w:cs="Arial"/>
                <w:color w:val="000000"/>
                <w:sz w:val="20"/>
                <w:szCs w:val="20"/>
              </w:rPr>
              <w:t>Change in unrealized gain/(loss) on cash flow hedges</w:t>
            </w:r>
          </w:p>
        </w:tc>
        <w:tc>
          <w:tcPr>
            <w:tcW w:w="0" w:type="auto"/>
            <w:gridSpan w:val="2"/>
            <w:shd w:val="clear" w:color="auto" w:fill="D8D8D8"/>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b/>
                <w:bCs/>
                <w:color w:val="000000"/>
                <w:sz w:val="20"/>
                <w:szCs w:val="20"/>
              </w:rPr>
              <w:t>162</w:t>
            </w:r>
            <w:r>
              <w:rPr>
                <w:rFonts w:ascii="Arial" w:eastAsia="Times New Roman" w:hAnsi="Arial" w:cs="Arial"/>
                <w:color w:val="000000"/>
                <w:sz w:val="20"/>
                <w:szCs w:val="20"/>
              </w:rPr>
              <w:t> </w:t>
            </w:r>
          </w:p>
        </w:tc>
        <w:tc>
          <w:tcPr>
            <w:tcW w:w="0" w:type="auto"/>
            <w:shd w:val="clear" w:color="auto" w:fill="D8D8D8"/>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20"/>
                <w:szCs w:val="20"/>
              </w:rPr>
              <w:t>(457)</w:t>
            </w:r>
          </w:p>
        </w:tc>
        <w:tc>
          <w:tcPr>
            <w:tcW w:w="0" w:type="auto"/>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20"/>
                <w:szCs w:val="20"/>
              </w:rPr>
              <w:t>(437)</w:t>
            </w:r>
          </w:p>
        </w:tc>
        <w:tc>
          <w:tcPr>
            <w:tcW w:w="0" w:type="auto"/>
            <w:tcMar>
              <w:top w:w="30" w:type="dxa"/>
              <w:left w:w="0" w:type="dxa"/>
              <w:bottom w:w="30" w:type="dxa"/>
              <w:right w:w="20" w:type="dxa"/>
            </w:tcMar>
            <w:vAlign w:val="center"/>
            <w:hideMark/>
          </w:tcPr>
          <w:p w:rsidR="00000000" w:rsidRDefault="001F1FC8">
            <w:pPr>
              <w:jc w:val="right"/>
              <w:rPr>
                <w:rFonts w:eastAsia="Times New Roman"/>
              </w:rPr>
            </w:pPr>
          </w:p>
        </w:tc>
      </w:tr>
      <w:tr w:rsidR="00000000">
        <w:trPr>
          <w:divId w:val="892929856"/>
        </w:trPr>
        <w:tc>
          <w:tcPr>
            <w:tcW w:w="0" w:type="auto"/>
            <w:gridSpan w:val="3"/>
            <w:tcMar>
              <w:top w:w="30" w:type="dxa"/>
              <w:left w:w="245" w:type="dxa"/>
              <w:bottom w:w="30" w:type="dxa"/>
              <w:right w:w="20" w:type="dxa"/>
            </w:tcMar>
            <w:vAlign w:val="center"/>
            <w:hideMark/>
          </w:tcPr>
          <w:p w:rsidR="00000000" w:rsidRDefault="001F1FC8">
            <w:pPr>
              <w:rPr>
                <w:rFonts w:eastAsia="Times New Roman"/>
              </w:rPr>
            </w:pPr>
            <w:r>
              <w:rPr>
                <w:rFonts w:ascii="Arial" w:eastAsia="Times New Roman" w:hAnsi="Arial" w:cs="Arial"/>
                <w:color w:val="000000"/>
                <w:sz w:val="20"/>
                <w:szCs w:val="20"/>
              </w:rPr>
              <w:t>Change in unrealized gain on net investment hedges</w:t>
            </w:r>
          </w:p>
        </w:tc>
        <w:tc>
          <w:tcPr>
            <w:tcW w:w="0" w:type="auto"/>
            <w:gridSpan w:val="2"/>
            <w:shd w:val="clear" w:color="auto" w:fill="D8D8D8"/>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b/>
                <w:bCs/>
                <w:color w:val="000000"/>
                <w:sz w:val="20"/>
                <w:szCs w:val="20"/>
              </w:rPr>
              <w:t>49</w:t>
            </w:r>
            <w:r>
              <w:rPr>
                <w:rFonts w:ascii="Arial" w:eastAsia="Times New Roman" w:hAnsi="Arial" w:cs="Arial"/>
                <w:color w:val="000000"/>
                <w:sz w:val="20"/>
                <w:szCs w:val="20"/>
              </w:rPr>
              <w:t> </w:t>
            </w:r>
          </w:p>
        </w:tc>
        <w:tc>
          <w:tcPr>
            <w:tcW w:w="0" w:type="auto"/>
            <w:shd w:val="clear" w:color="auto" w:fill="D8D8D8"/>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20"/>
                <w:szCs w:val="20"/>
              </w:rPr>
              <w:t>102 </w:t>
            </w:r>
          </w:p>
        </w:tc>
        <w:tc>
          <w:tcPr>
            <w:tcW w:w="0" w:type="auto"/>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20"/>
                <w:szCs w:val="20"/>
              </w:rPr>
              <w:t>281 </w:t>
            </w:r>
          </w:p>
        </w:tc>
        <w:tc>
          <w:tcPr>
            <w:tcW w:w="0" w:type="auto"/>
            <w:tcMar>
              <w:top w:w="30" w:type="dxa"/>
              <w:left w:w="0" w:type="dxa"/>
              <w:bottom w:w="30" w:type="dxa"/>
              <w:right w:w="20" w:type="dxa"/>
            </w:tcMar>
            <w:vAlign w:val="center"/>
            <w:hideMark/>
          </w:tcPr>
          <w:p w:rsidR="00000000" w:rsidRDefault="001F1FC8">
            <w:pPr>
              <w:jc w:val="right"/>
              <w:rPr>
                <w:rFonts w:eastAsia="Times New Roman"/>
              </w:rPr>
            </w:pPr>
          </w:p>
        </w:tc>
      </w:tr>
      <w:tr w:rsidR="00000000">
        <w:trPr>
          <w:divId w:val="892929856"/>
        </w:trPr>
        <w:tc>
          <w:tcPr>
            <w:tcW w:w="0" w:type="auto"/>
            <w:gridSpan w:val="3"/>
            <w:tcMar>
              <w:top w:w="30" w:type="dxa"/>
              <w:left w:w="245" w:type="dxa"/>
              <w:bottom w:w="30" w:type="dxa"/>
              <w:right w:w="20" w:type="dxa"/>
            </w:tcMar>
            <w:vAlign w:val="center"/>
            <w:hideMark/>
          </w:tcPr>
          <w:p w:rsidR="00000000" w:rsidRDefault="001F1FC8">
            <w:pPr>
              <w:rPr>
                <w:rFonts w:eastAsia="Times New Roman"/>
              </w:rPr>
            </w:pPr>
            <w:r>
              <w:rPr>
                <w:rFonts w:ascii="Arial" w:eastAsia="Times New Roman" w:hAnsi="Arial" w:cs="Arial"/>
                <w:color w:val="000000"/>
                <w:sz w:val="20"/>
                <w:szCs w:val="20"/>
              </w:rPr>
              <w:t>Other comprehensive income/(loss) from equity investees</w:t>
            </w:r>
          </w:p>
        </w:tc>
        <w:tc>
          <w:tcPr>
            <w:tcW w:w="0" w:type="auto"/>
            <w:gridSpan w:val="2"/>
            <w:shd w:val="clear" w:color="auto" w:fill="D8D8D8"/>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b/>
                <w:bCs/>
                <w:color w:val="000000"/>
                <w:sz w:val="20"/>
                <w:szCs w:val="20"/>
              </w:rPr>
              <w:t>(12)</w:t>
            </w:r>
          </w:p>
        </w:tc>
        <w:tc>
          <w:tcPr>
            <w:tcW w:w="0" w:type="auto"/>
            <w:shd w:val="clear" w:color="auto" w:fill="D8D8D8"/>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20"/>
                <w:szCs w:val="20"/>
              </w:rPr>
              <w:t>(1)</w:t>
            </w:r>
          </w:p>
        </w:tc>
        <w:tc>
          <w:tcPr>
            <w:tcW w:w="0" w:type="auto"/>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20"/>
                <w:szCs w:val="20"/>
              </w:rPr>
              <w:t>40 </w:t>
            </w:r>
          </w:p>
        </w:tc>
        <w:tc>
          <w:tcPr>
            <w:tcW w:w="0" w:type="auto"/>
            <w:tcMar>
              <w:top w:w="30" w:type="dxa"/>
              <w:left w:w="0" w:type="dxa"/>
              <w:bottom w:w="30" w:type="dxa"/>
              <w:right w:w="20" w:type="dxa"/>
            </w:tcMar>
            <w:vAlign w:val="center"/>
            <w:hideMark/>
          </w:tcPr>
          <w:p w:rsidR="00000000" w:rsidRDefault="001F1FC8">
            <w:pPr>
              <w:jc w:val="right"/>
              <w:rPr>
                <w:rFonts w:eastAsia="Times New Roman"/>
              </w:rPr>
            </w:pPr>
          </w:p>
        </w:tc>
      </w:tr>
      <w:tr w:rsidR="00000000">
        <w:trPr>
          <w:divId w:val="892929856"/>
        </w:trPr>
        <w:tc>
          <w:tcPr>
            <w:tcW w:w="0" w:type="auto"/>
            <w:gridSpan w:val="3"/>
            <w:tcMar>
              <w:top w:w="30" w:type="dxa"/>
              <w:left w:w="245" w:type="dxa"/>
              <w:bottom w:w="30" w:type="dxa"/>
              <w:right w:w="20" w:type="dxa"/>
            </w:tcMar>
            <w:vAlign w:val="center"/>
            <w:hideMark/>
          </w:tcPr>
          <w:p w:rsidR="00000000" w:rsidRDefault="001F1FC8">
            <w:pPr>
              <w:rPr>
                <w:rFonts w:eastAsia="Times New Roman"/>
              </w:rPr>
            </w:pPr>
            <w:r>
              <w:rPr>
                <w:rFonts w:ascii="Arial" w:eastAsia="Times New Roman" w:hAnsi="Arial" w:cs="Arial"/>
                <w:color w:val="000000"/>
                <w:sz w:val="20"/>
                <w:szCs w:val="20"/>
              </w:rPr>
              <w:t>Excluded components of fair value hedges</w:t>
            </w:r>
          </w:p>
        </w:tc>
        <w:tc>
          <w:tcPr>
            <w:tcW w:w="0" w:type="auto"/>
            <w:gridSpan w:val="2"/>
            <w:shd w:val="clear" w:color="auto" w:fill="D8D8D8"/>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b/>
                <w:bCs/>
                <w:color w:val="000000"/>
                <w:sz w:val="20"/>
                <w:szCs w:val="20"/>
              </w:rPr>
              <w:t>(5)</w:t>
            </w:r>
          </w:p>
        </w:tc>
        <w:tc>
          <w:tcPr>
            <w:tcW w:w="0" w:type="auto"/>
            <w:shd w:val="clear" w:color="auto" w:fill="D8D8D8"/>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20"/>
                <w:szCs w:val="20"/>
              </w:rPr>
              <w:t>5 </w:t>
            </w:r>
          </w:p>
        </w:tc>
        <w:tc>
          <w:tcPr>
            <w:tcW w:w="0" w:type="auto"/>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20"/>
                <w:szCs w:val="20"/>
              </w:rPr>
              <w:t>— </w:t>
            </w:r>
          </w:p>
        </w:tc>
        <w:tc>
          <w:tcPr>
            <w:tcW w:w="0" w:type="auto"/>
            <w:tcMar>
              <w:top w:w="30" w:type="dxa"/>
              <w:left w:w="0" w:type="dxa"/>
              <w:bottom w:w="30" w:type="dxa"/>
              <w:right w:w="20" w:type="dxa"/>
            </w:tcMar>
            <w:vAlign w:val="center"/>
            <w:hideMark/>
          </w:tcPr>
          <w:p w:rsidR="00000000" w:rsidRDefault="001F1FC8">
            <w:pPr>
              <w:jc w:val="right"/>
              <w:rPr>
                <w:rFonts w:eastAsia="Times New Roman"/>
              </w:rPr>
            </w:pPr>
          </w:p>
        </w:tc>
      </w:tr>
      <w:tr w:rsidR="00000000">
        <w:trPr>
          <w:divId w:val="892929856"/>
        </w:trPr>
        <w:tc>
          <w:tcPr>
            <w:tcW w:w="0" w:type="auto"/>
            <w:gridSpan w:val="3"/>
            <w:tcMar>
              <w:top w:w="30" w:type="dxa"/>
              <w:left w:w="245" w:type="dxa"/>
              <w:bottom w:w="30" w:type="dxa"/>
              <w:right w:w="20" w:type="dxa"/>
            </w:tcMar>
            <w:vAlign w:val="center"/>
            <w:hideMark/>
          </w:tcPr>
          <w:p w:rsidR="00000000" w:rsidRDefault="001F1FC8">
            <w:pPr>
              <w:rPr>
                <w:rFonts w:eastAsia="Times New Roman"/>
              </w:rPr>
            </w:pPr>
            <w:r>
              <w:rPr>
                <w:rFonts w:ascii="Arial" w:eastAsia="Times New Roman" w:hAnsi="Arial" w:cs="Arial"/>
                <w:color w:val="000000"/>
                <w:sz w:val="20"/>
                <w:szCs w:val="20"/>
              </w:rPr>
              <w:t>Reclassification to earnings of loss on cash flow hedges</w:t>
            </w:r>
          </w:p>
        </w:tc>
        <w:tc>
          <w:tcPr>
            <w:tcW w:w="0" w:type="auto"/>
            <w:gridSpan w:val="2"/>
            <w:shd w:val="clear" w:color="auto" w:fill="D8D8D8"/>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b/>
                <w:bCs/>
                <w:color w:val="000000"/>
                <w:sz w:val="20"/>
                <w:szCs w:val="20"/>
              </w:rPr>
              <w:t>235</w:t>
            </w:r>
            <w:r>
              <w:rPr>
                <w:rFonts w:ascii="Arial" w:eastAsia="Times New Roman" w:hAnsi="Arial" w:cs="Arial"/>
                <w:color w:val="000000"/>
                <w:sz w:val="20"/>
                <w:szCs w:val="20"/>
              </w:rPr>
              <w:t> </w:t>
            </w:r>
          </w:p>
        </w:tc>
        <w:tc>
          <w:tcPr>
            <w:tcW w:w="0" w:type="auto"/>
            <w:shd w:val="clear" w:color="auto" w:fill="D8D8D8"/>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20"/>
                <w:szCs w:val="20"/>
              </w:rPr>
              <w:t>198 </w:t>
            </w:r>
          </w:p>
        </w:tc>
        <w:tc>
          <w:tcPr>
            <w:tcW w:w="0" w:type="auto"/>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20"/>
                <w:szCs w:val="20"/>
              </w:rPr>
              <w:t>127 </w:t>
            </w:r>
          </w:p>
        </w:tc>
        <w:tc>
          <w:tcPr>
            <w:tcW w:w="0" w:type="auto"/>
            <w:tcMar>
              <w:top w:w="30" w:type="dxa"/>
              <w:left w:w="0" w:type="dxa"/>
              <w:bottom w:w="30" w:type="dxa"/>
              <w:right w:w="20" w:type="dxa"/>
            </w:tcMar>
            <w:vAlign w:val="center"/>
            <w:hideMark/>
          </w:tcPr>
          <w:p w:rsidR="00000000" w:rsidRDefault="001F1FC8">
            <w:pPr>
              <w:jc w:val="right"/>
              <w:rPr>
                <w:rFonts w:eastAsia="Times New Roman"/>
              </w:rPr>
            </w:pPr>
          </w:p>
        </w:tc>
      </w:tr>
      <w:tr w:rsidR="00000000">
        <w:trPr>
          <w:divId w:val="892929856"/>
        </w:trPr>
        <w:tc>
          <w:tcPr>
            <w:tcW w:w="0" w:type="auto"/>
            <w:gridSpan w:val="3"/>
            <w:tcMar>
              <w:top w:w="30" w:type="dxa"/>
              <w:left w:w="425" w:type="dxa"/>
              <w:bottom w:w="30" w:type="dxa"/>
              <w:right w:w="20" w:type="dxa"/>
            </w:tcMar>
            <w:hideMark/>
          </w:tcPr>
          <w:p w:rsidR="00000000" w:rsidRDefault="001F1FC8">
            <w:pPr>
              <w:ind w:hanging="180"/>
              <w:rPr>
                <w:rFonts w:eastAsia="Times New Roman"/>
              </w:rPr>
            </w:pPr>
            <w:r>
              <w:rPr>
                <w:rFonts w:ascii="Arial" w:eastAsia="Times New Roman" w:hAnsi="Arial" w:cs="Arial"/>
                <w:color w:val="000000"/>
                <w:sz w:val="20"/>
                <w:szCs w:val="20"/>
              </w:rPr>
              <w:t>Reclassification to earnings of pension and other postretirement benefits (OPEB) amounts</w:t>
            </w:r>
          </w:p>
        </w:tc>
        <w:tc>
          <w:tcPr>
            <w:tcW w:w="0" w:type="auto"/>
            <w:gridSpan w:val="2"/>
            <w:shd w:val="clear" w:color="auto" w:fill="D8D8D8"/>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20"/>
                <w:szCs w:val="20"/>
              </w:rPr>
              <w:t>21</w:t>
            </w:r>
            <w:r>
              <w:rPr>
                <w:rFonts w:ascii="Arial" w:eastAsia="Times New Roman" w:hAnsi="Arial" w:cs="Arial"/>
                <w:color w:val="000000"/>
                <w:sz w:val="20"/>
                <w:szCs w:val="20"/>
              </w:rPr>
              <w:t> </w:t>
            </w:r>
          </w:p>
        </w:tc>
        <w:tc>
          <w:tcPr>
            <w:tcW w:w="0" w:type="auto"/>
            <w:shd w:val="clear" w:color="auto" w:fill="D8D8D8"/>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13 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13 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r>
      <w:tr w:rsidR="00000000">
        <w:trPr>
          <w:divId w:val="892929856"/>
        </w:trPr>
        <w:tc>
          <w:tcPr>
            <w:tcW w:w="0" w:type="auto"/>
            <w:gridSpan w:val="3"/>
            <w:tcMar>
              <w:top w:w="30" w:type="dxa"/>
              <w:left w:w="425" w:type="dxa"/>
              <w:bottom w:w="30" w:type="dxa"/>
              <w:right w:w="20" w:type="dxa"/>
            </w:tcMar>
            <w:vAlign w:val="center"/>
            <w:hideMark/>
          </w:tcPr>
          <w:p w:rsidR="00000000" w:rsidRDefault="001F1FC8">
            <w:pPr>
              <w:ind w:hanging="180"/>
              <w:rPr>
                <w:rFonts w:eastAsia="Times New Roman"/>
              </w:rPr>
            </w:pPr>
            <w:r>
              <w:rPr>
                <w:rFonts w:ascii="Arial" w:eastAsia="Times New Roman" w:hAnsi="Arial" w:cs="Arial"/>
                <w:color w:val="000000"/>
                <w:sz w:val="20"/>
                <w:szCs w:val="20"/>
              </w:rPr>
              <w:t>Reclassification to earnings of gain on equity investees</w:t>
            </w:r>
          </w:p>
        </w:tc>
        <w:tc>
          <w:tcPr>
            <w:tcW w:w="0" w:type="auto"/>
            <w:gridSpan w:val="2"/>
            <w:shd w:val="clear" w:color="auto" w:fill="D8D8D8"/>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b/>
                <w:bCs/>
                <w:color w:val="000000"/>
                <w:sz w:val="20"/>
                <w:szCs w:val="20"/>
              </w:rPr>
              <w:t>(62)</w:t>
            </w:r>
          </w:p>
        </w:tc>
        <w:tc>
          <w:tcPr>
            <w:tcW w:w="0" w:type="auto"/>
            <w:shd w:val="clear" w:color="auto" w:fill="D8D8D8"/>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20"/>
                <w:szCs w:val="20"/>
              </w:rPr>
              <w:t>— </w:t>
            </w:r>
          </w:p>
        </w:tc>
        <w:tc>
          <w:tcPr>
            <w:tcW w:w="0" w:type="auto"/>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20"/>
                <w:szCs w:val="20"/>
              </w:rPr>
              <w:t>— </w:t>
            </w:r>
          </w:p>
        </w:tc>
        <w:tc>
          <w:tcPr>
            <w:tcW w:w="0" w:type="auto"/>
            <w:tcMar>
              <w:top w:w="30" w:type="dxa"/>
              <w:left w:w="0" w:type="dxa"/>
              <w:bottom w:w="30" w:type="dxa"/>
              <w:right w:w="20" w:type="dxa"/>
            </w:tcMar>
            <w:vAlign w:val="center"/>
            <w:hideMark/>
          </w:tcPr>
          <w:p w:rsidR="00000000" w:rsidRDefault="001F1FC8">
            <w:pPr>
              <w:jc w:val="right"/>
              <w:rPr>
                <w:rFonts w:eastAsia="Times New Roman"/>
              </w:rPr>
            </w:pPr>
          </w:p>
        </w:tc>
      </w:tr>
      <w:tr w:rsidR="00000000">
        <w:trPr>
          <w:divId w:val="892929856"/>
        </w:trPr>
        <w:tc>
          <w:tcPr>
            <w:tcW w:w="0" w:type="auto"/>
            <w:gridSpan w:val="3"/>
            <w:tcMar>
              <w:top w:w="30" w:type="dxa"/>
              <w:left w:w="425" w:type="dxa"/>
              <w:bottom w:w="30" w:type="dxa"/>
              <w:right w:w="20" w:type="dxa"/>
            </w:tcMar>
            <w:vAlign w:val="center"/>
            <w:hideMark/>
          </w:tcPr>
          <w:p w:rsidR="00000000" w:rsidRDefault="001F1FC8">
            <w:pPr>
              <w:ind w:hanging="180"/>
              <w:rPr>
                <w:rFonts w:eastAsia="Times New Roman"/>
              </w:rPr>
            </w:pPr>
            <w:r>
              <w:rPr>
                <w:rFonts w:ascii="Arial" w:eastAsia="Times New Roman" w:hAnsi="Arial" w:cs="Arial"/>
                <w:color w:val="000000"/>
                <w:sz w:val="20"/>
                <w:szCs w:val="20"/>
              </w:rPr>
              <w:t>Actuarial gain/(loss) on pension and OPEB</w:t>
            </w:r>
          </w:p>
        </w:tc>
        <w:tc>
          <w:tcPr>
            <w:tcW w:w="0" w:type="auto"/>
            <w:gridSpan w:val="2"/>
            <w:shd w:val="clear" w:color="auto" w:fill="D8D8D8"/>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b/>
                <w:bCs/>
                <w:color w:val="000000"/>
                <w:sz w:val="20"/>
                <w:szCs w:val="20"/>
              </w:rPr>
              <w:t>394</w:t>
            </w:r>
            <w:r>
              <w:rPr>
                <w:rFonts w:ascii="Arial" w:eastAsia="Times New Roman" w:hAnsi="Arial" w:cs="Arial"/>
                <w:color w:val="000000"/>
                <w:sz w:val="20"/>
                <w:szCs w:val="20"/>
              </w:rPr>
              <w:t> </w:t>
            </w:r>
          </w:p>
        </w:tc>
        <w:tc>
          <w:tcPr>
            <w:tcW w:w="0" w:type="auto"/>
            <w:shd w:val="clear" w:color="auto" w:fill="D8D8D8"/>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20"/>
                <w:szCs w:val="20"/>
              </w:rPr>
              <w:t>(167)</w:t>
            </w:r>
          </w:p>
        </w:tc>
        <w:tc>
          <w:tcPr>
            <w:tcW w:w="0" w:type="auto"/>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20"/>
                <w:szCs w:val="20"/>
              </w:rPr>
              <w:t>(96)</w:t>
            </w:r>
          </w:p>
        </w:tc>
        <w:tc>
          <w:tcPr>
            <w:tcW w:w="0" w:type="auto"/>
            <w:tcMar>
              <w:top w:w="30" w:type="dxa"/>
              <w:left w:w="0" w:type="dxa"/>
              <w:bottom w:w="30" w:type="dxa"/>
              <w:right w:w="20" w:type="dxa"/>
            </w:tcMar>
            <w:vAlign w:val="center"/>
            <w:hideMark/>
          </w:tcPr>
          <w:p w:rsidR="00000000" w:rsidRDefault="001F1FC8">
            <w:pPr>
              <w:jc w:val="right"/>
              <w:rPr>
                <w:rFonts w:eastAsia="Times New Roman"/>
              </w:rPr>
            </w:pPr>
          </w:p>
        </w:tc>
      </w:tr>
      <w:tr w:rsidR="00000000">
        <w:trPr>
          <w:divId w:val="892929856"/>
        </w:trPr>
        <w:tc>
          <w:tcPr>
            <w:tcW w:w="0" w:type="auto"/>
            <w:gridSpan w:val="3"/>
            <w:tcMar>
              <w:top w:w="30" w:type="dxa"/>
              <w:left w:w="245" w:type="dxa"/>
              <w:bottom w:w="30" w:type="dxa"/>
              <w:right w:w="20" w:type="dxa"/>
            </w:tcMar>
            <w:vAlign w:val="center"/>
            <w:hideMark/>
          </w:tcPr>
          <w:p w:rsidR="00000000" w:rsidRDefault="001F1FC8">
            <w:pPr>
              <w:rPr>
                <w:rFonts w:eastAsia="Times New Roman"/>
              </w:rPr>
            </w:pPr>
            <w:r>
              <w:rPr>
                <w:rFonts w:ascii="Arial" w:eastAsia="Times New Roman" w:hAnsi="Arial" w:cs="Arial"/>
                <w:color w:val="000000"/>
                <w:sz w:val="20"/>
                <w:szCs w:val="20"/>
              </w:rPr>
              <w:t>Foreign currency translation adjustments</w:t>
            </w:r>
          </w:p>
        </w:tc>
        <w:tc>
          <w:tcPr>
            <w:tcW w:w="0" w:type="auto"/>
            <w:gridSpan w:val="2"/>
            <w:shd w:val="clear" w:color="auto" w:fill="D8D8D8"/>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b/>
                <w:bCs/>
                <w:color w:val="000000"/>
                <w:sz w:val="20"/>
                <w:szCs w:val="20"/>
              </w:rPr>
              <w:t>(507)</w:t>
            </w:r>
          </w:p>
        </w:tc>
        <w:tc>
          <w:tcPr>
            <w:tcW w:w="0" w:type="auto"/>
            <w:shd w:val="clear" w:color="auto" w:fill="D8D8D8"/>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20"/>
                <w:szCs w:val="20"/>
              </w:rPr>
              <w:t>(853)</w:t>
            </w:r>
          </w:p>
        </w:tc>
        <w:tc>
          <w:tcPr>
            <w:tcW w:w="0" w:type="auto"/>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20"/>
                <w:szCs w:val="20"/>
              </w:rPr>
              <w:t>(3,035)</w:t>
            </w:r>
          </w:p>
        </w:tc>
        <w:tc>
          <w:tcPr>
            <w:tcW w:w="0" w:type="auto"/>
            <w:tcMar>
              <w:top w:w="30" w:type="dxa"/>
              <w:left w:w="0" w:type="dxa"/>
              <w:bottom w:w="30" w:type="dxa"/>
              <w:right w:w="20" w:type="dxa"/>
            </w:tcMar>
            <w:vAlign w:val="center"/>
            <w:hideMark/>
          </w:tcPr>
          <w:p w:rsidR="00000000" w:rsidRDefault="001F1FC8">
            <w:pPr>
              <w:jc w:val="right"/>
              <w:rPr>
                <w:rFonts w:eastAsia="Times New Roman"/>
              </w:rPr>
            </w:pPr>
          </w:p>
        </w:tc>
      </w:tr>
      <w:tr w:rsidR="00000000">
        <w:trPr>
          <w:divId w:val="892929856"/>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1F1FC8">
            <w:pPr>
              <w:rPr>
                <w:rFonts w:eastAsia="Times New Roman"/>
              </w:rPr>
            </w:pPr>
            <w:r>
              <w:rPr>
                <w:rFonts w:ascii="Arial" w:eastAsia="Times New Roman" w:hAnsi="Arial" w:cs="Arial"/>
                <w:color w:val="000000"/>
                <w:sz w:val="20"/>
                <w:szCs w:val="20"/>
              </w:rPr>
              <w:t>Other comprehensive income/(loss), net of tax</w:t>
            </w:r>
          </w:p>
        </w:tc>
        <w:tc>
          <w:tcPr>
            <w:tcW w:w="0" w:type="auto"/>
            <w:gridSpan w:val="2"/>
            <w:tcBorders>
              <w:top w:val="single" w:sz="4" w:space="0" w:color="000000"/>
            </w:tcBorders>
            <w:shd w:val="clear" w:color="auto" w:fill="D8D8D8"/>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b/>
                <w:bCs/>
                <w:color w:val="000000"/>
                <w:sz w:val="20"/>
                <w:szCs w:val="20"/>
              </w:rPr>
              <w:t>275</w:t>
            </w:r>
            <w:r>
              <w:rPr>
                <w:rFonts w:ascii="Arial" w:eastAsia="Times New Roman" w:hAnsi="Arial" w:cs="Arial"/>
                <w:color w:val="000000"/>
                <w:sz w:val="20"/>
                <w:szCs w:val="20"/>
              </w:rPr>
              <w:t> </w:t>
            </w:r>
          </w:p>
        </w:tc>
        <w:tc>
          <w:tcPr>
            <w:tcW w:w="0" w:type="auto"/>
            <w:tcBorders>
              <w:top w:val="single" w:sz="4" w:space="0" w:color="000000"/>
            </w:tcBorders>
            <w:shd w:val="clear" w:color="auto" w:fill="D8D8D8"/>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20"/>
                <w:szCs w:val="20"/>
              </w:rPr>
              <w:t>(1,160)</w:t>
            </w:r>
          </w:p>
        </w:tc>
        <w:tc>
          <w:tcPr>
            <w:tcW w:w="0" w:type="auto"/>
            <w:tcBorders>
              <w:top w:val="single" w:sz="4" w:space="0" w:color="000000"/>
            </w:tcBorders>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20"/>
                <w:szCs w:val="20"/>
              </w:rPr>
              <w:t>(3,107)</w:t>
            </w:r>
          </w:p>
        </w:tc>
        <w:tc>
          <w:tcPr>
            <w:tcW w:w="0" w:type="auto"/>
            <w:tcBorders>
              <w:top w:val="single" w:sz="4" w:space="0" w:color="000000"/>
            </w:tcBorders>
            <w:tcMar>
              <w:top w:w="30" w:type="dxa"/>
              <w:left w:w="0" w:type="dxa"/>
              <w:bottom w:w="30" w:type="dxa"/>
              <w:right w:w="20" w:type="dxa"/>
            </w:tcMar>
            <w:vAlign w:val="center"/>
            <w:hideMark/>
          </w:tcPr>
          <w:p w:rsidR="00000000" w:rsidRDefault="001F1FC8">
            <w:pPr>
              <w:jc w:val="right"/>
              <w:rPr>
                <w:rFonts w:eastAsia="Times New Roman"/>
              </w:rPr>
            </w:pPr>
          </w:p>
        </w:tc>
      </w:tr>
      <w:tr w:rsidR="00000000">
        <w:trPr>
          <w:divId w:val="892929856"/>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1F1FC8">
            <w:pPr>
              <w:rPr>
                <w:rFonts w:eastAsia="Times New Roman"/>
              </w:rPr>
            </w:pPr>
            <w:r>
              <w:rPr>
                <w:rFonts w:ascii="Arial" w:eastAsia="Times New Roman" w:hAnsi="Arial" w:cs="Arial"/>
                <w:color w:val="000000"/>
                <w:sz w:val="20"/>
                <w:szCs w:val="20"/>
              </w:rPr>
              <w:t>Comprehensive income</w:t>
            </w:r>
          </w:p>
        </w:tc>
        <w:tc>
          <w:tcPr>
            <w:tcW w:w="0" w:type="auto"/>
            <w:gridSpan w:val="2"/>
            <w:tcBorders>
              <w:top w:val="single" w:sz="4" w:space="0" w:color="000000"/>
            </w:tcBorders>
            <w:shd w:val="clear" w:color="auto" w:fill="D8D8D8"/>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b/>
                <w:bCs/>
                <w:color w:val="000000"/>
                <w:sz w:val="20"/>
                <w:szCs w:val="20"/>
              </w:rPr>
              <w:t>6,589</w:t>
            </w:r>
            <w:r>
              <w:rPr>
                <w:rFonts w:ascii="Arial" w:eastAsia="Times New Roman" w:hAnsi="Arial" w:cs="Arial"/>
                <w:color w:val="000000"/>
                <w:sz w:val="20"/>
                <w:szCs w:val="20"/>
              </w:rPr>
              <w:t> </w:t>
            </w:r>
          </w:p>
        </w:tc>
        <w:tc>
          <w:tcPr>
            <w:tcW w:w="0" w:type="auto"/>
            <w:tcBorders>
              <w:top w:val="single" w:sz="4" w:space="0" w:color="000000"/>
            </w:tcBorders>
            <w:shd w:val="clear" w:color="auto" w:fill="D8D8D8"/>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20"/>
                <w:szCs w:val="20"/>
              </w:rPr>
              <w:t>2,256 </w:t>
            </w:r>
          </w:p>
        </w:tc>
        <w:tc>
          <w:tcPr>
            <w:tcW w:w="0" w:type="auto"/>
            <w:tcBorders>
              <w:top w:val="single" w:sz="4" w:space="0" w:color="000000"/>
            </w:tcBorders>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20"/>
                <w:szCs w:val="20"/>
              </w:rPr>
              <w:t>2,720 </w:t>
            </w:r>
          </w:p>
        </w:tc>
        <w:tc>
          <w:tcPr>
            <w:tcW w:w="0" w:type="auto"/>
            <w:tcBorders>
              <w:top w:val="single" w:sz="4" w:space="0" w:color="000000"/>
            </w:tcBorders>
            <w:tcMar>
              <w:top w:w="30" w:type="dxa"/>
              <w:left w:w="0" w:type="dxa"/>
              <w:bottom w:w="30" w:type="dxa"/>
              <w:right w:w="20" w:type="dxa"/>
            </w:tcMar>
            <w:vAlign w:val="center"/>
            <w:hideMark/>
          </w:tcPr>
          <w:p w:rsidR="00000000" w:rsidRDefault="001F1FC8">
            <w:pPr>
              <w:jc w:val="right"/>
              <w:rPr>
                <w:rFonts w:eastAsia="Times New Roman"/>
              </w:rPr>
            </w:pPr>
          </w:p>
        </w:tc>
      </w:tr>
      <w:tr w:rsidR="00000000">
        <w:trPr>
          <w:divId w:val="892929856"/>
        </w:trPr>
        <w:tc>
          <w:tcPr>
            <w:tcW w:w="0" w:type="auto"/>
            <w:gridSpan w:val="3"/>
            <w:tcMar>
              <w:top w:w="30" w:type="dxa"/>
              <w:left w:w="200" w:type="dxa"/>
              <w:bottom w:w="30" w:type="dxa"/>
              <w:right w:w="20" w:type="dxa"/>
            </w:tcMar>
            <w:vAlign w:val="center"/>
            <w:hideMark/>
          </w:tcPr>
          <w:p w:rsidR="00000000" w:rsidRDefault="001F1FC8">
            <w:pPr>
              <w:ind w:hanging="180"/>
              <w:rPr>
                <w:rFonts w:eastAsia="Times New Roman"/>
              </w:rPr>
            </w:pPr>
            <w:r>
              <w:rPr>
                <w:rFonts w:ascii="Arial" w:eastAsia="Times New Roman" w:hAnsi="Arial" w:cs="Arial"/>
                <w:color w:val="000000"/>
                <w:sz w:val="20"/>
                <w:szCs w:val="20"/>
              </w:rPr>
              <w:t xml:space="preserve">Comprehensive income attributable to noncontrolling interests </w:t>
            </w:r>
          </w:p>
        </w:tc>
        <w:tc>
          <w:tcPr>
            <w:tcW w:w="0" w:type="auto"/>
            <w:gridSpan w:val="2"/>
            <w:shd w:val="clear" w:color="auto" w:fill="D8D8D8"/>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b/>
                <w:bCs/>
                <w:color w:val="000000"/>
                <w:sz w:val="20"/>
                <w:szCs w:val="20"/>
              </w:rPr>
              <w:t>(95)</w:t>
            </w:r>
          </w:p>
        </w:tc>
        <w:tc>
          <w:tcPr>
            <w:tcW w:w="0" w:type="auto"/>
            <w:shd w:val="clear" w:color="auto" w:fill="D8D8D8"/>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20"/>
                <w:szCs w:val="20"/>
              </w:rPr>
              <w:t>(22)</w:t>
            </w:r>
          </w:p>
        </w:tc>
        <w:tc>
          <w:tcPr>
            <w:tcW w:w="0" w:type="auto"/>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20"/>
                <w:szCs w:val="20"/>
              </w:rPr>
              <w:t>(7)</w:t>
            </w:r>
          </w:p>
        </w:tc>
        <w:tc>
          <w:tcPr>
            <w:tcW w:w="0" w:type="auto"/>
            <w:tcMar>
              <w:top w:w="30" w:type="dxa"/>
              <w:left w:w="0" w:type="dxa"/>
              <w:bottom w:w="30" w:type="dxa"/>
              <w:right w:w="20" w:type="dxa"/>
            </w:tcMar>
            <w:vAlign w:val="center"/>
            <w:hideMark/>
          </w:tcPr>
          <w:p w:rsidR="00000000" w:rsidRDefault="001F1FC8">
            <w:pPr>
              <w:jc w:val="right"/>
              <w:rPr>
                <w:rFonts w:eastAsia="Times New Roman"/>
              </w:rPr>
            </w:pPr>
          </w:p>
        </w:tc>
      </w:tr>
      <w:tr w:rsidR="00000000">
        <w:trPr>
          <w:divId w:val="892929856"/>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1F1FC8">
            <w:pPr>
              <w:rPr>
                <w:rFonts w:eastAsia="Times New Roman"/>
              </w:rPr>
            </w:pPr>
            <w:r>
              <w:rPr>
                <w:rFonts w:ascii="Arial" w:eastAsia="Times New Roman" w:hAnsi="Arial" w:cs="Arial"/>
                <w:color w:val="000000"/>
                <w:sz w:val="20"/>
                <w:szCs w:val="20"/>
              </w:rPr>
              <w:t>Comprehensive income attributable to controlling interests</w:t>
            </w:r>
          </w:p>
        </w:tc>
        <w:tc>
          <w:tcPr>
            <w:tcW w:w="0" w:type="auto"/>
            <w:gridSpan w:val="2"/>
            <w:tcBorders>
              <w:top w:val="single" w:sz="4" w:space="0" w:color="000000"/>
            </w:tcBorders>
            <w:shd w:val="clear" w:color="auto" w:fill="D8D8D8"/>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b/>
                <w:bCs/>
                <w:color w:val="000000"/>
                <w:sz w:val="20"/>
                <w:szCs w:val="20"/>
              </w:rPr>
              <w:t>6,494</w:t>
            </w:r>
            <w:r>
              <w:rPr>
                <w:rFonts w:ascii="Arial" w:eastAsia="Times New Roman" w:hAnsi="Arial" w:cs="Arial"/>
                <w:color w:val="000000"/>
                <w:sz w:val="20"/>
                <w:szCs w:val="20"/>
              </w:rPr>
              <w:t> </w:t>
            </w:r>
          </w:p>
        </w:tc>
        <w:tc>
          <w:tcPr>
            <w:tcW w:w="0" w:type="auto"/>
            <w:tcBorders>
              <w:top w:val="single" w:sz="4" w:space="0" w:color="000000"/>
            </w:tcBorders>
            <w:shd w:val="clear" w:color="auto" w:fill="D8D8D8"/>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20"/>
                <w:szCs w:val="20"/>
              </w:rPr>
              <w:t>2,234 </w:t>
            </w:r>
          </w:p>
        </w:tc>
        <w:tc>
          <w:tcPr>
            <w:tcW w:w="0" w:type="auto"/>
            <w:tcBorders>
              <w:top w:val="single" w:sz="4" w:space="0" w:color="000000"/>
            </w:tcBorders>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20"/>
                <w:szCs w:val="20"/>
              </w:rPr>
              <w:t>2,713 </w:t>
            </w:r>
          </w:p>
        </w:tc>
        <w:tc>
          <w:tcPr>
            <w:tcW w:w="0" w:type="auto"/>
            <w:tcBorders>
              <w:top w:val="single" w:sz="4" w:space="0" w:color="000000"/>
            </w:tcBorders>
            <w:tcMar>
              <w:top w:w="30" w:type="dxa"/>
              <w:left w:w="0" w:type="dxa"/>
              <w:bottom w:w="30" w:type="dxa"/>
              <w:right w:w="20" w:type="dxa"/>
            </w:tcMar>
            <w:vAlign w:val="center"/>
            <w:hideMark/>
          </w:tcPr>
          <w:p w:rsidR="00000000" w:rsidRDefault="001F1FC8">
            <w:pPr>
              <w:jc w:val="right"/>
              <w:rPr>
                <w:rFonts w:eastAsia="Times New Roman"/>
              </w:rPr>
            </w:pPr>
          </w:p>
        </w:tc>
      </w:tr>
      <w:tr w:rsidR="00000000">
        <w:trPr>
          <w:divId w:val="892929856"/>
        </w:trPr>
        <w:tc>
          <w:tcPr>
            <w:tcW w:w="0" w:type="auto"/>
            <w:gridSpan w:val="3"/>
            <w:tcMar>
              <w:top w:w="30" w:type="dxa"/>
              <w:left w:w="20" w:type="dxa"/>
              <w:bottom w:w="30" w:type="dxa"/>
              <w:right w:w="20" w:type="dxa"/>
            </w:tcMar>
            <w:vAlign w:val="center"/>
            <w:hideMark/>
          </w:tcPr>
          <w:p w:rsidR="00000000" w:rsidRDefault="001F1FC8">
            <w:pPr>
              <w:rPr>
                <w:rFonts w:eastAsia="Times New Roman"/>
              </w:rPr>
            </w:pPr>
            <w:r>
              <w:rPr>
                <w:rFonts w:ascii="Arial" w:eastAsia="Times New Roman" w:hAnsi="Arial" w:cs="Arial"/>
                <w:color w:val="000000"/>
                <w:sz w:val="20"/>
                <w:szCs w:val="20"/>
              </w:rPr>
              <w:t>Preference share dividends</w:t>
            </w:r>
          </w:p>
        </w:tc>
        <w:tc>
          <w:tcPr>
            <w:tcW w:w="0" w:type="auto"/>
            <w:gridSpan w:val="2"/>
            <w:shd w:val="clear" w:color="auto" w:fill="D8D8D8"/>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b/>
                <w:bCs/>
                <w:color w:val="000000"/>
                <w:sz w:val="20"/>
                <w:szCs w:val="20"/>
              </w:rPr>
              <w:t>(373)</w:t>
            </w:r>
          </w:p>
        </w:tc>
        <w:tc>
          <w:tcPr>
            <w:tcW w:w="0" w:type="auto"/>
            <w:shd w:val="clear" w:color="auto" w:fill="D8D8D8"/>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20"/>
                <w:szCs w:val="20"/>
              </w:rPr>
              <w:t>(380)</w:t>
            </w:r>
          </w:p>
        </w:tc>
        <w:tc>
          <w:tcPr>
            <w:tcW w:w="0" w:type="auto"/>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20"/>
                <w:szCs w:val="20"/>
              </w:rPr>
              <w:t>(383)</w:t>
            </w:r>
          </w:p>
        </w:tc>
        <w:tc>
          <w:tcPr>
            <w:tcW w:w="0" w:type="auto"/>
            <w:tcMar>
              <w:top w:w="30" w:type="dxa"/>
              <w:left w:w="0" w:type="dxa"/>
              <w:bottom w:w="30" w:type="dxa"/>
              <w:right w:w="20" w:type="dxa"/>
            </w:tcMar>
            <w:vAlign w:val="center"/>
            <w:hideMark/>
          </w:tcPr>
          <w:p w:rsidR="00000000" w:rsidRDefault="001F1FC8">
            <w:pPr>
              <w:jc w:val="right"/>
              <w:rPr>
                <w:rFonts w:eastAsia="Times New Roman"/>
              </w:rPr>
            </w:pPr>
          </w:p>
        </w:tc>
      </w:tr>
      <w:tr w:rsidR="00000000">
        <w:trPr>
          <w:divId w:val="892929856"/>
        </w:trPr>
        <w:tc>
          <w:tcPr>
            <w:tcW w:w="0" w:type="auto"/>
            <w:gridSpan w:val="3"/>
            <w:tcBorders>
              <w:top w:val="single" w:sz="4" w:space="0" w:color="000000"/>
              <w:bottom w:val="single" w:sz="8" w:space="0" w:color="000000"/>
            </w:tcBorders>
            <w:tcMar>
              <w:top w:w="30" w:type="dxa"/>
              <w:left w:w="20" w:type="dxa"/>
              <w:bottom w:w="30" w:type="dxa"/>
              <w:right w:w="20" w:type="dxa"/>
            </w:tcMar>
            <w:vAlign w:val="center"/>
            <w:hideMark/>
          </w:tcPr>
          <w:p w:rsidR="00000000" w:rsidRDefault="001F1FC8">
            <w:pPr>
              <w:rPr>
                <w:rFonts w:eastAsia="Times New Roman"/>
              </w:rPr>
            </w:pPr>
            <w:r>
              <w:rPr>
                <w:rFonts w:ascii="Arial" w:eastAsia="Times New Roman" w:hAnsi="Arial" w:cs="Arial"/>
                <w:color w:val="000000"/>
                <w:sz w:val="20"/>
                <w:szCs w:val="20"/>
              </w:rPr>
              <w:t>Comprehensive income attributable to common shareholders</w:t>
            </w:r>
          </w:p>
        </w:tc>
        <w:tc>
          <w:tcPr>
            <w:tcW w:w="0" w:type="auto"/>
            <w:gridSpan w:val="2"/>
            <w:tcBorders>
              <w:top w:val="single" w:sz="4" w:space="0" w:color="000000"/>
              <w:bottom w:val="single" w:sz="8" w:space="0" w:color="000000"/>
            </w:tcBorders>
            <w:shd w:val="clear" w:color="auto" w:fill="D8D8D8"/>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b/>
                <w:bCs/>
                <w:color w:val="000000"/>
                <w:sz w:val="20"/>
                <w:szCs w:val="20"/>
              </w:rPr>
              <w:t>6,121</w:t>
            </w:r>
            <w:r>
              <w:rPr>
                <w:rFonts w:ascii="Arial" w:eastAsia="Times New Roman" w:hAnsi="Arial" w:cs="Arial"/>
                <w:color w:val="000000"/>
                <w:sz w:val="20"/>
                <w:szCs w:val="20"/>
              </w:rPr>
              <w:t> </w:t>
            </w:r>
          </w:p>
        </w:tc>
        <w:tc>
          <w:tcPr>
            <w:tcW w:w="0" w:type="auto"/>
            <w:tcBorders>
              <w:top w:val="single" w:sz="4" w:space="0" w:color="000000"/>
              <w:bottom w:val="single" w:sz="8" w:space="0" w:color="000000"/>
            </w:tcBorders>
            <w:shd w:val="clear" w:color="auto" w:fill="D8D8D8"/>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Borders>
              <w:top w:val="single" w:sz="4" w:space="0" w:color="000000"/>
              <w:bottom w:val="single" w:sz="8" w:space="0" w:color="000000"/>
            </w:tcBorders>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20"/>
                <w:szCs w:val="20"/>
              </w:rPr>
              <w:t>1,854 </w:t>
            </w:r>
          </w:p>
        </w:tc>
        <w:tc>
          <w:tcPr>
            <w:tcW w:w="0" w:type="auto"/>
            <w:tcBorders>
              <w:top w:val="single" w:sz="4" w:space="0" w:color="000000"/>
              <w:bottom w:val="single" w:sz="8" w:space="0" w:color="000000"/>
            </w:tcBorders>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Borders>
              <w:top w:val="single" w:sz="4" w:space="0" w:color="000000"/>
              <w:bottom w:val="single" w:sz="8" w:space="0" w:color="000000"/>
            </w:tcBorders>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20"/>
                <w:szCs w:val="20"/>
              </w:rPr>
              <w:t>2,330 </w:t>
            </w:r>
          </w:p>
        </w:tc>
        <w:tc>
          <w:tcPr>
            <w:tcW w:w="0" w:type="auto"/>
            <w:tcBorders>
              <w:top w:val="single" w:sz="4" w:space="0" w:color="000000"/>
              <w:bottom w:val="single" w:sz="8" w:space="0" w:color="000000"/>
            </w:tcBorders>
            <w:tcMar>
              <w:top w:w="30" w:type="dxa"/>
              <w:left w:w="0" w:type="dxa"/>
              <w:bottom w:w="30" w:type="dxa"/>
              <w:right w:w="20" w:type="dxa"/>
            </w:tcMar>
            <w:vAlign w:val="center"/>
            <w:hideMark/>
          </w:tcPr>
          <w:p w:rsidR="00000000" w:rsidRDefault="001F1FC8">
            <w:pPr>
              <w:jc w:val="right"/>
              <w:rPr>
                <w:rFonts w:eastAsia="Times New Roman"/>
              </w:rPr>
            </w:pPr>
          </w:p>
        </w:tc>
      </w:tr>
    </w:tbl>
    <w:p w:rsidR="00000000" w:rsidRDefault="001F1FC8">
      <w:pPr>
        <w:divId w:val="465513643"/>
        <w:rPr>
          <w:rFonts w:eastAsia="Times New Roman"/>
        </w:rPr>
      </w:pPr>
      <w:r>
        <w:rPr>
          <w:rFonts w:ascii="Arial" w:eastAsia="Times New Roman" w:hAnsi="Arial" w:cs="Arial"/>
          <w:color w:val="000000"/>
          <w:sz w:val="4"/>
          <w:szCs w:val="4"/>
        </w:rPr>
        <w:t> </w:t>
      </w:r>
    </w:p>
    <w:p w:rsidR="00000000" w:rsidRDefault="001F1FC8">
      <w:pPr>
        <w:divId w:val="975528646"/>
        <w:rPr>
          <w:rFonts w:eastAsia="Times New Roman"/>
        </w:rPr>
      </w:pPr>
      <w:r>
        <w:rPr>
          <w:rFonts w:ascii="Arial" w:eastAsia="Times New Roman" w:hAnsi="Arial" w:cs="Arial"/>
          <w:color w:val="000000"/>
          <w:sz w:val="16"/>
          <w:szCs w:val="16"/>
        </w:rPr>
        <w:t>The accompanying notes are an integral part of these consolidated financial statements.</w:t>
      </w:r>
    </w:p>
    <w:p w:rsidR="00000000" w:rsidRDefault="001F1FC8">
      <w:pPr>
        <w:divId w:val="2095586691"/>
        <w:rPr>
          <w:rFonts w:eastAsia="Times New Roman"/>
        </w:rPr>
      </w:pPr>
    </w:p>
    <w:p w:rsidR="00000000" w:rsidRDefault="001F1FC8">
      <w:pPr>
        <w:jc w:val="center"/>
        <w:divId w:val="823862477"/>
        <w:rPr>
          <w:rFonts w:eastAsia="Times New Roman"/>
        </w:rPr>
      </w:pPr>
      <w:r>
        <w:rPr>
          <w:rFonts w:ascii="Arial" w:eastAsia="Times New Roman" w:hAnsi="Arial" w:cs="Arial"/>
          <w:color w:val="000000"/>
          <w:sz w:val="20"/>
          <w:szCs w:val="20"/>
        </w:rPr>
        <w:t>98</w:t>
      </w:r>
    </w:p>
    <w:p w:rsidR="00000000" w:rsidRDefault="001F1FC8">
      <w:pPr>
        <w:rPr>
          <w:rFonts w:eastAsia="Times New Roman"/>
        </w:rPr>
      </w:pPr>
      <w:r>
        <w:rPr>
          <w:rFonts w:eastAsia="Times New Roman"/>
        </w:rPr>
        <w:pict>
          <v:rect id="_x0000_i1128" style="width:0;height:1.5pt" o:hralign="center" o:hrstd="t" o:hr="t" fillcolor="#a0a0a0" stroked="f"/>
        </w:pict>
      </w:r>
    </w:p>
    <w:p w:rsidR="00000000" w:rsidRDefault="001F1FC8">
      <w:pPr>
        <w:jc w:val="center"/>
        <w:divId w:val="1680965128"/>
        <w:rPr>
          <w:rFonts w:eastAsia="Times New Roman"/>
        </w:rPr>
      </w:pPr>
    </w:p>
    <w:p w:rsidR="00000000" w:rsidRDefault="001F1FC8">
      <w:pPr>
        <w:jc w:val="center"/>
        <w:rPr>
          <w:rFonts w:eastAsia="Times New Roman"/>
        </w:rPr>
      </w:pPr>
      <w:r>
        <w:rPr>
          <w:rFonts w:ascii="Arial" w:eastAsia="Times New Roman" w:hAnsi="Arial" w:cs="Arial"/>
          <w:b/>
          <w:bCs/>
          <w:color w:val="000000"/>
          <w:sz w:val="28"/>
          <w:szCs w:val="28"/>
        </w:rPr>
        <w:t>ENBRIDGE INC.</w:t>
      </w:r>
    </w:p>
    <w:p w:rsidR="00000000" w:rsidRDefault="001F1FC8">
      <w:pPr>
        <w:jc w:val="center"/>
        <w:rPr>
          <w:rFonts w:eastAsia="Times New Roman"/>
        </w:rPr>
      </w:pPr>
      <w:r>
        <w:rPr>
          <w:rFonts w:ascii="Arial" w:eastAsia="Times New Roman" w:hAnsi="Arial" w:cs="Arial"/>
          <w:b/>
          <w:bCs/>
          <w:color w:val="000000"/>
          <w:sz w:val="28"/>
          <w:szCs w:val="28"/>
        </w:rPr>
        <w:t>CONSOLIDATED STATEMENTS OF CHANGES IN EQUITY</w:t>
      </w:r>
    </w:p>
    <w:tbl>
      <w:tblPr>
        <w:tblW w:w="5000" w:type="pct"/>
        <w:tblCellMar>
          <w:top w:w="15" w:type="dxa"/>
          <w:left w:w="15" w:type="dxa"/>
          <w:bottom w:w="15" w:type="dxa"/>
          <w:right w:w="15" w:type="dxa"/>
        </w:tblCellMar>
        <w:tblLook w:val="04A0" w:firstRow="1" w:lastRow="0" w:firstColumn="1" w:lastColumn="0" w:noHBand="0" w:noVBand="1"/>
      </w:tblPr>
      <w:tblGrid>
        <w:gridCol w:w="69"/>
        <w:gridCol w:w="5727"/>
        <w:gridCol w:w="38"/>
        <w:gridCol w:w="69"/>
        <w:gridCol w:w="719"/>
        <w:gridCol w:w="36"/>
        <w:gridCol w:w="69"/>
        <w:gridCol w:w="719"/>
        <w:gridCol w:w="36"/>
        <w:gridCol w:w="69"/>
        <w:gridCol w:w="719"/>
        <w:gridCol w:w="36"/>
      </w:tblGrid>
      <w:tr w:rsidR="00000000">
        <w:trPr>
          <w:divId w:val="1789396374"/>
        </w:trPr>
        <w:tc>
          <w:tcPr>
            <w:tcW w:w="50" w:type="pct"/>
            <w:vAlign w:val="center"/>
            <w:hideMark/>
          </w:tcPr>
          <w:p w:rsidR="00000000" w:rsidRDefault="001F1FC8">
            <w:pPr>
              <w:jc w:val="center"/>
              <w:rPr>
                <w:rFonts w:eastAsia="Times New Roman"/>
              </w:rPr>
            </w:pPr>
          </w:p>
        </w:tc>
        <w:tc>
          <w:tcPr>
            <w:tcW w:w="3454"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c>
          <w:tcPr>
            <w:tcW w:w="50" w:type="pct"/>
            <w:vAlign w:val="center"/>
            <w:hideMark/>
          </w:tcPr>
          <w:p w:rsidR="00000000" w:rsidRDefault="001F1FC8">
            <w:pPr>
              <w:rPr>
                <w:rFonts w:eastAsia="Times New Roman"/>
                <w:sz w:val="20"/>
                <w:szCs w:val="20"/>
              </w:rPr>
            </w:pPr>
          </w:p>
        </w:tc>
        <w:tc>
          <w:tcPr>
            <w:tcW w:w="441"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c>
          <w:tcPr>
            <w:tcW w:w="50" w:type="pct"/>
            <w:vAlign w:val="center"/>
            <w:hideMark/>
          </w:tcPr>
          <w:p w:rsidR="00000000" w:rsidRDefault="001F1FC8">
            <w:pPr>
              <w:rPr>
                <w:rFonts w:eastAsia="Times New Roman"/>
                <w:sz w:val="20"/>
                <w:szCs w:val="20"/>
              </w:rPr>
            </w:pPr>
          </w:p>
        </w:tc>
        <w:tc>
          <w:tcPr>
            <w:tcW w:w="441"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c>
          <w:tcPr>
            <w:tcW w:w="50" w:type="pct"/>
            <w:vAlign w:val="center"/>
            <w:hideMark/>
          </w:tcPr>
          <w:p w:rsidR="00000000" w:rsidRDefault="001F1FC8">
            <w:pPr>
              <w:rPr>
                <w:rFonts w:eastAsia="Times New Roman"/>
                <w:sz w:val="20"/>
                <w:szCs w:val="20"/>
              </w:rPr>
            </w:pPr>
          </w:p>
        </w:tc>
        <w:tc>
          <w:tcPr>
            <w:tcW w:w="441"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r>
      <w:tr w:rsidR="00000000">
        <w:trPr>
          <w:divId w:val="1789396374"/>
        </w:trPr>
        <w:tc>
          <w:tcPr>
            <w:tcW w:w="0" w:type="auto"/>
            <w:gridSpan w:val="3"/>
            <w:tcMar>
              <w:top w:w="30" w:type="dxa"/>
              <w:left w:w="20" w:type="dxa"/>
              <w:bottom w:w="30" w:type="dxa"/>
              <w:right w:w="20" w:type="dxa"/>
            </w:tcMar>
            <w:vAlign w:val="center"/>
            <w:hideMark/>
          </w:tcPr>
          <w:p w:rsidR="00000000" w:rsidRDefault="001F1FC8">
            <w:pPr>
              <w:rPr>
                <w:rFonts w:eastAsia="Times New Roman"/>
              </w:rPr>
            </w:pPr>
            <w:r>
              <w:rPr>
                <w:rFonts w:ascii="Arial" w:eastAsia="Times New Roman" w:hAnsi="Arial" w:cs="Arial"/>
                <w:color w:val="000000"/>
                <w:sz w:val="16"/>
                <w:szCs w:val="16"/>
              </w:rPr>
              <w:t>Year ended December 31,</w:t>
            </w:r>
          </w:p>
        </w:tc>
        <w:tc>
          <w:tcPr>
            <w:tcW w:w="0" w:type="auto"/>
            <w:gridSpan w:val="3"/>
            <w:tcMar>
              <w:top w:w="30" w:type="dxa"/>
              <w:left w:w="20" w:type="dxa"/>
              <w:bottom w:w="30" w:type="dxa"/>
              <w:right w:w="20" w:type="dxa"/>
            </w:tcMar>
            <w:vAlign w:val="center"/>
            <w:hideMark/>
          </w:tcPr>
          <w:p w:rsidR="00000000" w:rsidRDefault="001F1FC8">
            <w:pPr>
              <w:jc w:val="right"/>
              <w:rPr>
                <w:rFonts w:eastAsia="Times New Roman"/>
              </w:rPr>
            </w:pPr>
            <w:r>
              <w:rPr>
                <w:rFonts w:ascii="Arial" w:eastAsia="Times New Roman" w:hAnsi="Arial" w:cs="Arial"/>
                <w:b/>
                <w:bCs/>
                <w:color w:val="000000"/>
                <w:sz w:val="16"/>
                <w:szCs w:val="16"/>
              </w:rPr>
              <w:t>2021</w:t>
            </w:r>
          </w:p>
        </w:tc>
        <w:tc>
          <w:tcPr>
            <w:tcW w:w="0" w:type="auto"/>
            <w:gridSpan w:val="3"/>
            <w:tcMar>
              <w:top w:w="30" w:type="dxa"/>
              <w:left w:w="20" w:type="dxa"/>
              <w:bottom w:w="30" w:type="dxa"/>
              <w:right w:w="20" w:type="dxa"/>
            </w:tcMar>
            <w:vAlign w:val="center"/>
            <w:hideMark/>
          </w:tcPr>
          <w:p w:rsidR="00000000" w:rsidRDefault="001F1FC8">
            <w:pPr>
              <w:jc w:val="right"/>
              <w:rPr>
                <w:rFonts w:eastAsia="Times New Roman"/>
              </w:rPr>
            </w:pPr>
            <w:r>
              <w:rPr>
                <w:rFonts w:ascii="Arial" w:eastAsia="Times New Roman" w:hAnsi="Arial" w:cs="Arial"/>
                <w:color w:val="000000"/>
                <w:sz w:val="16"/>
                <w:szCs w:val="16"/>
              </w:rPr>
              <w:t>2020</w:t>
            </w:r>
          </w:p>
        </w:tc>
        <w:tc>
          <w:tcPr>
            <w:tcW w:w="0" w:type="auto"/>
            <w:gridSpan w:val="3"/>
            <w:tcMar>
              <w:top w:w="30" w:type="dxa"/>
              <w:left w:w="20" w:type="dxa"/>
              <w:bottom w:w="30" w:type="dxa"/>
              <w:right w:w="20" w:type="dxa"/>
            </w:tcMar>
            <w:vAlign w:val="center"/>
            <w:hideMark/>
          </w:tcPr>
          <w:p w:rsidR="00000000" w:rsidRDefault="001F1FC8">
            <w:pPr>
              <w:jc w:val="right"/>
              <w:rPr>
                <w:rFonts w:eastAsia="Times New Roman"/>
              </w:rPr>
            </w:pPr>
            <w:r>
              <w:rPr>
                <w:rFonts w:ascii="Arial" w:eastAsia="Times New Roman" w:hAnsi="Arial" w:cs="Arial"/>
                <w:color w:val="000000"/>
                <w:sz w:val="16"/>
                <w:szCs w:val="16"/>
              </w:rPr>
              <w:t>2019</w:t>
            </w:r>
          </w:p>
        </w:tc>
      </w:tr>
      <w:tr w:rsidR="00000000">
        <w:trPr>
          <w:divId w:val="1789396374"/>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1F1FC8">
            <w:pPr>
              <w:divId w:val="772019925"/>
              <w:rPr>
                <w:rFonts w:eastAsia="Times New Roman"/>
              </w:rPr>
            </w:pPr>
            <w:r>
              <w:rPr>
                <w:rFonts w:ascii="Arial" w:eastAsia="Times New Roman" w:hAnsi="Arial" w:cs="Arial"/>
                <w:i/>
                <w:iCs/>
                <w:color w:val="000000"/>
                <w:sz w:val="14"/>
                <w:szCs w:val="14"/>
              </w:rPr>
              <w:t>(millions of Canadian dollars, except per share amounts)</w:t>
            </w:r>
          </w:p>
        </w:tc>
        <w:tc>
          <w:tcPr>
            <w:tcW w:w="0" w:type="auto"/>
            <w:gridSpan w:val="3"/>
            <w:tcBorders>
              <w:top w:val="single" w:sz="4" w:space="0" w:color="000000"/>
            </w:tcBorders>
            <w:shd w:val="clear" w:color="auto" w:fill="D8D8D8"/>
            <w:tcMar>
              <w:top w:w="0" w:type="dxa"/>
              <w:left w:w="20" w:type="dxa"/>
              <w:bottom w:w="0" w:type="dxa"/>
              <w:right w:w="20" w:type="dxa"/>
            </w:tcMar>
            <w:vAlign w:val="center"/>
            <w:hideMark/>
          </w:tcPr>
          <w:p w:rsidR="00000000" w:rsidRDefault="001F1FC8">
            <w:pPr>
              <w:rPr>
                <w:rFonts w:eastAsia="Times New Roman"/>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1F1FC8">
            <w:pPr>
              <w:rPr>
                <w:rFonts w:eastAsia="Times New Roman"/>
                <w:sz w:val="20"/>
                <w:szCs w:val="20"/>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1F1FC8">
            <w:pPr>
              <w:rPr>
                <w:rFonts w:eastAsia="Times New Roman"/>
                <w:sz w:val="20"/>
                <w:szCs w:val="20"/>
              </w:rPr>
            </w:pPr>
          </w:p>
        </w:tc>
      </w:tr>
      <w:tr w:rsidR="00000000">
        <w:trPr>
          <w:divId w:val="1789396374"/>
        </w:trPr>
        <w:tc>
          <w:tcPr>
            <w:tcW w:w="0" w:type="auto"/>
            <w:gridSpan w:val="3"/>
            <w:tcMar>
              <w:top w:w="30" w:type="dxa"/>
              <w:left w:w="20" w:type="dxa"/>
              <w:bottom w:w="30" w:type="dxa"/>
              <w:right w:w="20" w:type="dxa"/>
            </w:tcMar>
            <w:vAlign w:val="center"/>
            <w:hideMark/>
          </w:tcPr>
          <w:p w:rsidR="00000000" w:rsidRDefault="001F1FC8">
            <w:pPr>
              <w:divId w:val="2063477522"/>
              <w:rPr>
                <w:rFonts w:eastAsia="Times New Roman"/>
              </w:rPr>
            </w:pPr>
            <w:r>
              <w:rPr>
                <w:rFonts w:ascii="Arial" w:eastAsia="Times New Roman" w:hAnsi="Arial" w:cs="Arial"/>
                <w:color w:val="000000"/>
                <w:sz w:val="16"/>
                <w:szCs w:val="16"/>
              </w:rPr>
              <w:t xml:space="preserve">Preference shares </w:t>
            </w:r>
            <w:r>
              <w:rPr>
                <w:rFonts w:ascii="Arial" w:eastAsia="Times New Roman" w:hAnsi="Arial" w:cs="Arial"/>
                <w:i/>
                <w:iCs/>
                <w:color w:val="000000"/>
                <w:sz w:val="14"/>
                <w:szCs w:val="14"/>
              </w:rPr>
              <w:t>(Note 21)</w:t>
            </w:r>
          </w:p>
        </w:tc>
        <w:tc>
          <w:tcPr>
            <w:tcW w:w="0" w:type="auto"/>
            <w:gridSpan w:val="3"/>
            <w:shd w:val="clear" w:color="auto" w:fill="D8D8D8"/>
            <w:tcMar>
              <w:top w:w="30" w:type="dxa"/>
              <w:left w:w="20" w:type="dxa"/>
              <w:bottom w:w="30" w:type="dxa"/>
              <w:right w:w="20" w:type="dxa"/>
            </w:tcMar>
            <w:vAlign w:val="center"/>
            <w:hideMark/>
          </w:tcPr>
          <w:p w:rsidR="00000000" w:rsidRDefault="001F1FC8">
            <w:pPr>
              <w:jc w:val="right"/>
              <w:rPr>
                <w:rFonts w:eastAsia="Times New Roman"/>
              </w:rPr>
            </w:pPr>
            <w:r>
              <w:rPr>
                <w:rFonts w:ascii="Arial" w:eastAsia="Times New Roman" w:hAnsi="Arial" w:cs="Arial"/>
                <w:color w:val="000000"/>
                <w:sz w:val="16"/>
                <w:szCs w:val="16"/>
              </w:rPr>
              <w:t> </w:t>
            </w:r>
          </w:p>
        </w:tc>
        <w:tc>
          <w:tcPr>
            <w:tcW w:w="0" w:type="auto"/>
            <w:gridSpan w:val="3"/>
            <w:tcMar>
              <w:top w:w="30" w:type="dxa"/>
              <w:left w:w="20" w:type="dxa"/>
              <w:bottom w:w="30" w:type="dxa"/>
              <w:right w:w="20" w:type="dxa"/>
            </w:tcMar>
            <w:vAlign w:val="center"/>
            <w:hideMark/>
          </w:tcPr>
          <w:p w:rsidR="00000000" w:rsidRDefault="001F1FC8">
            <w:pPr>
              <w:jc w:val="right"/>
              <w:rPr>
                <w:rFonts w:eastAsia="Times New Roman"/>
              </w:rPr>
            </w:pPr>
            <w:r>
              <w:rPr>
                <w:rFonts w:ascii="Arial" w:eastAsia="Times New Roman" w:hAnsi="Arial" w:cs="Arial"/>
                <w:color w:val="000000"/>
                <w:sz w:val="16"/>
                <w:szCs w:val="16"/>
              </w:rPr>
              <w:t> </w:t>
            </w:r>
          </w:p>
        </w:tc>
        <w:tc>
          <w:tcPr>
            <w:tcW w:w="0" w:type="auto"/>
            <w:gridSpan w:val="3"/>
            <w:tcMar>
              <w:top w:w="30" w:type="dxa"/>
              <w:left w:w="20" w:type="dxa"/>
              <w:bottom w:w="30" w:type="dxa"/>
              <w:right w:w="20" w:type="dxa"/>
            </w:tcMar>
            <w:vAlign w:val="center"/>
            <w:hideMark/>
          </w:tcPr>
          <w:p w:rsidR="00000000" w:rsidRDefault="001F1FC8">
            <w:pPr>
              <w:jc w:val="right"/>
              <w:rPr>
                <w:rFonts w:eastAsia="Times New Roman"/>
              </w:rPr>
            </w:pPr>
            <w:r>
              <w:rPr>
                <w:rFonts w:ascii="Arial" w:eastAsia="Times New Roman" w:hAnsi="Arial" w:cs="Arial"/>
                <w:color w:val="000000"/>
                <w:sz w:val="16"/>
                <w:szCs w:val="16"/>
              </w:rPr>
              <w:t> </w:t>
            </w:r>
          </w:p>
        </w:tc>
      </w:tr>
      <w:tr w:rsidR="00000000">
        <w:trPr>
          <w:divId w:val="1789396374"/>
        </w:trPr>
        <w:tc>
          <w:tcPr>
            <w:tcW w:w="0" w:type="auto"/>
            <w:gridSpan w:val="3"/>
            <w:tcMar>
              <w:top w:w="30" w:type="dxa"/>
              <w:left w:w="245" w:type="dxa"/>
              <w:bottom w:w="30" w:type="dxa"/>
              <w:right w:w="20" w:type="dxa"/>
            </w:tcMar>
            <w:vAlign w:val="center"/>
            <w:hideMark/>
          </w:tcPr>
          <w:p w:rsidR="00000000" w:rsidRDefault="001F1FC8">
            <w:pPr>
              <w:rPr>
                <w:rFonts w:eastAsia="Times New Roman"/>
              </w:rPr>
            </w:pPr>
            <w:r>
              <w:rPr>
                <w:rFonts w:ascii="Arial" w:eastAsia="Times New Roman" w:hAnsi="Arial" w:cs="Arial"/>
                <w:color w:val="000000"/>
                <w:sz w:val="16"/>
                <w:szCs w:val="16"/>
              </w:rPr>
              <w:t>Balance at beginning and end of year</w:t>
            </w:r>
          </w:p>
        </w:tc>
        <w:tc>
          <w:tcPr>
            <w:tcW w:w="0" w:type="auto"/>
            <w:gridSpan w:val="2"/>
            <w:shd w:val="clear" w:color="auto" w:fill="D8D8D8"/>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b/>
                <w:bCs/>
                <w:color w:val="000000"/>
                <w:sz w:val="16"/>
                <w:szCs w:val="16"/>
              </w:rPr>
              <w:t>7,747</w:t>
            </w:r>
            <w:r>
              <w:rPr>
                <w:rFonts w:ascii="Arial" w:eastAsia="Times New Roman" w:hAnsi="Arial" w:cs="Arial"/>
                <w:color w:val="000000"/>
                <w:sz w:val="16"/>
                <w:szCs w:val="16"/>
              </w:rPr>
              <w:t> </w:t>
            </w:r>
          </w:p>
        </w:tc>
        <w:tc>
          <w:tcPr>
            <w:tcW w:w="0" w:type="auto"/>
            <w:shd w:val="clear" w:color="auto" w:fill="D8D8D8"/>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16"/>
                <w:szCs w:val="16"/>
              </w:rPr>
              <w:t>7,747 </w:t>
            </w:r>
          </w:p>
        </w:tc>
        <w:tc>
          <w:tcPr>
            <w:tcW w:w="0" w:type="auto"/>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16"/>
                <w:szCs w:val="16"/>
              </w:rPr>
              <w:t>7,747 </w:t>
            </w:r>
          </w:p>
        </w:tc>
        <w:tc>
          <w:tcPr>
            <w:tcW w:w="0" w:type="auto"/>
            <w:tcMar>
              <w:top w:w="30" w:type="dxa"/>
              <w:left w:w="0" w:type="dxa"/>
              <w:bottom w:w="30" w:type="dxa"/>
              <w:right w:w="20" w:type="dxa"/>
            </w:tcMar>
            <w:vAlign w:val="center"/>
            <w:hideMark/>
          </w:tcPr>
          <w:p w:rsidR="00000000" w:rsidRDefault="001F1FC8">
            <w:pPr>
              <w:jc w:val="right"/>
              <w:rPr>
                <w:rFonts w:eastAsia="Times New Roman"/>
              </w:rPr>
            </w:pPr>
          </w:p>
        </w:tc>
      </w:tr>
      <w:tr w:rsidR="00000000">
        <w:trPr>
          <w:divId w:val="1789396374"/>
        </w:trPr>
        <w:tc>
          <w:tcPr>
            <w:tcW w:w="0" w:type="auto"/>
            <w:gridSpan w:val="3"/>
            <w:vAlign w:val="center"/>
            <w:hideMark/>
          </w:tcPr>
          <w:p w:rsidR="00000000" w:rsidRDefault="001F1FC8">
            <w:pPr>
              <w:jc w:val="right"/>
              <w:rPr>
                <w:rFonts w:eastAsia="Times New Roman"/>
                <w:sz w:val="20"/>
                <w:szCs w:val="20"/>
              </w:rPr>
            </w:pPr>
          </w:p>
        </w:tc>
        <w:tc>
          <w:tcPr>
            <w:tcW w:w="0" w:type="auto"/>
            <w:gridSpan w:val="3"/>
            <w:vAlign w:val="center"/>
            <w:hideMark/>
          </w:tcPr>
          <w:p w:rsidR="00000000" w:rsidRDefault="001F1FC8">
            <w:pPr>
              <w:rPr>
                <w:rFonts w:eastAsia="Times New Roman"/>
                <w:sz w:val="20"/>
                <w:szCs w:val="20"/>
              </w:rPr>
            </w:pPr>
          </w:p>
        </w:tc>
        <w:tc>
          <w:tcPr>
            <w:tcW w:w="0" w:type="auto"/>
            <w:gridSpan w:val="3"/>
            <w:vAlign w:val="center"/>
            <w:hideMark/>
          </w:tcPr>
          <w:p w:rsidR="00000000" w:rsidRDefault="001F1FC8">
            <w:pPr>
              <w:rPr>
                <w:rFonts w:eastAsia="Times New Roman"/>
                <w:sz w:val="20"/>
                <w:szCs w:val="20"/>
              </w:rPr>
            </w:pPr>
          </w:p>
        </w:tc>
        <w:tc>
          <w:tcPr>
            <w:tcW w:w="0" w:type="auto"/>
            <w:gridSpan w:val="3"/>
            <w:vAlign w:val="center"/>
            <w:hideMark/>
          </w:tcPr>
          <w:p w:rsidR="00000000" w:rsidRDefault="001F1FC8">
            <w:pPr>
              <w:rPr>
                <w:rFonts w:eastAsia="Times New Roman"/>
                <w:sz w:val="20"/>
                <w:szCs w:val="20"/>
              </w:rPr>
            </w:pPr>
          </w:p>
        </w:tc>
      </w:tr>
      <w:tr w:rsidR="00000000">
        <w:trPr>
          <w:divId w:val="1789396374"/>
        </w:trPr>
        <w:tc>
          <w:tcPr>
            <w:tcW w:w="0" w:type="auto"/>
            <w:gridSpan w:val="3"/>
            <w:vAlign w:val="center"/>
            <w:hideMark/>
          </w:tcPr>
          <w:p w:rsidR="00000000" w:rsidRDefault="001F1FC8">
            <w:pPr>
              <w:rPr>
                <w:rFonts w:eastAsia="Times New Roman"/>
                <w:sz w:val="20"/>
                <w:szCs w:val="20"/>
              </w:rPr>
            </w:pPr>
          </w:p>
        </w:tc>
        <w:tc>
          <w:tcPr>
            <w:tcW w:w="0" w:type="auto"/>
            <w:gridSpan w:val="3"/>
            <w:vAlign w:val="center"/>
            <w:hideMark/>
          </w:tcPr>
          <w:p w:rsidR="00000000" w:rsidRDefault="001F1FC8">
            <w:pPr>
              <w:rPr>
                <w:rFonts w:eastAsia="Times New Roman"/>
                <w:sz w:val="20"/>
                <w:szCs w:val="20"/>
              </w:rPr>
            </w:pPr>
          </w:p>
        </w:tc>
        <w:tc>
          <w:tcPr>
            <w:tcW w:w="0" w:type="auto"/>
            <w:gridSpan w:val="3"/>
            <w:vAlign w:val="center"/>
            <w:hideMark/>
          </w:tcPr>
          <w:p w:rsidR="00000000" w:rsidRDefault="001F1FC8">
            <w:pPr>
              <w:rPr>
                <w:rFonts w:eastAsia="Times New Roman"/>
                <w:sz w:val="20"/>
                <w:szCs w:val="20"/>
              </w:rPr>
            </w:pPr>
          </w:p>
        </w:tc>
        <w:tc>
          <w:tcPr>
            <w:tcW w:w="0" w:type="auto"/>
            <w:gridSpan w:val="3"/>
            <w:vAlign w:val="center"/>
            <w:hideMark/>
          </w:tcPr>
          <w:p w:rsidR="00000000" w:rsidRDefault="001F1FC8">
            <w:pPr>
              <w:rPr>
                <w:rFonts w:eastAsia="Times New Roman"/>
                <w:sz w:val="20"/>
                <w:szCs w:val="20"/>
              </w:rPr>
            </w:pPr>
          </w:p>
        </w:tc>
      </w:tr>
      <w:tr w:rsidR="00000000">
        <w:trPr>
          <w:divId w:val="1789396374"/>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1F1FC8">
            <w:pPr>
              <w:divId w:val="1779595675"/>
              <w:rPr>
                <w:rFonts w:eastAsia="Times New Roman"/>
              </w:rPr>
            </w:pPr>
            <w:r>
              <w:rPr>
                <w:rFonts w:ascii="Arial" w:eastAsia="Times New Roman" w:hAnsi="Arial" w:cs="Arial"/>
                <w:color w:val="000000"/>
                <w:sz w:val="16"/>
                <w:szCs w:val="16"/>
              </w:rPr>
              <w:t xml:space="preserve">Common shares </w:t>
            </w:r>
            <w:r>
              <w:rPr>
                <w:rFonts w:ascii="Arial" w:eastAsia="Times New Roman" w:hAnsi="Arial" w:cs="Arial"/>
                <w:i/>
                <w:iCs/>
                <w:color w:val="000000"/>
                <w:sz w:val="14"/>
                <w:szCs w:val="14"/>
              </w:rPr>
              <w:t>(Note 21)</w:t>
            </w:r>
          </w:p>
        </w:tc>
        <w:tc>
          <w:tcPr>
            <w:tcW w:w="0" w:type="auto"/>
            <w:gridSpan w:val="3"/>
            <w:tcBorders>
              <w:top w:val="single" w:sz="4" w:space="0" w:color="000000"/>
            </w:tcBorders>
            <w:shd w:val="clear" w:color="auto" w:fill="D8D8D8"/>
            <w:tcMar>
              <w:top w:w="0" w:type="dxa"/>
              <w:left w:w="20" w:type="dxa"/>
              <w:bottom w:w="0" w:type="dxa"/>
              <w:right w:w="20" w:type="dxa"/>
            </w:tcMar>
            <w:vAlign w:val="center"/>
            <w:hideMark/>
          </w:tcPr>
          <w:p w:rsidR="00000000" w:rsidRDefault="001F1FC8">
            <w:pPr>
              <w:rPr>
                <w:rFonts w:eastAsia="Times New Roman"/>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1F1FC8">
            <w:pPr>
              <w:rPr>
                <w:rFonts w:eastAsia="Times New Roman"/>
                <w:sz w:val="20"/>
                <w:szCs w:val="20"/>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1F1FC8">
            <w:pPr>
              <w:rPr>
                <w:rFonts w:eastAsia="Times New Roman"/>
                <w:sz w:val="20"/>
                <w:szCs w:val="20"/>
              </w:rPr>
            </w:pPr>
          </w:p>
        </w:tc>
      </w:tr>
      <w:tr w:rsidR="00000000">
        <w:trPr>
          <w:divId w:val="1789396374"/>
        </w:trPr>
        <w:tc>
          <w:tcPr>
            <w:tcW w:w="0" w:type="auto"/>
            <w:gridSpan w:val="3"/>
            <w:tcMar>
              <w:top w:w="30" w:type="dxa"/>
              <w:left w:w="245" w:type="dxa"/>
              <w:bottom w:w="30" w:type="dxa"/>
              <w:right w:w="20" w:type="dxa"/>
            </w:tcMar>
            <w:vAlign w:val="center"/>
            <w:hideMark/>
          </w:tcPr>
          <w:p w:rsidR="00000000" w:rsidRDefault="001F1FC8">
            <w:pPr>
              <w:rPr>
                <w:rFonts w:eastAsia="Times New Roman"/>
              </w:rPr>
            </w:pPr>
            <w:r>
              <w:rPr>
                <w:rFonts w:ascii="Arial" w:eastAsia="Times New Roman" w:hAnsi="Arial" w:cs="Arial"/>
                <w:color w:val="000000"/>
                <w:sz w:val="16"/>
                <w:szCs w:val="16"/>
              </w:rPr>
              <w:t>Balance at beginning of year</w:t>
            </w:r>
          </w:p>
        </w:tc>
        <w:tc>
          <w:tcPr>
            <w:tcW w:w="0" w:type="auto"/>
            <w:gridSpan w:val="2"/>
            <w:shd w:val="clear" w:color="auto" w:fill="D8D8D8"/>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b/>
                <w:bCs/>
                <w:color w:val="000000"/>
                <w:sz w:val="16"/>
                <w:szCs w:val="16"/>
              </w:rPr>
              <w:t>64,768</w:t>
            </w:r>
            <w:r>
              <w:rPr>
                <w:rFonts w:ascii="Arial" w:eastAsia="Times New Roman" w:hAnsi="Arial" w:cs="Arial"/>
                <w:color w:val="000000"/>
                <w:sz w:val="16"/>
                <w:szCs w:val="16"/>
              </w:rPr>
              <w:t> </w:t>
            </w:r>
          </w:p>
        </w:tc>
        <w:tc>
          <w:tcPr>
            <w:tcW w:w="0" w:type="auto"/>
            <w:shd w:val="clear" w:color="auto" w:fill="D8D8D8"/>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16"/>
                <w:szCs w:val="16"/>
              </w:rPr>
              <w:t>64,746 </w:t>
            </w:r>
          </w:p>
        </w:tc>
        <w:tc>
          <w:tcPr>
            <w:tcW w:w="0" w:type="auto"/>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16"/>
                <w:szCs w:val="16"/>
              </w:rPr>
              <w:t>64,677 </w:t>
            </w:r>
          </w:p>
        </w:tc>
        <w:tc>
          <w:tcPr>
            <w:tcW w:w="0" w:type="auto"/>
            <w:tcMar>
              <w:top w:w="30" w:type="dxa"/>
              <w:left w:w="0" w:type="dxa"/>
              <w:bottom w:w="30" w:type="dxa"/>
              <w:right w:w="20" w:type="dxa"/>
            </w:tcMar>
            <w:vAlign w:val="center"/>
            <w:hideMark/>
          </w:tcPr>
          <w:p w:rsidR="00000000" w:rsidRDefault="001F1FC8">
            <w:pPr>
              <w:jc w:val="right"/>
              <w:rPr>
                <w:rFonts w:eastAsia="Times New Roman"/>
              </w:rPr>
            </w:pPr>
          </w:p>
        </w:tc>
      </w:tr>
      <w:tr w:rsidR="00000000">
        <w:trPr>
          <w:divId w:val="1789396374"/>
        </w:trPr>
        <w:tc>
          <w:tcPr>
            <w:tcW w:w="0" w:type="auto"/>
            <w:gridSpan w:val="3"/>
            <w:vAlign w:val="center"/>
            <w:hideMark/>
          </w:tcPr>
          <w:p w:rsidR="00000000" w:rsidRDefault="001F1FC8">
            <w:pPr>
              <w:jc w:val="right"/>
              <w:rPr>
                <w:rFonts w:eastAsia="Times New Roman"/>
                <w:sz w:val="20"/>
                <w:szCs w:val="20"/>
              </w:rPr>
            </w:pPr>
          </w:p>
        </w:tc>
        <w:tc>
          <w:tcPr>
            <w:tcW w:w="0" w:type="auto"/>
            <w:gridSpan w:val="3"/>
            <w:vAlign w:val="center"/>
            <w:hideMark/>
          </w:tcPr>
          <w:p w:rsidR="00000000" w:rsidRDefault="001F1FC8">
            <w:pPr>
              <w:rPr>
                <w:rFonts w:eastAsia="Times New Roman"/>
                <w:sz w:val="20"/>
                <w:szCs w:val="20"/>
              </w:rPr>
            </w:pPr>
          </w:p>
        </w:tc>
        <w:tc>
          <w:tcPr>
            <w:tcW w:w="0" w:type="auto"/>
            <w:gridSpan w:val="3"/>
            <w:vAlign w:val="center"/>
            <w:hideMark/>
          </w:tcPr>
          <w:p w:rsidR="00000000" w:rsidRDefault="001F1FC8">
            <w:pPr>
              <w:rPr>
                <w:rFonts w:eastAsia="Times New Roman"/>
                <w:sz w:val="20"/>
                <w:szCs w:val="20"/>
              </w:rPr>
            </w:pPr>
          </w:p>
        </w:tc>
        <w:tc>
          <w:tcPr>
            <w:tcW w:w="0" w:type="auto"/>
            <w:gridSpan w:val="3"/>
            <w:vAlign w:val="center"/>
            <w:hideMark/>
          </w:tcPr>
          <w:p w:rsidR="00000000" w:rsidRDefault="001F1FC8">
            <w:pPr>
              <w:rPr>
                <w:rFonts w:eastAsia="Times New Roman"/>
                <w:sz w:val="20"/>
                <w:szCs w:val="20"/>
              </w:rPr>
            </w:pPr>
          </w:p>
        </w:tc>
      </w:tr>
      <w:tr w:rsidR="00000000">
        <w:trPr>
          <w:divId w:val="1789396374"/>
        </w:trPr>
        <w:tc>
          <w:tcPr>
            <w:tcW w:w="0" w:type="auto"/>
            <w:gridSpan w:val="3"/>
            <w:vAlign w:val="center"/>
            <w:hideMark/>
          </w:tcPr>
          <w:p w:rsidR="00000000" w:rsidRDefault="001F1FC8">
            <w:pPr>
              <w:rPr>
                <w:rFonts w:eastAsia="Times New Roman"/>
                <w:sz w:val="20"/>
                <w:szCs w:val="20"/>
              </w:rPr>
            </w:pPr>
          </w:p>
        </w:tc>
        <w:tc>
          <w:tcPr>
            <w:tcW w:w="0" w:type="auto"/>
            <w:gridSpan w:val="3"/>
            <w:vAlign w:val="center"/>
            <w:hideMark/>
          </w:tcPr>
          <w:p w:rsidR="00000000" w:rsidRDefault="001F1FC8">
            <w:pPr>
              <w:rPr>
                <w:rFonts w:eastAsia="Times New Roman"/>
                <w:sz w:val="20"/>
                <w:szCs w:val="20"/>
              </w:rPr>
            </w:pPr>
          </w:p>
        </w:tc>
        <w:tc>
          <w:tcPr>
            <w:tcW w:w="0" w:type="auto"/>
            <w:gridSpan w:val="3"/>
            <w:vAlign w:val="center"/>
            <w:hideMark/>
          </w:tcPr>
          <w:p w:rsidR="00000000" w:rsidRDefault="001F1FC8">
            <w:pPr>
              <w:rPr>
                <w:rFonts w:eastAsia="Times New Roman"/>
                <w:sz w:val="20"/>
                <w:szCs w:val="20"/>
              </w:rPr>
            </w:pPr>
          </w:p>
        </w:tc>
        <w:tc>
          <w:tcPr>
            <w:tcW w:w="0" w:type="auto"/>
            <w:gridSpan w:val="3"/>
            <w:vAlign w:val="center"/>
            <w:hideMark/>
          </w:tcPr>
          <w:p w:rsidR="00000000" w:rsidRDefault="001F1FC8">
            <w:pPr>
              <w:rPr>
                <w:rFonts w:eastAsia="Times New Roman"/>
                <w:sz w:val="20"/>
                <w:szCs w:val="20"/>
              </w:rPr>
            </w:pPr>
          </w:p>
        </w:tc>
      </w:tr>
      <w:tr w:rsidR="00000000">
        <w:trPr>
          <w:divId w:val="1789396374"/>
        </w:trPr>
        <w:tc>
          <w:tcPr>
            <w:tcW w:w="0" w:type="auto"/>
            <w:gridSpan w:val="3"/>
            <w:tcMar>
              <w:top w:w="30" w:type="dxa"/>
              <w:left w:w="245" w:type="dxa"/>
              <w:bottom w:w="30" w:type="dxa"/>
              <w:right w:w="20" w:type="dxa"/>
            </w:tcMar>
            <w:vAlign w:val="center"/>
            <w:hideMark/>
          </w:tcPr>
          <w:p w:rsidR="00000000" w:rsidRDefault="001F1FC8">
            <w:pPr>
              <w:rPr>
                <w:rFonts w:eastAsia="Times New Roman"/>
              </w:rPr>
            </w:pPr>
            <w:r>
              <w:rPr>
                <w:rFonts w:ascii="Arial" w:eastAsia="Times New Roman" w:hAnsi="Arial" w:cs="Arial"/>
                <w:color w:val="000000"/>
                <w:sz w:val="16"/>
                <w:szCs w:val="16"/>
              </w:rPr>
              <w:t>Shares issued on exercise of stock options</w:t>
            </w:r>
          </w:p>
        </w:tc>
        <w:tc>
          <w:tcPr>
            <w:tcW w:w="0" w:type="auto"/>
            <w:gridSpan w:val="2"/>
            <w:shd w:val="clear" w:color="auto" w:fill="D8D8D8"/>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b/>
                <w:bCs/>
                <w:color w:val="000000"/>
                <w:sz w:val="16"/>
                <w:szCs w:val="16"/>
              </w:rPr>
              <w:t>31</w:t>
            </w:r>
            <w:r>
              <w:rPr>
                <w:rFonts w:ascii="Arial" w:eastAsia="Times New Roman" w:hAnsi="Arial" w:cs="Arial"/>
                <w:color w:val="000000"/>
                <w:sz w:val="16"/>
                <w:szCs w:val="16"/>
              </w:rPr>
              <w:t> </w:t>
            </w:r>
          </w:p>
        </w:tc>
        <w:tc>
          <w:tcPr>
            <w:tcW w:w="0" w:type="auto"/>
            <w:shd w:val="clear" w:color="auto" w:fill="D8D8D8"/>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16"/>
                <w:szCs w:val="16"/>
              </w:rPr>
              <w:t>22 </w:t>
            </w:r>
          </w:p>
        </w:tc>
        <w:tc>
          <w:tcPr>
            <w:tcW w:w="0" w:type="auto"/>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16"/>
                <w:szCs w:val="16"/>
              </w:rPr>
              <w:t>69 </w:t>
            </w:r>
          </w:p>
        </w:tc>
        <w:tc>
          <w:tcPr>
            <w:tcW w:w="0" w:type="auto"/>
            <w:tcMar>
              <w:top w:w="30" w:type="dxa"/>
              <w:left w:w="0" w:type="dxa"/>
              <w:bottom w:w="30" w:type="dxa"/>
              <w:right w:w="20" w:type="dxa"/>
            </w:tcMar>
            <w:vAlign w:val="center"/>
            <w:hideMark/>
          </w:tcPr>
          <w:p w:rsidR="00000000" w:rsidRDefault="001F1FC8">
            <w:pPr>
              <w:jc w:val="right"/>
              <w:rPr>
                <w:rFonts w:eastAsia="Times New Roman"/>
              </w:rPr>
            </w:pPr>
          </w:p>
        </w:tc>
      </w:tr>
      <w:tr w:rsidR="00000000">
        <w:trPr>
          <w:divId w:val="1789396374"/>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1F1FC8">
            <w:pPr>
              <w:rPr>
                <w:rFonts w:eastAsia="Times New Roman"/>
              </w:rPr>
            </w:pPr>
            <w:r>
              <w:rPr>
                <w:rFonts w:ascii="Arial" w:eastAsia="Times New Roman" w:hAnsi="Arial" w:cs="Arial"/>
                <w:color w:val="000000"/>
                <w:sz w:val="16"/>
                <w:szCs w:val="16"/>
              </w:rPr>
              <w:t>Balance at end of year</w:t>
            </w:r>
          </w:p>
        </w:tc>
        <w:tc>
          <w:tcPr>
            <w:tcW w:w="0" w:type="auto"/>
            <w:gridSpan w:val="2"/>
            <w:tcBorders>
              <w:top w:val="single" w:sz="4" w:space="0" w:color="000000"/>
            </w:tcBorders>
            <w:shd w:val="clear" w:color="auto" w:fill="D8D8D8"/>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b/>
                <w:bCs/>
                <w:color w:val="000000"/>
                <w:sz w:val="16"/>
                <w:szCs w:val="16"/>
              </w:rPr>
              <w:t>64,799</w:t>
            </w:r>
            <w:r>
              <w:rPr>
                <w:rFonts w:ascii="Arial" w:eastAsia="Times New Roman" w:hAnsi="Arial" w:cs="Arial"/>
                <w:color w:val="000000"/>
                <w:sz w:val="16"/>
                <w:szCs w:val="16"/>
              </w:rPr>
              <w:t> </w:t>
            </w:r>
          </w:p>
        </w:tc>
        <w:tc>
          <w:tcPr>
            <w:tcW w:w="0" w:type="auto"/>
            <w:tcBorders>
              <w:top w:val="single" w:sz="4" w:space="0" w:color="000000"/>
            </w:tcBorders>
            <w:shd w:val="clear" w:color="auto" w:fill="D8D8D8"/>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16"/>
                <w:szCs w:val="16"/>
              </w:rPr>
              <w:t>64,768 </w:t>
            </w:r>
          </w:p>
        </w:tc>
        <w:tc>
          <w:tcPr>
            <w:tcW w:w="0" w:type="auto"/>
            <w:tcBorders>
              <w:top w:val="single" w:sz="4" w:space="0" w:color="000000"/>
            </w:tcBorders>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16"/>
                <w:szCs w:val="16"/>
              </w:rPr>
              <w:t>64,746 </w:t>
            </w:r>
          </w:p>
        </w:tc>
        <w:tc>
          <w:tcPr>
            <w:tcW w:w="0" w:type="auto"/>
            <w:tcBorders>
              <w:top w:val="single" w:sz="4" w:space="0" w:color="000000"/>
            </w:tcBorders>
            <w:tcMar>
              <w:top w:w="30" w:type="dxa"/>
              <w:left w:w="0" w:type="dxa"/>
              <w:bottom w:w="30" w:type="dxa"/>
              <w:right w:w="20" w:type="dxa"/>
            </w:tcMar>
            <w:vAlign w:val="center"/>
            <w:hideMark/>
          </w:tcPr>
          <w:p w:rsidR="00000000" w:rsidRDefault="001F1FC8">
            <w:pPr>
              <w:jc w:val="right"/>
              <w:rPr>
                <w:rFonts w:eastAsia="Times New Roman"/>
              </w:rPr>
            </w:pPr>
          </w:p>
        </w:tc>
      </w:tr>
      <w:tr w:rsidR="00000000">
        <w:trPr>
          <w:divId w:val="1789396374"/>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1F1FC8">
            <w:pPr>
              <w:rPr>
                <w:rFonts w:eastAsia="Times New Roman"/>
              </w:rPr>
            </w:pPr>
            <w:r>
              <w:rPr>
                <w:rFonts w:ascii="Arial" w:eastAsia="Times New Roman" w:hAnsi="Arial" w:cs="Arial"/>
                <w:color w:val="000000"/>
                <w:sz w:val="16"/>
                <w:szCs w:val="16"/>
              </w:rPr>
              <w:t>Additional paid-in capital</w:t>
            </w:r>
          </w:p>
        </w:tc>
        <w:tc>
          <w:tcPr>
            <w:tcW w:w="0" w:type="auto"/>
            <w:gridSpan w:val="3"/>
            <w:tcBorders>
              <w:top w:val="single" w:sz="4" w:space="0" w:color="000000"/>
            </w:tcBorders>
            <w:shd w:val="clear" w:color="auto" w:fill="D8D8D8"/>
            <w:tcMar>
              <w:top w:w="0" w:type="dxa"/>
              <w:left w:w="20" w:type="dxa"/>
              <w:bottom w:w="0" w:type="dxa"/>
              <w:right w:w="20" w:type="dxa"/>
            </w:tcMar>
            <w:vAlign w:val="center"/>
            <w:hideMark/>
          </w:tcPr>
          <w:p w:rsidR="00000000" w:rsidRDefault="001F1FC8">
            <w:pPr>
              <w:rPr>
                <w:rFonts w:eastAsia="Times New Roman"/>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1F1FC8">
            <w:pPr>
              <w:rPr>
                <w:rFonts w:eastAsia="Times New Roman"/>
                <w:sz w:val="20"/>
                <w:szCs w:val="20"/>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1F1FC8">
            <w:pPr>
              <w:rPr>
                <w:rFonts w:eastAsia="Times New Roman"/>
                <w:sz w:val="20"/>
                <w:szCs w:val="20"/>
              </w:rPr>
            </w:pPr>
          </w:p>
        </w:tc>
      </w:tr>
      <w:tr w:rsidR="00000000">
        <w:trPr>
          <w:divId w:val="1789396374"/>
        </w:trPr>
        <w:tc>
          <w:tcPr>
            <w:tcW w:w="0" w:type="auto"/>
            <w:gridSpan w:val="3"/>
            <w:tcMar>
              <w:top w:w="30" w:type="dxa"/>
              <w:left w:w="245" w:type="dxa"/>
              <w:bottom w:w="30" w:type="dxa"/>
              <w:right w:w="20" w:type="dxa"/>
            </w:tcMar>
            <w:vAlign w:val="center"/>
            <w:hideMark/>
          </w:tcPr>
          <w:p w:rsidR="00000000" w:rsidRDefault="001F1FC8">
            <w:pPr>
              <w:rPr>
                <w:rFonts w:eastAsia="Times New Roman"/>
              </w:rPr>
            </w:pPr>
            <w:r>
              <w:rPr>
                <w:rFonts w:ascii="Arial" w:eastAsia="Times New Roman" w:hAnsi="Arial" w:cs="Arial"/>
                <w:color w:val="000000"/>
                <w:sz w:val="16"/>
                <w:szCs w:val="16"/>
              </w:rPr>
              <w:t>Balance at beginning of year</w:t>
            </w:r>
          </w:p>
        </w:tc>
        <w:tc>
          <w:tcPr>
            <w:tcW w:w="0" w:type="auto"/>
            <w:gridSpan w:val="2"/>
            <w:shd w:val="clear" w:color="auto" w:fill="D8D8D8"/>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b/>
                <w:bCs/>
                <w:color w:val="000000"/>
                <w:sz w:val="16"/>
                <w:szCs w:val="16"/>
              </w:rPr>
              <w:t>277</w:t>
            </w:r>
            <w:r>
              <w:rPr>
                <w:rFonts w:ascii="Arial" w:eastAsia="Times New Roman" w:hAnsi="Arial" w:cs="Arial"/>
                <w:color w:val="000000"/>
                <w:sz w:val="16"/>
                <w:szCs w:val="16"/>
              </w:rPr>
              <w:t> </w:t>
            </w:r>
          </w:p>
        </w:tc>
        <w:tc>
          <w:tcPr>
            <w:tcW w:w="0" w:type="auto"/>
            <w:shd w:val="clear" w:color="auto" w:fill="D8D8D8"/>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16"/>
                <w:szCs w:val="16"/>
              </w:rPr>
              <w:t>187 </w:t>
            </w:r>
          </w:p>
        </w:tc>
        <w:tc>
          <w:tcPr>
            <w:tcW w:w="0" w:type="auto"/>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1F1FC8">
            <w:pPr>
              <w:jc w:val="right"/>
              <w:rPr>
                <w:rFonts w:eastAsia="Times New Roman"/>
              </w:rPr>
            </w:pPr>
          </w:p>
        </w:tc>
      </w:tr>
      <w:tr w:rsidR="00000000">
        <w:trPr>
          <w:divId w:val="1789396374"/>
        </w:trPr>
        <w:tc>
          <w:tcPr>
            <w:tcW w:w="0" w:type="auto"/>
            <w:gridSpan w:val="3"/>
            <w:tcMar>
              <w:top w:w="30" w:type="dxa"/>
              <w:left w:w="245" w:type="dxa"/>
              <w:bottom w:w="30" w:type="dxa"/>
              <w:right w:w="20" w:type="dxa"/>
            </w:tcMar>
            <w:vAlign w:val="center"/>
            <w:hideMark/>
          </w:tcPr>
          <w:p w:rsidR="00000000" w:rsidRDefault="001F1FC8">
            <w:pPr>
              <w:rPr>
                <w:rFonts w:eastAsia="Times New Roman"/>
              </w:rPr>
            </w:pPr>
            <w:r>
              <w:rPr>
                <w:rFonts w:ascii="Arial" w:eastAsia="Times New Roman" w:hAnsi="Arial" w:cs="Arial"/>
                <w:color w:val="000000"/>
                <w:sz w:val="16"/>
                <w:szCs w:val="16"/>
              </w:rPr>
              <w:t>Stock-based compensation</w:t>
            </w:r>
          </w:p>
        </w:tc>
        <w:tc>
          <w:tcPr>
            <w:tcW w:w="0" w:type="auto"/>
            <w:gridSpan w:val="2"/>
            <w:shd w:val="clear" w:color="auto" w:fill="D8D8D8"/>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b/>
                <w:bCs/>
                <w:color w:val="000000"/>
                <w:sz w:val="16"/>
                <w:szCs w:val="16"/>
              </w:rPr>
              <w:t>28</w:t>
            </w:r>
            <w:r>
              <w:rPr>
                <w:rFonts w:ascii="Arial" w:eastAsia="Times New Roman" w:hAnsi="Arial" w:cs="Arial"/>
                <w:color w:val="000000"/>
                <w:sz w:val="16"/>
                <w:szCs w:val="16"/>
              </w:rPr>
              <w:t> </w:t>
            </w:r>
          </w:p>
        </w:tc>
        <w:tc>
          <w:tcPr>
            <w:tcW w:w="0" w:type="auto"/>
            <w:shd w:val="clear" w:color="auto" w:fill="D8D8D8"/>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16"/>
                <w:szCs w:val="16"/>
              </w:rPr>
              <w:t>30 </w:t>
            </w:r>
          </w:p>
        </w:tc>
        <w:tc>
          <w:tcPr>
            <w:tcW w:w="0" w:type="auto"/>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16"/>
                <w:szCs w:val="16"/>
              </w:rPr>
              <w:t>34 </w:t>
            </w:r>
          </w:p>
        </w:tc>
        <w:tc>
          <w:tcPr>
            <w:tcW w:w="0" w:type="auto"/>
            <w:tcMar>
              <w:top w:w="30" w:type="dxa"/>
              <w:left w:w="0" w:type="dxa"/>
              <w:bottom w:w="30" w:type="dxa"/>
              <w:right w:w="20" w:type="dxa"/>
            </w:tcMar>
            <w:vAlign w:val="center"/>
            <w:hideMark/>
          </w:tcPr>
          <w:p w:rsidR="00000000" w:rsidRDefault="001F1FC8">
            <w:pPr>
              <w:jc w:val="right"/>
              <w:rPr>
                <w:rFonts w:eastAsia="Times New Roman"/>
              </w:rPr>
            </w:pPr>
          </w:p>
        </w:tc>
      </w:tr>
      <w:tr w:rsidR="00000000">
        <w:trPr>
          <w:divId w:val="1789396374"/>
        </w:trPr>
        <w:tc>
          <w:tcPr>
            <w:tcW w:w="0" w:type="auto"/>
            <w:gridSpan w:val="3"/>
            <w:tcMar>
              <w:top w:w="30" w:type="dxa"/>
              <w:left w:w="245" w:type="dxa"/>
              <w:bottom w:w="30" w:type="dxa"/>
              <w:right w:w="20" w:type="dxa"/>
            </w:tcMar>
            <w:vAlign w:val="center"/>
            <w:hideMark/>
          </w:tcPr>
          <w:p w:rsidR="00000000" w:rsidRDefault="001F1FC8">
            <w:pPr>
              <w:rPr>
                <w:rFonts w:eastAsia="Times New Roman"/>
              </w:rPr>
            </w:pPr>
            <w:r>
              <w:rPr>
                <w:rFonts w:ascii="Arial" w:eastAsia="Times New Roman" w:hAnsi="Arial" w:cs="Arial"/>
                <w:color w:val="000000"/>
                <w:sz w:val="16"/>
                <w:szCs w:val="16"/>
              </w:rPr>
              <w:t>Repurchase of noncontrolling interest</w:t>
            </w:r>
          </w:p>
        </w:tc>
        <w:tc>
          <w:tcPr>
            <w:tcW w:w="0" w:type="auto"/>
            <w:gridSpan w:val="2"/>
            <w:shd w:val="clear" w:color="auto" w:fill="D8D8D8"/>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8D8D8"/>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16"/>
                <w:szCs w:val="16"/>
              </w:rPr>
              <w:t>65 </w:t>
            </w:r>
          </w:p>
        </w:tc>
        <w:tc>
          <w:tcPr>
            <w:tcW w:w="0" w:type="auto"/>
            <w:tcMar>
              <w:top w:w="30" w:type="dxa"/>
              <w:left w:w="0" w:type="dxa"/>
              <w:bottom w:w="30" w:type="dxa"/>
              <w:right w:w="20" w:type="dxa"/>
            </w:tcMar>
            <w:vAlign w:val="center"/>
            <w:hideMark/>
          </w:tcPr>
          <w:p w:rsidR="00000000" w:rsidRDefault="001F1FC8">
            <w:pPr>
              <w:jc w:val="right"/>
              <w:rPr>
                <w:rFonts w:eastAsia="Times New Roman"/>
              </w:rPr>
            </w:pPr>
          </w:p>
        </w:tc>
      </w:tr>
      <w:tr w:rsidR="00000000">
        <w:trPr>
          <w:divId w:val="1789396374"/>
        </w:trPr>
        <w:tc>
          <w:tcPr>
            <w:tcW w:w="0" w:type="auto"/>
            <w:gridSpan w:val="3"/>
            <w:tcMar>
              <w:top w:w="30" w:type="dxa"/>
              <w:left w:w="245" w:type="dxa"/>
              <w:bottom w:w="30" w:type="dxa"/>
              <w:right w:w="20" w:type="dxa"/>
            </w:tcMar>
            <w:vAlign w:val="center"/>
            <w:hideMark/>
          </w:tcPr>
          <w:p w:rsidR="00000000" w:rsidRDefault="001F1FC8">
            <w:pPr>
              <w:rPr>
                <w:rFonts w:eastAsia="Times New Roman"/>
              </w:rPr>
            </w:pPr>
            <w:r>
              <w:rPr>
                <w:rFonts w:ascii="Arial" w:eastAsia="Times New Roman" w:hAnsi="Arial" w:cs="Arial"/>
                <w:color w:val="000000"/>
                <w:sz w:val="16"/>
                <w:szCs w:val="16"/>
              </w:rPr>
              <w:t>Options exercised</w:t>
            </w:r>
          </w:p>
        </w:tc>
        <w:tc>
          <w:tcPr>
            <w:tcW w:w="0" w:type="auto"/>
            <w:gridSpan w:val="2"/>
            <w:shd w:val="clear" w:color="auto" w:fill="D8D8D8"/>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b/>
                <w:bCs/>
                <w:color w:val="000000"/>
                <w:sz w:val="16"/>
                <w:szCs w:val="16"/>
              </w:rPr>
              <w:t>(23)</w:t>
            </w:r>
          </w:p>
        </w:tc>
        <w:tc>
          <w:tcPr>
            <w:tcW w:w="0" w:type="auto"/>
            <w:shd w:val="clear" w:color="auto" w:fill="D8D8D8"/>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16"/>
                <w:szCs w:val="16"/>
              </w:rPr>
              <w:t>(21)</w:t>
            </w:r>
          </w:p>
        </w:tc>
        <w:tc>
          <w:tcPr>
            <w:tcW w:w="0" w:type="auto"/>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16"/>
                <w:szCs w:val="16"/>
              </w:rPr>
              <w:t>(61)</w:t>
            </w:r>
          </w:p>
        </w:tc>
        <w:tc>
          <w:tcPr>
            <w:tcW w:w="0" w:type="auto"/>
            <w:tcMar>
              <w:top w:w="30" w:type="dxa"/>
              <w:left w:w="0" w:type="dxa"/>
              <w:bottom w:w="30" w:type="dxa"/>
              <w:right w:w="20" w:type="dxa"/>
            </w:tcMar>
            <w:vAlign w:val="center"/>
            <w:hideMark/>
          </w:tcPr>
          <w:p w:rsidR="00000000" w:rsidRDefault="001F1FC8">
            <w:pPr>
              <w:jc w:val="right"/>
              <w:rPr>
                <w:rFonts w:eastAsia="Times New Roman"/>
              </w:rPr>
            </w:pPr>
          </w:p>
        </w:tc>
      </w:tr>
      <w:tr w:rsidR="00000000">
        <w:trPr>
          <w:divId w:val="1789396374"/>
        </w:trPr>
        <w:tc>
          <w:tcPr>
            <w:tcW w:w="0" w:type="auto"/>
            <w:gridSpan w:val="3"/>
            <w:tcMar>
              <w:top w:w="30" w:type="dxa"/>
              <w:left w:w="245" w:type="dxa"/>
              <w:bottom w:w="30" w:type="dxa"/>
              <w:right w:w="20" w:type="dxa"/>
            </w:tcMar>
            <w:vAlign w:val="center"/>
            <w:hideMark/>
          </w:tcPr>
          <w:p w:rsidR="00000000" w:rsidRDefault="001F1FC8">
            <w:pPr>
              <w:rPr>
                <w:rFonts w:eastAsia="Times New Roman"/>
              </w:rPr>
            </w:pPr>
            <w:r>
              <w:rPr>
                <w:rFonts w:ascii="Arial" w:eastAsia="Times New Roman" w:hAnsi="Arial" w:cs="Arial"/>
                <w:color w:val="000000"/>
                <w:sz w:val="16"/>
                <w:szCs w:val="16"/>
              </w:rPr>
              <w:t>Change in reciprocal interest</w:t>
            </w:r>
          </w:p>
        </w:tc>
        <w:tc>
          <w:tcPr>
            <w:tcW w:w="0" w:type="auto"/>
            <w:gridSpan w:val="2"/>
            <w:shd w:val="clear" w:color="auto" w:fill="D8D8D8"/>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b/>
                <w:bCs/>
                <w:color w:val="000000"/>
                <w:sz w:val="16"/>
                <w:szCs w:val="16"/>
              </w:rPr>
              <w:t>98</w:t>
            </w:r>
            <w:r>
              <w:rPr>
                <w:rFonts w:ascii="Arial" w:eastAsia="Times New Roman" w:hAnsi="Arial" w:cs="Arial"/>
                <w:color w:val="000000"/>
                <w:sz w:val="16"/>
                <w:szCs w:val="16"/>
              </w:rPr>
              <w:t> </w:t>
            </w:r>
          </w:p>
        </w:tc>
        <w:tc>
          <w:tcPr>
            <w:tcW w:w="0" w:type="auto"/>
            <w:shd w:val="clear" w:color="auto" w:fill="D8D8D8"/>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16"/>
                <w:szCs w:val="16"/>
              </w:rPr>
              <w:t>76 </w:t>
            </w:r>
          </w:p>
        </w:tc>
        <w:tc>
          <w:tcPr>
            <w:tcW w:w="0" w:type="auto"/>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16"/>
                <w:szCs w:val="16"/>
              </w:rPr>
              <w:t>117 </w:t>
            </w:r>
          </w:p>
        </w:tc>
        <w:tc>
          <w:tcPr>
            <w:tcW w:w="0" w:type="auto"/>
            <w:tcMar>
              <w:top w:w="30" w:type="dxa"/>
              <w:left w:w="0" w:type="dxa"/>
              <w:bottom w:w="30" w:type="dxa"/>
              <w:right w:w="20" w:type="dxa"/>
            </w:tcMar>
            <w:vAlign w:val="center"/>
            <w:hideMark/>
          </w:tcPr>
          <w:p w:rsidR="00000000" w:rsidRDefault="001F1FC8">
            <w:pPr>
              <w:jc w:val="right"/>
              <w:rPr>
                <w:rFonts w:eastAsia="Times New Roman"/>
              </w:rPr>
            </w:pPr>
          </w:p>
        </w:tc>
      </w:tr>
      <w:tr w:rsidR="00000000">
        <w:trPr>
          <w:divId w:val="1789396374"/>
        </w:trPr>
        <w:tc>
          <w:tcPr>
            <w:tcW w:w="0" w:type="auto"/>
            <w:gridSpan w:val="3"/>
            <w:tcMar>
              <w:top w:w="30" w:type="dxa"/>
              <w:left w:w="245" w:type="dxa"/>
              <w:bottom w:w="30" w:type="dxa"/>
              <w:right w:w="20" w:type="dxa"/>
            </w:tcMar>
            <w:vAlign w:val="center"/>
            <w:hideMark/>
          </w:tcPr>
          <w:p w:rsidR="00000000" w:rsidRDefault="001F1FC8">
            <w:pPr>
              <w:rPr>
                <w:rFonts w:eastAsia="Times New Roman"/>
              </w:rPr>
            </w:pPr>
            <w:r>
              <w:rPr>
                <w:rFonts w:ascii="Arial" w:eastAsia="Times New Roman" w:hAnsi="Arial" w:cs="Arial"/>
                <w:color w:val="000000"/>
                <w:sz w:val="16"/>
                <w:szCs w:val="16"/>
              </w:rPr>
              <w:t>Other</w:t>
            </w:r>
          </w:p>
        </w:tc>
        <w:tc>
          <w:tcPr>
            <w:tcW w:w="0" w:type="auto"/>
            <w:gridSpan w:val="2"/>
            <w:shd w:val="clear" w:color="auto" w:fill="D8D8D8"/>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b/>
                <w:bCs/>
                <w:color w:val="000000"/>
                <w:sz w:val="16"/>
                <w:szCs w:val="16"/>
              </w:rPr>
              <w:t>(15)</w:t>
            </w:r>
          </w:p>
        </w:tc>
        <w:tc>
          <w:tcPr>
            <w:tcW w:w="0" w:type="auto"/>
            <w:shd w:val="clear" w:color="auto" w:fill="D8D8D8"/>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16"/>
                <w:szCs w:val="16"/>
              </w:rPr>
              <w:t>5 </w:t>
            </w:r>
          </w:p>
        </w:tc>
        <w:tc>
          <w:tcPr>
            <w:tcW w:w="0" w:type="auto"/>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16"/>
                <w:szCs w:val="16"/>
              </w:rPr>
              <w:t>32 </w:t>
            </w:r>
          </w:p>
        </w:tc>
        <w:tc>
          <w:tcPr>
            <w:tcW w:w="0" w:type="auto"/>
            <w:tcMar>
              <w:top w:w="30" w:type="dxa"/>
              <w:left w:w="0" w:type="dxa"/>
              <w:bottom w:w="30" w:type="dxa"/>
              <w:right w:w="20" w:type="dxa"/>
            </w:tcMar>
            <w:vAlign w:val="center"/>
            <w:hideMark/>
          </w:tcPr>
          <w:p w:rsidR="00000000" w:rsidRDefault="001F1FC8">
            <w:pPr>
              <w:jc w:val="right"/>
              <w:rPr>
                <w:rFonts w:eastAsia="Times New Roman"/>
              </w:rPr>
            </w:pPr>
          </w:p>
        </w:tc>
      </w:tr>
      <w:tr w:rsidR="00000000">
        <w:trPr>
          <w:divId w:val="1789396374"/>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1F1FC8">
            <w:pPr>
              <w:rPr>
                <w:rFonts w:eastAsia="Times New Roman"/>
              </w:rPr>
            </w:pPr>
            <w:r>
              <w:rPr>
                <w:rFonts w:ascii="Arial" w:eastAsia="Times New Roman" w:hAnsi="Arial" w:cs="Arial"/>
                <w:color w:val="000000"/>
                <w:sz w:val="16"/>
                <w:szCs w:val="16"/>
              </w:rPr>
              <w:t>Balance at end of year</w:t>
            </w:r>
          </w:p>
        </w:tc>
        <w:tc>
          <w:tcPr>
            <w:tcW w:w="0" w:type="auto"/>
            <w:gridSpan w:val="2"/>
            <w:tcBorders>
              <w:top w:val="single" w:sz="4" w:space="0" w:color="000000"/>
            </w:tcBorders>
            <w:shd w:val="clear" w:color="auto" w:fill="D8D8D8"/>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b/>
                <w:bCs/>
                <w:color w:val="000000"/>
                <w:sz w:val="16"/>
                <w:szCs w:val="16"/>
              </w:rPr>
              <w:t>365</w:t>
            </w:r>
            <w:r>
              <w:rPr>
                <w:rFonts w:ascii="Arial" w:eastAsia="Times New Roman" w:hAnsi="Arial" w:cs="Arial"/>
                <w:color w:val="000000"/>
                <w:sz w:val="16"/>
                <w:szCs w:val="16"/>
              </w:rPr>
              <w:t> </w:t>
            </w:r>
          </w:p>
        </w:tc>
        <w:tc>
          <w:tcPr>
            <w:tcW w:w="0" w:type="auto"/>
            <w:tcBorders>
              <w:top w:val="single" w:sz="4" w:space="0" w:color="000000"/>
            </w:tcBorders>
            <w:shd w:val="clear" w:color="auto" w:fill="D8D8D8"/>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16"/>
                <w:szCs w:val="16"/>
              </w:rPr>
              <w:t>277 </w:t>
            </w:r>
          </w:p>
        </w:tc>
        <w:tc>
          <w:tcPr>
            <w:tcW w:w="0" w:type="auto"/>
            <w:tcBorders>
              <w:top w:val="single" w:sz="4" w:space="0" w:color="000000"/>
            </w:tcBorders>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16"/>
                <w:szCs w:val="16"/>
              </w:rPr>
              <w:t>187 </w:t>
            </w:r>
          </w:p>
        </w:tc>
        <w:tc>
          <w:tcPr>
            <w:tcW w:w="0" w:type="auto"/>
            <w:tcBorders>
              <w:top w:val="single" w:sz="4" w:space="0" w:color="000000"/>
            </w:tcBorders>
            <w:tcMar>
              <w:top w:w="30" w:type="dxa"/>
              <w:left w:w="0" w:type="dxa"/>
              <w:bottom w:w="30" w:type="dxa"/>
              <w:right w:w="20" w:type="dxa"/>
            </w:tcMar>
            <w:vAlign w:val="center"/>
            <w:hideMark/>
          </w:tcPr>
          <w:p w:rsidR="00000000" w:rsidRDefault="001F1FC8">
            <w:pPr>
              <w:jc w:val="right"/>
              <w:rPr>
                <w:rFonts w:eastAsia="Times New Roman"/>
              </w:rPr>
            </w:pPr>
          </w:p>
        </w:tc>
      </w:tr>
      <w:tr w:rsidR="00000000">
        <w:trPr>
          <w:divId w:val="1789396374"/>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1F1FC8">
            <w:pPr>
              <w:rPr>
                <w:rFonts w:eastAsia="Times New Roman"/>
              </w:rPr>
            </w:pPr>
            <w:r>
              <w:rPr>
                <w:rFonts w:ascii="Arial" w:eastAsia="Times New Roman" w:hAnsi="Arial" w:cs="Arial"/>
                <w:color w:val="000000"/>
                <w:sz w:val="16"/>
                <w:szCs w:val="16"/>
              </w:rPr>
              <w:t>Deficit</w:t>
            </w:r>
          </w:p>
        </w:tc>
        <w:tc>
          <w:tcPr>
            <w:tcW w:w="0" w:type="auto"/>
            <w:gridSpan w:val="3"/>
            <w:tcBorders>
              <w:top w:val="single" w:sz="4" w:space="0" w:color="000000"/>
            </w:tcBorders>
            <w:shd w:val="clear" w:color="auto" w:fill="D8D8D8"/>
            <w:tcMar>
              <w:top w:w="30" w:type="dxa"/>
              <w:left w:w="20" w:type="dxa"/>
              <w:bottom w:w="30" w:type="dxa"/>
              <w:right w:w="20" w:type="dxa"/>
            </w:tcMar>
            <w:vAlign w:val="center"/>
            <w:hideMark/>
          </w:tcPr>
          <w:p w:rsidR="00000000" w:rsidRDefault="001F1FC8">
            <w:pPr>
              <w:jc w:val="right"/>
              <w:rPr>
                <w:rFonts w:eastAsia="Times New Roman"/>
              </w:rPr>
            </w:pPr>
            <w:r>
              <w:rPr>
                <w:rFonts w:ascii="Arial" w:eastAsia="Times New Roman" w:hAnsi="Arial" w:cs="Arial"/>
                <w:color w:val="000000"/>
                <w:sz w:val="16"/>
                <w:szCs w:val="16"/>
              </w:rPr>
              <w:t> </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1F1FC8">
            <w:pPr>
              <w:jc w:val="right"/>
              <w:rPr>
                <w:rFonts w:eastAsia="Times New Roman"/>
              </w:rPr>
            </w:pPr>
            <w:r>
              <w:rPr>
                <w:rFonts w:ascii="Arial" w:eastAsia="Times New Roman" w:hAnsi="Arial" w:cs="Arial"/>
                <w:color w:val="000000"/>
                <w:sz w:val="16"/>
                <w:szCs w:val="16"/>
              </w:rPr>
              <w:t> </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1F1FC8">
            <w:pPr>
              <w:jc w:val="right"/>
              <w:rPr>
                <w:rFonts w:eastAsia="Times New Roman"/>
              </w:rPr>
            </w:pPr>
            <w:r>
              <w:rPr>
                <w:rFonts w:ascii="Arial" w:eastAsia="Times New Roman" w:hAnsi="Arial" w:cs="Arial"/>
                <w:color w:val="000000"/>
                <w:sz w:val="16"/>
                <w:szCs w:val="16"/>
              </w:rPr>
              <w:t> </w:t>
            </w:r>
          </w:p>
        </w:tc>
      </w:tr>
      <w:tr w:rsidR="00000000">
        <w:trPr>
          <w:divId w:val="1789396374"/>
        </w:trPr>
        <w:tc>
          <w:tcPr>
            <w:tcW w:w="0" w:type="auto"/>
            <w:gridSpan w:val="3"/>
            <w:tcMar>
              <w:top w:w="30" w:type="dxa"/>
              <w:left w:w="245" w:type="dxa"/>
              <w:bottom w:w="30" w:type="dxa"/>
              <w:right w:w="20" w:type="dxa"/>
            </w:tcMar>
            <w:vAlign w:val="center"/>
            <w:hideMark/>
          </w:tcPr>
          <w:p w:rsidR="00000000" w:rsidRDefault="001F1FC8">
            <w:pPr>
              <w:rPr>
                <w:rFonts w:eastAsia="Times New Roman"/>
              </w:rPr>
            </w:pPr>
            <w:r>
              <w:rPr>
                <w:rFonts w:ascii="Arial" w:eastAsia="Times New Roman" w:hAnsi="Arial" w:cs="Arial"/>
                <w:color w:val="000000"/>
                <w:sz w:val="16"/>
                <w:szCs w:val="16"/>
              </w:rPr>
              <w:t>Balance at beginning of year</w:t>
            </w:r>
          </w:p>
        </w:tc>
        <w:tc>
          <w:tcPr>
            <w:tcW w:w="0" w:type="auto"/>
            <w:gridSpan w:val="2"/>
            <w:shd w:val="clear" w:color="auto" w:fill="D8D8D8"/>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b/>
                <w:bCs/>
                <w:color w:val="000000"/>
                <w:sz w:val="16"/>
                <w:szCs w:val="16"/>
              </w:rPr>
              <w:t>(9,995)</w:t>
            </w:r>
          </w:p>
        </w:tc>
        <w:tc>
          <w:tcPr>
            <w:tcW w:w="0" w:type="auto"/>
            <w:shd w:val="clear" w:color="auto" w:fill="D8D8D8"/>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16"/>
                <w:szCs w:val="16"/>
              </w:rPr>
              <w:t>(6,314)</w:t>
            </w:r>
          </w:p>
        </w:tc>
        <w:tc>
          <w:tcPr>
            <w:tcW w:w="0" w:type="auto"/>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16"/>
                <w:szCs w:val="16"/>
              </w:rPr>
              <w:t>(5,538)</w:t>
            </w:r>
          </w:p>
        </w:tc>
        <w:tc>
          <w:tcPr>
            <w:tcW w:w="0" w:type="auto"/>
            <w:tcMar>
              <w:top w:w="30" w:type="dxa"/>
              <w:left w:w="0" w:type="dxa"/>
              <w:bottom w:w="30" w:type="dxa"/>
              <w:right w:w="20" w:type="dxa"/>
            </w:tcMar>
            <w:vAlign w:val="center"/>
            <w:hideMark/>
          </w:tcPr>
          <w:p w:rsidR="00000000" w:rsidRDefault="001F1FC8">
            <w:pPr>
              <w:jc w:val="right"/>
              <w:rPr>
                <w:rFonts w:eastAsia="Times New Roman"/>
              </w:rPr>
            </w:pPr>
          </w:p>
        </w:tc>
      </w:tr>
      <w:tr w:rsidR="00000000">
        <w:trPr>
          <w:divId w:val="1789396374"/>
        </w:trPr>
        <w:tc>
          <w:tcPr>
            <w:tcW w:w="0" w:type="auto"/>
            <w:gridSpan w:val="3"/>
            <w:tcMar>
              <w:top w:w="30" w:type="dxa"/>
              <w:left w:w="245" w:type="dxa"/>
              <w:bottom w:w="30" w:type="dxa"/>
              <w:right w:w="20" w:type="dxa"/>
            </w:tcMar>
            <w:vAlign w:val="center"/>
            <w:hideMark/>
          </w:tcPr>
          <w:p w:rsidR="00000000" w:rsidRDefault="001F1FC8">
            <w:pPr>
              <w:rPr>
                <w:rFonts w:eastAsia="Times New Roman"/>
              </w:rPr>
            </w:pPr>
            <w:r>
              <w:rPr>
                <w:rFonts w:ascii="Arial" w:eastAsia="Times New Roman" w:hAnsi="Arial" w:cs="Arial"/>
                <w:color w:val="000000"/>
                <w:sz w:val="16"/>
                <w:szCs w:val="16"/>
              </w:rPr>
              <w:t>Earnings attributable to controlling interests</w:t>
            </w:r>
          </w:p>
        </w:tc>
        <w:tc>
          <w:tcPr>
            <w:tcW w:w="0" w:type="auto"/>
            <w:gridSpan w:val="2"/>
            <w:shd w:val="clear" w:color="auto" w:fill="D8D8D8"/>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b/>
                <w:bCs/>
                <w:color w:val="000000"/>
                <w:sz w:val="16"/>
                <w:szCs w:val="16"/>
              </w:rPr>
              <w:t>6,189</w:t>
            </w:r>
            <w:r>
              <w:rPr>
                <w:rFonts w:ascii="Arial" w:eastAsia="Times New Roman" w:hAnsi="Arial" w:cs="Arial"/>
                <w:color w:val="000000"/>
                <w:sz w:val="16"/>
                <w:szCs w:val="16"/>
              </w:rPr>
              <w:t> </w:t>
            </w:r>
          </w:p>
        </w:tc>
        <w:tc>
          <w:tcPr>
            <w:tcW w:w="0" w:type="auto"/>
            <w:shd w:val="clear" w:color="auto" w:fill="D8D8D8"/>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16"/>
                <w:szCs w:val="16"/>
              </w:rPr>
              <w:t>3,363 </w:t>
            </w:r>
          </w:p>
        </w:tc>
        <w:tc>
          <w:tcPr>
            <w:tcW w:w="0" w:type="auto"/>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16"/>
                <w:szCs w:val="16"/>
              </w:rPr>
              <w:t>5,705 </w:t>
            </w:r>
          </w:p>
        </w:tc>
        <w:tc>
          <w:tcPr>
            <w:tcW w:w="0" w:type="auto"/>
            <w:tcMar>
              <w:top w:w="30" w:type="dxa"/>
              <w:left w:w="0" w:type="dxa"/>
              <w:bottom w:w="30" w:type="dxa"/>
              <w:right w:w="20" w:type="dxa"/>
            </w:tcMar>
            <w:vAlign w:val="center"/>
            <w:hideMark/>
          </w:tcPr>
          <w:p w:rsidR="00000000" w:rsidRDefault="001F1FC8">
            <w:pPr>
              <w:jc w:val="right"/>
              <w:rPr>
                <w:rFonts w:eastAsia="Times New Roman"/>
              </w:rPr>
            </w:pPr>
          </w:p>
        </w:tc>
      </w:tr>
      <w:tr w:rsidR="00000000">
        <w:trPr>
          <w:divId w:val="1789396374"/>
        </w:trPr>
        <w:tc>
          <w:tcPr>
            <w:tcW w:w="0" w:type="auto"/>
            <w:gridSpan w:val="3"/>
            <w:tcMar>
              <w:top w:w="30" w:type="dxa"/>
              <w:left w:w="245" w:type="dxa"/>
              <w:bottom w:w="30" w:type="dxa"/>
              <w:right w:w="20" w:type="dxa"/>
            </w:tcMar>
            <w:vAlign w:val="center"/>
            <w:hideMark/>
          </w:tcPr>
          <w:p w:rsidR="00000000" w:rsidRDefault="001F1FC8">
            <w:pPr>
              <w:rPr>
                <w:rFonts w:eastAsia="Times New Roman"/>
              </w:rPr>
            </w:pPr>
            <w:r>
              <w:rPr>
                <w:rFonts w:ascii="Arial" w:eastAsia="Times New Roman" w:hAnsi="Arial" w:cs="Arial"/>
                <w:color w:val="000000"/>
                <w:sz w:val="16"/>
                <w:szCs w:val="16"/>
              </w:rPr>
              <w:t>Preference share dividends</w:t>
            </w:r>
          </w:p>
        </w:tc>
        <w:tc>
          <w:tcPr>
            <w:tcW w:w="0" w:type="auto"/>
            <w:gridSpan w:val="2"/>
            <w:shd w:val="clear" w:color="auto" w:fill="D8D8D8"/>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b/>
                <w:bCs/>
                <w:color w:val="000000"/>
                <w:sz w:val="16"/>
                <w:szCs w:val="16"/>
              </w:rPr>
              <w:t>(373)</w:t>
            </w:r>
          </w:p>
        </w:tc>
        <w:tc>
          <w:tcPr>
            <w:tcW w:w="0" w:type="auto"/>
            <w:shd w:val="clear" w:color="auto" w:fill="D8D8D8"/>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16"/>
                <w:szCs w:val="16"/>
              </w:rPr>
              <w:t>(380)</w:t>
            </w:r>
          </w:p>
        </w:tc>
        <w:tc>
          <w:tcPr>
            <w:tcW w:w="0" w:type="auto"/>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16"/>
                <w:szCs w:val="16"/>
              </w:rPr>
              <w:t>(383)</w:t>
            </w:r>
          </w:p>
        </w:tc>
        <w:tc>
          <w:tcPr>
            <w:tcW w:w="0" w:type="auto"/>
            <w:tcMar>
              <w:top w:w="30" w:type="dxa"/>
              <w:left w:w="0" w:type="dxa"/>
              <w:bottom w:w="30" w:type="dxa"/>
              <w:right w:w="20" w:type="dxa"/>
            </w:tcMar>
            <w:vAlign w:val="center"/>
            <w:hideMark/>
          </w:tcPr>
          <w:p w:rsidR="00000000" w:rsidRDefault="001F1FC8">
            <w:pPr>
              <w:jc w:val="right"/>
              <w:rPr>
                <w:rFonts w:eastAsia="Times New Roman"/>
              </w:rPr>
            </w:pPr>
          </w:p>
        </w:tc>
      </w:tr>
      <w:tr w:rsidR="00000000">
        <w:trPr>
          <w:divId w:val="1789396374"/>
        </w:trPr>
        <w:tc>
          <w:tcPr>
            <w:tcW w:w="0" w:type="auto"/>
            <w:gridSpan w:val="3"/>
            <w:tcMar>
              <w:top w:w="30" w:type="dxa"/>
              <w:left w:w="245" w:type="dxa"/>
              <w:bottom w:w="30" w:type="dxa"/>
              <w:right w:w="20" w:type="dxa"/>
            </w:tcMar>
            <w:vAlign w:val="center"/>
            <w:hideMark/>
          </w:tcPr>
          <w:p w:rsidR="00000000" w:rsidRDefault="001F1FC8">
            <w:pPr>
              <w:rPr>
                <w:rFonts w:eastAsia="Times New Roman"/>
              </w:rPr>
            </w:pPr>
            <w:r>
              <w:rPr>
                <w:rFonts w:ascii="Arial" w:eastAsia="Times New Roman" w:hAnsi="Arial" w:cs="Arial"/>
                <w:color w:val="000000"/>
                <w:sz w:val="16"/>
                <w:szCs w:val="16"/>
              </w:rPr>
              <w:t>Common share dividends declared</w:t>
            </w:r>
          </w:p>
        </w:tc>
        <w:tc>
          <w:tcPr>
            <w:tcW w:w="0" w:type="auto"/>
            <w:gridSpan w:val="2"/>
            <w:shd w:val="clear" w:color="auto" w:fill="D8D8D8"/>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b/>
                <w:bCs/>
                <w:color w:val="000000"/>
                <w:sz w:val="16"/>
                <w:szCs w:val="16"/>
              </w:rPr>
              <w:t>(6,818)</w:t>
            </w:r>
          </w:p>
        </w:tc>
        <w:tc>
          <w:tcPr>
            <w:tcW w:w="0" w:type="auto"/>
            <w:shd w:val="clear" w:color="auto" w:fill="D8D8D8"/>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16"/>
                <w:szCs w:val="16"/>
              </w:rPr>
              <w:t>(6,612)</w:t>
            </w:r>
          </w:p>
        </w:tc>
        <w:tc>
          <w:tcPr>
            <w:tcW w:w="0" w:type="auto"/>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16"/>
                <w:szCs w:val="16"/>
              </w:rPr>
              <w:t>(6,125)</w:t>
            </w:r>
          </w:p>
        </w:tc>
        <w:tc>
          <w:tcPr>
            <w:tcW w:w="0" w:type="auto"/>
            <w:tcMar>
              <w:top w:w="30" w:type="dxa"/>
              <w:left w:w="0" w:type="dxa"/>
              <w:bottom w:w="30" w:type="dxa"/>
              <w:right w:w="20" w:type="dxa"/>
            </w:tcMar>
            <w:vAlign w:val="center"/>
            <w:hideMark/>
          </w:tcPr>
          <w:p w:rsidR="00000000" w:rsidRDefault="001F1FC8">
            <w:pPr>
              <w:jc w:val="right"/>
              <w:rPr>
                <w:rFonts w:eastAsia="Times New Roman"/>
              </w:rPr>
            </w:pPr>
          </w:p>
        </w:tc>
      </w:tr>
      <w:tr w:rsidR="00000000">
        <w:trPr>
          <w:divId w:val="1789396374"/>
        </w:trPr>
        <w:tc>
          <w:tcPr>
            <w:tcW w:w="0" w:type="auto"/>
            <w:gridSpan w:val="3"/>
            <w:tcMar>
              <w:top w:w="30" w:type="dxa"/>
              <w:left w:w="245" w:type="dxa"/>
              <w:bottom w:w="30" w:type="dxa"/>
              <w:right w:w="20" w:type="dxa"/>
            </w:tcMar>
            <w:vAlign w:val="center"/>
            <w:hideMark/>
          </w:tcPr>
          <w:p w:rsidR="00000000" w:rsidRDefault="001F1FC8">
            <w:pPr>
              <w:rPr>
                <w:rFonts w:eastAsia="Times New Roman"/>
              </w:rPr>
            </w:pPr>
            <w:r>
              <w:rPr>
                <w:rFonts w:ascii="Arial" w:eastAsia="Times New Roman" w:hAnsi="Arial" w:cs="Arial"/>
                <w:color w:val="000000"/>
                <w:sz w:val="16"/>
                <w:szCs w:val="16"/>
              </w:rPr>
              <w:t>Dividends paid to reciprocal shareholder</w:t>
            </w:r>
          </w:p>
        </w:tc>
        <w:tc>
          <w:tcPr>
            <w:tcW w:w="0" w:type="auto"/>
            <w:gridSpan w:val="2"/>
            <w:shd w:val="clear" w:color="auto" w:fill="D8D8D8"/>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b/>
                <w:bCs/>
                <w:color w:val="000000"/>
                <w:sz w:val="16"/>
                <w:szCs w:val="16"/>
              </w:rPr>
              <w:t>8</w:t>
            </w:r>
            <w:r>
              <w:rPr>
                <w:rFonts w:ascii="Arial" w:eastAsia="Times New Roman" w:hAnsi="Arial" w:cs="Arial"/>
                <w:color w:val="000000"/>
                <w:sz w:val="16"/>
                <w:szCs w:val="16"/>
              </w:rPr>
              <w:t> </w:t>
            </w:r>
          </w:p>
        </w:tc>
        <w:tc>
          <w:tcPr>
            <w:tcW w:w="0" w:type="auto"/>
            <w:shd w:val="clear" w:color="auto" w:fill="D8D8D8"/>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16"/>
                <w:szCs w:val="16"/>
              </w:rPr>
              <w:t>17 </w:t>
            </w:r>
          </w:p>
        </w:tc>
        <w:tc>
          <w:tcPr>
            <w:tcW w:w="0" w:type="auto"/>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16"/>
                <w:szCs w:val="16"/>
              </w:rPr>
              <w:t>18 </w:t>
            </w:r>
          </w:p>
        </w:tc>
        <w:tc>
          <w:tcPr>
            <w:tcW w:w="0" w:type="auto"/>
            <w:tcMar>
              <w:top w:w="30" w:type="dxa"/>
              <w:left w:w="0" w:type="dxa"/>
              <w:bottom w:w="30" w:type="dxa"/>
              <w:right w:w="20" w:type="dxa"/>
            </w:tcMar>
            <w:vAlign w:val="center"/>
            <w:hideMark/>
          </w:tcPr>
          <w:p w:rsidR="00000000" w:rsidRDefault="001F1FC8">
            <w:pPr>
              <w:jc w:val="right"/>
              <w:rPr>
                <w:rFonts w:eastAsia="Times New Roman"/>
              </w:rPr>
            </w:pPr>
          </w:p>
        </w:tc>
      </w:tr>
      <w:tr w:rsidR="00000000">
        <w:trPr>
          <w:divId w:val="1789396374"/>
        </w:trPr>
        <w:tc>
          <w:tcPr>
            <w:tcW w:w="0" w:type="auto"/>
            <w:gridSpan w:val="3"/>
            <w:tcMar>
              <w:top w:w="30" w:type="dxa"/>
              <w:left w:w="20" w:type="dxa"/>
              <w:bottom w:w="30" w:type="dxa"/>
              <w:right w:w="20" w:type="dxa"/>
            </w:tcMar>
            <w:vAlign w:val="center"/>
            <w:hideMark/>
          </w:tcPr>
          <w:p w:rsidR="00000000" w:rsidRDefault="001F1FC8">
            <w:pPr>
              <w:ind w:hanging="180"/>
              <w:divId w:val="1240754260"/>
              <w:rPr>
                <w:rFonts w:eastAsia="Times New Roman"/>
              </w:rPr>
            </w:pPr>
            <w:r>
              <w:rPr>
                <w:rFonts w:ascii="Arial" w:eastAsia="Times New Roman" w:hAnsi="Arial" w:cs="Arial"/>
                <w:color w:val="000000"/>
                <w:sz w:val="16"/>
                <w:szCs w:val="16"/>
              </w:rPr>
              <w:t xml:space="preserve">Modified retrospective adoption of </w:t>
            </w:r>
            <w:r>
              <w:rPr>
                <w:rFonts w:ascii="Arial" w:eastAsia="Times New Roman" w:hAnsi="Arial" w:cs="Arial"/>
                <w:i/>
                <w:iCs/>
                <w:color w:val="000000"/>
                <w:sz w:val="16"/>
                <w:szCs w:val="16"/>
              </w:rPr>
              <w:t>ASU 2016-13 Financial Instruments - Credit Losse</w:t>
            </w:r>
            <w:r>
              <w:rPr>
                <w:rFonts w:ascii="Arial" w:eastAsia="Times New Roman" w:hAnsi="Arial" w:cs="Arial"/>
                <w:i/>
                <w:iCs/>
                <w:color w:val="000000"/>
                <w:sz w:val="16"/>
                <w:szCs w:val="16"/>
              </w:rPr>
              <w:t>s</w:t>
            </w:r>
          </w:p>
        </w:tc>
        <w:tc>
          <w:tcPr>
            <w:tcW w:w="0" w:type="auto"/>
            <w:gridSpan w:val="2"/>
            <w:shd w:val="clear" w:color="auto" w:fill="D8D8D8"/>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8D8D8"/>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16"/>
                <w:szCs w:val="16"/>
              </w:rPr>
              <w:t>(66)</w:t>
            </w:r>
          </w:p>
        </w:tc>
        <w:tc>
          <w:tcPr>
            <w:tcW w:w="0" w:type="auto"/>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1F1FC8">
            <w:pPr>
              <w:jc w:val="right"/>
              <w:rPr>
                <w:rFonts w:eastAsia="Times New Roman"/>
              </w:rPr>
            </w:pPr>
          </w:p>
        </w:tc>
      </w:tr>
      <w:tr w:rsidR="00000000">
        <w:trPr>
          <w:divId w:val="1789396374"/>
        </w:trPr>
        <w:tc>
          <w:tcPr>
            <w:tcW w:w="0" w:type="auto"/>
            <w:gridSpan w:val="3"/>
            <w:tcMar>
              <w:top w:w="30" w:type="dxa"/>
              <w:left w:w="245" w:type="dxa"/>
              <w:bottom w:w="30" w:type="dxa"/>
              <w:right w:w="20" w:type="dxa"/>
            </w:tcMar>
            <w:vAlign w:val="center"/>
            <w:hideMark/>
          </w:tcPr>
          <w:p w:rsidR="00000000" w:rsidRDefault="001F1FC8">
            <w:pPr>
              <w:rPr>
                <w:rFonts w:eastAsia="Times New Roman"/>
              </w:rPr>
            </w:pPr>
            <w:r>
              <w:rPr>
                <w:rFonts w:ascii="Arial" w:eastAsia="Times New Roman" w:hAnsi="Arial" w:cs="Arial"/>
                <w:color w:val="000000"/>
                <w:sz w:val="16"/>
                <w:szCs w:val="16"/>
              </w:rPr>
              <w:t>Other</w:t>
            </w:r>
          </w:p>
        </w:tc>
        <w:tc>
          <w:tcPr>
            <w:tcW w:w="0" w:type="auto"/>
            <w:gridSpan w:val="2"/>
            <w:shd w:val="clear" w:color="auto" w:fill="D8D8D8"/>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8D8D8"/>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16"/>
                <w:szCs w:val="16"/>
              </w:rPr>
              <w:t>(3)</w:t>
            </w:r>
          </w:p>
        </w:tc>
        <w:tc>
          <w:tcPr>
            <w:tcW w:w="0" w:type="auto"/>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16"/>
                <w:szCs w:val="16"/>
              </w:rPr>
              <w:t>9 </w:t>
            </w:r>
          </w:p>
        </w:tc>
        <w:tc>
          <w:tcPr>
            <w:tcW w:w="0" w:type="auto"/>
            <w:tcMar>
              <w:top w:w="30" w:type="dxa"/>
              <w:left w:w="0" w:type="dxa"/>
              <w:bottom w:w="30" w:type="dxa"/>
              <w:right w:w="20" w:type="dxa"/>
            </w:tcMar>
            <w:vAlign w:val="center"/>
            <w:hideMark/>
          </w:tcPr>
          <w:p w:rsidR="00000000" w:rsidRDefault="001F1FC8">
            <w:pPr>
              <w:jc w:val="right"/>
              <w:rPr>
                <w:rFonts w:eastAsia="Times New Roman"/>
              </w:rPr>
            </w:pPr>
          </w:p>
        </w:tc>
      </w:tr>
      <w:tr w:rsidR="00000000">
        <w:trPr>
          <w:divId w:val="1789396374"/>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1F1FC8">
            <w:pPr>
              <w:rPr>
                <w:rFonts w:eastAsia="Times New Roman"/>
              </w:rPr>
            </w:pPr>
            <w:r>
              <w:rPr>
                <w:rFonts w:ascii="Arial" w:eastAsia="Times New Roman" w:hAnsi="Arial" w:cs="Arial"/>
                <w:color w:val="000000"/>
                <w:sz w:val="16"/>
                <w:szCs w:val="16"/>
              </w:rPr>
              <w:t>Balance at end of year</w:t>
            </w:r>
          </w:p>
        </w:tc>
        <w:tc>
          <w:tcPr>
            <w:tcW w:w="0" w:type="auto"/>
            <w:gridSpan w:val="2"/>
            <w:tcBorders>
              <w:top w:val="single" w:sz="4" w:space="0" w:color="000000"/>
            </w:tcBorders>
            <w:shd w:val="clear" w:color="auto" w:fill="D8D8D8"/>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b/>
                <w:bCs/>
                <w:color w:val="000000"/>
                <w:sz w:val="16"/>
                <w:szCs w:val="16"/>
              </w:rPr>
              <w:t>(10,989)</w:t>
            </w:r>
          </w:p>
        </w:tc>
        <w:tc>
          <w:tcPr>
            <w:tcW w:w="0" w:type="auto"/>
            <w:tcBorders>
              <w:top w:val="single" w:sz="4" w:space="0" w:color="000000"/>
            </w:tcBorders>
            <w:shd w:val="clear" w:color="auto" w:fill="D8D8D8"/>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16"/>
                <w:szCs w:val="16"/>
              </w:rPr>
              <w:t>(9,995)</w:t>
            </w:r>
          </w:p>
        </w:tc>
        <w:tc>
          <w:tcPr>
            <w:tcW w:w="0" w:type="auto"/>
            <w:tcBorders>
              <w:top w:val="single" w:sz="4" w:space="0" w:color="000000"/>
            </w:tcBorders>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16"/>
                <w:szCs w:val="16"/>
              </w:rPr>
              <w:t>(6,314)</w:t>
            </w:r>
          </w:p>
        </w:tc>
        <w:tc>
          <w:tcPr>
            <w:tcW w:w="0" w:type="auto"/>
            <w:tcBorders>
              <w:top w:val="single" w:sz="4" w:space="0" w:color="000000"/>
            </w:tcBorders>
            <w:tcMar>
              <w:top w:w="30" w:type="dxa"/>
              <w:left w:w="0" w:type="dxa"/>
              <w:bottom w:w="30" w:type="dxa"/>
              <w:right w:w="20" w:type="dxa"/>
            </w:tcMar>
            <w:vAlign w:val="center"/>
            <w:hideMark/>
          </w:tcPr>
          <w:p w:rsidR="00000000" w:rsidRDefault="001F1FC8">
            <w:pPr>
              <w:jc w:val="right"/>
              <w:rPr>
                <w:rFonts w:eastAsia="Times New Roman"/>
              </w:rPr>
            </w:pPr>
          </w:p>
        </w:tc>
      </w:tr>
      <w:tr w:rsidR="00000000">
        <w:trPr>
          <w:divId w:val="1789396374"/>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1F1FC8">
            <w:pPr>
              <w:divId w:val="125977395"/>
              <w:rPr>
                <w:rFonts w:eastAsia="Times New Roman"/>
              </w:rPr>
            </w:pPr>
            <w:r>
              <w:rPr>
                <w:rFonts w:ascii="Arial" w:eastAsia="Times New Roman" w:hAnsi="Arial" w:cs="Arial"/>
                <w:color w:val="000000"/>
                <w:sz w:val="16"/>
                <w:szCs w:val="16"/>
              </w:rPr>
              <w:t xml:space="preserve">Accumulated other comprehensive income/(loss) </w:t>
            </w:r>
            <w:r>
              <w:rPr>
                <w:rFonts w:ascii="Arial" w:eastAsia="Times New Roman" w:hAnsi="Arial" w:cs="Arial"/>
                <w:i/>
                <w:iCs/>
                <w:color w:val="000000"/>
                <w:sz w:val="14"/>
                <w:szCs w:val="14"/>
              </w:rPr>
              <w:t>(Note 23)</w:t>
            </w:r>
          </w:p>
        </w:tc>
        <w:tc>
          <w:tcPr>
            <w:tcW w:w="0" w:type="auto"/>
            <w:gridSpan w:val="3"/>
            <w:tcBorders>
              <w:top w:val="single" w:sz="4" w:space="0" w:color="000000"/>
            </w:tcBorders>
            <w:shd w:val="clear" w:color="auto" w:fill="D8D8D8"/>
            <w:tcMar>
              <w:top w:w="0" w:type="dxa"/>
              <w:left w:w="20" w:type="dxa"/>
              <w:bottom w:w="0" w:type="dxa"/>
              <w:right w:w="20" w:type="dxa"/>
            </w:tcMar>
            <w:vAlign w:val="center"/>
            <w:hideMark/>
          </w:tcPr>
          <w:p w:rsidR="00000000" w:rsidRDefault="001F1FC8">
            <w:pPr>
              <w:rPr>
                <w:rFonts w:eastAsia="Times New Roman"/>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1F1FC8">
            <w:pPr>
              <w:rPr>
                <w:rFonts w:eastAsia="Times New Roman"/>
                <w:sz w:val="20"/>
                <w:szCs w:val="20"/>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1F1FC8">
            <w:pPr>
              <w:rPr>
                <w:rFonts w:eastAsia="Times New Roman"/>
                <w:sz w:val="20"/>
                <w:szCs w:val="20"/>
              </w:rPr>
            </w:pPr>
          </w:p>
        </w:tc>
      </w:tr>
      <w:tr w:rsidR="00000000">
        <w:trPr>
          <w:divId w:val="1789396374"/>
        </w:trPr>
        <w:tc>
          <w:tcPr>
            <w:tcW w:w="0" w:type="auto"/>
            <w:gridSpan w:val="3"/>
            <w:tcMar>
              <w:top w:w="30" w:type="dxa"/>
              <w:left w:w="245" w:type="dxa"/>
              <w:bottom w:w="30" w:type="dxa"/>
              <w:right w:w="20" w:type="dxa"/>
            </w:tcMar>
            <w:vAlign w:val="center"/>
            <w:hideMark/>
          </w:tcPr>
          <w:p w:rsidR="00000000" w:rsidRDefault="001F1FC8">
            <w:pPr>
              <w:rPr>
                <w:rFonts w:eastAsia="Times New Roman"/>
              </w:rPr>
            </w:pPr>
            <w:r>
              <w:rPr>
                <w:rFonts w:ascii="Arial" w:eastAsia="Times New Roman" w:hAnsi="Arial" w:cs="Arial"/>
                <w:color w:val="000000"/>
                <w:sz w:val="16"/>
                <w:szCs w:val="16"/>
              </w:rPr>
              <w:t>Balance at beginning of year</w:t>
            </w:r>
          </w:p>
        </w:tc>
        <w:tc>
          <w:tcPr>
            <w:tcW w:w="0" w:type="auto"/>
            <w:gridSpan w:val="2"/>
            <w:shd w:val="clear" w:color="auto" w:fill="D8D8D8"/>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b/>
                <w:bCs/>
                <w:color w:val="000000"/>
                <w:sz w:val="16"/>
                <w:szCs w:val="16"/>
              </w:rPr>
              <w:t>(1,401)</w:t>
            </w:r>
          </w:p>
        </w:tc>
        <w:tc>
          <w:tcPr>
            <w:tcW w:w="0" w:type="auto"/>
            <w:shd w:val="clear" w:color="auto" w:fill="D8D8D8"/>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16"/>
                <w:szCs w:val="16"/>
              </w:rPr>
              <w:t>(272)</w:t>
            </w:r>
          </w:p>
        </w:tc>
        <w:tc>
          <w:tcPr>
            <w:tcW w:w="0" w:type="auto"/>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16"/>
                <w:szCs w:val="16"/>
              </w:rPr>
              <w:t>2,672 </w:t>
            </w:r>
          </w:p>
        </w:tc>
        <w:tc>
          <w:tcPr>
            <w:tcW w:w="0" w:type="auto"/>
            <w:tcMar>
              <w:top w:w="30" w:type="dxa"/>
              <w:left w:w="0" w:type="dxa"/>
              <w:bottom w:w="30" w:type="dxa"/>
              <w:right w:w="20" w:type="dxa"/>
            </w:tcMar>
            <w:vAlign w:val="center"/>
            <w:hideMark/>
          </w:tcPr>
          <w:p w:rsidR="00000000" w:rsidRDefault="001F1FC8">
            <w:pPr>
              <w:jc w:val="right"/>
              <w:rPr>
                <w:rFonts w:eastAsia="Times New Roman"/>
              </w:rPr>
            </w:pPr>
          </w:p>
        </w:tc>
      </w:tr>
      <w:tr w:rsidR="00000000">
        <w:trPr>
          <w:divId w:val="1789396374"/>
        </w:trPr>
        <w:tc>
          <w:tcPr>
            <w:tcW w:w="0" w:type="auto"/>
            <w:gridSpan w:val="3"/>
            <w:tcMar>
              <w:top w:w="30" w:type="dxa"/>
              <w:left w:w="245" w:type="dxa"/>
              <w:bottom w:w="30" w:type="dxa"/>
              <w:right w:w="20" w:type="dxa"/>
            </w:tcMar>
            <w:vAlign w:val="center"/>
            <w:hideMark/>
          </w:tcPr>
          <w:p w:rsidR="00000000" w:rsidRDefault="001F1FC8">
            <w:pPr>
              <w:rPr>
                <w:rFonts w:eastAsia="Times New Roman"/>
              </w:rPr>
            </w:pPr>
            <w:r>
              <w:rPr>
                <w:rFonts w:ascii="Arial" w:eastAsia="Times New Roman" w:hAnsi="Arial" w:cs="Arial"/>
                <w:color w:val="000000"/>
                <w:sz w:val="16"/>
                <w:szCs w:val="16"/>
              </w:rPr>
              <w:t>Other comprehensive income/(loss) attributable to common shareholders, net of tax</w:t>
            </w:r>
          </w:p>
        </w:tc>
        <w:tc>
          <w:tcPr>
            <w:tcW w:w="0" w:type="auto"/>
            <w:gridSpan w:val="2"/>
            <w:shd w:val="clear" w:color="auto" w:fill="D8D8D8"/>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b/>
                <w:bCs/>
                <w:color w:val="000000"/>
                <w:sz w:val="16"/>
                <w:szCs w:val="16"/>
              </w:rPr>
              <w:t>305</w:t>
            </w:r>
            <w:r>
              <w:rPr>
                <w:rFonts w:ascii="Arial" w:eastAsia="Times New Roman" w:hAnsi="Arial" w:cs="Arial"/>
                <w:color w:val="000000"/>
                <w:sz w:val="16"/>
                <w:szCs w:val="16"/>
              </w:rPr>
              <w:t> </w:t>
            </w:r>
          </w:p>
        </w:tc>
        <w:tc>
          <w:tcPr>
            <w:tcW w:w="0" w:type="auto"/>
            <w:shd w:val="clear" w:color="auto" w:fill="D8D8D8"/>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16"/>
                <w:szCs w:val="16"/>
              </w:rPr>
              <w:t>(1,129)</w:t>
            </w:r>
          </w:p>
        </w:tc>
        <w:tc>
          <w:tcPr>
            <w:tcW w:w="0" w:type="auto"/>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16"/>
                <w:szCs w:val="16"/>
              </w:rPr>
              <w:t>(2,992)</w:t>
            </w:r>
          </w:p>
        </w:tc>
        <w:tc>
          <w:tcPr>
            <w:tcW w:w="0" w:type="auto"/>
            <w:tcMar>
              <w:top w:w="30" w:type="dxa"/>
              <w:left w:w="0" w:type="dxa"/>
              <w:bottom w:w="30" w:type="dxa"/>
              <w:right w:w="20" w:type="dxa"/>
            </w:tcMar>
            <w:vAlign w:val="center"/>
            <w:hideMark/>
          </w:tcPr>
          <w:p w:rsidR="00000000" w:rsidRDefault="001F1FC8">
            <w:pPr>
              <w:jc w:val="right"/>
              <w:rPr>
                <w:rFonts w:eastAsia="Times New Roman"/>
              </w:rPr>
            </w:pPr>
          </w:p>
        </w:tc>
      </w:tr>
      <w:tr w:rsidR="00000000">
        <w:trPr>
          <w:divId w:val="1789396374"/>
        </w:trPr>
        <w:tc>
          <w:tcPr>
            <w:tcW w:w="0" w:type="auto"/>
            <w:gridSpan w:val="3"/>
            <w:tcMar>
              <w:top w:w="30" w:type="dxa"/>
              <w:left w:w="245" w:type="dxa"/>
              <w:bottom w:w="30" w:type="dxa"/>
              <w:right w:w="20" w:type="dxa"/>
            </w:tcMar>
            <w:vAlign w:val="center"/>
            <w:hideMark/>
          </w:tcPr>
          <w:p w:rsidR="00000000" w:rsidRDefault="001F1FC8">
            <w:pPr>
              <w:rPr>
                <w:rFonts w:eastAsia="Times New Roman"/>
              </w:rPr>
            </w:pPr>
            <w:r>
              <w:rPr>
                <w:rFonts w:ascii="Arial" w:eastAsia="Times New Roman" w:hAnsi="Arial" w:cs="Arial"/>
                <w:color w:val="000000"/>
                <w:sz w:val="16"/>
                <w:szCs w:val="16"/>
              </w:rPr>
              <w:t xml:space="preserve">Other </w:t>
            </w:r>
          </w:p>
        </w:tc>
        <w:tc>
          <w:tcPr>
            <w:tcW w:w="0" w:type="auto"/>
            <w:gridSpan w:val="2"/>
            <w:shd w:val="clear" w:color="auto" w:fill="D8D8D8"/>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8D8D8"/>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16"/>
                <w:szCs w:val="16"/>
              </w:rPr>
              <w:t>48 </w:t>
            </w:r>
          </w:p>
        </w:tc>
        <w:tc>
          <w:tcPr>
            <w:tcW w:w="0" w:type="auto"/>
            <w:tcMar>
              <w:top w:w="30" w:type="dxa"/>
              <w:left w:w="0" w:type="dxa"/>
              <w:bottom w:w="30" w:type="dxa"/>
              <w:right w:w="20" w:type="dxa"/>
            </w:tcMar>
            <w:vAlign w:val="center"/>
            <w:hideMark/>
          </w:tcPr>
          <w:p w:rsidR="00000000" w:rsidRDefault="001F1FC8">
            <w:pPr>
              <w:jc w:val="right"/>
              <w:rPr>
                <w:rFonts w:eastAsia="Times New Roman"/>
              </w:rPr>
            </w:pPr>
          </w:p>
        </w:tc>
      </w:tr>
      <w:tr w:rsidR="00000000">
        <w:trPr>
          <w:divId w:val="1789396374"/>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1F1FC8">
            <w:pPr>
              <w:rPr>
                <w:rFonts w:eastAsia="Times New Roman"/>
              </w:rPr>
            </w:pPr>
            <w:r>
              <w:rPr>
                <w:rFonts w:ascii="Arial" w:eastAsia="Times New Roman" w:hAnsi="Arial" w:cs="Arial"/>
                <w:color w:val="000000"/>
                <w:sz w:val="16"/>
                <w:szCs w:val="16"/>
              </w:rPr>
              <w:t>Balance at end of year</w:t>
            </w:r>
          </w:p>
        </w:tc>
        <w:tc>
          <w:tcPr>
            <w:tcW w:w="0" w:type="auto"/>
            <w:gridSpan w:val="2"/>
            <w:tcBorders>
              <w:top w:val="single" w:sz="4" w:space="0" w:color="000000"/>
            </w:tcBorders>
            <w:shd w:val="clear" w:color="auto" w:fill="D8D8D8"/>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b/>
                <w:bCs/>
                <w:color w:val="000000"/>
                <w:sz w:val="16"/>
                <w:szCs w:val="16"/>
              </w:rPr>
              <w:t>(1,096)</w:t>
            </w:r>
          </w:p>
        </w:tc>
        <w:tc>
          <w:tcPr>
            <w:tcW w:w="0" w:type="auto"/>
            <w:tcBorders>
              <w:top w:val="single" w:sz="4" w:space="0" w:color="000000"/>
            </w:tcBorders>
            <w:shd w:val="clear" w:color="auto" w:fill="D8D8D8"/>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16"/>
                <w:szCs w:val="16"/>
              </w:rPr>
              <w:t>(1,401)</w:t>
            </w:r>
          </w:p>
        </w:tc>
        <w:tc>
          <w:tcPr>
            <w:tcW w:w="0" w:type="auto"/>
            <w:tcBorders>
              <w:top w:val="single" w:sz="4" w:space="0" w:color="000000"/>
            </w:tcBorders>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16"/>
                <w:szCs w:val="16"/>
              </w:rPr>
              <w:t>(272)</w:t>
            </w:r>
          </w:p>
        </w:tc>
        <w:tc>
          <w:tcPr>
            <w:tcW w:w="0" w:type="auto"/>
            <w:tcBorders>
              <w:top w:val="single" w:sz="4" w:space="0" w:color="000000"/>
            </w:tcBorders>
            <w:tcMar>
              <w:top w:w="30" w:type="dxa"/>
              <w:left w:w="0" w:type="dxa"/>
              <w:bottom w:w="30" w:type="dxa"/>
              <w:right w:w="20" w:type="dxa"/>
            </w:tcMar>
            <w:vAlign w:val="center"/>
            <w:hideMark/>
          </w:tcPr>
          <w:p w:rsidR="00000000" w:rsidRDefault="001F1FC8">
            <w:pPr>
              <w:jc w:val="right"/>
              <w:rPr>
                <w:rFonts w:eastAsia="Times New Roman"/>
              </w:rPr>
            </w:pPr>
          </w:p>
        </w:tc>
      </w:tr>
      <w:tr w:rsidR="00000000">
        <w:trPr>
          <w:divId w:val="1789396374"/>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1F1FC8">
            <w:pPr>
              <w:rPr>
                <w:rFonts w:eastAsia="Times New Roman"/>
              </w:rPr>
            </w:pPr>
            <w:r>
              <w:rPr>
                <w:rFonts w:ascii="Arial" w:eastAsia="Times New Roman" w:hAnsi="Arial" w:cs="Arial"/>
                <w:color w:val="000000"/>
                <w:sz w:val="16"/>
                <w:szCs w:val="16"/>
              </w:rPr>
              <w:t>Reciprocal shareholding</w:t>
            </w:r>
          </w:p>
        </w:tc>
        <w:tc>
          <w:tcPr>
            <w:tcW w:w="0" w:type="auto"/>
            <w:gridSpan w:val="3"/>
            <w:tcBorders>
              <w:top w:val="single" w:sz="4" w:space="0" w:color="000000"/>
            </w:tcBorders>
            <w:shd w:val="clear" w:color="auto" w:fill="D8D8D8"/>
            <w:tcMar>
              <w:top w:w="0" w:type="dxa"/>
              <w:left w:w="20" w:type="dxa"/>
              <w:bottom w:w="0" w:type="dxa"/>
              <w:right w:w="20" w:type="dxa"/>
            </w:tcMar>
            <w:vAlign w:val="center"/>
            <w:hideMark/>
          </w:tcPr>
          <w:p w:rsidR="00000000" w:rsidRDefault="001F1FC8">
            <w:pPr>
              <w:rPr>
                <w:rFonts w:eastAsia="Times New Roman"/>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1F1FC8">
            <w:pPr>
              <w:rPr>
                <w:rFonts w:eastAsia="Times New Roman"/>
                <w:sz w:val="20"/>
                <w:szCs w:val="20"/>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1F1FC8">
            <w:pPr>
              <w:rPr>
                <w:rFonts w:eastAsia="Times New Roman"/>
                <w:sz w:val="20"/>
                <w:szCs w:val="20"/>
              </w:rPr>
            </w:pPr>
          </w:p>
        </w:tc>
      </w:tr>
      <w:tr w:rsidR="00000000">
        <w:trPr>
          <w:divId w:val="1789396374"/>
        </w:trPr>
        <w:tc>
          <w:tcPr>
            <w:tcW w:w="0" w:type="auto"/>
            <w:gridSpan w:val="3"/>
            <w:tcMar>
              <w:top w:w="30" w:type="dxa"/>
              <w:left w:w="245" w:type="dxa"/>
              <w:bottom w:w="30" w:type="dxa"/>
              <w:right w:w="20" w:type="dxa"/>
            </w:tcMar>
            <w:vAlign w:val="center"/>
            <w:hideMark/>
          </w:tcPr>
          <w:p w:rsidR="00000000" w:rsidRDefault="001F1FC8">
            <w:pPr>
              <w:rPr>
                <w:rFonts w:eastAsia="Times New Roman"/>
              </w:rPr>
            </w:pPr>
            <w:r>
              <w:rPr>
                <w:rFonts w:ascii="Arial" w:eastAsia="Times New Roman" w:hAnsi="Arial" w:cs="Arial"/>
                <w:color w:val="000000"/>
                <w:sz w:val="16"/>
                <w:szCs w:val="16"/>
              </w:rPr>
              <w:t>Balance at beginning of year</w:t>
            </w:r>
          </w:p>
        </w:tc>
        <w:tc>
          <w:tcPr>
            <w:tcW w:w="0" w:type="auto"/>
            <w:gridSpan w:val="2"/>
            <w:shd w:val="clear" w:color="auto" w:fill="D8D8D8"/>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b/>
                <w:bCs/>
                <w:color w:val="000000"/>
                <w:sz w:val="16"/>
                <w:szCs w:val="16"/>
              </w:rPr>
              <w:t>(29)</w:t>
            </w:r>
          </w:p>
        </w:tc>
        <w:tc>
          <w:tcPr>
            <w:tcW w:w="0" w:type="auto"/>
            <w:shd w:val="clear" w:color="auto" w:fill="D8D8D8"/>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16"/>
                <w:szCs w:val="16"/>
              </w:rPr>
              <w:t>(51)</w:t>
            </w:r>
          </w:p>
        </w:tc>
        <w:tc>
          <w:tcPr>
            <w:tcW w:w="0" w:type="auto"/>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16"/>
                <w:szCs w:val="16"/>
              </w:rPr>
              <w:t>(88)</w:t>
            </w:r>
          </w:p>
        </w:tc>
        <w:tc>
          <w:tcPr>
            <w:tcW w:w="0" w:type="auto"/>
            <w:tcMar>
              <w:top w:w="30" w:type="dxa"/>
              <w:left w:w="0" w:type="dxa"/>
              <w:bottom w:w="30" w:type="dxa"/>
              <w:right w:w="20" w:type="dxa"/>
            </w:tcMar>
            <w:vAlign w:val="center"/>
            <w:hideMark/>
          </w:tcPr>
          <w:p w:rsidR="00000000" w:rsidRDefault="001F1FC8">
            <w:pPr>
              <w:jc w:val="right"/>
              <w:rPr>
                <w:rFonts w:eastAsia="Times New Roman"/>
              </w:rPr>
            </w:pPr>
          </w:p>
        </w:tc>
      </w:tr>
      <w:tr w:rsidR="00000000">
        <w:trPr>
          <w:divId w:val="1789396374"/>
        </w:trPr>
        <w:tc>
          <w:tcPr>
            <w:tcW w:w="0" w:type="auto"/>
            <w:gridSpan w:val="3"/>
            <w:tcMar>
              <w:top w:w="30" w:type="dxa"/>
              <w:left w:w="245" w:type="dxa"/>
              <w:bottom w:w="30" w:type="dxa"/>
              <w:right w:w="20" w:type="dxa"/>
            </w:tcMar>
            <w:vAlign w:val="center"/>
            <w:hideMark/>
          </w:tcPr>
          <w:p w:rsidR="00000000" w:rsidRDefault="001F1FC8">
            <w:pPr>
              <w:rPr>
                <w:rFonts w:eastAsia="Times New Roman"/>
              </w:rPr>
            </w:pPr>
            <w:r>
              <w:rPr>
                <w:rFonts w:ascii="Arial" w:eastAsia="Times New Roman" w:hAnsi="Arial" w:cs="Arial"/>
                <w:color w:val="000000"/>
                <w:sz w:val="16"/>
                <w:szCs w:val="16"/>
              </w:rPr>
              <w:t>Change in reciprocal interest</w:t>
            </w:r>
          </w:p>
        </w:tc>
        <w:tc>
          <w:tcPr>
            <w:tcW w:w="0" w:type="auto"/>
            <w:gridSpan w:val="2"/>
            <w:shd w:val="clear" w:color="auto" w:fill="D8D8D8"/>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b/>
                <w:bCs/>
                <w:color w:val="000000"/>
                <w:sz w:val="16"/>
                <w:szCs w:val="16"/>
              </w:rPr>
              <w:t>29</w:t>
            </w:r>
            <w:r>
              <w:rPr>
                <w:rFonts w:ascii="Arial" w:eastAsia="Times New Roman" w:hAnsi="Arial" w:cs="Arial"/>
                <w:color w:val="000000"/>
                <w:sz w:val="16"/>
                <w:szCs w:val="16"/>
              </w:rPr>
              <w:t> </w:t>
            </w:r>
          </w:p>
        </w:tc>
        <w:tc>
          <w:tcPr>
            <w:tcW w:w="0" w:type="auto"/>
            <w:shd w:val="clear" w:color="auto" w:fill="D8D8D8"/>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16"/>
                <w:szCs w:val="16"/>
              </w:rPr>
              <w:t>22 </w:t>
            </w:r>
          </w:p>
        </w:tc>
        <w:tc>
          <w:tcPr>
            <w:tcW w:w="0" w:type="auto"/>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16"/>
                <w:szCs w:val="16"/>
              </w:rPr>
              <w:t>37 </w:t>
            </w:r>
          </w:p>
        </w:tc>
        <w:tc>
          <w:tcPr>
            <w:tcW w:w="0" w:type="auto"/>
            <w:tcMar>
              <w:top w:w="30" w:type="dxa"/>
              <w:left w:w="0" w:type="dxa"/>
              <w:bottom w:w="30" w:type="dxa"/>
              <w:right w:w="20" w:type="dxa"/>
            </w:tcMar>
            <w:vAlign w:val="center"/>
            <w:hideMark/>
          </w:tcPr>
          <w:p w:rsidR="00000000" w:rsidRDefault="001F1FC8">
            <w:pPr>
              <w:jc w:val="right"/>
              <w:rPr>
                <w:rFonts w:eastAsia="Times New Roman"/>
              </w:rPr>
            </w:pPr>
          </w:p>
        </w:tc>
      </w:tr>
      <w:tr w:rsidR="00000000">
        <w:trPr>
          <w:divId w:val="1789396374"/>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1F1FC8">
            <w:pPr>
              <w:rPr>
                <w:rFonts w:eastAsia="Times New Roman"/>
              </w:rPr>
            </w:pPr>
            <w:r>
              <w:rPr>
                <w:rFonts w:ascii="Arial" w:eastAsia="Times New Roman" w:hAnsi="Arial" w:cs="Arial"/>
                <w:color w:val="000000"/>
                <w:sz w:val="16"/>
                <w:szCs w:val="16"/>
              </w:rPr>
              <w:t>Balance at end of year</w:t>
            </w:r>
          </w:p>
        </w:tc>
        <w:tc>
          <w:tcPr>
            <w:tcW w:w="0" w:type="auto"/>
            <w:gridSpan w:val="2"/>
            <w:tcBorders>
              <w:top w:val="single" w:sz="4" w:space="0" w:color="000000"/>
            </w:tcBorders>
            <w:shd w:val="clear" w:color="auto" w:fill="D8D8D8"/>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tcBorders>
              <w:top w:val="single" w:sz="4" w:space="0" w:color="000000"/>
            </w:tcBorders>
            <w:shd w:val="clear" w:color="auto" w:fill="D8D8D8"/>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16"/>
                <w:szCs w:val="16"/>
              </w:rPr>
              <w:t>(29)</w:t>
            </w:r>
          </w:p>
        </w:tc>
        <w:tc>
          <w:tcPr>
            <w:tcW w:w="0" w:type="auto"/>
            <w:tcBorders>
              <w:top w:val="single" w:sz="4" w:space="0" w:color="000000"/>
            </w:tcBorders>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16"/>
                <w:szCs w:val="16"/>
              </w:rPr>
              <w:t>(51)</w:t>
            </w:r>
          </w:p>
        </w:tc>
        <w:tc>
          <w:tcPr>
            <w:tcW w:w="0" w:type="auto"/>
            <w:tcBorders>
              <w:top w:val="single" w:sz="4" w:space="0" w:color="000000"/>
            </w:tcBorders>
            <w:tcMar>
              <w:top w:w="30" w:type="dxa"/>
              <w:left w:w="0" w:type="dxa"/>
              <w:bottom w:w="30" w:type="dxa"/>
              <w:right w:w="20" w:type="dxa"/>
            </w:tcMar>
            <w:vAlign w:val="center"/>
            <w:hideMark/>
          </w:tcPr>
          <w:p w:rsidR="00000000" w:rsidRDefault="001F1FC8">
            <w:pPr>
              <w:jc w:val="right"/>
              <w:rPr>
                <w:rFonts w:eastAsia="Times New Roman"/>
              </w:rPr>
            </w:pPr>
          </w:p>
        </w:tc>
      </w:tr>
      <w:tr w:rsidR="00000000">
        <w:trPr>
          <w:divId w:val="1789396374"/>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1F1FC8">
            <w:pPr>
              <w:rPr>
                <w:rFonts w:eastAsia="Times New Roman"/>
              </w:rPr>
            </w:pPr>
            <w:r>
              <w:rPr>
                <w:rFonts w:ascii="Arial" w:eastAsia="Times New Roman" w:hAnsi="Arial" w:cs="Arial"/>
                <w:color w:val="000000"/>
                <w:sz w:val="16"/>
                <w:szCs w:val="16"/>
              </w:rPr>
              <w:t>Total Enbridge Inc. shareholders’ equity</w:t>
            </w:r>
          </w:p>
        </w:tc>
        <w:tc>
          <w:tcPr>
            <w:tcW w:w="0" w:type="auto"/>
            <w:gridSpan w:val="2"/>
            <w:tcBorders>
              <w:top w:val="single" w:sz="4" w:space="0" w:color="000000"/>
            </w:tcBorders>
            <w:shd w:val="clear" w:color="auto" w:fill="D8D8D8"/>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b/>
                <w:bCs/>
                <w:color w:val="000000"/>
                <w:sz w:val="16"/>
                <w:szCs w:val="16"/>
              </w:rPr>
              <w:t>60,826</w:t>
            </w:r>
            <w:r>
              <w:rPr>
                <w:rFonts w:ascii="Arial" w:eastAsia="Times New Roman" w:hAnsi="Arial" w:cs="Arial"/>
                <w:color w:val="000000"/>
                <w:sz w:val="16"/>
                <w:szCs w:val="16"/>
              </w:rPr>
              <w:t> </w:t>
            </w:r>
          </w:p>
        </w:tc>
        <w:tc>
          <w:tcPr>
            <w:tcW w:w="0" w:type="auto"/>
            <w:tcBorders>
              <w:top w:val="single" w:sz="4" w:space="0" w:color="000000"/>
            </w:tcBorders>
            <w:shd w:val="clear" w:color="auto" w:fill="D8D8D8"/>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16"/>
                <w:szCs w:val="16"/>
              </w:rPr>
              <w:t>61,367 </w:t>
            </w:r>
          </w:p>
        </w:tc>
        <w:tc>
          <w:tcPr>
            <w:tcW w:w="0" w:type="auto"/>
            <w:tcBorders>
              <w:top w:val="single" w:sz="4" w:space="0" w:color="000000"/>
            </w:tcBorders>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16"/>
                <w:szCs w:val="16"/>
              </w:rPr>
              <w:t>66,043 </w:t>
            </w:r>
          </w:p>
        </w:tc>
        <w:tc>
          <w:tcPr>
            <w:tcW w:w="0" w:type="auto"/>
            <w:tcBorders>
              <w:top w:val="single" w:sz="4" w:space="0" w:color="000000"/>
            </w:tcBorders>
            <w:tcMar>
              <w:top w:w="30" w:type="dxa"/>
              <w:left w:w="0" w:type="dxa"/>
              <w:bottom w:w="30" w:type="dxa"/>
              <w:right w:w="20" w:type="dxa"/>
            </w:tcMar>
            <w:vAlign w:val="center"/>
            <w:hideMark/>
          </w:tcPr>
          <w:p w:rsidR="00000000" w:rsidRDefault="001F1FC8">
            <w:pPr>
              <w:jc w:val="right"/>
              <w:rPr>
                <w:rFonts w:eastAsia="Times New Roman"/>
              </w:rPr>
            </w:pPr>
          </w:p>
        </w:tc>
      </w:tr>
      <w:tr w:rsidR="00000000">
        <w:trPr>
          <w:divId w:val="1789396374"/>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1F1FC8">
            <w:pPr>
              <w:divId w:val="304429776"/>
              <w:rPr>
                <w:rFonts w:eastAsia="Times New Roman"/>
              </w:rPr>
            </w:pPr>
            <w:r>
              <w:rPr>
                <w:rFonts w:ascii="Arial" w:eastAsia="Times New Roman" w:hAnsi="Arial" w:cs="Arial"/>
                <w:color w:val="000000"/>
                <w:sz w:val="16"/>
                <w:szCs w:val="16"/>
              </w:rPr>
              <w:t xml:space="preserve">Noncontrolling interests </w:t>
            </w:r>
            <w:r>
              <w:rPr>
                <w:rFonts w:ascii="Arial" w:eastAsia="Times New Roman" w:hAnsi="Arial" w:cs="Arial"/>
                <w:i/>
                <w:iCs/>
                <w:color w:val="000000"/>
                <w:sz w:val="14"/>
                <w:szCs w:val="14"/>
              </w:rPr>
              <w:t>(Note 20)</w:t>
            </w:r>
          </w:p>
        </w:tc>
        <w:tc>
          <w:tcPr>
            <w:tcW w:w="0" w:type="auto"/>
            <w:gridSpan w:val="3"/>
            <w:tcBorders>
              <w:top w:val="single" w:sz="4" w:space="0" w:color="000000"/>
            </w:tcBorders>
            <w:shd w:val="clear" w:color="auto" w:fill="D8D8D8"/>
            <w:tcMar>
              <w:top w:w="30" w:type="dxa"/>
              <w:left w:w="20" w:type="dxa"/>
              <w:bottom w:w="30" w:type="dxa"/>
              <w:right w:w="20" w:type="dxa"/>
            </w:tcMar>
            <w:vAlign w:val="center"/>
            <w:hideMark/>
          </w:tcPr>
          <w:p w:rsidR="00000000" w:rsidRDefault="001F1FC8">
            <w:pPr>
              <w:jc w:val="right"/>
              <w:rPr>
                <w:rFonts w:eastAsia="Times New Roman"/>
              </w:rPr>
            </w:pPr>
            <w:r>
              <w:rPr>
                <w:rFonts w:ascii="Arial" w:eastAsia="Times New Roman" w:hAnsi="Arial" w:cs="Arial"/>
                <w:color w:val="000000"/>
                <w:sz w:val="16"/>
                <w:szCs w:val="16"/>
              </w:rPr>
              <w:t> </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1F1FC8">
            <w:pPr>
              <w:jc w:val="right"/>
              <w:rPr>
                <w:rFonts w:eastAsia="Times New Roman"/>
              </w:rPr>
            </w:pPr>
            <w:r>
              <w:rPr>
                <w:rFonts w:ascii="Arial" w:eastAsia="Times New Roman" w:hAnsi="Arial" w:cs="Arial"/>
                <w:color w:val="000000"/>
                <w:sz w:val="16"/>
                <w:szCs w:val="16"/>
              </w:rPr>
              <w:t> </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1F1FC8">
            <w:pPr>
              <w:jc w:val="right"/>
              <w:rPr>
                <w:rFonts w:eastAsia="Times New Roman"/>
              </w:rPr>
            </w:pPr>
            <w:r>
              <w:rPr>
                <w:rFonts w:ascii="Arial" w:eastAsia="Times New Roman" w:hAnsi="Arial" w:cs="Arial"/>
                <w:color w:val="000000"/>
                <w:sz w:val="16"/>
                <w:szCs w:val="16"/>
              </w:rPr>
              <w:t> </w:t>
            </w:r>
          </w:p>
        </w:tc>
      </w:tr>
      <w:tr w:rsidR="00000000">
        <w:trPr>
          <w:divId w:val="1789396374"/>
        </w:trPr>
        <w:tc>
          <w:tcPr>
            <w:tcW w:w="0" w:type="auto"/>
            <w:gridSpan w:val="3"/>
            <w:tcMar>
              <w:top w:w="30" w:type="dxa"/>
              <w:left w:w="245" w:type="dxa"/>
              <w:bottom w:w="30" w:type="dxa"/>
              <w:right w:w="20" w:type="dxa"/>
            </w:tcMar>
            <w:vAlign w:val="center"/>
            <w:hideMark/>
          </w:tcPr>
          <w:p w:rsidR="00000000" w:rsidRDefault="001F1FC8">
            <w:pPr>
              <w:rPr>
                <w:rFonts w:eastAsia="Times New Roman"/>
              </w:rPr>
            </w:pPr>
            <w:r>
              <w:rPr>
                <w:rFonts w:ascii="Arial" w:eastAsia="Times New Roman" w:hAnsi="Arial" w:cs="Arial"/>
                <w:color w:val="000000"/>
                <w:sz w:val="16"/>
                <w:szCs w:val="16"/>
              </w:rPr>
              <w:t>Balance at beginning of year</w:t>
            </w:r>
          </w:p>
        </w:tc>
        <w:tc>
          <w:tcPr>
            <w:tcW w:w="0" w:type="auto"/>
            <w:gridSpan w:val="2"/>
            <w:shd w:val="clear" w:color="auto" w:fill="D8D8D8"/>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b/>
                <w:bCs/>
                <w:color w:val="000000"/>
                <w:sz w:val="16"/>
                <w:szCs w:val="16"/>
              </w:rPr>
              <w:t>2,996</w:t>
            </w:r>
            <w:r>
              <w:rPr>
                <w:rFonts w:ascii="Arial" w:eastAsia="Times New Roman" w:hAnsi="Arial" w:cs="Arial"/>
                <w:color w:val="000000"/>
                <w:sz w:val="16"/>
                <w:szCs w:val="16"/>
              </w:rPr>
              <w:t> </w:t>
            </w:r>
          </w:p>
        </w:tc>
        <w:tc>
          <w:tcPr>
            <w:tcW w:w="0" w:type="auto"/>
            <w:shd w:val="clear" w:color="auto" w:fill="D8D8D8"/>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16"/>
                <w:szCs w:val="16"/>
              </w:rPr>
              <w:t>3,364 </w:t>
            </w:r>
          </w:p>
        </w:tc>
        <w:tc>
          <w:tcPr>
            <w:tcW w:w="0" w:type="auto"/>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16"/>
                <w:szCs w:val="16"/>
              </w:rPr>
              <w:t>3,965 </w:t>
            </w:r>
          </w:p>
        </w:tc>
        <w:tc>
          <w:tcPr>
            <w:tcW w:w="0" w:type="auto"/>
            <w:tcMar>
              <w:top w:w="30" w:type="dxa"/>
              <w:left w:w="0" w:type="dxa"/>
              <w:bottom w:w="30" w:type="dxa"/>
              <w:right w:w="20" w:type="dxa"/>
            </w:tcMar>
            <w:vAlign w:val="center"/>
            <w:hideMark/>
          </w:tcPr>
          <w:p w:rsidR="00000000" w:rsidRDefault="001F1FC8">
            <w:pPr>
              <w:jc w:val="right"/>
              <w:rPr>
                <w:rFonts w:eastAsia="Times New Roman"/>
              </w:rPr>
            </w:pPr>
          </w:p>
        </w:tc>
      </w:tr>
      <w:tr w:rsidR="00000000">
        <w:trPr>
          <w:divId w:val="1789396374"/>
        </w:trPr>
        <w:tc>
          <w:tcPr>
            <w:tcW w:w="0" w:type="auto"/>
            <w:gridSpan w:val="3"/>
            <w:tcMar>
              <w:top w:w="30" w:type="dxa"/>
              <w:left w:w="245" w:type="dxa"/>
              <w:bottom w:w="30" w:type="dxa"/>
              <w:right w:w="20" w:type="dxa"/>
            </w:tcMar>
            <w:vAlign w:val="center"/>
            <w:hideMark/>
          </w:tcPr>
          <w:p w:rsidR="00000000" w:rsidRDefault="001F1FC8">
            <w:pPr>
              <w:rPr>
                <w:rFonts w:eastAsia="Times New Roman"/>
              </w:rPr>
            </w:pPr>
            <w:r>
              <w:rPr>
                <w:rFonts w:ascii="Arial" w:eastAsia="Times New Roman" w:hAnsi="Arial" w:cs="Arial"/>
                <w:color w:val="000000"/>
                <w:sz w:val="16"/>
                <w:szCs w:val="16"/>
              </w:rPr>
              <w:t>Earnings attributable to noncontrolling interests</w:t>
            </w:r>
          </w:p>
        </w:tc>
        <w:tc>
          <w:tcPr>
            <w:tcW w:w="0" w:type="auto"/>
            <w:gridSpan w:val="2"/>
            <w:shd w:val="clear" w:color="auto" w:fill="D8D8D8"/>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b/>
                <w:bCs/>
                <w:color w:val="000000"/>
                <w:sz w:val="16"/>
                <w:szCs w:val="16"/>
              </w:rPr>
              <w:t>125</w:t>
            </w:r>
            <w:r>
              <w:rPr>
                <w:rFonts w:ascii="Arial" w:eastAsia="Times New Roman" w:hAnsi="Arial" w:cs="Arial"/>
                <w:color w:val="000000"/>
                <w:sz w:val="16"/>
                <w:szCs w:val="16"/>
              </w:rPr>
              <w:t> </w:t>
            </w:r>
          </w:p>
        </w:tc>
        <w:tc>
          <w:tcPr>
            <w:tcW w:w="0" w:type="auto"/>
            <w:shd w:val="clear" w:color="auto" w:fill="D8D8D8"/>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16"/>
                <w:szCs w:val="16"/>
              </w:rPr>
              <w:t>53 </w:t>
            </w:r>
          </w:p>
        </w:tc>
        <w:tc>
          <w:tcPr>
            <w:tcW w:w="0" w:type="auto"/>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16"/>
                <w:szCs w:val="16"/>
              </w:rPr>
              <w:t>122 </w:t>
            </w:r>
          </w:p>
        </w:tc>
        <w:tc>
          <w:tcPr>
            <w:tcW w:w="0" w:type="auto"/>
            <w:tcMar>
              <w:top w:w="30" w:type="dxa"/>
              <w:left w:w="0" w:type="dxa"/>
              <w:bottom w:w="30" w:type="dxa"/>
              <w:right w:w="20" w:type="dxa"/>
            </w:tcMar>
            <w:vAlign w:val="center"/>
            <w:hideMark/>
          </w:tcPr>
          <w:p w:rsidR="00000000" w:rsidRDefault="001F1FC8">
            <w:pPr>
              <w:jc w:val="right"/>
              <w:rPr>
                <w:rFonts w:eastAsia="Times New Roman"/>
              </w:rPr>
            </w:pPr>
          </w:p>
        </w:tc>
      </w:tr>
      <w:tr w:rsidR="00000000">
        <w:trPr>
          <w:divId w:val="1789396374"/>
        </w:trPr>
        <w:tc>
          <w:tcPr>
            <w:tcW w:w="0" w:type="auto"/>
            <w:gridSpan w:val="3"/>
            <w:tcMar>
              <w:top w:w="30" w:type="dxa"/>
              <w:left w:w="245" w:type="dxa"/>
              <w:bottom w:w="30" w:type="dxa"/>
              <w:right w:w="20" w:type="dxa"/>
            </w:tcMar>
            <w:vAlign w:val="center"/>
            <w:hideMark/>
          </w:tcPr>
          <w:p w:rsidR="00000000" w:rsidRDefault="001F1FC8">
            <w:pPr>
              <w:rPr>
                <w:rFonts w:eastAsia="Times New Roman"/>
              </w:rPr>
            </w:pPr>
            <w:r>
              <w:rPr>
                <w:rFonts w:ascii="Arial" w:eastAsia="Times New Roman" w:hAnsi="Arial" w:cs="Arial"/>
                <w:color w:val="000000"/>
                <w:sz w:val="16"/>
                <w:szCs w:val="16"/>
              </w:rPr>
              <w:t>Other comprehensive loss attributable to noncontrolling interests, net of tax</w:t>
            </w:r>
          </w:p>
        </w:tc>
        <w:tc>
          <w:tcPr>
            <w:tcW w:w="0" w:type="auto"/>
            <w:gridSpan w:val="3"/>
            <w:shd w:val="clear" w:color="auto" w:fill="D8D8D8"/>
            <w:tcMar>
              <w:top w:w="0" w:type="dxa"/>
              <w:left w:w="20" w:type="dxa"/>
              <w:bottom w:w="0" w:type="dxa"/>
              <w:right w:w="20" w:type="dxa"/>
            </w:tcMar>
            <w:vAlign w:val="center"/>
            <w:hideMark/>
          </w:tcPr>
          <w:p w:rsidR="00000000" w:rsidRDefault="001F1FC8">
            <w:pPr>
              <w:rPr>
                <w:rFonts w:eastAsia="Times New Roman"/>
              </w:rPr>
            </w:pPr>
          </w:p>
        </w:tc>
        <w:tc>
          <w:tcPr>
            <w:tcW w:w="0" w:type="auto"/>
            <w:gridSpan w:val="3"/>
            <w:tcMar>
              <w:top w:w="0" w:type="dxa"/>
              <w:left w:w="20" w:type="dxa"/>
              <w:bottom w:w="0" w:type="dxa"/>
              <w:right w:w="20" w:type="dxa"/>
            </w:tcMar>
            <w:vAlign w:val="center"/>
            <w:hideMark/>
          </w:tcPr>
          <w:p w:rsidR="00000000" w:rsidRDefault="001F1FC8">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1F1FC8">
            <w:pPr>
              <w:rPr>
                <w:rFonts w:eastAsia="Times New Roman"/>
                <w:sz w:val="20"/>
                <w:szCs w:val="20"/>
              </w:rPr>
            </w:pPr>
          </w:p>
        </w:tc>
      </w:tr>
      <w:tr w:rsidR="00000000">
        <w:trPr>
          <w:divId w:val="1789396374"/>
        </w:trPr>
        <w:tc>
          <w:tcPr>
            <w:tcW w:w="0" w:type="auto"/>
            <w:gridSpan w:val="3"/>
            <w:tcMar>
              <w:top w:w="30" w:type="dxa"/>
              <w:left w:w="515" w:type="dxa"/>
              <w:bottom w:w="30" w:type="dxa"/>
              <w:right w:w="20" w:type="dxa"/>
            </w:tcMar>
            <w:vAlign w:val="center"/>
            <w:hideMark/>
          </w:tcPr>
          <w:p w:rsidR="00000000" w:rsidRDefault="001F1FC8">
            <w:pPr>
              <w:rPr>
                <w:rFonts w:eastAsia="Times New Roman"/>
              </w:rPr>
            </w:pPr>
            <w:r>
              <w:rPr>
                <w:rFonts w:ascii="Arial" w:eastAsia="Times New Roman" w:hAnsi="Arial" w:cs="Arial"/>
                <w:color w:val="000000"/>
                <w:sz w:val="16"/>
                <w:szCs w:val="16"/>
              </w:rPr>
              <w:t>Change in unrealized loss on cash flow hedges</w:t>
            </w:r>
          </w:p>
        </w:tc>
        <w:tc>
          <w:tcPr>
            <w:tcW w:w="0" w:type="auto"/>
            <w:gridSpan w:val="2"/>
            <w:shd w:val="clear" w:color="auto" w:fill="D8D8D8"/>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b/>
                <w:bCs/>
                <w:color w:val="000000"/>
                <w:sz w:val="16"/>
                <w:szCs w:val="16"/>
              </w:rPr>
              <w:t>(15)</w:t>
            </w:r>
          </w:p>
        </w:tc>
        <w:tc>
          <w:tcPr>
            <w:tcW w:w="0" w:type="auto"/>
            <w:shd w:val="clear" w:color="auto" w:fill="D8D8D8"/>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16"/>
                <w:szCs w:val="16"/>
              </w:rPr>
              <w:t>(6)</w:t>
            </w:r>
          </w:p>
        </w:tc>
        <w:tc>
          <w:tcPr>
            <w:tcW w:w="0" w:type="auto"/>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16"/>
                <w:szCs w:val="16"/>
              </w:rPr>
              <w:t>(7)</w:t>
            </w:r>
          </w:p>
        </w:tc>
        <w:tc>
          <w:tcPr>
            <w:tcW w:w="0" w:type="auto"/>
            <w:tcMar>
              <w:top w:w="30" w:type="dxa"/>
              <w:left w:w="0" w:type="dxa"/>
              <w:bottom w:w="30" w:type="dxa"/>
              <w:right w:w="20" w:type="dxa"/>
            </w:tcMar>
            <w:vAlign w:val="center"/>
            <w:hideMark/>
          </w:tcPr>
          <w:p w:rsidR="00000000" w:rsidRDefault="001F1FC8">
            <w:pPr>
              <w:jc w:val="right"/>
              <w:rPr>
                <w:rFonts w:eastAsia="Times New Roman"/>
              </w:rPr>
            </w:pPr>
          </w:p>
        </w:tc>
      </w:tr>
      <w:tr w:rsidR="00000000">
        <w:trPr>
          <w:divId w:val="1789396374"/>
        </w:trPr>
        <w:tc>
          <w:tcPr>
            <w:tcW w:w="0" w:type="auto"/>
            <w:gridSpan w:val="3"/>
            <w:tcMar>
              <w:top w:w="30" w:type="dxa"/>
              <w:left w:w="515" w:type="dxa"/>
              <w:bottom w:w="30" w:type="dxa"/>
              <w:right w:w="20" w:type="dxa"/>
            </w:tcMar>
            <w:vAlign w:val="center"/>
            <w:hideMark/>
          </w:tcPr>
          <w:p w:rsidR="00000000" w:rsidRDefault="001F1FC8">
            <w:pPr>
              <w:rPr>
                <w:rFonts w:eastAsia="Times New Roman"/>
              </w:rPr>
            </w:pPr>
            <w:r>
              <w:rPr>
                <w:rFonts w:ascii="Arial" w:eastAsia="Times New Roman" w:hAnsi="Arial" w:cs="Arial"/>
                <w:color w:val="000000"/>
                <w:sz w:val="16"/>
                <w:szCs w:val="16"/>
              </w:rPr>
              <w:t>Foreign currency translation adjustments</w:t>
            </w:r>
          </w:p>
        </w:tc>
        <w:tc>
          <w:tcPr>
            <w:tcW w:w="0" w:type="auto"/>
            <w:gridSpan w:val="2"/>
            <w:shd w:val="clear" w:color="auto" w:fill="D8D8D8"/>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b/>
                <w:bCs/>
                <w:color w:val="000000"/>
                <w:sz w:val="16"/>
                <w:szCs w:val="16"/>
              </w:rPr>
              <w:t>(15)</w:t>
            </w:r>
          </w:p>
        </w:tc>
        <w:tc>
          <w:tcPr>
            <w:tcW w:w="0" w:type="auto"/>
            <w:shd w:val="clear" w:color="auto" w:fill="D8D8D8"/>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16"/>
                <w:szCs w:val="16"/>
              </w:rPr>
              <w:t>(25)</w:t>
            </w:r>
          </w:p>
        </w:tc>
        <w:tc>
          <w:tcPr>
            <w:tcW w:w="0" w:type="auto"/>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16"/>
                <w:szCs w:val="16"/>
              </w:rPr>
              <w:t>(108)</w:t>
            </w:r>
          </w:p>
        </w:tc>
        <w:tc>
          <w:tcPr>
            <w:tcW w:w="0" w:type="auto"/>
            <w:tcMar>
              <w:top w:w="30" w:type="dxa"/>
              <w:left w:w="0" w:type="dxa"/>
              <w:bottom w:w="30" w:type="dxa"/>
              <w:right w:w="20" w:type="dxa"/>
            </w:tcMar>
            <w:vAlign w:val="center"/>
            <w:hideMark/>
          </w:tcPr>
          <w:p w:rsidR="00000000" w:rsidRDefault="001F1FC8">
            <w:pPr>
              <w:jc w:val="right"/>
              <w:rPr>
                <w:rFonts w:eastAsia="Times New Roman"/>
              </w:rPr>
            </w:pPr>
          </w:p>
        </w:tc>
      </w:tr>
      <w:tr w:rsidR="00000000">
        <w:trPr>
          <w:divId w:val="1789396374"/>
        </w:trPr>
        <w:tc>
          <w:tcPr>
            <w:tcW w:w="0" w:type="auto"/>
            <w:gridSpan w:val="3"/>
            <w:vAlign w:val="center"/>
            <w:hideMark/>
          </w:tcPr>
          <w:p w:rsidR="00000000" w:rsidRDefault="001F1FC8">
            <w:pPr>
              <w:jc w:val="right"/>
              <w:rPr>
                <w:rFonts w:eastAsia="Times New Roman"/>
                <w:sz w:val="20"/>
                <w:szCs w:val="20"/>
              </w:rPr>
            </w:pPr>
          </w:p>
        </w:tc>
        <w:tc>
          <w:tcPr>
            <w:tcW w:w="0" w:type="auto"/>
            <w:gridSpan w:val="3"/>
            <w:vAlign w:val="center"/>
            <w:hideMark/>
          </w:tcPr>
          <w:p w:rsidR="00000000" w:rsidRDefault="001F1FC8">
            <w:pPr>
              <w:rPr>
                <w:rFonts w:eastAsia="Times New Roman"/>
                <w:sz w:val="20"/>
                <w:szCs w:val="20"/>
              </w:rPr>
            </w:pPr>
          </w:p>
        </w:tc>
        <w:tc>
          <w:tcPr>
            <w:tcW w:w="0" w:type="auto"/>
            <w:gridSpan w:val="3"/>
            <w:vAlign w:val="center"/>
            <w:hideMark/>
          </w:tcPr>
          <w:p w:rsidR="00000000" w:rsidRDefault="001F1FC8">
            <w:pPr>
              <w:rPr>
                <w:rFonts w:eastAsia="Times New Roman"/>
                <w:sz w:val="20"/>
                <w:szCs w:val="20"/>
              </w:rPr>
            </w:pPr>
          </w:p>
        </w:tc>
        <w:tc>
          <w:tcPr>
            <w:tcW w:w="0" w:type="auto"/>
            <w:gridSpan w:val="3"/>
            <w:vAlign w:val="center"/>
            <w:hideMark/>
          </w:tcPr>
          <w:p w:rsidR="00000000" w:rsidRDefault="001F1FC8">
            <w:pPr>
              <w:rPr>
                <w:rFonts w:eastAsia="Times New Roman"/>
                <w:sz w:val="20"/>
                <w:szCs w:val="20"/>
              </w:rPr>
            </w:pPr>
          </w:p>
        </w:tc>
      </w:tr>
      <w:tr w:rsidR="00000000">
        <w:trPr>
          <w:divId w:val="1789396374"/>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1F1FC8">
            <w:pPr>
              <w:rPr>
                <w:rFonts w:eastAsia="Times New Roman"/>
              </w:rPr>
            </w:pPr>
            <w:r>
              <w:rPr>
                <w:rFonts w:ascii="Arial" w:eastAsia="Times New Roman" w:hAnsi="Arial" w:cs="Arial"/>
                <w:color w:val="000000"/>
                <w:sz w:val="16"/>
                <w:szCs w:val="16"/>
              </w:rPr>
              <w:t> </w:t>
            </w:r>
          </w:p>
        </w:tc>
        <w:tc>
          <w:tcPr>
            <w:tcW w:w="0" w:type="auto"/>
            <w:gridSpan w:val="2"/>
            <w:tcBorders>
              <w:top w:val="single" w:sz="4" w:space="0" w:color="000000"/>
            </w:tcBorders>
            <w:shd w:val="clear" w:color="auto" w:fill="D8D8D8"/>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b/>
                <w:bCs/>
                <w:color w:val="000000"/>
                <w:sz w:val="16"/>
                <w:szCs w:val="16"/>
              </w:rPr>
              <w:t>(30)</w:t>
            </w:r>
          </w:p>
        </w:tc>
        <w:tc>
          <w:tcPr>
            <w:tcW w:w="0" w:type="auto"/>
            <w:tcBorders>
              <w:top w:val="single" w:sz="4" w:space="0" w:color="000000"/>
            </w:tcBorders>
            <w:shd w:val="clear" w:color="auto" w:fill="D8D8D8"/>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16"/>
                <w:szCs w:val="16"/>
              </w:rPr>
              <w:t>(31)</w:t>
            </w:r>
          </w:p>
        </w:tc>
        <w:tc>
          <w:tcPr>
            <w:tcW w:w="0" w:type="auto"/>
            <w:tcBorders>
              <w:top w:val="single" w:sz="4" w:space="0" w:color="000000"/>
            </w:tcBorders>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16"/>
                <w:szCs w:val="16"/>
              </w:rPr>
              <w:t>(115)</w:t>
            </w:r>
          </w:p>
        </w:tc>
        <w:tc>
          <w:tcPr>
            <w:tcW w:w="0" w:type="auto"/>
            <w:tcBorders>
              <w:top w:val="single" w:sz="4" w:space="0" w:color="000000"/>
            </w:tcBorders>
            <w:tcMar>
              <w:top w:w="30" w:type="dxa"/>
              <w:left w:w="0" w:type="dxa"/>
              <w:bottom w:w="30" w:type="dxa"/>
              <w:right w:w="20" w:type="dxa"/>
            </w:tcMar>
            <w:vAlign w:val="center"/>
            <w:hideMark/>
          </w:tcPr>
          <w:p w:rsidR="00000000" w:rsidRDefault="001F1FC8">
            <w:pPr>
              <w:jc w:val="right"/>
              <w:rPr>
                <w:rFonts w:eastAsia="Times New Roman"/>
              </w:rPr>
            </w:pPr>
          </w:p>
        </w:tc>
      </w:tr>
      <w:tr w:rsidR="00000000">
        <w:trPr>
          <w:divId w:val="1789396374"/>
        </w:trPr>
        <w:tc>
          <w:tcPr>
            <w:tcW w:w="0" w:type="auto"/>
            <w:gridSpan w:val="3"/>
            <w:tcBorders>
              <w:top w:val="single" w:sz="4" w:space="0" w:color="000000"/>
            </w:tcBorders>
            <w:tcMar>
              <w:top w:w="30" w:type="dxa"/>
              <w:left w:w="245" w:type="dxa"/>
              <w:bottom w:w="30" w:type="dxa"/>
              <w:right w:w="20" w:type="dxa"/>
            </w:tcMar>
            <w:vAlign w:val="center"/>
            <w:hideMark/>
          </w:tcPr>
          <w:p w:rsidR="00000000" w:rsidRDefault="001F1FC8">
            <w:pPr>
              <w:rPr>
                <w:rFonts w:eastAsia="Times New Roman"/>
              </w:rPr>
            </w:pPr>
            <w:r>
              <w:rPr>
                <w:rFonts w:ascii="Arial" w:eastAsia="Times New Roman" w:hAnsi="Arial" w:cs="Arial"/>
                <w:color w:val="000000"/>
                <w:sz w:val="16"/>
                <w:szCs w:val="16"/>
              </w:rPr>
              <w:t>Comprehensive income attributable to noncontrolling interests</w:t>
            </w:r>
          </w:p>
        </w:tc>
        <w:tc>
          <w:tcPr>
            <w:tcW w:w="0" w:type="auto"/>
            <w:gridSpan w:val="2"/>
            <w:tcBorders>
              <w:top w:val="single" w:sz="4" w:space="0" w:color="000000"/>
            </w:tcBorders>
            <w:shd w:val="clear" w:color="auto" w:fill="D8D8D8"/>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b/>
                <w:bCs/>
                <w:color w:val="000000"/>
                <w:sz w:val="16"/>
                <w:szCs w:val="16"/>
              </w:rPr>
              <w:t>95</w:t>
            </w:r>
            <w:r>
              <w:rPr>
                <w:rFonts w:ascii="Arial" w:eastAsia="Times New Roman" w:hAnsi="Arial" w:cs="Arial"/>
                <w:color w:val="000000"/>
                <w:sz w:val="16"/>
                <w:szCs w:val="16"/>
              </w:rPr>
              <w:t> </w:t>
            </w:r>
          </w:p>
        </w:tc>
        <w:tc>
          <w:tcPr>
            <w:tcW w:w="0" w:type="auto"/>
            <w:tcBorders>
              <w:top w:val="single" w:sz="4" w:space="0" w:color="000000"/>
            </w:tcBorders>
            <w:shd w:val="clear" w:color="auto" w:fill="D8D8D8"/>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16"/>
                <w:szCs w:val="16"/>
              </w:rPr>
              <w:t>22 </w:t>
            </w:r>
          </w:p>
        </w:tc>
        <w:tc>
          <w:tcPr>
            <w:tcW w:w="0" w:type="auto"/>
            <w:tcBorders>
              <w:top w:val="single" w:sz="4" w:space="0" w:color="000000"/>
            </w:tcBorders>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16"/>
                <w:szCs w:val="16"/>
              </w:rPr>
              <w:t>7 </w:t>
            </w:r>
          </w:p>
        </w:tc>
        <w:tc>
          <w:tcPr>
            <w:tcW w:w="0" w:type="auto"/>
            <w:tcBorders>
              <w:top w:val="single" w:sz="4" w:space="0" w:color="000000"/>
            </w:tcBorders>
            <w:tcMar>
              <w:top w:w="30" w:type="dxa"/>
              <w:left w:w="0" w:type="dxa"/>
              <w:bottom w:w="30" w:type="dxa"/>
              <w:right w:w="20" w:type="dxa"/>
            </w:tcMar>
            <w:vAlign w:val="center"/>
            <w:hideMark/>
          </w:tcPr>
          <w:p w:rsidR="00000000" w:rsidRDefault="001F1FC8">
            <w:pPr>
              <w:jc w:val="right"/>
              <w:rPr>
                <w:rFonts w:eastAsia="Times New Roman"/>
              </w:rPr>
            </w:pPr>
          </w:p>
        </w:tc>
      </w:tr>
      <w:tr w:rsidR="00000000">
        <w:trPr>
          <w:divId w:val="1789396374"/>
        </w:trPr>
        <w:tc>
          <w:tcPr>
            <w:tcW w:w="0" w:type="auto"/>
            <w:gridSpan w:val="3"/>
            <w:vAlign w:val="center"/>
            <w:hideMark/>
          </w:tcPr>
          <w:p w:rsidR="00000000" w:rsidRDefault="001F1FC8">
            <w:pPr>
              <w:jc w:val="right"/>
              <w:rPr>
                <w:rFonts w:eastAsia="Times New Roman"/>
                <w:sz w:val="20"/>
                <w:szCs w:val="20"/>
              </w:rPr>
            </w:pPr>
          </w:p>
        </w:tc>
        <w:tc>
          <w:tcPr>
            <w:tcW w:w="0" w:type="auto"/>
            <w:gridSpan w:val="3"/>
            <w:vAlign w:val="center"/>
            <w:hideMark/>
          </w:tcPr>
          <w:p w:rsidR="00000000" w:rsidRDefault="001F1FC8">
            <w:pPr>
              <w:rPr>
                <w:rFonts w:eastAsia="Times New Roman"/>
                <w:sz w:val="20"/>
                <w:szCs w:val="20"/>
              </w:rPr>
            </w:pPr>
          </w:p>
        </w:tc>
        <w:tc>
          <w:tcPr>
            <w:tcW w:w="0" w:type="auto"/>
            <w:gridSpan w:val="3"/>
            <w:vAlign w:val="center"/>
            <w:hideMark/>
          </w:tcPr>
          <w:p w:rsidR="00000000" w:rsidRDefault="001F1FC8">
            <w:pPr>
              <w:rPr>
                <w:rFonts w:eastAsia="Times New Roman"/>
                <w:sz w:val="20"/>
                <w:szCs w:val="20"/>
              </w:rPr>
            </w:pPr>
          </w:p>
        </w:tc>
        <w:tc>
          <w:tcPr>
            <w:tcW w:w="0" w:type="auto"/>
            <w:gridSpan w:val="3"/>
            <w:vAlign w:val="center"/>
            <w:hideMark/>
          </w:tcPr>
          <w:p w:rsidR="00000000" w:rsidRDefault="001F1FC8">
            <w:pPr>
              <w:rPr>
                <w:rFonts w:eastAsia="Times New Roman"/>
                <w:sz w:val="20"/>
                <w:szCs w:val="20"/>
              </w:rPr>
            </w:pPr>
          </w:p>
        </w:tc>
      </w:tr>
      <w:tr w:rsidR="00000000">
        <w:trPr>
          <w:divId w:val="1789396374"/>
        </w:trPr>
        <w:tc>
          <w:tcPr>
            <w:tcW w:w="0" w:type="auto"/>
            <w:gridSpan w:val="3"/>
            <w:vAlign w:val="center"/>
            <w:hideMark/>
          </w:tcPr>
          <w:p w:rsidR="00000000" w:rsidRDefault="001F1FC8">
            <w:pPr>
              <w:rPr>
                <w:rFonts w:eastAsia="Times New Roman"/>
                <w:sz w:val="20"/>
                <w:szCs w:val="20"/>
              </w:rPr>
            </w:pPr>
          </w:p>
        </w:tc>
        <w:tc>
          <w:tcPr>
            <w:tcW w:w="0" w:type="auto"/>
            <w:gridSpan w:val="3"/>
            <w:vAlign w:val="center"/>
            <w:hideMark/>
          </w:tcPr>
          <w:p w:rsidR="00000000" w:rsidRDefault="001F1FC8">
            <w:pPr>
              <w:rPr>
                <w:rFonts w:eastAsia="Times New Roman"/>
                <w:sz w:val="20"/>
                <w:szCs w:val="20"/>
              </w:rPr>
            </w:pPr>
          </w:p>
        </w:tc>
        <w:tc>
          <w:tcPr>
            <w:tcW w:w="0" w:type="auto"/>
            <w:gridSpan w:val="3"/>
            <w:vAlign w:val="center"/>
            <w:hideMark/>
          </w:tcPr>
          <w:p w:rsidR="00000000" w:rsidRDefault="001F1FC8">
            <w:pPr>
              <w:rPr>
                <w:rFonts w:eastAsia="Times New Roman"/>
                <w:sz w:val="20"/>
                <w:szCs w:val="20"/>
              </w:rPr>
            </w:pPr>
          </w:p>
        </w:tc>
        <w:tc>
          <w:tcPr>
            <w:tcW w:w="0" w:type="auto"/>
            <w:gridSpan w:val="3"/>
            <w:vAlign w:val="center"/>
            <w:hideMark/>
          </w:tcPr>
          <w:p w:rsidR="00000000" w:rsidRDefault="001F1FC8">
            <w:pPr>
              <w:rPr>
                <w:rFonts w:eastAsia="Times New Roman"/>
                <w:sz w:val="20"/>
                <w:szCs w:val="20"/>
              </w:rPr>
            </w:pPr>
          </w:p>
        </w:tc>
      </w:tr>
      <w:tr w:rsidR="00000000">
        <w:trPr>
          <w:divId w:val="1789396374"/>
        </w:trPr>
        <w:tc>
          <w:tcPr>
            <w:tcW w:w="0" w:type="auto"/>
            <w:gridSpan w:val="3"/>
            <w:tcMar>
              <w:top w:w="30" w:type="dxa"/>
              <w:left w:w="245" w:type="dxa"/>
              <w:bottom w:w="30" w:type="dxa"/>
              <w:right w:w="20" w:type="dxa"/>
            </w:tcMar>
            <w:vAlign w:val="center"/>
            <w:hideMark/>
          </w:tcPr>
          <w:p w:rsidR="00000000" w:rsidRDefault="001F1FC8">
            <w:pPr>
              <w:rPr>
                <w:rFonts w:eastAsia="Times New Roman"/>
              </w:rPr>
            </w:pPr>
            <w:r>
              <w:rPr>
                <w:rFonts w:ascii="Arial" w:eastAsia="Times New Roman" w:hAnsi="Arial" w:cs="Arial"/>
                <w:color w:val="000000"/>
                <w:sz w:val="16"/>
                <w:szCs w:val="16"/>
              </w:rPr>
              <w:t>Distributions</w:t>
            </w:r>
          </w:p>
        </w:tc>
        <w:tc>
          <w:tcPr>
            <w:tcW w:w="0" w:type="auto"/>
            <w:gridSpan w:val="2"/>
            <w:shd w:val="clear" w:color="auto" w:fill="D8D8D8"/>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b/>
                <w:bCs/>
                <w:color w:val="000000"/>
                <w:sz w:val="16"/>
                <w:szCs w:val="16"/>
              </w:rPr>
              <w:t>(271)</w:t>
            </w:r>
          </w:p>
        </w:tc>
        <w:tc>
          <w:tcPr>
            <w:tcW w:w="0" w:type="auto"/>
            <w:shd w:val="clear" w:color="auto" w:fill="D8D8D8"/>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16"/>
                <w:szCs w:val="16"/>
              </w:rPr>
              <w:t>(300)</w:t>
            </w:r>
          </w:p>
        </w:tc>
        <w:tc>
          <w:tcPr>
            <w:tcW w:w="0" w:type="auto"/>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16"/>
                <w:szCs w:val="16"/>
              </w:rPr>
              <w:t>(254)</w:t>
            </w:r>
          </w:p>
        </w:tc>
        <w:tc>
          <w:tcPr>
            <w:tcW w:w="0" w:type="auto"/>
            <w:tcMar>
              <w:top w:w="30" w:type="dxa"/>
              <w:left w:w="0" w:type="dxa"/>
              <w:bottom w:w="30" w:type="dxa"/>
              <w:right w:w="20" w:type="dxa"/>
            </w:tcMar>
            <w:vAlign w:val="center"/>
            <w:hideMark/>
          </w:tcPr>
          <w:p w:rsidR="00000000" w:rsidRDefault="001F1FC8">
            <w:pPr>
              <w:jc w:val="right"/>
              <w:rPr>
                <w:rFonts w:eastAsia="Times New Roman"/>
              </w:rPr>
            </w:pPr>
          </w:p>
        </w:tc>
      </w:tr>
      <w:tr w:rsidR="00000000">
        <w:trPr>
          <w:divId w:val="1789396374"/>
        </w:trPr>
        <w:tc>
          <w:tcPr>
            <w:tcW w:w="0" w:type="auto"/>
            <w:gridSpan w:val="3"/>
            <w:tcMar>
              <w:top w:w="30" w:type="dxa"/>
              <w:left w:w="245" w:type="dxa"/>
              <w:bottom w:w="30" w:type="dxa"/>
              <w:right w:w="20" w:type="dxa"/>
            </w:tcMar>
            <w:vAlign w:val="center"/>
            <w:hideMark/>
          </w:tcPr>
          <w:p w:rsidR="00000000" w:rsidRDefault="001F1FC8">
            <w:pPr>
              <w:rPr>
                <w:rFonts w:eastAsia="Times New Roman"/>
              </w:rPr>
            </w:pPr>
            <w:r>
              <w:rPr>
                <w:rFonts w:ascii="Arial" w:eastAsia="Times New Roman" w:hAnsi="Arial" w:cs="Arial"/>
                <w:color w:val="000000"/>
                <w:sz w:val="16"/>
                <w:szCs w:val="16"/>
              </w:rPr>
              <w:t>Contributions</w:t>
            </w:r>
          </w:p>
        </w:tc>
        <w:tc>
          <w:tcPr>
            <w:tcW w:w="0" w:type="auto"/>
            <w:gridSpan w:val="2"/>
            <w:shd w:val="clear" w:color="auto" w:fill="D8D8D8"/>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b/>
                <w:bCs/>
                <w:color w:val="000000"/>
                <w:sz w:val="16"/>
                <w:szCs w:val="16"/>
              </w:rPr>
              <w:t>15</w:t>
            </w:r>
            <w:r>
              <w:rPr>
                <w:rFonts w:ascii="Arial" w:eastAsia="Times New Roman" w:hAnsi="Arial" w:cs="Arial"/>
                <w:color w:val="000000"/>
                <w:sz w:val="16"/>
                <w:szCs w:val="16"/>
              </w:rPr>
              <w:t> </w:t>
            </w:r>
          </w:p>
        </w:tc>
        <w:tc>
          <w:tcPr>
            <w:tcW w:w="0" w:type="auto"/>
            <w:shd w:val="clear" w:color="auto" w:fill="D8D8D8"/>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16"/>
                <w:szCs w:val="16"/>
              </w:rPr>
              <w:t>23 </w:t>
            </w:r>
          </w:p>
        </w:tc>
        <w:tc>
          <w:tcPr>
            <w:tcW w:w="0" w:type="auto"/>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16"/>
                <w:szCs w:val="16"/>
              </w:rPr>
              <w:t>12 </w:t>
            </w:r>
          </w:p>
        </w:tc>
        <w:tc>
          <w:tcPr>
            <w:tcW w:w="0" w:type="auto"/>
            <w:tcMar>
              <w:top w:w="30" w:type="dxa"/>
              <w:left w:w="0" w:type="dxa"/>
              <w:bottom w:w="30" w:type="dxa"/>
              <w:right w:w="20" w:type="dxa"/>
            </w:tcMar>
            <w:vAlign w:val="center"/>
            <w:hideMark/>
          </w:tcPr>
          <w:p w:rsidR="00000000" w:rsidRDefault="001F1FC8">
            <w:pPr>
              <w:jc w:val="right"/>
              <w:rPr>
                <w:rFonts w:eastAsia="Times New Roman"/>
              </w:rPr>
            </w:pPr>
          </w:p>
        </w:tc>
      </w:tr>
      <w:tr w:rsidR="00000000">
        <w:trPr>
          <w:divId w:val="1789396374"/>
        </w:trPr>
        <w:tc>
          <w:tcPr>
            <w:tcW w:w="0" w:type="auto"/>
            <w:gridSpan w:val="3"/>
            <w:vAlign w:val="center"/>
            <w:hideMark/>
          </w:tcPr>
          <w:p w:rsidR="00000000" w:rsidRDefault="001F1FC8">
            <w:pPr>
              <w:jc w:val="right"/>
              <w:rPr>
                <w:rFonts w:eastAsia="Times New Roman"/>
                <w:sz w:val="20"/>
                <w:szCs w:val="20"/>
              </w:rPr>
            </w:pPr>
          </w:p>
        </w:tc>
        <w:tc>
          <w:tcPr>
            <w:tcW w:w="0" w:type="auto"/>
            <w:gridSpan w:val="3"/>
            <w:vAlign w:val="center"/>
            <w:hideMark/>
          </w:tcPr>
          <w:p w:rsidR="00000000" w:rsidRDefault="001F1FC8">
            <w:pPr>
              <w:rPr>
                <w:rFonts w:eastAsia="Times New Roman"/>
                <w:sz w:val="20"/>
                <w:szCs w:val="20"/>
              </w:rPr>
            </w:pPr>
          </w:p>
        </w:tc>
        <w:tc>
          <w:tcPr>
            <w:tcW w:w="0" w:type="auto"/>
            <w:gridSpan w:val="3"/>
            <w:vAlign w:val="center"/>
            <w:hideMark/>
          </w:tcPr>
          <w:p w:rsidR="00000000" w:rsidRDefault="001F1FC8">
            <w:pPr>
              <w:rPr>
                <w:rFonts w:eastAsia="Times New Roman"/>
                <w:sz w:val="20"/>
                <w:szCs w:val="20"/>
              </w:rPr>
            </w:pPr>
          </w:p>
        </w:tc>
        <w:tc>
          <w:tcPr>
            <w:tcW w:w="0" w:type="auto"/>
            <w:gridSpan w:val="3"/>
            <w:vAlign w:val="center"/>
            <w:hideMark/>
          </w:tcPr>
          <w:p w:rsidR="00000000" w:rsidRDefault="001F1FC8">
            <w:pPr>
              <w:rPr>
                <w:rFonts w:eastAsia="Times New Roman"/>
                <w:sz w:val="20"/>
                <w:szCs w:val="20"/>
              </w:rPr>
            </w:pPr>
          </w:p>
        </w:tc>
      </w:tr>
      <w:tr w:rsidR="00000000">
        <w:trPr>
          <w:divId w:val="1789396374"/>
        </w:trPr>
        <w:tc>
          <w:tcPr>
            <w:tcW w:w="0" w:type="auto"/>
            <w:gridSpan w:val="3"/>
            <w:vAlign w:val="center"/>
            <w:hideMark/>
          </w:tcPr>
          <w:p w:rsidR="00000000" w:rsidRDefault="001F1FC8">
            <w:pPr>
              <w:rPr>
                <w:rFonts w:eastAsia="Times New Roman"/>
                <w:sz w:val="20"/>
                <w:szCs w:val="20"/>
              </w:rPr>
            </w:pPr>
          </w:p>
        </w:tc>
        <w:tc>
          <w:tcPr>
            <w:tcW w:w="0" w:type="auto"/>
            <w:gridSpan w:val="3"/>
            <w:vAlign w:val="center"/>
            <w:hideMark/>
          </w:tcPr>
          <w:p w:rsidR="00000000" w:rsidRDefault="001F1FC8">
            <w:pPr>
              <w:rPr>
                <w:rFonts w:eastAsia="Times New Roman"/>
                <w:sz w:val="20"/>
                <w:szCs w:val="20"/>
              </w:rPr>
            </w:pPr>
          </w:p>
        </w:tc>
        <w:tc>
          <w:tcPr>
            <w:tcW w:w="0" w:type="auto"/>
            <w:gridSpan w:val="3"/>
            <w:vAlign w:val="center"/>
            <w:hideMark/>
          </w:tcPr>
          <w:p w:rsidR="00000000" w:rsidRDefault="001F1FC8">
            <w:pPr>
              <w:rPr>
                <w:rFonts w:eastAsia="Times New Roman"/>
                <w:sz w:val="20"/>
                <w:szCs w:val="20"/>
              </w:rPr>
            </w:pPr>
          </w:p>
        </w:tc>
        <w:tc>
          <w:tcPr>
            <w:tcW w:w="0" w:type="auto"/>
            <w:gridSpan w:val="3"/>
            <w:vAlign w:val="center"/>
            <w:hideMark/>
          </w:tcPr>
          <w:p w:rsidR="00000000" w:rsidRDefault="001F1FC8">
            <w:pPr>
              <w:rPr>
                <w:rFonts w:eastAsia="Times New Roman"/>
                <w:sz w:val="20"/>
                <w:szCs w:val="20"/>
              </w:rPr>
            </w:pPr>
          </w:p>
        </w:tc>
      </w:tr>
      <w:tr w:rsidR="00000000">
        <w:trPr>
          <w:divId w:val="1789396374"/>
        </w:trPr>
        <w:tc>
          <w:tcPr>
            <w:tcW w:w="0" w:type="auto"/>
            <w:gridSpan w:val="3"/>
            <w:vAlign w:val="center"/>
            <w:hideMark/>
          </w:tcPr>
          <w:p w:rsidR="00000000" w:rsidRDefault="001F1FC8">
            <w:pPr>
              <w:rPr>
                <w:rFonts w:eastAsia="Times New Roman"/>
                <w:sz w:val="20"/>
                <w:szCs w:val="20"/>
              </w:rPr>
            </w:pPr>
          </w:p>
        </w:tc>
        <w:tc>
          <w:tcPr>
            <w:tcW w:w="0" w:type="auto"/>
            <w:gridSpan w:val="3"/>
            <w:vAlign w:val="center"/>
            <w:hideMark/>
          </w:tcPr>
          <w:p w:rsidR="00000000" w:rsidRDefault="001F1FC8">
            <w:pPr>
              <w:rPr>
                <w:rFonts w:eastAsia="Times New Roman"/>
                <w:sz w:val="20"/>
                <w:szCs w:val="20"/>
              </w:rPr>
            </w:pPr>
          </w:p>
        </w:tc>
        <w:tc>
          <w:tcPr>
            <w:tcW w:w="0" w:type="auto"/>
            <w:gridSpan w:val="3"/>
            <w:vAlign w:val="center"/>
            <w:hideMark/>
          </w:tcPr>
          <w:p w:rsidR="00000000" w:rsidRDefault="001F1FC8">
            <w:pPr>
              <w:rPr>
                <w:rFonts w:eastAsia="Times New Roman"/>
                <w:sz w:val="20"/>
                <w:szCs w:val="20"/>
              </w:rPr>
            </w:pPr>
          </w:p>
        </w:tc>
        <w:tc>
          <w:tcPr>
            <w:tcW w:w="0" w:type="auto"/>
            <w:gridSpan w:val="3"/>
            <w:vAlign w:val="center"/>
            <w:hideMark/>
          </w:tcPr>
          <w:p w:rsidR="00000000" w:rsidRDefault="001F1FC8">
            <w:pPr>
              <w:rPr>
                <w:rFonts w:eastAsia="Times New Roman"/>
                <w:sz w:val="20"/>
                <w:szCs w:val="20"/>
              </w:rPr>
            </w:pPr>
          </w:p>
        </w:tc>
      </w:tr>
      <w:tr w:rsidR="00000000">
        <w:trPr>
          <w:divId w:val="1789396374"/>
        </w:trPr>
        <w:tc>
          <w:tcPr>
            <w:tcW w:w="0" w:type="auto"/>
            <w:gridSpan w:val="3"/>
            <w:vAlign w:val="center"/>
            <w:hideMark/>
          </w:tcPr>
          <w:p w:rsidR="00000000" w:rsidRDefault="001F1FC8">
            <w:pPr>
              <w:rPr>
                <w:rFonts w:eastAsia="Times New Roman"/>
                <w:sz w:val="20"/>
                <w:szCs w:val="20"/>
              </w:rPr>
            </w:pPr>
          </w:p>
        </w:tc>
        <w:tc>
          <w:tcPr>
            <w:tcW w:w="0" w:type="auto"/>
            <w:gridSpan w:val="3"/>
            <w:vAlign w:val="center"/>
            <w:hideMark/>
          </w:tcPr>
          <w:p w:rsidR="00000000" w:rsidRDefault="001F1FC8">
            <w:pPr>
              <w:rPr>
                <w:rFonts w:eastAsia="Times New Roman"/>
                <w:sz w:val="20"/>
                <w:szCs w:val="20"/>
              </w:rPr>
            </w:pPr>
          </w:p>
        </w:tc>
        <w:tc>
          <w:tcPr>
            <w:tcW w:w="0" w:type="auto"/>
            <w:gridSpan w:val="3"/>
            <w:vAlign w:val="center"/>
            <w:hideMark/>
          </w:tcPr>
          <w:p w:rsidR="00000000" w:rsidRDefault="001F1FC8">
            <w:pPr>
              <w:rPr>
                <w:rFonts w:eastAsia="Times New Roman"/>
                <w:sz w:val="20"/>
                <w:szCs w:val="20"/>
              </w:rPr>
            </w:pPr>
          </w:p>
        </w:tc>
        <w:tc>
          <w:tcPr>
            <w:tcW w:w="0" w:type="auto"/>
            <w:gridSpan w:val="3"/>
            <w:vAlign w:val="center"/>
            <w:hideMark/>
          </w:tcPr>
          <w:p w:rsidR="00000000" w:rsidRDefault="001F1FC8">
            <w:pPr>
              <w:rPr>
                <w:rFonts w:eastAsia="Times New Roman"/>
                <w:sz w:val="20"/>
                <w:szCs w:val="20"/>
              </w:rPr>
            </w:pPr>
          </w:p>
        </w:tc>
      </w:tr>
      <w:tr w:rsidR="00000000">
        <w:trPr>
          <w:divId w:val="1789396374"/>
        </w:trPr>
        <w:tc>
          <w:tcPr>
            <w:tcW w:w="0" w:type="auto"/>
            <w:gridSpan w:val="3"/>
            <w:tcMar>
              <w:top w:w="30" w:type="dxa"/>
              <w:left w:w="245" w:type="dxa"/>
              <w:bottom w:w="30" w:type="dxa"/>
              <w:right w:w="20" w:type="dxa"/>
            </w:tcMar>
            <w:vAlign w:val="center"/>
            <w:hideMark/>
          </w:tcPr>
          <w:p w:rsidR="00000000" w:rsidRDefault="001F1FC8">
            <w:pPr>
              <w:rPr>
                <w:rFonts w:eastAsia="Times New Roman"/>
              </w:rPr>
            </w:pPr>
            <w:r>
              <w:rPr>
                <w:rFonts w:ascii="Arial" w:eastAsia="Times New Roman" w:hAnsi="Arial" w:cs="Arial"/>
                <w:color w:val="000000"/>
                <w:sz w:val="16"/>
                <w:szCs w:val="16"/>
              </w:rPr>
              <w:t>Redemption of noncontrolling interests</w:t>
            </w:r>
          </w:p>
        </w:tc>
        <w:tc>
          <w:tcPr>
            <w:tcW w:w="0" w:type="auto"/>
            <w:gridSpan w:val="2"/>
            <w:shd w:val="clear" w:color="auto" w:fill="D8D8D8"/>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b/>
                <w:bCs/>
                <w:color w:val="000000"/>
                <w:sz w:val="16"/>
                <w:szCs w:val="16"/>
              </w:rPr>
              <w:t>(293)</w:t>
            </w:r>
          </w:p>
        </w:tc>
        <w:tc>
          <w:tcPr>
            <w:tcW w:w="0" w:type="auto"/>
            <w:shd w:val="clear" w:color="auto" w:fill="D8D8D8"/>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16"/>
                <w:szCs w:val="16"/>
              </w:rPr>
              <w:t>(112)</w:t>
            </w:r>
          </w:p>
        </w:tc>
        <w:tc>
          <w:tcPr>
            <w:tcW w:w="0" w:type="auto"/>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16"/>
                <w:szCs w:val="16"/>
              </w:rPr>
              <w:t>(300)</w:t>
            </w:r>
          </w:p>
        </w:tc>
        <w:tc>
          <w:tcPr>
            <w:tcW w:w="0" w:type="auto"/>
            <w:tcMar>
              <w:top w:w="30" w:type="dxa"/>
              <w:left w:w="0" w:type="dxa"/>
              <w:bottom w:w="30" w:type="dxa"/>
              <w:right w:w="20" w:type="dxa"/>
            </w:tcMar>
            <w:vAlign w:val="center"/>
            <w:hideMark/>
          </w:tcPr>
          <w:p w:rsidR="00000000" w:rsidRDefault="001F1FC8">
            <w:pPr>
              <w:jc w:val="right"/>
              <w:rPr>
                <w:rFonts w:eastAsia="Times New Roman"/>
              </w:rPr>
            </w:pPr>
          </w:p>
        </w:tc>
      </w:tr>
      <w:tr w:rsidR="00000000">
        <w:trPr>
          <w:divId w:val="1789396374"/>
        </w:trPr>
        <w:tc>
          <w:tcPr>
            <w:tcW w:w="0" w:type="auto"/>
            <w:gridSpan w:val="3"/>
            <w:tcMar>
              <w:top w:w="30" w:type="dxa"/>
              <w:left w:w="245" w:type="dxa"/>
              <w:bottom w:w="30" w:type="dxa"/>
              <w:right w:w="20" w:type="dxa"/>
            </w:tcMar>
            <w:vAlign w:val="center"/>
            <w:hideMark/>
          </w:tcPr>
          <w:p w:rsidR="00000000" w:rsidRDefault="001F1FC8">
            <w:pPr>
              <w:rPr>
                <w:rFonts w:eastAsia="Times New Roman"/>
              </w:rPr>
            </w:pPr>
            <w:r>
              <w:rPr>
                <w:rFonts w:ascii="Arial" w:eastAsia="Times New Roman" w:hAnsi="Arial" w:cs="Arial"/>
                <w:color w:val="000000"/>
                <w:sz w:val="16"/>
                <w:szCs w:val="16"/>
              </w:rPr>
              <w:t>Repurchase of noncontrolling interest</w:t>
            </w:r>
          </w:p>
        </w:tc>
        <w:tc>
          <w:tcPr>
            <w:tcW w:w="0" w:type="auto"/>
            <w:gridSpan w:val="2"/>
            <w:shd w:val="clear" w:color="auto" w:fill="D8D8D8"/>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8D8D8"/>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16"/>
                <w:szCs w:val="16"/>
              </w:rPr>
              <w:t>(65)</w:t>
            </w:r>
          </w:p>
        </w:tc>
        <w:tc>
          <w:tcPr>
            <w:tcW w:w="0" w:type="auto"/>
            <w:tcMar>
              <w:top w:w="30" w:type="dxa"/>
              <w:left w:w="0" w:type="dxa"/>
              <w:bottom w:w="30" w:type="dxa"/>
              <w:right w:w="20" w:type="dxa"/>
            </w:tcMar>
            <w:vAlign w:val="center"/>
            <w:hideMark/>
          </w:tcPr>
          <w:p w:rsidR="00000000" w:rsidRDefault="001F1FC8">
            <w:pPr>
              <w:jc w:val="right"/>
              <w:rPr>
                <w:rFonts w:eastAsia="Times New Roman"/>
              </w:rPr>
            </w:pPr>
          </w:p>
        </w:tc>
      </w:tr>
      <w:tr w:rsidR="00000000">
        <w:trPr>
          <w:divId w:val="1789396374"/>
        </w:trPr>
        <w:tc>
          <w:tcPr>
            <w:tcW w:w="0" w:type="auto"/>
            <w:gridSpan w:val="3"/>
            <w:tcMar>
              <w:top w:w="30" w:type="dxa"/>
              <w:left w:w="245" w:type="dxa"/>
              <w:bottom w:w="30" w:type="dxa"/>
              <w:right w:w="20" w:type="dxa"/>
            </w:tcMar>
            <w:vAlign w:val="center"/>
            <w:hideMark/>
          </w:tcPr>
          <w:p w:rsidR="00000000" w:rsidRDefault="001F1FC8">
            <w:pPr>
              <w:rPr>
                <w:rFonts w:eastAsia="Times New Roman"/>
              </w:rPr>
            </w:pPr>
            <w:r>
              <w:rPr>
                <w:rFonts w:ascii="Arial" w:eastAsia="Times New Roman" w:hAnsi="Arial" w:cs="Arial"/>
                <w:color w:val="000000"/>
                <w:sz w:val="16"/>
                <w:szCs w:val="16"/>
              </w:rPr>
              <w:t>Other</w:t>
            </w:r>
          </w:p>
        </w:tc>
        <w:tc>
          <w:tcPr>
            <w:tcW w:w="0" w:type="auto"/>
            <w:gridSpan w:val="2"/>
            <w:shd w:val="clear" w:color="auto" w:fill="D8D8D8"/>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8D8D8"/>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16"/>
                <w:szCs w:val="16"/>
              </w:rPr>
              <w:t>(1)</w:t>
            </w:r>
          </w:p>
        </w:tc>
        <w:tc>
          <w:tcPr>
            <w:tcW w:w="0" w:type="auto"/>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16"/>
                <w:szCs w:val="16"/>
              </w:rPr>
              <w:t>(1)</w:t>
            </w:r>
          </w:p>
        </w:tc>
        <w:tc>
          <w:tcPr>
            <w:tcW w:w="0" w:type="auto"/>
            <w:tcMar>
              <w:top w:w="30" w:type="dxa"/>
              <w:left w:w="0" w:type="dxa"/>
              <w:bottom w:w="30" w:type="dxa"/>
              <w:right w:w="20" w:type="dxa"/>
            </w:tcMar>
            <w:vAlign w:val="center"/>
            <w:hideMark/>
          </w:tcPr>
          <w:p w:rsidR="00000000" w:rsidRDefault="001F1FC8">
            <w:pPr>
              <w:jc w:val="right"/>
              <w:rPr>
                <w:rFonts w:eastAsia="Times New Roman"/>
              </w:rPr>
            </w:pPr>
          </w:p>
        </w:tc>
      </w:tr>
      <w:tr w:rsidR="00000000">
        <w:trPr>
          <w:divId w:val="1789396374"/>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1F1FC8">
            <w:pPr>
              <w:rPr>
                <w:rFonts w:eastAsia="Times New Roman"/>
              </w:rPr>
            </w:pPr>
            <w:r>
              <w:rPr>
                <w:rFonts w:ascii="Arial" w:eastAsia="Times New Roman" w:hAnsi="Arial" w:cs="Arial"/>
                <w:color w:val="000000"/>
                <w:sz w:val="16"/>
                <w:szCs w:val="16"/>
              </w:rPr>
              <w:t>Balance at end of year</w:t>
            </w:r>
          </w:p>
        </w:tc>
        <w:tc>
          <w:tcPr>
            <w:tcW w:w="0" w:type="auto"/>
            <w:gridSpan w:val="2"/>
            <w:tcBorders>
              <w:top w:val="single" w:sz="4" w:space="0" w:color="000000"/>
            </w:tcBorders>
            <w:shd w:val="clear" w:color="auto" w:fill="D8D8D8"/>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b/>
                <w:bCs/>
                <w:color w:val="000000"/>
                <w:sz w:val="16"/>
                <w:szCs w:val="16"/>
              </w:rPr>
              <w:t>2,542</w:t>
            </w:r>
            <w:r>
              <w:rPr>
                <w:rFonts w:ascii="Arial" w:eastAsia="Times New Roman" w:hAnsi="Arial" w:cs="Arial"/>
                <w:color w:val="000000"/>
                <w:sz w:val="16"/>
                <w:szCs w:val="16"/>
              </w:rPr>
              <w:t> </w:t>
            </w:r>
          </w:p>
        </w:tc>
        <w:tc>
          <w:tcPr>
            <w:tcW w:w="0" w:type="auto"/>
            <w:tcBorders>
              <w:top w:val="single" w:sz="4" w:space="0" w:color="000000"/>
            </w:tcBorders>
            <w:shd w:val="clear" w:color="auto" w:fill="D8D8D8"/>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16"/>
                <w:szCs w:val="16"/>
              </w:rPr>
              <w:t>2,996 </w:t>
            </w:r>
          </w:p>
        </w:tc>
        <w:tc>
          <w:tcPr>
            <w:tcW w:w="0" w:type="auto"/>
            <w:tcBorders>
              <w:top w:val="single" w:sz="4" w:space="0" w:color="000000"/>
            </w:tcBorders>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16"/>
                <w:szCs w:val="16"/>
              </w:rPr>
              <w:t>3,364 </w:t>
            </w:r>
          </w:p>
        </w:tc>
        <w:tc>
          <w:tcPr>
            <w:tcW w:w="0" w:type="auto"/>
            <w:tcBorders>
              <w:top w:val="single" w:sz="4" w:space="0" w:color="000000"/>
            </w:tcBorders>
            <w:tcMar>
              <w:top w:w="30" w:type="dxa"/>
              <w:left w:w="0" w:type="dxa"/>
              <w:bottom w:w="30" w:type="dxa"/>
              <w:right w:w="20" w:type="dxa"/>
            </w:tcMar>
            <w:vAlign w:val="center"/>
            <w:hideMark/>
          </w:tcPr>
          <w:p w:rsidR="00000000" w:rsidRDefault="001F1FC8">
            <w:pPr>
              <w:jc w:val="right"/>
              <w:rPr>
                <w:rFonts w:eastAsia="Times New Roman"/>
              </w:rPr>
            </w:pPr>
          </w:p>
        </w:tc>
      </w:tr>
      <w:tr w:rsidR="00000000">
        <w:trPr>
          <w:divId w:val="1789396374"/>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1F1FC8">
            <w:pPr>
              <w:rPr>
                <w:rFonts w:eastAsia="Times New Roman"/>
              </w:rPr>
            </w:pPr>
            <w:r>
              <w:rPr>
                <w:rFonts w:ascii="Arial" w:eastAsia="Times New Roman" w:hAnsi="Arial" w:cs="Arial"/>
                <w:color w:val="000000"/>
                <w:sz w:val="16"/>
                <w:szCs w:val="16"/>
              </w:rPr>
              <w:t>Total equity</w:t>
            </w:r>
          </w:p>
        </w:tc>
        <w:tc>
          <w:tcPr>
            <w:tcW w:w="0" w:type="auto"/>
            <w:gridSpan w:val="2"/>
            <w:tcBorders>
              <w:top w:val="single" w:sz="4" w:space="0" w:color="000000"/>
            </w:tcBorders>
            <w:shd w:val="clear" w:color="auto" w:fill="D8D8D8"/>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b/>
                <w:bCs/>
                <w:color w:val="000000"/>
                <w:sz w:val="16"/>
                <w:szCs w:val="16"/>
              </w:rPr>
              <w:t>63,368</w:t>
            </w:r>
            <w:r>
              <w:rPr>
                <w:rFonts w:ascii="Arial" w:eastAsia="Times New Roman" w:hAnsi="Arial" w:cs="Arial"/>
                <w:color w:val="000000"/>
                <w:sz w:val="16"/>
                <w:szCs w:val="16"/>
              </w:rPr>
              <w:t> </w:t>
            </w:r>
          </w:p>
        </w:tc>
        <w:tc>
          <w:tcPr>
            <w:tcW w:w="0" w:type="auto"/>
            <w:tcBorders>
              <w:top w:val="single" w:sz="4" w:space="0" w:color="000000"/>
            </w:tcBorders>
            <w:shd w:val="clear" w:color="auto" w:fill="D8D8D8"/>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16"/>
                <w:szCs w:val="16"/>
              </w:rPr>
              <w:t>64,363 </w:t>
            </w:r>
          </w:p>
        </w:tc>
        <w:tc>
          <w:tcPr>
            <w:tcW w:w="0" w:type="auto"/>
            <w:tcBorders>
              <w:top w:val="single" w:sz="4" w:space="0" w:color="000000"/>
            </w:tcBorders>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16"/>
                <w:szCs w:val="16"/>
              </w:rPr>
              <w:t>69,407 </w:t>
            </w:r>
          </w:p>
        </w:tc>
        <w:tc>
          <w:tcPr>
            <w:tcW w:w="0" w:type="auto"/>
            <w:tcBorders>
              <w:top w:val="single" w:sz="4" w:space="0" w:color="000000"/>
            </w:tcBorders>
            <w:tcMar>
              <w:top w:w="30" w:type="dxa"/>
              <w:left w:w="0" w:type="dxa"/>
              <w:bottom w:w="30" w:type="dxa"/>
              <w:right w:w="20" w:type="dxa"/>
            </w:tcMar>
            <w:vAlign w:val="center"/>
            <w:hideMark/>
          </w:tcPr>
          <w:p w:rsidR="00000000" w:rsidRDefault="001F1FC8">
            <w:pPr>
              <w:jc w:val="right"/>
              <w:rPr>
                <w:rFonts w:eastAsia="Times New Roman"/>
              </w:rPr>
            </w:pPr>
          </w:p>
        </w:tc>
      </w:tr>
      <w:tr w:rsidR="00000000">
        <w:trPr>
          <w:divId w:val="1789396374"/>
        </w:trPr>
        <w:tc>
          <w:tcPr>
            <w:tcW w:w="0" w:type="auto"/>
            <w:gridSpan w:val="3"/>
            <w:tcBorders>
              <w:top w:val="single" w:sz="8" w:space="0" w:color="000000"/>
              <w:bottom w:val="single" w:sz="8" w:space="0" w:color="000000"/>
            </w:tcBorders>
            <w:tcMar>
              <w:top w:w="30" w:type="dxa"/>
              <w:left w:w="20" w:type="dxa"/>
              <w:bottom w:w="30" w:type="dxa"/>
              <w:right w:w="20" w:type="dxa"/>
            </w:tcMar>
            <w:vAlign w:val="center"/>
            <w:hideMark/>
          </w:tcPr>
          <w:p w:rsidR="00000000" w:rsidRDefault="001F1FC8">
            <w:pPr>
              <w:rPr>
                <w:rFonts w:eastAsia="Times New Roman"/>
              </w:rPr>
            </w:pPr>
            <w:r>
              <w:rPr>
                <w:rFonts w:ascii="Arial" w:eastAsia="Times New Roman" w:hAnsi="Arial" w:cs="Arial"/>
                <w:color w:val="000000"/>
                <w:sz w:val="16"/>
                <w:szCs w:val="16"/>
              </w:rPr>
              <w:t>Dividends paid per common share</w:t>
            </w:r>
          </w:p>
        </w:tc>
        <w:tc>
          <w:tcPr>
            <w:tcW w:w="0" w:type="auto"/>
            <w:gridSpan w:val="2"/>
            <w:tcBorders>
              <w:top w:val="single" w:sz="8" w:space="0" w:color="000000"/>
              <w:bottom w:val="single" w:sz="8" w:space="0" w:color="000000"/>
            </w:tcBorders>
            <w:shd w:val="clear" w:color="auto" w:fill="D8D8D8"/>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b/>
                <w:bCs/>
                <w:color w:val="000000"/>
                <w:sz w:val="16"/>
                <w:szCs w:val="16"/>
              </w:rPr>
              <w:t>3.34</w:t>
            </w:r>
            <w:r>
              <w:rPr>
                <w:rFonts w:ascii="Arial" w:eastAsia="Times New Roman" w:hAnsi="Arial" w:cs="Arial"/>
                <w:color w:val="000000"/>
                <w:sz w:val="16"/>
                <w:szCs w:val="16"/>
              </w:rPr>
              <w:t> </w:t>
            </w:r>
          </w:p>
        </w:tc>
        <w:tc>
          <w:tcPr>
            <w:tcW w:w="0" w:type="auto"/>
            <w:tcBorders>
              <w:top w:val="single" w:sz="8" w:space="0" w:color="000000"/>
              <w:bottom w:val="single" w:sz="8" w:space="0" w:color="000000"/>
            </w:tcBorders>
            <w:shd w:val="clear" w:color="auto" w:fill="D8D8D8"/>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Borders>
              <w:top w:val="single" w:sz="8" w:space="0" w:color="000000"/>
              <w:bottom w:val="single" w:sz="8" w:space="0" w:color="000000"/>
            </w:tcBorders>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16"/>
                <w:szCs w:val="16"/>
              </w:rPr>
              <w:t>3.24 </w:t>
            </w:r>
          </w:p>
        </w:tc>
        <w:tc>
          <w:tcPr>
            <w:tcW w:w="0" w:type="auto"/>
            <w:tcBorders>
              <w:top w:val="single" w:sz="8" w:space="0" w:color="000000"/>
              <w:bottom w:val="single" w:sz="8" w:space="0" w:color="000000"/>
            </w:tcBorders>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Borders>
              <w:top w:val="single" w:sz="8" w:space="0" w:color="000000"/>
              <w:bottom w:val="single" w:sz="8" w:space="0" w:color="000000"/>
            </w:tcBorders>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16"/>
                <w:szCs w:val="16"/>
              </w:rPr>
              <w:t>2.95 </w:t>
            </w:r>
          </w:p>
        </w:tc>
        <w:tc>
          <w:tcPr>
            <w:tcW w:w="0" w:type="auto"/>
            <w:tcBorders>
              <w:top w:val="single" w:sz="8" w:space="0" w:color="000000"/>
              <w:bottom w:val="single" w:sz="8" w:space="0" w:color="000000"/>
            </w:tcBorders>
            <w:tcMar>
              <w:top w:w="30" w:type="dxa"/>
              <w:left w:w="0" w:type="dxa"/>
              <w:bottom w:w="30" w:type="dxa"/>
              <w:right w:w="20" w:type="dxa"/>
            </w:tcMar>
            <w:vAlign w:val="center"/>
            <w:hideMark/>
          </w:tcPr>
          <w:p w:rsidR="00000000" w:rsidRDefault="001F1FC8">
            <w:pPr>
              <w:jc w:val="right"/>
              <w:rPr>
                <w:rFonts w:eastAsia="Times New Roman"/>
              </w:rPr>
            </w:pPr>
          </w:p>
        </w:tc>
      </w:tr>
    </w:tbl>
    <w:p w:rsidR="00000000" w:rsidRDefault="001F1FC8">
      <w:pPr>
        <w:jc w:val="both"/>
        <w:rPr>
          <w:rFonts w:eastAsia="Times New Roman"/>
        </w:rPr>
      </w:pPr>
      <w:r>
        <w:rPr>
          <w:rFonts w:ascii="Arial" w:eastAsia="Times New Roman" w:hAnsi="Arial" w:cs="Arial"/>
          <w:color w:val="000000"/>
          <w:sz w:val="4"/>
          <w:szCs w:val="4"/>
        </w:rPr>
        <w:t> </w:t>
      </w:r>
      <w:r>
        <w:rPr>
          <w:rFonts w:ascii="Arial" w:eastAsia="Times New Roman" w:hAnsi="Arial" w:cs="Arial"/>
          <w:color w:val="000000"/>
          <w:sz w:val="16"/>
          <w:szCs w:val="16"/>
        </w:rPr>
        <w:t>The accompanying notes are an integral part of these consolidated financial statements.</w:t>
      </w:r>
    </w:p>
    <w:p w:rsidR="00000000" w:rsidRDefault="001F1FC8">
      <w:pPr>
        <w:jc w:val="both"/>
        <w:rPr>
          <w:rFonts w:eastAsia="Times New Roman"/>
        </w:rPr>
      </w:pPr>
    </w:p>
    <w:p w:rsidR="00000000" w:rsidRDefault="001F1FC8">
      <w:pPr>
        <w:jc w:val="center"/>
        <w:divId w:val="1294677827"/>
        <w:rPr>
          <w:rFonts w:eastAsia="Times New Roman"/>
        </w:rPr>
      </w:pPr>
      <w:r>
        <w:rPr>
          <w:rFonts w:ascii="Arial" w:eastAsia="Times New Roman" w:hAnsi="Arial" w:cs="Arial"/>
          <w:color w:val="000000"/>
          <w:sz w:val="20"/>
          <w:szCs w:val="20"/>
        </w:rPr>
        <w:t>99</w:t>
      </w:r>
    </w:p>
    <w:p w:rsidR="00000000" w:rsidRDefault="001F1FC8">
      <w:pPr>
        <w:rPr>
          <w:rFonts w:eastAsia="Times New Roman"/>
        </w:rPr>
      </w:pPr>
      <w:r>
        <w:rPr>
          <w:rFonts w:eastAsia="Times New Roman"/>
        </w:rPr>
        <w:pict>
          <v:rect id="_x0000_i1129" style="width:0;height:1.5pt" o:hralign="center" o:hrstd="t" o:hr="t" fillcolor="#a0a0a0" stroked="f"/>
        </w:pict>
      </w:r>
    </w:p>
    <w:p w:rsidR="00000000" w:rsidRDefault="001F1FC8">
      <w:pPr>
        <w:jc w:val="center"/>
        <w:divId w:val="417603711"/>
        <w:rPr>
          <w:rFonts w:eastAsia="Times New Roman"/>
        </w:rPr>
      </w:pPr>
    </w:p>
    <w:p w:rsidR="00000000" w:rsidRDefault="001F1FC8">
      <w:pPr>
        <w:jc w:val="center"/>
        <w:rPr>
          <w:rFonts w:eastAsia="Times New Roman"/>
        </w:rPr>
      </w:pPr>
      <w:r>
        <w:rPr>
          <w:rFonts w:ascii="Arial" w:eastAsia="Times New Roman" w:hAnsi="Arial" w:cs="Arial"/>
          <w:b/>
          <w:bCs/>
          <w:color w:val="000000"/>
          <w:sz w:val="30"/>
          <w:szCs w:val="30"/>
        </w:rPr>
        <w:t>ENBRIDGE INC.</w:t>
      </w:r>
    </w:p>
    <w:p w:rsidR="00000000" w:rsidRDefault="001F1FC8">
      <w:pPr>
        <w:jc w:val="center"/>
        <w:rPr>
          <w:rFonts w:eastAsia="Times New Roman"/>
        </w:rPr>
      </w:pPr>
      <w:r>
        <w:rPr>
          <w:rFonts w:ascii="Arial" w:eastAsia="Times New Roman" w:hAnsi="Arial" w:cs="Arial"/>
          <w:b/>
          <w:bCs/>
          <w:color w:val="000000"/>
          <w:sz w:val="30"/>
          <w:szCs w:val="30"/>
        </w:rPr>
        <w:t>CONSOLIDATED STATEMENTS OF CASH FLOWS</w:t>
      </w:r>
    </w:p>
    <w:tbl>
      <w:tblPr>
        <w:tblW w:w="5000" w:type="pct"/>
        <w:tblCellMar>
          <w:top w:w="15" w:type="dxa"/>
          <w:left w:w="15" w:type="dxa"/>
          <w:bottom w:w="15" w:type="dxa"/>
          <w:right w:w="15" w:type="dxa"/>
        </w:tblCellMar>
        <w:tblLook w:val="04A0" w:firstRow="1" w:lastRow="0" w:firstColumn="1" w:lastColumn="0" w:noHBand="0" w:noVBand="1"/>
      </w:tblPr>
      <w:tblGrid>
        <w:gridCol w:w="69"/>
        <w:gridCol w:w="5767"/>
        <w:gridCol w:w="39"/>
        <w:gridCol w:w="72"/>
        <w:gridCol w:w="702"/>
        <w:gridCol w:w="36"/>
        <w:gridCol w:w="69"/>
        <w:gridCol w:w="705"/>
        <w:gridCol w:w="36"/>
        <w:gridCol w:w="69"/>
        <w:gridCol w:w="706"/>
        <w:gridCol w:w="36"/>
      </w:tblGrid>
      <w:tr w:rsidR="00000000">
        <w:trPr>
          <w:divId w:val="1725639643"/>
        </w:trPr>
        <w:tc>
          <w:tcPr>
            <w:tcW w:w="50" w:type="pct"/>
            <w:vAlign w:val="center"/>
            <w:hideMark/>
          </w:tcPr>
          <w:p w:rsidR="00000000" w:rsidRDefault="001F1FC8">
            <w:pPr>
              <w:jc w:val="center"/>
              <w:rPr>
                <w:rFonts w:eastAsia="Times New Roman"/>
              </w:rPr>
            </w:pPr>
          </w:p>
        </w:tc>
        <w:tc>
          <w:tcPr>
            <w:tcW w:w="3478"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c>
          <w:tcPr>
            <w:tcW w:w="50" w:type="pct"/>
            <w:vAlign w:val="center"/>
            <w:hideMark/>
          </w:tcPr>
          <w:p w:rsidR="00000000" w:rsidRDefault="001F1FC8">
            <w:pPr>
              <w:rPr>
                <w:rFonts w:eastAsia="Times New Roman"/>
                <w:sz w:val="20"/>
                <w:szCs w:val="20"/>
              </w:rPr>
            </w:pPr>
          </w:p>
        </w:tc>
        <w:tc>
          <w:tcPr>
            <w:tcW w:w="433"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c>
          <w:tcPr>
            <w:tcW w:w="50" w:type="pct"/>
            <w:vAlign w:val="center"/>
            <w:hideMark/>
          </w:tcPr>
          <w:p w:rsidR="00000000" w:rsidRDefault="001F1FC8">
            <w:pPr>
              <w:rPr>
                <w:rFonts w:eastAsia="Times New Roman"/>
                <w:sz w:val="20"/>
                <w:szCs w:val="20"/>
              </w:rPr>
            </w:pPr>
          </w:p>
        </w:tc>
        <w:tc>
          <w:tcPr>
            <w:tcW w:w="433"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c>
          <w:tcPr>
            <w:tcW w:w="50" w:type="pct"/>
            <w:vAlign w:val="center"/>
            <w:hideMark/>
          </w:tcPr>
          <w:p w:rsidR="00000000" w:rsidRDefault="001F1FC8">
            <w:pPr>
              <w:rPr>
                <w:rFonts w:eastAsia="Times New Roman"/>
                <w:sz w:val="20"/>
                <w:szCs w:val="20"/>
              </w:rPr>
            </w:pPr>
          </w:p>
        </w:tc>
        <w:tc>
          <w:tcPr>
            <w:tcW w:w="433"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r>
      <w:tr w:rsidR="00000000">
        <w:trPr>
          <w:divId w:val="1725639643"/>
        </w:trPr>
        <w:tc>
          <w:tcPr>
            <w:tcW w:w="0" w:type="auto"/>
            <w:gridSpan w:val="3"/>
            <w:tcMar>
              <w:top w:w="30" w:type="dxa"/>
              <w:left w:w="20" w:type="dxa"/>
              <w:bottom w:w="30" w:type="dxa"/>
              <w:right w:w="20" w:type="dxa"/>
            </w:tcMar>
            <w:vAlign w:val="center"/>
            <w:hideMark/>
          </w:tcPr>
          <w:p w:rsidR="00000000" w:rsidRDefault="001F1FC8">
            <w:pPr>
              <w:rPr>
                <w:rFonts w:eastAsia="Times New Roman"/>
              </w:rPr>
            </w:pPr>
            <w:r>
              <w:rPr>
                <w:rFonts w:ascii="Arial" w:eastAsia="Times New Roman" w:hAnsi="Arial" w:cs="Arial"/>
                <w:color w:val="000000"/>
                <w:sz w:val="18"/>
                <w:szCs w:val="18"/>
              </w:rPr>
              <w:t>Year ended December 31,</w:t>
            </w:r>
          </w:p>
        </w:tc>
        <w:tc>
          <w:tcPr>
            <w:tcW w:w="0" w:type="auto"/>
            <w:gridSpan w:val="3"/>
            <w:tcMar>
              <w:top w:w="30" w:type="dxa"/>
              <w:left w:w="20" w:type="dxa"/>
              <w:bottom w:w="30" w:type="dxa"/>
              <w:right w:w="20" w:type="dxa"/>
            </w:tcMar>
            <w:vAlign w:val="center"/>
            <w:hideMark/>
          </w:tcPr>
          <w:p w:rsidR="00000000" w:rsidRDefault="001F1FC8">
            <w:pPr>
              <w:jc w:val="right"/>
              <w:rPr>
                <w:rFonts w:eastAsia="Times New Roman"/>
              </w:rPr>
            </w:pPr>
            <w:r>
              <w:rPr>
                <w:rFonts w:ascii="Arial" w:eastAsia="Times New Roman" w:hAnsi="Arial" w:cs="Arial"/>
                <w:b/>
                <w:bCs/>
                <w:color w:val="000000"/>
                <w:sz w:val="18"/>
                <w:szCs w:val="18"/>
              </w:rPr>
              <w:t>2021</w:t>
            </w:r>
          </w:p>
        </w:tc>
        <w:tc>
          <w:tcPr>
            <w:tcW w:w="0" w:type="auto"/>
            <w:gridSpan w:val="3"/>
            <w:tcMar>
              <w:top w:w="30" w:type="dxa"/>
              <w:left w:w="20" w:type="dxa"/>
              <w:bottom w:w="30" w:type="dxa"/>
              <w:right w:w="20" w:type="dxa"/>
            </w:tcMar>
            <w:vAlign w:val="center"/>
            <w:hideMark/>
          </w:tcPr>
          <w:p w:rsidR="00000000" w:rsidRDefault="001F1FC8">
            <w:pPr>
              <w:jc w:val="right"/>
              <w:rPr>
                <w:rFonts w:eastAsia="Times New Roman"/>
              </w:rPr>
            </w:pPr>
            <w:r>
              <w:rPr>
                <w:rFonts w:ascii="Arial" w:eastAsia="Times New Roman" w:hAnsi="Arial" w:cs="Arial"/>
                <w:color w:val="000000"/>
                <w:sz w:val="18"/>
                <w:szCs w:val="18"/>
              </w:rPr>
              <w:t>2020</w:t>
            </w:r>
          </w:p>
        </w:tc>
        <w:tc>
          <w:tcPr>
            <w:tcW w:w="0" w:type="auto"/>
            <w:gridSpan w:val="3"/>
            <w:tcMar>
              <w:top w:w="30" w:type="dxa"/>
              <w:left w:w="20" w:type="dxa"/>
              <w:bottom w:w="30" w:type="dxa"/>
              <w:right w:w="20" w:type="dxa"/>
            </w:tcMar>
            <w:vAlign w:val="center"/>
            <w:hideMark/>
          </w:tcPr>
          <w:p w:rsidR="00000000" w:rsidRDefault="001F1FC8">
            <w:pPr>
              <w:jc w:val="right"/>
              <w:rPr>
                <w:rFonts w:eastAsia="Times New Roman"/>
              </w:rPr>
            </w:pPr>
            <w:r>
              <w:rPr>
                <w:rFonts w:ascii="Arial" w:eastAsia="Times New Roman" w:hAnsi="Arial" w:cs="Arial"/>
                <w:color w:val="000000"/>
                <w:sz w:val="18"/>
                <w:szCs w:val="18"/>
              </w:rPr>
              <w:t>2019</w:t>
            </w:r>
          </w:p>
        </w:tc>
      </w:tr>
      <w:tr w:rsidR="00000000">
        <w:trPr>
          <w:divId w:val="1725639643"/>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1F1FC8">
            <w:pPr>
              <w:rPr>
                <w:rFonts w:eastAsia="Times New Roman"/>
              </w:rPr>
            </w:pPr>
            <w:r>
              <w:rPr>
                <w:rFonts w:ascii="Arial" w:eastAsia="Times New Roman" w:hAnsi="Arial" w:cs="Arial"/>
                <w:i/>
                <w:iCs/>
                <w:color w:val="000000"/>
                <w:sz w:val="14"/>
                <w:szCs w:val="14"/>
              </w:rPr>
              <w:t>(millions of Canadian dollars)</w:t>
            </w:r>
          </w:p>
        </w:tc>
        <w:tc>
          <w:tcPr>
            <w:tcW w:w="0" w:type="auto"/>
            <w:gridSpan w:val="3"/>
            <w:tcBorders>
              <w:top w:val="single" w:sz="4" w:space="0" w:color="000000"/>
            </w:tcBorders>
            <w:shd w:val="clear" w:color="auto" w:fill="D8D8D8"/>
            <w:tcMar>
              <w:top w:w="0" w:type="dxa"/>
              <w:left w:w="20" w:type="dxa"/>
              <w:bottom w:w="0" w:type="dxa"/>
              <w:right w:w="20" w:type="dxa"/>
            </w:tcMar>
            <w:vAlign w:val="center"/>
            <w:hideMark/>
          </w:tcPr>
          <w:p w:rsidR="00000000" w:rsidRDefault="001F1FC8">
            <w:pPr>
              <w:rPr>
                <w:rFonts w:eastAsia="Times New Roman"/>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1F1FC8">
            <w:pPr>
              <w:rPr>
                <w:rFonts w:eastAsia="Times New Roman"/>
                <w:sz w:val="20"/>
                <w:szCs w:val="20"/>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1F1FC8">
            <w:pPr>
              <w:rPr>
                <w:rFonts w:eastAsia="Times New Roman"/>
                <w:sz w:val="20"/>
                <w:szCs w:val="20"/>
              </w:rPr>
            </w:pPr>
          </w:p>
        </w:tc>
      </w:tr>
      <w:tr w:rsidR="00000000">
        <w:trPr>
          <w:divId w:val="1725639643"/>
        </w:trPr>
        <w:tc>
          <w:tcPr>
            <w:tcW w:w="0" w:type="auto"/>
            <w:gridSpan w:val="3"/>
            <w:tcMar>
              <w:top w:w="30" w:type="dxa"/>
              <w:left w:w="20" w:type="dxa"/>
              <w:bottom w:w="30" w:type="dxa"/>
              <w:right w:w="20" w:type="dxa"/>
            </w:tcMar>
            <w:vAlign w:val="center"/>
            <w:hideMark/>
          </w:tcPr>
          <w:p w:rsidR="00000000" w:rsidRDefault="001F1FC8">
            <w:pPr>
              <w:rPr>
                <w:rFonts w:eastAsia="Times New Roman"/>
              </w:rPr>
            </w:pPr>
            <w:r>
              <w:rPr>
                <w:rFonts w:ascii="Arial" w:eastAsia="Times New Roman" w:hAnsi="Arial" w:cs="Arial"/>
                <w:b/>
                <w:bCs/>
                <w:color w:val="000000"/>
                <w:sz w:val="18"/>
                <w:szCs w:val="18"/>
              </w:rPr>
              <w:t>Operating activities</w:t>
            </w:r>
          </w:p>
        </w:tc>
        <w:tc>
          <w:tcPr>
            <w:tcW w:w="0" w:type="auto"/>
            <w:gridSpan w:val="3"/>
            <w:shd w:val="clear" w:color="auto" w:fill="D8D8D8"/>
            <w:tcMar>
              <w:top w:w="30" w:type="dxa"/>
              <w:left w:w="20" w:type="dxa"/>
              <w:bottom w:w="30" w:type="dxa"/>
              <w:right w:w="20" w:type="dxa"/>
            </w:tcMar>
            <w:vAlign w:val="center"/>
            <w:hideMark/>
          </w:tcPr>
          <w:p w:rsidR="00000000" w:rsidRDefault="001F1FC8">
            <w:pPr>
              <w:jc w:val="right"/>
              <w:rPr>
                <w:rFonts w:eastAsia="Times New Roman"/>
              </w:rPr>
            </w:pPr>
            <w:r>
              <w:rPr>
                <w:rFonts w:ascii="Arial" w:eastAsia="Times New Roman" w:hAnsi="Arial" w:cs="Arial"/>
                <w:color w:val="000000"/>
                <w:sz w:val="18"/>
                <w:szCs w:val="18"/>
              </w:rPr>
              <w:t> </w:t>
            </w:r>
          </w:p>
        </w:tc>
        <w:tc>
          <w:tcPr>
            <w:tcW w:w="0" w:type="auto"/>
            <w:gridSpan w:val="3"/>
            <w:tcMar>
              <w:top w:w="30" w:type="dxa"/>
              <w:left w:w="20" w:type="dxa"/>
              <w:bottom w:w="30" w:type="dxa"/>
              <w:right w:w="20" w:type="dxa"/>
            </w:tcMar>
            <w:vAlign w:val="center"/>
            <w:hideMark/>
          </w:tcPr>
          <w:p w:rsidR="00000000" w:rsidRDefault="001F1FC8">
            <w:pPr>
              <w:jc w:val="right"/>
              <w:rPr>
                <w:rFonts w:eastAsia="Times New Roman"/>
              </w:rPr>
            </w:pPr>
            <w:r>
              <w:rPr>
                <w:rFonts w:ascii="Arial" w:eastAsia="Times New Roman" w:hAnsi="Arial" w:cs="Arial"/>
                <w:color w:val="000000"/>
                <w:sz w:val="18"/>
                <w:szCs w:val="18"/>
              </w:rPr>
              <w:t> </w:t>
            </w:r>
          </w:p>
        </w:tc>
        <w:tc>
          <w:tcPr>
            <w:tcW w:w="0" w:type="auto"/>
            <w:gridSpan w:val="3"/>
            <w:tcMar>
              <w:top w:w="30" w:type="dxa"/>
              <w:left w:w="20" w:type="dxa"/>
              <w:bottom w:w="30" w:type="dxa"/>
              <w:right w:w="20" w:type="dxa"/>
            </w:tcMar>
            <w:vAlign w:val="center"/>
            <w:hideMark/>
          </w:tcPr>
          <w:p w:rsidR="00000000" w:rsidRDefault="001F1FC8">
            <w:pPr>
              <w:jc w:val="right"/>
              <w:rPr>
                <w:rFonts w:eastAsia="Times New Roman"/>
              </w:rPr>
            </w:pPr>
            <w:r>
              <w:rPr>
                <w:rFonts w:ascii="Arial" w:eastAsia="Times New Roman" w:hAnsi="Arial" w:cs="Arial"/>
                <w:color w:val="000000"/>
                <w:sz w:val="18"/>
                <w:szCs w:val="18"/>
              </w:rPr>
              <w:t> </w:t>
            </w:r>
          </w:p>
        </w:tc>
      </w:tr>
      <w:tr w:rsidR="00000000">
        <w:trPr>
          <w:divId w:val="1725639643"/>
        </w:trPr>
        <w:tc>
          <w:tcPr>
            <w:tcW w:w="0" w:type="auto"/>
            <w:gridSpan w:val="3"/>
            <w:tcMar>
              <w:top w:w="30" w:type="dxa"/>
              <w:left w:w="245" w:type="dxa"/>
              <w:bottom w:w="30" w:type="dxa"/>
              <w:right w:w="20" w:type="dxa"/>
            </w:tcMar>
            <w:vAlign w:val="center"/>
            <w:hideMark/>
          </w:tcPr>
          <w:p w:rsidR="00000000" w:rsidRDefault="001F1FC8">
            <w:pPr>
              <w:rPr>
                <w:rFonts w:eastAsia="Times New Roman"/>
              </w:rPr>
            </w:pPr>
            <w:r>
              <w:rPr>
                <w:rFonts w:ascii="Arial" w:eastAsia="Times New Roman" w:hAnsi="Arial" w:cs="Arial"/>
                <w:color w:val="000000"/>
                <w:sz w:val="18"/>
                <w:szCs w:val="18"/>
              </w:rPr>
              <w:t>Earnings</w:t>
            </w:r>
          </w:p>
        </w:tc>
        <w:tc>
          <w:tcPr>
            <w:tcW w:w="0" w:type="auto"/>
            <w:gridSpan w:val="2"/>
            <w:shd w:val="clear" w:color="auto" w:fill="D8D8D8"/>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b/>
                <w:bCs/>
                <w:color w:val="000000"/>
                <w:sz w:val="18"/>
                <w:szCs w:val="18"/>
              </w:rPr>
              <w:t>6,314</w:t>
            </w:r>
            <w:r>
              <w:rPr>
                <w:rFonts w:ascii="Arial" w:eastAsia="Times New Roman" w:hAnsi="Arial" w:cs="Arial"/>
                <w:color w:val="000000"/>
                <w:sz w:val="18"/>
                <w:szCs w:val="18"/>
              </w:rPr>
              <w:t> </w:t>
            </w:r>
          </w:p>
        </w:tc>
        <w:tc>
          <w:tcPr>
            <w:tcW w:w="0" w:type="auto"/>
            <w:shd w:val="clear" w:color="auto" w:fill="D8D8D8"/>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18"/>
                <w:szCs w:val="18"/>
              </w:rPr>
              <w:t>3,416 </w:t>
            </w:r>
          </w:p>
        </w:tc>
        <w:tc>
          <w:tcPr>
            <w:tcW w:w="0" w:type="auto"/>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18"/>
                <w:szCs w:val="18"/>
              </w:rPr>
              <w:t>5,827 </w:t>
            </w:r>
          </w:p>
        </w:tc>
        <w:tc>
          <w:tcPr>
            <w:tcW w:w="0" w:type="auto"/>
            <w:tcMar>
              <w:top w:w="30" w:type="dxa"/>
              <w:left w:w="0" w:type="dxa"/>
              <w:bottom w:w="30" w:type="dxa"/>
              <w:right w:w="20" w:type="dxa"/>
            </w:tcMar>
            <w:vAlign w:val="center"/>
            <w:hideMark/>
          </w:tcPr>
          <w:p w:rsidR="00000000" w:rsidRDefault="001F1FC8">
            <w:pPr>
              <w:jc w:val="right"/>
              <w:rPr>
                <w:rFonts w:eastAsia="Times New Roman"/>
              </w:rPr>
            </w:pPr>
          </w:p>
        </w:tc>
      </w:tr>
      <w:tr w:rsidR="00000000">
        <w:trPr>
          <w:divId w:val="1725639643"/>
        </w:trPr>
        <w:tc>
          <w:tcPr>
            <w:tcW w:w="0" w:type="auto"/>
            <w:gridSpan w:val="3"/>
            <w:tcMar>
              <w:top w:w="30" w:type="dxa"/>
              <w:left w:w="245" w:type="dxa"/>
              <w:bottom w:w="30" w:type="dxa"/>
              <w:right w:w="20" w:type="dxa"/>
            </w:tcMar>
            <w:vAlign w:val="center"/>
            <w:hideMark/>
          </w:tcPr>
          <w:p w:rsidR="00000000" w:rsidRDefault="001F1FC8">
            <w:pPr>
              <w:rPr>
                <w:rFonts w:eastAsia="Times New Roman"/>
              </w:rPr>
            </w:pPr>
            <w:r>
              <w:rPr>
                <w:rFonts w:ascii="Arial" w:eastAsia="Times New Roman" w:hAnsi="Arial" w:cs="Arial"/>
                <w:color w:val="000000"/>
                <w:sz w:val="18"/>
                <w:szCs w:val="18"/>
              </w:rPr>
              <w:t>Adjustments to reconcile earnings to net cash provided by operating activities:</w:t>
            </w:r>
          </w:p>
        </w:tc>
        <w:tc>
          <w:tcPr>
            <w:tcW w:w="0" w:type="auto"/>
            <w:gridSpan w:val="3"/>
            <w:shd w:val="clear" w:color="auto" w:fill="D8D8D8"/>
            <w:tcMar>
              <w:top w:w="0" w:type="dxa"/>
              <w:left w:w="20" w:type="dxa"/>
              <w:bottom w:w="0" w:type="dxa"/>
              <w:right w:w="20" w:type="dxa"/>
            </w:tcMar>
            <w:vAlign w:val="center"/>
            <w:hideMark/>
          </w:tcPr>
          <w:p w:rsidR="00000000" w:rsidRDefault="001F1FC8">
            <w:pPr>
              <w:rPr>
                <w:rFonts w:eastAsia="Times New Roman"/>
              </w:rPr>
            </w:pPr>
          </w:p>
        </w:tc>
        <w:tc>
          <w:tcPr>
            <w:tcW w:w="0" w:type="auto"/>
            <w:gridSpan w:val="3"/>
            <w:tcMar>
              <w:top w:w="0" w:type="dxa"/>
              <w:left w:w="20" w:type="dxa"/>
              <w:bottom w:w="0" w:type="dxa"/>
              <w:right w:w="20" w:type="dxa"/>
            </w:tcMar>
            <w:vAlign w:val="center"/>
            <w:hideMark/>
          </w:tcPr>
          <w:p w:rsidR="00000000" w:rsidRDefault="001F1FC8">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1F1FC8">
            <w:pPr>
              <w:rPr>
                <w:rFonts w:eastAsia="Times New Roman"/>
                <w:sz w:val="20"/>
                <w:szCs w:val="20"/>
              </w:rPr>
            </w:pPr>
          </w:p>
        </w:tc>
      </w:tr>
      <w:tr w:rsidR="00000000">
        <w:trPr>
          <w:divId w:val="1725639643"/>
        </w:trPr>
        <w:tc>
          <w:tcPr>
            <w:tcW w:w="0" w:type="auto"/>
            <w:gridSpan w:val="3"/>
            <w:tcMar>
              <w:top w:w="30" w:type="dxa"/>
              <w:left w:w="380" w:type="dxa"/>
              <w:bottom w:w="30" w:type="dxa"/>
              <w:right w:w="20" w:type="dxa"/>
            </w:tcMar>
            <w:vAlign w:val="center"/>
            <w:hideMark/>
          </w:tcPr>
          <w:p w:rsidR="00000000" w:rsidRDefault="001F1FC8">
            <w:pPr>
              <w:rPr>
                <w:rFonts w:eastAsia="Times New Roman"/>
              </w:rPr>
            </w:pPr>
            <w:r>
              <w:rPr>
                <w:rFonts w:ascii="Arial" w:eastAsia="Times New Roman" w:hAnsi="Arial" w:cs="Arial"/>
                <w:color w:val="000000"/>
                <w:sz w:val="18"/>
                <w:szCs w:val="18"/>
              </w:rPr>
              <w:t>Depreciation and amortization</w:t>
            </w:r>
          </w:p>
        </w:tc>
        <w:tc>
          <w:tcPr>
            <w:tcW w:w="0" w:type="auto"/>
            <w:gridSpan w:val="2"/>
            <w:shd w:val="clear" w:color="auto" w:fill="D8D8D8"/>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b/>
                <w:bCs/>
                <w:color w:val="000000"/>
                <w:sz w:val="18"/>
                <w:szCs w:val="18"/>
              </w:rPr>
              <w:t>3,852</w:t>
            </w:r>
            <w:r>
              <w:rPr>
                <w:rFonts w:ascii="Arial" w:eastAsia="Times New Roman" w:hAnsi="Arial" w:cs="Arial"/>
                <w:color w:val="000000"/>
                <w:sz w:val="18"/>
                <w:szCs w:val="18"/>
              </w:rPr>
              <w:t> </w:t>
            </w:r>
          </w:p>
        </w:tc>
        <w:tc>
          <w:tcPr>
            <w:tcW w:w="0" w:type="auto"/>
            <w:shd w:val="clear" w:color="auto" w:fill="D8D8D8"/>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18"/>
                <w:szCs w:val="18"/>
              </w:rPr>
              <w:t>3,712 </w:t>
            </w:r>
          </w:p>
        </w:tc>
        <w:tc>
          <w:tcPr>
            <w:tcW w:w="0" w:type="auto"/>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18"/>
                <w:szCs w:val="18"/>
              </w:rPr>
              <w:t>3,391 </w:t>
            </w:r>
          </w:p>
        </w:tc>
        <w:tc>
          <w:tcPr>
            <w:tcW w:w="0" w:type="auto"/>
            <w:tcMar>
              <w:top w:w="30" w:type="dxa"/>
              <w:left w:w="0" w:type="dxa"/>
              <w:bottom w:w="30" w:type="dxa"/>
              <w:right w:w="20" w:type="dxa"/>
            </w:tcMar>
            <w:vAlign w:val="center"/>
            <w:hideMark/>
          </w:tcPr>
          <w:p w:rsidR="00000000" w:rsidRDefault="001F1FC8">
            <w:pPr>
              <w:jc w:val="right"/>
              <w:rPr>
                <w:rFonts w:eastAsia="Times New Roman"/>
              </w:rPr>
            </w:pPr>
          </w:p>
        </w:tc>
      </w:tr>
      <w:tr w:rsidR="00000000">
        <w:trPr>
          <w:divId w:val="1725639643"/>
        </w:trPr>
        <w:tc>
          <w:tcPr>
            <w:tcW w:w="0" w:type="auto"/>
            <w:gridSpan w:val="3"/>
            <w:tcMar>
              <w:top w:w="30" w:type="dxa"/>
              <w:left w:w="20" w:type="dxa"/>
              <w:bottom w:w="30" w:type="dxa"/>
              <w:right w:w="20" w:type="dxa"/>
            </w:tcMar>
            <w:vAlign w:val="center"/>
            <w:hideMark/>
          </w:tcPr>
          <w:p w:rsidR="00000000" w:rsidRDefault="001F1FC8">
            <w:pPr>
              <w:divId w:val="791747973"/>
              <w:rPr>
                <w:rFonts w:eastAsia="Times New Roman"/>
              </w:rPr>
            </w:pPr>
            <w:r>
              <w:rPr>
                <w:rFonts w:ascii="Arial" w:eastAsia="Times New Roman" w:hAnsi="Arial" w:cs="Arial"/>
                <w:color w:val="000000"/>
                <w:sz w:val="18"/>
                <w:szCs w:val="18"/>
              </w:rPr>
              <w:t xml:space="preserve">Deferred income tax expense </w:t>
            </w:r>
            <w:r>
              <w:rPr>
                <w:rFonts w:ascii="Arial" w:eastAsia="Times New Roman" w:hAnsi="Arial" w:cs="Arial"/>
                <w:i/>
                <w:iCs/>
                <w:color w:val="000000"/>
                <w:sz w:val="14"/>
                <w:szCs w:val="14"/>
              </w:rPr>
              <w:t>(Note 25)</w:t>
            </w:r>
          </w:p>
        </w:tc>
        <w:tc>
          <w:tcPr>
            <w:tcW w:w="0" w:type="auto"/>
            <w:gridSpan w:val="2"/>
            <w:shd w:val="clear" w:color="auto" w:fill="D8D8D8"/>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b/>
                <w:bCs/>
                <w:color w:val="000000"/>
                <w:sz w:val="18"/>
                <w:szCs w:val="18"/>
              </w:rPr>
              <w:t>1,091</w:t>
            </w:r>
            <w:r>
              <w:rPr>
                <w:rFonts w:ascii="Arial" w:eastAsia="Times New Roman" w:hAnsi="Arial" w:cs="Arial"/>
                <w:color w:val="000000"/>
                <w:sz w:val="18"/>
                <w:szCs w:val="18"/>
              </w:rPr>
              <w:t> </w:t>
            </w:r>
          </w:p>
        </w:tc>
        <w:tc>
          <w:tcPr>
            <w:tcW w:w="0" w:type="auto"/>
            <w:shd w:val="clear" w:color="auto" w:fill="D8D8D8"/>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18"/>
                <w:szCs w:val="18"/>
              </w:rPr>
              <w:t>447 </w:t>
            </w:r>
          </w:p>
        </w:tc>
        <w:tc>
          <w:tcPr>
            <w:tcW w:w="0" w:type="auto"/>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18"/>
                <w:szCs w:val="18"/>
              </w:rPr>
              <w:t>1,156 </w:t>
            </w:r>
          </w:p>
        </w:tc>
        <w:tc>
          <w:tcPr>
            <w:tcW w:w="0" w:type="auto"/>
            <w:tcMar>
              <w:top w:w="30" w:type="dxa"/>
              <w:left w:w="0" w:type="dxa"/>
              <w:bottom w:w="30" w:type="dxa"/>
              <w:right w:w="20" w:type="dxa"/>
            </w:tcMar>
            <w:vAlign w:val="center"/>
            <w:hideMark/>
          </w:tcPr>
          <w:p w:rsidR="00000000" w:rsidRDefault="001F1FC8">
            <w:pPr>
              <w:jc w:val="right"/>
              <w:rPr>
                <w:rFonts w:eastAsia="Times New Roman"/>
              </w:rPr>
            </w:pPr>
          </w:p>
        </w:tc>
      </w:tr>
      <w:tr w:rsidR="00000000">
        <w:trPr>
          <w:divId w:val="1725639643"/>
        </w:trPr>
        <w:tc>
          <w:tcPr>
            <w:tcW w:w="0" w:type="auto"/>
            <w:gridSpan w:val="3"/>
            <w:tcMar>
              <w:top w:w="30" w:type="dxa"/>
              <w:left w:w="20" w:type="dxa"/>
              <w:bottom w:w="30" w:type="dxa"/>
              <w:right w:w="20" w:type="dxa"/>
            </w:tcMar>
            <w:vAlign w:val="center"/>
            <w:hideMark/>
          </w:tcPr>
          <w:p w:rsidR="00000000" w:rsidRDefault="001F1FC8">
            <w:pPr>
              <w:divId w:val="255405764"/>
              <w:rPr>
                <w:rFonts w:eastAsia="Times New Roman"/>
              </w:rPr>
            </w:pPr>
            <w:r>
              <w:rPr>
                <w:rFonts w:ascii="Arial" w:eastAsia="Times New Roman" w:hAnsi="Arial" w:cs="Arial"/>
                <w:color w:val="000000"/>
                <w:sz w:val="18"/>
                <w:szCs w:val="18"/>
              </w:rPr>
              <w:t>Unrealized derivative fair value gain, net</w:t>
            </w:r>
            <w:r>
              <w:rPr>
                <w:rFonts w:ascii="Arial" w:eastAsia="Times New Roman" w:hAnsi="Arial" w:cs="Arial"/>
                <w:i/>
                <w:iCs/>
                <w:color w:val="000000"/>
                <w:sz w:val="18"/>
                <w:szCs w:val="18"/>
              </w:rPr>
              <w:t xml:space="preserve"> </w:t>
            </w:r>
            <w:r>
              <w:rPr>
                <w:rFonts w:ascii="Arial" w:eastAsia="Times New Roman" w:hAnsi="Arial" w:cs="Arial"/>
                <w:i/>
                <w:iCs/>
                <w:color w:val="000000"/>
                <w:sz w:val="14"/>
                <w:szCs w:val="14"/>
              </w:rPr>
              <w:t>(Note 24)</w:t>
            </w:r>
          </w:p>
        </w:tc>
        <w:tc>
          <w:tcPr>
            <w:tcW w:w="0" w:type="auto"/>
            <w:gridSpan w:val="2"/>
            <w:shd w:val="clear" w:color="auto" w:fill="D8D8D8"/>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b/>
                <w:bCs/>
                <w:color w:val="000000"/>
                <w:sz w:val="18"/>
                <w:szCs w:val="18"/>
              </w:rPr>
              <w:t>(173)</w:t>
            </w:r>
          </w:p>
        </w:tc>
        <w:tc>
          <w:tcPr>
            <w:tcW w:w="0" w:type="auto"/>
            <w:shd w:val="clear" w:color="auto" w:fill="D8D8D8"/>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18"/>
                <w:szCs w:val="18"/>
              </w:rPr>
              <w:t>(756)</w:t>
            </w:r>
          </w:p>
        </w:tc>
        <w:tc>
          <w:tcPr>
            <w:tcW w:w="0" w:type="auto"/>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18"/>
                <w:szCs w:val="18"/>
              </w:rPr>
              <w:t>(1,751)</w:t>
            </w:r>
          </w:p>
        </w:tc>
        <w:tc>
          <w:tcPr>
            <w:tcW w:w="0" w:type="auto"/>
            <w:tcMar>
              <w:top w:w="30" w:type="dxa"/>
              <w:left w:w="0" w:type="dxa"/>
              <w:bottom w:w="30" w:type="dxa"/>
              <w:right w:w="20" w:type="dxa"/>
            </w:tcMar>
            <w:vAlign w:val="center"/>
            <w:hideMark/>
          </w:tcPr>
          <w:p w:rsidR="00000000" w:rsidRDefault="001F1FC8">
            <w:pPr>
              <w:jc w:val="right"/>
              <w:rPr>
                <w:rFonts w:eastAsia="Times New Roman"/>
              </w:rPr>
            </w:pPr>
          </w:p>
        </w:tc>
      </w:tr>
      <w:tr w:rsidR="00000000">
        <w:trPr>
          <w:divId w:val="1725639643"/>
        </w:trPr>
        <w:tc>
          <w:tcPr>
            <w:tcW w:w="0" w:type="auto"/>
            <w:gridSpan w:val="3"/>
            <w:tcMar>
              <w:top w:w="30" w:type="dxa"/>
              <w:left w:w="380" w:type="dxa"/>
              <w:bottom w:w="30" w:type="dxa"/>
              <w:right w:w="20" w:type="dxa"/>
            </w:tcMar>
            <w:vAlign w:val="center"/>
            <w:hideMark/>
          </w:tcPr>
          <w:p w:rsidR="00000000" w:rsidRDefault="001F1FC8">
            <w:pPr>
              <w:rPr>
                <w:rFonts w:eastAsia="Times New Roman"/>
              </w:rPr>
            </w:pPr>
            <w:r>
              <w:rPr>
                <w:rFonts w:ascii="Arial" w:eastAsia="Times New Roman" w:hAnsi="Arial" w:cs="Arial"/>
                <w:color w:val="000000"/>
                <w:sz w:val="18"/>
                <w:szCs w:val="18"/>
              </w:rPr>
              <w:t>Income from equity investments</w:t>
            </w:r>
          </w:p>
        </w:tc>
        <w:tc>
          <w:tcPr>
            <w:tcW w:w="0" w:type="auto"/>
            <w:gridSpan w:val="2"/>
            <w:shd w:val="clear" w:color="auto" w:fill="D8D8D8"/>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b/>
                <w:bCs/>
                <w:color w:val="000000"/>
                <w:sz w:val="18"/>
                <w:szCs w:val="18"/>
              </w:rPr>
              <w:t>(1,711)</w:t>
            </w:r>
          </w:p>
        </w:tc>
        <w:tc>
          <w:tcPr>
            <w:tcW w:w="0" w:type="auto"/>
            <w:shd w:val="clear" w:color="auto" w:fill="D8D8D8"/>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18"/>
                <w:szCs w:val="18"/>
              </w:rPr>
              <w:t>(1,136)</w:t>
            </w:r>
          </w:p>
        </w:tc>
        <w:tc>
          <w:tcPr>
            <w:tcW w:w="0" w:type="auto"/>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18"/>
                <w:szCs w:val="18"/>
              </w:rPr>
              <w:t>(1,503)</w:t>
            </w:r>
          </w:p>
        </w:tc>
        <w:tc>
          <w:tcPr>
            <w:tcW w:w="0" w:type="auto"/>
            <w:tcMar>
              <w:top w:w="30" w:type="dxa"/>
              <w:left w:w="0" w:type="dxa"/>
              <w:bottom w:w="30" w:type="dxa"/>
              <w:right w:w="20" w:type="dxa"/>
            </w:tcMar>
            <w:vAlign w:val="center"/>
            <w:hideMark/>
          </w:tcPr>
          <w:p w:rsidR="00000000" w:rsidRDefault="001F1FC8">
            <w:pPr>
              <w:jc w:val="right"/>
              <w:rPr>
                <w:rFonts w:eastAsia="Times New Roman"/>
              </w:rPr>
            </w:pPr>
          </w:p>
        </w:tc>
      </w:tr>
      <w:tr w:rsidR="00000000">
        <w:trPr>
          <w:divId w:val="1725639643"/>
        </w:trPr>
        <w:tc>
          <w:tcPr>
            <w:tcW w:w="0" w:type="auto"/>
            <w:gridSpan w:val="3"/>
            <w:tcMar>
              <w:top w:w="30" w:type="dxa"/>
              <w:left w:w="380" w:type="dxa"/>
              <w:bottom w:w="30" w:type="dxa"/>
              <w:right w:w="20" w:type="dxa"/>
            </w:tcMar>
            <w:vAlign w:val="center"/>
            <w:hideMark/>
          </w:tcPr>
          <w:p w:rsidR="00000000" w:rsidRDefault="001F1FC8">
            <w:pPr>
              <w:rPr>
                <w:rFonts w:eastAsia="Times New Roman"/>
              </w:rPr>
            </w:pPr>
            <w:r>
              <w:rPr>
                <w:rFonts w:ascii="Arial" w:eastAsia="Times New Roman" w:hAnsi="Arial" w:cs="Arial"/>
                <w:color w:val="000000"/>
                <w:sz w:val="18"/>
                <w:szCs w:val="18"/>
              </w:rPr>
              <w:t>Distributions from equity investments</w:t>
            </w:r>
          </w:p>
        </w:tc>
        <w:tc>
          <w:tcPr>
            <w:tcW w:w="0" w:type="auto"/>
            <w:gridSpan w:val="2"/>
            <w:shd w:val="clear" w:color="auto" w:fill="D8D8D8"/>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b/>
                <w:bCs/>
                <w:color w:val="000000"/>
                <w:sz w:val="18"/>
                <w:szCs w:val="18"/>
              </w:rPr>
              <w:t>1,630</w:t>
            </w:r>
            <w:r>
              <w:rPr>
                <w:rFonts w:ascii="Arial" w:eastAsia="Times New Roman" w:hAnsi="Arial" w:cs="Arial"/>
                <w:color w:val="000000"/>
                <w:sz w:val="18"/>
                <w:szCs w:val="18"/>
              </w:rPr>
              <w:t> </w:t>
            </w:r>
          </w:p>
        </w:tc>
        <w:tc>
          <w:tcPr>
            <w:tcW w:w="0" w:type="auto"/>
            <w:shd w:val="clear" w:color="auto" w:fill="D8D8D8"/>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18"/>
                <w:szCs w:val="18"/>
              </w:rPr>
              <w:t>1,392 </w:t>
            </w:r>
          </w:p>
        </w:tc>
        <w:tc>
          <w:tcPr>
            <w:tcW w:w="0" w:type="auto"/>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18"/>
                <w:szCs w:val="18"/>
              </w:rPr>
              <w:t>1,804 </w:t>
            </w:r>
          </w:p>
        </w:tc>
        <w:tc>
          <w:tcPr>
            <w:tcW w:w="0" w:type="auto"/>
            <w:tcMar>
              <w:top w:w="30" w:type="dxa"/>
              <w:left w:w="0" w:type="dxa"/>
              <w:bottom w:w="30" w:type="dxa"/>
              <w:right w:w="20" w:type="dxa"/>
            </w:tcMar>
            <w:vAlign w:val="center"/>
            <w:hideMark/>
          </w:tcPr>
          <w:p w:rsidR="00000000" w:rsidRDefault="001F1FC8">
            <w:pPr>
              <w:jc w:val="right"/>
              <w:rPr>
                <w:rFonts w:eastAsia="Times New Roman"/>
              </w:rPr>
            </w:pPr>
          </w:p>
        </w:tc>
      </w:tr>
      <w:tr w:rsidR="00000000">
        <w:trPr>
          <w:divId w:val="1725639643"/>
        </w:trPr>
        <w:tc>
          <w:tcPr>
            <w:tcW w:w="0" w:type="auto"/>
            <w:gridSpan w:val="3"/>
            <w:tcMar>
              <w:top w:w="30" w:type="dxa"/>
              <w:left w:w="380" w:type="dxa"/>
              <w:bottom w:w="30" w:type="dxa"/>
              <w:right w:w="20" w:type="dxa"/>
            </w:tcMar>
            <w:vAlign w:val="center"/>
            <w:hideMark/>
          </w:tcPr>
          <w:p w:rsidR="00000000" w:rsidRDefault="001F1FC8">
            <w:pPr>
              <w:rPr>
                <w:rFonts w:eastAsia="Times New Roman"/>
              </w:rPr>
            </w:pPr>
            <w:r>
              <w:rPr>
                <w:rFonts w:ascii="Arial" w:eastAsia="Times New Roman" w:hAnsi="Arial" w:cs="Arial"/>
                <w:color w:val="000000"/>
                <w:sz w:val="18"/>
                <w:szCs w:val="18"/>
              </w:rPr>
              <w:t>Impairment of long-lived assets</w:t>
            </w:r>
          </w:p>
        </w:tc>
        <w:tc>
          <w:tcPr>
            <w:tcW w:w="0" w:type="auto"/>
            <w:gridSpan w:val="2"/>
            <w:shd w:val="clear" w:color="auto" w:fill="D8D8D8"/>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b/>
                <w:bCs/>
                <w:color w:val="000000"/>
                <w:sz w:val="18"/>
                <w:szCs w:val="18"/>
              </w:rPr>
              <w:t>—</w:t>
            </w:r>
            <w:r>
              <w:rPr>
                <w:rFonts w:ascii="Arial" w:eastAsia="Times New Roman" w:hAnsi="Arial" w:cs="Arial"/>
                <w:color w:val="000000"/>
                <w:sz w:val="18"/>
                <w:szCs w:val="18"/>
              </w:rPr>
              <w:t> </w:t>
            </w:r>
          </w:p>
        </w:tc>
        <w:tc>
          <w:tcPr>
            <w:tcW w:w="0" w:type="auto"/>
            <w:shd w:val="clear" w:color="auto" w:fill="D8D8D8"/>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18"/>
                <w:szCs w:val="18"/>
              </w:rPr>
              <w:t>— </w:t>
            </w:r>
          </w:p>
        </w:tc>
        <w:tc>
          <w:tcPr>
            <w:tcW w:w="0" w:type="auto"/>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18"/>
                <w:szCs w:val="18"/>
              </w:rPr>
              <w:t>423 </w:t>
            </w:r>
          </w:p>
        </w:tc>
        <w:tc>
          <w:tcPr>
            <w:tcW w:w="0" w:type="auto"/>
            <w:tcMar>
              <w:top w:w="30" w:type="dxa"/>
              <w:left w:w="0" w:type="dxa"/>
              <w:bottom w:w="30" w:type="dxa"/>
              <w:right w:w="20" w:type="dxa"/>
            </w:tcMar>
            <w:vAlign w:val="center"/>
            <w:hideMark/>
          </w:tcPr>
          <w:p w:rsidR="00000000" w:rsidRDefault="001F1FC8">
            <w:pPr>
              <w:jc w:val="right"/>
              <w:rPr>
                <w:rFonts w:eastAsia="Times New Roman"/>
              </w:rPr>
            </w:pPr>
          </w:p>
        </w:tc>
      </w:tr>
      <w:tr w:rsidR="00000000">
        <w:trPr>
          <w:divId w:val="1725639643"/>
        </w:trPr>
        <w:tc>
          <w:tcPr>
            <w:tcW w:w="0" w:type="auto"/>
            <w:gridSpan w:val="3"/>
            <w:tcMar>
              <w:top w:w="30" w:type="dxa"/>
              <w:left w:w="380" w:type="dxa"/>
              <w:bottom w:w="30" w:type="dxa"/>
              <w:right w:w="20" w:type="dxa"/>
            </w:tcMar>
            <w:vAlign w:val="center"/>
            <w:hideMark/>
          </w:tcPr>
          <w:p w:rsidR="00000000" w:rsidRDefault="001F1FC8">
            <w:pPr>
              <w:rPr>
                <w:rFonts w:eastAsia="Times New Roman"/>
              </w:rPr>
            </w:pPr>
            <w:r>
              <w:rPr>
                <w:rFonts w:ascii="Arial" w:eastAsia="Times New Roman" w:hAnsi="Arial" w:cs="Arial"/>
                <w:color w:val="000000"/>
                <w:sz w:val="18"/>
                <w:szCs w:val="18"/>
              </w:rPr>
              <w:t>Impairment of equity investments</w:t>
            </w:r>
          </w:p>
        </w:tc>
        <w:tc>
          <w:tcPr>
            <w:tcW w:w="0" w:type="auto"/>
            <w:gridSpan w:val="2"/>
            <w:shd w:val="clear" w:color="auto" w:fill="D8D8D8"/>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b/>
                <w:bCs/>
                <w:color w:val="000000"/>
                <w:sz w:val="18"/>
                <w:szCs w:val="18"/>
              </w:rPr>
              <w:t>111</w:t>
            </w:r>
            <w:r>
              <w:rPr>
                <w:rFonts w:ascii="Arial" w:eastAsia="Times New Roman" w:hAnsi="Arial" w:cs="Arial"/>
                <w:color w:val="000000"/>
                <w:sz w:val="18"/>
                <w:szCs w:val="18"/>
              </w:rPr>
              <w:t> </w:t>
            </w:r>
          </w:p>
        </w:tc>
        <w:tc>
          <w:tcPr>
            <w:tcW w:w="0" w:type="auto"/>
            <w:shd w:val="clear" w:color="auto" w:fill="D8D8D8"/>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18"/>
                <w:szCs w:val="18"/>
              </w:rPr>
              <w:t>2,351 </w:t>
            </w:r>
          </w:p>
        </w:tc>
        <w:tc>
          <w:tcPr>
            <w:tcW w:w="0" w:type="auto"/>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18"/>
                <w:szCs w:val="18"/>
              </w:rPr>
              <w:t>— </w:t>
            </w:r>
          </w:p>
        </w:tc>
        <w:tc>
          <w:tcPr>
            <w:tcW w:w="0" w:type="auto"/>
            <w:tcMar>
              <w:top w:w="30" w:type="dxa"/>
              <w:left w:w="0" w:type="dxa"/>
              <w:bottom w:w="30" w:type="dxa"/>
              <w:right w:w="20" w:type="dxa"/>
            </w:tcMar>
            <w:vAlign w:val="center"/>
            <w:hideMark/>
          </w:tcPr>
          <w:p w:rsidR="00000000" w:rsidRDefault="001F1FC8">
            <w:pPr>
              <w:jc w:val="right"/>
              <w:rPr>
                <w:rFonts w:eastAsia="Times New Roman"/>
              </w:rPr>
            </w:pPr>
          </w:p>
        </w:tc>
      </w:tr>
      <w:tr w:rsidR="00000000">
        <w:trPr>
          <w:divId w:val="1725639643"/>
        </w:trPr>
        <w:tc>
          <w:tcPr>
            <w:tcW w:w="0" w:type="auto"/>
            <w:gridSpan w:val="3"/>
            <w:vAlign w:val="center"/>
            <w:hideMark/>
          </w:tcPr>
          <w:p w:rsidR="00000000" w:rsidRDefault="001F1FC8">
            <w:pPr>
              <w:jc w:val="right"/>
              <w:rPr>
                <w:rFonts w:eastAsia="Times New Roman"/>
                <w:sz w:val="20"/>
                <w:szCs w:val="20"/>
              </w:rPr>
            </w:pPr>
          </w:p>
        </w:tc>
        <w:tc>
          <w:tcPr>
            <w:tcW w:w="0" w:type="auto"/>
            <w:gridSpan w:val="3"/>
            <w:vAlign w:val="center"/>
            <w:hideMark/>
          </w:tcPr>
          <w:p w:rsidR="00000000" w:rsidRDefault="001F1FC8">
            <w:pPr>
              <w:rPr>
                <w:rFonts w:eastAsia="Times New Roman"/>
                <w:sz w:val="20"/>
                <w:szCs w:val="20"/>
              </w:rPr>
            </w:pPr>
          </w:p>
        </w:tc>
        <w:tc>
          <w:tcPr>
            <w:tcW w:w="0" w:type="auto"/>
            <w:gridSpan w:val="3"/>
            <w:vAlign w:val="center"/>
            <w:hideMark/>
          </w:tcPr>
          <w:p w:rsidR="00000000" w:rsidRDefault="001F1FC8">
            <w:pPr>
              <w:rPr>
                <w:rFonts w:eastAsia="Times New Roman"/>
                <w:sz w:val="20"/>
                <w:szCs w:val="20"/>
              </w:rPr>
            </w:pPr>
          </w:p>
        </w:tc>
        <w:tc>
          <w:tcPr>
            <w:tcW w:w="0" w:type="auto"/>
            <w:gridSpan w:val="3"/>
            <w:vAlign w:val="center"/>
            <w:hideMark/>
          </w:tcPr>
          <w:p w:rsidR="00000000" w:rsidRDefault="001F1FC8">
            <w:pPr>
              <w:rPr>
                <w:rFonts w:eastAsia="Times New Roman"/>
                <w:sz w:val="20"/>
                <w:szCs w:val="20"/>
              </w:rPr>
            </w:pPr>
          </w:p>
        </w:tc>
      </w:tr>
      <w:tr w:rsidR="00000000">
        <w:trPr>
          <w:divId w:val="1725639643"/>
        </w:trPr>
        <w:tc>
          <w:tcPr>
            <w:tcW w:w="0" w:type="auto"/>
            <w:gridSpan w:val="3"/>
            <w:tcMar>
              <w:top w:w="30" w:type="dxa"/>
              <w:left w:w="380" w:type="dxa"/>
              <w:bottom w:w="30" w:type="dxa"/>
              <w:right w:w="20" w:type="dxa"/>
            </w:tcMar>
            <w:vAlign w:val="center"/>
            <w:hideMark/>
          </w:tcPr>
          <w:p w:rsidR="00000000" w:rsidRDefault="001F1FC8">
            <w:pPr>
              <w:rPr>
                <w:rFonts w:eastAsia="Times New Roman"/>
              </w:rPr>
            </w:pPr>
            <w:r>
              <w:rPr>
                <w:rFonts w:ascii="Arial" w:eastAsia="Times New Roman" w:hAnsi="Arial" w:cs="Arial"/>
                <w:color w:val="000000"/>
                <w:sz w:val="18"/>
                <w:szCs w:val="18"/>
              </w:rPr>
              <w:t>(Gain)/loss on dispositions</w:t>
            </w:r>
          </w:p>
        </w:tc>
        <w:tc>
          <w:tcPr>
            <w:tcW w:w="0" w:type="auto"/>
            <w:gridSpan w:val="2"/>
            <w:shd w:val="clear" w:color="auto" w:fill="D8D8D8"/>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b/>
                <w:bCs/>
                <w:color w:val="000000"/>
                <w:sz w:val="18"/>
                <w:szCs w:val="18"/>
              </w:rPr>
              <w:t>(319)</w:t>
            </w:r>
          </w:p>
        </w:tc>
        <w:tc>
          <w:tcPr>
            <w:tcW w:w="0" w:type="auto"/>
            <w:shd w:val="clear" w:color="auto" w:fill="D8D8D8"/>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18"/>
                <w:szCs w:val="18"/>
              </w:rPr>
              <w:t>(6)</w:t>
            </w:r>
          </w:p>
        </w:tc>
        <w:tc>
          <w:tcPr>
            <w:tcW w:w="0" w:type="auto"/>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18"/>
                <w:szCs w:val="18"/>
              </w:rPr>
              <w:t>254 </w:t>
            </w:r>
          </w:p>
        </w:tc>
        <w:tc>
          <w:tcPr>
            <w:tcW w:w="0" w:type="auto"/>
            <w:tcMar>
              <w:top w:w="30" w:type="dxa"/>
              <w:left w:w="0" w:type="dxa"/>
              <w:bottom w:w="30" w:type="dxa"/>
              <w:right w:w="20" w:type="dxa"/>
            </w:tcMar>
            <w:vAlign w:val="center"/>
            <w:hideMark/>
          </w:tcPr>
          <w:p w:rsidR="00000000" w:rsidRDefault="001F1FC8">
            <w:pPr>
              <w:jc w:val="right"/>
              <w:rPr>
                <w:rFonts w:eastAsia="Times New Roman"/>
              </w:rPr>
            </w:pPr>
          </w:p>
        </w:tc>
      </w:tr>
      <w:tr w:rsidR="00000000">
        <w:trPr>
          <w:divId w:val="1725639643"/>
        </w:trPr>
        <w:tc>
          <w:tcPr>
            <w:tcW w:w="0" w:type="auto"/>
            <w:gridSpan w:val="3"/>
            <w:tcMar>
              <w:top w:w="30" w:type="dxa"/>
              <w:left w:w="380" w:type="dxa"/>
              <w:bottom w:w="30" w:type="dxa"/>
              <w:right w:w="20" w:type="dxa"/>
            </w:tcMar>
            <w:vAlign w:val="center"/>
            <w:hideMark/>
          </w:tcPr>
          <w:p w:rsidR="00000000" w:rsidRDefault="001F1FC8">
            <w:pPr>
              <w:rPr>
                <w:rFonts w:eastAsia="Times New Roman"/>
              </w:rPr>
            </w:pPr>
            <w:r>
              <w:rPr>
                <w:rFonts w:ascii="Arial" w:eastAsia="Times New Roman" w:hAnsi="Arial" w:cs="Arial"/>
                <w:color w:val="000000"/>
                <w:sz w:val="18"/>
                <w:szCs w:val="18"/>
              </w:rPr>
              <w:t>Other</w:t>
            </w:r>
          </w:p>
        </w:tc>
        <w:tc>
          <w:tcPr>
            <w:tcW w:w="0" w:type="auto"/>
            <w:gridSpan w:val="2"/>
            <w:shd w:val="clear" w:color="auto" w:fill="D8D8D8"/>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b/>
                <w:bCs/>
                <w:color w:val="000000"/>
                <w:sz w:val="18"/>
                <w:szCs w:val="18"/>
              </w:rPr>
              <w:t>77</w:t>
            </w:r>
            <w:r>
              <w:rPr>
                <w:rFonts w:ascii="Arial" w:eastAsia="Times New Roman" w:hAnsi="Arial" w:cs="Arial"/>
                <w:color w:val="000000"/>
                <w:sz w:val="18"/>
                <w:szCs w:val="18"/>
              </w:rPr>
              <w:t> </w:t>
            </w:r>
          </w:p>
        </w:tc>
        <w:tc>
          <w:tcPr>
            <w:tcW w:w="0" w:type="auto"/>
            <w:shd w:val="clear" w:color="auto" w:fill="D8D8D8"/>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18"/>
                <w:szCs w:val="18"/>
              </w:rPr>
              <w:t>268 </w:t>
            </w:r>
          </w:p>
        </w:tc>
        <w:tc>
          <w:tcPr>
            <w:tcW w:w="0" w:type="auto"/>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18"/>
                <w:szCs w:val="18"/>
              </w:rPr>
              <w:t>56 </w:t>
            </w:r>
          </w:p>
        </w:tc>
        <w:tc>
          <w:tcPr>
            <w:tcW w:w="0" w:type="auto"/>
            <w:tcMar>
              <w:top w:w="30" w:type="dxa"/>
              <w:left w:w="0" w:type="dxa"/>
              <w:bottom w:w="30" w:type="dxa"/>
              <w:right w:w="20" w:type="dxa"/>
            </w:tcMar>
            <w:vAlign w:val="center"/>
            <w:hideMark/>
          </w:tcPr>
          <w:p w:rsidR="00000000" w:rsidRDefault="001F1FC8">
            <w:pPr>
              <w:jc w:val="right"/>
              <w:rPr>
                <w:rFonts w:eastAsia="Times New Roman"/>
              </w:rPr>
            </w:pPr>
          </w:p>
        </w:tc>
      </w:tr>
      <w:tr w:rsidR="00000000">
        <w:trPr>
          <w:divId w:val="1725639643"/>
        </w:trPr>
        <w:tc>
          <w:tcPr>
            <w:tcW w:w="0" w:type="auto"/>
            <w:gridSpan w:val="3"/>
            <w:tcMar>
              <w:top w:w="30" w:type="dxa"/>
              <w:left w:w="20" w:type="dxa"/>
              <w:bottom w:w="30" w:type="dxa"/>
              <w:right w:w="20" w:type="dxa"/>
            </w:tcMar>
            <w:vAlign w:val="center"/>
            <w:hideMark/>
          </w:tcPr>
          <w:p w:rsidR="00000000" w:rsidRDefault="001F1FC8">
            <w:pPr>
              <w:divId w:val="680163970"/>
              <w:rPr>
                <w:rFonts w:eastAsia="Times New Roman"/>
              </w:rPr>
            </w:pPr>
            <w:r>
              <w:rPr>
                <w:rFonts w:ascii="Arial" w:eastAsia="Times New Roman" w:hAnsi="Arial" w:cs="Arial"/>
                <w:color w:val="000000"/>
                <w:sz w:val="18"/>
                <w:szCs w:val="18"/>
              </w:rPr>
              <w:t>Changes in operating assets and liabilities</w:t>
            </w:r>
            <w:r>
              <w:rPr>
                <w:rFonts w:ascii="Arial" w:eastAsia="Times New Roman" w:hAnsi="Arial" w:cs="Arial"/>
                <w:i/>
                <w:iCs/>
                <w:color w:val="000000"/>
                <w:sz w:val="18"/>
                <w:szCs w:val="18"/>
              </w:rPr>
              <w:t xml:space="preserve"> </w:t>
            </w:r>
            <w:r>
              <w:rPr>
                <w:rFonts w:ascii="Arial" w:eastAsia="Times New Roman" w:hAnsi="Arial" w:cs="Arial"/>
                <w:i/>
                <w:iCs/>
                <w:color w:val="000000"/>
                <w:sz w:val="14"/>
                <w:szCs w:val="14"/>
              </w:rPr>
              <w:t>(Note 28)</w:t>
            </w:r>
          </w:p>
        </w:tc>
        <w:tc>
          <w:tcPr>
            <w:tcW w:w="0" w:type="auto"/>
            <w:gridSpan w:val="2"/>
            <w:shd w:val="clear" w:color="auto" w:fill="D8D8D8"/>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b/>
                <w:bCs/>
                <w:color w:val="000000"/>
                <w:sz w:val="18"/>
                <w:szCs w:val="18"/>
              </w:rPr>
              <w:t>(1,616)</w:t>
            </w:r>
          </w:p>
        </w:tc>
        <w:tc>
          <w:tcPr>
            <w:tcW w:w="0" w:type="auto"/>
            <w:shd w:val="clear" w:color="auto" w:fill="D8D8D8"/>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18"/>
                <w:szCs w:val="18"/>
              </w:rPr>
              <w:t>93 </w:t>
            </w:r>
          </w:p>
        </w:tc>
        <w:tc>
          <w:tcPr>
            <w:tcW w:w="0" w:type="auto"/>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18"/>
                <w:szCs w:val="18"/>
              </w:rPr>
              <w:t>(259)</w:t>
            </w:r>
          </w:p>
        </w:tc>
        <w:tc>
          <w:tcPr>
            <w:tcW w:w="0" w:type="auto"/>
            <w:tcMar>
              <w:top w:w="30" w:type="dxa"/>
              <w:left w:w="0" w:type="dxa"/>
              <w:bottom w:w="30" w:type="dxa"/>
              <w:right w:w="20" w:type="dxa"/>
            </w:tcMar>
            <w:vAlign w:val="center"/>
            <w:hideMark/>
          </w:tcPr>
          <w:p w:rsidR="00000000" w:rsidRDefault="001F1FC8">
            <w:pPr>
              <w:jc w:val="right"/>
              <w:rPr>
                <w:rFonts w:eastAsia="Times New Roman"/>
              </w:rPr>
            </w:pPr>
          </w:p>
        </w:tc>
      </w:tr>
      <w:tr w:rsidR="00000000">
        <w:trPr>
          <w:divId w:val="1725639643"/>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1F1FC8">
            <w:pPr>
              <w:rPr>
                <w:rFonts w:eastAsia="Times New Roman"/>
              </w:rPr>
            </w:pPr>
            <w:r>
              <w:rPr>
                <w:rFonts w:ascii="Arial" w:eastAsia="Times New Roman" w:hAnsi="Arial" w:cs="Arial"/>
                <w:color w:val="000000"/>
                <w:sz w:val="18"/>
                <w:szCs w:val="18"/>
              </w:rPr>
              <w:t>Net cash provided by operating activities</w:t>
            </w:r>
          </w:p>
        </w:tc>
        <w:tc>
          <w:tcPr>
            <w:tcW w:w="0" w:type="auto"/>
            <w:gridSpan w:val="2"/>
            <w:tcBorders>
              <w:top w:val="single" w:sz="4" w:space="0" w:color="000000"/>
            </w:tcBorders>
            <w:shd w:val="clear" w:color="auto" w:fill="D9D9D9"/>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b/>
                <w:bCs/>
                <w:color w:val="000000"/>
                <w:sz w:val="18"/>
                <w:szCs w:val="18"/>
              </w:rPr>
              <w:t>9,256</w:t>
            </w:r>
            <w:r>
              <w:rPr>
                <w:rFonts w:ascii="Arial" w:eastAsia="Times New Roman" w:hAnsi="Arial" w:cs="Arial"/>
                <w:color w:val="000000"/>
                <w:sz w:val="18"/>
                <w:szCs w:val="18"/>
              </w:rPr>
              <w:t> </w:t>
            </w:r>
          </w:p>
        </w:tc>
        <w:tc>
          <w:tcPr>
            <w:tcW w:w="0" w:type="auto"/>
            <w:tcBorders>
              <w:top w:val="single" w:sz="4" w:space="0" w:color="000000"/>
            </w:tcBorders>
            <w:shd w:val="clear" w:color="auto" w:fill="D9D9D9"/>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18"/>
                <w:szCs w:val="18"/>
              </w:rPr>
              <w:t>9,781 </w:t>
            </w:r>
          </w:p>
        </w:tc>
        <w:tc>
          <w:tcPr>
            <w:tcW w:w="0" w:type="auto"/>
            <w:tcBorders>
              <w:top w:val="single" w:sz="4" w:space="0" w:color="000000"/>
            </w:tcBorders>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18"/>
                <w:szCs w:val="18"/>
              </w:rPr>
              <w:t>9,398 </w:t>
            </w:r>
          </w:p>
        </w:tc>
        <w:tc>
          <w:tcPr>
            <w:tcW w:w="0" w:type="auto"/>
            <w:tcBorders>
              <w:top w:val="single" w:sz="4" w:space="0" w:color="000000"/>
            </w:tcBorders>
            <w:tcMar>
              <w:top w:w="30" w:type="dxa"/>
              <w:left w:w="0" w:type="dxa"/>
              <w:bottom w:w="30" w:type="dxa"/>
              <w:right w:w="20" w:type="dxa"/>
            </w:tcMar>
            <w:vAlign w:val="center"/>
            <w:hideMark/>
          </w:tcPr>
          <w:p w:rsidR="00000000" w:rsidRDefault="001F1FC8">
            <w:pPr>
              <w:jc w:val="right"/>
              <w:rPr>
                <w:rFonts w:eastAsia="Times New Roman"/>
              </w:rPr>
            </w:pPr>
          </w:p>
        </w:tc>
      </w:tr>
      <w:tr w:rsidR="00000000">
        <w:trPr>
          <w:divId w:val="1725639643"/>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1F1FC8">
            <w:pPr>
              <w:rPr>
                <w:rFonts w:eastAsia="Times New Roman"/>
              </w:rPr>
            </w:pPr>
            <w:r>
              <w:rPr>
                <w:rFonts w:ascii="Arial" w:eastAsia="Times New Roman" w:hAnsi="Arial" w:cs="Arial"/>
                <w:b/>
                <w:bCs/>
                <w:color w:val="000000"/>
                <w:sz w:val="18"/>
                <w:szCs w:val="18"/>
              </w:rPr>
              <w:t>Investing activities</w:t>
            </w:r>
          </w:p>
        </w:tc>
        <w:tc>
          <w:tcPr>
            <w:tcW w:w="0" w:type="auto"/>
            <w:gridSpan w:val="3"/>
            <w:tcBorders>
              <w:top w:val="single" w:sz="4" w:space="0" w:color="000000"/>
            </w:tcBorders>
            <w:shd w:val="clear" w:color="auto" w:fill="D8D8D8"/>
            <w:tcMar>
              <w:top w:w="30" w:type="dxa"/>
              <w:left w:w="20" w:type="dxa"/>
              <w:bottom w:w="30" w:type="dxa"/>
              <w:right w:w="20" w:type="dxa"/>
            </w:tcMar>
            <w:vAlign w:val="center"/>
            <w:hideMark/>
          </w:tcPr>
          <w:p w:rsidR="00000000" w:rsidRDefault="001F1FC8">
            <w:pPr>
              <w:jc w:val="right"/>
              <w:rPr>
                <w:rFonts w:eastAsia="Times New Roman"/>
              </w:rPr>
            </w:pPr>
            <w:r>
              <w:rPr>
                <w:rFonts w:ascii="Arial" w:eastAsia="Times New Roman" w:hAnsi="Arial" w:cs="Arial"/>
                <w:color w:val="000000"/>
                <w:sz w:val="18"/>
                <w:szCs w:val="18"/>
              </w:rPr>
              <w:t> </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1F1FC8">
            <w:pPr>
              <w:jc w:val="right"/>
              <w:rPr>
                <w:rFonts w:eastAsia="Times New Roman"/>
              </w:rPr>
            </w:pPr>
            <w:r>
              <w:rPr>
                <w:rFonts w:ascii="Arial" w:eastAsia="Times New Roman" w:hAnsi="Arial" w:cs="Arial"/>
                <w:color w:val="000000"/>
                <w:sz w:val="18"/>
                <w:szCs w:val="18"/>
              </w:rPr>
              <w:t> </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1F1FC8">
            <w:pPr>
              <w:jc w:val="right"/>
              <w:rPr>
                <w:rFonts w:eastAsia="Times New Roman"/>
              </w:rPr>
            </w:pPr>
            <w:r>
              <w:rPr>
                <w:rFonts w:ascii="Arial" w:eastAsia="Times New Roman" w:hAnsi="Arial" w:cs="Arial"/>
                <w:color w:val="000000"/>
                <w:sz w:val="18"/>
                <w:szCs w:val="18"/>
              </w:rPr>
              <w:t> </w:t>
            </w:r>
          </w:p>
        </w:tc>
      </w:tr>
      <w:tr w:rsidR="00000000">
        <w:trPr>
          <w:divId w:val="1725639643"/>
        </w:trPr>
        <w:tc>
          <w:tcPr>
            <w:tcW w:w="0" w:type="auto"/>
            <w:gridSpan w:val="3"/>
            <w:tcMar>
              <w:top w:w="30" w:type="dxa"/>
              <w:left w:w="245" w:type="dxa"/>
              <w:bottom w:w="30" w:type="dxa"/>
              <w:right w:w="20" w:type="dxa"/>
            </w:tcMar>
            <w:vAlign w:val="center"/>
            <w:hideMark/>
          </w:tcPr>
          <w:p w:rsidR="00000000" w:rsidRDefault="001F1FC8">
            <w:pPr>
              <w:rPr>
                <w:rFonts w:eastAsia="Times New Roman"/>
              </w:rPr>
            </w:pPr>
            <w:r>
              <w:rPr>
                <w:rFonts w:ascii="Arial" w:eastAsia="Times New Roman" w:hAnsi="Arial" w:cs="Arial"/>
                <w:color w:val="000000"/>
                <w:sz w:val="18"/>
                <w:szCs w:val="18"/>
              </w:rPr>
              <w:t>Capital expenditures</w:t>
            </w:r>
          </w:p>
        </w:tc>
        <w:tc>
          <w:tcPr>
            <w:tcW w:w="0" w:type="auto"/>
            <w:gridSpan w:val="2"/>
            <w:shd w:val="clear" w:color="auto" w:fill="D8D8D8"/>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b/>
                <w:bCs/>
                <w:color w:val="000000"/>
                <w:sz w:val="18"/>
                <w:szCs w:val="18"/>
              </w:rPr>
              <w:t>(7,818)</w:t>
            </w:r>
          </w:p>
        </w:tc>
        <w:tc>
          <w:tcPr>
            <w:tcW w:w="0" w:type="auto"/>
            <w:shd w:val="clear" w:color="auto" w:fill="D8D8D8"/>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18"/>
                <w:szCs w:val="18"/>
              </w:rPr>
              <w:t>(5,405)</w:t>
            </w:r>
          </w:p>
        </w:tc>
        <w:tc>
          <w:tcPr>
            <w:tcW w:w="0" w:type="auto"/>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18"/>
                <w:szCs w:val="18"/>
              </w:rPr>
              <w:t>(5,492)</w:t>
            </w:r>
          </w:p>
        </w:tc>
        <w:tc>
          <w:tcPr>
            <w:tcW w:w="0" w:type="auto"/>
            <w:tcMar>
              <w:top w:w="30" w:type="dxa"/>
              <w:left w:w="0" w:type="dxa"/>
              <w:bottom w:w="30" w:type="dxa"/>
              <w:right w:w="20" w:type="dxa"/>
            </w:tcMar>
            <w:vAlign w:val="center"/>
            <w:hideMark/>
          </w:tcPr>
          <w:p w:rsidR="00000000" w:rsidRDefault="001F1FC8">
            <w:pPr>
              <w:jc w:val="right"/>
              <w:rPr>
                <w:rFonts w:eastAsia="Times New Roman"/>
              </w:rPr>
            </w:pPr>
          </w:p>
        </w:tc>
      </w:tr>
      <w:tr w:rsidR="00000000">
        <w:trPr>
          <w:divId w:val="1725639643"/>
        </w:trPr>
        <w:tc>
          <w:tcPr>
            <w:tcW w:w="0" w:type="auto"/>
            <w:gridSpan w:val="3"/>
            <w:tcMar>
              <w:top w:w="30" w:type="dxa"/>
              <w:left w:w="245" w:type="dxa"/>
              <w:bottom w:w="30" w:type="dxa"/>
              <w:right w:w="20" w:type="dxa"/>
            </w:tcMar>
            <w:vAlign w:val="center"/>
            <w:hideMark/>
          </w:tcPr>
          <w:p w:rsidR="00000000" w:rsidRDefault="001F1FC8">
            <w:pPr>
              <w:rPr>
                <w:rFonts w:eastAsia="Times New Roman"/>
              </w:rPr>
            </w:pPr>
            <w:r>
              <w:rPr>
                <w:rFonts w:ascii="Arial" w:eastAsia="Times New Roman" w:hAnsi="Arial" w:cs="Arial"/>
                <w:color w:val="000000"/>
                <w:sz w:val="18"/>
                <w:szCs w:val="18"/>
              </w:rPr>
              <w:t>Long-term investments and restricted long-term investments</w:t>
            </w:r>
          </w:p>
        </w:tc>
        <w:tc>
          <w:tcPr>
            <w:tcW w:w="0" w:type="auto"/>
            <w:gridSpan w:val="2"/>
            <w:shd w:val="clear" w:color="auto" w:fill="D8D8D8"/>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b/>
                <w:bCs/>
                <w:color w:val="000000"/>
                <w:sz w:val="18"/>
                <w:szCs w:val="18"/>
              </w:rPr>
              <w:t>(640)</w:t>
            </w:r>
          </w:p>
        </w:tc>
        <w:tc>
          <w:tcPr>
            <w:tcW w:w="0" w:type="auto"/>
            <w:shd w:val="clear" w:color="auto" w:fill="D8D8D8"/>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18"/>
                <w:szCs w:val="18"/>
              </w:rPr>
              <w:t>(487)</w:t>
            </w:r>
          </w:p>
        </w:tc>
        <w:tc>
          <w:tcPr>
            <w:tcW w:w="0" w:type="auto"/>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18"/>
                <w:szCs w:val="18"/>
              </w:rPr>
              <w:t>(1,159)</w:t>
            </w:r>
          </w:p>
        </w:tc>
        <w:tc>
          <w:tcPr>
            <w:tcW w:w="0" w:type="auto"/>
            <w:tcMar>
              <w:top w:w="30" w:type="dxa"/>
              <w:left w:w="0" w:type="dxa"/>
              <w:bottom w:w="30" w:type="dxa"/>
              <w:right w:w="20" w:type="dxa"/>
            </w:tcMar>
            <w:vAlign w:val="center"/>
            <w:hideMark/>
          </w:tcPr>
          <w:p w:rsidR="00000000" w:rsidRDefault="001F1FC8">
            <w:pPr>
              <w:jc w:val="right"/>
              <w:rPr>
                <w:rFonts w:eastAsia="Times New Roman"/>
              </w:rPr>
            </w:pPr>
          </w:p>
        </w:tc>
      </w:tr>
      <w:tr w:rsidR="00000000">
        <w:trPr>
          <w:divId w:val="1725639643"/>
        </w:trPr>
        <w:tc>
          <w:tcPr>
            <w:tcW w:w="0" w:type="auto"/>
            <w:gridSpan w:val="3"/>
            <w:tcMar>
              <w:top w:w="30" w:type="dxa"/>
              <w:left w:w="245" w:type="dxa"/>
              <w:bottom w:w="30" w:type="dxa"/>
              <w:right w:w="20" w:type="dxa"/>
            </w:tcMar>
            <w:vAlign w:val="center"/>
            <w:hideMark/>
          </w:tcPr>
          <w:p w:rsidR="00000000" w:rsidRDefault="001F1FC8">
            <w:pPr>
              <w:rPr>
                <w:rFonts w:eastAsia="Times New Roman"/>
              </w:rPr>
            </w:pPr>
            <w:r>
              <w:rPr>
                <w:rFonts w:ascii="Arial" w:eastAsia="Times New Roman" w:hAnsi="Arial" w:cs="Arial"/>
                <w:color w:val="000000"/>
                <w:sz w:val="18"/>
                <w:szCs w:val="18"/>
              </w:rPr>
              <w:t>Distributions from equity investments in excess of cumulative earnings</w:t>
            </w:r>
          </w:p>
        </w:tc>
        <w:tc>
          <w:tcPr>
            <w:tcW w:w="0" w:type="auto"/>
            <w:gridSpan w:val="2"/>
            <w:shd w:val="clear" w:color="auto" w:fill="D8D8D8"/>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b/>
                <w:bCs/>
                <w:color w:val="000000"/>
                <w:sz w:val="18"/>
                <w:szCs w:val="18"/>
              </w:rPr>
              <w:t>533</w:t>
            </w:r>
            <w:r>
              <w:rPr>
                <w:rFonts w:ascii="Arial" w:eastAsia="Times New Roman" w:hAnsi="Arial" w:cs="Arial"/>
                <w:color w:val="000000"/>
                <w:sz w:val="18"/>
                <w:szCs w:val="18"/>
              </w:rPr>
              <w:t> </w:t>
            </w:r>
          </w:p>
        </w:tc>
        <w:tc>
          <w:tcPr>
            <w:tcW w:w="0" w:type="auto"/>
            <w:shd w:val="clear" w:color="auto" w:fill="D8D8D8"/>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18"/>
                <w:szCs w:val="18"/>
              </w:rPr>
              <w:t>705 </w:t>
            </w:r>
          </w:p>
        </w:tc>
        <w:tc>
          <w:tcPr>
            <w:tcW w:w="0" w:type="auto"/>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18"/>
                <w:szCs w:val="18"/>
              </w:rPr>
              <w:t>417 </w:t>
            </w:r>
          </w:p>
        </w:tc>
        <w:tc>
          <w:tcPr>
            <w:tcW w:w="0" w:type="auto"/>
            <w:tcMar>
              <w:top w:w="30" w:type="dxa"/>
              <w:left w:w="0" w:type="dxa"/>
              <w:bottom w:w="30" w:type="dxa"/>
              <w:right w:w="20" w:type="dxa"/>
            </w:tcMar>
            <w:vAlign w:val="center"/>
            <w:hideMark/>
          </w:tcPr>
          <w:p w:rsidR="00000000" w:rsidRDefault="001F1FC8">
            <w:pPr>
              <w:jc w:val="right"/>
              <w:rPr>
                <w:rFonts w:eastAsia="Times New Roman"/>
              </w:rPr>
            </w:pPr>
          </w:p>
        </w:tc>
      </w:tr>
      <w:tr w:rsidR="00000000">
        <w:trPr>
          <w:divId w:val="1725639643"/>
        </w:trPr>
        <w:tc>
          <w:tcPr>
            <w:tcW w:w="0" w:type="auto"/>
            <w:gridSpan w:val="3"/>
            <w:tcMar>
              <w:top w:w="30" w:type="dxa"/>
              <w:left w:w="245" w:type="dxa"/>
              <w:bottom w:w="30" w:type="dxa"/>
              <w:right w:w="20" w:type="dxa"/>
            </w:tcMar>
            <w:vAlign w:val="center"/>
            <w:hideMark/>
          </w:tcPr>
          <w:p w:rsidR="00000000" w:rsidRDefault="001F1FC8">
            <w:pPr>
              <w:rPr>
                <w:rFonts w:eastAsia="Times New Roman"/>
              </w:rPr>
            </w:pPr>
            <w:r>
              <w:rPr>
                <w:rFonts w:ascii="Arial" w:eastAsia="Times New Roman" w:hAnsi="Arial" w:cs="Arial"/>
                <w:color w:val="000000"/>
                <w:sz w:val="18"/>
                <w:szCs w:val="18"/>
              </w:rPr>
              <w:t>Additions to intangible assets</w:t>
            </w:r>
          </w:p>
        </w:tc>
        <w:tc>
          <w:tcPr>
            <w:tcW w:w="0" w:type="auto"/>
            <w:gridSpan w:val="2"/>
            <w:shd w:val="clear" w:color="auto" w:fill="D8D8D8"/>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b/>
                <w:bCs/>
                <w:color w:val="000000"/>
                <w:sz w:val="18"/>
                <w:szCs w:val="18"/>
              </w:rPr>
              <w:t>(275)</w:t>
            </w:r>
          </w:p>
        </w:tc>
        <w:tc>
          <w:tcPr>
            <w:tcW w:w="0" w:type="auto"/>
            <w:shd w:val="clear" w:color="auto" w:fill="D8D8D8"/>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18"/>
                <w:szCs w:val="18"/>
              </w:rPr>
              <w:t>(215)</w:t>
            </w:r>
          </w:p>
        </w:tc>
        <w:tc>
          <w:tcPr>
            <w:tcW w:w="0" w:type="auto"/>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18"/>
                <w:szCs w:val="18"/>
              </w:rPr>
              <w:t>(200)</w:t>
            </w:r>
          </w:p>
        </w:tc>
        <w:tc>
          <w:tcPr>
            <w:tcW w:w="0" w:type="auto"/>
            <w:tcMar>
              <w:top w:w="30" w:type="dxa"/>
              <w:left w:w="0" w:type="dxa"/>
              <w:bottom w:w="30" w:type="dxa"/>
              <w:right w:w="20" w:type="dxa"/>
            </w:tcMar>
            <w:vAlign w:val="center"/>
            <w:hideMark/>
          </w:tcPr>
          <w:p w:rsidR="00000000" w:rsidRDefault="001F1FC8">
            <w:pPr>
              <w:jc w:val="right"/>
              <w:rPr>
                <w:rFonts w:eastAsia="Times New Roman"/>
              </w:rPr>
            </w:pPr>
          </w:p>
        </w:tc>
      </w:tr>
      <w:tr w:rsidR="00000000">
        <w:trPr>
          <w:divId w:val="1725639643"/>
        </w:trPr>
        <w:tc>
          <w:tcPr>
            <w:tcW w:w="0" w:type="auto"/>
            <w:gridSpan w:val="3"/>
            <w:tcMar>
              <w:top w:w="30" w:type="dxa"/>
              <w:left w:w="245" w:type="dxa"/>
              <w:bottom w:w="30" w:type="dxa"/>
              <w:right w:w="20" w:type="dxa"/>
            </w:tcMar>
            <w:vAlign w:val="center"/>
            <w:hideMark/>
          </w:tcPr>
          <w:p w:rsidR="00000000" w:rsidRDefault="001F1FC8">
            <w:pPr>
              <w:rPr>
                <w:rFonts w:eastAsia="Times New Roman"/>
              </w:rPr>
            </w:pPr>
            <w:r>
              <w:rPr>
                <w:rFonts w:ascii="Arial" w:eastAsia="Times New Roman" w:hAnsi="Arial" w:cs="Arial"/>
                <w:color w:val="000000"/>
                <w:sz w:val="18"/>
                <w:szCs w:val="18"/>
              </w:rPr>
              <w:t>Acquisitions</w:t>
            </w:r>
          </w:p>
        </w:tc>
        <w:tc>
          <w:tcPr>
            <w:tcW w:w="0" w:type="auto"/>
            <w:gridSpan w:val="2"/>
            <w:shd w:val="clear" w:color="auto" w:fill="D8D8D8"/>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b/>
                <w:bCs/>
                <w:color w:val="000000"/>
                <w:sz w:val="18"/>
                <w:szCs w:val="18"/>
              </w:rPr>
              <w:t>(3,785)</w:t>
            </w:r>
          </w:p>
        </w:tc>
        <w:tc>
          <w:tcPr>
            <w:tcW w:w="0" w:type="auto"/>
            <w:shd w:val="clear" w:color="auto" w:fill="D8D8D8"/>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18"/>
                <w:szCs w:val="18"/>
              </w:rPr>
              <w:t>(24)</w:t>
            </w:r>
          </w:p>
        </w:tc>
        <w:tc>
          <w:tcPr>
            <w:tcW w:w="0" w:type="auto"/>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18"/>
                <w:szCs w:val="18"/>
              </w:rPr>
              <w:t>— </w:t>
            </w:r>
          </w:p>
        </w:tc>
        <w:tc>
          <w:tcPr>
            <w:tcW w:w="0" w:type="auto"/>
            <w:tcMar>
              <w:top w:w="30" w:type="dxa"/>
              <w:left w:w="0" w:type="dxa"/>
              <w:bottom w:w="30" w:type="dxa"/>
              <w:right w:w="20" w:type="dxa"/>
            </w:tcMar>
            <w:vAlign w:val="center"/>
            <w:hideMark/>
          </w:tcPr>
          <w:p w:rsidR="00000000" w:rsidRDefault="001F1FC8">
            <w:pPr>
              <w:jc w:val="right"/>
              <w:rPr>
                <w:rFonts w:eastAsia="Times New Roman"/>
              </w:rPr>
            </w:pPr>
          </w:p>
        </w:tc>
      </w:tr>
      <w:tr w:rsidR="00000000">
        <w:trPr>
          <w:divId w:val="1725639643"/>
        </w:trPr>
        <w:tc>
          <w:tcPr>
            <w:tcW w:w="0" w:type="auto"/>
            <w:gridSpan w:val="3"/>
            <w:tcMar>
              <w:top w:w="30" w:type="dxa"/>
              <w:left w:w="245" w:type="dxa"/>
              <w:bottom w:w="30" w:type="dxa"/>
              <w:right w:w="20" w:type="dxa"/>
            </w:tcMar>
            <w:vAlign w:val="center"/>
            <w:hideMark/>
          </w:tcPr>
          <w:p w:rsidR="00000000" w:rsidRDefault="001F1FC8">
            <w:pPr>
              <w:rPr>
                <w:rFonts w:eastAsia="Times New Roman"/>
              </w:rPr>
            </w:pPr>
            <w:r>
              <w:rPr>
                <w:rFonts w:ascii="Arial" w:eastAsia="Times New Roman" w:hAnsi="Arial" w:cs="Arial"/>
                <w:color w:val="000000"/>
                <w:sz w:val="18"/>
                <w:szCs w:val="18"/>
              </w:rPr>
              <w:t>Proceeds from dispositions</w:t>
            </w:r>
          </w:p>
        </w:tc>
        <w:tc>
          <w:tcPr>
            <w:tcW w:w="0" w:type="auto"/>
            <w:gridSpan w:val="2"/>
            <w:shd w:val="clear" w:color="auto" w:fill="D8D8D8"/>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b/>
                <w:bCs/>
                <w:color w:val="000000"/>
                <w:sz w:val="18"/>
                <w:szCs w:val="18"/>
              </w:rPr>
              <w:t>1,263</w:t>
            </w:r>
            <w:r>
              <w:rPr>
                <w:rFonts w:ascii="Arial" w:eastAsia="Times New Roman" w:hAnsi="Arial" w:cs="Arial"/>
                <w:color w:val="000000"/>
                <w:sz w:val="18"/>
                <w:szCs w:val="18"/>
              </w:rPr>
              <w:t> </w:t>
            </w:r>
          </w:p>
        </w:tc>
        <w:tc>
          <w:tcPr>
            <w:tcW w:w="0" w:type="auto"/>
            <w:shd w:val="clear" w:color="auto" w:fill="D8D8D8"/>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18"/>
                <w:szCs w:val="18"/>
              </w:rPr>
              <w:t>265 </w:t>
            </w:r>
          </w:p>
        </w:tc>
        <w:tc>
          <w:tcPr>
            <w:tcW w:w="0" w:type="auto"/>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18"/>
                <w:szCs w:val="18"/>
              </w:rPr>
              <w:t>2,110 </w:t>
            </w:r>
          </w:p>
        </w:tc>
        <w:tc>
          <w:tcPr>
            <w:tcW w:w="0" w:type="auto"/>
            <w:tcMar>
              <w:top w:w="30" w:type="dxa"/>
              <w:left w:w="0" w:type="dxa"/>
              <w:bottom w:w="30" w:type="dxa"/>
              <w:right w:w="20" w:type="dxa"/>
            </w:tcMar>
            <w:vAlign w:val="center"/>
            <w:hideMark/>
          </w:tcPr>
          <w:p w:rsidR="00000000" w:rsidRDefault="001F1FC8">
            <w:pPr>
              <w:jc w:val="right"/>
              <w:rPr>
                <w:rFonts w:eastAsia="Times New Roman"/>
              </w:rPr>
            </w:pPr>
          </w:p>
        </w:tc>
      </w:tr>
      <w:tr w:rsidR="00000000">
        <w:trPr>
          <w:divId w:val="1725639643"/>
        </w:trPr>
        <w:tc>
          <w:tcPr>
            <w:tcW w:w="0" w:type="auto"/>
            <w:gridSpan w:val="3"/>
            <w:tcMar>
              <w:top w:w="30" w:type="dxa"/>
              <w:left w:w="245" w:type="dxa"/>
              <w:bottom w:w="30" w:type="dxa"/>
              <w:right w:w="20" w:type="dxa"/>
            </w:tcMar>
            <w:vAlign w:val="center"/>
            <w:hideMark/>
          </w:tcPr>
          <w:p w:rsidR="00000000" w:rsidRDefault="001F1FC8">
            <w:pPr>
              <w:rPr>
                <w:rFonts w:eastAsia="Times New Roman"/>
              </w:rPr>
            </w:pPr>
            <w:r>
              <w:rPr>
                <w:rFonts w:ascii="Arial" w:eastAsia="Times New Roman" w:hAnsi="Arial" w:cs="Arial"/>
                <w:color w:val="000000"/>
                <w:sz w:val="18"/>
                <w:szCs w:val="18"/>
              </w:rPr>
              <w:t>Affiliate loans, net</w:t>
            </w:r>
          </w:p>
        </w:tc>
        <w:tc>
          <w:tcPr>
            <w:tcW w:w="0" w:type="auto"/>
            <w:gridSpan w:val="2"/>
            <w:shd w:val="clear" w:color="auto" w:fill="D8D8D8"/>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b/>
                <w:bCs/>
                <w:color w:val="000000"/>
                <w:sz w:val="18"/>
                <w:szCs w:val="18"/>
              </w:rPr>
              <w:t>65</w:t>
            </w:r>
            <w:r>
              <w:rPr>
                <w:rFonts w:ascii="Arial" w:eastAsia="Times New Roman" w:hAnsi="Arial" w:cs="Arial"/>
                <w:color w:val="000000"/>
                <w:sz w:val="18"/>
                <w:szCs w:val="18"/>
              </w:rPr>
              <w:t> </w:t>
            </w:r>
          </w:p>
        </w:tc>
        <w:tc>
          <w:tcPr>
            <w:tcW w:w="0" w:type="auto"/>
            <w:shd w:val="clear" w:color="auto" w:fill="D8D8D8"/>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18"/>
                <w:szCs w:val="18"/>
              </w:rPr>
              <w:t>(16)</w:t>
            </w:r>
          </w:p>
        </w:tc>
        <w:tc>
          <w:tcPr>
            <w:tcW w:w="0" w:type="auto"/>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18"/>
                <w:szCs w:val="18"/>
              </w:rPr>
              <w:t>(314)</w:t>
            </w:r>
          </w:p>
        </w:tc>
        <w:tc>
          <w:tcPr>
            <w:tcW w:w="0" w:type="auto"/>
            <w:tcMar>
              <w:top w:w="30" w:type="dxa"/>
              <w:left w:w="0" w:type="dxa"/>
              <w:bottom w:w="30" w:type="dxa"/>
              <w:right w:w="20" w:type="dxa"/>
            </w:tcMar>
            <w:vAlign w:val="center"/>
            <w:hideMark/>
          </w:tcPr>
          <w:p w:rsidR="00000000" w:rsidRDefault="001F1FC8">
            <w:pPr>
              <w:jc w:val="right"/>
              <w:rPr>
                <w:rFonts w:eastAsia="Times New Roman"/>
              </w:rPr>
            </w:pPr>
          </w:p>
        </w:tc>
      </w:tr>
      <w:tr w:rsidR="00000000">
        <w:trPr>
          <w:divId w:val="1725639643"/>
        </w:trPr>
        <w:tc>
          <w:tcPr>
            <w:tcW w:w="0" w:type="auto"/>
            <w:gridSpan w:val="3"/>
            <w:tcMar>
              <w:top w:w="30" w:type="dxa"/>
              <w:left w:w="245" w:type="dxa"/>
              <w:bottom w:w="30" w:type="dxa"/>
              <w:right w:w="20" w:type="dxa"/>
            </w:tcMar>
            <w:vAlign w:val="center"/>
            <w:hideMark/>
          </w:tcPr>
          <w:p w:rsidR="00000000" w:rsidRDefault="001F1FC8">
            <w:pPr>
              <w:rPr>
                <w:rFonts w:eastAsia="Times New Roman"/>
              </w:rPr>
            </w:pPr>
            <w:r>
              <w:rPr>
                <w:rFonts w:ascii="Arial" w:eastAsia="Times New Roman" w:hAnsi="Arial" w:cs="Arial"/>
                <w:color w:val="000000"/>
                <w:sz w:val="18"/>
                <w:szCs w:val="18"/>
              </w:rPr>
              <w:t>Other</w:t>
            </w:r>
          </w:p>
        </w:tc>
        <w:tc>
          <w:tcPr>
            <w:tcW w:w="0" w:type="auto"/>
            <w:gridSpan w:val="2"/>
            <w:shd w:val="clear" w:color="auto" w:fill="D8D8D8"/>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b/>
                <w:bCs/>
                <w:color w:val="000000"/>
                <w:sz w:val="18"/>
                <w:szCs w:val="18"/>
              </w:rPr>
              <w:t>—</w:t>
            </w:r>
            <w:r>
              <w:rPr>
                <w:rFonts w:ascii="Arial" w:eastAsia="Times New Roman" w:hAnsi="Arial" w:cs="Arial"/>
                <w:color w:val="000000"/>
                <w:sz w:val="18"/>
                <w:szCs w:val="18"/>
              </w:rPr>
              <w:t> </w:t>
            </w:r>
          </w:p>
        </w:tc>
        <w:tc>
          <w:tcPr>
            <w:tcW w:w="0" w:type="auto"/>
            <w:shd w:val="clear" w:color="auto" w:fill="D8D8D8"/>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18"/>
                <w:szCs w:val="18"/>
              </w:rPr>
              <w:t>— </w:t>
            </w:r>
          </w:p>
        </w:tc>
        <w:tc>
          <w:tcPr>
            <w:tcW w:w="0" w:type="auto"/>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18"/>
                <w:szCs w:val="18"/>
              </w:rPr>
              <w:t>(20)</w:t>
            </w:r>
          </w:p>
        </w:tc>
        <w:tc>
          <w:tcPr>
            <w:tcW w:w="0" w:type="auto"/>
            <w:tcMar>
              <w:top w:w="30" w:type="dxa"/>
              <w:left w:w="0" w:type="dxa"/>
              <w:bottom w:w="30" w:type="dxa"/>
              <w:right w:w="20" w:type="dxa"/>
            </w:tcMar>
            <w:vAlign w:val="center"/>
            <w:hideMark/>
          </w:tcPr>
          <w:p w:rsidR="00000000" w:rsidRDefault="001F1FC8">
            <w:pPr>
              <w:jc w:val="right"/>
              <w:rPr>
                <w:rFonts w:eastAsia="Times New Roman"/>
              </w:rPr>
            </w:pPr>
          </w:p>
        </w:tc>
      </w:tr>
      <w:tr w:rsidR="00000000">
        <w:trPr>
          <w:divId w:val="1725639643"/>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1F1FC8">
            <w:pPr>
              <w:rPr>
                <w:rFonts w:eastAsia="Times New Roman"/>
              </w:rPr>
            </w:pPr>
            <w:r>
              <w:rPr>
                <w:rFonts w:ascii="Arial" w:eastAsia="Times New Roman" w:hAnsi="Arial" w:cs="Arial"/>
                <w:color w:val="000000"/>
                <w:sz w:val="18"/>
                <w:szCs w:val="18"/>
              </w:rPr>
              <w:t>Net cash used in investing activities</w:t>
            </w:r>
          </w:p>
        </w:tc>
        <w:tc>
          <w:tcPr>
            <w:tcW w:w="0" w:type="auto"/>
            <w:gridSpan w:val="2"/>
            <w:tcBorders>
              <w:top w:val="single" w:sz="4" w:space="0" w:color="000000"/>
            </w:tcBorders>
            <w:shd w:val="clear" w:color="auto" w:fill="D9D9D9"/>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b/>
                <w:bCs/>
                <w:color w:val="000000"/>
                <w:sz w:val="18"/>
                <w:szCs w:val="18"/>
              </w:rPr>
              <w:t>(10,657)</w:t>
            </w:r>
          </w:p>
        </w:tc>
        <w:tc>
          <w:tcPr>
            <w:tcW w:w="0" w:type="auto"/>
            <w:tcBorders>
              <w:top w:val="single" w:sz="4" w:space="0" w:color="000000"/>
            </w:tcBorders>
            <w:shd w:val="clear" w:color="auto" w:fill="D9D9D9"/>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18"/>
                <w:szCs w:val="18"/>
              </w:rPr>
              <w:t>(5,177)</w:t>
            </w:r>
          </w:p>
        </w:tc>
        <w:tc>
          <w:tcPr>
            <w:tcW w:w="0" w:type="auto"/>
            <w:tcBorders>
              <w:top w:val="single" w:sz="4" w:space="0" w:color="000000"/>
            </w:tcBorders>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18"/>
                <w:szCs w:val="18"/>
              </w:rPr>
              <w:t>(4,658)</w:t>
            </w:r>
          </w:p>
        </w:tc>
        <w:tc>
          <w:tcPr>
            <w:tcW w:w="0" w:type="auto"/>
            <w:tcBorders>
              <w:top w:val="single" w:sz="4" w:space="0" w:color="000000"/>
            </w:tcBorders>
            <w:tcMar>
              <w:top w:w="30" w:type="dxa"/>
              <w:left w:w="0" w:type="dxa"/>
              <w:bottom w:w="30" w:type="dxa"/>
              <w:right w:w="20" w:type="dxa"/>
            </w:tcMar>
            <w:vAlign w:val="center"/>
            <w:hideMark/>
          </w:tcPr>
          <w:p w:rsidR="00000000" w:rsidRDefault="001F1FC8">
            <w:pPr>
              <w:jc w:val="right"/>
              <w:rPr>
                <w:rFonts w:eastAsia="Times New Roman"/>
              </w:rPr>
            </w:pPr>
          </w:p>
        </w:tc>
      </w:tr>
      <w:tr w:rsidR="00000000">
        <w:trPr>
          <w:divId w:val="1725639643"/>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1F1FC8">
            <w:pPr>
              <w:rPr>
                <w:rFonts w:eastAsia="Times New Roman"/>
              </w:rPr>
            </w:pPr>
            <w:r>
              <w:rPr>
                <w:rFonts w:ascii="Arial" w:eastAsia="Times New Roman" w:hAnsi="Arial" w:cs="Arial"/>
                <w:b/>
                <w:bCs/>
                <w:color w:val="000000"/>
                <w:sz w:val="18"/>
                <w:szCs w:val="18"/>
              </w:rPr>
              <w:t>Financing activities</w:t>
            </w:r>
          </w:p>
        </w:tc>
        <w:tc>
          <w:tcPr>
            <w:tcW w:w="0" w:type="auto"/>
            <w:gridSpan w:val="3"/>
            <w:tcBorders>
              <w:top w:val="single" w:sz="4" w:space="0" w:color="000000"/>
            </w:tcBorders>
            <w:shd w:val="clear" w:color="auto" w:fill="D8D8D8"/>
            <w:tcMar>
              <w:top w:w="0" w:type="dxa"/>
              <w:left w:w="20" w:type="dxa"/>
              <w:bottom w:w="0" w:type="dxa"/>
              <w:right w:w="20" w:type="dxa"/>
            </w:tcMar>
            <w:vAlign w:val="center"/>
            <w:hideMark/>
          </w:tcPr>
          <w:p w:rsidR="00000000" w:rsidRDefault="001F1FC8">
            <w:pPr>
              <w:rPr>
                <w:rFonts w:eastAsia="Times New Roman"/>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1F1FC8">
            <w:pPr>
              <w:rPr>
                <w:rFonts w:eastAsia="Times New Roman"/>
                <w:sz w:val="20"/>
                <w:szCs w:val="20"/>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1F1FC8">
            <w:pPr>
              <w:rPr>
                <w:rFonts w:eastAsia="Times New Roman"/>
                <w:sz w:val="20"/>
                <w:szCs w:val="20"/>
              </w:rPr>
            </w:pPr>
          </w:p>
        </w:tc>
      </w:tr>
      <w:tr w:rsidR="00000000">
        <w:trPr>
          <w:divId w:val="1725639643"/>
        </w:trPr>
        <w:tc>
          <w:tcPr>
            <w:tcW w:w="0" w:type="auto"/>
            <w:gridSpan w:val="3"/>
            <w:tcMar>
              <w:top w:w="30" w:type="dxa"/>
              <w:left w:w="245" w:type="dxa"/>
              <w:bottom w:w="30" w:type="dxa"/>
              <w:right w:w="20" w:type="dxa"/>
            </w:tcMar>
            <w:vAlign w:val="center"/>
            <w:hideMark/>
          </w:tcPr>
          <w:p w:rsidR="00000000" w:rsidRDefault="001F1FC8">
            <w:pPr>
              <w:rPr>
                <w:rFonts w:eastAsia="Times New Roman"/>
              </w:rPr>
            </w:pPr>
            <w:r>
              <w:rPr>
                <w:rFonts w:ascii="Arial" w:eastAsia="Times New Roman" w:hAnsi="Arial" w:cs="Arial"/>
                <w:color w:val="000000"/>
                <w:sz w:val="18"/>
                <w:szCs w:val="18"/>
              </w:rPr>
              <w:t>Net change in short-term borrowings</w:t>
            </w:r>
          </w:p>
        </w:tc>
        <w:tc>
          <w:tcPr>
            <w:tcW w:w="0" w:type="auto"/>
            <w:gridSpan w:val="2"/>
            <w:shd w:val="clear" w:color="auto" w:fill="D8D8D8"/>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b/>
                <w:bCs/>
                <w:color w:val="000000"/>
                <w:sz w:val="18"/>
                <w:szCs w:val="18"/>
              </w:rPr>
              <w:t>394</w:t>
            </w:r>
            <w:r>
              <w:rPr>
                <w:rFonts w:ascii="Arial" w:eastAsia="Times New Roman" w:hAnsi="Arial" w:cs="Arial"/>
                <w:color w:val="000000"/>
                <w:sz w:val="18"/>
                <w:szCs w:val="18"/>
              </w:rPr>
              <w:t> </w:t>
            </w:r>
          </w:p>
        </w:tc>
        <w:tc>
          <w:tcPr>
            <w:tcW w:w="0" w:type="auto"/>
            <w:shd w:val="clear" w:color="auto" w:fill="D8D8D8"/>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18"/>
                <w:szCs w:val="18"/>
              </w:rPr>
              <w:t>223 </w:t>
            </w:r>
          </w:p>
        </w:tc>
        <w:tc>
          <w:tcPr>
            <w:tcW w:w="0" w:type="auto"/>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18"/>
                <w:szCs w:val="18"/>
              </w:rPr>
              <w:t>(127)</w:t>
            </w:r>
          </w:p>
        </w:tc>
        <w:tc>
          <w:tcPr>
            <w:tcW w:w="0" w:type="auto"/>
            <w:tcMar>
              <w:top w:w="30" w:type="dxa"/>
              <w:left w:w="0" w:type="dxa"/>
              <w:bottom w:w="30" w:type="dxa"/>
              <w:right w:w="20" w:type="dxa"/>
            </w:tcMar>
            <w:vAlign w:val="center"/>
            <w:hideMark/>
          </w:tcPr>
          <w:p w:rsidR="00000000" w:rsidRDefault="001F1FC8">
            <w:pPr>
              <w:jc w:val="right"/>
              <w:rPr>
                <w:rFonts w:eastAsia="Times New Roman"/>
              </w:rPr>
            </w:pPr>
          </w:p>
        </w:tc>
      </w:tr>
      <w:tr w:rsidR="00000000">
        <w:trPr>
          <w:divId w:val="1725639643"/>
        </w:trPr>
        <w:tc>
          <w:tcPr>
            <w:tcW w:w="0" w:type="auto"/>
            <w:gridSpan w:val="3"/>
            <w:tcMar>
              <w:top w:w="30" w:type="dxa"/>
              <w:left w:w="245" w:type="dxa"/>
              <w:bottom w:w="30" w:type="dxa"/>
              <w:right w:w="20" w:type="dxa"/>
            </w:tcMar>
            <w:vAlign w:val="center"/>
            <w:hideMark/>
          </w:tcPr>
          <w:p w:rsidR="00000000" w:rsidRDefault="001F1FC8">
            <w:pPr>
              <w:rPr>
                <w:rFonts w:eastAsia="Times New Roman"/>
              </w:rPr>
            </w:pPr>
            <w:r>
              <w:rPr>
                <w:rFonts w:ascii="Arial" w:eastAsia="Times New Roman" w:hAnsi="Arial" w:cs="Arial"/>
                <w:color w:val="000000"/>
                <w:sz w:val="18"/>
                <w:szCs w:val="18"/>
              </w:rPr>
              <w:t>Net change in commercial paper and credit facility draws</w:t>
            </w:r>
          </w:p>
        </w:tc>
        <w:tc>
          <w:tcPr>
            <w:tcW w:w="0" w:type="auto"/>
            <w:gridSpan w:val="2"/>
            <w:shd w:val="clear" w:color="auto" w:fill="D8D8D8"/>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b/>
                <w:bCs/>
                <w:color w:val="000000"/>
                <w:sz w:val="18"/>
                <w:szCs w:val="18"/>
              </w:rPr>
              <w:t>2,960</w:t>
            </w:r>
            <w:r>
              <w:rPr>
                <w:rFonts w:ascii="Arial" w:eastAsia="Times New Roman" w:hAnsi="Arial" w:cs="Arial"/>
                <w:color w:val="000000"/>
                <w:sz w:val="18"/>
                <w:szCs w:val="18"/>
              </w:rPr>
              <w:t> </w:t>
            </w:r>
          </w:p>
        </w:tc>
        <w:tc>
          <w:tcPr>
            <w:tcW w:w="0" w:type="auto"/>
            <w:shd w:val="clear" w:color="auto" w:fill="D8D8D8"/>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18"/>
                <w:szCs w:val="18"/>
              </w:rPr>
              <w:t>1,542 </w:t>
            </w:r>
          </w:p>
        </w:tc>
        <w:tc>
          <w:tcPr>
            <w:tcW w:w="0" w:type="auto"/>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18"/>
                <w:szCs w:val="18"/>
              </w:rPr>
              <w:t>825 </w:t>
            </w:r>
          </w:p>
        </w:tc>
        <w:tc>
          <w:tcPr>
            <w:tcW w:w="0" w:type="auto"/>
            <w:tcMar>
              <w:top w:w="30" w:type="dxa"/>
              <w:left w:w="0" w:type="dxa"/>
              <w:bottom w:w="30" w:type="dxa"/>
              <w:right w:w="20" w:type="dxa"/>
            </w:tcMar>
            <w:vAlign w:val="center"/>
            <w:hideMark/>
          </w:tcPr>
          <w:p w:rsidR="00000000" w:rsidRDefault="001F1FC8">
            <w:pPr>
              <w:jc w:val="right"/>
              <w:rPr>
                <w:rFonts w:eastAsia="Times New Roman"/>
              </w:rPr>
            </w:pPr>
          </w:p>
        </w:tc>
      </w:tr>
      <w:tr w:rsidR="00000000">
        <w:trPr>
          <w:divId w:val="1725639643"/>
        </w:trPr>
        <w:tc>
          <w:tcPr>
            <w:tcW w:w="0" w:type="auto"/>
            <w:gridSpan w:val="3"/>
            <w:tcMar>
              <w:top w:w="30" w:type="dxa"/>
              <w:left w:w="245" w:type="dxa"/>
              <w:bottom w:w="30" w:type="dxa"/>
              <w:right w:w="20" w:type="dxa"/>
            </w:tcMar>
            <w:vAlign w:val="center"/>
            <w:hideMark/>
          </w:tcPr>
          <w:p w:rsidR="00000000" w:rsidRDefault="001F1FC8">
            <w:pPr>
              <w:rPr>
                <w:rFonts w:eastAsia="Times New Roman"/>
              </w:rPr>
            </w:pPr>
            <w:r>
              <w:rPr>
                <w:rFonts w:ascii="Arial" w:eastAsia="Times New Roman" w:hAnsi="Arial" w:cs="Arial"/>
                <w:color w:val="000000"/>
                <w:sz w:val="18"/>
                <w:szCs w:val="18"/>
              </w:rPr>
              <w:t>Debenture and term note issues, net of issue costs</w:t>
            </w:r>
          </w:p>
        </w:tc>
        <w:tc>
          <w:tcPr>
            <w:tcW w:w="0" w:type="auto"/>
            <w:gridSpan w:val="2"/>
            <w:shd w:val="clear" w:color="auto" w:fill="D8D8D8"/>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b/>
                <w:bCs/>
                <w:color w:val="000000"/>
                <w:sz w:val="18"/>
                <w:szCs w:val="18"/>
              </w:rPr>
              <w:t>8,032</w:t>
            </w:r>
            <w:r>
              <w:rPr>
                <w:rFonts w:ascii="Arial" w:eastAsia="Times New Roman" w:hAnsi="Arial" w:cs="Arial"/>
                <w:color w:val="000000"/>
                <w:sz w:val="18"/>
                <w:szCs w:val="18"/>
              </w:rPr>
              <w:t> </w:t>
            </w:r>
          </w:p>
        </w:tc>
        <w:tc>
          <w:tcPr>
            <w:tcW w:w="0" w:type="auto"/>
            <w:shd w:val="clear" w:color="auto" w:fill="D8D8D8"/>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18"/>
                <w:szCs w:val="18"/>
              </w:rPr>
              <w:t>5,230 </w:t>
            </w:r>
          </w:p>
        </w:tc>
        <w:tc>
          <w:tcPr>
            <w:tcW w:w="0" w:type="auto"/>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18"/>
                <w:szCs w:val="18"/>
              </w:rPr>
              <w:t>6,176 </w:t>
            </w:r>
          </w:p>
        </w:tc>
        <w:tc>
          <w:tcPr>
            <w:tcW w:w="0" w:type="auto"/>
            <w:tcMar>
              <w:top w:w="30" w:type="dxa"/>
              <w:left w:w="0" w:type="dxa"/>
              <w:bottom w:w="30" w:type="dxa"/>
              <w:right w:w="20" w:type="dxa"/>
            </w:tcMar>
            <w:vAlign w:val="center"/>
            <w:hideMark/>
          </w:tcPr>
          <w:p w:rsidR="00000000" w:rsidRDefault="001F1FC8">
            <w:pPr>
              <w:jc w:val="right"/>
              <w:rPr>
                <w:rFonts w:eastAsia="Times New Roman"/>
              </w:rPr>
            </w:pPr>
          </w:p>
        </w:tc>
      </w:tr>
      <w:tr w:rsidR="00000000">
        <w:trPr>
          <w:divId w:val="1725639643"/>
        </w:trPr>
        <w:tc>
          <w:tcPr>
            <w:tcW w:w="0" w:type="auto"/>
            <w:gridSpan w:val="3"/>
            <w:tcMar>
              <w:top w:w="30" w:type="dxa"/>
              <w:left w:w="245" w:type="dxa"/>
              <w:bottom w:w="30" w:type="dxa"/>
              <w:right w:w="20" w:type="dxa"/>
            </w:tcMar>
            <w:vAlign w:val="center"/>
            <w:hideMark/>
          </w:tcPr>
          <w:p w:rsidR="00000000" w:rsidRDefault="001F1FC8">
            <w:pPr>
              <w:rPr>
                <w:rFonts w:eastAsia="Times New Roman"/>
              </w:rPr>
            </w:pPr>
            <w:r>
              <w:rPr>
                <w:rFonts w:ascii="Arial" w:eastAsia="Times New Roman" w:hAnsi="Arial" w:cs="Arial"/>
                <w:color w:val="000000"/>
                <w:sz w:val="18"/>
                <w:szCs w:val="18"/>
              </w:rPr>
              <w:t>Debenture and term note repayments</w:t>
            </w:r>
          </w:p>
        </w:tc>
        <w:tc>
          <w:tcPr>
            <w:tcW w:w="0" w:type="auto"/>
            <w:gridSpan w:val="2"/>
            <w:shd w:val="clear" w:color="auto" w:fill="D8D8D8"/>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b/>
                <w:bCs/>
                <w:color w:val="000000"/>
                <w:sz w:val="18"/>
                <w:szCs w:val="18"/>
              </w:rPr>
              <w:t>(2,264)</w:t>
            </w:r>
          </w:p>
        </w:tc>
        <w:tc>
          <w:tcPr>
            <w:tcW w:w="0" w:type="auto"/>
            <w:shd w:val="clear" w:color="auto" w:fill="D8D8D8"/>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18"/>
                <w:szCs w:val="18"/>
              </w:rPr>
              <w:t>(4,463)</w:t>
            </w:r>
          </w:p>
        </w:tc>
        <w:tc>
          <w:tcPr>
            <w:tcW w:w="0" w:type="auto"/>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18"/>
                <w:szCs w:val="18"/>
              </w:rPr>
              <w:t>(4,668)</w:t>
            </w:r>
          </w:p>
        </w:tc>
        <w:tc>
          <w:tcPr>
            <w:tcW w:w="0" w:type="auto"/>
            <w:tcMar>
              <w:top w:w="30" w:type="dxa"/>
              <w:left w:w="0" w:type="dxa"/>
              <w:bottom w:w="30" w:type="dxa"/>
              <w:right w:w="20" w:type="dxa"/>
            </w:tcMar>
            <w:vAlign w:val="center"/>
            <w:hideMark/>
          </w:tcPr>
          <w:p w:rsidR="00000000" w:rsidRDefault="001F1FC8">
            <w:pPr>
              <w:jc w:val="right"/>
              <w:rPr>
                <w:rFonts w:eastAsia="Times New Roman"/>
              </w:rPr>
            </w:pPr>
          </w:p>
        </w:tc>
      </w:tr>
      <w:tr w:rsidR="00000000">
        <w:trPr>
          <w:divId w:val="1725639643"/>
        </w:trPr>
        <w:tc>
          <w:tcPr>
            <w:tcW w:w="0" w:type="auto"/>
            <w:gridSpan w:val="3"/>
            <w:vAlign w:val="center"/>
            <w:hideMark/>
          </w:tcPr>
          <w:p w:rsidR="00000000" w:rsidRDefault="001F1FC8">
            <w:pPr>
              <w:jc w:val="right"/>
              <w:rPr>
                <w:rFonts w:eastAsia="Times New Roman"/>
                <w:sz w:val="20"/>
                <w:szCs w:val="20"/>
              </w:rPr>
            </w:pPr>
          </w:p>
        </w:tc>
        <w:tc>
          <w:tcPr>
            <w:tcW w:w="0" w:type="auto"/>
            <w:gridSpan w:val="3"/>
            <w:vAlign w:val="center"/>
            <w:hideMark/>
          </w:tcPr>
          <w:p w:rsidR="00000000" w:rsidRDefault="001F1FC8">
            <w:pPr>
              <w:rPr>
                <w:rFonts w:eastAsia="Times New Roman"/>
                <w:sz w:val="20"/>
                <w:szCs w:val="20"/>
              </w:rPr>
            </w:pPr>
          </w:p>
        </w:tc>
        <w:tc>
          <w:tcPr>
            <w:tcW w:w="0" w:type="auto"/>
            <w:gridSpan w:val="3"/>
            <w:vAlign w:val="center"/>
            <w:hideMark/>
          </w:tcPr>
          <w:p w:rsidR="00000000" w:rsidRDefault="001F1FC8">
            <w:pPr>
              <w:rPr>
                <w:rFonts w:eastAsia="Times New Roman"/>
                <w:sz w:val="20"/>
                <w:szCs w:val="20"/>
              </w:rPr>
            </w:pPr>
          </w:p>
        </w:tc>
        <w:tc>
          <w:tcPr>
            <w:tcW w:w="0" w:type="auto"/>
            <w:gridSpan w:val="3"/>
            <w:vAlign w:val="center"/>
            <w:hideMark/>
          </w:tcPr>
          <w:p w:rsidR="00000000" w:rsidRDefault="001F1FC8">
            <w:pPr>
              <w:rPr>
                <w:rFonts w:eastAsia="Times New Roman"/>
                <w:sz w:val="20"/>
                <w:szCs w:val="20"/>
              </w:rPr>
            </w:pPr>
          </w:p>
        </w:tc>
      </w:tr>
      <w:tr w:rsidR="00000000">
        <w:trPr>
          <w:divId w:val="1725639643"/>
        </w:trPr>
        <w:tc>
          <w:tcPr>
            <w:tcW w:w="0" w:type="auto"/>
            <w:gridSpan w:val="3"/>
            <w:vAlign w:val="center"/>
            <w:hideMark/>
          </w:tcPr>
          <w:p w:rsidR="00000000" w:rsidRDefault="001F1FC8">
            <w:pPr>
              <w:rPr>
                <w:rFonts w:eastAsia="Times New Roman"/>
                <w:sz w:val="20"/>
                <w:szCs w:val="20"/>
              </w:rPr>
            </w:pPr>
          </w:p>
        </w:tc>
        <w:tc>
          <w:tcPr>
            <w:tcW w:w="0" w:type="auto"/>
            <w:gridSpan w:val="3"/>
            <w:vAlign w:val="center"/>
            <w:hideMark/>
          </w:tcPr>
          <w:p w:rsidR="00000000" w:rsidRDefault="001F1FC8">
            <w:pPr>
              <w:rPr>
                <w:rFonts w:eastAsia="Times New Roman"/>
                <w:sz w:val="20"/>
                <w:szCs w:val="20"/>
              </w:rPr>
            </w:pPr>
          </w:p>
        </w:tc>
        <w:tc>
          <w:tcPr>
            <w:tcW w:w="0" w:type="auto"/>
            <w:gridSpan w:val="3"/>
            <w:vAlign w:val="center"/>
            <w:hideMark/>
          </w:tcPr>
          <w:p w:rsidR="00000000" w:rsidRDefault="001F1FC8">
            <w:pPr>
              <w:rPr>
                <w:rFonts w:eastAsia="Times New Roman"/>
                <w:sz w:val="20"/>
                <w:szCs w:val="20"/>
              </w:rPr>
            </w:pPr>
          </w:p>
        </w:tc>
        <w:tc>
          <w:tcPr>
            <w:tcW w:w="0" w:type="auto"/>
            <w:gridSpan w:val="3"/>
            <w:vAlign w:val="center"/>
            <w:hideMark/>
          </w:tcPr>
          <w:p w:rsidR="00000000" w:rsidRDefault="001F1FC8">
            <w:pPr>
              <w:rPr>
                <w:rFonts w:eastAsia="Times New Roman"/>
                <w:sz w:val="20"/>
                <w:szCs w:val="20"/>
              </w:rPr>
            </w:pPr>
          </w:p>
        </w:tc>
      </w:tr>
      <w:tr w:rsidR="00000000">
        <w:trPr>
          <w:divId w:val="1725639643"/>
        </w:trPr>
        <w:tc>
          <w:tcPr>
            <w:tcW w:w="0" w:type="auto"/>
            <w:gridSpan w:val="3"/>
            <w:tcMar>
              <w:top w:w="30" w:type="dxa"/>
              <w:left w:w="245" w:type="dxa"/>
              <w:bottom w:w="30" w:type="dxa"/>
              <w:right w:w="20" w:type="dxa"/>
            </w:tcMar>
            <w:vAlign w:val="center"/>
            <w:hideMark/>
          </w:tcPr>
          <w:p w:rsidR="00000000" w:rsidRDefault="001F1FC8">
            <w:pPr>
              <w:rPr>
                <w:rFonts w:eastAsia="Times New Roman"/>
              </w:rPr>
            </w:pPr>
            <w:r>
              <w:rPr>
                <w:rFonts w:ascii="Arial" w:eastAsia="Times New Roman" w:hAnsi="Arial" w:cs="Arial"/>
                <w:color w:val="000000"/>
                <w:sz w:val="18"/>
                <w:szCs w:val="18"/>
              </w:rPr>
              <w:t>Contributions from noncontrolling interests</w:t>
            </w:r>
          </w:p>
        </w:tc>
        <w:tc>
          <w:tcPr>
            <w:tcW w:w="0" w:type="auto"/>
            <w:gridSpan w:val="2"/>
            <w:shd w:val="clear" w:color="auto" w:fill="D8D8D8"/>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b/>
                <w:bCs/>
                <w:color w:val="000000"/>
                <w:sz w:val="18"/>
                <w:szCs w:val="18"/>
              </w:rPr>
              <w:t>15</w:t>
            </w:r>
            <w:r>
              <w:rPr>
                <w:rFonts w:ascii="Arial" w:eastAsia="Times New Roman" w:hAnsi="Arial" w:cs="Arial"/>
                <w:color w:val="000000"/>
                <w:sz w:val="18"/>
                <w:szCs w:val="18"/>
              </w:rPr>
              <w:t> </w:t>
            </w:r>
          </w:p>
        </w:tc>
        <w:tc>
          <w:tcPr>
            <w:tcW w:w="0" w:type="auto"/>
            <w:shd w:val="clear" w:color="auto" w:fill="D8D8D8"/>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18"/>
                <w:szCs w:val="18"/>
              </w:rPr>
              <w:t>23 </w:t>
            </w:r>
          </w:p>
        </w:tc>
        <w:tc>
          <w:tcPr>
            <w:tcW w:w="0" w:type="auto"/>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18"/>
                <w:szCs w:val="18"/>
              </w:rPr>
              <w:t>12 </w:t>
            </w:r>
          </w:p>
        </w:tc>
        <w:tc>
          <w:tcPr>
            <w:tcW w:w="0" w:type="auto"/>
            <w:tcMar>
              <w:top w:w="30" w:type="dxa"/>
              <w:left w:w="0" w:type="dxa"/>
              <w:bottom w:w="30" w:type="dxa"/>
              <w:right w:w="20" w:type="dxa"/>
            </w:tcMar>
            <w:vAlign w:val="center"/>
            <w:hideMark/>
          </w:tcPr>
          <w:p w:rsidR="00000000" w:rsidRDefault="001F1FC8">
            <w:pPr>
              <w:jc w:val="right"/>
              <w:rPr>
                <w:rFonts w:eastAsia="Times New Roman"/>
              </w:rPr>
            </w:pPr>
          </w:p>
        </w:tc>
      </w:tr>
      <w:tr w:rsidR="00000000">
        <w:trPr>
          <w:divId w:val="1725639643"/>
        </w:trPr>
        <w:tc>
          <w:tcPr>
            <w:tcW w:w="0" w:type="auto"/>
            <w:gridSpan w:val="3"/>
            <w:tcMar>
              <w:top w:w="30" w:type="dxa"/>
              <w:left w:w="245" w:type="dxa"/>
              <w:bottom w:w="30" w:type="dxa"/>
              <w:right w:w="20" w:type="dxa"/>
            </w:tcMar>
            <w:vAlign w:val="center"/>
            <w:hideMark/>
          </w:tcPr>
          <w:p w:rsidR="00000000" w:rsidRDefault="001F1FC8">
            <w:pPr>
              <w:rPr>
                <w:rFonts w:eastAsia="Times New Roman"/>
              </w:rPr>
            </w:pPr>
            <w:r>
              <w:rPr>
                <w:rFonts w:ascii="Arial" w:eastAsia="Times New Roman" w:hAnsi="Arial" w:cs="Arial"/>
                <w:color w:val="000000"/>
                <w:sz w:val="18"/>
                <w:szCs w:val="18"/>
              </w:rPr>
              <w:t>Distributions to noncontrolling interests</w:t>
            </w:r>
          </w:p>
        </w:tc>
        <w:tc>
          <w:tcPr>
            <w:tcW w:w="0" w:type="auto"/>
            <w:gridSpan w:val="2"/>
            <w:shd w:val="clear" w:color="auto" w:fill="D8D8D8"/>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b/>
                <w:bCs/>
                <w:color w:val="000000"/>
                <w:sz w:val="18"/>
                <w:szCs w:val="18"/>
              </w:rPr>
              <w:t>(271)</w:t>
            </w:r>
          </w:p>
        </w:tc>
        <w:tc>
          <w:tcPr>
            <w:tcW w:w="0" w:type="auto"/>
            <w:shd w:val="clear" w:color="auto" w:fill="D8D8D8"/>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18"/>
                <w:szCs w:val="18"/>
              </w:rPr>
              <w:t>(300)</w:t>
            </w:r>
          </w:p>
        </w:tc>
        <w:tc>
          <w:tcPr>
            <w:tcW w:w="0" w:type="auto"/>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18"/>
                <w:szCs w:val="18"/>
              </w:rPr>
              <w:t>(254)</w:t>
            </w:r>
          </w:p>
        </w:tc>
        <w:tc>
          <w:tcPr>
            <w:tcW w:w="0" w:type="auto"/>
            <w:tcMar>
              <w:top w:w="30" w:type="dxa"/>
              <w:left w:w="0" w:type="dxa"/>
              <w:bottom w:w="30" w:type="dxa"/>
              <w:right w:w="20" w:type="dxa"/>
            </w:tcMar>
            <w:vAlign w:val="center"/>
            <w:hideMark/>
          </w:tcPr>
          <w:p w:rsidR="00000000" w:rsidRDefault="001F1FC8">
            <w:pPr>
              <w:jc w:val="right"/>
              <w:rPr>
                <w:rFonts w:eastAsia="Times New Roman"/>
              </w:rPr>
            </w:pPr>
          </w:p>
        </w:tc>
      </w:tr>
      <w:tr w:rsidR="00000000">
        <w:trPr>
          <w:divId w:val="1725639643"/>
        </w:trPr>
        <w:tc>
          <w:tcPr>
            <w:tcW w:w="0" w:type="auto"/>
            <w:gridSpan w:val="3"/>
            <w:vAlign w:val="center"/>
            <w:hideMark/>
          </w:tcPr>
          <w:p w:rsidR="00000000" w:rsidRDefault="001F1FC8">
            <w:pPr>
              <w:jc w:val="right"/>
              <w:rPr>
                <w:rFonts w:eastAsia="Times New Roman"/>
                <w:sz w:val="20"/>
                <w:szCs w:val="20"/>
              </w:rPr>
            </w:pPr>
          </w:p>
        </w:tc>
        <w:tc>
          <w:tcPr>
            <w:tcW w:w="0" w:type="auto"/>
            <w:gridSpan w:val="3"/>
            <w:vAlign w:val="center"/>
            <w:hideMark/>
          </w:tcPr>
          <w:p w:rsidR="00000000" w:rsidRDefault="001F1FC8">
            <w:pPr>
              <w:rPr>
                <w:rFonts w:eastAsia="Times New Roman"/>
                <w:sz w:val="20"/>
                <w:szCs w:val="20"/>
              </w:rPr>
            </w:pPr>
          </w:p>
        </w:tc>
        <w:tc>
          <w:tcPr>
            <w:tcW w:w="0" w:type="auto"/>
            <w:gridSpan w:val="3"/>
            <w:vAlign w:val="center"/>
            <w:hideMark/>
          </w:tcPr>
          <w:p w:rsidR="00000000" w:rsidRDefault="001F1FC8">
            <w:pPr>
              <w:rPr>
                <w:rFonts w:eastAsia="Times New Roman"/>
                <w:sz w:val="20"/>
                <w:szCs w:val="20"/>
              </w:rPr>
            </w:pPr>
          </w:p>
        </w:tc>
        <w:tc>
          <w:tcPr>
            <w:tcW w:w="0" w:type="auto"/>
            <w:gridSpan w:val="3"/>
            <w:vAlign w:val="center"/>
            <w:hideMark/>
          </w:tcPr>
          <w:p w:rsidR="00000000" w:rsidRDefault="001F1FC8">
            <w:pPr>
              <w:rPr>
                <w:rFonts w:eastAsia="Times New Roman"/>
                <w:sz w:val="20"/>
                <w:szCs w:val="20"/>
              </w:rPr>
            </w:pPr>
          </w:p>
        </w:tc>
      </w:tr>
      <w:tr w:rsidR="00000000">
        <w:trPr>
          <w:divId w:val="1725639643"/>
        </w:trPr>
        <w:tc>
          <w:tcPr>
            <w:tcW w:w="0" w:type="auto"/>
            <w:gridSpan w:val="3"/>
            <w:vAlign w:val="center"/>
            <w:hideMark/>
          </w:tcPr>
          <w:p w:rsidR="00000000" w:rsidRDefault="001F1FC8">
            <w:pPr>
              <w:rPr>
                <w:rFonts w:eastAsia="Times New Roman"/>
                <w:sz w:val="20"/>
                <w:szCs w:val="20"/>
              </w:rPr>
            </w:pPr>
          </w:p>
        </w:tc>
        <w:tc>
          <w:tcPr>
            <w:tcW w:w="0" w:type="auto"/>
            <w:gridSpan w:val="3"/>
            <w:vAlign w:val="center"/>
            <w:hideMark/>
          </w:tcPr>
          <w:p w:rsidR="00000000" w:rsidRDefault="001F1FC8">
            <w:pPr>
              <w:rPr>
                <w:rFonts w:eastAsia="Times New Roman"/>
                <w:sz w:val="20"/>
                <w:szCs w:val="20"/>
              </w:rPr>
            </w:pPr>
          </w:p>
        </w:tc>
        <w:tc>
          <w:tcPr>
            <w:tcW w:w="0" w:type="auto"/>
            <w:gridSpan w:val="3"/>
            <w:vAlign w:val="center"/>
            <w:hideMark/>
          </w:tcPr>
          <w:p w:rsidR="00000000" w:rsidRDefault="001F1FC8">
            <w:pPr>
              <w:rPr>
                <w:rFonts w:eastAsia="Times New Roman"/>
                <w:sz w:val="20"/>
                <w:szCs w:val="20"/>
              </w:rPr>
            </w:pPr>
          </w:p>
        </w:tc>
        <w:tc>
          <w:tcPr>
            <w:tcW w:w="0" w:type="auto"/>
            <w:gridSpan w:val="3"/>
            <w:vAlign w:val="center"/>
            <w:hideMark/>
          </w:tcPr>
          <w:p w:rsidR="00000000" w:rsidRDefault="001F1FC8">
            <w:pPr>
              <w:rPr>
                <w:rFonts w:eastAsia="Times New Roman"/>
                <w:sz w:val="20"/>
                <w:szCs w:val="20"/>
              </w:rPr>
            </w:pPr>
          </w:p>
        </w:tc>
      </w:tr>
      <w:tr w:rsidR="00000000">
        <w:trPr>
          <w:divId w:val="1725639643"/>
        </w:trPr>
        <w:tc>
          <w:tcPr>
            <w:tcW w:w="0" w:type="auto"/>
            <w:gridSpan w:val="3"/>
            <w:vAlign w:val="center"/>
            <w:hideMark/>
          </w:tcPr>
          <w:p w:rsidR="00000000" w:rsidRDefault="001F1FC8">
            <w:pPr>
              <w:rPr>
                <w:rFonts w:eastAsia="Times New Roman"/>
                <w:sz w:val="20"/>
                <w:szCs w:val="20"/>
              </w:rPr>
            </w:pPr>
          </w:p>
        </w:tc>
        <w:tc>
          <w:tcPr>
            <w:tcW w:w="0" w:type="auto"/>
            <w:gridSpan w:val="3"/>
            <w:vAlign w:val="center"/>
            <w:hideMark/>
          </w:tcPr>
          <w:p w:rsidR="00000000" w:rsidRDefault="001F1FC8">
            <w:pPr>
              <w:rPr>
                <w:rFonts w:eastAsia="Times New Roman"/>
                <w:sz w:val="20"/>
                <w:szCs w:val="20"/>
              </w:rPr>
            </w:pPr>
          </w:p>
        </w:tc>
        <w:tc>
          <w:tcPr>
            <w:tcW w:w="0" w:type="auto"/>
            <w:gridSpan w:val="3"/>
            <w:vAlign w:val="center"/>
            <w:hideMark/>
          </w:tcPr>
          <w:p w:rsidR="00000000" w:rsidRDefault="001F1FC8">
            <w:pPr>
              <w:rPr>
                <w:rFonts w:eastAsia="Times New Roman"/>
                <w:sz w:val="20"/>
                <w:szCs w:val="20"/>
              </w:rPr>
            </w:pPr>
          </w:p>
        </w:tc>
        <w:tc>
          <w:tcPr>
            <w:tcW w:w="0" w:type="auto"/>
            <w:gridSpan w:val="3"/>
            <w:vAlign w:val="center"/>
            <w:hideMark/>
          </w:tcPr>
          <w:p w:rsidR="00000000" w:rsidRDefault="001F1FC8">
            <w:pPr>
              <w:rPr>
                <w:rFonts w:eastAsia="Times New Roman"/>
                <w:sz w:val="20"/>
                <w:szCs w:val="20"/>
              </w:rPr>
            </w:pPr>
          </w:p>
        </w:tc>
      </w:tr>
      <w:tr w:rsidR="00000000">
        <w:trPr>
          <w:divId w:val="1725639643"/>
        </w:trPr>
        <w:tc>
          <w:tcPr>
            <w:tcW w:w="0" w:type="auto"/>
            <w:gridSpan w:val="3"/>
            <w:vAlign w:val="center"/>
            <w:hideMark/>
          </w:tcPr>
          <w:p w:rsidR="00000000" w:rsidRDefault="001F1FC8">
            <w:pPr>
              <w:rPr>
                <w:rFonts w:eastAsia="Times New Roman"/>
                <w:sz w:val="20"/>
                <w:szCs w:val="20"/>
              </w:rPr>
            </w:pPr>
          </w:p>
        </w:tc>
        <w:tc>
          <w:tcPr>
            <w:tcW w:w="0" w:type="auto"/>
            <w:gridSpan w:val="3"/>
            <w:vAlign w:val="center"/>
            <w:hideMark/>
          </w:tcPr>
          <w:p w:rsidR="00000000" w:rsidRDefault="001F1FC8">
            <w:pPr>
              <w:rPr>
                <w:rFonts w:eastAsia="Times New Roman"/>
                <w:sz w:val="20"/>
                <w:szCs w:val="20"/>
              </w:rPr>
            </w:pPr>
          </w:p>
        </w:tc>
        <w:tc>
          <w:tcPr>
            <w:tcW w:w="0" w:type="auto"/>
            <w:gridSpan w:val="3"/>
            <w:vAlign w:val="center"/>
            <w:hideMark/>
          </w:tcPr>
          <w:p w:rsidR="00000000" w:rsidRDefault="001F1FC8">
            <w:pPr>
              <w:rPr>
                <w:rFonts w:eastAsia="Times New Roman"/>
                <w:sz w:val="20"/>
                <w:szCs w:val="20"/>
              </w:rPr>
            </w:pPr>
          </w:p>
        </w:tc>
        <w:tc>
          <w:tcPr>
            <w:tcW w:w="0" w:type="auto"/>
            <w:gridSpan w:val="3"/>
            <w:vAlign w:val="center"/>
            <w:hideMark/>
          </w:tcPr>
          <w:p w:rsidR="00000000" w:rsidRDefault="001F1FC8">
            <w:pPr>
              <w:rPr>
                <w:rFonts w:eastAsia="Times New Roman"/>
                <w:sz w:val="20"/>
                <w:szCs w:val="20"/>
              </w:rPr>
            </w:pPr>
          </w:p>
        </w:tc>
      </w:tr>
      <w:tr w:rsidR="00000000">
        <w:trPr>
          <w:divId w:val="1725639643"/>
        </w:trPr>
        <w:tc>
          <w:tcPr>
            <w:tcW w:w="0" w:type="auto"/>
            <w:gridSpan w:val="3"/>
            <w:tcMar>
              <w:top w:w="30" w:type="dxa"/>
              <w:left w:w="245" w:type="dxa"/>
              <w:bottom w:w="30" w:type="dxa"/>
              <w:right w:w="20" w:type="dxa"/>
            </w:tcMar>
            <w:vAlign w:val="center"/>
            <w:hideMark/>
          </w:tcPr>
          <w:p w:rsidR="00000000" w:rsidRDefault="001F1FC8">
            <w:pPr>
              <w:rPr>
                <w:rFonts w:eastAsia="Times New Roman"/>
              </w:rPr>
            </w:pPr>
            <w:r>
              <w:rPr>
                <w:rFonts w:ascii="Arial" w:eastAsia="Times New Roman" w:hAnsi="Arial" w:cs="Arial"/>
                <w:color w:val="000000"/>
                <w:sz w:val="18"/>
                <w:szCs w:val="18"/>
              </w:rPr>
              <w:t>Common shares issued</w:t>
            </w:r>
          </w:p>
        </w:tc>
        <w:tc>
          <w:tcPr>
            <w:tcW w:w="0" w:type="auto"/>
            <w:gridSpan w:val="2"/>
            <w:shd w:val="clear" w:color="auto" w:fill="D8D8D8"/>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b/>
                <w:bCs/>
                <w:color w:val="000000"/>
                <w:sz w:val="18"/>
                <w:szCs w:val="18"/>
              </w:rPr>
              <w:t>5</w:t>
            </w:r>
            <w:r>
              <w:rPr>
                <w:rFonts w:ascii="Arial" w:eastAsia="Times New Roman" w:hAnsi="Arial" w:cs="Arial"/>
                <w:color w:val="000000"/>
                <w:sz w:val="18"/>
                <w:szCs w:val="18"/>
              </w:rPr>
              <w:t> </w:t>
            </w:r>
          </w:p>
        </w:tc>
        <w:tc>
          <w:tcPr>
            <w:tcW w:w="0" w:type="auto"/>
            <w:shd w:val="clear" w:color="auto" w:fill="D8D8D8"/>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18"/>
                <w:szCs w:val="18"/>
              </w:rPr>
              <w:t>5 </w:t>
            </w:r>
          </w:p>
        </w:tc>
        <w:tc>
          <w:tcPr>
            <w:tcW w:w="0" w:type="auto"/>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18"/>
                <w:szCs w:val="18"/>
              </w:rPr>
              <w:t>18 </w:t>
            </w:r>
          </w:p>
        </w:tc>
        <w:tc>
          <w:tcPr>
            <w:tcW w:w="0" w:type="auto"/>
            <w:tcMar>
              <w:top w:w="30" w:type="dxa"/>
              <w:left w:w="0" w:type="dxa"/>
              <w:bottom w:w="30" w:type="dxa"/>
              <w:right w:w="20" w:type="dxa"/>
            </w:tcMar>
            <w:vAlign w:val="center"/>
            <w:hideMark/>
          </w:tcPr>
          <w:p w:rsidR="00000000" w:rsidRDefault="001F1FC8">
            <w:pPr>
              <w:jc w:val="right"/>
              <w:rPr>
                <w:rFonts w:eastAsia="Times New Roman"/>
              </w:rPr>
            </w:pPr>
          </w:p>
        </w:tc>
      </w:tr>
      <w:tr w:rsidR="00000000">
        <w:trPr>
          <w:divId w:val="1725639643"/>
        </w:trPr>
        <w:tc>
          <w:tcPr>
            <w:tcW w:w="0" w:type="auto"/>
            <w:gridSpan w:val="3"/>
            <w:tcMar>
              <w:top w:w="30" w:type="dxa"/>
              <w:left w:w="245" w:type="dxa"/>
              <w:bottom w:w="30" w:type="dxa"/>
              <w:right w:w="20" w:type="dxa"/>
            </w:tcMar>
            <w:vAlign w:val="center"/>
            <w:hideMark/>
          </w:tcPr>
          <w:p w:rsidR="00000000" w:rsidRDefault="001F1FC8">
            <w:pPr>
              <w:rPr>
                <w:rFonts w:eastAsia="Times New Roman"/>
              </w:rPr>
            </w:pPr>
            <w:r>
              <w:rPr>
                <w:rFonts w:ascii="Arial" w:eastAsia="Times New Roman" w:hAnsi="Arial" w:cs="Arial"/>
                <w:color w:val="000000"/>
                <w:sz w:val="18"/>
                <w:szCs w:val="18"/>
              </w:rPr>
              <w:t>Preference share dividends</w:t>
            </w:r>
          </w:p>
        </w:tc>
        <w:tc>
          <w:tcPr>
            <w:tcW w:w="0" w:type="auto"/>
            <w:gridSpan w:val="2"/>
            <w:shd w:val="clear" w:color="auto" w:fill="D8D8D8"/>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b/>
                <w:bCs/>
                <w:color w:val="000000"/>
                <w:sz w:val="18"/>
                <w:szCs w:val="18"/>
              </w:rPr>
              <w:t>(367)</w:t>
            </w:r>
          </w:p>
        </w:tc>
        <w:tc>
          <w:tcPr>
            <w:tcW w:w="0" w:type="auto"/>
            <w:shd w:val="clear" w:color="auto" w:fill="D8D8D8"/>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18"/>
                <w:szCs w:val="18"/>
              </w:rPr>
              <w:t>(380)</w:t>
            </w:r>
          </w:p>
        </w:tc>
        <w:tc>
          <w:tcPr>
            <w:tcW w:w="0" w:type="auto"/>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18"/>
                <w:szCs w:val="18"/>
              </w:rPr>
              <w:t>(383)</w:t>
            </w:r>
          </w:p>
        </w:tc>
        <w:tc>
          <w:tcPr>
            <w:tcW w:w="0" w:type="auto"/>
            <w:tcMar>
              <w:top w:w="30" w:type="dxa"/>
              <w:left w:w="0" w:type="dxa"/>
              <w:bottom w:w="30" w:type="dxa"/>
              <w:right w:w="20" w:type="dxa"/>
            </w:tcMar>
            <w:vAlign w:val="center"/>
            <w:hideMark/>
          </w:tcPr>
          <w:p w:rsidR="00000000" w:rsidRDefault="001F1FC8">
            <w:pPr>
              <w:jc w:val="right"/>
              <w:rPr>
                <w:rFonts w:eastAsia="Times New Roman"/>
              </w:rPr>
            </w:pPr>
          </w:p>
        </w:tc>
      </w:tr>
      <w:tr w:rsidR="00000000">
        <w:trPr>
          <w:divId w:val="1725639643"/>
        </w:trPr>
        <w:tc>
          <w:tcPr>
            <w:tcW w:w="0" w:type="auto"/>
            <w:gridSpan w:val="3"/>
            <w:tcMar>
              <w:top w:w="30" w:type="dxa"/>
              <w:left w:w="245" w:type="dxa"/>
              <w:bottom w:w="30" w:type="dxa"/>
              <w:right w:w="20" w:type="dxa"/>
            </w:tcMar>
            <w:vAlign w:val="center"/>
            <w:hideMark/>
          </w:tcPr>
          <w:p w:rsidR="00000000" w:rsidRDefault="001F1FC8">
            <w:pPr>
              <w:rPr>
                <w:rFonts w:eastAsia="Times New Roman"/>
              </w:rPr>
            </w:pPr>
            <w:r>
              <w:rPr>
                <w:rFonts w:ascii="Arial" w:eastAsia="Times New Roman" w:hAnsi="Arial" w:cs="Arial"/>
                <w:color w:val="000000"/>
                <w:sz w:val="18"/>
                <w:szCs w:val="18"/>
              </w:rPr>
              <w:t>Common share dividends</w:t>
            </w:r>
          </w:p>
        </w:tc>
        <w:tc>
          <w:tcPr>
            <w:tcW w:w="0" w:type="auto"/>
            <w:gridSpan w:val="2"/>
            <w:shd w:val="clear" w:color="auto" w:fill="D8D8D8"/>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b/>
                <w:bCs/>
                <w:color w:val="000000"/>
                <w:sz w:val="18"/>
                <w:szCs w:val="18"/>
              </w:rPr>
              <w:t>(6,766)</w:t>
            </w:r>
          </w:p>
        </w:tc>
        <w:tc>
          <w:tcPr>
            <w:tcW w:w="0" w:type="auto"/>
            <w:shd w:val="clear" w:color="auto" w:fill="D8D8D8"/>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18"/>
                <w:szCs w:val="18"/>
              </w:rPr>
              <w:t>(6,560)</w:t>
            </w:r>
          </w:p>
        </w:tc>
        <w:tc>
          <w:tcPr>
            <w:tcW w:w="0" w:type="auto"/>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18"/>
                <w:szCs w:val="18"/>
              </w:rPr>
              <w:t>(5,973)</w:t>
            </w:r>
          </w:p>
        </w:tc>
        <w:tc>
          <w:tcPr>
            <w:tcW w:w="0" w:type="auto"/>
            <w:tcMar>
              <w:top w:w="30" w:type="dxa"/>
              <w:left w:w="0" w:type="dxa"/>
              <w:bottom w:w="30" w:type="dxa"/>
              <w:right w:w="20" w:type="dxa"/>
            </w:tcMar>
            <w:vAlign w:val="center"/>
            <w:hideMark/>
          </w:tcPr>
          <w:p w:rsidR="00000000" w:rsidRDefault="001F1FC8">
            <w:pPr>
              <w:jc w:val="right"/>
              <w:rPr>
                <w:rFonts w:eastAsia="Times New Roman"/>
              </w:rPr>
            </w:pPr>
          </w:p>
        </w:tc>
      </w:tr>
      <w:tr w:rsidR="00000000">
        <w:trPr>
          <w:divId w:val="1725639643"/>
        </w:trPr>
        <w:tc>
          <w:tcPr>
            <w:tcW w:w="0" w:type="auto"/>
            <w:gridSpan w:val="3"/>
            <w:vAlign w:val="center"/>
            <w:hideMark/>
          </w:tcPr>
          <w:p w:rsidR="00000000" w:rsidRDefault="001F1FC8">
            <w:pPr>
              <w:jc w:val="right"/>
              <w:rPr>
                <w:rFonts w:eastAsia="Times New Roman"/>
                <w:sz w:val="20"/>
                <w:szCs w:val="20"/>
              </w:rPr>
            </w:pPr>
          </w:p>
        </w:tc>
        <w:tc>
          <w:tcPr>
            <w:tcW w:w="0" w:type="auto"/>
            <w:gridSpan w:val="3"/>
            <w:vAlign w:val="center"/>
            <w:hideMark/>
          </w:tcPr>
          <w:p w:rsidR="00000000" w:rsidRDefault="001F1FC8">
            <w:pPr>
              <w:rPr>
                <w:rFonts w:eastAsia="Times New Roman"/>
                <w:sz w:val="20"/>
                <w:szCs w:val="20"/>
              </w:rPr>
            </w:pPr>
          </w:p>
        </w:tc>
        <w:tc>
          <w:tcPr>
            <w:tcW w:w="0" w:type="auto"/>
            <w:gridSpan w:val="3"/>
            <w:vAlign w:val="center"/>
            <w:hideMark/>
          </w:tcPr>
          <w:p w:rsidR="00000000" w:rsidRDefault="001F1FC8">
            <w:pPr>
              <w:rPr>
                <w:rFonts w:eastAsia="Times New Roman"/>
                <w:sz w:val="20"/>
                <w:szCs w:val="20"/>
              </w:rPr>
            </w:pPr>
          </w:p>
        </w:tc>
        <w:tc>
          <w:tcPr>
            <w:tcW w:w="0" w:type="auto"/>
            <w:gridSpan w:val="3"/>
            <w:vAlign w:val="center"/>
            <w:hideMark/>
          </w:tcPr>
          <w:p w:rsidR="00000000" w:rsidRDefault="001F1FC8">
            <w:pPr>
              <w:rPr>
                <w:rFonts w:eastAsia="Times New Roman"/>
                <w:sz w:val="20"/>
                <w:szCs w:val="20"/>
              </w:rPr>
            </w:pPr>
          </w:p>
        </w:tc>
      </w:tr>
      <w:tr w:rsidR="00000000">
        <w:trPr>
          <w:divId w:val="1725639643"/>
        </w:trPr>
        <w:tc>
          <w:tcPr>
            <w:tcW w:w="0" w:type="auto"/>
            <w:gridSpan w:val="3"/>
            <w:tcMar>
              <w:top w:w="30" w:type="dxa"/>
              <w:left w:w="20" w:type="dxa"/>
              <w:bottom w:w="30" w:type="dxa"/>
              <w:right w:w="20" w:type="dxa"/>
            </w:tcMar>
            <w:vAlign w:val="center"/>
            <w:hideMark/>
          </w:tcPr>
          <w:p w:rsidR="00000000" w:rsidRDefault="001F1FC8">
            <w:pPr>
              <w:divId w:val="1810201595"/>
              <w:rPr>
                <w:rFonts w:eastAsia="Times New Roman"/>
              </w:rPr>
            </w:pPr>
            <w:r>
              <w:rPr>
                <w:rFonts w:ascii="Arial" w:eastAsia="Times New Roman" w:hAnsi="Arial" w:cs="Arial"/>
                <w:color w:val="000000"/>
                <w:sz w:val="18"/>
                <w:szCs w:val="18"/>
              </w:rPr>
              <w:t xml:space="preserve">Redemption of preferred shares held by subsidiary </w:t>
            </w:r>
            <w:r>
              <w:rPr>
                <w:rFonts w:ascii="Arial" w:eastAsia="Times New Roman" w:hAnsi="Arial" w:cs="Arial"/>
                <w:i/>
                <w:iCs/>
                <w:color w:val="000000"/>
                <w:sz w:val="14"/>
                <w:szCs w:val="14"/>
              </w:rPr>
              <w:t>(Note 20)</w:t>
            </w:r>
          </w:p>
        </w:tc>
        <w:tc>
          <w:tcPr>
            <w:tcW w:w="0" w:type="auto"/>
            <w:gridSpan w:val="2"/>
            <w:shd w:val="clear" w:color="auto" w:fill="D8D8D8"/>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b/>
                <w:bCs/>
                <w:color w:val="000000"/>
                <w:sz w:val="18"/>
                <w:szCs w:val="18"/>
              </w:rPr>
              <w:t>(415)</w:t>
            </w:r>
          </w:p>
        </w:tc>
        <w:tc>
          <w:tcPr>
            <w:tcW w:w="0" w:type="auto"/>
            <w:shd w:val="clear" w:color="auto" w:fill="D8D8D8"/>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18"/>
                <w:szCs w:val="18"/>
              </w:rPr>
              <w:t>— </w:t>
            </w:r>
          </w:p>
        </w:tc>
        <w:tc>
          <w:tcPr>
            <w:tcW w:w="0" w:type="auto"/>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18"/>
                <w:szCs w:val="18"/>
              </w:rPr>
              <w:t>(300)</w:t>
            </w:r>
          </w:p>
        </w:tc>
        <w:tc>
          <w:tcPr>
            <w:tcW w:w="0" w:type="auto"/>
            <w:tcMar>
              <w:top w:w="30" w:type="dxa"/>
              <w:left w:w="0" w:type="dxa"/>
              <w:bottom w:w="30" w:type="dxa"/>
              <w:right w:w="20" w:type="dxa"/>
            </w:tcMar>
            <w:vAlign w:val="center"/>
            <w:hideMark/>
          </w:tcPr>
          <w:p w:rsidR="00000000" w:rsidRDefault="001F1FC8">
            <w:pPr>
              <w:jc w:val="right"/>
              <w:rPr>
                <w:rFonts w:eastAsia="Times New Roman"/>
              </w:rPr>
            </w:pPr>
          </w:p>
        </w:tc>
      </w:tr>
      <w:tr w:rsidR="00000000">
        <w:trPr>
          <w:divId w:val="1725639643"/>
        </w:trPr>
        <w:tc>
          <w:tcPr>
            <w:tcW w:w="0" w:type="auto"/>
            <w:gridSpan w:val="3"/>
            <w:tcMar>
              <w:top w:w="30" w:type="dxa"/>
              <w:left w:w="245" w:type="dxa"/>
              <w:bottom w:w="30" w:type="dxa"/>
              <w:right w:w="20" w:type="dxa"/>
            </w:tcMar>
            <w:vAlign w:val="center"/>
            <w:hideMark/>
          </w:tcPr>
          <w:p w:rsidR="00000000" w:rsidRDefault="001F1FC8">
            <w:pPr>
              <w:rPr>
                <w:rFonts w:eastAsia="Times New Roman"/>
              </w:rPr>
            </w:pPr>
            <w:r>
              <w:rPr>
                <w:rFonts w:ascii="Arial" w:eastAsia="Times New Roman" w:hAnsi="Arial" w:cs="Arial"/>
                <w:color w:val="000000"/>
                <w:sz w:val="18"/>
                <w:szCs w:val="18"/>
              </w:rPr>
              <w:t>Other</w:t>
            </w:r>
          </w:p>
        </w:tc>
        <w:tc>
          <w:tcPr>
            <w:tcW w:w="0" w:type="auto"/>
            <w:gridSpan w:val="2"/>
            <w:shd w:val="clear" w:color="auto" w:fill="D8D8D8"/>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b/>
                <w:bCs/>
                <w:color w:val="000000"/>
                <w:sz w:val="18"/>
                <w:szCs w:val="18"/>
              </w:rPr>
              <w:t>(87)</w:t>
            </w:r>
          </w:p>
        </w:tc>
        <w:tc>
          <w:tcPr>
            <w:tcW w:w="0" w:type="auto"/>
            <w:shd w:val="clear" w:color="auto" w:fill="D8D8D8"/>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18"/>
                <w:szCs w:val="18"/>
              </w:rPr>
              <w:t>(90)</w:t>
            </w:r>
          </w:p>
        </w:tc>
        <w:tc>
          <w:tcPr>
            <w:tcW w:w="0" w:type="auto"/>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18"/>
                <w:szCs w:val="18"/>
              </w:rPr>
              <w:t>(71)</w:t>
            </w:r>
          </w:p>
        </w:tc>
        <w:tc>
          <w:tcPr>
            <w:tcW w:w="0" w:type="auto"/>
            <w:tcMar>
              <w:top w:w="30" w:type="dxa"/>
              <w:left w:w="0" w:type="dxa"/>
              <w:bottom w:w="30" w:type="dxa"/>
              <w:right w:w="20" w:type="dxa"/>
            </w:tcMar>
            <w:vAlign w:val="center"/>
            <w:hideMark/>
          </w:tcPr>
          <w:p w:rsidR="00000000" w:rsidRDefault="001F1FC8">
            <w:pPr>
              <w:jc w:val="right"/>
              <w:rPr>
                <w:rFonts w:eastAsia="Times New Roman"/>
              </w:rPr>
            </w:pPr>
          </w:p>
        </w:tc>
      </w:tr>
      <w:tr w:rsidR="00000000">
        <w:trPr>
          <w:divId w:val="1725639643"/>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1F1FC8">
            <w:pPr>
              <w:rPr>
                <w:rFonts w:eastAsia="Times New Roman"/>
              </w:rPr>
            </w:pPr>
            <w:r>
              <w:rPr>
                <w:rFonts w:ascii="Arial" w:eastAsia="Times New Roman" w:hAnsi="Arial" w:cs="Arial"/>
                <w:color w:val="000000"/>
                <w:sz w:val="18"/>
                <w:szCs w:val="18"/>
              </w:rPr>
              <w:t>Net cash provided by/(used in) financing activities</w:t>
            </w:r>
          </w:p>
        </w:tc>
        <w:tc>
          <w:tcPr>
            <w:tcW w:w="0" w:type="auto"/>
            <w:gridSpan w:val="2"/>
            <w:tcBorders>
              <w:top w:val="single" w:sz="4" w:space="0" w:color="000000"/>
            </w:tcBorders>
            <w:shd w:val="clear" w:color="auto" w:fill="D8D8D8"/>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b/>
                <w:bCs/>
                <w:color w:val="000000"/>
                <w:sz w:val="18"/>
                <w:szCs w:val="18"/>
              </w:rPr>
              <w:t>1,236</w:t>
            </w:r>
            <w:r>
              <w:rPr>
                <w:rFonts w:ascii="Arial" w:eastAsia="Times New Roman" w:hAnsi="Arial" w:cs="Arial"/>
                <w:color w:val="000000"/>
                <w:sz w:val="18"/>
                <w:szCs w:val="18"/>
              </w:rPr>
              <w:t> </w:t>
            </w:r>
          </w:p>
        </w:tc>
        <w:tc>
          <w:tcPr>
            <w:tcW w:w="0" w:type="auto"/>
            <w:tcBorders>
              <w:top w:val="single" w:sz="4" w:space="0" w:color="000000"/>
            </w:tcBorders>
            <w:shd w:val="clear" w:color="auto" w:fill="D8D8D8"/>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18"/>
                <w:szCs w:val="18"/>
              </w:rPr>
              <w:t>(4,770)</w:t>
            </w:r>
          </w:p>
        </w:tc>
        <w:tc>
          <w:tcPr>
            <w:tcW w:w="0" w:type="auto"/>
            <w:tcBorders>
              <w:top w:val="single" w:sz="4" w:space="0" w:color="000000"/>
            </w:tcBorders>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18"/>
                <w:szCs w:val="18"/>
              </w:rPr>
              <w:t>(4,745)</w:t>
            </w:r>
          </w:p>
        </w:tc>
        <w:tc>
          <w:tcPr>
            <w:tcW w:w="0" w:type="auto"/>
            <w:tcBorders>
              <w:top w:val="single" w:sz="4" w:space="0" w:color="000000"/>
            </w:tcBorders>
            <w:tcMar>
              <w:top w:w="30" w:type="dxa"/>
              <w:left w:w="0" w:type="dxa"/>
              <w:bottom w:w="30" w:type="dxa"/>
              <w:right w:w="20" w:type="dxa"/>
            </w:tcMar>
            <w:vAlign w:val="center"/>
            <w:hideMark/>
          </w:tcPr>
          <w:p w:rsidR="00000000" w:rsidRDefault="001F1FC8">
            <w:pPr>
              <w:jc w:val="right"/>
              <w:rPr>
                <w:rFonts w:eastAsia="Times New Roman"/>
              </w:rPr>
            </w:pPr>
          </w:p>
        </w:tc>
      </w:tr>
      <w:tr w:rsidR="00000000">
        <w:trPr>
          <w:divId w:val="1725639643"/>
        </w:trPr>
        <w:tc>
          <w:tcPr>
            <w:tcW w:w="0" w:type="auto"/>
            <w:gridSpan w:val="3"/>
            <w:tcBorders>
              <w:top w:val="single" w:sz="4" w:space="0" w:color="000000"/>
            </w:tcBorders>
            <w:tcMar>
              <w:top w:w="30" w:type="dxa"/>
              <w:left w:w="200" w:type="dxa"/>
              <w:bottom w:w="30" w:type="dxa"/>
              <w:right w:w="20" w:type="dxa"/>
            </w:tcMar>
            <w:vAlign w:val="center"/>
            <w:hideMark/>
          </w:tcPr>
          <w:p w:rsidR="00000000" w:rsidRDefault="001F1FC8">
            <w:pPr>
              <w:ind w:hanging="180"/>
              <w:rPr>
                <w:rFonts w:eastAsia="Times New Roman"/>
              </w:rPr>
            </w:pPr>
            <w:r>
              <w:rPr>
                <w:rFonts w:ascii="Arial" w:eastAsia="Times New Roman" w:hAnsi="Arial" w:cs="Arial"/>
                <w:color w:val="000000"/>
                <w:sz w:val="18"/>
                <w:szCs w:val="18"/>
              </w:rPr>
              <w:t>Effect of translation of foreign denominated cash and cash equivalents and restricted cash</w:t>
            </w:r>
          </w:p>
        </w:tc>
        <w:tc>
          <w:tcPr>
            <w:tcW w:w="0" w:type="auto"/>
            <w:gridSpan w:val="2"/>
            <w:tcBorders>
              <w:top w:val="single" w:sz="4" w:space="0" w:color="000000"/>
            </w:tcBorders>
            <w:shd w:val="clear" w:color="auto" w:fill="D8D8D8"/>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8"/>
                <w:szCs w:val="18"/>
              </w:rPr>
              <w:t>(5)</w:t>
            </w:r>
          </w:p>
        </w:tc>
        <w:tc>
          <w:tcPr>
            <w:tcW w:w="0" w:type="auto"/>
            <w:tcBorders>
              <w:top w:val="single" w:sz="4" w:space="0" w:color="000000"/>
            </w:tcBorders>
            <w:shd w:val="clear" w:color="auto" w:fill="D8D8D8"/>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8"/>
                <w:szCs w:val="18"/>
              </w:rPr>
              <w:t>(20)</w:t>
            </w:r>
          </w:p>
        </w:tc>
        <w:tc>
          <w:tcPr>
            <w:tcW w:w="0" w:type="auto"/>
            <w:tcBorders>
              <w:top w:val="single" w:sz="4" w:space="0" w:color="000000"/>
            </w:tcBorders>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8"/>
                <w:szCs w:val="18"/>
              </w:rPr>
              <w:t>44 </w:t>
            </w:r>
          </w:p>
        </w:tc>
        <w:tc>
          <w:tcPr>
            <w:tcW w:w="0" w:type="auto"/>
            <w:tcBorders>
              <w:top w:val="single" w:sz="4" w:space="0" w:color="000000"/>
            </w:tcBorders>
            <w:tcMar>
              <w:top w:w="30" w:type="dxa"/>
              <w:left w:w="0" w:type="dxa"/>
              <w:bottom w:w="30" w:type="dxa"/>
              <w:right w:w="20" w:type="dxa"/>
            </w:tcMar>
            <w:vAlign w:val="bottom"/>
            <w:hideMark/>
          </w:tcPr>
          <w:p w:rsidR="00000000" w:rsidRDefault="001F1FC8">
            <w:pPr>
              <w:jc w:val="right"/>
              <w:rPr>
                <w:rFonts w:eastAsia="Times New Roman"/>
              </w:rPr>
            </w:pPr>
          </w:p>
        </w:tc>
      </w:tr>
      <w:tr w:rsidR="00000000">
        <w:trPr>
          <w:divId w:val="1725639643"/>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1F1FC8">
            <w:pPr>
              <w:rPr>
                <w:rFonts w:eastAsia="Times New Roman"/>
              </w:rPr>
            </w:pPr>
            <w:r>
              <w:rPr>
                <w:rFonts w:ascii="Arial" w:eastAsia="Times New Roman" w:hAnsi="Arial" w:cs="Arial"/>
                <w:color w:val="000000"/>
                <w:sz w:val="18"/>
                <w:szCs w:val="18"/>
              </w:rPr>
              <w:t>Net increase/(decrease) in cash and cash equivalents and restricted cash</w:t>
            </w:r>
          </w:p>
        </w:tc>
        <w:tc>
          <w:tcPr>
            <w:tcW w:w="0" w:type="auto"/>
            <w:gridSpan w:val="2"/>
            <w:tcBorders>
              <w:top w:val="single" w:sz="4" w:space="0" w:color="000000"/>
            </w:tcBorders>
            <w:shd w:val="clear" w:color="auto" w:fill="D8D8D8"/>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b/>
                <w:bCs/>
                <w:color w:val="000000"/>
                <w:sz w:val="18"/>
                <w:szCs w:val="18"/>
              </w:rPr>
              <w:t>(170)</w:t>
            </w:r>
          </w:p>
        </w:tc>
        <w:tc>
          <w:tcPr>
            <w:tcW w:w="0" w:type="auto"/>
            <w:tcBorders>
              <w:top w:val="single" w:sz="4" w:space="0" w:color="000000"/>
            </w:tcBorders>
            <w:shd w:val="clear" w:color="auto" w:fill="D8D8D8"/>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18"/>
                <w:szCs w:val="18"/>
              </w:rPr>
              <w:t>(186)</w:t>
            </w:r>
          </w:p>
        </w:tc>
        <w:tc>
          <w:tcPr>
            <w:tcW w:w="0" w:type="auto"/>
            <w:tcBorders>
              <w:top w:val="single" w:sz="4" w:space="0" w:color="000000"/>
            </w:tcBorders>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18"/>
                <w:szCs w:val="18"/>
              </w:rPr>
              <w:t>39 </w:t>
            </w:r>
          </w:p>
        </w:tc>
        <w:tc>
          <w:tcPr>
            <w:tcW w:w="0" w:type="auto"/>
            <w:tcBorders>
              <w:top w:val="single" w:sz="4" w:space="0" w:color="000000"/>
            </w:tcBorders>
            <w:tcMar>
              <w:top w:w="30" w:type="dxa"/>
              <w:left w:w="0" w:type="dxa"/>
              <w:bottom w:w="30" w:type="dxa"/>
              <w:right w:w="20" w:type="dxa"/>
            </w:tcMar>
            <w:vAlign w:val="center"/>
            <w:hideMark/>
          </w:tcPr>
          <w:p w:rsidR="00000000" w:rsidRDefault="001F1FC8">
            <w:pPr>
              <w:jc w:val="right"/>
              <w:rPr>
                <w:rFonts w:eastAsia="Times New Roman"/>
              </w:rPr>
            </w:pPr>
          </w:p>
        </w:tc>
      </w:tr>
      <w:tr w:rsidR="00000000">
        <w:trPr>
          <w:divId w:val="1725639643"/>
        </w:trPr>
        <w:tc>
          <w:tcPr>
            <w:tcW w:w="0" w:type="auto"/>
            <w:gridSpan w:val="3"/>
            <w:tcMar>
              <w:top w:w="30" w:type="dxa"/>
              <w:left w:w="20" w:type="dxa"/>
              <w:bottom w:w="30" w:type="dxa"/>
              <w:right w:w="20" w:type="dxa"/>
            </w:tcMar>
            <w:vAlign w:val="center"/>
            <w:hideMark/>
          </w:tcPr>
          <w:p w:rsidR="00000000" w:rsidRDefault="001F1FC8">
            <w:pPr>
              <w:rPr>
                <w:rFonts w:eastAsia="Times New Roman"/>
              </w:rPr>
            </w:pPr>
            <w:r>
              <w:rPr>
                <w:rFonts w:ascii="Arial" w:eastAsia="Times New Roman" w:hAnsi="Arial" w:cs="Arial"/>
                <w:color w:val="000000"/>
                <w:sz w:val="18"/>
                <w:szCs w:val="18"/>
              </w:rPr>
              <w:t>Cash and cash equivalents and restricted cash at beginning of year</w:t>
            </w:r>
          </w:p>
        </w:tc>
        <w:tc>
          <w:tcPr>
            <w:tcW w:w="0" w:type="auto"/>
            <w:gridSpan w:val="2"/>
            <w:shd w:val="clear" w:color="auto" w:fill="D8D8D8"/>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b/>
                <w:bCs/>
                <w:color w:val="000000"/>
                <w:sz w:val="18"/>
                <w:szCs w:val="18"/>
              </w:rPr>
              <w:t>490</w:t>
            </w:r>
            <w:r>
              <w:rPr>
                <w:rFonts w:ascii="Arial" w:eastAsia="Times New Roman" w:hAnsi="Arial" w:cs="Arial"/>
                <w:color w:val="000000"/>
                <w:sz w:val="18"/>
                <w:szCs w:val="18"/>
              </w:rPr>
              <w:t> </w:t>
            </w:r>
          </w:p>
        </w:tc>
        <w:tc>
          <w:tcPr>
            <w:tcW w:w="0" w:type="auto"/>
            <w:shd w:val="clear" w:color="auto" w:fill="D8D8D8"/>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18"/>
                <w:szCs w:val="18"/>
              </w:rPr>
              <w:t>676 </w:t>
            </w:r>
          </w:p>
        </w:tc>
        <w:tc>
          <w:tcPr>
            <w:tcW w:w="0" w:type="auto"/>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18"/>
                <w:szCs w:val="18"/>
              </w:rPr>
              <w:t>637 </w:t>
            </w:r>
          </w:p>
        </w:tc>
        <w:tc>
          <w:tcPr>
            <w:tcW w:w="0" w:type="auto"/>
            <w:tcMar>
              <w:top w:w="30" w:type="dxa"/>
              <w:left w:w="0" w:type="dxa"/>
              <w:bottom w:w="30" w:type="dxa"/>
              <w:right w:w="20" w:type="dxa"/>
            </w:tcMar>
            <w:vAlign w:val="center"/>
            <w:hideMark/>
          </w:tcPr>
          <w:p w:rsidR="00000000" w:rsidRDefault="001F1FC8">
            <w:pPr>
              <w:jc w:val="right"/>
              <w:rPr>
                <w:rFonts w:eastAsia="Times New Roman"/>
              </w:rPr>
            </w:pPr>
          </w:p>
        </w:tc>
      </w:tr>
      <w:tr w:rsidR="00000000">
        <w:trPr>
          <w:divId w:val="1725639643"/>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1F1FC8">
            <w:pPr>
              <w:rPr>
                <w:rFonts w:eastAsia="Times New Roman"/>
              </w:rPr>
            </w:pPr>
            <w:r>
              <w:rPr>
                <w:rFonts w:ascii="Arial" w:eastAsia="Times New Roman" w:hAnsi="Arial" w:cs="Arial"/>
                <w:color w:val="000000"/>
                <w:sz w:val="18"/>
                <w:szCs w:val="18"/>
              </w:rPr>
              <w:t>Cash and cash equivalents and restricted cash at end of year</w:t>
            </w:r>
          </w:p>
        </w:tc>
        <w:tc>
          <w:tcPr>
            <w:tcW w:w="0" w:type="auto"/>
            <w:gridSpan w:val="2"/>
            <w:tcBorders>
              <w:top w:val="single" w:sz="4" w:space="0" w:color="000000"/>
            </w:tcBorders>
            <w:shd w:val="clear" w:color="auto" w:fill="D8D8D8"/>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b/>
                <w:bCs/>
                <w:color w:val="000000"/>
                <w:sz w:val="18"/>
                <w:szCs w:val="18"/>
              </w:rPr>
              <w:t>320</w:t>
            </w:r>
            <w:r>
              <w:rPr>
                <w:rFonts w:ascii="Arial" w:eastAsia="Times New Roman" w:hAnsi="Arial" w:cs="Arial"/>
                <w:color w:val="000000"/>
                <w:sz w:val="18"/>
                <w:szCs w:val="18"/>
              </w:rPr>
              <w:t> </w:t>
            </w:r>
          </w:p>
        </w:tc>
        <w:tc>
          <w:tcPr>
            <w:tcW w:w="0" w:type="auto"/>
            <w:tcBorders>
              <w:top w:val="single" w:sz="4" w:space="0" w:color="000000"/>
            </w:tcBorders>
            <w:shd w:val="clear" w:color="auto" w:fill="D8D8D8"/>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18"/>
                <w:szCs w:val="18"/>
              </w:rPr>
              <w:t>490 </w:t>
            </w:r>
          </w:p>
        </w:tc>
        <w:tc>
          <w:tcPr>
            <w:tcW w:w="0" w:type="auto"/>
            <w:tcBorders>
              <w:top w:val="single" w:sz="4" w:space="0" w:color="000000"/>
            </w:tcBorders>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18"/>
                <w:szCs w:val="18"/>
              </w:rPr>
              <w:t>676 </w:t>
            </w:r>
          </w:p>
        </w:tc>
        <w:tc>
          <w:tcPr>
            <w:tcW w:w="0" w:type="auto"/>
            <w:tcBorders>
              <w:top w:val="single" w:sz="4" w:space="0" w:color="000000"/>
            </w:tcBorders>
            <w:tcMar>
              <w:top w:w="30" w:type="dxa"/>
              <w:left w:w="0" w:type="dxa"/>
              <w:bottom w:w="30" w:type="dxa"/>
              <w:right w:w="20" w:type="dxa"/>
            </w:tcMar>
            <w:vAlign w:val="center"/>
            <w:hideMark/>
          </w:tcPr>
          <w:p w:rsidR="00000000" w:rsidRDefault="001F1FC8">
            <w:pPr>
              <w:jc w:val="right"/>
              <w:rPr>
                <w:rFonts w:eastAsia="Times New Roman"/>
              </w:rPr>
            </w:pPr>
          </w:p>
        </w:tc>
      </w:tr>
      <w:tr w:rsidR="00000000">
        <w:trPr>
          <w:divId w:val="1725639643"/>
        </w:trPr>
        <w:tc>
          <w:tcPr>
            <w:tcW w:w="0" w:type="auto"/>
            <w:gridSpan w:val="3"/>
            <w:tcBorders>
              <w:top w:val="single" w:sz="8" w:space="0" w:color="000000"/>
            </w:tcBorders>
            <w:tcMar>
              <w:top w:w="30" w:type="dxa"/>
              <w:left w:w="20" w:type="dxa"/>
              <w:bottom w:w="30" w:type="dxa"/>
              <w:right w:w="20" w:type="dxa"/>
            </w:tcMar>
            <w:vAlign w:val="center"/>
            <w:hideMark/>
          </w:tcPr>
          <w:p w:rsidR="00000000" w:rsidRDefault="001F1FC8">
            <w:pPr>
              <w:rPr>
                <w:rFonts w:eastAsia="Times New Roman"/>
              </w:rPr>
            </w:pPr>
            <w:r>
              <w:rPr>
                <w:rFonts w:ascii="Arial" w:eastAsia="Times New Roman" w:hAnsi="Arial" w:cs="Arial"/>
                <w:b/>
                <w:bCs/>
                <w:color w:val="000000"/>
                <w:sz w:val="18"/>
                <w:szCs w:val="18"/>
              </w:rPr>
              <w:t>Supplementary cash flow information</w:t>
            </w:r>
          </w:p>
        </w:tc>
        <w:tc>
          <w:tcPr>
            <w:tcW w:w="0" w:type="auto"/>
            <w:gridSpan w:val="3"/>
            <w:tcBorders>
              <w:top w:val="single" w:sz="8" w:space="0" w:color="000000"/>
            </w:tcBorders>
            <w:shd w:val="clear" w:color="auto" w:fill="D8D8D8"/>
            <w:tcMar>
              <w:top w:w="0" w:type="dxa"/>
              <w:left w:w="20" w:type="dxa"/>
              <w:bottom w:w="0" w:type="dxa"/>
              <w:right w:w="20" w:type="dxa"/>
            </w:tcMar>
            <w:vAlign w:val="center"/>
            <w:hideMark/>
          </w:tcPr>
          <w:p w:rsidR="00000000" w:rsidRDefault="001F1FC8">
            <w:pPr>
              <w:rPr>
                <w:rFonts w:eastAsia="Times New Roman"/>
              </w:rPr>
            </w:pP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1F1FC8">
            <w:pPr>
              <w:jc w:val="right"/>
              <w:rPr>
                <w:rFonts w:eastAsia="Times New Roman"/>
              </w:rPr>
            </w:pPr>
            <w:r>
              <w:rPr>
                <w:rFonts w:ascii="Arial" w:eastAsia="Times New Roman" w:hAnsi="Arial" w:cs="Arial"/>
                <w:color w:val="000000"/>
                <w:sz w:val="18"/>
                <w:szCs w:val="18"/>
              </w:rPr>
              <w:t> </w:t>
            </w: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1F1FC8">
            <w:pPr>
              <w:jc w:val="right"/>
              <w:rPr>
                <w:rFonts w:eastAsia="Times New Roman"/>
              </w:rPr>
            </w:pPr>
            <w:r>
              <w:rPr>
                <w:rFonts w:ascii="Arial" w:eastAsia="Times New Roman" w:hAnsi="Arial" w:cs="Arial"/>
                <w:color w:val="000000"/>
                <w:sz w:val="18"/>
                <w:szCs w:val="18"/>
              </w:rPr>
              <w:t> </w:t>
            </w:r>
          </w:p>
        </w:tc>
      </w:tr>
      <w:tr w:rsidR="00000000">
        <w:trPr>
          <w:divId w:val="1725639643"/>
        </w:trPr>
        <w:tc>
          <w:tcPr>
            <w:tcW w:w="0" w:type="auto"/>
            <w:gridSpan w:val="3"/>
            <w:tcMar>
              <w:top w:w="30" w:type="dxa"/>
              <w:left w:w="245" w:type="dxa"/>
              <w:bottom w:w="30" w:type="dxa"/>
              <w:right w:w="20" w:type="dxa"/>
            </w:tcMar>
            <w:vAlign w:val="center"/>
            <w:hideMark/>
          </w:tcPr>
          <w:p w:rsidR="00000000" w:rsidRDefault="001F1FC8">
            <w:pPr>
              <w:rPr>
                <w:rFonts w:eastAsia="Times New Roman"/>
              </w:rPr>
            </w:pPr>
            <w:r>
              <w:rPr>
                <w:rFonts w:ascii="Arial" w:eastAsia="Times New Roman" w:hAnsi="Arial" w:cs="Arial"/>
                <w:color w:val="000000"/>
                <w:sz w:val="18"/>
                <w:szCs w:val="18"/>
              </w:rPr>
              <w:t xml:space="preserve">Cash paid for income taxes </w:t>
            </w:r>
          </w:p>
        </w:tc>
        <w:tc>
          <w:tcPr>
            <w:tcW w:w="0" w:type="auto"/>
            <w:gridSpan w:val="2"/>
            <w:shd w:val="clear" w:color="auto" w:fill="D8D8D8"/>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b/>
                <w:bCs/>
                <w:color w:val="000000"/>
                <w:sz w:val="18"/>
                <w:szCs w:val="18"/>
              </w:rPr>
              <w:t>489</w:t>
            </w:r>
            <w:r>
              <w:rPr>
                <w:rFonts w:ascii="Arial" w:eastAsia="Times New Roman" w:hAnsi="Arial" w:cs="Arial"/>
                <w:color w:val="000000"/>
                <w:sz w:val="18"/>
                <w:szCs w:val="18"/>
              </w:rPr>
              <w:t> </w:t>
            </w:r>
          </w:p>
        </w:tc>
        <w:tc>
          <w:tcPr>
            <w:tcW w:w="0" w:type="auto"/>
            <w:shd w:val="clear" w:color="auto" w:fill="D8D8D8"/>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18"/>
                <w:szCs w:val="18"/>
              </w:rPr>
              <w:t>524 </w:t>
            </w:r>
          </w:p>
        </w:tc>
        <w:tc>
          <w:tcPr>
            <w:tcW w:w="0" w:type="auto"/>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18"/>
                <w:szCs w:val="18"/>
              </w:rPr>
              <w:t>571 </w:t>
            </w:r>
          </w:p>
        </w:tc>
        <w:tc>
          <w:tcPr>
            <w:tcW w:w="0" w:type="auto"/>
            <w:tcMar>
              <w:top w:w="30" w:type="dxa"/>
              <w:left w:w="0" w:type="dxa"/>
              <w:bottom w:w="30" w:type="dxa"/>
              <w:right w:w="20" w:type="dxa"/>
            </w:tcMar>
            <w:vAlign w:val="center"/>
            <w:hideMark/>
          </w:tcPr>
          <w:p w:rsidR="00000000" w:rsidRDefault="001F1FC8">
            <w:pPr>
              <w:jc w:val="right"/>
              <w:rPr>
                <w:rFonts w:eastAsia="Times New Roman"/>
              </w:rPr>
            </w:pPr>
          </w:p>
        </w:tc>
      </w:tr>
      <w:tr w:rsidR="00000000">
        <w:trPr>
          <w:divId w:val="1725639643"/>
        </w:trPr>
        <w:tc>
          <w:tcPr>
            <w:tcW w:w="0" w:type="auto"/>
            <w:gridSpan w:val="3"/>
            <w:tcMar>
              <w:top w:w="30" w:type="dxa"/>
              <w:left w:w="245" w:type="dxa"/>
              <w:bottom w:w="30" w:type="dxa"/>
              <w:right w:w="20" w:type="dxa"/>
            </w:tcMar>
            <w:vAlign w:val="center"/>
            <w:hideMark/>
          </w:tcPr>
          <w:p w:rsidR="00000000" w:rsidRDefault="001F1FC8">
            <w:pPr>
              <w:rPr>
                <w:rFonts w:eastAsia="Times New Roman"/>
              </w:rPr>
            </w:pPr>
            <w:r>
              <w:rPr>
                <w:rFonts w:ascii="Arial" w:eastAsia="Times New Roman" w:hAnsi="Arial" w:cs="Arial"/>
                <w:color w:val="000000"/>
                <w:sz w:val="18"/>
                <w:szCs w:val="18"/>
              </w:rPr>
              <w:t>Cash paid for interest, net of amount capitalized</w:t>
            </w:r>
          </w:p>
        </w:tc>
        <w:tc>
          <w:tcPr>
            <w:tcW w:w="0" w:type="auto"/>
            <w:gridSpan w:val="2"/>
            <w:shd w:val="clear" w:color="auto" w:fill="D8D8D8"/>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b/>
                <w:bCs/>
                <w:color w:val="000000"/>
                <w:sz w:val="18"/>
                <w:szCs w:val="18"/>
              </w:rPr>
              <w:t>2,427</w:t>
            </w:r>
            <w:r>
              <w:rPr>
                <w:rFonts w:ascii="Arial" w:eastAsia="Times New Roman" w:hAnsi="Arial" w:cs="Arial"/>
                <w:color w:val="000000"/>
                <w:sz w:val="18"/>
                <w:szCs w:val="18"/>
              </w:rPr>
              <w:t> </w:t>
            </w:r>
          </w:p>
        </w:tc>
        <w:tc>
          <w:tcPr>
            <w:tcW w:w="0" w:type="auto"/>
            <w:shd w:val="clear" w:color="auto" w:fill="D8D8D8"/>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18"/>
                <w:szCs w:val="18"/>
              </w:rPr>
              <w:t>2,538 </w:t>
            </w:r>
          </w:p>
        </w:tc>
        <w:tc>
          <w:tcPr>
            <w:tcW w:w="0" w:type="auto"/>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18"/>
                <w:szCs w:val="18"/>
              </w:rPr>
              <w:t>2,738 </w:t>
            </w:r>
          </w:p>
        </w:tc>
        <w:tc>
          <w:tcPr>
            <w:tcW w:w="0" w:type="auto"/>
            <w:tcMar>
              <w:top w:w="30" w:type="dxa"/>
              <w:left w:w="0" w:type="dxa"/>
              <w:bottom w:w="30" w:type="dxa"/>
              <w:right w:w="20" w:type="dxa"/>
            </w:tcMar>
            <w:vAlign w:val="center"/>
            <w:hideMark/>
          </w:tcPr>
          <w:p w:rsidR="00000000" w:rsidRDefault="001F1FC8">
            <w:pPr>
              <w:jc w:val="right"/>
              <w:rPr>
                <w:rFonts w:eastAsia="Times New Roman"/>
              </w:rPr>
            </w:pPr>
          </w:p>
        </w:tc>
      </w:tr>
      <w:tr w:rsidR="00000000">
        <w:trPr>
          <w:divId w:val="1725639643"/>
        </w:trPr>
        <w:tc>
          <w:tcPr>
            <w:tcW w:w="0" w:type="auto"/>
            <w:gridSpan w:val="3"/>
            <w:tcBorders>
              <w:bottom w:val="single" w:sz="8" w:space="0" w:color="000000"/>
            </w:tcBorders>
            <w:tcMar>
              <w:top w:w="30" w:type="dxa"/>
              <w:left w:w="245" w:type="dxa"/>
              <w:bottom w:w="30" w:type="dxa"/>
              <w:right w:w="20" w:type="dxa"/>
            </w:tcMar>
            <w:vAlign w:val="center"/>
            <w:hideMark/>
          </w:tcPr>
          <w:p w:rsidR="00000000" w:rsidRDefault="001F1FC8">
            <w:pPr>
              <w:rPr>
                <w:rFonts w:eastAsia="Times New Roman"/>
              </w:rPr>
            </w:pPr>
            <w:r>
              <w:rPr>
                <w:rFonts w:ascii="Arial" w:eastAsia="Times New Roman" w:hAnsi="Arial" w:cs="Arial"/>
                <w:color w:val="000000"/>
                <w:sz w:val="18"/>
                <w:szCs w:val="18"/>
              </w:rPr>
              <w:t>Property, plant and equipment non-cash accruals</w:t>
            </w:r>
          </w:p>
        </w:tc>
        <w:tc>
          <w:tcPr>
            <w:tcW w:w="0" w:type="auto"/>
            <w:gridSpan w:val="2"/>
            <w:tcBorders>
              <w:bottom w:val="single" w:sz="8" w:space="0" w:color="000000"/>
            </w:tcBorders>
            <w:shd w:val="clear" w:color="auto" w:fill="DBDBDB"/>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b/>
                <w:bCs/>
                <w:color w:val="000000"/>
                <w:sz w:val="18"/>
                <w:szCs w:val="18"/>
              </w:rPr>
              <w:t>831</w:t>
            </w:r>
            <w:r>
              <w:rPr>
                <w:rFonts w:ascii="Arial" w:eastAsia="Times New Roman" w:hAnsi="Arial" w:cs="Arial"/>
                <w:color w:val="000000"/>
                <w:sz w:val="18"/>
                <w:szCs w:val="18"/>
              </w:rPr>
              <w:t> </w:t>
            </w:r>
          </w:p>
        </w:tc>
        <w:tc>
          <w:tcPr>
            <w:tcW w:w="0" w:type="auto"/>
            <w:tcBorders>
              <w:bottom w:val="single" w:sz="8" w:space="0" w:color="000000"/>
            </w:tcBorders>
            <w:shd w:val="clear" w:color="auto" w:fill="DBDBDB"/>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Borders>
              <w:bottom w:val="single" w:sz="8" w:space="0" w:color="000000"/>
            </w:tcBorders>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18"/>
                <w:szCs w:val="18"/>
              </w:rPr>
              <w:t>801 </w:t>
            </w:r>
          </w:p>
        </w:tc>
        <w:tc>
          <w:tcPr>
            <w:tcW w:w="0" w:type="auto"/>
            <w:tcBorders>
              <w:bottom w:val="single" w:sz="8" w:space="0" w:color="000000"/>
            </w:tcBorders>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Borders>
              <w:bottom w:val="single" w:sz="8" w:space="0" w:color="000000"/>
            </w:tcBorders>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18"/>
                <w:szCs w:val="18"/>
              </w:rPr>
              <w:t>730 </w:t>
            </w:r>
          </w:p>
        </w:tc>
        <w:tc>
          <w:tcPr>
            <w:tcW w:w="0" w:type="auto"/>
            <w:tcBorders>
              <w:bottom w:val="single" w:sz="8" w:space="0" w:color="000000"/>
            </w:tcBorders>
            <w:tcMar>
              <w:top w:w="30" w:type="dxa"/>
              <w:left w:w="0" w:type="dxa"/>
              <w:bottom w:w="30" w:type="dxa"/>
              <w:right w:w="20" w:type="dxa"/>
            </w:tcMar>
            <w:vAlign w:val="center"/>
            <w:hideMark/>
          </w:tcPr>
          <w:p w:rsidR="00000000" w:rsidRDefault="001F1FC8">
            <w:pPr>
              <w:jc w:val="right"/>
              <w:rPr>
                <w:rFonts w:eastAsia="Times New Roman"/>
              </w:rPr>
            </w:pPr>
          </w:p>
        </w:tc>
      </w:tr>
    </w:tbl>
    <w:p w:rsidR="00000000" w:rsidRDefault="001F1FC8">
      <w:pPr>
        <w:divId w:val="2133474091"/>
        <w:rPr>
          <w:rFonts w:eastAsia="Times New Roman"/>
        </w:rPr>
      </w:pPr>
      <w:r>
        <w:rPr>
          <w:rFonts w:ascii="Arial" w:eastAsia="Times New Roman" w:hAnsi="Arial" w:cs="Arial"/>
          <w:color w:val="000000"/>
          <w:sz w:val="16"/>
          <w:szCs w:val="16"/>
        </w:rPr>
        <w:t>The accompanying notes are an integral part of these consolidated financial statements.</w:t>
      </w:r>
    </w:p>
    <w:p w:rsidR="00000000" w:rsidRDefault="001F1FC8">
      <w:pPr>
        <w:divId w:val="1924096424"/>
        <w:rPr>
          <w:rFonts w:eastAsia="Times New Roman"/>
        </w:rPr>
      </w:pPr>
    </w:p>
    <w:p w:rsidR="00000000" w:rsidRDefault="001F1FC8">
      <w:pPr>
        <w:jc w:val="center"/>
        <w:divId w:val="440492068"/>
        <w:rPr>
          <w:rFonts w:eastAsia="Times New Roman"/>
        </w:rPr>
      </w:pPr>
      <w:r>
        <w:rPr>
          <w:rFonts w:ascii="Arial" w:eastAsia="Times New Roman" w:hAnsi="Arial" w:cs="Arial"/>
          <w:color w:val="000000"/>
          <w:sz w:val="20"/>
          <w:szCs w:val="20"/>
        </w:rPr>
        <w:t>100</w:t>
      </w:r>
    </w:p>
    <w:p w:rsidR="00000000" w:rsidRDefault="001F1FC8">
      <w:pPr>
        <w:rPr>
          <w:rFonts w:eastAsia="Times New Roman"/>
        </w:rPr>
      </w:pPr>
      <w:r>
        <w:rPr>
          <w:rFonts w:eastAsia="Times New Roman"/>
        </w:rPr>
        <w:pict>
          <v:rect id="_x0000_i1130" style="width:0;height:1.5pt" o:hralign="center" o:hrstd="t" o:hr="t" fillcolor="#a0a0a0" stroked="f"/>
        </w:pict>
      </w:r>
    </w:p>
    <w:p w:rsidR="00000000" w:rsidRDefault="001F1FC8">
      <w:pPr>
        <w:jc w:val="center"/>
        <w:divId w:val="1323587772"/>
        <w:rPr>
          <w:rFonts w:eastAsia="Times New Roman"/>
        </w:rPr>
      </w:pPr>
    </w:p>
    <w:p w:rsidR="00000000" w:rsidRDefault="001F1FC8">
      <w:pPr>
        <w:jc w:val="center"/>
        <w:rPr>
          <w:rFonts w:eastAsia="Times New Roman"/>
        </w:rPr>
      </w:pPr>
      <w:r>
        <w:rPr>
          <w:rFonts w:ascii="Arial" w:eastAsia="Times New Roman" w:hAnsi="Arial" w:cs="Arial"/>
          <w:b/>
          <w:bCs/>
          <w:color w:val="000000"/>
          <w:sz w:val="30"/>
          <w:szCs w:val="30"/>
        </w:rPr>
        <w:t>ENBRIDGE INC.</w:t>
      </w:r>
    </w:p>
    <w:p w:rsidR="00000000" w:rsidRDefault="001F1FC8">
      <w:pPr>
        <w:jc w:val="center"/>
        <w:rPr>
          <w:rFonts w:eastAsia="Times New Roman"/>
        </w:rPr>
      </w:pPr>
      <w:r>
        <w:rPr>
          <w:rFonts w:ascii="Arial" w:eastAsia="Times New Roman" w:hAnsi="Arial" w:cs="Arial"/>
          <w:b/>
          <w:bCs/>
          <w:color w:val="000000"/>
          <w:sz w:val="30"/>
          <w:szCs w:val="30"/>
        </w:rPr>
        <w:t>CONSOLIDATED STATEMENTS OF FINANCIAL POSITION</w:t>
      </w:r>
    </w:p>
    <w:tbl>
      <w:tblPr>
        <w:tblW w:w="5000" w:type="pct"/>
        <w:tblCellMar>
          <w:top w:w="15" w:type="dxa"/>
          <w:left w:w="15" w:type="dxa"/>
          <w:bottom w:w="15" w:type="dxa"/>
          <w:right w:w="15" w:type="dxa"/>
        </w:tblCellMar>
        <w:tblLook w:val="04A0" w:firstRow="1" w:lastRow="0" w:firstColumn="1" w:lastColumn="0" w:noHBand="0" w:noVBand="1"/>
      </w:tblPr>
      <w:tblGrid>
        <w:gridCol w:w="69"/>
        <w:gridCol w:w="5539"/>
        <w:gridCol w:w="37"/>
        <w:gridCol w:w="69"/>
        <w:gridCol w:w="1225"/>
        <w:gridCol w:w="36"/>
        <w:gridCol w:w="69"/>
        <w:gridCol w:w="1226"/>
        <w:gridCol w:w="36"/>
      </w:tblGrid>
      <w:tr w:rsidR="00000000">
        <w:trPr>
          <w:divId w:val="1897424053"/>
        </w:trPr>
        <w:tc>
          <w:tcPr>
            <w:tcW w:w="50" w:type="pct"/>
            <w:vAlign w:val="center"/>
            <w:hideMark/>
          </w:tcPr>
          <w:p w:rsidR="00000000" w:rsidRDefault="001F1FC8">
            <w:pPr>
              <w:jc w:val="center"/>
              <w:rPr>
                <w:rFonts w:eastAsia="Times New Roman"/>
              </w:rPr>
            </w:pPr>
          </w:p>
        </w:tc>
        <w:tc>
          <w:tcPr>
            <w:tcW w:w="3342"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c>
          <w:tcPr>
            <w:tcW w:w="50" w:type="pct"/>
            <w:vAlign w:val="center"/>
            <w:hideMark/>
          </w:tcPr>
          <w:p w:rsidR="00000000" w:rsidRDefault="001F1FC8">
            <w:pPr>
              <w:rPr>
                <w:rFonts w:eastAsia="Times New Roman"/>
                <w:sz w:val="20"/>
                <w:szCs w:val="20"/>
              </w:rPr>
            </w:pPr>
          </w:p>
        </w:tc>
        <w:tc>
          <w:tcPr>
            <w:tcW w:w="746"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c>
          <w:tcPr>
            <w:tcW w:w="50" w:type="pct"/>
            <w:vAlign w:val="center"/>
            <w:hideMark/>
          </w:tcPr>
          <w:p w:rsidR="00000000" w:rsidRDefault="001F1FC8">
            <w:pPr>
              <w:rPr>
                <w:rFonts w:eastAsia="Times New Roman"/>
                <w:sz w:val="20"/>
                <w:szCs w:val="20"/>
              </w:rPr>
            </w:pPr>
          </w:p>
        </w:tc>
        <w:tc>
          <w:tcPr>
            <w:tcW w:w="746"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r>
      <w:tr w:rsidR="00000000">
        <w:trPr>
          <w:divId w:val="1897424053"/>
        </w:trPr>
        <w:tc>
          <w:tcPr>
            <w:tcW w:w="0" w:type="auto"/>
            <w:gridSpan w:val="3"/>
            <w:tcMar>
              <w:top w:w="30" w:type="dxa"/>
              <w:left w:w="20" w:type="dxa"/>
              <w:bottom w:w="30" w:type="dxa"/>
              <w:right w:w="20" w:type="dxa"/>
            </w:tcMar>
            <w:vAlign w:val="center"/>
            <w:hideMark/>
          </w:tcPr>
          <w:p w:rsidR="00000000" w:rsidRDefault="001F1FC8">
            <w:pPr>
              <w:rPr>
                <w:rFonts w:eastAsia="Times New Roman"/>
              </w:rPr>
            </w:pPr>
            <w:r>
              <w:rPr>
                <w:rFonts w:ascii="Arial" w:eastAsia="Times New Roman" w:hAnsi="Arial" w:cs="Arial"/>
                <w:color w:val="000000"/>
                <w:sz w:val="18"/>
                <w:szCs w:val="18"/>
              </w:rPr>
              <w:t>December 31,</w:t>
            </w:r>
          </w:p>
        </w:tc>
        <w:tc>
          <w:tcPr>
            <w:tcW w:w="0" w:type="auto"/>
            <w:gridSpan w:val="3"/>
            <w:tcMar>
              <w:top w:w="30" w:type="dxa"/>
              <w:left w:w="20" w:type="dxa"/>
              <w:bottom w:w="30" w:type="dxa"/>
              <w:right w:w="20" w:type="dxa"/>
            </w:tcMar>
            <w:vAlign w:val="center"/>
            <w:hideMark/>
          </w:tcPr>
          <w:p w:rsidR="00000000" w:rsidRDefault="001F1FC8">
            <w:pPr>
              <w:jc w:val="right"/>
              <w:rPr>
                <w:rFonts w:eastAsia="Times New Roman"/>
              </w:rPr>
            </w:pPr>
            <w:r>
              <w:rPr>
                <w:rFonts w:ascii="Arial" w:eastAsia="Times New Roman" w:hAnsi="Arial" w:cs="Arial"/>
                <w:b/>
                <w:bCs/>
                <w:color w:val="000000"/>
                <w:sz w:val="18"/>
                <w:szCs w:val="18"/>
              </w:rPr>
              <w:t>2021</w:t>
            </w:r>
          </w:p>
        </w:tc>
        <w:tc>
          <w:tcPr>
            <w:tcW w:w="0" w:type="auto"/>
            <w:gridSpan w:val="3"/>
            <w:tcMar>
              <w:top w:w="30" w:type="dxa"/>
              <w:left w:w="20" w:type="dxa"/>
              <w:bottom w:w="30" w:type="dxa"/>
              <w:right w:w="20" w:type="dxa"/>
            </w:tcMar>
            <w:vAlign w:val="center"/>
            <w:hideMark/>
          </w:tcPr>
          <w:p w:rsidR="00000000" w:rsidRDefault="001F1FC8">
            <w:pPr>
              <w:jc w:val="right"/>
              <w:rPr>
                <w:rFonts w:eastAsia="Times New Roman"/>
              </w:rPr>
            </w:pPr>
            <w:r>
              <w:rPr>
                <w:rFonts w:ascii="Arial" w:eastAsia="Times New Roman" w:hAnsi="Arial" w:cs="Arial"/>
                <w:color w:val="000000"/>
                <w:sz w:val="18"/>
                <w:szCs w:val="18"/>
              </w:rPr>
              <w:t>2020</w:t>
            </w:r>
          </w:p>
        </w:tc>
      </w:tr>
      <w:tr w:rsidR="00000000">
        <w:trPr>
          <w:divId w:val="1897424053"/>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1F1FC8">
            <w:pPr>
              <w:rPr>
                <w:rFonts w:eastAsia="Times New Roman"/>
              </w:rPr>
            </w:pPr>
            <w:r>
              <w:rPr>
                <w:rFonts w:ascii="Arial" w:eastAsia="Times New Roman" w:hAnsi="Arial" w:cs="Arial"/>
                <w:i/>
                <w:iCs/>
                <w:color w:val="000000"/>
                <w:sz w:val="14"/>
                <w:szCs w:val="14"/>
              </w:rPr>
              <w:t>(millions of Canadian dollars; number of shares in millions)</w:t>
            </w:r>
          </w:p>
        </w:tc>
        <w:tc>
          <w:tcPr>
            <w:tcW w:w="0" w:type="auto"/>
            <w:gridSpan w:val="3"/>
            <w:tcBorders>
              <w:top w:val="single" w:sz="4" w:space="0" w:color="000000"/>
            </w:tcBorders>
            <w:shd w:val="clear" w:color="auto" w:fill="D8D8D8"/>
            <w:tcMar>
              <w:top w:w="0" w:type="dxa"/>
              <w:left w:w="20" w:type="dxa"/>
              <w:bottom w:w="0" w:type="dxa"/>
              <w:right w:w="20" w:type="dxa"/>
            </w:tcMar>
            <w:vAlign w:val="center"/>
            <w:hideMark/>
          </w:tcPr>
          <w:p w:rsidR="00000000" w:rsidRDefault="001F1FC8">
            <w:pPr>
              <w:rPr>
                <w:rFonts w:eastAsia="Times New Roman"/>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1F1FC8">
            <w:pPr>
              <w:rPr>
                <w:rFonts w:eastAsia="Times New Roman"/>
                <w:sz w:val="20"/>
                <w:szCs w:val="20"/>
              </w:rPr>
            </w:pPr>
          </w:p>
        </w:tc>
      </w:tr>
      <w:tr w:rsidR="00000000">
        <w:trPr>
          <w:divId w:val="1897424053"/>
        </w:trPr>
        <w:tc>
          <w:tcPr>
            <w:tcW w:w="0" w:type="auto"/>
            <w:gridSpan w:val="3"/>
            <w:tcMar>
              <w:top w:w="30" w:type="dxa"/>
              <w:left w:w="20" w:type="dxa"/>
              <w:bottom w:w="30" w:type="dxa"/>
              <w:right w:w="20" w:type="dxa"/>
            </w:tcMar>
            <w:vAlign w:val="center"/>
            <w:hideMark/>
          </w:tcPr>
          <w:p w:rsidR="00000000" w:rsidRDefault="001F1FC8">
            <w:pPr>
              <w:rPr>
                <w:rFonts w:eastAsia="Times New Roman"/>
              </w:rPr>
            </w:pPr>
            <w:r>
              <w:rPr>
                <w:rFonts w:ascii="Arial" w:eastAsia="Times New Roman" w:hAnsi="Arial" w:cs="Arial"/>
                <w:b/>
                <w:bCs/>
                <w:color w:val="000000"/>
                <w:sz w:val="18"/>
                <w:szCs w:val="18"/>
              </w:rPr>
              <w:t>Assets</w:t>
            </w:r>
          </w:p>
        </w:tc>
        <w:tc>
          <w:tcPr>
            <w:tcW w:w="0" w:type="auto"/>
            <w:gridSpan w:val="3"/>
            <w:shd w:val="clear" w:color="auto" w:fill="D8D8D8"/>
            <w:tcMar>
              <w:top w:w="30" w:type="dxa"/>
              <w:left w:w="20" w:type="dxa"/>
              <w:bottom w:w="30" w:type="dxa"/>
              <w:right w:w="20" w:type="dxa"/>
            </w:tcMar>
            <w:vAlign w:val="center"/>
            <w:hideMark/>
          </w:tcPr>
          <w:p w:rsidR="00000000" w:rsidRDefault="001F1FC8">
            <w:pPr>
              <w:jc w:val="right"/>
              <w:rPr>
                <w:rFonts w:eastAsia="Times New Roman"/>
              </w:rPr>
            </w:pPr>
            <w:r>
              <w:rPr>
                <w:rFonts w:ascii="Arial" w:eastAsia="Times New Roman" w:hAnsi="Arial" w:cs="Arial"/>
                <w:color w:val="000000"/>
                <w:sz w:val="2"/>
                <w:szCs w:val="2"/>
              </w:rPr>
              <w:t> </w:t>
            </w:r>
          </w:p>
        </w:tc>
        <w:tc>
          <w:tcPr>
            <w:tcW w:w="0" w:type="auto"/>
            <w:gridSpan w:val="3"/>
            <w:tcMar>
              <w:top w:w="30" w:type="dxa"/>
              <w:left w:w="20" w:type="dxa"/>
              <w:bottom w:w="30" w:type="dxa"/>
              <w:right w:w="20" w:type="dxa"/>
            </w:tcMar>
            <w:vAlign w:val="center"/>
            <w:hideMark/>
          </w:tcPr>
          <w:p w:rsidR="00000000" w:rsidRDefault="001F1FC8">
            <w:pPr>
              <w:jc w:val="right"/>
              <w:rPr>
                <w:rFonts w:eastAsia="Times New Roman"/>
              </w:rPr>
            </w:pPr>
            <w:r>
              <w:rPr>
                <w:rFonts w:ascii="Arial" w:eastAsia="Times New Roman" w:hAnsi="Arial" w:cs="Arial"/>
                <w:color w:val="000000"/>
                <w:sz w:val="2"/>
                <w:szCs w:val="2"/>
              </w:rPr>
              <w:t> </w:t>
            </w:r>
          </w:p>
        </w:tc>
      </w:tr>
      <w:tr w:rsidR="00000000">
        <w:trPr>
          <w:divId w:val="1897424053"/>
        </w:trPr>
        <w:tc>
          <w:tcPr>
            <w:tcW w:w="0" w:type="auto"/>
            <w:gridSpan w:val="3"/>
            <w:tcMar>
              <w:top w:w="30" w:type="dxa"/>
              <w:left w:w="20" w:type="dxa"/>
              <w:bottom w:w="30" w:type="dxa"/>
              <w:right w:w="20" w:type="dxa"/>
            </w:tcMar>
            <w:vAlign w:val="center"/>
            <w:hideMark/>
          </w:tcPr>
          <w:p w:rsidR="00000000" w:rsidRDefault="001F1FC8">
            <w:pPr>
              <w:rPr>
                <w:rFonts w:eastAsia="Times New Roman"/>
              </w:rPr>
            </w:pPr>
            <w:r>
              <w:rPr>
                <w:rFonts w:ascii="Arial" w:eastAsia="Times New Roman" w:hAnsi="Arial" w:cs="Arial"/>
                <w:color w:val="000000"/>
                <w:sz w:val="18"/>
                <w:szCs w:val="18"/>
              </w:rPr>
              <w:t>Current assets</w:t>
            </w:r>
          </w:p>
        </w:tc>
        <w:tc>
          <w:tcPr>
            <w:tcW w:w="0" w:type="auto"/>
            <w:gridSpan w:val="3"/>
            <w:shd w:val="clear" w:color="auto" w:fill="D8D8D8"/>
            <w:tcMar>
              <w:top w:w="30" w:type="dxa"/>
              <w:left w:w="20" w:type="dxa"/>
              <w:bottom w:w="30" w:type="dxa"/>
              <w:right w:w="20" w:type="dxa"/>
            </w:tcMar>
            <w:vAlign w:val="center"/>
            <w:hideMark/>
          </w:tcPr>
          <w:p w:rsidR="00000000" w:rsidRDefault="001F1FC8">
            <w:pPr>
              <w:jc w:val="right"/>
              <w:rPr>
                <w:rFonts w:eastAsia="Times New Roman"/>
              </w:rPr>
            </w:pPr>
            <w:r>
              <w:rPr>
                <w:rFonts w:ascii="Arial" w:eastAsia="Times New Roman" w:hAnsi="Arial" w:cs="Arial"/>
                <w:color w:val="000000"/>
                <w:sz w:val="2"/>
                <w:szCs w:val="2"/>
              </w:rPr>
              <w:t> </w:t>
            </w:r>
          </w:p>
        </w:tc>
        <w:tc>
          <w:tcPr>
            <w:tcW w:w="0" w:type="auto"/>
            <w:gridSpan w:val="3"/>
            <w:tcMar>
              <w:top w:w="30" w:type="dxa"/>
              <w:left w:w="20" w:type="dxa"/>
              <w:bottom w:w="30" w:type="dxa"/>
              <w:right w:w="20" w:type="dxa"/>
            </w:tcMar>
            <w:vAlign w:val="center"/>
            <w:hideMark/>
          </w:tcPr>
          <w:p w:rsidR="00000000" w:rsidRDefault="001F1FC8">
            <w:pPr>
              <w:jc w:val="right"/>
              <w:rPr>
                <w:rFonts w:eastAsia="Times New Roman"/>
              </w:rPr>
            </w:pPr>
            <w:r>
              <w:rPr>
                <w:rFonts w:ascii="Arial" w:eastAsia="Times New Roman" w:hAnsi="Arial" w:cs="Arial"/>
                <w:color w:val="000000"/>
                <w:sz w:val="2"/>
                <w:szCs w:val="2"/>
              </w:rPr>
              <w:t> </w:t>
            </w:r>
          </w:p>
        </w:tc>
      </w:tr>
      <w:tr w:rsidR="00000000">
        <w:trPr>
          <w:divId w:val="1897424053"/>
        </w:trPr>
        <w:tc>
          <w:tcPr>
            <w:tcW w:w="0" w:type="auto"/>
            <w:gridSpan w:val="3"/>
            <w:tcMar>
              <w:top w:w="30" w:type="dxa"/>
              <w:left w:w="245" w:type="dxa"/>
              <w:bottom w:w="30" w:type="dxa"/>
              <w:right w:w="20" w:type="dxa"/>
            </w:tcMar>
            <w:vAlign w:val="center"/>
            <w:hideMark/>
          </w:tcPr>
          <w:p w:rsidR="00000000" w:rsidRDefault="001F1FC8">
            <w:pPr>
              <w:rPr>
                <w:rFonts w:eastAsia="Times New Roman"/>
              </w:rPr>
            </w:pPr>
            <w:r>
              <w:rPr>
                <w:rFonts w:ascii="Arial" w:eastAsia="Times New Roman" w:hAnsi="Arial" w:cs="Arial"/>
                <w:color w:val="000000"/>
                <w:sz w:val="18"/>
                <w:szCs w:val="18"/>
              </w:rPr>
              <w:t>Cash and cash equivalents</w:t>
            </w:r>
          </w:p>
        </w:tc>
        <w:tc>
          <w:tcPr>
            <w:tcW w:w="0" w:type="auto"/>
            <w:gridSpan w:val="2"/>
            <w:shd w:val="clear" w:color="auto" w:fill="D8D8D8"/>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b/>
                <w:bCs/>
                <w:color w:val="000000"/>
                <w:sz w:val="18"/>
                <w:szCs w:val="18"/>
              </w:rPr>
              <w:t>286</w:t>
            </w:r>
            <w:r>
              <w:rPr>
                <w:rFonts w:ascii="Arial" w:eastAsia="Times New Roman" w:hAnsi="Arial" w:cs="Arial"/>
                <w:color w:val="000000"/>
                <w:sz w:val="18"/>
                <w:szCs w:val="18"/>
              </w:rPr>
              <w:t> </w:t>
            </w:r>
          </w:p>
        </w:tc>
        <w:tc>
          <w:tcPr>
            <w:tcW w:w="0" w:type="auto"/>
            <w:shd w:val="clear" w:color="auto" w:fill="D8D8D8"/>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18"/>
                <w:szCs w:val="18"/>
              </w:rPr>
              <w:t>452 </w:t>
            </w:r>
          </w:p>
        </w:tc>
        <w:tc>
          <w:tcPr>
            <w:tcW w:w="0" w:type="auto"/>
            <w:tcMar>
              <w:top w:w="30" w:type="dxa"/>
              <w:left w:w="0" w:type="dxa"/>
              <w:bottom w:w="30" w:type="dxa"/>
              <w:right w:w="20" w:type="dxa"/>
            </w:tcMar>
            <w:vAlign w:val="center"/>
            <w:hideMark/>
          </w:tcPr>
          <w:p w:rsidR="00000000" w:rsidRDefault="001F1FC8">
            <w:pPr>
              <w:jc w:val="right"/>
              <w:rPr>
                <w:rFonts w:eastAsia="Times New Roman"/>
              </w:rPr>
            </w:pPr>
          </w:p>
        </w:tc>
      </w:tr>
      <w:tr w:rsidR="00000000">
        <w:trPr>
          <w:divId w:val="1897424053"/>
        </w:trPr>
        <w:tc>
          <w:tcPr>
            <w:tcW w:w="0" w:type="auto"/>
            <w:gridSpan w:val="3"/>
            <w:tcMar>
              <w:top w:w="30" w:type="dxa"/>
              <w:left w:w="245" w:type="dxa"/>
              <w:bottom w:w="30" w:type="dxa"/>
              <w:right w:w="20" w:type="dxa"/>
            </w:tcMar>
            <w:vAlign w:val="center"/>
            <w:hideMark/>
          </w:tcPr>
          <w:p w:rsidR="00000000" w:rsidRDefault="001F1FC8">
            <w:pPr>
              <w:rPr>
                <w:rFonts w:eastAsia="Times New Roman"/>
              </w:rPr>
            </w:pPr>
            <w:r>
              <w:rPr>
                <w:rFonts w:ascii="Arial" w:eastAsia="Times New Roman" w:hAnsi="Arial" w:cs="Arial"/>
                <w:color w:val="000000"/>
                <w:sz w:val="18"/>
                <w:szCs w:val="18"/>
              </w:rPr>
              <w:t>Restricted cash</w:t>
            </w:r>
          </w:p>
        </w:tc>
        <w:tc>
          <w:tcPr>
            <w:tcW w:w="0" w:type="auto"/>
            <w:gridSpan w:val="2"/>
            <w:shd w:val="clear" w:color="auto" w:fill="D8D8D8"/>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b/>
                <w:bCs/>
                <w:color w:val="000000"/>
                <w:sz w:val="18"/>
                <w:szCs w:val="18"/>
              </w:rPr>
              <w:t>34</w:t>
            </w:r>
            <w:r>
              <w:rPr>
                <w:rFonts w:ascii="Arial" w:eastAsia="Times New Roman" w:hAnsi="Arial" w:cs="Arial"/>
                <w:color w:val="000000"/>
                <w:sz w:val="18"/>
                <w:szCs w:val="18"/>
              </w:rPr>
              <w:t> </w:t>
            </w:r>
          </w:p>
        </w:tc>
        <w:tc>
          <w:tcPr>
            <w:tcW w:w="0" w:type="auto"/>
            <w:shd w:val="clear" w:color="auto" w:fill="D8D8D8"/>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18"/>
                <w:szCs w:val="18"/>
              </w:rPr>
              <w:t>38 </w:t>
            </w:r>
          </w:p>
        </w:tc>
        <w:tc>
          <w:tcPr>
            <w:tcW w:w="0" w:type="auto"/>
            <w:tcMar>
              <w:top w:w="30" w:type="dxa"/>
              <w:left w:w="0" w:type="dxa"/>
              <w:bottom w:w="30" w:type="dxa"/>
              <w:right w:w="20" w:type="dxa"/>
            </w:tcMar>
            <w:vAlign w:val="center"/>
            <w:hideMark/>
          </w:tcPr>
          <w:p w:rsidR="00000000" w:rsidRDefault="001F1FC8">
            <w:pPr>
              <w:jc w:val="right"/>
              <w:rPr>
                <w:rFonts w:eastAsia="Times New Roman"/>
              </w:rPr>
            </w:pPr>
          </w:p>
        </w:tc>
      </w:tr>
      <w:tr w:rsidR="00000000">
        <w:trPr>
          <w:divId w:val="1897424053"/>
        </w:trPr>
        <w:tc>
          <w:tcPr>
            <w:tcW w:w="0" w:type="auto"/>
            <w:gridSpan w:val="3"/>
            <w:tcMar>
              <w:top w:w="30" w:type="dxa"/>
              <w:left w:w="20" w:type="dxa"/>
              <w:bottom w:w="30" w:type="dxa"/>
              <w:right w:w="20" w:type="dxa"/>
            </w:tcMar>
            <w:vAlign w:val="center"/>
            <w:hideMark/>
          </w:tcPr>
          <w:p w:rsidR="00000000" w:rsidRDefault="001F1FC8">
            <w:pPr>
              <w:divId w:val="958149041"/>
              <w:rPr>
                <w:rFonts w:eastAsia="Times New Roman"/>
              </w:rPr>
            </w:pPr>
            <w:r>
              <w:rPr>
                <w:rFonts w:ascii="Arial" w:eastAsia="Times New Roman" w:hAnsi="Arial" w:cs="Arial"/>
                <w:color w:val="000000"/>
                <w:sz w:val="18"/>
                <w:szCs w:val="18"/>
              </w:rPr>
              <w:t>Accounts receivable and other</w:t>
            </w:r>
            <w:r>
              <w:rPr>
                <w:rFonts w:ascii="Arial" w:eastAsia="Times New Roman" w:hAnsi="Arial" w:cs="Arial"/>
                <w:i/>
                <w:iCs/>
                <w:color w:val="000000"/>
                <w:sz w:val="16"/>
                <w:szCs w:val="16"/>
              </w:rPr>
              <w:t xml:space="preserve"> (Note 9)</w:t>
            </w:r>
          </w:p>
        </w:tc>
        <w:tc>
          <w:tcPr>
            <w:tcW w:w="0" w:type="auto"/>
            <w:gridSpan w:val="2"/>
            <w:shd w:val="clear" w:color="auto" w:fill="D8D8D8"/>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b/>
                <w:bCs/>
                <w:color w:val="000000"/>
                <w:sz w:val="18"/>
                <w:szCs w:val="18"/>
              </w:rPr>
              <w:t>6,862</w:t>
            </w:r>
            <w:r>
              <w:rPr>
                <w:rFonts w:ascii="Arial" w:eastAsia="Times New Roman" w:hAnsi="Arial" w:cs="Arial"/>
                <w:color w:val="000000"/>
                <w:sz w:val="18"/>
                <w:szCs w:val="18"/>
              </w:rPr>
              <w:t> </w:t>
            </w:r>
          </w:p>
        </w:tc>
        <w:tc>
          <w:tcPr>
            <w:tcW w:w="0" w:type="auto"/>
            <w:shd w:val="clear" w:color="auto" w:fill="D8D8D8"/>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18"/>
                <w:szCs w:val="18"/>
              </w:rPr>
              <w:t>5,258 </w:t>
            </w:r>
          </w:p>
        </w:tc>
        <w:tc>
          <w:tcPr>
            <w:tcW w:w="0" w:type="auto"/>
            <w:tcMar>
              <w:top w:w="30" w:type="dxa"/>
              <w:left w:w="0" w:type="dxa"/>
              <w:bottom w:w="30" w:type="dxa"/>
              <w:right w:w="20" w:type="dxa"/>
            </w:tcMar>
            <w:vAlign w:val="center"/>
            <w:hideMark/>
          </w:tcPr>
          <w:p w:rsidR="00000000" w:rsidRDefault="001F1FC8">
            <w:pPr>
              <w:jc w:val="right"/>
              <w:rPr>
                <w:rFonts w:eastAsia="Times New Roman"/>
              </w:rPr>
            </w:pPr>
          </w:p>
        </w:tc>
      </w:tr>
      <w:tr w:rsidR="00000000">
        <w:trPr>
          <w:divId w:val="1897424053"/>
        </w:trPr>
        <w:tc>
          <w:tcPr>
            <w:tcW w:w="0" w:type="auto"/>
            <w:gridSpan w:val="3"/>
            <w:tcMar>
              <w:top w:w="30" w:type="dxa"/>
              <w:left w:w="245" w:type="dxa"/>
              <w:bottom w:w="30" w:type="dxa"/>
              <w:right w:w="20" w:type="dxa"/>
            </w:tcMar>
            <w:vAlign w:val="center"/>
            <w:hideMark/>
          </w:tcPr>
          <w:p w:rsidR="00000000" w:rsidRDefault="001F1FC8">
            <w:pPr>
              <w:rPr>
                <w:rFonts w:eastAsia="Times New Roman"/>
              </w:rPr>
            </w:pPr>
            <w:r>
              <w:rPr>
                <w:rFonts w:ascii="Arial" w:eastAsia="Times New Roman" w:hAnsi="Arial" w:cs="Arial"/>
                <w:color w:val="000000"/>
                <w:sz w:val="18"/>
                <w:szCs w:val="18"/>
              </w:rPr>
              <w:t>Accounts receivable from affiliates</w:t>
            </w:r>
          </w:p>
        </w:tc>
        <w:tc>
          <w:tcPr>
            <w:tcW w:w="0" w:type="auto"/>
            <w:gridSpan w:val="2"/>
            <w:shd w:val="clear" w:color="auto" w:fill="D8D8D8"/>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b/>
                <w:bCs/>
                <w:color w:val="000000"/>
                <w:sz w:val="18"/>
                <w:szCs w:val="18"/>
              </w:rPr>
              <w:t>107</w:t>
            </w:r>
            <w:r>
              <w:rPr>
                <w:rFonts w:ascii="Arial" w:eastAsia="Times New Roman" w:hAnsi="Arial" w:cs="Arial"/>
                <w:color w:val="000000"/>
                <w:sz w:val="18"/>
                <w:szCs w:val="18"/>
              </w:rPr>
              <w:t> </w:t>
            </w:r>
          </w:p>
        </w:tc>
        <w:tc>
          <w:tcPr>
            <w:tcW w:w="0" w:type="auto"/>
            <w:shd w:val="clear" w:color="auto" w:fill="D8D8D8"/>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18"/>
                <w:szCs w:val="18"/>
              </w:rPr>
              <w:t>66 </w:t>
            </w:r>
          </w:p>
        </w:tc>
        <w:tc>
          <w:tcPr>
            <w:tcW w:w="0" w:type="auto"/>
            <w:tcMar>
              <w:top w:w="30" w:type="dxa"/>
              <w:left w:w="0" w:type="dxa"/>
              <w:bottom w:w="30" w:type="dxa"/>
              <w:right w:w="20" w:type="dxa"/>
            </w:tcMar>
            <w:vAlign w:val="center"/>
            <w:hideMark/>
          </w:tcPr>
          <w:p w:rsidR="00000000" w:rsidRDefault="001F1FC8">
            <w:pPr>
              <w:jc w:val="right"/>
              <w:rPr>
                <w:rFonts w:eastAsia="Times New Roman"/>
              </w:rPr>
            </w:pPr>
          </w:p>
        </w:tc>
      </w:tr>
      <w:tr w:rsidR="00000000">
        <w:trPr>
          <w:divId w:val="1897424053"/>
        </w:trPr>
        <w:tc>
          <w:tcPr>
            <w:tcW w:w="0" w:type="auto"/>
            <w:gridSpan w:val="3"/>
            <w:tcMar>
              <w:top w:w="30" w:type="dxa"/>
              <w:left w:w="20" w:type="dxa"/>
              <w:bottom w:w="30" w:type="dxa"/>
              <w:right w:w="20" w:type="dxa"/>
            </w:tcMar>
            <w:vAlign w:val="center"/>
            <w:hideMark/>
          </w:tcPr>
          <w:p w:rsidR="00000000" w:rsidRDefault="001F1FC8">
            <w:pPr>
              <w:divId w:val="1620797351"/>
              <w:rPr>
                <w:rFonts w:eastAsia="Times New Roman"/>
              </w:rPr>
            </w:pPr>
            <w:r>
              <w:rPr>
                <w:rFonts w:ascii="Arial" w:eastAsia="Times New Roman" w:hAnsi="Arial" w:cs="Arial"/>
                <w:color w:val="000000"/>
                <w:sz w:val="18"/>
                <w:szCs w:val="18"/>
              </w:rPr>
              <w:t>Inventory</w:t>
            </w:r>
            <w:r>
              <w:rPr>
                <w:rFonts w:ascii="Arial" w:eastAsia="Times New Roman" w:hAnsi="Arial" w:cs="Arial"/>
                <w:color w:val="000000"/>
                <w:sz w:val="16"/>
                <w:szCs w:val="16"/>
              </w:rPr>
              <w:t xml:space="preserve"> </w:t>
            </w:r>
            <w:r>
              <w:rPr>
                <w:rFonts w:ascii="Arial" w:eastAsia="Times New Roman" w:hAnsi="Arial" w:cs="Arial"/>
                <w:i/>
                <w:iCs/>
                <w:color w:val="000000"/>
                <w:sz w:val="16"/>
                <w:szCs w:val="16"/>
              </w:rPr>
              <w:t>(Note 10)</w:t>
            </w:r>
          </w:p>
        </w:tc>
        <w:tc>
          <w:tcPr>
            <w:tcW w:w="0" w:type="auto"/>
            <w:gridSpan w:val="2"/>
            <w:shd w:val="clear" w:color="auto" w:fill="D8D8D8"/>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b/>
                <w:bCs/>
                <w:color w:val="000000"/>
                <w:sz w:val="18"/>
                <w:szCs w:val="18"/>
              </w:rPr>
              <w:t>1,670</w:t>
            </w:r>
            <w:r>
              <w:rPr>
                <w:rFonts w:ascii="Arial" w:eastAsia="Times New Roman" w:hAnsi="Arial" w:cs="Arial"/>
                <w:color w:val="000000"/>
                <w:sz w:val="18"/>
                <w:szCs w:val="18"/>
              </w:rPr>
              <w:t> </w:t>
            </w:r>
          </w:p>
        </w:tc>
        <w:tc>
          <w:tcPr>
            <w:tcW w:w="0" w:type="auto"/>
            <w:shd w:val="clear" w:color="auto" w:fill="D8D8D8"/>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18"/>
                <w:szCs w:val="18"/>
              </w:rPr>
              <w:t>1,536 </w:t>
            </w:r>
          </w:p>
        </w:tc>
        <w:tc>
          <w:tcPr>
            <w:tcW w:w="0" w:type="auto"/>
            <w:tcMar>
              <w:top w:w="30" w:type="dxa"/>
              <w:left w:w="0" w:type="dxa"/>
              <w:bottom w:w="30" w:type="dxa"/>
              <w:right w:w="20" w:type="dxa"/>
            </w:tcMar>
            <w:vAlign w:val="center"/>
            <w:hideMark/>
          </w:tcPr>
          <w:p w:rsidR="00000000" w:rsidRDefault="001F1FC8">
            <w:pPr>
              <w:jc w:val="right"/>
              <w:rPr>
                <w:rFonts w:eastAsia="Times New Roman"/>
              </w:rPr>
            </w:pPr>
          </w:p>
        </w:tc>
      </w:tr>
      <w:tr w:rsidR="00000000">
        <w:trPr>
          <w:divId w:val="1897424053"/>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1F1FC8">
            <w:pPr>
              <w:rPr>
                <w:rFonts w:eastAsia="Times New Roman"/>
              </w:rPr>
            </w:pPr>
            <w:r>
              <w:rPr>
                <w:rFonts w:ascii="Arial" w:eastAsia="Times New Roman" w:hAnsi="Arial" w:cs="Arial"/>
                <w:color w:val="000000"/>
                <w:sz w:val="2"/>
                <w:szCs w:val="2"/>
              </w:rPr>
              <w:t> </w:t>
            </w:r>
          </w:p>
        </w:tc>
        <w:tc>
          <w:tcPr>
            <w:tcW w:w="0" w:type="auto"/>
            <w:gridSpan w:val="2"/>
            <w:tcBorders>
              <w:top w:val="single" w:sz="4" w:space="0" w:color="000000"/>
            </w:tcBorders>
            <w:shd w:val="clear" w:color="auto" w:fill="D8D8D8"/>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b/>
                <w:bCs/>
                <w:color w:val="000000"/>
                <w:sz w:val="18"/>
                <w:szCs w:val="18"/>
              </w:rPr>
              <w:t>8,959</w:t>
            </w:r>
            <w:r>
              <w:rPr>
                <w:rFonts w:ascii="Arial" w:eastAsia="Times New Roman" w:hAnsi="Arial" w:cs="Arial"/>
                <w:color w:val="000000"/>
                <w:sz w:val="18"/>
                <w:szCs w:val="18"/>
              </w:rPr>
              <w:t> </w:t>
            </w:r>
          </w:p>
        </w:tc>
        <w:tc>
          <w:tcPr>
            <w:tcW w:w="0" w:type="auto"/>
            <w:tcBorders>
              <w:top w:val="single" w:sz="4" w:space="0" w:color="000000"/>
            </w:tcBorders>
            <w:shd w:val="clear" w:color="auto" w:fill="D8D8D8"/>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18"/>
                <w:szCs w:val="18"/>
              </w:rPr>
              <w:t>7,350 </w:t>
            </w:r>
          </w:p>
        </w:tc>
        <w:tc>
          <w:tcPr>
            <w:tcW w:w="0" w:type="auto"/>
            <w:tcBorders>
              <w:top w:val="single" w:sz="4" w:space="0" w:color="000000"/>
            </w:tcBorders>
            <w:tcMar>
              <w:top w:w="30" w:type="dxa"/>
              <w:left w:w="0" w:type="dxa"/>
              <w:bottom w:w="30" w:type="dxa"/>
              <w:right w:w="20" w:type="dxa"/>
            </w:tcMar>
            <w:vAlign w:val="center"/>
            <w:hideMark/>
          </w:tcPr>
          <w:p w:rsidR="00000000" w:rsidRDefault="001F1FC8">
            <w:pPr>
              <w:jc w:val="right"/>
              <w:rPr>
                <w:rFonts w:eastAsia="Times New Roman"/>
              </w:rPr>
            </w:pPr>
          </w:p>
        </w:tc>
      </w:tr>
      <w:tr w:rsidR="00000000">
        <w:trPr>
          <w:divId w:val="1897424053"/>
        </w:trPr>
        <w:tc>
          <w:tcPr>
            <w:tcW w:w="0" w:type="auto"/>
            <w:gridSpan w:val="3"/>
            <w:tcMar>
              <w:top w:w="30" w:type="dxa"/>
              <w:left w:w="20" w:type="dxa"/>
              <w:bottom w:w="30" w:type="dxa"/>
              <w:right w:w="20" w:type="dxa"/>
            </w:tcMar>
            <w:vAlign w:val="center"/>
            <w:hideMark/>
          </w:tcPr>
          <w:p w:rsidR="00000000" w:rsidRDefault="001F1FC8">
            <w:pPr>
              <w:divId w:val="617295011"/>
              <w:rPr>
                <w:rFonts w:eastAsia="Times New Roman"/>
              </w:rPr>
            </w:pPr>
            <w:r>
              <w:rPr>
                <w:rFonts w:ascii="Arial" w:eastAsia="Times New Roman" w:hAnsi="Arial" w:cs="Arial"/>
                <w:color w:val="000000"/>
                <w:sz w:val="18"/>
                <w:szCs w:val="18"/>
              </w:rPr>
              <w:t xml:space="preserve">Property, plant and equipment, net </w:t>
            </w:r>
            <w:r>
              <w:rPr>
                <w:rFonts w:ascii="Arial" w:eastAsia="Times New Roman" w:hAnsi="Arial" w:cs="Arial"/>
                <w:i/>
                <w:iCs/>
                <w:color w:val="000000"/>
                <w:sz w:val="16"/>
                <w:szCs w:val="16"/>
              </w:rPr>
              <w:t>(Note 11)</w:t>
            </w:r>
          </w:p>
        </w:tc>
        <w:tc>
          <w:tcPr>
            <w:tcW w:w="0" w:type="auto"/>
            <w:gridSpan w:val="2"/>
            <w:shd w:val="clear" w:color="auto" w:fill="D8D8D8"/>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b/>
                <w:bCs/>
                <w:color w:val="000000"/>
                <w:sz w:val="18"/>
                <w:szCs w:val="18"/>
              </w:rPr>
              <w:t>100,067</w:t>
            </w:r>
            <w:r>
              <w:rPr>
                <w:rFonts w:ascii="Arial" w:eastAsia="Times New Roman" w:hAnsi="Arial" w:cs="Arial"/>
                <w:color w:val="000000"/>
                <w:sz w:val="18"/>
                <w:szCs w:val="18"/>
              </w:rPr>
              <w:t> </w:t>
            </w:r>
          </w:p>
        </w:tc>
        <w:tc>
          <w:tcPr>
            <w:tcW w:w="0" w:type="auto"/>
            <w:shd w:val="clear" w:color="auto" w:fill="D8D8D8"/>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18"/>
                <w:szCs w:val="18"/>
              </w:rPr>
              <w:t>94,571 </w:t>
            </w:r>
          </w:p>
        </w:tc>
        <w:tc>
          <w:tcPr>
            <w:tcW w:w="0" w:type="auto"/>
            <w:tcMar>
              <w:top w:w="30" w:type="dxa"/>
              <w:left w:w="0" w:type="dxa"/>
              <w:bottom w:w="30" w:type="dxa"/>
              <w:right w:w="20" w:type="dxa"/>
            </w:tcMar>
            <w:vAlign w:val="center"/>
            <w:hideMark/>
          </w:tcPr>
          <w:p w:rsidR="00000000" w:rsidRDefault="001F1FC8">
            <w:pPr>
              <w:jc w:val="right"/>
              <w:rPr>
                <w:rFonts w:eastAsia="Times New Roman"/>
              </w:rPr>
            </w:pPr>
          </w:p>
        </w:tc>
      </w:tr>
      <w:tr w:rsidR="00000000">
        <w:trPr>
          <w:divId w:val="1897424053"/>
        </w:trPr>
        <w:tc>
          <w:tcPr>
            <w:tcW w:w="0" w:type="auto"/>
            <w:gridSpan w:val="3"/>
            <w:tcMar>
              <w:top w:w="30" w:type="dxa"/>
              <w:left w:w="20" w:type="dxa"/>
              <w:bottom w:w="30" w:type="dxa"/>
              <w:right w:w="20" w:type="dxa"/>
            </w:tcMar>
            <w:vAlign w:val="center"/>
            <w:hideMark/>
          </w:tcPr>
          <w:p w:rsidR="00000000" w:rsidRDefault="001F1FC8">
            <w:pPr>
              <w:divId w:val="2058816328"/>
              <w:rPr>
                <w:rFonts w:eastAsia="Times New Roman"/>
              </w:rPr>
            </w:pPr>
            <w:r>
              <w:rPr>
                <w:rFonts w:ascii="Arial" w:eastAsia="Times New Roman" w:hAnsi="Arial" w:cs="Arial"/>
                <w:color w:val="000000"/>
                <w:sz w:val="18"/>
                <w:szCs w:val="18"/>
              </w:rPr>
              <w:t>Long-term investments</w:t>
            </w:r>
            <w:r>
              <w:rPr>
                <w:rFonts w:ascii="Arial" w:eastAsia="Times New Roman" w:hAnsi="Arial" w:cs="Arial"/>
                <w:i/>
                <w:iCs/>
                <w:color w:val="000000"/>
                <w:sz w:val="18"/>
                <w:szCs w:val="18"/>
              </w:rPr>
              <w:t xml:space="preserve"> </w:t>
            </w:r>
            <w:r>
              <w:rPr>
                <w:rFonts w:ascii="Arial" w:eastAsia="Times New Roman" w:hAnsi="Arial" w:cs="Arial"/>
                <w:i/>
                <w:iCs/>
                <w:color w:val="000000"/>
                <w:sz w:val="16"/>
                <w:szCs w:val="16"/>
              </w:rPr>
              <w:t>(Note 13)</w:t>
            </w:r>
          </w:p>
        </w:tc>
        <w:tc>
          <w:tcPr>
            <w:tcW w:w="0" w:type="auto"/>
            <w:gridSpan w:val="2"/>
            <w:shd w:val="clear" w:color="auto" w:fill="D8D8D8"/>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b/>
                <w:bCs/>
                <w:color w:val="000000"/>
                <w:sz w:val="18"/>
                <w:szCs w:val="18"/>
              </w:rPr>
              <w:t>13,324</w:t>
            </w:r>
            <w:r>
              <w:rPr>
                <w:rFonts w:ascii="Arial" w:eastAsia="Times New Roman" w:hAnsi="Arial" w:cs="Arial"/>
                <w:color w:val="000000"/>
                <w:sz w:val="18"/>
                <w:szCs w:val="18"/>
              </w:rPr>
              <w:t> </w:t>
            </w:r>
          </w:p>
        </w:tc>
        <w:tc>
          <w:tcPr>
            <w:tcW w:w="0" w:type="auto"/>
            <w:shd w:val="clear" w:color="auto" w:fill="D8D8D8"/>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18"/>
                <w:szCs w:val="18"/>
              </w:rPr>
              <w:t>13,818 </w:t>
            </w:r>
          </w:p>
        </w:tc>
        <w:tc>
          <w:tcPr>
            <w:tcW w:w="0" w:type="auto"/>
            <w:tcMar>
              <w:top w:w="30" w:type="dxa"/>
              <w:left w:w="0" w:type="dxa"/>
              <w:bottom w:w="30" w:type="dxa"/>
              <w:right w:w="20" w:type="dxa"/>
            </w:tcMar>
            <w:vAlign w:val="center"/>
            <w:hideMark/>
          </w:tcPr>
          <w:p w:rsidR="00000000" w:rsidRDefault="001F1FC8">
            <w:pPr>
              <w:jc w:val="right"/>
              <w:rPr>
                <w:rFonts w:eastAsia="Times New Roman"/>
              </w:rPr>
            </w:pPr>
          </w:p>
        </w:tc>
      </w:tr>
      <w:tr w:rsidR="00000000">
        <w:trPr>
          <w:divId w:val="1897424053"/>
        </w:trPr>
        <w:tc>
          <w:tcPr>
            <w:tcW w:w="0" w:type="auto"/>
            <w:gridSpan w:val="3"/>
            <w:tcMar>
              <w:top w:w="30" w:type="dxa"/>
              <w:left w:w="20" w:type="dxa"/>
              <w:bottom w:w="30" w:type="dxa"/>
              <w:right w:w="20" w:type="dxa"/>
            </w:tcMar>
            <w:vAlign w:val="center"/>
            <w:hideMark/>
          </w:tcPr>
          <w:p w:rsidR="00000000" w:rsidRDefault="001F1FC8">
            <w:pPr>
              <w:divId w:val="1316373502"/>
              <w:rPr>
                <w:rFonts w:eastAsia="Times New Roman"/>
              </w:rPr>
            </w:pPr>
            <w:r>
              <w:rPr>
                <w:rFonts w:ascii="Arial" w:eastAsia="Times New Roman" w:hAnsi="Arial" w:cs="Arial"/>
                <w:color w:val="000000"/>
                <w:sz w:val="18"/>
                <w:szCs w:val="18"/>
              </w:rPr>
              <w:t>Restricted long-term investments</w:t>
            </w:r>
            <w:r>
              <w:rPr>
                <w:rFonts w:ascii="Arial" w:eastAsia="Times New Roman" w:hAnsi="Arial" w:cs="Arial"/>
                <w:i/>
                <w:iCs/>
                <w:color w:val="000000"/>
                <w:sz w:val="16"/>
                <w:szCs w:val="16"/>
              </w:rPr>
              <w:t xml:space="preserve"> (Note 14)</w:t>
            </w:r>
          </w:p>
        </w:tc>
        <w:tc>
          <w:tcPr>
            <w:tcW w:w="0" w:type="auto"/>
            <w:gridSpan w:val="2"/>
            <w:shd w:val="clear" w:color="auto" w:fill="D8D8D8"/>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b/>
                <w:bCs/>
                <w:color w:val="000000"/>
                <w:sz w:val="18"/>
                <w:szCs w:val="18"/>
              </w:rPr>
              <w:t>630</w:t>
            </w:r>
            <w:r>
              <w:rPr>
                <w:rFonts w:ascii="Arial" w:eastAsia="Times New Roman" w:hAnsi="Arial" w:cs="Arial"/>
                <w:color w:val="000000"/>
                <w:sz w:val="18"/>
                <w:szCs w:val="18"/>
              </w:rPr>
              <w:t> </w:t>
            </w:r>
          </w:p>
        </w:tc>
        <w:tc>
          <w:tcPr>
            <w:tcW w:w="0" w:type="auto"/>
            <w:shd w:val="clear" w:color="auto" w:fill="D8D8D8"/>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18"/>
                <w:szCs w:val="18"/>
              </w:rPr>
              <w:t>553 </w:t>
            </w:r>
          </w:p>
        </w:tc>
        <w:tc>
          <w:tcPr>
            <w:tcW w:w="0" w:type="auto"/>
            <w:tcMar>
              <w:top w:w="30" w:type="dxa"/>
              <w:left w:w="0" w:type="dxa"/>
              <w:bottom w:w="30" w:type="dxa"/>
              <w:right w:w="20" w:type="dxa"/>
            </w:tcMar>
            <w:vAlign w:val="center"/>
            <w:hideMark/>
          </w:tcPr>
          <w:p w:rsidR="00000000" w:rsidRDefault="001F1FC8">
            <w:pPr>
              <w:jc w:val="right"/>
              <w:rPr>
                <w:rFonts w:eastAsia="Times New Roman"/>
              </w:rPr>
            </w:pPr>
          </w:p>
        </w:tc>
      </w:tr>
      <w:tr w:rsidR="00000000">
        <w:trPr>
          <w:divId w:val="1897424053"/>
        </w:trPr>
        <w:tc>
          <w:tcPr>
            <w:tcW w:w="0" w:type="auto"/>
            <w:gridSpan w:val="3"/>
            <w:tcMar>
              <w:top w:w="30" w:type="dxa"/>
              <w:left w:w="20" w:type="dxa"/>
              <w:bottom w:w="30" w:type="dxa"/>
              <w:right w:w="20" w:type="dxa"/>
            </w:tcMar>
            <w:vAlign w:val="center"/>
            <w:hideMark/>
          </w:tcPr>
          <w:p w:rsidR="00000000" w:rsidRDefault="001F1FC8">
            <w:pPr>
              <w:rPr>
                <w:rFonts w:eastAsia="Times New Roman"/>
              </w:rPr>
            </w:pPr>
            <w:r>
              <w:rPr>
                <w:rFonts w:ascii="Arial" w:eastAsia="Times New Roman" w:hAnsi="Arial" w:cs="Arial"/>
                <w:color w:val="000000"/>
                <w:sz w:val="18"/>
                <w:szCs w:val="18"/>
              </w:rPr>
              <w:t xml:space="preserve">Deferred amounts and other assets </w:t>
            </w:r>
          </w:p>
        </w:tc>
        <w:tc>
          <w:tcPr>
            <w:tcW w:w="0" w:type="auto"/>
            <w:gridSpan w:val="2"/>
            <w:shd w:val="clear" w:color="auto" w:fill="D8D8D8"/>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b/>
                <w:bCs/>
                <w:color w:val="000000"/>
                <w:sz w:val="18"/>
                <w:szCs w:val="18"/>
              </w:rPr>
              <w:t>8,613</w:t>
            </w:r>
            <w:r>
              <w:rPr>
                <w:rFonts w:ascii="Arial" w:eastAsia="Times New Roman" w:hAnsi="Arial" w:cs="Arial"/>
                <w:color w:val="000000"/>
                <w:sz w:val="18"/>
                <w:szCs w:val="18"/>
              </w:rPr>
              <w:t> </w:t>
            </w:r>
          </w:p>
        </w:tc>
        <w:tc>
          <w:tcPr>
            <w:tcW w:w="0" w:type="auto"/>
            <w:shd w:val="clear" w:color="auto" w:fill="D8D8D8"/>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18"/>
                <w:szCs w:val="18"/>
              </w:rPr>
              <w:t>8,446 </w:t>
            </w:r>
          </w:p>
        </w:tc>
        <w:tc>
          <w:tcPr>
            <w:tcW w:w="0" w:type="auto"/>
            <w:tcMar>
              <w:top w:w="30" w:type="dxa"/>
              <w:left w:w="0" w:type="dxa"/>
              <w:bottom w:w="30" w:type="dxa"/>
              <w:right w:w="20" w:type="dxa"/>
            </w:tcMar>
            <w:vAlign w:val="center"/>
            <w:hideMark/>
          </w:tcPr>
          <w:p w:rsidR="00000000" w:rsidRDefault="001F1FC8">
            <w:pPr>
              <w:jc w:val="right"/>
              <w:rPr>
                <w:rFonts w:eastAsia="Times New Roman"/>
              </w:rPr>
            </w:pPr>
          </w:p>
        </w:tc>
      </w:tr>
      <w:tr w:rsidR="00000000">
        <w:trPr>
          <w:divId w:val="1897424053"/>
        </w:trPr>
        <w:tc>
          <w:tcPr>
            <w:tcW w:w="0" w:type="auto"/>
            <w:gridSpan w:val="3"/>
            <w:tcMar>
              <w:top w:w="30" w:type="dxa"/>
              <w:left w:w="20" w:type="dxa"/>
              <w:bottom w:w="30" w:type="dxa"/>
              <w:right w:w="20" w:type="dxa"/>
            </w:tcMar>
            <w:vAlign w:val="center"/>
            <w:hideMark/>
          </w:tcPr>
          <w:p w:rsidR="00000000" w:rsidRDefault="001F1FC8">
            <w:pPr>
              <w:divId w:val="107051062"/>
              <w:rPr>
                <w:rFonts w:eastAsia="Times New Roman"/>
              </w:rPr>
            </w:pPr>
            <w:r>
              <w:rPr>
                <w:rFonts w:ascii="Arial" w:eastAsia="Times New Roman" w:hAnsi="Arial" w:cs="Arial"/>
                <w:color w:val="000000"/>
                <w:sz w:val="18"/>
                <w:szCs w:val="18"/>
              </w:rPr>
              <w:t>Intangible assets, net</w:t>
            </w:r>
            <w:r>
              <w:rPr>
                <w:rFonts w:ascii="Arial" w:eastAsia="Times New Roman" w:hAnsi="Arial" w:cs="Arial"/>
                <w:i/>
                <w:iCs/>
                <w:color w:val="000000"/>
                <w:sz w:val="16"/>
                <w:szCs w:val="16"/>
              </w:rPr>
              <w:t xml:space="preserve"> (Note 15)</w:t>
            </w:r>
          </w:p>
        </w:tc>
        <w:tc>
          <w:tcPr>
            <w:tcW w:w="0" w:type="auto"/>
            <w:gridSpan w:val="2"/>
            <w:shd w:val="clear" w:color="auto" w:fill="D8D8D8"/>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b/>
                <w:bCs/>
                <w:color w:val="000000"/>
                <w:sz w:val="18"/>
                <w:szCs w:val="18"/>
              </w:rPr>
              <w:t>4,008</w:t>
            </w:r>
            <w:r>
              <w:rPr>
                <w:rFonts w:ascii="Arial" w:eastAsia="Times New Roman" w:hAnsi="Arial" w:cs="Arial"/>
                <w:color w:val="000000"/>
                <w:sz w:val="18"/>
                <w:szCs w:val="18"/>
              </w:rPr>
              <w:t> </w:t>
            </w:r>
          </w:p>
        </w:tc>
        <w:tc>
          <w:tcPr>
            <w:tcW w:w="0" w:type="auto"/>
            <w:shd w:val="clear" w:color="auto" w:fill="D8D8D8"/>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18"/>
                <w:szCs w:val="18"/>
              </w:rPr>
              <w:t>2,080 </w:t>
            </w:r>
          </w:p>
        </w:tc>
        <w:tc>
          <w:tcPr>
            <w:tcW w:w="0" w:type="auto"/>
            <w:tcMar>
              <w:top w:w="30" w:type="dxa"/>
              <w:left w:w="0" w:type="dxa"/>
              <w:bottom w:w="30" w:type="dxa"/>
              <w:right w:w="20" w:type="dxa"/>
            </w:tcMar>
            <w:vAlign w:val="center"/>
            <w:hideMark/>
          </w:tcPr>
          <w:p w:rsidR="00000000" w:rsidRDefault="001F1FC8">
            <w:pPr>
              <w:jc w:val="right"/>
              <w:rPr>
                <w:rFonts w:eastAsia="Times New Roman"/>
              </w:rPr>
            </w:pPr>
          </w:p>
        </w:tc>
      </w:tr>
      <w:tr w:rsidR="00000000">
        <w:trPr>
          <w:divId w:val="1897424053"/>
        </w:trPr>
        <w:tc>
          <w:tcPr>
            <w:tcW w:w="0" w:type="auto"/>
            <w:gridSpan w:val="3"/>
            <w:tcMar>
              <w:top w:w="30" w:type="dxa"/>
              <w:left w:w="20" w:type="dxa"/>
              <w:bottom w:w="30" w:type="dxa"/>
              <w:right w:w="20" w:type="dxa"/>
            </w:tcMar>
            <w:vAlign w:val="center"/>
            <w:hideMark/>
          </w:tcPr>
          <w:p w:rsidR="00000000" w:rsidRDefault="001F1FC8">
            <w:pPr>
              <w:divId w:val="1621766071"/>
              <w:rPr>
                <w:rFonts w:eastAsia="Times New Roman"/>
              </w:rPr>
            </w:pPr>
            <w:r>
              <w:rPr>
                <w:rFonts w:ascii="Arial" w:eastAsia="Times New Roman" w:hAnsi="Arial" w:cs="Arial"/>
                <w:color w:val="000000"/>
                <w:sz w:val="18"/>
                <w:szCs w:val="18"/>
              </w:rPr>
              <w:t xml:space="preserve">Goodwill </w:t>
            </w:r>
            <w:r>
              <w:rPr>
                <w:rFonts w:ascii="Arial" w:eastAsia="Times New Roman" w:hAnsi="Arial" w:cs="Arial"/>
                <w:i/>
                <w:iCs/>
                <w:color w:val="000000"/>
                <w:sz w:val="16"/>
                <w:szCs w:val="16"/>
              </w:rPr>
              <w:t>(Note 16)</w:t>
            </w:r>
          </w:p>
        </w:tc>
        <w:tc>
          <w:tcPr>
            <w:tcW w:w="0" w:type="auto"/>
            <w:gridSpan w:val="2"/>
            <w:shd w:val="clear" w:color="auto" w:fill="D8D8D8"/>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b/>
                <w:bCs/>
                <w:color w:val="000000"/>
                <w:sz w:val="18"/>
                <w:szCs w:val="18"/>
              </w:rPr>
              <w:t>32,775</w:t>
            </w:r>
            <w:r>
              <w:rPr>
                <w:rFonts w:ascii="Arial" w:eastAsia="Times New Roman" w:hAnsi="Arial" w:cs="Arial"/>
                <w:color w:val="000000"/>
                <w:sz w:val="18"/>
                <w:szCs w:val="18"/>
              </w:rPr>
              <w:t> </w:t>
            </w:r>
          </w:p>
        </w:tc>
        <w:tc>
          <w:tcPr>
            <w:tcW w:w="0" w:type="auto"/>
            <w:shd w:val="clear" w:color="auto" w:fill="D8D8D8"/>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18"/>
                <w:szCs w:val="18"/>
              </w:rPr>
              <w:t>32,688 </w:t>
            </w:r>
          </w:p>
        </w:tc>
        <w:tc>
          <w:tcPr>
            <w:tcW w:w="0" w:type="auto"/>
            <w:tcMar>
              <w:top w:w="30" w:type="dxa"/>
              <w:left w:w="0" w:type="dxa"/>
              <w:bottom w:w="30" w:type="dxa"/>
              <w:right w:w="20" w:type="dxa"/>
            </w:tcMar>
            <w:vAlign w:val="center"/>
            <w:hideMark/>
          </w:tcPr>
          <w:p w:rsidR="00000000" w:rsidRDefault="001F1FC8">
            <w:pPr>
              <w:jc w:val="right"/>
              <w:rPr>
                <w:rFonts w:eastAsia="Times New Roman"/>
              </w:rPr>
            </w:pPr>
          </w:p>
        </w:tc>
      </w:tr>
      <w:tr w:rsidR="00000000">
        <w:trPr>
          <w:divId w:val="1897424053"/>
        </w:trPr>
        <w:tc>
          <w:tcPr>
            <w:tcW w:w="0" w:type="auto"/>
            <w:gridSpan w:val="3"/>
            <w:tcMar>
              <w:top w:w="30" w:type="dxa"/>
              <w:left w:w="20" w:type="dxa"/>
              <w:bottom w:w="30" w:type="dxa"/>
              <w:right w:w="20" w:type="dxa"/>
            </w:tcMar>
            <w:vAlign w:val="center"/>
            <w:hideMark/>
          </w:tcPr>
          <w:p w:rsidR="00000000" w:rsidRDefault="001F1FC8">
            <w:pPr>
              <w:divId w:val="370032085"/>
              <w:rPr>
                <w:rFonts w:eastAsia="Times New Roman"/>
              </w:rPr>
            </w:pPr>
            <w:r>
              <w:rPr>
                <w:rFonts w:ascii="Arial" w:eastAsia="Times New Roman" w:hAnsi="Arial" w:cs="Arial"/>
                <w:color w:val="000000"/>
                <w:sz w:val="18"/>
                <w:szCs w:val="18"/>
              </w:rPr>
              <w:t>Deferred income taxes</w:t>
            </w:r>
            <w:r>
              <w:rPr>
                <w:rFonts w:ascii="Arial" w:eastAsia="Times New Roman" w:hAnsi="Arial" w:cs="Arial"/>
                <w:color w:val="000000"/>
                <w:sz w:val="16"/>
                <w:szCs w:val="16"/>
              </w:rPr>
              <w:t xml:space="preserve"> </w:t>
            </w:r>
            <w:r>
              <w:rPr>
                <w:rFonts w:ascii="Arial" w:eastAsia="Times New Roman" w:hAnsi="Arial" w:cs="Arial"/>
                <w:i/>
                <w:iCs/>
                <w:color w:val="000000"/>
                <w:sz w:val="16"/>
                <w:szCs w:val="16"/>
              </w:rPr>
              <w:t>(Note 25)</w:t>
            </w:r>
          </w:p>
        </w:tc>
        <w:tc>
          <w:tcPr>
            <w:tcW w:w="0" w:type="auto"/>
            <w:gridSpan w:val="2"/>
            <w:shd w:val="clear" w:color="auto" w:fill="D8D8D8"/>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b/>
                <w:bCs/>
                <w:color w:val="000000"/>
                <w:sz w:val="18"/>
                <w:szCs w:val="18"/>
              </w:rPr>
              <w:t>488</w:t>
            </w:r>
            <w:r>
              <w:rPr>
                <w:rFonts w:ascii="Arial" w:eastAsia="Times New Roman" w:hAnsi="Arial" w:cs="Arial"/>
                <w:color w:val="000000"/>
                <w:sz w:val="18"/>
                <w:szCs w:val="18"/>
              </w:rPr>
              <w:t> </w:t>
            </w:r>
          </w:p>
        </w:tc>
        <w:tc>
          <w:tcPr>
            <w:tcW w:w="0" w:type="auto"/>
            <w:shd w:val="clear" w:color="auto" w:fill="D8D8D8"/>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18"/>
                <w:szCs w:val="18"/>
              </w:rPr>
              <w:t>770 </w:t>
            </w:r>
          </w:p>
        </w:tc>
        <w:tc>
          <w:tcPr>
            <w:tcW w:w="0" w:type="auto"/>
            <w:tcMar>
              <w:top w:w="30" w:type="dxa"/>
              <w:left w:w="0" w:type="dxa"/>
              <w:bottom w:w="30" w:type="dxa"/>
              <w:right w:w="20" w:type="dxa"/>
            </w:tcMar>
            <w:vAlign w:val="center"/>
            <w:hideMark/>
          </w:tcPr>
          <w:p w:rsidR="00000000" w:rsidRDefault="001F1FC8">
            <w:pPr>
              <w:jc w:val="right"/>
              <w:rPr>
                <w:rFonts w:eastAsia="Times New Roman"/>
              </w:rPr>
            </w:pPr>
          </w:p>
        </w:tc>
      </w:tr>
      <w:tr w:rsidR="00000000">
        <w:trPr>
          <w:divId w:val="1897424053"/>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1F1FC8">
            <w:pPr>
              <w:rPr>
                <w:rFonts w:eastAsia="Times New Roman"/>
              </w:rPr>
            </w:pPr>
            <w:r>
              <w:rPr>
                <w:rFonts w:ascii="Arial" w:eastAsia="Times New Roman" w:hAnsi="Arial" w:cs="Arial"/>
                <w:color w:val="000000"/>
                <w:sz w:val="18"/>
                <w:szCs w:val="18"/>
              </w:rPr>
              <w:t>Total assets</w:t>
            </w:r>
          </w:p>
        </w:tc>
        <w:tc>
          <w:tcPr>
            <w:tcW w:w="0" w:type="auto"/>
            <w:gridSpan w:val="2"/>
            <w:tcBorders>
              <w:top w:val="single" w:sz="4" w:space="0" w:color="000000"/>
            </w:tcBorders>
            <w:shd w:val="clear" w:color="auto" w:fill="D8D8D8"/>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b/>
                <w:bCs/>
                <w:color w:val="000000"/>
                <w:sz w:val="18"/>
                <w:szCs w:val="18"/>
              </w:rPr>
              <w:t>168,864</w:t>
            </w:r>
            <w:r>
              <w:rPr>
                <w:rFonts w:ascii="Arial" w:eastAsia="Times New Roman" w:hAnsi="Arial" w:cs="Arial"/>
                <w:color w:val="000000"/>
                <w:sz w:val="18"/>
                <w:szCs w:val="18"/>
              </w:rPr>
              <w:t> </w:t>
            </w:r>
          </w:p>
        </w:tc>
        <w:tc>
          <w:tcPr>
            <w:tcW w:w="0" w:type="auto"/>
            <w:tcBorders>
              <w:top w:val="single" w:sz="4" w:space="0" w:color="000000"/>
            </w:tcBorders>
            <w:shd w:val="clear" w:color="auto" w:fill="D8D8D8"/>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18"/>
                <w:szCs w:val="18"/>
              </w:rPr>
              <w:t>160,276 </w:t>
            </w:r>
          </w:p>
        </w:tc>
        <w:tc>
          <w:tcPr>
            <w:tcW w:w="0" w:type="auto"/>
            <w:tcBorders>
              <w:top w:val="single" w:sz="4" w:space="0" w:color="000000"/>
            </w:tcBorders>
            <w:tcMar>
              <w:top w:w="30" w:type="dxa"/>
              <w:left w:w="0" w:type="dxa"/>
              <w:bottom w:w="30" w:type="dxa"/>
              <w:right w:w="20" w:type="dxa"/>
            </w:tcMar>
            <w:vAlign w:val="center"/>
            <w:hideMark/>
          </w:tcPr>
          <w:p w:rsidR="00000000" w:rsidRDefault="001F1FC8">
            <w:pPr>
              <w:jc w:val="right"/>
              <w:rPr>
                <w:rFonts w:eastAsia="Times New Roman"/>
              </w:rPr>
            </w:pPr>
          </w:p>
        </w:tc>
      </w:tr>
      <w:tr w:rsidR="00000000">
        <w:trPr>
          <w:divId w:val="1897424053"/>
          <w:trHeight w:val="220"/>
        </w:trPr>
        <w:tc>
          <w:tcPr>
            <w:tcW w:w="0" w:type="auto"/>
            <w:gridSpan w:val="3"/>
            <w:tcBorders>
              <w:top w:val="single" w:sz="4" w:space="0" w:color="000000"/>
            </w:tcBorders>
            <w:tcMar>
              <w:top w:w="0" w:type="dxa"/>
              <w:left w:w="20" w:type="dxa"/>
              <w:bottom w:w="0" w:type="dxa"/>
              <w:right w:w="20" w:type="dxa"/>
            </w:tcMar>
            <w:vAlign w:val="center"/>
            <w:hideMark/>
          </w:tcPr>
          <w:p w:rsidR="00000000" w:rsidRDefault="001F1FC8">
            <w:pPr>
              <w:jc w:val="right"/>
              <w:rPr>
                <w:rFonts w:eastAsia="Times New Roman"/>
                <w:sz w:val="20"/>
                <w:szCs w:val="20"/>
              </w:rPr>
            </w:pPr>
          </w:p>
        </w:tc>
        <w:tc>
          <w:tcPr>
            <w:tcW w:w="0" w:type="auto"/>
            <w:gridSpan w:val="3"/>
            <w:tcBorders>
              <w:top w:val="single" w:sz="4" w:space="0" w:color="000000"/>
            </w:tcBorders>
            <w:shd w:val="clear" w:color="auto" w:fill="D8D8D8"/>
            <w:tcMar>
              <w:top w:w="0" w:type="dxa"/>
              <w:left w:w="20" w:type="dxa"/>
              <w:bottom w:w="0" w:type="dxa"/>
              <w:right w:w="20" w:type="dxa"/>
            </w:tcMar>
            <w:vAlign w:val="center"/>
            <w:hideMark/>
          </w:tcPr>
          <w:p w:rsidR="00000000" w:rsidRDefault="001F1FC8">
            <w:pPr>
              <w:rPr>
                <w:rFonts w:eastAsia="Times New Roman"/>
                <w:sz w:val="20"/>
                <w:szCs w:val="20"/>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1F1FC8">
            <w:pPr>
              <w:rPr>
                <w:rFonts w:eastAsia="Times New Roman"/>
                <w:sz w:val="20"/>
                <w:szCs w:val="20"/>
              </w:rPr>
            </w:pPr>
          </w:p>
        </w:tc>
      </w:tr>
      <w:tr w:rsidR="00000000">
        <w:trPr>
          <w:divId w:val="1897424053"/>
        </w:trPr>
        <w:tc>
          <w:tcPr>
            <w:tcW w:w="0" w:type="auto"/>
            <w:gridSpan w:val="3"/>
            <w:tcMar>
              <w:top w:w="30" w:type="dxa"/>
              <w:left w:w="20" w:type="dxa"/>
              <w:bottom w:w="30" w:type="dxa"/>
              <w:right w:w="20" w:type="dxa"/>
            </w:tcMar>
            <w:vAlign w:val="center"/>
            <w:hideMark/>
          </w:tcPr>
          <w:p w:rsidR="00000000" w:rsidRDefault="001F1FC8">
            <w:pPr>
              <w:rPr>
                <w:rFonts w:eastAsia="Times New Roman"/>
              </w:rPr>
            </w:pPr>
            <w:r>
              <w:rPr>
                <w:rFonts w:ascii="Arial" w:eastAsia="Times New Roman" w:hAnsi="Arial" w:cs="Arial"/>
                <w:b/>
                <w:bCs/>
                <w:color w:val="000000"/>
                <w:sz w:val="18"/>
                <w:szCs w:val="18"/>
              </w:rPr>
              <w:t>Liabilities and equity</w:t>
            </w:r>
          </w:p>
        </w:tc>
        <w:tc>
          <w:tcPr>
            <w:tcW w:w="0" w:type="auto"/>
            <w:gridSpan w:val="3"/>
            <w:shd w:val="clear" w:color="auto" w:fill="D8D8D8"/>
            <w:tcMar>
              <w:top w:w="30" w:type="dxa"/>
              <w:left w:w="20" w:type="dxa"/>
              <w:bottom w:w="30" w:type="dxa"/>
              <w:right w:w="20" w:type="dxa"/>
            </w:tcMar>
            <w:vAlign w:val="center"/>
            <w:hideMark/>
          </w:tcPr>
          <w:p w:rsidR="00000000" w:rsidRDefault="001F1FC8">
            <w:pPr>
              <w:jc w:val="right"/>
              <w:rPr>
                <w:rFonts w:eastAsia="Times New Roman"/>
              </w:rPr>
            </w:pPr>
            <w:r>
              <w:rPr>
                <w:rFonts w:ascii="Arial" w:eastAsia="Times New Roman" w:hAnsi="Arial" w:cs="Arial"/>
                <w:color w:val="000000"/>
                <w:sz w:val="2"/>
                <w:szCs w:val="2"/>
              </w:rPr>
              <w:t> </w:t>
            </w:r>
          </w:p>
        </w:tc>
        <w:tc>
          <w:tcPr>
            <w:tcW w:w="0" w:type="auto"/>
            <w:gridSpan w:val="3"/>
            <w:tcMar>
              <w:top w:w="30" w:type="dxa"/>
              <w:left w:w="20" w:type="dxa"/>
              <w:bottom w:w="30" w:type="dxa"/>
              <w:right w:w="20" w:type="dxa"/>
            </w:tcMar>
            <w:vAlign w:val="center"/>
            <w:hideMark/>
          </w:tcPr>
          <w:p w:rsidR="00000000" w:rsidRDefault="001F1FC8">
            <w:pPr>
              <w:jc w:val="right"/>
              <w:rPr>
                <w:rFonts w:eastAsia="Times New Roman"/>
              </w:rPr>
            </w:pPr>
            <w:r>
              <w:rPr>
                <w:rFonts w:ascii="Arial" w:eastAsia="Times New Roman" w:hAnsi="Arial" w:cs="Arial"/>
                <w:color w:val="000000"/>
                <w:sz w:val="2"/>
                <w:szCs w:val="2"/>
              </w:rPr>
              <w:t> </w:t>
            </w:r>
          </w:p>
        </w:tc>
      </w:tr>
      <w:tr w:rsidR="00000000">
        <w:trPr>
          <w:divId w:val="1897424053"/>
        </w:trPr>
        <w:tc>
          <w:tcPr>
            <w:tcW w:w="0" w:type="auto"/>
            <w:gridSpan w:val="3"/>
            <w:tcMar>
              <w:top w:w="30" w:type="dxa"/>
              <w:left w:w="20" w:type="dxa"/>
              <w:bottom w:w="30" w:type="dxa"/>
              <w:right w:w="20" w:type="dxa"/>
            </w:tcMar>
            <w:vAlign w:val="center"/>
            <w:hideMark/>
          </w:tcPr>
          <w:p w:rsidR="00000000" w:rsidRDefault="001F1FC8">
            <w:pPr>
              <w:rPr>
                <w:rFonts w:eastAsia="Times New Roman"/>
              </w:rPr>
            </w:pPr>
            <w:r>
              <w:rPr>
                <w:rFonts w:ascii="Arial" w:eastAsia="Times New Roman" w:hAnsi="Arial" w:cs="Arial"/>
                <w:color w:val="000000"/>
                <w:sz w:val="18"/>
                <w:szCs w:val="18"/>
              </w:rPr>
              <w:t>Current liabilities</w:t>
            </w:r>
          </w:p>
        </w:tc>
        <w:tc>
          <w:tcPr>
            <w:tcW w:w="0" w:type="auto"/>
            <w:gridSpan w:val="3"/>
            <w:shd w:val="clear" w:color="auto" w:fill="D8D8D8"/>
            <w:tcMar>
              <w:top w:w="30" w:type="dxa"/>
              <w:left w:w="20" w:type="dxa"/>
              <w:bottom w:w="30" w:type="dxa"/>
              <w:right w:w="20" w:type="dxa"/>
            </w:tcMar>
            <w:vAlign w:val="center"/>
            <w:hideMark/>
          </w:tcPr>
          <w:p w:rsidR="00000000" w:rsidRDefault="001F1FC8">
            <w:pPr>
              <w:jc w:val="right"/>
              <w:rPr>
                <w:rFonts w:eastAsia="Times New Roman"/>
              </w:rPr>
            </w:pPr>
            <w:r>
              <w:rPr>
                <w:rFonts w:ascii="Arial" w:eastAsia="Times New Roman" w:hAnsi="Arial" w:cs="Arial"/>
                <w:color w:val="000000"/>
                <w:sz w:val="2"/>
                <w:szCs w:val="2"/>
              </w:rPr>
              <w:t> </w:t>
            </w:r>
          </w:p>
        </w:tc>
        <w:tc>
          <w:tcPr>
            <w:tcW w:w="0" w:type="auto"/>
            <w:gridSpan w:val="3"/>
            <w:tcMar>
              <w:top w:w="30" w:type="dxa"/>
              <w:left w:w="20" w:type="dxa"/>
              <w:bottom w:w="30" w:type="dxa"/>
              <w:right w:w="20" w:type="dxa"/>
            </w:tcMar>
            <w:vAlign w:val="center"/>
            <w:hideMark/>
          </w:tcPr>
          <w:p w:rsidR="00000000" w:rsidRDefault="001F1FC8">
            <w:pPr>
              <w:jc w:val="right"/>
              <w:rPr>
                <w:rFonts w:eastAsia="Times New Roman"/>
              </w:rPr>
            </w:pPr>
            <w:r>
              <w:rPr>
                <w:rFonts w:ascii="Arial" w:eastAsia="Times New Roman" w:hAnsi="Arial" w:cs="Arial"/>
                <w:color w:val="000000"/>
                <w:sz w:val="2"/>
                <w:szCs w:val="2"/>
              </w:rPr>
              <w:t> </w:t>
            </w:r>
          </w:p>
        </w:tc>
      </w:tr>
      <w:tr w:rsidR="00000000">
        <w:trPr>
          <w:divId w:val="1897424053"/>
        </w:trPr>
        <w:tc>
          <w:tcPr>
            <w:tcW w:w="0" w:type="auto"/>
            <w:gridSpan w:val="3"/>
            <w:tcMar>
              <w:top w:w="30" w:type="dxa"/>
              <w:left w:w="20" w:type="dxa"/>
              <w:bottom w:w="30" w:type="dxa"/>
              <w:right w:w="20" w:type="dxa"/>
            </w:tcMar>
            <w:vAlign w:val="center"/>
            <w:hideMark/>
          </w:tcPr>
          <w:p w:rsidR="00000000" w:rsidRDefault="001F1FC8">
            <w:pPr>
              <w:divId w:val="925919588"/>
              <w:rPr>
                <w:rFonts w:eastAsia="Times New Roman"/>
              </w:rPr>
            </w:pPr>
            <w:r>
              <w:rPr>
                <w:rFonts w:ascii="Arial" w:eastAsia="Times New Roman" w:hAnsi="Arial" w:cs="Arial"/>
                <w:color w:val="000000"/>
                <w:sz w:val="18"/>
                <w:szCs w:val="18"/>
              </w:rPr>
              <w:t>Short-term borrowings</w:t>
            </w:r>
            <w:r>
              <w:rPr>
                <w:rFonts w:ascii="Arial" w:eastAsia="Times New Roman" w:hAnsi="Arial" w:cs="Arial"/>
                <w:color w:val="000000"/>
                <w:sz w:val="16"/>
                <w:szCs w:val="16"/>
              </w:rPr>
              <w:t xml:space="preserve"> </w:t>
            </w:r>
            <w:r>
              <w:rPr>
                <w:rFonts w:ascii="Arial" w:eastAsia="Times New Roman" w:hAnsi="Arial" w:cs="Arial"/>
                <w:i/>
                <w:iCs/>
                <w:color w:val="000000"/>
                <w:sz w:val="16"/>
                <w:szCs w:val="16"/>
              </w:rPr>
              <w:t>(Note 18)</w:t>
            </w:r>
          </w:p>
        </w:tc>
        <w:tc>
          <w:tcPr>
            <w:tcW w:w="0" w:type="auto"/>
            <w:gridSpan w:val="2"/>
            <w:shd w:val="clear" w:color="auto" w:fill="D8D8D8"/>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b/>
                <w:bCs/>
                <w:color w:val="000000"/>
                <w:sz w:val="18"/>
                <w:szCs w:val="18"/>
              </w:rPr>
              <w:t>1,515</w:t>
            </w:r>
            <w:r>
              <w:rPr>
                <w:rFonts w:ascii="Arial" w:eastAsia="Times New Roman" w:hAnsi="Arial" w:cs="Arial"/>
                <w:color w:val="000000"/>
                <w:sz w:val="18"/>
                <w:szCs w:val="18"/>
              </w:rPr>
              <w:t> </w:t>
            </w:r>
          </w:p>
        </w:tc>
        <w:tc>
          <w:tcPr>
            <w:tcW w:w="0" w:type="auto"/>
            <w:shd w:val="clear" w:color="auto" w:fill="D8D8D8"/>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18"/>
                <w:szCs w:val="18"/>
              </w:rPr>
              <w:t>1,121 </w:t>
            </w:r>
          </w:p>
        </w:tc>
        <w:tc>
          <w:tcPr>
            <w:tcW w:w="0" w:type="auto"/>
            <w:tcMar>
              <w:top w:w="30" w:type="dxa"/>
              <w:left w:w="0" w:type="dxa"/>
              <w:bottom w:w="30" w:type="dxa"/>
              <w:right w:w="20" w:type="dxa"/>
            </w:tcMar>
            <w:vAlign w:val="center"/>
            <w:hideMark/>
          </w:tcPr>
          <w:p w:rsidR="00000000" w:rsidRDefault="001F1FC8">
            <w:pPr>
              <w:jc w:val="right"/>
              <w:rPr>
                <w:rFonts w:eastAsia="Times New Roman"/>
              </w:rPr>
            </w:pPr>
          </w:p>
        </w:tc>
      </w:tr>
      <w:tr w:rsidR="00000000">
        <w:trPr>
          <w:divId w:val="1897424053"/>
        </w:trPr>
        <w:tc>
          <w:tcPr>
            <w:tcW w:w="0" w:type="auto"/>
            <w:gridSpan w:val="3"/>
            <w:tcMar>
              <w:top w:w="30" w:type="dxa"/>
              <w:left w:w="20" w:type="dxa"/>
              <w:bottom w:w="30" w:type="dxa"/>
              <w:right w:w="20" w:type="dxa"/>
            </w:tcMar>
            <w:vAlign w:val="center"/>
            <w:hideMark/>
          </w:tcPr>
          <w:p w:rsidR="00000000" w:rsidRDefault="001F1FC8">
            <w:pPr>
              <w:divId w:val="1100376767"/>
              <w:rPr>
                <w:rFonts w:eastAsia="Times New Roman"/>
              </w:rPr>
            </w:pPr>
            <w:r>
              <w:rPr>
                <w:rFonts w:ascii="Arial" w:eastAsia="Times New Roman" w:hAnsi="Arial" w:cs="Arial"/>
                <w:color w:val="000000"/>
                <w:sz w:val="18"/>
                <w:szCs w:val="18"/>
              </w:rPr>
              <w:t xml:space="preserve">Accounts payable and other </w:t>
            </w:r>
            <w:r>
              <w:rPr>
                <w:rFonts w:ascii="Arial" w:eastAsia="Times New Roman" w:hAnsi="Arial" w:cs="Arial"/>
                <w:i/>
                <w:iCs/>
                <w:color w:val="000000"/>
                <w:sz w:val="16"/>
                <w:szCs w:val="16"/>
              </w:rPr>
              <w:t>(Note 17)</w:t>
            </w:r>
          </w:p>
        </w:tc>
        <w:tc>
          <w:tcPr>
            <w:tcW w:w="0" w:type="auto"/>
            <w:gridSpan w:val="2"/>
            <w:shd w:val="clear" w:color="auto" w:fill="D8D8D8"/>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b/>
                <w:bCs/>
                <w:color w:val="000000"/>
                <w:sz w:val="18"/>
                <w:szCs w:val="18"/>
              </w:rPr>
              <w:t>9,767</w:t>
            </w:r>
            <w:r>
              <w:rPr>
                <w:rFonts w:ascii="Arial" w:eastAsia="Times New Roman" w:hAnsi="Arial" w:cs="Arial"/>
                <w:color w:val="000000"/>
                <w:sz w:val="18"/>
                <w:szCs w:val="18"/>
              </w:rPr>
              <w:t> </w:t>
            </w:r>
          </w:p>
        </w:tc>
        <w:tc>
          <w:tcPr>
            <w:tcW w:w="0" w:type="auto"/>
            <w:shd w:val="clear" w:color="auto" w:fill="D8D8D8"/>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18"/>
                <w:szCs w:val="18"/>
              </w:rPr>
              <w:t>9,228 </w:t>
            </w:r>
          </w:p>
        </w:tc>
        <w:tc>
          <w:tcPr>
            <w:tcW w:w="0" w:type="auto"/>
            <w:tcMar>
              <w:top w:w="30" w:type="dxa"/>
              <w:left w:w="0" w:type="dxa"/>
              <w:bottom w:w="30" w:type="dxa"/>
              <w:right w:w="20" w:type="dxa"/>
            </w:tcMar>
            <w:vAlign w:val="center"/>
            <w:hideMark/>
          </w:tcPr>
          <w:p w:rsidR="00000000" w:rsidRDefault="001F1FC8">
            <w:pPr>
              <w:jc w:val="right"/>
              <w:rPr>
                <w:rFonts w:eastAsia="Times New Roman"/>
              </w:rPr>
            </w:pPr>
          </w:p>
        </w:tc>
      </w:tr>
      <w:tr w:rsidR="00000000">
        <w:trPr>
          <w:divId w:val="1897424053"/>
        </w:trPr>
        <w:tc>
          <w:tcPr>
            <w:tcW w:w="0" w:type="auto"/>
            <w:gridSpan w:val="3"/>
            <w:tcMar>
              <w:top w:w="30" w:type="dxa"/>
              <w:left w:w="245" w:type="dxa"/>
              <w:bottom w:w="30" w:type="dxa"/>
              <w:right w:w="20" w:type="dxa"/>
            </w:tcMar>
            <w:vAlign w:val="center"/>
            <w:hideMark/>
          </w:tcPr>
          <w:p w:rsidR="00000000" w:rsidRDefault="001F1FC8">
            <w:pPr>
              <w:rPr>
                <w:rFonts w:eastAsia="Times New Roman"/>
              </w:rPr>
            </w:pPr>
            <w:r>
              <w:rPr>
                <w:rFonts w:ascii="Arial" w:eastAsia="Times New Roman" w:hAnsi="Arial" w:cs="Arial"/>
                <w:color w:val="000000"/>
                <w:sz w:val="18"/>
                <w:szCs w:val="18"/>
              </w:rPr>
              <w:t>Accounts payable to affiliates</w:t>
            </w:r>
          </w:p>
        </w:tc>
        <w:tc>
          <w:tcPr>
            <w:tcW w:w="0" w:type="auto"/>
            <w:gridSpan w:val="2"/>
            <w:shd w:val="clear" w:color="auto" w:fill="D8D8D8"/>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b/>
                <w:bCs/>
                <w:color w:val="000000"/>
                <w:sz w:val="18"/>
                <w:szCs w:val="18"/>
              </w:rPr>
              <w:t>90</w:t>
            </w:r>
            <w:r>
              <w:rPr>
                <w:rFonts w:ascii="Arial" w:eastAsia="Times New Roman" w:hAnsi="Arial" w:cs="Arial"/>
                <w:color w:val="000000"/>
                <w:sz w:val="18"/>
                <w:szCs w:val="18"/>
              </w:rPr>
              <w:t> </w:t>
            </w:r>
          </w:p>
        </w:tc>
        <w:tc>
          <w:tcPr>
            <w:tcW w:w="0" w:type="auto"/>
            <w:shd w:val="clear" w:color="auto" w:fill="D8D8D8"/>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18"/>
                <w:szCs w:val="18"/>
              </w:rPr>
              <w:t>22 </w:t>
            </w:r>
          </w:p>
        </w:tc>
        <w:tc>
          <w:tcPr>
            <w:tcW w:w="0" w:type="auto"/>
            <w:tcMar>
              <w:top w:w="30" w:type="dxa"/>
              <w:left w:w="0" w:type="dxa"/>
              <w:bottom w:w="30" w:type="dxa"/>
              <w:right w:w="20" w:type="dxa"/>
            </w:tcMar>
            <w:vAlign w:val="center"/>
            <w:hideMark/>
          </w:tcPr>
          <w:p w:rsidR="00000000" w:rsidRDefault="001F1FC8">
            <w:pPr>
              <w:jc w:val="right"/>
              <w:rPr>
                <w:rFonts w:eastAsia="Times New Roman"/>
              </w:rPr>
            </w:pPr>
          </w:p>
        </w:tc>
      </w:tr>
      <w:tr w:rsidR="00000000">
        <w:trPr>
          <w:divId w:val="1897424053"/>
        </w:trPr>
        <w:tc>
          <w:tcPr>
            <w:tcW w:w="0" w:type="auto"/>
            <w:gridSpan w:val="3"/>
            <w:tcMar>
              <w:top w:w="30" w:type="dxa"/>
              <w:left w:w="245" w:type="dxa"/>
              <w:bottom w:w="30" w:type="dxa"/>
              <w:right w:w="20" w:type="dxa"/>
            </w:tcMar>
            <w:vAlign w:val="center"/>
            <w:hideMark/>
          </w:tcPr>
          <w:p w:rsidR="00000000" w:rsidRDefault="001F1FC8">
            <w:pPr>
              <w:rPr>
                <w:rFonts w:eastAsia="Times New Roman"/>
              </w:rPr>
            </w:pPr>
            <w:r>
              <w:rPr>
                <w:rFonts w:ascii="Arial" w:eastAsia="Times New Roman" w:hAnsi="Arial" w:cs="Arial"/>
                <w:color w:val="000000"/>
                <w:sz w:val="18"/>
                <w:szCs w:val="18"/>
              </w:rPr>
              <w:t>Interest payable</w:t>
            </w:r>
          </w:p>
        </w:tc>
        <w:tc>
          <w:tcPr>
            <w:tcW w:w="0" w:type="auto"/>
            <w:gridSpan w:val="2"/>
            <w:shd w:val="clear" w:color="auto" w:fill="D8D8D8"/>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b/>
                <w:bCs/>
                <w:color w:val="000000"/>
                <w:sz w:val="18"/>
                <w:szCs w:val="18"/>
              </w:rPr>
              <w:t>693</w:t>
            </w:r>
            <w:r>
              <w:rPr>
                <w:rFonts w:ascii="Arial" w:eastAsia="Times New Roman" w:hAnsi="Arial" w:cs="Arial"/>
                <w:color w:val="000000"/>
                <w:sz w:val="18"/>
                <w:szCs w:val="18"/>
              </w:rPr>
              <w:t> </w:t>
            </w:r>
          </w:p>
        </w:tc>
        <w:tc>
          <w:tcPr>
            <w:tcW w:w="0" w:type="auto"/>
            <w:shd w:val="clear" w:color="auto" w:fill="D8D8D8"/>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18"/>
                <w:szCs w:val="18"/>
              </w:rPr>
              <w:t>651 </w:t>
            </w:r>
          </w:p>
        </w:tc>
        <w:tc>
          <w:tcPr>
            <w:tcW w:w="0" w:type="auto"/>
            <w:tcMar>
              <w:top w:w="30" w:type="dxa"/>
              <w:left w:w="0" w:type="dxa"/>
              <w:bottom w:w="30" w:type="dxa"/>
              <w:right w:w="20" w:type="dxa"/>
            </w:tcMar>
            <w:vAlign w:val="center"/>
            <w:hideMark/>
          </w:tcPr>
          <w:p w:rsidR="00000000" w:rsidRDefault="001F1FC8">
            <w:pPr>
              <w:jc w:val="right"/>
              <w:rPr>
                <w:rFonts w:eastAsia="Times New Roman"/>
              </w:rPr>
            </w:pPr>
          </w:p>
        </w:tc>
      </w:tr>
      <w:tr w:rsidR="00000000">
        <w:trPr>
          <w:divId w:val="1897424053"/>
        </w:trPr>
        <w:tc>
          <w:tcPr>
            <w:tcW w:w="0" w:type="auto"/>
            <w:gridSpan w:val="3"/>
            <w:tcMar>
              <w:top w:w="30" w:type="dxa"/>
              <w:left w:w="20" w:type="dxa"/>
              <w:bottom w:w="30" w:type="dxa"/>
              <w:right w:w="20" w:type="dxa"/>
            </w:tcMar>
            <w:vAlign w:val="center"/>
            <w:hideMark/>
          </w:tcPr>
          <w:p w:rsidR="00000000" w:rsidRDefault="001F1FC8">
            <w:pPr>
              <w:divId w:val="986589997"/>
              <w:rPr>
                <w:rFonts w:eastAsia="Times New Roman"/>
              </w:rPr>
            </w:pPr>
            <w:r>
              <w:rPr>
                <w:rFonts w:ascii="Arial" w:eastAsia="Times New Roman" w:hAnsi="Arial" w:cs="Arial"/>
                <w:color w:val="000000"/>
                <w:sz w:val="18"/>
                <w:szCs w:val="18"/>
              </w:rPr>
              <w:t xml:space="preserve">Current portion of long-term debt </w:t>
            </w:r>
            <w:r>
              <w:rPr>
                <w:rFonts w:ascii="Arial" w:eastAsia="Times New Roman" w:hAnsi="Arial" w:cs="Arial"/>
                <w:i/>
                <w:iCs/>
                <w:color w:val="000000"/>
                <w:sz w:val="16"/>
                <w:szCs w:val="16"/>
              </w:rPr>
              <w:t>(Note 18)</w:t>
            </w:r>
          </w:p>
        </w:tc>
        <w:tc>
          <w:tcPr>
            <w:tcW w:w="0" w:type="auto"/>
            <w:gridSpan w:val="2"/>
            <w:shd w:val="clear" w:color="auto" w:fill="D8D8D8"/>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b/>
                <w:bCs/>
                <w:color w:val="000000"/>
                <w:sz w:val="18"/>
                <w:szCs w:val="18"/>
              </w:rPr>
              <w:t>6,164</w:t>
            </w:r>
            <w:r>
              <w:rPr>
                <w:rFonts w:ascii="Arial" w:eastAsia="Times New Roman" w:hAnsi="Arial" w:cs="Arial"/>
                <w:color w:val="000000"/>
                <w:sz w:val="18"/>
                <w:szCs w:val="18"/>
              </w:rPr>
              <w:t> </w:t>
            </w:r>
          </w:p>
        </w:tc>
        <w:tc>
          <w:tcPr>
            <w:tcW w:w="0" w:type="auto"/>
            <w:shd w:val="clear" w:color="auto" w:fill="D8D8D8"/>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18"/>
                <w:szCs w:val="18"/>
              </w:rPr>
              <w:t>2,957 </w:t>
            </w:r>
          </w:p>
        </w:tc>
        <w:tc>
          <w:tcPr>
            <w:tcW w:w="0" w:type="auto"/>
            <w:tcMar>
              <w:top w:w="30" w:type="dxa"/>
              <w:left w:w="0" w:type="dxa"/>
              <w:bottom w:w="30" w:type="dxa"/>
              <w:right w:w="20" w:type="dxa"/>
            </w:tcMar>
            <w:vAlign w:val="center"/>
            <w:hideMark/>
          </w:tcPr>
          <w:p w:rsidR="00000000" w:rsidRDefault="001F1FC8">
            <w:pPr>
              <w:jc w:val="right"/>
              <w:rPr>
                <w:rFonts w:eastAsia="Times New Roman"/>
              </w:rPr>
            </w:pPr>
          </w:p>
        </w:tc>
      </w:tr>
      <w:tr w:rsidR="00000000">
        <w:trPr>
          <w:divId w:val="1897424053"/>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1F1FC8">
            <w:pPr>
              <w:rPr>
                <w:rFonts w:eastAsia="Times New Roman"/>
              </w:rPr>
            </w:pPr>
            <w:r>
              <w:rPr>
                <w:rFonts w:ascii="Arial" w:eastAsia="Times New Roman" w:hAnsi="Arial" w:cs="Arial"/>
                <w:color w:val="000000"/>
                <w:sz w:val="2"/>
                <w:szCs w:val="2"/>
              </w:rPr>
              <w:t> </w:t>
            </w:r>
          </w:p>
        </w:tc>
        <w:tc>
          <w:tcPr>
            <w:tcW w:w="0" w:type="auto"/>
            <w:gridSpan w:val="2"/>
            <w:tcBorders>
              <w:top w:val="single" w:sz="4" w:space="0" w:color="000000"/>
            </w:tcBorders>
            <w:shd w:val="clear" w:color="auto" w:fill="D8D8D8"/>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b/>
                <w:bCs/>
                <w:color w:val="000000"/>
                <w:sz w:val="18"/>
                <w:szCs w:val="18"/>
              </w:rPr>
              <w:t>18,229</w:t>
            </w:r>
            <w:r>
              <w:rPr>
                <w:rFonts w:ascii="Arial" w:eastAsia="Times New Roman" w:hAnsi="Arial" w:cs="Arial"/>
                <w:color w:val="000000"/>
                <w:sz w:val="18"/>
                <w:szCs w:val="18"/>
              </w:rPr>
              <w:t> </w:t>
            </w:r>
          </w:p>
        </w:tc>
        <w:tc>
          <w:tcPr>
            <w:tcW w:w="0" w:type="auto"/>
            <w:tcBorders>
              <w:top w:val="single" w:sz="4" w:space="0" w:color="000000"/>
            </w:tcBorders>
            <w:shd w:val="clear" w:color="auto" w:fill="D8D8D8"/>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18"/>
                <w:szCs w:val="18"/>
              </w:rPr>
              <w:t>13,979 </w:t>
            </w:r>
          </w:p>
        </w:tc>
        <w:tc>
          <w:tcPr>
            <w:tcW w:w="0" w:type="auto"/>
            <w:tcBorders>
              <w:top w:val="single" w:sz="4" w:space="0" w:color="000000"/>
            </w:tcBorders>
            <w:tcMar>
              <w:top w:w="30" w:type="dxa"/>
              <w:left w:w="0" w:type="dxa"/>
              <w:bottom w:w="30" w:type="dxa"/>
              <w:right w:w="20" w:type="dxa"/>
            </w:tcMar>
            <w:vAlign w:val="center"/>
            <w:hideMark/>
          </w:tcPr>
          <w:p w:rsidR="00000000" w:rsidRDefault="001F1FC8">
            <w:pPr>
              <w:jc w:val="right"/>
              <w:rPr>
                <w:rFonts w:eastAsia="Times New Roman"/>
              </w:rPr>
            </w:pPr>
          </w:p>
        </w:tc>
      </w:tr>
      <w:tr w:rsidR="00000000">
        <w:trPr>
          <w:divId w:val="1897424053"/>
        </w:trPr>
        <w:tc>
          <w:tcPr>
            <w:tcW w:w="0" w:type="auto"/>
            <w:gridSpan w:val="3"/>
            <w:tcMar>
              <w:top w:w="30" w:type="dxa"/>
              <w:left w:w="20" w:type="dxa"/>
              <w:bottom w:w="30" w:type="dxa"/>
              <w:right w:w="20" w:type="dxa"/>
            </w:tcMar>
            <w:vAlign w:val="center"/>
            <w:hideMark/>
          </w:tcPr>
          <w:p w:rsidR="00000000" w:rsidRDefault="001F1FC8">
            <w:pPr>
              <w:divId w:val="2049605061"/>
              <w:rPr>
                <w:rFonts w:eastAsia="Times New Roman"/>
              </w:rPr>
            </w:pPr>
            <w:r>
              <w:rPr>
                <w:rFonts w:ascii="Arial" w:eastAsia="Times New Roman" w:hAnsi="Arial" w:cs="Arial"/>
                <w:color w:val="000000"/>
                <w:sz w:val="18"/>
                <w:szCs w:val="18"/>
              </w:rPr>
              <w:t xml:space="preserve">Long-term debt </w:t>
            </w:r>
            <w:r>
              <w:rPr>
                <w:rFonts w:ascii="Arial" w:eastAsia="Times New Roman" w:hAnsi="Arial" w:cs="Arial"/>
                <w:i/>
                <w:iCs/>
                <w:color w:val="000000"/>
                <w:sz w:val="16"/>
                <w:szCs w:val="16"/>
              </w:rPr>
              <w:t>(Note 18)</w:t>
            </w:r>
          </w:p>
        </w:tc>
        <w:tc>
          <w:tcPr>
            <w:tcW w:w="0" w:type="auto"/>
            <w:gridSpan w:val="2"/>
            <w:shd w:val="clear" w:color="auto" w:fill="D8D8D8"/>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b/>
                <w:bCs/>
                <w:color w:val="000000"/>
                <w:sz w:val="18"/>
                <w:szCs w:val="18"/>
              </w:rPr>
              <w:t>67,961</w:t>
            </w:r>
            <w:r>
              <w:rPr>
                <w:rFonts w:ascii="Arial" w:eastAsia="Times New Roman" w:hAnsi="Arial" w:cs="Arial"/>
                <w:color w:val="000000"/>
                <w:sz w:val="18"/>
                <w:szCs w:val="18"/>
              </w:rPr>
              <w:t> </w:t>
            </w:r>
          </w:p>
        </w:tc>
        <w:tc>
          <w:tcPr>
            <w:tcW w:w="0" w:type="auto"/>
            <w:shd w:val="clear" w:color="auto" w:fill="D8D8D8"/>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18"/>
                <w:szCs w:val="18"/>
              </w:rPr>
              <w:t>62,819 </w:t>
            </w:r>
          </w:p>
        </w:tc>
        <w:tc>
          <w:tcPr>
            <w:tcW w:w="0" w:type="auto"/>
            <w:tcMar>
              <w:top w:w="30" w:type="dxa"/>
              <w:left w:w="0" w:type="dxa"/>
              <w:bottom w:w="30" w:type="dxa"/>
              <w:right w:w="20" w:type="dxa"/>
            </w:tcMar>
            <w:vAlign w:val="center"/>
            <w:hideMark/>
          </w:tcPr>
          <w:p w:rsidR="00000000" w:rsidRDefault="001F1FC8">
            <w:pPr>
              <w:jc w:val="right"/>
              <w:rPr>
                <w:rFonts w:eastAsia="Times New Roman"/>
              </w:rPr>
            </w:pPr>
          </w:p>
        </w:tc>
      </w:tr>
      <w:tr w:rsidR="00000000">
        <w:trPr>
          <w:divId w:val="1897424053"/>
        </w:trPr>
        <w:tc>
          <w:tcPr>
            <w:tcW w:w="0" w:type="auto"/>
            <w:gridSpan w:val="3"/>
            <w:tcMar>
              <w:top w:w="30" w:type="dxa"/>
              <w:left w:w="20" w:type="dxa"/>
              <w:bottom w:w="30" w:type="dxa"/>
              <w:right w:w="20" w:type="dxa"/>
            </w:tcMar>
            <w:vAlign w:val="center"/>
            <w:hideMark/>
          </w:tcPr>
          <w:p w:rsidR="00000000" w:rsidRDefault="001F1FC8">
            <w:pPr>
              <w:rPr>
                <w:rFonts w:eastAsia="Times New Roman"/>
              </w:rPr>
            </w:pPr>
            <w:r>
              <w:rPr>
                <w:rFonts w:ascii="Arial" w:eastAsia="Times New Roman" w:hAnsi="Arial" w:cs="Arial"/>
                <w:color w:val="000000"/>
                <w:sz w:val="18"/>
                <w:szCs w:val="18"/>
              </w:rPr>
              <w:t>Other long-term liabilities</w:t>
            </w:r>
          </w:p>
        </w:tc>
        <w:tc>
          <w:tcPr>
            <w:tcW w:w="0" w:type="auto"/>
            <w:gridSpan w:val="2"/>
            <w:shd w:val="clear" w:color="auto" w:fill="D8D8D8"/>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b/>
                <w:bCs/>
                <w:color w:val="000000"/>
                <w:sz w:val="18"/>
                <w:szCs w:val="18"/>
              </w:rPr>
              <w:t>7,617</w:t>
            </w:r>
            <w:r>
              <w:rPr>
                <w:rFonts w:ascii="Arial" w:eastAsia="Times New Roman" w:hAnsi="Arial" w:cs="Arial"/>
                <w:color w:val="000000"/>
                <w:sz w:val="18"/>
                <w:szCs w:val="18"/>
              </w:rPr>
              <w:t> </w:t>
            </w:r>
          </w:p>
        </w:tc>
        <w:tc>
          <w:tcPr>
            <w:tcW w:w="0" w:type="auto"/>
            <w:shd w:val="clear" w:color="auto" w:fill="D8D8D8"/>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18"/>
                <w:szCs w:val="18"/>
              </w:rPr>
              <w:t>8,783 </w:t>
            </w:r>
          </w:p>
        </w:tc>
        <w:tc>
          <w:tcPr>
            <w:tcW w:w="0" w:type="auto"/>
            <w:tcMar>
              <w:top w:w="30" w:type="dxa"/>
              <w:left w:w="0" w:type="dxa"/>
              <w:bottom w:w="30" w:type="dxa"/>
              <w:right w:w="20" w:type="dxa"/>
            </w:tcMar>
            <w:vAlign w:val="center"/>
            <w:hideMark/>
          </w:tcPr>
          <w:p w:rsidR="00000000" w:rsidRDefault="001F1FC8">
            <w:pPr>
              <w:jc w:val="right"/>
              <w:rPr>
                <w:rFonts w:eastAsia="Times New Roman"/>
              </w:rPr>
            </w:pPr>
          </w:p>
        </w:tc>
      </w:tr>
      <w:tr w:rsidR="00000000">
        <w:trPr>
          <w:divId w:val="1897424053"/>
        </w:trPr>
        <w:tc>
          <w:tcPr>
            <w:tcW w:w="0" w:type="auto"/>
            <w:gridSpan w:val="3"/>
            <w:tcMar>
              <w:top w:w="30" w:type="dxa"/>
              <w:left w:w="20" w:type="dxa"/>
              <w:bottom w:w="30" w:type="dxa"/>
              <w:right w:w="20" w:type="dxa"/>
            </w:tcMar>
            <w:vAlign w:val="center"/>
            <w:hideMark/>
          </w:tcPr>
          <w:p w:rsidR="00000000" w:rsidRDefault="001F1FC8">
            <w:pPr>
              <w:divId w:val="459224706"/>
              <w:rPr>
                <w:rFonts w:eastAsia="Times New Roman"/>
              </w:rPr>
            </w:pPr>
            <w:r>
              <w:rPr>
                <w:rFonts w:ascii="Arial" w:eastAsia="Times New Roman" w:hAnsi="Arial" w:cs="Arial"/>
                <w:color w:val="000000"/>
                <w:sz w:val="18"/>
                <w:szCs w:val="18"/>
              </w:rPr>
              <w:t>Deferred income taxes</w:t>
            </w:r>
            <w:r>
              <w:rPr>
                <w:rFonts w:ascii="Arial" w:eastAsia="Times New Roman" w:hAnsi="Arial" w:cs="Arial"/>
                <w:color w:val="000000"/>
                <w:sz w:val="20"/>
                <w:szCs w:val="20"/>
              </w:rPr>
              <w:t xml:space="preserve"> </w:t>
            </w:r>
            <w:r>
              <w:rPr>
                <w:rFonts w:ascii="Arial" w:eastAsia="Times New Roman" w:hAnsi="Arial" w:cs="Arial"/>
                <w:i/>
                <w:iCs/>
                <w:color w:val="000000"/>
                <w:sz w:val="16"/>
                <w:szCs w:val="16"/>
              </w:rPr>
              <w:t>(Note 25)</w:t>
            </w:r>
          </w:p>
        </w:tc>
        <w:tc>
          <w:tcPr>
            <w:tcW w:w="0" w:type="auto"/>
            <w:gridSpan w:val="2"/>
            <w:shd w:val="clear" w:color="auto" w:fill="D8D8D8"/>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b/>
                <w:bCs/>
                <w:color w:val="000000"/>
                <w:sz w:val="18"/>
                <w:szCs w:val="18"/>
              </w:rPr>
              <w:t>11,689</w:t>
            </w:r>
            <w:r>
              <w:rPr>
                <w:rFonts w:ascii="Arial" w:eastAsia="Times New Roman" w:hAnsi="Arial" w:cs="Arial"/>
                <w:color w:val="000000"/>
                <w:sz w:val="18"/>
                <w:szCs w:val="18"/>
              </w:rPr>
              <w:t> </w:t>
            </w:r>
          </w:p>
        </w:tc>
        <w:tc>
          <w:tcPr>
            <w:tcW w:w="0" w:type="auto"/>
            <w:shd w:val="clear" w:color="auto" w:fill="D8D8D8"/>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18"/>
                <w:szCs w:val="18"/>
              </w:rPr>
              <w:t>10,332 </w:t>
            </w:r>
          </w:p>
        </w:tc>
        <w:tc>
          <w:tcPr>
            <w:tcW w:w="0" w:type="auto"/>
            <w:tcMar>
              <w:top w:w="30" w:type="dxa"/>
              <w:left w:w="0" w:type="dxa"/>
              <w:bottom w:w="30" w:type="dxa"/>
              <w:right w:w="20" w:type="dxa"/>
            </w:tcMar>
            <w:vAlign w:val="center"/>
            <w:hideMark/>
          </w:tcPr>
          <w:p w:rsidR="00000000" w:rsidRDefault="001F1FC8">
            <w:pPr>
              <w:jc w:val="right"/>
              <w:rPr>
                <w:rFonts w:eastAsia="Times New Roman"/>
              </w:rPr>
            </w:pPr>
          </w:p>
        </w:tc>
      </w:tr>
      <w:tr w:rsidR="00000000">
        <w:trPr>
          <w:divId w:val="1897424053"/>
        </w:trPr>
        <w:tc>
          <w:tcPr>
            <w:tcW w:w="0" w:type="auto"/>
            <w:gridSpan w:val="3"/>
            <w:tcBorders>
              <w:top w:val="single" w:sz="4" w:space="0" w:color="000000"/>
            </w:tcBorders>
            <w:tcMar>
              <w:top w:w="0" w:type="dxa"/>
              <w:left w:w="20" w:type="dxa"/>
              <w:bottom w:w="0" w:type="dxa"/>
              <w:right w:w="20" w:type="dxa"/>
            </w:tcMar>
            <w:vAlign w:val="center"/>
            <w:hideMark/>
          </w:tcPr>
          <w:p w:rsidR="00000000" w:rsidRDefault="001F1FC8">
            <w:pPr>
              <w:jc w:val="right"/>
              <w:rPr>
                <w:rFonts w:eastAsia="Times New Roman"/>
                <w:sz w:val="20"/>
                <w:szCs w:val="20"/>
              </w:rPr>
            </w:pPr>
          </w:p>
        </w:tc>
        <w:tc>
          <w:tcPr>
            <w:tcW w:w="0" w:type="auto"/>
            <w:gridSpan w:val="2"/>
            <w:tcBorders>
              <w:top w:val="single" w:sz="4" w:space="0" w:color="000000"/>
            </w:tcBorders>
            <w:shd w:val="clear" w:color="auto" w:fill="D8D8D8"/>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b/>
                <w:bCs/>
                <w:color w:val="000000"/>
                <w:sz w:val="18"/>
                <w:szCs w:val="18"/>
              </w:rPr>
              <w:t>105,496</w:t>
            </w:r>
            <w:r>
              <w:rPr>
                <w:rFonts w:ascii="Arial" w:eastAsia="Times New Roman" w:hAnsi="Arial" w:cs="Arial"/>
                <w:color w:val="000000"/>
                <w:sz w:val="18"/>
                <w:szCs w:val="18"/>
              </w:rPr>
              <w:t> </w:t>
            </w:r>
          </w:p>
        </w:tc>
        <w:tc>
          <w:tcPr>
            <w:tcW w:w="0" w:type="auto"/>
            <w:tcBorders>
              <w:top w:val="single" w:sz="4" w:space="0" w:color="000000"/>
            </w:tcBorders>
            <w:shd w:val="clear" w:color="auto" w:fill="D8D8D8"/>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18"/>
                <w:szCs w:val="18"/>
              </w:rPr>
              <w:t>95,913 </w:t>
            </w:r>
          </w:p>
        </w:tc>
        <w:tc>
          <w:tcPr>
            <w:tcW w:w="0" w:type="auto"/>
            <w:tcBorders>
              <w:top w:val="single" w:sz="4" w:space="0" w:color="000000"/>
            </w:tcBorders>
            <w:tcMar>
              <w:top w:w="30" w:type="dxa"/>
              <w:left w:w="0" w:type="dxa"/>
              <w:bottom w:w="30" w:type="dxa"/>
              <w:right w:w="20" w:type="dxa"/>
            </w:tcMar>
            <w:vAlign w:val="center"/>
            <w:hideMark/>
          </w:tcPr>
          <w:p w:rsidR="00000000" w:rsidRDefault="001F1FC8">
            <w:pPr>
              <w:jc w:val="right"/>
              <w:rPr>
                <w:rFonts w:eastAsia="Times New Roman"/>
              </w:rPr>
            </w:pPr>
          </w:p>
        </w:tc>
      </w:tr>
      <w:tr w:rsidR="00000000">
        <w:trPr>
          <w:divId w:val="1897424053"/>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1F1FC8">
            <w:pPr>
              <w:divId w:val="875124718"/>
              <w:rPr>
                <w:rFonts w:eastAsia="Times New Roman"/>
              </w:rPr>
            </w:pPr>
            <w:r>
              <w:rPr>
                <w:rFonts w:ascii="Arial" w:eastAsia="Times New Roman" w:hAnsi="Arial" w:cs="Arial"/>
                <w:color w:val="000000"/>
                <w:sz w:val="18"/>
                <w:szCs w:val="18"/>
              </w:rPr>
              <w:t xml:space="preserve">Commitments and contingencies </w:t>
            </w:r>
            <w:r>
              <w:rPr>
                <w:rFonts w:ascii="Arial" w:eastAsia="Times New Roman" w:hAnsi="Arial" w:cs="Arial"/>
                <w:i/>
                <w:iCs/>
                <w:color w:val="000000"/>
                <w:sz w:val="16"/>
                <w:szCs w:val="16"/>
              </w:rPr>
              <w:t>(Note 30)</w:t>
            </w:r>
          </w:p>
        </w:tc>
        <w:tc>
          <w:tcPr>
            <w:tcW w:w="0" w:type="auto"/>
            <w:gridSpan w:val="3"/>
            <w:tcBorders>
              <w:top w:val="single" w:sz="4" w:space="0" w:color="000000"/>
            </w:tcBorders>
            <w:shd w:val="clear" w:color="auto" w:fill="D8D8D8"/>
            <w:tcMar>
              <w:top w:w="0" w:type="dxa"/>
              <w:left w:w="20" w:type="dxa"/>
              <w:bottom w:w="0" w:type="dxa"/>
              <w:right w:w="20" w:type="dxa"/>
            </w:tcMar>
            <w:vAlign w:val="center"/>
            <w:hideMark/>
          </w:tcPr>
          <w:p w:rsidR="00000000" w:rsidRDefault="001F1FC8">
            <w:pPr>
              <w:rPr>
                <w:rFonts w:eastAsia="Times New Roman"/>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1F1FC8">
            <w:pPr>
              <w:rPr>
                <w:rFonts w:eastAsia="Times New Roman"/>
                <w:sz w:val="20"/>
                <w:szCs w:val="20"/>
              </w:rPr>
            </w:pPr>
          </w:p>
        </w:tc>
      </w:tr>
      <w:tr w:rsidR="00000000">
        <w:trPr>
          <w:divId w:val="1897424053"/>
        </w:trPr>
        <w:tc>
          <w:tcPr>
            <w:tcW w:w="0" w:type="auto"/>
            <w:gridSpan w:val="3"/>
            <w:vAlign w:val="center"/>
            <w:hideMark/>
          </w:tcPr>
          <w:p w:rsidR="00000000" w:rsidRDefault="001F1FC8">
            <w:pPr>
              <w:rPr>
                <w:rFonts w:eastAsia="Times New Roman"/>
                <w:sz w:val="20"/>
                <w:szCs w:val="20"/>
              </w:rPr>
            </w:pPr>
          </w:p>
        </w:tc>
        <w:tc>
          <w:tcPr>
            <w:tcW w:w="0" w:type="auto"/>
            <w:gridSpan w:val="3"/>
            <w:vAlign w:val="center"/>
            <w:hideMark/>
          </w:tcPr>
          <w:p w:rsidR="00000000" w:rsidRDefault="001F1FC8">
            <w:pPr>
              <w:rPr>
                <w:rFonts w:eastAsia="Times New Roman"/>
                <w:sz w:val="20"/>
                <w:szCs w:val="20"/>
              </w:rPr>
            </w:pPr>
          </w:p>
        </w:tc>
        <w:tc>
          <w:tcPr>
            <w:tcW w:w="0" w:type="auto"/>
            <w:gridSpan w:val="3"/>
            <w:vAlign w:val="center"/>
            <w:hideMark/>
          </w:tcPr>
          <w:p w:rsidR="00000000" w:rsidRDefault="001F1FC8">
            <w:pPr>
              <w:rPr>
                <w:rFonts w:eastAsia="Times New Roman"/>
                <w:sz w:val="20"/>
                <w:szCs w:val="20"/>
              </w:rPr>
            </w:pPr>
          </w:p>
        </w:tc>
      </w:tr>
      <w:tr w:rsidR="00000000">
        <w:trPr>
          <w:divId w:val="1897424053"/>
        </w:trPr>
        <w:tc>
          <w:tcPr>
            <w:tcW w:w="0" w:type="auto"/>
            <w:gridSpan w:val="3"/>
            <w:tcMar>
              <w:top w:w="30" w:type="dxa"/>
              <w:left w:w="20" w:type="dxa"/>
              <w:bottom w:w="30" w:type="dxa"/>
              <w:right w:w="20" w:type="dxa"/>
            </w:tcMar>
            <w:vAlign w:val="center"/>
            <w:hideMark/>
          </w:tcPr>
          <w:p w:rsidR="00000000" w:rsidRDefault="001F1FC8">
            <w:pPr>
              <w:rPr>
                <w:rFonts w:eastAsia="Times New Roman"/>
              </w:rPr>
            </w:pPr>
            <w:r>
              <w:rPr>
                <w:rFonts w:ascii="Arial" w:eastAsia="Times New Roman" w:hAnsi="Arial" w:cs="Arial"/>
                <w:color w:val="000000"/>
                <w:sz w:val="18"/>
                <w:szCs w:val="18"/>
              </w:rPr>
              <w:t>Equity</w:t>
            </w:r>
          </w:p>
        </w:tc>
        <w:tc>
          <w:tcPr>
            <w:tcW w:w="0" w:type="auto"/>
            <w:gridSpan w:val="3"/>
            <w:shd w:val="clear" w:color="auto" w:fill="D8D8D8"/>
            <w:tcMar>
              <w:top w:w="0" w:type="dxa"/>
              <w:left w:w="20" w:type="dxa"/>
              <w:bottom w:w="0" w:type="dxa"/>
              <w:right w:w="20" w:type="dxa"/>
            </w:tcMar>
            <w:vAlign w:val="center"/>
            <w:hideMark/>
          </w:tcPr>
          <w:p w:rsidR="00000000" w:rsidRDefault="001F1FC8">
            <w:pPr>
              <w:rPr>
                <w:rFonts w:eastAsia="Times New Roman"/>
              </w:rPr>
            </w:pPr>
          </w:p>
        </w:tc>
        <w:tc>
          <w:tcPr>
            <w:tcW w:w="0" w:type="auto"/>
            <w:gridSpan w:val="3"/>
            <w:tcMar>
              <w:top w:w="0" w:type="dxa"/>
              <w:left w:w="20" w:type="dxa"/>
              <w:bottom w:w="0" w:type="dxa"/>
              <w:right w:w="20" w:type="dxa"/>
            </w:tcMar>
            <w:vAlign w:val="center"/>
            <w:hideMark/>
          </w:tcPr>
          <w:p w:rsidR="00000000" w:rsidRDefault="001F1FC8">
            <w:pPr>
              <w:rPr>
                <w:rFonts w:eastAsia="Times New Roman"/>
                <w:sz w:val="20"/>
                <w:szCs w:val="20"/>
              </w:rPr>
            </w:pPr>
          </w:p>
        </w:tc>
      </w:tr>
      <w:tr w:rsidR="00000000">
        <w:trPr>
          <w:divId w:val="1897424053"/>
        </w:trPr>
        <w:tc>
          <w:tcPr>
            <w:tcW w:w="0" w:type="auto"/>
            <w:gridSpan w:val="3"/>
            <w:tcMar>
              <w:top w:w="30" w:type="dxa"/>
              <w:left w:w="20" w:type="dxa"/>
              <w:bottom w:w="30" w:type="dxa"/>
              <w:right w:w="20" w:type="dxa"/>
            </w:tcMar>
            <w:vAlign w:val="center"/>
            <w:hideMark/>
          </w:tcPr>
          <w:p w:rsidR="00000000" w:rsidRDefault="001F1FC8">
            <w:pPr>
              <w:divId w:val="1573390939"/>
              <w:rPr>
                <w:rFonts w:eastAsia="Times New Roman"/>
              </w:rPr>
            </w:pPr>
            <w:r>
              <w:rPr>
                <w:rFonts w:ascii="Arial" w:eastAsia="Times New Roman" w:hAnsi="Arial" w:cs="Arial"/>
                <w:color w:val="000000"/>
                <w:sz w:val="18"/>
                <w:szCs w:val="18"/>
              </w:rPr>
              <w:t xml:space="preserve">Share capital </w:t>
            </w:r>
            <w:r>
              <w:rPr>
                <w:rFonts w:ascii="Arial" w:eastAsia="Times New Roman" w:hAnsi="Arial" w:cs="Arial"/>
                <w:i/>
                <w:iCs/>
                <w:color w:val="000000"/>
                <w:sz w:val="16"/>
                <w:szCs w:val="16"/>
              </w:rPr>
              <w:t>(Note 21)</w:t>
            </w:r>
          </w:p>
        </w:tc>
        <w:tc>
          <w:tcPr>
            <w:tcW w:w="0" w:type="auto"/>
            <w:gridSpan w:val="3"/>
            <w:shd w:val="clear" w:color="auto" w:fill="D8D8D8"/>
            <w:tcMar>
              <w:top w:w="0" w:type="dxa"/>
              <w:left w:w="20" w:type="dxa"/>
              <w:bottom w:w="0" w:type="dxa"/>
              <w:right w:w="20" w:type="dxa"/>
            </w:tcMar>
            <w:vAlign w:val="center"/>
            <w:hideMark/>
          </w:tcPr>
          <w:p w:rsidR="00000000" w:rsidRDefault="001F1FC8">
            <w:pPr>
              <w:rPr>
                <w:rFonts w:eastAsia="Times New Roman"/>
              </w:rPr>
            </w:pPr>
          </w:p>
        </w:tc>
        <w:tc>
          <w:tcPr>
            <w:tcW w:w="0" w:type="auto"/>
            <w:gridSpan w:val="3"/>
            <w:tcMar>
              <w:top w:w="0" w:type="dxa"/>
              <w:left w:w="20" w:type="dxa"/>
              <w:bottom w:w="0" w:type="dxa"/>
              <w:right w:w="20" w:type="dxa"/>
            </w:tcMar>
            <w:vAlign w:val="center"/>
            <w:hideMark/>
          </w:tcPr>
          <w:p w:rsidR="00000000" w:rsidRDefault="001F1FC8">
            <w:pPr>
              <w:rPr>
                <w:rFonts w:eastAsia="Times New Roman"/>
                <w:sz w:val="20"/>
                <w:szCs w:val="20"/>
              </w:rPr>
            </w:pPr>
          </w:p>
        </w:tc>
      </w:tr>
      <w:tr w:rsidR="00000000">
        <w:trPr>
          <w:divId w:val="1897424053"/>
        </w:trPr>
        <w:tc>
          <w:tcPr>
            <w:tcW w:w="0" w:type="auto"/>
            <w:gridSpan w:val="3"/>
            <w:tcMar>
              <w:top w:w="30" w:type="dxa"/>
              <w:left w:w="470" w:type="dxa"/>
              <w:bottom w:w="30" w:type="dxa"/>
              <w:right w:w="20" w:type="dxa"/>
            </w:tcMar>
            <w:vAlign w:val="center"/>
            <w:hideMark/>
          </w:tcPr>
          <w:p w:rsidR="00000000" w:rsidRDefault="001F1FC8">
            <w:pPr>
              <w:rPr>
                <w:rFonts w:eastAsia="Times New Roman"/>
              </w:rPr>
            </w:pPr>
            <w:r>
              <w:rPr>
                <w:rFonts w:ascii="Arial" w:eastAsia="Times New Roman" w:hAnsi="Arial" w:cs="Arial"/>
                <w:color w:val="000000"/>
                <w:sz w:val="18"/>
                <w:szCs w:val="18"/>
              </w:rPr>
              <w:t>Preference shares</w:t>
            </w:r>
          </w:p>
        </w:tc>
        <w:tc>
          <w:tcPr>
            <w:tcW w:w="0" w:type="auto"/>
            <w:gridSpan w:val="2"/>
            <w:shd w:val="clear" w:color="auto" w:fill="D8D8D8"/>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b/>
                <w:bCs/>
                <w:color w:val="000000"/>
                <w:sz w:val="18"/>
                <w:szCs w:val="18"/>
              </w:rPr>
              <w:t>7,747</w:t>
            </w:r>
            <w:r>
              <w:rPr>
                <w:rFonts w:ascii="Arial" w:eastAsia="Times New Roman" w:hAnsi="Arial" w:cs="Arial"/>
                <w:color w:val="000000"/>
                <w:sz w:val="18"/>
                <w:szCs w:val="18"/>
              </w:rPr>
              <w:t> </w:t>
            </w:r>
          </w:p>
        </w:tc>
        <w:tc>
          <w:tcPr>
            <w:tcW w:w="0" w:type="auto"/>
            <w:shd w:val="clear" w:color="auto" w:fill="D8D8D8"/>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18"/>
                <w:szCs w:val="18"/>
              </w:rPr>
              <w:t>7,747 </w:t>
            </w:r>
          </w:p>
        </w:tc>
        <w:tc>
          <w:tcPr>
            <w:tcW w:w="0" w:type="auto"/>
            <w:tcMar>
              <w:top w:w="30" w:type="dxa"/>
              <w:left w:w="0" w:type="dxa"/>
              <w:bottom w:w="30" w:type="dxa"/>
              <w:right w:w="20" w:type="dxa"/>
            </w:tcMar>
            <w:vAlign w:val="center"/>
            <w:hideMark/>
          </w:tcPr>
          <w:p w:rsidR="00000000" w:rsidRDefault="001F1FC8">
            <w:pPr>
              <w:jc w:val="right"/>
              <w:rPr>
                <w:rFonts w:eastAsia="Times New Roman"/>
              </w:rPr>
            </w:pPr>
          </w:p>
        </w:tc>
      </w:tr>
      <w:tr w:rsidR="00000000">
        <w:trPr>
          <w:divId w:val="1897424053"/>
        </w:trPr>
        <w:tc>
          <w:tcPr>
            <w:tcW w:w="0" w:type="auto"/>
            <w:gridSpan w:val="3"/>
            <w:tcMar>
              <w:top w:w="30" w:type="dxa"/>
              <w:left w:w="20" w:type="dxa"/>
              <w:bottom w:w="30" w:type="dxa"/>
              <w:right w:w="20" w:type="dxa"/>
            </w:tcMar>
            <w:vAlign w:val="center"/>
            <w:hideMark/>
          </w:tcPr>
          <w:p w:rsidR="00000000" w:rsidRDefault="001F1FC8">
            <w:pPr>
              <w:ind w:hanging="180"/>
              <w:divId w:val="1390300976"/>
              <w:rPr>
                <w:rFonts w:eastAsia="Times New Roman"/>
              </w:rPr>
            </w:pPr>
            <w:r>
              <w:rPr>
                <w:rFonts w:ascii="Arial" w:eastAsia="Times New Roman" w:hAnsi="Arial" w:cs="Arial"/>
                <w:color w:val="000000"/>
                <w:sz w:val="18"/>
                <w:szCs w:val="18"/>
              </w:rPr>
              <w:t>Common shares</w:t>
            </w:r>
            <w:r>
              <w:rPr>
                <w:rFonts w:ascii="Arial" w:eastAsia="Times New Roman" w:hAnsi="Arial" w:cs="Arial"/>
                <w:i/>
                <w:iCs/>
                <w:color w:val="000000"/>
                <w:sz w:val="16"/>
                <w:szCs w:val="16"/>
              </w:rPr>
              <w:t xml:space="preserve"> (2,026 outstanding at December 31, 2021 and 2020)</w:t>
            </w:r>
          </w:p>
        </w:tc>
        <w:tc>
          <w:tcPr>
            <w:tcW w:w="0" w:type="auto"/>
            <w:gridSpan w:val="2"/>
            <w:shd w:val="clear" w:color="auto" w:fill="D8D8D8"/>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8"/>
                <w:szCs w:val="18"/>
              </w:rPr>
              <w:t>64,799</w:t>
            </w:r>
            <w:r>
              <w:rPr>
                <w:rFonts w:ascii="Arial" w:eastAsia="Times New Roman" w:hAnsi="Arial" w:cs="Arial"/>
                <w:color w:val="000000"/>
                <w:sz w:val="18"/>
                <w:szCs w:val="18"/>
              </w:rPr>
              <w:t> </w:t>
            </w:r>
          </w:p>
        </w:tc>
        <w:tc>
          <w:tcPr>
            <w:tcW w:w="0" w:type="auto"/>
            <w:shd w:val="clear" w:color="auto" w:fill="D8D8D8"/>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8"/>
                <w:szCs w:val="18"/>
              </w:rPr>
              <w:t>64,768 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r>
      <w:tr w:rsidR="00000000">
        <w:trPr>
          <w:divId w:val="1897424053"/>
        </w:trPr>
        <w:tc>
          <w:tcPr>
            <w:tcW w:w="0" w:type="auto"/>
            <w:gridSpan w:val="3"/>
            <w:vAlign w:val="center"/>
            <w:hideMark/>
          </w:tcPr>
          <w:p w:rsidR="00000000" w:rsidRDefault="001F1FC8">
            <w:pPr>
              <w:jc w:val="right"/>
              <w:rPr>
                <w:rFonts w:eastAsia="Times New Roman"/>
                <w:sz w:val="20"/>
                <w:szCs w:val="20"/>
              </w:rPr>
            </w:pPr>
          </w:p>
        </w:tc>
        <w:tc>
          <w:tcPr>
            <w:tcW w:w="0" w:type="auto"/>
            <w:gridSpan w:val="3"/>
            <w:vAlign w:val="center"/>
            <w:hideMark/>
          </w:tcPr>
          <w:p w:rsidR="00000000" w:rsidRDefault="001F1FC8">
            <w:pPr>
              <w:rPr>
                <w:rFonts w:eastAsia="Times New Roman"/>
                <w:sz w:val="20"/>
                <w:szCs w:val="20"/>
              </w:rPr>
            </w:pPr>
          </w:p>
        </w:tc>
        <w:tc>
          <w:tcPr>
            <w:tcW w:w="0" w:type="auto"/>
            <w:gridSpan w:val="3"/>
            <w:vAlign w:val="center"/>
            <w:hideMark/>
          </w:tcPr>
          <w:p w:rsidR="00000000" w:rsidRDefault="001F1FC8">
            <w:pPr>
              <w:rPr>
                <w:rFonts w:eastAsia="Times New Roman"/>
                <w:sz w:val="20"/>
                <w:szCs w:val="20"/>
              </w:rPr>
            </w:pPr>
          </w:p>
        </w:tc>
      </w:tr>
      <w:tr w:rsidR="00000000">
        <w:trPr>
          <w:divId w:val="1897424053"/>
        </w:trPr>
        <w:tc>
          <w:tcPr>
            <w:tcW w:w="0" w:type="auto"/>
            <w:gridSpan w:val="3"/>
            <w:tcMar>
              <w:top w:w="30" w:type="dxa"/>
              <w:left w:w="245" w:type="dxa"/>
              <w:bottom w:w="30" w:type="dxa"/>
              <w:right w:w="20" w:type="dxa"/>
            </w:tcMar>
            <w:vAlign w:val="center"/>
            <w:hideMark/>
          </w:tcPr>
          <w:p w:rsidR="00000000" w:rsidRDefault="001F1FC8">
            <w:pPr>
              <w:rPr>
                <w:rFonts w:eastAsia="Times New Roman"/>
              </w:rPr>
            </w:pPr>
            <w:r>
              <w:rPr>
                <w:rFonts w:ascii="Arial" w:eastAsia="Times New Roman" w:hAnsi="Arial" w:cs="Arial"/>
                <w:color w:val="000000"/>
                <w:sz w:val="18"/>
                <w:szCs w:val="18"/>
              </w:rPr>
              <w:t>Additional paid-in capital</w:t>
            </w:r>
          </w:p>
        </w:tc>
        <w:tc>
          <w:tcPr>
            <w:tcW w:w="0" w:type="auto"/>
            <w:gridSpan w:val="2"/>
            <w:shd w:val="clear" w:color="auto" w:fill="D8D8D8"/>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b/>
                <w:bCs/>
                <w:color w:val="000000"/>
                <w:sz w:val="18"/>
                <w:szCs w:val="18"/>
              </w:rPr>
              <w:t>365</w:t>
            </w:r>
            <w:r>
              <w:rPr>
                <w:rFonts w:ascii="Arial" w:eastAsia="Times New Roman" w:hAnsi="Arial" w:cs="Arial"/>
                <w:color w:val="000000"/>
                <w:sz w:val="18"/>
                <w:szCs w:val="18"/>
              </w:rPr>
              <w:t> </w:t>
            </w:r>
          </w:p>
        </w:tc>
        <w:tc>
          <w:tcPr>
            <w:tcW w:w="0" w:type="auto"/>
            <w:shd w:val="clear" w:color="auto" w:fill="D8D8D8"/>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18"/>
                <w:szCs w:val="18"/>
              </w:rPr>
              <w:t>277 </w:t>
            </w:r>
          </w:p>
        </w:tc>
        <w:tc>
          <w:tcPr>
            <w:tcW w:w="0" w:type="auto"/>
            <w:tcMar>
              <w:top w:w="30" w:type="dxa"/>
              <w:left w:w="0" w:type="dxa"/>
              <w:bottom w:w="30" w:type="dxa"/>
              <w:right w:w="20" w:type="dxa"/>
            </w:tcMar>
            <w:vAlign w:val="center"/>
            <w:hideMark/>
          </w:tcPr>
          <w:p w:rsidR="00000000" w:rsidRDefault="001F1FC8">
            <w:pPr>
              <w:jc w:val="right"/>
              <w:rPr>
                <w:rFonts w:eastAsia="Times New Roman"/>
              </w:rPr>
            </w:pPr>
          </w:p>
        </w:tc>
      </w:tr>
      <w:tr w:rsidR="00000000">
        <w:trPr>
          <w:divId w:val="1897424053"/>
        </w:trPr>
        <w:tc>
          <w:tcPr>
            <w:tcW w:w="0" w:type="auto"/>
            <w:gridSpan w:val="3"/>
            <w:tcMar>
              <w:top w:w="30" w:type="dxa"/>
              <w:left w:w="245" w:type="dxa"/>
              <w:bottom w:w="30" w:type="dxa"/>
              <w:right w:w="20" w:type="dxa"/>
            </w:tcMar>
            <w:vAlign w:val="center"/>
            <w:hideMark/>
          </w:tcPr>
          <w:p w:rsidR="00000000" w:rsidRDefault="001F1FC8">
            <w:pPr>
              <w:rPr>
                <w:rFonts w:eastAsia="Times New Roman"/>
              </w:rPr>
            </w:pPr>
            <w:r>
              <w:rPr>
                <w:rFonts w:ascii="Arial" w:eastAsia="Times New Roman" w:hAnsi="Arial" w:cs="Arial"/>
                <w:color w:val="000000"/>
                <w:sz w:val="18"/>
                <w:szCs w:val="18"/>
              </w:rPr>
              <w:t>Deficit</w:t>
            </w:r>
          </w:p>
        </w:tc>
        <w:tc>
          <w:tcPr>
            <w:tcW w:w="0" w:type="auto"/>
            <w:gridSpan w:val="2"/>
            <w:shd w:val="clear" w:color="auto" w:fill="D8D8D8"/>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b/>
                <w:bCs/>
                <w:color w:val="000000"/>
                <w:sz w:val="18"/>
                <w:szCs w:val="18"/>
              </w:rPr>
              <w:t>(10,989)</w:t>
            </w:r>
          </w:p>
        </w:tc>
        <w:tc>
          <w:tcPr>
            <w:tcW w:w="0" w:type="auto"/>
            <w:shd w:val="clear" w:color="auto" w:fill="D8D8D8"/>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18"/>
                <w:szCs w:val="18"/>
              </w:rPr>
              <w:t>(9,995)</w:t>
            </w:r>
          </w:p>
        </w:tc>
        <w:tc>
          <w:tcPr>
            <w:tcW w:w="0" w:type="auto"/>
            <w:tcMar>
              <w:top w:w="30" w:type="dxa"/>
              <w:left w:w="0" w:type="dxa"/>
              <w:bottom w:w="30" w:type="dxa"/>
              <w:right w:w="20" w:type="dxa"/>
            </w:tcMar>
            <w:vAlign w:val="center"/>
            <w:hideMark/>
          </w:tcPr>
          <w:p w:rsidR="00000000" w:rsidRDefault="001F1FC8">
            <w:pPr>
              <w:jc w:val="right"/>
              <w:rPr>
                <w:rFonts w:eastAsia="Times New Roman"/>
              </w:rPr>
            </w:pPr>
          </w:p>
        </w:tc>
      </w:tr>
      <w:tr w:rsidR="00000000">
        <w:trPr>
          <w:divId w:val="1897424053"/>
        </w:trPr>
        <w:tc>
          <w:tcPr>
            <w:tcW w:w="0" w:type="auto"/>
            <w:gridSpan w:val="3"/>
            <w:tcMar>
              <w:top w:w="30" w:type="dxa"/>
              <w:left w:w="20" w:type="dxa"/>
              <w:bottom w:w="30" w:type="dxa"/>
              <w:right w:w="20" w:type="dxa"/>
            </w:tcMar>
            <w:vAlign w:val="center"/>
            <w:hideMark/>
          </w:tcPr>
          <w:p w:rsidR="00000000" w:rsidRDefault="001F1FC8">
            <w:pPr>
              <w:divId w:val="265121012"/>
              <w:rPr>
                <w:rFonts w:eastAsia="Times New Roman"/>
              </w:rPr>
            </w:pPr>
            <w:r>
              <w:rPr>
                <w:rFonts w:ascii="Arial" w:eastAsia="Times New Roman" w:hAnsi="Arial" w:cs="Arial"/>
                <w:color w:val="000000"/>
                <w:sz w:val="18"/>
                <w:szCs w:val="18"/>
              </w:rPr>
              <w:t xml:space="preserve">Accumulated other comprehensive loss </w:t>
            </w:r>
            <w:r>
              <w:rPr>
                <w:rFonts w:ascii="Arial" w:eastAsia="Times New Roman" w:hAnsi="Arial" w:cs="Arial"/>
                <w:i/>
                <w:iCs/>
                <w:color w:val="000000"/>
                <w:sz w:val="16"/>
                <w:szCs w:val="16"/>
              </w:rPr>
              <w:t>(Note 23)</w:t>
            </w:r>
          </w:p>
        </w:tc>
        <w:tc>
          <w:tcPr>
            <w:tcW w:w="0" w:type="auto"/>
            <w:gridSpan w:val="2"/>
            <w:shd w:val="clear" w:color="auto" w:fill="D8D8D8"/>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b/>
                <w:bCs/>
                <w:color w:val="000000"/>
                <w:sz w:val="18"/>
                <w:szCs w:val="18"/>
              </w:rPr>
              <w:t>(1,096)</w:t>
            </w:r>
          </w:p>
        </w:tc>
        <w:tc>
          <w:tcPr>
            <w:tcW w:w="0" w:type="auto"/>
            <w:shd w:val="clear" w:color="auto" w:fill="D8D8D8"/>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18"/>
                <w:szCs w:val="18"/>
              </w:rPr>
              <w:t>(1,401)</w:t>
            </w:r>
          </w:p>
        </w:tc>
        <w:tc>
          <w:tcPr>
            <w:tcW w:w="0" w:type="auto"/>
            <w:tcMar>
              <w:top w:w="30" w:type="dxa"/>
              <w:left w:w="0" w:type="dxa"/>
              <w:bottom w:w="30" w:type="dxa"/>
              <w:right w:w="20" w:type="dxa"/>
            </w:tcMar>
            <w:vAlign w:val="center"/>
            <w:hideMark/>
          </w:tcPr>
          <w:p w:rsidR="00000000" w:rsidRDefault="001F1FC8">
            <w:pPr>
              <w:jc w:val="right"/>
              <w:rPr>
                <w:rFonts w:eastAsia="Times New Roman"/>
              </w:rPr>
            </w:pPr>
          </w:p>
        </w:tc>
      </w:tr>
      <w:tr w:rsidR="00000000">
        <w:trPr>
          <w:divId w:val="1897424053"/>
        </w:trPr>
        <w:tc>
          <w:tcPr>
            <w:tcW w:w="0" w:type="auto"/>
            <w:gridSpan w:val="3"/>
            <w:tcMar>
              <w:top w:w="30" w:type="dxa"/>
              <w:left w:w="245" w:type="dxa"/>
              <w:bottom w:w="30" w:type="dxa"/>
              <w:right w:w="20" w:type="dxa"/>
            </w:tcMar>
            <w:vAlign w:val="center"/>
            <w:hideMark/>
          </w:tcPr>
          <w:p w:rsidR="00000000" w:rsidRDefault="001F1FC8">
            <w:pPr>
              <w:rPr>
                <w:rFonts w:eastAsia="Times New Roman"/>
              </w:rPr>
            </w:pPr>
            <w:r>
              <w:rPr>
                <w:rFonts w:ascii="Arial" w:eastAsia="Times New Roman" w:hAnsi="Arial" w:cs="Arial"/>
                <w:color w:val="000000"/>
                <w:sz w:val="18"/>
                <w:szCs w:val="18"/>
              </w:rPr>
              <w:t>Reciprocal shareholding</w:t>
            </w:r>
          </w:p>
        </w:tc>
        <w:tc>
          <w:tcPr>
            <w:tcW w:w="0" w:type="auto"/>
            <w:gridSpan w:val="2"/>
            <w:shd w:val="clear" w:color="auto" w:fill="D8D8D8"/>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b/>
                <w:bCs/>
                <w:color w:val="000000"/>
                <w:sz w:val="18"/>
                <w:szCs w:val="18"/>
              </w:rPr>
              <w:t>—</w:t>
            </w:r>
            <w:r>
              <w:rPr>
                <w:rFonts w:ascii="Arial" w:eastAsia="Times New Roman" w:hAnsi="Arial" w:cs="Arial"/>
                <w:color w:val="000000"/>
                <w:sz w:val="18"/>
                <w:szCs w:val="18"/>
              </w:rPr>
              <w:t> </w:t>
            </w:r>
          </w:p>
        </w:tc>
        <w:tc>
          <w:tcPr>
            <w:tcW w:w="0" w:type="auto"/>
            <w:shd w:val="clear" w:color="auto" w:fill="D8D8D8"/>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18"/>
                <w:szCs w:val="18"/>
              </w:rPr>
              <w:t>(29)</w:t>
            </w:r>
          </w:p>
        </w:tc>
        <w:tc>
          <w:tcPr>
            <w:tcW w:w="0" w:type="auto"/>
            <w:tcMar>
              <w:top w:w="30" w:type="dxa"/>
              <w:left w:w="0" w:type="dxa"/>
              <w:bottom w:w="30" w:type="dxa"/>
              <w:right w:w="20" w:type="dxa"/>
            </w:tcMar>
            <w:vAlign w:val="center"/>
            <w:hideMark/>
          </w:tcPr>
          <w:p w:rsidR="00000000" w:rsidRDefault="001F1FC8">
            <w:pPr>
              <w:jc w:val="right"/>
              <w:rPr>
                <w:rFonts w:eastAsia="Times New Roman"/>
              </w:rPr>
            </w:pPr>
          </w:p>
        </w:tc>
      </w:tr>
      <w:tr w:rsidR="00000000">
        <w:trPr>
          <w:divId w:val="1897424053"/>
        </w:trPr>
        <w:tc>
          <w:tcPr>
            <w:tcW w:w="0" w:type="auto"/>
            <w:gridSpan w:val="3"/>
            <w:tcBorders>
              <w:top w:val="single" w:sz="4" w:space="0" w:color="000000"/>
            </w:tcBorders>
            <w:tcMar>
              <w:top w:w="30" w:type="dxa"/>
              <w:left w:w="245" w:type="dxa"/>
              <w:bottom w:w="30" w:type="dxa"/>
              <w:right w:w="20" w:type="dxa"/>
            </w:tcMar>
            <w:vAlign w:val="center"/>
            <w:hideMark/>
          </w:tcPr>
          <w:p w:rsidR="00000000" w:rsidRDefault="001F1FC8">
            <w:pPr>
              <w:rPr>
                <w:rFonts w:eastAsia="Times New Roman"/>
              </w:rPr>
            </w:pPr>
            <w:r>
              <w:rPr>
                <w:rFonts w:ascii="Arial" w:eastAsia="Times New Roman" w:hAnsi="Arial" w:cs="Arial"/>
                <w:color w:val="000000"/>
                <w:sz w:val="18"/>
                <w:szCs w:val="18"/>
              </w:rPr>
              <w:t>Total Enbridge Inc. shareholders’ equity</w:t>
            </w:r>
          </w:p>
        </w:tc>
        <w:tc>
          <w:tcPr>
            <w:tcW w:w="0" w:type="auto"/>
            <w:gridSpan w:val="2"/>
            <w:tcBorders>
              <w:top w:val="single" w:sz="4" w:space="0" w:color="000000"/>
            </w:tcBorders>
            <w:shd w:val="clear" w:color="auto" w:fill="D8D8D8"/>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b/>
                <w:bCs/>
                <w:color w:val="000000"/>
                <w:sz w:val="18"/>
                <w:szCs w:val="18"/>
              </w:rPr>
              <w:t>60,826</w:t>
            </w:r>
            <w:r>
              <w:rPr>
                <w:rFonts w:ascii="Arial" w:eastAsia="Times New Roman" w:hAnsi="Arial" w:cs="Arial"/>
                <w:color w:val="000000"/>
                <w:sz w:val="18"/>
                <w:szCs w:val="18"/>
              </w:rPr>
              <w:t> </w:t>
            </w:r>
          </w:p>
        </w:tc>
        <w:tc>
          <w:tcPr>
            <w:tcW w:w="0" w:type="auto"/>
            <w:tcBorders>
              <w:top w:val="single" w:sz="4" w:space="0" w:color="000000"/>
            </w:tcBorders>
            <w:shd w:val="clear" w:color="auto" w:fill="D8D8D8"/>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18"/>
                <w:szCs w:val="18"/>
              </w:rPr>
              <w:t>61,367 </w:t>
            </w:r>
          </w:p>
        </w:tc>
        <w:tc>
          <w:tcPr>
            <w:tcW w:w="0" w:type="auto"/>
            <w:tcBorders>
              <w:top w:val="single" w:sz="4" w:space="0" w:color="000000"/>
            </w:tcBorders>
            <w:tcMar>
              <w:top w:w="30" w:type="dxa"/>
              <w:left w:w="0" w:type="dxa"/>
              <w:bottom w:w="30" w:type="dxa"/>
              <w:right w:w="20" w:type="dxa"/>
            </w:tcMar>
            <w:vAlign w:val="center"/>
            <w:hideMark/>
          </w:tcPr>
          <w:p w:rsidR="00000000" w:rsidRDefault="001F1FC8">
            <w:pPr>
              <w:jc w:val="right"/>
              <w:rPr>
                <w:rFonts w:eastAsia="Times New Roman"/>
              </w:rPr>
            </w:pPr>
          </w:p>
        </w:tc>
      </w:tr>
      <w:tr w:rsidR="00000000">
        <w:trPr>
          <w:divId w:val="1897424053"/>
        </w:trPr>
        <w:tc>
          <w:tcPr>
            <w:tcW w:w="0" w:type="auto"/>
            <w:gridSpan w:val="3"/>
            <w:tcMar>
              <w:top w:w="30" w:type="dxa"/>
              <w:left w:w="20" w:type="dxa"/>
              <w:bottom w:w="30" w:type="dxa"/>
              <w:right w:w="20" w:type="dxa"/>
            </w:tcMar>
            <w:vAlign w:val="center"/>
            <w:hideMark/>
          </w:tcPr>
          <w:p w:rsidR="00000000" w:rsidRDefault="001F1FC8">
            <w:pPr>
              <w:divId w:val="1902054963"/>
              <w:rPr>
                <w:rFonts w:eastAsia="Times New Roman"/>
              </w:rPr>
            </w:pPr>
            <w:r>
              <w:rPr>
                <w:rFonts w:ascii="Arial" w:eastAsia="Times New Roman" w:hAnsi="Arial" w:cs="Arial"/>
                <w:color w:val="000000"/>
                <w:sz w:val="18"/>
                <w:szCs w:val="18"/>
              </w:rPr>
              <w:t xml:space="preserve">Noncontrolling interests </w:t>
            </w:r>
            <w:r>
              <w:rPr>
                <w:rFonts w:ascii="Arial" w:eastAsia="Times New Roman" w:hAnsi="Arial" w:cs="Arial"/>
                <w:i/>
                <w:iCs/>
                <w:color w:val="000000"/>
                <w:sz w:val="16"/>
                <w:szCs w:val="16"/>
              </w:rPr>
              <w:t>(Note 20)</w:t>
            </w:r>
          </w:p>
        </w:tc>
        <w:tc>
          <w:tcPr>
            <w:tcW w:w="0" w:type="auto"/>
            <w:gridSpan w:val="2"/>
            <w:shd w:val="clear" w:color="auto" w:fill="D8D8D8"/>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b/>
                <w:bCs/>
                <w:color w:val="000000"/>
                <w:sz w:val="18"/>
                <w:szCs w:val="18"/>
              </w:rPr>
              <w:t>2,542</w:t>
            </w:r>
            <w:r>
              <w:rPr>
                <w:rFonts w:ascii="Arial" w:eastAsia="Times New Roman" w:hAnsi="Arial" w:cs="Arial"/>
                <w:color w:val="000000"/>
                <w:sz w:val="18"/>
                <w:szCs w:val="18"/>
              </w:rPr>
              <w:t> </w:t>
            </w:r>
          </w:p>
        </w:tc>
        <w:tc>
          <w:tcPr>
            <w:tcW w:w="0" w:type="auto"/>
            <w:shd w:val="clear" w:color="auto" w:fill="D8D8D8"/>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18"/>
                <w:szCs w:val="18"/>
              </w:rPr>
              <w:t>2,996 </w:t>
            </w:r>
          </w:p>
        </w:tc>
        <w:tc>
          <w:tcPr>
            <w:tcW w:w="0" w:type="auto"/>
            <w:tcMar>
              <w:top w:w="30" w:type="dxa"/>
              <w:left w:w="0" w:type="dxa"/>
              <w:bottom w:w="30" w:type="dxa"/>
              <w:right w:w="20" w:type="dxa"/>
            </w:tcMar>
            <w:vAlign w:val="center"/>
            <w:hideMark/>
          </w:tcPr>
          <w:p w:rsidR="00000000" w:rsidRDefault="001F1FC8">
            <w:pPr>
              <w:jc w:val="right"/>
              <w:rPr>
                <w:rFonts w:eastAsia="Times New Roman"/>
              </w:rPr>
            </w:pPr>
          </w:p>
        </w:tc>
      </w:tr>
      <w:tr w:rsidR="00000000">
        <w:trPr>
          <w:divId w:val="1897424053"/>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1F1FC8">
            <w:pPr>
              <w:rPr>
                <w:rFonts w:eastAsia="Times New Roman"/>
              </w:rPr>
            </w:pPr>
            <w:r>
              <w:rPr>
                <w:rFonts w:ascii="Arial" w:eastAsia="Times New Roman" w:hAnsi="Arial" w:cs="Arial"/>
                <w:color w:val="000000"/>
                <w:sz w:val="2"/>
                <w:szCs w:val="2"/>
              </w:rPr>
              <w:t> </w:t>
            </w:r>
          </w:p>
        </w:tc>
        <w:tc>
          <w:tcPr>
            <w:tcW w:w="0" w:type="auto"/>
            <w:gridSpan w:val="2"/>
            <w:tcBorders>
              <w:top w:val="single" w:sz="4" w:space="0" w:color="000000"/>
            </w:tcBorders>
            <w:shd w:val="clear" w:color="auto" w:fill="D8D8D8"/>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b/>
                <w:bCs/>
                <w:color w:val="000000"/>
                <w:sz w:val="18"/>
                <w:szCs w:val="18"/>
              </w:rPr>
              <w:t>63,368</w:t>
            </w:r>
            <w:r>
              <w:rPr>
                <w:rFonts w:ascii="Arial" w:eastAsia="Times New Roman" w:hAnsi="Arial" w:cs="Arial"/>
                <w:color w:val="000000"/>
                <w:sz w:val="18"/>
                <w:szCs w:val="18"/>
              </w:rPr>
              <w:t> </w:t>
            </w:r>
          </w:p>
        </w:tc>
        <w:tc>
          <w:tcPr>
            <w:tcW w:w="0" w:type="auto"/>
            <w:tcBorders>
              <w:top w:val="single" w:sz="4" w:space="0" w:color="000000"/>
            </w:tcBorders>
            <w:shd w:val="clear" w:color="auto" w:fill="D8D8D8"/>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18"/>
                <w:szCs w:val="18"/>
              </w:rPr>
              <w:t>64,363 </w:t>
            </w:r>
          </w:p>
        </w:tc>
        <w:tc>
          <w:tcPr>
            <w:tcW w:w="0" w:type="auto"/>
            <w:tcBorders>
              <w:top w:val="single" w:sz="4" w:space="0" w:color="000000"/>
            </w:tcBorders>
            <w:tcMar>
              <w:top w:w="30" w:type="dxa"/>
              <w:left w:w="0" w:type="dxa"/>
              <w:bottom w:w="30" w:type="dxa"/>
              <w:right w:w="20" w:type="dxa"/>
            </w:tcMar>
            <w:vAlign w:val="center"/>
            <w:hideMark/>
          </w:tcPr>
          <w:p w:rsidR="00000000" w:rsidRDefault="001F1FC8">
            <w:pPr>
              <w:jc w:val="right"/>
              <w:rPr>
                <w:rFonts w:eastAsia="Times New Roman"/>
              </w:rPr>
            </w:pPr>
          </w:p>
        </w:tc>
      </w:tr>
      <w:tr w:rsidR="00000000">
        <w:trPr>
          <w:divId w:val="1897424053"/>
        </w:trPr>
        <w:tc>
          <w:tcPr>
            <w:tcW w:w="0" w:type="auto"/>
            <w:gridSpan w:val="3"/>
            <w:tcBorders>
              <w:top w:val="single" w:sz="4" w:space="0" w:color="000000"/>
              <w:bottom w:val="single" w:sz="8" w:space="0" w:color="000000"/>
            </w:tcBorders>
            <w:tcMar>
              <w:top w:w="30" w:type="dxa"/>
              <w:left w:w="20" w:type="dxa"/>
              <w:bottom w:w="30" w:type="dxa"/>
              <w:right w:w="20" w:type="dxa"/>
            </w:tcMar>
            <w:vAlign w:val="center"/>
            <w:hideMark/>
          </w:tcPr>
          <w:p w:rsidR="00000000" w:rsidRDefault="001F1FC8">
            <w:pPr>
              <w:rPr>
                <w:rFonts w:eastAsia="Times New Roman"/>
              </w:rPr>
            </w:pPr>
            <w:r>
              <w:rPr>
                <w:rFonts w:ascii="Arial" w:eastAsia="Times New Roman" w:hAnsi="Arial" w:cs="Arial"/>
                <w:color w:val="000000"/>
                <w:sz w:val="18"/>
                <w:szCs w:val="18"/>
              </w:rPr>
              <w:t>Total liabilities and equity</w:t>
            </w:r>
          </w:p>
        </w:tc>
        <w:tc>
          <w:tcPr>
            <w:tcW w:w="0" w:type="auto"/>
            <w:gridSpan w:val="2"/>
            <w:tcBorders>
              <w:top w:val="single" w:sz="4" w:space="0" w:color="000000"/>
              <w:bottom w:val="single" w:sz="8" w:space="0" w:color="000000"/>
            </w:tcBorders>
            <w:shd w:val="clear" w:color="auto" w:fill="D8D8D8"/>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b/>
                <w:bCs/>
                <w:color w:val="000000"/>
                <w:sz w:val="18"/>
                <w:szCs w:val="18"/>
              </w:rPr>
              <w:t>168,864</w:t>
            </w:r>
            <w:r>
              <w:rPr>
                <w:rFonts w:ascii="Arial" w:eastAsia="Times New Roman" w:hAnsi="Arial" w:cs="Arial"/>
                <w:color w:val="000000"/>
                <w:sz w:val="18"/>
                <w:szCs w:val="18"/>
              </w:rPr>
              <w:t> </w:t>
            </w:r>
          </w:p>
        </w:tc>
        <w:tc>
          <w:tcPr>
            <w:tcW w:w="0" w:type="auto"/>
            <w:tcBorders>
              <w:top w:val="single" w:sz="4" w:space="0" w:color="000000"/>
              <w:bottom w:val="single" w:sz="8" w:space="0" w:color="000000"/>
            </w:tcBorders>
            <w:shd w:val="clear" w:color="auto" w:fill="D8D8D8"/>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Borders>
              <w:top w:val="single" w:sz="4" w:space="0" w:color="000000"/>
              <w:bottom w:val="single" w:sz="8" w:space="0" w:color="000000"/>
            </w:tcBorders>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18"/>
                <w:szCs w:val="18"/>
              </w:rPr>
              <w:t>160,276 </w:t>
            </w:r>
          </w:p>
        </w:tc>
        <w:tc>
          <w:tcPr>
            <w:tcW w:w="0" w:type="auto"/>
            <w:tcBorders>
              <w:top w:val="single" w:sz="4" w:space="0" w:color="000000"/>
              <w:bottom w:val="single" w:sz="8" w:space="0" w:color="000000"/>
            </w:tcBorders>
            <w:tcMar>
              <w:top w:w="30" w:type="dxa"/>
              <w:left w:w="0" w:type="dxa"/>
              <w:bottom w:w="30" w:type="dxa"/>
              <w:right w:w="20" w:type="dxa"/>
            </w:tcMar>
            <w:vAlign w:val="center"/>
            <w:hideMark/>
          </w:tcPr>
          <w:p w:rsidR="00000000" w:rsidRDefault="001F1FC8">
            <w:pPr>
              <w:jc w:val="right"/>
              <w:rPr>
                <w:rFonts w:eastAsia="Times New Roman"/>
              </w:rPr>
            </w:pPr>
          </w:p>
        </w:tc>
      </w:tr>
    </w:tbl>
    <w:p w:rsidR="00000000" w:rsidRDefault="001F1FC8">
      <w:pPr>
        <w:divId w:val="684554674"/>
        <w:rPr>
          <w:rFonts w:eastAsia="Times New Roman"/>
        </w:rPr>
      </w:pPr>
      <w:r>
        <w:rPr>
          <w:rFonts w:ascii="Arial" w:eastAsia="Times New Roman" w:hAnsi="Arial" w:cs="Arial"/>
          <w:color w:val="000000"/>
          <w:sz w:val="2"/>
          <w:szCs w:val="2"/>
        </w:rPr>
        <w:t> </w:t>
      </w:r>
    </w:p>
    <w:p w:rsidR="00000000" w:rsidRDefault="001F1FC8">
      <w:pPr>
        <w:divId w:val="1505438096"/>
        <w:rPr>
          <w:rFonts w:eastAsia="Times New Roman"/>
        </w:rPr>
      </w:pPr>
      <w:r>
        <w:rPr>
          <w:rFonts w:ascii="Arial" w:eastAsia="Times New Roman" w:hAnsi="Arial" w:cs="Arial"/>
          <w:color w:val="000000"/>
          <w:sz w:val="16"/>
          <w:szCs w:val="16"/>
        </w:rPr>
        <w:t xml:space="preserve">Variable Interest Entities (VIE) </w:t>
      </w:r>
      <w:r>
        <w:rPr>
          <w:rFonts w:ascii="Arial" w:eastAsia="Times New Roman" w:hAnsi="Arial" w:cs="Arial"/>
          <w:i/>
          <w:iCs/>
          <w:color w:val="000000"/>
          <w:sz w:val="16"/>
          <w:szCs w:val="16"/>
        </w:rPr>
        <w:t>(Note 12)</w:t>
      </w:r>
    </w:p>
    <w:p w:rsidR="00000000" w:rsidRDefault="001F1FC8">
      <w:pPr>
        <w:divId w:val="2070348807"/>
        <w:rPr>
          <w:rFonts w:eastAsia="Times New Roman"/>
        </w:rPr>
      </w:pPr>
      <w:r>
        <w:rPr>
          <w:rFonts w:ascii="Arial" w:eastAsia="Times New Roman" w:hAnsi="Arial" w:cs="Arial"/>
          <w:color w:val="000000"/>
          <w:sz w:val="16"/>
          <w:szCs w:val="16"/>
        </w:rPr>
        <w:t>The accompanying notes are an integral part of these consolidated financial statements.</w:t>
      </w:r>
    </w:p>
    <w:p w:rsidR="00000000" w:rsidRDefault="001F1FC8">
      <w:pPr>
        <w:divId w:val="2123499754"/>
        <w:rPr>
          <w:rFonts w:eastAsia="Times New Roman"/>
        </w:rPr>
      </w:pPr>
    </w:p>
    <w:p w:rsidR="00000000" w:rsidRDefault="001F1FC8">
      <w:pPr>
        <w:jc w:val="center"/>
        <w:divId w:val="1886524182"/>
        <w:rPr>
          <w:rFonts w:eastAsia="Times New Roman"/>
        </w:rPr>
      </w:pPr>
      <w:r>
        <w:rPr>
          <w:rFonts w:ascii="Arial" w:eastAsia="Times New Roman" w:hAnsi="Arial" w:cs="Arial"/>
          <w:color w:val="000000"/>
          <w:sz w:val="20"/>
          <w:szCs w:val="20"/>
        </w:rPr>
        <w:t>101</w:t>
      </w:r>
    </w:p>
    <w:p w:rsidR="00000000" w:rsidRDefault="001F1FC8">
      <w:pPr>
        <w:rPr>
          <w:rFonts w:eastAsia="Times New Roman"/>
        </w:rPr>
      </w:pPr>
      <w:r>
        <w:rPr>
          <w:rFonts w:eastAsia="Times New Roman"/>
        </w:rPr>
        <w:pict>
          <v:rect id="_x0000_i1131" style="width:0;height:1.5pt" o:hralign="center" o:hrstd="t" o:hr="t" fillcolor="#a0a0a0" stroked="f"/>
        </w:pict>
      </w:r>
    </w:p>
    <w:p w:rsidR="00000000" w:rsidRDefault="001F1FC8">
      <w:pPr>
        <w:jc w:val="center"/>
        <w:divId w:val="1627469036"/>
        <w:rPr>
          <w:rFonts w:eastAsia="Times New Roman"/>
        </w:rPr>
      </w:pPr>
    </w:p>
    <w:p w:rsidR="00000000" w:rsidRDefault="001F1FC8">
      <w:pPr>
        <w:jc w:val="center"/>
        <w:rPr>
          <w:rFonts w:eastAsia="Times New Roman"/>
        </w:rPr>
      </w:pPr>
      <w:r>
        <w:rPr>
          <w:rFonts w:ascii="Arial" w:eastAsia="Times New Roman" w:hAnsi="Arial" w:cs="Arial"/>
          <w:b/>
          <w:bCs/>
          <w:color w:val="000000"/>
          <w:sz w:val="30"/>
          <w:szCs w:val="30"/>
        </w:rPr>
        <w:t>NOTES TO THE CONSOLIDATED FINANCIAL STATEMENTS</w:t>
      </w:r>
    </w:p>
    <w:p w:rsidR="00000000" w:rsidRDefault="001F1FC8">
      <w:pPr>
        <w:jc w:val="center"/>
        <w:rPr>
          <w:rFonts w:eastAsia="Times New Roman"/>
        </w:rPr>
      </w:pPr>
      <w:r>
        <w:rPr>
          <w:rFonts w:ascii="Arial" w:eastAsia="Times New Roman" w:hAnsi="Arial" w:cs="Arial"/>
          <w:b/>
          <w:bCs/>
          <w:color w:val="000000"/>
        </w:rPr>
        <w:t>INDEX</w:t>
      </w:r>
    </w:p>
    <w:tbl>
      <w:tblPr>
        <w:tblW w:w="5000" w:type="pct"/>
        <w:jc w:val="center"/>
        <w:tblCellMar>
          <w:top w:w="15" w:type="dxa"/>
          <w:left w:w="15" w:type="dxa"/>
          <w:bottom w:w="15" w:type="dxa"/>
          <w:right w:w="15" w:type="dxa"/>
        </w:tblCellMar>
        <w:tblLook w:val="04A0" w:firstRow="1" w:lastRow="0" w:firstColumn="1" w:lastColumn="0" w:noHBand="0" w:noVBand="1"/>
      </w:tblPr>
      <w:tblGrid>
        <w:gridCol w:w="68"/>
        <w:gridCol w:w="319"/>
        <w:gridCol w:w="36"/>
        <w:gridCol w:w="68"/>
        <w:gridCol w:w="7257"/>
        <w:gridCol w:w="40"/>
        <w:gridCol w:w="69"/>
        <w:gridCol w:w="413"/>
        <w:gridCol w:w="36"/>
      </w:tblGrid>
      <w:tr w:rsidR="00000000">
        <w:trPr>
          <w:divId w:val="1671525178"/>
          <w:jc w:val="center"/>
        </w:trPr>
        <w:tc>
          <w:tcPr>
            <w:tcW w:w="50" w:type="pct"/>
            <w:vAlign w:val="center"/>
            <w:hideMark/>
          </w:tcPr>
          <w:p w:rsidR="00000000" w:rsidRDefault="001F1FC8">
            <w:pPr>
              <w:jc w:val="center"/>
              <w:rPr>
                <w:rFonts w:eastAsia="Times New Roman"/>
              </w:rPr>
            </w:pPr>
          </w:p>
        </w:tc>
        <w:tc>
          <w:tcPr>
            <w:tcW w:w="201"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c>
          <w:tcPr>
            <w:tcW w:w="50" w:type="pct"/>
            <w:vAlign w:val="center"/>
            <w:hideMark/>
          </w:tcPr>
          <w:p w:rsidR="00000000" w:rsidRDefault="001F1FC8">
            <w:pPr>
              <w:rPr>
                <w:rFonts w:eastAsia="Times New Roman"/>
                <w:sz w:val="20"/>
                <w:szCs w:val="20"/>
              </w:rPr>
            </w:pPr>
          </w:p>
        </w:tc>
        <w:tc>
          <w:tcPr>
            <w:tcW w:w="4376"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c>
          <w:tcPr>
            <w:tcW w:w="50" w:type="pct"/>
            <w:vAlign w:val="center"/>
            <w:hideMark/>
          </w:tcPr>
          <w:p w:rsidR="00000000" w:rsidRDefault="001F1FC8">
            <w:pPr>
              <w:rPr>
                <w:rFonts w:eastAsia="Times New Roman"/>
                <w:sz w:val="20"/>
                <w:szCs w:val="20"/>
              </w:rPr>
            </w:pPr>
          </w:p>
        </w:tc>
        <w:tc>
          <w:tcPr>
            <w:tcW w:w="257"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r>
      <w:tr w:rsidR="00000000">
        <w:trPr>
          <w:divId w:val="1671525178"/>
          <w:jc w:val="center"/>
        </w:trPr>
        <w:tc>
          <w:tcPr>
            <w:tcW w:w="0" w:type="auto"/>
            <w:gridSpan w:val="3"/>
            <w:tcMar>
              <w:top w:w="30" w:type="dxa"/>
              <w:left w:w="140" w:type="dxa"/>
              <w:bottom w:w="30" w:type="dxa"/>
              <w:right w:w="20" w:type="dxa"/>
            </w:tcMar>
            <w:vAlign w:val="bottom"/>
            <w:hideMark/>
          </w:tcPr>
          <w:p w:rsidR="00000000" w:rsidRDefault="001F1FC8">
            <w:pPr>
              <w:rPr>
                <w:rFonts w:eastAsia="Times New Roman"/>
              </w:rPr>
            </w:pPr>
            <w:r>
              <w:rPr>
                <w:rFonts w:ascii="Arial" w:eastAsia="Times New Roman" w:hAnsi="Arial" w:cs="Arial"/>
                <w:color w:val="000000"/>
                <w:sz w:val="16"/>
                <w:szCs w:val="16"/>
              </w:rPr>
              <w:t> </w:t>
            </w:r>
          </w:p>
        </w:tc>
        <w:tc>
          <w:tcPr>
            <w:tcW w:w="0" w:type="auto"/>
            <w:gridSpan w:val="3"/>
            <w:tcMar>
              <w:top w:w="30" w:type="dxa"/>
              <w:left w:w="20" w:type="dxa"/>
              <w:bottom w:w="30" w:type="dxa"/>
              <w:right w:w="20" w:type="dxa"/>
            </w:tcMar>
            <w:vAlign w:val="bottom"/>
            <w:hideMark/>
          </w:tcPr>
          <w:p w:rsidR="00000000" w:rsidRDefault="001F1FC8">
            <w:pPr>
              <w:rPr>
                <w:rFonts w:eastAsia="Times New Roman"/>
              </w:rPr>
            </w:pPr>
            <w:r>
              <w:rPr>
                <w:rFonts w:ascii="Arial" w:eastAsia="Times New Roman" w:hAnsi="Arial" w:cs="Arial"/>
                <w:color w:val="000000"/>
                <w:sz w:val="16"/>
                <w:szCs w:val="16"/>
              </w:rPr>
              <w:t> </w:t>
            </w:r>
          </w:p>
        </w:tc>
        <w:tc>
          <w:tcPr>
            <w:tcW w:w="0" w:type="auto"/>
            <w:gridSpan w:val="3"/>
            <w:tcMar>
              <w:top w:w="30" w:type="dxa"/>
              <w:left w:w="20" w:type="dxa"/>
              <w:bottom w:w="30" w:type="dxa"/>
              <w:right w:w="20" w:type="dxa"/>
            </w:tcMar>
            <w:vAlign w:val="bottom"/>
            <w:hideMark/>
          </w:tcPr>
          <w:p w:rsidR="00000000" w:rsidRDefault="001F1FC8">
            <w:pPr>
              <w:jc w:val="center"/>
              <w:rPr>
                <w:rFonts w:eastAsia="Times New Roman"/>
              </w:rPr>
            </w:pPr>
            <w:r>
              <w:rPr>
                <w:rFonts w:ascii="Arial" w:eastAsia="Times New Roman" w:hAnsi="Arial" w:cs="Arial"/>
                <w:b/>
                <w:bCs/>
                <w:color w:val="000000"/>
                <w:sz w:val="16"/>
                <w:szCs w:val="16"/>
              </w:rPr>
              <w:t>Page</w:t>
            </w:r>
          </w:p>
        </w:tc>
      </w:tr>
      <w:tr w:rsidR="00000000">
        <w:trPr>
          <w:divId w:val="1671525178"/>
          <w:jc w:val="center"/>
        </w:trPr>
        <w:tc>
          <w:tcPr>
            <w:tcW w:w="0" w:type="auto"/>
            <w:gridSpan w:val="3"/>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 xml:space="preserve">1. </w:t>
            </w:r>
          </w:p>
        </w:tc>
        <w:tc>
          <w:tcPr>
            <w:tcW w:w="0" w:type="auto"/>
            <w:gridSpan w:val="3"/>
            <w:tcMar>
              <w:top w:w="30" w:type="dxa"/>
              <w:left w:w="20" w:type="dxa"/>
              <w:bottom w:w="30" w:type="dxa"/>
              <w:right w:w="20" w:type="dxa"/>
            </w:tcMar>
            <w:vAlign w:val="bottom"/>
            <w:hideMark/>
          </w:tcPr>
          <w:p w:rsidR="00000000" w:rsidRDefault="001F1FC8">
            <w:pPr>
              <w:rPr>
                <w:rFonts w:eastAsia="Times New Roman"/>
              </w:rPr>
            </w:pPr>
            <w:r>
              <w:rPr>
                <w:rFonts w:ascii="Arial" w:eastAsia="Times New Roman" w:hAnsi="Arial" w:cs="Arial"/>
                <w:color w:val="000000"/>
                <w:sz w:val="20"/>
                <w:szCs w:val="20"/>
              </w:rPr>
              <w:t>Business Overview</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1F1FC8">
            <w:pPr>
              <w:jc w:val="center"/>
              <w:rPr>
                <w:rFonts w:eastAsia="Times New Roman"/>
              </w:rPr>
            </w:pPr>
            <w:hyperlink w:anchor="iec242c2d4e1d466fad82d89d469f78fa_241" w:history="1">
              <w:r>
                <w:rPr>
                  <w:rStyle w:val="a3"/>
                  <w:rFonts w:ascii="Arial" w:eastAsia="Times New Roman" w:hAnsi="Arial" w:cs="Arial"/>
                  <w:sz w:val="20"/>
                  <w:szCs w:val="20"/>
                </w:rPr>
                <w:t>103</w:t>
              </w:r>
            </w:hyperlink>
          </w:p>
        </w:tc>
      </w:tr>
      <w:tr w:rsidR="00000000">
        <w:trPr>
          <w:divId w:val="1671525178"/>
          <w:jc w:val="center"/>
        </w:trPr>
        <w:tc>
          <w:tcPr>
            <w:tcW w:w="0" w:type="auto"/>
            <w:gridSpan w:val="3"/>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 xml:space="preserve">2. </w:t>
            </w:r>
          </w:p>
        </w:tc>
        <w:tc>
          <w:tcPr>
            <w:tcW w:w="0" w:type="auto"/>
            <w:gridSpan w:val="3"/>
            <w:tcMar>
              <w:top w:w="30" w:type="dxa"/>
              <w:left w:w="20" w:type="dxa"/>
              <w:bottom w:w="30" w:type="dxa"/>
              <w:right w:w="20" w:type="dxa"/>
            </w:tcMar>
            <w:vAlign w:val="bottom"/>
            <w:hideMark/>
          </w:tcPr>
          <w:p w:rsidR="00000000" w:rsidRDefault="001F1FC8">
            <w:pPr>
              <w:rPr>
                <w:rFonts w:eastAsia="Times New Roman"/>
              </w:rPr>
            </w:pPr>
            <w:r>
              <w:rPr>
                <w:rFonts w:ascii="Arial" w:eastAsia="Times New Roman" w:hAnsi="Arial" w:cs="Arial"/>
                <w:color w:val="000000"/>
                <w:sz w:val="20"/>
                <w:szCs w:val="20"/>
              </w:rPr>
              <w:t>Significant Accounting Policies</w:t>
            </w:r>
          </w:p>
        </w:tc>
        <w:tc>
          <w:tcPr>
            <w:tcW w:w="0" w:type="auto"/>
            <w:gridSpan w:val="3"/>
            <w:tcMar>
              <w:top w:w="30" w:type="dxa"/>
              <w:left w:w="20" w:type="dxa"/>
              <w:bottom w:w="30" w:type="dxa"/>
              <w:right w:w="20" w:type="dxa"/>
            </w:tcMar>
            <w:vAlign w:val="bottom"/>
            <w:hideMark/>
          </w:tcPr>
          <w:p w:rsidR="00000000" w:rsidRDefault="001F1FC8">
            <w:pPr>
              <w:jc w:val="center"/>
              <w:rPr>
                <w:rFonts w:eastAsia="Times New Roman"/>
              </w:rPr>
            </w:pPr>
            <w:hyperlink w:anchor="iec242c2d4e1d466fad82d89d469f78fa_244" w:history="1">
              <w:r>
                <w:rPr>
                  <w:rStyle w:val="a3"/>
                  <w:rFonts w:ascii="Arial" w:eastAsia="Times New Roman" w:hAnsi="Arial" w:cs="Arial"/>
                  <w:sz w:val="20"/>
                  <w:szCs w:val="20"/>
                </w:rPr>
                <w:t>104</w:t>
              </w:r>
            </w:hyperlink>
          </w:p>
        </w:tc>
      </w:tr>
      <w:tr w:rsidR="00000000">
        <w:trPr>
          <w:divId w:val="1671525178"/>
          <w:jc w:val="center"/>
        </w:trPr>
        <w:tc>
          <w:tcPr>
            <w:tcW w:w="0" w:type="auto"/>
            <w:gridSpan w:val="3"/>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 xml:space="preserve">3. </w:t>
            </w:r>
          </w:p>
        </w:tc>
        <w:tc>
          <w:tcPr>
            <w:tcW w:w="0" w:type="auto"/>
            <w:gridSpan w:val="3"/>
            <w:tcMar>
              <w:top w:w="30" w:type="dxa"/>
              <w:left w:w="20" w:type="dxa"/>
              <w:bottom w:w="30" w:type="dxa"/>
              <w:right w:w="20" w:type="dxa"/>
            </w:tcMar>
            <w:vAlign w:val="bottom"/>
            <w:hideMark/>
          </w:tcPr>
          <w:p w:rsidR="00000000" w:rsidRDefault="001F1FC8">
            <w:pPr>
              <w:rPr>
                <w:rFonts w:eastAsia="Times New Roman"/>
              </w:rPr>
            </w:pPr>
            <w:r>
              <w:rPr>
                <w:rFonts w:ascii="Arial" w:eastAsia="Times New Roman" w:hAnsi="Arial" w:cs="Arial"/>
                <w:color w:val="000000"/>
                <w:sz w:val="20"/>
                <w:szCs w:val="20"/>
              </w:rPr>
              <w:t>Changes in Accounting Policies</w:t>
            </w:r>
          </w:p>
        </w:tc>
        <w:tc>
          <w:tcPr>
            <w:tcW w:w="0" w:type="auto"/>
            <w:gridSpan w:val="3"/>
            <w:tcMar>
              <w:top w:w="30" w:type="dxa"/>
              <w:left w:w="20" w:type="dxa"/>
              <w:bottom w:w="30" w:type="dxa"/>
              <w:right w:w="20" w:type="dxa"/>
            </w:tcMar>
            <w:vAlign w:val="bottom"/>
            <w:hideMark/>
          </w:tcPr>
          <w:p w:rsidR="00000000" w:rsidRDefault="001F1FC8">
            <w:pPr>
              <w:jc w:val="center"/>
              <w:rPr>
                <w:rFonts w:eastAsia="Times New Roman"/>
              </w:rPr>
            </w:pPr>
            <w:hyperlink w:anchor="iec242c2d4e1d466fad82d89d469f78fa_247" w:history="1">
              <w:r>
                <w:rPr>
                  <w:rStyle w:val="a3"/>
                  <w:rFonts w:ascii="Arial" w:eastAsia="Times New Roman" w:hAnsi="Arial" w:cs="Arial"/>
                  <w:sz w:val="20"/>
                  <w:szCs w:val="20"/>
                </w:rPr>
                <w:t>115</w:t>
              </w:r>
            </w:hyperlink>
          </w:p>
        </w:tc>
      </w:tr>
      <w:tr w:rsidR="00000000">
        <w:trPr>
          <w:divId w:val="1671525178"/>
          <w:jc w:val="center"/>
        </w:trPr>
        <w:tc>
          <w:tcPr>
            <w:tcW w:w="0" w:type="auto"/>
            <w:gridSpan w:val="3"/>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 xml:space="preserve">4. </w:t>
            </w:r>
          </w:p>
        </w:tc>
        <w:tc>
          <w:tcPr>
            <w:tcW w:w="0" w:type="auto"/>
            <w:gridSpan w:val="3"/>
            <w:tcMar>
              <w:top w:w="30" w:type="dxa"/>
              <w:left w:w="20" w:type="dxa"/>
              <w:bottom w:w="30" w:type="dxa"/>
              <w:right w:w="20" w:type="dxa"/>
            </w:tcMar>
            <w:vAlign w:val="bottom"/>
            <w:hideMark/>
          </w:tcPr>
          <w:p w:rsidR="00000000" w:rsidRDefault="001F1FC8">
            <w:pPr>
              <w:rPr>
                <w:rFonts w:eastAsia="Times New Roman"/>
              </w:rPr>
            </w:pPr>
            <w:r>
              <w:rPr>
                <w:rFonts w:ascii="Arial" w:eastAsia="Times New Roman" w:hAnsi="Arial" w:cs="Arial"/>
                <w:color w:val="000000"/>
                <w:sz w:val="20"/>
                <w:szCs w:val="20"/>
              </w:rPr>
              <w:t>Revenue</w:t>
            </w:r>
          </w:p>
        </w:tc>
        <w:tc>
          <w:tcPr>
            <w:tcW w:w="0" w:type="auto"/>
            <w:gridSpan w:val="3"/>
            <w:tcMar>
              <w:top w:w="30" w:type="dxa"/>
              <w:left w:w="20" w:type="dxa"/>
              <w:bottom w:w="30" w:type="dxa"/>
              <w:right w:w="20" w:type="dxa"/>
            </w:tcMar>
            <w:vAlign w:val="bottom"/>
            <w:hideMark/>
          </w:tcPr>
          <w:p w:rsidR="00000000" w:rsidRDefault="001F1FC8">
            <w:pPr>
              <w:jc w:val="center"/>
              <w:rPr>
                <w:rFonts w:eastAsia="Times New Roman"/>
              </w:rPr>
            </w:pPr>
            <w:hyperlink w:anchor="iec242c2d4e1d466fad82d89d469f78fa_250" w:history="1">
              <w:r>
                <w:rPr>
                  <w:rStyle w:val="a3"/>
                  <w:rFonts w:ascii="Arial" w:eastAsia="Times New Roman" w:hAnsi="Arial" w:cs="Arial"/>
                  <w:sz w:val="20"/>
                  <w:szCs w:val="20"/>
                </w:rPr>
                <w:t>116</w:t>
              </w:r>
            </w:hyperlink>
          </w:p>
        </w:tc>
      </w:tr>
      <w:tr w:rsidR="00000000">
        <w:trPr>
          <w:divId w:val="1671525178"/>
          <w:jc w:val="center"/>
        </w:trPr>
        <w:tc>
          <w:tcPr>
            <w:tcW w:w="0" w:type="auto"/>
            <w:gridSpan w:val="3"/>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 xml:space="preserve">5. </w:t>
            </w:r>
          </w:p>
        </w:tc>
        <w:tc>
          <w:tcPr>
            <w:tcW w:w="0" w:type="auto"/>
            <w:gridSpan w:val="3"/>
            <w:tcMar>
              <w:top w:w="30" w:type="dxa"/>
              <w:left w:w="20" w:type="dxa"/>
              <w:bottom w:w="30" w:type="dxa"/>
              <w:right w:w="20" w:type="dxa"/>
            </w:tcMar>
            <w:vAlign w:val="bottom"/>
            <w:hideMark/>
          </w:tcPr>
          <w:p w:rsidR="00000000" w:rsidRDefault="001F1FC8">
            <w:pPr>
              <w:rPr>
                <w:rFonts w:eastAsia="Times New Roman"/>
              </w:rPr>
            </w:pPr>
            <w:r>
              <w:rPr>
                <w:rFonts w:ascii="Arial" w:eastAsia="Times New Roman" w:hAnsi="Arial" w:cs="Arial"/>
                <w:color w:val="000000"/>
                <w:sz w:val="20"/>
                <w:szCs w:val="20"/>
              </w:rPr>
              <w:t>Segmented Information</w:t>
            </w:r>
          </w:p>
        </w:tc>
        <w:tc>
          <w:tcPr>
            <w:tcW w:w="0" w:type="auto"/>
            <w:gridSpan w:val="3"/>
            <w:tcMar>
              <w:top w:w="30" w:type="dxa"/>
              <w:left w:w="20" w:type="dxa"/>
              <w:bottom w:w="30" w:type="dxa"/>
              <w:right w:w="20" w:type="dxa"/>
            </w:tcMar>
            <w:vAlign w:val="bottom"/>
            <w:hideMark/>
          </w:tcPr>
          <w:p w:rsidR="00000000" w:rsidRDefault="001F1FC8">
            <w:pPr>
              <w:jc w:val="center"/>
              <w:rPr>
                <w:rFonts w:eastAsia="Times New Roman"/>
              </w:rPr>
            </w:pPr>
            <w:hyperlink w:anchor="iec242c2d4e1d466fad82d89d469f78fa_256" w:history="1">
              <w:r>
                <w:rPr>
                  <w:rStyle w:val="a3"/>
                  <w:rFonts w:ascii="Arial" w:eastAsia="Times New Roman" w:hAnsi="Arial" w:cs="Arial"/>
                  <w:sz w:val="20"/>
                  <w:szCs w:val="20"/>
                </w:rPr>
                <w:t>121</w:t>
              </w:r>
            </w:hyperlink>
          </w:p>
        </w:tc>
      </w:tr>
      <w:tr w:rsidR="00000000">
        <w:trPr>
          <w:divId w:val="1671525178"/>
          <w:jc w:val="center"/>
        </w:trPr>
        <w:tc>
          <w:tcPr>
            <w:tcW w:w="0" w:type="auto"/>
            <w:gridSpan w:val="3"/>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 xml:space="preserve">6. </w:t>
            </w:r>
          </w:p>
        </w:tc>
        <w:tc>
          <w:tcPr>
            <w:tcW w:w="0" w:type="auto"/>
            <w:gridSpan w:val="3"/>
            <w:tcMar>
              <w:top w:w="30" w:type="dxa"/>
              <w:left w:w="20" w:type="dxa"/>
              <w:bottom w:w="30" w:type="dxa"/>
              <w:right w:w="20" w:type="dxa"/>
            </w:tcMar>
            <w:vAlign w:val="bottom"/>
            <w:hideMark/>
          </w:tcPr>
          <w:p w:rsidR="00000000" w:rsidRDefault="001F1FC8">
            <w:pPr>
              <w:rPr>
                <w:rFonts w:eastAsia="Times New Roman"/>
              </w:rPr>
            </w:pPr>
            <w:r>
              <w:rPr>
                <w:rFonts w:ascii="Arial" w:eastAsia="Times New Roman" w:hAnsi="Arial" w:cs="Arial"/>
                <w:color w:val="000000"/>
                <w:sz w:val="20"/>
                <w:szCs w:val="20"/>
              </w:rPr>
              <w:t>Earnings per Common Share</w:t>
            </w:r>
          </w:p>
        </w:tc>
        <w:tc>
          <w:tcPr>
            <w:tcW w:w="0" w:type="auto"/>
            <w:gridSpan w:val="3"/>
            <w:tcMar>
              <w:top w:w="30" w:type="dxa"/>
              <w:left w:w="20" w:type="dxa"/>
              <w:bottom w:w="30" w:type="dxa"/>
              <w:right w:w="20" w:type="dxa"/>
            </w:tcMar>
            <w:vAlign w:val="bottom"/>
            <w:hideMark/>
          </w:tcPr>
          <w:p w:rsidR="00000000" w:rsidRDefault="001F1FC8">
            <w:pPr>
              <w:jc w:val="center"/>
              <w:rPr>
                <w:rFonts w:eastAsia="Times New Roman"/>
              </w:rPr>
            </w:pPr>
            <w:hyperlink w:anchor="iec242c2d4e1d466fad82d89d469f78fa_259" w:history="1">
              <w:r>
                <w:rPr>
                  <w:rStyle w:val="a3"/>
                  <w:rFonts w:ascii="Arial" w:eastAsia="Times New Roman" w:hAnsi="Arial" w:cs="Arial"/>
                  <w:sz w:val="20"/>
                  <w:szCs w:val="20"/>
                </w:rPr>
                <w:t>123</w:t>
              </w:r>
            </w:hyperlink>
          </w:p>
        </w:tc>
      </w:tr>
      <w:tr w:rsidR="00000000">
        <w:trPr>
          <w:divId w:val="1671525178"/>
          <w:jc w:val="center"/>
        </w:trPr>
        <w:tc>
          <w:tcPr>
            <w:tcW w:w="0" w:type="auto"/>
            <w:gridSpan w:val="3"/>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 xml:space="preserve">7. </w:t>
            </w:r>
          </w:p>
        </w:tc>
        <w:tc>
          <w:tcPr>
            <w:tcW w:w="0" w:type="auto"/>
            <w:gridSpan w:val="3"/>
            <w:tcMar>
              <w:top w:w="30" w:type="dxa"/>
              <w:left w:w="20" w:type="dxa"/>
              <w:bottom w:w="30" w:type="dxa"/>
              <w:right w:w="20" w:type="dxa"/>
            </w:tcMar>
            <w:vAlign w:val="bottom"/>
            <w:hideMark/>
          </w:tcPr>
          <w:p w:rsidR="00000000" w:rsidRDefault="001F1FC8">
            <w:pPr>
              <w:rPr>
                <w:rFonts w:eastAsia="Times New Roman"/>
              </w:rPr>
            </w:pPr>
            <w:r>
              <w:rPr>
                <w:rFonts w:ascii="Arial" w:eastAsia="Times New Roman" w:hAnsi="Arial" w:cs="Arial"/>
                <w:color w:val="000000"/>
                <w:sz w:val="20"/>
                <w:szCs w:val="20"/>
              </w:rPr>
              <w:t>Regulatory Matters</w:t>
            </w:r>
          </w:p>
        </w:tc>
        <w:tc>
          <w:tcPr>
            <w:tcW w:w="0" w:type="auto"/>
            <w:gridSpan w:val="3"/>
            <w:tcMar>
              <w:top w:w="30" w:type="dxa"/>
              <w:left w:w="20" w:type="dxa"/>
              <w:bottom w:w="30" w:type="dxa"/>
              <w:right w:w="20" w:type="dxa"/>
            </w:tcMar>
            <w:vAlign w:val="bottom"/>
            <w:hideMark/>
          </w:tcPr>
          <w:p w:rsidR="00000000" w:rsidRDefault="001F1FC8">
            <w:pPr>
              <w:jc w:val="center"/>
              <w:rPr>
                <w:rFonts w:eastAsia="Times New Roman"/>
              </w:rPr>
            </w:pPr>
            <w:hyperlink w:anchor="iec242c2d4e1d466fad82d89d469f78fa_262" w:history="1">
              <w:r>
                <w:rPr>
                  <w:rStyle w:val="a3"/>
                  <w:rFonts w:ascii="Arial" w:eastAsia="Times New Roman" w:hAnsi="Arial" w:cs="Arial"/>
                  <w:sz w:val="20"/>
                  <w:szCs w:val="20"/>
                </w:rPr>
                <w:t>123</w:t>
              </w:r>
            </w:hyperlink>
          </w:p>
        </w:tc>
      </w:tr>
      <w:tr w:rsidR="00000000">
        <w:trPr>
          <w:divId w:val="1671525178"/>
          <w:jc w:val="center"/>
        </w:trPr>
        <w:tc>
          <w:tcPr>
            <w:tcW w:w="0" w:type="auto"/>
            <w:gridSpan w:val="3"/>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 xml:space="preserve">8. </w:t>
            </w:r>
          </w:p>
        </w:tc>
        <w:tc>
          <w:tcPr>
            <w:tcW w:w="0" w:type="auto"/>
            <w:gridSpan w:val="3"/>
            <w:tcMar>
              <w:top w:w="30" w:type="dxa"/>
              <w:left w:w="20" w:type="dxa"/>
              <w:bottom w:w="30" w:type="dxa"/>
              <w:right w:w="20" w:type="dxa"/>
            </w:tcMar>
            <w:vAlign w:val="bottom"/>
            <w:hideMark/>
          </w:tcPr>
          <w:p w:rsidR="00000000" w:rsidRDefault="001F1FC8">
            <w:pPr>
              <w:rPr>
                <w:rFonts w:eastAsia="Times New Roman"/>
              </w:rPr>
            </w:pPr>
            <w:r>
              <w:rPr>
                <w:rFonts w:ascii="Arial" w:eastAsia="Times New Roman" w:hAnsi="Arial" w:cs="Arial"/>
                <w:color w:val="000000"/>
                <w:sz w:val="20"/>
                <w:szCs w:val="20"/>
              </w:rPr>
              <w:t>Acquisitions and Dispositions</w:t>
            </w:r>
          </w:p>
        </w:tc>
        <w:tc>
          <w:tcPr>
            <w:tcW w:w="0" w:type="auto"/>
            <w:gridSpan w:val="3"/>
            <w:tcMar>
              <w:top w:w="30" w:type="dxa"/>
              <w:left w:w="20" w:type="dxa"/>
              <w:bottom w:w="30" w:type="dxa"/>
              <w:right w:w="20" w:type="dxa"/>
            </w:tcMar>
            <w:vAlign w:val="bottom"/>
            <w:hideMark/>
          </w:tcPr>
          <w:p w:rsidR="00000000" w:rsidRDefault="001F1FC8">
            <w:pPr>
              <w:jc w:val="center"/>
              <w:rPr>
                <w:rFonts w:eastAsia="Times New Roman"/>
              </w:rPr>
            </w:pPr>
            <w:hyperlink w:anchor="iec242c2d4e1d466fad82d89d469f78fa_268" w:history="1">
              <w:r>
                <w:rPr>
                  <w:rStyle w:val="a3"/>
                  <w:rFonts w:ascii="Arial" w:eastAsia="Times New Roman" w:hAnsi="Arial" w:cs="Arial"/>
                  <w:sz w:val="20"/>
                  <w:szCs w:val="20"/>
                </w:rPr>
                <w:t>126</w:t>
              </w:r>
            </w:hyperlink>
          </w:p>
        </w:tc>
      </w:tr>
      <w:tr w:rsidR="00000000">
        <w:trPr>
          <w:divId w:val="1671525178"/>
          <w:jc w:val="center"/>
        </w:trPr>
        <w:tc>
          <w:tcPr>
            <w:tcW w:w="0" w:type="auto"/>
            <w:gridSpan w:val="3"/>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 xml:space="preserve">9. </w:t>
            </w:r>
          </w:p>
        </w:tc>
        <w:tc>
          <w:tcPr>
            <w:tcW w:w="0" w:type="auto"/>
            <w:gridSpan w:val="3"/>
            <w:tcMar>
              <w:top w:w="30" w:type="dxa"/>
              <w:left w:w="20" w:type="dxa"/>
              <w:bottom w:w="30" w:type="dxa"/>
              <w:right w:w="20" w:type="dxa"/>
            </w:tcMar>
            <w:vAlign w:val="bottom"/>
            <w:hideMark/>
          </w:tcPr>
          <w:p w:rsidR="00000000" w:rsidRDefault="001F1FC8">
            <w:pPr>
              <w:rPr>
                <w:rFonts w:eastAsia="Times New Roman"/>
              </w:rPr>
            </w:pPr>
            <w:r>
              <w:rPr>
                <w:rFonts w:ascii="Arial" w:eastAsia="Times New Roman" w:hAnsi="Arial" w:cs="Arial"/>
                <w:color w:val="000000"/>
                <w:sz w:val="20"/>
                <w:szCs w:val="20"/>
              </w:rPr>
              <w:t>Accounts Receivable and Other</w:t>
            </w:r>
          </w:p>
        </w:tc>
        <w:tc>
          <w:tcPr>
            <w:tcW w:w="0" w:type="auto"/>
            <w:gridSpan w:val="3"/>
            <w:tcMar>
              <w:top w:w="30" w:type="dxa"/>
              <w:left w:w="20" w:type="dxa"/>
              <w:bottom w:w="30" w:type="dxa"/>
              <w:right w:w="20" w:type="dxa"/>
            </w:tcMar>
            <w:vAlign w:val="bottom"/>
            <w:hideMark/>
          </w:tcPr>
          <w:p w:rsidR="00000000" w:rsidRDefault="001F1FC8">
            <w:pPr>
              <w:jc w:val="center"/>
              <w:rPr>
                <w:rFonts w:eastAsia="Times New Roman"/>
              </w:rPr>
            </w:pPr>
            <w:hyperlink w:anchor="iec242c2d4e1d466fad82d89d469f78fa_271" w:history="1">
              <w:r>
                <w:rPr>
                  <w:rStyle w:val="a3"/>
                  <w:rFonts w:ascii="Arial" w:eastAsia="Times New Roman" w:hAnsi="Arial" w:cs="Arial"/>
                  <w:sz w:val="20"/>
                  <w:szCs w:val="20"/>
                </w:rPr>
                <w:t>129</w:t>
              </w:r>
            </w:hyperlink>
          </w:p>
        </w:tc>
      </w:tr>
      <w:tr w:rsidR="00000000">
        <w:trPr>
          <w:divId w:val="1671525178"/>
          <w:jc w:val="center"/>
        </w:trPr>
        <w:tc>
          <w:tcPr>
            <w:tcW w:w="0" w:type="auto"/>
            <w:gridSpan w:val="3"/>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 xml:space="preserve">10. </w:t>
            </w:r>
          </w:p>
        </w:tc>
        <w:tc>
          <w:tcPr>
            <w:tcW w:w="0" w:type="auto"/>
            <w:gridSpan w:val="3"/>
            <w:tcMar>
              <w:top w:w="30" w:type="dxa"/>
              <w:left w:w="20" w:type="dxa"/>
              <w:bottom w:w="30" w:type="dxa"/>
              <w:right w:w="20" w:type="dxa"/>
            </w:tcMar>
            <w:vAlign w:val="bottom"/>
            <w:hideMark/>
          </w:tcPr>
          <w:p w:rsidR="00000000" w:rsidRDefault="001F1FC8">
            <w:pPr>
              <w:rPr>
                <w:rFonts w:eastAsia="Times New Roman"/>
              </w:rPr>
            </w:pPr>
            <w:r>
              <w:rPr>
                <w:rFonts w:ascii="Arial" w:eastAsia="Times New Roman" w:hAnsi="Arial" w:cs="Arial"/>
                <w:color w:val="000000"/>
                <w:sz w:val="20"/>
                <w:szCs w:val="20"/>
              </w:rPr>
              <w:t>Inventory</w:t>
            </w:r>
          </w:p>
        </w:tc>
        <w:tc>
          <w:tcPr>
            <w:tcW w:w="0" w:type="auto"/>
            <w:gridSpan w:val="3"/>
            <w:tcMar>
              <w:top w:w="30" w:type="dxa"/>
              <w:left w:w="20" w:type="dxa"/>
              <w:bottom w:w="30" w:type="dxa"/>
              <w:right w:w="20" w:type="dxa"/>
            </w:tcMar>
            <w:vAlign w:val="bottom"/>
            <w:hideMark/>
          </w:tcPr>
          <w:p w:rsidR="00000000" w:rsidRDefault="001F1FC8">
            <w:pPr>
              <w:jc w:val="center"/>
              <w:rPr>
                <w:rFonts w:eastAsia="Times New Roman"/>
              </w:rPr>
            </w:pPr>
            <w:hyperlink w:anchor="iec242c2d4e1d466fad82d89d469f78fa_274" w:history="1">
              <w:r>
                <w:rPr>
                  <w:rStyle w:val="a3"/>
                  <w:rFonts w:ascii="Arial" w:eastAsia="Times New Roman" w:hAnsi="Arial" w:cs="Arial"/>
                  <w:sz w:val="20"/>
                  <w:szCs w:val="20"/>
                </w:rPr>
                <w:t>129</w:t>
              </w:r>
            </w:hyperlink>
          </w:p>
        </w:tc>
      </w:tr>
      <w:tr w:rsidR="00000000">
        <w:trPr>
          <w:divId w:val="1671525178"/>
          <w:jc w:val="center"/>
        </w:trPr>
        <w:tc>
          <w:tcPr>
            <w:tcW w:w="0" w:type="auto"/>
            <w:gridSpan w:val="3"/>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 xml:space="preserve">11. </w:t>
            </w:r>
          </w:p>
        </w:tc>
        <w:tc>
          <w:tcPr>
            <w:tcW w:w="0" w:type="auto"/>
            <w:gridSpan w:val="3"/>
            <w:tcMar>
              <w:top w:w="30" w:type="dxa"/>
              <w:left w:w="20" w:type="dxa"/>
              <w:bottom w:w="30" w:type="dxa"/>
              <w:right w:w="20" w:type="dxa"/>
            </w:tcMar>
            <w:vAlign w:val="bottom"/>
            <w:hideMark/>
          </w:tcPr>
          <w:p w:rsidR="00000000" w:rsidRDefault="001F1FC8">
            <w:pPr>
              <w:rPr>
                <w:rFonts w:eastAsia="Times New Roman"/>
              </w:rPr>
            </w:pPr>
            <w:r>
              <w:rPr>
                <w:rFonts w:ascii="Arial" w:eastAsia="Times New Roman" w:hAnsi="Arial" w:cs="Arial"/>
                <w:color w:val="000000"/>
                <w:sz w:val="20"/>
                <w:szCs w:val="20"/>
              </w:rPr>
              <w:t>Property, Plant and Equipment</w:t>
            </w:r>
          </w:p>
        </w:tc>
        <w:tc>
          <w:tcPr>
            <w:tcW w:w="0" w:type="auto"/>
            <w:gridSpan w:val="3"/>
            <w:tcMar>
              <w:top w:w="30" w:type="dxa"/>
              <w:left w:w="20" w:type="dxa"/>
              <w:bottom w:w="30" w:type="dxa"/>
              <w:right w:w="20" w:type="dxa"/>
            </w:tcMar>
            <w:vAlign w:val="bottom"/>
            <w:hideMark/>
          </w:tcPr>
          <w:p w:rsidR="00000000" w:rsidRDefault="001F1FC8">
            <w:pPr>
              <w:jc w:val="center"/>
              <w:rPr>
                <w:rFonts w:eastAsia="Times New Roman"/>
              </w:rPr>
            </w:pPr>
            <w:hyperlink w:anchor="iec242c2d4e1d466fad82d89d469f78fa_277" w:history="1">
              <w:r>
                <w:rPr>
                  <w:rStyle w:val="a3"/>
                  <w:rFonts w:ascii="Arial" w:eastAsia="Times New Roman" w:hAnsi="Arial" w:cs="Arial"/>
                  <w:sz w:val="20"/>
                  <w:szCs w:val="20"/>
                </w:rPr>
                <w:t>129</w:t>
              </w:r>
            </w:hyperlink>
          </w:p>
        </w:tc>
      </w:tr>
      <w:tr w:rsidR="00000000">
        <w:trPr>
          <w:divId w:val="1671525178"/>
          <w:jc w:val="center"/>
        </w:trPr>
        <w:tc>
          <w:tcPr>
            <w:tcW w:w="0" w:type="auto"/>
            <w:gridSpan w:val="3"/>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 xml:space="preserve">12. </w:t>
            </w:r>
          </w:p>
        </w:tc>
        <w:tc>
          <w:tcPr>
            <w:tcW w:w="0" w:type="auto"/>
            <w:gridSpan w:val="3"/>
            <w:tcMar>
              <w:top w:w="30" w:type="dxa"/>
              <w:left w:w="20" w:type="dxa"/>
              <w:bottom w:w="30" w:type="dxa"/>
              <w:right w:w="20" w:type="dxa"/>
            </w:tcMar>
            <w:vAlign w:val="bottom"/>
            <w:hideMark/>
          </w:tcPr>
          <w:p w:rsidR="00000000" w:rsidRDefault="001F1FC8">
            <w:pPr>
              <w:rPr>
                <w:rFonts w:eastAsia="Times New Roman"/>
              </w:rPr>
            </w:pPr>
            <w:r>
              <w:rPr>
                <w:rFonts w:ascii="Arial" w:eastAsia="Times New Roman" w:hAnsi="Arial" w:cs="Arial"/>
                <w:color w:val="000000"/>
                <w:sz w:val="20"/>
                <w:szCs w:val="20"/>
              </w:rPr>
              <w:t>Variable Interest Entities</w:t>
            </w:r>
          </w:p>
        </w:tc>
        <w:tc>
          <w:tcPr>
            <w:tcW w:w="0" w:type="auto"/>
            <w:gridSpan w:val="3"/>
            <w:tcMar>
              <w:top w:w="30" w:type="dxa"/>
              <w:left w:w="20" w:type="dxa"/>
              <w:bottom w:w="30" w:type="dxa"/>
              <w:right w:w="20" w:type="dxa"/>
            </w:tcMar>
            <w:vAlign w:val="bottom"/>
            <w:hideMark/>
          </w:tcPr>
          <w:p w:rsidR="00000000" w:rsidRDefault="001F1FC8">
            <w:pPr>
              <w:jc w:val="center"/>
              <w:rPr>
                <w:rFonts w:eastAsia="Times New Roman"/>
              </w:rPr>
            </w:pPr>
            <w:hyperlink w:anchor="iec242c2d4e1d466fad82d89d469f78fa_280" w:history="1">
              <w:r>
                <w:rPr>
                  <w:rStyle w:val="a3"/>
                  <w:rFonts w:ascii="Arial" w:eastAsia="Times New Roman" w:hAnsi="Arial" w:cs="Arial"/>
                  <w:sz w:val="20"/>
                  <w:szCs w:val="20"/>
                </w:rPr>
                <w:t>130</w:t>
              </w:r>
            </w:hyperlink>
          </w:p>
        </w:tc>
      </w:tr>
      <w:tr w:rsidR="00000000">
        <w:trPr>
          <w:divId w:val="1671525178"/>
          <w:jc w:val="center"/>
        </w:trPr>
        <w:tc>
          <w:tcPr>
            <w:tcW w:w="0" w:type="auto"/>
            <w:gridSpan w:val="3"/>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 xml:space="preserve">13. </w:t>
            </w:r>
          </w:p>
        </w:tc>
        <w:tc>
          <w:tcPr>
            <w:tcW w:w="0" w:type="auto"/>
            <w:gridSpan w:val="3"/>
            <w:tcMar>
              <w:top w:w="30" w:type="dxa"/>
              <w:left w:w="20" w:type="dxa"/>
              <w:bottom w:w="30" w:type="dxa"/>
              <w:right w:w="20" w:type="dxa"/>
            </w:tcMar>
            <w:vAlign w:val="bottom"/>
            <w:hideMark/>
          </w:tcPr>
          <w:p w:rsidR="00000000" w:rsidRDefault="001F1FC8">
            <w:pPr>
              <w:rPr>
                <w:rFonts w:eastAsia="Times New Roman"/>
              </w:rPr>
            </w:pPr>
            <w:r>
              <w:rPr>
                <w:rFonts w:ascii="Arial" w:eastAsia="Times New Roman" w:hAnsi="Arial" w:cs="Arial"/>
                <w:color w:val="000000"/>
                <w:sz w:val="20"/>
                <w:szCs w:val="20"/>
              </w:rPr>
              <w:t>Long-Term Investments</w:t>
            </w:r>
          </w:p>
        </w:tc>
        <w:tc>
          <w:tcPr>
            <w:tcW w:w="0" w:type="auto"/>
            <w:gridSpan w:val="3"/>
            <w:tcMar>
              <w:top w:w="30" w:type="dxa"/>
              <w:left w:w="20" w:type="dxa"/>
              <w:bottom w:w="30" w:type="dxa"/>
              <w:right w:w="20" w:type="dxa"/>
            </w:tcMar>
            <w:vAlign w:val="bottom"/>
            <w:hideMark/>
          </w:tcPr>
          <w:p w:rsidR="00000000" w:rsidRDefault="001F1FC8">
            <w:pPr>
              <w:jc w:val="center"/>
              <w:rPr>
                <w:rFonts w:eastAsia="Times New Roman"/>
              </w:rPr>
            </w:pPr>
            <w:hyperlink w:anchor="iec242c2d4e1d466fad82d89d469f78fa_283" w:history="1">
              <w:r>
                <w:rPr>
                  <w:rStyle w:val="a3"/>
                  <w:rFonts w:ascii="Arial" w:eastAsia="Times New Roman" w:hAnsi="Arial" w:cs="Arial"/>
                  <w:sz w:val="20"/>
                  <w:szCs w:val="20"/>
                </w:rPr>
                <w:t>133</w:t>
              </w:r>
            </w:hyperlink>
          </w:p>
        </w:tc>
      </w:tr>
      <w:tr w:rsidR="00000000">
        <w:trPr>
          <w:divId w:val="1671525178"/>
          <w:jc w:val="center"/>
        </w:trPr>
        <w:tc>
          <w:tcPr>
            <w:tcW w:w="0" w:type="auto"/>
            <w:gridSpan w:val="3"/>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 xml:space="preserve">14. </w:t>
            </w:r>
          </w:p>
        </w:tc>
        <w:tc>
          <w:tcPr>
            <w:tcW w:w="0" w:type="auto"/>
            <w:gridSpan w:val="3"/>
            <w:tcMar>
              <w:top w:w="30" w:type="dxa"/>
              <w:left w:w="20" w:type="dxa"/>
              <w:bottom w:w="30" w:type="dxa"/>
              <w:right w:w="20" w:type="dxa"/>
            </w:tcMar>
            <w:vAlign w:val="bottom"/>
            <w:hideMark/>
          </w:tcPr>
          <w:p w:rsidR="00000000" w:rsidRDefault="001F1FC8">
            <w:pPr>
              <w:rPr>
                <w:rFonts w:eastAsia="Times New Roman"/>
              </w:rPr>
            </w:pPr>
            <w:r>
              <w:rPr>
                <w:rFonts w:ascii="Arial" w:eastAsia="Times New Roman" w:hAnsi="Arial" w:cs="Arial"/>
                <w:color w:val="000000"/>
                <w:sz w:val="20"/>
                <w:szCs w:val="20"/>
              </w:rPr>
              <w:t>Restricted Long-Term Investments</w:t>
            </w:r>
          </w:p>
        </w:tc>
        <w:tc>
          <w:tcPr>
            <w:tcW w:w="0" w:type="auto"/>
            <w:gridSpan w:val="3"/>
            <w:tcMar>
              <w:top w:w="30" w:type="dxa"/>
              <w:left w:w="20" w:type="dxa"/>
              <w:bottom w:w="30" w:type="dxa"/>
              <w:right w:w="20" w:type="dxa"/>
            </w:tcMar>
            <w:vAlign w:val="bottom"/>
            <w:hideMark/>
          </w:tcPr>
          <w:p w:rsidR="00000000" w:rsidRDefault="001F1FC8">
            <w:pPr>
              <w:jc w:val="center"/>
              <w:rPr>
                <w:rFonts w:eastAsia="Times New Roman"/>
              </w:rPr>
            </w:pPr>
            <w:hyperlink w:anchor="iec242c2d4e1d466fad82d89d469f78fa_289" w:history="1">
              <w:r>
                <w:rPr>
                  <w:rStyle w:val="a3"/>
                  <w:rFonts w:ascii="Arial" w:eastAsia="Times New Roman" w:hAnsi="Arial" w:cs="Arial"/>
                  <w:sz w:val="20"/>
                  <w:szCs w:val="20"/>
                </w:rPr>
                <w:t>135</w:t>
              </w:r>
            </w:hyperlink>
          </w:p>
        </w:tc>
      </w:tr>
      <w:tr w:rsidR="00000000">
        <w:trPr>
          <w:divId w:val="1671525178"/>
          <w:jc w:val="center"/>
        </w:trPr>
        <w:tc>
          <w:tcPr>
            <w:tcW w:w="0" w:type="auto"/>
            <w:gridSpan w:val="3"/>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 xml:space="preserve">15. </w:t>
            </w:r>
          </w:p>
        </w:tc>
        <w:tc>
          <w:tcPr>
            <w:tcW w:w="0" w:type="auto"/>
            <w:gridSpan w:val="3"/>
            <w:tcMar>
              <w:top w:w="30" w:type="dxa"/>
              <w:left w:w="20" w:type="dxa"/>
              <w:bottom w:w="30" w:type="dxa"/>
              <w:right w:w="20" w:type="dxa"/>
            </w:tcMar>
            <w:vAlign w:val="bottom"/>
            <w:hideMark/>
          </w:tcPr>
          <w:p w:rsidR="00000000" w:rsidRDefault="001F1FC8">
            <w:pPr>
              <w:rPr>
                <w:rFonts w:eastAsia="Times New Roman"/>
              </w:rPr>
            </w:pPr>
            <w:r>
              <w:rPr>
                <w:rFonts w:ascii="Arial" w:eastAsia="Times New Roman" w:hAnsi="Arial" w:cs="Arial"/>
                <w:color w:val="000000"/>
                <w:sz w:val="20"/>
                <w:szCs w:val="20"/>
              </w:rPr>
              <w:t>Intangible Assets</w:t>
            </w:r>
          </w:p>
        </w:tc>
        <w:tc>
          <w:tcPr>
            <w:tcW w:w="0" w:type="auto"/>
            <w:gridSpan w:val="3"/>
            <w:tcMar>
              <w:top w:w="30" w:type="dxa"/>
              <w:left w:w="20" w:type="dxa"/>
              <w:bottom w:w="30" w:type="dxa"/>
              <w:right w:w="20" w:type="dxa"/>
            </w:tcMar>
            <w:vAlign w:val="bottom"/>
            <w:hideMark/>
          </w:tcPr>
          <w:p w:rsidR="00000000" w:rsidRDefault="001F1FC8">
            <w:pPr>
              <w:jc w:val="center"/>
              <w:rPr>
                <w:rFonts w:eastAsia="Times New Roman"/>
              </w:rPr>
            </w:pPr>
            <w:hyperlink w:anchor="iec242c2d4e1d466fad82d89d469f78fa_295" w:history="1">
              <w:r>
                <w:rPr>
                  <w:rStyle w:val="a3"/>
                  <w:rFonts w:ascii="Arial" w:eastAsia="Times New Roman" w:hAnsi="Arial" w:cs="Arial"/>
                  <w:sz w:val="20"/>
                  <w:szCs w:val="20"/>
                </w:rPr>
                <w:t>136</w:t>
              </w:r>
            </w:hyperlink>
          </w:p>
        </w:tc>
      </w:tr>
      <w:tr w:rsidR="00000000">
        <w:trPr>
          <w:divId w:val="1671525178"/>
          <w:jc w:val="center"/>
        </w:trPr>
        <w:tc>
          <w:tcPr>
            <w:tcW w:w="0" w:type="auto"/>
            <w:gridSpan w:val="3"/>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 xml:space="preserve">16. </w:t>
            </w:r>
          </w:p>
        </w:tc>
        <w:tc>
          <w:tcPr>
            <w:tcW w:w="0" w:type="auto"/>
            <w:gridSpan w:val="3"/>
            <w:tcMar>
              <w:top w:w="30" w:type="dxa"/>
              <w:left w:w="20" w:type="dxa"/>
              <w:bottom w:w="30" w:type="dxa"/>
              <w:right w:w="20" w:type="dxa"/>
            </w:tcMar>
            <w:vAlign w:val="bottom"/>
            <w:hideMark/>
          </w:tcPr>
          <w:p w:rsidR="00000000" w:rsidRDefault="001F1FC8">
            <w:pPr>
              <w:rPr>
                <w:rFonts w:eastAsia="Times New Roman"/>
              </w:rPr>
            </w:pPr>
            <w:r>
              <w:rPr>
                <w:rFonts w:ascii="Arial" w:eastAsia="Times New Roman" w:hAnsi="Arial" w:cs="Arial"/>
                <w:color w:val="000000"/>
                <w:sz w:val="20"/>
                <w:szCs w:val="20"/>
              </w:rPr>
              <w:t>Goodwill</w:t>
            </w:r>
          </w:p>
        </w:tc>
        <w:tc>
          <w:tcPr>
            <w:tcW w:w="0" w:type="auto"/>
            <w:gridSpan w:val="3"/>
            <w:tcMar>
              <w:top w:w="30" w:type="dxa"/>
              <w:left w:w="20" w:type="dxa"/>
              <w:bottom w:w="30" w:type="dxa"/>
              <w:right w:w="20" w:type="dxa"/>
            </w:tcMar>
            <w:vAlign w:val="bottom"/>
            <w:hideMark/>
          </w:tcPr>
          <w:p w:rsidR="00000000" w:rsidRDefault="001F1FC8">
            <w:pPr>
              <w:jc w:val="center"/>
              <w:rPr>
                <w:rFonts w:eastAsia="Times New Roman"/>
              </w:rPr>
            </w:pPr>
            <w:hyperlink w:anchor="iec242c2d4e1d466fad82d89d469f78fa_298" w:history="1">
              <w:r>
                <w:rPr>
                  <w:rStyle w:val="a3"/>
                  <w:rFonts w:ascii="Arial" w:eastAsia="Times New Roman" w:hAnsi="Arial" w:cs="Arial"/>
                  <w:sz w:val="20"/>
                  <w:szCs w:val="20"/>
                </w:rPr>
                <w:t>137</w:t>
              </w:r>
            </w:hyperlink>
          </w:p>
        </w:tc>
      </w:tr>
      <w:tr w:rsidR="00000000">
        <w:trPr>
          <w:divId w:val="1671525178"/>
          <w:jc w:val="center"/>
        </w:trPr>
        <w:tc>
          <w:tcPr>
            <w:tcW w:w="0" w:type="auto"/>
            <w:gridSpan w:val="3"/>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 xml:space="preserve">17. </w:t>
            </w:r>
          </w:p>
        </w:tc>
        <w:tc>
          <w:tcPr>
            <w:tcW w:w="0" w:type="auto"/>
            <w:gridSpan w:val="3"/>
            <w:tcMar>
              <w:top w:w="30" w:type="dxa"/>
              <w:left w:w="20" w:type="dxa"/>
              <w:bottom w:w="30" w:type="dxa"/>
              <w:right w:w="20" w:type="dxa"/>
            </w:tcMar>
            <w:vAlign w:val="bottom"/>
            <w:hideMark/>
          </w:tcPr>
          <w:p w:rsidR="00000000" w:rsidRDefault="001F1FC8">
            <w:pPr>
              <w:rPr>
                <w:rFonts w:eastAsia="Times New Roman"/>
              </w:rPr>
            </w:pPr>
            <w:r>
              <w:rPr>
                <w:rFonts w:ascii="Arial" w:eastAsia="Times New Roman" w:hAnsi="Arial" w:cs="Arial"/>
                <w:color w:val="000000"/>
                <w:sz w:val="20"/>
                <w:szCs w:val="20"/>
              </w:rPr>
              <w:t>Accounts Payable and Other</w:t>
            </w:r>
          </w:p>
        </w:tc>
        <w:tc>
          <w:tcPr>
            <w:tcW w:w="0" w:type="auto"/>
            <w:gridSpan w:val="3"/>
            <w:tcMar>
              <w:top w:w="30" w:type="dxa"/>
              <w:left w:w="20" w:type="dxa"/>
              <w:bottom w:w="30" w:type="dxa"/>
              <w:right w:w="20" w:type="dxa"/>
            </w:tcMar>
            <w:vAlign w:val="bottom"/>
            <w:hideMark/>
          </w:tcPr>
          <w:p w:rsidR="00000000" w:rsidRDefault="001F1FC8">
            <w:pPr>
              <w:jc w:val="center"/>
              <w:rPr>
                <w:rFonts w:eastAsia="Times New Roman"/>
              </w:rPr>
            </w:pPr>
            <w:hyperlink w:anchor="iec242c2d4e1d466fad82d89d469f78fa_301" w:history="1">
              <w:r>
                <w:rPr>
                  <w:rStyle w:val="a3"/>
                  <w:rFonts w:ascii="Arial" w:eastAsia="Times New Roman" w:hAnsi="Arial" w:cs="Arial"/>
                  <w:sz w:val="20"/>
                  <w:szCs w:val="20"/>
                </w:rPr>
                <w:t>137</w:t>
              </w:r>
            </w:hyperlink>
          </w:p>
        </w:tc>
      </w:tr>
      <w:tr w:rsidR="00000000">
        <w:trPr>
          <w:divId w:val="1671525178"/>
          <w:jc w:val="center"/>
        </w:trPr>
        <w:tc>
          <w:tcPr>
            <w:tcW w:w="0" w:type="auto"/>
            <w:gridSpan w:val="3"/>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 xml:space="preserve">18. </w:t>
            </w:r>
          </w:p>
        </w:tc>
        <w:tc>
          <w:tcPr>
            <w:tcW w:w="0" w:type="auto"/>
            <w:gridSpan w:val="3"/>
            <w:tcMar>
              <w:top w:w="30" w:type="dxa"/>
              <w:left w:w="20" w:type="dxa"/>
              <w:bottom w:w="30" w:type="dxa"/>
              <w:right w:w="20" w:type="dxa"/>
            </w:tcMar>
            <w:vAlign w:val="bottom"/>
            <w:hideMark/>
          </w:tcPr>
          <w:p w:rsidR="00000000" w:rsidRDefault="001F1FC8">
            <w:pPr>
              <w:rPr>
                <w:rFonts w:eastAsia="Times New Roman"/>
              </w:rPr>
            </w:pPr>
            <w:r>
              <w:rPr>
                <w:rFonts w:ascii="Arial" w:eastAsia="Times New Roman" w:hAnsi="Arial" w:cs="Arial"/>
                <w:color w:val="000000"/>
                <w:sz w:val="20"/>
                <w:szCs w:val="20"/>
              </w:rPr>
              <w:t>Debt</w:t>
            </w:r>
          </w:p>
        </w:tc>
        <w:tc>
          <w:tcPr>
            <w:tcW w:w="0" w:type="auto"/>
            <w:gridSpan w:val="3"/>
            <w:tcMar>
              <w:top w:w="30" w:type="dxa"/>
              <w:left w:w="20" w:type="dxa"/>
              <w:bottom w:w="30" w:type="dxa"/>
              <w:right w:w="20" w:type="dxa"/>
            </w:tcMar>
            <w:vAlign w:val="bottom"/>
            <w:hideMark/>
          </w:tcPr>
          <w:p w:rsidR="00000000" w:rsidRDefault="001F1FC8">
            <w:pPr>
              <w:jc w:val="center"/>
              <w:rPr>
                <w:rFonts w:eastAsia="Times New Roman"/>
              </w:rPr>
            </w:pPr>
            <w:hyperlink w:anchor="iec242c2d4e1d466fad82d89d469f78fa_304" w:history="1">
              <w:r>
                <w:rPr>
                  <w:rStyle w:val="a3"/>
                  <w:rFonts w:ascii="Arial" w:eastAsia="Times New Roman" w:hAnsi="Arial" w:cs="Arial"/>
                  <w:sz w:val="20"/>
                  <w:szCs w:val="20"/>
                </w:rPr>
                <w:t>138</w:t>
              </w:r>
            </w:hyperlink>
          </w:p>
        </w:tc>
      </w:tr>
      <w:tr w:rsidR="00000000">
        <w:trPr>
          <w:divId w:val="1671525178"/>
          <w:jc w:val="center"/>
        </w:trPr>
        <w:tc>
          <w:tcPr>
            <w:tcW w:w="0" w:type="auto"/>
            <w:gridSpan w:val="3"/>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 xml:space="preserve">19. </w:t>
            </w:r>
          </w:p>
        </w:tc>
        <w:tc>
          <w:tcPr>
            <w:tcW w:w="0" w:type="auto"/>
            <w:gridSpan w:val="3"/>
            <w:tcMar>
              <w:top w:w="30" w:type="dxa"/>
              <w:left w:w="20" w:type="dxa"/>
              <w:bottom w:w="30" w:type="dxa"/>
              <w:right w:w="20" w:type="dxa"/>
            </w:tcMar>
            <w:vAlign w:val="bottom"/>
            <w:hideMark/>
          </w:tcPr>
          <w:p w:rsidR="00000000" w:rsidRDefault="001F1FC8">
            <w:pPr>
              <w:rPr>
                <w:rFonts w:eastAsia="Times New Roman"/>
              </w:rPr>
            </w:pPr>
            <w:r>
              <w:rPr>
                <w:rFonts w:ascii="Arial" w:eastAsia="Times New Roman" w:hAnsi="Arial" w:cs="Arial"/>
                <w:color w:val="000000"/>
                <w:sz w:val="20"/>
                <w:szCs w:val="20"/>
              </w:rPr>
              <w:t>Asset Retirement Obligations</w:t>
            </w:r>
          </w:p>
        </w:tc>
        <w:tc>
          <w:tcPr>
            <w:tcW w:w="0" w:type="auto"/>
            <w:gridSpan w:val="3"/>
            <w:tcMar>
              <w:top w:w="30" w:type="dxa"/>
              <w:left w:w="20" w:type="dxa"/>
              <w:bottom w:w="30" w:type="dxa"/>
              <w:right w:w="20" w:type="dxa"/>
            </w:tcMar>
            <w:vAlign w:val="bottom"/>
            <w:hideMark/>
          </w:tcPr>
          <w:p w:rsidR="00000000" w:rsidRDefault="001F1FC8">
            <w:pPr>
              <w:jc w:val="center"/>
              <w:rPr>
                <w:rFonts w:eastAsia="Times New Roman"/>
              </w:rPr>
            </w:pPr>
            <w:hyperlink w:anchor="iec242c2d4e1d466fad82d89d469f78fa_310" w:history="1">
              <w:r>
                <w:rPr>
                  <w:rStyle w:val="a3"/>
                  <w:rFonts w:ascii="Arial" w:eastAsia="Times New Roman" w:hAnsi="Arial" w:cs="Arial"/>
                  <w:sz w:val="20"/>
                  <w:szCs w:val="20"/>
                </w:rPr>
                <w:t>141</w:t>
              </w:r>
            </w:hyperlink>
          </w:p>
        </w:tc>
      </w:tr>
      <w:tr w:rsidR="00000000">
        <w:trPr>
          <w:divId w:val="1671525178"/>
          <w:jc w:val="center"/>
        </w:trPr>
        <w:tc>
          <w:tcPr>
            <w:tcW w:w="0" w:type="auto"/>
            <w:gridSpan w:val="3"/>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 xml:space="preserve">20. </w:t>
            </w:r>
          </w:p>
        </w:tc>
        <w:tc>
          <w:tcPr>
            <w:tcW w:w="0" w:type="auto"/>
            <w:gridSpan w:val="3"/>
            <w:tcMar>
              <w:top w:w="30" w:type="dxa"/>
              <w:left w:w="20" w:type="dxa"/>
              <w:bottom w:w="30" w:type="dxa"/>
              <w:right w:w="20" w:type="dxa"/>
            </w:tcMar>
            <w:vAlign w:val="bottom"/>
            <w:hideMark/>
          </w:tcPr>
          <w:p w:rsidR="00000000" w:rsidRDefault="001F1FC8">
            <w:pPr>
              <w:rPr>
                <w:rFonts w:eastAsia="Times New Roman"/>
              </w:rPr>
            </w:pPr>
            <w:r>
              <w:rPr>
                <w:rFonts w:ascii="Arial" w:eastAsia="Times New Roman" w:hAnsi="Arial" w:cs="Arial"/>
                <w:color w:val="000000"/>
                <w:sz w:val="20"/>
                <w:szCs w:val="20"/>
              </w:rPr>
              <w:t>Noncontrolling Interests</w:t>
            </w:r>
          </w:p>
        </w:tc>
        <w:tc>
          <w:tcPr>
            <w:tcW w:w="0" w:type="auto"/>
            <w:gridSpan w:val="3"/>
            <w:tcMar>
              <w:top w:w="30" w:type="dxa"/>
              <w:left w:w="20" w:type="dxa"/>
              <w:bottom w:w="30" w:type="dxa"/>
              <w:right w:w="20" w:type="dxa"/>
            </w:tcMar>
            <w:vAlign w:val="bottom"/>
            <w:hideMark/>
          </w:tcPr>
          <w:p w:rsidR="00000000" w:rsidRDefault="001F1FC8">
            <w:pPr>
              <w:jc w:val="center"/>
              <w:rPr>
                <w:rFonts w:eastAsia="Times New Roman"/>
              </w:rPr>
            </w:pPr>
            <w:hyperlink w:anchor="iec242c2d4e1d466fad82d89d469f78fa_313" w:history="1">
              <w:r>
                <w:rPr>
                  <w:rStyle w:val="a3"/>
                  <w:rFonts w:ascii="Arial" w:eastAsia="Times New Roman" w:hAnsi="Arial" w:cs="Arial"/>
                  <w:sz w:val="20"/>
                  <w:szCs w:val="20"/>
                </w:rPr>
                <w:t>142</w:t>
              </w:r>
            </w:hyperlink>
          </w:p>
        </w:tc>
      </w:tr>
      <w:tr w:rsidR="00000000">
        <w:trPr>
          <w:divId w:val="1671525178"/>
          <w:jc w:val="center"/>
        </w:trPr>
        <w:tc>
          <w:tcPr>
            <w:tcW w:w="0" w:type="auto"/>
            <w:gridSpan w:val="3"/>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 xml:space="preserve">21. </w:t>
            </w:r>
          </w:p>
        </w:tc>
        <w:tc>
          <w:tcPr>
            <w:tcW w:w="0" w:type="auto"/>
            <w:gridSpan w:val="3"/>
            <w:tcMar>
              <w:top w:w="30" w:type="dxa"/>
              <w:left w:w="20" w:type="dxa"/>
              <w:bottom w:w="30" w:type="dxa"/>
              <w:right w:w="20" w:type="dxa"/>
            </w:tcMar>
            <w:vAlign w:val="bottom"/>
            <w:hideMark/>
          </w:tcPr>
          <w:p w:rsidR="00000000" w:rsidRDefault="001F1FC8">
            <w:pPr>
              <w:rPr>
                <w:rFonts w:eastAsia="Times New Roman"/>
              </w:rPr>
            </w:pPr>
            <w:r>
              <w:rPr>
                <w:rFonts w:ascii="Arial" w:eastAsia="Times New Roman" w:hAnsi="Arial" w:cs="Arial"/>
                <w:color w:val="000000"/>
                <w:sz w:val="20"/>
                <w:szCs w:val="20"/>
              </w:rPr>
              <w:t>Share Capital</w:t>
            </w:r>
          </w:p>
        </w:tc>
        <w:tc>
          <w:tcPr>
            <w:tcW w:w="0" w:type="auto"/>
            <w:gridSpan w:val="3"/>
            <w:tcMar>
              <w:top w:w="30" w:type="dxa"/>
              <w:left w:w="20" w:type="dxa"/>
              <w:bottom w:w="30" w:type="dxa"/>
              <w:right w:w="20" w:type="dxa"/>
            </w:tcMar>
            <w:vAlign w:val="bottom"/>
            <w:hideMark/>
          </w:tcPr>
          <w:p w:rsidR="00000000" w:rsidRDefault="001F1FC8">
            <w:pPr>
              <w:jc w:val="center"/>
              <w:rPr>
                <w:rFonts w:eastAsia="Times New Roman"/>
              </w:rPr>
            </w:pPr>
            <w:hyperlink w:anchor="iec242c2d4e1d466fad82d89d469f78fa_319" w:history="1">
              <w:r>
                <w:rPr>
                  <w:rStyle w:val="a3"/>
                  <w:rFonts w:ascii="Arial" w:eastAsia="Times New Roman" w:hAnsi="Arial" w:cs="Arial"/>
                  <w:sz w:val="20"/>
                  <w:szCs w:val="20"/>
                </w:rPr>
                <w:t>142</w:t>
              </w:r>
            </w:hyperlink>
          </w:p>
        </w:tc>
      </w:tr>
      <w:tr w:rsidR="00000000">
        <w:trPr>
          <w:divId w:val="1671525178"/>
          <w:jc w:val="center"/>
        </w:trPr>
        <w:tc>
          <w:tcPr>
            <w:tcW w:w="0" w:type="auto"/>
            <w:gridSpan w:val="3"/>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 xml:space="preserve">22. </w:t>
            </w:r>
          </w:p>
        </w:tc>
        <w:tc>
          <w:tcPr>
            <w:tcW w:w="0" w:type="auto"/>
            <w:gridSpan w:val="3"/>
            <w:tcMar>
              <w:top w:w="30" w:type="dxa"/>
              <w:left w:w="20" w:type="dxa"/>
              <w:bottom w:w="30" w:type="dxa"/>
              <w:right w:w="20" w:type="dxa"/>
            </w:tcMar>
            <w:vAlign w:val="bottom"/>
            <w:hideMark/>
          </w:tcPr>
          <w:p w:rsidR="00000000" w:rsidRDefault="001F1FC8">
            <w:pPr>
              <w:rPr>
                <w:rFonts w:eastAsia="Times New Roman"/>
              </w:rPr>
            </w:pPr>
            <w:r>
              <w:rPr>
                <w:rFonts w:ascii="Arial" w:eastAsia="Times New Roman" w:hAnsi="Arial" w:cs="Arial"/>
                <w:color w:val="000000"/>
                <w:sz w:val="20"/>
                <w:szCs w:val="20"/>
              </w:rPr>
              <w:t>Stock Option and Stock Unit Plans</w:t>
            </w:r>
          </w:p>
        </w:tc>
        <w:tc>
          <w:tcPr>
            <w:tcW w:w="0" w:type="auto"/>
            <w:gridSpan w:val="3"/>
            <w:tcMar>
              <w:top w:w="30" w:type="dxa"/>
              <w:left w:w="20" w:type="dxa"/>
              <w:bottom w:w="30" w:type="dxa"/>
              <w:right w:w="20" w:type="dxa"/>
            </w:tcMar>
            <w:vAlign w:val="bottom"/>
            <w:hideMark/>
          </w:tcPr>
          <w:p w:rsidR="00000000" w:rsidRDefault="001F1FC8">
            <w:pPr>
              <w:jc w:val="center"/>
              <w:rPr>
                <w:rFonts w:eastAsia="Times New Roman"/>
              </w:rPr>
            </w:pPr>
            <w:hyperlink w:anchor="iec242c2d4e1d466fad82d89d469f78fa_325" w:history="1">
              <w:r>
                <w:rPr>
                  <w:rStyle w:val="a3"/>
                  <w:rFonts w:ascii="Arial" w:eastAsia="Times New Roman" w:hAnsi="Arial" w:cs="Arial"/>
                  <w:sz w:val="20"/>
                  <w:szCs w:val="20"/>
                </w:rPr>
                <w:t>145</w:t>
              </w:r>
            </w:hyperlink>
          </w:p>
        </w:tc>
      </w:tr>
      <w:tr w:rsidR="00000000">
        <w:trPr>
          <w:divId w:val="1671525178"/>
          <w:jc w:val="center"/>
        </w:trPr>
        <w:tc>
          <w:tcPr>
            <w:tcW w:w="0" w:type="auto"/>
            <w:gridSpan w:val="3"/>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 xml:space="preserve">23. </w:t>
            </w:r>
          </w:p>
        </w:tc>
        <w:tc>
          <w:tcPr>
            <w:tcW w:w="0" w:type="auto"/>
            <w:gridSpan w:val="3"/>
            <w:tcMar>
              <w:top w:w="30" w:type="dxa"/>
              <w:left w:w="20" w:type="dxa"/>
              <w:bottom w:w="30" w:type="dxa"/>
              <w:right w:w="20" w:type="dxa"/>
            </w:tcMar>
            <w:vAlign w:val="bottom"/>
            <w:hideMark/>
          </w:tcPr>
          <w:p w:rsidR="00000000" w:rsidRDefault="001F1FC8">
            <w:pPr>
              <w:rPr>
                <w:rFonts w:eastAsia="Times New Roman"/>
              </w:rPr>
            </w:pPr>
            <w:r>
              <w:rPr>
                <w:rFonts w:ascii="Arial" w:eastAsia="Times New Roman" w:hAnsi="Arial" w:cs="Arial"/>
                <w:color w:val="000000"/>
                <w:sz w:val="20"/>
                <w:szCs w:val="20"/>
              </w:rPr>
              <w:t xml:space="preserve">Components of Accumulated Other Comprehensive Income/(Loss) </w:t>
            </w:r>
          </w:p>
        </w:tc>
        <w:tc>
          <w:tcPr>
            <w:tcW w:w="0" w:type="auto"/>
            <w:gridSpan w:val="3"/>
            <w:tcMar>
              <w:top w:w="30" w:type="dxa"/>
              <w:left w:w="20" w:type="dxa"/>
              <w:bottom w:w="30" w:type="dxa"/>
              <w:right w:w="20" w:type="dxa"/>
            </w:tcMar>
            <w:vAlign w:val="bottom"/>
            <w:hideMark/>
          </w:tcPr>
          <w:p w:rsidR="00000000" w:rsidRDefault="001F1FC8">
            <w:pPr>
              <w:jc w:val="center"/>
              <w:rPr>
                <w:rFonts w:eastAsia="Times New Roman"/>
              </w:rPr>
            </w:pPr>
            <w:hyperlink w:anchor="iec242c2d4e1d466fad82d89d469f78fa_331" w:history="1">
              <w:r>
                <w:rPr>
                  <w:rStyle w:val="a3"/>
                  <w:rFonts w:ascii="Arial" w:eastAsia="Times New Roman" w:hAnsi="Arial" w:cs="Arial"/>
                  <w:sz w:val="20"/>
                  <w:szCs w:val="20"/>
                </w:rPr>
                <w:t>148</w:t>
              </w:r>
            </w:hyperlink>
          </w:p>
        </w:tc>
      </w:tr>
      <w:tr w:rsidR="00000000">
        <w:trPr>
          <w:divId w:val="1671525178"/>
          <w:jc w:val="center"/>
        </w:trPr>
        <w:tc>
          <w:tcPr>
            <w:tcW w:w="0" w:type="auto"/>
            <w:gridSpan w:val="3"/>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 xml:space="preserve">24. </w:t>
            </w:r>
          </w:p>
        </w:tc>
        <w:tc>
          <w:tcPr>
            <w:tcW w:w="0" w:type="auto"/>
            <w:gridSpan w:val="3"/>
            <w:tcMar>
              <w:top w:w="30" w:type="dxa"/>
              <w:left w:w="20" w:type="dxa"/>
              <w:bottom w:w="30" w:type="dxa"/>
              <w:right w:w="20" w:type="dxa"/>
            </w:tcMar>
            <w:vAlign w:val="bottom"/>
            <w:hideMark/>
          </w:tcPr>
          <w:p w:rsidR="00000000" w:rsidRDefault="001F1FC8">
            <w:pPr>
              <w:rPr>
                <w:rFonts w:eastAsia="Times New Roman"/>
              </w:rPr>
            </w:pPr>
            <w:r>
              <w:rPr>
                <w:rFonts w:ascii="Arial" w:eastAsia="Times New Roman" w:hAnsi="Arial" w:cs="Arial"/>
                <w:color w:val="000000"/>
                <w:sz w:val="20"/>
                <w:szCs w:val="20"/>
              </w:rPr>
              <w:t>Risk Management and Financial Instruments</w:t>
            </w:r>
          </w:p>
        </w:tc>
        <w:tc>
          <w:tcPr>
            <w:tcW w:w="0" w:type="auto"/>
            <w:gridSpan w:val="3"/>
            <w:tcMar>
              <w:top w:w="30" w:type="dxa"/>
              <w:left w:w="20" w:type="dxa"/>
              <w:bottom w:w="30" w:type="dxa"/>
              <w:right w:w="20" w:type="dxa"/>
            </w:tcMar>
            <w:vAlign w:val="bottom"/>
            <w:hideMark/>
          </w:tcPr>
          <w:p w:rsidR="00000000" w:rsidRDefault="001F1FC8">
            <w:pPr>
              <w:jc w:val="center"/>
              <w:rPr>
                <w:rFonts w:eastAsia="Times New Roman"/>
              </w:rPr>
            </w:pPr>
            <w:hyperlink w:anchor="iec242c2d4e1d466fad82d89d469f78fa_334" w:history="1">
              <w:r>
                <w:rPr>
                  <w:rStyle w:val="a3"/>
                  <w:rFonts w:ascii="Arial" w:eastAsia="Times New Roman" w:hAnsi="Arial" w:cs="Arial"/>
                  <w:sz w:val="20"/>
                  <w:szCs w:val="20"/>
                </w:rPr>
                <w:t>149</w:t>
              </w:r>
            </w:hyperlink>
          </w:p>
        </w:tc>
      </w:tr>
      <w:tr w:rsidR="00000000">
        <w:trPr>
          <w:divId w:val="1671525178"/>
          <w:jc w:val="center"/>
        </w:trPr>
        <w:tc>
          <w:tcPr>
            <w:tcW w:w="0" w:type="auto"/>
            <w:gridSpan w:val="3"/>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 xml:space="preserve">25. </w:t>
            </w:r>
          </w:p>
        </w:tc>
        <w:tc>
          <w:tcPr>
            <w:tcW w:w="0" w:type="auto"/>
            <w:gridSpan w:val="3"/>
            <w:tcMar>
              <w:top w:w="30" w:type="dxa"/>
              <w:left w:w="20" w:type="dxa"/>
              <w:bottom w:w="30" w:type="dxa"/>
              <w:right w:w="20" w:type="dxa"/>
            </w:tcMar>
            <w:vAlign w:val="bottom"/>
            <w:hideMark/>
          </w:tcPr>
          <w:p w:rsidR="00000000" w:rsidRDefault="001F1FC8">
            <w:pPr>
              <w:rPr>
                <w:rFonts w:eastAsia="Times New Roman"/>
              </w:rPr>
            </w:pPr>
            <w:r>
              <w:rPr>
                <w:rFonts w:ascii="Arial" w:eastAsia="Times New Roman" w:hAnsi="Arial" w:cs="Arial"/>
                <w:color w:val="000000"/>
                <w:sz w:val="20"/>
                <w:szCs w:val="20"/>
              </w:rPr>
              <w:t>Income Taxes</w:t>
            </w:r>
          </w:p>
        </w:tc>
        <w:tc>
          <w:tcPr>
            <w:tcW w:w="0" w:type="auto"/>
            <w:gridSpan w:val="3"/>
            <w:tcMar>
              <w:top w:w="30" w:type="dxa"/>
              <w:left w:w="20" w:type="dxa"/>
              <w:bottom w:w="30" w:type="dxa"/>
              <w:right w:w="20" w:type="dxa"/>
            </w:tcMar>
            <w:vAlign w:val="bottom"/>
            <w:hideMark/>
          </w:tcPr>
          <w:p w:rsidR="00000000" w:rsidRDefault="001F1FC8">
            <w:pPr>
              <w:jc w:val="center"/>
              <w:rPr>
                <w:rFonts w:eastAsia="Times New Roman"/>
              </w:rPr>
            </w:pPr>
            <w:hyperlink w:anchor="iec242c2d4e1d466fad82d89d469f78fa_340" w:history="1">
              <w:r>
                <w:rPr>
                  <w:rStyle w:val="a3"/>
                  <w:rFonts w:ascii="Arial" w:eastAsia="Times New Roman" w:hAnsi="Arial" w:cs="Arial"/>
                  <w:sz w:val="20"/>
                  <w:szCs w:val="20"/>
                </w:rPr>
                <w:t>161</w:t>
              </w:r>
            </w:hyperlink>
          </w:p>
        </w:tc>
      </w:tr>
      <w:tr w:rsidR="00000000">
        <w:trPr>
          <w:divId w:val="1671525178"/>
          <w:jc w:val="center"/>
        </w:trPr>
        <w:tc>
          <w:tcPr>
            <w:tcW w:w="0" w:type="auto"/>
            <w:gridSpan w:val="3"/>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 xml:space="preserve">26. </w:t>
            </w:r>
          </w:p>
        </w:tc>
        <w:tc>
          <w:tcPr>
            <w:tcW w:w="0" w:type="auto"/>
            <w:gridSpan w:val="3"/>
            <w:tcMar>
              <w:top w:w="30" w:type="dxa"/>
              <w:left w:w="20" w:type="dxa"/>
              <w:bottom w:w="30" w:type="dxa"/>
              <w:right w:w="20" w:type="dxa"/>
            </w:tcMar>
            <w:vAlign w:val="bottom"/>
            <w:hideMark/>
          </w:tcPr>
          <w:p w:rsidR="00000000" w:rsidRDefault="001F1FC8">
            <w:pPr>
              <w:rPr>
                <w:rFonts w:eastAsia="Times New Roman"/>
              </w:rPr>
            </w:pPr>
            <w:r>
              <w:rPr>
                <w:rFonts w:ascii="Arial" w:eastAsia="Times New Roman" w:hAnsi="Arial" w:cs="Arial"/>
                <w:color w:val="000000"/>
                <w:sz w:val="20"/>
                <w:szCs w:val="20"/>
              </w:rPr>
              <w:t>Pension and Other Postretirement Benefits</w:t>
            </w:r>
          </w:p>
        </w:tc>
        <w:tc>
          <w:tcPr>
            <w:tcW w:w="0" w:type="auto"/>
            <w:gridSpan w:val="3"/>
            <w:tcMar>
              <w:top w:w="30" w:type="dxa"/>
              <w:left w:w="20" w:type="dxa"/>
              <w:bottom w:w="30" w:type="dxa"/>
              <w:right w:w="20" w:type="dxa"/>
            </w:tcMar>
            <w:vAlign w:val="bottom"/>
            <w:hideMark/>
          </w:tcPr>
          <w:p w:rsidR="00000000" w:rsidRDefault="001F1FC8">
            <w:pPr>
              <w:jc w:val="center"/>
              <w:rPr>
                <w:rFonts w:eastAsia="Times New Roman"/>
              </w:rPr>
            </w:pPr>
            <w:hyperlink w:anchor="iec242c2d4e1d466fad82d89d469f78fa_343" w:history="1">
              <w:r>
                <w:rPr>
                  <w:rStyle w:val="a3"/>
                  <w:rFonts w:ascii="Arial" w:eastAsia="Times New Roman" w:hAnsi="Arial" w:cs="Arial"/>
                  <w:sz w:val="20"/>
                  <w:szCs w:val="20"/>
                </w:rPr>
                <w:t>164</w:t>
              </w:r>
            </w:hyperlink>
          </w:p>
        </w:tc>
      </w:tr>
      <w:tr w:rsidR="00000000">
        <w:trPr>
          <w:divId w:val="1671525178"/>
          <w:jc w:val="center"/>
        </w:trPr>
        <w:tc>
          <w:tcPr>
            <w:tcW w:w="0" w:type="auto"/>
            <w:gridSpan w:val="3"/>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 xml:space="preserve">27. </w:t>
            </w:r>
          </w:p>
        </w:tc>
        <w:tc>
          <w:tcPr>
            <w:tcW w:w="0" w:type="auto"/>
            <w:gridSpan w:val="3"/>
            <w:tcMar>
              <w:top w:w="30" w:type="dxa"/>
              <w:left w:w="20" w:type="dxa"/>
              <w:bottom w:w="30" w:type="dxa"/>
              <w:right w:w="20" w:type="dxa"/>
            </w:tcMar>
            <w:vAlign w:val="bottom"/>
            <w:hideMark/>
          </w:tcPr>
          <w:p w:rsidR="00000000" w:rsidRDefault="001F1FC8">
            <w:pPr>
              <w:rPr>
                <w:rFonts w:eastAsia="Times New Roman"/>
              </w:rPr>
            </w:pPr>
            <w:r>
              <w:rPr>
                <w:rFonts w:ascii="Arial" w:eastAsia="Times New Roman" w:hAnsi="Arial" w:cs="Arial"/>
                <w:color w:val="000000"/>
                <w:sz w:val="20"/>
                <w:szCs w:val="20"/>
              </w:rPr>
              <w:t>Leases</w:t>
            </w:r>
          </w:p>
        </w:tc>
        <w:tc>
          <w:tcPr>
            <w:tcW w:w="0" w:type="auto"/>
            <w:gridSpan w:val="3"/>
            <w:tcMar>
              <w:top w:w="30" w:type="dxa"/>
              <w:left w:w="20" w:type="dxa"/>
              <w:bottom w:w="30" w:type="dxa"/>
              <w:right w:w="20" w:type="dxa"/>
            </w:tcMar>
            <w:vAlign w:val="bottom"/>
            <w:hideMark/>
          </w:tcPr>
          <w:p w:rsidR="00000000" w:rsidRDefault="001F1FC8">
            <w:pPr>
              <w:jc w:val="center"/>
              <w:rPr>
                <w:rFonts w:eastAsia="Times New Roman"/>
              </w:rPr>
            </w:pPr>
            <w:hyperlink w:anchor="iec242c2d4e1d466fad82d89d469f78fa_358" w:history="1">
              <w:r>
                <w:rPr>
                  <w:rStyle w:val="a3"/>
                  <w:rFonts w:ascii="Arial" w:eastAsia="Times New Roman" w:hAnsi="Arial" w:cs="Arial"/>
                  <w:sz w:val="20"/>
                  <w:szCs w:val="20"/>
                </w:rPr>
                <w:t>173</w:t>
              </w:r>
            </w:hyperlink>
          </w:p>
        </w:tc>
      </w:tr>
      <w:tr w:rsidR="00000000">
        <w:trPr>
          <w:divId w:val="1671525178"/>
          <w:jc w:val="center"/>
        </w:trPr>
        <w:tc>
          <w:tcPr>
            <w:tcW w:w="0" w:type="auto"/>
            <w:gridSpan w:val="3"/>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 xml:space="preserve">28. </w:t>
            </w:r>
          </w:p>
        </w:tc>
        <w:tc>
          <w:tcPr>
            <w:tcW w:w="0" w:type="auto"/>
            <w:gridSpan w:val="3"/>
            <w:tcMar>
              <w:top w:w="30" w:type="dxa"/>
              <w:left w:w="20" w:type="dxa"/>
              <w:bottom w:w="30" w:type="dxa"/>
              <w:right w:w="20" w:type="dxa"/>
            </w:tcMar>
            <w:vAlign w:val="bottom"/>
            <w:hideMark/>
          </w:tcPr>
          <w:p w:rsidR="00000000" w:rsidRDefault="001F1FC8">
            <w:pPr>
              <w:rPr>
                <w:rFonts w:eastAsia="Times New Roman"/>
              </w:rPr>
            </w:pPr>
            <w:r>
              <w:rPr>
                <w:rFonts w:ascii="Arial" w:eastAsia="Times New Roman" w:hAnsi="Arial" w:cs="Arial"/>
                <w:color w:val="000000"/>
                <w:sz w:val="20"/>
                <w:szCs w:val="20"/>
              </w:rPr>
              <w:t>Changes in Operating Assets and Liabilities</w:t>
            </w:r>
          </w:p>
        </w:tc>
        <w:tc>
          <w:tcPr>
            <w:tcW w:w="0" w:type="auto"/>
            <w:gridSpan w:val="3"/>
            <w:tcMar>
              <w:top w:w="30" w:type="dxa"/>
              <w:left w:w="20" w:type="dxa"/>
              <w:bottom w:w="30" w:type="dxa"/>
              <w:right w:w="20" w:type="dxa"/>
            </w:tcMar>
            <w:vAlign w:val="bottom"/>
            <w:hideMark/>
          </w:tcPr>
          <w:p w:rsidR="00000000" w:rsidRDefault="001F1FC8">
            <w:pPr>
              <w:jc w:val="center"/>
              <w:rPr>
                <w:rFonts w:eastAsia="Times New Roman"/>
              </w:rPr>
            </w:pPr>
            <w:hyperlink w:anchor="iec242c2d4e1d466fad82d89d469f78fa_364" w:history="1">
              <w:r>
                <w:rPr>
                  <w:rStyle w:val="a3"/>
                  <w:rFonts w:ascii="Arial" w:eastAsia="Times New Roman" w:hAnsi="Arial" w:cs="Arial"/>
                  <w:sz w:val="20"/>
                  <w:szCs w:val="20"/>
                </w:rPr>
                <w:t>175</w:t>
              </w:r>
            </w:hyperlink>
          </w:p>
        </w:tc>
      </w:tr>
      <w:tr w:rsidR="00000000">
        <w:trPr>
          <w:divId w:val="1671525178"/>
          <w:jc w:val="center"/>
        </w:trPr>
        <w:tc>
          <w:tcPr>
            <w:tcW w:w="0" w:type="auto"/>
            <w:gridSpan w:val="3"/>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 xml:space="preserve">29. </w:t>
            </w:r>
          </w:p>
        </w:tc>
        <w:tc>
          <w:tcPr>
            <w:tcW w:w="0" w:type="auto"/>
            <w:gridSpan w:val="3"/>
            <w:tcMar>
              <w:top w:w="30" w:type="dxa"/>
              <w:left w:w="20" w:type="dxa"/>
              <w:bottom w:w="30" w:type="dxa"/>
              <w:right w:w="20" w:type="dxa"/>
            </w:tcMar>
            <w:vAlign w:val="bottom"/>
            <w:hideMark/>
          </w:tcPr>
          <w:p w:rsidR="00000000" w:rsidRDefault="001F1FC8">
            <w:pPr>
              <w:rPr>
                <w:rFonts w:eastAsia="Times New Roman"/>
              </w:rPr>
            </w:pPr>
            <w:r>
              <w:rPr>
                <w:rFonts w:ascii="Arial" w:eastAsia="Times New Roman" w:hAnsi="Arial" w:cs="Arial"/>
                <w:color w:val="000000"/>
                <w:sz w:val="20"/>
                <w:szCs w:val="20"/>
              </w:rPr>
              <w:t>Related Party Transactions</w:t>
            </w:r>
          </w:p>
        </w:tc>
        <w:tc>
          <w:tcPr>
            <w:tcW w:w="0" w:type="auto"/>
            <w:gridSpan w:val="3"/>
            <w:tcMar>
              <w:top w:w="30" w:type="dxa"/>
              <w:left w:w="20" w:type="dxa"/>
              <w:bottom w:w="30" w:type="dxa"/>
              <w:right w:w="20" w:type="dxa"/>
            </w:tcMar>
            <w:vAlign w:val="bottom"/>
            <w:hideMark/>
          </w:tcPr>
          <w:p w:rsidR="00000000" w:rsidRDefault="001F1FC8">
            <w:pPr>
              <w:jc w:val="center"/>
              <w:rPr>
                <w:rFonts w:eastAsia="Times New Roman"/>
              </w:rPr>
            </w:pPr>
            <w:hyperlink w:anchor="iec242c2d4e1d466fad82d89d469f78fa_367" w:history="1">
              <w:r>
                <w:rPr>
                  <w:rStyle w:val="a3"/>
                  <w:rFonts w:ascii="Arial" w:eastAsia="Times New Roman" w:hAnsi="Arial" w:cs="Arial"/>
                  <w:sz w:val="20"/>
                  <w:szCs w:val="20"/>
                </w:rPr>
                <w:t>175</w:t>
              </w:r>
            </w:hyperlink>
          </w:p>
        </w:tc>
      </w:tr>
      <w:tr w:rsidR="00000000">
        <w:trPr>
          <w:divId w:val="1671525178"/>
          <w:jc w:val="center"/>
        </w:trPr>
        <w:tc>
          <w:tcPr>
            <w:tcW w:w="0" w:type="auto"/>
            <w:gridSpan w:val="3"/>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 xml:space="preserve">30. </w:t>
            </w:r>
          </w:p>
        </w:tc>
        <w:tc>
          <w:tcPr>
            <w:tcW w:w="0" w:type="auto"/>
            <w:gridSpan w:val="3"/>
            <w:tcMar>
              <w:top w:w="30" w:type="dxa"/>
              <w:left w:w="20" w:type="dxa"/>
              <w:bottom w:w="30" w:type="dxa"/>
              <w:right w:w="20" w:type="dxa"/>
            </w:tcMar>
            <w:vAlign w:val="bottom"/>
            <w:hideMark/>
          </w:tcPr>
          <w:p w:rsidR="00000000" w:rsidRDefault="001F1FC8">
            <w:pPr>
              <w:rPr>
                <w:rFonts w:eastAsia="Times New Roman"/>
              </w:rPr>
            </w:pPr>
            <w:r>
              <w:rPr>
                <w:rFonts w:ascii="Arial" w:eastAsia="Times New Roman" w:hAnsi="Arial" w:cs="Arial"/>
                <w:color w:val="000000"/>
                <w:sz w:val="20"/>
                <w:szCs w:val="20"/>
              </w:rPr>
              <w:t>Commitments and Contingencies</w:t>
            </w:r>
          </w:p>
        </w:tc>
        <w:tc>
          <w:tcPr>
            <w:tcW w:w="0" w:type="auto"/>
            <w:gridSpan w:val="3"/>
            <w:tcMar>
              <w:top w:w="30" w:type="dxa"/>
              <w:left w:w="20" w:type="dxa"/>
              <w:bottom w:w="30" w:type="dxa"/>
              <w:right w:w="20" w:type="dxa"/>
            </w:tcMar>
            <w:vAlign w:val="bottom"/>
            <w:hideMark/>
          </w:tcPr>
          <w:p w:rsidR="00000000" w:rsidRDefault="001F1FC8">
            <w:pPr>
              <w:jc w:val="center"/>
              <w:rPr>
                <w:rFonts w:eastAsia="Times New Roman"/>
              </w:rPr>
            </w:pPr>
            <w:hyperlink w:anchor="iec242c2d4e1d466fad82d89d469f78fa_373" w:history="1">
              <w:r>
                <w:rPr>
                  <w:rStyle w:val="a3"/>
                  <w:rFonts w:ascii="Arial" w:eastAsia="Times New Roman" w:hAnsi="Arial" w:cs="Arial"/>
                  <w:sz w:val="20"/>
                  <w:szCs w:val="20"/>
                </w:rPr>
                <w:t>176</w:t>
              </w:r>
            </w:hyperlink>
          </w:p>
        </w:tc>
      </w:tr>
      <w:tr w:rsidR="00000000">
        <w:trPr>
          <w:divId w:val="1671525178"/>
          <w:jc w:val="center"/>
        </w:trPr>
        <w:tc>
          <w:tcPr>
            <w:tcW w:w="0" w:type="auto"/>
            <w:gridSpan w:val="3"/>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 xml:space="preserve">31. </w:t>
            </w:r>
          </w:p>
        </w:tc>
        <w:tc>
          <w:tcPr>
            <w:tcW w:w="0" w:type="auto"/>
            <w:gridSpan w:val="3"/>
            <w:tcMar>
              <w:top w:w="30" w:type="dxa"/>
              <w:left w:w="20" w:type="dxa"/>
              <w:bottom w:w="30" w:type="dxa"/>
              <w:right w:w="20" w:type="dxa"/>
            </w:tcMar>
            <w:vAlign w:val="bottom"/>
            <w:hideMark/>
          </w:tcPr>
          <w:p w:rsidR="00000000" w:rsidRDefault="001F1FC8">
            <w:pPr>
              <w:rPr>
                <w:rFonts w:eastAsia="Times New Roman"/>
              </w:rPr>
            </w:pPr>
            <w:r>
              <w:rPr>
                <w:rFonts w:ascii="Arial" w:eastAsia="Times New Roman" w:hAnsi="Arial" w:cs="Arial"/>
                <w:color w:val="000000"/>
                <w:sz w:val="20"/>
                <w:szCs w:val="20"/>
              </w:rPr>
              <w:t>Guarantees</w:t>
            </w:r>
          </w:p>
        </w:tc>
        <w:tc>
          <w:tcPr>
            <w:tcW w:w="0" w:type="auto"/>
            <w:gridSpan w:val="3"/>
            <w:tcMar>
              <w:top w:w="30" w:type="dxa"/>
              <w:left w:w="20" w:type="dxa"/>
              <w:bottom w:w="30" w:type="dxa"/>
              <w:right w:w="20" w:type="dxa"/>
            </w:tcMar>
            <w:vAlign w:val="bottom"/>
            <w:hideMark/>
          </w:tcPr>
          <w:p w:rsidR="00000000" w:rsidRDefault="001F1FC8">
            <w:pPr>
              <w:jc w:val="center"/>
              <w:rPr>
                <w:rFonts w:eastAsia="Times New Roman"/>
              </w:rPr>
            </w:pPr>
            <w:hyperlink w:anchor="iec242c2d4e1d466fad82d89d469f78fa_379" w:history="1">
              <w:r>
                <w:rPr>
                  <w:rStyle w:val="a3"/>
                  <w:rFonts w:ascii="Arial" w:eastAsia="Times New Roman" w:hAnsi="Arial" w:cs="Arial"/>
                  <w:sz w:val="20"/>
                  <w:szCs w:val="20"/>
                </w:rPr>
                <w:t>177</w:t>
              </w:r>
            </w:hyperlink>
          </w:p>
        </w:tc>
      </w:tr>
      <w:tr w:rsidR="00000000">
        <w:trPr>
          <w:divId w:val="1671525178"/>
          <w:jc w:val="center"/>
        </w:trPr>
        <w:tc>
          <w:tcPr>
            <w:tcW w:w="0" w:type="auto"/>
            <w:gridSpan w:val="3"/>
            <w:vAlign w:val="center"/>
            <w:hideMark/>
          </w:tcPr>
          <w:p w:rsidR="00000000" w:rsidRDefault="001F1FC8">
            <w:pPr>
              <w:jc w:val="center"/>
              <w:rPr>
                <w:rFonts w:eastAsia="Times New Roman"/>
              </w:rPr>
            </w:pPr>
          </w:p>
        </w:tc>
        <w:tc>
          <w:tcPr>
            <w:tcW w:w="0" w:type="auto"/>
            <w:gridSpan w:val="3"/>
            <w:vAlign w:val="center"/>
            <w:hideMark/>
          </w:tcPr>
          <w:p w:rsidR="00000000" w:rsidRDefault="001F1FC8">
            <w:pPr>
              <w:rPr>
                <w:rFonts w:eastAsia="Times New Roman"/>
                <w:sz w:val="20"/>
                <w:szCs w:val="20"/>
              </w:rPr>
            </w:pPr>
          </w:p>
        </w:tc>
        <w:tc>
          <w:tcPr>
            <w:tcW w:w="0" w:type="auto"/>
            <w:gridSpan w:val="3"/>
            <w:vAlign w:val="center"/>
            <w:hideMark/>
          </w:tcPr>
          <w:p w:rsidR="00000000" w:rsidRDefault="001F1FC8">
            <w:pPr>
              <w:rPr>
                <w:rFonts w:eastAsia="Times New Roman"/>
                <w:sz w:val="20"/>
                <w:szCs w:val="20"/>
              </w:rPr>
            </w:pPr>
          </w:p>
        </w:tc>
      </w:tr>
      <w:tr w:rsidR="00000000">
        <w:trPr>
          <w:divId w:val="1671525178"/>
          <w:jc w:val="center"/>
        </w:trPr>
        <w:tc>
          <w:tcPr>
            <w:tcW w:w="0" w:type="auto"/>
            <w:gridSpan w:val="3"/>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 xml:space="preserve">32. </w:t>
            </w:r>
          </w:p>
        </w:tc>
        <w:tc>
          <w:tcPr>
            <w:tcW w:w="0" w:type="auto"/>
            <w:gridSpan w:val="3"/>
            <w:tcMar>
              <w:top w:w="30" w:type="dxa"/>
              <w:left w:w="20" w:type="dxa"/>
              <w:bottom w:w="30" w:type="dxa"/>
              <w:right w:w="20" w:type="dxa"/>
            </w:tcMar>
            <w:vAlign w:val="bottom"/>
            <w:hideMark/>
          </w:tcPr>
          <w:p w:rsidR="00000000" w:rsidRDefault="001F1FC8">
            <w:pPr>
              <w:rPr>
                <w:rFonts w:eastAsia="Times New Roman"/>
              </w:rPr>
            </w:pPr>
            <w:r>
              <w:rPr>
                <w:rFonts w:ascii="Arial" w:eastAsia="Times New Roman" w:hAnsi="Arial" w:cs="Arial"/>
                <w:color w:val="000000"/>
                <w:sz w:val="20"/>
                <w:szCs w:val="20"/>
              </w:rPr>
              <w:t>Quarterly Financial Data (Unaudited)</w:t>
            </w:r>
          </w:p>
        </w:tc>
        <w:tc>
          <w:tcPr>
            <w:tcW w:w="0" w:type="auto"/>
            <w:gridSpan w:val="3"/>
            <w:tcMar>
              <w:top w:w="30" w:type="dxa"/>
              <w:left w:w="20" w:type="dxa"/>
              <w:bottom w:w="30" w:type="dxa"/>
              <w:right w:w="20" w:type="dxa"/>
            </w:tcMar>
            <w:vAlign w:val="bottom"/>
            <w:hideMark/>
          </w:tcPr>
          <w:p w:rsidR="00000000" w:rsidRDefault="001F1FC8">
            <w:pPr>
              <w:jc w:val="center"/>
              <w:rPr>
                <w:rFonts w:eastAsia="Times New Roman"/>
              </w:rPr>
            </w:pPr>
            <w:hyperlink w:anchor="iec242c2d4e1d466fad82d89d469f78fa_388" w:history="1">
              <w:r>
                <w:rPr>
                  <w:rStyle w:val="a3"/>
                  <w:rFonts w:ascii="Arial" w:eastAsia="Times New Roman" w:hAnsi="Arial" w:cs="Arial"/>
                  <w:sz w:val="20"/>
                  <w:szCs w:val="20"/>
                </w:rPr>
                <w:t>178</w:t>
              </w:r>
            </w:hyperlink>
          </w:p>
        </w:tc>
      </w:tr>
    </w:tbl>
    <w:p w:rsidR="00000000" w:rsidRDefault="001F1FC8">
      <w:pPr>
        <w:jc w:val="center"/>
        <w:rPr>
          <w:rFonts w:eastAsia="Times New Roman"/>
        </w:rPr>
      </w:pPr>
    </w:p>
    <w:p w:rsidR="00000000" w:rsidRDefault="001F1FC8">
      <w:pPr>
        <w:jc w:val="center"/>
        <w:divId w:val="322853621"/>
        <w:rPr>
          <w:rFonts w:eastAsia="Times New Roman"/>
        </w:rPr>
      </w:pPr>
      <w:r>
        <w:rPr>
          <w:rFonts w:ascii="Arial" w:eastAsia="Times New Roman" w:hAnsi="Arial" w:cs="Arial"/>
          <w:color w:val="000000"/>
          <w:sz w:val="20"/>
          <w:szCs w:val="20"/>
        </w:rPr>
        <w:t>102</w:t>
      </w:r>
    </w:p>
    <w:p w:rsidR="00000000" w:rsidRDefault="001F1FC8">
      <w:pPr>
        <w:rPr>
          <w:rFonts w:eastAsia="Times New Roman"/>
        </w:rPr>
      </w:pPr>
      <w:r>
        <w:rPr>
          <w:rFonts w:eastAsia="Times New Roman"/>
        </w:rPr>
        <w:pict>
          <v:rect id="_x0000_i1132" style="width:0;height:1.5pt" o:hralign="center" o:hrstd="t" o:hr="t" fillcolor="#a0a0a0" stroked="f"/>
        </w:pict>
      </w:r>
    </w:p>
    <w:p w:rsidR="00000000" w:rsidRDefault="001F1FC8">
      <w:pPr>
        <w:jc w:val="center"/>
        <w:divId w:val="538736562"/>
        <w:rPr>
          <w:rFonts w:eastAsia="Times New Roman"/>
        </w:rPr>
      </w:pPr>
    </w:p>
    <w:p w:rsidR="00000000" w:rsidRDefault="001F1FC8">
      <w:pPr>
        <w:divId w:val="415711545"/>
        <w:rPr>
          <w:rFonts w:eastAsia="Times New Roman"/>
        </w:rPr>
      </w:pPr>
      <w:r>
        <w:rPr>
          <w:rFonts w:ascii="Arial" w:eastAsia="Times New Roman" w:hAnsi="Arial" w:cs="Arial"/>
          <w:b/>
          <w:bCs/>
          <w:color w:val="000000"/>
          <w:sz w:val="26"/>
          <w:szCs w:val="26"/>
        </w:rPr>
        <w:t>1. BUSINESS OVERVIEW</w:t>
      </w:r>
    </w:p>
    <w:p w:rsidR="00000000" w:rsidRDefault="001F1FC8">
      <w:pPr>
        <w:divId w:val="1160270814"/>
        <w:rPr>
          <w:rFonts w:eastAsia="Times New Roman"/>
        </w:rPr>
      </w:pPr>
    </w:p>
    <w:p w:rsidR="00000000" w:rsidRDefault="001F1FC8">
      <w:pPr>
        <w:divId w:val="510946500"/>
        <w:rPr>
          <w:rFonts w:eastAsia="Times New Roman"/>
        </w:rPr>
      </w:pPr>
      <w:r>
        <w:rPr>
          <w:rFonts w:ascii="Arial" w:eastAsia="Times New Roman" w:hAnsi="Arial" w:cs="Arial"/>
          <w:color w:val="000000"/>
          <w:sz w:val="20"/>
          <w:szCs w:val="20"/>
        </w:rPr>
        <w:t>The terms "we," "our," "us" and "Enbridge" as used in this report refer collectively to Enbridge Inc. and its subsidiaries unless the context suggests otherwise. These terms are used for convenie</w:t>
      </w:r>
      <w:r>
        <w:rPr>
          <w:rFonts w:ascii="Arial" w:eastAsia="Times New Roman" w:hAnsi="Arial" w:cs="Arial"/>
          <w:color w:val="000000"/>
          <w:sz w:val="20"/>
          <w:szCs w:val="20"/>
        </w:rPr>
        <w:t>nce only and are not intended as a precise description of any separate legal entity within Enbridge.</w:t>
      </w:r>
    </w:p>
    <w:p w:rsidR="00000000" w:rsidRDefault="001F1FC8">
      <w:pPr>
        <w:divId w:val="1411853088"/>
        <w:rPr>
          <w:rFonts w:eastAsia="Times New Roman"/>
        </w:rPr>
      </w:pPr>
      <w:r>
        <w:rPr>
          <w:rFonts w:ascii="Arial" w:eastAsia="Times New Roman" w:hAnsi="Arial" w:cs="Arial"/>
          <w:color w:val="000000"/>
          <w:sz w:val="20"/>
          <w:szCs w:val="20"/>
        </w:rPr>
        <w:t> </w:t>
      </w:r>
    </w:p>
    <w:p w:rsidR="00000000" w:rsidRDefault="001F1FC8">
      <w:pPr>
        <w:divId w:val="2007780153"/>
        <w:rPr>
          <w:rFonts w:eastAsia="Times New Roman"/>
        </w:rPr>
      </w:pPr>
      <w:r>
        <w:rPr>
          <w:rFonts w:ascii="Arial" w:eastAsia="Times New Roman" w:hAnsi="Arial" w:cs="Arial"/>
          <w:color w:val="000000"/>
          <w:sz w:val="20"/>
          <w:szCs w:val="20"/>
        </w:rPr>
        <w:t xml:space="preserve">Enbridge is a publicly traded energy transportation and distribution company. We conduct our business through five business segments: Liquids Pipelines, </w:t>
      </w:r>
      <w:r>
        <w:rPr>
          <w:rFonts w:ascii="Arial" w:eastAsia="Times New Roman" w:hAnsi="Arial" w:cs="Arial"/>
          <w:color w:val="000000"/>
          <w:sz w:val="20"/>
          <w:szCs w:val="20"/>
        </w:rPr>
        <w:t>Gas Transmission and Midstream, Gas Distribution and Storage, Renewable Power Generation, and Energy Services. These reporting segments are strategic business units established by senior management to facilitate the achievement of our long-term objectives,</w:t>
      </w:r>
      <w:r>
        <w:rPr>
          <w:rFonts w:ascii="Arial" w:eastAsia="Times New Roman" w:hAnsi="Arial" w:cs="Arial"/>
          <w:color w:val="000000"/>
          <w:sz w:val="20"/>
          <w:szCs w:val="20"/>
        </w:rPr>
        <w:t xml:space="preserve"> to aid in resource allocation decisions and to assess operational performance.</w:t>
      </w:r>
    </w:p>
    <w:p w:rsidR="00000000" w:rsidRDefault="001F1FC8">
      <w:pPr>
        <w:divId w:val="1581333118"/>
        <w:rPr>
          <w:rFonts w:eastAsia="Times New Roman"/>
        </w:rPr>
      </w:pPr>
    </w:p>
    <w:p w:rsidR="00000000" w:rsidRDefault="001F1FC8">
      <w:pPr>
        <w:divId w:val="218707435"/>
        <w:rPr>
          <w:rFonts w:eastAsia="Times New Roman"/>
        </w:rPr>
      </w:pPr>
      <w:r>
        <w:rPr>
          <w:rFonts w:ascii="Arial" w:eastAsia="Times New Roman" w:hAnsi="Arial" w:cs="Arial"/>
          <w:b/>
          <w:bCs/>
          <w:color w:val="000000"/>
          <w:sz w:val="20"/>
          <w:szCs w:val="20"/>
        </w:rPr>
        <w:t>LIQUIDS PIPELINES</w:t>
      </w:r>
    </w:p>
    <w:p w:rsidR="00000000" w:rsidRDefault="001F1FC8">
      <w:pPr>
        <w:divId w:val="153304288"/>
        <w:rPr>
          <w:rFonts w:eastAsia="Times New Roman"/>
        </w:rPr>
      </w:pPr>
      <w:r>
        <w:rPr>
          <w:rFonts w:ascii="Arial" w:eastAsia="Times New Roman" w:hAnsi="Arial" w:cs="Arial"/>
          <w:color w:val="000000"/>
          <w:sz w:val="20"/>
          <w:szCs w:val="20"/>
        </w:rPr>
        <w:t>Liquids Pipelines consists of pipelines and terminals in Canada and the United States (US) that transport various grades of crude oil and other liquid hydrocarbons, including the Mainline System, Regional Oil Sands System, Gulf Coast and Mid-Continent, Sou</w:t>
      </w:r>
      <w:r>
        <w:rPr>
          <w:rFonts w:ascii="Arial" w:eastAsia="Times New Roman" w:hAnsi="Arial" w:cs="Arial"/>
          <w:color w:val="000000"/>
          <w:sz w:val="20"/>
          <w:szCs w:val="20"/>
        </w:rPr>
        <w:t xml:space="preserve">thern Lights Pipeline, Express-Platte System, Bakken System, and Feeder Pipelines and Other. This segment also includes Moda Midstream Operating, LLC (Moda) which was acquired on October 12, 2021 </w:t>
      </w:r>
      <w:r>
        <w:rPr>
          <w:rFonts w:ascii="Arial" w:eastAsia="Times New Roman" w:hAnsi="Arial" w:cs="Arial"/>
          <w:i/>
          <w:iCs/>
          <w:color w:val="000000"/>
          <w:sz w:val="16"/>
          <w:szCs w:val="16"/>
        </w:rPr>
        <w:t>(Note 8)</w:t>
      </w:r>
      <w:r>
        <w:rPr>
          <w:rFonts w:ascii="Arial" w:eastAsia="Times New Roman" w:hAnsi="Arial" w:cs="Arial"/>
          <w:color w:val="000000"/>
          <w:sz w:val="20"/>
          <w:szCs w:val="20"/>
        </w:rPr>
        <w:t xml:space="preserve"> and is a component of Gulf Coast and Mid-Continent.</w:t>
      </w:r>
    </w:p>
    <w:p w:rsidR="00000000" w:rsidRDefault="001F1FC8">
      <w:pPr>
        <w:divId w:val="1733239107"/>
        <w:rPr>
          <w:rFonts w:eastAsia="Times New Roman"/>
        </w:rPr>
      </w:pPr>
    </w:p>
    <w:p w:rsidR="00000000" w:rsidRDefault="001F1FC8">
      <w:pPr>
        <w:jc w:val="both"/>
        <w:rPr>
          <w:rFonts w:eastAsia="Times New Roman"/>
        </w:rPr>
      </w:pPr>
      <w:r>
        <w:rPr>
          <w:rFonts w:ascii="Arial" w:eastAsia="Times New Roman" w:hAnsi="Arial" w:cs="Arial"/>
          <w:b/>
          <w:bCs/>
          <w:color w:val="000000"/>
          <w:sz w:val="20"/>
          <w:szCs w:val="20"/>
        </w:rPr>
        <w:t>GAS TRANSMISSION AND MIDSTREAM</w:t>
      </w:r>
    </w:p>
    <w:p w:rsidR="00000000" w:rsidRDefault="001F1FC8">
      <w:pPr>
        <w:divId w:val="153496184"/>
        <w:rPr>
          <w:rFonts w:eastAsia="Times New Roman"/>
        </w:rPr>
      </w:pPr>
      <w:r>
        <w:rPr>
          <w:rFonts w:ascii="Arial" w:eastAsia="Times New Roman" w:hAnsi="Arial" w:cs="Arial"/>
          <w:color w:val="000000"/>
          <w:sz w:val="20"/>
          <w:szCs w:val="20"/>
        </w:rPr>
        <w:t>Gas Transmission and Midstream consists of our investments in natural gas pipelines and gathering and processing facilities in Canada and the US, including US Gas Transmission, Canadian Gas Transmission, US Midstream and O</w:t>
      </w:r>
      <w:r>
        <w:rPr>
          <w:rFonts w:ascii="Arial" w:eastAsia="Times New Roman" w:hAnsi="Arial" w:cs="Arial"/>
          <w:color w:val="000000"/>
          <w:sz w:val="20"/>
          <w:szCs w:val="20"/>
        </w:rPr>
        <w:t>ther.</w:t>
      </w:r>
    </w:p>
    <w:p w:rsidR="00000000" w:rsidRDefault="001F1FC8">
      <w:pPr>
        <w:divId w:val="1575503175"/>
        <w:rPr>
          <w:rFonts w:eastAsia="Times New Roman"/>
        </w:rPr>
      </w:pPr>
    </w:p>
    <w:p w:rsidR="00000000" w:rsidRDefault="001F1FC8">
      <w:pPr>
        <w:divId w:val="1593659054"/>
        <w:rPr>
          <w:rFonts w:eastAsia="Times New Roman"/>
        </w:rPr>
      </w:pPr>
      <w:r>
        <w:rPr>
          <w:rFonts w:ascii="Arial" w:eastAsia="Times New Roman" w:hAnsi="Arial" w:cs="Arial"/>
          <w:b/>
          <w:bCs/>
          <w:color w:val="000000"/>
          <w:sz w:val="20"/>
          <w:szCs w:val="20"/>
        </w:rPr>
        <w:t>GAS DISTRIBUTION AND STORAGE</w:t>
      </w:r>
    </w:p>
    <w:p w:rsidR="00000000" w:rsidRDefault="001F1FC8">
      <w:pPr>
        <w:divId w:val="117840419"/>
        <w:rPr>
          <w:rFonts w:eastAsia="Times New Roman"/>
        </w:rPr>
      </w:pPr>
      <w:r>
        <w:rPr>
          <w:rFonts w:ascii="Arial" w:eastAsia="Times New Roman" w:hAnsi="Arial" w:cs="Arial"/>
          <w:color w:val="000000"/>
          <w:sz w:val="20"/>
          <w:szCs w:val="20"/>
        </w:rPr>
        <w:t>Gas Distribution and Storage consists of our natural gas utility operations, the core of which is Enbridge Gas Inc. (Enbridge Gas), which serves residential, commercial and industrial customers located throughout Ontari</w:t>
      </w:r>
      <w:r>
        <w:rPr>
          <w:rFonts w:ascii="Arial" w:eastAsia="Times New Roman" w:hAnsi="Arial" w:cs="Arial"/>
          <w:color w:val="000000"/>
          <w:sz w:val="20"/>
          <w:szCs w:val="20"/>
        </w:rPr>
        <w:t xml:space="preserve">o. This business segment also includes natural gas distribution activities in Québec and an investment in Noverco Inc. (Noverco). We sold our investment in Noverco to Trencap L.P. on December 30, 2021 </w:t>
      </w:r>
      <w:r>
        <w:rPr>
          <w:rFonts w:ascii="Arial" w:eastAsia="Times New Roman" w:hAnsi="Arial" w:cs="Arial"/>
          <w:i/>
          <w:iCs/>
          <w:color w:val="000000"/>
          <w:sz w:val="16"/>
          <w:szCs w:val="16"/>
        </w:rPr>
        <w:t>(Note 13)</w:t>
      </w:r>
      <w:r>
        <w:rPr>
          <w:rFonts w:ascii="Arial" w:eastAsia="Times New Roman" w:hAnsi="Arial" w:cs="Arial"/>
          <w:color w:val="000000"/>
          <w:sz w:val="20"/>
          <w:szCs w:val="20"/>
        </w:rPr>
        <w:t>.</w:t>
      </w:r>
    </w:p>
    <w:p w:rsidR="00000000" w:rsidRDefault="001F1FC8">
      <w:pPr>
        <w:divId w:val="761798485"/>
        <w:rPr>
          <w:rFonts w:eastAsia="Times New Roman"/>
        </w:rPr>
      </w:pPr>
    </w:p>
    <w:p w:rsidR="00000000" w:rsidRDefault="001F1FC8">
      <w:pPr>
        <w:jc w:val="both"/>
        <w:rPr>
          <w:rFonts w:eastAsia="Times New Roman"/>
        </w:rPr>
      </w:pPr>
      <w:r>
        <w:rPr>
          <w:rFonts w:ascii="Arial" w:eastAsia="Times New Roman" w:hAnsi="Arial" w:cs="Arial"/>
          <w:b/>
          <w:bCs/>
          <w:color w:val="000000"/>
          <w:sz w:val="20"/>
          <w:szCs w:val="20"/>
        </w:rPr>
        <w:t>RENEWABLE POWER GENERATION</w:t>
      </w:r>
    </w:p>
    <w:p w:rsidR="00000000" w:rsidRDefault="001F1FC8">
      <w:pPr>
        <w:divId w:val="21369545"/>
        <w:rPr>
          <w:rFonts w:eastAsia="Times New Roman"/>
        </w:rPr>
      </w:pPr>
      <w:r>
        <w:rPr>
          <w:rFonts w:ascii="Arial" w:eastAsia="Times New Roman" w:hAnsi="Arial" w:cs="Arial"/>
          <w:color w:val="000000"/>
          <w:sz w:val="20"/>
          <w:szCs w:val="20"/>
        </w:rPr>
        <w:t>Renewable Power</w:t>
      </w:r>
      <w:r>
        <w:rPr>
          <w:rFonts w:ascii="Arial" w:eastAsia="Times New Roman" w:hAnsi="Arial" w:cs="Arial"/>
          <w:color w:val="000000"/>
          <w:sz w:val="20"/>
          <w:szCs w:val="20"/>
        </w:rPr>
        <w:t xml:space="preserve"> Generation consists primarily of investments in wind and solar assets, as well as geothermal, waste heat recovery and transmission assets. In North America, assets are primarily located in the provinces of Alberta, Saskatchewan, Ontario and Québec, and in</w:t>
      </w:r>
      <w:r>
        <w:rPr>
          <w:rFonts w:ascii="Arial" w:eastAsia="Times New Roman" w:hAnsi="Arial" w:cs="Arial"/>
          <w:color w:val="000000"/>
          <w:sz w:val="20"/>
          <w:szCs w:val="20"/>
        </w:rPr>
        <w:t xml:space="preserve"> the states of Colorado, Texas, Indiana and West Virginia. We also have offshore wind assets in operation and under development in the United Kingdom, Germany and France.</w:t>
      </w:r>
    </w:p>
    <w:p w:rsidR="00000000" w:rsidRDefault="001F1FC8">
      <w:pPr>
        <w:divId w:val="904989471"/>
        <w:rPr>
          <w:rFonts w:eastAsia="Times New Roman"/>
        </w:rPr>
      </w:pPr>
    </w:p>
    <w:p w:rsidR="00000000" w:rsidRDefault="001F1FC8">
      <w:pPr>
        <w:divId w:val="769161412"/>
        <w:rPr>
          <w:rFonts w:eastAsia="Times New Roman"/>
        </w:rPr>
      </w:pPr>
      <w:r>
        <w:rPr>
          <w:rFonts w:ascii="Arial" w:eastAsia="Times New Roman" w:hAnsi="Arial" w:cs="Arial"/>
          <w:b/>
          <w:bCs/>
          <w:color w:val="000000"/>
          <w:sz w:val="20"/>
          <w:szCs w:val="20"/>
        </w:rPr>
        <w:t>ENERGY SERVICES</w:t>
      </w:r>
    </w:p>
    <w:p w:rsidR="00000000" w:rsidRDefault="001F1FC8">
      <w:pPr>
        <w:divId w:val="736242416"/>
        <w:rPr>
          <w:rFonts w:eastAsia="Times New Roman"/>
        </w:rPr>
      </w:pPr>
      <w:r>
        <w:rPr>
          <w:rFonts w:ascii="Arial" w:eastAsia="Times New Roman" w:hAnsi="Arial" w:cs="Arial"/>
          <w:color w:val="000000"/>
          <w:sz w:val="20"/>
          <w:szCs w:val="20"/>
        </w:rPr>
        <w:t>Our Energy Services businesses in Canada and the US undertake physi</w:t>
      </w:r>
      <w:r>
        <w:rPr>
          <w:rFonts w:ascii="Arial" w:eastAsia="Times New Roman" w:hAnsi="Arial" w:cs="Arial"/>
          <w:color w:val="000000"/>
          <w:sz w:val="20"/>
          <w:szCs w:val="20"/>
        </w:rPr>
        <w:t>cal commodity marketing activity and logistical services to manage our volume commitments on various pipeline systems. Energy Services also provides energy marketing services to North American refiners, producers and other customers.</w:t>
      </w:r>
    </w:p>
    <w:p w:rsidR="00000000" w:rsidRDefault="001F1FC8">
      <w:pPr>
        <w:divId w:val="1019047379"/>
        <w:rPr>
          <w:rFonts w:eastAsia="Times New Roman"/>
        </w:rPr>
      </w:pPr>
    </w:p>
    <w:p w:rsidR="00000000" w:rsidRDefault="001F1FC8">
      <w:pPr>
        <w:divId w:val="1697074099"/>
        <w:rPr>
          <w:rFonts w:eastAsia="Times New Roman"/>
        </w:rPr>
      </w:pPr>
      <w:r>
        <w:rPr>
          <w:rFonts w:ascii="Arial" w:eastAsia="Times New Roman" w:hAnsi="Arial" w:cs="Arial"/>
          <w:b/>
          <w:bCs/>
          <w:color w:val="000000"/>
          <w:sz w:val="20"/>
          <w:szCs w:val="20"/>
        </w:rPr>
        <w:t>ELIMINATIONS AND OTH</w:t>
      </w:r>
      <w:r>
        <w:rPr>
          <w:rFonts w:ascii="Arial" w:eastAsia="Times New Roman" w:hAnsi="Arial" w:cs="Arial"/>
          <w:b/>
          <w:bCs/>
          <w:color w:val="000000"/>
          <w:sz w:val="20"/>
          <w:szCs w:val="20"/>
        </w:rPr>
        <w:t>ER</w:t>
      </w:r>
    </w:p>
    <w:p w:rsidR="00000000" w:rsidRDefault="001F1FC8">
      <w:pPr>
        <w:divId w:val="972292909"/>
        <w:rPr>
          <w:rFonts w:eastAsia="Times New Roman"/>
        </w:rPr>
      </w:pPr>
      <w:r>
        <w:rPr>
          <w:rFonts w:ascii="Arial" w:eastAsia="Times New Roman" w:hAnsi="Arial" w:cs="Arial"/>
          <w:color w:val="000000"/>
          <w:sz w:val="20"/>
          <w:szCs w:val="20"/>
        </w:rPr>
        <w:t>In addition to the business segments noted above, Eliminations and Other includes operating and administrative costs that are not allocated to business segments as well as a foreign exchange hedging program. Eliminations and Other also includes new busi</w:t>
      </w:r>
      <w:r>
        <w:rPr>
          <w:rFonts w:ascii="Arial" w:eastAsia="Times New Roman" w:hAnsi="Arial" w:cs="Arial"/>
          <w:color w:val="000000"/>
          <w:sz w:val="20"/>
          <w:szCs w:val="20"/>
        </w:rPr>
        <w:t>ness development activities and corporate investments.</w:t>
      </w:r>
    </w:p>
    <w:p w:rsidR="00000000" w:rsidRDefault="001F1FC8">
      <w:pPr>
        <w:divId w:val="1438983933"/>
        <w:rPr>
          <w:rFonts w:eastAsia="Times New Roman"/>
        </w:rPr>
      </w:pPr>
    </w:p>
    <w:p w:rsidR="00000000" w:rsidRDefault="001F1FC8">
      <w:pPr>
        <w:jc w:val="center"/>
        <w:divId w:val="1338118262"/>
        <w:rPr>
          <w:rFonts w:eastAsia="Times New Roman"/>
        </w:rPr>
      </w:pPr>
      <w:r>
        <w:rPr>
          <w:rFonts w:ascii="Arial" w:eastAsia="Times New Roman" w:hAnsi="Arial" w:cs="Arial"/>
          <w:color w:val="000000"/>
          <w:sz w:val="20"/>
          <w:szCs w:val="20"/>
        </w:rPr>
        <w:t>103</w:t>
      </w:r>
    </w:p>
    <w:p w:rsidR="00000000" w:rsidRDefault="001F1FC8">
      <w:pPr>
        <w:rPr>
          <w:rFonts w:eastAsia="Times New Roman"/>
        </w:rPr>
      </w:pPr>
      <w:r>
        <w:rPr>
          <w:rFonts w:eastAsia="Times New Roman"/>
        </w:rPr>
        <w:pict>
          <v:rect id="_x0000_i1133" style="width:0;height:1.5pt" o:hralign="center" o:hrstd="t" o:hr="t" fillcolor="#a0a0a0" stroked="f"/>
        </w:pict>
      </w:r>
    </w:p>
    <w:p w:rsidR="00000000" w:rsidRDefault="001F1FC8">
      <w:pPr>
        <w:jc w:val="center"/>
        <w:divId w:val="732506933"/>
        <w:rPr>
          <w:rFonts w:eastAsia="Times New Roman"/>
        </w:rPr>
      </w:pPr>
    </w:p>
    <w:p w:rsidR="00000000" w:rsidRDefault="001F1FC8">
      <w:pPr>
        <w:divId w:val="577790053"/>
        <w:rPr>
          <w:rFonts w:eastAsia="Times New Roman"/>
        </w:rPr>
      </w:pPr>
      <w:r>
        <w:rPr>
          <w:rFonts w:ascii="Arial" w:eastAsia="Times New Roman" w:hAnsi="Arial" w:cs="Arial"/>
          <w:b/>
          <w:bCs/>
          <w:color w:val="000000"/>
          <w:sz w:val="26"/>
          <w:szCs w:val="26"/>
        </w:rPr>
        <w:t>2. SIGNIFICANT ACCOUNTING POLICIES</w:t>
      </w:r>
    </w:p>
    <w:p w:rsidR="00000000" w:rsidRDefault="001F1FC8">
      <w:pPr>
        <w:divId w:val="459109448"/>
        <w:rPr>
          <w:rFonts w:eastAsia="Times New Roman"/>
        </w:rPr>
      </w:pPr>
    </w:p>
    <w:p w:rsidR="00000000" w:rsidRDefault="001F1FC8">
      <w:pPr>
        <w:divId w:val="269751087"/>
        <w:rPr>
          <w:rFonts w:eastAsia="Times New Roman"/>
        </w:rPr>
      </w:pPr>
      <w:r>
        <w:rPr>
          <w:rFonts w:ascii="Arial" w:eastAsia="Times New Roman" w:hAnsi="Arial" w:cs="Arial"/>
          <w:color w:val="000000"/>
          <w:sz w:val="20"/>
          <w:szCs w:val="20"/>
        </w:rPr>
        <w:t>These consolidated financial statements are prepared in accordance with accounting principles generally accepted in the</w:t>
      </w:r>
      <w:r>
        <w:rPr>
          <w:rFonts w:ascii="Arial" w:eastAsia="Times New Roman" w:hAnsi="Arial" w:cs="Arial"/>
          <w:color w:val="000000"/>
          <w:sz w:val="20"/>
          <w:szCs w:val="20"/>
        </w:rPr>
        <w:t xml:space="preserve"> United States of America (US GAAP). Amounts are stated in Canadian dollars unless otherwise noted. As a Securities and Exchange Commission (SEC) registrant, we are permitted to use US GAAP for the purposes of meeting both our Canadian and US continuous di</w:t>
      </w:r>
      <w:r>
        <w:rPr>
          <w:rFonts w:ascii="Arial" w:eastAsia="Times New Roman" w:hAnsi="Arial" w:cs="Arial"/>
          <w:color w:val="000000"/>
          <w:sz w:val="20"/>
          <w:szCs w:val="20"/>
        </w:rPr>
        <w:t>sclosure requirements.</w:t>
      </w:r>
    </w:p>
    <w:p w:rsidR="00000000" w:rsidRDefault="001F1FC8">
      <w:pPr>
        <w:divId w:val="299652241"/>
        <w:rPr>
          <w:rFonts w:eastAsia="Times New Roman"/>
        </w:rPr>
      </w:pPr>
    </w:p>
    <w:p w:rsidR="00000000" w:rsidRDefault="001F1FC8">
      <w:pPr>
        <w:divId w:val="1444156649"/>
        <w:rPr>
          <w:rFonts w:eastAsia="Times New Roman"/>
        </w:rPr>
      </w:pPr>
      <w:r>
        <w:rPr>
          <w:rFonts w:ascii="Arial" w:eastAsia="Times New Roman" w:hAnsi="Arial" w:cs="Arial"/>
          <w:b/>
          <w:bCs/>
          <w:color w:val="000000"/>
          <w:sz w:val="20"/>
          <w:szCs w:val="20"/>
        </w:rPr>
        <w:t>BASIS OF PRESENTATION AND USE OF ESTIMATES</w:t>
      </w:r>
    </w:p>
    <w:p w:rsidR="00000000" w:rsidRDefault="001F1FC8">
      <w:pPr>
        <w:divId w:val="1134255158"/>
        <w:rPr>
          <w:rFonts w:eastAsia="Times New Roman"/>
        </w:rPr>
      </w:pPr>
      <w:r>
        <w:rPr>
          <w:rFonts w:ascii="Arial" w:eastAsia="Times New Roman" w:hAnsi="Arial" w:cs="Arial"/>
          <w:color w:val="000000"/>
          <w:sz w:val="20"/>
          <w:szCs w:val="20"/>
        </w:rPr>
        <w:t>The preparation of financial statements in conformity with US GAAP requires management to make estimates and assumptions that affect the reported amounts of assets, liabilities, revenues a</w:t>
      </w:r>
      <w:r>
        <w:rPr>
          <w:rFonts w:ascii="Arial" w:eastAsia="Times New Roman" w:hAnsi="Arial" w:cs="Arial"/>
          <w:color w:val="000000"/>
          <w:sz w:val="20"/>
          <w:szCs w:val="20"/>
        </w:rPr>
        <w:t>nd expenses, as well as the disclosure of contingent assets and liabilities in the consolidated financial statements. Significant estimates and assumptions used in the preparation of the consolidated financial statements include, but are not limited to: va</w:t>
      </w:r>
      <w:r>
        <w:rPr>
          <w:rFonts w:ascii="Arial" w:eastAsia="Times New Roman" w:hAnsi="Arial" w:cs="Arial"/>
          <w:color w:val="000000"/>
          <w:sz w:val="20"/>
          <w:szCs w:val="20"/>
        </w:rPr>
        <w:t>riable consideration included in revenue</w:t>
      </w:r>
      <w:r>
        <w:rPr>
          <w:rFonts w:ascii="Arial" w:eastAsia="Times New Roman" w:hAnsi="Arial" w:cs="Arial"/>
          <w:i/>
          <w:iCs/>
          <w:color w:val="000000"/>
          <w:sz w:val="16"/>
          <w:szCs w:val="16"/>
        </w:rPr>
        <w:t xml:space="preserve"> (Note 4);</w:t>
      </w:r>
      <w:r>
        <w:rPr>
          <w:rFonts w:ascii="Arial" w:eastAsia="Times New Roman" w:hAnsi="Arial" w:cs="Arial"/>
          <w:color w:val="000000"/>
          <w:sz w:val="20"/>
          <w:szCs w:val="20"/>
        </w:rPr>
        <w:t xml:space="preserve"> carrying values of regulatory assets and liabilities </w:t>
      </w:r>
      <w:r>
        <w:rPr>
          <w:rFonts w:ascii="Arial" w:eastAsia="Times New Roman" w:hAnsi="Arial" w:cs="Arial"/>
          <w:i/>
          <w:iCs/>
          <w:color w:val="000000"/>
          <w:sz w:val="16"/>
          <w:szCs w:val="16"/>
        </w:rPr>
        <w:t>(Note 7)</w:t>
      </w:r>
      <w:r>
        <w:rPr>
          <w:rFonts w:ascii="Arial" w:eastAsia="Times New Roman" w:hAnsi="Arial" w:cs="Arial"/>
          <w:color w:val="000000"/>
          <w:sz w:val="20"/>
          <w:szCs w:val="20"/>
        </w:rPr>
        <w:t xml:space="preserve">; purchase price allocations </w:t>
      </w:r>
      <w:r>
        <w:rPr>
          <w:rFonts w:ascii="Arial" w:eastAsia="Times New Roman" w:hAnsi="Arial" w:cs="Arial"/>
          <w:i/>
          <w:iCs/>
          <w:color w:val="000000"/>
          <w:sz w:val="16"/>
          <w:szCs w:val="16"/>
        </w:rPr>
        <w:t>(Note 8)</w:t>
      </w:r>
      <w:r>
        <w:rPr>
          <w:rFonts w:ascii="Arial" w:eastAsia="Times New Roman" w:hAnsi="Arial" w:cs="Arial"/>
          <w:color w:val="000000"/>
          <w:sz w:val="20"/>
          <w:szCs w:val="20"/>
        </w:rPr>
        <w:t>; unbilled revenues; expected credit losses; depreciation rates and carrying value of property, plant and e</w:t>
      </w:r>
      <w:r>
        <w:rPr>
          <w:rFonts w:ascii="Arial" w:eastAsia="Times New Roman" w:hAnsi="Arial" w:cs="Arial"/>
          <w:color w:val="000000"/>
          <w:sz w:val="20"/>
          <w:szCs w:val="20"/>
        </w:rPr>
        <w:t xml:space="preserve">quipment </w:t>
      </w:r>
      <w:r>
        <w:rPr>
          <w:rFonts w:ascii="Arial" w:eastAsia="Times New Roman" w:hAnsi="Arial" w:cs="Arial"/>
          <w:i/>
          <w:iCs/>
          <w:color w:val="000000"/>
          <w:sz w:val="16"/>
          <w:szCs w:val="16"/>
        </w:rPr>
        <w:t>(Note 11)</w:t>
      </w:r>
      <w:r>
        <w:rPr>
          <w:rFonts w:ascii="Arial" w:eastAsia="Times New Roman" w:hAnsi="Arial" w:cs="Arial"/>
          <w:color w:val="000000"/>
          <w:sz w:val="20"/>
          <w:szCs w:val="20"/>
        </w:rPr>
        <w:t xml:space="preserve">; amortization rates and carrying value of intangible assets </w:t>
      </w:r>
      <w:r>
        <w:rPr>
          <w:rFonts w:ascii="Arial" w:eastAsia="Times New Roman" w:hAnsi="Arial" w:cs="Arial"/>
          <w:i/>
          <w:iCs/>
          <w:color w:val="000000"/>
          <w:sz w:val="16"/>
          <w:szCs w:val="16"/>
        </w:rPr>
        <w:t>(Note 15)</w:t>
      </w:r>
      <w:r>
        <w:rPr>
          <w:rFonts w:ascii="Arial" w:eastAsia="Times New Roman" w:hAnsi="Arial" w:cs="Arial"/>
          <w:color w:val="000000"/>
          <w:sz w:val="20"/>
          <w:szCs w:val="20"/>
        </w:rPr>
        <w:t xml:space="preserve">; measurement of goodwill </w:t>
      </w:r>
      <w:r>
        <w:rPr>
          <w:rFonts w:ascii="Arial" w:eastAsia="Times New Roman" w:hAnsi="Arial" w:cs="Arial"/>
          <w:i/>
          <w:iCs/>
          <w:color w:val="000000"/>
          <w:sz w:val="16"/>
          <w:szCs w:val="16"/>
        </w:rPr>
        <w:t>(Note 16)</w:t>
      </w:r>
      <w:r>
        <w:rPr>
          <w:rFonts w:ascii="Arial" w:eastAsia="Times New Roman" w:hAnsi="Arial" w:cs="Arial"/>
          <w:color w:val="000000"/>
          <w:sz w:val="20"/>
          <w:szCs w:val="20"/>
        </w:rPr>
        <w:t xml:space="preserve">; fair value of asset retirement obligations (ARO) </w:t>
      </w:r>
      <w:r>
        <w:rPr>
          <w:rFonts w:ascii="Arial" w:eastAsia="Times New Roman" w:hAnsi="Arial" w:cs="Arial"/>
          <w:i/>
          <w:iCs/>
          <w:color w:val="000000"/>
          <w:sz w:val="16"/>
          <w:szCs w:val="16"/>
        </w:rPr>
        <w:t>(Note 19)</w:t>
      </w:r>
      <w:r>
        <w:rPr>
          <w:rFonts w:ascii="Arial" w:eastAsia="Times New Roman" w:hAnsi="Arial" w:cs="Arial"/>
          <w:color w:val="000000"/>
          <w:sz w:val="20"/>
          <w:szCs w:val="20"/>
        </w:rPr>
        <w:t xml:space="preserve">; valuation of stock-based compensation </w:t>
      </w:r>
      <w:r>
        <w:rPr>
          <w:rFonts w:ascii="Arial" w:eastAsia="Times New Roman" w:hAnsi="Arial" w:cs="Arial"/>
          <w:i/>
          <w:iCs/>
          <w:color w:val="000000"/>
          <w:sz w:val="16"/>
          <w:szCs w:val="16"/>
        </w:rPr>
        <w:t>(Note 22)</w:t>
      </w:r>
      <w:r>
        <w:rPr>
          <w:rFonts w:ascii="Arial" w:eastAsia="Times New Roman" w:hAnsi="Arial" w:cs="Arial"/>
          <w:color w:val="000000"/>
          <w:sz w:val="20"/>
          <w:szCs w:val="20"/>
        </w:rPr>
        <w:t>; fair value of financia</w:t>
      </w:r>
      <w:r>
        <w:rPr>
          <w:rFonts w:ascii="Arial" w:eastAsia="Times New Roman" w:hAnsi="Arial" w:cs="Arial"/>
          <w:color w:val="000000"/>
          <w:sz w:val="20"/>
          <w:szCs w:val="20"/>
        </w:rPr>
        <w:t xml:space="preserve">l instruments </w:t>
      </w:r>
      <w:r>
        <w:rPr>
          <w:rFonts w:ascii="Arial" w:eastAsia="Times New Roman" w:hAnsi="Arial" w:cs="Arial"/>
          <w:i/>
          <w:iCs/>
          <w:color w:val="000000"/>
          <w:sz w:val="16"/>
          <w:szCs w:val="16"/>
        </w:rPr>
        <w:t>(Note 24)</w:t>
      </w:r>
      <w:r>
        <w:rPr>
          <w:rFonts w:ascii="Arial" w:eastAsia="Times New Roman" w:hAnsi="Arial" w:cs="Arial"/>
          <w:color w:val="000000"/>
          <w:sz w:val="20"/>
          <w:szCs w:val="20"/>
        </w:rPr>
        <w:t xml:space="preserve">; provisions for income taxes </w:t>
      </w:r>
      <w:r>
        <w:rPr>
          <w:rFonts w:ascii="Arial" w:eastAsia="Times New Roman" w:hAnsi="Arial" w:cs="Arial"/>
          <w:i/>
          <w:iCs/>
          <w:color w:val="000000"/>
          <w:sz w:val="16"/>
          <w:szCs w:val="16"/>
        </w:rPr>
        <w:t>(Note 25)</w:t>
      </w:r>
      <w:r>
        <w:rPr>
          <w:rFonts w:ascii="Arial" w:eastAsia="Times New Roman" w:hAnsi="Arial" w:cs="Arial"/>
          <w:color w:val="000000"/>
          <w:sz w:val="20"/>
          <w:szCs w:val="20"/>
        </w:rPr>
        <w:t xml:space="preserve">; assumptions used to measure retirement benefits and OPEB </w:t>
      </w:r>
      <w:r>
        <w:rPr>
          <w:rFonts w:ascii="Arial" w:eastAsia="Times New Roman" w:hAnsi="Arial" w:cs="Arial"/>
          <w:i/>
          <w:iCs/>
          <w:color w:val="000000"/>
          <w:sz w:val="16"/>
          <w:szCs w:val="16"/>
        </w:rPr>
        <w:t>(Note 26)</w:t>
      </w:r>
      <w:r>
        <w:rPr>
          <w:rFonts w:ascii="Arial" w:eastAsia="Times New Roman" w:hAnsi="Arial" w:cs="Arial"/>
          <w:color w:val="000000"/>
          <w:sz w:val="20"/>
          <w:szCs w:val="20"/>
        </w:rPr>
        <w:t xml:space="preserve">; commitments and contingencies </w:t>
      </w:r>
      <w:r>
        <w:rPr>
          <w:rFonts w:ascii="Arial" w:eastAsia="Times New Roman" w:hAnsi="Arial" w:cs="Arial"/>
          <w:i/>
          <w:iCs/>
          <w:color w:val="000000"/>
          <w:sz w:val="16"/>
          <w:szCs w:val="16"/>
        </w:rPr>
        <w:t>(Note 30)</w:t>
      </w:r>
      <w:r>
        <w:rPr>
          <w:rFonts w:ascii="Arial" w:eastAsia="Times New Roman" w:hAnsi="Arial" w:cs="Arial"/>
          <w:color w:val="000000"/>
          <w:sz w:val="20"/>
          <w:szCs w:val="20"/>
        </w:rPr>
        <w:t xml:space="preserve">; and estimates of losses related to environmental remediation obligations </w:t>
      </w:r>
      <w:r>
        <w:rPr>
          <w:rFonts w:ascii="Arial" w:eastAsia="Times New Roman" w:hAnsi="Arial" w:cs="Arial"/>
          <w:i/>
          <w:iCs/>
          <w:color w:val="000000"/>
          <w:sz w:val="16"/>
          <w:szCs w:val="16"/>
        </w:rPr>
        <w:t>(Note 30)</w:t>
      </w:r>
      <w:r>
        <w:rPr>
          <w:rFonts w:ascii="Arial" w:eastAsia="Times New Roman" w:hAnsi="Arial" w:cs="Arial"/>
          <w:color w:val="000000"/>
          <w:sz w:val="20"/>
          <w:szCs w:val="20"/>
        </w:rPr>
        <w:t>.</w:t>
      </w:r>
      <w:r>
        <w:rPr>
          <w:rFonts w:ascii="Arial" w:eastAsia="Times New Roman" w:hAnsi="Arial" w:cs="Arial"/>
          <w:color w:val="000000"/>
          <w:sz w:val="20"/>
          <w:szCs w:val="20"/>
        </w:rPr>
        <w:t xml:space="preserve"> Actual results could differ from these estimates.</w:t>
      </w:r>
    </w:p>
    <w:p w:rsidR="00000000" w:rsidRDefault="001F1FC8">
      <w:pPr>
        <w:divId w:val="457651966"/>
        <w:rPr>
          <w:rFonts w:eastAsia="Times New Roman"/>
        </w:rPr>
      </w:pPr>
    </w:p>
    <w:p w:rsidR="00000000" w:rsidRDefault="001F1FC8">
      <w:pPr>
        <w:divId w:val="1423526066"/>
        <w:rPr>
          <w:rFonts w:eastAsia="Times New Roman"/>
        </w:rPr>
      </w:pPr>
      <w:r>
        <w:rPr>
          <w:rFonts w:ascii="Arial" w:eastAsia="Times New Roman" w:hAnsi="Arial" w:cs="Arial"/>
          <w:color w:val="000000"/>
          <w:sz w:val="20"/>
          <w:szCs w:val="20"/>
        </w:rPr>
        <w:t>Certain comparative figures in our consolidated financial statements have been reclassified to conform to the current year's presentation.</w:t>
      </w:r>
    </w:p>
    <w:p w:rsidR="00000000" w:rsidRDefault="001F1FC8">
      <w:pPr>
        <w:divId w:val="2128694917"/>
        <w:rPr>
          <w:rFonts w:eastAsia="Times New Roman"/>
        </w:rPr>
      </w:pPr>
    </w:p>
    <w:p w:rsidR="00000000" w:rsidRDefault="001F1FC8">
      <w:pPr>
        <w:divId w:val="1443377427"/>
        <w:rPr>
          <w:rFonts w:eastAsia="Times New Roman"/>
        </w:rPr>
      </w:pPr>
      <w:r>
        <w:rPr>
          <w:rFonts w:ascii="Arial" w:eastAsia="Times New Roman" w:hAnsi="Arial" w:cs="Arial"/>
          <w:b/>
          <w:bCs/>
          <w:color w:val="000000"/>
          <w:sz w:val="20"/>
          <w:szCs w:val="20"/>
        </w:rPr>
        <w:t>PRINCIPLES OF CONSOLIDATION</w:t>
      </w:r>
    </w:p>
    <w:p w:rsidR="00000000" w:rsidRDefault="001F1FC8">
      <w:pPr>
        <w:divId w:val="814106817"/>
        <w:rPr>
          <w:rFonts w:eastAsia="Times New Roman"/>
        </w:rPr>
      </w:pPr>
      <w:r>
        <w:rPr>
          <w:rFonts w:ascii="Arial" w:eastAsia="Times New Roman" w:hAnsi="Arial" w:cs="Arial"/>
          <w:color w:val="000000"/>
          <w:sz w:val="20"/>
          <w:szCs w:val="20"/>
        </w:rPr>
        <w:t>The consolidated financial statements include our accounts and accounts of our subsidiaries and VIEs for which we are the primary beneficiary. A VIE is a legal entity that does not have sufficient equity at risk to finance its activities without additional</w:t>
      </w:r>
      <w:r>
        <w:rPr>
          <w:rFonts w:ascii="Arial" w:eastAsia="Times New Roman" w:hAnsi="Arial" w:cs="Arial"/>
          <w:color w:val="000000"/>
          <w:sz w:val="20"/>
          <w:szCs w:val="20"/>
        </w:rPr>
        <w:t xml:space="preserve"> subordinated financial support or is structured such that equity investors lack the ability to make significant decisions relating to the entity’s operations through voting rights or do not substantively participate in the gains and losses of the entity. </w:t>
      </w:r>
      <w:r>
        <w:rPr>
          <w:rFonts w:ascii="Arial" w:eastAsia="Times New Roman" w:hAnsi="Arial" w:cs="Arial"/>
          <w:color w:val="000000"/>
          <w:sz w:val="20"/>
          <w:szCs w:val="20"/>
        </w:rPr>
        <w:t>Upon inception of a contractual agreement, we perform an assessment to determine whether the arrangement contains a variable interest in a legal entity and whether that legal entity is a VIE. The primary beneficiary has both the power to direct the activit</w:t>
      </w:r>
      <w:r>
        <w:rPr>
          <w:rFonts w:ascii="Arial" w:eastAsia="Times New Roman" w:hAnsi="Arial" w:cs="Arial"/>
          <w:color w:val="000000"/>
          <w:sz w:val="20"/>
          <w:szCs w:val="20"/>
        </w:rPr>
        <w:t>ies of the VIE that most significantly impact the entity’s economic performance and the obligation to absorb losses or the right to receive benefits from the VIE entity that could potentially be significant to the VIE. Where we conclude that we are the pri</w:t>
      </w:r>
      <w:r>
        <w:rPr>
          <w:rFonts w:ascii="Arial" w:eastAsia="Times New Roman" w:hAnsi="Arial" w:cs="Arial"/>
          <w:color w:val="000000"/>
          <w:sz w:val="20"/>
          <w:szCs w:val="20"/>
        </w:rPr>
        <w:t>mary beneficiary of a VIE, we consolidate the accounts of that VIE. We assess all variable interests in the entity and use our judgment when determining if we are the primary beneficiary. Other qualitative factors that are considered include decision-makin</w:t>
      </w:r>
      <w:r>
        <w:rPr>
          <w:rFonts w:ascii="Arial" w:eastAsia="Times New Roman" w:hAnsi="Arial" w:cs="Arial"/>
          <w:color w:val="000000"/>
          <w:sz w:val="20"/>
          <w:szCs w:val="20"/>
        </w:rPr>
        <w:t>g responsibilities, the VIE capital structure, risk and rewards sharing, contractual agreements with the VIE, voting rights and level of involvement of other parties. We assess the primary beneficiary determination for a VIE on an ongoing basis if there ar</w:t>
      </w:r>
      <w:r>
        <w:rPr>
          <w:rFonts w:ascii="Arial" w:eastAsia="Times New Roman" w:hAnsi="Arial" w:cs="Arial"/>
          <w:color w:val="000000"/>
          <w:sz w:val="20"/>
          <w:szCs w:val="20"/>
        </w:rPr>
        <w:t>e changes in the facts and circumstances related to a VIE. If an entity is determined to not be a VIE, the voting interest entity model is applied, where an investor holding the majority voting rights consolidates the entity. The consolidated financial sta</w:t>
      </w:r>
      <w:r>
        <w:rPr>
          <w:rFonts w:ascii="Arial" w:eastAsia="Times New Roman" w:hAnsi="Arial" w:cs="Arial"/>
          <w:color w:val="000000"/>
          <w:sz w:val="20"/>
          <w:szCs w:val="20"/>
        </w:rPr>
        <w:t>tements also include the accounts of any limited partnerships where we represent the general partner and, based on all facts and circumstances, control such limited partnerships, unless the limited partner has substantive participating rights or substantiv</w:t>
      </w:r>
      <w:r>
        <w:rPr>
          <w:rFonts w:ascii="Arial" w:eastAsia="Times New Roman" w:hAnsi="Arial" w:cs="Arial"/>
          <w:color w:val="000000"/>
          <w:sz w:val="20"/>
          <w:szCs w:val="20"/>
        </w:rPr>
        <w:t>e kick-out rights. For certain investments where we retain an undivided interest in assets and liabilities, we record our proportionate share of assets, liabilities, revenues and expenses.</w:t>
      </w:r>
    </w:p>
    <w:p w:rsidR="00000000" w:rsidRDefault="001F1FC8">
      <w:pPr>
        <w:divId w:val="1147434681"/>
        <w:rPr>
          <w:rFonts w:eastAsia="Times New Roman"/>
        </w:rPr>
      </w:pPr>
    </w:p>
    <w:p w:rsidR="00000000" w:rsidRDefault="001F1FC8">
      <w:pPr>
        <w:jc w:val="center"/>
        <w:divId w:val="1231968132"/>
        <w:rPr>
          <w:rFonts w:eastAsia="Times New Roman"/>
        </w:rPr>
      </w:pPr>
      <w:r>
        <w:rPr>
          <w:rFonts w:ascii="Arial" w:eastAsia="Times New Roman" w:hAnsi="Arial" w:cs="Arial"/>
          <w:color w:val="000000"/>
          <w:sz w:val="20"/>
          <w:szCs w:val="20"/>
        </w:rPr>
        <w:t>104</w:t>
      </w:r>
    </w:p>
    <w:p w:rsidR="00000000" w:rsidRDefault="001F1FC8">
      <w:pPr>
        <w:rPr>
          <w:rFonts w:eastAsia="Times New Roman"/>
        </w:rPr>
      </w:pPr>
      <w:r>
        <w:rPr>
          <w:rFonts w:eastAsia="Times New Roman"/>
        </w:rPr>
        <w:pict>
          <v:rect id="_x0000_i1134" style="width:0;height:1.5pt" o:hralign="center" o:hrstd="t" o:hr="t" fillcolor="#a0a0a0" stroked="f"/>
        </w:pict>
      </w:r>
    </w:p>
    <w:p w:rsidR="00000000" w:rsidRDefault="001F1FC8">
      <w:pPr>
        <w:jc w:val="center"/>
        <w:divId w:val="1736051504"/>
        <w:rPr>
          <w:rFonts w:eastAsia="Times New Roman"/>
        </w:rPr>
      </w:pPr>
    </w:p>
    <w:p w:rsidR="00000000" w:rsidRDefault="001F1FC8">
      <w:pPr>
        <w:divId w:val="1244532198"/>
        <w:rPr>
          <w:rFonts w:eastAsia="Times New Roman"/>
        </w:rPr>
      </w:pPr>
      <w:r>
        <w:rPr>
          <w:rFonts w:ascii="Arial" w:eastAsia="Times New Roman" w:hAnsi="Arial" w:cs="Arial"/>
          <w:color w:val="000000"/>
          <w:sz w:val="20"/>
          <w:szCs w:val="20"/>
        </w:rPr>
        <w:t>All significant interc</w:t>
      </w:r>
      <w:r>
        <w:rPr>
          <w:rFonts w:ascii="Arial" w:eastAsia="Times New Roman" w:hAnsi="Arial" w:cs="Arial"/>
          <w:color w:val="000000"/>
          <w:sz w:val="20"/>
          <w:szCs w:val="20"/>
        </w:rPr>
        <w:t>ompany accounts and transactions are eliminated upon consolidation. Ownership interests in subsidiaries represented by other parties that do not control the entity are presented in the consolidated financial statements as activities and balances attributab</w:t>
      </w:r>
      <w:r>
        <w:rPr>
          <w:rFonts w:ascii="Arial" w:eastAsia="Times New Roman" w:hAnsi="Arial" w:cs="Arial"/>
          <w:color w:val="000000"/>
          <w:sz w:val="20"/>
          <w:szCs w:val="20"/>
        </w:rPr>
        <w:t>le to noncontrolling interests. Investments and entities over which we exercise significant influence are accounted for using the equity method.</w:t>
      </w:r>
    </w:p>
    <w:p w:rsidR="00000000" w:rsidRDefault="001F1FC8">
      <w:pPr>
        <w:divId w:val="1243026000"/>
        <w:rPr>
          <w:rFonts w:eastAsia="Times New Roman"/>
        </w:rPr>
      </w:pPr>
    </w:p>
    <w:p w:rsidR="00000000" w:rsidRDefault="001F1FC8">
      <w:pPr>
        <w:divId w:val="317196322"/>
        <w:rPr>
          <w:rFonts w:eastAsia="Times New Roman"/>
        </w:rPr>
      </w:pPr>
      <w:r>
        <w:rPr>
          <w:rFonts w:ascii="Arial" w:eastAsia="Times New Roman" w:hAnsi="Arial" w:cs="Arial"/>
          <w:b/>
          <w:bCs/>
          <w:color w:val="000000"/>
          <w:sz w:val="20"/>
          <w:szCs w:val="20"/>
        </w:rPr>
        <w:t>REGULATION</w:t>
      </w:r>
    </w:p>
    <w:p w:rsidR="00000000" w:rsidRDefault="001F1FC8">
      <w:pPr>
        <w:divId w:val="2061395358"/>
        <w:rPr>
          <w:rFonts w:eastAsia="Times New Roman"/>
        </w:rPr>
      </w:pPr>
      <w:r>
        <w:rPr>
          <w:rFonts w:ascii="Arial" w:eastAsia="Times New Roman" w:hAnsi="Arial" w:cs="Arial"/>
          <w:color w:val="000000"/>
          <w:sz w:val="20"/>
          <w:szCs w:val="20"/>
        </w:rPr>
        <w:t>Certain parts of our businesses are subject to regulation by various authorities including, but no</w:t>
      </w:r>
      <w:r>
        <w:rPr>
          <w:rFonts w:ascii="Arial" w:eastAsia="Times New Roman" w:hAnsi="Arial" w:cs="Arial"/>
          <w:color w:val="000000"/>
          <w:sz w:val="20"/>
          <w:szCs w:val="20"/>
        </w:rPr>
        <w:t xml:space="preserve">t limited to, the Canada Energy Regulator (CER), the Federal Energy Regulatory Commission (FERC), the Alberta Energy Regulator, the Ontario Energy Board (OEB) and La Régie de l’energie du Québec. Regulatory bodies exercise statutory authority over matters </w:t>
      </w:r>
      <w:r>
        <w:rPr>
          <w:rFonts w:ascii="Arial" w:eastAsia="Times New Roman" w:hAnsi="Arial" w:cs="Arial"/>
          <w:color w:val="000000"/>
          <w:sz w:val="20"/>
          <w:szCs w:val="20"/>
        </w:rPr>
        <w:t>such as construction, rates and ratemaking and agreements with customers. To recognize the economic effects of the actions of the regulator, the timing of recognition of certain revenues and expenses in these operations may differ from that otherwise expec</w:t>
      </w:r>
      <w:r>
        <w:rPr>
          <w:rFonts w:ascii="Arial" w:eastAsia="Times New Roman" w:hAnsi="Arial" w:cs="Arial"/>
          <w:color w:val="000000"/>
          <w:sz w:val="20"/>
          <w:szCs w:val="20"/>
        </w:rPr>
        <w:t>ted under US GAAP for non-rate-regulated entities.</w:t>
      </w:r>
    </w:p>
    <w:p w:rsidR="00000000" w:rsidRDefault="001F1FC8">
      <w:pPr>
        <w:divId w:val="190647758"/>
        <w:rPr>
          <w:rFonts w:eastAsia="Times New Roman"/>
        </w:rPr>
      </w:pPr>
    </w:p>
    <w:p w:rsidR="00000000" w:rsidRDefault="001F1FC8">
      <w:pPr>
        <w:divId w:val="866480824"/>
        <w:rPr>
          <w:rFonts w:eastAsia="Times New Roman"/>
        </w:rPr>
      </w:pPr>
      <w:r>
        <w:rPr>
          <w:rFonts w:ascii="Arial" w:eastAsia="Times New Roman" w:hAnsi="Arial" w:cs="Arial"/>
          <w:color w:val="000000"/>
          <w:sz w:val="20"/>
          <w:szCs w:val="20"/>
        </w:rPr>
        <w:t>Regulatory assets represent amounts that are expected to be recovered from customers in future periods through rates. Regulatory liabilities represent amounts that are expected to be refunded to customer</w:t>
      </w:r>
      <w:r>
        <w:rPr>
          <w:rFonts w:ascii="Arial" w:eastAsia="Times New Roman" w:hAnsi="Arial" w:cs="Arial"/>
          <w:color w:val="000000"/>
          <w:sz w:val="20"/>
          <w:szCs w:val="20"/>
        </w:rPr>
        <w:t>s in future periods through rates or expected to be paid to cover future abandonment costs in relation to the CER’s Land Matters Consultation Initiative (LMCI). Regulatory assets are assessed for impairment if we identify an event indicative of possible im</w:t>
      </w:r>
      <w:r>
        <w:rPr>
          <w:rFonts w:ascii="Arial" w:eastAsia="Times New Roman" w:hAnsi="Arial" w:cs="Arial"/>
          <w:color w:val="000000"/>
          <w:sz w:val="20"/>
          <w:szCs w:val="20"/>
        </w:rPr>
        <w:t>pairment. The recognition of regulatory assets and liabilities is based on the actions, or expected future actions, of the regulator. To the extent that the regulator’s actions differ from our expectations, the timing and amount of recovery or settlement o</w:t>
      </w:r>
      <w:r>
        <w:rPr>
          <w:rFonts w:ascii="Arial" w:eastAsia="Times New Roman" w:hAnsi="Arial" w:cs="Arial"/>
          <w:color w:val="000000"/>
          <w:sz w:val="20"/>
          <w:szCs w:val="20"/>
        </w:rPr>
        <w:t xml:space="preserve">f regulatory balances could differ significantly from those recorded. In the absence of rate regulation, we would generally not recognize regulatory assets or liabilities and the earnings impact would be recorded in the period the expenses are incurred or </w:t>
      </w:r>
      <w:r>
        <w:rPr>
          <w:rFonts w:ascii="Arial" w:eastAsia="Times New Roman" w:hAnsi="Arial" w:cs="Arial"/>
          <w:color w:val="000000"/>
          <w:sz w:val="20"/>
          <w:szCs w:val="20"/>
        </w:rPr>
        <w:t>revenues are earned. A regulatory asset or liability is recognized in respect of deferred income taxes when it is expected the amounts will be recovered or settled through future regulator-approved rates. We believe that the recovery of our regulatory asse</w:t>
      </w:r>
      <w:r>
        <w:rPr>
          <w:rFonts w:ascii="Arial" w:eastAsia="Times New Roman" w:hAnsi="Arial" w:cs="Arial"/>
          <w:color w:val="000000"/>
          <w:sz w:val="20"/>
          <w:szCs w:val="20"/>
        </w:rPr>
        <w:t xml:space="preserve">ts as at December 31, 2021 is probable over the periods described in </w:t>
      </w:r>
      <w:r>
        <w:rPr>
          <w:rFonts w:ascii="Arial" w:eastAsia="Times New Roman" w:hAnsi="Arial" w:cs="Arial"/>
          <w:i/>
          <w:iCs/>
          <w:color w:val="000000"/>
          <w:sz w:val="20"/>
          <w:szCs w:val="20"/>
        </w:rPr>
        <w:t>Note 7 - Regulatory Matters</w:t>
      </w:r>
      <w:r>
        <w:rPr>
          <w:rFonts w:ascii="Arial" w:eastAsia="Times New Roman" w:hAnsi="Arial" w:cs="Arial"/>
          <w:color w:val="000000"/>
          <w:sz w:val="20"/>
          <w:szCs w:val="20"/>
        </w:rPr>
        <w:t>.</w:t>
      </w:r>
    </w:p>
    <w:p w:rsidR="00000000" w:rsidRDefault="001F1FC8">
      <w:pPr>
        <w:divId w:val="720835131"/>
        <w:rPr>
          <w:rFonts w:eastAsia="Times New Roman"/>
        </w:rPr>
      </w:pPr>
    </w:p>
    <w:p w:rsidR="00000000" w:rsidRDefault="001F1FC8">
      <w:pPr>
        <w:divId w:val="1817717763"/>
        <w:rPr>
          <w:rFonts w:eastAsia="Times New Roman"/>
        </w:rPr>
      </w:pPr>
      <w:r>
        <w:rPr>
          <w:rFonts w:ascii="Arial" w:eastAsia="Times New Roman" w:hAnsi="Arial" w:cs="Arial"/>
          <w:color w:val="000000"/>
          <w:sz w:val="20"/>
          <w:szCs w:val="20"/>
        </w:rPr>
        <w:t>Allowance for funds used during construction (AFUDC) is included in the cost of property, plant and equipment and is depreciated over future periods as part</w:t>
      </w:r>
      <w:r>
        <w:rPr>
          <w:rFonts w:ascii="Arial" w:eastAsia="Times New Roman" w:hAnsi="Arial" w:cs="Arial"/>
          <w:color w:val="000000"/>
          <w:sz w:val="20"/>
          <w:szCs w:val="20"/>
        </w:rPr>
        <w:t xml:space="preserve"> of the total cost of the related asset. AFUDC includes both an interest component and, if approved by the regulator, a cost of equity component, which are both capitalized based on rates set out in a regulatory agreement. The corresponding impact on earni</w:t>
      </w:r>
      <w:r>
        <w:rPr>
          <w:rFonts w:ascii="Arial" w:eastAsia="Times New Roman" w:hAnsi="Arial" w:cs="Arial"/>
          <w:color w:val="000000"/>
          <w:sz w:val="20"/>
          <w:szCs w:val="20"/>
        </w:rPr>
        <w:t>ngs is included in Interest expense for the interest component and Other income/(expense) for the equity component. In the absence of rate regulation, we would capitalize interest using a capitalization rate based on our cost of borrowing, whereas the capi</w:t>
      </w:r>
      <w:r>
        <w:rPr>
          <w:rFonts w:ascii="Arial" w:eastAsia="Times New Roman" w:hAnsi="Arial" w:cs="Arial"/>
          <w:color w:val="000000"/>
          <w:sz w:val="20"/>
          <w:szCs w:val="20"/>
        </w:rPr>
        <w:t>talized equity component, the corresponding earnings during the construction phase and the subsequent depreciation relating to the equity component would not be recognized.</w:t>
      </w:r>
    </w:p>
    <w:p w:rsidR="00000000" w:rsidRDefault="001F1FC8">
      <w:pPr>
        <w:divId w:val="1922595865"/>
        <w:rPr>
          <w:rFonts w:eastAsia="Times New Roman"/>
        </w:rPr>
      </w:pPr>
    </w:p>
    <w:p w:rsidR="00000000" w:rsidRDefault="001F1FC8">
      <w:pPr>
        <w:divId w:val="1720398486"/>
        <w:rPr>
          <w:rFonts w:eastAsia="Times New Roman"/>
        </w:rPr>
      </w:pPr>
      <w:r>
        <w:rPr>
          <w:rFonts w:ascii="Arial" w:eastAsia="Times New Roman" w:hAnsi="Arial" w:cs="Arial"/>
          <w:color w:val="000000"/>
          <w:sz w:val="20"/>
          <w:szCs w:val="20"/>
        </w:rPr>
        <w:t>Under the pool method prescribed by certain regulators, it is not possible to ide</w:t>
      </w:r>
      <w:r>
        <w:rPr>
          <w:rFonts w:ascii="Arial" w:eastAsia="Times New Roman" w:hAnsi="Arial" w:cs="Arial"/>
          <w:color w:val="000000"/>
          <w:sz w:val="20"/>
          <w:szCs w:val="20"/>
        </w:rPr>
        <w:t>ntify the carrying value of the equity component of AFUDC or its effect on depreciation. Similarly, gains and losses on the retirement of certain specific fixed assets in any given year cannot be identified or quantified.</w:t>
      </w:r>
    </w:p>
    <w:p w:rsidR="00000000" w:rsidRDefault="001F1FC8">
      <w:pPr>
        <w:divId w:val="1064370769"/>
        <w:rPr>
          <w:rFonts w:eastAsia="Times New Roman"/>
        </w:rPr>
      </w:pPr>
    </w:p>
    <w:p w:rsidR="00000000" w:rsidRDefault="001F1FC8">
      <w:pPr>
        <w:divId w:val="1801921974"/>
        <w:rPr>
          <w:rFonts w:eastAsia="Times New Roman"/>
        </w:rPr>
      </w:pPr>
      <w:r>
        <w:rPr>
          <w:rFonts w:ascii="Arial" w:eastAsia="Times New Roman" w:hAnsi="Arial" w:cs="Arial"/>
          <w:color w:val="000000"/>
          <w:sz w:val="20"/>
          <w:szCs w:val="20"/>
        </w:rPr>
        <w:t>With the approval of regulators,</w:t>
      </w:r>
      <w:r>
        <w:rPr>
          <w:rFonts w:ascii="Arial" w:eastAsia="Times New Roman" w:hAnsi="Arial" w:cs="Arial"/>
          <w:color w:val="000000"/>
          <w:sz w:val="20"/>
          <w:szCs w:val="20"/>
        </w:rPr>
        <w:t xml:space="preserve"> certain operations capitalize a percentage of specified operating costs. These operations are authorized to charge depreciation and earn a return on the net book value of such capitalized costs in future years. In the absence of rate regulation, a portion</w:t>
      </w:r>
      <w:r>
        <w:rPr>
          <w:rFonts w:ascii="Arial" w:eastAsia="Times New Roman" w:hAnsi="Arial" w:cs="Arial"/>
          <w:color w:val="000000"/>
          <w:sz w:val="20"/>
          <w:szCs w:val="20"/>
        </w:rPr>
        <w:t xml:space="preserve"> of such operating costs would be charged to earnings in the year incurred</w:t>
      </w:r>
      <w:r>
        <w:rPr>
          <w:rFonts w:ascii="Arial" w:eastAsia="Times New Roman" w:hAnsi="Arial" w:cs="Arial"/>
          <w:color w:val="008080"/>
          <w:sz w:val="20"/>
          <w:szCs w:val="20"/>
        </w:rPr>
        <w:t>.</w:t>
      </w:r>
    </w:p>
    <w:p w:rsidR="00000000" w:rsidRDefault="001F1FC8">
      <w:pPr>
        <w:divId w:val="1175072019"/>
        <w:rPr>
          <w:rFonts w:eastAsia="Times New Roman"/>
        </w:rPr>
      </w:pPr>
    </w:p>
    <w:p w:rsidR="00000000" w:rsidRDefault="001F1FC8">
      <w:pPr>
        <w:divId w:val="931356946"/>
        <w:rPr>
          <w:rFonts w:eastAsia="Times New Roman"/>
        </w:rPr>
      </w:pPr>
      <w:r>
        <w:rPr>
          <w:rFonts w:ascii="Arial" w:eastAsia="Times New Roman" w:hAnsi="Arial" w:cs="Arial"/>
          <w:color w:val="000000"/>
          <w:sz w:val="20"/>
          <w:szCs w:val="20"/>
        </w:rPr>
        <w:t>For certain regulated operations to which US GAAP guidance for phase-in plans applies, negotiated depreciation rates recovered in transportation tolls may be less than the deprec</w:t>
      </w:r>
      <w:r>
        <w:rPr>
          <w:rFonts w:ascii="Arial" w:eastAsia="Times New Roman" w:hAnsi="Arial" w:cs="Arial"/>
          <w:color w:val="000000"/>
          <w:sz w:val="20"/>
          <w:szCs w:val="20"/>
        </w:rPr>
        <w:t>iation expense calculated in accordance with US GAAP in early years of long-term contracts but recovered in future periods when tolls exceed depreciation. Depreciation expense on such assets is recorded in accordance with US GAAP and no regulatory asset is</w:t>
      </w:r>
      <w:r>
        <w:rPr>
          <w:rFonts w:ascii="Arial" w:eastAsia="Times New Roman" w:hAnsi="Arial" w:cs="Arial"/>
          <w:color w:val="000000"/>
          <w:sz w:val="20"/>
          <w:szCs w:val="20"/>
        </w:rPr>
        <w:t xml:space="preserve"> recorded.</w:t>
      </w:r>
    </w:p>
    <w:p w:rsidR="00000000" w:rsidRDefault="001F1FC8">
      <w:pPr>
        <w:divId w:val="652029946"/>
        <w:rPr>
          <w:rFonts w:eastAsia="Times New Roman"/>
        </w:rPr>
      </w:pPr>
    </w:p>
    <w:p w:rsidR="00000000" w:rsidRDefault="001F1FC8">
      <w:pPr>
        <w:jc w:val="center"/>
        <w:divId w:val="477192384"/>
        <w:rPr>
          <w:rFonts w:eastAsia="Times New Roman"/>
        </w:rPr>
      </w:pPr>
      <w:r>
        <w:rPr>
          <w:rFonts w:ascii="Arial" w:eastAsia="Times New Roman" w:hAnsi="Arial" w:cs="Arial"/>
          <w:color w:val="000000"/>
          <w:sz w:val="20"/>
          <w:szCs w:val="20"/>
        </w:rPr>
        <w:t>105</w:t>
      </w:r>
    </w:p>
    <w:p w:rsidR="00000000" w:rsidRDefault="001F1FC8">
      <w:pPr>
        <w:rPr>
          <w:rFonts w:eastAsia="Times New Roman"/>
        </w:rPr>
      </w:pPr>
      <w:r>
        <w:rPr>
          <w:rFonts w:eastAsia="Times New Roman"/>
        </w:rPr>
        <w:pict>
          <v:rect id="_x0000_i1135" style="width:0;height:1.5pt" o:hralign="center" o:hrstd="t" o:hr="t" fillcolor="#a0a0a0" stroked="f"/>
        </w:pict>
      </w:r>
    </w:p>
    <w:p w:rsidR="00000000" w:rsidRDefault="001F1FC8">
      <w:pPr>
        <w:jc w:val="center"/>
        <w:divId w:val="1261528881"/>
        <w:rPr>
          <w:rFonts w:eastAsia="Times New Roman"/>
        </w:rPr>
      </w:pPr>
    </w:p>
    <w:p w:rsidR="00000000" w:rsidRDefault="001F1FC8">
      <w:pPr>
        <w:divId w:val="1827698730"/>
        <w:rPr>
          <w:rFonts w:eastAsia="Times New Roman"/>
        </w:rPr>
      </w:pPr>
      <w:r>
        <w:rPr>
          <w:rFonts w:ascii="Arial" w:eastAsia="Times New Roman" w:hAnsi="Arial" w:cs="Arial"/>
          <w:b/>
          <w:bCs/>
          <w:color w:val="000000"/>
          <w:sz w:val="20"/>
          <w:szCs w:val="20"/>
        </w:rPr>
        <w:t>REVENUE RECOGNITION</w:t>
      </w:r>
    </w:p>
    <w:p w:rsidR="00000000" w:rsidRDefault="001F1FC8">
      <w:pPr>
        <w:divId w:val="410931137"/>
        <w:rPr>
          <w:rFonts w:eastAsia="Times New Roman"/>
        </w:rPr>
      </w:pPr>
      <w:r>
        <w:rPr>
          <w:rFonts w:ascii="Arial" w:eastAsia="Times New Roman" w:hAnsi="Arial" w:cs="Arial"/>
          <w:color w:val="000000"/>
          <w:sz w:val="20"/>
          <w:szCs w:val="20"/>
        </w:rPr>
        <w:t>For businesses that are not rate-regulated, revenues are recorded when products have been delivered or services have been performed, the amount of revenue can be reliably measured and collectability is reasonably assured. Customer creditworthiness is asses</w:t>
      </w:r>
      <w:r>
        <w:rPr>
          <w:rFonts w:ascii="Arial" w:eastAsia="Times New Roman" w:hAnsi="Arial" w:cs="Arial"/>
          <w:color w:val="000000"/>
          <w:sz w:val="20"/>
          <w:szCs w:val="20"/>
        </w:rPr>
        <w:t>sed prior to agreement signing, as well as throughout the contract duration. Certain revenues from liquids and gas pipeline businesses are recognized under the terms of committed delivery contracts rather than the cash tolls received.</w:t>
      </w:r>
    </w:p>
    <w:p w:rsidR="00000000" w:rsidRDefault="001F1FC8">
      <w:pPr>
        <w:divId w:val="1332945539"/>
        <w:rPr>
          <w:rFonts w:eastAsia="Times New Roman"/>
        </w:rPr>
      </w:pPr>
    </w:p>
    <w:p w:rsidR="00000000" w:rsidRDefault="001F1FC8">
      <w:pPr>
        <w:divId w:val="494953815"/>
        <w:rPr>
          <w:rFonts w:eastAsia="Times New Roman"/>
        </w:rPr>
      </w:pPr>
      <w:r>
        <w:rPr>
          <w:rFonts w:ascii="Arial" w:eastAsia="Times New Roman" w:hAnsi="Arial" w:cs="Arial"/>
          <w:color w:val="000000"/>
          <w:sz w:val="20"/>
          <w:szCs w:val="20"/>
        </w:rPr>
        <w:t>Long-term take-or-p</w:t>
      </w:r>
      <w:r>
        <w:rPr>
          <w:rFonts w:ascii="Arial" w:eastAsia="Times New Roman" w:hAnsi="Arial" w:cs="Arial"/>
          <w:color w:val="000000"/>
          <w:sz w:val="20"/>
          <w:szCs w:val="20"/>
        </w:rPr>
        <w:t xml:space="preserve">ay contracts, under which shippers are obligated to pay fixed amounts ratably over the contract period regardless of volumes shipped, may contain make-up rights. Make-up rights are earned by shippers when minimum volume commitments are not utilized during </w:t>
      </w:r>
      <w:r>
        <w:rPr>
          <w:rFonts w:ascii="Arial" w:eastAsia="Times New Roman" w:hAnsi="Arial" w:cs="Arial"/>
          <w:color w:val="000000"/>
          <w:sz w:val="20"/>
          <w:szCs w:val="20"/>
        </w:rPr>
        <w:t xml:space="preserve">the period but under certain circumstances can be used to offset overages in future periods, subject to expiry. We recognize revenues associated with make-up rights at the earlier of when the make-up volume is shipped, the make-up right expires or when it </w:t>
      </w:r>
      <w:r>
        <w:rPr>
          <w:rFonts w:ascii="Arial" w:eastAsia="Times New Roman" w:hAnsi="Arial" w:cs="Arial"/>
          <w:color w:val="000000"/>
          <w:sz w:val="20"/>
          <w:szCs w:val="20"/>
        </w:rPr>
        <w:t>is determined that the likelihood that the shipper will utilize the make-up right is remote.</w:t>
      </w:r>
    </w:p>
    <w:p w:rsidR="00000000" w:rsidRDefault="001F1FC8">
      <w:pPr>
        <w:divId w:val="1626697256"/>
        <w:rPr>
          <w:rFonts w:eastAsia="Times New Roman"/>
        </w:rPr>
      </w:pPr>
    </w:p>
    <w:p w:rsidR="00000000" w:rsidRDefault="001F1FC8">
      <w:pPr>
        <w:divId w:val="730806499"/>
        <w:rPr>
          <w:rFonts w:eastAsia="Times New Roman"/>
        </w:rPr>
      </w:pPr>
      <w:r>
        <w:rPr>
          <w:rFonts w:ascii="Arial" w:eastAsia="Times New Roman" w:hAnsi="Arial" w:cs="Arial"/>
          <w:color w:val="000000"/>
          <w:sz w:val="20"/>
          <w:szCs w:val="20"/>
        </w:rPr>
        <w:t>Certain offshore pipeline transportation contracts require us to provide transportation services for the life of the underlying producing fields. Under these arr</w:t>
      </w:r>
      <w:r>
        <w:rPr>
          <w:rFonts w:ascii="Arial" w:eastAsia="Times New Roman" w:hAnsi="Arial" w:cs="Arial"/>
          <w:color w:val="000000"/>
          <w:sz w:val="20"/>
          <w:szCs w:val="20"/>
        </w:rPr>
        <w:t>angements, shippers pay us a fixed monthly toll for a defined period of time which may be shorter than the estimated reserve life of the underlying producing fields, resulting in a contract period which extends past the period of cash collection. Fixed mon</w:t>
      </w:r>
      <w:r>
        <w:rPr>
          <w:rFonts w:ascii="Arial" w:eastAsia="Times New Roman" w:hAnsi="Arial" w:cs="Arial"/>
          <w:color w:val="000000"/>
          <w:sz w:val="20"/>
          <w:szCs w:val="20"/>
        </w:rPr>
        <w:t xml:space="preserve">thly toll revenues are recognized ratably over the committed volume made available to shippers throughout the contract period, regardless of when cash is received. </w:t>
      </w:r>
    </w:p>
    <w:p w:rsidR="00000000" w:rsidRDefault="001F1FC8">
      <w:pPr>
        <w:divId w:val="2101371725"/>
        <w:rPr>
          <w:rFonts w:eastAsia="Times New Roman"/>
        </w:rPr>
      </w:pPr>
    </w:p>
    <w:p w:rsidR="00000000" w:rsidRDefault="001F1FC8">
      <w:pPr>
        <w:divId w:val="622923183"/>
        <w:rPr>
          <w:rFonts w:eastAsia="Times New Roman"/>
        </w:rPr>
      </w:pPr>
      <w:r>
        <w:rPr>
          <w:rFonts w:ascii="Arial" w:eastAsia="Times New Roman" w:hAnsi="Arial" w:cs="Arial"/>
          <w:color w:val="000000"/>
          <w:sz w:val="20"/>
          <w:szCs w:val="20"/>
        </w:rPr>
        <w:t>For the years ended December 31, 2021, 2020 and 2019, cash received net of revenue recogn</w:t>
      </w:r>
      <w:r>
        <w:rPr>
          <w:rFonts w:ascii="Arial" w:eastAsia="Times New Roman" w:hAnsi="Arial" w:cs="Arial"/>
          <w:color w:val="000000"/>
          <w:sz w:val="20"/>
          <w:szCs w:val="20"/>
        </w:rPr>
        <w:t>ized for contracts under make-up rights and similar deferred revenue arrangements was $127 million, $292 million and $169 million, respectively.</w:t>
      </w:r>
    </w:p>
    <w:p w:rsidR="00000000" w:rsidRDefault="001F1FC8">
      <w:pPr>
        <w:divId w:val="141040924"/>
        <w:rPr>
          <w:rFonts w:eastAsia="Times New Roman"/>
        </w:rPr>
      </w:pPr>
    </w:p>
    <w:p w:rsidR="00000000" w:rsidRDefault="001F1FC8">
      <w:pPr>
        <w:divId w:val="1028339402"/>
        <w:rPr>
          <w:rFonts w:eastAsia="Times New Roman"/>
        </w:rPr>
      </w:pPr>
      <w:r>
        <w:rPr>
          <w:rFonts w:ascii="Arial" w:eastAsia="Times New Roman" w:hAnsi="Arial" w:cs="Arial"/>
          <w:color w:val="000000"/>
          <w:sz w:val="20"/>
          <w:szCs w:val="20"/>
        </w:rPr>
        <w:t>For rate-regulated businesses, revenues are recognized in a manner that is consistent with the underlying agr</w:t>
      </w:r>
      <w:r>
        <w:rPr>
          <w:rFonts w:ascii="Arial" w:eastAsia="Times New Roman" w:hAnsi="Arial" w:cs="Arial"/>
          <w:color w:val="000000"/>
          <w:sz w:val="20"/>
          <w:szCs w:val="20"/>
        </w:rPr>
        <w:t>eements as approved by the regulators. Natural gas utility revenues are recorded based on regular meter readings and estimates of customer usage from the last meter reading to the end of the reporting period. Estimates are based on historical consumption p</w:t>
      </w:r>
      <w:r>
        <w:rPr>
          <w:rFonts w:ascii="Arial" w:eastAsia="Times New Roman" w:hAnsi="Arial" w:cs="Arial"/>
          <w:color w:val="000000"/>
          <w:sz w:val="20"/>
          <w:szCs w:val="20"/>
        </w:rPr>
        <w:t>atterns and heating degree days experienced. Heating degree days is a measure of coldness that is indicative of volumetric requirements for natural gas utilized for heating purposes in our distribution franchise areas.</w:t>
      </w:r>
    </w:p>
    <w:p w:rsidR="00000000" w:rsidRDefault="001F1FC8">
      <w:pPr>
        <w:divId w:val="139930086"/>
        <w:rPr>
          <w:rFonts w:eastAsia="Times New Roman"/>
        </w:rPr>
      </w:pPr>
    </w:p>
    <w:p w:rsidR="00000000" w:rsidRDefault="001F1FC8">
      <w:pPr>
        <w:divId w:val="1796217203"/>
        <w:rPr>
          <w:rFonts w:eastAsia="Times New Roman"/>
        </w:rPr>
      </w:pPr>
      <w:r>
        <w:rPr>
          <w:rFonts w:ascii="Arial" w:eastAsia="Times New Roman" w:hAnsi="Arial" w:cs="Arial"/>
          <w:color w:val="000000"/>
          <w:sz w:val="20"/>
          <w:szCs w:val="20"/>
        </w:rPr>
        <w:t xml:space="preserve">Our Energy Services segment enters </w:t>
      </w:r>
      <w:r>
        <w:rPr>
          <w:rFonts w:ascii="Arial" w:eastAsia="Times New Roman" w:hAnsi="Arial" w:cs="Arial"/>
          <w:color w:val="000000"/>
          <w:sz w:val="20"/>
          <w:szCs w:val="20"/>
        </w:rPr>
        <w:t>into commodity purchase and sale arrangements that are recorded on a gross basis as the related contracts are not held for trading purposes and we are acting as the principal in the transactions.</w:t>
      </w:r>
    </w:p>
    <w:p w:rsidR="00000000" w:rsidRDefault="001F1FC8">
      <w:pPr>
        <w:divId w:val="1450583965"/>
        <w:rPr>
          <w:rFonts w:eastAsia="Times New Roman"/>
        </w:rPr>
      </w:pPr>
    </w:p>
    <w:p w:rsidR="00000000" w:rsidRDefault="001F1FC8">
      <w:pPr>
        <w:divId w:val="895119099"/>
        <w:rPr>
          <w:rFonts w:eastAsia="Times New Roman"/>
        </w:rPr>
      </w:pPr>
      <w:r>
        <w:rPr>
          <w:rFonts w:ascii="Arial" w:eastAsia="Times New Roman" w:hAnsi="Arial" w:cs="Arial"/>
          <w:color w:val="000000"/>
          <w:sz w:val="20"/>
          <w:szCs w:val="20"/>
        </w:rPr>
        <w:t>Our largest non-affiliated customer accounted for approxim</w:t>
      </w:r>
      <w:r>
        <w:rPr>
          <w:rFonts w:ascii="Arial" w:eastAsia="Times New Roman" w:hAnsi="Arial" w:cs="Arial"/>
          <w:color w:val="000000"/>
          <w:sz w:val="20"/>
          <w:szCs w:val="20"/>
        </w:rPr>
        <w:t>ately 13.5% of our third-party revenues for the year ended December 31, 2021 and 13.6% for the year ended December 31, 2020. No non-affiliated customer exceeded 10% of our third-party revenues for the year ended December 31, 2019.</w:t>
      </w:r>
    </w:p>
    <w:p w:rsidR="00000000" w:rsidRDefault="001F1FC8">
      <w:pPr>
        <w:divId w:val="1103914659"/>
        <w:rPr>
          <w:rFonts w:eastAsia="Times New Roman"/>
        </w:rPr>
      </w:pPr>
      <w:r>
        <w:rPr>
          <w:rFonts w:ascii="Arial" w:eastAsia="Times New Roman" w:hAnsi="Arial" w:cs="Arial"/>
          <w:color w:val="000000"/>
          <w:sz w:val="20"/>
          <w:szCs w:val="20"/>
        </w:rPr>
        <w:t> </w:t>
      </w:r>
    </w:p>
    <w:p w:rsidR="00000000" w:rsidRDefault="001F1FC8">
      <w:pPr>
        <w:divId w:val="404037634"/>
        <w:rPr>
          <w:rFonts w:eastAsia="Times New Roman"/>
        </w:rPr>
      </w:pPr>
      <w:r>
        <w:rPr>
          <w:rFonts w:ascii="Arial" w:eastAsia="Times New Roman" w:hAnsi="Arial" w:cs="Arial"/>
          <w:b/>
          <w:bCs/>
          <w:color w:val="000000"/>
          <w:sz w:val="20"/>
          <w:szCs w:val="20"/>
        </w:rPr>
        <w:t xml:space="preserve">DERIVATIVE INSTRUMENTS </w:t>
      </w:r>
      <w:r>
        <w:rPr>
          <w:rFonts w:ascii="Arial" w:eastAsia="Times New Roman" w:hAnsi="Arial" w:cs="Arial"/>
          <w:b/>
          <w:bCs/>
          <w:color w:val="000000"/>
          <w:sz w:val="20"/>
          <w:szCs w:val="20"/>
        </w:rPr>
        <w:t>AND HEDGING</w:t>
      </w:r>
    </w:p>
    <w:p w:rsidR="00000000" w:rsidRDefault="001F1FC8">
      <w:pPr>
        <w:divId w:val="53698583"/>
        <w:rPr>
          <w:rFonts w:eastAsia="Times New Roman"/>
        </w:rPr>
      </w:pPr>
      <w:r>
        <w:rPr>
          <w:rFonts w:ascii="Arial" w:eastAsia="Times New Roman" w:hAnsi="Arial" w:cs="Arial"/>
          <w:b/>
          <w:bCs/>
          <w:color w:val="000000"/>
          <w:sz w:val="20"/>
          <w:szCs w:val="20"/>
        </w:rPr>
        <w:t>Non-qualifying Derivatives</w:t>
      </w:r>
    </w:p>
    <w:p w:rsidR="00000000" w:rsidRDefault="001F1FC8">
      <w:pPr>
        <w:divId w:val="2109887252"/>
        <w:rPr>
          <w:rFonts w:eastAsia="Times New Roman"/>
        </w:rPr>
      </w:pPr>
      <w:r>
        <w:rPr>
          <w:rFonts w:ascii="Arial" w:eastAsia="Times New Roman" w:hAnsi="Arial" w:cs="Arial"/>
          <w:color w:val="000000"/>
          <w:sz w:val="20"/>
          <w:szCs w:val="20"/>
        </w:rPr>
        <w:t xml:space="preserve">Non-qualifying derivative instruments are used primarily to economically hedge foreign exchange, interest rate and commodity price earnings exposure. Non-qualifying derivatives are measured at fair value with changes </w:t>
      </w:r>
      <w:r>
        <w:rPr>
          <w:rFonts w:ascii="Arial" w:eastAsia="Times New Roman" w:hAnsi="Arial" w:cs="Arial"/>
          <w:color w:val="000000"/>
          <w:sz w:val="20"/>
          <w:szCs w:val="20"/>
        </w:rPr>
        <w:t>in fair value recognized in earnings in Commodity sales, Transportation and other services revenue, Commodity costs, Operating and administrative expense, Net foreign currency gain/(loss) and Interest expense.</w:t>
      </w:r>
    </w:p>
    <w:p w:rsidR="00000000" w:rsidRDefault="001F1FC8">
      <w:pPr>
        <w:divId w:val="1151866452"/>
        <w:rPr>
          <w:rFonts w:eastAsia="Times New Roman"/>
        </w:rPr>
      </w:pPr>
    </w:p>
    <w:p w:rsidR="00000000" w:rsidRDefault="001F1FC8">
      <w:pPr>
        <w:jc w:val="center"/>
        <w:divId w:val="608855029"/>
        <w:rPr>
          <w:rFonts w:eastAsia="Times New Roman"/>
        </w:rPr>
      </w:pPr>
      <w:r>
        <w:rPr>
          <w:rFonts w:ascii="Arial" w:eastAsia="Times New Roman" w:hAnsi="Arial" w:cs="Arial"/>
          <w:color w:val="000000"/>
          <w:sz w:val="20"/>
          <w:szCs w:val="20"/>
        </w:rPr>
        <w:t>106</w:t>
      </w:r>
    </w:p>
    <w:p w:rsidR="00000000" w:rsidRDefault="001F1FC8">
      <w:pPr>
        <w:rPr>
          <w:rFonts w:eastAsia="Times New Roman"/>
        </w:rPr>
      </w:pPr>
      <w:r>
        <w:rPr>
          <w:rFonts w:eastAsia="Times New Roman"/>
        </w:rPr>
        <w:pict>
          <v:rect id="_x0000_i1136" style="width:0;height:1.5pt" o:hralign="center" o:hrstd="t" o:hr="t" fillcolor="#a0a0a0" stroked="f"/>
        </w:pict>
      </w:r>
    </w:p>
    <w:p w:rsidR="00000000" w:rsidRDefault="001F1FC8">
      <w:pPr>
        <w:jc w:val="center"/>
        <w:divId w:val="1819492640"/>
        <w:rPr>
          <w:rFonts w:eastAsia="Times New Roman"/>
        </w:rPr>
      </w:pPr>
    </w:p>
    <w:p w:rsidR="00000000" w:rsidRDefault="001F1FC8">
      <w:pPr>
        <w:divId w:val="373628010"/>
        <w:rPr>
          <w:rFonts w:eastAsia="Times New Roman"/>
        </w:rPr>
      </w:pPr>
      <w:r>
        <w:rPr>
          <w:rFonts w:ascii="Arial" w:eastAsia="Times New Roman" w:hAnsi="Arial" w:cs="Arial"/>
          <w:b/>
          <w:bCs/>
          <w:color w:val="000000"/>
          <w:sz w:val="20"/>
          <w:szCs w:val="20"/>
        </w:rPr>
        <w:t>De</w:t>
      </w:r>
      <w:r>
        <w:rPr>
          <w:rFonts w:ascii="Arial" w:eastAsia="Times New Roman" w:hAnsi="Arial" w:cs="Arial"/>
          <w:b/>
          <w:bCs/>
          <w:color w:val="000000"/>
          <w:sz w:val="20"/>
          <w:szCs w:val="20"/>
        </w:rPr>
        <w:t>rivatives in Qualifying Hedging Relationships</w:t>
      </w:r>
    </w:p>
    <w:p w:rsidR="00000000" w:rsidRDefault="001F1FC8">
      <w:pPr>
        <w:divId w:val="621421768"/>
        <w:rPr>
          <w:rFonts w:eastAsia="Times New Roman"/>
        </w:rPr>
      </w:pPr>
      <w:r>
        <w:rPr>
          <w:rFonts w:ascii="Arial" w:eastAsia="Times New Roman" w:hAnsi="Arial" w:cs="Arial"/>
          <w:color w:val="000000"/>
          <w:sz w:val="20"/>
          <w:szCs w:val="20"/>
        </w:rPr>
        <w:t>We use derivative financial instruments to manage our exposure to changes in commodity prices, foreign exchange rates, interest rates and certain compensation tied to our share price. Hedge accounting is option</w:t>
      </w:r>
      <w:r>
        <w:rPr>
          <w:rFonts w:ascii="Arial" w:eastAsia="Times New Roman" w:hAnsi="Arial" w:cs="Arial"/>
          <w:color w:val="000000"/>
          <w:sz w:val="20"/>
          <w:szCs w:val="20"/>
        </w:rPr>
        <w:t>al and requires us to document the hedging relationship and test the hedging item’s effectiveness in offsetting changes in fair values or cash flows of the underlying hedged item on an ongoing basis. We present the earnings effects of hedging items with th</w:t>
      </w:r>
      <w:r>
        <w:rPr>
          <w:rFonts w:ascii="Arial" w:eastAsia="Times New Roman" w:hAnsi="Arial" w:cs="Arial"/>
          <w:color w:val="000000"/>
          <w:sz w:val="20"/>
          <w:szCs w:val="20"/>
        </w:rPr>
        <w:t>e hedged transaction. Derivatives in qualifying hedging relationships are categorized as cash flow hedges, fair value hedges or net investment hedges.</w:t>
      </w:r>
    </w:p>
    <w:p w:rsidR="00000000" w:rsidRDefault="001F1FC8">
      <w:pPr>
        <w:divId w:val="801463811"/>
        <w:rPr>
          <w:rFonts w:eastAsia="Times New Roman"/>
        </w:rPr>
      </w:pPr>
    </w:p>
    <w:p w:rsidR="00000000" w:rsidRDefault="001F1FC8">
      <w:pPr>
        <w:divId w:val="714623062"/>
        <w:rPr>
          <w:rFonts w:eastAsia="Times New Roman"/>
        </w:rPr>
      </w:pPr>
      <w:r>
        <w:rPr>
          <w:rFonts w:ascii="Arial" w:eastAsia="Times New Roman" w:hAnsi="Arial" w:cs="Arial"/>
          <w:b/>
          <w:bCs/>
          <w:color w:val="000000"/>
          <w:sz w:val="20"/>
          <w:szCs w:val="20"/>
        </w:rPr>
        <w:t>Cash Flow Hedges</w:t>
      </w:r>
    </w:p>
    <w:p w:rsidR="00000000" w:rsidRDefault="001F1FC8">
      <w:pPr>
        <w:divId w:val="367461521"/>
        <w:rPr>
          <w:rFonts w:eastAsia="Times New Roman"/>
        </w:rPr>
      </w:pPr>
      <w:r>
        <w:rPr>
          <w:rFonts w:ascii="Arial" w:eastAsia="Times New Roman" w:hAnsi="Arial" w:cs="Arial"/>
          <w:color w:val="000000"/>
          <w:sz w:val="20"/>
          <w:szCs w:val="20"/>
        </w:rPr>
        <w:t>We use cash flow hedges to manage our exposure to changes in commodity prices, foreign exchange rates, interest rates and certain compensation tied to our share price. The change in the fair value of a cash flow hedging instrument is recorded in Other comp</w:t>
      </w:r>
      <w:r>
        <w:rPr>
          <w:rFonts w:ascii="Arial" w:eastAsia="Times New Roman" w:hAnsi="Arial" w:cs="Arial"/>
          <w:color w:val="000000"/>
          <w:sz w:val="20"/>
          <w:szCs w:val="20"/>
        </w:rPr>
        <w:t>rehensive income/(loss) (OCI) and is reclassified to earnings when the hedged item impacts earnings.</w:t>
      </w:r>
    </w:p>
    <w:p w:rsidR="00000000" w:rsidRDefault="001F1FC8">
      <w:pPr>
        <w:divId w:val="1219322368"/>
        <w:rPr>
          <w:rFonts w:eastAsia="Times New Roman"/>
        </w:rPr>
      </w:pPr>
    </w:p>
    <w:p w:rsidR="00000000" w:rsidRDefault="001F1FC8">
      <w:pPr>
        <w:divId w:val="1148396769"/>
        <w:rPr>
          <w:rFonts w:eastAsia="Times New Roman"/>
        </w:rPr>
      </w:pPr>
      <w:r>
        <w:rPr>
          <w:rFonts w:ascii="Arial" w:eastAsia="Times New Roman" w:hAnsi="Arial" w:cs="Arial"/>
          <w:color w:val="000000"/>
          <w:sz w:val="20"/>
          <w:szCs w:val="20"/>
        </w:rPr>
        <w:t>If a derivative instrument designated as a cash flow hedge ceases to be effective or is terminated, hedge accounting is discontinued and the gain or loss</w:t>
      </w:r>
      <w:r>
        <w:rPr>
          <w:rFonts w:ascii="Arial" w:eastAsia="Times New Roman" w:hAnsi="Arial" w:cs="Arial"/>
          <w:color w:val="000000"/>
          <w:sz w:val="20"/>
          <w:szCs w:val="20"/>
        </w:rPr>
        <w:t xml:space="preserve"> at that date is deferred in OCI and recognized in earnings concurrently with the related transaction. If an anticipated hedged transaction is no longer probable, the gain or loss is recognized immediately in earnings. Subsequent gains and losses from deri</w:t>
      </w:r>
      <w:r>
        <w:rPr>
          <w:rFonts w:ascii="Arial" w:eastAsia="Times New Roman" w:hAnsi="Arial" w:cs="Arial"/>
          <w:color w:val="000000"/>
          <w:sz w:val="20"/>
          <w:szCs w:val="20"/>
        </w:rPr>
        <w:t>vative instruments for which hedge accounting has been discontinued are recognized in earnings in the period in which they occur.</w:t>
      </w:r>
    </w:p>
    <w:p w:rsidR="00000000" w:rsidRDefault="001F1FC8">
      <w:pPr>
        <w:divId w:val="1767799549"/>
        <w:rPr>
          <w:rFonts w:eastAsia="Times New Roman"/>
        </w:rPr>
      </w:pPr>
    </w:p>
    <w:p w:rsidR="00000000" w:rsidRDefault="001F1FC8">
      <w:pPr>
        <w:divId w:val="1491631305"/>
        <w:rPr>
          <w:rFonts w:eastAsia="Times New Roman"/>
        </w:rPr>
      </w:pPr>
      <w:r>
        <w:rPr>
          <w:rFonts w:ascii="Arial" w:eastAsia="Times New Roman" w:hAnsi="Arial" w:cs="Arial"/>
          <w:b/>
          <w:bCs/>
          <w:color w:val="000000"/>
          <w:sz w:val="20"/>
          <w:szCs w:val="20"/>
        </w:rPr>
        <w:t>Fair Value Hedges</w:t>
      </w:r>
    </w:p>
    <w:p w:rsidR="00000000" w:rsidRDefault="001F1FC8">
      <w:pPr>
        <w:divId w:val="1421609243"/>
        <w:rPr>
          <w:rFonts w:eastAsia="Times New Roman"/>
        </w:rPr>
      </w:pPr>
      <w:r>
        <w:rPr>
          <w:rFonts w:ascii="Arial" w:eastAsia="Times New Roman" w:hAnsi="Arial" w:cs="Arial"/>
          <w:color w:val="000000"/>
          <w:sz w:val="20"/>
          <w:szCs w:val="20"/>
        </w:rPr>
        <w:t xml:space="preserve">We may use fair value hedges to hedge the fair value of debt instruments. The change in the fair value of the hedging instrument is recorded in earnings with changes in the fair value of the hedged risk of the asset or liability that is designated as part </w:t>
      </w:r>
      <w:r>
        <w:rPr>
          <w:rFonts w:ascii="Arial" w:eastAsia="Times New Roman" w:hAnsi="Arial" w:cs="Arial"/>
          <w:color w:val="000000"/>
          <w:sz w:val="20"/>
          <w:szCs w:val="20"/>
        </w:rPr>
        <w:t xml:space="preserve">of the hedging relationship. If a fair value hedge is discontinued or ceases to be effective, the hedged risk of the asset or liability ceases to be remeasured at fair value and the cumulative fair value adjustment to the carrying value of the hedged item </w:t>
      </w:r>
      <w:r>
        <w:rPr>
          <w:rFonts w:ascii="Arial" w:eastAsia="Times New Roman" w:hAnsi="Arial" w:cs="Arial"/>
          <w:color w:val="000000"/>
          <w:sz w:val="20"/>
          <w:szCs w:val="20"/>
        </w:rPr>
        <w:t>is recognized in earnings over the remaining life of the hedged item.</w:t>
      </w:r>
    </w:p>
    <w:p w:rsidR="00000000" w:rsidRDefault="001F1FC8">
      <w:pPr>
        <w:divId w:val="1535075961"/>
        <w:rPr>
          <w:rFonts w:eastAsia="Times New Roman"/>
        </w:rPr>
      </w:pPr>
    </w:p>
    <w:p w:rsidR="00000000" w:rsidRDefault="001F1FC8">
      <w:pPr>
        <w:divId w:val="1309819244"/>
        <w:rPr>
          <w:rFonts w:eastAsia="Times New Roman"/>
        </w:rPr>
      </w:pPr>
      <w:r>
        <w:rPr>
          <w:rFonts w:ascii="Arial" w:eastAsia="Times New Roman" w:hAnsi="Arial" w:cs="Arial"/>
          <w:b/>
          <w:bCs/>
          <w:color w:val="000000"/>
          <w:sz w:val="20"/>
          <w:szCs w:val="20"/>
        </w:rPr>
        <w:t>Net Investment Hedges</w:t>
      </w:r>
    </w:p>
    <w:p w:rsidR="00000000" w:rsidRDefault="001F1FC8">
      <w:pPr>
        <w:divId w:val="2032224844"/>
        <w:rPr>
          <w:rFonts w:eastAsia="Times New Roman"/>
        </w:rPr>
      </w:pPr>
      <w:r>
        <w:rPr>
          <w:rFonts w:ascii="Arial" w:eastAsia="Times New Roman" w:hAnsi="Arial" w:cs="Arial"/>
          <w:color w:val="000000"/>
          <w:sz w:val="20"/>
          <w:szCs w:val="20"/>
        </w:rPr>
        <w:t>Gains and losses arising from the translation of our net investment in foreign operations from their functional currencies to Enbridge’s Canadian dollar presentat</w:t>
      </w:r>
      <w:r>
        <w:rPr>
          <w:rFonts w:ascii="Arial" w:eastAsia="Times New Roman" w:hAnsi="Arial" w:cs="Arial"/>
          <w:color w:val="000000"/>
          <w:sz w:val="20"/>
          <w:szCs w:val="20"/>
        </w:rPr>
        <w:t>ion currency are included in cumulative translation adjustments (CTA), a component of OCI. We currently have designated a portion of our US dollar denominated debt, as well as a portfolio of foreign exchange forward contracts in prior periods, as a hedge o</w:t>
      </w:r>
      <w:r>
        <w:rPr>
          <w:rFonts w:ascii="Arial" w:eastAsia="Times New Roman" w:hAnsi="Arial" w:cs="Arial"/>
          <w:color w:val="000000"/>
          <w:sz w:val="20"/>
          <w:szCs w:val="20"/>
        </w:rPr>
        <w:t>f our net investment in US dollar denominated investments and subsidiaries. As a result, the change in fair value of the foreign currency derivatives as well as the translation of US dollar denominated debt are reflected in OCI. Amounts recognized previous</w:t>
      </w:r>
      <w:r>
        <w:rPr>
          <w:rFonts w:ascii="Arial" w:eastAsia="Times New Roman" w:hAnsi="Arial" w:cs="Arial"/>
          <w:color w:val="000000"/>
          <w:sz w:val="20"/>
          <w:szCs w:val="20"/>
        </w:rPr>
        <w:t>ly in Accumulated other comprehensive income/(loss) (AOCI) are reclassified to earnings when there is a reduction of the hedged net investment resulting from the disposal of a foreign operation.</w:t>
      </w:r>
    </w:p>
    <w:p w:rsidR="00000000" w:rsidRDefault="001F1FC8">
      <w:pPr>
        <w:divId w:val="1711953196"/>
        <w:rPr>
          <w:rFonts w:eastAsia="Times New Roman"/>
        </w:rPr>
      </w:pPr>
    </w:p>
    <w:p w:rsidR="00000000" w:rsidRDefault="001F1FC8">
      <w:pPr>
        <w:divId w:val="121072603"/>
        <w:rPr>
          <w:rFonts w:eastAsia="Times New Roman"/>
        </w:rPr>
      </w:pPr>
      <w:r>
        <w:rPr>
          <w:rFonts w:ascii="Arial" w:eastAsia="Times New Roman" w:hAnsi="Arial" w:cs="Arial"/>
          <w:b/>
          <w:bCs/>
          <w:color w:val="000000"/>
          <w:sz w:val="20"/>
          <w:szCs w:val="20"/>
        </w:rPr>
        <w:t>Classification of Derivatives</w:t>
      </w:r>
    </w:p>
    <w:p w:rsidR="00000000" w:rsidRDefault="001F1FC8">
      <w:pPr>
        <w:divId w:val="1575771744"/>
        <w:rPr>
          <w:rFonts w:eastAsia="Times New Roman"/>
        </w:rPr>
      </w:pPr>
      <w:r>
        <w:rPr>
          <w:rFonts w:ascii="Arial" w:eastAsia="Times New Roman" w:hAnsi="Arial" w:cs="Arial"/>
          <w:color w:val="000000"/>
          <w:sz w:val="20"/>
          <w:szCs w:val="20"/>
        </w:rPr>
        <w:t>We recognize the fair value o</w:t>
      </w:r>
      <w:r>
        <w:rPr>
          <w:rFonts w:ascii="Arial" w:eastAsia="Times New Roman" w:hAnsi="Arial" w:cs="Arial"/>
          <w:color w:val="000000"/>
          <w:sz w:val="20"/>
          <w:szCs w:val="20"/>
        </w:rPr>
        <w:t>f derivative instruments in the Consolidated Statements of Financial Position as current and non-current assets or liabilities depending on the timing of settlements and the resulting cash flows associated with the instruments. Fair value amounts related t</w:t>
      </w:r>
      <w:r>
        <w:rPr>
          <w:rFonts w:ascii="Arial" w:eastAsia="Times New Roman" w:hAnsi="Arial" w:cs="Arial"/>
          <w:color w:val="000000"/>
          <w:sz w:val="20"/>
          <w:szCs w:val="20"/>
        </w:rPr>
        <w:t>o cash flows occurring beyond one year are classified as non-current.</w:t>
      </w:r>
    </w:p>
    <w:p w:rsidR="00000000" w:rsidRDefault="001F1FC8">
      <w:pPr>
        <w:divId w:val="674068703"/>
        <w:rPr>
          <w:rFonts w:eastAsia="Times New Roman"/>
        </w:rPr>
      </w:pPr>
    </w:p>
    <w:p w:rsidR="00000000" w:rsidRDefault="001F1FC8">
      <w:pPr>
        <w:divId w:val="535849289"/>
        <w:rPr>
          <w:rFonts w:eastAsia="Times New Roman"/>
        </w:rPr>
      </w:pPr>
      <w:r>
        <w:rPr>
          <w:rFonts w:ascii="Arial" w:eastAsia="Times New Roman" w:hAnsi="Arial" w:cs="Arial"/>
          <w:color w:val="000000"/>
          <w:sz w:val="20"/>
          <w:szCs w:val="20"/>
        </w:rPr>
        <w:t>Cash inflows and outflows related to derivative instruments are classified as Operating activities in the Consolidated Statements of Cash Flows.</w:t>
      </w:r>
    </w:p>
    <w:p w:rsidR="00000000" w:rsidRDefault="001F1FC8">
      <w:pPr>
        <w:divId w:val="1045718286"/>
        <w:rPr>
          <w:rFonts w:eastAsia="Times New Roman"/>
        </w:rPr>
      </w:pPr>
    </w:p>
    <w:p w:rsidR="00000000" w:rsidRDefault="001F1FC8">
      <w:pPr>
        <w:divId w:val="1848447531"/>
        <w:rPr>
          <w:rFonts w:eastAsia="Times New Roman"/>
        </w:rPr>
      </w:pPr>
      <w:r>
        <w:rPr>
          <w:rFonts w:ascii="Arial" w:eastAsia="Times New Roman" w:hAnsi="Arial" w:cs="Arial"/>
          <w:b/>
          <w:bCs/>
          <w:color w:val="000000"/>
          <w:sz w:val="20"/>
          <w:szCs w:val="20"/>
        </w:rPr>
        <w:t>Balance Sheet Offset</w:t>
      </w:r>
    </w:p>
    <w:p w:rsidR="00000000" w:rsidRDefault="001F1FC8">
      <w:pPr>
        <w:divId w:val="400102081"/>
        <w:rPr>
          <w:rFonts w:eastAsia="Times New Roman"/>
        </w:rPr>
      </w:pPr>
      <w:r>
        <w:rPr>
          <w:rFonts w:ascii="Arial" w:eastAsia="Times New Roman" w:hAnsi="Arial" w:cs="Arial"/>
          <w:color w:val="000000"/>
          <w:sz w:val="20"/>
          <w:szCs w:val="20"/>
        </w:rPr>
        <w:t>Assets and liabi</w:t>
      </w:r>
      <w:r>
        <w:rPr>
          <w:rFonts w:ascii="Arial" w:eastAsia="Times New Roman" w:hAnsi="Arial" w:cs="Arial"/>
          <w:color w:val="000000"/>
          <w:sz w:val="20"/>
          <w:szCs w:val="20"/>
        </w:rPr>
        <w:t>lities arising from derivative instruments may be offset in the Consolidated Statements of Financial Position when we have the legal right and intention to settle them on a net basis.</w:t>
      </w:r>
    </w:p>
    <w:p w:rsidR="00000000" w:rsidRDefault="001F1FC8">
      <w:pPr>
        <w:divId w:val="297150292"/>
        <w:rPr>
          <w:rFonts w:eastAsia="Times New Roman"/>
        </w:rPr>
      </w:pPr>
    </w:p>
    <w:p w:rsidR="00000000" w:rsidRDefault="001F1FC8">
      <w:pPr>
        <w:jc w:val="center"/>
        <w:divId w:val="1290093560"/>
        <w:rPr>
          <w:rFonts w:eastAsia="Times New Roman"/>
        </w:rPr>
      </w:pPr>
      <w:r>
        <w:rPr>
          <w:rFonts w:ascii="Arial" w:eastAsia="Times New Roman" w:hAnsi="Arial" w:cs="Arial"/>
          <w:color w:val="000000"/>
          <w:sz w:val="20"/>
          <w:szCs w:val="20"/>
        </w:rPr>
        <w:t>107</w:t>
      </w:r>
    </w:p>
    <w:p w:rsidR="00000000" w:rsidRDefault="001F1FC8">
      <w:pPr>
        <w:rPr>
          <w:rFonts w:eastAsia="Times New Roman"/>
        </w:rPr>
      </w:pPr>
      <w:r>
        <w:rPr>
          <w:rFonts w:eastAsia="Times New Roman"/>
        </w:rPr>
        <w:pict>
          <v:rect id="_x0000_i1137" style="width:0;height:1.5pt" o:hralign="center" o:hrstd="t" o:hr="t" fillcolor="#a0a0a0" stroked="f"/>
        </w:pict>
      </w:r>
    </w:p>
    <w:p w:rsidR="00000000" w:rsidRDefault="001F1FC8">
      <w:pPr>
        <w:jc w:val="center"/>
        <w:divId w:val="856309347"/>
        <w:rPr>
          <w:rFonts w:eastAsia="Times New Roman"/>
        </w:rPr>
      </w:pPr>
    </w:p>
    <w:p w:rsidR="00000000" w:rsidRDefault="001F1FC8">
      <w:pPr>
        <w:divId w:val="1790660641"/>
        <w:rPr>
          <w:rFonts w:eastAsia="Times New Roman"/>
        </w:rPr>
      </w:pPr>
      <w:r>
        <w:rPr>
          <w:rFonts w:ascii="Arial" w:eastAsia="Times New Roman" w:hAnsi="Arial" w:cs="Arial"/>
          <w:b/>
          <w:bCs/>
          <w:color w:val="000000"/>
          <w:sz w:val="20"/>
          <w:szCs w:val="20"/>
        </w:rPr>
        <w:t>Transaction Costs</w:t>
      </w:r>
    </w:p>
    <w:p w:rsidR="00000000" w:rsidRDefault="001F1FC8">
      <w:pPr>
        <w:divId w:val="864944757"/>
        <w:rPr>
          <w:rFonts w:eastAsia="Times New Roman"/>
        </w:rPr>
      </w:pPr>
      <w:r>
        <w:rPr>
          <w:rFonts w:ascii="Arial" w:eastAsia="Times New Roman" w:hAnsi="Arial" w:cs="Arial"/>
          <w:color w:val="000000"/>
          <w:sz w:val="20"/>
          <w:szCs w:val="20"/>
        </w:rPr>
        <w:t>Transactio</w:t>
      </w:r>
      <w:r>
        <w:rPr>
          <w:rFonts w:ascii="Arial" w:eastAsia="Times New Roman" w:hAnsi="Arial" w:cs="Arial"/>
          <w:color w:val="000000"/>
          <w:sz w:val="20"/>
          <w:szCs w:val="20"/>
        </w:rPr>
        <w:t xml:space="preserve">n costs are incremental costs directly related to the acquisition of a financial asset or the issuance of a financial liability. We incur transaction costs primarily from the issuance of debt and account for these costs as a reduction to Long-term debt in </w:t>
      </w:r>
      <w:r>
        <w:rPr>
          <w:rFonts w:ascii="Arial" w:eastAsia="Times New Roman" w:hAnsi="Arial" w:cs="Arial"/>
          <w:color w:val="000000"/>
          <w:sz w:val="20"/>
          <w:szCs w:val="20"/>
        </w:rPr>
        <w:t>the Consolidated Statements of Financial Position. These costs are amortized using the effective interest rate method over the term of the related debt instrument and are recorded in Interest expense.</w:t>
      </w:r>
    </w:p>
    <w:p w:rsidR="00000000" w:rsidRDefault="001F1FC8">
      <w:pPr>
        <w:divId w:val="1157185757"/>
        <w:rPr>
          <w:rFonts w:eastAsia="Times New Roman"/>
        </w:rPr>
      </w:pPr>
    </w:p>
    <w:p w:rsidR="00000000" w:rsidRDefault="001F1FC8">
      <w:pPr>
        <w:divId w:val="2068257921"/>
        <w:rPr>
          <w:rFonts w:eastAsia="Times New Roman"/>
        </w:rPr>
      </w:pPr>
      <w:r>
        <w:rPr>
          <w:rFonts w:ascii="Arial" w:eastAsia="Times New Roman" w:hAnsi="Arial" w:cs="Arial"/>
          <w:b/>
          <w:bCs/>
          <w:color w:val="000000"/>
          <w:sz w:val="20"/>
          <w:szCs w:val="20"/>
        </w:rPr>
        <w:t>EQUITY INVESTMENTS</w:t>
      </w:r>
    </w:p>
    <w:p w:rsidR="00000000" w:rsidRDefault="001F1FC8">
      <w:pPr>
        <w:divId w:val="30036365"/>
        <w:rPr>
          <w:rFonts w:eastAsia="Times New Roman"/>
        </w:rPr>
      </w:pPr>
      <w:r>
        <w:rPr>
          <w:rFonts w:ascii="Arial" w:eastAsia="Times New Roman" w:hAnsi="Arial" w:cs="Arial"/>
          <w:color w:val="000000"/>
          <w:sz w:val="20"/>
          <w:szCs w:val="20"/>
        </w:rPr>
        <w:t>Equity investments over which we e</w:t>
      </w:r>
      <w:r>
        <w:rPr>
          <w:rFonts w:ascii="Arial" w:eastAsia="Times New Roman" w:hAnsi="Arial" w:cs="Arial"/>
          <w:color w:val="000000"/>
          <w:sz w:val="20"/>
          <w:szCs w:val="20"/>
        </w:rPr>
        <w:t>xercise significant influence, but do not have controlling financial interests, are accounted for using the equity method. Equity investments are initially measured at cost and are adjusted for our proportionate share of undistributed equity earnings or lo</w:t>
      </w:r>
      <w:r>
        <w:rPr>
          <w:rFonts w:ascii="Arial" w:eastAsia="Times New Roman" w:hAnsi="Arial" w:cs="Arial"/>
          <w:color w:val="000000"/>
          <w:sz w:val="20"/>
          <w:szCs w:val="20"/>
        </w:rPr>
        <w:t>ss. Equity investments are increased for contributions made to, and decreased for distributions received from, the investee. To the extent an equity investee undertakes activities necessary to commence its planned principal operations, we capitalize intere</w:t>
      </w:r>
      <w:r>
        <w:rPr>
          <w:rFonts w:ascii="Arial" w:eastAsia="Times New Roman" w:hAnsi="Arial" w:cs="Arial"/>
          <w:color w:val="000000"/>
          <w:sz w:val="20"/>
          <w:szCs w:val="20"/>
        </w:rPr>
        <w:t>st costs associated with the investment during such period.</w:t>
      </w:r>
    </w:p>
    <w:p w:rsidR="00000000" w:rsidRDefault="001F1FC8">
      <w:pPr>
        <w:divId w:val="959144979"/>
        <w:rPr>
          <w:rFonts w:eastAsia="Times New Roman"/>
        </w:rPr>
      </w:pPr>
    </w:p>
    <w:p w:rsidR="00000000" w:rsidRDefault="001F1FC8">
      <w:pPr>
        <w:divId w:val="1258634184"/>
        <w:rPr>
          <w:rFonts w:eastAsia="Times New Roman"/>
        </w:rPr>
      </w:pPr>
      <w:r>
        <w:rPr>
          <w:rFonts w:ascii="Arial" w:eastAsia="Times New Roman" w:hAnsi="Arial" w:cs="Arial"/>
          <w:b/>
          <w:bCs/>
          <w:color w:val="000000"/>
          <w:sz w:val="20"/>
          <w:szCs w:val="20"/>
        </w:rPr>
        <w:t>RESTRICTED LONG-TERM INVESTMENTS</w:t>
      </w:r>
    </w:p>
    <w:p w:rsidR="00000000" w:rsidRDefault="001F1FC8">
      <w:pPr>
        <w:divId w:val="81296854"/>
        <w:rPr>
          <w:rFonts w:eastAsia="Times New Roman"/>
        </w:rPr>
      </w:pPr>
      <w:r>
        <w:rPr>
          <w:rFonts w:ascii="Arial" w:eastAsia="Times New Roman" w:hAnsi="Arial" w:cs="Arial"/>
          <w:color w:val="000000"/>
          <w:sz w:val="20"/>
          <w:szCs w:val="20"/>
        </w:rPr>
        <w:t>Long-term investments that are restricted as to withdrawal or usage, for the purposes of the CER’s LMCI, are presented as Restricted long-term investments in the</w:t>
      </w:r>
      <w:r>
        <w:rPr>
          <w:rFonts w:ascii="Arial" w:eastAsia="Times New Roman" w:hAnsi="Arial" w:cs="Arial"/>
          <w:color w:val="000000"/>
          <w:sz w:val="20"/>
          <w:szCs w:val="20"/>
        </w:rPr>
        <w:t xml:space="preserve"> Consolidated Statements of Financial Position.</w:t>
      </w:r>
    </w:p>
    <w:p w:rsidR="00000000" w:rsidRDefault="001F1FC8">
      <w:pPr>
        <w:divId w:val="612908839"/>
        <w:rPr>
          <w:rFonts w:eastAsia="Times New Roman"/>
        </w:rPr>
      </w:pPr>
    </w:p>
    <w:p w:rsidR="00000000" w:rsidRDefault="001F1FC8">
      <w:pPr>
        <w:divId w:val="1257712095"/>
        <w:rPr>
          <w:rFonts w:eastAsia="Times New Roman"/>
        </w:rPr>
      </w:pPr>
      <w:r>
        <w:rPr>
          <w:rFonts w:ascii="Arial" w:eastAsia="Times New Roman" w:hAnsi="Arial" w:cs="Arial"/>
          <w:b/>
          <w:bCs/>
          <w:color w:val="000000"/>
          <w:sz w:val="20"/>
          <w:szCs w:val="20"/>
        </w:rPr>
        <w:t>OTHER INVESTMENTS</w:t>
      </w:r>
    </w:p>
    <w:p w:rsidR="00000000" w:rsidRDefault="001F1FC8">
      <w:pPr>
        <w:divId w:val="1462649243"/>
        <w:rPr>
          <w:rFonts w:eastAsia="Times New Roman"/>
        </w:rPr>
      </w:pPr>
      <w:r>
        <w:rPr>
          <w:rFonts w:ascii="Arial" w:eastAsia="Times New Roman" w:hAnsi="Arial" w:cs="Arial"/>
          <w:color w:val="000000"/>
          <w:sz w:val="20"/>
          <w:szCs w:val="20"/>
        </w:rPr>
        <w:t>Generally, we classify equity investments in entities over which we do not exercise significant influence and that do not have readily determinable fair values as other investments measured using the fair value measurement alternative (FVMA). These investm</w:t>
      </w:r>
      <w:r>
        <w:rPr>
          <w:rFonts w:ascii="Arial" w:eastAsia="Times New Roman" w:hAnsi="Arial" w:cs="Arial"/>
          <w:color w:val="000000"/>
          <w:sz w:val="20"/>
          <w:szCs w:val="20"/>
        </w:rPr>
        <w:t>ents are recorded at cost minus impairment, if any, plus or minus the impact of observable price changes occurring in orderly transactions for an identical or similar investment of the same issuer. Investments in equity securities measured using the FVMA a</w:t>
      </w:r>
      <w:r>
        <w:rPr>
          <w:rFonts w:ascii="Arial" w:eastAsia="Times New Roman" w:hAnsi="Arial" w:cs="Arial"/>
          <w:color w:val="000000"/>
          <w:sz w:val="20"/>
          <w:szCs w:val="20"/>
        </w:rPr>
        <w:t>re reviewed for impairment each reporting period and written down to their fair value if objective evidence of impairment is identified. Equity investments with readily determinable fair values are measured at fair value through earnings. Dividends receive</w:t>
      </w:r>
      <w:r>
        <w:rPr>
          <w:rFonts w:ascii="Arial" w:eastAsia="Times New Roman" w:hAnsi="Arial" w:cs="Arial"/>
          <w:color w:val="000000"/>
          <w:sz w:val="20"/>
          <w:szCs w:val="20"/>
        </w:rPr>
        <w:t>d from investments in equity securities are recognized in earnings when the right to receive payment is established.</w:t>
      </w:r>
    </w:p>
    <w:p w:rsidR="00000000" w:rsidRDefault="001F1FC8">
      <w:pPr>
        <w:divId w:val="1954896920"/>
        <w:rPr>
          <w:rFonts w:eastAsia="Times New Roman"/>
        </w:rPr>
      </w:pPr>
    </w:p>
    <w:p w:rsidR="00000000" w:rsidRDefault="001F1FC8">
      <w:pPr>
        <w:divId w:val="957834163"/>
        <w:rPr>
          <w:rFonts w:eastAsia="Times New Roman"/>
        </w:rPr>
      </w:pPr>
      <w:r>
        <w:rPr>
          <w:rFonts w:ascii="Arial" w:eastAsia="Times New Roman" w:hAnsi="Arial" w:cs="Arial"/>
          <w:color w:val="000000"/>
          <w:sz w:val="20"/>
          <w:szCs w:val="20"/>
        </w:rPr>
        <w:t>Investments in debt securities are classified as available-for-sale and measured at fair value through OCI.</w:t>
      </w:r>
    </w:p>
    <w:p w:rsidR="00000000" w:rsidRDefault="001F1FC8">
      <w:pPr>
        <w:divId w:val="1993942375"/>
        <w:rPr>
          <w:rFonts w:eastAsia="Times New Roman"/>
        </w:rPr>
      </w:pPr>
    </w:p>
    <w:p w:rsidR="00000000" w:rsidRDefault="001F1FC8">
      <w:pPr>
        <w:divId w:val="105513167"/>
        <w:rPr>
          <w:rFonts w:eastAsia="Times New Roman"/>
        </w:rPr>
      </w:pPr>
      <w:r>
        <w:rPr>
          <w:rFonts w:ascii="Arial" w:eastAsia="Times New Roman" w:hAnsi="Arial" w:cs="Arial"/>
          <w:b/>
          <w:bCs/>
          <w:color w:val="000000"/>
          <w:sz w:val="20"/>
          <w:szCs w:val="20"/>
        </w:rPr>
        <w:t>NONCONTROLLING INTERESTS</w:t>
      </w:r>
    </w:p>
    <w:p w:rsidR="00000000" w:rsidRDefault="001F1FC8">
      <w:pPr>
        <w:divId w:val="300886125"/>
        <w:rPr>
          <w:rFonts w:eastAsia="Times New Roman"/>
        </w:rPr>
      </w:pPr>
      <w:r>
        <w:rPr>
          <w:rFonts w:ascii="Arial" w:eastAsia="Times New Roman" w:hAnsi="Arial" w:cs="Arial"/>
          <w:color w:val="000000"/>
          <w:sz w:val="20"/>
          <w:szCs w:val="20"/>
        </w:rPr>
        <w:t>No</w:t>
      </w:r>
      <w:r>
        <w:rPr>
          <w:rFonts w:ascii="Arial" w:eastAsia="Times New Roman" w:hAnsi="Arial" w:cs="Arial"/>
          <w:color w:val="000000"/>
          <w:sz w:val="20"/>
          <w:szCs w:val="20"/>
        </w:rPr>
        <w:t>ncontrolling interests represent ownership interests attributable to third parties in certain consolidated subsidiaries. The portion of equity not owned by us in such entities is reflected as Noncontrolling interests within the equity section of the Consol</w:t>
      </w:r>
      <w:r>
        <w:rPr>
          <w:rFonts w:ascii="Arial" w:eastAsia="Times New Roman" w:hAnsi="Arial" w:cs="Arial"/>
          <w:color w:val="000000"/>
          <w:sz w:val="20"/>
          <w:szCs w:val="20"/>
        </w:rPr>
        <w:t>idated Statements of Financial Position.</w:t>
      </w:r>
    </w:p>
    <w:p w:rsidR="00000000" w:rsidRDefault="001F1FC8">
      <w:pPr>
        <w:divId w:val="1982924979"/>
        <w:rPr>
          <w:rFonts w:eastAsia="Times New Roman"/>
        </w:rPr>
      </w:pPr>
    </w:p>
    <w:p w:rsidR="00000000" w:rsidRDefault="001F1FC8">
      <w:pPr>
        <w:divId w:val="1485127707"/>
        <w:rPr>
          <w:rFonts w:eastAsia="Times New Roman"/>
        </w:rPr>
      </w:pPr>
      <w:r>
        <w:rPr>
          <w:rFonts w:ascii="Arial" w:eastAsia="Times New Roman" w:hAnsi="Arial" w:cs="Arial"/>
          <w:b/>
          <w:bCs/>
          <w:color w:val="000000"/>
          <w:sz w:val="20"/>
          <w:szCs w:val="20"/>
        </w:rPr>
        <w:t>INCOME TAXES</w:t>
      </w:r>
    </w:p>
    <w:p w:rsidR="00000000" w:rsidRDefault="001F1FC8">
      <w:pPr>
        <w:divId w:val="1753426224"/>
        <w:rPr>
          <w:rFonts w:eastAsia="Times New Roman"/>
        </w:rPr>
      </w:pPr>
      <w:r>
        <w:rPr>
          <w:rFonts w:ascii="Arial" w:eastAsia="Times New Roman" w:hAnsi="Arial" w:cs="Arial"/>
          <w:color w:val="000000"/>
          <w:sz w:val="20"/>
          <w:szCs w:val="20"/>
        </w:rPr>
        <w:t>Income taxes are accounted for using the liability method. Deferred income tax assets and liabilities are recorded based on temporary differences between the tax bases of assets and liabilities and th</w:t>
      </w:r>
      <w:r>
        <w:rPr>
          <w:rFonts w:ascii="Arial" w:eastAsia="Times New Roman" w:hAnsi="Arial" w:cs="Arial"/>
          <w:color w:val="000000"/>
          <w:sz w:val="20"/>
          <w:szCs w:val="20"/>
        </w:rPr>
        <w:t>eir carrying values for accounting purposes. Deferred income tax assets and liabilities are measured using the tax rate that is expected to apply when the temporary differences reverse. For our regulated operations, a deferred income tax liability or asset</w:t>
      </w:r>
      <w:r>
        <w:rPr>
          <w:rFonts w:ascii="Arial" w:eastAsia="Times New Roman" w:hAnsi="Arial" w:cs="Arial"/>
          <w:color w:val="000000"/>
          <w:sz w:val="20"/>
          <w:szCs w:val="20"/>
        </w:rPr>
        <w:t xml:space="preserve"> is recognized with a corresponding regulatory asset or liability, respectively, to the extent that taxes can be recovered through rates. Any interest and/or penalty incurred related to tax is reflected in Income tax expense.</w:t>
      </w:r>
    </w:p>
    <w:p w:rsidR="00000000" w:rsidRDefault="001F1FC8">
      <w:pPr>
        <w:divId w:val="587353561"/>
        <w:rPr>
          <w:rFonts w:eastAsia="Times New Roman"/>
        </w:rPr>
      </w:pPr>
    </w:p>
    <w:p w:rsidR="00000000" w:rsidRDefault="001F1FC8">
      <w:pPr>
        <w:jc w:val="center"/>
        <w:divId w:val="584612773"/>
        <w:rPr>
          <w:rFonts w:eastAsia="Times New Roman"/>
        </w:rPr>
      </w:pPr>
      <w:r>
        <w:rPr>
          <w:rFonts w:ascii="Arial" w:eastAsia="Times New Roman" w:hAnsi="Arial" w:cs="Arial"/>
          <w:color w:val="000000"/>
          <w:sz w:val="20"/>
          <w:szCs w:val="20"/>
        </w:rPr>
        <w:t>108</w:t>
      </w:r>
    </w:p>
    <w:p w:rsidR="00000000" w:rsidRDefault="001F1FC8">
      <w:pPr>
        <w:rPr>
          <w:rFonts w:eastAsia="Times New Roman"/>
        </w:rPr>
      </w:pPr>
      <w:r>
        <w:rPr>
          <w:rFonts w:eastAsia="Times New Roman"/>
        </w:rPr>
        <w:pict>
          <v:rect id="_x0000_i1138" style="width:0;height:1.5pt" o:hralign="center" o:hrstd="t" o:hr="t" fillcolor="#a0a0a0" stroked="f"/>
        </w:pict>
      </w:r>
    </w:p>
    <w:p w:rsidR="00000000" w:rsidRDefault="001F1FC8">
      <w:pPr>
        <w:jc w:val="center"/>
        <w:divId w:val="1157381304"/>
        <w:rPr>
          <w:rFonts w:eastAsia="Times New Roman"/>
        </w:rPr>
      </w:pPr>
    </w:p>
    <w:p w:rsidR="00000000" w:rsidRDefault="001F1FC8">
      <w:pPr>
        <w:divId w:val="127942734"/>
        <w:rPr>
          <w:rFonts w:eastAsia="Times New Roman"/>
        </w:rPr>
      </w:pPr>
      <w:r>
        <w:rPr>
          <w:rFonts w:ascii="Arial" w:eastAsia="Times New Roman" w:hAnsi="Arial" w:cs="Arial"/>
          <w:b/>
          <w:bCs/>
          <w:color w:val="000000"/>
          <w:sz w:val="20"/>
          <w:szCs w:val="20"/>
        </w:rPr>
        <w:t>FOREIGN CURRENCY TRANSACTIONS AND TRANSLATION</w:t>
      </w:r>
    </w:p>
    <w:p w:rsidR="00000000" w:rsidRDefault="001F1FC8">
      <w:pPr>
        <w:divId w:val="299656888"/>
        <w:rPr>
          <w:rFonts w:eastAsia="Times New Roman"/>
        </w:rPr>
      </w:pPr>
      <w:r>
        <w:rPr>
          <w:rFonts w:ascii="Arial" w:eastAsia="Times New Roman" w:hAnsi="Arial" w:cs="Arial"/>
          <w:color w:val="000000"/>
          <w:sz w:val="20"/>
          <w:szCs w:val="20"/>
        </w:rPr>
        <w:t>Foreign currency transactions are those transactions whose terms are denominated in a currency other than the currency of the primary economic environment in which Enbridge or a reporting subsidia</w:t>
      </w:r>
      <w:r>
        <w:rPr>
          <w:rFonts w:ascii="Arial" w:eastAsia="Times New Roman" w:hAnsi="Arial" w:cs="Arial"/>
          <w:color w:val="000000"/>
          <w:sz w:val="20"/>
          <w:szCs w:val="20"/>
        </w:rPr>
        <w:t xml:space="preserve">ry operates, referred to as the functional currency. Transactions denominated in foreign currencies are translated to the functional currency using the exchange rate prevailing at the date of the transaction. Monetary assets and liabilities denominated in </w:t>
      </w:r>
      <w:r>
        <w:rPr>
          <w:rFonts w:ascii="Arial" w:eastAsia="Times New Roman" w:hAnsi="Arial" w:cs="Arial"/>
          <w:color w:val="000000"/>
          <w:sz w:val="20"/>
          <w:szCs w:val="20"/>
        </w:rPr>
        <w:t>foreign currencies are translated to the functional currency using the exchange rate in effect as at the balance sheet date. Exchange gains and losses resulting from the translation of monetary assets and liabilities are included in the Consolidated Statem</w:t>
      </w:r>
      <w:r>
        <w:rPr>
          <w:rFonts w:ascii="Arial" w:eastAsia="Times New Roman" w:hAnsi="Arial" w:cs="Arial"/>
          <w:color w:val="000000"/>
          <w:sz w:val="20"/>
          <w:szCs w:val="20"/>
        </w:rPr>
        <w:t>ents of Earnings in the period in which they arise.</w:t>
      </w:r>
    </w:p>
    <w:p w:rsidR="00000000" w:rsidRDefault="001F1FC8">
      <w:pPr>
        <w:divId w:val="1339698120"/>
        <w:rPr>
          <w:rFonts w:eastAsia="Times New Roman"/>
        </w:rPr>
      </w:pPr>
    </w:p>
    <w:p w:rsidR="00000000" w:rsidRDefault="001F1FC8">
      <w:pPr>
        <w:divId w:val="596016521"/>
        <w:rPr>
          <w:rFonts w:eastAsia="Times New Roman"/>
        </w:rPr>
      </w:pPr>
      <w:r>
        <w:rPr>
          <w:rFonts w:ascii="Arial" w:eastAsia="Times New Roman" w:hAnsi="Arial" w:cs="Arial"/>
          <w:color w:val="000000"/>
          <w:sz w:val="20"/>
          <w:szCs w:val="20"/>
        </w:rPr>
        <w:t>Gains and losses arising from the translation of foreign operations' functional currencies to our Canadian dollar presentation currency are included in the CTA component of AOCI and are recognized in ea</w:t>
      </w:r>
      <w:r>
        <w:rPr>
          <w:rFonts w:ascii="Arial" w:eastAsia="Times New Roman" w:hAnsi="Arial" w:cs="Arial"/>
          <w:color w:val="000000"/>
          <w:sz w:val="20"/>
          <w:szCs w:val="20"/>
        </w:rPr>
        <w:t>rnings upon sale of the foreign operation. Asset and liability accounts are translated at the exchange rates in effect as at the balance sheet date, while revenues and expenses are translated using monthly average exchange rates.</w:t>
      </w:r>
    </w:p>
    <w:p w:rsidR="00000000" w:rsidRDefault="001F1FC8">
      <w:pPr>
        <w:divId w:val="620259166"/>
        <w:rPr>
          <w:rFonts w:eastAsia="Times New Roman"/>
        </w:rPr>
      </w:pPr>
    </w:p>
    <w:p w:rsidR="00000000" w:rsidRDefault="001F1FC8">
      <w:pPr>
        <w:divId w:val="402410239"/>
        <w:rPr>
          <w:rFonts w:eastAsia="Times New Roman"/>
        </w:rPr>
      </w:pPr>
      <w:r>
        <w:rPr>
          <w:rFonts w:ascii="Arial" w:eastAsia="Times New Roman" w:hAnsi="Arial" w:cs="Arial"/>
          <w:b/>
          <w:bCs/>
          <w:color w:val="000000"/>
          <w:sz w:val="20"/>
          <w:szCs w:val="20"/>
        </w:rPr>
        <w:t>CASH AND CASH EQUIVALENT</w:t>
      </w:r>
      <w:r>
        <w:rPr>
          <w:rFonts w:ascii="Arial" w:eastAsia="Times New Roman" w:hAnsi="Arial" w:cs="Arial"/>
          <w:b/>
          <w:bCs/>
          <w:color w:val="000000"/>
          <w:sz w:val="20"/>
          <w:szCs w:val="20"/>
        </w:rPr>
        <w:t>S</w:t>
      </w:r>
    </w:p>
    <w:p w:rsidR="00000000" w:rsidRDefault="001F1FC8">
      <w:pPr>
        <w:divId w:val="741028751"/>
        <w:rPr>
          <w:rFonts w:eastAsia="Times New Roman"/>
        </w:rPr>
      </w:pPr>
      <w:r>
        <w:rPr>
          <w:rFonts w:ascii="Arial" w:eastAsia="Times New Roman" w:hAnsi="Arial" w:cs="Arial"/>
          <w:color w:val="000000"/>
          <w:sz w:val="20"/>
          <w:szCs w:val="20"/>
        </w:rPr>
        <w:t>Cash and cash equivalents include short-term investments with a term to maturity of three months or less when purchased.</w:t>
      </w:r>
    </w:p>
    <w:p w:rsidR="00000000" w:rsidRDefault="001F1FC8">
      <w:pPr>
        <w:divId w:val="10642893"/>
        <w:rPr>
          <w:rFonts w:eastAsia="Times New Roman"/>
        </w:rPr>
      </w:pPr>
    </w:p>
    <w:p w:rsidR="00000000" w:rsidRDefault="001F1FC8">
      <w:pPr>
        <w:divId w:val="480073505"/>
        <w:rPr>
          <w:rFonts w:eastAsia="Times New Roman"/>
        </w:rPr>
      </w:pPr>
      <w:r>
        <w:rPr>
          <w:rFonts w:ascii="Arial" w:eastAsia="Times New Roman" w:hAnsi="Arial" w:cs="Arial"/>
          <w:b/>
          <w:bCs/>
          <w:color w:val="000000"/>
          <w:sz w:val="20"/>
          <w:szCs w:val="20"/>
        </w:rPr>
        <w:t>RESTRICTED CASH</w:t>
      </w:r>
    </w:p>
    <w:p w:rsidR="00000000" w:rsidRDefault="001F1FC8">
      <w:pPr>
        <w:divId w:val="615527371"/>
        <w:rPr>
          <w:rFonts w:eastAsia="Times New Roman"/>
        </w:rPr>
      </w:pPr>
      <w:r>
        <w:rPr>
          <w:rFonts w:ascii="Arial" w:eastAsia="Times New Roman" w:hAnsi="Arial" w:cs="Arial"/>
          <w:color w:val="000000"/>
          <w:sz w:val="20"/>
          <w:szCs w:val="20"/>
        </w:rPr>
        <w:t>Cash and cash equivalents that are restricted as to withdrawal or usage, in accordance with specific commercial arr</w:t>
      </w:r>
      <w:r>
        <w:rPr>
          <w:rFonts w:ascii="Arial" w:eastAsia="Times New Roman" w:hAnsi="Arial" w:cs="Arial"/>
          <w:color w:val="000000"/>
          <w:sz w:val="20"/>
          <w:szCs w:val="20"/>
        </w:rPr>
        <w:t>angements, are presented as Restricted cash in the Consolidated Statements of Financial Position.</w:t>
      </w:r>
    </w:p>
    <w:p w:rsidR="00000000" w:rsidRDefault="001F1FC8">
      <w:pPr>
        <w:divId w:val="142040584"/>
        <w:rPr>
          <w:rFonts w:eastAsia="Times New Roman"/>
        </w:rPr>
      </w:pPr>
    </w:p>
    <w:p w:rsidR="00000000" w:rsidRDefault="001F1FC8">
      <w:pPr>
        <w:divId w:val="2001882310"/>
        <w:rPr>
          <w:rFonts w:eastAsia="Times New Roman"/>
        </w:rPr>
      </w:pPr>
      <w:r>
        <w:rPr>
          <w:rFonts w:ascii="Arial" w:eastAsia="Times New Roman" w:hAnsi="Arial" w:cs="Arial"/>
          <w:b/>
          <w:bCs/>
          <w:color w:val="000000"/>
          <w:sz w:val="20"/>
          <w:szCs w:val="20"/>
        </w:rPr>
        <w:t>LOANS AND RECEIVABLES</w:t>
      </w:r>
    </w:p>
    <w:p w:rsidR="00000000" w:rsidRDefault="001F1FC8">
      <w:pPr>
        <w:divId w:val="1666518079"/>
        <w:rPr>
          <w:rFonts w:eastAsia="Times New Roman"/>
        </w:rPr>
      </w:pPr>
      <w:r>
        <w:rPr>
          <w:rFonts w:ascii="Arial" w:eastAsia="Times New Roman" w:hAnsi="Arial" w:cs="Arial"/>
          <w:color w:val="000000"/>
          <w:sz w:val="20"/>
          <w:szCs w:val="20"/>
        </w:rPr>
        <w:t>Affiliate long-term notes receivable are measured at amortized cost using the effective interest rate method, net of any impairment lo</w:t>
      </w:r>
      <w:r>
        <w:rPr>
          <w:rFonts w:ascii="Arial" w:eastAsia="Times New Roman" w:hAnsi="Arial" w:cs="Arial"/>
          <w:color w:val="000000"/>
          <w:sz w:val="20"/>
          <w:szCs w:val="20"/>
        </w:rPr>
        <w:t>sses recognized. Accounts receivable and other are measured at cost. Interest income is recognized in earnings as it is earned with the passage of time.</w:t>
      </w:r>
    </w:p>
    <w:p w:rsidR="00000000" w:rsidRDefault="001F1FC8">
      <w:pPr>
        <w:divId w:val="1431390902"/>
        <w:rPr>
          <w:rFonts w:eastAsia="Times New Roman"/>
        </w:rPr>
      </w:pPr>
    </w:p>
    <w:p w:rsidR="00000000" w:rsidRDefault="001F1FC8">
      <w:pPr>
        <w:divId w:val="1279606408"/>
        <w:rPr>
          <w:rFonts w:eastAsia="Times New Roman"/>
        </w:rPr>
      </w:pPr>
      <w:r>
        <w:rPr>
          <w:rFonts w:ascii="Arial" w:eastAsia="Times New Roman" w:hAnsi="Arial" w:cs="Arial"/>
          <w:b/>
          <w:bCs/>
          <w:color w:val="000000"/>
          <w:sz w:val="20"/>
          <w:szCs w:val="20"/>
        </w:rPr>
        <w:t>CURRENT EXPECTED CREDIT LOSSES</w:t>
      </w:r>
    </w:p>
    <w:p w:rsidR="00000000" w:rsidRDefault="001F1FC8">
      <w:pPr>
        <w:divId w:val="276455008"/>
        <w:rPr>
          <w:rFonts w:eastAsia="Times New Roman"/>
        </w:rPr>
      </w:pPr>
      <w:r>
        <w:rPr>
          <w:rFonts w:ascii="Arial" w:eastAsia="Times New Roman" w:hAnsi="Arial" w:cs="Arial"/>
          <w:color w:val="000000"/>
          <w:sz w:val="20"/>
          <w:szCs w:val="20"/>
        </w:rPr>
        <w:t>For accounts receivable, a loss allowance matrix is utilized to measure lifetime expected credit losses. The matrix contemplates historical credit losses by age of receivables, adjusted for any forward-looking information and management expectations. Other</w:t>
      </w:r>
      <w:r>
        <w:rPr>
          <w:rFonts w:ascii="Arial" w:eastAsia="Times New Roman" w:hAnsi="Arial" w:cs="Arial"/>
          <w:color w:val="000000"/>
          <w:sz w:val="20"/>
          <w:szCs w:val="20"/>
        </w:rPr>
        <w:t xml:space="preserve"> loan receivables and applicable off-balance sheet commitments utilize a discounted cash flow methodology which calculates the current expected credit losses based on historical default probability rates associated with the credit rating of the counterpart</w:t>
      </w:r>
      <w:r>
        <w:rPr>
          <w:rFonts w:ascii="Arial" w:eastAsia="Times New Roman" w:hAnsi="Arial" w:cs="Arial"/>
          <w:color w:val="000000"/>
          <w:sz w:val="20"/>
          <w:szCs w:val="20"/>
        </w:rPr>
        <w:t>y and the related term of the loan or commitment, adjusted for forward-looking information and management expectations.</w:t>
      </w:r>
    </w:p>
    <w:p w:rsidR="00000000" w:rsidRDefault="001F1FC8">
      <w:pPr>
        <w:divId w:val="815679773"/>
        <w:rPr>
          <w:rFonts w:eastAsia="Times New Roman"/>
        </w:rPr>
      </w:pPr>
    </w:p>
    <w:p w:rsidR="00000000" w:rsidRDefault="001F1FC8">
      <w:pPr>
        <w:divId w:val="2090157680"/>
        <w:rPr>
          <w:rFonts w:eastAsia="Times New Roman"/>
        </w:rPr>
      </w:pPr>
      <w:r>
        <w:rPr>
          <w:rFonts w:ascii="Arial" w:eastAsia="Times New Roman" w:hAnsi="Arial" w:cs="Arial"/>
          <w:b/>
          <w:bCs/>
          <w:color w:val="000000"/>
          <w:sz w:val="20"/>
          <w:szCs w:val="20"/>
        </w:rPr>
        <w:t>NATURAL GAS IMBALANCES</w:t>
      </w:r>
    </w:p>
    <w:p w:rsidR="00000000" w:rsidRDefault="001F1FC8">
      <w:pPr>
        <w:divId w:val="1553886447"/>
        <w:rPr>
          <w:rFonts w:eastAsia="Times New Roman"/>
        </w:rPr>
      </w:pPr>
      <w:r>
        <w:rPr>
          <w:rFonts w:ascii="Arial" w:eastAsia="Times New Roman" w:hAnsi="Arial" w:cs="Arial"/>
          <w:color w:val="000000"/>
          <w:sz w:val="20"/>
          <w:szCs w:val="20"/>
        </w:rPr>
        <w:t>The Consolidated Statements of Financial Position include balances as a result of differences in gas volumes re</w:t>
      </w:r>
      <w:r>
        <w:rPr>
          <w:rFonts w:ascii="Arial" w:eastAsia="Times New Roman" w:hAnsi="Arial" w:cs="Arial"/>
          <w:color w:val="000000"/>
          <w:sz w:val="20"/>
          <w:szCs w:val="20"/>
        </w:rPr>
        <w:t>ceived from, and delivered for, customers. As settlement of certain imbalances is in-kind, changes in the balances do not have an effect on our Consolidated Statements of Earnings or Consolidated Statements of Cash Flows. Most natural gas volumes owed to o</w:t>
      </w:r>
      <w:r>
        <w:rPr>
          <w:rFonts w:ascii="Arial" w:eastAsia="Times New Roman" w:hAnsi="Arial" w:cs="Arial"/>
          <w:color w:val="000000"/>
          <w:sz w:val="20"/>
          <w:szCs w:val="20"/>
        </w:rPr>
        <w:t>r by us are valued at natural gas market index prices as at the balance sheet dates.</w:t>
      </w:r>
    </w:p>
    <w:p w:rsidR="00000000" w:rsidRDefault="001F1FC8">
      <w:pPr>
        <w:divId w:val="1103108081"/>
        <w:rPr>
          <w:rFonts w:eastAsia="Times New Roman"/>
        </w:rPr>
      </w:pPr>
    </w:p>
    <w:p w:rsidR="00000000" w:rsidRDefault="001F1FC8">
      <w:pPr>
        <w:jc w:val="center"/>
        <w:divId w:val="132022024"/>
        <w:rPr>
          <w:rFonts w:eastAsia="Times New Roman"/>
        </w:rPr>
      </w:pPr>
      <w:r>
        <w:rPr>
          <w:rFonts w:ascii="Arial" w:eastAsia="Times New Roman" w:hAnsi="Arial" w:cs="Arial"/>
          <w:color w:val="000000"/>
          <w:sz w:val="20"/>
          <w:szCs w:val="20"/>
        </w:rPr>
        <w:t>109</w:t>
      </w:r>
    </w:p>
    <w:p w:rsidR="00000000" w:rsidRDefault="001F1FC8">
      <w:pPr>
        <w:rPr>
          <w:rFonts w:eastAsia="Times New Roman"/>
        </w:rPr>
      </w:pPr>
      <w:r>
        <w:rPr>
          <w:rFonts w:eastAsia="Times New Roman"/>
        </w:rPr>
        <w:pict>
          <v:rect id="_x0000_i1139" style="width:0;height:1.5pt" o:hralign="center" o:hrstd="t" o:hr="t" fillcolor="#a0a0a0" stroked="f"/>
        </w:pict>
      </w:r>
    </w:p>
    <w:p w:rsidR="00000000" w:rsidRDefault="001F1FC8">
      <w:pPr>
        <w:jc w:val="center"/>
        <w:divId w:val="1513297145"/>
        <w:rPr>
          <w:rFonts w:eastAsia="Times New Roman"/>
        </w:rPr>
      </w:pPr>
    </w:p>
    <w:p w:rsidR="00000000" w:rsidRDefault="001F1FC8">
      <w:pPr>
        <w:divId w:val="719524973"/>
        <w:rPr>
          <w:rFonts w:eastAsia="Times New Roman"/>
        </w:rPr>
      </w:pPr>
      <w:r>
        <w:rPr>
          <w:rFonts w:ascii="Arial" w:eastAsia="Times New Roman" w:hAnsi="Arial" w:cs="Arial"/>
          <w:b/>
          <w:bCs/>
          <w:color w:val="000000"/>
          <w:sz w:val="20"/>
          <w:szCs w:val="20"/>
        </w:rPr>
        <w:t>INVENTORY</w:t>
      </w:r>
    </w:p>
    <w:p w:rsidR="00000000" w:rsidRDefault="001F1FC8">
      <w:pPr>
        <w:divId w:val="593559904"/>
        <w:rPr>
          <w:rFonts w:eastAsia="Times New Roman"/>
        </w:rPr>
      </w:pPr>
      <w:r>
        <w:rPr>
          <w:rFonts w:ascii="Arial" w:eastAsia="Times New Roman" w:hAnsi="Arial" w:cs="Arial"/>
          <w:color w:val="000000"/>
          <w:sz w:val="20"/>
          <w:szCs w:val="20"/>
        </w:rPr>
        <w:t>Inventory is comprised of natural gas held in storage by Enbridge Gas, crude oil and natural gas held primarily by b</w:t>
      </w:r>
      <w:r>
        <w:rPr>
          <w:rFonts w:ascii="Arial" w:eastAsia="Times New Roman" w:hAnsi="Arial" w:cs="Arial"/>
          <w:color w:val="000000"/>
          <w:sz w:val="20"/>
          <w:szCs w:val="20"/>
        </w:rPr>
        <w:t>usinesses in the Energy Services segment and materials and supplies. Natural gas held in storage by Enbridge Gas is recorded at the quarterly prices approved by the OEB in the determination of distribution rates. The actual price of gas purchased may diffe</w:t>
      </w:r>
      <w:r>
        <w:rPr>
          <w:rFonts w:ascii="Arial" w:eastAsia="Times New Roman" w:hAnsi="Arial" w:cs="Arial"/>
          <w:color w:val="000000"/>
          <w:sz w:val="20"/>
          <w:szCs w:val="20"/>
        </w:rPr>
        <w:t>r from the OEB approved price. The difference between the approved price and the actual cost of gas purchased is deferred as a liability for future refund, or as an asset for collection as approved by the OEB. Other inventory is recorded at the lower of co</w:t>
      </w:r>
      <w:r>
        <w:rPr>
          <w:rFonts w:ascii="Arial" w:eastAsia="Times New Roman" w:hAnsi="Arial" w:cs="Arial"/>
          <w:color w:val="000000"/>
          <w:sz w:val="20"/>
          <w:szCs w:val="20"/>
        </w:rPr>
        <w:t>st, as determined on a weighted average basis, or market value. Upon disposition, other commodities inventory is recorded to Commodity costs in the Consolidated Statements of Earnings at the weighted average cost of inventory, including any adjustments rec</w:t>
      </w:r>
      <w:r>
        <w:rPr>
          <w:rFonts w:ascii="Arial" w:eastAsia="Times New Roman" w:hAnsi="Arial" w:cs="Arial"/>
          <w:color w:val="000000"/>
          <w:sz w:val="20"/>
          <w:szCs w:val="20"/>
        </w:rPr>
        <w:t>orded to reduce inventory to market value. Materials and supplies inventory is recorded at the lower of average cost or net realizable value.</w:t>
      </w:r>
    </w:p>
    <w:p w:rsidR="00000000" w:rsidRDefault="001F1FC8">
      <w:pPr>
        <w:divId w:val="1299992567"/>
        <w:rPr>
          <w:rFonts w:eastAsia="Times New Roman"/>
        </w:rPr>
      </w:pPr>
    </w:p>
    <w:p w:rsidR="00000000" w:rsidRDefault="001F1FC8">
      <w:pPr>
        <w:divId w:val="1300649625"/>
        <w:rPr>
          <w:rFonts w:eastAsia="Times New Roman"/>
        </w:rPr>
      </w:pPr>
      <w:r>
        <w:rPr>
          <w:rFonts w:ascii="Arial" w:eastAsia="Times New Roman" w:hAnsi="Arial" w:cs="Arial"/>
          <w:b/>
          <w:bCs/>
          <w:color w:val="000000"/>
          <w:sz w:val="20"/>
          <w:szCs w:val="20"/>
        </w:rPr>
        <w:t>PROPERTY, PLANT AND EQUIPMENT</w:t>
      </w:r>
    </w:p>
    <w:p w:rsidR="00000000" w:rsidRDefault="001F1FC8">
      <w:pPr>
        <w:divId w:val="1432167168"/>
        <w:rPr>
          <w:rFonts w:eastAsia="Times New Roman"/>
        </w:rPr>
      </w:pPr>
      <w:r>
        <w:rPr>
          <w:rFonts w:ascii="Arial" w:eastAsia="Times New Roman" w:hAnsi="Arial" w:cs="Arial"/>
          <w:color w:val="000000"/>
          <w:sz w:val="20"/>
          <w:szCs w:val="20"/>
        </w:rPr>
        <w:t>Property, plant and equipment is recorded at historical cost. Expenditures for con</w:t>
      </w:r>
      <w:r>
        <w:rPr>
          <w:rFonts w:ascii="Arial" w:eastAsia="Times New Roman" w:hAnsi="Arial" w:cs="Arial"/>
          <w:color w:val="000000"/>
          <w:sz w:val="20"/>
          <w:szCs w:val="20"/>
        </w:rPr>
        <w:t>struction, expansion, major renewals and betterments are capitalized. Maintenance and repair costs are expensed as incurred. Expenditures for project development are capitalized if they are expected to have future benefit. We capitalize interest incurred d</w:t>
      </w:r>
      <w:r>
        <w:rPr>
          <w:rFonts w:ascii="Arial" w:eastAsia="Times New Roman" w:hAnsi="Arial" w:cs="Arial"/>
          <w:color w:val="000000"/>
          <w:sz w:val="20"/>
          <w:szCs w:val="20"/>
        </w:rPr>
        <w:t>uring construction for non-rate-regulated assets. For rate-regulated assets, AFUDC is included in the cost of property, plant and equipment and is depreciated over future periods as part of the total cost of the related asset. AFUDC includes both an intere</w:t>
      </w:r>
      <w:r>
        <w:rPr>
          <w:rFonts w:ascii="Arial" w:eastAsia="Times New Roman" w:hAnsi="Arial" w:cs="Arial"/>
          <w:color w:val="000000"/>
          <w:sz w:val="20"/>
          <w:szCs w:val="20"/>
        </w:rPr>
        <w:t>st component and, if approved by the regulator, a cost of equity component.</w:t>
      </w:r>
    </w:p>
    <w:p w:rsidR="00000000" w:rsidRDefault="001F1FC8">
      <w:pPr>
        <w:divId w:val="1153058029"/>
        <w:rPr>
          <w:rFonts w:eastAsia="Times New Roman"/>
        </w:rPr>
      </w:pPr>
      <w:r>
        <w:rPr>
          <w:rFonts w:ascii="Arial" w:eastAsia="Times New Roman" w:hAnsi="Arial" w:cs="Arial"/>
          <w:color w:val="000000"/>
          <w:sz w:val="20"/>
          <w:szCs w:val="20"/>
        </w:rPr>
        <w:t> </w:t>
      </w:r>
    </w:p>
    <w:p w:rsidR="00000000" w:rsidRDefault="001F1FC8">
      <w:pPr>
        <w:divId w:val="1381705815"/>
        <w:rPr>
          <w:rFonts w:eastAsia="Times New Roman"/>
        </w:rPr>
      </w:pPr>
      <w:r>
        <w:rPr>
          <w:rFonts w:ascii="Arial" w:eastAsia="Times New Roman" w:hAnsi="Arial" w:cs="Arial"/>
          <w:color w:val="000000"/>
          <w:sz w:val="20"/>
          <w:szCs w:val="20"/>
        </w:rPr>
        <w:t>Two primary methods of depreciation are utilized. For distinct assets, depreciation is generally provided on a straight-line basis over the estimated useful lives of the assets c</w:t>
      </w:r>
      <w:r>
        <w:rPr>
          <w:rFonts w:ascii="Arial" w:eastAsia="Times New Roman" w:hAnsi="Arial" w:cs="Arial"/>
          <w:color w:val="000000"/>
          <w:sz w:val="20"/>
          <w:szCs w:val="20"/>
        </w:rPr>
        <w:t xml:space="preserve">ommencing when the asset is placed in-service. For largely homogeneous groups of assets with comparable useful lives, the pool method of accounting for property, plant and equipment is followed whereby similar assets are grouped and depreciated as a pool. </w:t>
      </w:r>
      <w:r>
        <w:rPr>
          <w:rFonts w:ascii="Arial" w:eastAsia="Times New Roman" w:hAnsi="Arial" w:cs="Arial"/>
          <w:color w:val="000000"/>
          <w:sz w:val="20"/>
          <w:szCs w:val="20"/>
        </w:rPr>
        <w:t>When group assets are retired or otherwise disposed of, gains and losses are generally not reflected in earnings but are booked as an adjustment to accumulated depreciation.</w:t>
      </w:r>
    </w:p>
    <w:p w:rsidR="00000000" w:rsidRDefault="001F1FC8">
      <w:pPr>
        <w:divId w:val="935677312"/>
        <w:rPr>
          <w:rFonts w:eastAsia="Times New Roman"/>
        </w:rPr>
      </w:pPr>
    </w:p>
    <w:p w:rsidR="00000000" w:rsidRDefault="001F1FC8">
      <w:pPr>
        <w:divId w:val="1381590095"/>
        <w:rPr>
          <w:rFonts w:eastAsia="Times New Roman"/>
        </w:rPr>
      </w:pPr>
      <w:r>
        <w:rPr>
          <w:rFonts w:ascii="Arial" w:eastAsia="Times New Roman" w:hAnsi="Arial" w:cs="Arial"/>
          <w:b/>
          <w:bCs/>
          <w:color w:val="000000"/>
          <w:sz w:val="20"/>
          <w:szCs w:val="20"/>
        </w:rPr>
        <w:t>LEASES</w:t>
      </w:r>
    </w:p>
    <w:p w:rsidR="00000000" w:rsidRDefault="001F1FC8">
      <w:pPr>
        <w:divId w:val="1232274641"/>
        <w:rPr>
          <w:rFonts w:eastAsia="Times New Roman"/>
        </w:rPr>
      </w:pPr>
      <w:r>
        <w:rPr>
          <w:rFonts w:ascii="Arial" w:eastAsia="Times New Roman" w:hAnsi="Arial" w:cs="Arial"/>
          <w:color w:val="000000"/>
          <w:sz w:val="20"/>
          <w:szCs w:val="20"/>
        </w:rPr>
        <w:t>We recognize an arrangement as a lease when a customer has the right to o</w:t>
      </w:r>
      <w:r>
        <w:rPr>
          <w:rFonts w:ascii="Arial" w:eastAsia="Times New Roman" w:hAnsi="Arial" w:cs="Arial"/>
          <w:color w:val="000000"/>
          <w:sz w:val="20"/>
          <w:szCs w:val="20"/>
        </w:rPr>
        <w:t>btain substantially all of the economic benefits from the use of an asset, as well as the right to direct the use of the asset. We recognize right-of-use (ROU) assets and the related lease liabilities in the Consolidated Statements of Financial Position fo</w:t>
      </w:r>
      <w:r>
        <w:rPr>
          <w:rFonts w:ascii="Arial" w:eastAsia="Times New Roman" w:hAnsi="Arial" w:cs="Arial"/>
          <w:color w:val="000000"/>
          <w:sz w:val="20"/>
          <w:szCs w:val="20"/>
        </w:rPr>
        <w:t>r operating lease arrangements with a term of 12 months or longer. We do not separate non-lease components from the associated lease components of our lessee contracts and account for both components as a single lease component. We combine lease and non-le</w:t>
      </w:r>
      <w:r>
        <w:rPr>
          <w:rFonts w:ascii="Arial" w:eastAsia="Times New Roman" w:hAnsi="Arial" w:cs="Arial"/>
          <w:color w:val="000000"/>
          <w:sz w:val="20"/>
          <w:szCs w:val="20"/>
        </w:rPr>
        <w:t>ase components within a contract for operating lessor leases when certain conditions are met. ROU assets are assessed for impairment using the same approach applied for other long-lived assets.</w:t>
      </w:r>
    </w:p>
    <w:p w:rsidR="00000000" w:rsidRDefault="001F1FC8">
      <w:pPr>
        <w:divId w:val="1145120264"/>
        <w:rPr>
          <w:rFonts w:eastAsia="Times New Roman"/>
        </w:rPr>
      </w:pPr>
    </w:p>
    <w:p w:rsidR="00000000" w:rsidRDefault="001F1FC8">
      <w:pPr>
        <w:divId w:val="124854402"/>
        <w:rPr>
          <w:rFonts w:eastAsia="Times New Roman"/>
        </w:rPr>
      </w:pPr>
      <w:r>
        <w:rPr>
          <w:rFonts w:ascii="Arial" w:eastAsia="Times New Roman" w:hAnsi="Arial" w:cs="Arial"/>
          <w:color w:val="000000"/>
          <w:sz w:val="20"/>
          <w:szCs w:val="20"/>
        </w:rPr>
        <w:t>Lease liabilities and ROU assets require the use of judgment</w:t>
      </w:r>
      <w:r>
        <w:rPr>
          <w:rFonts w:ascii="Arial" w:eastAsia="Times New Roman" w:hAnsi="Arial" w:cs="Arial"/>
          <w:color w:val="000000"/>
          <w:sz w:val="20"/>
          <w:szCs w:val="20"/>
        </w:rPr>
        <w:t xml:space="preserve"> and estimates which are applied in determining the term of a lease, appropriate discount rates, whether an arrangement contains a lease, whether there are any indicators of impairment for ROU assets and whether any ROU assets should be grouped with other </w:t>
      </w:r>
      <w:r>
        <w:rPr>
          <w:rFonts w:ascii="Arial" w:eastAsia="Times New Roman" w:hAnsi="Arial" w:cs="Arial"/>
          <w:color w:val="000000"/>
          <w:sz w:val="20"/>
          <w:szCs w:val="20"/>
        </w:rPr>
        <w:t>long-lived assets for impairment testing.</w:t>
      </w:r>
    </w:p>
    <w:p w:rsidR="00000000" w:rsidRDefault="001F1FC8">
      <w:pPr>
        <w:divId w:val="606275229"/>
        <w:rPr>
          <w:rFonts w:eastAsia="Times New Roman"/>
        </w:rPr>
      </w:pPr>
    </w:p>
    <w:p w:rsidR="00000000" w:rsidRDefault="001F1FC8">
      <w:pPr>
        <w:divId w:val="872035221"/>
        <w:rPr>
          <w:rFonts w:eastAsia="Times New Roman"/>
        </w:rPr>
      </w:pPr>
      <w:r>
        <w:rPr>
          <w:rFonts w:ascii="Arial" w:eastAsia="Times New Roman" w:hAnsi="Arial" w:cs="Arial"/>
          <w:b/>
          <w:bCs/>
          <w:color w:val="000000"/>
          <w:sz w:val="20"/>
          <w:szCs w:val="20"/>
        </w:rPr>
        <w:t>DEFERRED AMOUNTS AND OTHER ASSETS</w:t>
      </w:r>
    </w:p>
    <w:p w:rsidR="00000000" w:rsidRDefault="001F1FC8">
      <w:pPr>
        <w:divId w:val="1772509135"/>
        <w:rPr>
          <w:rFonts w:eastAsia="Times New Roman"/>
        </w:rPr>
      </w:pPr>
      <w:r>
        <w:rPr>
          <w:rFonts w:ascii="Arial" w:eastAsia="Times New Roman" w:hAnsi="Arial" w:cs="Arial"/>
          <w:color w:val="000000"/>
          <w:sz w:val="20"/>
          <w:szCs w:val="20"/>
        </w:rPr>
        <w:t>Deferred amounts and other assets primarily consists of costs that regulatory authorities have permitted, or are expected to permit, to be recovered through future rates, includi</w:t>
      </w:r>
      <w:r>
        <w:rPr>
          <w:rFonts w:ascii="Arial" w:eastAsia="Times New Roman" w:hAnsi="Arial" w:cs="Arial"/>
          <w:color w:val="000000"/>
          <w:sz w:val="20"/>
          <w:szCs w:val="20"/>
        </w:rPr>
        <w:t>ng: deferred income taxes; the fair value adjustment to long-term debt; actual cost of removal of previously retired or decommissioned plant assets; and actuarial gains and losses arising from defined benefit pension plans.</w:t>
      </w:r>
    </w:p>
    <w:p w:rsidR="00000000" w:rsidRDefault="001F1FC8">
      <w:pPr>
        <w:divId w:val="904532827"/>
        <w:rPr>
          <w:rFonts w:eastAsia="Times New Roman"/>
        </w:rPr>
      </w:pPr>
    </w:p>
    <w:p w:rsidR="00000000" w:rsidRDefault="001F1FC8">
      <w:pPr>
        <w:jc w:val="center"/>
        <w:divId w:val="686564256"/>
        <w:rPr>
          <w:rFonts w:eastAsia="Times New Roman"/>
        </w:rPr>
      </w:pPr>
      <w:r>
        <w:rPr>
          <w:rFonts w:ascii="Arial" w:eastAsia="Times New Roman" w:hAnsi="Arial" w:cs="Arial"/>
          <w:color w:val="000000"/>
          <w:sz w:val="20"/>
          <w:szCs w:val="20"/>
        </w:rPr>
        <w:t>110</w:t>
      </w:r>
    </w:p>
    <w:p w:rsidR="00000000" w:rsidRDefault="001F1FC8">
      <w:pPr>
        <w:rPr>
          <w:rFonts w:eastAsia="Times New Roman"/>
        </w:rPr>
      </w:pPr>
      <w:r>
        <w:rPr>
          <w:rFonts w:eastAsia="Times New Roman"/>
        </w:rPr>
        <w:pict>
          <v:rect id="_x0000_i1140" style="width:0;height:1.5pt" o:hralign="center" o:hrstd="t" o:hr="t" fillcolor="#a0a0a0" stroked="f"/>
        </w:pict>
      </w:r>
    </w:p>
    <w:p w:rsidR="00000000" w:rsidRDefault="001F1FC8">
      <w:pPr>
        <w:jc w:val="center"/>
        <w:divId w:val="488401129"/>
        <w:rPr>
          <w:rFonts w:eastAsia="Times New Roman"/>
        </w:rPr>
      </w:pPr>
    </w:p>
    <w:p w:rsidR="00000000" w:rsidRDefault="001F1FC8">
      <w:pPr>
        <w:divId w:val="1761489056"/>
        <w:rPr>
          <w:rFonts w:eastAsia="Times New Roman"/>
        </w:rPr>
      </w:pPr>
      <w:r>
        <w:rPr>
          <w:rFonts w:ascii="Arial" w:eastAsia="Times New Roman" w:hAnsi="Arial" w:cs="Arial"/>
          <w:b/>
          <w:bCs/>
          <w:color w:val="000000"/>
          <w:sz w:val="20"/>
          <w:szCs w:val="20"/>
        </w:rPr>
        <w:t>INTANGIBLE ASSETS</w:t>
      </w:r>
    </w:p>
    <w:p w:rsidR="00000000" w:rsidRDefault="001F1FC8">
      <w:pPr>
        <w:divId w:val="150949297"/>
        <w:rPr>
          <w:rFonts w:eastAsia="Times New Roman"/>
        </w:rPr>
      </w:pPr>
      <w:r>
        <w:rPr>
          <w:rFonts w:ascii="Arial" w:eastAsia="Times New Roman" w:hAnsi="Arial" w:cs="Arial"/>
          <w:color w:val="000000"/>
          <w:sz w:val="20"/>
          <w:szCs w:val="20"/>
        </w:rPr>
        <w:t>Intangible assets consist primarily of certain software costs, customer relationships and emission allowances. We capitalize costs incurred during the application development stage of internal use software projects</w:t>
      </w:r>
      <w:r>
        <w:rPr>
          <w:rFonts w:ascii="Arial" w:eastAsia="Times New Roman" w:hAnsi="Arial" w:cs="Arial"/>
          <w:i/>
          <w:iCs/>
          <w:color w:val="000000"/>
          <w:sz w:val="20"/>
          <w:szCs w:val="20"/>
        </w:rPr>
        <w:t xml:space="preserve">. </w:t>
      </w:r>
      <w:r>
        <w:rPr>
          <w:rFonts w:ascii="Arial" w:eastAsia="Times New Roman" w:hAnsi="Arial" w:cs="Arial"/>
          <w:color w:val="000000"/>
          <w:sz w:val="20"/>
          <w:szCs w:val="20"/>
        </w:rPr>
        <w:t>Customer relationships represent the und</w:t>
      </w:r>
      <w:r>
        <w:rPr>
          <w:rFonts w:ascii="Arial" w:eastAsia="Times New Roman" w:hAnsi="Arial" w:cs="Arial"/>
          <w:color w:val="000000"/>
          <w:sz w:val="20"/>
          <w:szCs w:val="20"/>
        </w:rPr>
        <w:t>erlying relationship from long-term agreements with customers that are capitalized upon acquisition. Intangible assets are generally amortized on a straight-line basis over their expected lives, commencing when the asset is available for use, with the exce</w:t>
      </w:r>
      <w:r>
        <w:rPr>
          <w:rFonts w:ascii="Arial" w:eastAsia="Times New Roman" w:hAnsi="Arial" w:cs="Arial"/>
          <w:color w:val="000000"/>
          <w:sz w:val="20"/>
          <w:szCs w:val="20"/>
        </w:rPr>
        <w:t>ption of emission allowances, which are not amortized as they will be used to satisfy compliance obligations as they come due.</w:t>
      </w:r>
    </w:p>
    <w:p w:rsidR="00000000" w:rsidRDefault="001F1FC8">
      <w:pPr>
        <w:divId w:val="403143973"/>
        <w:rPr>
          <w:rFonts w:eastAsia="Times New Roman"/>
        </w:rPr>
      </w:pPr>
    </w:p>
    <w:p w:rsidR="00000000" w:rsidRDefault="001F1FC8">
      <w:pPr>
        <w:divId w:val="421146231"/>
        <w:rPr>
          <w:rFonts w:eastAsia="Times New Roman"/>
        </w:rPr>
      </w:pPr>
      <w:r>
        <w:rPr>
          <w:rFonts w:ascii="Arial" w:eastAsia="Times New Roman" w:hAnsi="Arial" w:cs="Arial"/>
          <w:b/>
          <w:bCs/>
          <w:color w:val="000000"/>
          <w:sz w:val="20"/>
          <w:szCs w:val="20"/>
        </w:rPr>
        <w:t>GOODWILL</w:t>
      </w:r>
    </w:p>
    <w:p w:rsidR="00000000" w:rsidRDefault="001F1FC8">
      <w:pPr>
        <w:divId w:val="829712590"/>
        <w:rPr>
          <w:rFonts w:eastAsia="Times New Roman"/>
        </w:rPr>
      </w:pPr>
      <w:r>
        <w:rPr>
          <w:rFonts w:ascii="Arial" w:eastAsia="Times New Roman" w:hAnsi="Arial" w:cs="Arial"/>
          <w:color w:val="000000"/>
          <w:sz w:val="20"/>
          <w:szCs w:val="20"/>
        </w:rPr>
        <w:t>Goodwill represents the excess of the purchase price over the fair value of net identifiable assets upon acquisition o</w:t>
      </w:r>
      <w:r>
        <w:rPr>
          <w:rFonts w:ascii="Arial" w:eastAsia="Times New Roman" w:hAnsi="Arial" w:cs="Arial"/>
          <w:color w:val="000000"/>
          <w:sz w:val="20"/>
          <w:szCs w:val="20"/>
        </w:rPr>
        <w:t>f a business. The carrying value of goodwill, which is not amortized, is assessed for impairment annually or more frequently if events or changes in circumstances arise that suggest the carrying value of goodwill may be impaired. We perform our annual revi</w:t>
      </w:r>
      <w:r>
        <w:rPr>
          <w:rFonts w:ascii="Arial" w:eastAsia="Times New Roman" w:hAnsi="Arial" w:cs="Arial"/>
          <w:color w:val="000000"/>
          <w:sz w:val="20"/>
          <w:szCs w:val="20"/>
        </w:rPr>
        <w:t>ew of the goodwill balance on April 1.</w:t>
      </w:r>
    </w:p>
    <w:p w:rsidR="00000000" w:rsidRDefault="001F1FC8">
      <w:pPr>
        <w:divId w:val="1596942633"/>
        <w:rPr>
          <w:rFonts w:eastAsia="Times New Roman"/>
        </w:rPr>
      </w:pPr>
    </w:p>
    <w:p w:rsidR="00000000" w:rsidRDefault="001F1FC8">
      <w:pPr>
        <w:divId w:val="1945768016"/>
        <w:rPr>
          <w:rFonts w:eastAsia="Times New Roman"/>
        </w:rPr>
      </w:pPr>
      <w:r>
        <w:rPr>
          <w:rFonts w:ascii="Arial" w:eastAsia="Times New Roman" w:hAnsi="Arial" w:cs="Arial"/>
          <w:color w:val="000000"/>
          <w:sz w:val="20"/>
          <w:szCs w:val="20"/>
        </w:rPr>
        <w:t>We perform our annual review for impairment at the reporting unit level, which is identified by assessing whether the components of our operating segments constitute businesses for which discrete information is avai</w:t>
      </w:r>
      <w:r>
        <w:rPr>
          <w:rFonts w:ascii="Arial" w:eastAsia="Times New Roman" w:hAnsi="Arial" w:cs="Arial"/>
          <w:color w:val="000000"/>
          <w:sz w:val="20"/>
          <w:szCs w:val="20"/>
        </w:rPr>
        <w:t>lable, whether segment management regularly reviews the operating results of those components and whether the economic and regulatory characteristics are similar.</w:t>
      </w:r>
    </w:p>
    <w:p w:rsidR="00000000" w:rsidRDefault="001F1FC8">
      <w:pPr>
        <w:divId w:val="1658877999"/>
        <w:rPr>
          <w:rFonts w:eastAsia="Times New Roman"/>
        </w:rPr>
      </w:pPr>
    </w:p>
    <w:p w:rsidR="00000000" w:rsidRDefault="001F1FC8">
      <w:pPr>
        <w:divId w:val="1643265640"/>
        <w:rPr>
          <w:rFonts w:eastAsia="Times New Roman"/>
        </w:rPr>
      </w:pPr>
      <w:r>
        <w:rPr>
          <w:rFonts w:ascii="Arial" w:eastAsia="Times New Roman" w:hAnsi="Arial" w:cs="Arial"/>
          <w:color w:val="000000"/>
          <w:sz w:val="20"/>
          <w:szCs w:val="20"/>
        </w:rPr>
        <w:t>We have the option to first assess qualitative factors to determine whether it is necessary</w:t>
      </w:r>
      <w:r>
        <w:rPr>
          <w:rFonts w:ascii="Arial" w:eastAsia="Times New Roman" w:hAnsi="Arial" w:cs="Arial"/>
          <w:color w:val="000000"/>
          <w:sz w:val="20"/>
          <w:szCs w:val="20"/>
        </w:rPr>
        <w:t xml:space="preserve"> to perform the quantitative goodwill impairment assessment. When performing a qualitative assessment, we determine the drivers of fair value for each reporting unit and evaluate whether those drivers have been positively or negatively affected by relevant</w:t>
      </w:r>
      <w:r>
        <w:rPr>
          <w:rFonts w:ascii="Arial" w:eastAsia="Times New Roman" w:hAnsi="Arial" w:cs="Arial"/>
          <w:color w:val="000000"/>
          <w:sz w:val="20"/>
          <w:szCs w:val="20"/>
        </w:rPr>
        <w:t xml:space="preserve"> events and circumstances since the last fair value assessment. Our evaluation includes, but is not limited to, the assessment of macroeconomic trends, regulatory environments, capital accessibility, operating income trends and industry conditions. Based o</w:t>
      </w:r>
      <w:r>
        <w:rPr>
          <w:rFonts w:ascii="Arial" w:eastAsia="Times New Roman" w:hAnsi="Arial" w:cs="Arial"/>
          <w:color w:val="000000"/>
          <w:sz w:val="20"/>
          <w:szCs w:val="20"/>
        </w:rPr>
        <w:t>n our assessment of qualitative factors, if we determine it is more likely than not that the fair value of the reporting unit is less than its carrying amount, a quantitative goodwill impairment assessment is performed.</w:t>
      </w:r>
    </w:p>
    <w:p w:rsidR="00000000" w:rsidRDefault="001F1FC8">
      <w:pPr>
        <w:divId w:val="1200821287"/>
        <w:rPr>
          <w:rFonts w:eastAsia="Times New Roman"/>
        </w:rPr>
      </w:pPr>
    </w:p>
    <w:p w:rsidR="00000000" w:rsidRDefault="001F1FC8">
      <w:pPr>
        <w:divId w:val="1010567514"/>
        <w:rPr>
          <w:rFonts w:eastAsia="Times New Roman"/>
        </w:rPr>
      </w:pPr>
      <w:r>
        <w:rPr>
          <w:rFonts w:ascii="Arial" w:eastAsia="Times New Roman" w:hAnsi="Arial" w:cs="Arial"/>
          <w:color w:val="000000"/>
          <w:sz w:val="20"/>
          <w:szCs w:val="20"/>
        </w:rPr>
        <w:t>The quantitative goodwill impairme</w:t>
      </w:r>
      <w:r>
        <w:rPr>
          <w:rFonts w:ascii="Arial" w:eastAsia="Times New Roman" w:hAnsi="Arial" w:cs="Arial"/>
          <w:color w:val="000000"/>
          <w:sz w:val="20"/>
          <w:szCs w:val="20"/>
        </w:rPr>
        <w:t>nt assessment involves determining the fair value of our reporting units and comparing those values to the carrying value of each reporting unit. If the carrying value of a reporting unit, including allocated goodwill, exceeds its fair value, goodwill impa</w:t>
      </w:r>
      <w:r>
        <w:rPr>
          <w:rFonts w:ascii="Arial" w:eastAsia="Times New Roman" w:hAnsi="Arial" w:cs="Arial"/>
          <w:color w:val="000000"/>
          <w:sz w:val="20"/>
          <w:szCs w:val="20"/>
        </w:rPr>
        <w:t>irment is measured at the amount by which the reporting unit’s carrying value exceeds its fair value. This amount should not exceed the carrying amount of goodwill. The fair value of our reporting units is estimated using a combination of discounted cash f</w:t>
      </w:r>
      <w:r>
        <w:rPr>
          <w:rFonts w:ascii="Arial" w:eastAsia="Times New Roman" w:hAnsi="Arial" w:cs="Arial"/>
          <w:color w:val="000000"/>
          <w:sz w:val="20"/>
          <w:szCs w:val="20"/>
        </w:rPr>
        <w:t>low and earnings multiples techniques. The determination of fair value using the discounted cash flow technique requires the use of estimates and assumptions related to discount rates, projected operating income, terminal value growth rates, capital expend</w:t>
      </w:r>
      <w:r>
        <w:rPr>
          <w:rFonts w:ascii="Arial" w:eastAsia="Times New Roman" w:hAnsi="Arial" w:cs="Arial"/>
          <w:color w:val="000000"/>
          <w:sz w:val="20"/>
          <w:szCs w:val="20"/>
        </w:rPr>
        <w:t>itures and working capital levels. Cash flow projections include significant judgments and assumptions relating to discount rates and expected future capital expenditures. The determination of fair value using the earnings multiples technique requires assu</w:t>
      </w:r>
      <w:r>
        <w:rPr>
          <w:rFonts w:ascii="Arial" w:eastAsia="Times New Roman" w:hAnsi="Arial" w:cs="Arial"/>
          <w:color w:val="000000"/>
          <w:sz w:val="20"/>
          <w:szCs w:val="20"/>
        </w:rPr>
        <w:t>mptions to be made in relation to maintainable earnings and earnings multipliers for reporting units.</w:t>
      </w:r>
    </w:p>
    <w:p w:rsidR="00000000" w:rsidRDefault="001F1FC8">
      <w:pPr>
        <w:divId w:val="1181162649"/>
        <w:rPr>
          <w:rFonts w:eastAsia="Times New Roman"/>
        </w:rPr>
      </w:pPr>
    </w:p>
    <w:p w:rsidR="00000000" w:rsidRDefault="001F1FC8">
      <w:pPr>
        <w:divId w:val="918758204"/>
        <w:rPr>
          <w:rFonts w:eastAsia="Times New Roman"/>
        </w:rPr>
      </w:pPr>
      <w:r>
        <w:rPr>
          <w:rFonts w:ascii="Arial" w:eastAsia="Times New Roman" w:hAnsi="Arial" w:cs="Arial"/>
          <w:color w:val="000000"/>
          <w:sz w:val="20"/>
          <w:szCs w:val="20"/>
        </w:rPr>
        <w:t>The allocation of goodwill to held-for-sale and disposed businesses is based on the relative fair value of businesses included in the relevant reporting</w:t>
      </w:r>
      <w:r>
        <w:rPr>
          <w:rFonts w:ascii="Arial" w:eastAsia="Times New Roman" w:hAnsi="Arial" w:cs="Arial"/>
          <w:color w:val="000000"/>
          <w:sz w:val="20"/>
          <w:szCs w:val="20"/>
        </w:rPr>
        <w:t xml:space="preserve"> unit.</w:t>
      </w:r>
    </w:p>
    <w:p w:rsidR="00000000" w:rsidRDefault="001F1FC8">
      <w:pPr>
        <w:divId w:val="1243298964"/>
        <w:rPr>
          <w:rFonts w:eastAsia="Times New Roman"/>
        </w:rPr>
      </w:pPr>
    </w:p>
    <w:p w:rsidR="00000000" w:rsidRDefault="001F1FC8">
      <w:pPr>
        <w:divId w:val="589970326"/>
        <w:rPr>
          <w:rFonts w:eastAsia="Times New Roman"/>
        </w:rPr>
      </w:pPr>
      <w:r>
        <w:rPr>
          <w:rFonts w:ascii="Arial" w:eastAsia="Times New Roman" w:hAnsi="Arial" w:cs="Arial"/>
          <w:color w:val="000000"/>
          <w:sz w:val="20"/>
          <w:szCs w:val="20"/>
        </w:rPr>
        <w:t>On April 1, 2021, we performed a quantitative goodwill impairment assessment for the Gas Transmission and Midstream reporting unit and qualitative assessments for the Liquids Pipelines and Gas Distribution and Storage reporting units. Our goodwill</w:t>
      </w:r>
      <w:r>
        <w:rPr>
          <w:rFonts w:ascii="Arial" w:eastAsia="Times New Roman" w:hAnsi="Arial" w:cs="Arial"/>
          <w:color w:val="000000"/>
          <w:sz w:val="20"/>
          <w:szCs w:val="20"/>
        </w:rPr>
        <w:t xml:space="preserve"> impairment assessments did not result in an impairment charge. Also, we did not identify any indicators of goodwill impairment during the remainder of 2021.</w:t>
      </w:r>
    </w:p>
    <w:p w:rsidR="00000000" w:rsidRDefault="001F1FC8">
      <w:pPr>
        <w:divId w:val="265966267"/>
        <w:rPr>
          <w:rFonts w:eastAsia="Times New Roman"/>
        </w:rPr>
      </w:pPr>
    </w:p>
    <w:p w:rsidR="00000000" w:rsidRDefault="001F1FC8">
      <w:pPr>
        <w:jc w:val="center"/>
        <w:divId w:val="1849445169"/>
        <w:rPr>
          <w:rFonts w:eastAsia="Times New Roman"/>
        </w:rPr>
      </w:pPr>
      <w:r>
        <w:rPr>
          <w:rFonts w:ascii="Arial" w:eastAsia="Times New Roman" w:hAnsi="Arial" w:cs="Arial"/>
          <w:color w:val="000000"/>
          <w:sz w:val="20"/>
          <w:szCs w:val="20"/>
        </w:rPr>
        <w:t>111</w:t>
      </w:r>
    </w:p>
    <w:p w:rsidR="00000000" w:rsidRDefault="001F1FC8">
      <w:pPr>
        <w:rPr>
          <w:rFonts w:eastAsia="Times New Roman"/>
        </w:rPr>
      </w:pPr>
      <w:r>
        <w:rPr>
          <w:rFonts w:eastAsia="Times New Roman"/>
        </w:rPr>
        <w:pict>
          <v:rect id="_x0000_i1141" style="width:0;height:1.5pt" o:hralign="center" o:hrstd="t" o:hr="t" fillcolor="#a0a0a0" stroked="f"/>
        </w:pict>
      </w:r>
    </w:p>
    <w:p w:rsidR="00000000" w:rsidRDefault="001F1FC8">
      <w:pPr>
        <w:jc w:val="center"/>
        <w:divId w:val="160005686"/>
        <w:rPr>
          <w:rFonts w:eastAsia="Times New Roman"/>
        </w:rPr>
      </w:pPr>
    </w:p>
    <w:p w:rsidR="00000000" w:rsidRDefault="001F1FC8">
      <w:pPr>
        <w:divId w:val="106124481"/>
        <w:rPr>
          <w:rFonts w:eastAsia="Times New Roman"/>
        </w:rPr>
      </w:pPr>
      <w:r>
        <w:rPr>
          <w:rFonts w:ascii="Arial" w:eastAsia="Times New Roman" w:hAnsi="Arial" w:cs="Arial"/>
          <w:b/>
          <w:bCs/>
          <w:color w:val="000000"/>
          <w:sz w:val="20"/>
          <w:szCs w:val="20"/>
        </w:rPr>
        <w:t>IMPAIRMENT</w:t>
      </w:r>
    </w:p>
    <w:p w:rsidR="00000000" w:rsidRDefault="001F1FC8">
      <w:pPr>
        <w:divId w:val="537357607"/>
        <w:rPr>
          <w:rFonts w:eastAsia="Times New Roman"/>
        </w:rPr>
      </w:pPr>
      <w:r>
        <w:rPr>
          <w:rFonts w:ascii="Arial" w:eastAsia="Times New Roman" w:hAnsi="Arial" w:cs="Arial"/>
          <w:color w:val="000000"/>
          <w:sz w:val="20"/>
          <w:szCs w:val="20"/>
        </w:rPr>
        <w:t>We review the carrying values of our long-l</w:t>
      </w:r>
      <w:r>
        <w:rPr>
          <w:rFonts w:ascii="Arial" w:eastAsia="Times New Roman" w:hAnsi="Arial" w:cs="Arial"/>
          <w:color w:val="000000"/>
          <w:sz w:val="20"/>
          <w:szCs w:val="20"/>
        </w:rPr>
        <w:t>ived assets as events or changes in circumstances warrant. If it is determined that the carrying value of an asset exceeds its expected undiscounted cash flows, we will calculate fair value based on the discounted cash flows and write the asset down to the</w:t>
      </w:r>
      <w:r>
        <w:rPr>
          <w:rFonts w:ascii="Arial" w:eastAsia="Times New Roman" w:hAnsi="Arial" w:cs="Arial"/>
          <w:color w:val="000000"/>
          <w:sz w:val="20"/>
          <w:szCs w:val="20"/>
        </w:rPr>
        <w:t xml:space="preserve"> extent that the carrying value exceeds the fair value.</w:t>
      </w:r>
    </w:p>
    <w:p w:rsidR="00000000" w:rsidRDefault="001F1FC8">
      <w:pPr>
        <w:divId w:val="692220388"/>
        <w:rPr>
          <w:rFonts w:eastAsia="Times New Roman"/>
        </w:rPr>
      </w:pPr>
    </w:p>
    <w:p w:rsidR="00000000" w:rsidRDefault="001F1FC8">
      <w:pPr>
        <w:divId w:val="1432624264"/>
        <w:rPr>
          <w:rFonts w:eastAsia="Times New Roman"/>
        </w:rPr>
      </w:pPr>
      <w:r>
        <w:rPr>
          <w:rFonts w:ascii="Arial" w:eastAsia="Times New Roman" w:hAnsi="Arial" w:cs="Arial"/>
          <w:color w:val="000000"/>
          <w:sz w:val="20"/>
          <w:szCs w:val="20"/>
        </w:rPr>
        <w:t>With respect to investments in debt securities and equity investments, we assess at each balance sheet date whether there is objective evidence that a financial asset is impaired by completing a qua</w:t>
      </w:r>
      <w:r>
        <w:rPr>
          <w:rFonts w:ascii="Arial" w:eastAsia="Times New Roman" w:hAnsi="Arial" w:cs="Arial"/>
          <w:color w:val="000000"/>
          <w:sz w:val="20"/>
          <w:szCs w:val="20"/>
        </w:rPr>
        <w:t>ntitative or qualitative analysis of factors impacting the investment. If there is objective evidence of impairment, we value the expected discounted cash flows using observable market inputs. We determine whether the decline below carrying value is other-</w:t>
      </w:r>
      <w:r>
        <w:rPr>
          <w:rFonts w:ascii="Arial" w:eastAsia="Times New Roman" w:hAnsi="Arial" w:cs="Arial"/>
          <w:color w:val="000000"/>
          <w:sz w:val="20"/>
          <w:szCs w:val="20"/>
        </w:rPr>
        <w:t>than-temporary for equity method investments or is due to a credit loss for investments in debt securities. If the decline is determined to be other-than-temporary for equity method investments or is due to a credit loss for investments in debt securities,</w:t>
      </w:r>
      <w:r>
        <w:rPr>
          <w:rFonts w:ascii="Arial" w:eastAsia="Times New Roman" w:hAnsi="Arial" w:cs="Arial"/>
          <w:color w:val="000000"/>
          <w:sz w:val="20"/>
          <w:szCs w:val="20"/>
        </w:rPr>
        <w:t xml:space="preserve"> an impairment charge is recorded in earnings with an offsetting reduction to the carrying value of the asset.</w:t>
      </w:r>
    </w:p>
    <w:p w:rsidR="00000000" w:rsidRDefault="001F1FC8">
      <w:pPr>
        <w:divId w:val="548104606"/>
        <w:rPr>
          <w:rFonts w:eastAsia="Times New Roman"/>
        </w:rPr>
      </w:pPr>
    </w:p>
    <w:p w:rsidR="00000000" w:rsidRDefault="001F1FC8">
      <w:pPr>
        <w:divId w:val="153767236"/>
        <w:rPr>
          <w:rFonts w:eastAsia="Times New Roman"/>
        </w:rPr>
      </w:pPr>
      <w:r>
        <w:rPr>
          <w:rFonts w:ascii="Arial" w:eastAsia="Times New Roman" w:hAnsi="Arial" w:cs="Arial"/>
          <w:b/>
          <w:bCs/>
          <w:color w:val="000000"/>
          <w:sz w:val="20"/>
          <w:szCs w:val="20"/>
        </w:rPr>
        <w:t>ASSET RETIREMENT OBLIGATIONS</w:t>
      </w:r>
    </w:p>
    <w:p w:rsidR="00000000" w:rsidRDefault="001F1FC8">
      <w:pPr>
        <w:divId w:val="1168449371"/>
        <w:rPr>
          <w:rFonts w:eastAsia="Times New Roman"/>
        </w:rPr>
      </w:pPr>
      <w:r>
        <w:rPr>
          <w:rFonts w:ascii="Arial" w:eastAsia="Times New Roman" w:hAnsi="Arial" w:cs="Arial"/>
          <w:color w:val="000000"/>
          <w:sz w:val="20"/>
          <w:szCs w:val="20"/>
        </w:rPr>
        <w:t>ARO associated with the retirement of long-lived assets are measured at fair value and recognized as Accounts paya</w:t>
      </w:r>
      <w:r>
        <w:rPr>
          <w:rFonts w:ascii="Arial" w:eastAsia="Times New Roman" w:hAnsi="Arial" w:cs="Arial"/>
          <w:color w:val="000000"/>
          <w:sz w:val="20"/>
          <w:szCs w:val="20"/>
        </w:rPr>
        <w:t>ble and other or Other long-term liabilities in the period in which they can be reasonably determined. Fair value approximates the cost a third party would charge to perform the tasks necessary to retire such assets and is recognized at the present value o</w:t>
      </w:r>
      <w:r>
        <w:rPr>
          <w:rFonts w:ascii="Arial" w:eastAsia="Times New Roman" w:hAnsi="Arial" w:cs="Arial"/>
          <w:color w:val="000000"/>
          <w:sz w:val="20"/>
          <w:szCs w:val="20"/>
        </w:rPr>
        <w:t>f expected future cash flows. ARO are added to the carrying value of the associated asset and depreciated over the asset’s useful life. The corresponding liability is accreted over time through charges to earnings and is reduced by actual costs of decommis</w:t>
      </w:r>
      <w:r>
        <w:rPr>
          <w:rFonts w:ascii="Arial" w:eastAsia="Times New Roman" w:hAnsi="Arial" w:cs="Arial"/>
          <w:color w:val="000000"/>
          <w:sz w:val="20"/>
          <w:szCs w:val="20"/>
        </w:rPr>
        <w:t>sioning and reclamation. Our estimates of retirement costs could change as a result of changes in cost estimates and regulatory requirements. Currently, for the majority of our assets, it is not possible to make a reasonable estimate of ARO due to the inde</w:t>
      </w:r>
      <w:r>
        <w:rPr>
          <w:rFonts w:ascii="Arial" w:eastAsia="Times New Roman" w:hAnsi="Arial" w:cs="Arial"/>
          <w:color w:val="000000"/>
          <w:sz w:val="20"/>
          <w:szCs w:val="20"/>
        </w:rPr>
        <w:t>terminate timing and scope of the asset retirements.</w:t>
      </w:r>
    </w:p>
    <w:p w:rsidR="00000000" w:rsidRDefault="001F1FC8">
      <w:pPr>
        <w:divId w:val="102312589"/>
        <w:rPr>
          <w:rFonts w:eastAsia="Times New Roman"/>
        </w:rPr>
      </w:pPr>
    </w:p>
    <w:p w:rsidR="00000000" w:rsidRDefault="001F1FC8">
      <w:pPr>
        <w:divId w:val="1695886150"/>
        <w:rPr>
          <w:rFonts w:eastAsia="Times New Roman"/>
        </w:rPr>
      </w:pPr>
      <w:r>
        <w:rPr>
          <w:rFonts w:ascii="Arial" w:eastAsia="Times New Roman" w:hAnsi="Arial" w:cs="Arial"/>
          <w:b/>
          <w:bCs/>
          <w:color w:val="000000"/>
          <w:sz w:val="20"/>
          <w:szCs w:val="20"/>
        </w:rPr>
        <w:t>PENSION AND OTHER POSTRETIREMENT BENEFITS</w:t>
      </w:r>
    </w:p>
    <w:p w:rsidR="00000000" w:rsidRDefault="001F1FC8">
      <w:pPr>
        <w:divId w:val="989015953"/>
        <w:rPr>
          <w:rFonts w:eastAsia="Times New Roman"/>
        </w:rPr>
      </w:pPr>
      <w:r>
        <w:rPr>
          <w:rFonts w:ascii="Arial" w:eastAsia="Times New Roman" w:hAnsi="Arial" w:cs="Arial"/>
          <w:color w:val="000000"/>
          <w:sz w:val="20"/>
          <w:szCs w:val="20"/>
        </w:rPr>
        <w:t>We sponsor defined benefit and defined contribution pension plans, and defined benefit OPEB plans, which provide group health care, life insurance benefits and other postretirement benefits.</w:t>
      </w:r>
    </w:p>
    <w:p w:rsidR="00000000" w:rsidRDefault="001F1FC8">
      <w:pPr>
        <w:divId w:val="1572618870"/>
        <w:rPr>
          <w:rFonts w:eastAsia="Times New Roman"/>
        </w:rPr>
      </w:pPr>
    </w:p>
    <w:p w:rsidR="00000000" w:rsidRDefault="001F1FC8">
      <w:pPr>
        <w:divId w:val="1097017397"/>
        <w:rPr>
          <w:rFonts w:eastAsia="Times New Roman"/>
        </w:rPr>
      </w:pPr>
      <w:r>
        <w:rPr>
          <w:rFonts w:ascii="Arial" w:eastAsia="Times New Roman" w:hAnsi="Arial" w:cs="Arial"/>
          <w:color w:val="000000"/>
          <w:sz w:val="20"/>
          <w:szCs w:val="20"/>
        </w:rPr>
        <w:t>Defined benefit pension obligation and net periodic benefit cost are estimated using the projected unit credit method, which incorporates management’s best estimates of future salary levels, other cost escalations, retirement ages of employees and other ac</w:t>
      </w:r>
      <w:r>
        <w:rPr>
          <w:rFonts w:ascii="Arial" w:eastAsia="Times New Roman" w:hAnsi="Arial" w:cs="Arial"/>
          <w:color w:val="000000"/>
          <w:sz w:val="20"/>
          <w:szCs w:val="20"/>
        </w:rPr>
        <w:t>tuarial factors, including discount rates and mortality. The OPEB benefit obligation and net periodic benefit cost are estimated using the projected unit credit method, where benefits are attributed to years of service, taking into consideration projection</w:t>
      </w:r>
      <w:r>
        <w:rPr>
          <w:rFonts w:ascii="Arial" w:eastAsia="Times New Roman" w:hAnsi="Arial" w:cs="Arial"/>
          <w:color w:val="000000"/>
          <w:sz w:val="20"/>
          <w:szCs w:val="20"/>
        </w:rPr>
        <w:t xml:space="preserve"> of benefit costs.</w:t>
      </w:r>
    </w:p>
    <w:p w:rsidR="00000000" w:rsidRDefault="001F1FC8">
      <w:pPr>
        <w:divId w:val="504367216"/>
        <w:rPr>
          <w:rFonts w:eastAsia="Times New Roman"/>
        </w:rPr>
      </w:pPr>
    </w:p>
    <w:p w:rsidR="00000000" w:rsidRDefault="001F1FC8">
      <w:pPr>
        <w:divId w:val="1071780968"/>
        <w:rPr>
          <w:rFonts w:eastAsia="Times New Roman"/>
        </w:rPr>
      </w:pPr>
      <w:r>
        <w:rPr>
          <w:rFonts w:ascii="Arial" w:eastAsia="Times New Roman" w:hAnsi="Arial" w:cs="Arial"/>
          <w:color w:val="000000"/>
          <w:sz w:val="20"/>
          <w:szCs w:val="20"/>
        </w:rPr>
        <w:t>We use mortality tables issued by the Society of Actuaries in the US (revised in 2021) and the Canadian Institute of Actuaries (revised in 2014) to measure the benefit obligations of our US pension plans (the US Plans) and our Canadian</w:t>
      </w:r>
      <w:r>
        <w:rPr>
          <w:rFonts w:ascii="Arial" w:eastAsia="Times New Roman" w:hAnsi="Arial" w:cs="Arial"/>
          <w:color w:val="000000"/>
          <w:sz w:val="20"/>
          <w:szCs w:val="20"/>
        </w:rPr>
        <w:t xml:space="preserve"> pension plans (the Canadian Plans), respectively.</w:t>
      </w:r>
    </w:p>
    <w:p w:rsidR="00000000" w:rsidRDefault="001F1FC8">
      <w:pPr>
        <w:divId w:val="1543522090"/>
        <w:rPr>
          <w:rFonts w:eastAsia="Times New Roman"/>
        </w:rPr>
      </w:pPr>
    </w:p>
    <w:p w:rsidR="00000000" w:rsidRDefault="001F1FC8">
      <w:pPr>
        <w:divId w:val="1152597518"/>
        <w:rPr>
          <w:rFonts w:eastAsia="Times New Roman"/>
        </w:rPr>
      </w:pPr>
      <w:r>
        <w:rPr>
          <w:rFonts w:ascii="Arial" w:eastAsia="Times New Roman" w:hAnsi="Arial" w:cs="Arial"/>
          <w:color w:val="000000"/>
          <w:sz w:val="20"/>
          <w:szCs w:val="20"/>
        </w:rPr>
        <w:t>We determine discount rates by reference to rates of high-quality long-term corporate bonds with maturities that approximate the timing of future payments we anticipate making under each of the respectiv</w:t>
      </w:r>
      <w:r>
        <w:rPr>
          <w:rFonts w:ascii="Arial" w:eastAsia="Times New Roman" w:hAnsi="Arial" w:cs="Arial"/>
          <w:color w:val="000000"/>
          <w:sz w:val="20"/>
          <w:szCs w:val="20"/>
        </w:rPr>
        <w:t>e plans.</w:t>
      </w:r>
    </w:p>
    <w:p w:rsidR="00000000" w:rsidRDefault="001F1FC8">
      <w:pPr>
        <w:divId w:val="903563647"/>
        <w:rPr>
          <w:rFonts w:eastAsia="Times New Roman"/>
        </w:rPr>
      </w:pPr>
    </w:p>
    <w:p w:rsidR="00000000" w:rsidRDefault="001F1FC8">
      <w:pPr>
        <w:divId w:val="786237823"/>
        <w:rPr>
          <w:rFonts w:eastAsia="Times New Roman"/>
        </w:rPr>
      </w:pPr>
      <w:r>
        <w:rPr>
          <w:rFonts w:ascii="Arial" w:eastAsia="Times New Roman" w:hAnsi="Arial" w:cs="Arial"/>
          <w:color w:val="000000"/>
          <w:sz w:val="20"/>
          <w:szCs w:val="20"/>
        </w:rPr>
        <w:t>Funded pension and OPEB plan assets are measured at fair value. The expected return on funded pension and OPEB plan assets is determined using market-related values and assumptions on the invested asset mix consistent with the investment policie</w:t>
      </w:r>
      <w:r>
        <w:rPr>
          <w:rFonts w:ascii="Arial" w:eastAsia="Times New Roman" w:hAnsi="Arial" w:cs="Arial"/>
          <w:color w:val="000000"/>
          <w:sz w:val="20"/>
          <w:szCs w:val="20"/>
        </w:rPr>
        <w:t>s relating to the plan assets. The market-related values reflect estimated return on investments consistent with long-term historical averages for similar assets.</w:t>
      </w:r>
    </w:p>
    <w:p w:rsidR="00000000" w:rsidRDefault="001F1FC8">
      <w:pPr>
        <w:divId w:val="1480806590"/>
        <w:rPr>
          <w:rFonts w:eastAsia="Times New Roman"/>
        </w:rPr>
      </w:pPr>
    </w:p>
    <w:p w:rsidR="00000000" w:rsidRDefault="001F1FC8">
      <w:pPr>
        <w:jc w:val="center"/>
        <w:divId w:val="483204227"/>
        <w:rPr>
          <w:rFonts w:eastAsia="Times New Roman"/>
        </w:rPr>
      </w:pPr>
      <w:r>
        <w:rPr>
          <w:rFonts w:ascii="Arial" w:eastAsia="Times New Roman" w:hAnsi="Arial" w:cs="Arial"/>
          <w:color w:val="000000"/>
          <w:sz w:val="20"/>
          <w:szCs w:val="20"/>
        </w:rPr>
        <w:t>112</w:t>
      </w:r>
    </w:p>
    <w:p w:rsidR="00000000" w:rsidRDefault="001F1FC8">
      <w:pPr>
        <w:rPr>
          <w:rFonts w:eastAsia="Times New Roman"/>
        </w:rPr>
      </w:pPr>
      <w:r>
        <w:rPr>
          <w:rFonts w:eastAsia="Times New Roman"/>
        </w:rPr>
        <w:pict>
          <v:rect id="_x0000_i1142" style="width:0;height:1.5pt" o:hralign="center" o:hrstd="t" o:hr="t" fillcolor="#a0a0a0" stroked="f"/>
        </w:pict>
      </w:r>
    </w:p>
    <w:p w:rsidR="00000000" w:rsidRDefault="001F1FC8">
      <w:pPr>
        <w:jc w:val="center"/>
        <w:divId w:val="1018775060"/>
        <w:rPr>
          <w:rFonts w:eastAsia="Times New Roman"/>
        </w:rPr>
      </w:pPr>
    </w:p>
    <w:p w:rsidR="00000000" w:rsidRDefault="001F1FC8">
      <w:pPr>
        <w:divId w:val="2004773131"/>
        <w:rPr>
          <w:rFonts w:eastAsia="Times New Roman"/>
        </w:rPr>
      </w:pPr>
      <w:r>
        <w:rPr>
          <w:rFonts w:ascii="Arial" w:eastAsia="Times New Roman" w:hAnsi="Arial" w:cs="Arial"/>
          <w:color w:val="000000"/>
          <w:sz w:val="20"/>
          <w:szCs w:val="20"/>
        </w:rPr>
        <w:t>Actuarial gains and losses arise from the differ</w:t>
      </w:r>
      <w:r>
        <w:rPr>
          <w:rFonts w:ascii="Arial" w:eastAsia="Times New Roman" w:hAnsi="Arial" w:cs="Arial"/>
          <w:color w:val="000000"/>
          <w:sz w:val="20"/>
          <w:szCs w:val="20"/>
        </w:rPr>
        <w:t xml:space="preserve">ence between the actual and expected rate of return on plan assets for that period (for funded pension and OPEB plans) or from changes in actuarial assumptions used to determine the accrued benefit obligation, including discount rate, changes in headcount </w:t>
      </w:r>
      <w:r>
        <w:rPr>
          <w:rFonts w:ascii="Arial" w:eastAsia="Times New Roman" w:hAnsi="Arial" w:cs="Arial"/>
          <w:color w:val="000000"/>
          <w:sz w:val="20"/>
          <w:szCs w:val="20"/>
        </w:rPr>
        <w:t>and salary inflation experience.</w:t>
      </w:r>
    </w:p>
    <w:p w:rsidR="00000000" w:rsidRDefault="001F1FC8">
      <w:pPr>
        <w:divId w:val="1638218016"/>
        <w:rPr>
          <w:rFonts w:eastAsia="Times New Roman"/>
        </w:rPr>
      </w:pPr>
    </w:p>
    <w:p w:rsidR="00000000" w:rsidRDefault="001F1FC8">
      <w:pPr>
        <w:divId w:val="656691099"/>
        <w:rPr>
          <w:rFonts w:eastAsia="Times New Roman"/>
        </w:rPr>
      </w:pPr>
      <w:r>
        <w:rPr>
          <w:rFonts w:ascii="Arial" w:eastAsia="Times New Roman" w:hAnsi="Arial" w:cs="Arial"/>
          <w:color w:val="000000"/>
          <w:sz w:val="20"/>
          <w:szCs w:val="20"/>
        </w:rPr>
        <w:t>The excess of the fair value of a plan’s assets over the fair value of a plan’s benefit obligation is recognized as Deferred amounts and other assets in the Consolidated Statements of Financial Position. The excess of the</w:t>
      </w:r>
      <w:r>
        <w:rPr>
          <w:rFonts w:ascii="Arial" w:eastAsia="Times New Roman" w:hAnsi="Arial" w:cs="Arial"/>
          <w:color w:val="000000"/>
          <w:sz w:val="20"/>
          <w:szCs w:val="20"/>
        </w:rPr>
        <w:t xml:space="preserve"> fair value of a plan’s benefit obligation over the fair value of a plan’s assets is recognized as Accounts payable and other and Other long-term liabilities in the Consolidated Statements of Financial Position.</w:t>
      </w:r>
    </w:p>
    <w:p w:rsidR="00000000" w:rsidRDefault="001F1FC8">
      <w:pPr>
        <w:divId w:val="253171474"/>
        <w:rPr>
          <w:rFonts w:eastAsia="Times New Roman"/>
        </w:rPr>
      </w:pPr>
    </w:p>
    <w:p w:rsidR="00000000" w:rsidRDefault="001F1FC8">
      <w:pPr>
        <w:divId w:val="329140878"/>
        <w:rPr>
          <w:rFonts w:eastAsia="Times New Roman"/>
        </w:rPr>
      </w:pPr>
      <w:r>
        <w:rPr>
          <w:rFonts w:ascii="Arial" w:eastAsia="Times New Roman" w:hAnsi="Arial" w:cs="Arial"/>
          <w:color w:val="000000"/>
          <w:sz w:val="20"/>
          <w:szCs w:val="20"/>
        </w:rPr>
        <w:t>Net periodic benefit cost is charged to ea</w:t>
      </w:r>
      <w:r>
        <w:rPr>
          <w:rFonts w:ascii="Arial" w:eastAsia="Times New Roman" w:hAnsi="Arial" w:cs="Arial"/>
          <w:color w:val="000000"/>
          <w:sz w:val="20"/>
          <w:szCs w:val="20"/>
        </w:rPr>
        <w:t>rnings and includes:</w:t>
      </w:r>
    </w:p>
    <w:p w:rsidR="00000000" w:rsidRDefault="001F1FC8">
      <w:pPr>
        <w:ind w:hanging="270"/>
        <w:divId w:val="998532072"/>
        <w:rPr>
          <w:rFonts w:eastAsia="Times New Roman"/>
        </w:rPr>
      </w:pPr>
      <w:r>
        <w:rPr>
          <w:rFonts w:ascii="Arial" w:eastAsia="Times New Roman" w:hAnsi="Arial" w:cs="Arial"/>
          <w:color w:val="000000"/>
          <w:sz w:val="20"/>
          <w:szCs w:val="20"/>
        </w:rPr>
        <w:t>•cost of benefits provided in exchange for employee services rendered during the year (current service cost);</w:t>
      </w:r>
    </w:p>
    <w:p w:rsidR="00000000" w:rsidRDefault="001F1FC8">
      <w:pPr>
        <w:ind w:hanging="270"/>
        <w:divId w:val="1613433779"/>
        <w:rPr>
          <w:rFonts w:eastAsia="Times New Roman"/>
        </w:rPr>
      </w:pPr>
      <w:r>
        <w:rPr>
          <w:rFonts w:ascii="Arial" w:eastAsia="Times New Roman" w:hAnsi="Arial" w:cs="Arial"/>
          <w:color w:val="000000"/>
          <w:sz w:val="20"/>
          <w:szCs w:val="20"/>
        </w:rPr>
        <w:t>•interest cost of plan obligations;</w:t>
      </w:r>
    </w:p>
    <w:p w:rsidR="00000000" w:rsidRDefault="001F1FC8">
      <w:pPr>
        <w:ind w:hanging="270"/>
        <w:divId w:val="1289895823"/>
        <w:rPr>
          <w:rFonts w:eastAsia="Times New Roman"/>
        </w:rPr>
      </w:pPr>
      <w:r>
        <w:rPr>
          <w:rFonts w:ascii="Arial" w:eastAsia="Times New Roman" w:hAnsi="Arial" w:cs="Arial"/>
          <w:color w:val="000000"/>
          <w:sz w:val="20"/>
          <w:szCs w:val="20"/>
        </w:rPr>
        <w:t>•expected return on plan assets (for funded pension and OPEB plans);</w:t>
      </w:r>
    </w:p>
    <w:p w:rsidR="00000000" w:rsidRDefault="001F1FC8">
      <w:pPr>
        <w:ind w:hanging="270"/>
        <w:divId w:val="1881626819"/>
        <w:rPr>
          <w:rFonts w:eastAsia="Times New Roman"/>
        </w:rPr>
      </w:pPr>
      <w:r>
        <w:rPr>
          <w:rFonts w:ascii="Arial" w:eastAsia="Times New Roman" w:hAnsi="Arial" w:cs="Arial"/>
          <w:color w:val="000000"/>
          <w:sz w:val="20"/>
          <w:szCs w:val="20"/>
        </w:rPr>
        <w:t>•amortization of pri</w:t>
      </w:r>
      <w:r>
        <w:rPr>
          <w:rFonts w:ascii="Arial" w:eastAsia="Times New Roman" w:hAnsi="Arial" w:cs="Arial"/>
          <w:color w:val="000000"/>
          <w:sz w:val="20"/>
          <w:szCs w:val="20"/>
        </w:rPr>
        <w:t>or service costs on a straight-line basis over the expected average remaining service period of the active employee group covered by the plans; and</w:t>
      </w:r>
    </w:p>
    <w:p w:rsidR="00000000" w:rsidRDefault="001F1FC8">
      <w:pPr>
        <w:ind w:hanging="270"/>
        <w:divId w:val="1254440673"/>
        <w:rPr>
          <w:rFonts w:eastAsia="Times New Roman"/>
        </w:rPr>
      </w:pPr>
      <w:r>
        <w:rPr>
          <w:rFonts w:ascii="Arial" w:eastAsia="Times New Roman" w:hAnsi="Arial" w:cs="Arial"/>
          <w:color w:val="000000"/>
          <w:sz w:val="20"/>
          <w:szCs w:val="20"/>
        </w:rPr>
        <w:t>•amortization of cumulative unrecognized net actuarial gains and losses in excess of 10% of the greater of t</w:t>
      </w:r>
      <w:r>
        <w:rPr>
          <w:rFonts w:ascii="Arial" w:eastAsia="Times New Roman" w:hAnsi="Arial" w:cs="Arial"/>
          <w:color w:val="000000"/>
          <w:sz w:val="20"/>
          <w:szCs w:val="20"/>
        </w:rPr>
        <w:t>he accrued benefit obligation or the fair value of plan assets, over the expected average remaining service life of the active employee group covered by the plans.</w:t>
      </w:r>
    </w:p>
    <w:p w:rsidR="00000000" w:rsidRDefault="001F1FC8">
      <w:pPr>
        <w:divId w:val="1658411699"/>
        <w:rPr>
          <w:rFonts w:eastAsia="Times New Roman"/>
        </w:rPr>
      </w:pPr>
    </w:p>
    <w:p w:rsidR="00000000" w:rsidRDefault="001F1FC8">
      <w:pPr>
        <w:divId w:val="826750743"/>
        <w:rPr>
          <w:rFonts w:eastAsia="Times New Roman"/>
        </w:rPr>
      </w:pPr>
      <w:r>
        <w:rPr>
          <w:rFonts w:ascii="Arial" w:eastAsia="Times New Roman" w:hAnsi="Arial" w:cs="Arial"/>
          <w:color w:val="000000"/>
          <w:sz w:val="20"/>
          <w:szCs w:val="20"/>
        </w:rPr>
        <w:t>Cumulative unrecognized net actuarial gains and losses and prior service costs arising fro</w:t>
      </w:r>
      <w:r>
        <w:rPr>
          <w:rFonts w:ascii="Arial" w:eastAsia="Times New Roman" w:hAnsi="Arial" w:cs="Arial"/>
          <w:color w:val="000000"/>
          <w:sz w:val="20"/>
          <w:szCs w:val="20"/>
        </w:rPr>
        <w:t>m defined benefit pension plans for our non-utility operations and from defined benefit OPEB plans are presented as a component of AOCI in the Consolidated Statements of Changes in Equity. Any unrecognized actuarial gains and losses and prior service costs</w:t>
      </w:r>
      <w:r>
        <w:rPr>
          <w:rFonts w:ascii="Arial" w:eastAsia="Times New Roman" w:hAnsi="Arial" w:cs="Arial"/>
          <w:color w:val="000000"/>
          <w:sz w:val="20"/>
          <w:szCs w:val="20"/>
        </w:rPr>
        <w:t xml:space="preserve"> and credits related to those plans that arise during the period are recognized as a component of OCI, net of tax. Cumulative unrecognized net actuarial gains and losses and prior service costs arising from defined benefit pension plans for our utility ope</w:t>
      </w:r>
      <w:r>
        <w:rPr>
          <w:rFonts w:ascii="Arial" w:eastAsia="Times New Roman" w:hAnsi="Arial" w:cs="Arial"/>
          <w:color w:val="000000"/>
          <w:sz w:val="20"/>
          <w:szCs w:val="20"/>
        </w:rPr>
        <w:t>rations, which have been permitted or are expected to be permitted by the regulators, to be recovered through future rates, are presented as a component of Deferred amounts and other assets in the Consolidated Statements of</w:t>
      </w:r>
    </w:p>
    <w:p w:rsidR="00000000" w:rsidRDefault="001F1FC8">
      <w:pPr>
        <w:divId w:val="2037349355"/>
        <w:rPr>
          <w:rFonts w:eastAsia="Times New Roman"/>
        </w:rPr>
      </w:pPr>
      <w:r>
        <w:rPr>
          <w:rFonts w:ascii="Arial" w:eastAsia="Times New Roman" w:hAnsi="Arial" w:cs="Arial"/>
          <w:color w:val="000000"/>
          <w:sz w:val="20"/>
          <w:szCs w:val="20"/>
        </w:rPr>
        <w:t>Financial Position.</w:t>
      </w:r>
    </w:p>
    <w:p w:rsidR="00000000" w:rsidRDefault="001F1FC8">
      <w:pPr>
        <w:divId w:val="213125634"/>
        <w:rPr>
          <w:rFonts w:eastAsia="Times New Roman"/>
        </w:rPr>
      </w:pPr>
    </w:p>
    <w:p w:rsidR="00000000" w:rsidRDefault="001F1FC8">
      <w:pPr>
        <w:divId w:val="27880350"/>
        <w:rPr>
          <w:rFonts w:eastAsia="Times New Roman"/>
        </w:rPr>
      </w:pPr>
      <w:r>
        <w:rPr>
          <w:rFonts w:ascii="Arial" w:eastAsia="Times New Roman" w:hAnsi="Arial" w:cs="Arial"/>
          <w:color w:val="000000"/>
          <w:sz w:val="20"/>
          <w:szCs w:val="20"/>
        </w:rPr>
        <w:t>Our utilit</w:t>
      </w:r>
      <w:r>
        <w:rPr>
          <w:rFonts w:ascii="Arial" w:eastAsia="Times New Roman" w:hAnsi="Arial" w:cs="Arial"/>
          <w:color w:val="000000"/>
          <w:sz w:val="20"/>
          <w:szCs w:val="20"/>
        </w:rPr>
        <w:t>y operations also record regulatory adjustments to reflect the difference between certain net periodic benefit costs for accounting purposes and net periodic benefit costs for ratemaking purposes. Offsetting regulatory assets or liabilities are recorded to</w:t>
      </w:r>
      <w:r>
        <w:rPr>
          <w:rFonts w:ascii="Arial" w:eastAsia="Times New Roman" w:hAnsi="Arial" w:cs="Arial"/>
          <w:color w:val="000000"/>
          <w:sz w:val="20"/>
          <w:szCs w:val="20"/>
        </w:rPr>
        <w:t xml:space="preserve"> the extent net periodic benefit costs are expected to be collected from or refunded to customers, respectively, in future rates. In the absence of rate regulation, regulatory assets or liabilities would not be recorded and net periodic benefit costs would</w:t>
      </w:r>
      <w:r>
        <w:rPr>
          <w:rFonts w:ascii="Arial" w:eastAsia="Times New Roman" w:hAnsi="Arial" w:cs="Arial"/>
          <w:color w:val="000000"/>
          <w:sz w:val="20"/>
          <w:szCs w:val="20"/>
        </w:rPr>
        <w:t xml:space="preserve"> be charged to earnings and OCI on an accrual basis.</w:t>
      </w:r>
    </w:p>
    <w:p w:rsidR="00000000" w:rsidRDefault="001F1FC8">
      <w:pPr>
        <w:divId w:val="603074996"/>
        <w:rPr>
          <w:rFonts w:eastAsia="Times New Roman"/>
        </w:rPr>
      </w:pPr>
    </w:p>
    <w:p w:rsidR="00000000" w:rsidRDefault="001F1FC8">
      <w:pPr>
        <w:divId w:val="1314794191"/>
        <w:rPr>
          <w:rFonts w:eastAsia="Times New Roman"/>
        </w:rPr>
      </w:pPr>
      <w:r>
        <w:rPr>
          <w:rFonts w:ascii="Arial" w:eastAsia="Times New Roman" w:hAnsi="Arial" w:cs="Arial"/>
          <w:color w:val="000000"/>
          <w:sz w:val="20"/>
          <w:szCs w:val="20"/>
        </w:rPr>
        <w:t>For defined contribution plans, contributions made by us are expensed in the period in which the contribution occurs.</w:t>
      </w:r>
    </w:p>
    <w:p w:rsidR="00000000" w:rsidRDefault="001F1FC8">
      <w:pPr>
        <w:divId w:val="1275671639"/>
        <w:rPr>
          <w:rFonts w:eastAsia="Times New Roman"/>
        </w:rPr>
      </w:pPr>
    </w:p>
    <w:p w:rsidR="00000000" w:rsidRDefault="001F1FC8">
      <w:pPr>
        <w:divId w:val="50426832"/>
        <w:rPr>
          <w:rFonts w:eastAsia="Times New Roman"/>
        </w:rPr>
      </w:pPr>
      <w:r>
        <w:rPr>
          <w:rFonts w:ascii="Arial" w:eastAsia="Times New Roman" w:hAnsi="Arial" w:cs="Arial"/>
          <w:b/>
          <w:bCs/>
          <w:color w:val="000000"/>
          <w:sz w:val="20"/>
          <w:szCs w:val="20"/>
        </w:rPr>
        <w:t>STOCK-BASED COMPENSATION</w:t>
      </w:r>
    </w:p>
    <w:p w:rsidR="00000000" w:rsidRDefault="001F1FC8">
      <w:pPr>
        <w:divId w:val="724110118"/>
        <w:rPr>
          <w:rFonts w:eastAsia="Times New Roman"/>
        </w:rPr>
      </w:pPr>
      <w:r>
        <w:rPr>
          <w:rFonts w:ascii="Arial" w:eastAsia="Times New Roman" w:hAnsi="Arial" w:cs="Arial"/>
          <w:color w:val="000000"/>
          <w:sz w:val="20"/>
          <w:szCs w:val="20"/>
        </w:rPr>
        <w:t>Incentive Stock Options (ISO) granted are recorded using the fair value method. Under this method, compensation</w:t>
      </w:r>
      <w:r>
        <w:rPr>
          <w:rFonts w:ascii="Arial" w:eastAsia="Times New Roman" w:hAnsi="Arial" w:cs="Arial"/>
          <w:color w:val="000000"/>
          <w:sz w:val="20"/>
          <w:szCs w:val="20"/>
        </w:rPr>
        <w:t xml:space="preserve"> expense is measured at the grant date based on the fair value of the ISO granted as calculated by the Black-Scholes-Merton model and is recognized on a straight-line basis over the shorter of the vesting period or the period to early retirement eligibilit</w:t>
      </w:r>
      <w:r>
        <w:rPr>
          <w:rFonts w:ascii="Arial" w:eastAsia="Times New Roman" w:hAnsi="Arial" w:cs="Arial"/>
          <w:color w:val="000000"/>
          <w:sz w:val="20"/>
          <w:szCs w:val="20"/>
        </w:rPr>
        <w:t>y, with a corresponding credit to Additional paid-in capital. Balances in Additional paid-in capital are transferred to Share capital when the options are exercised.</w:t>
      </w:r>
    </w:p>
    <w:p w:rsidR="00000000" w:rsidRDefault="001F1FC8">
      <w:pPr>
        <w:divId w:val="1215191065"/>
        <w:rPr>
          <w:rFonts w:eastAsia="Times New Roman"/>
        </w:rPr>
      </w:pPr>
    </w:p>
    <w:p w:rsidR="00000000" w:rsidRDefault="001F1FC8">
      <w:pPr>
        <w:jc w:val="center"/>
        <w:divId w:val="1414665681"/>
        <w:rPr>
          <w:rFonts w:eastAsia="Times New Roman"/>
        </w:rPr>
      </w:pPr>
      <w:r>
        <w:rPr>
          <w:rFonts w:ascii="Arial" w:eastAsia="Times New Roman" w:hAnsi="Arial" w:cs="Arial"/>
          <w:color w:val="000000"/>
          <w:sz w:val="20"/>
          <w:szCs w:val="20"/>
        </w:rPr>
        <w:t>113</w:t>
      </w:r>
    </w:p>
    <w:p w:rsidR="00000000" w:rsidRDefault="001F1FC8">
      <w:pPr>
        <w:rPr>
          <w:rFonts w:eastAsia="Times New Roman"/>
        </w:rPr>
      </w:pPr>
      <w:r>
        <w:rPr>
          <w:rFonts w:eastAsia="Times New Roman"/>
        </w:rPr>
        <w:pict>
          <v:rect id="_x0000_i1143" style="width:0;height:1.5pt" o:hralign="center" o:hrstd="t" o:hr="t" fillcolor="#a0a0a0" stroked="f"/>
        </w:pict>
      </w:r>
    </w:p>
    <w:p w:rsidR="00000000" w:rsidRDefault="001F1FC8">
      <w:pPr>
        <w:jc w:val="center"/>
        <w:divId w:val="323897227"/>
        <w:rPr>
          <w:rFonts w:eastAsia="Times New Roman"/>
        </w:rPr>
      </w:pPr>
    </w:p>
    <w:p w:rsidR="00000000" w:rsidRDefault="001F1FC8">
      <w:pPr>
        <w:divId w:val="832793530"/>
        <w:rPr>
          <w:rFonts w:eastAsia="Times New Roman"/>
        </w:rPr>
      </w:pPr>
      <w:r>
        <w:rPr>
          <w:rFonts w:ascii="Arial" w:eastAsia="Times New Roman" w:hAnsi="Arial" w:cs="Arial"/>
          <w:color w:val="000000"/>
          <w:sz w:val="20"/>
          <w:szCs w:val="20"/>
        </w:rPr>
        <w:t>Performance Stock Units (PSU) and Restricted S</w:t>
      </w:r>
      <w:r>
        <w:rPr>
          <w:rFonts w:ascii="Arial" w:eastAsia="Times New Roman" w:hAnsi="Arial" w:cs="Arial"/>
          <w:color w:val="000000"/>
          <w:sz w:val="20"/>
          <w:szCs w:val="20"/>
        </w:rPr>
        <w:t>tock Units (RSU) are cash settled awards for which the related liability is remeasured each reporting period. PSUs vest at the completion of a three-year term and RSUs vest one-third annually from the grant date. During the vesting term, compensation expen</w:t>
      </w:r>
      <w:r>
        <w:rPr>
          <w:rFonts w:ascii="Arial" w:eastAsia="Times New Roman" w:hAnsi="Arial" w:cs="Arial"/>
          <w:color w:val="000000"/>
          <w:sz w:val="20"/>
          <w:szCs w:val="20"/>
        </w:rPr>
        <w:t>se is recorded based on the number of units outstanding and the current market price of Enbridge’s shares with an offset to Accounts payable and other or to Other long-term liabilities. The value of the PSUs is also dependent on our performance relative to</w:t>
      </w:r>
      <w:r>
        <w:rPr>
          <w:rFonts w:ascii="Arial" w:eastAsia="Times New Roman" w:hAnsi="Arial" w:cs="Arial"/>
          <w:color w:val="000000"/>
          <w:sz w:val="20"/>
          <w:szCs w:val="20"/>
        </w:rPr>
        <w:t xml:space="preserve"> performance targets set out under the plan.</w:t>
      </w:r>
    </w:p>
    <w:p w:rsidR="00000000" w:rsidRDefault="001F1FC8">
      <w:pPr>
        <w:divId w:val="1847790803"/>
        <w:rPr>
          <w:rFonts w:eastAsia="Times New Roman"/>
        </w:rPr>
      </w:pPr>
    </w:p>
    <w:p w:rsidR="00000000" w:rsidRDefault="001F1FC8">
      <w:pPr>
        <w:divId w:val="2902041"/>
        <w:rPr>
          <w:rFonts w:eastAsia="Times New Roman"/>
        </w:rPr>
      </w:pPr>
      <w:r>
        <w:rPr>
          <w:rFonts w:ascii="Arial" w:eastAsia="Times New Roman" w:hAnsi="Arial" w:cs="Arial"/>
          <w:b/>
          <w:bCs/>
          <w:color w:val="000000"/>
          <w:sz w:val="20"/>
          <w:szCs w:val="20"/>
        </w:rPr>
        <w:t>COMMITMENTS, CONTINGENCIES AND ENVIRONMENTAL LIABILITIES</w:t>
      </w:r>
    </w:p>
    <w:p w:rsidR="00000000" w:rsidRDefault="001F1FC8">
      <w:pPr>
        <w:divId w:val="2087606726"/>
        <w:rPr>
          <w:rFonts w:eastAsia="Times New Roman"/>
        </w:rPr>
      </w:pPr>
      <w:r>
        <w:rPr>
          <w:rFonts w:ascii="Arial" w:eastAsia="Times New Roman" w:hAnsi="Arial" w:cs="Arial"/>
          <w:color w:val="000000"/>
          <w:sz w:val="20"/>
          <w:szCs w:val="20"/>
        </w:rPr>
        <w:t xml:space="preserve">We expense or capitalize, as appropriate, expenditures for ongoing compliance with environmental regulations that relate to past or current operations. </w:t>
      </w:r>
      <w:r>
        <w:rPr>
          <w:rFonts w:ascii="Arial" w:eastAsia="Times New Roman" w:hAnsi="Arial" w:cs="Arial"/>
          <w:color w:val="000000"/>
          <w:sz w:val="20"/>
          <w:szCs w:val="20"/>
        </w:rPr>
        <w:t>We expense costs incurred for remediation of existing environmental contamination caused by past operations that do not benefit future periods by preventing or eliminating future contamination. We record liabilities for environmental matters when assessmen</w:t>
      </w:r>
      <w:r>
        <w:rPr>
          <w:rFonts w:ascii="Arial" w:eastAsia="Times New Roman" w:hAnsi="Arial" w:cs="Arial"/>
          <w:color w:val="000000"/>
          <w:sz w:val="20"/>
          <w:szCs w:val="20"/>
        </w:rPr>
        <w:t>ts indicate that remediation efforts are probable and the costs can be reasonably estimated. Estimates of environmental liabilities are based on currently available facts, existing technology and presently enacted laws and regulations, taking into consider</w:t>
      </w:r>
      <w:r>
        <w:rPr>
          <w:rFonts w:ascii="Arial" w:eastAsia="Times New Roman" w:hAnsi="Arial" w:cs="Arial"/>
          <w:color w:val="000000"/>
          <w:sz w:val="20"/>
          <w:szCs w:val="20"/>
        </w:rPr>
        <w:t>ation the likely effects of inflation and other factors. These amounts also consider prior experience in remediating contaminated sites, other companies’ clean-up experience and data released by government organizations. Our estimates are subject to revisi</w:t>
      </w:r>
      <w:r>
        <w:rPr>
          <w:rFonts w:ascii="Arial" w:eastAsia="Times New Roman" w:hAnsi="Arial" w:cs="Arial"/>
          <w:color w:val="000000"/>
          <w:sz w:val="20"/>
          <w:szCs w:val="20"/>
        </w:rPr>
        <w:t xml:space="preserve">on in future periods based on actual costs or new information and are included in Accounts payable and other and Other long-term liabilities in the Consolidated Statements of Financial Position at their undiscounted amounts. There is always a potential of </w:t>
      </w:r>
      <w:r>
        <w:rPr>
          <w:rFonts w:ascii="Arial" w:eastAsia="Times New Roman" w:hAnsi="Arial" w:cs="Arial"/>
          <w:color w:val="000000"/>
          <w:sz w:val="20"/>
          <w:szCs w:val="20"/>
        </w:rPr>
        <w:t>incurring additional costs in connection with environmental liabilities due to variations in any or all of the categories described above, including modified or revised requirements from regulatory agencies, in addition to fines and penalties, as well as e</w:t>
      </w:r>
      <w:r>
        <w:rPr>
          <w:rFonts w:ascii="Arial" w:eastAsia="Times New Roman" w:hAnsi="Arial" w:cs="Arial"/>
          <w:color w:val="000000"/>
          <w:sz w:val="20"/>
          <w:szCs w:val="20"/>
        </w:rPr>
        <w:t>xpenditures associated with litigation and settlement of claims. We evaluate recoveries from insurance coverage separately from the liability and, when recovery is probable, we record and report an asset separately from the associated liability in the Cons</w:t>
      </w:r>
      <w:r>
        <w:rPr>
          <w:rFonts w:ascii="Arial" w:eastAsia="Times New Roman" w:hAnsi="Arial" w:cs="Arial"/>
          <w:color w:val="000000"/>
          <w:sz w:val="20"/>
          <w:szCs w:val="20"/>
        </w:rPr>
        <w:t>olidated Statements of Financial Position.</w:t>
      </w:r>
    </w:p>
    <w:p w:rsidR="00000000" w:rsidRDefault="001F1FC8">
      <w:pPr>
        <w:divId w:val="732241012"/>
        <w:rPr>
          <w:rFonts w:eastAsia="Times New Roman"/>
        </w:rPr>
      </w:pPr>
    </w:p>
    <w:p w:rsidR="00000000" w:rsidRDefault="001F1FC8">
      <w:pPr>
        <w:divId w:val="402266392"/>
        <w:rPr>
          <w:rFonts w:eastAsia="Times New Roman"/>
        </w:rPr>
      </w:pPr>
      <w:r>
        <w:rPr>
          <w:rFonts w:ascii="Arial" w:eastAsia="Times New Roman" w:hAnsi="Arial" w:cs="Arial"/>
          <w:color w:val="000000"/>
          <w:sz w:val="20"/>
          <w:szCs w:val="20"/>
        </w:rPr>
        <w:t>Liabilities for other commitments and contingencies are recognized when, after fully analyzing available information, we determine it is either probable that an asset has been impaired, or that a liability has b</w:t>
      </w:r>
      <w:r>
        <w:rPr>
          <w:rFonts w:ascii="Arial" w:eastAsia="Times New Roman" w:hAnsi="Arial" w:cs="Arial"/>
          <w:color w:val="000000"/>
          <w:sz w:val="20"/>
          <w:szCs w:val="20"/>
        </w:rPr>
        <w:t>een incurred, and the amount of impairment or loss can be reasonably estimated. When a range of probable loss can be estimated, we recognize the most likely amount, or if no amount is more likely than another, the minimum of the range of probable loss is a</w:t>
      </w:r>
      <w:r>
        <w:rPr>
          <w:rFonts w:ascii="Arial" w:eastAsia="Times New Roman" w:hAnsi="Arial" w:cs="Arial"/>
          <w:color w:val="000000"/>
          <w:sz w:val="20"/>
          <w:szCs w:val="20"/>
        </w:rPr>
        <w:t>ccrued. We expense legal costs associated with loss contingencies as such costs are incurred.</w:t>
      </w:r>
    </w:p>
    <w:p w:rsidR="00000000" w:rsidRDefault="001F1FC8">
      <w:pPr>
        <w:divId w:val="1114404198"/>
        <w:rPr>
          <w:rFonts w:eastAsia="Times New Roman"/>
        </w:rPr>
      </w:pPr>
    </w:p>
    <w:p w:rsidR="00000000" w:rsidRDefault="001F1FC8">
      <w:pPr>
        <w:jc w:val="center"/>
        <w:divId w:val="2111660790"/>
        <w:rPr>
          <w:rFonts w:eastAsia="Times New Roman"/>
        </w:rPr>
      </w:pPr>
      <w:r>
        <w:rPr>
          <w:rFonts w:ascii="Arial" w:eastAsia="Times New Roman" w:hAnsi="Arial" w:cs="Arial"/>
          <w:color w:val="000000"/>
          <w:sz w:val="20"/>
          <w:szCs w:val="20"/>
        </w:rPr>
        <w:t>114</w:t>
      </w:r>
    </w:p>
    <w:p w:rsidR="00000000" w:rsidRDefault="001F1FC8">
      <w:pPr>
        <w:rPr>
          <w:rFonts w:eastAsia="Times New Roman"/>
        </w:rPr>
      </w:pPr>
      <w:r>
        <w:rPr>
          <w:rFonts w:eastAsia="Times New Roman"/>
        </w:rPr>
        <w:pict>
          <v:rect id="_x0000_i1144" style="width:0;height:1.5pt" o:hralign="center" o:hrstd="t" o:hr="t" fillcolor="#a0a0a0" stroked="f"/>
        </w:pict>
      </w:r>
    </w:p>
    <w:p w:rsidR="00000000" w:rsidRDefault="001F1FC8">
      <w:pPr>
        <w:jc w:val="center"/>
        <w:divId w:val="1869483078"/>
        <w:rPr>
          <w:rFonts w:eastAsia="Times New Roman"/>
        </w:rPr>
      </w:pPr>
    </w:p>
    <w:p w:rsidR="00000000" w:rsidRDefault="001F1FC8">
      <w:pPr>
        <w:divId w:val="1957907590"/>
        <w:rPr>
          <w:rFonts w:eastAsia="Times New Roman"/>
        </w:rPr>
      </w:pPr>
      <w:r>
        <w:rPr>
          <w:rFonts w:ascii="Arial" w:eastAsia="Times New Roman" w:hAnsi="Arial" w:cs="Arial"/>
          <w:b/>
          <w:bCs/>
          <w:color w:val="000000"/>
          <w:sz w:val="26"/>
          <w:szCs w:val="26"/>
        </w:rPr>
        <w:t>3.  CHANGES IN ACCOUNTING POLICIES</w:t>
      </w:r>
    </w:p>
    <w:p w:rsidR="00000000" w:rsidRDefault="001F1FC8">
      <w:pPr>
        <w:divId w:val="1159611794"/>
        <w:rPr>
          <w:rFonts w:eastAsia="Times New Roman"/>
        </w:rPr>
      </w:pPr>
    </w:p>
    <w:p w:rsidR="00000000" w:rsidRDefault="001F1FC8">
      <w:pPr>
        <w:divId w:val="557592494"/>
        <w:rPr>
          <w:rFonts w:eastAsia="Times New Roman"/>
        </w:rPr>
      </w:pPr>
      <w:r>
        <w:rPr>
          <w:rFonts w:ascii="Arial" w:eastAsia="Times New Roman" w:hAnsi="Arial" w:cs="Arial"/>
          <w:b/>
          <w:bCs/>
          <w:color w:val="000000"/>
          <w:sz w:val="20"/>
          <w:szCs w:val="20"/>
        </w:rPr>
        <w:t>CHANGES IN ACCOUNTING POLICIES</w:t>
      </w:r>
    </w:p>
    <w:p w:rsidR="00000000" w:rsidRDefault="001F1FC8">
      <w:pPr>
        <w:divId w:val="1251088898"/>
        <w:rPr>
          <w:rFonts w:eastAsia="Times New Roman"/>
        </w:rPr>
      </w:pPr>
      <w:r>
        <w:rPr>
          <w:rFonts w:ascii="Arial" w:eastAsia="Times New Roman" w:hAnsi="Arial" w:cs="Arial"/>
          <w:color w:val="000000"/>
          <w:sz w:val="20"/>
          <w:szCs w:val="20"/>
        </w:rPr>
        <w:t>There were no changes in accounting policies durin</w:t>
      </w:r>
      <w:r>
        <w:rPr>
          <w:rFonts w:ascii="Arial" w:eastAsia="Times New Roman" w:hAnsi="Arial" w:cs="Arial"/>
          <w:color w:val="000000"/>
          <w:sz w:val="20"/>
          <w:szCs w:val="20"/>
        </w:rPr>
        <w:t>g the year ended December 31, 2021.</w:t>
      </w:r>
    </w:p>
    <w:p w:rsidR="00000000" w:rsidRDefault="001F1FC8">
      <w:pPr>
        <w:divId w:val="1100949972"/>
        <w:rPr>
          <w:rFonts w:eastAsia="Times New Roman"/>
        </w:rPr>
      </w:pPr>
    </w:p>
    <w:p w:rsidR="00000000" w:rsidRDefault="001F1FC8">
      <w:pPr>
        <w:divId w:val="1202129999"/>
        <w:rPr>
          <w:rFonts w:eastAsia="Times New Roman"/>
        </w:rPr>
      </w:pPr>
      <w:r>
        <w:rPr>
          <w:rFonts w:ascii="Arial" w:eastAsia="Times New Roman" w:hAnsi="Arial" w:cs="Arial"/>
          <w:b/>
          <w:bCs/>
          <w:color w:val="000000"/>
          <w:sz w:val="20"/>
          <w:szCs w:val="20"/>
        </w:rPr>
        <w:t>ADOPTION OF NEW ACCOUNTING STANDARDS</w:t>
      </w:r>
    </w:p>
    <w:p w:rsidR="00000000" w:rsidRDefault="001F1FC8">
      <w:pPr>
        <w:divId w:val="1035885840"/>
        <w:rPr>
          <w:rFonts w:eastAsia="Times New Roman"/>
        </w:rPr>
      </w:pPr>
      <w:r>
        <w:rPr>
          <w:rFonts w:ascii="Arial" w:eastAsia="Times New Roman" w:hAnsi="Arial" w:cs="Arial"/>
          <w:b/>
          <w:bCs/>
          <w:color w:val="000000"/>
          <w:sz w:val="20"/>
          <w:szCs w:val="20"/>
        </w:rPr>
        <w:t>Accounting for Contract Assets and Liabilities from Contracts with Customers in a Business Combination</w:t>
      </w:r>
    </w:p>
    <w:p w:rsidR="00000000" w:rsidRDefault="001F1FC8">
      <w:pPr>
        <w:divId w:val="1272973084"/>
        <w:rPr>
          <w:rFonts w:eastAsia="Times New Roman"/>
        </w:rPr>
      </w:pPr>
      <w:r>
        <w:rPr>
          <w:rFonts w:ascii="Arial" w:eastAsia="Times New Roman" w:hAnsi="Arial" w:cs="Arial"/>
          <w:color w:val="000000"/>
          <w:sz w:val="20"/>
          <w:szCs w:val="20"/>
        </w:rPr>
        <w:t>Effective November 1, 2021, we adopted Accounting Standards Update (ASU) 2021-08 on a retrospective basis beginning January 1, 2021. The new standard was</w:t>
      </w:r>
      <w:r>
        <w:rPr>
          <w:rFonts w:ascii="Arial" w:eastAsia="Times New Roman" w:hAnsi="Arial" w:cs="Arial"/>
          <w:color w:val="000000"/>
          <w:sz w:val="20"/>
          <w:szCs w:val="20"/>
        </w:rPr>
        <w:t xml:space="preserve"> issued in October 2021 to amend business combination accounting specific to contract assets and contract liabilities resulting from contracts with customers, requiring measurement in accordance with Accounting Standards Codification (ASC) 606. The ASU is </w:t>
      </w:r>
      <w:r>
        <w:rPr>
          <w:rFonts w:ascii="Arial" w:eastAsia="Times New Roman" w:hAnsi="Arial" w:cs="Arial"/>
          <w:color w:val="000000"/>
          <w:sz w:val="20"/>
          <w:szCs w:val="20"/>
        </w:rPr>
        <w:t>also applicable to contract assets and contract liabilities from other contracts to which ASC 606 applies, such as contract liabilities from the sale of nonfinancial assets within the scope of ASC 610-20. The adoption of this ASU did not have a material im</w:t>
      </w:r>
      <w:r>
        <w:rPr>
          <w:rFonts w:ascii="Arial" w:eastAsia="Times New Roman" w:hAnsi="Arial" w:cs="Arial"/>
          <w:color w:val="000000"/>
          <w:sz w:val="20"/>
          <w:szCs w:val="20"/>
        </w:rPr>
        <w:t>pact on our consolidated financial statements.</w:t>
      </w:r>
    </w:p>
    <w:p w:rsidR="00000000" w:rsidRDefault="001F1FC8">
      <w:pPr>
        <w:divId w:val="1467049003"/>
        <w:rPr>
          <w:rFonts w:eastAsia="Times New Roman"/>
        </w:rPr>
      </w:pPr>
    </w:p>
    <w:p w:rsidR="00000000" w:rsidRDefault="001F1FC8">
      <w:pPr>
        <w:divId w:val="1766337783"/>
        <w:rPr>
          <w:rFonts w:eastAsia="Times New Roman"/>
        </w:rPr>
      </w:pPr>
      <w:r>
        <w:rPr>
          <w:rFonts w:ascii="Arial" w:eastAsia="Times New Roman" w:hAnsi="Arial" w:cs="Arial"/>
          <w:b/>
          <w:bCs/>
          <w:color w:val="000000"/>
          <w:sz w:val="20"/>
          <w:szCs w:val="20"/>
        </w:rPr>
        <w:t>Reference Rate Reform</w:t>
      </w:r>
    </w:p>
    <w:p w:rsidR="00000000" w:rsidRDefault="001F1FC8">
      <w:pPr>
        <w:divId w:val="420639298"/>
        <w:rPr>
          <w:rFonts w:eastAsia="Times New Roman"/>
        </w:rPr>
      </w:pPr>
      <w:r>
        <w:rPr>
          <w:rFonts w:ascii="Arial" w:eastAsia="Times New Roman" w:hAnsi="Arial" w:cs="Arial"/>
          <w:color w:val="000000"/>
          <w:sz w:val="20"/>
          <w:szCs w:val="20"/>
        </w:rPr>
        <w:t>For eligible hedging relationships existing as at January 1, 2021 and prospectively, we have applied the optional expedient in ASU 2020-04 whereby the modification of the hedging instrument does not result in an automatic hedging relationship de-designatio</w:t>
      </w:r>
      <w:r>
        <w:rPr>
          <w:rFonts w:ascii="Arial" w:eastAsia="Times New Roman" w:hAnsi="Arial" w:cs="Arial"/>
          <w:color w:val="000000"/>
          <w:sz w:val="20"/>
          <w:szCs w:val="20"/>
        </w:rPr>
        <w:t>n. The adoption of this ASU did not have a material impact on our consolidated financial statements.</w:t>
      </w:r>
    </w:p>
    <w:p w:rsidR="00000000" w:rsidRDefault="001F1FC8">
      <w:pPr>
        <w:divId w:val="28922918"/>
        <w:rPr>
          <w:rFonts w:eastAsia="Times New Roman"/>
        </w:rPr>
      </w:pPr>
    </w:p>
    <w:p w:rsidR="00000000" w:rsidRDefault="001F1FC8">
      <w:pPr>
        <w:divId w:val="1228421325"/>
        <w:rPr>
          <w:rFonts w:eastAsia="Times New Roman"/>
        </w:rPr>
      </w:pPr>
      <w:r>
        <w:rPr>
          <w:rFonts w:ascii="Arial" w:eastAsia="Times New Roman" w:hAnsi="Arial" w:cs="Arial"/>
          <w:b/>
          <w:bCs/>
          <w:color w:val="000000"/>
          <w:sz w:val="20"/>
          <w:szCs w:val="20"/>
        </w:rPr>
        <w:t>Clarifying Interaction Between Equity Securities, Equity Method Investments and Derivatives</w:t>
      </w:r>
    </w:p>
    <w:p w:rsidR="00000000" w:rsidRDefault="001F1FC8">
      <w:pPr>
        <w:divId w:val="917322328"/>
        <w:rPr>
          <w:rFonts w:eastAsia="Times New Roman"/>
        </w:rPr>
      </w:pPr>
      <w:r>
        <w:rPr>
          <w:rFonts w:ascii="Arial" w:eastAsia="Times New Roman" w:hAnsi="Arial" w:cs="Arial"/>
          <w:color w:val="000000"/>
          <w:sz w:val="20"/>
          <w:szCs w:val="20"/>
        </w:rPr>
        <w:t>Effective January 1, 2021, we adopted ASU 2020-01 on a prospe</w:t>
      </w:r>
      <w:r>
        <w:rPr>
          <w:rFonts w:ascii="Arial" w:eastAsia="Times New Roman" w:hAnsi="Arial" w:cs="Arial"/>
          <w:color w:val="000000"/>
          <w:sz w:val="20"/>
          <w:szCs w:val="20"/>
        </w:rPr>
        <w:t xml:space="preserve">ctive basis. The new standard was issued in January 2020 and clarifies that observable transactions should be considered for the purpose of applying the measurement alternative in accordance with ASC 321 </w:t>
      </w:r>
      <w:r>
        <w:rPr>
          <w:rFonts w:ascii="Arial" w:eastAsia="Times New Roman" w:hAnsi="Arial" w:cs="Arial"/>
          <w:i/>
          <w:iCs/>
          <w:color w:val="000000"/>
          <w:sz w:val="20"/>
          <w:szCs w:val="20"/>
        </w:rPr>
        <w:t>Investments - Equity Securities</w:t>
      </w:r>
      <w:r>
        <w:rPr>
          <w:rFonts w:ascii="Arial" w:eastAsia="Times New Roman" w:hAnsi="Arial" w:cs="Arial"/>
          <w:color w:val="000000"/>
          <w:sz w:val="20"/>
          <w:szCs w:val="20"/>
        </w:rPr>
        <w:t xml:space="preserve"> immediately before t</w:t>
      </w:r>
      <w:r>
        <w:rPr>
          <w:rFonts w:ascii="Arial" w:eastAsia="Times New Roman" w:hAnsi="Arial" w:cs="Arial"/>
          <w:color w:val="000000"/>
          <w:sz w:val="20"/>
          <w:szCs w:val="20"/>
        </w:rPr>
        <w:t xml:space="preserve">he application or upon discontinuance of the equity method of accounting. Furthermore, the ASU clarifies that forward contracts or purchased options on equity securities are not out of scope of ASC 815 </w:t>
      </w:r>
      <w:r>
        <w:rPr>
          <w:rFonts w:ascii="Arial" w:eastAsia="Times New Roman" w:hAnsi="Arial" w:cs="Arial"/>
          <w:i/>
          <w:iCs/>
          <w:color w:val="000000"/>
          <w:sz w:val="20"/>
          <w:szCs w:val="20"/>
        </w:rPr>
        <w:t>Derivatives and Hedging</w:t>
      </w:r>
      <w:r>
        <w:rPr>
          <w:rFonts w:ascii="Arial" w:eastAsia="Times New Roman" w:hAnsi="Arial" w:cs="Arial"/>
          <w:color w:val="000000"/>
          <w:sz w:val="20"/>
          <w:szCs w:val="20"/>
        </w:rPr>
        <w:t xml:space="preserve"> guidance only because, upon th</w:t>
      </w:r>
      <w:r>
        <w:rPr>
          <w:rFonts w:ascii="Arial" w:eastAsia="Times New Roman" w:hAnsi="Arial" w:cs="Arial"/>
          <w:color w:val="000000"/>
          <w:sz w:val="20"/>
          <w:szCs w:val="20"/>
        </w:rPr>
        <w:t>e contracts' exercise, the equity securities could be accounted for under the equity method of accounting or fair value option. The adoption of this ASU did not have a material impact on our consolidated financial statements.</w:t>
      </w:r>
    </w:p>
    <w:p w:rsidR="00000000" w:rsidRDefault="001F1FC8">
      <w:pPr>
        <w:divId w:val="1223635424"/>
        <w:rPr>
          <w:rFonts w:eastAsia="Times New Roman"/>
        </w:rPr>
      </w:pPr>
    </w:p>
    <w:p w:rsidR="00000000" w:rsidRDefault="001F1FC8">
      <w:pPr>
        <w:divId w:val="1767536858"/>
        <w:rPr>
          <w:rFonts w:eastAsia="Times New Roman"/>
        </w:rPr>
      </w:pPr>
      <w:r>
        <w:rPr>
          <w:rFonts w:ascii="Arial" w:eastAsia="Times New Roman" w:hAnsi="Arial" w:cs="Arial"/>
          <w:b/>
          <w:bCs/>
          <w:color w:val="000000"/>
          <w:sz w:val="20"/>
          <w:szCs w:val="20"/>
        </w:rPr>
        <w:t>Accounting for Income Taxes</w:t>
      </w:r>
    </w:p>
    <w:p w:rsidR="00000000" w:rsidRDefault="001F1FC8">
      <w:pPr>
        <w:divId w:val="1825244097"/>
        <w:rPr>
          <w:rFonts w:eastAsia="Times New Roman"/>
        </w:rPr>
      </w:pPr>
      <w:r>
        <w:rPr>
          <w:rFonts w:ascii="Arial" w:eastAsia="Times New Roman" w:hAnsi="Arial" w:cs="Arial"/>
          <w:color w:val="000000"/>
          <w:sz w:val="20"/>
          <w:szCs w:val="20"/>
        </w:rPr>
        <w:t>Effective January 1, 2021, we adopted ASU 2019-12 on a prospective basis. The new standard was issued in December 2019 with the intent of simplifying the accounting for income taxes. The accounting update removes certain exceptions to the general principle</w:t>
      </w:r>
      <w:r>
        <w:rPr>
          <w:rFonts w:ascii="Arial" w:eastAsia="Times New Roman" w:hAnsi="Arial" w:cs="Arial"/>
          <w:color w:val="000000"/>
          <w:sz w:val="20"/>
          <w:szCs w:val="20"/>
        </w:rPr>
        <w:t xml:space="preserve">s in ASC 740 </w:t>
      </w:r>
      <w:r>
        <w:rPr>
          <w:rFonts w:ascii="Arial" w:eastAsia="Times New Roman" w:hAnsi="Arial" w:cs="Arial"/>
          <w:i/>
          <w:iCs/>
          <w:color w:val="000000"/>
          <w:sz w:val="20"/>
          <w:szCs w:val="20"/>
        </w:rPr>
        <w:t>Income Taxes</w:t>
      </w:r>
      <w:r>
        <w:rPr>
          <w:rFonts w:ascii="Arial" w:eastAsia="Times New Roman" w:hAnsi="Arial" w:cs="Arial"/>
          <w:color w:val="000000"/>
          <w:sz w:val="20"/>
          <w:szCs w:val="20"/>
        </w:rPr>
        <w:t xml:space="preserve"> as well as provides simplification by clarifying and amending existing guidance. The adoption of this ASU did not have a material impact on our consolidated financial statements.</w:t>
      </w:r>
    </w:p>
    <w:p w:rsidR="00000000" w:rsidRDefault="001F1FC8">
      <w:pPr>
        <w:divId w:val="399328388"/>
        <w:rPr>
          <w:rFonts w:eastAsia="Times New Roman"/>
        </w:rPr>
      </w:pPr>
    </w:p>
    <w:p w:rsidR="00000000" w:rsidRDefault="001F1FC8">
      <w:pPr>
        <w:divId w:val="398673385"/>
        <w:rPr>
          <w:rFonts w:eastAsia="Times New Roman"/>
        </w:rPr>
      </w:pPr>
      <w:r>
        <w:rPr>
          <w:rFonts w:ascii="Arial" w:eastAsia="Times New Roman" w:hAnsi="Arial" w:cs="Arial"/>
          <w:b/>
          <w:bCs/>
          <w:color w:val="000000"/>
          <w:sz w:val="20"/>
          <w:szCs w:val="20"/>
        </w:rPr>
        <w:t>FUTURE ACCOUNTING POLICY CHANGES</w:t>
      </w:r>
    </w:p>
    <w:p w:rsidR="00000000" w:rsidRDefault="001F1FC8">
      <w:pPr>
        <w:divId w:val="531385489"/>
        <w:rPr>
          <w:rFonts w:eastAsia="Times New Roman"/>
        </w:rPr>
      </w:pPr>
      <w:r>
        <w:rPr>
          <w:rFonts w:ascii="Arial" w:eastAsia="Times New Roman" w:hAnsi="Arial" w:cs="Arial"/>
          <w:b/>
          <w:bCs/>
          <w:color w:val="000000"/>
          <w:sz w:val="20"/>
          <w:szCs w:val="20"/>
        </w:rPr>
        <w:t>Disclosures Abou</w:t>
      </w:r>
      <w:r>
        <w:rPr>
          <w:rFonts w:ascii="Arial" w:eastAsia="Times New Roman" w:hAnsi="Arial" w:cs="Arial"/>
          <w:b/>
          <w:bCs/>
          <w:color w:val="000000"/>
          <w:sz w:val="20"/>
          <w:szCs w:val="20"/>
        </w:rPr>
        <w:t>t Government Assistance</w:t>
      </w:r>
    </w:p>
    <w:p w:rsidR="00000000" w:rsidRDefault="001F1FC8">
      <w:pPr>
        <w:divId w:val="1730760677"/>
        <w:rPr>
          <w:rFonts w:eastAsia="Times New Roman"/>
        </w:rPr>
      </w:pPr>
      <w:r>
        <w:rPr>
          <w:rFonts w:ascii="Arial" w:eastAsia="Times New Roman" w:hAnsi="Arial" w:cs="Arial"/>
          <w:color w:val="000000"/>
          <w:sz w:val="20"/>
          <w:szCs w:val="20"/>
        </w:rPr>
        <w:t>ASU 2021-10 was issued in November 2021 to increase the transparency of government assistance to business entities. The ASU adds new disclosure requirements for transactions with government that are accounted for using a grant or co</w:t>
      </w:r>
      <w:r>
        <w:rPr>
          <w:rFonts w:ascii="Arial" w:eastAsia="Times New Roman" w:hAnsi="Arial" w:cs="Arial"/>
          <w:color w:val="000000"/>
          <w:sz w:val="20"/>
          <w:szCs w:val="20"/>
        </w:rPr>
        <w:t>ntribution accounting model by analogy. The required disclosures include information about the nature of transactions, accounting policy applied, impacted financial statement line items and significant terms and conditions. ASU 2021-10 is effective January</w:t>
      </w:r>
      <w:r>
        <w:rPr>
          <w:rFonts w:ascii="Arial" w:eastAsia="Times New Roman" w:hAnsi="Arial" w:cs="Arial"/>
          <w:color w:val="000000"/>
          <w:sz w:val="20"/>
          <w:szCs w:val="20"/>
        </w:rPr>
        <w:t xml:space="preserve"> 1, 2022 and can be applied either prospectively or retrospectively with early adoption permitted. The adoption of ASU 2021-10 is not expected to have a material impact on our consolidated financial statements.</w:t>
      </w:r>
    </w:p>
    <w:p w:rsidR="00000000" w:rsidRDefault="001F1FC8">
      <w:pPr>
        <w:divId w:val="374738307"/>
        <w:rPr>
          <w:rFonts w:eastAsia="Times New Roman"/>
        </w:rPr>
      </w:pPr>
    </w:p>
    <w:p w:rsidR="00000000" w:rsidRDefault="001F1FC8">
      <w:pPr>
        <w:jc w:val="center"/>
        <w:divId w:val="1881934638"/>
        <w:rPr>
          <w:rFonts w:eastAsia="Times New Roman"/>
        </w:rPr>
      </w:pPr>
      <w:r>
        <w:rPr>
          <w:rFonts w:ascii="Arial" w:eastAsia="Times New Roman" w:hAnsi="Arial" w:cs="Arial"/>
          <w:color w:val="000000"/>
          <w:sz w:val="20"/>
          <w:szCs w:val="20"/>
        </w:rPr>
        <w:t>115</w:t>
      </w:r>
    </w:p>
    <w:p w:rsidR="00000000" w:rsidRDefault="001F1FC8">
      <w:pPr>
        <w:rPr>
          <w:rFonts w:eastAsia="Times New Roman"/>
        </w:rPr>
      </w:pPr>
      <w:r>
        <w:rPr>
          <w:rFonts w:eastAsia="Times New Roman"/>
        </w:rPr>
        <w:pict>
          <v:rect id="_x0000_i1145" style="width:0;height:1.5pt" o:hralign="center" o:hrstd="t" o:hr="t" fillcolor="#a0a0a0" stroked="f"/>
        </w:pict>
      </w:r>
    </w:p>
    <w:p w:rsidR="00000000" w:rsidRDefault="001F1FC8">
      <w:pPr>
        <w:jc w:val="center"/>
        <w:divId w:val="345134519"/>
        <w:rPr>
          <w:rFonts w:eastAsia="Times New Roman"/>
        </w:rPr>
      </w:pPr>
    </w:p>
    <w:p w:rsidR="00000000" w:rsidRDefault="001F1FC8">
      <w:pPr>
        <w:divId w:val="1611888085"/>
        <w:rPr>
          <w:rFonts w:eastAsia="Times New Roman"/>
        </w:rPr>
      </w:pPr>
      <w:r>
        <w:rPr>
          <w:rFonts w:ascii="Arial" w:eastAsia="Times New Roman" w:hAnsi="Arial" w:cs="Arial"/>
          <w:b/>
          <w:bCs/>
          <w:color w:val="000000"/>
          <w:sz w:val="20"/>
          <w:szCs w:val="20"/>
        </w:rPr>
        <w:t>Accounting for Certain Lessor Leases with Variable Lease Payments</w:t>
      </w:r>
    </w:p>
    <w:p w:rsidR="00000000" w:rsidRDefault="001F1FC8">
      <w:pPr>
        <w:divId w:val="442193076"/>
        <w:rPr>
          <w:rFonts w:eastAsia="Times New Roman"/>
        </w:rPr>
      </w:pPr>
      <w:r>
        <w:rPr>
          <w:rFonts w:ascii="Arial" w:eastAsia="Times New Roman" w:hAnsi="Arial" w:cs="Arial"/>
          <w:color w:val="000000"/>
          <w:sz w:val="20"/>
          <w:szCs w:val="20"/>
        </w:rPr>
        <w:t>ASU 2021-05 was issued in July 2021 to amend lessor accounting for certain leases with variable lease payments that do not depend on a reference index or a rate and would have resulted in th</w:t>
      </w:r>
      <w:r>
        <w:rPr>
          <w:rFonts w:ascii="Arial" w:eastAsia="Times New Roman" w:hAnsi="Arial" w:cs="Arial"/>
          <w:color w:val="000000"/>
          <w:sz w:val="20"/>
          <w:szCs w:val="20"/>
        </w:rPr>
        <w:t>e recognition of a loss at lease commencement if classified as a sales-type or a direct financing lease. The ASU amends the classification requirements of such leases for lessors to result in an operating lease classification. ASU 2021-05 is effective Janu</w:t>
      </w:r>
      <w:r>
        <w:rPr>
          <w:rFonts w:ascii="Arial" w:eastAsia="Times New Roman" w:hAnsi="Arial" w:cs="Arial"/>
          <w:color w:val="000000"/>
          <w:sz w:val="20"/>
          <w:szCs w:val="20"/>
        </w:rPr>
        <w:t>ary 1, 2022 and can be applied either retrospectively or prospectively with early adoption permitted. The adoption of ASU 2021-05 is not expected to have a material impact on our consolidated financial statements.</w:t>
      </w:r>
    </w:p>
    <w:p w:rsidR="00000000" w:rsidRDefault="001F1FC8">
      <w:pPr>
        <w:divId w:val="341972282"/>
        <w:rPr>
          <w:rFonts w:eastAsia="Times New Roman"/>
        </w:rPr>
      </w:pPr>
    </w:p>
    <w:p w:rsidR="00000000" w:rsidRDefault="001F1FC8">
      <w:pPr>
        <w:divId w:val="1670598854"/>
        <w:rPr>
          <w:rFonts w:eastAsia="Times New Roman"/>
        </w:rPr>
      </w:pPr>
      <w:r>
        <w:rPr>
          <w:rFonts w:ascii="Arial" w:eastAsia="Times New Roman" w:hAnsi="Arial" w:cs="Arial"/>
          <w:b/>
          <w:bCs/>
          <w:color w:val="000000"/>
          <w:sz w:val="20"/>
          <w:szCs w:val="20"/>
        </w:rPr>
        <w:t>Accounting for Modifications or Exchange</w:t>
      </w:r>
      <w:r>
        <w:rPr>
          <w:rFonts w:ascii="Arial" w:eastAsia="Times New Roman" w:hAnsi="Arial" w:cs="Arial"/>
          <w:b/>
          <w:bCs/>
          <w:color w:val="000000"/>
          <w:sz w:val="20"/>
          <w:szCs w:val="20"/>
        </w:rPr>
        <w:t>s of Certain Equity-Classified Contracts</w:t>
      </w:r>
    </w:p>
    <w:p w:rsidR="00000000" w:rsidRDefault="001F1FC8">
      <w:pPr>
        <w:divId w:val="1672565173"/>
        <w:rPr>
          <w:rFonts w:eastAsia="Times New Roman"/>
        </w:rPr>
      </w:pPr>
      <w:r>
        <w:rPr>
          <w:rFonts w:ascii="Arial" w:eastAsia="Times New Roman" w:hAnsi="Arial" w:cs="Arial"/>
          <w:color w:val="000000"/>
          <w:sz w:val="20"/>
          <w:szCs w:val="20"/>
        </w:rPr>
        <w:t>ASU 2021-04 was issued in May 2021 to clarify issuer accounting for modifications or exchanges of freestanding equity-classified written call options that remain equity classified after modification or exchange. The</w:t>
      </w:r>
      <w:r>
        <w:rPr>
          <w:rFonts w:ascii="Arial" w:eastAsia="Times New Roman" w:hAnsi="Arial" w:cs="Arial"/>
          <w:color w:val="000000"/>
          <w:sz w:val="20"/>
          <w:szCs w:val="20"/>
        </w:rPr>
        <w:t xml:space="preserve"> ASU requires an issuer to determine the accounting for the modification or exchange based on the economic substance of the modification or exchange. ASU 2021-04 is effective January 1, 2022 and should be applied prospectively. The adoption of ASU 2021-04 </w:t>
      </w:r>
      <w:r>
        <w:rPr>
          <w:rFonts w:ascii="Arial" w:eastAsia="Times New Roman" w:hAnsi="Arial" w:cs="Arial"/>
          <w:color w:val="000000"/>
          <w:sz w:val="20"/>
          <w:szCs w:val="20"/>
        </w:rPr>
        <w:t>is not expected to have a material impact on our consolidated financial statements.</w:t>
      </w:r>
    </w:p>
    <w:p w:rsidR="00000000" w:rsidRDefault="001F1FC8">
      <w:pPr>
        <w:divId w:val="840661873"/>
        <w:rPr>
          <w:rFonts w:eastAsia="Times New Roman"/>
        </w:rPr>
      </w:pPr>
    </w:p>
    <w:p w:rsidR="00000000" w:rsidRDefault="001F1FC8">
      <w:pPr>
        <w:divId w:val="1358504060"/>
        <w:rPr>
          <w:rFonts w:eastAsia="Times New Roman"/>
        </w:rPr>
      </w:pPr>
      <w:r>
        <w:rPr>
          <w:rFonts w:ascii="Arial" w:eastAsia="Times New Roman" w:hAnsi="Arial" w:cs="Arial"/>
          <w:b/>
          <w:bCs/>
          <w:color w:val="000000"/>
          <w:sz w:val="20"/>
          <w:szCs w:val="20"/>
        </w:rPr>
        <w:t>Accounting for Convertible Instruments and Contracts in an Entity’s Own Equity</w:t>
      </w:r>
    </w:p>
    <w:p w:rsidR="00000000" w:rsidRDefault="001F1FC8">
      <w:pPr>
        <w:divId w:val="1033268115"/>
        <w:rPr>
          <w:rFonts w:eastAsia="Times New Roman"/>
        </w:rPr>
      </w:pPr>
      <w:r>
        <w:rPr>
          <w:rFonts w:ascii="Arial" w:eastAsia="Times New Roman" w:hAnsi="Arial" w:cs="Arial"/>
          <w:color w:val="000000"/>
          <w:sz w:val="20"/>
          <w:szCs w:val="20"/>
        </w:rPr>
        <w:t>ASU 2020-06 was issued in August 2020 to simplify accounting for certain financial instrume</w:t>
      </w:r>
      <w:r>
        <w:rPr>
          <w:rFonts w:ascii="Arial" w:eastAsia="Times New Roman" w:hAnsi="Arial" w:cs="Arial"/>
          <w:color w:val="000000"/>
          <w:sz w:val="20"/>
          <w:szCs w:val="20"/>
        </w:rPr>
        <w:t>nts. The ASU eliminates the current models that require separation of beneficial conversion and cash conversion features from convertible instruments and simplifies the derivative scope exception guidance pertaining to equity classification of contracts in</w:t>
      </w:r>
      <w:r>
        <w:rPr>
          <w:rFonts w:ascii="Arial" w:eastAsia="Times New Roman" w:hAnsi="Arial" w:cs="Arial"/>
          <w:color w:val="000000"/>
          <w:sz w:val="20"/>
          <w:szCs w:val="20"/>
        </w:rPr>
        <w:t xml:space="preserve"> an entity’s own equity. The ASU also introduces additional disclosures for convertible debt and freestanding instruments that are indexed to and settled in an entity’s own equity. The ASU amends the diluted earnings per share guidance, including the requi</w:t>
      </w:r>
      <w:r>
        <w:rPr>
          <w:rFonts w:ascii="Arial" w:eastAsia="Times New Roman" w:hAnsi="Arial" w:cs="Arial"/>
          <w:color w:val="000000"/>
          <w:sz w:val="20"/>
          <w:szCs w:val="20"/>
        </w:rPr>
        <w:t>rement to use if-converted method for all convertible instruments and an update for instruments that can be settled in either cash or shares. ASU 2020-06 is effective January 1, 2022 and should be applied on a full or modified retrospective basis. The adop</w:t>
      </w:r>
      <w:r>
        <w:rPr>
          <w:rFonts w:ascii="Arial" w:eastAsia="Times New Roman" w:hAnsi="Arial" w:cs="Arial"/>
          <w:color w:val="000000"/>
          <w:sz w:val="20"/>
          <w:szCs w:val="20"/>
        </w:rPr>
        <w:t>tion of ASU 2020-06 is not expected to have a material impact on our consolidated financial statements.</w:t>
      </w:r>
    </w:p>
    <w:p w:rsidR="00000000" w:rsidRDefault="001F1FC8">
      <w:pPr>
        <w:divId w:val="477190054"/>
        <w:rPr>
          <w:rFonts w:eastAsia="Times New Roman"/>
        </w:rPr>
      </w:pPr>
    </w:p>
    <w:p w:rsidR="00000000" w:rsidRDefault="001F1FC8">
      <w:pPr>
        <w:ind w:hanging="360"/>
        <w:jc w:val="both"/>
        <w:rPr>
          <w:rFonts w:eastAsia="Times New Roman"/>
        </w:rPr>
      </w:pPr>
      <w:r>
        <w:rPr>
          <w:rFonts w:ascii="Arial" w:eastAsia="Times New Roman" w:hAnsi="Arial" w:cs="Arial"/>
          <w:b/>
          <w:bCs/>
          <w:color w:val="000000"/>
          <w:sz w:val="26"/>
          <w:szCs w:val="26"/>
        </w:rPr>
        <w:t>4. REVENUE</w:t>
      </w:r>
    </w:p>
    <w:p w:rsidR="00000000" w:rsidRDefault="001F1FC8">
      <w:pPr>
        <w:ind w:hanging="360"/>
        <w:jc w:val="both"/>
        <w:rPr>
          <w:rFonts w:eastAsia="Times New Roman"/>
        </w:rPr>
      </w:pPr>
    </w:p>
    <w:p w:rsidR="00000000" w:rsidRDefault="001F1FC8">
      <w:pPr>
        <w:ind w:hanging="360"/>
        <w:jc w:val="both"/>
        <w:rPr>
          <w:rFonts w:eastAsia="Times New Roman"/>
        </w:rPr>
      </w:pPr>
      <w:r>
        <w:rPr>
          <w:rFonts w:ascii="Arial" w:eastAsia="Times New Roman" w:hAnsi="Arial" w:cs="Arial"/>
          <w:b/>
          <w:bCs/>
          <w:color w:val="000000"/>
          <w:sz w:val="20"/>
          <w:szCs w:val="20"/>
        </w:rPr>
        <w:t>REVENUE FROM CONTRACTS WITH CUSTOMERS</w:t>
      </w:r>
    </w:p>
    <w:p w:rsidR="00000000" w:rsidRDefault="001F1FC8">
      <w:pPr>
        <w:jc w:val="both"/>
        <w:rPr>
          <w:rFonts w:eastAsia="Times New Roman"/>
        </w:rPr>
      </w:pPr>
      <w:r>
        <w:rPr>
          <w:rFonts w:ascii="Arial" w:eastAsia="Times New Roman" w:hAnsi="Arial" w:cs="Arial"/>
          <w:b/>
          <w:bCs/>
          <w:color w:val="000000"/>
          <w:sz w:val="20"/>
          <w:szCs w:val="20"/>
        </w:rPr>
        <w:t>Major Products and Services</w:t>
      </w:r>
    </w:p>
    <w:tbl>
      <w:tblPr>
        <w:tblW w:w="5000" w:type="pct"/>
        <w:jc w:val="center"/>
        <w:tblCellMar>
          <w:top w:w="15" w:type="dxa"/>
          <w:left w:w="15" w:type="dxa"/>
          <w:bottom w:w="15" w:type="dxa"/>
          <w:right w:w="15" w:type="dxa"/>
        </w:tblCellMar>
        <w:tblLook w:val="04A0" w:firstRow="1" w:lastRow="0" w:firstColumn="1" w:lastColumn="0" w:noHBand="0" w:noVBand="1"/>
      </w:tblPr>
      <w:tblGrid>
        <w:gridCol w:w="40"/>
        <w:gridCol w:w="2136"/>
        <w:gridCol w:w="37"/>
        <w:gridCol w:w="83"/>
        <w:gridCol w:w="599"/>
        <w:gridCol w:w="36"/>
        <w:gridCol w:w="83"/>
        <w:gridCol w:w="901"/>
        <w:gridCol w:w="36"/>
        <w:gridCol w:w="84"/>
        <w:gridCol w:w="749"/>
        <w:gridCol w:w="36"/>
        <w:gridCol w:w="73"/>
        <w:gridCol w:w="761"/>
        <w:gridCol w:w="36"/>
        <w:gridCol w:w="78"/>
        <w:gridCol w:w="569"/>
        <w:gridCol w:w="36"/>
        <w:gridCol w:w="85"/>
        <w:gridCol w:w="810"/>
        <w:gridCol w:w="36"/>
        <w:gridCol w:w="86"/>
        <w:gridCol w:w="880"/>
        <w:gridCol w:w="36"/>
      </w:tblGrid>
      <w:tr w:rsidR="00000000">
        <w:trPr>
          <w:divId w:val="993796266"/>
          <w:jc w:val="center"/>
        </w:trPr>
        <w:tc>
          <w:tcPr>
            <w:tcW w:w="50" w:type="pct"/>
            <w:vAlign w:val="center"/>
            <w:hideMark/>
          </w:tcPr>
          <w:p w:rsidR="00000000" w:rsidRDefault="001F1FC8">
            <w:pPr>
              <w:jc w:val="both"/>
              <w:rPr>
                <w:rFonts w:eastAsia="Times New Roman"/>
              </w:rPr>
            </w:pPr>
          </w:p>
        </w:tc>
        <w:tc>
          <w:tcPr>
            <w:tcW w:w="1313"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c>
          <w:tcPr>
            <w:tcW w:w="50" w:type="pct"/>
            <w:vAlign w:val="center"/>
            <w:hideMark/>
          </w:tcPr>
          <w:p w:rsidR="00000000" w:rsidRDefault="001F1FC8">
            <w:pPr>
              <w:rPr>
                <w:rFonts w:eastAsia="Times New Roman"/>
                <w:sz w:val="20"/>
                <w:szCs w:val="20"/>
              </w:rPr>
            </w:pPr>
          </w:p>
        </w:tc>
        <w:tc>
          <w:tcPr>
            <w:tcW w:w="361"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c>
          <w:tcPr>
            <w:tcW w:w="50" w:type="pct"/>
            <w:vAlign w:val="center"/>
            <w:hideMark/>
          </w:tcPr>
          <w:p w:rsidR="00000000" w:rsidRDefault="001F1FC8">
            <w:pPr>
              <w:rPr>
                <w:rFonts w:eastAsia="Times New Roman"/>
                <w:sz w:val="20"/>
                <w:szCs w:val="20"/>
              </w:rPr>
            </w:pPr>
          </w:p>
        </w:tc>
        <w:tc>
          <w:tcPr>
            <w:tcW w:w="545"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c>
          <w:tcPr>
            <w:tcW w:w="50" w:type="pct"/>
            <w:vAlign w:val="center"/>
            <w:hideMark/>
          </w:tcPr>
          <w:p w:rsidR="00000000" w:rsidRDefault="001F1FC8">
            <w:pPr>
              <w:rPr>
                <w:rFonts w:eastAsia="Times New Roman"/>
                <w:sz w:val="20"/>
                <w:szCs w:val="20"/>
              </w:rPr>
            </w:pPr>
          </w:p>
        </w:tc>
        <w:tc>
          <w:tcPr>
            <w:tcW w:w="449"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c>
          <w:tcPr>
            <w:tcW w:w="50" w:type="pct"/>
            <w:vAlign w:val="center"/>
            <w:hideMark/>
          </w:tcPr>
          <w:p w:rsidR="00000000" w:rsidRDefault="001F1FC8">
            <w:pPr>
              <w:rPr>
                <w:rFonts w:eastAsia="Times New Roman"/>
                <w:sz w:val="20"/>
                <w:szCs w:val="20"/>
              </w:rPr>
            </w:pPr>
          </w:p>
        </w:tc>
        <w:tc>
          <w:tcPr>
            <w:tcW w:w="529"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c>
          <w:tcPr>
            <w:tcW w:w="50" w:type="pct"/>
            <w:vAlign w:val="center"/>
            <w:hideMark/>
          </w:tcPr>
          <w:p w:rsidR="00000000" w:rsidRDefault="001F1FC8">
            <w:pPr>
              <w:rPr>
                <w:rFonts w:eastAsia="Times New Roman"/>
                <w:sz w:val="20"/>
                <w:szCs w:val="20"/>
              </w:rPr>
            </w:pPr>
          </w:p>
        </w:tc>
        <w:tc>
          <w:tcPr>
            <w:tcW w:w="369"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c>
          <w:tcPr>
            <w:tcW w:w="50" w:type="pct"/>
            <w:vAlign w:val="center"/>
            <w:hideMark/>
          </w:tcPr>
          <w:p w:rsidR="00000000" w:rsidRDefault="001F1FC8">
            <w:pPr>
              <w:rPr>
                <w:rFonts w:eastAsia="Times New Roman"/>
                <w:sz w:val="20"/>
                <w:szCs w:val="20"/>
              </w:rPr>
            </w:pPr>
          </w:p>
        </w:tc>
        <w:tc>
          <w:tcPr>
            <w:tcW w:w="481"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c>
          <w:tcPr>
            <w:tcW w:w="50" w:type="pct"/>
            <w:vAlign w:val="center"/>
            <w:hideMark/>
          </w:tcPr>
          <w:p w:rsidR="00000000" w:rsidRDefault="001F1FC8">
            <w:pPr>
              <w:rPr>
                <w:rFonts w:eastAsia="Times New Roman"/>
                <w:sz w:val="20"/>
                <w:szCs w:val="20"/>
              </w:rPr>
            </w:pPr>
          </w:p>
        </w:tc>
        <w:tc>
          <w:tcPr>
            <w:tcW w:w="513"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r>
      <w:tr w:rsidR="00000000">
        <w:trPr>
          <w:divId w:val="993796266"/>
          <w:trHeight w:val="400"/>
          <w:jc w:val="center"/>
        </w:trPr>
        <w:tc>
          <w:tcPr>
            <w:tcW w:w="0" w:type="auto"/>
            <w:gridSpan w:val="3"/>
            <w:tcMar>
              <w:top w:w="0" w:type="dxa"/>
              <w:left w:w="20" w:type="dxa"/>
              <w:bottom w:w="0" w:type="dxa"/>
              <w:right w:w="20" w:type="dxa"/>
            </w:tcMar>
            <w:vAlign w:val="center"/>
            <w:hideMark/>
          </w:tcPr>
          <w:p w:rsidR="00000000" w:rsidRDefault="001F1FC8">
            <w:pPr>
              <w:rPr>
                <w:rFonts w:eastAsia="Times New Roman"/>
                <w:sz w:val="20"/>
                <w:szCs w:val="20"/>
              </w:rPr>
            </w:pPr>
          </w:p>
        </w:tc>
        <w:tc>
          <w:tcPr>
            <w:tcW w:w="0" w:type="auto"/>
            <w:gridSpan w:val="3"/>
            <w:vMerge w:val="restart"/>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Liquids Pipelines</w:t>
            </w:r>
          </w:p>
        </w:tc>
        <w:tc>
          <w:tcPr>
            <w:tcW w:w="0" w:type="auto"/>
            <w:gridSpan w:val="3"/>
            <w:vMerge w:val="restart"/>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Gas Transmission and Midstream</w:t>
            </w:r>
          </w:p>
        </w:tc>
        <w:tc>
          <w:tcPr>
            <w:tcW w:w="0" w:type="auto"/>
            <w:gridSpan w:val="3"/>
            <w:vMerge w:val="restart"/>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Gas Distribution and Storage</w:t>
            </w:r>
          </w:p>
        </w:tc>
        <w:tc>
          <w:tcPr>
            <w:tcW w:w="0" w:type="auto"/>
            <w:gridSpan w:val="3"/>
            <w:vMerge w:val="restart"/>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Renewable Power Generation</w:t>
            </w:r>
          </w:p>
        </w:tc>
        <w:tc>
          <w:tcPr>
            <w:tcW w:w="0" w:type="auto"/>
            <w:gridSpan w:val="3"/>
            <w:vMerge w:val="restart"/>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Energy Services</w:t>
            </w:r>
          </w:p>
        </w:tc>
        <w:tc>
          <w:tcPr>
            <w:tcW w:w="0" w:type="auto"/>
            <w:gridSpan w:val="3"/>
            <w:vMerge w:val="restart"/>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Eliminations and Other</w:t>
            </w:r>
          </w:p>
        </w:tc>
        <w:tc>
          <w:tcPr>
            <w:tcW w:w="0" w:type="auto"/>
            <w:gridSpan w:val="3"/>
            <w:vMerge w:val="restart"/>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Consolidated</w:t>
            </w:r>
          </w:p>
        </w:tc>
      </w:tr>
      <w:tr w:rsidR="00000000">
        <w:trPr>
          <w:divId w:val="993796266"/>
          <w:trHeight w:val="400"/>
          <w:jc w:val="center"/>
        </w:trPr>
        <w:tc>
          <w:tcPr>
            <w:tcW w:w="0" w:type="auto"/>
            <w:gridSpan w:val="3"/>
            <w:tcMar>
              <w:top w:w="30" w:type="dxa"/>
              <w:left w:w="20" w:type="dxa"/>
              <w:bottom w:w="30" w:type="dxa"/>
              <w:right w:w="20" w:type="dxa"/>
            </w:tcMar>
            <w:vAlign w:val="bottom"/>
            <w:hideMark/>
          </w:tcPr>
          <w:p w:rsidR="00000000" w:rsidRDefault="001F1FC8">
            <w:pPr>
              <w:rPr>
                <w:rFonts w:eastAsia="Times New Roman"/>
              </w:rPr>
            </w:pPr>
            <w:r>
              <w:rPr>
                <w:rFonts w:ascii="Arial" w:eastAsia="Times New Roman" w:hAnsi="Arial" w:cs="Arial"/>
                <w:b/>
                <w:bCs/>
                <w:color w:val="000000"/>
                <w:sz w:val="16"/>
                <w:szCs w:val="16"/>
              </w:rPr>
              <w:t>Year ended December 31, 2021</w:t>
            </w:r>
          </w:p>
        </w:tc>
        <w:tc>
          <w:tcPr>
            <w:tcW w:w="0" w:type="auto"/>
            <w:gridSpan w:val="3"/>
            <w:vMerge/>
            <w:vAlign w:val="center"/>
            <w:hideMark/>
          </w:tcPr>
          <w:p w:rsidR="00000000" w:rsidRDefault="001F1FC8">
            <w:pPr>
              <w:rPr>
                <w:rFonts w:eastAsia="Times New Roman"/>
              </w:rPr>
            </w:pPr>
          </w:p>
        </w:tc>
        <w:tc>
          <w:tcPr>
            <w:tcW w:w="0" w:type="auto"/>
            <w:gridSpan w:val="3"/>
            <w:vMerge/>
            <w:vAlign w:val="center"/>
            <w:hideMark/>
          </w:tcPr>
          <w:p w:rsidR="00000000" w:rsidRDefault="001F1FC8">
            <w:pPr>
              <w:rPr>
                <w:rFonts w:eastAsia="Times New Roman"/>
              </w:rPr>
            </w:pPr>
          </w:p>
        </w:tc>
        <w:tc>
          <w:tcPr>
            <w:tcW w:w="0" w:type="auto"/>
            <w:gridSpan w:val="3"/>
            <w:vMerge/>
            <w:vAlign w:val="center"/>
            <w:hideMark/>
          </w:tcPr>
          <w:p w:rsidR="00000000" w:rsidRDefault="001F1FC8">
            <w:pPr>
              <w:rPr>
                <w:rFonts w:eastAsia="Times New Roman"/>
              </w:rPr>
            </w:pPr>
          </w:p>
        </w:tc>
        <w:tc>
          <w:tcPr>
            <w:tcW w:w="0" w:type="auto"/>
            <w:gridSpan w:val="3"/>
            <w:vMerge/>
            <w:vAlign w:val="center"/>
            <w:hideMark/>
          </w:tcPr>
          <w:p w:rsidR="00000000" w:rsidRDefault="001F1FC8">
            <w:pPr>
              <w:rPr>
                <w:rFonts w:eastAsia="Times New Roman"/>
              </w:rPr>
            </w:pPr>
          </w:p>
        </w:tc>
        <w:tc>
          <w:tcPr>
            <w:tcW w:w="0" w:type="auto"/>
            <w:gridSpan w:val="3"/>
            <w:vMerge/>
            <w:vAlign w:val="center"/>
            <w:hideMark/>
          </w:tcPr>
          <w:p w:rsidR="00000000" w:rsidRDefault="001F1FC8">
            <w:pPr>
              <w:rPr>
                <w:rFonts w:eastAsia="Times New Roman"/>
              </w:rPr>
            </w:pPr>
          </w:p>
        </w:tc>
        <w:tc>
          <w:tcPr>
            <w:tcW w:w="0" w:type="auto"/>
            <w:gridSpan w:val="3"/>
            <w:vMerge/>
            <w:vAlign w:val="center"/>
            <w:hideMark/>
          </w:tcPr>
          <w:p w:rsidR="00000000" w:rsidRDefault="001F1FC8">
            <w:pPr>
              <w:rPr>
                <w:rFonts w:eastAsia="Times New Roman"/>
              </w:rPr>
            </w:pPr>
          </w:p>
        </w:tc>
        <w:tc>
          <w:tcPr>
            <w:tcW w:w="0" w:type="auto"/>
            <w:gridSpan w:val="3"/>
            <w:vMerge/>
            <w:vAlign w:val="center"/>
            <w:hideMark/>
          </w:tcPr>
          <w:p w:rsidR="00000000" w:rsidRDefault="001F1FC8">
            <w:pPr>
              <w:rPr>
                <w:rFonts w:eastAsia="Times New Roman"/>
              </w:rPr>
            </w:pPr>
          </w:p>
        </w:tc>
      </w:tr>
      <w:tr w:rsidR="00000000">
        <w:trPr>
          <w:divId w:val="993796266"/>
          <w:jc w:val="center"/>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1F1FC8">
            <w:pPr>
              <w:rPr>
                <w:rFonts w:eastAsia="Times New Roman"/>
              </w:rPr>
            </w:pPr>
            <w:r>
              <w:rPr>
                <w:rFonts w:ascii="Arial" w:eastAsia="Times New Roman" w:hAnsi="Arial" w:cs="Arial"/>
                <w:i/>
                <w:iCs/>
                <w:color w:val="000000"/>
                <w:sz w:val="16"/>
                <w:szCs w:val="16"/>
              </w:rPr>
              <w:t>(millions of Canadian dollars)</w:t>
            </w:r>
          </w:p>
        </w:tc>
        <w:tc>
          <w:tcPr>
            <w:tcW w:w="0" w:type="auto"/>
            <w:gridSpan w:val="3"/>
            <w:tcBorders>
              <w:top w:val="single" w:sz="4" w:space="0" w:color="000000"/>
            </w:tcBorders>
            <w:shd w:val="clear" w:color="auto" w:fill="D9D9D9"/>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2"/>
                <w:szCs w:val="2"/>
              </w:rPr>
              <w:t> </w:t>
            </w:r>
          </w:p>
        </w:tc>
        <w:tc>
          <w:tcPr>
            <w:tcW w:w="0" w:type="auto"/>
            <w:gridSpan w:val="3"/>
            <w:tcBorders>
              <w:top w:val="single" w:sz="4" w:space="0" w:color="000000"/>
            </w:tcBorders>
            <w:shd w:val="clear" w:color="auto" w:fill="D9D9D9"/>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2"/>
                <w:szCs w:val="2"/>
              </w:rPr>
              <w:t> </w:t>
            </w:r>
          </w:p>
        </w:tc>
        <w:tc>
          <w:tcPr>
            <w:tcW w:w="0" w:type="auto"/>
            <w:gridSpan w:val="3"/>
            <w:tcBorders>
              <w:top w:val="single" w:sz="4" w:space="0" w:color="000000"/>
            </w:tcBorders>
            <w:shd w:val="clear" w:color="auto" w:fill="D9D9D9"/>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2"/>
                <w:szCs w:val="2"/>
              </w:rPr>
              <w:t> </w:t>
            </w:r>
          </w:p>
        </w:tc>
        <w:tc>
          <w:tcPr>
            <w:tcW w:w="0" w:type="auto"/>
            <w:gridSpan w:val="3"/>
            <w:tcBorders>
              <w:top w:val="single" w:sz="4" w:space="0" w:color="000000"/>
            </w:tcBorders>
            <w:shd w:val="clear" w:color="auto" w:fill="D9D9D9"/>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2"/>
                <w:szCs w:val="2"/>
              </w:rPr>
              <w:t> </w:t>
            </w:r>
          </w:p>
        </w:tc>
        <w:tc>
          <w:tcPr>
            <w:tcW w:w="0" w:type="auto"/>
            <w:gridSpan w:val="3"/>
            <w:tcBorders>
              <w:top w:val="single" w:sz="4" w:space="0" w:color="000000"/>
            </w:tcBorders>
            <w:shd w:val="clear" w:color="auto" w:fill="D9D9D9"/>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2"/>
                <w:szCs w:val="2"/>
              </w:rPr>
              <w:t> </w:t>
            </w:r>
          </w:p>
        </w:tc>
        <w:tc>
          <w:tcPr>
            <w:tcW w:w="0" w:type="auto"/>
            <w:gridSpan w:val="3"/>
            <w:tcBorders>
              <w:top w:val="single" w:sz="4" w:space="0" w:color="000000"/>
            </w:tcBorders>
            <w:shd w:val="clear" w:color="auto" w:fill="D9D9D9"/>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2"/>
                <w:szCs w:val="2"/>
              </w:rPr>
              <w:t> </w:t>
            </w:r>
          </w:p>
        </w:tc>
        <w:tc>
          <w:tcPr>
            <w:tcW w:w="0" w:type="auto"/>
            <w:gridSpan w:val="3"/>
            <w:tcBorders>
              <w:top w:val="single" w:sz="4" w:space="0" w:color="000000"/>
            </w:tcBorders>
            <w:shd w:val="clear" w:color="auto" w:fill="D9D9D9"/>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2"/>
                <w:szCs w:val="2"/>
              </w:rPr>
              <w:t> </w:t>
            </w:r>
          </w:p>
        </w:tc>
      </w:tr>
      <w:tr w:rsidR="00000000">
        <w:trPr>
          <w:divId w:val="993796266"/>
          <w:jc w:val="center"/>
        </w:trPr>
        <w:tc>
          <w:tcPr>
            <w:tcW w:w="0" w:type="auto"/>
            <w:gridSpan w:val="3"/>
            <w:tcMar>
              <w:top w:w="30" w:type="dxa"/>
              <w:left w:w="20" w:type="dxa"/>
              <w:bottom w:w="30" w:type="dxa"/>
              <w:right w:w="20" w:type="dxa"/>
            </w:tcMar>
            <w:vAlign w:val="center"/>
            <w:hideMark/>
          </w:tcPr>
          <w:p w:rsidR="00000000" w:rsidRDefault="001F1FC8">
            <w:pPr>
              <w:rPr>
                <w:rFonts w:eastAsia="Times New Roman"/>
              </w:rPr>
            </w:pPr>
            <w:r>
              <w:rPr>
                <w:rFonts w:ascii="Arial" w:eastAsia="Times New Roman" w:hAnsi="Arial" w:cs="Arial"/>
                <w:color w:val="000000"/>
                <w:sz w:val="16"/>
                <w:szCs w:val="16"/>
              </w:rPr>
              <w:t>Transportation revenue</w:t>
            </w:r>
          </w:p>
        </w:tc>
        <w:tc>
          <w:tcPr>
            <w:tcW w:w="0" w:type="auto"/>
            <w:gridSpan w:val="2"/>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6"/>
                <w:szCs w:val="16"/>
              </w:rPr>
              <w:t>9,492</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6"/>
                <w:szCs w:val="16"/>
              </w:rPr>
              <w:t>4,364</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6"/>
                <w:szCs w:val="16"/>
              </w:rPr>
              <w:t>676</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6"/>
                <w:szCs w:val="16"/>
              </w:rPr>
              <w:t>14,532</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r>
      <w:tr w:rsidR="00000000">
        <w:trPr>
          <w:divId w:val="993796266"/>
          <w:jc w:val="center"/>
        </w:trPr>
        <w:tc>
          <w:tcPr>
            <w:tcW w:w="0" w:type="auto"/>
            <w:gridSpan w:val="3"/>
            <w:tcMar>
              <w:top w:w="30" w:type="dxa"/>
              <w:left w:w="20" w:type="dxa"/>
              <w:bottom w:w="30" w:type="dxa"/>
              <w:right w:w="20" w:type="dxa"/>
            </w:tcMar>
            <w:vAlign w:val="center"/>
            <w:hideMark/>
          </w:tcPr>
          <w:p w:rsidR="00000000" w:rsidRDefault="001F1FC8">
            <w:pPr>
              <w:rPr>
                <w:rFonts w:eastAsia="Times New Roman"/>
              </w:rPr>
            </w:pPr>
            <w:r>
              <w:rPr>
                <w:rFonts w:ascii="Arial" w:eastAsia="Times New Roman" w:hAnsi="Arial" w:cs="Arial"/>
                <w:color w:val="000000"/>
                <w:sz w:val="16"/>
                <w:szCs w:val="16"/>
              </w:rPr>
              <w:t>Storage and other revenue</w:t>
            </w:r>
          </w:p>
        </w:tc>
        <w:tc>
          <w:tcPr>
            <w:tcW w:w="0" w:type="auto"/>
            <w:gridSpan w:val="2"/>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6"/>
                <w:szCs w:val="16"/>
              </w:rPr>
              <w:t>147</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6"/>
                <w:szCs w:val="16"/>
              </w:rPr>
              <w:t>255</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6"/>
                <w:szCs w:val="16"/>
              </w:rPr>
              <w:t>246</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6"/>
                <w:szCs w:val="16"/>
              </w:rPr>
              <w:t>648</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r>
      <w:tr w:rsidR="00000000">
        <w:trPr>
          <w:divId w:val="993796266"/>
          <w:jc w:val="center"/>
        </w:trPr>
        <w:tc>
          <w:tcPr>
            <w:tcW w:w="0" w:type="auto"/>
            <w:gridSpan w:val="3"/>
            <w:tcMar>
              <w:top w:w="30" w:type="dxa"/>
              <w:left w:w="20" w:type="dxa"/>
              <w:bottom w:w="30" w:type="dxa"/>
              <w:right w:w="20" w:type="dxa"/>
            </w:tcMar>
            <w:vAlign w:val="center"/>
            <w:hideMark/>
          </w:tcPr>
          <w:p w:rsidR="00000000" w:rsidRDefault="001F1FC8">
            <w:pPr>
              <w:ind w:hanging="180"/>
              <w:divId w:val="746272368"/>
              <w:rPr>
                <w:rFonts w:eastAsia="Times New Roman"/>
              </w:rPr>
            </w:pPr>
            <w:r>
              <w:rPr>
                <w:rFonts w:ascii="Arial" w:eastAsia="Times New Roman" w:hAnsi="Arial" w:cs="Arial"/>
                <w:color w:val="000000"/>
                <w:sz w:val="16"/>
                <w:szCs w:val="16"/>
              </w:rPr>
              <w:t>Gas gathering and processing revenue</w:t>
            </w:r>
          </w:p>
        </w:tc>
        <w:tc>
          <w:tcPr>
            <w:tcW w:w="0" w:type="auto"/>
            <w:gridSpan w:val="2"/>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6"/>
                <w:szCs w:val="16"/>
              </w:rPr>
              <w:t>49</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6"/>
                <w:szCs w:val="16"/>
              </w:rPr>
              <w:t>49</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r>
      <w:tr w:rsidR="00000000">
        <w:trPr>
          <w:divId w:val="993796266"/>
          <w:jc w:val="center"/>
        </w:trPr>
        <w:tc>
          <w:tcPr>
            <w:tcW w:w="0" w:type="auto"/>
            <w:gridSpan w:val="3"/>
            <w:tcMar>
              <w:top w:w="30" w:type="dxa"/>
              <w:left w:w="20" w:type="dxa"/>
              <w:bottom w:w="30" w:type="dxa"/>
              <w:right w:w="20" w:type="dxa"/>
            </w:tcMar>
            <w:vAlign w:val="center"/>
            <w:hideMark/>
          </w:tcPr>
          <w:p w:rsidR="00000000" w:rsidRDefault="001F1FC8">
            <w:pPr>
              <w:rPr>
                <w:rFonts w:eastAsia="Times New Roman"/>
              </w:rPr>
            </w:pPr>
            <w:r>
              <w:rPr>
                <w:rFonts w:ascii="Arial" w:eastAsia="Times New Roman" w:hAnsi="Arial" w:cs="Arial"/>
                <w:color w:val="000000"/>
                <w:sz w:val="16"/>
                <w:szCs w:val="16"/>
              </w:rPr>
              <w:t>Gas distribution revenue</w:t>
            </w:r>
          </w:p>
        </w:tc>
        <w:tc>
          <w:tcPr>
            <w:tcW w:w="0" w:type="auto"/>
            <w:gridSpan w:val="2"/>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6"/>
                <w:szCs w:val="16"/>
              </w:rPr>
              <w:t>4,026</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6"/>
                <w:szCs w:val="16"/>
              </w:rPr>
              <w:t>4,026</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r>
      <w:tr w:rsidR="00000000">
        <w:trPr>
          <w:divId w:val="993796266"/>
          <w:jc w:val="center"/>
        </w:trPr>
        <w:tc>
          <w:tcPr>
            <w:tcW w:w="0" w:type="auto"/>
            <w:gridSpan w:val="3"/>
            <w:tcMar>
              <w:top w:w="30" w:type="dxa"/>
              <w:left w:w="20" w:type="dxa"/>
              <w:bottom w:w="30" w:type="dxa"/>
              <w:right w:w="20" w:type="dxa"/>
            </w:tcMar>
            <w:vAlign w:val="center"/>
            <w:hideMark/>
          </w:tcPr>
          <w:p w:rsidR="00000000" w:rsidRDefault="001F1FC8">
            <w:pPr>
              <w:ind w:hanging="180"/>
              <w:divId w:val="1860772369"/>
              <w:rPr>
                <w:rFonts w:eastAsia="Times New Roman"/>
              </w:rPr>
            </w:pPr>
            <w:r>
              <w:rPr>
                <w:rFonts w:ascii="Arial" w:eastAsia="Times New Roman" w:hAnsi="Arial" w:cs="Arial"/>
                <w:color w:val="000000"/>
                <w:sz w:val="16"/>
                <w:szCs w:val="16"/>
              </w:rPr>
              <w:t>Electricity and transmission revenue</w:t>
            </w:r>
          </w:p>
        </w:tc>
        <w:tc>
          <w:tcPr>
            <w:tcW w:w="0" w:type="auto"/>
            <w:gridSpan w:val="2"/>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6"/>
                <w:szCs w:val="16"/>
              </w:rPr>
              <w:t>177</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6"/>
                <w:szCs w:val="16"/>
              </w:rPr>
              <w:t>177</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r>
      <w:tr w:rsidR="00000000">
        <w:trPr>
          <w:divId w:val="993796266"/>
          <w:jc w:val="center"/>
        </w:trPr>
        <w:tc>
          <w:tcPr>
            <w:tcW w:w="0" w:type="auto"/>
            <w:gridSpan w:val="3"/>
            <w:vAlign w:val="center"/>
            <w:hideMark/>
          </w:tcPr>
          <w:p w:rsidR="00000000" w:rsidRDefault="001F1FC8">
            <w:pPr>
              <w:jc w:val="right"/>
              <w:rPr>
                <w:rFonts w:eastAsia="Times New Roman"/>
                <w:sz w:val="20"/>
                <w:szCs w:val="20"/>
              </w:rPr>
            </w:pPr>
          </w:p>
        </w:tc>
        <w:tc>
          <w:tcPr>
            <w:tcW w:w="0" w:type="auto"/>
            <w:gridSpan w:val="3"/>
            <w:vAlign w:val="center"/>
            <w:hideMark/>
          </w:tcPr>
          <w:p w:rsidR="00000000" w:rsidRDefault="001F1FC8">
            <w:pPr>
              <w:rPr>
                <w:rFonts w:eastAsia="Times New Roman"/>
                <w:sz w:val="20"/>
                <w:szCs w:val="20"/>
              </w:rPr>
            </w:pPr>
          </w:p>
        </w:tc>
        <w:tc>
          <w:tcPr>
            <w:tcW w:w="0" w:type="auto"/>
            <w:gridSpan w:val="3"/>
            <w:vAlign w:val="center"/>
            <w:hideMark/>
          </w:tcPr>
          <w:p w:rsidR="00000000" w:rsidRDefault="001F1FC8">
            <w:pPr>
              <w:rPr>
                <w:rFonts w:eastAsia="Times New Roman"/>
                <w:sz w:val="20"/>
                <w:szCs w:val="20"/>
              </w:rPr>
            </w:pPr>
          </w:p>
        </w:tc>
        <w:tc>
          <w:tcPr>
            <w:tcW w:w="0" w:type="auto"/>
            <w:gridSpan w:val="3"/>
            <w:vAlign w:val="center"/>
            <w:hideMark/>
          </w:tcPr>
          <w:p w:rsidR="00000000" w:rsidRDefault="001F1FC8">
            <w:pPr>
              <w:rPr>
                <w:rFonts w:eastAsia="Times New Roman"/>
                <w:sz w:val="20"/>
                <w:szCs w:val="20"/>
              </w:rPr>
            </w:pPr>
          </w:p>
        </w:tc>
        <w:tc>
          <w:tcPr>
            <w:tcW w:w="0" w:type="auto"/>
            <w:gridSpan w:val="3"/>
            <w:vAlign w:val="center"/>
            <w:hideMark/>
          </w:tcPr>
          <w:p w:rsidR="00000000" w:rsidRDefault="001F1FC8">
            <w:pPr>
              <w:rPr>
                <w:rFonts w:eastAsia="Times New Roman"/>
                <w:sz w:val="20"/>
                <w:szCs w:val="20"/>
              </w:rPr>
            </w:pPr>
          </w:p>
        </w:tc>
        <w:tc>
          <w:tcPr>
            <w:tcW w:w="0" w:type="auto"/>
            <w:gridSpan w:val="3"/>
            <w:vAlign w:val="center"/>
            <w:hideMark/>
          </w:tcPr>
          <w:p w:rsidR="00000000" w:rsidRDefault="001F1FC8">
            <w:pPr>
              <w:rPr>
                <w:rFonts w:eastAsia="Times New Roman"/>
                <w:sz w:val="20"/>
                <w:szCs w:val="20"/>
              </w:rPr>
            </w:pPr>
          </w:p>
        </w:tc>
        <w:tc>
          <w:tcPr>
            <w:tcW w:w="0" w:type="auto"/>
            <w:gridSpan w:val="3"/>
            <w:vAlign w:val="center"/>
            <w:hideMark/>
          </w:tcPr>
          <w:p w:rsidR="00000000" w:rsidRDefault="001F1FC8">
            <w:pPr>
              <w:rPr>
                <w:rFonts w:eastAsia="Times New Roman"/>
                <w:sz w:val="20"/>
                <w:szCs w:val="20"/>
              </w:rPr>
            </w:pPr>
          </w:p>
        </w:tc>
        <w:tc>
          <w:tcPr>
            <w:tcW w:w="0" w:type="auto"/>
            <w:gridSpan w:val="3"/>
            <w:vAlign w:val="center"/>
            <w:hideMark/>
          </w:tcPr>
          <w:p w:rsidR="00000000" w:rsidRDefault="001F1FC8">
            <w:pPr>
              <w:rPr>
                <w:rFonts w:eastAsia="Times New Roman"/>
                <w:sz w:val="20"/>
                <w:szCs w:val="20"/>
              </w:rPr>
            </w:pPr>
          </w:p>
        </w:tc>
      </w:tr>
      <w:tr w:rsidR="00000000">
        <w:trPr>
          <w:divId w:val="993796266"/>
          <w:jc w:val="center"/>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1F1FC8">
            <w:pPr>
              <w:ind w:hanging="180"/>
              <w:divId w:val="58552253"/>
              <w:rPr>
                <w:rFonts w:eastAsia="Times New Roman"/>
              </w:rPr>
            </w:pPr>
            <w:r>
              <w:rPr>
                <w:rFonts w:ascii="Arial" w:eastAsia="Times New Roman" w:hAnsi="Arial" w:cs="Arial"/>
                <w:color w:val="000000"/>
                <w:sz w:val="16"/>
                <w:szCs w:val="16"/>
              </w:rPr>
              <w:t>Total revenue from contracts with customers</w:t>
            </w:r>
          </w:p>
        </w:tc>
        <w:tc>
          <w:tcPr>
            <w:tcW w:w="0" w:type="auto"/>
            <w:gridSpan w:val="2"/>
            <w:tcBorders>
              <w:top w:val="single" w:sz="4" w:space="0" w:color="000000"/>
            </w:tcBorders>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6"/>
                <w:szCs w:val="16"/>
              </w:rPr>
              <w:t>9,639</w:t>
            </w:r>
            <w:r>
              <w:rPr>
                <w:rFonts w:ascii="Arial" w:eastAsia="Times New Roman" w:hAnsi="Arial" w:cs="Arial"/>
                <w:color w:val="000000"/>
                <w:sz w:val="16"/>
                <w:szCs w:val="16"/>
              </w:rPr>
              <w:t> </w:t>
            </w:r>
          </w:p>
        </w:tc>
        <w:tc>
          <w:tcPr>
            <w:tcW w:w="0" w:type="auto"/>
            <w:tcBorders>
              <w:top w:val="single" w:sz="4" w:space="0" w:color="000000"/>
            </w:tcBorders>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Borders>
              <w:top w:val="single" w:sz="4" w:space="0" w:color="000000"/>
            </w:tcBorders>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6"/>
                <w:szCs w:val="16"/>
              </w:rPr>
              <w:t>4,668</w:t>
            </w:r>
            <w:r>
              <w:rPr>
                <w:rFonts w:ascii="Arial" w:eastAsia="Times New Roman" w:hAnsi="Arial" w:cs="Arial"/>
                <w:color w:val="000000"/>
                <w:sz w:val="16"/>
                <w:szCs w:val="16"/>
              </w:rPr>
              <w:t> </w:t>
            </w:r>
          </w:p>
        </w:tc>
        <w:tc>
          <w:tcPr>
            <w:tcW w:w="0" w:type="auto"/>
            <w:tcBorders>
              <w:top w:val="single" w:sz="4" w:space="0" w:color="000000"/>
            </w:tcBorders>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Borders>
              <w:top w:val="single" w:sz="4" w:space="0" w:color="000000"/>
            </w:tcBorders>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6"/>
                <w:szCs w:val="16"/>
              </w:rPr>
              <w:t>4,948</w:t>
            </w:r>
            <w:r>
              <w:rPr>
                <w:rFonts w:ascii="Arial" w:eastAsia="Times New Roman" w:hAnsi="Arial" w:cs="Arial"/>
                <w:color w:val="000000"/>
                <w:sz w:val="16"/>
                <w:szCs w:val="16"/>
              </w:rPr>
              <w:t> </w:t>
            </w:r>
          </w:p>
        </w:tc>
        <w:tc>
          <w:tcPr>
            <w:tcW w:w="0" w:type="auto"/>
            <w:tcBorders>
              <w:top w:val="single" w:sz="4" w:space="0" w:color="000000"/>
            </w:tcBorders>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Borders>
              <w:top w:val="single" w:sz="4" w:space="0" w:color="000000"/>
            </w:tcBorders>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6"/>
                <w:szCs w:val="16"/>
              </w:rPr>
              <w:t>177</w:t>
            </w:r>
            <w:r>
              <w:rPr>
                <w:rFonts w:ascii="Arial" w:eastAsia="Times New Roman" w:hAnsi="Arial" w:cs="Arial"/>
                <w:color w:val="000000"/>
                <w:sz w:val="16"/>
                <w:szCs w:val="16"/>
              </w:rPr>
              <w:t> </w:t>
            </w:r>
          </w:p>
        </w:tc>
        <w:tc>
          <w:tcPr>
            <w:tcW w:w="0" w:type="auto"/>
            <w:tcBorders>
              <w:top w:val="single" w:sz="4" w:space="0" w:color="000000"/>
            </w:tcBorders>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Borders>
              <w:top w:val="single" w:sz="4" w:space="0" w:color="000000"/>
            </w:tcBorders>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tcBorders>
              <w:top w:val="single" w:sz="4" w:space="0" w:color="000000"/>
            </w:tcBorders>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Borders>
              <w:top w:val="single" w:sz="4" w:space="0" w:color="000000"/>
            </w:tcBorders>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tcBorders>
              <w:top w:val="single" w:sz="4" w:space="0" w:color="000000"/>
            </w:tcBorders>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Borders>
              <w:top w:val="single" w:sz="4" w:space="0" w:color="000000"/>
            </w:tcBorders>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6"/>
                <w:szCs w:val="16"/>
              </w:rPr>
              <w:t>19,432</w:t>
            </w:r>
            <w:r>
              <w:rPr>
                <w:rFonts w:ascii="Arial" w:eastAsia="Times New Roman" w:hAnsi="Arial" w:cs="Arial"/>
                <w:color w:val="000000"/>
                <w:sz w:val="16"/>
                <w:szCs w:val="16"/>
              </w:rPr>
              <w:t> </w:t>
            </w:r>
          </w:p>
        </w:tc>
        <w:tc>
          <w:tcPr>
            <w:tcW w:w="0" w:type="auto"/>
            <w:tcBorders>
              <w:top w:val="single" w:sz="4" w:space="0" w:color="000000"/>
            </w:tcBorders>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r>
      <w:tr w:rsidR="00000000">
        <w:trPr>
          <w:divId w:val="993796266"/>
          <w:jc w:val="center"/>
        </w:trPr>
        <w:tc>
          <w:tcPr>
            <w:tcW w:w="0" w:type="auto"/>
            <w:gridSpan w:val="3"/>
            <w:tcMar>
              <w:top w:w="30" w:type="dxa"/>
              <w:left w:w="20" w:type="dxa"/>
              <w:bottom w:w="30" w:type="dxa"/>
              <w:right w:w="20" w:type="dxa"/>
            </w:tcMar>
            <w:vAlign w:val="center"/>
            <w:hideMark/>
          </w:tcPr>
          <w:p w:rsidR="00000000" w:rsidRDefault="001F1FC8">
            <w:pPr>
              <w:rPr>
                <w:rFonts w:eastAsia="Times New Roman"/>
              </w:rPr>
            </w:pPr>
            <w:r>
              <w:rPr>
                <w:rFonts w:ascii="Arial" w:eastAsia="Times New Roman" w:hAnsi="Arial" w:cs="Arial"/>
                <w:color w:val="000000"/>
                <w:sz w:val="16"/>
                <w:szCs w:val="16"/>
              </w:rPr>
              <w:t>Commodity sales</w:t>
            </w:r>
          </w:p>
        </w:tc>
        <w:tc>
          <w:tcPr>
            <w:tcW w:w="0" w:type="auto"/>
            <w:gridSpan w:val="2"/>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6"/>
                <w:szCs w:val="16"/>
              </w:rPr>
              <w:t>26,873</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6"/>
                <w:szCs w:val="16"/>
              </w:rPr>
              <w:t>26,873</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r>
      <w:tr w:rsidR="00000000">
        <w:trPr>
          <w:divId w:val="993796266"/>
          <w:jc w:val="center"/>
        </w:trPr>
        <w:tc>
          <w:tcPr>
            <w:tcW w:w="0" w:type="auto"/>
            <w:gridSpan w:val="3"/>
            <w:tcMar>
              <w:top w:w="30" w:type="dxa"/>
              <w:left w:w="20" w:type="dxa"/>
              <w:bottom w:w="30" w:type="dxa"/>
              <w:right w:w="20" w:type="dxa"/>
            </w:tcMar>
            <w:vAlign w:val="center"/>
            <w:hideMark/>
          </w:tcPr>
          <w:p w:rsidR="00000000" w:rsidRDefault="001F1FC8">
            <w:pPr>
              <w:divId w:val="1509756305"/>
              <w:rPr>
                <w:rFonts w:eastAsia="Times New Roman"/>
              </w:rPr>
            </w:pPr>
            <w:r>
              <w:rPr>
                <w:rFonts w:ascii="Arial" w:eastAsia="Times New Roman" w:hAnsi="Arial" w:cs="Arial"/>
                <w:color w:val="000000"/>
                <w:sz w:val="16"/>
                <w:szCs w:val="16"/>
              </w:rPr>
              <w:t>Other revenu</w:t>
            </w:r>
            <w:r>
              <w:rPr>
                <w:rFonts w:ascii="Arial" w:eastAsia="Times New Roman" w:hAnsi="Arial" w:cs="Arial"/>
                <w:color w:val="000000"/>
                <w:sz w:val="16"/>
                <w:szCs w:val="16"/>
              </w:rPr>
              <w:t>e</w:t>
            </w:r>
            <w:r>
              <w:rPr>
                <w:rFonts w:ascii="Arial" w:eastAsia="Times New Roman" w:hAnsi="Arial" w:cs="Arial"/>
                <w:color w:val="000000"/>
                <w:sz w:val="10"/>
                <w:szCs w:val="10"/>
              </w:rPr>
              <w:t>1,</w:t>
            </w:r>
            <w:r>
              <w:rPr>
                <w:rFonts w:ascii="Arial" w:eastAsia="Times New Roman" w:hAnsi="Arial" w:cs="Arial"/>
                <w:color w:val="000000"/>
                <w:sz w:val="10"/>
                <w:szCs w:val="10"/>
              </w:rPr>
              <w:t>2</w:t>
            </w:r>
          </w:p>
        </w:tc>
        <w:tc>
          <w:tcPr>
            <w:tcW w:w="0" w:type="auto"/>
            <w:gridSpan w:val="2"/>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6"/>
                <w:szCs w:val="16"/>
              </w:rPr>
              <w:t>375</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6"/>
                <w:szCs w:val="16"/>
              </w:rPr>
              <w:t>42</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6"/>
                <w:szCs w:val="16"/>
              </w:rPr>
              <w:t>13</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6"/>
                <w:szCs w:val="16"/>
              </w:rPr>
              <w:t>336</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6"/>
                <w:szCs w:val="16"/>
              </w:rPr>
              <w:t>766</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r>
      <w:tr w:rsidR="00000000">
        <w:trPr>
          <w:divId w:val="993796266"/>
          <w:jc w:val="center"/>
        </w:trPr>
        <w:tc>
          <w:tcPr>
            <w:tcW w:w="0" w:type="auto"/>
            <w:gridSpan w:val="3"/>
            <w:tcMar>
              <w:top w:w="30" w:type="dxa"/>
              <w:left w:w="20" w:type="dxa"/>
              <w:bottom w:w="30" w:type="dxa"/>
              <w:right w:w="20" w:type="dxa"/>
            </w:tcMar>
            <w:vAlign w:val="center"/>
            <w:hideMark/>
          </w:tcPr>
          <w:p w:rsidR="00000000" w:rsidRDefault="001F1FC8">
            <w:pPr>
              <w:rPr>
                <w:rFonts w:eastAsia="Times New Roman"/>
              </w:rPr>
            </w:pPr>
            <w:r>
              <w:rPr>
                <w:rFonts w:ascii="Arial" w:eastAsia="Times New Roman" w:hAnsi="Arial" w:cs="Arial"/>
                <w:color w:val="000000"/>
                <w:sz w:val="16"/>
                <w:szCs w:val="16"/>
              </w:rPr>
              <w:t>Intersegment revenue</w:t>
            </w:r>
          </w:p>
        </w:tc>
        <w:tc>
          <w:tcPr>
            <w:tcW w:w="0" w:type="auto"/>
            <w:gridSpan w:val="2"/>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6"/>
                <w:szCs w:val="16"/>
              </w:rPr>
              <w:t>567</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6"/>
                <w:szCs w:val="16"/>
              </w:rPr>
              <w:t>1</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6"/>
                <w:szCs w:val="16"/>
              </w:rPr>
              <w:t>19</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6"/>
                <w:szCs w:val="16"/>
              </w:rPr>
              <w:t>(1)</w:t>
            </w:r>
          </w:p>
        </w:tc>
        <w:tc>
          <w:tcPr>
            <w:tcW w:w="0" w:type="auto"/>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6"/>
                <w:szCs w:val="16"/>
              </w:rPr>
              <w:t>44</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6"/>
                <w:szCs w:val="16"/>
              </w:rPr>
              <w:t>(630)</w:t>
            </w:r>
          </w:p>
        </w:tc>
        <w:tc>
          <w:tcPr>
            <w:tcW w:w="0" w:type="auto"/>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r>
      <w:tr w:rsidR="00000000">
        <w:trPr>
          <w:divId w:val="993796266"/>
          <w:jc w:val="center"/>
        </w:trPr>
        <w:tc>
          <w:tcPr>
            <w:tcW w:w="0" w:type="auto"/>
            <w:gridSpan w:val="3"/>
            <w:tcBorders>
              <w:top w:val="single" w:sz="4" w:space="0" w:color="000000"/>
              <w:bottom w:val="single" w:sz="8" w:space="0" w:color="000000"/>
            </w:tcBorders>
            <w:tcMar>
              <w:top w:w="30" w:type="dxa"/>
              <w:left w:w="20" w:type="dxa"/>
              <w:bottom w:w="30" w:type="dxa"/>
              <w:right w:w="20" w:type="dxa"/>
            </w:tcMar>
            <w:vAlign w:val="bottom"/>
            <w:hideMark/>
          </w:tcPr>
          <w:p w:rsidR="00000000" w:rsidRDefault="001F1FC8">
            <w:pPr>
              <w:rPr>
                <w:rFonts w:eastAsia="Times New Roman"/>
              </w:rPr>
            </w:pPr>
            <w:r>
              <w:rPr>
                <w:rFonts w:ascii="Arial" w:eastAsia="Times New Roman" w:hAnsi="Arial" w:cs="Arial"/>
                <w:color w:val="000000"/>
                <w:sz w:val="16"/>
                <w:szCs w:val="16"/>
              </w:rPr>
              <w:t>Total revenue</w:t>
            </w:r>
          </w:p>
        </w:tc>
        <w:tc>
          <w:tcPr>
            <w:tcW w:w="0" w:type="auto"/>
            <w:gridSpan w:val="2"/>
            <w:tcBorders>
              <w:top w:val="single" w:sz="4" w:space="0" w:color="000000"/>
              <w:bottom w:val="single" w:sz="8" w:space="0" w:color="000000"/>
            </w:tcBorders>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6"/>
                <w:szCs w:val="16"/>
              </w:rPr>
              <w:t>10,581</w:t>
            </w:r>
            <w:r>
              <w:rPr>
                <w:rFonts w:ascii="Arial" w:eastAsia="Times New Roman" w:hAnsi="Arial" w:cs="Arial"/>
                <w:color w:val="000000"/>
                <w:sz w:val="16"/>
                <w:szCs w:val="16"/>
              </w:rPr>
              <w:t> </w:t>
            </w:r>
          </w:p>
        </w:tc>
        <w:tc>
          <w:tcPr>
            <w:tcW w:w="0" w:type="auto"/>
            <w:tcBorders>
              <w:top w:val="single" w:sz="4" w:space="0" w:color="000000"/>
              <w:bottom w:val="single" w:sz="8" w:space="0" w:color="000000"/>
            </w:tcBorders>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Borders>
              <w:top w:val="single" w:sz="4" w:space="0" w:color="000000"/>
              <w:bottom w:val="single" w:sz="8" w:space="0" w:color="000000"/>
            </w:tcBorders>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6"/>
                <w:szCs w:val="16"/>
              </w:rPr>
              <w:t>4,711</w:t>
            </w:r>
            <w:r>
              <w:rPr>
                <w:rFonts w:ascii="Arial" w:eastAsia="Times New Roman" w:hAnsi="Arial" w:cs="Arial"/>
                <w:color w:val="000000"/>
                <w:sz w:val="16"/>
                <w:szCs w:val="16"/>
              </w:rPr>
              <w:t> </w:t>
            </w:r>
          </w:p>
        </w:tc>
        <w:tc>
          <w:tcPr>
            <w:tcW w:w="0" w:type="auto"/>
            <w:tcBorders>
              <w:top w:val="single" w:sz="4" w:space="0" w:color="000000"/>
              <w:bottom w:val="single" w:sz="8" w:space="0" w:color="000000"/>
            </w:tcBorders>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Borders>
              <w:top w:val="single" w:sz="4" w:space="0" w:color="000000"/>
              <w:bottom w:val="single" w:sz="8" w:space="0" w:color="000000"/>
            </w:tcBorders>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6"/>
                <w:szCs w:val="16"/>
              </w:rPr>
              <w:t>4,980</w:t>
            </w:r>
            <w:r>
              <w:rPr>
                <w:rFonts w:ascii="Arial" w:eastAsia="Times New Roman" w:hAnsi="Arial" w:cs="Arial"/>
                <w:color w:val="000000"/>
                <w:sz w:val="16"/>
                <w:szCs w:val="16"/>
              </w:rPr>
              <w:t> </w:t>
            </w:r>
          </w:p>
        </w:tc>
        <w:tc>
          <w:tcPr>
            <w:tcW w:w="0" w:type="auto"/>
            <w:tcBorders>
              <w:top w:val="single" w:sz="4" w:space="0" w:color="000000"/>
              <w:bottom w:val="single" w:sz="8" w:space="0" w:color="000000"/>
            </w:tcBorders>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Borders>
              <w:top w:val="single" w:sz="4" w:space="0" w:color="000000"/>
              <w:bottom w:val="single" w:sz="8" w:space="0" w:color="000000"/>
            </w:tcBorders>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6"/>
                <w:szCs w:val="16"/>
              </w:rPr>
              <w:t>512</w:t>
            </w:r>
            <w:r>
              <w:rPr>
                <w:rFonts w:ascii="Arial" w:eastAsia="Times New Roman" w:hAnsi="Arial" w:cs="Arial"/>
                <w:color w:val="000000"/>
                <w:sz w:val="16"/>
                <w:szCs w:val="16"/>
              </w:rPr>
              <w:t> </w:t>
            </w:r>
          </w:p>
        </w:tc>
        <w:tc>
          <w:tcPr>
            <w:tcW w:w="0" w:type="auto"/>
            <w:tcBorders>
              <w:top w:val="single" w:sz="4" w:space="0" w:color="000000"/>
              <w:bottom w:val="single" w:sz="8" w:space="0" w:color="000000"/>
            </w:tcBorders>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Borders>
              <w:top w:val="single" w:sz="4" w:space="0" w:color="000000"/>
              <w:bottom w:val="single" w:sz="8" w:space="0" w:color="000000"/>
            </w:tcBorders>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6"/>
                <w:szCs w:val="16"/>
              </w:rPr>
              <w:t>26,917</w:t>
            </w:r>
            <w:r>
              <w:rPr>
                <w:rFonts w:ascii="Arial" w:eastAsia="Times New Roman" w:hAnsi="Arial" w:cs="Arial"/>
                <w:color w:val="000000"/>
                <w:sz w:val="16"/>
                <w:szCs w:val="16"/>
              </w:rPr>
              <w:t> </w:t>
            </w:r>
          </w:p>
        </w:tc>
        <w:tc>
          <w:tcPr>
            <w:tcW w:w="0" w:type="auto"/>
            <w:tcBorders>
              <w:top w:val="single" w:sz="4" w:space="0" w:color="000000"/>
              <w:bottom w:val="single" w:sz="8" w:space="0" w:color="000000"/>
            </w:tcBorders>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Borders>
              <w:top w:val="single" w:sz="4" w:space="0" w:color="000000"/>
              <w:bottom w:val="single" w:sz="8" w:space="0" w:color="000000"/>
            </w:tcBorders>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6"/>
                <w:szCs w:val="16"/>
              </w:rPr>
              <w:t>(630)</w:t>
            </w:r>
          </w:p>
        </w:tc>
        <w:tc>
          <w:tcPr>
            <w:tcW w:w="0" w:type="auto"/>
            <w:tcBorders>
              <w:top w:val="single" w:sz="4" w:space="0" w:color="000000"/>
              <w:bottom w:val="single" w:sz="8" w:space="0" w:color="000000"/>
            </w:tcBorders>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Borders>
              <w:top w:val="single" w:sz="4" w:space="0" w:color="000000"/>
              <w:bottom w:val="single" w:sz="8" w:space="0" w:color="000000"/>
            </w:tcBorders>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6"/>
                <w:szCs w:val="16"/>
              </w:rPr>
              <w:t>47,071</w:t>
            </w:r>
            <w:r>
              <w:rPr>
                <w:rFonts w:ascii="Arial" w:eastAsia="Times New Roman" w:hAnsi="Arial" w:cs="Arial"/>
                <w:color w:val="000000"/>
                <w:sz w:val="16"/>
                <w:szCs w:val="16"/>
              </w:rPr>
              <w:t> </w:t>
            </w:r>
          </w:p>
        </w:tc>
        <w:tc>
          <w:tcPr>
            <w:tcW w:w="0" w:type="auto"/>
            <w:tcBorders>
              <w:top w:val="single" w:sz="4" w:space="0" w:color="000000"/>
              <w:bottom w:val="single" w:sz="8" w:space="0" w:color="000000"/>
            </w:tcBorders>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r>
    </w:tbl>
    <w:p w:rsidR="00000000" w:rsidRDefault="001F1FC8">
      <w:pPr>
        <w:ind w:hanging="360"/>
        <w:jc w:val="both"/>
        <w:rPr>
          <w:rFonts w:eastAsia="Times New Roman"/>
        </w:rPr>
      </w:pPr>
    </w:p>
    <w:p w:rsidR="00000000" w:rsidRDefault="001F1FC8">
      <w:pPr>
        <w:jc w:val="center"/>
        <w:divId w:val="897009593"/>
        <w:rPr>
          <w:rFonts w:eastAsia="Times New Roman"/>
        </w:rPr>
      </w:pPr>
      <w:r>
        <w:rPr>
          <w:rFonts w:ascii="Arial" w:eastAsia="Times New Roman" w:hAnsi="Arial" w:cs="Arial"/>
          <w:color w:val="000000"/>
          <w:sz w:val="20"/>
          <w:szCs w:val="20"/>
        </w:rPr>
        <w:t>116</w:t>
      </w:r>
    </w:p>
    <w:p w:rsidR="00000000" w:rsidRDefault="001F1FC8">
      <w:pPr>
        <w:rPr>
          <w:rFonts w:eastAsia="Times New Roman"/>
        </w:rPr>
      </w:pPr>
      <w:r>
        <w:rPr>
          <w:rFonts w:eastAsia="Times New Roman"/>
        </w:rPr>
        <w:pict>
          <v:rect id="_x0000_i1146" style="width:0;height:1.5pt" o:hralign="center" o:hrstd="t" o:hr="t" fillcolor="#a0a0a0" stroked="f"/>
        </w:pict>
      </w:r>
    </w:p>
    <w:p w:rsidR="00000000" w:rsidRDefault="001F1FC8">
      <w:pPr>
        <w:jc w:val="center"/>
        <w:divId w:val="1214195339"/>
        <w:rPr>
          <w:rFonts w:eastAsia="Times New Roman"/>
        </w:rPr>
      </w:pPr>
    </w:p>
    <w:tbl>
      <w:tblPr>
        <w:tblW w:w="5000" w:type="pct"/>
        <w:jc w:val="center"/>
        <w:tblCellMar>
          <w:top w:w="15" w:type="dxa"/>
          <w:left w:w="15" w:type="dxa"/>
          <w:bottom w:w="15" w:type="dxa"/>
          <w:right w:w="15" w:type="dxa"/>
        </w:tblCellMar>
        <w:tblLook w:val="04A0" w:firstRow="1" w:lastRow="0" w:firstColumn="1" w:lastColumn="0" w:noHBand="0" w:noVBand="1"/>
      </w:tblPr>
      <w:tblGrid>
        <w:gridCol w:w="41"/>
        <w:gridCol w:w="2134"/>
        <w:gridCol w:w="38"/>
        <w:gridCol w:w="83"/>
        <w:gridCol w:w="599"/>
        <w:gridCol w:w="36"/>
        <w:gridCol w:w="83"/>
        <w:gridCol w:w="901"/>
        <w:gridCol w:w="36"/>
        <w:gridCol w:w="84"/>
        <w:gridCol w:w="749"/>
        <w:gridCol w:w="36"/>
        <w:gridCol w:w="73"/>
        <w:gridCol w:w="761"/>
        <w:gridCol w:w="36"/>
        <w:gridCol w:w="78"/>
        <w:gridCol w:w="569"/>
        <w:gridCol w:w="36"/>
        <w:gridCol w:w="85"/>
        <w:gridCol w:w="810"/>
        <w:gridCol w:w="36"/>
        <w:gridCol w:w="86"/>
        <w:gridCol w:w="880"/>
        <w:gridCol w:w="36"/>
      </w:tblGrid>
      <w:tr w:rsidR="00000000">
        <w:trPr>
          <w:divId w:val="893270648"/>
          <w:jc w:val="center"/>
        </w:trPr>
        <w:tc>
          <w:tcPr>
            <w:tcW w:w="50" w:type="pct"/>
            <w:vAlign w:val="center"/>
            <w:hideMark/>
          </w:tcPr>
          <w:p w:rsidR="00000000" w:rsidRDefault="001F1FC8">
            <w:pPr>
              <w:jc w:val="center"/>
              <w:rPr>
                <w:rFonts w:eastAsia="Times New Roman"/>
              </w:rPr>
            </w:pPr>
          </w:p>
        </w:tc>
        <w:tc>
          <w:tcPr>
            <w:tcW w:w="1313"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c>
          <w:tcPr>
            <w:tcW w:w="50" w:type="pct"/>
            <w:vAlign w:val="center"/>
            <w:hideMark/>
          </w:tcPr>
          <w:p w:rsidR="00000000" w:rsidRDefault="001F1FC8">
            <w:pPr>
              <w:rPr>
                <w:rFonts w:eastAsia="Times New Roman"/>
                <w:sz w:val="20"/>
                <w:szCs w:val="20"/>
              </w:rPr>
            </w:pPr>
          </w:p>
        </w:tc>
        <w:tc>
          <w:tcPr>
            <w:tcW w:w="361"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c>
          <w:tcPr>
            <w:tcW w:w="50" w:type="pct"/>
            <w:vAlign w:val="center"/>
            <w:hideMark/>
          </w:tcPr>
          <w:p w:rsidR="00000000" w:rsidRDefault="001F1FC8">
            <w:pPr>
              <w:rPr>
                <w:rFonts w:eastAsia="Times New Roman"/>
                <w:sz w:val="20"/>
                <w:szCs w:val="20"/>
              </w:rPr>
            </w:pPr>
          </w:p>
        </w:tc>
        <w:tc>
          <w:tcPr>
            <w:tcW w:w="545"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c>
          <w:tcPr>
            <w:tcW w:w="50" w:type="pct"/>
            <w:vAlign w:val="center"/>
            <w:hideMark/>
          </w:tcPr>
          <w:p w:rsidR="00000000" w:rsidRDefault="001F1FC8">
            <w:pPr>
              <w:rPr>
                <w:rFonts w:eastAsia="Times New Roman"/>
                <w:sz w:val="20"/>
                <w:szCs w:val="20"/>
              </w:rPr>
            </w:pPr>
          </w:p>
        </w:tc>
        <w:tc>
          <w:tcPr>
            <w:tcW w:w="449"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c>
          <w:tcPr>
            <w:tcW w:w="50" w:type="pct"/>
            <w:vAlign w:val="center"/>
            <w:hideMark/>
          </w:tcPr>
          <w:p w:rsidR="00000000" w:rsidRDefault="001F1FC8">
            <w:pPr>
              <w:rPr>
                <w:rFonts w:eastAsia="Times New Roman"/>
                <w:sz w:val="20"/>
                <w:szCs w:val="20"/>
              </w:rPr>
            </w:pPr>
          </w:p>
        </w:tc>
        <w:tc>
          <w:tcPr>
            <w:tcW w:w="529"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c>
          <w:tcPr>
            <w:tcW w:w="50" w:type="pct"/>
            <w:vAlign w:val="center"/>
            <w:hideMark/>
          </w:tcPr>
          <w:p w:rsidR="00000000" w:rsidRDefault="001F1FC8">
            <w:pPr>
              <w:rPr>
                <w:rFonts w:eastAsia="Times New Roman"/>
                <w:sz w:val="20"/>
                <w:szCs w:val="20"/>
              </w:rPr>
            </w:pPr>
          </w:p>
        </w:tc>
        <w:tc>
          <w:tcPr>
            <w:tcW w:w="369"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c>
          <w:tcPr>
            <w:tcW w:w="50" w:type="pct"/>
            <w:vAlign w:val="center"/>
            <w:hideMark/>
          </w:tcPr>
          <w:p w:rsidR="00000000" w:rsidRDefault="001F1FC8">
            <w:pPr>
              <w:rPr>
                <w:rFonts w:eastAsia="Times New Roman"/>
                <w:sz w:val="20"/>
                <w:szCs w:val="20"/>
              </w:rPr>
            </w:pPr>
          </w:p>
        </w:tc>
        <w:tc>
          <w:tcPr>
            <w:tcW w:w="481"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c>
          <w:tcPr>
            <w:tcW w:w="50" w:type="pct"/>
            <w:vAlign w:val="center"/>
            <w:hideMark/>
          </w:tcPr>
          <w:p w:rsidR="00000000" w:rsidRDefault="001F1FC8">
            <w:pPr>
              <w:rPr>
                <w:rFonts w:eastAsia="Times New Roman"/>
                <w:sz w:val="20"/>
                <w:szCs w:val="20"/>
              </w:rPr>
            </w:pPr>
          </w:p>
        </w:tc>
        <w:tc>
          <w:tcPr>
            <w:tcW w:w="513"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r>
      <w:tr w:rsidR="00000000">
        <w:trPr>
          <w:divId w:val="893270648"/>
          <w:trHeight w:val="400"/>
          <w:jc w:val="center"/>
        </w:trPr>
        <w:tc>
          <w:tcPr>
            <w:tcW w:w="0" w:type="auto"/>
            <w:gridSpan w:val="3"/>
            <w:tcMar>
              <w:top w:w="0" w:type="dxa"/>
              <w:left w:w="20" w:type="dxa"/>
              <w:bottom w:w="0" w:type="dxa"/>
              <w:right w:w="20" w:type="dxa"/>
            </w:tcMar>
            <w:vAlign w:val="center"/>
            <w:hideMark/>
          </w:tcPr>
          <w:p w:rsidR="00000000" w:rsidRDefault="001F1FC8">
            <w:pPr>
              <w:rPr>
                <w:rFonts w:eastAsia="Times New Roman"/>
                <w:sz w:val="20"/>
                <w:szCs w:val="20"/>
              </w:rPr>
            </w:pPr>
          </w:p>
        </w:tc>
        <w:tc>
          <w:tcPr>
            <w:tcW w:w="0" w:type="auto"/>
            <w:gridSpan w:val="3"/>
            <w:vMerge w:val="restart"/>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Liquids Pipelines</w:t>
            </w:r>
          </w:p>
        </w:tc>
        <w:tc>
          <w:tcPr>
            <w:tcW w:w="0" w:type="auto"/>
            <w:gridSpan w:val="3"/>
            <w:vMerge w:val="restart"/>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Gas Transmission and Midstream</w:t>
            </w:r>
          </w:p>
        </w:tc>
        <w:tc>
          <w:tcPr>
            <w:tcW w:w="0" w:type="auto"/>
            <w:gridSpan w:val="3"/>
            <w:vMerge w:val="restart"/>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Gas Distribution and Storage</w:t>
            </w:r>
          </w:p>
        </w:tc>
        <w:tc>
          <w:tcPr>
            <w:tcW w:w="0" w:type="auto"/>
            <w:gridSpan w:val="3"/>
            <w:vMerge w:val="restart"/>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Renewable Power Generation</w:t>
            </w:r>
          </w:p>
        </w:tc>
        <w:tc>
          <w:tcPr>
            <w:tcW w:w="0" w:type="auto"/>
            <w:gridSpan w:val="3"/>
            <w:vMerge w:val="restart"/>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Energy Services</w:t>
            </w:r>
          </w:p>
        </w:tc>
        <w:tc>
          <w:tcPr>
            <w:tcW w:w="0" w:type="auto"/>
            <w:gridSpan w:val="3"/>
            <w:vMerge w:val="restart"/>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Eliminations and Other</w:t>
            </w:r>
          </w:p>
        </w:tc>
        <w:tc>
          <w:tcPr>
            <w:tcW w:w="0" w:type="auto"/>
            <w:gridSpan w:val="3"/>
            <w:vMerge w:val="restart"/>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Consolidated</w:t>
            </w:r>
          </w:p>
        </w:tc>
      </w:tr>
      <w:tr w:rsidR="00000000">
        <w:trPr>
          <w:divId w:val="893270648"/>
          <w:trHeight w:val="400"/>
          <w:jc w:val="center"/>
        </w:trPr>
        <w:tc>
          <w:tcPr>
            <w:tcW w:w="0" w:type="auto"/>
            <w:gridSpan w:val="3"/>
            <w:tcMar>
              <w:top w:w="30" w:type="dxa"/>
              <w:left w:w="20" w:type="dxa"/>
              <w:bottom w:w="30" w:type="dxa"/>
              <w:right w:w="20" w:type="dxa"/>
            </w:tcMar>
            <w:vAlign w:val="bottom"/>
            <w:hideMark/>
          </w:tcPr>
          <w:p w:rsidR="00000000" w:rsidRDefault="001F1FC8">
            <w:pPr>
              <w:rPr>
                <w:rFonts w:eastAsia="Times New Roman"/>
              </w:rPr>
            </w:pPr>
            <w:r>
              <w:rPr>
                <w:rFonts w:ascii="Arial" w:eastAsia="Times New Roman" w:hAnsi="Arial" w:cs="Arial"/>
                <w:color w:val="000000"/>
                <w:sz w:val="16"/>
                <w:szCs w:val="16"/>
              </w:rPr>
              <w:t>Year ended December 31, 2020</w:t>
            </w:r>
          </w:p>
        </w:tc>
        <w:tc>
          <w:tcPr>
            <w:tcW w:w="0" w:type="auto"/>
            <w:gridSpan w:val="3"/>
            <w:vMerge/>
            <w:vAlign w:val="center"/>
            <w:hideMark/>
          </w:tcPr>
          <w:p w:rsidR="00000000" w:rsidRDefault="001F1FC8">
            <w:pPr>
              <w:rPr>
                <w:rFonts w:eastAsia="Times New Roman"/>
              </w:rPr>
            </w:pPr>
          </w:p>
        </w:tc>
        <w:tc>
          <w:tcPr>
            <w:tcW w:w="0" w:type="auto"/>
            <w:gridSpan w:val="3"/>
            <w:vMerge/>
            <w:vAlign w:val="center"/>
            <w:hideMark/>
          </w:tcPr>
          <w:p w:rsidR="00000000" w:rsidRDefault="001F1FC8">
            <w:pPr>
              <w:rPr>
                <w:rFonts w:eastAsia="Times New Roman"/>
              </w:rPr>
            </w:pPr>
          </w:p>
        </w:tc>
        <w:tc>
          <w:tcPr>
            <w:tcW w:w="0" w:type="auto"/>
            <w:gridSpan w:val="3"/>
            <w:vMerge/>
            <w:vAlign w:val="center"/>
            <w:hideMark/>
          </w:tcPr>
          <w:p w:rsidR="00000000" w:rsidRDefault="001F1FC8">
            <w:pPr>
              <w:rPr>
                <w:rFonts w:eastAsia="Times New Roman"/>
              </w:rPr>
            </w:pPr>
          </w:p>
        </w:tc>
        <w:tc>
          <w:tcPr>
            <w:tcW w:w="0" w:type="auto"/>
            <w:gridSpan w:val="3"/>
            <w:vMerge/>
            <w:vAlign w:val="center"/>
            <w:hideMark/>
          </w:tcPr>
          <w:p w:rsidR="00000000" w:rsidRDefault="001F1FC8">
            <w:pPr>
              <w:rPr>
                <w:rFonts w:eastAsia="Times New Roman"/>
              </w:rPr>
            </w:pPr>
          </w:p>
        </w:tc>
        <w:tc>
          <w:tcPr>
            <w:tcW w:w="0" w:type="auto"/>
            <w:gridSpan w:val="3"/>
            <w:vMerge/>
            <w:vAlign w:val="center"/>
            <w:hideMark/>
          </w:tcPr>
          <w:p w:rsidR="00000000" w:rsidRDefault="001F1FC8">
            <w:pPr>
              <w:rPr>
                <w:rFonts w:eastAsia="Times New Roman"/>
              </w:rPr>
            </w:pPr>
          </w:p>
        </w:tc>
        <w:tc>
          <w:tcPr>
            <w:tcW w:w="0" w:type="auto"/>
            <w:gridSpan w:val="3"/>
            <w:vMerge/>
            <w:vAlign w:val="center"/>
            <w:hideMark/>
          </w:tcPr>
          <w:p w:rsidR="00000000" w:rsidRDefault="001F1FC8">
            <w:pPr>
              <w:rPr>
                <w:rFonts w:eastAsia="Times New Roman"/>
              </w:rPr>
            </w:pPr>
          </w:p>
        </w:tc>
        <w:tc>
          <w:tcPr>
            <w:tcW w:w="0" w:type="auto"/>
            <w:gridSpan w:val="3"/>
            <w:vMerge/>
            <w:vAlign w:val="center"/>
            <w:hideMark/>
          </w:tcPr>
          <w:p w:rsidR="00000000" w:rsidRDefault="001F1FC8">
            <w:pPr>
              <w:rPr>
                <w:rFonts w:eastAsia="Times New Roman"/>
              </w:rPr>
            </w:pPr>
          </w:p>
        </w:tc>
      </w:tr>
      <w:tr w:rsidR="00000000">
        <w:trPr>
          <w:divId w:val="893270648"/>
          <w:jc w:val="center"/>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1F1FC8">
            <w:pPr>
              <w:rPr>
                <w:rFonts w:eastAsia="Times New Roman"/>
              </w:rPr>
            </w:pPr>
            <w:r>
              <w:rPr>
                <w:rFonts w:ascii="Arial" w:eastAsia="Times New Roman" w:hAnsi="Arial" w:cs="Arial"/>
                <w:i/>
                <w:iCs/>
                <w:color w:val="000000"/>
                <w:sz w:val="16"/>
                <w:szCs w:val="16"/>
              </w:rPr>
              <w:t>(millions of Canadian dollars)</w:t>
            </w: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 </w:t>
            </w: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1F1FC8">
            <w:pPr>
              <w:rPr>
                <w:rFonts w:eastAsia="Times New Roman"/>
              </w:rPr>
            </w:pPr>
            <w:r>
              <w:rPr>
                <w:rFonts w:ascii="Arial" w:eastAsia="Times New Roman" w:hAnsi="Arial" w:cs="Arial"/>
                <w:color w:val="000000"/>
                <w:sz w:val="16"/>
                <w:szCs w:val="16"/>
              </w:rPr>
              <w:t> </w:t>
            </w: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 </w:t>
            </w: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 </w:t>
            </w: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 </w:t>
            </w: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 </w:t>
            </w: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 </w:t>
            </w:r>
          </w:p>
        </w:tc>
      </w:tr>
      <w:tr w:rsidR="00000000">
        <w:trPr>
          <w:divId w:val="893270648"/>
          <w:jc w:val="center"/>
        </w:trPr>
        <w:tc>
          <w:tcPr>
            <w:tcW w:w="0" w:type="auto"/>
            <w:gridSpan w:val="3"/>
            <w:tcMar>
              <w:top w:w="30" w:type="dxa"/>
              <w:left w:w="20" w:type="dxa"/>
              <w:bottom w:w="30" w:type="dxa"/>
              <w:right w:w="20" w:type="dxa"/>
            </w:tcMar>
            <w:vAlign w:val="center"/>
            <w:hideMark/>
          </w:tcPr>
          <w:p w:rsidR="00000000" w:rsidRDefault="001F1FC8">
            <w:pPr>
              <w:rPr>
                <w:rFonts w:eastAsia="Times New Roman"/>
              </w:rPr>
            </w:pPr>
            <w:r>
              <w:rPr>
                <w:rFonts w:ascii="Arial" w:eastAsia="Times New Roman" w:hAnsi="Arial" w:cs="Arial"/>
                <w:color w:val="000000"/>
                <w:sz w:val="16"/>
                <w:szCs w:val="16"/>
              </w:rPr>
              <w:t>Transportation revenue</w:t>
            </w: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9,161 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4,523 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674 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14,358 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r>
      <w:tr w:rsidR="00000000">
        <w:trPr>
          <w:divId w:val="893270648"/>
          <w:jc w:val="center"/>
        </w:trPr>
        <w:tc>
          <w:tcPr>
            <w:tcW w:w="0" w:type="auto"/>
            <w:gridSpan w:val="3"/>
            <w:tcMar>
              <w:top w:w="30" w:type="dxa"/>
              <w:left w:w="20" w:type="dxa"/>
              <w:bottom w:w="30" w:type="dxa"/>
              <w:right w:w="20" w:type="dxa"/>
            </w:tcMar>
            <w:vAlign w:val="center"/>
            <w:hideMark/>
          </w:tcPr>
          <w:p w:rsidR="00000000" w:rsidRDefault="001F1FC8">
            <w:pPr>
              <w:rPr>
                <w:rFonts w:eastAsia="Times New Roman"/>
              </w:rPr>
            </w:pPr>
            <w:r>
              <w:rPr>
                <w:rFonts w:ascii="Arial" w:eastAsia="Times New Roman" w:hAnsi="Arial" w:cs="Arial"/>
                <w:color w:val="000000"/>
                <w:sz w:val="16"/>
                <w:szCs w:val="16"/>
              </w:rPr>
              <w:t>Storage and other revenue</w:t>
            </w: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94 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274 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203 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571 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r>
      <w:tr w:rsidR="00000000">
        <w:trPr>
          <w:divId w:val="893270648"/>
          <w:jc w:val="center"/>
        </w:trPr>
        <w:tc>
          <w:tcPr>
            <w:tcW w:w="0" w:type="auto"/>
            <w:gridSpan w:val="3"/>
            <w:tcMar>
              <w:top w:w="30" w:type="dxa"/>
              <w:left w:w="20" w:type="dxa"/>
              <w:bottom w:w="30" w:type="dxa"/>
              <w:right w:w="20" w:type="dxa"/>
            </w:tcMar>
            <w:vAlign w:val="center"/>
            <w:hideMark/>
          </w:tcPr>
          <w:p w:rsidR="00000000" w:rsidRDefault="001F1FC8">
            <w:pPr>
              <w:ind w:hanging="180"/>
              <w:divId w:val="970743269"/>
              <w:rPr>
                <w:rFonts w:eastAsia="Times New Roman"/>
              </w:rPr>
            </w:pPr>
            <w:r>
              <w:rPr>
                <w:rFonts w:ascii="Arial" w:eastAsia="Times New Roman" w:hAnsi="Arial" w:cs="Arial"/>
                <w:color w:val="000000"/>
                <w:sz w:val="16"/>
                <w:szCs w:val="16"/>
              </w:rPr>
              <w:t>Gas gathering and processing revenue</w:t>
            </w: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27 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27 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r>
      <w:tr w:rsidR="00000000">
        <w:trPr>
          <w:divId w:val="893270648"/>
          <w:jc w:val="center"/>
        </w:trPr>
        <w:tc>
          <w:tcPr>
            <w:tcW w:w="0" w:type="auto"/>
            <w:gridSpan w:val="3"/>
            <w:tcMar>
              <w:top w:w="30" w:type="dxa"/>
              <w:left w:w="20" w:type="dxa"/>
              <w:bottom w:w="30" w:type="dxa"/>
              <w:right w:w="20" w:type="dxa"/>
            </w:tcMar>
            <w:vAlign w:val="center"/>
            <w:hideMark/>
          </w:tcPr>
          <w:p w:rsidR="00000000" w:rsidRDefault="001F1FC8">
            <w:pPr>
              <w:rPr>
                <w:rFonts w:eastAsia="Times New Roman"/>
              </w:rPr>
            </w:pPr>
            <w:r>
              <w:rPr>
                <w:rFonts w:ascii="Arial" w:eastAsia="Times New Roman" w:hAnsi="Arial" w:cs="Arial"/>
                <w:color w:val="000000"/>
                <w:sz w:val="16"/>
                <w:szCs w:val="16"/>
              </w:rPr>
              <w:t>Gas distribution revenue</w:t>
            </w: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3,663 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3,663 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r>
      <w:tr w:rsidR="00000000">
        <w:trPr>
          <w:divId w:val="893270648"/>
          <w:jc w:val="center"/>
        </w:trPr>
        <w:tc>
          <w:tcPr>
            <w:tcW w:w="0" w:type="auto"/>
            <w:gridSpan w:val="3"/>
            <w:tcMar>
              <w:top w:w="30" w:type="dxa"/>
              <w:left w:w="200" w:type="dxa"/>
              <w:bottom w:w="30" w:type="dxa"/>
              <w:right w:w="20" w:type="dxa"/>
            </w:tcMar>
            <w:vAlign w:val="center"/>
            <w:hideMark/>
          </w:tcPr>
          <w:p w:rsidR="00000000" w:rsidRDefault="001F1FC8">
            <w:pPr>
              <w:ind w:hanging="180"/>
              <w:rPr>
                <w:rFonts w:eastAsia="Times New Roman"/>
              </w:rPr>
            </w:pPr>
            <w:r>
              <w:rPr>
                <w:rFonts w:ascii="Arial" w:eastAsia="Times New Roman" w:hAnsi="Arial" w:cs="Arial"/>
                <w:color w:val="000000"/>
                <w:sz w:val="16"/>
                <w:szCs w:val="16"/>
              </w:rPr>
              <w:t>Electricity and transmission revenue</w:t>
            </w:r>
          </w:p>
        </w:tc>
        <w:tc>
          <w:tcPr>
            <w:tcW w:w="0" w:type="auto"/>
            <w:gridSpan w:val="2"/>
            <w:shd w:val="clear" w:color="auto" w:fill="FFFFFF"/>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198 </w:t>
            </w:r>
          </w:p>
        </w:tc>
        <w:tc>
          <w:tcPr>
            <w:tcW w:w="0" w:type="auto"/>
            <w:shd w:val="clear" w:color="auto" w:fill="FFFFFF"/>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198 </w:t>
            </w:r>
          </w:p>
        </w:tc>
        <w:tc>
          <w:tcPr>
            <w:tcW w:w="0" w:type="auto"/>
            <w:shd w:val="clear" w:color="auto" w:fill="FFFFFF"/>
            <w:tcMar>
              <w:top w:w="30" w:type="dxa"/>
              <w:left w:w="0" w:type="dxa"/>
              <w:bottom w:w="30" w:type="dxa"/>
              <w:right w:w="20" w:type="dxa"/>
            </w:tcMar>
            <w:vAlign w:val="bottom"/>
            <w:hideMark/>
          </w:tcPr>
          <w:p w:rsidR="00000000" w:rsidRDefault="001F1FC8">
            <w:pPr>
              <w:jc w:val="right"/>
              <w:rPr>
                <w:rFonts w:eastAsia="Times New Roman"/>
              </w:rPr>
            </w:pPr>
          </w:p>
        </w:tc>
      </w:tr>
      <w:tr w:rsidR="00000000">
        <w:trPr>
          <w:divId w:val="893270648"/>
          <w:jc w:val="center"/>
        </w:trPr>
        <w:tc>
          <w:tcPr>
            <w:tcW w:w="0" w:type="auto"/>
            <w:gridSpan w:val="3"/>
            <w:vAlign w:val="center"/>
            <w:hideMark/>
          </w:tcPr>
          <w:p w:rsidR="00000000" w:rsidRDefault="001F1FC8">
            <w:pPr>
              <w:jc w:val="right"/>
              <w:rPr>
                <w:rFonts w:eastAsia="Times New Roman"/>
                <w:sz w:val="20"/>
                <w:szCs w:val="20"/>
              </w:rPr>
            </w:pPr>
          </w:p>
        </w:tc>
        <w:tc>
          <w:tcPr>
            <w:tcW w:w="0" w:type="auto"/>
            <w:gridSpan w:val="3"/>
            <w:vAlign w:val="center"/>
            <w:hideMark/>
          </w:tcPr>
          <w:p w:rsidR="00000000" w:rsidRDefault="001F1FC8">
            <w:pPr>
              <w:rPr>
                <w:rFonts w:eastAsia="Times New Roman"/>
                <w:sz w:val="20"/>
                <w:szCs w:val="20"/>
              </w:rPr>
            </w:pPr>
          </w:p>
        </w:tc>
        <w:tc>
          <w:tcPr>
            <w:tcW w:w="0" w:type="auto"/>
            <w:gridSpan w:val="3"/>
            <w:vAlign w:val="center"/>
            <w:hideMark/>
          </w:tcPr>
          <w:p w:rsidR="00000000" w:rsidRDefault="001F1FC8">
            <w:pPr>
              <w:rPr>
                <w:rFonts w:eastAsia="Times New Roman"/>
                <w:sz w:val="20"/>
                <w:szCs w:val="20"/>
              </w:rPr>
            </w:pPr>
          </w:p>
        </w:tc>
        <w:tc>
          <w:tcPr>
            <w:tcW w:w="0" w:type="auto"/>
            <w:gridSpan w:val="3"/>
            <w:vAlign w:val="center"/>
            <w:hideMark/>
          </w:tcPr>
          <w:p w:rsidR="00000000" w:rsidRDefault="001F1FC8">
            <w:pPr>
              <w:rPr>
                <w:rFonts w:eastAsia="Times New Roman"/>
                <w:sz w:val="20"/>
                <w:szCs w:val="20"/>
              </w:rPr>
            </w:pPr>
          </w:p>
        </w:tc>
        <w:tc>
          <w:tcPr>
            <w:tcW w:w="0" w:type="auto"/>
            <w:gridSpan w:val="3"/>
            <w:vAlign w:val="center"/>
            <w:hideMark/>
          </w:tcPr>
          <w:p w:rsidR="00000000" w:rsidRDefault="001F1FC8">
            <w:pPr>
              <w:rPr>
                <w:rFonts w:eastAsia="Times New Roman"/>
                <w:sz w:val="20"/>
                <w:szCs w:val="20"/>
              </w:rPr>
            </w:pPr>
          </w:p>
        </w:tc>
        <w:tc>
          <w:tcPr>
            <w:tcW w:w="0" w:type="auto"/>
            <w:gridSpan w:val="3"/>
            <w:vAlign w:val="center"/>
            <w:hideMark/>
          </w:tcPr>
          <w:p w:rsidR="00000000" w:rsidRDefault="001F1FC8">
            <w:pPr>
              <w:rPr>
                <w:rFonts w:eastAsia="Times New Roman"/>
                <w:sz w:val="20"/>
                <w:szCs w:val="20"/>
              </w:rPr>
            </w:pPr>
          </w:p>
        </w:tc>
        <w:tc>
          <w:tcPr>
            <w:tcW w:w="0" w:type="auto"/>
            <w:gridSpan w:val="3"/>
            <w:vAlign w:val="center"/>
            <w:hideMark/>
          </w:tcPr>
          <w:p w:rsidR="00000000" w:rsidRDefault="001F1FC8">
            <w:pPr>
              <w:rPr>
                <w:rFonts w:eastAsia="Times New Roman"/>
                <w:sz w:val="20"/>
                <w:szCs w:val="20"/>
              </w:rPr>
            </w:pPr>
          </w:p>
        </w:tc>
        <w:tc>
          <w:tcPr>
            <w:tcW w:w="0" w:type="auto"/>
            <w:gridSpan w:val="3"/>
            <w:vAlign w:val="center"/>
            <w:hideMark/>
          </w:tcPr>
          <w:p w:rsidR="00000000" w:rsidRDefault="001F1FC8">
            <w:pPr>
              <w:rPr>
                <w:rFonts w:eastAsia="Times New Roman"/>
                <w:sz w:val="20"/>
                <w:szCs w:val="20"/>
              </w:rPr>
            </w:pPr>
          </w:p>
        </w:tc>
      </w:tr>
      <w:tr w:rsidR="00000000">
        <w:trPr>
          <w:divId w:val="893270648"/>
          <w:jc w:val="center"/>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1F1FC8">
            <w:pPr>
              <w:ind w:hanging="180"/>
              <w:divId w:val="951866833"/>
              <w:rPr>
                <w:rFonts w:eastAsia="Times New Roman"/>
              </w:rPr>
            </w:pPr>
            <w:r>
              <w:rPr>
                <w:rFonts w:ascii="Arial" w:eastAsia="Times New Roman" w:hAnsi="Arial" w:cs="Arial"/>
                <w:color w:val="000000"/>
                <w:sz w:val="16"/>
                <w:szCs w:val="16"/>
              </w:rPr>
              <w:t>Total revenue from contracts with customers</w:t>
            </w:r>
          </w:p>
        </w:tc>
        <w:tc>
          <w:tcPr>
            <w:tcW w:w="0" w:type="auto"/>
            <w:gridSpan w:val="2"/>
            <w:tcBorders>
              <w:top w:val="single" w:sz="4" w:space="0" w:color="000000"/>
            </w:tcBorders>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9,255 </w:t>
            </w:r>
          </w:p>
        </w:tc>
        <w:tc>
          <w:tcPr>
            <w:tcW w:w="0" w:type="auto"/>
            <w:tcBorders>
              <w:top w:val="single" w:sz="4" w:space="0" w:color="000000"/>
            </w:tcBorders>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4,824 </w:t>
            </w:r>
          </w:p>
        </w:tc>
        <w:tc>
          <w:tcPr>
            <w:tcW w:w="0" w:type="auto"/>
            <w:tcBorders>
              <w:top w:val="single" w:sz="4" w:space="0" w:color="000000"/>
            </w:tcBorders>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4,540 </w:t>
            </w:r>
          </w:p>
        </w:tc>
        <w:tc>
          <w:tcPr>
            <w:tcW w:w="0" w:type="auto"/>
            <w:tcBorders>
              <w:top w:val="single" w:sz="4" w:space="0" w:color="000000"/>
            </w:tcBorders>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198 </w:t>
            </w:r>
          </w:p>
        </w:tc>
        <w:tc>
          <w:tcPr>
            <w:tcW w:w="0" w:type="auto"/>
            <w:tcBorders>
              <w:top w:val="single" w:sz="4" w:space="0" w:color="000000"/>
            </w:tcBorders>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 </w:t>
            </w:r>
          </w:p>
        </w:tc>
        <w:tc>
          <w:tcPr>
            <w:tcW w:w="0" w:type="auto"/>
            <w:tcBorders>
              <w:top w:val="single" w:sz="4" w:space="0" w:color="000000"/>
            </w:tcBorders>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 </w:t>
            </w:r>
          </w:p>
        </w:tc>
        <w:tc>
          <w:tcPr>
            <w:tcW w:w="0" w:type="auto"/>
            <w:tcBorders>
              <w:top w:val="single" w:sz="4" w:space="0" w:color="000000"/>
            </w:tcBorders>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18,817 </w:t>
            </w:r>
          </w:p>
        </w:tc>
        <w:tc>
          <w:tcPr>
            <w:tcW w:w="0" w:type="auto"/>
            <w:tcBorders>
              <w:top w:val="single" w:sz="4" w:space="0" w:color="000000"/>
            </w:tcBorders>
            <w:tcMar>
              <w:top w:w="30" w:type="dxa"/>
              <w:left w:w="0" w:type="dxa"/>
              <w:bottom w:w="30" w:type="dxa"/>
              <w:right w:w="20" w:type="dxa"/>
            </w:tcMar>
            <w:vAlign w:val="bottom"/>
            <w:hideMark/>
          </w:tcPr>
          <w:p w:rsidR="00000000" w:rsidRDefault="001F1FC8">
            <w:pPr>
              <w:jc w:val="right"/>
              <w:rPr>
                <w:rFonts w:eastAsia="Times New Roman"/>
              </w:rPr>
            </w:pPr>
          </w:p>
        </w:tc>
      </w:tr>
      <w:tr w:rsidR="00000000">
        <w:trPr>
          <w:divId w:val="893270648"/>
          <w:jc w:val="center"/>
        </w:trPr>
        <w:tc>
          <w:tcPr>
            <w:tcW w:w="0" w:type="auto"/>
            <w:gridSpan w:val="3"/>
            <w:tcMar>
              <w:top w:w="30" w:type="dxa"/>
              <w:left w:w="20" w:type="dxa"/>
              <w:bottom w:w="30" w:type="dxa"/>
              <w:right w:w="20" w:type="dxa"/>
            </w:tcMar>
            <w:vAlign w:val="center"/>
            <w:hideMark/>
          </w:tcPr>
          <w:p w:rsidR="00000000" w:rsidRDefault="001F1FC8">
            <w:pPr>
              <w:rPr>
                <w:rFonts w:eastAsia="Times New Roman"/>
              </w:rPr>
            </w:pPr>
            <w:r>
              <w:rPr>
                <w:rFonts w:ascii="Arial" w:eastAsia="Times New Roman" w:hAnsi="Arial" w:cs="Arial"/>
                <w:color w:val="000000"/>
                <w:sz w:val="16"/>
                <w:szCs w:val="16"/>
              </w:rPr>
              <w:t>Commodity sales</w:t>
            </w: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19,259 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19,259 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r>
      <w:tr w:rsidR="00000000">
        <w:trPr>
          <w:divId w:val="893270648"/>
          <w:jc w:val="center"/>
        </w:trPr>
        <w:tc>
          <w:tcPr>
            <w:tcW w:w="0" w:type="auto"/>
            <w:gridSpan w:val="3"/>
            <w:tcMar>
              <w:top w:w="30" w:type="dxa"/>
              <w:left w:w="20" w:type="dxa"/>
              <w:bottom w:w="30" w:type="dxa"/>
              <w:right w:w="20" w:type="dxa"/>
            </w:tcMar>
            <w:vAlign w:val="center"/>
            <w:hideMark/>
          </w:tcPr>
          <w:p w:rsidR="00000000" w:rsidRDefault="001F1FC8">
            <w:pPr>
              <w:divId w:val="1306548423"/>
              <w:rPr>
                <w:rFonts w:eastAsia="Times New Roman"/>
              </w:rPr>
            </w:pPr>
            <w:r>
              <w:rPr>
                <w:rFonts w:ascii="Arial" w:eastAsia="Times New Roman" w:hAnsi="Arial" w:cs="Arial"/>
                <w:color w:val="000000"/>
                <w:sz w:val="16"/>
                <w:szCs w:val="16"/>
              </w:rPr>
              <w:t>Other revenu</w:t>
            </w:r>
            <w:r>
              <w:rPr>
                <w:rFonts w:ascii="Arial" w:eastAsia="Times New Roman" w:hAnsi="Arial" w:cs="Arial"/>
                <w:color w:val="000000"/>
                <w:sz w:val="16"/>
                <w:szCs w:val="16"/>
              </w:rPr>
              <w:t>e</w:t>
            </w:r>
            <w:r>
              <w:rPr>
                <w:rFonts w:ascii="Arial" w:eastAsia="Times New Roman" w:hAnsi="Arial" w:cs="Arial"/>
                <w:color w:val="000000"/>
                <w:sz w:val="10"/>
                <w:szCs w:val="10"/>
              </w:rPr>
              <w:t>1,</w:t>
            </w:r>
            <w:r>
              <w:rPr>
                <w:rFonts w:ascii="Arial" w:eastAsia="Times New Roman" w:hAnsi="Arial" w:cs="Arial"/>
                <w:color w:val="000000"/>
                <w:sz w:val="10"/>
                <w:szCs w:val="10"/>
              </w:rPr>
              <w:t>2</w:t>
            </w: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584 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44 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17 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389 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(23)</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1,011 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r>
      <w:tr w:rsidR="00000000">
        <w:trPr>
          <w:divId w:val="893270648"/>
          <w:jc w:val="center"/>
        </w:trPr>
        <w:tc>
          <w:tcPr>
            <w:tcW w:w="0" w:type="auto"/>
            <w:gridSpan w:val="3"/>
            <w:tcMar>
              <w:top w:w="30" w:type="dxa"/>
              <w:left w:w="20" w:type="dxa"/>
              <w:bottom w:w="30" w:type="dxa"/>
              <w:right w:w="20" w:type="dxa"/>
            </w:tcMar>
            <w:vAlign w:val="center"/>
            <w:hideMark/>
          </w:tcPr>
          <w:p w:rsidR="00000000" w:rsidRDefault="001F1FC8">
            <w:pPr>
              <w:rPr>
                <w:rFonts w:eastAsia="Times New Roman"/>
              </w:rPr>
            </w:pPr>
            <w:r>
              <w:rPr>
                <w:rFonts w:ascii="Arial" w:eastAsia="Times New Roman" w:hAnsi="Arial" w:cs="Arial"/>
                <w:color w:val="000000"/>
                <w:sz w:val="16"/>
                <w:szCs w:val="16"/>
              </w:rPr>
              <w:t>Intersegment revenue</w:t>
            </w: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584 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2 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12 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24 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(622)</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r>
      <w:tr w:rsidR="00000000">
        <w:trPr>
          <w:divId w:val="893270648"/>
          <w:jc w:val="center"/>
        </w:trPr>
        <w:tc>
          <w:tcPr>
            <w:tcW w:w="0" w:type="auto"/>
            <w:gridSpan w:val="3"/>
            <w:tcBorders>
              <w:top w:val="single" w:sz="4" w:space="0" w:color="000000"/>
              <w:bottom w:val="single" w:sz="8" w:space="0" w:color="000000"/>
            </w:tcBorders>
            <w:tcMar>
              <w:top w:w="30" w:type="dxa"/>
              <w:left w:w="20" w:type="dxa"/>
              <w:bottom w:w="30" w:type="dxa"/>
              <w:right w:w="20" w:type="dxa"/>
            </w:tcMar>
            <w:vAlign w:val="bottom"/>
            <w:hideMark/>
          </w:tcPr>
          <w:p w:rsidR="00000000" w:rsidRDefault="001F1FC8">
            <w:pPr>
              <w:rPr>
                <w:rFonts w:eastAsia="Times New Roman"/>
              </w:rPr>
            </w:pPr>
            <w:r>
              <w:rPr>
                <w:rFonts w:ascii="Arial" w:eastAsia="Times New Roman" w:hAnsi="Arial" w:cs="Arial"/>
                <w:color w:val="000000"/>
                <w:sz w:val="16"/>
                <w:szCs w:val="16"/>
              </w:rPr>
              <w:t>Total revenue</w:t>
            </w:r>
          </w:p>
        </w:tc>
        <w:tc>
          <w:tcPr>
            <w:tcW w:w="0" w:type="auto"/>
            <w:gridSpan w:val="2"/>
            <w:tcBorders>
              <w:top w:val="single" w:sz="4" w:space="0" w:color="000000"/>
              <w:bottom w:val="single" w:sz="8" w:space="0" w:color="000000"/>
            </w:tcBorders>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10,423 </w:t>
            </w:r>
          </w:p>
        </w:tc>
        <w:tc>
          <w:tcPr>
            <w:tcW w:w="0" w:type="auto"/>
            <w:tcBorders>
              <w:top w:val="single" w:sz="4" w:space="0" w:color="000000"/>
              <w:bottom w:val="single" w:sz="8" w:space="0" w:color="000000"/>
            </w:tcBorders>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Borders>
              <w:top w:val="single" w:sz="4" w:space="0" w:color="000000"/>
              <w:bottom w:val="single" w:sz="8" w:space="0" w:color="000000"/>
            </w:tcBorders>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4,870 </w:t>
            </w:r>
          </w:p>
        </w:tc>
        <w:tc>
          <w:tcPr>
            <w:tcW w:w="0" w:type="auto"/>
            <w:tcBorders>
              <w:top w:val="single" w:sz="4" w:space="0" w:color="000000"/>
              <w:bottom w:val="single" w:sz="8" w:space="0" w:color="000000"/>
            </w:tcBorders>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Borders>
              <w:top w:val="single" w:sz="4" w:space="0" w:color="000000"/>
              <w:bottom w:val="single" w:sz="8" w:space="0" w:color="000000"/>
            </w:tcBorders>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4,569 </w:t>
            </w:r>
          </w:p>
        </w:tc>
        <w:tc>
          <w:tcPr>
            <w:tcW w:w="0" w:type="auto"/>
            <w:tcBorders>
              <w:top w:val="single" w:sz="4" w:space="0" w:color="000000"/>
              <w:bottom w:val="single" w:sz="8" w:space="0" w:color="000000"/>
            </w:tcBorders>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Borders>
              <w:top w:val="single" w:sz="4" w:space="0" w:color="000000"/>
              <w:bottom w:val="single" w:sz="8" w:space="0" w:color="000000"/>
            </w:tcBorders>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587 </w:t>
            </w:r>
          </w:p>
        </w:tc>
        <w:tc>
          <w:tcPr>
            <w:tcW w:w="0" w:type="auto"/>
            <w:tcBorders>
              <w:top w:val="single" w:sz="4" w:space="0" w:color="000000"/>
              <w:bottom w:val="single" w:sz="8" w:space="0" w:color="000000"/>
            </w:tcBorders>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Borders>
              <w:top w:val="single" w:sz="4" w:space="0" w:color="000000"/>
              <w:bottom w:val="single" w:sz="8" w:space="0" w:color="000000"/>
            </w:tcBorders>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19,283 </w:t>
            </w:r>
          </w:p>
        </w:tc>
        <w:tc>
          <w:tcPr>
            <w:tcW w:w="0" w:type="auto"/>
            <w:tcBorders>
              <w:top w:val="single" w:sz="4" w:space="0" w:color="000000"/>
              <w:bottom w:val="single" w:sz="8" w:space="0" w:color="000000"/>
            </w:tcBorders>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Borders>
              <w:top w:val="single" w:sz="4" w:space="0" w:color="000000"/>
              <w:bottom w:val="single" w:sz="8" w:space="0" w:color="000000"/>
            </w:tcBorders>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(645)</w:t>
            </w:r>
          </w:p>
        </w:tc>
        <w:tc>
          <w:tcPr>
            <w:tcW w:w="0" w:type="auto"/>
            <w:tcBorders>
              <w:top w:val="single" w:sz="4" w:space="0" w:color="000000"/>
              <w:bottom w:val="single" w:sz="8" w:space="0" w:color="000000"/>
            </w:tcBorders>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Borders>
              <w:top w:val="single" w:sz="4" w:space="0" w:color="000000"/>
              <w:bottom w:val="single" w:sz="8" w:space="0" w:color="000000"/>
            </w:tcBorders>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39,087 </w:t>
            </w:r>
          </w:p>
        </w:tc>
        <w:tc>
          <w:tcPr>
            <w:tcW w:w="0" w:type="auto"/>
            <w:tcBorders>
              <w:top w:val="single" w:sz="4" w:space="0" w:color="000000"/>
              <w:bottom w:val="single" w:sz="8" w:space="0" w:color="000000"/>
            </w:tcBorders>
            <w:tcMar>
              <w:top w:w="30" w:type="dxa"/>
              <w:left w:w="0" w:type="dxa"/>
              <w:bottom w:w="30" w:type="dxa"/>
              <w:right w:w="20" w:type="dxa"/>
            </w:tcMar>
            <w:vAlign w:val="bottom"/>
            <w:hideMark/>
          </w:tcPr>
          <w:p w:rsidR="00000000" w:rsidRDefault="001F1FC8">
            <w:pPr>
              <w:jc w:val="right"/>
              <w:rPr>
                <w:rFonts w:eastAsia="Times New Roman"/>
              </w:rPr>
            </w:pPr>
          </w:p>
        </w:tc>
      </w:tr>
    </w:tbl>
    <w:p w:rsidR="00000000" w:rsidRDefault="001F1FC8">
      <w:pPr>
        <w:divId w:val="378433851"/>
        <w:rPr>
          <w:rFonts w:eastAsia="Times New Roman"/>
        </w:rPr>
      </w:pPr>
    </w:p>
    <w:tbl>
      <w:tblPr>
        <w:tblW w:w="5000" w:type="pct"/>
        <w:jc w:val="right"/>
        <w:tblCellMar>
          <w:top w:w="15" w:type="dxa"/>
          <w:left w:w="15" w:type="dxa"/>
          <w:bottom w:w="15" w:type="dxa"/>
          <w:right w:w="15" w:type="dxa"/>
        </w:tblCellMar>
        <w:tblLook w:val="04A0" w:firstRow="1" w:lastRow="0" w:firstColumn="1" w:lastColumn="0" w:noHBand="0" w:noVBand="1"/>
      </w:tblPr>
      <w:tblGrid>
        <w:gridCol w:w="42"/>
        <w:gridCol w:w="2134"/>
        <w:gridCol w:w="37"/>
        <w:gridCol w:w="83"/>
        <w:gridCol w:w="599"/>
        <w:gridCol w:w="36"/>
        <w:gridCol w:w="83"/>
        <w:gridCol w:w="901"/>
        <w:gridCol w:w="36"/>
        <w:gridCol w:w="84"/>
        <w:gridCol w:w="749"/>
        <w:gridCol w:w="36"/>
        <w:gridCol w:w="73"/>
        <w:gridCol w:w="761"/>
        <w:gridCol w:w="36"/>
        <w:gridCol w:w="78"/>
        <w:gridCol w:w="569"/>
        <w:gridCol w:w="36"/>
        <w:gridCol w:w="85"/>
        <w:gridCol w:w="810"/>
        <w:gridCol w:w="36"/>
        <w:gridCol w:w="86"/>
        <w:gridCol w:w="880"/>
        <w:gridCol w:w="36"/>
      </w:tblGrid>
      <w:tr w:rsidR="00000000">
        <w:trPr>
          <w:divId w:val="535895949"/>
          <w:jc w:val="right"/>
        </w:trPr>
        <w:tc>
          <w:tcPr>
            <w:tcW w:w="50" w:type="pct"/>
            <w:vAlign w:val="center"/>
            <w:hideMark/>
          </w:tcPr>
          <w:p w:rsidR="00000000" w:rsidRDefault="001F1FC8">
            <w:pPr>
              <w:rPr>
                <w:rFonts w:eastAsia="Times New Roman"/>
              </w:rPr>
            </w:pPr>
          </w:p>
        </w:tc>
        <w:tc>
          <w:tcPr>
            <w:tcW w:w="1307"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c>
          <w:tcPr>
            <w:tcW w:w="50" w:type="pct"/>
            <w:vAlign w:val="center"/>
            <w:hideMark/>
          </w:tcPr>
          <w:p w:rsidR="00000000" w:rsidRDefault="001F1FC8">
            <w:pPr>
              <w:rPr>
                <w:rFonts w:eastAsia="Times New Roman"/>
                <w:sz w:val="20"/>
                <w:szCs w:val="20"/>
              </w:rPr>
            </w:pPr>
          </w:p>
        </w:tc>
        <w:tc>
          <w:tcPr>
            <w:tcW w:w="361"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c>
          <w:tcPr>
            <w:tcW w:w="50" w:type="pct"/>
            <w:vAlign w:val="center"/>
            <w:hideMark/>
          </w:tcPr>
          <w:p w:rsidR="00000000" w:rsidRDefault="001F1FC8">
            <w:pPr>
              <w:rPr>
                <w:rFonts w:eastAsia="Times New Roman"/>
                <w:sz w:val="20"/>
                <w:szCs w:val="20"/>
              </w:rPr>
            </w:pPr>
          </w:p>
        </w:tc>
        <w:tc>
          <w:tcPr>
            <w:tcW w:w="545"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c>
          <w:tcPr>
            <w:tcW w:w="50" w:type="pct"/>
            <w:vAlign w:val="center"/>
            <w:hideMark/>
          </w:tcPr>
          <w:p w:rsidR="00000000" w:rsidRDefault="001F1FC8">
            <w:pPr>
              <w:rPr>
                <w:rFonts w:eastAsia="Times New Roman"/>
                <w:sz w:val="20"/>
                <w:szCs w:val="20"/>
              </w:rPr>
            </w:pPr>
          </w:p>
        </w:tc>
        <w:tc>
          <w:tcPr>
            <w:tcW w:w="449"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c>
          <w:tcPr>
            <w:tcW w:w="50" w:type="pct"/>
            <w:vAlign w:val="center"/>
            <w:hideMark/>
          </w:tcPr>
          <w:p w:rsidR="00000000" w:rsidRDefault="001F1FC8">
            <w:pPr>
              <w:rPr>
                <w:rFonts w:eastAsia="Times New Roman"/>
                <w:sz w:val="20"/>
                <w:szCs w:val="20"/>
              </w:rPr>
            </w:pPr>
          </w:p>
        </w:tc>
        <w:tc>
          <w:tcPr>
            <w:tcW w:w="529"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c>
          <w:tcPr>
            <w:tcW w:w="50" w:type="pct"/>
            <w:vAlign w:val="center"/>
            <w:hideMark/>
          </w:tcPr>
          <w:p w:rsidR="00000000" w:rsidRDefault="001F1FC8">
            <w:pPr>
              <w:rPr>
                <w:rFonts w:eastAsia="Times New Roman"/>
                <w:sz w:val="20"/>
                <w:szCs w:val="20"/>
              </w:rPr>
            </w:pPr>
          </w:p>
        </w:tc>
        <w:tc>
          <w:tcPr>
            <w:tcW w:w="369"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c>
          <w:tcPr>
            <w:tcW w:w="50" w:type="pct"/>
            <w:vAlign w:val="center"/>
            <w:hideMark/>
          </w:tcPr>
          <w:p w:rsidR="00000000" w:rsidRDefault="001F1FC8">
            <w:pPr>
              <w:rPr>
                <w:rFonts w:eastAsia="Times New Roman"/>
                <w:sz w:val="20"/>
                <w:szCs w:val="20"/>
              </w:rPr>
            </w:pPr>
          </w:p>
        </w:tc>
        <w:tc>
          <w:tcPr>
            <w:tcW w:w="481"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c>
          <w:tcPr>
            <w:tcW w:w="50" w:type="pct"/>
            <w:vAlign w:val="center"/>
            <w:hideMark/>
          </w:tcPr>
          <w:p w:rsidR="00000000" w:rsidRDefault="001F1FC8">
            <w:pPr>
              <w:rPr>
                <w:rFonts w:eastAsia="Times New Roman"/>
                <w:sz w:val="20"/>
                <w:szCs w:val="20"/>
              </w:rPr>
            </w:pPr>
          </w:p>
        </w:tc>
        <w:tc>
          <w:tcPr>
            <w:tcW w:w="514"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r>
      <w:tr w:rsidR="00000000">
        <w:trPr>
          <w:divId w:val="535895949"/>
          <w:trHeight w:val="400"/>
          <w:jc w:val="right"/>
        </w:trPr>
        <w:tc>
          <w:tcPr>
            <w:tcW w:w="0" w:type="auto"/>
            <w:gridSpan w:val="3"/>
            <w:tcMar>
              <w:top w:w="0" w:type="dxa"/>
              <w:left w:w="20" w:type="dxa"/>
              <w:bottom w:w="0" w:type="dxa"/>
              <w:right w:w="20" w:type="dxa"/>
            </w:tcMar>
            <w:vAlign w:val="center"/>
            <w:hideMark/>
          </w:tcPr>
          <w:p w:rsidR="00000000" w:rsidRDefault="001F1FC8">
            <w:pPr>
              <w:rPr>
                <w:rFonts w:eastAsia="Times New Roman"/>
                <w:sz w:val="20"/>
                <w:szCs w:val="20"/>
              </w:rPr>
            </w:pPr>
          </w:p>
        </w:tc>
        <w:tc>
          <w:tcPr>
            <w:tcW w:w="0" w:type="auto"/>
            <w:gridSpan w:val="3"/>
            <w:vMerge w:val="restart"/>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Liquids Pipelines</w:t>
            </w:r>
          </w:p>
        </w:tc>
        <w:tc>
          <w:tcPr>
            <w:tcW w:w="0" w:type="auto"/>
            <w:gridSpan w:val="3"/>
            <w:vMerge w:val="restart"/>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Gas Transmission and Midstream</w:t>
            </w:r>
          </w:p>
        </w:tc>
        <w:tc>
          <w:tcPr>
            <w:tcW w:w="0" w:type="auto"/>
            <w:gridSpan w:val="3"/>
            <w:vMerge w:val="restart"/>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Gas Distribution and Storage</w:t>
            </w:r>
          </w:p>
        </w:tc>
        <w:tc>
          <w:tcPr>
            <w:tcW w:w="0" w:type="auto"/>
            <w:gridSpan w:val="3"/>
            <w:vMerge w:val="restart"/>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Renewable Power Generation</w:t>
            </w:r>
          </w:p>
        </w:tc>
        <w:tc>
          <w:tcPr>
            <w:tcW w:w="0" w:type="auto"/>
            <w:gridSpan w:val="3"/>
            <w:vMerge w:val="restart"/>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Energy Services</w:t>
            </w:r>
          </w:p>
        </w:tc>
        <w:tc>
          <w:tcPr>
            <w:tcW w:w="0" w:type="auto"/>
            <w:gridSpan w:val="3"/>
            <w:vMerge w:val="restart"/>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Eliminations and Other</w:t>
            </w:r>
          </w:p>
        </w:tc>
        <w:tc>
          <w:tcPr>
            <w:tcW w:w="0" w:type="auto"/>
            <w:gridSpan w:val="3"/>
            <w:vMerge w:val="restart"/>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Consolidated</w:t>
            </w:r>
          </w:p>
        </w:tc>
      </w:tr>
      <w:tr w:rsidR="00000000">
        <w:trPr>
          <w:divId w:val="535895949"/>
          <w:trHeight w:val="400"/>
          <w:jc w:val="right"/>
        </w:trPr>
        <w:tc>
          <w:tcPr>
            <w:tcW w:w="0" w:type="auto"/>
            <w:gridSpan w:val="3"/>
            <w:tcMar>
              <w:top w:w="30" w:type="dxa"/>
              <w:left w:w="20" w:type="dxa"/>
              <w:bottom w:w="30" w:type="dxa"/>
              <w:right w:w="20" w:type="dxa"/>
            </w:tcMar>
            <w:vAlign w:val="bottom"/>
            <w:hideMark/>
          </w:tcPr>
          <w:p w:rsidR="00000000" w:rsidRDefault="001F1FC8">
            <w:pPr>
              <w:rPr>
                <w:rFonts w:eastAsia="Times New Roman"/>
              </w:rPr>
            </w:pPr>
            <w:r>
              <w:rPr>
                <w:rFonts w:ascii="Arial" w:eastAsia="Times New Roman" w:hAnsi="Arial" w:cs="Arial"/>
                <w:color w:val="000000"/>
                <w:sz w:val="16"/>
                <w:szCs w:val="16"/>
              </w:rPr>
              <w:t>Year ended December 31, 2019</w:t>
            </w:r>
          </w:p>
        </w:tc>
        <w:tc>
          <w:tcPr>
            <w:tcW w:w="0" w:type="auto"/>
            <w:gridSpan w:val="3"/>
            <w:vMerge/>
            <w:vAlign w:val="center"/>
            <w:hideMark/>
          </w:tcPr>
          <w:p w:rsidR="00000000" w:rsidRDefault="001F1FC8">
            <w:pPr>
              <w:rPr>
                <w:rFonts w:eastAsia="Times New Roman"/>
              </w:rPr>
            </w:pPr>
          </w:p>
        </w:tc>
        <w:tc>
          <w:tcPr>
            <w:tcW w:w="0" w:type="auto"/>
            <w:gridSpan w:val="3"/>
            <w:vMerge/>
            <w:vAlign w:val="center"/>
            <w:hideMark/>
          </w:tcPr>
          <w:p w:rsidR="00000000" w:rsidRDefault="001F1FC8">
            <w:pPr>
              <w:rPr>
                <w:rFonts w:eastAsia="Times New Roman"/>
              </w:rPr>
            </w:pPr>
          </w:p>
        </w:tc>
        <w:tc>
          <w:tcPr>
            <w:tcW w:w="0" w:type="auto"/>
            <w:gridSpan w:val="3"/>
            <w:vMerge/>
            <w:vAlign w:val="center"/>
            <w:hideMark/>
          </w:tcPr>
          <w:p w:rsidR="00000000" w:rsidRDefault="001F1FC8">
            <w:pPr>
              <w:rPr>
                <w:rFonts w:eastAsia="Times New Roman"/>
              </w:rPr>
            </w:pPr>
          </w:p>
        </w:tc>
        <w:tc>
          <w:tcPr>
            <w:tcW w:w="0" w:type="auto"/>
            <w:gridSpan w:val="3"/>
            <w:vMerge/>
            <w:vAlign w:val="center"/>
            <w:hideMark/>
          </w:tcPr>
          <w:p w:rsidR="00000000" w:rsidRDefault="001F1FC8">
            <w:pPr>
              <w:rPr>
                <w:rFonts w:eastAsia="Times New Roman"/>
              </w:rPr>
            </w:pPr>
          </w:p>
        </w:tc>
        <w:tc>
          <w:tcPr>
            <w:tcW w:w="0" w:type="auto"/>
            <w:gridSpan w:val="3"/>
            <w:vMerge/>
            <w:vAlign w:val="center"/>
            <w:hideMark/>
          </w:tcPr>
          <w:p w:rsidR="00000000" w:rsidRDefault="001F1FC8">
            <w:pPr>
              <w:rPr>
                <w:rFonts w:eastAsia="Times New Roman"/>
              </w:rPr>
            </w:pPr>
          </w:p>
        </w:tc>
        <w:tc>
          <w:tcPr>
            <w:tcW w:w="0" w:type="auto"/>
            <w:gridSpan w:val="3"/>
            <w:vMerge/>
            <w:vAlign w:val="center"/>
            <w:hideMark/>
          </w:tcPr>
          <w:p w:rsidR="00000000" w:rsidRDefault="001F1FC8">
            <w:pPr>
              <w:rPr>
                <w:rFonts w:eastAsia="Times New Roman"/>
              </w:rPr>
            </w:pPr>
          </w:p>
        </w:tc>
        <w:tc>
          <w:tcPr>
            <w:tcW w:w="0" w:type="auto"/>
            <w:gridSpan w:val="3"/>
            <w:vMerge/>
            <w:vAlign w:val="center"/>
            <w:hideMark/>
          </w:tcPr>
          <w:p w:rsidR="00000000" w:rsidRDefault="001F1FC8">
            <w:pPr>
              <w:rPr>
                <w:rFonts w:eastAsia="Times New Roman"/>
              </w:rPr>
            </w:pPr>
          </w:p>
        </w:tc>
      </w:tr>
      <w:tr w:rsidR="00000000">
        <w:trPr>
          <w:divId w:val="535895949"/>
          <w:jc w:val="right"/>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1F1FC8">
            <w:pPr>
              <w:rPr>
                <w:rFonts w:eastAsia="Times New Roman"/>
              </w:rPr>
            </w:pPr>
            <w:r>
              <w:rPr>
                <w:rFonts w:ascii="Arial" w:eastAsia="Times New Roman" w:hAnsi="Arial" w:cs="Arial"/>
                <w:i/>
                <w:iCs/>
                <w:color w:val="000000"/>
                <w:sz w:val="16"/>
                <w:szCs w:val="16"/>
              </w:rPr>
              <w:t>(millions of Canadian dollars)</w:t>
            </w: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 </w:t>
            </w: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1F1FC8">
            <w:pPr>
              <w:rPr>
                <w:rFonts w:eastAsia="Times New Roman"/>
              </w:rPr>
            </w:pPr>
            <w:r>
              <w:rPr>
                <w:rFonts w:ascii="Arial" w:eastAsia="Times New Roman" w:hAnsi="Arial" w:cs="Arial"/>
                <w:color w:val="000000"/>
                <w:sz w:val="16"/>
                <w:szCs w:val="16"/>
              </w:rPr>
              <w:t> </w:t>
            </w: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 </w:t>
            </w: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 </w:t>
            </w: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 </w:t>
            </w: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 </w:t>
            </w: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 </w:t>
            </w:r>
          </w:p>
        </w:tc>
      </w:tr>
      <w:tr w:rsidR="00000000">
        <w:trPr>
          <w:divId w:val="535895949"/>
          <w:jc w:val="right"/>
        </w:trPr>
        <w:tc>
          <w:tcPr>
            <w:tcW w:w="0" w:type="auto"/>
            <w:gridSpan w:val="3"/>
            <w:tcMar>
              <w:top w:w="30" w:type="dxa"/>
              <w:left w:w="20" w:type="dxa"/>
              <w:bottom w:w="30" w:type="dxa"/>
              <w:right w:w="20" w:type="dxa"/>
            </w:tcMar>
            <w:vAlign w:val="center"/>
            <w:hideMark/>
          </w:tcPr>
          <w:p w:rsidR="00000000" w:rsidRDefault="001F1FC8">
            <w:pPr>
              <w:rPr>
                <w:rFonts w:eastAsia="Times New Roman"/>
              </w:rPr>
            </w:pPr>
            <w:r>
              <w:rPr>
                <w:rFonts w:ascii="Arial" w:eastAsia="Times New Roman" w:hAnsi="Arial" w:cs="Arial"/>
                <w:color w:val="000000"/>
                <w:sz w:val="16"/>
                <w:szCs w:val="16"/>
              </w:rPr>
              <w:t>Transportation revenue</w:t>
            </w: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9,082 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4,477 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743 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14,302 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r>
      <w:tr w:rsidR="00000000">
        <w:trPr>
          <w:divId w:val="535895949"/>
          <w:jc w:val="right"/>
        </w:trPr>
        <w:tc>
          <w:tcPr>
            <w:tcW w:w="0" w:type="auto"/>
            <w:gridSpan w:val="3"/>
            <w:tcMar>
              <w:top w:w="30" w:type="dxa"/>
              <w:left w:w="20" w:type="dxa"/>
              <w:bottom w:w="30" w:type="dxa"/>
              <w:right w:w="20" w:type="dxa"/>
            </w:tcMar>
            <w:vAlign w:val="center"/>
            <w:hideMark/>
          </w:tcPr>
          <w:p w:rsidR="00000000" w:rsidRDefault="001F1FC8">
            <w:pPr>
              <w:rPr>
                <w:rFonts w:eastAsia="Times New Roman"/>
              </w:rPr>
            </w:pPr>
            <w:r>
              <w:rPr>
                <w:rFonts w:ascii="Arial" w:eastAsia="Times New Roman" w:hAnsi="Arial" w:cs="Arial"/>
                <w:color w:val="000000"/>
                <w:sz w:val="16"/>
                <w:szCs w:val="16"/>
              </w:rPr>
              <w:t>Storage and other revenue</w:t>
            </w: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109 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268 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201 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578 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r>
      <w:tr w:rsidR="00000000">
        <w:trPr>
          <w:divId w:val="535895949"/>
          <w:jc w:val="right"/>
        </w:trPr>
        <w:tc>
          <w:tcPr>
            <w:tcW w:w="0" w:type="auto"/>
            <w:gridSpan w:val="3"/>
            <w:tcMar>
              <w:top w:w="30" w:type="dxa"/>
              <w:left w:w="20" w:type="dxa"/>
              <w:bottom w:w="30" w:type="dxa"/>
              <w:right w:w="20" w:type="dxa"/>
            </w:tcMar>
            <w:vAlign w:val="center"/>
            <w:hideMark/>
          </w:tcPr>
          <w:p w:rsidR="00000000" w:rsidRDefault="001F1FC8">
            <w:pPr>
              <w:ind w:hanging="180"/>
              <w:divId w:val="39985068"/>
              <w:rPr>
                <w:rFonts w:eastAsia="Times New Roman"/>
              </w:rPr>
            </w:pPr>
            <w:r>
              <w:rPr>
                <w:rFonts w:ascii="Arial" w:eastAsia="Times New Roman" w:hAnsi="Arial" w:cs="Arial"/>
                <w:color w:val="000000"/>
                <w:sz w:val="16"/>
                <w:szCs w:val="16"/>
              </w:rPr>
              <w:t>Gas gathering and processing revenue</w:t>
            </w: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423 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423 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r>
      <w:tr w:rsidR="00000000">
        <w:trPr>
          <w:divId w:val="535895949"/>
          <w:jc w:val="right"/>
        </w:trPr>
        <w:tc>
          <w:tcPr>
            <w:tcW w:w="0" w:type="auto"/>
            <w:gridSpan w:val="3"/>
            <w:tcMar>
              <w:top w:w="30" w:type="dxa"/>
              <w:left w:w="20" w:type="dxa"/>
              <w:bottom w:w="30" w:type="dxa"/>
              <w:right w:w="20" w:type="dxa"/>
            </w:tcMar>
            <w:vAlign w:val="center"/>
            <w:hideMark/>
          </w:tcPr>
          <w:p w:rsidR="00000000" w:rsidRDefault="001F1FC8">
            <w:pPr>
              <w:rPr>
                <w:rFonts w:eastAsia="Times New Roman"/>
              </w:rPr>
            </w:pPr>
            <w:r>
              <w:rPr>
                <w:rFonts w:ascii="Arial" w:eastAsia="Times New Roman" w:hAnsi="Arial" w:cs="Arial"/>
                <w:color w:val="000000"/>
                <w:sz w:val="16"/>
                <w:szCs w:val="16"/>
              </w:rPr>
              <w:t>Gas distribution revenue</w:t>
            </w: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4,210 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4,210 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r>
      <w:tr w:rsidR="00000000">
        <w:trPr>
          <w:divId w:val="535895949"/>
          <w:jc w:val="right"/>
        </w:trPr>
        <w:tc>
          <w:tcPr>
            <w:tcW w:w="0" w:type="auto"/>
            <w:gridSpan w:val="3"/>
            <w:tcMar>
              <w:top w:w="30" w:type="dxa"/>
              <w:left w:w="20" w:type="dxa"/>
              <w:bottom w:w="30" w:type="dxa"/>
              <w:right w:w="20" w:type="dxa"/>
            </w:tcMar>
            <w:vAlign w:val="center"/>
            <w:hideMark/>
          </w:tcPr>
          <w:p w:rsidR="00000000" w:rsidRDefault="001F1FC8">
            <w:pPr>
              <w:ind w:hanging="180"/>
              <w:divId w:val="345059731"/>
              <w:rPr>
                <w:rFonts w:eastAsia="Times New Roman"/>
              </w:rPr>
            </w:pPr>
            <w:r>
              <w:rPr>
                <w:rFonts w:ascii="Arial" w:eastAsia="Times New Roman" w:hAnsi="Arial" w:cs="Arial"/>
                <w:color w:val="000000"/>
                <w:sz w:val="16"/>
                <w:szCs w:val="16"/>
              </w:rPr>
              <w:t>Electricity and transmission revenue</w:t>
            </w: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180 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180 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r>
      <w:tr w:rsidR="00000000">
        <w:trPr>
          <w:divId w:val="535895949"/>
          <w:jc w:val="right"/>
        </w:trPr>
        <w:tc>
          <w:tcPr>
            <w:tcW w:w="0" w:type="auto"/>
            <w:gridSpan w:val="3"/>
            <w:tcMar>
              <w:top w:w="30" w:type="dxa"/>
              <w:left w:w="20" w:type="dxa"/>
              <w:bottom w:w="30" w:type="dxa"/>
              <w:right w:w="20" w:type="dxa"/>
            </w:tcMar>
            <w:vAlign w:val="center"/>
            <w:hideMark/>
          </w:tcPr>
          <w:p w:rsidR="00000000" w:rsidRDefault="001F1FC8">
            <w:pPr>
              <w:rPr>
                <w:rFonts w:eastAsia="Times New Roman"/>
              </w:rPr>
            </w:pPr>
            <w:r>
              <w:rPr>
                <w:rFonts w:ascii="Arial" w:eastAsia="Times New Roman" w:hAnsi="Arial" w:cs="Arial"/>
                <w:color w:val="000000"/>
                <w:sz w:val="16"/>
                <w:szCs w:val="16"/>
              </w:rPr>
              <w:t>Commodity sales</w:t>
            </w: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4 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4 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r>
      <w:tr w:rsidR="00000000">
        <w:trPr>
          <w:divId w:val="535895949"/>
          <w:jc w:val="right"/>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1F1FC8">
            <w:pPr>
              <w:ind w:hanging="180"/>
              <w:divId w:val="1949389619"/>
              <w:rPr>
                <w:rFonts w:eastAsia="Times New Roman"/>
              </w:rPr>
            </w:pPr>
            <w:r>
              <w:rPr>
                <w:rFonts w:ascii="Arial" w:eastAsia="Times New Roman" w:hAnsi="Arial" w:cs="Arial"/>
                <w:color w:val="000000"/>
                <w:sz w:val="16"/>
                <w:szCs w:val="16"/>
              </w:rPr>
              <w:t>Total revenue from contracts with customers</w:t>
            </w:r>
          </w:p>
        </w:tc>
        <w:tc>
          <w:tcPr>
            <w:tcW w:w="0" w:type="auto"/>
            <w:gridSpan w:val="2"/>
            <w:tcBorders>
              <w:top w:val="single" w:sz="4" w:space="0" w:color="000000"/>
            </w:tcBorders>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9,191 </w:t>
            </w:r>
          </w:p>
        </w:tc>
        <w:tc>
          <w:tcPr>
            <w:tcW w:w="0" w:type="auto"/>
            <w:tcBorders>
              <w:top w:val="single" w:sz="4" w:space="0" w:color="000000"/>
            </w:tcBorders>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5,172 </w:t>
            </w:r>
          </w:p>
        </w:tc>
        <w:tc>
          <w:tcPr>
            <w:tcW w:w="0" w:type="auto"/>
            <w:tcBorders>
              <w:top w:val="single" w:sz="4" w:space="0" w:color="000000"/>
            </w:tcBorders>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5,154 </w:t>
            </w:r>
          </w:p>
        </w:tc>
        <w:tc>
          <w:tcPr>
            <w:tcW w:w="0" w:type="auto"/>
            <w:tcBorders>
              <w:top w:val="single" w:sz="4" w:space="0" w:color="000000"/>
            </w:tcBorders>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180 </w:t>
            </w:r>
          </w:p>
        </w:tc>
        <w:tc>
          <w:tcPr>
            <w:tcW w:w="0" w:type="auto"/>
            <w:tcBorders>
              <w:top w:val="single" w:sz="4" w:space="0" w:color="000000"/>
            </w:tcBorders>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 </w:t>
            </w:r>
          </w:p>
        </w:tc>
        <w:tc>
          <w:tcPr>
            <w:tcW w:w="0" w:type="auto"/>
            <w:tcBorders>
              <w:top w:val="single" w:sz="4" w:space="0" w:color="000000"/>
            </w:tcBorders>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 </w:t>
            </w:r>
          </w:p>
        </w:tc>
        <w:tc>
          <w:tcPr>
            <w:tcW w:w="0" w:type="auto"/>
            <w:tcBorders>
              <w:top w:val="single" w:sz="4" w:space="0" w:color="000000"/>
            </w:tcBorders>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19,697 </w:t>
            </w:r>
          </w:p>
        </w:tc>
        <w:tc>
          <w:tcPr>
            <w:tcW w:w="0" w:type="auto"/>
            <w:tcBorders>
              <w:top w:val="single" w:sz="4" w:space="0" w:color="000000"/>
            </w:tcBorders>
            <w:tcMar>
              <w:top w:w="30" w:type="dxa"/>
              <w:left w:w="0" w:type="dxa"/>
              <w:bottom w:w="30" w:type="dxa"/>
              <w:right w:w="20" w:type="dxa"/>
            </w:tcMar>
            <w:vAlign w:val="bottom"/>
            <w:hideMark/>
          </w:tcPr>
          <w:p w:rsidR="00000000" w:rsidRDefault="001F1FC8">
            <w:pPr>
              <w:jc w:val="right"/>
              <w:rPr>
                <w:rFonts w:eastAsia="Times New Roman"/>
              </w:rPr>
            </w:pPr>
          </w:p>
        </w:tc>
      </w:tr>
      <w:tr w:rsidR="00000000">
        <w:trPr>
          <w:divId w:val="535895949"/>
          <w:jc w:val="right"/>
        </w:trPr>
        <w:tc>
          <w:tcPr>
            <w:tcW w:w="0" w:type="auto"/>
            <w:gridSpan w:val="3"/>
            <w:tcMar>
              <w:top w:w="30" w:type="dxa"/>
              <w:left w:w="20" w:type="dxa"/>
              <w:bottom w:w="30" w:type="dxa"/>
              <w:right w:w="20" w:type="dxa"/>
            </w:tcMar>
            <w:vAlign w:val="center"/>
            <w:hideMark/>
          </w:tcPr>
          <w:p w:rsidR="00000000" w:rsidRDefault="001F1FC8">
            <w:pPr>
              <w:rPr>
                <w:rFonts w:eastAsia="Times New Roman"/>
              </w:rPr>
            </w:pPr>
            <w:r>
              <w:rPr>
                <w:rFonts w:ascii="Arial" w:eastAsia="Times New Roman" w:hAnsi="Arial" w:cs="Arial"/>
                <w:color w:val="000000"/>
                <w:sz w:val="16"/>
                <w:szCs w:val="16"/>
              </w:rPr>
              <w:t>Commodity sales</w:t>
            </w: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29,305 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29,305 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r>
      <w:tr w:rsidR="00000000">
        <w:trPr>
          <w:divId w:val="535895949"/>
          <w:jc w:val="right"/>
        </w:trPr>
        <w:tc>
          <w:tcPr>
            <w:tcW w:w="0" w:type="auto"/>
            <w:gridSpan w:val="3"/>
            <w:tcMar>
              <w:top w:w="30" w:type="dxa"/>
              <w:left w:w="20" w:type="dxa"/>
              <w:bottom w:w="30" w:type="dxa"/>
              <w:right w:w="20" w:type="dxa"/>
            </w:tcMar>
            <w:vAlign w:val="center"/>
            <w:hideMark/>
          </w:tcPr>
          <w:p w:rsidR="00000000" w:rsidRDefault="001F1FC8">
            <w:pPr>
              <w:divId w:val="1569997170"/>
              <w:rPr>
                <w:rFonts w:eastAsia="Times New Roman"/>
              </w:rPr>
            </w:pPr>
            <w:r>
              <w:rPr>
                <w:rFonts w:ascii="Arial" w:eastAsia="Times New Roman" w:hAnsi="Arial" w:cs="Arial"/>
                <w:color w:val="000000"/>
                <w:sz w:val="16"/>
                <w:szCs w:val="16"/>
              </w:rPr>
              <w:t>Other revenu</w:t>
            </w:r>
            <w:r>
              <w:rPr>
                <w:rFonts w:ascii="Arial" w:eastAsia="Times New Roman" w:hAnsi="Arial" w:cs="Arial"/>
                <w:color w:val="000000"/>
                <w:sz w:val="16"/>
                <w:szCs w:val="16"/>
              </w:rPr>
              <w:t>e</w:t>
            </w:r>
            <w:r>
              <w:rPr>
                <w:rFonts w:ascii="Arial" w:eastAsia="Times New Roman" w:hAnsi="Arial" w:cs="Arial"/>
                <w:color w:val="000000"/>
                <w:sz w:val="10"/>
                <w:szCs w:val="10"/>
              </w:rPr>
              <w:t>1,</w:t>
            </w:r>
            <w:r>
              <w:rPr>
                <w:rFonts w:ascii="Arial" w:eastAsia="Times New Roman" w:hAnsi="Arial" w:cs="Arial"/>
                <w:color w:val="000000"/>
                <w:sz w:val="10"/>
                <w:szCs w:val="10"/>
              </w:rPr>
              <w:t>2</w:t>
            </w: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659 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30 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9 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387 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(2)</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(16)</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1,067 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r>
      <w:tr w:rsidR="00000000">
        <w:trPr>
          <w:divId w:val="535895949"/>
          <w:jc w:val="right"/>
        </w:trPr>
        <w:tc>
          <w:tcPr>
            <w:tcW w:w="0" w:type="auto"/>
            <w:gridSpan w:val="3"/>
            <w:tcMar>
              <w:top w:w="30" w:type="dxa"/>
              <w:left w:w="20" w:type="dxa"/>
              <w:bottom w:w="30" w:type="dxa"/>
              <w:right w:w="20" w:type="dxa"/>
            </w:tcMar>
            <w:vAlign w:val="center"/>
            <w:hideMark/>
          </w:tcPr>
          <w:p w:rsidR="00000000" w:rsidRDefault="001F1FC8">
            <w:pPr>
              <w:rPr>
                <w:rFonts w:eastAsia="Times New Roman"/>
              </w:rPr>
            </w:pPr>
            <w:r>
              <w:rPr>
                <w:rFonts w:ascii="Arial" w:eastAsia="Times New Roman" w:hAnsi="Arial" w:cs="Arial"/>
                <w:color w:val="000000"/>
                <w:sz w:val="16"/>
                <w:szCs w:val="16"/>
              </w:rPr>
              <w:t>Intersegment revenue</w:t>
            </w: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369 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5 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16 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71 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(461)</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r>
      <w:tr w:rsidR="00000000">
        <w:trPr>
          <w:divId w:val="535895949"/>
          <w:jc w:val="right"/>
        </w:trPr>
        <w:tc>
          <w:tcPr>
            <w:tcW w:w="0" w:type="auto"/>
            <w:gridSpan w:val="3"/>
            <w:tcBorders>
              <w:top w:val="single" w:sz="4" w:space="0" w:color="000000"/>
              <w:bottom w:val="single" w:sz="8" w:space="0" w:color="000000"/>
            </w:tcBorders>
            <w:tcMar>
              <w:top w:w="30" w:type="dxa"/>
              <w:left w:w="20" w:type="dxa"/>
              <w:bottom w:w="30" w:type="dxa"/>
              <w:right w:w="20" w:type="dxa"/>
            </w:tcMar>
            <w:vAlign w:val="bottom"/>
            <w:hideMark/>
          </w:tcPr>
          <w:p w:rsidR="00000000" w:rsidRDefault="001F1FC8">
            <w:pPr>
              <w:rPr>
                <w:rFonts w:eastAsia="Times New Roman"/>
              </w:rPr>
            </w:pPr>
            <w:r>
              <w:rPr>
                <w:rFonts w:ascii="Arial" w:eastAsia="Times New Roman" w:hAnsi="Arial" w:cs="Arial"/>
                <w:color w:val="000000"/>
                <w:sz w:val="16"/>
                <w:szCs w:val="16"/>
              </w:rPr>
              <w:t>Total revenue</w:t>
            </w:r>
          </w:p>
        </w:tc>
        <w:tc>
          <w:tcPr>
            <w:tcW w:w="0" w:type="auto"/>
            <w:gridSpan w:val="2"/>
            <w:tcBorders>
              <w:top w:val="single" w:sz="4" w:space="0" w:color="000000"/>
              <w:bottom w:val="single" w:sz="8" w:space="0" w:color="000000"/>
            </w:tcBorders>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10,219 </w:t>
            </w:r>
          </w:p>
        </w:tc>
        <w:tc>
          <w:tcPr>
            <w:tcW w:w="0" w:type="auto"/>
            <w:tcBorders>
              <w:top w:val="single" w:sz="4" w:space="0" w:color="000000"/>
              <w:bottom w:val="single" w:sz="8" w:space="0" w:color="000000"/>
            </w:tcBorders>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Borders>
              <w:top w:val="single" w:sz="4" w:space="0" w:color="000000"/>
              <w:bottom w:val="single" w:sz="8" w:space="0" w:color="000000"/>
            </w:tcBorders>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5,207 </w:t>
            </w:r>
          </w:p>
        </w:tc>
        <w:tc>
          <w:tcPr>
            <w:tcW w:w="0" w:type="auto"/>
            <w:tcBorders>
              <w:top w:val="single" w:sz="4" w:space="0" w:color="000000"/>
              <w:bottom w:val="single" w:sz="8" w:space="0" w:color="000000"/>
            </w:tcBorders>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Borders>
              <w:top w:val="single" w:sz="4" w:space="0" w:color="000000"/>
              <w:bottom w:val="single" w:sz="8" w:space="0" w:color="000000"/>
            </w:tcBorders>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5,179 </w:t>
            </w:r>
          </w:p>
        </w:tc>
        <w:tc>
          <w:tcPr>
            <w:tcW w:w="0" w:type="auto"/>
            <w:tcBorders>
              <w:top w:val="single" w:sz="4" w:space="0" w:color="000000"/>
              <w:bottom w:val="single" w:sz="8" w:space="0" w:color="000000"/>
            </w:tcBorders>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Borders>
              <w:top w:val="single" w:sz="4" w:space="0" w:color="000000"/>
              <w:bottom w:val="single" w:sz="8" w:space="0" w:color="000000"/>
            </w:tcBorders>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567 </w:t>
            </w:r>
          </w:p>
        </w:tc>
        <w:tc>
          <w:tcPr>
            <w:tcW w:w="0" w:type="auto"/>
            <w:tcBorders>
              <w:top w:val="single" w:sz="4" w:space="0" w:color="000000"/>
              <w:bottom w:val="single" w:sz="8" w:space="0" w:color="000000"/>
            </w:tcBorders>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Borders>
              <w:top w:val="single" w:sz="4" w:space="0" w:color="000000"/>
              <w:bottom w:val="single" w:sz="8" w:space="0" w:color="000000"/>
            </w:tcBorders>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29,374 </w:t>
            </w:r>
          </w:p>
        </w:tc>
        <w:tc>
          <w:tcPr>
            <w:tcW w:w="0" w:type="auto"/>
            <w:tcBorders>
              <w:top w:val="single" w:sz="4" w:space="0" w:color="000000"/>
              <w:bottom w:val="single" w:sz="8" w:space="0" w:color="000000"/>
            </w:tcBorders>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Borders>
              <w:top w:val="single" w:sz="4" w:space="0" w:color="000000"/>
              <w:bottom w:val="single" w:sz="8" w:space="0" w:color="000000"/>
            </w:tcBorders>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(477)</w:t>
            </w:r>
          </w:p>
        </w:tc>
        <w:tc>
          <w:tcPr>
            <w:tcW w:w="0" w:type="auto"/>
            <w:tcBorders>
              <w:top w:val="single" w:sz="4" w:space="0" w:color="000000"/>
              <w:bottom w:val="single" w:sz="8" w:space="0" w:color="000000"/>
            </w:tcBorders>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Borders>
              <w:top w:val="single" w:sz="4" w:space="0" w:color="000000"/>
              <w:bottom w:val="single" w:sz="8" w:space="0" w:color="000000"/>
            </w:tcBorders>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50,069 </w:t>
            </w:r>
          </w:p>
        </w:tc>
        <w:tc>
          <w:tcPr>
            <w:tcW w:w="0" w:type="auto"/>
            <w:tcBorders>
              <w:top w:val="single" w:sz="4" w:space="0" w:color="000000"/>
              <w:bottom w:val="single" w:sz="8" w:space="0" w:color="000000"/>
            </w:tcBorders>
            <w:tcMar>
              <w:top w:w="30" w:type="dxa"/>
              <w:left w:w="0" w:type="dxa"/>
              <w:bottom w:w="30" w:type="dxa"/>
              <w:right w:w="20" w:type="dxa"/>
            </w:tcMar>
            <w:vAlign w:val="bottom"/>
            <w:hideMark/>
          </w:tcPr>
          <w:p w:rsidR="00000000" w:rsidRDefault="001F1FC8">
            <w:pPr>
              <w:jc w:val="right"/>
              <w:rPr>
                <w:rFonts w:eastAsia="Times New Roman"/>
              </w:rPr>
            </w:pPr>
          </w:p>
        </w:tc>
      </w:tr>
    </w:tbl>
    <w:p w:rsidR="00000000" w:rsidRDefault="001F1FC8">
      <w:pPr>
        <w:ind w:hanging="180"/>
        <w:divId w:val="68383723"/>
        <w:rPr>
          <w:rFonts w:eastAsia="Times New Roman"/>
        </w:rPr>
      </w:pPr>
      <w:r>
        <w:rPr>
          <w:rFonts w:ascii="Arial" w:eastAsia="Times New Roman" w:hAnsi="Arial" w:cs="Arial"/>
          <w:i/>
          <w:iCs/>
          <w:color w:val="000000"/>
          <w:sz w:val="16"/>
          <w:szCs w:val="16"/>
        </w:rPr>
        <w:t>1     Includes mark-to-market gains from our hedging program for the year ended December 31, 2021 of $59 million, (2020 - $265 milli</w:t>
      </w:r>
      <w:r>
        <w:rPr>
          <w:rFonts w:ascii="Arial" w:eastAsia="Times New Roman" w:hAnsi="Arial" w:cs="Arial"/>
          <w:i/>
          <w:iCs/>
          <w:color w:val="000000"/>
          <w:sz w:val="16"/>
          <w:szCs w:val="16"/>
        </w:rPr>
        <w:t>on, 2019 - $346 million).</w:t>
      </w:r>
    </w:p>
    <w:p w:rsidR="00000000" w:rsidRDefault="001F1FC8">
      <w:pPr>
        <w:ind w:hanging="180"/>
        <w:divId w:val="877814499"/>
        <w:rPr>
          <w:rFonts w:eastAsia="Times New Roman"/>
        </w:rPr>
      </w:pPr>
      <w:r>
        <w:rPr>
          <w:rFonts w:ascii="Arial" w:eastAsia="Times New Roman" w:hAnsi="Arial" w:cs="Arial"/>
          <w:i/>
          <w:iCs/>
          <w:color w:val="000000"/>
          <w:sz w:val="16"/>
          <w:szCs w:val="16"/>
        </w:rPr>
        <w:t xml:space="preserve">2     Includes revenues from lease contracts. Refer to </w:t>
      </w:r>
      <w:r>
        <w:rPr>
          <w:rFonts w:ascii="Arial" w:eastAsia="Times New Roman" w:hAnsi="Arial" w:cs="Arial"/>
          <w:color w:val="000000"/>
          <w:sz w:val="16"/>
          <w:szCs w:val="16"/>
        </w:rPr>
        <w:t>Note 27 - Leases</w:t>
      </w:r>
      <w:r>
        <w:rPr>
          <w:rFonts w:ascii="Arial" w:eastAsia="Times New Roman" w:hAnsi="Arial" w:cs="Arial"/>
          <w:i/>
          <w:iCs/>
          <w:color w:val="000000"/>
          <w:sz w:val="16"/>
          <w:szCs w:val="16"/>
        </w:rPr>
        <w:t>.</w:t>
      </w:r>
    </w:p>
    <w:p w:rsidR="00000000" w:rsidRDefault="001F1FC8">
      <w:pPr>
        <w:ind w:hanging="360"/>
        <w:jc w:val="both"/>
        <w:rPr>
          <w:rFonts w:eastAsia="Times New Roman"/>
        </w:rPr>
      </w:pPr>
    </w:p>
    <w:p w:rsidR="00000000" w:rsidRDefault="001F1FC8">
      <w:pPr>
        <w:divId w:val="876694656"/>
        <w:rPr>
          <w:rFonts w:eastAsia="Times New Roman"/>
        </w:rPr>
      </w:pPr>
      <w:r>
        <w:rPr>
          <w:rFonts w:ascii="Arial" w:eastAsia="Times New Roman" w:hAnsi="Arial" w:cs="Arial"/>
          <w:color w:val="000000"/>
          <w:sz w:val="20"/>
          <w:szCs w:val="20"/>
        </w:rPr>
        <w:t>We disaggregate revenue into categories which represent our principal performance obligations within each business segment. These revenue categories represent the most significant revenue streams in each segment and consequently are considered to be the mo</w:t>
      </w:r>
      <w:r>
        <w:rPr>
          <w:rFonts w:ascii="Arial" w:eastAsia="Times New Roman" w:hAnsi="Arial" w:cs="Arial"/>
          <w:color w:val="000000"/>
          <w:sz w:val="20"/>
          <w:szCs w:val="20"/>
        </w:rPr>
        <w:t>st relevant revenue information for management to consider in evaluating performance.</w:t>
      </w:r>
    </w:p>
    <w:p w:rsidR="00000000" w:rsidRDefault="001F1FC8">
      <w:pPr>
        <w:divId w:val="1665812182"/>
        <w:rPr>
          <w:rFonts w:eastAsia="Times New Roman"/>
        </w:rPr>
      </w:pPr>
    </w:p>
    <w:p w:rsidR="00000000" w:rsidRDefault="001F1FC8">
      <w:pPr>
        <w:divId w:val="767240851"/>
        <w:rPr>
          <w:rFonts w:eastAsia="Times New Roman"/>
        </w:rPr>
      </w:pPr>
      <w:r>
        <w:rPr>
          <w:rFonts w:ascii="Arial" w:eastAsia="Times New Roman" w:hAnsi="Arial" w:cs="Arial"/>
          <w:b/>
          <w:bCs/>
          <w:color w:val="000000"/>
          <w:sz w:val="20"/>
          <w:szCs w:val="20"/>
        </w:rPr>
        <w:t>Contract Balances</w:t>
      </w:r>
    </w:p>
    <w:tbl>
      <w:tblPr>
        <w:tblW w:w="5000" w:type="pct"/>
        <w:tblCellMar>
          <w:top w:w="15" w:type="dxa"/>
          <w:left w:w="15" w:type="dxa"/>
          <w:bottom w:w="15" w:type="dxa"/>
          <w:right w:w="15" w:type="dxa"/>
        </w:tblCellMar>
        <w:tblLook w:val="04A0" w:firstRow="1" w:lastRow="0" w:firstColumn="1" w:lastColumn="0" w:noHBand="0" w:noVBand="1"/>
      </w:tblPr>
      <w:tblGrid>
        <w:gridCol w:w="69"/>
        <w:gridCol w:w="2818"/>
        <w:gridCol w:w="37"/>
        <w:gridCol w:w="69"/>
        <w:gridCol w:w="1689"/>
        <w:gridCol w:w="36"/>
        <w:gridCol w:w="69"/>
        <w:gridCol w:w="1689"/>
        <w:gridCol w:w="36"/>
        <w:gridCol w:w="69"/>
        <w:gridCol w:w="1689"/>
        <w:gridCol w:w="36"/>
      </w:tblGrid>
      <w:tr w:rsidR="00000000">
        <w:trPr>
          <w:divId w:val="634332323"/>
        </w:trPr>
        <w:tc>
          <w:tcPr>
            <w:tcW w:w="50" w:type="pct"/>
            <w:vAlign w:val="center"/>
            <w:hideMark/>
          </w:tcPr>
          <w:p w:rsidR="00000000" w:rsidRDefault="001F1FC8">
            <w:pPr>
              <w:rPr>
                <w:rFonts w:eastAsia="Times New Roman"/>
              </w:rPr>
            </w:pPr>
          </w:p>
        </w:tc>
        <w:tc>
          <w:tcPr>
            <w:tcW w:w="1705"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c>
          <w:tcPr>
            <w:tcW w:w="50" w:type="pct"/>
            <w:vAlign w:val="center"/>
            <w:hideMark/>
          </w:tcPr>
          <w:p w:rsidR="00000000" w:rsidRDefault="001F1FC8">
            <w:pPr>
              <w:rPr>
                <w:rFonts w:eastAsia="Times New Roman"/>
                <w:sz w:val="20"/>
                <w:szCs w:val="20"/>
              </w:rPr>
            </w:pPr>
          </w:p>
        </w:tc>
        <w:tc>
          <w:tcPr>
            <w:tcW w:w="1025"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c>
          <w:tcPr>
            <w:tcW w:w="50" w:type="pct"/>
            <w:vAlign w:val="center"/>
            <w:hideMark/>
          </w:tcPr>
          <w:p w:rsidR="00000000" w:rsidRDefault="001F1FC8">
            <w:pPr>
              <w:rPr>
                <w:rFonts w:eastAsia="Times New Roman"/>
                <w:sz w:val="20"/>
                <w:szCs w:val="20"/>
              </w:rPr>
            </w:pPr>
          </w:p>
        </w:tc>
        <w:tc>
          <w:tcPr>
            <w:tcW w:w="1025"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c>
          <w:tcPr>
            <w:tcW w:w="50" w:type="pct"/>
            <w:vAlign w:val="center"/>
            <w:hideMark/>
          </w:tcPr>
          <w:p w:rsidR="00000000" w:rsidRDefault="001F1FC8">
            <w:pPr>
              <w:rPr>
                <w:rFonts w:eastAsia="Times New Roman"/>
                <w:sz w:val="20"/>
                <w:szCs w:val="20"/>
              </w:rPr>
            </w:pPr>
          </w:p>
        </w:tc>
        <w:tc>
          <w:tcPr>
            <w:tcW w:w="1025"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r>
      <w:tr w:rsidR="00000000">
        <w:trPr>
          <w:divId w:val="634332323"/>
        </w:trPr>
        <w:tc>
          <w:tcPr>
            <w:tcW w:w="0" w:type="auto"/>
            <w:gridSpan w:val="3"/>
            <w:tcMar>
              <w:top w:w="0" w:type="dxa"/>
              <w:left w:w="20" w:type="dxa"/>
              <w:bottom w:w="0" w:type="dxa"/>
              <w:right w:w="20" w:type="dxa"/>
            </w:tcMar>
            <w:vAlign w:val="center"/>
            <w:hideMark/>
          </w:tcPr>
          <w:p w:rsidR="00000000" w:rsidRDefault="001F1FC8">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Contract Receivables</w:t>
            </w:r>
          </w:p>
        </w:tc>
        <w:tc>
          <w:tcPr>
            <w:tcW w:w="0" w:type="auto"/>
            <w:gridSpan w:val="3"/>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Contract Assets</w:t>
            </w:r>
          </w:p>
        </w:tc>
        <w:tc>
          <w:tcPr>
            <w:tcW w:w="0" w:type="auto"/>
            <w:gridSpan w:val="3"/>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Contract Liabilities</w:t>
            </w:r>
          </w:p>
        </w:tc>
      </w:tr>
      <w:tr w:rsidR="00000000">
        <w:trPr>
          <w:divId w:val="634332323"/>
        </w:trPr>
        <w:tc>
          <w:tcPr>
            <w:tcW w:w="0" w:type="auto"/>
            <w:gridSpan w:val="3"/>
            <w:tcBorders>
              <w:top w:val="single" w:sz="4" w:space="0" w:color="000000"/>
            </w:tcBorders>
            <w:tcMar>
              <w:top w:w="30" w:type="dxa"/>
              <w:left w:w="20" w:type="dxa"/>
              <w:bottom w:w="30" w:type="dxa"/>
              <w:right w:w="20" w:type="dxa"/>
            </w:tcMar>
            <w:vAlign w:val="bottom"/>
            <w:hideMark/>
          </w:tcPr>
          <w:p w:rsidR="00000000" w:rsidRDefault="001F1FC8">
            <w:pPr>
              <w:rPr>
                <w:rFonts w:eastAsia="Times New Roman"/>
              </w:rPr>
            </w:pPr>
            <w:r>
              <w:rPr>
                <w:rFonts w:ascii="Arial" w:eastAsia="Times New Roman" w:hAnsi="Arial" w:cs="Arial"/>
                <w:i/>
                <w:iCs/>
                <w:color w:val="000000"/>
                <w:sz w:val="16"/>
                <w:szCs w:val="16"/>
              </w:rPr>
              <w:t>(millions of Canadian dollars)</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1F1FC8">
            <w:pPr>
              <w:rPr>
                <w:rFonts w:eastAsia="Times New Roman"/>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1F1FC8">
            <w:pPr>
              <w:rPr>
                <w:rFonts w:eastAsia="Times New Roman"/>
                <w:sz w:val="20"/>
                <w:szCs w:val="20"/>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1F1FC8">
            <w:pPr>
              <w:rPr>
                <w:rFonts w:eastAsia="Times New Roman"/>
                <w:sz w:val="20"/>
                <w:szCs w:val="20"/>
              </w:rPr>
            </w:pPr>
          </w:p>
        </w:tc>
      </w:tr>
      <w:tr w:rsidR="00000000">
        <w:trPr>
          <w:divId w:val="634332323"/>
        </w:trPr>
        <w:tc>
          <w:tcPr>
            <w:tcW w:w="0" w:type="auto"/>
            <w:gridSpan w:val="3"/>
            <w:tcMar>
              <w:top w:w="30" w:type="dxa"/>
              <w:left w:w="20" w:type="dxa"/>
              <w:bottom w:w="30" w:type="dxa"/>
              <w:right w:w="20" w:type="dxa"/>
            </w:tcMar>
            <w:vAlign w:val="bottom"/>
            <w:hideMark/>
          </w:tcPr>
          <w:p w:rsidR="00000000" w:rsidRDefault="001F1FC8">
            <w:pPr>
              <w:rPr>
                <w:rFonts w:eastAsia="Times New Roman"/>
              </w:rPr>
            </w:pPr>
            <w:r>
              <w:rPr>
                <w:rFonts w:ascii="Arial" w:eastAsia="Times New Roman" w:hAnsi="Arial" w:cs="Arial"/>
                <w:color w:val="000000"/>
                <w:sz w:val="20"/>
                <w:szCs w:val="20"/>
              </w:rPr>
              <w:t>Balance as at December 31, 2021</w:t>
            </w:r>
          </w:p>
        </w:tc>
        <w:tc>
          <w:tcPr>
            <w:tcW w:w="0" w:type="auto"/>
            <w:gridSpan w:val="2"/>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20"/>
                <w:szCs w:val="20"/>
              </w:rPr>
              <w:t>2,369</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20"/>
                <w:szCs w:val="20"/>
              </w:rPr>
              <w:t>213</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20"/>
                <w:szCs w:val="20"/>
              </w:rPr>
              <w:t>1,898</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r>
      <w:tr w:rsidR="00000000">
        <w:trPr>
          <w:divId w:val="634332323"/>
        </w:trPr>
        <w:tc>
          <w:tcPr>
            <w:tcW w:w="0" w:type="auto"/>
            <w:gridSpan w:val="3"/>
            <w:tcBorders>
              <w:bottom w:val="single" w:sz="8" w:space="0" w:color="000000"/>
            </w:tcBorders>
            <w:tcMar>
              <w:top w:w="30" w:type="dxa"/>
              <w:left w:w="20" w:type="dxa"/>
              <w:bottom w:w="30" w:type="dxa"/>
              <w:right w:w="20" w:type="dxa"/>
            </w:tcMar>
            <w:vAlign w:val="bottom"/>
            <w:hideMark/>
          </w:tcPr>
          <w:p w:rsidR="00000000" w:rsidRDefault="001F1FC8">
            <w:pPr>
              <w:rPr>
                <w:rFonts w:eastAsia="Times New Roman"/>
              </w:rPr>
            </w:pPr>
            <w:r>
              <w:rPr>
                <w:rFonts w:ascii="Arial" w:eastAsia="Times New Roman" w:hAnsi="Arial" w:cs="Arial"/>
                <w:color w:val="000000"/>
                <w:sz w:val="20"/>
                <w:szCs w:val="20"/>
              </w:rPr>
              <w:t>Balance as at December 31, 2020</w:t>
            </w:r>
          </w:p>
        </w:tc>
        <w:tc>
          <w:tcPr>
            <w:tcW w:w="0" w:type="auto"/>
            <w:gridSpan w:val="2"/>
            <w:tcBorders>
              <w:bottom w:val="single" w:sz="8" w:space="0" w:color="000000"/>
            </w:tcBorders>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2,042 </w:t>
            </w:r>
          </w:p>
        </w:tc>
        <w:tc>
          <w:tcPr>
            <w:tcW w:w="0" w:type="auto"/>
            <w:tcBorders>
              <w:bottom w:val="single" w:sz="8" w:space="0" w:color="000000"/>
            </w:tcBorders>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Borders>
              <w:bottom w:val="single" w:sz="8" w:space="0" w:color="000000"/>
            </w:tcBorders>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226 </w:t>
            </w:r>
          </w:p>
        </w:tc>
        <w:tc>
          <w:tcPr>
            <w:tcW w:w="0" w:type="auto"/>
            <w:tcBorders>
              <w:bottom w:val="single" w:sz="8" w:space="0" w:color="000000"/>
            </w:tcBorders>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Borders>
              <w:bottom w:val="single" w:sz="8" w:space="0" w:color="000000"/>
            </w:tcBorders>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1,815 </w:t>
            </w:r>
          </w:p>
        </w:tc>
        <w:tc>
          <w:tcPr>
            <w:tcW w:w="0" w:type="auto"/>
            <w:tcBorders>
              <w:bottom w:val="single" w:sz="8" w:space="0" w:color="000000"/>
            </w:tcBorders>
            <w:tcMar>
              <w:top w:w="30" w:type="dxa"/>
              <w:left w:w="0" w:type="dxa"/>
              <w:bottom w:w="30" w:type="dxa"/>
              <w:right w:w="20" w:type="dxa"/>
            </w:tcMar>
            <w:vAlign w:val="bottom"/>
            <w:hideMark/>
          </w:tcPr>
          <w:p w:rsidR="00000000" w:rsidRDefault="001F1FC8">
            <w:pPr>
              <w:jc w:val="right"/>
              <w:rPr>
                <w:rFonts w:eastAsia="Times New Roman"/>
              </w:rPr>
            </w:pPr>
          </w:p>
        </w:tc>
      </w:tr>
    </w:tbl>
    <w:p w:rsidR="00000000" w:rsidRDefault="001F1FC8">
      <w:pPr>
        <w:ind w:hanging="360"/>
        <w:jc w:val="both"/>
        <w:rPr>
          <w:rFonts w:eastAsia="Times New Roman"/>
        </w:rPr>
      </w:pPr>
    </w:p>
    <w:p w:rsidR="00000000" w:rsidRDefault="001F1FC8">
      <w:pPr>
        <w:divId w:val="614559995"/>
        <w:rPr>
          <w:rFonts w:eastAsia="Times New Roman"/>
        </w:rPr>
      </w:pPr>
      <w:r>
        <w:rPr>
          <w:rFonts w:ascii="Arial" w:eastAsia="Times New Roman" w:hAnsi="Arial" w:cs="Arial"/>
          <w:color w:val="000000"/>
          <w:sz w:val="20"/>
          <w:szCs w:val="20"/>
        </w:rPr>
        <w:t>Contract receivables represent the amount of receivables derived from contracts with customers.</w:t>
      </w:r>
    </w:p>
    <w:p w:rsidR="00000000" w:rsidRDefault="001F1FC8">
      <w:pPr>
        <w:divId w:val="1830636487"/>
        <w:rPr>
          <w:rFonts w:eastAsia="Times New Roman"/>
        </w:rPr>
      </w:pPr>
    </w:p>
    <w:p w:rsidR="00000000" w:rsidRDefault="001F1FC8">
      <w:pPr>
        <w:jc w:val="center"/>
        <w:divId w:val="825825246"/>
        <w:rPr>
          <w:rFonts w:eastAsia="Times New Roman"/>
        </w:rPr>
      </w:pPr>
      <w:r>
        <w:rPr>
          <w:rFonts w:ascii="Arial" w:eastAsia="Times New Roman" w:hAnsi="Arial" w:cs="Arial"/>
          <w:color w:val="000000"/>
          <w:sz w:val="20"/>
          <w:szCs w:val="20"/>
        </w:rPr>
        <w:t>117</w:t>
      </w:r>
    </w:p>
    <w:p w:rsidR="00000000" w:rsidRDefault="001F1FC8">
      <w:pPr>
        <w:rPr>
          <w:rFonts w:eastAsia="Times New Roman"/>
        </w:rPr>
      </w:pPr>
      <w:r>
        <w:rPr>
          <w:rFonts w:eastAsia="Times New Roman"/>
        </w:rPr>
        <w:pict>
          <v:rect id="_x0000_i1147" style="width:0;height:1.5pt" o:hralign="center" o:hrstd="t" o:hr="t" fillcolor="#a0a0a0" stroked="f"/>
        </w:pict>
      </w:r>
    </w:p>
    <w:p w:rsidR="00000000" w:rsidRDefault="001F1FC8">
      <w:pPr>
        <w:jc w:val="center"/>
        <w:divId w:val="1924601803"/>
        <w:rPr>
          <w:rFonts w:eastAsia="Times New Roman"/>
        </w:rPr>
      </w:pPr>
    </w:p>
    <w:p w:rsidR="00000000" w:rsidRDefault="001F1FC8">
      <w:pPr>
        <w:divId w:val="1689941950"/>
        <w:rPr>
          <w:rFonts w:eastAsia="Times New Roman"/>
        </w:rPr>
      </w:pPr>
      <w:r>
        <w:rPr>
          <w:rFonts w:ascii="Arial" w:eastAsia="Times New Roman" w:hAnsi="Arial" w:cs="Arial"/>
          <w:color w:val="000000"/>
          <w:sz w:val="20"/>
          <w:szCs w:val="20"/>
        </w:rPr>
        <w:t>Contract assets represent the amount of revenue which has been recognized in advance of payments received for perfor</w:t>
      </w:r>
      <w:r>
        <w:rPr>
          <w:rFonts w:ascii="Arial" w:eastAsia="Times New Roman" w:hAnsi="Arial" w:cs="Arial"/>
          <w:color w:val="000000"/>
          <w:sz w:val="20"/>
          <w:szCs w:val="20"/>
        </w:rPr>
        <w:t>mance obligations we have fulfilled (or partially fulfilled) and prior to the point in time at which our right to the payment is unconditional. Amounts included in contract assets are transferred to accounts receivable when our right to the consideration b</w:t>
      </w:r>
      <w:r>
        <w:rPr>
          <w:rFonts w:ascii="Arial" w:eastAsia="Times New Roman" w:hAnsi="Arial" w:cs="Arial"/>
          <w:color w:val="000000"/>
          <w:sz w:val="20"/>
          <w:szCs w:val="20"/>
        </w:rPr>
        <w:t>ecomes unconditional.</w:t>
      </w:r>
    </w:p>
    <w:p w:rsidR="00000000" w:rsidRDefault="001F1FC8">
      <w:pPr>
        <w:divId w:val="1658875515"/>
        <w:rPr>
          <w:rFonts w:eastAsia="Times New Roman"/>
        </w:rPr>
      </w:pPr>
    </w:p>
    <w:p w:rsidR="00000000" w:rsidRDefault="001F1FC8">
      <w:pPr>
        <w:divId w:val="472255286"/>
        <w:rPr>
          <w:rFonts w:eastAsia="Times New Roman"/>
        </w:rPr>
      </w:pPr>
      <w:r>
        <w:rPr>
          <w:rFonts w:ascii="Arial" w:eastAsia="Times New Roman" w:hAnsi="Arial" w:cs="Arial"/>
          <w:color w:val="000000"/>
          <w:sz w:val="20"/>
          <w:szCs w:val="20"/>
        </w:rPr>
        <w:t>Contract liabilities represent payments received for performance obligations which have not been fulfilled. Contract liabilities primarily relate to make-up rights and deferred revenue. Revenue recognized during the year ended Decem</w:t>
      </w:r>
      <w:r>
        <w:rPr>
          <w:rFonts w:ascii="Arial" w:eastAsia="Times New Roman" w:hAnsi="Arial" w:cs="Arial"/>
          <w:color w:val="000000"/>
          <w:sz w:val="20"/>
          <w:szCs w:val="20"/>
        </w:rPr>
        <w:t xml:space="preserve">ber 31, 2021 included in contract liabilities at the beginning of the period is $305 million. Increases in contract liabilities from cash received, net of amounts recognized as revenue during the year ended December 31, 2021 were $397 million. </w:t>
      </w:r>
    </w:p>
    <w:p w:rsidR="00000000" w:rsidRDefault="001F1FC8">
      <w:pPr>
        <w:divId w:val="847869914"/>
        <w:rPr>
          <w:rFonts w:eastAsia="Times New Roman"/>
        </w:rPr>
      </w:pPr>
    </w:p>
    <w:p w:rsidR="00000000" w:rsidRDefault="001F1FC8">
      <w:pPr>
        <w:divId w:val="105123768"/>
        <w:rPr>
          <w:rFonts w:eastAsia="Times New Roman"/>
        </w:rPr>
      </w:pPr>
      <w:r>
        <w:rPr>
          <w:rFonts w:ascii="Arial" w:eastAsia="Times New Roman" w:hAnsi="Arial" w:cs="Arial"/>
          <w:b/>
          <w:bCs/>
          <w:color w:val="000000"/>
          <w:sz w:val="20"/>
          <w:szCs w:val="20"/>
        </w:rPr>
        <w:t>Performance Obligations</w:t>
      </w:r>
    </w:p>
    <w:p w:rsidR="00000000" w:rsidRDefault="001F1FC8">
      <w:pPr>
        <w:divId w:val="613440845"/>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2675"/>
        <w:gridCol w:w="37"/>
        <w:gridCol w:w="69"/>
        <w:gridCol w:w="5420"/>
        <w:gridCol w:w="36"/>
      </w:tblGrid>
      <w:tr w:rsidR="00000000">
        <w:trPr>
          <w:divId w:val="1479225868"/>
        </w:trPr>
        <w:tc>
          <w:tcPr>
            <w:tcW w:w="50" w:type="pct"/>
            <w:vAlign w:val="center"/>
            <w:hideMark/>
          </w:tcPr>
          <w:p w:rsidR="00000000" w:rsidRDefault="001F1FC8">
            <w:pPr>
              <w:rPr>
                <w:rFonts w:eastAsia="Times New Roman"/>
              </w:rPr>
            </w:pPr>
          </w:p>
        </w:tc>
        <w:tc>
          <w:tcPr>
            <w:tcW w:w="1619"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c>
          <w:tcPr>
            <w:tcW w:w="50" w:type="pct"/>
            <w:vAlign w:val="center"/>
            <w:hideMark/>
          </w:tcPr>
          <w:p w:rsidR="00000000" w:rsidRDefault="001F1FC8">
            <w:pPr>
              <w:rPr>
                <w:rFonts w:eastAsia="Times New Roman"/>
                <w:sz w:val="20"/>
                <w:szCs w:val="20"/>
              </w:rPr>
            </w:pPr>
          </w:p>
        </w:tc>
        <w:tc>
          <w:tcPr>
            <w:tcW w:w="3270"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r>
      <w:tr w:rsidR="00000000">
        <w:trPr>
          <w:divId w:val="1479225868"/>
        </w:trPr>
        <w:tc>
          <w:tcPr>
            <w:tcW w:w="0" w:type="auto"/>
            <w:gridSpan w:val="3"/>
            <w:tcMar>
              <w:top w:w="30" w:type="dxa"/>
              <w:left w:w="20" w:type="dxa"/>
              <w:bottom w:w="30" w:type="dxa"/>
              <w:right w:w="20" w:type="dxa"/>
            </w:tcMar>
            <w:vAlign w:val="bottom"/>
            <w:hideMark/>
          </w:tcPr>
          <w:p w:rsidR="00000000" w:rsidRDefault="001F1FC8">
            <w:pPr>
              <w:rPr>
                <w:rFonts w:eastAsia="Times New Roman"/>
              </w:rPr>
            </w:pPr>
            <w:r>
              <w:rPr>
                <w:rFonts w:ascii="Arial" w:eastAsia="Times New Roman" w:hAnsi="Arial" w:cs="Arial"/>
                <w:b/>
                <w:bCs/>
                <w:color w:val="000000"/>
                <w:sz w:val="20"/>
                <w:szCs w:val="20"/>
              </w:rPr>
              <w:t>Segment</w:t>
            </w:r>
          </w:p>
        </w:tc>
        <w:tc>
          <w:tcPr>
            <w:tcW w:w="0" w:type="auto"/>
            <w:gridSpan w:val="3"/>
            <w:tcMar>
              <w:top w:w="30" w:type="dxa"/>
              <w:left w:w="20" w:type="dxa"/>
              <w:bottom w:w="30" w:type="dxa"/>
              <w:right w:w="20" w:type="dxa"/>
            </w:tcMar>
            <w:vAlign w:val="bottom"/>
            <w:hideMark/>
          </w:tcPr>
          <w:p w:rsidR="00000000" w:rsidRDefault="001F1FC8">
            <w:pPr>
              <w:rPr>
                <w:rFonts w:eastAsia="Times New Roman"/>
              </w:rPr>
            </w:pPr>
            <w:r>
              <w:rPr>
                <w:rFonts w:ascii="Arial" w:eastAsia="Times New Roman" w:hAnsi="Arial" w:cs="Arial"/>
                <w:b/>
                <w:bCs/>
                <w:color w:val="000000"/>
                <w:sz w:val="20"/>
                <w:szCs w:val="20"/>
              </w:rPr>
              <w:t>Nature of Performance Obligation</w:t>
            </w:r>
          </w:p>
        </w:tc>
      </w:tr>
      <w:tr w:rsidR="00000000">
        <w:trPr>
          <w:divId w:val="1479225868"/>
        </w:trPr>
        <w:tc>
          <w:tcPr>
            <w:tcW w:w="0" w:type="auto"/>
            <w:gridSpan w:val="3"/>
            <w:tcBorders>
              <w:top w:val="single" w:sz="4" w:space="0" w:color="000000"/>
            </w:tcBorders>
            <w:tcMar>
              <w:top w:w="30" w:type="dxa"/>
              <w:left w:w="20" w:type="dxa"/>
              <w:bottom w:w="30" w:type="dxa"/>
              <w:right w:w="20" w:type="dxa"/>
            </w:tcMar>
            <w:hideMark/>
          </w:tcPr>
          <w:p w:rsidR="00000000" w:rsidRDefault="001F1FC8">
            <w:pPr>
              <w:rPr>
                <w:rFonts w:eastAsia="Times New Roman"/>
              </w:rPr>
            </w:pPr>
            <w:r>
              <w:rPr>
                <w:rFonts w:ascii="Arial" w:eastAsia="Times New Roman" w:hAnsi="Arial" w:cs="Arial"/>
                <w:color w:val="000000"/>
                <w:sz w:val="20"/>
                <w:szCs w:val="20"/>
              </w:rPr>
              <w:t>Liquids Pipelines</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1F1FC8">
            <w:pPr>
              <w:ind w:hanging="360"/>
              <w:divId w:val="1756589917"/>
              <w:rPr>
                <w:rFonts w:eastAsia="Times New Roman"/>
              </w:rPr>
            </w:pPr>
            <w:r>
              <w:rPr>
                <w:rFonts w:ascii="Arial" w:eastAsia="Times New Roman" w:hAnsi="Arial" w:cs="Arial"/>
                <w:color w:val="000000"/>
                <w:sz w:val="20"/>
                <w:szCs w:val="20"/>
              </w:rPr>
              <w:t>•Transportation and storage of crude oil and natural gas liquids (NGLs)</w:t>
            </w:r>
          </w:p>
        </w:tc>
      </w:tr>
      <w:tr w:rsidR="00000000">
        <w:trPr>
          <w:divId w:val="1479225868"/>
          <w:trHeight w:val="420"/>
        </w:trPr>
        <w:tc>
          <w:tcPr>
            <w:tcW w:w="0" w:type="auto"/>
            <w:gridSpan w:val="3"/>
            <w:vMerge w:val="restart"/>
            <w:tcBorders>
              <w:top w:val="single" w:sz="4" w:space="0" w:color="000000"/>
            </w:tcBorders>
            <w:tcMar>
              <w:top w:w="30" w:type="dxa"/>
              <w:left w:w="20" w:type="dxa"/>
              <w:bottom w:w="30" w:type="dxa"/>
              <w:right w:w="20" w:type="dxa"/>
            </w:tcMar>
            <w:hideMark/>
          </w:tcPr>
          <w:p w:rsidR="00000000" w:rsidRDefault="001F1FC8">
            <w:pPr>
              <w:rPr>
                <w:rFonts w:eastAsia="Times New Roman"/>
              </w:rPr>
            </w:pPr>
            <w:r>
              <w:rPr>
                <w:rFonts w:ascii="Arial" w:eastAsia="Times New Roman" w:hAnsi="Arial" w:cs="Arial"/>
                <w:color w:val="000000"/>
                <w:sz w:val="20"/>
                <w:szCs w:val="20"/>
              </w:rPr>
              <w:t>Gas Transmission and Midstream</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1F1FC8">
            <w:pPr>
              <w:ind w:hanging="360"/>
              <w:divId w:val="1858807831"/>
              <w:rPr>
                <w:rFonts w:eastAsia="Times New Roman"/>
              </w:rPr>
            </w:pPr>
            <w:r>
              <w:rPr>
                <w:rFonts w:ascii="Arial" w:eastAsia="Times New Roman" w:hAnsi="Arial" w:cs="Arial"/>
                <w:color w:val="000000"/>
                <w:sz w:val="20"/>
                <w:szCs w:val="20"/>
              </w:rPr>
              <w:t>•</w:t>
            </w:r>
            <w:r>
              <w:rPr>
                <w:rFonts w:ascii="Arial" w:eastAsia="Times New Roman" w:hAnsi="Arial" w:cs="Arial"/>
                <w:color w:val="000000"/>
                <w:sz w:val="20"/>
                <w:szCs w:val="20"/>
              </w:rPr>
              <w:t>Transportation, storage, gathering, compression and treating of natural gas</w:t>
            </w:r>
          </w:p>
        </w:tc>
      </w:tr>
      <w:tr w:rsidR="00000000">
        <w:trPr>
          <w:divId w:val="1479225868"/>
          <w:trHeight w:val="240"/>
        </w:trPr>
        <w:tc>
          <w:tcPr>
            <w:tcW w:w="0" w:type="auto"/>
            <w:gridSpan w:val="3"/>
            <w:vMerge/>
            <w:tcBorders>
              <w:top w:val="single" w:sz="4" w:space="0" w:color="000000"/>
            </w:tcBorders>
            <w:vAlign w:val="center"/>
            <w:hideMark/>
          </w:tcPr>
          <w:p w:rsidR="00000000" w:rsidRDefault="001F1FC8">
            <w:pPr>
              <w:rPr>
                <w:rFonts w:eastAsia="Times New Roman"/>
              </w:rPr>
            </w:pPr>
          </w:p>
        </w:tc>
        <w:tc>
          <w:tcPr>
            <w:tcW w:w="0" w:type="auto"/>
            <w:gridSpan w:val="3"/>
            <w:tcMar>
              <w:top w:w="30" w:type="dxa"/>
              <w:left w:w="20" w:type="dxa"/>
              <w:bottom w:w="30" w:type="dxa"/>
              <w:right w:w="20" w:type="dxa"/>
            </w:tcMar>
            <w:vAlign w:val="center"/>
            <w:hideMark/>
          </w:tcPr>
          <w:p w:rsidR="00000000" w:rsidRDefault="001F1FC8">
            <w:pPr>
              <w:ind w:hanging="360"/>
              <w:divId w:val="195043710"/>
              <w:rPr>
                <w:rFonts w:eastAsia="Times New Roman"/>
              </w:rPr>
            </w:pPr>
            <w:r>
              <w:rPr>
                <w:rFonts w:ascii="Arial" w:eastAsia="Times New Roman" w:hAnsi="Arial" w:cs="Arial"/>
                <w:color w:val="000000"/>
                <w:sz w:val="20"/>
                <w:szCs w:val="20"/>
              </w:rPr>
              <w:t>•Transportation of NGLs</w:t>
            </w:r>
          </w:p>
        </w:tc>
      </w:tr>
      <w:tr w:rsidR="00000000">
        <w:trPr>
          <w:divId w:val="1479225868"/>
          <w:trHeight w:val="240"/>
        </w:trPr>
        <w:tc>
          <w:tcPr>
            <w:tcW w:w="0" w:type="auto"/>
            <w:gridSpan w:val="3"/>
            <w:vMerge/>
            <w:tcBorders>
              <w:top w:val="single" w:sz="4" w:space="0" w:color="000000"/>
            </w:tcBorders>
            <w:vAlign w:val="center"/>
            <w:hideMark/>
          </w:tcPr>
          <w:p w:rsidR="00000000" w:rsidRDefault="001F1FC8">
            <w:pPr>
              <w:rPr>
                <w:rFonts w:eastAsia="Times New Roman"/>
              </w:rPr>
            </w:pPr>
          </w:p>
        </w:tc>
        <w:tc>
          <w:tcPr>
            <w:tcW w:w="0" w:type="auto"/>
            <w:gridSpan w:val="3"/>
            <w:tcMar>
              <w:top w:w="30" w:type="dxa"/>
              <w:left w:w="20" w:type="dxa"/>
              <w:bottom w:w="30" w:type="dxa"/>
              <w:right w:w="20" w:type="dxa"/>
            </w:tcMar>
            <w:vAlign w:val="center"/>
            <w:hideMark/>
          </w:tcPr>
          <w:p w:rsidR="00000000" w:rsidRDefault="001F1FC8">
            <w:pPr>
              <w:ind w:hanging="360"/>
              <w:divId w:val="1983344610"/>
              <w:rPr>
                <w:rFonts w:eastAsia="Times New Roman"/>
              </w:rPr>
            </w:pPr>
            <w:r>
              <w:rPr>
                <w:rFonts w:ascii="Arial" w:eastAsia="Times New Roman" w:hAnsi="Arial" w:cs="Arial"/>
                <w:color w:val="000000"/>
                <w:sz w:val="20"/>
                <w:szCs w:val="20"/>
              </w:rPr>
              <w:t>•Sale of crude oil, natural gas and NGLs</w:t>
            </w:r>
          </w:p>
        </w:tc>
      </w:tr>
      <w:tr w:rsidR="00000000">
        <w:trPr>
          <w:divId w:val="1479225868"/>
          <w:trHeight w:val="240"/>
        </w:trPr>
        <w:tc>
          <w:tcPr>
            <w:tcW w:w="0" w:type="auto"/>
            <w:gridSpan w:val="3"/>
            <w:vMerge w:val="restart"/>
            <w:tcBorders>
              <w:top w:val="single" w:sz="4" w:space="0" w:color="000000"/>
            </w:tcBorders>
            <w:tcMar>
              <w:top w:w="30" w:type="dxa"/>
              <w:left w:w="20" w:type="dxa"/>
              <w:bottom w:w="30" w:type="dxa"/>
              <w:right w:w="20" w:type="dxa"/>
            </w:tcMar>
            <w:hideMark/>
          </w:tcPr>
          <w:p w:rsidR="00000000" w:rsidRDefault="001F1FC8">
            <w:pPr>
              <w:rPr>
                <w:rFonts w:eastAsia="Times New Roman"/>
              </w:rPr>
            </w:pPr>
            <w:r>
              <w:rPr>
                <w:rFonts w:ascii="Arial" w:eastAsia="Times New Roman" w:hAnsi="Arial" w:cs="Arial"/>
                <w:color w:val="000000"/>
                <w:sz w:val="20"/>
                <w:szCs w:val="20"/>
              </w:rPr>
              <w:t>Gas Distribution and Storage</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1F1FC8">
            <w:pPr>
              <w:ind w:hanging="360"/>
              <w:divId w:val="1679582534"/>
              <w:rPr>
                <w:rFonts w:eastAsia="Times New Roman"/>
              </w:rPr>
            </w:pPr>
            <w:r>
              <w:rPr>
                <w:rFonts w:ascii="Arial" w:eastAsia="Times New Roman" w:hAnsi="Arial" w:cs="Arial"/>
                <w:color w:val="000000"/>
                <w:sz w:val="20"/>
                <w:szCs w:val="20"/>
              </w:rPr>
              <w:t>•Supply and delivery of natural gas</w:t>
            </w:r>
          </w:p>
        </w:tc>
      </w:tr>
      <w:tr w:rsidR="00000000">
        <w:trPr>
          <w:divId w:val="1479225868"/>
          <w:trHeight w:val="240"/>
        </w:trPr>
        <w:tc>
          <w:tcPr>
            <w:tcW w:w="0" w:type="auto"/>
            <w:gridSpan w:val="3"/>
            <w:vMerge/>
            <w:tcBorders>
              <w:top w:val="single" w:sz="4" w:space="0" w:color="000000"/>
            </w:tcBorders>
            <w:vAlign w:val="center"/>
            <w:hideMark/>
          </w:tcPr>
          <w:p w:rsidR="00000000" w:rsidRDefault="001F1FC8">
            <w:pPr>
              <w:rPr>
                <w:rFonts w:eastAsia="Times New Roman"/>
              </w:rPr>
            </w:pPr>
          </w:p>
        </w:tc>
        <w:tc>
          <w:tcPr>
            <w:tcW w:w="0" w:type="auto"/>
            <w:gridSpan w:val="3"/>
            <w:tcMar>
              <w:top w:w="30" w:type="dxa"/>
              <w:left w:w="20" w:type="dxa"/>
              <w:bottom w:w="30" w:type="dxa"/>
              <w:right w:w="20" w:type="dxa"/>
            </w:tcMar>
            <w:vAlign w:val="center"/>
            <w:hideMark/>
          </w:tcPr>
          <w:p w:rsidR="00000000" w:rsidRDefault="001F1FC8">
            <w:pPr>
              <w:ind w:hanging="360"/>
              <w:divId w:val="1568803658"/>
              <w:rPr>
                <w:rFonts w:eastAsia="Times New Roman"/>
              </w:rPr>
            </w:pPr>
            <w:r>
              <w:rPr>
                <w:rFonts w:ascii="Arial" w:eastAsia="Times New Roman" w:hAnsi="Arial" w:cs="Arial"/>
                <w:color w:val="000000"/>
                <w:sz w:val="20"/>
                <w:szCs w:val="20"/>
              </w:rPr>
              <w:t>•</w:t>
            </w:r>
            <w:r>
              <w:rPr>
                <w:rFonts w:ascii="Arial" w:eastAsia="Times New Roman" w:hAnsi="Arial" w:cs="Arial"/>
                <w:color w:val="000000"/>
                <w:sz w:val="20"/>
                <w:szCs w:val="20"/>
              </w:rPr>
              <w:t>Transportation of natural gas</w:t>
            </w:r>
          </w:p>
        </w:tc>
      </w:tr>
      <w:tr w:rsidR="00000000">
        <w:trPr>
          <w:divId w:val="1479225868"/>
          <w:trHeight w:val="240"/>
        </w:trPr>
        <w:tc>
          <w:tcPr>
            <w:tcW w:w="0" w:type="auto"/>
            <w:gridSpan w:val="3"/>
            <w:vMerge/>
            <w:tcBorders>
              <w:top w:val="single" w:sz="4" w:space="0" w:color="000000"/>
            </w:tcBorders>
            <w:vAlign w:val="center"/>
            <w:hideMark/>
          </w:tcPr>
          <w:p w:rsidR="00000000" w:rsidRDefault="001F1FC8">
            <w:pPr>
              <w:rPr>
                <w:rFonts w:eastAsia="Times New Roman"/>
              </w:rPr>
            </w:pPr>
          </w:p>
        </w:tc>
        <w:tc>
          <w:tcPr>
            <w:tcW w:w="0" w:type="auto"/>
            <w:gridSpan w:val="3"/>
            <w:tcMar>
              <w:top w:w="30" w:type="dxa"/>
              <w:left w:w="20" w:type="dxa"/>
              <w:bottom w:w="30" w:type="dxa"/>
              <w:right w:w="20" w:type="dxa"/>
            </w:tcMar>
            <w:vAlign w:val="center"/>
            <w:hideMark/>
          </w:tcPr>
          <w:p w:rsidR="00000000" w:rsidRDefault="001F1FC8">
            <w:pPr>
              <w:ind w:hanging="360"/>
              <w:divId w:val="872301325"/>
              <w:rPr>
                <w:rFonts w:eastAsia="Times New Roman"/>
              </w:rPr>
            </w:pPr>
            <w:r>
              <w:rPr>
                <w:rFonts w:ascii="Arial" w:eastAsia="Times New Roman" w:hAnsi="Arial" w:cs="Arial"/>
                <w:color w:val="000000"/>
                <w:sz w:val="20"/>
                <w:szCs w:val="20"/>
              </w:rPr>
              <w:t>•Storage of natural gas</w:t>
            </w:r>
          </w:p>
        </w:tc>
      </w:tr>
      <w:tr w:rsidR="00000000">
        <w:trPr>
          <w:divId w:val="1479225868"/>
          <w:trHeight w:val="240"/>
        </w:trPr>
        <w:tc>
          <w:tcPr>
            <w:tcW w:w="0" w:type="auto"/>
            <w:gridSpan w:val="3"/>
            <w:vMerge w:val="restart"/>
            <w:tcBorders>
              <w:top w:val="single" w:sz="4" w:space="0" w:color="000000"/>
              <w:bottom w:val="single" w:sz="8" w:space="0" w:color="000000"/>
            </w:tcBorders>
            <w:tcMar>
              <w:top w:w="30" w:type="dxa"/>
              <w:left w:w="20" w:type="dxa"/>
              <w:bottom w:w="30" w:type="dxa"/>
              <w:right w:w="20" w:type="dxa"/>
            </w:tcMar>
            <w:hideMark/>
          </w:tcPr>
          <w:p w:rsidR="00000000" w:rsidRDefault="001F1FC8">
            <w:pPr>
              <w:rPr>
                <w:rFonts w:eastAsia="Times New Roman"/>
              </w:rPr>
            </w:pPr>
            <w:r>
              <w:rPr>
                <w:rFonts w:ascii="Arial" w:eastAsia="Times New Roman" w:hAnsi="Arial" w:cs="Arial"/>
                <w:color w:val="000000"/>
                <w:sz w:val="20"/>
                <w:szCs w:val="20"/>
              </w:rPr>
              <w:t>Renewable Power Generation</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1F1FC8">
            <w:pPr>
              <w:ind w:hanging="360"/>
              <w:divId w:val="1549754737"/>
              <w:rPr>
                <w:rFonts w:eastAsia="Times New Roman"/>
              </w:rPr>
            </w:pPr>
            <w:r>
              <w:rPr>
                <w:rFonts w:ascii="Arial" w:eastAsia="Times New Roman" w:hAnsi="Arial" w:cs="Arial"/>
                <w:color w:val="000000"/>
                <w:sz w:val="20"/>
                <w:szCs w:val="20"/>
              </w:rPr>
              <w:t>•Generation and transmission of electricity</w:t>
            </w:r>
          </w:p>
        </w:tc>
      </w:tr>
      <w:tr w:rsidR="00000000">
        <w:trPr>
          <w:divId w:val="1479225868"/>
          <w:trHeight w:val="300"/>
        </w:trPr>
        <w:tc>
          <w:tcPr>
            <w:tcW w:w="0" w:type="auto"/>
            <w:gridSpan w:val="3"/>
            <w:vMerge/>
            <w:tcBorders>
              <w:top w:val="single" w:sz="4" w:space="0" w:color="000000"/>
              <w:bottom w:val="single" w:sz="8" w:space="0" w:color="000000"/>
            </w:tcBorders>
            <w:vAlign w:val="center"/>
            <w:hideMark/>
          </w:tcPr>
          <w:p w:rsidR="00000000" w:rsidRDefault="001F1FC8">
            <w:pPr>
              <w:rPr>
                <w:rFonts w:eastAsia="Times New Roman"/>
              </w:rPr>
            </w:pPr>
          </w:p>
        </w:tc>
        <w:tc>
          <w:tcPr>
            <w:tcW w:w="0" w:type="auto"/>
            <w:gridSpan w:val="3"/>
            <w:tcBorders>
              <w:bottom w:val="single" w:sz="8" w:space="0" w:color="000000"/>
            </w:tcBorders>
            <w:tcMar>
              <w:top w:w="30" w:type="dxa"/>
              <w:left w:w="20" w:type="dxa"/>
              <w:bottom w:w="30" w:type="dxa"/>
              <w:right w:w="20" w:type="dxa"/>
            </w:tcMar>
            <w:vAlign w:val="center"/>
            <w:hideMark/>
          </w:tcPr>
          <w:p w:rsidR="00000000" w:rsidRDefault="001F1FC8">
            <w:pPr>
              <w:ind w:hanging="360"/>
              <w:divId w:val="1199003252"/>
              <w:rPr>
                <w:rFonts w:eastAsia="Times New Roman"/>
              </w:rPr>
            </w:pPr>
            <w:r>
              <w:rPr>
                <w:rFonts w:ascii="Arial" w:eastAsia="Times New Roman" w:hAnsi="Arial" w:cs="Arial"/>
                <w:color w:val="000000"/>
                <w:sz w:val="20"/>
                <w:szCs w:val="20"/>
              </w:rPr>
              <w:t>•</w:t>
            </w:r>
            <w:r>
              <w:rPr>
                <w:rFonts w:ascii="Arial" w:eastAsia="Times New Roman" w:hAnsi="Arial" w:cs="Arial"/>
                <w:color w:val="000000"/>
                <w:sz w:val="20"/>
                <w:szCs w:val="20"/>
              </w:rPr>
              <w:t>Delivery of electricity from renewable energy generation facilities</w:t>
            </w:r>
          </w:p>
        </w:tc>
      </w:tr>
    </w:tbl>
    <w:p w:rsidR="00000000" w:rsidRDefault="001F1FC8">
      <w:pPr>
        <w:divId w:val="219941831"/>
        <w:rPr>
          <w:rFonts w:eastAsia="Times New Roman"/>
        </w:rPr>
      </w:pPr>
    </w:p>
    <w:p w:rsidR="00000000" w:rsidRDefault="001F1FC8">
      <w:pPr>
        <w:divId w:val="1694644358"/>
        <w:rPr>
          <w:rFonts w:eastAsia="Times New Roman"/>
        </w:rPr>
      </w:pPr>
      <w:r>
        <w:rPr>
          <w:rFonts w:ascii="Arial" w:eastAsia="Times New Roman" w:hAnsi="Arial" w:cs="Arial"/>
          <w:color w:val="000000"/>
          <w:sz w:val="20"/>
          <w:szCs w:val="20"/>
        </w:rPr>
        <w:t>There was no material revenue recognized in the year ended December 31, 2021 from performance obligations satisfied in previous periods.</w:t>
      </w:r>
    </w:p>
    <w:p w:rsidR="00000000" w:rsidRDefault="001F1FC8">
      <w:pPr>
        <w:divId w:val="1941717523"/>
        <w:rPr>
          <w:rFonts w:eastAsia="Times New Roman"/>
        </w:rPr>
      </w:pPr>
    </w:p>
    <w:p w:rsidR="00000000" w:rsidRDefault="001F1FC8">
      <w:pPr>
        <w:jc w:val="both"/>
        <w:rPr>
          <w:rFonts w:eastAsia="Times New Roman"/>
        </w:rPr>
      </w:pPr>
      <w:r>
        <w:rPr>
          <w:rFonts w:ascii="Arial" w:eastAsia="Times New Roman" w:hAnsi="Arial" w:cs="Arial"/>
          <w:b/>
          <w:bCs/>
          <w:color w:val="000000"/>
          <w:sz w:val="20"/>
          <w:szCs w:val="20"/>
        </w:rPr>
        <w:t>Payment Terms</w:t>
      </w:r>
    </w:p>
    <w:p w:rsidR="00000000" w:rsidRDefault="001F1FC8">
      <w:pPr>
        <w:divId w:val="2025279344"/>
        <w:rPr>
          <w:rFonts w:eastAsia="Times New Roman"/>
        </w:rPr>
      </w:pPr>
      <w:r>
        <w:rPr>
          <w:rFonts w:ascii="Arial" w:eastAsia="Times New Roman" w:hAnsi="Arial" w:cs="Arial"/>
          <w:color w:val="000000"/>
          <w:sz w:val="20"/>
          <w:szCs w:val="20"/>
        </w:rPr>
        <w:t>Payments are received monthly from customers under long-term transportation, commodity sales, and gas g</w:t>
      </w:r>
      <w:r>
        <w:rPr>
          <w:rFonts w:ascii="Arial" w:eastAsia="Times New Roman" w:hAnsi="Arial" w:cs="Arial"/>
          <w:color w:val="000000"/>
          <w:sz w:val="20"/>
          <w:szCs w:val="20"/>
        </w:rPr>
        <w:t>athering and processing contracts. Payments from Gas Distribution and Storage customers are received on a continuous basis based on established billing cycles.</w:t>
      </w:r>
    </w:p>
    <w:p w:rsidR="00000000" w:rsidRDefault="001F1FC8">
      <w:pPr>
        <w:divId w:val="761414844"/>
        <w:rPr>
          <w:rFonts w:eastAsia="Times New Roman"/>
        </w:rPr>
      </w:pPr>
    </w:p>
    <w:p w:rsidR="00000000" w:rsidRDefault="001F1FC8">
      <w:pPr>
        <w:divId w:val="262734542"/>
        <w:rPr>
          <w:rFonts w:eastAsia="Times New Roman"/>
        </w:rPr>
      </w:pPr>
      <w:r>
        <w:rPr>
          <w:rFonts w:ascii="Arial" w:eastAsia="Times New Roman" w:hAnsi="Arial" w:cs="Arial"/>
          <w:color w:val="000000"/>
          <w:sz w:val="20"/>
          <w:szCs w:val="20"/>
        </w:rPr>
        <w:t>Certain contracts in the US offshore business provide for us to receive a series of fixed mont</w:t>
      </w:r>
      <w:r>
        <w:rPr>
          <w:rFonts w:ascii="Arial" w:eastAsia="Times New Roman" w:hAnsi="Arial" w:cs="Arial"/>
          <w:color w:val="000000"/>
          <w:sz w:val="20"/>
          <w:szCs w:val="20"/>
        </w:rPr>
        <w:t>hly payments (FMPs) for a specified period which is less than the period during which the performance obligations are satisfied. As a result, a portion of the FMPs are recorded as contract liabilities. The FMPs are not considered to be a financing arrangem</w:t>
      </w:r>
      <w:r>
        <w:rPr>
          <w:rFonts w:ascii="Arial" w:eastAsia="Times New Roman" w:hAnsi="Arial" w:cs="Arial"/>
          <w:color w:val="000000"/>
          <w:sz w:val="20"/>
          <w:szCs w:val="20"/>
        </w:rPr>
        <w:t>ent because the payments are scheduled to match the production profiles of offshore oil and gas fields, which generate greater revenue in the initial years of their productive lives.</w:t>
      </w:r>
    </w:p>
    <w:p w:rsidR="00000000" w:rsidRDefault="001F1FC8">
      <w:pPr>
        <w:divId w:val="668675048"/>
        <w:rPr>
          <w:rFonts w:eastAsia="Times New Roman"/>
        </w:rPr>
      </w:pPr>
    </w:p>
    <w:p w:rsidR="00000000" w:rsidRDefault="001F1FC8">
      <w:pPr>
        <w:divId w:val="142737933"/>
        <w:rPr>
          <w:rFonts w:eastAsia="Times New Roman"/>
        </w:rPr>
      </w:pPr>
      <w:r>
        <w:rPr>
          <w:rFonts w:ascii="Arial" w:eastAsia="Times New Roman" w:hAnsi="Arial" w:cs="Arial"/>
          <w:b/>
          <w:bCs/>
          <w:color w:val="000000"/>
          <w:sz w:val="20"/>
          <w:szCs w:val="20"/>
        </w:rPr>
        <w:t>Revenue to be Recognized from Unfulfilled Performance Obligations</w:t>
      </w:r>
    </w:p>
    <w:p w:rsidR="00000000" w:rsidRDefault="001F1FC8">
      <w:pPr>
        <w:divId w:val="625162023"/>
        <w:rPr>
          <w:rFonts w:eastAsia="Times New Roman"/>
        </w:rPr>
      </w:pPr>
      <w:r>
        <w:rPr>
          <w:rFonts w:ascii="Arial" w:eastAsia="Times New Roman" w:hAnsi="Arial" w:cs="Arial"/>
          <w:color w:val="000000"/>
          <w:sz w:val="20"/>
          <w:szCs w:val="20"/>
        </w:rPr>
        <w:t>Total</w:t>
      </w:r>
      <w:r>
        <w:rPr>
          <w:rFonts w:ascii="Arial" w:eastAsia="Times New Roman" w:hAnsi="Arial" w:cs="Arial"/>
          <w:color w:val="000000"/>
          <w:sz w:val="20"/>
          <w:szCs w:val="20"/>
        </w:rPr>
        <w:t xml:space="preserve"> revenue from performance obligations expected to be fulfilled in future periods is $59.8 billion, of which $7.4 billion is expected to be recognized during the year ended December 31, 2022.</w:t>
      </w:r>
    </w:p>
    <w:p w:rsidR="00000000" w:rsidRDefault="001F1FC8">
      <w:pPr>
        <w:jc w:val="both"/>
        <w:rPr>
          <w:rFonts w:eastAsia="Times New Roman"/>
        </w:rPr>
      </w:pPr>
    </w:p>
    <w:p w:rsidR="00000000" w:rsidRDefault="001F1FC8">
      <w:pPr>
        <w:jc w:val="center"/>
        <w:divId w:val="1805661015"/>
        <w:rPr>
          <w:rFonts w:eastAsia="Times New Roman"/>
        </w:rPr>
      </w:pPr>
      <w:r>
        <w:rPr>
          <w:rFonts w:ascii="Arial" w:eastAsia="Times New Roman" w:hAnsi="Arial" w:cs="Arial"/>
          <w:color w:val="000000"/>
          <w:sz w:val="20"/>
          <w:szCs w:val="20"/>
        </w:rPr>
        <w:t>118</w:t>
      </w:r>
    </w:p>
    <w:p w:rsidR="00000000" w:rsidRDefault="001F1FC8">
      <w:pPr>
        <w:rPr>
          <w:rFonts w:eastAsia="Times New Roman"/>
        </w:rPr>
      </w:pPr>
      <w:r>
        <w:rPr>
          <w:rFonts w:eastAsia="Times New Roman"/>
        </w:rPr>
        <w:pict>
          <v:rect id="_x0000_i1148" style="width:0;height:1.5pt" o:hralign="center" o:hrstd="t" o:hr="t" fillcolor="#a0a0a0" stroked="f"/>
        </w:pict>
      </w:r>
    </w:p>
    <w:p w:rsidR="00000000" w:rsidRDefault="001F1FC8">
      <w:pPr>
        <w:jc w:val="center"/>
        <w:divId w:val="2102951656"/>
        <w:rPr>
          <w:rFonts w:eastAsia="Times New Roman"/>
        </w:rPr>
      </w:pPr>
    </w:p>
    <w:p w:rsidR="00000000" w:rsidRDefault="001F1FC8">
      <w:pPr>
        <w:divId w:val="933436056"/>
        <w:rPr>
          <w:rFonts w:eastAsia="Times New Roman"/>
        </w:rPr>
      </w:pPr>
      <w:r>
        <w:rPr>
          <w:rFonts w:ascii="Arial" w:eastAsia="Times New Roman" w:hAnsi="Arial" w:cs="Arial"/>
          <w:color w:val="000000"/>
          <w:sz w:val="20"/>
          <w:szCs w:val="20"/>
        </w:rPr>
        <w:t>The revenues exclude</w:t>
      </w:r>
      <w:r>
        <w:rPr>
          <w:rFonts w:ascii="Arial" w:eastAsia="Times New Roman" w:hAnsi="Arial" w:cs="Arial"/>
          <w:color w:val="000000"/>
          <w:sz w:val="20"/>
          <w:szCs w:val="20"/>
        </w:rPr>
        <w:t>d from the amounts above based on optional exemptions available under ASC 606, as explained below, represent a significant portion of our overall revenues and revenues from contracts with customers. Certain revenues such as flow-through operating costs cha</w:t>
      </w:r>
      <w:r>
        <w:rPr>
          <w:rFonts w:ascii="Arial" w:eastAsia="Times New Roman" w:hAnsi="Arial" w:cs="Arial"/>
          <w:color w:val="000000"/>
          <w:sz w:val="20"/>
          <w:szCs w:val="20"/>
        </w:rPr>
        <w:t>rged to shippers are recognized at the amount for which we have the right to invoice our customers and are excluded from the amounts of revenue to be recognized in the future from unfulfilled performance obligations above. Variable consideration is exclude</w:t>
      </w:r>
      <w:r>
        <w:rPr>
          <w:rFonts w:ascii="Arial" w:eastAsia="Times New Roman" w:hAnsi="Arial" w:cs="Arial"/>
          <w:color w:val="000000"/>
          <w:sz w:val="20"/>
          <w:szCs w:val="20"/>
        </w:rPr>
        <w:t>d from the amounts above due to the uncertainty of the associated consideration, which is generally resolved when actual volumes and prices are determined. For example, we consider interruptible transportation service revenues to be variable revenues since</w:t>
      </w:r>
      <w:r>
        <w:rPr>
          <w:rFonts w:ascii="Arial" w:eastAsia="Times New Roman" w:hAnsi="Arial" w:cs="Arial"/>
          <w:color w:val="000000"/>
          <w:sz w:val="20"/>
          <w:szCs w:val="20"/>
        </w:rPr>
        <w:t xml:space="preserve"> volumes cannot be estimated. Additionally, the effect of escalation on certain tolls which are contractually escalated for inflation has not been reflected in the amounts above as it is not possible to reliably estimate future inflation rates. Revenues fo</w:t>
      </w:r>
      <w:r>
        <w:rPr>
          <w:rFonts w:ascii="Arial" w:eastAsia="Times New Roman" w:hAnsi="Arial" w:cs="Arial"/>
          <w:color w:val="000000"/>
          <w:sz w:val="20"/>
          <w:szCs w:val="20"/>
        </w:rPr>
        <w:t>r periods extending beyond the current rate settlement term for regulated contracts where the tolls are periodically reset by the regulator are excluded from the amounts above since future tolls remain unknown. Finally, revenues from contracts with custome</w:t>
      </w:r>
      <w:r>
        <w:rPr>
          <w:rFonts w:ascii="Arial" w:eastAsia="Times New Roman" w:hAnsi="Arial" w:cs="Arial"/>
          <w:color w:val="000000"/>
          <w:sz w:val="20"/>
          <w:szCs w:val="20"/>
        </w:rPr>
        <w:t>rs which have an original expected duration of one year or less are excluded from the amounts above.</w:t>
      </w:r>
    </w:p>
    <w:p w:rsidR="00000000" w:rsidRDefault="001F1FC8">
      <w:pPr>
        <w:divId w:val="1123888837"/>
        <w:rPr>
          <w:rFonts w:eastAsia="Times New Roman"/>
        </w:rPr>
      </w:pPr>
    </w:p>
    <w:p w:rsidR="00000000" w:rsidRDefault="001F1FC8">
      <w:pPr>
        <w:divId w:val="1060716726"/>
        <w:rPr>
          <w:rFonts w:eastAsia="Times New Roman"/>
        </w:rPr>
      </w:pPr>
      <w:r>
        <w:rPr>
          <w:rFonts w:ascii="Arial" w:eastAsia="Times New Roman" w:hAnsi="Arial" w:cs="Arial"/>
          <w:b/>
          <w:bCs/>
          <w:color w:val="000000"/>
          <w:sz w:val="20"/>
          <w:szCs w:val="20"/>
        </w:rPr>
        <w:t>SIGNIFICANT JUDGMENTS MADE IN RECOGNIZING REVENUE</w:t>
      </w:r>
    </w:p>
    <w:p w:rsidR="00000000" w:rsidRDefault="001F1FC8">
      <w:pPr>
        <w:divId w:val="528448144"/>
        <w:rPr>
          <w:rFonts w:eastAsia="Times New Roman"/>
        </w:rPr>
      </w:pPr>
      <w:r>
        <w:rPr>
          <w:rFonts w:ascii="Arial" w:eastAsia="Times New Roman" w:hAnsi="Arial" w:cs="Arial"/>
          <w:b/>
          <w:bCs/>
          <w:color w:val="000000"/>
          <w:sz w:val="20"/>
          <w:szCs w:val="20"/>
        </w:rPr>
        <w:t>Long-Term Transportation Agreements</w:t>
      </w:r>
    </w:p>
    <w:p w:rsidR="00000000" w:rsidRDefault="001F1FC8">
      <w:pPr>
        <w:divId w:val="53238996"/>
        <w:rPr>
          <w:rFonts w:eastAsia="Times New Roman"/>
        </w:rPr>
      </w:pPr>
      <w:r>
        <w:rPr>
          <w:rFonts w:ascii="Arial" w:eastAsia="Times New Roman" w:hAnsi="Arial" w:cs="Arial"/>
          <w:color w:val="000000"/>
          <w:sz w:val="20"/>
          <w:szCs w:val="20"/>
        </w:rPr>
        <w:t>For long-term transportation agreements, significant judgments pert</w:t>
      </w:r>
      <w:r>
        <w:rPr>
          <w:rFonts w:ascii="Arial" w:eastAsia="Times New Roman" w:hAnsi="Arial" w:cs="Arial"/>
          <w:color w:val="000000"/>
          <w:sz w:val="20"/>
          <w:szCs w:val="20"/>
        </w:rPr>
        <w:t>ain to the period over which revenue is recognized and whether the agreement provides for make-up rights for the shippers. Transportation revenue earned from firm contracted capacity arrangements is recognized ratably over the contract period. Transportati</w:t>
      </w:r>
      <w:r>
        <w:rPr>
          <w:rFonts w:ascii="Arial" w:eastAsia="Times New Roman" w:hAnsi="Arial" w:cs="Arial"/>
          <w:color w:val="000000"/>
          <w:sz w:val="20"/>
          <w:szCs w:val="20"/>
        </w:rPr>
        <w:t>on revenue from interruptible or volumetric-based arrangements is recognized when services are performed.</w:t>
      </w:r>
    </w:p>
    <w:p w:rsidR="00000000" w:rsidRDefault="001F1FC8">
      <w:pPr>
        <w:divId w:val="1280337778"/>
        <w:rPr>
          <w:rFonts w:eastAsia="Times New Roman"/>
        </w:rPr>
      </w:pPr>
    </w:p>
    <w:p w:rsidR="00000000" w:rsidRDefault="001F1FC8">
      <w:pPr>
        <w:divId w:val="963075982"/>
        <w:rPr>
          <w:rFonts w:eastAsia="Times New Roman"/>
        </w:rPr>
      </w:pPr>
      <w:r>
        <w:rPr>
          <w:rFonts w:ascii="Arial" w:eastAsia="Times New Roman" w:hAnsi="Arial" w:cs="Arial"/>
          <w:b/>
          <w:bCs/>
          <w:color w:val="000000"/>
          <w:sz w:val="20"/>
          <w:szCs w:val="20"/>
        </w:rPr>
        <w:t>Variable Consideration</w:t>
      </w:r>
    </w:p>
    <w:p w:rsidR="00000000" w:rsidRDefault="001F1FC8">
      <w:pPr>
        <w:divId w:val="1795950189"/>
        <w:rPr>
          <w:rFonts w:eastAsia="Times New Roman"/>
        </w:rPr>
      </w:pPr>
      <w:r>
        <w:rPr>
          <w:rFonts w:ascii="Arial" w:eastAsia="Times New Roman" w:hAnsi="Arial" w:cs="Arial"/>
          <w:color w:val="000000"/>
          <w:sz w:val="20"/>
          <w:szCs w:val="20"/>
        </w:rPr>
        <w:t>Revenue from arrangements subject to variable consideration is recognized only to the extent that it is probable that a significant reversal in the amount of cumulative revenue recognized will not occur when the uncertainty associated with the variable con</w:t>
      </w:r>
      <w:r>
        <w:rPr>
          <w:rFonts w:ascii="Arial" w:eastAsia="Times New Roman" w:hAnsi="Arial" w:cs="Arial"/>
          <w:color w:val="000000"/>
          <w:sz w:val="20"/>
          <w:szCs w:val="20"/>
        </w:rPr>
        <w:t>sideration is subsequently resolved. Uncertainties associated with variable consideration relate principally to differences between estimated and actual volumes and prices. These uncertainties are resolved each month when actual volumes are sold or transpo</w:t>
      </w:r>
      <w:r>
        <w:rPr>
          <w:rFonts w:ascii="Arial" w:eastAsia="Times New Roman" w:hAnsi="Arial" w:cs="Arial"/>
          <w:color w:val="000000"/>
          <w:sz w:val="20"/>
          <w:szCs w:val="20"/>
        </w:rPr>
        <w:t>rted and actual tolls and prices are determined.</w:t>
      </w:r>
    </w:p>
    <w:p w:rsidR="00000000" w:rsidRDefault="001F1FC8">
      <w:pPr>
        <w:divId w:val="500850449"/>
        <w:rPr>
          <w:rFonts w:eastAsia="Times New Roman"/>
        </w:rPr>
      </w:pPr>
    </w:p>
    <w:p w:rsidR="00000000" w:rsidRDefault="001F1FC8">
      <w:pPr>
        <w:divId w:val="1032875744"/>
        <w:rPr>
          <w:rFonts w:eastAsia="Times New Roman"/>
        </w:rPr>
      </w:pPr>
      <w:r>
        <w:rPr>
          <w:rFonts w:ascii="Arial" w:eastAsia="Times New Roman" w:hAnsi="Arial" w:cs="Arial"/>
          <w:color w:val="000000"/>
          <w:sz w:val="20"/>
          <w:szCs w:val="20"/>
        </w:rPr>
        <w:t xml:space="preserve">During the year ended December 31, 2021, revenue for the Canadian Mainline has been recognized in accordance with the terms of the Competitive Tolling Settlement (CTS), which expired on June 30, 2021. The </w:t>
      </w:r>
      <w:r>
        <w:rPr>
          <w:rFonts w:ascii="Arial" w:eastAsia="Times New Roman" w:hAnsi="Arial" w:cs="Arial"/>
          <w:color w:val="000000"/>
          <w:sz w:val="20"/>
          <w:szCs w:val="20"/>
        </w:rPr>
        <w:t>tolls in place on June 30, 2021 continue on an interim basis until a new commercial arrangement is implemented and are subject to finalization and adjustment applicable to the interim period, if any. Due to the uncertainty of adjustment to tolling pursuant</w:t>
      </w:r>
      <w:r>
        <w:rPr>
          <w:rFonts w:ascii="Arial" w:eastAsia="Times New Roman" w:hAnsi="Arial" w:cs="Arial"/>
          <w:color w:val="000000"/>
          <w:sz w:val="20"/>
          <w:szCs w:val="20"/>
        </w:rPr>
        <w:t xml:space="preserve"> to a CER decision and potential customer negotiations, interim toll revenue recognized during the year ended December 31, 2021 is considered variable consideration.</w:t>
      </w:r>
    </w:p>
    <w:p w:rsidR="00000000" w:rsidRDefault="001F1FC8">
      <w:pPr>
        <w:divId w:val="688995648"/>
        <w:rPr>
          <w:rFonts w:eastAsia="Times New Roman"/>
        </w:rPr>
      </w:pPr>
    </w:p>
    <w:p w:rsidR="00000000" w:rsidRDefault="001F1FC8">
      <w:pPr>
        <w:divId w:val="1670406117"/>
        <w:rPr>
          <w:rFonts w:eastAsia="Times New Roman"/>
        </w:rPr>
      </w:pPr>
      <w:r>
        <w:rPr>
          <w:rFonts w:ascii="Arial" w:eastAsia="Times New Roman" w:hAnsi="Arial" w:cs="Arial"/>
          <w:b/>
          <w:bCs/>
          <w:color w:val="000000"/>
          <w:sz w:val="20"/>
          <w:szCs w:val="20"/>
        </w:rPr>
        <w:t>Recognition and Measurement of Revenue</w:t>
      </w:r>
    </w:p>
    <w:tbl>
      <w:tblPr>
        <w:tblW w:w="5000" w:type="pct"/>
        <w:jc w:val="center"/>
        <w:tblCellMar>
          <w:top w:w="15" w:type="dxa"/>
          <w:left w:w="15" w:type="dxa"/>
          <w:bottom w:w="15" w:type="dxa"/>
          <w:right w:w="15" w:type="dxa"/>
        </w:tblCellMar>
        <w:tblLook w:val="04A0" w:firstRow="1" w:lastRow="0" w:firstColumn="1" w:lastColumn="0" w:noHBand="0" w:noVBand="1"/>
      </w:tblPr>
      <w:tblGrid>
        <w:gridCol w:w="49"/>
        <w:gridCol w:w="3584"/>
        <w:gridCol w:w="36"/>
        <w:gridCol w:w="76"/>
        <w:gridCol w:w="607"/>
        <w:gridCol w:w="36"/>
        <w:gridCol w:w="87"/>
        <w:gridCol w:w="897"/>
        <w:gridCol w:w="36"/>
        <w:gridCol w:w="81"/>
        <w:gridCol w:w="752"/>
        <w:gridCol w:w="36"/>
        <w:gridCol w:w="71"/>
        <w:gridCol w:w="812"/>
        <w:gridCol w:w="36"/>
        <w:gridCol w:w="36"/>
        <w:gridCol w:w="36"/>
        <w:gridCol w:w="36"/>
        <w:gridCol w:w="84"/>
        <w:gridCol w:w="882"/>
        <w:gridCol w:w="36"/>
      </w:tblGrid>
      <w:tr w:rsidR="00000000">
        <w:trPr>
          <w:divId w:val="1555505254"/>
          <w:jc w:val="center"/>
        </w:trPr>
        <w:tc>
          <w:tcPr>
            <w:tcW w:w="50" w:type="pct"/>
            <w:vAlign w:val="center"/>
            <w:hideMark/>
          </w:tcPr>
          <w:p w:rsidR="00000000" w:rsidRDefault="001F1FC8">
            <w:pPr>
              <w:rPr>
                <w:rFonts w:eastAsia="Times New Roman"/>
              </w:rPr>
            </w:pPr>
          </w:p>
        </w:tc>
        <w:tc>
          <w:tcPr>
            <w:tcW w:w="2204"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c>
          <w:tcPr>
            <w:tcW w:w="50" w:type="pct"/>
            <w:vAlign w:val="center"/>
            <w:hideMark/>
          </w:tcPr>
          <w:p w:rsidR="00000000" w:rsidRDefault="001F1FC8">
            <w:pPr>
              <w:rPr>
                <w:rFonts w:eastAsia="Times New Roman"/>
                <w:sz w:val="20"/>
                <w:szCs w:val="20"/>
              </w:rPr>
            </w:pPr>
          </w:p>
        </w:tc>
        <w:tc>
          <w:tcPr>
            <w:tcW w:w="401"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c>
          <w:tcPr>
            <w:tcW w:w="50" w:type="pct"/>
            <w:vAlign w:val="center"/>
            <w:hideMark/>
          </w:tcPr>
          <w:p w:rsidR="00000000" w:rsidRDefault="001F1FC8">
            <w:pPr>
              <w:rPr>
                <w:rFonts w:eastAsia="Times New Roman"/>
                <w:sz w:val="20"/>
                <w:szCs w:val="20"/>
              </w:rPr>
            </w:pPr>
          </w:p>
        </w:tc>
        <w:tc>
          <w:tcPr>
            <w:tcW w:w="521"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c>
          <w:tcPr>
            <w:tcW w:w="50" w:type="pct"/>
            <w:vAlign w:val="center"/>
            <w:hideMark/>
          </w:tcPr>
          <w:p w:rsidR="00000000" w:rsidRDefault="001F1FC8">
            <w:pPr>
              <w:rPr>
                <w:rFonts w:eastAsia="Times New Roman"/>
                <w:sz w:val="20"/>
                <w:szCs w:val="20"/>
              </w:rPr>
            </w:pPr>
          </w:p>
        </w:tc>
        <w:tc>
          <w:tcPr>
            <w:tcW w:w="465"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c>
          <w:tcPr>
            <w:tcW w:w="50" w:type="pct"/>
            <w:vAlign w:val="center"/>
            <w:hideMark/>
          </w:tcPr>
          <w:p w:rsidR="00000000" w:rsidRDefault="001F1FC8">
            <w:pPr>
              <w:rPr>
                <w:rFonts w:eastAsia="Times New Roman"/>
                <w:sz w:val="20"/>
                <w:szCs w:val="20"/>
              </w:rPr>
            </w:pPr>
          </w:p>
        </w:tc>
        <w:tc>
          <w:tcPr>
            <w:tcW w:w="545"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c>
          <w:tcPr>
            <w:tcW w:w="0" w:type="auto"/>
            <w:gridSpan w:val="3"/>
            <w:vAlign w:val="center"/>
            <w:hideMark/>
          </w:tcPr>
          <w:p w:rsidR="00000000" w:rsidRDefault="001F1FC8">
            <w:pPr>
              <w:rPr>
                <w:rFonts w:eastAsia="Times New Roman"/>
                <w:sz w:val="20"/>
                <w:szCs w:val="20"/>
              </w:rPr>
            </w:pPr>
          </w:p>
        </w:tc>
        <w:tc>
          <w:tcPr>
            <w:tcW w:w="50" w:type="pct"/>
            <w:vAlign w:val="center"/>
            <w:hideMark/>
          </w:tcPr>
          <w:p w:rsidR="00000000" w:rsidRDefault="001F1FC8">
            <w:pPr>
              <w:rPr>
                <w:rFonts w:eastAsia="Times New Roman"/>
                <w:sz w:val="20"/>
                <w:szCs w:val="20"/>
              </w:rPr>
            </w:pPr>
          </w:p>
        </w:tc>
        <w:tc>
          <w:tcPr>
            <w:tcW w:w="530"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r>
      <w:tr w:rsidR="00000000">
        <w:trPr>
          <w:divId w:val="1555505254"/>
          <w:jc w:val="center"/>
        </w:trPr>
        <w:tc>
          <w:tcPr>
            <w:tcW w:w="0" w:type="auto"/>
            <w:gridSpan w:val="3"/>
            <w:vAlign w:val="center"/>
            <w:hideMark/>
          </w:tcPr>
          <w:p w:rsidR="00000000" w:rsidRDefault="001F1FC8">
            <w:pPr>
              <w:rPr>
                <w:rFonts w:eastAsia="Times New Roman"/>
                <w:sz w:val="20"/>
                <w:szCs w:val="20"/>
              </w:rPr>
            </w:pPr>
          </w:p>
        </w:tc>
        <w:tc>
          <w:tcPr>
            <w:tcW w:w="0" w:type="auto"/>
            <w:gridSpan w:val="3"/>
            <w:vAlign w:val="center"/>
            <w:hideMark/>
          </w:tcPr>
          <w:p w:rsidR="00000000" w:rsidRDefault="001F1FC8">
            <w:pPr>
              <w:rPr>
                <w:rFonts w:eastAsia="Times New Roman"/>
                <w:sz w:val="20"/>
                <w:szCs w:val="20"/>
              </w:rPr>
            </w:pPr>
          </w:p>
        </w:tc>
        <w:tc>
          <w:tcPr>
            <w:tcW w:w="0" w:type="auto"/>
            <w:gridSpan w:val="3"/>
            <w:vAlign w:val="center"/>
            <w:hideMark/>
          </w:tcPr>
          <w:p w:rsidR="00000000" w:rsidRDefault="001F1FC8">
            <w:pPr>
              <w:rPr>
                <w:rFonts w:eastAsia="Times New Roman"/>
                <w:sz w:val="20"/>
                <w:szCs w:val="20"/>
              </w:rPr>
            </w:pPr>
          </w:p>
        </w:tc>
        <w:tc>
          <w:tcPr>
            <w:tcW w:w="0" w:type="auto"/>
            <w:gridSpan w:val="3"/>
            <w:vAlign w:val="center"/>
            <w:hideMark/>
          </w:tcPr>
          <w:p w:rsidR="00000000" w:rsidRDefault="001F1FC8">
            <w:pPr>
              <w:rPr>
                <w:rFonts w:eastAsia="Times New Roman"/>
                <w:sz w:val="20"/>
                <w:szCs w:val="20"/>
              </w:rPr>
            </w:pPr>
          </w:p>
        </w:tc>
        <w:tc>
          <w:tcPr>
            <w:tcW w:w="0" w:type="auto"/>
            <w:gridSpan w:val="3"/>
            <w:vAlign w:val="center"/>
            <w:hideMark/>
          </w:tcPr>
          <w:p w:rsidR="00000000" w:rsidRDefault="001F1FC8">
            <w:pPr>
              <w:rPr>
                <w:rFonts w:eastAsia="Times New Roman"/>
                <w:sz w:val="20"/>
                <w:szCs w:val="20"/>
              </w:rPr>
            </w:pPr>
          </w:p>
        </w:tc>
        <w:tc>
          <w:tcPr>
            <w:tcW w:w="0" w:type="auto"/>
            <w:gridSpan w:val="3"/>
            <w:vAlign w:val="center"/>
            <w:hideMark/>
          </w:tcPr>
          <w:p w:rsidR="00000000" w:rsidRDefault="001F1FC8">
            <w:pPr>
              <w:rPr>
                <w:rFonts w:eastAsia="Times New Roman"/>
                <w:sz w:val="20"/>
                <w:szCs w:val="20"/>
              </w:rPr>
            </w:pPr>
          </w:p>
        </w:tc>
        <w:tc>
          <w:tcPr>
            <w:tcW w:w="0" w:type="auto"/>
            <w:gridSpan w:val="3"/>
            <w:vAlign w:val="center"/>
            <w:hideMark/>
          </w:tcPr>
          <w:p w:rsidR="00000000" w:rsidRDefault="001F1FC8">
            <w:pPr>
              <w:rPr>
                <w:rFonts w:eastAsia="Times New Roman"/>
                <w:sz w:val="20"/>
                <w:szCs w:val="20"/>
              </w:rPr>
            </w:pPr>
          </w:p>
        </w:tc>
      </w:tr>
      <w:tr w:rsidR="00000000">
        <w:trPr>
          <w:divId w:val="1555505254"/>
          <w:jc w:val="center"/>
        </w:trPr>
        <w:tc>
          <w:tcPr>
            <w:tcW w:w="0" w:type="auto"/>
            <w:gridSpan w:val="3"/>
            <w:vAlign w:val="center"/>
            <w:hideMark/>
          </w:tcPr>
          <w:p w:rsidR="00000000" w:rsidRDefault="001F1FC8">
            <w:pPr>
              <w:rPr>
                <w:rFonts w:eastAsia="Times New Roman"/>
                <w:sz w:val="20"/>
                <w:szCs w:val="20"/>
              </w:rPr>
            </w:pPr>
          </w:p>
        </w:tc>
        <w:tc>
          <w:tcPr>
            <w:tcW w:w="0" w:type="auto"/>
            <w:gridSpan w:val="3"/>
            <w:vAlign w:val="center"/>
            <w:hideMark/>
          </w:tcPr>
          <w:p w:rsidR="00000000" w:rsidRDefault="001F1FC8">
            <w:pPr>
              <w:rPr>
                <w:rFonts w:eastAsia="Times New Roman"/>
                <w:sz w:val="20"/>
                <w:szCs w:val="20"/>
              </w:rPr>
            </w:pPr>
          </w:p>
        </w:tc>
        <w:tc>
          <w:tcPr>
            <w:tcW w:w="0" w:type="auto"/>
            <w:vAlign w:val="center"/>
            <w:hideMark/>
          </w:tcPr>
          <w:p w:rsidR="00000000" w:rsidRDefault="001F1FC8">
            <w:pPr>
              <w:rPr>
                <w:rFonts w:eastAsia="Times New Roman"/>
                <w:sz w:val="20"/>
                <w:szCs w:val="20"/>
              </w:rPr>
            </w:pPr>
          </w:p>
        </w:tc>
        <w:tc>
          <w:tcPr>
            <w:tcW w:w="0" w:type="auto"/>
            <w:vAlign w:val="center"/>
            <w:hideMark/>
          </w:tcPr>
          <w:p w:rsidR="00000000" w:rsidRDefault="001F1FC8">
            <w:pPr>
              <w:rPr>
                <w:rFonts w:eastAsia="Times New Roman"/>
                <w:sz w:val="20"/>
                <w:szCs w:val="20"/>
              </w:rPr>
            </w:pPr>
          </w:p>
        </w:tc>
        <w:tc>
          <w:tcPr>
            <w:tcW w:w="0" w:type="auto"/>
            <w:vAlign w:val="center"/>
            <w:hideMark/>
          </w:tcPr>
          <w:p w:rsidR="00000000" w:rsidRDefault="001F1FC8">
            <w:pPr>
              <w:rPr>
                <w:rFonts w:eastAsia="Times New Roman"/>
                <w:sz w:val="20"/>
                <w:szCs w:val="20"/>
              </w:rPr>
            </w:pPr>
          </w:p>
        </w:tc>
        <w:tc>
          <w:tcPr>
            <w:tcW w:w="0" w:type="auto"/>
            <w:vAlign w:val="center"/>
            <w:hideMark/>
          </w:tcPr>
          <w:p w:rsidR="00000000" w:rsidRDefault="001F1FC8">
            <w:pPr>
              <w:rPr>
                <w:rFonts w:eastAsia="Times New Roman"/>
                <w:sz w:val="20"/>
                <w:szCs w:val="20"/>
              </w:rPr>
            </w:pPr>
          </w:p>
        </w:tc>
        <w:tc>
          <w:tcPr>
            <w:tcW w:w="0" w:type="auto"/>
            <w:vAlign w:val="center"/>
            <w:hideMark/>
          </w:tcPr>
          <w:p w:rsidR="00000000" w:rsidRDefault="001F1FC8">
            <w:pPr>
              <w:rPr>
                <w:rFonts w:eastAsia="Times New Roman"/>
                <w:sz w:val="20"/>
                <w:szCs w:val="20"/>
              </w:rPr>
            </w:pPr>
          </w:p>
        </w:tc>
        <w:tc>
          <w:tcPr>
            <w:tcW w:w="0" w:type="auto"/>
            <w:vAlign w:val="center"/>
            <w:hideMark/>
          </w:tcPr>
          <w:p w:rsidR="00000000" w:rsidRDefault="001F1FC8">
            <w:pPr>
              <w:rPr>
                <w:rFonts w:eastAsia="Times New Roman"/>
                <w:sz w:val="20"/>
                <w:szCs w:val="20"/>
              </w:rPr>
            </w:pPr>
          </w:p>
        </w:tc>
        <w:tc>
          <w:tcPr>
            <w:tcW w:w="0" w:type="auto"/>
            <w:vAlign w:val="center"/>
            <w:hideMark/>
          </w:tcPr>
          <w:p w:rsidR="00000000" w:rsidRDefault="001F1FC8">
            <w:pPr>
              <w:rPr>
                <w:rFonts w:eastAsia="Times New Roman"/>
                <w:sz w:val="20"/>
                <w:szCs w:val="20"/>
              </w:rPr>
            </w:pPr>
          </w:p>
        </w:tc>
        <w:tc>
          <w:tcPr>
            <w:tcW w:w="0" w:type="auto"/>
            <w:vAlign w:val="center"/>
            <w:hideMark/>
          </w:tcPr>
          <w:p w:rsidR="00000000" w:rsidRDefault="001F1FC8">
            <w:pPr>
              <w:rPr>
                <w:rFonts w:eastAsia="Times New Roman"/>
                <w:sz w:val="20"/>
                <w:szCs w:val="20"/>
              </w:rPr>
            </w:pPr>
          </w:p>
        </w:tc>
        <w:tc>
          <w:tcPr>
            <w:tcW w:w="0" w:type="auto"/>
            <w:vAlign w:val="center"/>
            <w:hideMark/>
          </w:tcPr>
          <w:p w:rsidR="00000000" w:rsidRDefault="001F1FC8">
            <w:pPr>
              <w:rPr>
                <w:rFonts w:eastAsia="Times New Roman"/>
                <w:sz w:val="20"/>
                <w:szCs w:val="20"/>
              </w:rPr>
            </w:pPr>
          </w:p>
        </w:tc>
        <w:tc>
          <w:tcPr>
            <w:tcW w:w="0" w:type="auto"/>
            <w:vAlign w:val="center"/>
            <w:hideMark/>
          </w:tcPr>
          <w:p w:rsidR="00000000" w:rsidRDefault="001F1FC8">
            <w:pPr>
              <w:rPr>
                <w:rFonts w:eastAsia="Times New Roman"/>
                <w:sz w:val="20"/>
                <w:szCs w:val="20"/>
              </w:rPr>
            </w:pPr>
          </w:p>
        </w:tc>
        <w:tc>
          <w:tcPr>
            <w:tcW w:w="0" w:type="auto"/>
            <w:vAlign w:val="center"/>
            <w:hideMark/>
          </w:tcPr>
          <w:p w:rsidR="00000000" w:rsidRDefault="001F1FC8">
            <w:pPr>
              <w:rPr>
                <w:rFonts w:eastAsia="Times New Roman"/>
                <w:sz w:val="20"/>
                <w:szCs w:val="20"/>
              </w:rPr>
            </w:pPr>
          </w:p>
        </w:tc>
        <w:tc>
          <w:tcPr>
            <w:tcW w:w="0" w:type="auto"/>
            <w:vAlign w:val="center"/>
            <w:hideMark/>
          </w:tcPr>
          <w:p w:rsidR="00000000" w:rsidRDefault="001F1FC8">
            <w:pPr>
              <w:rPr>
                <w:rFonts w:eastAsia="Times New Roman"/>
                <w:sz w:val="20"/>
                <w:szCs w:val="20"/>
              </w:rPr>
            </w:pPr>
          </w:p>
        </w:tc>
        <w:tc>
          <w:tcPr>
            <w:tcW w:w="0" w:type="auto"/>
            <w:vAlign w:val="center"/>
            <w:hideMark/>
          </w:tcPr>
          <w:p w:rsidR="00000000" w:rsidRDefault="001F1FC8">
            <w:pPr>
              <w:rPr>
                <w:rFonts w:eastAsia="Times New Roman"/>
                <w:sz w:val="20"/>
                <w:szCs w:val="20"/>
              </w:rPr>
            </w:pPr>
          </w:p>
        </w:tc>
        <w:tc>
          <w:tcPr>
            <w:tcW w:w="0" w:type="auto"/>
            <w:vAlign w:val="center"/>
            <w:hideMark/>
          </w:tcPr>
          <w:p w:rsidR="00000000" w:rsidRDefault="001F1FC8">
            <w:pPr>
              <w:rPr>
                <w:rFonts w:eastAsia="Times New Roman"/>
                <w:sz w:val="20"/>
                <w:szCs w:val="20"/>
              </w:rPr>
            </w:pPr>
          </w:p>
        </w:tc>
        <w:tc>
          <w:tcPr>
            <w:tcW w:w="0" w:type="auto"/>
            <w:vAlign w:val="center"/>
            <w:hideMark/>
          </w:tcPr>
          <w:p w:rsidR="00000000" w:rsidRDefault="001F1FC8">
            <w:pPr>
              <w:rPr>
                <w:rFonts w:eastAsia="Times New Roman"/>
                <w:sz w:val="20"/>
                <w:szCs w:val="20"/>
              </w:rPr>
            </w:pPr>
          </w:p>
        </w:tc>
      </w:tr>
      <w:tr w:rsidR="00000000">
        <w:trPr>
          <w:divId w:val="1555505254"/>
          <w:jc w:val="center"/>
        </w:trPr>
        <w:tc>
          <w:tcPr>
            <w:tcW w:w="0" w:type="auto"/>
            <w:gridSpan w:val="3"/>
            <w:vAlign w:val="center"/>
            <w:hideMark/>
          </w:tcPr>
          <w:p w:rsidR="00000000" w:rsidRDefault="001F1FC8">
            <w:pPr>
              <w:rPr>
                <w:rFonts w:eastAsia="Times New Roman"/>
                <w:sz w:val="20"/>
                <w:szCs w:val="20"/>
              </w:rPr>
            </w:pPr>
          </w:p>
        </w:tc>
        <w:tc>
          <w:tcPr>
            <w:tcW w:w="0" w:type="auto"/>
            <w:gridSpan w:val="3"/>
            <w:vAlign w:val="center"/>
            <w:hideMark/>
          </w:tcPr>
          <w:p w:rsidR="00000000" w:rsidRDefault="001F1FC8">
            <w:pPr>
              <w:rPr>
                <w:rFonts w:eastAsia="Times New Roman"/>
                <w:sz w:val="20"/>
                <w:szCs w:val="20"/>
              </w:rPr>
            </w:pPr>
          </w:p>
        </w:tc>
        <w:tc>
          <w:tcPr>
            <w:tcW w:w="0" w:type="auto"/>
            <w:gridSpan w:val="3"/>
            <w:vAlign w:val="center"/>
            <w:hideMark/>
          </w:tcPr>
          <w:p w:rsidR="00000000" w:rsidRDefault="001F1FC8">
            <w:pPr>
              <w:rPr>
                <w:rFonts w:eastAsia="Times New Roman"/>
                <w:sz w:val="20"/>
                <w:szCs w:val="20"/>
              </w:rPr>
            </w:pPr>
          </w:p>
        </w:tc>
        <w:tc>
          <w:tcPr>
            <w:tcW w:w="0" w:type="auto"/>
            <w:gridSpan w:val="3"/>
            <w:vAlign w:val="center"/>
            <w:hideMark/>
          </w:tcPr>
          <w:p w:rsidR="00000000" w:rsidRDefault="001F1FC8">
            <w:pPr>
              <w:rPr>
                <w:rFonts w:eastAsia="Times New Roman"/>
                <w:sz w:val="20"/>
                <w:szCs w:val="20"/>
              </w:rPr>
            </w:pPr>
          </w:p>
        </w:tc>
        <w:tc>
          <w:tcPr>
            <w:tcW w:w="0" w:type="auto"/>
            <w:gridSpan w:val="3"/>
            <w:vAlign w:val="center"/>
            <w:hideMark/>
          </w:tcPr>
          <w:p w:rsidR="00000000" w:rsidRDefault="001F1FC8">
            <w:pPr>
              <w:rPr>
                <w:rFonts w:eastAsia="Times New Roman"/>
                <w:sz w:val="20"/>
                <w:szCs w:val="20"/>
              </w:rPr>
            </w:pPr>
          </w:p>
        </w:tc>
        <w:tc>
          <w:tcPr>
            <w:tcW w:w="0" w:type="auto"/>
            <w:gridSpan w:val="3"/>
            <w:vAlign w:val="center"/>
            <w:hideMark/>
          </w:tcPr>
          <w:p w:rsidR="00000000" w:rsidRDefault="001F1FC8">
            <w:pPr>
              <w:rPr>
                <w:rFonts w:eastAsia="Times New Roman"/>
                <w:sz w:val="20"/>
                <w:szCs w:val="20"/>
              </w:rPr>
            </w:pPr>
          </w:p>
        </w:tc>
        <w:tc>
          <w:tcPr>
            <w:tcW w:w="0" w:type="auto"/>
            <w:gridSpan w:val="3"/>
            <w:vAlign w:val="center"/>
            <w:hideMark/>
          </w:tcPr>
          <w:p w:rsidR="00000000" w:rsidRDefault="001F1FC8">
            <w:pPr>
              <w:rPr>
                <w:rFonts w:eastAsia="Times New Roman"/>
                <w:sz w:val="20"/>
                <w:szCs w:val="20"/>
              </w:rPr>
            </w:pPr>
          </w:p>
        </w:tc>
      </w:tr>
      <w:tr w:rsidR="00000000">
        <w:trPr>
          <w:divId w:val="1555505254"/>
          <w:jc w:val="center"/>
        </w:trPr>
        <w:tc>
          <w:tcPr>
            <w:tcW w:w="0" w:type="auto"/>
            <w:gridSpan w:val="3"/>
            <w:vAlign w:val="center"/>
            <w:hideMark/>
          </w:tcPr>
          <w:p w:rsidR="00000000" w:rsidRDefault="001F1FC8">
            <w:pPr>
              <w:rPr>
                <w:rFonts w:eastAsia="Times New Roman"/>
                <w:sz w:val="20"/>
                <w:szCs w:val="20"/>
              </w:rPr>
            </w:pPr>
          </w:p>
        </w:tc>
        <w:tc>
          <w:tcPr>
            <w:tcW w:w="0" w:type="auto"/>
            <w:gridSpan w:val="3"/>
            <w:vAlign w:val="center"/>
            <w:hideMark/>
          </w:tcPr>
          <w:p w:rsidR="00000000" w:rsidRDefault="001F1FC8">
            <w:pPr>
              <w:rPr>
                <w:rFonts w:eastAsia="Times New Roman"/>
                <w:sz w:val="20"/>
                <w:szCs w:val="20"/>
              </w:rPr>
            </w:pPr>
          </w:p>
        </w:tc>
        <w:tc>
          <w:tcPr>
            <w:tcW w:w="0" w:type="auto"/>
            <w:gridSpan w:val="3"/>
            <w:vAlign w:val="center"/>
            <w:hideMark/>
          </w:tcPr>
          <w:p w:rsidR="00000000" w:rsidRDefault="001F1FC8">
            <w:pPr>
              <w:rPr>
                <w:rFonts w:eastAsia="Times New Roman"/>
                <w:sz w:val="20"/>
                <w:szCs w:val="20"/>
              </w:rPr>
            </w:pPr>
          </w:p>
        </w:tc>
        <w:tc>
          <w:tcPr>
            <w:tcW w:w="0" w:type="auto"/>
            <w:gridSpan w:val="3"/>
            <w:vAlign w:val="center"/>
            <w:hideMark/>
          </w:tcPr>
          <w:p w:rsidR="00000000" w:rsidRDefault="001F1FC8">
            <w:pPr>
              <w:rPr>
                <w:rFonts w:eastAsia="Times New Roman"/>
                <w:sz w:val="20"/>
                <w:szCs w:val="20"/>
              </w:rPr>
            </w:pPr>
          </w:p>
        </w:tc>
        <w:tc>
          <w:tcPr>
            <w:tcW w:w="0" w:type="auto"/>
            <w:gridSpan w:val="3"/>
            <w:vAlign w:val="center"/>
            <w:hideMark/>
          </w:tcPr>
          <w:p w:rsidR="00000000" w:rsidRDefault="001F1FC8">
            <w:pPr>
              <w:rPr>
                <w:rFonts w:eastAsia="Times New Roman"/>
                <w:sz w:val="20"/>
                <w:szCs w:val="20"/>
              </w:rPr>
            </w:pPr>
          </w:p>
        </w:tc>
        <w:tc>
          <w:tcPr>
            <w:tcW w:w="0" w:type="auto"/>
            <w:gridSpan w:val="3"/>
            <w:vAlign w:val="center"/>
            <w:hideMark/>
          </w:tcPr>
          <w:p w:rsidR="00000000" w:rsidRDefault="001F1FC8">
            <w:pPr>
              <w:rPr>
                <w:rFonts w:eastAsia="Times New Roman"/>
                <w:sz w:val="20"/>
                <w:szCs w:val="20"/>
              </w:rPr>
            </w:pPr>
          </w:p>
        </w:tc>
        <w:tc>
          <w:tcPr>
            <w:tcW w:w="0" w:type="auto"/>
            <w:gridSpan w:val="3"/>
            <w:vAlign w:val="center"/>
            <w:hideMark/>
          </w:tcPr>
          <w:p w:rsidR="00000000" w:rsidRDefault="001F1FC8">
            <w:pPr>
              <w:rPr>
                <w:rFonts w:eastAsia="Times New Roman"/>
                <w:sz w:val="20"/>
                <w:szCs w:val="20"/>
              </w:rPr>
            </w:pPr>
          </w:p>
        </w:tc>
      </w:tr>
      <w:tr w:rsidR="00000000">
        <w:trPr>
          <w:divId w:val="1555505254"/>
          <w:jc w:val="center"/>
        </w:trPr>
        <w:tc>
          <w:tcPr>
            <w:tcW w:w="0" w:type="auto"/>
            <w:gridSpan w:val="3"/>
            <w:vAlign w:val="center"/>
            <w:hideMark/>
          </w:tcPr>
          <w:p w:rsidR="00000000" w:rsidRDefault="001F1FC8">
            <w:pPr>
              <w:rPr>
                <w:rFonts w:eastAsia="Times New Roman"/>
                <w:sz w:val="20"/>
                <w:szCs w:val="20"/>
              </w:rPr>
            </w:pPr>
          </w:p>
        </w:tc>
        <w:tc>
          <w:tcPr>
            <w:tcW w:w="0" w:type="auto"/>
            <w:gridSpan w:val="3"/>
            <w:vAlign w:val="center"/>
            <w:hideMark/>
          </w:tcPr>
          <w:p w:rsidR="00000000" w:rsidRDefault="001F1FC8">
            <w:pPr>
              <w:rPr>
                <w:rFonts w:eastAsia="Times New Roman"/>
                <w:sz w:val="20"/>
                <w:szCs w:val="20"/>
              </w:rPr>
            </w:pPr>
          </w:p>
        </w:tc>
        <w:tc>
          <w:tcPr>
            <w:tcW w:w="0" w:type="auto"/>
            <w:gridSpan w:val="3"/>
            <w:vAlign w:val="center"/>
            <w:hideMark/>
          </w:tcPr>
          <w:p w:rsidR="00000000" w:rsidRDefault="001F1FC8">
            <w:pPr>
              <w:rPr>
                <w:rFonts w:eastAsia="Times New Roman"/>
                <w:sz w:val="20"/>
                <w:szCs w:val="20"/>
              </w:rPr>
            </w:pPr>
          </w:p>
        </w:tc>
        <w:tc>
          <w:tcPr>
            <w:tcW w:w="0" w:type="auto"/>
            <w:gridSpan w:val="3"/>
            <w:vAlign w:val="center"/>
            <w:hideMark/>
          </w:tcPr>
          <w:p w:rsidR="00000000" w:rsidRDefault="001F1FC8">
            <w:pPr>
              <w:rPr>
                <w:rFonts w:eastAsia="Times New Roman"/>
                <w:sz w:val="20"/>
                <w:szCs w:val="20"/>
              </w:rPr>
            </w:pPr>
          </w:p>
        </w:tc>
        <w:tc>
          <w:tcPr>
            <w:tcW w:w="0" w:type="auto"/>
            <w:gridSpan w:val="3"/>
            <w:vAlign w:val="center"/>
            <w:hideMark/>
          </w:tcPr>
          <w:p w:rsidR="00000000" w:rsidRDefault="001F1FC8">
            <w:pPr>
              <w:rPr>
                <w:rFonts w:eastAsia="Times New Roman"/>
                <w:sz w:val="20"/>
                <w:szCs w:val="20"/>
              </w:rPr>
            </w:pPr>
          </w:p>
        </w:tc>
        <w:tc>
          <w:tcPr>
            <w:tcW w:w="0" w:type="auto"/>
            <w:gridSpan w:val="3"/>
            <w:vAlign w:val="center"/>
            <w:hideMark/>
          </w:tcPr>
          <w:p w:rsidR="00000000" w:rsidRDefault="001F1FC8">
            <w:pPr>
              <w:rPr>
                <w:rFonts w:eastAsia="Times New Roman"/>
                <w:sz w:val="20"/>
                <w:szCs w:val="20"/>
              </w:rPr>
            </w:pPr>
          </w:p>
        </w:tc>
        <w:tc>
          <w:tcPr>
            <w:tcW w:w="0" w:type="auto"/>
            <w:gridSpan w:val="3"/>
            <w:vAlign w:val="center"/>
            <w:hideMark/>
          </w:tcPr>
          <w:p w:rsidR="00000000" w:rsidRDefault="001F1FC8">
            <w:pPr>
              <w:rPr>
                <w:rFonts w:eastAsia="Times New Roman"/>
                <w:sz w:val="20"/>
                <w:szCs w:val="20"/>
              </w:rPr>
            </w:pPr>
          </w:p>
        </w:tc>
      </w:tr>
      <w:tr w:rsidR="00000000">
        <w:trPr>
          <w:divId w:val="1555505254"/>
          <w:jc w:val="center"/>
        </w:trPr>
        <w:tc>
          <w:tcPr>
            <w:tcW w:w="0" w:type="auto"/>
            <w:gridSpan w:val="3"/>
            <w:vAlign w:val="center"/>
            <w:hideMark/>
          </w:tcPr>
          <w:p w:rsidR="00000000" w:rsidRDefault="001F1FC8">
            <w:pPr>
              <w:rPr>
                <w:rFonts w:eastAsia="Times New Roman"/>
                <w:sz w:val="20"/>
                <w:szCs w:val="20"/>
              </w:rPr>
            </w:pPr>
          </w:p>
        </w:tc>
        <w:tc>
          <w:tcPr>
            <w:tcW w:w="0" w:type="auto"/>
            <w:gridSpan w:val="3"/>
            <w:vAlign w:val="center"/>
            <w:hideMark/>
          </w:tcPr>
          <w:p w:rsidR="00000000" w:rsidRDefault="001F1FC8">
            <w:pPr>
              <w:rPr>
                <w:rFonts w:eastAsia="Times New Roman"/>
                <w:sz w:val="20"/>
                <w:szCs w:val="20"/>
              </w:rPr>
            </w:pPr>
          </w:p>
        </w:tc>
        <w:tc>
          <w:tcPr>
            <w:tcW w:w="0" w:type="auto"/>
            <w:gridSpan w:val="3"/>
            <w:vAlign w:val="center"/>
            <w:hideMark/>
          </w:tcPr>
          <w:p w:rsidR="00000000" w:rsidRDefault="001F1FC8">
            <w:pPr>
              <w:rPr>
                <w:rFonts w:eastAsia="Times New Roman"/>
                <w:sz w:val="20"/>
                <w:szCs w:val="20"/>
              </w:rPr>
            </w:pPr>
          </w:p>
        </w:tc>
        <w:tc>
          <w:tcPr>
            <w:tcW w:w="0" w:type="auto"/>
            <w:gridSpan w:val="3"/>
            <w:vAlign w:val="center"/>
            <w:hideMark/>
          </w:tcPr>
          <w:p w:rsidR="00000000" w:rsidRDefault="001F1FC8">
            <w:pPr>
              <w:rPr>
                <w:rFonts w:eastAsia="Times New Roman"/>
                <w:sz w:val="20"/>
                <w:szCs w:val="20"/>
              </w:rPr>
            </w:pPr>
          </w:p>
        </w:tc>
        <w:tc>
          <w:tcPr>
            <w:tcW w:w="0" w:type="auto"/>
            <w:gridSpan w:val="3"/>
            <w:vAlign w:val="center"/>
            <w:hideMark/>
          </w:tcPr>
          <w:p w:rsidR="00000000" w:rsidRDefault="001F1FC8">
            <w:pPr>
              <w:rPr>
                <w:rFonts w:eastAsia="Times New Roman"/>
                <w:sz w:val="20"/>
                <w:szCs w:val="20"/>
              </w:rPr>
            </w:pPr>
          </w:p>
        </w:tc>
        <w:tc>
          <w:tcPr>
            <w:tcW w:w="0" w:type="auto"/>
            <w:gridSpan w:val="3"/>
            <w:vAlign w:val="center"/>
            <w:hideMark/>
          </w:tcPr>
          <w:p w:rsidR="00000000" w:rsidRDefault="001F1FC8">
            <w:pPr>
              <w:rPr>
                <w:rFonts w:eastAsia="Times New Roman"/>
                <w:sz w:val="20"/>
                <w:szCs w:val="20"/>
              </w:rPr>
            </w:pPr>
          </w:p>
        </w:tc>
        <w:tc>
          <w:tcPr>
            <w:tcW w:w="0" w:type="auto"/>
            <w:gridSpan w:val="3"/>
            <w:vAlign w:val="center"/>
            <w:hideMark/>
          </w:tcPr>
          <w:p w:rsidR="00000000" w:rsidRDefault="001F1FC8">
            <w:pPr>
              <w:rPr>
                <w:rFonts w:eastAsia="Times New Roman"/>
                <w:sz w:val="20"/>
                <w:szCs w:val="20"/>
              </w:rPr>
            </w:pPr>
          </w:p>
        </w:tc>
      </w:tr>
      <w:tr w:rsidR="00000000">
        <w:trPr>
          <w:divId w:val="1555505254"/>
          <w:jc w:val="center"/>
        </w:trPr>
        <w:tc>
          <w:tcPr>
            <w:tcW w:w="0" w:type="auto"/>
            <w:gridSpan w:val="3"/>
            <w:vAlign w:val="center"/>
            <w:hideMark/>
          </w:tcPr>
          <w:p w:rsidR="00000000" w:rsidRDefault="001F1FC8">
            <w:pPr>
              <w:rPr>
                <w:rFonts w:eastAsia="Times New Roman"/>
                <w:sz w:val="20"/>
                <w:szCs w:val="20"/>
              </w:rPr>
            </w:pPr>
          </w:p>
        </w:tc>
        <w:tc>
          <w:tcPr>
            <w:tcW w:w="0" w:type="auto"/>
            <w:gridSpan w:val="3"/>
            <w:vAlign w:val="center"/>
            <w:hideMark/>
          </w:tcPr>
          <w:p w:rsidR="00000000" w:rsidRDefault="001F1FC8">
            <w:pPr>
              <w:rPr>
                <w:rFonts w:eastAsia="Times New Roman"/>
                <w:sz w:val="20"/>
                <w:szCs w:val="20"/>
              </w:rPr>
            </w:pPr>
          </w:p>
        </w:tc>
        <w:tc>
          <w:tcPr>
            <w:tcW w:w="0" w:type="auto"/>
            <w:gridSpan w:val="3"/>
            <w:vAlign w:val="center"/>
            <w:hideMark/>
          </w:tcPr>
          <w:p w:rsidR="00000000" w:rsidRDefault="001F1FC8">
            <w:pPr>
              <w:rPr>
                <w:rFonts w:eastAsia="Times New Roman"/>
                <w:sz w:val="20"/>
                <w:szCs w:val="20"/>
              </w:rPr>
            </w:pPr>
          </w:p>
        </w:tc>
        <w:tc>
          <w:tcPr>
            <w:tcW w:w="0" w:type="auto"/>
            <w:gridSpan w:val="3"/>
            <w:vAlign w:val="center"/>
            <w:hideMark/>
          </w:tcPr>
          <w:p w:rsidR="00000000" w:rsidRDefault="001F1FC8">
            <w:pPr>
              <w:rPr>
                <w:rFonts w:eastAsia="Times New Roman"/>
                <w:sz w:val="20"/>
                <w:szCs w:val="20"/>
              </w:rPr>
            </w:pPr>
          </w:p>
        </w:tc>
        <w:tc>
          <w:tcPr>
            <w:tcW w:w="0" w:type="auto"/>
            <w:gridSpan w:val="3"/>
            <w:vAlign w:val="center"/>
            <w:hideMark/>
          </w:tcPr>
          <w:p w:rsidR="00000000" w:rsidRDefault="001F1FC8">
            <w:pPr>
              <w:rPr>
                <w:rFonts w:eastAsia="Times New Roman"/>
                <w:sz w:val="20"/>
                <w:szCs w:val="20"/>
              </w:rPr>
            </w:pPr>
          </w:p>
        </w:tc>
        <w:tc>
          <w:tcPr>
            <w:tcW w:w="0" w:type="auto"/>
            <w:gridSpan w:val="3"/>
            <w:vAlign w:val="center"/>
            <w:hideMark/>
          </w:tcPr>
          <w:p w:rsidR="00000000" w:rsidRDefault="001F1FC8">
            <w:pPr>
              <w:rPr>
                <w:rFonts w:eastAsia="Times New Roman"/>
                <w:sz w:val="20"/>
                <w:szCs w:val="20"/>
              </w:rPr>
            </w:pPr>
          </w:p>
        </w:tc>
        <w:tc>
          <w:tcPr>
            <w:tcW w:w="0" w:type="auto"/>
            <w:gridSpan w:val="3"/>
            <w:vAlign w:val="center"/>
            <w:hideMark/>
          </w:tcPr>
          <w:p w:rsidR="00000000" w:rsidRDefault="001F1FC8">
            <w:pPr>
              <w:rPr>
                <w:rFonts w:eastAsia="Times New Roman"/>
                <w:sz w:val="20"/>
                <w:szCs w:val="20"/>
              </w:rPr>
            </w:pPr>
          </w:p>
        </w:tc>
      </w:tr>
      <w:tr w:rsidR="00000000">
        <w:trPr>
          <w:divId w:val="1555505254"/>
          <w:jc w:val="center"/>
        </w:trPr>
        <w:tc>
          <w:tcPr>
            <w:tcW w:w="0" w:type="auto"/>
            <w:gridSpan w:val="3"/>
            <w:vAlign w:val="center"/>
            <w:hideMark/>
          </w:tcPr>
          <w:p w:rsidR="00000000" w:rsidRDefault="001F1FC8">
            <w:pPr>
              <w:rPr>
                <w:rFonts w:eastAsia="Times New Roman"/>
                <w:sz w:val="20"/>
                <w:szCs w:val="20"/>
              </w:rPr>
            </w:pPr>
          </w:p>
        </w:tc>
        <w:tc>
          <w:tcPr>
            <w:tcW w:w="0" w:type="auto"/>
            <w:gridSpan w:val="3"/>
            <w:vAlign w:val="center"/>
            <w:hideMark/>
          </w:tcPr>
          <w:p w:rsidR="00000000" w:rsidRDefault="001F1FC8">
            <w:pPr>
              <w:rPr>
                <w:rFonts w:eastAsia="Times New Roman"/>
                <w:sz w:val="20"/>
                <w:szCs w:val="20"/>
              </w:rPr>
            </w:pPr>
          </w:p>
        </w:tc>
        <w:tc>
          <w:tcPr>
            <w:tcW w:w="0" w:type="auto"/>
            <w:gridSpan w:val="3"/>
            <w:vAlign w:val="center"/>
            <w:hideMark/>
          </w:tcPr>
          <w:p w:rsidR="00000000" w:rsidRDefault="001F1FC8">
            <w:pPr>
              <w:rPr>
                <w:rFonts w:eastAsia="Times New Roman"/>
                <w:sz w:val="20"/>
                <w:szCs w:val="20"/>
              </w:rPr>
            </w:pPr>
          </w:p>
        </w:tc>
        <w:tc>
          <w:tcPr>
            <w:tcW w:w="0" w:type="auto"/>
            <w:gridSpan w:val="3"/>
            <w:vAlign w:val="center"/>
            <w:hideMark/>
          </w:tcPr>
          <w:p w:rsidR="00000000" w:rsidRDefault="001F1FC8">
            <w:pPr>
              <w:rPr>
                <w:rFonts w:eastAsia="Times New Roman"/>
                <w:sz w:val="20"/>
                <w:szCs w:val="20"/>
              </w:rPr>
            </w:pPr>
          </w:p>
        </w:tc>
        <w:tc>
          <w:tcPr>
            <w:tcW w:w="0" w:type="auto"/>
            <w:gridSpan w:val="3"/>
            <w:vAlign w:val="center"/>
            <w:hideMark/>
          </w:tcPr>
          <w:p w:rsidR="00000000" w:rsidRDefault="001F1FC8">
            <w:pPr>
              <w:rPr>
                <w:rFonts w:eastAsia="Times New Roman"/>
                <w:sz w:val="20"/>
                <w:szCs w:val="20"/>
              </w:rPr>
            </w:pPr>
          </w:p>
        </w:tc>
        <w:tc>
          <w:tcPr>
            <w:tcW w:w="0" w:type="auto"/>
            <w:gridSpan w:val="3"/>
            <w:vAlign w:val="center"/>
            <w:hideMark/>
          </w:tcPr>
          <w:p w:rsidR="00000000" w:rsidRDefault="001F1FC8">
            <w:pPr>
              <w:rPr>
                <w:rFonts w:eastAsia="Times New Roman"/>
                <w:sz w:val="20"/>
                <w:szCs w:val="20"/>
              </w:rPr>
            </w:pPr>
          </w:p>
        </w:tc>
        <w:tc>
          <w:tcPr>
            <w:tcW w:w="0" w:type="auto"/>
            <w:gridSpan w:val="3"/>
            <w:vAlign w:val="center"/>
            <w:hideMark/>
          </w:tcPr>
          <w:p w:rsidR="00000000" w:rsidRDefault="001F1FC8">
            <w:pPr>
              <w:rPr>
                <w:rFonts w:eastAsia="Times New Roman"/>
                <w:sz w:val="20"/>
                <w:szCs w:val="20"/>
              </w:rPr>
            </w:pPr>
          </w:p>
        </w:tc>
      </w:tr>
      <w:tr w:rsidR="00000000">
        <w:trPr>
          <w:divId w:val="1555505254"/>
          <w:jc w:val="center"/>
        </w:trPr>
        <w:tc>
          <w:tcPr>
            <w:tcW w:w="0" w:type="auto"/>
            <w:gridSpan w:val="3"/>
            <w:vAlign w:val="center"/>
            <w:hideMark/>
          </w:tcPr>
          <w:p w:rsidR="00000000" w:rsidRDefault="001F1FC8">
            <w:pPr>
              <w:rPr>
                <w:rFonts w:eastAsia="Times New Roman"/>
                <w:sz w:val="20"/>
                <w:szCs w:val="20"/>
              </w:rPr>
            </w:pPr>
          </w:p>
        </w:tc>
        <w:tc>
          <w:tcPr>
            <w:tcW w:w="0" w:type="auto"/>
            <w:gridSpan w:val="3"/>
            <w:vAlign w:val="center"/>
            <w:hideMark/>
          </w:tcPr>
          <w:p w:rsidR="00000000" w:rsidRDefault="001F1FC8">
            <w:pPr>
              <w:rPr>
                <w:rFonts w:eastAsia="Times New Roman"/>
                <w:sz w:val="20"/>
                <w:szCs w:val="20"/>
              </w:rPr>
            </w:pPr>
          </w:p>
        </w:tc>
        <w:tc>
          <w:tcPr>
            <w:tcW w:w="0" w:type="auto"/>
            <w:gridSpan w:val="3"/>
            <w:vAlign w:val="center"/>
            <w:hideMark/>
          </w:tcPr>
          <w:p w:rsidR="00000000" w:rsidRDefault="001F1FC8">
            <w:pPr>
              <w:rPr>
                <w:rFonts w:eastAsia="Times New Roman"/>
                <w:sz w:val="20"/>
                <w:szCs w:val="20"/>
              </w:rPr>
            </w:pPr>
          </w:p>
        </w:tc>
        <w:tc>
          <w:tcPr>
            <w:tcW w:w="0" w:type="auto"/>
            <w:gridSpan w:val="3"/>
            <w:vAlign w:val="center"/>
            <w:hideMark/>
          </w:tcPr>
          <w:p w:rsidR="00000000" w:rsidRDefault="001F1FC8">
            <w:pPr>
              <w:rPr>
                <w:rFonts w:eastAsia="Times New Roman"/>
                <w:sz w:val="20"/>
                <w:szCs w:val="20"/>
              </w:rPr>
            </w:pPr>
          </w:p>
        </w:tc>
        <w:tc>
          <w:tcPr>
            <w:tcW w:w="0" w:type="auto"/>
            <w:gridSpan w:val="3"/>
            <w:vAlign w:val="center"/>
            <w:hideMark/>
          </w:tcPr>
          <w:p w:rsidR="00000000" w:rsidRDefault="001F1FC8">
            <w:pPr>
              <w:rPr>
                <w:rFonts w:eastAsia="Times New Roman"/>
                <w:sz w:val="20"/>
                <w:szCs w:val="20"/>
              </w:rPr>
            </w:pPr>
          </w:p>
        </w:tc>
        <w:tc>
          <w:tcPr>
            <w:tcW w:w="0" w:type="auto"/>
            <w:gridSpan w:val="3"/>
            <w:vAlign w:val="center"/>
            <w:hideMark/>
          </w:tcPr>
          <w:p w:rsidR="00000000" w:rsidRDefault="001F1FC8">
            <w:pPr>
              <w:rPr>
                <w:rFonts w:eastAsia="Times New Roman"/>
                <w:sz w:val="20"/>
                <w:szCs w:val="20"/>
              </w:rPr>
            </w:pPr>
          </w:p>
        </w:tc>
        <w:tc>
          <w:tcPr>
            <w:tcW w:w="0" w:type="auto"/>
            <w:gridSpan w:val="3"/>
            <w:vAlign w:val="center"/>
            <w:hideMark/>
          </w:tcPr>
          <w:p w:rsidR="00000000" w:rsidRDefault="001F1FC8">
            <w:pPr>
              <w:rPr>
                <w:rFonts w:eastAsia="Times New Roman"/>
                <w:sz w:val="20"/>
                <w:szCs w:val="20"/>
              </w:rPr>
            </w:pPr>
          </w:p>
        </w:tc>
      </w:tr>
      <w:tr w:rsidR="00000000">
        <w:trPr>
          <w:divId w:val="1555505254"/>
          <w:jc w:val="center"/>
        </w:trPr>
        <w:tc>
          <w:tcPr>
            <w:tcW w:w="0" w:type="auto"/>
            <w:gridSpan w:val="3"/>
            <w:vAlign w:val="center"/>
            <w:hideMark/>
          </w:tcPr>
          <w:p w:rsidR="00000000" w:rsidRDefault="001F1FC8">
            <w:pPr>
              <w:rPr>
                <w:rFonts w:eastAsia="Times New Roman"/>
                <w:sz w:val="20"/>
                <w:szCs w:val="20"/>
              </w:rPr>
            </w:pPr>
          </w:p>
        </w:tc>
        <w:tc>
          <w:tcPr>
            <w:tcW w:w="0" w:type="auto"/>
            <w:gridSpan w:val="3"/>
            <w:vAlign w:val="center"/>
            <w:hideMark/>
          </w:tcPr>
          <w:p w:rsidR="00000000" w:rsidRDefault="001F1FC8">
            <w:pPr>
              <w:rPr>
                <w:rFonts w:eastAsia="Times New Roman"/>
                <w:sz w:val="20"/>
                <w:szCs w:val="20"/>
              </w:rPr>
            </w:pPr>
          </w:p>
        </w:tc>
        <w:tc>
          <w:tcPr>
            <w:tcW w:w="0" w:type="auto"/>
            <w:gridSpan w:val="3"/>
            <w:vAlign w:val="center"/>
            <w:hideMark/>
          </w:tcPr>
          <w:p w:rsidR="00000000" w:rsidRDefault="001F1FC8">
            <w:pPr>
              <w:rPr>
                <w:rFonts w:eastAsia="Times New Roman"/>
                <w:sz w:val="20"/>
                <w:szCs w:val="20"/>
              </w:rPr>
            </w:pPr>
          </w:p>
        </w:tc>
        <w:tc>
          <w:tcPr>
            <w:tcW w:w="0" w:type="auto"/>
            <w:gridSpan w:val="3"/>
            <w:vAlign w:val="center"/>
            <w:hideMark/>
          </w:tcPr>
          <w:p w:rsidR="00000000" w:rsidRDefault="001F1FC8">
            <w:pPr>
              <w:rPr>
                <w:rFonts w:eastAsia="Times New Roman"/>
                <w:sz w:val="20"/>
                <w:szCs w:val="20"/>
              </w:rPr>
            </w:pPr>
          </w:p>
        </w:tc>
        <w:tc>
          <w:tcPr>
            <w:tcW w:w="0" w:type="auto"/>
            <w:gridSpan w:val="3"/>
            <w:vAlign w:val="center"/>
            <w:hideMark/>
          </w:tcPr>
          <w:p w:rsidR="00000000" w:rsidRDefault="001F1FC8">
            <w:pPr>
              <w:rPr>
                <w:rFonts w:eastAsia="Times New Roman"/>
                <w:sz w:val="20"/>
                <w:szCs w:val="20"/>
              </w:rPr>
            </w:pPr>
          </w:p>
        </w:tc>
        <w:tc>
          <w:tcPr>
            <w:tcW w:w="0" w:type="auto"/>
            <w:gridSpan w:val="3"/>
            <w:vAlign w:val="center"/>
            <w:hideMark/>
          </w:tcPr>
          <w:p w:rsidR="00000000" w:rsidRDefault="001F1FC8">
            <w:pPr>
              <w:rPr>
                <w:rFonts w:eastAsia="Times New Roman"/>
                <w:sz w:val="20"/>
                <w:szCs w:val="20"/>
              </w:rPr>
            </w:pPr>
          </w:p>
        </w:tc>
        <w:tc>
          <w:tcPr>
            <w:tcW w:w="0" w:type="auto"/>
            <w:gridSpan w:val="3"/>
            <w:vAlign w:val="center"/>
            <w:hideMark/>
          </w:tcPr>
          <w:p w:rsidR="00000000" w:rsidRDefault="001F1FC8">
            <w:pPr>
              <w:rPr>
                <w:rFonts w:eastAsia="Times New Roman"/>
                <w:sz w:val="20"/>
                <w:szCs w:val="20"/>
              </w:rPr>
            </w:pPr>
          </w:p>
        </w:tc>
      </w:tr>
      <w:tr w:rsidR="00000000">
        <w:trPr>
          <w:divId w:val="1555505254"/>
          <w:jc w:val="center"/>
        </w:trPr>
        <w:tc>
          <w:tcPr>
            <w:tcW w:w="0" w:type="auto"/>
            <w:gridSpan w:val="3"/>
            <w:vAlign w:val="center"/>
            <w:hideMark/>
          </w:tcPr>
          <w:p w:rsidR="00000000" w:rsidRDefault="001F1FC8">
            <w:pPr>
              <w:rPr>
                <w:rFonts w:eastAsia="Times New Roman"/>
                <w:sz w:val="20"/>
                <w:szCs w:val="20"/>
              </w:rPr>
            </w:pPr>
          </w:p>
        </w:tc>
        <w:tc>
          <w:tcPr>
            <w:tcW w:w="0" w:type="auto"/>
            <w:gridSpan w:val="3"/>
            <w:vAlign w:val="center"/>
            <w:hideMark/>
          </w:tcPr>
          <w:p w:rsidR="00000000" w:rsidRDefault="001F1FC8">
            <w:pPr>
              <w:rPr>
                <w:rFonts w:eastAsia="Times New Roman"/>
                <w:sz w:val="20"/>
                <w:szCs w:val="20"/>
              </w:rPr>
            </w:pPr>
          </w:p>
        </w:tc>
        <w:tc>
          <w:tcPr>
            <w:tcW w:w="0" w:type="auto"/>
            <w:gridSpan w:val="3"/>
            <w:vAlign w:val="center"/>
            <w:hideMark/>
          </w:tcPr>
          <w:p w:rsidR="00000000" w:rsidRDefault="001F1FC8">
            <w:pPr>
              <w:rPr>
                <w:rFonts w:eastAsia="Times New Roman"/>
                <w:sz w:val="20"/>
                <w:szCs w:val="20"/>
              </w:rPr>
            </w:pPr>
          </w:p>
        </w:tc>
        <w:tc>
          <w:tcPr>
            <w:tcW w:w="0" w:type="auto"/>
            <w:gridSpan w:val="3"/>
            <w:vAlign w:val="center"/>
            <w:hideMark/>
          </w:tcPr>
          <w:p w:rsidR="00000000" w:rsidRDefault="001F1FC8">
            <w:pPr>
              <w:rPr>
                <w:rFonts w:eastAsia="Times New Roman"/>
                <w:sz w:val="20"/>
                <w:szCs w:val="20"/>
              </w:rPr>
            </w:pPr>
          </w:p>
        </w:tc>
        <w:tc>
          <w:tcPr>
            <w:tcW w:w="0" w:type="auto"/>
            <w:gridSpan w:val="3"/>
            <w:vAlign w:val="center"/>
            <w:hideMark/>
          </w:tcPr>
          <w:p w:rsidR="00000000" w:rsidRDefault="001F1FC8">
            <w:pPr>
              <w:rPr>
                <w:rFonts w:eastAsia="Times New Roman"/>
                <w:sz w:val="20"/>
                <w:szCs w:val="20"/>
              </w:rPr>
            </w:pPr>
          </w:p>
        </w:tc>
        <w:tc>
          <w:tcPr>
            <w:tcW w:w="0" w:type="auto"/>
            <w:gridSpan w:val="3"/>
            <w:vAlign w:val="center"/>
            <w:hideMark/>
          </w:tcPr>
          <w:p w:rsidR="00000000" w:rsidRDefault="001F1FC8">
            <w:pPr>
              <w:rPr>
                <w:rFonts w:eastAsia="Times New Roman"/>
                <w:sz w:val="20"/>
                <w:szCs w:val="20"/>
              </w:rPr>
            </w:pPr>
          </w:p>
        </w:tc>
        <w:tc>
          <w:tcPr>
            <w:tcW w:w="0" w:type="auto"/>
            <w:gridSpan w:val="3"/>
            <w:vAlign w:val="center"/>
            <w:hideMark/>
          </w:tcPr>
          <w:p w:rsidR="00000000" w:rsidRDefault="001F1FC8">
            <w:pPr>
              <w:rPr>
                <w:rFonts w:eastAsia="Times New Roman"/>
                <w:sz w:val="20"/>
                <w:szCs w:val="20"/>
              </w:rPr>
            </w:pPr>
          </w:p>
        </w:tc>
      </w:tr>
      <w:tr w:rsidR="00000000">
        <w:trPr>
          <w:divId w:val="1555505254"/>
          <w:jc w:val="center"/>
        </w:trPr>
        <w:tc>
          <w:tcPr>
            <w:tcW w:w="0" w:type="auto"/>
            <w:gridSpan w:val="3"/>
            <w:vAlign w:val="center"/>
            <w:hideMark/>
          </w:tcPr>
          <w:p w:rsidR="00000000" w:rsidRDefault="001F1FC8">
            <w:pPr>
              <w:rPr>
                <w:rFonts w:eastAsia="Times New Roman"/>
                <w:sz w:val="20"/>
                <w:szCs w:val="20"/>
              </w:rPr>
            </w:pPr>
          </w:p>
        </w:tc>
        <w:tc>
          <w:tcPr>
            <w:tcW w:w="0" w:type="auto"/>
            <w:gridSpan w:val="3"/>
            <w:vAlign w:val="center"/>
            <w:hideMark/>
          </w:tcPr>
          <w:p w:rsidR="00000000" w:rsidRDefault="001F1FC8">
            <w:pPr>
              <w:rPr>
                <w:rFonts w:eastAsia="Times New Roman"/>
                <w:sz w:val="20"/>
                <w:szCs w:val="20"/>
              </w:rPr>
            </w:pPr>
          </w:p>
        </w:tc>
        <w:tc>
          <w:tcPr>
            <w:tcW w:w="0" w:type="auto"/>
            <w:gridSpan w:val="3"/>
            <w:vAlign w:val="center"/>
            <w:hideMark/>
          </w:tcPr>
          <w:p w:rsidR="00000000" w:rsidRDefault="001F1FC8">
            <w:pPr>
              <w:rPr>
                <w:rFonts w:eastAsia="Times New Roman"/>
                <w:sz w:val="20"/>
                <w:szCs w:val="20"/>
              </w:rPr>
            </w:pPr>
          </w:p>
        </w:tc>
        <w:tc>
          <w:tcPr>
            <w:tcW w:w="0" w:type="auto"/>
            <w:gridSpan w:val="3"/>
            <w:vAlign w:val="center"/>
            <w:hideMark/>
          </w:tcPr>
          <w:p w:rsidR="00000000" w:rsidRDefault="001F1FC8">
            <w:pPr>
              <w:rPr>
                <w:rFonts w:eastAsia="Times New Roman"/>
                <w:sz w:val="20"/>
                <w:szCs w:val="20"/>
              </w:rPr>
            </w:pPr>
          </w:p>
        </w:tc>
        <w:tc>
          <w:tcPr>
            <w:tcW w:w="0" w:type="auto"/>
            <w:gridSpan w:val="3"/>
            <w:vAlign w:val="center"/>
            <w:hideMark/>
          </w:tcPr>
          <w:p w:rsidR="00000000" w:rsidRDefault="001F1FC8">
            <w:pPr>
              <w:rPr>
                <w:rFonts w:eastAsia="Times New Roman"/>
                <w:sz w:val="20"/>
                <w:szCs w:val="20"/>
              </w:rPr>
            </w:pPr>
          </w:p>
        </w:tc>
        <w:tc>
          <w:tcPr>
            <w:tcW w:w="0" w:type="auto"/>
            <w:gridSpan w:val="3"/>
            <w:vAlign w:val="center"/>
            <w:hideMark/>
          </w:tcPr>
          <w:p w:rsidR="00000000" w:rsidRDefault="001F1FC8">
            <w:pPr>
              <w:rPr>
                <w:rFonts w:eastAsia="Times New Roman"/>
                <w:sz w:val="20"/>
                <w:szCs w:val="20"/>
              </w:rPr>
            </w:pPr>
          </w:p>
        </w:tc>
        <w:tc>
          <w:tcPr>
            <w:tcW w:w="0" w:type="auto"/>
            <w:gridSpan w:val="3"/>
            <w:vAlign w:val="center"/>
            <w:hideMark/>
          </w:tcPr>
          <w:p w:rsidR="00000000" w:rsidRDefault="001F1FC8">
            <w:pPr>
              <w:rPr>
                <w:rFonts w:eastAsia="Times New Roman"/>
                <w:sz w:val="20"/>
                <w:szCs w:val="20"/>
              </w:rPr>
            </w:pPr>
          </w:p>
        </w:tc>
      </w:tr>
      <w:tr w:rsidR="00000000">
        <w:trPr>
          <w:divId w:val="1555505254"/>
          <w:jc w:val="center"/>
        </w:trPr>
        <w:tc>
          <w:tcPr>
            <w:tcW w:w="0" w:type="auto"/>
            <w:gridSpan w:val="3"/>
            <w:vAlign w:val="center"/>
            <w:hideMark/>
          </w:tcPr>
          <w:p w:rsidR="00000000" w:rsidRDefault="001F1FC8">
            <w:pPr>
              <w:rPr>
                <w:rFonts w:eastAsia="Times New Roman"/>
                <w:sz w:val="20"/>
                <w:szCs w:val="20"/>
              </w:rPr>
            </w:pPr>
          </w:p>
        </w:tc>
        <w:tc>
          <w:tcPr>
            <w:tcW w:w="0" w:type="auto"/>
            <w:gridSpan w:val="3"/>
            <w:vAlign w:val="center"/>
            <w:hideMark/>
          </w:tcPr>
          <w:p w:rsidR="00000000" w:rsidRDefault="001F1FC8">
            <w:pPr>
              <w:rPr>
                <w:rFonts w:eastAsia="Times New Roman"/>
                <w:sz w:val="20"/>
                <w:szCs w:val="20"/>
              </w:rPr>
            </w:pPr>
          </w:p>
        </w:tc>
        <w:tc>
          <w:tcPr>
            <w:tcW w:w="0" w:type="auto"/>
            <w:gridSpan w:val="3"/>
            <w:vAlign w:val="center"/>
            <w:hideMark/>
          </w:tcPr>
          <w:p w:rsidR="00000000" w:rsidRDefault="001F1FC8">
            <w:pPr>
              <w:rPr>
                <w:rFonts w:eastAsia="Times New Roman"/>
                <w:sz w:val="20"/>
                <w:szCs w:val="20"/>
              </w:rPr>
            </w:pPr>
          </w:p>
        </w:tc>
        <w:tc>
          <w:tcPr>
            <w:tcW w:w="0" w:type="auto"/>
            <w:gridSpan w:val="3"/>
            <w:vAlign w:val="center"/>
            <w:hideMark/>
          </w:tcPr>
          <w:p w:rsidR="00000000" w:rsidRDefault="001F1FC8">
            <w:pPr>
              <w:rPr>
                <w:rFonts w:eastAsia="Times New Roman"/>
                <w:sz w:val="20"/>
                <w:szCs w:val="20"/>
              </w:rPr>
            </w:pPr>
          </w:p>
        </w:tc>
        <w:tc>
          <w:tcPr>
            <w:tcW w:w="0" w:type="auto"/>
            <w:gridSpan w:val="3"/>
            <w:vAlign w:val="center"/>
            <w:hideMark/>
          </w:tcPr>
          <w:p w:rsidR="00000000" w:rsidRDefault="001F1FC8">
            <w:pPr>
              <w:rPr>
                <w:rFonts w:eastAsia="Times New Roman"/>
                <w:sz w:val="20"/>
                <w:szCs w:val="20"/>
              </w:rPr>
            </w:pPr>
          </w:p>
        </w:tc>
        <w:tc>
          <w:tcPr>
            <w:tcW w:w="0" w:type="auto"/>
            <w:gridSpan w:val="3"/>
            <w:vAlign w:val="center"/>
            <w:hideMark/>
          </w:tcPr>
          <w:p w:rsidR="00000000" w:rsidRDefault="001F1FC8">
            <w:pPr>
              <w:rPr>
                <w:rFonts w:eastAsia="Times New Roman"/>
                <w:sz w:val="20"/>
                <w:szCs w:val="20"/>
              </w:rPr>
            </w:pPr>
          </w:p>
        </w:tc>
        <w:tc>
          <w:tcPr>
            <w:tcW w:w="0" w:type="auto"/>
            <w:gridSpan w:val="3"/>
            <w:vAlign w:val="center"/>
            <w:hideMark/>
          </w:tcPr>
          <w:p w:rsidR="00000000" w:rsidRDefault="001F1FC8">
            <w:pPr>
              <w:rPr>
                <w:rFonts w:eastAsia="Times New Roman"/>
                <w:sz w:val="20"/>
                <w:szCs w:val="20"/>
              </w:rPr>
            </w:pPr>
          </w:p>
        </w:tc>
      </w:tr>
      <w:tr w:rsidR="00000000">
        <w:trPr>
          <w:divId w:val="1555505254"/>
          <w:jc w:val="center"/>
        </w:trPr>
        <w:tc>
          <w:tcPr>
            <w:tcW w:w="0" w:type="auto"/>
            <w:gridSpan w:val="3"/>
            <w:vAlign w:val="center"/>
            <w:hideMark/>
          </w:tcPr>
          <w:p w:rsidR="00000000" w:rsidRDefault="001F1FC8">
            <w:pPr>
              <w:rPr>
                <w:rFonts w:eastAsia="Times New Roman"/>
                <w:sz w:val="20"/>
                <w:szCs w:val="20"/>
              </w:rPr>
            </w:pPr>
          </w:p>
        </w:tc>
        <w:tc>
          <w:tcPr>
            <w:tcW w:w="0" w:type="auto"/>
            <w:gridSpan w:val="3"/>
            <w:vAlign w:val="center"/>
            <w:hideMark/>
          </w:tcPr>
          <w:p w:rsidR="00000000" w:rsidRDefault="001F1FC8">
            <w:pPr>
              <w:rPr>
                <w:rFonts w:eastAsia="Times New Roman"/>
                <w:sz w:val="20"/>
                <w:szCs w:val="20"/>
              </w:rPr>
            </w:pPr>
          </w:p>
        </w:tc>
        <w:tc>
          <w:tcPr>
            <w:tcW w:w="0" w:type="auto"/>
            <w:gridSpan w:val="3"/>
            <w:vAlign w:val="center"/>
            <w:hideMark/>
          </w:tcPr>
          <w:p w:rsidR="00000000" w:rsidRDefault="001F1FC8">
            <w:pPr>
              <w:rPr>
                <w:rFonts w:eastAsia="Times New Roman"/>
                <w:sz w:val="20"/>
                <w:szCs w:val="20"/>
              </w:rPr>
            </w:pPr>
          </w:p>
        </w:tc>
        <w:tc>
          <w:tcPr>
            <w:tcW w:w="0" w:type="auto"/>
            <w:gridSpan w:val="3"/>
            <w:vAlign w:val="center"/>
            <w:hideMark/>
          </w:tcPr>
          <w:p w:rsidR="00000000" w:rsidRDefault="001F1FC8">
            <w:pPr>
              <w:rPr>
                <w:rFonts w:eastAsia="Times New Roman"/>
                <w:sz w:val="20"/>
                <w:szCs w:val="20"/>
              </w:rPr>
            </w:pPr>
          </w:p>
        </w:tc>
        <w:tc>
          <w:tcPr>
            <w:tcW w:w="0" w:type="auto"/>
            <w:gridSpan w:val="3"/>
            <w:vAlign w:val="center"/>
            <w:hideMark/>
          </w:tcPr>
          <w:p w:rsidR="00000000" w:rsidRDefault="001F1FC8">
            <w:pPr>
              <w:rPr>
                <w:rFonts w:eastAsia="Times New Roman"/>
                <w:sz w:val="20"/>
                <w:szCs w:val="20"/>
              </w:rPr>
            </w:pPr>
          </w:p>
        </w:tc>
        <w:tc>
          <w:tcPr>
            <w:tcW w:w="0" w:type="auto"/>
            <w:gridSpan w:val="3"/>
            <w:vAlign w:val="center"/>
            <w:hideMark/>
          </w:tcPr>
          <w:p w:rsidR="00000000" w:rsidRDefault="001F1FC8">
            <w:pPr>
              <w:rPr>
                <w:rFonts w:eastAsia="Times New Roman"/>
                <w:sz w:val="20"/>
                <w:szCs w:val="20"/>
              </w:rPr>
            </w:pPr>
          </w:p>
        </w:tc>
        <w:tc>
          <w:tcPr>
            <w:tcW w:w="0" w:type="auto"/>
            <w:gridSpan w:val="3"/>
            <w:vAlign w:val="center"/>
            <w:hideMark/>
          </w:tcPr>
          <w:p w:rsidR="00000000" w:rsidRDefault="001F1FC8">
            <w:pPr>
              <w:rPr>
                <w:rFonts w:eastAsia="Times New Roman"/>
                <w:sz w:val="20"/>
                <w:szCs w:val="20"/>
              </w:rPr>
            </w:pPr>
          </w:p>
        </w:tc>
      </w:tr>
      <w:tr w:rsidR="00000000">
        <w:trPr>
          <w:divId w:val="1555505254"/>
          <w:jc w:val="center"/>
        </w:trPr>
        <w:tc>
          <w:tcPr>
            <w:tcW w:w="0" w:type="auto"/>
            <w:gridSpan w:val="3"/>
            <w:vAlign w:val="center"/>
            <w:hideMark/>
          </w:tcPr>
          <w:p w:rsidR="00000000" w:rsidRDefault="001F1FC8">
            <w:pPr>
              <w:rPr>
                <w:rFonts w:eastAsia="Times New Roman"/>
                <w:sz w:val="20"/>
                <w:szCs w:val="20"/>
              </w:rPr>
            </w:pPr>
          </w:p>
        </w:tc>
        <w:tc>
          <w:tcPr>
            <w:tcW w:w="0" w:type="auto"/>
            <w:gridSpan w:val="3"/>
            <w:vAlign w:val="center"/>
            <w:hideMark/>
          </w:tcPr>
          <w:p w:rsidR="00000000" w:rsidRDefault="001F1FC8">
            <w:pPr>
              <w:rPr>
                <w:rFonts w:eastAsia="Times New Roman"/>
                <w:sz w:val="20"/>
                <w:szCs w:val="20"/>
              </w:rPr>
            </w:pPr>
          </w:p>
        </w:tc>
        <w:tc>
          <w:tcPr>
            <w:tcW w:w="0" w:type="auto"/>
            <w:vAlign w:val="center"/>
            <w:hideMark/>
          </w:tcPr>
          <w:p w:rsidR="00000000" w:rsidRDefault="001F1FC8">
            <w:pPr>
              <w:rPr>
                <w:rFonts w:eastAsia="Times New Roman"/>
                <w:sz w:val="20"/>
                <w:szCs w:val="20"/>
              </w:rPr>
            </w:pPr>
          </w:p>
        </w:tc>
        <w:tc>
          <w:tcPr>
            <w:tcW w:w="0" w:type="auto"/>
            <w:vAlign w:val="center"/>
            <w:hideMark/>
          </w:tcPr>
          <w:p w:rsidR="00000000" w:rsidRDefault="001F1FC8">
            <w:pPr>
              <w:rPr>
                <w:rFonts w:eastAsia="Times New Roman"/>
                <w:sz w:val="20"/>
                <w:szCs w:val="20"/>
              </w:rPr>
            </w:pPr>
          </w:p>
        </w:tc>
        <w:tc>
          <w:tcPr>
            <w:tcW w:w="0" w:type="auto"/>
            <w:vAlign w:val="center"/>
            <w:hideMark/>
          </w:tcPr>
          <w:p w:rsidR="00000000" w:rsidRDefault="001F1FC8">
            <w:pPr>
              <w:rPr>
                <w:rFonts w:eastAsia="Times New Roman"/>
                <w:sz w:val="20"/>
                <w:szCs w:val="20"/>
              </w:rPr>
            </w:pPr>
          </w:p>
        </w:tc>
        <w:tc>
          <w:tcPr>
            <w:tcW w:w="0" w:type="auto"/>
            <w:vAlign w:val="center"/>
            <w:hideMark/>
          </w:tcPr>
          <w:p w:rsidR="00000000" w:rsidRDefault="001F1FC8">
            <w:pPr>
              <w:rPr>
                <w:rFonts w:eastAsia="Times New Roman"/>
                <w:sz w:val="20"/>
                <w:szCs w:val="20"/>
              </w:rPr>
            </w:pPr>
          </w:p>
        </w:tc>
        <w:tc>
          <w:tcPr>
            <w:tcW w:w="0" w:type="auto"/>
            <w:vAlign w:val="center"/>
            <w:hideMark/>
          </w:tcPr>
          <w:p w:rsidR="00000000" w:rsidRDefault="001F1FC8">
            <w:pPr>
              <w:rPr>
                <w:rFonts w:eastAsia="Times New Roman"/>
                <w:sz w:val="20"/>
                <w:szCs w:val="20"/>
              </w:rPr>
            </w:pPr>
          </w:p>
        </w:tc>
        <w:tc>
          <w:tcPr>
            <w:tcW w:w="0" w:type="auto"/>
            <w:vAlign w:val="center"/>
            <w:hideMark/>
          </w:tcPr>
          <w:p w:rsidR="00000000" w:rsidRDefault="001F1FC8">
            <w:pPr>
              <w:rPr>
                <w:rFonts w:eastAsia="Times New Roman"/>
                <w:sz w:val="20"/>
                <w:szCs w:val="20"/>
              </w:rPr>
            </w:pPr>
          </w:p>
        </w:tc>
        <w:tc>
          <w:tcPr>
            <w:tcW w:w="0" w:type="auto"/>
            <w:vAlign w:val="center"/>
            <w:hideMark/>
          </w:tcPr>
          <w:p w:rsidR="00000000" w:rsidRDefault="001F1FC8">
            <w:pPr>
              <w:rPr>
                <w:rFonts w:eastAsia="Times New Roman"/>
                <w:sz w:val="20"/>
                <w:szCs w:val="20"/>
              </w:rPr>
            </w:pPr>
          </w:p>
        </w:tc>
        <w:tc>
          <w:tcPr>
            <w:tcW w:w="0" w:type="auto"/>
            <w:vAlign w:val="center"/>
            <w:hideMark/>
          </w:tcPr>
          <w:p w:rsidR="00000000" w:rsidRDefault="001F1FC8">
            <w:pPr>
              <w:rPr>
                <w:rFonts w:eastAsia="Times New Roman"/>
                <w:sz w:val="20"/>
                <w:szCs w:val="20"/>
              </w:rPr>
            </w:pPr>
          </w:p>
        </w:tc>
        <w:tc>
          <w:tcPr>
            <w:tcW w:w="0" w:type="auto"/>
            <w:vAlign w:val="center"/>
            <w:hideMark/>
          </w:tcPr>
          <w:p w:rsidR="00000000" w:rsidRDefault="001F1FC8">
            <w:pPr>
              <w:rPr>
                <w:rFonts w:eastAsia="Times New Roman"/>
                <w:sz w:val="20"/>
                <w:szCs w:val="20"/>
              </w:rPr>
            </w:pPr>
          </w:p>
        </w:tc>
        <w:tc>
          <w:tcPr>
            <w:tcW w:w="0" w:type="auto"/>
            <w:vAlign w:val="center"/>
            <w:hideMark/>
          </w:tcPr>
          <w:p w:rsidR="00000000" w:rsidRDefault="001F1FC8">
            <w:pPr>
              <w:rPr>
                <w:rFonts w:eastAsia="Times New Roman"/>
                <w:sz w:val="20"/>
                <w:szCs w:val="20"/>
              </w:rPr>
            </w:pPr>
          </w:p>
        </w:tc>
        <w:tc>
          <w:tcPr>
            <w:tcW w:w="0" w:type="auto"/>
            <w:vAlign w:val="center"/>
            <w:hideMark/>
          </w:tcPr>
          <w:p w:rsidR="00000000" w:rsidRDefault="001F1FC8">
            <w:pPr>
              <w:rPr>
                <w:rFonts w:eastAsia="Times New Roman"/>
                <w:sz w:val="20"/>
                <w:szCs w:val="20"/>
              </w:rPr>
            </w:pPr>
          </w:p>
        </w:tc>
        <w:tc>
          <w:tcPr>
            <w:tcW w:w="0" w:type="auto"/>
            <w:vAlign w:val="center"/>
            <w:hideMark/>
          </w:tcPr>
          <w:p w:rsidR="00000000" w:rsidRDefault="001F1FC8">
            <w:pPr>
              <w:rPr>
                <w:rFonts w:eastAsia="Times New Roman"/>
                <w:sz w:val="20"/>
                <w:szCs w:val="20"/>
              </w:rPr>
            </w:pPr>
          </w:p>
        </w:tc>
        <w:tc>
          <w:tcPr>
            <w:tcW w:w="0" w:type="auto"/>
            <w:vAlign w:val="center"/>
            <w:hideMark/>
          </w:tcPr>
          <w:p w:rsidR="00000000" w:rsidRDefault="001F1FC8">
            <w:pPr>
              <w:rPr>
                <w:rFonts w:eastAsia="Times New Roman"/>
                <w:sz w:val="20"/>
                <w:szCs w:val="20"/>
              </w:rPr>
            </w:pPr>
          </w:p>
        </w:tc>
        <w:tc>
          <w:tcPr>
            <w:tcW w:w="0" w:type="auto"/>
            <w:vAlign w:val="center"/>
            <w:hideMark/>
          </w:tcPr>
          <w:p w:rsidR="00000000" w:rsidRDefault="001F1FC8">
            <w:pPr>
              <w:rPr>
                <w:rFonts w:eastAsia="Times New Roman"/>
                <w:sz w:val="20"/>
                <w:szCs w:val="20"/>
              </w:rPr>
            </w:pPr>
          </w:p>
        </w:tc>
        <w:tc>
          <w:tcPr>
            <w:tcW w:w="0" w:type="auto"/>
            <w:vAlign w:val="center"/>
            <w:hideMark/>
          </w:tcPr>
          <w:p w:rsidR="00000000" w:rsidRDefault="001F1FC8">
            <w:pPr>
              <w:rPr>
                <w:rFonts w:eastAsia="Times New Roman"/>
                <w:sz w:val="20"/>
                <w:szCs w:val="20"/>
              </w:rPr>
            </w:pPr>
          </w:p>
        </w:tc>
      </w:tr>
      <w:tr w:rsidR="00000000">
        <w:trPr>
          <w:divId w:val="1555505254"/>
          <w:jc w:val="center"/>
        </w:trPr>
        <w:tc>
          <w:tcPr>
            <w:tcW w:w="0" w:type="auto"/>
            <w:gridSpan w:val="3"/>
            <w:vAlign w:val="center"/>
            <w:hideMark/>
          </w:tcPr>
          <w:p w:rsidR="00000000" w:rsidRDefault="001F1FC8">
            <w:pPr>
              <w:rPr>
                <w:rFonts w:eastAsia="Times New Roman"/>
                <w:sz w:val="20"/>
                <w:szCs w:val="20"/>
              </w:rPr>
            </w:pPr>
          </w:p>
        </w:tc>
        <w:tc>
          <w:tcPr>
            <w:tcW w:w="0" w:type="auto"/>
            <w:gridSpan w:val="3"/>
            <w:vAlign w:val="center"/>
            <w:hideMark/>
          </w:tcPr>
          <w:p w:rsidR="00000000" w:rsidRDefault="001F1FC8">
            <w:pPr>
              <w:rPr>
                <w:rFonts w:eastAsia="Times New Roman"/>
                <w:sz w:val="20"/>
                <w:szCs w:val="20"/>
              </w:rPr>
            </w:pPr>
          </w:p>
        </w:tc>
        <w:tc>
          <w:tcPr>
            <w:tcW w:w="0" w:type="auto"/>
            <w:gridSpan w:val="3"/>
            <w:vAlign w:val="center"/>
            <w:hideMark/>
          </w:tcPr>
          <w:p w:rsidR="00000000" w:rsidRDefault="001F1FC8">
            <w:pPr>
              <w:rPr>
                <w:rFonts w:eastAsia="Times New Roman"/>
                <w:sz w:val="20"/>
                <w:szCs w:val="20"/>
              </w:rPr>
            </w:pPr>
          </w:p>
        </w:tc>
        <w:tc>
          <w:tcPr>
            <w:tcW w:w="0" w:type="auto"/>
            <w:gridSpan w:val="3"/>
            <w:vAlign w:val="center"/>
            <w:hideMark/>
          </w:tcPr>
          <w:p w:rsidR="00000000" w:rsidRDefault="001F1FC8">
            <w:pPr>
              <w:rPr>
                <w:rFonts w:eastAsia="Times New Roman"/>
                <w:sz w:val="20"/>
                <w:szCs w:val="20"/>
              </w:rPr>
            </w:pPr>
          </w:p>
        </w:tc>
        <w:tc>
          <w:tcPr>
            <w:tcW w:w="0" w:type="auto"/>
            <w:gridSpan w:val="3"/>
            <w:vAlign w:val="center"/>
            <w:hideMark/>
          </w:tcPr>
          <w:p w:rsidR="00000000" w:rsidRDefault="001F1FC8">
            <w:pPr>
              <w:rPr>
                <w:rFonts w:eastAsia="Times New Roman"/>
                <w:sz w:val="20"/>
                <w:szCs w:val="20"/>
              </w:rPr>
            </w:pPr>
          </w:p>
        </w:tc>
        <w:tc>
          <w:tcPr>
            <w:tcW w:w="0" w:type="auto"/>
            <w:gridSpan w:val="3"/>
            <w:vAlign w:val="center"/>
            <w:hideMark/>
          </w:tcPr>
          <w:p w:rsidR="00000000" w:rsidRDefault="001F1FC8">
            <w:pPr>
              <w:rPr>
                <w:rFonts w:eastAsia="Times New Roman"/>
                <w:sz w:val="20"/>
                <w:szCs w:val="20"/>
              </w:rPr>
            </w:pPr>
          </w:p>
        </w:tc>
        <w:tc>
          <w:tcPr>
            <w:tcW w:w="0" w:type="auto"/>
            <w:gridSpan w:val="3"/>
            <w:vAlign w:val="center"/>
            <w:hideMark/>
          </w:tcPr>
          <w:p w:rsidR="00000000" w:rsidRDefault="001F1FC8">
            <w:pPr>
              <w:rPr>
                <w:rFonts w:eastAsia="Times New Roman"/>
                <w:sz w:val="20"/>
                <w:szCs w:val="20"/>
              </w:rPr>
            </w:pPr>
          </w:p>
        </w:tc>
      </w:tr>
      <w:tr w:rsidR="00000000">
        <w:trPr>
          <w:divId w:val="1555505254"/>
          <w:jc w:val="center"/>
        </w:trPr>
        <w:tc>
          <w:tcPr>
            <w:tcW w:w="0" w:type="auto"/>
            <w:gridSpan w:val="3"/>
            <w:vAlign w:val="center"/>
            <w:hideMark/>
          </w:tcPr>
          <w:p w:rsidR="00000000" w:rsidRDefault="001F1FC8">
            <w:pPr>
              <w:rPr>
                <w:rFonts w:eastAsia="Times New Roman"/>
                <w:sz w:val="20"/>
                <w:szCs w:val="20"/>
              </w:rPr>
            </w:pPr>
          </w:p>
        </w:tc>
        <w:tc>
          <w:tcPr>
            <w:tcW w:w="0" w:type="auto"/>
            <w:gridSpan w:val="3"/>
            <w:vAlign w:val="center"/>
            <w:hideMark/>
          </w:tcPr>
          <w:p w:rsidR="00000000" w:rsidRDefault="001F1FC8">
            <w:pPr>
              <w:rPr>
                <w:rFonts w:eastAsia="Times New Roman"/>
                <w:sz w:val="20"/>
                <w:szCs w:val="20"/>
              </w:rPr>
            </w:pPr>
          </w:p>
        </w:tc>
        <w:tc>
          <w:tcPr>
            <w:tcW w:w="0" w:type="auto"/>
            <w:gridSpan w:val="3"/>
            <w:vAlign w:val="center"/>
            <w:hideMark/>
          </w:tcPr>
          <w:p w:rsidR="00000000" w:rsidRDefault="001F1FC8">
            <w:pPr>
              <w:rPr>
                <w:rFonts w:eastAsia="Times New Roman"/>
                <w:sz w:val="20"/>
                <w:szCs w:val="20"/>
              </w:rPr>
            </w:pPr>
          </w:p>
        </w:tc>
        <w:tc>
          <w:tcPr>
            <w:tcW w:w="0" w:type="auto"/>
            <w:gridSpan w:val="3"/>
            <w:vAlign w:val="center"/>
            <w:hideMark/>
          </w:tcPr>
          <w:p w:rsidR="00000000" w:rsidRDefault="001F1FC8">
            <w:pPr>
              <w:rPr>
                <w:rFonts w:eastAsia="Times New Roman"/>
                <w:sz w:val="20"/>
                <w:szCs w:val="20"/>
              </w:rPr>
            </w:pPr>
          </w:p>
        </w:tc>
        <w:tc>
          <w:tcPr>
            <w:tcW w:w="0" w:type="auto"/>
            <w:gridSpan w:val="3"/>
            <w:vAlign w:val="center"/>
            <w:hideMark/>
          </w:tcPr>
          <w:p w:rsidR="00000000" w:rsidRDefault="001F1FC8">
            <w:pPr>
              <w:rPr>
                <w:rFonts w:eastAsia="Times New Roman"/>
                <w:sz w:val="20"/>
                <w:szCs w:val="20"/>
              </w:rPr>
            </w:pPr>
          </w:p>
        </w:tc>
        <w:tc>
          <w:tcPr>
            <w:tcW w:w="0" w:type="auto"/>
            <w:gridSpan w:val="3"/>
            <w:vAlign w:val="center"/>
            <w:hideMark/>
          </w:tcPr>
          <w:p w:rsidR="00000000" w:rsidRDefault="001F1FC8">
            <w:pPr>
              <w:rPr>
                <w:rFonts w:eastAsia="Times New Roman"/>
                <w:sz w:val="20"/>
                <w:szCs w:val="20"/>
              </w:rPr>
            </w:pPr>
          </w:p>
        </w:tc>
        <w:tc>
          <w:tcPr>
            <w:tcW w:w="0" w:type="auto"/>
            <w:gridSpan w:val="3"/>
            <w:vAlign w:val="center"/>
            <w:hideMark/>
          </w:tcPr>
          <w:p w:rsidR="00000000" w:rsidRDefault="001F1FC8">
            <w:pPr>
              <w:rPr>
                <w:rFonts w:eastAsia="Times New Roman"/>
                <w:sz w:val="20"/>
                <w:szCs w:val="20"/>
              </w:rPr>
            </w:pPr>
          </w:p>
        </w:tc>
      </w:tr>
      <w:tr w:rsidR="00000000">
        <w:trPr>
          <w:divId w:val="1555505254"/>
          <w:jc w:val="center"/>
        </w:trPr>
        <w:tc>
          <w:tcPr>
            <w:tcW w:w="0" w:type="auto"/>
            <w:gridSpan w:val="3"/>
            <w:vAlign w:val="center"/>
            <w:hideMark/>
          </w:tcPr>
          <w:p w:rsidR="00000000" w:rsidRDefault="001F1FC8">
            <w:pPr>
              <w:rPr>
                <w:rFonts w:eastAsia="Times New Roman"/>
                <w:sz w:val="20"/>
                <w:szCs w:val="20"/>
              </w:rPr>
            </w:pPr>
          </w:p>
        </w:tc>
        <w:tc>
          <w:tcPr>
            <w:tcW w:w="0" w:type="auto"/>
            <w:gridSpan w:val="3"/>
            <w:vAlign w:val="center"/>
            <w:hideMark/>
          </w:tcPr>
          <w:p w:rsidR="00000000" w:rsidRDefault="001F1FC8">
            <w:pPr>
              <w:rPr>
                <w:rFonts w:eastAsia="Times New Roman"/>
                <w:sz w:val="20"/>
                <w:szCs w:val="20"/>
              </w:rPr>
            </w:pPr>
          </w:p>
        </w:tc>
        <w:tc>
          <w:tcPr>
            <w:tcW w:w="0" w:type="auto"/>
            <w:vAlign w:val="center"/>
            <w:hideMark/>
          </w:tcPr>
          <w:p w:rsidR="00000000" w:rsidRDefault="001F1FC8">
            <w:pPr>
              <w:rPr>
                <w:rFonts w:eastAsia="Times New Roman"/>
                <w:sz w:val="20"/>
                <w:szCs w:val="20"/>
              </w:rPr>
            </w:pPr>
          </w:p>
        </w:tc>
        <w:tc>
          <w:tcPr>
            <w:tcW w:w="0" w:type="auto"/>
            <w:vAlign w:val="center"/>
            <w:hideMark/>
          </w:tcPr>
          <w:p w:rsidR="00000000" w:rsidRDefault="001F1FC8">
            <w:pPr>
              <w:rPr>
                <w:rFonts w:eastAsia="Times New Roman"/>
                <w:sz w:val="20"/>
                <w:szCs w:val="20"/>
              </w:rPr>
            </w:pPr>
          </w:p>
        </w:tc>
        <w:tc>
          <w:tcPr>
            <w:tcW w:w="0" w:type="auto"/>
            <w:vAlign w:val="center"/>
            <w:hideMark/>
          </w:tcPr>
          <w:p w:rsidR="00000000" w:rsidRDefault="001F1FC8">
            <w:pPr>
              <w:rPr>
                <w:rFonts w:eastAsia="Times New Roman"/>
                <w:sz w:val="20"/>
                <w:szCs w:val="20"/>
              </w:rPr>
            </w:pPr>
          </w:p>
        </w:tc>
        <w:tc>
          <w:tcPr>
            <w:tcW w:w="0" w:type="auto"/>
            <w:vAlign w:val="center"/>
            <w:hideMark/>
          </w:tcPr>
          <w:p w:rsidR="00000000" w:rsidRDefault="001F1FC8">
            <w:pPr>
              <w:rPr>
                <w:rFonts w:eastAsia="Times New Roman"/>
                <w:sz w:val="20"/>
                <w:szCs w:val="20"/>
              </w:rPr>
            </w:pPr>
          </w:p>
        </w:tc>
        <w:tc>
          <w:tcPr>
            <w:tcW w:w="0" w:type="auto"/>
            <w:vAlign w:val="center"/>
            <w:hideMark/>
          </w:tcPr>
          <w:p w:rsidR="00000000" w:rsidRDefault="001F1FC8">
            <w:pPr>
              <w:rPr>
                <w:rFonts w:eastAsia="Times New Roman"/>
                <w:sz w:val="20"/>
                <w:szCs w:val="20"/>
              </w:rPr>
            </w:pPr>
          </w:p>
        </w:tc>
        <w:tc>
          <w:tcPr>
            <w:tcW w:w="0" w:type="auto"/>
            <w:vAlign w:val="center"/>
            <w:hideMark/>
          </w:tcPr>
          <w:p w:rsidR="00000000" w:rsidRDefault="001F1FC8">
            <w:pPr>
              <w:rPr>
                <w:rFonts w:eastAsia="Times New Roman"/>
                <w:sz w:val="20"/>
                <w:szCs w:val="20"/>
              </w:rPr>
            </w:pPr>
          </w:p>
        </w:tc>
        <w:tc>
          <w:tcPr>
            <w:tcW w:w="0" w:type="auto"/>
            <w:vAlign w:val="center"/>
            <w:hideMark/>
          </w:tcPr>
          <w:p w:rsidR="00000000" w:rsidRDefault="001F1FC8">
            <w:pPr>
              <w:rPr>
                <w:rFonts w:eastAsia="Times New Roman"/>
                <w:sz w:val="20"/>
                <w:szCs w:val="20"/>
              </w:rPr>
            </w:pPr>
          </w:p>
        </w:tc>
        <w:tc>
          <w:tcPr>
            <w:tcW w:w="0" w:type="auto"/>
            <w:vAlign w:val="center"/>
            <w:hideMark/>
          </w:tcPr>
          <w:p w:rsidR="00000000" w:rsidRDefault="001F1FC8">
            <w:pPr>
              <w:rPr>
                <w:rFonts w:eastAsia="Times New Roman"/>
                <w:sz w:val="20"/>
                <w:szCs w:val="20"/>
              </w:rPr>
            </w:pPr>
          </w:p>
        </w:tc>
        <w:tc>
          <w:tcPr>
            <w:tcW w:w="0" w:type="auto"/>
            <w:vAlign w:val="center"/>
            <w:hideMark/>
          </w:tcPr>
          <w:p w:rsidR="00000000" w:rsidRDefault="001F1FC8">
            <w:pPr>
              <w:rPr>
                <w:rFonts w:eastAsia="Times New Roman"/>
                <w:sz w:val="20"/>
                <w:szCs w:val="20"/>
              </w:rPr>
            </w:pPr>
          </w:p>
        </w:tc>
        <w:tc>
          <w:tcPr>
            <w:tcW w:w="0" w:type="auto"/>
            <w:vAlign w:val="center"/>
            <w:hideMark/>
          </w:tcPr>
          <w:p w:rsidR="00000000" w:rsidRDefault="001F1FC8">
            <w:pPr>
              <w:rPr>
                <w:rFonts w:eastAsia="Times New Roman"/>
                <w:sz w:val="20"/>
                <w:szCs w:val="20"/>
              </w:rPr>
            </w:pPr>
          </w:p>
        </w:tc>
        <w:tc>
          <w:tcPr>
            <w:tcW w:w="0" w:type="auto"/>
            <w:vAlign w:val="center"/>
            <w:hideMark/>
          </w:tcPr>
          <w:p w:rsidR="00000000" w:rsidRDefault="001F1FC8">
            <w:pPr>
              <w:rPr>
                <w:rFonts w:eastAsia="Times New Roman"/>
                <w:sz w:val="20"/>
                <w:szCs w:val="20"/>
              </w:rPr>
            </w:pPr>
          </w:p>
        </w:tc>
        <w:tc>
          <w:tcPr>
            <w:tcW w:w="0" w:type="auto"/>
            <w:vAlign w:val="center"/>
            <w:hideMark/>
          </w:tcPr>
          <w:p w:rsidR="00000000" w:rsidRDefault="001F1FC8">
            <w:pPr>
              <w:rPr>
                <w:rFonts w:eastAsia="Times New Roman"/>
                <w:sz w:val="20"/>
                <w:szCs w:val="20"/>
              </w:rPr>
            </w:pPr>
          </w:p>
        </w:tc>
        <w:tc>
          <w:tcPr>
            <w:tcW w:w="0" w:type="auto"/>
            <w:vAlign w:val="center"/>
            <w:hideMark/>
          </w:tcPr>
          <w:p w:rsidR="00000000" w:rsidRDefault="001F1FC8">
            <w:pPr>
              <w:rPr>
                <w:rFonts w:eastAsia="Times New Roman"/>
                <w:sz w:val="20"/>
                <w:szCs w:val="20"/>
              </w:rPr>
            </w:pPr>
          </w:p>
        </w:tc>
        <w:tc>
          <w:tcPr>
            <w:tcW w:w="0" w:type="auto"/>
            <w:vAlign w:val="center"/>
            <w:hideMark/>
          </w:tcPr>
          <w:p w:rsidR="00000000" w:rsidRDefault="001F1FC8">
            <w:pPr>
              <w:rPr>
                <w:rFonts w:eastAsia="Times New Roman"/>
                <w:sz w:val="20"/>
                <w:szCs w:val="20"/>
              </w:rPr>
            </w:pPr>
          </w:p>
        </w:tc>
        <w:tc>
          <w:tcPr>
            <w:tcW w:w="0" w:type="auto"/>
            <w:vAlign w:val="center"/>
            <w:hideMark/>
          </w:tcPr>
          <w:p w:rsidR="00000000" w:rsidRDefault="001F1FC8">
            <w:pPr>
              <w:rPr>
                <w:rFonts w:eastAsia="Times New Roman"/>
                <w:sz w:val="20"/>
                <w:szCs w:val="20"/>
              </w:rPr>
            </w:pPr>
          </w:p>
        </w:tc>
      </w:tr>
      <w:tr w:rsidR="00000000">
        <w:trPr>
          <w:divId w:val="1555505254"/>
          <w:jc w:val="center"/>
        </w:trPr>
        <w:tc>
          <w:tcPr>
            <w:tcW w:w="0" w:type="auto"/>
            <w:gridSpan w:val="3"/>
            <w:vAlign w:val="center"/>
            <w:hideMark/>
          </w:tcPr>
          <w:p w:rsidR="00000000" w:rsidRDefault="001F1FC8">
            <w:pPr>
              <w:rPr>
                <w:rFonts w:eastAsia="Times New Roman"/>
                <w:sz w:val="20"/>
                <w:szCs w:val="20"/>
              </w:rPr>
            </w:pPr>
          </w:p>
        </w:tc>
        <w:tc>
          <w:tcPr>
            <w:tcW w:w="0" w:type="auto"/>
            <w:gridSpan w:val="3"/>
            <w:vAlign w:val="center"/>
            <w:hideMark/>
          </w:tcPr>
          <w:p w:rsidR="00000000" w:rsidRDefault="001F1FC8">
            <w:pPr>
              <w:rPr>
                <w:rFonts w:eastAsia="Times New Roman"/>
                <w:sz w:val="20"/>
                <w:szCs w:val="20"/>
              </w:rPr>
            </w:pPr>
          </w:p>
        </w:tc>
        <w:tc>
          <w:tcPr>
            <w:tcW w:w="0" w:type="auto"/>
            <w:gridSpan w:val="3"/>
            <w:vAlign w:val="center"/>
            <w:hideMark/>
          </w:tcPr>
          <w:p w:rsidR="00000000" w:rsidRDefault="001F1FC8">
            <w:pPr>
              <w:rPr>
                <w:rFonts w:eastAsia="Times New Roman"/>
                <w:sz w:val="20"/>
                <w:szCs w:val="20"/>
              </w:rPr>
            </w:pPr>
          </w:p>
        </w:tc>
        <w:tc>
          <w:tcPr>
            <w:tcW w:w="0" w:type="auto"/>
            <w:gridSpan w:val="3"/>
            <w:vAlign w:val="center"/>
            <w:hideMark/>
          </w:tcPr>
          <w:p w:rsidR="00000000" w:rsidRDefault="001F1FC8">
            <w:pPr>
              <w:rPr>
                <w:rFonts w:eastAsia="Times New Roman"/>
                <w:sz w:val="20"/>
                <w:szCs w:val="20"/>
              </w:rPr>
            </w:pPr>
          </w:p>
        </w:tc>
        <w:tc>
          <w:tcPr>
            <w:tcW w:w="0" w:type="auto"/>
            <w:gridSpan w:val="3"/>
            <w:vAlign w:val="center"/>
            <w:hideMark/>
          </w:tcPr>
          <w:p w:rsidR="00000000" w:rsidRDefault="001F1FC8">
            <w:pPr>
              <w:rPr>
                <w:rFonts w:eastAsia="Times New Roman"/>
                <w:sz w:val="20"/>
                <w:szCs w:val="20"/>
              </w:rPr>
            </w:pPr>
          </w:p>
        </w:tc>
        <w:tc>
          <w:tcPr>
            <w:tcW w:w="0" w:type="auto"/>
            <w:gridSpan w:val="3"/>
            <w:vAlign w:val="center"/>
            <w:hideMark/>
          </w:tcPr>
          <w:p w:rsidR="00000000" w:rsidRDefault="001F1FC8">
            <w:pPr>
              <w:rPr>
                <w:rFonts w:eastAsia="Times New Roman"/>
                <w:sz w:val="20"/>
                <w:szCs w:val="20"/>
              </w:rPr>
            </w:pPr>
          </w:p>
        </w:tc>
        <w:tc>
          <w:tcPr>
            <w:tcW w:w="0" w:type="auto"/>
            <w:gridSpan w:val="3"/>
            <w:vAlign w:val="center"/>
            <w:hideMark/>
          </w:tcPr>
          <w:p w:rsidR="00000000" w:rsidRDefault="001F1FC8">
            <w:pPr>
              <w:rPr>
                <w:rFonts w:eastAsia="Times New Roman"/>
                <w:sz w:val="20"/>
                <w:szCs w:val="20"/>
              </w:rPr>
            </w:pPr>
          </w:p>
        </w:tc>
      </w:tr>
      <w:tr w:rsidR="00000000">
        <w:trPr>
          <w:divId w:val="1555505254"/>
          <w:jc w:val="center"/>
        </w:trPr>
        <w:tc>
          <w:tcPr>
            <w:tcW w:w="0" w:type="auto"/>
            <w:gridSpan w:val="3"/>
            <w:vAlign w:val="center"/>
            <w:hideMark/>
          </w:tcPr>
          <w:p w:rsidR="00000000" w:rsidRDefault="001F1FC8">
            <w:pPr>
              <w:rPr>
                <w:rFonts w:eastAsia="Times New Roman"/>
                <w:sz w:val="20"/>
                <w:szCs w:val="20"/>
              </w:rPr>
            </w:pPr>
          </w:p>
        </w:tc>
        <w:tc>
          <w:tcPr>
            <w:tcW w:w="0" w:type="auto"/>
            <w:gridSpan w:val="3"/>
            <w:vAlign w:val="center"/>
            <w:hideMark/>
          </w:tcPr>
          <w:p w:rsidR="00000000" w:rsidRDefault="001F1FC8">
            <w:pPr>
              <w:rPr>
                <w:rFonts w:eastAsia="Times New Roman"/>
                <w:sz w:val="20"/>
                <w:szCs w:val="20"/>
              </w:rPr>
            </w:pPr>
          </w:p>
        </w:tc>
        <w:tc>
          <w:tcPr>
            <w:tcW w:w="0" w:type="auto"/>
            <w:gridSpan w:val="3"/>
            <w:vAlign w:val="center"/>
            <w:hideMark/>
          </w:tcPr>
          <w:p w:rsidR="00000000" w:rsidRDefault="001F1FC8">
            <w:pPr>
              <w:rPr>
                <w:rFonts w:eastAsia="Times New Roman"/>
                <w:sz w:val="20"/>
                <w:szCs w:val="20"/>
              </w:rPr>
            </w:pPr>
          </w:p>
        </w:tc>
        <w:tc>
          <w:tcPr>
            <w:tcW w:w="0" w:type="auto"/>
            <w:gridSpan w:val="3"/>
            <w:vAlign w:val="center"/>
            <w:hideMark/>
          </w:tcPr>
          <w:p w:rsidR="00000000" w:rsidRDefault="001F1FC8">
            <w:pPr>
              <w:rPr>
                <w:rFonts w:eastAsia="Times New Roman"/>
                <w:sz w:val="20"/>
                <w:szCs w:val="20"/>
              </w:rPr>
            </w:pPr>
          </w:p>
        </w:tc>
        <w:tc>
          <w:tcPr>
            <w:tcW w:w="0" w:type="auto"/>
            <w:gridSpan w:val="3"/>
            <w:vAlign w:val="center"/>
            <w:hideMark/>
          </w:tcPr>
          <w:p w:rsidR="00000000" w:rsidRDefault="001F1FC8">
            <w:pPr>
              <w:rPr>
                <w:rFonts w:eastAsia="Times New Roman"/>
                <w:sz w:val="20"/>
                <w:szCs w:val="20"/>
              </w:rPr>
            </w:pPr>
          </w:p>
        </w:tc>
        <w:tc>
          <w:tcPr>
            <w:tcW w:w="0" w:type="auto"/>
            <w:gridSpan w:val="3"/>
            <w:vAlign w:val="center"/>
            <w:hideMark/>
          </w:tcPr>
          <w:p w:rsidR="00000000" w:rsidRDefault="001F1FC8">
            <w:pPr>
              <w:rPr>
                <w:rFonts w:eastAsia="Times New Roman"/>
                <w:sz w:val="20"/>
                <w:szCs w:val="20"/>
              </w:rPr>
            </w:pPr>
          </w:p>
        </w:tc>
        <w:tc>
          <w:tcPr>
            <w:tcW w:w="0" w:type="auto"/>
            <w:gridSpan w:val="3"/>
            <w:vAlign w:val="center"/>
            <w:hideMark/>
          </w:tcPr>
          <w:p w:rsidR="00000000" w:rsidRDefault="001F1FC8">
            <w:pPr>
              <w:rPr>
                <w:rFonts w:eastAsia="Times New Roman"/>
                <w:sz w:val="20"/>
                <w:szCs w:val="20"/>
              </w:rPr>
            </w:pPr>
          </w:p>
        </w:tc>
      </w:tr>
      <w:tr w:rsidR="00000000">
        <w:trPr>
          <w:divId w:val="1555505254"/>
          <w:jc w:val="center"/>
        </w:trPr>
        <w:tc>
          <w:tcPr>
            <w:tcW w:w="0" w:type="auto"/>
            <w:gridSpan w:val="3"/>
            <w:vAlign w:val="center"/>
            <w:hideMark/>
          </w:tcPr>
          <w:p w:rsidR="00000000" w:rsidRDefault="001F1FC8">
            <w:pPr>
              <w:rPr>
                <w:rFonts w:eastAsia="Times New Roman"/>
                <w:sz w:val="20"/>
                <w:szCs w:val="20"/>
              </w:rPr>
            </w:pPr>
          </w:p>
        </w:tc>
        <w:tc>
          <w:tcPr>
            <w:tcW w:w="0" w:type="auto"/>
            <w:gridSpan w:val="3"/>
            <w:vAlign w:val="center"/>
            <w:hideMark/>
          </w:tcPr>
          <w:p w:rsidR="00000000" w:rsidRDefault="001F1FC8">
            <w:pPr>
              <w:rPr>
                <w:rFonts w:eastAsia="Times New Roman"/>
                <w:sz w:val="20"/>
                <w:szCs w:val="20"/>
              </w:rPr>
            </w:pPr>
          </w:p>
        </w:tc>
        <w:tc>
          <w:tcPr>
            <w:tcW w:w="0" w:type="auto"/>
            <w:gridSpan w:val="3"/>
            <w:vAlign w:val="center"/>
            <w:hideMark/>
          </w:tcPr>
          <w:p w:rsidR="00000000" w:rsidRDefault="001F1FC8">
            <w:pPr>
              <w:rPr>
                <w:rFonts w:eastAsia="Times New Roman"/>
                <w:sz w:val="20"/>
                <w:szCs w:val="20"/>
              </w:rPr>
            </w:pPr>
          </w:p>
        </w:tc>
        <w:tc>
          <w:tcPr>
            <w:tcW w:w="0" w:type="auto"/>
            <w:gridSpan w:val="3"/>
            <w:vAlign w:val="center"/>
            <w:hideMark/>
          </w:tcPr>
          <w:p w:rsidR="00000000" w:rsidRDefault="001F1FC8">
            <w:pPr>
              <w:rPr>
                <w:rFonts w:eastAsia="Times New Roman"/>
                <w:sz w:val="20"/>
                <w:szCs w:val="20"/>
              </w:rPr>
            </w:pPr>
          </w:p>
        </w:tc>
        <w:tc>
          <w:tcPr>
            <w:tcW w:w="0" w:type="auto"/>
            <w:gridSpan w:val="3"/>
            <w:vAlign w:val="center"/>
            <w:hideMark/>
          </w:tcPr>
          <w:p w:rsidR="00000000" w:rsidRDefault="001F1FC8">
            <w:pPr>
              <w:rPr>
                <w:rFonts w:eastAsia="Times New Roman"/>
                <w:sz w:val="20"/>
                <w:szCs w:val="20"/>
              </w:rPr>
            </w:pPr>
          </w:p>
        </w:tc>
        <w:tc>
          <w:tcPr>
            <w:tcW w:w="0" w:type="auto"/>
            <w:gridSpan w:val="3"/>
            <w:vAlign w:val="center"/>
            <w:hideMark/>
          </w:tcPr>
          <w:p w:rsidR="00000000" w:rsidRDefault="001F1FC8">
            <w:pPr>
              <w:rPr>
                <w:rFonts w:eastAsia="Times New Roman"/>
                <w:sz w:val="20"/>
                <w:szCs w:val="20"/>
              </w:rPr>
            </w:pPr>
          </w:p>
        </w:tc>
        <w:tc>
          <w:tcPr>
            <w:tcW w:w="0" w:type="auto"/>
            <w:gridSpan w:val="3"/>
            <w:vAlign w:val="center"/>
            <w:hideMark/>
          </w:tcPr>
          <w:p w:rsidR="00000000" w:rsidRDefault="001F1FC8">
            <w:pPr>
              <w:rPr>
                <w:rFonts w:eastAsia="Times New Roman"/>
                <w:sz w:val="20"/>
                <w:szCs w:val="20"/>
              </w:rPr>
            </w:pPr>
          </w:p>
        </w:tc>
      </w:tr>
      <w:tr w:rsidR="00000000">
        <w:trPr>
          <w:divId w:val="1555505254"/>
          <w:jc w:val="center"/>
        </w:trPr>
        <w:tc>
          <w:tcPr>
            <w:tcW w:w="0" w:type="auto"/>
            <w:gridSpan w:val="3"/>
            <w:vAlign w:val="center"/>
            <w:hideMark/>
          </w:tcPr>
          <w:p w:rsidR="00000000" w:rsidRDefault="001F1FC8">
            <w:pPr>
              <w:rPr>
                <w:rFonts w:eastAsia="Times New Roman"/>
                <w:sz w:val="20"/>
                <w:szCs w:val="20"/>
              </w:rPr>
            </w:pPr>
          </w:p>
        </w:tc>
        <w:tc>
          <w:tcPr>
            <w:tcW w:w="0" w:type="auto"/>
            <w:gridSpan w:val="3"/>
            <w:vAlign w:val="center"/>
            <w:hideMark/>
          </w:tcPr>
          <w:p w:rsidR="00000000" w:rsidRDefault="001F1FC8">
            <w:pPr>
              <w:rPr>
                <w:rFonts w:eastAsia="Times New Roman"/>
                <w:sz w:val="20"/>
                <w:szCs w:val="20"/>
              </w:rPr>
            </w:pPr>
          </w:p>
        </w:tc>
        <w:tc>
          <w:tcPr>
            <w:tcW w:w="0" w:type="auto"/>
            <w:gridSpan w:val="3"/>
            <w:vAlign w:val="center"/>
            <w:hideMark/>
          </w:tcPr>
          <w:p w:rsidR="00000000" w:rsidRDefault="001F1FC8">
            <w:pPr>
              <w:rPr>
                <w:rFonts w:eastAsia="Times New Roman"/>
                <w:sz w:val="20"/>
                <w:szCs w:val="20"/>
              </w:rPr>
            </w:pPr>
          </w:p>
        </w:tc>
        <w:tc>
          <w:tcPr>
            <w:tcW w:w="0" w:type="auto"/>
            <w:gridSpan w:val="3"/>
            <w:vAlign w:val="center"/>
            <w:hideMark/>
          </w:tcPr>
          <w:p w:rsidR="00000000" w:rsidRDefault="001F1FC8">
            <w:pPr>
              <w:rPr>
                <w:rFonts w:eastAsia="Times New Roman"/>
                <w:sz w:val="20"/>
                <w:szCs w:val="20"/>
              </w:rPr>
            </w:pPr>
          </w:p>
        </w:tc>
        <w:tc>
          <w:tcPr>
            <w:tcW w:w="0" w:type="auto"/>
            <w:gridSpan w:val="3"/>
            <w:vAlign w:val="center"/>
            <w:hideMark/>
          </w:tcPr>
          <w:p w:rsidR="00000000" w:rsidRDefault="001F1FC8">
            <w:pPr>
              <w:rPr>
                <w:rFonts w:eastAsia="Times New Roman"/>
                <w:sz w:val="20"/>
                <w:szCs w:val="20"/>
              </w:rPr>
            </w:pPr>
          </w:p>
        </w:tc>
        <w:tc>
          <w:tcPr>
            <w:tcW w:w="0" w:type="auto"/>
            <w:gridSpan w:val="3"/>
            <w:vAlign w:val="center"/>
            <w:hideMark/>
          </w:tcPr>
          <w:p w:rsidR="00000000" w:rsidRDefault="001F1FC8">
            <w:pPr>
              <w:rPr>
                <w:rFonts w:eastAsia="Times New Roman"/>
                <w:sz w:val="20"/>
                <w:szCs w:val="20"/>
              </w:rPr>
            </w:pPr>
          </w:p>
        </w:tc>
        <w:tc>
          <w:tcPr>
            <w:tcW w:w="0" w:type="auto"/>
            <w:gridSpan w:val="3"/>
            <w:vAlign w:val="center"/>
            <w:hideMark/>
          </w:tcPr>
          <w:p w:rsidR="00000000" w:rsidRDefault="001F1FC8">
            <w:pPr>
              <w:rPr>
                <w:rFonts w:eastAsia="Times New Roman"/>
                <w:sz w:val="20"/>
                <w:szCs w:val="20"/>
              </w:rPr>
            </w:pPr>
          </w:p>
        </w:tc>
      </w:tr>
      <w:tr w:rsidR="00000000">
        <w:trPr>
          <w:divId w:val="1555505254"/>
          <w:jc w:val="center"/>
        </w:trPr>
        <w:tc>
          <w:tcPr>
            <w:tcW w:w="0" w:type="auto"/>
            <w:gridSpan w:val="3"/>
            <w:vAlign w:val="center"/>
            <w:hideMark/>
          </w:tcPr>
          <w:p w:rsidR="00000000" w:rsidRDefault="001F1FC8">
            <w:pPr>
              <w:rPr>
                <w:rFonts w:eastAsia="Times New Roman"/>
                <w:sz w:val="20"/>
                <w:szCs w:val="20"/>
              </w:rPr>
            </w:pPr>
          </w:p>
        </w:tc>
        <w:tc>
          <w:tcPr>
            <w:tcW w:w="0" w:type="auto"/>
            <w:gridSpan w:val="3"/>
            <w:vAlign w:val="center"/>
            <w:hideMark/>
          </w:tcPr>
          <w:p w:rsidR="00000000" w:rsidRDefault="001F1FC8">
            <w:pPr>
              <w:rPr>
                <w:rFonts w:eastAsia="Times New Roman"/>
                <w:sz w:val="20"/>
                <w:szCs w:val="20"/>
              </w:rPr>
            </w:pPr>
          </w:p>
        </w:tc>
        <w:tc>
          <w:tcPr>
            <w:tcW w:w="0" w:type="auto"/>
            <w:gridSpan w:val="3"/>
            <w:vAlign w:val="center"/>
            <w:hideMark/>
          </w:tcPr>
          <w:p w:rsidR="00000000" w:rsidRDefault="001F1FC8">
            <w:pPr>
              <w:rPr>
                <w:rFonts w:eastAsia="Times New Roman"/>
                <w:sz w:val="20"/>
                <w:szCs w:val="20"/>
              </w:rPr>
            </w:pPr>
          </w:p>
        </w:tc>
        <w:tc>
          <w:tcPr>
            <w:tcW w:w="0" w:type="auto"/>
            <w:gridSpan w:val="3"/>
            <w:vAlign w:val="center"/>
            <w:hideMark/>
          </w:tcPr>
          <w:p w:rsidR="00000000" w:rsidRDefault="001F1FC8">
            <w:pPr>
              <w:rPr>
                <w:rFonts w:eastAsia="Times New Roman"/>
                <w:sz w:val="20"/>
                <w:szCs w:val="20"/>
              </w:rPr>
            </w:pPr>
          </w:p>
        </w:tc>
        <w:tc>
          <w:tcPr>
            <w:tcW w:w="0" w:type="auto"/>
            <w:gridSpan w:val="3"/>
            <w:vAlign w:val="center"/>
            <w:hideMark/>
          </w:tcPr>
          <w:p w:rsidR="00000000" w:rsidRDefault="001F1FC8">
            <w:pPr>
              <w:rPr>
                <w:rFonts w:eastAsia="Times New Roman"/>
                <w:sz w:val="20"/>
                <w:szCs w:val="20"/>
              </w:rPr>
            </w:pPr>
          </w:p>
        </w:tc>
        <w:tc>
          <w:tcPr>
            <w:tcW w:w="0" w:type="auto"/>
            <w:gridSpan w:val="3"/>
            <w:vAlign w:val="center"/>
            <w:hideMark/>
          </w:tcPr>
          <w:p w:rsidR="00000000" w:rsidRDefault="001F1FC8">
            <w:pPr>
              <w:rPr>
                <w:rFonts w:eastAsia="Times New Roman"/>
                <w:sz w:val="20"/>
                <w:szCs w:val="20"/>
              </w:rPr>
            </w:pPr>
          </w:p>
        </w:tc>
        <w:tc>
          <w:tcPr>
            <w:tcW w:w="0" w:type="auto"/>
            <w:gridSpan w:val="3"/>
            <w:vAlign w:val="center"/>
            <w:hideMark/>
          </w:tcPr>
          <w:p w:rsidR="00000000" w:rsidRDefault="001F1FC8">
            <w:pPr>
              <w:rPr>
                <w:rFonts w:eastAsia="Times New Roman"/>
                <w:sz w:val="20"/>
                <w:szCs w:val="20"/>
              </w:rPr>
            </w:pPr>
          </w:p>
        </w:tc>
      </w:tr>
      <w:tr w:rsidR="00000000">
        <w:trPr>
          <w:divId w:val="1555505254"/>
          <w:jc w:val="center"/>
        </w:trPr>
        <w:tc>
          <w:tcPr>
            <w:tcW w:w="0" w:type="auto"/>
            <w:gridSpan w:val="3"/>
            <w:vAlign w:val="center"/>
            <w:hideMark/>
          </w:tcPr>
          <w:p w:rsidR="00000000" w:rsidRDefault="001F1FC8">
            <w:pPr>
              <w:rPr>
                <w:rFonts w:eastAsia="Times New Roman"/>
                <w:sz w:val="20"/>
                <w:szCs w:val="20"/>
              </w:rPr>
            </w:pPr>
          </w:p>
        </w:tc>
        <w:tc>
          <w:tcPr>
            <w:tcW w:w="0" w:type="auto"/>
            <w:gridSpan w:val="3"/>
            <w:vAlign w:val="center"/>
            <w:hideMark/>
          </w:tcPr>
          <w:p w:rsidR="00000000" w:rsidRDefault="001F1FC8">
            <w:pPr>
              <w:rPr>
                <w:rFonts w:eastAsia="Times New Roman"/>
                <w:sz w:val="20"/>
                <w:szCs w:val="20"/>
              </w:rPr>
            </w:pPr>
          </w:p>
        </w:tc>
        <w:tc>
          <w:tcPr>
            <w:tcW w:w="0" w:type="auto"/>
            <w:gridSpan w:val="3"/>
            <w:vAlign w:val="center"/>
            <w:hideMark/>
          </w:tcPr>
          <w:p w:rsidR="00000000" w:rsidRDefault="001F1FC8">
            <w:pPr>
              <w:rPr>
                <w:rFonts w:eastAsia="Times New Roman"/>
                <w:sz w:val="20"/>
                <w:szCs w:val="20"/>
              </w:rPr>
            </w:pPr>
          </w:p>
        </w:tc>
        <w:tc>
          <w:tcPr>
            <w:tcW w:w="0" w:type="auto"/>
            <w:gridSpan w:val="3"/>
            <w:vAlign w:val="center"/>
            <w:hideMark/>
          </w:tcPr>
          <w:p w:rsidR="00000000" w:rsidRDefault="001F1FC8">
            <w:pPr>
              <w:rPr>
                <w:rFonts w:eastAsia="Times New Roman"/>
                <w:sz w:val="20"/>
                <w:szCs w:val="20"/>
              </w:rPr>
            </w:pPr>
          </w:p>
        </w:tc>
        <w:tc>
          <w:tcPr>
            <w:tcW w:w="0" w:type="auto"/>
            <w:gridSpan w:val="3"/>
            <w:vAlign w:val="center"/>
            <w:hideMark/>
          </w:tcPr>
          <w:p w:rsidR="00000000" w:rsidRDefault="001F1FC8">
            <w:pPr>
              <w:rPr>
                <w:rFonts w:eastAsia="Times New Roman"/>
                <w:sz w:val="20"/>
                <w:szCs w:val="20"/>
              </w:rPr>
            </w:pPr>
          </w:p>
        </w:tc>
        <w:tc>
          <w:tcPr>
            <w:tcW w:w="0" w:type="auto"/>
            <w:gridSpan w:val="3"/>
            <w:vAlign w:val="center"/>
            <w:hideMark/>
          </w:tcPr>
          <w:p w:rsidR="00000000" w:rsidRDefault="001F1FC8">
            <w:pPr>
              <w:rPr>
                <w:rFonts w:eastAsia="Times New Roman"/>
                <w:sz w:val="20"/>
                <w:szCs w:val="20"/>
              </w:rPr>
            </w:pPr>
          </w:p>
        </w:tc>
        <w:tc>
          <w:tcPr>
            <w:tcW w:w="0" w:type="auto"/>
            <w:gridSpan w:val="3"/>
            <w:vAlign w:val="center"/>
            <w:hideMark/>
          </w:tcPr>
          <w:p w:rsidR="00000000" w:rsidRDefault="001F1FC8">
            <w:pPr>
              <w:rPr>
                <w:rFonts w:eastAsia="Times New Roman"/>
                <w:sz w:val="20"/>
                <w:szCs w:val="20"/>
              </w:rPr>
            </w:pPr>
          </w:p>
        </w:tc>
      </w:tr>
      <w:tr w:rsidR="00000000">
        <w:trPr>
          <w:divId w:val="1555505254"/>
          <w:jc w:val="center"/>
        </w:trPr>
        <w:tc>
          <w:tcPr>
            <w:tcW w:w="0" w:type="auto"/>
            <w:gridSpan w:val="3"/>
            <w:vAlign w:val="center"/>
            <w:hideMark/>
          </w:tcPr>
          <w:p w:rsidR="00000000" w:rsidRDefault="001F1FC8">
            <w:pPr>
              <w:rPr>
                <w:rFonts w:eastAsia="Times New Roman"/>
                <w:sz w:val="20"/>
                <w:szCs w:val="20"/>
              </w:rPr>
            </w:pPr>
          </w:p>
        </w:tc>
        <w:tc>
          <w:tcPr>
            <w:tcW w:w="0" w:type="auto"/>
            <w:gridSpan w:val="3"/>
            <w:vAlign w:val="center"/>
            <w:hideMark/>
          </w:tcPr>
          <w:p w:rsidR="00000000" w:rsidRDefault="001F1FC8">
            <w:pPr>
              <w:rPr>
                <w:rFonts w:eastAsia="Times New Roman"/>
                <w:sz w:val="20"/>
                <w:szCs w:val="20"/>
              </w:rPr>
            </w:pPr>
          </w:p>
        </w:tc>
        <w:tc>
          <w:tcPr>
            <w:tcW w:w="0" w:type="auto"/>
            <w:gridSpan w:val="3"/>
            <w:vAlign w:val="center"/>
            <w:hideMark/>
          </w:tcPr>
          <w:p w:rsidR="00000000" w:rsidRDefault="001F1FC8">
            <w:pPr>
              <w:rPr>
                <w:rFonts w:eastAsia="Times New Roman"/>
                <w:sz w:val="20"/>
                <w:szCs w:val="20"/>
              </w:rPr>
            </w:pPr>
          </w:p>
        </w:tc>
        <w:tc>
          <w:tcPr>
            <w:tcW w:w="0" w:type="auto"/>
            <w:gridSpan w:val="3"/>
            <w:vAlign w:val="center"/>
            <w:hideMark/>
          </w:tcPr>
          <w:p w:rsidR="00000000" w:rsidRDefault="001F1FC8">
            <w:pPr>
              <w:rPr>
                <w:rFonts w:eastAsia="Times New Roman"/>
                <w:sz w:val="20"/>
                <w:szCs w:val="20"/>
              </w:rPr>
            </w:pPr>
          </w:p>
        </w:tc>
        <w:tc>
          <w:tcPr>
            <w:tcW w:w="0" w:type="auto"/>
            <w:gridSpan w:val="3"/>
            <w:vAlign w:val="center"/>
            <w:hideMark/>
          </w:tcPr>
          <w:p w:rsidR="00000000" w:rsidRDefault="001F1FC8">
            <w:pPr>
              <w:rPr>
                <w:rFonts w:eastAsia="Times New Roman"/>
                <w:sz w:val="20"/>
                <w:szCs w:val="20"/>
              </w:rPr>
            </w:pPr>
          </w:p>
        </w:tc>
        <w:tc>
          <w:tcPr>
            <w:tcW w:w="0" w:type="auto"/>
            <w:gridSpan w:val="3"/>
            <w:vAlign w:val="center"/>
            <w:hideMark/>
          </w:tcPr>
          <w:p w:rsidR="00000000" w:rsidRDefault="001F1FC8">
            <w:pPr>
              <w:rPr>
                <w:rFonts w:eastAsia="Times New Roman"/>
                <w:sz w:val="20"/>
                <w:szCs w:val="20"/>
              </w:rPr>
            </w:pPr>
          </w:p>
        </w:tc>
        <w:tc>
          <w:tcPr>
            <w:tcW w:w="0" w:type="auto"/>
            <w:gridSpan w:val="3"/>
            <w:vAlign w:val="center"/>
            <w:hideMark/>
          </w:tcPr>
          <w:p w:rsidR="00000000" w:rsidRDefault="001F1FC8">
            <w:pPr>
              <w:rPr>
                <w:rFonts w:eastAsia="Times New Roman"/>
                <w:sz w:val="20"/>
                <w:szCs w:val="20"/>
              </w:rPr>
            </w:pPr>
          </w:p>
        </w:tc>
      </w:tr>
      <w:tr w:rsidR="00000000">
        <w:trPr>
          <w:divId w:val="1555505254"/>
          <w:jc w:val="center"/>
        </w:trPr>
        <w:tc>
          <w:tcPr>
            <w:tcW w:w="0" w:type="auto"/>
            <w:gridSpan w:val="3"/>
            <w:vAlign w:val="center"/>
            <w:hideMark/>
          </w:tcPr>
          <w:p w:rsidR="00000000" w:rsidRDefault="001F1FC8">
            <w:pPr>
              <w:rPr>
                <w:rFonts w:eastAsia="Times New Roman"/>
                <w:sz w:val="20"/>
                <w:szCs w:val="20"/>
              </w:rPr>
            </w:pPr>
          </w:p>
        </w:tc>
        <w:tc>
          <w:tcPr>
            <w:tcW w:w="0" w:type="auto"/>
            <w:gridSpan w:val="3"/>
            <w:vAlign w:val="center"/>
            <w:hideMark/>
          </w:tcPr>
          <w:p w:rsidR="00000000" w:rsidRDefault="001F1FC8">
            <w:pPr>
              <w:rPr>
                <w:rFonts w:eastAsia="Times New Roman"/>
                <w:sz w:val="20"/>
                <w:szCs w:val="20"/>
              </w:rPr>
            </w:pPr>
          </w:p>
        </w:tc>
        <w:tc>
          <w:tcPr>
            <w:tcW w:w="0" w:type="auto"/>
            <w:gridSpan w:val="3"/>
            <w:vAlign w:val="center"/>
            <w:hideMark/>
          </w:tcPr>
          <w:p w:rsidR="00000000" w:rsidRDefault="001F1FC8">
            <w:pPr>
              <w:rPr>
                <w:rFonts w:eastAsia="Times New Roman"/>
                <w:sz w:val="20"/>
                <w:szCs w:val="20"/>
              </w:rPr>
            </w:pPr>
          </w:p>
        </w:tc>
        <w:tc>
          <w:tcPr>
            <w:tcW w:w="0" w:type="auto"/>
            <w:gridSpan w:val="3"/>
            <w:vAlign w:val="center"/>
            <w:hideMark/>
          </w:tcPr>
          <w:p w:rsidR="00000000" w:rsidRDefault="001F1FC8">
            <w:pPr>
              <w:rPr>
                <w:rFonts w:eastAsia="Times New Roman"/>
                <w:sz w:val="20"/>
                <w:szCs w:val="20"/>
              </w:rPr>
            </w:pPr>
          </w:p>
        </w:tc>
        <w:tc>
          <w:tcPr>
            <w:tcW w:w="0" w:type="auto"/>
            <w:gridSpan w:val="3"/>
            <w:vAlign w:val="center"/>
            <w:hideMark/>
          </w:tcPr>
          <w:p w:rsidR="00000000" w:rsidRDefault="001F1FC8">
            <w:pPr>
              <w:rPr>
                <w:rFonts w:eastAsia="Times New Roman"/>
                <w:sz w:val="20"/>
                <w:szCs w:val="20"/>
              </w:rPr>
            </w:pPr>
          </w:p>
        </w:tc>
        <w:tc>
          <w:tcPr>
            <w:tcW w:w="0" w:type="auto"/>
            <w:gridSpan w:val="3"/>
            <w:vAlign w:val="center"/>
            <w:hideMark/>
          </w:tcPr>
          <w:p w:rsidR="00000000" w:rsidRDefault="001F1FC8">
            <w:pPr>
              <w:rPr>
                <w:rFonts w:eastAsia="Times New Roman"/>
                <w:sz w:val="20"/>
                <w:szCs w:val="20"/>
              </w:rPr>
            </w:pPr>
          </w:p>
        </w:tc>
        <w:tc>
          <w:tcPr>
            <w:tcW w:w="0" w:type="auto"/>
            <w:gridSpan w:val="3"/>
            <w:vAlign w:val="center"/>
            <w:hideMark/>
          </w:tcPr>
          <w:p w:rsidR="00000000" w:rsidRDefault="001F1FC8">
            <w:pPr>
              <w:rPr>
                <w:rFonts w:eastAsia="Times New Roman"/>
                <w:sz w:val="20"/>
                <w:szCs w:val="20"/>
              </w:rPr>
            </w:pPr>
          </w:p>
        </w:tc>
      </w:tr>
      <w:tr w:rsidR="00000000">
        <w:trPr>
          <w:divId w:val="1555505254"/>
          <w:jc w:val="center"/>
        </w:trPr>
        <w:tc>
          <w:tcPr>
            <w:tcW w:w="0" w:type="auto"/>
            <w:gridSpan w:val="3"/>
            <w:vAlign w:val="center"/>
            <w:hideMark/>
          </w:tcPr>
          <w:p w:rsidR="00000000" w:rsidRDefault="001F1FC8">
            <w:pPr>
              <w:rPr>
                <w:rFonts w:eastAsia="Times New Roman"/>
                <w:sz w:val="20"/>
                <w:szCs w:val="20"/>
              </w:rPr>
            </w:pPr>
          </w:p>
        </w:tc>
        <w:tc>
          <w:tcPr>
            <w:tcW w:w="0" w:type="auto"/>
            <w:gridSpan w:val="3"/>
            <w:vAlign w:val="center"/>
            <w:hideMark/>
          </w:tcPr>
          <w:p w:rsidR="00000000" w:rsidRDefault="001F1FC8">
            <w:pPr>
              <w:rPr>
                <w:rFonts w:eastAsia="Times New Roman"/>
                <w:sz w:val="20"/>
                <w:szCs w:val="20"/>
              </w:rPr>
            </w:pPr>
          </w:p>
        </w:tc>
        <w:tc>
          <w:tcPr>
            <w:tcW w:w="0" w:type="auto"/>
            <w:gridSpan w:val="3"/>
            <w:vAlign w:val="center"/>
            <w:hideMark/>
          </w:tcPr>
          <w:p w:rsidR="00000000" w:rsidRDefault="001F1FC8">
            <w:pPr>
              <w:rPr>
                <w:rFonts w:eastAsia="Times New Roman"/>
                <w:sz w:val="20"/>
                <w:szCs w:val="20"/>
              </w:rPr>
            </w:pPr>
          </w:p>
        </w:tc>
        <w:tc>
          <w:tcPr>
            <w:tcW w:w="0" w:type="auto"/>
            <w:gridSpan w:val="3"/>
            <w:vAlign w:val="center"/>
            <w:hideMark/>
          </w:tcPr>
          <w:p w:rsidR="00000000" w:rsidRDefault="001F1FC8">
            <w:pPr>
              <w:rPr>
                <w:rFonts w:eastAsia="Times New Roman"/>
                <w:sz w:val="20"/>
                <w:szCs w:val="20"/>
              </w:rPr>
            </w:pPr>
          </w:p>
        </w:tc>
        <w:tc>
          <w:tcPr>
            <w:tcW w:w="0" w:type="auto"/>
            <w:gridSpan w:val="3"/>
            <w:vAlign w:val="center"/>
            <w:hideMark/>
          </w:tcPr>
          <w:p w:rsidR="00000000" w:rsidRDefault="001F1FC8">
            <w:pPr>
              <w:rPr>
                <w:rFonts w:eastAsia="Times New Roman"/>
                <w:sz w:val="20"/>
                <w:szCs w:val="20"/>
              </w:rPr>
            </w:pPr>
          </w:p>
        </w:tc>
        <w:tc>
          <w:tcPr>
            <w:tcW w:w="0" w:type="auto"/>
            <w:gridSpan w:val="3"/>
            <w:vAlign w:val="center"/>
            <w:hideMark/>
          </w:tcPr>
          <w:p w:rsidR="00000000" w:rsidRDefault="001F1FC8">
            <w:pPr>
              <w:rPr>
                <w:rFonts w:eastAsia="Times New Roman"/>
                <w:sz w:val="20"/>
                <w:szCs w:val="20"/>
              </w:rPr>
            </w:pPr>
          </w:p>
        </w:tc>
        <w:tc>
          <w:tcPr>
            <w:tcW w:w="0" w:type="auto"/>
            <w:gridSpan w:val="3"/>
            <w:vAlign w:val="center"/>
            <w:hideMark/>
          </w:tcPr>
          <w:p w:rsidR="00000000" w:rsidRDefault="001F1FC8">
            <w:pPr>
              <w:rPr>
                <w:rFonts w:eastAsia="Times New Roman"/>
                <w:sz w:val="20"/>
                <w:szCs w:val="20"/>
              </w:rPr>
            </w:pPr>
          </w:p>
        </w:tc>
      </w:tr>
      <w:tr w:rsidR="00000000">
        <w:trPr>
          <w:divId w:val="1555505254"/>
          <w:jc w:val="center"/>
        </w:trPr>
        <w:tc>
          <w:tcPr>
            <w:tcW w:w="0" w:type="auto"/>
            <w:gridSpan w:val="3"/>
            <w:vAlign w:val="center"/>
            <w:hideMark/>
          </w:tcPr>
          <w:p w:rsidR="00000000" w:rsidRDefault="001F1FC8">
            <w:pPr>
              <w:rPr>
                <w:rFonts w:eastAsia="Times New Roman"/>
                <w:sz w:val="20"/>
                <w:szCs w:val="20"/>
              </w:rPr>
            </w:pPr>
          </w:p>
        </w:tc>
        <w:tc>
          <w:tcPr>
            <w:tcW w:w="0" w:type="auto"/>
            <w:gridSpan w:val="3"/>
            <w:vAlign w:val="center"/>
            <w:hideMark/>
          </w:tcPr>
          <w:p w:rsidR="00000000" w:rsidRDefault="001F1FC8">
            <w:pPr>
              <w:rPr>
                <w:rFonts w:eastAsia="Times New Roman"/>
                <w:sz w:val="20"/>
                <w:szCs w:val="20"/>
              </w:rPr>
            </w:pPr>
          </w:p>
        </w:tc>
        <w:tc>
          <w:tcPr>
            <w:tcW w:w="0" w:type="auto"/>
            <w:gridSpan w:val="3"/>
            <w:vAlign w:val="center"/>
            <w:hideMark/>
          </w:tcPr>
          <w:p w:rsidR="00000000" w:rsidRDefault="001F1FC8">
            <w:pPr>
              <w:rPr>
                <w:rFonts w:eastAsia="Times New Roman"/>
                <w:sz w:val="20"/>
                <w:szCs w:val="20"/>
              </w:rPr>
            </w:pPr>
          </w:p>
        </w:tc>
        <w:tc>
          <w:tcPr>
            <w:tcW w:w="0" w:type="auto"/>
            <w:gridSpan w:val="3"/>
            <w:vAlign w:val="center"/>
            <w:hideMark/>
          </w:tcPr>
          <w:p w:rsidR="00000000" w:rsidRDefault="001F1FC8">
            <w:pPr>
              <w:rPr>
                <w:rFonts w:eastAsia="Times New Roman"/>
                <w:sz w:val="20"/>
                <w:szCs w:val="20"/>
              </w:rPr>
            </w:pPr>
          </w:p>
        </w:tc>
        <w:tc>
          <w:tcPr>
            <w:tcW w:w="0" w:type="auto"/>
            <w:gridSpan w:val="3"/>
            <w:vAlign w:val="center"/>
            <w:hideMark/>
          </w:tcPr>
          <w:p w:rsidR="00000000" w:rsidRDefault="001F1FC8">
            <w:pPr>
              <w:rPr>
                <w:rFonts w:eastAsia="Times New Roman"/>
                <w:sz w:val="20"/>
                <w:szCs w:val="20"/>
              </w:rPr>
            </w:pPr>
          </w:p>
        </w:tc>
        <w:tc>
          <w:tcPr>
            <w:tcW w:w="0" w:type="auto"/>
            <w:gridSpan w:val="3"/>
            <w:vAlign w:val="center"/>
            <w:hideMark/>
          </w:tcPr>
          <w:p w:rsidR="00000000" w:rsidRDefault="001F1FC8">
            <w:pPr>
              <w:rPr>
                <w:rFonts w:eastAsia="Times New Roman"/>
                <w:sz w:val="20"/>
                <w:szCs w:val="20"/>
              </w:rPr>
            </w:pPr>
          </w:p>
        </w:tc>
        <w:tc>
          <w:tcPr>
            <w:tcW w:w="0" w:type="auto"/>
            <w:gridSpan w:val="3"/>
            <w:vAlign w:val="center"/>
            <w:hideMark/>
          </w:tcPr>
          <w:p w:rsidR="00000000" w:rsidRDefault="001F1FC8">
            <w:pPr>
              <w:rPr>
                <w:rFonts w:eastAsia="Times New Roman"/>
                <w:sz w:val="20"/>
                <w:szCs w:val="20"/>
              </w:rPr>
            </w:pPr>
          </w:p>
        </w:tc>
      </w:tr>
      <w:tr w:rsidR="00000000">
        <w:trPr>
          <w:divId w:val="1555505254"/>
          <w:jc w:val="center"/>
        </w:trPr>
        <w:tc>
          <w:tcPr>
            <w:tcW w:w="0" w:type="auto"/>
            <w:gridSpan w:val="3"/>
            <w:vAlign w:val="center"/>
            <w:hideMark/>
          </w:tcPr>
          <w:p w:rsidR="00000000" w:rsidRDefault="001F1FC8">
            <w:pPr>
              <w:rPr>
                <w:rFonts w:eastAsia="Times New Roman"/>
                <w:sz w:val="20"/>
                <w:szCs w:val="20"/>
              </w:rPr>
            </w:pPr>
          </w:p>
        </w:tc>
        <w:tc>
          <w:tcPr>
            <w:tcW w:w="0" w:type="auto"/>
            <w:gridSpan w:val="3"/>
            <w:vAlign w:val="center"/>
            <w:hideMark/>
          </w:tcPr>
          <w:p w:rsidR="00000000" w:rsidRDefault="001F1FC8">
            <w:pPr>
              <w:rPr>
                <w:rFonts w:eastAsia="Times New Roman"/>
                <w:sz w:val="20"/>
                <w:szCs w:val="20"/>
              </w:rPr>
            </w:pPr>
          </w:p>
        </w:tc>
        <w:tc>
          <w:tcPr>
            <w:tcW w:w="0" w:type="auto"/>
            <w:gridSpan w:val="3"/>
            <w:vAlign w:val="center"/>
            <w:hideMark/>
          </w:tcPr>
          <w:p w:rsidR="00000000" w:rsidRDefault="001F1FC8">
            <w:pPr>
              <w:rPr>
                <w:rFonts w:eastAsia="Times New Roman"/>
                <w:sz w:val="20"/>
                <w:szCs w:val="20"/>
              </w:rPr>
            </w:pPr>
          </w:p>
        </w:tc>
        <w:tc>
          <w:tcPr>
            <w:tcW w:w="0" w:type="auto"/>
            <w:gridSpan w:val="3"/>
            <w:vAlign w:val="center"/>
            <w:hideMark/>
          </w:tcPr>
          <w:p w:rsidR="00000000" w:rsidRDefault="001F1FC8">
            <w:pPr>
              <w:rPr>
                <w:rFonts w:eastAsia="Times New Roman"/>
                <w:sz w:val="20"/>
                <w:szCs w:val="20"/>
              </w:rPr>
            </w:pPr>
          </w:p>
        </w:tc>
        <w:tc>
          <w:tcPr>
            <w:tcW w:w="0" w:type="auto"/>
            <w:gridSpan w:val="3"/>
            <w:vAlign w:val="center"/>
            <w:hideMark/>
          </w:tcPr>
          <w:p w:rsidR="00000000" w:rsidRDefault="001F1FC8">
            <w:pPr>
              <w:rPr>
                <w:rFonts w:eastAsia="Times New Roman"/>
                <w:sz w:val="20"/>
                <w:szCs w:val="20"/>
              </w:rPr>
            </w:pPr>
          </w:p>
        </w:tc>
        <w:tc>
          <w:tcPr>
            <w:tcW w:w="0" w:type="auto"/>
            <w:gridSpan w:val="3"/>
            <w:vAlign w:val="center"/>
            <w:hideMark/>
          </w:tcPr>
          <w:p w:rsidR="00000000" w:rsidRDefault="001F1FC8">
            <w:pPr>
              <w:rPr>
                <w:rFonts w:eastAsia="Times New Roman"/>
                <w:sz w:val="20"/>
                <w:szCs w:val="20"/>
              </w:rPr>
            </w:pPr>
          </w:p>
        </w:tc>
        <w:tc>
          <w:tcPr>
            <w:tcW w:w="0" w:type="auto"/>
            <w:gridSpan w:val="3"/>
            <w:vAlign w:val="center"/>
            <w:hideMark/>
          </w:tcPr>
          <w:p w:rsidR="00000000" w:rsidRDefault="001F1FC8">
            <w:pPr>
              <w:rPr>
                <w:rFonts w:eastAsia="Times New Roman"/>
                <w:sz w:val="20"/>
                <w:szCs w:val="20"/>
              </w:rPr>
            </w:pPr>
          </w:p>
        </w:tc>
      </w:tr>
      <w:tr w:rsidR="00000000">
        <w:trPr>
          <w:divId w:val="1555505254"/>
          <w:jc w:val="center"/>
        </w:trPr>
        <w:tc>
          <w:tcPr>
            <w:tcW w:w="0" w:type="auto"/>
            <w:gridSpan w:val="3"/>
            <w:vAlign w:val="center"/>
            <w:hideMark/>
          </w:tcPr>
          <w:p w:rsidR="00000000" w:rsidRDefault="001F1FC8">
            <w:pPr>
              <w:rPr>
                <w:rFonts w:eastAsia="Times New Roman"/>
                <w:sz w:val="20"/>
                <w:szCs w:val="20"/>
              </w:rPr>
            </w:pPr>
          </w:p>
        </w:tc>
        <w:tc>
          <w:tcPr>
            <w:tcW w:w="0" w:type="auto"/>
            <w:gridSpan w:val="3"/>
            <w:vAlign w:val="center"/>
            <w:hideMark/>
          </w:tcPr>
          <w:p w:rsidR="00000000" w:rsidRDefault="001F1FC8">
            <w:pPr>
              <w:rPr>
                <w:rFonts w:eastAsia="Times New Roman"/>
                <w:sz w:val="20"/>
                <w:szCs w:val="20"/>
              </w:rPr>
            </w:pPr>
          </w:p>
        </w:tc>
        <w:tc>
          <w:tcPr>
            <w:tcW w:w="0" w:type="auto"/>
            <w:gridSpan w:val="3"/>
            <w:vAlign w:val="center"/>
            <w:hideMark/>
          </w:tcPr>
          <w:p w:rsidR="00000000" w:rsidRDefault="001F1FC8">
            <w:pPr>
              <w:rPr>
                <w:rFonts w:eastAsia="Times New Roman"/>
                <w:sz w:val="20"/>
                <w:szCs w:val="20"/>
              </w:rPr>
            </w:pPr>
          </w:p>
        </w:tc>
        <w:tc>
          <w:tcPr>
            <w:tcW w:w="0" w:type="auto"/>
            <w:gridSpan w:val="3"/>
            <w:vAlign w:val="center"/>
            <w:hideMark/>
          </w:tcPr>
          <w:p w:rsidR="00000000" w:rsidRDefault="001F1FC8">
            <w:pPr>
              <w:rPr>
                <w:rFonts w:eastAsia="Times New Roman"/>
                <w:sz w:val="20"/>
                <w:szCs w:val="20"/>
              </w:rPr>
            </w:pPr>
          </w:p>
        </w:tc>
        <w:tc>
          <w:tcPr>
            <w:tcW w:w="0" w:type="auto"/>
            <w:gridSpan w:val="3"/>
            <w:vAlign w:val="center"/>
            <w:hideMark/>
          </w:tcPr>
          <w:p w:rsidR="00000000" w:rsidRDefault="001F1FC8">
            <w:pPr>
              <w:rPr>
                <w:rFonts w:eastAsia="Times New Roman"/>
                <w:sz w:val="20"/>
                <w:szCs w:val="20"/>
              </w:rPr>
            </w:pPr>
          </w:p>
        </w:tc>
        <w:tc>
          <w:tcPr>
            <w:tcW w:w="0" w:type="auto"/>
            <w:gridSpan w:val="3"/>
            <w:vAlign w:val="center"/>
            <w:hideMark/>
          </w:tcPr>
          <w:p w:rsidR="00000000" w:rsidRDefault="001F1FC8">
            <w:pPr>
              <w:rPr>
                <w:rFonts w:eastAsia="Times New Roman"/>
                <w:sz w:val="20"/>
                <w:szCs w:val="20"/>
              </w:rPr>
            </w:pPr>
          </w:p>
        </w:tc>
        <w:tc>
          <w:tcPr>
            <w:tcW w:w="0" w:type="auto"/>
            <w:gridSpan w:val="3"/>
            <w:vAlign w:val="center"/>
            <w:hideMark/>
          </w:tcPr>
          <w:p w:rsidR="00000000" w:rsidRDefault="001F1FC8">
            <w:pPr>
              <w:rPr>
                <w:rFonts w:eastAsia="Times New Roman"/>
                <w:sz w:val="20"/>
                <w:szCs w:val="20"/>
              </w:rPr>
            </w:pPr>
          </w:p>
        </w:tc>
      </w:tr>
      <w:tr w:rsidR="00000000">
        <w:trPr>
          <w:divId w:val="1555505254"/>
          <w:jc w:val="center"/>
        </w:trPr>
        <w:tc>
          <w:tcPr>
            <w:tcW w:w="0" w:type="auto"/>
            <w:gridSpan w:val="3"/>
            <w:vAlign w:val="center"/>
            <w:hideMark/>
          </w:tcPr>
          <w:p w:rsidR="00000000" w:rsidRDefault="001F1FC8">
            <w:pPr>
              <w:rPr>
                <w:rFonts w:eastAsia="Times New Roman"/>
                <w:sz w:val="20"/>
                <w:szCs w:val="20"/>
              </w:rPr>
            </w:pPr>
          </w:p>
        </w:tc>
        <w:tc>
          <w:tcPr>
            <w:tcW w:w="0" w:type="auto"/>
            <w:gridSpan w:val="3"/>
            <w:vAlign w:val="center"/>
            <w:hideMark/>
          </w:tcPr>
          <w:p w:rsidR="00000000" w:rsidRDefault="001F1FC8">
            <w:pPr>
              <w:rPr>
                <w:rFonts w:eastAsia="Times New Roman"/>
                <w:sz w:val="20"/>
                <w:szCs w:val="20"/>
              </w:rPr>
            </w:pPr>
          </w:p>
        </w:tc>
        <w:tc>
          <w:tcPr>
            <w:tcW w:w="0" w:type="auto"/>
            <w:gridSpan w:val="3"/>
            <w:vAlign w:val="center"/>
            <w:hideMark/>
          </w:tcPr>
          <w:p w:rsidR="00000000" w:rsidRDefault="001F1FC8">
            <w:pPr>
              <w:rPr>
                <w:rFonts w:eastAsia="Times New Roman"/>
                <w:sz w:val="20"/>
                <w:szCs w:val="20"/>
              </w:rPr>
            </w:pPr>
          </w:p>
        </w:tc>
        <w:tc>
          <w:tcPr>
            <w:tcW w:w="0" w:type="auto"/>
            <w:gridSpan w:val="3"/>
            <w:vAlign w:val="center"/>
            <w:hideMark/>
          </w:tcPr>
          <w:p w:rsidR="00000000" w:rsidRDefault="001F1FC8">
            <w:pPr>
              <w:rPr>
                <w:rFonts w:eastAsia="Times New Roman"/>
                <w:sz w:val="20"/>
                <w:szCs w:val="20"/>
              </w:rPr>
            </w:pPr>
          </w:p>
        </w:tc>
        <w:tc>
          <w:tcPr>
            <w:tcW w:w="0" w:type="auto"/>
            <w:gridSpan w:val="3"/>
            <w:vAlign w:val="center"/>
            <w:hideMark/>
          </w:tcPr>
          <w:p w:rsidR="00000000" w:rsidRDefault="001F1FC8">
            <w:pPr>
              <w:rPr>
                <w:rFonts w:eastAsia="Times New Roman"/>
                <w:sz w:val="20"/>
                <w:szCs w:val="20"/>
              </w:rPr>
            </w:pPr>
          </w:p>
        </w:tc>
        <w:tc>
          <w:tcPr>
            <w:tcW w:w="0" w:type="auto"/>
            <w:gridSpan w:val="3"/>
            <w:vAlign w:val="center"/>
            <w:hideMark/>
          </w:tcPr>
          <w:p w:rsidR="00000000" w:rsidRDefault="001F1FC8">
            <w:pPr>
              <w:rPr>
                <w:rFonts w:eastAsia="Times New Roman"/>
                <w:sz w:val="20"/>
                <w:szCs w:val="20"/>
              </w:rPr>
            </w:pPr>
          </w:p>
        </w:tc>
        <w:tc>
          <w:tcPr>
            <w:tcW w:w="0" w:type="auto"/>
            <w:gridSpan w:val="3"/>
            <w:vAlign w:val="center"/>
            <w:hideMark/>
          </w:tcPr>
          <w:p w:rsidR="00000000" w:rsidRDefault="001F1FC8">
            <w:pPr>
              <w:rPr>
                <w:rFonts w:eastAsia="Times New Roman"/>
                <w:sz w:val="20"/>
                <w:szCs w:val="20"/>
              </w:rPr>
            </w:pPr>
          </w:p>
        </w:tc>
      </w:tr>
      <w:tr w:rsidR="00000000">
        <w:trPr>
          <w:divId w:val="1555505254"/>
          <w:jc w:val="center"/>
        </w:trPr>
        <w:tc>
          <w:tcPr>
            <w:tcW w:w="0" w:type="auto"/>
            <w:gridSpan w:val="3"/>
            <w:vAlign w:val="center"/>
            <w:hideMark/>
          </w:tcPr>
          <w:p w:rsidR="00000000" w:rsidRDefault="001F1FC8">
            <w:pPr>
              <w:rPr>
                <w:rFonts w:eastAsia="Times New Roman"/>
                <w:sz w:val="20"/>
                <w:szCs w:val="20"/>
              </w:rPr>
            </w:pPr>
          </w:p>
        </w:tc>
        <w:tc>
          <w:tcPr>
            <w:tcW w:w="0" w:type="auto"/>
            <w:gridSpan w:val="3"/>
            <w:vAlign w:val="center"/>
            <w:hideMark/>
          </w:tcPr>
          <w:p w:rsidR="00000000" w:rsidRDefault="001F1FC8">
            <w:pPr>
              <w:rPr>
                <w:rFonts w:eastAsia="Times New Roman"/>
                <w:sz w:val="20"/>
                <w:szCs w:val="20"/>
              </w:rPr>
            </w:pPr>
          </w:p>
        </w:tc>
        <w:tc>
          <w:tcPr>
            <w:tcW w:w="0" w:type="auto"/>
            <w:gridSpan w:val="3"/>
            <w:vAlign w:val="center"/>
            <w:hideMark/>
          </w:tcPr>
          <w:p w:rsidR="00000000" w:rsidRDefault="001F1FC8">
            <w:pPr>
              <w:rPr>
                <w:rFonts w:eastAsia="Times New Roman"/>
                <w:sz w:val="20"/>
                <w:szCs w:val="20"/>
              </w:rPr>
            </w:pPr>
          </w:p>
        </w:tc>
        <w:tc>
          <w:tcPr>
            <w:tcW w:w="0" w:type="auto"/>
            <w:gridSpan w:val="3"/>
            <w:vAlign w:val="center"/>
            <w:hideMark/>
          </w:tcPr>
          <w:p w:rsidR="00000000" w:rsidRDefault="001F1FC8">
            <w:pPr>
              <w:rPr>
                <w:rFonts w:eastAsia="Times New Roman"/>
                <w:sz w:val="20"/>
                <w:szCs w:val="20"/>
              </w:rPr>
            </w:pPr>
          </w:p>
        </w:tc>
        <w:tc>
          <w:tcPr>
            <w:tcW w:w="0" w:type="auto"/>
            <w:gridSpan w:val="3"/>
            <w:vAlign w:val="center"/>
            <w:hideMark/>
          </w:tcPr>
          <w:p w:rsidR="00000000" w:rsidRDefault="001F1FC8">
            <w:pPr>
              <w:rPr>
                <w:rFonts w:eastAsia="Times New Roman"/>
                <w:sz w:val="20"/>
                <w:szCs w:val="20"/>
              </w:rPr>
            </w:pPr>
          </w:p>
        </w:tc>
        <w:tc>
          <w:tcPr>
            <w:tcW w:w="0" w:type="auto"/>
            <w:gridSpan w:val="3"/>
            <w:vAlign w:val="center"/>
            <w:hideMark/>
          </w:tcPr>
          <w:p w:rsidR="00000000" w:rsidRDefault="001F1FC8">
            <w:pPr>
              <w:rPr>
                <w:rFonts w:eastAsia="Times New Roman"/>
                <w:sz w:val="20"/>
                <w:szCs w:val="20"/>
              </w:rPr>
            </w:pPr>
          </w:p>
        </w:tc>
        <w:tc>
          <w:tcPr>
            <w:tcW w:w="0" w:type="auto"/>
            <w:gridSpan w:val="3"/>
            <w:vAlign w:val="center"/>
            <w:hideMark/>
          </w:tcPr>
          <w:p w:rsidR="00000000" w:rsidRDefault="001F1FC8">
            <w:pPr>
              <w:rPr>
                <w:rFonts w:eastAsia="Times New Roman"/>
                <w:sz w:val="20"/>
                <w:szCs w:val="20"/>
              </w:rPr>
            </w:pPr>
          </w:p>
        </w:tc>
      </w:tr>
      <w:tr w:rsidR="00000000">
        <w:trPr>
          <w:divId w:val="1555505254"/>
          <w:trHeight w:val="400"/>
          <w:jc w:val="center"/>
        </w:trPr>
        <w:tc>
          <w:tcPr>
            <w:tcW w:w="0" w:type="auto"/>
            <w:gridSpan w:val="3"/>
            <w:tcMar>
              <w:top w:w="0" w:type="dxa"/>
              <w:left w:w="20" w:type="dxa"/>
              <w:bottom w:w="0" w:type="dxa"/>
              <w:right w:w="20" w:type="dxa"/>
            </w:tcMar>
            <w:vAlign w:val="center"/>
            <w:hideMark/>
          </w:tcPr>
          <w:p w:rsidR="00000000" w:rsidRDefault="001F1FC8">
            <w:pPr>
              <w:rPr>
                <w:rFonts w:eastAsia="Times New Roman"/>
                <w:sz w:val="20"/>
                <w:szCs w:val="20"/>
              </w:rPr>
            </w:pPr>
          </w:p>
        </w:tc>
        <w:tc>
          <w:tcPr>
            <w:tcW w:w="0" w:type="auto"/>
            <w:gridSpan w:val="3"/>
            <w:vMerge w:val="restart"/>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Liquids Pipelines</w:t>
            </w:r>
          </w:p>
        </w:tc>
        <w:tc>
          <w:tcPr>
            <w:tcW w:w="0" w:type="auto"/>
            <w:gridSpan w:val="3"/>
            <w:vMerge w:val="restart"/>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Gas Transmission and Midstream</w:t>
            </w:r>
          </w:p>
        </w:tc>
        <w:tc>
          <w:tcPr>
            <w:tcW w:w="0" w:type="auto"/>
            <w:gridSpan w:val="3"/>
            <w:vMerge w:val="restart"/>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Gas Distribution and Storage</w:t>
            </w:r>
          </w:p>
        </w:tc>
        <w:tc>
          <w:tcPr>
            <w:tcW w:w="0" w:type="auto"/>
            <w:gridSpan w:val="3"/>
            <w:vMerge w:val="restart"/>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Renewable Power Generation</w:t>
            </w:r>
          </w:p>
        </w:tc>
        <w:tc>
          <w:tcPr>
            <w:tcW w:w="0" w:type="auto"/>
            <w:gridSpan w:val="3"/>
            <w:vAlign w:val="center"/>
            <w:hideMark/>
          </w:tcPr>
          <w:p w:rsidR="00000000" w:rsidRDefault="001F1FC8">
            <w:pPr>
              <w:jc w:val="right"/>
              <w:rPr>
                <w:rFonts w:eastAsia="Times New Roman"/>
              </w:rPr>
            </w:pPr>
          </w:p>
        </w:tc>
        <w:tc>
          <w:tcPr>
            <w:tcW w:w="0" w:type="auto"/>
            <w:gridSpan w:val="3"/>
            <w:vMerge w:val="restart"/>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Consolidated</w:t>
            </w:r>
          </w:p>
        </w:tc>
      </w:tr>
      <w:tr w:rsidR="00000000">
        <w:trPr>
          <w:divId w:val="1555505254"/>
          <w:trHeight w:val="400"/>
          <w:jc w:val="center"/>
        </w:trPr>
        <w:tc>
          <w:tcPr>
            <w:tcW w:w="0" w:type="auto"/>
            <w:gridSpan w:val="3"/>
            <w:tcMar>
              <w:top w:w="30" w:type="dxa"/>
              <w:left w:w="20" w:type="dxa"/>
              <w:bottom w:w="30" w:type="dxa"/>
              <w:right w:w="20" w:type="dxa"/>
            </w:tcMar>
            <w:vAlign w:val="bottom"/>
            <w:hideMark/>
          </w:tcPr>
          <w:p w:rsidR="00000000" w:rsidRDefault="001F1FC8">
            <w:pPr>
              <w:rPr>
                <w:rFonts w:eastAsia="Times New Roman"/>
              </w:rPr>
            </w:pPr>
            <w:r>
              <w:rPr>
                <w:rFonts w:ascii="Arial" w:eastAsia="Times New Roman" w:hAnsi="Arial" w:cs="Arial"/>
                <w:b/>
                <w:bCs/>
                <w:color w:val="000000"/>
                <w:sz w:val="16"/>
                <w:szCs w:val="16"/>
              </w:rPr>
              <w:t>Year ended December 31, 2021</w:t>
            </w:r>
          </w:p>
        </w:tc>
        <w:tc>
          <w:tcPr>
            <w:tcW w:w="0" w:type="auto"/>
            <w:gridSpan w:val="3"/>
            <w:vMerge/>
            <w:vAlign w:val="center"/>
            <w:hideMark/>
          </w:tcPr>
          <w:p w:rsidR="00000000" w:rsidRDefault="001F1FC8">
            <w:pPr>
              <w:rPr>
                <w:rFonts w:eastAsia="Times New Roman"/>
              </w:rPr>
            </w:pPr>
          </w:p>
        </w:tc>
        <w:tc>
          <w:tcPr>
            <w:tcW w:w="0" w:type="auto"/>
            <w:gridSpan w:val="3"/>
            <w:vMerge/>
            <w:vAlign w:val="center"/>
            <w:hideMark/>
          </w:tcPr>
          <w:p w:rsidR="00000000" w:rsidRDefault="001F1FC8">
            <w:pPr>
              <w:rPr>
                <w:rFonts w:eastAsia="Times New Roman"/>
              </w:rPr>
            </w:pPr>
          </w:p>
        </w:tc>
        <w:tc>
          <w:tcPr>
            <w:tcW w:w="0" w:type="auto"/>
            <w:gridSpan w:val="3"/>
            <w:vMerge/>
            <w:vAlign w:val="center"/>
            <w:hideMark/>
          </w:tcPr>
          <w:p w:rsidR="00000000" w:rsidRDefault="001F1FC8">
            <w:pPr>
              <w:rPr>
                <w:rFonts w:eastAsia="Times New Roman"/>
              </w:rPr>
            </w:pPr>
          </w:p>
        </w:tc>
        <w:tc>
          <w:tcPr>
            <w:tcW w:w="0" w:type="auto"/>
            <w:gridSpan w:val="3"/>
            <w:vMerge/>
            <w:vAlign w:val="center"/>
            <w:hideMark/>
          </w:tcPr>
          <w:p w:rsidR="00000000" w:rsidRDefault="001F1FC8">
            <w:pPr>
              <w:rPr>
                <w:rFonts w:eastAsia="Times New Roman"/>
              </w:rPr>
            </w:pPr>
          </w:p>
        </w:tc>
        <w:tc>
          <w:tcPr>
            <w:tcW w:w="0" w:type="auto"/>
            <w:vAlign w:val="center"/>
            <w:hideMark/>
          </w:tcPr>
          <w:p w:rsidR="00000000" w:rsidRDefault="001F1FC8">
            <w:pPr>
              <w:rPr>
                <w:rFonts w:eastAsia="Times New Roman"/>
                <w:sz w:val="20"/>
                <w:szCs w:val="20"/>
              </w:rPr>
            </w:pPr>
          </w:p>
        </w:tc>
        <w:tc>
          <w:tcPr>
            <w:tcW w:w="0" w:type="auto"/>
            <w:vAlign w:val="center"/>
            <w:hideMark/>
          </w:tcPr>
          <w:p w:rsidR="00000000" w:rsidRDefault="001F1FC8">
            <w:pPr>
              <w:rPr>
                <w:rFonts w:eastAsia="Times New Roman"/>
                <w:sz w:val="20"/>
                <w:szCs w:val="20"/>
              </w:rPr>
            </w:pPr>
          </w:p>
        </w:tc>
        <w:tc>
          <w:tcPr>
            <w:tcW w:w="0" w:type="auto"/>
            <w:vAlign w:val="center"/>
            <w:hideMark/>
          </w:tcPr>
          <w:p w:rsidR="00000000" w:rsidRDefault="001F1FC8">
            <w:pPr>
              <w:rPr>
                <w:rFonts w:eastAsia="Times New Roman"/>
                <w:sz w:val="20"/>
                <w:szCs w:val="20"/>
              </w:rPr>
            </w:pPr>
          </w:p>
        </w:tc>
        <w:tc>
          <w:tcPr>
            <w:tcW w:w="0" w:type="auto"/>
            <w:gridSpan w:val="3"/>
            <w:vMerge/>
            <w:vAlign w:val="center"/>
            <w:hideMark/>
          </w:tcPr>
          <w:p w:rsidR="00000000" w:rsidRDefault="001F1FC8">
            <w:pPr>
              <w:rPr>
                <w:rFonts w:eastAsia="Times New Roman"/>
              </w:rPr>
            </w:pPr>
          </w:p>
        </w:tc>
      </w:tr>
      <w:tr w:rsidR="00000000">
        <w:trPr>
          <w:divId w:val="1555505254"/>
          <w:jc w:val="center"/>
        </w:trPr>
        <w:tc>
          <w:tcPr>
            <w:tcW w:w="0" w:type="auto"/>
            <w:gridSpan w:val="3"/>
            <w:tcBorders>
              <w:top w:val="single" w:sz="4" w:space="0" w:color="000000"/>
            </w:tcBorders>
            <w:tcMar>
              <w:top w:w="30" w:type="dxa"/>
              <w:left w:w="20" w:type="dxa"/>
              <w:bottom w:w="30" w:type="dxa"/>
              <w:right w:w="20" w:type="dxa"/>
            </w:tcMar>
            <w:vAlign w:val="bottom"/>
            <w:hideMark/>
          </w:tcPr>
          <w:p w:rsidR="00000000" w:rsidRDefault="001F1FC8">
            <w:pPr>
              <w:rPr>
                <w:rFonts w:eastAsia="Times New Roman"/>
              </w:rPr>
            </w:pPr>
            <w:r>
              <w:rPr>
                <w:rFonts w:ascii="Arial" w:eastAsia="Times New Roman" w:hAnsi="Arial" w:cs="Arial"/>
                <w:i/>
                <w:iCs/>
                <w:color w:val="000000"/>
                <w:sz w:val="16"/>
                <w:szCs w:val="16"/>
              </w:rPr>
              <w:t>(millions of Canadian dollars)</w:t>
            </w:r>
          </w:p>
        </w:tc>
        <w:tc>
          <w:tcPr>
            <w:tcW w:w="0" w:type="auto"/>
            <w:gridSpan w:val="3"/>
            <w:tcBorders>
              <w:top w:val="single" w:sz="4" w:space="0" w:color="000000"/>
            </w:tcBorders>
            <w:shd w:val="clear" w:color="auto" w:fill="D9D9D9"/>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b/>
                <w:bCs/>
                <w:color w:val="000000"/>
                <w:sz w:val="16"/>
                <w:szCs w:val="16"/>
              </w:rPr>
              <w:t> </w:t>
            </w:r>
          </w:p>
        </w:tc>
        <w:tc>
          <w:tcPr>
            <w:tcW w:w="0" w:type="auto"/>
            <w:gridSpan w:val="3"/>
            <w:tcBorders>
              <w:top w:val="single" w:sz="4" w:space="0" w:color="000000"/>
            </w:tcBorders>
            <w:shd w:val="clear" w:color="auto" w:fill="D9D9D9"/>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b/>
                <w:bCs/>
                <w:color w:val="000000"/>
                <w:sz w:val="16"/>
                <w:szCs w:val="16"/>
              </w:rPr>
              <w:t> </w:t>
            </w:r>
          </w:p>
        </w:tc>
        <w:tc>
          <w:tcPr>
            <w:tcW w:w="0" w:type="auto"/>
            <w:gridSpan w:val="3"/>
            <w:tcBorders>
              <w:top w:val="single" w:sz="4" w:space="0" w:color="000000"/>
            </w:tcBorders>
            <w:shd w:val="clear" w:color="auto" w:fill="D9D9D9"/>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b/>
                <w:bCs/>
                <w:color w:val="000000"/>
                <w:sz w:val="16"/>
                <w:szCs w:val="16"/>
              </w:rPr>
              <w:t> </w:t>
            </w:r>
          </w:p>
        </w:tc>
        <w:tc>
          <w:tcPr>
            <w:tcW w:w="0" w:type="auto"/>
            <w:gridSpan w:val="3"/>
            <w:tcBorders>
              <w:top w:val="single" w:sz="4" w:space="0" w:color="000000"/>
            </w:tcBorders>
            <w:shd w:val="clear" w:color="auto" w:fill="D9D9D9"/>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b/>
                <w:bCs/>
                <w:color w:val="000000"/>
                <w:sz w:val="16"/>
                <w:szCs w:val="16"/>
              </w:rPr>
              <w:t> </w:t>
            </w:r>
          </w:p>
        </w:tc>
        <w:tc>
          <w:tcPr>
            <w:tcW w:w="0" w:type="auto"/>
            <w:gridSpan w:val="3"/>
            <w:vAlign w:val="center"/>
            <w:hideMark/>
          </w:tcPr>
          <w:p w:rsidR="00000000" w:rsidRDefault="001F1FC8">
            <w:pPr>
              <w:jc w:val="right"/>
              <w:rPr>
                <w:rFonts w:eastAsia="Times New Roman"/>
              </w:rPr>
            </w:pPr>
          </w:p>
        </w:tc>
        <w:tc>
          <w:tcPr>
            <w:tcW w:w="0" w:type="auto"/>
            <w:gridSpan w:val="3"/>
            <w:tcBorders>
              <w:top w:val="single" w:sz="4" w:space="0" w:color="000000"/>
            </w:tcBorders>
            <w:shd w:val="clear" w:color="auto" w:fill="D9D9D9"/>
            <w:tcMar>
              <w:top w:w="0" w:type="dxa"/>
              <w:left w:w="20" w:type="dxa"/>
              <w:bottom w:w="0" w:type="dxa"/>
              <w:right w:w="20" w:type="dxa"/>
            </w:tcMar>
            <w:vAlign w:val="center"/>
            <w:hideMark/>
          </w:tcPr>
          <w:p w:rsidR="00000000" w:rsidRDefault="001F1FC8">
            <w:pPr>
              <w:rPr>
                <w:rFonts w:eastAsia="Times New Roman"/>
                <w:sz w:val="20"/>
                <w:szCs w:val="20"/>
              </w:rPr>
            </w:pPr>
          </w:p>
        </w:tc>
      </w:tr>
      <w:tr w:rsidR="00000000">
        <w:trPr>
          <w:divId w:val="1555505254"/>
          <w:jc w:val="center"/>
        </w:trPr>
        <w:tc>
          <w:tcPr>
            <w:tcW w:w="0" w:type="auto"/>
            <w:gridSpan w:val="3"/>
            <w:tcMar>
              <w:top w:w="30" w:type="dxa"/>
              <w:left w:w="20" w:type="dxa"/>
              <w:bottom w:w="30" w:type="dxa"/>
              <w:right w:w="20" w:type="dxa"/>
            </w:tcMar>
            <w:vAlign w:val="center"/>
            <w:hideMark/>
          </w:tcPr>
          <w:p w:rsidR="00000000" w:rsidRDefault="001F1FC8">
            <w:pPr>
              <w:ind w:hanging="180"/>
              <w:divId w:val="149636086"/>
              <w:rPr>
                <w:rFonts w:eastAsia="Times New Roman"/>
              </w:rPr>
            </w:pPr>
            <w:r>
              <w:rPr>
                <w:rFonts w:ascii="Arial" w:eastAsia="Times New Roman" w:hAnsi="Arial" w:cs="Arial"/>
                <w:color w:val="000000"/>
                <w:sz w:val="16"/>
                <w:szCs w:val="16"/>
              </w:rPr>
              <w:t>Revenue from products transferred at a point in time</w:t>
            </w:r>
          </w:p>
        </w:tc>
        <w:tc>
          <w:tcPr>
            <w:tcW w:w="0" w:type="auto"/>
            <w:gridSpan w:val="2"/>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6"/>
                <w:szCs w:val="16"/>
              </w:rPr>
              <w:t>70</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3"/>
            <w:vAlign w:val="center"/>
            <w:hideMark/>
          </w:tcPr>
          <w:p w:rsidR="00000000" w:rsidRDefault="001F1FC8">
            <w:pPr>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6"/>
                <w:szCs w:val="16"/>
              </w:rPr>
              <w:t>70</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r>
      <w:tr w:rsidR="00000000">
        <w:trPr>
          <w:divId w:val="1555505254"/>
          <w:jc w:val="center"/>
        </w:trPr>
        <w:tc>
          <w:tcPr>
            <w:tcW w:w="0" w:type="auto"/>
            <w:gridSpan w:val="3"/>
            <w:tcMar>
              <w:top w:w="30" w:type="dxa"/>
              <w:left w:w="20" w:type="dxa"/>
              <w:bottom w:w="30" w:type="dxa"/>
              <w:right w:w="20" w:type="dxa"/>
            </w:tcMar>
            <w:vAlign w:val="center"/>
            <w:hideMark/>
          </w:tcPr>
          <w:p w:rsidR="00000000" w:rsidRDefault="001F1FC8">
            <w:pPr>
              <w:ind w:hanging="180"/>
              <w:divId w:val="1391230767"/>
              <w:rPr>
                <w:rFonts w:eastAsia="Times New Roman"/>
              </w:rPr>
            </w:pPr>
            <w:r>
              <w:rPr>
                <w:rFonts w:ascii="Arial" w:eastAsia="Times New Roman" w:hAnsi="Arial" w:cs="Arial"/>
                <w:color w:val="000000"/>
                <w:sz w:val="16"/>
                <w:szCs w:val="16"/>
              </w:rPr>
              <w:t>Revenue from products and services transferred over tim</w:t>
            </w:r>
            <w:r>
              <w:rPr>
                <w:rFonts w:ascii="Arial" w:eastAsia="Times New Roman" w:hAnsi="Arial" w:cs="Arial"/>
                <w:color w:val="000000"/>
                <w:sz w:val="16"/>
                <w:szCs w:val="16"/>
              </w:rPr>
              <w:t>e</w:t>
            </w:r>
            <w:r>
              <w:rPr>
                <w:rFonts w:ascii="Arial" w:eastAsia="Times New Roman" w:hAnsi="Arial" w:cs="Arial"/>
                <w:color w:val="000000"/>
                <w:sz w:val="8"/>
                <w:szCs w:val="8"/>
              </w:rPr>
              <w:t>1</w:t>
            </w:r>
          </w:p>
        </w:tc>
        <w:tc>
          <w:tcPr>
            <w:tcW w:w="0" w:type="auto"/>
            <w:gridSpan w:val="2"/>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6"/>
                <w:szCs w:val="16"/>
              </w:rPr>
              <w:t>9,639</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6"/>
                <w:szCs w:val="16"/>
              </w:rPr>
              <w:t>4,668</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6"/>
                <w:szCs w:val="16"/>
              </w:rPr>
              <w:t>4,878</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6"/>
                <w:szCs w:val="16"/>
              </w:rPr>
              <w:t>177</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3"/>
            <w:vAlign w:val="center"/>
            <w:hideMark/>
          </w:tcPr>
          <w:p w:rsidR="00000000" w:rsidRDefault="001F1FC8">
            <w:pPr>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6"/>
                <w:szCs w:val="16"/>
              </w:rPr>
              <w:t>19,362</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r>
      <w:tr w:rsidR="00000000">
        <w:trPr>
          <w:divId w:val="1555505254"/>
          <w:jc w:val="center"/>
        </w:trPr>
        <w:tc>
          <w:tcPr>
            <w:tcW w:w="0" w:type="auto"/>
            <w:gridSpan w:val="3"/>
            <w:tcBorders>
              <w:top w:val="single" w:sz="4" w:space="0" w:color="000000"/>
              <w:bottom w:val="single" w:sz="8" w:space="0" w:color="000000"/>
            </w:tcBorders>
            <w:tcMar>
              <w:top w:w="30" w:type="dxa"/>
              <w:left w:w="20" w:type="dxa"/>
              <w:bottom w:w="30" w:type="dxa"/>
              <w:right w:w="20" w:type="dxa"/>
            </w:tcMar>
            <w:vAlign w:val="center"/>
            <w:hideMark/>
          </w:tcPr>
          <w:p w:rsidR="00000000" w:rsidRDefault="001F1FC8">
            <w:pPr>
              <w:ind w:hanging="180"/>
              <w:divId w:val="1421565584"/>
              <w:rPr>
                <w:rFonts w:eastAsia="Times New Roman"/>
              </w:rPr>
            </w:pPr>
            <w:r>
              <w:rPr>
                <w:rFonts w:ascii="Arial" w:eastAsia="Times New Roman" w:hAnsi="Arial" w:cs="Arial"/>
                <w:color w:val="000000"/>
                <w:sz w:val="16"/>
                <w:szCs w:val="16"/>
              </w:rPr>
              <w:t>Total revenue from contracts with customers</w:t>
            </w:r>
          </w:p>
        </w:tc>
        <w:tc>
          <w:tcPr>
            <w:tcW w:w="0" w:type="auto"/>
            <w:gridSpan w:val="2"/>
            <w:tcBorders>
              <w:top w:val="single" w:sz="4" w:space="0" w:color="000000"/>
              <w:bottom w:val="single" w:sz="8" w:space="0" w:color="000000"/>
            </w:tcBorders>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6"/>
                <w:szCs w:val="16"/>
              </w:rPr>
              <w:t>9,639</w:t>
            </w:r>
            <w:r>
              <w:rPr>
                <w:rFonts w:ascii="Arial" w:eastAsia="Times New Roman" w:hAnsi="Arial" w:cs="Arial"/>
                <w:color w:val="000000"/>
                <w:sz w:val="16"/>
                <w:szCs w:val="16"/>
              </w:rPr>
              <w:t> </w:t>
            </w:r>
          </w:p>
        </w:tc>
        <w:tc>
          <w:tcPr>
            <w:tcW w:w="0" w:type="auto"/>
            <w:tcBorders>
              <w:top w:val="single" w:sz="4" w:space="0" w:color="000000"/>
              <w:bottom w:val="single" w:sz="8" w:space="0" w:color="000000"/>
            </w:tcBorders>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Borders>
              <w:top w:val="single" w:sz="4" w:space="0" w:color="000000"/>
              <w:bottom w:val="single" w:sz="8" w:space="0" w:color="000000"/>
            </w:tcBorders>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6"/>
                <w:szCs w:val="16"/>
              </w:rPr>
              <w:t>4,668</w:t>
            </w:r>
            <w:r>
              <w:rPr>
                <w:rFonts w:ascii="Arial" w:eastAsia="Times New Roman" w:hAnsi="Arial" w:cs="Arial"/>
                <w:color w:val="000000"/>
                <w:sz w:val="16"/>
                <w:szCs w:val="16"/>
              </w:rPr>
              <w:t> </w:t>
            </w:r>
          </w:p>
        </w:tc>
        <w:tc>
          <w:tcPr>
            <w:tcW w:w="0" w:type="auto"/>
            <w:tcBorders>
              <w:top w:val="single" w:sz="4" w:space="0" w:color="000000"/>
              <w:bottom w:val="single" w:sz="8" w:space="0" w:color="000000"/>
            </w:tcBorders>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Borders>
              <w:top w:val="single" w:sz="4" w:space="0" w:color="000000"/>
              <w:bottom w:val="single" w:sz="8" w:space="0" w:color="000000"/>
            </w:tcBorders>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6"/>
                <w:szCs w:val="16"/>
              </w:rPr>
              <w:t>4,948</w:t>
            </w:r>
            <w:r>
              <w:rPr>
                <w:rFonts w:ascii="Arial" w:eastAsia="Times New Roman" w:hAnsi="Arial" w:cs="Arial"/>
                <w:color w:val="000000"/>
                <w:sz w:val="16"/>
                <w:szCs w:val="16"/>
              </w:rPr>
              <w:t> </w:t>
            </w:r>
          </w:p>
        </w:tc>
        <w:tc>
          <w:tcPr>
            <w:tcW w:w="0" w:type="auto"/>
            <w:tcBorders>
              <w:top w:val="single" w:sz="4" w:space="0" w:color="000000"/>
              <w:bottom w:val="single" w:sz="8" w:space="0" w:color="000000"/>
            </w:tcBorders>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Borders>
              <w:top w:val="single" w:sz="4" w:space="0" w:color="000000"/>
              <w:bottom w:val="single" w:sz="8" w:space="0" w:color="000000"/>
            </w:tcBorders>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6"/>
                <w:szCs w:val="16"/>
              </w:rPr>
              <w:t>177</w:t>
            </w:r>
            <w:r>
              <w:rPr>
                <w:rFonts w:ascii="Arial" w:eastAsia="Times New Roman" w:hAnsi="Arial" w:cs="Arial"/>
                <w:color w:val="000000"/>
                <w:sz w:val="16"/>
                <w:szCs w:val="16"/>
              </w:rPr>
              <w:t> </w:t>
            </w:r>
          </w:p>
        </w:tc>
        <w:tc>
          <w:tcPr>
            <w:tcW w:w="0" w:type="auto"/>
            <w:tcBorders>
              <w:top w:val="single" w:sz="4" w:space="0" w:color="000000"/>
              <w:bottom w:val="single" w:sz="8" w:space="0" w:color="000000"/>
            </w:tcBorders>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3"/>
            <w:vAlign w:val="center"/>
            <w:hideMark/>
          </w:tcPr>
          <w:p w:rsidR="00000000" w:rsidRDefault="001F1FC8">
            <w:pPr>
              <w:jc w:val="right"/>
              <w:rPr>
                <w:rFonts w:eastAsia="Times New Roman"/>
                <w:sz w:val="20"/>
                <w:szCs w:val="20"/>
              </w:rPr>
            </w:pPr>
          </w:p>
        </w:tc>
        <w:tc>
          <w:tcPr>
            <w:tcW w:w="0" w:type="auto"/>
            <w:gridSpan w:val="2"/>
            <w:tcBorders>
              <w:top w:val="single" w:sz="4" w:space="0" w:color="000000"/>
              <w:bottom w:val="single" w:sz="8" w:space="0" w:color="000000"/>
            </w:tcBorders>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6"/>
                <w:szCs w:val="16"/>
              </w:rPr>
              <w:t>19,432</w:t>
            </w:r>
            <w:r>
              <w:rPr>
                <w:rFonts w:ascii="Arial" w:eastAsia="Times New Roman" w:hAnsi="Arial" w:cs="Arial"/>
                <w:color w:val="000000"/>
                <w:sz w:val="16"/>
                <w:szCs w:val="16"/>
              </w:rPr>
              <w:t> </w:t>
            </w:r>
          </w:p>
        </w:tc>
        <w:tc>
          <w:tcPr>
            <w:tcW w:w="0" w:type="auto"/>
            <w:tcBorders>
              <w:top w:val="single" w:sz="4" w:space="0" w:color="000000"/>
              <w:bottom w:val="single" w:sz="8" w:space="0" w:color="000000"/>
            </w:tcBorders>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r>
    </w:tbl>
    <w:p w:rsidR="00000000" w:rsidRDefault="001F1FC8">
      <w:pPr>
        <w:jc w:val="center"/>
        <w:divId w:val="229577567"/>
        <w:rPr>
          <w:rFonts w:eastAsia="Times New Roman"/>
        </w:rPr>
      </w:pPr>
      <w:r>
        <w:rPr>
          <w:rFonts w:ascii="Arial" w:eastAsia="Times New Roman" w:hAnsi="Arial" w:cs="Arial"/>
          <w:color w:val="000000"/>
          <w:sz w:val="20"/>
          <w:szCs w:val="20"/>
        </w:rPr>
        <w:t>119</w:t>
      </w:r>
    </w:p>
    <w:p w:rsidR="00000000" w:rsidRDefault="001F1FC8">
      <w:pPr>
        <w:rPr>
          <w:rFonts w:eastAsia="Times New Roman"/>
        </w:rPr>
      </w:pPr>
      <w:r>
        <w:rPr>
          <w:rFonts w:eastAsia="Times New Roman"/>
        </w:rPr>
        <w:pict>
          <v:rect id="_x0000_i1149" style="width:0;height:1.5pt" o:hralign="center" o:hrstd="t" o:hr="t" fillcolor="#a0a0a0" stroked="f"/>
        </w:pict>
      </w:r>
    </w:p>
    <w:p w:rsidR="00000000" w:rsidRDefault="001F1FC8">
      <w:pPr>
        <w:jc w:val="center"/>
        <w:divId w:val="880634268"/>
        <w:rPr>
          <w:rFonts w:eastAsia="Times New Roman"/>
        </w:rPr>
      </w:pPr>
    </w:p>
    <w:tbl>
      <w:tblPr>
        <w:tblW w:w="5000" w:type="pct"/>
        <w:jc w:val="center"/>
        <w:tblCellMar>
          <w:top w:w="15" w:type="dxa"/>
          <w:left w:w="15" w:type="dxa"/>
          <w:bottom w:w="15" w:type="dxa"/>
          <w:right w:w="15" w:type="dxa"/>
        </w:tblCellMar>
        <w:tblLook w:val="04A0" w:firstRow="1" w:lastRow="0" w:firstColumn="1" w:lastColumn="0" w:noHBand="0" w:noVBand="1"/>
      </w:tblPr>
      <w:tblGrid>
        <w:gridCol w:w="49"/>
        <w:gridCol w:w="3584"/>
        <w:gridCol w:w="37"/>
        <w:gridCol w:w="76"/>
        <w:gridCol w:w="607"/>
        <w:gridCol w:w="36"/>
        <w:gridCol w:w="87"/>
        <w:gridCol w:w="897"/>
        <w:gridCol w:w="36"/>
        <w:gridCol w:w="81"/>
        <w:gridCol w:w="752"/>
        <w:gridCol w:w="36"/>
        <w:gridCol w:w="71"/>
        <w:gridCol w:w="811"/>
        <w:gridCol w:w="36"/>
        <w:gridCol w:w="36"/>
        <w:gridCol w:w="36"/>
        <w:gridCol w:w="36"/>
        <w:gridCol w:w="84"/>
        <w:gridCol w:w="882"/>
        <w:gridCol w:w="36"/>
      </w:tblGrid>
      <w:tr w:rsidR="00000000">
        <w:trPr>
          <w:divId w:val="1092556064"/>
          <w:jc w:val="center"/>
        </w:trPr>
        <w:tc>
          <w:tcPr>
            <w:tcW w:w="50" w:type="pct"/>
            <w:vAlign w:val="center"/>
            <w:hideMark/>
          </w:tcPr>
          <w:p w:rsidR="00000000" w:rsidRDefault="001F1FC8">
            <w:pPr>
              <w:jc w:val="center"/>
              <w:rPr>
                <w:rFonts w:eastAsia="Times New Roman"/>
              </w:rPr>
            </w:pPr>
          </w:p>
        </w:tc>
        <w:tc>
          <w:tcPr>
            <w:tcW w:w="2204"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c>
          <w:tcPr>
            <w:tcW w:w="50" w:type="pct"/>
            <w:vAlign w:val="center"/>
            <w:hideMark/>
          </w:tcPr>
          <w:p w:rsidR="00000000" w:rsidRDefault="001F1FC8">
            <w:pPr>
              <w:rPr>
                <w:rFonts w:eastAsia="Times New Roman"/>
                <w:sz w:val="20"/>
                <w:szCs w:val="20"/>
              </w:rPr>
            </w:pPr>
          </w:p>
        </w:tc>
        <w:tc>
          <w:tcPr>
            <w:tcW w:w="401"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c>
          <w:tcPr>
            <w:tcW w:w="50" w:type="pct"/>
            <w:vAlign w:val="center"/>
            <w:hideMark/>
          </w:tcPr>
          <w:p w:rsidR="00000000" w:rsidRDefault="001F1FC8">
            <w:pPr>
              <w:rPr>
                <w:rFonts w:eastAsia="Times New Roman"/>
                <w:sz w:val="20"/>
                <w:szCs w:val="20"/>
              </w:rPr>
            </w:pPr>
          </w:p>
        </w:tc>
        <w:tc>
          <w:tcPr>
            <w:tcW w:w="521"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c>
          <w:tcPr>
            <w:tcW w:w="50" w:type="pct"/>
            <w:vAlign w:val="center"/>
            <w:hideMark/>
          </w:tcPr>
          <w:p w:rsidR="00000000" w:rsidRDefault="001F1FC8">
            <w:pPr>
              <w:rPr>
                <w:rFonts w:eastAsia="Times New Roman"/>
                <w:sz w:val="20"/>
                <w:szCs w:val="20"/>
              </w:rPr>
            </w:pPr>
          </w:p>
        </w:tc>
        <w:tc>
          <w:tcPr>
            <w:tcW w:w="465"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c>
          <w:tcPr>
            <w:tcW w:w="50" w:type="pct"/>
            <w:vAlign w:val="center"/>
            <w:hideMark/>
          </w:tcPr>
          <w:p w:rsidR="00000000" w:rsidRDefault="001F1FC8">
            <w:pPr>
              <w:rPr>
                <w:rFonts w:eastAsia="Times New Roman"/>
                <w:sz w:val="20"/>
                <w:szCs w:val="20"/>
              </w:rPr>
            </w:pPr>
          </w:p>
        </w:tc>
        <w:tc>
          <w:tcPr>
            <w:tcW w:w="545"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c>
          <w:tcPr>
            <w:tcW w:w="0" w:type="auto"/>
            <w:gridSpan w:val="3"/>
            <w:vAlign w:val="center"/>
            <w:hideMark/>
          </w:tcPr>
          <w:p w:rsidR="00000000" w:rsidRDefault="001F1FC8">
            <w:pPr>
              <w:rPr>
                <w:rFonts w:eastAsia="Times New Roman"/>
                <w:sz w:val="20"/>
                <w:szCs w:val="20"/>
              </w:rPr>
            </w:pPr>
          </w:p>
        </w:tc>
        <w:tc>
          <w:tcPr>
            <w:tcW w:w="50" w:type="pct"/>
            <w:vAlign w:val="center"/>
            <w:hideMark/>
          </w:tcPr>
          <w:p w:rsidR="00000000" w:rsidRDefault="001F1FC8">
            <w:pPr>
              <w:rPr>
                <w:rFonts w:eastAsia="Times New Roman"/>
                <w:sz w:val="20"/>
                <w:szCs w:val="20"/>
              </w:rPr>
            </w:pPr>
          </w:p>
        </w:tc>
        <w:tc>
          <w:tcPr>
            <w:tcW w:w="530"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r>
      <w:tr w:rsidR="00000000">
        <w:trPr>
          <w:divId w:val="1092556064"/>
          <w:trHeight w:val="400"/>
          <w:jc w:val="center"/>
        </w:trPr>
        <w:tc>
          <w:tcPr>
            <w:tcW w:w="0" w:type="auto"/>
            <w:gridSpan w:val="3"/>
            <w:tcMar>
              <w:top w:w="0" w:type="dxa"/>
              <w:left w:w="20" w:type="dxa"/>
              <w:bottom w:w="0" w:type="dxa"/>
              <w:right w:w="20" w:type="dxa"/>
            </w:tcMar>
            <w:vAlign w:val="center"/>
            <w:hideMark/>
          </w:tcPr>
          <w:p w:rsidR="00000000" w:rsidRDefault="001F1FC8">
            <w:pPr>
              <w:rPr>
                <w:rFonts w:eastAsia="Times New Roman"/>
                <w:sz w:val="20"/>
                <w:szCs w:val="20"/>
              </w:rPr>
            </w:pPr>
          </w:p>
        </w:tc>
        <w:tc>
          <w:tcPr>
            <w:tcW w:w="0" w:type="auto"/>
            <w:gridSpan w:val="3"/>
            <w:vMerge w:val="restart"/>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Liquids Pipelines</w:t>
            </w:r>
          </w:p>
        </w:tc>
        <w:tc>
          <w:tcPr>
            <w:tcW w:w="0" w:type="auto"/>
            <w:gridSpan w:val="3"/>
            <w:vMerge w:val="restart"/>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Gas Transmission and Midstream</w:t>
            </w:r>
          </w:p>
        </w:tc>
        <w:tc>
          <w:tcPr>
            <w:tcW w:w="0" w:type="auto"/>
            <w:gridSpan w:val="3"/>
            <w:vMerge w:val="restart"/>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Gas Distribution and Storage</w:t>
            </w:r>
          </w:p>
        </w:tc>
        <w:tc>
          <w:tcPr>
            <w:tcW w:w="0" w:type="auto"/>
            <w:gridSpan w:val="3"/>
            <w:vMerge w:val="restart"/>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Renewable Power Generation</w:t>
            </w:r>
          </w:p>
        </w:tc>
        <w:tc>
          <w:tcPr>
            <w:tcW w:w="0" w:type="auto"/>
            <w:gridSpan w:val="3"/>
            <w:vAlign w:val="center"/>
            <w:hideMark/>
          </w:tcPr>
          <w:p w:rsidR="00000000" w:rsidRDefault="001F1FC8">
            <w:pPr>
              <w:jc w:val="right"/>
              <w:rPr>
                <w:rFonts w:eastAsia="Times New Roman"/>
              </w:rPr>
            </w:pPr>
          </w:p>
        </w:tc>
        <w:tc>
          <w:tcPr>
            <w:tcW w:w="0" w:type="auto"/>
            <w:gridSpan w:val="3"/>
            <w:vMerge w:val="restart"/>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Consolidated</w:t>
            </w:r>
          </w:p>
        </w:tc>
      </w:tr>
      <w:tr w:rsidR="00000000">
        <w:trPr>
          <w:divId w:val="1092556064"/>
          <w:trHeight w:val="400"/>
          <w:jc w:val="center"/>
        </w:trPr>
        <w:tc>
          <w:tcPr>
            <w:tcW w:w="0" w:type="auto"/>
            <w:gridSpan w:val="3"/>
            <w:tcMar>
              <w:top w:w="30" w:type="dxa"/>
              <w:left w:w="20" w:type="dxa"/>
              <w:bottom w:w="30" w:type="dxa"/>
              <w:right w:w="20" w:type="dxa"/>
            </w:tcMar>
            <w:vAlign w:val="bottom"/>
            <w:hideMark/>
          </w:tcPr>
          <w:p w:rsidR="00000000" w:rsidRDefault="001F1FC8">
            <w:pPr>
              <w:rPr>
                <w:rFonts w:eastAsia="Times New Roman"/>
              </w:rPr>
            </w:pPr>
            <w:r>
              <w:rPr>
                <w:rFonts w:ascii="Arial" w:eastAsia="Times New Roman" w:hAnsi="Arial" w:cs="Arial"/>
                <w:color w:val="000000"/>
                <w:sz w:val="16"/>
                <w:szCs w:val="16"/>
              </w:rPr>
              <w:t>Year ended December 31, 2020</w:t>
            </w:r>
          </w:p>
        </w:tc>
        <w:tc>
          <w:tcPr>
            <w:tcW w:w="0" w:type="auto"/>
            <w:gridSpan w:val="3"/>
            <w:vMerge/>
            <w:vAlign w:val="center"/>
            <w:hideMark/>
          </w:tcPr>
          <w:p w:rsidR="00000000" w:rsidRDefault="001F1FC8">
            <w:pPr>
              <w:rPr>
                <w:rFonts w:eastAsia="Times New Roman"/>
              </w:rPr>
            </w:pPr>
          </w:p>
        </w:tc>
        <w:tc>
          <w:tcPr>
            <w:tcW w:w="0" w:type="auto"/>
            <w:gridSpan w:val="3"/>
            <w:vMerge/>
            <w:vAlign w:val="center"/>
            <w:hideMark/>
          </w:tcPr>
          <w:p w:rsidR="00000000" w:rsidRDefault="001F1FC8">
            <w:pPr>
              <w:rPr>
                <w:rFonts w:eastAsia="Times New Roman"/>
              </w:rPr>
            </w:pPr>
          </w:p>
        </w:tc>
        <w:tc>
          <w:tcPr>
            <w:tcW w:w="0" w:type="auto"/>
            <w:gridSpan w:val="3"/>
            <w:vMerge/>
            <w:vAlign w:val="center"/>
            <w:hideMark/>
          </w:tcPr>
          <w:p w:rsidR="00000000" w:rsidRDefault="001F1FC8">
            <w:pPr>
              <w:rPr>
                <w:rFonts w:eastAsia="Times New Roman"/>
              </w:rPr>
            </w:pPr>
          </w:p>
        </w:tc>
        <w:tc>
          <w:tcPr>
            <w:tcW w:w="0" w:type="auto"/>
            <w:gridSpan w:val="3"/>
            <w:vMerge/>
            <w:vAlign w:val="center"/>
            <w:hideMark/>
          </w:tcPr>
          <w:p w:rsidR="00000000" w:rsidRDefault="001F1FC8">
            <w:pPr>
              <w:rPr>
                <w:rFonts w:eastAsia="Times New Roman"/>
              </w:rPr>
            </w:pPr>
          </w:p>
        </w:tc>
        <w:tc>
          <w:tcPr>
            <w:tcW w:w="0" w:type="auto"/>
            <w:vAlign w:val="center"/>
            <w:hideMark/>
          </w:tcPr>
          <w:p w:rsidR="00000000" w:rsidRDefault="001F1FC8">
            <w:pPr>
              <w:rPr>
                <w:rFonts w:eastAsia="Times New Roman"/>
                <w:sz w:val="20"/>
                <w:szCs w:val="20"/>
              </w:rPr>
            </w:pPr>
          </w:p>
        </w:tc>
        <w:tc>
          <w:tcPr>
            <w:tcW w:w="0" w:type="auto"/>
            <w:vAlign w:val="center"/>
            <w:hideMark/>
          </w:tcPr>
          <w:p w:rsidR="00000000" w:rsidRDefault="001F1FC8">
            <w:pPr>
              <w:rPr>
                <w:rFonts w:eastAsia="Times New Roman"/>
                <w:sz w:val="20"/>
                <w:szCs w:val="20"/>
              </w:rPr>
            </w:pPr>
          </w:p>
        </w:tc>
        <w:tc>
          <w:tcPr>
            <w:tcW w:w="0" w:type="auto"/>
            <w:vAlign w:val="center"/>
            <w:hideMark/>
          </w:tcPr>
          <w:p w:rsidR="00000000" w:rsidRDefault="001F1FC8">
            <w:pPr>
              <w:rPr>
                <w:rFonts w:eastAsia="Times New Roman"/>
                <w:sz w:val="20"/>
                <w:szCs w:val="20"/>
              </w:rPr>
            </w:pPr>
          </w:p>
        </w:tc>
        <w:tc>
          <w:tcPr>
            <w:tcW w:w="0" w:type="auto"/>
            <w:gridSpan w:val="3"/>
            <w:vMerge/>
            <w:vAlign w:val="center"/>
            <w:hideMark/>
          </w:tcPr>
          <w:p w:rsidR="00000000" w:rsidRDefault="001F1FC8">
            <w:pPr>
              <w:rPr>
                <w:rFonts w:eastAsia="Times New Roman"/>
              </w:rPr>
            </w:pPr>
          </w:p>
        </w:tc>
      </w:tr>
      <w:tr w:rsidR="00000000">
        <w:trPr>
          <w:divId w:val="1092556064"/>
          <w:jc w:val="center"/>
        </w:trPr>
        <w:tc>
          <w:tcPr>
            <w:tcW w:w="0" w:type="auto"/>
            <w:gridSpan w:val="3"/>
            <w:tcBorders>
              <w:top w:val="single" w:sz="4" w:space="0" w:color="000000"/>
            </w:tcBorders>
            <w:tcMar>
              <w:top w:w="30" w:type="dxa"/>
              <w:left w:w="20" w:type="dxa"/>
              <w:bottom w:w="30" w:type="dxa"/>
              <w:right w:w="20" w:type="dxa"/>
            </w:tcMar>
            <w:vAlign w:val="bottom"/>
            <w:hideMark/>
          </w:tcPr>
          <w:p w:rsidR="00000000" w:rsidRDefault="001F1FC8">
            <w:pPr>
              <w:rPr>
                <w:rFonts w:eastAsia="Times New Roman"/>
              </w:rPr>
            </w:pPr>
            <w:r>
              <w:rPr>
                <w:rFonts w:ascii="Arial" w:eastAsia="Times New Roman" w:hAnsi="Arial" w:cs="Arial"/>
                <w:i/>
                <w:iCs/>
                <w:color w:val="000000"/>
                <w:sz w:val="16"/>
                <w:szCs w:val="16"/>
              </w:rPr>
              <w:t>(millions of Canadian dollars)</w:t>
            </w: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 </w:t>
            </w: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1F1FC8">
            <w:pPr>
              <w:rPr>
                <w:rFonts w:eastAsia="Times New Roman"/>
              </w:rPr>
            </w:pPr>
            <w:r>
              <w:rPr>
                <w:rFonts w:ascii="Arial" w:eastAsia="Times New Roman" w:hAnsi="Arial" w:cs="Arial"/>
                <w:color w:val="000000"/>
                <w:sz w:val="16"/>
                <w:szCs w:val="16"/>
              </w:rPr>
              <w:t> </w:t>
            </w: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 </w:t>
            </w: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 </w:t>
            </w:r>
          </w:p>
        </w:tc>
        <w:tc>
          <w:tcPr>
            <w:tcW w:w="0" w:type="auto"/>
            <w:gridSpan w:val="3"/>
            <w:vAlign w:val="center"/>
            <w:hideMark/>
          </w:tcPr>
          <w:p w:rsidR="00000000" w:rsidRDefault="001F1FC8">
            <w:pPr>
              <w:jc w:val="right"/>
              <w:rPr>
                <w:rFonts w:eastAsia="Times New Roman"/>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1F1FC8">
            <w:pPr>
              <w:rPr>
                <w:rFonts w:eastAsia="Times New Roman"/>
                <w:sz w:val="20"/>
                <w:szCs w:val="20"/>
              </w:rPr>
            </w:pPr>
          </w:p>
        </w:tc>
      </w:tr>
      <w:tr w:rsidR="00000000">
        <w:trPr>
          <w:divId w:val="1092556064"/>
          <w:jc w:val="center"/>
        </w:trPr>
        <w:tc>
          <w:tcPr>
            <w:tcW w:w="0" w:type="auto"/>
            <w:gridSpan w:val="3"/>
            <w:tcMar>
              <w:top w:w="30" w:type="dxa"/>
              <w:left w:w="200" w:type="dxa"/>
              <w:bottom w:w="30" w:type="dxa"/>
              <w:right w:w="20" w:type="dxa"/>
            </w:tcMar>
            <w:vAlign w:val="center"/>
            <w:hideMark/>
          </w:tcPr>
          <w:p w:rsidR="00000000" w:rsidRDefault="001F1FC8">
            <w:pPr>
              <w:ind w:hanging="180"/>
              <w:rPr>
                <w:rFonts w:eastAsia="Times New Roman"/>
              </w:rPr>
            </w:pPr>
            <w:r>
              <w:rPr>
                <w:rFonts w:ascii="Arial" w:eastAsia="Times New Roman" w:hAnsi="Arial" w:cs="Arial"/>
                <w:color w:val="000000"/>
                <w:sz w:val="16"/>
                <w:szCs w:val="16"/>
              </w:rPr>
              <w:t>Revenue from products transferred at a point in time</w:t>
            </w: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60 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3"/>
            <w:vAlign w:val="center"/>
            <w:hideMark/>
          </w:tcPr>
          <w:p w:rsidR="00000000" w:rsidRDefault="001F1FC8">
            <w:pPr>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60 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r>
      <w:tr w:rsidR="00000000">
        <w:trPr>
          <w:divId w:val="1092556064"/>
          <w:jc w:val="center"/>
        </w:trPr>
        <w:tc>
          <w:tcPr>
            <w:tcW w:w="0" w:type="auto"/>
            <w:gridSpan w:val="3"/>
            <w:tcMar>
              <w:top w:w="30" w:type="dxa"/>
              <w:left w:w="20" w:type="dxa"/>
              <w:bottom w:w="30" w:type="dxa"/>
              <w:right w:w="20" w:type="dxa"/>
            </w:tcMar>
            <w:vAlign w:val="center"/>
            <w:hideMark/>
          </w:tcPr>
          <w:p w:rsidR="00000000" w:rsidRDefault="001F1FC8">
            <w:pPr>
              <w:ind w:hanging="180"/>
              <w:divId w:val="899440542"/>
              <w:rPr>
                <w:rFonts w:eastAsia="Times New Roman"/>
              </w:rPr>
            </w:pPr>
            <w:r>
              <w:rPr>
                <w:rFonts w:ascii="Arial" w:eastAsia="Times New Roman" w:hAnsi="Arial" w:cs="Arial"/>
                <w:color w:val="000000"/>
                <w:sz w:val="16"/>
                <w:szCs w:val="16"/>
              </w:rPr>
              <w:t>Revenue from products and services transferred over tim</w:t>
            </w:r>
            <w:r>
              <w:rPr>
                <w:rFonts w:ascii="Arial" w:eastAsia="Times New Roman" w:hAnsi="Arial" w:cs="Arial"/>
                <w:color w:val="000000"/>
                <w:sz w:val="16"/>
                <w:szCs w:val="16"/>
              </w:rPr>
              <w:t>e</w:t>
            </w:r>
            <w:r>
              <w:rPr>
                <w:rFonts w:ascii="Arial" w:eastAsia="Times New Roman" w:hAnsi="Arial" w:cs="Arial"/>
                <w:color w:val="000000"/>
                <w:sz w:val="8"/>
                <w:szCs w:val="8"/>
              </w:rPr>
              <w:t>1</w:t>
            </w: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9,255 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4,824 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4,480 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198 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3"/>
            <w:vAlign w:val="center"/>
            <w:hideMark/>
          </w:tcPr>
          <w:p w:rsidR="00000000" w:rsidRDefault="001F1FC8">
            <w:pPr>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18,757 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r>
      <w:tr w:rsidR="00000000">
        <w:trPr>
          <w:divId w:val="1092556064"/>
          <w:jc w:val="center"/>
        </w:trPr>
        <w:tc>
          <w:tcPr>
            <w:tcW w:w="0" w:type="auto"/>
            <w:gridSpan w:val="3"/>
            <w:tcBorders>
              <w:top w:val="single" w:sz="4" w:space="0" w:color="000000"/>
              <w:bottom w:val="single" w:sz="8" w:space="0" w:color="000000"/>
            </w:tcBorders>
            <w:tcMar>
              <w:top w:w="30" w:type="dxa"/>
              <w:left w:w="20" w:type="dxa"/>
              <w:bottom w:w="30" w:type="dxa"/>
              <w:right w:w="20" w:type="dxa"/>
            </w:tcMar>
            <w:vAlign w:val="center"/>
            <w:hideMark/>
          </w:tcPr>
          <w:p w:rsidR="00000000" w:rsidRDefault="001F1FC8">
            <w:pPr>
              <w:ind w:hanging="180"/>
              <w:divId w:val="1118379971"/>
              <w:rPr>
                <w:rFonts w:eastAsia="Times New Roman"/>
              </w:rPr>
            </w:pPr>
            <w:r>
              <w:rPr>
                <w:rFonts w:ascii="Arial" w:eastAsia="Times New Roman" w:hAnsi="Arial" w:cs="Arial"/>
                <w:color w:val="000000"/>
                <w:sz w:val="16"/>
                <w:szCs w:val="16"/>
              </w:rPr>
              <w:t>Total revenue from contracts with customers</w:t>
            </w:r>
          </w:p>
        </w:tc>
        <w:tc>
          <w:tcPr>
            <w:tcW w:w="0" w:type="auto"/>
            <w:gridSpan w:val="2"/>
            <w:tcBorders>
              <w:top w:val="single" w:sz="4" w:space="0" w:color="000000"/>
              <w:bottom w:val="single" w:sz="8" w:space="0" w:color="000000"/>
            </w:tcBorders>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9,255 </w:t>
            </w:r>
          </w:p>
        </w:tc>
        <w:tc>
          <w:tcPr>
            <w:tcW w:w="0" w:type="auto"/>
            <w:tcBorders>
              <w:top w:val="single" w:sz="4" w:space="0" w:color="000000"/>
              <w:bottom w:val="single" w:sz="8" w:space="0" w:color="000000"/>
            </w:tcBorders>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Borders>
              <w:top w:val="single" w:sz="4" w:space="0" w:color="000000"/>
              <w:bottom w:val="single" w:sz="8" w:space="0" w:color="000000"/>
            </w:tcBorders>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4,824 </w:t>
            </w:r>
          </w:p>
        </w:tc>
        <w:tc>
          <w:tcPr>
            <w:tcW w:w="0" w:type="auto"/>
            <w:tcBorders>
              <w:top w:val="single" w:sz="4" w:space="0" w:color="000000"/>
              <w:bottom w:val="single" w:sz="8" w:space="0" w:color="000000"/>
            </w:tcBorders>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Borders>
              <w:top w:val="single" w:sz="4" w:space="0" w:color="000000"/>
              <w:bottom w:val="single" w:sz="8" w:space="0" w:color="000000"/>
            </w:tcBorders>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4,540 </w:t>
            </w:r>
          </w:p>
        </w:tc>
        <w:tc>
          <w:tcPr>
            <w:tcW w:w="0" w:type="auto"/>
            <w:tcBorders>
              <w:top w:val="single" w:sz="4" w:space="0" w:color="000000"/>
              <w:bottom w:val="single" w:sz="8" w:space="0" w:color="000000"/>
            </w:tcBorders>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Borders>
              <w:top w:val="single" w:sz="4" w:space="0" w:color="000000"/>
              <w:bottom w:val="single" w:sz="8" w:space="0" w:color="000000"/>
            </w:tcBorders>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198 </w:t>
            </w:r>
          </w:p>
        </w:tc>
        <w:tc>
          <w:tcPr>
            <w:tcW w:w="0" w:type="auto"/>
            <w:tcBorders>
              <w:top w:val="single" w:sz="4" w:space="0" w:color="000000"/>
              <w:bottom w:val="single" w:sz="8" w:space="0" w:color="000000"/>
            </w:tcBorders>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3"/>
            <w:vAlign w:val="center"/>
            <w:hideMark/>
          </w:tcPr>
          <w:p w:rsidR="00000000" w:rsidRDefault="001F1FC8">
            <w:pPr>
              <w:jc w:val="right"/>
              <w:rPr>
                <w:rFonts w:eastAsia="Times New Roman"/>
                <w:sz w:val="20"/>
                <w:szCs w:val="20"/>
              </w:rPr>
            </w:pPr>
          </w:p>
        </w:tc>
        <w:tc>
          <w:tcPr>
            <w:tcW w:w="0" w:type="auto"/>
            <w:gridSpan w:val="2"/>
            <w:tcBorders>
              <w:top w:val="single" w:sz="4" w:space="0" w:color="000000"/>
              <w:bottom w:val="single" w:sz="8" w:space="0" w:color="000000"/>
            </w:tcBorders>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18,817 </w:t>
            </w:r>
          </w:p>
        </w:tc>
        <w:tc>
          <w:tcPr>
            <w:tcW w:w="0" w:type="auto"/>
            <w:tcBorders>
              <w:top w:val="single" w:sz="4" w:space="0" w:color="000000"/>
              <w:bottom w:val="single" w:sz="8" w:space="0" w:color="000000"/>
            </w:tcBorders>
            <w:tcMar>
              <w:top w:w="30" w:type="dxa"/>
              <w:left w:w="0" w:type="dxa"/>
              <w:bottom w:w="30" w:type="dxa"/>
              <w:right w:w="20" w:type="dxa"/>
            </w:tcMar>
            <w:vAlign w:val="bottom"/>
            <w:hideMark/>
          </w:tcPr>
          <w:p w:rsidR="00000000" w:rsidRDefault="001F1FC8">
            <w:pPr>
              <w:jc w:val="right"/>
              <w:rPr>
                <w:rFonts w:eastAsia="Times New Roman"/>
              </w:rPr>
            </w:pPr>
          </w:p>
        </w:tc>
      </w:tr>
    </w:tbl>
    <w:tbl>
      <w:tblPr>
        <w:tblW w:w="5000" w:type="pct"/>
        <w:tblCellMar>
          <w:top w:w="15" w:type="dxa"/>
          <w:left w:w="15" w:type="dxa"/>
          <w:bottom w:w="15" w:type="dxa"/>
          <w:right w:w="15" w:type="dxa"/>
        </w:tblCellMar>
        <w:tblLook w:val="04A0" w:firstRow="1" w:lastRow="0" w:firstColumn="1" w:lastColumn="0" w:noHBand="0" w:noVBand="1"/>
      </w:tblPr>
      <w:tblGrid>
        <w:gridCol w:w="144"/>
        <w:gridCol w:w="3661"/>
        <w:gridCol w:w="144"/>
        <w:gridCol w:w="144"/>
        <w:gridCol w:w="666"/>
        <w:gridCol w:w="144"/>
        <w:gridCol w:w="144"/>
        <w:gridCol w:w="865"/>
        <w:gridCol w:w="144"/>
        <w:gridCol w:w="144"/>
        <w:gridCol w:w="772"/>
        <w:gridCol w:w="144"/>
        <w:gridCol w:w="144"/>
        <w:gridCol w:w="905"/>
        <w:gridCol w:w="144"/>
        <w:gridCol w:w="160"/>
        <w:gridCol w:w="160"/>
        <w:gridCol w:w="160"/>
        <w:gridCol w:w="144"/>
        <w:gridCol w:w="880"/>
        <w:gridCol w:w="144"/>
      </w:tblGrid>
      <w:tr w:rsidR="00000000">
        <w:tc>
          <w:tcPr>
            <w:tcW w:w="50" w:type="pct"/>
            <w:vAlign w:val="center"/>
            <w:hideMark/>
          </w:tcPr>
          <w:p w:rsidR="00000000" w:rsidRDefault="001F1FC8">
            <w:pPr>
              <w:jc w:val="center"/>
              <w:rPr>
                <w:rFonts w:eastAsia="Times New Roman"/>
              </w:rPr>
            </w:pPr>
          </w:p>
        </w:tc>
        <w:tc>
          <w:tcPr>
            <w:tcW w:w="2204"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c>
          <w:tcPr>
            <w:tcW w:w="50" w:type="pct"/>
            <w:vAlign w:val="center"/>
            <w:hideMark/>
          </w:tcPr>
          <w:p w:rsidR="00000000" w:rsidRDefault="001F1FC8">
            <w:pPr>
              <w:rPr>
                <w:rFonts w:eastAsia="Times New Roman"/>
                <w:sz w:val="20"/>
                <w:szCs w:val="20"/>
              </w:rPr>
            </w:pPr>
          </w:p>
        </w:tc>
        <w:tc>
          <w:tcPr>
            <w:tcW w:w="401"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c>
          <w:tcPr>
            <w:tcW w:w="50" w:type="pct"/>
            <w:vAlign w:val="center"/>
            <w:hideMark/>
          </w:tcPr>
          <w:p w:rsidR="00000000" w:rsidRDefault="001F1FC8">
            <w:pPr>
              <w:rPr>
                <w:rFonts w:eastAsia="Times New Roman"/>
                <w:sz w:val="20"/>
                <w:szCs w:val="20"/>
              </w:rPr>
            </w:pPr>
          </w:p>
        </w:tc>
        <w:tc>
          <w:tcPr>
            <w:tcW w:w="521"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c>
          <w:tcPr>
            <w:tcW w:w="50" w:type="pct"/>
            <w:vAlign w:val="center"/>
            <w:hideMark/>
          </w:tcPr>
          <w:p w:rsidR="00000000" w:rsidRDefault="001F1FC8">
            <w:pPr>
              <w:rPr>
                <w:rFonts w:eastAsia="Times New Roman"/>
                <w:sz w:val="20"/>
                <w:szCs w:val="20"/>
              </w:rPr>
            </w:pPr>
          </w:p>
        </w:tc>
        <w:tc>
          <w:tcPr>
            <w:tcW w:w="465"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c>
          <w:tcPr>
            <w:tcW w:w="50" w:type="pct"/>
            <w:vAlign w:val="center"/>
            <w:hideMark/>
          </w:tcPr>
          <w:p w:rsidR="00000000" w:rsidRDefault="001F1FC8">
            <w:pPr>
              <w:rPr>
                <w:rFonts w:eastAsia="Times New Roman"/>
                <w:sz w:val="20"/>
                <w:szCs w:val="20"/>
              </w:rPr>
            </w:pPr>
          </w:p>
        </w:tc>
        <w:tc>
          <w:tcPr>
            <w:tcW w:w="545"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c>
          <w:tcPr>
            <w:tcW w:w="0" w:type="auto"/>
            <w:gridSpan w:val="3"/>
            <w:vAlign w:val="center"/>
            <w:hideMark/>
          </w:tcPr>
          <w:p w:rsidR="00000000" w:rsidRDefault="001F1FC8">
            <w:pPr>
              <w:rPr>
                <w:rFonts w:eastAsia="Times New Roman"/>
                <w:sz w:val="20"/>
                <w:szCs w:val="20"/>
              </w:rPr>
            </w:pPr>
          </w:p>
        </w:tc>
        <w:tc>
          <w:tcPr>
            <w:tcW w:w="50" w:type="pct"/>
            <w:vAlign w:val="center"/>
            <w:hideMark/>
          </w:tcPr>
          <w:p w:rsidR="00000000" w:rsidRDefault="001F1FC8">
            <w:pPr>
              <w:rPr>
                <w:rFonts w:eastAsia="Times New Roman"/>
                <w:sz w:val="20"/>
                <w:szCs w:val="20"/>
              </w:rPr>
            </w:pPr>
          </w:p>
        </w:tc>
        <w:tc>
          <w:tcPr>
            <w:tcW w:w="530"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r>
      <w:tr w:rsidR="00000000">
        <w:trPr>
          <w:trHeight w:val="400"/>
        </w:trPr>
        <w:tc>
          <w:tcPr>
            <w:tcW w:w="0" w:type="auto"/>
            <w:gridSpan w:val="3"/>
            <w:tcMar>
              <w:top w:w="0" w:type="dxa"/>
              <w:left w:w="20" w:type="dxa"/>
              <w:bottom w:w="0" w:type="dxa"/>
              <w:right w:w="20" w:type="dxa"/>
            </w:tcMar>
            <w:vAlign w:val="center"/>
            <w:hideMark/>
          </w:tcPr>
          <w:p w:rsidR="00000000" w:rsidRDefault="001F1FC8">
            <w:pPr>
              <w:rPr>
                <w:rFonts w:eastAsia="Times New Roman"/>
                <w:sz w:val="20"/>
                <w:szCs w:val="20"/>
              </w:rPr>
            </w:pPr>
          </w:p>
        </w:tc>
        <w:tc>
          <w:tcPr>
            <w:tcW w:w="0" w:type="auto"/>
            <w:gridSpan w:val="3"/>
            <w:vMerge w:val="restart"/>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Liquids Pipelines</w:t>
            </w:r>
          </w:p>
        </w:tc>
        <w:tc>
          <w:tcPr>
            <w:tcW w:w="0" w:type="auto"/>
            <w:gridSpan w:val="3"/>
            <w:vMerge w:val="restart"/>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Gas Transmission and Midstream</w:t>
            </w:r>
          </w:p>
        </w:tc>
        <w:tc>
          <w:tcPr>
            <w:tcW w:w="0" w:type="auto"/>
            <w:gridSpan w:val="3"/>
            <w:vMerge w:val="restart"/>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Gas Distribution and Storage</w:t>
            </w:r>
          </w:p>
        </w:tc>
        <w:tc>
          <w:tcPr>
            <w:tcW w:w="0" w:type="auto"/>
            <w:gridSpan w:val="3"/>
            <w:vMerge w:val="restart"/>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Renewable Power Generation</w:t>
            </w:r>
          </w:p>
        </w:tc>
        <w:tc>
          <w:tcPr>
            <w:tcW w:w="0" w:type="auto"/>
            <w:gridSpan w:val="3"/>
            <w:vAlign w:val="center"/>
            <w:hideMark/>
          </w:tcPr>
          <w:p w:rsidR="00000000" w:rsidRDefault="001F1FC8">
            <w:pPr>
              <w:jc w:val="right"/>
              <w:rPr>
                <w:rFonts w:eastAsia="Times New Roman"/>
              </w:rPr>
            </w:pPr>
          </w:p>
        </w:tc>
        <w:tc>
          <w:tcPr>
            <w:tcW w:w="0" w:type="auto"/>
            <w:gridSpan w:val="3"/>
            <w:vMerge w:val="restart"/>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Consolidated</w:t>
            </w:r>
          </w:p>
        </w:tc>
      </w:tr>
      <w:tr w:rsidR="00000000">
        <w:trPr>
          <w:trHeight w:val="400"/>
        </w:trPr>
        <w:tc>
          <w:tcPr>
            <w:tcW w:w="0" w:type="auto"/>
            <w:gridSpan w:val="3"/>
            <w:tcMar>
              <w:top w:w="30" w:type="dxa"/>
              <w:left w:w="20" w:type="dxa"/>
              <w:bottom w:w="30" w:type="dxa"/>
              <w:right w:w="20" w:type="dxa"/>
            </w:tcMar>
            <w:vAlign w:val="bottom"/>
            <w:hideMark/>
          </w:tcPr>
          <w:p w:rsidR="00000000" w:rsidRDefault="001F1FC8">
            <w:pPr>
              <w:rPr>
                <w:rFonts w:eastAsia="Times New Roman"/>
              </w:rPr>
            </w:pPr>
            <w:r>
              <w:rPr>
                <w:rFonts w:ascii="Arial" w:eastAsia="Times New Roman" w:hAnsi="Arial" w:cs="Arial"/>
                <w:color w:val="000000"/>
                <w:sz w:val="16"/>
                <w:szCs w:val="16"/>
              </w:rPr>
              <w:t>Year ended December 31, 2019</w:t>
            </w:r>
          </w:p>
        </w:tc>
        <w:tc>
          <w:tcPr>
            <w:tcW w:w="0" w:type="auto"/>
            <w:gridSpan w:val="3"/>
            <w:vMerge/>
            <w:vAlign w:val="center"/>
            <w:hideMark/>
          </w:tcPr>
          <w:p w:rsidR="00000000" w:rsidRDefault="001F1FC8">
            <w:pPr>
              <w:rPr>
                <w:rFonts w:eastAsia="Times New Roman"/>
              </w:rPr>
            </w:pPr>
          </w:p>
        </w:tc>
        <w:tc>
          <w:tcPr>
            <w:tcW w:w="0" w:type="auto"/>
            <w:gridSpan w:val="3"/>
            <w:vMerge/>
            <w:vAlign w:val="center"/>
            <w:hideMark/>
          </w:tcPr>
          <w:p w:rsidR="00000000" w:rsidRDefault="001F1FC8">
            <w:pPr>
              <w:rPr>
                <w:rFonts w:eastAsia="Times New Roman"/>
              </w:rPr>
            </w:pPr>
          </w:p>
        </w:tc>
        <w:tc>
          <w:tcPr>
            <w:tcW w:w="0" w:type="auto"/>
            <w:gridSpan w:val="3"/>
            <w:vMerge/>
            <w:vAlign w:val="center"/>
            <w:hideMark/>
          </w:tcPr>
          <w:p w:rsidR="00000000" w:rsidRDefault="001F1FC8">
            <w:pPr>
              <w:rPr>
                <w:rFonts w:eastAsia="Times New Roman"/>
              </w:rPr>
            </w:pPr>
          </w:p>
        </w:tc>
        <w:tc>
          <w:tcPr>
            <w:tcW w:w="0" w:type="auto"/>
            <w:gridSpan w:val="3"/>
            <w:vMerge/>
            <w:vAlign w:val="center"/>
            <w:hideMark/>
          </w:tcPr>
          <w:p w:rsidR="00000000" w:rsidRDefault="001F1FC8">
            <w:pPr>
              <w:rPr>
                <w:rFonts w:eastAsia="Times New Roman"/>
              </w:rPr>
            </w:pPr>
          </w:p>
        </w:tc>
        <w:tc>
          <w:tcPr>
            <w:tcW w:w="0" w:type="auto"/>
            <w:vAlign w:val="center"/>
            <w:hideMark/>
          </w:tcPr>
          <w:p w:rsidR="00000000" w:rsidRDefault="001F1FC8">
            <w:pPr>
              <w:rPr>
                <w:rFonts w:eastAsia="Times New Roman"/>
                <w:sz w:val="20"/>
                <w:szCs w:val="20"/>
              </w:rPr>
            </w:pPr>
          </w:p>
        </w:tc>
        <w:tc>
          <w:tcPr>
            <w:tcW w:w="0" w:type="auto"/>
            <w:vAlign w:val="center"/>
            <w:hideMark/>
          </w:tcPr>
          <w:p w:rsidR="00000000" w:rsidRDefault="001F1FC8">
            <w:pPr>
              <w:rPr>
                <w:rFonts w:eastAsia="Times New Roman"/>
                <w:sz w:val="20"/>
                <w:szCs w:val="20"/>
              </w:rPr>
            </w:pPr>
          </w:p>
        </w:tc>
        <w:tc>
          <w:tcPr>
            <w:tcW w:w="0" w:type="auto"/>
            <w:vAlign w:val="center"/>
            <w:hideMark/>
          </w:tcPr>
          <w:p w:rsidR="00000000" w:rsidRDefault="001F1FC8">
            <w:pPr>
              <w:rPr>
                <w:rFonts w:eastAsia="Times New Roman"/>
                <w:sz w:val="20"/>
                <w:szCs w:val="20"/>
              </w:rPr>
            </w:pPr>
          </w:p>
        </w:tc>
        <w:tc>
          <w:tcPr>
            <w:tcW w:w="0" w:type="auto"/>
            <w:gridSpan w:val="3"/>
            <w:vMerge/>
            <w:vAlign w:val="center"/>
            <w:hideMark/>
          </w:tcPr>
          <w:p w:rsidR="00000000" w:rsidRDefault="001F1FC8">
            <w:pPr>
              <w:rPr>
                <w:rFonts w:eastAsia="Times New Roman"/>
              </w:rPr>
            </w:pPr>
          </w:p>
        </w:tc>
      </w:tr>
      <w:tr w:rsidR="00000000">
        <w:tc>
          <w:tcPr>
            <w:tcW w:w="0" w:type="auto"/>
            <w:gridSpan w:val="3"/>
            <w:tcBorders>
              <w:top w:val="single" w:sz="4" w:space="0" w:color="000000"/>
            </w:tcBorders>
            <w:tcMar>
              <w:top w:w="30" w:type="dxa"/>
              <w:left w:w="20" w:type="dxa"/>
              <w:bottom w:w="30" w:type="dxa"/>
              <w:right w:w="20" w:type="dxa"/>
            </w:tcMar>
            <w:vAlign w:val="bottom"/>
            <w:hideMark/>
          </w:tcPr>
          <w:p w:rsidR="00000000" w:rsidRDefault="001F1FC8">
            <w:pPr>
              <w:rPr>
                <w:rFonts w:eastAsia="Times New Roman"/>
              </w:rPr>
            </w:pPr>
            <w:r>
              <w:rPr>
                <w:rFonts w:ascii="Arial" w:eastAsia="Times New Roman" w:hAnsi="Arial" w:cs="Arial"/>
                <w:i/>
                <w:iCs/>
                <w:color w:val="000000"/>
                <w:sz w:val="16"/>
                <w:szCs w:val="16"/>
              </w:rPr>
              <w:t>(millions of Canadian dollars)</w:t>
            </w: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 </w:t>
            </w: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1F1FC8">
            <w:pPr>
              <w:rPr>
                <w:rFonts w:eastAsia="Times New Roman"/>
              </w:rPr>
            </w:pPr>
            <w:r>
              <w:rPr>
                <w:rFonts w:ascii="Arial" w:eastAsia="Times New Roman" w:hAnsi="Arial" w:cs="Arial"/>
                <w:color w:val="000000"/>
                <w:sz w:val="16"/>
                <w:szCs w:val="16"/>
              </w:rPr>
              <w:t> </w:t>
            </w: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 </w:t>
            </w: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 </w:t>
            </w:r>
          </w:p>
        </w:tc>
        <w:tc>
          <w:tcPr>
            <w:tcW w:w="0" w:type="auto"/>
            <w:gridSpan w:val="3"/>
            <w:vAlign w:val="center"/>
            <w:hideMark/>
          </w:tcPr>
          <w:p w:rsidR="00000000" w:rsidRDefault="001F1FC8">
            <w:pPr>
              <w:jc w:val="right"/>
              <w:rPr>
                <w:rFonts w:eastAsia="Times New Roman"/>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1F1FC8">
            <w:pPr>
              <w:rPr>
                <w:rFonts w:eastAsia="Times New Roman"/>
                <w:sz w:val="20"/>
                <w:szCs w:val="20"/>
              </w:rPr>
            </w:pPr>
          </w:p>
        </w:tc>
      </w:tr>
      <w:tr w:rsidR="00000000">
        <w:tc>
          <w:tcPr>
            <w:tcW w:w="0" w:type="auto"/>
            <w:gridSpan w:val="3"/>
            <w:tcMar>
              <w:top w:w="30" w:type="dxa"/>
              <w:left w:w="200" w:type="dxa"/>
              <w:bottom w:w="30" w:type="dxa"/>
              <w:right w:w="20" w:type="dxa"/>
            </w:tcMar>
            <w:vAlign w:val="center"/>
            <w:hideMark/>
          </w:tcPr>
          <w:p w:rsidR="00000000" w:rsidRDefault="001F1FC8">
            <w:pPr>
              <w:ind w:hanging="180"/>
              <w:rPr>
                <w:rFonts w:eastAsia="Times New Roman"/>
              </w:rPr>
            </w:pPr>
            <w:r>
              <w:rPr>
                <w:rFonts w:ascii="Arial" w:eastAsia="Times New Roman" w:hAnsi="Arial" w:cs="Arial"/>
                <w:color w:val="000000"/>
                <w:sz w:val="16"/>
                <w:szCs w:val="16"/>
              </w:rPr>
              <w:t>Revenue from products transferred at a point in time</w:t>
            </w: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4 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65 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3"/>
            <w:vAlign w:val="center"/>
            <w:hideMark/>
          </w:tcPr>
          <w:p w:rsidR="00000000" w:rsidRDefault="001F1FC8">
            <w:pPr>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69 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r>
      <w:tr w:rsidR="00000000">
        <w:tc>
          <w:tcPr>
            <w:tcW w:w="0" w:type="auto"/>
            <w:gridSpan w:val="3"/>
            <w:tcMar>
              <w:top w:w="30" w:type="dxa"/>
              <w:left w:w="20" w:type="dxa"/>
              <w:bottom w:w="30" w:type="dxa"/>
              <w:right w:w="20" w:type="dxa"/>
            </w:tcMar>
            <w:vAlign w:val="center"/>
            <w:hideMark/>
          </w:tcPr>
          <w:p w:rsidR="00000000" w:rsidRDefault="001F1FC8">
            <w:pPr>
              <w:ind w:hanging="180"/>
              <w:divId w:val="82607782"/>
              <w:rPr>
                <w:rFonts w:eastAsia="Times New Roman"/>
              </w:rPr>
            </w:pPr>
            <w:r>
              <w:rPr>
                <w:rFonts w:ascii="Arial" w:eastAsia="Times New Roman" w:hAnsi="Arial" w:cs="Arial"/>
                <w:color w:val="000000"/>
                <w:sz w:val="16"/>
                <w:szCs w:val="16"/>
              </w:rPr>
              <w:t>Revenue from products and services transferred over tim</w:t>
            </w:r>
            <w:r>
              <w:rPr>
                <w:rFonts w:ascii="Arial" w:eastAsia="Times New Roman" w:hAnsi="Arial" w:cs="Arial"/>
                <w:color w:val="000000"/>
                <w:sz w:val="16"/>
                <w:szCs w:val="16"/>
              </w:rPr>
              <w:t>e</w:t>
            </w:r>
            <w:r>
              <w:rPr>
                <w:rFonts w:ascii="Arial" w:eastAsia="Times New Roman" w:hAnsi="Arial" w:cs="Arial"/>
                <w:color w:val="000000"/>
                <w:sz w:val="8"/>
                <w:szCs w:val="8"/>
              </w:rPr>
              <w:t>1</w:t>
            </w: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9,191 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5,168 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5,089 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180 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3"/>
            <w:vAlign w:val="center"/>
            <w:hideMark/>
          </w:tcPr>
          <w:p w:rsidR="00000000" w:rsidRDefault="001F1FC8">
            <w:pPr>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19,628 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r>
      <w:tr w:rsidR="00000000">
        <w:tc>
          <w:tcPr>
            <w:tcW w:w="0" w:type="auto"/>
            <w:gridSpan w:val="3"/>
            <w:tcBorders>
              <w:top w:val="single" w:sz="4" w:space="0" w:color="000000"/>
              <w:bottom w:val="single" w:sz="8" w:space="0" w:color="000000"/>
            </w:tcBorders>
            <w:tcMar>
              <w:top w:w="30" w:type="dxa"/>
              <w:left w:w="20" w:type="dxa"/>
              <w:bottom w:w="30" w:type="dxa"/>
              <w:right w:w="20" w:type="dxa"/>
            </w:tcMar>
            <w:vAlign w:val="center"/>
            <w:hideMark/>
          </w:tcPr>
          <w:p w:rsidR="00000000" w:rsidRDefault="001F1FC8">
            <w:pPr>
              <w:ind w:hanging="180"/>
              <w:divId w:val="1103456381"/>
              <w:rPr>
                <w:rFonts w:eastAsia="Times New Roman"/>
              </w:rPr>
            </w:pPr>
            <w:r>
              <w:rPr>
                <w:rFonts w:ascii="Arial" w:eastAsia="Times New Roman" w:hAnsi="Arial" w:cs="Arial"/>
                <w:color w:val="000000"/>
                <w:sz w:val="16"/>
                <w:szCs w:val="16"/>
              </w:rPr>
              <w:t>Total revenue from contracts with customers</w:t>
            </w:r>
          </w:p>
        </w:tc>
        <w:tc>
          <w:tcPr>
            <w:tcW w:w="0" w:type="auto"/>
            <w:gridSpan w:val="2"/>
            <w:tcBorders>
              <w:top w:val="single" w:sz="4" w:space="0" w:color="000000"/>
              <w:bottom w:val="single" w:sz="8" w:space="0" w:color="000000"/>
            </w:tcBorders>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9,191 </w:t>
            </w:r>
          </w:p>
        </w:tc>
        <w:tc>
          <w:tcPr>
            <w:tcW w:w="0" w:type="auto"/>
            <w:tcBorders>
              <w:top w:val="single" w:sz="4" w:space="0" w:color="000000"/>
              <w:bottom w:val="single" w:sz="8" w:space="0" w:color="000000"/>
            </w:tcBorders>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Borders>
              <w:top w:val="single" w:sz="4" w:space="0" w:color="000000"/>
              <w:bottom w:val="single" w:sz="8" w:space="0" w:color="000000"/>
            </w:tcBorders>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5,172 </w:t>
            </w:r>
          </w:p>
        </w:tc>
        <w:tc>
          <w:tcPr>
            <w:tcW w:w="0" w:type="auto"/>
            <w:tcBorders>
              <w:top w:val="single" w:sz="4" w:space="0" w:color="000000"/>
              <w:bottom w:val="single" w:sz="8" w:space="0" w:color="000000"/>
            </w:tcBorders>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Borders>
              <w:top w:val="single" w:sz="4" w:space="0" w:color="000000"/>
              <w:bottom w:val="single" w:sz="8" w:space="0" w:color="000000"/>
            </w:tcBorders>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5,154 </w:t>
            </w:r>
          </w:p>
        </w:tc>
        <w:tc>
          <w:tcPr>
            <w:tcW w:w="0" w:type="auto"/>
            <w:tcBorders>
              <w:top w:val="single" w:sz="4" w:space="0" w:color="000000"/>
              <w:bottom w:val="single" w:sz="8" w:space="0" w:color="000000"/>
            </w:tcBorders>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Borders>
              <w:top w:val="single" w:sz="4" w:space="0" w:color="000000"/>
              <w:bottom w:val="single" w:sz="8" w:space="0" w:color="000000"/>
            </w:tcBorders>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180 </w:t>
            </w:r>
          </w:p>
        </w:tc>
        <w:tc>
          <w:tcPr>
            <w:tcW w:w="0" w:type="auto"/>
            <w:tcBorders>
              <w:top w:val="single" w:sz="4" w:space="0" w:color="000000"/>
              <w:bottom w:val="single" w:sz="8" w:space="0" w:color="000000"/>
            </w:tcBorders>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3"/>
            <w:vAlign w:val="center"/>
            <w:hideMark/>
          </w:tcPr>
          <w:p w:rsidR="00000000" w:rsidRDefault="001F1FC8">
            <w:pPr>
              <w:jc w:val="right"/>
              <w:rPr>
                <w:rFonts w:eastAsia="Times New Roman"/>
                <w:sz w:val="20"/>
                <w:szCs w:val="20"/>
              </w:rPr>
            </w:pPr>
          </w:p>
        </w:tc>
        <w:tc>
          <w:tcPr>
            <w:tcW w:w="0" w:type="auto"/>
            <w:gridSpan w:val="2"/>
            <w:tcBorders>
              <w:top w:val="single" w:sz="4" w:space="0" w:color="000000"/>
              <w:bottom w:val="single" w:sz="8" w:space="0" w:color="000000"/>
            </w:tcBorders>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19,697 </w:t>
            </w:r>
          </w:p>
        </w:tc>
        <w:tc>
          <w:tcPr>
            <w:tcW w:w="0" w:type="auto"/>
            <w:tcBorders>
              <w:top w:val="single" w:sz="4" w:space="0" w:color="000000"/>
              <w:bottom w:val="single" w:sz="8" w:space="0" w:color="000000"/>
            </w:tcBorders>
            <w:tcMar>
              <w:top w:w="30" w:type="dxa"/>
              <w:left w:w="0" w:type="dxa"/>
              <w:bottom w:w="30" w:type="dxa"/>
              <w:right w:w="20" w:type="dxa"/>
            </w:tcMar>
            <w:vAlign w:val="bottom"/>
            <w:hideMark/>
          </w:tcPr>
          <w:p w:rsidR="00000000" w:rsidRDefault="001F1FC8">
            <w:pPr>
              <w:jc w:val="right"/>
              <w:rPr>
                <w:rFonts w:eastAsia="Times New Roman"/>
              </w:rPr>
            </w:pPr>
          </w:p>
        </w:tc>
      </w:tr>
    </w:tbl>
    <w:p w:rsidR="00000000" w:rsidRDefault="001F1FC8">
      <w:pPr>
        <w:ind w:hanging="180"/>
        <w:divId w:val="1895119831"/>
        <w:rPr>
          <w:rFonts w:eastAsia="Times New Roman"/>
        </w:rPr>
      </w:pPr>
      <w:r>
        <w:rPr>
          <w:rFonts w:ascii="Arial" w:eastAsia="Times New Roman" w:hAnsi="Arial" w:cs="Arial"/>
          <w:i/>
          <w:iCs/>
          <w:color w:val="000000"/>
          <w:sz w:val="16"/>
          <w:szCs w:val="16"/>
        </w:rPr>
        <w:t>1</w:t>
      </w:r>
      <w:r>
        <w:rPr>
          <w:rFonts w:ascii="Arial" w:eastAsia="Times New Roman" w:hAnsi="Arial" w:cs="Arial"/>
          <w:color w:val="000000"/>
          <w:sz w:val="16"/>
          <w:szCs w:val="16"/>
        </w:rPr>
        <w:t>     </w:t>
      </w:r>
      <w:r>
        <w:rPr>
          <w:rFonts w:ascii="Arial" w:eastAsia="Times New Roman" w:hAnsi="Arial" w:cs="Arial"/>
          <w:i/>
          <w:iCs/>
          <w:color w:val="000000"/>
          <w:sz w:val="16"/>
          <w:szCs w:val="16"/>
        </w:rPr>
        <w:t>Revenue from crude oil and natural gas pipeline transportation, storage, natural gas gathering, compression and treating, natural gas distribution, natural gas storage services and electricity sales.</w:t>
      </w:r>
    </w:p>
    <w:p w:rsidR="00000000" w:rsidRDefault="001F1FC8">
      <w:pPr>
        <w:ind w:hanging="180"/>
        <w:divId w:val="1360739283"/>
        <w:rPr>
          <w:rFonts w:eastAsia="Times New Roman"/>
        </w:rPr>
      </w:pPr>
    </w:p>
    <w:p w:rsidR="00000000" w:rsidRDefault="001F1FC8">
      <w:pPr>
        <w:divId w:val="477453865"/>
        <w:rPr>
          <w:rFonts w:eastAsia="Times New Roman"/>
        </w:rPr>
      </w:pPr>
      <w:r>
        <w:rPr>
          <w:rFonts w:ascii="Arial" w:eastAsia="Times New Roman" w:hAnsi="Arial" w:cs="Arial"/>
          <w:b/>
          <w:bCs/>
          <w:color w:val="000000"/>
          <w:sz w:val="20"/>
          <w:szCs w:val="20"/>
        </w:rPr>
        <w:t>Performance Obligations Satisfied Over Time</w:t>
      </w:r>
    </w:p>
    <w:p w:rsidR="00000000" w:rsidRDefault="001F1FC8">
      <w:pPr>
        <w:divId w:val="1678842600"/>
        <w:rPr>
          <w:rFonts w:eastAsia="Times New Roman"/>
        </w:rPr>
      </w:pPr>
      <w:r>
        <w:rPr>
          <w:rFonts w:ascii="Arial" w:eastAsia="Times New Roman" w:hAnsi="Arial" w:cs="Arial"/>
          <w:color w:val="000000"/>
          <w:sz w:val="20"/>
          <w:szCs w:val="20"/>
        </w:rPr>
        <w:t>For arrangements involving the transportation and sale of petroleum products and natural gas where the transportation services or commodities are simultaneously received and consumed by the shipper or customer, we recognize revenue over time using an outpu</w:t>
      </w:r>
      <w:r>
        <w:rPr>
          <w:rFonts w:ascii="Arial" w:eastAsia="Times New Roman" w:hAnsi="Arial" w:cs="Arial"/>
          <w:color w:val="000000"/>
          <w:sz w:val="20"/>
          <w:szCs w:val="20"/>
        </w:rPr>
        <w:t>t method based on volumes of commodities delivered or transported. The measurement of the volumes transported or delivered corresponds directly to the benefits received by the shippers or customers during that period.</w:t>
      </w:r>
    </w:p>
    <w:p w:rsidR="00000000" w:rsidRDefault="001F1FC8">
      <w:pPr>
        <w:divId w:val="1455440428"/>
        <w:rPr>
          <w:rFonts w:eastAsia="Times New Roman"/>
        </w:rPr>
      </w:pPr>
    </w:p>
    <w:p w:rsidR="00000000" w:rsidRDefault="001F1FC8">
      <w:pPr>
        <w:divId w:val="476263425"/>
        <w:rPr>
          <w:rFonts w:eastAsia="Times New Roman"/>
        </w:rPr>
      </w:pPr>
      <w:r>
        <w:rPr>
          <w:rFonts w:ascii="Arial" w:eastAsia="Times New Roman" w:hAnsi="Arial" w:cs="Arial"/>
          <w:b/>
          <w:bCs/>
          <w:color w:val="000000"/>
          <w:sz w:val="20"/>
          <w:szCs w:val="20"/>
        </w:rPr>
        <w:t>Determination of Transaction Prices</w:t>
      </w:r>
    </w:p>
    <w:p w:rsidR="00000000" w:rsidRDefault="001F1FC8">
      <w:pPr>
        <w:divId w:val="640964901"/>
        <w:rPr>
          <w:rFonts w:eastAsia="Times New Roman"/>
        </w:rPr>
      </w:pPr>
      <w:r>
        <w:rPr>
          <w:rFonts w:ascii="Arial" w:eastAsia="Times New Roman" w:hAnsi="Arial" w:cs="Arial"/>
          <w:color w:val="000000"/>
          <w:sz w:val="20"/>
          <w:szCs w:val="20"/>
        </w:rPr>
        <w:t xml:space="preserve">Prices for transportation and gas processing services are determined based on the capital cost of the facilities, pipelines and associated infrastructure required to provide such services plus a rate of return on capital invested that is determined either </w:t>
      </w:r>
      <w:r>
        <w:rPr>
          <w:rFonts w:ascii="Arial" w:eastAsia="Times New Roman" w:hAnsi="Arial" w:cs="Arial"/>
          <w:color w:val="000000"/>
          <w:sz w:val="20"/>
          <w:szCs w:val="20"/>
        </w:rPr>
        <w:t>through negotiations with customers or through regulatory processes for those operations that are subject to rate regulation.</w:t>
      </w:r>
    </w:p>
    <w:p w:rsidR="00000000" w:rsidRDefault="001F1FC8">
      <w:pPr>
        <w:divId w:val="109708557"/>
        <w:rPr>
          <w:rFonts w:eastAsia="Times New Roman"/>
        </w:rPr>
      </w:pPr>
      <w:r>
        <w:rPr>
          <w:rFonts w:ascii="Arial" w:eastAsia="Times New Roman" w:hAnsi="Arial" w:cs="Arial"/>
          <w:color w:val="000000"/>
          <w:sz w:val="20"/>
          <w:szCs w:val="20"/>
        </w:rPr>
        <w:t>Prices for commodities sold are determined by reference to market price indices plus or minus a negotiated differential and in cer</w:t>
      </w:r>
      <w:r>
        <w:rPr>
          <w:rFonts w:ascii="Arial" w:eastAsia="Times New Roman" w:hAnsi="Arial" w:cs="Arial"/>
          <w:color w:val="000000"/>
          <w:sz w:val="20"/>
          <w:szCs w:val="20"/>
        </w:rPr>
        <w:t>tain cases a marketing fee.</w:t>
      </w:r>
    </w:p>
    <w:p w:rsidR="00000000" w:rsidRDefault="001F1FC8">
      <w:pPr>
        <w:divId w:val="1348141572"/>
        <w:rPr>
          <w:rFonts w:eastAsia="Times New Roman"/>
        </w:rPr>
      </w:pPr>
      <w:r>
        <w:rPr>
          <w:rFonts w:ascii="Arial" w:eastAsia="Times New Roman" w:hAnsi="Arial" w:cs="Arial"/>
          <w:color w:val="000000"/>
          <w:sz w:val="20"/>
          <w:szCs w:val="20"/>
        </w:rPr>
        <w:t>Prices for natural gas sold and distribution services provided by regulated natural gas distribution operations are prescribed by regulation.</w:t>
      </w:r>
    </w:p>
    <w:p w:rsidR="00000000" w:rsidRDefault="001F1FC8">
      <w:pPr>
        <w:divId w:val="1484731936"/>
        <w:rPr>
          <w:rFonts w:eastAsia="Times New Roman"/>
        </w:rPr>
      </w:pPr>
    </w:p>
    <w:p w:rsidR="00000000" w:rsidRDefault="001F1FC8">
      <w:pPr>
        <w:jc w:val="center"/>
        <w:divId w:val="19624985"/>
        <w:rPr>
          <w:rFonts w:eastAsia="Times New Roman"/>
        </w:rPr>
      </w:pPr>
      <w:r>
        <w:rPr>
          <w:rFonts w:ascii="Arial" w:eastAsia="Times New Roman" w:hAnsi="Arial" w:cs="Arial"/>
          <w:color w:val="000000"/>
          <w:sz w:val="20"/>
          <w:szCs w:val="20"/>
        </w:rPr>
        <w:t>120</w:t>
      </w:r>
    </w:p>
    <w:p w:rsidR="00000000" w:rsidRDefault="001F1FC8">
      <w:pPr>
        <w:rPr>
          <w:rFonts w:eastAsia="Times New Roman"/>
        </w:rPr>
      </w:pPr>
      <w:r>
        <w:rPr>
          <w:rFonts w:eastAsia="Times New Roman"/>
        </w:rPr>
        <w:pict>
          <v:rect id="_x0000_i1150" style="width:0;height:1.5pt" o:hralign="center" o:hrstd="t" o:hr="t" fillcolor="#a0a0a0" stroked="f"/>
        </w:pict>
      </w:r>
    </w:p>
    <w:p w:rsidR="00000000" w:rsidRDefault="001F1FC8">
      <w:pPr>
        <w:jc w:val="center"/>
        <w:divId w:val="1697269791"/>
        <w:rPr>
          <w:rFonts w:eastAsia="Times New Roman"/>
        </w:rPr>
      </w:pPr>
    </w:p>
    <w:p w:rsidR="00000000" w:rsidRDefault="001F1FC8">
      <w:pPr>
        <w:jc w:val="both"/>
        <w:rPr>
          <w:rFonts w:eastAsia="Times New Roman"/>
        </w:rPr>
      </w:pPr>
      <w:r>
        <w:rPr>
          <w:rFonts w:ascii="Arial" w:eastAsia="Times New Roman" w:hAnsi="Arial" w:cs="Arial"/>
          <w:b/>
          <w:bCs/>
          <w:color w:val="000000"/>
          <w:sz w:val="26"/>
          <w:szCs w:val="26"/>
        </w:rPr>
        <w:t>5.  SEGMENTED INFORMATION</w:t>
      </w:r>
    </w:p>
    <w:p w:rsidR="00000000" w:rsidRDefault="001F1FC8">
      <w:pPr>
        <w:divId w:val="1882011714"/>
        <w:rPr>
          <w:rFonts w:eastAsia="Times New Roman"/>
        </w:rPr>
      </w:pPr>
      <w:r>
        <w:rPr>
          <w:rFonts w:ascii="Arial" w:eastAsia="Times New Roman" w:hAnsi="Arial" w:cs="Arial"/>
          <w:color w:val="000000"/>
          <w:sz w:val="20"/>
          <w:szCs w:val="20"/>
        </w:rPr>
        <w:t> </w:t>
      </w:r>
    </w:p>
    <w:p w:rsidR="00000000" w:rsidRDefault="001F1FC8">
      <w:pPr>
        <w:divId w:val="1267689522"/>
        <w:rPr>
          <w:rFonts w:eastAsia="Times New Roman"/>
        </w:rPr>
      </w:pPr>
      <w:r>
        <w:rPr>
          <w:rFonts w:ascii="Arial" w:eastAsia="Times New Roman" w:hAnsi="Arial" w:cs="Arial"/>
          <w:color w:val="000000"/>
          <w:sz w:val="20"/>
          <w:szCs w:val="20"/>
        </w:rPr>
        <w:t>Segmented info</w:t>
      </w:r>
      <w:r>
        <w:rPr>
          <w:rFonts w:ascii="Arial" w:eastAsia="Times New Roman" w:hAnsi="Arial" w:cs="Arial"/>
          <w:color w:val="000000"/>
          <w:sz w:val="20"/>
          <w:szCs w:val="20"/>
        </w:rPr>
        <w:t>rmation for the years ended December 31, 2021, 2020 and 2019 is as follows:</w:t>
      </w:r>
    </w:p>
    <w:tbl>
      <w:tblPr>
        <w:tblW w:w="5000" w:type="pct"/>
        <w:tblCellMar>
          <w:top w:w="15" w:type="dxa"/>
          <w:left w:w="15" w:type="dxa"/>
          <w:bottom w:w="15" w:type="dxa"/>
          <w:right w:w="15" w:type="dxa"/>
        </w:tblCellMar>
        <w:tblLook w:val="04A0" w:firstRow="1" w:lastRow="0" w:firstColumn="1" w:lastColumn="0" w:noHBand="0" w:noVBand="1"/>
      </w:tblPr>
      <w:tblGrid>
        <w:gridCol w:w="48"/>
        <w:gridCol w:w="2127"/>
        <w:gridCol w:w="38"/>
        <w:gridCol w:w="83"/>
        <w:gridCol w:w="599"/>
        <w:gridCol w:w="36"/>
        <w:gridCol w:w="83"/>
        <w:gridCol w:w="901"/>
        <w:gridCol w:w="36"/>
        <w:gridCol w:w="84"/>
        <w:gridCol w:w="749"/>
        <w:gridCol w:w="36"/>
        <w:gridCol w:w="73"/>
        <w:gridCol w:w="761"/>
        <w:gridCol w:w="36"/>
        <w:gridCol w:w="78"/>
        <w:gridCol w:w="569"/>
        <w:gridCol w:w="36"/>
        <w:gridCol w:w="85"/>
        <w:gridCol w:w="810"/>
        <w:gridCol w:w="36"/>
        <w:gridCol w:w="86"/>
        <w:gridCol w:w="880"/>
        <w:gridCol w:w="36"/>
      </w:tblGrid>
      <w:tr w:rsidR="00000000">
        <w:trPr>
          <w:divId w:val="783501650"/>
        </w:trPr>
        <w:tc>
          <w:tcPr>
            <w:tcW w:w="50" w:type="pct"/>
            <w:vAlign w:val="center"/>
            <w:hideMark/>
          </w:tcPr>
          <w:p w:rsidR="00000000" w:rsidRDefault="001F1FC8">
            <w:pPr>
              <w:rPr>
                <w:rFonts w:eastAsia="Times New Roman"/>
              </w:rPr>
            </w:pPr>
          </w:p>
        </w:tc>
        <w:tc>
          <w:tcPr>
            <w:tcW w:w="1313"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c>
          <w:tcPr>
            <w:tcW w:w="50" w:type="pct"/>
            <w:vAlign w:val="center"/>
            <w:hideMark/>
          </w:tcPr>
          <w:p w:rsidR="00000000" w:rsidRDefault="001F1FC8">
            <w:pPr>
              <w:rPr>
                <w:rFonts w:eastAsia="Times New Roman"/>
                <w:sz w:val="20"/>
                <w:szCs w:val="20"/>
              </w:rPr>
            </w:pPr>
          </w:p>
        </w:tc>
        <w:tc>
          <w:tcPr>
            <w:tcW w:w="361"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c>
          <w:tcPr>
            <w:tcW w:w="50" w:type="pct"/>
            <w:vAlign w:val="center"/>
            <w:hideMark/>
          </w:tcPr>
          <w:p w:rsidR="00000000" w:rsidRDefault="001F1FC8">
            <w:pPr>
              <w:rPr>
                <w:rFonts w:eastAsia="Times New Roman"/>
                <w:sz w:val="20"/>
                <w:szCs w:val="20"/>
              </w:rPr>
            </w:pPr>
          </w:p>
        </w:tc>
        <w:tc>
          <w:tcPr>
            <w:tcW w:w="545"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c>
          <w:tcPr>
            <w:tcW w:w="50" w:type="pct"/>
            <w:vAlign w:val="center"/>
            <w:hideMark/>
          </w:tcPr>
          <w:p w:rsidR="00000000" w:rsidRDefault="001F1FC8">
            <w:pPr>
              <w:rPr>
                <w:rFonts w:eastAsia="Times New Roman"/>
                <w:sz w:val="20"/>
                <w:szCs w:val="20"/>
              </w:rPr>
            </w:pPr>
          </w:p>
        </w:tc>
        <w:tc>
          <w:tcPr>
            <w:tcW w:w="449"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c>
          <w:tcPr>
            <w:tcW w:w="50" w:type="pct"/>
            <w:vAlign w:val="center"/>
            <w:hideMark/>
          </w:tcPr>
          <w:p w:rsidR="00000000" w:rsidRDefault="001F1FC8">
            <w:pPr>
              <w:rPr>
                <w:rFonts w:eastAsia="Times New Roman"/>
                <w:sz w:val="20"/>
                <w:szCs w:val="20"/>
              </w:rPr>
            </w:pPr>
          </w:p>
        </w:tc>
        <w:tc>
          <w:tcPr>
            <w:tcW w:w="529"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c>
          <w:tcPr>
            <w:tcW w:w="50" w:type="pct"/>
            <w:vAlign w:val="center"/>
            <w:hideMark/>
          </w:tcPr>
          <w:p w:rsidR="00000000" w:rsidRDefault="001F1FC8">
            <w:pPr>
              <w:rPr>
                <w:rFonts w:eastAsia="Times New Roman"/>
                <w:sz w:val="20"/>
                <w:szCs w:val="20"/>
              </w:rPr>
            </w:pPr>
          </w:p>
        </w:tc>
        <w:tc>
          <w:tcPr>
            <w:tcW w:w="369"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c>
          <w:tcPr>
            <w:tcW w:w="50" w:type="pct"/>
            <w:vAlign w:val="center"/>
            <w:hideMark/>
          </w:tcPr>
          <w:p w:rsidR="00000000" w:rsidRDefault="001F1FC8">
            <w:pPr>
              <w:rPr>
                <w:rFonts w:eastAsia="Times New Roman"/>
                <w:sz w:val="20"/>
                <w:szCs w:val="20"/>
              </w:rPr>
            </w:pPr>
          </w:p>
        </w:tc>
        <w:tc>
          <w:tcPr>
            <w:tcW w:w="481"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c>
          <w:tcPr>
            <w:tcW w:w="50" w:type="pct"/>
            <w:vAlign w:val="center"/>
            <w:hideMark/>
          </w:tcPr>
          <w:p w:rsidR="00000000" w:rsidRDefault="001F1FC8">
            <w:pPr>
              <w:rPr>
                <w:rFonts w:eastAsia="Times New Roman"/>
                <w:sz w:val="20"/>
                <w:szCs w:val="20"/>
              </w:rPr>
            </w:pPr>
          </w:p>
        </w:tc>
        <w:tc>
          <w:tcPr>
            <w:tcW w:w="513"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r>
      <w:tr w:rsidR="00000000">
        <w:trPr>
          <w:divId w:val="783501650"/>
        </w:trPr>
        <w:tc>
          <w:tcPr>
            <w:tcW w:w="0" w:type="auto"/>
            <w:gridSpan w:val="3"/>
            <w:tcMar>
              <w:top w:w="30" w:type="dxa"/>
              <w:left w:w="20" w:type="dxa"/>
              <w:bottom w:w="30" w:type="dxa"/>
              <w:right w:w="20" w:type="dxa"/>
            </w:tcMar>
            <w:vAlign w:val="bottom"/>
            <w:hideMark/>
          </w:tcPr>
          <w:p w:rsidR="00000000" w:rsidRDefault="001F1FC8">
            <w:pPr>
              <w:rPr>
                <w:rFonts w:eastAsia="Times New Roman"/>
              </w:rPr>
            </w:pPr>
            <w:r>
              <w:rPr>
                <w:rFonts w:ascii="Arial" w:eastAsia="Times New Roman" w:hAnsi="Arial" w:cs="Arial"/>
                <w:b/>
                <w:bCs/>
                <w:color w:val="000000"/>
                <w:sz w:val="16"/>
                <w:szCs w:val="16"/>
              </w:rPr>
              <w:t>Year ended December 31, 2021</w:t>
            </w:r>
          </w:p>
        </w:tc>
        <w:tc>
          <w:tcPr>
            <w:tcW w:w="0" w:type="auto"/>
            <w:gridSpan w:val="3"/>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Liquids Pipelines</w:t>
            </w:r>
          </w:p>
        </w:tc>
        <w:tc>
          <w:tcPr>
            <w:tcW w:w="0" w:type="auto"/>
            <w:gridSpan w:val="3"/>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Gas Transmission and Midstream</w:t>
            </w:r>
          </w:p>
        </w:tc>
        <w:tc>
          <w:tcPr>
            <w:tcW w:w="0" w:type="auto"/>
            <w:gridSpan w:val="3"/>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Gas Distribution and Storage</w:t>
            </w:r>
          </w:p>
        </w:tc>
        <w:tc>
          <w:tcPr>
            <w:tcW w:w="0" w:type="auto"/>
            <w:gridSpan w:val="3"/>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Renewable Power Generation</w:t>
            </w:r>
          </w:p>
        </w:tc>
        <w:tc>
          <w:tcPr>
            <w:tcW w:w="0" w:type="auto"/>
            <w:gridSpan w:val="3"/>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Energy Services</w:t>
            </w:r>
          </w:p>
        </w:tc>
        <w:tc>
          <w:tcPr>
            <w:tcW w:w="0" w:type="auto"/>
            <w:gridSpan w:val="3"/>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Eliminations and Other</w:t>
            </w:r>
          </w:p>
        </w:tc>
        <w:tc>
          <w:tcPr>
            <w:tcW w:w="0" w:type="auto"/>
            <w:gridSpan w:val="3"/>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Consolidated</w:t>
            </w:r>
          </w:p>
        </w:tc>
      </w:tr>
      <w:tr w:rsidR="00000000">
        <w:trPr>
          <w:divId w:val="783501650"/>
        </w:trPr>
        <w:tc>
          <w:tcPr>
            <w:tcW w:w="0" w:type="auto"/>
            <w:gridSpan w:val="3"/>
            <w:tcBorders>
              <w:top w:val="single" w:sz="4" w:space="0" w:color="000000"/>
            </w:tcBorders>
            <w:tcMar>
              <w:top w:w="30" w:type="dxa"/>
              <w:left w:w="20" w:type="dxa"/>
              <w:bottom w:w="30" w:type="dxa"/>
              <w:right w:w="20" w:type="dxa"/>
            </w:tcMar>
            <w:hideMark/>
          </w:tcPr>
          <w:p w:rsidR="00000000" w:rsidRDefault="001F1FC8">
            <w:pPr>
              <w:divId w:val="1590189546"/>
              <w:rPr>
                <w:rFonts w:eastAsia="Times New Roman"/>
              </w:rPr>
            </w:pPr>
            <w:r>
              <w:rPr>
                <w:rFonts w:ascii="Arial" w:eastAsia="Times New Roman" w:hAnsi="Arial" w:cs="Arial"/>
                <w:i/>
                <w:iCs/>
                <w:color w:val="000000"/>
                <w:sz w:val="16"/>
                <w:szCs w:val="16"/>
              </w:rPr>
              <w:t>(millions of Canadian dollars)</w:t>
            </w:r>
          </w:p>
        </w:tc>
        <w:tc>
          <w:tcPr>
            <w:tcW w:w="0" w:type="auto"/>
            <w:gridSpan w:val="3"/>
            <w:tcBorders>
              <w:top w:val="single" w:sz="4" w:space="0" w:color="000000"/>
            </w:tcBorders>
            <w:shd w:val="clear" w:color="auto" w:fill="D9D9D9"/>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 </w:t>
            </w:r>
          </w:p>
        </w:tc>
        <w:tc>
          <w:tcPr>
            <w:tcW w:w="0" w:type="auto"/>
            <w:gridSpan w:val="3"/>
            <w:tcBorders>
              <w:top w:val="single" w:sz="4" w:space="0" w:color="000000"/>
            </w:tcBorders>
            <w:shd w:val="clear" w:color="auto" w:fill="D9D9D9"/>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 </w:t>
            </w:r>
          </w:p>
        </w:tc>
        <w:tc>
          <w:tcPr>
            <w:tcW w:w="0" w:type="auto"/>
            <w:gridSpan w:val="3"/>
            <w:tcBorders>
              <w:top w:val="single" w:sz="4" w:space="0" w:color="000000"/>
            </w:tcBorders>
            <w:shd w:val="clear" w:color="auto" w:fill="D9D9D9"/>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 </w:t>
            </w:r>
          </w:p>
        </w:tc>
        <w:tc>
          <w:tcPr>
            <w:tcW w:w="0" w:type="auto"/>
            <w:gridSpan w:val="3"/>
            <w:tcBorders>
              <w:top w:val="single" w:sz="4" w:space="0" w:color="000000"/>
            </w:tcBorders>
            <w:shd w:val="clear" w:color="auto" w:fill="D9D9D9"/>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 </w:t>
            </w:r>
          </w:p>
        </w:tc>
        <w:tc>
          <w:tcPr>
            <w:tcW w:w="0" w:type="auto"/>
            <w:gridSpan w:val="3"/>
            <w:tcBorders>
              <w:top w:val="single" w:sz="4" w:space="0" w:color="000000"/>
            </w:tcBorders>
            <w:shd w:val="clear" w:color="auto" w:fill="D9D9D9"/>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 </w:t>
            </w:r>
          </w:p>
        </w:tc>
        <w:tc>
          <w:tcPr>
            <w:tcW w:w="0" w:type="auto"/>
            <w:gridSpan w:val="3"/>
            <w:tcBorders>
              <w:top w:val="single" w:sz="4" w:space="0" w:color="000000"/>
            </w:tcBorders>
            <w:shd w:val="clear" w:color="auto" w:fill="D9D9D9"/>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 </w:t>
            </w:r>
          </w:p>
        </w:tc>
        <w:tc>
          <w:tcPr>
            <w:tcW w:w="0" w:type="auto"/>
            <w:gridSpan w:val="3"/>
            <w:tcBorders>
              <w:top w:val="single" w:sz="4" w:space="0" w:color="000000"/>
            </w:tcBorders>
            <w:shd w:val="clear" w:color="auto" w:fill="D9D9D9"/>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 </w:t>
            </w:r>
          </w:p>
        </w:tc>
      </w:tr>
      <w:tr w:rsidR="00000000">
        <w:trPr>
          <w:divId w:val="783501650"/>
        </w:trPr>
        <w:tc>
          <w:tcPr>
            <w:tcW w:w="0" w:type="auto"/>
            <w:gridSpan w:val="3"/>
            <w:tcMar>
              <w:top w:w="30" w:type="dxa"/>
              <w:left w:w="20" w:type="dxa"/>
              <w:bottom w:w="30" w:type="dxa"/>
              <w:right w:w="20" w:type="dxa"/>
            </w:tcMar>
            <w:hideMark/>
          </w:tcPr>
          <w:p w:rsidR="00000000" w:rsidRDefault="001F1FC8">
            <w:pPr>
              <w:divId w:val="2143380463"/>
              <w:rPr>
                <w:rFonts w:eastAsia="Times New Roman"/>
              </w:rPr>
            </w:pPr>
            <w:r>
              <w:rPr>
                <w:rFonts w:ascii="Arial" w:eastAsia="Times New Roman" w:hAnsi="Arial" w:cs="Arial"/>
                <w:color w:val="000000"/>
                <w:sz w:val="16"/>
                <w:szCs w:val="16"/>
              </w:rPr>
              <w:t>Revenues</w:t>
            </w:r>
          </w:p>
        </w:tc>
        <w:tc>
          <w:tcPr>
            <w:tcW w:w="0" w:type="auto"/>
            <w:gridSpan w:val="2"/>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6"/>
                <w:szCs w:val="16"/>
              </w:rPr>
              <w:t>10,581</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6"/>
                <w:szCs w:val="16"/>
              </w:rPr>
              <w:t>4,711</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6"/>
                <w:szCs w:val="16"/>
              </w:rPr>
              <w:t>4,980</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6"/>
                <w:szCs w:val="16"/>
              </w:rPr>
              <w:t>512</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6"/>
                <w:szCs w:val="16"/>
              </w:rPr>
              <w:t>26,917</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6"/>
                <w:szCs w:val="16"/>
              </w:rPr>
              <w:t>(630)</w:t>
            </w:r>
          </w:p>
        </w:tc>
        <w:tc>
          <w:tcPr>
            <w:tcW w:w="0" w:type="auto"/>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6"/>
                <w:szCs w:val="16"/>
              </w:rPr>
              <w:t>47,071</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r>
      <w:tr w:rsidR="00000000">
        <w:trPr>
          <w:divId w:val="783501650"/>
        </w:trPr>
        <w:tc>
          <w:tcPr>
            <w:tcW w:w="0" w:type="auto"/>
            <w:gridSpan w:val="3"/>
            <w:tcMar>
              <w:top w:w="30" w:type="dxa"/>
              <w:left w:w="20" w:type="dxa"/>
              <w:bottom w:w="30" w:type="dxa"/>
              <w:right w:w="20" w:type="dxa"/>
            </w:tcMar>
            <w:hideMark/>
          </w:tcPr>
          <w:p w:rsidR="00000000" w:rsidRDefault="001F1FC8">
            <w:pPr>
              <w:ind w:hanging="180"/>
              <w:divId w:val="1651443666"/>
              <w:rPr>
                <w:rFonts w:eastAsia="Times New Roman"/>
              </w:rPr>
            </w:pPr>
            <w:r>
              <w:rPr>
                <w:rFonts w:ascii="Arial" w:eastAsia="Times New Roman" w:hAnsi="Arial" w:cs="Arial"/>
                <w:color w:val="000000"/>
                <w:sz w:val="16"/>
                <w:szCs w:val="16"/>
              </w:rPr>
              <w:t>Commodity and gas distribution costs</w:t>
            </w:r>
          </w:p>
        </w:tc>
        <w:tc>
          <w:tcPr>
            <w:tcW w:w="0" w:type="auto"/>
            <w:gridSpan w:val="2"/>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6"/>
                <w:szCs w:val="16"/>
              </w:rPr>
              <w:t>(25)</w:t>
            </w:r>
          </w:p>
        </w:tc>
        <w:tc>
          <w:tcPr>
            <w:tcW w:w="0" w:type="auto"/>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6"/>
                <w:szCs w:val="16"/>
              </w:rPr>
              <w:t>(2,147)</w:t>
            </w:r>
          </w:p>
        </w:tc>
        <w:tc>
          <w:tcPr>
            <w:tcW w:w="0" w:type="auto"/>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6"/>
                <w:szCs w:val="16"/>
              </w:rPr>
              <w:t>(27,174)</w:t>
            </w:r>
          </w:p>
        </w:tc>
        <w:tc>
          <w:tcPr>
            <w:tcW w:w="0" w:type="auto"/>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6"/>
                <w:szCs w:val="16"/>
              </w:rPr>
              <w:t>644</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6"/>
                <w:szCs w:val="16"/>
              </w:rPr>
              <w:t>(28,702)</w:t>
            </w:r>
          </w:p>
        </w:tc>
        <w:tc>
          <w:tcPr>
            <w:tcW w:w="0" w:type="auto"/>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r>
      <w:tr w:rsidR="00000000">
        <w:trPr>
          <w:divId w:val="783501650"/>
        </w:trPr>
        <w:tc>
          <w:tcPr>
            <w:tcW w:w="0" w:type="auto"/>
            <w:gridSpan w:val="3"/>
            <w:tcMar>
              <w:top w:w="30" w:type="dxa"/>
              <w:left w:w="20" w:type="dxa"/>
              <w:bottom w:w="30" w:type="dxa"/>
              <w:right w:w="20" w:type="dxa"/>
            </w:tcMar>
            <w:hideMark/>
          </w:tcPr>
          <w:p w:rsidR="00000000" w:rsidRDefault="001F1FC8">
            <w:pPr>
              <w:divId w:val="490145839"/>
              <w:rPr>
                <w:rFonts w:eastAsia="Times New Roman"/>
              </w:rPr>
            </w:pPr>
            <w:r>
              <w:rPr>
                <w:rFonts w:ascii="Arial" w:eastAsia="Times New Roman" w:hAnsi="Arial" w:cs="Arial"/>
                <w:color w:val="000000"/>
                <w:sz w:val="16"/>
                <w:szCs w:val="16"/>
              </w:rPr>
              <w:t>Operating and administrative</w:t>
            </w:r>
          </w:p>
        </w:tc>
        <w:tc>
          <w:tcPr>
            <w:tcW w:w="0" w:type="auto"/>
            <w:gridSpan w:val="2"/>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6"/>
                <w:szCs w:val="16"/>
              </w:rPr>
              <w:t>(3,431)</w:t>
            </w:r>
          </w:p>
        </w:tc>
        <w:tc>
          <w:tcPr>
            <w:tcW w:w="0" w:type="auto"/>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6"/>
                <w:szCs w:val="16"/>
              </w:rPr>
              <w:t>(1,877)</w:t>
            </w:r>
          </w:p>
        </w:tc>
        <w:tc>
          <w:tcPr>
            <w:tcW w:w="0" w:type="auto"/>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6"/>
                <w:szCs w:val="16"/>
              </w:rPr>
              <w:t>(1,143)</w:t>
            </w:r>
          </w:p>
        </w:tc>
        <w:tc>
          <w:tcPr>
            <w:tcW w:w="0" w:type="auto"/>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6"/>
                <w:szCs w:val="16"/>
              </w:rPr>
              <w:t>(180)</w:t>
            </w:r>
          </w:p>
        </w:tc>
        <w:tc>
          <w:tcPr>
            <w:tcW w:w="0" w:type="auto"/>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6"/>
                <w:szCs w:val="16"/>
              </w:rPr>
              <w:t>(48)</w:t>
            </w:r>
          </w:p>
        </w:tc>
        <w:tc>
          <w:tcPr>
            <w:tcW w:w="0" w:type="auto"/>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6"/>
                <w:szCs w:val="16"/>
              </w:rPr>
              <w:t>(33)</w:t>
            </w:r>
          </w:p>
        </w:tc>
        <w:tc>
          <w:tcPr>
            <w:tcW w:w="0" w:type="auto"/>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6"/>
                <w:szCs w:val="16"/>
              </w:rPr>
              <w:t>(6,712)</w:t>
            </w:r>
          </w:p>
        </w:tc>
        <w:tc>
          <w:tcPr>
            <w:tcW w:w="0" w:type="auto"/>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r>
      <w:tr w:rsidR="00000000">
        <w:trPr>
          <w:divId w:val="783501650"/>
        </w:trPr>
        <w:tc>
          <w:tcPr>
            <w:tcW w:w="0" w:type="auto"/>
            <w:gridSpan w:val="3"/>
            <w:vAlign w:val="center"/>
            <w:hideMark/>
          </w:tcPr>
          <w:p w:rsidR="00000000" w:rsidRDefault="001F1FC8">
            <w:pPr>
              <w:jc w:val="right"/>
              <w:rPr>
                <w:rFonts w:eastAsia="Times New Roman"/>
                <w:sz w:val="20"/>
                <w:szCs w:val="20"/>
              </w:rPr>
            </w:pPr>
          </w:p>
        </w:tc>
        <w:tc>
          <w:tcPr>
            <w:tcW w:w="0" w:type="auto"/>
            <w:gridSpan w:val="3"/>
            <w:vAlign w:val="center"/>
            <w:hideMark/>
          </w:tcPr>
          <w:p w:rsidR="00000000" w:rsidRDefault="001F1FC8">
            <w:pPr>
              <w:rPr>
                <w:rFonts w:eastAsia="Times New Roman"/>
                <w:sz w:val="20"/>
                <w:szCs w:val="20"/>
              </w:rPr>
            </w:pPr>
          </w:p>
        </w:tc>
        <w:tc>
          <w:tcPr>
            <w:tcW w:w="0" w:type="auto"/>
            <w:gridSpan w:val="3"/>
            <w:vAlign w:val="center"/>
            <w:hideMark/>
          </w:tcPr>
          <w:p w:rsidR="00000000" w:rsidRDefault="001F1FC8">
            <w:pPr>
              <w:rPr>
                <w:rFonts w:eastAsia="Times New Roman"/>
                <w:sz w:val="20"/>
                <w:szCs w:val="20"/>
              </w:rPr>
            </w:pPr>
          </w:p>
        </w:tc>
        <w:tc>
          <w:tcPr>
            <w:tcW w:w="0" w:type="auto"/>
            <w:gridSpan w:val="3"/>
            <w:vAlign w:val="center"/>
            <w:hideMark/>
          </w:tcPr>
          <w:p w:rsidR="00000000" w:rsidRDefault="001F1FC8">
            <w:pPr>
              <w:rPr>
                <w:rFonts w:eastAsia="Times New Roman"/>
                <w:sz w:val="20"/>
                <w:szCs w:val="20"/>
              </w:rPr>
            </w:pPr>
          </w:p>
        </w:tc>
        <w:tc>
          <w:tcPr>
            <w:tcW w:w="0" w:type="auto"/>
            <w:gridSpan w:val="3"/>
            <w:vAlign w:val="center"/>
            <w:hideMark/>
          </w:tcPr>
          <w:p w:rsidR="00000000" w:rsidRDefault="001F1FC8">
            <w:pPr>
              <w:rPr>
                <w:rFonts w:eastAsia="Times New Roman"/>
                <w:sz w:val="20"/>
                <w:szCs w:val="20"/>
              </w:rPr>
            </w:pPr>
          </w:p>
        </w:tc>
        <w:tc>
          <w:tcPr>
            <w:tcW w:w="0" w:type="auto"/>
            <w:gridSpan w:val="3"/>
            <w:vAlign w:val="center"/>
            <w:hideMark/>
          </w:tcPr>
          <w:p w:rsidR="00000000" w:rsidRDefault="001F1FC8">
            <w:pPr>
              <w:rPr>
                <w:rFonts w:eastAsia="Times New Roman"/>
                <w:sz w:val="20"/>
                <w:szCs w:val="20"/>
              </w:rPr>
            </w:pPr>
          </w:p>
        </w:tc>
        <w:tc>
          <w:tcPr>
            <w:tcW w:w="0" w:type="auto"/>
            <w:gridSpan w:val="3"/>
            <w:vAlign w:val="center"/>
            <w:hideMark/>
          </w:tcPr>
          <w:p w:rsidR="00000000" w:rsidRDefault="001F1FC8">
            <w:pPr>
              <w:rPr>
                <w:rFonts w:eastAsia="Times New Roman"/>
                <w:sz w:val="20"/>
                <w:szCs w:val="20"/>
              </w:rPr>
            </w:pPr>
          </w:p>
        </w:tc>
        <w:tc>
          <w:tcPr>
            <w:tcW w:w="0" w:type="auto"/>
            <w:gridSpan w:val="3"/>
            <w:vAlign w:val="center"/>
            <w:hideMark/>
          </w:tcPr>
          <w:p w:rsidR="00000000" w:rsidRDefault="001F1FC8">
            <w:pPr>
              <w:rPr>
                <w:rFonts w:eastAsia="Times New Roman"/>
                <w:sz w:val="20"/>
                <w:szCs w:val="20"/>
              </w:rPr>
            </w:pPr>
          </w:p>
        </w:tc>
      </w:tr>
      <w:tr w:rsidR="00000000">
        <w:trPr>
          <w:divId w:val="783501650"/>
        </w:trPr>
        <w:tc>
          <w:tcPr>
            <w:tcW w:w="0" w:type="auto"/>
            <w:gridSpan w:val="3"/>
            <w:tcMar>
              <w:top w:w="30" w:type="dxa"/>
              <w:left w:w="20" w:type="dxa"/>
              <w:bottom w:w="30" w:type="dxa"/>
              <w:right w:w="20" w:type="dxa"/>
            </w:tcMar>
            <w:hideMark/>
          </w:tcPr>
          <w:p w:rsidR="00000000" w:rsidRDefault="001F1FC8">
            <w:pPr>
              <w:ind w:hanging="180"/>
              <w:divId w:val="1890872163"/>
              <w:rPr>
                <w:rFonts w:eastAsia="Times New Roman"/>
              </w:rPr>
            </w:pPr>
            <w:r>
              <w:rPr>
                <w:rFonts w:ascii="Arial" w:eastAsia="Times New Roman" w:hAnsi="Arial" w:cs="Arial"/>
                <w:color w:val="000000"/>
                <w:sz w:val="16"/>
                <w:szCs w:val="16"/>
              </w:rPr>
              <w:t>Income/(loss) from equity investments</w:t>
            </w:r>
          </w:p>
        </w:tc>
        <w:tc>
          <w:tcPr>
            <w:tcW w:w="0" w:type="auto"/>
            <w:gridSpan w:val="2"/>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6"/>
                <w:szCs w:val="16"/>
              </w:rPr>
              <w:t>759</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6"/>
                <w:szCs w:val="16"/>
              </w:rPr>
              <w:t>813</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6"/>
                <w:szCs w:val="16"/>
              </w:rPr>
              <w:t>42</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6"/>
                <w:szCs w:val="16"/>
              </w:rPr>
              <w:t>101</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6"/>
                <w:szCs w:val="16"/>
              </w:rPr>
              <w:t>(4)</w:t>
            </w:r>
          </w:p>
        </w:tc>
        <w:tc>
          <w:tcPr>
            <w:tcW w:w="0" w:type="auto"/>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6"/>
                <w:szCs w:val="16"/>
              </w:rPr>
              <w:t>1,711</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r>
      <w:tr w:rsidR="00000000">
        <w:trPr>
          <w:divId w:val="783501650"/>
        </w:trPr>
        <w:tc>
          <w:tcPr>
            <w:tcW w:w="0" w:type="auto"/>
            <w:gridSpan w:val="3"/>
            <w:tcMar>
              <w:top w:w="30" w:type="dxa"/>
              <w:left w:w="20" w:type="dxa"/>
              <w:bottom w:w="30" w:type="dxa"/>
              <w:right w:w="20" w:type="dxa"/>
            </w:tcMar>
            <w:hideMark/>
          </w:tcPr>
          <w:p w:rsidR="00000000" w:rsidRDefault="001F1FC8">
            <w:pPr>
              <w:rPr>
                <w:rFonts w:eastAsia="Times New Roman"/>
              </w:rPr>
            </w:pPr>
            <w:r>
              <w:rPr>
                <w:rFonts w:ascii="Arial" w:eastAsia="Times New Roman" w:hAnsi="Arial" w:cs="Arial"/>
                <w:color w:val="000000"/>
                <w:sz w:val="16"/>
                <w:szCs w:val="16"/>
              </w:rPr>
              <w:t>Impairment of equity investments</w:t>
            </w:r>
          </w:p>
        </w:tc>
        <w:tc>
          <w:tcPr>
            <w:tcW w:w="0" w:type="auto"/>
            <w:gridSpan w:val="2"/>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6"/>
                <w:szCs w:val="16"/>
              </w:rPr>
              <w:t>(111)</w:t>
            </w:r>
          </w:p>
        </w:tc>
        <w:tc>
          <w:tcPr>
            <w:tcW w:w="0" w:type="auto"/>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6"/>
                <w:szCs w:val="16"/>
              </w:rPr>
              <w:t>(111)</w:t>
            </w:r>
          </w:p>
        </w:tc>
        <w:tc>
          <w:tcPr>
            <w:tcW w:w="0" w:type="auto"/>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r>
      <w:tr w:rsidR="00000000">
        <w:trPr>
          <w:divId w:val="783501650"/>
        </w:trPr>
        <w:tc>
          <w:tcPr>
            <w:tcW w:w="0" w:type="auto"/>
            <w:gridSpan w:val="3"/>
            <w:tcMar>
              <w:top w:w="30" w:type="dxa"/>
              <w:left w:w="20" w:type="dxa"/>
              <w:bottom w:w="30" w:type="dxa"/>
              <w:right w:w="20" w:type="dxa"/>
            </w:tcMar>
            <w:hideMark/>
          </w:tcPr>
          <w:p w:rsidR="00000000" w:rsidRDefault="001F1FC8">
            <w:pPr>
              <w:divId w:val="1379354648"/>
              <w:rPr>
                <w:rFonts w:eastAsia="Times New Roman"/>
              </w:rPr>
            </w:pPr>
            <w:r>
              <w:rPr>
                <w:rFonts w:ascii="Arial" w:eastAsia="Times New Roman" w:hAnsi="Arial" w:cs="Arial"/>
                <w:color w:val="000000"/>
                <w:sz w:val="16"/>
                <w:szCs w:val="16"/>
              </w:rPr>
              <w:t>Other income/(expense)</w:t>
            </w:r>
          </w:p>
        </w:tc>
        <w:tc>
          <w:tcPr>
            <w:tcW w:w="0" w:type="auto"/>
            <w:gridSpan w:val="2"/>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6"/>
                <w:szCs w:val="16"/>
              </w:rPr>
              <w:t>13</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6"/>
                <w:szCs w:val="16"/>
              </w:rPr>
              <w:t>135</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6"/>
                <w:szCs w:val="16"/>
              </w:rPr>
              <w:t>385</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6"/>
                <w:szCs w:val="16"/>
              </w:rPr>
              <w:t>75</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6"/>
                <w:szCs w:val="16"/>
              </w:rPr>
              <w:t>(8)</w:t>
            </w:r>
          </w:p>
        </w:tc>
        <w:tc>
          <w:tcPr>
            <w:tcW w:w="0" w:type="auto"/>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6"/>
                <w:szCs w:val="16"/>
              </w:rPr>
              <w:t>379</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6"/>
                <w:szCs w:val="16"/>
              </w:rPr>
              <w:t>979</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r>
      <w:tr w:rsidR="00000000">
        <w:trPr>
          <w:divId w:val="783501650"/>
        </w:trPr>
        <w:tc>
          <w:tcPr>
            <w:tcW w:w="0" w:type="auto"/>
            <w:gridSpan w:val="3"/>
            <w:tcBorders>
              <w:top w:val="single" w:sz="4" w:space="0" w:color="000000"/>
            </w:tcBorders>
            <w:tcMar>
              <w:top w:w="30" w:type="dxa"/>
              <w:left w:w="200" w:type="dxa"/>
              <w:bottom w:w="30" w:type="dxa"/>
              <w:right w:w="20" w:type="dxa"/>
            </w:tcMar>
            <w:hideMark/>
          </w:tcPr>
          <w:p w:rsidR="00000000" w:rsidRDefault="001F1FC8">
            <w:pPr>
              <w:ind w:hanging="180"/>
              <w:rPr>
                <w:rFonts w:eastAsia="Times New Roman"/>
              </w:rPr>
            </w:pPr>
            <w:r>
              <w:rPr>
                <w:rFonts w:ascii="Arial" w:eastAsia="Times New Roman" w:hAnsi="Arial" w:cs="Arial"/>
                <w:color w:val="000000"/>
                <w:sz w:val="16"/>
                <w:szCs w:val="16"/>
              </w:rPr>
              <w:t>Earnings/(loss) before interest, income tax expense and depreciation and amortization</w:t>
            </w:r>
          </w:p>
        </w:tc>
        <w:tc>
          <w:tcPr>
            <w:tcW w:w="0" w:type="auto"/>
            <w:gridSpan w:val="2"/>
            <w:tcBorders>
              <w:top w:val="single" w:sz="4" w:space="0" w:color="000000"/>
            </w:tcBorders>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6"/>
                <w:szCs w:val="16"/>
              </w:rPr>
              <w:t>7,897</w:t>
            </w:r>
            <w:r>
              <w:rPr>
                <w:rFonts w:ascii="Arial" w:eastAsia="Times New Roman" w:hAnsi="Arial" w:cs="Arial"/>
                <w:color w:val="000000"/>
                <w:sz w:val="16"/>
                <w:szCs w:val="16"/>
              </w:rPr>
              <w:t> </w:t>
            </w:r>
          </w:p>
        </w:tc>
        <w:tc>
          <w:tcPr>
            <w:tcW w:w="0" w:type="auto"/>
            <w:tcBorders>
              <w:top w:val="single" w:sz="4" w:space="0" w:color="000000"/>
            </w:tcBorders>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Borders>
              <w:top w:val="single" w:sz="4" w:space="0" w:color="000000"/>
            </w:tcBorders>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6"/>
                <w:szCs w:val="16"/>
              </w:rPr>
              <w:t>3,671</w:t>
            </w:r>
            <w:r>
              <w:rPr>
                <w:rFonts w:ascii="Arial" w:eastAsia="Times New Roman" w:hAnsi="Arial" w:cs="Arial"/>
                <w:color w:val="000000"/>
                <w:sz w:val="16"/>
                <w:szCs w:val="16"/>
              </w:rPr>
              <w:t> </w:t>
            </w:r>
          </w:p>
        </w:tc>
        <w:tc>
          <w:tcPr>
            <w:tcW w:w="0" w:type="auto"/>
            <w:tcBorders>
              <w:top w:val="single" w:sz="4" w:space="0" w:color="000000"/>
            </w:tcBorders>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Borders>
              <w:top w:val="single" w:sz="4" w:space="0" w:color="000000"/>
            </w:tcBorders>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6"/>
                <w:szCs w:val="16"/>
              </w:rPr>
              <w:t>2,117</w:t>
            </w:r>
            <w:r>
              <w:rPr>
                <w:rFonts w:ascii="Arial" w:eastAsia="Times New Roman" w:hAnsi="Arial" w:cs="Arial"/>
                <w:color w:val="000000"/>
                <w:sz w:val="16"/>
                <w:szCs w:val="16"/>
              </w:rPr>
              <w:t> </w:t>
            </w:r>
          </w:p>
        </w:tc>
        <w:tc>
          <w:tcPr>
            <w:tcW w:w="0" w:type="auto"/>
            <w:tcBorders>
              <w:top w:val="single" w:sz="4" w:space="0" w:color="000000"/>
            </w:tcBorders>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Borders>
              <w:top w:val="single" w:sz="4" w:space="0" w:color="000000"/>
            </w:tcBorders>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6"/>
                <w:szCs w:val="16"/>
              </w:rPr>
              <w:t>508</w:t>
            </w:r>
            <w:r>
              <w:rPr>
                <w:rFonts w:ascii="Arial" w:eastAsia="Times New Roman" w:hAnsi="Arial" w:cs="Arial"/>
                <w:color w:val="000000"/>
                <w:sz w:val="16"/>
                <w:szCs w:val="16"/>
              </w:rPr>
              <w:t> </w:t>
            </w:r>
          </w:p>
        </w:tc>
        <w:tc>
          <w:tcPr>
            <w:tcW w:w="0" w:type="auto"/>
            <w:tcBorders>
              <w:top w:val="single" w:sz="4" w:space="0" w:color="000000"/>
            </w:tcBorders>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Borders>
              <w:top w:val="single" w:sz="4" w:space="0" w:color="000000"/>
            </w:tcBorders>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6"/>
                <w:szCs w:val="16"/>
              </w:rPr>
              <w:t>(313)</w:t>
            </w:r>
          </w:p>
        </w:tc>
        <w:tc>
          <w:tcPr>
            <w:tcW w:w="0" w:type="auto"/>
            <w:tcBorders>
              <w:top w:val="single" w:sz="4" w:space="0" w:color="000000"/>
            </w:tcBorders>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Borders>
              <w:top w:val="single" w:sz="4" w:space="0" w:color="000000"/>
            </w:tcBorders>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6"/>
                <w:szCs w:val="16"/>
              </w:rPr>
              <w:t>356</w:t>
            </w:r>
            <w:r>
              <w:rPr>
                <w:rFonts w:ascii="Arial" w:eastAsia="Times New Roman" w:hAnsi="Arial" w:cs="Arial"/>
                <w:color w:val="000000"/>
                <w:sz w:val="16"/>
                <w:szCs w:val="16"/>
              </w:rPr>
              <w:t> </w:t>
            </w:r>
          </w:p>
        </w:tc>
        <w:tc>
          <w:tcPr>
            <w:tcW w:w="0" w:type="auto"/>
            <w:tcBorders>
              <w:top w:val="single" w:sz="4" w:space="0" w:color="000000"/>
            </w:tcBorders>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Borders>
              <w:top w:val="single" w:sz="4" w:space="0" w:color="000000"/>
            </w:tcBorders>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6"/>
                <w:szCs w:val="16"/>
              </w:rPr>
              <w:t>14,236</w:t>
            </w:r>
            <w:r>
              <w:rPr>
                <w:rFonts w:ascii="Arial" w:eastAsia="Times New Roman" w:hAnsi="Arial" w:cs="Arial"/>
                <w:color w:val="000000"/>
                <w:sz w:val="16"/>
                <w:szCs w:val="16"/>
              </w:rPr>
              <w:t> </w:t>
            </w:r>
          </w:p>
        </w:tc>
        <w:tc>
          <w:tcPr>
            <w:tcW w:w="0" w:type="auto"/>
            <w:tcBorders>
              <w:top w:val="single" w:sz="4" w:space="0" w:color="000000"/>
            </w:tcBorders>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r>
      <w:tr w:rsidR="00000000">
        <w:trPr>
          <w:divId w:val="783501650"/>
        </w:trPr>
        <w:tc>
          <w:tcPr>
            <w:tcW w:w="0" w:type="auto"/>
            <w:gridSpan w:val="3"/>
            <w:tcMar>
              <w:top w:w="30" w:type="dxa"/>
              <w:left w:w="20" w:type="dxa"/>
              <w:bottom w:w="30" w:type="dxa"/>
              <w:right w:w="20" w:type="dxa"/>
            </w:tcMar>
            <w:hideMark/>
          </w:tcPr>
          <w:p w:rsidR="00000000" w:rsidRDefault="001F1FC8">
            <w:pPr>
              <w:rPr>
                <w:rFonts w:eastAsia="Times New Roman"/>
              </w:rPr>
            </w:pPr>
            <w:r>
              <w:rPr>
                <w:rFonts w:ascii="Arial" w:eastAsia="Times New Roman" w:hAnsi="Arial" w:cs="Arial"/>
                <w:color w:val="000000"/>
                <w:sz w:val="16"/>
                <w:szCs w:val="16"/>
              </w:rPr>
              <w:t>Depreciation and amortization</w:t>
            </w:r>
          </w:p>
        </w:tc>
        <w:tc>
          <w:tcPr>
            <w:tcW w:w="0" w:type="auto"/>
            <w:gridSpan w:val="3"/>
            <w:shd w:val="clear" w:color="auto" w:fill="D9D9D9"/>
            <w:tcMar>
              <w:top w:w="0" w:type="dxa"/>
              <w:left w:w="20" w:type="dxa"/>
              <w:bottom w:w="0" w:type="dxa"/>
              <w:right w:w="20" w:type="dxa"/>
            </w:tcMar>
            <w:vAlign w:val="center"/>
            <w:hideMark/>
          </w:tcPr>
          <w:p w:rsidR="00000000" w:rsidRDefault="001F1FC8">
            <w:pPr>
              <w:rPr>
                <w:rFonts w:eastAsia="Times New Roman"/>
              </w:rPr>
            </w:pPr>
          </w:p>
        </w:tc>
        <w:tc>
          <w:tcPr>
            <w:tcW w:w="0" w:type="auto"/>
            <w:gridSpan w:val="3"/>
            <w:shd w:val="clear" w:color="auto" w:fill="D9D9D9"/>
            <w:tcMar>
              <w:top w:w="0" w:type="dxa"/>
              <w:left w:w="20" w:type="dxa"/>
              <w:bottom w:w="0" w:type="dxa"/>
              <w:right w:w="20" w:type="dxa"/>
            </w:tcMar>
            <w:vAlign w:val="center"/>
            <w:hideMark/>
          </w:tcPr>
          <w:p w:rsidR="00000000" w:rsidRDefault="001F1FC8">
            <w:pPr>
              <w:rPr>
                <w:rFonts w:eastAsia="Times New Roman"/>
                <w:sz w:val="20"/>
                <w:szCs w:val="20"/>
              </w:rPr>
            </w:pPr>
          </w:p>
        </w:tc>
        <w:tc>
          <w:tcPr>
            <w:tcW w:w="0" w:type="auto"/>
            <w:gridSpan w:val="3"/>
            <w:shd w:val="clear" w:color="auto" w:fill="D9D9D9"/>
            <w:tcMar>
              <w:top w:w="0" w:type="dxa"/>
              <w:left w:w="20" w:type="dxa"/>
              <w:bottom w:w="0" w:type="dxa"/>
              <w:right w:w="20" w:type="dxa"/>
            </w:tcMar>
            <w:vAlign w:val="center"/>
            <w:hideMark/>
          </w:tcPr>
          <w:p w:rsidR="00000000" w:rsidRDefault="001F1FC8">
            <w:pPr>
              <w:rPr>
                <w:rFonts w:eastAsia="Times New Roman"/>
                <w:sz w:val="20"/>
                <w:szCs w:val="20"/>
              </w:rPr>
            </w:pPr>
          </w:p>
        </w:tc>
        <w:tc>
          <w:tcPr>
            <w:tcW w:w="0" w:type="auto"/>
            <w:gridSpan w:val="3"/>
            <w:shd w:val="clear" w:color="auto" w:fill="D9D9D9"/>
            <w:tcMar>
              <w:top w:w="0" w:type="dxa"/>
              <w:left w:w="20" w:type="dxa"/>
              <w:bottom w:w="0" w:type="dxa"/>
              <w:right w:w="20" w:type="dxa"/>
            </w:tcMar>
            <w:vAlign w:val="center"/>
            <w:hideMark/>
          </w:tcPr>
          <w:p w:rsidR="00000000" w:rsidRDefault="001F1FC8">
            <w:pPr>
              <w:rPr>
                <w:rFonts w:eastAsia="Times New Roman"/>
                <w:sz w:val="20"/>
                <w:szCs w:val="20"/>
              </w:rPr>
            </w:pPr>
          </w:p>
        </w:tc>
        <w:tc>
          <w:tcPr>
            <w:tcW w:w="0" w:type="auto"/>
            <w:gridSpan w:val="3"/>
            <w:shd w:val="clear" w:color="auto" w:fill="D9D9D9"/>
            <w:tcMar>
              <w:top w:w="0" w:type="dxa"/>
              <w:left w:w="20" w:type="dxa"/>
              <w:bottom w:w="0" w:type="dxa"/>
              <w:right w:w="20" w:type="dxa"/>
            </w:tcMar>
            <w:vAlign w:val="center"/>
            <w:hideMark/>
          </w:tcPr>
          <w:p w:rsidR="00000000" w:rsidRDefault="001F1FC8">
            <w:pPr>
              <w:rPr>
                <w:rFonts w:eastAsia="Times New Roman"/>
                <w:sz w:val="20"/>
                <w:szCs w:val="20"/>
              </w:rPr>
            </w:pPr>
          </w:p>
        </w:tc>
        <w:tc>
          <w:tcPr>
            <w:tcW w:w="0" w:type="auto"/>
            <w:gridSpan w:val="3"/>
            <w:shd w:val="clear" w:color="auto" w:fill="D9D9D9"/>
            <w:tcMar>
              <w:top w:w="0" w:type="dxa"/>
              <w:left w:w="20" w:type="dxa"/>
              <w:bottom w:w="0" w:type="dxa"/>
              <w:right w:w="20" w:type="dxa"/>
            </w:tcMar>
            <w:vAlign w:val="center"/>
            <w:hideMark/>
          </w:tcPr>
          <w:p w:rsidR="00000000" w:rsidRDefault="001F1FC8">
            <w:pPr>
              <w:rPr>
                <w:rFonts w:eastAsia="Times New Roman"/>
                <w:sz w:val="20"/>
                <w:szCs w:val="20"/>
              </w:rPr>
            </w:pPr>
          </w:p>
        </w:tc>
        <w:tc>
          <w:tcPr>
            <w:tcW w:w="0" w:type="auto"/>
            <w:gridSpan w:val="2"/>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6"/>
                <w:szCs w:val="16"/>
              </w:rPr>
              <w:t>(3,852)</w:t>
            </w:r>
          </w:p>
        </w:tc>
        <w:tc>
          <w:tcPr>
            <w:tcW w:w="0" w:type="auto"/>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r>
      <w:tr w:rsidR="00000000">
        <w:trPr>
          <w:divId w:val="783501650"/>
        </w:trPr>
        <w:tc>
          <w:tcPr>
            <w:tcW w:w="0" w:type="auto"/>
            <w:gridSpan w:val="3"/>
            <w:tcMar>
              <w:top w:w="30" w:type="dxa"/>
              <w:left w:w="20" w:type="dxa"/>
              <w:bottom w:w="30" w:type="dxa"/>
              <w:right w:w="20" w:type="dxa"/>
            </w:tcMar>
            <w:hideMark/>
          </w:tcPr>
          <w:p w:rsidR="00000000" w:rsidRDefault="001F1FC8">
            <w:pPr>
              <w:divId w:val="1353218413"/>
              <w:rPr>
                <w:rFonts w:eastAsia="Times New Roman"/>
              </w:rPr>
            </w:pPr>
            <w:r>
              <w:rPr>
                <w:rFonts w:ascii="Arial" w:eastAsia="Times New Roman" w:hAnsi="Arial" w:cs="Arial"/>
                <w:color w:val="000000"/>
                <w:sz w:val="16"/>
                <w:szCs w:val="16"/>
              </w:rPr>
              <w:t>Interest expense</w:t>
            </w:r>
          </w:p>
        </w:tc>
        <w:tc>
          <w:tcPr>
            <w:tcW w:w="0" w:type="auto"/>
            <w:gridSpan w:val="3"/>
            <w:shd w:val="clear" w:color="auto" w:fill="D9D9D9"/>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 </w:t>
            </w:r>
          </w:p>
        </w:tc>
        <w:tc>
          <w:tcPr>
            <w:tcW w:w="0" w:type="auto"/>
            <w:gridSpan w:val="3"/>
            <w:shd w:val="clear" w:color="auto" w:fill="D9D9D9"/>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 </w:t>
            </w:r>
          </w:p>
        </w:tc>
        <w:tc>
          <w:tcPr>
            <w:tcW w:w="0" w:type="auto"/>
            <w:gridSpan w:val="3"/>
            <w:shd w:val="clear" w:color="auto" w:fill="D9D9D9"/>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 </w:t>
            </w:r>
          </w:p>
        </w:tc>
        <w:tc>
          <w:tcPr>
            <w:tcW w:w="0" w:type="auto"/>
            <w:gridSpan w:val="3"/>
            <w:shd w:val="clear" w:color="auto" w:fill="D9D9D9"/>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 </w:t>
            </w:r>
          </w:p>
        </w:tc>
        <w:tc>
          <w:tcPr>
            <w:tcW w:w="0" w:type="auto"/>
            <w:gridSpan w:val="3"/>
            <w:shd w:val="clear" w:color="auto" w:fill="D9D9D9"/>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 </w:t>
            </w:r>
          </w:p>
        </w:tc>
        <w:tc>
          <w:tcPr>
            <w:tcW w:w="0" w:type="auto"/>
            <w:gridSpan w:val="3"/>
            <w:shd w:val="clear" w:color="auto" w:fill="D9D9D9"/>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 </w:t>
            </w:r>
          </w:p>
        </w:tc>
        <w:tc>
          <w:tcPr>
            <w:tcW w:w="0" w:type="auto"/>
            <w:gridSpan w:val="2"/>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b/>
                <w:bCs/>
                <w:color w:val="000000"/>
                <w:sz w:val="16"/>
                <w:szCs w:val="16"/>
              </w:rPr>
              <w:t>2,655)</w:t>
            </w:r>
          </w:p>
        </w:tc>
        <w:tc>
          <w:tcPr>
            <w:tcW w:w="0" w:type="auto"/>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r>
      <w:tr w:rsidR="00000000">
        <w:trPr>
          <w:divId w:val="783501650"/>
        </w:trPr>
        <w:tc>
          <w:tcPr>
            <w:tcW w:w="0" w:type="auto"/>
            <w:gridSpan w:val="3"/>
            <w:tcMar>
              <w:top w:w="30" w:type="dxa"/>
              <w:left w:w="20" w:type="dxa"/>
              <w:bottom w:w="30" w:type="dxa"/>
              <w:right w:w="20" w:type="dxa"/>
            </w:tcMar>
            <w:hideMark/>
          </w:tcPr>
          <w:p w:rsidR="00000000" w:rsidRDefault="001F1FC8">
            <w:pPr>
              <w:divId w:val="1830436154"/>
              <w:rPr>
                <w:rFonts w:eastAsia="Times New Roman"/>
              </w:rPr>
            </w:pPr>
            <w:r>
              <w:rPr>
                <w:rFonts w:ascii="Arial" w:eastAsia="Times New Roman" w:hAnsi="Arial" w:cs="Arial"/>
                <w:color w:val="000000"/>
                <w:sz w:val="16"/>
                <w:szCs w:val="16"/>
              </w:rPr>
              <w:t>Income tax expense</w:t>
            </w:r>
          </w:p>
        </w:tc>
        <w:tc>
          <w:tcPr>
            <w:tcW w:w="0" w:type="auto"/>
            <w:gridSpan w:val="3"/>
            <w:shd w:val="clear" w:color="auto" w:fill="D9D9D9"/>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 </w:t>
            </w:r>
          </w:p>
        </w:tc>
        <w:tc>
          <w:tcPr>
            <w:tcW w:w="0" w:type="auto"/>
            <w:gridSpan w:val="3"/>
            <w:shd w:val="clear" w:color="auto" w:fill="D9D9D9"/>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 </w:t>
            </w:r>
          </w:p>
        </w:tc>
        <w:tc>
          <w:tcPr>
            <w:tcW w:w="0" w:type="auto"/>
            <w:gridSpan w:val="3"/>
            <w:shd w:val="clear" w:color="auto" w:fill="D9D9D9"/>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 </w:t>
            </w:r>
          </w:p>
        </w:tc>
        <w:tc>
          <w:tcPr>
            <w:tcW w:w="0" w:type="auto"/>
            <w:gridSpan w:val="3"/>
            <w:shd w:val="clear" w:color="auto" w:fill="D9D9D9"/>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 </w:t>
            </w:r>
          </w:p>
        </w:tc>
        <w:tc>
          <w:tcPr>
            <w:tcW w:w="0" w:type="auto"/>
            <w:gridSpan w:val="3"/>
            <w:shd w:val="clear" w:color="auto" w:fill="D9D9D9"/>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 </w:t>
            </w:r>
          </w:p>
        </w:tc>
        <w:tc>
          <w:tcPr>
            <w:tcW w:w="0" w:type="auto"/>
            <w:gridSpan w:val="3"/>
            <w:shd w:val="clear" w:color="auto" w:fill="D9D9D9"/>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 </w:t>
            </w:r>
          </w:p>
        </w:tc>
        <w:tc>
          <w:tcPr>
            <w:tcW w:w="0" w:type="auto"/>
            <w:gridSpan w:val="2"/>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6"/>
                <w:szCs w:val="16"/>
              </w:rPr>
              <w:t>(1,415)</w:t>
            </w:r>
          </w:p>
        </w:tc>
        <w:tc>
          <w:tcPr>
            <w:tcW w:w="0" w:type="auto"/>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r>
      <w:tr w:rsidR="00000000">
        <w:trPr>
          <w:divId w:val="783501650"/>
        </w:trPr>
        <w:tc>
          <w:tcPr>
            <w:tcW w:w="0" w:type="auto"/>
            <w:gridSpan w:val="3"/>
            <w:tcBorders>
              <w:top w:val="single" w:sz="4" w:space="0" w:color="000000"/>
            </w:tcBorders>
            <w:tcMar>
              <w:top w:w="30" w:type="dxa"/>
              <w:left w:w="20" w:type="dxa"/>
              <w:bottom w:w="30" w:type="dxa"/>
              <w:right w:w="20" w:type="dxa"/>
            </w:tcMar>
            <w:hideMark/>
          </w:tcPr>
          <w:p w:rsidR="00000000" w:rsidRDefault="001F1FC8">
            <w:pPr>
              <w:divId w:val="2081555611"/>
              <w:rPr>
                <w:rFonts w:eastAsia="Times New Roman"/>
              </w:rPr>
            </w:pPr>
            <w:r>
              <w:rPr>
                <w:rFonts w:ascii="Arial" w:eastAsia="Times New Roman" w:hAnsi="Arial" w:cs="Arial"/>
                <w:color w:val="000000"/>
                <w:sz w:val="16"/>
                <w:szCs w:val="16"/>
              </w:rPr>
              <w:t>Earnings</w:t>
            </w:r>
          </w:p>
        </w:tc>
        <w:tc>
          <w:tcPr>
            <w:tcW w:w="0" w:type="auto"/>
            <w:gridSpan w:val="3"/>
            <w:tcBorders>
              <w:top w:val="single" w:sz="4" w:space="0" w:color="000000"/>
            </w:tcBorders>
            <w:shd w:val="clear" w:color="auto" w:fill="D9D9D9"/>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 </w:t>
            </w:r>
          </w:p>
        </w:tc>
        <w:tc>
          <w:tcPr>
            <w:tcW w:w="0" w:type="auto"/>
            <w:gridSpan w:val="3"/>
            <w:tcBorders>
              <w:top w:val="single" w:sz="4" w:space="0" w:color="000000"/>
            </w:tcBorders>
            <w:shd w:val="clear" w:color="auto" w:fill="D9D9D9"/>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 </w:t>
            </w:r>
          </w:p>
        </w:tc>
        <w:tc>
          <w:tcPr>
            <w:tcW w:w="0" w:type="auto"/>
            <w:gridSpan w:val="3"/>
            <w:tcBorders>
              <w:top w:val="single" w:sz="4" w:space="0" w:color="000000"/>
            </w:tcBorders>
            <w:shd w:val="clear" w:color="auto" w:fill="D9D9D9"/>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 </w:t>
            </w:r>
          </w:p>
        </w:tc>
        <w:tc>
          <w:tcPr>
            <w:tcW w:w="0" w:type="auto"/>
            <w:gridSpan w:val="3"/>
            <w:tcBorders>
              <w:top w:val="single" w:sz="4" w:space="0" w:color="000000"/>
            </w:tcBorders>
            <w:shd w:val="clear" w:color="auto" w:fill="D9D9D9"/>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 </w:t>
            </w:r>
          </w:p>
        </w:tc>
        <w:tc>
          <w:tcPr>
            <w:tcW w:w="0" w:type="auto"/>
            <w:gridSpan w:val="3"/>
            <w:tcBorders>
              <w:top w:val="single" w:sz="4" w:space="0" w:color="000000"/>
            </w:tcBorders>
            <w:shd w:val="clear" w:color="auto" w:fill="D9D9D9"/>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 </w:t>
            </w:r>
          </w:p>
        </w:tc>
        <w:tc>
          <w:tcPr>
            <w:tcW w:w="0" w:type="auto"/>
            <w:gridSpan w:val="3"/>
            <w:tcBorders>
              <w:top w:val="single" w:sz="4" w:space="0" w:color="000000"/>
            </w:tcBorders>
            <w:shd w:val="clear" w:color="auto" w:fill="D9D9D9"/>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 </w:t>
            </w:r>
          </w:p>
        </w:tc>
        <w:tc>
          <w:tcPr>
            <w:tcW w:w="0" w:type="auto"/>
            <w:gridSpan w:val="2"/>
            <w:tcBorders>
              <w:top w:val="single" w:sz="4" w:space="0" w:color="000000"/>
            </w:tcBorders>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6"/>
                <w:szCs w:val="16"/>
              </w:rPr>
              <w:t>6,314</w:t>
            </w:r>
            <w:r>
              <w:rPr>
                <w:rFonts w:ascii="Arial" w:eastAsia="Times New Roman" w:hAnsi="Arial" w:cs="Arial"/>
                <w:color w:val="000000"/>
                <w:sz w:val="16"/>
                <w:szCs w:val="16"/>
              </w:rPr>
              <w:t> </w:t>
            </w:r>
          </w:p>
        </w:tc>
        <w:tc>
          <w:tcPr>
            <w:tcW w:w="0" w:type="auto"/>
            <w:tcBorders>
              <w:top w:val="single" w:sz="4" w:space="0" w:color="000000"/>
            </w:tcBorders>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r>
      <w:tr w:rsidR="00000000">
        <w:trPr>
          <w:divId w:val="783501650"/>
        </w:trPr>
        <w:tc>
          <w:tcPr>
            <w:tcW w:w="0" w:type="auto"/>
            <w:gridSpan w:val="3"/>
            <w:tcBorders>
              <w:top w:val="single" w:sz="8" w:space="0" w:color="000000"/>
            </w:tcBorders>
            <w:tcMar>
              <w:top w:w="30" w:type="dxa"/>
              <w:left w:w="20" w:type="dxa"/>
              <w:bottom w:w="30" w:type="dxa"/>
              <w:right w:w="20" w:type="dxa"/>
            </w:tcMar>
            <w:vAlign w:val="bottom"/>
            <w:hideMark/>
          </w:tcPr>
          <w:p w:rsidR="00000000" w:rsidRDefault="001F1FC8">
            <w:pPr>
              <w:divId w:val="672074697"/>
              <w:rPr>
                <w:rFonts w:eastAsia="Times New Roman"/>
              </w:rPr>
            </w:pPr>
            <w:r>
              <w:rPr>
                <w:rFonts w:ascii="Arial" w:eastAsia="Times New Roman" w:hAnsi="Arial" w:cs="Arial"/>
                <w:color w:val="000000"/>
                <w:sz w:val="16"/>
                <w:szCs w:val="16"/>
              </w:rPr>
              <w:t>Capital expenditure</w:t>
            </w:r>
            <w:r>
              <w:rPr>
                <w:rFonts w:ascii="Arial" w:eastAsia="Times New Roman" w:hAnsi="Arial" w:cs="Arial"/>
                <w:color w:val="000000"/>
                <w:sz w:val="16"/>
                <w:szCs w:val="16"/>
              </w:rPr>
              <w:t>s</w:t>
            </w:r>
            <w:r>
              <w:rPr>
                <w:rFonts w:ascii="Arial" w:eastAsia="Times New Roman" w:hAnsi="Arial" w:cs="Arial"/>
                <w:color w:val="000000"/>
                <w:sz w:val="10"/>
                <w:szCs w:val="10"/>
              </w:rPr>
              <w:t>1</w:t>
            </w:r>
          </w:p>
        </w:tc>
        <w:tc>
          <w:tcPr>
            <w:tcW w:w="0" w:type="auto"/>
            <w:gridSpan w:val="2"/>
            <w:tcBorders>
              <w:top w:val="single" w:sz="8" w:space="0" w:color="000000"/>
            </w:tcBorders>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6"/>
                <w:szCs w:val="16"/>
              </w:rPr>
              <w:t>4,051</w:t>
            </w:r>
            <w:r>
              <w:rPr>
                <w:rFonts w:ascii="Arial" w:eastAsia="Times New Roman" w:hAnsi="Arial" w:cs="Arial"/>
                <w:color w:val="000000"/>
                <w:sz w:val="16"/>
                <w:szCs w:val="16"/>
              </w:rPr>
              <w:t> </w:t>
            </w:r>
          </w:p>
        </w:tc>
        <w:tc>
          <w:tcPr>
            <w:tcW w:w="0" w:type="auto"/>
            <w:tcBorders>
              <w:top w:val="single" w:sz="8" w:space="0" w:color="000000"/>
            </w:tcBorders>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Borders>
              <w:top w:val="single" w:sz="8" w:space="0" w:color="000000"/>
            </w:tcBorders>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6"/>
                <w:szCs w:val="16"/>
              </w:rPr>
              <w:t>2,420</w:t>
            </w:r>
            <w:r>
              <w:rPr>
                <w:rFonts w:ascii="Arial" w:eastAsia="Times New Roman" w:hAnsi="Arial" w:cs="Arial"/>
                <w:color w:val="000000"/>
                <w:sz w:val="16"/>
                <w:szCs w:val="16"/>
              </w:rPr>
              <w:t> </w:t>
            </w:r>
          </w:p>
        </w:tc>
        <w:tc>
          <w:tcPr>
            <w:tcW w:w="0" w:type="auto"/>
            <w:tcBorders>
              <w:top w:val="single" w:sz="8" w:space="0" w:color="000000"/>
            </w:tcBorders>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Borders>
              <w:top w:val="single" w:sz="8" w:space="0" w:color="000000"/>
            </w:tcBorders>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6"/>
                <w:szCs w:val="16"/>
              </w:rPr>
              <w:t>1,343</w:t>
            </w:r>
            <w:r>
              <w:rPr>
                <w:rFonts w:ascii="Arial" w:eastAsia="Times New Roman" w:hAnsi="Arial" w:cs="Arial"/>
                <w:color w:val="000000"/>
                <w:sz w:val="16"/>
                <w:szCs w:val="16"/>
              </w:rPr>
              <w:t> </w:t>
            </w:r>
          </w:p>
        </w:tc>
        <w:tc>
          <w:tcPr>
            <w:tcW w:w="0" w:type="auto"/>
            <w:tcBorders>
              <w:top w:val="single" w:sz="8" w:space="0" w:color="000000"/>
            </w:tcBorders>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Borders>
              <w:top w:val="single" w:sz="8" w:space="0" w:color="000000"/>
            </w:tcBorders>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6"/>
                <w:szCs w:val="16"/>
              </w:rPr>
              <w:t>16</w:t>
            </w:r>
            <w:r>
              <w:rPr>
                <w:rFonts w:ascii="Arial" w:eastAsia="Times New Roman" w:hAnsi="Arial" w:cs="Arial"/>
                <w:color w:val="000000"/>
                <w:sz w:val="16"/>
                <w:szCs w:val="16"/>
              </w:rPr>
              <w:t> </w:t>
            </w:r>
          </w:p>
        </w:tc>
        <w:tc>
          <w:tcPr>
            <w:tcW w:w="0" w:type="auto"/>
            <w:tcBorders>
              <w:top w:val="single" w:sz="8" w:space="0" w:color="000000"/>
            </w:tcBorders>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Borders>
              <w:top w:val="single" w:sz="8" w:space="0" w:color="000000"/>
            </w:tcBorders>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6"/>
                <w:szCs w:val="16"/>
              </w:rPr>
              <w:t>1</w:t>
            </w:r>
            <w:r>
              <w:rPr>
                <w:rFonts w:ascii="Arial" w:eastAsia="Times New Roman" w:hAnsi="Arial" w:cs="Arial"/>
                <w:color w:val="000000"/>
                <w:sz w:val="16"/>
                <w:szCs w:val="16"/>
              </w:rPr>
              <w:t> </w:t>
            </w:r>
          </w:p>
        </w:tc>
        <w:tc>
          <w:tcPr>
            <w:tcW w:w="0" w:type="auto"/>
            <w:tcBorders>
              <w:top w:val="single" w:sz="8" w:space="0" w:color="000000"/>
            </w:tcBorders>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Borders>
              <w:top w:val="single" w:sz="8" w:space="0" w:color="000000"/>
            </w:tcBorders>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6"/>
                <w:szCs w:val="16"/>
              </w:rPr>
              <w:t>54</w:t>
            </w:r>
            <w:r>
              <w:rPr>
                <w:rFonts w:ascii="Arial" w:eastAsia="Times New Roman" w:hAnsi="Arial" w:cs="Arial"/>
                <w:color w:val="000000"/>
                <w:sz w:val="16"/>
                <w:szCs w:val="16"/>
              </w:rPr>
              <w:t> </w:t>
            </w:r>
          </w:p>
        </w:tc>
        <w:tc>
          <w:tcPr>
            <w:tcW w:w="0" w:type="auto"/>
            <w:tcBorders>
              <w:top w:val="single" w:sz="8" w:space="0" w:color="000000"/>
            </w:tcBorders>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Borders>
              <w:top w:val="single" w:sz="8" w:space="0" w:color="000000"/>
            </w:tcBorders>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6"/>
                <w:szCs w:val="16"/>
              </w:rPr>
              <w:t>7,885</w:t>
            </w:r>
            <w:r>
              <w:rPr>
                <w:rFonts w:ascii="Arial" w:eastAsia="Times New Roman" w:hAnsi="Arial" w:cs="Arial"/>
                <w:color w:val="000000"/>
                <w:sz w:val="16"/>
                <w:szCs w:val="16"/>
              </w:rPr>
              <w:t> </w:t>
            </w:r>
          </w:p>
        </w:tc>
        <w:tc>
          <w:tcPr>
            <w:tcW w:w="0" w:type="auto"/>
            <w:tcBorders>
              <w:top w:val="single" w:sz="8" w:space="0" w:color="000000"/>
            </w:tcBorders>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r>
      <w:tr w:rsidR="00000000">
        <w:trPr>
          <w:divId w:val="783501650"/>
        </w:trPr>
        <w:tc>
          <w:tcPr>
            <w:tcW w:w="0" w:type="auto"/>
            <w:gridSpan w:val="3"/>
            <w:tcBorders>
              <w:top w:val="single" w:sz="8" w:space="0" w:color="000000"/>
              <w:bottom w:val="single" w:sz="8" w:space="0" w:color="000000"/>
            </w:tcBorders>
            <w:tcMar>
              <w:top w:w="30" w:type="dxa"/>
              <w:left w:w="20" w:type="dxa"/>
              <w:bottom w:w="30" w:type="dxa"/>
              <w:right w:w="20" w:type="dxa"/>
            </w:tcMar>
            <w:hideMark/>
          </w:tcPr>
          <w:p w:rsidR="00000000" w:rsidRDefault="001F1FC8">
            <w:pPr>
              <w:divId w:val="549150522"/>
              <w:rPr>
                <w:rFonts w:eastAsia="Times New Roman"/>
              </w:rPr>
            </w:pPr>
            <w:r>
              <w:rPr>
                <w:rFonts w:ascii="Arial" w:eastAsia="Times New Roman" w:hAnsi="Arial" w:cs="Arial"/>
                <w:color w:val="000000"/>
                <w:sz w:val="16"/>
                <w:szCs w:val="16"/>
              </w:rPr>
              <w:t xml:space="preserve">Total property, plant and equipment, net </w:t>
            </w:r>
          </w:p>
        </w:tc>
        <w:tc>
          <w:tcPr>
            <w:tcW w:w="0" w:type="auto"/>
            <w:gridSpan w:val="2"/>
            <w:tcBorders>
              <w:top w:val="single" w:sz="8" w:space="0" w:color="000000"/>
              <w:bottom w:val="single" w:sz="8" w:space="0" w:color="000000"/>
            </w:tcBorders>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6"/>
                <w:szCs w:val="16"/>
              </w:rPr>
              <w:t>52,530</w:t>
            </w:r>
            <w:r>
              <w:rPr>
                <w:rFonts w:ascii="Arial" w:eastAsia="Times New Roman" w:hAnsi="Arial" w:cs="Arial"/>
                <w:color w:val="000000"/>
                <w:sz w:val="16"/>
                <w:szCs w:val="16"/>
              </w:rPr>
              <w:t> </w:t>
            </w:r>
          </w:p>
        </w:tc>
        <w:tc>
          <w:tcPr>
            <w:tcW w:w="0" w:type="auto"/>
            <w:tcBorders>
              <w:top w:val="single" w:sz="8" w:space="0" w:color="000000"/>
              <w:bottom w:val="single" w:sz="8" w:space="0" w:color="000000"/>
            </w:tcBorders>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Borders>
              <w:top w:val="single" w:sz="8" w:space="0" w:color="000000"/>
              <w:bottom w:val="single" w:sz="8" w:space="0" w:color="000000"/>
            </w:tcBorders>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6"/>
                <w:szCs w:val="16"/>
              </w:rPr>
              <w:t>27,028</w:t>
            </w:r>
            <w:r>
              <w:rPr>
                <w:rFonts w:ascii="Arial" w:eastAsia="Times New Roman" w:hAnsi="Arial" w:cs="Arial"/>
                <w:color w:val="000000"/>
                <w:sz w:val="16"/>
                <w:szCs w:val="16"/>
              </w:rPr>
              <w:t> </w:t>
            </w:r>
          </w:p>
        </w:tc>
        <w:tc>
          <w:tcPr>
            <w:tcW w:w="0" w:type="auto"/>
            <w:tcBorders>
              <w:top w:val="single" w:sz="8" w:space="0" w:color="000000"/>
              <w:bottom w:val="single" w:sz="8" w:space="0" w:color="000000"/>
            </w:tcBorders>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Borders>
              <w:top w:val="single" w:sz="8" w:space="0" w:color="000000"/>
              <w:bottom w:val="single" w:sz="8" w:space="0" w:color="000000"/>
            </w:tcBorders>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6"/>
                <w:szCs w:val="16"/>
              </w:rPr>
              <w:t>16,904</w:t>
            </w:r>
            <w:r>
              <w:rPr>
                <w:rFonts w:ascii="Arial" w:eastAsia="Times New Roman" w:hAnsi="Arial" w:cs="Arial"/>
                <w:color w:val="000000"/>
                <w:sz w:val="16"/>
                <w:szCs w:val="16"/>
              </w:rPr>
              <w:t> </w:t>
            </w:r>
          </w:p>
        </w:tc>
        <w:tc>
          <w:tcPr>
            <w:tcW w:w="0" w:type="auto"/>
            <w:tcBorders>
              <w:top w:val="single" w:sz="8" w:space="0" w:color="000000"/>
              <w:bottom w:val="single" w:sz="8" w:space="0" w:color="000000"/>
            </w:tcBorders>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Borders>
              <w:top w:val="single" w:sz="8" w:space="0" w:color="000000"/>
              <w:bottom w:val="single" w:sz="8" w:space="0" w:color="000000"/>
            </w:tcBorders>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6"/>
                <w:szCs w:val="16"/>
              </w:rPr>
              <w:t>3,315</w:t>
            </w:r>
            <w:r>
              <w:rPr>
                <w:rFonts w:ascii="Arial" w:eastAsia="Times New Roman" w:hAnsi="Arial" w:cs="Arial"/>
                <w:color w:val="000000"/>
                <w:sz w:val="16"/>
                <w:szCs w:val="16"/>
              </w:rPr>
              <w:t> </w:t>
            </w:r>
          </w:p>
        </w:tc>
        <w:tc>
          <w:tcPr>
            <w:tcW w:w="0" w:type="auto"/>
            <w:tcBorders>
              <w:top w:val="single" w:sz="8" w:space="0" w:color="000000"/>
              <w:bottom w:val="single" w:sz="8" w:space="0" w:color="000000"/>
            </w:tcBorders>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Borders>
              <w:top w:val="single" w:sz="8" w:space="0" w:color="000000"/>
              <w:bottom w:val="single" w:sz="8" w:space="0" w:color="000000"/>
            </w:tcBorders>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6"/>
                <w:szCs w:val="16"/>
              </w:rPr>
              <w:t>23</w:t>
            </w:r>
            <w:r>
              <w:rPr>
                <w:rFonts w:ascii="Arial" w:eastAsia="Times New Roman" w:hAnsi="Arial" w:cs="Arial"/>
                <w:color w:val="000000"/>
                <w:sz w:val="16"/>
                <w:szCs w:val="16"/>
              </w:rPr>
              <w:t> </w:t>
            </w:r>
          </w:p>
        </w:tc>
        <w:tc>
          <w:tcPr>
            <w:tcW w:w="0" w:type="auto"/>
            <w:tcBorders>
              <w:top w:val="single" w:sz="8" w:space="0" w:color="000000"/>
              <w:bottom w:val="single" w:sz="8" w:space="0" w:color="000000"/>
            </w:tcBorders>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Borders>
              <w:top w:val="single" w:sz="8" w:space="0" w:color="000000"/>
              <w:bottom w:val="single" w:sz="8" w:space="0" w:color="000000"/>
            </w:tcBorders>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6"/>
                <w:szCs w:val="16"/>
              </w:rPr>
              <w:t>267</w:t>
            </w:r>
            <w:r>
              <w:rPr>
                <w:rFonts w:ascii="Arial" w:eastAsia="Times New Roman" w:hAnsi="Arial" w:cs="Arial"/>
                <w:color w:val="000000"/>
                <w:sz w:val="16"/>
                <w:szCs w:val="16"/>
              </w:rPr>
              <w:t> </w:t>
            </w:r>
          </w:p>
        </w:tc>
        <w:tc>
          <w:tcPr>
            <w:tcW w:w="0" w:type="auto"/>
            <w:tcBorders>
              <w:top w:val="single" w:sz="8" w:space="0" w:color="000000"/>
              <w:bottom w:val="single" w:sz="8" w:space="0" w:color="000000"/>
            </w:tcBorders>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Borders>
              <w:top w:val="single" w:sz="8" w:space="0" w:color="000000"/>
              <w:bottom w:val="single" w:sz="8" w:space="0" w:color="000000"/>
            </w:tcBorders>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6"/>
                <w:szCs w:val="16"/>
              </w:rPr>
              <w:t>100,067</w:t>
            </w:r>
            <w:r>
              <w:rPr>
                <w:rFonts w:ascii="Arial" w:eastAsia="Times New Roman" w:hAnsi="Arial" w:cs="Arial"/>
                <w:color w:val="000000"/>
                <w:sz w:val="16"/>
                <w:szCs w:val="16"/>
              </w:rPr>
              <w:t> </w:t>
            </w:r>
          </w:p>
        </w:tc>
        <w:tc>
          <w:tcPr>
            <w:tcW w:w="0" w:type="auto"/>
            <w:tcBorders>
              <w:top w:val="single" w:sz="8" w:space="0" w:color="000000"/>
              <w:bottom w:val="single" w:sz="8" w:space="0" w:color="000000"/>
            </w:tcBorders>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r>
    </w:tbl>
    <w:tbl>
      <w:tblPr>
        <w:tblW w:w="5000" w:type="pct"/>
        <w:tblCellMar>
          <w:top w:w="15" w:type="dxa"/>
          <w:left w:w="15" w:type="dxa"/>
          <w:bottom w:w="15" w:type="dxa"/>
          <w:right w:w="15" w:type="dxa"/>
        </w:tblCellMar>
        <w:tblLook w:val="04A0" w:firstRow="1" w:lastRow="0" w:firstColumn="1" w:lastColumn="0" w:noHBand="0" w:noVBand="1"/>
      </w:tblPr>
      <w:tblGrid>
        <w:gridCol w:w="144"/>
        <w:gridCol w:w="2181"/>
        <w:gridCol w:w="144"/>
        <w:gridCol w:w="144"/>
        <w:gridCol w:w="599"/>
        <w:gridCol w:w="144"/>
        <w:gridCol w:w="144"/>
        <w:gridCol w:w="905"/>
        <w:gridCol w:w="144"/>
        <w:gridCol w:w="144"/>
        <w:gridCol w:w="745"/>
        <w:gridCol w:w="144"/>
        <w:gridCol w:w="144"/>
        <w:gridCol w:w="878"/>
        <w:gridCol w:w="144"/>
        <w:gridCol w:w="144"/>
        <w:gridCol w:w="612"/>
        <w:gridCol w:w="144"/>
        <w:gridCol w:w="144"/>
        <w:gridCol w:w="799"/>
        <w:gridCol w:w="144"/>
        <w:gridCol w:w="144"/>
        <w:gridCol w:w="852"/>
        <w:gridCol w:w="144"/>
      </w:tblGrid>
      <w:tr w:rsidR="00000000">
        <w:tc>
          <w:tcPr>
            <w:tcW w:w="50" w:type="pct"/>
            <w:vAlign w:val="center"/>
            <w:hideMark/>
          </w:tcPr>
          <w:p w:rsidR="00000000" w:rsidRDefault="001F1FC8">
            <w:pPr>
              <w:rPr>
                <w:rFonts w:eastAsia="Times New Roman"/>
              </w:rPr>
            </w:pPr>
          </w:p>
        </w:tc>
        <w:tc>
          <w:tcPr>
            <w:tcW w:w="1313"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c>
          <w:tcPr>
            <w:tcW w:w="50" w:type="pct"/>
            <w:vAlign w:val="center"/>
            <w:hideMark/>
          </w:tcPr>
          <w:p w:rsidR="00000000" w:rsidRDefault="001F1FC8">
            <w:pPr>
              <w:rPr>
                <w:rFonts w:eastAsia="Times New Roman"/>
                <w:sz w:val="20"/>
                <w:szCs w:val="20"/>
              </w:rPr>
            </w:pPr>
          </w:p>
        </w:tc>
        <w:tc>
          <w:tcPr>
            <w:tcW w:w="361"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c>
          <w:tcPr>
            <w:tcW w:w="50" w:type="pct"/>
            <w:vAlign w:val="center"/>
            <w:hideMark/>
          </w:tcPr>
          <w:p w:rsidR="00000000" w:rsidRDefault="001F1FC8">
            <w:pPr>
              <w:rPr>
                <w:rFonts w:eastAsia="Times New Roman"/>
                <w:sz w:val="20"/>
                <w:szCs w:val="20"/>
              </w:rPr>
            </w:pPr>
          </w:p>
        </w:tc>
        <w:tc>
          <w:tcPr>
            <w:tcW w:w="545"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c>
          <w:tcPr>
            <w:tcW w:w="50" w:type="pct"/>
            <w:vAlign w:val="center"/>
            <w:hideMark/>
          </w:tcPr>
          <w:p w:rsidR="00000000" w:rsidRDefault="001F1FC8">
            <w:pPr>
              <w:rPr>
                <w:rFonts w:eastAsia="Times New Roman"/>
                <w:sz w:val="20"/>
                <w:szCs w:val="20"/>
              </w:rPr>
            </w:pPr>
          </w:p>
        </w:tc>
        <w:tc>
          <w:tcPr>
            <w:tcW w:w="449"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c>
          <w:tcPr>
            <w:tcW w:w="50" w:type="pct"/>
            <w:vAlign w:val="center"/>
            <w:hideMark/>
          </w:tcPr>
          <w:p w:rsidR="00000000" w:rsidRDefault="001F1FC8">
            <w:pPr>
              <w:rPr>
                <w:rFonts w:eastAsia="Times New Roman"/>
                <w:sz w:val="20"/>
                <w:szCs w:val="20"/>
              </w:rPr>
            </w:pPr>
          </w:p>
        </w:tc>
        <w:tc>
          <w:tcPr>
            <w:tcW w:w="529"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c>
          <w:tcPr>
            <w:tcW w:w="50" w:type="pct"/>
            <w:vAlign w:val="center"/>
            <w:hideMark/>
          </w:tcPr>
          <w:p w:rsidR="00000000" w:rsidRDefault="001F1FC8">
            <w:pPr>
              <w:rPr>
                <w:rFonts w:eastAsia="Times New Roman"/>
                <w:sz w:val="20"/>
                <w:szCs w:val="20"/>
              </w:rPr>
            </w:pPr>
          </w:p>
        </w:tc>
        <w:tc>
          <w:tcPr>
            <w:tcW w:w="369"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c>
          <w:tcPr>
            <w:tcW w:w="50" w:type="pct"/>
            <w:vAlign w:val="center"/>
            <w:hideMark/>
          </w:tcPr>
          <w:p w:rsidR="00000000" w:rsidRDefault="001F1FC8">
            <w:pPr>
              <w:rPr>
                <w:rFonts w:eastAsia="Times New Roman"/>
                <w:sz w:val="20"/>
                <w:szCs w:val="20"/>
              </w:rPr>
            </w:pPr>
          </w:p>
        </w:tc>
        <w:tc>
          <w:tcPr>
            <w:tcW w:w="481"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c>
          <w:tcPr>
            <w:tcW w:w="50" w:type="pct"/>
            <w:vAlign w:val="center"/>
            <w:hideMark/>
          </w:tcPr>
          <w:p w:rsidR="00000000" w:rsidRDefault="001F1FC8">
            <w:pPr>
              <w:rPr>
                <w:rFonts w:eastAsia="Times New Roman"/>
                <w:sz w:val="20"/>
                <w:szCs w:val="20"/>
              </w:rPr>
            </w:pPr>
          </w:p>
        </w:tc>
        <w:tc>
          <w:tcPr>
            <w:tcW w:w="513"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r>
      <w:tr w:rsidR="00000000">
        <w:tc>
          <w:tcPr>
            <w:tcW w:w="0" w:type="auto"/>
            <w:gridSpan w:val="3"/>
            <w:tcMar>
              <w:top w:w="30" w:type="dxa"/>
              <w:left w:w="20" w:type="dxa"/>
              <w:bottom w:w="30" w:type="dxa"/>
              <w:right w:w="20" w:type="dxa"/>
            </w:tcMar>
            <w:vAlign w:val="bottom"/>
            <w:hideMark/>
          </w:tcPr>
          <w:p w:rsidR="00000000" w:rsidRDefault="001F1FC8">
            <w:pPr>
              <w:rPr>
                <w:rFonts w:eastAsia="Times New Roman"/>
              </w:rPr>
            </w:pPr>
            <w:r>
              <w:rPr>
                <w:rFonts w:ascii="Arial" w:eastAsia="Times New Roman" w:hAnsi="Arial" w:cs="Arial"/>
                <w:color w:val="000000"/>
                <w:sz w:val="16"/>
                <w:szCs w:val="16"/>
              </w:rPr>
              <w:t>Year ended December 31, 2020</w:t>
            </w:r>
          </w:p>
        </w:tc>
        <w:tc>
          <w:tcPr>
            <w:tcW w:w="0" w:type="auto"/>
            <w:gridSpan w:val="3"/>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Liquids Pipelines</w:t>
            </w:r>
          </w:p>
        </w:tc>
        <w:tc>
          <w:tcPr>
            <w:tcW w:w="0" w:type="auto"/>
            <w:gridSpan w:val="3"/>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Gas Transmission and Midstream</w:t>
            </w:r>
          </w:p>
        </w:tc>
        <w:tc>
          <w:tcPr>
            <w:tcW w:w="0" w:type="auto"/>
            <w:gridSpan w:val="3"/>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Gas Distribution and Storage</w:t>
            </w:r>
          </w:p>
        </w:tc>
        <w:tc>
          <w:tcPr>
            <w:tcW w:w="0" w:type="auto"/>
            <w:gridSpan w:val="3"/>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Renewable Power Generation</w:t>
            </w:r>
          </w:p>
        </w:tc>
        <w:tc>
          <w:tcPr>
            <w:tcW w:w="0" w:type="auto"/>
            <w:gridSpan w:val="3"/>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Energy Services</w:t>
            </w:r>
          </w:p>
        </w:tc>
        <w:tc>
          <w:tcPr>
            <w:tcW w:w="0" w:type="auto"/>
            <w:gridSpan w:val="3"/>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Eliminations and Other</w:t>
            </w:r>
          </w:p>
        </w:tc>
        <w:tc>
          <w:tcPr>
            <w:tcW w:w="0" w:type="auto"/>
            <w:gridSpan w:val="3"/>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Consolidated</w:t>
            </w:r>
          </w:p>
        </w:tc>
      </w:tr>
      <w:tr w:rsidR="00000000">
        <w:tc>
          <w:tcPr>
            <w:tcW w:w="0" w:type="auto"/>
            <w:gridSpan w:val="3"/>
            <w:tcBorders>
              <w:top w:val="single" w:sz="4" w:space="0" w:color="000000"/>
            </w:tcBorders>
            <w:tcMar>
              <w:top w:w="30" w:type="dxa"/>
              <w:left w:w="20" w:type="dxa"/>
              <w:bottom w:w="30" w:type="dxa"/>
              <w:right w:w="20" w:type="dxa"/>
            </w:tcMar>
            <w:vAlign w:val="center"/>
            <w:hideMark/>
          </w:tcPr>
          <w:p w:rsidR="00000000" w:rsidRDefault="001F1FC8">
            <w:pPr>
              <w:rPr>
                <w:rFonts w:eastAsia="Times New Roman"/>
              </w:rPr>
            </w:pPr>
            <w:r>
              <w:rPr>
                <w:rFonts w:ascii="Arial" w:eastAsia="Times New Roman" w:hAnsi="Arial" w:cs="Arial"/>
                <w:i/>
                <w:iCs/>
                <w:color w:val="000000"/>
                <w:sz w:val="16"/>
                <w:szCs w:val="16"/>
              </w:rPr>
              <w:t>(millions of Canadian dollars)</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1F1FC8">
            <w:pPr>
              <w:jc w:val="right"/>
              <w:rPr>
                <w:rFonts w:eastAsia="Times New Roman"/>
              </w:rPr>
            </w:pPr>
            <w:r>
              <w:rPr>
                <w:rFonts w:ascii="Arial" w:eastAsia="Times New Roman" w:hAnsi="Arial" w:cs="Arial"/>
                <w:color w:val="000000"/>
                <w:sz w:val="16"/>
                <w:szCs w:val="16"/>
              </w:rPr>
              <w:t> </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1F1FC8">
            <w:pPr>
              <w:jc w:val="right"/>
              <w:rPr>
                <w:rFonts w:eastAsia="Times New Roman"/>
              </w:rPr>
            </w:pPr>
            <w:r>
              <w:rPr>
                <w:rFonts w:ascii="Arial" w:eastAsia="Times New Roman" w:hAnsi="Arial" w:cs="Arial"/>
                <w:color w:val="000000"/>
                <w:sz w:val="16"/>
                <w:szCs w:val="16"/>
              </w:rPr>
              <w:t> </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1F1FC8">
            <w:pPr>
              <w:jc w:val="right"/>
              <w:rPr>
                <w:rFonts w:eastAsia="Times New Roman"/>
              </w:rPr>
            </w:pPr>
            <w:r>
              <w:rPr>
                <w:rFonts w:ascii="Arial" w:eastAsia="Times New Roman" w:hAnsi="Arial" w:cs="Arial"/>
                <w:color w:val="000000"/>
                <w:sz w:val="16"/>
                <w:szCs w:val="16"/>
              </w:rPr>
              <w:t> </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1F1FC8">
            <w:pPr>
              <w:jc w:val="right"/>
              <w:rPr>
                <w:rFonts w:eastAsia="Times New Roman"/>
              </w:rPr>
            </w:pPr>
            <w:r>
              <w:rPr>
                <w:rFonts w:ascii="Arial" w:eastAsia="Times New Roman" w:hAnsi="Arial" w:cs="Arial"/>
                <w:color w:val="000000"/>
                <w:sz w:val="16"/>
                <w:szCs w:val="16"/>
              </w:rPr>
              <w:t> </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1F1FC8">
            <w:pPr>
              <w:jc w:val="right"/>
              <w:rPr>
                <w:rFonts w:eastAsia="Times New Roman"/>
              </w:rPr>
            </w:pPr>
            <w:r>
              <w:rPr>
                <w:rFonts w:ascii="Arial" w:eastAsia="Times New Roman" w:hAnsi="Arial" w:cs="Arial"/>
                <w:color w:val="000000"/>
                <w:sz w:val="16"/>
                <w:szCs w:val="16"/>
              </w:rPr>
              <w:t> </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1F1FC8">
            <w:pPr>
              <w:jc w:val="right"/>
              <w:rPr>
                <w:rFonts w:eastAsia="Times New Roman"/>
              </w:rPr>
            </w:pPr>
            <w:r>
              <w:rPr>
                <w:rFonts w:ascii="Arial" w:eastAsia="Times New Roman" w:hAnsi="Arial" w:cs="Arial"/>
                <w:color w:val="000000"/>
                <w:sz w:val="16"/>
                <w:szCs w:val="16"/>
              </w:rPr>
              <w:t> </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1F1FC8">
            <w:pPr>
              <w:jc w:val="right"/>
              <w:rPr>
                <w:rFonts w:eastAsia="Times New Roman"/>
              </w:rPr>
            </w:pPr>
            <w:r>
              <w:rPr>
                <w:rFonts w:ascii="Arial" w:eastAsia="Times New Roman" w:hAnsi="Arial" w:cs="Arial"/>
                <w:color w:val="000000"/>
                <w:sz w:val="16"/>
                <w:szCs w:val="16"/>
              </w:rPr>
              <w:t> </w:t>
            </w:r>
          </w:p>
        </w:tc>
      </w:tr>
      <w:tr w:rsidR="00000000">
        <w:tc>
          <w:tcPr>
            <w:tcW w:w="0" w:type="auto"/>
            <w:gridSpan w:val="3"/>
            <w:tcMar>
              <w:top w:w="30" w:type="dxa"/>
              <w:left w:w="20" w:type="dxa"/>
              <w:bottom w:w="30" w:type="dxa"/>
              <w:right w:w="20" w:type="dxa"/>
            </w:tcMar>
            <w:vAlign w:val="bottom"/>
            <w:hideMark/>
          </w:tcPr>
          <w:p w:rsidR="00000000" w:rsidRDefault="001F1FC8">
            <w:pPr>
              <w:rPr>
                <w:rFonts w:eastAsia="Times New Roman"/>
              </w:rPr>
            </w:pPr>
            <w:r>
              <w:rPr>
                <w:rFonts w:ascii="Arial" w:eastAsia="Times New Roman" w:hAnsi="Arial" w:cs="Arial"/>
                <w:color w:val="000000"/>
                <w:sz w:val="16"/>
                <w:szCs w:val="16"/>
              </w:rPr>
              <w:t>Revenues</w:t>
            </w: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10,423 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4,870 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4,569 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587 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19,283 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(645)</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39,087 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r>
      <w:tr w:rsidR="00000000">
        <w:tc>
          <w:tcPr>
            <w:tcW w:w="0" w:type="auto"/>
            <w:gridSpan w:val="3"/>
            <w:tcMar>
              <w:top w:w="30" w:type="dxa"/>
              <w:left w:w="20" w:type="dxa"/>
              <w:bottom w:w="30" w:type="dxa"/>
              <w:right w:w="20" w:type="dxa"/>
            </w:tcMar>
            <w:vAlign w:val="bottom"/>
            <w:hideMark/>
          </w:tcPr>
          <w:p w:rsidR="00000000" w:rsidRDefault="001F1FC8">
            <w:pPr>
              <w:ind w:hanging="180"/>
              <w:divId w:val="1996953481"/>
              <w:rPr>
                <w:rFonts w:eastAsia="Times New Roman"/>
              </w:rPr>
            </w:pPr>
            <w:r>
              <w:rPr>
                <w:rFonts w:ascii="Arial" w:eastAsia="Times New Roman" w:hAnsi="Arial" w:cs="Arial"/>
                <w:color w:val="000000"/>
                <w:sz w:val="16"/>
                <w:szCs w:val="16"/>
              </w:rPr>
              <w:t>Commodity and gas distribution costs</w:t>
            </w: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(20)</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(1,810)</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(2)</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(19,450)</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613 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(20,669)</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r>
      <w:tr w:rsidR="00000000">
        <w:tc>
          <w:tcPr>
            <w:tcW w:w="0" w:type="auto"/>
            <w:gridSpan w:val="3"/>
            <w:tcMar>
              <w:top w:w="30" w:type="dxa"/>
              <w:left w:w="20" w:type="dxa"/>
              <w:bottom w:w="30" w:type="dxa"/>
              <w:right w:w="20" w:type="dxa"/>
            </w:tcMar>
            <w:vAlign w:val="bottom"/>
            <w:hideMark/>
          </w:tcPr>
          <w:p w:rsidR="00000000" w:rsidRDefault="001F1FC8">
            <w:pPr>
              <w:rPr>
                <w:rFonts w:eastAsia="Times New Roman"/>
              </w:rPr>
            </w:pPr>
            <w:r>
              <w:rPr>
                <w:rFonts w:ascii="Arial" w:eastAsia="Times New Roman" w:hAnsi="Arial" w:cs="Arial"/>
                <w:color w:val="000000"/>
                <w:sz w:val="16"/>
                <w:szCs w:val="16"/>
              </w:rPr>
              <w:t>Operating and administrative</w:t>
            </w: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(3,331)</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(1,859)</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(1,091)</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(191)</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(67)</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(210)</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(6,749)</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r>
      <w:tr w:rsidR="00000000">
        <w:tc>
          <w:tcPr>
            <w:tcW w:w="0" w:type="auto"/>
            <w:gridSpan w:val="3"/>
            <w:vAlign w:val="center"/>
            <w:hideMark/>
          </w:tcPr>
          <w:p w:rsidR="00000000" w:rsidRDefault="001F1FC8">
            <w:pPr>
              <w:jc w:val="right"/>
              <w:rPr>
                <w:rFonts w:eastAsia="Times New Roman"/>
                <w:sz w:val="20"/>
                <w:szCs w:val="20"/>
              </w:rPr>
            </w:pPr>
          </w:p>
        </w:tc>
        <w:tc>
          <w:tcPr>
            <w:tcW w:w="0" w:type="auto"/>
            <w:gridSpan w:val="3"/>
            <w:vAlign w:val="center"/>
            <w:hideMark/>
          </w:tcPr>
          <w:p w:rsidR="00000000" w:rsidRDefault="001F1FC8">
            <w:pPr>
              <w:rPr>
                <w:rFonts w:eastAsia="Times New Roman"/>
                <w:sz w:val="20"/>
                <w:szCs w:val="20"/>
              </w:rPr>
            </w:pPr>
          </w:p>
        </w:tc>
        <w:tc>
          <w:tcPr>
            <w:tcW w:w="0" w:type="auto"/>
            <w:gridSpan w:val="3"/>
            <w:vAlign w:val="center"/>
            <w:hideMark/>
          </w:tcPr>
          <w:p w:rsidR="00000000" w:rsidRDefault="001F1FC8">
            <w:pPr>
              <w:rPr>
                <w:rFonts w:eastAsia="Times New Roman"/>
                <w:sz w:val="20"/>
                <w:szCs w:val="20"/>
              </w:rPr>
            </w:pPr>
          </w:p>
        </w:tc>
        <w:tc>
          <w:tcPr>
            <w:tcW w:w="0" w:type="auto"/>
            <w:gridSpan w:val="3"/>
            <w:vAlign w:val="center"/>
            <w:hideMark/>
          </w:tcPr>
          <w:p w:rsidR="00000000" w:rsidRDefault="001F1FC8">
            <w:pPr>
              <w:rPr>
                <w:rFonts w:eastAsia="Times New Roman"/>
                <w:sz w:val="20"/>
                <w:szCs w:val="20"/>
              </w:rPr>
            </w:pPr>
          </w:p>
        </w:tc>
        <w:tc>
          <w:tcPr>
            <w:tcW w:w="0" w:type="auto"/>
            <w:gridSpan w:val="3"/>
            <w:vAlign w:val="center"/>
            <w:hideMark/>
          </w:tcPr>
          <w:p w:rsidR="00000000" w:rsidRDefault="001F1FC8">
            <w:pPr>
              <w:rPr>
                <w:rFonts w:eastAsia="Times New Roman"/>
                <w:sz w:val="20"/>
                <w:szCs w:val="20"/>
              </w:rPr>
            </w:pPr>
          </w:p>
        </w:tc>
        <w:tc>
          <w:tcPr>
            <w:tcW w:w="0" w:type="auto"/>
            <w:gridSpan w:val="3"/>
            <w:vAlign w:val="center"/>
            <w:hideMark/>
          </w:tcPr>
          <w:p w:rsidR="00000000" w:rsidRDefault="001F1FC8">
            <w:pPr>
              <w:rPr>
                <w:rFonts w:eastAsia="Times New Roman"/>
                <w:sz w:val="20"/>
                <w:szCs w:val="20"/>
              </w:rPr>
            </w:pPr>
          </w:p>
        </w:tc>
        <w:tc>
          <w:tcPr>
            <w:tcW w:w="0" w:type="auto"/>
            <w:gridSpan w:val="3"/>
            <w:vAlign w:val="center"/>
            <w:hideMark/>
          </w:tcPr>
          <w:p w:rsidR="00000000" w:rsidRDefault="001F1FC8">
            <w:pPr>
              <w:rPr>
                <w:rFonts w:eastAsia="Times New Roman"/>
                <w:sz w:val="20"/>
                <w:szCs w:val="20"/>
              </w:rPr>
            </w:pPr>
          </w:p>
        </w:tc>
        <w:tc>
          <w:tcPr>
            <w:tcW w:w="0" w:type="auto"/>
            <w:gridSpan w:val="3"/>
            <w:vAlign w:val="center"/>
            <w:hideMark/>
          </w:tcPr>
          <w:p w:rsidR="00000000" w:rsidRDefault="001F1FC8">
            <w:pPr>
              <w:rPr>
                <w:rFonts w:eastAsia="Times New Roman"/>
                <w:sz w:val="20"/>
                <w:szCs w:val="20"/>
              </w:rPr>
            </w:pPr>
          </w:p>
        </w:tc>
      </w:tr>
      <w:tr w:rsidR="00000000">
        <w:tc>
          <w:tcPr>
            <w:tcW w:w="0" w:type="auto"/>
            <w:gridSpan w:val="3"/>
            <w:tcMar>
              <w:top w:w="30" w:type="dxa"/>
              <w:left w:w="20" w:type="dxa"/>
              <w:bottom w:w="30" w:type="dxa"/>
              <w:right w:w="20" w:type="dxa"/>
            </w:tcMar>
            <w:vAlign w:val="bottom"/>
            <w:hideMark/>
          </w:tcPr>
          <w:p w:rsidR="00000000" w:rsidRDefault="001F1FC8">
            <w:pPr>
              <w:ind w:hanging="180"/>
              <w:divId w:val="2043818913"/>
              <w:rPr>
                <w:rFonts w:eastAsia="Times New Roman"/>
              </w:rPr>
            </w:pPr>
            <w:r>
              <w:rPr>
                <w:rFonts w:ascii="Arial" w:eastAsia="Times New Roman" w:hAnsi="Arial" w:cs="Arial"/>
                <w:color w:val="000000"/>
                <w:sz w:val="16"/>
                <w:szCs w:val="16"/>
              </w:rPr>
              <w:t>Income/(loss) from equity investments</w:t>
            </w: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558 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479 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9 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94 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(3)</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(1)</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1,136 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r>
      <w:tr w:rsidR="00000000">
        <w:tc>
          <w:tcPr>
            <w:tcW w:w="0" w:type="auto"/>
            <w:gridSpan w:val="3"/>
            <w:tcMar>
              <w:top w:w="30" w:type="dxa"/>
              <w:left w:w="20" w:type="dxa"/>
              <w:bottom w:w="30" w:type="dxa"/>
              <w:right w:w="20" w:type="dxa"/>
            </w:tcMar>
            <w:vAlign w:val="bottom"/>
            <w:hideMark/>
          </w:tcPr>
          <w:p w:rsidR="00000000" w:rsidRDefault="001F1FC8">
            <w:pPr>
              <w:rPr>
                <w:rFonts w:eastAsia="Times New Roman"/>
              </w:rPr>
            </w:pPr>
            <w:r>
              <w:rPr>
                <w:rFonts w:ascii="Arial" w:eastAsia="Times New Roman" w:hAnsi="Arial" w:cs="Arial"/>
                <w:color w:val="000000"/>
                <w:sz w:val="16"/>
                <w:szCs w:val="16"/>
              </w:rPr>
              <w:t>Impairment of equity investments</w:t>
            </w: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(2,351)</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(2,351)</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r>
      <w:tr w:rsidR="00000000">
        <w:tc>
          <w:tcPr>
            <w:tcW w:w="0" w:type="auto"/>
            <w:gridSpan w:val="3"/>
            <w:tcMar>
              <w:top w:w="30" w:type="dxa"/>
              <w:left w:w="20" w:type="dxa"/>
              <w:bottom w:w="30" w:type="dxa"/>
              <w:right w:w="20" w:type="dxa"/>
            </w:tcMar>
            <w:vAlign w:val="bottom"/>
            <w:hideMark/>
          </w:tcPr>
          <w:p w:rsidR="00000000" w:rsidRDefault="001F1FC8">
            <w:pPr>
              <w:rPr>
                <w:rFonts w:eastAsia="Times New Roman"/>
              </w:rPr>
            </w:pPr>
            <w:r>
              <w:rPr>
                <w:rFonts w:ascii="Arial" w:eastAsia="Times New Roman" w:hAnsi="Arial" w:cs="Arial"/>
                <w:color w:val="000000"/>
                <w:sz w:val="16"/>
                <w:szCs w:val="16"/>
              </w:rPr>
              <w:t>Other income/(expense)</w:t>
            </w: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53 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(52)</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71 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35 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1 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130 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238 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r>
      <w:tr w:rsidR="00000000">
        <w:tc>
          <w:tcPr>
            <w:tcW w:w="0" w:type="auto"/>
            <w:gridSpan w:val="3"/>
            <w:tcBorders>
              <w:top w:val="single" w:sz="4" w:space="0" w:color="000000"/>
            </w:tcBorders>
            <w:tcMar>
              <w:top w:w="30" w:type="dxa"/>
              <w:left w:w="200" w:type="dxa"/>
              <w:bottom w:w="30" w:type="dxa"/>
              <w:right w:w="20" w:type="dxa"/>
            </w:tcMar>
            <w:vAlign w:val="bottom"/>
            <w:hideMark/>
          </w:tcPr>
          <w:p w:rsidR="00000000" w:rsidRDefault="001F1FC8">
            <w:pPr>
              <w:ind w:hanging="180"/>
              <w:rPr>
                <w:rFonts w:eastAsia="Times New Roman"/>
              </w:rPr>
            </w:pPr>
            <w:r>
              <w:rPr>
                <w:rFonts w:ascii="Arial" w:eastAsia="Times New Roman" w:hAnsi="Arial" w:cs="Arial"/>
                <w:color w:val="000000"/>
                <w:sz w:val="16"/>
                <w:szCs w:val="16"/>
              </w:rPr>
              <w:t>Earnings/(loss) before interest, income tax expense and depreciation and amortization</w:t>
            </w:r>
          </w:p>
        </w:tc>
        <w:tc>
          <w:tcPr>
            <w:tcW w:w="0" w:type="auto"/>
            <w:gridSpan w:val="2"/>
            <w:tcBorders>
              <w:top w:val="single" w:sz="4" w:space="0" w:color="000000"/>
            </w:tcBorders>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7,683 </w:t>
            </w:r>
          </w:p>
        </w:tc>
        <w:tc>
          <w:tcPr>
            <w:tcW w:w="0" w:type="auto"/>
            <w:tcBorders>
              <w:top w:val="single" w:sz="4" w:space="0" w:color="000000"/>
            </w:tcBorders>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1,087 </w:t>
            </w:r>
          </w:p>
        </w:tc>
        <w:tc>
          <w:tcPr>
            <w:tcW w:w="0" w:type="auto"/>
            <w:tcBorders>
              <w:top w:val="single" w:sz="4" w:space="0" w:color="000000"/>
            </w:tcBorders>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1,748 </w:t>
            </w:r>
          </w:p>
        </w:tc>
        <w:tc>
          <w:tcPr>
            <w:tcW w:w="0" w:type="auto"/>
            <w:tcBorders>
              <w:top w:val="single" w:sz="4" w:space="0" w:color="000000"/>
            </w:tcBorders>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523 </w:t>
            </w:r>
          </w:p>
        </w:tc>
        <w:tc>
          <w:tcPr>
            <w:tcW w:w="0" w:type="auto"/>
            <w:tcBorders>
              <w:top w:val="single" w:sz="4" w:space="0" w:color="000000"/>
            </w:tcBorders>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(236)</w:t>
            </w:r>
          </w:p>
        </w:tc>
        <w:tc>
          <w:tcPr>
            <w:tcW w:w="0" w:type="auto"/>
            <w:tcBorders>
              <w:top w:val="single" w:sz="4" w:space="0" w:color="000000"/>
            </w:tcBorders>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(113)</w:t>
            </w:r>
          </w:p>
        </w:tc>
        <w:tc>
          <w:tcPr>
            <w:tcW w:w="0" w:type="auto"/>
            <w:tcBorders>
              <w:top w:val="single" w:sz="4" w:space="0" w:color="000000"/>
            </w:tcBorders>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10,692 </w:t>
            </w:r>
          </w:p>
        </w:tc>
        <w:tc>
          <w:tcPr>
            <w:tcW w:w="0" w:type="auto"/>
            <w:tcBorders>
              <w:top w:val="single" w:sz="4" w:space="0" w:color="000000"/>
            </w:tcBorders>
            <w:tcMar>
              <w:top w:w="30" w:type="dxa"/>
              <w:left w:w="0" w:type="dxa"/>
              <w:bottom w:w="30" w:type="dxa"/>
              <w:right w:w="20" w:type="dxa"/>
            </w:tcMar>
            <w:vAlign w:val="bottom"/>
            <w:hideMark/>
          </w:tcPr>
          <w:p w:rsidR="00000000" w:rsidRDefault="001F1FC8">
            <w:pPr>
              <w:jc w:val="right"/>
              <w:rPr>
                <w:rFonts w:eastAsia="Times New Roman"/>
              </w:rPr>
            </w:pPr>
          </w:p>
        </w:tc>
      </w:tr>
      <w:tr w:rsidR="00000000">
        <w:tc>
          <w:tcPr>
            <w:tcW w:w="0" w:type="auto"/>
            <w:gridSpan w:val="3"/>
            <w:tcMar>
              <w:top w:w="30" w:type="dxa"/>
              <w:left w:w="20" w:type="dxa"/>
              <w:bottom w:w="30" w:type="dxa"/>
              <w:right w:w="20" w:type="dxa"/>
            </w:tcMar>
            <w:vAlign w:val="bottom"/>
            <w:hideMark/>
          </w:tcPr>
          <w:p w:rsidR="00000000" w:rsidRDefault="001F1FC8">
            <w:pPr>
              <w:rPr>
                <w:rFonts w:eastAsia="Times New Roman"/>
              </w:rPr>
            </w:pPr>
            <w:r>
              <w:rPr>
                <w:rFonts w:ascii="Arial" w:eastAsia="Times New Roman" w:hAnsi="Arial" w:cs="Arial"/>
                <w:color w:val="000000"/>
                <w:sz w:val="16"/>
                <w:szCs w:val="16"/>
              </w:rPr>
              <w:t>Depreciation and amortization</w:t>
            </w:r>
          </w:p>
        </w:tc>
        <w:tc>
          <w:tcPr>
            <w:tcW w:w="0" w:type="auto"/>
            <w:gridSpan w:val="3"/>
            <w:tcMar>
              <w:top w:w="0" w:type="dxa"/>
              <w:left w:w="20" w:type="dxa"/>
              <w:bottom w:w="0" w:type="dxa"/>
              <w:right w:w="20" w:type="dxa"/>
            </w:tcMar>
            <w:vAlign w:val="center"/>
            <w:hideMark/>
          </w:tcPr>
          <w:p w:rsidR="00000000" w:rsidRDefault="001F1FC8">
            <w:pPr>
              <w:rPr>
                <w:rFonts w:eastAsia="Times New Roman"/>
              </w:rPr>
            </w:pPr>
          </w:p>
        </w:tc>
        <w:tc>
          <w:tcPr>
            <w:tcW w:w="0" w:type="auto"/>
            <w:gridSpan w:val="3"/>
            <w:tcMar>
              <w:top w:w="0" w:type="dxa"/>
              <w:left w:w="20" w:type="dxa"/>
              <w:bottom w:w="0" w:type="dxa"/>
              <w:right w:w="20" w:type="dxa"/>
            </w:tcMar>
            <w:vAlign w:val="center"/>
            <w:hideMark/>
          </w:tcPr>
          <w:p w:rsidR="00000000" w:rsidRDefault="001F1FC8">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1F1FC8">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1F1FC8">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1F1FC8">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1F1FC8">
            <w:pPr>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(3,712)</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r>
      <w:tr w:rsidR="00000000">
        <w:tc>
          <w:tcPr>
            <w:tcW w:w="0" w:type="auto"/>
            <w:gridSpan w:val="3"/>
            <w:tcMar>
              <w:top w:w="30" w:type="dxa"/>
              <w:left w:w="20" w:type="dxa"/>
              <w:bottom w:w="30" w:type="dxa"/>
              <w:right w:w="20" w:type="dxa"/>
            </w:tcMar>
            <w:vAlign w:val="bottom"/>
            <w:hideMark/>
          </w:tcPr>
          <w:p w:rsidR="00000000" w:rsidRDefault="001F1FC8">
            <w:pPr>
              <w:rPr>
                <w:rFonts w:eastAsia="Times New Roman"/>
              </w:rPr>
            </w:pPr>
            <w:r>
              <w:rPr>
                <w:rFonts w:ascii="Arial" w:eastAsia="Times New Roman" w:hAnsi="Arial" w:cs="Arial"/>
                <w:color w:val="000000"/>
                <w:sz w:val="16"/>
                <w:szCs w:val="16"/>
              </w:rPr>
              <w:t>Interest expense</w:t>
            </w:r>
          </w:p>
        </w:tc>
        <w:tc>
          <w:tcPr>
            <w:tcW w:w="0" w:type="auto"/>
            <w:gridSpan w:val="3"/>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 </w:t>
            </w:r>
          </w:p>
        </w:tc>
        <w:tc>
          <w:tcPr>
            <w:tcW w:w="0" w:type="auto"/>
            <w:gridSpan w:val="3"/>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 </w:t>
            </w:r>
          </w:p>
        </w:tc>
        <w:tc>
          <w:tcPr>
            <w:tcW w:w="0" w:type="auto"/>
            <w:gridSpan w:val="3"/>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 </w:t>
            </w:r>
          </w:p>
        </w:tc>
        <w:tc>
          <w:tcPr>
            <w:tcW w:w="0" w:type="auto"/>
            <w:gridSpan w:val="3"/>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 </w:t>
            </w:r>
          </w:p>
        </w:tc>
        <w:tc>
          <w:tcPr>
            <w:tcW w:w="0" w:type="auto"/>
            <w:gridSpan w:val="3"/>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 </w:t>
            </w:r>
          </w:p>
        </w:tc>
        <w:tc>
          <w:tcPr>
            <w:tcW w:w="0" w:type="auto"/>
            <w:gridSpan w:val="3"/>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 </w:t>
            </w: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w:t>
            </w:r>
            <w:r>
              <w:rPr>
                <w:rFonts w:ascii="Arial" w:eastAsia="Times New Roman" w:hAnsi="Arial" w:cs="Arial"/>
                <w:color w:val="000000"/>
                <w:sz w:val="16"/>
                <w:szCs w:val="16"/>
              </w:rPr>
              <w:t>2,790)</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r>
      <w:tr w:rsidR="00000000">
        <w:tc>
          <w:tcPr>
            <w:tcW w:w="0" w:type="auto"/>
            <w:gridSpan w:val="3"/>
            <w:tcMar>
              <w:top w:w="30" w:type="dxa"/>
              <w:left w:w="20" w:type="dxa"/>
              <w:bottom w:w="30" w:type="dxa"/>
              <w:right w:w="20" w:type="dxa"/>
            </w:tcMar>
            <w:vAlign w:val="bottom"/>
            <w:hideMark/>
          </w:tcPr>
          <w:p w:rsidR="00000000" w:rsidRDefault="001F1FC8">
            <w:pPr>
              <w:rPr>
                <w:rFonts w:eastAsia="Times New Roman"/>
              </w:rPr>
            </w:pPr>
            <w:r>
              <w:rPr>
                <w:rFonts w:ascii="Arial" w:eastAsia="Times New Roman" w:hAnsi="Arial" w:cs="Arial"/>
                <w:color w:val="000000"/>
                <w:sz w:val="16"/>
                <w:szCs w:val="16"/>
              </w:rPr>
              <w:t>Income tax expense</w:t>
            </w:r>
          </w:p>
        </w:tc>
        <w:tc>
          <w:tcPr>
            <w:tcW w:w="0" w:type="auto"/>
            <w:gridSpan w:val="3"/>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 </w:t>
            </w:r>
          </w:p>
        </w:tc>
        <w:tc>
          <w:tcPr>
            <w:tcW w:w="0" w:type="auto"/>
            <w:gridSpan w:val="3"/>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 </w:t>
            </w:r>
          </w:p>
        </w:tc>
        <w:tc>
          <w:tcPr>
            <w:tcW w:w="0" w:type="auto"/>
            <w:gridSpan w:val="3"/>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 </w:t>
            </w:r>
          </w:p>
        </w:tc>
        <w:tc>
          <w:tcPr>
            <w:tcW w:w="0" w:type="auto"/>
            <w:gridSpan w:val="3"/>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 </w:t>
            </w:r>
          </w:p>
        </w:tc>
        <w:tc>
          <w:tcPr>
            <w:tcW w:w="0" w:type="auto"/>
            <w:gridSpan w:val="3"/>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 </w:t>
            </w:r>
          </w:p>
        </w:tc>
        <w:tc>
          <w:tcPr>
            <w:tcW w:w="0" w:type="auto"/>
            <w:gridSpan w:val="3"/>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 </w:t>
            </w: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(774)</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r>
      <w:tr w:rsidR="00000000">
        <w:tc>
          <w:tcPr>
            <w:tcW w:w="0" w:type="auto"/>
            <w:gridSpan w:val="3"/>
            <w:tcBorders>
              <w:top w:val="single" w:sz="4" w:space="0" w:color="000000"/>
            </w:tcBorders>
            <w:tcMar>
              <w:top w:w="30" w:type="dxa"/>
              <w:left w:w="20" w:type="dxa"/>
              <w:bottom w:w="30" w:type="dxa"/>
              <w:right w:w="20" w:type="dxa"/>
            </w:tcMar>
            <w:vAlign w:val="bottom"/>
            <w:hideMark/>
          </w:tcPr>
          <w:p w:rsidR="00000000" w:rsidRDefault="001F1FC8">
            <w:pPr>
              <w:rPr>
                <w:rFonts w:eastAsia="Times New Roman"/>
              </w:rPr>
            </w:pPr>
            <w:r>
              <w:rPr>
                <w:rFonts w:ascii="Arial" w:eastAsia="Times New Roman" w:hAnsi="Arial" w:cs="Arial"/>
                <w:color w:val="000000"/>
                <w:sz w:val="16"/>
                <w:szCs w:val="16"/>
              </w:rPr>
              <w:t>Earnings</w:t>
            </w: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 </w:t>
            </w: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 </w:t>
            </w: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 </w:t>
            </w: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 </w:t>
            </w: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 </w:t>
            </w: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 </w:t>
            </w:r>
          </w:p>
        </w:tc>
        <w:tc>
          <w:tcPr>
            <w:tcW w:w="0" w:type="auto"/>
            <w:gridSpan w:val="2"/>
            <w:tcBorders>
              <w:top w:val="single" w:sz="4" w:space="0" w:color="000000"/>
            </w:tcBorders>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3,416 </w:t>
            </w:r>
          </w:p>
        </w:tc>
        <w:tc>
          <w:tcPr>
            <w:tcW w:w="0" w:type="auto"/>
            <w:tcBorders>
              <w:top w:val="single" w:sz="4" w:space="0" w:color="000000"/>
            </w:tcBorders>
            <w:tcMar>
              <w:top w:w="30" w:type="dxa"/>
              <w:left w:w="0" w:type="dxa"/>
              <w:bottom w:w="30" w:type="dxa"/>
              <w:right w:w="20" w:type="dxa"/>
            </w:tcMar>
            <w:vAlign w:val="bottom"/>
            <w:hideMark/>
          </w:tcPr>
          <w:p w:rsidR="00000000" w:rsidRDefault="001F1FC8">
            <w:pPr>
              <w:jc w:val="right"/>
              <w:rPr>
                <w:rFonts w:eastAsia="Times New Roman"/>
              </w:rPr>
            </w:pPr>
          </w:p>
        </w:tc>
      </w:tr>
      <w:tr w:rsidR="00000000">
        <w:tc>
          <w:tcPr>
            <w:tcW w:w="0" w:type="auto"/>
            <w:gridSpan w:val="3"/>
            <w:tcBorders>
              <w:top w:val="single" w:sz="8" w:space="0" w:color="000000"/>
            </w:tcBorders>
            <w:tcMar>
              <w:top w:w="30" w:type="dxa"/>
              <w:left w:w="20" w:type="dxa"/>
              <w:bottom w:w="30" w:type="dxa"/>
              <w:right w:w="20" w:type="dxa"/>
            </w:tcMar>
            <w:vAlign w:val="bottom"/>
            <w:hideMark/>
          </w:tcPr>
          <w:p w:rsidR="00000000" w:rsidRDefault="001F1FC8">
            <w:pPr>
              <w:divId w:val="1331524791"/>
              <w:rPr>
                <w:rFonts w:eastAsia="Times New Roman"/>
              </w:rPr>
            </w:pPr>
            <w:r>
              <w:rPr>
                <w:rFonts w:ascii="Arial" w:eastAsia="Times New Roman" w:hAnsi="Arial" w:cs="Arial"/>
                <w:color w:val="000000"/>
                <w:sz w:val="16"/>
                <w:szCs w:val="16"/>
              </w:rPr>
              <w:t>Capital expenditure</w:t>
            </w:r>
            <w:r>
              <w:rPr>
                <w:rFonts w:ascii="Arial" w:eastAsia="Times New Roman" w:hAnsi="Arial" w:cs="Arial"/>
                <w:color w:val="000000"/>
                <w:sz w:val="16"/>
                <w:szCs w:val="16"/>
              </w:rPr>
              <w:t>s</w:t>
            </w:r>
            <w:r>
              <w:rPr>
                <w:rFonts w:ascii="Arial" w:eastAsia="Times New Roman" w:hAnsi="Arial" w:cs="Arial"/>
                <w:color w:val="000000"/>
                <w:sz w:val="10"/>
                <w:szCs w:val="10"/>
              </w:rPr>
              <w:t>1</w:t>
            </w: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2,033 </w:t>
            </w:r>
          </w:p>
        </w:tc>
        <w:tc>
          <w:tcPr>
            <w:tcW w:w="0" w:type="auto"/>
            <w:tcBorders>
              <w:top w:val="single" w:sz="8" w:space="0" w:color="000000"/>
            </w:tcBorders>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2,130 </w:t>
            </w:r>
          </w:p>
        </w:tc>
        <w:tc>
          <w:tcPr>
            <w:tcW w:w="0" w:type="auto"/>
            <w:tcBorders>
              <w:top w:val="single" w:sz="8" w:space="0" w:color="000000"/>
            </w:tcBorders>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1,134 </w:t>
            </w:r>
          </w:p>
        </w:tc>
        <w:tc>
          <w:tcPr>
            <w:tcW w:w="0" w:type="auto"/>
            <w:tcBorders>
              <w:top w:val="single" w:sz="8" w:space="0" w:color="000000"/>
            </w:tcBorders>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81 </w:t>
            </w:r>
          </w:p>
        </w:tc>
        <w:tc>
          <w:tcPr>
            <w:tcW w:w="0" w:type="auto"/>
            <w:tcBorders>
              <w:top w:val="single" w:sz="8" w:space="0" w:color="000000"/>
            </w:tcBorders>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2 </w:t>
            </w:r>
          </w:p>
        </w:tc>
        <w:tc>
          <w:tcPr>
            <w:tcW w:w="0" w:type="auto"/>
            <w:tcBorders>
              <w:top w:val="single" w:sz="8" w:space="0" w:color="000000"/>
            </w:tcBorders>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90 </w:t>
            </w:r>
          </w:p>
        </w:tc>
        <w:tc>
          <w:tcPr>
            <w:tcW w:w="0" w:type="auto"/>
            <w:tcBorders>
              <w:top w:val="single" w:sz="8" w:space="0" w:color="000000"/>
            </w:tcBorders>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5,470 </w:t>
            </w:r>
          </w:p>
        </w:tc>
        <w:tc>
          <w:tcPr>
            <w:tcW w:w="0" w:type="auto"/>
            <w:tcBorders>
              <w:top w:val="single" w:sz="8" w:space="0" w:color="000000"/>
            </w:tcBorders>
            <w:tcMar>
              <w:top w:w="30" w:type="dxa"/>
              <w:left w:w="0" w:type="dxa"/>
              <w:bottom w:w="30" w:type="dxa"/>
              <w:right w:w="20" w:type="dxa"/>
            </w:tcMar>
            <w:vAlign w:val="bottom"/>
            <w:hideMark/>
          </w:tcPr>
          <w:p w:rsidR="00000000" w:rsidRDefault="001F1FC8">
            <w:pPr>
              <w:jc w:val="right"/>
              <w:rPr>
                <w:rFonts w:eastAsia="Times New Roman"/>
              </w:rPr>
            </w:pPr>
          </w:p>
        </w:tc>
      </w:tr>
      <w:tr w:rsidR="00000000">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1F1FC8">
            <w:pPr>
              <w:rPr>
                <w:rFonts w:eastAsia="Times New Roman"/>
              </w:rPr>
            </w:pPr>
            <w:r>
              <w:rPr>
                <w:rFonts w:ascii="Arial" w:eastAsia="Times New Roman" w:hAnsi="Arial" w:cs="Arial"/>
                <w:color w:val="000000"/>
                <w:sz w:val="16"/>
                <w:szCs w:val="16"/>
              </w:rPr>
              <w:t xml:space="preserve">Total property, plant and equipment, net </w:t>
            </w:r>
          </w:p>
        </w:tc>
        <w:tc>
          <w:tcPr>
            <w:tcW w:w="0" w:type="auto"/>
            <w:gridSpan w:val="2"/>
            <w:tcBorders>
              <w:top w:val="single" w:sz="8" w:space="0" w:color="000000"/>
              <w:bottom w:val="single" w:sz="8" w:space="0" w:color="000000"/>
            </w:tcBorders>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48,799 </w:t>
            </w:r>
          </w:p>
        </w:tc>
        <w:tc>
          <w:tcPr>
            <w:tcW w:w="0" w:type="auto"/>
            <w:tcBorders>
              <w:top w:val="single" w:sz="8" w:space="0" w:color="000000"/>
              <w:bottom w:val="single" w:sz="8" w:space="0" w:color="000000"/>
            </w:tcBorders>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Borders>
              <w:top w:val="single" w:sz="8" w:space="0" w:color="000000"/>
              <w:bottom w:val="single" w:sz="8" w:space="0" w:color="000000"/>
            </w:tcBorders>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25,745 </w:t>
            </w:r>
          </w:p>
        </w:tc>
        <w:tc>
          <w:tcPr>
            <w:tcW w:w="0" w:type="auto"/>
            <w:tcBorders>
              <w:top w:val="single" w:sz="8" w:space="0" w:color="000000"/>
              <w:bottom w:val="single" w:sz="8" w:space="0" w:color="000000"/>
            </w:tcBorders>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Borders>
              <w:top w:val="single" w:sz="8" w:space="0" w:color="000000"/>
              <w:bottom w:val="single" w:sz="8" w:space="0" w:color="000000"/>
            </w:tcBorders>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16,079 </w:t>
            </w:r>
          </w:p>
        </w:tc>
        <w:tc>
          <w:tcPr>
            <w:tcW w:w="0" w:type="auto"/>
            <w:tcBorders>
              <w:top w:val="single" w:sz="8" w:space="0" w:color="000000"/>
              <w:bottom w:val="single" w:sz="8" w:space="0" w:color="000000"/>
            </w:tcBorders>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Borders>
              <w:top w:val="single" w:sz="8" w:space="0" w:color="000000"/>
              <w:bottom w:val="single" w:sz="8" w:space="0" w:color="000000"/>
            </w:tcBorders>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3,495 </w:t>
            </w:r>
          </w:p>
        </w:tc>
        <w:tc>
          <w:tcPr>
            <w:tcW w:w="0" w:type="auto"/>
            <w:tcBorders>
              <w:top w:val="single" w:sz="8" w:space="0" w:color="000000"/>
              <w:bottom w:val="single" w:sz="8" w:space="0" w:color="000000"/>
            </w:tcBorders>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Borders>
              <w:top w:val="single" w:sz="8" w:space="0" w:color="000000"/>
              <w:bottom w:val="single" w:sz="8" w:space="0" w:color="000000"/>
            </w:tcBorders>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24 </w:t>
            </w:r>
          </w:p>
        </w:tc>
        <w:tc>
          <w:tcPr>
            <w:tcW w:w="0" w:type="auto"/>
            <w:tcBorders>
              <w:top w:val="single" w:sz="8" w:space="0" w:color="000000"/>
              <w:bottom w:val="single" w:sz="8" w:space="0" w:color="000000"/>
            </w:tcBorders>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Borders>
              <w:top w:val="single" w:sz="8" w:space="0" w:color="000000"/>
              <w:bottom w:val="single" w:sz="8" w:space="0" w:color="000000"/>
            </w:tcBorders>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429 </w:t>
            </w:r>
          </w:p>
        </w:tc>
        <w:tc>
          <w:tcPr>
            <w:tcW w:w="0" w:type="auto"/>
            <w:tcBorders>
              <w:top w:val="single" w:sz="8" w:space="0" w:color="000000"/>
              <w:bottom w:val="single" w:sz="8" w:space="0" w:color="000000"/>
            </w:tcBorders>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Borders>
              <w:top w:val="single" w:sz="8" w:space="0" w:color="000000"/>
              <w:bottom w:val="single" w:sz="8" w:space="0" w:color="000000"/>
            </w:tcBorders>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94,571 </w:t>
            </w:r>
          </w:p>
        </w:tc>
        <w:tc>
          <w:tcPr>
            <w:tcW w:w="0" w:type="auto"/>
            <w:tcBorders>
              <w:top w:val="single" w:sz="8" w:space="0" w:color="000000"/>
              <w:bottom w:val="single" w:sz="8" w:space="0" w:color="000000"/>
            </w:tcBorders>
            <w:tcMar>
              <w:top w:w="30" w:type="dxa"/>
              <w:left w:w="0" w:type="dxa"/>
              <w:bottom w:w="30" w:type="dxa"/>
              <w:right w:w="20" w:type="dxa"/>
            </w:tcMar>
            <w:vAlign w:val="bottom"/>
            <w:hideMark/>
          </w:tcPr>
          <w:p w:rsidR="00000000" w:rsidRDefault="001F1FC8">
            <w:pPr>
              <w:jc w:val="right"/>
              <w:rPr>
                <w:rFonts w:eastAsia="Times New Roman"/>
              </w:rPr>
            </w:pPr>
          </w:p>
        </w:tc>
      </w:tr>
    </w:tbl>
    <w:p w:rsidR="00000000" w:rsidRDefault="001F1FC8">
      <w:pPr>
        <w:jc w:val="both"/>
        <w:rPr>
          <w:rFonts w:eastAsia="Times New Roman"/>
        </w:rPr>
      </w:pPr>
    </w:p>
    <w:p w:rsidR="00000000" w:rsidRDefault="001F1FC8">
      <w:pPr>
        <w:jc w:val="center"/>
        <w:divId w:val="1287587570"/>
        <w:rPr>
          <w:rFonts w:eastAsia="Times New Roman"/>
        </w:rPr>
      </w:pPr>
      <w:r>
        <w:rPr>
          <w:rFonts w:ascii="Arial" w:eastAsia="Times New Roman" w:hAnsi="Arial" w:cs="Arial"/>
          <w:color w:val="000000"/>
          <w:sz w:val="20"/>
          <w:szCs w:val="20"/>
        </w:rPr>
        <w:t>121</w:t>
      </w:r>
    </w:p>
    <w:p w:rsidR="00000000" w:rsidRDefault="001F1FC8">
      <w:pPr>
        <w:rPr>
          <w:rFonts w:eastAsia="Times New Roman"/>
        </w:rPr>
      </w:pPr>
      <w:r>
        <w:rPr>
          <w:rFonts w:eastAsia="Times New Roman"/>
        </w:rPr>
        <w:pict>
          <v:rect id="_x0000_i1151" style="width:0;height:1.5pt" o:hralign="center" o:hrstd="t" o:hr="t" fillcolor="#a0a0a0" stroked="f"/>
        </w:pict>
      </w:r>
    </w:p>
    <w:p w:rsidR="00000000" w:rsidRDefault="001F1FC8">
      <w:pPr>
        <w:jc w:val="center"/>
        <w:divId w:val="343476150"/>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48"/>
        <w:gridCol w:w="2127"/>
        <w:gridCol w:w="38"/>
        <w:gridCol w:w="83"/>
        <w:gridCol w:w="599"/>
        <w:gridCol w:w="36"/>
        <w:gridCol w:w="83"/>
        <w:gridCol w:w="901"/>
        <w:gridCol w:w="36"/>
        <w:gridCol w:w="84"/>
        <w:gridCol w:w="749"/>
        <w:gridCol w:w="36"/>
        <w:gridCol w:w="73"/>
        <w:gridCol w:w="761"/>
        <w:gridCol w:w="36"/>
        <w:gridCol w:w="78"/>
        <w:gridCol w:w="569"/>
        <w:gridCol w:w="36"/>
        <w:gridCol w:w="85"/>
        <w:gridCol w:w="810"/>
        <w:gridCol w:w="36"/>
        <w:gridCol w:w="86"/>
        <w:gridCol w:w="880"/>
        <w:gridCol w:w="36"/>
      </w:tblGrid>
      <w:tr w:rsidR="00000000">
        <w:trPr>
          <w:divId w:val="1337264103"/>
        </w:trPr>
        <w:tc>
          <w:tcPr>
            <w:tcW w:w="50" w:type="pct"/>
            <w:vAlign w:val="center"/>
            <w:hideMark/>
          </w:tcPr>
          <w:p w:rsidR="00000000" w:rsidRDefault="001F1FC8">
            <w:pPr>
              <w:jc w:val="center"/>
              <w:rPr>
                <w:rFonts w:eastAsia="Times New Roman"/>
              </w:rPr>
            </w:pPr>
          </w:p>
        </w:tc>
        <w:tc>
          <w:tcPr>
            <w:tcW w:w="1313"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c>
          <w:tcPr>
            <w:tcW w:w="50" w:type="pct"/>
            <w:vAlign w:val="center"/>
            <w:hideMark/>
          </w:tcPr>
          <w:p w:rsidR="00000000" w:rsidRDefault="001F1FC8">
            <w:pPr>
              <w:rPr>
                <w:rFonts w:eastAsia="Times New Roman"/>
                <w:sz w:val="20"/>
                <w:szCs w:val="20"/>
              </w:rPr>
            </w:pPr>
          </w:p>
        </w:tc>
        <w:tc>
          <w:tcPr>
            <w:tcW w:w="361"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c>
          <w:tcPr>
            <w:tcW w:w="50" w:type="pct"/>
            <w:vAlign w:val="center"/>
            <w:hideMark/>
          </w:tcPr>
          <w:p w:rsidR="00000000" w:rsidRDefault="001F1FC8">
            <w:pPr>
              <w:rPr>
                <w:rFonts w:eastAsia="Times New Roman"/>
                <w:sz w:val="20"/>
                <w:szCs w:val="20"/>
              </w:rPr>
            </w:pPr>
          </w:p>
        </w:tc>
        <w:tc>
          <w:tcPr>
            <w:tcW w:w="545"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c>
          <w:tcPr>
            <w:tcW w:w="50" w:type="pct"/>
            <w:vAlign w:val="center"/>
            <w:hideMark/>
          </w:tcPr>
          <w:p w:rsidR="00000000" w:rsidRDefault="001F1FC8">
            <w:pPr>
              <w:rPr>
                <w:rFonts w:eastAsia="Times New Roman"/>
                <w:sz w:val="20"/>
                <w:szCs w:val="20"/>
              </w:rPr>
            </w:pPr>
          </w:p>
        </w:tc>
        <w:tc>
          <w:tcPr>
            <w:tcW w:w="449"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c>
          <w:tcPr>
            <w:tcW w:w="50" w:type="pct"/>
            <w:vAlign w:val="center"/>
            <w:hideMark/>
          </w:tcPr>
          <w:p w:rsidR="00000000" w:rsidRDefault="001F1FC8">
            <w:pPr>
              <w:rPr>
                <w:rFonts w:eastAsia="Times New Roman"/>
                <w:sz w:val="20"/>
                <w:szCs w:val="20"/>
              </w:rPr>
            </w:pPr>
          </w:p>
        </w:tc>
        <w:tc>
          <w:tcPr>
            <w:tcW w:w="529"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c>
          <w:tcPr>
            <w:tcW w:w="50" w:type="pct"/>
            <w:vAlign w:val="center"/>
            <w:hideMark/>
          </w:tcPr>
          <w:p w:rsidR="00000000" w:rsidRDefault="001F1FC8">
            <w:pPr>
              <w:rPr>
                <w:rFonts w:eastAsia="Times New Roman"/>
                <w:sz w:val="20"/>
                <w:szCs w:val="20"/>
              </w:rPr>
            </w:pPr>
          </w:p>
        </w:tc>
        <w:tc>
          <w:tcPr>
            <w:tcW w:w="369"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c>
          <w:tcPr>
            <w:tcW w:w="50" w:type="pct"/>
            <w:vAlign w:val="center"/>
            <w:hideMark/>
          </w:tcPr>
          <w:p w:rsidR="00000000" w:rsidRDefault="001F1FC8">
            <w:pPr>
              <w:rPr>
                <w:rFonts w:eastAsia="Times New Roman"/>
                <w:sz w:val="20"/>
                <w:szCs w:val="20"/>
              </w:rPr>
            </w:pPr>
          </w:p>
        </w:tc>
        <w:tc>
          <w:tcPr>
            <w:tcW w:w="481"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c>
          <w:tcPr>
            <w:tcW w:w="50" w:type="pct"/>
            <w:vAlign w:val="center"/>
            <w:hideMark/>
          </w:tcPr>
          <w:p w:rsidR="00000000" w:rsidRDefault="001F1FC8">
            <w:pPr>
              <w:rPr>
                <w:rFonts w:eastAsia="Times New Roman"/>
                <w:sz w:val="20"/>
                <w:szCs w:val="20"/>
              </w:rPr>
            </w:pPr>
          </w:p>
        </w:tc>
        <w:tc>
          <w:tcPr>
            <w:tcW w:w="513"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r>
      <w:tr w:rsidR="00000000">
        <w:trPr>
          <w:divId w:val="1337264103"/>
        </w:trPr>
        <w:tc>
          <w:tcPr>
            <w:tcW w:w="0" w:type="auto"/>
            <w:gridSpan w:val="3"/>
            <w:tcMar>
              <w:top w:w="30" w:type="dxa"/>
              <w:left w:w="20" w:type="dxa"/>
              <w:bottom w:w="30" w:type="dxa"/>
              <w:right w:w="20" w:type="dxa"/>
            </w:tcMar>
            <w:vAlign w:val="bottom"/>
            <w:hideMark/>
          </w:tcPr>
          <w:p w:rsidR="00000000" w:rsidRDefault="001F1FC8">
            <w:pPr>
              <w:rPr>
                <w:rFonts w:eastAsia="Times New Roman"/>
              </w:rPr>
            </w:pPr>
            <w:r>
              <w:rPr>
                <w:rFonts w:ascii="Arial" w:eastAsia="Times New Roman" w:hAnsi="Arial" w:cs="Arial"/>
                <w:color w:val="000000"/>
                <w:sz w:val="16"/>
                <w:szCs w:val="16"/>
              </w:rPr>
              <w:t>Year ended December 31, 2019</w:t>
            </w:r>
          </w:p>
        </w:tc>
        <w:tc>
          <w:tcPr>
            <w:tcW w:w="0" w:type="auto"/>
            <w:gridSpan w:val="3"/>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Liquids Pipelines</w:t>
            </w:r>
          </w:p>
        </w:tc>
        <w:tc>
          <w:tcPr>
            <w:tcW w:w="0" w:type="auto"/>
            <w:gridSpan w:val="3"/>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Gas Transmission and Midstream</w:t>
            </w:r>
          </w:p>
        </w:tc>
        <w:tc>
          <w:tcPr>
            <w:tcW w:w="0" w:type="auto"/>
            <w:gridSpan w:val="3"/>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Gas Distribution and Storage</w:t>
            </w:r>
          </w:p>
        </w:tc>
        <w:tc>
          <w:tcPr>
            <w:tcW w:w="0" w:type="auto"/>
            <w:gridSpan w:val="3"/>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Renewable Power Generation</w:t>
            </w:r>
          </w:p>
        </w:tc>
        <w:tc>
          <w:tcPr>
            <w:tcW w:w="0" w:type="auto"/>
            <w:gridSpan w:val="3"/>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Energy Services</w:t>
            </w:r>
          </w:p>
        </w:tc>
        <w:tc>
          <w:tcPr>
            <w:tcW w:w="0" w:type="auto"/>
            <w:gridSpan w:val="3"/>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Eliminations and Other</w:t>
            </w:r>
          </w:p>
        </w:tc>
        <w:tc>
          <w:tcPr>
            <w:tcW w:w="0" w:type="auto"/>
            <w:gridSpan w:val="3"/>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Consolidated</w:t>
            </w:r>
          </w:p>
        </w:tc>
      </w:tr>
      <w:tr w:rsidR="00000000">
        <w:trPr>
          <w:divId w:val="1337264103"/>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1F1FC8">
            <w:pPr>
              <w:rPr>
                <w:rFonts w:eastAsia="Times New Roman"/>
              </w:rPr>
            </w:pPr>
            <w:r>
              <w:rPr>
                <w:rFonts w:ascii="Arial" w:eastAsia="Times New Roman" w:hAnsi="Arial" w:cs="Arial"/>
                <w:i/>
                <w:iCs/>
                <w:color w:val="000000"/>
                <w:sz w:val="16"/>
                <w:szCs w:val="16"/>
              </w:rPr>
              <w:t>(millions of Canadian dollars)</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1F1FC8">
            <w:pPr>
              <w:jc w:val="right"/>
              <w:rPr>
                <w:rFonts w:eastAsia="Times New Roman"/>
              </w:rPr>
            </w:pPr>
            <w:r>
              <w:rPr>
                <w:rFonts w:ascii="Arial" w:eastAsia="Times New Roman" w:hAnsi="Arial" w:cs="Arial"/>
                <w:color w:val="000000"/>
                <w:sz w:val="16"/>
                <w:szCs w:val="16"/>
              </w:rPr>
              <w:t> </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1F1FC8">
            <w:pPr>
              <w:jc w:val="right"/>
              <w:rPr>
                <w:rFonts w:eastAsia="Times New Roman"/>
              </w:rPr>
            </w:pPr>
            <w:r>
              <w:rPr>
                <w:rFonts w:ascii="Arial" w:eastAsia="Times New Roman" w:hAnsi="Arial" w:cs="Arial"/>
                <w:color w:val="000000"/>
                <w:sz w:val="16"/>
                <w:szCs w:val="16"/>
              </w:rPr>
              <w:t> </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1F1FC8">
            <w:pPr>
              <w:jc w:val="right"/>
              <w:rPr>
                <w:rFonts w:eastAsia="Times New Roman"/>
              </w:rPr>
            </w:pPr>
            <w:r>
              <w:rPr>
                <w:rFonts w:ascii="Arial" w:eastAsia="Times New Roman" w:hAnsi="Arial" w:cs="Arial"/>
                <w:color w:val="000000"/>
                <w:sz w:val="16"/>
                <w:szCs w:val="16"/>
              </w:rPr>
              <w:t> </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1F1FC8">
            <w:pPr>
              <w:jc w:val="right"/>
              <w:rPr>
                <w:rFonts w:eastAsia="Times New Roman"/>
              </w:rPr>
            </w:pPr>
            <w:r>
              <w:rPr>
                <w:rFonts w:ascii="Arial" w:eastAsia="Times New Roman" w:hAnsi="Arial" w:cs="Arial"/>
                <w:color w:val="000000"/>
                <w:sz w:val="16"/>
                <w:szCs w:val="16"/>
              </w:rPr>
              <w:t> </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1F1FC8">
            <w:pPr>
              <w:jc w:val="right"/>
              <w:rPr>
                <w:rFonts w:eastAsia="Times New Roman"/>
              </w:rPr>
            </w:pPr>
            <w:r>
              <w:rPr>
                <w:rFonts w:ascii="Arial" w:eastAsia="Times New Roman" w:hAnsi="Arial" w:cs="Arial"/>
                <w:color w:val="000000"/>
                <w:sz w:val="16"/>
                <w:szCs w:val="16"/>
              </w:rPr>
              <w:t> </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1F1FC8">
            <w:pPr>
              <w:jc w:val="right"/>
              <w:rPr>
                <w:rFonts w:eastAsia="Times New Roman"/>
              </w:rPr>
            </w:pPr>
            <w:r>
              <w:rPr>
                <w:rFonts w:ascii="Arial" w:eastAsia="Times New Roman" w:hAnsi="Arial" w:cs="Arial"/>
                <w:color w:val="000000"/>
                <w:sz w:val="16"/>
                <w:szCs w:val="16"/>
              </w:rPr>
              <w:t> </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1F1FC8">
            <w:pPr>
              <w:jc w:val="right"/>
              <w:rPr>
                <w:rFonts w:eastAsia="Times New Roman"/>
              </w:rPr>
            </w:pPr>
            <w:r>
              <w:rPr>
                <w:rFonts w:ascii="Arial" w:eastAsia="Times New Roman" w:hAnsi="Arial" w:cs="Arial"/>
                <w:color w:val="000000"/>
                <w:sz w:val="16"/>
                <w:szCs w:val="16"/>
              </w:rPr>
              <w:t> </w:t>
            </w:r>
          </w:p>
        </w:tc>
      </w:tr>
      <w:tr w:rsidR="00000000">
        <w:trPr>
          <w:divId w:val="1337264103"/>
        </w:trPr>
        <w:tc>
          <w:tcPr>
            <w:tcW w:w="0" w:type="auto"/>
            <w:gridSpan w:val="3"/>
            <w:tcMar>
              <w:top w:w="30" w:type="dxa"/>
              <w:left w:w="20" w:type="dxa"/>
              <w:bottom w:w="30" w:type="dxa"/>
              <w:right w:w="20" w:type="dxa"/>
            </w:tcMar>
            <w:vAlign w:val="bottom"/>
            <w:hideMark/>
          </w:tcPr>
          <w:p w:rsidR="00000000" w:rsidRDefault="001F1FC8">
            <w:pPr>
              <w:rPr>
                <w:rFonts w:eastAsia="Times New Roman"/>
              </w:rPr>
            </w:pPr>
            <w:r>
              <w:rPr>
                <w:rFonts w:ascii="Arial" w:eastAsia="Times New Roman" w:hAnsi="Arial" w:cs="Arial"/>
                <w:color w:val="000000"/>
                <w:sz w:val="16"/>
                <w:szCs w:val="16"/>
              </w:rPr>
              <w:t>Revenues</w:t>
            </w: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10,219 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5,207 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5,179 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567 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29,374 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(477)</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50,069 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r>
      <w:tr w:rsidR="00000000">
        <w:trPr>
          <w:divId w:val="1337264103"/>
        </w:trPr>
        <w:tc>
          <w:tcPr>
            <w:tcW w:w="0" w:type="auto"/>
            <w:gridSpan w:val="3"/>
            <w:tcMar>
              <w:top w:w="30" w:type="dxa"/>
              <w:left w:w="20" w:type="dxa"/>
              <w:bottom w:w="30" w:type="dxa"/>
              <w:right w:w="20" w:type="dxa"/>
            </w:tcMar>
            <w:vAlign w:val="bottom"/>
            <w:hideMark/>
          </w:tcPr>
          <w:p w:rsidR="00000000" w:rsidRDefault="001F1FC8">
            <w:pPr>
              <w:ind w:hanging="180"/>
              <w:divId w:val="1524828523"/>
              <w:rPr>
                <w:rFonts w:eastAsia="Times New Roman"/>
              </w:rPr>
            </w:pPr>
            <w:r>
              <w:rPr>
                <w:rFonts w:ascii="Arial" w:eastAsia="Times New Roman" w:hAnsi="Arial" w:cs="Arial"/>
                <w:color w:val="000000"/>
                <w:sz w:val="16"/>
                <w:szCs w:val="16"/>
              </w:rPr>
              <w:t>Commodity and gas distribution costs</w:t>
            </w: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(29)</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(2,354)</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(2)</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(29,091)</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472 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(31,004)</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r>
      <w:tr w:rsidR="00000000">
        <w:trPr>
          <w:divId w:val="1337264103"/>
        </w:trPr>
        <w:tc>
          <w:tcPr>
            <w:tcW w:w="0" w:type="auto"/>
            <w:gridSpan w:val="3"/>
            <w:tcMar>
              <w:top w:w="30" w:type="dxa"/>
              <w:left w:w="20" w:type="dxa"/>
              <w:bottom w:w="30" w:type="dxa"/>
              <w:right w:w="20" w:type="dxa"/>
            </w:tcMar>
            <w:vAlign w:val="bottom"/>
            <w:hideMark/>
          </w:tcPr>
          <w:p w:rsidR="00000000" w:rsidRDefault="001F1FC8">
            <w:pPr>
              <w:rPr>
                <w:rFonts w:eastAsia="Times New Roman"/>
              </w:rPr>
            </w:pPr>
            <w:r>
              <w:rPr>
                <w:rFonts w:ascii="Arial" w:eastAsia="Times New Roman" w:hAnsi="Arial" w:cs="Arial"/>
                <w:color w:val="000000"/>
                <w:sz w:val="16"/>
                <w:szCs w:val="16"/>
              </w:rPr>
              <w:t>Operating and administrative</w:t>
            </w: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(3,298)</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(2,232)</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(1,149)</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(189)</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(44)</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(79)</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(6,991)</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r>
      <w:tr w:rsidR="00000000">
        <w:trPr>
          <w:divId w:val="1337264103"/>
        </w:trPr>
        <w:tc>
          <w:tcPr>
            <w:tcW w:w="0" w:type="auto"/>
            <w:gridSpan w:val="3"/>
            <w:tcMar>
              <w:top w:w="30" w:type="dxa"/>
              <w:left w:w="20" w:type="dxa"/>
              <w:bottom w:w="30" w:type="dxa"/>
              <w:right w:w="20" w:type="dxa"/>
            </w:tcMar>
            <w:hideMark/>
          </w:tcPr>
          <w:p w:rsidR="00000000" w:rsidRDefault="001F1FC8">
            <w:pPr>
              <w:rPr>
                <w:rFonts w:eastAsia="Times New Roman"/>
              </w:rPr>
            </w:pPr>
            <w:r>
              <w:rPr>
                <w:rFonts w:ascii="Arial" w:eastAsia="Times New Roman" w:hAnsi="Arial" w:cs="Arial"/>
                <w:color w:val="000000"/>
                <w:sz w:val="16"/>
                <w:szCs w:val="16"/>
              </w:rPr>
              <w:t>Impairment of long-lived assets</w:t>
            </w: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(21)</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(105)</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(297)</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(423)</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r>
      <w:tr w:rsidR="00000000">
        <w:trPr>
          <w:divId w:val="1337264103"/>
        </w:trPr>
        <w:tc>
          <w:tcPr>
            <w:tcW w:w="0" w:type="auto"/>
            <w:gridSpan w:val="3"/>
            <w:vAlign w:val="center"/>
            <w:hideMark/>
          </w:tcPr>
          <w:p w:rsidR="00000000" w:rsidRDefault="001F1FC8">
            <w:pPr>
              <w:jc w:val="right"/>
              <w:rPr>
                <w:rFonts w:eastAsia="Times New Roman"/>
                <w:sz w:val="20"/>
                <w:szCs w:val="20"/>
              </w:rPr>
            </w:pPr>
          </w:p>
        </w:tc>
        <w:tc>
          <w:tcPr>
            <w:tcW w:w="0" w:type="auto"/>
            <w:gridSpan w:val="3"/>
            <w:vAlign w:val="center"/>
            <w:hideMark/>
          </w:tcPr>
          <w:p w:rsidR="00000000" w:rsidRDefault="001F1FC8">
            <w:pPr>
              <w:rPr>
                <w:rFonts w:eastAsia="Times New Roman"/>
                <w:sz w:val="20"/>
                <w:szCs w:val="20"/>
              </w:rPr>
            </w:pPr>
          </w:p>
        </w:tc>
        <w:tc>
          <w:tcPr>
            <w:tcW w:w="0" w:type="auto"/>
            <w:gridSpan w:val="3"/>
            <w:vAlign w:val="center"/>
            <w:hideMark/>
          </w:tcPr>
          <w:p w:rsidR="00000000" w:rsidRDefault="001F1FC8">
            <w:pPr>
              <w:rPr>
                <w:rFonts w:eastAsia="Times New Roman"/>
                <w:sz w:val="20"/>
                <w:szCs w:val="20"/>
              </w:rPr>
            </w:pPr>
          </w:p>
        </w:tc>
        <w:tc>
          <w:tcPr>
            <w:tcW w:w="0" w:type="auto"/>
            <w:gridSpan w:val="3"/>
            <w:vAlign w:val="center"/>
            <w:hideMark/>
          </w:tcPr>
          <w:p w:rsidR="00000000" w:rsidRDefault="001F1FC8">
            <w:pPr>
              <w:rPr>
                <w:rFonts w:eastAsia="Times New Roman"/>
                <w:sz w:val="20"/>
                <w:szCs w:val="20"/>
              </w:rPr>
            </w:pPr>
          </w:p>
        </w:tc>
        <w:tc>
          <w:tcPr>
            <w:tcW w:w="0" w:type="auto"/>
            <w:gridSpan w:val="3"/>
            <w:vAlign w:val="center"/>
            <w:hideMark/>
          </w:tcPr>
          <w:p w:rsidR="00000000" w:rsidRDefault="001F1FC8">
            <w:pPr>
              <w:rPr>
                <w:rFonts w:eastAsia="Times New Roman"/>
                <w:sz w:val="20"/>
                <w:szCs w:val="20"/>
              </w:rPr>
            </w:pPr>
          </w:p>
        </w:tc>
        <w:tc>
          <w:tcPr>
            <w:tcW w:w="0" w:type="auto"/>
            <w:gridSpan w:val="3"/>
            <w:vAlign w:val="center"/>
            <w:hideMark/>
          </w:tcPr>
          <w:p w:rsidR="00000000" w:rsidRDefault="001F1FC8">
            <w:pPr>
              <w:rPr>
                <w:rFonts w:eastAsia="Times New Roman"/>
                <w:sz w:val="20"/>
                <w:szCs w:val="20"/>
              </w:rPr>
            </w:pPr>
          </w:p>
        </w:tc>
        <w:tc>
          <w:tcPr>
            <w:tcW w:w="0" w:type="auto"/>
            <w:gridSpan w:val="3"/>
            <w:vAlign w:val="center"/>
            <w:hideMark/>
          </w:tcPr>
          <w:p w:rsidR="00000000" w:rsidRDefault="001F1FC8">
            <w:pPr>
              <w:rPr>
                <w:rFonts w:eastAsia="Times New Roman"/>
                <w:sz w:val="20"/>
                <w:szCs w:val="20"/>
              </w:rPr>
            </w:pPr>
          </w:p>
        </w:tc>
        <w:tc>
          <w:tcPr>
            <w:tcW w:w="0" w:type="auto"/>
            <w:gridSpan w:val="3"/>
            <w:vAlign w:val="center"/>
            <w:hideMark/>
          </w:tcPr>
          <w:p w:rsidR="00000000" w:rsidRDefault="001F1FC8">
            <w:pPr>
              <w:rPr>
                <w:rFonts w:eastAsia="Times New Roman"/>
                <w:sz w:val="20"/>
                <w:szCs w:val="20"/>
              </w:rPr>
            </w:pPr>
          </w:p>
        </w:tc>
      </w:tr>
      <w:tr w:rsidR="00000000">
        <w:trPr>
          <w:divId w:val="1337264103"/>
        </w:trPr>
        <w:tc>
          <w:tcPr>
            <w:tcW w:w="0" w:type="auto"/>
            <w:gridSpan w:val="3"/>
            <w:tcMar>
              <w:top w:w="30" w:type="dxa"/>
              <w:left w:w="20" w:type="dxa"/>
              <w:bottom w:w="30" w:type="dxa"/>
              <w:right w:w="20" w:type="dxa"/>
            </w:tcMar>
            <w:vAlign w:val="bottom"/>
            <w:hideMark/>
          </w:tcPr>
          <w:p w:rsidR="00000000" w:rsidRDefault="001F1FC8">
            <w:pPr>
              <w:ind w:hanging="180"/>
              <w:divId w:val="1696543266"/>
              <w:rPr>
                <w:rFonts w:eastAsia="Times New Roman"/>
              </w:rPr>
            </w:pPr>
            <w:r>
              <w:rPr>
                <w:rFonts w:ascii="Arial" w:eastAsia="Times New Roman" w:hAnsi="Arial" w:cs="Arial"/>
                <w:color w:val="000000"/>
                <w:sz w:val="16"/>
                <w:szCs w:val="16"/>
              </w:rPr>
              <w:t>Income/(loss) from equity investments</w:t>
            </w: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780 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682 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4 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31 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8 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(2)</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1,503 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r>
      <w:tr w:rsidR="00000000">
        <w:trPr>
          <w:divId w:val="1337264103"/>
        </w:trPr>
        <w:tc>
          <w:tcPr>
            <w:tcW w:w="0" w:type="auto"/>
            <w:gridSpan w:val="3"/>
            <w:tcMar>
              <w:top w:w="30" w:type="dxa"/>
              <w:left w:w="20" w:type="dxa"/>
              <w:bottom w:w="30" w:type="dxa"/>
              <w:right w:w="20" w:type="dxa"/>
            </w:tcMar>
            <w:vAlign w:val="bottom"/>
            <w:hideMark/>
          </w:tcPr>
          <w:p w:rsidR="00000000" w:rsidRDefault="001F1FC8">
            <w:pPr>
              <w:rPr>
                <w:rFonts w:eastAsia="Times New Roman"/>
              </w:rPr>
            </w:pPr>
            <w:r>
              <w:rPr>
                <w:rFonts w:ascii="Arial" w:eastAsia="Times New Roman" w:hAnsi="Arial" w:cs="Arial"/>
                <w:color w:val="000000"/>
                <w:sz w:val="16"/>
                <w:szCs w:val="16"/>
              </w:rPr>
              <w:t>Other income/(expense)</w:t>
            </w: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30 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(181)</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67 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1 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3 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515 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435 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r>
      <w:tr w:rsidR="00000000">
        <w:trPr>
          <w:divId w:val="1337264103"/>
        </w:trPr>
        <w:tc>
          <w:tcPr>
            <w:tcW w:w="0" w:type="auto"/>
            <w:gridSpan w:val="3"/>
            <w:tcBorders>
              <w:top w:val="single" w:sz="4" w:space="0" w:color="000000"/>
            </w:tcBorders>
            <w:tcMar>
              <w:top w:w="30" w:type="dxa"/>
              <w:left w:w="200" w:type="dxa"/>
              <w:bottom w:w="30" w:type="dxa"/>
              <w:right w:w="20" w:type="dxa"/>
            </w:tcMar>
            <w:vAlign w:val="bottom"/>
            <w:hideMark/>
          </w:tcPr>
          <w:p w:rsidR="00000000" w:rsidRDefault="001F1FC8">
            <w:pPr>
              <w:ind w:hanging="180"/>
              <w:rPr>
                <w:rFonts w:eastAsia="Times New Roman"/>
              </w:rPr>
            </w:pPr>
            <w:r>
              <w:rPr>
                <w:rFonts w:ascii="Arial" w:eastAsia="Times New Roman" w:hAnsi="Arial" w:cs="Arial"/>
                <w:color w:val="000000"/>
                <w:sz w:val="16"/>
                <w:szCs w:val="16"/>
              </w:rPr>
              <w:t>Earnings before interest, income tax expense and depreciation and amortization</w:t>
            </w:r>
          </w:p>
        </w:tc>
        <w:tc>
          <w:tcPr>
            <w:tcW w:w="0" w:type="auto"/>
            <w:gridSpan w:val="2"/>
            <w:tcBorders>
              <w:top w:val="single" w:sz="4" w:space="0" w:color="000000"/>
            </w:tcBorders>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7,681 </w:t>
            </w:r>
          </w:p>
        </w:tc>
        <w:tc>
          <w:tcPr>
            <w:tcW w:w="0" w:type="auto"/>
            <w:tcBorders>
              <w:top w:val="single" w:sz="4" w:space="0" w:color="000000"/>
            </w:tcBorders>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3,371 </w:t>
            </w:r>
          </w:p>
        </w:tc>
        <w:tc>
          <w:tcPr>
            <w:tcW w:w="0" w:type="auto"/>
            <w:tcBorders>
              <w:top w:val="single" w:sz="4" w:space="0" w:color="000000"/>
            </w:tcBorders>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1,747 </w:t>
            </w:r>
          </w:p>
        </w:tc>
        <w:tc>
          <w:tcPr>
            <w:tcW w:w="0" w:type="auto"/>
            <w:tcBorders>
              <w:top w:val="single" w:sz="4" w:space="0" w:color="000000"/>
            </w:tcBorders>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111 </w:t>
            </w:r>
          </w:p>
        </w:tc>
        <w:tc>
          <w:tcPr>
            <w:tcW w:w="0" w:type="auto"/>
            <w:tcBorders>
              <w:top w:val="single" w:sz="4" w:space="0" w:color="000000"/>
            </w:tcBorders>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250 </w:t>
            </w:r>
          </w:p>
        </w:tc>
        <w:tc>
          <w:tcPr>
            <w:tcW w:w="0" w:type="auto"/>
            <w:tcBorders>
              <w:top w:val="single" w:sz="4" w:space="0" w:color="000000"/>
            </w:tcBorders>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429 </w:t>
            </w:r>
          </w:p>
        </w:tc>
        <w:tc>
          <w:tcPr>
            <w:tcW w:w="0" w:type="auto"/>
            <w:tcBorders>
              <w:top w:val="single" w:sz="4" w:space="0" w:color="000000"/>
            </w:tcBorders>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13,589 </w:t>
            </w:r>
          </w:p>
        </w:tc>
        <w:tc>
          <w:tcPr>
            <w:tcW w:w="0" w:type="auto"/>
            <w:tcBorders>
              <w:top w:val="single" w:sz="4" w:space="0" w:color="000000"/>
            </w:tcBorders>
            <w:tcMar>
              <w:top w:w="30" w:type="dxa"/>
              <w:left w:w="0" w:type="dxa"/>
              <w:bottom w:w="30" w:type="dxa"/>
              <w:right w:w="20" w:type="dxa"/>
            </w:tcMar>
            <w:vAlign w:val="bottom"/>
            <w:hideMark/>
          </w:tcPr>
          <w:p w:rsidR="00000000" w:rsidRDefault="001F1FC8">
            <w:pPr>
              <w:jc w:val="right"/>
              <w:rPr>
                <w:rFonts w:eastAsia="Times New Roman"/>
              </w:rPr>
            </w:pPr>
          </w:p>
        </w:tc>
      </w:tr>
      <w:tr w:rsidR="00000000">
        <w:trPr>
          <w:divId w:val="1337264103"/>
        </w:trPr>
        <w:tc>
          <w:tcPr>
            <w:tcW w:w="0" w:type="auto"/>
            <w:gridSpan w:val="3"/>
            <w:tcMar>
              <w:top w:w="30" w:type="dxa"/>
              <w:left w:w="20" w:type="dxa"/>
              <w:bottom w:w="30" w:type="dxa"/>
              <w:right w:w="20" w:type="dxa"/>
            </w:tcMar>
            <w:vAlign w:val="bottom"/>
            <w:hideMark/>
          </w:tcPr>
          <w:p w:rsidR="00000000" w:rsidRDefault="001F1FC8">
            <w:pPr>
              <w:rPr>
                <w:rFonts w:eastAsia="Times New Roman"/>
              </w:rPr>
            </w:pPr>
            <w:r>
              <w:rPr>
                <w:rFonts w:ascii="Arial" w:eastAsia="Times New Roman" w:hAnsi="Arial" w:cs="Arial"/>
                <w:color w:val="000000"/>
                <w:sz w:val="16"/>
                <w:szCs w:val="16"/>
              </w:rPr>
              <w:t>Depreciation and amortization</w:t>
            </w:r>
          </w:p>
        </w:tc>
        <w:tc>
          <w:tcPr>
            <w:tcW w:w="0" w:type="auto"/>
            <w:gridSpan w:val="3"/>
            <w:tcMar>
              <w:top w:w="0" w:type="dxa"/>
              <w:left w:w="20" w:type="dxa"/>
              <w:bottom w:w="0" w:type="dxa"/>
              <w:right w:w="20" w:type="dxa"/>
            </w:tcMar>
            <w:vAlign w:val="center"/>
            <w:hideMark/>
          </w:tcPr>
          <w:p w:rsidR="00000000" w:rsidRDefault="001F1FC8">
            <w:pPr>
              <w:rPr>
                <w:rFonts w:eastAsia="Times New Roman"/>
              </w:rPr>
            </w:pPr>
          </w:p>
        </w:tc>
        <w:tc>
          <w:tcPr>
            <w:tcW w:w="0" w:type="auto"/>
            <w:gridSpan w:val="3"/>
            <w:tcMar>
              <w:top w:w="0" w:type="dxa"/>
              <w:left w:w="20" w:type="dxa"/>
              <w:bottom w:w="0" w:type="dxa"/>
              <w:right w:w="20" w:type="dxa"/>
            </w:tcMar>
            <w:vAlign w:val="center"/>
            <w:hideMark/>
          </w:tcPr>
          <w:p w:rsidR="00000000" w:rsidRDefault="001F1FC8">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1F1FC8">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1F1FC8">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1F1FC8">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1F1FC8">
            <w:pPr>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(3,391)</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r>
      <w:tr w:rsidR="00000000">
        <w:trPr>
          <w:divId w:val="1337264103"/>
        </w:trPr>
        <w:tc>
          <w:tcPr>
            <w:tcW w:w="0" w:type="auto"/>
            <w:gridSpan w:val="3"/>
            <w:tcMar>
              <w:top w:w="30" w:type="dxa"/>
              <w:left w:w="20" w:type="dxa"/>
              <w:bottom w:w="30" w:type="dxa"/>
              <w:right w:w="20" w:type="dxa"/>
            </w:tcMar>
            <w:vAlign w:val="bottom"/>
            <w:hideMark/>
          </w:tcPr>
          <w:p w:rsidR="00000000" w:rsidRDefault="001F1FC8">
            <w:pPr>
              <w:rPr>
                <w:rFonts w:eastAsia="Times New Roman"/>
              </w:rPr>
            </w:pPr>
            <w:r>
              <w:rPr>
                <w:rFonts w:ascii="Arial" w:eastAsia="Times New Roman" w:hAnsi="Arial" w:cs="Arial"/>
                <w:color w:val="000000"/>
                <w:sz w:val="16"/>
                <w:szCs w:val="16"/>
              </w:rPr>
              <w:t>Interest expense</w:t>
            </w:r>
          </w:p>
        </w:tc>
        <w:tc>
          <w:tcPr>
            <w:tcW w:w="0" w:type="auto"/>
            <w:gridSpan w:val="3"/>
            <w:tcMar>
              <w:top w:w="0" w:type="dxa"/>
              <w:left w:w="20" w:type="dxa"/>
              <w:bottom w:w="0" w:type="dxa"/>
              <w:right w:w="20" w:type="dxa"/>
            </w:tcMar>
            <w:vAlign w:val="center"/>
            <w:hideMark/>
          </w:tcPr>
          <w:p w:rsidR="00000000" w:rsidRDefault="001F1FC8">
            <w:pPr>
              <w:rPr>
                <w:rFonts w:eastAsia="Times New Roman"/>
              </w:rPr>
            </w:pPr>
          </w:p>
        </w:tc>
        <w:tc>
          <w:tcPr>
            <w:tcW w:w="0" w:type="auto"/>
            <w:gridSpan w:val="3"/>
            <w:tcMar>
              <w:top w:w="0" w:type="dxa"/>
              <w:left w:w="20" w:type="dxa"/>
              <w:bottom w:w="0" w:type="dxa"/>
              <w:right w:w="20" w:type="dxa"/>
            </w:tcMar>
            <w:vAlign w:val="center"/>
            <w:hideMark/>
          </w:tcPr>
          <w:p w:rsidR="00000000" w:rsidRDefault="001F1FC8">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1F1FC8">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1F1FC8">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1F1FC8">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1F1FC8">
            <w:pPr>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w:t>
            </w:r>
            <w:r>
              <w:rPr>
                <w:rFonts w:ascii="Arial" w:eastAsia="Times New Roman" w:hAnsi="Arial" w:cs="Arial"/>
                <w:color w:val="000000"/>
                <w:sz w:val="16"/>
                <w:szCs w:val="16"/>
              </w:rPr>
              <w:t>2,663)</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r>
      <w:tr w:rsidR="00000000">
        <w:trPr>
          <w:divId w:val="1337264103"/>
        </w:trPr>
        <w:tc>
          <w:tcPr>
            <w:tcW w:w="0" w:type="auto"/>
            <w:gridSpan w:val="3"/>
            <w:tcMar>
              <w:top w:w="30" w:type="dxa"/>
              <w:left w:w="20" w:type="dxa"/>
              <w:bottom w:w="30" w:type="dxa"/>
              <w:right w:w="20" w:type="dxa"/>
            </w:tcMar>
            <w:vAlign w:val="bottom"/>
            <w:hideMark/>
          </w:tcPr>
          <w:p w:rsidR="00000000" w:rsidRDefault="001F1FC8">
            <w:pPr>
              <w:rPr>
                <w:rFonts w:eastAsia="Times New Roman"/>
              </w:rPr>
            </w:pPr>
            <w:r>
              <w:rPr>
                <w:rFonts w:ascii="Arial" w:eastAsia="Times New Roman" w:hAnsi="Arial" w:cs="Arial"/>
                <w:color w:val="000000"/>
                <w:sz w:val="16"/>
                <w:szCs w:val="16"/>
              </w:rPr>
              <w:t>Income tax expense</w:t>
            </w:r>
          </w:p>
        </w:tc>
        <w:tc>
          <w:tcPr>
            <w:tcW w:w="0" w:type="auto"/>
            <w:gridSpan w:val="3"/>
            <w:tcMar>
              <w:top w:w="0" w:type="dxa"/>
              <w:left w:w="20" w:type="dxa"/>
              <w:bottom w:w="0" w:type="dxa"/>
              <w:right w:w="20" w:type="dxa"/>
            </w:tcMar>
            <w:vAlign w:val="center"/>
            <w:hideMark/>
          </w:tcPr>
          <w:p w:rsidR="00000000" w:rsidRDefault="001F1FC8">
            <w:pPr>
              <w:rPr>
                <w:rFonts w:eastAsia="Times New Roman"/>
              </w:rPr>
            </w:pPr>
          </w:p>
        </w:tc>
        <w:tc>
          <w:tcPr>
            <w:tcW w:w="0" w:type="auto"/>
            <w:gridSpan w:val="3"/>
            <w:tcMar>
              <w:top w:w="0" w:type="dxa"/>
              <w:left w:w="20" w:type="dxa"/>
              <w:bottom w:w="0" w:type="dxa"/>
              <w:right w:w="20" w:type="dxa"/>
            </w:tcMar>
            <w:vAlign w:val="center"/>
            <w:hideMark/>
          </w:tcPr>
          <w:p w:rsidR="00000000" w:rsidRDefault="001F1FC8">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1F1FC8">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1F1FC8">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1F1FC8">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1F1FC8">
            <w:pPr>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(1,708)</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r>
      <w:tr w:rsidR="00000000">
        <w:trPr>
          <w:divId w:val="1337264103"/>
        </w:trPr>
        <w:tc>
          <w:tcPr>
            <w:tcW w:w="0" w:type="auto"/>
            <w:gridSpan w:val="3"/>
            <w:tcBorders>
              <w:top w:val="single" w:sz="4" w:space="0" w:color="000000"/>
            </w:tcBorders>
            <w:tcMar>
              <w:top w:w="30" w:type="dxa"/>
              <w:left w:w="20" w:type="dxa"/>
              <w:bottom w:w="30" w:type="dxa"/>
              <w:right w:w="20" w:type="dxa"/>
            </w:tcMar>
            <w:vAlign w:val="bottom"/>
            <w:hideMark/>
          </w:tcPr>
          <w:p w:rsidR="00000000" w:rsidRDefault="001F1FC8">
            <w:pPr>
              <w:rPr>
                <w:rFonts w:eastAsia="Times New Roman"/>
              </w:rPr>
            </w:pPr>
            <w:r>
              <w:rPr>
                <w:rFonts w:ascii="Arial" w:eastAsia="Times New Roman" w:hAnsi="Arial" w:cs="Arial"/>
                <w:color w:val="000000"/>
                <w:sz w:val="16"/>
                <w:szCs w:val="16"/>
              </w:rPr>
              <w:t>Earnings</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1F1FC8">
            <w:pPr>
              <w:rPr>
                <w:rFonts w:eastAsia="Times New Roman"/>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1F1FC8">
            <w:pPr>
              <w:rPr>
                <w:rFonts w:eastAsia="Times New Roman"/>
                <w:sz w:val="20"/>
                <w:szCs w:val="20"/>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1F1FC8">
            <w:pPr>
              <w:rPr>
                <w:rFonts w:eastAsia="Times New Roman"/>
                <w:sz w:val="20"/>
                <w:szCs w:val="20"/>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1F1FC8">
            <w:pPr>
              <w:rPr>
                <w:rFonts w:eastAsia="Times New Roman"/>
                <w:sz w:val="20"/>
                <w:szCs w:val="20"/>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1F1FC8">
            <w:pPr>
              <w:rPr>
                <w:rFonts w:eastAsia="Times New Roman"/>
                <w:sz w:val="20"/>
                <w:szCs w:val="20"/>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1F1FC8">
            <w:pPr>
              <w:rPr>
                <w:rFonts w:eastAsia="Times New Roman"/>
                <w:sz w:val="20"/>
                <w:szCs w:val="20"/>
              </w:rPr>
            </w:pPr>
          </w:p>
        </w:tc>
        <w:tc>
          <w:tcPr>
            <w:tcW w:w="0" w:type="auto"/>
            <w:gridSpan w:val="2"/>
            <w:tcBorders>
              <w:top w:val="single" w:sz="4" w:space="0" w:color="000000"/>
            </w:tcBorders>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5,827 </w:t>
            </w:r>
          </w:p>
        </w:tc>
        <w:tc>
          <w:tcPr>
            <w:tcW w:w="0" w:type="auto"/>
            <w:tcBorders>
              <w:top w:val="single" w:sz="4" w:space="0" w:color="000000"/>
            </w:tcBorders>
            <w:tcMar>
              <w:top w:w="30" w:type="dxa"/>
              <w:left w:w="0" w:type="dxa"/>
              <w:bottom w:w="30" w:type="dxa"/>
              <w:right w:w="20" w:type="dxa"/>
            </w:tcMar>
            <w:vAlign w:val="bottom"/>
            <w:hideMark/>
          </w:tcPr>
          <w:p w:rsidR="00000000" w:rsidRDefault="001F1FC8">
            <w:pPr>
              <w:jc w:val="right"/>
              <w:rPr>
                <w:rFonts w:eastAsia="Times New Roman"/>
              </w:rPr>
            </w:pPr>
          </w:p>
        </w:tc>
      </w:tr>
      <w:tr w:rsidR="00000000">
        <w:trPr>
          <w:divId w:val="1337264103"/>
        </w:trPr>
        <w:tc>
          <w:tcPr>
            <w:tcW w:w="0" w:type="auto"/>
            <w:gridSpan w:val="3"/>
            <w:tcBorders>
              <w:top w:val="single" w:sz="8" w:space="0" w:color="000000"/>
            </w:tcBorders>
            <w:tcMar>
              <w:top w:w="30" w:type="dxa"/>
              <w:left w:w="20" w:type="dxa"/>
              <w:bottom w:w="30" w:type="dxa"/>
              <w:right w:w="20" w:type="dxa"/>
            </w:tcMar>
            <w:vAlign w:val="bottom"/>
            <w:hideMark/>
          </w:tcPr>
          <w:p w:rsidR="00000000" w:rsidRDefault="001F1FC8">
            <w:pPr>
              <w:divId w:val="1464035968"/>
              <w:rPr>
                <w:rFonts w:eastAsia="Times New Roman"/>
              </w:rPr>
            </w:pPr>
            <w:r>
              <w:rPr>
                <w:rFonts w:ascii="Arial" w:eastAsia="Times New Roman" w:hAnsi="Arial" w:cs="Arial"/>
                <w:color w:val="000000"/>
                <w:sz w:val="16"/>
                <w:szCs w:val="16"/>
              </w:rPr>
              <w:t>Capital expenditure</w:t>
            </w:r>
            <w:r>
              <w:rPr>
                <w:rFonts w:ascii="Arial" w:eastAsia="Times New Roman" w:hAnsi="Arial" w:cs="Arial"/>
                <w:color w:val="000000"/>
                <w:sz w:val="16"/>
                <w:szCs w:val="16"/>
              </w:rPr>
              <w:t>s</w:t>
            </w:r>
            <w:r>
              <w:rPr>
                <w:rFonts w:ascii="Arial" w:eastAsia="Times New Roman" w:hAnsi="Arial" w:cs="Arial"/>
                <w:color w:val="000000"/>
                <w:sz w:val="10"/>
                <w:szCs w:val="10"/>
              </w:rPr>
              <w:t>1</w:t>
            </w: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2,548 </w:t>
            </w:r>
          </w:p>
        </w:tc>
        <w:tc>
          <w:tcPr>
            <w:tcW w:w="0" w:type="auto"/>
            <w:tcBorders>
              <w:top w:val="single" w:sz="8" w:space="0" w:color="000000"/>
            </w:tcBorders>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1,753 </w:t>
            </w:r>
          </w:p>
        </w:tc>
        <w:tc>
          <w:tcPr>
            <w:tcW w:w="0" w:type="auto"/>
            <w:tcBorders>
              <w:top w:val="single" w:sz="8" w:space="0" w:color="000000"/>
            </w:tcBorders>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1,100 </w:t>
            </w:r>
          </w:p>
        </w:tc>
        <w:tc>
          <w:tcPr>
            <w:tcW w:w="0" w:type="auto"/>
            <w:tcBorders>
              <w:top w:val="single" w:sz="8" w:space="0" w:color="000000"/>
            </w:tcBorders>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23 </w:t>
            </w:r>
          </w:p>
        </w:tc>
        <w:tc>
          <w:tcPr>
            <w:tcW w:w="0" w:type="auto"/>
            <w:tcBorders>
              <w:top w:val="single" w:sz="8" w:space="0" w:color="000000"/>
            </w:tcBorders>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2 </w:t>
            </w:r>
          </w:p>
        </w:tc>
        <w:tc>
          <w:tcPr>
            <w:tcW w:w="0" w:type="auto"/>
            <w:tcBorders>
              <w:top w:val="single" w:sz="8" w:space="0" w:color="000000"/>
            </w:tcBorders>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124 </w:t>
            </w:r>
          </w:p>
        </w:tc>
        <w:tc>
          <w:tcPr>
            <w:tcW w:w="0" w:type="auto"/>
            <w:tcBorders>
              <w:top w:val="single" w:sz="8" w:space="0" w:color="000000"/>
            </w:tcBorders>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5,550 </w:t>
            </w:r>
          </w:p>
        </w:tc>
        <w:tc>
          <w:tcPr>
            <w:tcW w:w="0" w:type="auto"/>
            <w:tcBorders>
              <w:top w:val="single" w:sz="8" w:space="0" w:color="000000"/>
            </w:tcBorders>
            <w:tcMar>
              <w:top w:w="30" w:type="dxa"/>
              <w:left w:w="0" w:type="dxa"/>
              <w:bottom w:w="30" w:type="dxa"/>
              <w:right w:w="20" w:type="dxa"/>
            </w:tcMar>
            <w:vAlign w:val="bottom"/>
            <w:hideMark/>
          </w:tcPr>
          <w:p w:rsidR="00000000" w:rsidRDefault="001F1FC8">
            <w:pPr>
              <w:jc w:val="right"/>
              <w:rPr>
                <w:rFonts w:eastAsia="Times New Roman"/>
              </w:rPr>
            </w:pPr>
          </w:p>
        </w:tc>
      </w:tr>
      <w:tr w:rsidR="00000000">
        <w:trPr>
          <w:divId w:val="1337264103"/>
        </w:trPr>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1F1FC8">
            <w:pPr>
              <w:rPr>
                <w:rFonts w:eastAsia="Times New Roman"/>
              </w:rPr>
            </w:pPr>
            <w:r>
              <w:rPr>
                <w:rFonts w:ascii="Arial" w:eastAsia="Times New Roman" w:hAnsi="Arial" w:cs="Arial"/>
                <w:color w:val="000000"/>
                <w:sz w:val="16"/>
                <w:szCs w:val="16"/>
              </w:rPr>
              <w:t>Total property, plant and equipment, net</w:t>
            </w:r>
          </w:p>
        </w:tc>
        <w:tc>
          <w:tcPr>
            <w:tcW w:w="0" w:type="auto"/>
            <w:gridSpan w:val="2"/>
            <w:tcBorders>
              <w:top w:val="single" w:sz="8" w:space="0" w:color="000000"/>
              <w:bottom w:val="single" w:sz="8" w:space="0" w:color="000000"/>
            </w:tcBorders>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48,783 </w:t>
            </w:r>
          </w:p>
        </w:tc>
        <w:tc>
          <w:tcPr>
            <w:tcW w:w="0" w:type="auto"/>
            <w:tcBorders>
              <w:top w:val="single" w:sz="8" w:space="0" w:color="000000"/>
              <w:bottom w:val="single" w:sz="8" w:space="0" w:color="000000"/>
            </w:tcBorders>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Borders>
              <w:top w:val="single" w:sz="8" w:space="0" w:color="000000"/>
              <w:bottom w:val="single" w:sz="8" w:space="0" w:color="000000"/>
            </w:tcBorders>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25,268 </w:t>
            </w:r>
          </w:p>
        </w:tc>
        <w:tc>
          <w:tcPr>
            <w:tcW w:w="0" w:type="auto"/>
            <w:tcBorders>
              <w:top w:val="single" w:sz="8" w:space="0" w:color="000000"/>
              <w:bottom w:val="single" w:sz="8" w:space="0" w:color="000000"/>
            </w:tcBorders>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Borders>
              <w:top w:val="single" w:sz="8" w:space="0" w:color="000000"/>
              <w:bottom w:val="single" w:sz="8" w:space="0" w:color="000000"/>
            </w:tcBorders>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15,622 </w:t>
            </w:r>
          </w:p>
        </w:tc>
        <w:tc>
          <w:tcPr>
            <w:tcW w:w="0" w:type="auto"/>
            <w:tcBorders>
              <w:top w:val="single" w:sz="8" w:space="0" w:color="000000"/>
              <w:bottom w:val="single" w:sz="8" w:space="0" w:color="000000"/>
            </w:tcBorders>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Borders>
              <w:top w:val="single" w:sz="8" w:space="0" w:color="000000"/>
              <w:bottom w:val="single" w:sz="8" w:space="0" w:color="000000"/>
            </w:tcBorders>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3,658 </w:t>
            </w:r>
          </w:p>
        </w:tc>
        <w:tc>
          <w:tcPr>
            <w:tcW w:w="0" w:type="auto"/>
            <w:tcBorders>
              <w:top w:val="single" w:sz="8" w:space="0" w:color="000000"/>
              <w:bottom w:val="single" w:sz="8" w:space="0" w:color="000000"/>
            </w:tcBorders>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Borders>
              <w:top w:val="single" w:sz="8" w:space="0" w:color="000000"/>
              <w:bottom w:val="single" w:sz="8" w:space="0" w:color="000000"/>
            </w:tcBorders>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24 </w:t>
            </w:r>
          </w:p>
        </w:tc>
        <w:tc>
          <w:tcPr>
            <w:tcW w:w="0" w:type="auto"/>
            <w:tcBorders>
              <w:top w:val="single" w:sz="8" w:space="0" w:color="000000"/>
              <w:bottom w:val="single" w:sz="8" w:space="0" w:color="000000"/>
            </w:tcBorders>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Borders>
              <w:top w:val="single" w:sz="8" w:space="0" w:color="000000"/>
              <w:bottom w:val="single" w:sz="8" w:space="0" w:color="000000"/>
            </w:tcBorders>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368 </w:t>
            </w:r>
          </w:p>
        </w:tc>
        <w:tc>
          <w:tcPr>
            <w:tcW w:w="0" w:type="auto"/>
            <w:tcBorders>
              <w:top w:val="single" w:sz="8" w:space="0" w:color="000000"/>
              <w:bottom w:val="single" w:sz="8" w:space="0" w:color="000000"/>
            </w:tcBorders>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Borders>
              <w:top w:val="single" w:sz="8" w:space="0" w:color="000000"/>
              <w:bottom w:val="single" w:sz="8" w:space="0" w:color="000000"/>
            </w:tcBorders>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93,723 </w:t>
            </w:r>
          </w:p>
        </w:tc>
        <w:tc>
          <w:tcPr>
            <w:tcW w:w="0" w:type="auto"/>
            <w:tcBorders>
              <w:top w:val="single" w:sz="8" w:space="0" w:color="000000"/>
              <w:bottom w:val="single" w:sz="8" w:space="0" w:color="000000"/>
            </w:tcBorders>
            <w:tcMar>
              <w:top w:w="30" w:type="dxa"/>
              <w:left w:w="0" w:type="dxa"/>
              <w:bottom w:w="30" w:type="dxa"/>
              <w:right w:w="20" w:type="dxa"/>
            </w:tcMar>
            <w:vAlign w:val="bottom"/>
            <w:hideMark/>
          </w:tcPr>
          <w:p w:rsidR="00000000" w:rsidRDefault="001F1FC8">
            <w:pPr>
              <w:jc w:val="right"/>
              <w:rPr>
                <w:rFonts w:eastAsia="Times New Roman"/>
              </w:rPr>
            </w:pPr>
          </w:p>
        </w:tc>
      </w:tr>
    </w:tbl>
    <w:p w:rsidR="00000000" w:rsidRDefault="001F1FC8">
      <w:pPr>
        <w:ind w:hanging="180"/>
        <w:jc w:val="both"/>
        <w:rPr>
          <w:rFonts w:eastAsia="Times New Roman"/>
        </w:rPr>
      </w:pPr>
      <w:r>
        <w:rPr>
          <w:rFonts w:ascii="Arial" w:eastAsia="Times New Roman" w:hAnsi="Arial" w:cs="Arial"/>
          <w:i/>
          <w:iCs/>
          <w:color w:val="000000"/>
          <w:sz w:val="16"/>
          <w:szCs w:val="16"/>
        </w:rPr>
        <w:t>1Includes allowance for equity funds used during construction.</w:t>
      </w:r>
    </w:p>
    <w:p w:rsidR="00000000" w:rsidRDefault="001F1FC8">
      <w:pPr>
        <w:divId w:val="815806792"/>
        <w:rPr>
          <w:rFonts w:eastAsia="Times New Roman"/>
        </w:rPr>
      </w:pPr>
    </w:p>
    <w:p w:rsidR="00000000" w:rsidRDefault="001F1FC8">
      <w:pPr>
        <w:divId w:val="614948757"/>
        <w:rPr>
          <w:rFonts w:eastAsia="Times New Roman"/>
        </w:rPr>
      </w:pPr>
      <w:r>
        <w:rPr>
          <w:rFonts w:ascii="Arial" w:eastAsia="Times New Roman" w:hAnsi="Arial" w:cs="Arial"/>
          <w:color w:val="000000"/>
          <w:sz w:val="20"/>
          <w:szCs w:val="20"/>
        </w:rPr>
        <w:t xml:space="preserve">The measurement basis for preparation of segmented information is consistent with the significant accounting policies </w:t>
      </w:r>
      <w:r>
        <w:rPr>
          <w:rFonts w:ascii="Arial" w:eastAsia="Times New Roman" w:hAnsi="Arial" w:cs="Arial"/>
          <w:i/>
          <w:iCs/>
          <w:color w:val="000000"/>
          <w:sz w:val="16"/>
          <w:szCs w:val="16"/>
        </w:rPr>
        <w:t>(Not</w:t>
      </w:r>
      <w:r>
        <w:rPr>
          <w:rFonts w:ascii="Arial" w:eastAsia="Times New Roman" w:hAnsi="Arial" w:cs="Arial"/>
          <w:i/>
          <w:iCs/>
          <w:color w:val="000000"/>
          <w:sz w:val="16"/>
          <w:szCs w:val="16"/>
        </w:rPr>
        <w:t>e 2)</w:t>
      </w:r>
      <w:r>
        <w:rPr>
          <w:rFonts w:ascii="Arial" w:eastAsia="Times New Roman" w:hAnsi="Arial" w:cs="Arial"/>
          <w:color w:val="000000"/>
          <w:sz w:val="20"/>
          <w:szCs w:val="20"/>
        </w:rPr>
        <w:t>.</w:t>
      </w:r>
    </w:p>
    <w:p w:rsidR="00000000" w:rsidRDefault="001F1FC8">
      <w:pPr>
        <w:divId w:val="1943150407"/>
        <w:rPr>
          <w:rFonts w:eastAsia="Times New Roman"/>
        </w:rPr>
      </w:pPr>
    </w:p>
    <w:p w:rsidR="00000000" w:rsidRDefault="001F1FC8">
      <w:pPr>
        <w:divId w:val="10499063"/>
        <w:rPr>
          <w:rFonts w:eastAsia="Times New Roman"/>
        </w:rPr>
      </w:pPr>
      <w:r>
        <w:rPr>
          <w:rFonts w:ascii="Arial" w:eastAsia="Times New Roman" w:hAnsi="Arial" w:cs="Arial"/>
          <w:b/>
          <w:bCs/>
          <w:color w:val="000000"/>
          <w:sz w:val="20"/>
          <w:szCs w:val="20"/>
        </w:rPr>
        <w:t>GEOGRAPHIC INFORMATION</w:t>
      </w:r>
    </w:p>
    <w:p w:rsidR="00000000" w:rsidRDefault="001F1FC8">
      <w:pPr>
        <w:divId w:val="465390553"/>
        <w:rPr>
          <w:rFonts w:eastAsia="Times New Roman"/>
        </w:rPr>
      </w:pPr>
      <w:r>
        <w:rPr>
          <w:rFonts w:ascii="Arial" w:eastAsia="Times New Roman" w:hAnsi="Arial" w:cs="Arial"/>
          <w:b/>
          <w:bCs/>
          <w:color w:val="000000"/>
          <w:sz w:val="20"/>
          <w:szCs w:val="20"/>
        </w:rPr>
        <w:t>Revenue</w:t>
      </w:r>
      <w:r>
        <w:rPr>
          <w:rFonts w:ascii="Arial" w:eastAsia="Times New Roman" w:hAnsi="Arial" w:cs="Arial"/>
          <w:b/>
          <w:bCs/>
          <w:color w:val="000000"/>
          <w:sz w:val="20"/>
          <w:szCs w:val="20"/>
        </w:rPr>
        <w:t>s</w:t>
      </w:r>
      <w:r>
        <w:rPr>
          <w:rFonts w:ascii="Arial" w:eastAsia="Times New Roman" w:hAnsi="Arial" w:cs="Arial"/>
          <w:color w:val="000000"/>
          <w:sz w:val="10"/>
          <w:szCs w:val="10"/>
        </w:rPr>
        <w:t>1</w:t>
      </w:r>
    </w:p>
    <w:tbl>
      <w:tblPr>
        <w:tblW w:w="5000" w:type="pct"/>
        <w:tblCellMar>
          <w:top w:w="15" w:type="dxa"/>
          <w:left w:w="15" w:type="dxa"/>
          <w:bottom w:w="15" w:type="dxa"/>
          <w:right w:w="15" w:type="dxa"/>
        </w:tblCellMar>
        <w:tblLook w:val="04A0" w:firstRow="1" w:lastRow="0" w:firstColumn="1" w:lastColumn="0" w:noHBand="0" w:noVBand="1"/>
      </w:tblPr>
      <w:tblGrid>
        <w:gridCol w:w="69"/>
        <w:gridCol w:w="5446"/>
        <w:gridCol w:w="36"/>
        <w:gridCol w:w="69"/>
        <w:gridCol w:w="812"/>
        <w:gridCol w:w="36"/>
        <w:gridCol w:w="69"/>
        <w:gridCol w:w="813"/>
        <w:gridCol w:w="36"/>
        <w:gridCol w:w="70"/>
        <w:gridCol w:w="814"/>
        <w:gridCol w:w="36"/>
      </w:tblGrid>
      <w:tr w:rsidR="00000000">
        <w:trPr>
          <w:divId w:val="266039289"/>
        </w:trPr>
        <w:tc>
          <w:tcPr>
            <w:tcW w:w="50" w:type="pct"/>
            <w:vAlign w:val="center"/>
            <w:hideMark/>
          </w:tcPr>
          <w:p w:rsidR="00000000" w:rsidRDefault="001F1FC8">
            <w:pPr>
              <w:rPr>
                <w:rFonts w:eastAsia="Times New Roman"/>
              </w:rPr>
            </w:pPr>
          </w:p>
        </w:tc>
        <w:tc>
          <w:tcPr>
            <w:tcW w:w="3286"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c>
          <w:tcPr>
            <w:tcW w:w="50" w:type="pct"/>
            <w:vAlign w:val="center"/>
            <w:hideMark/>
          </w:tcPr>
          <w:p w:rsidR="00000000" w:rsidRDefault="001F1FC8">
            <w:pPr>
              <w:rPr>
                <w:rFonts w:eastAsia="Times New Roman"/>
                <w:sz w:val="20"/>
                <w:szCs w:val="20"/>
              </w:rPr>
            </w:pPr>
          </w:p>
        </w:tc>
        <w:tc>
          <w:tcPr>
            <w:tcW w:w="497"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c>
          <w:tcPr>
            <w:tcW w:w="50" w:type="pct"/>
            <w:vAlign w:val="center"/>
            <w:hideMark/>
          </w:tcPr>
          <w:p w:rsidR="00000000" w:rsidRDefault="001F1FC8">
            <w:pPr>
              <w:rPr>
                <w:rFonts w:eastAsia="Times New Roman"/>
                <w:sz w:val="20"/>
                <w:szCs w:val="20"/>
              </w:rPr>
            </w:pPr>
          </w:p>
        </w:tc>
        <w:tc>
          <w:tcPr>
            <w:tcW w:w="497"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c>
          <w:tcPr>
            <w:tcW w:w="50" w:type="pct"/>
            <w:vAlign w:val="center"/>
            <w:hideMark/>
          </w:tcPr>
          <w:p w:rsidR="00000000" w:rsidRDefault="001F1FC8">
            <w:pPr>
              <w:rPr>
                <w:rFonts w:eastAsia="Times New Roman"/>
                <w:sz w:val="20"/>
                <w:szCs w:val="20"/>
              </w:rPr>
            </w:pPr>
          </w:p>
        </w:tc>
        <w:tc>
          <w:tcPr>
            <w:tcW w:w="498"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r>
      <w:tr w:rsidR="00000000">
        <w:trPr>
          <w:divId w:val="266039289"/>
        </w:trPr>
        <w:tc>
          <w:tcPr>
            <w:tcW w:w="0" w:type="auto"/>
            <w:gridSpan w:val="3"/>
            <w:tcMar>
              <w:top w:w="30" w:type="dxa"/>
              <w:left w:w="20" w:type="dxa"/>
              <w:bottom w:w="30" w:type="dxa"/>
              <w:right w:w="20" w:type="dxa"/>
            </w:tcMar>
            <w:vAlign w:val="center"/>
            <w:hideMark/>
          </w:tcPr>
          <w:p w:rsidR="00000000" w:rsidRDefault="001F1FC8">
            <w:pPr>
              <w:rPr>
                <w:rFonts w:eastAsia="Times New Roman"/>
              </w:rPr>
            </w:pPr>
            <w:r>
              <w:rPr>
                <w:rFonts w:ascii="Arial" w:eastAsia="Times New Roman" w:hAnsi="Arial" w:cs="Arial"/>
                <w:color w:val="000000"/>
                <w:sz w:val="20"/>
                <w:szCs w:val="20"/>
              </w:rPr>
              <w:t>Year ended December 31,</w:t>
            </w:r>
          </w:p>
        </w:tc>
        <w:tc>
          <w:tcPr>
            <w:tcW w:w="0" w:type="auto"/>
            <w:gridSpan w:val="3"/>
            <w:tcMar>
              <w:top w:w="30" w:type="dxa"/>
              <w:left w:w="20" w:type="dxa"/>
              <w:bottom w:w="30" w:type="dxa"/>
              <w:right w:w="20" w:type="dxa"/>
            </w:tcMar>
            <w:vAlign w:val="center"/>
            <w:hideMark/>
          </w:tcPr>
          <w:p w:rsidR="00000000" w:rsidRDefault="001F1FC8">
            <w:pPr>
              <w:jc w:val="right"/>
              <w:rPr>
                <w:rFonts w:eastAsia="Times New Roman"/>
              </w:rPr>
            </w:pPr>
            <w:r>
              <w:rPr>
                <w:rFonts w:ascii="Arial" w:eastAsia="Times New Roman" w:hAnsi="Arial" w:cs="Arial"/>
                <w:b/>
                <w:bCs/>
                <w:color w:val="000000"/>
                <w:sz w:val="20"/>
                <w:szCs w:val="20"/>
              </w:rPr>
              <w:t>2021</w:t>
            </w:r>
          </w:p>
        </w:tc>
        <w:tc>
          <w:tcPr>
            <w:tcW w:w="0" w:type="auto"/>
            <w:gridSpan w:val="3"/>
            <w:tcMar>
              <w:top w:w="30" w:type="dxa"/>
              <w:left w:w="20" w:type="dxa"/>
              <w:bottom w:w="30" w:type="dxa"/>
              <w:right w:w="20" w:type="dxa"/>
            </w:tcMar>
            <w:vAlign w:val="center"/>
            <w:hideMark/>
          </w:tcPr>
          <w:p w:rsidR="00000000" w:rsidRDefault="001F1FC8">
            <w:pPr>
              <w:jc w:val="right"/>
              <w:rPr>
                <w:rFonts w:eastAsia="Times New Roman"/>
              </w:rPr>
            </w:pPr>
            <w:r>
              <w:rPr>
                <w:rFonts w:ascii="Arial" w:eastAsia="Times New Roman" w:hAnsi="Arial" w:cs="Arial"/>
                <w:color w:val="000000"/>
                <w:sz w:val="20"/>
                <w:szCs w:val="20"/>
              </w:rPr>
              <w:t>2020</w:t>
            </w:r>
          </w:p>
        </w:tc>
        <w:tc>
          <w:tcPr>
            <w:tcW w:w="0" w:type="auto"/>
            <w:gridSpan w:val="3"/>
            <w:tcMar>
              <w:top w:w="30" w:type="dxa"/>
              <w:left w:w="20" w:type="dxa"/>
              <w:bottom w:w="30" w:type="dxa"/>
              <w:right w:w="20" w:type="dxa"/>
            </w:tcMar>
            <w:vAlign w:val="center"/>
            <w:hideMark/>
          </w:tcPr>
          <w:p w:rsidR="00000000" w:rsidRDefault="001F1FC8">
            <w:pPr>
              <w:jc w:val="right"/>
              <w:rPr>
                <w:rFonts w:eastAsia="Times New Roman"/>
              </w:rPr>
            </w:pPr>
            <w:r>
              <w:rPr>
                <w:rFonts w:ascii="Arial" w:eastAsia="Times New Roman" w:hAnsi="Arial" w:cs="Arial"/>
                <w:color w:val="000000"/>
                <w:sz w:val="20"/>
                <w:szCs w:val="20"/>
              </w:rPr>
              <w:t>2019</w:t>
            </w:r>
          </w:p>
        </w:tc>
      </w:tr>
      <w:tr w:rsidR="00000000">
        <w:trPr>
          <w:divId w:val="266039289"/>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1F1FC8">
            <w:pPr>
              <w:rPr>
                <w:rFonts w:eastAsia="Times New Roman"/>
              </w:rPr>
            </w:pPr>
            <w:r>
              <w:rPr>
                <w:rFonts w:ascii="Arial" w:eastAsia="Times New Roman" w:hAnsi="Arial" w:cs="Arial"/>
                <w:i/>
                <w:iCs/>
                <w:color w:val="000000"/>
                <w:sz w:val="16"/>
                <w:szCs w:val="16"/>
              </w:rPr>
              <w:t>(millions of Canadian dollars)</w:t>
            </w:r>
          </w:p>
        </w:tc>
        <w:tc>
          <w:tcPr>
            <w:tcW w:w="0" w:type="auto"/>
            <w:gridSpan w:val="3"/>
            <w:tcBorders>
              <w:top w:val="single" w:sz="4" w:space="0" w:color="000000"/>
            </w:tcBorders>
            <w:shd w:val="clear" w:color="auto" w:fill="D9D9D9"/>
            <w:tcMar>
              <w:top w:w="30" w:type="dxa"/>
              <w:left w:w="20" w:type="dxa"/>
              <w:bottom w:w="30" w:type="dxa"/>
              <w:right w:w="20" w:type="dxa"/>
            </w:tcMar>
            <w:vAlign w:val="center"/>
            <w:hideMark/>
          </w:tcPr>
          <w:p w:rsidR="00000000" w:rsidRDefault="001F1FC8">
            <w:pPr>
              <w:rPr>
                <w:rFonts w:eastAsia="Times New Roman"/>
              </w:rPr>
            </w:pPr>
            <w:r>
              <w:rPr>
                <w:rFonts w:ascii="Arial" w:eastAsia="Times New Roman" w:hAnsi="Arial" w:cs="Arial"/>
                <w:color w:val="000000"/>
                <w:sz w:val="2"/>
                <w:szCs w:val="2"/>
              </w:rPr>
              <w:t> </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1F1FC8">
            <w:pPr>
              <w:rPr>
                <w:rFonts w:eastAsia="Times New Roman"/>
              </w:rPr>
            </w:pPr>
            <w:r>
              <w:rPr>
                <w:rFonts w:ascii="Arial" w:eastAsia="Times New Roman" w:hAnsi="Arial" w:cs="Arial"/>
                <w:color w:val="000000"/>
                <w:sz w:val="2"/>
                <w:szCs w:val="2"/>
              </w:rPr>
              <w:t> </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1F1FC8">
            <w:pPr>
              <w:rPr>
                <w:rFonts w:eastAsia="Times New Roman"/>
              </w:rPr>
            </w:pPr>
            <w:r>
              <w:rPr>
                <w:rFonts w:ascii="Arial" w:eastAsia="Times New Roman" w:hAnsi="Arial" w:cs="Arial"/>
                <w:color w:val="000000"/>
                <w:sz w:val="2"/>
                <w:szCs w:val="2"/>
              </w:rPr>
              <w:t> </w:t>
            </w:r>
          </w:p>
        </w:tc>
      </w:tr>
      <w:tr w:rsidR="00000000">
        <w:trPr>
          <w:divId w:val="266039289"/>
        </w:trPr>
        <w:tc>
          <w:tcPr>
            <w:tcW w:w="0" w:type="auto"/>
            <w:gridSpan w:val="3"/>
            <w:tcMar>
              <w:top w:w="30" w:type="dxa"/>
              <w:left w:w="20" w:type="dxa"/>
              <w:bottom w:w="30" w:type="dxa"/>
              <w:right w:w="20" w:type="dxa"/>
            </w:tcMar>
            <w:vAlign w:val="center"/>
            <w:hideMark/>
          </w:tcPr>
          <w:p w:rsidR="00000000" w:rsidRDefault="001F1FC8">
            <w:pPr>
              <w:rPr>
                <w:rFonts w:eastAsia="Times New Roman"/>
              </w:rPr>
            </w:pPr>
            <w:r>
              <w:rPr>
                <w:rFonts w:ascii="Arial" w:eastAsia="Times New Roman" w:hAnsi="Arial" w:cs="Arial"/>
                <w:color w:val="000000"/>
                <w:sz w:val="20"/>
                <w:szCs w:val="20"/>
              </w:rPr>
              <w:t>Canada</w:t>
            </w:r>
          </w:p>
        </w:tc>
        <w:tc>
          <w:tcPr>
            <w:tcW w:w="0" w:type="auto"/>
            <w:gridSpan w:val="2"/>
            <w:shd w:val="clear" w:color="auto" w:fill="D9D9D9"/>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b/>
                <w:bCs/>
                <w:color w:val="000000"/>
                <w:sz w:val="20"/>
                <w:szCs w:val="20"/>
              </w:rPr>
              <w:t>20,474</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20"/>
                <w:szCs w:val="20"/>
              </w:rPr>
              <w:t>16,453 </w:t>
            </w:r>
          </w:p>
        </w:tc>
        <w:tc>
          <w:tcPr>
            <w:tcW w:w="0" w:type="auto"/>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20"/>
                <w:szCs w:val="20"/>
              </w:rPr>
              <w:t>19,954 </w:t>
            </w:r>
          </w:p>
        </w:tc>
        <w:tc>
          <w:tcPr>
            <w:tcW w:w="0" w:type="auto"/>
            <w:tcMar>
              <w:top w:w="30" w:type="dxa"/>
              <w:left w:w="0" w:type="dxa"/>
              <w:bottom w:w="30" w:type="dxa"/>
              <w:right w:w="20" w:type="dxa"/>
            </w:tcMar>
            <w:vAlign w:val="center"/>
            <w:hideMark/>
          </w:tcPr>
          <w:p w:rsidR="00000000" w:rsidRDefault="001F1FC8">
            <w:pPr>
              <w:jc w:val="right"/>
              <w:rPr>
                <w:rFonts w:eastAsia="Times New Roman"/>
              </w:rPr>
            </w:pPr>
          </w:p>
        </w:tc>
      </w:tr>
      <w:tr w:rsidR="00000000">
        <w:trPr>
          <w:divId w:val="266039289"/>
        </w:trPr>
        <w:tc>
          <w:tcPr>
            <w:tcW w:w="0" w:type="auto"/>
            <w:gridSpan w:val="3"/>
            <w:tcMar>
              <w:top w:w="30" w:type="dxa"/>
              <w:left w:w="20" w:type="dxa"/>
              <w:bottom w:w="30" w:type="dxa"/>
              <w:right w:w="20" w:type="dxa"/>
            </w:tcMar>
            <w:vAlign w:val="center"/>
            <w:hideMark/>
          </w:tcPr>
          <w:p w:rsidR="00000000" w:rsidRDefault="001F1FC8">
            <w:pPr>
              <w:rPr>
                <w:rFonts w:eastAsia="Times New Roman"/>
              </w:rPr>
            </w:pPr>
            <w:r>
              <w:rPr>
                <w:rFonts w:ascii="Arial" w:eastAsia="Times New Roman" w:hAnsi="Arial" w:cs="Arial"/>
                <w:color w:val="000000"/>
                <w:sz w:val="20"/>
                <w:szCs w:val="20"/>
              </w:rPr>
              <w:t>US</w:t>
            </w:r>
          </w:p>
        </w:tc>
        <w:tc>
          <w:tcPr>
            <w:tcW w:w="0" w:type="auto"/>
            <w:gridSpan w:val="2"/>
            <w:shd w:val="clear" w:color="auto" w:fill="D9D9D9"/>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b/>
                <w:bCs/>
                <w:color w:val="000000"/>
                <w:sz w:val="20"/>
                <w:szCs w:val="20"/>
              </w:rPr>
              <w:t>26,597</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20"/>
                <w:szCs w:val="20"/>
              </w:rPr>
              <w:t>22,634 </w:t>
            </w:r>
          </w:p>
        </w:tc>
        <w:tc>
          <w:tcPr>
            <w:tcW w:w="0" w:type="auto"/>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20"/>
                <w:szCs w:val="20"/>
              </w:rPr>
              <w:t>30,115 </w:t>
            </w:r>
          </w:p>
        </w:tc>
        <w:tc>
          <w:tcPr>
            <w:tcW w:w="0" w:type="auto"/>
            <w:tcMar>
              <w:top w:w="30" w:type="dxa"/>
              <w:left w:w="0" w:type="dxa"/>
              <w:bottom w:w="30" w:type="dxa"/>
              <w:right w:w="20" w:type="dxa"/>
            </w:tcMar>
            <w:vAlign w:val="center"/>
            <w:hideMark/>
          </w:tcPr>
          <w:p w:rsidR="00000000" w:rsidRDefault="001F1FC8">
            <w:pPr>
              <w:jc w:val="right"/>
              <w:rPr>
                <w:rFonts w:eastAsia="Times New Roman"/>
              </w:rPr>
            </w:pPr>
          </w:p>
        </w:tc>
      </w:tr>
      <w:tr w:rsidR="00000000">
        <w:trPr>
          <w:divId w:val="266039289"/>
        </w:trPr>
        <w:tc>
          <w:tcPr>
            <w:tcW w:w="0" w:type="auto"/>
            <w:gridSpan w:val="3"/>
            <w:tcBorders>
              <w:top w:val="single" w:sz="4" w:space="0" w:color="000000"/>
              <w:bottom w:val="single" w:sz="8" w:space="0" w:color="000000"/>
            </w:tcBorders>
            <w:tcMar>
              <w:top w:w="30" w:type="dxa"/>
              <w:left w:w="20" w:type="dxa"/>
              <w:bottom w:w="30" w:type="dxa"/>
              <w:right w:w="20" w:type="dxa"/>
            </w:tcMar>
            <w:vAlign w:val="center"/>
            <w:hideMark/>
          </w:tcPr>
          <w:p w:rsidR="00000000" w:rsidRDefault="001F1FC8">
            <w:pPr>
              <w:rPr>
                <w:rFonts w:eastAsia="Times New Roman"/>
              </w:rPr>
            </w:pPr>
            <w:r>
              <w:rPr>
                <w:rFonts w:ascii="Arial" w:eastAsia="Times New Roman" w:hAnsi="Arial" w:cs="Arial"/>
                <w:color w:val="000000"/>
                <w:sz w:val="2"/>
                <w:szCs w:val="2"/>
              </w:rPr>
              <w:t> </w:t>
            </w:r>
          </w:p>
        </w:tc>
        <w:tc>
          <w:tcPr>
            <w:tcW w:w="0" w:type="auto"/>
            <w:gridSpan w:val="2"/>
            <w:tcBorders>
              <w:top w:val="single" w:sz="4" w:space="0" w:color="000000"/>
              <w:bottom w:val="single" w:sz="8" w:space="0" w:color="000000"/>
            </w:tcBorders>
            <w:shd w:val="clear" w:color="auto" w:fill="D9D9D9"/>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b/>
                <w:bCs/>
                <w:color w:val="000000"/>
                <w:sz w:val="20"/>
                <w:szCs w:val="20"/>
              </w:rPr>
              <w:t>47,071</w:t>
            </w:r>
            <w:r>
              <w:rPr>
                <w:rFonts w:ascii="Arial" w:eastAsia="Times New Roman" w:hAnsi="Arial" w:cs="Arial"/>
                <w:color w:val="000000"/>
                <w:sz w:val="20"/>
                <w:szCs w:val="20"/>
              </w:rPr>
              <w:t> </w:t>
            </w:r>
          </w:p>
        </w:tc>
        <w:tc>
          <w:tcPr>
            <w:tcW w:w="0" w:type="auto"/>
            <w:tcBorders>
              <w:top w:val="single" w:sz="4" w:space="0" w:color="000000"/>
              <w:bottom w:val="single" w:sz="8" w:space="0" w:color="000000"/>
            </w:tcBorders>
            <w:shd w:val="clear" w:color="auto" w:fill="D9D9D9"/>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Borders>
              <w:top w:val="single" w:sz="4" w:space="0" w:color="000000"/>
              <w:bottom w:val="single" w:sz="8" w:space="0" w:color="000000"/>
            </w:tcBorders>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20"/>
                <w:szCs w:val="20"/>
              </w:rPr>
              <w:t>39,087 </w:t>
            </w:r>
          </w:p>
        </w:tc>
        <w:tc>
          <w:tcPr>
            <w:tcW w:w="0" w:type="auto"/>
            <w:tcBorders>
              <w:top w:val="single" w:sz="4" w:space="0" w:color="000000"/>
              <w:bottom w:val="single" w:sz="8" w:space="0" w:color="000000"/>
            </w:tcBorders>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Borders>
              <w:top w:val="single" w:sz="4" w:space="0" w:color="000000"/>
              <w:bottom w:val="single" w:sz="8" w:space="0" w:color="000000"/>
            </w:tcBorders>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20"/>
                <w:szCs w:val="20"/>
              </w:rPr>
              <w:t>50,069 </w:t>
            </w:r>
          </w:p>
        </w:tc>
        <w:tc>
          <w:tcPr>
            <w:tcW w:w="0" w:type="auto"/>
            <w:tcBorders>
              <w:top w:val="single" w:sz="4" w:space="0" w:color="000000"/>
              <w:bottom w:val="single" w:sz="8" w:space="0" w:color="000000"/>
            </w:tcBorders>
            <w:tcMar>
              <w:top w:w="30" w:type="dxa"/>
              <w:left w:w="0" w:type="dxa"/>
              <w:bottom w:w="30" w:type="dxa"/>
              <w:right w:w="20" w:type="dxa"/>
            </w:tcMar>
            <w:vAlign w:val="center"/>
            <w:hideMark/>
          </w:tcPr>
          <w:p w:rsidR="00000000" w:rsidRDefault="001F1FC8">
            <w:pPr>
              <w:jc w:val="right"/>
              <w:rPr>
                <w:rFonts w:eastAsia="Times New Roman"/>
              </w:rPr>
            </w:pPr>
          </w:p>
        </w:tc>
      </w:tr>
    </w:tbl>
    <w:p w:rsidR="00000000" w:rsidRDefault="001F1FC8">
      <w:pPr>
        <w:divId w:val="1501308141"/>
        <w:rPr>
          <w:rFonts w:eastAsia="Times New Roman"/>
        </w:rPr>
      </w:pPr>
      <w:r>
        <w:rPr>
          <w:rFonts w:ascii="Arial" w:eastAsia="Times New Roman" w:hAnsi="Arial" w:cs="Arial"/>
          <w:i/>
          <w:iCs/>
          <w:color w:val="000000"/>
          <w:sz w:val="16"/>
          <w:szCs w:val="16"/>
        </w:rPr>
        <w:t>1</w:t>
      </w:r>
      <w:r>
        <w:rPr>
          <w:rFonts w:ascii="Arial" w:eastAsia="Times New Roman" w:hAnsi="Arial" w:cs="Arial"/>
          <w:color w:val="000000"/>
          <w:sz w:val="6"/>
          <w:szCs w:val="6"/>
        </w:rPr>
        <w:t>     </w:t>
      </w:r>
      <w:r>
        <w:rPr>
          <w:rFonts w:ascii="Arial" w:eastAsia="Times New Roman" w:hAnsi="Arial" w:cs="Arial"/>
          <w:i/>
          <w:iCs/>
          <w:color w:val="000000"/>
          <w:sz w:val="16"/>
          <w:szCs w:val="16"/>
        </w:rPr>
        <w:t>Revenues are based on the country of origin of the product or service sold.</w:t>
      </w:r>
    </w:p>
    <w:p w:rsidR="00000000" w:rsidRDefault="001F1FC8">
      <w:pPr>
        <w:divId w:val="991641565"/>
        <w:rPr>
          <w:rFonts w:eastAsia="Times New Roman"/>
        </w:rPr>
      </w:pPr>
      <w:r>
        <w:rPr>
          <w:rFonts w:ascii="Arial" w:eastAsia="Times New Roman" w:hAnsi="Arial" w:cs="Arial"/>
          <w:color w:val="000000"/>
          <w:sz w:val="20"/>
          <w:szCs w:val="20"/>
        </w:rPr>
        <w:t> </w:t>
      </w:r>
    </w:p>
    <w:p w:rsidR="00000000" w:rsidRDefault="001F1FC8">
      <w:pPr>
        <w:divId w:val="311714583"/>
        <w:rPr>
          <w:rFonts w:eastAsia="Times New Roman"/>
        </w:rPr>
      </w:pPr>
      <w:r>
        <w:rPr>
          <w:rFonts w:ascii="Arial" w:eastAsia="Times New Roman" w:hAnsi="Arial" w:cs="Arial"/>
          <w:b/>
          <w:bCs/>
          <w:color w:val="000000"/>
          <w:sz w:val="20"/>
          <w:szCs w:val="20"/>
        </w:rPr>
        <w:t>Property, Plant and Equipmen</w:t>
      </w:r>
      <w:r>
        <w:rPr>
          <w:rFonts w:ascii="Arial" w:eastAsia="Times New Roman" w:hAnsi="Arial" w:cs="Arial"/>
          <w:b/>
          <w:bCs/>
          <w:color w:val="000000"/>
          <w:sz w:val="20"/>
          <w:szCs w:val="20"/>
        </w:rPr>
        <w:t>t</w:t>
      </w:r>
      <w:r>
        <w:rPr>
          <w:rFonts w:ascii="Arial" w:eastAsia="Times New Roman" w:hAnsi="Arial" w:cs="Arial"/>
          <w:color w:val="000000"/>
          <w:sz w:val="10"/>
          <w:szCs w:val="10"/>
        </w:rPr>
        <w:t>1</w:t>
      </w:r>
    </w:p>
    <w:tbl>
      <w:tblPr>
        <w:tblW w:w="5000" w:type="pct"/>
        <w:tblCellMar>
          <w:top w:w="15" w:type="dxa"/>
          <w:left w:w="15" w:type="dxa"/>
          <w:bottom w:w="15" w:type="dxa"/>
          <w:right w:w="15" w:type="dxa"/>
        </w:tblCellMar>
        <w:tblLook w:val="04A0" w:firstRow="1" w:lastRow="0" w:firstColumn="1" w:lastColumn="0" w:noHBand="0" w:noVBand="1"/>
      </w:tblPr>
      <w:tblGrid>
        <w:gridCol w:w="69"/>
        <w:gridCol w:w="6367"/>
        <w:gridCol w:w="36"/>
        <w:gridCol w:w="74"/>
        <w:gridCol w:w="807"/>
        <w:gridCol w:w="36"/>
        <w:gridCol w:w="69"/>
        <w:gridCol w:w="812"/>
        <w:gridCol w:w="36"/>
      </w:tblGrid>
      <w:tr w:rsidR="00000000">
        <w:trPr>
          <w:divId w:val="1655183003"/>
        </w:trPr>
        <w:tc>
          <w:tcPr>
            <w:tcW w:w="50" w:type="pct"/>
            <w:vAlign w:val="center"/>
            <w:hideMark/>
          </w:tcPr>
          <w:p w:rsidR="00000000" w:rsidRDefault="001F1FC8">
            <w:pPr>
              <w:rPr>
                <w:rFonts w:eastAsia="Times New Roman"/>
              </w:rPr>
            </w:pPr>
          </w:p>
        </w:tc>
        <w:tc>
          <w:tcPr>
            <w:tcW w:w="3839"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c>
          <w:tcPr>
            <w:tcW w:w="50" w:type="pct"/>
            <w:vAlign w:val="center"/>
            <w:hideMark/>
          </w:tcPr>
          <w:p w:rsidR="00000000" w:rsidRDefault="001F1FC8">
            <w:pPr>
              <w:rPr>
                <w:rFonts w:eastAsia="Times New Roman"/>
                <w:sz w:val="20"/>
                <w:szCs w:val="20"/>
              </w:rPr>
            </w:pPr>
          </w:p>
        </w:tc>
        <w:tc>
          <w:tcPr>
            <w:tcW w:w="497"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c>
          <w:tcPr>
            <w:tcW w:w="50" w:type="pct"/>
            <w:vAlign w:val="center"/>
            <w:hideMark/>
          </w:tcPr>
          <w:p w:rsidR="00000000" w:rsidRDefault="001F1FC8">
            <w:pPr>
              <w:rPr>
                <w:rFonts w:eastAsia="Times New Roman"/>
                <w:sz w:val="20"/>
                <w:szCs w:val="20"/>
              </w:rPr>
            </w:pPr>
          </w:p>
        </w:tc>
        <w:tc>
          <w:tcPr>
            <w:tcW w:w="497"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r>
      <w:tr w:rsidR="00000000">
        <w:trPr>
          <w:divId w:val="1655183003"/>
        </w:trPr>
        <w:tc>
          <w:tcPr>
            <w:tcW w:w="0" w:type="auto"/>
            <w:gridSpan w:val="3"/>
            <w:tcMar>
              <w:top w:w="30" w:type="dxa"/>
              <w:left w:w="20" w:type="dxa"/>
              <w:bottom w:w="30" w:type="dxa"/>
              <w:right w:w="20" w:type="dxa"/>
            </w:tcMar>
            <w:vAlign w:val="center"/>
            <w:hideMark/>
          </w:tcPr>
          <w:p w:rsidR="00000000" w:rsidRDefault="001F1FC8">
            <w:pPr>
              <w:rPr>
                <w:rFonts w:eastAsia="Times New Roman"/>
              </w:rPr>
            </w:pPr>
            <w:r>
              <w:rPr>
                <w:rFonts w:ascii="Arial" w:eastAsia="Times New Roman" w:hAnsi="Arial" w:cs="Arial"/>
                <w:color w:val="000000"/>
                <w:sz w:val="20"/>
                <w:szCs w:val="20"/>
              </w:rPr>
              <w:t>December 31,</w:t>
            </w:r>
          </w:p>
        </w:tc>
        <w:tc>
          <w:tcPr>
            <w:tcW w:w="0" w:type="auto"/>
            <w:gridSpan w:val="3"/>
            <w:tcMar>
              <w:top w:w="30" w:type="dxa"/>
              <w:left w:w="20" w:type="dxa"/>
              <w:bottom w:w="30" w:type="dxa"/>
              <w:right w:w="20" w:type="dxa"/>
            </w:tcMar>
            <w:vAlign w:val="center"/>
            <w:hideMark/>
          </w:tcPr>
          <w:p w:rsidR="00000000" w:rsidRDefault="001F1FC8">
            <w:pPr>
              <w:jc w:val="right"/>
              <w:rPr>
                <w:rFonts w:eastAsia="Times New Roman"/>
              </w:rPr>
            </w:pPr>
            <w:r>
              <w:rPr>
                <w:rFonts w:ascii="Arial" w:eastAsia="Times New Roman" w:hAnsi="Arial" w:cs="Arial"/>
                <w:b/>
                <w:bCs/>
                <w:color w:val="000000"/>
                <w:sz w:val="20"/>
                <w:szCs w:val="20"/>
              </w:rPr>
              <w:t>2021</w:t>
            </w:r>
          </w:p>
        </w:tc>
        <w:tc>
          <w:tcPr>
            <w:tcW w:w="0" w:type="auto"/>
            <w:gridSpan w:val="3"/>
            <w:tcMar>
              <w:top w:w="30" w:type="dxa"/>
              <w:left w:w="20" w:type="dxa"/>
              <w:bottom w:w="30" w:type="dxa"/>
              <w:right w:w="20" w:type="dxa"/>
            </w:tcMar>
            <w:vAlign w:val="center"/>
            <w:hideMark/>
          </w:tcPr>
          <w:p w:rsidR="00000000" w:rsidRDefault="001F1FC8">
            <w:pPr>
              <w:jc w:val="right"/>
              <w:rPr>
                <w:rFonts w:eastAsia="Times New Roman"/>
              </w:rPr>
            </w:pPr>
            <w:r>
              <w:rPr>
                <w:rFonts w:ascii="Arial" w:eastAsia="Times New Roman" w:hAnsi="Arial" w:cs="Arial"/>
                <w:color w:val="000000"/>
                <w:sz w:val="20"/>
                <w:szCs w:val="20"/>
              </w:rPr>
              <w:t>2020</w:t>
            </w:r>
          </w:p>
        </w:tc>
      </w:tr>
      <w:tr w:rsidR="00000000">
        <w:trPr>
          <w:divId w:val="1655183003"/>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1F1FC8">
            <w:pPr>
              <w:rPr>
                <w:rFonts w:eastAsia="Times New Roman"/>
              </w:rPr>
            </w:pPr>
            <w:r>
              <w:rPr>
                <w:rFonts w:ascii="Arial" w:eastAsia="Times New Roman" w:hAnsi="Arial" w:cs="Arial"/>
                <w:i/>
                <w:iCs/>
                <w:color w:val="000000"/>
                <w:sz w:val="16"/>
                <w:szCs w:val="16"/>
              </w:rPr>
              <w:t>(millions of Canadian dollars)</w:t>
            </w:r>
          </w:p>
        </w:tc>
        <w:tc>
          <w:tcPr>
            <w:tcW w:w="0" w:type="auto"/>
            <w:gridSpan w:val="3"/>
            <w:tcBorders>
              <w:top w:val="single" w:sz="4" w:space="0" w:color="000000"/>
            </w:tcBorders>
            <w:shd w:val="clear" w:color="auto" w:fill="D9D9D9"/>
            <w:tcMar>
              <w:top w:w="30" w:type="dxa"/>
              <w:left w:w="20" w:type="dxa"/>
              <w:bottom w:w="30" w:type="dxa"/>
              <w:right w:w="20" w:type="dxa"/>
            </w:tcMar>
            <w:vAlign w:val="center"/>
            <w:hideMark/>
          </w:tcPr>
          <w:p w:rsidR="00000000" w:rsidRDefault="001F1FC8">
            <w:pPr>
              <w:jc w:val="right"/>
              <w:rPr>
                <w:rFonts w:eastAsia="Times New Roman"/>
              </w:rPr>
            </w:pPr>
            <w:r>
              <w:rPr>
                <w:rFonts w:ascii="Arial" w:eastAsia="Times New Roman" w:hAnsi="Arial" w:cs="Arial"/>
                <w:color w:val="000000"/>
                <w:sz w:val="2"/>
                <w:szCs w:val="2"/>
              </w:rPr>
              <w:t> </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1F1FC8">
            <w:pPr>
              <w:jc w:val="right"/>
              <w:rPr>
                <w:rFonts w:eastAsia="Times New Roman"/>
              </w:rPr>
            </w:pPr>
            <w:r>
              <w:rPr>
                <w:rFonts w:ascii="Arial" w:eastAsia="Times New Roman" w:hAnsi="Arial" w:cs="Arial"/>
                <w:color w:val="000000"/>
                <w:sz w:val="2"/>
                <w:szCs w:val="2"/>
              </w:rPr>
              <w:t> </w:t>
            </w:r>
          </w:p>
        </w:tc>
      </w:tr>
      <w:tr w:rsidR="00000000">
        <w:trPr>
          <w:divId w:val="1655183003"/>
        </w:trPr>
        <w:tc>
          <w:tcPr>
            <w:tcW w:w="0" w:type="auto"/>
            <w:gridSpan w:val="3"/>
            <w:tcMar>
              <w:top w:w="30" w:type="dxa"/>
              <w:left w:w="20" w:type="dxa"/>
              <w:bottom w:w="30" w:type="dxa"/>
              <w:right w:w="20" w:type="dxa"/>
            </w:tcMar>
            <w:vAlign w:val="center"/>
            <w:hideMark/>
          </w:tcPr>
          <w:p w:rsidR="00000000" w:rsidRDefault="001F1FC8">
            <w:pPr>
              <w:rPr>
                <w:rFonts w:eastAsia="Times New Roman"/>
              </w:rPr>
            </w:pPr>
            <w:r>
              <w:rPr>
                <w:rFonts w:ascii="Arial" w:eastAsia="Times New Roman" w:hAnsi="Arial" w:cs="Arial"/>
                <w:color w:val="000000"/>
                <w:sz w:val="20"/>
                <w:szCs w:val="20"/>
              </w:rPr>
              <w:t>Canada</w:t>
            </w:r>
          </w:p>
        </w:tc>
        <w:tc>
          <w:tcPr>
            <w:tcW w:w="0" w:type="auto"/>
            <w:gridSpan w:val="2"/>
            <w:shd w:val="clear" w:color="auto" w:fill="D9D9D9"/>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b/>
                <w:bCs/>
                <w:color w:val="000000"/>
                <w:sz w:val="20"/>
                <w:szCs w:val="20"/>
              </w:rPr>
              <w:t>47,102</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20"/>
                <w:szCs w:val="20"/>
              </w:rPr>
              <w:t>46,499 </w:t>
            </w:r>
          </w:p>
        </w:tc>
        <w:tc>
          <w:tcPr>
            <w:tcW w:w="0" w:type="auto"/>
            <w:tcMar>
              <w:top w:w="30" w:type="dxa"/>
              <w:left w:w="0" w:type="dxa"/>
              <w:bottom w:w="30" w:type="dxa"/>
              <w:right w:w="20" w:type="dxa"/>
            </w:tcMar>
            <w:vAlign w:val="center"/>
            <w:hideMark/>
          </w:tcPr>
          <w:p w:rsidR="00000000" w:rsidRDefault="001F1FC8">
            <w:pPr>
              <w:jc w:val="right"/>
              <w:rPr>
                <w:rFonts w:eastAsia="Times New Roman"/>
              </w:rPr>
            </w:pPr>
          </w:p>
        </w:tc>
      </w:tr>
      <w:tr w:rsidR="00000000">
        <w:trPr>
          <w:divId w:val="1655183003"/>
        </w:trPr>
        <w:tc>
          <w:tcPr>
            <w:tcW w:w="0" w:type="auto"/>
            <w:gridSpan w:val="3"/>
            <w:tcMar>
              <w:top w:w="30" w:type="dxa"/>
              <w:left w:w="20" w:type="dxa"/>
              <w:bottom w:w="30" w:type="dxa"/>
              <w:right w:w="20" w:type="dxa"/>
            </w:tcMar>
            <w:vAlign w:val="center"/>
            <w:hideMark/>
          </w:tcPr>
          <w:p w:rsidR="00000000" w:rsidRDefault="001F1FC8">
            <w:pPr>
              <w:rPr>
                <w:rFonts w:eastAsia="Times New Roman"/>
              </w:rPr>
            </w:pPr>
            <w:r>
              <w:rPr>
                <w:rFonts w:ascii="Arial" w:eastAsia="Times New Roman" w:hAnsi="Arial" w:cs="Arial"/>
                <w:color w:val="000000"/>
                <w:sz w:val="20"/>
                <w:szCs w:val="20"/>
              </w:rPr>
              <w:t>US</w:t>
            </w:r>
          </w:p>
        </w:tc>
        <w:tc>
          <w:tcPr>
            <w:tcW w:w="0" w:type="auto"/>
            <w:gridSpan w:val="2"/>
            <w:shd w:val="clear" w:color="auto" w:fill="D9D9D9"/>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b/>
                <w:bCs/>
                <w:color w:val="000000"/>
                <w:sz w:val="20"/>
                <w:szCs w:val="20"/>
              </w:rPr>
              <w:t>52,965</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20"/>
                <w:szCs w:val="20"/>
              </w:rPr>
              <w:t>48,072 </w:t>
            </w:r>
          </w:p>
        </w:tc>
        <w:tc>
          <w:tcPr>
            <w:tcW w:w="0" w:type="auto"/>
            <w:tcMar>
              <w:top w:w="30" w:type="dxa"/>
              <w:left w:w="0" w:type="dxa"/>
              <w:bottom w:w="30" w:type="dxa"/>
              <w:right w:w="20" w:type="dxa"/>
            </w:tcMar>
            <w:vAlign w:val="center"/>
            <w:hideMark/>
          </w:tcPr>
          <w:p w:rsidR="00000000" w:rsidRDefault="001F1FC8">
            <w:pPr>
              <w:jc w:val="right"/>
              <w:rPr>
                <w:rFonts w:eastAsia="Times New Roman"/>
              </w:rPr>
            </w:pPr>
          </w:p>
        </w:tc>
      </w:tr>
      <w:tr w:rsidR="00000000">
        <w:trPr>
          <w:divId w:val="1655183003"/>
        </w:trPr>
        <w:tc>
          <w:tcPr>
            <w:tcW w:w="0" w:type="auto"/>
            <w:gridSpan w:val="3"/>
            <w:tcBorders>
              <w:top w:val="single" w:sz="4" w:space="0" w:color="000000"/>
              <w:bottom w:val="single" w:sz="8" w:space="0" w:color="000000"/>
            </w:tcBorders>
            <w:tcMar>
              <w:top w:w="30" w:type="dxa"/>
              <w:left w:w="20" w:type="dxa"/>
              <w:bottom w:w="30" w:type="dxa"/>
              <w:right w:w="20" w:type="dxa"/>
            </w:tcMar>
            <w:vAlign w:val="center"/>
            <w:hideMark/>
          </w:tcPr>
          <w:p w:rsidR="00000000" w:rsidRDefault="001F1FC8">
            <w:pPr>
              <w:rPr>
                <w:rFonts w:eastAsia="Times New Roman"/>
              </w:rPr>
            </w:pPr>
            <w:r>
              <w:rPr>
                <w:rFonts w:ascii="Arial" w:eastAsia="Times New Roman" w:hAnsi="Arial" w:cs="Arial"/>
                <w:color w:val="000000"/>
                <w:sz w:val="2"/>
                <w:szCs w:val="2"/>
              </w:rPr>
              <w:t> </w:t>
            </w:r>
          </w:p>
        </w:tc>
        <w:tc>
          <w:tcPr>
            <w:tcW w:w="0" w:type="auto"/>
            <w:gridSpan w:val="2"/>
            <w:tcBorders>
              <w:top w:val="single" w:sz="4" w:space="0" w:color="000000"/>
              <w:bottom w:val="single" w:sz="8" w:space="0" w:color="000000"/>
            </w:tcBorders>
            <w:shd w:val="clear" w:color="auto" w:fill="D9D9D9"/>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b/>
                <w:bCs/>
                <w:color w:val="000000"/>
                <w:sz w:val="20"/>
                <w:szCs w:val="20"/>
              </w:rPr>
              <w:t>100,067</w:t>
            </w:r>
            <w:r>
              <w:rPr>
                <w:rFonts w:ascii="Arial" w:eastAsia="Times New Roman" w:hAnsi="Arial" w:cs="Arial"/>
                <w:color w:val="000000"/>
                <w:sz w:val="20"/>
                <w:szCs w:val="20"/>
              </w:rPr>
              <w:t> </w:t>
            </w:r>
          </w:p>
        </w:tc>
        <w:tc>
          <w:tcPr>
            <w:tcW w:w="0" w:type="auto"/>
            <w:tcBorders>
              <w:top w:val="single" w:sz="4" w:space="0" w:color="000000"/>
              <w:bottom w:val="single" w:sz="8" w:space="0" w:color="000000"/>
            </w:tcBorders>
            <w:shd w:val="clear" w:color="auto" w:fill="D9D9D9"/>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Borders>
              <w:top w:val="single" w:sz="4" w:space="0" w:color="000000"/>
              <w:bottom w:val="single" w:sz="8" w:space="0" w:color="000000"/>
            </w:tcBorders>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20"/>
                <w:szCs w:val="20"/>
              </w:rPr>
              <w:t>94,571 </w:t>
            </w:r>
          </w:p>
        </w:tc>
        <w:tc>
          <w:tcPr>
            <w:tcW w:w="0" w:type="auto"/>
            <w:tcBorders>
              <w:top w:val="single" w:sz="4" w:space="0" w:color="000000"/>
              <w:bottom w:val="single" w:sz="8" w:space="0" w:color="000000"/>
            </w:tcBorders>
            <w:tcMar>
              <w:top w:w="30" w:type="dxa"/>
              <w:left w:w="0" w:type="dxa"/>
              <w:bottom w:w="30" w:type="dxa"/>
              <w:right w:w="20" w:type="dxa"/>
            </w:tcMar>
            <w:vAlign w:val="center"/>
            <w:hideMark/>
          </w:tcPr>
          <w:p w:rsidR="00000000" w:rsidRDefault="001F1FC8">
            <w:pPr>
              <w:jc w:val="right"/>
              <w:rPr>
                <w:rFonts w:eastAsia="Times New Roman"/>
              </w:rPr>
            </w:pPr>
          </w:p>
        </w:tc>
      </w:tr>
    </w:tbl>
    <w:p w:rsidR="00000000" w:rsidRDefault="001F1FC8">
      <w:pPr>
        <w:divId w:val="1045718435"/>
        <w:rPr>
          <w:rFonts w:eastAsia="Times New Roman"/>
        </w:rPr>
      </w:pPr>
      <w:r>
        <w:rPr>
          <w:rFonts w:ascii="Arial" w:eastAsia="Times New Roman" w:hAnsi="Arial" w:cs="Arial"/>
          <w:i/>
          <w:iCs/>
          <w:color w:val="000000"/>
          <w:sz w:val="16"/>
          <w:szCs w:val="16"/>
        </w:rPr>
        <w:t>1</w:t>
      </w:r>
      <w:r>
        <w:rPr>
          <w:rFonts w:ascii="Arial" w:eastAsia="Times New Roman" w:hAnsi="Arial" w:cs="Arial"/>
          <w:color w:val="000000"/>
          <w:sz w:val="6"/>
          <w:szCs w:val="6"/>
        </w:rPr>
        <w:t>     </w:t>
      </w:r>
      <w:r>
        <w:rPr>
          <w:rFonts w:ascii="Arial" w:eastAsia="Times New Roman" w:hAnsi="Arial" w:cs="Arial"/>
          <w:i/>
          <w:iCs/>
          <w:color w:val="000000"/>
          <w:sz w:val="16"/>
          <w:szCs w:val="16"/>
        </w:rPr>
        <w:t>Amounts are based on the location where the assets are held.</w:t>
      </w:r>
    </w:p>
    <w:p w:rsidR="00000000" w:rsidRDefault="001F1FC8">
      <w:pPr>
        <w:divId w:val="831333371"/>
        <w:rPr>
          <w:rFonts w:eastAsia="Times New Roman"/>
        </w:rPr>
      </w:pPr>
    </w:p>
    <w:p w:rsidR="00000000" w:rsidRDefault="001F1FC8">
      <w:pPr>
        <w:jc w:val="center"/>
        <w:divId w:val="1545681643"/>
        <w:rPr>
          <w:rFonts w:eastAsia="Times New Roman"/>
        </w:rPr>
      </w:pPr>
      <w:r>
        <w:rPr>
          <w:rFonts w:ascii="Arial" w:eastAsia="Times New Roman" w:hAnsi="Arial" w:cs="Arial"/>
          <w:color w:val="000000"/>
          <w:sz w:val="20"/>
          <w:szCs w:val="20"/>
        </w:rPr>
        <w:t>122</w:t>
      </w:r>
    </w:p>
    <w:p w:rsidR="00000000" w:rsidRDefault="001F1FC8">
      <w:pPr>
        <w:rPr>
          <w:rFonts w:eastAsia="Times New Roman"/>
        </w:rPr>
      </w:pPr>
      <w:r>
        <w:rPr>
          <w:rFonts w:eastAsia="Times New Roman"/>
        </w:rPr>
        <w:pict>
          <v:rect id="_x0000_i1152" style="width:0;height:1.5pt" o:hralign="center" o:hrstd="t" o:hr="t" fillcolor="#a0a0a0" stroked="f"/>
        </w:pict>
      </w:r>
    </w:p>
    <w:p w:rsidR="00000000" w:rsidRDefault="001F1FC8">
      <w:pPr>
        <w:jc w:val="center"/>
        <w:divId w:val="228930379"/>
        <w:rPr>
          <w:rFonts w:eastAsia="Times New Roman"/>
        </w:rPr>
      </w:pPr>
    </w:p>
    <w:p w:rsidR="00000000" w:rsidRDefault="001F1FC8">
      <w:pPr>
        <w:jc w:val="both"/>
        <w:rPr>
          <w:rFonts w:eastAsia="Times New Roman"/>
        </w:rPr>
      </w:pPr>
      <w:r>
        <w:rPr>
          <w:rFonts w:ascii="Arial" w:eastAsia="Times New Roman" w:hAnsi="Arial" w:cs="Arial"/>
          <w:b/>
          <w:bCs/>
          <w:color w:val="000000"/>
          <w:sz w:val="26"/>
          <w:szCs w:val="26"/>
        </w:rPr>
        <w:t>6.  EARNINGS PER COMMON SHARE</w:t>
      </w:r>
    </w:p>
    <w:p w:rsidR="00000000" w:rsidRDefault="001F1FC8">
      <w:pPr>
        <w:divId w:val="1476070968"/>
        <w:rPr>
          <w:rFonts w:eastAsia="Times New Roman"/>
        </w:rPr>
      </w:pPr>
    </w:p>
    <w:p w:rsidR="00000000" w:rsidRDefault="001F1FC8">
      <w:pPr>
        <w:divId w:val="357857139"/>
        <w:rPr>
          <w:rFonts w:eastAsia="Times New Roman"/>
        </w:rPr>
      </w:pPr>
      <w:r>
        <w:rPr>
          <w:rFonts w:ascii="Arial" w:eastAsia="Times New Roman" w:hAnsi="Arial" w:cs="Arial"/>
          <w:b/>
          <w:bCs/>
          <w:color w:val="000000"/>
          <w:sz w:val="20"/>
          <w:szCs w:val="20"/>
        </w:rPr>
        <w:t>BASIC</w:t>
      </w:r>
    </w:p>
    <w:p w:rsidR="00000000" w:rsidRDefault="001F1FC8">
      <w:pPr>
        <w:divId w:val="489178202"/>
        <w:rPr>
          <w:rFonts w:eastAsia="Times New Roman"/>
        </w:rPr>
      </w:pPr>
      <w:r>
        <w:rPr>
          <w:rFonts w:ascii="Arial" w:eastAsia="Times New Roman" w:hAnsi="Arial" w:cs="Arial"/>
          <w:color w:val="000000"/>
          <w:sz w:val="20"/>
          <w:szCs w:val="20"/>
        </w:rPr>
        <w:t>Earnings per common share is calculated by dividing earnings attributable to common shareholders by the weighted average number of common shares outstanding. The weighted average number of common shares outstanding has been reduced by our pro-rata weighted</w:t>
      </w:r>
      <w:r>
        <w:rPr>
          <w:rFonts w:ascii="Arial" w:eastAsia="Times New Roman" w:hAnsi="Arial" w:cs="Arial"/>
          <w:color w:val="000000"/>
          <w:sz w:val="20"/>
          <w:szCs w:val="20"/>
        </w:rPr>
        <w:t xml:space="preserve"> average interest in our own common shares of approximately 2 million as at December 31, 2021, 5 million as at December 31, 2020, and 6 million as at December 31, 2019, resulting from our reciprocal investment in Noverco. On December 30, 2021, we closed th</w:t>
      </w:r>
      <w:r>
        <w:rPr>
          <w:rFonts w:ascii="Arial" w:eastAsia="Times New Roman" w:hAnsi="Arial" w:cs="Arial"/>
          <w:color w:val="000000"/>
          <w:sz w:val="20"/>
          <w:szCs w:val="20"/>
        </w:rPr>
        <w:t xml:space="preserve">e sale of our non-operating minority ownership of Noverco. Refer to </w:t>
      </w:r>
      <w:r>
        <w:rPr>
          <w:rFonts w:ascii="Arial" w:eastAsia="Times New Roman" w:hAnsi="Arial" w:cs="Arial"/>
          <w:i/>
          <w:iCs/>
          <w:color w:val="000000"/>
          <w:sz w:val="20"/>
          <w:szCs w:val="20"/>
        </w:rPr>
        <w:t>Note 13 - Long-term Investments</w:t>
      </w:r>
      <w:r>
        <w:rPr>
          <w:rFonts w:ascii="Arial" w:eastAsia="Times New Roman" w:hAnsi="Arial" w:cs="Arial"/>
          <w:color w:val="000000"/>
          <w:sz w:val="20"/>
          <w:szCs w:val="20"/>
        </w:rPr>
        <w:t xml:space="preserve"> for more information.</w:t>
      </w:r>
    </w:p>
    <w:p w:rsidR="00000000" w:rsidRDefault="001F1FC8">
      <w:pPr>
        <w:divId w:val="1565137744"/>
        <w:rPr>
          <w:rFonts w:eastAsia="Times New Roman"/>
        </w:rPr>
      </w:pPr>
    </w:p>
    <w:p w:rsidR="00000000" w:rsidRDefault="001F1FC8">
      <w:pPr>
        <w:divId w:val="1463578465"/>
        <w:rPr>
          <w:rFonts w:eastAsia="Times New Roman"/>
        </w:rPr>
      </w:pPr>
      <w:r>
        <w:rPr>
          <w:rFonts w:ascii="Arial" w:eastAsia="Times New Roman" w:hAnsi="Arial" w:cs="Arial"/>
          <w:b/>
          <w:bCs/>
          <w:color w:val="000000"/>
          <w:sz w:val="20"/>
          <w:szCs w:val="20"/>
        </w:rPr>
        <w:t>DILUTED</w:t>
      </w:r>
    </w:p>
    <w:p w:rsidR="00000000" w:rsidRDefault="001F1FC8">
      <w:pPr>
        <w:divId w:val="323900980"/>
        <w:rPr>
          <w:rFonts w:eastAsia="Times New Roman"/>
        </w:rPr>
      </w:pPr>
      <w:r>
        <w:rPr>
          <w:rFonts w:ascii="Arial" w:eastAsia="Times New Roman" w:hAnsi="Arial" w:cs="Arial"/>
          <w:color w:val="000000"/>
          <w:sz w:val="20"/>
          <w:szCs w:val="20"/>
        </w:rPr>
        <w:t>The treasury stock method is used to determine the dilutive impact of stock options. This method assumes any proceeds from the exercise of stock options would be used to purchase common shares at the average market price during the period.</w:t>
      </w:r>
    </w:p>
    <w:p w:rsidR="00000000" w:rsidRDefault="001F1FC8">
      <w:pPr>
        <w:divId w:val="949237062"/>
        <w:rPr>
          <w:rFonts w:eastAsia="Times New Roman"/>
        </w:rPr>
      </w:pPr>
    </w:p>
    <w:p w:rsidR="00000000" w:rsidRDefault="001F1FC8">
      <w:pPr>
        <w:divId w:val="1748454815"/>
        <w:rPr>
          <w:rFonts w:eastAsia="Times New Roman"/>
        </w:rPr>
      </w:pPr>
      <w:r>
        <w:rPr>
          <w:rFonts w:ascii="Arial" w:eastAsia="Times New Roman" w:hAnsi="Arial" w:cs="Arial"/>
          <w:color w:val="000000"/>
          <w:sz w:val="20"/>
          <w:szCs w:val="20"/>
        </w:rPr>
        <w:t>Weighted avera</w:t>
      </w:r>
      <w:r>
        <w:rPr>
          <w:rFonts w:ascii="Arial" w:eastAsia="Times New Roman" w:hAnsi="Arial" w:cs="Arial"/>
          <w:color w:val="000000"/>
          <w:sz w:val="20"/>
          <w:szCs w:val="20"/>
        </w:rPr>
        <w:t>ge shares outstanding used to calculate basic and diluted earnings per share are as follows:</w:t>
      </w:r>
    </w:p>
    <w:tbl>
      <w:tblPr>
        <w:tblW w:w="4975" w:type="pct"/>
        <w:tblCellMar>
          <w:top w:w="15" w:type="dxa"/>
          <w:left w:w="15" w:type="dxa"/>
          <w:bottom w:w="15" w:type="dxa"/>
          <w:right w:w="15" w:type="dxa"/>
        </w:tblCellMar>
        <w:tblLook w:val="04A0" w:firstRow="1" w:lastRow="0" w:firstColumn="1" w:lastColumn="0" w:noHBand="0" w:noVBand="1"/>
      </w:tblPr>
      <w:tblGrid>
        <w:gridCol w:w="69"/>
        <w:gridCol w:w="5764"/>
        <w:gridCol w:w="37"/>
        <w:gridCol w:w="69"/>
        <w:gridCol w:w="693"/>
        <w:gridCol w:w="36"/>
        <w:gridCol w:w="69"/>
        <w:gridCol w:w="693"/>
        <w:gridCol w:w="36"/>
        <w:gridCol w:w="69"/>
        <w:gridCol w:w="693"/>
        <w:gridCol w:w="36"/>
      </w:tblGrid>
      <w:tr w:rsidR="00000000">
        <w:trPr>
          <w:divId w:val="1649479174"/>
        </w:trPr>
        <w:tc>
          <w:tcPr>
            <w:tcW w:w="50" w:type="pct"/>
            <w:vAlign w:val="center"/>
            <w:hideMark/>
          </w:tcPr>
          <w:p w:rsidR="00000000" w:rsidRDefault="001F1FC8">
            <w:pPr>
              <w:rPr>
                <w:rFonts w:eastAsia="Times New Roman"/>
              </w:rPr>
            </w:pPr>
          </w:p>
        </w:tc>
        <w:tc>
          <w:tcPr>
            <w:tcW w:w="3495"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c>
          <w:tcPr>
            <w:tcW w:w="50" w:type="pct"/>
            <w:vAlign w:val="center"/>
            <w:hideMark/>
          </w:tcPr>
          <w:p w:rsidR="00000000" w:rsidRDefault="001F1FC8">
            <w:pPr>
              <w:rPr>
                <w:rFonts w:eastAsia="Times New Roman"/>
                <w:sz w:val="20"/>
                <w:szCs w:val="20"/>
              </w:rPr>
            </w:pPr>
          </w:p>
        </w:tc>
        <w:tc>
          <w:tcPr>
            <w:tcW w:w="428"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c>
          <w:tcPr>
            <w:tcW w:w="50" w:type="pct"/>
            <w:vAlign w:val="center"/>
            <w:hideMark/>
          </w:tcPr>
          <w:p w:rsidR="00000000" w:rsidRDefault="001F1FC8">
            <w:pPr>
              <w:rPr>
                <w:rFonts w:eastAsia="Times New Roman"/>
                <w:sz w:val="20"/>
                <w:szCs w:val="20"/>
              </w:rPr>
            </w:pPr>
          </w:p>
        </w:tc>
        <w:tc>
          <w:tcPr>
            <w:tcW w:w="428"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c>
          <w:tcPr>
            <w:tcW w:w="50" w:type="pct"/>
            <w:vAlign w:val="center"/>
            <w:hideMark/>
          </w:tcPr>
          <w:p w:rsidR="00000000" w:rsidRDefault="001F1FC8">
            <w:pPr>
              <w:rPr>
                <w:rFonts w:eastAsia="Times New Roman"/>
                <w:sz w:val="20"/>
                <w:szCs w:val="20"/>
              </w:rPr>
            </w:pPr>
          </w:p>
        </w:tc>
        <w:tc>
          <w:tcPr>
            <w:tcW w:w="428"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r>
      <w:tr w:rsidR="00000000">
        <w:trPr>
          <w:divId w:val="1649479174"/>
        </w:trPr>
        <w:tc>
          <w:tcPr>
            <w:tcW w:w="0" w:type="auto"/>
            <w:gridSpan w:val="3"/>
            <w:tcMar>
              <w:top w:w="30" w:type="dxa"/>
              <w:left w:w="20" w:type="dxa"/>
              <w:bottom w:w="30" w:type="dxa"/>
              <w:right w:w="20" w:type="dxa"/>
            </w:tcMar>
            <w:vAlign w:val="bottom"/>
            <w:hideMark/>
          </w:tcPr>
          <w:p w:rsidR="00000000" w:rsidRDefault="001F1FC8">
            <w:pPr>
              <w:rPr>
                <w:rFonts w:eastAsia="Times New Roman"/>
              </w:rPr>
            </w:pPr>
            <w:r>
              <w:rPr>
                <w:rFonts w:ascii="Arial" w:eastAsia="Times New Roman" w:hAnsi="Arial" w:cs="Arial"/>
                <w:color w:val="000000"/>
                <w:sz w:val="20"/>
                <w:szCs w:val="20"/>
              </w:rPr>
              <w:t>December 31,</w:t>
            </w:r>
          </w:p>
        </w:tc>
        <w:tc>
          <w:tcPr>
            <w:tcW w:w="0" w:type="auto"/>
            <w:gridSpan w:val="3"/>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b/>
                <w:bCs/>
                <w:color w:val="000000"/>
                <w:sz w:val="20"/>
                <w:szCs w:val="20"/>
              </w:rPr>
              <w:t>2021</w:t>
            </w:r>
          </w:p>
        </w:tc>
        <w:tc>
          <w:tcPr>
            <w:tcW w:w="0" w:type="auto"/>
            <w:gridSpan w:val="3"/>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2020</w:t>
            </w:r>
          </w:p>
        </w:tc>
        <w:tc>
          <w:tcPr>
            <w:tcW w:w="0" w:type="auto"/>
            <w:gridSpan w:val="3"/>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2019</w:t>
            </w:r>
          </w:p>
        </w:tc>
      </w:tr>
      <w:tr w:rsidR="00000000">
        <w:trPr>
          <w:divId w:val="1649479174"/>
        </w:trPr>
        <w:tc>
          <w:tcPr>
            <w:tcW w:w="0" w:type="auto"/>
            <w:gridSpan w:val="3"/>
            <w:tcBorders>
              <w:top w:val="single" w:sz="4" w:space="0" w:color="000000"/>
            </w:tcBorders>
            <w:tcMar>
              <w:top w:w="30" w:type="dxa"/>
              <w:left w:w="20" w:type="dxa"/>
              <w:bottom w:w="30" w:type="dxa"/>
              <w:right w:w="20" w:type="dxa"/>
            </w:tcMar>
            <w:hideMark/>
          </w:tcPr>
          <w:p w:rsidR="00000000" w:rsidRDefault="001F1FC8">
            <w:pPr>
              <w:rPr>
                <w:rFonts w:eastAsia="Times New Roman"/>
              </w:rPr>
            </w:pPr>
            <w:r>
              <w:rPr>
                <w:rFonts w:ascii="Arial" w:eastAsia="Times New Roman" w:hAnsi="Arial" w:cs="Arial"/>
                <w:i/>
                <w:iCs/>
                <w:color w:val="000000"/>
                <w:sz w:val="16"/>
                <w:szCs w:val="16"/>
              </w:rPr>
              <w:t>(number of shares in millions)</w:t>
            </w:r>
          </w:p>
        </w:tc>
        <w:tc>
          <w:tcPr>
            <w:tcW w:w="0" w:type="auto"/>
            <w:gridSpan w:val="3"/>
            <w:tcBorders>
              <w:top w:val="single" w:sz="4" w:space="0" w:color="000000"/>
            </w:tcBorders>
            <w:shd w:val="clear" w:color="auto" w:fill="D9D9D9"/>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2"/>
                <w:szCs w:val="2"/>
              </w:rPr>
              <w:t> </w:t>
            </w: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2"/>
                <w:szCs w:val="2"/>
              </w:rPr>
              <w:t> </w:t>
            </w: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2"/>
                <w:szCs w:val="2"/>
              </w:rPr>
              <w:t> </w:t>
            </w:r>
          </w:p>
        </w:tc>
      </w:tr>
      <w:tr w:rsidR="00000000">
        <w:trPr>
          <w:divId w:val="1649479174"/>
        </w:trPr>
        <w:tc>
          <w:tcPr>
            <w:tcW w:w="0" w:type="auto"/>
            <w:gridSpan w:val="3"/>
            <w:tcMar>
              <w:top w:w="30" w:type="dxa"/>
              <w:left w:w="20" w:type="dxa"/>
              <w:bottom w:w="30" w:type="dxa"/>
              <w:right w:w="20" w:type="dxa"/>
            </w:tcMar>
            <w:hideMark/>
          </w:tcPr>
          <w:p w:rsidR="00000000" w:rsidRDefault="001F1FC8">
            <w:pPr>
              <w:rPr>
                <w:rFonts w:eastAsia="Times New Roman"/>
              </w:rPr>
            </w:pPr>
            <w:r>
              <w:rPr>
                <w:rFonts w:ascii="Arial" w:eastAsia="Times New Roman" w:hAnsi="Arial" w:cs="Arial"/>
                <w:color w:val="000000"/>
                <w:sz w:val="20"/>
                <w:szCs w:val="20"/>
              </w:rPr>
              <w:t>Weighted average shares outstanding</w:t>
            </w:r>
          </w:p>
        </w:tc>
        <w:tc>
          <w:tcPr>
            <w:tcW w:w="0" w:type="auto"/>
            <w:gridSpan w:val="2"/>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20"/>
                <w:szCs w:val="20"/>
              </w:rPr>
              <w:t>2,023</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2,020 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2,017 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r>
      <w:tr w:rsidR="00000000">
        <w:trPr>
          <w:divId w:val="1649479174"/>
        </w:trPr>
        <w:tc>
          <w:tcPr>
            <w:tcW w:w="0" w:type="auto"/>
            <w:gridSpan w:val="3"/>
            <w:tcMar>
              <w:top w:w="30" w:type="dxa"/>
              <w:left w:w="20" w:type="dxa"/>
              <w:bottom w:w="30" w:type="dxa"/>
              <w:right w:w="20" w:type="dxa"/>
            </w:tcMar>
            <w:hideMark/>
          </w:tcPr>
          <w:p w:rsidR="00000000" w:rsidRDefault="001F1FC8">
            <w:pPr>
              <w:rPr>
                <w:rFonts w:eastAsia="Times New Roman"/>
              </w:rPr>
            </w:pPr>
            <w:r>
              <w:rPr>
                <w:rFonts w:ascii="Arial" w:eastAsia="Times New Roman" w:hAnsi="Arial" w:cs="Arial"/>
                <w:color w:val="000000"/>
                <w:sz w:val="20"/>
                <w:szCs w:val="20"/>
              </w:rPr>
              <w:t>Effect of dilutive options</w:t>
            </w:r>
          </w:p>
        </w:tc>
        <w:tc>
          <w:tcPr>
            <w:tcW w:w="0" w:type="auto"/>
            <w:gridSpan w:val="2"/>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20"/>
                <w:szCs w:val="20"/>
              </w:rPr>
              <w:t>2</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1 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3 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r>
      <w:tr w:rsidR="00000000">
        <w:trPr>
          <w:divId w:val="1649479174"/>
        </w:trPr>
        <w:tc>
          <w:tcPr>
            <w:tcW w:w="0" w:type="auto"/>
            <w:gridSpan w:val="3"/>
            <w:tcBorders>
              <w:top w:val="single" w:sz="4" w:space="0" w:color="000000"/>
              <w:bottom w:val="single" w:sz="18" w:space="0" w:color="000000"/>
            </w:tcBorders>
            <w:tcMar>
              <w:top w:w="30" w:type="dxa"/>
              <w:left w:w="20" w:type="dxa"/>
              <w:bottom w:w="30" w:type="dxa"/>
              <w:right w:w="20" w:type="dxa"/>
            </w:tcMar>
            <w:hideMark/>
          </w:tcPr>
          <w:p w:rsidR="00000000" w:rsidRDefault="001F1FC8">
            <w:pPr>
              <w:rPr>
                <w:rFonts w:eastAsia="Times New Roman"/>
              </w:rPr>
            </w:pPr>
            <w:r>
              <w:rPr>
                <w:rFonts w:ascii="Arial" w:eastAsia="Times New Roman" w:hAnsi="Arial" w:cs="Arial"/>
                <w:color w:val="000000"/>
                <w:sz w:val="20"/>
                <w:szCs w:val="20"/>
              </w:rPr>
              <w:t>Diluted weighted average shares outstanding</w:t>
            </w:r>
          </w:p>
        </w:tc>
        <w:tc>
          <w:tcPr>
            <w:tcW w:w="0" w:type="auto"/>
            <w:gridSpan w:val="2"/>
            <w:tcBorders>
              <w:top w:val="single" w:sz="4" w:space="0" w:color="000000"/>
              <w:bottom w:val="single" w:sz="18" w:space="0" w:color="000000"/>
            </w:tcBorders>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20"/>
                <w:szCs w:val="20"/>
              </w:rPr>
              <w:t>2,025</w:t>
            </w:r>
            <w:r>
              <w:rPr>
                <w:rFonts w:ascii="Arial" w:eastAsia="Times New Roman" w:hAnsi="Arial" w:cs="Arial"/>
                <w:color w:val="000000"/>
                <w:sz w:val="20"/>
                <w:szCs w:val="20"/>
              </w:rPr>
              <w:t> </w:t>
            </w:r>
          </w:p>
        </w:tc>
        <w:tc>
          <w:tcPr>
            <w:tcW w:w="0" w:type="auto"/>
            <w:tcBorders>
              <w:top w:val="single" w:sz="4" w:space="0" w:color="000000"/>
              <w:bottom w:val="single" w:sz="18" w:space="0" w:color="000000"/>
            </w:tcBorders>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Borders>
              <w:top w:val="single" w:sz="4" w:space="0" w:color="000000"/>
              <w:bottom w:val="single" w:sz="18" w:space="0" w:color="000000"/>
            </w:tcBorders>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2,021 </w:t>
            </w:r>
          </w:p>
        </w:tc>
        <w:tc>
          <w:tcPr>
            <w:tcW w:w="0" w:type="auto"/>
            <w:tcBorders>
              <w:top w:val="single" w:sz="4" w:space="0" w:color="000000"/>
              <w:bottom w:val="single" w:sz="18" w:space="0" w:color="000000"/>
            </w:tcBorders>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Borders>
              <w:top w:val="single" w:sz="4" w:space="0" w:color="000000"/>
              <w:bottom w:val="single" w:sz="18" w:space="0" w:color="000000"/>
            </w:tcBorders>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2,020 </w:t>
            </w:r>
          </w:p>
        </w:tc>
        <w:tc>
          <w:tcPr>
            <w:tcW w:w="0" w:type="auto"/>
            <w:tcBorders>
              <w:top w:val="single" w:sz="4" w:space="0" w:color="000000"/>
              <w:bottom w:val="single" w:sz="18" w:space="0" w:color="000000"/>
            </w:tcBorders>
            <w:tcMar>
              <w:top w:w="30" w:type="dxa"/>
              <w:left w:w="0" w:type="dxa"/>
              <w:bottom w:w="30" w:type="dxa"/>
              <w:right w:w="20" w:type="dxa"/>
            </w:tcMar>
            <w:vAlign w:val="bottom"/>
            <w:hideMark/>
          </w:tcPr>
          <w:p w:rsidR="00000000" w:rsidRDefault="001F1FC8">
            <w:pPr>
              <w:jc w:val="right"/>
              <w:rPr>
                <w:rFonts w:eastAsia="Times New Roman"/>
              </w:rPr>
            </w:pPr>
          </w:p>
        </w:tc>
      </w:tr>
    </w:tbl>
    <w:p w:rsidR="00000000" w:rsidRDefault="001F1FC8">
      <w:pPr>
        <w:divId w:val="277421270"/>
        <w:rPr>
          <w:rFonts w:eastAsia="Times New Roman"/>
        </w:rPr>
      </w:pPr>
      <w:r>
        <w:rPr>
          <w:rFonts w:ascii="Arial" w:eastAsia="Times New Roman" w:hAnsi="Arial" w:cs="Arial"/>
          <w:color w:val="000000"/>
          <w:sz w:val="20"/>
          <w:szCs w:val="20"/>
        </w:rPr>
        <w:t> </w:t>
      </w:r>
    </w:p>
    <w:p w:rsidR="00000000" w:rsidRDefault="001F1FC8">
      <w:pPr>
        <w:divId w:val="1057585045"/>
        <w:rPr>
          <w:rFonts w:eastAsia="Times New Roman"/>
        </w:rPr>
      </w:pPr>
      <w:r>
        <w:rPr>
          <w:rFonts w:ascii="Arial" w:eastAsia="Times New Roman" w:hAnsi="Arial" w:cs="Arial"/>
          <w:color w:val="000000"/>
          <w:sz w:val="20"/>
          <w:szCs w:val="20"/>
        </w:rPr>
        <w:t>For the years ended December </w:t>
      </w:r>
      <w:r>
        <w:rPr>
          <w:rFonts w:ascii="Arial" w:eastAsia="Times New Roman" w:hAnsi="Arial" w:cs="Arial"/>
          <w:color w:val="000000"/>
          <w:sz w:val="20"/>
          <w:szCs w:val="20"/>
        </w:rPr>
        <w:t>31, 2021, 2020 and 2019, 18.6 million, 29.8 million and 17.8 million, respectively, of anti-dilutive stock options with a weighted average exercise price of $52.89, $51.42 and $53.56, respectively, were excluded from the diluted earnings per common share c</w:t>
      </w:r>
      <w:r>
        <w:rPr>
          <w:rFonts w:ascii="Arial" w:eastAsia="Times New Roman" w:hAnsi="Arial" w:cs="Arial"/>
          <w:color w:val="000000"/>
          <w:sz w:val="20"/>
          <w:szCs w:val="20"/>
        </w:rPr>
        <w:t>alculation.</w:t>
      </w:r>
    </w:p>
    <w:p w:rsidR="00000000" w:rsidRDefault="001F1FC8">
      <w:pPr>
        <w:divId w:val="948657772"/>
        <w:rPr>
          <w:rFonts w:eastAsia="Times New Roman"/>
        </w:rPr>
      </w:pPr>
    </w:p>
    <w:p w:rsidR="00000000" w:rsidRDefault="001F1FC8">
      <w:pPr>
        <w:divId w:val="1786734129"/>
        <w:rPr>
          <w:rFonts w:eastAsia="Times New Roman"/>
        </w:rPr>
      </w:pPr>
      <w:r>
        <w:rPr>
          <w:rFonts w:ascii="Arial" w:eastAsia="Times New Roman" w:hAnsi="Arial" w:cs="Arial"/>
          <w:b/>
          <w:bCs/>
          <w:color w:val="000000"/>
          <w:sz w:val="26"/>
          <w:szCs w:val="26"/>
        </w:rPr>
        <w:t>7. REGULATORY MATTERS</w:t>
      </w:r>
    </w:p>
    <w:p w:rsidR="00000000" w:rsidRDefault="001F1FC8">
      <w:pPr>
        <w:divId w:val="328558764"/>
        <w:rPr>
          <w:rFonts w:eastAsia="Times New Roman"/>
        </w:rPr>
      </w:pPr>
    </w:p>
    <w:p w:rsidR="00000000" w:rsidRDefault="001F1FC8">
      <w:pPr>
        <w:divId w:val="863058325"/>
        <w:rPr>
          <w:rFonts w:eastAsia="Times New Roman"/>
        </w:rPr>
      </w:pPr>
      <w:r>
        <w:rPr>
          <w:rFonts w:ascii="Arial" w:eastAsia="Times New Roman" w:hAnsi="Arial" w:cs="Arial"/>
          <w:color w:val="000000"/>
          <w:sz w:val="20"/>
          <w:szCs w:val="20"/>
        </w:rPr>
        <w:t xml:space="preserve">We record assets and liabilities that result from regulated ratemaking processes that would not be recorded under US GAAP for non-regulated entities. See </w:t>
      </w:r>
      <w:r>
        <w:rPr>
          <w:rFonts w:ascii="Arial" w:eastAsia="Times New Roman" w:hAnsi="Arial" w:cs="Arial"/>
          <w:i/>
          <w:iCs/>
          <w:color w:val="000000"/>
          <w:sz w:val="20"/>
          <w:szCs w:val="20"/>
        </w:rPr>
        <w:t xml:space="preserve">Note 2 - Significant Accounting Policies </w:t>
      </w:r>
      <w:r>
        <w:rPr>
          <w:rFonts w:ascii="Arial" w:eastAsia="Times New Roman" w:hAnsi="Arial" w:cs="Arial"/>
          <w:color w:val="000000"/>
          <w:sz w:val="20"/>
          <w:szCs w:val="20"/>
        </w:rPr>
        <w:t>for further discussion.</w:t>
      </w:r>
      <w:r>
        <w:rPr>
          <w:rFonts w:ascii="Arial" w:eastAsia="Times New Roman" w:hAnsi="Arial" w:cs="Arial"/>
          <w:color w:val="000000"/>
          <w:sz w:val="20"/>
          <w:szCs w:val="20"/>
        </w:rPr>
        <w:t xml:space="preserve"> Our significant regulated businesses and the related accounting impacts are described below.</w:t>
      </w:r>
    </w:p>
    <w:p w:rsidR="00000000" w:rsidRDefault="001F1FC8">
      <w:pPr>
        <w:divId w:val="634332762"/>
        <w:rPr>
          <w:rFonts w:eastAsia="Times New Roman"/>
        </w:rPr>
      </w:pPr>
    </w:p>
    <w:p w:rsidR="00000000" w:rsidRDefault="001F1FC8">
      <w:pPr>
        <w:divId w:val="1738161802"/>
        <w:rPr>
          <w:rFonts w:eastAsia="Times New Roman"/>
        </w:rPr>
      </w:pPr>
      <w:r>
        <w:rPr>
          <w:rFonts w:ascii="Arial" w:eastAsia="Times New Roman" w:hAnsi="Arial" w:cs="Arial"/>
          <w:color w:val="000000"/>
          <w:sz w:val="20"/>
          <w:szCs w:val="20"/>
        </w:rPr>
        <w:t>Under the current authorized rate structure for certain operations, income tax costs are recovered in rates based on the current income tax payable and do not i</w:t>
      </w:r>
      <w:r>
        <w:rPr>
          <w:rFonts w:ascii="Arial" w:eastAsia="Times New Roman" w:hAnsi="Arial" w:cs="Arial"/>
          <w:color w:val="000000"/>
          <w:sz w:val="20"/>
          <w:szCs w:val="20"/>
        </w:rPr>
        <w:t>nclude accruals for deferred income tax. However, as income taxes become payable as a result of the reversal of temporary differences that created the deferred income taxes, it is expected that rates will be adjusted to recover these taxes. Since most of t</w:t>
      </w:r>
      <w:r>
        <w:rPr>
          <w:rFonts w:ascii="Arial" w:eastAsia="Times New Roman" w:hAnsi="Arial" w:cs="Arial"/>
          <w:color w:val="000000"/>
          <w:sz w:val="20"/>
          <w:szCs w:val="20"/>
        </w:rPr>
        <w:t>hese temporary differences are related to property, plant and equipment costs, this recovery is expected to occur over the life of the related assets.</w:t>
      </w:r>
    </w:p>
    <w:p w:rsidR="00000000" w:rsidRDefault="001F1FC8">
      <w:pPr>
        <w:divId w:val="1325891176"/>
        <w:rPr>
          <w:rFonts w:eastAsia="Times New Roman"/>
        </w:rPr>
      </w:pPr>
    </w:p>
    <w:p w:rsidR="00000000" w:rsidRDefault="001F1FC8">
      <w:pPr>
        <w:jc w:val="center"/>
        <w:divId w:val="275060936"/>
        <w:rPr>
          <w:rFonts w:eastAsia="Times New Roman"/>
        </w:rPr>
      </w:pPr>
      <w:r>
        <w:rPr>
          <w:rFonts w:ascii="Arial" w:eastAsia="Times New Roman" w:hAnsi="Arial" w:cs="Arial"/>
          <w:color w:val="000000"/>
          <w:sz w:val="20"/>
          <w:szCs w:val="20"/>
        </w:rPr>
        <w:t>123</w:t>
      </w:r>
    </w:p>
    <w:p w:rsidR="00000000" w:rsidRDefault="001F1FC8">
      <w:pPr>
        <w:rPr>
          <w:rFonts w:eastAsia="Times New Roman"/>
        </w:rPr>
      </w:pPr>
      <w:r>
        <w:rPr>
          <w:rFonts w:eastAsia="Times New Roman"/>
        </w:rPr>
        <w:pict>
          <v:rect id="_x0000_i1153" style="width:0;height:1.5pt" o:hralign="center" o:hrstd="t" o:hr="t" fillcolor="#a0a0a0" stroked="f"/>
        </w:pict>
      </w:r>
    </w:p>
    <w:p w:rsidR="00000000" w:rsidRDefault="001F1FC8">
      <w:pPr>
        <w:jc w:val="center"/>
        <w:divId w:val="1482113983"/>
        <w:rPr>
          <w:rFonts w:eastAsia="Times New Roman"/>
        </w:rPr>
      </w:pPr>
    </w:p>
    <w:p w:rsidR="00000000" w:rsidRDefault="001F1FC8">
      <w:pPr>
        <w:divId w:val="344327313"/>
        <w:rPr>
          <w:rFonts w:eastAsia="Times New Roman"/>
        </w:rPr>
      </w:pPr>
      <w:r>
        <w:rPr>
          <w:rFonts w:ascii="Arial" w:eastAsia="Times New Roman" w:hAnsi="Arial" w:cs="Arial"/>
          <w:b/>
          <w:bCs/>
          <w:color w:val="000000"/>
          <w:sz w:val="20"/>
          <w:szCs w:val="20"/>
        </w:rPr>
        <w:t>LIQUIDS PIPELINES</w:t>
      </w:r>
    </w:p>
    <w:p w:rsidR="00000000" w:rsidRDefault="001F1FC8">
      <w:pPr>
        <w:divId w:val="1200900678"/>
        <w:rPr>
          <w:rFonts w:eastAsia="Times New Roman"/>
        </w:rPr>
      </w:pPr>
      <w:r>
        <w:rPr>
          <w:rFonts w:ascii="Arial" w:eastAsia="Times New Roman" w:hAnsi="Arial" w:cs="Arial"/>
          <w:b/>
          <w:bCs/>
          <w:color w:val="000000"/>
          <w:sz w:val="20"/>
          <w:szCs w:val="20"/>
        </w:rPr>
        <w:t>Canadian Mainline</w:t>
      </w:r>
    </w:p>
    <w:p w:rsidR="00000000" w:rsidRDefault="001F1FC8">
      <w:pPr>
        <w:divId w:val="1948806994"/>
        <w:rPr>
          <w:rFonts w:eastAsia="Times New Roman"/>
        </w:rPr>
      </w:pPr>
      <w:r>
        <w:rPr>
          <w:rFonts w:ascii="Arial" w:eastAsia="Times New Roman" w:hAnsi="Arial" w:cs="Arial"/>
          <w:color w:val="000000"/>
          <w:sz w:val="20"/>
          <w:szCs w:val="20"/>
        </w:rPr>
        <w:t xml:space="preserve">Canadian Mainline includes the Canadian portion of our mainline system and is subject to regulation by the CER. Tolls, excluding Lines 8 and 9, are governed by the 10-year CTS which </w:t>
      </w:r>
      <w:r>
        <w:rPr>
          <w:rFonts w:ascii="Arial" w:eastAsia="Times New Roman" w:hAnsi="Arial" w:cs="Arial"/>
          <w:color w:val="000000"/>
          <w:sz w:val="20"/>
          <w:szCs w:val="20"/>
        </w:rPr>
        <w:t xml:space="preserve">expired on June 30, 2021 </w:t>
      </w:r>
      <w:r>
        <w:rPr>
          <w:rFonts w:ascii="Arial" w:eastAsia="Times New Roman" w:hAnsi="Arial" w:cs="Arial"/>
          <w:i/>
          <w:iCs/>
          <w:color w:val="000000"/>
          <w:sz w:val="16"/>
          <w:szCs w:val="16"/>
        </w:rPr>
        <w:t>(Note 4).</w:t>
      </w:r>
      <w:r>
        <w:rPr>
          <w:rFonts w:ascii="Arial" w:eastAsia="Times New Roman" w:hAnsi="Arial" w:cs="Arial"/>
          <w:color w:val="000000"/>
          <w:sz w:val="20"/>
          <w:szCs w:val="20"/>
        </w:rPr>
        <w:t xml:space="preserve"> </w:t>
      </w:r>
      <w:r>
        <w:rPr>
          <w:rFonts w:ascii="Arial" w:eastAsia="Times New Roman" w:hAnsi="Arial" w:cs="Arial"/>
          <w:color w:val="000000"/>
          <w:sz w:val="20"/>
          <w:szCs w:val="20"/>
          <w:shd w:val="clear" w:color="auto" w:fill="FFFFFF"/>
        </w:rPr>
        <w:t xml:space="preserve">The CTS established a Canadian Local Toll for all volumes shipped on the Canadian Mainline and an International Joint Tariff for all volumes shipped from western Canadian receipt points to delivery points on our Lakehead </w:t>
      </w:r>
      <w:r>
        <w:rPr>
          <w:rFonts w:ascii="Arial" w:eastAsia="Times New Roman" w:hAnsi="Arial" w:cs="Arial"/>
          <w:color w:val="000000"/>
          <w:sz w:val="20"/>
          <w:szCs w:val="20"/>
          <w:shd w:val="clear" w:color="auto" w:fill="FFFFFF"/>
        </w:rPr>
        <w:t>System. Under the CTS, we have recognized a regulatory asset of $2.1 billion a</w:t>
      </w:r>
      <w:r>
        <w:rPr>
          <w:rFonts w:ascii="Arial" w:eastAsia="Times New Roman" w:hAnsi="Arial" w:cs="Arial"/>
          <w:color w:val="000000"/>
          <w:sz w:val="20"/>
          <w:szCs w:val="20"/>
        </w:rPr>
        <w:t>s at December 31, 2021 (2020 - $1.9 billion) to offset deferred income taxes, as a CER rate order governing flow-through income tax treatment permits future recovery. No other ma</w:t>
      </w:r>
      <w:r>
        <w:rPr>
          <w:rFonts w:ascii="Arial" w:eastAsia="Times New Roman" w:hAnsi="Arial" w:cs="Arial"/>
          <w:color w:val="000000"/>
          <w:sz w:val="20"/>
          <w:szCs w:val="20"/>
        </w:rPr>
        <w:t>terial regulatory assets or liabilities are recognized under the terms of the CTS.</w:t>
      </w:r>
    </w:p>
    <w:p w:rsidR="00000000" w:rsidRDefault="001F1FC8">
      <w:pPr>
        <w:divId w:val="863788019"/>
        <w:rPr>
          <w:rFonts w:eastAsia="Times New Roman"/>
        </w:rPr>
      </w:pPr>
    </w:p>
    <w:p w:rsidR="00000000" w:rsidRDefault="001F1FC8">
      <w:pPr>
        <w:divId w:val="463275030"/>
        <w:rPr>
          <w:rFonts w:eastAsia="Times New Roman"/>
        </w:rPr>
      </w:pPr>
      <w:r>
        <w:rPr>
          <w:rFonts w:ascii="Arial" w:eastAsia="Times New Roman" w:hAnsi="Arial" w:cs="Arial"/>
          <w:b/>
          <w:bCs/>
          <w:color w:val="000000"/>
          <w:sz w:val="20"/>
          <w:szCs w:val="20"/>
        </w:rPr>
        <w:t>Southern Lights Pipeline</w:t>
      </w:r>
    </w:p>
    <w:p w:rsidR="00000000" w:rsidRDefault="001F1FC8">
      <w:pPr>
        <w:divId w:val="1303343855"/>
        <w:rPr>
          <w:rFonts w:eastAsia="Times New Roman"/>
        </w:rPr>
      </w:pPr>
      <w:r>
        <w:rPr>
          <w:rFonts w:ascii="Arial" w:eastAsia="Times New Roman" w:hAnsi="Arial" w:cs="Arial"/>
          <w:color w:val="000000"/>
          <w:sz w:val="20"/>
          <w:szCs w:val="20"/>
        </w:rPr>
        <w:t>The US and Canadian portions of the Southern Lights Pipeline are regulated by the FERC and CER, respectively. Shippers on the Southern Lights Pipe</w:t>
      </w:r>
      <w:r>
        <w:rPr>
          <w:rFonts w:ascii="Arial" w:eastAsia="Times New Roman" w:hAnsi="Arial" w:cs="Arial"/>
          <w:color w:val="000000"/>
          <w:sz w:val="20"/>
          <w:szCs w:val="20"/>
        </w:rPr>
        <w:t>line are subject to long-term transportation contracts under a cost-of-service toll methodology. Toll adjustments are filed annually with the regulators and provide for the recovery of allowable operating and debt financing costs, plus a pre-determined aft</w:t>
      </w:r>
      <w:r>
        <w:rPr>
          <w:rFonts w:ascii="Arial" w:eastAsia="Times New Roman" w:hAnsi="Arial" w:cs="Arial"/>
          <w:color w:val="000000"/>
          <w:sz w:val="20"/>
          <w:szCs w:val="20"/>
        </w:rPr>
        <w:t>er-tax return on equity (ROE) of 10%.</w:t>
      </w:r>
    </w:p>
    <w:p w:rsidR="00000000" w:rsidRDefault="001F1FC8">
      <w:pPr>
        <w:divId w:val="1738823250"/>
        <w:rPr>
          <w:rFonts w:eastAsia="Times New Roman"/>
        </w:rPr>
      </w:pPr>
    </w:p>
    <w:p w:rsidR="00000000" w:rsidRDefault="001F1FC8">
      <w:pPr>
        <w:divId w:val="861625185"/>
        <w:rPr>
          <w:rFonts w:eastAsia="Times New Roman"/>
        </w:rPr>
      </w:pPr>
      <w:r>
        <w:rPr>
          <w:rFonts w:ascii="Arial" w:eastAsia="Times New Roman" w:hAnsi="Arial" w:cs="Arial"/>
          <w:b/>
          <w:bCs/>
          <w:color w:val="000000"/>
          <w:sz w:val="20"/>
          <w:szCs w:val="20"/>
        </w:rPr>
        <w:t>GAS TRANSMISSION AND MIDSTREAM</w:t>
      </w:r>
      <w:r>
        <w:rPr>
          <w:rFonts w:ascii="Arial" w:eastAsia="Times New Roman" w:hAnsi="Arial" w:cs="Arial"/>
          <w:b/>
          <w:bCs/>
          <w:color w:val="000000"/>
          <w:sz w:val="20"/>
          <w:szCs w:val="20"/>
        </w:rPr>
        <w:br/>
        <w:t>British Columbia Pipeline and Maritimes &amp; Northeast Canada</w:t>
      </w:r>
    </w:p>
    <w:p w:rsidR="00000000" w:rsidRDefault="001F1FC8">
      <w:pPr>
        <w:divId w:val="1007051550"/>
        <w:rPr>
          <w:rFonts w:eastAsia="Times New Roman"/>
        </w:rPr>
      </w:pPr>
      <w:r>
        <w:rPr>
          <w:rFonts w:ascii="Arial" w:eastAsia="Times New Roman" w:hAnsi="Arial" w:cs="Arial"/>
          <w:color w:val="000000"/>
          <w:sz w:val="20"/>
          <w:szCs w:val="20"/>
        </w:rPr>
        <w:t>British Columbia (BC) Pipeline and Maritimes &amp; Northeast (M&amp;</w:t>
      </w:r>
      <w:r>
        <w:rPr>
          <w:rFonts w:ascii="Arial" w:eastAsia="Times New Roman" w:hAnsi="Arial" w:cs="Arial"/>
          <w:color w:val="000000"/>
          <w:sz w:val="20"/>
          <w:szCs w:val="20"/>
        </w:rPr>
        <w:t>N) Canada are regulated by the CER. Rates are approved by the CER through negotiated toll settlement agreements based on cost-of-service. Both our BC Pipeline and M&amp;N Canada systems operate under the terms of their respective negotiated toll settlements, w</w:t>
      </w:r>
      <w:r>
        <w:rPr>
          <w:rFonts w:ascii="Arial" w:eastAsia="Times New Roman" w:hAnsi="Arial" w:cs="Arial"/>
          <w:color w:val="000000"/>
          <w:sz w:val="20"/>
          <w:szCs w:val="20"/>
        </w:rPr>
        <w:t xml:space="preserve">hich stipulate an allowable ROE and the continuation and establishment of certain deferral and variance accounts. As both settlement agreements expired in December 2021, we are currently operating under CER-approved interim tolls and negotiating the terms </w:t>
      </w:r>
      <w:r>
        <w:rPr>
          <w:rFonts w:ascii="Arial" w:eastAsia="Times New Roman" w:hAnsi="Arial" w:cs="Arial"/>
          <w:color w:val="000000"/>
          <w:sz w:val="20"/>
          <w:szCs w:val="20"/>
        </w:rPr>
        <w:t>of new toll settlements for periods beginning in 2022.</w:t>
      </w:r>
    </w:p>
    <w:p w:rsidR="00000000" w:rsidRDefault="001F1FC8">
      <w:pPr>
        <w:divId w:val="398672938"/>
        <w:rPr>
          <w:rFonts w:eastAsia="Times New Roman"/>
        </w:rPr>
      </w:pPr>
    </w:p>
    <w:p w:rsidR="00000000" w:rsidRDefault="001F1FC8">
      <w:pPr>
        <w:divId w:val="534654932"/>
        <w:rPr>
          <w:rFonts w:eastAsia="Times New Roman"/>
        </w:rPr>
      </w:pPr>
      <w:r>
        <w:rPr>
          <w:rFonts w:ascii="Arial" w:eastAsia="Times New Roman" w:hAnsi="Arial" w:cs="Arial"/>
          <w:b/>
          <w:bCs/>
          <w:color w:val="000000"/>
          <w:sz w:val="20"/>
          <w:szCs w:val="20"/>
        </w:rPr>
        <w:t>US Gas Transmission</w:t>
      </w:r>
    </w:p>
    <w:p w:rsidR="00000000" w:rsidRDefault="001F1FC8">
      <w:pPr>
        <w:divId w:val="2127234793"/>
        <w:rPr>
          <w:rFonts w:eastAsia="Times New Roman"/>
        </w:rPr>
      </w:pPr>
      <w:r>
        <w:rPr>
          <w:rFonts w:ascii="Arial" w:eastAsia="Times New Roman" w:hAnsi="Arial" w:cs="Arial"/>
          <w:color w:val="000000"/>
          <w:sz w:val="20"/>
          <w:szCs w:val="20"/>
        </w:rPr>
        <w:t xml:space="preserve">Most of our US gas transmission and storage services are regulated by the FERC and may also be subject to the jurisdiction of various other federal, state and local agencies. The </w:t>
      </w:r>
      <w:r>
        <w:rPr>
          <w:rFonts w:ascii="Arial" w:eastAsia="Times New Roman" w:hAnsi="Arial" w:cs="Arial"/>
          <w:color w:val="000000"/>
          <w:sz w:val="20"/>
          <w:szCs w:val="20"/>
        </w:rPr>
        <w:t xml:space="preserve">FERC regulates natural gas transmission in US interstate commerce including the establishment of rates for services, while rates for intrastate commerce and/or gathering services are regulated by the state gas commissions. Cost-of-service is the basis for </w:t>
      </w:r>
      <w:r>
        <w:rPr>
          <w:rFonts w:ascii="Arial" w:eastAsia="Times New Roman" w:hAnsi="Arial" w:cs="Arial"/>
          <w:color w:val="000000"/>
          <w:sz w:val="20"/>
          <w:szCs w:val="20"/>
        </w:rPr>
        <w:t>the calculation of regulated tariff rates, although the FERC also allows the use of negotiated and discounted rates within contracts with shippers that may result in a rate that is above or below the FERC-regulated recourse rate for that service.</w:t>
      </w:r>
    </w:p>
    <w:p w:rsidR="00000000" w:rsidRDefault="001F1FC8">
      <w:pPr>
        <w:divId w:val="664821212"/>
        <w:rPr>
          <w:rFonts w:eastAsia="Times New Roman"/>
        </w:rPr>
      </w:pPr>
    </w:p>
    <w:p w:rsidR="00000000" w:rsidRDefault="001F1FC8">
      <w:pPr>
        <w:divId w:val="1770082306"/>
        <w:rPr>
          <w:rFonts w:eastAsia="Times New Roman"/>
        </w:rPr>
      </w:pPr>
      <w:r>
        <w:rPr>
          <w:rFonts w:ascii="Arial" w:eastAsia="Times New Roman" w:hAnsi="Arial" w:cs="Arial"/>
          <w:b/>
          <w:bCs/>
          <w:color w:val="000000"/>
          <w:sz w:val="20"/>
          <w:szCs w:val="20"/>
        </w:rPr>
        <w:t>GAS DIS</w:t>
      </w:r>
      <w:r>
        <w:rPr>
          <w:rFonts w:ascii="Arial" w:eastAsia="Times New Roman" w:hAnsi="Arial" w:cs="Arial"/>
          <w:b/>
          <w:bCs/>
          <w:color w:val="000000"/>
          <w:sz w:val="20"/>
          <w:szCs w:val="20"/>
        </w:rPr>
        <w:t>TRIBUTION AND STORAGE</w:t>
      </w:r>
    </w:p>
    <w:p w:rsidR="00000000" w:rsidRDefault="001F1FC8">
      <w:pPr>
        <w:divId w:val="252249939"/>
        <w:rPr>
          <w:rFonts w:eastAsia="Times New Roman"/>
        </w:rPr>
      </w:pPr>
      <w:r>
        <w:rPr>
          <w:rFonts w:ascii="Arial" w:eastAsia="Times New Roman" w:hAnsi="Arial" w:cs="Arial"/>
          <w:b/>
          <w:bCs/>
          <w:color w:val="000000"/>
          <w:sz w:val="20"/>
          <w:szCs w:val="20"/>
        </w:rPr>
        <w:t>Enbridge Gas</w:t>
      </w:r>
    </w:p>
    <w:p w:rsidR="00000000" w:rsidRDefault="001F1FC8">
      <w:pPr>
        <w:divId w:val="273947486"/>
        <w:rPr>
          <w:rFonts w:eastAsia="Times New Roman"/>
        </w:rPr>
      </w:pPr>
      <w:r>
        <w:rPr>
          <w:rFonts w:ascii="Arial" w:eastAsia="Times New Roman" w:hAnsi="Arial" w:cs="Arial"/>
          <w:color w:val="000000"/>
          <w:sz w:val="20"/>
          <w:szCs w:val="20"/>
        </w:rPr>
        <w:t>Enbridge Gas' distribution rates, commencing in 2019, are set under a five-year Incentive Regulation (IR) framework using a price cap mechanism. The price cap mechanism establishes new rates each year through an annual ba</w:t>
      </w:r>
      <w:r>
        <w:rPr>
          <w:rFonts w:ascii="Arial" w:eastAsia="Times New Roman" w:hAnsi="Arial" w:cs="Arial"/>
          <w:color w:val="000000"/>
          <w:sz w:val="20"/>
          <w:szCs w:val="20"/>
        </w:rPr>
        <w:t xml:space="preserve">se rate escalation at inflation less a 0.3% stretch factor, annual updates for certain costs to be passed through to customers, and where applicable, the recovery of material discrete incremental capital investments beyond those that can be funded through </w:t>
      </w:r>
      <w:r>
        <w:rPr>
          <w:rFonts w:ascii="Arial" w:eastAsia="Times New Roman" w:hAnsi="Arial" w:cs="Arial"/>
          <w:color w:val="000000"/>
          <w:sz w:val="20"/>
          <w:szCs w:val="20"/>
        </w:rPr>
        <w:t>base rates. The IR framework includes the continuation and establishment of certain deferral and variance accounts, as well as an earnings sharing mechanism that requires Enbridge Gas to share equally with customers any earnings in excess of 150 basis poin</w:t>
      </w:r>
      <w:r>
        <w:rPr>
          <w:rFonts w:ascii="Arial" w:eastAsia="Times New Roman" w:hAnsi="Arial" w:cs="Arial"/>
          <w:color w:val="000000"/>
          <w:sz w:val="20"/>
          <w:szCs w:val="20"/>
        </w:rPr>
        <w:t>ts over the annual OEB approved ROE.</w:t>
      </w:r>
    </w:p>
    <w:p w:rsidR="00000000" w:rsidRDefault="001F1FC8">
      <w:pPr>
        <w:divId w:val="1731879860"/>
        <w:rPr>
          <w:rFonts w:eastAsia="Times New Roman"/>
        </w:rPr>
      </w:pPr>
    </w:p>
    <w:p w:rsidR="00000000" w:rsidRDefault="001F1FC8">
      <w:pPr>
        <w:jc w:val="center"/>
        <w:divId w:val="607085552"/>
        <w:rPr>
          <w:rFonts w:eastAsia="Times New Roman"/>
        </w:rPr>
      </w:pPr>
      <w:r>
        <w:rPr>
          <w:rFonts w:ascii="Arial" w:eastAsia="Times New Roman" w:hAnsi="Arial" w:cs="Arial"/>
          <w:color w:val="000000"/>
          <w:sz w:val="20"/>
          <w:szCs w:val="20"/>
        </w:rPr>
        <w:t>124</w:t>
      </w:r>
    </w:p>
    <w:p w:rsidR="00000000" w:rsidRDefault="001F1FC8">
      <w:pPr>
        <w:rPr>
          <w:rFonts w:eastAsia="Times New Roman"/>
        </w:rPr>
      </w:pPr>
      <w:r>
        <w:rPr>
          <w:rFonts w:eastAsia="Times New Roman"/>
        </w:rPr>
        <w:pict>
          <v:rect id="_x0000_i1154" style="width:0;height:1.5pt" o:hralign="center" o:hrstd="t" o:hr="t" fillcolor="#a0a0a0" stroked="f"/>
        </w:pict>
      </w:r>
    </w:p>
    <w:p w:rsidR="00000000" w:rsidRDefault="001F1FC8">
      <w:pPr>
        <w:jc w:val="center"/>
        <w:divId w:val="1899632964"/>
        <w:rPr>
          <w:rFonts w:eastAsia="Times New Roman"/>
        </w:rPr>
      </w:pPr>
    </w:p>
    <w:p w:rsidR="00000000" w:rsidRDefault="001F1FC8">
      <w:pPr>
        <w:divId w:val="1705402146"/>
        <w:rPr>
          <w:rFonts w:eastAsia="Times New Roman"/>
        </w:rPr>
      </w:pPr>
      <w:r>
        <w:rPr>
          <w:rFonts w:ascii="Arial" w:eastAsia="Times New Roman" w:hAnsi="Arial" w:cs="Arial"/>
          <w:b/>
          <w:bCs/>
          <w:color w:val="000000"/>
          <w:sz w:val="20"/>
          <w:szCs w:val="20"/>
        </w:rPr>
        <w:t>FINANCIAL STATEMENT EFFECTS</w:t>
      </w:r>
    </w:p>
    <w:p w:rsidR="00000000" w:rsidRDefault="001F1FC8">
      <w:pPr>
        <w:divId w:val="1334989138"/>
        <w:rPr>
          <w:rFonts w:eastAsia="Times New Roman"/>
        </w:rPr>
      </w:pPr>
      <w:r>
        <w:rPr>
          <w:rFonts w:ascii="Arial" w:eastAsia="Times New Roman" w:hAnsi="Arial" w:cs="Arial"/>
          <w:color w:val="000000"/>
          <w:sz w:val="20"/>
          <w:szCs w:val="20"/>
        </w:rPr>
        <w:t>Accounting for rate-regulated activities has resulted in the recognition of the following regulatory assets and liabilities in the Consolidated St</w:t>
      </w:r>
      <w:r>
        <w:rPr>
          <w:rFonts w:ascii="Arial" w:eastAsia="Times New Roman" w:hAnsi="Arial" w:cs="Arial"/>
          <w:color w:val="000000"/>
          <w:sz w:val="20"/>
          <w:szCs w:val="20"/>
        </w:rPr>
        <w:t>atements of Financial Position:</w:t>
      </w:r>
    </w:p>
    <w:tbl>
      <w:tblPr>
        <w:tblW w:w="5000" w:type="pct"/>
        <w:tblCellMar>
          <w:top w:w="15" w:type="dxa"/>
          <w:left w:w="15" w:type="dxa"/>
          <w:bottom w:w="15" w:type="dxa"/>
          <w:right w:w="15" w:type="dxa"/>
        </w:tblCellMar>
        <w:tblLook w:val="04A0" w:firstRow="1" w:lastRow="0" w:firstColumn="1" w:lastColumn="0" w:noHBand="0" w:noVBand="1"/>
      </w:tblPr>
      <w:tblGrid>
        <w:gridCol w:w="57"/>
        <w:gridCol w:w="4810"/>
        <w:gridCol w:w="39"/>
        <w:gridCol w:w="57"/>
        <w:gridCol w:w="800"/>
        <w:gridCol w:w="36"/>
        <w:gridCol w:w="57"/>
        <w:gridCol w:w="800"/>
        <w:gridCol w:w="36"/>
        <w:gridCol w:w="86"/>
        <w:gridCol w:w="1492"/>
        <w:gridCol w:w="36"/>
      </w:tblGrid>
      <w:tr w:rsidR="00000000">
        <w:trPr>
          <w:divId w:val="446237256"/>
        </w:trPr>
        <w:tc>
          <w:tcPr>
            <w:tcW w:w="50" w:type="pct"/>
            <w:vAlign w:val="center"/>
            <w:hideMark/>
          </w:tcPr>
          <w:p w:rsidR="00000000" w:rsidRDefault="001F1FC8">
            <w:pPr>
              <w:rPr>
                <w:rFonts w:eastAsia="Times New Roman"/>
              </w:rPr>
            </w:pPr>
          </w:p>
        </w:tc>
        <w:tc>
          <w:tcPr>
            <w:tcW w:w="2909"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c>
          <w:tcPr>
            <w:tcW w:w="50" w:type="pct"/>
            <w:vAlign w:val="center"/>
            <w:hideMark/>
          </w:tcPr>
          <w:p w:rsidR="00000000" w:rsidRDefault="001F1FC8">
            <w:pPr>
              <w:rPr>
                <w:rFonts w:eastAsia="Times New Roman"/>
                <w:sz w:val="20"/>
                <w:szCs w:val="20"/>
              </w:rPr>
            </w:pPr>
          </w:p>
        </w:tc>
        <w:tc>
          <w:tcPr>
            <w:tcW w:w="497"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c>
          <w:tcPr>
            <w:tcW w:w="50" w:type="pct"/>
            <w:vAlign w:val="center"/>
            <w:hideMark/>
          </w:tcPr>
          <w:p w:rsidR="00000000" w:rsidRDefault="001F1FC8">
            <w:pPr>
              <w:rPr>
                <w:rFonts w:eastAsia="Times New Roman"/>
                <w:sz w:val="20"/>
                <w:szCs w:val="20"/>
              </w:rPr>
            </w:pPr>
          </w:p>
        </w:tc>
        <w:tc>
          <w:tcPr>
            <w:tcW w:w="497"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c>
          <w:tcPr>
            <w:tcW w:w="50" w:type="pct"/>
            <w:vAlign w:val="center"/>
            <w:hideMark/>
          </w:tcPr>
          <w:p w:rsidR="00000000" w:rsidRDefault="001F1FC8">
            <w:pPr>
              <w:rPr>
                <w:rFonts w:eastAsia="Times New Roman"/>
                <w:sz w:val="20"/>
                <w:szCs w:val="20"/>
              </w:rPr>
            </w:pPr>
          </w:p>
        </w:tc>
        <w:tc>
          <w:tcPr>
            <w:tcW w:w="874"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r>
      <w:tr w:rsidR="00000000">
        <w:trPr>
          <w:divId w:val="446237256"/>
        </w:trPr>
        <w:tc>
          <w:tcPr>
            <w:tcW w:w="0" w:type="auto"/>
            <w:gridSpan w:val="3"/>
            <w:tcMar>
              <w:top w:w="30" w:type="dxa"/>
              <w:left w:w="20" w:type="dxa"/>
              <w:bottom w:w="30" w:type="dxa"/>
              <w:right w:w="20" w:type="dxa"/>
            </w:tcMar>
            <w:vAlign w:val="bottom"/>
            <w:hideMark/>
          </w:tcPr>
          <w:p w:rsidR="00000000" w:rsidRDefault="001F1FC8">
            <w:pPr>
              <w:rPr>
                <w:rFonts w:eastAsia="Times New Roman"/>
              </w:rPr>
            </w:pPr>
            <w:r>
              <w:rPr>
                <w:rFonts w:ascii="Arial" w:eastAsia="Times New Roman" w:hAnsi="Arial" w:cs="Arial"/>
                <w:color w:val="000000"/>
                <w:sz w:val="20"/>
                <w:szCs w:val="20"/>
              </w:rPr>
              <w:t>December 31,</w:t>
            </w:r>
          </w:p>
        </w:tc>
        <w:tc>
          <w:tcPr>
            <w:tcW w:w="0" w:type="auto"/>
            <w:gridSpan w:val="3"/>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b/>
                <w:bCs/>
                <w:color w:val="000000"/>
                <w:sz w:val="20"/>
                <w:szCs w:val="20"/>
              </w:rPr>
              <w:t>2021</w:t>
            </w:r>
          </w:p>
        </w:tc>
        <w:tc>
          <w:tcPr>
            <w:tcW w:w="0" w:type="auto"/>
            <w:gridSpan w:val="3"/>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2020</w:t>
            </w:r>
          </w:p>
        </w:tc>
        <w:tc>
          <w:tcPr>
            <w:tcW w:w="0" w:type="auto"/>
            <w:gridSpan w:val="3"/>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 xml:space="preserve">Recovery/Refund </w:t>
            </w:r>
            <w:r>
              <w:rPr>
                <w:rFonts w:ascii="Arial" w:eastAsia="Times New Roman" w:hAnsi="Arial" w:cs="Arial"/>
                <w:color w:val="000000"/>
                <w:sz w:val="20"/>
                <w:szCs w:val="20"/>
              </w:rPr>
              <w:br/>
              <w:t>Period Ends</w:t>
            </w:r>
          </w:p>
        </w:tc>
      </w:tr>
      <w:tr w:rsidR="00000000">
        <w:trPr>
          <w:divId w:val="446237256"/>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1F1FC8">
            <w:pPr>
              <w:rPr>
                <w:rFonts w:eastAsia="Times New Roman"/>
              </w:rPr>
            </w:pPr>
            <w:r>
              <w:rPr>
                <w:rFonts w:ascii="Arial" w:eastAsia="Times New Roman" w:hAnsi="Arial" w:cs="Arial"/>
                <w:i/>
                <w:iCs/>
                <w:color w:val="000000"/>
                <w:sz w:val="16"/>
                <w:szCs w:val="16"/>
              </w:rPr>
              <w:t>(millions of Canadian dollars)</w:t>
            </w:r>
          </w:p>
        </w:tc>
        <w:tc>
          <w:tcPr>
            <w:tcW w:w="0" w:type="auto"/>
            <w:gridSpan w:val="3"/>
            <w:tcBorders>
              <w:top w:val="single" w:sz="4" w:space="0" w:color="000000"/>
            </w:tcBorders>
            <w:shd w:val="clear" w:color="auto" w:fill="D9D9D9"/>
            <w:tcMar>
              <w:top w:w="0" w:type="dxa"/>
              <w:left w:w="20" w:type="dxa"/>
              <w:bottom w:w="0" w:type="dxa"/>
              <w:right w:w="20" w:type="dxa"/>
            </w:tcMar>
            <w:vAlign w:val="center"/>
            <w:hideMark/>
          </w:tcPr>
          <w:p w:rsidR="00000000" w:rsidRDefault="001F1FC8">
            <w:pPr>
              <w:rPr>
                <w:rFonts w:eastAsia="Times New Roman"/>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1F1FC8">
            <w:pPr>
              <w:rPr>
                <w:rFonts w:eastAsia="Times New Roman"/>
                <w:sz w:val="20"/>
                <w:szCs w:val="20"/>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1F1FC8">
            <w:pPr>
              <w:rPr>
                <w:rFonts w:eastAsia="Times New Roman"/>
                <w:sz w:val="20"/>
                <w:szCs w:val="20"/>
              </w:rPr>
            </w:pPr>
          </w:p>
        </w:tc>
      </w:tr>
      <w:tr w:rsidR="00000000">
        <w:trPr>
          <w:divId w:val="446237256"/>
        </w:trPr>
        <w:tc>
          <w:tcPr>
            <w:tcW w:w="0" w:type="auto"/>
            <w:gridSpan w:val="3"/>
            <w:tcMar>
              <w:top w:w="30" w:type="dxa"/>
              <w:left w:w="20" w:type="dxa"/>
              <w:bottom w:w="30" w:type="dxa"/>
              <w:right w:w="20" w:type="dxa"/>
            </w:tcMar>
            <w:vAlign w:val="center"/>
            <w:hideMark/>
          </w:tcPr>
          <w:p w:rsidR="00000000" w:rsidRDefault="001F1FC8">
            <w:pPr>
              <w:rPr>
                <w:rFonts w:eastAsia="Times New Roman"/>
              </w:rPr>
            </w:pPr>
            <w:r>
              <w:rPr>
                <w:rFonts w:ascii="Arial" w:eastAsia="Times New Roman" w:hAnsi="Arial" w:cs="Arial"/>
                <w:color w:val="000000"/>
                <w:sz w:val="20"/>
                <w:szCs w:val="20"/>
              </w:rPr>
              <w:t>Current regulatory assets</w:t>
            </w:r>
          </w:p>
        </w:tc>
        <w:tc>
          <w:tcPr>
            <w:tcW w:w="0" w:type="auto"/>
            <w:gridSpan w:val="3"/>
            <w:shd w:val="clear" w:color="auto" w:fill="D9D9D9"/>
            <w:tcMar>
              <w:top w:w="0" w:type="dxa"/>
              <w:left w:w="20" w:type="dxa"/>
              <w:bottom w:w="0" w:type="dxa"/>
              <w:right w:w="20" w:type="dxa"/>
            </w:tcMar>
            <w:vAlign w:val="center"/>
            <w:hideMark/>
          </w:tcPr>
          <w:p w:rsidR="00000000" w:rsidRDefault="001F1FC8">
            <w:pPr>
              <w:rPr>
                <w:rFonts w:eastAsia="Times New Roman"/>
              </w:rPr>
            </w:pPr>
          </w:p>
        </w:tc>
        <w:tc>
          <w:tcPr>
            <w:tcW w:w="0" w:type="auto"/>
            <w:gridSpan w:val="3"/>
            <w:tcMar>
              <w:top w:w="0" w:type="dxa"/>
              <w:left w:w="20" w:type="dxa"/>
              <w:bottom w:w="0" w:type="dxa"/>
              <w:right w:w="20" w:type="dxa"/>
            </w:tcMar>
            <w:vAlign w:val="center"/>
            <w:hideMark/>
          </w:tcPr>
          <w:p w:rsidR="00000000" w:rsidRDefault="001F1FC8">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1F1FC8">
            <w:pPr>
              <w:rPr>
                <w:rFonts w:eastAsia="Times New Roman"/>
                <w:sz w:val="20"/>
                <w:szCs w:val="20"/>
              </w:rPr>
            </w:pPr>
          </w:p>
        </w:tc>
      </w:tr>
      <w:tr w:rsidR="00000000">
        <w:trPr>
          <w:divId w:val="446237256"/>
        </w:trPr>
        <w:tc>
          <w:tcPr>
            <w:tcW w:w="0" w:type="auto"/>
            <w:gridSpan w:val="3"/>
            <w:vAlign w:val="center"/>
            <w:hideMark/>
          </w:tcPr>
          <w:p w:rsidR="00000000" w:rsidRDefault="001F1FC8">
            <w:pPr>
              <w:rPr>
                <w:rFonts w:eastAsia="Times New Roman"/>
                <w:sz w:val="20"/>
                <w:szCs w:val="20"/>
              </w:rPr>
            </w:pPr>
          </w:p>
        </w:tc>
        <w:tc>
          <w:tcPr>
            <w:tcW w:w="0" w:type="auto"/>
            <w:gridSpan w:val="3"/>
            <w:vAlign w:val="center"/>
            <w:hideMark/>
          </w:tcPr>
          <w:p w:rsidR="00000000" w:rsidRDefault="001F1FC8">
            <w:pPr>
              <w:rPr>
                <w:rFonts w:eastAsia="Times New Roman"/>
                <w:sz w:val="20"/>
                <w:szCs w:val="20"/>
              </w:rPr>
            </w:pPr>
          </w:p>
        </w:tc>
        <w:tc>
          <w:tcPr>
            <w:tcW w:w="0" w:type="auto"/>
            <w:gridSpan w:val="3"/>
            <w:vAlign w:val="center"/>
            <w:hideMark/>
          </w:tcPr>
          <w:p w:rsidR="00000000" w:rsidRDefault="001F1FC8">
            <w:pPr>
              <w:rPr>
                <w:rFonts w:eastAsia="Times New Roman"/>
                <w:sz w:val="20"/>
                <w:szCs w:val="20"/>
              </w:rPr>
            </w:pPr>
          </w:p>
        </w:tc>
        <w:tc>
          <w:tcPr>
            <w:tcW w:w="0" w:type="auto"/>
            <w:gridSpan w:val="3"/>
            <w:vAlign w:val="center"/>
            <w:hideMark/>
          </w:tcPr>
          <w:p w:rsidR="00000000" w:rsidRDefault="001F1FC8">
            <w:pPr>
              <w:rPr>
                <w:rFonts w:eastAsia="Times New Roman"/>
                <w:sz w:val="20"/>
                <w:szCs w:val="20"/>
              </w:rPr>
            </w:pPr>
          </w:p>
        </w:tc>
      </w:tr>
      <w:tr w:rsidR="00000000">
        <w:trPr>
          <w:divId w:val="446237256"/>
        </w:trPr>
        <w:tc>
          <w:tcPr>
            <w:tcW w:w="0" w:type="auto"/>
            <w:gridSpan w:val="3"/>
            <w:tcMar>
              <w:top w:w="30" w:type="dxa"/>
              <w:left w:w="20" w:type="dxa"/>
              <w:bottom w:w="30" w:type="dxa"/>
              <w:right w:w="20" w:type="dxa"/>
            </w:tcMar>
            <w:vAlign w:val="center"/>
            <w:hideMark/>
          </w:tcPr>
          <w:p w:rsidR="00000000" w:rsidRDefault="001F1FC8">
            <w:pPr>
              <w:rPr>
                <w:rFonts w:eastAsia="Times New Roman"/>
              </w:rPr>
            </w:pPr>
            <w:r>
              <w:rPr>
                <w:rFonts w:ascii="Arial" w:eastAsia="Times New Roman" w:hAnsi="Arial" w:cs="Arial"/>
                <w:color w:val="000000"/>
                <w:sz w:val="20"/>
                <w:szCs w:val="20"/>
              </w:rPr>
              <w:t>   </w:t>
            </w:r>
            <w:r>
              <w:rPr>
                <w:rFonts w:ascii="Arial" w:eastAsia="Times New Roman" w:hAnsi="Arial" w:cs="Arial"/>
                <w:color w:val="000000"/>
                <w:sz w:val="20"/>
                <w:szCs w:val="20"/>
              </w:rPr>
              <w:t>Under-recovery of fuel costs</w:t>
            </w:r>
          </w:p>
        </w:tc>
        <w:tc>
          <w:tcPr>
            <w:tcW w:w="0" w:type="auto"/>
            <w:gridSpan w:val="2"/>
            <w:shd w:val="clear" w:color="auto" w:fill="D9D9D9"/>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b/>
                <w:bCs/>
                <w:color w:val="000000"/>
                <w:sz w:val="20"/>
                <w:szCs w:val="20"/>
              </w:rPr>
              <w:t>114</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20"/>
                <w:szCs w:val="20"/>
              </w:rPr>
              <w:t>86 </w:t>
            </w:r>
          </w:p>
        </w:tc>
        <w:tc>
          <w:tcPr>
            <w:tcW w:w="0" w:type="auto"/>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3"/>
            <w:tcMar>
              <w:top w:w="30" w:type="dxa"/>
              <w:left w:w="20" w:type="dxa"/>
              <w:bottom w:w="30" w:type="dxa"/>
              <w:right w:w="20" w:type="dxa"/>
            </w:tcMar>
            <w:vAlign w:val="center"/>
            <w:hideMark/>
          </w:tcPr>
          <w:p w:rsidR="00000000" w:rsidRDefault="001F1FC8">
            <w:pPr>
              <w:jc w:val="right"/>
              <w:rPr>
                <w:rFonts w:eastAsia="Times New Roman"/>
              </w:rPr>
            </w:pPr>
            <w:r>
              <w:rPr>
                <w:rFonts w:ascii="Arial" w:eastAsia="Times New Roman" w:hAnsi="Arial" w:cs="Arial"/>
                <w:color w:val="000000"/>
                <w:sz w:val="20"/>
                <w:szCs w:val="20"/>
              </w:rPr>
              <w:t>2022</w:t>
            </w:r>
          </w:p>
        </w:tc>
      </w:tr>
      <w:tr w:rsidR="00000000">
        <w:trPr>
          <w:divId w:val="446237256"/>
        </w:trPr>
        <w:tc>
          <w:tcPr>
            <w:tcW w:w="0" w:type="auto"/>
            <w:gridSpan w:val="3"/>
            <w:vAlign w:val="center"/>
            <w:hideMark/>
          </w:tcPr>
          <w:p w:rsidR="00000000" w:rsidRDefault="001F1FC8">
            <w:pPr>
              <w:jc w:val="right"/>
              <w:rPr>
                <w:rFonts w:eastAsia="Times New Roman"/>
              </w:rPr>
            </w:pPr>
          </w:p>
        </w:tc>
        <w:tc>
          <w:tcPr>
            <w:tcW w:w="0" w:type="auto"/>
            <w:gridSpan w:val="3"/>
            <w:vAlign w:val="center"/>
            <w:hideMark/>
          </w:tcPr>
          <w:p w:rsidR="00000000" w:rsidRDefault="001F1FC8">
            <w:pPr>
              <w:rPr>
                <w:rFonts w:eastAsia="Times New Roman"/>
                <w:sz w:val="20"/>
                <w:szCs w:val="20"/>
              </w:rPr>
            </w:pPr>
          </w:p>
        </w:tc>
        <w:tc>
          <w:tcPr>
            <w:tcW w:w="0" w:type="auto"/>
            <w:gridSpan w:val="3"/>
            <w:vAlign w:val="center"/>
            <w:hideMark/>
          </w:tcPr>
          <w:p w:rsidR="00000000" w:rsidRDefault="001F1FC8">
            <w:pPr>
              <w:rPr>
                <w:rFonts w:eastAsia="Times New Roman"/>
                <w:sz w:val="20"/>
                <w:szCs w:val="20"/>
              </w:rPr>
            </w:pPr>
          </w:p>
        </w:tc>
        <w:tc>
          <w:tcPr>
            <w:tcW w:w="0" w:type="auto"/>
            <w:gridSpan w:val="3"/>
            <w:vAlign w:val="center"/>
            <w:hideMark/>
          </w:tcPr>
          <w:p w:rsidR="00000000" w:rsidRDefault="001F1FC8">
            <w:pPr>
              <w:rPr>
                <w:rFonts w:eastAsia="Times New Roman"/>
                <w:sz w:val="20"/>
                <w:szCs w:val="20"/>
              </w:rPr>
            </w:pPr>
          </w:p>
        </w:tc>
      </w:tr>
      <w:tr w:rsidR="00000000">
        <w:trPr>
          <w:divId w:val="446237256"/>
        </w:trPr>
        <w:tc>
          <w:tcPr>
            <w:tcW w:w="0" w:type="auto"/>
            <w:gridSpan w:val="3"/>
            <w:vAlign w:val="center"/>
            <w:hideMark/>
          </w:tcPr>
          <w:p w:rsidR="00000000" w:rsidRDefault="001F1FC8">
            <w:pPr>
              <w:rPr>
                <w:rFonts w:eastAsia="Times New Roman"/>
                <w:sz w:val="20"/>
                <w:szCs w:val="20"/>
              </w:rPr>
            </w:pPr>
          </w:p>
        </w:tc>
        <w:tc>
          <w:tcPr>
            <w:tcW w:w="0" w:type="auto"/>
            <w:gridSpan w:val="3"/>
            <w:vAlign w:val="center"/>
            <w:hideMark/>
          </w:tcPr>
          <w:p w:rsidR="00000000" w:rsidRDefault="001F1FC8">
            <w:pPr>
              <w:rPr>
                <w:rFonts w:eastAsia="Times New Roman"/>
                <w:sz w:val="20"/>
                <w:szCs w:val="20"/>
              </w:rPr>
            </w:pPr>
          </w:p>
        </w:tc>
        <w:tc>
          <w:tcPr>
            <w:tcW w:w="0" w:type="auto"/>
            <w:gridSpan w:val="3"/>
            <w:vAlign w:val="center"/>
            <w:hideMark/>
          </w:tcPr>
          <w:p w:rsidR="00000000" w:rsidRDefault="001F1FC8">
            <w:pPr>
              <w:rPr>
                <w:rFonts w:eastAsia="Times New Roman"/>
                <w:sz w:val="20"/>
                <w:szCs w:val="20"/>
              </w:rPr>
            </w:pPr>
          </w:p>
        </w:tc>
        <w:tc>
          <w:tcPr>
            <w:tcW w:w="0" w:type="auto"/>
            <w:gridSpan w:val="3"/>
            <w:vAlign w:val="center"/>
            <w:hideMark/>
          </w:tcPr>
          <w:p w:rsidR="00000000" w:rsidRDefault="001F1FC8">
            <w:pPr>
              <w:rPr>
                <w:rFonts w:eastAsia="Times New Roman"/>
                <w:sz w:val="20"/>
                <w:szCs w:val="20"/>
              </w:rPr>
            </w:pPr>
          </w:p>
        </w:tc>
      </w:tr>
      <w:tr w:rsidR="00000000">
        <w:trPr>
          <w:divId w:val="446237256"/>
        </w:trPr>
        <w:tc>
          <w:tcPr>
            <w:tcW w:w="0" w:type="auto"/>
            <w:gridSpan w:val="3"/>
            <w:vAlign w:val="center"/>
            <w:hideMark/>
          </w:tcPr>
          <w:p w:rsidR="00000000" w:rsidRDefault="001F1FC8">
            <w:pPr>
              <w:rPr>
                <w:rFonts w:eastAsia="Times New Roman"/>
                <w:sz w:val="20"/>
                <w:szCs w:val="20"/>
              </w:rPr>
            </w:pPr>
          </w:p>
        </w:tc>
        <w:tc>
          <w:tcPr>
            <w:tcW w:w="0" w:type="auto"/>
            <w:gridSpan w:val="3"/>
            <w:vAlign w:val="center"/>
            <w:hideMark/>
          </w:tcPr>
          <w:p w:rsidR="00000000" w:rsidRDefault="001F1FC8">
            <w:pPr>
              <w:rPr>
                <w:rFonts w:eastAsia="Times New Roman"/>
                <w:sz w:val="20"/>
                <w:szCs w:val="20"/>
              </w:rPr>
            </w:pPr>
          </w:p>
        </w:tc>
        <w:tc>
          <w:tcPr>
            <w:tcW w:w="0" w:type="auto"/>
            <w:gridSpan w:val="3"/>
            <w:vAlign w:val="center"/>
            <w:hideMark/>
          </w:tcPr>
          <w:p w:rsidR="00000000" w:rsidRDefault="001F1FC8">
            <w:pPr>
              <w:rPr>
                <w:rFonts w:eastAsia="Times New Roman"/>
                <w:sz w:val="20"/>
                <w:szCs w:val="20"/>
              </w:rPr>
            </w:pPr>
          </w:p>
        </w:tc>
        <w:tc>
          <w:tcPr>
            <w:tcW w:w="0" w:type="auto"/>
            <w:gridSpan w:val="3"/>
            <w:vAlign w:val="center"/>
            <w:hideMark/>
          </w:tcPr>
          <w:p w:rsidR="00000000" w:rsidRDefault="001F1FC8">
            <w:pPr>
              <w:rPr>
                <w:rFonts w:eastAsia="Times New Roman"/>
                <w:sz w:val="20"/>
                <w:szCs w:val="20"/>
              </w:rPr>
            </w:pPr>
          </w:p>
        </w:tc>
      </w:tr>
      <w:tr w:rsidR="00000000">
        <w:trPr>
          <w:divId w:val="446237256"/>
        </w:trPr>
        <w:tc>
          <w:tcPr>
            <w:tcW w:w="0" w:type="auto"/>
            <w:gridSpan w:val="3"/>
            <w:vAlign w:val="center"/>
            <w:hideMark/>
          </w:tcPr>
          <w:p w:rsidR="00000000" w:rsidRDefault="001F1FC8">
            <w:pPr>
              <w:rPr>
                <w:rFonts w:eastAsia="Times New Roman"/>
                <w:sz w:val="20"/>
                <w:szCs w:val="20"/>
              </w:rPr>
            </w:pPr>
          </w:p>
        </w:tc>
        <w:tc>
          <w:tcPr>
            <w:tcW w:w="0" w:type="auto"/>
            <w:gridSpan w:val="3"/>
            <w:vAlign w:val="center"/>
            <w:hideMark/>
          </w:tcPr>
          <w:p w:rsidR="00000000" w:rsidRDefault="001F1FC8">
            <w:pPr>
              <w:rPr>
                <w:rFonts w:eastAsia="Times New Roman"/>
                <w:sz w:val="20"/>
                <w:szCs w:val="20"/>
              </w:rPr>
            </w:pPr>
          </w:p>
        </w:tc>
        <w:tc>
          <w:tcPr>
            <w:tcW w:w="0" w:type="auto"/>
            <w:gridSpan w:val="3"/>
            <w:vAlign w:val="center"/>
            <w:hideMark/>
          </w:tcPr>
          <w:p w:rsidR="00000000" w:rsidRDefault="001F1FC8">
            <w:pPr>
              <w:rPr>
                <w:rFonts w:eastAsia="Times New Roman"/>
                <w:sz w:val="20"/>
                <w:szCs w:val="20"/>
              </w:rPr>
            </w:pPr>
          </w:p>
        </w:tc>
        <w:tc>
          <w:tcPr>
            <w:tcW w:w="0" w:type="auto"/>
            <w:gridSpan w:val="3"/>
            <w:vAlign w:val="center"/>
            <w:hideMark/>
          </w:tcPr>
          <w:p w:rsidR="00000000" w:rsidRDefault="001F1FC8">
            <w:pPr>
              <w:rPr>
                <w:rFonts w:eastAsia="Times New Roman"/>
                <w:sz w:val="20"/>
                <w:szCs w:val="20"/>
              </w:rPr>
            </w:pPr>
          </w:p>
        </w:tc>
      </w:tr>
      <w:tr w:rsidR="00000000">
        <w:trPr>
          <w:divId w:val="446237256"/>
        </w:trPr>
        <w:tc>
          <w:tcPr>
            <w:tcW w:w="0" w:type="auto"/>
            <w:gridSpan w:val="3"/>
            <w:vAlign w:val="center"/>
            <w:hideMark/>
          </w:tcPr>
          <w:p w:rsidR="00000000" w:rsidRDefault="001F1FC8">
            <w:pPr>
              <w:rPr>
                <w:rFonts w:eastAsia="Times New Roman"/>
                <w:sz w:val="20"/>
                <w:szCs w:val="20"/>
              </w:rPr>
            </w:pPr>
          </w:p>
        </w:tc>
        <w:tc>
          <w:tcPr>
            <w:tcW w:w="0" w:type="auto"/>
            <w:gridSpan w:val="3"/>
            <w:vAlign w:val="center"/>
            <w:hideMark/>
          </w:tcPr>
          <w:p w:rsidR="00000000" w:rsidRDefault="001F1FC8">
            <w:pPr>
              <w:rPr>
                <w:rFonts w:eastAsia="Times New Roman"/>
                <w:sz w:val="20"/>
                <w:szCs w:val="20"/>
              </w:rPr>
            </w:pPr>
          </w:p>
        </w:tc>
        <w:tc>
          <w:tcPr>
            <w:tcW w:w="0" w:type="auto"/>
            <w:gridSpan w:val="3"/>
            <w:vAlign w:val="center"/>
            <w:hideMark/>
          </w:tcPr>
          <w:p w:rsidR="00000000" w:rsidRDefault="001F1FC8">
            <w:pPr>
              <w:rPr>
                <w:rFonts w:eastAsia="Times New Roman"/>
                <w:sz w:val="20"/>
                <w:szCs w:val="20"/>
              </w:rPr>
            </w:pPr>
          </w:p>
        </w:tc>
        <w:tc>
          <w:tcPr>
            <w:tcW w:w="0" w:type="auto"/>
            <w:gridSpan w:val="3"/>
            <w:vAlign w:val="center"/>
            <w:hideMark/>
          </w:tcPr>
          <w:p w:rsidR="00000000" w:rsidRDefault="001F1FC8">
            <w:pPr>
              <w:rPr>
                <w:rFonts w:eastAsia="Times New Roman"/>
                <w:sz w:val="20"/>
                <w:szCs w:val="20"/>
              </w:rPr>
            </w:pPr>
          </w:p>
        </w:tc>
      </w:tr>
      <w:tr w:rsidR="00000000">
        <w:trPr>
          <w:divId w:val="446237256"/>
        </w:trPr>
        <w:tc>
          <w:tcPr>
            <w:tcW w:w="0" w:type="auto"/>
            <w:gridSpan w:val="3"/>
            <w:tcMar>
              <w:top w:w="30" w:type="dxa"/>
              <w:left w:w="20" w:type="dxa"/>
              <w:bottom w:w="30" w:type="dxa"/>
              <w:right w:w="20" w:type="dxa"/>
            </w:tcMar>
            <w:vAlign w:val="center"/>
            <w:hideMark/>
          </w:tcPr>
          <w:p w:rsidR="00000000" w:rsidRDefault="001F1FC8">
            <w:pPr>
              <w:rPr>
                <w:rFonts w:eastAsia="Times New Roman"/>
              </w:rPr>
            </w:pPr>
            <w:r>
              <w:rPr>
                <w:rFonts w:ascii="Arial" w:eastAsia="Times New Roman" w:hAnsi="Arial" w:cs="Arial"/>
                <w:color w:val="000000"/>
                <w:sz w:val="20"/>
                <w:szCs w:val="20"/>
              </w:rPr>
              <w:t>   Other current regulatory assets</w:t>
            </w:r>
          </w:p>
        </w:tc>
        <w:tc>
          <w:tcPr>
            <w:tcW w:w="0" w:type="auto"/>
            <w:gridSpan w:val="2"/>
            <w:shd w:val="clear" w:color="auto" w:fill="D9D9D9"/>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b/>
                <w:bCs/>
                <w:color w:val="000000"/>
                <w:sz w:val="20"/>
                <w:szCs w:val="20"/>
              </w:rPr>
              <w:t>145</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20"/>
                <w:szCs w:val="20"/>
              </w:rPr>
              <w:t>146 </w:t>
            </w:r>
          </w:p>
        </w:tc>
        <w:tc>
          <w:tcPr>
            <w:tcW w:w="0" w:type="auto"/>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3"/>
            <w:tcMar>
              <w:top w:w="30" w:type="dxa"/>
              <w:left w:w="20" w:type="dxa"/>
              <w:bottom w:w="30" w:type="dxa"/>
              <w:right w:w="20" w:type="dxa"/>
            </w:tcMar>
            <w:vAlign w:val="center"/>
            <w:hideMark/>
          </w:tcPr>
          <w:p w:rsidR="00000000" w:rsidRDefault="001F1FC8">
            <w:pPr>
              <w:jc w:val="right"/>
              <w:rPr>
                <w:rFonts w:eastAsia="Times New Roman"/>
              </w:rPr>
            </w:pPr>
            <w:r>
              <w:rPr>
                <w:rFonts w:ascii="Arial" w:eastAsia="Times New Roman" w:hAnsi="Arial" w:cs="Arial"/>
                <w:color w:val="000000"/>
                <w:sz w:val="20"/>
                <w:szCs w:val="20"/>
              </w:rPr>
              <w:t>2022</w:t>
            </w:r>
          </w:p>
        </w:tc>
      </w:tr>
      <w:tr w:rsidR="00000000">
        <w:trPr>
          <w:divId w:val="446237256"/>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1F1FC8">
            <w:pPr>
              <w:divId w:val="1524175498"/>
              <w:rPr>
                <w:rFonts w:eastAsia="Times New Roman"/>
              </w:rPr>
            </w:pPr>
            <w:r>
              <w:rPr>
                <w:rFonts w:ascii="Arial" w:eastAsia="Times New Roman" w:hAnsi="Arial" w:cs="Arial"/>
                <w:color w:val="000000"/>
                <w:sz w:val="20"/>
                <w:szCs w:val="20"/>
              </w:rPr>
              <w:t>Total current regulatory asset</w:t>
            </w:r>
            <w:r>
              <w:rPr>
                <w:rFonts w:ascii="Arial" w:eastAsia="Times New Roman" w:hAnsi="Arial" w:cs="Arial"/>
                <w:color w:val="000000"/>
                <w:sz w:val="20"/>
                <w:szCs w:val="20"/>
              </w:rPr>
              <w:t>s</w:t>
            </w:r>
            <w:r>
              <w:rPr>
                <w:rFonts w:ascii="Arial" w:eastAsia="Times New Roman" w:hAnsi="Arial" w:cs="Arial"/>
                <w:color w:val="000000"/>
                <w:sz w:val="10"/>
                <w:szCs w:val="10"/>
              </w:rPr>
              <w:t>1</w:t>
            </w:r>
            <w:r>
              <w:rPr>
                <w:rFonts w:ascii="Arial" w:eastAsia="Times New Roman" w:hAnsi="Arial" w:cs="Arial"/>
                <w:color w:val="000000"/>
                <w:sz w:val="10"/>
                <w:szCs w:val="10"/>
              </w:rPr>
              <w:t xml:space="preserve"> </w:t>
            </w:r>
            <w:r>
              <w:rPr>
                <w:rFonts w:ascii="Arial" w:eastAsia="Times New Roman" w:hAnsi="Arial" w:cs="Arial"/>
                <w:i/>
                <w:iCs/>
                <w:color w:val="000000"/>
                <w:sz w:val="16"/>
                <w:szCs w:val="16"/>
              </w:rPr>
              <w:t>(Note 9)</w:t>
            </w:r>
          </w:p>
        </w:tc>
        <w:tc>
          <w:tcPr>
            <w:tcW w:w="0" w:type="auto"/>
            <w:gridSpan w:val="2"/>
            <w:tcBorders>
              <w:top w:val="single" w:sz="4" w:space="0" w:color="000000"/>
            </w:tcBorders>
            <w:shd w:val="clear" w:color="auto" w:fill="D9D9D9"/>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b/>
                <w:bCs/>
                <w:color w:val="000000"/>
                <w:sz w:val="20"/>
                <w:szCs w:val="20"/>
              </w:rPr>
              <w:t>259</w:t>
            </w:r>
            <w:r>
              <w:rPr>
                <w:rFonts w:ascii="Arial" w:eastAsia="Times New Roman" w:hAnsi="Arial" w:cs="Arial"/>
                <w:color w:val="000000"/>
                <w:sz w:val="20"/>
                <w:szCs w:val="20"/>
              </w:rPr>
              <w:t> </w:t>
            </w:r>
          </w:p>
        </w:tc>
        <w:tc>
          <w:tcPr>
            <w:tcW w:w="0" w:type="auto"/>
            <w:tcBorders>
              <w:top w:val="single" w:sz="4" w:space="0" w:color="000000"/>
            </w:tcBorders>
            <w:shd w:val="clear" w:color="auto" w:fill="D9D9D9"/>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20"/>
                <w:szCs w:val="20"/>
              </w:rPr>
              <w:t>232 </w:t>
            </w:r>
          </w:p>
        </w:tc>
        <w:tc>
          <w:tcPr>
            <w:tcW w:w="0" w:type="auto"/>
            <w:tcBorders>
              <w:top w:val="single" w:sz="4" w:space="0" w:color="000000"/>
            </w:tcBorders>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1F1FC8">
            <w:pPr>
              <w:jc w:val="right"/>
              <w:rPr>
                <w:rFonts w:eastAsia="Times New Roman"/>
                <w:sz w:val="20"/>
                <w:szCs w:val="20"/>
              </w:rPr>
            </w:pPr>
          </w:p>
        </w:tc>
      </w:tr>
      <w:tr w:rsidR="00000000">
        <w:trPr>
          <w:divId w:val="446237256"/>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1F1FC8">
            <w:pPr>
              <w:rPr>
                <w:rFonts w:eastAsia="Times New Roman"/>
              </w:rPr>
            </w:pPr>
            <w:r>
              <w:rPr>
                <w:rFonts w:ascii="Arial" w:eastAsia="Times New Roman" w:hAnsi="Arial" w:cs="Arial"/>
                <w:color w:val="000000"/>
                <w:sz w:val="20"/>
                <w:szCs w:val="20"/>
              </w:rPr>
              <w:t>Long-term regulatory assets</w:t>
            </w:r>
          </w:p>
        </w:tc>
        <w:tc>
          <w:tcPr>
            <w:tcW w:w="0" w:type="auto"/>
            <w:gridSpan w:val="3"/>
            <w:tcBorders>
              <w:top w:val="single" w:sz="4" w:space="0" w:color="000000"/>
            </w:tcBorders>
            <w:shd w:val="clear" w:color="auto" w:fill="D9D9D9"/>
            <w:tcMar>
              <w:top w:w="0" w:type="dxa"/>
              <w:left w:w="20" w:type="dxa"/>
              <w:bottom w:w="0" w:type="dxa"/>
              <w:right w:w="20" w:type="dxa"/>
            </w:tcMar>
            <w:vAlign w:val="center"/>
            <w:hideMark/>
          </w:tcPr>
          <w:p w:rsidR="00000000" w:rsidRDefault="001F1FC8">
            <w:pPr>
              <w:rPr>
                <w:rFonts w:eastAsia="Times New Roman"/>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1F1FC8">
            <w:pPr>
              <w:rPr>
                <w:rFonts w:eastAsia="Times New Roman"/>
                <w:sz w:val="20"/>
                <w:szCs w:val="20"/>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1F1FC8">
            <w:pPr>
              <w:rPr>
                <w:rFonts w:eastAsia="Times New Roman"/>
                <w:sz w:val="20"/>
                <w:szCs w:val="20"/>
              </w:rPr>
            </w:pPr>
          </w:p>
        </w:tc>
      </w:tr>
      <w:tr w:rsidR="00000000">
        <w:trPr>
          <w:divId w:val="446237256"/>
        </w:trPr>
        <w:tc>
          <w:tcPr>
            <w:tcW w:w="0" w:type="auto"/>
            <w:gridSpan w:val="3"/>
            <w:tcMar>
              <w:top w:w="30" w:type="dxa"/>
              <w:left w:w="20" w:type="dxa"/>
              <w:bottom w:w="30" w:type="dxa"/>
              <w:right w:w="20" w:type="dxa"/>
            </w:tcMar>
            <w:vAlign w:val="center"/>
            <w:hideMark/>
          </w:tcPr>
          <w:p w:rsidR="00000000" w:rsidRDefault="001F1FC8">
            <w:pPr>
              <w:divId w:val="1433355080"/>
              <w:rPr>
                <w:rFonts w:eastAsia="Times New Roman"/>
              </w:rPr>
            </w:pPr>
            <w:r>
              <w:rPr>
                <w:rFonts w:ascii="Arial" w:eastAsia="Times New Roman" w:hAnsi="Arial" w:cs="Arial"/>
                <w:color w:val="000000"/>
                <w:sz w:val="20"/>
                <w:szCs w:val="20"/>
              </w:rPr>
              <w:t>   Deferred income taxe</w:t>
            </w:r>
            <w:r>
              <w:rPr>
                <w:rFonts w:ascii="Arial" w:eastAsia="Times New Roman" w:hAnsi="Arial" w:cs="Arial"/>
                <w:color w:val="000000"/>
                <w:sz w:val="20"/>
                <w:szCs w:val="20"/>
              </w:rPr>
              <w:t>s</w:t>
            </w:r>
            <w:r>
              <w:rPr>
                <w:rFonts w:ascii="Arial" w:eastAsia="Times New Roman" w:hAnsi="Arial" w:cs="Arial"/>
                <w:color w:val="000000"/>
                <w:sz w:val="10"/>
                <w:szCs w:val="10"/>
              </w:rPr>
              <w:t>2</w:t>
            </w:r>
          </w:p>
        </w:tc>
        <w:tc>
          <w:tcPr>
            <w:tcW w:w="0" w:type="auto"/>
            <w:gridSpan w:val="2"/>
            <w:shd w:val="clear" w:color="auto" w:fill="D9D9D9"/>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b/>
                <w:bCs/>
                <w:color w:val="000000"/>
                <w:sz w:val="20"/>
                <w:szCs w:val="20"/>
              </w:rPr>
              <w:t>4,176</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20"/>
                <w:szCs w:val="20"/>
              </w:rPr>
              <w:t>3,890 </w:t>
            </w:r>
          </w:p>
        </w:tc>
        <w:tc>
          <w:tcPr>
            <w:tcW w:w="0" w:type="auto"/>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3"/>
            <w:tcMar>
              <w:top w:w="30" w:type="dxa"/>
              <w:left w:w="20" w:type="dxa"/>
              <w:bottom w:w="30" w:type="dxa"/>
              <w:right w:w="20" w:type="dxa"/>
            </w:tcMar>
            <w:vAlign w:val="center"/>
            <w:hideMark/>
          </w:tcPr>
          <w:p w:rsidR="00000000" w:rsidRDefault="001F1FC8">
            <w:pPr>
              <w:jc w:val="right"/>
              <w:rPr>
                <w:rFonts w:eastAsia="Times New Roman"/>
              </w:rPr>
            </w:pPr>
            <w:r>
              <w:rPr>
                <w:rFonts w:ascii="Arial" w:eastAsia="Times New Roman" w:hAnsi="Arial" w:cs="Arial"/>
                <w:color w:val="000000"/>
                <w:sz w:val="20"/>
                <w:szCs w:val="20"/>
              </w:rPr>
              <w:t>Various</w:t>
            </w:r>
          </w:p>
        </w:tc>
      </w:tr>
      <w:tr w:rsidR="00000000">
        <w:trPr>
          <w:divId w:val="446237256"/>
        </w:trPr>
        <w:tc>
          <w:tcPr>
            <w:tcW w:w="0" w:type="auto"/>
            <w:gridSpan w:val="3"/>
            <w:tcMar>
              <w:top w:w="30" w:type="dxa"/>
              <w:left w:w="20" w:type="dxa"/>
              <w:bottom w:w="30" w:type="dxa"/>
              <w:right w:w="20" w:type="dxa"/>
            </w:tcMar>
            <w:vAlign w:val="center"/>
            <w:hideMark/>
          </w:tcPr>
          <w:p w:rsidR="00000000" w:rsidRDefault="001F1FC8">
            <w:pPr>
              <w:divId w:val="1028799789"/>
              <w:rPr>
                <w:rFonts w:eastAsia="Times New Roman"/>
              </w:rPr>
            </w:pPr>
            <w:r>
              <w:rPr>
                <w:rFonts w:ascii="Arial" w:eastAsia="Times New Roman" w:hAnsi="Arial" w:cs="Arial"/>
                <w:color w:val="000000"/>
                <w:sz w:val="20"/>
                <w:szCs w:val="20"/>
              </w:rPr>
              <w:t>   Long-term deb</w:t>
            </w:r>
            <w:r>
              <w:rPr>
                <w:rFonts w:ascii="Arial" w:eastAsia="Times New Roman" w:hAnsi="Arial" w:cs="Arial"/>
                <w:color w:val="000000"/>
                <w:sz w:val="20"/>
                <w:szCs w:val="20"/>
              </w:rPr>
              <w:t>t</w:t>
            </w:r>
            <w:r>
              <w:rPr>
                <w:rFonts w:ascii="Arial" w:eastAsia="Times New Roman" w:hAnsi="Arial" w:cs="Arial"/>
                <w:color w:val="000000"/>
                <w:sz w:val="10"/>
                <w:szCs w:val="10"/>
              </w:rPr>
              <w:t>3</w:t>
            </w:r>
          </w:p>
        </w:tc>
        <w:tc>
          <w:tcPr>
            <w:tcW w:w="0" w:type="auto"/>
            <w:gridSpan w:val="2"/>
            <w:shd w:val="clear" w:color="auto" w:fill="D9D9D9"/>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b/>
                <w:bCs/>
                <w:color w:val="000000"/>
                <w:sz w:val="20"/>
                <w:szCs w:val="20"/>
              </w:rPr>
              <w:t>398</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20"/>
                <w:szCs w:val="20"/>
              </w:rPr>
              <w:t>429 </w:t>
            </w:r>
          </w:p>
        </w:tc>
        <w:tc>
          <w:tcPr>
            <w:tcW w:w="0" w:type="auto"/>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3"/>
            <w:tcMar>
              <w:top w:w="30" w:type="dxa"/>
              <w:left w:w="20" w:type="dxa"/>
              <w:bottom w:w="30" w:type="dxa"/>
              <w:right w:w="20" w:type="dxa"/>
            </w:tcMar>
            <w:vAlign w:val="center"/>
            <w:hideMark/>
          </w:tcPr>
          <w:p w:rsidR="00000000" w:rsidRDefault="001F1FC8">
            <w:pPr>
              <w:jc w:val="right"/>
              <w:rPr>
                <w:rFonts w:eastAsia="Times New Roman"/>
              </w:rPr>
            </w:pPr>
            <w:r>
              <w:rPr>
                <w:rFonts w:ascii="Arial" w:eastAsia="Times New Roman" w:hAnsi="Arial" w:cs="Arial"/>
                <w:color w:val="000000"/>
                <w:sz w:val="20"/>
                <w:szCs w:val="20"/>
              </w:rPr>
              <w:t>2023-2046</w:t>
            </w:r>
          </w:p>
        </w:tc>
      </w:tr>
      <w:tr w:rsidR="00000000">
        <w:trPr>
          <w:divId w:val="446237256"/>
        </w:trPr>
        <w:tc>
          <w:tcPr>
            <w:tcW w:w="0" w:type="auto"/>
            <w:gridSpan w:val="3"/>
            <w:tcMar>
              <w:top w:w="30" w:type="dxa"/>
              <w:left w:w="20" w:type="dxa"/>
              <w:bottom w:w="30" w:type="dxa"/>
              <w:right w:w="20" w:type="dxa"/>
            </w:tcMar>
            <w:vAlign w:val="center"/>
            <w:hideMark/>
          </w:tcPr>
          <w:p w:rsidR="00000000" w:rsidRDefault="001F1FC8">
            <w:pPr>
              <w:divId w:val="1913852457"/>
              <w:rPr>
                <w:rFonts w:eastAsia="Times New Roman"/>
              </w:rPr>
            </w:pPr>
            <w:r>
              <w:rPr>
                <w:rFonts w:ascii="Arial" w:eastAsia="Times New Roman" w:hAnsi="Arial" w:cs="Arial"/>
                <w:color w:val="000000"/>
                <w:sz w:val="20"/>
                <w:szCs w:val="20"/>
              </w:rPr>
              <w:t>Negative salvag</w:t>
            </w:r>
            <w:r>
              <w:rPr>
                <w:rFonts w:ascii="Arial" w:eastAsia="Times New Roman" w:hAnsi="Arial" w:cs="Arial"/>
                <w:color w:val="000000"/>
                <w:sz w:val="20"/>
                <w:szCs w:val="20"/>
              </w:rPr>
              <w:t>e</w:t>
            </w:r>
            <w:r>
              <w:rPr>
                <w:rFonts w:ascii="Arial" w:eastAsia="Times New Roman" w:hAnsi="Arial" w:cs="Arial"/>
                <w:color w:val="000000"/>
                <w:sz w:val="10"/>
                <w:szCs w:val="10"/>
              </w:rPr>
              <w:t>4</w:t>
            </w:r>
          </w:p>
        </w:tc>
        <w:tc>
          <w:tcPr>
            <w:tcW w:w="0" w:type="auto"/>
            <w:gridSpan w:val="2"/>
            <w:shd w:val="clear" w:color="auto" w:fill="D9D9D9"/>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b/>
                <w:bCs/>
                <w:color w:val="000000"/>
                <w:sz w:val="20"/>
                <w:szCs w:val="20"/>
              </w:rPr>
              <w:t>243</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20"/>
                <w:szCs w:val="20"/>
              </w:rPr>
              <w:t>246 </w:t>
            </w:r>
          </w:p>
        </w:tc>
        <w:tc>
          <w:tcPr>
            <w:tcW w:w="0" w:type="auto"/>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3"/>
            <w:tcMar>
              <w:top w:w="30" w:type="dxa"/>
              <w:left w:w="20" w:type="dxa"/>
              <w:bottom w:w="30" w:type="dxa"/>
              <w:right w:w="20" w:type="dxa"/>
            </w:tcMar>
            <w:vAlign w:val="center"/>
            <w:hideMark/>
          </w:tcPr>
          <w:p w:rsidR="00000000" w:rsidRDefault="001F1FC8">
            <w:pPr>
              <w:jc w:val="right"/>
              <w:rPr>
                <w:rFonts w:eastAsia="Times New Roman"/>
              </w:rPr>
            </w:pPr>
            <w:r>
              <w:rPr>
                <w:rFonts w:ascii="Arial" w:eastAsia="Times New Roman" w:hAnsi="Arial" w:cs="Arial"/>
                <w:color w:val="000000"/>
                <w:sz w:val="20"/>
                <w:szCs w:val="20"/>
              </w:rPr>
              <w:t>Various</w:t>
            </w:r>
          </w:p>
        </w:tc>
      </w:tr>
      <w:tr w:rsidR="00000000">
        <w:trPr>
          <w:divId w:val="446237256"/>
        </w:trPr>
        <w:tc>
          <w:tcPr>
            <w:tcW w:w="0" w:type="auto"/>
            <w:gridSpan w:val="3"/>
            <w:tcMar>
              <w:top w:w="30" w:type="dxa"/>
              <w:left w:w="20" w:type="dxa"/>
              <w:bottom w:w="30" w:type="dxa"/>
              <w:right w:w="20" w:type="dxa"/>
            </w:tcMar>
            <w:vAlign w:val="center"/>
            <w:hideMark/>
          </w:tcPr>
          <w:p w:rsidR="00000000" w:rsidRDefault="001F1FC8">
            <w:pPr>
              <w:rPr>
                <w:rFonts w:eastAsia="Times New Roman"/>
              </w:rPr>
            </w:pPr>
            <w:r>
              <w:rPr>
                <w:rFonts w:ascii="Arial" w:eastAsia="Times New Roman" w:hAnsi="Arial" w:cs="Arial"/>
                <w:color w:val="000000"/>
                <w:sz w:val="20"/>
                <w:szCs w:val="20"/>
              </w:rPr>
              <w:t>   Purchase gas variance</w:t>
            </w:r>
          </w:p>
        </w:tc>
        <w:tc>
          <w:tcPr>
            <w:tcW w:w="0" w:type="auto"/>
            <w:gridSpan w:val="2"/>
            <w:shd w:val="clear" w:color="auto" w:fill="D9D9D9"/>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b/>
                <w:bCs/>
                <w:color w:val="000000"/>
                <w:sz w:val="20"/>
                <w:szCs w:val="20"/>
              </w:rPr>
              <w:t>215</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20"/>
                <w:szCs w:val="20"/>
              </w:rPr>
              <w:t>— </w:t>
            </w:r>
          </w:p>
        </w:tc>
        <w:tc>
          <w:tcPr>
            <w:tcW w:w="0" w:type="auto"/>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3"/>
            <w:tcMar>
              <w:top w:w="30" w:type="dxa"/>
              <w:left w:w="20" w:type="dxa"/>
              <w:bottom w:w="30" w:type="dxa"/>
              <w:right w:w="20" w:type="dxa"/>
            </w:tcMar>
            <w:vAlign w:val="center"/>
            <w:hideMark/>
          </w:tcPr>
          <w:p w:rsidR="00000000" w:rsidRDefault="001F1FC8">
            <w:pPr>
              <w:jc w:val="right"/>
              <w:rPr>
                <w:rFonts w:eastAsia="Times New Roman"/>
              </w:rPr>
            </w:pPr>
            <w:r>
              <w:rPr>
                <w:rFonts w:ascii="Arial" w:eastAsia="Times New Roman" w:hAnsi="Arial" w:cs="Arial"/>
                <w:color w:val="000000"/>
                <w:sz w:val="20"/>
                <w:szCs w:val="20"/>
              </w:rPr>
              <w:t>2023</w:t>
            </w:r>
          </w:p>
        </w:tc>
      </w:tr>
      <w:tr w:rsidR="00000000">
        <w:trPr>
          <w:divId w:val="446237256"/>
        </w:trPr>
        <w:tc>
          <w:tcPr>
            <w:tcW w:w="0" w:type="auto"/>
            <w:gridSpan w:val="3"/>
            <w:tcMar>
              <w:top w:w="30" w:type="dxa"/>
              <w:left w:w="20" w:type="dxa"/>
              <w:bottom w:w="30" w:type="dxa"/>
              <w:right w:w="20" w:type="dxa"/>
            </w:tcMar>
            <w:vAlign w:val="center"/>
            <w:hideMark/>
          </w:tcPr>
          <w:p w:rsidR="00000000" w:rsidRDefault="001F1FC8">
            <w:pPr>
              <w:divId w:val="1207375329"/>
              <w:rPr>
                <w:rFonts w:eastAsia="Times New Roman"/>
              </w:rPr>
            </w:pPr>
            <w:r>
              <w:rPr>
                <w:rFonts w:ascii="Arial" w:eastAsia="Times New Roman" w:hAnsi="Arial" w:cs="Arial"/>
                <w:color w:val="000000"/>
                <w:sz w:val="20"/>
                <w:szCs w:val="20"/>
              </w:rPr>
              <w:t>   </w:t>
            </w:r>
            <w:r>
              <w:rPr>
                <w:rFonts w:ascii="Arial" w:eastAsia="Times New Roman" w:hAnsi="Arial" w:cs="Arial"/>
                <w:color w:val="000000"/>
                <w:sz w:val="20"/>
                <w:szCs w:val="20"/>
              </w:rPr>
              <w:t>Accounting policy change</w:t>
            </w:r>
            <w:r>
              <w:rPr>
                <w:rFonts w:ascii="Arial" w:eastAsia="Times New Roman" w:hAnsi="Arial" w:cs="Arial"/>
                <w:color w:val="000000"/>
                <w:sz w:val="20"/>
                <w:szCs w:val="20"/>
              </w:rPr>
              <w:t>s</w:t>
            </w:r>
            <w:r>
              <w:rPr>
                <w:rFonts w:ascii="Arial" w:eastAsia="Times New Roman" w:hAnsi="Arial" w:cs="Arial"/>
                <w:color w:val="000000"/>
                <w:sz w:val="10"/>
                <w:szCs w:val="10"/>
              </w:rPr>
              <w:t>5</w:t>
            </w:r>
          </w:p>
        </w:tc>
        <w:tc>
          <w:tcPr>
            <w:tcW w:w="0" w:type="auto"/>
            <w:gridSpan w:val="2"/>
            <w:shd w:val="clear" w:color="auto" w:fill="D9D9D9"/>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b/>
                <w:bCs/>
                <w:color w:val="000000"/>
                <w:sz w:val="20"/>
                <w:szCs w:val="20"/>
              </w:rPr>
              <w:t>157</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20"/>
                <w:szCs w:val="20"/>
              </w:rPr>
              <w:t>169 </w:t>
            </w:r>
          </w:p>
        </w:tc>
        <w:tc>
          <w:tcPr>
            <w:tcW w:w="0" w:type="auto"/>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3"/>
            <w:tcMar>
              <w:top w:w="30" w:type="dxa"/>
              <w:left w:w="20" w:type="dxa"/>
              <w:bottom w:w="30" w:type="dxa"/>
              <w:right w:w="20" w:type="dxa"/>
            </w:tcMar>
            <w:vAlign w:val="center"/>
            <w:hideMark/>
          </w:tcPr>
          <w:p w:rsidR="00000000" w:rsidRDefault="001F1FC8">
            <w:pPr>
              <w:jc w:val="right"/>
              <w:rPr>
                <w:rFonts w:eastAsia="Times New Roman"/>
              </w:rPr>
            </w:pPr>
            <w:r>
              <w:rPr>
                <w:rFonts w:ascii="Arial" w:eastAsia="Times New Roman" w:hAnsi="Arial" w:cs="Arial"/>
                <w:color w:val="000000"/>
                <w:sz w:val="20"/>
                <w:szCs w:val="20"/>
              </w:rPr>
              <w:t>Various</w:t>
            </w:r>
          </w:p>
        </w:tc>
      </w:tr>
      <w:tr w:rsidR="00000000">
        <w:trPr>
          <w:divId w:val="446237256"/>
        </w:trPr>
        <w:tc>
          <w:tcPr>
            <w:tcW w:w="0" w:type="auto"/>
            <w:gridSpan w:val="3"/>
            <w:tcMar>
              <w:top w:w="30" w:type="dxa"/>
              <w:left w:w="20" w:type="dxa"/>
              <w:bottom w:w="30" w:type="dxa"/>
              <w:right w:w="20" w:type="dxa"/>
            </w:tcMar>
            <w:vAlign w:val="center"/>
            <w:hideMark/>
          </w:tcPr>
          <w:p w:rsidR="00000000" w:rsidRDefault="001F1FC8">
            <w:pPr>
              <w:divId w:val="1433208104"/>
              <w:rPr>
                <w:rFonts w:eastAsia="Times New Roman"/>
              </w:rPr>
            </w:pPr>
            <w:r>
              <w:rPr>
                <w:rFonts w:ascii="Arial" w:eastAsia="Times New Roman" w:hAnsi="Arial" w:cs="Arial"/>
                <w:color w:val="000000"/>
                <w:sz w:val="20"/>
                <w:szCs w:val="20"/>
              </w:rPr>
              <w:t>   Pension plan receivabl</w:t>
            </w:r>
            <w:r>
              <w:rPr>
                <w:rFonts w:ascii="Arial" w:eastAsia="Times New Roman" w:hAnsi="Arial" w:cs="Arial"/>
                <w:color w:val="000000"/>
                <w:sz w:val="20"/>
                <w:szCs w:val="20"/>
              </w:rPr>
              <w:t>e</w:t>
            </w:r>
            <w:r>
              <w:rPr>
                <w:rFonts w:ascii="Arial" w:eastAsia="Times New Roman" w:hAnsi="Arial" w:cs="Arial"/>
                <w:color w:val="000000"/>
                <w:sz w:val="10"/>
                <w:szCs w:val="10"/>
              </w:rPr>
              <w:t>6</w:t>
            </w:r>
          </w:p>
        </w:tc>
        <w:tc>
          <w:tcPr>
            <w:tcW w:w="0" w:type="auto"/>
            <w:gridSpan w:val="2"/>
            <w:shd w:val="clear" w:color="auto" w:fill="D9D9D9"/>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b/>
                <w:bCs/>
                <w:color w:val="000000"/>
                <w:sz w:val="20"/>
                <w:szCs w:val="20"/>
              </w:rPr>
              <w:t>78</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20"/>
                <w:szCs w:val="20"/>
              </w:rPr>
              <w:t>402 </w:t>
            </w:r>
          </w:p>
        </w:tc>
        <w:tc>
          <w:tcPr>
            <w:tcW w:w="0" w:type="auto"/>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3"/>
            <w:tcMar>
              <w:top w:w="30" w:type="dxa"/>
              <w:left w:w="20" w:type="dxa"/>
              <w:bottom w:w="30" w:type="dxa"/>
              <w:right w:w="20" w:type="dxa"/>
            </w:tcMar>
            <w:vAlign w:val="center"/>
            <w:hideMark/>
          </w:tcPr>
          <w:p w:rsidR="00000000" w:rsidRDefault="001F1FC8">
            <w:pPr>
              <w:jc w:val="right"/>
              <w:rPr>
                <w:rFonts w:eastAsia="Times New Roman"/>
              </w:rPr>
            </w:pPr>
            <w:r>
              <w:rPr>
                <w:rFonts w:ascii="Arial" w:eastAsia="Times New Roman" w:hAnsi="Arial" w:cs="Arial"/>
                <w:color w:val="000000"/>
                <w:sz w:val="20"/>
                <w:szCs w:val="20"/>
              </w:rPr>
              <w:t>Various</w:t>
            </w:r>
          </w:p>
        </w:tc>
      </w:tr>
      <w:tr w:rsidR="00000000">
        <w:trPr>
          <w:divId w:val="446237256"/>
        </w:trPr>
        <w:tc>
          <w:tcPr>
            <w:tcW w:w="0" w:type="auto"/>
            <w:gridSpan w:val="3"/>
            <w:tcMar>
              <w:top w:w="30" w:type="dxa"/>
              <w:left w:w="20" w:type="dxa"/>
              <w:bottom w:w="30" w:type="dxa"/>
              <w:right w:w="20" w:type="dxa"/>
            </w:tcMar>
            <w:vAlign w:val="center"/>
            <w:hideMark/>
          </w:tcPr>
          <w:p w:rsidR="00000000" w:rsidRDefault="001F1FC8">
            <w:pPr>
              <w:rPr>
                <w:rFonts w:eastAsia="Times New Roman"/>
              </w:rPr>
            </w:pPr>
            <w:r>
              <w:rPr>
                <w:rFonts w:ascii="Arial" w:eastAsia="Times New Roman" w:hAnsi="Arial" w:cs="Arial"/>
                <w:color w:val="000000"/>
                <w:sz w:val="20"/>
                <w:szCs w:val="20"/>
              </w:rPr>
              <w:t>   Other long-term regulatory assets</w:t>
            </w:r>
          </w:p>
        </w:tc>
        <w:tc>
          <w:tcPr>
            <w:tcW w:w="0" w:type="auto"/>
            <w:gridSpan w:val="2"/>
            <w:shd w:val="clear" w:color="auto" w:fill="D9D9D9"/>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b/>
                <w:bCs/>
                <w:color w:val="000000"/>
                <w:sz w:val="20"/>
                <w:szCs w:val="20"/>
              </w:rPr>
              <w:t>339</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20"/>
                <w:szCs w:val="20"/>
              </w:rPr>
              <w:t>261 </w:t>
            </w:r>
          </w:p>
        </w:tc>
        <w:tc>
          <w:tcPr>
            <w:tcW w:w="0" w:type="auto"/>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3"/>
            <w:tcMar>
              <w:top w:w="30" w:type="dxa"/>
              <w:left w:w="20" w:type="dxa"/>
              <w:bottom w:w="30" w:type="dxa"/>
              <w:right w:w="20" w:type="dxa"/>
            </w:tcMar>
            <w:vAlign w:val="center"/>
            <w:hideMark/>
          </w:tcPr>
          <w:p w:rsidR="00000000" w:rsidRDefault="001F1FC8">
            <w:pPr>
              <w:jc w:val="right"/>
              <w:rPr>
                <w:rFonts w:eastAsia="Times New Roman"/>
              </w:rPr>
            </w:pPr>
            <w:r>
              <w:rPr>
                <w:rFonts w:ascii="Arial" w:eastAsia="Times New Roman" w:hAnsi="Arial" w:cs="Arial"/>
                <w:color w:val="000000"/>
                <w:sz w:val="20"/>
                <w:szCs w:val="20"/>
              </w:rPr>
              <w:t>Various</w:t>
            </w:r>
          </w:p>
        </w:tc>
      </w:tr>
      <w:tr w:rsidR="00000000">
        <w:trPr>
          <w:divId w:val="446237256"/>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1F1FC8">
            <w:pPr>
              <w:divId w:val="1599632669"/>
              <w:rPr>
                <w:rFonts w:eastAsia="Times New Roman"/>
              </w:rPr>
            </w:pPr>
            <w:r>
              <w:rPr>
                <w:rFonts w:ascii="Arial" w:eastAsia="Times New Roman" w:hAnsi="Arial" w:cs="Arial"/>
                <w:color w:val="000000"/>
                <w:sz w:val="20"/>
                <w:szCs w:val="20"/>
              </w:rPr>
              <w:t>Total long-term regulatory asset</w:t>
            </w:r>
            <w:r>
              <w:rPr>
                <w:rFonts w:ascii="Arial" w:eastAsia="Times New Roman" w:hAnsi="Arial" w:cs="Arial"/>
                <w:color w:val="000000"/>
                <w:sz w:val="20"/>
                <w:szCs w:val="20"/>
              </w:rPr>
              <w:t>s</w:t>
            </w:r>
            <w:r>
              <w:rPr>
                <w:rFonts w:ascii="Arial" w:eastAsia="Times New Roman" w:hAnsi="Arial" w:cs="Arial"/>
                <w:color w:val="000000"/>
                <w:sz w:val="10"/>
                <w:szCs w:val="10"/>
              </w:rPr>
              <w:t>1</w:t>
            </w:r>
          </w:p>
        </w:tc>
        <w:tc>
          <w:tcPr>
            <w:tcW w:w="0" w:type="auto"/>
            <w:gridSpan w:val="2"/>
            <w:tcBorders>
              <w:top w:val="single" w:sz="4" w:space="0" w:color="000000"/>
            </w:tcBorders>
            <w:shd w:val="clear" w:color="auto" w:fill="D9D9D9"/>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b/>
                <w:bCs/>
                <w:color w:val="000000"/>
                <w:sz w:val="20"/>
                <w:szCs w:val="20"/>
              </w:rPr>
              <w:t>5,606</w:t>
            </w:r>
            <w:r>
              <w:rPr>
                <w:rFonts w:ascii="Arial" w:eastAsia="Times New Roman" w:hAnsi="Arial" w:cs="Arial"/>
                <w:color w:val="000000"/>
                <w:sz w:val="20"/>
                <w:szCs w:val="20"/>
              </w:rPr>
              <w:t> </w:t>
            </w:r>
          </w:p>
        </w:tc>
        <w:tc>
          <w:tcPr>
            <w:tcW w:w="0" w:type="auto"/>
            <w:tcBorders>
              <w:top w:val="single" w:sz="4" w:space="0" w:color="000000"/>
            </w:tcBorders>
            <w:shd w:val="clear" w:color="auto" w:fill="D9D9D9"/>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20"/>
                <w:szCs w:val="20"/>
              </w:rPr>
              <w:t>5,397 </w:t>
            </w:r>
          </w:p>
        </w:tc>
        <w:tc>
          <w:tcPr>
            <w:tcW w:w="0" w:type="auto"/>
            <w:tcBorders>
              <w:top w:val="single" w:sz="4" w:space="0" w:color="000000"/>
            </w:tcBorders>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1F1FC8">
            <w:pPr>
              <w:jc w:val="right"/>
              <w:rPr>
                <w:rFonts w:eastAsia="Times New Roman"/>
                <w:sz w:val="20"/>
                <w:szCs w:val="20"/>
              </w:rPr>
            </w:pPr>
          </w:p>
        </w:tc>
      </w:tr>
      <w:tr w:rsidR="00000000">
        <w:trPr>
          <w:divId w:val="446237256"/>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1F1FC8">
            <w:pPr>
              <w:rPr>
                <w:rFonts w:eastAsia="Times New Roman"/>
              </w:rPr>
            </w:pPr>
            <w:r>
              <w:rPr>
                <w:rFonts w:ascii="Arial" w:eastAsia="Times New Roman" w:hAnsi="Arial" w:cs="Arial"/>
                <w:color w:val="000000"/>
                <w:sz w:val="20"/>
                <w:szCs w:val="20"/>
              </w:rPr>
              <w:t>Total regulatory assets</w:t>
            </w:r>
          </w:p>
        </w:tc>
        <w:tc>
          <w:tcPr>
            <w:tcW w:w="0" w:type="auto"/>
            <w:gridSpan w:val="2"/>
            <w:tcBorders>
              <w:top w:val="single" w:sz="4" w:space="0" w:color="000000"/>
            </w:tcBorders>
            <w:shd w:val="clear" w:color="auto" w:fill="D9D9D9"/>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b/>
                <w:bCs/>
                <w:color w:val="000000"/>
                <w:sz w:val="20"/>
                <w:szCs w:val="20"/>
              </w:rPr>
              <w:t>5,865</w:t>
            </w:r>
            <w:r>
              <w:rPr>
                <w:rFonts w:ascii="Arial" w:eastAsia="Times New Roman" w:hAnsi="Arial" w:cs="Arial"/>
                <w:color w:val="000000"/>
                <w:sz w:val="20"/>
                <w:szCs w:val="20"/>
              </w:rPr>
              <w:t> </w:t>
            </w:r>
          </w:p>
        </w:tc>
        <w:tc>
          <w:tcPr>
            <w:tcW w:w="0" w:type="auto"/>
            <w:tcBorders>
              <w:top w:val="single" w:sz="4" w:space="0" w:color="000000"/>
            </w:tcBorders>
            <w:shd w:val="clear" w:color="auto" w:fill="D9D9D9"/>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20"/>
                <w:szCs w:val="20"/>
              </w:rPr>
              <w:t>5,629 </w:t>
            </w:r>
          </w:p>
        </w:tc>
        <w:tc>
          <w:tcPr>
            <w:tcW w:w="0" w:type="auto"/>
            <w:tcBorders>
              <w:top w:val="single" w:sz="4" w:space="0" w:color="000000"/>
            </w:tcBorders>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1F1FC8">
            <w:pPr>
              <w:jc w:val="right"/>
              <w:rPr>
                <w:rFonts w:eastAsia="Times New Roman"/>
                <w:sz w:val="20"/>
                <w:szCs w:val="20"/>
              </w:rPr>
            </w:pPr>
          </w:p>
        </w:tc>
      </w:tr>
      <w:tr w:rsidR="00000000">
        <w:trPr>
          <w:divId w:val="446237256"/>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1F1FC8">
            <w:pPr>
              <w:rPr>
                <w:rFonts w:eastAsia="Times New Roman"/>
              </w:rPr>
            </w:pPr>
            <w:r>
              <w:rPr>
                <w:rFonts w:ascii="Arial" w:eastAsia="Times New Roman" w:hAnsi="Arial" w:cs="Arial"/>
                <w:color w:val="000000"/>
                <w:sz w:val="20"/>
                <w:szCs w:val="20"/>
              </w:rPr>
              <w:t>Current regulatory liabilities</w:t>
            </w:r>
          </w:p>
        </w:tc>
        <w:tc>
          <w:tcPr>
            <w:tcW w:w="0" w:type="auto"/>
            <w:gridSpan w:val="3"/>
            <w:tcBorders>
              <w:top w:val="single" w:sz="4" w:space="0" w:color="000000"/>
            </w:tcBorders>
            <w:shd w:val="clear" w:color="auto" w:fill="D9D9D9"/>
            <w:tcMar>
              <w:top w:w="0" w:type="dxa"/>
              <w:left w:w="20" w:type="dxa"/>
              <w:bottom w:w="0" w:type="dxa"/>
              <w:right w:w="20" w:type="dxa"/>
            </w:tcMar>
            <w:vAlign w:val="center"/>
            <w:hideMark/>
          </w:tcPr>
          <w:p w:rsidR="00000000" w:rsidRDefault="001F1FC8">
            <w:pPr>
              <w:rPr>
                <w:rFonts w:eastAsia="Times New Roman"/>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1F1FC8">
            <w:pPr>
              <w:rPr>
                <w:rFonts w:eastAsia="Times New Roman"/>
                <w:sz w:val="20"/>
                <w:szCs w:val="20"/>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1F1FC8">
            <w:pPr>
              <w:rPr>
                <w:rFonts w:eastAsia="Times New Roman"/>
                <w:sz w:val="20"/>
                <w:szCs w:val="20"/>
              </w:rPr>
            </w:pPr>
          </w:p>
        </w:tc>
      </w:tr>
      <w:tr w:rsidR="00000000">
        <w:trPr>
          <w:divId w:val="446237256"/>
        </w:trPr>
        <w:tc>
          <w:tcPr>
            <w:tcW w:w="0" w:type="auto"/>
            <w:gridSpan w:val="3"/>
            <w:vAlign w:val="center"/>
            <w:hideMark/>
          </w:tcPr>
          <w:p w:rsidR="00000000" w:rsidRDefault="001F1FC8">
            <w:pPr>
              <w:rPr>
                <w:rFonts w:eastAsia="Times New Roman"/>
                <w:sz w:val="20"/>
                <w:szCs w:val="20"/>
              </w:rPr>
            </w:pPr>
          </w:p>
        </w:tc>
        <w:tc>
          <w:tcPr>
            <w:tcW w:w="0" w:type="auto"/>
            <w:gridSpan w:val="3"/>
            <w:vAlign w:val="center"/>
            <w:hideMark/>
          </w:tcPr>
          <w:p w:rsidR="00000000" w:rsidRDefault="001F1FC8">
            <w:pPr>
              <w:rPr>
                <w:rFonts w:eastAsia="Times New Roman"/>
                <w:sz w:val="20"/>
                <w:szCs w:val="20"/>
              </w:rPr>
            </w:pPr>
          </w:p>
        </w:tc>
        <w:tc>
          <w:tcPr>
            <w:tcW w:w="0" w:type="auto"/>
            <w:gridSpan w:val="3"/>
            <w:vAlign w:val="center"/>
            <w:hideMark/>
          </w:tcPr>
          <w:p w:rsidR="00000000" w:rsidRDefault="001F1FC8">
            <w:pPr>
              <w:rPr>
                <w:rFonts w:eastAsia="Times New Roman"/>
                <w:sz w:val="20"/>
                <w:szCs w:val="20"/>
              </w:rPr>
            </w:pPr>
          </w:p>
        </w:tc>
        <w:tc>
          <w:tcPr>
            <w:tcW w:w="0" w:type="auto"/>
            <w:gridSpan w:val="3"/>
            <w:vAlign w:val="center"/>
            <w:hideMark/>
          </w:tcPr>
          <w:p w:rsidR="00000000" w:rsidRDefault="001F1FC8">
            <w:pPr>
              <w:rPr>
                <w:rFonts w:eastAsia="Times New Roman"/>
                <w:sz w:val="20"/>
                <w:szCs w:val="20"/>
              </w:rPr>
            </w:pPr>
          </w:p>
        </w:tc>
      </w:tr>
      <w:tr w:rsidR="00000000">
        <w:trPr>
          <w:divId w:val="446237256"/>
        </w:trPr>
        <w:tc>
          <w:tcPr>
            <w:tcW w:w="0" w:type="auto"/>
            <w:gridSpan w:val="3"/>
            <w:tcMar>
              <w:top w:w="30" w:type="dxa"/>
              <w:left w:w="20" w:type="dxa"/>
              <w:bottom w:w="30" w:type="dxa"/>
              <w:right w:w="20" w:type="dxa"/>
            </w:tcMar>
            <w:vAlign w:val="center"/>
            <w:hideMark/>
          </w:tcPr>
          <w:p w:rsidR="00000000" w:rsidRDefault="001F1FC8">
            <w:pPr>
              <w:rPr>
                <w:rFonts w:eastAsia="Times New Roman"/>
              </w:rPr>
            </w:pPr>
            <w:r>
              <w:rPr>
                <w:rFonts w:ascii="Arial" w:eastAsia="Times New Roman" w:hAnsi="Arial" w:cs="Arial"/>
                <w:color w:val="000000"/>
                <w:sz w:val="20"/>
                <w:szCs w:val="20"/>
              </w:rPr>
              <w:t>   Purchase gas variance</w:t>
            </w:r>
          </w:p>
        </w:tc>
        <w:tc>
          <w:tcPr>
            <w:tcW w:w="0" w:type="auto"/>
            <w:gridSpan w:val="2"/>
            <w:shd w:val="clear" w:color="auto" w:fill="D9D9D9"/>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b/>
                <w:bCs/>
                <w:color w:val="000000"/>
                <w:sz w:val="20"/>
                <w:szCs w:val="20"/>
              </w:rPr>
              <w:t>—</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20"/>
                <w:szCs w:val="20"/>
              </w:rPr>
              <w:t>153 </w:t>
            </w:r>
          </w:p>
        </w:tc>
        <w:tc>
          <w:tcPr>
            <w:tcW w:w="0" w:type="auto"/>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3"/>
            <w:tcMar>
              <w:top w:w="30" w:type="dxa"/>
              <w:left w:w="20" w:type="dxa"/>
              <w:bottom w:w="30" w:type="dxa"/>
              <w:right w:w="20" w:type="dxa"/>
            </w:tcMar>
            <w:vAlign w:val="center"/>
            <w:hideMark/>
          </w:tcPr>
          <w:p w:rsidR="00000000" w:rsidRDefault="001F1FC8">
            <w:pPr>
              <w:jc w:val="right"/>
              <w:rPr>
                <w:rFonts w:eastAsia="Times New Roman"/>
              </w:rPr>
            </w:pPr>
            <w:r>
              <w:rPr>
                <w:rFonts w:ascii="Arial" w:eastAsia="Times New Roman" w:hAnsi="Arial" w:cs="Arial"/>
                <w:color w:val="000000"/>
                <w:sz w:val="20"/>
                <w:szCs w:val="20"/>
              </w:rPr>
              <w:t>2021</w:t>
            </w:r>
          </w:p>
        </w:tc>
      </w:tr>
      <w:tr w:rsidR="00000000">
        <w:trPr>
          <w:divId w:val="446237256"/>
        </w:trPr>
        <w:tc>
          <w:tcPr>
            <w:tcW w:w="0" w:type="auto"/>
            <w:gridSpan w:val="3"/>
            <w:vAlign w:val="center"/>
            <w:hideMark/>
          </w:tcPr>
          <w:p w:rsidR="00000000" w:rsidRDefault="001F1FC8">
            <w:pPr>
              <w:jc w:val="right"/>
              <w:rPr>
                <w:rFonts w:eastAsia="Times New Roman"/>
              </w:rPr>
            </w:pPr>
          </w:p>
        </w:tc>
        <w:tc>
          <w:tcPr>
            <w:tcW w:w="0" w:type="auto"/>
            <w:gridSpan w:val="3"/>
            <w:vAlign w:val="center"/>
            <w:hideMark/>
          </w:tcPr>
          <w:p w:rsidR="00000000" w:rsidRDefault="001F1FC8">
            <w:pPr>
              <w:rPr>
                <w:rFonts w:eastAsia="Times New Roman"/>
                <w:sz w:val="20"/>
                <w:szCs w:val="20"/>
              </w:rPr>
            </w:pPr>
          </w:p>
        </w:tc>
        <w:tc>
          <w:tcPr>
            <w:tcW w:w="0" w:type="auto"/>
            <w:gridSpan w:val="3"/>
            <w:vAlign w:val="center"/>
            <w:hideMark/>
          </w:tcPr>
          <w:p w:rsidR="00000000" w:rsidRDefault="001F1FC8">
            <w:pPr>
              <w:rPr>
                <w:rFonts w:eastAsia="Times New Roman"/>
                <w:sz w:val="20"/>
                <w:szCs w:val="20"/>
              </w:rPr>
            </w:pPr>
          </w:p>
        </w:tc>
        <w:tc>
          <w:tcPr>
            <w:tcW w:w="0" w:type="auto"/>
            <w:gridSpan w:val="3"/>
            <w:vAlign w:val="center"/>
            <w:hideMark/>
          </w:tcPr>
          <w:p w:rsidR="00000000" w:rsidRDefault="001F1FC8">
            <w:pPr>
              <w:rPr>
                <w:rFonts w:eastAsia="Times New Roman"/>
                <w:sz w:val="20"/>
                <w:szCs w:val="20"/>
              </w:rPr>
            </w:pPr>
          </w:p>
        </w:tc>
      </w:tr>
      <w:tr w:rsidR="00000000">
        <w:trPr>
          <w:divId w:val="446237256"/>
        </w:trPr>
        <w:tc>
          <w:tcPr>
            <w:tcW w:w="0" w:type="auto"/>
            <w:gridSpan w:val="3"/>
            <w:vAlign w:val="center"/>
            <w:hideMark/>
          </w:tcPr>
          <w:p w:rsidR="00000000" w:rsidRDefault="001F1FC8">
            <w:pPr>
              <w:rPr>
                <w:rFonts w:eastAsia="Times New Roman"/>
                <w:sz w:val="20"/>
                <w:szCs w:val="20"/>
              </w:rPr>
            </w:pPr>
          </w:p>
        </w:tc>
        <w:tc>
          <w:tcPr>
            <w:tcW w:w="0" w:type="auto"/>
            <w:gridSpan w:val="3"/>
            <w:vAlign w:val="center"/>
            <w:hideMark/>
          </w:tcPr>
          <w:p w:rsidR="00000000" w:rsidRDefault="001F1FC8">
            <w:pPr>
              <w:rPr>
                <w:rFonts w:eastAsia="Times New Roman"/>
                <w:sz w:val="20"/>
                <w:szCs w:val="20"/>
              </w:rPr>
            </w:pPr>
          </w:p>
        </w:tc>
        <w:tc>
          <w:tcPr>
            <w:tcW w:w="0" w:type="auto"/>
            <w:gridSpan w:val="3"/>
            <w:vAlign w:val="center"/>
            <w:hideMark/>
          </w:tcPr>
          <w:p w:rsidR="00000000" w:rsidRDefault="001F1FC8">
            <w:pPr>
              <w:rPr>
                <w:rFonts w:eastAsia="Times New Roman"/>
                <w:sz w:val="20"/>
                <w:szCs w:val="20"/>
              </w:rPr>
            </w:pPr>
          </w:p>
        </w:tc>
        <w:tc>
          <w:tcPr>
            <w:tcW w:w="0" w:type="auto"/>
            <w:gridSpan w:val="3"/>
            <w:vAlign w:val="center"/>
            <w:hideMark/>
          </w:tcPr>
          <w:p w:rsidR="00000000" w:rsidRDefault="001F1FC8">
            <w:pPr>
              <w:rPr>
                <w:rFonts w:eastAsia="Times New Roman"/>
                <w:sz w:val="20"/>
                <w:szCs w:val="20"/>
              </w:rPr>
            </w:pPr>
          </w:p>
        </w:tc>
      </w:tr>
      <w:tr w:rsidR="00000000">
        <w:trPr>
          <w:divId w:val="446237256"/>
        </w:trPr>
        <w:tc>
          <w:tcPr>
            <w:tcW w:w="0" w:type="auto"/>
            <w:gridSpan w:val="3"/>
            <w:vAlign w:val="center"/>
            <w:hideMark/>
          </w:tcPr>
          <w:p w:rsidR="00000000" w:rsidRDefault="001F1FC8">
            <w:pPr>
              <w:rPr>
                <w:rFonts w:eastAsia="Times New Roman"/>
                <w:sz w:val="20"/>
                <w:szCs w:val="20"/>
              </w:rPr>
            </w:pPr>
          </w:p>
        </w:tc>
        <w:tc>
          <w:tcPr>
            <w:tcW w:w="0" w:type="auto"/>
            <w:gridSpan w:val="3"/>
            <w:vAlign w:val="center"/>
            <w:hideMark/>
          </w:tcPr>
          <w:p w:rsidR="00000000" w:rsidRDefault="001F1FC8">
            <w:pPr>
              <w:rPr>
                <w:rFonts w:eastAsia="Times New Roman"/>
                <w:sz w:val="20"/>
                <w:szCs w:val="20"/>
              </w:rPr>
            </w:pPr>
          </w:p>
        </w:tc>
        <w:tc>
          <w:tcPr>
            <w:tcW w:w="0" w:type="auto"/>
            <w:gridSpan w:val="3"/>
            <w:vAlign w:val="center"/>
            <w:hideMark/>
          </w:tcPr>
          <w:p w:rsidR="00000000" w:rsidRDefault="001F1FC8">
            <w:pPr>
              <w:rPr>
                <w:rFonts w:eastAsia="Times New Roman"/>
                <w:sz w:val="20"/>
                <w:szCs w:val="20"/>
              </w:rPr>
            </w:pPr>
          </w:p>
        </w:tc>
        <w:tc>
          <w:tcPr>
            <w:tcW w:w="0" w:type="auto"/>
            <w:gridSpan w:val="3"/>
            <w:vAlign w:val="center"/>
            <w:hideMark/>
          </w:tcPr>
          <w:p w:rsidR="00000000" w:rsidRDefault="001F1FC8">
            <w:pPr>
              <w:rPr>
                <w:rFonts w:eastAsia="Times New Roman"/>
                <w:sz w:val="20"/>
                <w:szCs w:val="20"/>
              </w:rPr>
            </w:pPr>
          </w:p>
        </w:tc>
      </w:tr>
      <w:tr w:rsidR="00000000">
        <w:trPr>
          <w:divId w:val="446237256"/>
        </w:trPr>
        <w:tc>
          <w:tcPr>
            <w:tcW w:w="0" w:type="auto"/>
            <w:gridSpan w:val="3"/>
            <w:tcMar>
              <w:top w:w="30" w:type="dxa"/>
              <w:left w:w="20" w:type="dxa"/>
              <w:bottom w:w="30" w:type="dxa"/>
              <w:right w:w="20" w:type="dxa"/>
            </w:tcMar>
            <w:vAlign w:val="center"/>
            <w:hideMark/>
          </w:tcPr>
          <w:p w:rsidR="00000000" w:rsidRDefault="001F1FC8">
            <w:pPr>
              <w:rPr>
                <w:rFonts w:eastAsia="Times New Roman"/>
              </w:rPr>
            </w:pPr>
            <w:r>
              <w:rPr>
                <w:rFonts w:ascii="Arial" w:eastAsia="Times New Roman" w:hAnsi="Arial" w:cs="Arial"/>
                <w:color w:val="000000"/>
                <w:sz w:val="20"/>
                <w:szCs w:val="20"/>
              </w:rPr>
              <w:t>   </w:t>
            </w:r>
            <w:r>
              <w:rPr>
                <w:rFonts w:ascii="Arial" w:eastAsia="Times New Roman" w:hAnsi="Arial" w:cs="Arial"/>
                <w:color w:val="000000"/>
                <w:sz w:val="20"/>
                <w:szCs w:val="20"/>
              </w:rPr>
              <w:t>Other current regulatory liabilities</w:t>
            </w:r>
          </w:p>
        </w:tc>
        <w:tc>
          <w:tcPr>
            <w:tcW w:w="0" w:type="auto"/>
            <w:gridSpan w:val="2"/>
            <w:shd w:val="clear" w:color="auto" w:fill="D9D9D9"/>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b/>
                <w:bCs/>
                <w:color w:val="000000"/>
                <w:sz w:val="20"/>
                <w:szCs w:val="20"/>
              </w:rPr>
              <w:t>106</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20"/>
                <w:szCs w:val="20"/>
              </w:rPr>
              <w:t>117 </w:t>
            </w:r>
          </w:p>
        </w:tc>
        <w:tc>
          <w:tcPr>
            <w:tcW w:w="0" w:type="auto"/>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3"/>
            <w:tcMar>
              <w:top w:w="30" w:type="dxa"/>
              <w:left w:w="20" w:type="dxa"/>
              <w:bottom w:w="30" w:type="dxa"/>
              <w:right w:w="20" w:type="dxa"/>
            </w:tcMar>
            <w:vAlign w:val="center"/>
            <w:hideMark/>
          </w:tcPr>
          <w:p w:rsidR="00000000" w:rsidRDefault="001F1FC8">
            <w:pPr>
              <w:jc w:val="right"/>
              <w:rPr>
                <w:rFonts w:eastAsia="Times New Roman"/>
              </w:rPr>
            </w:pPr>
            <w:r>
              <w:rPr>
                <w:rFonts w:ascii="Arial" w:eastAsia="Times New Roman" w:hAnsi="Arial" w:cs="Arial"/>
                <w:color w:val="000000"/>
                <w:sz w:val="20"/>
                <w:szCs w:val="20"/>
              </w:rPr>
              <w:t>2022</w:t>
            </w:r>
          </w:p>
        </w:tc>
      </w:tr>
      <w:tr w:rsidR="00000000">
        <w:trPr>
          <w:divId w:val="446237256"/>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1F1FC8">
            <w:pPr>
              <w:divId w:val="157620090"/>
              <w:rPr>
                <w:rFonts w:eastAsia="Times New Roman"/>
              </w:rPr>
            </w:pPr>
            <w:r>
              <w:rPr>
                <w:rFonts w:ascii="Arial" w:eastAsia="Times New Roman" w:hAnsi="Arial" w:cs="Arial"/>
                <w:color w:val="000000"/>
                <w:sz w:val="20"/>
                <w:szCs w:val="20"/>
              </w:rPr>
              <w:t>Total current regulatory liabilitie</w:t>
            </w:r>
            <w:r>
              <w:rPr>
                <w:rFonts w:ascii="Arial" w:eastAsia="Times New Roman" w:hAnsi="Arial" w:cs="Arial"/>
                <w:color w:val="000000"/>
                <w:sz w:val="20"/>
                <w:szCs w:val="20"/>
              </w:rPr>
              <w:t>s</w:t>
            </w:r>
            <w:r>
              <w:rPr>
                <w:rFonts w:ascii="Arial" w:eastAsia="Times New Roman" w:hAnsi="Arial" w:cs="Arial"/>
                <w:color w:val="000000"/>
                <w:sz w:val="10"/>
                <w:szCs w:val="10"/>
              </w:rPr>
              <w:t>7</w:t>
            </w:r>
          </w:p>
        </w:tc>
        <w:tc>
          <w:tcPr>
            <w:tcW w:w="0" w:type="auto"/>
            <w:gridSpan w:val="2"/>
            <w:tcBorders>
              <w:top w:val="single" w:sz="4" w:space="0" w:color="000000"/>
            </w:tcBorders>
            <w:shd w:val="clear" w:color="auto" w:fill="D9D9D9"/>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b/>
                <w:bCs/>
                <w:color w:val="000000"/>
                <w:sz w:val="20"/>
                <w:szCs w:val="20"/>
              </w:rPr>
              <w:t>106</w:t>
            </w:r>
            <w:r>
              <w:rPr>
                <w:rFonts w:ascii="Arial" w:eastAsia="Times New Roman" w:hAnsi="Arial" w:cs="Arial"/>
                <w:color w:val="000000"/>
                <w:sz w:val="20"/>
                <w:szCs w:val="20"/>
              </w:rPr>
              <w:t> </w:t>
            </w:r>
          </w:p>
        </w:tc>
        <w:tc>
          <w:tcPr>
            <w:tcW w:w="0" w:type="auto"/>
            <w:tcBorders>
              <w:top w:val="single" w:sz="4" w:space="0" w:color="000000"/>
            </w:tcBorders>
            <w:shd w:val="clear" w:color="auto" w:fill="D9D9D9"/>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20"/>
                <w:szCs w:val="20"/>
              </w:rPr>
              <w:t>270 </w:t>
            </w:r>
          </w:p>
        </w:tc>
        <w:tc>
          <w:tcPr>
            <w:tcW w:w="0" w:type="auto"/>
            <w:tcBorders>
              <w:top w:val="single" w:sz="4" w:space="0" w:color="000000"/>
            </w:tcBorders>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1F1FC8">
            <w:pPr>
              <w:jc w:val="right"/>
              <w:rPr>
                <w:rFonts w:eastAsia="Times New Roman"/>
                <w:sz w:val="20"/>
                <w:szCs w:val="20"/>
              </w:rPr>
            </w:pPr>
          </w:p>
        </w:tc>
      </w:tr>
      <w:tr w:rsidR="00000000">
        <w:trPr>
          <w:divId w:val="446237256"/>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1F1FC8">
            <w:pPr>
              <w:rPr>
                <w:rFonts w:eastAsia="Times New Roman"/>
              </w:rPr>
            </w:pPr>
            <w:r>
              <w:rPr>
                <w:rFonts w:ascii="Arial" w:eastAsia="Times New Roman" w:hAnsi="Arial" w:cs="Arial"/>
                <w:color w:val="000000"/>
                <w:sz w:val="20"/>
                <w:szCs w:val="20"/>
              </w:rPr>
              <w:t>Long-term regulatory liabilities</w:t>
            </w:r>
          </w:p>
        </w:tc>
        <w:tc>
          <w:tcPr>
            <w:tcW w:w="0" w:type="auto"/>
            <w:gridSpan w:val="3"/>
            <w:tcBorders>
              <w:top w:val="single" w:sz="4" w:space="0" w:color="000000"/>
            </w:tcBorders>
            <w:shd w:val="clear" w:color="auto" w:fill="D9D9D9"/>
            <w:tcMar>
              <w:top w:w="0" w:type="dxa"/>
              <w:left w:w="20" w:type="dxa"/>
              <w:bottom w:w="0" w:type="dxa"/>
              <w:right w:w="20" w:type="dxa"/>
            </w:tcMar>
            <w:vAlign w:val="center"/>
            <w:hideMark/>
          </w:tcPr>
          <w:p w:rsidR="00000000" w:rsidRDefault="001F1FC8">
            <w:pPr>
              <w:rPr>
                <w:rFonts w:eastAsia="Times New Roman"/>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1F1FC8">
            <w:pPr>
              <w:rPr>
                <w:rFonts w:eastAsia="Times New Roman"/>
                <w:sz w:val="20"/>
                <w:szCs w:val="20"/>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1F1FC8">
            <w:pPr>
              <w:rPr>
                <w:rFonts w:eastAsia="Times New Roman"/>
                <w:sz w:val="20"/>
                <w:szCs w:val="20"/>
              </w:rPr>
            </w:pPr>
          </w:p>
        </w:tc>
      </w:tr>
      <w:tr w:rsidR="00000000">
        <w:trPr>
          <w:divId w:val="446237256"/>
        </w:trPr>
        <w:tc>
          <w:tcPr>
            <w:tcW w:w="0" w:type="auto"/>
            <w:gridSpan w:val="3"/>
            <w:tcMar>
              <w:top w:w="30" w:type="dxa"/>
              <w:left w:w="20" w:type="dxa"/>
              <w:bottom w:w="30" w:type="dxa"/>
              <w:right w:w="20" w:type="dxa"/>
            </w:tcMar>
            <w:vAlign w:val="center"/>
            <w:hideMark/>
          </w:tcPr>
          <w:p w:rsidR="00000000" w:rsidRDefault="001F1FC8">
            <w:pPr>
              <w:divId w:val="1080640707"/>
              <w:rPr>
                <w:rFonts w:eastAsia="Times New Roman"/>
              </w:rPr>
            </w:pPr>
            <w:r>
              <w:rPr>
                <w:rFonts w:ascii="Arial" w:eastAsia="Times New Roman" w:hAnsi="Arial" w:cs="Arial"/>
                <w:color w:val="000000"/>
                <w:sz w:val="20"/>
                <w:szCs w:val="20"/>
              </w:rPr>
              <w:t>   Future removal and site restoration reserve</w:t>
            </w:r>
            <w:r>
              <w:rPr>
                <w:rFonts w:ascii="Arial" w:eastAsia="Times New Roman" w:hAnsi="Arial" w:cs="Arial"/>
                <w:color w:val="000000"/>
                <w:sz w:val="20"/>
                <w:szCs w:val="20"/>
              </w:rPr>
              <w:t>s</w:t>
            </w:r>
            <w:r>
              <w:rPr>
                <w:rFonts w:ascii="Arial" w:eastAsia="Times New Roman" w:hAnsi="Arial" w:cs="Arial"/>
                <w:color w:val="000000"/>
                <w:sz w:val="10"/>
                <w:szCs w:val="10"/>
              </w:rPr>
              <w:t>8</w:t>
            </w:r>
          </w:p>
        </w:tc>
        <w:tc>
          <w:tcPr>
            <w:tcW w:w="0" w:type="auto"/>
            <w:gridSpan w:val="2"/>
            <w:shd w:val="clear" w:color="auto" w:fill="D9D9D9"/>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b/>
                <w:bCs/>
                <w:color w:val="000000"/>
                <w:sz w:val="20"/>
                <w:szCs w:val="20"/>
              </w:rPr>
              <w:t>1,543</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20"/>
                <w:szCs w:val="20"/>
              </w:rPr>
              <w:t>1,455 </w:t>
            </w:r>
          </w:p>
        </w:tc>
        <w:tc>
          <w:tcPr>
            <w:tcW w:w="0" w:type="auto"/>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3"/>
            <w:tcMar>
              <w:top w:w="30" w:type="dxa"/>
              <w:left w:w="20" w:type="dxa"/>
              <w:bottom w:w="30" w:type="dxa"/>
              <w:right w:w="20" w:type="dxa"/>
            </w:tcMar>
            <w:vAlign w:val="center"/>
            <w:hideMark/>
          </w:tcPr>
          <w:p w:rsidR="00000000" w:rsidRDefault="001F1FC8">
            <w:pPr>
              <w:jc w:val="right"/>
              <w:rPr>
                <w:rFonts w:eastAsia="Times New Roman"/>
              </w:rPr>
            </w:pPr>
            <w:r>
              <w:rPr>
                <w:rFonts w:ascii="Arial" w:eastAsia="Times New Roman" w:hAnsi="Arial" w:cs="Arial"/>
                <w:color w:val="000000"/>
                <w:sz w:val="20"/>
                <w:szCs w:val="20"/>
              </w:rPr>
              <w:t>Various</w:t>
            </w:r>
          </w:p>
        </w:tc>
      </w:tr>
      <w:tr w:rsidR="00000000">
        <w:trPr>
          <w:divId w:val="446237256"/>
        </w:trPr>
        <w:tc>
          <w:tcPr>
            <w:tcW w:w="0" w:type="auto"/>
            <w:gridSpan w:val="3"/>
            <w:tcMar>
              <w:top w:w="30" w:type="dxa"/>
              <w:left w:w="20" w:type="dxa"/>
              <w:bottom w:w="30" w:type="dxa"/>
              <w:right w:w="20" w:type="dxa"/>
            </w:tcMar>
            <w:vAlign w:val="center"/>
            <w:hideMark/>
          </w:tcPr>
          <w:p w:rsidR="00000000" w:rsidRDefault="001F1FC8">
            <w:pPr>
              <w:divId w:val="433675753"/>
              <w:rPr>
                <w:rFonts w:eastAsia="Times New Roman"/>
              </w:rPr>
            </w:pPr>
            <w:r>
              <w:rPr>
                <w:rFonts w:ascii="Arial" w:eastAsia="Times New Roman" w:hAnsi="Arial" w:cs="Arial"/>
                <w:color w:val="000000"/>
                <w:sz w:val="20"/>
                <w:szCs w:val="20"/>
              </w:rPr>
              <w:t>   </w:t>
            </w:r>
            <w:r>
              <w:rPr>
                <w:rFonts w:ascii="Arial" w:eastAsia="Times New Roman" w:hAnsi="Arial" w:cs="Arial"/>
                <w:color w:val="000000"/>
                <w:sz w:val="20"/>
                <w:szCs w:val="20"/>
              </w:rPr>
              <w:t>Regulatory liability related to US income taxe</w:t>
            </w:r>
            <w:r>
              <w:rPr>
                <w:rFonts w:ascii="Arial" w:eastAsia="Times New Roman" w:hAnsi="Arial" w:cs="Arial"/>
                <w:color w:val="000000"/>
                <w:sz w:val="20"/>
                <w:szCs w:val="20"/>
              </w:rPr>
              <w:t>s</w:t>
            </w:r>
            <w:r>
              <w:rPr>
                <w:rFonts w:ascii="Arial" w:eastAsia="Times New Roman" w:hAnsi="Arial" w:cs="Arial"/>
                <w:color w:val="000000"/>
                <w:sz w:val="10"/>
                <w:szCs w:val="10"/>
              </w:rPr>
              <w:t>9</w:t>
            </w:r>
          </w:p>
        </w:tc>
        <w:tc>
          <w:tcPr>
            <w:tcW w:w="0" w:type="auto"/>
            <w:gridSpan w:val="2"/>
            <w:shd w:val="clear" w:color="auto" w:fill="D9D9D9"/>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b/>
                <w:bCs/>
                <w:color w:val="000000"/>
                <w:sz w:val="20"/>
                <w:szCs w:val="20"/>
              </w:rPr>
              <w:t>895</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20"/>
                <w:szCs w:val="20"/>
              </w:rPr>
              <w:t>941 </w:t>
            </w:r>
          </w:p>
        </w:tc>
        <w:tc>
          <w:tcPr>
            <w:tcW w:w="0" w:type="auto"/>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3"/>
            <w:tcMar>
              <w:top w:w="30" w:type="dxa"/>
              <w:left w:w="20" w:type="dxa"/>
              <w:bottom w:w="30" w:type="dxa"/>
              <w:right w:w="20" w:type="dxa"/>
            </w:tcMar>
            <w:vAlign w:val="center"/>
            <w:hideMark/>
          </w:tcPr>
          <w:p w:rsidR="00000000" w:rsidRDefault="001F1FC8">
            <w:pPr>
              <w:jc w:val="right"/>
              <w:rPr>
                <w:rFonts w:eastAsia="Times New Roman"/>
              </w:rPr>
            </w:pPr>
            <w:r>
              <w:rPr>
                <w:rFonts w:ascii="Arial" w:eastAsia="Times New Roman" w:hAnsi="Arial" w:cs="Arial"/>
                <w:color w:val="000000"/>
                <w:sz w:val="20"/>
                <w:szCs w:val="20"/>
              </w:rPr>
              <w:t>2050-2072</w:t>
            </w:r>
          </w:p>
        </w:tc>
      </w:tr>
      <w:tr w:rsidR="00000000">
        <w:trPr>
          <w:divId w:val="446237256"/>
        </w:trPr>
        <w:tc>
          <w:tcPr>
            <w:tcW w:w="0" w:type="auto"/>
            <w:gridSpan w:val="3"/>
            <w:tcMar>
              <w:top w:w="30" w:type="dxa"/>
              <w:left w:w="20" w:type="dxa"/>
              <w:bottom w:w="30" w:type="dxa"/>
              <w:right w:w="20" w:type="dxa"/>
            </w:tcMar>
            <w:vAlign w:val="center"/>
            <w:hideMark/>
          </w:tcPr>
          <w:p w:rsidR="00000000" w:rsidRDefault="001F1FC8">
            <w:pPr>
              <w:divId w:val="1314797338"/>
              <w:rPr>
                <w:rFonts w:eastAsia="Times New Roman"/>
              </w:rPr>
            </w:pPr>
            <w:r>
              <w:rPr>
                <w:rFonts w:ascii="Arial" w:eastAsia="Times New Roman" w:hAnsi="Arial" w:cs="Arial"/>
                <w:color w:val="000000"/>
                <w:sz w:val="20"/>
                <w:szCs w:val="20"/>
              </w:rPr>
              <w:t>   Pipeline future abandonment costs</w:t>
            </w:r>
            <w:r>
              <w:rPr>
                <w:rFonts w:ascii="Arial" w:eastAsia="Times New Roman" w:hAnsi="Arial" w:cs="Arial"/>
                <w:color w:val="000000"/>
                <w:sz w:val="16"/>
                <w:szCs w:val="16"/>
              </w:rPr>
              <w:t xml:space="preserve"> </w:t>
            </w:r>
            <w:r>
              <w:rPr>
                <w:rFonts w:ascii="Arial" w:eastAsia="Times New Roman" w:hAnsi="Arial" w:cs="Arial"/>
                <w:i/>
                <w:iCs/>
                <w:color w:val="000000"/>
                <w:sz w:val="16"/>
                <w:szCs w:val="16"/>
              </w:rPr>
              <w:t>(Note 14)</w:t>
            </w:r>
          </w:p>
        </w:tc>
        <w:tc>
          <w:tcPr>
            <w:tcW w:w="0" w:type="auto"/>
            <w:gridSpan w:val="2"/>
            <w:shd w:val="clear" w:color="auto" w:fill="D9D9D9"/>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b/>
                <w:bCs/>
                <w:color w:val="000000"/>
                <w:sz w:val="20"/>
                <w:szCs w:val="20"/>
              </w:rPr>
              <w:t>649</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20"/>
                <w:szCs w:val="20"/>
              </w:rPr>
              <w:t>578 </w:t>
            </w:r>
          </w:p>
        </w:tc>
        <w:tc>
          <w:tcPr>
            <w:tcW w:w="0" w:type="auto"/>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3"/>
            <w:tcMar>
              <w:top w:w="30" w:type="dxa"/>
              <w:left w:w="20" w:type="dxa"/>
              <w:bottom w:w="30" w:type="dxa"/>
              <w:right w:w="20" w:type="dxa"/>
            </w:tcMar>
            <w:vAlign w:val="center"/>
            <w:hideMark/>
          </w:tcPr>
          <w:p w:rsidR="00000000" w:rsidRDefault="001F1FC8">
            <w:pPr>
              <w:jc w:val="right"/>
              <w:rPr>
                <w:rFonts w:eastAsia="Times New Roman"/>
              </w:rPr>
            </w:pPr>
            <w:r>
              <w:rPr>
                <w:rFonts w:ascii="Arial" w:eastAsia="Times New Roman" w:hAnsi="Arial" w:cs="Arial"/>
                <w:color w:val="000000"/>
                <w:sz w:val="20"/>
                <w:szCs w:val="20"/>
              </w:rPr>
              <w:t>Various</w:t>
            </w:r>
          </w:p>
        </w:tc>
      </w:tr>
      <w:tr w:rsidR="00000000">
        <w:trPr>
          <w:divId w:val="446237256"/>
        </w:trPr>
        <w:tc>
          <w:tcPr>
            <w:tcW w:w="0" w:type="auto"/>
            <w:gridSpan w:val="3"/>
            <w:tcMar>
              <w:top w:w="30" w:type="dxa"/>
              <w:left w:w="20" w:type="dxa"/>
              <w:bottom w:w="30" w:type="dxa"/>
              <w:right w:w="20" w:type="dxa"/>
            </w:tcMar>
            <w:vAlign w:val="center"/>
            <w:hideMark/>
          </w:tcPr>
          <w:p w:rsidR="00000000" w:rsidRDefault="001F1FC8">
            <w:pPr>
              <w:rPr>
                <w:rFonts w:eastAsia="Times New Roman"/>
              </w:rPr>
            </w:pPr>
            <w:r>
              <w:rPr>
                <w:rFonts w:ascii="Arial" w:eastAsia="Times New Roman" w:hAnsi="Arial" w:cs="Arial"/>
                <w:color w:val="000000"/>
                <w:sz w:val="20"/>
                <w:szCs w:val="20"/>
              </w:rPr>
              <w:t>   Other long-term regulatory liabilities</w:t>
            </w:r>
          </w:p>
        </w:tc>
        <w:tc>
          <w:tcPr>
            <w:tcW w:w="0" w:type="auto"/>
            <w:gridSpan w:val="2"/>
            <w:shd w:val="clear" w:color="auto" w:fill="D9D9D9"/>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b/>
                <w:bCs/>
                <w:color w:val="000000"/>
                <w:sz w:val="20"/>
                <w:szCs w:val="20"/>
              </w:rPr>
              <w:t>234</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20"/>
                <w:szCs w:val="20"/>
              </w:rPr>
              <w:t>150 </w:t>
            </w:r>
          </w:p>
        </w:tc>
        <w:tc>
          <w:tcPr>
            <w:tcW w:w="0" w:type="auto"/>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3"/>
            <w:tcMar>
              <w:top w:w="30" w:type="dxa"/>
              <w:left w:w="20" w:type="dxa"/>
              <w:bottom w:w="30" w:type="dxa"/>
              <w:right w:w="20" w:type="dxa"/>
            </w:tcMar>
            <w:vAlign w:val="center"/>
            <w:hideMark/>
          </w:tcPr>
          <w:p w:rsidR="00000000" w:rsidRDefault="001F1FC8">
            <w:pPr>
              <w:jc w:val="right"/>
              <w:rPr>
                <w:rFonts w:eastAsia="Times New Roman"/>
              </w:rPr>
            </w:pPr>
            <w:r>
              <w:rPr>
                <w:rFonts w:ascii="Arial" w:eastAsia="Times New Roman" w:hAnsi="Arial" w:cs="Arial"/>
                <w:color w:val="000000"/>
                <w:sz w:val="20"/>
                <w:szCs w:val="20"/>
              </w:rPr>
              <w:t>Various</w:t>
            </w:r>
          </w:p>
        </w:tc>
      </w:tr>
      <w:tr w:rsidR="00000000">
        <w:trPr>
          <w:divId w:val="446237256"/>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1F1FC8">
            <w:pPr>
              <w:divId w:val="1953632231"/>
              <w:rPr>
                <w:rFonts w:eastAsia="Times New Roman"/>
              </w:rPr>
            </w:pPr>
            <w:r>
              <w:rPr>
                <w:rFonts w:ascii="Arial" w:eastAsia="Times New Roman" w:hAnsi="Arial" w:cs="Arial"/>
                <w:color w:val="000000"/>
                <w:sz w:val="20"/>
                <w:szCs w:val="20"/>
              </w:rPr>
              <w:t>Total long-term regulatory liabilitie</w:t>
            </w:r>
            <w:r>
              <w:rPr>
                <w:rFonts w:ascii="Arial" w:eastAsia="Times New Roman" w:hAnsi="Arial" w:cs="Arial"/>
                <w:color w:val="000000"/>
                <w:sz w:val="20"/>
                <w:szCs w:val="20"/>
              </w:rPr>
              <w:t>s</w:t>
            </w:r>
            <w:r>
              <w:rPr>
                <w:rFonts w:ascii="Arial" w:eastAsia="Times New Roman" w:hAnsi="Arial" w:cs="Arial"/>
                <w:color w:val="000000"/>
                <w:sz w:val="10"/>
                <w:szCs w:val="10"/>
              </w:rPr>
              <w:t>7</w:t>
            </w:r>
          </w:p>
        </w:tc>
        <w:tc>
          <w:tcPr>
            <w:tcW w:w="0" w:type="auto"/>
            <w:gridSpan w:val="2"/>
            <w:tcBorders>
              <w:top w:val="single" w:sz="4" w:space="0" w:color="000000"/>
            </w:tcBorders>
            <w:shd w:val="clear" w:color="auto" w:fill="D9D9D9"/>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b/>
                <w:bCs/>
                <w:color w:val="000000"/>
                <w:sz w:val="20"/>
                <w:szCs w:val="20"/>
              </w:rPr>
              <w:t>3,321</w:t>
            </w:r>
            <w:r>
              <w:rPr>
                <w:rFonts w:ascii="Arial" w:eastAsia="Times New Roman" w:hAnsi="Arial" w:cs="Arial"/>
                <w:color w:val="000000"/>
                <w:sz w:val="20"/>
                <w:szCs w:val="20"/>
              </w:rPr>
              <w:t> </w:t>
            </w:r>
          </w:p>
        </w:tc>
        <w:tc>
          <w:tcPr>
            <w:tcW w:w="0" w:type="auto"/>
            <w:tcBorders>
              <w:top w:val="single" w:sz="4" w:space="0" w:color="000000"/>
            </w:tcBorders>
            <w:shd w:val="clear" w:color="auto" w:fill="D9D9D9"/>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20"/>
                <w:szCs w:val="20"/>
              </w:rPr>
              <w:t>3,124 </w:t>
            </w:r>
          </w:p>
        </w:tc>
        <w:tc>
          <w:tcPr>
            <w:tcW w:w="0" w:type="auto"/>
            <w:tcBorders>
              <w:top w:val="single" w:sz="4" w:space="0" w:color="000000"/>
            </w:tcBorders>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1F1FC8">
            <w:pPr>
              <w:jc w:val="right"/>
              <w:rPr>
                <w:rFonts w:eastAsia="Times New Roman"/>
                <w:sz w:val="20"/>
                <w:szCs w:val="20"/>
              </w:rPr>
            </w:pPr>
          </w:p>
        </w:tc>
      </w:tr>
      <w:tr w:rsidR="00000000">
        <w:trPr>
          <w:divId w:val="446237256"/>
        </w:trPr>
        <w:tc>
          <w:tcPr>
            <w:tcW w:w="0" w:type="auto"/>
            <w:gridSpan w:val="3"/>
            <w:tcBorders>
              <w:top w:val="single" w:sz="4" w:space="0" w:color="000000"/>
              <w:bottom w:val="single" w:sz="12" w:space="0" w:color="000000"/>
            </w:tcBorders>
            <w:tcMar>
              <w:top w:w="30" w:type="dxa"/>
              <w:left w:w="20" w:type="dxa"/>
              <w:bottom w:w="30" w:type="dxa"/>
              <w:right w:w="20" w:type="dxa"/>
            </w:tcMar>
            <w:vAlign w:val="center"/>
            <w:hideMark/>
          </w:tcPr>
          <w:p w:rsidR="00000000" w:rsidRDefault="001F1FC8">
            <w:pPr>
              <w:rPr>
                <w:rFonts w:eastAsia="Times New Roman"/>
              </w:rPr>
            </w:pPr>
            <w:r>
              <w:rPr>
                <w:rFonts w:ascii="Arial" w:eastAsia="Times New Roman" w:hAnsi="Arial" w:cs="Arial"/>
                <w:color w:val="000000"/>
                <w:sz w:val="20"/>
                <w:szCs w:val="20"/>
              </w:rPr>
              <w:t>Total regulatory liabilities</w:t>
            </w:r>
          </w:p>
        </w:tc>
        <w:tc>
          <w:tcPr>
            <w:tcW w:w="0" w:type="auto"/>
            <w:gridSpan w:val="2"/>
            <w:tcBorders>
              <w:top w:val="single" w:sz="4" w:space="0" w:color="000000"/>
              <w:bottom w:val="single" w:sz="12" w:space="0" w:color="000000"/>
            </w:tcBorders>
            <w:shd w:val="clear" w:color="auto" w:fill="D9D9D9"/>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b/>
                <w:bCs/>
                <w:color w:val="000000"/>
                <w:sz w:val="20"/>
                <w:szCs w:val="20"/>
              </w:rPr>
              <w:t>3,427</w:t>
            </w:r>
            <w:r>
              <w:rPr>
                <w:rFonts w:ascii="Arial" w:eastAsia="Times New Roman" w:hAnsi="Arial" w:cs="Arial"/>
                <w:color w:val="000000"/>
                <w:sz w:val="20"/>
                <w:szCs w:val="20"/>
              </w:rPr>
              <w:t> </w:t>
            </w:r>
          </w:p>
        </w:tc>
        <w:tc>
          <w:tcPr>
            <w:tcW w:w="0" w:type="auto"/>
            <w:tcBorders>
              <w:top w:val="single" w:sz="4" w:space="0" w:color="000000"/>
              <w:bottom w:val="single" w:sz="12" w:space="0" w:color="000000"/>
            </w:tcBorders>
            <w:shd w:val="clear" w:color="auto" w:fill="D9D9D9"/>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Borders>
              <w:top w:val="single" w:sz="4" w:space="0" w:color="000000"/>
              <w:bottom w:val="single" w:sz="12" w:space="0" w:color="000000"/>
            </w:tcBorders>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20"/>
                <w:szCs w:val="20"/>
              </w:rPr>
              <w:t>3,394 </w:t>
            </w:r>
          </w:p>
        </w:tc>
        <w:tc>
          <w:tcPr>
            <w:tcW w:w="0" w:type="auto"/>
            <w:tcBorders>
              <w:top w:val="single" w:sz="4" w:space="0" w:color="000000"/>
              <w:bottom w:val="single" w:sz="12" w:space="0" w:color="000000"/>
            </w:tcBorders>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3"/>
            <w:tcBorders>
              <w:top w:val="single" w:sz="4" w:space="0" w:color="000000"/>
              <w:bottom w:val="single" w:sz="12" w:space="0" w:color="000000"/>
            </w:tcBorders>
            <w:tcMar>
              <w:top w:w="0" w:type="dxa"/>
              <w:left w:w="20" w:type="dxa"/>
              <w:bottom w:w="0" w:type="dxa"/>
              <w:right w:w="20" w:type="dxa"/>
            </w:tcMar>
            <w:vAlign w:val="center"/>
            <w:hideMark/>
          </w:tcPr>
          <w:p w:rsidR="00000000" w:rsidRDefault="001F1FC8">
            <w:pPr>
              <w:jc w:val="right"/>
              <w:rPr>
                <w:rFonts w:eastAsia="Times New Roman"/>
                <w:sz w:val="20"/>
                <w:szCs w:val="20"/>
              </w:rPr>
            </w:pPr>
          </w:p>
        </w:tc>
      </w:tr>
    </w:tbl>
    <w:p w:rsidR="00000000" w:rsidRDefault="001F1FC8">
      <w:pPr>
        <w:divId w:val="1770544958"/>
        <w:rPr>
          <w:rFonts w:eastAsia="Times New Roman"/>
        </w:rPr>
      </w:pPr>
    </w:p>
    <w:p w:rsidR="00000000" w:rsidRDefault="001F1FC8">
      <w:pPr>
        <w:ind w:hanging="180"/>
        <w:divId w:val="1654336341"/>
        <w:rPr>
          <w:rFonts w:eastAsia="Times New Roman"/>
        </w:rPr>
      </w:pPr>
      <w:r>
        <w:rPr>
          <w:rFonts w:ascii="Arial" w:eastAsia="Times New Roman" w:hAnsi="Arial" w:cs="Arial"/>
          <w:i/>
          <w:iCs/>
          <w:color w:val="000000"/>
          <w:sz w:val="16"/>
          <w:szCs w:val="16"/>
        </w:rPr>
        <w:t xml:space="preserve">1 </w:t>
      </w:r>
      <w:r>
        <w:rPr>
          <w:rFonts w:ascii="Arial" w:eastAsia="Times New Roman" w:hAnsi="Arial" w:cs="Arial"/>
          <w:i/>
          <w:iCs/>
          <w:color w:val="000000"/>
          <w:sz w:val="16"/>
          <w:szCs w:val="16"/>
        </w:rPr>
        <w:t>Current regulatory assets are included in Accounts receivable and other, while long-term regulatory assets are included in Deferred amounts and other assets.</w:t>
      </w:r>
    </w:p>
    <w:p w:rsidR="00000000" w:rsidRDefault="001F1FC8">
      <w:pPr>
        <w:ind w:hanging="180"/>
        <w:divId w:val="1744569900"/>
        <w:rPr>
          <w:rFonts w:eastAsia="Times New Roman"/>
        </w:rPr>
      </w:pPr>
      <w:r>
        <w:rPr>
          <w:rFonts w:ascii="Arial" w:eastAsia="Times New Roman" w:hAnsi="Arial" w:cs="Arial"/>
          <w:i/>
          <w:iCs/>
          <w:color w:val="000000"/>
          <w:sz w:val="16"/>
          <w:szCs w:val="16"/>
        </w:rPr>
        <w:t>2 Represents the regulatory offset to deferred income tax liabilities to the extent that it is exp</w:t>
      </w:r>
      <w:r>
        <w:rPr>
          <w:rFonts w:ascii="Arial" w:eastAsia="Times New Roman" w:hAnsi="Arial" w:cs="Arial"/>
          <w:i/>
          <w:iCs/>
          <w:color w:val="000000"/>
          <w:sz w:val="16"/>
          <w:szCs w:val="16"/>
        </w:rPr>
        <w:t>ected to be included in future regulator-approved rates and recovered from customers. The recovery period depends on the timing of the reversal of temporary differences. In the absence of rate-regulated accounting, this regulatory balance and the related e</w:t>
      </w:r>
      <w:r>
        <w:rPr>
          <w:rFonts w:ascii="Arial" w:eastAsia="Times New Roman" w:hAnsi="Arial" w:cs="Arial"/>
          <w:i/>
          <w:iCs/>
          <w:color w:val="000000"/>
          <w:sz w:val="16"/>
          <w:szCs w:val="16"/>
        </w:rPr>
        <w:t>arnings impact would not be recorded.</w:t>
      </w:r>
    </w:p>
    <w:p w:rsidR="00000000" w:rsidRDefault="001F1FC8">
      <w:pPr>
        <w:ind w:hanging="180"/>
        <w:divId w:val="1415978663"/>
        <w:rPr>
          <w:rFonts w:eastAsia="Times New Roman"/>
        </w:rPr>
      </w:pPr>
      <w:r>
        <w:rPr>
          <w:rFonts w:ascii="Arial" w:eastAsia="Times New Roman" w:hAnsi="Arial" w:cs="Arial"/>
          <w:i/>
          <w:iCs/>
          <w:color w:val="000000"/>
          <w:sz w:val="16"/>
          <w:szCs w:val="16"/>
        </w:rPr>
        <w:t>3 Represents our regulatory offset to the fair value adjustment to debt acquired in our merger with Spectra Energy Corp. (Spectra Energy). The offset is viewed as a proxy for the regulatory asset that would be recorded</w:t>
      </w:r>
      <w:r>
        <w:rPr>
          <w:rFonts w:ascii="Arial" w:eastAsia="Times New Roman" w:hAnsi="Arial" w:cs="Arial"/>
          <w:i/>
          <w:iCs/>
          <w:color w:val="000000"/>
          <w:sz w:val="16"/>
          <w:szCs w:val="16"/>
        </w:rPr>
        <w:t xml:space="preserve"> in the event such debt was extinguished at an amount higher than the carrying value.</w:t>
      </w:r>
    </w:p>
    <w:p w:rsidR="00000000" w:rsidRDefault="001F1FC8">
      <w:pPr>
        <w:ind w:hanging="180"/>
        <w:divId w:val="2037924728"/>
        <w:rPr>
          <w:rFonts w:eastAsia="Times New Roman"/>
        </w:rPr>
      </w:pPr>
      <w:r>
        <w:rPr>
          <w:rFonts w:ascii="Arial" w:eastAsia="Times New Roman" w:hAnsi="Arial" w:cs="Arial"/>
          <w:i/>
          <w:iCs/>
          <w:color w:val="000000"/>
          <w:sz w:val="16"/>
          <w:szCs w:val="16"/>
        </w:rPr>
        <w:t xml:space="preserve">4 The negative salvage balance represents the recovery in future rates of the actual cost of removal of previously retired or decommissioned plant assets, as approved by </w:t>
      </w:r>
      <w:r>
        <w:rPr>
          <w:rFonts w:ascii="Arial" w:eastAsia="Times New Roman" w:hAnsi="Arial" w:cs="Arial"/>
          <w:i/>
          <w:iCs/>
          <w:color w:val="000000"/>
          <w:sz w:val="16"/>
          <w:szCs w:val="16"/>
        </w:rPr>
        <w:t>the FERC.</w:t>
      </w:r>
    </w:p>
    <w:p w:rsidR="00000000" w:rsidRDefault="001F1FC8">
      <w:pPr>
        <w:ind w:hanging="180"/>
        <w:divId w:val="1940605641"/>
        <w:rPr>
          <w:rFonts w:eastAsia="Times New Roman"/>
        </w:rPr>
      </w:pPr>
      <w:r>
        <w:rPr>
          <w:rFonts w:ascii="Arial" w:eastAsia="Times New Roman" w:hAnsi="Arial" w:cs="Arial"/>
          <w:i/>
          <w:iCs/>
          <w:color w:val="000000"/>
          <w:sz w:val="16"/>
          <w:szCs w:val="16"/>
        </w:rPr>
        <w:t>5 This deferral reflects unamortized accumulated actuarial gains/losses and past service costs incurred by Union Gas Limited, relating to the period up to our merger with Spectra Energy, which were previously recorded in AOCI. The amortization of</w:t>
      </w:r>
      <w:r>
        <w:rPr>
          <w:rFonts w:ascii="Arial" w:eastAsia="Times New Roman" w:hAnsi="Arial" w:cs="Arial"/>
          <w:i/>
          <w:iCs/>
          <w:color w:val="000000"/>
          <w:sz w:val="16"/>
          <w:szCs w:val="16"/>
        </w:rPr>
        <w:t xml:space="preserve"> this balance is recognized as a component of accrual-based pension expenses, which are included in Other income/(expense) and recovered in rates, as previously approved by the OEB.</w:t>
      </w:r>
    </w:p>
    <w:p w:rsidR="00000000" w:rsidRDefault="001F1FC8">
      <w:pPr>
        <w:ind w:hanging="180"/>
        <w:divId w:val="542446960"/>
        <w:rPr>
          <w:rFonts w:eastAsia="Times New Roman"/>
        </w:rPr>
      </w:pPr>
      <w:r>
        <w:rPr>
          <w:rFonts w:ascii="Arial" w:eastAsia="Times New Roman" w:hAnsi="Arial" w:cs="Arial"/>
          <w:i/>
          <w:iCs/>
          <w:color w:val="000000"/>
          <w:sz w:val="16"/>
          <w:szCs w:val="16"/>
        </w:rPr>
        <w:t xml:space="preserve">6 Represents the regulatory offset to our pension liability to the extent </w:t>
      </w:r>
      <w:r>
        <w:rPr>
          <w:rFonts w:ascii="Arial" w:eastAsia="Times New Roman" w:hAnsi="Arial" w:cs="Arial"/>
          <w:i/>
          <w:iCs/>
          <w:color w:val="000000"/>
          <w:sz w:val="16"/>
          <w:szCs w:val="16"/>
        </w:rPr>
        <w:t>that it is expected to be included in regulator-approved future rates and recovered from customers. The settlement period for this balance is not determinable. In the absence of rate-regulated accounting, this regulatory balance and the related pension exp</w:t>
      </w:r>
      <w:r>
        <w:rPr>
          <w:rFonts w:ascii="Arial" w:eastAsia="Times New Roman" w:hAnsi="Arial" w:cs="Arial"/>
          <w:i/>
          <w:iCs/>
          <w:color w:val="000000"/>
          <w:sz w:val="16"/>
          <w:szCs w:val="16"/>
        </w:rPr>
        <w:t>ense would be recorded in earnings and OCI.</w:t>
      </w:r>
    </w:p>
    <w:p w:rsidR="00000000" w:rsidRDefault="001F1FC8">
      <w:pPr>
        <w:ind w:hanging="180"/>
        <w:divId w:val="1727799962"/>
        <w:rPr>
          <w:rFonts w:eastAsia="Times New Roman"/>
        </w:rPr>
      </w:pPr>
      <w:r>
        <w:rPr>
          <w:rFonts w:ascii="Arial" w:eastAsia="Times New Roman" w:hAnsi="Arial" w:cs="Arial"/>
          <w:i/>
          <w:iCs/>
          <w:color w:val="000000"/>
          <w:sz w:val="16"/>
          <w:szCs w:val="16"/>
        </w:rPr>
        <w:t>7 Current regulatory liabilities are included in Accounts payable and other, while long-term regulatory liabilities are included in Other long-term liabilities.</w:t>
      </w:r>
    </w:p>
    <w:p w:rsidR="00000000" w:rsidRDefault="001F1FC8">
      <w:pPr>
        <w:ind w:hanging="180"/>
        <w:divId w:val="47651768"/>
        <w:rPr>
          <w:rFonts w:eastAsia="Times New Roman"/>
        </w:rPr>
      </w:pPr>
      <w:r>
        <w:rPr>
          <w:rFonts w:ascii="Arial" w:eastAsia="Times New Roman" w:hAnsi="Arial" w:cs="Arial"/>
          <w:i/>
          <w:iCs/>
          <w:color w:val="000000"/>
          <w:sz w:val="16"/>
          <w:szCs w:val="16"/>
        </w:rPr>
        <w:t>8 Future removal and site restoration reserves cons</w:t>
      </w:r>
      <w:r>
        <w:rPr>
          <w:rFonts w:ascii="Arial" w:eastAsia="Times New Roman" w:hAnsi="Arial" w:cs="Arial"/>
          <w:i/>
          <w:iCs/>
          <w:color w:val="000000"/>
          <w:sz w:val="16"/>
          <w:szCs w:val="16"/>
        </w:rPr>
        <w:t>ists of amounts collected from customers, with the approval of the OEB, to fund future costs of removal and site restoration relating to property, plant and equipment. These costs are collected as part of the depreciation expense charged on property, plant</w:t>
      </w:r>
      <w:r>
        <w:rPr>
          <w:rFonts w:ascii="Arial" w:eastAsia="Times New Roman" w:hAnsi="Arial" w:cs="Arial"/>
          <w:i/>
          <w:iCs/>
          <w:color w:val="000000"/>
          <w:sz w:val="16"/>
          <w:szCs w:val="16"/>
        </w:rPr>
        <w:t xml:space="preserve"> and equipment that is reflected in rates. The settlement of this balance will occur over the long-term as costs are incurred. In the absence of rate-regulated accounting, depreciation rates would not include a charge for removal and site restoration and c</w:t>
      </w:r>
      <w:r>
        <w:rPr>
          <w:rFonts w:ascii="Arial" w:eastAsia="Times New Roman" w:hAnsi="Arial" w:cs="Arial"/>
          <w:i/>
          <w:iCs/>
          <w:color w:val="000000"/>
          <w:sz w:val="16"/>
          <w:szCs w:val="16"/>
        </w:rPr>
        <w:t>osts would be charged to earnings as incurred with recognition of revenue for amounts previously collected.</w:t>
      </w:r>
    </w:p>
    <w:p w:rsidR="00000000" w:rsidRDefault="001F1FC8">
      <w:pPr>
        <w:jc w:val="center"/>
        <w:divId w:val="1854873718"/>
        <w:rPr>
          <w:rFonts w:eastAsia="Times New Roman"/>
        </w:rPr>
      </w:pPr>
      <w:r>
        <w:rPr>
          <w:rFonts w:ascii="Arial" w:eastAsia="Times New Roman" w:hAnsi="Arial" w:cs="Arial"/>
          <w:color w:val="000000"/>
          <w:sz w:val="20"/>
          <w:szCs w:val="20"/>
        </w:rPr>
        <w:t>125</w:t>
      </w:r>
    </w:p>
    <w:p w:rsidR="00000000" w:rsidRDefault="001F1FC8">
      <w:pPr>
        <w:rPr>
          <w:rFonts w:eastAsia="Times New Roman"/>
        </w:rPr>
      </w:pPr>
      <w:r>
        <w:rPr>
          <w:rFonts w:eastAsia="Times New Roman"/>
        </w:rPr>
        <w:pict>
          <v:rect id="_x0000_i1155" style="width:0;height:1.5pt" o:hralign="center" o:hrstd="t" o:hr="t" fillcolor="#a0a0a0" stroked="f"/>
        </w:pict>
      </w:r>
    </w:p>
    <w:p w:rsidR="00000000" w:rsidRDefault="001F1FC8">
      <w:pPr>
        <w:jc w:val="center"/>
        <w:divId w:val="518472183"/>
        <w:rPr>
          <w:rFonts w:eastAsia="Times New Roman"/>
        </w:rPr>
      </w:pPr>
    </w:p>
    <w:p w:rsidR="00000000" w:rsidRDefault="001F1FC8">
      <w:pPr>
        <w:ind w:hanging="180"/>
        <w:divId w:val="1172840179"/>
        <w:rPr>
          <w:rFonts w:eastAsia="Times New Roman"/>
        </w:rPr>
      </w:pPr>
      <w:r>
        <w:rPr>
          <w:rFonts w:ascii="Arial" w:eastAsia="Times New Roman" w:hAnsi="Arial" w:cs="Arial"/>
          <w:i/>
          <w:iCs/>
          <w:color w:val="000000"/>
          <w:sz w:val="16"/>
          <w:szCs w:val="16"/>
        </w:rPr>
        <w:t xml:space="preserve">9 </w:t>
      </w:r>
      <w:r>
        <w:rPr>
          <w:rFonts w:ascii="Arial" w:eastAsia="Times New Roman" w:hAnsi="Arial" w:cs="Arial"/>
          <w:i/>
          <w:iCs/>
          <w:color w:val="000000"/>
          <w:sz w:val="16"/>
          <w:szCs w:val="16"/>
        </w:rPr>
        <w:t>The regulatory liability related to US income taxes resulted from the US tax reform legislation dated December 22, 2017. These balances will be refunded to customers in accordance with the respective rate settlements approved by the FERC.</w:t>
      </w:r>
    </w:p>
    <w:p w:rsidR="00000000" w:rsidRDefault="001F1FC8">
      <w:pPr>
        <w:divId w:val="1550070678"/>
        <w:rPr>
          <w:rFonts w:eastAsia="Times New Roman"/>
        </w:rPr>
      </w:pPr>
    </w:p>
    <w:p w:rsidR="00000000" w:rsidRDefault="001F1FC8">
      <w:pPr>
        <w:divId w:val="655912280"/>
        <w:rPr>
          <w:rFonts w:eastAsia="Times New Roman"/>
        </w:rPr>
      </w:pPr>
      <w:r>
        <w:rPr>
          <w:rFonts w:ascii="Arial" w:eastAsia="Times New Roman" w:hAnsi="Arial" w:cs="Arial"/>
          <w:b/>
          <w:bCs/>
          <w:color w:val="000000"/>
          <w:sz w:val="26"/>
          <w:szCs w:val="26"/>
        </w:rPr>
        <w:t>8.  ACQUISITION</w:t>
      </w:r>
      <w:r>
        <w:rPr>
          <w:rFonts w:ascii="Arial" w:eastAsia="Times New Roman" w:hAnsi="Arial" w:cs="Arial"/>
          <w:b/>
          <w:bCs/>
          <w:color w:val="000000"/>
          <w:sz w:val="26"/>
          <w:szCs w:val="26"/>
        </w:rPr>
        <w:t>S AND DISPOSITIONS</w:t>
      </w:r>
    </w:p>
    <w:p w:rsidR="00000000" w:rsidRDefault="001F1FC8">
      <w:pPr>
        <w:divId w:val="1947500440"/>
        <w:rPr>
          <w:rFonts w:eastAsia="Times New Roman"/>
        </w:rPr>
      </w:pPr>
    </w:p>
    <w:p w:rsidR="00000000" w:rsidRDefault="001F1FC8">
      <w:pPr>
        <w:divId w:val="239491248"/>
        <w:rPr>
          <w:rFonts w:eastAsia="Times New Roman"/>
        </w:rPr>
      </w:pPr>
      <w:r>
        <w:rPr>
          <w:rFonts w:ascii="Arial" w:eastAsia="Times New Roman" w:hAnsi="Arial" w:cs="Arial"/>
          <w:b/>
          <w:bCs/>
          <w:color w:val="000000"/>
          <w:sz w:val="20"/>
          <w:szCs w:val="20"/>
        </w:rPr>
        <w:t>ACQUISITION</w:t>
      </w:r>
    </w:p>
    <w:p w:rsidR="00000000" w:rsidRDefault="001F1FC8">
      <w:pPr>
        <w:divId w:val="1797217331"/>
        <w:rPr>
          <w:rFonts w:eastAsia="Times New Roman"/>
        </w:rPr>
      </w:pPr>
      <w:r>
        <w:rPr>
          <w:rFonts w:ascii="Arial" w:eastAsia="Times New Roman" w:hAnsi="Arial" w:cs="Arial"/>
          <w:b/>
          <w:bCs/>
          <w:color w:val="000000"/>
          <w:sz w:val="20"/>
          <w:szCs w:val="20"/>
        </w:rPr>
        <w:t>Moda Midstream Operating, LLC</w:t>
      </w:r>
    </w:p>
    <w:p w:rsidR="00000000" w:rsidRDefault="001F1FC8">
      <w:pPr>
        <w:divId w:val="1151366446"/>
        <w:rPr>
          <w:rFonts w:eastAsia="Times New Roman"/>
        </w:rPr>
      </w:pPr>
      <w:r>
        <w:rPr>
          <w:rFonts w:ascii="Arial" w:eastAsia="Times New Roman" w:hAnsi="Arial" w:cs="Arial"/>
          <w:color w:val="000000"/>
          <w:sz w:val="20"/>
          <w:szCs w:val="20"/>
        </w:rPr>
        <w:t>On October 12, 2021, through a wholly-owned US subsidiary, we acquired all of the outstanding membership interests in Moda for $3.7 billion (US$3.0 billion) of cash plus potential contingent pa</w:t>
      </w:r>
      <w:r>
        <w:rPr>
          <w:rFonts w:ascii="Arial" w:eastAsia="Times New Roman" w:hAnsi="Arial" w:cs="Arial"/>
          <w:color w:val="000000"/>
          <w:sz w:val="20"/>
          <w:szCs w:val="20"/>
        </w:rPr>
        <w:t>yments of up to US$150 million dependent on performance of the assets (the Acquisition). The Acquisition is also subject to customary closing and working capital adjustments. Moda owns and operates a light crude export platform with very large crude carrie</w:t>
      </w:r>
      <w:r>
        <w:rPr>
          <w:rFonts w:ascii="Arial" w:eastAsia="Times New Roman" w:hAnsi="Arial" w:cs="Arial"/>
          <w:color w:val="000000"/>
          <w:sz w:val="20"/>
          <w:szCs w:val="20"/>
        </w:rPr>
        <w:t>r capability. The Acquisition aligns with and advances our US Gulf Coast export strategy and enables connectivity to low-cost and long-lived reserves in the Permian and Eagle Ford basins.</w:t>
      </w:r>
    </w:p>
    <w:p w:rsidR="00000000" w:rsidRDefault="001F1FC8">
      <w:pPr>
        <w:divId w:val="528299758"/>
        <w:rPr>
          <w:rFonts w:eastAsia="Times New Roman"/>
        </w:rPr>
      </w:pPr>
    </w:p>
    <w:p w:rsidR="00000000" w:rsidRDefault="001F1FC8">
      <w:pPr>
        <w:divId w:val="1417359234"/>
        <w:rPr>
          <w:rFonts w:eastAsia="Times New Roman"/>
        </w:rPr>
      </w:pPr>
      <w:r>
        <w:rPr>
          <w:rFonts w:ascii="Arial" w:eastAsia="Times New Roman" w:hAnsi="Arial" w:cs="Arial"/>
          <w:color w:val="000000"/>
          <w:sz w:val="20"/>
          <w:szCs w:val="20"/>
        </w:rPr>
        <w:t>We accounted for the Acquisition using the acquisition method as p</w:t>
      </w:r>
      <w:r>
        <w:rPr>
          <w:rFonts w:ascii="Arial" w:eastAsia="Times New Roman" w:hAnsi="Arial" w:cs="Arial"/>
          <w:color w:val="000000"/>
          <w:sz w:val="20"/>
          <w:szCs w:val="20"/>
        </w:rPr>
        <w:t xml:space="preserve">rescribed by ASC 805 </w:t>
      </w:r>
      <w:r>
        <w:rPr>
          <w:rFonts w:ascii="Arial" w:eastAsia="Times New Roman" w:hAnsi="Arial" w:cs="Arial"/>
          <w:i/>
          <w:iCs/>
          <w:color w:val="000000"/>
          <w:sz w:val="20"/>
          <w:szCs w:val="20"/>
        </w:rPr>
        <w:t>Business Combinations</w:t>
      </w:r>
      <w:r>
        <w:rPr>
          <w:rFonts w:ascii="Arial" w:eastAsia="Times New Roman" w:hAnsi="Arial" w:cs="Arial"/>
          <w:color w:val="000000"/>
          <w:sz w:val="20"/>
          <w:szCs w:val="20"/>
        </w:rPr>
        <w:t xml:space="preserve">. In accordance with valuation methodologies described in ASC 820 </w:t>
      </w:r>
      <w:r>
        <w:rPr>
          <w:rFonts w:ascii="Arial" w:eastAsia="Times New Roman" w:hAnsi="Arial" w:cs="Arial"/>
          <w:i/>
          <w:iCs/>
          <w:color w:val="000000"/>
          <w:sz w:val="20"/>
          <w:szCs w:val="20"/>
        </w:rPr>
        <w:t>Fair Value Measurements</w:t>
      </w:r>
      <w:r>
        <w:rPr>
          <w:rFonts w:ascii="Arial" w:eastAsia="Times New Roman" w:hAnsi="Arial" w:cs="Arial"/>
          <w:color w:val="000000"/>
          <w:sz w:val="20"/>
          <w:szCs w:val="20"/>
        </w:rPr>
        <w:t>, the acquired assets and assumed liabilities were recorded at their estimated fair values as at the date of acquisition.</w:t>
      </w:r>
    </w:p>
    <w:p w:rsidR="00000000" w:rsidRDefault="001F1FC8">
      <w:pPr>
        <w:divId w:val="594872168"/>
        <w:rPr>
          <w:rFonts w:eastAsia="Times New Roman"/>
        </w:rPr>
      </w:pPr>
    </w:p>
    <w:p w:rsidR="00000000" w:rsidRDefault="001F1FC8">
      <w:pPr>
        <w:divId w:val="490877597"/>
        <w:rPr>
          <w:rFonts w:eastAsia="Times New Roman"/>
        </w:rPr>
      </w:pPr>
      <w:r>
        <w:rPr>
          <w:rFonts w:ascii="Arial" w:eastAsia="Times New Roman" w:hAnsi="Arial" w:cs="Arial"/>
          <w:color w:val="000000"/>
          <w:sz w:val="20"/>
          <w:szCs w:val="20"/>
        </w:rPr>
        <w:t>T</w:t>
      </w:r>
      <w:r>
        <w:rPr>
          <w:rFonts w:ascii="Arial" w:eastAsia="Times New Roman" w:hAnsi="Arial" w:cs="Arial"/>
          <w:color w:val="000000"/>
          <w:sz w:val="20"/>
          <w:szCs w:val="20"/>
        </w:rPr>
        <w:t>he following table summarizes the estimated preliminary fair values that were assigned to the net assets of Moda:</w:t>
      </w:r>
    </w:p>
    <w:tbl>
      <w:tblPr>
        <w:tblW w:w="5000" w:type="pct"/>
        <w:tblCellMar>
          <w:top w:w="15" w:type="dxa"/>
          <w:left w:w="15" w:type="dxa"/>
          <w:bottom w:w="15" w:type="dxa"/>
          <w:right w:w="15" w:type="dxa"/>
        </w:tblCellMar>
        <w:tblLook w:val="04A0" w:firstRow="1" w:lastRow="0" w:firstColumn="1" w:lastColumn="0" w:noHBand="0" w:noVBand="1"/>
      </w:tblPr>
      <w:tblGrid>
        <w:gridCol w:w="68"/>
        <w:gridCol w:w="6869"/>
        <w:gridCol w:w="40"/>
        <w:gridCol w:w="68"/>
        <w:gridCol w:w="1225"/>
        <w:gridCol w:w="36"/>
      </w:tblGrid>
      <w:tr w:rsidR="00000000">
        <w:trPr>
          <w:divId w:val="1245533209"/>
        </w:trPr>
        <w:tc>
          <w:tcPr>
            <w:tcW w:w="50" w:type="pct"/>
            <w:vAlign w:val="center"/>
            <w:hideMark/>
          </w:tcPr>
          <w:p w:rsidR="00000000" w:rsidRDefault="001F1FC8">
            <w:pPr>
              <w:rPr>
                <w:rFonts w:eastAsia="Times New Roman"/>
              </w:rPr>
            </w:pPr>
          </w:p>
        </w:tc>
        <w:tc>
          <w:tcPr>
            <w:tcW w:w="4143"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c>
          <w:tcPr>
            <w:tcW w:w="50" w:type="pct"/>
            <w:vAlign w:val="center"/>
            <w:hideMark/>
          </w:tcPr>
          <w:p w:rsidR="00000000" w:rsidRDefault="001F1FC8">
            <w:pPr>
              <w:rPr>
                <w:rFonts w:eastAsia="Times New Roman"/>
                <w:sz w:val="20"/>
                <w:szCs w:val="20"/>
              </w:rPr>
            </w:pPr>
          </w:p>
        </w:tc>
        <w:tc>
          <w:tcPr>
            <w:tcW w:w="746"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r>
      <w:tr w:rsidR="00000000">
        <w:trPr>
          <w:divId w:val="1245533209"/>
        </w:trPr>
        <w:tc>
          <w:tcPr>
            <w:tcW w:w="0" w:type="auto"/>
            <w:gridSpan w:val="3"/>
            <w:tcMar>
              <w:top w:w="0" w:type="dxa"/>
              <w:left w:w="20" w:type="dxa"/>
              <w:bottom w:w="0" w:type="dxa"/>
              <w:right w:w="20" w:type="dxa"/>
            </w:tcMar>
            <w:vAlign w:val="center"/>
            <w:hideMark/>
          </w:tcPr>
          <w:p w:rsidR="00000000" w:rsidRDefault="001F1FC8">
            <w:pPr>
              <w:rPr>
                <w:rFonts w:eastAsia="Times New Roman"/>
                <w:sz w:val="20"/>
                <w:szCs w:val="20"/>
              </w:rPr>
            </w:pPr>
          </w:p>
        </w:tc>
        <w:tc>
          <w:tcPr>
            <w:tcW w:w="0" w:type="auto"/>
            <w:gridSpan w:val="3"/>
            <w:tcMar>
              <w:top w:w="30" w:type="dxa"/>
              <w:left w:w="20" w:type="dxa"/>
              <w:bottom w:w="30" w:type="dxa"/>
              <w:right w:w="20" w:type="dxa"/>
            </w:tcMar>
            <w:vAlign w:val="center"/>
            <w:hideMark/>
          </w:tcPr>
          <w:p w:rsidR="00000000" w:rsidRDefault="001F1FC8">
            <w:pPr>
              <w:jc w:val="right"/>
              <w:rPr>
                <w:rFonts w:eastAsia="Times New Roman"/>
              </w:rPr>
            </w:pPr>
            <w:r>
              <w:rPr>
                <w:rFonts w:ascii="Arial" w:eastAsia="Times New Roman" w:hAnsi="Arial" w:cs="Arial"/>
                <w:color w:val="000000"/>
                <w:sz w:val="20"/>
                <w:szCs w:val="20"/>
              </w:rPr>
              <w:t>October 12, 2021</w:t>
            </w:r>
          </w:p>
        </w:tc>
      </w:tr>
      <w:tr w:rsidR="00000000">
        <w:trPr>
          <w:divId w:val="1245533209"/>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1F1FC8">
            <w:pPr>
              <w:rPr>
                <w:rFonts w:eastAsia="Times New Roman"/>
              </w:rPr>
            </w:pPr>
            <w:r>
              <w:rPr>
                <w:rFonts w:ascii="Arial" w:eastAsia="Times New Roman" w:hAnsi="Arial" w:cs="Arial"/>
                <w:i/>
                <w:iCs/>
                <w:color w:val="000000"/>
                <w:sz w:val="16"/>
                <w:szCs w:val="16"/>
              </w:rPr>
              <w:t>(millions of Canadian dollars)</w:t>
            </w:r>
          </w:p>
        </w:tc>
        <w:tc>
          <w:tcPr>
            <w:tcW w:w="0" w:type="auto"/>
            <w:gridSpan w:val="3"/>
            <w:tcBorders>
              <w:top w:val="single" w:sz="4" w:space="0" w:color="000000"/>
            </w:tcBorders>
            <w:shd w:val="clear" w:color="auto" w:fill="D9D9D9"/>
            <w:tcMar>
              <w:top w:w="0" w:type="dxa"/>
              <w:left w:w="20" w:type="dxa"/>
              <w:bottom w:w="0" w:type="dxa"/>
              <w:right w:w="20" w:type="dxa"/>
            </w:tcMar>
            <w:vAlign w:val="center"/>
            <w:hideMark/>
          </w:tcPr>
          <w:p w:rsidR="00000000" w:rsidRDefault="001F1FC8">
            <w:pPr>
              <w:rPr>
                <w:rFonts w:eastAsia="Times New Roman"/>
              </w:rPr>
            </w:pPr>
          </w:p>
        </w:tc>
      </w:tr>
      <w:tr w:rsidR="00000000">
        <w:trPr>
          <w:divId w:val="1245533209"/>
        </w:trPr>
        <w:tc>
          <w:tcPr>
            <w:tcW w:w="0" w:type="auto"/>
            <w:gridSpan w:val="3"/>
            <w:tcMar>
              <w:top w:w="30" w:type="dxa"/>
              <w:left w:w="20" w:type="dxa"/>
              <w:bottom w:w="30" w:type="dxa"/>
              <w:right w:w="20" w:type="dxa"/>
            </w:tcMar>
            <w:vAlign w:val="center"/>
            <w:hideMark/>
          </w:tcPr>
          <w:p w:rsidR="00000000" w:rsidRDefault="001F1FC8">
            <w:pPr>
              <w:rPr>
                <w:rFonts w:eastAsia="Times New Roman"/>
              </w:rPr>
            </w:pPr>
            <w:r>
              <w:rPr>
                <w:rFonts w:ascii="Arial" w:eastAsia="Times New Roman" w:hAnsi="Arial" w:cs="Arial"/>
                <w:color w:val="000000"/>
                <w:sz w:val="20"/>
                <w:szCs w:val="20"/>
              </w:rPr>
              <w:t>Fair value of net assets acquired:</w:t>
            </w:r>
          </w:p>
        </w:tc>
        <w:tc>
          <w:tcPr>
            <w:tcW w:w="0" w:type="auto"/>
            <w:gridSpan w:val="3"/>
            <w:shd w:val="clear" w:color="auto" w:fill="D9D9D9"/>
            <w:tcMar>
              <w:top w:w="0" w:type="dxa"/>
              <w:left w:w="20" w:type="dxa"/>
              <w:bottom w:w="0" w:type="dxa"/>
              <w:right w:w="20" w:type="dxa"/>
            </w:tcMar>
            <w:vAlign w:val="center"/>
            <w:hideMark/>
          </w:tcPr>
          <w:p w:rsidR="00000000" w:rsidRDefault="001F1FC8">
            <w:pPr>
              <w:rPr>
                <w:rFonts w:eastAsia="Times New Roman"/>
              </w:rPr>
            </w:pPr>
          </w:p>
        </w:tc>
      </w:tr>
      <w:tr w:rsidR="00000000">
        <w:trPr>
          <w:divId w:val="1245533209"/>
        </w:trPr>
        <w:tc>
          <w:tcPr>
            <w:tcW w:w="0" w:type="auto"/>
            <w:gridSpan w:val="3"/>
            <w:tcMar>
              <w:top w:w="30" w:type="dxa"/>
              <w:left w:w="140" w:type="dxa"/>
              <w:bottom w:w="30" w:type="dxa"/>
              <w:right w:w="20" w:type="dxa"/>
            </w:tcMar>
            <w:vAlign w:val="center"/>
            <w:hideMark/>
          </w:tcPr>
          <w:p w:rsidR="00000000" w:rsidRDefault="001F1FC8">
            <w:pPr>
              <w:rPr>
                <w:rFonts w:eastAsia="Times New Roman"/>
              </w:rPr>
            </w:pPr>
            <w:r>
              <w:rPr>
                <w:rFonts w:ascii="Arial" w:eastAsia="Times New Roman" w:hAnsi="Arial" w:cs="Arial"/>
                <w:color w:val="000000"/>
                <w:sz w:val="20"/>
                <w:szCs w:val="20"/>
              </w:rPr>
              <w:t>Current assets</w:t>
            </w:r>
          </w:p>
        </w:tc>
        <w:tc>
          <w:tcPr>
            <w:tcW w:w="0" w:type="auto"/>
            <w:gridSpan w:val="2"/>
            <w:shd w:val="clear" w:color="auto" w:fill="D9D9D9"/>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b/>
                <w:bCs/>
                <w:color w:val="000000"/>
                <w:sz w:val="20"/>
                <w:szCs w:val="20"/>
              </w:rPr>
              <w:t>62</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1F1FC8">
            <w:pPr>
              <w:jc w:val="right"/>
              <w:rPr>
                <w:rFonts w:eastAsia="Times New Roman"/>
              </w:rPr>
            </w:pPr>
          </w:p>
        </w:tc>
      </w:tr>
      <w:tr w:rsidR="00000000">
        <w:trPr>
          <w:divId w:val="1245533209"/>
        </w:trPr>
        <w:tc>
          <w:tcPr>
            <w:tcW w:w="0" w:type="auto"/>
            <w:gridSpan w:val="3"/>
            <w:tcMar>
              <w:top w:w="30" w:type="dxa"/>
              <w:left w:w="140" w:type="dxa"/>
              <w:bottom w:w="30" w:type="dxa"/>
              <w:right w:w="20" w:type="dxa"/>
            </w:tcMar>
            <w:vAlign w:val="center"/>
            <w:hideMark/>
          </w:tcPr>
          <w:p w:rsidR="00000000" w:rsidRDefault="001F1FC8">
            <w:pPr>
              <w:rPr>
                <w:rFonts w:eastAsia="Times New Roman"/>
              </w:rPr>
            </w:pPr>
            <w:r>
              <w:rPr>
                <w:rFonts w:ascii="Arial" w:eastAsia="Times New Roman" w:hAnsi="Arial" w:cs="Arial"/>
                <w:color w:val="000000"/>
                <w:sz w:val="20"/>
                <w:szCs w:val="20"/>
              </w:rPr>
              <w:t>Property, plant and equipment (a)</w:t>
            </w:r>
          </w:p>
        </w:tc>
        <w:tc>
          <w:tcPr>
            <w:tcW w:w="0" w:type="auto"/>
            <w:gridSpan w:val="2"/>
            <w:shd w:val="clear" w:color="auto" w:fill="D9D9D9"/>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b/>
                <w:bCs/>
                <w:color w:val="000000"/>
                <w:sz w:val="20"/>
                <w:szCs w:val="20"/>
              </w:rPr>
              <w:t>1,480</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1F1FC8">
            <w:pPr>
              <w:jc w:val="right"/>
              <w:rPr>
                <w:rFonts w:eastAsia="Times New Roman"/>
              </w:rPr>
            </w:pPr>
          </w:p>
        </w:tc>
      </w:tr>
      <w:tr w:rsidR="00000000">
        <w:trPr>
          <w:divId w:val="1245533209"/>
        </w:trPr>
        <w:tc>
          <w:tcPr>
            <w:tcW w:w="0" w:type="auto"/>
            <w:gridSpan w:val="3"/>
            <w:tcMar>
              <w:top w:w="30" w:type="dxa"/>
              <w:left w:w="140" w:type="dxa"/>
              <w:bottom w:w="30" w:type="dxa"/>
              <w:right w:w="20" w:type="dxa"/>
            </w:tcMar>
            <w:vAlign w:val="center"/>
            <w:hideMark/>
          </w:tcPr>
          <w:p w:rsidR="00000000" w:rsidRDefault="001F1FC8">
            <w:pPr>
              <w:rPr>
                <w:rFonts w:eastAsia="Times New Roman"/>
              </w:rPr>
            </w:pPr>
            <w:r>
              <w:rPr>
                <w:rFonts w:ascii="Arial" w:eastAsia="Times New Roman" w:hAnsi="Arial" w:cs="Arial"/>
                <w:color w:val="000000"/>
                <w:sz w:val="20"/>
                <w:szCs w:val="20"/>
              </w:rPr>
              <w:t>Long-term investments (b)</w:t>
            </w:r>
          </w:p>
        </w:tc>
        <w:tc>
          <w:tcPr>
            <w:tcW w:w="0" w:type="auto"/>
            <w:gridSpan w:val="2"/>
            <w:shd w:val="clear" w:color="auto" w:fill="D9D9D9"/>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b/>
                <w:bCs/>
                <w:color w:val="000000"/>
                <w:sz w:val="20"/>
                <w:szCs w:val="20"/>
              </w:rPr>
              <w:t>427</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1F1FC8">
            <w:pPr>
              <w:jc w:val="right"/>
              <w:rPr>
                <w:rFonts w:eastAsia="Times New Roman"/>
              </w:rPr>
            </w:pPr>
          </w:p>
        </w:tc>
      </w:tr>
      <w:tr w:rsidR="00000000">
        <w:trPr>
          <w:divId w:val="1245533209"/>
        </w:trPr>
        <w:tc>
          <w:tcPr>
            <w:tcW w:w="0" w:type="auto"/>
            <w:gridSpan w:val="3"/>
            <w:tcMar>
              <w:top w:w="30" w:type="dxa"/>
              <w:left w:w="140" w:type="dxa"/>
              <w:bottom w:w="30" w:type="dxa"/>
              <w:right w:w="20" w:type="dxa"/>
            </w:tcMar>
            <w:vAlign w:val="center"/>
            <w:hideMark/>
          </w:tcPr>
          <w:p w:rsidR="00000000" w:rsidRDefault="001F1FC8">
            <w:pPr>
              <w:rPr>
                <w:rFonts w:eastAsia="Times New Roman"/>
              </w:rPr>
            </w:pPr>
            <w:r>
              <w:rPr>
                <w:rFonts w:ascii="Arial" w:eastAsia="Times New Roman" w:hAnsi="Arial" w:cs="Arial"/>
                <w:color w:val="000000"/>
                <w:sz w:val="20"/>
                <w:szCs w:val="20"/>
              </w:rPr>
              <w:t>Intangible assets (c)</w:t>
            </w:r>
          </w:p>
        </w:tc>
        <w:tc>
          <w:tcPr>
            <w:tcW w:w="0" w:type="auto"/>
            <w:gridSpan w:val="2"/>
            <w:shd w:val="clear" w:color="auto" w:fill="D9D9D9"/>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b/>
                <w:bCs/>
                <w:color w:val="000000"/>
                <w:sz w:val="20"/>
                <w:szCs w:val="20"/>
              </w:rPr>
              <w:t>1,781</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1F1FC8">
            <w:pPr>
              <w:jc w:val="right"/>
              <w:rPr>
                <w:rFonts w:eastAsia="Times New Roman"/>
              </w:rPr>
            </w:pPr>
          </w:p>
        </w:tc>
      </w:tr>
      <w:tr w:rsidR="00000000">
        <w:trPr>
          <w:divId w:val="1245533209"/>
        </w:trPr>
        <w:tc>
          <w:tcPr>
            <w:tcW w:w="0" w:type="auto"/>
            <w:gridSpan w:val="3"/>
            <w:tcMar>
              <w:top w:w="30" w:type="dxa"/>
              <w:left w:w="140" w:type="dxa"/>
              <w:bottom w:w="30" w:type="dxa"/>
              <w:right w:w="20" w:type="dxa"/>
            </w:tcMar>
            <w:vAlign w:val="center"/>
            <w:hideMark/>
          </w:tcPr>
          <w:p w:rsidR="00000000" w:rsidRDefault="001F1FC8">
            <w:pPr>
              <w:rPr>
                <w:rFonts w:eastAsia="Times New Roman"/>
              </w:rPr>
            </w:pPr>
            <w:r>
              <w:rPr>
                <w:rFonts w:ascii="Arial" w:eastAsia="Times New Roman" w:hAnsi="Arial" w:cs="Arial"/>
                <w:color w:val="000000"/>
                <w:sz w:val="20"/>
                <w:szCs w:val="20"/>
              </w:rPr>
              <w:t>Current liabilities</w:t>
            </w:r>
          </w:p>
        </w:tc>
        <w:tc>
          <w:tcPr>
            <w:tcW w:w="0" w:type="auto"/>
            <w:gridSpan w:val="2"/>
            <w:shd w:val="clear" w:color="auto" w:fill="D9D9D9"/>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b/>
                <w:bCs/>
                <w:color w:val="000000"/>
                <w:sz w:val="20"/>
                <w:szCs w:val="20"/>
              </w:rPr>
              <w:t>59</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1F1FC8">
            <w:pPr>
              <w:jc w:val="right"/>
              <w:rPr>
                <w:rFonts w:eastAsia="Times New Roman"/>
              </w:rPr>
            </w:pPr>
          </w:p>
        </w:tc>
      </w:tr>
      <w:tr w:rsidR="00000000">
        <w:trPr>
          <w:divId w:val="1245533209"/>
        </w:trPr>
        <w:tc>
          <w:tcPr>
            <w:tcW w:w="0" w:type="auto"/>
            <w:gridSpan w:val="3"/>
            <w:tcMar>
              <w:top w:w="30" w:type="dxa"/>
              <w:left w:w="140" w:type="dxa"/>
              <w:bottom w:w="30" w:type="dxa"/>
              <w:right w:w="20" w:type="dxa"/>
            </w:tcMar>
            <w:vAlign w:val="center"/>
            <w:hideMark/>
          </w:tcPr>
          <w:p w:rsidR="00000000" w:rsidRDefault="001F1FC8">
            <w:pPr>
              <w:rPr>
                <w:rFonts w:eastAsia="Times New Roman"/>
              </w:rPr>
            </w:pPr>
            <w:r>
              <w:rPr>
                <w:rFonts w:ascii="Arial" w:eastAsia="Times New Roman" w:hAnsi="Arial" w:cs="Arial"/>
                <w:color w:val="000000"/>
                <w:sz w:val="20"/>
                <w:szCs w:val="20"/>
              </w:rPr>
              <w:t>Long-term liabilities</w:t>
            </w:r>
          </w:p>
        </w:tc>
        <w:tc>
          <w:tcPr>
            <w:tcW w:w="0" w:type="auto"/>
            <w:gridSpan w:val="2"/>
            <w:shd w:val="clear" w:color="auto" w:fill="D9D9D9"/>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b/>
                <w:bCs/>
                <w:color w:val="000000"/>
                <w:sz w:val="20"/>
                <w:szCs w:val="20"/>
              </w:rPr>
              <w:t>17</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1F1FC8">
            <w:pPr>
              <w:jc w:val="right"/>
              <w:rPr>
                <w:rFonts w:eastAsia="Times New Roman"/>
              </w:rPr>
            </w:pPr>
          </w:p>
        </w:tc>
      </w:tr>
      <w:tr w:rsidR="00000000">
        <w:trPr>
          <w:divId w:val="1245533209"/>
        </w:trPr>
        <w:tc>
          <w:tcPr>
            <w:tcW w:w="0" w:type="auto"/>
            <w:gridSpan w:val="3"/>
            <w:tcMar>
              <w:top w:w="30" w:type="dxa"/>
              <w:left w:w="140" w:type="dxa"/>
              <w:bottom w:w="30" w:type="dxa"/>
              <w:right w:w="20" w:type="dxa"/>
            </w:tcMar>
            <w:vAlign w:val="center"/>
            <w:hideMark/>
          </w:tcPr>
          <w:p w:rsidR="00000000" w:rsidRDefault="001F1FC8">
            <w:pPr>
              <w:rPr>
                <w:rFonts w:eastAsia="Times New Roman"/>
              </w:rPr>
            </w:pPr>
            <w:r>
              <w:rPr>
                <w:rFonts w:ascii="Arial" w:eastAsia="Times New Roman" w:hAnsi="Arial" w:cs="Arial"/>
                <w:color w:val="000000"/>
                <w:sz w:val="20"/>
                <w:szCs w:val="20"/>
              </w:rPr>
              <w:t>Goodwill (d)</w:t>
            </w:r>
          </w:p>
        </w:tc>
        <w:tc>
          <w:tcPr>
            <w:tcW w:w="0" w:type="auto"/>
            <w:gridSpan w:val="2"/>
            <w:shd w:val="clear" w:color="auto" w:fill="D9D9D9"/>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b/>
                <w:bCs/>
                <w:color w:val="000000"/>
                <w:sz w:val="20"/>
                <w:szCs w:val="20"/>
              </w:rPr>
              <w:t>268</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1F1FC8">
            <w:pPr>
              <w:jc w:val="right"/>
              <w:rPr>
                <w:rFonts w:eastAsia="Times New Roman"/>
              </w:rPr>
            </w:pPr>
          </w:p>
        </w:tc>
      </w:tr>
      <w:tr w:rsidR="00000000">
        <w:trPr>
          <w:divId w:val="1245533209"/>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1F1FC8">
            <w:pPr>
              <w:rPr>
                <w:rFonts w:eastAsia="Times New Roman"/>
              </w:rPr>
            </w:pPr>
            <w:r>
              <w:rPr>
                <w:rFonts w:ascii="Arial" w:eastAsia="Times New Roman" w:hAnsi="Arial" w:cs="Arial"/>
                <w:color w:val="000000"/>
                <w:sz w:val="20"/>
                <w:szCs w:val="20"/>
              </w:rPr>
              <w:t>Purchase price:</w:t>
            </w:r>
          </w:p>
        </w:tc>
        <w:tc>
          <w:tcPr>
            <w:tcW w:w="0" w:type="auto"/>
            <w:gridSpan w:val="3"/>
            <w:tcBorders>
              <w:top w:val="single" w:sz="4" w:space="0" w:color="000000"/>
            </w:tcBorders>
            <w:shd w:val="clear" w:color="auto" w:fill="D9D9D9"/>
            <w:tcMar>
              <w:top w:w="0" w:type="dxa"/>
              <w:left w:w="20" w:type="dxa"/>
              <w:bottom w:w="0" w:type="dxa"/>
              <w:right w:w="20" w:type="dxa"/>
            </w:tcMar>
            <w:vAlign w:val="center"/>
            <w:hideMark/>
          </w:tcPr>
          <w:p w:rsidR="00000000" w:rsidRDefault="001F1FC8">
            <w:pPr>
              <w:rPr>
                <w:rFonts w:eastAsia="Times New Roman"/>
              </w:rPr>
            </w:pPr>
          </w:p>
        </w:tc>
      </w:tr>
      <w:tr w:rsidR="00000000">
        <w:trPr>
          <w:divId w:val="1245533209"/>
        </w:trPr>
        <w:tc>
          <w:tcPr>
            <w:tcW w:w="0" w:type="auto"/>
            <w:gridSpan w:val="3"/>
            <w:tcMar>
              <w:top w:w="30" w:type="dxa"/>
              <w:left w:w="140" w:type="dxa"/>
              <w:bottom w:w="30" w:type="dxa"/>
              <w:right w:w="20" w:type="dxa"/>
            </w:tcMar>
            <w:vAlign w:val="center"/>
            <w:hideMark/>
          </w:tcPr>
          <w:p w:rsidR="00000000" w:rsidRDefault="001F1FC8">
            <w:pPr>
              <w:rPr>
                <w:rFonts w:eastAsia="Times New Roman"/>
              </w:rPr>
            </w:pPr>
            <w:r>
              <w:rPr>
                <w:rFonts w:ascii="Arial" w:eastAsia="Times New Roman" w:hAnsi="Arial" w:cs="Arial"/>
                <w:color w:val="000000"/>
                <w:sz w:val="20"/>
                <w:szCs w:val="20"/>
              </w:rPr>
              <w:t>Cash</w:t>
            </w:r>
          </w:p>
        </w:tc>
        <w:tc>
          <w:tcPr>
            <w:tcW w:w="0" w:type="auto"/>
            <w:gridSpan w:val="2"/>
            <w:shd w:val="clear" w:color="auto" w:fill="D9D9D9"/>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b/>
                <w:bCs/>
                <w:color w:val="000000"/>
                <w:sz w:val="20"/>
                <w:szCs w:val="20"/>
              </w:rPr>
              <w:t>3,755</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1F1FC8">
            <w:pPr>
              <w:jc w:val="right"/>
              <w:rPr>
                <w:rFonts w:eastAsia="Times New Roman"/>
              </w:rPr>
            </w:pPr>
          </w:p>
        </w:tc>
      </w:tr>
      <w:tr w:rsidR="00000000">
        <w:trPr>
          <w:divId w:val="1245533209"/>
        </w:trPr>
        <w:tc>
          <w:tcPr>
            <w:tcW w:w="0" w:type="auto"/>
            <w:gridSpan w:val="3"/>
            <w:tcMar>
              <w:top w:w="30" w:type="dxa"/>
              <w:left w:w="140" w:type="dxa"/>
              <w:bottom w:w="30" w:type="dxa"/>
              <w:right w:w="20" w:type="dxa"/>
            </w:tcMar>
            <w:vAlign w:val="center"/>
            <w:hideMark/>
          </w:tcPr>
          <w:p w:rsidR="00000000" w:rsidRDefault="001F1FC8">
            <w:pPr>
              <w:rPr>
                <w:rFonts w:eastAsia="Times New Roman"/>
              </w:rPr>
            </w:pPr>
            <w:r>
              <w:rPr>
                <w:rFonts w:ascii="Arial" w:eastAsia="Times New Roman" w:hAnsi="Arial" w:cs="Arial"/>
                <w:color w:val="000000"/>
                <w:sz w:val="20"/>
                <w:szCs w:val="20"/>
              </w:rPr>
              <w:t>Contingent consideration (e)</w:t>
            </w:r>
          </w:p>
        </w:tc>
        <w:tc>
          <w:tcPr>
            <w:tcW w:w="0" w:type="auto"/>
            <w:gridSpan w:val="2"/>
            <w:shd w:val="clear" w:color="auto" w:fill="D9D9D9"/>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b/>
                <w:bCs/>
                <w:color w:val="000000"/>
                <w:sz w:val="20"/>
                <w:szCs w:val="20"/>
              </w:rPr>
              <w:t>187</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1F1FC8">
            <w:pPr>
              <w:jc w:val="right"/>
              <w:rPr>
                <w:rFonts w:eastAsia="Times New Roman"/>
              </w:rPr>
            </w:pPr>
          </w:p>
        </w:tc>
      </w:tr>
      <w:tr w:rsidR="00000000">
        <w:trPr>
          <w:divId w:val="1245533209"/>
        </w:trPr>
        <w:tc>
          <w:tcPr>
            <w:tcW w:w="0" w:type="auto"/>
            <w:gridSpan w:val="3"/>
            <w:tcBorders>
              <w:top w:val="single" w:sz="4" w:space="0" w:color="000000"/>
              <w:bottom w:val="single" w:sz="8" w:space="0" w:color="000000"/>
            </w:tcBorders>
            <w:tcMar>
              <w:top w:w="0" w:type="dxa"/>
              <w:left w:w="20" w:type="dxa"/>
              <w:bottom w:w="0" w:type="dxa"/>
              <w:right w:w="20" w:type="dxa"/>
            </w:tcMar>
            <w:vAlign w:val="center"/>
            <w:hideMark/>
          </w:tcPr>
          <w:p w:rsidR="00000000" w:rsidRDefault="001F1FC8">
            <w:pPr>
              <w:jc w:val="right"/>
              <w:rPr>
                <w:rFonts w:eastAsia="Times New Roman"/>
                <w:sz w:val="20"/>
                <w:szCs w:val="20"/>
              </w:rPr>
            </w:pPr>
          </w:p>
        </w:tc>
        <w:tc>
          <w:tcPr>
            <w:tcW w:w="0" w:type="auto"/>
            <w:gridSpan w:val="2"/>
            <w:tcBorders>
              <w:top w:val="single" w:sz="4" w:space="0" w:color="000000"/>
              <w:bottom w:val="single" w:sz="8" w:space="0" w:color="000000"/>
            </w:tcBorders>
            <w:shd w:val="clear" w:color="auto" w:fill="D9D9D9"/>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b/>
                <w:bCs/>
                <w:color w:val="000000"/>
                <w:sz w:val="20"/>
                <w:szCs w:val="20"/>
              </w:rPr>
              <w:t>3,942</w:t>
            </w:r>
            <w:r>
              <w:rPr>
                <w:rFonts w:ascii="Arial" w:eastAsia="Times New Roman" w:hAnsi="Arial" w:cs="Arial"/>
                <w:color w:val="000000"/>
                <w:sz w:val="20"/>
                <w:szCs w:val="20"/>
              </w:rPr>
              <w:t> </w:t>
            </w:r>
          </w:p>
        </w:tc>
        <w:tc>
          <w:tcPr>
            <w:tcW w:w="0" w:type="auto"/>
            <w:tcBorders>
              <w:top w:val="single" w:sz="4" w:space="0" w:color="000000"/>
              <w:bottom w:val="single" w:sz="8" w:space="0" w:color="000000"/>
            </w:tcBorders>
            <w:shd w:val="clear" w:color="auto" w:fill="D9D9D9"/>
            <w:tcMar>
              <w:top w:w="30" w:type="dxa"/>
              <w:left w:w="0" w:type="dxa"/>
              <w:bottom w:w="30" w:type="dxa"/>
              <w:right w:w="20" w:type="dxa"/>
            </w:tcMar>
            <w:vAlign w:val="center"/>
            <w:hideMark/>
          </w:tcPr>
          <w:p w:rsidR="00000000" w:rsidRDefault="001F1FC8">
            <w:pPr>
              <w:jc w:val="right"/>
              <w:rPr>
                <w:rFonts w:eastAsia="Times New Roman"/>
              </w:rPr>
            </w:pPr>
          </w:p>
        </w:tc>
      </w:tr>
    </w:tbl>
    <w:p w:rsidR="00000000" w:rsidRDefault="001F1FC8">
      <w:pPr>
        <w:ind w:hanging="270"/>
        <w:divId w:val="1774744595"/>
        <w:rPr>
          <w:rFonts w:eastAsia="Times New Roman"/>
        </w:rPr>
      </w:pPr>
    </w:p>
    <w:p w:rsidR="00000000" w:rsidRDefault="001F1FC8">
      <w:pPr>
        <w:ind w:hanging="270"/>
        <w:divId w:val="819419361"/>
        <w:rPr>
          <w:rFonts w:eastAsia="Times New Roman"/>
        </w:rPr>
      </w:pPr>
      <w:r>
        <w:rPr>
          <w:rFonts w:ascii="Arial" w:eastAsia="Times New Roman" w:hAnsi="Arial" w:cs="Arial"/>
          <w:color w:val="000000"/>
          <w:sz w:val="20"/>
          <w:szCs w:val="20"/>
        </w:rPr>
        <w:t xml:space="preserve">a) </w:t>
      </w:r>
      <w:r>
        <w:rPr>
          <w:rFonts w:ascii="Arial" w:eastAsia="Times New Roman" w:hAnsi="Arial" w:cs="Arial"/>
          <w:color w:val="000000"/>
          <w:sz w:val="20"/>
          <w:szCs w:val="20"/>
        </w:rPr>
        <w:t xml:space="preserve">Due to the specialized nature of Moda's property, plant and equipment, which includes groups of assets configured for use as storage facilities, pipelines and export terminals, the depreciated replacement cost approach was adopted as the primary valuation </w:t>
      </w:r>
      <w:r>
        <w:rPr>
          <w:rFonts w:ascii="Arial" w:eastAsia="Times New Roman" w:hAnsi="Arial" w:cs="Arial"/>
          <w:color w:val="000000"/>
          <w:sz w:val="20"/>
          <w:szCs w:val="20"/>
        </w:rPr>
        <w:t xml:space="preserve">methodology. In determining replacement cost, both indirect costing using relevant inflation indices and direct costing using relevant market quotes were utilized. Adjustments were then applied for physical deterioration as well as functional and economic </w:t>
      </w:r>
      <w:r>
        <w:rPr>
          <w:rFonts w:ascii="Arial" w:eastAsia="Times New Roman" w:hAnsi="Arial" w:cs="Arial"/>
          <w:color w:val="000000"/>
          <w:sz w:val="20"/>
          <w:szCs w:val="20"/>
        </w:rPr>
        <w:t>obsolescence. The fair value of land was determined using a market approach, which is based on rents and offerings for comparable properties.</w:t>
      </w:r>
    </w:p>
    <w:p w:rsidR="00000000" w:rsidRDefault="001F1FC8">
      <w:pPr>
        <w:ind w:hanging="270"/>
        <w:divId w:val="1701516390"/>
        <w:rPr>
          <w:rFonts w:eastAsia="Times New Roman"/>
        </w:rPr>
      </w:pPr>
    </w:p>
    <w:p w:rsidR="00000000" w:rsidRDefault="001F1FC8">
      <w:pPr>
        <w:ind w:hanging="270"/>
        <w:divId w:val="526065933"/>
        <w:rPr>
          <w:rFonts w:eastAsia="Times New Roman"/>
        </w:rPr>
      </w:pPr>
      <w:r>
        <w:rPr>
          <w:rFonts w:ascii="Arial" w:eastAsia="Times New Roman" w:hAnsi="Arial" w:cs="Arial"/>
          <w:color w:val="000000"/>
          <w:sz w:val="20"/>
          <w:szCs w:val="20"/>
        </w:rPr>
        <w:t>b) Long-term investments represent Moda's 20% equity interest in Cactus II Pipeline, LLC (Cactus II). The fair v</w:t>
      </w:r>
      <w:r>
        <w:rPr>
          <w:rFonts w:ascii="Arial" w:eastAsia="Times New Roman" w:hAnsi="Arial" w:cs="Arial"/>
          <w:color w:val="000000"/>
          <w:sz w:val="20"/>
          <w:szCs w:val="20"/>
        </w:rPr>
        <w:t>alue of Cactus II was determined using the discounted cash flow method. The discounted cash flow method is an income-based approach to valuation which estimates the present value of future projected benefits from the investment.</w:t>
      </w:r>
    </w:p>
    <w:p w:rsidR="00000000" w:rsidRDefault="001F1FC8">
      <w:pPr>
        <w:ind w:hanging="270"/>
        <w:divId w:val="1865051821"/>
        <w:rPr>
          <w:rFonts w:eastAsia="Times New Roman"/>
        </w:rPr>
      </w:pPr>
    </w:p>
    <w:p w:rsidR="00000000" w:rsidRDefault="001F1FC8">
      <w:pPr>
        <w:jc w:val="center"/>
        <w:divId w:val="75249664"/>
        <w:rPr>
          <w:rFonts w:eastAsia="Times New Roman"/>
        </w:rPr>
      </w:pPr>
      <w:r>
        <w:rPr>
          <w:rFonts w:ascii="Arial" w:eastAsia="Times New Roman" w:hAnsi="Arial" w:cs="Arial"/>
          <w:color w:val="000000"/>
          <w:sz w:val="20"/>
          <w:szCs w:val="20"/>
        </w:rPr>
        <w:t>126</w:t>
      </w:r>
    </w:p>
    <w:p w:rsidR="00000000" w:rsidRDefault="001F1FC8">
      <w:pPr>
        <w:rPr>
          <w:rFonts w:eastAsia="Times New Roman"/>
        </w:rPr>
      </w:pPr>
      <w:r>
        <w:rPr>
          <w:rFonts w:eastAsia="Times New Roman"/>
        </w:rPr>
        <w:pict>
          <v:rect id="_x0000_i1156" style="width:0;height:1.5pt" o:hralign="center" o:hrstd="t" o:hr="t" fillcolor="#a0a0a0" stroked="f"/>
        </w:pict>
      </w:r>
    </w:p>
    <w:p w:rsidR="00000000" w:rsidRDefault="001F1FC8">
      <w:pPr>
        <w:jc w:val="center"/>
        <w:divId w:val="1203589095"/>
        <w:rPr>
          <w:rFonts w:eastAsia="Times New Roman"/>
        </w:rPr>
      </w:pPr>
    </w:p>
    <w:p w:rsidR="00000000" w:rsidRDefault="001F1FC8">
      <w:pPr>
        <w:ind w:hanging="270"/>
        <w:divId w:val="1789004981"/>
        <w:rPr>
          <w:rFonts w:eastAsia="Times New Roman"/>
        </w:rPr>
      </w:pPr>
      <w:r>
        <w:rPr>
          <w:rFonts w:ascii="Arial" w:eastAsia="Times New Roman" w:hAnsi="Arial" w:cs="Arial"/>
          <w:color w:val="000000"/>
          <w:sz w:val="20"/>
          <w:szCs w:val="20"/>
        </w:rPr>
        <w:t>c) Intangible assets consist primarily of customer relationships associated with long-term take-or-pay contracts. Fair value was determined using an income-based approach by estimating the present value of the after-tax earnings attributa</w:t>
      </w:r>
      <w:r>
        <w:rPr>
          <w:rFonts w:ascii="Arial" w:eastAsia="Times New Roman" w:hAnsi="Arial" w:cs="Arial"/>
          <w:color w:val="000000"/>
          <w:sz w:val="20"/>
          <w:szCs w:val="20"/>
        </w:rPr>
        <w:t>ble to the contracts, including earnings associated with expected renewal terms, and will be amortized on a straight-line basis over an expected useful life of 10 years.</w:t>
      </w:r>
    </w:p>
    <w:p w:rsidR="00000000" w:rsidRDefault="001F1FC8">
      <w:pPr>
        <w:ind w:hanging="270"/>
        <w:divId w:val="265116633"/>
        <w:rPr>
          <w:rFonts w:eastAsia="Times New Roman"/>
        </w:rPr>
      </w:pPr>
    </w:p>
    <w:p w:rsidR="00000000" w:rsidRDefault="001F1FC8">
      <w:pPr>
        <w:ind w:hanging="270"/>
        <w:divId w:val="698433002"/>
        <w:rPr>
          <w:rFonts w:eastAsia="Times New Roman"/>
        </w:rPr>
      </w:pPr>
      <w:r>
        <w:rPr>
          <w:rFonts w:ascii="Arial" w:eastAsia="Times New Roman" w:hAnsi="Arial" w:cs="Arial"/>
          <w:color w:val="000000"/>
          <w:sz w:val="20"/>
          <w:szCs w:val="20"/>
        </w:rPr>
        <w:t>d) Goodwill is primarily attributable to uncontracted future revenues, existing asse</w:t>
      </w:r>
      <w:r>
        <w:rPr>
          <w:rFonts w:ascii="Arial" w:eastAsia="Times New Roman" w:hAnsi="Arial" w:cs="Arial"/>
          <w:color w:val="000000"/>
          <w:sz w:val="20"/>
          <w:szCs w:val="20"/>
        </w:rPr>
        <w:t>mbled assets that cannot be duplicated at the same cost by a new entrant, and enhanced scale and geographic diversity which provide greater optionality and platforms for future growth. The goodwill balance recognized has been assigned to our Liquids Pipeli</w:t>
      </w:r>
      <w:r>
        <w:rPr>
          <w:rFonts w:ascii="Arial" w:eastAsia="Times New Roman" w:hAnsi="Arial" w:cs="Arial"/>
          <w:color w:val="000000"/>
          <w:sz w:val="20"/>
          <w:szCs w:val="20"/>
        </w:rPr>
        <w:t>nes segment and is tax deductible over 15 years.</w:t>
      </w:r>
    </w:p>
    <w:p w:rsidR="00000000" w:rsidRDefault="001F1FC8">
      <w:pPr>
        <w:ind w:hanging="270"/>
        <w:divId w:val="1430197015"/>
        <w:rPr>
          <w:rFonts w:eastAsia="Times New Roman"/>
        </w:rPr>
      </w:pPr>
    </w:p>
    <w:p w:rsidR="00000000" w:rsidRDefault="001F1FC8">
      <w:pPr>
        <w:ind w:hanging="270"/>
        <w:divId w:val="1984191959"/>
        <w:rPr>
          <w:rFonts w:eastAsia="Times New Roman"/>
        </w:rPr>
      </w:pPr>
      <w:r>
        <w:rPr>
          <w:rFonts w:ascii="Arial" w:eastAsia="Times New Roman" w:hAnsi="Arial" w:cs="Arial"/>
          <w:color w:val="000000"/>
          <w:sz w:val="20"/>
          <w:szCs w:val="20"/>
        </w:rPr>
        <w:t>e) We agreed to pay additional contingent consideration of up to US$150 million to Moda's former membership interest holders if Moda's monthly volumes of crude oil loaded onto a vessel equal or exceed spec</w:t>
      </w:r>
      <w:r>
        <w:rPr>
          <w:rFonts w:ascii="Arial" w:eastAsia="Times New Roman" w:hAnsi="Arial" w:cs="Arial"/>
          <w:color w:val="000000"/>
          <w:sz w:val="20"/>
          <w:szCs w:val="20"/>
        </w:rPr>
        <w:t>ified throughput levels. These performance requirements terminate the earlier of December 31, 2023 or the date the final contingent payment is made. The US$150 million of contingent consideration recognized in the purchase price represents the fair value o</w:t>
      </w:r>
      <w:r>
        <w:rPr>
          <w:rFonts w:ascii="Arial" w:eastAsia="Times New Roman" w:hAnsi="Arial" w:cs="Arial"/>
          <w:color w:val="000000"/>
          <w:sz w:val="20"/>
          <w:szCs w:val="20"/>
        </w:rPr>
        <w:t>f contingent consideration at the date of acquisition. As at December 31, 2021, there were no changes to the amount of contingent consideration recognized.</w:t>
      </w:r>
    </w:p>
    <w:p w:rsidR="00000000" w:rsidRDefault="001F1FC8">
      <w:pPr>
        <w:divId w:val="759179746"/>
        <w:rPr>
          <w:rFonts w:eastAsia="Times New Roman"/>
        </w:rPr>
      </w:pPr>
    </w:p>
    <w:p w:rsidR="00000000" w:rsidRDefault="001F1FC8">
      <w:pPr>
        <w:divId w:val="1438911754"/>
        <w:rPr>
          <w:rFonts w:eastAsia="Times New Roman"/>
        </w:rPr>
      </w:pPr>
      <w:r>
        <w:rPr>
          <w:rFonts w:ascii="Arial" w:eastAsia="Times New Roman" w:hAnsi="Arial" w:cs="Arial"/>
          <w:color w:val="000000"/>
          <w:sz w:val="20"/>
          <w:szCs w:val="20"/>
        </w:rPr>
        <w:t>Acquisition-related expenses incurred were approximately $21 million for the year ended December 31, 2021 and are included in Operating and administrative expense in the Consolidated Statements of Earnings.</w:t>
      </w:r>
    </w:p>
    <w:p w:rsidR="00000000" w:rsidRDefault="001F1FC8">
      <w:pPr>
        <w:divId w:val="975987889"/>
        <w:rPr>
          <w:rFonts w:eastAsia="Times New Roman"/>
        </w:rPr>
      </w:pPr>
    </w:p>
    <w:p w:rsidR="00000000" w:rsidRDefault="001F1FC8">
      <w:pPr>
        <w:divId w:val="248660314"/>
        <w:rPr>
          <w:rFonts w:eastAsia="Times New Roman"/>
        </w:rPr>
      </w:pPr>
      <w:r>
        <w:rPr>
          <w:rFonts w:ascii="Arial" w:eastAsia="Times New Roman" w:hAnsi="Arial" w:cs="Arial"/>
          <w:color w:val="000000"/>
          <w:sz w:val="20"/>
          <w:szCs w:val="20"/>
        </w:rPr>
        <w:t>Upon completion of the Acquisition, we began co</w:t>
      </w:r>
      <w:r>
        <w:rPr>
          <w:rFonts w:ascii="Arial" w:eastAsia="Times New Roman" w:hAnsi="Arial" w:cs="Arial"/>
          <w:color w:val="000000"/>
          <w:sz w:val="20"/>
          <w:szCs w:val="20"/>
        </w:rPr>
        <w:t>nsolidating Moda. For the period beginning October 12, 2021 through to December 31, 2021, Moda generated approximately $80 million in operating revenues and $9 million in earnings attributable to common shareholders.</w:t>
      </w:r>
    </w:p>
    <w:p w:rsidR="00000000" w:rsidRDefault="001F1FC8">
      <w:pPr>
        <w:divId w:val="751777088"/>
        <w:rPr>
          <w:rFonts w:eastAsia="Times New Roman"/>
        </w:rPr>
      </w:pPr>
    </w:p>
    <w:p w:rsidR="00000000" w:rsidRDefault="001F1FC8">
      <w:pPr>
        <w:divId w:val="2069910389"/>
        <w:rPr>
          <w:rFonts w:eastAsia="Times New Roman"/>
        </w:rPr>
      </w:pPr>
      <w:r>
        <w:rPr>
          <w:rFonts w:ascii="Arial" w:eastAsia="Times New Roman" w:hAnsi="Arial" w:cs="Arial"/>
          <w:color w:val="000000"/>
          <w:sz w:val="20"/>
          <w:szCs w:val="20"/>
        </w:rPr>
        <w:t>Our supplemental pro forma consolidat</w:t>
      </w:r>
      <w:r>
        <w:rPr>
          <w:rFonts w:ascii="Arial" w:eastAsia="Times New Roman" w:hAnsi="Arial" w:cs="Arial"/>
          <w:color w:val="000000"/>
          <w:sz w:val="20"/>
          <w:szCs w:val="20"/>
        </w:rPr>
        <w:t>ed financial information for the years ended December 31, 2021 and 2020, including the results of operations for Moda as if the Acquisition had been completed on January 1, 2020, are as follows:</w:t>
      </w:r>
    </w:p>
    <w:p w:rsidR="00000000" w:rsidRDefault="001F1FC8">
      <w:pPr>
        <w:divId w:val="1570578757"/>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68"/>
        <w:gridCol w:w="6367"/>
        <w:gridCol w:w="37"/>
        <w:gridCol w:w="69"/>
        <w:gridCol w:w="812"/>
        <w:gridCol w:w="36"/>
        <w:gridCol w:w="69"/>
        <w:gridCol w:w="812"/>
        <w:gridCol w:w="36"/>
      </w:tblGrid>
      <w:tr w:rsidR="00000000">
        <w:trPr>
          <w:divId w:val="1484347729"/>
        </w:trPr>
        <w:tc>
          <w:tcPr>
            <w:tcW w:w="50" w:type="pct"/>
            <w:vAlign w:val="center"/>
            <w:hideMark/>
          </w:tcPr>
          <w:p w:rsidR="00000000" w:rsidRDefault="001F1FC8">
            <w:pPr>
              <w:rPr>
                <w:rFonts w:eastAsia="Times New Roman"/>
              </w:rPr>
            </w:pPr>
          </w:p>
        </w:tc>
        <w:tc>
          <w:tcPr>
            <w:tcW w:w="3839"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c>
          <w:tcPr>
            <w:tcW w:w="50" w:type="pct"/>
            <w:vAlign w:val="center"/>
            <w:hideMark/>
          </w:tcPr>
          <w:p w:rsidR="00000000" w:rsidRDefault="001F1FC8">
            <w:pPr>
              <w:rPr>
                <w:rFonts w:eastAsia="Times New Roman"/>
                <w:sz w:val="20"/>
                <w:szCs w:val="20"/>
              </w:rPr>
            </w:pPr>
          </w:p>
        </w:tc>
        <w:tc>
          <w:tcPr>
            <w:tcW w:w="497"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c>
          <w:tcPr>
            <w:tcW w:w="50" w:type="pct"/>
            <w:vAlign w:val="center"/>
            <w:hideMark/>
          </w:tcPr>
          <w:p w:rsidR="00000000" w:rsidRDefault="001F1FC8">
            <w:pPr>
              <w:rPr>
                <w:rFonts w:eastAsia="Times New Roman"/>
                <w:sz w:val="20"/>
                <w:szCs w:val="20"/>
              </w:rPr>
            </w:pPr>
          </w:p>
        </w:tc>
        <w:tc>
          <w:tcPr>
            <w:tcW w:w="497"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r>
      <w:tr w:rsidR="00000000">
        <w:trPr>
          <w:divId w:val="1484347729"/>
        </w:trPr>
        <w:tc>
          <w:tcPr>
            <w:tcW w:w="0" w:type="auto"/>
            <w:gridSpan w:val="3"/>
            <w:tcMar>
              <w:top w:w="30" w:type="dxa"/>
              <w:left w:w="20" w:type="dxa"/>
              <w:bottom w:w="30" w:type="dxa"/>
              <w:right w:w="20" w:type="dxa"/>
            </w:tcMar>
            <w:vAlign w:val="center"/>
            <w:hideMark/>
          </w:tcPr>
          <w:p w:rsidR="00000000" w:rsidRDefault="001F1FC8">
            <w:pPr>
              <w:rPr>
                <w:rFonts w:eastAsia="Times New Roman"/>
              </w:rPr>
            </w:pPr>
            <w:r>
              <w:rPr>
                <w:rFonts w:ascii="Arial" w:eastAsia="Times New Roman" w:hAnsi="Arial" w:cs="Arial"/>
                <w:color w:val="000000"/>
                <w:sz w:val="20"/>
                <w:szCs w:val="20"/>
              </w:rPr>
              <w:t>Year ended December 31,</w:t>
            </w:r>
          </w:p>
        </w:tc>
        <w:tc>
          <w:tcPr>
            <w:tcW w:w="0" w:type="auto"/>
            <w:gridSpan w:val="3"/>
            <w:tcMar>
              <w:top w:w="30" w:type="dxa"/>
              <w:left w:w="20" w:type="dxa"/>
              <w:bottom w:w="30" w:type="dxa"/>
              <w:right w:w="20" w:type="dxa"/>
            </w:tcMar>
            <w:vAlign w:val="center"/>
            <w:hideMark/>
          </w:tcPr>
          <w:p w:rsidR="00000000" w:rsidRDefault="001F1FC8">
            <w:pPr>
              <w:jc w:val="right"/>
              <w:rPr>
                <w:rFonts w:eastAsia="Times New Roman"/>
              </w:rPr>
            </w:pPr>
            <w:r>
              <w:rPr>
                <w:rFonts w:ascii="Arial" w:eastAsia="Times New Roman" w:hAnsi="Arial" w:cs="Arial"/>
                <w:color w:val="000000"/>
                <w:sz w:val="20"/>
                <w:szCs w:val="20"/>
              </w:rPr>
              <w:t>2021</w:t>
            </w:r>
          </w:p>
        </w:tc>
        <w:tc>
          <w:tcPr>
            <w:tcW w:w="0" w:type="auto"/>
            <w:gridSpan w:val="3"/>
            <w:tcMar>
              <w:top w:w="30" w:type="dxa"/>
              <w:left w:w="20" w:type="dxa"/>
              <w:bottom w:w="30" w:type="dxa"/>
              <w:right w:w="20" w:type="dxa"/>
            </w:tcMar>
            <w:vAlign w:val="center"/>
            <w:hideMark/>
          </w:tcPr>
          <w:p w:rsidR="00000000" w:rsidRDefault="001F1FC8">
            <w:pPr>
              <w:jc w:val="right"/>
              <w:rPr>
                <w:rFonts w:eastAsia="Times New Roman"/>
              </w:rPr>
            </w:pPr>
            <w:r>
              <w:rPr>
                <w:rFonts w:ascii="Arial" w:eastAsia="Times New Roman" w:hAnsi="Arial" w:cs="Arial"/>
                <w:color w:val="000000"/>
                <w:sz w:val="20"/>
                <w:szCs w:val="20"/>
              </w:rPr>
              <w:t>2020</w:t>
            </w:r>
          </w:p>
        </w:tc>
      </w:tr>
      <w:tr w:rsidR="00000000">
        <w:trPr>
          <w:divId w:val="1484347729"/>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1F1FC8">
            <w:pPr>
              <w:rPr>
                <w:rFonts w:eastAsia="Times New Roman"/>
              </w:rPr>
            </w:pPr>
            <w:r>
              <w:rPr>
                <w:rFonts w:ascii="Arial" w:eastAsia="Times New Roman" w:hAnsi="Arial" w:cs="Arial"/>
                <w:i/>
                <w:iCs/>
                <w:color w:val="000000"/>
                <w:sz w:val="16"/>
                <w:szCs w:val="16"/>
              </w:rPr>
              <w:t>(unaudited; millions of Canadian dollars)</w:t>
            </w:r>
          </w:p>
        </w:tc>
        <w:tc>
          <w:tcPr>
            <w:tcW w:w="0" w:type="auto"/>
            <w:gridSpan w:val="3"/>
            <w:tcBorders>
              <w:top w:val="single" w:sz="4" w:space="0" w:color="000000"/>
            </w:tcBorders>
            <w:shd w:val="clear" w:color="auto" w:fill="D9D9D9"/>
            <w:tcMar>
              <w:top w:w="0" w:type="dxa"/>
              <w:left w:w="20" w:type="dxa"/>
              <w:bottom w:w="0" w:type="dxa"/>
              <w:right w:w="20" w:type="dxa"/>
            </w:tcMar>
            <w:vAlign w:val="center"/>
            <w:hideMark/>
          </w:tcPr>
          <w:p w:rsidR="00000000" w:rsidRDefault="001F1FC8">
            <w:pPr>
              <w:rPr>
                <w:rFonts w:eastAsia="Times New Roman"/>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1F1FC8">
            <w:pPr>
              <w:rPr>
                <w:rFonts w:eastAsia="Times New Roman"/>
                <w:sz w:val="20"/>
                <w:szCs w:val="20"/>
              </w:rPr>
            </w:pPr>
          </w:p>
        </w:tc>
      </w:tr>
      <w:tr w:rsidR="00000000">
        <w:trPr>
          <w:divId w:val="1484347729"/>
        </w:trPr>
        <w:tc>
          <w:tcPr>
            <w:tcW w:w="0" w:type="auto"/>
            <w:gridSpan w:val="3"/>
            <w:tcMar>
              <w:top w:w="30" w:type="dxa"/>
              <w:left w:w="20" w:type="dxa"/>
              <w:bottom w:w="30" w:type="dxa"/>
              <w:right w:w="20" w:type="dxa"/>
            </w:tcMar>
            <w:vAlign w:val="center"/>
            <w:hideMark/>
          </w:tcPr>
          <w:p w:rsidR="00000000" w:rsidRDefault="001F1FC8">
            <w:pPr>
              <w:rPr>
                <w:rFonts w:eastAsia="Times New Roman"/>
              </w:rPr>
            </w:pPr>
            <w:r>
              <w:rPr>
                <w:rFonts w:ascii="Arial" w:eastAsia="Times New Roman" w:hAnsi="Arial" w:cs="Arial"/>
                <w:color w:val="000000"/>
                <w:sz w:val="20"/>
                <w:szCs w:val="20"/>
              </w:rPr>
              <w:t>Operating revenues</w:t>
            </w:r>
          </w:p>
        </w:tc>
        <w:tc>
          <w:tcPr>
            <w:tcW w:w="0" w:type="auto"/>
            <w:gridSpan w:val="2"/>
            <w:shd w:val="clear" w:color="auto" w:fill="D9D9D9"/>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b/>
                <w:bCs/>
                <w:color w:val="000000"/>
                <w:sz w:val="20"/>
                <w:szCs w:val="20"/>
              </w:rPr>
              <w:t>47,339</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20"/>
                <w:szCs w:val="20"/>
              </w:rPr>
              <w:t>39,435 </w:t>
            </w:r>
          </w:p>
        </w:tc>
        <w:tc>
          <w:tcPr>
            <w:tcW w:w="0" w:type="auto"/>
            <w:tcMar>
              <w:top w:w="30" w:type="dxa"/>
              <w:left w:w="0" w:type="dxa"/>
              <w:bottom w:w="30" w:type="dxa"/>
              <w:right w:w="20" w:type="dxa"/>
            </w:tcMar>
            <w:vAlign w:val="center"/>
            <w:hideMark/>
          </w:tcPr>
          <w:p w:rsidR="00000000" w:rsidRDefault="001F1FC8">
            <w:pPr>
              <w:jc w:val="right"/>
              <w:rPr>
                <w:rFonts w:eastAsia="Times New Roman"/>
              </w:rPr>
            </w:pPr>
          </w:p>
        </w:tc>
      </w:tr>
      <w:tr w:rsidR="00000000">
        <w:trPr>
          <w:divId w:val="1484347729"/>
        </w:trPr>
        <w:tc>
          <w:tcPr>
            <w:tcW w:w="0" w:type="auto"/>
            <w:gridSpan w:val="3"/>
            <w:tcBorders>
              <w:bottom w:val="single" w:sz="8" w:space="0" w:color="000000"/>
            </w:tcBorders>
            <w:tcMar>
              <w:top w:w="30" w:type="dxa"/>
              <w:left w:w="20" w:type="dxa"/>
              <w:bottom w:w="30" w:type="dxa"/>
              <w:right w:w="20" w:type="dxa"/>
            </w:tcMar>
            <w:vAlign w:val="center"/>
            <w:hideMark/>
          </w:tcPr>
          <w:p w:rsidR="00000000" w:rsidRDefault="001F1FC8">
            <w:pPr>
              <w:divId w:val="1892427090"/>
              <w:rPr>
                <w:rFonts w:eastAsia="Times New Roman"/>
              </w:rPr>
            </w:pPr>
            <w:r>
              <w:rPr>
                <w:rFonts w:ascii="Arial" w:eastAsia="Times New Roman" w:hAnsi="Arial" w:cs="Arial"/>
                <w:color w:val="000000"/>
                <w:sz w:val="20"/>
                <w:szCs w:val="20"/>
              </w:rPr>
              <w:t>Earnings attributable to common shareholder</w:t>
            </w:r>
            <w:r>
              <w:rPr>
                <w:rFonts w:ascii="Arial" w:eastAsia="Times New Roman" w:hAnsi="Arial" w:cs="Arial"/>
                <w:color w:val="000000"/>
                <w:sz w:val="20"/>
                <w:szCs w:val="20"/>
              </w:rPr>
              <w:t>s</w:t>
            </w:r>
            <w:r>
              <w:rPr>
                <w:rFonts w:ascii="Arial" w:eastAsia="Times New Roman" w:hAnsi="Arial" w:cs="Arial"/>
                <w:color w:val="000000"/>
                <w:sz w:val="10"/>
                <w:szCs w:val="10"/>
              </w:rPr>
              <w:t>1,</w:t>
            </w:r>
            <w:r>
              <w:rPr>
                <w:rFonts w:ascii="Arial" w:eastAsia="Times New Roman" w:hAnsi="Arial" w:cs="Arial"/>
                <w:color w:val="000000"/>
                <w:sz w:val="10"/>
                <w:szCs w:val="10"/>
              </w:rPr>
              <w:t>2</w:t>
            </w:r>
          </w:p>
        </w:tc>
        <w:tc>
          <w:tcPr>
            <w:tcW w:w="0" w:type="auto"/>
            <w:gridSpan w:val="2"/>
            <w:tcBorders>
              <w:bottom w:val="single" w:sz="8" w:space="0" w:color="000000"/>
            </w:tcBorders>
            <w:shd w:val="clear" w:color="auto" w:fill="D9D9D9"/>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b/>
                <w:bCs/>
                <w:color w:val="000000"/>
                <w:sz w:val="20"/>
                <w:szCs w:val="20"/>
              </w:rPr>
              <w:t>5,771</w:t>
            </w:r>
            <w:r>
              <w:rPr>
                <w:rFonts w:ascii="Arial" w:eastAsia="Times New Roman" w:hAnsi="Arial" w:cs="Arial"/>
                <w:color w:val="000000"/>
                <w:sz w:val="20"/>
                <w:szCs w:val="20"/>
              </w:rPr>
              <w:t> </w:t>
            </w:r>
          </w:p>
        </w:tc>
        <w:tc>
          <w:tcPr>
            <w:tcW w:w="0" w:type="auto"/>
            <w:tcBorders>
              <w:bottom w:val="single" w:sz="8" w:space="0" w:color="000000"/>
            </w:tcBorders>
            <w:shd w:val="clear" w:color="auto" w:fill="D9D9D9"/>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Borders>
              <w:bottom w:val="single" w:sz="8" w:space="0" w:color="000000"/>
            </w:tcBorders>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20"/>
                <w:szCs w:val="20"/>
              </w:rPr>
              <w:t>2,938 </w:t>
            </w:r>
          </w:p>
        </w:tc>
        <w:tc>
          <w:tcPr>
            <w:tcW w:w="0" w:type="auto"/>
            <w:tcBorders>
              <w:bottom w:val="single" w:sz="8" w:space="0" w:color="000000"/>
            </w:tcBorders>
            <w:tcMar>
              <w:top w:w="30" w:type="dxa"/>
              <w:left w:w="0" w:type="dxa"/>
              <w:bottom w:w="30" w:type="dxa"/>
              <w:right w:w="20" w:type="dxa"/>
            </w:tcMar>
            <w:vAlign w:val="center"/>
            <w:hideMark/>
          </w:tcPr>
          <w:p w:rsidR="00000000" w:rsidRDefault="001F1FC8">
            <w:pPr>
              <w:jc w:val="right"/>
              <w:rPr>
                <w:rFonts w:eastAsia="Times New Roman"/>
              </w:rPr>
            </w:pPr>
          </w:p>
        </w:tc>
      </w:tr>
    </w:tbl>
    <w:p w:rsidR="00000000" w:rsidRDefault="001F1FC8">
      <w:pPr>
        <w:ind w:hanging="180"/>
        <w:divId w:val="417025932"/>
        <w:rPr>
          <w:rFonts w:eastAsia="Times New Roman"/>
        </w:rPr>
      </w:pPr>
      <w:r>
        <w:rPr>
          <w:rFonts w:ascii="Arial" w:eastAsia="Times New Roman" w:hAnsi="Arial" w:cs="Arial"/>
          <w:i/>
          <w:iCs/>
          <w:color w:val="000000"/>
          <w:sz w:val="16"/>
          <w:szCs w:val="16"/>
        </w:rPr>
        <w:t>1 Acquisition-related expenses of $21 million (after-tax $16 </w:t>
      </w:r>
      <w:r>
        <w:rPr>
          <w:rFonts w:ascii="Arial" w:eastAsia="Times New Roman" w:hAnsi="Arial" w:cs="Arial"/>
          <w:i/>
          <w:iCs/>
          <w:color w:val="000000"/>
          <w:sz w:val="16"/>
          <w:szCs w:val="16"/>
        </w:rPr>
        <w:t>million) were excluded from earnings attributable to common shareholders for the year ended December 31 2021 and deducted for the year ended December 31, 2020.</w:t>
      </w:r>
    </w:p>
    <w:p w:rsidR="00000000" w:rsidRDefault="001F1FC8">
      <w:pPr>
        <w:ind w:hanging="180"/>
        <w:divId w:val="1213885133"/>
        <w:rPr>
          <w:rFonts w:eastAsia="Times New Roman"/>
        </w:rPr>
      </w:pPr>
      <w:r>
        <w:rPr>
          <w:rFonts w:ascii="Arial" w:eastAsia="Times New Roman" w:hAnsi="Arial" w:cs="Arial"/>
          <w:i/>
          <w:iCs/>
          <w:color w:val="000000"/>
          <w:sz w:val="16"/>
          <w:szCs w:val="16"/>
        </w:rPr>
        <w:t xml:space="preserve">2 Includes the amortization of fair value adjustments recorded for acquired property, plant and </w:t>
      </w:r>
      <w:r>
        <w:rPr>
          <w:rFonts w:ascii="Arial" w:eastAsia="Times New Roman" w:hAnsi="Arial" w:cs="Arial"/>
          <w:i/>
          <w:iCs/>
          <w:color w:val="000000"/>
          <w:sz w:val="16"/>
          <w:szCs w:val="16"/>
        </w:rPr>
        <w:t>equipment, long-term investments and intangible assets of $193 million and $207 million (after-tax of $145 million and $155 million) for the years ended December 31, 2021 and 2020, respectively.</w:t>
      </w:r>
    </w:p>
    <w:p w:rsidR="00000000" w:rsidRDefault="001F1FC8">
      <w:pPr>
        <w:divId w:val="1591238333"/>
        <w:rPr>
          <w:rFonts w:eastAsia="Times New Roman"/>
        </w:rPr>
      </w:pPr>
    </w:p>
    <w:p w:rsidR="00000000" w:rsidRDefault="001F1FC8">
      <w:pPr>
        <w:divId w:val="359017617"/>
        <w:rPr>
          <w:rFonts w:eastAsia="Times New Roman"/>
        </w:rPr>
      </w:pPr>
      <w:r>
        <w:rPr>
          <w:rFonts w:ascii="Arial" w:eastAsia="Times New Roman" w:hAnsi="Arial" w:cs="Arial"/>
          <w:b/>
          <w:bCs/>
          <w:color w:val="000000"/>
          <w:sz w:val="20"/>
          <w:szCs w:val="20"/>
        </w:rPr>
        <w:t>DISPOSITIONS</w:t>
      </w:r>
    </w:p>
    <w:p w:rsidR="00000000" w:rsidRDefault="001F1FC8">
      <w:pPr>
        <w:divId w:val="1263369434"/>
        <w:rPr>
          <w:rFonts w:eastAsia="Times New Roman"/>
        </w:rPr>
      </w:pPr>
      <w:r>
        <w:rPr>
          <w:rFonts w:ascii="Arial" w:eastAsia="Times New Roman" w:hAnsi="Arial" w:cs="Arial"/>
          <w:b/>
          <w:bCs/>
          <w:color w:val="000000"/>
          <w:sz w:val="20"/>
          <w:szCs w:val="20"/>
        </w:rPr>
        <w:t>Line 10 Crude Oil Pipeline</w:t>
      </w:r>
    </w:p>
    <w:p w:rsidR="00000000" w:rsidRDefault="001F1FC8">
      <w:pPr>
        <w:divId w:val="1465467974"/>
        <w:rPr>
          <w:rFonts w:eastAsia="Times New Roman"/>
        </w:rPr>
      </w:pPr>
      <w:r>
        <w:rPr>
          <w:rFonts w:ascii="Arial" w:eastAsia="Times New Roman" w:hAnsi="Arial" w:cs="Arial"/>
          <w:color w:val="000000"/>
          <w:sz w:val="20"/>
          <w:szCs w:val="20"/>
        </w:rPr>
        <w:t>In the first quarte</w:t>
      </w:r>
      <w:r>
        <w:rPr>
          <w:rFonts w:ascii="Arial" w:eastAsia="Times New Roman" w:hAnsi="Arial" w:cs="Arial"/>
          <w:color w:val="000000"/>
          <w:sz w:val="20"/>
          <w:szCs w:val="20"/>
        </w:rPr>
        <w:t>r of 2018, we satisfied the condition as set out in our agreements for the sale of our Line 10 crude oil pipeline (Line 10), which originates near Hamilton, Ontario and terminates at West Seneca, New York. Our subsidiaries, Enbridge Pipelines Inc. and Enbr</w:t>
      </w:r>
      <w:r>
        <w:rPr>
          <w:rFonts w:ascii="Arial" w:eastAsia="Times New Roman" w:hAnsi="Arial" w:cs="Arial"/>
          <w:color w:val="000000"/>
          <w:sz w:val="20"/>
          <w:szCs w:val="20"/>
        </w:rPr>
        <w:t>idge Energy Partners, L.P. (EEP), owned the Canadian and US portions of Line 10, respectively, and the related assets were included in our Liquids Pipelines segment. The transaction closed on June 1, 2020. No gain or loss on disposition was recorded.</w:t>
      </w:r>
    </w:p>
    <w:p w:rsidR="00000000" w:rsidRDefault="001F1FC8">
      <w:pPr>
        <w:divId w:val="1330714035"/>
        <w:rPr>
          <w:rFonts w:eastAsia="Times New Roman"/>
        </w:rPr>
      </w:pPr>
    </w:p>
    <w:p w:rsidR="00000000" w:rsidRDefault="001F1FC8">
      <w:pPr>
        <w:jc w:val="center"/>
        <w:divId w:val="2101556513"/>
        <w:rPr>
          <w:rFonts w:eastAsia="Times New Roman"/>
        </w:rPr>
      </w:pPr>
      <w:r>
        <w:rPr>
          <w:rFonts w:ascii="Arial" w:eastAsia="Times New Roman" w:hAnsi="Arial" w:cs="Arial"/>
          <w:color w:val="000000"/>
          <w:sz w:val="20"/>
          <w:szCs w:val="20"/>
        </w:rPr>
        <w:t>127</w:t>
      </w:r>
    </w:p>
    <w:p w:rsidR="00000000" w:rsidRDefault="001F1FC8">
      <w:pPr>
        <w:rPr>
          <w:rFonts w:eastAsia="Times New Roman"/>
        </w:rPr>
      </w:pPr>
      <w:r>
        <w:rPr>
          <w:rFonts w:eastAsia="Times New Roman"/>
        </w:rPr>
        <w:pict>
          <v:rect id="_x0000_i1157" style="width:0;height:1.5pt" o:hralign="center" o:hrstd="t" o:hr="t" fillcolor="#a0a0a0" stroked="f"/>
        </w:pict>
      </w:r>
    </w:p>
    <w:p w:rsidR="00000000" w:rsidRDefault="001F1FC8">
      <w:pPr>
        <w:jc w:val="center"/>
        <w:divId w:val="765804708"/>
        <w:rPr>
          <w:rFonts w:eastAsia="Times New Roman"/>
        </w:rPr>
      </w:pPr>
    </w:p>
    <w:p w:rsidR="00000000" w:rsidRDefault="001F1FC8">
      <w:pPr>
        <w:divId w:val="1540774589"/>
        <w:rPr>
          <w:rFonts w:eastAsia="Times New Roman"/>
        </w:rPr>
      </w:pPr>
      <w:r>
        <w:rPr>
          <w:rFonts w:ascii="Arial" w:eastAsia="Times New Roman" w:hAnsi="Arial" w:cs="Arial"/>
          <w:b/>
          <w:bCs/>
          <w:color w:val="000000"/>
          <w:sz w:val="20"/>
          <w:szCs w:val="20"/>
        </w:rPr>
        <w:t>Montana-Alberta Tie Line</w:t>
      </w:r>
    </w:p>
    <w:p w:rsidR="00000000" w:rsidRDefault="001F1FC8">
      <w:pPr>
        <w:divId w:val="441340257"/>
        <w:rPr>
          <w:rFonts w:eastAsia="Times New Roman"/>
        </w:rPr>
      </w:pPr>
      <w:r>
        <w:rPr>
          <w:rFonts w:ascii="Arial" w:eastAsia="Times New Roman" w:hAnsi="Arial" w:cs="Arial"/>
          <w:color w:val="000000"/>
          <w:sz w:val="20"/>
          <w:szCs w:val="20"/>
        </w:rPr>
        <w:t>In the fourth quarter of 2019, we committed to a plan to sell the Montana-Alberta Tie Line (MATL) transmission asset, a 345 kilometer transmission line from Great Falls, Montana to Lethbridge, Alberta. MATL was included in our Renewable Power Generation se</w:t>
      </w:r>
      <w:r>
        <w:rPr>
          <w:rFonts w:ascii="Arial" w:eastAsia="Times New Roman" w:hAnsi="Arial" w:cs="Arial"/>
          <w:color w:val="000000"/>
          <w:sz w:val="20"/>
          <w:szCs w:val="20"/>
        </w:rPr>
        <w:t>gment. The purchase and sale agreement was signed in January 2020.</w:t>
      </w:r>
    </w:p>
    <w:p w:rsidR="00000000" w:rsidRDefault="001F1FC8">
      <w:pPr>
        <w:divId w:val="364674111"/>
        <w:rPr>
          <w:rFonts w:eastAsia="Times New Roman"/>
        </w:rPr>
      </w:pPr>
    </w:p>
    <w:p w:rsidR="00000000" w:rsidRDefault="001F1FC8">
      <w:pPr>
        <w:divId w:val="987132294"/>
        <w:rPr>
          <w:rFonts w:eastAsia="Times New Roman"/>
        </w:rPr>
      </w:pPr>
      <w:r>
        <w:rPr>
          <w:rFonts w:ascii="Arial" w:eastAsia="Times New Roman" w:hAnsi="Arial" w:cs="Arial"/>
          <w:color w:val="000000"/>
          <w:sz w:val="20"/>
          <w:szCs w:val="20"/>
        </w:rPr>
        <w:t>Upon the reclassification and subsequent remeasurement of MATL assets as held for sale, a loss of $297 million was included within Impairment of long-lived assets in the Consolidated Stat</w:t>
      </w:r>
      <w:r>
        <w:rPr>
          <w:rFonts w:ascii="Arial" w:eastAsia="Times New Roman" w:hAnsi="Arial" w:cs="Arial"/>
          <w:color w:val="000000"/>
          <w:sz w:val="20"/>
          <w:szCs w:val="20"/>
        </w:rPr>
        <w:t>ements of Earnings for the year ended December 31, 2019.</w:t>
      </w:r>
    </w:p>
    <w:p w:rsidR="00000000" w:rsidRDefault="001F1FC8">
      <w:pPr>
        <w:divId w:val="1285161116"/>
        <w:rPr>
          <w:rFonts w:eastAsia="Times New Roman"/>
        </w:rPr>
      </w:pPr>
    </w:p>
    <w:p w:rsidR="00000000" w:rsidRDefault="001F1FC8">
      <w:pPr>
        <w:divId w:val="1501238067"/>
        <w:rPr>
          <w:rFonts w:eastAsia="Times New Roman"/>
        </w:rPr>
      </w:pPr>
      <w:r>
        <w:rPr>
          <w:rFonts w:ascii="Arial" w:eastAsia="Times New Roman" w:hAnsi="Arial" w:cs="Arial"/>
          <w:color w:val="000000"/>
          <w:sz w:val="20"/>
          <w:szCs w:val="20"/>
        </w:rPr>
        <w:t>On May 1, 2020, we closed the sale of MATL for cash proceeds of approximately $189 million. After closing adjustments, a gain on disposal of $4 million was included in Other income/(expense) in the</w:t>
      </w:r>
      <w:r>
        <w:rPr>
          <w:rFonts w:ascii="Arial" w:eastAsia="Times New Roman" w:hAnsi="Arial" w:cs="Arial"/>
          <w:color w:val="000000"/>
          <w:sz w:val="20"/>
          <w:szCs w:val="20"/>
        </w:rPr>
        <w:t xml:space="preserve"> Consolidated Statements of Earnings.</w:t>
      </w:r>
    </w:p>
    <w:p w:rsidR="00000000" w:rsidRDefault="001F1FC8">
      <w:pPr>
        <w:divId w:val="294801362"/>
        <w:rPr>
          <w:rFonts w:eastAsia="Times New Roman"/>
        </w:rPr>
      </w:pPr>
    </w:p>
    <w:p w:rsidR="00000000" w:rsidRDefault="001F1FC8">
      <w:pPr>
        <w:divId w:val="1194996260"/>
        <w:rPr>
          <w:rFonts w:eastAsia="Times New Roman"/>
        </w:rPr>
      </w:pPr>
      <w:r>
        <w:rPr>
          <w:rFonts w:ascii="Arial" w:eastAsia="Times New Roman" w:hAnsi="Arial" w:cs="Arial"/>
          <w:b/>
          <w:bCs/>
          <w:color w:val="000000"/>
          <w:sz w:val="20"/>
          <w:szCs w:val="20"/>
        </w:rPr>
        <w:t>Ozark Gas Transmission</w:t>
      </w:r>
    </w:p>
    <w:p w:rsidR="00000000" w:rsidRDefault="001F1FC8">
      <w:pPr>
        <w:divId w:val="768740714"/>
        <w:rPr>
          <w:rFonts w:eastAsia="Times New Roman"/>
        </w:rPr>
      </w:pPr>
      <w:r>
        <w:rPr>
          <w:rFonts w:ascii="Arial" w:eastAsia="Times New Roman" w:hAnsi="Arial" w:cs="Arial"/>
          <w:color w:val="000000"/>
          <w:sz w:val="20"/>
          <w:szCs w:val="20"/>
        </w:rPr>
        <w:t>In the first quarter of 2020, we agreed to sell our Ozark Gas Transmission and Ozark Gas Gathering assets (Ozark assets). The Ozark assets are composed of a transmission system that extends fro</w:t>
      </w:r>
      <w:r>
        <w:rPr>
          <w:rFonts w:ascii="Arial" w:eastAsia="Times New Roman" w:hAnsi="Arial" w:cs="Arial"/>
          <w:color w:val="000000"/>
          <w:sz w:val="20"/>
          <w:szCs w:val="20"/>
        </w:rPr>
        <w:t>m southeastern Oklahoma through Arkansas to southeastern Missouri, and a fee-based gathering system that accesses Fayetteville Shale and Arkoma production. These assets were included in our Gas Transmission and Midstream segment.</w:t>
      </w:r>
    </w:p>
    <w:p w:rsidR="00000000" w:rsidRDefault="001F1FC8">
      <w:pPr>
        <w:divId w:val="470828763"/>
        <w:rPr>
          <w:rFonts w:eastAsia="Times New Roman"/>
        </w:rPr>
      </w:pPr>
    </w:p>
    <w:p w:rsidR="00000000" w:rsidRDefault="001F1FC8">
      <w:pPr>
        <w:divId w:val="1436317488"/>
        <w:rPr>
          <w:rFonts w:eastAsia="Times New Roman"/>
        </w:rPr>
      </w:pPr>
      <w:r>
        <w:rPr>
          <w:rFonts w:ascii="Arial" w:eastAsia="Times New Roman" w:hAnsi="Arial" w:cs="Arial"/>
          <w:color w:val="000000"/>
          <w:sz w:val="20"/>
          <w:szCs w:val="20"/>
        </w:rPr>
        <w:t>On April 1, 2020, we clo</w:t>
      </w:r>
      <w:r>
        <w:rPr>
          <w:rFonts w:ascii="Arial" w:eastAsia="Times New Roman" w:hAnsi="Arial" w:cs="Arial"/>
          <w:color w:val="000000"/>
          <w:sz w:val="20"/>
          <w:szCs w:val="20"/>
        </w:rPr>
        <w:t>sed the sale of the Ozark assets for cash proceeds of approximately $63 million. After closing adjustments, a gain on disposal of $1 million was included in Other income/(expense) in the Consolidated Statements of Earnings.</w:t>
      </w:r>
    </w:p>
    <w:p w:rsidR="00000000" w:rsidRDefault="001F1FC8">
      <w:pPr>
        <w:divId w:val="412777983"/>
        <w:rPr>
          <w:rFonts w:eastAsia="Times New Roman"/>
        </w:rPr>
      </w:pPr>
    </w:p>
    <w:p w:rsidR="00000000" w:rsidRDefault="001F1FC8">
      <w:pPr>
        <w:divId w:val="1301765933"/>
        <w:rPr>
          <w:rFonts w:eastAsia="Times New Roman"/>
        </w:rPr>
      </w:pPr>
      <w:r>
        <w:rPr>
          <w:rFonts w:ascii="Arial" w:eastAsia="Times New Roman" w:hAnsi="Arial" w:cs="Arial"/>
          <w:b/>
          <w:bCs/>
          <w:color w:val="000000"/>
          <w:sz w:val="20"/>
          <w:szCs w:val="20"/>
        </w:rPr>
        <w:t>Canadian Natural Gas Gathering</w:t>
      </w:r>
      <w:r>
        <w:rPr>
          <w:rFonts w:ascii="Arial" w:eastAsia="Times New Roman" w:hAnsi="Arial" w:cs="Arial"/>
          <w:b/>
          <w:bCs/>
          <w:color w:val="000000"/>
          <w:sz w:val="20"/>
          <w:szCs w:val="20"/>
        </w:rPr>
        <w:t xml:space="preserve"> and Processing Businesses</w:t>
      </w:r>
    </w:p>
    <w:p w:rsidR="00000000" w:rsidRDefault="001F1FC8">
      <w:pPr>
        <w:divId w:val="1708026848"/>
        <w:rPr>
          <w:rFonts w:eastAsia="Times New Roman"/>
        </w:rPr>
      </w:pPr>
      <w:r>
        <w:rPr>
          <w:rFonts w:ascii="Arial" w:eastAsia="Times New Roman" w:hAnsi="Arial" w:cs="Arial"/>
          <w:color w:val="000000"/>
          <w:sz w:val="20"/>
          <w:szCs w:val="20"/>
        </w:rPr>
        <w:t>On July 4, 2018, we entered into agreements to sell our Canadian natural gas gathering and processing businesses to Brookfield Infrastructure Partners L.P. and its institutional partners for a cash purchase price of approximately</w:t>
      </w:r>
      <w:r>
        <w:rPr>
          <w:rFonts w:ascii="Arial" w:eastAsia="Times New Roman" w:hAnsi="Arial" w:cs="Arial"/>
          <w:color w:val="000000"/>
          <w:sz w:val="20"/>
          <w:szCs w:val="20"/>
        </w:rPr>
        <w:t xml:space="preserve"> $4.3 billion, subject to customary closing adjustments. Separate agreements were entered into for those facilities currently governed by provincial regulations and those governed by federal regulations (collectively, Canadian Natural Gas Gathering and Pro</w:t>
      </w:r>
      <w:r>
        <w:rPr>
          <w:rFonts w:ascii="Arial" w:eastAsia="Times New Roman" w:hAnsi="Arial" w:cs="Arial"/>
          <w:color w:val="000000"/>
          <w:sz w:val="20"/>
          <w:szCs w:val="20"/>
        </w:rPr>
        <w:t>cessing Businesses assets); these assets were part of our Gas Transmission and Midstream segment.</w:t>
      </w:r>
    </w:p>
    <w:p w:rsidR="00000000" w:rsidRDefault="001F1FC8">
      <w:pPr>
        <w:divId w:val="588924764"/>
        <w:rPr>
          <w:rFonts w:eastAsia="Times New Roman"/>
        </w:rPr>
      </w:pPr>
    </w:p>
    <w:p w:rsidR="00000000" w:rsidRDefault="001F1FC8">
      <w:pPr>
        <w:divId w:val="1128821761"/>
        <w:rPr>
          <w:rFonts w:eastAsia="Times New Roman"/>
        </w:rPr>
      </w:pPr>
      <w:r>
        <w:rPr>
          <w:rFonts w:ascii="Arial" w:eastAsia="Times New Roman" w:hAnsi="Arial" w:cs="Arial"/>
          <w:color w:val="000000"/>
          <w:sz w:val="20"/>
          <w:szCs w:val="20"/>
        </w:rPr>
        <w:t>On October 1, 2018, we closed the sale of the provincially regulated facilities. On December 31, 2019, we closed the sale of the federally regulated facilit</w:t>
      </w:r>
      <w:r>
        <w:rPr>
          <w:rFonts w:ascii="Arial" w:eastAsia="Times New Roman" w:hAnsi="Arial" w:cs="Arial"/>
          <w:color w:val="000000"/>
          <w:sz w:val="20"/>
          <w:szCs w:val="20"/>
        </w:rPr>
        <w:t>ies for proceeds of approximately $1.7 billion. After closing adjustments, a loss on disposal of $268 million before tax was included in Other income/(expense) in the Consolidated Statements of Earnings for the year ended December 31, 2019. As these assets</w:t>
      </w:r>
      <w:r>
        <w:rPr>
          <w:rFonts w:ascii="Arial" w:eastAsia="Times New Roman" w:hAnsi="Arial" w:cs="Arial"/>
          <w:color w:val="000000"/>
          <w:sz w:val="20"/>
          <w:szCs w:val="20"/>
        </w:rPr>
        <w:t xml:space="preserve"> represented a portion of a reporting unit, we allocated a portion of the goodwill of the reporting unit to these assets using a relative fair value approach.</w:t>
      </w:r>
    </w:p>
    <w:p w:rsidR="00000000" w:rsidRDefault="001F1FC8">
      <w:pPr>
        <w:divId w:val="1833518790"/>
        <w:rPr>
          <w:rFonts w:eastAsia="Times New Roman"/>
        </w:rPr>
      </w:pPr>
    </w:p>
    <w:p w:rsidR="00000000" w:rsidRDefault="001F1FC8">
      <w:pPr>
        <w:divId w:val="611134632"/>
        <w:rPr>
          <w:rFonts w:eastAsia="Times New Roman"/>
        </w:rPr>
      </w:pPr>
      <w:r>
        <w:rPr>
          <w:rFonts w:ascii="Arial" w:eastAsia="Times New Roman" w:hAnsi="Arial" w:cs="Arial"/>
          <w:b/>
          <w:bCs/>
          <w:color w:val="000000"/>
          <w:sz w:val="20"/>
          <w:szCs w:val="20"/>
        </w:rPr>
        <w:t>St. Lawrence Gas Company, Inc.</w:t>
      </w:r>
    </w:p>
    <w:p w:rsidR="00000000" w:rsidRDefault="001F1FC8">
      <w:pPr>
        <w:divId w:val="872578635"/>
        <w:rPr>
          <w:rFonts w:eastAsia="Times New Roman"/>
        </w:rPr>
      </w:pPr>
      <w:r>
        <w:rPr>
          <w:rFonts w:ascii="Arial" w:eastAsia="Times New Roman" w:hAnsi="Arial" w:cs="Arial"/>
          <w:color w:val="000000"/>
          <w:sz w:val="20"/>
          <w:szCs w:val="20"/>
        </w:rPr>
        <w:t xml:space="preserve">In August 2017, we entered into an agreement to sell the issued </w:t>
      </w:r>
      <w:r>
        <w:rPr>
          <w:rFonts w:ascii="Arial" w:eastAsia="Times New Roman" w:hAnsi="Arial" w:cs="Arial"/>
          <w:color w:val="000000"/>
          <w:sz w:val="20"/>
          <w:szCs w:val="20"/>
        </w:rPr>
        <w:t>and outstanding shares of St. Lawrence Gas Company, Inc. (St. Lawrence Gas). St. Lawrence Gas assets were included in the Gas Distribution and Storage segment. On November 1, 2019, we closed the sale of St. Lawrence Gas for cash proceeds of approximately $</w:t>
      </w:r>
      <w:r>
        <w:rPr>
          <w:rFonts w:ascii="Arial" w:eastAsia="Times New Roman" w:hAnsi="Arial" w:cs="Arial"/>
          <w:color w:val="000000"/>
          <w:sz w:val="20"/>
          <w:szCs w:val="20"/>
        </w:rPr>
        <w:t>72 million. After closing adjustments, a loss on disposal of $10 million was included in Other income/(expense) in the Consolidated Statements of Earnings for the year ended December 31, 2019.</w:t>
      </w:r>
    </w:p>
    <w:p w:rsidR="00000000" w:rsidRDefault="001F1FC8">
      <w:pPr>
        <w:divId w:val="869218421"/>
        <w:rPr>
          <w:rFonts w:eastAsia="Times New Roman"/>
        </w:rPr>
      </w:pPr>
    </w:p>
    <w:p w:rsidR="00000000" w:rsidRDefault="001F1FC8">
      <w:pPr>
        <w:jc w:val="center"/>
        <w:divId w:val="107429094"/>
        <w:rPr>
          <w:rFonts w:eastAsia="Times New Roman"/>
        </w:rPr>
      </w:pPr>
      <w:r>
        <w:rPr>
          <w:rFonts w:ascii="Arial" w:eastAsia="Times New Roman" w:hAnsi="Arial" w:cs="Arial"/>
          <w:color w:val="000000"/>
          <w:sz w:val="20"/>
          <w:szCs w:val="20"/>
        </w:rPr>
        <w:t>128</w:t>
      </w:r>
    </w:p>
    <w:p w:rsidR="00000000" w:rsidRDefault="001F1FC8">
      <w:pPr>
        <w:rPr>
          <w:rFonts w:eastAsia="Times New Roman"/>
        </w:rPr>
      </w:pPr>
      <w:r>
        <w:rPr>
          <w:rFonts w:eastAsia="Times New Roman"/>
        </w:rPr>
        <w:pict>
          <v:rect id="_x0000_i1158" style="width:0;height:1.5pt" o:hralign="center" o:hrstd="t" o:hr="t" fillcolor="#a0a0a0" stroked="f"/>
        </w:pict>
      </w:r>
    </w:p>
    <w:p w:rsidR="00000000" w:rsidRDefault="001F1FC8">
      <w:pPr>
        <w:jc w:val="center"/>
        <w:divId w:val="114104567"/>
        <w:rPr>
          <w:rFonts w:eastAsia="Times New Roman"/>
        </w:rPr>
      </w:pPr>
    </w:p>
    <w:p w:rsidR="00000000" w:rsidRDefault="001F1FC8">
      <w:pPr>
        <w:divId w:val="1035041786"/>
        <w:rPr>
          <w:rFonts w:eastAsia="Times New Roman"/>
        </w:rPr>
      </w:pPr>
      <w:r>
        <w:rPr>
          <w:rFonts w:ascii="Arial" w:eastAsia="Times New Roman" w:hAnsi="Arial" w:cs="Arial"/>
          <w:b/>
          <w:bCs/>
          <w:color w:val="000000"/>
          <w:sz w:val="20"/>
          <w:szCs w:val="20"/>
        </w:rPr>
        <w:t>Enbridge Gas New Brunswick</w:t>
      </w:r>
    </w:p>
    <w:p w:rsidR="00000000" w:rsidRDefault="001F1FC8">
      <w:pPr>
        <w:divId w:val="1296254251"/>
        <w:rPr>
          <w:rFonts w:eastAsia="Times New Roman"/>
        </w:rPr>
      </w:pPr>
      <w:r>
        <w:rPr>
          <w:rFonts w:ascii="Arial" w:eastAsia="Times New Roman" w:hAnsi="Arial" w:cs="Arial"/>
          <w:color w:val="000000"/>
          <w:sz w:val="20"/>
          <w:szCs w:val="20"/>
        </w:rPr>
        <w:t>In December 2018, we entered into an agreement for the sale of Enbridge Gas New Brunswick Limited Partnership and Enbridge Gas New Brunswick Inc. (collectively, EGNB). EGNB assets were a part of our Gas Distribution and Storage s</w:t>
      </w:r>
      <w:r>
        <w:rPr>
          <w:rFonts w:ascii="Arial" w:eastAsia="Times New Roman" w:hAnsi="Arial" w:cs="Arial"/>
          <w:color w:val="000000"/>
          <w:sz w:val="20"/>
          <w:szCs w:val="20"/>
        </w:rPr>
        <w:t xml:space="preserve">egment. On October 1, 2019, we closed the sale of EGNB to Liberty Utilities (Canada) LP, a wholly-owned subsidiary of Algonquin Power and Utilities Corp., for cash proceeds of approximately $331 million. After closing adjustments, a loss on disposal of $3 </w:t>
      </w:r>
      <w:r>
        <w:rPr>
          <w:rFonts w:ascii="Arial" w:eastAsia="Times New Roman" w:hAnsi="Arial" w:cs="Arial"/>
          <w:color w:val="000000"/>
          <w:sz w:val="20"/>
          <w:szCs w:val="20"/>
        </w:rPr>
        <w:t>million was included in Other income/(expense) in the Consolidated Statements of Earnings for the year ended December 31, 2019.</w:t>
      </w:r>
    </w:p>
    <w:p w:rsidR="00000000" w:rsidRDefault="001F1FC8">
      <w:pPr>
        <w:divId w:val="264001648"/>
        <w:rPr>
          <w:rFonts w:eastAsia="Times New Roman"/>
        </w:rPr>
      </w:pPr>
    </w:p>
    <w:p w:rsidR="00000000" w:rsidRDefault="001F1FC8">
      <w:pPr>
        <w:divId w:val="1368795148"/>
        <w:rPr>
          <w:rFonts w:eastAsia="Times New Roman"/>
        </w:rPr>
      </w:pPr>
      <w:r>
        <w:rPr>
          <w:rFonts w:ascii="Arial" w:eastAsia="Times New Roman" w:hAnsi="Arial" w:cs="Arial"/>
          <w:color w:val="000000"/>
          <w:sz w:val="20"/>
          <w:szCs w:val="20"/>
        </w:rPr>
        <w:t>As EGNB assets represented a portion of a reporting unit, we allocated a portion of the goodwill of the reporting unit to thes</w:t>
      </w:r>
      <w:r>
        <w:rPr>
          <w:rFonts w:ascii="Arial" w:eastAsia="Times New Roman" w:hAnsi="Arial" w:cs="Arial"/>
          <w:color w:val="000000"/>
          <w:sz w:val="20"/>
          <w:szCs w:val="20"/>
        </w:rPr>
        <w:t>e assets using a relative fair value approach. As such, allocated goodwill of $133 million was included in assets subsequently disposed.</w:t>
      </w:r>
    </w:p>
    <w:p w:rsidR="00000000" w:rsidRDefault="001F1FC8">
      <w:pPr>
        <w:divId w:val="1651859619"/>
        <w:rPr>
          <w:rFonts w:eastAsia="Times New Roman"/>
        </w:rPr>
      </w:pPr>
    </w:p>
    <w:p w:rsidR="00000000" w:rsidRDefault="001F1FC8">
      <w:pPr>
        <w:divId w:val="1787845475"/>
        <w:rPr>
          <w:rFonts w:eastAsia="Times New Roman"/>
        </w:rPr>
      </w:pPr>
      <w:r>
        <w:rPr>
          <w:rFonts w:ascii="Arial" w:eastAsia="Times New Roman" w:hAnsi="Arial" w:cs="Arial"/>
          <w:b/>
          <w:bCs/>
          <w:color w:val="000000"/>
          <w:sz w:val="26"/>
          <w:szCs w:val="26"/>
        </w:rPr>
        <w:t>9.  ACCOUNTS RECEIVABLE AND OTHER</w:t>
      </w:r>
    </w:p>
    <w:p w:rsidR="00000000" w:rsidRDefault="001F1FC8">
      <w:pPr>
        <w:divId w:val="136651077"/>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6420"/>
        <w:gridCol w:w="37"/>
        <w:gridCol w:w="69"/>
        <w:gridCol w:w="785"/>
        <w:gridCol w:w="36"/>
        <w:gridCol w:w="69"/>
        <w:gridCol w:w="785"/>
        <w:gridCol w:w="36"/>
      </w:tblGrid>
      <w:tr w:rsidR="00000000">
        <w:trPr>
          <w:divId w:val="930167506"/>
        </w:trPr>
        <w:tc>
          <w:tcPr>
            <w:tcW w:w="50" w:type="pct"/>
            <w:vAlign w:val="center"/>
            <w:hideMark/>
          </w:tcPr>
          <w:p w:rsidR="00000000" w:rsidRDefault="001F1FC8">
            <w:pPr>
              <w:rPr>
                <w:rFonts w:eastAsia="Times New Roman"/>
              </w:rPr>
            </w:pPr>
          </w:p>
        </w:tc>
        <w:tc>
          <w:tcPr>
            <w:tcW w:w="3871"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c>
          <w:tcPr>
            <w:tcW w:w="50" w:type="pct"/>
            <w:vAlign w:val="center"/>
            <w:hideMark/>
          </w:tcPr>
          <w:p w:rsidR="00000000" w:rsidRDefault="001F1FC8">
            <w:pPr>
              <w:rPr>
                <w:rFonts w:eastAsia="Times New Roman"/>
                <w:sz w:val="20"/>
                <w:szCs w:val="20"/>
              </w:rPr>
            </w:pPr>
          </w:p>
        </w:tc>
        <w:tc>
          <w:tcPr>
            <w:tcW w:w="481"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c>
          <w:tcPr>
            <w:tcW w:w="50" w:type="pct"/>
            <w:vAlign w:val="center"/>
            <w:hideMark/>
          </w:tcPr>
          <w:p w:rsidR="00000000" w:rsidRDefault="001F1FC8">
            <w:pPr>
              <w:rPr>
                <w:rFonts w:eastAsia="Times New Roman"/>
                <w:sz w:val="20"/>
                <w:szCs w:val="20"/>
              </w:rPr>
            </w:pPr>
          </w:p>
        </w:tc>
        <w:tc>
          <w:tcPr>
            <w:tcW w:w="481"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r>
      <w:tr w:rsidR="00000000">
        <w:trPr>
          <w:divId w:val="930167506"/>
        </w:trPr>
        <w:tc>
          <w:tcPr>
            <w:tcW w:w="0" w:type="auto"/>
            <w:gridSpan w:val="3"/>
            <w:tcMar>
              <w:top w:w="30" w:type="dxa"/>
              <w:left w:w="20" w:type="dxa"/>
              <w:bottom w:w="30" w:type="dxa"/>
              <w:right w:w="20" w:type="dxa"/>
            </w:tcMar>
            <w:hideMark/>
          </w:tcPr>
          <w:p w:rsidR="00000000" w:rsidRDefault="001F1FC8">
            <w:pPr>
              <w:rPr>
                <w:rFonts w:eastAsia="Times New Roman"/>
              </w:rPr>
            </w:pPr>
            <w:r>
              <w:rPr>
                <w:rFonts w:ascii="Arial" w:eastAsia="Times New Roman" w:hAnsi="Arial" w:cs="Arial"/>
                <w:color w:val="000000"/>
                <w:sz w:val="20"/>
                <w:szCs w:val="20"/>
              </w:rPr>
              <w:t>December 31,</w:t>
            </w:r>
          </w:p>
        </w:tc>
        <w:tc>
          <w:tcPr>
            <w:tcW w:w="0" w:type="auto"/>
            <w:gridSpan w:val="3"/>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b/>
                <w:bCs/>
                <w:color w:val="000000"/>
                <w:sz w:val="20"/>
                <w:szCs w:val="20"/>
              </w:rPr>
              <w:t>2021</w:t>
            </w:r>
          </w:p>
        </w:tc>
        <w:tc>
          <w:tcPr>
            <w:tcW w:w="0" w:type="auto"/>
            <w:gridSpan w:val="3"/>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2020</w:t>
            </w:r>
          </w:p>
        </w:tc>
      </w:tr>
      <w:tr w:rsidR="00000000">
        <w:trPr>
          <w:divId w:val="930167506"/>
        </w:trPr>
        <w:tc>
          <w:tcPr>
            <w:tcW w:w="0" w:type="auto"/>
            <w:gridSpan w:val="3"/>
            <w:tcBorders>
              <w:top w:val="single" w:sz="4" w:space="0" w:color="000000"/>
            </w:tcBorders>
            <w:tcMar>
              <w:top w:w="30" w:type="dxa"/>
              <w:left w:w="20" w:type="dxa"/>
              <w:bottom w:w="30" w:type="dxa"/>
              <w:right w:w="20" w:type="dxa"/>
            </w:tcMar>
            <w:hideMark/>
          </w:tcPr>
          <w:p w:rsidR="00000000" w:rsidRDefault="001F1FC8">
            <w:pPr>
              <w:rPr>
                <w:rFonts w:eastAsia="Times New Roman"/>
              </w:rPr>
            </w:pPr>
            <w:r>
              <w:rPr>
                <w:rFonts w:ascii="Arial" w:eastAsia="Times New Roman" w:hAnsi="Arial" w:cs="Arial"/>
                <w:i/>
                <w:iCs/>
                <w:color w:val="000000"/>
                <w:sz w:val="16"/>
                <w:szCs w:val="16"/>
              </w:rPr>
              <w:t>(millions of Canadian dollars)</w:t>
            </w:r>
          </w:p>
        </w:tc>
        <w:tc>
          <w:tcPr>
            <w:tcW w:w="0" w:type="auto"/>
            <w:gridSpan w:val="3"/>
            <w:tcBorders>
              <w:top w:val="single" w:sz="4" w:space="0" w:color="000000"/>
            </w:tcBorders>
            <w:shd w:val="clear" w:color="auto" w:fill="D9D9D9"/>
            <w:tcMar>
              <w:top w:w="0" w:type="dxa"/>
              <w:left w:w="20" w:type="dxa"/>
              <w:bottom w:w="0" w:type="dxa"/>
              <w:right w:w="20" w:type="dxa"/>
            </w:tcMar>
            <w:vAlign w:val="center"/>
            <w:hideMark/>
          </w:tcPr>
          <w:p w:rsidR="00000000" w:rsidRDefault="001F1FC8">
            <w:pPr>
              <w:rPr>
                <w:rFonts w:eastAsia="Times New Roman"/>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1F1FC8">
            <w:pPr>
              <w:rPr>
                <w:rFonts w:eastAsia="Times New Roman"/>
                <w:sz w:val="20"/>
                <w:szCs w:val="20"/>
              </w:rPr>
            </w:pPr>
          </w:p>
        </w:tc>
      </w:tr>
      <w:tr w:rsidR="00000000">
        <w:trPr>
          <w:divId w:val="930167506"/>
        </w:trPr>
        <w:tc>
          <w:tcPr>
            <w:tcW w:w="0" w:type="auto"/>
            <w:gridSpan w:val="3"/>
            <w:tcMar>
              <w:top w:w="30" w:type="dxa"/>
              <w:left w:w="20" w:type="dxa"/>
              <w:bottom w:w="30" w:type="dxa"/>
              <w:right w:w="20" w:type="dxa"/>
            </w:tcMar>
            <w:hideMark/>
          </w:tcPr>
          <w:p w:rsidR="00000000" w:rsidRDefault="001F1FC8">
            <w:pPr>
              <w:divId w:val="1926457894"/>
              <w:rPr>
                <w:rFonts w:eastAsia="Times New Roman"/>
              </w:rPr>
            </w:pPr>
            <w:r>
              <w:rPr>
                <w:rFonts w:ascii="Arial" w:eastAsia="Times New Roman" w:hAnsi="Arial" w:cs="Arial"/>
                <w:color w:val="000000"/>
                <w:sz w:val="20"/>
                <w:szCs w:val="20"/>
              </w:rPr>
              <w:t>Trade receivables and unbilled revenue</w:t>
            </w:r>
            <w:r>
              <w:rPr>
                <w:rFonts w:ascii="Arial" w:eastAsia="Times New Roman" w:hAnsi="Arial" w:cs="Arial"/>
                <w:color w:val="000000"/>
                <w:sz w:val="20"/>
                <w:szCs w:val="20"/>
              </w:rPr>
              <w:t>s</w:t>
            </w:r>
            <w:r>
              <w:rPr>
                <w:rFonts w:ascii="Arial" w:eastAsia="Times New Roman" w:hAnsi="Arial" w:cs="Arial"/>
                <w:color w:val="000000"/>
                <w:sz w:val="10"/>
                <w:szCs w:val="10"/>
              </w:rPr>
              <w:t>1</w:t>
            </w:r>
          </w:p>
        </w:tc>
        <w:tc>
          <w:tcPr>
            <w:tcW w:w="0" w:type="auto"/>
            <w:gridSpan w:val="2"/>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20"/>
                <w:szCs w:val="20"/>
              </w:rPr>
              <w:t>4,957</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3,923 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r>
      <w:tr w:rsidR="00000000">
        <w:trPr>
          <w:divId w:val="930167506"/>
        </w:trPr>
        <w:tc>
          <w:tcPr>
            <w:tcW w:w="0" w:type="auto"/>
            <w:gridSpan w:val="3"/>
            <w:tcMar>
              <w:top w:w="30" w:type="dxa"/>
              <w:left w:w="20" w:type="dxa"/>
              <w:bottom w:w="30" w:type="dxa"/>
              <w:right w:w="20" w:type="dxa"/>
            </w:tcMar>
            <w:hideMark/>
          </w:tcPr>
          <w:p w:rsidR="00000000" w:rsidRDefault="001F1FC8">
            <w:pPr>
              <w:divId w:val="1547451135"/>
              <w:rPr>
                <w:rFonts w:eastAsia="Times New Roman"/>
              </w:rPr>
            </w:pPr>
            <w:r>
              <w:rPr>
                <w:rFonts w:ascii="Arial" w:eastAsia="Times New Roman" w:hAnsi="Arial" w:cs="Arial"/>
                <w:color w:val="000000"/>
                <w:sz w:val="20"/>
                <w:szCs w:val="20"/>
              </w:rPr>
              <w:t xml:space="preserve">Short-term portion of derivative assets </w:t>
            </w:r>
            <w:r>
              <w:rPr>
                <w:rFonts w:ascii="Arial" w:eastAsia="Times New Roman" w:hAnsi="Arial" w:cs="Arial"/>
                <w:i/>
                <w:iCs/>
                <w:color w:val="000000"/>
                <w:sz w:val="16"/>
                <w:szCs w:val="16"/>
              </w:rPr>
              <w:t>(Note 24)</w:t>
            </w:r>
          </w:p>
        </w:tc>
        <w:tc>
          <w:tcPr>
            <w:tcW w:w="0" w:type="auto"/>
            <w:gridSpan w:val="2"/>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20"/>
                <w:szCs w:val="20"/>
              </w:rPr>
              <w:t>529</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323 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r>
      <w:tr w:rsidR="00000000">
        <w:trPr>
          <w:divId w:val="930167506"/>
        </w:trPr>
        <w:tc>
          <w:tcPr>
            <w:tcW w:w="0" w:type="auto"/>
            <w:gridSpan w:val="3"/>
            <w:tcMar>
              <w:top w:w="30" w:type="dxa"/>
              <w:left w:w="20" w:type="dxa"/>
              <w:bottom w:w="30" w:type="dxa"/>
              <w:right w:w="20" w:type="dxa"/>
            </w:tcMar>
            <w:hideMark/>
          </w:tcPr>
          <w:p w:rsidR="00000000" w:rsidRDefault="001F1FC8">
            <w:pPr>
              <w:divId w:val="1764229506"/>
              <w:rPr>
                <w:rFonts w:eastAsia="Times New Roman"/>
              </w:rPr>
            </w:pPr>
            <w:r>
              <w:rPr>
                <w:rFonts w:ascii="Arial" w:eastAsia="Times New Roman" w:hAnsi="Arial" w:cs="Arial"/>
                <w:color w:val="000000"/>
                <w:sz w:val="20"/>
                <w:szCs w:val="20"/>
              </w:rPr>
              <w:t xml:space="preserve">Regulatory assets </w:t>
            </w:r>
            <w:r>
              <w:rPr>
                <w:rFonts w:ascii="Arial" w:eastAsia="Times New Roman" w:hAnsi="Arial" w:cs="Arial"/>
                <w:i/>
                <w:iCs/>
                <w:color w:val="000000"/>
                <w:sz w:val="16"/>
                <w:szCs w:val="16"/>
              </w:rPr>
              <w:t>(Note 7)</w:t>
            </w:r>
          </w:p>
        </w:tc>
        <w:tc>
          <w:tcPr>
            <w:tcW w:w="0" w:type="auto"/>
            <w:gridSpan w:val="2"/>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20"/>
                <w:szCs w:val="20"/>
              </w:rPr>
              <w:t>259</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232 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r>
      <w:tr w:rsidR="00000000">
        <w:trPr>
          <w:divId w:val="930167506"/>
        </w:trPr>
        <w:tc>
          <w:tcPr>
            <w:tcW w:w="0" w:type="auto"/>
            <w:gridSpan w:val="3"/>
            <w:tcMar>
              <w:top w:w="30" w:type="dxa"/>
              <w:left w:w="20" w:type="dxa"/>
              <w:bottom w:w="30" w:type="dxa"/>
              <w:right w:w="20" w:type="dxa"/>
            </w:tcMar>
            <w:hideMark/>
          </w:tcPr>
          <w:p w:rsidR="00000000" w:rsidRDefault="001F1FC8">
            <w:pPr>
              <w:rPr>
                <w:rFonts w:eastAsia="Times New Roman"/>
              </w:rPr>
            </w:pPr>
            <w:r>
              <w:rPr>
                <w:rFonts w:ascii="Arial" w:eastAsia="Times New Roman" w:hAnsi="Arial" w:cs="Arial"/>
                <w:color w:val="000000"/>
                <w:sz w:val="20"/>
                <w:szCs w:val="20"/>
              </w:rPr>
              <w:t>Taxes receivable</w:t>
            </w:r>
          </w:p>
        </w:tc>
        <w:tc>
          <w:tcPr>
            <w:tcW w:w="0" w:type="auto"/>
            <w:gridSpan w:val="2"/>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20"/>
                <w:szCs w:val="20"/>
              </w:rPr>
              <w:t>407</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374 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r>
      <w:tr w:rsidR="00000000">
        <w:trPr>
          <w:divId w:val="930167506"/>
        </w:trPr>
        <w:tc>
          <w:tcPr>
            <w:tcW w:w="0" w:type="auto"/>
            <w:gridSpan w:val="3"/>
            <w:tcMar>
              <w:top w:w="30" w:type="dxa"/>
              <w:left w:w="20" w:type="dxa"/>
              <w:bottom w:w="30" w:type="dxa"/>
              <w:right w:w="20" w:type="dxa"/>
            </w:tcMar>
            <w:hideMark/>
          </w:tcPr>
          <w:p w:rsidR="00000000" w:rsidRDefault="001F1FC8">
            <w:pPr>
              <w:rPr>
                <w:rFonts w:eastAsia="Times New Roman"/>
              </w:rPr>
            </w:pPr>
            <w:r>
              <w:rPr>
                <w:rFonts w:ascii="Arial" w:eastAsia="Times New Roman" w:hAnsi="Arial" w:cs="Arial"/>
                <w:color w:val="000000"/>
                <w:sz w:val="20"/>
                <w:szCs w:val="20"/>
              </w:rPr>
              <w:t>Other</w:t>
            </w:r>
          </w:p>
        </w:tc>
        <w:tc>
          <w:tcPr>
            <w:tcW w:w="0" w:type="auto"/>
            <w:gridSpan w:val="2"/>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20"/>
                <w:szCs w:val="20"/>
              </w:rPr>
              <w:t>710</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406 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r>
      <w:tr w:rsidR="00000000">
        <w:trPr>
          <w:divId w:val="930167506"/>
        </w:trPr>
        <w:tc>
          <w:tcPr>
            <w:tcW w:w="0" w:type="auto"/>
            <w:gridSpan w:val="3"/>
            <w:tcBorders>
              <w:top w:val="single" w:sz="4" w:space="0" w:color="000000"/>
              <w:bottom w:val="single" w:sz="8" w:space="0" w:color="000000"/>
            </w:tcBorders>
            <w:tcMar>
              <w:top w:w="30" w:type="dxa"/>
              <w:left w:w="20" w:type="dxa"/>
              <w:bottom w:w="30" w:type="dxa"/>
              <w:right w:w="20" w:type="dxa"/>
            </w:tcMar>
            <w:hideMark/>
          </w:tcPr>
          <w:p w:rsidR="00000000" w:rsidRDefault="001F1FC8">
            <w:pPr>
              <w:rPr>
                <w:rFonts w:eastAsia="Times New Roman"/>
              </w:rPr>
            </w:pPr>
            <w:r>
              <w:rPr>
                <w:rFonts w:ascii="Arial" w:eastAsia="Times New Roman" w:hAnsi="Arial" w:cs="Arial"/>
                <w:color w:val="000000"/>
                <w:sz w:val="2"/>
                <w:szCs w:val="2"/>
              </w:rPr>
              <w:t> </w:t>
            </w:r>
          </w:p>
        </w:tc>
        <w:tc>
          <w:tcPr>
            <w:tcW w:w="0" w:type="auto"/>
            <w:gridSpan w:val="2"/>
            <w:tcBorders>
              <w:top w:val="single" w:sz="4" w:space="0" w:color="000000"/>
              <w:bottom w:val="single" w:sz="8" w:space="0" w:color="000000"/>
            </w:tcBorders>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20"/>
                <w:szCs w:val="20"/>
              </w:rPr>
              <w:t>6,862</w:t>
            </w:r>
            <w:r>
              <w:rPr>
                <w:rFonts w:ascii="Arial" w:eastAsia="Times New Roman" w:hAnsi="Arial" w:cs="Arial"/>
                <w:color w:val="000000"/>
                <w:sz w:val="20"/>
                <w:szCs w:val="20"/>
              </w:rPr>
              <w:t> </w:t>
            </w:r>
          </w:p>
        </w:tc>
        <w:tc>
          <w:tcPr>
            <w:tcW w:w="0" w:type="auto"/>
            <w:tcBorders>
              <w:top w:val="single" w:sz="4" w:space="0" w:color="000000"/>
              <w:bottom w:val="single" w:sz="8" w:space="0" w:color="000000"/>
            </w:tcBorders>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Borders>
              <w:top w:val="single" w:sz="4" w:space="0" w:color="000000"/>
              <w:bottom w:val="single" w:sz="8" w:space="0" w:color="000000"/>
            </w:tcBorders>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5,258 </w:t>
            </w:r>
          </w:p>
        </w:tc>
        <w:tc>
          <w:tcPr>
            <w:tcW w:w="0" w:type="auto"/>
            <w:tcBorders>
              <w:top w:val="single" w:sz="4" w:space="0" w:color="000000"/>
              <w:bottom w:val="single" w:sz="8" w:space="0" w:color="000000"/>
            </w:tcBorders>
            <w:tcMar>
              <w:top w:w="30" w:type="dxa"/>
              <w:left w:w="0" w:type="dxa"/>
              <w:bottom w:w="30" w:type="dxa"/>
              <w:right w:w="20" w:type="dxa"/>
            </w:tcMar>
            <w:vAlign w:val="bottom"/>
            <w:hideMark/>
          </w:tcPr>
          <w:p w:rsidR="00000000" w:rsidRDefault="001F1FC8">
            <w:pPr>
              <w:jc w:val="right"/>
              <w:rPr>
                <w:rFonts w:eastAsia="Times New Roman"/>
              </w:rPr>
            </w:pPr>
          </w:p>
        </w:tc>
      </w:tr>
    </w:tbl>
    <w:p w:rsidR="00000000" w:rsidRDefault="001F1FC8">
      <w:pPr>
        <w:ind w:hanging="180"/>
        <w:divId w:val="684592676"/>
        <w:rPr>
          <w:rFonts w:eastAsia="Times New Roman"/>
        </w:rPr>
      </w:pPr>
      <w:r>
        <w:rPr>
          <w:rFonts w:ascii="Arial" w:eastAsia="Times New Roman" w:hAnsi="Arial" w:cs="Arial"/>
          <w:i/>
          <w:iCs/>
          <w:color w:val="000000"/>
          <w:sz w:val="16"/>
          <w:szCs w:val="16"/>
        </w:rPr>
        <w:t>1 Net of allowance for expected credit losses of $87 million as at December 31, 2021 and $70 million as at December 31, 2020.</w:t>
      </w:r>
    </w:p>
    <w:p w:rsidR="00000000" w:rsidRDefault="001F1FC8">
      <w:pPr>
        <w:divId w:val="35783446"/>
        <w:rPr>
          <w:rFonts w:eastAsia="Times New Roman"/>
        </w:rPr>
      </w:pPr>
    </w:p>
    <w:p w:rsidR="00000000" w:rsidRDefault="001F1FC8">
      <w:pPr>
        <w:divId w:val="1556237749"/>
        <w:rPr>
          <w:rFonts w:eastAsia="Times New Roman"/>
        </w:rPr>
      </w:pPr>
      <w:r>
        <w:rPr>
          <w:rFonts w:ascii="Arial" w:eastAsia="Times New Roman" w:hAnsi="Arial" w:cs="Arial"/>
          <w:b/>
          <w:bCs/>
          <w:color w:val="000000"/>
          <w:sz w:val="26"/>
          <w:szCs w:val="26"/>
        </w:rPr>
        <w:t>10.  INVENTORY</w:t>
      </w:r>
    </w:p>
    <w:tbl>
      <w:tblPr>
        <w:tblW w:w="5000" w:type="pct"/>
        <w:tblCellMar>
          <w:top w:w="15" w:type="dxa"/>
          <w:left w:w="15" w:type="dxa"/>
          <w:bottom w:w="15" w:type="dxa"/>
          <w:right w:w="15" w:type="dxa"/>
        </w:tblCellMar>
        <w:tblLook w:val="04A0" w:firstRow="1" w:lastRow="0" w:firstColumn="1" w:lastColumn="0" w:noHBand="0" w:noVBand="1"/>
      </w:tblPr>
      <w:tblGrid>
        <w:gridCol w:w="69"/>
        <w:gridCol w:w="6433"/>
        <w:gridCol w:w="36"/>
        <w:gridCol w:w="69"/>
        <w:gridCol w:w="772"/>
        <w:gridCol w:w="36"/>
        <w:gridCol w:w="69"/>
        <w:gridCol w:w="786"/>
        <w:gridCol w:w="36"/>
      </w:tblGrid>
      <w:tr w:rsidR="00000000">
        <w:trPr>
          <w:divId w:val="1916624326"/>
        </w:trPr>
        <w:tc>
          <w:tcPr>
            <w:tcW w:w="50" w:type="pct"/>
            <w:vAlign w:val="center"/>
            <w:hideMark/>
          </w:tcPr>
          <w:p w:rsidR="00000000" w:rsidRDefault="001F1FC8">
            <w:pPr>
              <w:rPr>
                <w:rFonts w:eastAsia="Times New Roman"/>
              </w:rPr>
            </w:pPr>
          </w:p>
        </w:tc>
        <w:tc>
          <w:tcPr>
            <w:tcW w:w="3879"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c>
          <w:tcPr>
            <w:tcW w:w="50" w:type="pct"/>
            <w:vAlign w:val="center"/>
            <w:hideMark/>
          </w:tcPr>
          <w:p w:rsidR="00000000" w:rsidRDefault="001F1FC8">
            <w:pPr>
              <w:rPr>
                <w:rFonts w:eastAsia="Times New Roman"/>
                <w:sz w:val="20"/>
                <w:szCs w:val="20"/>
              </w:rPr>
            </w:pPr>
          </w:p>
        </w:tc>
        <w:tc>
          <w:tcPr>
            <w:tcW w:w="473"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c>
          <w:tcPr>
            <w:tcW w:w="50" w:type="pct"/>
            <w:vAlign w:val="center"/>
            <w:hideMark/>
          </w:tcPr>
          <w:p w:rsidR="00000000" w:rsidRDefault="001F1FC8">
            <w:pPr>
              <w:rPr>
                <w:rFonts w:eastAsia="Times New Roman"/>
                <w:sz w:val="20"/>
                <w:szCs w:val="20"/>
              </w:rPr>
            </w:pPr>
          </w:p>
        </w:tc>
        <w:tc>
          <w:tcPr>
            <w:tcW w:w="481"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r>
      <w:tr w:rsidR="00000000">
        <w:trPr>
          <w:divId w:val="1916624326"/>
        </w:trPr>
        <w:tc>
          <w:tcPr>
            <w:tcW w:w="0" w:type="auto"/>
            <w:gridSpan w:val="3"/>
            <w:tcMar>
              <w:top w:w="30" w:type="dxa"/>
              <w:left w:w="20" w:type="dxa"/>
              <w:bottom w:w="30" w:type="dxa"/>
              <w:right w:w="20" w:type="dxa"/>
            </w:tcMar>
            <w:vAlign w:val="center"/>
            <w:hideMark/>
          </w:tcPr>
          <w:p w:rsidR="00000000" w:rsidRDefault="001F1FC8">
            <w:pPr>
              <w:rPr>
                <w:rFonts w:eastAsia="Times New Roman"/>
              </w:rPr>
            </w:pPr>
            <w:r>
              <w:rPr>
                <w:rFonts w:ascii="Arial" w:eastAsia="Times New Roman" w:hAnsi="Arial" w:cs="Arial"/>
                <w:color w:val="000000"/>
                <w:sz w:val="20"/>
                <w:szCs w:val="20"/>
              </w:rPr>
              <w:t>December 31,</w:t>
            </w:r>
          </w:p>
        </w:tc>
        <w:tc>
          <w:tcPr>
            <w:tcW w:w="0" w:type="auto"/>
            <w:gridSpan w:val="3"/>
            <w:tcMar>
              <w:top w:w="30" w:type="dxa"/>
              <w:left w:w="20" w:type="dxa"/>
              <w:bottom w:w="30" w:type="dxa"/>
              <w:right w:w="20" w:type="dxa"/>
            </w:tcMar>
            <w:vAlign w:val="center"/>
            <w:hideMark/>
          </w:tcPr>
          <w:p w:rsidR="00000000" w:rsidRDefault="001F1FC8">
            <w:pPr>
              <w:jc w:val="right"/>
              <w:rPr>
                <w:rFonts w:eastAsia="Times New Roman"/>
              </w:rPr>
            </w:pPr>
            <w:r>
              <w:rPr>
                <w:rFonts w:ascii="Arial" w:eastAsia="Times New Roman" w:hAnsi="Arial" w:cs="Arial"/>
                <w:b/>
                <w:bCs/>
                <w:color w:val="000000"/>
                <w:sz w:val="20"/>
                <w:szCs w:val="20"/>
              </w:rPr>
              <w:t>2021</w:t>
            </w:r>
          </w:p>
        </w:tc>
        <w:tc>
          <w:tcPr>
            <w:tcW w:w="0" w:type="auto"/>
            <w:gridSpan w:val="3"/>
            <w:tcMar>
              <w:top w:w="30" w:type="dxa"/>
              <w:left w:w="20" w:type="dxa"/>
              <w:bottom w:w="30" w:type="dxa"/>
              <w:right w:w="20" w:type="dxa"/>
            </w:tcMar>
            <w:vAlign w:val="center"/>
            <w:hideMark/>
          </w:tcPr>
          <w:p w:rsidR="00000000" w:rsidRDefault="001F1FC8">
            <w:pPr>
              <w:jc w:val="right"/>
              <w:rPr>
                <w:rFonts w:eastAsia="Times New Roman"/>
              </w:rPr>
            </w:pPr>
            <w:r>
              <w:rPr>
                <w:rFonts w:ascii="Arial" w:eastAsia="Times New Roman" w:hAnsi="Arial" w:cs="Arial"/>
                <w:color w:val="000000"/>
                <w:sz w:val="20"/>
                <w:szCs w:val="20"/>
              </w:rPr>
              <w:t>2020</w:t>
            </w:r>
          </w:p>
        </w:tc>
      </w:tr>
      <w:tr w:rsidR="00000000">
        <w:trPr>
          <w:divId w:val="1916624326"/>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1F1FC8">
            <w:pPr>
              <w:rPr>
                <w:rFonts w:eastAsia="Times New Roman"/>
              </w:rPr>
            </w:pPr>
            <w:r>
              <w:rPr>
                <w:rFonts w:ascii="Arial" w:eastAsia="Times New Roman" w:hAnsi="Arial" w:cs="Arial"/>
                <w:i/>
                <w:iCs/>
                <w:color w:val="000000"/>
                <w:sz w:val="16"/>
                <w:szCs w:val="16"/>
              </w:rPr>
              <w:t>(millions of Canadian dollars)</w:t>
            </w:r>
          </w:p>
        </w:tc>
        <w:tc>
          <w:tcPr>
            <w:tcW w:w="0" w:type="auto"/>
            <w:gridSpan w:val="3"/>
            <w:tcBorders>
              <w:top w:val="single" w:sz="4" w:space="0" w:color="000000"/>
            </w:tcBorders>
            <w:shd w:val="clear" w:color="auto" w:fill="D9D9D9"/>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2"/>
                <w:szCs w:val="2"/>
              </w:rPr>
              <w:t> </w:t>
            </w: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2"/>
                <w:szCs w:val="2"/>
              </w:rPr>
              <w:t> </w:t>
            </w:r>
          </w:p>
        </w:tc>
      </w:tr>
      <w:tr w:rsidR="00000000">
        <w:trPr>
          <w:divId w:val="1916624326"/>
        </w:trPr>
        <w:tc>
          <w:tcPr>
            <w:tcW w:w="0" w:type="auto"/>
            <w:gridSpan w:val="3"/>
            <w:tcMar>
              <w:top w:w="30" w:type="dxa"/>
              <w:left w:w="20" w:type="dxa"/>
              <w:bottom w:w="30" w:type="dxa"/>
              <w:right w:w="20" w:type="dxa"/>
            </w:tcMar>
            <w:vAlign w:val="center"/>
            <w:hideMark/>
          </w:tcPr>
          <w:p w:rsidR="00000000" w:rsidRDefault="001F1FC8">
            <w:pPr>
              <w:rPr>
                <w:rFonts w:eastAsia="Times New Roman"/>
              </w:rPr>
            </w:pPr>
            <w:r>
              <w:rPr>
                <w:rFonts w:ascii="Arial" w:eastAsia="Times New Roman" w:hAnsi="Arial" w:cs="Arial"/>
                <w:color w:val="000000"/>
                <w:sz w:val="20"/>
                <w:szCs w:val="20"/>
              </w:rPr>
              <w:t>Natural gas</w:t>
            </w:r>
          </w:p>
        </w:tc>
        <w:tc>
          <w:tcPr>
            <w:tcW w:w="0" w:type="auto"/>
            <w:gridSpan w:val="2"/>
            <w:shd w:val="clear" w:color="auto" w:fill="D9D9D9"/>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b/>
                <w:bCs/>
                <w:color w:val="000000"/>
                <w:sz w:val="20"/>
                <w:szCs w:val="20"/>
              </w:rPr>
              <w:t>953</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20"/>
                <w:szCs w:val="20"/>
              </w:rPr>
              <w:t>710 </w:t>
            </w:r>
          </w:p>
        </w:tc>
        <w:tc>
          <w:tcPr>
            <w:tcW w:w="0" w:type="auto"/>
            <w:tcMar>
              <w:top w:w="30" w:type="dxa"/>
              <w:left w:w="0" w:type="dxa"/>
              <w:bottom w:w="30" w:type="dxa"/>
              <w:right w:w="20" w:type="dxa"/>
            </w:tcMar>
            <w:vAlign w:val="center"/>
            <w:hideMark/>
          </w:tcPr>
          <w:p w:rsidR="00000000" w:rsidRDefault="001F1FC8">
            <w:pPr>
              <w:jc w:val="right"/>
              <w:rPr>
                <w:rFonts w:eastAsia="Times New Roman"/>
              </w:rPr>
            </w:pPr>
          </w:p>
        </w:tc>
      </w:tr>
      <w:tr w:rsidR="00000000">
        <w:trPr>
          <w:divId w:val="1916624326"/>
        </w:trPr>
        <w:tc>
          <w:tcPr>
            <w:tcW w:w="0" w:type="auto"/>
            <w:gridSpan w:val="3"/>
            <w:tcMar>
              <w:top w:w="30" w:type="dxa"/>
              <w:left w:w="20" w:type="dxa"/>
              <w:bottom w:w="30" w:type="dxa"/>
              <w:right w:w="20" w:type="dxa"/>
            </w:tcMar>
            <w:vAlign w:val="center"/>
            <w:hideMark/>
          </w:tcPr>
          <w:p w:rsidR="00000000" w:rsidRDefault="001F1FC8">
            <w:pPr>
              <w:rPr>
                <w:rFonts w:eastAsia="Times New Roman"/>
              </w:rPr>
            </w:pPr>
            <w:r>
              <w:rPr>
                <w:rFonts w:ascii="Arial" w:eastAsia="Times New Roman" w:hAnsi="Arial" w:cs="Arial"/>
                <w:color w:val="000000"/>
                <w:sz w:val="20"/>
                <w:szCs w:val="20"/>
              </w:rPr>
              <w:t>Crude oil</w:t>
            </w:r>
          </w:p>
        </w:tc>
        <w:tc>
          <w:tcPr>
            <w:tcW w:w="0" w:type="auto"/>
            <w:gridSpan w:val="2"/>
            <w:shd w:val="clear" w:color="auto" w:fill="D9D9D9"/>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b/>
                <w:bCs/>
                <w:color w:val="000000"/>
                <w:sz w:val="20"/>
                <w:szCs w:val="20"/>
              </w:rPr>
              <w:t>624</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20"/>
                <w:szCs w:val="20"/>
              </w:rPr>
              <w:t>744 </w:t>
            </w:r>
          </w:p>
        </w:tc>
        <w:tc>
          <w:tcPr>
            <w:tcW w:w="0" w:type="auto"/>
            <w:tcMar>
              <w:top w:w="30" w:type="dxa"/>
              <w:left w:w="0" w:type="dxa"/>
              <w:bottom w:w="30" w:type="dxa"/>
              <w:right w:w="20" w:type="dxa"/>
            </w:tcMar>
            <w:vAlign w:val="center"/>
            <w:hideMark/>
          </w:tcPr>
          <w:p w:rsidR="00000000" w:rsidRDefault="001F1FC8">
            <w:pPr>
              <w:jc w:val="right"/>
              <w:rPr>
                <w:rFonts w:eastAsia="Times New Roman"/>
              </w:rPr>
            </w:pPr>
          </w:p>
        </w:tc>
      </w:tr>
      <w:tr w:rsidR="00000000">
        <w:trPr>
          <w:divId w:val="1916624326"/>
        </w:trPr>
        <w:tc>
          <w:tcPr>
            <w:tcW w:w="0" w:type="auto"/>
            <w:gridSpan w:val="3"/>
            <w:tcMar>
              <w:top w:w="30" w:type="dxa"/>
              <w:left w:w="20" w:type="dxa"/>
              <w:bottom w:w="30" w:type="dxa"/>
              <w:right w:w="20" w:type="dxa"/>
            </w:tcMar>
            <w:vAlign w:val="center"/>
            <w:hideMark/>
          </w:tcPr>
          <w:p w:rsidR="00000000" w:rsidRDefault="001F1FC8">
            <w:pPr>
              <w:rPr>
                <w:rFonts w:eastAsia="Times New Roman"/>
              </w:rPr>
            </w:pPr>
            <w:r>
              <w:rPr>
                <w:rFonts w:ascii="Arial" w:eastAsia="Times New Roman" w:hAnsi="Arial" w:cs="Arial"/>
                <w:color w:val="000000"/>
                <w:sz w:val="20"/>
                <w:szCs w:val="20"/>
              </w:rPr>
              <w:t xml:space="preserve">Other </w:t>
            </w:r>
          </w:p>
        </w:tc>
        <w:tc>
          <w:tcPr>
            <w:tcW w:w="0" w:type="auto"/>
            <w:gridSpan w:val="2"/>
            <w:shd w:val="clear" w:color="auto" w:fill="D9D9D9"/>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b/>
                <w:bCs/>
                <w:color w:val="000000"/>
                <w:sz w:val="20"/>
                <w:szCs w:val="20"/>
              </w:rPr>
              <w:t>93</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20"/>
                <w:szCs w:val="20"/>
              </w:rPr>
              <w:t>82 </w:t>
            </w:r>
          </w:p>
        </w:tc>
        <w:tc>
          <w:tcPr>
            <w:tcW w:w="0" w:type="auto"/>
            <w:tcMar>
              <w:top w:w="30" w:type="dxa"/>
              <w:left w:w="0" w:type="dxa"/>
              <w:bottom w:w="30" w:type="dxa"/>
              <w:right w:w="20" w:type="dxa"/>
            </w:tcMar>
            <w:vAlign w:val="center"/>
            <w:hideMark/>
          </w:tcPr>
          <w:p w:rsidR="00000000" w:rsidRDefault="001F1FC8">
            <w:pPr>
              <w:jc w:val="right"/>
              <w:rPr>
                <w:rFonts w:eastAsia="Times New Roman"/>
              </w:rPr>
            </w:pPr>
          </w:p>
        </w:tc>
      </w:tr>
      <w:tr w:rsidR="00000000">
        <w:trPr>
          <w:divId w:val="1916624326"/>
        </w:trPr>
        <w:tc>
          <w:tcPr>
            <w:tcW w:w="0" w:type="auto"/>
            <w:gridSpan w:val="3"/>
            <w:tcBorders>
              <w:top w:val="single" w:sz="4" w:space="0" w:color="000000"/>
              <w:bottom w:val="single" w:sz="8" w:space="0" w:color="000000"/>
            </w:tcBorders>
            <w:tcMar>
              <w:top w:w="30" w:type="dxa"/>
              <w:left w:w="20" w:type="dxa"/>
              <w:bottom w:w="30" w:type="dxa"/>
              <w:right w:w="20" w:type="dxa"/>
            </w:tcMar>
            <w:vAlign w:val="center"/>
            <w:hideMark/>
          </w:tcPr>
          <w:p w:rsidR="00000000" w:rsidRDefault="001F1FC8">
            <w:pPr>
              <w:rPr>
                <w:rFonts w:eastAsia="Times New Roman"/>
              </w:rPr>
            </w:pPr>
            <w:r>
              <w:rPr>
                <w:rFonts w:ascii="Arial" w:eastAsia="Times New Roman" w:hAnsi="Arial" w:cs="Arial"/>
                <w:color w:val="000000"/>
                <w:sz w:val="2"/>
                <w:szCs w:val="2"/>
              </w:rPr>
              <w:t> </w:t>
            </w:r>
          </w:p>
        </w:tc>
        <w:tc>
          <w:tcPr>
            <w:tcW w:w="0" w:type="auto"/>
            <w:gridSpan w:val="2"/>
            <w:tcBorders>
              <w:top w:val="single" w:sz="4" w:space="0" w:color="000000"/>
              <w:bottom w:val="single" w:sz="8" w:space="0" w:color="000000"/>
            </w:tcBorders>
            <w:shd w:val="clear" w:color="auto" w:fill="D9D9D9"/>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b/>
                <w:bCs/>
                <w:color w:val="000000"/>
                <w:sz w:val="20"/>
                <w:szCs w:val="20"/>
              </w:rPr>
              <w:t>1,670</w:t>
            </w:r>
            <w:r>
              <w:rPr>
                <w:rFonts w:ascii="Arial" w:eastAsia="Times New Roman" w:hAnsi="Arial" w:cs="Arial"/>
                <w:color w:val="000000"/>
                <w:sz w:val="20"/>
                <w:szCs w:val="20"/>
              </w:rPr>
              <w:t> </w:t>
            </w:r>
          </w:p>
        </w:tc>
        <w:tc>
          <w:tcPr>
            <w:tcW w:w="0" w:type="auto"/>
            <w:tcBorders>
              <w:top w:val="single" w:sz="4" w:space="0" w:color="000000"/>
              <w:bottom w:val="single" w:sz="8" w:space="0" w:color="000000"/>
            </w:tcBorders>
            <w:shd w:val="clear" w:color="auto" w:fill="D9D9D9"/>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Borders>
              <w:top w:val="single" w:sz="4" w:space="0" w:color="000000"/>
              <w:bottom w:val="single" w:sz="8" w:space="0" w:color="000000"/>
            </w:tcBorders>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20"/>
                <w:szCs w:val="20"/>
              </w:rPr>
              <w:t>1,536 </w:t>
            </w:r>
          </w:p>
        </w:tc>
        <w:tc>
          <w:tcPr>
            <w:tcW w:w="0" w:type="auto"/>
            <w:tcBorders>
              <w:top w:val="single" w:sz="4" w:space="0" w:color="000000"/>
              <w:bottom w:val="single" w:sz="8" w:space="0" w:color="000000"/>
            </w:tcBorders>
            <w:tcMar>
              <w:top w:w="30" w:type="dxa"/>
              <w:left w:w="0" w:type="dxa"/>
              <w:bottom w:w="30" w:type="dxa"/>
              <w:right w:w="20" w:type="dxa"/>
            </w:tcMar>
            <w:vAlign w:val="center"/>
            <w:hideMark/>
          </w:tcPr>
          <w:p w:rsidR="00000000" w:rsidRDefault="001F1FC8">
            <w:pPr>
              <w:jc w:val="right"/>
              <w:rPr>
                <w:rFonts w:eastAsia="Times New Roman"/>
              </w:rPr>
            </w:pPr>
          </w:p>
        </w:tc>
      </w:tr>
    </w:tbl>
    <w:p w:rsidR="00000000" w:rsidRDefault="001F1FC8">
      <w:pPr>
        <w:divId w:val="204487996"/>
        <w:rPr>
          <w:rFonts w:eastAsia="Times New Roman"/>
        </w:rPr>
      </w:pPr>
    </w:p>
    <w:p w:rsidR="00000000" w:rsidRDefault="001F1FC8">
      <w:pPr>
        <w:divId w:val="1021664426"/>
        <w:rPr>
          <w:rFonts w:eastAsia="Times New Roman"/>
        </w:rPr>
      </w:pPr>
      <w:r>
        <w:rPr>
          <w:rFonts w:ascii="Arial" w:eastAsia="Times New Roman" w:hAnsi="Arial" w:cs="Arial"/>
          <w:b/>
          <w:bCs/>
          <w:color w:val="000000"/>
          <w:sz w:val="26"/>
          <w:szCs w:val="26"/>
        </w:rPr>
        <w:t>11.  PROPERTY, PLANT AND EQUIPMENT</w:t>
      </w:r>
    </w:p>
    <w:tbl>
      <w:tblPr>
        <w:tblW w:w="5000" w:type="pct"/>
        <w:tblCellMar>
          <w:top w:w="15" w:type="dxa"/>
          <w:left w:w="15" w:type="dxa"/>
          <w:bottom w:w="15" w:type="dxa"/>
          <w:right w:w="15" w:type="dxa"/>
        </w:tblCellMar>
        <w:tblLook w:val="04A0" w:firstRow="1" w:lastRow="0" w:firstColumn="1" w:lastColumn="0" w:noHBand="0" w:noVBand="1"/>
      </w:tblPr>
      <w:tblGrid>
        <w:gridCol w:w="48"/>
        <w:gridCol w:w="4601"/>
        <w:gridCol w:w="38"/>
        <w:gridCol w:w="56"/>
        <w:gridCol w:w="1610"/>
        <w:gridCol w:w="199"/>
        <w:gridCol w:w="74"/>
        <w:gridCol w:w="767"/>
        <w:gridCol w:w="36"/>
        <w:gridCol w:w="74"/>
        <w:gridCol w:w="767"/>
        <w:gridCol w:w="36"/>
      </w:tblGrid>
      <w:tr w:rsidR="00000000">
        <w:trPr>
          <w:divId w:val="1760251702"/>
        </w:trPr>
        <w:tc>
          <w:tcPr>
            <w:tcW w:w="50" w:type="pct"/>
            <w:vAlign w:val="center"/>
            <w:hideMark/>
          </w:tcPr>
          <w:p w:rsidR="00000000" w:rsidRDefault="001F1FC8">
            <w:pPr>
              <w:rPr>
                <w:rFonts w:eastAsia="Times New Roman"/>
              </w:rPr>
            </w:pPr>
          </w:p>
        </w:tc>
        <w:tc>
          <w:tcPr>
            <w:tcW w:w="2789"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c>
          <w:tcPr>
            <w:tcW w:w="50" w:type="pct"/>
            <w:vAlign w:val="center"/>
            <w:hideMark/>
          </w:tcPr>
          <w:p w:rsidR="00000000" w:rsidRDefault="001F1FC8">
            <w:pPr>
              <w:rPr>
                <w:rFonts w:eastAsia="Times New Roman"/>
                <w:sz w:val="20"/>
                <w:szCs w:val="20"/>
              </w:rPr>
            </w:pPr>
          </w:p>
        </w:tc>
        <w:tc>
          <w:tcPr>
            <w:tcW w:w="994"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c>
          <w:tcPr>
            <w:tcW w:w="50" w:type="pct"/>
            <w:vAlign w:val="center"/>
            <w:hideMark/>
          </w:tcPr>
          <w:p w:rsidR="00000000" w:rsidRDefault="001F1FC8">
            <w:pPr>
              <w:rPr>
                <w:rFonts w:eastAsia="Times New Roman"/>
                <w:sz w:val="20"/>
                <w:szCs w:val="20"/>
              </w:rPr>
            </w:pPr>
          </w:p>
        </w:tc>
        <w:tc>
          <w:tcPr>
            <w:tcW w:w="497"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c>
          <w:tcPr>
            <w:tcW w:w="50" w:type="pct"/>
            <w:vAlign w:val="center"/>
            <w:hideMark/>
          </w:tcPr>
          <w:p w:rsidR="00000000" w:rsidRDefault="001F1FC8">
            <w:pPr>
              <w:rPr>
                <w:rFonts w:eastAsia="Times New Roman"/>
                <w:sz w:val="20"/>
                <w:szCs w:val="20"/>
              </w:rPr>
            </w:pPr>
          </w:p>
        </w:tc>
        <w:tc>
          <w:tcPr>
            <w:tcW w:w="497"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r>
      <w:tr w:rsidR="00000000">
        <w:trPr>
          <w:divId w:val="1760251702"/>
        </w:trPr>
        <w:tc>
          <w:tcPr>
            <w:tcW w:w="0" w:type="auto"/>
            <w:gridSpan w:val="3"/>
            <w:tcMar>
              <w:top w:w="30" w:type="dxa"/>
              <w:left w:w="20" w:type="dxa"/>
              <w:bottom w:w="30" w:type="dxa"/>
              <w:right w:w="20" w:type="dxa"/>
            </w:tcMar>
            <w:vAlign w:val="center"/>
            <w:hideMark/>
          </w:tcPr>
          <w:p w:rsidR="00000000" w:rsidRDefault="001F1FC8">
            <w:pPr>
              <w:rPr>
                <w:rFonts w:eastAsia="Times New Roman"/>
              </w:rPr>
            </w:pPr>
            <w:r>
              <w:rPr>
                <w:rFonts w:ascii="Arial" w:eastAsia="Times New Roman" w:hAnsi="Arial" w:cs="Arial"/>
                <w:color w:val="000000"/>
                <w:sz w:val="2"/>
                <w:szCs w:val="2"/>
              </w:rPr>
              <w:t> </w:t>
            </w:r>
          </w:p>
        </w:tc>
        <w:tc>
          <w:tcPr>
            <w:tcW w:w="0" w:type="auto"/>
            <w:gridSpan w:val="3"/>
            <w:tcMar>
              <w:top w:w="30" w:type="dxa"/>
              <w:left w:w="20" w:type="dxa"/>
              <w:bottom w:w="30" w:type="dxa"/>
              <w:right w:w="20" w:type="dxa"/>
            </w:tcMar>
            <w:vAlign w:val="center"/>
            <w:hideMark/>
          </w:tcPr>
          <w:p w:rsidR="00000000" w:rsidRDefault="001F1FC8">
            <w:pPr>
              <w:jc w:val="right"/>
              <w:rPr>
                <w:rFonts w:eastAsia="Times New Roman"/>
              </w:rPr>
            </w:pPr>
            <w:r>
              <w:rPr>
                <w:rFonts w:ascii="Arial" w:eastAsia="Times New Roman" w:hAnsi="Arial" w:cs="Arial"/>
                <w:color w:val="000000"/>
                <w:sz w:val="20"/>
                <w:szCs w:val="20"/>
              </w:rPr>
              <w:t>Weighted Average</w:t>
            </w:r>
          </w:p>
        </w:tc>
        <w:tc>
          <w:tcPr>
            <w:tcW w:w="0" w:type="auto"/>
            <w:gridSpan w:val="3"/>
            <w:tcMar>
              <w:top w:w="30" w:type="dxa"/>
              <w:left w:w="20" w:type="dxa"/>
              <w:bottom w:w="30" w:type="dxa"/>
              <w:right w:w="20" w:type="dxa"/>
            </w:tcMar>
            <w:vAlign w:val="center"/>
            <w:hideMark/>
          </w:tcPr>
          <w:p w:rsidR="00000000" w:rsidRDefault="001F1FC8">
            <w:pPr>
              <w:jc w:val="right"/>
              <w:rPr>
                <w:rFonts w:eastAsia="Times New Roman"/>
              </w:rPr>
            </w:pPr>
            <w:r>
              <w:rPr>
                <w:rFonts w:ascii="Arial" w:eastAsia="Times New Roman" w:hAnsi="Arial" w:cs="Arial"/>
                <w:b/>
                <w:bCs/>
                <w:color w:val="000000"/>
                <w:sz w:val="2"/>
                <w:szCs w:val="2"/>
              </w:rPr>
              <w:t> </w:t>
            </w:r>
          </w:p>
        </w:tc>
        <w:tc>
          <w:tcPr>
            <w:tcW w:w="0" w:type="auto"/>
            <w:gridSpan w:val="3"/>
            <w:tcMar>
              <w:top w:w="30" w:type="dxa"/>
              <w:left w:w="20" w:type="dxa"/>
              <w:bottom w:w="30" w:type="dxa"/>
              <w:right w:w="20" w:type="dxa"/>
            </w:tcMar>
            <w:vAlign w:val="center"/>
            <w:hideMark/>
          </w:tcPr>
          <w:p w:rsidR="00000000" w:rsidRDefault="001F1FC8">
            <w:pPr>
              <w:jc w:val="right"/>
              <w:rPr>
                <w:rFonts w:eastAsia="Times New Roman"/>
              </w:rPr>
            </w:pPr>
            <w:r>
              <w:rPr>
                <w:rFonts w:ascii="Arial" w:eastAsia="Times New Roman" w:hAnsi="Arial" w:cs="Arial"/>
                <w:color w:val="000000"/>
                <w:sz w:val="2"/>
                <w:szCs w:val="2"/>
              </w:rPr>
              <w:t> </w:t>
            </w:r>
          </w:p>
        </w:tc>
      </w:tr>
      <w:tr w:rsidR="00000000">
        <w:trPr>
          <w:divId w:val="1760251702"/>
        </w:trPr>
        <w:tc>
          <w:tcPr>
            <w:tcW w:w="0" w:type="auto"/>
            <w:gridSpan w:val="3"/>
            <w:tcMar>
              <w:top w:w="30" w:type="dxa"/>
              <w:left w:w="20" w:type="dxa"/>
              <w:bottom w:w="30" w:type="dxa"/>
              <w:right w:w="20" w:type="dxa"/>
            </w:tcMar>
            <w:vAlign w:val="center"/>
            <w:hideMark/>
          </w:tcPr>
          <w:p w:rsidR="00000000" w:rsidRDefault="001F1FC8">
            <w:pPr>
              <w:rPr>
                <w:rFonts w:eastAsia="Times New Roman"/>
              </w:rPr>
            </w:pPr>
            <w:r>
              <w:rPr>
                <w:rFonts w:ascii="Arial" w:eastAsia="Times New Roman" w:hAnsi="Arial" w:cs="Arial"/>
                <w:color w:val="000000"/>
                <w:sz w:val="20"/>
                <w:szCs w:val="20"/>
              </w:rPr>
              <w:t>December 31,</w:t>
            </w:r>
          </w:p>
        </w:tc>
        <w:tc>
          <w:tcPr>
            <w:tcW w:w="0" w:type="auto"/>
            <w:gridSpan w:val="3"/>
            <w:tcMar>
              <w:top w:w="30" w:type="dxa"/>
              <w:left w:w="20" w:type="dxa"/>
              <w:bottom w:w="30" w:type="dxa"/>
              <w:right w:w="20" w:type="dxa"/>
            </w:tcMar>
            <w:vAlign w:val="center"/>
            <w:hideMark/>
          </w:tcPr>
          <w:p w:rsidR="00000000" w:rsidRDefault="001F1FC8">
            <w:pPr>
              <w:jc w:val="right"/>
              <w:rPr>
                <w:rFonts w:eastAsia="Times New Roman"/>
              </w:rPr>
            </w:pPr>
            <w:r>
              <w:rPr>
                <w:rFonts w:ascii="Arial" w:eastAsia="Times New Roman" w:hAnsi="Arial" w:cs="Arial"/>
                <w:color w:val="000000"/>
                <w:sz w:val="20"/>
                <w:szCs w:val="20"/>
              </w:rPr>
              <w:t>Depreciation Rate</w:t>
            </w:r>
          </w:p>
        </w:tc>
        <w:tc>
          <w:tcPr>
            <w:tcW w:w="0" w:type="auto"/>
            <w:gridSpan w:val="3"/>
            <w:tcMar>
              <w:top w:w="30" w:type="dxa"/>
              <w:left w:w="20" w:type="dxa"/>
              <w:bottom w:w="30" w:type="dxa"/>
              <w:right w:w="20" w:type="dxa"/>
            </w:tcMar>
            <w:vAlign w:val="center"/>
            <w:hideMark/>
          </w:tcPr>
          <w:p w:rsidR="00000000" w:rsidRDefault="001F1FC8">
            <w:pPr>
              <w:jc w:val="right"/>
              <w:rPr>
                <w:rFonts w:eastAsia="Times New Roman"/>
              </w:rPr>
            </w:pPr>
            <w:r>
              <w:rPr>
                <w:rFonts w:ascii="Arial" w:eastAsia="Times New Roman" w:hAnsi="Arial" w:cs="Arial"/>
                <w:b/>
                <w:bCs/>
                <w:color w:val="000000"/>
                <w:sz w:val="20"/>
                <w:szCs w:val="20"/>
              </w:rPr>
              <w:t>2021</w:t>
            </w:r>
          </w:p>
        </w:tc>
        <w:tc>
          <w:tcPr>
            <w:tcW w:w="0" w:type="auto"/>
            <w:gridSpan w:val="3"/>
            <w:tcMar>
              <w:top w:w="30" w:type="dxa"/>
              <w:left w:w="20" w:type="dxa"/>
              <w:bottom w:w="30" w:type="dxa"/>
              <w:right w:w="20" w:type="dxa"/>
            </w:tcMar>
            <w:vAlign w:val="center"/>
            <w:hideMark/>
          </w:tcPr>
          <w:p w:rsidR="00000000" w:rsidRDefault="001F1FC8">
            <w:pPr>
              <w:jc w:val="right"/>
              <w:rPr>
                <w:rFonts w:eastAsia="Times New Roman"/>
              </w:rPr>
            </w:pPr>
            <w:r>
              <w:rPr>
                <w:rFonts w:ascii="Arial" w:eastAsia="Times New Roman" w:hAnsi="Arial" w:cs="Arial"/>
                <w:color w:val="000000"/>
                <w:sz w:val="20"/>
                <w:szCs w:val="20"/>
              </w:rPr>
              <w:t>2020</w:t>
            </w:r>
          </w:p>
        </w:tc>
      </w:tr>
      <w:tr w:rsidR="00000000">
        <w:trPr>
          <w:divId w:val="1760251702"/>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1F1FC8">
            <w:pPr>
              <w:rPr>
                <w:rFonts w:eastAsia="Times New Roman"/>
              </w:rPr>
            </w:pPr>
            <w:r>
              <w:rPr>
                <w:rFonts w:ascii="Arial" w:eastAsia="Times New Roman" w:hAnsi="Arial" w:cs="Arial"/>
                <w:i/>
                <w:iCs/>
                <w:color w:val="000000"/>
                <w:sz w:val="16"/>
                <w:szCs w:val="16"/>
              </w:rPr>
              <w:t>(millions of Canadian dollars)</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1F1FC8">
            <w:pPr>
              <w:jc w:val="right"/>
              <w:rPr>
                <w:rFonts w:eastAsia="Times New Roman"/>
              </w:rPr>
            </w:pPr>
            <w:r>
              <w:rPr>
                <w:rFonts w:ascii="Arial" w:eastAsia="Times New Roman" w:hAnsi="Arial" w:cs="Arial"/>
                <w:color w:val="000000"/>
                <w:sz w:val="2"/>
                <w:szCs w:val="2"/>
              </w:rPr>
              <w:t> </w:t>
            </w:r>
          </w:p>
        </w:tc>
        <w:tc>
          <w:tcPr>
            <w:tcW w:w="0" w:type="auto"/>
            <w:gridSpan w:val="3"/>
            <w:tcBorders>
              <w:top w:val="single" w:sz="4" w:space="0" w:color="000000"/>
            </w:tcBorders>
            <w:shd w:val="clear" w:color="auto" w:fill="D9D9D9"/>
            <w:tcMar>
              <w:top w:w="30" w:type="dxa"/>
              <w:left w:w="20" w:type="dxa"/>
              <w:bottom w:w="30" w:type="dxa"/>
              <w:right w:w="20" w:type="dxa"/>
            </w:tcMar>
            <w:vAlign w:val="center"/>
            <w:hideMark/>
          </w:tcPr>
          <w:p w:rsidR="00000000" w:rsidRDefault="001F1FC8">
            <w:pPr>
              <w:jc w:val="right"/>
              <w:rPr>
                <w:rFonts w:eastAsia="Times New Roman"/>
              </w:rPr>
            </w:pPr>
            <w:r>
              <w:rPr>
                <w:rFonts w:ascii="Arial" w:eastAsia="Times New Roman" w:hAnsi="Arial" w:cs="Arial"/>
                <w:color w:val="000000"/>
                <w:sz w:val="2"/>
                <w:szCs w:val="2"/>
              </w:rPr>
              <w:t> </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1F1FC8">
            <w:pPr>
              <w:jc w:val="right"/>
              <w:rPr>
                <w:rFonts w:eastAsia="Times New Roman"/>
              </w:rPr>
            </w:pPr>
            <w:r>
              <w:rPr>
                <w:rFonts w:ascii="Arial" w:eastAsia="Times New Roman" w:hAnsi="Arial" w:cs="Arial"/>
                <w:color w:val="000000"/>
                <w:sz w:val="2"/>
                <w:szCs w:val="2"/>
              </w:rPr>
              <w:t> </w:t>
            </w:r>
          </w:p>
        </w:tc>
      </w:tr>
      <w:tr w:rsidR="00000000">
        <w:trPr>
          <w:divId w:val="1760251702"/>
        </w:trPr>
        <w:tc>
          <w:tcPr>
            <w:tcW w:w="0" w:type="auto"/>
            <w:gridSpan w:val="3"/>
            <w:tcMar>
              <w:top w:w="30" w:type="dxa"/>
              <w:left w:w="20" w:type="dxa"/>
              <w:bottom w:w="30" w:type="dxa"/>
              <w:right w:w="20" w:type="dxa"/>
            </w:tcMar>
            <w:vAlign w:val="center"/>
            <w:hideMark/>
          </w:tcPr>
          <w:p w:rsidR="00000000" w:rsidRDefault="001F1FC8">
            <w:pPr>
              <w:rPr>
                <w:rFonts w:eastAsia="Times New Roman"/>
              </w:rPr>
            </w:pPr>
            <w:r>
              <w:rPr>
                <w:rFonts w:ascii="Arial" w:eastAsia="Times New Roman" w:hAnsi="Arial" w:cs="Arial"/>
                <w:color w:val="000000"/>
                <w:sz w:val="20"/>
                <w:szCs w:val="20"/>
              </w:rPr>
              <w:t>Pipelines</w:t>
            </w:r>
          </w:p>
        </w:tc>
        <w:tc>
          <w:tcPr>
            <w:tcW w:w="0" w:type="auto"/>
            <w:gridSpan w:val="2"/>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20"/>
                <w:szCs w:val="20"/>
              </w:rPr>
              <w:t>2.8 </w:t>
            </w:r>
          </w:p>
        </w:tc>
        <w:tc>
          <w:tcPr>
            <w:tcW w:w="0" w:type="auto"/>
            <w:tcMar>
              <w:top w:w="30" w:type="dxa"/>
              <w:left w:w="0" w:type="dxa"/>
              <w:bottom w:w="30" w:type="dxa"/>
              <w:right w:w="20" w:type="dxa"/>
            </w:tcMar>
            <w:vAlign w:val="center"/>
            <w:hideMark/>
          </w:tcPr>
          <w:p w:rsidR="00000000" w:rsidRDefault="001F1FC8">
            <w:pPr>
              <w:jc w:val="right"/>
              <w:rPr>
                <w:rFonts w:eastAsia="Times New Roman"/>
              </w:rPr>
            </w:pPr>
            <w:r>
              <w:rPr>
                <w:rFonts w:ascii="Arial" w:eastAsia="Times New Roman" w:hAnsi="Arial" w:cs="Arial"/>
                <w:color w:val="000000"/>
                <w:sz w:val="20"/>
                <w:szCs w:val="20"/>
              </w:rPr>
              <w:t>%</w:t>
            </w:r>
          </w:p>
        </w:tc>
        <w:tc>
          <w:tcPr>
            <w:tcW w:w="0" w:type="auto"/>
            <w:gridSpan w:val="2"/>
            <w:shd w:val="clear" w:color="auto" w:fill="D9D9D9"/>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b/>
                <w:bCs/>
                <w:color w:val="000000"/>
                <w:sz w:val="20"/>
                <w:szCs w:val="20"/>
              </w:rPr>
              <w:t>62,997</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20"/>
                <w:szCs w:val="20"/>
              </w:rPr>
              <w:t>57,459 </w:t>
            </w:r>
          </w:p>
        </w:tc>
        <w:tc>
          <w:tcPr>
            <w:tcW w:w="0" w:type="auto"/>
            <w:tcMar>
              <w:top w:w="30" w:type="dxa"/>
              <w:left w:w="0" w:type="dxa"/>
              <w:bottom w:w="30" w:type="dxa"/>
              <w:right w:w="20" w:type="dxa"/>
            </w:tcMar>
            <w:vAlign w:val="center"/>
            <w:hideMark/>
          </w:tcPr>
          <w:p w:rsidR="00000000" w:rsidRDefault="001F1FC8">
            <w:pPr>
              <w:jc w:val="right"/>
              <w:rPr>
                <w:rFonts w:eastAsia="Times New Roman"/>
              </w:rPr>
            </w:pPr>
          </w:p>
        </w:tc>
      </w:tr>
      <w:tr w:rsidR="00000000">
        <w:trPr>
          <w:divId w:val="1760251702"/>
        </w:trPr>
        <w:tc>
          <w:tcPr>
            <w:tcW w:w="0" w:type="auto"/>
            <w:gridSpan w:val="3"/>
            <w:tcMar>
              <w:top w:w="30" w:type="dxa"/>
              <w:left w:w="20" w:type="dxa"/>
              <w:bottom w:w="30" w:type="dxa"/>
              <w:right w:w="20" w:type="dxa"/>
            </w:tcMar>
            <w:vAlign w:val="center"/>
            <w:hideMark/>
          </w:tcPr>
          <w:p w:rsidR="00000000" w:rsidRDefault="001F1FC8">
            <w:pPr>
              <w:rPr>
                <w:rFonts w:eastAsia="Times New Roman"/>
              </w:rPr>
            </w:pPr>
            <w:r>
              <w:rPr>
                <w:rFonts w:ascii="Arial" w:eastAsia="Times New Roman" w:hAnsi="Arial" w:cs="Arial"/>
                <w:color w:val="000000"/>
                <w:sz w:val="20"/>
                <w:szCs w:val="20"/>
              </w:rPr>
              <w:t>Facilities and equipment</w:t>
            </w:r>
          </w:p>
        </w:tc>
        <w:tc>
          <w:tcPr>
            <w:tcW w:w="0" w:type="auto"/>
            <w:gridSpan w:val="2"/>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20"/>
                <w:szCs w:val="20"/>
              </w:rPr>
              <w:t>3.1 </w:t>
            </w:r>
          </w:p>
        </w:tc>
        <w:tc>
          <w:tcPr>
            <w:tcW w:w="0" w:type="auto"/>
            <w:tcMar>
              <w:top w:w="30" w:type="dxa"/>
              <w:left w:w="0" w:type="dxa"/>
              <w:bottom w:w="30" w:type="dxa"/>
              <w:right w:w="20" w:type="dxa"/>
            </w:tcMar>
            <w:vAlign w:val="center"/>
            <w:hideMark/>
          </w:tcPr>
          <w:p w:rsidR="00000000" w:rsidRDefault="001F1FC8">
            <w:pPr>
              <w:jc w:val="right"/>
              <w:rPr>
                <w:rFonts w:eastAsia="Times New Roman"/>
              </w:rPr>
            </w:pPr>
            <w:r>
              <w:rPr>
                <w:rFonts w:ascii="Arial" w:eastAsia="Times New Roman" w:hAnsi="Arial" w:cs="Arial"/>
                <w:color w:val="000000"/>
                <w:sz w:val="20"/>
                <w:szCs w:val="20"/>
              </w:rPr>
              <w:t>%</w:t>
            </w:r>
          </w:p>
        </w:tc>
        <w:tc>
          <w:tcPr>
            <w:tcW w:w="0" w:type="auto"/>
            <w:gridSpan w:val="2"/>
            <w:shd w:val="clear" w:color="auto" w:fill="D9D9D9"/>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b/>
                <w:bCs/>
                <w:color w:val="000000"/>
                <w:sz w:val="20"/>
                <w:szCs w:val="20"/>
              </w:rPr>
              <w:t>34,331</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20"/>
                <w:szCs w:val="20"/>
              </w:rPr>
              <w:t>30,149 </w:t>
            </w:r>
          </w:p>
        </w:tc>
        <w:tc>
          <w:tcPr>
            <w:tcW w:w="0" w:type="auto"/>
            <w:tcMar>
              <w:top w:w="30" w:type="dxa"/>
              <w:left w:w="0" w:type="dxa"/>
              <w:bottom w:w="30" w:type="dxa"/>
              <w:right w:w="20" w:type="dxa"/>
            </w:tcMar>
            <w:vAlign w:val="center"/>
            <w:hideMark/>
          </w:tcPr>
          <w:p w:rsidR="00000000" w:rsidRDefault="001F1FC8">
            <w:pPr>
              <w:jc w:val="right"/>
              <w:rPr>
                <w:rFonts w:eastAsia="Times New Roman"/>
              </w:rPr>
            </w:pPr>
          </w:p>
        </w:tc>
      </w:tr>
      <w:tr w:rsidR="00000000">
        <w:trPr>
          <w:divId w:val="1760251702"/>
        </w:trPr>
        <w:tc>
          <w:tcPr>
            <w:tcW w:w="0" w:type="auto"/>
            <w:gridSpan w:val="3"/>
            <w:tcMar>
              <w:top w:w="30" w:type="dxa"/>
              <w:left w:w="20" w:type="dxa"/>
              <w:bottom w:w="30" w:type="dxa"/>
              <w:right w:w="20" w:type="dxa"/>
            </w:tcMar>
            <w:vAlign w:val="center"/>
            <w:hideMark/>
          </w:tcPr>
          <w:p w:rsidR="00000000" w:rsidRDefault="001F1FC8">
            <w:pPr>
              <w:divId w:val="358632027"/>
              <w:rPr>
                <w:rFonts w:eastAsia="Times New Roman"/>
              </w:rPr>
            </w:pPr>
            <w:r>
              <w:rPr>
                <w:rFonts w:ascii="Arial" w:eastAsia="Times New Roman" w:hAnsi="Arial" w:cs="Arial"/>
                <w:color w:val="000000"/>
                <w:sz w:val="20"/>
                <w:szCs w:val="20"/>
              </w:rPr>
              <w:t>Land and right-of-wa</w:t>
            </w:r>
            <w:r>
              <w:rPr>
                <w:rFonts w:ascii="Arial" w:eastAsia="Times New Roman" w:hAnsi="Arial" w:cs="Arial"/>
                <w:color w:val="000000"/>
                <w:sz w:val="20"/>
                <w:szCs w:val="20"/>
              </w:rPr>
              <w:t>y</w:t>
            </w:r>
            <w:r>
              <w:rPr>
                <w:rFonts w:ascii="Arial" w:eastAsia="Times New Roman" w:hAnsi="Arial" w:cs="Arial"/>
                <w:color w:val="000000"/>
                <w:sz w:val="10"/>
                <w:szCs w:val="10"/>
              </w:rPr>
              <w:t>1</w:t>
            </w:r>
          </w:p>
        </w:tc>
        <w:tc>
          <w:tcPr>
            <w:tcW w:w="0" w:type="auto"/>
            <w:gridSpan w:val="2"/>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20"/>
                <w:szCs w:val="20"/>
              </w:rPr>
              <w:t>2.3 </w:t>
            </w:r>
          </w:p>
        </w:tc>
        <w:tc>
          <w:tcPr>
            <w:tcW w:w="0" w:type="auto"/>
            <w:tcMar>
              <w:top w:w="30" w:type="dxa"/>
              <w:left w:w="0" w:type="dxa"/>
              <w:bottom w:w="30" w:type="dxa"/>
              <w:right w:w="20" w:type="dxa"/>
            </w:tcMar>
            <w:vAlign w:val="center"/>
            <w:hideMark/>
          </w:tcPr>
          <w:p w:rsidR="00000000" w:rsidRDefault="001F1FC8">
            <w:pPr>
              <w:jc w:val="right"/>
              <w:rPr>
                <w:rFonts w:eastAsia="Times New Roman"/>
              </w:rPr>
            </w:pPr>
            <w:r>
              <w:rPr>
                <w:rFonts w:ascii="Arial" w:eastAsia="Times New Roman" w:hAnsi="Arial" w:cs="Arial"/>
                <w:color w:val="000000"/>
                <w:sz w:val="20"/>
                <w:szCs w:val="20"/>
              </w:rPr>
              <w:t>%</w:t>
            </w:r>
          </w:p>
        </w:tc>
        <w:tc>
          <w:tcPr>
            <w:tcW w:w="0" w:type="auto"/>
            <w:gridSpan w:val="2"/>
            <w:shd w:val="clear" w:color="auto" w:fill="D9D9D9"/>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b/>
                <w:bCs/>
                <w:color w:val="000000"/>
                <w:sz w:val="20"/>
                <w:szCs w:val="20"/>
              </w:rPr>
              <w:t>3,320</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20"/>
                <w:szCs w:val="20"/>
              </w:rPr>
              <w:t>2,896 </w:t>
            </w:r>
          </w:p>
        </w:tc>
        <w:tc>
          <w:tcPr>
            <w:tcW w:w="0" w:type="auto"/>
            <w:tcMar>
              <w:top w:w="30" w:type="dxa"/>
              <w:left w:w="0" w:type="dxa"/>
              <w:bottom w:w="30" w:type="dxa"/>
              <w:right w:w="20" w:type="dxa"/>
            </w:tcMar>
            <w:vAlign w:val="center"/>
            <w:hideMark/>
          </w:tcPr>
          <w:p w:rsidR="00000000" w:rsidRDefault="001F1FC8">
            <w:pPr>
              <w:jc w:val="right"/>
              <w:rPr>
                <w:rFonts w:eastAsia="Times New Roman"/>
              </w:rPr>
            </w:pPr>
          </w:p>
        </w:tc>
      </w:tr>
      <w:tr w:rsidR="00000000">
        <w:trPr>
          <w:divId w:val="1760251702"/>
        </w:trPr>
        <w:tc>
          <w:tcPr>
            <w:tcW w:w="0" w:type="auto"/>
            <w:gridSpan w:val="3"/>
            <w:tcMar>
              <w:top w:w="30" w:type="dxa"/>
              <w:left w:w="20" w:type="dxa"/>
              <w:bottom w:w="30" w:type="dxa"/>
              <w:right w:w="20" w:type="dxa"/>
            </w:tcMar>
            <w:vAlign w:val="center"/>
            <w:hideMark/>
          </w:tcPr>
          <w:p w:rsidR="00000000" w:rsidRDefault="001F1FC8">
            <w:pPr>
              <w:rPr>
                <w:rFonts w:eastAsia="Times New Roman"/>
              </w:rPr>
            </w:pPr>
            <w:r>
              <w:rPr>
                <w:rFonts w:ascii="Arial" w:eastAsia="Times New Roman" w:hAnsi="Arial" w:cs="Arial"/>
                <w:color w:val="000000"/>
                <w:sz w:val="20"/>
                <w:szCs w:val="20"/>
              </w:rPr>
              <w:t>Gas mains, services and other</w:t>
            </w:r>
          </w:p>
        </w:tc>
        <w:tc>
          <w:tcPr>
            <w:tcW w:w="0" w:type="auto"/>
            <w:gridSpan w:val="2"/>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20"/>
                <w:szCs w:val="20"/>
              </w:rPr>
              <w:t>2.7 </w:t>
            </w:r>
          </w:p>
        </w:tc>
        <w:tc>
          <w:tcPr>
            <w:tcW w:w="0" w:type="auto"/>
            <w:tcMar>
              <w:top w:w="30" w:type="dxa"/>
              <w:left w:w="0" w:type="dxa"/>
              <w:bottom w:w="30" w:type="dxa"/>
              <w:right w:w="20" w:type="dxa"/>
            </w:tcMar>
            <w:vAlign w:val="center"/>
            <w:hideMark/>
          </w:tcPr>
          <w:p w:rsidR="00000000" w:rsidRDefault="001F1FC8">
            <w:pPr>
              <w:jc w:val="right"/>
              <w:rPr>
                <w:rFonts w:eastAsia="Times New Roman"/>
              </w:rPr>
            </w:pPr>
            <w:r>
              <w:rPr>
                <w:rFonts w:ascii="Arial" w:eastAsia="Times New Roman" w:hAnsi="Arial" w:cs="Arial"/>
                <w:color w:val="000000"/>
                <w:sz w:val="20"/>
                <w:szCs w:val="20"/>
              </w:rPr>
              <w:t>%</w:t>
            </w:r>
          </w:p>
        </w:tc>
        <w:tc>
          <w:tcPr>
            <w:tcW w:w="0" w:type="auto"/>
            <w:gridSpan w:val="2"/>
            <w:shd w:val="clear" w:color="auto" w:fill="D9D9D9"/>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b/>
                <w:bCs/>
                <w:color w:val="000000"/>
                <w:sz w:val="20"/>
                <w:szCs w:val="20"/>
              </w:rPr>
              <w:t>13,606</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20"/>
                <w:szCs w:val="20"/>
              </w:rPr>
              <w:t>12,813 </w:t>
            </w:r>
          </w:p>
        </w:tc>
        <w:tc>
          <w:tcPr>
            <w:tcW w:w="0" w:type="auto"/>
            <w:tcMar>
              <w:top w:w="30" w:type="dxa"/>
              <w:left w:w="0" w:type="dxa"/>
              <w:bottom w:w="30" w:type="dxa"/>
              <w:right w:w="20" w:type="dxa"/>
            </w:tcMar>
            <w:vAlign w:val="center"/>
            <w:hideMark/>
          </w:tcPr>
          <w:p w:rsidR="00000000" w:rsidRDefault="001F1FC8">
            <w:pPr>
              <w:jc w:val="right"/>
              <w:rPr>
                <w:rFonts w:eastAsia="Times New Roman"/>
              </w:rPr>
            </w:pPr>
          </w:p>
        </w:tc>
      </w:tr>
      <w:tr w:rsidR="00000000">
        <w:trPr>
          <w:divId w:val="1760251702"/>
        </w:trPr>
        <w:tc>
          <w:tcPr>
            <w:tcW w:w="0" w:type="auto"/>
            <w:gridSpan w:val="3"/>
            <w:tcMar>
              <w:top w:w="30" w:type="dxa"/>
              <w:left w:w="20" w:type="dxa"/>
              <w:bottom w:w="30" w:type="dxa"/>
              <w:right w:w="20" w:type="dxa"/>
            </w:tcMar>
            <w:vAlign w:val="center"/>
            <w:hideMark/>
          </w:tcPr>
          <w:p w:rsidR="00000000" w:rsidRDefault="001F1FC8">
            <w:pPr>
              <w:rPr>
                <w:rFonts w:eastAsia="Times New Roman"/>
              </w:rPr>
            </w:pPr>
            <w:r>
              <w:rPr>
                <w:rFonts w:ascii="Arial" w:eastAsia="Times New Roman" w:hAnsi="Arial" w:cs="Arial"/>
                <w:color w:val="000000"/>
                <w:sz w:val="20"/>
                <w:szCs w:val="20"/>
              </w:rPr>
              <w:t>Storage</w:t>
            </w:r>
          </w:p>
        </w:tc>
        <w:tc>
          <w:tcPr>
            <w:tcW w:w="0" w:type="auto"/>
            <w:gridSpan w:val="2"/>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20"/>
                <w:szCs w:val="20"/>
              </w:rPr>
              <w:t>2.4 </w:t>
            </w:r>
          </w:p>
        </w:tc>
        <w:tc>
          <w:tcPr>
            <w:tcW w:w="0" w:type="auto"/>
            <w:tcMar>
              <w:top w:w="30" w:type="dxa"/>
              <w:left w:w="0" w:type="dxa"/>
              <w:bottom w:w="30" w:type="dxa"/>
              <w:right w:w="20" w:type="dxa"/>
            </w:tcMar>
            <w:vAlign w:val="center"/>
            <w:hideMark/>
          </w:tcPr>
          <w:p w:rsidR="00000000" w:rsidRDefault="001F1FC8">
            <w:pPr>
              <w:jc w:val="right"/>
              <w:rPr>
                <w:rFonts w:eastAsia="Times New Roman"/>
              </w:rPr>
            </w:pPr>
            <w:r>
              <w:rPr>
                <w:rFonts w:ascii="Arial" w:eastAsia="Times New Roman" w:hAnsi="Arial" w:cs="Arial"/>
                <w:color w:val="000000"/>
                <w:sz w:val="20"/>
                <w:szCs w:val="20"/>
              </w:rPr>
              <w:t>%</w:t>
            </w:r>
          </w:p>
        </w:tc>
        <w:tc>
          <w:tcPr>
            <w:tcW w:w="0" w:type="auto"/>
            <w:gridSpan w:val="2"/>
            <w:shd w:val="clear" w:color="auto" w:fill="D9D9D9"/>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b/>
                <w:bCs/>
                <w:color w:val="000000"/>
                <w:sz w:val="20"/>
                <w:szCs w:val="20"/>
              </w:rPr>
              <w:t>3,099</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20"/>
                <w:szCs w:val="20"/>
              </w:rPr>
              <w:t>2,936 </w:t>
            </w:r>
          </w:p>
        </w:tc>
        <w:tc>
          <w:tcPr>
            <w:tcW w:w="0" w:type="auto"/>
            <w:tcMar>
              <w:top w:w="30" w:type="dxa"/>
              <w:left w:w="0" w:type="dxa"/>
              <w:bottom w:w="30" w:type="dxa"/>
              <w:right w:w="20" w:type="dxa"/>
            </w:tcMar>
            <w:vAlign w:val="center"/>
            <w:hideMark/>
          </w:tcPr>
          <w:p w:rsidR="00000000" w:rsidRDefault="001F1FC8">
            <w:pPr>
              <w:jc w:val="right"/>
              <w:rPr>
                <w:rFonts w:eastAsia="Times New Roman"/>
              </w:rPr>
            </w:pPr>
          </w:p>
        </w:tc>
      </w:tr>
      <w:tr w:rsidR="00000000">
        <w:trPr>
          <w:divId w:val="1760251702"/>
        </w:trPr>
        <w:tc>
          <w:tcPr>
            <w:tcW w:w="0" w:type="auto"/>
            <w:gridSpan w:val="3"/>
            <w:tcMar>
              <w:top w:w="30" w:type="dxa"/>
              <w:left w:w="20" w:type="dxa"/>
              <w:bottom w:w="30" w:type="dxa"/>
              <w:right w:w="20" w:type="dxa"/>
            </w:tcMar>
            <w:vAlign w:val="center"/>
            <w:hideMark/>
          </w:tcPr>
          <w:p w:rsidR="00000000" w:rsidRDefault="001F1FC8">
            <w:pPr>
              <w:rPr>
                <w:rFonts w:eastAsia="Times New Roman"/>
              </w:rPr>
            </w:pPr>
            <w:r>
              <w:rPr>
                <w:rFonts w:ascii="Arial" w:eastAsia="Times New Roman" w:hAnsi="Arial" w:cs="Arial"/>
                <w:color w:val="000000"/>
                <w:sz w:val="20"/>
                <w:szCs w:val="20"/>
              </w:rPr>
              <w:t>Wind turbines, solar panels and other</w:t>
            </w:r>
          </w:p>
        </w:tc>
        <w:tc>
          <w:tcPr>
            <w:tcW w:w="0" w:type="auto"/>
            <w:gridSpan w:val="2"/>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20"/>
                <w:szCs w:val="20"/>
              </w:rPr>
              <w:t>4.0 </w:t>
            </w:r>
          </w:p>
        </w:tc>
        <w:tc>
          <w:tcPr>
            <w:tcW w:w="0" w:type="auto"/>
            <w:tcMar>
              <w:top w:w="30" w:type="dxa"/>
              <w:left w:w="0" w:type="dxa"/>
              <w:bottom w:w="30" w:type="dxa"/>
              <w:right w:w="20" w:type="dxa"/>
            </w:tcMar>
            <w:vAlign w:val="center"/>
            <w:hideMark/>
          </w:tcPr>
          <w:p w:rsidR="00000000" w:rsidRDefault="001F1FC8">
            <w:pPr>
              <w:jc w:val="right"/>
              <w:rPr>
                <w:rFonts w:eastAsia="Times New Roman"/>
              </w:rPr>
            </w:pPr>
            <w:r>
              <w:rPr>
                <w:rFonts w:ascii="Arial" w:eastAsia="Times New Roman" w:hAnsi="Arial" w:cs="Arial"/>
                <w:color w:val="000000"/>
                <w:sz w:val="20"/>
                <w:szCs w:val="20"/>
              </w:rPr>
              <w:t>%</w:t>
            </w:r>
          </w:p>
        </w:tc>
        <w:tc>
          <w:tcPr>
            <w:tcW w:w="0" w:type="auto"/>
            <w:gridSpan w:val="2"/>
            <w:shd w:val="clear" w:color="auto" w:fill="D9D9D9"/>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b/>
                <w:bCs/>
                <w:color w:val="000000"/>
                <w:sz w:val="20"/>
                <w:szCs w:val="20"/>
              </w:rPr>
              <w:t>4,912</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20"/>
                <w:szCs w:val="20"/>
              </w:rPr>
              <w:t>4,877 </w:t>
            </w:r>
          </w:p>
        </w:tc>
        <w:tc>
          <w:tcPr>
            <w:tcW w:w="0" w:type="auto"/>
            <w:tcMar>
              <w:top w:w="30" w:type="dxa"/>
              <w:left w:w="0" w:type="dxa"/>
              <w:bottom w:w="30" w:type="dxa"/>
              <w:right w:w="20" w:type="dxa"/>
            </w:tcMar>
            <w:vAlign w:val="center"/>
            <w:hideMark/>
          </w:tcPr>
          <w:p w:rsidR="00000000" w:rsidRDefault="001F1FC8">
            <w:pPr>
              <w:jc w:val="right"/>
              <w:rPr>
                <w:rFonts w:eastAsia="Times New Roman"/>
              </w:rPr>
            </w:pPr>
          </w:p>
        </w:tc>
      </w:tr>
      <w:tr w:rsidR="00000000">
        <w:trPr>
          <w:divId w:val="1760251702"/>
        </w:trPr>
        <w:tc>
          <w:tcPr>
            <w:tcW w:w="0" w:type="auto"/>
            <w:gridSpan w:val="3"/>
            <w:tcMar>
              <w:top w:w="30" w:type="dxa"/>
              <w:left w:w="20" w:type="dxa"/>
              <w:bottom w:w="30" w:type="dxa"/>
              <w:right w:w="20" w:type="dxa"/>
            </w:tcMar>
            <w:vAlign w:val="center"/>
            <w:hideMark/>
          </w:tcPr>
          <w:p w:rsidR="00000000" w:rsidRDefault="001F1FC8">
            <w:pPr>
              <w:rPr>
                <w:rFonts w:eastAsia="Times New Roman"/>
              </w:rPr>
            </w:pPr>
            <w:r>
              <w:rPr>
                <w:rFonts w:ascii="Arial" w:eastAsia="Times New Roman" w:hAnsi="Arial" w:cs="Arial"/>
                <w:color w:val="000000"/>
                <w:sz w:val="20"/>
                <w:szCs w:val="20"/>
              </w:rPr>
              <w:t>Other</w:t>
            </w:r>
          </w:p>
        </w:tc>
        <w:tc>
          <w:tcPr>
            <w:tcW w:w="0" w:type="auto"/>
            <w:gridSpan w:val="2"/>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20"/>
                <w:szCs w:val="20"/>
              </w:rPr>
              <w:t>8.2 </w:t>
            </w:r>
          </w:p>
        </w:tc>
        <w:tc>
          <w:tcPr>
            <w:tcW w:w="0" w:type="auto"/>
            <w:tcMar>
              <w:top w:w="30" w:type="dxa"/>
              <w:left w:w="0" w:type="dxa"/>
              <w:bottom w:w="30" w:type="dxa"/>
              <w:right w:w="20" w:type="dxa"/>
            </w:tcMar>
            <w:vAlign w:val="center"/>
            <w:hideMark/>
          </w:tcPr>
          <w:p w:rsidR="00000000" w:rsidRDefault="001F1FC8">
            <w:pPr>
              <w:jc w:val="right"/>
              <w:rPr>
                <w:rFonts w:eastAsia="Times New Roman"/>
              </w:rPr>
            </w:pPr>
            <w:r>
              <w:rPr>
                <w:rFonts w:ascii="Arial" w:eastAsia="Times New Roman" w:hAnsi="Arial" w:cs="Arial"/>
                <w:color w:val="000000"/>
                <w:sz w:val="20"/>
                <w:szCs w:val="20"/>
              </w:rPr>
              <w:t>%</w:t>
            </w:r>
          </w:p>
        </w:tc>
        <w:tc>
          <w:tcPr>
            <w:tcW w:w="0" w:type="auto"/>
            <w:gridSpan w:val="2"/>
            <w:shd w:val="clear" w:color="auto" w:fill="D9D9D9"/>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b/>
                <w:bCs/>
                <w:color w:val="000000"/>
                <w:sz w:val="20"/>
                <w:szCs w:val="20"/>
              </w:rPr>
              <w:t>1,507</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20"/>
                <w:szCs w:val="20"/>
              </w:rPr>
              <w:t>1,558 </w:t>
            </w:r>
          </w:p>
        </w:tc>
        <w:tc>
          <w:tcPr>
            <w:tcW w:w="0" w:type="auto"/>
            <w:tcMar>
              <w:top w:w="30" w:type="dxa"/>
              <w:left w:w="0" w:type="dxa"/>
              <w:bottom w:w="30" w:type="dxa"/>
              <w:right w:w="20" w:type="dxa"/>
            </w:tcMar>
            <w:vAlign w:val="center"/>
            <w:hideMark/>
          </w:tcPr>
          <w:p w:rsidR="00000000" w:rsidRDefault="001F1FC8">
            <w:pPr>
              <w:jc w:val="right"/>
              <w:rPr>
                <w:rFonts w:eastAsia="Times New Roman"/>
              </w:rPr>
            </w:pPr>
          </w:p>
        </w:tc>
      </w:tr>
      <w:tr w:rsidR="00000000">
        <w:trPr>
          <w:divId w:val="1760251702"/>
        </w:trPr>
        <w:tc>
          <w:tcPr>
            <w:tcW w:w="0" w:type="auto"/>
            <w:gridSpan w:val="3"/>
            <w:tcMar>
              <w:top w:w="30" w:type="dxa"/>
              <w:left w:w="20" w:type="dxa"/>
              <w:bottom w:w="30" w:type="dxa"/>
              <w:right w:w="20" w:type="dxa"/>
            </w:tcMar>
            <w:vAlign w:val="center"/>
            <w:hideMark/>
          </w:tcPr>
          <w:p w:rsidR="00000000" w:rsidRDefault="001F1FC8">
            <w:pPr>
              <w:rPr>
                <w:rFonts w:eastAsia="Times New Roman"/>
              </w:rPr>
            </w:pPr>
            <w:r>
              <w:rPr>
                <w:rFonts w:ascii="Arial" w:eastAsia="Times New Roman" w:hAnsi="Arial" w:cs="Arial"/>
                <w:color w:val="000000"/>
                <w:sz w:val="20"/>
                <w:szCs w:val="20"/>
              </w:rPr>
              <w:t>Under construction</w:t>
            </w:r>
          </w:p>
        </w:tc>
        <w:tc>
          <w:tcPr>
            <w:tcW w:w="0" w:type="auto"/>
            <w:gridSpan w:val="2"/>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20"/>
                <w:szCs w:val="20"/>
              </w:rPr>
              <w:t>— </w:t>
            </w:r>
          </w:p>
        </w:tc>
        <w:tc>
          <w:tcPr>
            <w:tcW w:w="0" w:type="auto"/>
            <w:tcMar>
              <w:top w:w="30" w:type="dxa"/>
              <w:left w:w="0" w:type="dxa"/>
              <w:bottom w:w="30" w:type="dxa"/>
              <w:right w:w="20" w:type="dxa"/>
            </w:tcMar>
            <w:vAlign w:val="center"/>
            <w:hideMark/>
          </w:tcPr>
          <w:p w:rsidR="00000000" w:rsidRDefault="001F1FC8">
            <w:pPr>
              <w:jc w:val="right"/>
              <w:rPr>
                <w:rFonts w:eastAsia="Times New Roman"/>
              </w:rPr>
            </w:pPr>
            <w:r>
              <w:rPr>
                <w:rFonts w:ascii="Arial" w:eastAsia="Times New Roman" w:hAnsi="Arial" w:cs="Arial"/>
                <w:color w:val="000000"/>
                <w:sz w:val="20"/>
                <w:szCs w:val="20"/>
              </w:rPr>
              <w:t>%</w:t>
            </w:r>
          </w:p>
        </w:tc>
        <w:tc>
          <w:tcPr>
            <w:tcW w:w="0" w:type="auto"/>
            <w:gridSpan w:val="2"/>
            <w:shd w:val="clear" w:color="auto" w:fill="D9D9D9"/>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b/>
                <w:bCs/>
                <w:color w:val="000000"/>
                <w:sz w:val="20"/>
                <w:szCs w:val="20"/>
              </w:rPr>
              <w:t>2,268</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20"/>
                <w:szCs w:val="20"/>
              </w:rPr>
              <w:t>5,762 </w:t>
            </w:r>
          </w:p>
        </w:tc>
        <w:tc>
          <w:tcPr>
            <w:tcW w:w="0" w:type="auto"/>
            <w:tcMar>
              <w:top w:w="30" w:type="dxa"/>
              <w:left w:w="0" w:type="dxa"/>
              <w:bottom w:w="30" w:type="dxa"/>
              <w:right w:w="20" w:type="dxa"/>
            </w:tcMar>
            <w:vAlign w:val="center"/>
            <w:hideMark/>
          </w:tcPr>
          <w:p w:rsidR="00000000" w:rsidRDefault="001F1FC8">
            <w:pPr>
              <w:jc w:val="right"/>
              <w:rPr>
                <w:rFonts w:eastAsia="Times New Roman"/>
              </w:rPr>
            </w:pPr>
          </w:p>
        </w:tc>
      </w:tr>
      <w:tr w:rsidR="00000000">
        <w:trPr>
          <w:divId w:val="1760251702"/>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1F1FC8">
            <w:pPr>
              <w:rPr>
                <w:rFonts w:eastAsia="Times New Roman"/>
              </w:rPr>
            </w:pPr>
            <w:r>
              <w:rPr>
                <w:rFonts w:ascii="Arial" w:eastAsia="Times New Roman" w:hAnsi="Arial" w:cs="Arial"/>
                <w:color w:val="000000"/>
                <w:sz w:val="20"/>
                <w:szCs w:val="20"/>
              </w:rPr>
              <w:t>Total property, plant and equipment</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1F1FC8">
            <w:pPr>
              <w:jc w:val="right"/>
              <w:rPr>
                <w:rFonts w:eastAsia="Times New Roman"/>
              </w:rPr>
            </w:pPr>
            <w:r>
              <w:rPr>
                <w:rFonts w:ascii="Arial" w:eastAsia="Times New Roman" w:hAnsi="Arial" w:cs="Arial"/>
                <w:color w:val="000000"/>
                <w:sz w:val="2"/>
                <w:szCs w:val="2"/>
              </w:rPr>
              <w:t> </w:t>
            </w:r>
          </w:p>
        </w:tc>
        <w:tc>
          <w:tcPr>
            <w:tcW w:w="0" w:type="auto"/>
            <w:gridSpan w:val="2"/>
            <w:tcBorders>
              <w:top w:val="single" w:sz="4" w:space="0" w:color="000000"/>
            </w:tcBorders>
            <w:shd w:val="clear" w:color="auto" w:fill="D9D9D9"/>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b/>
                <w:bCs/>
                <w:color w:val="000000"/>
                <w:sz w:val="20"/>
                <w:szCs w:val="20"/>
              </w:rPr>
              <w:t>126,040</w:t>
            </w:r>
            <w:r>
              <w:rPr>
                <w:rFonts w:ascii="Arial" w:eastAsia="Times New Roman" w:hAnsi="Arial" w:cs="Arial"/>
                <w:color w:val="000000"/>
                <w:sz w:val="20"/>
                <w:szCs w:val="20"/>
              </w:rPr>
              <w:t> </w:t>
            </w:r>
          </w:p>
        </w:tc>
        <w:tc>
          <w:tcPr>
            <w:tcW w:w="0" w:type="auto"/>
            <w:tcBorders>
              <w:top w:val="single" w:sz="4" w:space="0" w:color="000000"/>
            </w:tcBorders>
            <w:shd w:val="clear" w:color="auto" w:fill="D9D9D9"/>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20"/>
                <w:szCs w:val="20"/>
              </w:rPr>
              <w:t>118,450 </w:t>
            </w:r>
          </w:p>
        </w:tc>
        <w:tc>
          <w:tcPr>
            <w:tcW w:w="0" w:type="auto"/>
            <w:tcBorders>
              <w:top w:val="single" w:sz="4" w:space="0" w:color="000000"/>
            </w:tcBorders>
            <w:tcMar>
              <w:top w:w="30" w:type="dxa"/>
              <w:left w:w="0" w:type="dxa"/>
              <w:bottom w:w="30" w:type="dxa"/>
              <w:right w:w="20" w:type="dxa"/>
            </w:tcMar>
            <w:vAlign w:val="center"/>
            <w:hideMark/>
          </w:tcPr>
          <w:p w:rsidR="00000000" w:rsidRDefault="001F1FC8">
            <w:pPr>
              <w:jc w:val="right"/>
              <w:rPr>
                <w:rFonts w:eastAsia="Times New Roman"/>
              </w:rPr>
            </w:pPr>
          </w:p>
        </w:tc>
      </w:tr>
      <w:tr w:rsidR="00000000">
        <w:trPr>
          <w:divId w:val="1760251702"/>
        </w:trPr>
        <w:tc>
          <w:tcPr>
            <w:tcW w:w="0" w:type="auto"/>
            <w:gridSpan w:val="3"/>
            <w:tcMar>
              <w:top w:w="30" w:type="dxa"/>
              <w:left w:w="20" w:type="dxa"/>
              <w:bottom w:w="30" w:type="dxa"/>
              <w:right w:w="20" w:type="dxa"/>
            </w:tcMar>
            <w:vAlign w:val="center"/>
            <w:hideMark/>
          </w:tcPr>
          <w:p w:rsidR="00000000" w:rsidRDefault="001F1FC8">
            <w:pPr>
              <w:rPr>
                <w:rFonts w:eastAsia="Times New Roman"/>
              </w:rPr>
            </w:pPr>
            <w:r>
              <w:rPr>
                <w:rFonts w:ascii="Arial" w:eastAsia="Times New Roman" w:hAnsi="Arial" w:cs="Arial"/>
                <w:color w:val="000000"/>
                <w:sz w:val="20"/>
                <w:szCs w:val="20"/>
              </w:rPr>
              <w:t>Total accumulated depreciation</w:t>
            </w:r>
          </w:p>
        </w:tc>
        <w:tc>
          <w:tcPr>
            <w:tcW w:w="0" w:type="auto"/>
            <w:gridSpan w:val="3"/>
            <w:tcMar>
              <w:top w:w="0" w:type="dxa"/>
              <w:left w:w="20" w:type="dxa"/>
              <w:bottom w:w="0" w:type="dxa"/>
              <w:right w:w="20" w:type="dxa"/>
            </w:tcMar>
            <w:vAlign w:val="center"/>
            <w:hideMark/>
          </w:tcPr>
          <w:p w:rsidR="00000000" w:rsidRDefault="001F1FC8">
            <w:pPr>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b/>
                <w:bCs/>
                <w:color w:val="000000"/>
                <w:sz w:val="20"/>
                <w:szCs w:val="20"/>
              </w:rPr>
              <w:t>(25,973)</w:t>
            </w:r>
          </w:p>
        </w:tc>
        <w:tc>
          <w:tcPr>
            <w:tcW w:w="0" w:type="auto"/>
            <w:shd w:val="clear" w:color="auto" w:fill="D9D9D9"/>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20"/>
                <w:szCs w:val="20"/>
              </w:rPr>
              <w:t>(23,879)</w:t>
            </w:r>
          </w:p>
        </w:tc>
        <w:tc>
          <w:tcPr>
            <w:tcW w:w="0" w:type="auto"/>
            <w:tcMar>
              <w:top w:w="30" w:type="dxa"/>
              <w:left w:w="0" w:type="dxa"/>
              <w:bottom w:w="30" w:type="dxa"/>
              <w:right w:w="20" w:type="dxa"/>
            </w:tcMar>
            <w:vAlign w:val="center"/>
            <w:hideMark/>
          </w:tcPr>
          <w:p w:rsidR="00000000" w:rsidRDefault="001F1FC8">
            <w:pPr>
              <w:jc w:val="right"/>
              <w:rPr>
                <w:rFonts w:eastAsia="Times New Roman"/>
              </w:rPr>
            </w:pPr>
          </w:p>
        </w:tc>
      </w:tr>
      <w:tr w:rsidR="00000000">
        <w:trPr>
          <w:divId w:val="1760251702"/>
        </w:trPr>
        <w:tc>
          <w:tcPr>
            <w:tcW w:w="0" w:type="auto"/>
            <w:gridSpan w:val="3"/>
            <w:tcBorders>
              <w:top w:val="single" w:sz="4" w:space="0" w:color="000000"/>
              <w:bottom w:val="single" w:sz="8" w:space="0" w:color="000000"/>
            </w:tcBorders>
            <w:tcMar>
              <w:top w:w="30" w:type="dxa"/>
              <w:left w:w="20" w:type="dxa"/>
              <w:bottom w:w="30" w:type="dxa"/>
              <w:right w:w="20" w:type="dxa"/>
            </w:tcMar>
            <w:vAlign w:val="center"/>
            <w:hideMark/>
          </w:tcPr>
          <w:p w:rsidR="00000000" w:rsidRDefault="001F1FC8">
            <w:pPr>
              <w:rPr>
                <w:rFonts w:eastAsia="Times New Roman"/>
              </w:rPr>
            </w:pPr>
            <w:r>
              <w:rPr>
                <w:rFonts w:ascii="Arial" w:eastAsia="Times New Roman" w:hAnsi="Arial" w:cs="Arial"/>
                <w:color w:val="000000"/>
                <w:sz w:val="20"/>
                <w:szCs w:val="20"/>
              </w:rPr>
              <w:t>Property, plant and equipment, net</w:t>
            </w:r>
          </w:p>
        </w:tc>
        <w:tc>
          <w:tcPr>
            <w:tcW w:w="0" w:type="auto"/>
            <w:gridSpan w:val="3"/>
            <w:tcBorders>
              <w:top w:val="single" w:sz="4" w:space="0" w:color="000000"/>
              <w:bottom w:val="single" w:sz="8" w:space="0" w:color="000000"/>
            </w:tcBorders>
            <w:tcMar>
              <w:top w:w="30" w:type="dxa"/>
              <w:left w:w="20" w:type="dxa"/>
              <w:bottom w:w="30" w:type="dxa"/>
              <w:right w:w="20" w:type="dxa"/>
            </w:tcMar>
            <w:vAlign w:val="center"/>
            <w:hideMark/>
          </w:tcPr>
          <w:p w:rsidR="00000000" w:rsidRDefault="001F1FC8">
            <w:pPr>
              <w:jc w:val="right"/>
              <w:rPr>
                <w:rFonts w:eastAsia="Times New Roman"/>
              </w:rPr>
            </w:pPr>
            <w:r>
              <w:rPr>
                <w:rFonts w:ascii="Arial" w:eastAsia="Times New Roman" w:hAnsi="Arial" w:cs="Arial"/>
                <w:color w:val="000000"/>
                <w:sz w:val="2"/>
                <w:szCs w:val="2"/>
              </w:rPr>
              <w:t> </w:t>
            </w:r>
          </w:p>
        </w:tc>
        <w:tc>
          <w:tcPr>
            <w:tcW w:w="0" w:type="auto"/>
            <w:gridSpan w:val="2"/>
            <w:tcBorders>
              <w:top w:val="single" w:sz="4" w:space="0" w:color="000000"/>
              <w:bottom w:val="single" w:sz="8" w:space="0" w:color="000000"/>
            </w:tcBorders>
            <w:shd w:val="clear" w:color="auto" w:fill="D9D9D9"/>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b/>
                <w:bCs/>
                <w:color w:val="000000"/>
                <w:sz w:val="20"/>
                <w:szCs w:val="20"/>
              </w:rPr>
              <w:t>100,067</w:t>
            </w:r>
            <w:r>
              <w:rPr>
                <w:rFonts w:ascii="Arial" w:eastAsia="Times New Roman" w:hAnsi="Arial" w:cs="Arial"/>
                <w:color w:val="000000"/>
                <w:sz w:val="20"/>
                <w:szCs w:val="20"/>
              </w:rPr>
              <w:t> </w:t>
            </w:r>
          </w:p>
        </w:tc>
        <w:tc>
          <w:tcPr>
            <w:tcW w:w="0" w:type="auto"/>
            <w:tcBorders>
              <w:top w:val="single" w:sz="4" w:space="0" w:color="000000"/>
              <w:bottom w:val="single" w:sz="8" w:space="0" w:color="000000"/>
            </w:tcBorders>
            <w:shd w:val="clear" w:color="auto" w:fill="D9D9D9"/>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Borders>
              <w:top w:val="single" w:sz="4" w:space="0" w:color="000000"/>
              <w:bottom w:val="single" w:sz="8" w:space="0" w:color="000000"/>
            </w:tcBorders>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20"/>
                <w:szCs w:val="20"/>
              </w:rPr>
              <w:t>94,571 </w:t>
            </w:r>
          </w:p>
        </w:tc>
        <w:tc>
          <w:tcPr>
            <w:tcW w:w="0" w:type="auto"/>
            <w:tcBorders>
              <w:top w:val="single" w:sz="4" w:space="0" w:color="000000"/>
              <w:bottom w:val="single" w:sz="8" w:space="0" w:color="000000"/>
            </w:tcBorders>
            <w:tcMar>
              <w:top w:w="30" w:type="dxa"/>
              <w:left w:w="0" w:type="dxa"/>
              <w:bottom w:w="30" w:type="dxa"/>
              <w:right w:w="20" w:type="dxa"/>
            </w:tcMar>
            <w:vAlign w:val="center"/>
            <w:hideMark/>
          </w:tcPr>
          <w:p w:rsidR="00000000" w:rsidRDefault="001F1FC8">
            <w:pPr>
              <w:jc w:val="right"/>
              <w:rPr>
                <w:rFonts w:eastAsia="Times New Roman"/>
              </w:rPr>
            </w:pPr>
          </w:p>
        </w:tc>
      </w:tr>
    </w:tbl>
    <w:p w:rsidR="00000000" w:rsidRDefault="001F1FC8">
      <w:pPr>
        <w:divId w:val="1566336878"/>
        <w:rPr>
          <w:rFonts w:eastAsia="Times New Roman"/>
        </w:rPr>
      </w:pPr>
      <w:r>
        <w:rPr>
          <w:rFonts w:ascii="Arial" w:eastAsia="Times New Roman" w:hAnsi="Arial" w:cs="Arial"/>
          <w:i/>
          <w:iCs/>
          <w:color w:val="000000"/>
          <w:sz w:val="16"/>
          <w:szCs w:val="16"/>
        </w:rPr>
        <w:t>1 The measurement of weighted average depreciation rate excludes non-depreciable assets.</w:t>
      </w:r>
    </w:p>
    <w:p w:rsidR="00000000" w:rsidRDefault="001F1FC8">
      <w:pPr>
        <w:divId w:val="2147311865"/>
        <w:rPr>
          <w:rFonts w:eastAsia="Times New Roman"/>
        </w:rPr>
      </w:pPr>
    </w:p>
    <w:p w:rsidR="00000000" w:rsidRDefault="001F1FC8">
      <w:pPr>
        <w:jc w:val="center"/>
        <w:divId w:val="1661536557"/>
        <w:rPr>
          <w:rFonts w:eastAsia="Times New Roman"/>
        </w:rPr>
      </w:pPr>
      <w:r>
        <w:rPr>
          <w:rFonts w:ascii="Arial" w:eastAsia="Times New Roman" w:hAnsi="Arial" w:cs="Arial"/>
          <w:color w:val="000000"/>
          <w:sz w:val="20"/>
          <w:szCs w:val="20"/>
        </w:rPr>
        <w:t>129</w:t>
      </w:r>
    </w:p>
    <w:p w:rsidR="00000000" w:rsidRDefault="001F1FC8">
      <w:pPr>
        <w:rPr>
          <w:rFonts w:eastAsia="Times New Roman"/>
        </w:rPr>
      </w:pPr>
      <w:r>
        <w:rPr>
          <w:rFonts w:eastAsia="Times New Roman"/>
        </w:rPr>
        <w:pict>
          <v:rect id="_x0000_i1159" style="width:0;height:1.5pt" o:hralign="center" o:hrstd="t" o:hr="t" fillcolor="#a0a0a0" stroked="f"/>
        </w:pict>
      </w:r>
    </w:p>
    <w:p w:rsidR="00000000" w:rsidRDefault="001F1FC8">
      <w:pPr>
        <w:jc w:val="center"/>
        <w:divId w:val="1732073946"/>
        <w:rPr>
          <w:rFonts w:eastAsia="Times New Roman"/>
        </w:rPr>
      </w:pPr>
    </w:p>
    <w:p w:rsidR="00000000" w:rsidRDefault="001F1FC8">
      <w:pPr>
        <w:divId w:val="750929102"/>
        <w:rPr>
          <w:rFonts w:eastAsia="Times New Roman"/>
        </w:rPr>
      </w:pPr>
      <w:r>
        <w:rPr>
          <w:rFonts w:ascii="Arial" w:eastAsia="Times New Roman" w:hAnsi="Arial" w:cs="Arial"/>
          <w:color w:val="000000"/>
          <w:sz w:val="20"/>
          <w:szCs w:val="20"/>
        </w:rPr>
        <w:t>Depreciation expense for the years ended December 31, 2021, 2020 and 2019 was $3.5 billion, $3.4 billion and $3.0 billion,</w:t>
      </w:r>
      <w:r>
        <w:rPr>
          <w:rFonts w:ascii="Arial" w:eastAsia="Times New Roman" w:hAnsi="Arial" w:cs="Arial"/>
          <w:color w:val="000000"/>
          <w:sz w:val="20"/>
          <w:szCs w:val="20"/>
        </w:rPr>
        <w:t xml:space="preserve"> respectively.</w:t>
      </w:r>
    </w:p>
    <w:p w:rsidR="00000000" w:rsidRDefault="001F1FC8">
      <w:pPr>
        <w:divId w:val="768934045"/>
        <w:rPr>
          <w:rFonts w:eastAsia="Times New Roman"/>
        </w:rPr>
      </w:pPr>
    </w:p>
    <w:p w:rsidR="00000000" w:rsidRDefault="001F1FC8">
      <w:pPr>
        <w:divId w:val="111049716"/>
        <w:rPr>
          <w:rFonts w:eastAsia="Times New Roman"/>
        </w:rPr>
      </w:pPr>
      <w:r>
        <w:rPr>
          <w:rFonts w:ascii="Arial" w:eastAsia="Times New Roman" w:hAnsi="Arial" w:cs="Arial"/>
          <w:b/>
          <w:bCs/>
          <w:color w:val="000000"/>
          <w:sz w:val="20"/>
          <w:szCs w:val="20"/>
        </w:rPr>
        <w:t>IMPAIRMENT</w:t>
      </w:r>
    </w:p>
    <w:p w:rsidR="00000000" w:rsidRDefault="001F1FC8">
      <w:pPr>
        <w:divId w:val="1723751945"/>
        <w:rPr>
          <w:rFonts w:eastAsia="Times New Roman"/>
        </w:rPr>
      </w:pPr>
      <w:r>
        <w:rPr>
          <w:rFonts w:ascii="Arial" w:eastAsia="Times New Roman" w:hAnsi="Arial" w:cs="Arial"/>
          <w:b/>
          <w:bCs/>
          <w:color w:val="000000"/>
          <w:sz w:val="20"/>
          <w:szCs w:val="20"/>
        </w:rPr>
        <w:t>Access Northeast Project</w:t>
      </w:r>
    </w:p>
    <w:p w:rsidR="00000000" w:rsidRDefault="001F1FC8">
      <w:pPr>
        <w:divId w:val="346836813"/>
        <w:rPr>
          <w:rFonts w:eastAsia="Times New Roman"/>
        </w:rPr>
      </w:pPr>
      <w:r>
        <w:rPr>
          <w:rFonts w:ascii="Arial" w:eastAsia="Times New Roman" w:hAnsi="Arial" w:cs="Arial"/>
          <w:color w:val="000000"/>
          <w:sz w:val="20"/>
          <w:szCs w:val="20"/>
        </w:rPr>
        <w:t>In 2019, we announced that we terminated the agreements with Eversource Energy and National Grid USA Service Company, Inc. related to the Access Northeast project. As a result, we recognized an impairmen</w:t>
      </w:r>
      <w:r>
        <w:rPr>
          <w:rFonts w:ascii="Arial" w:eastAsia="Times New Roman" w:hAnsi="Arial" w:cs="Arial"/>
          <w:color w:val="000000"/>
          <w:sz w:val="20"/>
          <w:szCs w:val="20"/>
        </w:rPr>
        <w:t>t loss of $105 million for the year ended December 31, 2019, which is included in Impairment of long-lived assets in the Consolidated Statements of Earnings. Access Northeast is part of our Gas Transmission and Midstream segment.</w:t>
      </w:r>
    </w:p>
    <w:p w:rsidR="00000000" w:rsidRDefault="001F1FC8">
      <w:pPr>
        <w:divId w:val="1732850519"/>
        <w:rPr>
          <w:rFonts w:eastAsia="Times New Roman"/>
        </w:rPr>
      </w:pPr>
    </w:p>
    <w:p w:rsidR="00000000" w:rsidRDefault="001F1FC8">
      <w:pPr>
        <w:divId w:val="758215071"/>
        <w:rPr>
          <w:rFonts w:eastAsia="Times New Roman"/>
        </w:rPr>
      </w:pPr>
      <w:r>
        <w:rPr>
          <w:rFonts w:ascii="Arial" w:eastAsia="Times New Roman" w:hAnsi="Arial" w:cs="Arial"/>
          <w:color w:val="000000"/>
          <w:sz w:val="20"/>
          <w:szCs w:val="20"/>
        </w:rPr>
        <w:t>Impairment charges were based on the amount by which the carrying values of the assets exceeded fair value, determined using expected discounted future cash flows.</w:t>
      </w:r>
    </w:p>
    <w:p w:rsidR="00000000" w:rsidRDefault="001F1FC8">
      <w:pPr>
        <w:divId w:val="2059431115"/>
        <w:rPr>
          <w:rFonts w:eastAsia="Times New Roman"/>
        </w:rPr>
      </w:pPr>
    </w:p>
    <w:p w:rsidR="00000000" w:rsidRDefault="001F1FC8">
      <w:pPr>
        <w:jc w:val="both"/>
        <w:rPr>
          <w:rFonts w:eastAsia="Times New Roman"/>
        </w:rPr>
      </w:pPr>
      <w:r>
        <w:rPr>
          <w:rFonts w:ascii="Arial" w:eastAsia="Times New Roman" w:hAnsi="Arial" w:cs="Arial"/>
          <w:b/>
          <w:bCs/>
          <w:color w:val="000000"/>
          <w:sz w:val="26"/>
          <w:szCs w:val="26"/>
        </w:rPr>
        <w:t>12.  VARIABLE INTEREST ENTITIES</w:t>
      </w:r>
    </w:p>
    <w:p w:rsidR="00000000" w:rsidRDefault="001F1FC8">
      <w:pPr>
        <w:divId w:val="1506749676"/>
        <w:rPr>
          <w:rFonts w:eastAsia="Times New Roman"/>
        </w:rPr>
      </w:pPr>
      <w:r>
        <w:rPr>
          <w:rFonts w:ascii="Arial" w:eastAsia="Times New Roman" w:hAnsi="Arial" w:cs="Arial"/>
          <w:color w:val="000000"/>
          <w:sz w:val="20"/>
          <w:szCs w:val="20"/>
        </w:rPr>
        <w:t> </w:t>
      </w:r>
    </w:p>
    <w:p w:rsidR="00000000" w:rsidRDefault="001F1FC8">
      <w:pPr>
        <w:divId w:val="1811284623"/>
        <w:rPr>
          <w:rFonts w:eastAsia="Times New Roman"/>
        </w:rPr>
      </w:pPr>
      <w:r>
        <w:rPr>
          <w:rFonts w:ascii="Arial" w:eastAsia="Times New Roman" w:hAnsi="Arial" w:cs="Arial"/>
          <w:b/>
          <w:bCs/>
          <w:color w:val="000000"/>
          <w:sz w:val="20"/>
          <w:szCs w:val="20"/>
        </w:rPr>
        <w:t>CONSOLIDATED VARIABLE INTEREST ENTITIES</w:t>
      </w:r>
    </w:p>
    <w:p w:rsidR="00000000" w:rsidRDefault="001F1FC8">
      <w:pPr>
        <w:divId w:val="686712373"/>
        <w:rPr>
          <w:rFonts w:eastAsia="Times New Roman"/>
        </w:rPr>
      </w:pPr>
      <w:r>
        <w:rPr>
          <w:rFonts w:ascii="Arial" w:eastAsia="Times New Roman" w:hAnsi="Arial" w:cs="Arial"/>
          <w:color w:val="000000"/>
          <w:sz w:val="20"/>
          <w:szCs w:val="20"/>
        </w:rPr>
        <w:t>Our consolidated</w:t>
      </w:r>
      <w:r>
        <w:rPr>
          <w:rFonts w:ascii="Arial" w:eastAsia="Times New Roman" w:hAnsi="Arial" w:cs="Arial"/>
          <w:color w:val="000000"/>
          <w:sz w:val="20"/>
          <w:szCs w:val="20"/>
        </w:rPr>
        <w:t xml:space="preserve"> VIEs consist of legal entities where we are the primary beneficiary. We are the primary beneficiary when our variable interest(s) provide us with (i) the power to direct the activities of the VIE that most significantly impact the VIE’s economic performan</w:t>
      </w:r>
      <w:r>
        <w:rPr>
          <w:rFonts w:ascii="Arial" w:eastAsia="Times New Roman" w:hAnsi="Arial" w:cs="Arial"/>
          <w:color w:val="000000"/>
          <w:sz w:val="20"/>
          <w:szCs w:val="20"/>
        </w:rPr>
        <w:t xml:space="preserve">ce and (ii) the obligation to absorb losses of the VIE or the right to receive benefits from the VIE that could potentially be significant to the VIE. We determine whether we are the primary beneficiary of a VIE by considering qualitative and quantitative </w:t>
      </w:r>
      <w:r>
        <w:rPr>
          <w:rFonts w:ascii="Arial" w:eastAsia="Times New Roman" w:hAnsi="Arial" w:cs="Arial"/>
          <w:color w:val="000000"/>
          <w:sz w:val="20"/>
          <w:szCs w:val="20"/>
        </w:rPr>
        <w:t>factors, including, but not limited to: decision-making responsibilities, the VIE capital structure, risk and rewards sharing, contractual agreements with the VIE, voting rights and level of involvement of other parties.</w:t>
      </w:r>
    </w:p>
    <w:p w:rsidR="00000000" w:rsidRDefault="001F1FC8">
      <w:pPr>
        <w:divId w:val="469980988"/>
        <w:rPr>
          <w:rFonts w:eastAsia="Times New Roman"/>
        </w:rPr>
      </w:pPr>
    </w:p>
    <w:p w:rsidR="00000000" w:rsidRDefault="001F1FC8">
      <w:pPr>
        <w:divId w:val="1300303641"/>
        <w:rPr>
          <w:rFonts w:eastAsia="Times New Roman"/>
        </w:rPr>
      </w:pPr>
      <w:r>
        <w:rPr>
          <w:rFonts w:ascii="Arial" w:eastAsia="Times New Roman" w:hAnsi="Arial" w:cs="Arial"/>
          <w:color w:val="000000"/>
          <w:sz w:val="20"/>
          <w:szCs w:val="20"/>
        </w:rPr>
        <w:t>The following table includes asse</w:t>
      </w:r>
      <w:r>
        <w:rPr>
          <w:rFonts w:ascii="Arial" w:eastAsia="Times New Roman" w:hAnsi="Arial" w:cs="Arial"/>
          <w:color w:val="000000"/>
          <w:sz w:val="20"/>
          <w:szCs w:val="20"/>
        </w:rPr>
        <w:t>ts to be used to settle liabilities of our consolidated VIEs and liabilities of our consolidated VIEs for which creditors do not have recourse to our general credit as the primary beneficiary. These assets and liabilities are included in the Consolidated S</w:t>
      </w:r>
      <w:r>
        <w:rPr>
          <w:rFonts w:ascii="Arial" w:eastAsia="Times New Roman" w:hAnsi="Arial" w:cs="Arial"/>
          <w:color w:val="000000"/>
          <w:sz w:val="20"/>
          <w:szCs w:val="20"/>
        </w:rPr>
        <w:t>tatements of Financial Position.</w:t>
      </w:r>
    </w:p>
    <w:tbl>
      <w:tblPr>
        <w:tblW w:w="5000" w:type="pct"/>
        <w:tblCellMar>
          <w:top w:w="15" w:type="dxa"/>
          <w:left w:w="15" w:type="dxa"/>
          <w:bottom w:w="15" w:type="dxa"/>
          <w:right w:w="15" w:type="dxa"/>
        </w:tblCellMar>
        <w:tblLook w:val="04A0" w:firstRow="1" w:lastRow="0" w:firstColumn="1" w:lastColumn="0" w:noHBand="0" w:noVBand="1"/>
      </w:tblPr>
      <w:tblGrid>
        <w:gridCol w:w="69"/>
        <w:gridCol w:w="6473"/>
        <w:gridCol w:w="37"/>
        <w:gridCol w:w="69"/>
        <w:gridCol w:w="812"/>
        <w:gridCol w:w="36"/>
        <w:gridCol w:w="69"/>
        <w:gridCol w:w="705"/>
        <w:gridCol w:w="36"/>
      </w:tblGrid>
      <w:tr w:rsidR="00000000">
        <w:trPr>
          <w:divId w:val="1180047861"/>
        </w:trPr>
        <w:tc>
          <w:tcPr>
            <w:tcW w:w="50" w:type="pct"/>
            <w:vAlign w:val="center"/>
            <w:hideMark/>
          </w:tcPr>
          <w:p w:rsidR="00000000" w:rsidRDefault="001F1FC8">
            <w:pPr>
              <w:rPr>
                <w:rFonts w:eastAsia="Times New Roman"/>
              </w:rPr>
            </w:pPr>
          </w:p>
        </w:tc>
        <w:tc>
          <w:tcPr>
            <w:tcW w:w="3903"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c>
          <w:tcPr>
            <w:tcW w:w="50" w:type="pct"/>
            <w:vAlign w:val="center"/>
            <w:hideMark/>
          </w:tcPr>
          <w:p w:rsidR="00000000" w:rsidRDefault="001F1FC8">
            <w:pPr>
              <w:rPr>
                <w:rFonts w:eastAsia="Times New Roman"/>
                <w:sz w:val="20"/>
                <w:szCs w:val="20"/>
              </w:rPr>
            </w:pPr>
          </w:p>
        </w:tc>
        <w:tc>
          <w:tcPr>
            <w:tcW w:w="497"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c>
          <w:tcPr>
            <w:tcW w:w="50" w:type="pct"/>
            <w:vAlign w:val="center"/>
            <w:hideMark/>
          </w:tcPr>
          <w:p w:rsidR="00000000" w:rsidRDefault="001F1FC8">
            <w:pPr>
              <w:rPr>
                <w:rFonts w:eastAsia="Times New Roman"/>
                <w:sz w:val="20"/>
                <w:szCs w:val="20"/>
              </w:rPr>
            </w:pPr>
          </w:p>
        </w:tc>
        <w:tc>
          <w:tcPr>
            <w:tcW w:w="433"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r>
      <w:tr w:rsidR="00000000">
        <w:trPr>
          <w:divId w:val="1180047861"/>
        </w:trPr>
        <w:tc>
          <w:tcPr>
            <w:tcW w:w="0" w:type="auto"/>
            <w:gridSpan w:val="3"/>
            <w:tcMar>
              <w:top w:w="30" w:type="dxa"/>
              <w:left w:w="20" w:type="dxa"/>
              <w:bottom w:w="30" w:type="dxa"/>
              <w:right w:w="20" w:type="dxa"/>
            </w:tcMar>
            <w:vAlign w:val="center"/>
            <w:hideMark/>
          </w:tcPr>
          <w:p w:rsidR="00000000" w:rsidRDefault="001F1FC8">
            <w:pPr>
              <w:rPr>
                <w:rFonts w:eastAsia="Times New Roman"/>
              </w:rPr>
            </w:pPr>
            <w:r>
              <w:rPr>
                <w:rFonts w:ascii="Arial" w:eastAsia="Times New Roman" w:hAnsi="Arial" w:cs="Arial"/>
                <w:color w:val="000000"/>
                <w:sz w:val="20"/>
                <w:szCs w:val="20"/>
              </w:rPr>
              <w:t>December 31,</w:t>
            </w:r>
          </w:p>
        </w:tc>
        <w:tc>
          <w:tcPr>
            <w:tcW w:w="0" w:type="auto"/>
            <w:gridSpan w:val="3"/>
            <w:tcMar>
              <w:top w:w="30" w:type="dxa"/>
              <w:left w:w="20" w:type="dxa"/>
              <w:bottom w:w="30" w:type="dxa"/>
              <w:right w:w="20" w:type="dxa"/>
            </w:tcMar>
            <w:vAlign w:val="center"/>
            <w:hideMark/>
          </w:tcPr>
          <w:p w:rsidR="00000000" w:rsidRDefault="001F1FC8">
            <w:pPr>
              <w:jc w:val="right"/>
              <w:rPr>
                <w:rFonts w:eastAsia="Times New Roman"/>
              </w:rPr>
            </w:pPr>
            <w:r>
              <w:rPr>
                <w:rFonts w:ascii="Arial" w:eastAsia="Times New Roman" w:hAnsi="Arial" w:cs="Arial"/>
                <w:b/>
                <w:bCs/>
                <w:color w:val="000000"/>
                <w:sz w:val="20"/>
                <w:szCs w:val="20"/>
              </w:rPr>
              <w:t>202</w:t>
            </w:r>
            <w:r>
              <w:rPr>
                <w:rFonts w:ascii="Arial" w:eastAsia="Times New Roman" w:hAnsi="Arial" w:cs="Arial"/>
                <w:b/>
                <w:bCs/>
                <w:color w:val="000000"/>
                <w:sz w:val="20"/>
                <w:szCs w:val="20"/>
              </w:rPr>
              <w:t>1</w:t>
            </w:r>
            <w:r>
              <w:rPr>
                <w:rFonts w:ascii="Arial" w:eastAsia="Times New Roman" w:hAnsi="Arial" w:cs="Arial"/>
                <w:b/>
                <w:bCs/>
                <w:color w:val="000000"/>
                <w:sz w:val="10"/>
                <w:szCs w:val="10"/>
              </w:rPr>
              <w:t>1</w:t>
            </w:r>
          </w:p>
        </w:tc>
        <w:tc>
          <w:tcPr>
            <w:tcW w:w="0" w:type="auto"/>
            <w:gridSpan w:val="3"/>
            <w:tcMar>
              <w:top w:w="30" w:type="dxa"/>
              <w:left w:w="20" w:type="dxa"/>
              <w:bottom w:w="30" w:type="dxa"/>
              <w:right w:w="20" w:type="dxa"/>
            </w:tcMar>
            <w:vAlign w:val="center"/>
            <w:hideMark/>
          </w:tcPr>
          <w:p w:rsidR="00000000" w:rsidRDefault="001F1FC8">
            <w:pPr>
              <w:jc w:val="right"/>
              <w:rPr>
                <w:rFonts w:eastAsia="Times New Roman"/>
              </w:rPr>
            </w:pPr>
            <w:r>
              <w:rPr>
                <w:rFonts w:ascii="Arial" w:eastAsia="Times New Roman" w:hAnsi="Arial" w:cs="Arial"/>
                <w:color w:val="000000"/>
                <w:sz w:val="20"/>
                <w:szCs w:val="20"/>
              </w:rPr>
              <w:t>202</w:t>
            </w:r>
            <w:r>
              <w:rPr>
                <w:rFonts w:ascii="Arial" w:eastAsia="Times New Roman" w:hAnsi="Arial" w:cs="Arial"/>
                <w:color w:val="000000"/>
                <w:sz w:val="20"/>
                <w:szCs w:val="20"/>
              </w:rPr>
              <w:t>0</w:t>
            </w:r>
            <w:r>
              <w:rPr>
                <w:rFonts w:ascii="Arial" w:eastAsia="Times New Roman" w:hAnsi="Arial" w:cs="Arial"/>
                <w:color w:val="000000"/>
                <w:sz w:val="10"/>
                <w:szCs w:val="10"/>
              </w:rPr>
              <w:t>1</w:t>
            </w:r>
          </w:p>
        </w:tc>
      </w:tr>
      <w:tr w:rsidR="00000000">
        <w:trPr>
          <w:divId w:val="1180047861"/>
        </w:trPr>
        <w:tc>
          <w:tcPr>
            <w:tcW w:w="0" w:type="auto"/>
            <w:gridSpan w:val="3"/>
            <w:tcBorders>
              <w:top w:val="single" w:sz="4" w:space="0" w:color="000000"/>
            </w:tcBorders>
            <w:tcMar>
              <w:top w:w="30" w:type="dxa"/>
              <w:left w:w="20" w:type="dxa"/>
              <w:bottom w:w="30" w:type="dxa"/>
              <w:right w:w="20" w:type="dxa"/>
            </w:tcMar>
            <w:hideMark/>
          </w:tcPr>
          <w:p w:rsidR="00000000" w:rsidRDefault="001F1FC8">
            <w:pPr>
              <w:rPr>
                <w:rFonts w:eastAsia="Times New Roman"/>
              </w:rPr>
            </w:pPr>
            <w:r>
              <w:rPr>
                <w:rFonts w:ascii="Arial" w:eastAsia="Times New Roman" w:hAnsi="Arial" w:cs="Arial"/>
                <w:i/>
                <w:iCs/>
                <w:color w:val="000000"/>
                <w:sz w:val="16"/>
                <w:szCs w:val="16"/>
              </w:rPr>
              <w:t>(millions of Canadian dollars)</w:t>
            </w:r>
          </w:p>
        </w:tc>
        <w:tc>
          <w:tcPr>
            <w:tcW w:w="0" w:type="auto"/>
            <w:gridSpan w:val="3"/>
            <w:tcBorders>
              <w:top w:val="single" w:sz="4" w:space="0" w:color="000000"/>
            </w:tcBorders>
            <w:shd w:val="clear" w:color="auto" w:fill="D9D9D9"/>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2"/>
                <w:szCs w:val="2"/>
              </w:rPr>
              <w:t> </w:t>
            </w: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2"/>
                <w:szCs w:val="2"/>
              </w:rPr>
              <w:t> </w:t>
            </w:r>
          </w:p>
        </w:tc>
      </w:tr>
      <w:tr w:rsidR="00000000">
        <w:trPr>
          <w:divId w:val="1180047861"/>
        </w:trPr>
        <w:tc>
          <w:tcPr>
            <w:tcW w:w="0" w:type="auto"/>
            <w:gridSpan w:val="3"/>
            <w:tcMar>
              <w:top w:w="30" w:type="dxa"/>
              <w:left w:w="20" w:type="dxa"/>
              <w:bottom w:w="30" w:type="dxa"/>
              <w:right w:w="20" w:type="dxa"/>
            </w:tcMar>
            <w:hideMark/>
          </w:tcPr>
          <w:p w:rsidR="00000000" w:rsidRDefault="001F1FC8">
            <w:pPr>
              <w:rPr>
                <w:rFonts w:eastAsia="Times New Roman"/>
              </w:rPr>
            </w:pPr>
            <w:r>
              <w:rPr>
                <w:rFonts w:ascii="Arial" w:eastAsia="Times New Roman" w:hAnsi="Arial" w:cs="Arial"/>
                <w:b/>
                <w:bCs/>
                <w:color w:val="000000"/>
                <w:sz w:val="20"/>
                <w:szCs w:val="20"/>
              </w:rPr>
              <w:t>Assets</w:t>
            </w:r>
          </w:p>
        </w:tc>
        <w:tc>
          <w:tcPr>
            <w:tcW w:w="0" w:type="auto"/>
            <w:gridSpan w:val="3"/>
            <w:shd w:val="clear" w:color="auto" w:fill="D9D9D9"/>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2"/>
                <w:szCs w:val="2"/>
              </w:rPr>
              <w:t> </w:t>
            </w:r>
          </w:p>
        </w:tc>
        <w:tc>
          <w:tcPr>
            <w:tcW w:w="0" w:type="auto"/>
            <w:gridSpan w:val="3"/>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2"/>
                <w:szCs w:val="2"/>
              </w:rPr>
              <w:t> </w:t>
            </w:r>
          </w:p>
        </w:tc>
      </w:tr>
      <w:tr w:rsidR="00000000">
        <w:trPr>
          <w:divId w:val="1180047861"/>
        </w:trPr>
        <w:tc>
          <w:tcPr>
            <w:tcW w:w="0" w:type="auto"/>
            <w:gridSpan w:val="3"/>
            <w:tcMar>
              <w:top w:w="30" w:type="dxa"/>
              <w:left w:w="20" w:type="dxa"/>
              <w:bottom w:w="30" w:type="dxa"/>
              <w:right w:w="20" w:type="dxa"/>
            </w:tcMar>
            <w:hideMark/>
          </w:tcPr>
          <w:p w:rsidR="00000000" w:rsidRDefault="001F1FC8">
            <w:pPr>
              <w:rPr>
                <w:rFonts w:eastAsia="Times New Roman"/>
              </w:rPr>
            </w:pPr>
            <w:r>
              <w:rPr>
                <w:rFonts w:ascii="Arial" w:eastAsia="Times New Roman" w:hAnsi="Arial" w:cs="Arial"/>
                <w:color w:val="000000"/>
                <w:sz w:val="20"/>
                <w:szCs w:val="20"/>
              </w:rPr>
              <w:t>Cash and cash equivalents</w:t>
            </w:r>
          </w:p>
        </w:tc>
        <w:tc>
          <w:tcPr>
            <w:tcW w:w="0" w:type="auto"/>
            <w:gridSpan w:val="2"/>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20"/>
                <w:szCs w:val="20"/>
              </w:rPr>
              <w:t>247</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215 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r>
      <w:tr w:rsidR="00000000">
        <w:trPr>
          <w:divId w:val="1180047861"/>
        </w:trPr>
        <w:tc>
          <w:tcPr>
            <w:tcW w:w="0" w:type="auto"/>
            <w:gridSpan w:val="3"/>
            <w:tcMar>
              <w:top w:w="30" w:type="dxa"/>
              <w:left w:w="20" w:type="dxa"/>
              <w:bottom w:w="30" w:type="dxa"/>
              <w:right w:w="20" w:type="dxa"/>
            </w:tcMar>
            <w:hideMark/>
          </w:tcPr>
          <w:p w:rsidR="00000000" w:rsidRDefault="001F1FC8">
            <w:pPr>
              <w:rPr>
                <w:rFonts w:eastAsia="Times New Roman"/>
              </w:rPr>
            </w:pPr>
            <w:r>
              <w:rPr>
                <w:rFonts w:ascii="Arial" w:eastAsia="Times New Roman" w:hAnsi="Arial" w:cs="Arial"/>
                <w:color w:val="000000"/>
                <w:sz w:val="20"/>
                <w:szCs w:val="20"/>
              </w:rPr>
              <w:t>Restricted cash</w:t>
            </w:r>
          </w:p>
        </w:tc>
        <w:tc>
          <w:tcPr>
            <w:tcW w:w="0" w:type="auto"/>
            <w:gridSpan w:val="2"/>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20"/>
                <w:szCs w:val="20"/>
              </w:rPr>
              <w:t>4</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1 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r>
      <w:tr w:rsidR="00000000">
        <w:trPr>
          <w:divId w:val="1180047861"/>
        </w:trPr>
        <w:tc>
          <w:tcPr>
            <w:tcW w:w="0" w:type="auto"/>
            <w:gridSpan w:val="3"/>
            <w:tcMar>
              <w:top w:w="30" w:type="dxa"/>
              <w:left w:w="20" w:type="dxa"/>
              <w:bottom w:w="30" w:type="dxa"/>
              <w:right w:w="20" w:type="dxa"/>
            </w:tcMar>
            <w:hideMark/>
          </w:tcPr>
          <w:p w:rsidR="00000000" w:rsidRDefault="001F1FC8">
            <w:pPr>
              <w:rPr>
                <w:rFonts w:eastAsia="Times New Roman"/>
              </w:rPr>
            </w:pPr>
            <w:r>
              <w:rPr>
                <w:rFonts w:ascii="Arial" w:eastAsia="Times New Roman" w:hAnsi="Arial" w:cs="Arial"/>
                <w:color w:val="000000"/>
                <w:sz w:val="20"/>
                <w:szCs w:val="20"/>
              </w:rPr>
              <w:t>Accounts receivable and other</w:t>
            </w:r>
          </w:p>
        </w:tc>
        <w:tc>
          <w:tcPr>
            <w:tcW w:w="0" w:type="auto"/>
            <w:gridSpan w:val="2"/>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20"/>
                <w:szCs w:val="20"/>
              </w:rPr>
              <w:t>99</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65 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r>
      <w:tr w:rsidR="00000000">
        <w:trPr>
          <w:divId w:val="1180047861"/>
        </w:trPr>
        <w:tc>
          <w:tcPr>
            <w:tcW w:w="0" w:type="auto"/>
            <w:gridSpan w:val="3"/>
            <w:vAlign w:val="center"/>
            <w:hideMark/>
          </w:tcPr>
          <w:p w:rsidR="00000000" w:rsidRDefault="001F1FC8">
            <w:pPr>
              <w:jc w:val="right"/>
              <w:rPr>
                <w:rFonts w:eastAsia="Times New Roman"/>
                <w:sz w:val="20"/>
                <w:szCs w:val="20"/>
              </w:rPr>
            </w:pPr>
          </w:p>
        </w:tc>
        <w:tc>
          <w:tcPr>
            <w:tcW w:w="0" w:type="auto"/>
            <w:gridSpan w:val="3"/>
            <w:vAlign w:val="center"/>
            <w:hideMark/>
          </w:tcPr>
          <w:p w:rsidR="00000000" w:rsidRDefault="001F1FC8">
            <w:pPr>
              <w:rPr>
                <w:rFonts w:eastAsia="Times New Roman"/>
                <w:sz w:val="20"/>
                <w:szCs w:val="20"/>
              </w:rPr>
            </w:pPr>
          </w:p>
        </w:tc>
        <w:tc>
          <w:tcPr>
            <w:tcW w:w="0" w:type="auto"/>
            <w:gridSpan w:val="3"/>
            <w:vAlign w:val="center"/>
            <w:hideMark/>
          </w:tcPr>
          <w:p w:rsidR="00000000" w:rsidRDefault="001F1FC8">
            <w:pPr>
              <w:rPr>
                <w:rFonts w:eastAsia="Times New Roman"/>
                <w:sz w:val="20"/>
                <w:szCs w:val="20"/>
              </w:rPr>
            </w:pPr>
          </w:p>
        </w:tc>
      </w:tr>
      <w:tr w:rsidR="00000000">
        <w:trPr>
          <w:divId w:val="1180047861"/>
        </w:trPr>
        <w:tc>
          <w:tcPr>
            <w:tcW w:w="0" w:type="auto"/>
            <w:gridSpan w:val="3"/>
            <w:tcMar>
              <w:top w:w="30" w:type="dxa"/>
              <w:left w:w="20" w:type="dxa"/>
              <w:bottom w:w="30" w:type="dxa"/>
              <w:right w:w="20" w:type="dxa"/>
            </w:tcMar>
            <w:hideMark/>
          </w:tcPr>
          <w:p w:rsidR="00000000" w:rsidRDefault="001F1FC8">
            <w:pPr>
              <w:rPr>
                <w:rFonts w:eastAsia="Times New Roman"/>
              </w:rPr>
            </w:pPr>
            <w:r>
              <w:rPr>
                <w:rFonts w:ascii="Arial" w:eastAsia="Times New Roman" w:hAnsi="Arial" w:cs="Arial"/>
                <w:color w:val="000000"/>
                <w:sz w:val="20"/>
                <w:szCs w:val="20"/>
              </w:rPr>
              <w:t>Inventory</w:t>
            </w:r>
          </w:p>
        </w:tc>
        <w:tc>
          <w:tcPr>
            <w:tcW w:w="0" w:type="auto"/>
            <w:gridSpan w:val="2"/>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20"/>
                <w:szCs w:val="20"/>
              </w:rPr>
              <w:t>9</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7 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r>
      <w:tr w:rsidR="00000000">
        <w:trPr>
          <w:divId w:val="1180047861"/>
        </w:trPr>
        <w:tc>
          <w:tcPr>
            <w:tcW w:w="0" w:type="auto"/>
            <w:gridSpan w:val="3"/>
            <w:tcBorders>
              <w:top w:val="single" w:sz="4" w:space="0" w:color="000000"/>
            </w:tcBorders>
            <w:tcMar>
              <w:top w:w="30" w:type="dxa"/>
              <w:left w:w="20" w:type="dxa"/>
              <w:bottom w:w="30" w:type="dxa"/>
              <w:right w:w="20" w:type="dxa"/>
            </w:tcMar>
            <w:hideMark/>
          </w:tcPr>
          <w:p w:rsidR="00000000" w:rsidRDefault="001F1FC8">
            <w:pPr>
              <w:rPr>
                <w:rFonts w:eastAsia="Times New Roman"/>
              </w:rPr>
            </w:pPr>
            <w:r>
              <w:rPr>
                <w:rFonts w:ascii="Arial" w:eastAsia="Times New Roman" w:hAnsi="Arial" w:cs="Arial"/>
                <w:color w:val="000000"/>
                <w:sz w:val="2"/>
                <w:szCs w:val="2"/>
              </w:rPr>
              <w:t> </w:t>
            </w:r>
          </w:p>
        </w:tc>
        <w:tc>
          <w:tcPr>
            <w:tcW w:w="0" w:type="auto"/>
            <w:gridSpan w:val="2"/>
            <w:tcBorders>
              <w:top w:val="single" w:sz="4" w:space="0" w:color="000000"/>
            </w:tcBorders>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20"/>
                <w:szCs w:val="20"/>
              </w:rPr>
              <w:t>359</w:t>
            </w:r>
            <w:r>
              <w:rPr>
                <w:rFonts w:ascii="Arial" w:eastAsia="Times New Roman" w:hAnsi="Arial" w:cs="Arial"/>
                <w:color w:val="000000"/>
                <w:sz w:val="20"/>
                <w:szCs w:val="20"/>
              </w:rPr>
              <w:t> </w:t>
            </w:r>
          </w:p>
        </w:tc>
        <w:tc>
          <w:tcPr>
            <w:tcW w:w="0" w:type="auto"/>
            <w:tcBorders>
              <w:top w:val="single" w:sz="4" w:space="0" w:color="000000"/>
            </w:tcBorders>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288 </w:t>
            </w:r>
          </w:p>
        </w:tc>
        <w:tc>
          <w:tcPr>
            <w:tcW w:w="0" w:type="auto"/>
            <w:tcBorders>
              <w:top w:val="single" w:sz="4" w:space="0" w:color="000000"/>
            </w:tcBorders>
            <w:tcMar>
              <w:top w:w="30" w:type="dxa"/>
              <w:left w:w="0" w:type="dxa"/>
              <w:bottom w:w="30" w:type="dxa"/>
              <w:right w:w="20" w:type="dxa"/>
            </w:tcMar>
            <w:vAlign w:val="bottom"/>
            <w:hideMark/>
          </w:tcPr>
          <w:p w:rsidR="00000000" w:rsidRDefault="001F1FC8">
            <w:pPr>
              <w:jc w:val="right"/>
              <w:rPr>
                <w:rFonts w:eastAsia="Times New Roman"/>
              </w:rPr>
            </w:pPr>
          </w:p>
        </w:tc>
      </w:tr>
      <w:tr w:rsidR="00000000">
        <w:trPr>
          <w:divId w:val="1180047861"/>
        </w:trPr>
        <w:tc>
          <w:tcPr>
            <w:tcW w:w="0" w:type="auto"/>
            <w:gridSpan w:val="3"/>
            <w:tcMar>
              <w:top w:w="30" w:type="dxa"/>
              <w:left w:w="20" w:type="dxa"/>
              <w:bottom w:w="30" w:type="dxa"/>
              <w:right w:w="20" w:type="dxa"/>
            </w:tcMar>
            <w:hideMark/>
          </w:tcPr>
          <w:p w:rsidR="00000000" w:rsidRDefault="001F1FC8">
            <w:pPr>
              <w:rPr>
                <w:rFonts w:eastAsia="Times New Roman"/>
              </w:rPr>
            </w:pPr>
            <w:r>
              <w:rPr>
                <w:rFonts w:ascii="Arial" w:eastAsia="Times New Roman" w:hAnsi="Arial" w:cs="Arial"/>
                <w:color w:val="000000"/>
                <w:sz w:val="20"/>
                <w:szCs w:val="20"/>
              </w:rPr>
              <w:t>Property, plant and equipment, net</w:t>
            </w:r>
          </w:p>
        </w:tc>
        <w:tc>
          <w:tcPr>
            <w:tcW w:w="0" w:type="auto"/>
            <w:gridSpan w:val="2"/>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20"/>
                <w:szCs w:val="20"/>
              </w:rPr>
              <w:t>3,052</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3,201 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r>
      <w:tr w:rsidR="00000000">
        <w:trPr>
          <w:divId w:val="1180047861"/>
        </w:trPr>
        <w:tc>
          <w:tcPr>
            <w:tcW w:w="0" w:type="auto"/>
            <w:gridSpan w:val="3"/>
            <w:tcMar>
              <w:top w:w="30" w:type="dxa"/>
              <w:left w:w="20" w:type="dxa"/>
              <w:bottom w:w="30" w:type="dxa"/>
              <w:right w:w="20" w:type="dxa"/>
            </w:tcMar>
            <w:hideMark/>
          </w:tcPr>
          <w:p w:rsidR="00000000" w:rsidRDefault="001F1FC8">
            <w:pPr>
              <w:rPr>
                <w:rFonts w:eastAsia="Times New Roman"/>
              </w:rPr>
            </w:pPr>
            <w:r>
              <w:rPr>
                <w:rFonts w:ascii="Arial" w:eastAsia="Times New Roman" w:hAnsi="Arial" w:cs="Arial"/>
                <w:color w:val="000000"/>
                <w:sz w:val="20"/>
                <w:szCs w:val="20"/>
              </w:rPr>
              <w:t>Long-term investments</w:t>
            </w:r>
          </w:p>
        </w:tc>
        <w:tc>
          <w:tcPr>
            <w:tcW w:w="0" w:type="auto"/>
            <w:gridSpan w:val="2"/>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20"/>
                <w:szCs w:val="20"/>
              </w:rPr>
              <w:t>16</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14 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r>
      <w:tr w:rsidR="00000000">
        <w:trPr>
          <w:divId w:val="1180047861"/>
        </w:trPr>
        <w:tc>
          <w:tcPr>
            <w:tcW w:w="0" w:type="auto"/>
            <w:gridSpan w:val="3"/>
            <w:tcMar>
              <w:top w:w="30" w:type="dxa"/>
              <w:left w:w="20" w:type="dxa"/>
              <w:bottom w:w="30" w:type="dxa"/>
              <w:right w:w="20" w:type="dxa"/>
            </w:tcMar>
            <w:hideMark/>
          </w:tcPr>
          <w:p w:rsidR="00000000" w:rsidRDefault="001F1FC8">
            <w:pPr>
              <w:rPr>
                <w:rFonts w:eastAsia="Times New Roman"/>
              </w:rPr>
            </w:pPr>
            <w:r>
              <w:rPr>
                <w:rFonts w:ascii="Arial" w:eastAsia="Times New Roman" w:hAnsi="Arial" w:cs="Arial"/>
                <w:color w:val="000000"/>
                <w:sz w:val="20"/>
                <w:szCs w:val="20"/>
              </w:rPr>
              <w:t>Restricted long-term investments</w:t>
            </w:r>
          </w:p>
        </w:tc>
        <w:tc>
          <w:tcPr>
            <w:tcW w:w="0" w:type="auto"/>
            <w:gridSpan w:val="2"/>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20"/>
                <w:szCs w:val="20"/>
              </w:rPr>
              <w:t>101</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84 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r>
      <w:tr w:rsidR="00000000">
        <w:trPr>
          <w:divId w:val="1180047861"/>
        </w:trPr>
        <w:tc>
          <w:tcPr>
            <w:tcW w:w="0" w:type="auto"/>
            <w:gridSpan w:val="3"/>
            <w:tcMar>
              <w:top w:w="30" w:type="dxa"/>
              <w:left w:w="20" w:type="dxa"/>
              <w:bottom w:w="30" w:type="dxa"/>
              <w:right w:w="20" w:type="dxa"/>
            </w:tcMar>
            <w:hideMark/>
          </w:tcPr>
          <w:p w:rsidR="00000000" w:rsidRDefault="001F1FC8">
            <w:pPr>
              <w:rPr>
                <w:rFonts w:eastAsia="Times New Roman"/>
              </w:rPr>
            </w:pPr>
            <w:r>
              <w:rPr>
                <w:rFonts w:ascii="Arial" w:eastAsia="Times New Roman" w:hAnsi="Arial" w:cs="Arial"/>
                <w:color w:val="000000"/>
                <w:sz w:val="20"/>
                <w:szCs w:val="20"/>
              </w:rPr>
              <w:t>Deferred amounts and other assets</w:t>
            </w:r>
          </w:p>
        </w:tc>
        <w:tc>
          <w:tcPr>
            <w:tcW w:w="0" w:type="auto"/>
            <w:gridSpan w:val="2"/>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20"/>
                <w:szCs w:val="20"/>
              </w:rPr>
              <w:t>2</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3 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r>
      <w:tr w:rsidR="00000000">
        <w:trPr>
          <w:divId w:val="1180047861"/>
        </w:trPr>
        <w:tc>
          <w:tcPr>
            <w:tcW w:w="0" w:type="auto"/>
            <w:gridSpan w:val="3"/>
            <w:tcMar>
              <w:top w:w="30" w:type="dxa"/>
              <w:left w:w="20" w:type="dxa"/>
              <w:bottom w:w="30" w:type="dxa"/>
              <w:right w:w="20" w:type="dxa"/>
            </w:tcMar>
            <w:hideMark/>
          </w:tcPr>
          <w:p w:rsidR="00000000" w:rsidRDefault="001F1FC8">
            <w:pPr>
              <w:rPr>
                <w:rFonts w:eastAsia="Times New Roman"/>
              </w:rPr>
            </w:pPr>
            <w:r>
              <w:rPr>
                <w:rFonts w:ascii="Arial" w:eastAsia="Times New Roman" w:hAnsi="Arial" w:cs="Arial"/>
                <w:color w:val="000000"/>
                <w:sz w:val="20"/>
                <w:szCs w:val="20"/>
              </w:rPr>
              <w:t>Intangible assets, net</w:t>
            </w:r>
          </w:p>
        </w:tc>
        <w:tc>
          <w:tcPr>
            <w:tcW w:w="0" w:type="auto"/>
            <w:gridSpan w:val="2"/>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20"/>
                <w:szCs w:val="20"/>
              </w:rPr>
              <w:t>108</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115 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r>
      <w:tr w:rsidR="00000000">
        <w:trPr>
          <w:divId w:val="1180047861"/>
        </w:trPr>
        <w:tc>
          <w:tcPr>
            <w:tcW w:w="0" w:type="auto"/>
            <w:gridSpan w:val="3"/>
            <w:vAlign w:val="center"/>
            <w:hideMark/>
          </w:tcPr>
          <w:p w:rsidR="00000000" w:rsidRDefault="001F1FC8">
            <w:pPr>
              <w:jc w:val="right"/>
              <w:rPr>
                <w:rFonts w:eastAsia="Times New Roman"/>
                <w:sz w:val="20"/>
                <w:szCs w:val="20"/>
              </w:rPr>
            </w:pPr>
          </w:p>
        </w:tc>
        <w:tc>
          <w:tcPr>
            <w:tcW w:w="0" w:type="auto"/>
            <w:gridSpan w:val="3"/>
            <w:vAlign w:val="center"/>
            <w:hideMark/>
          </w:tcPr>
          <w:p w:rsidR="00000000" w:rsidRDefault="001F1FC8">
            <w:pPr>
              <w:rPr>
                <w:rFonts w:eastAsia="Times New Roman"/>
                <w:sz w:val="20"/>
                <w:szCs w:val="20"/>
              </w:rPr>
            </w:pPr>
          </w:p>
        </w:tc>
        <w:tc>
          <w:tcPr>
            <w:tcW w:w="0" w:type="auto"/>
            <w:gridSpan w:val="3"/>
            <w:vAlign w:val="center"/>
            <w:hideMark/>
          </w:tcPr>
          <w:p w:rsidR="00000000" w:rsidRDefault="001F1FC8">
            <w:pPr>
              <w:rPr>
                <w:rFonts w:eastAsia="Times New Roman"/>
                <w:sz w:val="20"/>
                <w:szCs w:val="20"/>
              </w:rPr>
            </w:pPr>
          </w:p>
        </w:tc>
      </w:tr>
      <w:tr w:rsidR="00000000">
        <w:trPr>
          <w:divId w:val="1180047861"/>
        </w:trPr>
        <w:tc>
          <w:tcPr>
            <w:tcW w:w="0" w:type="auto"/>
            <w:gridSpan w:val="3"/>
            <w:vAlign w:val="center"/>
            <w:hideMark/>
          </w:tcPr>
          <w:p w:rsidR="00000000" w:rsidRDefault="001F1FC8">
            <w:pPr>
              <w:rPr>
                <w:rFonts w:eastAsia="Times New Roman"/>
                <w:sz w:val="20"/>
                <w:szCs w:val="20"/>
              </w:rPr>
            </w:pPr>
          </w:p>
        </w:tc>
        <w:tc>
          <w:tcPr>
            <w:tcW w:w="0" w:type="auto"/>
            <w:gridSpan w:val="3"/>
            <w:vAlign w:val="center"/>
            <w:hideMark/>
          </w:tcPr>
          <w:p w:rsidR="00000000" w:rsidRDefault="001F1FC8">
            <w:pPr>
              <w:rPr>
                <w:rFonts w:eastAsia="Times New Roman"/>
                <w:sz w:val="20"/>
                <w:szCs w:val="20"/>
              </w:rPr>
            </w:pPr>
          </w:p>
        </w:tc>
        <w:tc>
          <w:tcPr>
            <w:tcW w:w="0" w:type="auto"/>
            <w:gridSpan w:val="3"/>
            <w:vAlign w:val="center"/>
            <w:hideMark/>
          </w:tcPr>
          <w:p w:rsidR="00000000" w:rsidRDefault="001F1FC8">
            <w:pPr>
              <w:rPr>
                <w:rFonts w:eastAsia="Times New Roman"/>
                <w:sz w:val="20"/>
                <w:szCs w:val="20"/>
              </w:rPr>
            </w:pPr>
          </w:p>
        </w:tc>
      </w:tr>
      <w:tr w:rsidR="00000000">
        <w:trPr>
          <w:divId w:val="1180047861"/>
        </w:trPr>
        <w:tc>
          <w:tcPr>
            <w:tcW w:w="0" w:type="auto"/>
            <w:gridSpan w:val="3"/>
            <w:tcBorders>
              <w:top w:val="single" w:sz="4" w:space="0" w:color="000000"/>
            </w:tcBorders>
            <w:tcMar>
              <w:top w:w="30" w:type="dxa"/>
              <w:left w:w="20" w:type="dxa"/>
              <w:bottom w:w="30" w:type="dxa"/>
              <w:right w:w="20" w:type="dxa"/>
            </w:tcMar>
            <w:hideMark/>
          </w:tcPr>
          <w:p w:rsidR="00000000" w:rsidRDefault="001F1FC8">
            <w:pPr>
              <w:rPr>
                <w:rFonts w:eastAsia="Times New Roman"/>
              </w:rPr>
            </w:pPr>
            <w:r>
              <w:rPr>
                <w:rFonts w:ascii="Arial" w:eastAsia="Times New Roman" w:hAnsi="Arial" w:cs="Arial"/>
                <w:color w:val="000000"/>
                <w:sz w:val="2"/>
                <w:szCs w:val="2"/>
              </w:rPr>
              <w:t> </w:t>
            </w:r>
          </w:p>
        </w:tc>
        <w:tc>
          <w:tcPr>
            <w:tcW w:w="0" w:type="auto"/>
            <w:gridSpan w:val="2"/>
            <w:tcBorders>
              <w:top w:val="single" w:sz="4" w:space="0" w:color="000000"/>
            </w:tcBorders>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20"/>
                <w:szCs w:val="20"/>
              </w:rPr>
              <w:t>3,638</w:t>
            </w:r>
            <w:r>
              <w:rPr>
                <w:rFonts w:ascii="Arial" w:eastAsia="Times New Roman" w:hAnsi="Arial" w:cs="Arial"/>
                <w:color w:val="000000"/>
                <w:sz w:val="20"/>
                <w:szCs w:val="20"/>
              </w:rPr>
              <w:t> </w:t>
            </w:r>
          </w:p>
        </w:tc>
        <w:tc>
          <w:tcPr>
            <w:tcW w:w="0" w:type="auto"/>
            <w:tcBorders>
              <w:top w:val="single" w:sz="4" w:space="0" w:color="000000"/>
            </w:tcBorders>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3,705 </w:t>
            </w:r>
          </w:p>
        </w:tc>
        <w:tc>
          <w:tcPr>
            <w:tcW w:w="0" w:type="auto"/>
            <w:tcBorders>
              <w:top w:val="single" w:sz="4" w:space="0" w:color="000000"/>
            </w:tcBorders>
            <w:tcMar>
              <w:top w:w="30" w:type="dxa"/>
              <w:left w:w="0" w:type="dxa"/>
              <w:bottom w:w="30" w:type="dxa"/>
              <w:right w:w="20" w:type="dxa"/>
            </w:tcMar>
            <w:vAlign w:val="bottom"/>
            <w:hideMark/>
          </w:tcPr>
          <w:p w:rsidR="00000000" w:rsidRDefault="001F1FC8">
            <w:pPr>
              <w:jc w:val="right"/>
              <w:rPr>
                <w:rFonts w:eastAsia="Times New Roman"/>
              </w:rPr>
            </w:pPr>
          </w:p>
        </w:tc>
      </w:tr>
      <w:tr w:rsidR="00000000">
        <w:trPr>
          <w:divId w:val="1180047861"/>
        </w:trPr>
        <w:tc>
          <w:tcPr>
            <w:tcW w:w="0" w:type="auto"/>
            <w:gridSpan w:val="3"/>
            <w:tcBorders>
              <w:top w:val="single" w:sz="4" w:space="0" w:color="000000"/>
            </w:tcBorders>
            <w:tcMar>
              <w:top w:w="30" w:type="dxa"/>
              <w:left w:w="20" w:type="dxa"/>
              <w:bottom w:w="30" w:type="dxa"/>
              <w:right w:w="20" w:type="dxa"/>
            </w:tcMar>
            <w:hideMark/>
          </w:tcPr>
          <w:p w:rsidR="00000000" w:rsidRDefault="001F1FC8">
            <w:pPr>
              <w:rPr>
                <w:rFonts w:eastAsia="Times New Roman"/>
              </w:rPr>
            </w:pPr>
            <w:r>
              <w:rPr>
                <w:rFonts w:ascii="Arial" w:eastAsia="Times New Roman" w:hAnsi="Arial" w:cs="Arial"/>
                <w:b/>
                <w:bCs/>
                <w:color w:val="000000"/>
                <w:sz w:val="20"/>
                <w:szCs w:val="20"/>
              </w:rPr>
              <w:t>Liabilities</w:t>
            </w:r>
          </w:p>
        </w:tc>
        <w:tc>
          <w:tcPr>
            <w:tcW w:w="0" w:type="auto"/>
            <w:gridSpan w:val="3"/>
            <w:tcBorders>
              <w:top w:val="single" w:sz="4" w:space="0" w:color="000000"/>
            </w:tcBorders>
            <w:shd w:val="clear" w:color="auto" w:fill="D9D9D9"/>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2"/>
                <w:szCs w:val="2"/>
              </w:rPr>
              <w:t> </w:t>
            </w: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2"/>
                <w:szCs w:val="2"/>
              </w:rPr>
              <w:t> </w:t>
            </w:r>
          </w:p>
        </w:tc>
      </w:tr>
      <w:tr w:rsidR="00000000">
        <w:trPr>
          <w:divId w:val="1180047861"/>
        </w:trPr>
        <w:tc>
          <w:tcPr>
            <w:tcW w:w="0" w:type="auto"/>
            <w:gridSpan w:val="3"/>
            <w:vAlign w:val="center"/>
            <w:hideMark/>
          </w:tcPr>
          <w:p w:rsidR="00000000" w:rsidRDefault="001F1FC8">
            <w:pPr>
              <w:jc w:val="right"/>
              <w:rPr>
                <w:rFonts w:eastAsia="Times New Roman"/>
              </w:rPr>
            </w:pPr>
          </w:p>
        </w:tc>
        <w:tc>
          <w:tcPr>
            <w:tcW w:w="0" w:type="auto"/>
            <w:gridSpan w:val="3"/>
            <w:vAlign w:val="center"/>
            <w:hideMark/>
          </w:tcPr>
          <w:p w:rsidR="00000000" w:rsidRDefault="001F1FC8">
            <w:pPr>
              <w:rPr>
                <w:rFonts w:eastAsia="Times New Roman"/>
                <w:sz w:val="20"/>
                <w:szCs w:val="20"/>
              </w:rPr>
            </w:pPr>
          </w:p>
        </w:tc>
        <w:tc>
          <w:tcPr>
            <w:tcW w:w="0" w:type="auto"/>
            <w:gridSpan w:val="3"/>
            <w:vAlign w:val="center"/>
            <w:hideMark/>
          </w:tcPr>
          <w:p w:rsidR="00000000" w:rsidRDefault="001F1FC8">
            <w:pPr>
              <w:rPr>
                <w:rFonts w:eastAsia="Times New Roman"/>
                <w:sz w:val="20"/>
                <w:szCs w:val="20"/>
              </w:rPr>
            </w:pPr>
          </w:p>
        </w:tc>
      </w:tr>
      <w:tr w:rsidR="00000000">
        <w:trPr>
          <w:divId w:val="1180047861"/>
        </w:trPr>
        <w:tc>
          <w:tcPr>
            <w:tcW w:w="0" w:type="auto"/>
            <w:gridSpan w:val="3"/>
            <w:tcMar>
              <w:top w:w="30" w:type="dxa"/>
              <w:left w:w="20" w:type="dxa"/>
              <w:bottom w:w="30" w:type="dxa"/>
              <w:right w:w="20" w:type="dxa"/>
            </w:tcMar>
            <w:hideMark/>
          </w:tcPr>
          <w:p w:rsidR="00000000" w:rsidRDefault="001F1FC8">
            <w:pPr>
              <w:rPr>
                <w:rFonts w:eastAsia="Times New Roman"/>
              </w:rPr>
            </w:pPr>
            <w:r>
              <w:rPr>
                <w:rFonts w:ascii="Arial" w:eastAsia="Times New Roman" w:hAnsi="Arial" w:cs="Arial"/>
                <w:color w:val="000000"/>
                <w:sz w:val="20"/>
                <w:szCs w:val="20"/>
              </w:rPr>
              <w:t>Accounts payable and other</w:t>
            </w:r>
          </w:p>
        </w:tc>
        <w:tc>
          <w:tcPr>
            <w:tcW w:w="0" w:type="auto"/>
            <w:gridSpan w:val="2"/>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20"/>
                <w:szCs w:val="20"/>
              </w:rPr>
              <w:t>84</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52 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r>
      <w:tr w:rsidR="00000000">
        <w:trPr>
          <w:divId w:val="1180047861"/>
        </w:trPr>
        <w:tc>
          <w:tcPr>
            <w:tcW w:w="0" w:type="auto"/>
            <w:gridSpan w:val="3"/>
            <w:vAlign w:val="center"/>
            <w:hideMark/>
          </w:tcPr>
          <w:p w:rsidR="00000000" w:rsidRDefault="001F1FC8">
            <w:pPr>
              <w:jc w:val="right"/>
              <w:rPr>
                <w:rFonts w:eastAsia="Times New Roman"/>
                <w:sz w:val="20"/>
                <w:szCs w:val="20"/>
              </w:rPr>
            </w:pPr>
          </w:p>
        </w:tc>
        <w:tc>
          <w:tcPr>
            <w:tcW w:w="0" w:type="auto"/>
            <w:gridSpan w:val="3"/>
            <w:vAlign w:val="center"/>
            <w:hideMark/>
          </w:tcPr>
          <w:p w:rsidR="00000000" w:rsidRDefault="001F1FC8">
            <w:pPr>
              <w:rPr>
                <w:rFonts w:eastAsia="Times New Roman"/>
                <w:sz w:val="20"/>
                <w:szCs w:val="20"/>
              </w:rPr>
            </w:pPr>
          </w:p>
        </w:tc>
        <w:tc>
          <w:tcPr>
            <w:tcW w:w="0" w:type="auto"/>
            <w:gridSpan w:val="3"/>
            <w:vAlign w:val="center"/>
            <w:hideMark/>
          </w:tcPr>
          <w:p w:rsidR="00000000" w:rsidRDefault="001F1FC8">
            <w:pPr>
              <w:rPr>
                <w:rFonts w:eastAsia="Times New Roman"/>
                <w:sz w:val="20"/>
                <w:szCs w:val="20"/>
              </w:rPr>
            </w:pPr>
          </w:p>
        </w:tc>
      </w:tr>
      <w:tr w:rsidR="00000000">
        <w:trPr>
          <w:divId w:val="1180047861"/>
        </w:trPr>
        <w:tc>
          <w:tcPr>
            <w:tcW w:w="0" w:type="auto"/>
            <w:gridSpan w:val="3"/>
            <w:vAlign w:val="center"/>
            <w:hideMark/>
          </w:tcPr>
          <w:p w:rsidR="00000000" w:rsidRDefault="001F1FC8">
            <w:pPr>
              <w:rPr>
                <w:rFonts w:eastAsia="Times New Roman"/>
                <w:sz w:val="20"/>
                <w:szCs w:val="20"/>
              </w:rPr>
            </w:pPr>
          </w:p>
        </w:tc>
        <w:tc>
          <w:tcPr>
            <w:tcW w:w="0" w:type="auto"/>
            <w:gridSpan w:val="3"/>
            <w:vAlign w:val="center"/>
            <w:hideMark/>
          </w:tcPr>
          <w:p w:rsidR="00000000" w:rsidRDefault="001F1FC8">
            <w:pPr>
              <w:rPr>
                <w:rFonts w:eastAsia="Times New Roman"/>
                <w:sz w:val="20"/>
                <w:szCs w:val="20"/>
              </w:rPr>
            </w:pPr>
          </w:p>
        </w:tc>
        <w:tc>
          <w:tcPr>
            <w:tcW w:w="0" w:type="auto"/>
            <w:gridSpan w:val="3"/>
            <w:vAlign w:val="center"/>
            <w:hideMark/>
          </w:tcPr>
          <w:p w:rsidR="00000000" w:rsidRDefault="001F1FC8">
            <w:pPr>
              <w:rPr>
                <w:rFonts w:eastAsia="Times New Roman"/>
                <w:sz w:val="20"/>
                <w:szCs w:val="20"/>
              </w:rPr>
            </w:pPr>
          </w:p>
        </w:tc>
      </w:tr>
      <w:tr w:rsidR="00000000">
        <w:trPr>
          <w:divId w:val="1180047861"/>
        </w:trPr>
        <w:tc>
          <w:tcPr>
            <w:tcW w:w="0" w:type="auto"/>
            <w:gridSpan w:val="3"/>
            <w:vAlign w:val="center"/>
            <w:hideMark/>
          </w:tcPr>
          <w:p w:rsidR="00000000" w:rsidRDefault="001F1FC8">
            <w:pPr>
              <w:rPr>
                <w:rFonts w:eastAsia="Times New Roman"/>
                <w:sz w:val="20"/>
                <w:szCs w:val="20"/>
              </w:rPr>
            </w:pPr>
          </w:p>
        </w:tc>
        <w:tc>
          <w:tcPr>
            <w:tcW w:w="0" w:type="auto"/>
            <w:gridSpan w:val="3"/>
            <w:vAlign w:val="center"/>
            <w:hideMark/>
          </w:tcPr>
          <w:p w:rsidR="00000000" w:rsidRDefault="001F1FC8">
            <w:pPr>
              <w:rPr>
                <w:rFonts w:eastAsia="Times New Roman"/>
                <w:sz w:val="20"/>
                <w:szCs w:val="20"/>
              </w:rPr>
            </w:pPr>
          </w:p>
        </w:tc>
        <w:tc>
          <w:tcPr>
            <w:tcW w:w="0" w:type="auto"/>
            <w:gridSpan w:val="3"/>
            <w:vAlign w:val="center"/>
            <w:hideMark/>
          </w:tcPr>
          <w:p w:rsidR="00000000" w:rsidRDefault="001F1FC8">
            <w:pPr>
              <w:rPr>
                <w:rFonts w:eastAsia="Times New Roman"/>
                <w:sz w:val="20"/>
                <w:szCs w:val="20"/>
              </w:rPr>
            </w:pPr>
          </w:p>
        </w:tc>
      </w:tr>
      <w:tr w:rsidR="00000000">
        <w:trPr>
          <w:divId w:val="1180047861"/>
        </w:trPr>
        <w:tc>
          <w:tcPr>
            <w:tcW w:w="0" w:type="auto"/>
            <w:gridSpan w:val="3"/>
            <w:vAlign w:val="center"/>
            <w:hideMark/>
          </w:tcPr>
          <w:p w:rsidR="00000000" w:rsidRDefault="001F1FC8">
            <w:pPr>
              <w:rPr>
                <w:rFonts w:eastAsia="Times New Roman"/>
                <w:sz w:val="20"/>
                <w:szCs w:val="20"/>
              </w:rPr>
            </w:pPr>
          </w:p>
        </w:tc>
        <w:tc>
          <w:tcPr>
            <w:tcW w:w="0" w:type="auto"/>
            <w:gridSpan w:val="3"/>
            <w:vAlign w:val="center"/>
            <w:hideMark/>
          </w:tcPr>
          <w:p w:rsidR="00000000" w:rsidRDefault="001F1FC8">
            <w:pPr>
              <w:rPr>
                <w:rFonts w:eastAsia="Times New Roman"/>
                <w:sz w:val="20"/>
                <w:szCs w:val="20"/>
              </w:rPr>
            </w:pPr>
          </w:p>
        </w:tc>
        <w:tc>
          <w:tcPr>
            <w:tcW w:w="0" w:type="auto"/>
            <w:gridSpan w:val="3"/>
            <w:vAlign w:val="center"/>
            <w:hideMark/>
          </w:tcPr>
          <w:p w:rsidR="00000000" w:rsidRDefault="001F1FC8">
            <w:pPr>
              <w:rPr>
                <w:rFonts w:eastAsia="Times New Roman"/>
                <w:sz w:val="20"/>
                <w:szCs w:val="20"/>
              </w:rPr>
            </w:pPr>
          </w:p>
        </w:tc>
      </w:tr>
      <w:tr w:rsidR="00000000">
        <w:trPr>
          <w:divId w:val="1180047861"/>
        </w:trPr>
        <w:tc>
          <w:tcPr>
            <w:tcW w:w="0" w:type="auto"/>
            <w:gridSpan w:val="3"/>
            <w:vAlign w:val="center"/>
            <w:hideMark/>
          </w:tcPr>
          <w:p w:rsidR="00000000" w:rsidRDefault="001F1FC8">
            <w:pPr>
              <w:rPr>
                <w:rFonts w:eastAsia="Times New Roman"/>
                <w:sz w:val="20"/>
                <w:szCs w:val="20"/>
              </w:rPr>
            </w:pPr>
          </w:p>
        </w:tc>
        <w:tc>
          <w:tcPr>
            <w:tcW w:w="0" w:type="auto"/>
            <w:gridSpan w:val="3"/>
            <w:vAlign w:val="center"/>
            <w:hideMark/>
          </w:tcPr>
          <w:p w:rsidR="00000000" w:rsidRDefault="001F1FC8">
            <w:pPr>
              <w:rPr>
                <w:rFonts w:eastAsia="Times New Roman"/>
                <w:sz w:val="20"/>
                <w:szCs w:val="20"/>
              </w:rPr>
            </w:pPr>
          </w:p>
        </w:tc>
        <w:tc>
          <w:tcPr>
            <w:tcW w:w="0" w:type="auto"/>
            <w:gridSpan w:val="3"/>
            <w:vAlign w:val="center"/>
            <w:hideMark/>
          </w:tcPr>
          <w:p w:rsidR="00000000" w:rsidRDefault="001F1FC8">
            <w:pPr>
              <w:rPr>
                <w:rFonts w:eastAsia="Times New Roman"/>
                <w:sz w:val="20"/>
                <w:szCs w:val="20"/>
              </w:rPr>
            </w:pPr>
          </w:p>
        </w:tc>
      </w:tr>
      <w:tr w:rsidR="00000000">
        <w:trPr>
          <w:divId w:val="1180047861"/>
        </w:trPr>
        <w:tc>
          <w:tcPr>
            <w:tcW w:w="0" w:type="auto"/>
            <w:gridSpan w:val="3"/>
            <w:vAlign w:val="center"/>
            <w:hideMark/>
          </w:tcPr>
          <w:p w:rsidR="00000000" w:rsidRDefault="001F1FC8">
            <w:pPr>
              <w:rPr>
                <w:rFonts w:eastAsia="Times New Roman"/>
                <w:sz w:val="20"/>
                <w:szCs w:val="20"/>
              </w:rPr>
            </w:pPr>
          </w:p>
        </w:tc>
        <w:tc>
          <w:tcPr>
            <w:tcW w:w="0" w:type="auto"/>
            <w:gridSpan w:val="3"/>
            <w:vAlign w:val="center"/>
            <w:hideMark/>
          </w:tcPr>
          <w:p w:rsidR="00000000" w:rsidRDefault="001F1FC8">
            <w:pPr>
              <w:rPr>
                <w:rFonts w:eastAsia="Times New Roman"/>
                <w:sz w:val="20"/>
                <w:szCs w:val="20"/>
              </w:rPr>
            </w:pPr>
          </w:p>
        </w:tc>
        <w:tc>
          <w:tcPr>
            <w:tcW w:w="0" w:type="auto"/>
            <w:gridSpan w:val="3"/>
            <w:vAlign w:val="center"/>
            <w:hideMark/>
          </w:tcPr>
          <w:p w:rsidR="00000000" w:rsidRDefault="001F1FC8">
            <w:pPr>
              <w:rPr>
                <w:rFonts w:eastAsia="Times New Roman"/>
                <w:sz w:val="20"/>
                <w:szCs w:val="20"/>
              </w:rPr>
            </w:pPr>
          </w:p>
        </w:tc>
      </w:tr>
      <w:tr w:rsidR="00000000">
        <w:trPr>
          <w:divId w:val="1180047861"/>
        </w:trPr>
        <w:tc>
          <w:tcPr>
            <w:tcW w:w="0" w:type="auto"/>
            <w:gridSpan w:val="3"/>
            <w:tcMar>
              <w:top w:w="30" w:type="dxa"/>
              <w:left w:w="20" w:type="dxa"/>
              <w:bottom w:w="30" w:type="dxa"/>
              <w:right w:w="20" w:type="dxa"/>
            </w:tcMar>
            <w:hideMark/>
          </w:tcPr>
          <w:p w:rsidR="00000000" w:rsidRDefault="001F1FC8">
            <w:pPr>
              <w:rPr>
                <w:rFonts w:eastAsia="Times New Roman"/>
              </w:rPr>
            </w:pPr>
            <w:r>
              <w:rPr>
                <w:rFonts w:ascii="Arial" w:eastAsia="Times New Roman" w:hAnsi="Arial" w:cs="Arial"/>
                <w:color w:val="000000"/>
                <w:sz w:val="20"/>
                <w:szCs w:val="20"/>
              </w:rPr>
              <w:t>Other long-term liabilities</w:t>
            </w:r>
          </w:p>
        </w:tc>
        <w:tc>
          <w:tcPr>
            <w:tcW w:w="0" w:type="auto"/>
            <w:gridSpan w:val="2"/>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20"/>
                <w:szCs w:val="20"/>
              </w:rPr>
              <w:t>182</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175 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r>
      <w:tr w:rsidR="00000000">
        <w:trPr>
          <w:divId w:val="1180047861"/>
        </w:trPr>
        <w:tc>
          <w:tcPr>
            <w:tcW w:w="0" w:type="auto"/>
            <w:gridSpan w:val="3"/>
            <w:tcMar>
              <w:top w:w="30" w:type="dxa"/>
              <w:left w:w="20" w:type="dxa"/>
              <w:bottom w:w="30" w:type="dxa"/>
              <w:right w:w="20" w:type="dxa"/>
            </w:tcMar>
            <w:hideMark/>
          </w:tcPr>
          <w:p w:rsidR="00000000" w:rsidRDefault="001F1FC8">
            <w:pPr>
              <w:rPr>
                <w:rFonts w:eastAsia="Times New Roman"/>
              </w:rPr>
            </w:pPr>
            <w:r>
              <w:rPr>
                <w:rFonts w:ascii="Arial" w:eastAsia="Times New Roman" w:hAnsi="Arial" w:cs="Arial"/>
                <w:color w:val="000000"/>
                <w:sz w:val="20"/>
                <w:szCs w:val="20"/>
              </w:rPr>
              <w:t>Deferred income taxes</w:t>
            </w:r>
          </w:p>
        </w:tc>
        <w:tc>
          <w:tcPr>
            <w:tcW w:w="0" w:type="auto"/>
            <w:gridSpan w:val="2"/>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20"/>
                <w:szCs w:val="20"/>
              </w:rPr>
              <w:t>5</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5 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r>
      <w:tr w:rsidR="00000000">
        <w:trPr>
          <w:divId w:val="1180047861"/>
        </w:trPr>
        <w:tc>
          <w:tcPr>
            <w:tcW w:w="0" w:type="auto"/>
            <w:gridSpan w:val="3"/>
            <w:tcBorders>
              <w:top w:val="single" w:sz="4" w:space="0" w:color="000000"/>
            </w:tcBorders>
            <w:tcMar>
              <w:top w:w="30" w:type="dxa"/>
              <w:left w:w="20" w:type="dxa"/>
              <w:bottom w:w="30" w:type="dxa"/>
              <w:right w:w="20" w:type="dxa"/>
            </w:tcMar>
            <w:hideMark/>
          </w:tcPr>
          <w:p w:rsidR="00000000" w:rsidRDefault="001F1FC8">
            <w:pPr>
              <w:rPr>
                <w:rFonts w:eastAsia="Times New Roman"/>
              </w:rPr>
            </w:pPr>
            <w:r>
              <w:rPr>
                <w:rFonts w:ascii="Arial" w:eastAsia="Times New Roman" w:hAnsi="Arial" w:cs="Arial"/>
                <w:color w:val="000000"/>
                <w:sz w:val="2"/>
                <w:szCs w:val="2"/>
              </w:rPr>
              <w:t> </w:t>
            </w:r>
          </w:p>
        </w:tc>
        <w:tc>
          <w:tcPr>
            <w:tcW w:w="0" w:type="auto"/>
            <w:gridSpan w:val="2"/>
            <w:tcBorders>
              <w:top w:val="single" w:sz="4" w:space="0" w:color="000000"/>
            </w:tcBorders>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20"/>
                <w:szCs w:val="20"/>
              </w:rPr>
              <w:t>271</w:t>
            </w:r>
            <w:r>
              <w:rPr>
                <w:rFonts w:ascii="Arial" w:eastAsia="Times New Roman" w:hAnsi="Arial" w:cs="Arial"/>
                <w:color w:val="000000"/>
                <w:sz w:val="20"/>
                <w:szCs w:val="20"/>
              </w:rPr>
              <w:t> </w:t>
            </w:r>
          </w:p>
        </w:tc>
        <w:tc>
          <w:tcPr>
            <w:tcW w:w="0" w:type="auto"/>
            <w:tcBorders>
              <w:top w:val="single" w:sz="4" w:space="0" w:color="000000"/>
            </w:tcBorders>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232 </w:t>
            </w:r>
          </w:p>
        </w:tc>
        <w:tc>
          <w:tcPr>
            <w:tcW w:w="0" w:type="auto"/>
            <w:tcBorders>
              <w:top w:val="single" w:sz="4" w:space="0" w:color="000000"/>
            </w:tcBorders>
            <w:tcMar>
              <w:top w:w="30" w:type="dxa"/>
              <w:left w:w="0" w:type="dxa"/>
              <w:bottom w:w="30" w:type="dxa"/>
              <w:right w:w="20" w:type="dxa"/>
            </w:tcMar>
            <w:vAlign w:val="bottom"/>
            <w:hideMark/>
          </w:tcPr>
          <w:p w:rsidR="00000000" w:rsidRDefault="001F1FC8">
            <w:pPr>
              <w:jc w:val="right"/>
              <w:rPr>
                <w:rFonts w:eastAsia="Times New Roman"/>
              </w:rPr>
            </w:pPr>
          </w:p>
        </w:tc>
      </w:tr>
      <w:tr w:rsidR="00000000">
        <w:trPr>
          <w:divId w:val="1180047861"/>
        </w:trPr>
        <w:tc>
          <w:tcPr>
            <w:tcW w:w="0" w:type="auto"/>
            <w:gridSpan w:val="3"/>
            <w:tcBorders>
              <w:top w:val="single" w:sz="4" w:space="0" w:color="000000"/>
              <w:bottom w:val="single" w:sz="8" w:space="0" w:color="000000"/>
            </w:tcBorders>
            <w:tcMar>
              <w:top w:w="0" w:type="dxa"/>
              <w:left w:w="20" w:type="dxa"/>
              <w:bottom w:w="0" w:type="dxa"/>
              <w:right w:w="20" w:type="dxa"/>
            </w:tcMar>
            <w:vAlign w:val="center"/>
            <w:hideMark/>
          </w:tcPr>
          <w:p w:rsidR="00000000" w:rsidRDefault="001F1FC8">
            <w:pPr>
              <w:jc w:val="right"/>
              <w:rPr>
                <w:rFonts w:eastAsia="Times New Roman"/>
                <w:sz w:val="20"/>
                <w:szCs w:val="20"/>
              </w:rPr>
            </w:pPr>
          </w:p>
        </w:tc>
        <w:tc>
          <w:tcPr>
            <w:tcW w:w="0" w:type="auto"/>
            <w:gridSpan w:val="2"/>
            <w:tcBorders>
              <w:top w:val="single" w:sz="4" w:space="0" w:color="000000"/>
              <w:bottom w:val="single" w:sz="8" w:space="0" w:color="000000"/>
            </w:tcBorders>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20"/>
                <w:szCs w:val="20"/>
              </w:rPr>
              <w:t>3,367</w:t>
            </w:r>
            <w:r>
              <w:rPr>
                <w:rFonts w:ascii="Arial" w:eastAsia="Times New Roman" w:hAnsi="Arial" w:cs="Arial"/>
                <w:color w:val="000000"/>
                <w:sz w:val="20"/>
                <w:szCs w:val="20"/>
              </w:rPr>
              <w:t> </w:t>
            </w:r>
          </w:p>
        </w:tc>
        <w:tc>
          <w:tcPr>
            <w:tcW w:w="0" w:type="auto"/>
            <w:tcBorders>
              <w:top w:val="single" w:sz="4" w:space="0" w:color="000000"/>
              <w:bottom w:val="single" w:sz="8" w:space="0" w:color="000000"/>
            </w:tcBorders>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Borders>
              <w:top w:val="single" w:sz="4" w:space="0" w:color="000000"/>
              <w:bottom w:val="single" w:sz="8" w:space="0" w:color="000000"/>
            </w:tcBorders>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3,473 </w:t>
            </w:r>
          </w:p>
        </w:tc>
        <w:tc>
          <w:tcPr>
            <w:tcW w:w="0" w:type="auto"/>
            <w:tcBorders>
              <w:top w:val="single" w:sz="4" w:space="0" w:color="000000"/>
              <w:bottom w:val="single" w:sz="8" w:space="0" w:color="000000"/>
            </w:tcBorders>
            <w:tcMar>
              <w:top w:w="30" w:type="dxa"/>
              <w:left w:w="0" w:type="dxa"/>
              <w:bottom w:w="30" w:type="dxa"/>
              <w:right w:w="20" w:type="dxa"/>
            </w:tcMar>
            <w:vAlign w:val="bottom"/>
            <w:hideMark/>
          </w:tcPr>
          <w:p w:rsidR="00000000" w:rsidRDefault="001F1FC8">
            <w:pPr>
              <w:jc w:val="right"/>
              <w:rPr>
                <w:rFonts w:eastAsia="Times New Roman"/>
              </w:rPr>
            </w:pPr>
          </w:p>
        </w:tc>
      </w:tr>
    </w:tbl>
    <w:p w:rsidR="00000000" w:rsidRDefault="001F1FC8">
      <w:pPr>
        <w:ind w:hanging="180"/>
        <w:divId w:val="1349060767"/>
        <w:rPr>
          <w:rFonts w:eastAsia="Times New Roman"/>
        </w:rPr>
      </w:pPr>
      <w:r>
        <w:rPr>
          <w:rFonts w:ascii="Arial" w:eastAsia="Times New Roman" w:hAnsi="Arial" w:cs="Arial"/>
          <w:i/>
          <w:iCs/>
          <w:color w:val="000000"/>
          <w:sz w:val="16"/>
          <w:szCs w:val="16"/>
        </w:rPr>
        <w:t xml:space="preserve">1 </w:t>
      </w:r>
      <w:r>
        <w:rPr>
          <w:rFonts w:ascii="Arial" w:eastAsia="Times New Roman" w:hAnsi="Arial" w:cs="Arial"/>
          <w:i/>
          <w:iCs/>
          <w:color w:val="000000"/>
          <w:sz w:val="16"/>
          <w:szCs w:val="16"/>
        </w:rPr>
        <w:t>Excludes assets and liabilities of EEP and Spectra Energy Partners, L.P. (SEP) following the subsidiary guarantees agreement entered on January 22, 2019. See Part II</w:t>
      </w:r>
      <w:r>
        <w:rPr>
          <w:rFonts w:ascii="Arial" w:eastAsia="Times New Roman" w:hAnsi="Arial" w:cs="Arial"/>
          <w:color w:val="000000"/>
          <w:sz w:val="16"/>
          <w:szCs w:val="16"/>
        </w:rPr>
        <w:t>. Item 7. Management's Discussion and Analysis of Financial Condition and Results of Operations - Summarized Financial Information.</w:t>
      </w:r>
    </w:p>
    <w:p w:rsidR="00000000" w:rsidRDefault="001F1FC8">
      <w:pPr>
        <w:ind w:hanging="180"/>
        <w:jc w:val="both"/>
        <w:rPr>
          <w:rFonts w:eastAsia="Times New Roman"/>
        </w:rPr>
      </w:pPr>
      <w:r>
        <w:rPr>
          <w:rFonts w:ascii="Arial" w:eastAsia="Times New Roman" w:hAnsi="Arial" w:cs="Arial"/>
          <w:color w:val="000000"/>
          <w:sz w:val="20"/>
          <w:szCs w:val="20"/>
        </w:rPr>
        <w:t> </w:t>
      </w:r>
    </w:p>
    <w:p w:rsidR="00000000" w:rsidRDefault="001F1FC8">
      <w:pPr>
        <w:jc w:val="center"/>
        <w:divId w:val="1426729651"/>
        <w:rPr>
          <w:rFonts w:eastAsia="Times New Roman"/>
        </w:rPr>
      </w:pPr>
      <w:r>
        <w:rPr>
          <w:rFonts w:ascii="Arial" w:eastAsia="Times New Roman" w:hAnsi="Arial" w:cs="Arial"/>
          <w:color w:val="000000"/>
          <w:sz w:val="20"/>
          <w:szCs w:val="20"/>
        </w:rPr>
        <w:t>130</w:t>
      </w:r>
    </w:p>
    <w:p w:rsidR="00000000" w:rsidRDefault="001F1FC8">
      <w:pPr>
        <w:rPr>
          <w:rFonts w:eastAsia="Times New Roman"/>
        </w:rPr>
      </w:pPr>
      <w:r>
        <w:rPr>
          <w:rFonts w:eastAsia="Times New Roman"/>
        </w:rPr>
        <w:pict>
          <v:rect id="_x0000_i1160" style="width:0;height:1.5pt" o:hralign="center" o:hrstd="t" o:hr="t" fillcolor="#a0a0a0" stroked="f"/>
        </w:pict>
      </w:r>
    </w:p>
    <w:p w:rsidR="00000000" w:rsidRDefault="001F1FC8">
      <w:pPr>
        <w:jc w:val="center"/>
        <w:divId w:val="1745108077"/>
        <w:rPr>
          <w:rFonts w:eastAsia="Times New Roman"/>
        </w:rPr>
      </w:pPr>
    </w:p>
    <w:p w:rsidR="00000000" w:rsidRDefault="001F1FC8">
      <w:pPr>
        <w:divId w:val="1241016790"/>
        <w:rPr>
          <w:rFonts w:eastAsia="Times New Roman"/>
        </w:rPr>
      </w:pPr>
      <w:r>
        <w:rPr>
          <w:rFonts w:ascii="Arial" w:eastAsia="Times New Roman" w:hAnsi="Arial" w:cs="Arial"/>
          <w:color w:val="000000"/>
          <w:sz w:val="20"/>
          <w:szCs w:val="20"/>
        </w:rPr>
        <w:t>We do not have obligations to provide additional financial support to any of our</w:t>
      </w:r>
      <w:r>
        <w:rPr>
          <w:rFonts w:ascii="Arial" w:eastAsia="Times New Roman" w:hAnsi="Arial" w:cs="Arial"/>
          <w:color w:val="000000"/>
          <w:sz w:val="20"/>
          <w:szCs w:val="20"/>
        </w:rPr>
        <w:t xml:space="preserve"> consolidated VIEs.</w:t>
      </w:r>
    </w:p>
    <w:p w:rsidR="00000000" w:rsidRDefault="001F1FC8">
      <w:pPr>
        <w:divId w:val="1480342018"/>
        <w:rPr>
          <w:rFonts w:eastAsia="Times New Roman"/>
        </w:rPr>
      </w:pPr>
      <w:r>
        <w:rPr>
          <w:rFonts w:ascii="Arial" w:eastAsia="Times New Roman" w:hAnsi="Arial" w:cs="Arial"/>
          <w:color w:val="000000"/>
          <w:sz w:val="20"/>
          <w:szCs w:val="20"/>
        </w:rPr>
        <w:t> </w:t>
      </w:r>
    </w:p>
    <w:p w:rsidR="00000000" w:rsidRDefault="001F1FC8">
      <w:pPr>
        <w:divId w:val="2023583223"/>
        <w:rPr>
          <w:rFonts w:eastAsia="Times New Roman"/>
        </w:rPr>
      </w:pPr>
      <w:r>
        <w:rPr>
          <w:rFonts w:ascii="Arial" w:eastAsia="Times New Roman" w:hAnsi="Arial" w:cs="Arial"/>
          <w:b/>
          <w:bCs/>
          <w:color w:val="000000"/>
          <w:sz w:val="20"/>
          <w:szCs w:val="20"/>
        </w:rPr>
        <w:t>UNCONSOLIDATED VARIABLE INTEREST ENTITIES</w:t>
      </w:r>
    </w:p>
    <w:p w:rsidR="00000000" w:rsidRDefault="001F1FC8">
      <w:pPr>
        <w:divId w:val="1418677073"/>
        <w:rPr>
          <w:rFonts w:eastAsia="Times New Roman"/>
        </w:rPr>
      </w:pPr>
      <w:r>
        <w:rPr>
          <w:rFonts w:ascii="Arial" w:eastAsia="Times New Roman" w:hAnsi="Arial" w:cs="Arial"/>
          <w:color w:val="000000"/>
          <w:sz w:val="20"/>
          <w:szCs w:val="20"/>
        </w:rPr>
        <w:t>We currently hold interests in several non-consolidated VIEs where we are not the primary beneficiary as we do not have the power to direct the activities of the VIEs that most significantly i</w:t>
      </w:r>
      <w:r>
        <w:rPr>
          <w:rFonts w:ascii="Arial" w:eastAsia="Times New Roman" w:hAnsi="Arial" w:cs="Arial"/>
          <w:color w:val="000000"/>
          <w:sz w:val="20"/>
          <w:szCs w:val="20"/>
        </w:rPr>
        <w:t>mpact the VIEs' economic performance. These interests include investments in limited partnerships that are assessed to be VIEs due to the limited partners not having substantive kick-out rights or participating rights. The power to direct the activities of</w:t>
      </w:r>
      <w:r>
        <w:rPr>
          <w:rFonts w:ascii="Arial" w:eastAsia="Times New Roman" w:hAnsi="Arial" w:cs="Arial"/>
          <w:color w:val="000000"/>
          <w:sz w:val="20"/>
          <w:szCs w:val="20"/>
        </w:rPr>
        <w:t xml:space="preserve"> a majority of these non-consolidated limited partnership VIEs is shared amongst the partners. Each partner has representatives that make up an executive committee that makes significant decisions for the VIE and none of the partners may make significant d</w:t>
      </w:r>
      <w:r>
        <w:rPr>
          <w:rFonts w:ascii="Arial" w:eastAsia="Times New Roman" w:hAnsi="Arial" w:cs="Arial"/>
          <w:color w:val="000000"/>
          <w:sz w:val="20"/>
          <w:szCs w:val="20"/>
        </w:rPr>
        <w:t>ecisions unilaterally.</w:t>
      </w:r>
    </w:p>
    <w:p w:rsidR="00000000" w:rsidRDefault="001F1FC8">
      <w:pPr>
        <w:divId w:val="55443705"/>
        <w:rPr>
          <w:rFonts w:eastAsia="Times New Roman"/>
        </w:rPr>
      </w:pPr>
    </w:p>
    <w:p w:rsidR="00000000" w:rsidRDefault="001F1FC8">
      <w:pPr>
        <w:divId w:val="1756511640"/>
        <w:rPr>
          <w:rFonts w:eastAsia="Times New Roman"/>
        </w:rPr>
      </w:pPr>
      <w:r>
        <w:rPr>
          <w:rFonts w:ascii="Arial" w:eastAsia="Times New Roman" w:hAnsi="Arial" w:cs="Arial"/>
          <w:color w:val="000000"/>
          <w:sz w:val="20"/>
          <w:szCs w:val="20"/>
        </w:rPr>
        <w:t>The carrying amount of these VIEs and our estimated maximum exposure to loss as at December 31, 2021 and 2020 are presented below:</w:t>
      </w:r>
    </w:p>
    <w:tbl>
      <w:tblPr>
        <w:tblW w:w="5000" w:type="pct"/>
        <w:tblCellMar>
          <w:top w:w="15" w:type="dxa"/>
          <w:left w:w="15" w:type="dxa"/>
          <w:bottom w:w="15" w:type="dxa"/>
          <w:right w:w="15" w:type="dxa"/>
        </w:tblCellMar>
        <w:tblLook w:val="04A0" w:firstRow="1" w:lastRow="0" w:firstColumn="1" w:lastColumn="0" w:noHBand="0" w:noVBand="1"/>
      </w:tblPr>
      <w:tblGrid>
        <w:gridCol w:w="69"/>
        <w:gridCol w:w="6071"/>
        <w:gridCol w:w="37"/>
        <w:gridCol w:w="69"/>
        <w:gridCol w:w="959"/>
        <w:gridCol w:w="36"/>
        <w:gridCol w:w="71"/>
        <w:gridCol w:w="958"/>
        <w:gridCol w:w="36"/>
      </w:tblGrid>
      <w:tr w:rsidR="00000000">
        <w:trPr>
          <w:divId w:val="1175922536"/>
        </w:trPr>
        <w:tc>
          <w:tcPr>
            <w:tcW w:w="50" w:type="pct"/>
            <w:vAlign w:val="center"/>
            <w:hideMark/>
          </w:tcPr>
          <w:p w:rsidR="00000000" w:rsidRDefault="001F1FC8">
            <w:pPr>
              <w:rPr>
                <w:rFonts w:eastAsia="Times New Roman"/>
              </w:rPr>
            </w:pPr>
          </w:p>
        </w:tc>
        <w:tc>
          <w:tcPr>
            <w:tcW w:w="3662"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c>
          <w:tcPr>
            <w:tcW w:w="50" w:type="pct"/>
            <w:vAlign w:val="center"/>
            <w:hideMark/>
          </w:tcPr>
          <w:p w:rsidR="00000000" w:rsidRDefault="001F1FC8">
            <w:pPr>
              <w:rPr>
                <w:rFonts w:eastAsia="Times New Roman"/>
                <w:sz w:val="20"/>
                <w:szCs w:val="20"/>
              </w:rPr>
            </w:pPr>
          </w:p>
        </w:tc>
        <w:tc>
          <w:tcPr>
            <w:tcW w:w="586"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c>
          <w:tcPr>
            <w:tcW w:w="50" w:type="pct"/>
            <w:vAlign w:val="center"/>
            <w:hideMark/>
          </w:tcPr>
          <w:p w:rsidR="00000000" w:rsidRDefault="001F1FC8">
            <w:pPr>
              <w:rPr>
                <w:rFonts w:eastAsia="Times New Roman"/>
                <w:sz w:val="20"/>
                <w:szCs w:val="20"/>
              </w:rPr>
            </w:pPr>
          </w:p>
        </w:tc>
        <w:tc>
          <w:tcPr>
            <w:tcW w:w="586"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r>
      <w:tr w:rsidR="00000000">
        <w:trPr>
          <w:divId w:val="1175922536"/>
        </w:trPr>
        <w:tc>
          <w:tcPr>
            <w:tcW w:w="0" w:type="auto"/>
            <w:gridSpan w:val="3"/>
            <w:tcMar>
              <w:top w:w="0" w:type="dxa"/>
              <w:left w:w="20" w:type="dxa"/>
              <w:bottom w:w="0" w:type="dxa"/>
              <w:right w:w="20" w:type="dxa"/>
            </w:tcMar>
            <w:vAlign w:val="center"/>
            <w:hideMark/>
          </w:tcPr>
          <w:p w:rsidR="00000000" w:rsidRDefault="001F1FC8">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Carrying</w:t>
            </w:r>
            <w:r>
              <w:rPr>
                <w:rFonts w:ascii="Arial" w:eastAsia="Times New Roman" w:hAnsi="Arial" w:cs="Arial"/>
                <w:color w:val="000000"/>
                <w:sz w:val="20"/>
                <w:szCs w:val="20"/>
              </w:rPr>
              <w:br/>
              <w:t>Amount of</w:t>
            </w:r>
          </w:p>
        </w:tc>
        <w:tc>
          <w:tcPr>
            <w:tcW w:w="0" w:type="auto"/>
            <w:gridSpan w:val="3"/>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sz w:val="20"/>
                <w:szCs w:val="20"/>
              </w:rPr>
              <w:br/>
            </w:r>
            <w:r>
              <w:rPr>
                <w:rFonts w:ascii="Arial" w:eastAsia="Times New Roman" w:hAnsi="Arial" w:cs="Arial"/>
                <w:color w:val="000000"/>
                <w:sz w:val="20"/>
                <w:szCs w:val="20"/>
              </w:rPr>
              <w:t>Maximum</w:t>
            </w:r>
            <w:r>
              <w:rPr>
                <w:rFonts w:ascii="Arial" w:eastAsia="Times New Roman" w:hAnsi="Arial" w:cs="Arial"/>
                <w:color w:val="000000"/>
                <w:sz w:val="20"/>
                <w:szCs w:val="20"/>
              </w:rPr>
              <w:br/>
              <w:t>Exposure to</w:t>
            </w:r>
          </w:p>
        </w:tc>
      </w:tr>
      <w:tr w:rsidR="00000000">
        <w:trPr>
          <w:divId w:val="1175922536"/>
        </w:trPr>
        <w:tc>
          <w:tcPr>
            <w:tcW w:w="0" w:type="auto"/>
            <w:gridSpan w:val="3"/>
            <w:tcMar>
              <w:top w:w="30" w:type="dxa"/>
              <w:left w:w="20" w:type="dxa"/>
              <w:bottom w:w="30" w:type="dxa"/>
              <w:right w:w="20" w:type="dxa"/>
            </w:tcMar>
            <w:hideMark/>
          </w:tcPr>
          <w:p w:rsidR="00000000" w:rsidRDefault="001F1FC8">
            <w:pPr>
              <w:rPr>
                <w:rFonts w:eastAsia="Times New Roman"/>
              </w:rPr>
            </w:pPr>
            <w:r>
              <w:rPr>
                <w:rFonts w:ascii="Arial" w:eastAsia="Times New Roman" w:hAnsi="Arial" w:cs="Arial"/>
                <w:b/>
                <w:bCs/>
                <w:color w:val="000000"/>
                <w:sz w:val="20"/>
                <w:szCs w:val="20"/>
              </w:rPr>
              <w:t>December 31, 2021</w:t>
            </w:r>
          </w:p>
        </w:tc>
        <w:tc>
          <w:tcPr>
            <w:tcW w:w="0" w:type="auto"/>
            <w:gridSpan w:val="3"/>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the VIE</w:t>
            </w:r>
          </w:p>
        </w:tc>
        <w:tc>
          <w:tcPr>
            <w:tcW w:w="0" w:type="auto"/>
            <w:gridSpan w:val="3"/>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Loss</w:t>
            </w:r>
          </w:p>
        </w:tc>
      </w:tr>
      <w:tr w:rsidR="00000000">
        <w:trPr>
          <w:divId w:val="1175922536"/>
        </w:trPr>
        <w:tc>
          <w:tcPr>
            <w:tcW w:w="0" w:type="auto"/>
            <w:gridSpan w:val="3"/>
            <w:tcBorders>
              <w:top w:val="single" w:sz="4" w:space="0" w:color="000000"/>
            </w:tcBorders>
            <w:tcMar>
              <w:top w:w="30" w:type="dxa"/>
              <w:left w:w="20" w:type="dxa"/>
              <w:bottom w:w="30" w:type="dxa"/>
              <w:right w:w="20" w:type="dxa"/>
            </w:tcMar>
            <w:hideMark/>
          </w:tcPr>
          <w:p w:rsidR="00000000" w:rsidRDefault="001F1FC8">
            <w:pPr>
              <w:rPr>
                <w:rFonts w:eastAsia="Times New Roman"/>
              </w:rPr>
            </w:pPr>
            <w:r>
              <w:rPr>
                <w:rFonts w:ascii="Arial" w:eastAsia="Times New Roman" w:hAnsi="Arial" w:cs="Arial"/>
                <w:i/>
                <w:iCs/>
                <w:color w:val="000000"/>
                <w:sz w:val="16"/>
                <w:szCs w:val="16"/>
              </w:rPr>
              <w:t>(millions of Canadian dollars)</w:t>
            </w:r>
          </w:p>
        </w:tc>
        <w:tc>
          <w:tcPr>
            <w:tcW w:w="0" w:type="auto"/>
            <w:gridSpan w:val="3"/>
            <w:tcBorders>
              <w:top w:val="single" w:sz="4" w:space="0" w:color="000000"/>
            </w:tcBorders>
            <w:shd w:val="clear" w:color="auto" w:fill="D9D9D9"/>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2"/>
                <w:szCs w:val="2"/>
              </w:rPr>
              <w:t> </w:t>
            </w:r>
          </w:p>
        </w:tc>
        <w:tc>
          <w:tcPr>
            <w:tcW w:w="0" w:type="auto"/>
            <w:gridSpan w:val="3"/>
            <w:tcBorders>
              <w:top w:val="single" w:sz="4" w:space="0" w:color="000000"/>
            </w:tcBorders>
            <w:shd w:val="clear" w:color="auto" w:fill="D9D9D9"/>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2"/>
                <w:szCs w:val="2"/>
              </w:rPr>
              <w:t> </w:t>
            </w:r>
          </w:p>
        </w:tc>
      </w:tr>
      <w:tr w:rsidR="00000000">
        <w:trPr>
          <w:divId w:val="1175922536"/>
        </w:trPr>
        <w:tc>
          <w:tcPr>
            <w:tcW w:w="0" w:type="auto"/>
            <w:gridSpan w:val="3"/>
            <w:tcMar>
              <w:top w:w="30" w:type="dxa"/>
              <w:left w:w="20" w:type="dxa"/>
              <w:bottom w:w="30" w:type="dxa"/>
              <w:right w:w="20" w:type="dxa"/>
            </w:tcMar>
            <w:vAlign w:val="bottom"/>
            <w:hideMark/>
          </w:tcPr>
          <w:p w:rsidR="00000000" w:rsidRDefault="001F1FC8">
            <w:pPr>
              <w:divId w:val="176315896"/>
              <w:rPr>
                <w:rFonts w:eastAsia="Times New Roman"/>
              </w:rPr>
            </w:pPr>
            <w:r>
              <w:rPr>
                <w:rFonts w:ascii="Arial" w:eastAsia="Times New Roman" w:hAnsi="Arial" w:cs="Arial"/>
                <w:color w:val="000000"/>
                <w:sz w:val="20"/>
                <w:szCs w:val="20"/>
              </w:rPr>
              <w:t>Aux Sable Liquid Products L.P</w:t>
            </w:r>
            <w:r>
              <w:rPr>
                <w:rFonts w:ascii="Arial" w:eastAsia="Times New Roman" w:hAnsi="Arial" w:cs="Arial"/>
                <w:color w:val="000000"/>
                <w:sz w:val="20"/>
                <w:szCs w:val="20"/>
              </w:rPr>
              <w:t>.</w:t>
            </w:r>
            <w:r>
              <w:rPr>
                <w:rFonts w:ascii="Arial" w:eastAsia="Times New Roman" w:hAnsi="Arial" w:cs="Arial"/>
                <w:color w:val="000000"/>
                <w:sz w:val="10"/>
                <w:szCs w:val="10"/>
              </w:rPr>
              <w:t>1</w:t>
            </w:r>
          </w:p>
        </w:tc>
        <w:tc>
          <w:tcPr>
            <w:tcW w:w="0" w:type="auto"/>
            <w:gridSpan w:val="2"/>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20"/>
                <w:szCs w:val="20"/>
              </w:rPr>
              <w:t>113</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20"/>
                <w:szCs w:val="20"/>
              </w:rPr>
              <w:t>195</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r>
      <w:tr w:rsidR="00000000">
        <w:trPr>
          <w:divId w:val="1175922536"/>
        </w:trPr>
        <w:tc>
          <w:tcPr>
            <w:tcW w:w="0" w:type="auto"/>
            <w:gridSpan w:val="3"/>
            <w:tcMar>
              <w:top w:w="30" w:type="dxa"/>
              <w:left w:w="20" w:type="dxa"/>
              <w:bottom w:w="30" w:type="dxa"/>
              <w:right w:w="20" w:type="dxa"/>
            </w:tcMar>
            <w:vAlign w:val="bottom"/>
            <w:hideMark/>
          </w:tcPr>
          <w:p w:rsidR="00000000" w:rsidRDefault="001F1FC8">
            <w:pPr>
              <w:divId w:val="147981291"/>
              <w:rPr>
                <w:rFonts w:eastAsia="Times New Roman"/>
              </w:rPr>
            </w:pPr>
            <w:r>
              <w:rPr>
                <w:rFonts w:ascii="Arial" w:eastAsia="Times New Roman" w:hAnsi="Arial" w:cs="Arial"/>
                <w:color w:val="000000"/>
                <w:sz w:val="20"/>
                <w:szCs w:val="20"/>
              </w:rPr>
              <w:t>EIH S.á r.l</w:t>
            </w:r>
            <w:r>
              <w:rPr>
                <w:rFonts w:ascii="Arial" w:eastAsia="Times New Roman" w:hAnsi="Arial" w:cs="Arial"/>
                <w:color w:val="000000"/>
                <w:sz w:val="20"/>
                <w:szCs w:val="20"/>
              </w:rPr>
              <w:t>.</w:t>
            </w:r>
            <w:r>
              <w:rPr>
                <w:rFonts w:ascii="Arial" w:eastAsia="Times New Roman" w:hAnsi="Arial" w:cs="Arial"/>
                <w:color w:val="000000"/>
                <w:sz w:val="10"/>
                <w:szCs w:val="10"/>
              </w:rPr>
              <w:t xml:space="preserve">2, </w:t>
            </w:r>
            <w:r>
              <w:rPr>
                <w:rFonts w:ascii="Arial" w:eastAsia="Times New Roman" w:hAnsi="Arial" w:cs="Arial"/>
                <w:color w:val="000000"/>
                <w:sz w:val="10"/>
                <w:szCs w:val="10"/>
              </w:rPr>
              <w:t>8</w:t>
            </w:r>
          </w:p>
        </w:tc>
        <w:tc>
          <w:tcPr>
            <w:tcW w:w="0" w:type="auto"/>
            <w:gridSpan w:val="2"/>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20"/>
                <w:szCs w:val="20"/>
              </w:rPr>
              <w:t>38</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20"/>
                <w:szCs w:val="20"/>
              </w:rPr>
              <w:t>664</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r>
      <w:tr w:rsidR="00000000">
        <w:trPr>
          <w:divId w:val="1175922536"/>
        </w:trPr>
        <w:tc>
          <w:tcPr>
            <w:tcW w:w="0" w:type="auto"/>
            <w:gridSpan w:val="3"/>
            <w:tcMar>
              <w:top w:w="30" w:type="dxa"/>
              <w:left w:w="20" w:type="dxa"/>
              <w:bottom w:w="30" w:type="dxa"/>
              <w:right w:w="20" w:type="dxa"/>
            </w:tcMar>
            <w:vAlign w:val="bottom"/>
            <w:hideMark/>
          </w:tcPr>
          <w:p w:rsidR="00000000" w:rsidRDefault="001F1FC8">
            <w:pPr>
              <w:divId w:val="1693654411"/>
              <w:rPr>
                <w:rFonts w:eastAsia="Times New Roman"/>
              </w:rPr>
            </w:pPr>
            <w:r>
              <w:rPr>
                <w:rFonts w:ascii="Arial" w:eastAsia="Times New Roman" w:hAnsi="Arial" w:cs="Arial"/>
                <w:color w:val="000000"/>
                <w:sz w:val="20"/>
                <w:szCs w:val="20"/>
              </w:rPr>
              <w:t>Enbridge Renewable Infrastructure Investments S.á r.l</w:t>
            </w:r>
            <w:r>
              <w:rPr>
                <w:rFonts w:ascii="Arial" w:eastAsia="Times New Roman" w:hAnsi="Arial" w:cs="Arial"/>
                <w:color w:val="000000"/>
                <w:sz w:val="20"/>
                <w:szCs w:val="20"/>
              </w:rPr>
              <w:t>.</w:t>
            </w:r>
            <w:r>
              <w:rPr>
                <w:rFonts w:ascii="Arial" w:eastAsia="Times New Roman" w:hAnsi="Arial" w:cs="Arial"/>
                <w:color w:val="000000"/>
                <w:sz w:val="10"/>
                <w:szCs w:val="10"/>
              </w:rPr>
              <w:t>3</w:t>
            </w:r>
          </w:p>
        </w:tc>
        <w:tc>
          <w:tcPr>
            <w:tcW w:w="0" w:type="auto"/>
            <w:gridSpan w:val="2"/>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20"/>
                <w:szCs w:val="20"/>
              </w:rPr>
              <w:t>54</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20"/>
                <w:szCs w:val="20"/>
              </w:rPr>
              <w:t>2,121</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r>
      <w:tr w:rsidR="00000000">
        <w:trPr>
          <w:divId w:val="1175922536"/>
        </w:trPr>
        <w:tc>
          <w:tcPr>
            <w:tcW w:w="0" w:type="auto"/>
            <w:gridSpan w:val="3"/>
            <w:vAlign w:val="center"/>
            <w:hideMark/>
          </w:tcPr>
          <w:p w:rsidR="00000000" w:rsidRDefault="001F1FC8">
            <w:pPr>
              <w:jc w:val="right"/>
              <w:rPr>
                <w:rFonts w:eastAsia="Times New Roman"/>
                <w:sz w:val="20"/>
                <w:szCs w:val="20"/>
              </w:rPr>
            </w:pPr>
          </w:p>
        </w:tc>
        <w:tc>
          <w:tcPr>
            <w:tcW w:w="0" w:type="auto"/>
            <w:gridSpan w:val="3"/>
            <w:vAlign w:val="center"/>
            <w:hideMark/>
          </w:tcPr>
          <w:p w:rsidR="00000000" w:rsidRDefault="001F1FC8">
            <w:pPr>
              <w:rPr>
                <w:rFonts w:eastAsia="Times New Roman"/>
                <w:sz w:val="20"/>
                <w:szCs w:val="20"/>
              </w:rPr>
            </w:pPr>
          </w:p>
        </w:tc>
        <w:tc>
          <w:tcPr>
            <w:tcW w:w="0" w:type="auto"/>
            <w:gridSpan w:val="3"/>
            <w:vAlign w:val="center"/>
            <w:hideMark/>
          </w:tcPr>
          <w:p w:rsidR="00000000" w:rsidRDefault="001F1FC8">
            <w:pPr>
              <w:rPr>
                <w:rFonts w:eastAsia="Times New Roman"/>
                <w:sz w:val="20"/>
                <w:szCs w:val="20"/>
              </w:rPr>
            </w:pPr>
          </w:p>
        </w:tc>
      </w:tr>
      <w:tr w:rsidR="00000000">
        <w:trPr>
          <w:divId w:val="1175922536"/>
        </w:trPr>
        <w:tc>
          <w:tcPr>
            <w:tcW w:w="0" w:type="auto"/>
            <w:gridSpan w:val="3"/>
            <w:vAlign w:val="center"/>
            <w:hideMark/>
          </w:tcPr>
          <w:p w:rsidR="00000000" w:rsidRDefault="001F1FC8">
            <w:pPr>
              <w:rPr>
                <w:rFonts w:eastAsia="Times New Roman"/>
                <w:sz w:val="20"/>
                <w:szCs w:val="20"/>
              </w:rPr>
            </w:pPr>
          </w:p>
        </w:tc>
        <w:tc>
          <w:tcPr>
            <w:tcW w:w="0" w:type="auto"/>
            <w:gridSpan w:val="3"/>
            <w:vAlign w:val="center"/>
            <w:hideMark/>
          </w:tcPr>
          <w:p w:rsidR="00000000" w:rsidRDefault="001F1FC8">
            <w:pPr>
              <w:rPr>
                <w:rFonts w:eastAsia="Times New Roman"/>
                <w:sz w:val="20"/>
                <w:szCs w:val="20"/>
              </w:rPr>
            </w:pPr>
          </w:p>
        </w:tc>
        <w:tc>
          <w:tcPr>
            <w:tcW w:w="0" w:type="auto"/>
            <w:gridSpan w:val="3"/>
            <w:vAlign w:val="center"/>
            <w:hideMark/>
          </w:tcPr>
          <w:p w:rsidR="00000000" w:rsidRDefault="001F1FC8">
            <w:pPr>
              <w:rPr>
                <w:rFonts w:eastAsia="Times New Roman"/>
                <w:sz w:val="20"/>
                <w:szCs w:val="20"/>
              </w:rPr>
            </w:pPr>
          </w:p>
        </w:tc>
      </w:tr>
      <w:tr w:rsidR="00000000">
        <w:trPr>
          <w:divId w:val="1175922536"/>
        </w:trPr>
        <w:tc>
          <w:tcPr>
            <w:tcW w:w="0" w:type="auto"/>
            <w:gridSpan w:val="3"/>
            <w:tcMar>
              <w:top w:w="30" w:type="dxa"/>
              <w:left w:w="20" w:type="dxa"/>
              <w:bottom w:w="30" w:type="dxa"/>
              <w:right w:w="20" w:type="dxa"/>
            </w:tcMar>
            <w:vAlign w:val="bottom"/>
            <w:hideMark/>
          </w:tcPr>
          <w:p w:rsidR="00000000" w:rsidRDefault="001F1FC8">
            <w:pPr>
              <w:divId w:val="1818718407"/>
              <w:rPr>
                <w:rFonts w:eastAsia="Times New Roman"/>
              </w:rPr>
            </w:pPr>
            <w:r>
              <w:rPr>
                <w:rFonts w:ascii="Arial" w:eastAsia="Times New Roman" w:hAnsi="Arial" w:cs="Arial"/>
                <w:color w:val="000000"/>
                <w:sz w:val="20"/>
                <w:szCs w:val="20"/>
              </w:rPr>
              <w:t>Rampion Offshore Wind Limite</w:t>
            </w:r>
            <w:r>
              <w:rPr>
                <w:rFonts w:ascii="Arial" w:eastAsia="Times New Roman" w:hAnsi="Arial" w:cs="Arial"/>
                <w:color w:val="000000"/>
                <w:sz w:val="20"/>
                <w:szCs w:val="20"/>
              </w:rPr>
              <w:t>d</w:t>
            </w:r>
            <w:r>
              <w:rPr>
                <w:rFonts w:ascii="Arial" w:eastAsia="Times New Roman" w:hAnsi="Arial" w:cs="Arial"/>
                <w:color w:val="000000"/>
                <w:sz w:val="10"/>
                <w:szCs w:val="10"/>
              </w:rPr>
              <w:t>5</w:t>
            </w:r>
          </w:p>
        </w:tc>
        <w:tc>
          <w:tcPr>
            <w:tcW w:w="0" w:type="auto"/>
            <w:gridSpan w:val="2"/>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20"/>
                <w:szCs w:val="20"/>
              </w:rPr>
              <w:t>450</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20"/>
                <w:szCs w:val="20"/>
              </w:rPr>
              <w:t>508</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r>
      <w:tr w:rsidR="00000000">
        <w:trPr>
          <w:divId w:val="1175922536"/>
        </w:trPr>
        <w:tc>
          <w:tcPr>
            <w:tcW w:w="0" w:type="auto"/>
            <w:gridSpan w:val="3"/>
            <w:tcMar>
              <w:top w:w="30" w:type="dxa"/>
              <w:left w:w="20" w:type="dxa"/>
              <w:bottom w:w="30" w:type="dxa"/>
              <w:right w:w="20" w:type="dxa"/>
            </w:tcMar>
            <w:vAlign w:val="bottom"/>
            <w:hideMark/>
          </w:tcPr>
          <w:p w:rsidR="00000000" w:rsidRDefault="001F1FC8">
            <w:pPr>
              <w:divId w:val="784278338"/>
              <w:rPr>
                <w:rFonts w:eastAsia="Times New Roman"/>
              </w:rPr>
            </w:pPr>
            <w:r>
              <w:rPr>
                <w:rFonts w:ascii="Arial" w:eastAsia="Times New Roman" w:hAnsi="Arial" w:cs="Arial"/>
                <w:color w:val="000000"/>
                <w:sz w:val="20"/>
                <w:szCs w:val="20"/>
              </w:rPr>
              <w:t>Vector Pipeline L.P</w:t>
            </w:r>
            <w:r>
              <w:rPr>
                <w:rFonts w:ascii="Arial" w:eastAsia="Times New Roman" w:hAnsi="Arial" w:cs="Arial"/>
                <w:color w:val="000000"/>
                <w:sz w:val="20"/>
                <w:szCs w:val="20"/>
              </w:rPr>
              <w:t>.</w:t>
            </w:r>
            <w:r>
              <w:rPr>
                <w:rFonts w:ascii="Arial" w:eastAsia="Times New Roman" w:hAnsi="Arial" w:cs="Arial"/>
                <w:color w:val="000000"/>
                <w:sz w:val="10"/>
                <w:szCs w:val="10"/>
              </w:rPr>
              <w:t>6</w:t>
            </w:r>
          </w:p>
        </w:tc>
        <w:tc>
          <w:tcPr>
            <w:tcW w:w="0" w:type="auto"/>
            <w:gridSpan w:val="2"/>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20"/>
                <w:szCs w:val="20"/>
              </w:rPr>
              <w:t>189</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20"/>
                <w:szCs w:val="20"/>
              </w:rPr>
              <w:t>374</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r>
      <w:tr w:rsidR="00000000">
        <w:trPr>
          <w:divId w:val="1175922536"/>
        </w:trPr>
        <w:tc>
          <w:tcPr>
            <w:tcW w:w="0" w:type="auto"/>
            <w:gridSpan w:val="3"/>
            <w:tcMar>
              <w:top w:w="30" w:type="dxa"/>
              <w:left w:w="20" w:type="dxa"/>
              <w:bottom w:w="30" w:type="dxa"/>
              <w:right w:w="20" w:type="dxa"/>
            </w:tcMar>
            <w:vAlign w:val="bottom"/>
            <w:hideMark/>
          </w:tcPr>
          <w:p w:rsidR="00000000" w:rsidRDefault="001F1FC8">
            <w:pPr>
              <w:divId w:val="1078594782"/>
              <w:rPr>
                <w:rFonts w:eastAsia="Times New Roman"/>
              </w:rPr>
            </w:pPr>
            <w:r>
              <w:rPr>
                <w:rFonts w:ascii="Arial" w:eastAsia="Times New Roman" w:hAnsi="Arial" w:cs="Arial"/>
                <w:color w:val="000000"/>
                <w:sz w:val="20"/>
                <w:szCs w:val="20"/>
              </w:rPr>
              <w:t>Othe</w:t>
            </w:r>
            <w:r>
              <w:rPr>
                <w:rFonts w:ascii="Arial" w:eastAsia="Times New Roman" w:hAnsi="Arial" w:cs="Arial"/>
                <w:color w:val="000000"/>
                <w:sz w:val="20"/>
                <w:szCs w:val="20"/>
              </w:rPr>
              <w:t>r</w:t>
            </w:r>
            <w:r>
              <w:rPr>
                <w:rFonts w:ascii="Arial" w:eastAsia="Times New Roman" w:hAnsi="Arial" w:cs="Arial"/>
                <w:color w:val="000000"/>
                <w:sz w:val="10"/>
                <w:szCs w:val="10"/>
              </w:rPr>
              <w:t>4,</w:t>
            </w:r>
            <w:r>
              <w:rPr>
                <w:rFonts w:ascii="Arial" w:eastAsia="Times New Roman" w:hAnsi="Arial" w:cs="Arial"/>
                <w:color w:val="000000"/>
                <w:sz w:val="10"/>
                <w:szCs w:val="10"/>
              </w:rPr>
              <w:t>7</w:t>
            </w:r>
          </w:p>
        </w:tc>
        <w:tc>
          <w:tcPr>
            <w:tcW w:w="0" w:type="auto"/>
            <w:gridSpan w:val="2"/>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20"/>
                <w:szCs w:val="20"/>
              </w:rPr>
              <w:t>210</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20"/>
                <w:szCs w:val="20"/>
              </w:rPr>
              <w:t>426</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r>
      <w:tr w:rsidR="00000000">
        <w:trPr>
          <w:divId w:val="1175922536"/>
        </w:trPr>
        <w:tc>
          <w:tcPr>
            <w:tcW w:w="0" w:type="auto"/>
            <w:gridSpan w:val="3"/>
            <w:tcBorders>
              <w:top w:val="single" w:sz="4" w:space="0" w:color="000000"/>
              <w:bottom w:val="single" w:sz="8" w:space="0" w:color="000000"/>
            </w:tcBorders>
            <w:tcMar>
              <w:top w:w="30" w:type="dxa"/>
              <w:left w:w="20" w:type="dxa"/>
              <w:bottom w:w="30" w:type="dxa"/>
              <w:right w:w="20" w:type="dxa"/>
            </w:tcMar>
            <w:hideMark/>
          </w:tcPr>
          <w:p w:rsidR="00000000" w:rsidRDefault="001F1FC8">
            <w:pPr>
              <w:rPr>
                <w:rFonts w:eastAsia="Times New Roman"/>
              </w:rPr>
            </w:pPr>
            <w:r>
              <w:rPr>
                <w:rFonts w:ascii="Arial" w:eastAsia="Times New Roman" w:hAnsi="Arial" w:cs="Arial"/>
                <w:color w:val="000000"/>
                <w:sz w:val="2"/>
                <w:szCs w:val="2"/>
              </w:rPr>
              <w:t> </w:t>
            </w:r>
          </w:p>
        </w:tc>
        <w:tc>
          <w:tcPr>
            <w:tcW w:w="0" w:type="auto"/>
            <w:gridSpan w:val="2"/>
            <w:tcBorders>
              <w:top w:val="single" w:sz="4" w:space="0" w:color="000000"/>
              <w:bottom w:val="single" w:sz="8" w:space="0" w:color="000000"/>
            </w:tcBorders>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20"/>
                <w:szCs w:val="20"/>
              </w:rPr>
              <w:t>1,054</w:t>
            </w:r>
            <w:r>
              <w:rPr>
                <w:rFonts w:ascii="Arial" w:eastAsia="Times New Roman" w:hAnsi="Arial" w:cs="Arial"/>
                <w:color w:val="000000"/>
                <w:sz w:val="20"/>
                <w:szCs w:val="20"/>
              </w:rPr>
              <w:t> </w:t>
            </w:r>
          </w:p>
        </w:tc>
        <w:tc>
          <w:tcPr>
            <w:tcW w:w="0" w:type="auto"/>
            <w:tcBorders>
              <w:top w:val="single" w:sz="4" w:space="0" w:color="000000"/>
              <w:bottom w:val="single" w:sz="8" w:space="0" w:color="000000"/>
            </w:tcBorders>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Borders>
              <w:top w:val="single" w:sz="4" w:space="0" w:color="000000"/>
              <w:bottom w:val="single" w:sz="8" w:space="0" w:color="000000"/>
            </w:tcBorders>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20"/>
                <w:szCs w:val="20"/>
              </w:rPr>
              <w:t>4,288</w:t>
            </w:r>
            <w:r>
              <w:rPr>
                <w:rFonts w:ascii="Arial" w:eastAsia="Times New Roman" w:hAnsi="Arial" w:cs="Arial"/>
                <w:color w:val="000000"/>
                <w:sz w:val="20"/>
                <w:szCs w:val="20"/>
              </w:rPr>
              <w:t> </w:t>
            </w:r>
          </w:p>
        </w:tc>
        <w:tc>
          <w:tcPr>
            <w:tcW w:w="0" w:type="auto"/>
            <w:tcBorders>
              <w:top w:val="single" w:sz="4" w:space="0" w:color="000000"/>
              <w:bottom w:val="single" w:sz="8" w:space="0" w:color="000000"/>
            </w:tcBorders>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r>
    </w:tbl>
    <w:p w:rsidR="00000000" w:rsidRDefault="001F1FC8">
      <w:pPr>
        <w:jc w:val="center"/>
        <w:divId w:val="1531870444"/>
        <w:rPr>
          <w:rFonts w:eastAsia="Times New Roman"/>
        </w:rPr>
      </w:pPr>
      <w:r>
        <w:rPr>
          <w:rFonts w:ascii="Arial" w:eastAsia="Times New Roman" w:hAnsi="Arial" w:cs="Arial"/>
          <w:color w:val="000000"/>
          <w:sz w:val="20"/>
          <w:szCs w:val="20"/>
        </w:rPr>
        <w:t>131</w:t>
      </w:r>
    </w:p>
    <w:p w:rsidR="00000000" w:rsidRDefault="001F1FC8">
      <w:pPr>
        <w:rPr>
          <w:rFonts w:eastAsia="Times New Roman"/>
        </w:rPr>
      </w:pPr>
      <w:r>
        <w:rPr>
          <w:rFonts w:eastAsia="Times New Roman"/>
        </w:rPr>
        <w:pict>
          <v:rect id="_x0000_i1161" style="width:0;height:1.5pt" o:hralign="center" o:hrstd="t" o:hr="t" fillcolor="#a0a0a0" stroked="f"/>
        </w:pict>
      </w:r>
    </w:p>
    <w:p w:rsidR="00000000" w:rsidRDefault="001F1FC8">
      <w:pPr>
        <w:jc w:val="center"/>
        <w:divId w:val="136800322"/>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6071"/>
        <w:gridCol w:w="37"/>
        <w:gridCol w:w="69"/>
        <w:gridCol w:w="959"/>
        <w:gridCol w:w="36"/>
        <w:gridCol w:w="71"/>
        <w:gridCol w:w="958"/>
        <w:gridCol w:w="36"/>
      </w:tblGrid>
      <w:tr w:rsidR="00000000">
        <w:trPr>
          <w:divId w:val="1567951981"/>
        </w:trPr>
        <w:tc>
          <w:tcPr>
            <w:tcW w:w="50" w:type="pct"/>
            <w:vAlign w:val="center"/>
            <w:hideMark/>
          </w:tcPr>
          <w:p w:rsidR="00000000" w:rsidRDefault="001F1FC8">
            <w:pPr>
              <w:jc w:val="center"/>
              <w:rPr>
                <w:rFonts w:eastAsia="Times New Roman"/>
              </w:rPr>
            </w:pPr>
          </w:p>
        </w:tc>
        <w:tc>
          <w:tcPr>
            <w:tcW w:w="3662"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c>
          <w:tcPr>
            <w:tcW w:w="50" w:type="pct"/>
            <w:vAlign w:val="center"/>
            <w:hideMark/>
          </w:tcPr>
          <w:p w:rsidR="00000000" w:rsidRDefault="001F1FC8">
            <w:pPr>
              <w:rPr>
                <w:rFonts w:eastAsia="Times New Roman"/>
                <w:sz w:val="20"/>
                <w:szCs w:val="20"/>
              </w:rPr>
            </w:pPr>
          </w:p>
        </w:tc>
        <w:tc>
          <w:tcPr>
            <w:tcW w:w="586"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c>
          <w:tcPr>
            <w:tcW w:w="50" w:type="pct"/>
            <w:vAlign w:val="center"/>
            <w:hideMark/>
          </w:tcPr>
          <w:p w:rsidR="00000000" w:rsidRDefault="001F1FC8">
            <w:pPr>
              <w:rPr>
                <w:rFonts w:eastAsia="Times New Roman"/>
                <w:sz w:val="20"/>
                <w:szCs w:val="20"/>
              </w:rPr>
            </w:pPr>
          </w:p>
        </w:tc>
        <w:tc>
          <w:tcPr>
            <w:tcW w:w="586"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r>
      <w:tr w:rsidR="00000000">
        <w:trPr>
          <w:divId w:val="1567951981"/>
        </w:trPr>
        <w:tc>
          <w:tcPr>
            <w:tcW w:w="0" w:type="auto"/>
            <w:gridSpan w:val="3"/>
            <w:tcMar>
              <w:top w:w="0" w:type="dxa"/>
              <w:left w:w="20" w:type="dxa"/>
              <w:bottom w:w="0" w:type="dxa"/>
              <w:right w:w="20" w:type="dxa"/>
            </w:tcMar>
            <w:vAlign w:val="center"/>
            <w:hideMark/>
          </w:tcPr>
          <w:p w:rsidR="00000000" w:rsidRDefault="001F1FC8">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Carrying</w:t>
            </w:r>
            <w:r>
              <w:rPr>
                <w:rFonts w:ascii="Arial" w:eastAsia="Times New Roman" w:hAnsi="Arial" w:cs="Arial"/>
                <w:color w:val="000000"/>
                <w:sz w:val="20"/>
                <w:szCs w:val="20"/>
              </w:rPr>
              <w:br/>
              <w:t>Amount of</w:t>
            </w:r>
          </w:p>
        </w:tc>
        <w:tc>
          <w:tcPr>
            <w:tcW w:w="0" w:type="auto"/>
            <w:gridSpan w:val="3"/>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sz w:val="20"/>
                <w:szCs w:val="20"/>
              </w:rPr>
              <w:br/>
            </w:r>
            <w:r>
              <w:rPr>
                <w:rFonts w:ascii="Arial" w:eastAsia="Times New Roman" w:hAnsi="Arial" w:cs="Arial"/>
                <w:color w:val="000000"/>
                <w:sz w:val="20"/>
                <w:szCs w:val="20"/>
              </w:rPr>
              <w:t>Maximum</w:t>
            </w:r>
            <w:r>
              <w:rPr>
                <w:rFonts w:ascii="Arial" w:eastAsia="Times New Roman" w:hAnsi="Arial" w:cs="Arial"/>
                <w:color w:val="000000"/>
                <w:sz w:val="20"/>
                <w:szCs w:val="20"/>
              </w:rPr>
              <w:br/>
              <w:t>Exposure to</w:t>
            </w:r>
          </w:p>
        </w:tc>
      </w:tr>
      <w:tr w:rsidR="00000000">
        <w:trPr>
          <w:divId w:val="1567951981"/>
        </w:trPr>
        <w:tc>
          <w:tcPr>
            <w:tcW w:w="0" w:type="auto"/>
            <w:gridSpan w:val="3"/>
            <w:tcMar>
              <w:top w:w="30" w:type="dxa"/>
              <w:left w:w="20" w:type="dxa"/>
              <w:bottom w:w="30" w:type="dxa"/>
              <w:right w:w="20" w:type="dxa"/>
            </w:tcMar>
            <w:hideMark/>
          </w:tcPr>
          <w:p w:rsidR="00000000" w:rsidRDefault="001F1FC8">
            <w:pPr>
              <w:rPr>
                <w:rFonts w:eastAsia="Times New Roman"/>
              </w:rPr>
            </w:pPr>
            <w:r>
              <w:rPr>
                <w:rFonts w:ascii="Arial" w:eastAsia="Times New Roman" w:hAnsi="Arial" w:cs="Arial"/>
                <w:color w:val="000000"/>
                <w:sz w:val="20"/>
                <w:szCs w:val="20"/>
              </w:rPr>
              <w:t>December 31, 2020</w:t>
            </w:r>
          </w:p>
        </w:tc>
        <w:tc>
          <w:tcPr>
            <w:tcW w:w="0" w:type="auto"/>
            <w:gridSpan w:val="3"/>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the VIE</w:t>
            </w:r>
          </w:p>
        </w:tc>
        <w:tc>
          <w:tcPr>
            <w:tcW w:w="0" w:type="auto"/>
            <w:gridSpan w:val="3"/>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Loss</w:t>
            </w:r>
          </w:p>
        </w:tc>
      </w:tr>
      <w:tr w:rsidR="00000000">
        <w:trPr>
          <w:divId w:val="1567951981"/>
        </w:trPr>
        <w:tc>
          <w:tcPr>
            <w:tcW w:w="0" w:type="auto"/>
            <w:gridSpan w:val="3"/>
            <w:tcBorders>
              <w:top w:val="single" w:sz="4" w:space="0" w:color="000000"/>
            </w:tcBorders>
            <w:tcMar>
              <w:top w:w="30" w:type="dxa"/>
              <w:left w:w="20" w:type="dxa"/>
              <w:bottom w:w="30" w:type="dxa"/>
              <w:right w:w="20" w:type="dxa"/>
            </w:tcMar>
            <w:hideMark/>
          </w:tcPr>
          <w:p w:rsidR="00000000" w:rsidRDefault="001F1FC8">
            <w:pPr>
              <w:rPr>
                <w:rFonts w:eastAsia="Times New Roman"/>
              </w:rPr>
            </w:pPr>
            <w:r>
              <w:rPr>
                <w:rFonts w:ascii="Arial" w:eastAsia="Times New Roman" w:hAnsi="Arial" w:cs="Arial"/>
                <w:i/>
                <w:iCs/>
                <w:color w:val="000000"/>
                <w:sz w:val="16"/>
                <w:szCs w:val="16"/>
              </w:rPr>
              <w:t>(millions of Canadian dollars)</w:t>
            </w: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2"/>
                <w:szCs w:val="2"/>
              </w:rPr>
              <w:t> </w:t>
            </w: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2"/>
                <w:szCs w:val="2"/>
              </w:rPr>
              <w:t> </w:t>
            </w:r>
          </w:p>
        </w:tc>
      </w:tr>
      <w:tr w:rsidR="00000000">
        <w:trPr>
          <w:divId w:val="1567951981"/>
        </w:trPr>
        <w:tc>
          <w:tcPr>
            <w:tcW w:w="0" w:type="auto"/>
            <w:gridSpan w:val="3"/>
            <w:tcMar>
              <w:top w:w="30" w:type="dxa"/>
              <w:left w:w="20" w:type="dxa"/>
              <w:bottom w:w="30" w:type="dxa"/>
              <w:right w:w="20" w:type="dxa"/>
            </w:tcMar>
            <w:vAlign w:val="bottom"/>
            <w:hideMark/>
          </w:tcPr>
          <w:p w:rsidR="00000000" w:rsidRDefault="001F1FC8">
            <w:pPr>
              <w:divId w:val="1213928295"/>
              <w:rPr>
                <w:rFonts w:eastAsia="Times New Roman"/>
              </w:rPr>
            </w:pPr>
            <w:r>
              <w:rPr>
                <w:rFonts w:ascii="Arial" w:eastAsia="Times New Roman" w:hAnsi="Arial" w:cs="Arial"/>
                <w:color w:val="000000"/>
                <w:sz w:val="20"/>
                <w:szCs w:val="20"/>
              </w:rPr>
              <w:t>Aux Sable Liquid Products L.P</w:t>
            </w:r>
            <w:r>
              <w:rPr>
                <w:rFonts w:ascii="Arial" w:eastAsia="Times New Roman" w:hAnsi="Arial" w:cs="Arial"/>
                <w:color w:val="000000"/>
                <w:sz w:val="20"/>
                <w:szCs w:val="20"/>
              </w:rPr>
              <w:t>.</w:t>
            </w:r>
            <w:r>
              <w:rPr>
                <w:rFonts w:ascii="Arial" w:eastAsia="Times New Roman" w:hAnsi="Arial" w:cs="Arial"/>
                <w:color w:val="000000"/>
                <w:sz w:val="10"/>
                <w:szCs w:val="10"/>
              </w:rPr>
              <w:t>1</w:t>
            </w: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106 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187 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r>
      <w:tr w:rsidR="00000000">
        <w:trPr>
          <w:divId w:val="1567951981"/>
        </w:trPr>
        <w:tc>
          <w:tcPr>
            <w:tcW w:w="0" w:type="auto"/>
            <w:gridSpan w:val="3"/>
            <w:tcMar>
              <w:top w:w="30" w:type="dxa"/>
              <w:left w:w="20" w:type="dxa"/>
              <w:bottom w:w="30" w:type="dxa"/>
              <w:right w:w="20" w:type="dxa"/>
            </w:tcMar>
            <w:vAlign w:val="bottom"/>
            <w:hideMark/>
          </w:tcPr>
          <w:p w:rsidR="00000000" w:rsidRDefault="001F1FC8">
            <w:pPr>
              <w:divId w:val="1492872101"/>
              <w:rPr>
                <w:rFonts w:eastAsia="Times New Roman"/>
              </w:rPr>
            </w:pPr>
            <w:r>
              <w:rPr>
                <w:rFonts w:ascii="Arial" w:eastAsia="Times New Roman" w:hAnsi="Arial" w:cs="Arial"/>
                <w:color w:val="000000"/>
                <w:sz w:val="20"/>
                <w:szCs w:val="20"/>
              </w:rPr>
              <w:t>É</w:t>
            </w:r>
            <w:r>
              <w:rPr>
                <w:rFonts w:ascii="Arial" w:eastAsia="Times New Roman" w:hAnsi="Arial" w:cs="Arial"/>
                <w:color w:val="000000"/>
                <w:sz w:val="20"/>
                <w:szCs w:val="20"/>
              </w:rPr>
              <w:t>olien Maritime France SA</w:t>
            </w:r>
            <w:r>
              <w:rPr>
                <w:rFonts w:ascii="Arial" w:eastAsia="Times New Roman" w:hAnsi="Arial" w:cs="Arial"/>
                <w:color w:val="000000"/>
                <w:sz w:val="20"/>
                <w:szCs w:val="20"/>
              </w:rPr>
              <w:t>S</w:t>
            </w:r>
            <w:r>
              <w:rPr>
                <w:rFonts w:ascii="Arial" w:eastAsia="Times New Roman" w:hAnsi="Arial" w:cs="Arial"/>
                <w:color w:val="000000"/>
                <w:sz w:val="10"/>
                <w:szCs w:val="10"/>
              </w:rPr>
              <w:t xml:space="preserve">2, </w:t>
            </w:r>
            <w:r>
              <w:rPr>
                <w:rFonts w:ascii="Arial" w:eastAsia="Times New Roman" w:hAnsi="Arial" w:cs="Arial"/>
                <w:color w:val="000000"/>
                <w:sz w:val="10"/>
                <w:szCs w:val="10"/>
              </w:rPr>
              <w:t>8</w:t>
            </w: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96 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949 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r>
      <w:tr w:rsidR="00000000">
        <w:trPr>
          <w:divId w:val="1567951981"/>
        </w:trPr>
        <w:tc>
          <w:tcPr>
            <w:tcW w:w="0" w:type="auto"/>
            <w:gridSpan w:val="3"/>
            <w:tcMar>
              <w:top w:w="30" w:type="dxa"/>
              <w:left w:w="20" w:type="dxa"/>
              <w:bottom w:w="30" w:type="dxa"/>
              <w:right w:w="20" w:type="dxa"/>
            </w:tcMar>
            <w:vAlign w:val="bottom"/>
            <w:hideMark/>
          </w:tcPr>
          <w:p w:rsidR="00000000" w:rsidRDefault="001F1FC8">
            <w:pPr>
              <w:divId w:val="1245190405"/>
              <w:rPr>
                <w:rFonts w:eastAsia="Times New Roman"/>
              </w:rPr>
            </w:pPr>
            <w:r>
              <w:rPr>
                <w:rFonts w:ascii="Arial" w:eastAsia="Times New Roman" w:hAnsi="Arial" w:cs="Arial"/>
                <w:color w:val="000000"/>
                <w:sz w:val="20"/>
                <w:szCs w:val="20"/>
              </w:rPr>
              <w:t>Enbridge Renewable Infrastructure Investments S.á r.l</w:t>
            </w:r>
            <w:r>
              <w:rPr>
                <w:rFonts w:ascii="Arial" w:eastAsia="Times New Roman" w:hAnsi="Arial" w:cs="Arial"/>
                <w:color w:val="000000"/>
                <w:sz w:val="20"/>
                <w:szCs w:val="20"/>
              </w:rPr>
              <w:t>.</w:t>
            </w:r>
            <w:r>
              <w:rPr>
                <w:rFonts w:ascii="Arial" w:eastAsia="Times New Roman" w:hAnsi="Arial" w:cs="Arial"/>
                <w:color w:val="000000"/>
                <w:sz w:val="10"/>
                <w:szCs w:val="10"/>
              </w:rPr>
              <w:t>3</w:t>
            </w: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100 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2,516 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r>
      <w:tr w:rsidR="00000000">
        <w:trPr>
          <w:divId w:val="1567951981"/>
        </w:trPr>
        <w:tc>
          <w:tcPr>
            <w:tcW w:w="0" w:type="auto"/>
            <w:gridSpan w:val="3"/>
            <w:vAlign w:val="center"/>
            <w:hideMark/>
          </w:tcPr>
          <w:p w:rsidR="00000000" w:rsidRDefault="001F1FC8">
            <w:pPr>
              <w:jc w:val="right"/>
              <w:rPr>
                <w:rFonts w:eastAsia="Times New Roman"/>
                <w:sz w:val="20"/>
                <w:szCs w:val="20"/>
              </w:rPr>
            </w:pPr>
          </w:p>
        </w:tc>
        <w:tc>
          <w:tcPr>
            <w:tcW w:w="0" w:type="auto"/>
            <w:gridSpan w:val="3"/>
            <w:vAlign w:val="center"/>
            <w:hideMark/>
          </w:tcPr>
          <w:p w:rsidR="00000000" w:rsidRDefault="001F1FC8">
            <w:pPr>
              <w:rPr>
                <w:rFonts w:eastAsia="Times New Roman"/>
                <w:sz w:val="20"/>
                <w:szCs w:val="20"/>
              </w:rPr>
            </w:pPr>
          </w:p>
        </w:tc>
        <w:tc>
          <w:tcPr>
            <w:tcW w:w="0" w:type="auto"/>
            <w:gridSpan w:val="3"/>
            <w:vAlign w:val="center"/>
            <w:hideMark/>
          </w:tcPr>
          <w:p w:rsidR="00000000" w:rsidRDefault="001F1FC8">
            <w:pPr>
              <w:rPr>
                <w:rFonts w:eastAsia="Times New Roman"/>
                <w:sz w:val="20"/>
                <w:szCs w:val="20"/>
              </w:rPr>
            </w:pPr>
          </w:p>
        </w:tc>
      </w:tr>
      <w:tr w:rsidR="00000000">
        <w:trPr>
          <w:divId w:val="1567951981"/>
        </w:trPr>
        <w:tc>
          <w:tcPr>
            <w:tcW w:w="0" w:type="auto"/>
            <w:gridSpan w:val="3"/>
            <w:tcMar>
              <w:top w:w="30" w:type="dxa"/>
              <w:left w:w="20" w:type="dxa"/>
              <w:bottom w:w="30" w:type="dxa"/>
              <w:right w:w="20" w:type="dxa"/>
            </w:tcMar>
            <w:vAlign w:val="bottom"/>
            <w:hideMark/>
          </w:tcPr>
          <w:p w:rsidR="00000000" w:rsidRDefault="001F1FC8">
            <w:pPr>
              <w:divId w:val="1440762660"/>
              <w:rPr>
                <w:rFonts w:eastAsia="Times New Roman"/>
              </w:rPr>
            </w:pPr>
            <w:r>
              <w:rPr>
                <w:rFonts w:ascii="Arial" w:eastAsia="Times New Roman" w:hAnsi="Arial" w:cs="Arial"/>
                <w:color w:val="000000"/>
                <w:sz w:val="20"/>
                <w:szCs w:val="20"/>
              </w:rPr>
              <w:t>PennEast Pipeline Company, LL</w:t>
            </w:r>
            <w:r>
              <w:rPr>
                <w:rFonts w:ascii="Arial" w:eastAsia="Times New Roman" w:hAnsi="Arial" w:cs="Arial"/>
                <w:color w:val="000000"/>
                <w:sz w:val="20"/>
                <w:szCs w:val="20"/>
              </w:rPr>
              <w:t>C</w:t>
            </w:r>
            <w:r>
              <w:rPr>
                <w:rFonts w:ascii="Arial" w:eastAsia="Times New Roman" w:hAnsi="Arial" w:cs="Arial"/>
                <w:color w:val="000000"/>
                <w:sz w:val="10"/>
                <w:szCs w:val="10"/>
              </w:rPr>
              <w:t>4</w:t>
            </w: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116 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371 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r>
      <w:tr w:rsidR="00000000">
        <w:trPr>
          <w:divId w:val="1567951981"/>
        </w:trPr>
        <w:tc>
          <w:tcPr>
            <w:tcW w:w="0" w:type="auto"/>
            <w:gridSpan w:val="3"/>
            <w:tcMar>
              <w:top w:w="30" w:type="dxa"/>
              <w:left w:w="20" w:type="dxa"/>
              <w:bottom w:w="30" w:type="dxa"/>
              <w:right w:w="20" w:type="dxa"/>
            </w:tcMar>
            <w:vAlign w:val="bottom"/>
            <w:hideMark/>
          </w:tcPr>
          <w:p w:rsidR="00000000" w:rsidRDefault="001F1FC8">
            <w:pPr>
              <w:divId w:val="1209758629"/>
              <w:rPr>
                <w:rFonts w:eastAsia="Times New Roman"/>
              </w:rPr>
            </w:pPr>
            <w:r>
              <w:rPr>
                <w:rFonts w:ascii="Arial" w:eastAsia="Times New Roman" w:hAnsi="Arial" w:cs="Arial"/>
                <w:color w:val="000000"/>
                <w:sz w:val="20"/>
                <w:szCs w:val="20"/>
              </w:rPr>
              <w:t>Rampion Offshore Wind Limite</w:t>
            </w:r>
            <w:r>
              <w:rPr>
                <w:rFonts w:ascii="Arial" w:eastAsia="Times New Roman" w:hAnsi="Arial" w:cs="Arial"/>
                <w:color w:val="000000"/>
                <w:sz w:val="20"/>
                <w:szCs w:val="20"/>
              </w:rPr>
              <w:t>d</w:t>
            </w:r>
            <w:r>
              <w:rPr>
                <w:rFonts w:ascii="Arial" w:eastAsia="Times New Roman" w:hAnsi="Arial" w:cs="Arial"/>
                <w:color w:val="000000"/>
                <w:sz w:val="10"/>
                <w:szCs w:val="10"/>
              </w:rPr>
              <w:t>5</w:t>
            </w: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599 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650 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r>
      <w:tr w:rsidR="00000000">
        <w:trPr>
          <w:divId w:val="1567951981"/>
        </w:trPr>
        <w:tc>
          <w:tcPr>
            <w:tcW w:w="0" w:type="auto"/>
            <w:gridSpan w:val="3"/>
            <w:tcMar>
              <w:top w:w="30" w:type="dxa"/>
              <w:left w:w="20" w:type="dxa"/>
              <w:bottom w:w="30" w:type="dxa"/>
              <w:right w:w="20" w:type="dxa"/>
            </w:tcMar>
            <w:vAlign w:val="bottom"/>
            <w:hideMark/>
          </w:tcPr>
          <w:p w:rsidR="00000000" w:rsidRDefault="001F1FC8">
            <w:pPr>
              <w:divId w:val="466819306"/>
              <w:rPr>
                <w:rFonts w:eastAsia="Times New Roman"/>
              </w:rPr>
            </w:pPr>
            <w:r>
              <w:rPr>
                <w:rFonts w:ascii="Arial" w:eastAsia="Times New Roman" w:hAnsi="Arial" w:cs="Arial"/>
                <w:color w:val="000000"/>
                <w:sz w:val="20"/>
                <w:szCs w:val="20"/>
              </w:rPr>
              <w:t>Vector Pipeline L.P</w:t>
            </w:r>
            <w:r>
              <w:rPr>
                <w:rFonts w:ascii="Arial" w:eastAsia="Times New Roman" w:hAnsi="Arial" w:cs="Arial"/>
                <w:color w:val="000000"/>
                <w:sz w:val="20"/>
                <w:szCs w:val="20"/>
              </w:rPr>
              <w:t>.</w:t>
            </w:r>
            <w:r>
              <w:rPr>
                <w:rFonts w:ascii="Arial" w:eastAsia="Times New Roman" w:hAnsi="Arial" w:cs="Arial"/>
                <w:color w:val="000000"/>
                <w:sz w:val="10"/>
                <w:szCs w:val="10"/>
              </w:rPr>
              <w:t>6</w:t>
            </w: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201 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390 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r>
      <w:tr w:rsidR="00000000">
        <w:trPr>
          <w:divId w:val="1567951981"/>
        </w:trPr>
        <w:tc>
          <w:tcPr>
            <w:tcW w:w="0" w:type="auto"/>
            <w:gridSpan w:val="3"/>
            <w:tcMar>
              <w:top w:w="30" w:type="dxa"/>
              <w:left w:w="20" w:type="dxa"/>
              <w:bottom w:w="30" w:type="dxa"/>
              <w:right w:w="20" w:type="dxa"/>
            </w:tcMar>
            <w:vAlign w:val="bottom"/>
            <w:hideMark/>
          </w:tcPr>
          <w:p w:rsidR="00000000" w:rsidRDefault="001F1FC8">
            <w:pPr>
              <w:divId w:val="1181163873"/>
              <w:rPr>
                <w:rFonts w:eastAsia="Times New Roman"/>
              </w:rPr>
            </w:pPr>
            <w:r>
              <w:rPr>
                <w:rFonts w:ascii="Arial" w:eastAsia="Times New Roman" w:hAnsi="Arial" w:cs="Arial"/>
                <w:color w:val="000000"/>
                <w:sz w:val="20"/>
                <w:szCs w:val="20"/>
              </w:rPr>
              <w:t>Othe</w:t>
            </w:r>
            <w:r>
              <w:rPr>
                <w:rFonts w:ascii="Arial" w:eastAsia="Times New Roman" w:hAnsi="Arial" w:cs="Arial"/>
                <w:color w:val="000000"/>
                <w:sz w:val="20"/>
                <w:szCs w:val="20"/>
              </w:rPr>
              <w:t>r</w:t>
            </w:r>
            <w:r>
              <w:rPr>
                <w:rFonts w:ascii="Arial" w:eastAsia="Times New Roman" w:hAnsi="Arial" w:cs="Arial"/>
                <w:color w:val="000000"/>
                <w:sz w:val="10"/>
                <w:szCs w:val="10"/>
              </w:rPr>
              <w:t>7</w:t>
            </w: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133 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361 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r>
      <w:tr w:rsidR="00000000">
        <w:trPr>
          <w:divId w:val="1567951981"/>
        </w:trPr>
        <w:tc>
          <w:tcPr>
            <w:tcW w:w="0" w:type="auto"/>
            <w:gridSpan w:val="3"/>
            <w:tcBorders>
              <w:top w:val="single" w:sz="4" w:space="0" w:color="000000"/>
              <w:bottom w:val="single" w:sz="8" w:space="0" w:color="000000"/>
            </w:tcBorders>
            <w:tcMar>
              <w:top w:w="0" w:type="dxa"/>
              <w:left w:w="20" w:type="dxa"/>
              <w:bottom w:w="0" w:type="dxa"/>
              <w:right w:w="20" w:type="dxa"/>
            </w:tcMar>
            <w:vAlign w:val="center"/>
            <w:hideMark/>
          </w:tcPr>
          <w:p w:rsidR="00000000" w:rsidRDefault="001F1FC8">
            <w:pPr>
              <w:jc w:val="right"/>
              <w:rPr>
                <w:rFonts w:eastAsia="Times New Roman"/>
                <w:sz w:val="20"/>
                <w:szCs w:val="20"/>
              </w:rPr>
            </w:pPr>
          </w:p>
        </w:tc>
        <w:tc>
          <w:tcPr>
            <w:tcW w:w="0" w:type="auto"/>
            <w:gridSpan w:val="2"/>
            <w:tcBorders>
              <w:top w:val="single" w:sz="4" w:space="0" w:color="000000"/>
              <w:bottom w:val="single" w:sz="8" w:space="0" w:color="000000"/>
            </w:tcBorders>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1,351 </w:t>
            </w:r>
          </w:p>
        </w:tc>
        <w:tc>
          <w:tcPr>
            <w:tcW w:w="0" w:type="auto"/>
            <w:tcBorders>
              <w:top w:val="single" w:sz="4" w:space="0" w:color="000000"/>
              <w:bottom w:val="single" w:sz="8" w:space="0" w:color="000000"/>
            </w:tcBorders>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Borders>
              <w:top w:val="single" w:sz="4" w:space="0" w:color="000000"/>
              <w:bottom w:val="single" w:sz="8" w:space="0" w:color="000000"/>
            </w:tcBorders>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5,424 </w:t>
            </w:r>
          </w:p>
        </w:tc>
        <w:tc>
          <w:tcPr>
            <w:tcW w:w="0" w:type="auto"/>
            <w:tcBorders>
              <w:top w:val="single" w:sz="4" w:space="0" w:color="000000"/>
              <w:bottom w:val="single" w:sz="8" w:space="0" w:color="000000"/>
            </w:tcBorders>
            <w:tcMar>
              <w:top w:w="30" w:type="dxa"/>
              <w:left w:w="0" w:type="dxa"/>
              <w:bottom w:w="30" w:type="dxa"/>
              <w:right w:w="20" w:type="dxa"/>
            </w:tcMar>
            <w:vAlign w:val="bottom"/>
            <w:hideMark/>
          </w:tcPr>
          <w:p w:rsidR="00000000" w:rsidRDefault="001F1FC8">
            <w:pPr>
              <w:jc w:val="right"/>
              <w:rPr>
                <w:rFonts w:eastAsia="Times New Roman"/>
              </w:rPr>
            </w:pPr>
          </w:p>
        </w:tc>
      </w:tr>
    </w:tbl>
    <w:p w:rsidR="00000000" w:rsidRDefault="001F1FC8">
      <w:pPr>
        <w:ind w:hanging="180"/>
        <w:divId w:val="1210386879"/>
        <w:rPr>
          <w:rFonts w:eastAsia="Times New Roman"/>
        </w:rPr>
      </w:pPr>
      <w:r>
        <w:rPr>
          <w:rFonts w:ascii="Arial" w:eastAsia="Times New Roman" w:hAnsi="Arial" w:cs="Arial"/>
          <w:i/>
          <w:iCs/>
          <w:color w:val="000000"/>
          <w:sz w:val="16"/>
          <w:szCs w:val="16"/>
        </w:rPr>
        <w:t>1At December </w:t>
      </w:r>
      <w:r>
        <w:rPr>
          <w:rFonts w:ascii="Arial" w:eastAsia="Times New Roman" w:hAnsi="Arial" w:cs="Arial"/>
          <w:i/>
          <w:iCs/>
          <w:color w:val="000000"/>
          <w:sz w:val="16"/>
          <w:szCs w:val="16"/>
        </w:rPr>
        <w:t>31, 2021 and 2020, the maximum exposure to loss includes guarantees by us for our respective share of the VIE’s borrowing on a bank credit facility.</w:t>
      </w:r>
    </w:p>
    <w:p w:rsidR="00000000" w:rsidRDefault="001F1FC8">
      <w:pPr>
        <w:ind w:hanging="180"/>
        <w:divId w:val="1667974680"/>
        <w:rPr>
          <w:rFonts w:eastAsia="Times New Roman"/>
        </w:rPr>
      </w:pPr>
      <w:r>
        <w:rPr>
          <w:rFonts w:ascii="Arial" w:eastAsia="Times New Roman" w:hAnsi="Arial" w:cs="Arial"/>
          <w:i/>
          <w:iCs/>
          <w:color w:val="000000"/>
          <w:sz w:val="16"/>
          <w:szCs w:val="16"/>
        </w:rPr>
        <w:t>2At December 31, 2021, the maximum exposure to loss includes our parental guarantees that have been committ</w:t>
      </w:r>
      <w:r>
        <w:rPr>
          <w:rFonts w:ascii="Arial" w:eastAsia="Times New Roman" w:hAnsi="Arial" w:cs="Arial"/>
          <w:i/>
          <w:iCs/>
          <w:color w:val="000000"/>
          <w:sz w:val="16"/>
          <w:szCs w:val="16"/>
        </w:rPr>
        <w:t>ed in connection with the three French offshore wind projects for which we would be liable in the event of default by the VIE and an outstanding affiliate loan receivable for $73 million held by us as at December 31, 2021. On March 18, 2021, Enbridge Renew</w:t>
      </w:r>
      <w:r>
        <w:rPr>
          <w:rFonts w:ascii="Arial" w:eastAsia="Times New Roman" w:hAnsi="Arial" w:cs="Arial"/>
          <w:i/>
          <w:iCs/>
          <w:color w:val="000000"/>
          <w:sz w:val="16"/>
          <w:szCs w:val="16"/>
        </w:rPr>
        <w:t>able Infrastructure Holdings S.</w:t>
      </w:r>
      <w:r>
        <w:rPr>
          <w:rFonts w:ascii="Arial" w:eastAsia="Times New Roman" w:hAnsi="Arial" w:cs="Arial"/>
          <w:color w:val="000000"/>
          <w:sz w:val="16"/>
          <w:szCs w:val="16"/>
        </w:rPr>
        <w:t xml:space="preserve">á </w:t>
      </w:r>
      <w:r>
        <w:rPr>
          <w:rFonts w:ascii="Arial" w:eastAsia="Times New Roman" w:hAnsi="Arial" w:cs="Arial"/>
          <w:i/>
          <w:iCs/>
          <w:color w:val="000000"/>
          <w:sz w:val="16"/>
          <w:szCs w:val="16"/>
        </w:rPr>
        <w:t>r.l. (ERIH) closed the sale of 49% of its interest in EIH S.</w:t>
      </w:r>
      <w:r>
        <w:rPr>
          <w:rFonts w:ascii="Arial" w:eastAsia="Times New Roman" w:hAnsi="Arial" w:cs="Arial"/>
          <w:color w:val="000000"/>
          <w:sz w:val="16"/>
          <w:szCs w:val="16"/>
        </w:rPr>
        <w:t xml:space="preserve">á </w:t>
      </w:r>
      <w:r>
        <w:rPr>
          <w:rFonts w:ascii="Arial" w:eastAsia="Times New Roman" w:hAnsi="Arial" w:cs="Arial"/>
          <w:i/>
          <w:iCs/>
          <w:color w:val="000000"/>
          <w:sz w:val="16"/>
          <w:szCs w:val="16"/>
        </w:rPr>
        <w:t>r.l. to the Canada Pension Plan Investment Board (CPP Investments).</w:t>
      </w:r>
    </w:p>
    <w:p w:rsidR="00000000" w:rsidRDefault="001F1FC8">
      <w:pPr>
        <w:ind w:hanging="180"/>
        <w:divId w:val="717707975"/>
        <w:rPr>
          <w:rFonts w:eastAsia="Times New Roman"/>
        </w:rPr>
      </w:pPr>
      <w:r>
        <w:rPr>
          <w:rFonts w:ascii="Arial" w:eastAsia="Times New Roman" w:hAnsi="Arial" w:cs="Arial"/>
          <w:i/>
          <w:iCs/>
          <w:color w:val="000000"/>
          <w:sz w:val="16"/>
          <w:szCs w:val="16"/>
        </w:rPr>
        <w:t>3At December </w:t>
      </w:r>
      <w:r>
        <w:rPr>
          <w:rFonts w:ascii="Arial" w:eastAsia="Times New Roman" w:hAnsi="Arial" w:cs="Arial"/>
          <w:i/>
          <w:iCs/>
          <w:color w:val="000000"/>
          <w:sz w:val="16"/>
          <w:szCs w:val="16"/>
        </w:rPr>
        <w:t>31, 2021 and 2020, the maximum exposure to loss includes our parental guarantees that have been committed in connection with the project for which we would be liable in the event of default by the VIE and an outstanding affiliate loan receivable for $807 m</w:t>
      </w:r>
      <w:r>
        <w:rPr>
          <w:rFonts w:ascii="Arial" w:eastAsia="Times New Roman" w:hAnsi="Arial" w:cs="Arial"/>
          <w:i/>
          <w:iCs/>
          <w:color w:val="000000"/>
          <w:sz w:val="16"/>
          <w:szCs w:val="16"/>
        </w:rPr>
        <w:t>illion and $904 million held by us as at December 31, 2021 and 2020, respectively.</w:t>
      </w:r>
    </w:p>
    <w:p w:rsidR="00000000" w:rsidRDefault="001F1FC8">
      <w:pPr>
        <w:ind w:hanging="180"/>
        <w:divId w:val="695429510"/>
        <w:rPr>
          <w:rFonts w:eastAsia="Times New Roman"/>
        </w:rPr>
      </w:pPr>
      <w:r>
        <w:rPr>
          <w:rFonts w:ascii="Arial" w:eastAsia="Times New Roman" w:hAnsi="Arial" w:cs="Arial"/>
          <w:i/>
          <w:iCs/>
          <w:color w:val="000000"/>
          <w:sz w:val="16"/>
          <w:szCs w:val="16"/>
        </w:rPr>
        <w:t>4At December 31, 2021, the maximum exposure to loss is limited to our equity investment and at December 31, 2020, the maximum exposure to loss includes the remaining expecte</w:t>
      </w:r>
      <w:r>
        <w:rPr>
          <w:rFonts w:ascii="Arial" w:eastAsia="Times New Roman" w:hAnsi="Arial" w:cs="Arial"/>
          <w:i/>
          <w:iCs/>
          <w:color w:val="000000"/>
          <w:sz w:val="16"/>
          <w:szCs w:val="16"/>
        </w:rPr>
        <w:t>d contributions to the joint venture.</w:t>
      </w:r>
    </w:p>
    <w:p w:rsidR="00000000" w:rsidRDefault="001F1FC8">
      <w:pPr>
        <w:ind w:hanging="180"/>
        <w:divId w:val="1361707401"/>
        <w:rPr>
          <w:rFonts w:eastAsia="Times New Roman"/>
        </w:rPr>
      </w:pPr>
      <w:r>
        <w:rPr>
          <w:rFonts w:ascii="Arial" w:eastAsia="Times New Roman" w:hAnsi="Arial" w:cs="Arial"/>
          <w:i/>
          <w:iCs/>
          <w:color w:val="000000"/>
          <w:sz w:val="16"/>
          <w:szCs w:val="16"/>
        </w:rPr>
        <w:t>5At December 31, 2021 and 2020, the maximum exposure to loss includes our parental guarantees that have been committed in project contracts in which we would be liable for in the event of default by the VIE.</w:t>
      </w:r>
    </w:p>
    <w:p w:rsidR="00000000" w:rsidRDefault="001F1FC8">
      <w:pPr>
        <w:ind w:hanging="180"/>
        <w:divId w:val="1897818356"/>
        <w:rPr>
          <w:rFonts w:eastAsia="Times New Roman"/>
        </w:rPr>
      </w:pPr>
      <w:r>
        <w:rPr>
          <w:rFonts w:ascii="Arial" w:eastAsia="Times New Roman" w:hAnsi="Arial" w:cs="Arial"/>
          <w:i/>
          <w:iCs/>
          <w:color w:val="000000"/>
          <w:sz w:val="16"/>
          <w:szCs w:val="16"/>
        </w:rPr>
        <w:t>6At Decemb</w:t>
      </w:r>
      <w:r>
        <w:rPr>
          <w:rFonts w:ascii="Arial" w:eastAsia="Times New Roman" w:hAnsi="Arial" w:cs="Arial"/>
          <w:i/>
          <w:iCs/>
          <w:color w:val="000000"/>
          <w:sz w:val="16"/>
          <w:szCs w:val="16"/>
        </w:rPr>
        <w:t xml:space="preserve">er 31, 2021 and 2020, the maximum exposure to loss includes the carrying value of outstanding affiliate loans receivable for $80 million and $84 million held by us as at December 31, 2021 and 2020, respectively, and an outstanding credit facility for $105 </w:t>
      </w:r>
      <w:r>
        <w:rPr>
          <w:rFonts w:ascii="Arial" w:eastAsia="Times New Roman" w:hAnsi="Arial" w:cs="Arial"/>
          <w:i/>
          <w:iCs/>
          <w:color w:val="000000"/>
          <w:sz w:val="16"/>
          <w:szCs w:val="16"/>
        </w:rPr>
        <w:t>million as at December 31, 2021 and 2020.</w:t>
      </w:r>
    </w:p>
    <w:p w:rsidR="00000000" w:rsidRDefault="001F1FC8">
      <w:pPr>
        <w:ind w:hanging="180"/>
        <w:divId w:val="2127311381"/>
        <w:rPr>
          <w:rFonts w:eastAsia="Times New Roman"/>
        </w:rPr>
      </w:pPr>
      <w:r>
        <w:rPr>
          <w:rFonts w:ascii="Arial" w:eastAsia="Times New Roman" w:hAnsi="Arial" w:cs="Arial"/>
          <w:i/>
          <w:iCs/>
          <w:color w:val="000000"/>
          <w:sz w:val="16"/>
          <w:szCs w:val="16"/>
        </w:rPr>
        <w:t>7At December 31, 2021, the maximum exposure to loss includes our parental guarantees that have been committed in connection with the project for which we would be liable in the event of default by the VIE.</w:t>
      </w:r>
    </w:p>
    <w:p w:rsidR="00000000" w:rsidRDefault="001F1FC8">
      <w:pPr>
        <w:ind w:hanging="180"/>
        <w:divId w:val="1968192689"/>
        <w:rPr>
          <w:rFonts w:eastAsia="Times New Roman"/>
        </w:rPr>
      </w:pPr>
      <w:r>
        <w:rPr>
          <w:rFonts w:ascii="Arial" w:eastAsia="Times New Roman" w:hAnsi="Arial" w:cs="Arial"/>
          <w:i/>
          <w:iCs/>
          <w:color w:val="000000"/>
          <w:sz w:val="16"/>
          <w:szCs w:val="16"/>
        </w:rPr>
        <w:t>8At Dece</w:t>
      </w:r>
      <w:r>
        <w:rPr>
          <w:rFonts w:ascii="Arial" w:eastAsia="Times New Roman" w:hAnsi="Arial" w:cs="Arial"/>
          <w:i/>
          <w:iCs/>
          <w:color w:val="000000"/>
          <w:sz w:val="16"/>
          <w:szCs w:val="16"/>
        </w:rPr>
        <w:t>mber 31, 2020, the maximum exposure to loss includes our parental guarantees that have been committed in connection with the project for which we would be liable for in the event of default by the VIE and an outstanding affiliate loan receivable for $132 m</w:t>
      </w:r>
      <w:r>
        <w:rPr>
          <w:rFonts w:ascii="Arial" w:eastAsia="Times New Roman" w:hAnsi="Arial" w:cs="Arial"/>
          <w:i/>
          <w:iCs/>
          <w:color w:val="000000"/>
          <w:sz w:val="16"/>
          <w:szCs w:val="16"/>
        </w:rPr>
        <w:t>illion held by us as at December 31, 2020. In relation to the sale of 49% of EIH S.</w:t>
      </w:r>
      <w:r>
        <w:rPr>
          <w:rFonts w:ascii="Arial" w:eastAsia="Times New Roman" w:hAnsi="Arial" w:cs="Arial"/>
          <w:color w:val="000000"/>
          <w:sz w:val="16"/>
          <w:szCs w:val="16"/>
        </w:rPr>
        <w:t xml:space="preserve">á </w:t>
      </w:r>
      <w:r>
        <w:rPr>
          <w:rFonts w:ascii="Arial" w:eastAsia="Times New Roman" w:hAnsi="Arial" w:cs="Arial"/>
          <w:i/>
          <w:iCs/>
          <w:color w:val="000000"/>
          <w:sz w:val="16"/>
          <w:szCs w:val="16"/>
        </w:rPr>
        <w:t>r.l.'s interest to CPP Investments, Eolien Maritime France SAS is now reported under EIH S.</w:t>
      </w:r>
      <w:r>
        <w:rPr>
          <w:rFonts w:ascii="Arial" w:eastAsia="Times New Roman" w:hAnsi="Arial" w:cs="Arial"/>
          <w:color w:val="000000"/>
          <w:sz w:val="16"/>
          <w:szCs w:val="16"/>
        </w:rPr>
        <w:t xml:space="preserve">á </w:t>
      </w:r>
      <w:r>
        <w:rPr>
          <w:rFonts w:ascii="Arial" w:eastAsia="Times New Roman" w:hAnsi="Arial" w:cs="Arial"/>
          <w:i/>
          <w:iCs/>
          <w:color w:val="000000"/>
          <w:sz w:val="16"/>
          <w:szCs w:val="16"/>
        </w:rPr>
        <w:t>r.l. in 2021.</w:t>
      </w:r>
    </w:p>
    <w:p w:rsidR="00000000" w:rsidRDefault="001F1FC8">
      <w:pPr>
        <w:divId w:val="1739936009"/>
        <w:rPr>
          <w:rFonts w:eastAsia="Times New Roman"/>
        </w:rPr>
      </w:pPr>
    </w:p>
    <w:p w:rsidR="00000000" w:rsidRDefault="001F1FC8">
      <w:pPr>
        <w:divId w:val="1781417178"/>
        <w:rPr>
          <w:rFonts w:eastAsia="Times New Roman"/>
        </w:rPr>
      </w:pPr>
      <w:r>
        <w:rPr>
          <w:rFonts w:ascii="Arial" w:eastAsia="Times New Roman" w:hAnsi="Arial" w:cs="Arial"/>
          <w:color w:val="000000"/>
          <w:sz w:val="20"/>
          <w:szCs w:val="20"/>
        </w:rPr>
        <w:t>We do not have an obligation to and did not provide any additi</w:t>
      </w:r>
      <w:r>
        <w:rPr>
          <w:rFonts w:ascii="Arial" w:eastAsia="Times New Roman" w:hAnsi="Arial" w:cs="Arial"/>
          <w:color w:val="000000"/>
          <w:sz w:val="20"/>
          <w:szCs w:val="20"/>
        </w:rPr>
        <w:t>onal financial support to the VIEs during the years ended December 31, 2021 and 2020.</w:t>
      </w:r>
    </w:p>
    <w:p w:rsidR="00000000" w:rsidRDefault="001F1FC8">
      <w:pPr>
        <w:divId w:val="88166632"/>
        <w:rPr>
          <w:rFonts w:eastAsia="Times New Roman"/>
        </w:rPr>
      </w:pPr>
    </w:p>
    <w:p w:rsidR="00000000" w:rsidRDefault="001F1FC8">
      <w:pPr>
        <w:jc w:val="center"/>
        <w:divId w:val="1863005861"/>
        <w:rPr>
          <w:rFonts w:eastAsia="Times New Roman"/>
        </w:rPr>
      </w:pPr>
      <w:r>
        <w:rPr>
          <w:rFonts w:ascii="Arial" w:eastAsia="Times New Roman" w:hAnsi="Arial" w:cs="Arial"/>
          <w:color w:val="000000"/>
          <w:sz w:val="20"/>
          <w:szCs w:val="20"/>
        </w:rPr>
        <w:t>132</w:t>
      </w:r>
    </w:p>
    <w:p w:rsidR="00000000" w:rsidRDefault="001F1FC8">
      <w:pPr>
        <w:rPr>
          <w:rFonts w:eastAsia="Times New Roman"/>
        </w:rPr>
      </w:pPr>
      <w:r>
        <w:rPr>
          <w:rFonts w:eastAsia="Times New Roman"/>
        </w:rPr>
        <w:pict>
          <v:rect id="_x0000_i1162" style="width:0;height:1.5pt" o:hralign="center" o:hrstd="t" o:hr="t" fillcolor="#a0a0a0" stroked="f"/>
        </w:pict>
      </w:r>
    </w:p>
    <w:p w:rsidR="00000000" w:rsidRDefault="001F1FC8">
      <w:pPr>
        <w:jc w:val="center"/>
        <w:divId w:val="1104039374"/>
        <w:rPr>
          <w:rFonts w:eastAsia="Times New Roman"/>
        </w:rPr>
      </w:pPr>
    </w:p>
    <w:p w:rsidR="00000000" w:rsidRDefault="001F1FC8">
      <w:pPr>
        <w:divId w:val="5334136"/>
        <w:rPr>
          <w:rFonts w:eastAsia="Times New Roman"/>
        </w:rPr>
      </w:pPr>
      <w:r>
        <w:rPr>
          <w:rFonts w:ascii="Arial" w:eastAsia="Times New Roman" w:hAnsi="Arial" w:cs="Arial"/>
          <w:b/>
          <w:bCs/>
          <w:color w:val="000000"/>
          <w:sz w:val="26"/>
          <w:szCs w:val="26"/>
        </w:rPr>
        <w:t>13.  LONG-TERM INVESTMENTS</w:t>
      </w:r>
    </w:p>
    <w:tbl>
      <w:tblPr>
        <w:tblW w:w="5000" w:type="pct"/>
        <w:tblCellMar>
          <w:top w:w="15" w:type="dxa"/>
          <w:left w:w="15" w:type="dxa"/>
          <w:bottom w:w="15" w:type="dxa"/>
          <w:right w:w="15" w:type="dxa"/>
        </w:tblCellMar>
        <w:tblLook w:val="04A0" w:firstRow="1" w:lastRow="0" w:firstColumn="1" w:lastColumn="0" w:noHBand="0" w:noVBand="1"/>
      </w:tblPr>
      <w:tblGrid>
        <w:gridCol w:w="48"/>
        <w:gridCol w:w="5120"/>
        <w:gridCol w:w="39"/>
        <w:gridCol w:w="65"/>
        <w:gridCol w:w="1136"/>
        <w:gridCol w:w="198"/>
        <w:gridCol w:w="65"/>
        <w:gridCol w:w="749"/>
        <w:gridCol w:w="36"/>
        <w:gridCol w:w="65"/>
        <w:gridCol w:w="749"/>
        <w:gridCol w:w="36"/>
      </w:tblGrid>
      <w:tr w:rsidR="00000000">
        <w:trPr>
          <w:divId w:val="2103992508"/>
        </w:trPr>
        <w:tc>
          <w:tcPr>
            <w:tcW w:w="50" w:type="pct"/>
            <w:vAlign w:val="center"/>
            <w:hideMark/>
          </w:tcPr>
          <w:p w:rsidR="00000000" w:rsidRDefault="001F1FC8">
            <w:pPr>
              <w:rPr>
                <w:rFonts w:eastAsia="Times New Roman"/>
              </w:rPr>
            </w:pPr>
          </w:p>
        </w:tc>
        <w:tc>
          <w:tcPr>
            <w:tcW w:w="3102"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c>
          <w:tcPr>
            <w:tcW w:w="50" w:type="pct"/>
            <w:vAlign w:val="center"/>
            <w:hideMark/>
          </w:tcPr>
          <w:p w:rsidR="00000000" w:rsidRDefault="001F1FC8">
            <w:pPr>
              <w:rPr>
                <w:rFonts w:eastAsia="Times New Roman"/>
                <w:sz w:val="20"/>
                <w:szCs w:val="20"/>
              </w:rPr>
            </w:pPr>
          </w:p>
        </w:tc>
        <w:tc>
          <w:tcPr>
            <w:tcW w:w="714"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c>
          <w:tcPr>
            <w:tcW w:w="50" w:type="pct"/>
            <w:vAlign w:val="center"/>
            <w:hideMark/>
          </w:tcPr>
          <w:p w:rsidR="00000000" w:rsidRDefault="001F1FC8">
            <w:pPr>
              <w:rPr>
                <w:rFonts w:eastAsia="Times New Roman"/>
                <w:sz w:val="20"/>
                <w:szCs w:val="20"/>
              </w:rPr>
            </w:pPr>
          </w:p>
        </w:tc>
        <w:tc>
          <w:tcPr>
            <w:tcW w:w="481"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c>
          <w:tcPr>
            <w:tcW w:w="50" w:type="pct"/>
            <w:vAlign w:val="center"/>
            <w:hideMark/>
          </w:tcPr>
          <w:p w:rsidR="00000000" w:rsidRDefault="001F1FC8">
            <w:pPr>
              <w:rPr>
                <w:rFonts w:eastAsia="Times New Roman"/>
                <w:sz w:val="20"/>
                <w:szCs w:val="20"/>
              </w:rPr>
            </w:pPr>
          </w:p>
        </w:tc>
        <w:tc>
          <w:tcPr>
            <w:tcW w:w="481"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r>
      <w:tr w:rsidR="00000000">
        <w:trPr>
          <w:divId w:val="2103992508"/>
        </w:trPr>
        <w:tc>
          <w:tcPr>
            <w:tcW w:w="0" w:type="auto"/>
            <w:gridSpan w:val="3"/>
            <w:tcMar>
              <w:top w:w="30" w:type="dxa"/>
              <w:left w:w="20" w:type="dxa"/>
              <w:bottom w:w="30" w:type="dxa"/>
              <w:right w:w="20" w:type="dxa"/>
            </w:tcMar>
            <w:hideMark/>
          </w:tcPr>
          <w:p w:rsidR="00000000" w:rsidRDefault="001F1FC8">
            <w:pPr>
              <w:rPr>
                <w:rFonts w:eastAsia="Times New Roman"/>
              </w:rPr>
            </w:pPr>
            <w:r>
              <w:rPr>
                <w:rFonts w:ascii="Arial" w:eastAsia="Times New Roman" w:hAnsi="Arial" w:cs="Arial"/>
                <w:color w:val="000000"/>
                <w:sz w:val="2"/>
                <w:szCs w:val="2"/>
              </w:rPr>
              <w:t> </w:t>
            </w:r>
          </w:p>
        </w:tc>
        <w:tc>
          <w:tcPr>
            <w:tcW w:w="0" w:type="auto"/>
            <w:gridSpan w:val="3"/>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Ownership</w:t>
            </w:r>
          </w:p>
        </w:tc>
        <w:tc>
          <w:tcPr>
            <w:tcW w:w="0" w:type="auto"/>
            <w:gridSpan w:val="3"/>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2"/>
                <w:szCs w:val="2"/>
              </w:rPr>
              <w:t> </w:t>
            </w:r>
          </w:p>
        </w:tc>
        <w:tc>
          <w:tcPr>
            <w:tcW w:w="0" w:type="auto"/>
            <w:gridSpan w:val="3"/>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2"/>
                <w:szCs w:val="2"/>
              </w:rPr>
              <w:t> </w:t>
            </w:r>
          </w:p>
        </w:tc>
      </w:tr>
      <w:tr w:rsidR="00000000">
        <w:trPr>
          <w:divId w:val="2103992508"/>
        </w:trPr>
        <w:tc>
          <w:tcPr>
            <w:tcW w:w="0" w:type="auto"/>
            <w:gridSpan w:val="3"/>
            <w:tcMar>
              <w:top w:w="30" w:type="dxa"/>
              <w:left w:w="20" w:type="dxa"/>
              <w:bottom w:w="30" w:type="dxa"/>
              <w:right w:w="20" w:type="dxa"/>
            </w:tcMar>
            <w:hideMark/>
          </w:tcPr>
          <w:p w:rsidR="00000000" w:rsidRDefault="001F1FC8">
            <w:pPr>
              <w:rPr>
                <w:rFonts w:eastAsia="Times New Roman"/>
              </w:rPr>
            </w:pPr>
            <w:r>
              <w:rPr>
                <w:rFonts w:ascii="Arial" w:eastAsia="Times New Roman" w:hAnsi="Arial" w:cs="Arial"/>
                <w:color w:val="000000"/>
                <w:sz w:val="20"/>
                <w:szCs w:val="20"/>
              </w:rPr>
              <w:t>December 31,</w:t>
            </w:r>
          </w:p>
        </w:tc>
        <w:tc>
          <w:tcPr>
            <w:tcW w:w="0" w:type="auto"/>
            <w:gridSpan w:val="3"/>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Interest</w:t>
            </w:r>
          </w:p>
        </w:tc>
        <w:tc>
          <w:tcPr>
            <w:tcW w:w="0" w:type="auto"/>
            <w:gridSpan w:val="3"/>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b/>
                <w:bCs/>
                <w:color w:val="000000"/>
                <w:sz w:val="20"/>
                <w:szCs w:val="20"/>
              </w:rPr>
              <w:t>2021</w:t>
            </w:r>
          </w:p>
        </w:tc>
        <w:tc>
          <w:tcPr>
            <w:tcW w:w="0" w:type="auto"/>
            <w:gridSpan w:val="3"/>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2020</w:t>
            </w:r>
          </w:p>
        </w:tc>
      </w:tr>
      <w:tr w:rsidR="00000000">
        <w:trPr>
          <w:divId w:val="2103992508"/>
        </w:trPr>
        <w:tc>
          <w:tcPr>
            <w:tcW w:w="0" w:type="auto"/>
            <w:gridSpan w:val="3"/>
            <w:tcBorders>
              <w:top w:val="single" w:sz="4" w:space="0" w:color="000000"/>
            </w:tcBorders>
            <w:tcMar>
              <w:top w:w="30" w:type="dxa"/>
              <w:left w:w="20" w:type="dxa"/>
              <w:bottom w:w="30" w:type="dxa"/>
              <w:right w:w="20" w:type="dxa"/>
            </w:tcMar>
            <w:hideMark/>
          </w:tcPr>
          <w:p w:rsidR="00000000" w:rsidRDefault="001F1FC8">
            <w:pPr>
              <w:rPr>
                <w:rFonts w:eastAsia="Times New Roman"/>
              </w:rPr>
            </w:pPr>
            <w:r>
              <w:rPr>
                <w:rFonts w:ascii="Arial" w:eastAsia="Times New Roman" w:hAnsi="Arial" w:cs="Arial"/>
                <w:i/>
                <w:iCs/>
                <w:color w:val="000000"/>
                <w:sz w:val="16"/>
                <w:szCs w:val="16"/>
              </w:rPr>
              <w:t>(millions of Canadian dollars)</w:t>
            </w: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2"/>
                <w:szCs w:val="2"/>
              </w:rPr>
              <w:t> </w:t>
            </w:r>
          </w:p>
        </w:tc>
        <w:tc>
          <w:tcPr>
            <w:tcW w:w="0" w:type="auto"/>
            <w:gridSpan w:val="3"/>
            <w:tcBorders>
              <w:top w:val="single" w:sz="4" w:space="0" w:color="000000"/>
            </w:tcBorders>
            <w:shd w:val="clear" w:color="auto" w:fill="D9D9D9"/>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2"/>
                <w:szCs w:val="2"/>
              </w:rPr>
              <w:t> </w:t>
            </w: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2"/>
                <w:szCs w:val="2"/>
              </w:rPr>
              <w:t> </w:t>
            </w:r>
          </w:p>
        </w:tc>
      </w:tr>
      <w:tr w:rsidR="00000000">
        <w:trPr>
          <w:divId w:val="2103992508"/>
        </w:trPr>
        <w:tc>
          <w:tcPr>
            <w:tcW w:w="0" w:type="auto"/>
            <w:gridSpan w:val="3"/>
            <w:tcMar>
              <w:top w:w="30" w:type="dxa"/>
              <w:left w:w="20" w:type="dxa"/>
              <w:bottom w:w="30" w:type="dxa"/>
              <w:right w:w="20" w:type="dxa"/>
            </w:tcMar>
            <w:hideMark/>
          </w:tcPr>
          <w:p w:rsidR="00000000" w:rsidRDefault="001F1FC8">
            <w:pPr>
              <w:rPr>
                <w:rFonts w:eastAsia="Times New Roman"/>
              </w:rPr>
            </w:pPr>
            <w:r>
              <w:rPr>
                <w:rFonts w:ascii="Arial" w:eastAsia="Times New Roman" w:hAnsi="Arial" w:cs="Arial"/>
                <w:b/>
                <w:bCs/>
                <w:color w:val="000000"/>
                <w:sz w:val="20"/>
                <w:szCs w:val="20"/>
              </w:rPr>
              <w:t>EQUITY INVESTMENTS</w:t>
            </w:r>
          </w:p>
        </w:tc>
        <w:tc>
          <w:tcPr>
            <w:tcW w:w="0" w:type="auto"/>
            <w:gridSpan w:val="3"/>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2"/>
                <w:szCs w:val="2"/>
              </w:rPr>
              <w:t> </w:t>
            </w:r>
          </w:p>
        </w:tc>
        <w:tc>
          <w:tcPr>
            <w:tcW w:w="0" w:type="auto"/>
            <w:gridSpan w:val="3"/>
            <w:shd w:val="clear" w:color="auto" w:fill="D9D9D9"/>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2"/>
                <w:szCs w:val="2"/>
              </w:rPr>
              <w:t> </w:t>
            </w:r>
          </w:p>
        </w:tc>
        <w:tc>
          <w:tcPr>
            <w:tcW w:w="0" w:type="auto"/>
            <w:gridSpan w:val="3"/>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2"/>
                <w:szCs w:val="2"/>
              </w:rPr>
              <w:t> </w:t>
            </w:r>
          </w:p>
        </w:tc>
      </w:tr>
      <w:tr w:rsidR="00000000">
        <w:trPr>
          <w:divId w:val="2103992508"/>
        </w:trPr>
        <w:tc>
          <w:tcPr>
            <w:tcW w:w="0" w:type="auto"/>
            <w:gridSpan w:val="3"/>
            <w:tcMar>
              <w:top w:w="30" w:type="dxa"/>
              <w:left w:w="155" w:type="dxa"/>
              <w:bottom w:w="30" w:type="dxa"/>
              <w:right w:w="20" w:type="dxa"/>
            </w:tcMar>
            <w:hideMark/>
          </w:tcPr>
          <w:p w:rsidR="00000000" w:rsidRDefault="001F1FC8">
            <w:pPr>
              <w:rPr>
                <w:rFonts w:eastAsia="Times New Roman"/>
              </w:rPr>
            </w:pPr>
            <w:r>
              <w:rPr>
                <w:rFonts w:ascii="Arial" w:eastAsia="Times New Roman" w:hAnsi="Arial" w:cs="Arial"/>
                <w:b/>
                <w:bCs/>
                <w:color w:val="000000"/>
                <w:sz w:val="20"/>
                <w:szCs w:val="20"/>
              </w:rPr>
              <w:t>Liquids Pipelines</w:t>
            </w:r>
          </w:p>
        </w:tc>
        <w:tc>
          <w:tcPr>
            <w:tcW w:w="0" w:type="auto"/>
            <w:gridSpan w:val="3"/>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2"/>
                <w:szCs w:val="2"/>
              </w:rPr>
              <w:t> </w:t>
            </w:r>
          </w:p>
        </w:tc>
        <w:tc>
          <w:tcPr>
            <w:tcW w:w="0" w:type="auto"/>
            <w:gridSpan w:val="3"/>
            <w:shd w:val="clear" w:color="auto" w:fill="D9D9D9"/>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2"/>
                <w:szCs w:val="2"/>
              </w:rPr>
              <w:t> </w:t>
            </w:r>
          </w:p>
        </w:tc>
        <w:tc>
          <w:tcPr>
            <w:tcW w:w="0" w:type="auto"/>
            <w:gridSpan w:val="3"/>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2"/>
                <w:szCs w:val="2"/>
              </w:rPr>
              <w:t> </w:t>
            </w:r>
          </w:p>
        </w:tc>
      </w:tr>
      <w:tr w:rsidR="00000000">
        <w:trPr>
          <w:divId w:val="2103992508"/>
        </w:trPr>
        <w:tc>
          <w:tcPr>
            <w:tcW w:w="0" w:type="auto"/>
            <w:gridSpan w:val="3"/>
            <w:tcMar>
              <w:top w:w="30" w:type="dxa"/>
              <w:left w:w="20" w:type="dxa"/>
              <w:bottom w:w="30" w:type="dxa"/>
              <w:right w:w="20" w:type="dxa"/>
            </w:tcMar>
            <w:hideMark/>
          </w:tcPr>
          <w:p w:rsidR="00000000" w:rsidRDefault="001F1FC8">
            <w:pPr>
              <w:divId w:val="1986470926"/>
              <w:rPr>
                <w:rFonts w:eastAsia="Times New Roman"/>
              </w:rPr>
            </w:pPr>
            <w:r>
              <w:rPr>
                <w:rFonts w:ascii="Arial" w:eastAsia="Times New Roman" w:hAnsi="Arial" w:cs="Arial"/>
                <w:color w:val="000000"/>
                <w:sz w:val="20"/>
                <w:szCs w:val="20"/>
              </w:rPr>
              <w:t>MarEn Bakken Company LL</w:t>
            </w:r>
            <w:r>
              <w:rPr>
                <w:rFonts w:ascii="Arial" w:eastAsia="Times New Roman" w:hAnsi="Arial" w:cs="Arial"/>
                <w:color w:val="000000"/>
                <w:sz w:val="20"/>
                <w:szCs w:val="20"/>
              </w:rPr>
              <w:t>C</w:t>
            </w:r>
            <w:r>
              <w:rPr>
                <w:rFonts w:ascii="Arial" w:eastAsia="Times New Roman" w:hAnsi="Arial" w:cs="Arial"/>
                <w:color w:val="000000"/>
                <w:sz w:val="10"/>
                <w:szCs w:val="10"/>
              </w:rPr>
              <w:t>1</w:t>
            </w: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75.0 </w:t>
            </w:r>
          </w:p>
        </w:tc>
        <w:tc>
          <w:tcPr>
            <w:tcW w:w="0" w:type="auto"/>
            <w:tcMar>
              <w:top w:w="30" w:type="dxa"/>
              <w:left w:w="0" w:type="dxa"/>
              <w:bottom w:w="30" w:type="dxa"/>
              <w:right w:w="20" w:type="dxa"/>
            </w:tcMar>
            <w:vAlign w:val="bottom"/>
            <w:hideMark/>
          </w:tcPr>
          <w:p w:rsidR="00000000" w:rsidRDefault="001F1FC8">
            <w:pPr>
              <w:rPr>
                <w:rFonts w:eastAsia="Times New Roman"/>
              </w:rPr>
            </w:pPr>
            <w:r>
              <w:rPr>
                <w:rFonts w:ascii="Arial" w:eastAsia="Times New Roman" w:hAnsi="Arial" w:cs="Arial"/>
                <w:color w:val="000000"/>
                <w:sz w:val="20"/>
                <w:szCs w:val="20"/>
              </w:rPr>
              <w:t>%</w:t>
            </w:r>
          </w:p>
        </w:tc>
        <w:tc>
          <w:tcPr>
            <w:tcW w:w="0" w:type="auto"/>
            <w:gridSpan w:val="2"/>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20"/>
                <w:szCs w:val="20"/>
              </w:rPr>
              <w:t>1,728</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1,795 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r>
      <w:tr w:rsidR="00000000">
        <w:trPr>
          <w:divId w:val="2103992508"/>
        </w:trPr>
        <w:tc>
          <w:tcPr>
            <w:tcW w:w="0" w:type="auto"/>
            <w:gridSpan w:val="3"/>
            <w:tcMar>
              <w:top w:w="30" w:type="dxa"/>
              <w:left w:w="20" w:type="dxa"/>
              <w:bottom w:w="30" w:type="dxa"/>
              <w:right w:w="20" w:type="dxa"/>
            </w:tcMar>
            <w:hideMark/>
          </w:tcPr>
          <w:p w:rsidR="00000000" w:rsidRDefault="001F1FC8">
            <w:pPr>
              <w:divId w:val="1124883340"/>
              <w:rPr>
                <w:rFonts w:eastAsia="Times New Roman"/>
              </w:rPr>
            </w:pPr>
            <w:r>
              <w:rPr>
                <w:rFonts w:ascii="Arial" w:eastAsia="Times New Roman" w:hAnsi="Arial" w:cs="Arial"/>
                <w:color w:val="000000"/>
                <w:sz w:val="20"/>
                <w:szCs w:val="20"/>
              </w:rPr>
              <w:t>Gray Oak Holdings LL</w:t>
            </w:r>
            <w:r>
              <w:rPr>
                <w:rFonts w:ascii="Arial" w:eastAsia="Times New Roman" w:hAnsi="Arial" w:cs="Arial"/>
                <w:color w:val="000000"/>
                <w:sz w:val="20"/>
                <w:szCs w:val="20"/>
              </w:rPr>
              <w:t>C</w:t>
            </w:r>
            <w:r>
              <w:rPr>
                <w:rFonts w:ascii="Arial" w:eastAsia="Times New Roman" w:hAnsi="Arial" w:cs="Arial"/>
                <w:color w:val="000000"/>
                <w:sz w:val="10"/>
                <w:szCs w:val="10"/>
              </w:rPr>
              <w:t>2</w:t>
            </w: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35.0 </w:t>
            </w:r>
          </w:p>
        </w:tc>
        <w:tc>
          <w:tcPr>
            <w:tcW w:w="0" w:type="auto"/>
            <w:tcMar>
              <w:top w:w="30" w:type="dxa"/>
              <w:left w:w="0" w:type="dxa"/>
              <w:bottom w:w="30" w:type="dxa"/>
              <w:right w:w="20" w:type="dxa"/>
            </w:tcMar>
            <w:vAlign w:val="bottom"/>
            <w:hideMark/>
          </w:tcPr>
          <w:p w:rsidR="00000000" w:rsidRDefault="001F1FC8">
            <w:pPr>
              <w:rPr>
                <w:rFonts w:eastAsia="Times New Roman"/>
              </w:rPr>
            </w:pPr>
            <w:r>
              <w:rPr>
                <w:rFonts w:ascii="Arial" w:eastAsia="Times New Roman" w:hAnsi="Arial" w:cs="Arial"/>
                <w:color w:val="000000"/>
                <w:sz w:val="20"/>
                <w:szCs w:val="20"/>
              </w:rPr>
              <w:t>%</w:t>
            </w:r>
          </w:p>
        </w:tc>
        <w:tc>
          <w:tcPr>
            <w:tcW w:w="0" w:type="auto"/>
            <w:gridSpan w:val="2"/>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20"/>
                <w:szCs w:val="20"/>
              </w:rPr>
              <w:t>469</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502 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r>
      <w:tr w:rsidR="00000000">
        <w:trPr>
          <w:divId w:val="2103992508"/>
        </w:trPr>
        <w:tc>
          <w:tcPr>
            <w:tcW w:w="0" w:type="auto"/>
            <w:gridSpan w:val="3"/>
            <w:tcMar>
              <w:top w:w="30" w:type="dxa"/>
              <w:left w:w="380" w:type="dxa"/>
              <w:bottom w:w="30" w:type="dxa"/>
              <w:right w:w="20" w:type="dxa"/>
            </w:tcMar>
            <w:hideMark/>
          </w:tcPr>
          <w:p w:rsidR="00000000" w:rsidRDefault="001F1FC8">
            <w:pPr>
              <w:rPr>
                <w:rFonts w:eastAsia="Times New Roman"/>
              </w:rPr>
            </w:pPr>
            <w:r>
              <w:rPr>
                <w:rFonts w:ascii="Arial" w:eastAsia="Times New Roman" w:hAnsi="Arial" w:cs="Arial"/>
                <w:color w:val="000000"/>
                <w:sz w:val="20"/>
                <w:szCs w:val="20"/>
              </w:rPr>
              <w:t>Seaway Crude Holdings LLC</w:t>
            </w: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50.0 </w:t>
            </w:r>
          </w:p>
        </w:tc>
        <w:tc>
          <w:tcPr>
            <w:tcW w:w="0" w:type="auto"/>
            <w:tcMar>
              <w:top w:w="30" w:type="dxa"/>
              <w:left w:w="0" w:type="dxa"/>
              <w:bottom w:w="30" w:type="dxa"/>
              <w:right w:w="20" w:type="dxa"/>
            </w:tcMar>
            <w:vAlign w:val="bottom"/>
            <w:hideMark/>
          </w:tcPr>
          <w:p w:rsidR="00000000" w:rsidRDefault="001F1FC8">
            <w:pPr>
              <w:rPr>
                <w:rFonts w:eastAsia="Times New Roman"/>
              </w:rPr>
            </w:pPr>
            <w:r>
              <w:rPr>
                <w:rFonts w:ascii="Arial" w:eastAsia="Times New Roman" w:hAnsi="Arial" w:cs="Arial"/>
                <w:color w:val="000000"/>
                <w:sz w:val="20"/>
                <w:szCs w:val="20"/>
              </w:rPr>
              <w:t>%</w:t>
            </w:r>
          </w:p>
        </w:tc>
        <w:tc>
          <w:tcPr>
            <w:tcW w:w="0" w:type="auto"/>
            <w:gridSpan w:val="2"/>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20"/>
                <w:szCs w:val="20"/>
              </w:rPr>
              <w:t>2,634</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2,668 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r>
      <w:tr w:rsidR="00000000">
        <w:trPr>
          <w:divId w:val="2103992508"/>
        </w:trPr>
        <w:tc>
          <w:tcPr>
            <w:tcW w:w="0" w:type="auto"/>
            <w:gridSpan w:val="3"/>
            <w:tcMar>
              <w:top w:w="30" w:type="dxa"/>
              <w:left w:w="20" w:type="dxa"/>
              <w:bottom w:w="30" w:type="dxa"/>
              <w:right w:w="20" w:type="dxa"/>
            </w:tcMar>
            <w:hideMark/>
          </w:tcPr>
          <w:p w:rsidR="00000000" w:rsidRDefault="001F1FC8">
            <w:pPr>
              <w:divId w:val="634603362"/>
              <w:rPr>
                <w:rFonts w:eastAsia="Times New Roman"/>
              </w:rPr>
            </w:pPr>
            <w:r>
              <w:rPr>
                <w:rFonts w:ascii="Arial" w:eastAsia="Times New Roman" w:hAnsi="Arial" w:cs="Arial"/>
                <w:color w:val="000000"/>
                <w:sz w:val="20"/>
                <w:szCs w:val="20"/>
              </w:rPr>
              <w:t>Illinois Extension Pipeline Company, L.L.C</w:t>
            </w:r>
            <w:r>
              <w:rPr>
                <w:rFonts w:ascii="Arial" w:eastAsia="Times New Roman" w:hAnsi="Arial" w:cs="Arial"/>
                <w:color w:val="000000"/>
                <w:sz w:val="20"/>
                <w:szCs w:val="20"/>
              </w:rPr>
              <w:t>.</w:t>
            </w:r>
            <w:r>
              <w:rPr>
                <w:rFonts w:ascii="Arial" w:eastAsia="Times New Roman" w:hAnsi="Arial" w:cs="Arial"/>
                <w:color w:val="000000"/>
                <w:sz w:val="10"/>
                <w:szCs w:val="10"/>
              </w:rPr>
              <w:t>3</w:t>
            </w: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65.0 </w:t>
            </w:r>
          </w:p>
        </w:tc>
        <w:tc>
          <w:tcPr>
            <w:tcW w:w="0" w:type="auto"/>
            <w:tcMar>
              <w:top w:w="30" w:type="dxa"/>
              <w:left w:w="0" w:type="dxa"/>
              <w:bottom w:w="30" w:type="dxa"/>
              <w:right w:w="20" w:type="dxa"/>
            </w:tcMar>
            <w:vAlign w:val="bottom"/>
            <w:hideMark/>
          </w:tcPr>
          <w:p w:rsidR="00000000" w:rsidRDefault="001F1FC8">
            <w:pPr>
              <w:rPr>
                <w:rFonts w:eastAsia="Times New Roman"/>
              </w:rPr>
            </w:pPr>
            <w:r>
              <w:rPr>
                <w:rFonts w:ascii="Arial" w:eastAsia="Times New Roman" w:hAnsi="Arial" w:cs="Arial"/>
                <w:color w:val="000000"/>
                <w:sz w:val="20"/>
                <w:szCs w:val="20"/>
              </w:rPr>
              <w:t>%</w:t>
            </w:r>
          </w:p>
        </w:tc>
        <w:tc>
          <w:tcPr>
            <w:tcW w:w="0" w:type="auto"/>
            <w:gridSpan w:val="2"/>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20"/>
                <w:szCs w:val="20"/>
              </w:rPr>
              <w:t>593</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623 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r>
      <w:tr w:rsidR="00000000">
        <w:trPr>
          <w:divId w:val="2103992508"/>
        </w:trPr>
        <w:tc>
          <w:tcPr>
            <w:tcW w:w="0" w:type="auto"/>
            <w:gridSpan w:val="3"/>
            <w:tcMar>
              <w:top w:w="30" w:type="dxa"/>
              <w:left w:w="20" w:type="dxa"/>
              <w:bottom w:w="30" w:type="dxa"/>
              <w:right w:w="20" w:type="dxa"/>
            </w:tcMar>
            <w:hideMark/>
          </w:tcPr>
          <w:p w:rsidR="00000000" w:rsidRDefault="001F1FC8">
            <w:pPr>
              <w:divId w:val="324434870"/>
              <w:rPr>
                <w:rFonts w:eastAsia="Times New Roman"/>
              </w:rPr>
            </w:pPr>
            <w:r>
              <w:rPr>
                <w:rFonts w:ascii="Arial" w:eastAsia="Times New Roman" w:hAnsi="Arial" w:cs="Arial"/>
                <w:color w:val="000000"/>
                <w:sz w:val="20"/>
                <w:szCs w:val="20"/>
              </w:rPr>
              <w:t>Cactus II Pipeline, LL</w:t>
            </w:r>
            <w:r>
              <w:rPr>
                <w:rFonts w:ascii="Arial" w:eastAsia="Times New Roman" w:hAnsi="Arial" w:cs="Arial"/>
                <w:color w:val="000000"/>
                <w:sz w:val="20"/>
                <w:szCs w:val="20"/>
              </w:rPr>
              <w:t>C</w:t>
            </w:r>
            <w:r>
              <w:rPr>
                <w:rFonts w:ascii="Arial" w:eastAsia="Times New Roman" w:hAnsi="Arial" w:cs="Arial"/>
                <w:color w:val="000000"/>
                <w:sz w:val="10"/>
                <w:szCs w:val="10"/>
              </w:rPr>
              <w:t>4</w:t>
            </w: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20.0 </w:t>
            </w:r>
          </w:p>
        </w:tc>
        <w:tc>
          <w:tcPr>
            <w:tcW w:w="0" w:type="auto"/>
            <w:tcMar>
              <w:top w:w="30" w:type="dxa"/>
              <w:left w:w="0" w:type="dxa"/>
              <w:bottom w:w="30" w:type="dxa"/>
              <w:right w:w="20" w:type="dxa"/>
            </w:tcMar>
            <w:vAlign w:val="bottom"/>
            <w:hideMark/>
          </w:tcPr>
          <w:p w:rsidR="00000000" w:rsidRDefault="001F1FC8">
            <w:pPr>
              <w:rPr>
                <w:rFonts w:eastAsia="Times New Roman"/>
              </w:rPr>
            </w:pPr>
            <w:r>
              <w:rPr>
                <w:rFonts w:ascii="Arial" w:eastAsia="Times New Roman" w:hAnsi="Arial" w:cs="Arial"/>
                <w:color w:val="000000"/>
                <w:sz w:val="20"/>
                <w:szCs w:val="20"/>
              </w:rPr>
              <w:t>%</w:t>
            </w:r>
          </w:p>
        </w:tc>
        <w:tc>
          <w:tcPr>
            <w:tcW w:w="0" w:type="auto"/>
            <w:gridSpan w:val="2"/>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20"/>
                <w:szCs w:val="20"/>
              </w:rPr>
              <w:t>434</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r>
      <w:tr w:rsidR="00000000">
        <w:trPr>
          <w:divId w:val="2103992508"/>
        </w:trPr>
        <w:tc>
          <w:tcPr>
            <w:tcW w:w="0" w:type="auto"/>
            <w:gridSpan w:val="3"/>
            <w:tcMar>
              <w:top w:w="30" w:type="dxa"/>
              <w:left w:w="380" w:type="dxa"/>
              <w:bottom w:w="30" w:type="dxa"/>
              <w:right w:w="20" w:type="dxa"/>
            </w:tcMar>
            <w:hideMark/>
          </w:tcPr>
          <w:p w:rsidR="00000000" w:rsidRDefault="001F1FC8">
            <w:pPr>
              <w:rPr>
                <w:rFonts w:eastAsia="Times New Roman"/>
              </w:rPr>
            </w:pPr>
            <w:r>
              <w:rPr>
                <w:rFonts w:ascii="Arial" w:eastAsia="Times New Roman" w:hAnsi="Arial" w:cs="Arial"/>
                <w:color w:val="000000"/>
                <w:sz w:val="20"/>
                <w:szCs w:val="20"/>
              </w:rPr>
              <w:t>Other</w:t>
            </w:r>
          </w:p>
        </w:tc>
        <w:tc>
          <w:tcPr>
            <w:tcW w:w="0" w:type="auto"/>
            <w:gridSpan w:val="3"/>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30.0% - 43.8%</w:t>
            </w:r>
          </w:p>
        </w:tc>
        <w:tc>
          <w:tcPr>
            <w:tcW w:w="0" w:type="auto"/>
            <w:gridSpan w:val="2"/>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20"/>
                <w:szCs w:val="20"/>
              </w:rPr>
              <w:t>71</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73 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r>
      <w:tr w:rsidR="00000000">
        <w:trPr>
          <w:divId w:val="2103992508"/>
        </w:trPr>
        <w:tc>
          <w:tcPr>
            <w:tcW w:w="0" w:type="auto"/>
            <w:gridSpan w:val="3"/>
            <w:tcMar>
              <w:top w:w="30" w:type="dxa"/>
              <w:left w:w="155" w:type="dxa"/>
              <w:bottom w:w="30" w:type="dxa"/>
              <w:right w:w="20" w:type="dxa"/>
            </w:tcMar>
            <w:hideMark/>
          </w:tcPr>
          <w:p w:rsidR="00000000" w:rsidRDefault="001F1FC8">
            <w:pPr>
              <w:rPr>
                <w:rFonts w:eastAsia="Times New Roman"/>
              </w:rPr>
            </w:pPr>
            <w:r>
              <w:rPr>
                <w:rFonts w:ascii="Arial" w:eastAsia="Times New Roman" w:hAnsi="Arial" w:cs="Arial"/>
                <w:b/>
                <w:bCs/>
                <w:color w:val="000000"/>
                <w:sz w:val="20"/>
                <w:szCs w:val="20"/>
              </w:rPr>
              <w:t>Gas Transmission and Midstream</w:t>
            </w:r>
          </w:p>
        </w:tc>
        <w:tc>
          <w:tcPr>
            <w:tcW w:w="0" w:type="auto"/>
            <w:gridSpan w:val="3"/>
            <w:tcMar>
              <w:top w:w="0" w:type="dxa"/>
              <w:left w:w="20" w:type="dxa"/>
              <w:bottom w:w="0" w:type="dxa"/>
              <w:right w:w="20" w:type="dxa"/>
            </w:tcMar>
            <w:vAlign w:val="center"/>
            <w:hideMark/>
          </w:tcPr>
          <w:p w:rsidR="00000000" w:rsidRDefault="001F1FC8">
            <w:pPr>
              <w:rPr>
                <w:rFonts w:eastAsia="Times New Roman"/>
              </w:rPr>
            </w:pPr>
          </w:p>
        </w:tc>
        <w:tc>
          <w:tcPr>
            <w:tcW w:w="0" w:type="auto"/>
            <w:gridSpan w:val="3"/>
            <w:shd w:val="clear" w:color="auto" w:fill="D9D9D9"/>
            <w:tcMar>
              <w:top w:w="0" w:type="dxa"/>
              <w:left w:w="20" w:type="dxa"/>
              <w:bottom w:w="0" w:type="dxa"/>
              <w:right w:w="20" w:type="dxa"/>
            </w:tcMar>
            <w:vAlign w:val="center"/>
            <w:hideMark/>
          </w:tcPr>
          <w:p w:rsidR="00000000" w:rsidRDefault="001F1FC8">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1F1FC8">
            <w:pPr>
              <w:rPr>
                <w:rFonts w:eastAsia="Times New Roman"/>
                <w:sz w:val="20"/>
                <w:szCs w:val="20"/>
              </w:rPr>
            </w:pPr>
          </w:p>
        </w:tc>
      </w:tr>
      <w:tr w:rsidR="00000000">
        <w:trPr>
          <w:divId w:val="2103992508"/>
        </w:trPr>
        <w:tc>
          <w:tcPr>
            <w:tcW w:w="0" w:type="auto"/>
            <w:gridSpan w:val="3"/>
            <w:tcMar>
              <w:top w:w="30" w:type="dxa"/>
              <w:left w:w="20" w:type="dxa"/>
              <w:bottom w:w="30" w:type="dxa"/>
              <w:right w:w="20" w:type="dxa"/>
            </w:tcMar>
            <w:hideMark/>
          </w:tcPr>
          <w:p w:rsidR="00000000" w:rsidRDefault="001F1FC8">
            <w:pPr>
              <w:divId w:val="509024406"/>
              <w:rPr>
                <w:rFonts w:eastAsia="Times New Roman"/>
              </w:rPr>
            </w:pPr>
            <w:r>
              <w:rPr>
                <w:rFonts w:ascii="Arial" w:eastAsia="Times New Roman" w:hAnsi="Arial" w:cs="Arial"/>
                <w:color w:val="000000"/>
                <w:sz w:val="20"/>
                <w:szCs w:val="20"/>
              </w:rPr>
              <w:t>Alliance Pipelin</w:t>
            </w:r>
            <w:r>
              <w:rPr>
                <w:rFonts w:ascii="Arial" w:eastAsia="Times New Roman" w:hAnsi="Arial" w:cs="Arial"/>
                <w:color w:val="000000"/>
                <w:sz w:val="20"/>
                <w:szCs w:val="20"/>
              </w:rPr>
              <w:t>e</w:t>
            </w:r>
            <w:r>
              <w:rPr>
                <w:rFonts w:ascii="Arial" w:eastAsia="Times New Roman" w:hAnsi="Arial" w:cs="Arial"/>
                <w:color w:val="000000"/>
                <w:sz w:val="10"/>
                <w:szCs w:val="10"/>
              </w:rPr>
              <w:t>5</w:t>
            </w: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50.0 </w:t>
            </w:r>
          </w:p>
        </w:tc>
        <w:tc>
          <w:tcPr>
            <w:tcW w:w="0" w:type="auto"/>
            <w:tcMar>
              <w:top w:w="30" w:type="dxa"/>
              <w:left w:w="0" w:type="dxa"/>
              <w:bottom w:w="30" w:type="dxa"/>
              <w:right w:w="20" w:type="dxa"/>
            </w:tcMar>
            <w:vAlign w:val="bottom"/>
            <w:hideMark/>
          </w:tcPr>
          <w:p w:rsidR="00000000" w:rsidRDefault="001F1FC8">
            <w:pPr>
              <w:rPr>
                <w:rFonts w:eastAsia="Times New Roman"/>
              </w:rPr>
            </w:pPr>
            <w:r>
              <w:rPr>
                <w:rFonts w:ascii="Arial" w:eastAsia="Times New Roman" w:hAnsi="Arial" w:cs="Arial"/>
                <w:color w:val="000000"/>
                <w:sz w:val="20"/>
                <w:szCs w:val="20"/>
              </w:rPr>
              <w:t>%</w:t>
            </w:r>
          </w:p>
        </w:tc>
        <w:tc>
          <w:tcPr>
            <w:tcW w:w="0" w:type="auto"/>
            <w:gridSpan w:val="2"/>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20"/>
                <w:szCs w:val="20"/>
              </w:rPr>
              <w:t>504</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269 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r>
      <w:tr w:rsidR="00000000">
        <w:trPr>
          <w:divId w:val="2103992508"/>
        </w:trPr>
        <w:tc>
          <w:tcPr>
            <w:tcW w:w="0" w:type="auto"/>
            <w:gridSpan w:val="3"/>
            <w:tcMar>
              <w:top w:w="30" w:type="dxa"/>
              <w:left w:w="20" w:type="dxa"/>
              <w:bottom w:w="30" w:type="dxa"/>
              <w:right w:w="20" w:type="dxa"/>
            </w:tcMar>
            <w:hideMark/>
          </w:tcPr>
          <w:p w:rsidR="00000000" w:rsidRDefault="001F1FC8">
            <w:pPr>
              <w:divId w:val="1349482223"/>
              <w:rPr>
                <w:rFonts w:eastAsia="Times New Roman"/>
              </w:rPr>
            </w:pPr>
            <w:r>
              <w:rPr>
                <w:rFonts w:ascii="Arial" w:eastAsia="Times New Roman" w:hAnsi="Arial" w:cs="Arial"/>
                <w:color w:val="000000"/>
                <w:sz w:val="20"/>
                <w:szCs w:val="20"/>
              </w:rPr>
              <w:t>Aux Sabl</w:t>
            </w:r>
            <w:r>
              <w:rPr>
                <w:rFonts w:ascii="Arial" w:eastAsia="Times New Roman" w:hAnsi="Arial" w:cs="Arial"/>
                <w:color w:val="000000"/>
                <w:sz w:val="20"/>
                <w:szCs w:val="20"/>
              </w:rPr>
              <w:t>e</w:t>
            </w:r>
            <w:r>
              <w:rPr>
                <w:rFonts w:ascii="Arial" w:eastAsia="Times New Roman" w:hAnsi="Arial" w:cs="Arial"/>
                <w:color w:val="000000"/>
                <w:sz w:val="10"/>
                <w:szCs w:val="10"/>
              </w:rPr>
              <w:t>6</w:t>
            </w:r>
          </w:p>
        </w:tc>
        <w:tc>
          <w:tcPr>
            <w:tcW w:w="0" w:type="auto"/>
            <w:gridSpan w:val="3"/>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42.7% - 50.0%</w:t>
            </w:r>
          </w:p>
        </w:tc>
        <w:tc>
          <w:tcPr>
            <w:tcW w:w="0" w:type="auto"/>
            <w:gridSpan w:val="2"/>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20"/>
                <w:szCs w:val="20"/>
              </w:rPr>
              <w:t>238</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251 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r>
      <w:tr w:rsidR="00000000">
        <w:trPr>
          <w:divId w:val="2103992508"/>
        </w:trPr>
        <w:tc>
          <w:tcPr>
            <w:tcW w:w="0" w:type="auto"/>
            <w:gridSpan w:val="3"/>
            <w:tcMar>
              <w:top w:w="30" w:type="dxa"/>
              <w:left w:w="20" w:type="dxa"/>
              <w:bottom w:w="30" w:type="dxa"/>
              <w:right w:w="20" w:type="dxa"/>
            </w:tcMar>
            <w:hideMark/>
          </w:tcPr>
          <w:p w:rsidR="00000000" w:rsidRDefault="001F1FC8">
            <w:pPr>
              <w:divId w:val="1645811455"/>
              <w:rPr>
                <w:rFonts w:eastAsia="Times New Roman"/>
              </w:rPr>
            </w:pPr>
            <w:r>
              <w:rPr>
                <w:rFonts w:ascii="Arial" w:eastAsia="Times New Roman" w:hAnsi="Arial" w:cs="Arial"/>
                <w:color w:val="000000"/>
                <w:sz w:val="20"/>
                <w:szCs w:val="20"/>
              </w:rPr>
              <w:t>DCP Midstream, LL</w:t>
            </w:r>
            <w:r>
              <w:rPr>
                <w:rFonts w:ascii="Arial" w:eastAsia="Times New Roman" w:hAnsi="Arial" w:cs="Arial"/>
                <w:color w:val="000000"/>
                <w:sz w:val="20"/>
                <w:szCs w:val="20"/>
              </w:rPr>
              <w:t>C</w:t>
            </w:r>
            <w:r>
              <w:rPr>
                <w:rFonts w:ascii="Arial" w:eastAsia="Times New Roman" w:hAnsi="Arial" w:cs="Arial"/>
                <w:color w:val="000000"/>
                <w:sz w:val="10"/>
                <w:szCs w:val="10"/>
              </w:rPr>
              <w:t>7</w:t>
            </w: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50.0 </w:t>
            </w:r>
          </w:p>
        </w:tc>
        <w:tc>
          <w:tcPr>
            <w:tcW w:w="0" w:type="auto"/>
            <w:tcMar>
              <w:top w:w="30" w:type="dxa"/>
              <w:left w:w="0" w:type="dxa"/>
              <w:bottom w:w="30" w:type="dxa"/>
              <w:right w:w="20" w:type="dxa"/>
            </w:tcMar>
            <w:vAlign w:val="bottom"/>
            <w:hideMark/>
          </w:tcPr>
          <w:p w:rsidR="00000000" w:rsidRDefault="001F1FC8">
            <w:pPr>
              <w:rPr>
                <w:rFonts w:eastAsia="Times New Roman"/>
              </w:rPr>
            </w:pPr>
            <w:r>
              <w:rPr>
                <w:rFonts w:ascii="Arial" w:eastAsia="Times New Roman" w:hAnsi="Arial" w:cs="Arial"/>
                <w:color w:val="000000"/>
                <w:sz w:val="20"/>
                <w:szCs w:val="20"/>
              </w:rPr>
              <w:t>%</w:t>
            </w:r>
          </w:p>
        </w:tc>
        <w:tc>
          <w:tcPr>
            <w:tcW w:w="0" w:type="auto"/>
            <w:gridSpan w:val="2"/>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20"/>
                <w:szCs w:val="20"/>
              </w:rPr>
              <w:t>397</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331 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r>
      <w:tr w:rsidR="00000000">
        <w:trPr>
          <w:divId w:val="2103992508"/>
        </w:trPr>
        <w:tc>
          <w:tcPr>
            <w:tcW w:w="0" w:type="auto"/>
            <w:gridSpan w:val="3"/>
            <w:tcMar>
              <w:top w:w="30" w:type="dxa"/>
              <w:left w:w="380" w:type="dxa"/>
              <w:bottom w:w="30" w:type="dxa"/>
              <w:right w:w="20" w:type="dxa"/>
            </w:tcMar>
            <w:hideMark/>
          </w:tcPr>
          <w:p w:rsidR="00000000" w:rsidRDefault="001F1FC8">
            <w:pPr>
              <w:rPr>
                <w:rFonts w:eastAsia="Times New Roman"/>
              </w:rPr>
            </w:pPr>
            <w:r>
              <w:rPr>
                <w:rFonts w:ascii="Arial" w:eastAsia="Times New Roman" w:hAnsi="Arial" w:cs="Arial"/>
                <w:color w:val="000000"/>
                <w:sz w:val="20"/>
                <w:szCs w:val="20"/>
              </w:rPr>
              <w:t>Gulfstream Natural Gas System, L.L.C.</w:t>
            </w: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50.0 </w:t>
            </w:r>
          </w:p>
        </w:tc>
        <w:tc>
          <w:tcPr>
            <w:tcW w:w="0" w:type="auto"/>
            <w:tcMar>
              <w:top w:w="30" w:type="dxa"/>
              <w:left w:w="0" w:type="dxa"/>
              <w:bottom w:w="30" w:type="dxa"/>
              <w:right w:w="20" w:type="dxa"/>
            </w:tcMar>
            <w:vAlign w:val="bottom"/>
            <w:hideMark/>
          </w:tcPr>
          <w:p w:rsidR="00000000" w:rsidRDefault="001F1FC8">
            <w:pPr>
              <w:rPr>
                <w:rFonts w:eastAsia="Times New Roman"/>
              </w:rPr>
            </w:pPr>
            <w:r>
              <w:rPr>
                <w:rFonts w:ascii="Arial" w:eastAsia="Times New Roman" w:hAnsi="Arial" w:cs="Arial"/>
                <w:color w:val="000000"/>
                <w:sz w:val="20"/>
                <w:szCs w:val="20"/>
              </w:rPr>
              <w:t>%</w:t>
            </w:r>
          </w:p>
        </w:tc>
        <w:tc>
          <w:tcPr>
            <w:tcW w:w="0" w:type="auto"/>
            <w:gridSpan w:val="2"/>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20"/>
                <w:szCs w:val="20"/>
              </w:rPr>
              <w:t>1,180</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1,175 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r>
      <w:tr w:rsidR="00000000">
        <w:trPr>
          <w:divId w:val="2103992508"/>
        </w:trPr>
        <w:tc>
          <w:tcPr>
            <w:tcW w:w="0" w:type="auto"/>
            <w:gridSpan w:val="3"/>
            <w:tcMar>
              <w:top w:w="30" w:type="dxa"/>
              <w:left w:w="380" w:type="dxa"/>
              <w:bottom w:w="30" w:type="dxa"/>
              <w:right w:w="20" w:type="dxa"/>
            </w:tcMar>
            <w:hideMark/>
          </w:tcPr>
          <w:p w:rsidR="00000000" w:rsidRDefault="001F1FC8">
            <w:pPr>
              <w:rPr>
                <w:rFonts w:eastAsia="Times New Roman"/>
              </w:rPr>
            </w:pPr>
            <w:r>
              <w:rPr>
                <w:rFonts w:ascii="Arial" w:eastAsia="Times New Roman" w:hAnsi="Arial" w:cs="Arial"/>
                <w:color w:val="000000"/>
                <w:sz w:val="20"/>
                <w:szCs w:val="20"/>
              </w:rPr>
              <w:t>Nexus Gas Transmission, LLC</w:t>
            </w: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50.0 </w:t>
            </w:r>
          </w:p>
        </w:tc>
        <w:tc>
          <w:tcPr>
            <w:tcW w:w="0" w:type="auto"/>
            <w:tcMar>
              <w:top w:w="30" w:type="dxa"/>
              <w:left w:w="0" w:type="dxa"/>
              <w:bottom w:w="30" w:type="dxa"/>
              <w:right w:w="20" w:type="dxa"/>
            </w:tcMar>
            <w:vAlign w:val="bottom"/>
            <w:hideMark/>
          </w:tcPr>
          <w:p w:rsidR="00000000" w:rsidRDefault="001F1FC8">
            <w:pPr>
              <w:rPr>
                <w:rFonts w:eastAsia="Times New Roman"/>
              </w:rPr>
            </w:pPr>
            <w:r>
              <w:rPr>
                <w:rFonts w:ascii="Arial" w:eastAsia="Times New Roman" w:hAnsi="Arial" w:cs="Arial"/>
                <w:color w:val="000000"/>
                <w:sz w:val="20"/>
                <w:szCs w:val="20"/>
              </w:rPr>
              <w:t>%</w:t>
            </w:r>
          </w:p>
        </w:tc>
        <w:tc>
          <w:tcPr>
            <w:tcW w:w="0" w:type="auto"/>
            <w:gridSpan w:val="2"/>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20"/>
                <w:szCs w:val="20"/>
              </w:rPr>
              <w:t>1,724</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1,745 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r>
      <w:tr w:rsidR="00000000">
        <w:trPr>
          <w:divId w:val="2103992508"/>
        </w:trPr>
        <w:tc>
          <w:tcPr>
            <w:tcW w:w="0" w:type="auto"/>
            <w:gridSpan w:val="3"/>
            <w:tcMar>
              <w:top w:w="30" w:type="dxa"/>
              <w:left w:w="380" w:type="dxa"/>
              <w:bottom w:w="30" w:type="dxa"/>
              <w:right w:w="20" w:type="dxa"/>
            </w:tcMar>
            <w:hideMark/>
          </w:tcPr>
          <w:p w:rsidR="00000000" w:rsidRDefault="001F1FC8">
            <w:pPr>
              <w:rPr>
                <w:rFonts w:eastAsia="Times New Roman"/>
              </w:rPr>
            </w:pPr>
            <w:r>
              <w:rPr>
                <w:rFonts w:ascii="Arial" w:eastAsia="Times New Roman" w:hAnsi="Arial" w:cs="Arial"/>
                <w:color w:val="000000"/>
                <w:sz w:val="20"/>
                <w:szCs w:val="20"/>
              </w:rPr>
              <w:t>PennEast Pipeline Company, LLC</w:t>
            </w: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20.0 </w:t>
            </w:r>
          </w:p>
        </w:tc>
        <w:tc>
          <w:tcPr>
            <w:tcW w:w="0" w:type="auto"/>
            <w:tcMar>
              <w:top w:w="30" w:type="dxa"/>
              <w:left w:w="0" w:type="dxa"/>
              <w:bottom w:w="30" w:type="dxa"/>
              <w:right w:w="20" w:type="dxa"/>
            </w:tcMar>
            <w:vAlign w:val="bottom"/>
            <w:hideMark/>
          </w:tcPr>
          <w:p w:rsidR="00000000" w:rsidRDefault="001F1FC8">
            <w:pPr>
              <w:rPr>
                <w:rFonts w:eastAsia="Times New Roman"/>
              </w:rPr>
            </w:pPr>
            <w:r>
              <w:rPr>
                <w:rFonts w:ascii="Arial" w:eastAsia="Times New Roman" w:hAnsi="Arial" w:cs="Arial"/>
                <w:color w:val="000000"/>
                <w:sz w:val="20"/>
                <w:szCs w:val="20"/>
              </w:rPr>
              <w:t>%</w:t>
            </w:r>
          </w:p>
        </w:tc>
        <w:tc>
          <w:tcPr>
            <w:tcW w:w="0" w:type="auto"/>
            <w:gridSpan w:val="2"/>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20"/>
                <w:szCs w:val="20"/>
              </w:rPr>
              <w:t>12</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116 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r>
      <w:tr w:rsidR="00000000">
        <w:trPr>
          <w:divId w:val="2103992508"/>
        </w:trPr>
        <w:tc>
          <w:tcPr>
            <w:tcW w:w="0" w:type="auto"/>
            <w:gridSpan w:val="3"/>
            <w:tcMar>
              <w:top w:w="30" w:type="dxa"/>
              <w:left w:w="380" w:type="dxa"/>
              <w:bottom w:w="30" w:type="dxa"/>
              <w:right w:w="20" w:type="dxa"/>
            </w:tcMar>
            <w:hideMark/>
          </w:tcPr>
          <w:p w:rsidR="00000000" w:rsidRDefault="001F1FC8">
            <w:pPr>
              <w:rPr>
                <w:rFonts w:eastAsia="Times New Roman"/>
              </w:rPr>
            </w:pPr>
            <w:r>
              <w:rPr>
                <w:rFonts w:ascii="Arial" w:eastAsia="Times New Roman" w:hAnsi="Arial" w:cs="Arial"/>
                <w:color w:val="000000"/>
                <w:sz w:val="20"/>
                <w:szCs w:val="20"/>
              </w:rPr>
              <w:t>Sabal Trail Transmission, LLC</w:t>
            </w: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50.0 </w:t>
            </w:r>
          </w:p>
        </w:tc>
        <w:tc>
          <w:tcPr>
            <w:tcW w:w="0" w:type="auto"/>
            <w:tcMar>
              <w:top w:w="30" w:type="dxa"/>
              <w:left w:w="0" w:type="dxa"/>
              <w:bottom w:w="30" w:type="dxa"/>
              <w:right w:w="20" w:type="dxa"/>
            </w:tcMar>
            <w:vAlign w:val="bottom"/>
            <w:hideMark/>
          </w:tcPr>
          <w:p w:rsidR="00000000" w:rsidRDefault="001F1FC8">
            <w:pPr>
              <w:rPr>
                <w:rFonts w:eastAsia="Times New Roman"/>
              </w:rPr>
            </w:pPr>
            <w:r>
              <w:rPr>
                <w:rFonts w:ascii="Arial" w:eastAsia="Times New Roman" w:hAnsi="Arial" w:cs="Arial"/>
                <w:color w:val="000000"/>
                <w:sz w:val="20"/>
                <w:szCs w:val="20"/>
              </w:rPr>
              <w:t>%</w:t>
            </w:r>
          </w:p>
        </w:tc>
        <w:tc>
          <w:tcPr>
            <w:tcW w:w="0" w:type="auto"/>
            <w:gridSpan w:val="2"/>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20"/>
                <w:szCs w:val="20"/>
              </w:rPr>
              <w:t>1,464</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1,510 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r>
      <w:tr w:rsidR="00000000">
        <w:trPr>
          <w:divId w:val="2103992508"/>
        </w:trPr>
        <w:tc>
          <w:tcPr>
            <w:tcW w:w="0" w:type="auto"/>
            <w:gridSpan w:val="3"/>
            <w:tcMar>
              <w:top w:w="30" w:type="dxa"/>
              <w:left w:w="380" w:type="dxa"/>
              <w:bottom w:w="30" w:type="dxa"/>
              <w:right w:w="20" w:type="dxa"/>
            </w:tcMar>
            <w:hideMark/>
          </w:tcPr>
          <w:p w:rsidR="00000000" w:rsidRDefault="001F1FC8">
            <w:pPr>
              <w:rPr>
                <w:rFonts w:eastAsia="Times New Roman"/>
              </w:rPr>
            </w:pPr>
            <w:r>
              <w:rPr>
                <w:rFonts w:ascii="Arial" w:eastAsia="Times New Roman" w:hAnsi="Arial" w:cs="Arial"/>
                <w:color w:val="000000"/>
                <w:sz w:val="20"/>
                <w:szCs w:val="20"/>
              </w:rPr>
              <w:t>Southeast Supply Header, LLC</w:t>
            </w: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50.0 </w:t>
            </w:r>
          </w:p>
        </w:tc>
        <w:tc>
          <w:tcPr>
            <w:tcW w:w="0" w:type="auto"/>
            <w:tcMar>
              <w:top w:w="30" w:type="dxa"/>
              <w:left w:w="0" w:type="dxa"/>
              <w:bottom w:w="30" w:type="dxa"/>
              <w:right w:w="20" w:type="dxa"/>
            </w:tcMar>
            <w:vAlign w:val="bottom"/>
            <w:hideMark/>
          </w:tcPr>
          <w:p w:rsidR="00000000" w:rsidRDefault="001F1FC8">
            <w:pPr>
              <w:rPr>
                <w:rFonts w:eastAsia="Times New Roman"/>
              </w:rPr>
            </w:pPr>
            <w:r>
              <w:rPr>
                <w:rFonts w:ascii="Arial" w:eastAsia="Times New Roman" w:hAnsi="Arial" w:cs="Arial"/>
                <w:color w:val="000000"/>
                <w:sz w:val="20"/>
                <w:szCs w:val="20"/>
              </w:rPr>
              <w:t>%</w:t>
            </w:r>
          </w:p>
        </w:tc>
        <w:tc>
          <w:tcPr>
            <w:tcW w:w="0" w:type="auto"/>
            <w:gridSpan w:val="2"/>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20"/>
                <w:szCs w:val="20"/>
              </w:rPr>
              <w:t>82</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84 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r>
      <w:tr w:rsidR="00000000">
        <w:trPr>
          <w:divId w:val="2103992508"/>
        </w:trPr>
        <w:tc>
          <w:tcPr>
            <w:tcW w:w="0" w:type="auto"/>
            <w:gridSpan w:val="3"/>
            <w:tcMar>
              <w:top w:w="30" w:type="dxa"/>
              <w:left w:w="380" w:type="dxa"/>
              <w:bottom w:w="30" w:type="dxa"/>
              <w:right w:w="20" w:type="dxa"/>
            </w:tcMar>
            <w:hideMark/>
          </w:tcPr>
          <w:p w:rsidR="00000000" w:rsidRDefault="001F1FC8">
            <w:pPr>
              <w:rPr>
                <w:rFonts w:eastAsia="Times New Roman"/>
              </w:rPr>
            </w:pPr>
            <w:r>
              <w:rPr>
                <w:rFonts w:ascii="Arial" w:eastAsia="Times New Roman" w:hAnsi="Arial" w:cs="Arial"/>
                <w:color w:val="000000"/>
                <w:sz w:val="20"/>
                <w:szCs w:val="20"/>
              </w:rPr>
              <w:t>Steckman Ridge, LP</w:t>
            </w: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50.0 </w:t>
            </w:r>
          </w:p>
        </w:tc>
        <w:tc>
          <w:tcPr>
            <w:tcW w:w="0" w:type="auto"/>
            <w:tcMar>
              <w:top w:w="30" w:type="dxa"/>
              <w:left w:w="0" w:type="dxa"/>
              <w:bottom w:w="30" w:type="dxa"/>
              <w:right w:w="20" w:type="dxa"/>
            </w:tcMar>
            <w:vAlign w:val="bottom"/>
            <w:hideMark/>
          </w:tcPr>
          <w:p w:rsidR="00000000" w:rsidRDefault="001F1FC8">
            <w:pPr>
              <w:rPr>
                <w:rFonts w:eastAsia="Times New Roman"/>
              </w:rPr>
            </w:pPr>
            <w:r>
              <w:rPr>
                <w:rFonts w:ascii="Arial" w:eastAsia="Times New Roman" w:hAnsi="Arial" w:cs="Arial"/>
                <w:color w:val="000000"/>
                <w:sz w:val="20"/>
                <w:szCs w:val="20"/>
              </w:rPr>
              <w:t>%</w:t>
            </w:r>
          </w:p>
        </w:tc>
        <w:tc>
          <w:tcPr>
            <w:tcW w:w="0" w:type="auto"/>
            <w:gridSpan w:val="2"/>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20"/>
                <w:szCs w:val="20"/>
              </w:rPr>
              <w:t>88</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90 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r>
      <w:tr w:rsidR="00000000">
        <w:trPr>
          <w:divId w:val="2103992508"/>
        </w:trPr>
        <w:tc>
          <w:tcPr>
            <w:tcW w:w="0" w:type="auto"/>
            <w:gridSpan w:val="3"/>
            <w:tcMar>
              <w:top w:w="30" w:type="dxa"/>
              <w:left w:w="20" w:type="dxa"/>
              <w:bottom w:w="30" w:type="dxa"/>
              <w:right w:w="20" w:type="dxa"/>
            </w:tcMar>
            <w:hideMark/>
          </w:tcPr>
          <w:p w:rsidR="00000000" w:rsidRDefault="001F1FC8">
            <w:pPr>
              <w:divId w:val="1351297138"/>
              <w:rPr>
                <w:rFonts w:eastAsia="Times New Roman"/>
              </w:rPr>
            </w:pPr>
            <w:r>
              <w:rPr>
                <w:rFonts w:ascii="Arial" w:eastAsia="Times New Roman" w:hAnsi="Arial" w:cs="Arial"/>
                <w:color w:val="000000"/>
                <w:sz w:val="20"/>
                <w:szCs w:val="20"/>
              </w:rPr>
              <w:t>Vector Pipelin</w:t>
            </w:r>
            <w:r>
              <w:rPr>
                <w:rFonts w:ascii="Arial" w:eastAsia="Times New Roman" w:hAnsi="Arial" w:cs="Arial"/>
                <w:color w:val="000000"/>
                <w:sz w:val="20"/>
                <w:szCs w:val="20"/>
              </w:rPr>
              <w:t>e</w:t>
            </w:r>
            <w:r>
              <w:rPr>
                <w:rFonts w:ascii="Arial" w:eastAsia="Times New Roman" w:hAnsi="Arial" w:cs="Arial"/>
                <w:color w:val="000000"/>
                <w:sz w:val="10"/>
                <w:szCs w:val="10"/>
              </w:rPr>
              <w:t>8</w:t>
            </w: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60.0 </w:t>
            </w:r>
          </w:p>
        </w:tc>
        <w:tc>
          <w:tcPr>
            <w:tcW w:w="0" w:type="auto"/>
            <w:tcMar>
              <w:top w:w="30" w:type="dxa"/>
              <w:left w:w="0" w:type="dxa"/>
              <w:bottom w:w="30" w:type="dxa"/>
              <w:right w:w="20" w:type="dxa"/>
            </w:tcMar>
            <w:vAlign w:val="bottom"/>
            <w:hideMark/>
          </w:tcPr>
          <w:p w:rsidR="00000000" w:rsidRDefault="001F1FC8">
            <w:pPr>
              <w:rPr>
                <w:rFonts w:eastAsia="Times New Roman"/>
              </w:rPr>
            </w:pPr>
            <w:r>
              <w:rPr>
                <w:rFonts w:ascii="Arial" w:eastAsia="Times New Roman" w:hAnsi="Arial" w:cs="Arial"/>
                <w:color w:val="000000"/>
                <w:sz w:val="20"/>
                <w:szCs w:val="20"/>
              </w:rPr>
              <w:t>%</w:t>
            </w:r>
          </w:p>
        </w:tc>
        <w:tc>
          <w:tcPr>
            <w:tcW w:w="0" w:type="auto"/>
            <w:gridSpan w:val="2"/>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20"/>
                <w:szCs w:val="20"/>
              </w:rPr>
              <w:t>189</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201 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r>
      <w:tr w:rsidR="00000000">
        <w:trPr>
          <w:divId w:val="2103992508"/>
        </w:trPr>
        <w:tc>
          <w:tcPr>
            <w:tcW w:w="0" w:type="auto"/>
            <w:gridSpan w:val="3"/>
            <w:tcMar>
              <w:top w:w="30" w:type="dxa"/>
              <w:left w:w="380" w:type="dxa"/>
              <w:bottom w:w="30" w:type="dxa"/>
              <w:right w:w="20" w:type="dxa"/>
            </w:tcMar>
            <w:hideMark/>
          </w:tcPr>
          <w:p w:rsidR="00000000" w:rsidRDefault="001F1FC8">
            <w:pPr>
              <w:rPr>
                <w:rFonts w:eastAsia="Times New Roman"/>
              </w:rPr>
            </w:pPr>
            <w:r>
              <w:rPr>
                <w:rFonts w:ascii="Arial" w:eastAsia="Times New Roman" w:hAnsi="Arial" w:cs="Arial"/>
                <w:color w:val="000000"/>
                <w:sz w:val="20"/>
                <w:szCs w:val="20"/>
              </w:rPr>
              <w:t>Offshore - various joint ventures</w:t>
            </w:r>
          </w:p>
        </w:tc>
        <w:tc>
          <w:tcPr>
            <w:tcW w:w="0" w:type="auto"/>
            <w:gridSpan w:val="3"/>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22.0% - 74.3%</w:t>
            </w:r>
          </w:p>
        </w:tc>
        <w:tc>
          <w:tcPr>
            <w:tcW w:w="0" w:type="auto"/>
            <w:gridSpan w:val="2"/>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20"/>
                <w:szCs w:val="20"/>
              </w:rPr>
              <w:t>309</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338 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r>
      <w:tr w:rsidR="00000000">
        <w:trPr>
          <w:divId w:val="2103992508"/>
        </w:trPr>
        <w:tc>
          <w:tcPr>
            <w:tcW w:w="0" w:type="auto"/>
            <w:gridSpan w:val="3"/>
            <w:tcMar>
              <w:top w:w="30" w:type="dxa"/>
              <w:left w:w="380" w:type="dxa"/>
              <w:bottom w:w="30" w:type="dxa"/>
              <w:right w:w="20" w:type="dxa"/>
            </w:tcMar>
            <w:hideMark/>
          </w:tcPr>
          <w:p w:rsidR="00000000" w:rsidRDefault="001F1FC8">
            <w:pPr>
              <w:rPr>
                <w:rFonts w:eastAsia="Times New Roman"/>
              </w:rPr>
            </w:pPr>
            <w:r>
              <w:rPr>
                <w:rFonts w:ascii="Arial" w:eastAsia="Times New Roman" w:hAnsi="Arial" w:cs="Arial"/>
                <w:color w:val="000000"/>
                <w:sz w:val="20"/>
                <w:szCs w:val="20"/>
              </w:rPr>
              <w:t>Other</w:t>
            </w:r>
          </w:p>
        </w:tc>
        <w:tc>
          <w:tcPr>
            <w:tcW w:w="0" w:type="auto"/>
            <w:gridSpan w:val="3"/>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33.3%</w:t>
            </w:r>
          </w:p>
        </w:tc>
        <w:tc>
          <w:tcPr>
            <w:tcW w:w="0" w:type="auto"/>
            <w:gridSpan w:val="2"/>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20"/>
                <w:szCs w:val="20"/>
              </w:rPr>
              <w:t>2</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4 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r>
      <w:tr w:rsidR="00000000">
        <w:trPr>
          <w:divId w:val="2103992508"/>
        </w:trPr>
        <w:tc>
          <w:tcPr>
            <w:tcW w:w="0" w:type="auto"/>
            <w:gridSpan w:val="3"/>
            <w:tcMar>
              <w:top w:w="30" w:type="dxa"/>
              <w:left w:w="155" w:type="dxa"/>
              <w:bottom w:w="30" w:type="dxa"/>
              <w:right w:w="20" w:type="dxa"/>
            </w:tcMar>
            <w:hideMark/>
          </w:tcPr>
          <w:p w:rsidR="00000000" w:rsidRDefault="001F1FC8">
            <w:pPr>
              <w:rPr>
                <w:rFonts w:eastAsia="Times New Roman"/>
              </w:rPr>
            </w:pPr>
            <w:r>
              <w:rPr>
                <w:rFonts w:ascii="Arial" w:eastAsia="Times New Roman" w:hAnsi="Arial" w:cs="Arial"/>
                <w:b/>
                <w:bCs/>
                <w:color w:val="000000"/>
                <w:sz w:val="20"/>
                <w:szCs w:val="20"/>
              </w:rPr>
              <w:t>Gas Distribution and Storage</w:t>
            </w:r>
          </w:p>
        </w:tc>
        <w:tc>
          <w:tcPr>
            <w:tcW w:w="0" w:type="auto"/>
            <w:gridSpan w:val="3"/>
            <w:tcMar>
              <w:top w:w="0" w:type="dxa"/>
              <w:left w:w="20" w:type="dxa"/>
              <w:bottom w:w="0" w:type="dxa"/>
              <w:right w:w="20" w:type="dxa"/>
            </w:tcMar>
            <w:vAlign w:val="center"/>
            <w:hideMark/>
          </w:tcPr>
          <w:p w:rsidR="00000000" w:rsidRDefault="001F1FC8">
            <w:pPr>
              <w:rPr>
                <w:rFonts w:eastAsia="Times New Roman"/>
              </w:rPr>
            </w:pPr>
          </w:p>
        </w:tc>
        <w:tc>
          <w:tcPr>
            <w:tcW w:w="0" w:type="auto"/>
            <w:gridSpan w:val="3"/>
            <w:shd w:val="clear" w:color="auto" w:fill="D9D9D9"/>
            <w:tcMar>
              <w:top w:w="0" w:type="dxa"/>
              <w:left w:w="20" w:type="dxa"/>
              <w:bottom w:w="0" w:type="dxa"/>
              <w:right w:w="20" w:type="dxa"/>
            </w:tcMar>
            <w:vAlign w:val="center"/>
            <w:hideMark/>
          </w:tcPr>
          <w:p w:rsidR="00000000" w:rsidRDefault="001F1FC8">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1F1FC8">
            <w:pPr>
              <w:rPr>
                <w:rFonts w:eastAsia="Times New Roman"/>
                <w:sz w:val="20"/>
                <w:szCs w:val="20"/>
              </w:rPr>
            </w:pPr>
          </w:p>
        </w:tc>
      </w:tr>
      <w:tr w:rsidR="00000000">
        <w:trPr>
          <w:divId w:val="2103992508"/>
        </w:trPr>
        <w:tc>
          <w:tcPr>
            <w:tcW w:w="0" w:type="auto"/>
            <w:gridSpan w:val="3"/>
            <w:tcMar>
              <w:top w:w="30" w:type="dxa"/>
              <w:left w:w="20" w:type="dxa"/>
              <w:bottom w:w="30" w:type="dxa"/>
              <w:right w:w="20" w:type="dxa"/>
            </w:tcMar>
            <w:hideMark/>
          </w:tcPr>
          <w:p w:rsidR="00000000" w:rsidRDefault="001F1FC8">
            <w:pPr>
              <w:divId w:val="564268459"/>
              <w:rPr>
                <w:rFonts w:eastAsia="Times New Roman"/>
              </w:rPr>
            </w:pPr>
            <w:r>
              <w:rPr>
                <w:rFonts w:ascii="Arial" w:eastAsia="Times New Roman" w:hAnsi="Arial" w:cs="Arial"/>
                <w:color w:val="000000"/>
                <w:sz w:val="20"/>
                <w:szCs w:val="20"/>
              </w:rPr>
              <w:t>Noverco Common Share</w:t>
            </w:r>
            <w:r>
              <w:rPr>
                <w:rFonts w:ascii="Arial" w:eastAsia="Times New Roman" w:hAnsi="Arial" w:cs="Arial"/>
                <w:color w:val="000000"/>
                <w:sz w:val="20"/>
                <w:szCs w:val="20"/>
              </w:rPr>
              <w:t>s</w:t>
            </w:r>
            <w:r>
              <w:rPr>
                <w:rFonts w:ascii="Arial" w:eastAsia="Times New Roman" w:hAnsi="Arial" w:cs="Arial"/>
                <w:color w:val="000000"/>
                <w:sz w:val="10"/>
                <w:szCs w:val="10"/>
              </w:rPr>
              <w:t>9</w:t>
            </w: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38.9 </w:t>
            </w:r>
          </w:p>
        </w:tc>
        <w:tc>
          <w:tcPr>
            <w:tcW w:w="0" w:type="auto"/>
            <w:tcMar>
              <w:top w:w="30" w:type="dxa"/>
              <w:left w:w="0" w:type="dxa"/>
              <w:bottom w:w="30" w:type="dxa"/>
              <w:right w:w="20" w:type="dxa"/>
            </w:tcMar>
            <w:vAlign w:val="bottom"/>
            <w:hideMark/>
          </w:tcPr>
          <w:p w:rsidR="00000000" w:rsidRDefault="001F1FC8">
            <w:pPr>
              <w:rPr>
                <w:rFonts w:eastAsia="Times New Roman"/>
              </w:rPr>
            </w:pPr>
            <w:r>
              <w:rPr>
                <w:rFonts w:ascii="Arial" w:eastAsia="Times New Roman" w:hAnsi="Arial" w:cs="Arial"/>
                <w:color w:val="000000"/>
                <w:sz w:val="20"/>
                <w:szCs w:val="20"/>
              </w:rPr>
              <w:t>%</w:t>
            </w:r>
          </w:p>
        </w:tc>
        <w:tc>
          <w:tcPr>
            <w:tcW w:w="0" w:type="auto"/>
            <w:gridSpan w:val="2"/>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20"/>
                <w:szCs w:val="20"/>
              </w:rPr>
              <w:t>—</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156 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r>
      <w:tr w:rsidR="00000000">
        <w:trPr>
          <w:divId w:val="2103992508"/>
        </w:trPr>
        <w:tc>
          <w:tcPr>
            <w:tcW w:w="0" w:type="auto"/>
            <w:gridSpan w:val="3"/>
            <w:tcMar>
              <w:top w:w="30" w:type="dxa"/>
              <w:left w:w="380" w:type="dxa"/>
              <w:bottom w:w="30" w:type="dxa"/>
              <w:right w:w="20" w:type="dxa"/>
            </w:tcMar>
            <w:hideMark/>
          </w:tcPr>
          <w:p w:rsidR="00000000" w:rsidRDefault="001F1FC8">
            <w:pPr>
              <w:rPr>
                <w:rFonts w:eastAsia="Times New Roman"/>
              </w:rPr>
            </w:pPr>
            <w:r>
              <w:rPr>
                <w:rFonts w:ascii="Arial" w:eastAsia="Times New Roman" w:hAnsi="Arial" w:cs="Arial"/>
                <w:color w:val="000000"/>
                <w:sz w:val="20"/>
                <w:szCs w:val="20"/>
              </w:rPr>
              <w:t>Other</w:t>
            </w:r>
          </w:p>
        </w:tc>
        <w:tc>
          <w:tcPr>
            <w:tcW w:w="0" w:type="auto"/>
            <w:gridSpan w:val="3"/>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47.6% - 50%</w:t>
            </w:r>
          </w:p>
        </w:tc>
        <w:tc>
          <w:tcPr>
            <w:tcW w:w="0" w:type="auto"/>
            <w:gridSpan w:val="2"/>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20"/>
                <w:szCs w:val="20"/>
              </w:rPr>
              <w:t>20</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13 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r>
      <w:tr w:rsidR="00000000">
        <w:trPr>
          <w:divId w:val="2103992508"/>
        </w:trPr>
        <w:tc>
          <w:tcPr>
            <w:tcW w:w="0" w:type="auto"/>
            <w:gridSpan w:val="3"/>
            <w:tcMar>
              <w:top w:w="30" w:type="dxa"/>
              <w:left w:w="155" w:type="dxa"/>
              <w:bottom w:w="30" w:type="dxa"/>
              <w:right w:w="20" w:type="dxa"/>
            </w:tcMar>
            <w:hideMark/>
          </w:tcPr>
          <w:p w:rsidR="00000000" w:rsidRDefault="001F1FC8">
            <w:pPr>
              <w:rPr>
                <w:rFonts w:eastAsia="Times New Roman"/>
              </w:rPr>
            </w:pPr>
            <w:r>
              <w:rPr>
                <w:rFonts w:ascii="Arial" w:eastAsia="Times New Roman" w:hAnsi="Arial" w:cs="Arial"/>
                <w:b/>
                <w:bCs/>
                <w:color w:val="000000"/>
                <w:sz w:val="20"/>
                <w:szCs w:val="20"/>
              </w:rPr>
              <w:t>Renewable Power Generation</w:t>
            </w:r>
          </w:p>
        </w:tc>
        <w:tc>
          <w:tcPr>
            <w:tcW w:w="0" w:type="auto"/>
            <w:gridSpan w:val="3"/>
            <w:tcMar>
              <w:top w:w="0" w:type="dxa"/>
              <w:left w:w="20" w:type="dxa"/>
              <w:bottom w:w="0" w:type="dxa"/>
              <w:right w:w="20" w:type="dxa"/>
            </w:tcMar>
            <w:vAlign w:val="center"/>
            <w:hideMark/>
          </w:tcPr>
          <w:p w:rsidR="00000000" w:rsidRDefault="001F1FC8">
            <w:pPr>
              <w:rPr>
                <w:rFonts w:eastAsia="Times New Roman"/>
              </w:rPr>
            </w:pPr>
          </w:p>
        </w:tc>
        <w:tc>
          <w:tcPr>
            <w:tcW w:w="0" w:type="auto"/>
            <w:gridSpan w:val="3"/>
            <w:shd w:val="clear" w:color="auto" w:fill="D9D9D9"/>
            <w:tcMar>
              <w:top w:w="0" w:type="dxa"/>
              <w:left w:w="20" w:type="dxa"/>
              <w:bottom w:w="0" w:type="dxa"/>
              <w:right w:w="20" w:type="dxa"/>
            </w:tcMar>
            <w:vAlign w:val="center"/>
            <w:hideMark/>
          </w:tcPr>
          <w:p w:rsidR="00000000" w:rsidRDefault="001F1FC8">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1F1FC8">
            <w:pPr>
              <w:rPr>
                <w:rFonts w:eastAsia="Times New Roman"/>
                <w:sz w:val="20"/>
                <w:szCs w:val="20"/>
              </w:rPr>
            </w:pPr>
          </w:p>
        </w:tc>
      </w:tr>
      <w:tr w:rsidR="00000000">
        <w:trPr>
          <w:divId w:val="2103992508"/>
        </w:trPr>
        <w:tc>
          <w:tcPr>
            <w:tcW w:w="0" w:type="auto"/>
            <w:gridSpan w:val="3"/>
            <w:tcMar>
              <w:top w:w="30" w:type="dxa"/>
              <w:left w:w="20" w:type="dxa"/>
              <w:bottom w:w="30" w:type="dxa"/>
              <w:right w:w="20" w:type="dxa"/>
            </w:tcMar>
            <w:hideMark/>
          </w:tcPr>
          <w:p w:rsidR="00000000" w:rsidRDefault="001F1FC8">
            <w:pPr>
              <w:divId w:val="1515538837"/>
              <w:rPr>
                <w:rFonts w:eastAsia="Times New Roman"/>
              </w:rPr>
            </w:pPr>
            <w:r>
              <w:rPr>
                <w:rFonts w:ascii="Arial" w:eastAsia="Times New Roman" w:hAnsi="Arial" w:cs="Arial"/>
                <w:color w:val="000000"/>
                <w:sz w:val="20"/>
                <w:szCs w:val="20"/>
              </w:rPr>
              <w:t>EIH S.a.r.l</w:t>
            </w:r>
            <w:r>
              <w:rPr>
                <w:rFonts w:ascii="Arial" w:eastAsia="Times New Roman" w:hAnsi="Arial" w:cs="Arial"/>
                <w:color w:val="000000"/>
                <w:sz w:val="20"/>
                <w:szCs w:val="20"/>
              </w:rPr>
              <w:t>.</w:t>
            </w:r>
            <w:r>
              <w:rPr>
                <w:rFonts w:ascii="Arial" w:eastAsia="Times New Roman" w:hAnsi="Arial" w:cs="Arial"/>
                <w:color w:val="000000"/>
                <w:sz w:val="10"/>
                <w:szCs w:val="10"/>
              </w:rPr>
              <w:t>1</w:t>
            </w:r>
            <w:r>
              <w:rPr>
                <w:rFonts w:ascii="Arial" w:eastAsia="Times New Roman" w:hAnsi="Arial" w:cs="Arial"/>
                <w:color w:val="000000"/>
                <w:sz w:val="10"/>
                <w:szCs w:val="10"/>
              </w:rPr>
              <w:t>0</w:t>
            </w: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51.0 </w:t>
            </w:r>
          </w:p>
        </w:tc>
        <w:tc>
          <w:tcPr>
            <w:tcW w:w="0" w:type="auto"/>
            <w:tcMar>
              <w:top w:w="30" w:type="dxa"/>
              <w:left w:w="0" w:type="dxa"/>
              <w:bottom w:w="30" w:type="dxa"/>
              <w:right w:w="20" w:type="dxa"/>
            </w:tcMar>
            <w:vAlign w:val="bottom"/>
            <w:hideMark/>
          </w:tcPr>
          <w:p w:rsidR="00000000" w:rsidRDefault="001F1FC8">
            <w:pPr>
              <w:rPr>
                <w:rFonts w:eastAsia="Times New Roman"/>
              </w:rPr>
            </w:pPr>
            <w:r>
              <w:rPr>
                <w:rFonts w:ascii="Arial" w:eastAsia="Times New Roman" w:hAnsi="Arial" w:cs="Arial"/>
                <w:color w:val="000000"/>
                <w:sz w:val="20"/>
                <w:szCs w:val="20"/>
              </w:rPr>
              <w:t>%</w:t>
            </w:r>
          </w:p>
        </w:tc>
        <w:tc>
          <w:tcPr>
            <w:tcW w:w="0" w:type="auto"/>
            <w:gridSpan w:val="2"/>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20"/>
                <w:szCs w:val="20"/>
              </w:rPr>
              <w:t>38</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96 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r>
      <w:tr w:rsidR="00000000">
        <w:trPr>
          <w:divId w:val="2103992508"/>
        </w:trPr>
        <w:tc>
          <w:tcPr>
            <w:tcW w:w="0" w:type="auto"/>
            <w:gridSpan w:val="3"/>
            <w:tcMar>
              <w:top w:w="30" w:type="dxa"/>
              <w:left w:w="560" w:type="dxa"/>
              <w:bottom w:w="30" w:type="dxa"/>
              <w:right w:w="20" w:type="dxa"/>
            </w:tcMar>
            <w:hideMark/>
          </w:tcPr>
          <w:p w:rsidR="00000000" w:rsidRDefault="001F1FC8">
            <w:pPr>
              <w:ind w:hanging="180"/>
              <w:rPr>
                <w:rFonts w:eastAsia="Times New Roman"/>
              </w:rPr>
            </w:pPr>
            <w:r>
              <w:rPr>
                <w:rFonts w:ascii="Arial" w:eastAsia="Times New Roman" w:hAnsi="Arial" w:cs="Arial"/>
                <w:color w:val="000000"/>
                <w:sz w:val="20"/>
                <w:szCs w:val="20"/>
              </w:rPr>
              <w:t>Enbridge Renewable Infrastructure Investments S.a.r.l.</w:t>
            </w: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51.0 </w:t>
            </w:r>
          </w:p>
        </w:tc>
        <w:tc>
          <w:tcPr>
            <w:tcW w:w="0" w:type="auto"/>
            <w:tcMar>
              <w:top w:w="30" w:type="dxa"/>
              <w:left w:w="0" w:type="dxa"/>
              <w:bottom w:w="30" w:type="dxa"/>
              <w:right w:w="20" w:type="dxa"/>
            </w:tcMar>
            <w:vAlign w:val="bottom"/>
            <w:hideMark/>
          </w:tcPr>
          <w:p w:rsidR="00000000" w:rsidRDefault="001F1FC8">
            <w:pPr>
              <w:rPr>
                <w:rFonts w:eastAsia="Times New Roman"/>
              </w:rPr>
            </w:pPr>
            <w:r>
              <w:rPr>
                <w:rFonts w:ascii="Arial" w:eastAsia="Times New Roman" w:hAnsi="Arial" w:cs="Arial"/>
                <w:color w:val="000000"/>
                <w:sz w:val="20"/>
                <w:szCs w:val="20"/>
              </w:rPr>
              <w:t>%</w:t>
            </w:r>
          </w:p>
        </w:tc>
        <w:tc>
          <w:tcPr>
            <w:tcW w:w="0" w:type="auto"/>
            <w:gridSpan w:val="2"/>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20"/>
                <w:szCs w:val="20"/>
              </w:rPr>
              <w:t>54</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100 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r>
      <w:tr w:rsidR="00000000">
        <w:trPr>
          <w:divId w:val="2103992508"/>
        </w:trPr>
        <w:tc>
          <w:tcPr>
            <w:tcW w:w="0" w:type="auto"/>
            <w:gridSpan w:val="3"/>
            <w:tcMar>
              <w:top w:w="30" w:type="dxa"/>
              <w:left w:w="380" w:type="dxa"/>
              <w:bottom w:w="30" w:type="dxa"/>
              <w:right w:w="20" w:type="dxa"/>
            </w:tcMar>
            <w:hideMark/>
          </w:tcPr>
          <w:p w:rsidR="00000000" w:rsidRDefault="001F1FC8">
            <w:pPr>
              <w:rPr>
                <w:rFonts w:eastAsia="Times New Roman"/>
              </w:rPr>
            </w:pPr>
            <w:r>
              <w:rPr>
                <w:rFonts w:ascii="Arial" w:eastAsia="Times New Roman" w:hAnsi="Arial" w:cs="Arial"/>
                <w:color w:val="000000"/>
                <w:sz w:val="20"/>
                <w:szCs w:val="20"/>
              </w:rPr>
              <w:t>Rampion Offshore Wind Limited</w:t>
            </w: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24.9 </w:t>
            </w:r>
          </w:p>
        </w:tc>
        <w:tc>
          <w:tcPr>
            <w:tcW w:w="0" w:type="auto"/>
            <w:tcMar>
              <w:top w:w="30" w:type="dxa"/>
              <w:left w:w="0" w:type="dxa"/>
              <w:bottom w:w="30" w:type="dxa"/>
              <w:right w:w="20" w:type="dxa"/>
            </w:tcMar>
            <w:vAlign w:val="bottom"/>
            <w:hideMark/>
          </w:tcPr>
          <w:p w:rsidR="00000000" w:rsidRDefault="001F1FC8">
            <w:pPr>
              <w:rPr>
                <w:rFonts w:eastAsia="Times New Roman"/>
              </w:rPr>
            </w:pPr>
            <w:r>
              <w:rPr>
                <w:rFonts w:ascii="Arial" w:eastAsia="Times New Roman" w:hAnsi="Arial" w:cs="Arial"/>
                <w:color w:val="000000"/>
                <w:sz w:val="20"/>
                <w:szCs w:val="20"/>
              </w:rPr>
              <w:t>%</w:t>
            </w:r>
          </w:p>
        </w:tc>
        <w:tc>
          <w:tcPr>
            <w:tcW w:w="0" w:type="auto"/>
            <w:gridSpan w:val="2"/>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20"/>
                <w:szCs w:val="20"/>
              </w:rPr>
              <w:t>450</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599 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r>
      <w:tr w:rsidR="00000000">
        <w:trPr>
          <w:divId w:val="2103992508"/>
        </w:trPr>
        <w:tc>
          <w:tcPr>
            <w:tcW w:w="0" w:type="auto"/>
            <w:gridSpan w:val="3"/>
            <w:tcMar>
              <w:top w:w="30" w:type="dxa"/>
              <w:left w:w="380" w:type="dxa"/>
              <w:bottom w:w="30" w:type="dxa"/>
              <w:right w:w="20" w:type="dxa"/>
            </w:tcMar>
            <w:hideMark/>
          </w:tcPr>
          <w:p w:rsidR="00000000" w:rsidRDefault="001F1FC8">
            <w:pPr>
              <w:rPr>
                <w:rFonts w:eastAsia="Times New Roman"/>
              </w:rPr>
            </w:pPr>
            <w:r>
              <w:rPr>
                <w:rFonts w:ascii="Arial" w:eastAsia="Times New Roman" w:hAnsi="Arial" w:cs="Arial"/>
                <w:color w:val="000000"/>
                <w:sz w:val="20"/>
                <w:szCs w:val="20"/>
              </w:rPr>
              <w:t>NextBridge Infrastructure LP</w:t>
            </w: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25.0 </w:t>
            </w:r>
          </w:p>
        </w:tc>
        <w:tc>
          <w:tcPr>
            <w:tcW w:w="0" w:type="auto"/>
            <w:tcMar>
              <w:top w:w="30" w:type="dxa"/>
              <w:left w:w="0" w:type="dxa"/>
              <w:bottom w:w="30" w:type="dxa"/>
              <w:right w:w="20" w:type="dxa"/>
            </w:tcMar>
            <w:vAlign w:val="bottom"/>
            <w:hideMark/>
          </w:tcPr>
          <w:p w:rsidR="00000000" w:rsidRDefault="001F1FC8">
            <w:pPr>
              <w:rPr>
                <w:rFonts w:eastAsia="Times New Roman"/>
              </w:rPr>
            </w:pPr>
            <w:r>
              <w:rPr>
                <w:rFonts w:ascii="Arial" w:eastAsia="Times New Roman" w:hAnsi="Arial" w:cs="Arial"/>
                <w:color w:val="000000"/>
                <w:sz w:val="20"/>
                <w:szCs w:val="20"/>
              </w:rPr>
              <w:t>%</w:t>
            </w:r>
          </w:p>
        </w:tc>
        <w:tc>
          <w:tcPr>
            <w:tcW w:w="0" w:type="auto"/>
            <w:gridSpan w:val="2"/>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20"/>
                <w:szCs w:val="20"/>
              </w:rPr>
              <w:t>186</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122 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r>
      <w:tr w:rsidR="00000000">
        <w:trPr>
          <w:divId w:val="2103992508"/>
        </w:trPr>
        <w:tc>
          <w:tcPr>
            <w:tcW w:w="0" w:type="auto"/>
            <w:gridSpan w:val="3"/>
            <w:tcMar>
              <w:top w:w="30" w:type="dxa"/>
              <w:left w:w="380" w:type="dxa"/>
              <w:bottom w:w="30" w:type="dxa"/>
              <w:right w:w="20" w:type="dxa"/>
            </w:tcMar>
            <w:hideMark/>
          </w:tcPr>
          <w:p w:rsidR="00000000" w:rsidRDefault="001F1FC8">
            <w:pPr>
              <w:rPr>
                <w:rFonts w:eastAsia="Times New Roman"/>
              </w:rPr>
            </w:pPr>
            <w:r>
              <w:rPr>
                <w:rFonts w:ascii="Arial" w:eastAsia="Times New Roman" w:hAnsi="Arial" w:cs="Arial"/>
                <w:color w:val="000000"/>
                <w:sz w:val="20"/>
                <w:szCs w:val="20"/>
              </w:rPr>
              <w:t>Other</w:t>
            </w:r>
          </w:p>
        </w:tc>
        <w:tc>
          <w:tcPr>
            <w:tcW w:w="0" w:type="auto"/>
            <w:gridSpan w:val="3"/>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12.0% - 50.0%</w:t>
            </w:r>
          </w:p>
        </w:tc>
        <w:tc>
          <w:tcPr>
            <w:tcW w:w="0" w:type="auto"/>
            <w:gridSpan w:val="2"/>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20"/>
                <w:szCs w:val="20"/>
              </w:rPr>
              <w:t>93</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74 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r>
      <w:tr w:rsidR="00000000">
        <w:trPr>
          <w:divId w:val="2103992508"/>
        </w:trPr>
        <w:tc>
          <w:tcPr>
            <w:tcW w:w="0" w:type="auto"/>
            <w:gridSpan w:val="3"/>
            <w:tcMar>
              <w:top w:w="30" w:type="dxa"/>
              <w:left w:w="155" w:type="dxa"/>
              <w:bottom w:w="30" w:type="dxa"/>
              <w:right w:w="20" w:type="dxa"/>
            </w:tcMar>
            <w:hideMark/>
          </w:tcPr>
          <w:p w:rsidR="00000000" w:rsidRDefault="001F1FC8">
            <w:pPr>
              <w:rPr>
                <w:rFonts w:eastAsia="Times New Roman"/>
              </w:rPr>
            </w:pPr>
            <w:r>
              <w:rPr>
                <w:rFonts w:ascii="Arial" w:eastAsia="Times New Roman" w:hAnsi="Arial" w:cs="Arial"/>
                <w:b/>
                <w:bCs/>
                <w:color w:val="000000"/>
                <w:sz w:val="20"/>
                <w:szCs w:val="20"/>
              </w:rPr>
              <w:t>Eliminations and Other</w:t>
            </w:r>
          </w:p>
        </w:tc>
        <w:tc>
          <w:tcPr>
            <w:tcW w:w="0" w:type="auto"/>
            <w:gridSpan w:val="3"/>
            <w:tcMar>
              <w:top w:w="0" w:type="dxa"/>
              <w:left w:w="20" w:type="dxa"/>
              <w:bottom w:w="0" w:type="dxa"/>
              <w:right w:w="20" w:type="dxa"/>
            </w:tcMar>
            <w:vAlign w:val="center"/>
            <w:hideMark/>
          </w:tcPr>
          <w:p w:rsidR="00000000" w:rsidRDefault="001F1FC8">
            <w:pPr>
              <w:rPr>
                <w:rFonts w:eastAsia="Times New Roman"/>
              </w:rPr>
            </w:pPr>
          </w:p>
        </w:tc>
        <w:tc>
          <w:tcPr>
            <w:tcW w:w="0" w:type="auto"/>
            <w:gridSpan w:val="3"/>
            <w:shd w:val="clear" w:color="auto" w:fill="D9D9D9"/>
            <w:tcMar>
              <w:top w:w="0" w:type="dxa"/>
              <w:left w:w="20" w:type="dxa"/>
              <w:bottom w:w="0" w:type="dxa"/>
              <w:right w:w="20" w:type="dxa"/>
            </w:tcMar>
            <w:vAlign w:val="center"/>
            <w:hideMark/>
          </w:tcPr>
          <w:p w:rsidR="00000000" w:rsidRDefault="001F1FC8">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1F1FC8">
            <w:pPr>
              <w:rPr>
                <w:rFonts w:eastAsia="Times New Roman"/>
                <w:sz w:val="20"/>
                <w:szCs w:val="20"/>
              </w:rPr>
            </w:pPr>
          </w:p>
        </w:tc>
      </w:tr>
      <w:tr w:rsidR="00000000">
        <w:trPr>
          <w:divId w:val="2103992508"/>
        </w:trPr>
        <w:tc>
          <w:tcPr>
            <w:tcW w:w="0" w:type="auto"/>
            <w:gridSpan w:val="3"/>
            <w:tcMar>
              <w:top w:w="30" w:type="dxa"/>
              <w:left w:w="380" w:type="dxa"/>
              <w:bottom w:w="30" w:type="dxa"/>
              <w:right w:w="20" w:type="dxa"/>
            </w:tcMar>
            <w:hideMark/>
          </w:tcPr>
          <w:p w:rsidR="00000000" w:rsidRDefault="001F1FC8">
            <w:pPr>
              <w:rPr>
                <w:rFonts w:eastAsia="Times New Roman"/>
              </w:rPr>
            </w:pPr>
            <w:r>
              <w:rPr>
                <w:rFonts w:ascii="Arial" w:eastAsia="Times New Roman" w:hAnsi="Arial" w:cs="Arial"/>
                <w:color w:val="000000"/>
                <w:sz w:val="20"/>
                <w:szCs w:val="20"/>
              </w:rPr>
              <w:t>Other</w:t>
            </w:r>
          </w:p>
        </w:tc>
        <w:tc>
          <w:tcPr>
            <w:tcW w:w="0" w:type="auto"/>
            <w:gridSpan w:val="3"/>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42.7% - 50.0%</w:t>
            </w:r>
          </w:p>
        </w:tc>
        <w:tc>
          <w:tcPr>
            <w:tcW w:w="0" w:type="auto"/>
            <w:gridSpan w:val="2"/>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20"/>
                <w:szCs w:val="20"/>
              </w:rPr>
              <w:t>23</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32 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r>
      <w:tr w:rsidR="00000000">
        <w:trPr>
          <w:divId w:val="2103992508"/>
        </w:trPr>
        <w:tc>
          <w:tcPr>
            <w:tcW w:w="0" w:type="auto"/>
            <w:gridSpan w:val="3"/>
            <w:tcMar>
              <w:top w:w="30" w:type="dxa"/>
              <w:left w:w="20" w:type="dxa"/>
              <w:bottom w:w="30" w:type="dxa"/>
              <w:right w:w="20" w:type="dxa"/>
            </w:tcMar>
            <w:hideMark/>
          </w:tcPr>
          <w:p w:rsidR="00000000" w:rsidRDefault="001F1FC8">
            <w:pPr>
              <w:rPr>
                <w:rFonts w:eastAsia="Times New Roman"/>
              </w:rPr>
            </w:pPr>
            <w:r>
              <w:rPr>
                <w:rFonts w:ascii="Arial" w:eastAsia="Times New Roman" w:hAnsi="Arial" w:cs="Arial"/>
                <w:b/>
                <w:bCs/>
                <w:color w:val="000000"/>
                <w:sz w:val="20"/>
                <w:szCs w:val="20"/>
              </w:rPr>
              <w:t>OTHER LONG-TERM INVESTMENTS</w:t>
            </w:r>
          </w:p>
        </w:tc>
        <w:tc>
          <w:tcPr>
            <w:tcW w:w="0" w:type="auto"/>
            <w:gridSpan w:val="3"/>
            <w:tcMar>
              <w:top w:w="0" w:type="dxa"/>
              <w:left w:w="20" w:type="dxa"/>
              <w:bottom w:w="0" w:type="dxa"/>
              <w:right w:w="20" w:type="dxa"/>
            </w:tcMar>
            <w:vAlign w:val="center"/>
            <w:hideMark/>
          </w:tcPr>
          <w:p w:rsidR="00000000" w:rsidRDefault="001F1FC8">
            <w:pPr>
              <w:rPr>
                <w:rFonts w:eastAsia="Times New Roman"/>
              </w:rPr>
            </w:pPr>
          </w:p>
        </w:tc>
        <w:tc>
          <w:tcPr>
            <w:tcW w:w="0" w:type="auto"/>
            <w:gridSpan w:val="3"/>
            <w:shd w:val="clear" w:color="auto" w:fill="D9D9D9"/>
            <w:tcMar>
              <w:top w:w="0" w:type="dxa"/>
              <w:left w:w="20" w:type="dxa"/>
              <w:bottom w:w="0" w:type="dxa"/>
              <w:right w:w="20" w:type="dxa"/>
            </w:tcMar>
            <w:vAlign w:val="center"/>
            <w:hideMark/>
          </w:tcPr>
          <w:p w:rsidR="00000000" w:rsidRDefault="001F1FC8">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1F1FC8">
            <w:pPr>
              <w:rPr>
                <w:rFonts w:eastAsia="Times New Roman"/>
                <w:sz w:val="20"/>
                <w:szCs w:val="20"/>
              </w:rPr>
            </w:pPr>
          </w:p>
        </w:tc>
      </w:tr>
      <w:tr w:rsidR="00000000">
        <w:trPr>
          <w:divId w:val="2103992508"/>
        </w:trPr>
        <w:tc>
          <w:tcPr>
            <w:tcW w:w="0" w:type="auto"/>
            <w:gridSpan w:val="3"/>
            <w:tcMar>
              <w:top w:w="30" w:type="dxa"/>
              <w:left w:w="155" w:type="dxa"/>
              <w:bottom w:w="30" w:type="dxa"/>
              <w:right w:w="20" w:type="dxa"/>
            </w:tcMar>
            <w:hideMark/>
          </w:tcPr>
          <w:p w:rsidR="00000000" w:rsidRDefault="001F1FC8">
            <w:pPr>
              <w:rPr>
                <w:rFonts w:eastAsia="Times New Roman"/>
              </w:rPr>
            </w:pPr>
            <w:r>
              <w:rPr>
                <w:rFonts w:ascii="Arial" w:eastAsia="Times New Roman" w:hAnsi="Arial" w:cs="Arial"/>
                <w:color w:val="000000"/>
                <w:sz w:val="20"/>
                <w:szCs w:val="20"/>
              </w:rPr>
              <w:t>Gas Distribution and Storage</w:t>
            </w:r>
          </w:p>
        </w:tc>
        <w:tc>
          <w:tcPr>
            <w:tcW w:w="0" w:type="auto"/>
            <w:gridSpan w:val="3"/>
            <w:tcMar>
              <w:top w:w="0" w:type="dxa"/>
              <w:left w:w="20" w:type="dxa"/>
              <w:bottom w:w="0" w:type="dxa"/>
              <w:right w:w="20" w:type="dxa"/>
            </w:tcMar>
            <w:vAlign w:val="center"/>
            <w:hideMark/>
          </w:tcPr>
          <w:p w:rsidR="00000000" w:rsidRDefault="001F1FC8">
            <w:pPr>
              <w:rPr>
                <w:rFonts w:eastAsia="Times New Roman"/>
              </w:rPr>
            </w:pPr>
          </w:p>
        </w:tc>
        <w:tc>
          <w:tcPr>
            <w:tcW w:w="0" w:type="auto"/>
            <w:gridSpan w:val="3"/>
            <w:shd w:val="clear" w:color="auto" w:fill="D9D9D9"/>
            <w:tcMar>
              <w:top w:w="0" w:type="dxa"/>
              <w:left w:w="20" w:type="dxa"/>
              <w:bottom w:w="0" w:type="dxa"/>
              <w:right w:w="20" w:type="dxa"/>
            </w:tcMar>
            <w:vAlign w:val="center"/>
            <w:hideMark/>
          </w:tcPr>
          <w:p w:rsidR="00000000" w:rsidRDefault="001F1FC8">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1F1FC8">
            <w:pPr>
              <w:rPr>
                <w:rFonts w:eastAsia="Times New Roman"/>
                <w:sz w:val="20"/>
                <w:szCs w:val="20"/>
              </w:rPr>
            </w:pPr>
          </w:p>
        </w:tc>
      </w:tr>
      <w:tr w:rsidR="00000000">
        <w:trPr>
          <w:divId w:val="2103992508"/>
        </w:trPr>
        <w:tc>
          <w:tcPr>
            <w:tcW w:w="0" w:type="auto"/>
            <w:gridSpan w:val="3"/>
            <w:tcMar>
              <w:top w:w="30" w:type="dxa"/>
              <w:left w:w="20" w:type="dxa"/>
              <w:bottom w:w="30" w:type="dxa"/>
              <w:right w:w="20" w:type="dxa"/>
            </w:tcMar>
            <w:hideMark/>
          </w:tcPr>
          <w:p w:rsidR="00000000" w:rsidRDefault="001F1FC8">
            <w:pPr>
              <w:divId w:val="16079234"/>
              <w:rPr>
                <w:rFonts w:eastAsia="Times New Roman"/>
              </w:rPr>
            </w:pPr>
            <w:r>
              <w:rPr>
                <w:rFonts w:ascii="Arial" w:eastAsia="Times New Roman" w:hAnsi="Arial" w:cs="Arial"/>
                <w:color w:val="000000"/>
                <w:sz w:val="20"/>
                <w:szCs w:val="20"/>
              </w:rPr>
              <w:t>Noverco Preferred Share</w:t>
            </w:r>
            <w:r>
              <w:rPr>
                <w:rFonts w:ascii="Arial" w:eastAsia="Times New Roman" w:hAnsi="Arial" w:cs="Arial"/>
                <w:color w:val="000000"/>
                <w:sz w:val="20"/>
                <w:szCs w:val="20"/>
              </w:rPr>
              <w:t>s</w:t>
            </w:r>
            <w:r>
              <w:rPr>
                <w:rFonts w:ascii="Arial" w:eastAsia="Times New Roman" w:hAnsi="Arial" w:cs="Arial"/>
                <w:color w:val="000000"/>
                <w:sz w:val="10"/>
                <w:szCs w:val="10"/>
              </w:rPr>
              <w:t>9</w:t>
            </w:r>
          </w:p>
        </w:tc>
        <w:tc>
          <w:tcPr>
            <w:tcW w:w="0" w:type="auto"/>
            <w:gridSpan w:val="3"/>
            <w:tcMar>
              <w:top w:w="0" w:type="dxa"/>
              <w:left w:w="20" w:type="dxa"/>
              <w:bottom w:w="0" w:type="dxa"/>
              <w:right w:w="20" w:type="dxa"/>
            </w:tcMar>
            <w:vAlign w:val="center"/>
            <w:hideMark/>
          </w:tcPr>
          <w:p w:rsidR="00000000" w:rsidRDefault="001F1FC8">
            <w:pPr>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20"/>
                <w:szCs w:val="20"/>
              </w:rPr>
              <w:t>—</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567 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r>
      <w:tr w:rsidR="00000000">
        <w:trPr>
          <w:divId w:val="2103992508"/>
        </w:trPr>
        <w:tc>
          <w:tcPr>
            <w:tcW w:w="0" w:type="auto"/>
            <w:gridSpan w:val="3"/>
            <w:tcMar>
              <w:top w:w="30" w:type="dxa"/>
              <w:left w:w="155" w:type="dxa"/>
              <w:bottom w:w="30" w:type="dxa"/>
              <w:right w:w="20" w:type="dxa"/>
            </w:tcMar>
            <w:hideMark/>
          </w:tcPr>
          <w:p w:rsidR="00000000" w:rsidRDefault="001F1FC8">
            <w:pPr>
              <w:rPr>
                <w:rFonts w:eastAsia="Times New Roman"/>
              </w:rPr>
            </w:pPr>
            <w:r>
              <w:rPr>
                <w:rFonts w:ascii="Arial" w:eastAsia="Times New Roman" w:hAnsi="Arial" w:cs="Arial"/>
                <w:color w:val="000000"/>
                <w:sz w:val="20"/>
                <w:szCs w:val="20"/>
              </w:rPr>
              <w:t>Renewable Power Generation</w:t>
            </w:r>
          </w:p>
        </w:tc>
        <w:tc>
          <w:tcPr>
            <w:tcW w:w="0" w:type="auto"/>
            <w:gridSpan w:val="3"/>
            <w:tcMar>
              <w:top w:w="0" w:type="dxa"/>
              <w:left w:w="20" w:type="dxa"/>
              <w:bottom w:w="0" w:type="dxa"/>
              <w:right w:w="20" w:type="dxa"/>
            </w:tcMar>
            <w:vAlign w:val="center"/>
            <w:hideMark/>
          </w:tcPr>
          <w:p w:rsidR="00000000" w:rsidRDefault="001F1FC8">
            <w:pPr>
              <w:rPr>
                <w:rFonts w:eastAsia="Times New Roman"/>
              </w:rPr>
            </w:pPr>
          </w:p>
        </w:tc>
        <w:tc>
          <w:tcPr>
            <w:tcW w:w="0" w:type="auto"/>
            <w:gridSpan w:val="3"/>
            <w:shd w:val="clear" w:color="auto" w:fill="D9D9D9"/>
            <w:tcMar>
              <w:top w:w="0" w:type="dxa"/>
              <w:left w:w="20" w:type="dxa"/>
              <w:bottom w:w="0" w:type="dxa"/>
              <w:right w:w="20" w:type="dxa"/>
            </w:tcMar>
            <w:vAlign w:val="center"/>
            <w:hideMark/>
          </w:tcPr>
          <w:p w:rsidR="00000000" w:rsidRDefault="001F1FC8">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1F1FC8">
            <w:pPr>
              <w:rPr>
                <w:rFonts w:eastAsia="Times New Roman"/>
                <w:sz w:val="20"/>
                <w:szCs w:val="20"/>
              </w:rPr>
            </w:pPr>
          </w:p>
        </w:tc>
      </w:tr>
      <w:tr w:rsidR="00000000">
        <w:trPr>
          <w:divId w:val="2103992508"/>
        </w:trPr>
        <w:tc>
          <w:tcPr>
            <w:tcW w:w="0" w:type="auto"/>
            <w:gridSpan w:val="3"/>
            <w:tcMar>
              <w:top w:w="30" w:type="dxa"/>
              <w:left w:w="380" w:type="dxa"/>
              <w:bottom w:w="30" w:type="dxa"/>
              <w:right w:w="20" w:type="dxa"/>
            </w:tcMar>
            <w:hideMark/>
          </w:tcPr>
          <w:p w:rsidR="00000000" w:rsidRDefault="001F1FC8">
            <w:pPr>
              <w:rPr>
                <w:rFonts w:eastAsia="Times New Roman"/>
              </w:rPr>
            </w:pPr>
            <w:r>
              <w:rPr>
                <w:rFonts w:ascii="Arial" w:eastAsia="Times New Roman" w:hAnsi="Arial" w:cs="Arial"/>
                <w:color w:val="000000"/>
                <w:sz w:val="20"/>
                <w:szCs w:val="20"/>
              </w:rPr>
              <w:t>Emerging Technologies and Other</w:t>
            </w:r>
          </w:p>
        </w:tc>
        <w:tc>
          <w:tcPr>
            <w:tcW w:w="0" w:type="auto"/>
            <w:gridSpan w:val="3"/>
            <w:tcMar>
              <w:top w:w="0" w:type="dxa"/>
              <w:left w:w="20" w:type="dxa"/>
              <w:bottom w:w="0" w:type="dxa"/>
              <w:right w:w="20" w:type="dxa"/>
            </w:tcMar>
            <w:vAlign w:val="center"/>
            <w:hideMark/>
          </w:tcPr>
          <w:p w:rsidR="00000000" w:rsidRDefault="001F1FC8">
            <w:pPr>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20"/>
                <w:szCs w:val="20"/>
              </w:rPr>
              <w:t>32</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32 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r>
      <w:tr w:rsidR="00000000">
        <w:trPr>
          <w:divId w:val="2103992508"/>
        </w:trPr>
        <w:tc>
          <w:tcPr>
            <w:tcW w:w="0" w:type="auto"/>
            <w:gridSpan w:val="3"/>
            <w:tcMar>
              <w:top w:w="30" w:type="dxa"/>
              <w:left w:w="155" w:type="dxa"/>
              <w:bottom w:w="30" w:type="dxa"/>
              <w:right w:w="20" w:type="dxa"/>
            </w:tcMar>
            <w:hideMark/>
          </w:tcPr>
          <w:p w:rsidR="00000000" w:rsidRDefault="001F1FC8">
            <w:pPr>
              <w:rPr>
                <w:rFonts w:eastAsia="Times New Roman"/>
              </w:rPr>
            </w:pPr>
            <w:r>
              <w:rPr>
                <w:rFonts w:ascii="Arial" w:eastAsia="Times New Roman" w:hAnsi="Arial" w:cs="Arial"/>
                <w:color w:val="000000"/>
                <w:sz w:val="20"/>
                <w:szCs w:val="20"/>
              </w:rPr>
              <w:t>Eliminations and Other</w:t>
            </w:r>
          </w:p>
        </w:tc>
        <w:tc>
          <w:tcPr>
            <w:tcW w:w="0" w:type="auto"/>
            <w:gridSpan w:val="3"/>
            <w:tcMar>
              <w:top w:w="0" w:type="dxa"/>
              <w:left w:w="20" w:type="dxa"/>
              <w:bottom w:w="0" w:type="dxa"/>
              <w:right w:w="20" w:type="dxa"/>
            </w:tcMar>
            <w:vAlign w:val="center"/>
            <w:hideMark/>
          </w:tcPr>
          <w:p w:rsidR="00000000" w:rsidRDefault="001F1FC8">
            <w:pPr>
              <w:rPr>
                <w:rFonts w:eastAsia="Times New Roman"/>
              </w:rPr>
            </w:pPr>
          </w:p>
        </w:tc>
        <w:tc>
          <w:tcPr>
            <w:tcW w:w="0" w:type="auto"/>
            <w:gridSpan w:val="3"/>
            <w:shd w:val="clear" w:color="auto" w:fill="D9D9D9"/>
            <w:tcMar>
              <w:top w:w="0" w:type="dxa"/>
              <w:left w:w="20" w:type="dxa"/>
              <w:bottom w:w="0" w:type="dxa"/>
              <w:right w:w="20" w:type="dxa"/>
            </w:tcMar>
            <w:vAlign w:val="center"/>
            <w:hideMark/>
          </w:tcPr>
          <w:p w:rsidR="00000000" w:rsidRDefault="001F1FC8">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1F1FC8">
            <w:pPr>
              <w:rPr>
                <w:rFonts w:eastAsia="Times New Roman"/>
                <w:sz w:val="20"/>
                <w:szCs w:val="20"/>
              </w:rPr>
            </w:pPr>
          </w:p>
        </w:tc>
      </w:tr>
      <w:tr w:rsidR="00000000">
        <w:trPr>
          <w:divId w:val="2103992508"/>
        </w:trPr>
        <w:tc>
          <w:tcPr>
            <w:tcW w:w="0" w:type="auto"/>
            <w:gridSpan w:val="3"/>
            <w:tcMar>
              <w:top w:w="30" w:type="dxa"/>
              <w:left w:w="20" w:type="dxa"/>
              <w:bottom w:w="30" w:type="dxa"/>
              <w:right w:w="20" w:type="dxa"/>
            </w:tcMar>
            <w:hideMark/>
          </w:tcPr>
          <w:p w:rsidR="00000000" w:rsidRDefault="001F1FC8">
            <w:pPr>
              <w:divId w:val="2071227613"/>
              <w:rPr>
                <w:rFonts w:eastAsia="Times New Roman"/>
              </w:rPr>
            </w:pPr>
            <w:r>
              <w:rPr>
                <w:rFonts w:ascii="Arial" w:eastAsia="Times New Roman" w:hAnsi="Arial" w:cs="Arial"/>
                <w:color w:val="000000"/>
                <w:sz w:val="20"/>
                <w:szCs w:val="20"/>
              </w:rPr>
              <w:t>Othe</w:t>
            </w:r>
            <w:r>
              <w:rPr>
                <w:rFonts w:ascii="Arial" w:eastAsia="Times New Roman" w:hAnsi="Arial" w:cs="Arial"/>
                <w:color w:val="000000"/>
                <w:sz w:val="20"/>
                <w:szCs w:val="20"/>
              </w:rPr>
              <w:t>r</w:t>
            </w:r>
            <w:r>
              <w:rPr>
                <w:rFonts w:ascii="Arial" w:eastAsia="Times New Roman" w:hAnsi="Arial" w:cs="Arial"/>
                <w:color w:val="000000"/>
                <w:sz w:val="10"/>
                <w:szCs w:val="10"/>
              </w:rPr>
              <w:t>1</w:t>
            </w:r>
            <w:r>
              <w:rPr>
                <w:rFonts w:ascii="Arial" w:eastAsia="Times New Roman" w:hAnsi="Arial" w:cs="Arial"/>
                <w:color w:val="000000"/>
                <w:sz w:val="10"/>
                <w:szCs w:val="10"/>
              </w:rPr>
              <w:t>1</w:t>
            </w:r>
          </w:p>
        </w:tc>
        <w:tc>
          <w:tcPr>
            <w:tcW w:w="0" w:type="auto"/>
            <w:gridSpan w:val="3"/>
            <w:tcMar>
              <w:top w:w="0" w:type="dxa"/>
              <w:left w:w="20" w:type="dxa"/>
              <w:bottom w:w="0" w:type="dxa"/>
              <w:right w:w="20" w:type="dxa"/>
            </w:tcMar>
            <w:vAlign w:val="center"/>
            <w:hideMark/>
          </w:tcPr>
          <w:p w:rsidR="00000000" w:rsidRDefault="001F1FC8">
            <w:pPr>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20"/>
                <w:szCs w:val="20"/>
              </w:rPr>
              <w:t>310</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252 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r>
      <w:tr w:rsidR="00000000">
        <w:trPr>
          <w:divId w:val="2103992508"/>
        </w:trPr>
        <w:tc>
          <w:tcPr>
            <w:tcW w:w="0" w:type="auto"/>
            <w:gridSpan w:val="3"/>
            <w:tcBorders>
              <w:top w:val="single" w:sz="4" w:space="0" w:color="000000"/>
              <w:bottom w:val="single" w:sz="8" w:space="0" w:color="000000"/>
            </w:tcBorders>
            <w:tcMar>
              <w:top w:w="30" w:type="dxa"/>
              <w:left w:w="20" w:type="dxa"/>
              <w:bottom w:w="30" w:type="dxa"/>
              <w:right w:w="20" w:type="dxa"/>
            </w:tcMar>
            <w:hideMark/>
          </w:tcPr>
          <w:p w:rsidR="00000000" w:rsidRDefault="001F1FC8">
            <w:pPr>
              <w:rPr>
                <w:rFonts w:eastAsia="Times New Roman"/>
              </w:rPr>
            </w:pPr>
            <w:r>
              <w:rPr>
                <w:rFonts w:ascii="Arial" w:eastAsia="Times New Roman" w:hAnsi="Arial" w:cs="Arial"/>
                <w:color w:val="000000"/>
                <w:sz w:val="2"/>
                <w:szCs w:val="2"/>
              </w:rPr>
              <w:t> </w:t>
            </w:r>
          </w:p>
        </w:tc>
        <w:tc>
          <w:tcPr>
            <w:tcW w:w="0" w:type="auto"/>
            <w:gridSpan w:val="3"/>
            <w:tcBorders>
              <w:top w:val="single" w:sz="4" w:space="0" w:color="000000"/>
              <w:bottom w:val="single" w:sz="8" w:space="0" w:color="000000"/>
            </w:tcBorders>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2"/>
                <w:szCs w:val="2"/>
              </w:rPr>
              <w:t> </w:t>
            </w:r>
          </w:p>
        </w:tc>
        <w:tc>
          <w:tcPr>
            <w:tcW w:w="0" w:type="auto"/>
            <w:gridSpan w:val="2"/>
            <w:tcBorders>
              <w:top w:val="single" w:sz="4" w:space="0" w:color="000000"/>
              <w:bottom w:val="single" w:sz="8" w:space="0" w:color="000000"/>
            </w:tcBorders>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20"/>
                <w:szCs w:val="20"/>
              </w:rPr>
              <w:t>13,324</w:t>
            </w:r>
            <w:r>
              <w:rPr>
                <w:rFonts w:ascii="Arial" w:eastAsia="Times New Roman" w:hAnsi="Arial" w:cs="Arial"/>
                <w:color w:val="000000"/>
                <w:sz w:val="20"/>
                <w:szCs w:val="20"/>
              </w:rPr>
              <w:t> </w:t>
            </w:r>
          </w:p>
        </w:tc>
        <w:tc>
          <w:tcPr>
            <w:tcW w:w="0" w:type="auto"/>
            <w:tcBorders>
              <w:top w:val="single" w:sz="4" w:space="0" w:color="000000"/>
              <w:bottom w:val="single" w:sz="8" w:space="0" w:color="000000"/>
            </w:tcBorders>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Borders>
              <w:top w:val="single" w:sz="4" w:space="0" w:color="000000"/>
              <w:bottom w:val="single" w:sz="8" w:space="0" w:color="000000"/>
            </w:tcBorders>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13,818 </w:t>
            </w:r>
          </w:p>
        </w:tc>
        <w:tc>
          <w:tcPr>
            <w:tcW w:w="0" w:type="auto"/>
            <w:tcBorders>
              <w:top w:val="single" w:sz="4" w:space="0" w:color="000000"/>
              <w:bottom w:val="single" w:sz="8" w:space="0" w:color="000000"/>
            </w:tcBorders>
            <w:tcMar>
              <w:top w:w="30" w:type="dxa"/>
              <w:left w:w="0" w:type="dxa"/>
              <w:bottom w:w="30" w:type="dxa"/>
              <w:right w:w="20" w:type="dxa"/>
            </w:tcMar>
            <w:vAlign w:val="bottom"/>
            <w:hideMark/>
          </w:tcPr>
          <w:p w:rsidR="00000000" w:rsidRDefault="001F1FC8">
            <w:pPr>
              <w:jc w:val="right"/>
              <w:rPr>
                <w:rFonts w:eastAsia="Times New Roman"/>
              </w:rPr>
            </w:pPr>
          </w:p>
        </w:tc>
      </w:tr>
    </w:tbl>
    <w:p w:rsidR="00000000" w:rsidRDefault="001F1FC8">
      <w:pPr>
        <w:ind w:hanging="180"/>
        <w:divId w:val="602035627"/>
        <w:rPr>
          <w:rFonts w:eastAsia="Times New Roman"/>
        </w:rPr>
      </w:pPr>
      <w:r>
        <w:rPr>
          <w:rFonts w:ascii="Arial" w:eastAsia="Times New Roman" w:hAnsi="Arial" w:cs="Arial"/>
          <w:i/>
          <w:iCs/>
          <w:color w:val="000000"/>
          <w:sz w:val="16"/>
          <w:szCs w:val="16"/>
        </w:rPr>
        <w:t>1Owns 49% interest in Bakken Pipeline Investments L.L.C., which owns 75% of the Bakken Pipeline System resulting in a 27.6</w:t>
      </w:r>
      <w:r>
        <w:rPr>
          <w:rFonts w:ascii="Arial" w:eastAsia="Times New Roman" w:hAnsi="Arial" w:cs="Arial"/>
          <w:i/>
          <w:iCs/>
          <w:color w:val="000000"/>
          <w:sz w:val="16"/>
          <w:szCs w:val="16"/>
        </w:rPr>
        <w:t>% effective interest in the Bakken Pipeline System.</w:t>
      </w:r>
    </w:p>
    <w:p w:rsidR="00000000" w:rsidRDefault="001F1FC8">
      <w:pPr>
        <w:ind w:hanging="180"/>
        <w:divId w:val="558131053"/>
        <w:rPr>
          <w:rFonts w:eastAsia="Times New Roman"/>
        </w:rPr>
      </w:pPr>
      <w:r>
        <w:rPr>
          <w:rFonts w:ascii="Arial" w:eastAsia="Times New Roman" w:hAnsi="Arial" w:cs="Arial"/>
          <w:i/>
          <w:iCs/>
          <w:color w:val="000000"/>
          <w:sz w:val="16"/>
          <w:szCs w:val="16"/>
        </w:rPr>
        <w:t>2Owns 65% interest in Gray Oak Pipeline, LLC resulting in a 22.8% effective interest in Gray Oak Pipeline, LLC.</w:t>
      </w:r>
    </w:p>
    <w:p w:rsidR="00000000" w:rsidRDefault="001F1FC8">
      <w:pPr>
        <w:ind w:hanging="180"/>
        <w:divId w:val="1881824086"/>
        <w:rPr>
          <w:rFonts w:eastAsia="Times New Roman"/>
        </w:rPr>
      </w:pPr>
      <w:r>
        <w:rPr>
          <w:rFonts w:ascii="Arial" w:eastAsia="Times New Roman" w:hAnsi="Arial" w:cs="Arial"/>
          <w:i/>
          <w:iCs/>
          <w:color w:val="000000"/>
          <w:sz w:val="16"/>
          <w:szCs w:val="16"/>
        </w:rPr>
        <w:t>3Owns the Southern Access Extension Project.</w:t>
      </w:r>
    </w:p>
    <w:p w:rsidR="00000000" w:rsidRDefault="001F1FC8">
      <w:pPr>
        <w:ind w:hanging="180"/>
        <w:divId w:val="435290521"/>
        <w:rPr>
          <w:rFonts w:eastAsia="Times New Roman"/>
        </w:rPr>
      </w:pPr>
      <w:r>
        <w:rPr>
          <w:rFonts w:ascii="Arial" w:eastAsia="Times New Roman" w:hAnsi="Arial" w:cs="Arial"/>
          <w:i/>
          <w:iCs/>
          <w:color w:val="000000"/>
          <w:sz w:val="16"/>
          <w:szCs w:val="16"/>
        </w:rPr>
        <w:t>4In October 2021 we acquired an effective 20.0%</w:t>
      </w:r>
      <w:r>
        <w:rPr>
          <w:rFonts w:ascii="Arial" w:eastAsia="Times New Roman" w:hAnsi="Arial" w:cs="Arial"/>
          <w:i/>
          <w:iCs/>
          <w:color w:val="000000"/>
          <w:sz w:val="16"/>
          <w:szCs w:val="16"/>
        </w:rPr>
        <w:t xml:space="preserve"> interest in Cactus II Pipeline, LLC through the acquisition of Moda Midstream Operating, LLC. See Note 8 - Acquisitions and Dispositions for further discussion.</w:t>
      </w:r>
    </w:p>
    <w:p w:rsidR="00000000" w:rsidRDefault="001F1FC8">
      <w:pPr>
        <w:ind w:hanging="180"/>
        <w:divId w:val="1705517042"/>
        <w:rPr>
          <w:rFonts w:eastAsia="Times New Roman"/>
        </w:rPr>
      </w:pPr>
      <w:r>
        <w:rPr>
          <w:rFonts w:ascii="Arial" w:eastAsia="Times New Roman" w:hAnsi="Arial" w:cs="Arial"/>
          <w:i/>
          <w:iCs/>
          <w:color w:val="000000"/>
          <w:sz w:val="16"/>
          <w:szCs w:val="16"/>
        </w:rPr>
        <w:t>5Includes Alliance Pipeline Limited Partnership in Canada and Alliance Pipeline L.P. in the US</w:t>
      </w:r>
      <w:r>
        <w:rPr>
          <w:rFonts w:ascii="Arial" w:eastAsia="Times New Roman" w:hAnsi="Arial" w:cs="Arial"/>
          <w:i/>
          <w:iCs/>
          <w:color w:val="000000"/>
          <w:sz w:val="16"/>
          <w:szCs w:val="16"/>
        </w:rPr>
        <w:t>.</w:t>
      </w:r>
    </w:p>
    <w:p w:rsidR="00000000" w:rsidRDefault="001F1FC8">
      <w:pPr>
        <w:ind w:hanging="180"/>
        <w:divId w:val="414328558"/>
        <w:rPr>
          <w:rFonts w:eastAsia="Times New Roman"/>
        </w:rPr>
      </w:pPr>
      <w:r>
        <w:rPr>
          <w:rFonts w:ascii="Arial" w:eastAsia="Times New Roman" w:hAnsi="Arial" w:cs="Arial"/>
          <w:i/>
          <w:iCs/>
          <w:color w:val="000000"/>
          <w:sz w:val="16"/>
          <w:szCs w:val="16"/>
        </w:rPr>
        <w:t>6Includes Aux Sable Canada LP in Canada and Aux Sable Liquid Products LP and Aux Sable Midstream LLC in the US.</w:t>
      </w:r>
    </w:p>
    <w:p w:rsidR="00000000" w:rsidRDefault="001F1FC8">
      <w:pPr>
        <w:jc w:val="center"/>
        <w:divId w:val="12340906"/>
        <w:rPr>
          <w:rFonts w:eastAsia="Times New Roman"/>
        </w:rPr>
      </w:pPr>
      <w:r>
        <w:rPr>
          <w:rFonts w:ascii="Arial" w:eastAsia="Times New Roman" w:hAnsi="Arial" w:cs="Arial"/>
          <w:color w:val="000000"/>
          <w:sz w:val="20"/>
          <w:szCs w:val="20"/>
        </w:rPr>
        <w:t>133</w:t>
      </w:r>
    </w:p>
    <w:p w:rsidR="00000000" w:rsidRDefault="001F1FC8">
      <w:pPr>
        <w:rPr>
          <w:rFonts w:eastAsia="Times New Roman"/>
        </w:rPr>
      </w:pPr>
      <w:r>
        <w:rPr>
          <w:rFonts w:eastAsia="Times New Roman"/>
        </w:rPr>
        <w:pict>
          <v:rect id="_x0000_i1163" style="width:0;height:1.5pt" o:hralign="center" o:hrstd="t" o:hr="t" fillcolor="#a0a0a0" stroked="f"/>
        </w:pict>
      </w:r>
    </w:p>
    <w:p w:rsidR="00000000" w:rsidRDefault="001F1FC8">
      <w:pPr>
        <w:jc w:val="center"/>
        <w:divId w:val="2117360665"/>
        <w:rPr>
          <w:rFonts w:eastAsia="Times New Roman"/>
        </w:rPr>
      </w:pPr>
    </w:p>
    <w:p w:rsidR="00000000" w:rsidRDefault="001F1FC8">
      <w:pPr>
        <w:ind w:hanging="180"/>
        <w:divId w:val="1152597551"/>
        <w:rPr>
          <w:rFonts w:eastAsia="Times New Roman"/>
        </w:rPr>
      </w:pPr>
      <w:r>
        <w:rPr>
          <w:rFonts w:ascii="Arial" w:eastAsia="Times New Roman" w:hAnsi="Arial" w:cs="Arial"/>
          <w:i/>
          <w:iCs/>
          <w:color w:val="000000"/>
          <w:sz w:val="16"/>
          <w:szCs w:val="16"/>
        </w:rPr>
        <w:t>7Our ownership in DCP Midstream, LLC (DCP Midstream) holds an interest of 56.5% in DCP Midstream, LP.</w:t>
      </w:r>
    </w:p>
    <w:p w:rsidR="00000000" w:rsidRDefault="001F1FC8">
      <w:pPr>
        <w:ind w:hanging="180"/>
        <w:divId w:val="604270952"/>
        <w:rPr>
          <w:rFonts w:eastAsia="Times New Roman"/>
        </w:rPr>
      </w:pPr>
      <w:r>
        <w:rPr>
          <w:rFonts w:ascii="Arial" w:eastAsia="Times New Roman" w:hAnsi="Arial" w:cs="Arial"/>
          <w:i/>
          <w:iCs/>
          <w:color w:val="000000"/>
          <w:sz w:val="16"/>
          <w:szCs w:val="16"/>
        </w:rPr>
        <w:t>8</w:t>
      </w:r>
      <w:r>
        <w:rPr>
          <w:rFonts w:ascii="Arial" w:eastAsia="Times New Roman" w:hAnsi="Arial" w:cs="Arial"/>
          <w:i/>
          <w:iCs/>
          <w:color w:val="000000"/>
          <w:sz w:val="16"/>
          <w:szCs w:val="16"/>
        </w:rPr>
        <w:t>Includes Vector Pipeline Limited Partnership in Canada and Vector Pipeline L.P. in the US.</w:t>
      </w:r>
    </w:p>
    <w:p w:rsidR="00000000" w:rsidRDefault="001F1FC8">
      <w:pPr>
        <w:ind w:hanging="180"/>
        <w:divId w:val="1480684357"/>
        <w:rPr>
          <w:rFonts w:eastAsia="Times New Roman"/>
        </w:rPr>
      </w:pPr>
      <w:r>
        <w:rPr>
          <w:rFonts w:ascii="Arial" w:eastAsia="Times New Roman" w:hAnsi="Arial" w:cs="Arial"/>
          <w:i/>
          <w:iCs/>
          <w:color w:val="000000"/>
          <w:sz w:val="16"/>
          <w:szCs w:val="16"/>
          <w:shd w:val="clear" w:color="auto" w:fill="FFFFFF"/>
        </w:rPr>
        <w:t>9</w:t>
      </w:r>
      <w:r>
        <w:rPr>
          <w:rFonts w:ascii="Arial" w:eastAsia="Times New Roman" w:hAnsi="Arial" w:cs="Arial"/>
          <w:i/>
          <w:iCs/>
          <w:color w:val="000000"/>
          <w:sz w:val="16"/>
          <w:szCs w:val="16"/>
        </w:rPr>
        <w:t>On December 30, 2021, we sold our 38.9% common share and preferred share interest of Noverco Inc.</w:t>
      </w:r>
    </w:p>
    <w:p w:rsidR="00000000" w:rsidRDefault="001F1FC8">
      <w:pPr>
        <w:ind w:hanging="180"/>
        <w:divId w:val="909271909"/>
        <w:rPr>
          <w:rFonts w:eastAsia="Times New Roman"/>
        </w:rPr>
      </w:pPr>
      <w:r>
        <w:rPr>
          <w:rFonts w:ascii="Arial" w:eastAsia="Times New Roman" w:hAnsi="Arial" w:cs="Arial"/>
          <w:i/>
          <w:iCs/>
          <w:color w:val="000000"/>
          <w:sz w:val="16"/>
          <w:szCs w:val="16"/>
        </w:rPr>
        <w:t xml:space="preserve">10 On March 18, 2021, we sold 49% of EIH S.a.r.l., an entity that </w:t>
      </w:r>
      <w:r>
        <w:rPr>
          <w:rFonts w:ascii="Arial" w:eastAsia="Times New Roman" w:hAnsi="Arial" w:cs="Arial"/>
          <w:i/>
          <w:iCs/>
          <w:color w:val="000000"/>
          <w:sz w:val="16"/>
          <w:szCs w:val="16"/>
        </w:rPr>
        <w:t>holds our 50% interest in Éolien Maritime France SAS (EMF), to the CPP Investments. This resulted in a 25.5% effective interest in EMF. Through our investment in EMF, we own equity interests in three French offshore wind projects, including Saint-Nazaire (</w:t>
      </w:r>
      <w:r>
        <w:rPr>
          <w:rFonts w:ascii="Arial" w:eastAsia="Times New Roman" w:hAnsi="Arial" w:cs="Arial"/>
          <w:i/>
          <w:iCs/>
          <w:color w:val="000000"/>
          <w:sz w:val="16"/>
          <w:szCs w:val="16"/>
        </w:rPr>
        <w:t>25.5%), Fécamp (17.9%) and Calvados (21.7%).</w:t>
      </w:r>
    </w:p>
    <w:p w:rsidR="00000000" w:rsidRDefault="001F1FC8">
      <w:pPr>
        <w:ind w:hanging="180"/>
        <w:divId w:val="1074888218"/>
        <w:rPr>
          <w:rFonts w:eastAsia="Times New Roman"/>
        </w:rPr>
      </w:pPr>
      <w:r>
        <w:rPr>
          <w:rFonts w:ascii="Arial" w:eastAsia="Times New Roman" w:hAnsi="Arial" w:cs="Arial"/>
          <w:i/>
          <w:iCs/>
          <w:color w:val="000000"/>
          <w:sz w:val="16"/>
          <w:szCs w:val="16"/>
        </w:rPr>
        <w:t>11 Includes investments held and valued at fair value through net income.</w:t>
      </w:r>
    </w:p>
    <w:p w:rsidR="00000000" w:rsidRDefault="001F1FC8">
      <w:pPr>
        <w:divId w:val="1213736665"/>
        <w:rPr>
          <w:rFonts w:eastAsia="Times New Roman"/>
        </w:rPr>
      </w:pPr>
    </w:p>
    <w:p w:rsidR="00000000" w:rsidRDefault="001F1FC8">
      <w:pPr>
        <w:divId w:val="1689215734"/>
        <w:rPr>
          <w:rFonts w:eastAsia="Times New Roman"/>
        </w:rPr>
      </w:pPr>
      <w:r>
        <w:rPr>
          <w:rFonts w:ascii="Arial" w:eastAsia="Times New Roman" w:hAnsi="Arial" w:cs="Arial"/>
          <w:color w:val="000000"/>
          <w:sz w:val="20"/>
          <w:szCs w:val="20"/>
        </w:rPr>
        <w:t xml:space="preserve">Equity investments include the unamortized excess of the purchase price over the underlying net book value of the investees' assets at </w:t>
      </w:r>
      <w:r>
        <w:rPr>
          <w:rFonts w:ascii="Arial" w:eastAsia="Times New Roman" w:hAnsi="Arial" w:cs="Arial"/>
          <w:color w:val="000000"/>
          <w:sz w:val="20"/>
          <w:szCs w:val="20"/>
        </w:rPr>
        <w:t>the purchase date. As at December 31, 2021, this basis difference was $2.5 billion (2020 - $2.4 billion), of which $730 million (2020 - $657 million) was amortizable.</w:t>
      </w:r>
    </w:p>
    <w:p w:rsidR="00000000" w:rsidRDefault="001F1FC8">
      <w:pPr>
        <w:divId w:val="522789042"/>
        <w:rPr>
          <w:rFonts w:eastAsia="Times New Roman"/>
        </w:rPr>
      </w:pPr>
    </w:p>
    <w:p w:rsidR="00000000" w:rsidRDefault="001F1FC8">
      <w:pPr>
        <w:divId w:val="1387796875"/>
        <w:rPr>
          <w:rFonts w:eastAsia="Times New Roman"/>
        </w:rPr>
      </w:pPr>
      <w:r>
        <w:rPr>
          <w:rFonts w:ascii="Arial" w:eastAsia="Times New Roman" w:hAnsi="Arial" w:cs="Arial"/>
          <w:color w:val="000000"/>
          <w:sz w:val="20"/>
          <w:szCs w:val="20"/>
        </w:rPr>
        <w:t>For the years ended December 31, 2021, 2020 and 2019, distributions received from equit</w:t>
      </w:r>
      <w:r>
        <w:rPr>
          <w:rFonts w:ascii="Arial" w:eastAsia="Times New Roman" w:hAnsi="Arial" w:cs="Arial"/>
          <w:color w:val="000000"/>
          <w:sz w:val="20"/>
          <w:szCs w:val="20"/>
        </w:rPr>
        <w:t>y investments were $2.2 billion, $2.1 billion and $2.2 billion, respectively.</w:t>
      </w:r>
    </w:p>
    <w:p w:rsidR="00000000" w:rsidRDefault="001F1FC8">
      <w:pPr>
        <w:divId w:val="1869023053"/>
        <w:rPr>
          <w:rFonts w:eastAsia="Times New Roman"/>
        </w:rPr>
      </w:pPr>
    </w:p>
    <w:p w:rsidR="00000000" w:rsidRDefault="001F1FC8">
      <w:pPr>
        <w:divId w:val="431439954"/>
        <w:rPr>
          <w:rFonts w:eastAsia="Times New Roman"/>
        </w:rPr>
      </w:pPr>
      <w:r>
        <w:rPr>
          <w:rFonts w:ascii="Arial" w:eastAsia="Times New Roman" w:hAnsi="Arial" w:cs="Arial"/>
          <w:color w:val="000000"/>
          <w:sz w:val="20"/>
          <w:szCs w:val="20"/>
        </w:rPr>
        <w:t>Summarized combined financial information of our interest in unconsolidated equity investments (presented at 100%) is as follows:</w:t>
      </w:r>
    </w:p>
    <w:tbl>
      <w:tblPr>
        <w:tblW w:w="5000" w:type="pct"/>
        <w:tblCellMar>
          <w:top w:w="15" w:type="dxa"/>
          <w:left w:w="15" w:type="dxa"/>
          <w:bottom w:w="15" w:type="dxa"/>
          <w:right w:w="15" w:type="dxa"/>
        </w:tblCellMar>
        <w:tblLook w:val="04A0" w:firstRow="1" w:lastRow="0" w:firstColumn="1" w:lastColumn="0" w:noHBand="0" w:noVBand="1"/>
      </w:tblPr>
      <w:tblGrid>
        <w:gridCol w:w="66"/>
        <w:gridCol w:w="4096"/>
        <w:gridCol w:w="37"/>
        <w:gridCol w:w="36"/>
        <w:gridCol w:w="36"/>
        <w:gridCol w:w="67"/>
        <w:gridCol w:w="1194"/>
        <w:gridCol w:w="36"/>
        <w:gridCol w:w="36"/>
        <w:gridCol w:w="36"/>
        <w:gridCol w:w="67"/>
        <w:gridCol w:w="1194"/>
        <w:gridCol w:w="36"/>
        <w:gridCol w:w="36"/>
        <w:gridCol w:w="36"/>
        <w:gridCol w:w="67"/>
        <w:gridCol w:w="1194"/>
        <w:gridCol w:w="36"/>
      </w:tblGrid>
      <w:tr w:rsidR="00000000">
        <w:trPr>
          <w:divId w:val="276915363"/>
        </w:trPr>
        <w:tc>
          <w:tcPr>
            <w:tcW w:w="50" w:type="pct"/>
            <w:vAlign w:val="center"/>
            <w:hideMark/>
          </w:tcPr>
          <w:p w:rsidR="00000000" w:rsidRDefault="001F1FC8">
            <w:pPr>
              <w:rPr>
                <w:rFonts w:eastAsia="Times New Roman"/>
              </w:rPr>
            </w:pPr>
          </w:p>
        </w:tc>
        <w:tc>
          <w:tcPr>
            <w:tcW w:w="2541"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c>
          <w:tcPr>
            <w:tcW w:w="0" w:type="auto"/>
            <w:vAlign w:val="center"/>
            <w:hideMark/>
          </w:tcPr>
          <w:p w:rsidR="00000000" w:rsidRDefault="001F1FC8">
            <w:pPr>
              <w:rPr>
                <w:rFonts w:eastAsia="Times New Roman"/>
                <w:sz w:val="20"/>
                <w:szCs w:val="20"/>
              </w:rPr>
            </w:pPr>
          </w:p>
        </w:tc>
        <w:tc>
          <w:tcPr>
            <w:tcW w:w="0" w:type="auto"/>
            <w:vAlign w:val="center"/>
            <w:hideMark/>
          </w:tcPr>
          <w:p w:rsidR="00000000" w:rsidRDefault="001F1FC8">
            <w:pPr>
              <w:rPr>
                <w:rFonts w:eastAsia="Times New Roman"/>
                <w:sz w:val="20"/>
                <w:szCs w:val="20"/>
              </w:rPr>
            </w:pPr>
          </w:p>
        </w:tc>
        <w:tc>
          <w:tcPr>
            <w:tcW w:w="50" w:type="pct"/>
            <w:vAlign w:val="center"/>
            <w:hideMark/>
          </w:tcPr>
          <w:p w:rsidR="00000000" w:rsidRDefault="001F1FC8">
            <w:pPr>
              <w:rPr>
                <w:rFonts w:eastAsia="Times New Roman"/>
                <w:sz w:val="20"/>
                <w:szCs w:val="20"/>
              </w:rPr>
            </w:pPr>
          </w:p>
        </w:tc>
        <w:tc>
          <w:tcPr>
            <w:tcW w:w="746"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c>
          <w:tcPr>
            <w:tcW w:w="0" w:type="auto"/>
            <w:vAlign w:val="center"/>
            <w:hideMark/>
          </w:tcPr>
          <w:p w:rsidR="00000000" w:rsidRDefault="001F1FC8">
            <w:pPr>
              <w:rPr>
                <w:rFonts w:eastAsia="Times New Roman"/>
                <w:sz w:val="20"/>
                <w:szCs w:val="20"/>
              </w:rPr>
            </w:pPr>
          </w:p>
        </w:tc>
        <w:tc>
          <w:tcPr>
            <w:tcW w:w="0" w:type="auto"/>
            <w:vAlign w:val="center"/>
            <w:hideMark/>
          </w:tcPr>
          <w:p w:rsidR="00000000" w:rsidRDefault="001F1FC8">
            <w:pPr>
              <w:rPr>
                <w:rFonts w:eastAsia="Times New Roman"/>
                <w:sz w:val="20"/>
                <w:szCs w:val="20"/>
              </w:rPr>
            </w:pPr>
          </w:p>
        </w:tc>
        <w:tc>
          <w:tcPr>
            <w:tcW w:w="50" w:type="pct"/>
            <w:vAlign w:val="center"/>
            <w:hideMark/>
          </w:tcPr>
          <w:p w:rsidR="00000000" w:rsidRDefault="001F1FC8">
            <w:pPr>
              <w:rPr>
                <w:rFonts w:eastAsia="Times New Roman"/>
                <w:sz w:val="20"/>
                <w:szCs w:val="20"/>
              </w:rPr>
            </w:pPr>
          </w:p>
        </w:tc>
        <w:tc>
          <w:tcPr>
            <w:tcW w:w="746"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c>
          <w:tcPr>
            <w:tcW w:w="0" w:type="auto"/>
            <w:vAlign w:val="center"/>
            <w:hideMark/>
          </w:tcPr>
          <w:p w:rsidR="00000000" w:rsidRDefault="001F1FC8">
            <w:pPr>
              <w:rPr>
                <w:rFonts w:eastAsia="Times New Roman"/>
                <w:sz w:val="20"/>
                <w:szCs w:val="20"/>
              </w:rPr>
            </w:pPr>
          </w:p>
        </w:tc>
        <w:tc>
          <w:tcPr>
            <w:tcW w:w="0" w:type="auto"/>
            <w:vAlign w:val="center"/>
            <w:hideMark/>
          </w:tcPr>
          <w:p w:rsidR="00000000" w:rsidRDefault="001F1FC8">
            <w:pPr>
              <w:rPr>
                <w:rFonts w:eastAsia="Times New Roman"/>
                <w:sz w:val="20"/>
                <w:szCs w:val="20"/>
              </w:rPr>
            </w:pPr>
          </w:p>
        </w:tc>
        <w:tc>
          <w:tcPr>
            <w:tcW w:w="50" w:type="pct"/>
            <w:vAlign w:val="center"/>
            <w:hideMark/>
          </w:tcPr>
          <w:p w:rsidR="00000000" w:rsidRDefault="001F1FC8">
            <w:pPr>
              <w:rPr>
                <w:rFonts w:eastAsia="Times New Roman"/>
                <w:sz w:val="20"/>
                <w:szCs w:val="20"/>
              </w:rPr>
            </w:pPr>
          </w:p>
        </w:tc>
        <w:tc>
          <w:tcPr>
            <w:tcW w:w="746"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r>
      <w:tr w:rsidR="00000000">
        <w:trPr>
          <w:divId w:val="276915363"/>
        </w:trPr>
        <w:tc>
          <w:tcPr>
            <w:tcW w:w="0" w:type="auto"/>
            <w:gridSpan w:val="3"/>
            <w:tcMar>
              <w:top w:w="30" w:type="dxa"/>
              <w:left w:w="20" w:type="dxa"/>
              <w:bottom w:w="30" w:type="dxa"/>
              <w:right w:w="20" w:type="dxa"/>
            </w:tcMar>
            <w:vAlign w:val="bottom"/>
            <w:hideMark/>
          </w:tcPr>
          <w:p w:rsidR="00000000" w:rsidRDefault="001F1FC8">
            <w:pPr>
              <w:rPr>
                <w:rFonts w:eastAsia="Times New Roman"/>
              </w:rPr>
            </w:pPr>
            <w:r>
              <w:rPr>
                <w:rFonts w:ascii="Arial" w:eastAsia="Times New Roman" w:hAnsi="Arial" w:cs="Arial"/>
                <w:color w:val="000000"/>
                <w:sz w:val="18"/>
                <w:szCs w:val="18"/>
              </w:rPr>
              <w:t xml:space="preserve">Year ended December 31, </w:t>
            </w:r>
          </w:p>
        </w:tc>
        <w:tc>
          <w:tcPr>
            <w:tcW w:w="0" w:type="auto"/>
            <w:vAlign w:val="center"/>
            <w:hideMark/>
          </w:tcPr>
          <w:p w:rsidR="00000000" w:rsidRDefault="001F1FC8">
            <w:pPr>
              <w:rPr>
                <w:rFonts w:eastAsia="Times New Roman"/>
              </w:rPr>
            </w:pPr>
          </w:p>
        </w:tc>
        <w:tc>
          <w:tcPr>
            <w:tcW w:w="0" w:type="auto"/>
            <w:vAlign w:val="center"/>
            <w:hideMark/>
          </w:tcPr>
          <w:p w:rsidR="00000000" w:rsidRDefault="001F1FC8">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b/>
                <w:bCs/>
                <w:color w:val="000000"/>
                <w:sz w:val="18"/>
                <w:szCs w:val="18"/>
              </w:rPr>
              <w:t>2021</w:t>
            </w:r>
          </w:p>
        </w:tc>
        <w:tc>
          <w:tcPr>
            <w:tcW w:w="0" w:type="auto"/>
            <w:vAlign w:val="center"/>
            <w:hideMark/>
          </w:tcPr>
          <w:p w:rsidR="00000000" w:rsidRDefault="001F1FC8">
            <w:pPr>
              <w:jc w:val="right"/>
              <w:rPr>
                <w:rFonts w:eastAsia="Times New Roman"/>
              </w:rPr>
            </w:pPr>
          </w:p>
        </w:tc>
        <w:tc>
          <w:tcPr>
            <w:tcW w:w="0" w:type="auto"/>
            <w:vAlign w:val="center"/>
            <w:hideMark/>
          </w:tcPr>
          <w:p w:rsidR="00000000" w:rsidRDefault="001F1FC8">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18"/>
                <w:szCs w:val="18"/>
              </w:rPr>
              <w:t>2020</w:t>
            </w:r>
          </w:p>
        </w:tc>
        <w:tc>
          <w:tcPr>
            <w:tcW w:w="0" w:type="auto"/>
            <w:vAlign w:val="center"/>
            <w:hideMark/>
          </w:tcPr>
          <w:p w:rsidR="00000000" w:rsidRDefault="001F1FC8">
            <w:pPr>
              <w:jc w:val="right"/>
              <w:rPr>
                <w:rFonts w:eastAsia="Times New Roman"/>
              </w:rPr>
            </w:pPr>
          </w:p>
        </w:tc>
        <w:tc>
          <w:tcPr>
            <w:tcW w:w="0" w:type="auto"/>
            <w:vAlign w:val="center"/>
            <w:hideMark/>
          </w:tcPr>
          <w:p w:rsidR="00000000" w:rsidRDefault="001F1FC8">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18"/>
                <w:szCs w:val="18"/>
              </w:rPr>
              <w:t>2019</w:t>
            </w:r>
          </w:p>
        </w:tc>
      </w:tr>
      <w:tr w:rsidR="00000000">
        <w:trPr>
          <w:divId w:val="276915363"/>
        </w:trPr>
        <w:tc>
          <w:tcPr>
            <w:tcW w:w="0" w:type="auto"/>
            <w:gridSpan w:val="3"/>
            <w:vAlign w:val="center"/>
            <w:hideMark/>
          </w:tcPr>
          <w:p w:rsidR="00000000" w:rsidRDefault="001F1FC8">
            <w:pPr>
              <w:jc w:val="right"/>
              <w:rPr>
                <w:rFonts w:eastAsia="Times New Roman"/>
              </w:rPr>
            </w:pPr>
          </w:p>
        </w:tc>
        <w:tc>
          <w:tcPr>
            <w:tcW w:w="0" w:type="auto"/>
            <w:vAlign w:val="center"/>
            <w:hideMark/>
          </w:tcPr>
          <w:p w:rsidR="00000000" w:rsidRDefault="001F1FC8">
            <w:pPr>
              <w:rPr>
                <w:rFonts w:eastAsia="Times New Roman"/>
                <w:sz w:val="20"/>
                <w:szCs w:val="20"/>
              </w:rPr>
            </w:pPr>
          </w:p>
        </w:tc>
        <w:tc>
          <w:tcPr>
            <w:tcW w:w="0" w:type="auto"/>
            <w:vAlign w:val="center"/>
            <w:hideMark/>
          </w:tcPr>
          <w:p w:rsidR="00000000" w:rsidRDefault="001F1FC8">
            <w:pPr>
              <w:rPr>
                <w:rFonts w:eastAsia="Times New Roman"/>
                <w:sz w:val="20"/>
                <w:szCs w:val="20"/>
              </w:rPr>
            </w:pPr>
          </w:p>
        </w:tc>
        <w:tc>
          <w:tcPr>
            <w:tcW w:w="0" w:type="auto"/>
            <w:gridSpan w:val="3"/>
            <w:vAlign w:val="center"/>
            <w:hideMark/>
          </w:tcPr>
          <w:p w:rsidR="00000000" w:rsidRDefault="001F1FC8">
            <w:pPr>
              <w:rPr>
                <w:rFonts w:eastAsia="Times New Roman"/>
                <w:sz w:val="20"/>
                <w:szCs w:val="20"/>
              </w:rPr>
            </w:pPr>
          </w:p>
        </w:tc>
        <w:tc>
          <w:tcPr>
            <w:tcW w:w="0" w:type="auto"/>
            <w:vAlign w:val="center"/>
            <w:hideMark/>
          </w:tcPr>
          <w:p w:rsidR="00000000" w:rsidRDefault="001F1FC8">
            <w:pPr>
              <w:rPr>
                <w:rFonts w:eastAsia="Times New Roman"/>
                <w:sz w:val="20"/>
                <w:szCs w:val="20"/>
              </w:rPr>
            </w:pPr>
          </w:p>
        </w:tc>
        <w:tc>
          <w:tcPr>
            <w:tcW w:w="0" w:type="auto"/>
            <w:vAlign w:val="center"/>
            <w:hideMark/>
          </w:tcPr>
          <w:p w:rsidR="00000000" w:rsidRDefault="001F1FC8">
            <w:pPr>
              <w:rPr>
                <w:rFonts w:eastAsia="Times New Roman"/>
                <w:sz w:val="20"/>
                <w:szCs w:val="20"/>
              </w:rPr>
            </w:pPr>
          </w:p>
        </w:tc>
        <w:tc>
          <w:tcPr>
            <w:tcW w:w="0" w:type="auto"/>
            <w:gridSpan w:val="3"/>
            <w:vAlign w:val="center"/>
            <w:hideMark/>
          </w:tcPr>
          <w:p w:rsidR="00000000" w:rsidRDefault="001F1FC8">
            <w:pPr>
              <w:rPr>
                <w:rFonts w:eastAsia="Times New Roman"/>
                <w:sz w:val="20"/>
                <w:szCs w:val="20"/>
              </w:rPr>
            </w:pPr>
          </w:p>
        </w:tc>
        <w:tc>
          <w:tcPr>
            <w:tcW w:w="0" w:type="auto"/>
            <w:vAlign w:val="center"/>
            <w:hideMark/>
          </w:tcPr>
          <w:p w:rsidR="00000000" w:rsidRDefault="001F1FC8">
            <w:pPr>
              <w:rPr>
                <w:rFonts w:eastAsia="Times New Roman"/>
                <w:sz w:val="20"/>
                <w:szCs w:val="20"/>
              </w:rPr>
            </w:pPr>
          </w:p>
        </w:tc>
        <w:tc>
          <w:tcPr>
            <w:tcW w:w="0" w:type="auto"/>
            <w:vAlign w:val="center"/>
            <w:hideMark/>
          </w:tcPr>
          <w:p w:rsidR="00000000" w:rsidRDefault="001F1FC8">
            <w:pPr>
              <w:rPr>
                <w:rFonts w:eastAsia="Times New Roman"/>
                <w:sz w:val="20"/>
                <w:szCs w:val="20"/>
              </w:rPr>
            </w:pPr>
          </w:p>
        </w:tc>
        <w:tc>
          <w:tcPr>
            <w:tcW w:w="0" w:type="auto"/>
            <w:gridSpan w:val="3"/>
            <w:vAlign w:val="center"/>
            <w:hideMark/>
          </w:tcPr>
          <w:p w:rsidR="00000000" w:rsidRDefault="001F1FC8">
            <w:pPr>
              <w:rPr>
                <w:rFonts w:eastAsia="Times New Roman"/>
                <w:sz w:val="20"/>
                <w:szCs w:val="20"/>
              </w:rPr>
            </w:pPr>
          </w:p>
        </w:tc>
      </w:tr>
      <w:tr w:rsidR="00000000">
        <w:trPr>
          <w:divId w:val="276915363"/>
        </w:trPr>
        <w:tc>
          <w:tcPr>
            <w:tcW w:w="0" w:type="auto"/>
            <w:gridSpan w:val="3"/>
            <w:tcBorders>
              <w:top w:val="single" w:sz="4" w:space="0" w:color="000000"/>
            </w:tcBorders>
            <w:tcMar>
              <w:top w:w="30" w:type="dxa"/>
              <w:left w:w="20" w:type="dxa"/>
              <w:bottom w:w="30" w:type="dxa"/>
              <w:right w:w="20" w:type="dxa"/>
            </w:tcMar>
            <w:hideMark/>
          </w:tcPr>
          <w:p w:rsidR="00000000" w:rsidRDefault="001F1FC8">
            <w:pPr>
              <w:rPr>
                <w:rFonts w:eastAsia="Times New Roman"/>
              </w:rPr>
            </w:pPr>
            <w:r>
              <w:rPr>
                <w:rFonts w:ascii="Arial" w:eastAsia="Times New Roman" w:hAnsi="Arial" w:cs="Arial"/>
                <w:i/>
                <w:iCs/>
                <w:color w:val="000000"/>
                <w:sz w:val="16"/>
                <w:szCs w:val="16"/>
              </w:rPr>
              <w:t>(millions of Canadian dollars)</w:t>
            </w:r>
          </w:p>
        </w:tc>
        <w:tc>
          <w:tcPr>
            <w:tcW w:w="0" w:type="auto"/>
            <w:vAlign w:val="center"/>
            <w:hideMark/>
          </w:tcPr>
          <w:p w:rsidR="00000000" w:rsidRDefault="001F1FC8">
            <w:pPr>
              <w:rPr>
                <w:rFonts w:eastAsia="Times New Roman"/>
              </w:rPr>
            </w:pPr>
          </w:p>
        </w:tc>
        <w:tc>
          <w:tcPr>
            <w:tcW w:w="0" w:type="auto"/>
            <w:vAlign w:val="center"/>
            <w:hideMark/>
          </w:tcPr>
          <w:p w:rsidR="00000000" w:rsidRDefault="001F1FC8">
            <w:pPr>
              <w:rPr>
                <w:rFonts w:eastAsia="Times New Roman"/>
                <w:sz w:val="20"/>
                <w:szCs w:val="20"/>
              </w:rPr>
            </w:pPr>
          </w:p>
        </w:tc>
        <w:tc>
          <w:tcPr>
            <w:tcW w:w="0" w:type="auto"/>
            <w:gridSpan w:val="3"/>
            <w:tcBorders>
              <w:top w:val="single" w:sz="4" w:space="0" w:color="000000"/>
            </w:tcBorders>
            <w:shd w:val="clear" w:color="auto" w:fill="D9D9D9"/>
            <w:tcMar>
              <w:top w:w="0" w:type="dxa"/>
              <w:left w:w="20" w:type="dxa"/>
              <w:bottom w:w="0" w:type="dxa"/>
              <w:right w:w="20" w:type="dxa"/>
            </w:tcMar>
            <w:vAlign w:val="center"/>
            <w:hideMark/>
          </w:tcPr>
          <w:p w:rsidR="00000000" w:rsidRDefault="001F1FC8">
            <w:pPr>
              <w:rPr>
                <w:rFonts w:eastAsia="Times New Roman"/>
                <w:sz w:val="20"/>
                <w:szCs w:val="20"/>
              </w:rPr>
            </w:pPr>
          </w:p>
        </w:tc>
        <w:tc>
          <w:tcPr>
            <w:tcW w:w="0" w:type="auto"/>
            <w:vAlign w:val="center"/>
            <w:hideMark/>
          </w:tcPr>
          <w:p w:rsidR="00000000" w:rsidRDefault="001F1FC8">
            <w:pPr>
              <w:rPr>
                <w:rFonts w:eastAsia="Times New Roman"/>
                <w:sz w:val="20"/>
                <w:szCs w:val="20"/>
              </w:rPr>
            </w:pPr>
          </w:p>
        </w:tc>
        <w:tc>
          <w:tcPr>
            <w:tcW w:w="0" w:type="auto"/>
            <w:vAlign w:val="center"/>
            <w:hideMark/>
          </w:tcPr>
          <w:p w:rsidR="00000000" w:rsidRDefault="001F1FC8">
            <w:pPr>
              <w:rPr>
                <w:rFonts w:eastAsia="Times New Roman"/>
                <w:sz w:val="20"/>
                <w:szCs w:val="20"/>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1F1FC8">
            <w:pPr>
              <w:rPr>
                <w:rFonts w:eastAsia="Times New Roman"/>
                <w:sz w:val="20"/>
                <w:szCs w:val="20"/>
              </w:rPr>
            </w:pPr>
          </w:p>
        </w:tc>
        <w:tc>
          <w:tcPr>
            <w:tcW w:w="0" w:type="auto"/>
            <w:vAlign w:val="center"/>
            <w:hideMark/>
          </w:tcPr>
          <w:p w:rsidR="00000000" w:rsidRDefault="001F1FC8">
            <w:pPr>
              <w:rPr>
                <w:rFonts w:eastAsia="Times New Roman"/>
                <w:sz w:val="20"/>
                <w:szCs w:val="20"/>
              </w:rPr>
            </w:pPr>
          </w:p>
        </w:tc>
        <w:tc>
          <w:tcPr>
            <w:tcW w:w="0" w:type="auto"/>
            <w:vAlign w:val="center"/>
            <w:hideMark/>
          </w:tcPr>
          <w:p w:rsidR="00000000" w:rsidRDefault="001F1FC8">
            <w:pPr>
              <w:rPr>
                <w:rFonts w:eastAsia="Times New Roman"/>
                <w:sz w:val="20"/>
                <w:szCs w:val="20"/>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1F1FC8">
            <w:pPr>
              <w:rPr>
                <w:rFonts w:eastAsia="Times New Roman"/>
                <w:sz w:val="20"/>
                <w:szCs w:val="20"/>
              </w:rPr>
            </w:pPr>
          </w:p>
        </w:tc>
      </w:tr>
      <w:tr w:rsidR="00000000">
        <w:trPr>
          <w:divId w:val="276915363"/>
        </w:trPr>
        <w:tc>
          <w:tcPr>
            <w:tcW w:w="0" w:type="auto"/>
            <w:gridSpan w:val="3"/>
            <w:tcMar>
              <w:top w:w="30" w:type="dxa"/>
              <w:left w:w="20" w:type="dxa"/>
              <w:bottom w:w="30" w:type="dxa"/>
              <w:right w:w="20" w:type="dxa"/>
            </w:tcMar>
            <w:hideMark/>
          </w:tcPr>
          <w:p w:rsidR="00000000" w:rsidRDefault="001F1FC8">
            <w:pPr>
              <w:rPr>
                <w:rFonts w:eastAsia="Times New Roman"/>
              </w:rPr>
            </w:pPr>
            <w:r>
              <w:rPr>
                <w:rFonts w:ascii="Arial" w:eastAsia="Times New Roman" w:hAnsi="Arial" w:cs="Arial"/>
                <w:color w:val="000000"/>
                <w:sz w:val="18"/>
                <w:szCs w:val="18"/>
              </w:rPr>
              <w:t>Operating revenues</w:t>
            </w:r>
          </w:p>
        </w:tc>
        <w:tc>
          <w:tcPr>
            <w:tcW w:w="0" w:type="auto"/>
            <w:vAlign w:val="center"/>
            <w:hideMark/>
          </w:tcPr>
          <w:p w:rsidR="00000000" w:rsidRDefault="001F1FC8">
            <w:pPr>
              <w:rPr>
                <w:rFonts w:eastAsia="Times New Roman"/>
              </w:rPr>
            </w:pPr>
          </w:p>
        </w:tc>
        <w:tc>
          <w:tcPr>
            <w:tcW w:w="0" w:type="auto"/>
            <w:vAlign w:val="center"/>
            <w:hideMark/>
          </w:tcPr>
          <w:p w:rsidR="00000000" w:rsidRDefault="001F1FC8">
            <w:pPr>
              <w:rPr>
                <w:rFonts w:eastAsia="Times New Roman"/>
                <w:sz w:val="20"/>
                <w:szCs w:val="20"/>
              </w:rPr>
            </w:pPr>
          </w:p>
        </w:tc>
        <w:tc>
          <w:tcPr>
            <w:tcW w:w="0" w:type="auto"/>
            <w:gridSpan w:val="2"/>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8"/>
                <w:szCs w:val="18"/>
              </w:rPr>
              <w:t>19,891</w:t>
            </w:r>
            <w:r>
              <w:rPr>
                <w:rFonts w:ascii="Arial" w:eastAsia="Times New Roman" w:hAnsi="Arial" w:cs="Arial"/>
                <w:color w:val="000000"/>
                <w:sz w:val="18"/>
                <w:szCs w:val="18"/>
              </w:rPr>
              <w:t> </w:t>
            </w:r>
          </w:p>
        </w:tc>
        <w:tc>
          <w:tcPr>
            <w:tcW w:w="0" w:type="auto"/>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vAlign w:val="center"/>
            <w:hideMark/>
          </w:tcPr>
          <w:p w:rsidR="00000000" w:rsidRDefault="001F1FC8">
            <w:pPr>
              <w:jc w:val="right"/>
              <w:rPr>
                <w:rFonts w:eastAsia="Times New Roman"/>
                <w:sz w:val="20"/>
                <w:szCs w:val="20"/>
              </w:rPr>
            </w:pPr>
          </w:p>
        </w:tc>
        <w:tc>
          <w:tcPr>
            <w:tcW w:w="0" w:type="auto"/>
            <w:vAlign w:val="center"/>
            <w:hideMark/>
          </w:tcPr>
          <w:p w:rsidR="00000000" w:rsidRDefault="001F1FC8">
            <w:pPr>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8"/>
                <w:szCs w:val="18"/>
              </w:rPr>
              <w:t>13,987 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c>
          <w:tcPr>
            <w:tcW w:w="0" w:type="auto"/>
            <w:vAlign w:val="center"/>
            <w:hideMark/>
          </w:tcPr>
          <w:p w:rsidR="00000000" w:rsidRDefault="001F1FC8">
            <w:pPr>
              <w:jc w:val="right"/>
              <w:rPr>
                <w:rFonts w:eastAsia="Times New Roman"/>
                <w:sz w:val="20"/>
                <w:szCs w:val="20"/>
              </w:rPr>
            </w:pPr>
          </w:p>
        </w:tc>
        <w:tc>
          <w:tcPr>
            <w:tcW w:w="0" w:type="auto"/>
            <w:vAlign w:val="center"/>
            <w:hideMark/>
          </w:tcPr>
          <w:p w:rsidR="00000000" w:rsidRDefault="001F1FC8">
            <w:pPr>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8"/>
                <w:szCs w:val="18"/>
              </w:rPr>
              <w:t>15,687 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r>
      <w:tr w:rsidR="00000000">
        <w:trPr>
          <w:divId w:val="276915363"/>
        </w:trPr>
        <w:tc>
          <w:tcPr>
            <w:tcW w:w="0" w:type="auto"/>
            <w:gridSpan w:val="3"/>
            <w:tcMar>
              <w:top w:w="30" w:type="dxa"/>
              <w:left w:w="20" w:type="dxa"/>
              <w:bottom w:w="30" w:type="dxa"/>
              <w:right w:w="20" w:type="dxa"/>
            </w:tcMar>
            <w:hideMark/>
          </w:tcPr>
          <w:p w:rsidR="00000000" w:rsidRDefault="001F1FC8">
            <w:pPr>
              <w:rPr>
                <w:rFonts w:eastAsia="Times New Roman"/>
              </w:rPr>
            </w:pPr>
            <w:r>
              <w:rPr>
                <w:rFonts w:ascii="Arial" w:eastAsia="Times New Roman" w:hAnsi="Arial" w:cs="Arial"/>
                <w:color w:val="000000"/>
                <w:sz w:val="18"/>
                <w:szCs w:val="18"/>
              </w:rPr>
              <w:t>Operating expenses</w:t>
            </w:r>
          </w:p>
        </w:tc>
        <w:tc>
          <w:tcPr>
            <w:tcW w:w="0" w:type="auto"/>
            <w:vAlign w:val="center"/>
            <w:hideMark/>
          </w:tcPr>
          <w:p w:rsidR="00000000" w:rsidRDefault="001F1FC8">
            <w:pPr>
              <w:rPr>
                <w:rFonts w:eastAsia="Times New Roman"/>
              </w:rPr>
            </w:pPr>
          </w:p>
        </w:tc>
        <w:tc>
          <w:tcPr>
            <w:tcW w:w="0" w:type="auto"/>
            <w:vAlign w:val="center"/>
            <w:hideMark/>
          </w:tcPr>
          <w:p w:rsidR="00000000" w:rsidRDefault="001F1FC8">
            <w:pPr>
              <w:rPr>
                <w:rFonts w:eastAsia="Times New Roman"/>
                <w:sz w:val="20"/>
                <w:szCs w:val="20"/>
              </w:rPr>
            </w:pPr>
          </w:p>
        </w:tc>
        <w:tc>
          <w:tcPr>
            <w:tcW w:w="0" w:type="auto"/>
            <w:gridSpan w:val="2"/>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8"/>
                <w:szCs w:val="18"/>
              </w:rPr>
              <w:t>16,514</w:t>
            </w:r>
            <w:r>
              <w:rPr>
                <w:rFonts w:ascii="Arial" w:eastAsia="Times New Roman" w:hAnsi="Arial" w:cs="Arial"/>
                <w:color w:val="000000"/>
                <w:sz w:val="18"/>
                <w:szCs w:val="18"/>
              </w:rPr>
              <w:t> </w:t>
            </w:r>
          </w:p>
        </w:tc>
        <w:tc>
          <w:tcPr>
            <w:tcW w:w="0" w:type="auto"/>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vAlign w:val="center"/>
            <w:hideMark/>
          </w:tcPr>
          <w:p w:rsidR="00000000" w:rsidRDefault="001F1FC8">
            <w:pPr>
              <w:jc w:val="right"/>
              <w:rPr>
                <w:rFonts w:eastAsia="Times New Roman"/>
                <w:sz w:val="20"/>
                <w:szCs w:val="20"/>
              </w:rPr>
            </w:pPr>
          </w:p>
        </w:tc>
        <w:tc>
          <w:tcPr>
            <w:tcW w:w="0" w:type="auto"/>
            <w:vAlign w:val="center"/>
            <w:hideMark/>
          </w:tcPr>
          <w:p w:rsidR="00000000" w:rsidRDefault="001F1FC8">
            <w:pPr>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8"/>
                <w:szCs w:val="18"/>
              </w:rPr>
              <w:t>12,223 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c>
          <w:tcPr>
            <w:tcW w:w="0" w:type="auto"/>
            <w:vAlign w:val="center"/>
            <w:hideMark/>
          </w:tcPr>
          <w:p w:rsidR="00000000" w:rsidRDefault="001F1FC8">
            <w:pPr>
              <w:jc w:val="right"/>
              <w:rPr>
                <w:rFonts w:eastAsia="Times New Roman"/>
                <w:sz w:val="20"/>
                <w:szCs w:val="20"/>
              </w:rPr>
            </w:pPr>
          </w:p>
        </w:tc>
        <w:tc>
          <w:tcPr>
            <w:tcW w:w="0" w:type="auto"/>
            <w:vAlign w:val="center"/>
            <w:hideMark/>
          </w:tcPr>
          <w:p w:rsidR="00000000" w:rsidRDefault="001F1FC8">
            <w:pPr>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8"/>
                <w:szCs w:val="18"/>
              </w:rPr>
              <w:t>13,153 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r>
      <w:tr w:rsidR="00000000">
        <w:trPr>
          <w:divId w:val="276915363"/>
        </w:trPr>
        <w:tc>
          <w:tcPr>
            <w:tcW w:w="0" w:type="auto"/>
            <w:gridSpan w:val="3"/>
            <w:tcMar>
              <w:top w:w="30" w:type="dxa"/>
              <w:left w:w="20" w:type="dxa"/>
              <w:bottom w:w="30" w:type="dxa"/>
              <w:right w:w="20" w:type="dxa"/>
            </w:tcMar>
            <w:hideMark/>
          </w:tcPr>
          <w:p w:rsidR="00000000" w:rsidRDefault="001F1FC8">
            <w:pPr>
              <w:rPr>
                <w:rFonts w:eastAsia="Times New Roman"/>
              </w:rPr>
            </w:pPr>
            <w:r>
              <w:rPr>
                <w:rFonts w:ascii="Arial" w:eastAsia="Times New Roman" w:hAnsi="Arial" w:cs="Arial"/>
                <w:color w:val="000000"/>
                <w:sz w:val="18"/>
                <w:szCs w:val="18"/>
              </w:rPr>
              <w:t>Earnings</w:t>
            </w:r>
          </w:p>
        </w:tc>
        <w:tc>
          <w:tcPr>
            <w:tcW w:w="0" w:type="auto"/>
            <w:vAlign w:val="center"/>
            <w:hideMark/>
          </w:tcPr>
          <w:p w:rsidR="00000000" w:rsidRDefault="001F1FC8">
            <w:pPr>
              <w:rPr>
                <w:rFonts w:eastAsia="Times New Roman"/>
              </w:rPr>
            </w:pPr>
          </w:p>
        </w:tc>
        <w:tc>
          <w:tcPr>
            <w:tcW w:w="0" w:type="auto"/>
            <w:vAlign w:val="center"/>
            <w:hideMark/>
          </w:tcPr>
          <w:p w:rsidR="00000000" w:rsidRDefault="001F1FC8">
            <w:pPr>
              <w:rPr>
                <w:rFonts w:eastAsia="Times New Roman"/>
                <w:sz w:val="20"/>
                <w:szCs w:val="20"/>
              </w:rPr>
            </w:pPr>
          </w:p>
        </w:tc>
        <w:tc>
          <w:tcPr>
            <w:tcW w:w="0" w:type="auto"/>
            <w:gridSpan w:val="2"/>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8"/>
                <w:szCs w:val="18"/>
              </w:rPr>
              <w:t>2,952</w:t>
            </w:r>
            <w:r>
              <w:rPr>
                <w:rFonts w:ascii="Arial" w:eastAsia="Times New Roman" w:hAnsi="Arial" w:cs="Arial"/>
                <w:color w:val="000000"/>
                <w:sz w:val="18"/>
                <w:szCs w:val="18"/>
              </w:rPr>
              <w:t> </w:t>
            </w:r>
          </w:p>
        </w:tc>
        <w:tc>
          <w:tcPr>
            <w:tcW w:w="0" w:type="auto"/>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vAlign w:val="center"/>
            <w:hideMark/>
          </w:tcPr>
          <w:p w:rsidR="00000000" w:rsidRDefault="001F1FC8">
            <w:pPr>
              <w:jc w:val="right"/>
              <w:rPr>
                <w:rFonts w:eastAsia="Times New Roman"/>
                <w:sz w:val="20"/>
                <w:szCs w:val="20"/>
              </w:rPr>
            </w:pPr>
          </w:p>
        </w:tc>
        <w:tc>
          <w:tcPr>
            <w:tcW w:w="0" w:type="auto"/>
            <w:vAlign w:val="center"/>
            <w:hideMark/>
          </w:tcPr>
          <w:p w:rsidR="00000000" w:rsidRDefault="001F1FC8">
            <w:pPr>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8"/>
                <w:szCs w:val="18"/>
              </w:rPr>
              <w:t>2,306 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c>
          <w:tcPr>
            <w:tcW w:w="0" w:type="auto"/>
            <w:vAlign w:val="center"/>
            <w:hideMark/>
          </w:tcPr>
          <w:p w:rsidR="00000000" w:rsidRDefault="001F1FC8">
            <w:pPr>
              <w:jc w:val="right"/>
              <w:rPr>
                <w:rFonts w:eastAsia="Times New Roman"/>
                <w:sz w:val="20"/>
                <w:szCs w:val="20"/>
              </w:rPr>
            </w:pPr>
          </w:p>
        </w:tc>
        <w:tc>
          <w:tcPr>
            <w:tcW w:w="0" w:type="auto"/>
            <w:vAlign w:val="center"/>
            <w:hideMark/>
          </w:tcPr>
          <w:p w:rsidR="00000000" w:rsidRDefault="001F1FC8">
            <w:pPr>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8"/>
                <w:szCs w:val="18"/>
              </w:rPr>
              <w:t>3,016 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r>
      <w:tr w:rsidR="00000000">
        <w:trPr>
          <w:divId w:val="276915363"/>
        </w:trPr>
        <w:tc>
          <w:tcPr>
            <w:tcW w:w="0" w:type="auto"/>
            <w:gridSpan w:val="3"/>
            <w:tcBorders>
              <w:bottom w:val="single" w:sz="8" w:space="0" w:color="000000"/>
            </w:tcBorders>
            <w:tcMar>
              <w:top w:w="30" w:type="dxa"/>
              <w:left w:w="200" w:type="dxa"/>
              <w:bottom w:w="30" w:type="dxa"/>
              <w:right w:w="20" w:type="dxa"/>
            </w:tcMar>
            <w:hideMark/>
          </w:tcPr>
          <w:p w:rsidR="00000000" w:rsidRDefault="001F1FC8">
            <w:pPr>
              <w:ind w:hanging="180"/>
              <w:rPr>
                <w:rFonts w:eastAsia="Times New Roman"/>
              </w:rPr>
            </w:pPr>
            <w:r>
              <w:rPr>
                <w:rFonts w:ascii="Arial" w:eastAsia="Times New Roman" w:hAnsi="Arial" w:cs="Arial"/>
                <w:color w:val="000000"/>
                <w:sz w:val="18"/>
                <w:szCs w:val="18"/>
              </w:rPr>
              <w:t>Earnings attributable to Enbridge</w:t>
            </w:r>
          </w:p>
        </w:tc>
        <w:tc>
          <w:tcPr>
            <w:tcW w:w="0" w:type="auto"/>
            <w:vAlign w:val="center"/>
            <w:hideMark/>
          </w:tcPr>
          <w:p w:rsidR="00000000" w:rsidRDefault="001F1FC8">
            <w:pPr>
              <w:ind w:hanging="180"/>
              <w:rPr>
                <w:rFonts w:eastAsia="Times New Roman"/>
              </w:rPr>
            </w:pPr>
          </w:p>
        </w:tc>
        <w:tc>
          <w:tcPr>
            <w:tcW w:w="0" w:type="auto"/>
            <w:vAlign w:val="center"/>
            <w:hideMark/>
          </w:tcPr>
          <w:p w:rsidR="00000000" w:rsidRDefault="001F1FC8">
            <w:pPr>
              <w:rPr>
                <w:rFonts w:eastAsia="Times New Roman"/>
                <w:sz w:val="20"/>
                <w:szCs w:val="20"/>
              </w:rPr>
            </w:pPr>
          </w:p>
        </w:tc>
        <w:tc>
          <w:tcPr>
            <w:tcW w:w="0" w:type="auto"/>
            <w:gridSpan w:val="2"/>
            <w:tcBorders>
              <w:bottom w:val="single" w:sz="8" w:space="0" w:color="000000"/>
            </w:tcBorders>
            <w:shd w:val="clear" w:color="auto" w:fill="D9D9D9"/>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b/>
                <w:bCs/>
                <w:color w:val="000000"/>
                <w:sz w:val="18"/>
                <w:szCs w:val="18"/>
              </w:rPr>
              <w:t>1,711</w:t>
            </w:r>
            <w:r>
              <w:rPr>
                <w:rFonts w:ascii="Arial" w:eastAsia="Times New Roman" w:hAnsi="Arial" w:cs="Arial"/>
                <w:color w:val="000000"/>
                <w:sz w:val="18"/>
                <w:szCs w:val="18"/>
              </w:rPr>
              <w:t> </w:t>
            </w:r>
          </w:p>
        </w:tc>
        <w:tc>
          <w:tcPr>
            <w:tcW w:w="0" w:type="auto"/>
            <w:tcBorders>
              <w:bottom w:val="single" w:sz="8" w:space="0" w:color="000000"/>
            </w:tcBorders>
            <w:shd w:val="clear" w:color="auto" w:fill="D9D9D9"/>
            <w:tcMar>
              <w:top w:w="30" w:type="dxa"/>
              <w:left w:w="0" w:type="dxa"/>
              <w:bottom w:w="30" w:type="dxa"/>
              <w:right w:w="20" w:type="dxa"/>
            </w:tcMar>
            <w:hideMark/>
          </w:tcPr>
          <w:p w:rsidR="00000000" w:rsidRDefault="001F1FC8">
            <w:pPr>
              <w:jc w:val="right"/>
              <w:rPr>
                <w:rFonts w:eastAsia="Times New Roman"/>
              </w:rPr>
            </w:pPr>
          </w:p>
        </w:tc>
        <w:tc>
          <w:tcPr>
            <w:tcW w:w="0" w:type="auto"/>
            <w:vAlign w:val="center"/>
            <w:hideMark/>
          </w:tcPr>
          <w:p w:rsidR="00000000" w:rsidRDefault="001F1FC8">
            <w:pPr>
              <w:jc w:val="right"/>
              <w:rPr>
                <w:rFonts w:eastAsia="Times New Roman"/>
                <w:sz w:val="20"/>
                <w:szCs w:val="20"/>
              </w:rPr>
            </w:pPr>
          </w:p>
        </w:tc>
        <w:tc>
          <w:tcPr>
            <w:tcW w:w="0" w:type="auto"/>
            <w:vAlign w:val="center"/>
            <w:hideMark/>
          </w:tcPr>
          <w:p w:rsidR="00000000" w:rsidRDefault="001F1FC8">
            <w:pPr>
              <w:rPr>
                <w:rFonts w:eastAsia="Times New Roman"/>
                <w:sz w:val="20"/>
                <w:szCs w:val="20"/>
              </w:rPr>
            </w:pPr>
          </w:p>
        </w:tc>
        <w:tc>
          <w:tcPr>
            <w:tcW w:w="0" w:type="auto"/>
            <w:gridSpan w:val="2"/>
            <w:tcBorders>
              <w:bottom w:val="single" w:sz="8" w:space="0" w:color="000000"/>
            </w:tcBorders>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color w:val="000000"/>
                <w:sz w:val="18"/>
                <w:szCs w:val="18"/>
              </w:rPr>
              <w:t>1,136 </w:t>
            </w:r>
          </w:p>
        </w:tc>
        <w:tc>
          <w:tcPr>
            <w:tcW w:w="0" w:type="auto"/>
            <w:tcBorders>
              <w:bottom w:val="single" w:sz="8" w:space="0" w:color="000000"/>
            </w:tcBorders>
            <w:tcMar>
              <w:top w:w="30" w:type="dxa"/>
              <w:left w:w="0" w:type="dxa"/>
              <w:bottom w:w="30" w:type="dxa"/>
              <w:right w:w="20" w:type="dxa"/>
            </w:tcMar>
            <w:hideMark/>
          </w:tcPr>
          <w:p w:rsidR="00000000" w:rsidRDefault="001F1FC8">
            <w:pPr>
              <w:jc w:val="right"/>
              <w:rPr>
                <w:rFonts w:eastAsia="Times New Roman"/>
              </w:rPr>
            </w:pPr>
          </w:p>
        </w:tc>
        <w:tc>
          <w:tcPr>
            <w:tcW w:w="0" w:type="auto"/>
            <w:vAlign w:val="center"/>
            <w:hideMark/>
          </w:tcPr>
          <w:p w:rsidR="00000000" w:rsidRDefault="001F1FC8">
            <w:pPr>
              <w:jc w:val="right"/>
              <w:rPr>
                <w:rFonts w:eastAsia="Times New Roman"/>
                <w:sz w:val="20"/>
                <w:szCs w:val="20"/>
              </w:rPr>
            </w:pPr>
          </w:p>
        </w:tc>
        <w:tc>
          <w:tcPr>
            <w:tcW w:w="0" w:type="auto"/>
            <w:vAlign w:val="center"/>
            <w:hideMark/>
          </w:tcPr>
          <w:p w:rsidR="00000000" w:rsidRDefault="001F1FC8">
            <w:pPr>
              <w:rPr>
                <w:rFonts w:eastAsia="Times New Roman"/>
                <w:sz w:val="20"/>
                <w:szCs w:val="20"/>
              </w:rPr>
            </w:pPr>
          </w:p>
        </w:tc>
        <w:tc>
          <w:tcPr>
            <w:tcW w:w="0" w:type="auto"/>
            <w:gridSpan w:val="2"/>
            <w:tcBorders>
              <w:bottom w:val="single" w:sz="8" w:space="0" w:color="000000"/>
            </w:tcBorders>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color w:val="000000"/>
                <w:sz w:val="18"/>
                <w:szCs w:val="18"/>
              </w:rPr>
              <w:t>1,503 </w:t>
            </w:r>
          </w:p>
        </w:tc>
        <w:tc>
          <w:tcPr>
            <w:tcW w:w="0" w:type="auto"/>
            <w:tcBorders>
              <w:bottom w:val="single" w:sz="8" w:space="0" w:color="000000"/>
            </w:tcBorders>
            <w:tcMar>
              <w:top w:w="30" w:type="dxa"/>
              <w:left w:w="0" w:type="dxa"/>
              <w:bottom w:w="30" w:type="dxa"/>
              <w:right w:w="20" w:type="dxa"/>
            </w:tcMar>
            <w:hideMark/>
          </w:tcPr>
          <w:p w:rsidR="00000000" w:rsidRDefault="001F1FC8">
            <w:pPr>
              <w:jc w:val="right"/>
              <w:rPr>
                <w:rFonts w:eastAsia="Times New Roman"/>
              </w:rPr>
            </w:pPr>
          </w:p>
        </w:tc>
      </w:tr>
    </w:tbl>
    <w:tbl>
      <w:tblPr>
        <w:tblW w:w="5000" w:type="pct"/>
        <w:tblCellMar>
          <w:top w:w="15" w:type="dxa"/>
          <w:left w:w="15" w:type="dxa"/>
          <w:bottom w:w="15" w:type="dxa"/>
          <w:right w:w="15" w:type="dxa"/>
        </w:tblCellMar>
        <w:tblLook w:val="04A0" w:firstRow="1" w:lastRow="0" w:firstColumn="1" w:lastColumn="0" w:noHBand="0" w:noVBand="1"/>
      </w:tblPr>
      <w:tblGrid>
        <w:gridCol w:w="144"/>
        <w:gridCol w:w="5551"/>
        <w:gridCol w:w="144"/>
        <w:gridCol w:w="480"/>
        <w:gridCol w:w="1440"/>
        <w:gridCol w:w="144"/>
        <w:gridCol w:w="1239"/>
        <w:gridCol w:w="144"/>
        <w:gridCol w:w="480"/>
        <w:gridCol w:w="1440"/>
        <w:gridCol w:w="144"/>
        <w:gridCol w:w="1239"/>
        <w:gridCol w:w="144"/>
      </w:tblGrid>
      <w:tr w:rsidR="00000000">
        <w:tc>
          <w:tcPr>
            <w:tcW w:w="50" w:type="pct"/>
            <w:vAlign w:val="center"/>
            <w:hideMark/>
          </w:tcPr>
          <w:p w:rsidR="00000000" w:rsidRDefault="001F1FC8">
            <w:pPr>
              <w:rPr>
                <w:rFonts w:eastAsia="Times New Roman"/>
              </w:rPr>
            </w:pPr>
          </w:p>
        </w:tc>
        <w:tc>
          <w:tcPr>
            <w:tcW w:w="3342"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c>
          <w:tcPr>
            <w:tcW w:w="0" w:type="auto"/>
            <w:vAlign w:val="center"/>
            <w:hideMark/>
          </w:tcPr>
          <w:p w:rsidR="00000000" w:rsidRDefault="001F1FC8">
            <w:pPr>
              <w:rPr>
                <w:rFonts w:eastAsia="Times New Roman"/>
                <w:sz w:val="20"/>
                <w:szCs w:val="20"/>
              </w:rPr>
            </w:pPr>
          </w:p>
        </w:tc>
        <w:tc>
          <w:tcPr>
            <w:tcW w:w="0" w:type="auto"/>
            <w:vAlign w:val="center"/>
            <w:hideMark/>
          </w:tcPr>
          <w:p w:rsidR="00000000" w:rsidRDefault="001F1FC8">
            <w:pPr>
              <w:rPr>
                <w:rFonts w:eastAsia="Times New Roman"/>
                <w:sz w:val="20"/>
                <w:szCs w:val="20"/>
              </w:rPr>
            </w:pPr>
          </w:p>
        </w:tc>
        <w:tc>
          <w:tcPr>
            <w:tcW w:w="50" w:type="pct"/>
            <w:vAlign w:val="center"/>
            <w:hideMark/>
          </w:tcPr>
          <w:p w:rsidR="00000000" w:rsidRDefault="001F1FC8">
            <w:pPr>
              <w:rPr>
                <w:rFonts w:eastAsia="Times New Roman"/>
                <w:sz w:val="20"/>
                <w:szCs w:val="20"/>
              </w:rPr>
            </w:pPr>
          </w:p>
        </w:tc>
        <w:tc>
          <w:tcPr>
            <w:tcW w:w="746"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c>
          <w:tcPr>
            <w:tcW w:w="0" w:type="auto"/>
            <w:vAlign w:val="center"/>
            <w:hideMark/>
          </w:tcPr>
          <w:p w:rsidR="00000000" w:rsidRDefault="001F1FC8">
            <w:pPr>
              <w:rPr>
                <w:rFonts w:eastAsia="Times New Roman"/>
                <w:sz w:val="20"/>
                <w:szCs w:val="20"/>
              </w:rPr>
            </w:pPr>
          </w:p>
        </w:tc>
        <w:tc>
          <w:tcPr>
            <w:tcW w:w="0" w:type="auto"/>
            <w:vAlign w:val="center"/>
            <w:hideMark/>
          </w:tcPr>
          <w:p w:rsidR="00000000" w:rsidRDefault="001F1FC8">
            <w:pPr>
              <w:rPr>
                <w:rFonts w:eastAsia="Times New Roman"/>
                <w:sz w:val="20"/>
                <w:szCs w:val="20"/>
              </w:rPr>
            </w:pPr>
          </w:p>
        </w:tc>
        <w:tc>
          <w:tcPr>
            <w:tcW w:w="50" w:type="pct"/>
            <w:vAlign w:val="center"/>
            <w:hideMark/>
          </w:tcPr>
          <w:p w:rsidR="00000000" w:rsidRDefault="001F1FC8">
            <w:pPr>
              <w:rPr>
                <w:rFonts w:eastAsia="Times New Roman"/>
                <w:sz w:val="20"/>
                <w:szCs w:val="20"/>
              </w:rPr>
            </w:pPr>
          </w:p>
        </w:tc>
        <w:tc>
          <w:tcPr>
            <w:tcW w:w="746"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r>
      <w:tr w:rsidR="00000000">
        <w:tc>
          <w:tcPr>
            <w:tcW w:w="0" w:type="auto"/>
            <w:gridSpan w:val="3"/>
            <w:tcMar>
              <w:top w:w="30" w:type="dxa"/>
              <w:left w:w="20" w:type="dxa"/>
              <w:bottom w:w="30" w:type="dxa"/>
              <w:right w:w="20" w:type="dxa"/>
            </w:tcMar>
            <w:vAlign w:val="bottom"/>
            <w:hideMark/>
          </w:tcPr>
          <w:p w:rsidR="00000000" w:rsidRDefault="001F1FC8">
            <w:pPr>
              <w:rPr>
                <w:rFonts w:eastAsia="Times New Roman"/>
              </w:rPr>
            </w:pPr>
            <w:r>
              <w:rPr>
                <w:rFonts w:ascii="Arial" w:eastAsia="Times New Roman" w:hAnsi="Arial" w:cs="Arial"/>
                <w:color w:val="000000"/>
                <w:sz w:val="18"/>
                <w:szCs w:val="18"/>
              </w:rPr>
              <w:t>December 31,</w:t>
            </w:r>
          </w:p>
        </w:tc>
        <w:tc>
          <w:tcPr>
            <w:tcW w:w="0" w:type="auto"/>
            <w:vAlign w:val="center"/>
            <w:hideMark/>
          </w:tcPr>
          <w:p w:rsidR="00000000" w:rsidRDefault="001F1FC8">
            <w:pPr>
              <w:rPr>
                <w:rFonts w:eastAsia="Times New Roman"/>
              </w:rPr>
            </w:pPr>
          </w:p>
        </w:tc>
        <w:tc>
          <w:tcPr>
            <w:tcW w:w="0" w:type="auto"/>
            <w:vAlign w:val="center"/>
            <w:hideMark/>
          </w:tcPr>
          <w:p w:rsidR="00000000" w:rsidRDefault="001F1FC8">
            <w:pPr>
              <w:rPr>
                <w:rFonts w:eastAsia="Times New Roman"/>
                <w:sz w:val="20"/>
                <w:szCs w:val="20"/>
              </w:rPr>
            </w:pPr>
          </w:p>
        </w:tc>
        <w:tc>
          <w:tcPr>
            <w:tcW w:w="0" w:type="auto"/>
            <w:gridSpan w:val="3"/>
            <w:tcMar>
              <w:top w:w="30" w:type="dxa"/>
              <w:left w:w="20" w:type="dxa"/>
              <w:bottom w:w="30" w:type="dxa"/>
              <w:right w:w="20" w:type="dxa"/>
            </w:tcMar>
            <w:vAlign w:val="center"/>
            <w:hideMark/>
          </w:tcPr>
          <w:p w:rsidR="00000000" w:rsidRDefault="001F1FC8">
            <w:pPr>
              <w:jc w:val="right"/>
              <w:rPr>
                <w:rFonts w:eastAsia="Times New Roman"/>
              </w:rPr>
            </w:pPr>
            <w:r>
              <w:rPr>
                <w:rFonts w:ascii="Arial" w:eastAsia="Times New Roman" w:hAnsi="Arial" w:cs="Arial"/>
                <w:b/>
                <w:bCs/>
                <w:color w:val="000000"/>
                <w:sz w:val="18"/>
                <w:szCs w:val="18"/>
              </w:rPr>
              <w:t>2021</w:t>
            </w:r>
          </w:p>
        </w:tc>
        <w:tc>
          <w:tcPr>
            <w:tcW w:w="0" w:type="auto"/>
            <w:vAlign w:val="center"/>
            <w:hideMark/>
          </w:tcPr>
          <w:p w:rsidR="00000000" w:rsidRDefault="001F1FC8">
            <w:pPr>
              <w:jc w:val="right"/>
              <w:rPr>
                <w:rFonts w:eastAsia="Times New Roman"/>
              </w:rPr>
            </w:pPr>
          </w:p>
        </w:tc>
        <w:tc>
          <w:tcPr>
            <w:tcW w:w="0" w:type="auto"/>
            <w:vAlign w:val="center"/>
            <w:hideMark/>
          </w:tcPr>
          <w:p w:rsidR="00000000" w:rsidRDefault="001F1FC8">
            <w:pPr>
              <w:rPr>
                <w:rFonts w:eastAsia="Times New Roman"/>
                <w:sz w:val="20"/>
                <w:szCs w:val="20"/>
              </w:rPr>
            </w:pPr>
          </w:p>
        </w:tc>
        <w:tc>
          <w:tcPr>
            <w:tcW w:w="0" w:type="auto"/>
            <w:gridSpan w:val="3"/>
            <w:tcMar>
              <w:top w:w="30" w:type="dxa"/>
              <w:left w:w="20" w:type="dxa"/>
              <w:bottom w:w="30" w:type="dxa"/>
              <w:right w:w="20" w:type="dxa"/>
            </w:tcMar>
            <w:vAlign w:val="center"/>
            <w:hideMark/>
          </w:tcPr>
          <w:p w:rsidR="00000000" w:rsidRDefault="001F1FC8">
            <w:pPr>
              <w:jc w:val="right"/>
              <w:rPr>
                <w:rFonts w:eastAsia="Times New Roman"/>
              </w:rPr>
            </w:pPr>
            <w:r>
              <w:rPr>
                <w:rFonts w:ascii="Arial" w:eastAsia="Times New Roman" w:hAnsi="Arial" w:cs="Arial"/>
                <w:color w:val="000000"/>
                <w:sz w:val="18"/>
                <w:szCs w:val="18"/>
              </w:rPr>
              <w:t>2020</w:t>
            </w:r>
          </w:p>
        </w:tc>
      </w:tr>
      <w:tr w:rsidR="00000000">
        <w:tc>
          <w:tcPr>
            <w:tcW w:w="0" w:type="auto"/>
            <w:gridSpan w:val="3"/>
            <w:tcBorders>
              <w:top w:val="single" w:sz="4" w:space="0" w:color="000000"/>
            </w:tcBorders>
            <w:tcMar>
              <w:top w:w="30" w:type="dxa"/>
              <w:left w:w="20" w:type="dxa"/>
              <w:bottom w:w="30" w:type="dxa"/>
              <w:right w:w="20" w:type="dxa"/>
            </w:tcMar>
            <w:hideMark/>
          </w:tcPr>
          <w:p w:rsidR="00000000" w:rsidRDefault="001F1FC8">
            <w:pPr>
              <w:rPr>
                <w:rFonts w:eastAsia="Times New Roman"/>
              </w:rPr>
            </w:pPr>
            <w:r>
              <w:rPr>
                <w:rFonts w:ascii="Arial" w:eastAsia="Times New Roman" w:hAnsi="Arial" w:cs="Arial"/>
                <w:i/>
                <w:iCs/>
                <w:color w:val="000000"/>
                <w:sz w:val="16"/>
                <w:szCs w:val="16"/>
              </w:rPr>
              <w:t>(millions of Canadian dollars)</w:t>
            </w:r>
          </w:p>
        </w:tc>
        <w:tc>
          <w:tcPr>
            <w:tcW w:w="0" w:type="auto"/>
            <w:vAlign w:val="center"/>
            <w:hideMark/>
          </w:tcPr>
          <w:p w:rsidR="00000000" w:rsidRDefault="001F1FC8">
            <w:pPr>
              <w:rPr>
                <w:rFonts w:eastAsia="Times New Roman"/>
              </w:rPr>
            </w:pPr>
          </w:p>
        </w:tc>
        <w:tc>
          <w:tcPr>
            <w:tcW w:w="0" w:type="auto"/>
            <w:vAlign w:val="center"/>
            <w:hideMark/>
          </w:tcPr>
          <w:p w:rsidR="00000000" w:rsidRDefault="001F1FC8">
            <w:pPr>
              <w:rPr>
                <w:rFonts w:eastAsia="Times New Roman"/>
                <w:sz w:val="20"/>
                <w:szCs w:val="20"/>
              </w:rPr>
            </w:pPr>
          </w:p>
        </w:tc>
        <w:tc>
          <w:tcPr>
            <w:tcW w:w="0" w:type="auto"/>
            <w:gridSpan w:val="3"/>
            <w:tcBorders>
              <w:top w:val="single" w:sz="4" w:space="0" w:color="000000"/>
            </w:tcBorders>
            <w:shd w:val="clear" w:color="auto" w:fill="D9D9D9"/>
            <w:tcMar>
              <w:top w:w="0" w:type="dxa"/>
              <w:left w:w="20" w:type="dxa"/>
              <w:bottom w:w="0" w:type="dxa"/>
              <w:right w:w="20" w:type="dxa"/>
            </w:tcMar>
            <w:vAlign w:val="center"/>
            <w:hideMark/>
          </w:tcPr>
          <w:p w:rsidR="00000000" w:rsidRDefault="001F1FC8">
            <w:pPr>
              <w:rPr>
                <w:rFonts w:eastAsia="Times New Roman"/>
                <w:sz w:val="20"/>
                <w:szCs w:val="20"/>
              </w:rPr>
            </w:pPr>
          </w:p>
        </w:tc>
        <w:tc>
          <w:tcPr>
            <w:tcW w:w="0" w:type="auto"/>
            <w:vAlign w:val="center"/>
            <w:hideMark/>
          </w:tcPr>
          <w:p w:rsidR="00000000" w:rsidRDefault="001F1FC8">
            <w:pPr>
              <w:rPr>
                <w:rFonts w:eastAsia="Times New Roman"/>
                <w:sz w:val="20"/>
                <w:szCs w:val="20"/>
              </w:rPr>
            </w:pPr>
          </w:p>
        </w:tc>
        <w:tc>
          <w:tcPr>
            <w:tcW w:w="0" w:type="auto"/>
            <w:vAlign w:val="center"/>
            <w:hideMark/>
          </w:tcPr>
          <w:p w:rsidR="00000000" w:rsidRDefault="001F1FC8">
            <w:pPr>
              <w:rPr>
                <w:rFonts w:eastAsia="Times New Roman"/>
                <w:sz w:val="20"/>
                <w:szCs w:val="20"/>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1F1FC8">
            <w:pPr>
              <w:rPr>
                <w:rFonts w:eastAsia="Times New Roman"/>
                <w:sz w:val="20"/>
                <w:szCs w:val="20"/>
              </w:rPr>
            </w:pPr>
          </w:p>
        </w:tc>
      </w:tr>
      <w:tr w:rsidR="00000000">
        <w:tc>
          <w:tcPr>
            <w:tcW w:w="0" w:type="auto"/>
            <w:gridSpan w:val="3"/>
            <w:tcMar>
              <w:top w:w="30" w:type="dxa"/>
              <w:left w:w="20" w:type="dxa"/>
              <w:bottom w:w="30" w:type="dxa"/>
              <w:right w:w="20" w:type="dxa"/>
            </w:tcMar>
            <w:hideMark/>
          </w:tcPr>
          <w:p w:rsidR="00000000" w:rsidRDefault="001F1FC8">
            <w:pPr>
              <w:rPr>
                <w:rFonts w:eastAsia="Times New Roman"/>
              </w:rPr>
            </w:pPr>
            <w:r>
              <w:rPr>
                <w:rFonts w:ascii="Arial" w:eastAsia="Times New Roman" w:hAnsi="Arial" w:cs="Arial"/>
                <w:color w:val="000000"/>
                <w:sz w:val="18"/>
                <w:szCs w:val="18"/>
              </w:rPr>
              <w:t>Current assets</w:t>
            </w:r>
          </w:p>
        </w:tc>
        <w:tc>
          <w:tcPr>
            <w:tcW w:w="0" w:type="auto"/>
            <w:vAlign w:val="center"/>
            <w:hideMark/>
          </w:tcPr>
          <w:p w:rsidR="00000000" w:rsidRDefault="001F1FC8">
            <w:pPr>
              <w:rPr>
                <w:rFonts w:eastAsia="Times New Roman"/>
              </w:rPr>
            </w:pPr>
          </w:p>
        </w:tc>
        <w:tc>
          <w:tcPr>
            <w:tcW w:w="0" w:type="auto"/>
            <w:vAlign w:val="center"/>
            <w:hideMark/>
          </w:tcPr>
          <w:p w:rsidR="00000000" w:rsidRDefault="001F1FC8">
            <w:pPr>
              <w:rPr>
                <w:rFonts w:eastAsia="Times New Roman"/>
                <w:sz w:val="20"/>
                <w:szCs w:val="20"/>
              </w:rPr>
            </w:pPr>
          </w:p>
        </w:tc>
        <w:tc>
          <w:tcPr>
            <w:tcW w:w="0" w:type="auto"/>
            <w:gridSpan w:val="2"/>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8"/>
                <w:szCs w:val="18"/>
              </w:rPr>
              <w:t>3,581</w:t>
            </w:r>
            <w:r>
              <w:rPr>
                <w:rFonts w:ascii="Arial" w:eastAsia="Times New Roman" w:hAnsi="Arial" w:cs="Arial"/>
                <w:color w:val="000000"/>
                <w:sz w:val="18"/>
                <w:szCs w:val="18"/>
              </w:rPr>
              <w:t> </w:t>
            </w:r>
          </w:p>
        </w:tc>
        <w:tc>
          <w:tcPr>
            <w:tcW w:w="0" w:type="auto"/>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vAlign w:val="center"/>
            <w:hideMark/>
          </w:tcPr>
          <w:p w:rsidR="00000000" w:rsidRDefault="001F1FC8">
            <w:pPr>
              <w:jc w:val="right"/>
              <w:rPr>
                <w:rFonts w:eastAsia="Times New Roman"/>
                <w:sz w:val="20"/>
                <w:szCs w:val="20"/>
              </w:rPr>
            </w:pPr>
          </w:p>
        </w:tc>
        <w:tc>
          <w:tcPr>
            <w:tcW w:w="0" w:type="auto"/>
            <w:vAlign w:val="center"/>
            <w:hideMark/>
          </w:tcPr>
          <w:p w:rsidR="00000000" w:rsidRDefault="001F1FC8">
            <w:pPr>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8"/>
                <w:szCs w:val="18"/>
              </w:rPr>
              <w:t>3,136 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r>
      <w:tr w:rsidR="00000000">
        <w:tc>
          <w:tcPr>
            <w:tcW w:w="0" w:type="auto"/>
            <w:gridSpan w:val="3"/>
            <w:tcMar>
              <w:top w:w="30" w:type="dxa"/>
              <w:left w:w="20" w:type="dxa"/>
              <w:bottom w:w="30" w:type="dxa"/>
              <w:right w:w="20" w:type="dxa"/>
            </w:tcMar>
            <w:hideMark/>
          </w:tcPr>
          <w:p w:rsidR="00000000" w:rsidRDefault="001F1FC8">
            <w:pPr>
              <w:rPr>
                <w:rFonts w:eastAsia="Times New Roman"/>
              </w:rPr>
            </w:pPr>
            <w:r>
              <w:rPr>
                <w:rFonts w:ascii="Arial" w:eastAsia="Times New Roman" w:hAnsi="Arial" w:cs="Arial"/>
                <w:color w:val="000000"/>
                <w:sz w:val="18"/>
                <w:szCs w:val="18"/>
              </w:rPr>
              <w:t>Non-current assets</w:t>
            </w:r>
          </w:p>
        </w:tc>
        <w:tc>
          <w:tcPr>
            <w:tcW w:w="0" w:type="auto"/>
            <w:vAlign w:val="center"/>
            <w:hideMark/>
          </w:tcPr>
          <w:p w:rsidR="00000000" w:rsidRDefault="001F1FC8">
            <w:pPr>
              <w:rPr>
                <w:rFonts w:eastAsia="Times New Roman"/>
              </w:rPr>
            </w:pPr>
          </w:p>
        </w:tc>
        <w:tc>
          <w:tcPr>
            <w:tcW w:w="0" w:type="auto"/>
            <w:vAlign w:val="center"/>
            <w:hideMark/>
          </w:tcPr>
          <w:p w:rsidR="00000000" w:rsidRDefault="001F1FC8">
            <w:pPr>
              <w:rPr>
                <w:rFonts w:eastAsia="Times New Roman"/>
                <w:sz w:val="20"/>
                <w:szCs w:val="20"/>
              </w:rPr>
            </w:pPr>
          </w:p>
        </w:tc>
        <w:tc>
          <w:tcPr>
            <w:tcW w:w="0" w:type="auto"/>
            <w:gridSpan w:val="2"/>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8"/>
                <w:szCs w:val="18"/>
              </w:rPr>
              <w:t>44,497</w:t>
            </w:r>
            <w:r>
              <w:rPr>
                <w:rFonts w:ascii="Arial" w:eastAsia="Times New Roman" w:hAnsi="Arial" w:cs="Arial"/>
                <w:color w:val="000000"/>
                <w:sz w:val="18"/>
                <w:szCs w:val="18"/>
              </w:rPr>
              <w:t> </w:t>
            </w:r>
          </w:p>
        </w:tc>
        <w:tc>
          <w:tcPr>
            <w:tcW w:w="0" w:type="auto"/>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vAlign w:val="center"/>
            <w:hideMark/>
          </w:tcPr>
          <w:p w:rsidR="00000000" w:rsidRDefault="001F1FC8">
            <w:pPr>
              <w:jc w:val="right"/>
              <w:rPr>
                <w:rFonts w:eastAsia="Times New Roman"/>
                <w:sz w:val="20"/>
                <w:szCs w:val="20"/>
              </w:rPr>
            </w:pPr>
          </w:p>
        </w:tc>
        <w:tc>
          <w:tcPr>
            <w:tcW w:w="0" w:type="auto"/>
            <w:vAlign w:val="center"/>
            <w:hideMark/>
          </w:tcPr>
          <w:p w:rsidR="00000000" w:rsidRDefault="001F1FC8">
            <w:pPr>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8"/>
                <w:szCs w:val="18"/>
              </w:rPr>
              <w:t>45,955 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r>
      <w:tr w:rsidR="00000000">
        <w:tc>
          <w:tcPr>
            <w:tcW w:w="0" w:type="auto"/>
            <w:gridSpan w:val="3"/>
            <w:tcMar>
              <w:top w:w="30" w:type="dxa"/>
              <w:left w:w="20" w:type="dxa"/>
              <w:bottom w:w="30" w:type="dxa"/>
              <w:right w:w="20" w:type="dxa"/>
            </w:tcMar>
            <w:hideMark/>
          </w:tcPr>
          <w:p w:rsidR="00000000" w:rsidRDefault="001F1FC8">
            <w:pPr>
              <w:rPr>
                <w:rFonts w:eastAsia="Times New Roman"/>
              </w:rPr>
            </w:pPr>
            <w:r>
              <w:rPr>
                <w:rFonts w:ascii="Arial" w:eastAsia="Times New Roman" w:hAnsi="Arial" w:cs="Arial"/>
                <w:color w:val="000000"/>
                <w:sz w:val="18"/>
                <w:szCs w:val="18"/>
              </w:rPr>
              <w:t>Current liabilities</w:t>
            </w:r>
          </w:p>
        </w:tc>
        <w:tc>
          <w:tcPr>
            <w:tcW w:w="0" w:type="auto"/>
            <w:vAlign w:val="center"/>
            <w:hideMark/>
          </w:tcPr>
          <w:p w:rsidR="00000000" w:rsidRDefault="001F1FC8">
            <w:pPr>
              <w:rPr>
                <w:rFonts w:eastAsia="Times New Roman"/>
              </w:rPr>
            </w:pPr>
          </w:p>
        </w:tc>
        <w:tc>
          <w:tcPr>
            <w:tcW w:w="0" w:type="auto"/>
            <w:vAlign w:val="center"/>
            <w:hideMark/>
          </w:tcPr>
          <w:p w:rsidR="00000000" w:rsidRDefault="001F1FC8">
            <w:pPr>
              <w:rPr>
                <w:rFonts w:eastAsia="Times New Roman"/>
                <w:sz w:val="20"/>
                <w:szCs w:val="20"/>
              </w:rPr>
            </w:pPr>
          </w:p>
        </w:tc>
        <w:tc>
          <w:tcPr>
            <w:tcW w:w="0" w:type="auto"/>
            <w:gridSpan w:val="2"/>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8"/>
                <w:szCs w:val="18"/>
              </w:rPr>
              <w:t>3,678</w:t>
            </w:r>
            <w:r>
              <w:rPr>
                <w:rFonts w:ascii="Arial" w:eastAsia="Times New Roman" w:hAnsi="Arial" w:cs="Arial"/>
                <w:color w:val="000000"/>
                <w:sz w:val="18"/>
                <w:szCs w:val="18"/>
              </w:rPr>
              <w:t> </w:t>
            </w:r>
          </w:p>
        </w:tc>
        <w:tc>
          <w:tcPr>
            <w:tcW w:w="0" w:type="auto"/>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vAlign w:val="center"/>
            <w:hideMark/>
          </w:tcPr>
          <w:p w:rsidR="00000000" w:rsidRDefault="001F1FC8">
            <w:pPr>
              <w:jc w:val="right"/>
              <w:rPr>
                <w:rFonts w:eastAsia="Times New Roman"/>
                <w:sz w:val="20"/>
                <w:szCs w:val="20"/>
              </w:rPr>
            </w:pPr>
          </w:p>
        </w:tc>
        <w:tc>
          <w:tcPr>
            <w:tcW w:w="0" w:type="auto"/>
            <w:vAlign w:val="center"/>
            <w:hideMark/>
          </w:tcPr>
          <w:p w:rsidR="00000000" w:rsidRDefault="001F1FC8">
            <w:pPr>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8"/>
                <w:szCs w:val="18"/>
              </w:rPr>
              <w:t>3,539 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r>
      <w:tr w:rsidR="00000000">
        <w:tc>
          <w:tcPr>
            <w:tcW w:w="0" w:type="auto"/>
            <w:gridSpan w:val="3"/>
            <w:tcMar>
              <w:top w:w="30" w:type="dxa"/>
              <w:left w:w="20" w:type="dxa"/>
              <w:bottom w:w="30" w:type="dxa"/>
              <w:right w:w="20" w:type="dxa"/>
            </w:tcMar>
            <w:hideMark/>
          </w:tcPr>
          <w:p w:rsidR="00000000" w:rsidRDefault="001F1FC8">
            <w:pPr>
              <w:rPr>
                <w:rFonts w:eastAsia="Times New Roman"/>
              </w:rPr>
            </w:pPr>
            <w:r>
              <w:rPr>
                <w:rFonts w:ascii="Arial" w:eastAsia="Times New Roman" w:hAnsi="Arial" w:cs="Arial"/>
                <w:color w:val="000000"/>
                <w:sz w:val="18"/>
                <w:szCs w:val="18"/>
              </w:rPr>
              <w:t>Non-current liabilities</w:t>
            </w:r>
          </w:p>
        </w:tc>
        <w:tc>
          <w:tcPr>
            <w:tcW w:w="0" w:type="auto"/>
            <w:vAlign w:val="center"/>
            <w:hideMark/>
          </w:tcPr>
          <w:p w:rsidR="00000000" w:rsidRDefault="001F1FC8">
            <w:pPr>
              <w:rPr>
                <w:rFonts w:eastAsia="Times New Roman"/>
              </w:rPr>
            </w:pPr>
          </w:p>
        </w:tc>
        <w:tc>
          <w:tcPr>
            <w:tcW w:w="0" w:type="auto"/>
            <w:vAlign w:val="center"/>
            <w:hideMark/>
          </w:tcPr>
          <w:p w:rsidR="00000000" w:rsidRDefault="001F1FC8">
            <w:pPr>
              <w:rPr>
                <w:rFonts w:eastAsia="Times New Roman"/>
                <w:sz w:val="20"/>
                <w:szCs w:val="20"/>
              </w:rPr>
            </w:pPr>
          </w:p>
        </w:tc>
        <w:tc>
          <w:tcPr>
            <w:tcW w:w="0" w:type="auto"/>
            <w:gridSpan w:val="2"/>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8"/>
                <w:szCs w:val="18"/>
              </w:rPr>
              <w:t>16,950</w:t>
            </w:r>
            <w:r>
              <w:rPr>
                <w:rFonts w:ascii="Arial" w:eastAsia="Times New Roman" w:hAnsi="Arial" w:cs="Arial"/>
                <w:color w:val="000000"/>
                <w:sz w:val="18"/>
                <w:szCs w:val="18"/>
              </w:rPr>
              <w:t> </w:t>
            </w:r>
          </w:p>
        </w:tc>
        <w:tc>
          <w:tcPr>
            <w:tcW w:w="0" w:type="auto"/>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vAlign w:val="center"/>
            <w:hideMark/>
          </w:tcPr>
          <w:p w:rsidR="00000000" w:rsidRDefault="001F1FC8">
            <w:pPr>
              <w:jc w:val="right"/>
              <w:rPr>
                <w:rFonts w:eastAsia="Times New Roman"/>
                <w:sz w:val="20"/>
                <w:szCs w:val="20"/>
              </w:rPr>
            </w:pPr>
          </w:p>
        </w:tc>
        <w:tc>
          <w:tcPr>
            <w:tcW w:w="0" w:type="auto"/>
            <w:vAlign w:val="center"/>
            <w:hideMark/>
          </w:tcPr>
          <w:p w:rsidR="00000000" w:rsidRDefault="001F1FC8">
            <w:pPr>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8"/>
                <w:szCs w:val="18"/>
              </w:rPr>
              <w:t>19,639 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r>
      <w:tr w:rsidR="00000000">
        <w:tc>
          <w:tcPr>
            <w:tcW w:w="0" w:type="auto"/>
            <w:gridSpan w:val="3"/>
            <w:tcBorders>
              <w:bottom w:val="single" w:sz="8" w:space="0" w:color="000000"/>
            </w:tcBorders>
            <w:tcMar>
              <w:top w:w="30" w:type="dxa"/>
              <w:left w:w="20" w:type="dxa"/>
              <w:bottom w:w="30" w:type="dxa"/>
              <w:right w:w="20" w:type="dxa"/>
            </w:tcMar>
            <w:hideMark/>
          </w:tcPr>
          <w:p w:rsidR="00000000" w:rsidRDefault="001F1FC8">
            <w:pPr>
              <w:rPr>
                <w:rFonts w:eastAsia="Times New Roman"/>
              </w:rPr>
            </w:pPr>
            <w:r>
              <w:rPr>
                <w:rFonts w:ascii="Arial" w:eastAsia="Times New Roman" w:hAnsi="Arial" w:cs="Arial"/>
                <w:color w:val="000000"/>
                <w:sz w:val="18"/>
                <w:szCs w:val="18"/>
              </w:rPr>
              <w:t>Noncontrolling interests</w:t>
            </w:r>
          </w:p>
        </w:tc>
        <w:tc>
          <w:tcPr>
            <w:tcW w:w="0" w:type="auto"/>
            <w:vAlign w:val="center"/>
            <w:hideMark/>
          </w:tcPr>
          <w:p w:rsidR="00000000" w:rsidRDefault="001F1FC8">
            <w:pPr>
              <w:rPr>
                <w:rFonts w:eastAsia="Times New Roman"/>
              </w:rPr>
            </w:pPr>
          </w:p>
        </w:tc>
        <w:tc>
          <w:tcPr>
            <w:tcW w:w="0" w:type="auto"/>
            <w:vAlign w:val="center"/>
            <w:hideMark/>
          </w:tcPr>
          <w:p w:rsidR="00000000" w:rsidRDefault="001F1FC8">
            <w:pPr>
              <w:rPr>
                <w:rFonts w:eastAsia="Times New Roman"/>
                <w:sz w:val="20"/>
                <w:szCs w:val="20"/>
              </w:rPr>
            </w:pPr>
          </w:p>
        </w:tc>
        <w:tc>
          <w:tcPr>
            <w:tcW w:w="0" w:type="auto"/>
            <w:gridSpan w:val="2"/>
            <w:tcBorders>
              <w:bottom w:val="single" w:sz="8" w:space="0" w:color="000000"/>
            </w:tcBorders>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8"/>
                <w:szCs w:val="18"/>
              </w:rPr>
              <w:t>3,786</w:t>
            </w:r>
            <w:r>
              <w:rPr>
                <w:rFonts w:ascii="Arial" w:eastAsia="Times New Roman" w:hAnsi="Arial" w:cs="Arial"/>
                <w:color w:val="000000"/>
                <w:sz w:val="18"/>
                <w:szCs w:val="18"/>
              </w:rPr>
              <w:t> </w:t>
            </w:r>
          </w:p>
        </w:tc>
        <w:tc>
          <w:tcPr>
            <w:tcW w:w="0" w:type="auto"/>
            <w:tcBorders>
              <w:bottom w:val="single" w:sz="8" w:space="0" w:color="000000"/>
            </w:tcBorders>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vAlign w:val="center"/>
            <w:hideMark/>
          </w:tcPr>
          <w:p w:rsidR="00000000" w:rsidRDefault="001F1FC8">
            <w:pPr>
              <w:jc w:val="right"/>
              <w:rPr>
                <w:rFonts w:eastAsia="Times New Roman"/>
                <w:sz w:val="20"/>
                <w:szCs w:val="20"/>
              </w:rPr>
            </w:pPr>
          </w:p>
        </w:tc>
        <w:tc>
          <w:tcPr>
            <w:tcW w:w="0" w:type="auto"/>
            <w:vAlign w:val="center"/>
            <w:hideMark/>
          </w:tcPr>
          <w:p w:rsidR="00000000" w:rsidRDefault="001F1FC8">
            <w:pPr>
              <w:rPr>
                <w:rFonts w:eastAsia="Times New Roman"/>
                <w:sz w:val="20"/>
                <w:szCs w:val="20"/>
              </w:rPr>
            </w:pPr>
          </w:p>
        </w:tc>
        <w:tc>
          <w:tcPr>
            <w:tcW w:w="0" w:type="auto"/>
            <w:gridSpan w:val="2"/>
            <w:tcBorders>
              <w:bottom w:val="single" w:sz="8" w:space="0" w:color="000000"/>
            </w:tcBorders>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8"/>
                <w:szCs w:val="18"/>
              </w:rPr>
              <w:t>3,810 </w:t>
            </w:r>
          </w:p>
        </w:tc>
        <w:tc>
          <w:tcPr>
            <w:tcW w:w="0" w:type="auto"/>
            <w:tcBorders>
              <w:bottom w:val="single" w:sz="8" w:space="0" w:color="000000"/>
            </w:tcBorders>
            <w:tcMar>
              <w:top w:w="30" w:type="dxa"/>
              <w:left w:w="0" w:type="dxa"/>
              <w:bottom w:w="30" w:type="dxa"/>
              <w:right w:w="20" w:type="dxa"/>
            </w:tcMar>
            <w:vAlign w:val="bottom"/>
            <w:hideMark/>
          </w:tcPr>
          <w:p w:rsidR="00000000" w:rsidRDefault="001F1FC8">
            <w:pPr>
              <w:jc w:val="right"/>
              <w:rPr>
                <w:rFonts w:eastAsia="Times New Roman"/>
              </w:rPr>
            </w:pPr>
          </w:p>
        </w:tc>
      </w:tr>
    </w:tbl>
    <w:p w:rsidR="00000000" w:rsidRDefault="001F1FC8">
      <w:pPr>
        <w:divId w:val="761485551"/>
        <w:rPr>
          <w:rFonts w:eastAsia="Times New Roman"/>
        </w:rPr>
      </w:pPr>
      <w:r>
        <w:rPr>
          <w:rFonts w:ascii="Arial" w:eastAsia="Times New Roman" w:hAnsi="Arial" w:cs="Arial"/>
          <w:b/>
          <w:bCs/>
          <w:color w:val="000000"/>
          <w:sz w:val="20"/>
          <w:szCs w:val="20"/>
        </w:rPr>
        <w:t>Noverco Inc.</w:t>
      </w:r>
    </w:p>
    <w:p w:rsidR="00000000" w:rsidRDefault="001F1FC8">
      <w:pPr>
        <w:divId w:val="1532953865"/>
        <w:rPr>
          <w:rFonts w:eastAsia="Times New Roman"/>
        </w:rPr>
      </w:pPr>
      <w:r>
        <w:rPr>
          <w:rFonts w:ascii="Arial" w:eastAsia="Times New Roman" w:hAnsi="Arial" w:cs="Arial"/>
          <w:color w:val="000000"/>
          <w:sz w:val="20"/>
          <w:szCs w:val="20"/>
          <w:shd w:val="clear" w:color="auto" w:fill="FFFFFF"/>
        </w:rPr>
        <w:t>On June 7, 2021, IPL System Inc., a wholly owned subsidiary of Enbridge, entered into a purchase and sale agreement to sell its 38.9% common share and preferred share interest in Noverco to Trencap L.P. for $1.1 billion in cash.</w:t>
      </w:r>
    </w:p>
    <w:p w:rsidR="00000000" w:rsidRDefault="001F1FC8">
      <w:pPr>
        <w:divId w:val="669868044"/>
        <w:rPr>
          <w:rFonts w:eastAsia="Times New Roman"/>
        </w:rPr>
      </w:pPr>
    </w:p>
    <w:p w:rsidR="00000000" w:rsidRDefault="001F1FC8">
      <w:pPr>
        <w:divId w:val="1193179869"/>
        <w:rPr>
          <w:rFonts w:eastAsia="Times New Roman"/>
        </w:rPr>
      </w:pPr>
      <w:r>
        <w:rPr>
          <w:rFonts w:ascii="Arial" w:eastAsia="Times New Roman" w:hAnsi="Arial" w:cs="Arial"/>
          <w:color w:val="000000"/>
          <w:sz w:val="20"/>
          <w:szCs w:val="20"/>
          <w:shd w:val="clear" w:color="auto" w:fill="FFFFFF"/>
        </w:rPr>
        <w:t xml:space="preserve">On December 30, 2021, we </w:t>
      </w:r>
      <w:r>
        <w:rPr>
          <w:rFonts w:ascii="Arial" w:eastAsia="Times New Roman" w:hAnsi="Arial" w:cs="Arial"/>
          <w:color w:val="000000"/>
          <w:sz w:val="20"/>
          <w:szCs w:val="20"/>
          <w:shd w:val="clear" w:color="auto" w:fill="FFFFFF"/>
        </w:rPr>
        <w:t>closed the sale of Noverco for cash proceeds of $1.1 billion. After closing adjustments, a gain on disposal of $303 million before tax was included in Other income/(expense) in the Consolidated Statements of Earnings for the year ended December 31, 2021. N</w:t>
      </w:r>
      <w:r>
        <w:rPr>
          <w:rFonts w:ascii="Arial" w:eastAsia="Times New Roman" w:hAnsi="Arial" w:cs="Arial"/>
          <w:color w:val="000000"/>
          <w:sz w:val="20"/>
          <w:szCs w:val="20"/>
          <w:shd w:val="clear" w:color="auto" w:fill="FFFFFF"/>
        </w:rPr>
        <w:t xml:space="preserve">overco was previously included in our Gas Distribution and Storage segment. </w:t>
      </w:r>
    </w:p>
    <w:p w:rsidR="00000000" w:rsidRDefault="001F1FC8">
      <w:pPr>
        <w:divId w:val="239483114"/>
        <w:rPr>
          <w:rFonts w:eastAsia="Times New Roman"/>
        </w:rPr>
      </w:pPr>
    </w:p>
    <w:p w:rsidR="00000000" w:rsidRDefault="001F1FC8">
      <w:pPr>
        <w:divId w:val="32853673"/>
        <w:rPr>
          <w:rFonts w:eastAsia="Times New Roman"/>
        </w:rPr>
      </w:pPr>
      <w:r>
        <w:rPr>
          <w:rFonts w:ascii="Arial" w:eastAsia="Times New Roman" w:hAnsi="Arial" w:cs="Arial"/>
          <w:b/>
          <w:bCs/>
          <w:color w:val="000000"/>
          <w:sz w:val="20"/>
          <w:szCs w:val="20"/>
        </w:rPr>
        <w:t>IMPAIRMENT OF EQUITY INVESTMENTS</w:t>
      </w:r>
    </w:p>
    <w:p w:rsidR="00000000" w:rsidRDefault="001F1FC8">
      <w:pPr>
        <w:divId w:val="923956762"/>
        <w:rPr>
          <w:rFonts w:eastAsia="Times New Roman"/>
        </w:rPr>
      </w:pPr>
      <w:r>
        <w:rPr>
          <w:rFonts w:ascii="Arial" w:eastAsia="Times New Roman" w:hAnsi="Arial" w:cs="Arial"/>
          <w:b/>
          <w:bCs/>
          <w:color w:val="000000"/>
          <w:sz w:val="20"/>
          <w:szCs w:val="20"/>
        </w:rPr>
        <w:t>PennEast Pipeline Company, LLC</w:t>
      </w:r>
    </w:p>
    <w:p w:rsidR="00000000" w:rsidRDefault="001F1FC8">
      <w:pPr>
        <w:divId w:val="1642034065"/>
        <w:rPr>
          <w:rFonts w:eastAsia="Times New Roman"/>
        </w:rPr>
      </w:pPr>
      <w:r>
        <w:rPr>
          <w:rFonts w:ascii="Arial" w:eastAsia="Times New Roman" w:hAnsi="Arial" w:cs="Arial"/>
          <w:color w:val="000000"/>
          <w:sz w:val="20"/>
          <w:szCs w:val="20"/>
        </w:rPr>
        <w:t>PennEast Pipeline Company, LLC (PennEast) is a joint venture formed to develop a natural gas transmission pipeline to serve local distribution companies and power generators in Southeastern Pennsylvania and New Jersey, is owned 20% by Enbridge, and is reco</w:t>
      </w:r>
      <w:r>
        <w:rPr>
          <w:rFonts w:ascii="Arial" w:eastAsia="Times New Roman" w:hAnsi="Arial" w:cs="Arial"/>
          <w:color w:val="000000"/>
          <w:sz w:val="20"/>
          <w:szCs w:val="20"/>
        </w:rPr>
        <w:t>rded as an equity method investment. In the third quarter of 2021, PennEast determined further development of the project was no longer viable and development of the project was ceased. As a result, we recorded an other-than-temporary impairment loss of $1</w:t>
      </w:r>
      <w:r>
        <w:rPr>
          <w:rFonts w:ascii="Arial" w:eastAsia="Times New Roman" w:hAnsi="Arial" w:cs="Arial"/>
          <w:color w:val="000000"/>
          <w:sz w:val="20"/>
          <w:szCs w:val="20"/>
        </w:rPr>
        <w:t>11 million on our investment for the year ended December 31, 2021 based on the estimated fair value of our share of the net assets. The carrying value of this investment as at December 31, 2021 and 2020 was $12 million and $116 million, respectively.</w:t>
      </w:r>
    </w:p>
    <w:p w:rsidR="00000000" w:rsidRDefault="001F1FC8">
      <w:pPr>
        <w:divId w:val="913704321"/>
        <w:rPr>
          <w:rFonts w:eastAsia="Times New Roman"/>
        </w:rPr>
      </w:pPr>
    </w:p>
    <w:p w:rsidR="00000000" w:rsidRDefault="001F1FC8">
      <w:pPr>
        <w:jc w:val="center"/>
        <w:divId w:val="477847175"/>
        <w:rPr>
          <w:rFonts w:eastAsia="Times New Roman"/>
        </w:rPr>
      </w:pPr>
      <w:r>
        <w:rPr>
          <w:rFonts w:ascii="Arial" w:eastAsia="Times New Roman" w:hAnsi="Arial" w:cs="Arial"/>
          <w:color w:val="000000"/>
          <w:sz w:val="20"/>
          <w:szCs w:val="20"/>
        </w:rPr>
        <w:t>134</w:t>
      </w:r>
    </w:p>
    <w:p w:rsidR="00000000" w:rsidRDefault="001F1FC8">
      <w:pPr>
        <w:rPr>
          <w:rFonts w:eastAsia="Times New Roman"/>
        </w:rPr>
      </w:pPr>
      <w:r>
        <w:rPr>
          <w:rFonts w:eastAsia="Times New Roman"/>
        </w:rPr>
        <w:pict>
          <v:rect id="_x0000_i1164" style="width:0;height:1.5pt" o:hralign="center" o:hrstd="t" o:hr="t" fillcolor="#a0a0a0" stroked="f"/>
        </w:pict>
      </w:r>
    </w:p>
    <w:p w:rsidR="00000000" w:rsidRDefault="001F1FC8">
      <w:pPr>
        <w:jc w:val="center"/>
        <w:divId w:val="568661435"/>
        <w:rPr>
          <w:rFonts w:eastAsia="Times New Roman"/>
        </w:rPr>
      </w:pPr>
    </w:p>
    <w:p w:rsidR="00000000" w:rsidRDefault="001F1FC8">
      <w:pPr>
        <w:divId w:val="707491803"/>
        <w:rPr>
          <w:rFonts w:eastAsia="Times New Roman"/>
        </w:rPr>
      </w:pPr>
      <w:r>
        <w:rPr>
          <w:rFonts w:ascii="Arial" w:eastAsia="Times New Roman" w:hAnsi="Arial" w:cs="Arial"/>
          <w:b/>
          <w:bCs/>
          <w:color w:val="000000"/>
          <w:sz w:val="20"/>
          <w:szCs w:val="20"/>
        </w:rPr>
        <w:t>Steckman Ridge, LP</w:t>
      </w:r>
    </w:p>
    <w:p w:rsidR="00000000" w:rsidRDefault="001F1FC8">
      <w:pPr>
        <w:divId w:val="1004552967"/>
        <w:rPr>
          <w:rFonts w:eastAsia="Times New Roman"/>
        </w:rPr>
      </w:pPr>
      <w:r>
        <w:rPr>
          <w:rFonts w:ascii="Arial" w:eastAsia="Times New Roman" w:hAnsi="Arial" w:cs="Arial"/>
          <w:color w:val="000000"/>
          <w:sz w:val="20"/>
          <w:szCs w:val="20"/>
        </w:rPr>
        <w:t>Steckman Ridge, LP (Steckman Ridge) is engaged in the storage of natural gas, is owned 50% by Enbridge and is recorded as an equity method investment. During the year ended December 31, 2020, Steck</w:t>
      </w:r>
      <w:r>
        <w:rPr>
          <w:rFonts w:ascii="Arial" w:eastAsia="Times New Roman" w:hAnsi="Arial" w:cs="Arial"/>
          <w:color w:val="000000"/>
          <w:sz w:val="20"/>
          <w:szCs w:val="20"/>
        </w:rPr>
        <w:t>man Ridge’s forecasted performance was adjusted for the expectation that future available capacity will be re-contracted at lower than expected rates and an other than temporary impairment loss on our investment of $221 million for the year ended December </w:t>
      </w:r>
      <w:r>
        <w:rPr>
          <w:rFonts w:ascii="Arial" w:eastAsia="Times New Roman" w:hAnsi="Arial" w:cs="Arial"/>
          <w:color w:val="000000"/>
          <w:sz w:val="20"/>
          <w:szCs w:val="20"/>
        </w:rPr>
        <w:t>31, 2020 was recorded based on a discounted cash flow analysis. The carrying value of this investment as at December 31, 2021 and 2020 was $88 million and $90 million, respectively.</w:t>
      </w:r>
    </w:p>
    <w:p w:rsidR="00000000" w:rsidRDefault="001F1FC8">
      <w:pPr>
        <w:divId w:val="293680322"/>
        <w:rPr>
          <w:rFonts w:eastAsia="Times New Roman"/>
        </w:rPr>
      </w:pPr>
    </w:p>
    <w:p w:rsidR="00000000" w:rsidRDefault="001F1FC8">
      <w:pPr>
        <w:divId w:val="50661015"/>
        <w:rPr>
          <w:rFonts w:eastAsia="Times New Roman"/>
        </w:rPr>
      </w:pPr>
      <w:r>
        <w:rPr>
          <w:rFonts w:ascii="Arial" w:eastAsia="Times New Roman" w:hAnsi="Arial" w:cs="Arial"/>
          <w:b/>
          <w:bCs/>
          <w:color w:val="000000"/>
          <w:sz w:val="20"/>
          <w:szCs w:val="20"/>
        </w:rPr>
        <w:t xml:space="preserve">Southeast Supply Header, L.L.C. </w:t>
      </w:r>
    </w:p>
    <w:p w:rsidR="00000000" w:rsidRDefault="001F1FC8">
      <w:pPr>
        <w:divId w:val="1392071136"/>
        <w:rPr>
          <w:rFonts w:eastAsia="Times New Roman"/>
        </w:rPr>
      </w:pPr>
      <w:r>
        <w:rPr>
          <w:rFonts w:ascii="Arial" w:eastAsia="Times New Roman" w:hAnsi="Arial" w:cs="Arial"/>
          <w:color w:val="000000"/>
          <w:sz w:val="20"/>
          <w:szCs w:val="20"/>
        </w:rPr>
        <w:t xml:space="preserve">Southeast Supply Header, L.L.C. (SESH) </w:t>
      </w:r>
      <w:r>
        <w:rPr>
          <w:rFonts w:ascii="Arial" w:eastAsia="Times New Roman" w:hAnsi="Arial" w:cs="Arial"/>
          <w:color w:val="000000"/>
          <w:sz w:val="20"/>
          <w:szCs w:val="20"/>
        </w:rPr>
        <w:t>provides natural gas transmission services from east Texas and northern Louisiana to the southeast markets of the Gulf Coast. SESH is owned 50% by Enbridge and is recorded as an equity method investment. The forecasted performance of SESH was revised durin</w:t>
      </w:r>
      <w:r>
        <w:rPr>
          <w:rFonts w:ascii="Arial" w:eastAsia="Times New Roman" w:hAnsi="Arial" w:cs="Arial"/>
          <w:color w:val="000000"/>
          <w:sz w:val="20"/>
          <w:szCs w:val="20"/>
        </w:rPr>
        <w:t>g the year ended December 31, 2020 to reflect downward revisions to future negotiated rates as well as higher than expected available capacity levels, caused primarily by a significant contract expiry. An other than temporary impairment loss on our investm</w:t>
      </w:r>
      <w:r>
        <w:rPr>
          <w:rFonts w:ascii="Arial" w:eastAsia="Times New Roman" w:hAnsi="Arial" w:cs="Arial"/>
          <w:color w:val="000000"/>
          <w:sz w:val="20"/>
          <w:szCs w:val="20"/>
        </w:rPr>
        <w:t>ent of $394 million for the year ended December 31, 2020 was recorded based on a discounted cash flow analysis. The carrying value of this investment as at December 31, 2021 and 2020 was $82 million and $84 million, respectively.</w:t>
      </w:r>
    </w:p>
    <w:p w:rsidR="00000000" w:rsidRDefault="001F1FC8">
      <w:pPr>
        <w:divId w:val="342896242"/>
        <w:rPr>
          <w:rFonts w:eastAsia="Times New Roman"/>
        </w:rPr>
      </w:pPr>
    </w:p>
    <w:p w:rsidR="00000000" w:rsidRDefault="001F1FC8">
      <w:pPr>
        <w:divId w:val="1659265264"/>
        <w:rPr>
          <w:rFonts w:eastAsia="Times New Roman"/>
        </w:rPr>
      </w:pPr>
      <w:r>
        <w:rPr>
          <w:rFonts w:ascii="Arial" w:eastAsia="Times New Roman" w:hAnsi="Arial" w:cs="Arial"/>
          <w:b/>
          <w:bCs/>
          <w:color w:val="000000"/>
          <w:sz w:val="20"/>
          <w:szCs w:val="20"/>
        </w:rPr>
        <w:t>DCP Midstream, LLC</w:t>
      </w:r>
    </w:p>
    <w:p w:rsidR="00000000" w:rsidRDefault="001F1FC8">
      <w:pPr>
        <w:divId w:val="2136679371"/>
        <w:rPr>
          <w:rFonts w:eastAsia="Times New Roman"/>
        </w:rPr>
      </w:pPr>
      <w:r>
        <w:rPr>
          <w:rFonts w:ascii="Arial" w:eastAsia="Times New Roman" w:hAnsi="Arial" w:cs="Arial"/>
          <w:color w:val="000000"/>
          <w:sz w:val="20"/>
          <w:szCs w:val="20"/>
        </w:rPr>
        <w:t xml:space="preserve">DCP Midstream, a 50% owned equity method investment of Enbridge, holds an equity interest in DCP Midstream, LP. A decline in the market price of DCP Midstream, LP’s publicly traded units during the first quarter of 2020 resulted in an other than temporary </w:t>
      </w:r>
      <w:r>
        <w:rPr>
          <w:rFonts w:ascii="Arial" w:eastAsia="Times New Roman" w:hAnsi="Arial" w:cs="Arial"/>
          <w:color w:val="000000"/>
          <w:sz w:val="20"/>
          <w:szCs w:val="20"/>
        </w:rPr>
        <w:t>impairment loss on our investment in DCP Midstream of $1.7 billion for the year ended December 31, 2020. In addition, we incurred losses of $324 million through our equity earnings pick up in relation to asset and goodwill impairment losses recorded by DCP</w:t>
      </w:r>
      <w:r>
        <w:rPr>
          <w:rFonts w:ascii="Arial" w:eastAsia="Times New Roman" w:hAnsi="Arial" w:cs="Arial"/>
          <w:color w:val="000000"/>
          <w:sz w:val="20"/>
          <w:szCs w:val="20"/>
        </w:rPr>
        <w:t xml:space="preserve"> Midstream, LP. The carrying value of our investment in DCP Midstream as at December 31, 2021 and 2020 was $397 million and $331 million, respectively.</w:t>
      </w:r>
    </w:p>
    <w:p w:rsidR="00000000" w:rsidRDefault="001F1FC8">
      <w:pPr>
        <w:divId w:val="856818875"/>
        <w:rPr>
          <w:rFonts w:eastAsia="Times New Roman"/>
        </w:rPr>
      </w:pPr>
    </w:p>
    <w:p w:rsidR="00000000" w:rsidRDefault="001F1FC8">
      <w:pPr>
        <w:divId w:val="49692951"/>
        <w:rPr>
          <w:rFonts w:eastAsia="Times New Roman"/>
        </w:rPr>
      </w:pPr>
      <w:r>
        <w:rPr>
          <w:rFonts w:ascii="Arial" w:eastAsia="Times New Roman" w:hAnsi="Arial" w:cs="Arial"/>
          <w:color w:val="000000"/>
          <w:sz w:val="20"/>
          <w:szCs w:val="20"/>
        </w:rPr>
        <w:t>Our investments in PennEast, Steckman, SESH and DCP Midstream form part of our Gas Transmission and Mi</w:t>
      </w:r>
      <w:r>
        <w:rPr>
          <w:rFonts w:ascii="Arial" w:eastAsia="Times New Roman" w:hAnsi="Arial" w:cs="Arial"/>
          <w:color w:val="000000"/>
          <w:sz w:val="20"/>
          <w:szCs w:val="20"/>
        </w:rPr>
        <w:t xml:space="preserve">dstream segment. The impairment losses were recorded within Impairment of Equity Investments in the Consolidated Statements of Earnings. </w:t>
      </w:r>
    </w:p>
    <w:p w:rsidR="00000000" w:rsidRDefault="001F1FC8">
      <w:pPr>
        <w:divId w:val="676153746"/>
        <w:rPr>
          <w:rFonts w:eastAsia="Times New Roman"/>
        </w:rPr>
      </w:pPr>
    </w:p>
    <w:p w:rsidR="00000000" w:rsidRDefault="001F1FC8">
      <w:pPr>
        <w:divId w:val="1991865752"/>
        <w:rPr>
          <w:rFonts w:eastAsia="Times New Roman"/>
        </w:rPr>
      </w:pPr>
      <w:r>
        <w:rPr>
          <w:rFonts w:ascii="Arial" w:eastAsia="Times New Roman" w:hAnsi="Arial" w:cs="Arial"/>
          <w:b/>
          <w:bCs/>
          <w:color w:val="000000"/>
          <w:sz w:val="26"/>
          <w:szCs w:val="26"/>
        </w:rPr>
        <w:t>14.  RESTRICTED LONG-TERM INVESTMENTS</w:t>
      </w:r>
    </w:p>
    <w:p w:rsidR="00000000" w:rsidRDefault="001F1FC8">
      <w:pPr>
        <w:divId w:val="1826241233"/>
        <w:rPr>
          <w:rFonts w:eastAsia="Times New Roman"/>
        </w:rPr>
      </w:pPr>
      <w:r>
        <w:rPr>
          <w:rFonts w:ascii="Arial" w:eastAsia="Times New Roman" w:hAnsi="Arial" w:cs="Arial"/>
          <w:color w:val="000000"/>
          <w:sz w:val="20"/>
          <w:szCs w:val="20"/>
        </w:rPr>
        <w:t> </w:t>
      </w:r>
    </w:p>
    <w:p w:rsidR="00000000" w:rsidRDefault="001F1FC8">
      <w:pPr>
        <w:divId w:val="1938171706"/>
        <w:rPr>
          <w:rFonts w:eastAsia="Times New Roman"/>
        </w:rPr>
      </w:pPr>
      <w:r>
        <w:rPr>
          <w:rFonts w:ascii="Arial" w:eastAsia="Times New Roman" w:hAnsi="Arial" w:cs="Arial"/>
          <w:color w:val="000000"/>
          <w:sz w:val="20"/>
          <w:szCs w:val="20"/>
        </w:rPr>
        <w:t>Effective January 1, 2015, we began collecting and setting aside funds to co</w:t>
      </w:r>
      <w:r>
        <w:rPr>
          <w:rFonts w:ascii="Arial" w:eastAsia="Times New Roman" w:hAnsi="Arial" w:cs="Arial"/>
          <w:color w:val="000000"/>
          <w:sz w:val="20"/>
          <w:szCs w:val="20"/>
        </w:rPr>
        <w:t>ver future pipeline abandonment costs for all CER regulated pipelines as a result of the CER’s regulatory requirements under LMCI. The funds collected are held in trusts in accordance with the CER decision. The funds collected from shippers are reported wi</w:t>
      </w:r>
      <w:r>
        <w:rPr>
          <w:rFonts w:ascii="Arial" w:eastAsia="Times New Roman" w:hAnsi="Arial" w:cs="Arial"/>
          <w:color w:val="000000"/>
          <w:sz w:val="20"/>
          <w:szCs w:val="20"/>
        </w:rPr>
        <w:t>thin Transportation and other services revenues on the Consolidated Statements of Earnings and Restricted long-term investments on the Consolidated Statements of Financial Position. Concurrently, we reflect the future abandonment cost as an increase to Ope</w:t>
      </w:r>
      <w:r>
        <w:rPr>
          <w:rFonts w:ascii="Arial" w:eastAsia="Times New Roman" w:hAnsi="Arial" w:cs="Arial"/>
          <w:color w:val="000000"/>
          <w:sz w:val="20"/>
          <w:szCs w:val="20"/>
        </w:rPr>
        <w:t>rating and administrative expense on the Consolidated Statements of Earnings and Other long-term liabilities on the Consolidated Statements of Financial Position.</w:t>
      </w:r>
    </w:p>
    <w:p w:rsidR="00000000" w:rsidRDefault="001F1FC8">
      <w:pPr>
        <w:divId w:val="1708409431"/>
        <w:rPr>
          <w:rFonts w:eastAsia="Times New Roman"/>
        </w:rPr>
      </w:pPr>
    </w:p>
    <w:p w:rsidR="00000000" w:rsidRDefault="001F1FC8">
      <w:pPr>
        <w:jc w:val="center"/>
        <w:divId w:val="757096833"/>
        <w:rPr>
          <w:rFonts w:eastAsia="Times New Roman"/>
        </w:rPr>
      </w:pPr>
      <w:r>
        <w:rPr>
          <w:rFonts w:ascii="Arial" w:eastAsia="Times New Roman" w:hAnsi="Arial" w:cs="Arial"/>
          <w:color w:val="000000"/>
          <w:sz w:val="20"/>
          <w:szCs w:val="20"/>
        </w:rPr>
        <w:t>135</w:t>
      </w:r>
    </w:p>
    <w:p w:rsidR="00000000" w:rsidRDefault="001F1FC8">
      <w:pPr>
        <w:rPr>
          <w:rFonts w:eastAsia="Times New Roman"/>
        </w:rPr>
      </w:pPr>
      <w:r>
        <w:rPr>
          <w:rFonts w:eastAsia="Times New Roman"/>
        </w:rPr>
        <w:pict>
          <v:rect id="_x0000_i1165" style="width:0;height:1.5pt" o:hralign="center" o:hrstd="t" o:hr="t" fillcolor="#a0a0a0" stroked="f"/>
        </w:pict>
      </w:r>
    </w:p>
    <w:p w:rsidR="00000000" w:rsidRDefault="001F1FC8">
      <w:pPr>
        <w:jc w:val="center"/>
        <w:divId w:val="2034107930"/>
        <w:rPr>
          <w:rFonts w:eastAsia="Times New Roman"/>
        </w:rPr>
      </w:pPr>
    </w:p>
    <w:p w:rsidR="00000000" w:rsidRDefault="001F1FC8">
      <w:pPr>
        <w:divId w:val="661354197"/>
        <w:rPr>
          <w:rFonts w:eastAsia="Times New Roman"/>
        </w:rPr>
      </w:pPr>
      <w:r>
        <w:rPr>
          <w:rFonts w:ascii="Arial" w:eastAsia="Times New Roman" w:hAnsi="Arial" w:cs="Arial"/>
          <w:color w:val="000000"/>
          <w:sz w:val="20"/>
          <w:szCs w:val="20"/>
        </w:rPr>
        <w:t>We routinely invest excess cash and various rest</w:t>
      </w:r>
      <w:r>
        <w:rPr>
          <w:rFonts w:ascii="Arial" w:eastAsia="Times New Roman" w:hAnsi="Arial" w:cs="Arial"/>
          <w:color w:val="000000"/>
          <w:sz w:val="20"/>
          <w:szCs w:val="20"/>
        </w:rPr>
        <w:t>ricted balances in securities such as commercial paper, bankers acceptances, corporate debt securities, Canadian equity securities, treasury bills and money market securities in the US and Canada.</w:t>
      </w:r>
    </w:p>
    <w:p w:rsidR="00000000" w:rsidRDefault="001F1FC8">
      <w:pPr>
        <w:divId w:val="1891335844"/>
        <w:rPr>
          <w:rFonts w:eastAsia="Times New Roman"/>
        </w:rPr>
      </w:pPr>
    </w:p>
    <w:p w:rsidR="00000000" w:rsidRDefault="001F1FC8">
      <w:pPr>
        <w:divId w:val="2053068416"/>
        <w:rPr>
          <w:rFonts w:eastAsia="Times New Roman"/>
        </w:rPr>
      </w:pPr>
      <w:r>
        <w:rPr>
          <w:rFonts w:ascii="Arial" w:eastAsia="Times New Roman" w:hAnsi="Arial" w:cs="Arial"/>
          <w:color w:val="000000"/>
          <w:sz w:val="20"/>
          <w:szCs w:val="20"/>
        </w:rPr>
        <w:t>As at December 31, 2021 and 2020, we had restricted long-</w:t>
      </w:r>
      <w:r>
        <w:rPr>
          <w:rFonts w:ascii="Arial" w:eastAsia="Times New Roman" w:hAnsi="Arial" w:cs="Arial"/>
          <w:color w:val="000000"/>
          <w:sz w:val="20"/>
          <w:szCs w:val="20"/>
        </w:rPr>
        <w:t>term investments held in trust and classified as available-for-sale of $630 million and $553 million, respectively. The cost basis of our debt securities classified as available-for-sale and recorded as part of our restricted long-term investment balance w</w:t>
      </w:r>
      <w:r>
        <w:rPr>
          <w:rFonts w:ascii="Arial" w:eastAsia="Times New Roman" w:hAnsi="Arial" w:cs="Arial"/>
          <w:color w:val="000000"/>
          <w:sz w:val="20"/>
          <w:szCs w:val="20"/>
        </w:rPr>
        <w:t xml:space="preserve">as $383 million and $322 million as at December 31, 2021 and 2020, respectively. Within Other long-term liabilities we had estimated future abandonment costs related to LMCI of $649 million and $578 million as at December 31, 2021 and 2020, respectively </w:t>
      </w:r>
      <w:r>
        <w:rPr>
          <w:rFonts w:ascii="Arial" w:eastAsia="Times New Roman" w:hAnsi="Arial" w:cs="Arial"/>
          <w:i/>
          <w:iCs/>
          <w:color w:val="000000"/>
          <w:sz w:val="16"/>
          <w:szCs w:val="16"/>
        </w:rPr>
        <w:t>(N</w:t>
      </w:r>
      <w:r>
        <w:rPr>
          <w:rFonts w:ascii="Arial" w:eastAsia="Times New Roman" w:hAnsi="Arial" w:cs="Arial"/>
          <w:i/>
          <w:iCs/>
          <w:color w:val="000000"/>
          <w:sz w:val="16"/>
          <w:szCs w:val="16"/>
        </w:rPr>
        <w:t>ote 7)</w:t>
      </w:r>
      <w:r>
        <w:rPr>
          <w:rFonts w:ascii="Arial" w:eastAsia="Times New Roman" w:hAnsi="Arial" w:cs="Arial"/>
          <w:color w:val="000000"/>
          <w:sz w:val="20"/>
          <w:szCs w:val="20"/>
        </w:rPr>
        <w:t>.</w:t>
      </w:r>
    </w:p>
    <w:p w:rsidR="00000000" w:rsidRDefault="001F1FC8">
      <w:pPr>
        <w:divId w:val="209195268"/>
        <w:rPr>
          <w:rFonts w:eastAsia="Times New Roman"/>
        </w:rPr>
      </w:pPr>
    </w:p>
    <w:p w:rsidR="00000000" w:rsidRDefault="001F1FC8">
      <w:pPr>
        <w:divId w:val="1615405667"/>
        <w:rPr>
          <w:rFonts w:eastAsia="Times New Roman"/>
        </w:rPr>
      </w:pPr>
      <w:r>
        <w:rPr>
          <w:rFonts w:ascii="Arial" w:eastAsia="Times New Roman" w:hAnsi="Arial" w:cs="Arial"/>
          <w:b/>
          <w:bCs/>
          <w:color w:val="000000"/>
          <w:sz w:val="26"/>
          <w:szCs w:val="26"/>
          <w:shd w:val="clear" w:color="auto" w:fill="FFFFFF"/>
        </w:rPr>
        <w:t>15.  INTANGIBLE ASSETS</w:t>
      </w:r>
    </w:p>
    <w:tbl>
      <w:tblPr>
        <w:tblW w:w="5000" w:type="pct"/>
        <w:tblCellMar>
          <w:top w:w="15" w:type="dxa"/>
          <w:left w:w="15" w:type="dxa"/>
          <w:bottom w:w="15" w:type="dxa"/>
          <w:right w:w="15" w:type="dxa"/>
        </w:tblCellMar>
        <w:tblLook w:val="04A0" w:firstRow="1" w:lastRow="0" w:firstColumn="1" w:lastColumn="0" w:noHBand="0" w:noVBand="1"/>
      </w:tblPr>
      <w:tblGrid>
        <w:gridCol w:w="40"/>
        <w:gridCol w:w="2941"/>
        <w:gridCol w:w="38"/>
        <w:gridCol w:w="55"/>
        <w:gridCol w:w="1607"/>
        <w:gridCol w:w="199"/>
        <w:gridCol w:w="42"/>
        <w:gridCol w:w="1022"/>
        <w:gridCol w:w="36"/>
        <w:gridCol w:w="86"/>
        <w:gridCol w:w="1103"/>
        <w:gridCol w:w="36"/>
        <w:gridCol w:w="42"/>
        <w:gridCol w:w="1023"/>
        <w:gridCol w:w="36"/>
      </w:tblGrid>
      <w:tr w:rsidR="00000000">
        <w:trPr>
          <w:divId w:val="2138257284"/>
        </w:trPr>
        <w:tc>
          <w:tcPr>
            <w:tcW w:w="50" w:type="pct"/>
            <w:vAlign w:val="center"/>
            <w:hideMark/>
          </w:tcPr>
          <w:p w:rsidR="00000000" w:rsidRDefault="001F1FC8">
            <w:pPr>
              <w:rPr>
                <w:rFonts w:eastAsia="Times New Roman"/>
              </w:rPr>
            </w:pPr>
          </w:p>
        </w:tc>
        <w:tc>
          <w:tcPr>
            <w:tcW w:w="1795"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c>
          <w:tcPr>
            <w:tcW w:w="50" w:type="pct"/>
            <w:vAlign w:val="center"/>
            <w:hideMark/>
          </w:tcPr>
          <w:p w:rsidR="00000000" w:rsidRDefault="001F1FC8">
            <w:pPr>
              <w:rPr>
                <w:rFonts w:eastAsia="Times New Roman"/>
                <w:sz w:val="20"/>
                <w:szCs w:val="20"/>
              </w:rPr>
            </w:pPr>
          </w:p>
        </w:tc>
        <w:tc>
          <w:tcPr>
            <w:tcW w:w="1002"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c>
          <w:tcPr>
            <w:tcW w:w="50" w:type="pct"/>
            <w:vAlign w:val="center"/>
            <w:hideMark/>
          </w:tcPr>
          <w:p w:rsidR="00000000" w:rsidRDefault="001F1FC8">
            <w:pPr>
              <w:rPr>
                <w:rFonts w:eastAsia="Times New Roman"/>
                <w:sz w:val="20"/>
                <w:szCs w:val="20"/>
              </w:rPr>
            </w:pPr>
          </w:p>
        </w:tc>
        <w:tc>
          <w:tcPr>
            <w:tcW w:w="642"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c>
          <w:tcPr>
            <w:tcW w:w="50" w:type="pct"/>
            <w:vAlign w:val="center"/>
            <w:hideMark/>
          </w:tcPr>
          <w:p w:rsidR="00000000" w:rsidRDefault="001F1FC8">
            <w:pPr>
              <w:rPr>
                <w:rFonts w:eastAsia="Times New Roman"/>
                <w:sz w:val="20"/>
                <w:szCs w:val="20"/>
              </w:rPr>
            </w:pPr>
          </w:p>
        </w:tc>
        <w:tc>
          <w:tcPr>
            <w:tcW w:w="642"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c>
          <w:tcPr>
            <w:tcW w:w="50" w:type="pct"/>
            <w:vAlign w:val="center"/>
            <w:hideMark/>
          </w:tcPr>
          <w:p w:rsidR="00000000" w:rsidRDefault="001F1FC8">
            <w:pPr>
              <w:rPr>
                <w:rFonts w:eastAsia="Times New Roman"/>
                <w:sz w:val="20"/>
                <w:szCs w:val="20"/>
              </w:rPr>
            </w:pPr>
          </w:p>
        </w:tc>
        <w:tc>
          <w:tcPr>
            <w:tcW w:w="642"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r>
      <w:tr w:rsidR="00000000">
        <w:trPr>
          <w:divId w:val="2138257284"/>
        </w:trPr>
        <w:tc>
          <w:tcPr>
            <w:tcW w:w="0" w:type="auto"/>
            <w:gridSpan w:val="3"/>
            <w:tcMar>
              <w:top w:w="30" w:type="dxa"/>
              <w:left w:w="20" w:type="dxa"/>
              <w:bottom w:w="30" w:type="dxa"/>
              <w:right w:w="20" w:type="dxa"/>
            </w:tcMar>
            <w:vAlign w:val="center"/>
            <w:hideMark/>
          </w:tcPr>
          <w:p w:rsidR="00000000" w:rsidRDefault="001F1FC8">
            <w:pPr>
              <w:rPr>
                <w:rFonts w:eastAsia="Times New Roman"/>
              </w:rPr>
            </w:pPr>
            <w:r>
              <w:rPr>
                <w:rFonts w:ascii="Arial" w:eastAsia="Times New Roman" w:hAnsi="Arial" w:cs="Arial"/>
                <w:color w:val="000000"/>
                <w:sz w:val="2"/>
                <w:szCs w:val="2"/>
              </w:rPr>
              <w:t> </w:t>
            </w:r>
          </w:p>
        </w:tc>
        <w:tc>
          <w:tcPr>
            <w:tcW w:w="0" w:type="auto"/>
            <w:gridSpan w:val="3"/>
            <w:tcMar>
              <w:top w:w="30" w:type="dxa"/>
              <w:left w:w="20" w:type="dxa"/>
              <w:bottom w:w="30" w:type="dxa"/>
              <w:right w:w="20" w:type="dxa"/>
            </w:tcMar>
            <w:vAlign w:val="center"/>
            <w:hideMark/>
          </w:tcPr>
          <w:p w:rsidR="00000000" w:rsidRDefault="001F1FC8">
            <w:pPr>
              <w:jc w:val="right"/>
              <w:rPr>
                <w:rFonts w:eastAsia="Times New Roman"/>
              </w:rPr>
            </w:pPr>
            <w:r>
              <w:rPr>
                <w:rFonts w:ascii="Arial" w:eastAsia="Times New Roman" w:hAnsi="Arial" w:cs="Arial"/>
                <w:color w:val="000000"/>
                <w:sz w:val="20"/>
                <w:szCs w:val="20"/>
              </w:rPr>
              <w:t>Weighted Average</w:t>
            </w:r>
          </w:p>
        </w:tc>
        <w:tc>
          <w:tcPr>
            <w:tcW w:w="0" w:type="auto"/>
            <w:gridSpan w:val="3"/>
            <w:tcMar>
              <w:top w:w="30" w:type="dxa"/>
              <w:left w:w="20" w:type="dxa"/>
              <w:bottom w:w="30" w:type="dxa"/>
              <w:right w:w="20" w:type="dxa"/>
            </w:tcMar>
            <w:vAlign w:val="center"/>
            <w:hideMark/>
          </w:tcPr>
          <w:p w:rsidR="00000000" w:rsidRDefault="001F1FC8">
            <w:pPr>
              <w:jc w:val="right"/>
              <w:rPr>
                <w:rFonts w:eastAsia="Times New Roman"/>
              </w:rPr>
            </w:pPr>
            <w:r>
              <w:rPr>
                <w:rFonts w:ascii="Arial" w:eastAsia="Times New Roman" w:hAnsi="Arial" w:cs="Arial"/>
                <w:color w:val="000000"/>
                <w:sz w:val="2"/>
                <w:szCs w:val="2"/>
              </w:rPr>
              <w:t> </w:t>
            </w:r>
          </w:p>
        </w:tc>
        <w:tc>
          <w:tcPr>
            <w:tcW w:w="0" w:type="auto"/>
            <w:gridSpan w:val="3"/>
            <w:tcMar>
              <w:top w:w="30" w:type="dxa"/>
              <w:left w:w="20" w:type="dxa"/>
              <w:bottom w:w="30" w:type="dxa"/>
              <w:right w:w="20" w:type="dxa"/>
            </w:tcMar>
            <w:vAlign w:val="center"/>
            <w:hideMark/>
          </w:tcPr>
          <w:p w:rsidR="00000000" w:rsidRDefault="001F1FC8">
            <w:pPr>
              <w:jc w:val="right"/>
              <w:rPr>
                <w:rFonts w:eastAsia="Times New Roman"/>
              </w:rPr>
            </w:pPr>
            <w:r>
              <w:rPr>
                <w:rFonts w:ascii="Arial" w:eastAsia="Times New Roman" w:hAnsi="Arial" w:cs="Arial"/>
                <w:color w:val="000000"/>
                <w:sz w:val="20"/>
                <w:szCs w:val="20"/>
              </w:rPr>
              <w:t>Accumulated</w:t>
            </w:r>
          </w:p>
        </w:tc>
        <w:tc>
          <w:tcPr>
            <w:tcW w:w="0" w:type="auto"/>
            <w:gridSpan w:val="3"/>
            <w:tcMar>
              <w:top w:w="30" w:type="dxa"/>
              <w:left w:w="20" w:type="dxa"/>
              <w:bottom w:w="30" w:type="dxa"/>
              <w:right w:w="20" w:type="dxa"/>
            </w:tcMar>
            <w:vAlign w:val="center"/>
            <w:hideMark/>
          </w:tcPr>
          <w:p w:rsidR="00000000" w:rsidRDefault="001F1FC8">
            <w:pPr>
              <w:jc w:val="right"/>
              <w:rPr>
                <w:rFonts w:eastAsia="Times New Roman"/>
              </w:rPr>
            </w:pPr>
            <w:r>
              <w:rPr>
                <w:rFonts w:ascii="Arial" w:eastAsia="Times New Roman" w:hAnsi="Arial" w:cs="Arial"/>
                <w:color w:val="000000"/>
                <w:sz w:val="2"/>
                <w:szCs w:val="2"/>
              </w:rPr>
              <w:t> </w:t>
            </w:r>
          </w:p>
        </w:tc>
      </w:tr>
      <w:tr w:rsidR="00000000">
        <w:trPr>
          <w:divId w:val="2138257284"/>
        </w:trPr>
        <w:tc>
          <w:tcPr>
            <w:tcW w:w="0" w:type="auto"/>
            <w:gridSpan w:val="3"/>
            <w:tcMar>
              <w:top w:w="30" w:type="dxa"/>
              <w:left w:w="20" w:type="dxa"/>
              <w:bottom w:w="30" w:type="dxa"/>
              <w:right w:w="20" w:type="dxa"/>
            </w:tcMar>
            <w:vAlign w:val="center"/>
            <w:hideMark/>
          </w:tcPr>
          <w:p w:rsidR="00000000" w:rsidRDefault="001F1FC8">
            <w:pPr>
              <w:rPr>
                <w:rFonts w:eastAsia="Times New Roman"/>
              </w:rPr>
            </w:pPr>
            <w:r>
              <w:rPr>
                <w:rFonts w:ascii="Arial" w:eastAsia="Times New Roman" w:hAnsi="Arial" w:cs="Arial"/>
                <w:b/>
                <w:bCs/>
                <w:color w:val="000000"/>
                <w:sz w:val="20"/>
                <w:szCs w:val="20"/>
              </w:rPr>
              <w:t>December 31, 2021</w:t>
            </w:r>
          </w:p>
        </w:tc>
        <w:tc>
          <w:tcPr>
            <w:tcW w:w="0" w:type="auto"/>
            <w:gridSpan w:val="3"/>
            <w:tcMar>
              <w:top w:w="30" w:type="dxa"/>
              <w:left w:w="20" w:type="dxa"/>
              <w:bottom w:w="30" w:type="dxa"/>
              <w:right w:w="20" w:type="dxa"/>
            </w:tcMar>
            <w:vAlign w:val="center"/>
            <w:hideMark/>
          </w:tcPr>
          <w:p w:rsidR="00000000" w:rsidRDefault="001F1FC8">
            <w:pPr>
              <w:jc w:val="right"/>
              <w:rPr>
                <w:rFonts w:eastAsia="Times New Roman"/>
              </w:rPr>
            </w:pPr>
            <w:r>
              <w:rPr>
                <w:rFonts w:ascii="Arial" w:eastAsia="Times New Roman" w:hAnsi="Arial" w:cs="Arial"/>
                <w:color w:val="000000"/>
                <w:sz w:val="20"/>
                <w:szCs w:val="20"/>
              </w:rPr>
              <w:t>Amortization Rate</w:t>
            </w:r>
          </w:p>
        </w:tc>
        <w:tc>
          <w:tcPr>
            <w:tcW w:w="0" w:type="auto"/>
            <w:gridSpan w:val="3"/>
            <w:tcMar>
              <w:top w:w="30" w:type="dxa"/>
              <w:left w:w="20" w:type="dxa"/>
              <w:bottom w:w="30" w:type="dxa"/>
              <w:right w:w="20" w:type="dxa"/>
            </w:tcMar>
            <w:vAlign w:val="center"/>
            <w:hideMark/>
          </w:tcPr>
          <w:p w:rsidR="00000000" w:rsidRDefault="001F1FC8">
            <w:pPr>
              <w:jc w:val="right"/>
              <w:rPr>
                <w:rFonts w:eastAsia="Times New Roman"/>
              </w:rPr>
            </w:pPr>
            <w:r>
              <w:rPr>
                <w:rFonts w:ascii="Arial" w:eastAsia="Times New Roman" w:hAnsi="Arial" w:cs="Arial"/>
                <w:color w:val="000000"/>
                <w:sz w:val="20"/>
                <w:szCs w:val="20"/>
              </w:rPr>
              <w:t>Cost </w:t>
            </w:r>
          </w:p>
        </w:tc>
        <w:tc>
          <w:tcPr>
            <w:tcW w:w="0" w:type="auto"/>
            <w:gridSpan w:val="3"/>
            <w:tcMar>
              <w:top w:w="30" w:type="dxa"/>
              <w:left w:w="20" w:type="dxa"/>
              <w:bottom w:w="30" w:type="dxa"/>
              <w:right w:w="20" w:type="dxa"/>
            </w:tcMar>
            <w:vAlign w:val="center"/>
            <w:hideMark/>
          </w:tcPr>
          <w:p w:rsidR="00000000" w:rsidRDefault="001F1FC8">
            <w:pPr>
              <w:jc w:val="right"/>
              <w:rPr>
                <w:rFonts w:eastAsia="Times New Roman"/>
              </w:rPr>
            </w:pPr>
            <w:r>
              <w:rPr>
                <w:rFonts w:ascii="Arial" w:eastAsia="Times New Roman" w:hAnsi="Arial" w:cs="Arial"/>
                <w:color w:val="000000"/>
                <w:sz w:val="20"/>
                <w:szCs w:val="20"/>
              </w:rPr>
              <w:t>Amortization</w:t>
            </w:r>
          </w:p>
        </w:tc>
        <w:tc>
          <w:tcPr>
            <w:tcW w:w="0" w:type="auto"/>
            <w:gridSpan w:val="3"/>
            <w:tcMar>
              <w:top w:w="30" w:type="dxa"/>
              <w:left w:w="20" w:type="dxa"/>
              <w:bottom w:w="30" w:type="dxa"/>
              <w:right w:w="20" w:type="dxa"/>
            </w:tcMar>
            <w:vAlign w:val="center"/>
            <w:hideMark/>
          </w:tcPr>
          <w:p w:rsidR="00000000" w:rsidRDefault="001F1FC8">
            <w:pPr>
              <w:jc w:val="right"/>
              <w:rPr>
                <w:rFonts w:eastAsia="Times New Roman"/>
              </w:rPr>
            </w:pPr>
            <w:r>
              <w:rPr>
                <w:rFonts w:ascii="Arial" w:eastAsia="Times New Roman" w:hAnsi="Arial" w:cs="Arial"/>
                <w:color w:val="000000"/>
                <w:sz w:val="20"/>
                <w:szCs w:val="20"/>
              </w:rPr>
              <w:t>Net</w:t>
            </w:r>
          </w:p>
        </w:tc>
      </w:tr>
      <w:tr w:rsidR="00000000">
        <w:trPr>
          <w:divId w:val="2138257284"/>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1F1FC8">
            <w:pPr>
              <w:rPr>
                <w:rFonts w:eastAsia="Times New Roman"/>
              </w:rPr>
            </w:pPr>
            <w:r>
              <w:rPr>
                <w:rFonts w:ascii="Arial" w:eastAsia="Times New Roman" w:hAnsi="Arial" w:cs="Arial"/>
                <w:i/>
                <w:iCs/>
                <w:color w:val="000000"/>
                <w:sz w:val="16"/>
                <w:szCs w:val="16"/>
              </w:rPr>
              <w:t>(millions of Canadian dollars)</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1F1FC8">
            <w:pPr>
              <w:jc w:val="right"/>
              <w:rPr>
                <w:rFonts w:eastAsia="Times New Roman"/>
              </w:rPr>
            </w:pPr>
            <w:r>
              <w:rPr>
                <w:rFonts w:ascii="Arial" w:eastAsia="Times New Roman" w:hAnsi="Arial" w:cs="Arial"/>
                <w:color w:val="000000"/>
                <w:sz w:val="2"/>
                <w:szCs w:val="2"/>
              </w:rPr>
              <w:t> </w:t>
            </w:r>
          </w:p>
        </w:tc>
        <w:tc>
          <w:tcPr>
            <w:tcW w:w="0" w:type="auto"/>
            <w:gridSpan w:val="3"/>
            <w:tcBorders>
              <w:top w:val="single" w:sz="4" w:space="0" w:color="000000"/>
            </w:tcBorders>
            <w:shd w:val="clear" w:color="auto" w:fill="D9D9D9"/>
            <w:tcMar>
              <w:top w:w="30" w:type="dxa"/>
              <w:left w:w="20" w:type="dxa"/>
              <w:bottom w:w="30" w:type="dxa"/>
              <w:right w:w="20" w:type="dxa"/>
            </w:tcMar>
            <w:vAlign w:val="center"/>
            <w:hideMark/>
          </w:tcPr>
          <w:p w:rsidR="00000000" w:rsidRDefault="001F1FC8">
            <w:pPr>
              <w:jc w:val="right"/>
              <w:rPr>
                <w:rFonts w:eastAsia="Times New Roman"/>
              </w:rPr>
            </w:pPr>
            <w:r>
              <w:rPr>
                <w:rFonts w:ascii="Arial" w:eastAsia="Times New Roman" w:hAnsi="Arial" w:cs="Arial"/>
                <w:color w:val="000000"/>
                <w:sz w:val="2"/>
                <w:szCs w:val="2"/>
              </w:rPr>
              <w:t> </w:t>
            </w:r>
          </w:p>
        </w:tc>
        <w:tc>
          <w:tcPr>
            <w:tcW w:w="0" w:type="auto"/>
            <w:gridSpan w:val="3"/>
            <w:tcBorders>
              <w:top w:val="single" w:sz="4" w:space="0" w:color="000000"/>
            </w:tcBorders>
            <w:shd w:val="clear" w:color="auto" w:fill="D9D9D9"/>
            <w:tcMar>
              <w:top w:w="30" w:type="dxa"/>
              <w:left w:w="20" w:type="dxa"/>
              <w:bottom w:w="30" w:type="dxa"/>
              <w:right w:w="20" w:type="dxa"/>
            </w:tcMar>
            <w:vAlign w:val="center"/>
            <w:hideMark/>
          </w:tcPr>
          <w:p w:rsidR="00000000" w:rsidRDefault="001F1FC8">
            <w:pPr>
              <w:jc w:val="right"/>
              <w:rPr>
                <w:rFonts w:eastAsia="Times New Roman"/>
              </w:rPr>
            </w:pPr>
            <w:r>
              <w:rPr>
                <w:rFonts w:ascii="Arial" w:eastAsia="Times New Roman" w:hAnsi="Arial" w:cs="Arial"/>
                <w:color w:val="000000"/>
                <w:sz w:val="2"/>
                <w:szCs w:val="2"/>
              </w:rPr>
              <w:t> </w:t>
            </w:r>
          </w:p>
        </w:tc>
        <w:tc>
          <w:tcPr>
            <w:tcW w:w="0" w:type="auto"/>
            <w:gridSpan w:val="3"/>
            <w:tcBorders>
              <w:top w:val="single" w:sz="4" w:space="0" w:color="000000"/>
            </w:tcBorders>
            <w:shd w:val="clear" w:color="auto" w:fill="D9D9D9"/>
            <w:tcMar>
              <w:top w:w="30" w:type="dxa"/>
              <w:left w:w="20" w:type="dxa"/>
              <w:bottom w:w="30" w:type="dxa"/>
              <w:right w:w="20" w:type="dxa"/>
            </w:tcMar>
            <w:vAlign w:val="center"/>
            <w:hideMark/>
          </w:tcPr>
          <w:p w:rsidR="00000000" w:rsidRDefault="001F1FC8">
            <w:pPr>
              <w:jc w:val="right"/>
              <w:rPr>
                <w:rFonts w:eastAsia="Times New Roman"/>
              </w:rPr>
            </w:pPr>
            <w:r>
              <w:rPr>
                <w:rFonts w:ascii="Arial" w:eastAsia="Times New Roman" w:hAnsi="Arial" w:cs="Arial"/>
                <w:color w:val="000000"/>
                <w:sz w:val="2"/>
                <w:szCs w:val="2"/>
              </w:rPr>
              <w:t> </w:t>
            </w:r>
          </w:p>
        </w:tc>
      </w:tr>
      <w:tr w:rsidR="00000000">
        <w:trPr>
          <w:divId w:val="2138257284"/>
        </w:trPr>
        <w:tc>
          <w:tcPr>
            <w:tcW w:w="0" w:type="auto"/>
            <w:gridSpan w:val="3"/>
            <w:tcMar>
              <w:top w:w="30" w:type="dxa"/>
              <w:left w:w="20" w:type="dxa"/>
              <w:bottom w:w="30" w:type="dxa"/>
              <w:right w:w="20" w:type="dxa"/>
            </w:tcMar>
            <w:vAlign w:val="center"/>
            <w:hideMark/>
          </w:tcPr>
          <w:p w:rsidR="00000000" w:rsidRDefault="001F1FC8">
            <w:pPr>
              <w:rPr>
                <w:rFonts w:eastAsia="Times New Roman"/>
              </w:rPr>
            </w:pPr>
            <w:r>
              <w:rPr>
                <w:rFonts w:ascii="Arial" w:eastAsia="Times New Roman" w:hAnsi="Arial" w:cs="Arial"/>
                <w:color w:val="000000"/>
                <w:sz w:val="20"/>
                <w:szCs w:val="20"/>
              </w:rPr>
              <w:t>Software</w:t>
            </w:r>
          </w:p>
        </w:tc>
        <w:tc>
          <w:tcPr>
            <w:tcW w:w="0" w:type="auto"/>
            <w:gridSpan w:val="2"/>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20"/>
                <w:szCs w:val="20"/>
              </w:rPr>
              <w:t>12.0 </w:t>
            </w:r>
          </w:p>
        </w:tc>
        <w:tc>
          <w:tcPr>
            <w:tcW w:w="0" w:type="auto"/>
            <w:tcMar>
              <w:top w:w="30" w:type="dxa"/>
              <w:left w:w="0" w:type="dxa"/>
              <w:bottom w:w="30" w:type="dxa"/>
              <w:right w:w="20" w:type="dxa"/>
            </w:tcMar>
            <w:vAlign w:val="center"/>
            <w:hideMark/>
          </w:tcPr>
          <w:p w:rsidR="00000000" w:rsidRDefault="001F1FC8">
            <w:pPr>
              <w:jc w:val="right"/>
              <w:rPr>
                <w:rFonts w:eastAsia="Times New Roman"/>
              </w:rPr>
            </w:pPr>
            <w:r>
              <w:rPr>
                <w:rFonts w:ascii="Arial" w:eastAsia="Times New Roman" w:hAnsi="Arial" w:cs="Arial"/>
                <w:color w:val="000000"/>
                <w:sz w:val="20"/>
                <w:szCs w:val="20"/>
              </w:rPr>
              <w:t>%</w:t>
            </w:r>
          </w:p>
        </w:tc>
        <w:tc>
          <w:tcPr>
            <w:tcW w:w="0" w:type="auto"/>
            <w:gridSpan w:val="2"/>
            <w:shd w:val="clear" w:color="auto" w:fill="D9D9D9"/>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b/>
                <w:bCs/>
                <w:color w:val="000000"/>
                <w:sz w:val="20"/>
                <w:szCs w:val="20"/>
              </w:rPr>
              <w:t>2,067</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b/>
                <w:bCs/>
                <w:color w:val="000000"/>
                <w:sz w:val="20"/>
                <w:szCs w:val="20"/>
              </w:rPr>
              <w:t>(1,148)</w:t>
            </w:r>
          </w:p>
        </w:tc>
        <w:tc>
          <w:tcPr>
            <w:tcW w:w="0" w:type="auto"/>
            <w:shd w:val="clear" w:color="auto" w:fill="D9D9D9"/>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b/>
                <w:bCs/>
                <w:color w:val="000000"/>
                <w:sz w:val="20"/>
                <w:szCs w:val="20"/>
              </w:rPr>
              <w:t>919</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1F1FC8">
            <w:pPr>
              <w:jc w:val="right"/>
              <w:rPr>
                <w:rFonts w:eastAsia="Times New Roman"/>
              </w:rPr>
            </w:pPr>
          </w:p>
        </w:tc>
      </w:tr>
      <w:tr w:rsidR="00000000">
        <w:trPr>
          <w:divId w:val="2138257284"/>
        </w:trPr>
        <w:tc>
          <w:tcPr>
            <w:tcW w:w="0" w:type="auto"/>
            <w:gridSpan w:val="3"/>
            <w:tcMar>
              <w:top w:w="30" w:type="dxa"/>
              <w:left w:w="20" w:type="dxa"/>
              <w:bottom w:w="30" w:type="dxa"/>
              <w:right w:w="20" w:type="dxa"/>
            </w:tcMar>
            <w:vAlign w:val="center"/>
            <w:hideMark/>
          </w:tcPr>
          <w:p w:rsidR="00000000" w:rsidRDefault="001F1FC8">
            <w:pPr>
              <w:rPr>
                <w:rFonts w:eastAsia="Times New Roman"/>
              </w:rPr>
            </w:pPr>
            <w:r>
              <w:rPr>
                <w:rFonts w:ascii="Arial" w:eastAsia="Times New Roman" w:hAnsi="Arial" w:cs="Arial"/>
                <w:color w:val="000000"/>
                <w:sz w:val="20"/>
                <w:szCs w:val="20"/>
              </w:rPr>
              <w:t xml:space="preserve">Power purchase agreements </w:t>
            </w:r>
          </w:p>
        </w:tc>
        <w:tc>
          <w:tcPr>
            <w:tcW w:w="0" w:type="auto"/>
            <w:gridSpan w:val="2"/>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20"/>
                <w:szCs w:val="20"/>
              </w:rPr>
              <w:t>4.5 </w:t>
            </w:r>
          </w:p>
        </w:tc>
        <w:tc>
          <w:tcPr>
            <w:tcW w:w="0" w:type="auto"/>
            <w:tcMar>
              <w:top w:w="30" w:type="dxa"/>
              <w:left w:w="0" w:type="dxa"/>
              <w:bottom w:w="30" w:type="dxa"/>
              <w:right w:w="20" w:type="dxa"/>
            </w:tcMar>
            <w:vAlign w:val="center"/>
            <w:hideMark/>
          </w:tcPr>
          <w:p w:rsidR="00000000" w:rsidRDefault="001F1FC8">
            <w:pPr>
              <w:jc w:val="right"/>
              <w:rPr>
                <w:rFonts w:eastAsia="Times New Roman"/>
              </w:rPr>
            </w:pPr>
            <w:r>
              <w:rPr>
                <w:rFonts w:ascii="Arial" w:eastAsia="Times New Roman" w:hAnsi="Arial" w:cs="Arial"/>
                <w:color w:val="000000"/>
                <w:sz w:val="20"/>
                <w:szCs w:val="20"/>
              </w:rPr>
              <w:t>%</w:t>
            </w:r>
          </w:p>
        </w:tc>
        <w:tc>
          <w:tcPr>
            <w:tcW w:w="0" w:type="auto"/>
            <w:gridSpan w:val="2"/>
            <w:shd w:val="clear" w:color="auto" w:fill="D9D9D9"/>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b/>
                <w:bCs/>
                <w:color w:val="000000"/>
                <w:sz w:val="20"/>
                <w:szCs w:val="20"/>
              </w:rPr>
              <w:t>63</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b/>
                <w:bCs/>
                <w:color w:val="000000"/>
                <w:sz w:val="20"/>
                <w:szCs w:val="20"/>
              </w:rPr>
              <w:t>(21)</w:t>
            </w:r>
          </w:p>
        </w:tc>
        <w:tc>
          <w:tcPr>
            <w:tcW w:w="0" w:type="auto"/>
            <w:shd w:val="clear" w:color="auto" w:fill="D9D9D9"/>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b/>
                <w:bCs/>
                <w:color w:val="000000"/>
                <w:sz w:val="20"/>
                <w:szCs w:val="20"/>
              </w:rPr>
              <w:t>42</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1F1FC8">
            <w:pPr>
              <w:jc w:val="right"/>
              <w:rPr>
                <w:rFonts w:eastAsia="Times New Roman"/>
              </w:rPr>
            </w:pPr>
          </w:p>
        </w:tc>
      </w:tr>
      <w:tr w:rsidR="00000000">
        <w:trPr>
          <w:divId w:val="2138257284"/>
        </w:trPr>
        <w:tc>
          <w:tcPr>
            <w:tcW w:w="0" w:type="auto"/>
            <w:gridSpan w:val="3"/>
            <w:tcMar>
              <w:top w:w="30" w:type="dxa"/>
              <w:left w:w="20" w:type="dxa"/>
              <w:bottom w:w="30" w:type="dxa"/>
              <w:right w:w="20" w:type="dxa"/>
            </w:tcMar>
            <w:vAlign w:val="center"/>
            <w:hideMark/>
          </w:tcPr>
          <w:p w:rsidR="00000000" w:rsidRDefault="001F1FC8">
            <w:pPr>
              <w:divId w:val="1359627285"/>
              <w:rPr>
                <w:rFonts w:eastAsia="Times New Roman"/>
              </w:rPr>
            </w:pPr>
            <w:r>
              <w:rPr>
                <w:rFonts w:ascii="Arial" w:eastAsia="Times New Roman" w:hAnsi="Arial" w:cs="Arial"/>
                <w:color w:val="000000"/>
                <w:sz w:val="20"/>
                <w:szCs w:val="20"/>
              </w:rPr>
              <w:t>Project agreemen</w:t>
            </w:r>
            <w:r>
              <w:rPr>
                <w:rFonts w:ascii="Arial" w:eastAsia="Times New Roman" w:hAnsi="Arial" w:cs="Arial"/>
                <w:color w:val="000000"/>
                <w:sz w:val="20"/>
                <w:szCs w:val="20"/>
              </w:rPr>
              <w:t>t</w:t>
            </w:r>
            <w:r>
              <w:rPr>
                <w:rFonts w:ascii="Arial" w:eastAsia="Times New Roman" w:hAnsi="Arial" w:cs="Arial"/>
                <w:color w:val="000000"/>
                <w:sz w:val="10"/>
                <w:szCs w:val="10"/>
              </w:rPr>
              <w:t>1</w:t>
            </w:r>
          </w:p>
        </w:tc>
        <w:tc>
          <w:tcPr>
            <w:tcW w:w="0" w:type="auto"/>
            <w:gridSpan w:val="2"/>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20"/>
                <w:szCs w:val="20"/>
              </w:rPr>
              <w:t>4.0 </w:t>
            </w:r>
          </w:p>
        </w:tc>
        <w:tc>
          <w:tcPr>
            <w:tcW w:w="0" w:type="auto"/>
            <w:tcMar>
              <w:top w:w="30" w:type="dxa"/>
              <w:left w:w="0" w:type="dxa"/>
              <w:bottom w:w="30" w:type="dxa"/>
              <w:right w:w="20" w:type="dxa"/>
            </w:tcMar>
            <w:vAlign w:val="center"/>
            <w:hideMark/>
          </w:tcPr>
          <w:p w:rsidR="00000000" w:rsidRDefault="001F1FC8">
            <w:pPr>
              <w:jc w:val="right"/>
              <w:rPr>
                <w:rFonts w:eastAsia="Times New Roman"/>
              </w:rPr>
            </w:pPr>
            <w:r>
              <w:rPr>
                <w:rFonts w:ascii="Arial" w:eastAsia="Times New Roman" w:hAnsi="Arial" w:cs="Arial"/>
                <w:color w:val="000000"/>
                <w:sz w:val="20"/>
                <w:szCs w:val="20"/>
              </w:rPr>
              <w:t>%</w:t>
            </w:r>
          </w:p>
        </w:tc>
        <w:tc>
          <w:tcPr>
            <w:tcW w:w="0" w:type="auto"/>
            <w:gridSpan w:val="2"/>
            <w:shd w:val="clear" w:color="auto" w:fill="D9D9D9"/>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b/>
                <w:bCs/>
                <w:color w:val="000000"/>
                <w:sz w:val="20"/>
                <w:szCs w:val="20"/>
              </w:rPr>
              <w:t>152</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b/>
                <w:bCs/>
                <w:color w:val="000000"/>
                <w:sz w:val="20"/>
                <w:szCs w:val="20"/>
              </w:rPr>
              <w:t>(27)</w:t>
            </w:r>
          </w:p>
        </w:tc>
        <w:tc>
          <w:tcPr>
            <w:tcW w:w="0" w:type="auto"/>
            <w:shd w:val="clear" w:color="auto" w:fill="D9D9D9"/>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b/>
                <w:bCs/>
                <w:color w:val="000000"/>
                <w:sz w:val="20"/>
                <w:szCs w:val="20"/>
              </w:rPr>
              <w:t>125</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1F1FC8">
            <w:pPr>
              <w:jc w:val="right"/>
              <w:rPr>
                <w:rFonts w:eastAsia="Times New Roman"/>
              </w:rPr>
            </w:pPr>
          </w:p>
        </w:tc>
      </w:tr>
      <w:tr w:rsidR="00000000">
        <w:trPr>
          <w:divId w:val="2138257284"/>
        </w:trPr>
        <w:tc>
          <w:tcPr>
            <w:tcW w:w="0" w:type="auto"/>
            <w:gridSpan w:val="3"/>
            <w:tcMar>
              <w:top w:w="30" w:type="dxa"/>
              <w:left w:w="20" w:type="dxa"/>
              <w:bottom w:w="30" w:type="dxa"/>
              <w:right w:w="20" w:type="dxa"/>
            </w:tcMar>
            <w:vAlign w:val="center"/>
            <w:hideMark/>
          </w:tcPr>
          <w:p w:rsidR="00000000" w:rsidRDefault="001F1FC8">
            <w:pPr>
              <w:rPr>
                <w:rFonts w:eastAsia="Times New Roman"/>
              </w:rPr>
            </w:pPr>
            <w:r>
              <w:rPr>
                <w:rFonts w:ascii="Arial" w:eastAsia="Times New Roman" w:hAnsi="Arial" w:cs="Arial"/>
                <w:color w:val="000000"/>
                <w:sz w:val="20"/>
                <w:szCs w:val="20"/>
              </w:rPr>
              <w:t>Customer relationships</w:t>
            </w:r>
          </w:p>
        </w:tc>
        <w:tc>
          <w:tcPr>
            <w:tcW w:w="0" w:type="auto"/>
            <w:gridSpan w:val="2"/>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20"/>
                <w:szCs w:val="20"/>
              </w:rPr>
              <w:t>8.5 </w:t>
            </w:r>
          </w:p>
        </w:tc>
        <w:tc>
          <w:tcPr>
            <w:tcW w:w="0" w:type="auto"/>
            <w:tcMar>
              <w:top w:w="30" w:type="dxa"/>
              <w:left w:w="0" w:type="dxa"/>
              <w:bottom w:w="30" w:type="dxa"/>
              <w:right w:w="20" w:type="dxa"/>
            </w:tcMar>
            <w:vAlign w:val="center"/>
            <w:hideMark/>
          </w:tcPr>
          <w:p w:rsidR="00000000" w:rsidRDefault="001F1FC8">
            <w:pPr>
              <w:jc w:val="right"/>
              <w:rPr>
                <w:rFonts w:eastAsia="Times New Roman"/>
              </w:rPr>
            </w:pPr>
            <w:r>
              <w:rPr>
                <w:rFonts w:ascii="Arial" w:eastAsia="Times New Roman" w:hAnsi="Arial" w:cs="Arial"/>
                <w:color w:val="000000"/>
                <w:sz w:val="20"/>
                <w:szCs w:val="20"/>
              </w:rPr>
              <w:t>%</w:t>
            </w:r>
          </w:p>
        </w:tc>
        <w:tc>
          <w:tcPr>
            <w:tcW w:w="0" w:type="auto"/>
            <w:gridSpan w:val="2"/>
            <w:shd w:val="clear" w:color="auto" w:fill="D9D9D9"/>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b/>
                <w:bCs/>
                <w:color w:val="000000"/>
                <w:sz w:val="20"/>
                <w:szCs w:val="20"/>
              </w:rPr>
              <w:t>2,532</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b/>
                <w:bCs/>
                <w:color w:val="000000"/>
                <w:sz w:val="20"/>
                <w:szCs w:val="20"/>
              </w:rPr>
              <w:t>(215)</w:t>
            </w:r>
          </w:p>
        </w:tc>
        <w:tc>
          <w:tcPr>
            <w:tcW w:w="0" w:type="auto"/>
            <w:shd w:val="clear" w:color="auto" w:fill="D9D9D9"/>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b/>
                <w:bCs/>
                <w:color w:val="000000"/>
                <w:sz w:val="20"/>
                <w:szCs w:val="20"/>
              </w:rPr>
              <w:t>2,317</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1F1FC8">
            <w:pPr>
              <w:jc w:val="right"/>
              <w:rPr>
                <w:rFonts w:eastAsia="Times New Roman"/>
              </w:rPr>
            </w:pPr>
          </w:p>
        </w:tc>
      </w:tr>
      <w:tr w:rsidR="00000000">
        <w:trPr>
          <w:divId w:val="2138257284"/>
        </w:trPr>
        <w:tc>
          <w:tcPr>
            <w:tcW w:w="0" w:type="auto"/>
            <w:gridSpan w:val="3"/>
            <w:tcMar>
              <w:top w:w="30" w:type="dxa"/>
              <w:left w:w="20" w:type="dxa"/>
              <w:bottom w:w="30" w:type="dxa"/>
              <w:right w:w="20" w:type="dxa"/>
            </w:tcMar>
            <w:vAlign w:val="center"/>
            <w:hideMark/>
          </w:tcPr>
          <w:p w:rsidR="00000000" w:rsidRDefault="001F1FC8">
            <w:pPr>
              <w:rPr>
                <w:rFonts w:eastAsia="Times New Roman"/>
              </w:rPr>
            </w:pPr>
            <w:r>
              <w:rPr>
                <w:rFonts w:ascii="Arial" w:eastAsia="Times New Roman" w:hAnsi="Arial" w:cs="Arial"/>
                <w:color w:val="000000"/>
                <w:sz w:val="20"/>
                <w:szCs w:val="20"/>
              </w:rPr>
              <w:t>Other intangible assets</w:t>
            </w:r>
          </w:p>
        </w:tc>
        <w:tc>
          <w:tcPr>
            <w:tcW w:w="0" w:type="auto"/>
            <w:gridSpan w:val="2"/>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20"/>
                <w:szCs w:val="20"/>
              </w:rPr>
              <w:t>3.9 </w:t>
            </w:r>
          </w:p>
        </w:tc>
        <w:tc>
          <w:tcPr>
            <w:tcW w:w="0" w:type="auto"/>
            <w:tcMar>
              <w:top w:w="30" w:type="dxa"/>
              <w:left w:w="0" w:type="dxa"/>
              <w:bottom w:w="30" w:type="dxa"/>
              <w:right w:w="20" w:type="dxa"/>
            </w:tcMar>
            <w:vAlign w:val="center"/>
            <w:hideMark/>
          </w:tcPr>
          <w:p w:rsidR="00000000" w:rsidRDefault="001F1FC8">
            <w:pPr>
              <w:jc w:val="right"/>
              <w:rPr>
                <w:rFonts w:eastAsia="Times New Roman"/>
              </w:rPr>
            </w:pPr>
            <w:r>
              <w:rPr>
                <w:rFonts w:ascii="Arial" w:eastAsia="Times New Roman" w:hAnsi="Arial" w:cs="Arial"/>
                <w:color w:val="000000"/>
                <w:sz w:val="20"/>
                <w:szCs w:val="20"/>
              </w:rPr>
              <w:t>%</w:t>
            </w:r>
          </w:p>
        </w:tc>
        <w:tc>
          <w:tcPr>
            <w:tcW w:w="0" w:type="auto"/>
            <w:gridSpan w:val="2"/>
            <w:shd w:val="clear" w:color="auto" w:fill="D9D9D9"/>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b/>
                <w:bCs/>
                <w:color w:val="000000"/>
                <w:sz w:val="20"/>
                <w:szCs w:val="20"/>
              </w:rPr>
              <w:t>475</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b/>
                <w:bCs/>
                <w:color w:val="000000"/>
                <w:sz w:val="20"/>
                <w:szCs w:val="20"/>
              </w:rPr>
              <w:t>(116)</w:t>
            </w:r>
          </w:p>
        </w:tc>
        <w:tc>
          <w:tcPr>
            <w:tcW w:w="0" w:type="auto"/>
            <w:shd w:val="clear" w:color="auto" w:fill="D9D9D9"/>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b/>
                <w:bCs/>
                <w:color w:val="000000"/>
                <w:sz w:val="20"/>
                <w:szCs w:val="20"/>
              </w:rPr>
              <w:t>359</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1F1FC8">
            <w:pPr>
              <w:jc w:val="right"/>
              <w:rPr>
                <w:rFonts w:eastAsia="Times New Roman"/>
              </w:rPr>
            </w:pPr>
          </w:p>
        </w:tc>
      </w:tr>
      <w:tr w:rsidR="00000000">
        <w:trPr>
          <w:divId w:val="2138257284"/>
        </w:trPr>
        <w:tc>
          <w:tcPr>
            <w:tcW w:w="0" w:type="auto"/>
            <w:gridSpan w:val="3"/>
            <w:tcMar>
              <w:top w:w="30" w:type="dxa"/>
              <w:left w:w="20" w:type="dxa"/>
              <w:bottom w:w="30" w:type="dxa"/>
              <w:right w:w="20" w:type="dxa"/>
            </w:tcMar>
            <w:vAlign w:val="center"/>
            <w:hideMark/>
          </w:tcPr>
          <w:p w:rsidR="00000000" w:rsidRDefault="001F1FC8">
            <w:pPr>
              <w:rPr>
                <w:rFonts w:eastAsia="Times New Roman"/>
              </w:rPr>
            </w:pPr>
            <w:r>
              <w:rPr>
                <w:rFonts w:ascii="Arial" w:eastAsia="Times New Roman" w:hAnsi="Arial" w:cs="Arial"/>
                <w:color w:val="000000"/>
                <w:sz w:val="20"/>
                <w:szCs w:val="20"/>
              </w:rPr>
              <w:t>Under development</w:t>
            </w:r>
          </w:p>
        </w:tc>
        <w:tc>
          <w:tcPr>
            <w:tcW w:w="0" w:type="auto"/>
            <w:gridSpan w:val="2"/>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20"/>
                <w:szCs w:val="20"/>
              </w:rPr>
              <w:t>— </w:t>
            </w:r>
          </w:p>
        </w:tc>
        <w:tc>
          <w:tcPr>
            <w:tcW w:w="0" w:type="auto"/>
            <w:tcMar>
              <w:top w:w="30" w:type="dxa"/>
              <w:left w:w="0" w:type="dxa"/>
              <w:bottom w:w="30" w:type="dxa"/>
              <w:right w:w="20" w:type="dxa"/>
            </w:tcMar>
            <w:vAlign w:val="center"/>
            <w:hideMark/>
          </w:tcPr>
          <w:p w:rsidR="00000000" w:rsidRDefault="001F1FC8">
            <w:pPr>
              <w:jc w:val="right"/>
              <w:rPr>
                <w:rFonts w:eastAsia="Times New Roman"/>
              </w:rPr>
            </w:pPr>
            <w:r>
              <w:rPr>
                <w:rFonts w:ascii="Arial" w:eastAsia="Times New Roman" w:hAnsi="Arial" w:cs="Arial"/>
                <w:color w:val="000000"/>
                <w:sz w:val="20"/>
                <w:szCs w:val="20"/>
              </w:rPr>
              <w:t>%</w:t>
            </w:r>
          </w:p>
        </w:tc>
        <w:tc>
          <w:tcPr>
            <w:tcW w:w="0" w:type="auto"/>
            <w:gridSpan w:val="2"/>
            <w:shd w:val="clear" w:color="auto" w:fill="D9D9D9"/>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b/>
                <w:bCs/>
                <w:color w:val="000000"/>
                <w:sz w:val="20"/>
                <w:szCs w:val="20"/>
              </w:rPr>
              <w:t>246</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b/>
                <w:bCs/>
                <w:color w:val="000000"/>
                <w:sz w:val="20"/>
                <w:szCs w:val="20"/>
              </w:rPr>
              <w:t>—</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b/>
                <w:bCs/>
                <w:color w:val="000000"/>
                <w:sz w:val="20"/>
                <w:szCs w:val="20"/>
              </w:rPr>
              <w:t>246</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1F1FC8">
            <w:pPr>
              <w:jc w:val="right"/>
              <w:rPr>
                <w:rFonts w:eastAsia="Times New Roman"/>
              </w:rPr>
            </w:pPr>
          </w:p>
        </w:tc>
      </w:tr>
      <w:tr w:rsidR="00000000">
        <w:trPr>
          <w:divId w:val="2138257284"/>
        </w:trPr>
        <w:tc>
          <w:tcPr>
            <w:tcW w:w="0" w:type="auto"/>
            <w:gridSpan w:val="3"/>
            <w:tcBorders>
              <w:top w:val="single" w:sz="4" w:space="0" w:color="000000"/>
              <w:bottom w:val="single" w:sz="8" w:space="0" w:color="000000"/>
            </w:tcBorders>
            <w:tcMar>
              <w:top w:w="30" w:type="dxa"/>
              <w:left w:w="20" w:type="dxa"/>
              <w:bottom w:w="30" w:type="dxa"/>
              <w:right w:w="20" w:type="dxa"/>
            </w:tcMar>
            <w:vAlign w:val="center"/>
            <w:hideMark/>
          </w:tcPr>
          <w:p w:rsidR="00000000" w:rsidRDefault="001F1FC8">
            <w:pPr>
              <w:rPr>
                <w:rFonts w:eastAsia="Times New Roman"/>
              </w:rPr>
            </w:pPr>
            <w:r>
              <w:rPr>
                <w:rFonts w:ascii="Arial" w:eastAsia="Times New Roman" w:hAnsi="Arial" w:cs="Arial"/>
                <w:color w:val="000000"/>
                <w:sz w:val="2"/>
                <w:szCs w:val="2"/>
              </w:rPr>
              <w:t> </w:t>
            </w:r>
          </w:p>
        </w:tc>
        <w:tc>
          <w:tcPr>
            <w:tcW w:w="0" w:type="auto"/>
            <w:gridSpan w:val="3"/>
            <w:tcBorders>
              <w:top w:val="single" w:sz="4" w:space="0" w:color="000000"/>
              <w:bottom w:val="single" w:sz="8" w:space="0" w:color="000000"/>
            </w:tcBorders>
            <w:tcMar>
              <w:top w:w="30" w:type="dxa"/>
              <w:left w:w="20" w:type="dxa"/>
              <w:bottom w:w="30" w:type="dxa"/>
              <w:right w:w="20" w:type="dxa"/>
            </w:tcMar>
            <w:vAlign w:val="center"/>
            <w:hideMark/>
          </w:tcPr>
          <w:p w:rsidR="00000000" w:rsidRDefault="001F1FC8">
            <w:pPr>
              <w:jc w:val="right"/>
              <w:rPr>
                <w:rFonts w:eastAsia="Times New Roman"/>
              </w:rPr>
            </w:pPr>
            <w:r>
              <w:rPr>
                <w:rFonts w:ascii="Arial" w:eastAsia="Times New Roman" w:hAnsi="Arial" w:cs="Arial"/>
                <w:color w:val="000000"/>
                <w:sz w:val="2"/>
                <w:szCs w:val="2"/>
              </w:rPr>
              <w:t> </w:t>
            </w:r>
          </w:p>
        </w:tc>
        <w:tc>
          <w:tcPr>
            <w:tcW w:w="0" w:type="auto"/>
            <w:gridSpan w:val="2"/>
            <w:tcBorders>
              <w:top w:val="single" w:sz="4" w:space="0" w:color="000000"/>
              <w:bottom w:val="single" w:sz="8" w:space="0" w:color="000000"/>
            </w:tcBorders>
            <w:shd w:val="clear" w:color="auto" w:fill="D9D9D9"/>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b/>
                <w:bCs/>
                <w:color w:val="000000"/>
                <w:sz w:val="20"/>
                <w:szCs w:val="20"/>
              </w:rPr>
              <w:t>5,535</w:t>
            </w:r>
            <w:r>
              <w:rPr>
                <w:rFonts w:ascii="Arial" w:eastAsia="Times New Roman" w:hAnsi="Arial" w:cs="Arial"/>
                <w:color w:val="000000"/>
                <w:sz w:val="20"/>
                <w:szCs w:val="20"/>
              </w:rPr>
              <w:t> </w:t>
            </w:r>
          </w:p>
        </w:tc>
        <w:tc>
          <w:tcPr>
            <w:tcW w:w="0" w:type="auto"/>
            <w:tcBorders>
              <w:top w:val="single" w:sz="4" w:space="0" w:color="000000"/>
              <w:bottom w:val="single" w:sz="8" w:space="0" w:color="000000"/>
            </w:tcBorders>
            <w:shd w:val="clear" w:color="auto" w:fill="D9D9D9"/>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Borders>
              <w:top w:val="single" w:sz="4" w:space="0" w:color="000000"/>
              <w:bottom w:val="single" w:sz="8" w:space="0" w:color="000000"/>
            </w:tcBorders>
            <w:shd w:val="clear" w:color="auto" w:fill="D9D9D9"/>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b/>
                <w:bCs/>
                <w:color w:val="000000"/>
                <w:sz w:val="20"/>
                <w:szCs w:val="20"/>
              </w:rPr>
              <w:t>(1,527)</w:t>
            </w:r>
          </w:p>
        </w:tc>
        <w:tc>
          <w:tcPr>
            <w:tcW w:w="0" w:type="auto"/>
            <w:tcBorders>
              <w:top w:val="single" w:sz="4" w:space="0" w:color="000000"/>
              <w:bottom w:val="single" w:sz="8" w:space="0" w:color="000000"/>
            </w:tcBorders>
            <w:shd w:val="clear" w:color="auto" w:fill="D9D9D9"/>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Borders>
              <w:top w:val="single" w:sz="4" w:space="0" w:color="000000"/>
              <w:bottom w:val="single" w:sz="8" w:space="0" w:color="000000"/>
            </w:tcBorders>
            <w:shd w:val="clear" w:color="auto" w:fill="D9D9D9"/>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b/>
                <w:bCs/>
                <w:color w:val="000000"/>
                <w:sz w:val="20"/>
                <w:szCs w:val="20"/>
              </w:rPr>
              <w:t>4,008</w:t>
            </w:r>
            <w:r>
              <w:rPr>
                <w:rFonts w:ascii="Arial" w:eastAsia="Times New Roman" w:hAnsi="Arial" w:cs="Arial"/>
                <w:color w:val="000000"/>
                <w:sz w:val="20"/>
                <w:szCs w:val="20"/>
              </w:rPr>
              <w:t> </w:t>
            </w:r>
          </w:p>
        </w:tc>
        <w:tc>
          <w:tcPr>
            <w:tcW w:w="0" w:type="auto"/>
            <w:tcBorders>
              <w:top w:val="single" w:sz="4" w:space="0" w:color="000000"/>
              <w:bottom w:val="single" w:sz="8" w:space="0" w:color="000000"/>
            </w:tcBorders>
            <w:shd w:val="clear" w:color="auto" w:fill="D9D9D9"/>
            <w:tcMar>
              <w:top w:w="30" w:type="dxa"/>
              <w:left w:w="0" w:type="dxa"/>
              <w:bottom w:w="30" w:type="dxa"/>
              <w:right w:w="20" w:type="dxa"/>
            </w:tcMar>
            <w:vAlign w:val="center"/>
            <w:hideMark/>
          </w:tcPr>
          <w:p w:rsidR="00000000" w:rsidRDefault="001F1FC8">
            <w:pPr>
              <w:jc w:val="right"/>
              <w:rPr>
                <w:rFonts w:eastAsia="Times New Roman"/>
              </w:rPr>
            </w:pPr>
          </w:p>
        </w:tc>
      </w:tr>
    </w:tbl>
    <w:p w:rsidR="00000000" w:rsidRDefault="001F1FC8">
      <w:pPr>
        <w:divId w:val="1854372400"/>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40"/>
        <w:gridCol w:w="2941"/>
        <w:gridCol w:w="38"/>
        <w:gridCol w:w="55"/>
        <w:gridCol w:w="1607"/>
        <w:gridCol w:w="199"/>
        <w:gridCol w:w="42"/>
        <w:gridCol w:w="1022"/>
        <w:gridCol w:w="36"/>
        <w:gridCol w:w="86"/>
        <w:gridCol w:w="1103"/>
        <w:gridCol w:w="36"/>
        <w:gridCol w:w="42"/>
        <w:gridCol w:w="1023"/>
        <w:gridCol w:w="36"/>
      </w:tblGrid>
      <w:tr w:rsidR="00000000">
        <w:trPr>
          <w:divId w:val="1268199016"/>
        </w:trPr>
        <w:tc>
          <w:tcPr>
            <w:tcW w:w="50" w:type="pct"/>
            <w:vAlign w:val="center"/>
            <w:hideMark/>
          </w:tcPr>
          <w:p w:rsidR="00000000" w:rsidRDefault="001F1FC8">
            <w:pPr>
              <w:rPr>
                <w:rFonts w:eastAsia="Times New Roman"/>
              </w:rPr>
            </w:pPr>
          </w:p>
        </w:tc>
        <w:tc>
          <w:tcPr>
            <w:tcW w:w="1795"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c>
          <w:tcPr>
            <w:tcW w:w="50" w:type="pct"/>
            <w:vAlign w:val="center"/>
            <w:hideMark/>
          </w:tcPr>
          <w:p w:rsidR="00000000" w:rsidRDefault="001F1FC8">
            <w:pPr>
              <w:rPr>
                <w:rFonts w:eastAsia="Times New Roman"/>
                <w:sz w:val="20"/>
                <w:szCs w:val="20"/>
              </w:rPr>
            </w:pPr>
          </w:p>
        </w:tc>
        <w:tc>
          <w:tcPr>
            <w:tcW w:w="1002"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c>
          <w:tcPr>
            <w:tcW w:w="50" w:type="pct"/>
            <w:vAlign w:val="center"/>
            <w:hideMark/>
          </w:tcPr>
          <w:p w:rsidR="00000000" w:rsidRDefault="001F1FC8">
            <w:pPr>
              <w:rPr>
                <w:rFonts w:eastAsia="Times New Roman"/>
                <w:sz w:val="20"/>
                <w:szCs w:val="20"/>
              </w:rPr>
            </w:pPr>
          </w:p>
        </w:tc>
        <w:tc>
          <w:tcPr>
            <w:tcW w:w="642"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c>
          <w:tcPr>
            <w:tcW w:w="50" w:type="pct"/>
            <w:vAlign w:val="center"/>
            <w:hideMark/>
          </w:tcPr>
          <w:p w:rsidR="00000000" w:rsidRDefault="001F1FC8">
            <w:pPr>
              <w:rPr>
                <w:rFonts w:eastAsia="Times New Roman"/>
                <w:sz w:val="20"/>
                <w:szCs w:val="20"/>
              </w:rPr>
            </w:pPr>
          </w:p>
        </w:tc>
        <w:tc>
          <w:tcPr>
            <w:tcW w:w="642"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c>
          <w:tcPr>
            <w:tcW w:w="50" w:type="pct"/>
            <w:vAlign w:val="center"/>
            <w:hideMark/>
          </w:tcPr>
          <w:p w:rsidR="00000000" w:rsidRDefault="001F1FC8">
            <w:pPr>
              <w:rPr>
                <w:rFonts w:eastAsia="Times New Roman"/>
                <w:sz w:val="20"/>
                <w:szCs w:val="20"/>
              </w:rPr>
            </w:pPr>
          </w:p>
        </w:tc>
        <w:tc>
          <w:tcPr>
            <w:tcW w:w="642"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r>
      <w:tr w:rsidR="00000000">
        <w:trPr>
          <w:divId w:val="1268199016"/>
        </w:trPr>
        <w:tc>
          <w:tcPr>
            <w:tcW w:w="0" w:type="auto"/>
            <w:gridSpan w:val="3"/>
            <w:tcMar>
              <w:top w:w="30" w:type="dxa"/>
              <w:left w:w="20" w:type="dxa"/>
              <w:bottom w:w="30" w:type="dxa"/>
              <w:right w:w="20" w:type="dxa"/>
            </w:tcMar>
            <w:vAlign w:val="center"/>
            <w:hideMark/>
          </w:tcPr>
          <w:p w:rsidR="00000000" w:rsidRDefault="001F1FC8">
            <w:pPr>
              <w:rPr>
                <w:rFonts w:eastAsia="Times New Roman"/>
              </w:rPr>
            </w:pPr>
            <w:r>
              <w:rPr>
                <w:rFonts w:ascii="Arial" w:eastAsia="Times New Roman" w:hAnsi="Arial" w:cs="Arial"/>
                <w:color w:val="000000"/>
                <w:sz w:val="2"/>
                <w:szCs w:val="2"/>
              </w:rPr>
              <w:t> </w:t>
            </w:r>
          </w:p>
        </w:tc>
        <w:tc>
          <w:tcPr>
            <w:tcW w:w="0" w:type="auto"/>
            <w:gridSpan w:val="3"/>
            <w:tcMar>
              <w:top w:w="30" w:type="dxa"/>
              <w:left w:w="20" w:type="dxa"/>
              <w:bottom w:w="30" w:type="dxa"/>
              <w:right w:w="20" w:type="dxa"/>
            </w:tcMar>
            <w:vAlign w:val="center"/>
            <w:hideMark/>
          </w:tcPr>
          <w:p w:rsidR="00000000" w:rsidRDefault="001F1FC8">
            <w:pPr>
              <w:jc w:val="right"/>
              <w:rPr>
                <w:rFonts w:eastAsia="Times New Roman"/>
              </w:rPr>
            </w:pPr>
            <w:r>
              <w:rPr>
                <w:rFonts w:ascii="Arial" w:eastAsia="Times New Roman" w:hAnsi="Arial" w:cs="Arial"/>
                <w:color w:val="000000"/>
                <w:sz w:val="20"/>
                <w:szCs w:val="20"/>
              </w:rPr>
              <w:t>Weighted Average</w:t>
            </w:r>
          </w:p>
        </w:tc>
        <w:tc>
          <w:tcPr>
            <w:tcW w:w="0" w:type="auto"/>
            <w:gridSpan w:val="3"/>
            <w:tcMar>
              <w:top w:w="30" w:type="dxa"/>
              <w:left w:w="20" w:type="dxa"/>
              <w:bottom w:w="30" w:type="dxa"/>
              <w:right w:w="20" w:type="dxa"/>
            </w:tcMar>
            <w:vAlign w:val="center"/>
            <w:hideMark/>
          </w:tcPr>
          <w:p w:rsidR="00000000" w:rsidRDefault="001F1FC8">
            <w:pPr>
              <w:jc w:val="right"/>
              <w:rPr>
                <w:rFonts w:eastAsia="Times New Roman"/>
              </w:rPr>
            </w:pPr>
            <w:r>
              <w:rPr>
                <w:rFonts w:ascii="Arial" w:eastAsia="Times New Roman" w:hAnsi="Arial" w:cs="Arial"/>
                <w:color w:val="000000"/>
                <w:sz w:val="2"/>
                <w:szCs w:val="2"/>
              </w:rPr>
              <w:t> </w:t>
            </w:r>
          </w:p>
        </w:tc>
        <w:tc>
          <w:tcPr>
            <w:tcW w:w="0" w:type="auto"/>
            <w:gridSpan w:val="3"/>
            <w:tcMar>
              <w:top w:w="30" w:type="dxa"/>
              <w:left w:w="20" w:type="dxa"/>
              <w:bottom w:w="30" w:type="dxa"/>
              <w:right w:w="20" w:type="dxa"/>
            </w:tcMar>
            <w:vAlign w:val="center"/>
            <w:hideMark/>
          </w:tcPr>
          <w:p w:rsidR="00000000" w:rsidRDefault="001F1FC8">
            <w:pPr>
              <w:jc w:val="right"/>
              <w:rPr>
                <w:rFonts w:eastAsia="Times New Roman"/>
              </w:rPr>
            </w:pPr>
            <w:r>
              <w:rPr>
                <w:rFonts w:ascii="Arial" w:eastAsia="Times New Roman" w:hAnsi="Arial" w:cs="Arial"/>
                <w:color w:val="000000"/>
                <w:sz w:val="20"/>
                <w:szCs w:val="20"/>
              </w:rPr>
              <w:t>Accumulated</w:t>
            </w:r>
          </w:p>
        </w:tc>
        <w:tc>
          <w:tcPr>
            <w:tcW w:w="0" w:type="auto"/>
            <w:gridSpan w:val="3"/>
            <w:tcMar>
              <w:top w:w="30" w:type="dxa"/>
              <w:left w:w="20" w:type="dxa"/>
              <w:bottom w:w="30" w:type="dxa"/>
              <w:right w:w="20" w:type="dxa"/>
            </w:tcMar>
            <w:vAlign w:val="center"/>
            <w:hideMark/>
          </w:tcPr>
          <w:p w:rsidR="00000000" w:rsidRDefault="001F1FC8">
            <w:pPr>
              <w:jc w:val="right"/>
              <w:rPr>
                <w:rFonts w:eastAsia="Times New Roman"/>
              </w:rPr>
            </w:pPr>
            <w:r>
              <w:rPr>
                <w:rFonts w:ascii="Arial" w:eastAsia="Times New Roman" w:hAnsi="Arial" w:cs="Arial"/>
                <w:color w:val="000000"/>
                <w:sz w:val="2"/>
                <w:szCs w:val="2"/>
              </w:rPr>
              <w:t> </w:t>
            </w:r>
          </w:p>
        </w:tc>
      </w:tr>
      <w:tr w:rsidR="00000000">
        <w:trPr>
          <w:divId w:val="1268199016"/>
        </w:trPr>
        <w:tc>
          <w:tcPr>
            <w:tcW w:w="0" w:type="auto"/>
            <w:gridSpan w:val="3"/>
            <w:tcMar>
              <w:top w:w="30" w:type="dxa"/>
              <w:left w:w="20" w:type="dxa"/>
              <w:bottom w:w="30" w:type="dxa"/>
              <w:right w:w="20" w:type="dxa"/>
            </w:tcMar>
            <w:vAlign w:val="center"/>
            <w:hideMark/>
          </w:tcPr>
          <w:p w:rsidR="00000000" w:rsidRDefault="001F1FC8">
            <w:pPr>
              <w:rPr>
                <w:rFonts w:eastAsia="Times New Roman"/>
              </w:rPr>
            </w:pPr>
            <w:r>
              <w:rPr>
                <w:rFonts w:ascii="Arial" w:eastAsia="Times New Roman" w:hAnsi="Arial" w:cs="Arial"/>
                <w:color w:val="000000"/>
                <w:sz w:val="20"/>
                <w:szCs w:val="20"/>
              </w:rPr>
              <w:t>December 31, 2020</w:t>
            </w:r>
          </w:p>
        </w:tc>
        <w:tc>
          <w:tcPr>
            <w:tcW w:w="0" w:type="auto"/>
            <w:gridSpan w:val="3"/>
            <w:tcMar>
              <w:top w:w="30" w:type="dxa"/>
              <w:left w:w="20" w:type="dxa"/>
              <w:bottom w:w="30" w:type="dxa"/>
              <w:right w:w="20" w:type="dxa"/>
            </w:tcMar>
            <w:vAlign w:val="center"/>
            <w:hideMark/>
          </w:tcPr>
          <w:p w:rsidR="00000000" w:rsidRDefault="001F1FC8">
            <w:pPr>
              <w:jc w:val="right"/>
              <w:rPr>
                <w:rFonts w:eastAsia="Times New Roman"/>
              </w:rPr>
            </w:pPr>
            <w:r>
              <w:rPr>
                <w:rFonts w:ascii="Arial" w:eastAsia="Times New Roman" w:hAnsi="Arial" w:cs="Arial"/>
                <w:color w:val="000000"/>
                <w:sz w:val="20"/>
                <w:szCs w:val="20"/>
              </w:rPr>
              <w:t>Amortization Rate</w:t>
            </w:r>
          </w:p>
        </w:tc>
        <w:tc>
          <w:tcPr>
            <w:tcW w:w="0" w:type="auto"/>
            <w:gridSpan w:val="3"/>
            <w:tcMar>
              <w:top w:w="30" w:type="dxa"/>
              <w:left w:w="20" w:type="dxa"/>
              <w:bottom w:w="30" w:type="dxa"/>
              <w:right w:w="20" w:type="dxa"/>
            </w:tcMar>
            <w:vAlign w:val="center"/>
            <w:hideMark/>
          </w:tcPr>
          <w:p w:rsidR="00000000" w:rsidRDefault="001F1FC8">
            <w:pPr>
              <w:jc w:val="right"/>
              <w:rPr>
                <w:rFonts w:eastAsia="Times New Roman"/>
              </w:rPr>
            </w:pPr>
            <w:r>
              <w:rPr>
                <w:rFonts w:ascii="Arial" w:eastAsia="Times New Roman" w:hAnsi="Arial" w:cs="Arial"/>
                <w:color w:val="000000"/>
                <w:sz w:val="20"/>
                <w:szCs w:val="20"/>
              </w:rPr>
              <w:t>Cost </w:t>
            </w:r>
          </w:p>
        </w:tc>
        <w:tc>
          <w:tcPr>
            <w:tcW w:w="0" w:type="auto"/>
            <w:gridSpan w:val="3"/>
            <w:tcMar>
              <w:top w:w="30" w:type="dxa"/>
              <w:left w:w="20" w:type="dxa"/>
              <w:bottom w:w="30" w:type="dxa"/>
              <w:right w:w="20" w:type="dxa"/>
            </w:tcMar>
            <w:vAlign w:val="center"/>
            <w:hideMark/>
          </w:tcPr>
          <w:p w:rsidR="00000000" w:rsidRDefault="001F1FC8">
            <w:pPr>
              <w:jc w:val="right"/>
              <w:rPr>
                <w:rFonts w:eastAsia="Times New Roman"/>
              </w:rPr>
            </w:pPr>
            <w:r>
              <w:rPr>
                <w:rFonts w:ascii="Arial" w:eastAsia="Times New Roman" w:hAnsi="Arial" w:cs="Arial"/>
                <w:color w:val="000000"/>
                <w:sz w:val="20"/>
                <w:szCs w:val="20"/>
              </w:rPr>
              <w:t>Amortization</w:t>
            </w:r>
          </w:p>
        </w:tc>
        <w:tc>
          <w:tcPr>
            <w:tcW w:w="0" w:type="auto"/>
            <w:gridSpan w:val="3"/>
            <w:tcMar>
              <w:top w:w="30" w:type="dxa"/>
              <w:left w:w="20" w:type="dxa"/>
              <w:bottom w:w="30" w:type="dxa"/>
              <w:right w:w="20" w:type="dxa"/>
            </w:tcMar>
            <w:vAlign w:val="center"/>
            <w:hideMark/>
          </w:tcPr>
          <w:p w:rsidR="00000000" w:rsidRDefault="001F1FC8">
            <w:pPr>
              <w:jc w:val="right"/>
              <w:rPr>
                <w:rFonts w:eastAsia="Times New Roman"/>
              </w:rPr>
            </w:pPr>
            <w:r>
              <w:rPr>
                <w:rFonts w:ascii="Arial" w:eastAsia="Times New Roman" w:hAnsi="Arial" w:cs="Arial"/>
                <w:color w:val="000000"/>
                <w:sz w:val="20"/>
                <w:szCs w:val="20"/>
              </w:rPr>
              <w:t>Net</w:t>
            </w:r>
          </w:p>
        </w:tc>
      </w:tr>
      <w:tr w:rsidR="00000000">
        <w:trPr>
          <w:divId w:val="1268199016"/>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1F1FC8">
            <w:pPr>
              <w:divId w:val="723138922"/>
              <w:rPr>
                <w:rFonts w:eastAsia="Times New Roman"/>
              </w:rPr>
            </w:pPr>
            <w:r>
              <w:rPr>
                <w:rFonts w:ascii="Arial" w:eastAsia="Times New Roman" w:hAnsi="Arial" w:cs="Arial"/>
                <w:i/>
                <w:iCs/>
                <w:color w:val="000000"/>
                <w:sz w:val="16"/>
                <w:szCs w:val="16"/>
              </w:rPr>
              <w:t>(millions of Canadian dollars)</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1F1FC8">
            <w:pPr>
              <w:jc w:val="right"/>
              <w:rPr>
                <w:rFonts w:eastAsia="Times New Roman"/>
              </w:rPr>
            </w:pPr>
            <w:r>
              <w:rPr>
                <w:rFonts w:ascii="Arial" w:eastAsia="Times New Roman" w:hAnsi="Arial" w:cs="Arial"/>
                <w:color w:val="000000"/>
                <w:sz w:val="2"/>
                <w:szCs w:val="2"/>
              </w:rPr>
              <w:t> </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1F1FC8">
            <w:pPr>
              <w:jc w:val="right"/>
              <w:rPr>
                <w:rFonts w:eastAsia="Times New Roman"/>
              </w:rPr>
            </w:pPr>
            <w:r>
              <w:rPr>
                <w:rFonts w:ascii="Arial" w:eastAsia="Times New Roman" w:hAnsi="Arial" w:cs="Arial"/>
                <w:color w:val="000000"/>
                <w:sz w:val="2"/>
                <w:szCs w:val="2"/>
              </w:rPr>
              <w:t> </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1F1FC8">
            <w:pPr>
              <w:jc w:val="right"/>
              <w:rPr>
                <w:rFonts w:eastAsia="Times New Roman"/>
              </w:rPr>
            </w:pPr>
            <w:r>
              <w:rPr>
                <w:rFonts w:ascii="Arial" w:eastAsia="Times New Roman" w:hAnsi="Arial" w:cs="Arial"/>
                <w:color w:val="000000"/>
                <w:sz w:val="2"/>
                <w:szCs w:val="2"/>
              </w:rPr>
              <w:t> </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1F1FC8">
            <w:pPr>
              <w:jc w:val="right"/>
              <w:rPr>
                <w:rFonts w:eastAsia="Times New Roman"/>
              </w:rPr>
            </w:pPr>
            <w:r>
              <w:rPr>
                <w:rFonts w:ascii="Arial" w:eastAsia="Times New Roman" w:hAnsi="Arial" w:cs="Arial"/>
                <w:color w:val="000000"/>
                <w:sz w:val="2"/>
                <w:szCs w:val="2"/>
              </w:rPr>
              <w:t> </w:t>
            </w:r>
          </w:p>
        </w:tc>
      </w:tr>
      <w:tr w:rsidR="00000000">
        <w:trPr>
          <w:divId w:val="1268199016"/>
        </w:trPr>
        <w:tc>
          <w:tcPr>
            <w:tcW w:w="0" w:type="auto"/>
            <w:gridSpan w:val="3"/>
            <w:tcMar>
              <w:top w:w="30" w:type="dxa"/>
              <w:left w:w="20" w:type="dxa"/>
              <w:bottom w:w="30" w:type="dxa"/>
              <w:right w:w="20" w:type="dxa"/>
            </w:tcMar>
            <w:vAlign w:val="center"/>
            <w:hideMark/>
          </w:tcPr>
          <w:p w:rsidR="00000000" w:rsidRDefault="001F1FC8">
            <w:pPr>
              <w:rPr>
                <w:rFonts w:eastAsia="Times New Roman"/>
              </w:rPr>
            </w:pPr>
            <w:r>
              <w:rPr>
                <w:rFonts w:ascii="Arial" w:eastAsia="Times New Roman" w:hAnsi="Arial" w:cs="Arial"/>
                <w:color w:val="000000"/>
                <w:sz w:val="20"/>
                <w:szCs w:val="20"/>
              </w:rPr>
              <w:t>Software</w:t>
            </w:r>
          </w:p>
        </w:tc>
        <w:tc>
          <w:tcPr>
            <w:tcW w:w="0" w:type="auto"/>
            <w:gridSpan w:val="2"/>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20"/>
                <w:szCs w:val="20"/>
              </w:rPr>
              <w:t>10.5 </w:t>
            </w:r>
          </w:p>
        </w:tc>
        <w:tc>
          <w:tcPr>
            <w:tcW w:w="0" w:type="auto"/>
            <w:tcMar>
              <w:top w:w="30" w:type="dxa"/>
              <w:left w:w="0" w:type="dxa"/>
              <w:bottom w:w="30" w:type="dxa"/>
              <w:right w:w="20" w:type="dxa"/>
            </w:tcMar>
            <w:vAlign w:val="center"/>
            <w:hideMark/>
          </w:tcPr>
          <w:p w:rsidR="00000000" w:rsidRDefault="001F1FC8">
            <w:pPr>
              <w:jc w:val="right"/>
              <w:rPr>
                <w:rFonts w:eastAsia="Times New Roman"/>
              </w:rPr>
            </w:pPr>
            <w:r>
              <w:rPr>
                <w:rFonts w:ascii="Arial" w:eastAsia="Times New Roman" w:hAnsi="Arial" w:cs="Arial"/>
                <w:color w:val="000000"/>
                <w:sz w:val="20"/>
                <w:szCs w:val="20"/>
              </w:rPr>
              <w:t>%</w:t>
            </w:r>
          </w:p>
        </w:tc>
        <w:tc>
          <w:tcPr>
            <w:tcW w:w="0" w:type="auto"/>
            <w:gridSpan w:val="2"/>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20"/>
                <w:szCs w:val="20"/>
              </w:rPr>
              <w:t>2,043 </w:t>
            </w:r>
          </w:p>
        </w:tc>
        <w:tc>
          <w:tcPr>
            <w:tcW w:w="0" w:type="auto"/>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20"/>
                <w:szCs w:val="20"/>
              </w:rPr>
              <w:t>(1,299)</w:t>
            </w:r>
          </w:p>
        </w:tc>
        <w:tc>
          <w:tcPr>
            <w:tcW w:w="0" w:type="auto"/>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20"/>
                <w:szCs w:val="20"/>
              </w:rPr>
              <w:t>744 </w:t>
            </w:r>
          </w:p>
        </w:tc>
        <w:tc>
          <w:tcPr>
            <w:tcW w:w="0" w:type="auto"/>
            <w:tcMar>
              <w:top w:w="30" w:type="dxa"/>
              <w:left w:w="0" w:type="dxa"/>
              <w:bottom w:w="30" w:type="dxa"/>
              <w:right w:w="20" w:type="dxa"/>
            </w:tcMar>
            <w:vAlign w:val="center"/>
            <w:hideMark/>
          </w:tcPr>
          <w:p w:rsidR="00000000" w:rsidRDefault="001F1FC8">
            <w:pPr>
              <w:jc w:val="right"/>
              <w:rPr>
                <w:rFonts w:eastAsia="Times New Roman"/>
              </w:rPr>
            </w:pPr>
          </w:p>
        </w:tc>
      </w:tr>
      <w:tr w:rsidR="00000000">
        <w:trPr>
          <w:divId w:val="1268199016"/>
        </w:trPr>
        <w:tc>
          <w:tcPr>
            <w:tcW w:w="0" w:type="auto"/>
            <w:gridSpan w:val="3"/>
            <w:tcMar>
              <w:top w:w="30" w:type="dxa"/>
              <w:left w:w="20" w:type="dxa"/>
              <w:bottom w:w="30" w:type="dxa"/>
              <w:right w:w="20" w:type="dxa"/>
            </w:tcMar>
            <w:vAlign w:val="center"/>
            <w:hideMark/>
          </w:tcPr>
          <w:p w:rsidR="00000000" w:rsidRDefault="001F1FC8">
            <w:pPr>
              <w:rPr>
                <w:rFonts w:eastAsia="Times New Roman"/>
              </w:rPr>
            </w:pPr>
            <w:r>
              <w:rPr>
                <w:rFonts w:ascii="Arial" w:eastAsia="Times New Roman" w:hAnsi="Arial" w:cs="Arial"/>
                <w:color w:val="000000"/>
                <w:sz w:val="20"/>
                <w:szCs w:val="20"/>
              </w:rPr>
              <w:t>Power purchase agreements</w:t>
            </w:r>
          </w:p>
        </w:tc>
        <w:tc>
          <w:tcPr>
            <w:tcW w:w="0" w:type="auto"/>
            <w:gridSpan w:val="2"/>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20"/>
                <w:szCs w:val="20"/>
              </w:rPr>
              <w:t>4.5 </w:t>
            </w:r>
          </w:p>
        </w:tc>
        <w:tc>
          <w:tcPr>
            <w:tcW w:w="0" w:type="auto"/>
            <w:tcMar>
              <w:top w:w="30" w:type="dxa"/>
              <w:left w:w="0" w:type="dxa"/>
              <w:bottom w:w="30" w:type="dxa"/>
              <w:right w:w="20" w:type="dxa"/>
            </w:tcMar>
            <w:vAlign w:val="center"/>
            <w:hideMark/>
          </w:tcPr>
          <w:p w:rsidR="00000000" w:rsidRDefault="001F1FC8">
            <w:pPr>
              <w:jc w:val="right"/>
              <w:rPr>
                <w:rFonts w:eastAsia="Times New Roman"/>
              </w:rPr>
            </w:pPr>
            <w:r>
              <w:rPr>
                <w:rFonts w:ascii="Arial" w:eastAsia="Times New Roman" w:hAnsi="Arial" w:cs="Arial"/>
                <w:color w:val="000000"/>
                <w:sz w:val="20"/>
                <w:szCs w:val="20"/>
              </w:rPr>
              <w:t>%</w:t>
            </w:r>
          </w:p>
        </w:tc>
        <w:tc>
          <w:tcPr>
            <w:tcW w:w="0" w:type="auto"/>
            <w:gridSpan w:val="2"/>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20"/>
                <w:szCs w:val="20"/>
              </w:rPr>
              <w:t>63 </w:t>
            </w:r>
          </w:p>
        </w:tc>
        <w:tc>
          <w:tcPr>
            <w:tcW w:w="0" w:type="auto"/>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20"/>
                <w:szCs w:val="20"/>
              </w:rPr>
              <w:t>(18)</w:t>
            </w:r>
          </w:p>
        </w:tc>
        <w:tc>
          <w:tcPr>
            <w:tcW w:w="0" w:type="auto"/>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20"/>
                <w:szCs w:val="20"/>
              </w:rPr>
              <w:t>45 </w:t>
            </w:r>
          </w:p>
        </w:tc>
        <w:tc>
          <w:tcPr>
            <w:tcW w:w="0" w:type="auto"/>
            <w:tcMar>
              <w:top w:w="30" w:type="dxa"/>
              <w:left w:w="0" w:type="dxa"/>
              <w:bottom w:w="30" w:type="dxa"/>
              <w:right w:w="20" w:type="dxa"/>
            </w:tcMar>
            <w:vAlign w:val="center"/>
            <w:hideMark/>
          </w:tcPr>
          <w:p w:rsidR="00000000" w:rsidRDefault="001F1FC8">
            <w:pPr>
              <w:jc w:val="right"/>
              <w:rPr>
                <w:rFonts w:eastAsia="Times New Roman"/>
              </w:rPr>
            </w:pPr>
          </w:p>
        </w:tc>
      </w:tr>
      <w:tr w:rsidR="00000000">
        <w:trPr>
          <w:divId w:val="1268199016"/>
        </w:trPr>
        <w:tc>
          <w:tcPr>
            <w:tcW w:w="0" w:type="auto"/>
            <w:gridSpan w:val="3"/>
            <w:tcMar>
              <w:top w:w="30" w:type="dxa"/>
              <w:left w:w="20" w:type="dxa"/>
              <w:bottom w:w="30" w:type="dxa"/>
              <w:right w:w="20" w:type="dxa"/>
            </w:tcMar>
            <w:vAlign w:val="center"/>
            <w:hideMark/>
          </w:tcPr>
          <w:p w:rsidR="00000000" w:rsidRDefault="001F1FC8">
            <w:pPr>
              <w:divId w:val="660431225"/>
              <w:rPr>
                <w:rFonts w:eastAsia="Times New Roman"/>
              </w:rPr>
            </w:pPr>
            <w:r>
              <w:rPr>
                <w:rFonts w:ascii="Arial" w:eastAsia="Times New Roman" w:hAnsi="Arial" w:cs="Arial"/>
                <w:color w:val="000000"/>
                <w:sz w:val="20"/>
                <w:szCs w:val="20"/>
              </w:rPr>
              <w:t>Project agreemen</w:t>
            </w:r>
            <w:r>
              <w:rPr>
                <w:rFonts w:ascii="Arial" w:eastAsia="Times New Roman" w:hAnsi="Arial" w:cs="Arial"/>
                <w:color w:val="000000"/>
                <w:sz w:val="20"/>
                <w:szCs w:val="20"/>
              </w:rPr>
              <w:t>t</w:t>
            </w:r>
            <w:r>
              <w:rPr>
                <w:rFonts w:ascii="Arial" w:eastAsia="Times New Roman" w:hAnsi="Arial" w:cs="Arial"/>
                <w:color w:val="000000"/>
                <w:sz w:val="10"/>
                <w:szCs w:val="10"/>
              </w:rPr>
              <w:t>1</w:t>
            </w:r>
          </w:p>
        </w:tc>
        <w:tc>
          <w:tcPr>
            <w:tcW w:w="0" w:type="auto"/>
            <w:gridSpan w:val="2"/>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20"/>
                <w:szCs w:val="20"/>
              </w:rPr>
              <w:t>4.0 </w:t>
            </w:r>
          </w:p>
        </w:tc>
        <w:tc>
          <w:tcPr>
            <w:tcW w:w="0" w:type="auto"/>
            <w:tcMar>
              <w:top w:w="30" w:type="dxa"/>
              <w:left w:w="0" w:type="dxa"/>
              <w:bottom w:w="30" w:type="dxa"/>
              <w:right w:w="20" w:type="dxa"/>
            </w:tcMar>
            <w:vAlign w:val="center"/>
            <w:hideMark/>
          </w:tcPr>
          <w:p w:rsidR="00000000" w:rsidRDefault="001F1FC8">
            <w:pPr>
              <w:jc w:val="right"/>
              <w:rPr>
                <w:rFonts w:eastAsia="Times New Roman"/>
              </w:rPr>
            </w:pPr>
            <w:r>
              <w:rPr>
                <w:rFonts w:ascii="Arial" w:eastAsia="Times New Roman" w:hAnsi="Arial" w:cs="Arial"/>
                <w:color w:val="000000"/>
                <w:sz w:val="20"/>
                <w:szCs w:val="20"/>
              </w:rPr>
              <w:t>%</w:t>
            </w:r>
          </w:p>
        </w:tc>
        <w:tc>
          <w:tcPr>
            <w:tcW w:w="0" w:type="auto"/>
            <w:gridSpan w:val="2"/>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20"/>
                <w:szCs w:val="20"/>
              </w:rPr>
              <w:t>153 </w:t>
            </w:r>
          </w:p>
        </w:tc>
        <w:tc>
          <w:tcPr>
            <w:tcW w:w="0" w:type="auto"/>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20"/>
                <w:szCs w:val="20"/>
              </w:rPr>
              <w:t>(21)</w:t>
            </w:r>
          </w:p>
        </w:tc>
        <w:tc>
          <w:tcPr>
            <w:tcW w:w="0" w:type="auto"/>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20"/>
                <w:szCs w:val="20"/>
              </w:rPr>
              <w:t>132 </w:t>
            </w:r>
          </w:p>
        </w:tc>
        <w:tc>
          <w:tcPr>
            <w:tcW w:w="0" w:type="auto"/>
            <w:tcMar>
              <w:top w:w="30" w:type="dxa"/>
              <w:left w:w="0" w:type="dxa"/>
              <w:bottom w:w="30" w:type="dxa"/>
              <w:right w:w="20" w:type="dxa"/>
            </w:tcMar>
            <w:vAlign w:val="center"/>
            <w:hideMark/>
          </w:tcPr>
          <w:p w:rsidR="00000000" w:rsidRDefault="001F1FC8">
            <w:pPr>
              <w:jc w:val="right"/>
              <w:rPr>
                <w:rFonts w:eastAsia="Times New Roman"/>
              </w:rPr>
            </w:pPr>
          </w:p>
        </w:tc>
      </w:tr>
      <w:tr w:rsidR="00000000">
        <w:trPr>
          <w:divId w:val="1268199016"/>
        </w:trPr>
        <w:tc>
          <w:tcPr>
            <w:tcW w:w="0" w:type="auto"/>
            <w:gridSpan w:val="3"/>
            <w:tcMar>
              <w:top w:w="30" w:type="dxa"/>
              <w:left w:w="20" w:type="dxa"/>
              <w:bottom w:w="30" w:type="dxa"/>
              <w:right w:w="20" w:type="dxa"/>
            </w:tcMar>
            <w:vAlign w:val="center"/>
            <w:hideMark/>
          </w:tcPr>
          <w:p w:rsidR="00000000" w:rsidRDefault="001F1FC8">
            <w:pPr>
              <w:rPr>
                <w:rFonts w:eastAsia="Times New Roman"/>
              </w:rPr>
            </w:pPr>
            <w:r>
              <w:rPr>
                <w:rFonts w:ascii="Arial" w:eastAsia="Times New Roman" w:hAnsi="Arial" w:cs="Arial"/>
                <w:color w:val="000000"/>
                <w:sz w:val="20"/>
                <w:szCs w:val="20"/>
              </w:rPr>
              <w:t>Customer relationships</w:t>
            </w:r>
          </w:p>
        </w:tc>
        <w:tc>
          <w:tcPr>
            <w:tcW w:w="0" w:type="auto"/>
            <w:gridSpan w:val="2"/>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20"/>
                <w:szCs w:val="20"/>
              </w:rPr>
              <w:t>5.0 </w:t>
            </w:r>
          </w:p>
        </w:tc>
        <w:tc>
          <w:tcPr>
            <w:tcW w:w="0" w:type="auto"/>
            <w:tcMar>
              <w:top w:w="30" w:type="dxa"/>
              <w:left w:w="0" w:type="dxa"/>
              <w:bottom w:w="30" w:type="dxa"/>
              <w:right w:w="20" w:type="dxa"/>
            </w:tcMar>
            <w:vAlign w:val="center"/>
            <w:hideMark/>
          </w:tcPr>
          <w:p w:rsidR="00000000" w:rsidRDefault="001F1FC8">
            <w:pPr>
              <w:jc w:val="right"/>
              <w:rPr>
                <w:rFonts w:eastAsia="Times New Roman"/>
              </w:rPr>
            </w:pPr>
            <w:r>
              <w:rPr>
                <w:rFonts w:ascii="Arial" w:eastAsia="Times New Roman" w:hAnsi="Arial" w:cs="Arial"/>
                <w:color w:val="000000"/>
                <w:sz w:val="20"/>
                <w:szCs w:val="20"/>
              </w:rPr>
              <w:t>%</w:t>
            </w:r>
          </w:p>
        </w:tc>
        <w:tc>
          <w:tcPr>
            <w:tcW w:w="0" w:type="auto"/>
            <w:gridSpan w:val="2"/>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20"/>
                <w:szCs w:val="20"/>
              </w:rPr>
              <w:t>724 </w:t>
            </w:r>
          </w:p>
        </w:tc>
        <w:tc>
          <w:tcPr>
            <w:tcW w:w="0" w:type="auto"/>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20"/>
                <w:szCs w:val="20"/>
              </w:rPr>
              <w:t>(139)</w:t>
            </w:r>
          </w:p>
        </w:tc>
        <w:tc>
          <w:tcPr>
            <w:tcW w:w="0" w:type="auto"/>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20"/>
                <w:szCs w:val="20"/>
              </w:rPr>
              <w:t>585 </w:t>
            </w:r>
          </w:p>
        </w:tc>
        <w:tc>
          <w:tcPr>
            <w:tcW w:w="0" w:type="auto"/>
            <w:tcMar>
              <w:top w:w="30" w:type="dxa"/>
              <w:left w:w="0" w:type="dxa"/>
              <w:bottom w:w="30" w:type="dxa"/>
              <w:right w:w="20" w:type="dxa"/>
            </w:tcMar>
            <w:vAlign w:val="center"/>
            <w:hideMark/>
          </w:tcPr>
          <w:p w:rsidR="00000000" w:rsidRDefault="001F1FC8">
            <w:pPr>
              <w:jc w:val="right"/>
              <w:rPr>
                <w:rFonts w:eastAsia="Times New Roman"/>
              </w:rPr>
            </w:pPr>
          </w:p>
        </w:tc>
      </w:tr>
      <w:tr w:rsidR="00000000">
        <w:trPr>
          <w:divId w:val="1268199016"/>
        </w:trPr>
        <w:tc>
          <w:tcPr>
            <w:tcW w:w="0" w:type="auto"/>
            <w:gridSpan w:val="3"/>
            <w:tcMar>
              <w:top w:w="30" w:type="dxa"/>
              <w:left w:w="20" w:type="dxa"/>
              <w:bottom w:w="30" w:type="dxa"/>
              <w:right w:w="20" w:type="dxa"/>
            </w:tcMar>
            <w:vAlign w:val="center"/>
            <w:hideMark/>
          </w:tcPr>
          <w:p w:rsidR="00000000" w:rsidRDefault="001F1FC8">
            <w:pPr>
              <w:rPr>
                <w:rFonts w:eastAsia="Times New Roman"/>
              </w:rPr>
            </w:pPr>
            <w:r>
              <w:rPr>
                <w:rFonts w:ascii="Arial" w:eastAsia="Times New Roman" w:hAnsi="Arial" w:cs="Arial"/>
                <w:color w:val="000000"/>
                <w:sz w:val="20"/>
                <w:szCs w:val="20"/>
              </w:rPr>
              <w:t>Other intangible assets</w:t>
            </w:r>
          </w:p>
        </w:tc>
        <w:tc>
          <w:tcPr>
            <w:tcW w:w="0" w:type="auto"/>
            <w:gridSpan w:val="2"/>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20"/>
                <w:szCs w:val="20"/>
              </w:rPr>
              <w:t>2.7 </w:t>
            </w:r>
          </w:p>
        </w:tc>
        <w:tc>
          <w:tcPr>
            <w:tcW w:w="0" w:type="auto"/>
            <w:tcMar>
              <w:top w:w="30" w:type="dxa"/>
              <w:left w:w="0" w:type="dxa"/>
              <w:bottom w:w="30" w:type="dxa"/>
              <w:right w:w="20" w:type="dxa"/>
            </w:tcMar>
            <w:vAlign w:val="center"/>
            <w:hideMark/>
          </w:tcPr>
          <w:p w:rsidR="00000000" w:rsidRDefault="001F1FC8">
            <w:pPr>
              <w:jc w:val="right"/>
              <w:rPr>
                <w:rFonts w:eastAsia="Times New Roman"/>
              </w:rPr>
            </w:pPr>
            <w:r>
              <w:rPr>
                <w:rFonts w:ascii="Arial" w:eastAsia="Times New Roman" w:hAnsi="Arial" w:cs="Arial"/>
                <w:color w:val="000000"/>
                <w:sz w:val="20"/>
                <w:szCs w:val="20"/>
              </w:rPr>
              <w:t>%</w:t>
            </w:r>
          </w:p>
        </w:tc>
        <w:tc>
          <w:tcPr>
            <w:tcW w:w="0" w:type="auto"/>
            <w:gridSpan w:val="2"/>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20"/>
                <w:szCs w:val="20"/>
              </w:rPr>
              <w:t>456 </w:t>
            </w:r>
          </w:p>
        </w:tc>
        <w:tc>
          <w:tcPr>
            <w:tcW w:w="0" w:type="auto"/>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20"/>
                <w:szCs w:val="20"/>
              </w:rPr>
              <w:t>(96)</w:t>
            </w:r>
          </w:p>
        </w:tc>
        <w:tc>
          <w:tcPr>
            <w:tcW w:w="0" w:type="auto"/>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20"/>
                <w:szCs w:val="20"/>
              </w:rPr>
              <w:t>360 </w:t>
            </w:r>
          </w:p>
        </w:tc>
        <w:tc>
          <w:tcPr>
            <w:tcW w:w="0" w:type="auto"/>
            <w:tcMar>
              <w:top w:w="30" w:type="dxa"/>
              <w:left w:w="0" w:type="dxa"/>
              <w:bottom w:w="30" w:type="dxa"/>
              <w:right w:w="20" w:type="dxa"/>
            </w:tcMar>
            <w:vAlign w:val="center"/>
            <w:hideMark/>
          </w:tcPr>
          <w:p w:rsidR="00000000" w:rsidRDefault="001F1FC8">
            <w:pPr>
              <w:jc w:val="right"/>
              <w:rPr>
                <w:rFonts w:eastAsia="Times New Roman"/>
              </w:rPr>
            </w:pPr>
          </w:p>
        </w:tc>
      </w:tr>
      <w:tr w:rsidR="00000000">
        <w:trPr>
          <w:divId w:val="1268199016"/>
        </w:trPr>
        <w:tc>
          <w:tcPr>
            <w:tcW w:w="0" w:type="auto"/>
            <w:gridSpan w:val="3"/>
            <w:tcMar>
              <w:top w:w="30" w:type="dxa"/>
              <w:left w:w="20" w:type="dxa"/>
              <w:bottom w:w="30" w:type="dxa"/>
              <w:right w:w="20" w:type="dxa"/>
            </w:tcMar>
            <w:vAlign w:val="center"/>
            <w:hideMark/>
          </w:tcPr>
          <w:p w:rsidR="00000000" w:rsidRDefault="001F1FC8">
            <w:pPr>
              <w:rPr>
                <w:rFonts w:eastAsia="Times New Roman"/>
              </w:rPr>
            </w:pPr>
            <w:r>
              <w:rPr>
                <w:rFonts w:ascii="Arial" w:eastAsia="Times New Roman" w:hAnsi="Arial" w:cs="Arial"/>
                <w:color w:val="000000"/>
                <w:sz w:val="20"/>
                <w:szCs w:val="20"/>
              </w:rPr>
              <w:t>Under development</w:t>
            </w:r>
          </w:p>
        </w:tc>
        <w:tc>
          <w:tcPr>
            <w:tcW w:w="0" w:type="auto"/>
            <w:gridSpan w:val="2"/>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20"/>
                <w:szCs w:val="20"/>
              </w:rPr>
              <w:t>— </w:t>
            </w:r>
          </w:p>
        </w:tc>
        <w:tc>
          <w:tcPr>
            <w:tcW w:w="0" w:type="auto"/>
            <w:tcMar>
              <w:top w:w="30" w:type="dxa"/>
              <w:left w:w="0" w:type="dxa"/>
              <w:bottom w:w="30" w:type="dxa"/>
              <w:right w:w="20" w:type="dxa"/>
            </w:tcMar>
            <w:vAlign w:val="center"/>
            <w:hideMark/>
          </w:tcPr>
          <w:p w:rsidR="00000000" w:rsidRDefault="001F1FC8">
            <w:pPr>
              <w:jc w:val="right"/>
              <w:rPr>
                <w:rFonts w:eastAsia="Times New Roman"/>
              </w:rPr>
            </w:pPr>
            <w:r>
              <w:rPr>
                <w:rFonts w:ascii="Arial" w:eastAsia="Times New Roman" w:hAnsi="Arial" w:cs="Arial"/>
                <w:color w:val="000000"/>
                <w:sz w:val="20"/>
                <w:szCs w:val="20"/>
              </w:rPr>
              <w:t>%</w:t>
            </w:r>
          </w:p>
        </w:tc>
        <w:tc>
          <w:tcPr>
            <w:tcW w:w="0" w:type="auto"/>
            <w:gridSpan w:val="2"/>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20"/>
                <w:szCs w:val="20"/>
              </w:rPr>
              <w:t>214 </w:t>
            </w:r>
          </w:p>
        </w:tc>
        <w:tc>
          <w:tcPr>
            <w:tcW w:w="0" w:type="auto"/>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20"/>
                <w:szCs w:val="20"/>
              </w:rPr>
              <w:t>— </w:t>
            </w:r>
          </w:p>
        </w:tc>
        <w:tc>
          <w:tcPr>
            <w:tcW w:w="0" w:type="auto"/>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20"/>
                <w:szCs w:val="20"/>
              </w:rPr>
              <w:t>214 </w:t>
            </w:r>
          </w:p>
        </w:tc>
        <w:tc>
          <w:tcPr>
            <w:tcW w:w="0" w:type="auto"/>
            <w:tcMar>
              <w:top w:w="30" w:type="dxa"/>
              <w:left w:w="0" w:type="dxa"/>
              <w:bottom w:w="30" w:type="dxa"/>
              <w:right w:w="20" w:type="dxa"/>
            </w:tcMar>
            <w:vAlign w:val="center"/>
            <w:hideMark/>
          </w:tcPr>
          <w:p w:rsidR="00000000" w:rsidRDefault="001F1FC8">
            <w:pPr>
              <w:jc w:val="right"/>
              <w:rPr>
                <w:rFonts w:eastAsia="Times New Roman"/>
              </w:rPr>
            </w:pPr>
          </w:p>
        </w:tc>
      </w:tr>
      <w:tr w:rsidR="00000000">
        <w:trPr>
          <w:divId w:val="1268199016"/>
        </w:trPr>
        <w:tc>
          <w:tcPr>
            <w:tcW w:w="0" w:type="auto"/>
            <w:gridSpan w:val="3"/>
            <w:tcBorders>
              <w:top w:val="single" w:sz="4" w:space="0" w:color="000000"/>
              <w:bottom w:val="single" w:sz="8" w:space="0" w:color="000000"/>
            </w:tcBorders>
            <w:tcMar>
              <w:top w:w="30" w:type="dxa"/>
              <w:left w:w="20" w:type="dxa"/>
              <w:bottom w:w="30" w:type="dxa"/>
              <w:right w:w="20" w:type="dxa"/>
            </w:tcMar>
            <w:vAlign w:val="center"/>
            <w:hideMark/>
          </w:tcPr>
          <w:p w:rsidR="00000000" w:rsidRDefault="001F1FC8">
            <w:pPr>
              <w:rPr>
                <w:rFonts w:eastAsia="Times New Roman"/>
              </w:rPr>
            </w:pPr>
            <w:r>
              <w:rPr>
                <w:rFonts w:ascii="Arial" w:eastAsia="Times New Roman" w:hAnsi="Arial" w:cs="Arial"/>
                <w:color w:val="000000"/>
                <w:sz w:val="2"/>
                <w:szCs w:val="2"/>
              </w:rPr>
              <w:t> </w:t>
            </w:r>
          </w:p>
        </w:tc>
        <w:tc>
          <w:tcPr>
            <w:tcW w:w="0" w:type="auto"/>
            <w:gridSpan w:val="3"/>
            <w:tcBorders>
              <w:top w:val="single" w:sz="4" w:space="0" w:color="000000"/>
              <w:bottom w:val="single" w:sz="8" w:space="0" w:color="000000"/>
            </w:tcBorders>
            <w:tcMar>
              <w:top w:w="30" w:type="dxa"/>
              <w:left w:w="20" w:type="dxa"/>
              <w:bottom w:w="30" w:type="dxa"/>
              <w:right w:w="20" w:type="dxa"/>
            </w:tcMar>
            <w:vAlign w:val="center"/>
            <w:hideMark/>
          </w:tcPr>
          <w:p w:rsidR="00000000" w:rsidRDefault="001F1FC8">
            <w:pPr>
              <w:jc w:val="right"/>
              <w:rPr>
                <w:rFonts w:eastAsia="Times New Roman"/>
              </w:rPr>
            </w:pPr>
            <w:r>
              <w:rPr>
                <w:rFonts w:ascii="Arial" w:eastAsia="Times New Roman" w:hAnsi="Arial" w:cs="Arial"/>
                <w:color w:val="000000"/>
                <w:sz w:val="2"/>
                <w:szCs w:val="2"/>
              </w:rPr>
              <w:t> </w:t>
            </w:r>
          </w:p>
        </w:tc>
        <w:tc>
          <w:tcPr>
            <w:tcW w:w="0" w:type="auto"/>
            <w:gridSpan w:val="2"/>
            <w:tcBorders>
              <w:top w:val="single" w:sz="4" w:space="0" w:color="000000"/>
              <w:bottom w:val="single" w:sz="8" w:space="0" w:color="000000"/>
            </w:tcBorders>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20"/>
                <w:szCs w:val="20"/>
              </w:rPr>
              <w:t>3,653 </w:t>
            </w:r>
          </w:p>
        </w:tc>
        <w:tc>
          <w:tcPr>
            <w:tcW w:w="0" w:type="auto"/>
            <w:tcBorders>
              <w:top w:val="single" w:sz="4" w:space="0" w:color="000000"/>
              <w:bottom w:val="single" w:sz="8" w:space="0" w:color="000000"/>
            </w:tcBorders>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Borders>
              <w:top w:val="single" w:sz="4" w:space="0" w:color="000000"/>
              <w:bottom w:val="single" w:sz="8" w:space="0" w:color="000000"/>
            </w:tcBorders>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20"/>
                <w:szCs w:val="20"/>
              </w:rPr>
              <w:t>(1,573)</w:t>
            </w:r>
          </w:p>
        </w:tc>
        <w:tc>
          <w:tcPr>
            <w:tcW w:w="0" w:type="auto"/>
            <w:tcBorders>
              <w:top w:val="single" w:sz="4" w:space="0" w:color="000000"/>
              <w:bottom w:val="single" w:sz="8" w:space="0" w:color="000000"/>
            </w:tcBorders>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Borders>
              <w:top w:val="single" w:sz="4" w:space="0" w:color="000000"/>
              <w:bottom w:val="single" w:sz="8" w:space="0" w:color="000000"/>
            </w:tcBorders>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20"/>
                <w:szCs w:val="20"/>
              </w:rPr>
              <w:t>2,080 </w:t>
            </w:r>
          </w:p>
        </w:tc>
        <w:tc>
          <w:tcPr>
            <w:tcW w:w="0" w:type="auto"/>
            <w:tcBorders>
              <w:top w:val="single" w:sz="4" w:space="0" w:color="000000"/>
              <w:bottom w:val="single" w:sz="8" w:space="0" w:color="000000"/>
            </w:tcBorders>
            <w:tcMar>
              <w:top w:w="30" w:type="dxa"/>
              <w:left w:w="0" w:type="dxa"/>
              <w:bottom w:w="30" w:type="dxa"/>
              <w:right w:w="20" w:type="dxa"/>
            </w:tcMar>
            <w:vAlign w:val="center"/>
            <w:hideMark/>
          </w:tcPr>
          <w:p w:rsidR="00000000" w:rsidRDefault="001F1FC8">
            <w:pPr>
              <w:jc w:val="right"/>
              <w:rPr>
                <w:rFonts w:eastAsia="Times New Roman"/>
              </w:rPr>
            </w:pPr>
          </w:p>
        </w:tc>
      </w:tr>
    </w:tbl>
    <w:p w:rsidR="00000000" w:rsidRDefault="001F1FC8">
      <w:pPr>
        <w:ind w:hanging="180"/>
        <w:divId w:val="1452475900"/>
        <w:rPr>
          <w:rFonts w:eastAsia="Times New Roman"/>
        </w:rPr>
      </w:pPr>
      <w:r>
        <w:rPr>
          <w:rFonts w:ascii="Arial" w:eastAsia="Times New Roman" w:hAnsi="Arial" w:cs="Arial"/>
          <w:i/>
          <w:iCs/>
          <w:color w:val="000000"/>
          <w:sz w:val="16"/>
          <w:szCs w:val="16"/>
        </w:rPr>
        <w:t>1</w:t>
      </w:r>
      <w:r>
        <w:rPr>
          <w:rFonts w:ascii="Arial" w:eastAsia="Times New Roman" w:hAnsi="Arial" w:cs="Arial"/>
          <w:i/>
          <w:iCs/>
          <w:color w:val="000000"/>
          <w:sz w:val="16"/>
          <w:szCs w:val="16"/>
        </w:rPr>
        <w:t xml:space="preserve">Represents a project agreement acquired from the merger of Enbridge and Spectra Energy. </w:t>
      </w:r>
    </w:p>
    <w:p w:rsidR="00000000" w:rsidRDefault="001F1FC8">
      <w:pPr>
        <w:divId w:val="407188890"/>
        <w:rPr>
          <w:rFonts w:eastAsia="Times New Roman"/>
        </w:rPr>
      </w:pPr>
    </w:p>
    <w:p w:rsidR="00000000" w:rsidRDefault="001F1FC8">
      <w:pPr>
        <w:divId w:val="2113934123"/>
        <w:rPr>
          <w:rFonts w:eastAsia="Times New Roman"/>
        </w:rPr>
      </w:pPr>
      <w:r>
        <w:rPr>
          <w:rFonts w:ascii="Arial" w:eastAsia="Times New Roman" w:hAnsi="Arial" w:cs="Arial"/>
          <w:color w:val="000000"/>
          <w:sz w:val="20"/>
          <w:szCs w:val="20"/>
        </w:rPr>
        <w:t>For the years ended December 31, 2021, 2020 and 2019, our amortization expense related to intangible assets totaled $348 million, $294 million and $296 million, resp</w:t>
      </w:r>
      <w:r>
        <w:rPr>
          <w:rFonts w:ascii="Arial" w:eastAsia="Times New Roman" w:hAnsi="Arial" w:cs="Arial"/>
          <w:color w:val="000000"/>
          <w:sz w:val="20"/>
          <w:szCs w:val="20"/>
        </w:rPr>
        <w:t>ectively. Our expected amortization expense associated with existing intangible assets for each of the years 2022 to 2026 is $492 million.</w:t>
      </w:r>
    </w:p>
    <w:p w:rsidR="00000000" w:rsidRDefault="001F1FC8">
      <w:pPr>
        <w:divId w:val="1966232755"/>
        <w:rPr>
          <w:rFonts w:eastAsia="Times New Roman"/>
        </w:rPr>
      </w:pPr>
    </w:p>
    <w:p w:rsidR="00000000" w:rsidRDefault="001F1FC8">
      <w:pPr>
        <w:jc w:val="center"/>
        <w:divId w:val="1813130336"/>
        <w:rPr>
          <w:rFonts w:eastAsia="Times New Roman"/>
        </w:rPr>
      </w:pPr>
      <w:r>
        <w:rPr>
          <w:rFonts w:ascii="Arial" w:eastAsia="Times New Roman" w:hAnsi="Arial" w:cs="Arial"/>
          <w:color w:val="000000"/>
          <w:sz w:val="20"/>
          <w:szCs w:val="20"/>
        </w:rPr>
        <w:t>136</w:t>
      </w:r>
    </w:p>
    <w:p w:rsidR="00000000" w:rsidRDefault="001F1FC8">
      <w:pPr>
        <w:rPr>
          <w:rFonts w:eastAsia="Times New Roman"/>
        </w:rPr>
      </w:pPr>
      <w:r>
        <w:rPr>
          <w:rFonts w:eastAsia="Times New Roman"/>
        </w:rPr>
        <w:pict>
          <v:rect id="_x0000_i1166" style="width:0;height:1.5pt" o:hralign="center" o:hrstd="t" o:hr="t" fillcolor="#a0a0a0" stroked="f"/>
        </w:pict>
      </w:r>
    </w:p>
    <w:p w:rsidR="00000000" w:rsidRDefault="001F1FC8">
      <w:pPr>
        <w:jc w:val="center"/>
        <w:divId w:val="687756752"/>
        <w:rPr>
          <w:rFonts w:eastAsia="Times New Roman"/>
        </w:rPr>
      </w:pPr>
    </w:p>
    <w:p w:rsidR="00000000" w:rsidRDefault="001F1FC8">
      <w:pPr>
        <w:divId w:val="917403472"/>
        <w:rPr>
          <w:rFonts w:eastAsia="Times New Roman"/>
        </w:rPr>
      </w:pPr>
      <w:r>
        <w:rPr>
          <w:rFonts w:ascii="Arial" w:eastAsia="Times New Roman" w:hAnsi="Arial" w:cs="Arial"/>
          <w:b/>
          <w:bCs/>
          <w:color w:val="000000"/>
          <w:sz w:val="26"/>
          <w:szCs w:val="26"/>
        </w:rPr>
        <w:t>16.  GOODWILL</w:t>
      </w:r>
    </w:p>
    <w:tbl>
      <w:tblPr>
        <w:tblW w:w="5000" w:type="pct"/>
        <w:tblCellMar>
          <w:top w:w="15" w:type="dxa"/>
          <w:left w:w="15" w:type="dxa"/>
          <w:bottom w:w="15" w:type="dxa"/>
          <w:right w:w="15" w:type="dxa"/>
        </w:tblCellMar>
        <w:tblLook w:val="04A0" w:firstRow="1" w:lastRow="0" w:firstColumn="1" w:lastColumn="0" w:noHBand="0" w:noVBand="1"/>
      </w:tblPr>
      <w:tblGrid>
        <w:gridCol w:w="40"/>
        <w:gridCol w:w="2545"/>
        <w:gridCol w:w="39"/>
        <w:gridCol w:w="68"/>
        <w:gridCol w:w="881"/>
        <w:gridCol w:w="36"/>
        <w:gridCol w:w="89"/>
        <w:gridCol w:w="1133"/>
        <w:gridCol w:w="36"/>
        <w:gridCol w:w="77"/>
        <w:gridCol w:w="957"/>
        <w:gridCol w:w="36"/>
        <w:gridCol w:w="36"/>
        <w:gridCol w:w="60"/>
        <w:gridCol w:w="965"/>
        <w:gridCol w:w="36"/>
        <w:gridCol w:w="36"/>
        <w:gridCol w:w="89"/>
        <w:gridCol w:w="1111"/>
        <w:gridCol w:w="36"/>
      </w:tblGrid>
      <w:tr w:rsidR="00000000">
        <w:trPr>
          <w:divId w:val="1403916020"/>
        </w:trPr>
        <w:tc>
          <w:tcPr>
            <w:tcW w:w="50" w:type="pct"/>
            <w:vAlign w:val="center"/>
            <w:hideMark/>
          </w:tcPr>
          <w:p w:rsidR="00000000" w:rsidRDefault="001F1FC8">
            <w:pPr>
              <w:rPr>
                <w:rFonts w:eastAsia="Times New Roman"/>
              </w:rPr>
            </w:pPr>
          </w:p>
        </w:tc>
        <w:tc>
          <w:tcPr>
            <w:tcW w:w="1571"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c>
          <w:tcPr>
            <w:tcW w:w="50" w:type="pct"/>
            <w:vAlign w:val="center"/>
            <w:hideMark/>
          </w:tcPr>
          <w:p w:rsidR="00000000" w:rsidRDefault="001F1FC8">
            <w:pPr>
              <w:rPr>
                <w:rFonts w:eastAsia="Times New Roman"/>
                <w:sz w:val="20"/>
                <w:szCs w:val="20"/>
              </w:rPr>
            </w:pPr>
          </w:p>
        </w:tc>
        <w:tc>
          <w:tcPr>
            <w:tcW w:w="578"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c>
          <w:tcPr>
            <w:tcW w:w="50" w:type="pct"/>
            <w:vAlign w:val="center"/>
            <w:hideMark/>
          </w:tcPr>
          <w:p w:rsidR="00000000" w:rsidRDefault="001F1FC8">
            <w:pPr>
              <w:rPr>
                <w:rFonts w:eastAsia="Times New Roman"/>
                <w:sz w:val="20"/>
                <w:szCs w:val="20"/>
              </w:rPr>
            </w:pPr>
          </w:p>
        </w:tc>
        <w:tc>
          <w:tcPr>
            <w:tcW w:w="642"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c>
          <w:tcPr>
            <w:tcW w:w="50" w:type="pct"/>
            <w:vAlign w:val="center"/>
            <w:hideMark/>
          </w:tcPr>
          <w:p w:rsidR="00000000" w:rsidRDefault="001F1FC8">
            <w:pPr>
              <w:rPr>
                <w:rFonts w:eastAsia="Times New Roman"/>
                <w:sz w:val="20"/>
                <w:szCs w:val="20"/>
              </w:rPr>
            </w:pPr>
          </w:p>
        </w:tc>
        <w:tc>
          <w:tcPr>
            <w:tcW w:w="626"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c>
          <w:tcPr>
            <w:tcW w:w="0" w:type="auto"/>
            <w:vAlign w:val="center"/>
            <w:hideMark/>
          </w:tcPr>
          <w:p w:rsidR="00000000" w:rsidRDefault="001F1FC8">
            <w:pPr>
              <w:rPr>
                <w:rFonts w:eastAsia="Times New Roman"/>
                <w:sz w:val="20"/>
                <w:szCs w:val="20"/>
              </w:rPr>
            </w:pPr>
          </w:p>
        </w:tc>
        <w:tc>
          <w:tcPr>
            <w:tcW w:w="50" w:type="pct"/>
            <w:vAlign w:val="center"/>
            <w:hideMark/>
          </w:tcPr>
          <w:p w:rsidR="00000000" w:rsidRDefault="001F1FC8">
            <w:pPr>
              <w:rPr>
                <w:rFonts w:eastAsia="Times New Roman"/>
                <w:sz w:val="20"/>
                <w:szCs w:val="20"/>
              </w:rPr>
            </w:pPr>
          </w:p>
        </w:tc>
        <w:tc>
          <w:tcPr>
            <w:tcW w:w="626"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c>
          <w:tcPr>
            <w:tcW w:w="0" w:type="auto"/>
            <w:vAlign w:val="center"/>
            <w:hideMark/>
          </w:tcPr>
          <w:p w:rsidR="00000000" w:rsidRDefault="001F1FC8">
            <w:pPr>
              <w:rPr>
                <w:rFonts w:eastAsia="Times New Roman"/>
                <w:sz w:val="20"/>
                <w:szCs w:val="20"/>
              </w:rPr>
            </w:pPr>
          </w:p>
        </w:tc>
        <w:tc>
          <w:tcPr>
            <w:tcW w:w="50" w:type="pct"/>
            <w:vAlign w:val="center"/>
            <w:hideMark/>
          </w:tcPr>
          <w:p w:rsidR="00000000" w:rsidRDefault="001F1FC8">
            <w:pPr>
              <w:rPr>
                <w:rFonts w:eastAsia="Times New Roman"/>
                <w:sz w:val="20"/>
                <w:szCs w:val="20"/>
              </w:rPr>
            </w:pPr>
          </w:p>
        </w:tc>
        <w:tc>
          <w:tcPr>
            <w:tcW w:w="626"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r>
      <w:tr w:rsidR="00000000">
        <w:trPr>
          <w:divId w:val="1403916020"/>
        </w:trPr>
        <w:tc>
          <w:tcPr>
            <w:tcW w:w="0" w:type="auto"/>
            <w:gridSpan w:val="3"/>
            <w:tcMar>
              <w:top w:w="0" w:type="dxa"/>
              <w:left w:w="20" w:type="dxa"/>
              <w:bottom w:w="0" w:type="dxa"/>
              <w:right w:w="20" w:type="dxa"/>
            </w:tcMar>
            <w:vAlign w:val="center"/>
            <w:hideMark/>
          </w:tcPr>
          <w:p w:rsidR="00000000" w:rsidRDefault="001F1FC8">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Liquids</w:t>
            </w:r>
            <w:r>
              <w:rPr>
                <w:rFonts w:ascii="Arial" w:eastAsia="Times New Roman" w:hAnsi="Arial" w:cs="Arial"/>
                <w:color w:val="000000"/>
                <w:sz w:val="20"/>
                <w:szCs w:val="20"/>
              </w:rPr>
              <w:br/>
              <w:t>Pipelines</w:t>
            </w:r>
          </w:p>
        </w:tc>
        <w:tc>
          <w:tcPr>
            <w:tcW w:w="0" w:type="auto"/>
            <w:gridSpan w:val="3"/>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Gas</w:t>
            </w:r>
            <w:r>
              <w:rPr>
                <w:rFonts w:ascii="Arial" w:eastAsia="Times New Roman" w:hAnsi="Arial" w:cs="Arial"/>
                <w:color w:val="000000"/>
                <w:sz w:val="20"/>
                <w:szCs w:val="20"/>
              </w:rPr>
              <w:br/>
            </w:r>
            <w:r>
              <w:rPr>
                <w:rFonts w:ascii="Arial" w:eastAsia="Times New Roman" w:hAnsi="Arial" w:cs="Arial"/>
                <w:color w:val="000000"/>
                <w:sz w:val="20"/>
                <w:szCs w:val="20"/>
              </w:rPr>
              <w:t xml:space="preserve">Transmission and Midstream </w:t>
            </w:r>
          </w:p>
        </w:tc>
        <w:tc>
          <w:tcPr>
            <w:tcW w:w="0" w:type="auto"/>
            <w:gridSpan w:val="3"/>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Gas</w:t>
            </w:r>
            <w:r>
              <w:rPr>
                <w:rFonts w:ascii="Arial" w:eastAsia="Times New Roman" w:hAnsi="Arial" w:cs="Arial"/>
                <w:color w:val="000000"/>
                <w:sz w:val="20"/>
                <w:szCs w:val="20"/>
              </w:rPr>
              <w:br/>
              <w:t>Distribution and Storage</w:t>
            </w:r>
          </w:p>
        </w:tc>
        <w:tc>
          <w:tcPr>
            <w:tcW w:w="0" w:type="auto"/>
            <w:vAlign w:val="center"/>
            <w:hideMark/>
          </w:tcPr>
          <w:p w:rsidR="00000000" w:rsidRDefault="001F1FC8">
            <w:pPr>
              <w:jc w:val="right"/>
              <w:rPr>
                <w:rFonts w:eastAsia="Times New Roman"/>
              </w:rPr>
            </w:pPr>
          </w:p>
        </w:tc>
        <w:tc>
          <w:tcPr>
            <w:tcW w:w="0" w:type="auto"/>
            <w:gridSpan w:val="3"/>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Energy</w:t>
            </w:r>
            <w:r>
              <w:rPr>
                <w:rFonts w:ascii="Arial" w:eastAsia="Times New Roman" w:hAnsi="Arial" w:cs="Arial"/>
                <w:color w:val="000000"/>
                <w:sz w:val="20"/>
                <w:szCs w:val="20"/>
              </w:rPr>
              <w:br/>
              <w:t>Services</w:t>
            </w:r>
          </w:p>
        </w:tc>
        <w:tc>
          <w:tcPr>
            <w:tcW w:w="0" w:type="auto"/>
            <w:vAlign w:val="center"/>
            <w:hideMark/>
          </w:tcPr>
          <w:p w:rsidR="00000000" w:rsidRDefault="001F1FC8">
            <w:pPr>
              <w:jc w:val="right"/>
              <w:rPr>
                <w:rFonts w:eastAsia="Times New Roman"/>
              </w:rPr>
            </w:pPr>
          </w:p>
        </w:tc>
        <w:tc>
          <w:tcPr>
            <w:tcW w:w="0" w:type="auto"/>
            <w:gridSpan w:val="3"/>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Consolidated</w:t>
            </w:r>
          </w:p>
        </w:tc>
      </w:tr>
      <w:tr w:rsidR="00000000">
        <w:trPr>
          <w:divId w:val="1403916020"/>
        </w:trPr>
        <w:tc>
          <w:tcPr>
            <w:tcW w:w="0" w:type="auto"/>
            <w:gridSpan w:val="3"/>
            <w:tcBorders>
              <w:top w:val="single" w:sz="4" w:space="0" w:color="000000"/>
            </w:tcBorders>
            <w:tcMar>
              <w:top w:w="30" w:type="dxa"/>
              <w:left w:w="20" w:type="dxa"/>
              <w:bottom w:w="30" w:type="dxa"/>
              <w:right w:w="20" w:type="dxa"/>
            </w:tcMar>
            <w:hideMark/>
          </w:tcPr>
          <w:p w:rsidR="00000000" w:rsidRDefault="001F1FC8">
            <w:pPr>
              <w:rPr>
                <w:rFonts w:eastAsia="Times New Roman"/>
              </w:rPr>
            </w:pPr>
            <w:r>
              <w:rPr>
                <w:rFonts w:ascii="Arial" w:eastAsia="Times New Roman" w:hAnsi="Arial" w:cs="Arial"/>
                <w:i/>
                <w:iCs/>
                <w:color w:val="000000"/>
                <w:sz w:val="16"/>
                <w:szCs w:val="16"/>
              </w:rPr>
              <w:t>(millions of Canadian dollars)</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1F1FC8">
            <w:pPr>
              <w:rPr>
                <w:rFonts w:eastAsia="Times New Roman"/>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1F1FC8">
            <w:pPr>
              <w:rPr>
                <w:rFonts w:eastAsia="Times New Roman"/>
                <w:sz w:val="20"/>
                <w:szCs w:val="20"/>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1F1FC8">
            <w:pPr>
              <w:rPr>
                <w:rFonts w:eastAsia="Times New Roman"/>
                <w:sz w:val="20"/>
                <w:szCs w:val="20"/>
              </w:rPr>
            </w:pPr>
          </w:p>
        </w:tc>
        <w:tc>
          <w:tcPr>
            <w:tcW w:w="0" w:type="auto"/>
            <w:vAlign w:val="center"/>
            <w:hideMark/>
          </w:tcPr>
          <w:p w:rsidR="00000000" w:rsidRDefault="001F1FC8">
            <w:pPr>
              <w:rPr>
                <w:rFonts w:eastAsia="Times New Roman"/>
                <w:sz w:val="20"/>
                <w:szCs w:val="20"/>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1F1FC8">
            <w:pPr>
              <w:rPr>
                <w:rFonts w:eastAsia="Times New Roman"/>
                <w:sz w:val="20"/>
                <w:szCs w:val="20"/>
              </w:rPr>
            </w:pPr>
          </w:p>
        </w:tc>
        <w:tc>
          <w:tcPr>
            <w:tcW w:w="0" w:type="auto"/>
            <w:vAlign w:val="center"/>
            <w:hideMark/>
          </w:tcPr>
          <w:p w:rsidR="00000000" w:rsidRDefault="001F1FC8">
            <w:pPr>
              <w:rPr>
                <w:rFonts w:eastAsia="Times New Roman"/>
                <w:sz w:val="20"/>
                <w:szCs w:val="20"/>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1F1FC8">
            <w:pPr>
              <w:rPr>
                <w:rFonts w:eastAsia="Times New Roman"/>
                <w:sz w:val="20"/>
                <w:szCs w:val="20"/>
              </w:rPr>
            </w:pPr>
          </w:p>
        </w:tc>
      </w:tr>
      <w:tr w:rsidR="00000000">
        <w:trPr>
          <w:divId w:val="1403916020"/>
        </w:trPr>
        <w:tc>
          <w:tcPr>
            <w:tcW w:w="0" w:type="auto"/>
            <w:gridSpan w:val="3"/>
            <w:tcMar>
              <w:top w:w="30" w:type="dxa"/>
              <w:left w:w="20" w:type="dxa"/>
              <w:bottom w:w="30" w:type="dxa"/>
              <w:right w:w="20" w:type="dxa"/>
            </w:tcMar>
            <w:vAlign w:val="bottom"/>
            <w:hideMark/>
          </w:tcPr>
          <w:p w:rsidR="00000000" w:rsidRDefault="001F1FC8">
            <w:pPr>
              <w:rPr>
                <w:rFonts w:eastAsia="Times New Roman"/>
              </w:rPr>
            </w:pPr>
            <w:r>
              <w:rPr>
                <w:rFonts w:ascii="Arial" w:eastAsia="Times New Roman" w:hAnsi="Arial" w:cs="Arial"/>
                <w:color w:val="000000"/>
                <w:sz w:val="20"/>
                <w:szCs w:val="20"/>
              </w:rPr>
              <w:t>Balance at January 1, 2020</w:t>
            </w:r>
          </w:p>
        </w:tc>
        <w:tc>
          <w:tcPr>
            <w:tcW w:w="0" w:type="auto"/>
            <w:gridSpan w:val="2"/>
            <w:shd w:val="clear" w:color="auto" w:fill="FFFFFF"/>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7,951 </w:t>
            </w:r>
          </w:p>
        </w:tc>
        <w:tc>
          <w:tcPr>
            <w:tcW w:w="0" w:type="auto"/>
            <w:shd w:val="clear" w:color="auto" w:fill="FFFFFF"/>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19,844 </w:t>
            </w:r>
          </w:p>
        </w:tc>
        <w:tc>
          <w:tcPr>
            <w:tcW w:w="0" w:type="auto"/>
            <w:shd w:val="clear" w:color="auto" w:fill="FFFFFF"/>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5,356 </w:t>
            </w:r>
          </w:p>
        </w:tc>
        <w:tc>
          <w:tcPr>
            <w:tcW w:w="0" w:type="auto"/>
            <w:shd w:val="clear" w:color="auto" w:fill="FFFFFF"/>
            <w:tcMar>
              <w:top w:w="30" w:type="dxa"/>
              <w:left w:w="0" w:type="dxa"/>
              <w:bottom w:w="30" w:type="dxa"/>
              <w:right w:w="20" w:type="dxa"/>
            </w:tcMar>
            <w:vAlign w:val="bottom"/>
            <w:hideMark/>
          </w:tcPr>
          <w:p w:rsidR="00000000" w:rsidRDefault="001F1FC8">
            <w:pPr>
              <w:jc w:val="right"/>
              <w:rPr>
                <w:rFonts w:eastAsia="Times New Roman"/>
              </w:rPr>
            </w:pPr>
          </w:p>
        </w:tc>
        <w:tc>
          <w:tcPr>
            <w:tcW w:w="0" w:type="auto"/>
            <w:vAlign w:val="center"/>
            <w:hideMark/>
          </w:tcPr>
          <w:p w:rsidR="00000000" w:rsidRDefault="001F1FC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2 </w:t>
            </w:r>
          </w:p>
        </w:tc>
        <w:tc>
          <w:tcPr>
            <w:tcW w:w="0" w:type="auto"/>
            <w:shd w:val="clear" w:color="auto" w:fill="FFFFFF"/>
            <w:tcMar>
              <w:top w:w="30" w:type="dxa"/>
              <w:left w:w="0" w:type="dxa"/>
              <w:bottom w:w="30" w:type="dxa"/>
              <w:right w:w="20" w:type="dxa"/>
            </w:tcMar>
            <w:vAlign w:val="bottom"/>
            <w:hideMark/>
          </w:tcPr>
          <w:p w:rsidR="00000000" w:rsidRDefault="001F1FC8">
            <w:pPr>
              <w:jc w:val="right"/>
              <w:rPr>
                <w:rFonts w:eastAsia="Times New Roman"/>
              </w:rPr>
            </w:pPr>
          </w:p>
        </w:tc>
        <w:tc>
          <w:tcPr>
            <w:tcW w:w="0" w:type="auto"/>
            <w:vAlign w:val="center"/>
            <w:hideMark/>
          </w:tcPr>
          <w:p w:rsidR="00000000" w:rsidRDefault="001F1FC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33,153 </w:t>
            </w:r>
          </w:p>
        </w:tc>
        <w:tc>
          <w:tcPr>
            <w:tcW w:w="0" w:type="auto"/>
            <w:shd w:val="clear" w:color="auto" w:fill="FFFFFF"/>
            <w:tcMar>
              <w:top w:w="30" w:type="dxa"/>
              <w:left w:w="0" w:type="dxa"/>
              <w:bottom w:w="30" w:type="dxa"/>
              <w:right w:w="20" w:type="dxa"/>
            </w:tcMar>
            <w:vAlign w:val="bottom"/>
            <w:hideMark/>
          </w:tcPr>
          <w:p w:rsidR="00000000" w:rsidRDefault="001F1FC8">
            <w:pPr>
              <w:jc w:val="right"/>
              <w:rPr>
                <w:rFonts w:eastAsia="Times New Roman"/>
              </w:rPr>
            </w:pPr>
          </w:p>
        </w:tc>
      </w:tr>
      <w:tr w:rsidR="00000000">
        <w:trPr>
          <w:divId w:val="1403916020"/>
        </w:trPr>
        <w:tc>
          <w:tcPr>
            <w:tcW w:w="0" w:type="auto"/>
            <w:gridSpan w:val="3"/>
            <w:tcMar>
              <w:top w:w="30" w:type="dxa"/>
              <w:left w:w="20" w:type="dxa"/>
              <w:bottom w:w="30" w:type="dxa"/>
              <w:right w:w="20" w:type="dxa"/>
            </w:tcMar>
            <w:vAlign w:val="bottom"/>
            <w:hideMark/>
          </w:tcPr>
          <w:p w:rsidR="00000000" w:rsidRDefault="001F1FC8">
            <w:pPr>
              <w:rPr>
                <w:rFonts w:eastAsia="Times New Roman"/>
              </w:rPr>
            </w:pPr>
            <w:r>
              <w:rPr>
                <w:rFonts w:ascii="Arial" w:eastAsia="Times New Roman" w:hAnsi="Arial" w:cs="Arial"/>
                <w:color w:val="000000"/>
                <w:sz w:val="20"/>
                <w:szCs w:val="20"/>
              </w:rPr>
              <w:t>Foreign exchange and other</w:t>
            </w:r>
          </w:p>
        </w:tc>
        <w:tc>
          <w:tcPr>
            <w:tcW w:w="0" w:type="auto"/>
            <w:gridSpan w:val="2"/>
            <w:shd w:val="clear" w:color="auto" w:fill="FFFFFF"/>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(123)</w:t>
            </w:r>
          </w:p>
        </w:tc>
        <w:tc>
          <w:tcPr>
            <w:tcW w:w="0" w:type="auto"/>
            <w:shd w:val="clear" w:color="auto" w:fill="FFFFFF"/>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(364)</w:t>
            </w:r>
          </w:p>
        </w:tc>
        <w:tc>
          <w:tcPr>
            <w:tcW w:w="0" w:type="auto"/>
            <w:shd w:val="clear" w:color="auto" w:fill="FFFFFF"/>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1F1FC8">
            <w:pPr>
              <w:jc w:val="right"/>
              <w:rPr>
                <w:rFonts w:eastAsia="Times New Roman"/>
              </w:rPr>
            </w:pPr>
          </w:p>
        </w:tc>
        <w:tc>
          <w:tcPr>
            <w:tcW w:w="0" w:type="auto"/>
            <w:vAlign w:val="center"/>
            <w:hideMark/>
          </w:tcPr>
          <w:p w:rsidR="00000000" w:rsidRDefault="001F1FC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1F1FC8">
            <w:pPr>
              <w:jc w:val="right"/>
              <w:rPr>
                <w:rFonts w:eastAsia="Times New Roman"/>
              </w:rPr>
            </w:pPr>
          </w:p>
        </w:tc>
        <w:tc>
          <w:tcPr>
            <w:tcW w:w="0" w:type="auto"/>
            <w:vAlign w:val="center"/>
            <w:hideMark/>
          </w:tcPr>
          <w:p w:rsidR="00000000" w:rsidRDefault="001F1FC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(487)</w:t>
            </w:r>
          </w:p>
        </w:tc>
        <w:tc>
          <w:tcPr>
            <w:tcW w:w="0" w:type="auto"/>
            <w:shd w:val="clear" w:color="auto" w:fill="FFFFFF"/>
            <w:tcMar>
              <w:top w:w="30" w:type="dxa"/>
              <w:left w:w="0" w:type="dxa"/>
              <w:bottom w:w="30" w:type="dxa"/>
              <w:right w:w="20" w:type="dxa"/>
            </w:tcMar>
            <w:vAlign w:val="bottom"/>
            <w:hideMark/>
          </w:tcPr>
          <w:p w:rsidR="00000000" w:rsidRDefault="001F1FC8">
            <w:pPr>
              <w:jc w:val="right"/>
              <w:rPr>
                <w:rFonts w:eastAsia="Times New Roman"/>
              </w:rPr>
            </w:pPr>
          </w:p>
        </w:tc>
      </w:tr>
      <w:tr w:rsidR="00000000">
        <w:trPr>
          <w:divId w:val="1403916020"/>
        </w:trPr>
        <w:tc>
          <w:tcPr>
            <w:tcW w:w="0" w:type="auto"/>
            <w:gridSpan w:val="3"/>
            <w:tcMar>
              <w:top w:w="30" w:type="dxa"/>
              <w:left w:w="20" w:type="dxa"/>
              <w:bottom w:w="30" w:type="dxa"/>
              <w:right w:w="20" w:type="dxa"/>
            </w:tcMar>
            <w:vAlign w:val="bottom"/>
            <w:hideMark/>
          </w:tcPr>
          <w:p w:rsidR="00000000" w:rsidRDefault="001F1FC8">
            <w:pPr>
              <w:rPr>
                <w:rFonts w:eastAsia="Times New Roman"/>
              </w:rPr>
            </w:pPr>
            <w:r>
              <w:rPr>
                <w:rFonts w:ascii="Arial" w:eastAsia="Times New Roman" w:hAnsi="Arial" w:cs="Arial"/>
                <w:color w:val="000000"/>
                <w:sz w:val="20"/>
                <w:szCs w:val="20"/>
              </w:rPr>
              <w:t>Acquisition</w:t>
            </w:r>
          </w:p>
        </w:tc>
        <w:tc>
          <w:tcPr>
            <w:tcW w:w="0" w:type="auto"/>
            <w:gridSpan w:val="2"/>
            <w:shd w:val="clear" w:color="auto" w:fill="FFFFFF"/>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22 </w:t>
            </w:r>
          </w:p>
        </w:tc>
        <w:tc>
          <w:tcPr>
            <w:tcW w:w="0" w:type="auto"/>
            <w:shd w:val="clear" w:color="auto" w:fill="FFFFFF"/>
            <w:tcMar>
              <w:top w:w="30" w:type="dxa"/>
              <w:left w:w="0" w:type="dxa"/>
              <w:bottom w:w="30" w:type="dxa"/>
              <w:right w:w="20" w:type="dxa"/>
            </w:tcMar>
            <w:vAlign w:val="bottom"/>
            <w:hideMark/>
          </w:tcPr>
          <w:p w:rsidR="00000000" w:rsidRDefault="001F1FC8">
            <w:pPr>
              <w:jc w:val="right"/>
              <w:rPr>
                <w:rFonts w:eastAsia="Times New Roman"/>
              </w:rPr>
            </w:pPr>
          </w:p>
        </w:tc>
        <w:tc>
          <w:tcPr>
            <w:tcW w:w="0" w:type="auto"/>
            <w:vAlign w:val="center"/>
            <w:hideMark/>
          </w:tcPr>
          <w:p w:rsidR="00000000" w:rsidRDefault="001F1FC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1F1FC8">
            <w:pPr>
              <w:jc w:val="right"/>
              <w:rPr>
                <w:rFonts w:eastAsia="Times New Roman"/>
              </w:rPr>
            </w:pPr>
          </w:p>
        </w:tc>
        <w:tc>
          <w:tcPr>
            <w:tcW w:w="0" w:type="auto"/>
            <w:vAlign w:val="center"/>
            <w:hideMark/>
          </w:tcPr>
          <w:p w:rsidR="00000000" w:rsidRDefault="001F1FC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22 </w:t>
            </w:r>
          </w:p>
        </w:tc>
        <w:tc>
          <w:tcPr>
            <w:tcW w:w="0" w:type="auto"/>
            <w:shd w:val="clear" w:color="auto" w:fill="FFFFFF"/>
            <w:tcMar>
              <w:top w:w="30" w:type="dxa"/>
              <w:left w:w="0" w:type="dxa"/>
              <w:bottom w:w="30" w:type="dxa"/>
              <w:right w:w="20" w:type="dxa"/>
            </w:tcMar>
            <w:vAlign w:val="bottom"/>
            <w:hideMark/>
          </w:tcPr>
          <w:p w:rsidR="00000000" w:rsidRDefault="001F1FC8">
            <w:pPr>
              <w:jc w:val="right"/>
              <w:rPr>
                <w:rFonts w:eastAsia="Times New Roman"/>
              </w:rPr>
            </w:pPr>
          </w:p>
        </w:tc>
      </w:tr>
      <w:tr w:rsidR="00000000">
        <w:trPr>
          <w:divId w:val="1403916020"/>
        </w:trPr>
        <w:tc>
          <w:tcPr>
            <w:tcW w:w="0" w:type="auto"/>
            <w:gridSpan w:val="3"/>
            <w:tcBorders>
              <w:top w:val="single" w:sz="8" w:space="0" w:color="000000"/>
            </w:tcBorders>
            <w:tcMar>
              <w:top w:w="30" w:type="dxa"/>
              <w:left w:w="20" w:type="dxa"/>
              <w:bottom w:w="30" w:type="dxa"/>
              <w:right w:w="20" w:type="dxa"/>
            </w:tcMar>
            <w:vAlign w:val="bottom"/>
            <w:hideMark/>
          </w:tcPr>
          <w:p w:rsidR="00000000" w:rsidRDefault="001F1FC8">
            <w:pPr>
              <w:divId w:val="1482575092"/>
              <w:rPr>
                <w:rFonts w:eastAsia="Times New Roman"/>
              </w:rPr>
            </w:pPr>
            <w:r>
              <w:rPr>
                <w:rFonts w:ascii="Arial" w:eastAsia="Times New Roman" w:hAnsi="Arial" w:cs="Arial"/>
                <w:color w:val="000000"/>
                <w:sz w:val="20"/>
                <w:szCs w:val="20"/>
              </w:rPr>
              <w:t>Balance at December 31, 202</w:t>
            </w:r>
            <w:r>
              <w:rPr>
                <w:rFonts w:ascii="Arial" w:eastAsia="Times New Roman" w:hAnsi="Arial" w:cs="Arial"/>
                <w:color w:val="000000"/>
                <w:sz w:val="20"/>
                <w:szCs w:val="20"/>
              </w:rPr>
              <w:t>0</w:t>
            </w:r>
            <w:r>
              <w:rPr>
                <w:rFonts w:ascii="Arial" w:eastAsia="Times New Roman" w:hAnsi="Arial" w:cs="Arial"/>
                <w:color w:val="000000"/>
                <w:sz w:val="10"/>
                <w:szCs w:val="10"/>
              </w:rPr>
              <w:t>1,</w:t>
            </w:r>
            <w:r>
              <w:rPr>
                <w:rFonts w:ascii="Arial" w:eastAsia="Times New Roman" w:hAnsi="Arial" w:cs="Arial"/>
                <w:color w:val="000000"/>
                <w:sz w:val="10"/>
                <w:szCs w:val="10"/>
              </w:rPr>
              <w:t>2</w:t>
            </w: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7,828 </w:t>
            </w:r>
          </w:p>
        </w:tc>
        <w:tc>
          <w:tcPr>
            <w:tcW w:w="0" w:type="auto"/>
            <w:tcBorders>
              <w:top w:val="single" w:sz="8" w:space="0" w:color="000000"/>
            </w:tcBorders>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19,480 </w:t>
            </w:r>
          </w:p>
        </w:tc>
        <w:tc>
          <w:tcPr>
            <w:tcW w:w="0" w:type="auto"/>
            <w:tcBorders>
              <w:top w:val="single" w:sz="8" w:space="0" w:color="000000"/>
            </w:tcBorders>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5,378 </w:t>
            </w:r>
          </w:p>
        </w:tc>
        <w:tc>
          <w:tcPr>
            <w:tcW w:w="0" w:type="auto"/>
            <w:tcBorders>
              <w:top w:val="single" w:sz="8" w:space="0" w:color="000000"/>
            </w:tcBorders>
            <w:tcMar>
              <w:top w:w="30" w:type="dxa"/>
              <w:left w:w="0" w:type="dxa"/>
              <w:bottom w:w="30" w:type="dxa"/>
              <w:right w:w="20" w:type="dxa"/>
            </w:tcMar>
            <w:vAlign w:val="bottom"/>
            <w:hideMark/>
          </w:tcPr>
          <w:p w:rsidR="00000000" w:rsidRDefault="001F1FC8">
            <w:pPr>
              <w:jc w:val="right"/>
              <w:rPr>
                <w:rFonts w:eastAsia="Times New Roman"/>
              </w:rPr>
            </w:pPr>
          </w:p>
        </w:tc>
        <w:tc>
          <w:tcPr>
            <w:tcW w:w="0" w:type="auto"/>
            <w:vAlign w:val="center"/>
            <w:hideMark/>
          </w:tcPr>
          <w:p w:rsidR="00000000" w:rsidRDefault="001F1FC8">
            <w:pPr>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2 </w:t>
            </w:r>
          </w:p>
        </w:tc>
        <w:tc>
          <w:tcPr>
            <w:tcW w:w="0" w:type="auto"/>
            <w:tcBorders>
              <w:top w:val="single" w:sz="8" w:space="0" w:color="000000"/>
            </w:tcBorders>
            <w:tcMar>
              <w:top w:w="30" w:type="dxa"/>
              <w:left w:w="0" w:type="dxa"/>
              <w:bottom w:w="30" w:type="dxa"/>
              <w:right w:w="20" w:type="dxa"/>
            </w:tcMar>
            <w:vAlign w:val="bottom"/>
            <w:hideMark/>
          </w:tcPr>
          <w:p w:rsidR="00000000" w:rsidRDefault="001F1FC8">
            <w:pPr>
              <w:jc w:val="right"/>
              <w:rPr>
                <w:rFonts w:eastAsia="Times New Roman"/>
              </w:rPr>
            </w:pPr>
          </w:p>
        </w:tc>
        <w:tc>
          <w:tcPr>
            <w:tcW w:w="0" w:type="auto"/>
            <w:vAlign w:val="center"/>
            <w:hideMark/>
          </w:tcPr>
          <w:p w:rsidR="00000000" w:rsidRDefault="001F1FC8">
            <w:pPr>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32,688 </w:t>
            </w:r>
          </w:p>
        </w:tc>
        <w:tc>
          <w:tcPr>
            <w:tcW w:w="0" w:type="auto"/>
            <w:tcBorders>
              <w:top w:val="single" w:sz="8" w:space="0" w:color="000000"/>
            </w:tcBorders>
            <w:tcMar>
              <w:top w:w="30" w:type="dxa"/>
              <w:left w:w="0" w:type="dxa"/>
              <w:bottom w:w="30" w:type="dxa"/>
              <w:right w:w="20" w:type="dxa"/>
            </w:tcMar>
            <w:vAlign w:val="bottom"/>
            <w:hideMark/>
          </w:tcPr>
          <w:p w:rsidR="00000000" w:rsidRDefault="001F1FC8">
            <w:pPr>
              <w:jc w:val="right"/>
              <w:rPr>
                <w:rFonts w:eastAsia="Times New Roman"/>
              </w:rPr>
            </w:pPr>
          </w:p>
        </w:tc>
      </w:tr>
      <w:tr w:rsidR="00000000">
        <w:trPr>
          <w:divId w:val="1403916020"/>
        </w:trPr>
        <w:tc>
          <w:tcPr>
            <w:tcW w:w="0" w:type="auto"/>
            <w:gridSpan w:val="3"/>
            <w:vAlign w:val="center"/>
            <w:hideMark/>
          </w:tcPr>
          <w:p w:rsidR="00000000" w:rsidRDefault="001F1FC8">
            <w:pPr>
              <w:jc w:val="right"/>
              <w:rPr>
                <w:rFonts w:eastAsia="Times New Roman"/>
                <w:sz w:val="20"/>
                <w:szCs w:val="20"/>
              </w:rPr>
            </w:pPr>
          </w:p>
        </w:tc>
        <w:tc>
          <w:tcPr>
            <w:tcW w:w="0" w:type="auto"/>
            <w:gridSpan w:val="3"/>
            <w:vAlign w:val="center"/>
            <w:hideMark/>
          </w:tcPr>
          <w:p w:rsidR="00000000" w:rsidRDefault="001F1FC8">
            <w:pPr>
              <w:rPr>
                <w:rFonts w:eastAsia="Times New Roman"/>
                <w:sz w:val="20"/>
                <w:szCs w:val="20"/>
              </w:rPr>
            </w:pPr>
          </w:p>
        </w:tc>
        <w:tc>
          <w:tcPr>
            <w:tcW w:w="0" w:type="auto"/>
            <w:gridSpan w:val="3"/>
            <w:vAlign w:val="center"/>
            <w:hideMark/>
          </w:tcPr>
          <w:p w:rsidR="00000000" w:rsidRDefault="001F1FC8">
            <w:pPr>
              <w:rPr>
                <w:rFonts w:eastAsia="Times New Roman"/>
                <w:sz w:val="20"/>
                <w:szCs w:val="20"/>
              </w:rPr>
            </w:pPr>
          </w:p>
        </w:tc>
        <w:tc>
          <w:tcPr>
            <w:tcW w:w="0" w:type="auto"/>
            <w:gridSpan w:val="3"/>
            <w:vAlign w:val="center"/>
            <w:hideMark/>
          </w:tcPr>
          <w:p w:rsidR="00000000" w:rsidRDefault="001F1FC8">
            <w:pPr>
              <w:rPr>
                <w:rFonts w:eastAsia="Times New Roman"/>
                <w:sz w:val="20"/>
                <w:szCs w:val="20"/>
              </w:rPr>
            </w:pPr>
          </w:p>
        </w:tc>
        <w:tc>
          <w:tcPr>
            <w:tcW w:w="0" w:type="auto"/>
            <w:vAlign w:val="center"/>
            <w:hideMark/>
          </w:tcPr>
          <w:p w:rsidR="00000000" w:rsidRDefault="001F1FC8">
            <w:pPr>
              <w:rPr>
                <w:rFonts w:eastAsia="Times New Roman"/>
                <w:sz w:val="20"/>
                <w:szCs w:val="20"/>
              </w:rPr>
            </w:pPr>
          </w:p>
        </w:tc>
        <w:tc>
          <w:tcPr>
            <w:tcW w:w="0" w:type="auto"/>
            <w:gridSpan w:val="3"/>
            <w:vAlign w:val="center"/>
            <w:hideMark/>
          </w:tcPr>
          <w:p w:rsidR="00000000" w:rsidRDefault="001F1FC8">
            <w:pPr>
              <w:rPr>
                <w:rFonts w:eastAsia="Times New Roman"/>
                <w:sz w:val="20"/>
                <w:szCs w:val="20"/>
              </w:rPr>
            </w:pPr>
          </w:p>
        </w:tc>
        <w:tc>
          <w:tcPr>
            <w:tcW w:w="0" w:type="auto"/>
            <w:vAlign w:val="center"/>
            <w:hideMark/>
          </w:tcPr>
          <w:p w:rsidR="00000000" w:rsidRDefault="001F1FC8">
            <w:pPr>
              <w:rPr>
                <w:rFonts w:eastAsia="Times New Roman"/>
                <w:sz w:val="20"/>
                <w:szCs w:val="20"/>
              </w:rPr>
            </w:pPr>
          </w:p>
        </w:tc>
        <w:tc>
          <w:tcPr>
            <w:tcW w:w="0" w:type="auto"/>
            <w:gridSpan w:val="3"/>
            <w:vAlign w:val="center"/>
            <w:hideMark/>
          </w:tcPr>
          <w:p w:rsidR="00000000" w:rsidRDefault="001F1FC8">
            <w:pPr>
              <w:rPr>
                <w:rFonts w:eastAsia="Times New Roman"/>
                <w:sz w:val="20"/>
                <w:szCs w:val="20"/>
              </w:rPr>
            </w:pPr>
          </w:p>
        </w:tc>
      </w:tr>
      <w:tr w:rsidR="00000000">
        <w:trPr>
          <w:divId w:val="1403916020"/>
        </w:trPr>
        <w:tc>
          <w:tcPr>
            <w:tcW w:w="0" w:type="auto"/>
            <w:gridSpan w:val="3"/>
            <w:vAlign w:val="center"/>
            <w:hideMark/>
          </w:tcPr>
          <w:p w:rsidR="00000000" w:rsidRDefault="001F1FC8">
            <w:pPr>
              <w:rPr>
                <w:rFonts w:eastAsia="Times New Roman"/>
                <w:sz w:val="20"/>
                <w:szCs w:val="20"/>
              </w:rPr>
            </w:pPr>
          </w:p>
        </w:tc>
        <w:tc>
          <w:tcPr>
            <w:tcW w:w="0" w:type="auto"/>
            <w:gridSpan w:val="3"/>
            <w:vAlign w:val="center"/>
            <w:hideMark/>
          </w:tcPr>
          <w:p w:rsidR="00000000" w:rsidRDefault="001F1FC8">
            <w:pPr>
              <w:rPr>
                <w:rFonts w:eastAsia="Times New Roman"/>
                <w:sz w:val="20"/>
                <w:szCs w:val="20"/>
              </w:rPr>
            </w:pPr>
          </w:p>
        </w:tc>
        <w:tc>
          <w:tcPr>
            <w:tcW w:w="0" w:type="auto"/>
            <w:gridSpan w:val="3"/>
            <w:vAlign w:val="center"/>
            <w:hideMark/>
          </w:tcPr>
          <w:p w:rsidR="00000000" w:rsidRDefault="001F1FC8">
            <w:pPr>
              <w:rPr>
                <w:rFonts w:eastAsia="Times New Roman"/>
                <w:sz w:val="20"/>
                <w:szCs w:val="20"/>
              </w:rPr>
            </w:pPr>
          </w:p>
        </w:tc>
        <w:tc>
          <w:tcPr>
            <w:tcW w:w="0" w:type="auto"/>
            <w:gridSpan w:val="3"/>
            <w:vAlign w:val="center"/>
            <w:hideMark/>
          </w:tcPr>
          <w:p w:rsidR="00000000" w:rsidRDefault="001F1FC8">
            <w:pPr>
              <w:rPr>
                <w:rFonts w:eastAsia="Times New Roman"/>
                <w:sz w:val="20"/>
                <w:szCs w:val="20"/>
              </w:rPr>
            </w:pPr>
          </w:p>
        </w:tc>
        <w:tc>
          <w:tcPr>
            <w:tcW w:w="0" w:type="auto"/>
            <w:vAlign w:val="center"/>
            <w:hideMark/>
          </w:tcPr>
          <w:p w:rsidR="00000000" w:rsidRDefault="001F1FC8">
            <w:pPr>
              <w:rPr>
                <w:rFonts w:eastAsia="Times New Roman"/>
                <w:sz w:val="20"/>
                <w:szCs w:val="20"/>
              </w:rPr>
            </w:pPr>
          </w:p>
        </w:tc>
        <w:tc>
          <w:tcPr>
            <w:tcW w:w="0" w:type="auto"/>
            <w:gridSpan w:val="3"/>
            <w:vAlign w:val="center"/>
            <w:hideMark/>
          </w:tcPr>
          <w:p w:rsidR="00000000" w:rsidRDefault="001F1FC8">
            <w:pPr>
              <w:rPr>
                <w:rFonts w:eastAsia="Times New Roman"/>
                <w:sz w:val="20"/>
                <w:szCs w:val="20"/>
              </w:rPr>
            </w:pPr>
          </w:p>
        </w:tc>
        <w:tc>
          <w:tcPr>
            <w:tcW w:w="0" w:type="auto"/>
            <w:vAlign w:val="center"/>
            <w:hideMark/>
          </w:tcPr>
          <w:p w:rsidR="00000000" w:rsidRDefault="001F1FC8">
            <w:pPr>
              <w:rPr>
                <w:rFonts w:eastAsia="Times New Roman"/>
                <w:sz w:val="20"/>
                <w:szCs w:val="20"/>
              </w:rPr>
            </w:pPr>
          </w:p>
        </w:tc>
        <w:tc>
          <w:tcPr>
            <w:tcW w:w="0" w:type="auto"/>
            <w:gridSpan w:val="3"/>
            <w:vAlign w:val="center"/>
            <w:hideMark/>
          </w:tcPr>
          <w:p w:rsidR="00000000" w:rsidRDefault="001F1FC8">
            <w:pPr>
              <w:rPr>
                <w:rFonts w:eastAsia="Times New Roman"/>
                <w:sz w:val="20"/>
                <w:szCs w:val="20"/>
              </w:rPr>
            </w:pPr>
          </w:p>
        </w:tc>
      </w:tr>
      <w:tr w:rsidR="00000000">
        <w:trPr>
          <w:divId w:val="1403916020"/>
        </w:trPr>
        <w:tc>
          <w:tcPr>
            <w:tcW w:w="0" w:type="auto"/>
            <w:gridSpan w:val="3"/>
            <w:tcMar>
              <w:top w:w="30" w:type="dxa"/>
              <w:left w:w="20" w:type="dxa"/>
              <w:bottom w:w="30" w:type="dxa"/>
              <w:right w:w="20" w:type="dxa"/>
            </w:tcMar>
            <w:vAlign w:val="center"/>
            <w:hideMark/>
          </w:tcPr>
          <w:p w:rsidR="00000000" w:rsidRDefault="001F1FC8">
            <w:pPr>
              <w:rPr>
                <w:rFonts w:eastAsia="Times New Roman"/>
              </w:rPr>
            </w:pPr>
            <w:r>
              <w:rPr>
                <w:rFonts w:ascii="Arial" w:eastAsia="Times New Roman" w:hAnsi="Arial" w:cs="Arial"/>
                <w:color w:val="000000"/>
                <w:sz w:val="20"/>
                <w:szCs w:val="20"/>
              </w:rPr>
              <w:t>Foreign exchange and other</w:t>
            </w:r>
          </w:p>
        </w:tc>
        <w:tc>
          <w:tcPr>
            <w:tcW w:w="0" w:type="auto"/>
            <w:gridSpan w:val="2"/>
            <w:shd w:val="clear" w:color="auto" w:fill="DBDBDB"/>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20"/>
                <w:szCs w:val="20"/>
              </w:rPr>
              <w:t>(55)</w:t>
            </w:r>
          </w:p>
        </w:tc>
        <w:tc>
          <w:tcPr>
            <w:tcW w:w="0" w:type="auto"/>
            <w:shd w:val="clear" w:color="auto" w:fill="DBDBDB"/>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shd w:val="clear" w:color="auto" w:fill="DBDBDB"/>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20"/>
                <w:szCs w:val="20"/>
              </w:rPr>
              <w:t>(145)</w:t>
            </w:r>
          </w:p>
        </w:tc>
        <w:tc>
          <w:tcPr>
            <w:tcW w:w="0" w:type="auto"/>
            <w:shd w:val="clear" w:color="auto" w:fill="DBDBDB"/>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shd w:val="clear" w:color="auto" w:fill="DBDBDB"/>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20"/>
                <w:szCs w:val="20"/>
              </w:rPr>
              <w:t>—</w:t>
            </w:r>
            <w:r>
              <w:rPr>
                <w:rFonts w:ascii="Arial" w:eastAsia="Times New Roman" w:hAnsi="Arial" w:cs="Arial"/>
                <w:color w:val="000000"/>
                <w:sz w:val="20"/>
                <w:szCs w:val="20"/>
              </w:rPr>
              <w:t> </w:t>
            </w:r>
          </w:p>
        </w:tc>
        <w:tc>
          <w:tcPr>
            <w:tcW w:w="0" w:type="auto"/>
            <w:shd w:val="clear" w:color="auto" w:fill="DBDBDB"/>
            <w:tcMar>
              <w:top w:w="30" w:type="dxa"/>
              <w:left w:w="0" w:type="dxa"/>
              <w:bottom w:w="30" w:type="dxa"/>
              <w:right w:w="20" w:type="dxa"/>
            </w:tcMar>
            <w:vAlign w:val="bottom"/>
            <w:hideMark/>
          </w:tcPr>
          <w:p w:rsidR="00000000" w:rsidRDefault="001F1FC8">
            <w:pPr>
              <w:jc w:val="right"/>
              <w:rPr>
                <w:rFonts w:eastAsia="Times New Roman"/>
              </w:rPr>
            </w:pPr>
          </w:p>
        </w:tc>
        <w:tc>
          <w:tcPr>
            <w:tcW w:w="0" w:type="auto"/>
            <w:vAlign w:val="center"/>
            <w:hideMark/>
          </w:tcPr>
          <w:p w:rsidR="00000000" w:rsidRDefault="001F1FC8">
            <w:pPr>
              <w:jc w:val="right"/>
              <w:rPr>
                <w:rFonts w:eastAsia="Times New Roman"/>
                <w:sz w:val="20"/>
                <w:szCs w:val="20"/>
              </w:rPr>
            </w:pPr>
          </w:p>
        </w:tc>
        <w:tc>
          <w:tcPr>
            <w:tcW w:w="0" w:type="auto"/>
            <w:gridSpan w:val="2"/>
            <w:shd w:val="clear" w:color="auto" w:fill="DBDBDB"/>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20"/>
                <w:szCs w:val="20"/>
              </w:rPr>
              <w:t>—</w:t>
            </w:r>
            <w:r>
              <w:rPr>
                <w:rFonts w:ascii="Arial" w:eastAsia="Times New Roman" w:hAnsi="Arial" w:cs="Arial"/>
                <w:color w:val="000000"/>
                <w:sz w:val="20"/>
                <w:szCs w:val="20"/>
              </w:rPr>
              <w:t> </w:t>
            </w:r>
          </w:p>
        </w:tc>
        <w:tc>
          <w:tcPr>
            <w:tcW w:w="0" w:type="auto"/>
            <w:shd w:val="clear" w:color="auto" w:fill="DBDBDB"/>
            <w:tcMar>
              <w:top w:w="30" w:type="dxa"/>
              <w:left w:w="0" w:type="dxa"/>
              <w:bottom w:w="30" w:type="dxa"/>
              <w:right w:w="20" w:type="dxa"/>
            </w:tcMar>
            <w:vAlign w:val="bottom"/>
            <w:hideMark/>
          </w:tcPr>
          <w:p w:rsidR="00000000" w:rsidRDefault="001F1FC8">
            <w:pPr>
              <w:jc w:val="right"/>
              <w:rPr>
                <w:rFonts w:eastAsia="Times New Roman"/>
              </w:rPr>
            </w:pPr>
          </w:p>
        </w:tc>
        <w:tc>
          <w:tcPr>
            <w:tcW w:w="0" w:type="auto"/>
            <w:vAlign w:val="center"/>
            <w:hideMark/>
          </w:tcPr>
          <w:p w:rsidR="00000000" w:rsidRDefault="001F1FC8">
            <w:pPr>
              <w:jc w:val="right"/>
              <w:rPr>
                <w:rFonts w:eastAsia="Times New Roman"/>
                <w:sz w:val="20"/>
                <w:szCs w:val="20"/>
              </w:rPr>
            </w:pPr>
          </w:p>
        </w:tc>
        <w:tc>
          <w:tcPr>
            <w:tcW w:w="0" w:type="auto"/>
            <w:gridSpan w:val="2"/>
            <w:shd w:val="clear" w:color="auto" w:fill="DBDBDB"/>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20"/>
                <w:szCs w:val="20"/>
              </w:rPr>
              <w:t>(200)</w:t>
            </w:r>
          </w:p>
        </w:tc>
        <w:tc>
          <w:tcPr>
            <w:tcW w:w="0" w:type="auto"/>
            <w:shd w:val="clear" w:color="auto" w:fill="DBDBDB"/>
            <w:tcMar>
              <w:top w:w="30" w:type="dxa"/>
              <w:left w:w="0" w:type="dxa"/>
              <w:bottom w:w="30" w:type="dxa"/>
              <w:right w:w="20" w:type="dxa"/>
            </w:tcMar>
            <w:vAlign w:val="bottom"/>
            <w:hideMark/>
          </w:tcPr>
          <w:p w:rsidR="00000000" w:rsidRDefault="001F1FC8">
            <w:pPr>
              <w:jc w:val="right"/>
              <w:rPr>
                <w:rFonts w:eastAsia="Times New Roman"/>
              </w:rPr>
            </w:pPr>
          </w:p>
        </w:tc>
      </w:tr>
      <w:tr w:rsidR="00000000">
        <w:trPr>
          <w:divId w:val="1403916020"/>
        </w:trPr>
        <w:tc>
          <w:tcPr>
            <w:tcW w:w="0" w:type="auto"/>
            <w:gridSpan w:val="3"/>
            <w:tcMar>
              <w:top w:w="30" w:type="dxa"/>
              <w:left w:w="20" w:type="dxa"/>
              <w:bottom w:w="30" w:type="dxa"/>
              <w:right w:w="20" w:type="dxa"/>
            </w:tcMar>
            <w:hideMark/>
          </w:tcPr>
          <w:p w:rsidR="00000000" w:rsidRDefault="001F1FC8">
            <w:pPr>
              <w:divId w:val="1148402115"/>
              <w:rPr>
                <w:rFonts w:eastAsia="Times New Roman"/>
              </w:rPr>
            </w:pPr>
            <w:r>
              <w:rPr>
                <w:rFonts w:ascii="Arial" w:eastAsia="Times New Roman" w:hAnsi="Arial" w:cs="Arial"/>
                <w:color w:val="000000"/>
                <w:sz w:val="20"/>
                <w:szCs w:val="20"/>
              </w:rPr>
              <w:t>Acquisitio</w:t>
            </w:r>
            <w:r>
              <w:rPr>
                <w:rFonts w:ascii="Arial" w:eastAsia="Times New Roman" w:hAnsi="Arial" w:cs="Arial"/>
                <w:color w:val="000000"/>
                <w:sz w:val="20"/>
                <w:szCs w:val="20"/>
              </w:rPr>
              <w:t>n</w:t>
            </w:r>
            <w:r>
              <w:rPr>
                <w:rFonts w:ascii="Arial" w:eastAsia="Times New Roman" w:hAnsi="Arial" w:cs="Arial"/>
                <w:color w:val="000000"/>
                <w:sz w:val="10"/>
                <w:szCs w:val="10"/>
              </w:rPr>
              <w:t>3</w:t>
            </w:r>
          </w:p>
        </w:tc>
        <w:tc>
          <w:tcPr>
            <w:tcW w:w="0" w:type="auto"/>
            <w:gridSpan w:val="2"/>
            <w:shd w:val="clear" w:color="auto" w:fill="DBDBDB"/>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20"/>
                <w:szCs w:val="20"/>
              </w:rPr>
              <w:t>268</w:t>
            </w:r>
            <w:r>
              <w:rPr>
                <w:rFonts w:ascii="Arial" w:eastAsia="Times New Roman" w:hAnsi="Arial" w:cs="Arial"/>
                <w:color w:val="000000"/>
                <w:sz w:val="20"/>
                <w:szCs w:val="20"/>
              </w:rPr>
              <w:t> </w:t>
            </w:r>
          </w:p>
        </w:tc>
        <w:tc>
          <w:tcPr>
            <w:tcW w:w="0" w:type="auto"/>
            <w:shd w:val="clear" w:color="auto" w:fill="DBDBDB"/>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shd w:val="clear" w:color="auto" w:fill="DBDBDB"/>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20"/>
                <w:szCs w:val="20"/>
              </w:rPr>
              <w:t>—</w:t>
            </w:r>
            <w:r>
              <w:rPr>
                <w:rFonts w:ascii="Arial" w:eastAsia="Times New Roman" w:hAnsi="Arial" w:cs="Arial"/>
                <w:color w:val="000000"/>
                <w:sz w:val="20"/>
                <w:szCs w:val="20"/>
              </w:rPr>
              <w:t> </w:t>
            </w:r>
          </w:p>
        </w:tc>
        <w:tc>
          <w:tcPr>
            <w:tcW w:w="0" w:type="auto"/>
            <w:shd w:val="clear" w:color="auto" w:fill="DBDBDB"/>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shd w:val="clear" w:color="auto" w:fill="DBDBDB"/>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20"/>
                <w:szCs w:val="20"/>
              </w:rPr>
              <w:t>19</w:t>
            </w:r>
            <w:r>
              <w:rPr>
                <w:rFonts w:ascii="Arial" w:eastAsia="Times New Roman" w:hAnsi="Arial" w:cs="Arial"/>
                <w:color w:val="000000"/>
                <w:sz w:val="20"/>
                <w:szCs w:val="20"/>
              </w:rPr>
              <w:t> </w:t>
            </w:r>
          </w:p>
        </w:tc>
        <w:tc>
          <w:tcPr>
            <w:tcW w:w="0" w:type="auto"/>
            <w:shd w:val="clear" w:color="auto" w:fill="DBDBDB"/>
            <w:tcMar>
              <w:top w:w="30" w:type="dxa"/>
              <w:left w:w="0" w:type="dxa"/>
              <w:bottom w:w="30" w:type="dxa"/>
              <w:right w:w="20" w:type="dxa"/>
            </w:tcMar>
            <w:vAlign w:val="bottom"/>
            <w:hideMark/>
          </w:tcPr>
          <w:p w:rsidR="00000000" w:rsidRDefault="001F1FC8">
            <w:pPr>
              <w:jc w:val="right"/>
              <w:rPr>
                <w:rFonts w:eastAsia="Times New Roman"/>
              </w:rPr>
            </w:pPr>
          </w:p>
        </w:tc>
        <w:tc>
          <w:tcPr>
            <w:tcW w:w="0" w:type="auto"/>
            <w:vAlign w:val="center"/>
            <w:hideMark/>
          </w:tcPr>
          <w:p w:rsidR="00000000" w:rsidRDefault="001F1FC8">
            <w:pPr>
              <w:jc w:val="right"/>
              <w:rPr>
                <w:rFonts w:eastAsia="Times New Roman"/>
                <w:sz w:val="20"/>
                <w:szCs w:val="20"/>
              </w:rPr>
            </w:pPr>
          </w:p>
        </w:tc>
        <w:tc>
          <w:tcPr>
            <w:tcW w:w="0" w:type="auto"/>
            <w:gridSpan w:val="2"/>
            <w:shd w:val="clear" w:color="auto" w:fill="DBDBDB"/>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20"/>
                <w:szCs w:val="20"/>
              </w:rPr>
              <w:t>—</w:t>
            </w:r>
            <w:r>
              <w:rPr>
                <w:rFonts w:ascii="Arial" w:eastAsia="Times New Roman" w:hAnsi="Arial" w:cs="Arial"/>
                <w:color w:val="000000"/>
                <w:sz w:val="20"/>
                <w:szCs w:val="20"/>
              </w:rPr>
              <w:t> </w:t>
            </w:r>
          </w:p>
        </w:tc>
        <w:tc>
          <w:tcPr>
            <w:tcW w:w="0" w:type="auto"/>
            <w:shd w:val="clear" w:color="auto" w:fill="DBDBDB"/>
            <w:tcMar>
              <w:top w:w="30" w:type="dxa"/>
              <w:left w:w="0" w:type="dxa"/>
              <w:bottom w:w="30" w:type="dxa"/>
              <w:right w:w="20" w:type="dxa"/>
            </w:tcMar>
            <w:vAlign w:val="bottom"/>
            <w:hideMark/>
          </w:tcPr>
          <w:p w:rsidR="00000000" w:rsidRDefault="001F1FC8">
            <w:pPr>
              <w:jc w:val="right"/>
              <w:rPr>
                <w:rFonts w:eastAsia="Times New Roman"/>
              </w:rPr>
            </w:pPr>
          </w:p>
        </w:tc>
        <w:tc>
          <w:tcPr>
            <w:tcW w:w="0" w:type="auto"/>
            <w:vAlign w:val="center"/>
            <w:hideMark/>
          </w:tcPr>
          <w:p w:rsidR="00000000" w:rsidRDefault="001F1FC8">
            <w:pPr>
              <w:jc w:val="right"/>
              <w:rPr>
                <w:rFonts w:eastAsia="Times New Roman"/>
                <w:sz w:val="20"/>
                <w:szCs w:val="20"/>
              </w:rPr>
            </w:pPr>
          </w:p>
        </w:tc>
        <w:tc>
          <w:tcPr>
            <w:tcW w:w="0" w:type="auto"/>
            <w:gridSpan w:val="2"/>
            <w:shd w:val="clear" w:color="auto" w:fill="DBDBDB"/>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20"/>
                <w:szCs w:val="20"/>
              </w:rPr>
              <w:t>287</w:t>
            </w:r>
            <w:r>
              <w:rPr>
                <w:rFonts w:ascii="Arial" w:eastAsia="Times New Roman" w:hAnsi="Arial" w:cs="Arial"/>
                <w:color w:val="000000"/>
                <w:sz w:val="20"/>
                <w:szCs w:val="20"/>
              </w:rPr>
              <w:t> </w:t>
            </w:r>
          </w:p>
        </w:tc>
        <w:tc>
          <w:tcPr>
            <w:tcW w:w="0" w:type="auto"/>
            <w:shd w:val="clear" w:color="auto" w:fill="DBDBDB"/>
            <w:tcMar>
              <w:top w:w="30" w:type="dxa"/>
              <w:left w:w="0" w:type="dxa"/>
              <w:bottom w:w="30" w:type="dxa"/>
              <w:right w:w="20" w:type="dxa"/>
            </w:tcMar>
            <w:vAlign w:val="bottom"/>
            <w:hideMark/>
          </w:tcPr>
          <w:p w:rsidR="00000000" w:rsidRDefault="001F1FC8">
            <w:pPr>
              <w:jc w:val="right"/>
              <w:rPr>
                <w:rFonts w:eastAsia="Times New Roman"/>
              </w:rPr>
            </w:pPr>
          </w:p>
        </w:tc>
      </w:tr>
      <w:tr w:rsidR="00000000">
        <w:trPr>
          <w:divId w:val="1403916020"/>
        </w:trPr>
        <w:tc>
          <w:tcPr>
            <w:tcW w:w="0" w:type="auto"/>
            <w:gridSpan w:val="3"/>
            <w:tcBorders>
              <w:top w:val="single" w:sz="4" w:space="0" w:color="000000"/>
              <w:bottom w:val="single" w:sz="8" w:space="0" w:color="000000"/>
            </w:tcBorders>
            <w:tcMar>
              <w:top w:w="30" w:type="dxa"/>
              <w:left w:w="20" w:type="dxa"/>
              <w:bottom w:w="30" w:type="dxa"/>
              <w:right w:w="20" w:type="dxa"/>
            </w:tcMar>
            <w:vAlign w:val="bottom"/>
            <w:hideMark/>
          </w:tcPr>
          <w:p w:rsidR="00000000" w:rsidRDefault="001F1FC8">
            <w:pPr>
              <w:divId w:val="279382989"/>
              <w:rPr>
                <w:rFonts w:eastAsia="Times New Roman"/>
              </w:rPr>
            </w:pPr>
            <w:r>
              <w:rPr>
                <w:rFonts w:ascii="Arial" w:eastAsia="Times New Roman" w:hAnsi="Arial" w:cs="Arial"/>
                <w:color w:val="000000"/>
                <w:sz w:val="20"/>
                <w:szCs w:val="20"/>
              </w:rPr>
              <w:t>Balance at December 31, 202</w:t>
            </w:r>
            <w:r>
              <w:rPr>
                <w:rFonts w:ascii="Arial" w:eastAsia="Times New Roman" w:hAnsi="Arial" w:cs="Arial"/>
                <w:color w:val="000000"/>
                <w:sz w:val="20"/>
                <w:szCs w:val="20"/>
              </w:rPr>
              <w:t>1</w:t>
            </w:r>
            <w:r>
              <w:rPr>
                <w:rFonts w:ascii="Arial" w:eastAsia="Times New Roman" w:hAnsi="Arial" w:cs="Arial"/>
                <w:color w:val="000000"/>
                <w:sz w:val="10"/>
                <w:szCs w:val="10"/>
              </w:rPr>
              <w:t>1,</w:t>
            </w:r>
            <w:r>
              <w:rPr>
                <w:rFonts w:ascii="Arial" w:eastAsia="Times New Roman" w:hAnsi="Arial" w:cs="Arial"/>
                <w:color w:val="000000"/>
                <w:sz w:val="10"/>
                <w:szCs w:val="10"/>
              </w:rPr>
              <w:t>2</w:t>
            </w:r>
          </w:p>
        </w:tc>
        <w:tc>
          <w:tcPr>
            <w:tcW w:w="0" w:type="auto"/>
            <w:gridSpan w:val="2"/>
            <w:tcBorders>
              <w:top w:val="single" w:sz="4" w:space="0" w:color="000000"/>
              <w:bottom w:val="single" w:sz="8" w:space="0" w:color="000000"/>
            </w:tcBorders>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20"/>
                <w:szCs w:val="20"/>
              </w:rPr>
              <w:t>8,041</w:t>
            </w:r>
            <w:r>
              <w:rPr>
                <w:rFonts w:ascii="Arial" w:eastAsia="Times New Roman" w:hAnsi="Arial" w:cs="Arial"/>
                <w:color w:val="000000"/>
                <w:sz w:val="20"/>
                <w:szCs w:val="20"/>
              </w:rPr>
              <w:t> </w:t>
            </w:r>
          </w:p>
        </w:tc>
        <w:tc>
          <w:tcPr>
            <w:tcW w:w="0" w:type="auto"/>
            <w:tcBorders>
              <w:top w:val="single" w:sz="4" w:space="0" w:color="000000"/>
              <w:bottom w:val="single" w:sz="8" w:space="0" w:color="000000"/>
            </w:tcBorders>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Borders>
              <w:top w:val="single" w:sz="4" w:space="0" w:color="000000"/>
              <w:bottom w:val="single" w:sz="8" w:space="0" w:color="000000"/>
            </w:tcBorders>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20"/>
                <w:szCs w:val="20"/>
              </w:rPr>
              <w:t>19,335</w:t>
            </w:r>
            <w:r>
              <w:rPr>
                <w:rFonts w:ascii="Arial" w:eastAsia="Times New Roman" w:hAnsi="Arial" w:cs="Arial"/>
                <w:color w:val="000000"/>
                <w:sz w:val="20"/>
                <w:szCs w:val="20"/>
              </w:rPr>
              <w:t> </w:t>
            </w:r>
          </w:p>
        </w:tc>
        <w:tc>
          <w:tcPr>
            <w:tcW w:w="0" w:type="auto"/>
            <w:tcBorders>
              <w:top w:val="single" w:sz="4" w:space="0" w:color="000000"/>
              <w:bottom w:val="single" w:sz="8" w:space="0" w:color="000000"/>
            </w:tcBorders>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Borders>
              <w:top w:val="single" w:sz="4" w:space="0" w:color="000000"/>
              <w:bottom w:val="single" w:sz="8" w:space="0" w:color="000000"/>
            </w:tcBorders>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20"/>
                <w:szCs w:val="20"/>
              </w:rPr>
              <w:t>5,397</w:t>
            </w:r>
            <w:r>
              <w:rPr>
                <w:rFonts w:ascii="Arial" w:eastAsia="Times New Roman" w:hAnsi="Arial" w:cs="Arial"/>
                <w:color w:val="000000"/>
                <w:sz w:val="20"/>
                <w:szCs w:val="20"/>
              </w:rPr>
              <w:t> </w:t>
            </w:r>
          </w:p>
        </w:tc>
        <w:tc>
          <w:tcPr>
            <w:tcW w:w="0" w:type="auto"/>
            <w:tcBorders>
              <w:top w:val="single" w:sz="4" w:space="0" w:color="000000"/>
              <w:bottom w:val="single" w:sz="8" w:space="0" w:color="000000"/>
            </w:tcBorders>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vAlign w:val="center"/>
            <w:hideMark/>
          </w:tcPr>
          <w:p w:rsidR="00000000" w:rsidRDefault="001F1FC8">
            <w:pPr>
              <w:jc w:val="right"/>
              <w:rPr>
                <w:rFonts w:eastAsia="Times New Roman"/>
                <w:sz w:val="20"/>
                <w:szCs w:val="20"/>
              </w:rPr>
            </w:pPr>
          </w:p>
        </w:tc>
        <w:tc>
          <w:tcPr>
            <w:tcW w:w="0" w:type="auto"/>
            <w:gridSpan w:val="2"/>
            <w:tcBorders>
              <w:top w:val="single" w:sz="4" w:space="0" w:color="000000"/>
              <w:bottom w:val="single" w:sz="8" w:space="0" w:color="000000"/>
            </w:tcBorders>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20"/>
                <w:szCs w:val="20"/>
              </w:rPr>
              <w:t>2</w:t>
            </w:r>
            <w:r>
              <w:rPr>
                <w:rFonts w:ascii="Arial" w:eastAsia="Times New Roman" w:hAnsi="Arial" w:cs="Arial"/>
                <w:color w:val="000000"/>
                <w:sz w:val="20"/>
                <w:szCs w:val="20"/>
              </w:rPr>
              <w:t> </w:t>
            </w:r>
          </w:p>
        </w:tc>
        <w:tc>
          <w:tcPr>
            <w:tcW w:w="0" w:type="auto"/>
            <w:tcBorders>
              <w:top w:val="single" w:sz="4" w:space="0" w:color="000000"/>
              <w:bottom w:val="single" w:sz="8" w:space="0" w:color="000000"/>
            </w:tcBorders>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vAlign w:val="center"/>
            <w:hideMark/>
          </w:tcPr>
          <w:p w:rsidR="00000000" w:rsidRDefault="001F1FC8">
            <w:pPr>
              <w:jc w:val="right"/>
              <w:rPr>
                <w:rFonts w:eastAsia="Times New Roman"/>
                <w:sz w:val="20"/>
                <w:szCs w:val="20"/>
              </w:rPr>
            </w:pPr>
          </w:p>
        </w:tc>
        <w:tc>
          <w:tcPr>
            <w:tcW w:w="0" w:type="auto"/>
            <w:gridSpan w:val="2"/>
            <w:tcBorders>
              <w:top w:val="single" w:sz="4" w:space="0" w:color="000000"/>
              <w:bottom w:val="single" w:sz="8" w:space="0" w:color="000000"/>
            </w:tcBorders>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20"/>
                <w:szCs w:val="20"/>
              </w:rPr>
              <w:t>32,775</w:t>
            </w:r>
            <w:r>
              <w:rPr>
                <w:rFonts w:ascii="Arial" w:eastAsia="Times New Roman" w:hAnsi="Arial" w:cs="Arial"/>
                <w:color w:val="000000"/>
                <w:sz w:val="20"/>
                <w:szCs w:val="20"/>
              </w:rPr>
              <w:t> </w:t>
            </w:r>
          </w:p>
        </w:tc>
        <w:tc>
          <w:tcPr>
            <w:tcW w:w="0" w:type="auto"/>
            <w:tcBorders>
              <w:top w:val="single" w:sz="4" w:space="0" w:color="000000"/>
              <w:bottom w:val="single" w:sz="8" w:space="0" w:color="000000"/>
            </w:tcBorders>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r>
    </w:tbl>
    <w:p w:rsidR="00000000" w:rsidRDefault="001F1FC8">
      <w:pPr>
        <w:divId w:val="1071196193"/>
        <w:rPr>
          <w:rFonts w:eastAsia="Times New Roman"/>
        </w:rPr>
      </w:pPr>
      <w:r>
        <w:rPr>
          <w:rFonts w:ascii="Arial" w:eastAsia="Times New Roman" w:hAnsi="Arial" w:cs="Arial"/>
          <w:i/>
          <w:iCs/>
          <w:color w:val="000000"/>
          <w:sz w:val="16"/>
          <w:szCs w:val="16"/>
        </w:rPr>
        <w:t>1 Gross cost of goodwill as at December 31, 2021 and 2020 was $34.4 bil</w:t>
      </w:r>
      <w:r>
        <w:rPr>
          <w:rFonts w:ascii="Arial" w:eastAsia="Times New Roman" w:hAnsi="Arial" w:cs="Arial"/>
          <w:i/>
          <w:iCs/>
          <w:color w:val="000000"/>
          <w:sz w:val="16"/>
          <w:szCs w:val="16"/>
        </w:rPr>
        <w:t>lion and $34.3 billion, respectively.</w:t>
      </w:r>
    </w:p>
    <w:p w:rsidR="00000000" w:rsidRDefault="001F1FC8">
      <w:pPr>
        <w:divId w:val="180440575"/>
        <w:rPr>
          <w:rFonts w:eastAsia="Times New Roman"/>
        </w:rPr>
      </w:pPr>
      <w:r>
        <w:rPr>
          <w:rFonts w:ascii="Arial" w:eastAsia="Times New Roman" w:hAnsi="Arial" w:cs="Arial"/>
          <w:i/>
          <w:iCs/>
          <w:color w:val="000000"/>
          <w:sz w:val="16"/>
          <w:szCs w:val="16"/>
        </w:rPr>
        <w:t>2 Accumulated impairment as at December 31, 2021 and 2020 was $1.6 billion.</w:t>
      </w:r>
    </w:p>
    <w:p w:rsidR="00000000" w:rsidRDefault="001F1FC8">
      <w:pPr>
        <w:ind w:hanging="90"/>
        <w:divId w:val="1495224552"/>
        <w:rPr>
          <w:rFonts w:eastAsia="Times New Roman"/>
        </w:rPr>
      </w:pPr>
      <w:r>
        <w:rPr>
          <w:rFonts w:ascii="Arial" w:eastAsia="Times New Roman" w:hAnsi="Arial" w:cs="Arial"/>
          <w:i/>
          <w:iCs/>
          <w:color w:val="000000"/>
          <w:sz w:val="16"/>
          <w:szCs w:val="16"/>
        </w:rPr>
        <w:t>3 In 2021, we recorded $268 million of goodwill related to the acquisition of Moda. See Note 8 - Acquisitions and Dispositions for further dis</w:t>
      </w:r>
      <w:r>
        <w:rPr>
          <w:rFonts w:ascii="Arial" w:eastAsia="Times New Roman" w:hAnsi="Arial" w:cs="Arial"/>
          <w:i/>
          <w:iCs/>
          <w:color w:val="000000"/>
          <w:sz w:val="16"/>
          <w:szCs w:val="16"/>
        </w:rPr>
        <w:t>cussion.</w:t>
      </w:r>
    </w:p>
    <w:p w:rsidR="00000000" w:rsidRDefault="001F1FC8">
      <w:pPr>
        <w:divId w:val="1870338309"/>
        <w:rPr>
          <w:rFonts w:eastAsia="Times New Roman"/>
        </w:rPr>
      </w:pPr>
    </w:p>
    <w:p w:rsidR="00000000" w:rsidRDefault="001F1FC8">
      <w:pPr>
        <w:divId w:val="1675840238"/>
        <w:rPr>
          <w:rFonts w:eastAsia="Times New Roman"/>
        </w:rPr>
      </w:pPr>
      <w:r>
        <w:rPr>
          <w:rFonts w:ascii="Arial" w:eastAsia="Times New Roman" w:hAnsi="Arial" w:cs="Arial"/>
          <w:b/>
          <w:bCs/>
          <w:color w:val="000000"/>
          <w:sz w:val="26"/>
          <w:szCs w:val="26"/>
        </w:rPr>
        <w:t>17.  ACCOUNTS PAYABLE AND OTHER</w:t>
      </w:r>
    </w:p>
    <w:p w:rsidR="00000000" w:rsidRDefault="001F1FC8">
      <w:pPr>
        <w:divId w:val="587158380"/>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6420"/>
        <w:gridCol w:w="37"/>
        <w:gridCol w:w="69"/>
        <w:gridCol w:w="785"/>
        <w:gridCol w:w="36"/>
        <w:gridCol w:w="69"/>
        <w:gridCol w:w="785"/>
        <w:gridCol w:w="36"/>
      </w:tblGrid>
      <w:tr w:rsidR="00000000">
        <w:trPr>
          <w:divId w:val="915364264"/>
        </w:trPr>
        <w:tc>
          <w:tcPr>
            <w:tcW w:w="50" w:type="pct"/>
            <w:vAlign w:val="center"/>
            <w:hideMark/>
          </w:tcPr>
          <w:p w:rsidR="00000000" w:rsidRDefault="001F1FC8">
            <w:pPr>
              <w:rPr>
                <w:rFonts w:eastAsia="Times New Roman"/>
              </w:rPr>
            </w:pPr>
          </w:p>
        </w:tc>
        <w:tc>
          <w:tcPr>
            <w:tcW w:w="3871"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c>
          <w:tcPr>
            <w:tcW w:w="50" w:type="pct"/>
            <w:vAlign w:val="center"/>
            <w:hideMark/>
          </w:tcPr>
          <w:p w:rsidR="00000000" w:rsidRDefault="001F1FC8">
            <w:pPr>
              <w:rPr>
                <w:rFonts w:eastAsia="Times New Roman"/>
                <w:sz w:val="20"/>
                <w:szCs w:val="20"/>
              </w:rPr>
            </w:pPr>
          </w:p>
        </w:tc>
        <w:tc>
          <w:tcPr>
            <w:tcW w:w="481"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c>
          <w:tcPr>
            <w:tcW w:w="50" w:type="pct"/>
            <w:vAlign w:val="center"/>
            <w:hideMark/>
          </w:tcPr>
          <w:p w:rsidR="00000000" w:rsidRDefault="001F1FC8">
            <w:pPr>
              <w:rPr>
                <w:rFonts w:eastAsia="Times New Roman"/>
                <w:sz w:val="20"/>
                <w:szCs w:val="20"/>
              </w:rPr>
            </w:pPr>
          </w:p>
        </w:tc>
        <w:tc>
          <w:tcPr>
            <w:tcW w:w="481"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r>
      <w:tr w:rsidR="00000000">
        <w:trPr>
          <w:divId w:val="915364264"/>
        </w:trPr>
        <w:tc>
          <w:tcPr>
            <w:tcW w:w="0" w:type="auto"/>
            <w:gridSpan w:val="3"/>
            <w:tcMar>
              <w:top w:w="30" w:type="dxa"/>
              <w:left w:w="20" w:type="dxa"/>
              <w:bottom w:w="30" w:type="dxa"/>
              <w:right w:w="20" w:type="dxa"/>
            </w:tcMar>
            <w:vAlign w:val="center"/>
            <w:hideMark/>
          </w:tcPr>
          <w:p w:rsidR="00000000" w:rsidRDefault="001F1FC8">
            <w:pPr>
              <w:rPr>
                <w:rFonts w:eastAsia="Times New Roman"/>
              </w:rPr>
            </w:pPr>
            <w:r>
              <w:rPr>
                <w:rFonts w:ascii="Arial" w:eastAsia="Times New Roman" w:hAnsi="Arial" w:cs="Arial"/>
                <w:color w:val="000000"/>
                <w:sz w:val="20"/>
                <w:szCs w:val="20"/>
              </w:rPr>
              <w:t>December 31,</w:t>
            </w:r>
          </w:p>
        </w:tc>
        <w:tc>
          <w:tcPr>
            <w:tcW w:w="0" w:type="auto"/>
            <w:gridSpan w:val="3"/>
            <w:tcMar>
              <w:top w:w="30" w:type="dxa"/>
              <w:left w:w="20" w:type="dxa"/>
              <w:bottom w:w="30" w:type="dxa"/>
              <w:right w:w="20" w:type="dxa"/>
            </w:tcMar>
            <w:vAlign w:val="center"/>
            <w:hideMark/>
          </w:tcPr>
          <w:p w:rsidR="00000000" w:rsidRDefault="001F1FC8">
            <w:pPr>
              <w:jc w:val="right"/>
              <w:rPr>
                <w:rFonts w:eastAsia="Times New Roman"/>
              </w:rPr>
            </w:pPr>
            <w:r>
              <w:rPr>
                <w:rFonts w:ascii="Arial" w:eastAsia="Times New Roman" w:hAnsi="Arial" w:cs="Arial"/>
                <w:b/>
                <w:bCs/>
                <w:color w:val="000000"/>
                <w:sz w:val="20"/>
                <w:szCs w:val="20"/>
              </w:rPr>
              <w:t>2021</w:t>
            </w:r>
          </w:p>
        </w:tc>
        <w:tc>
          <w:tcPr>
            <w:tcW w:w="0" w:type="auto"/>
            <w:gridSpan w:val="3"/>
            <w:tcMar>
              <w:top w:w="30" w:type="dxa"/>
              <w:left w:w="20" w:type="dxa"/>
              <w:bottom w:w="30" w:type="dxa"/>
              <w:right w:w="20" w:type="dxa"/>
            </w:tcMar>
            <w:vAlign w:val="center"/>
            <w:hideMark/>
          </w:tcPr>
          <w:p w:rsidR="00000000" w:rsidRDefault="001F1FC8">
            <w:pPr>
              <w:jc w:val="right"/>
              <w:rPr>
                <w:rFonts w:eastAsia="Times New Roman"/>
              </w:rPr>
            </w:pPr>
            <w:r>
              <w:rPr>
                <w:rFonts w:ascii="Arial" w:eastAsia="Times New Roman" w:hAnsi="Arial" w:cs="Arial"/>
                <w:color w:val="000000"/>
                <w:sz w:val="20"/>
                <w:szCs w:val="20"/>
              </w:rPr>
              <w:t>2020</w:t>
            </w:r>
          </w:p>
        </w:tc>
      </w:tr>
      <w:tr w:rsidR="00000000">
        <w:trPr>
          <w:divId w:val="915364264"/>
        </w:trPr>
        <w:tc>
          <w:tcPr>
            <w:tcW w:w="0" w:type="auto"/>
            <w:gridSpan w:val="3"/>
            <w:tcBorders>
              <w:top w:val="single" w:sz="4" w:space="0" w:color="000000"/>
            </w:tcBorders>
            <w:tcMar>
              <w:top w:w="30" w:type="dxa"/>
              <w:left w:w="20" w:type="dxa"/>
              <w:bottom w:w="30" w:type="dxa"/>
              <w:right w:w="20" w:type="dxa"/>
            </w:tcMar>
            <w:hideMark/>
          </w:tcPr>
          <w:p w:rsidR="00000000" w:rsidRDefault="001F1FC8">
            <w:pPr>
              <w:rPr>
                <w:rFonts w:eastAsia="Times New Roman"/>
              </w:rPr>
            </w:pPr>
            <w:r>
              <w:rPr>
                <w:rFonts w:ascii="Arial" w:eastAsia="Times New Roman" w:hAnsi="Arial" w:cs="Arial"/>
                <w:i/>
                <w:iCs/>
                <w:color w:val="000000"/>
                <w:sz w:val="16"/>
                <w:szCs w:val="16"/>
              </w:rPr>
              <w:t>(millions of Canadian dollars)</w:t>
            </w:r>
          </w:p>
        </w:tc>
        <w:tc>
          <w:tcPr>
            <w:tcW w:w="0" w:type="auto"/>
            <w:gridSpan w:val="3"/>
            <w:tcBorders>
              <w:top w:val="single" w:sz="4" w:space="0" w:color="000000"/>
            </w:tcBorders>
            <w:shd w:val="clear" w:color="auto" w:fill="D9D9D9"/>
            <w:tcMar>
              <w:top w:w="0" w:type="dxa"/>
              <w:left w:w="20" w:type="dxa"/>
              <w:bottom w:w="0" w:type="dxa"/>
              <w:right w:w="20" w:type="dxa"/>
            </w:tcMar>
            <w:vAlign w:val="center"/>
            <w:hideMark/>
          </w:tcPr>
          <w:p w:rsidR="00000000" w:rsidRDefault="001F1FC8">
            <w:pPr>
              <w:rPr>
                <w:rFonts w:eastAsia="Times New Roman"/>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1F1FC8">
            <w:pPr>
              <w:rPr>
                <w:rFonts w:eastAsia="Times New Roman"/>
                <w:sz w:val="20"/>
                <w:szCs w:val="20"/>
              </w:rPr>
            </w:pPr>
          </w:p>
        </w:tc>
      </w:tr>
      <w:tr w:rsidR="00000000">
        <w:trPr>
          <w:divId w:val="915364264"/>
        </w:trPr>
        <w:tc>
          <w:tcPr>
            <w:tcW w:w="0" w:type="auto"/>
            <w:gridSpan w:val="3"/>
            <w:tcMar>
              <w:top w:w="30" w:type="dxa"/>
              <w:left w:w="20" w:type="dxa"/>
              <w:bottom w:w="30" w:type="dxa"/>
              <w:right w:w="20" w:type="dxa"/>
            </w:tcMar>
            <w:hideMark/>
          </w:tcPr>
          <w:p w:rsidR="00000000" w:rsidRDefault="001F1FC8">
            <w:pPr>
              <w:rPr>
                <w:rFonts w:eastAsia="Times New Roman"/>
              </w:rPr>
            </w:pPr>
            <w:r>
              <w:rPr>
                <w:rFonts w:ascii="Arial" w:eastAsia="Times New Roman" w:hAnsi="Arial" w:cs="Arial"/>
                <w:color w:val="000000"/>
                <w:sz w:val="20"/>
                <w:szCs w:val="20"/>
              </w:rPr>
              <w:t>Trade payables and operating accrued liabilities</w:t>
            </w:r>
          </w:p>
        </w:tc>
        <w:tc>
          <w:tcPr>
            <w:tcW w:w="0" w:type="auto"/>
            <w:gridSpan w:val="2"/>
            <w:shd w:val="clear" w:color="auto" w:fill="DBDBDB"/>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20"/>
                <w:szCs w:val="20"/>
              </w:rPr>
              <w:t>4,470</w:t>
            </w:r>
            <w:r>
              <w:rPr>
                <w:rFonts w:ascii="Arial" w:eastAsia="Times New Roman" w:hAnsi="Arial" w:cs="Arial"/>
                <w:color w:val="000000"/>
                <w:sz w:val="20"/>
                <w:szCs w:val="20"/>
              </w:rPr>
              <w:t> </w:t>
            </w:r>
          </w:p>
        </w:tc>
        <w:tc>
          <w:tcPr>
            <w:tcW w:w="0" w:type="auto"/>
            <w:shd w:val="clear" w:color="auto" w:fill="DBDBDB"/>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20"/>
                <w:szCs w:val="20"/>
              </w:rPr>
              <w:t>3,497 </w:t>
            </w:r>
          </w:p>
        </w:tc>
        <w:tc>
          <w:tcPr>
            <w:tcW w:w="0" w:type="auto"/>
            <w:tcMar>
              <w:top w:w="30" w:type="dxa"/>
              <w:left w:w="0" w:type="dxa"/>
              <w:bottom w:w="30" w:type="dxa"/>
              <w:right w:w="20" w:type="dxa"/>
            </w:tcMar>
            <w:vAlign w:val="center"/>
            <w:hideMark/>
          </w:tcPr>
          <w:p w:rsidR="00000000" w:rsidRDefault="001F1FC8">
            <w:pPr>
              <w:jc w:val="right"/>
              <w:rPr>
                <w:rFonts w:eastAsia="Times New Roman"/>
              </w:rPr>
            </w:pPr>
          </w:p>
        </w:tc>
      </w:tr>
      <w:tr w:rsidR="00000000">
        <w:trPr>
          <w:divId w:val="915364264"/>
        </w:trPr>
        <w:tc>
          <w:tcPr>
            <w:tcW w:w="0" w:type="auto"/>
            <w:gridSpan w:val="3"/>
            <w:tcMar>
              <w:top w:w="30" w:type="dxa"/>
              <w:left w:w="20" w:type="dxa"/>
              <w:bottom w:w="30" w:type="dxa"/>
              <w:right w:w="20" w:type="dxa"/>
            </w:tcMar>
            <w:hideMark/>
          </w:tcPr>
          <w:p w:rsidR="00000000" w:rsidRDefault="001F1FC8">
            <w:pPr>
              <w:rPr>
                <w:rFonts w:eastAsia="Times New Roman"/>
              </w:rPr>
            </w:pPr>
            <w:r>
              <w:rPr>
                <w:rFonts w:ascii="Arial" w:eastAsia="Times New Roman" w:hAnsi="Arial" w:cs="Arial"/>
                <w:color w:val="000000"/>
                <w:sz w:val="20"/>
                <w:szCs w:val="20"/>
              </w:rPr>
              <w:t>Dividends payable</w:t>
            </w:r>
          </w:p>
        </w:tc>
        <w:tc>
          <w:tcPr>
            <w:tcW w:w="0" w:type="auto"/>
            <w:gridSpan w:val="2"/>
            <w:shd w:val="clear" w:color="auto" w:fill="DBDBDB"/>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20"/>
                <w:szCs w:val="20"/>
              </w:rPr>
              <w:t>1,773</w:t>
            </w:r>
            <w:r>
              <w:rPr>
                <w:rFonts w:ascii="Arial" w:eastAsia="Times New Roman" w:hAnsi="Arial" w:cs="Arial"/>
                <w:color w:val="000000"/>
                <w:sz w:val="20"/>
                <w:szCs w:val="20"/>
              </w:rPr>
              <w:t> </w:t>
            </w:r>
          </w:p>
        </w:tc>
        <w:tc>
          <w:tcPr>
            <w:tcW w:w="0" w:type="auto"/>
            <w:shd w:val="clear" w:color="auto" w:fill="DBDBDB"/>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20"/>
                <w:szCs w:val="20"/>
              </w:rPr>
              <w:t>1,728 </w:t>
            </w:r>
          </w:p>
        </w:tc>
        <w:tc>
          <w:tcPr>
            <w:tcW w:w="0" w:type="auto"/>
            <w:tcMar>
              <w:top w:w="30" w:type="dxa"/>
              <w:left w:w="0" w:type="dxa"/>
              <w:bottom w:w="30" w:type="dxa"/>
              <w:right w:w="20" w:type="dxa"/>
            </w:tcMar>
            <w:vAlign w:val="center"/>
            <w:hideMark/>
          </w:tcPr>
          <w:p w:rsidR="00000000" w:rsidRDefault="001F1FC8">
            <w:pPr>
              <w:jc w:val="right"/>
              <w:rPr>
                <w:rFonts w:eastAsia="Times New Roman"/>
              </w:rPr>
            </w:pPr>
          </w:p>
        </w:tc>
      </w:tr>
      <w:tr w:rsidR="00000000">
        <w:trPr>
          <w:divId w:val="915364264"/>
        </w:trPr>
        <w:tc>
          <w:tcPr>
            <w:tcW w:w="0" w:type="auto"/>
            <w:gridSpan w:val="3"/>
            <w:tcMar>
              <w:top w:w="30" w:type="dxa"/>
              <w:left w:w="20" w:type="dxa"/>
              <w:bottom w:w="30" w:type="dxa"/>
              <w:right w:w="20" w:type="dxa"/>
            </w:tcMar>
            <w:hideMark/>
          </w:tcPr>
          <w:p w:rsidR="00000000" w:rsidRDefault="001F1FC8">
            <w:pPr>
              <w:rPr>
                <w:rFonts w:eastAsia="Times New Roman"/>
              </w:rPr>
            </w:pPr>
            <w:r>
              <w:rPr>
                <w:rFonts w:ascii="Arial" w:eastAsia="Times New Roman" w:hAnsi="Arial" w:cs="Arial"/>
                <w:color w:val="000000"/>
                <w:sz w:val="20"/>
                <w:szCs w:val="20"/>
              </w:rPr>
              <w:t>Current deferred credits</w:t>
            </w:r>
          </w:p>
        </w:tc>
        <w:tc>
          <w:tcPr>
            <w:tcW w:w="0" w:type="auto"/>
            <w:gridSpan w:val="2"/>
            <w:shd w:val="clear" w:color="auto" w:fill="DBDBDB"/>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20"/>
                <w:szCs w:val="20"/>
              </w:rPr>
              <w:t>853</w:t>
            </w:r>
            <w:r>
              <w:rPr>
                <w:rFonts w:ascii="Arial" w:eastAsia="Times New Roman" w:hAnsi="Arial" w:cs="Arial"/>
                <w:color w:val="000000"/>
                <w:sz w:val="20"/>
                <w:szCs w:val="20"/>
              </w:rPr>
              <w:t> </w:t>
            </w:r>
          </w:p>
        </w:tc>
        <w:tc>
          <w:tcPr>
            <w:tcW w:w="0" w:type="auto"/>
            <w:shd w:val="clear" w:color="auto" w:fill="DBDBDB"/>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20"/>
                <w:szCs w:val="20"/>
              </w:rPr>
              <w:t>978 </w:t>
            </w:r>
          </w:p>
        </w:tc>
        <w:tc>
          <w:tcPr>
            <w:tcW w:w="0" w:type="auto"/>
            <w:tcMar>
              <w:top w:w="30" w:type="dxa"/>
              <w:left w:w="0" w:type="dxa"/>
              <w:bottom w:w="30" w:type="dxa"/>
              <w:right w:w="20" w:type="dxa"/>
            </w:tcMar>
            <w:vAlign w:val="center"/>
            <w:hideMark/>
          </w:tcPr>
          <w:p w:rsidR="00000000" w:rsidRDefault="001F1FC8">
            <w:pPr>
              <w:jc w:val="right"/>
              <w:rPr>
                <w:rFonts w:eastAsia="Times New Roman"/>
              </w:rPr>
            </w:pPr>
          </w:p>
        </w:tc>
      </w:tr>
      <w:tr w:rsidR="00000000">
        <w:trPr>
          <w:divId w:val="915364264"/>
        </w:trPr>
        <w:tc>
          <w:tcPr>
            <w:tcW w:w="0" w:type="auto"/>
            <w:gridSpan w:val="3"/>
            <w:tcMar>
              <w:top w:w="30" w:type="dxa"/>
              <w:left w:w="20" w:type="dxa"/>
              <w:bottom w:w="30" w:type="dxa"/>
              <w:right w:w="20" w:type="dxa"/>
            </w:tcMar>
            <w:hideMark/>
          </w:tcPr>
          <w:p w:rsidR="00000000" w:rsidRDefault="001F1FC8">
            <w:pPr>
              <w:rPr>
                <w:rFonts w:eastAsia="Times New Roman"/>
              </w:rPr>
            </w:pPr>
            <w:r>
              <w:rPr>
                <w:rFonts w:ascii="Arial" w:eastAsia="Times New Roman" w:hAnsi="Arial" w:cs="Arial"/>
                <w:color w:val="000000"/>
                <w:sz w:val="20"/>
                <w:szCs w:val="20"/>
              </w:rPr>
              <w:t>Construction payables and contractor holdbacks</w:t>
            </w:r>
          </w:p>
        </w:tc>
        <w:tc>
          <w:tcPr>
            <w:tcW w:w="0" w:type="auto"/>
            <w:gridSpan w:val="2"/>
            <w:shd w:val="clear" w:color="auto" w:fill="DBDBDB"/>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20"/>
                <w:szCs w:val="20"/>
              </w:rPr>
              <w:t>844</w:t>
            </w:r>
            <w:r>
              <w:rPr>
                <w:rFonts w:ascii="Arial" w:eastAsia="Times New Roman" w:hAnsi="Arial" w:cs="Arial"/>
                <w:color w:val="000000"/>
                <w:sz w:val="20"/>
                <w:szCs w:val="20"/>
              </w:rPr>
              <w:t> </w:t>
            </w:r>
          </w:p>
        </w:tc>
        <w:tc>
          <w:tcPr>
            <w:tcW w:w="0" w:type="auto"/>
            <w:shd w:val="clear" w:color="auto" w:fill="DBDBDB"/>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20"/>
                <w:szCs w:val="20"/>
              </w:rPr>
              <w:t>855 </w:t>
            </w:r>
          </w:p>
        </w:tc>
        <w:tc>
          <w:tcPr>
            <w:tcW w:w="0" w:type="auto"/>
            <w:tcMar>
              <w:top w:w="30" w:type="dxa"/>
              <w:left w:w="0" w:type="dxa"/>
              <w:bottom w:w="30" w:type="dxa"/>
              <w:right w:w="20" w:type="dxa"/>
            </w:tcMar>
            <w:vAlign w:val="center"/>
            <w:hideMark/>
          </w:tcPr>
          <w:p w:rsidR="00000000" w:rsidRDefault="001F1FC8">
            <w:pPr>
              <w:jc w:val="right"/>
              <w:rPr>
                <w:rFonts w:eastAsia="Times New Roman"/>
              </w:rPr>
            </w:pPr>
          </w:p>
        </w:tc>
      </w:tr>
      <w:tr w:rsidR="00000000">
        <w:trPr>
          <w:divId w:val="915364264"/>
        </w:trPr>
        <w:tc>
          <w:tcPr>
            <w:tcW w:w="0" w:type="auto"/>
            <w:gridSpan w:val="3"/>
            <w:tcMar>
              <w:top w:w="30" w:type="dxa"/>
              <w:left w:w="20" w:type="dxa"/>
              <w:bottom w:w="30" w:type="dxa"/>
              <w:right w:w="20" w:type="dxa"/>
            </w:tcMar>
            <w:hideMark/>
          </w:tcPr>
          <w:p w:rsidR="00000000" w:rsidRDefault="001F1FC8">
            <w:pPr>
              <w:divId w:val="1788429005"/>
              <w:rPr>
                <w:rFonts w:eastAsia="Times New Roman"/>
              </w:rPr>
            </w:pPr>
            <w:r>
              <w:rPr>
                <w:rFonts w:ascii="Arial" w:eastAsia="Times New Roman" w:hAnsi="Arial" w:cs="Arial"/>
                <w:color w:val="000000"/>
                <w:sz w:val="20"/>
                <w:szCs w:val="20"/>
              </w:rPr>
              <w:t xml:space="preserve">Current derivative liabilities </w:t>
            </w:r>
            <w:r>
              <w:rPr>
                <w:rFonts w:ascii="Arial" w:eastAsia="Times New Roman" w:hAnsi="Arial" w:cs="Arial"/>
                <w:i/>
                <w:iCs/>
                <w:color w:val="000000"/>
                <w:sz w:val="16"/>
                <w:szCs w:val="16"/>
              </w:rPr>
              <w:t>(Note 24)</w:t>
            </w:r>
          </w:p>
        </w:tc>
        <w:tc>
          <w:tcPr>
            <w:tcW w:w="0" w:type="auto"/>
            <w:gridSpan w:val="2"/>
            <w:shd w:val="clear" w:color="auto" w:fill="DBDBDB"/>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20"/>
                <w:szCs w:val="20"/>
              </w:rPr>
              <w:t>717</w:t>
            </w:r>
            <w:r>
              <w:rPr>
                <w:rFonts w:ascii="Arial" w:eastAsia="Times New Roman" w:hAnsi="Arial" w:cs="Arial"/>
                <w:color w:val="000000"/>
                <w:sz w:val="20"/>
                <w:szCs w:val="20"/>
              </w:rPr>
              <w:t> </w:t>
            </w:r>
          </w:p>
        </w:tc>
        <w:tc>
          <w:tcPr>
            <w:tcW w:w="0" w:type="auto"/>
            <w:shd w:val="clear" w:color="auto" w:fill="DBDBDB"/>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20"/>
                <w:szCs w:val="20"/>
              </w:rPr>
              <w:t>896 </w:t>
            </w:r>
          </w:p>
        </w:tc>
        <w:tc>
          <w:tcPr>
            <w:tcW w:w="0" w:type="auto"/>
            <w:tcMar>
              <w:top w:w="30" w:type="dxa"/>
              <w:left w:w="0" w:type="dxa"/>
              <w:bottom w:w="30" w:type="dxa"/>
              <w:right w:w="20" w:type="dxa"/>
            </w:tcMar>
            <w:vAlign w:val="center"/>
            <w:hideMark/>
          </w:tcPr>
          <w:p w:rsidR="00000000" w:rsidRDefault="001F1FC8">
            <w:pPr>
              <w:jc w:val="right"/>
              <w:rPr>
                <w:rFonts w:eastAsia="Times New Roman"/>
              </w:rPr>
            </w:pPr>
          </w:p>
        </w:tc>
      </w:tr>
      <w:tr w:rsidR="00000000">
        <w:trPr>
          <w:divId w:val="915364264"/>
        </w:trPr>
        <w:tc>
          <w:tcPr>
            <w:tcW w:w="0" w:type="auto"/>
            <w:gridSpan w:val="3"/>
            <w:tcMar>
              <w:top w:w="30" w:type="dxa"/>
              <w:left w:w="20" w:type="dxa"/>
              <w:bottom w:w="30" w:type="dxa"/>
              <w:right w:w="20" w:type="dxa"/>
            </w:tcMar>
            <w:hideMark/>
          </w:tcPr>
          <w:p w:rsidR="00000000" w:rsidRDefault="001F1FC8">
            <w:pPr>
              <w:rPr>
                <w:rFonts w:eastAsia="Times New Roman"/>
              </w:rPr>
            </w:pPr>
            <w:r>
              <w:rPr>
                <w:rFonts w:ascii="Arial" w:eastAsia="Times New Roman" w:hAnsi="Arial" w:cs="Arial"/>
                <w:color w:val="000000"/>
                <w:sz w:val="20"/>
                <w:szCs w:val="20"/>
              </w:rPr>
              <w:t>Taxes payable</w:t>
            </w:r>
          </w:p>
        </w:tc>
        <w:tc>
          <w:tcPr>
            <w:tcW w:w="0" w:type="auto"/>
            <w:gridSpan w:val="2"/>
            <w:shd w:val="clear" w:color="auto" w:fill="DBDBDB"/>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20"/>
                <w:szCs w:val="20"/>
              </w:rPr>
              <w:t>478</w:t>
            </w:r>
            <w:r>
              <w:rPr>
                <w:rFonts w:ascii="Arial" w:eastAsia="Times New Roman" w:hAnsi="Arial" w:cs="Arial"/>
                <w:color w:val="000000"/>
                <w:sz w:val="20"/>
                <w:szCs w:val="20"/>
              </w:rPr>
              <w:t> </w:t>
            </w:r>
          </w:p>
        </w:tc>
        <w:tc>
          <w:tcPr>
            <w:tcW w:w="0" w:type="auto"/>
            <w:shd w:val="clear" w:color="auto" w:fill="DBDBDB"/>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20"/>
                <w:szCs w:val="20"/>
              </w:rPr>
              <w:t>622 </w:t>
            </w:r>
          </w:p>
        </w:tc>
        <w:tc>
          <w:tcPr>
            <w:tcW w:w="0" w:type="auto"/>
            <w:tcMar>
              <w:top w:w="30" w:type="dxa"/>
              <w:left w:w="0" w:type="dxa"/>
              <w:bottom w:w="30" w:type="dxa"/>
              <w:right w:w="20" w:type="dxa"/>
            </w:tcMar>
            <w:vAlign w:val="center"/>
            <w:hideMark/>
          </w:tcPr>
          <w:p w:rsidR="00000000" w:rsidRDefault="001F1FC8">
            <w:pPr>
              <w:jc w:val="right"/>
              <w:rPr>
                <w:rFonts w:eastAsia="Times New Roman"/>
              </w:rPr>
            </w:pPr>
          </w:p>
        </w:tc>
      </w:tr>
      <w:tr w:rsidR="00000000">
        <w:trPr>
          <w:divId w:val="915364264"/>
        </w:trPr>
        <w:tc>
          <w:tcPr>
            <w:tcW w:w="0" w:type="auto"/>
            <w:gridSpan w:val="3"/>
            <w:tcMar>
              <w:top w:w="30" w:type="dxa"/>
              <w:left w:w="20" w:type="dxa"/>
              <w:bottom w:w="30" w:type="dxa"/>
              <w:right w:w="20" w:type="dxa"/>
            </w:tcMar>
            <w:hideMark/>
          </w:tcPr>
          <w:p w:rsidR="00000000" w:rsidRDefault="001F1FC8">
            <w:pPr>
              <w:rPr>
                <w:rFonts w:eastAsia="Times New Roman"/>
              </w:rPr>
            </w:pPr>
            <w:r>
              <w:rPr>
                <w:rFonts w:ascii="Arial" w:eastAsia="Times New Roman" w:hAnsi="Arial" w:cs="Arial"/>
                <w:color w:val="000000"/>
                <w:sz w:val="20"/>
                <w:szCs w:val="20"/>
              </w:rPr>
              <w:t>Other</w:t>
            </w:r>
          </w:p>
        </w:tc>
        <w:tc>
          <w:tcPr>
            <w:tcW w:w="0" w:type="auto"/>
            <w:gridSpan w:val="2"/>
            <w:shd w:val="clear" w:color="auto" w:fill="DBDBDB"/>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20"/>
                <w:szCs w:val="20"/>
              </w:rPr>
              <w:t>632</w:t>
            </w:r>
            <w:r>
              <w:rPr>
                <w:rFonts w:ascii="Arial" w:eastAsia="Times New Roman" w:hAnsi="Arial" w:cs="Arial"/>
                <w:color w:val="000000"/>
                <w:sz w:val="20"/>
                <w:szCs w:val="20"/>
              </w:rPr>
              <w:t> </w:t>
            </w:r>
          </w:p>
        </w:tc>
        <w:tc>
          <w:tcPr>
            <w:tcW w:w="0" w:type="auto"/>
            <w:shd w:val="clear" w:color="auto" w:fill="DBDBDB"/>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20"/>
                <w:szCs w:val="20"/>
              </w:rPr>
              <w:t>652 </w:t>
            </w:r>
          </w:p>
        </w:tc>
        <w:tc>
          <w:tcPr>
            <w:tcW w:w="0" w:type="auto"/>
            <w:tcMar>
              <w:top w:w="30" w:type="dxa"/>
              <w:left w:w="0" w:type="dxa"/>
              <w:bottom w:w="30" w:type="dxa"/>
              <w:right w:w="20" w:type="dxa"/>
            </w:tcMar>
            <w:vAlign w:val="center"/>
            <w:hideMark/>
          </w:tcPr>
          <w:p w:rsidR="00000000" w:rsidRDefault="001F1FC8">
            <w:pPr>
              <w:jc w:val="right"/>
              <w:rPr>
                <w:rFonts w:eastAsia="Times New Roman"/>
              </w:rPr>
            </w:pPr>
          </w:p>
        </w:tc>
      </w:tr>
      <w:tr w:rsidR="00000000">
        <w:trPr>
          <w:divId w:val="915364264"/>
        </w:trPr>
        <w:tc>
          <w:tcPr>
            <w:tcW w:w="0" w:type="auto"/>
            <w:gridSpan w:val="3"/>
            <w:tcBorders>
              <w:top w:val="single" w:sz="4" w:space="0" w:color="000000"/>
              <w:bottom w:val="single" w:sz="8" w:space="0" w:color="000000"/>
            </w:tcBorders>
            <w:tcMar>
              <w:top w:w="0" w:type="dxa"/>
              <w:left w:w="20" w:type="dxa"/>
              <w:bottom w:w="0" w:type="dxa"/>
              <w:right w:w="20" w:type="dxa"/>
            </w:tcMar>
            <w:vAlign w:val="center"/>
            <w:hideMark/>
          </w:tcPr>
          <w:p w:rsidR="00000000" w:rsidRDefault="001F1FC8">
            <w:pPr>
              <w:jc w:val="right"/>
              <w:rPr>
                <w:rFonts w:eastAsia="Times New Roman"/>
                <w:sz w:val="20"/>
                <w:szCs w:val="20"/>
              </w:rPr>
            </w:pPr>
          </w:p>
        </w:tc>
        <w:tc>
          <w:tcPr>
            <w:tcW w:w="0" w:type="auto"/>
            <w:gridSpan w:val="2"/>
            <w:tcBorders>
              <w:top w:val="single" w:sz="4" w:space="0" w:color="000000"/>
              <w:bottom w:val="single" w:sz="8" w:space="0" w:color="000000"/>
            </w:tcBorders>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20"/>
                <w:szCs w:val="20"/>
              </w:rPr>
              <w:t>9,767</w:t>
            </w:r>
            <w:r>
              <w:rPr>
                <w:rFonts w:ascii="Arial" w:eastAsia="Times New Roman" w:hAnsi="Arial" w:cs="Arial"/>
                <w:color w:val="000000"/>
                <w:sz w:val="20"/>
                <w:szCs w:val="20"/>
              </w:rPr>
              <w:t> </w:t>
            </w:r>
          </w:p>
        </w:tc>
        <w:tc>
          <w:tcPr>
            <w:tcW w:w="0" w:type="auto"/>
            <w:tcBorders>
              <w:top w:val="single" w:sz="4" w:space="0" w:color="000000"/>
              <w:bottom w:val="single" w:sz="8" w:space="0" w:color="000000"/>
            </w:tcBorders>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Borders>
              <w:top w:val="single" w:sz="4" w:space="0" w:color="000000"/>
              <w:bottom w:val="single" w:sz="8" w:space="0" w:color="000000"/>
            </w:tcBorders>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9,228 </w:t>
            </w:r>
          </w:p>
        </w:tc>
        <w:tc>
          <w:tcPr>
            <w:tcW w:w="0" w:type="auto"/>
            <w:tcBorders>
              <w:top w:val="single" w:sz="4" w:space="0" w:color="000000"/>
              <w:bottom w:val="single" w:sz="8" w:space="0" w:color="000000"/>
            </w:tcBorders>
            <w:tcMar>
              <w:top w:w="30" w:type="dxa"/>
              <w:left w:w="0" w:type="dxa"/>
              <w:bottom w:w="30" w:type="dxa"/>
              <w:right w:w="20" w:type="dxa"/>
            </w:tcMar>
            <w:vAlign w:val="bottom"/>
            <w:hideMark/>
          </w:tcPr>
          <w:p w:rsidR="00000000" w:rsidRDefault="001F1FC8">
            <w:pPr>
              <w:jc w:val="right"/>
              <w:rPr>
                <w:rFonts w:eastAsia="Times New Roman"/>
              </w:rPr>
            </w:pPr>
          </w:p>
        </w:tc>
      </w:tr>
    </w:tbl>
    <w:p w:rsidR="00000000" w:rsidRDefault="001F1FC8">
      <w:pPr>
        <w:divId w:val="785198911"/>
        <w:rPr>
          <w:rFonts w:eastAsia="Times New Roman"/>
        </w:rPr>
      </w:pPr>
    </w:p>
    <w:p w:rsidR="00000000" w:rsidRDefault="001F1FC8">
      <w:pPr>
        <w:jc w:val="center"/>
        <w:divId w:val="390928577"/>
        <w:rPr>
          <w:rFonts w:eastAsia="Times New Roman"/>
        </w:rPr>
      </w:pPr>
      <w:r>
        <w:rPr>
          <w:rFonts w:ascii="Arial" w:eastAsia="Times New Roman" w:hAnsi="Arial" w:cs="Arial"/>
          <w:color w:val="000000"/>
          <w:sz w:val="20"/>
          <w:szCs w:val="20"/>
        </w:rPr>
        <w:t>137</w:t>
      </w:r>
    </w:p>
    <w:p w:rsidR="00000000" w:rsidRDefault="001F1FC8">
      <w:pPr>
        <w:rPr>
          <w:rFonts w:eastAsia="Times New Roman"/>
        </w:rPr>
      </w:pPr>
      <w:r>
        <w:rPr>
          <w:rFonts w:eastAsia="Times New Roman"/>
        </w:rPr>
        <w:pict>
          <v:rect id="_x0000_i1167" style="width:0;height:1.5pt" o:hralign="center" o:hrstd="t" o:hr="t" fillcolor="#a0a0a0" stroked="f"/>
        </w:pict>
      </w:r>
    </w:p>
    <w:p w:rsidR="00000000" w:rsidRDefault="001F1FC8">
      <w:pPr>
        <w:jc w:val="center"/>
        <w:divId w:val="869684164"/>
        <w:rPr>
          <w:rFonts w:eastAsia="Times New Roman"/>
        </w:rPr>
      </w:pPr>
    </w:p>
    <w:p w:rsidR="00000000" w:rsidRDefault="001F1FC8">
      <w:pPr>
        <w:divId w:val="603422656"/>
        <w:rPr>
          <w:rFonts w:eastAsia="Times New Roman"/>
        </w:rPr>
      </w:pPr>
      <w:r>
        <w:rPr>
          <w:rFonts w:ascii="Arial" w:eastAsia="Times New Roman" w:hAnsi="Arial" w:cs="Arial"/>
          <w:b/>
          <w:bCs/>
          <w:color w:val="000000"/>
          <w:sz w:val="26"/>
          <w:szCs w:val="26"/>
        </w:rPr>
        <w:t>18.  DEBT</w:t>
      </w:r>
    </w:p>
    <w:tbl>
      <w:tblPr>
        <w:tblW w:w="5000" w:type="pct"/>
        <w:tblCellMar>
          <w:top w:w="15" w:type="dxa"/>
          <w:left w:w="15" w:type="dxa"/>
          <w:bottom w:w="15" w:type="dxa"/>
          <w:right w:w="15" w:type="dxa"/>
        </w:tblCellMar>
        <w:tblLook w:val="04A0" w:firstRow="1" w:lastRow="0" w:firstColumn="1" w:lastColumn="0" w:noHBand="0" w:noVBand="1"/>
      </w:tblPr>
      <w:tblGrid>
        <w:gridCol w:w="49"/>
        <w:gridCol w:w="4270"/>
        <w:gridCol w:w="38"/>
        <w:gridCol w:w="49"/>
        <w:gridCol w:w="1153"/>
        <w:gridCol w:w="163"/>
        <w:gridCol w:w="36"/>
        <w:gridCol w:w="36"/>
        <w:gridCol w:w="36"/>
        <w:gridCol w:w="50"/>
        <w:gridCol w:w="880"/>
        <w:gridCol w:w="36"/>
        <w:gridCol w:w="36"/>
        <w:gridCol w:w="36"/>
        <w:gridCol w:w="36"/>
        <w:gridCol w:w="67"/>
        <w:gridCol w:w="544"/>
        <w:gridCol w:w="36"/>
        <w:gridCol w:w="36"/>
        <w:gridCol w:w="36"/>
        <w:gridCol w:w="36"/>
        <w:gridCol w:w="67"/>
        <w:gridCol w:w="544"/>
        <w:gridCol w:w="36"/>
      </w:tblGrid>
      <w:tr w:rsidR="00000000">
        <w:trPr>
          <w:divId w:val="738597104"/>
        </w:trPr>
        <w:tc>
          <w:tcPr>
            <w:tcW w:w="50" w:type="pct"/>
            <w:vAlign w:val="center"/>
            <w:hideMark/>
          </w:tcPr>
          <w:p w:rsidR="00000000" w:rsidRDefault="001F1FC8">
            <w:pPr>
              <w:rPr>
                <w:rFonts w:eastAsia="Times New Roman"/>
              </w:rPr>
            </w:pPr>
          </w:p>
        </w:tc>
        <w:tc>
          <w:tcPr>
            <w:tcW w:w="2589"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c>
          <w:tcPr>
            <w:tcW w:w="50" w:type="pct"/>
            <w:vAlign w:val="center"/>
            <w:hideMark/>
          </w:tcPr>
          <w:p w:rsidR="00000000" w:rsidRDefault="001F1FC8">
            <w:pPr>
              <w:rPr>
                <w:rFonts w:eastAsia="Times New Roman"/>
                <w:sz w:val="20"/>
                <w:szCs w:val="20"/>
              </w:rPr>
            </w:pPr>
          </w:p>
        </w:tc>
        <w:tc>
          <w:tcPr>
            <w:tcW w:w="714"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c>
          <w:tcPr>
            <w:tcW w:w="30"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c>
          <w:tcPr>
            <w:tcW w:w="50" w:type="pct"/>
            <w:vAlign w:val="center"/>
            <w:hideMark/>
          </w:tcPr>
          <w:p w:rsidR="00000000" w:rsidRDefault="001F1FC8">
            <w:pPr>
              <w:rPr>
                <w:rFonts w:eastAsia="Times New Roman"/>
                <w:sz w:val="20"/>
                <w:szCs w:val="20"/>
              </w:rPr>
            </w:pPr>
          </w:p>
        </w:tc>
        <w:tc>
          <w:tcPr>
            <w:tcW w:w="561"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c>
          <w:tcPr>
            <w:tcW w:w="30"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c>
          <w:tcPr>
            <w:tcW w:w="50" w:type="pct"/>
            <w:vAlign w:val="center"/>
            <w:hideMark/>
          </w:tcPr>
          <w:p w:rsidR="00000000" w:rsidRDefault="001F1FC8">
            <w:pPr>
              <w:rPr>
                <w:rFonts w:eastAsia="Times New Roman"/>
                <w:sz w:val="20"/>
                <w:szCs w:val="20"/>
              </w:rPr>
            </w:pPr>
          </w:p>
        </w:tc>
        <w:tc>
          <w:tcPr>
            <w:tcW w:w="369"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c>
          <w:tcPr>
            <w:tcW w:w="30"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c>
          <w:tcPr>
            <w:tcW w:w="50" w:type="pct"/>
            <w:vAlign w:val="center"/>
            <w:hideMark/>
          </w:tcPr>
          <w:p w:rsidR="00000000" w:rsidRDefault="001F1FC8">
            <w:pPr>
              <w:rPr>
                <w:rFonts w:eastAsia="Times New Roman"/>
                <w:sz w:val="20"/>
                <w:szCs w:val="20"/>
              </w:rPr>
            </w:pPr>
          </w:p>
        </w:tc>
        <w:tc>
          <w:tcPr>
            <w:tcW w:w="369"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r>
      <w:tr w:rsidR="00000000">
        <w:trPr>
          <w:divId w:val="738597104"/>
        </w:trPr>
        <w:tc>
          <w:tcPr>
            <w:tcW w:w="0" w:type="auto"/>
            <w:gridSpan w:val="3"/>
            <w:tcMar>
              <w:top w:w="30" w:type="dxa"/>
              <w:left w:w="20" w:type="dxa"/>
              <w:bottom w:w="30" w:type="dxa"/>
              <w:right w:w="20" w:type="dxa"/>
            </w:tcMar>
            <w:vAlign w:val="center"/>
            <w:hideMark/>
          </w:tcPr>
          <w:p w:rsidR="00000000" w:rsidRDefault="001F1FC8">
            <w:pPr>
              <w:rPr>
                <w:rFonts w:eastAsia="Times New Roman"/>
              </w:rPr>
            </w:pPr>
            <w:r>
              <w:rPr>
                <w:rFonts w:ascii="Arial" w:eastAsia="Times New Roman" w:hAnsi="Arial" w:cs="Arial"/>
                <w:color w:val="000000"/>
                <w:sz w:val="16"/>
                <w:szCs w:val="16"/>
              </w:rPr>
              <w:t>December 31,</w:t>
            </w:r>
          </w:p>
        </w:tc>
        <w:tc>
          <w:tcPr>
            <w:tcW w:w="0" w:type="auto"/>
            <w:gridSpan w:val="3"/>
            <w:tcMar>
              <w:top w:w="30" w:type="dxa"/>
              <w:left w:w="20" w:type="dxa"/>
              <w:bottom w:w="30" w:type="dxa"/>
              <w:right w:w="20" w:type="dxa"/>
            </w:tcMar>
            <w:vAlign w:val="center"/>
            <w:hideMark/>
          </w:tcPr>
          <w:p w:rsidR="00000000" w:rsidRDefault="001F1FC8">
            <w:pPr>
              <w:jc w:val="right"/>
              <w:rPr>
                <w:rFonts w:eastAsia="Times New Roman"/>
              </w:rPr>
            </w:pPr>
            <w:r>
              <w:rPr>
                <w:rFonts w:ascii="Arial" w:eastAsia="Times New Roman" w:hAnsi="Arial" w:cs="Arial"/>
                <w:color w:val="000000"/>
                <w:sz w:val="16"/>
                <w:szCs w:val="16"/>
              </w:rPr>
              <w:t>Weighted Average Interest Rat</w:t>
            </w:r>
            <w:r>
              <w:rPr>
                <w:rFonts w:ascii="Arial" w:eastAsia="Times New Roman" w:hAnsi="Arial" w:cs="Arial"/>
                <w:color w:val="000000"/>
                <w:sz w:val="16"/>
                <w:szCs w:val="16"/>
              </w:rPr>
              <w:t>e</w:t>
            </w:r>
            <w:r>
              <w:rPr>
                <w:rFonts w:ascii="Arial" w:eastAsia="Times New Roman" w:hAnsi="Arial" w:cs="Arial"/>
                <w:color w:val="000000"/>
                <w:sz w:val="9"/>
                <w:szCs w:val="9"/>
              </w:rPr>
              <w:t>9</w:t>
            </w:r>
          </w:p>
        </w:tc>
        <w:tc>
          <w:tcPr>
            <w:tcW w:w="0" w:type="auto"/>
            <w:gridSpan w:val="3"/>
            <w:tcMar>
              <w:top w:w="0" w:type="dxa"/>
              <w:left w:w="20" w:type="dxa"/>
              <w:bottom w:w="0" w:type="dxa"/>
              <w:right w:w="20" w:type="dxa"/>
            </w:tcMar>
            <w:vAlign w:val="center"/>
            <w:hideMark/>
          </w:tcPr>
          <w:p w:rsidR="00000000" w:rsidRDefault="001F1FC8">
            <w:pPr>
              <w:jc w:val="right"/>
              <w:rPr>
                <w:rFonts w:eastAsia="Times New Roman"/>
              </w:rPr>
            </w:pPr>
          </w:p>
        </w:tc>
        <w:tc>
          <w:tcPr>
            <w:tcW w:w="0" w:type="auto"/>
            <w:gridSpan w:val="3"/>
            <w:tcMar>
              <w:top w:w="30" w:type="dxa"/>
              <w:left w:w="20" w:type="dxa"/>
              <w:bottom w:w="30" w:type="dxa"/>
              <w:right w:w="20" w:type="dxa"/>
            </w:tcMar>
            <w:vAlign w:val="center"/>
            <w:hideMark/>
          </w:tcPr>
          <w:p w:rsidR="00000000" w:rsidRDefault="001F1FC8">
            <w:pPr>
              <w:jc w:val="right"/>
              <w:rPr>
                <w:rFonts w:eastAsia="Times New Roman"/>
              </w:rPr>
            </w:pPr>
            <w:r>
              <w:rPr>
                <w:rFonts w:ascii="Arial" w:eastAsia="Times New Roman" w:hAnsi="Arial" w:cs="Arial"/>
                <w:color w:val="000000"/>
                <w:sz w:val="16"/>
                <w:szCs w:val="16"/>
              </w:rPr>
              <w:t>Maturity</w:t>
            </w:r>
          </w:p>
        </w:tc>
        <w:tc>
          <w:tcPr>
            <w:tcW w:w="0" w:type="auto"/>
            <w:gridSpan w:val="3"/>
            <w:tcMar>
              <w:top w:w="0" w:type="dxa"/>
              <w:left w:w="20" w:type="dxa"/>
              <w:bottom w:w="0" w:type="dxa"/>
              <w:right w:w="20" w:type="dxa"/>
            </w:tcMar>
            <w:vAlign w:val="center"/>
            <w:hideMark/>
          </w:tcPr>
          <w:p w:rsidR="00000000" w:rsidRDefault="001F1FC8">
            <w:pPr>
              <w:jc w:val="right"/>
              <w:rPr>
                <w:rFonts w:eastAsia="Times New Roman"/>
              </w:rPr>
            </w:pPr>
          </w:p>
        </w:tc>
        <w:tc>
          <w:tcPr>
            <w:tcW w:w="0" w:type="auto"/>
            <w:gridSpan w:val="3"/>
            <w:tcMar>
              <w:top w:w="30" w:type="dxa"/>
              <w:left w:w="20" w:type="dxa"/>
              <w:bottom w:w="30" w:type="dxa"/>
              <w:right w:w="20" w:type="dxa"/>
            </w:tcMar>
            <w:vAlign w:val="center"/>
            <w:hideMark/>
          </w:tcPr>
          <w:p w:rsidR="00000000" w:rsidRDefault="001F1FC8">
            <w:pPr>
              <w:jc w:val="right"/>
              <w:rPr>
                <w:rFonts w:eastAsia="Times New Roman"/>
              </w:rPr>
            </w:pPr>
            <w:r>
              <w:rPr>
                <w:rFonts w:ascii="Arial" w:eastAsia="Times New Roman" w:hAnsi="Arial" w:cs="Arial"/>
                <w:b/>
                <w:bCs/>
                <w:color w:val="000000"/>
                <w:sz w:val="16"/>
                <w:szCs w:val="16"/>
              </w:rPr>
              <w:t>2021</w:t>
            </w:r>
          </w:p>
        </w:tc>
        <w:tc>
          <w:tcPr>
            <w:tcW w:w="0" w:type="auto"/>
            <w:gridSpan w:val="3"/>
            <w:tcMar>
              <w:top w:w="0" w:type="dxa"/>
              <w:left w:w="20" w:type="dxa"/>
              <w:bottom w:w="0" w:type="dxa"/>
              <w:right w:w="20" w:type="dxa"/>
            </w:tcMar>
            <w:vAlign w:val="center"/>
            <w:hideMark/>
          </w:tcPr>
          <w:p w:rsidR="00000000" w:rsidRDefault="001F1FC8">
            <w:pPr>
              <w:jc w:val="right"/>
              <w:rPr>
                <w:rFonts w:eastAsia="Times New Roman"/>
              </w:rPr>
            </w:pPr>
          </w:p>
        </w:tc>
        <w:tc>
          <w:tcPr>
            <w:tcW w:w="0" w:type="auto"/>
            <w:gridSpan w:val="3"/>
            <w:tcMar>
              <w:top w:w="30" w:type="dxa"/>
              <w:left w:w="20" w:type="dxa"/>
              <w:bottom w:w="30" w:type="dxa"/>
              <w:right w:w="20" w:type="dxa"/>
            </w:tcMar>
            <w:vAlign w:val="center"/>
            <w:hideMark/>
          </w:tcPr>
          <w:p w:rsidR="00000000" w:rsidRDefault="001F1FC8">
            <w:pPr>
              <w:jc w:val="right"/>
              <w:rPr>
                <w:rFonts w:eastAsia="Times New Roman"/>
              </w:rPr>
            </w:pPr>
            <w:r>
              <w:rPr>
                <w:rFonts w:ascii="Arial" w:eastAsia="Times New Roman" w:hAnsi="Arial" w:cs="Arial"/>
                <w:color w:val="000000"/>
                <w:sz w:val="16"/>
                <w:szCs w:val="16"/>
              </w:rPr>
              <w:t>2020</w:t>
            </w:r>
          </w:p>
        </w:tc>
      </w:tr>
      <w:tr w:rsidR="00000000">
        <w:trPr>
          <w:divId w:val="738597104"/>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1F1FC8">
            <w:pPr>
              <w:rPr>
                <w:rFonts w:eastAsia="Times New Roman"/>
              </w:rPr>
            </w:pPr>
            <w:r>
              <w:rPr>
                <w:rFonts w:ascii="Arial" w:eastAsia="Times New Roman" w:hAnsi="Arial" w:cs="Arial"/>
                <w:i/>
                <w:iCs/>
                <w:color w:val="000000"/>
                <w:sz w:val="14"/>
                <w:szCs w:val="14"/>
              </w:rPr>
              <w:t>(millions of Canadian dollars)</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1F1FC8">
            <w:pPr>
              <w:jc w:val="right"/>
              <w:rPr>
                <w:rFonts w:eastAsia="Times New Roman"/>
              </w:rPr>
            </w:pPr>
            <w:r>
              <w:rPr>
                <w:rFonts w:ascii="Arial" w:eastAsia="Times New Roman" w:hAnsi="Arial" w:cs="Arial"/>
                <w:color w:val="000000"/>
                <w:sz w:val="16"/>
                <w:szCs w:val="16"/>
              </w:rPr>
              <w:t> </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1F1FC8">
            <w:pPr>
              <w:jc w:val="right"/>
              <w:rPr>
                <w:rFonts w:eastAsia="Times New Roman"/>
              </w:rPr>
            </w:pP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1F1FC8">
            <w:pPr>
              <w:jc w:val="right"/>
              <w:rPr>
                <w:rFonts w:eastAsia="Times New Roman"/>
              </w:rPr>
            </w:pPr>
            <w:r>
              <w:rPr>
                <w:rFonts w:ascii="Arial" w:eastAsia="Times New Roman" w:hAnsi="Arial" w:cs="Arial"/>
                <w:color w:val="000000"/>
                <w:sz w:val="16"/>
                <w:szCs w:val="16"/>
              </w:rPr>
              <w:t> </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1F1FC8">
            <w:pPr>
              <w:jc w:val="right"/>
              <w:rPr>
                <w:rFonts w:eastAsia="Times New Roman"/>
              </w:rPr>
            </w:pPr>
          </w:p>
        </w:tc>
        <w:tc>
          <w:tcPr>
            <w:tcW w:w="0" w:type="auto"/>
            <w:gridSpan w:val="3"/>
            <w:tcBorders>
              <w:top w:val="single" w:sz="4" w:space="0" w:color="000000"/>
            </w:tcBorders>
            <w:shd w:val="clear" w:color="auto" w:fill="D9D9D9"/>
            <w:tcMar>
              <w:top w:w="30" w:type="dxa"/>
              <w:left w:w="20" w:type="dxa"/>
              <w:bottom w:w="30" w:type="dxa"/>
              <w:right w:w="20" w:type="dxa"/>
            </w:tcMar>
            <w:vAlign w:val="center"/>
            <w:hideMark/>
          </w:tcPr>
          <w:p w:rsidR="00000000" w:rsidRDefault="001F1FC8">
            <w:pPr>
              <w:jc w:val="right"/>
              <w:rPr>
                <w:rFonts w:eastAsia="Times New Roman"/>
              </w:rPr>
            </w:pPr>
            <w:r>
              <w:rPr>
                <w:rFonts w:ascii="Arial" w:eastAsia="Times New Roman" w:hAnsi="Arial" w:cs="Arial"/>
                <w:color w:val="000000"/>
                <w:sz w:val="16"/>
                <w:szCs w:val="16"/>
              </w:rPr>
              <w:t> </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1F1FC8">
            <w:pPr>
              <w:jc w:val="right"/>
              <w:rPr>
                <w:rFonts w:eastAsia="Times New Roman"/>
              </w:rPr>
            </w:pP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1F1FC8">
            <w:pPr>
              <w:jc w:val="right"/>
              <w:rPr>
                <w:rFonts w:eastAsia="Times New Roman"/>
              </w:rPr>
            </w:pPr>
            <w:r>
              <w:rPr>
                <w:rFonts w:ascii="Arial" w:eastAsia="Times New Roman" w:hAnsi="Arial" w:cs="Arial"/>
                <w:color w:val="000000"/>
                <w:sz w:val="16"/>
                <w:szCs w:val="16"/>
              </w:rPr>
              <w:t> </w:t>
            </w:r>
          </w:p>
        </w:tc>
      </w:tr>
      <w:tr w:rsidR="00000000">
        <w:trPr>
          <w:divId w:val="738597104"/>
        </w:trPr>
        <w:tc>
          <w:tcPr>
            <w:tcW w:w="0" w:type="auto"/>
            <w:gridSpan w:val="3"/>
            <w:tcMar>
              <w:top w:w="30" w:type="dxa"/>
              <w:left w:w="20" w:type="dxa"/>
              <w:bottom w:w="30" w:type="dxa"/>
              <w:right w:w="20" w:type="dxa"/>
            </w:tcMar>
            <w:hideMark/>
          </w:tcPr>
          <w:p w:rsidR="00000000" w:rsidRDefault="001F1FC8">
            <w:pPr>
              <w:rPr>
                <w:rFonts w:eastAsia="Times New Roman"/>
              </w:rPr>
            </w:pPr>
            <w:r>
              <w:rPr>
                <w:rFonts w:ascii="Arial" w:eastAsia="Times New Roman" w:hAnsi="Arial" w:cs="Arial"/>
                <w:color w:val="000000"/>
                <w:sz w:val="16"/>
                <w:szCs w:val="16"/>
              </w:rPr>
              <w:t>Enbridge Inc.</w:t>
            </w:r>
          </w:p>
        </w:tc>
        <w:tc>
          <w:tcPr>
            <w:tcW w:w="0" w:type="auto"/>
            <w:gridSpan w:val="3"/>
            <w:tcMar>
              <w:top w:w="30" w:type="dxa"/>
              <w:left w:w="20" w:type="dxa"/>
              <w:bottom w:w="30" w:type="dxa"/>
              <w:right w:w="20" w:type="dxa"/>
            </w:tcMar>
            <w:hideMark/>
          </w:tcPr>
          <w:p w:rsidR="00000000" w:rsidRDefault="001F1FC8">
            <w:pPr>
              <w:jc w:val="right"/>
              <w:rPr>
                <w:rFonts w:eastAsia="Times New Roman"/>
              </w:rPr>
            </w:pPr>
            <w:r>
              <w:rPr>
                <w:rFonts w:ascii="Arial" w:eastAsia="Times New Roman" w:hAnsi="Arial" w:cs="Arial"/>
                <w:color w:val="000000"/>
                <w:sz w:val="16"/>
                <w:szCs w:val="16"/>
              </w:rPr>
              <w:t> </w:t>
            </w:r>
          </w:p>
        </w:tc>
        <w:tc>
          <w:tcPr>
            <w:tcW w:w="0" w:type="auto"/>
            <w:gridSpan w:val="3"/>
            <w:tcMar>
              <w:top w:w="0" w:type="dxa"/>
              <w:left w:w="20" w:type="dxa"/>
              <w:bottom w:w="0" w:type="dxa"/>
              <w:right w:w="20" w:type="dxa"/>
            </w:tcMar>
            <w:vAlign w:val="center"/>
            <w:hideMark/>
          </w:tcPr>
          <w:p w:rsidR="00000000" w:rsidRDefault="001F1FC8">
            <w:pPr>
              <w:jc w:val="right"/>
              <w:rPr>
                <w:rFonts w:eastAsia="Times New Roman"/>
              </w:rPr>
            </w:pPr>
          </w:p>
        </w:tc>
        <w:tc>
          <w:tcPr>
            <w:tcW w:w="0" w:type="auto"/>
            <w:gridSpan w:val="3"/>
            <w:tcMar>
              <w:top w:w="30" w:type="dxa"/>
              <w:left w:w="20" w:type="dxa"/>
              <w:bottom w:w="30" w:type="dxa"/>
              <w:right w:w="20" w:type="dxa"/>
            </w:tcMar>
            <w:hideMark/>
          </w:tcPr>
          <w:p w:rsidR="00000000" w:rsidRDefault="001F1FC8">
            <w:pPr>
              <w:jc w:val="right"/>
              <w:rPr>
                <w:rFonts w:eastAsia="Times New Roman"/>
              </w:rPr>
            </w:pPr>
            <w:r>
              <w:rPr>
                <w:rFonts w:ascii="Arial" w:eastAsia="Times New Roman" w:hAnsi="Arial" w:cs="Arial"/>
                <w:color w:val="000000"/>
                <w:sz w:val="16"/>
                <w:szCs w:val="16"/>
              </w:rPr>
              <w:t> </w:t>
            </w:r>
          </w:p>
        </w:tc>
        <w:tc>
          <w:tcPr>
            <w:tcW w:w="0" w:type="auto"/>
            <w:gridSpan w:val="3"/>
            <w:tcMar>
              <w:top w:w="0" w:type="dxa"/>
              <w:left w:w="20" w:type="dxa"/>
              <w:bottom w:w="0" w:type="dxa"/>
              <w:right w:w="20" w:type="dxa"/>
            </w:tcMar>
            <w:vAlign w:val="center"/>
            <w:hideMark/>
          </w:tcPr>
          <w:p w:rsidR="00000000" w:rsidRDefault="001F1FC8">
            <w:pPr>
              <w:jc w:val="right"/>
              <w:rPr>
                <w:rFonts w:eastAsia="Times New Roman"/>
              </w:rPr>
            </w:pPr>
          </w:p>
        </w:tc>
        <w:tc>
          <w:tcPr>
            <w:tcW w:w="0" w:type="auto"/>
            <w:gridSpan w:val="3"/>
            <w:shd w:val="clear" w:color="auto" w:fill="D9D9D9"/>
            <w:tcMar>
              <w:top w:w="30" w:type="dxa"/>
              <w:left w:w="20" w:type="dxa"/>
              <w:bottom w:w="30" w:type="dxa"/>
              <w:right w:w="20" w:type="dxa"/>
            </w:tcMar>
            <w:hideMark/>
          </w:tcPr>
          <w:p w:rsidR="00000000" w:rsidRDefault="001F1FC8">
            <w:pPr>
              <w:jc w:val="right"/>
              <w:rPr>
                <w:rFonts w:eastAsia="Times New Roman"/>
              </w:rPr>
            </w:pPr>
            <w:r>
              <w:rPr>
                <w:rFonts w:ascii="Arial" w:eastAsia="Times New Roman" w:hAnsi="Arial" w:cs="Arial"/>
                <w:color w:val="000000"/>
                <w:sz w:val="16"/>
                <w:szCs w:val="16"/>
              </w:rPr>
              <w:t> </w:t>
            </w:r>
          </w:p>
        </w:tc>
        <w:tc>
          <w:tcPr>
            <w:tcW w:w="0" w:type="auto"/>
            <w:gridSpan w:val="3"/>
            <w:tcMar>
              <w:top w:w="0" w:type="dxa"/>
              <w:left w:w="20" w:type="dxa"/>
              <w:bottom w:w="0" w:type="dxa"/>
              <w:right w:w="20" w:type="dxa"/>
            </w:tcMar>
            <w:vAlign w:val="center"/>
            <w:hideMark/>
          </w:tcPr>
          <w:p w:rsidR="00000000" w:rsidRDefault="001F1FC8">
            <w:pPr>
              <w:jc w:val="right"/>
              <w:rPr>
                <w:rFonts w:eastAsia="Times New Roman"/>
              </w:rPr>
            </w:pPr>
          </w:p>
        </w:tc>
        <w:tc>
          <w:tcPr>
            <w:tcW w:w="0" w:type="auto"/>
            <w:gridSpan w:val="3"/>
            <w:tcMar>
              <w:top w:w="30" w:type="dxa"/>
              <w:left w:w="20" w:type="dxa"/>
              <w:bottom w:w="30" w:type="dxa"/>
              <w:right w:w="20" w:type="dxa"/>
            </w:tcMar>
            <w:hideMark/>
          </w:tcPr>
          <w:p w:rsidR="00000000" w:rsidRDefault="001F1FC8">
            <w:pPr>
              <w:jc w:val="right"/>
              <w:rPr>
                <w:rFonts w:eastAsia="Times New Roman"/>
              </w:rPr>
            </w:pPr>
            <w:r>
              <w:rPr>
                <w:rFonts w:ascii="Arial" w:eastAsia="Times New Roman" w:hAnsi="Arial" w:cs="Arial"/>
                <w:color w:val="000000"/>
                <w:sz w:val="16"/>
                <w:szCs w:val="16"/>
              </w:rPr>
              <w:t> </w:t>
            </w:r>
          </w:p>
        </w:tc>
      </w:tr>
      <w:tr w:rsidR="00000000">
        <w:trPr>
          <w:divId w:val="738597104"/>
        </w:trPr>
        <w:tc>
          <w:tcPr>
            <w:tcW w:w="0" w:type="auto"/>
            <w:gridSpan w:val="3"/>
            <w:tcMar>
              <w:top w:w="30" w:type="dxa"/>
              <w:left w:w="20" w:type="dxa"/>
              <w:bottom w:w="30" w:type="dxa"/>
              <w:right w:w="20" w:type="dxa"/>
            </w:tcMar>
            <w:hideMark/>
          </w:tcPr>
          <w:p w:rsidR="00000000" w:rsidRDefault="001F1FC8">
            <w:pPr>
              <w:ind w:firstLine="180"/>
              <w:rPr>
                <w:rFonts w:eastAsia="Times New Roman"/>
              </w:rPr>
            </w:pPr>
            <w:r>
              <w:rPr>
                <w:rFonts w:ascii="Arial" w:eastAsia="Times New Roman" w:hAnsi="Arial" w:cs="Arial"/>
                <w:color w:val="000000"/>
                <w:sz w:val="16"/>
                <w:szCs w:val="16"/>
              </w:rPr>
              <w:t>US dollar senior notes</w:t>
            </w:r>
          </w:p>
        </w:tc>
        <w:tc>
          <w:tcPr>
            <w:tcW w:w="0" w:type="auto"/>
            <w:gridSpan w:val="2"/>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color w:val="000000"/>
                <w:sz w:val="16"/>
                <w:szCs w:val="16"/>
              </w:rPr>
              <w:t>3.2 </w:t>
            </w:r>
          </w:p>
        </w:tc>
        <w:tc>
          <w:tcPr>
            <w:tcW w:w="0" w:type="auto"/>
            <w:tcMar>
              <w:top w:w="30" w:type="dxa"/>
              <w:left w:w="0" w:type="dxa"/>
              <w:bottom w:w="30" w:type="dxa"/>
              <w:right w:w="20" w:type="dxa"/>
            </w:tcMar>
            <w:hideMark/>
          </w:tcPr>
          <w:p w:rsidR="00000000" w:rsidRDefault="001F1FC8">
            <w:pPr>
              <w:jc w:val="right"/>
              <w:rPr>
                <w:rFonts w:eastAsia="Times New Roman"/>
              </w:rPr>
            </w:pPr>
            <w:r>
              <w:rPr>
                <w:rFonts w:ascii="Arial" w:eastAsia="Times New Roman" w:hAnsi="Arial" w:cs="Arial"/>
                <w:color w:val="000000"/>
                <w:sz w:val="16"/>
                <w:szCs w:val="16"/>
              </w:rPr>
              <w:t>%</w:t>
            </w:r>
          </w:p>
        </w:tc>
        <w:tc>
          <w:tcPr>
            <w:tcW w:w="0" w:type="auto"/>
            <w:gridSpan w:val="3"/>
            <w:tcMar>
              <w:top w:w="0" w:type="dxa"/>
              <w:left w:w="20" w:type="dxa"/>
              <w:bottom w:w="0" w:type="dxa"/>
              <w:right w:w="20" w:type="dxa"/>
            </w:tcMar>
            <w:vAlign w:val="center"/>
            <w:hideMark/>
          </w:tcPr>
          <w:p w:rsidR="00000000" w:rsidRDefault="001F1FC8">
            <w:pPr>
              <w:jc w:val="right"/>
              <w:rPr>
                <w:rFonts w:eastAsia="Times New Roman"/>
              </w:rPr>
            </w:pPr>
          </w:p>
        </w:tc>
        <w:tc>
          <w:tcPr>
            <w:tcW w:w="0" w:type="auto"/>
            <w:gridSpan w:val="3"/>
            <w:tcMar>
              <w:top w:w="30" w:type="dxa"/>
              <w:left w:w="20" w:type="dxa"/>
              <w:bottom w:w="30" w:type="dxa"/>
              <w:right w:w="20" w:type="dxa"/>
            </w:tcMar>
            <w:hideMark/>
          </w:tcPr>
          <w:p w:rsidR="00000000" w:rsidRDefault="001F1FC8">
            <w:pPr>
              <w:jc w:val="right"/>
              <w:rPr>
                <w:rFonts w:eastAsia="Times New Roman"/>
              </w:rPr>
            </w:pPr>
            <w:r>
              <w:rPr>
                <w:rFonts w:ascii="Arial" w:eastAsia="Times New Roman" w:hAnsi="Arial" w:cs="Arial"/>
                <w:color w:val="000000"/>
                <w:sz w:val="16"/>
                <w:szCs w:val="16"/>
              </w:rPr>
              <w:t>2022 - 2051</w:t>
            </w:r>
          </w:p>
        </w:tc>
        <w:tc>
          <w:tcPr>
            <w:tcW w:w="0" w:type="auto"/>
            <w:gridSpan w:val="3"/>
            <w:tcMar>
              <w:top w:w="0" w:type="dxa"/>
              <w:left w:w="20" w:type="dxa"/>
              <w:bottom w:w="0" w:type="dxa"/>
              <w:right w:w="20" w:type="dxa"/>
            </w:tcMar>
            <w:vAlign w:val="center"/>
            <w:hideMark/>
          </w:tcPr>
          <w:p w:rsidR="00000000" w:rsidRDefault="001F1FC8">
            <w:pPr>
              <w:jc w:val="right"/>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b/>
                <w:bCs/>
                <w:color w:val="000000"/>
                <w:sz w:val="16"/>
                <w:szCs w:val="16"/>
              </w:rPr>
              <w:t>10,992</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hideMark/>
          </w:tcPr>
          <w:p w:rsidR="00000000" w:rsidRDefault="001F1FC8">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1F1FC8">
            <w:pPr>
              <w:jc w:val="right"/>
              <w:rPr>
                <w:rFonts w:eastAsia="Times New Roman"/>
                <w:sz w:val="20"/>
                <w:szCs w:val="20"/>
              </w:rPr>
            </w:pPr>
          </w:p>
        </w:tc>
        <w:tc>
          <w:tcPr>
            <w:tcW w:w="0" w:type="auto"/>
            <w:gridSpan w:val="2"/>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color w:val="000000"/>
                <w:sz w:val="16"/>
                <w:szCs w:val="16"/>
              </w:rPr>
              <w:t>8,536 </w:t>
            </w:r>
          </w:p>
        </w:tc>
        <w:tc>
          <w:tcPr>
            <w:tcW w:w="0" w:type="auto"/>
            <w:tcMar>
              <w:top w:w="30" w:type="dxa"/>
              <w:left w:w="0" w:type="dxa"/>
              <w:bottom w:w="30" w:type="dxa"/>
              <w:right w:w="20" w:type="dxa"/>
            </w:tcMar>
            <w:hideMark/>
          </w:tcPr>
          <w:p w:rsidR="00000000" w:rsidRDefault="001F1FC8">
            <w:pPr>
              <w:jc w:val="right"/>
              <w:rPr>
                <w:rFonts w:eastAsia="Times New Roman"/>
              </w:rPr>
            </w:pPr>
          </w:p>
        </w:tc>
      </w:tr>
      <w:tr w:rsidR="00000000">
        <w:trPr>
          <w:divId w:val="738597104"/>
        </w:trPr>
        <w:tc>
          <w:tcPr>
            <w:tcW w:w="0" w:type="auto"/>
            <w:gridSpan w:val="3"/>
            <w:tcMar>
              <w:top w:w="30" w:type="dxa"/>
              <w:left w:w="20" w:type="dxa"/>
              <w:bottom w:w="30" w:type="dxa"/>
              <w:right w:w="20" w:type="dxa"/>
            </w:tcMar>
            <w:hideMark/>
          </w:tcPr>
          <w:p w:rsidR="00000000" w:rsidRDefault="001F1FC8">
            <w:pPr>
              <w:ind w:firstLine="180"/>
              <w:divId w:val="632560943"/>
              <w:rPr>
                <w:rFonts w:eastAsia="Times New Roman"/>
              </w:rPr>
            </w:pPr>
            <w:r>
              <w:rPr>
                <w:rFonts w:ascii="Arial" w:eastAsia="Times New Roman" w:hAnsi="Arial" w:cs="Arial"/>
                <w:color w:val="000000"/>
                <w:sz w:val="16"/>
                <w:szCs w:val="16"/>
              </w:rPr>
              <w:t>Medium-term notes</w:t>
            </w:r>
          </w:p>
        </w:tc>
        <w:tc>
          <w:tcPr>
            <w:tcW w:w="0" w:type="auto"/>
            <w:gridSpan w:val="2"/>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color w:val="000000"/>
                <w:sz w:val="16"/>
                <w:szCs w:val="16"/>
              </w:rPr>
              <w:t>3.9 </w:t>
            </w:r>
          </w:p>
        </w:tc>
        <w:tc>
          <w:tcPr>
            <w:tcW w:w="0" w:type="auto"/>
            <w:tcMar>
              <w:top w:w="30" w:type="dxa"/>
              <w:left w:w="0" w:type="dxa"/>
              <w:bottom w:w="30" w:type="dxa"/>
              <w:right w:w="20" w:type="dxa"/>
            </w:tcMar>
            <w:hideMark/>
          </w:tcPr>
          <w:p w:rsidR="00000000" w:rsidRDefault="001F1FC8">
            <w:pPr>
              <w:jc w:val="right"/>
              <w:rPr>
                <w:rFonts w:eastAsia="Times New Roman"/>
              </w:rPr>
            </w:pPr>
            <w:r>
              <w:rPr>
                <w:rFonts w:ascii="Arial" w:eastAsia="Times New Roman" w:hAnsi="Arial" w:cs="Arial"/>
                <w:color w:val="000000"/>
                <w:sz w:val="16"/>
                <w:szCs w:val="16"/>
              </w:rPr>
              <w:t>%</w:t>
            </w:r>
          </w:p>
        </w:tc>
        <w:tc>
          <w:tcPr>
            <w:tcW w:w="0" w:type="auto"/>
            <w:gridSpan w:val="3"/>
            <w:tcMar>
              <w:top w:w="0" w:type="dxa"/>
              <w:left w:w="20" w:type="dxa"/>
              <w:bottom w:w="0" w:type="dxa"/>
              <w:right w:w="20" w:type="dxa"/>
            </w:tcMar>
            <w:vAlign w:val="center"/>
            <w:hideMark/>
          </w:tcPr>
          <w:p w:rsidR="00000000" w:rsidRDefault="001F1FC8">
            <w:pPr>
              <w:jc w:val="right"/>
              <w:rPr>
                <w:rFonts w:eastAsia="Times New Roman"/>
              </w:rPr>
            </w:pPr>
          </w:p>
        </w:tc>
        <w:tc>
          <w:tcPr>
            <w:tcW w:w="0" w:type="auto"/>
            <w:gridSpan w:val="3"/>
            <w:tcMar>
              <w:top w:w="30" w:type="dxa"/>
              <w:left w:w="20" w:type="dxa"/>
              <w:bottom w:w="30" w:type="dxa"/>
              <w:right w:w="20" w:type="dxa"/>
            </w:tcMar>
            <w:hideMark/>
          </w:tcPr>
          <w:p w:rsidR="00000000" w:rsidRDefault="001F1FC8">
            <w:pPr>
              <w:jc w:val="right"/>
              <w:rPr>
                <w:rFonts w:eastAsia="Times New Roman"/>
              </w:rPr>
            </w:pPr>
            <w:r>
              <w:rPr>
                <w:rFonts w:ascii="Arial" w:eastAsia="Times New Roman" w:hAnsi="Arial" w:cs="Arial"/>
                <w:color w:val="000000"/>
                <w:sz w:val="16"/>
                <w:szCs w:val="16"/>
              </w:rPr>
              <w:t>2022 - 2064</w:t>
            </w:r>
          </w:p>
        </w:tc>
        <w:tc>
          <w:tcPr>
            <w:tcW w:w="0" w:type="auto"/>
            <w:gridSpan w:val="3"/>
            <w:tcMar>
              <w:top w:w="0" w:type="dxa"/>
              <w:left w:w="20" w:type="dxa"/>
              <w:bottom w:w="0" w:type="dxa"/>
              <w:right w:w="20" w:type="dxa"/>
            </w:tcMar>
            <w:vAlign w:val="center"/>
            <w:hideMark/>
          </w:tcPr>
          <w:p w:rsidR="00000000" w:rsidRDefault="001F1FC8">
            <w:pPr>
              <w:jc w:val="right"/>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b/>
                <w:bCs/>
                <w:color w:val="000000"/>
                <w:sz w:val="16"/>
                <w:szCs w:val="16"/>
              </w:rPr>
              <w:t>8,123</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hideMark/>
          </w:tcPr>
          <w:p w:rsidR="00000000" w:rsidRDefault="001F1FC8">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1F1FC8">
            <w:pPr>
              <w:jc w:val="right"/>
              <w:rPr>
                <w:rFonts w:eastAsia="Times New Roman"/>
                <w:sz w:val="20"/>
                <w:szCs w:val="20"/>
              </w:rPr>
            </w:pPr>
          </w:p>
        </w:tc>
        <w:tc>
          <w:tcPr>
            <w:tcW w:w="0" w:type="auto"/>
            <w:gridSpan w:val="2"/>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color w:val="000000"/>
                <w:sz w:val="16"/>
                <w:szCs w:val="16"/>
              </w:rPr>
              <w:t>8,323 </w:t>
            </w:r>
          </w:p>
        </w:tc>
        <w:tc>
          <w:tcPr>
            <w:tcW w:w="0" w:type="auto"/>
            <w:tcMar>
              <w:top w:w="30" w:type="dxa"/>
              <w:left w:w="0" w:type="dxa"/>
              <w:bottom w:w="30" w:type="dxa"/>
              <w:right w:w="20" w:type="dxa"/>
            </w:tcMar>
            <w:hideMark/>
          </w:tcPr>
          <w:p w:rsidR="00000000" w:rsidRDefault="001F1FC8">
            <w:pPr>
              <w:jc w:val="right"/>
              <w:rPr>
                <w:rFonts w:eastAsia="Times New Roman"/>
              </w:rPr>
            </w:pPr>
          </w:p>
        </w:tc>
      </w:tr>
      <w:tr w:rsidR="00000000">
        <w:trPr>
          <w:divId w:val="738597104"/>
        </w:trPr>
        <w:tc>
          <w:tcPr>
            <w:tcW w:w="0" w:type="auto"/>
            <w:gridSpan w:val="3"/>
            <w:tcMar>
              <w:top w:w="30" w:type="dxa"/>
              <w:left w:w="20" w:type="dxa"/>
              <w:bottom w:w="30" w:type="dxa"/>
              <w:right w:w="20" w:type="dxa"/>
            </w:tcMar>
            <w:hideMark/>
          </w:tcPr>
          <w:p w:rsidR="00000000" w:rsidRDefault="001F1FC8">
            <w:pPr>
              <w:ind w:firstLine="180"/>
              <w:rPr>
                <w:rFonts w:eastAsia="Times New Roman"/>
              </w:rPr>
            </w:pPr>
            <w:r>
              <w:rPr>
                <w:rFonts w:ascii="Arial" w:eastAsia="Times New Roman" w:hAnsi="Arial" w:cs="Arial"/>
                <w:color w:val="000000"/>
                <w:sz w:val="16"/>
                <w:szCs w:val="16"/>
              </w:rPr>
              <w:t>Sustainability-linked bonds</w:t>
            </w:r>
          </w:p>
        </w:tc>
        <w:tc>
          <w:tcPr>
            <w:tcW w:w="0" w:type="auto"/>
            <w:gridSpan w:val="2"/>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color w:val="000000"/>
                <w:sz w:val="16"/>
                <w:szCs w:val="16"/>
              </w:rPr>
              <w:t>1.1 </w:t>
            </w:r>
          </w:p>
        </w:tc>
        <w:tc>
          <w:tcPr>
            <w:tcW w:w="0" w:type="auto"/>
            <w:tcMar>
              <w:top w:w="30" w:type="dxa"/>
              <w:left w:w="0" w:type="dxa"/>
              <w:bottom w:w="30" w:type="dxa"/>
              <w:right w:w="20" w:type="dxa"/>
            </w:tcMar>
            <w:hideMark/>
          </w:tcPr>
          <w:p w:rsidR="00000000" w:rsidRDefault="001F1FC8">
            <w:pPr>
              <w:jc w:val="right"/>
              <w:rPr>
                <w:rFonts w:eastAsia="Times New Roman"/>
              </w:rPr>
            </w:pPr>
            <w:r>
              <w:rPr>
                <w:rFonts w:ascii="Arial" w:eastAsia="Times New Roman" w:hAnsi="Arial" w:cs="Arial"/>
                <w:color w:val="000000"/>
                <w:sz w:val="16"/>
                <w:szCs w:val="16"/>
              </w:rPr>
              <w:t>%</w:t>
            </w:r>
          </w:p>
        </w:tc>
        <w:tc>
          <w:tcPr>
            <w:tcW w:w="0" w:type="auto"/>
            <w:gridSpan w:val="3"/>
            <w:tcMar>
              <w:top w:w="0" w:type="dxa"/>
              <w:left w:w="20" w:type="dxa"/>
              <w:bottom w:w="0" w:type="dxa"/>
              <w:right w:w="20" w:type="dxa"/>
            </w:tcMar>
            <w:vAlign w:val="center"/>
            <w:hideMark/>
          </w:tcPr>
          <w:p w:rsidR="00000000" w:rsidRDefault="001F1FC8">
            <w:pPr>
              <w:jc w:val="right"/>
              <w:rPr>
                <w:rFonts w:eastAsia="Times New Roman"/>
              </w:rPr>
            </w:pPr>
          </w:p>
        </w:tc>
        <w:tc>
          <w:tcPr>
            <w:tcW w:w="0" w:type="auto"/>
            <w:gridSpan w:val="3"/>
            <w:tcMar>
              <w:top w:w="30" w:type="dxa"/>
              <w:left w:w="20" w:type="dxa"/>
              <w:bottom w:w="30" w:type="dxa"/>
              <w:right w:w="20" w:type="dxa"/>
            </w:tcMar>
            <w:hideMark/>
          </w:tcPr>
          <w:p w:rsidR="00000000" w:rsidRDefault="001F1FC8">
            <w:pPr>
              <w:jc w:val="right"/>
              <w:rPr>
                <w:rFonts w:eastAsia="Times New Roman"/>
              </w:rPr>
            </w:pPr>
            <w:r>
              <w:rPr>
                <w:rFonts w:ascii="Arial" w:eastAsia="Times New Roman" w:hAnsi="Arial" w:cs="Arial"/>
                <w:color w:val="000000"/>
                <w:sz w:val="16"/>
                <w:szCs w:val="16"/>
              </w:rPr>
              <w:t>2033</w:t>
            </w:r>
          </w:p>
        </w:tc>
        <w:tc>
          <w:tcPr>
            <w:tcW w:w="0" w:type="auto"/>
            <w:gridSpan w:val="3"/>
            <w:tcMar>
              <w:top w:w="0" w:type="dxa"/>
              <w:left w:w="20" w:type="dxa"/>
              <w:bottom w:w="0" w:type="dxa"/>
              <w:right w:w="20" w:type="dxa"/>
            </w:tcMar>
            <w:vAlign w:val="center"/>
            <w:hideMark/>
          </w:tcPr>
          <w:p w:rsidR="00000000" w:rsidRDefault="001F1FC8">
            <w:pPr>
              <w:jc w:val="right"/>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b/>
                <w:bCs/>
                <w:color w:val="000000"/>
                <w:sz w:val="16"/>
                <w:szCs w:val="16"/>
              </w:rPr>
              <w:t>2,363</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hideMark/>
          </w:tcPr>
          <w:p w:rsidR="00000000" w:rsidRDefault="001F1FC8">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1F1FC8">
            <w:pPr>
              <w:jc w:val="right"/>
              <w:rPr>
                <w:rFonts w:eastAsia="Times New Roman"/>
                <w:sz w:val="20"/>
                <w:szCs w:val="20"/>
              </w:rPr>
            </w:pPr>
          </w:p>
        </w:tc>
        <w:tc>
          <w:tcPr>
            <w:tcW w:w="0" w:type="auto"/>
            <w:gridSpan w:val="2"/>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hideMark/>
          </w:tcPr>
          <w:p w:rsidR="00000000" w:rsidRDefault="001F1FC8">
            <w:pPr>
              <w:jc w:val="right"/>
              <w:rPr>
                <w:rFonts w:eastAsia="Times New Roman"/>
              </w:rPr>
            </w:pPr>
          </w:p>
        </w:tc>
      </w:tr>
      <w:tr w:rsidR="00000000">
        <w:trPr>
          <w:divId w:val="738597104"/>
        </w:trPr>
        <w:tc>
          <w:tcPr>
            <w:tcW w:w="0" w:type="auto"/>
            <w:gridSpan w:val="3"/>
            <w:tcMar>
              <w:top w:w="30" w:type="dxa"/>
              <w:left w:w="20" w:type="dxa"/>
              <w:bottom w:w="30" w:type="dxa"/>
              <w:right w:w="20" w:type="dxa"/>
            </w:tcMar>
            <w:hideMark/>
          </w:tcPr>
          <w:p w:rsidR="00000000" w:rsidRDefault="001F1FC8">
            <w:pPr>
              <w:ind w:firstLine="180"/>
              <w:divId w:val="392697986"/>
              <w:rPr>
                <w:rFonts w:eastAsia="Times New Roman"/>
              </w:rPr>
            </w:pPr>
            <w:r>
              <w:rPr>
                <w:rFonts w:ascii="Arial" w:eastAsia="Times New Roman" w:hAnsi="Arial" w:cs="Arial"/>
                <w:color w:val="000000"/>
                <w:sz w:val="16"/>
                <w:szCs w:val="16"/>
              </w:rPr>
              <w:t>Fixed-to-fixed subordinated term note</w:t>
            </w:r>
            <w:r>
              <w:rPr>
                <w:rFonts w:ascii="Arial" w:eastAsia="Times New Roman" w:hAnsi="Arial" w:cs="Arial"/>
                <w:color w:val="000000"/>
                <w:sz w:val="16"/>
                <w:szCs w:val="16"/>
              </w:rPr>
              <w:t>s</w:t>
            </w:r>
            <w:r>
              <w:rPr>
                <w:rFonts w:ascii="Arial" w:eastAsia="Times New Roman" w:hAnsi="Arial" w:cs="Arial"/>
                <w:color w:val="000000"/>
                <w:sz w:val="9"/>
                <w:szCs w:val="9"/>
              </w:rPr>
              <w:t>1</w:t>
            </w:r>
          </w:p>
        </w:tc>
        <w:tc>
          <w:tcPr>
            <w:tcW w:w="0" w:type="auto"/>
            <w:gridSpan w:val="2"/>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color w:val="000000"/>
                <w:sz w:val="16"/>
                <w:szCs w:val="16"/>
              </w:rPr>
              <w:t>5.8 </w:t>
            </w:r>
          </w:p>
        </w:tc>
        <w:tc>
          <w:tcPr>
            <w:tcW w:w="0" w:type="auto"/>
            <w:tcMar>
              <w:top w:w="30" w:type="dxa"/>
              <w:left w:w="0" w:type="dxa"/>
              <w:bottom w:w="30" w:type="dxa"/>
              <w:right w:w="20" w:type="dxa"/>
            </w:tcMar>
            <w:hideMark/>
          </w:tcPr>
          <w:p w:rsidR="00000000" w:rsidRDefault="001F1FC8">
            <w:pPr>
              <w:jc w:val="right"/>
              <w:rPr>
                <w:rFonts w:eastAsia="Times New Roman"/>
              </w:rPr>
            </w:pPr>
            <w:r>
              <w:rPr>
                <w:rFonts w:ascii="Arial" w:eastAsia="Times New Roman" w:hAnsi="Arial" w:cs="Arial"/>
                <w:color w:val="000000"/>
                <w:sz w:val="16"/>
                <w:szCs w:val="16"/>
              </w:rPr>
              <w:t>%</w:t>
            </w:r>
          </w:p>
        </w:tc>
        <w:tc>
          <w:tcPr>
            <w:tcW w:w="0" w:type="auto"/>
            <w:gridSpan w:val="3"/>
            <w:tcMar>
              <w:top w:w="0" w:type="dxa"/>
              <w:left w:w="20" w:type="dxa"/>
              <w:bottom w:w="0" w:type="dxa"/>
              <w:right w:w="20" w:type="dxa"/>
            </w:tcMar>
            <w:vAlign w:val="center"/>
            <w:hideMark/>
          </w:tcPr>
          <w:p w:rsidR="00000000" w:rsidRDefault="001F1FC8">
            <w:pPr>
              <w:jc w:val="right"/>
              <w:rPr>
                <w:rFonts w:eastAsia="Times New Roman"/>
              </w:rPr>
            </w:pPr>
          </w:p>
        </w:tc>
        <w:tc>
          <w:tcPr>
            <w:tcW w:w="0" w:type="auto"/>
            <w:gridSpan w:val="3"/>
            <w:tcMar>
              <w:top w:w="30" w:type="dxa"/>
              <w:left w:w="20" w:type="dxa"/>
              <w:bottom w:w="30" w:type="dxa"/>
              <w:right w:w="20" w:type="dxa"/>
            </w:tcMar>
            <w:hideMark/>
          </w:tcPr>
          <w:p w:rsidR="00000000" w:rsidRDefault="001F1FC8">
            <w:pPr>
              <w:jc w:val="right"/>
              <w:rPr>
                <w:rFonts w:eastAsia="Times New Roman"/>
              </w:rPr>
            </w:pPr>
            <w:r>
              <w:rPr>
                <w:rFonts w:ascii="Arial" w:eastAsia="Times New Roman" w:hAnsi="Arial" w:cs="Arial"/>
                <w:color w:val="000000"/>
                <w:sz w:val="16"/>
                <w:szCs w:val="16"/>
              </w:rPr>
              <w:t>2080</w:t>
            </w:r>
          </w:p>
        </w:tc>
        <w:tc>
          <w:tcPr>
            <w:tcW w:w="0" w:type="auto"/>
            <w:gridSpan w:val="3"/>
            <w:tcMar>
              <w:top w:w="0" w:type="dxa"/>
              <w:left w:w="20" w:type="dxa"/>
              <w:bottom w:w="0" w:type="dxa"/>
              <w:right w:w="20" w:type="dxa"/>
            </w:tcMar>
            <w:vAlign w:val="center"/>
            <w:hideMark/>
          </w:tcPr>
          <w:p w:rsidR="00000000" w:rsidRDefault="001F1FC8">
            <w:pPr>
              <w:jc w:val="right"/>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b/>
                <w:bCs/>
                <w:color w:val="000000"/>
                <w:sz w:val="16"/>
                <w:szCs w:val="16"/>
              </w:rPr>
              <w:t>1,263</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hideMark/>
          </w:tcPr>
          <w:p w:rsidR="00000000" w:rsidRDefault="001F1FC8">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1F1FC8">
            <w:pPr>
              <w:jc w:val="right"/>
              <w:rPr>
                <w:rFonts w:eastAsia="Times New Roman"/>
                <w:sz w:val="20"/>
                <w:szCs w:val="20"/>
              </w:rPr>
            </w:pPr>
          </w:p>
        </w:tc>
        <w:tc>
          <w:tcPr>
            <w:tcW w:w="0" w:type="auto"/>
            <w:gridSpan w:val="2"/>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color w:val="000000"/>
                <w:sz w:val="16"/>
                <w:szCs w:val="16"/>
              </w:rPr>
              <w:t>1,274 </w:t>
            </w:r>
          </w:p>
        </w:tc>
        <w:tc>
          <w:tcPr>
            <w:tcW w:w="0" w:type="auto"/>
            <w:tcMar>
              <w:top w:w="30" w:type="dxa"/>
              <w:left w:w="0" w:type="dxa"/>
              <w:bottom w:w="30" w:type="dxa"/>
              <w:right w:w="20" w:type="dxa"/>
            </w:tcMar>
            <w:hideMark/>
          </w:tcPr>
          <w:p w:rsidR="00000000" w:rsidRDefault="001F1FC8">
            <w:pPr>
              <w:jc w:val="right"/>
              <w:rPr>
                <w:rFonts w:eastAsia="Times New Roman"/>
              </w:rPr>
            </w:pPr>
          </w:p>
        </w:tc>
      </w:tr>
      <w:tr w:rsidR="00000000">
        <w:trPr>
          <w:divId w:val="738597104"/>
        </w:trPr>
        <w:tc>
          <w:tcPr>
            <w:tcW w:w="0" w:type="auto"/>
            <w:gridSpan w:val="3"/>
            <w:tcMar>
              <w:top w:w="30" w:type="dxa"/>
              <w:left w:w="20" w:type="dxa"/>
              <w:bottom w:w="30" w:type="dxa"/>
              <w:right w:w="20" w:type="dxa"/>
            </w:tcMar>
            <w:hideMark/>
          </w:tcPr>
          <w:p w:rsidR="00000000" w:rsidRDefault="001F1FC8">
            <w:pPr>
              <w:ind w:firstLine="180"/>
              <w:divId w:val="1416903160"/>
              <w:rPr>
                <w:rFonts w:eastAsia="Times New Roman"/>
              </w:rPr>
            </w:pPr>
            <w:r>
              <w:rPr>
                <w:rFonts w:ascii="Arial" w:eastAsia="Times New Roman" w:hAnsi="Arial" w:cs="Arial"/>
                <w:color w:val="000000"/>
                <w:sz w:val="16"/>
                <w:szCs w:val="16"/>
              </w:rPr>
              <w:t>Fixed-to-floating rate subordinated term note</w:t>
            </w:r>
            <w:r>
              <w:rPr>
                <w:rFonts w:ascii="Arial" w:eastAsia="Times New Roman" w:hAnsi="Arial" w:cs="Arial"/>
                <w:color w:val="000000"/>
                <w:sz w:val="16"/>
                <w:szCs w:val="16"/>
              </w:rPr>
              <w:t>s</w:t>
            </w:r>
            <w:r>
              <w:rPr>
                <w:rFonts w:ascii="Arial" w:eastAsia="Times New Roman" w:hAnsi="Arial" w:cs="Arial"/>
                <w:color w:val="000000"/>
                <w:sz w:val="9"/>
                <w:szCs w:val="9"/>
              </w:rPr>
              <w:t>2</w:t>
            </w:r>
          </w:p>
        </w:tc>
        <w:tc>
          <w:tcPr>
            <w:tcW w:w="0" w:type="auto"/>
            <w:gridSpan w:val="2"/>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color w:val="000000"/>
                <w:sz w:val="16"/>
                <w:szCs w:val="16"/>
              </w:rPr>
              <w:t>5.8 </w:t>
            </w:r>
          </w:p>
        </w:tc>
        <w:tc>
          <w:tcPr>
            <w:tcW w:w="0" w:type="auto"/>
            <w:tcMar>
              <w:top w:w="30" w:type="dxa"/>
              <w:left w:w="0" w:type="dxa"/>
              <w:bottom w:w="30" w:type="dxa"/>
              <w:right w:w="20" w:type="dxa"/>
            </w:tcMar>
            <w:hideMark/>
          </w:tcPr>
          <w:p w:rsidR="00000000" w:rsidRDefault="001F1FC8">
            <w:pPr>
              <w:jc w:val="right"/>
              <w:rPr>
                <w:rFonts w:eastAsia="Times New Roman"/>
              </w:rPr>
            </w:pPr>
            <w:r>
              <w:rPr>
                <w:rFonts w:ascii="Arial" w:eastAsia="Times New Roman" w:hAnsi="Arial" w:cs="Arial"/>
                <w:color w:val="000000"/>
                <w:sz w:val="16"/>
                <w:szCs w:val="16"/>
              </w:rPr>
              <w:t>%</w:t>
            </w:r>
          </w:p>
        </w:tc>
        <w:tc>
          <w:tcPr>
            <w:tcW w:w="0" w:type="auto"/>
            <w:gridSpan w:val="3"/>
            <w:tcMar>
              <w:top w:w="0" w:type="dxa"/>
              <w:left w:w="20" w:type="dxa"/>
              <w:bottom w:w="0" w:type="dxa"/>
              <w:right w:w="20" w:type="dxa"/>
            </w:tcMar>
            <w:vAlign w:val="center"/>
            <w:hideMark/>
          </w:tcPr>
          <w:p w:rsidR="00000000" w:rsidRDefault="001F1FC8">
            <w:pPr>
              <w:jc w:val="right"/>
              <w:rPr>
                <w:rFonts w:eastAsia="Times New Roman"/>
              </w:rPr>
            </w:pPr>
          </w:p>
        </w:tc>
        <w:tc>
          <w:tcPr>
            <w:tcW w:w="0" w:type="auto"/>
            <w:gridSpan w:val="3"/>
            <w:tcMar>
              <w:top w:w="30" w:type="dxa"/>
              <w:left w:w="20" w:type="dxa"/>
              <w:bottom w:w="30" w:type="dxa"/>
              <w:right w:w="20" w:type="dxa"/>
            </w:tcMar>
            <w:hideMark/>
          </w:tcPr>
          <w:p w:rsidR="00000000" w:rsidRDefault="001F1FC8">
            <w:pPr>
              <w:jc w:val="right"/>
              <w:rPr>
                <w:rFonts w:eastAsia="Times New Roman"/>
              </w:rPr>
            </w:pPr>
            <w:r>
              <w:rPr>
                <w:rFonts w:ascii="Arial" w:eastAsia="Times New Roman" w:hAnsi="Arial" w:cs="Arial"/>
                <w:color w:val="000000"/>
                <w:sz w:val="16"/>
                <w:szCs w:val="16"/>
              </w:rPr>
              <w:t>2023 - 2028</w:t>
            </w:r>
          </w:p>
        </w:tc>
        <w:tc>
          <w:tcPr>
            <w:tcW w:w="0" w:type="auto"/>
            <w:gridSpan w:val="3"/>
            <w:tcMar>
              <w:top w:w="0" w:type="dxa"/>
              <w:left w:w="20" w:type="dxa"/>
              <w:bottom w:w="0" w:type="dxa"/>
              <w:right w:w="20" w:type="dxa"/>
            </w:tcMar>
            <w:vAlign w:val="center"/>
            <w:hideMark/>
          </w:tcPr>
          <w:p w:rsidR="00000000" w:rsidRDefault="001F1FC8">
            <w:pPr>
              <w:jc w:val="right"/>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b/>
                <w:bCs/>
                <w:color w:val="000000"/>
                <w:sz w:val="16"/>
                <w:szCs w:val="16"/>
              </w:rPr>
              <w:t>6,442</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hideMark/>
          </w:tcPr>
          <w:p w:rsidR="00000000" w:rsidRDefault="001F1FC8">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1F1FC8">
            <w:pPr>
              <w:jc w:val="right"/>
              <w:rPr>
                <w:rFonts w:eastAsia="Times New Roman"/>
                <w:sz w:val="20"/>
                <w:szCs w:val="20"/>
              </w:rPr>
            </w:pPr>
          </w:p>
        </w:tc>
        <w:tc>
          <w:tcPr>
            <w:tcW w:w="0" w:type="auto"/>
            <w:gridSpan w:val="2"/>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color w:val="000000"/>
                <w:sz w:val="16"/>
                <w:szCs w:val="16"/>
              </w:rPr>
              <w:t>6,477 </w:t>
            </w:r>
          </w:p>
        </w:tc>
        <w:tc>
          <w:tcPr>
            <w:tcW w:w="0" w:type="auto"/>
            <w:tcMar>
              <w:top w:w="30" w:type="dxa"/>
              <w:left w:w="0" w:type="dxa"/>
              <w:bottom w:w="30" w:type="dxa"/>
              <w:right w:w="20" w:type="dxa"/>
            </w:tcMar>
            <w:hideMark/>
          </w:tcPr>
          <w:p w:rsidR="00000000" w:rsidRDefault="001F1FC8">
            <w:pPr>
              <w:jc w:val="right"/>
              <w:rPr>
                <w:rFonts w:eastAsia="Times New Roman"/>
              </w:rPr>
            </w:pPr>
          </w:p>
        </w:tc>
      </w:tr>
      <w:tr w:rsidR="00000000">
        <w:trPr>
          <w:divId w:val="738597104"/>
        </w:trPr>
        <w:tc>
          <w:tcPr>
            <w:tcW w:w="0" w:type="auto"/>
            <w:gridSpan w:val="3"/>
            <w:tcMar>
              <w:top w:w="30" w:type="dxa"/>
              <w:left w:w="20" w:type="dxa"/>
              <w:bottom w:w="30" w:type="dxa"/>
              <w:right w:w="20" w:type="dxa"/>
            </w:tcMar>
            <w:hideMark/>
          </w:tcPr>
          <w:p w:rsidR="00000000" w:rsidRDefault="001F1FC8">
            <w:pPr>
              <w:ind w:firstLine="180"/>
              <w:divId w:val="1975059469"/>
              <w:rPr>
                <w:rFonts w:eastAsia="Times New Roman"/>
              </w:rPr>
            </w:pPr>
            <w:r>
              <w:rPr>
                <w:rFonts w:ascii="Arial" w:eastAsia="Times New Roman" w:hAnsi="Arial" w:cs="Arial"/>
                <w:color w:val="000000"/>
                <w:sz w:val="16"/>
                <w:szCs w:val="16"/>
              </w:rPr>
              <w:t>Floating rate note</w:t>
            </w:r>
            <w:r>
              <w:rPr>
                <w:rFonts w:ascii="Arial" w:eastAsia="Times New Roman" w:hAnsi="Arial" w:cs="Arial"/>
                <w:color w:val="000000"/>
                <w:sz w:val="16"/>
                <w:szCs w:val="16"/>
              </w:rPr>
              <w:t>s</w:t>
            </w:r>
            <w:r>
              <w:rPr>
                <w:rFonts w:ascii="Arial" w:eastAsia="Times New Roman" w:hAnsi="Arial" w:cs="Arial"/>
                <w:color w:val="000000"/>
                <w:sz w:val="9"/>
                <w:szCs w:val="9"/>
              </w:rPr>
              <w:t>3</w:t>
            </w:r>
          </w:p>
        </w:tc>
        <w:tc>
          <w:tcPr>
            <w:tcW w:w="0" w:type="auto"/>
            <w:gridSpan w:val="3"/>
            <w:tcMar>
              <w:top w:w="0" w:type="dxa"/>
              <w:left w:w="20" w:type="dxa"/>
              <w:bottom w:w="0" w:type="dxa"/>
              <w:right w:w="20" w:type="dxa"/>
            </w:tcMar>
            <w:vAlign w:val="center"/>
            <w:hideMark/>
          </w:tcPr>
          <w:p w:rsidR="00000000" w:rsidRDefault="001F1FC8">
            <w:pPr>
              <w:ind w:firstLine="180"/>
              <w:rPr>
                <w:rFonts w:eastAsia="Times New Roman"/>
              </w:rPr>
            </w:pPr>
          </w:p>
        </w:tc>
        <w:tc>
          <w:tcPr>
            <w:tcW w:w="0" w:type="auto"/>
            <w:gridSpan w:val="3"/>
            <w:tcMar>
              <w:top w:w="0" w:type="dxa"/>
              <w:left w:w="20" w:type="dxa"/>
              <w:bottom w:w="0" w:type="dxa"/>
              <w:right w:w="20" w:type="dxa"/>
            </w:tcMar>
            <w:vAlign w:val="center"/>
            <w:hideMark/>
          </w:tcPr>
          <w:p w:rsidR="00000000" w:rsidRDefault="001F1FC8">
            <w:pPr>
              <w:rPr>
                <w:rFonts w:eastAsia="Times New Roman"/>
                <w:sz w:val="20"/>
                <w:szCs w:val="20"/>
              </w:rPr>
            </w:pPr>
          </w:p>
        </w:tc>
        <w:tc>
          <w:tcPr>
            <w:tcW w:w="0" w:type="auto"/>
            <w:gridSpan w:val="3"/>
            <w:tcMar>
              <w:top w:w="30" w:type="dxa"/>
              <w:left w:w="20" w:type="dxa"/>
              <w:bottom w:w="30" w:type="dxa"/>
              <w:right w:w="20" w:type="dxa"/>
            </w:tcMar>
            <w:hideMark/>
          </w:tcPr>
          <w:p w:rsidR="00000000" w:rsidRDefault="001F1FC8">
            <w:pPr>
              <w:jc w:val="right"/>
              <w:rPr>
                <w:rFonts w:eastAsia="Times New Roman"/>
              </w:rPr>
            </w:pPr>
            <w:r>
              <w:rPr>
                <w:rFonts w:ascii="Arial" w:eastAsia="Times New Roman" w:hAnsi="Arial" w:cs="Arial"/>
                <w:color w:val="000000"/>
                <w:sz w:val="16"/>
                <w:szCs w:val="16"/>
              </w:rPr>
              <w:t>2022 - 2023</w:t>
            </w:r>
          </w:p>
        </w:tc>
        <w:tc>
          <w:tcPr>
            <w:tcW w:w="0" w:type="auto"/>
            <w:gridSpan w:val="3"/>
            <w:tcMar>
              <w:top w:w="0" w:type="dxa"/>
              <w:left w:w="20" w:type="dxa"/>
              <w:bottom w:w="0" w:type="dxa"/>
              <w:right w:w="20" w:type="dxa"/>
            </w:tcMar>
            <w:vAlign w:val="center"/>
            <w:hideMark/>
          </w:tcPr>
          <w:p w:rsidR="00000000" w:rsidRDefault="001F1FC8">
            <w:pPr>
              <w:jc w:val="right"/>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b/>
                <w:bCs/>
                <w:color w:val="000000"/>
                <w:sz w:val="16"/>
                <w:szCs w:val="16"/>
              </w:rPr>
              <w:t>1,579</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hideMark/>
          </w:tcPr>
          <w:p w:rsidR="00000000" w:rsidRDefault="001F1FC8">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1F1FC8">
            <w:pPr>
              <w:jc w:val="right"/>
              <w:rPr>
                <w:rFonts w:eastAsia="Times New Roman"/>
                <w:sz w:val="20"/>
                <w:szCs w:val="20"/>
              </w:rPr>
            </w:pPr>
          </w:p>
        </w:tc>
        <w:tc>
          <w:tcPr>
            <w:tcW w:w="0" w:type="auto"/>
            <w:gridSpan w:val="2"/>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color w:val="000000"/>
                <w:sz w:val="16"/>
                <w:szCs w:val="16"/>
              </w:rPr>
              <w:t>956 </w:t>
            </w:r>
          </w:p>
        </w:tc>
        <w:tc>
          <w:tcPr>
            <w:tcW w:w="0" w:type="auto"/>
            <w:tcMar>
              <w:top w:w="30" w:type="dxa"/>
              <w:left w:w="0" w:type="dxa"/>
              <w:bottom w:w="30" w:type="dxa"/>
              <w:right w:w="20" w:type="dxa"/>
            </w:tcMar>
            <w:hideMark/>
          </w:tcPr>
          <w:p w:rsidR="00000000" w:rsidRDefault="001F1FC8">
            <w:pPr>
              <w:jc w:val="right"/>
              <w:rPr>
                <w:rFonts w:eastAsia="Times New Roman"/>
              </w:rPr>
            </w:pPr>
          </w:p>
        </w:tc>
      </w:tr>
      <w:tr w:rsidR="00000000">
        <w:trPr>
          <w:divId w:val="738597104"/>
        </w:trPr>
        <w:tc>
          <w:tcPr>
            <w:tcW w:w="0" w:type="auto"/>
            <w:gridSpan w:val="3"/>
            <w:tcMar>
              <w:top w:w="30" w:type="dxa"/>
              <w:left w:w="20" w:type="dxa"/>
              <w:bottom w:w="30" w:type="dxa"/>
              <w:right w:w="20" w:type="dxa"/>
            </w:tcMar>
            <w:hideMark/>
          </w:tcPr>
          <w:p w:rsidR="00000000" w:rsidRDefault="001F1FC8">
            <w:pPr>
              <w:ind w:firstLine="180"/>
              <w:rPr>
                <w:rFonts w:eastAsia="Times New Roman"/>
              </w:rPr>
            </w:pPr>
            <w:r>
              <w:rPr>
                <w:rFonts w:ascii="Arial" w:eastAsia="Times New Roman" w:hAnsi="Arial" w:cs="Arial"/>
                <w:color w:val="000000"/>
                <w:sz w:val="16"/>
                <w:szCs w:val="16"/>
              </w:rPr>
              <w:t>Commercial paper and credit facility draws</w:t>
            </w:r>
          </w:p>
        </w:tc>
        <w:tc>
          <w:tcPr>
            <w:tcW w:w="0" w:type="auto"/>
            <w:gridSpan w:val="2"/>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color w:val="000000"/>
                <w:sz w:val="16"/>
                <w:szCs w:val="16"/>
              </w:rPr>
              <w:t>1.0 </w:t>
            </w:r>
          </w:p>
        </w:tc>
        <w:tc>
          <w:tcPr>
            <w:tcW w:w="0" w:type="auto"/>
            <w:tcMar>
              <w:top w:w="30" w:type="dxa"/>
              <w:left w:w="0" w:type="dxa"/>
              <w:bottom w:w="30" w:type="dxa"/>
              <w:right w:w="20" w:type="dxa"/>
            </w:tcMar>
            <w:hideMark/>
          </w:tcPr>
          <w:p w:rsidR="00000000" w:rsidRDefault="001F1FC8">
            <w:pPr>
              <w:jc w:val="right"/>
              <w:rPr>
                <w:rFonts w:eastAsia="Times New Roman"/>
              </w:rPr>
            </w:pPr>
            <w:r>
              <w:rPr>
                <w:rFonts w:ascii="Arial" w:eastAsia="Times New Roman" w:hAnsi="Arial" w:cs="Arial"/>
                <w:color w:val="000000"/>
                <w:sz w:val="16"/>
                <w:szCs w:val="16"/>
              </w:rPr>
              <w:t>%</w:t>
            </w:r>
          </w:p>
        </w:tc>
        <w:tc>
          <w:tcPr>
            <w:tcW w:w="0" w:type="auto"/>
            <w:gridSpan w:val="3"/>
            <w:tcMar>
              <w:top w:w="0" w:type="dxa"/>
              <w:left w:w="20" w:type="dxa"/>
              <w:bottom w:w="0" w:type="dxa"/>
              <w:right w:w="20" w:type="dxa"/>
            </w:tcMar>
            <w:vAlign w:val="center"/>
            <w:hideMark/>
          </w:tcPr>
          <w:p w:rsidR="00000000" w:rsidRDefault="001F1FC8">
            <w:pPr>
              <w:jc w:val="right"/>
              <w:rPr>
                <w:rFonts w:eastAsia="Times New Roman"/>
              </w:rPr>
            </w:pPr>
          </w:p>
        </w:tc>
        <w:tc>
          <w:tcPr>
            <w:tcW w:w="0" w:type="auto"/>
            <w:gridSpan w:val="3"/>
            <w:tcMar>
              <w:top w:w="30" w:type="dxa"/>
              <w:left w:w="20" w:type="dxa"/>
              <w:bottom w:w="30" w:type="dxa"/>
              <w:right w:w="20" w:type="dxa"/>
            </w:tcMar>
            <w:hideMark/>
          </w:tcPr>
          <w:p w:rsidR="00000000" w:rsidRDefault="001F1FC8">
            <w:pPr>
              <w:jc w:val="right"/>
              <w:rPr>
                <w:rFonts w:eastAsia="Times New Roman"/>
              </w:rPr>
            </w:pPr>
            <w:r>
              <w:rPr>
                <w:rFonts w:ascii="Arial" w:eastAsia="Times New Roman" w:hAnsi="Arial" w:cs="Arial"/>
                <w:color w:val="000000"/>
                <w:sz w:val="16"/>
                <w:szCs w:val="16"/>
              </w:rPr>
              <w:t>2022 - 2026</w:t>
            </w:r>
          </w:p>
        </w:tc>
        <w:tc>
          <w:tcPr>
            <w:tcW w:w="0" w:type="auto"/>
            <w:gridSpan w:val="3"/>
            <w:tcMar>
              <w:top w:w="0" w:type="dxa"/>
              <w:left w:w="20" w:type="dxa"/>
              <w:bottom w:w="0" w:type="dxa"/>
              <w:right w:w="20" w:type="dxa"/>
            </w:tcMar>
            <w:vAlign w:val="center"/>
            <w:hideMark/>
          </w:tcPr>
          <w:p w:rsidR="00000000" w:rsidRDefault="001F1FC8">
            <w:pPr>
              <w:jc w:val="right"/>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b/>
                <w:bCs/>
                <w:color w:val="000000"/>
                <w:sz w:val="16"/>
                <w:szCs w:val="16"/>
              </w:rPr>
              <w:t>7,837</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hideMark/>
          </w:tcPr>
          <w:p w:rsidR="00000000" w:rsidRDefault="001F1FC8">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1F1FC8">
            <w:pPr>
              <w:jc w:val="right"/>
              <w:rPr>
                <w:rFonts w:eastAsia="Times New Roman"/>
                <w:sz w:val="20"/>
                <w:szCs w:val="20"/>
              </w:rPr>
            </w:pPr>
          </w:p>
        </w:tc>
        <w:tc>
          <w:tcPr>
            <w:tcW w:w="0" w:type="auto"/>
            <w:gridSpan w:val="2"/>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color w:val="000000"/>
                <w:sz w:val="16"/>
                <w:szCs w:val="16"/>
              </w:rPr>
              <w:t>8,719 </w:t>
            </w:r>
          </w:p>
        </w:tc>
        <w:tc>
          <w:tcPr>
            <w:tcW w:w="0" w:type="auto"/>
            <w:tcMar>
              <w:top w:w="30" w:type="dxa"/>
              <w:left w:w="0" w:type="dxa"/>
              <w:bottom w:w="30" w:type="dxa"/>
              <w:right w:w="20" w:type="dxa"/>
            </w:tcMar>
            <w:hideMark/>
          </w:tcPr>
          <w:p w:rsidR="00000000" w:rsidRDefault="001F1FC8">
            <w:pPr>
              <w:jc w:val="right"/>
              <w:rPr>
                <w:rFonts w:eastAsia="Times New Roman"/>
              </w:rPr>
            </w:pPr>
          </w:p>
        </w:tc>
      </w:tr>
      <w:tr w:rsidR="00000000">
        <w:trPr>
          <w:divId w:val="738597104"/>
        </w:trPr>
        <w:tc>
          <w:tcPr>
            <w:tcW w:w="0" w:type="auto"/>
            <w:gridSpan w:val="3"/>
            <w:tcMar>
              <w:top w:w="30" w:type="dxa"/>
              <w:left w:w="20" w:type="dxa"/>
              <w:bottom w:w="30" w:type="dxa"/>
              <w:right w:w="20" w:type="dxa"/>
            </w:tcMar>
            <w:hideMark/>
          </w:tcPr>
          <w:p w:rsidR="00000000" w:rsidRDefault="001F1FC8">
            <w:pPr>
              <w:ind w:firstLine="180"/>
              <w:divId w:val="1990094844"/>
              <w:rPr>
                <w:rFonts w:eastAsia="Times New Roman"/>
              </w:rPr>
            </w:pPr>
            <w:r>
              <w:rPr>
                <w:rFonts w:ascii="Arial" w:eastAsia="Times New Roman" w:hAnsi="Arial" w:cs="Arial"/>
                <w:color w:val="000000"/>
                <w:sz w:val="16"/>
                <w:szCs w:val="16"/>
              </w:rPr>
              <w:t>Othe</w:t>
            </w:r>
            <w:r>
              <w:rPr>
                <w:rFonts w:ascii="Arial" w:eastAsia="Times New Roman" w:hAnsi="Arial" w:cs="Arial"/>
                <w:color w:val="000000"/>
                <w:sz w:val="16"/>
                <w:szCs w:val="16"/>
              </w:rPr>
              <w:t>r</w:t>
            </w:r>
            <w:r>
              <w:rPr>
                <w:rFonts w:ascii="Arial" w:eastAsia="Times New Roman" w:hAnsi="Arial" w:cs="Arial"/>
                <w:color w:val="000000"/>
                <w:sz w:val="9"/>
                <w:szCs w:val="9"/>
              </w:rPr>
              <w:t>4</w:t>
            </w:r>
          </w:p>
        </w:tc>
        <w:tc>
          <w:tcPr>
            <w:tcW w:w="0" w:type="auto"/>
            <w:gridSpan w:val="3"/>
            <w:tcMar>
              <w:top w:w="0" w:type="dxa"/>
              <w:left w:w="20" w:type="dxa"/>
              <w:bottom w:w="0" w:type="dxa"/>
              <w:right w:w="20" w:type="dxa"/>
            </w:tcMar>
            <w:vAlign w:val="center"/>
            <w:hideMark/>
          </w:tcPr>
          <w:p w:rsidR="00000000" w:rsidRDefault="001F1FC8">
            <w:pPr>
              <w:ind w:firstLine="180"/>
              <w:rPr>
                <w:rFonts w:eastAsia="Times New Roman"/>
              </w:rPr>
            </w:pPr>
          </w:p>
        </w:tc>
        <w:tc>
          <w:tcPr>
            <w:tcW w:w="0" w:type="auto"/>
            <w:gridSpan w:val="3"/>
            <w:tcMar>
              <w:top w:w="0" w:type="dxa"/>
              <w:left w:w="20" w:type="dxa"/>
              <w:bottom w:w="0" w:type="dxa"/>
              <w:right w:w="20" w:type="dxa"/>
            </w:tcMar>
            <w:vAlign w:val="center"/>
            <w:hideMark/>
          </w:tcPr>
          <w:p w:rsidR="00000000" w:rsidRDefault="001F1FC8">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1F1FC8">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1F1FC8">
            <w:pPr>
              <w:rPr>
                <w:rFonts w:eastAsia="Times New Roman"/>
                <w:sz w:val="20"/>
                <w:szCs w:val="20"/>
              </w:rPr>
            </w:pPr>
          </w:p>
        </w:tc>
        <w:tc>
          <w:tcPr>
            <w:tcW w:w="0" w:type="auto"/>
            <w:gridSpan w:val="2"/>
            <w:shd w:val="clear" w:color="auto" w:fill="D9D9D9"/>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b/>
                <w:bCs/>
                <w:color w:val="000000"/>
                <w:sz w:val="16"/>
                <w:szCs w:val="16"/>
              </w:rPr>
              <w:t>5</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hideMark/>
          </w:tcPr>
          <w:p w:rsidR="00000000" w:rsidRDefault="001F1FC8">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1F1FC8">
            <w:pPr>
              <w:jc w:val="right"/>
              <w:rPr>
                <w:rFonts w:eastAsia="Times New Roman"/>
                <w:sz w:val="20"/>
                <w:szCs w:val="20"/>
              </w:rPr>
            </w:pPr>
          </w:p>
        </w:tc>
        <w:tc>
          <w:tcPr>
            <w:tcW w:w="0" w:type="auto"/>
            <w:gridSpan w:val="2"/>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color w:val="000000"/>
                <w:sz w:val="16"/>
                <w:szCs w:val="16"/>
              </w:rPr>
              <w:t>5 </w:t>
            </w:r>
          </w:p>
        </w:tc>
        <w:tc>
          <w:tcPr>
            <w:tcW w:w="0" w:type="auto"/>
            <w:tcMar>
              <w:top w:w="30" w:type="dxa"/>
              <w:left w:w="0" w:type="dxa"/>
              <w:bottom w:w="30" w:type="dxa"/>
              <w:right w:w="20" w:type="dxa"/>
            </w:tcMar>
            <w:hideMark/>
          </w:tcPr>
          <w:p w:rsidR="00000000" w:rsidRDefault="001F1FC8">
            <w:pPr>
              <w:jc w:val="right"/>
              <w:rPr>
                <w:rFonts w:eastAsia="Times New Roman"/>
              </w:rPr>
            </w:pPr>
          </w:p>
        </w:tc>
      </w:tr>
      <w:tr w:rsidR="00000000">
        <w:trPr>
          <w:divId w:val="738597104"/>
        </w:trPr>
        <w:tc>
          <w:tcPr>
            <w:tcW w:w="0" w:type="auto"/>
            <w:gridSpan w:val="3"/>
            <w:tcMar>
              <w:top w:w="30" w:type="dxa"/>
              <w:left w:w="20" w:type="dxa"/>
              <w:bottom w:w="30" w:type="dxa"/>
              <w:right w:w="20" w:type="dxa"/>
            </w:tcMar>
            <w:hideMark/>
          </w:tcPr>
          <w:p w:rsidR="00000000" w:rsidRDefault="001F1FC8">
            <w:pPr>
              <w:rPr>
                <w:rFonts w:eastAsia="Times New Roman"/>
              </w:rPr>
            </w:pPr>
            <w:r>
              <w:rPr>
                <w:rFonts w:ascii="Arial" w:eastAsia="Times New Roman" w:hAnsi="Arial" w:cs="Arial"/>
                <w:color w:val="000000"/>
                <w:sz w:val="16"/>
                <w:szCs w:val="16"/>
              </w:rPr>
              <w:t>Enbridge (U.S.) Inc.</w:t>
            </w:r>
          </w:p>
        </w:tc>
        <w:tc>
          <w:tcPr>
            <w:tcW w:w="0" w:type="auto"/>
            <w:gridSpan w:val="3"/>
            <w:tcMar>
              <w:top w:w="0" w:type="dxa"/>
              <w:left w:w="20" w:type="dxa"/>
              <w:bottom w:w="0" w:type="dxa"/>
              <w:right w:w="20" w:type="dxa"/>
            </w:tcMar>
            <w:vAlign w:val="center"/>
            <w:hideMark/>
          </w:tcPr>
          <w:p w:rsidR="00000000" w:rsidRDefault="001F1FC8">
            <w:pPr>
              <w:rPr>
                <w:rFonts w:eastAsia="Times New Roman"/>
              </w:rPr>
            </w:pPr>
          </w:p>
        </w:tc>
        <w:tc>
          <w:tcPr>
            <w:tcW w:w="0" w:type="auto"/>
            <w:gridSpan w:val="3"/>
            <w:tcMar>
              <w:top w:w="0" w:type="dxa"/>
              <w:left w:w="20" w:type="dxa"/>
              <w:bottom w:w="0" w:type="dxa"/>
              <w:right w:w="20" w:type="dxa"/>
            </w:tcMar>
            <w:vAlign w:val="center"/>
            <w:hideMark/>
          </w:tcPr>
          <w:p w:rsidR="00000000" w:rsidRDefault="001F1FC8">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1F1FC8">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1F1FC8">
            <w:pPr>
              <w:rPr>
                <w:rFonts w:eastAsia="Times New Roman"/>
                <w:sz w:val="20"/>
                <w:szCs w:val="20"/>
              </w:rPr>
            </w:pPr>
          </w:p>
        </w:tc>
        <w:tc>
          <w:tcPr>
            <w:tcW w:w="0" w:type="auto"/>
            <w:gridSpan w:val="3"/>
            <w:shd w:val="clear" w:color="auto" w:fill="D9D9D9"/>
            <w:tcMar>
              <w:top w:w="0" w:type="dxa"/>
              <w:left w:w="20" w:type="dxa"/>
              <w:bottom w:w="0" w:type="dxa"/>
              <w:right w:w="20" w:type="dxa"/>
            </w:tcMar>
            <w:vAlign w:val="center"/>
            <w:hideMark/>
          </w:tcPr>
          <w:p w:rsidR="00000000" w:rsidRDefault="001F1FC8">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1F1FC8">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1F1FC8">
            <w:pPr>
              <w:rPr>
                <w:rFonts w:eastAsia="Times New Roman"/>
                <w:sz w:val="20"/>
                <w:szCs w:val="20"/>
              </w:rPr>
            </w:pPr>
          </w:p>
        </w:tc>
      </w:tr>
      <w:tr w:rsidR="00000000">
        <w:trPr>
          <w:divId w:val="738597104"/>
        </w:trPr>
        <w:tc>
          <w:tcPr>
            <w:tcW w:w="0" w:type="auto"/>
            <w:gridSpan w:val="3"/>
            <w:tcMar>
              <w:top w:w="30" w:type="dxa"/>
              <w:left w:w="20" w:type="dxa"/>
              <w:bottom w:w="30" w:type="dxa"/>
              <w:right w:w="20" w:type="dxa"/>
            </w:tcMar>
            <w:hideMark/>
          </w:tcPr>
          <w:p w:rsidR="00000000" w:rsidRDefault="001F1FC8">
            <w:pPr>
              <w:ind w:firstLine="180"/>
              <w:rPr>
                <w:rFonts w:eastAsia="Times New Roman"/>
              </w:rPr>
            </w:pPr>
            <w:r>
              <w:rPr>
                <w:rFonts w:ascii="Arial" w:eastAsia="Times New Roman" w:hAnsi="Arial" w:cs="Arial"/>
                <w:color w:val="000000"/>
                <w:sz w:val="16"/>
                <w:szCs w:val="16"/>
              </w:rPr>
              <w:t>Commercial paper and credit facility draws</w:t>
            </w:r>
          </w:p>
        </w:tc>
        <w:tc>
          <w:tcPr>
            <w:tcW w:w="0" w:type="auto"/>
            <w:gridSpan w:val="2"/>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color w:val="000000"/>
                <w:sz w:val="16"/>
                <w:szCs w:val="16"/>
              </w:rPr>
              <w:t>0.4 </w:t>
            </w:r>
          </w:p>
        </w:tc>
        <w:tc>
          <w:tcPr>
            <w:tcW w:w="0" w:type="auto"/>
            <w:tcMar>
              <w:top w:w="30" w:type="dxa"/>
              <w:left w:w="0" w:type="dxa"/>
              <w:bottom w:w="30" w:type="dxa"/>
              <w:right w:w="20" w:type="dxa"/>
            </w:tcMar>
            <w:hideMark/>
          </w:tcPr>
          <w:p w:rsidR="00000000" w:rsidRDefault="001F1FC8">
            <w:pPr>
              <w:jc w:val="right"/>
              <w:rPr>
                <w:rFonts w:eastAsia="Times New Roman"/>
              </w:rPr>
            </w:pPr>
            <w:r>
              <w:rPr>
                <w:rFonts w:ascii="Arial" w:eastAsia="Times New Roman" w:hAnsi="Arial" w:cs="Arial"/>
                <w:color w:val="000000"/>
                <w:sz w:val="16"/>
                <w:szCs w:val="16"/>
              </w:rPr>
              <w:t>%</w:t>
            </w:r>
          </w:p>
        </w:tc>
        <w:tc>
          <w:tcPr>
            <w:tcW w:w="0" w:type="auto"/>
            <w:gridSpan w:val="3"/>
            <w:tcMar>
              <w:top w:w="0" w:type="dxa"/>
              <w:left w:w="20" w:type="dxa"/>
              <w:bottom w:w="0" w:type="dxa"/>
              <w:right w:w="20" w:type="dxa"/>
            </w:tcMar>
            <w:vAlign w:val="center"/>
            <w:hideMark/>
          </w:tcPr>
          <w:p w:rsidR="00000000" w:rsidRDefault="001F1FC8">
            <w:pPr>
              <w:jc w:val="right"/>
              <w:rPr>
                <w:rFonts w:eastAsia="Times New Roman"/>
              </w:rPr>
            </w:pPr>
          </w:p>
        </w:tc>
        <w:tc>
          <w:tcPr>
            <w:tcW w:w="0" w:type="auto"/>
            <w:gridSpan w:val="3"/>
            <w:tcMar>
              <w:top w:w="30" w:type="dxa"/>
              <w:left w:w="20" w:type="dxa"/>
              <w:bottom w:w="30" w:type="dxa"/>
              <w:right w:w="20" w:type="dxa"/>
            </w:tcMar>
            <w:hideMark/>
          </w:tcPr>
          <w:p w:rsidR="00000000" w:rsidRDefault="001F1FC8">
            <w:pPr>
              <w:jc w:val="right"/>
              <w:rPr>
                <w:rFonts w:eastAsia="Times New Roman"/>
              </w:rPr>
            </w:pPr>
            <w:r>
              <w:rPr>
                <w:rFonts w:ascii="Arial" w:eastAsia="Times New Roman" w:hAnsi="Arial" w:cs="Arial"/>
                <w:color w:val="000000"/>
                <w:sz w:val="16"/>
                <w:szCs w:val="16"/>
              </w:rPr>
              <w:t>2023 - 2026</w:t>
            </w:r>
          </w:p>
        </w:tc>
        <w:tc>
          <w:tcPr>
            <w:tcW w:w="0" w:type="auto"/>
            <w:gridSpan w:val="3"/>
            <w:tcMar>
              <w:top w:w="0" w:type="dxa"/>
              <w:left w:w="20" w:type="dxa"/>
              <w:bottom w:w="0" w:type="dxa"/>
              <w:right w:w="20" w:type="dxa"/>
            </w:tcMar>
            <w:vAlign w:val="center"/>
            <w:hideMark/>
          </w:tcPr>
          <w:p w:rsidR="00000000" w:rsidRDefault="001F1FC8">
            <w:pPr>
              <w:jc w:val="right"/>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b/>
                <w:bCs/>
                <w:color w:val="000000"/>
                <w:sz w:val="16"/>
                <w:szCs w:val="16"/>
              </w:rPr>
              <w:t>4,845</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hideMark/>
          </w:tcPr>
          <w:p w:rsidR="00000000" w:rsidRDefault="001F1FC8">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1F1FC8">
            <w:pPr>
              <w:jc w:val="right"/>
              <w:rPr>
                <w:rFonts w:eastAsia="Times New Roman"/>
                <w:sz w:val="20"/>
                <w:szCs w:val="20"/>
              </w:rPr>
            </w:pPr>
          </w:p>
        </w:tc>
        <w:tc>
          <w:tcPr>
            <w:tcW w:w="0" w:type="auto"/>
            <w:gridSpan w:val="2"/>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color w:val="000000"/>
                <w:sz w:val="16"/>
                <w:szCs w:val="16"/>
              </w:rPr>
              <w:t>492 </w:t>
            </w:r>
          </w:p>
        </w:tc>
        <w:tc>
          <w:tcPr>
            <w:tcW w:w="0" w:type="auto"/>
            <w:tcMar>
              <w:top w:w="30" w:type="dxa"/>
              <w:left w:w="0" w:type="dxa"/>
              <w:bottom w:w="30" w:type="dxa"/>
              <w:right w:w="20" w:type="dxa"/>
            </w:tcMar>
            <w:hideMark/>
          </w:tcPr>
          <w:p w:rsidR="00000000" w:rsidRDefault="001F1FC8">
            <w:pPr>
              <w:jc w:val="right"/>
              <w:rPr>
                <w:rFonts w:eastAsia="Times New Roman"/>
              </w:rPr>
            </w:pPr>
          </w:p>
        </w:tc>
      </w:tr>
      <w:tr w:rsidR="00000000">
        <w:trPr>
          <w:divId w:val="738597104"/>
        </w:trPr>
        <w:tc>
          <w:tcPr>
            <w:tcW w:w="0" w:type="auto"/>
            <w:gridSpan w:val="3"/>
            <w:tcMar>
              <w:top w:w="30" w:type="dxa"/>
              <w:left w:w="20" w:type="dxa"/>
              <w:bottom w:w="30" w:type="dxa"/>
              <w:right w:w="20" w:type="dxa"/>
            </w:tcMar>
            <w:hideMark/>
          </w:tcPr>
          <w:p w:rsidR="00000000" w:rsidRDefault="001F1FC8">
            <w:pPr>
              <w:ind w:firstLine="180"/>
              <w:divId w:val="1312829956"/>
              <w:rPr>
                <w:rFonts w:eastAsia="Times New Roman"/>
              </w:rPr>
            </w:pPr>
            <w:r>
              <w:rPr>
                <w:rFonts w:ascii="Arial" w:eastAsia="Times New Roman" w:hAnsi="Arial" w:cs="Arial"/>
                <w:color w:val="000000"/>
                <w:sz w:val="16"/>
                <w:szCs w:val="16"/>
              </w:rPr>
              <w:t>Othe</w:t>
            </w:r>
            <w:r>
              <w:rPr>
                <w:rFonts w:ascii="Arial" w:eastAsia="Times New Roman" w:hAnsi="Arial" w:cs="Arial"/>
                <w:color w:val="000000"/>
                <w:sz w:val="16"/>
                <w:szCs w:val="16"/>
              </w:rPr>
              <w:t>r</w:t>
            </w:r>
            <w:r>
              <w:rPr>
                <w:rFonts w:ascii="Arial" w:eastAsia="Times New Roman" w:hAnsi="Arial" w:cs="Arial"/>
                <w:color w:val="000000"/>
                <w:sz w:val="9"/>
                <w:szCs w:val="9"/>
              </w:rPr>
              <w:t>4</w:t>
            </w:r>
          </w:p>
        </w:tc>
        <w:tc>
          <w:tcPr>
            <w:tcW w:w="0" w:type="auto"/>
            <w:gridSpan w:val="3"/>
            <w:tcMar>
              <w:top w:w="0" w:type="dxa"/>
              <w:left w:w="20" w:type="dxa"/>
              <w:bottom w:w="0" w:type="dxa"/>
              <w:right w:w="20" w:type="dxa"/>
            </w:tcMar>
            <w:vAlign w:val="center"/>
            <w:hideMark/>
          </w:tcPr>
          <w:p w:rsidR="00000000" w:rsidRDefault="001F1FC8">
            <w:pPr>
              <w:ind w:firstLine="180"/>
              <w:rPr>
                <w:rFonts w:eastAsia="Times New Roman"/>
              </w:rPr>
            </w:pPr>
          </w:p>
        </w:tc>
        <w:tc>
          <w:tcPr>
            <w:tcW w:w="0" w:type="auto"/>
            <w:gridSpan w:val="3"/>
            <w:tcMar>
              <w:top w:w="0" w:type="dxa"/>
              <w:left w:w="20" w:type="dxa"/>
              <w:bottom w:w="0" w:type="dxa"/>
              <w:right w:w="20" w:type="dxa"/>
            </w:tcMar>
            <w:vAlign w:val="center"/>
            <w:hideMark/>
          </w:tcPr>
          <w:p w:rsidR="00000000" w:rsidRDefault="001F1FC8">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1F1FC8">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1F1FC8">
            <w:pPr>
              <w:rPr>
                <w:rFonts w:eastAsia="Times New Roman"/>
                <w:sz w:val="20"/>
                <w:szCs w:val="20"/>
              </w:rPr>
            </w:pPr>
          </w:p>
        </w:tc>
        <w:tc>
          <w:tcPr>
            <w:tcW w:w="0" w:type="auto"/>
            <w:gridSpan w:val="2"/>
            <w:shd w:val="clear" w:color="auto" w:fill="D9D9D9"/>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b/>
                <w:bCs/>
                <w:color w:val="000000"/>
                <w:sz w:val="16"/>
                <w:szCs w:val="16"/>
              </w:rPr>
              <w:t>7</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hideMark/>
          </w:tcPr>
          <w:p w:rsidR="00000000" w:rsidRDefault="001F1FC8">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1F1FC8">
            <w:pPr>
              <w:jc w:val="right"/>
              <w:rPr>
                <w:rFonts w:eastAsia="Times New Roman"/>
                <w:sz w:val="20"/>
                <w:szCs w:val="20"/>
              </w:rPr>
            </w:pPr>
          </w:p>
        </w:tc>
        <w:tc>
          <w:tcPr>
            <w:tcW w:w="0" w:type="auto"/>
            <w:gridSpan w:val="2"/>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color w:val="000000"/>
                <w:sz w:val="16"/>
                <w:szCs w:val="16"/>
              </w:rPr>
              <w:t>7 </w:t>
            </w:r>
          </w:p>
        </w:tc>
        <w:tc>
          <w:tcPr>
            <w:tcW w:w="0" w:type="auto"/>
            <w:tcMar>
              <w:top w:w="30" w:type="dxa"/>
              <w:left w:w="0" w:type="dxa"/>
              <w:bottom w:w="30" w:type="dxa"/>
              <w:right w:w="20" w:type="dxa"/>
            </w:tcMar>
            <w:hideMark/>
          </w:tcPr>
          <w:p w:rsidR="00000000" w:rsidRDefault="001F1FC8">
            <w:pPr>
              <w:jc w:val="right"/>
              <w:rPr>
                <w:rFonts w:eastAsia="Times New Roman"/>
              </w:rPr>
            </w:pPr>
          </w:p>
        </w:tc>
      </w:tr>
      <w:tr w:rsidR="00000000">
        <w:trPr>
          <w:divId w:val="738597104"/>
        </w:trPr>
        <w:tc>
          <w:tcPr>
            <w:tcW w:w="0" w:type="auto"/>
            <w:gridSpan w:val="3"/>
            <w:tcMar>
              <w:top w:w="30" w:type="dxa"/>
              <w:left w:w="20" w:type="dxa"/>
              <w:bottom w:w="30" w:type="dxa"/>
              <w:right w:w="20" w:type="dxa"/>
            </w:tcMar>
            <w:hideMark/>
          </w:tcPr>
          <w:p w:rsidR="00000000" w:rsidRDefault="001F1FC8">
            <w:pPr>
              <w:rPr>
                <w:rFonts w:eastAsia="Times New Roman"/>
              </w:rPr>
            </w:pPr>
            <w:r>
              <w:rPr>
                <w:rFonts w:ascii="Arial" w:eastAsia="Times New Roman" w:hAnsi="Arial" w:cs="Arial"/>
                <w:color w:val="000000"/>
                <w:sz w:val="16"/>
                <w:szCs w:val="16"/>
              </w:rPr>
              <w:t>Enbridge Energy Partners, L.P.</w:t>
            </w:r>
          </w:p>
        </w:tc>
        <w:tc>
          <w:tcPr>
            <w:tcW w:w="0" w:type="auto"/>
            <w:gridSpan w:val="3"/>
            <w:tcMar>
              <w:top w:w="0" w:type="dxa"/>
              <w:left w:w="20" w:type="dxa"/>
              <w:bottom w:w="0" w:type="dxa"/>
              <w:right w:w="20" w:type="dxa"/>
            </w:tcMar>
            <w:vAlign w:val="center"/>
            <w:hideMark/>
          </w:tcPr>
          <w:p w:rsidR="00000000" w:rsidRDefault="001F1FC8">
            <w:pPr>
              <w:rPr>
                <w:rFonts w:eastAsia="Times New Roman"/>
              </w:rPr>
            </w:pPr>
          </w:p>
        </w:tc>
        <w:tc>
          <w:tcPr>
            <w:tcW w:w="0" w:type="auto"/>
            <w:gridSpan w:val="3"/>
            <w:tcMar>
              <w:top w:w="0" w:type="dxa"/>
              <w:left w:w="20" w:type="dxa"/>
              <w:bottom w:w="0" w:type="dxa"/>
              <w:right w:w="20" w:type="dxa"/>
            </w:tcMar>
            <w:vAlign w:val="center"/>
            <w:hideMark/>
          </w:tcPr>
          <w:p w:rsidR="00000000" w:rsidRDefault="001F1FC8">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1F1FC8">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1F1FC8">
            <w:pPr>
              <w:rPr>
                <w:rFonts w:eastAsia="Times New Roman"/>
                <w:sz w:val="20"/>
                <w:szCs w:val="20"/>
              </w:rPr>
            </w:pPr>
          </w:p>
        </w:tc>
        <w:tc>
          <w:tcPr>
            <w:tcW w:w="0" w:type="auto"/>
            <w:gridSpan w:val="3"/>
            <w:shd w:val="clear" w:color="auto" w:fill="D9D9D9"/>
            <w:tcMar>
              <w:top w:w="0" w:type="dxa"/>
              <w:left w:w="20" w:type="dxa"/>
              <w:bottom w:w="0" w:type="dxa"/>
              <w:right w:w="20" w:type="dxa"/>
            </w:tcMar>
            <w:vAlign w:val="center"/>
            <w:hideMark/>
          </w:tcPr>
          <w:p w:rsidR="00000000" w:rsidRDefault="001F1FC8">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1F1FC8">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1F1FC8">
            <w:pPr>
              <w:rPr>
                <w:rFonts w:eastAsia="Times New Roman"/>
                <w:sz w:val="20"/>
                <w:szCs w:val="20"/>
              </w:rPr>
            </w:pPr>
          </w:p>
        </w:tc>
      </w:tr>
      <w:tr w:rsidR="00000000">
        <w:trPr>
          <w:divId w:val="738597104"/>
        </w:trPr>
        <w:tc>
          <w:tcPr>
            <w:tcW w:w="0" w:type="auto"/>
            <w:gridSpan w:val="3"/>
            <w:tcMar>
              <w:top w:w="30" w:type="dxa"/>
              <w:left w:w="20" w:type="dxa"/>
              <w:bottom w:w="30" w:type="dxa"/>
              <w:right w:w="20" w:type="dxa"/>
            </w:tcMar>
            <w:hideMark/>
          </w:tcPr>
          <w:p w:rsidR="00000000" w:rsidRDefault="001F1FC8">
            <w:pPr>
              <w:ind w:firstLine="180"/>
              <w:rPr>
                <w:rFonts w:eastAsia="Times New Roman"/>
              </w:rPr>
            </w:pPr>
            <w:r>
              <w:rPr>
                <w:rFonts w:ascii="Arial" w:eastAsia="Times New Roman" w:hAnsi="Arial" w:cs="Arial"/>
                <w:color w:val="000000"/>
                <w:sz w:val="16"/>
                <w:szCs w:val="16"/>
              </w:rPr>
              <w:t>Senior notes</w:t>
            </w:r>
          </w:p>
        </w:tc>
        <w:tc>
          <w:tcPr>
            <w:tcW w:w="0" w:type="auto"/>
            <w:gridSpan w:val="2"/>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color w:val="000000"/>
                <w:sz w:val="16"/>
                <w:szCs w:val="16"/>
              </w:rPr>
              <w:t>6.5 </w:t>
            </w:r>
          </w:p>
        </w:tc>
        <w:tc>
          <w:tcPr>
            <w:tcW w:w="0" w:type="auto"/>
            <w:tcMar>
              <w:top w:w="30" w:type="dxa"/>
              <w:left w:w="0" w:type="dxa"/>
              <w:bottom w:w="30" w:type="dxa"/>
              <w:right w:w="20" w:type="dxa"/>
            </w:tcMar>
            <w:hideMark/>
          </w:tcPr>
          <w:p w:rsidR="00000000" w:rsidRDefault="001F1FC8">
            <w:pPr>
              <w:jc w:val="right"/>
              <w:rPr>
                <w:rFonts w:eastAsia="Times New Roman"/>
              </w:rPr>
            </w:pPr>
            <w:r>
              <w:rPr>
                <w:rFonts w:ascii="Arial" w:eastAsia="Times New Roman" w:hAnsi="Arial" w:cs="Arial"/>
                <w:color w:val="000000"/>
                <w:sz w:val="16"/>
                <w:szCs w:val="16"/>
              </w:rPr>
              <w:t>%</w:t>
            </w:r>
          </w:p>
        </w:tc>
        <w:tc>
          <w:tcPr>
            <w:tcW w:w="0" w:type="auto"/>
            <w:gridSpan w:val="3"/>
            <w:tcMar>
              <w:top w:w="0" w:type="dxa"/>
              <w:left w:w="20" w:type="dxa"/>
              <w:bottom w:w="0" w:type="dxa"/>
              <w:right w:w="20" w:type="dxa"/>
            </w:tcMar>
            <w:vAlign w:val="center"/>
            <w:hideMark/>
          </w:tcPr>
          <w:p w:rsidR="00000000" w:rsidRDefault="001F1FC8">
            <w:pPr>
              <w:jc w:val="right"/>
              <w:rPr>
                <w:rFonts w:eastAsia="Times New Roman"/>
              </w:rPr>
            </w:pPr>
          </w:p>
        </w:tc>
        <w:tc>
          <w:tcPr>
            <w:tcW w:w="0" w:type="auto"/>
            <w:gridSpan w:val="3"/>
            <w:tcMar>
              <w:top w:w="30" w:type="dxa"/>
              <w:left w:w="20" w:type="dxa"/>
              <w:bottom w:w="30" w:type="dxa"/>
              <w:right w:w="20" w:type="dxa"/>
            </w:tcMar>
            <w:hideMark/>
          </w:tcPr>
          <w:p w:rsidR="00000000" w:rsidRDefault="001F1FC8">
            <w:pPr>
              <w:jc w:val="right"/>
              <w:rPr>
                <w:rFonts w:eastAsia="Times New Roman"/>
              </w:rPr>
            </w:pPr>
            <w:r>
              <w:rPr>
                <w:rFonts w:ascii="Arial" w:eastAsia="Times New Roman" w:hAnsi="Arial" w:cs="Arial"/>
                <w:color w:val="000000"/>
                <w:sz w:val="16"/>
                <w:szCs w:val="16"/>
              </w:rPr>
              <w:t>2025 - 2045</w:t>
            </w:r>
          </w:p>
        </w:tc>
        <w:tc>
          <w:tcPr>
            <w:tcW w:w="0" w:type="auto"/>
            <w:gridSpan w:val="3"/>
            <w:tcMar>
              <w:top w:w="0" w:type="dxa"/>
              <w:left w:w="20" w:type="dxa"/>
              <w:bottom w:w="0" w:type="dxa"/>
              <w:right w:w="20" w:type="dxa"/>
            </w:tcMar>
            <w:vAlign w:val="center"/>
            <w:hideMark/>
          </w:tcPr>
          <w:p w:rsidR="00000000" w:rsidRDefault="001F1FC8">
            <w:pPr>
              <w:jc w:val="right"/>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b/>
                <w:bCs/>
                <w:color w:val="000000"/>
                <w:sz w:val="16"/>
                <w:szCs w:val="16"/>
              </w:rPr>
              <w:t>3,095</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hideMark/>
          </w:tcPr>
          <w:p w:rsidR="00000000" w:rsidRDefault="001F1FC8">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1F1FC8">
            <w:pPr>
              <w:jc w:val="right"/>
              <w:rPr>
                <w:rFonts w:eastAsia="Times New Roman"/>
                <w:sz w:val="20"/>
                <w:szCs w:val="20"/>
              </w:rPr>
            </w:pPr>
          </w:p>
        </w:tc>
        <w:tc>
          <w:tcPr>
            <w:tcW w:w="0" w:type="auto"/>
            <w:gridSpan w:val="2"/>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color w:val="000000"/>
                <w:sz w:val="16"/>
                <w:szCs w:val="16"/>
              </w:rPr>
              <w:t>3,886 </w:t>
            </w:r>
          </w:p>
        </w:tc>
        <w:tc>
          <w:tcPr>
            <w:tcW w:w="0" w:type="auto"/>
            <w:tcMar>
              <w:top w:w="30" w:type="dxa"/>
              <w:left w:w="0" w:type="dxa"/>
              <w:bottom w:w="30" w:type="dxa"/>
              <w:right w:w="20" w:type="dxa"/>
            </w:tcMar>
            <w:hideMark/>
          </w:tcPr>
          <w:p w:rsidR="00000000" w:rsidRDefault="001F1FC8">
            <w:pPr>
              <w:jc w:val="right"/>
              <w:rPr>
                <w:rFonts w:eastAsia="Times New Roman"/>
              </w:rPr>
            </w:pPr>
          </w:p>
        </w:tc>
      </w:tr>
      <w:tr w:rsidR="00000000">
        <w:trPr>
          <w:divId w:val="738597104"/>
        </w:trPr>
        <w:tc>
          <w:tcPr>
            <w:tcW w:w="0" w:type="auto"/>
            <w:gridSpan w:val="3"/>
            <w:tcMar>
              <w:top w:w="30" w:type="dxa"/>
              <w:left w:w="20" w:type="dxa"/>
              <w:bottom w:w="30" w:type="dxa"/>
              <w:right w:w="20" w:type="dxa"/>
            </w:tcMar>
            <w:hideMark/>
          </w:tcPr>
          <w:p w:rsidR="00000000" w:rsidRDefault="001F1FC8">
            <w:pPr>
              <w:rPr>
                <w:rFonts w:eastAsia="Times New Roman"/>
              </w:rPr>
            </w:pPr>
            <w:r>
              <w:rPr>
                <w:rFonts w:ascii="Arial" w:eastAsia="Times New Roman" w:hAnsi="Arial" w:cs="Arial"/>
                <w:color w:val="000000"/>
                <w:sz w:val="16"/>
                <w:szCs w:val="16"/>
              </w:rPr>
              <w:t>Enbridge Gas Inc.</w:t>
            </w:r>
          </w:p>
        </w:tc>
        <w:tc>
          <w:tcPr>
            <w:tcW w:w="0" w:type="auto"/>
            <w:gridSpan w:val="3"/>
            <w:tcMar>
              <w:top w:w="0" w:type="dxa"/>
              <w:left w:w="20" w:type="dxa"/>
              <w:bottom w:w="0" w:type="dxa"/>
              <w:right w:w="20" w:type="dxa"/>
            </w:tcMar>
            <w:vAlign w:val="center"/>
            <w:hideMark/>
          </w:tcPr>
          <w:p w:rsidR="00000000" w:rsidRDefault="001F1FC8">
            <w:pPr>
              <w:rPr>
                <w:rFonts w:eastAsia="Times New Roman"/>
              </w:rPr>
            </w:pPr>
          </w:p>
        </w:tc>
        <w:tc>
          <w:tcPr>
            <w:tcW w:w="0" w:type="auto"/>
            <w:gridSpan w:val="3"/>
            <w:tcMar>
              <w:top w:w="0" w:type="dxa"/>
              <w:left w:w="20" w:type="dxa"/>
              <w:bottom w:w="0" w:type="dxa"/>
              <w:right w:w="20" w:type="dxa"/>
            </w:tcMar>
            <w:vAlign w:val="center"/>
            <w:hideMark/>
          </w:tcPr>
          <w:p w:rsidR="00000000" w:rsidRDefault="001F1FC8">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1F1FC8">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1F1FC8">
            <w:pPr>
              <w:rPr>
                <w:rFonts w:eastAsia="Times New Roman"/>
                <w:sz w:val="20"/>
                <w:szCs w:val="20"/>
              </w:rPr>
            </w:pPr>
          </w:p>
        </w:tc>
        <w:tc>
          <w:tcPr>
            <w:tcW w:w="0" w:type="auto"/>
            <w:gridSpan w:val="3"/>
            <w:shd w:val="clear" w:color="auto" w:fill="D9D9D9"/>
            <w:tcMar>
              <w:top w:w="0" w:type="dxa"/>
              <w:left w:w="20" w:type="dxa"/>
              <w:bottom w:w="0" w:type="dxa"/>
              <w:right w:w="20" w:type="dxa"/>
            </w:tcMar>
            <w:vAlign w:val="center"/>
            <w:hideMark/>
          </w:tcPr>
          <w:p w:rsidR="00000000" w:rsidRDefault="001F1FC8">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1F1FC8">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1F1FC8">
            <w:pPr>
              <w:rPr>
                <w:rFonts w:eastAsia="Times New Roman"/>
                <w:sz w:val="20"/>
                <w:szCs w:val="20"/>
              </w:rPr>
            </w:pPr>
          </w:p>
        </w:tc>
      </w:tr>
      <w:tr w:rsidR="00000000">
        <w:trPr>
          <w:divId w:val="738597104"/>
        </w:trPr>
        <w:tc>
          <w:tcPr>
            <w:tcW w:w="0" w:type="auto"/>
            <w:gridSpan w:val="3"/>
            <w:tcMar>
              <w:top w:w="30" w:type="dxa"/>
              <w:left w:w="20" w:type="dxa"/>
              <w:bottom w:w="30" w:type="dxa"/>
              <w:right w:w="20" w:type="dxa"/>
            </w:tcMar>
            <w:hideMark/>
          </w:tcPr>
          <w:p w:rsidR="00000000" w:rsidRDefault="001F1FC8">
            <w:pPr>
              <w:ind w:firstLine="180"/>
              <w:divId w:val="1624538522"/>
              <w:rPr>
                <w:rFonts w:eastAsia="Times New Roman"/>
              </w:rPr>
            </w:pPr>
            <w:r>
              <w:rPr>
                <w:rFonts w:ascii="Arial" w:eastAsia="Times New Roman" w:hAnsi="Arial" w:cs="Arial"/>
                <w:color w:val="000000"/>
                <w:sz w:val="16"/>
                <w:szCs w:val="16"/>
              </w:rPr>
              <w:t>Medium-term notes</w:t>
            </w:r>
          </w:p>
        </w:tc>
        <w:tc>
          <w:tcPr>
            <w:tcW w:w="0" w:type="auto"/>
            <w:gridSpan w:val="2"/>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color w:val="000000"/>
                <w:sz w:val="16"/>
                <w:szCs w:val="16"/>
              </w:rPr>
              <w:t>3.8 </w:t>
            </w:r>
          </w:p>
        </w:tc>
        <w:tc>
          <w:tcPr>
            <w:tcW w:w="0" w:type="auto"/>
            <w:tcMar>
              <w:top w:w="30" w:type="dxa"/>
              <w:left w:w="0" w:type="dxa"/>
              <w:bottom w:w="30" w:type="dxa"/>
              <w:right w:w="20" w:type="dxa"/>
            </w:tcMar>
            <w:hideMark/>
          </w:tcPr>
          <w:p w:rsidR="00000000" w:rsidRDefault="001F1FC8">
            <w:pPr>
              <w:jc w:val="right"/>
              <w:rPr>
                <w:rFonts w:eastAsia="Times New Roman"/>
              </w:rPr>
            </w:pPr>
            <w:r>
              <w:rPr>
                <w:rFonts w:ascii="Arial" w:eastAsia="Times New Roman" w:hAnsi="Arial" w:cs="Arial"/>
                <w:color w:val="000000"/>
                <w:sz w:val="16"/>
                <w:szCs w:val="16"/>
              </w:rPr>
              <w:t>%</w:t>
            </w:r>
          </w:p>
        </w:tc>
        <w:tc>
          <w:tcPr>
            <w:tcW w:w="0" w:type="auto"/>
            <w:gridSpan w:val="3"/>
            <w:tcMar>
              <w:top w:w="0" w:type="dxa"/>
              <w:left w:w="20" w:type="dxa"/>
              <w:bottom w:w="0" w:type="dxa"/>
              <w:right w:w="20" w:type="dxa"/>
            </w:tcMar>
            <w:vAlign w:val="center"/>
            <w:hideMark/>
          </w:tcPr>
          <w:p w:rsidR="00000000" w:rsidRDefault="001F1FC8">
            <w:pPr>
              <w:jc w:val="right"/>
              <w:rPr>
                <w:rFonts w:eastAsia="Times New Roman"/>
              </w:rPr>
            </w:pPr>
          </w:p>
        </w:tc>
        <w:tc>
          <w:tcPr>
            <w:tcW w:w="0" w:type="auto"/>
            <w:gridSpan w:val="3"/>
            <w:tcMar>
              <w:top w:w="30" w:type="dxa"/>
              <w:left w:w="20" w:type="dxa"/>
              <w:bottom w:w="30" w:type="dxa"/>
              <w:right w:w="20" w:type="dxa"/>
            </w:tcMar>
            <w:hideMark/>
          </w:tcPr>
          <w:p w:rsidR="00000000" w:rsidRDefault="001F1FC8">
            <w:pPr>
              <w:jc w:val="right"/>
              <w:rPr>
                <w:rFonts w:eastAsia="Times New Roman"/>
              </w:rPr>
            </w:pPr>
            <w:r>
              <w:rPr>
                <w:rFonts w:ascii="Arial" w:eastAsia="Times New Roman" w:hAnsi="Arial" w:cs="Arial"/>
                <w:color w:val="000000"/>
                <w:sz w:val="16"/>
                <w:szCs w:val="16"/>
              </w:rPr>
              <w:t>2022 - 2051</w:t>
            </w:r>
          </w:p>
        </w:tc>
        <w:tc>
          <w:tcPr>
            <w:tcW w:w="0" w:type="auto"/>
            <w:gridSpan w:val="3"/>
            <w:tcMar>
              <w:top w:w="0" w:type="dxa"/>
              <w:left w:w="20" w:type="dxa"/>
              <w:bottom w:w="0" w:type="dxa"/>
              <w:right w:w="20" w:type="dxa"/>
            </w:tcMar>
            <w:vAlign w:val="center"/>
            <w:hideMark/>
          </w:tcPr>
          <w:p w:rsidR="00000000" w:rsidRDefault="001F1FC8">
            <w:pPr>
              <w:jc w:val="right"/>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b/>
                <w:bCs/>
                <w:color w:val="000000"/>
                <w:sz w:val="16"/>
                <w:szCs w:val="16"/>
              </w:rPr>
              <w:t>9,010</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hideMark/>
          </w:tcPr>
          <w:p w:rsidR="00000000" w:rsidRDefault="001F1FC8">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1F1FC8">
            <w:pPr>
              <w:jc w:val="right"/>
              <w:rPr>
                <w:rFonts w:eastAsia="Times New Roman"/>
                <w:sz w:val="20"/>
                <w:szCs w:val="20"/>
              </w:rPr>
            </w:pPr>
          </w:p>
        </w:tc>
        <w:tc>
          <w:tcPr>
            <w:tcW w:w="0" w:type="auto"/>
            <w:gridSpan w:val="2"/>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color w:val="000000"/>
                <w:sz w:val="16"/>
                <w:szCs w:val="16"/>
              </w:rPr>
              <w:t>8,485 </w:t>
            </w:r>
          </w:p>
        </w:tc>
        <w:tc>
          <w:tcPr>
            <w:tcW w:w="0" w:type="auto"/>
            <w:tcMar>
              <w:top w:w="30" w:type="dxa"/>
              <w:left w:w="0" w:type="dxa"/>
              <w:bottom w:w="30" w:type="dxa"/>
              <w:right w:w="20" w:type="dxa"/>
            </w:tcMar>
            <w:hideMark/>
          </w:tcPr>
          <w:p w:rsidR="00000000" w:rsidRDefault="001F1FC8">
            <w:pPr>
              <w:jc w:val="right"/>
              <w:rPr>
                <w:rFonts w:eastAsia="Times New Roman"/>
              </w:rPr>
            </w:pPr>
          </w:p>
        </w:tc>
      </w:tr>
      <w:tr w:rsidR="00000000">
        <w:trPr>
          <w:divId w:val="738597104"/>
        </w:trPr>
        <w:tc>
          <w:tcPr>
            <w:tcW w:w="0" w:type="auto"/>
            <w:gridSpan w:val="3"/>
            <w:tcMar>
              <w:top w:w="30" w:type="dxa"/>
              <w:left w:w="20" w:type="dxa"/>
              <w:bottom w:w="30" w:type="dxa"/>
              <w:right w:w="20" w:type="dxa"/>
            </w:tcMar>
            <w:hideMark/>
          </w:tcPr>
          <w:p w:rsidR="00000000" w:rsidRDefault="001F1FC8">
            <w:pPr>
              <w:ind w:firstLine="180"/>
              <w:divId w:val="725686756"/>
              <w:rPr>
                <w:rFonts w:eastAsia="Times New Roman"/>
              </w:rPr>
            </w:pPr>
            <w:r>
              <w:rPr>
                <w:rFonts w:ascii="Arial" w:eastAsia="Times New Roman" w:hAnsi="Arial" w:cs="Arial"/>
                <w:color w:val="000000"/>
                <w:sz w:val="16"/>
                <w:szCs w:val="16"/>
              </w:rPr>
              <w:t>Debentures</w:t>
            </w:r>
          </w:p>
        </w:tc>
        <w:tc>
          <w:tcPr>
            <w:tcW w:w="0" w:type="auto"/>
            <w:gridSpan w:val="2"/>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color w:val="000000"/>
                <w:sz w:val="16"/>
                <w:szCs w:val="16"/>
              </w:rPr>
              <w:t>9.1 </w:t>
            </w:r>
          </w:p>
        </w:tc>
        <w:tc>
          <w:tcPr>
            <w:tcW w:w="0" w:type="auto"/>
            <w:tcMar>
              <w:top w:w="30" w:type="dxa"/>
              <w:left w:w="0" w:type="dxa"/>
              <w:bottom w:w="30" w:type="dxa"/>
              <w:right w:w="20" w:type="dxa"/>
            </w:tcMar>
            <w:hideMark/>
          </w:tcPr>
          <w:p w:rsidR="00000000" w:rsidRDefault="001F1FC8">
            <w:pPr>
              <w:jc w:val="right"/>
              <w:rPr>
                <w:rFonts w:eastAsia="Times New Roman"/>
              </w:rPr>
            </w:pPr>
            <w:r>
              <w:rPr>
                <w:rFonts w:ascii="Arial" w:eastAsia="Times New Roman" w:hAnsi="Arial" w:cs="Arial"/>
                <w:color w:val="000000"/>
                <w:sz w:val="16"/>
                <w:szCs w:val="16"/>
              </w:rPr>
              <w:t>%</w:t>
            </w:r>
          </w:p>
        </w:tc>
        <w:tc>
          <w:tcPr>
            <w:tcW w:w="0" w:type="auto"/>
            <w:gridSpan w:val="3"/>
            <w:tcMar>
              <w:top w:w="0" w:type="dxa"/>
              <w:left w:w="20" w:type="dxa"/>
              <w:bottom w:w="0" w:type="dxa"/>
              <w:right w:w="20" w:type="dxa"/>
            </w:tcMar>
            <w:vAlign w:val="center"/>
            <w:hideMark/>
          </w:tcPr>
          <w:p w:rsidR="00000000" w:rsidRDefault="001F1FC8">
            <w:pPr>
              <w:jc w:val="right"/>
              <w:rPr>
                <w:rFonts w:eastAsia="Times New Roman"/>
              </w:rPr>
            </w:pPr>
          </w:p>
        </w:tc>
        <w:tc>
          <w:tcPr>
            <w:tcW w:w="0" w:type="auto"/>
            <w:gridSpan w:val="3"/>
            <w:tcMar>
              <w:top w:w="30" w:type="dxa"/>
              <w:left w:w="20" w:type="dxa"/>
              <w:bottom w:w="30" w:type="dxa"/>
              <w:right w:w="20" w:type="dxa"/>
            </w:tcMar>
            <w:hideMark/>
          </w:tcPr>
          <w:p w:rsidR="00000000" w:rsidRDefault="001F1FC8">
            <w:pPr>
              <w:jc w:val="right"/>
              <w:rPr>
                <w:rFonts w:eastAsia="Times New Roman"/>
              </w:rPr>
            </w:pPr>
            <w:r>
              <w:rPr>
                <w:rFonts w:ascii="Arial" w:eastAsia="Times New Roman" w:hAnsi="Arial" w:cs="Arial"/>
                <w:color w:val="000000"/>
                <w:sz w:val="16"/>
                <w:szCs w:val="16"/>
              </w:rPr>
              <w:t>2024 - 2025</w:t>
            </w:r>
          </w:p>
        </w:tc>
        <w:tc>
          <w:tcPr>
            <w:tcW w:w="0" w:type="auto"/>
            <w:gridSpan w:val="3"/>
            <w:tcMar>
              <w:top w:w="0" w:type="dxa"/>
              <w:left w:w="20" w:type="dxa"/>
              <w:bottom w:w="0" w:type="dxa"/>
              <w:right w:w="20" w:type="dxa"/>
            </w:tcMar>
            <w:vAlign w:val="center"/>
            <w:hideMark/>
          </w:tcPr>
          <w:p w:rsidR="00000000" w:rsidRDefault="001F1FC8">
            <w:pPr>
              <w:jc w:val="right"/>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b/>
                <w:bCs/>
                <w:color w:val="000000"/>
                <w:sz w:val="16"/>
                <w:szCs w:val="16"/>
              </w:rPr>
              <w:t>210</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hideMark/>
          </w:tcPr>
          <w:p w:rsidR="00000000" w:rsidRDefault="001F1FC8">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1F1FC8">
            <w:pPr>
              <w:jc w:val="right"/>
              <w:rPr>
                <w:rFonts w:eastAsia="Times New Roman"/>
                <w:sz w:val="20"/>
                <w:szCs w:val="20"/>
              </w:rPr>
            </w:pPr>
          </w:p>
        </w:tc>
        <w:tc>
          <w:tcPr>
            <w:tcW w:w="0" w:type="auto"/>
            <w:gridSpan w:val="2"/>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color w:val="000000"/>
                <w:sz w:val="16"/>
                <w:szCs w:val="16"/>
              </w:rPr>
              <w:t>210 </w:t>
            </w:r>
          </w:p>
        </w:tc>
        <w:tc>
          <w:tcPr>
            <w:tcW w:w="0" w:type="auto"/>
            <w:tcMar>
              <w:top w:w="30" w:type="dxa"/>
              <w:left w:w="0" w:type="dxa"/>
              <w:bottom w:w="30" w:type="dxa"/>
              <w:right w:w="20" w:type="dxa"/>
            </w:tcMar>
            <w:hideMark/>
          </w:tcPr>
          <w:p w:rsidR="00000000" w:rsidRDefault="001F1FC8">
            <w:pPr>
              <w:jc w:val="right"/>
              <w:rPr>
                <w:rFonts w:eastAsia="Times New Roman"/>
              </w:rPr>
            </w:pPr>
          </w:p>
        </w:tc>
      </w:tr>
      <w:tr w:rsidR="00000000">
        <w:trPr>
          <w:divId w:val="738597104"/>
        </w:trPr>
        <w:tc>
          <w:tcPr>
            <w:tcW w:w="0" w:type="auto"/>
            <w:gridSpan w:val="3"/>
            <w:tcMar>
              <w:top w:w="30" w:type="dxa"/>
              <w:left w:w="20" w:type="dxa"/>
              <w:bottom w:w="30" w:type="dxa"/>
              <w:right w:w="20" w:type="dxa"/>
            </w:tcMar>
            <w:hideMark/>
          </w:tcPr>
          <w:p w:rsidR="00000000" w:rsidRDefault="001F1FC8">
            <w:pPr>
              <w:ind w:firstLine="180"/>
              <w:divId w:val="1068459092"/>
              <w:rPr>
                <w:rFonts w:eastAsia="Times New Roman"/>
              </w:rPr>
            </w:pPr>
            <w:r>
              <w:rPr>
                <w:rFonts w:ascii="Arial" w:eastAsia="Times New Roman" w:hAnsi="Arial" w:cs="Arial"/>
                <w:color w:val="000000"/>
                <w:sz w:val="16"/>
                <w:szCs w:val="16"/>
              </w:rPr>
              <w:t>Commercial paper and credit facility draws</w:t>
            </w:r>
          </w:p>
        </w:tc>
        <w:tc>
          <w:tcPr>
            <w:tcW w:w="0" w:type="auto"/>
            <w:gridSpan w:val="2"/>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color w:val="000000"/>
                <w:sz w:val="16"/>
                <w:szCs w:val="16"/>
              </w:rPr>
              <w:t>0.5 </w:t>
            </w:r>
          </w:p>
        </w:tc>
        <w:tc>
          <w:tcPr>
            <w:tcW w:w="0" w:type="auto"/>
            <w:tcMar>
              <w:top w:w="30" w:type="dxa"/>
              <w:left w:w="0" w:type="dxa"/>
              <w:bottom w:w="30" w:type="dxa"/>
              <w:right w:w="20" w:type="dxa"/>
            </w:tcMar>
            <w:hideMark/>
          </w:tcPr>
          <w:p w:rsidR="00000000" w:rsidRDefault="001F1FC8">
            <w:pPr>
              <w:jc w:val="right"/>
              <w:rPr>
                <w:rFonts w:eastAsia="Times New Roman"/>
              </w:rPr>
            </w:pPr>
            <w:r>
              <w:rPr>
                <w:rFonts w:ascii="Arial" w:eastAsia="Times New Roman" w:hAnsi="Arial" w:cs="Arial"/>
                <w:color w:val="000000"/>
                <w:sz w:val="16"/>
                <w:szCs w:val="16"/>
              </w:rPr>
              <w:t>%</w:t>
            </w:r>
          </w:p>
        </w:tc>
        <w:tc>
          <w:tcPr>
            <w:tcW w:w="0" w:type="auto"/>
            <w:gridSpan w:val="3"/>
            <w:tcMar>
              <w:top w:w="0" w:type="dxa"/>
              <w:left w:w="20" w:type="dxa"/>
              <w:bottom w:w="0" w:type="dxa"/>
              <w:right w:w="20" w:type="dxa"/>
            </w:tcMar>
            <w:vAlign w:val="center"/>
            <w:hideMark/>
          </w:tcPr>
          <w:p w:rsidR="00000000" w:rsidRDefault="001F1FC8">
            <w:pPr>
              <w:jc w:val="right"/>
              <w:rPr>
                <w:rFonts w:eastAsia="Times New Roman"/>
              </w:rPr>
            </w:pPr>
          </w:p>
        </w:tc>
        <w:tc>
          <w:tcPr>
            <w:tcW w:w="0" w:type="auto"/>
            <w:gridSpan w:val="3"/>
            <w:tcMar>
              <w:top w:w="30" w:type="dxa"/>
              <w:left w:w="20" w:type="dxa"/>
              <w:bottom w:w="30" w:type="dxa"/>
              <w:right w:w="20" w:type="dxa"/>
            </w:tcMar>
            <w:hideMark/>
          </w:tcPr>
          <w:p w:rsidR="00000000" w:rsidRDefault="001F1FC8">
            <w:pPr>
              <w:jc w:val="right"/>
              <w:rPr>
                <w:rFonts w:eastAsia="Times New Roman"/>
              </w:rPr>
            </w:pPr>
            <w:r>
              <w:rPr>
                <w:rFonts w:ascii="Arial" w:eastAsia="Times New Roman" w:hAnsi="Arial" w:cs="Arial"/>
                <w:color w:val="000000"/>
                <w:sz w:val="16"/>
                <w:szCs w:val="16"/>
              </w:rPr>
              <w:t>2023</w:t>
            </w:r>
          </w:p>
        </w:tc>
        <w:tc>
          <w:tcPr>
            <w:tcW w:w="0" w:type="auto"/>
            <w:gridSpan w:val="3"/>
            <w:tcMar>
              <w:top w:w="0" w:type="dxa"/>
              <w:left w:w="20" w:type="dxa"/>
              <w:bottom w:w="0" w:type="dxa"/>
              <w:right w:w="20" w:type="dxa"/>
            </w:tcMar>
            <w:vAlign w:val="center"/>
            <w:hideMark/>
          </w:tcPr>
          <w:p w:rsidR="00000000" w:rsidRDefault="001F1FC8">
            <w:pPr>
              <w:jc w:val="right"/>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b/>
                <w:bCs/>
                <w:color w:val="000000"/>
                <w:sz w:val="16"/>
                <w:szCs w:val="16"/>
              </w:rPr>
              <w:t>1,515</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hideMark/>
          </w:tcPr>
          <w:p w:rsidR="00000000" w:rsidRDefault="001F1FC8">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1F1FC8">
            <w:pPr>
              <w:jc w:val="right"/>
              <w:rPr>
                <w:rFonts w:eastAsia="Times New Roman"/>
                <w:sz w:val="20"/>
                <w:szCs w:val="20"/>
              </w:rPr>
            </w:pPr>
          </w:p>
        </w:tc>
        <w:tc>
          <w:tcPr>
            <w:tcW w:w="0" w:type="auto"/>
            <w:gridSpan w:val="2"/>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color w:val="000000"/>
                <w:sz w:val="16"/>
                <w:szCs w:val="16"/>
              </w:rPr>
              <w:t>1,121 </w:t>
            </w:r>
          </w:p>
        </w:tc>
        <w:tc>
          <w:tcPr>
            <w:tcW w:w="0" w:type="auto"/>
            <w:tcMar>
              <w:top w:w="30" w:type="dxa"/>
              <w:left w:w="0" w:type="dxa"/>
              <w:bottom w:w="30" w:type="dxa"/>
              <w:right w:w="20" w:type="dxa"/>
            </w:tcMar>
            <w:hideMark/>
          </w:tcPr>
          <w:p w:rsidR="00000000" w:rsidRDefault="001F1FC8">
            <w:pPr>
              <w:jc w:val="right"/>
              <w:rPr>
                <w:rFonts w:eastAsia="Times New Roman"/>
              </w:rPr>
            </w:pPr>
          </w:p>
        </w:tc>
      </w:tr>
      <w:tr w:rsidR="00000000">
        <w:trPr>
          <w:divId w:val="738597104"/>
        </w:trPr>
        <w:tc>
          <w:tcPr>
            <w:tcW w:w="0" w:type="auto"/>
            <w:gridSpan w:val="3"/>
            <w:tcMar>
              <w:top w:w="30" w:type="dxa"/>
              <w:left w:w="20" w:type="dxa"/>
              <w:bottom w:w="30" w:type="dxa"/>
              <w:right w:w="20" w:type="dxa"/>
            </w:tcMar>
            <w:hideMark/>
          </w:tcPr>
          <w:p w:rsidR="00000000" w:rsidRDefault="001F1FC8">
            <w:pPr>
              <w:rPr>
                <w:rFonts w:eastAsia="Times New Roman"/>
              </w:rPr>
            </w:pPr>
            <w:r>
              <w:rPr>
                <w:rFonts w:ascii="Arial" w:eastAsia="Times New Roman" w:hAnsi="Arial" w:cs="Arial"/>
                <w:color w:val="000000"/>
                <w:sz w:val="16"/>
                <w:szCs w:val="16"/>
              </w:rPr>
              <w:t>Enbridge Pipelines (Southern Lights) L.L.C.</w:t>
            </w:r>
          </w:p>
        </w:tc>
        <w:tc>
          <w:tcPr>
            <w:tcW w:w="0" w:type="auto"/>
            <w:gridSpan w:val="3"/>
            <w:tcMar>
              <w:top w:w="0" w:type="dxa"/>
              <w:left w:w="20" w:type="dxa"/>
              <w:bottom w:w="0" w:type="dxa"/>
              <w:right w:w="20" w:type="dxa"/>
            </w:tcMar>
            <w:vAlign w:val="center"/>
            <w:hideMark/>
          </w:tcPr>
          <w:p w:rsidR="00000000" w:rsidRDefault="001F1FC8">
            <w:pPr>
              <w:rPr>
                <w:rFonts w:eastAsia="Times New Roman"/>
              </w:rPr>
            </w:pPr>
          </w:p>
        </w:tc>
        <w:tc>
          <w:tcPr>
            <w:tcW w:w="0" w:type="auto"/>
            <w:gridSpan w:val="3"/>
            <w:tcMar>
              <w:top w:w="0" w:type="dxa"/>
              <w:left w:w="20" w:type="dxa"/>
              <w:bottom w:w="0" w:type="dxa"/>
              <w:right w:w="20" w:type="dxa"/>
            </w:tcMar>
            <w:vAlign w:val="center"/>
            <w:hideMark/>
          </w:tcPr>
          <w:p w:rsidR="00000000" w:rsidRDefault="001F1FC8">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1F1FC8">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1F1FC8">
            <w:pPr>
              <w:rPr>
                <w:rFonts w:eastAsia="Times New Roman"/>
                <w:sz w:val="20"/>
                <w:szCs w:val="20"/>
              </w:rPr>
            </w:pPr>
          </w:p>
        </w:tc>
        <w:tc>
          <w:tcPr>
            <w:tcW w:w="0" w:type="auto"/>
            <w:gridSpan w:val="3"/>
            <w:shd w:val="clear" w:color="auto" w:fill="D9D9D9"/>
            <w:tcMar>
              <w:top w:w="0" w:type="dxa"/>
              <w:left w:w="20" w:type="dxa"/>
              <w:bottom w:w="0" w:type="dxa"/>
              <w:right w:w="20" w:type="dxa"/>
            </w:tcMar>
            <w:vAlign w:val="center"/>
            <w:hideMark/>
          </w:tcPr>
          <w:p w:rsidR="00000000" w:rsidRDefault="001F1FC8">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1F1FC8">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1F1FC8">
            <w:pPr>
              <w:rPr>
                <w:rFonts w:eastAsia="Times New Roman"/>
                <w:sz w:val="20"/>
                <w:szCs w:val="20"/>
              </w:rPr>
            </w:pPr>
          </w:p>
        </w:tc>
      </w:tr>
      <w:tr w:rsidR="00000000">
        <w:trPr>
          <w:divId w:val="738597104"/>
        </w:trPr>
        <w:tc>
          <w:tcPr>
            <w:tcW w:w="0" w:type="auto"/>
            <w:gridSpan w:val="3"/>
            <w:tcMar>
              <w:top w:w="30" w:type="dxa"/>
              <w:left w:w="20" w:type="dxa"/>
              <w:bottom w:w="30" w:type="dxa"/>
              <w:right w:w="20" w:type="dxa"/>
            </w:tcMar>
            <w:hideMark/>
          </w:tcPr>
          <w:p w:rsidR="00000000" w:rsidRDefault="001F1FC8">
            <w:pPr>
              <w:ind w:firstLine="180"/>
              <w:rPr>
                <w:rFonts w:eastAsia="Times New Roman"/>
              </w:rPr>
            </w:pPr>
            <w:r>
              <w:rPr>
                <w:rFonts w:ascii="Arial" w:eastAsia="Times New Roman" w:hAnsi="Arial" w:cs="Arial"/>
                <w:color w:val="000000"/>
                <w:sz w:val="16"/>
                <w:szCs w:val="16"/>
              </w:rPr>
              <w:t>Senior notes</w:t>
            </w:r>
          </w:p>
        </w:tc>
        <w:tc>
          <w:tcPr>
            <w:tcW w:w="0" w:type="auto"/>
            <w:gridSpan w:val="2"/>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color w:val="000000"/>
                <w:sz w:val="16"/>
                <w:szCs w:val="16"/>
              </w:rPr>
              <w:t>4.0 </w:t>
            </w:r>
          </w:p>
        </w:tc>
        <w:tc>
          <w:tcPr>
            <w:tcW w:w="0" w:type="auto"/>
            <w:tcMar>
              <w:top w:w="30" w:type="dxa"/>
              <w:left w:w="0" w:type="dxa"/>
              <w:bottom w:w="30" w:type="dxa"/>
              <w:right w:w="20" w:type="dxa"/>
            </w:tcMar>
            <w:hideMark/>
          </w:tcPr>
          <w:p w:rsidR="00000000" w:rsidRDefault="001F1FC8">
            <w:pPr>
              <w:jc w:val="right"/>
              <w:rPr>
                <w:rFonts w:eastAsia="Times New Roman"/>
              </w:rPr>
            </w:pPr>
            <w:r>
              <w:rPr>
                <w:rFonts w:ascii="Arial" w:eastAsia="Times New Roman" w:hAnsi="Arial" w:cs="Arial"/>
                <w:color w:val="000000"/>
                <w:sz w:val="16"/>
                <w:szCs w:val="16"/>
              </w:rPr>
              <w:t>%</w:t>
            </w:r>
          </w:p>
        </w:tc>
        <w:tc>
          <w:tcPr>
            <w:tcW w:w="0" w:type="auto"/>
            <w:gridSpan w:val="3"/>
            <w:tcMar>
              <w:top w:w="0" w:type="dxa"/>
              <w:left w:w="20" w:type="dxa"/>
              <w:bottom w:w="0" w:type="dxa"/>
              <w:right w:w="20" w:type="dxa"/>
            </w:tcMar>
            <w:vAlign w:val="center"/>
            <w:hideMark/>
          </w:tcPr>
          <w:p w:rsidR="00000000" w:rsidRDefault="001F1FC8">
            <w:pPr>
              <w:jc w:val="right"/>
              <w:rPr>
                <w:rFonts w:eastAsia="Times New Roman"/>
              </w:rPr>
            </w:pPr>
          </w:p>
        </w:tc>
        <w:tc>
          <w:tcPr>
            <w:tcW w:w="0" w:type="auto"/>
            <w:gridSpan w:val="3"/>
            <w:tcMar>
              <w:top w:w="30" w:type="dxa"/>
              <w:left w:w="20" w:type="dxa"/>
              <w:bottom w:w="30" w:type="dxa"/>
              <w:right w:w="20" w:type="dxa"/>
            </w:tcMar>
            <w:hideMark/>
          </w:tcPr>
          <w:p w:rsidR="00000000" w:rsidRDefault="001F1FC8">
            <w:pPr>
              <w:jc w:val="right"/>
              <w:rPr>
                <w:rFonts w:eastAsia="Times New Roman"/>
              </w:rPr>
            </w:pPr>
            <w:r>
              <w:rPr>
                <w:rFonts w:ascii="Arial" w:eastAsia="Times New Roman" w:hAnsi="Arial" w:cs="Arial"/>
                <w:color w:val="000000"/>
                <w:sz w:val="16"/>
                <w:szCs w:val="16"/>
              </w:rPr>
              <w:t>2040</w:t>
            </w:r>
          </w:p>
        </w:tc>
        <w:tc>
          <w:tcPr>
            <w:tcW w:w="0" w:type="auto"/>
            <w:gridSpan w:val="3"/>
            <w:tcMar>
              <w:top w:w="0" w:type="dxa"/>
              <w:left w:w="20" w:type="dxa"/>
              <w:bottom w:w="0" w:type="dxa"/>
              <w:right w:w="20" w:type="dxa"/>
            </w:tcMar>
            <w:vAlign w:val="center"/>
            <w:hideMark/>
          </w:tcPr>
          <w:p w:rsidR="00000000" w:rsidRDefault="001F1FC8">
            <w:pPr>
              <w:jc w:val="right"/>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b/>
                <w:bCs/>
                <w:color w:val="000000"/>
                <w:sz w:val="16"/>
                <w:szCs w:val="16"/>
              </w:rPr>
              <w:t>949</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hideMark/>
          </w:tcPr>
          <w:p w:rsidR="00000000" w:rsidRDefault="001F1FC8">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1F1FC8">
            <w:pPr>
              <w:jc w:val="right"/>
              <w:rPr>
                <w:rFonts w:eastAsia="Times New Roman"/>
                <w:sz w:val="20"/>
                <w:szCs w:val="20"/>
              </w:rPr>
            </w:pPr>
          </w:p>
        </w:tc>
        <w:tc>
          <w:tcPr>
            <w:tcW w:w="0" w:type="auto"/>
            <w:gridSpan w:val="2"/>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color w:val="000000"/>
                <w:sz w:val="16"/>
                <w:szCs w:val="16"/>
              </w:rPr>
              <w:t>1,038 </w:t>
            </w:r>
          </w:p>
        </w:tc>
        <w:tc>
          <w:tcPr>
            <w:tcW w:w="0" w:type="auto"/>
            <w:tcMar>
              <w:top w:w="30" w:type="dxa"/>
              <w:left w:w="0" w:type="dxa"/>
              <w:bottom w:w="30" w:type="dxa"/>
              <w:right w:w="20" w:type="dxa"/>
            </w:tcMar>
            <w:hideMark/>
          </w:tcPr>
          <w:p w:rsidR="00000000" w:rsidRDefault="001F1FC8">
            <w:pPr>
              <w:jc w:val="right"/>
              <w:rPr>
                <w:rFonts w:eastAsia="Times New Roman"/>
              </w:rPr>
            </w:pPr>
          </w:p>
        </w:tc>
      </w:tr>
      <w:tr w:rsidR="00000000">
        <w:trPr>
          <w:divId w:val="738597104"/>
        </w:trPr>
        <w:tc>
          <w:tcPr>
            <w:tcW w:w="0" w:type="auto"/>
            <w:gridSpan w:val="3"/>
            <w:tcMar>
              <w:top w:w="30" w:type="dxa"/>
              <w:left w:w="20" w:type="dxa"/>
              <w:bottom w:w="30" w:type="dxa"/>
              <w:right w:w="20" w:type="dxa"/>
            </w:tcMar>
            <w:hideMark/>
          </w:tcPr>
          <w:p w:rsidR="00000000" w:rsidRDefault="001F1FC8">
            <w:pPr>
              <w:rPr>
                <w:rFonts w:eastAsia="Times New Roman"/>
              </w:rPr>
            </w:pPr>
            <w:r>
              <w:rPr>
                <w:rFonts w:ascii="Arial" w:eastAsia="Times New Roman" w:hAnsi="Arial" w:cs="Arial"/>
                <w:color w:val="000000"/>
                <w:sz w:val="16"/>
                <w:szCs w:val="16"/>
              </w:rPr>
              <w:t>Enbridge Pipelines Inc.</w:t>
            </w:r>
          </w:p>
        </w:tc>
        <w:tc>
          <w:tcPr>
            <w:tcW w:w="0" w:type="auto"/>
            <w:gridSpan w:val="3"/>
            <w:tcMar>
              <w:top w:w="0" w:type="dxa"/>
              <w:left w:w="20" w:type="dxa"/>
              <w:bottom w:w="0" w:type="dxa"/>
              <w:right w:w="20" w:type="dxa"/>
            </w:tcMar>
            <w:vAlign w:val="center"/>
            <w:hideMark/>
          </w:tcPr>
          <w:p w:rsidR="00000000" w:rsidRDefault="001F1FC8">
            <w:pPr>
              <w:rPr>
                <w:rFonts w:eastAsia="Times New Roman"/>
              </w:rPr>
            </w:pPr>
          </w:p>
        </w:tc>
        <w:tc>
          <w:tcPr>
            <w:tcW w:w="0" w:type="auto"/>
            <w:gridSpan w:val="3"/>
            <w:tcMar>
              <w:top w:w="0" w:type="dxa"/>
              <w:left w:w="20" w:type="dxa"/>
              <w:bottom w:w="0" w:type="dxa"/>
              <w:right w:w="20" w:type="dxa"/>
            </w:tcMar>
            <w:vAlign w:val="center"/>
            <w:hideMark/>
          </w:tcPr>
          <w:p w:rsidR="00000000" w:rsidRDefault="001F1FC8">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1F1FC8">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1F1FC8">
            <w:pPr>
              <w:rPr>
                <w:rFonts w:eastAsia="Times New Roman"/>
                <w:sz w:val="20"/>
                <w:szCs w:val="20"/>
              </w:rPr>
            </w:pPr>
          </w:p>
        </w:tc>
        <w:tc>
          <w:tcPr>
            <w:tcW w:w="0" w:type="auto"/>
            <w:gridSpan w:val="3"/>
            <w:shd w:val="clear" w:color="auto" w:fill="D9D9D9"/>
            <w:tcMar>
              <w:top w:w="0" w:type="dxa"/>
              <w:left w:w="20" w:type="dxa"/>
              <w:bottom w:w="0" w:type="dxa"/>
              <w:right w:w="20" w:type="dxa"/>
            </w:tcMar>
            <w:vAlign w:val="center"/>
            <w:hideMark/>
          </w:tcPr>
          <w:p w:rsidR="00000000" w:rsidRDefault="001F1FC8">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1F1FC8">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1F1FC8">
            <w:pPr>
              <w:rPr>
                <w:rFonts w:eastAsia="Times New Roman"/>
                <w:sz w:val="20"/>
                <w:szCs w:val="20"/>
              </w:rPr>
            </w:pPr>
          </w:p>
        </w:tc>
      </w:tr>
      <w:tr w:rsidR="00000000">
        <w:trPr>
          <w:divId w:val="738597104"/>
        </w:trPr>
        <w:tc>
          <w:tcPr>
            <w:tcW w:w="0" w:type="auto"/>
            <w:gridSpan w:val="3"/>
            <w:tcMar>
              <w:top w:w="30" w:type="dxa"/>
              <w:left w:w="20" w:type="dxa"/>
              <w:bottom w:w="30" w:type="dxa"/>
              <w:right w:w="20" w:type="dxa"/>
            </w:tcMar>
            <w:hideMark/>
          </w:tcPr>
          <w:p w:rsidR="00000000" w:rsidRDefault="001F1FC8">
            <w:pPr>
              <w:ind w:firstLine="180"/>
              <w:divId w:val="161625560"/>
              <w:rPr>
                <w:rFonts w:eastAsia="Times New Roman"/>
              </w:rPr>
            </w:pPr>
            <w:r>
              <w:rPr>
                <w:rFonts w:ascii="Arial" w:eastAsia="Times New Roman" w:hAnsi="Arial" w:cs="Arial"/>
                <w:color w:val="000000"/>
                <w:sz w:val="16"/>
                <w:szCs w:val="16"/>
              </w:rPr>
              <w:t>Medium-term note</w:t>
            </w:r>
            <w:r>
              <w:rPr>
                <w:rFonts w:ascii="Arial" w:eastAsia="Times New Roman" w:hAnsi="Arial" w:cs="Arial"/>
                <w:color w:val="000000"/>
                <w:sz w:val="16"/>
                <w:szCs w:val="16"/>
              </w:rPr>
              <w:t>s</w:t>
            </w:r>
            <w:r>
              <w:rPr>
                <w:rFonts w:ascii="Arial" w:eastAsia="Times New Roman" w:hAnsi="Arial" w:cs="Arial"/>
                <w:color w:val="000000"/>
                <w:sz w:val="9"/>
                <w:szCs w:val="9"/>
              </w:rPr>
              <w:t>5</w:t>
            </w:r>
          </w:p>
        </w:tc>
        <w:tc>
          <w:tcPr>
            <w:tcW w:w="0" w:type="auto"/>
            <w:gridSpan w:val="2"/>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color w:val="000000"/>
                <w:sz w:val="16"/>
                <w:szCs w:val="16"/>
              </w:rPr>
              <w:t>4.0 </w:t>
            </w:r>
          </w:p>
        </w:tc>
        <w:tc>
          <w:tcPr>
            <w:tcW w:w="0" w:type="auto"/>
            <w:tcMar>
              <w:top w:w="30" w:type="dxa"/>
              <w:left w:w="0" w:type="dxa"/>
              <w:bottom w:w="30" w:type="dxa"/>
              <w:right w:w="20" w:type="dxa"/>
            </w:tcMar>
            <w:hideMark/>
          </w:tcPr>
          <w:p w:rsidR="00000000" w:rsidRDefault="001F1FC8">
            <w:pPr>
              <w:jc w:val="right"/>
              <w:rPr>
                <w:rFonts w:eastAsia="Times New Roman"/>
              </w:rPr>
            </w:pPr>
            <w:r>
              <w:rPr>
                <w:rFonts w:ascii="Arial" w:eastAsia="Times New Roman" w:hAnsi="Arial" w:cs="Arial"/>
                <w:color w:val="000000"/>
                <w:sz w:val="16"/>
                <w:szCs w:val="16"/>
              </w:rPr>
              <w:t>%</w:t>
            </w:r>
          </w:p>
        </w:tc>
        <w:tc>
          <w:tcPr>
            <w:tcW w:w="0" w:type="auto"/>
            <w:gridSpan w:val="3"/>
            <w:tcMar>
              <w:top w:w="0" w:type="dxa"/>
              <w:left w:w="20" w:type="dxa"/>
              <w:bottom w:w="0" w:type="dxa"/>
              <w:right w:w="20" w:type="dxa"/>
            </w:tcMar>
            <w:vAlign w:val="center"/>
            <w:hideMark/>
          </w:tcPr>
          <w:p w:rsidR="00000000" w:rsidRDefault="001F1FC8">
            <w:pPr>
              <w:jc w:val="right"/>
              <w:rPr>
                <w:rFonts w:eastAsia="Times New Roman"/>
              </w:rPr>
            </w:pPr>
          </w:p>
        </w:tc>
        <w:tc>
          <w:tcPr>
            <w:tcW w:w="0" w:type="auto"/>
            <w:gridSpan w:val="3"/>
            <w:tcMar>
              <w:top w:w="30" w:type="dxa"/>
              <w:left w:w="20" w:type="dxa"/>
              <w:bottom w:w="30" w:type="dxa"/>
              <w:right w:w="20" w:type="dxa"/>
            </w:tcMar>
            <w:hideMark/>
          </w:tcPr>
          <w:p w:rsidR="00000000" w:rsidRDefault="001F1FC8">
            <w:pPr>
              <w:jc w:val="right"/>
              <w:rPr>
                <w:rFonts w:eastAsia="Times New Roman"/>
              </w:rPr>
            </w:pPr>
            <w:r>
              <w:rPr>
                <w:rFonts w:ascii="Arial" w:eastAsia="Times New Roman" w:hAnsi="Arial" w:cs="Arial"/>
                <w:color w:val="000000"/>
                <w:sz w:val="16"/>
                <w:szCs w:val="16"/>
              </w:rPr>
              <w:t>2022 - 2051</w:t>
            </w:r>
          </w:p>
        </w:tc>
        <w:tc>
          <w:tcPr>
            <w:tcW w:w="0" w:type="auto"/>
            <w:gridSpan w:val="3"/>
            <w:tcMar>
              <w:top w:w="0" w:type="dxa"/>
              <w:left w:w="20" w:type="dxa"/>
              <w:bottom w:w="0" w:type="dxa"/>
              <w:right w:w="20" w:type="dxa"/>
            </w:tcMar>
            <w:vAlign w:val="center"/>
            <w:hideMark/>
          </w:tcPr>
          <w:p w:rsidR="00000000" w:rsidRDefault="001F1FC8">
            <w:pPr>
              <w:jc w:val="right"/>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b/>
                <w:bCs/>
                <w:color w:val="000000"/>
                <w:sz w:val="16"/>
                <w:szCs w:val="16"/>
              </w:rPr>
              <w:t>5,575</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hideMark/>
          </w:tcPr>
          <w:p w:rsidR="00000000" w:rsidRDefault="001F1FC8">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1F1FC8">
            <w:pPr>
              <w:jc w:val="right"/>
              <w:rPr>
                <w:rFonts w:eastAsia="Times New Roman"/>
                <w:sz w:val="20"/>
                <w:szCs w:val="20"/>
              </w:rPr>
            </w:pPr>
          </w:p>
        </w:tc>
        <w:tc>
          <w:tcPr>
            <w:tcW w:w="0" w:type="auto"/>
            <w:gridSpan w:val="2"/>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color w:val="000000"/>
                <w:sz w:val="16"/>
                <w:szCs w:val="16"/>
              </w:rPr>
              <w:t>4,775 </w:t>
            </w:r>
          </w:p>
        </w:tc>
        <w:tc>
          <w:tcPr>
            <w:tcW w:w="0" w:type="auto"/>
            <w:tcMar>
              <w:top w:w="30" w:type="dxa"/>
              <w:left w:w="0" w:type="dxa"/>
              <w:bottom w:w="30" w:type="dxa"/>
              <w:right w:w="20" w:type="dxa"/>
            </w:tcMar>
            <w:hideMark/>
          </w:tcPr>
          <w:p w:rsidR="00000000" w:rsidRDefault="001F1FC8">
            <w:pPr>
              <w:jc w:val="right"/>
              <w:rPr>
                <w:rFonts w:eastAsia="Times New Roman"/>
              </w:rPr>
            </w:pPr>
          </w:p>
        </w:tc>
      </w:tr>
      <w:tr w:rsidR="00000000">
        <w:trPr>
          <w:divId w:val="738597104"/>
        </w:trPr>
        <w:tc>
          <w:tcPr>
            <w:tcW w:w="0" w:type="auto"/>
            <w:gridSpan w:val="3"/>
            <w:tcMar>
              <w:top w:w="30" w:type="dxa"/>
              <w:left w:w="20" w:type="dxa"/>
              <w:bottom w:w="30" w:type="dxa"/>
              <w:right w:w="20" w:type="dxa"/>
            </w:tcMar>
            <w:hideMark/>
          </w:tcPr>
          <w:p w:rsidR="00000000" w:rsidRDefault="001F1FC8">
            <w:pPr>
              <w:ind w:firstLine="180"/>
              <w:divId w:val="1016880699"/>
              <w:rPr>
                <w:rFonts w:eastAsia="Times New Roman"/>
              </w:rPr>
            </w:pPr>
            <w:r>
              <w:rPr>
                <w:rFonts w:ascii="Arial" w:eastAsia="Times New Roman" w:hAnsi="Arial" w:cs="Arial"/>
                <w:color w:val="000000"/>
                <w:sz w:val="16"/>
                <w:szCs w:val="16"/>
              </w:rPr>
              <w:t>Debentures</w:t>
            </w:r>
          </w:p>
        </w:tc>
        <w:tc>
          <w:tcPr>
            <w:tcW w:w="0" w:type="auto"/>
            <w:gridSpan w:val="2"/>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color w:val="000000"/>
                <w:sz w:val="16"/>
                <w:szCs w:val="16"/>
              </w:rPr>
              <w:t>8.2 </w:t>
            </w:r>
          </w:p>
        </w:tc>
        <w:tc>
          <w:tcPr>
            <w:tcW w:w="0" w:type="auto"/>
            <w:tcMar>
              <w:top w:w="30" w:type="dxa"/>
              <w:left w:w="0" w:type="dxa"/>
              <w:bottom w:w="30" w:type="dxa"/>
              <w:right w:w="20" w:type="dxa"/>
            </w:tcMar>
            <w:hideMark/>
          </w:tcPr>
          <w:p w:rsidR="00000000" w:rsidRDefault="001F1FC8">
            <w:pPr>
              <w:jc w:val="right"/>
              <w:rPr>
                <w:rFonts w:eastAsia="Times New Roman"/>
              </w:rPr>
            </w:pPr>
            <w:r>
              <w:rPr>
                <w:rFonts w:ascii="Arial" w:eastAsia="Times New Roman" w:hAnsi="Arial" w:cs="Arial"/>
                <w:color w:val="000000"/>
                <w:sz w:val="16"/>
                <w:szCs w:val="16"/>
              </w:rPr>
              <w:t>%</w:t>
            </w:r>
          </w:p>
        </w:tc>
        <w:tc>
          <w:tcPr>
            <w:tcW w:w="0" w:type="auto"/>
            <w:gridSpan w:val="3"/>
            <w:tcMar>
              <w:top w:w="0" w:type="dxa"/>
              <w:left w:w="20" w:type="dxa"/>
              <w:bottom w:w="0" w:type="dxa"/>
              <w:right w:w="20" w:type="dxa"/>
            </w:tcMar>
            <w:vAlign w:val="center"/>
            <w:hideMark/>
          </w:tcPr>
          <w:p w:rsidR="00000000" w:rsidRDefault="001F1FC8">
            <w:pPr>
              <w:jc w:val="right"/>
              <w:rPr>
                <w:rFonts w:eastAsia="Times New Roman"/>
              </w:rPr>
            </w:pPr>
          </w:p>
        </w:tc>
        <w:tc>
          <w:tcPr>
            <w:tcW w:w="0" w:type="auto"/>
            <w:gridSpan w:val="3"/>
            <w:tcMar>
              <w:top w:w="30" w:type="dxa"/>
              <w:left w:w="20" w:type="dxa"/>
              <w:bottom w:w="30" w:type="dxa"/>
              <w:right w:w="20" w:type="dxa"/>
            </w:tcMar>
            <w:hideMark/>
          </w:tcPr>
          <w:p w:rsidR="00000000" w:rsidRDefault="001F1FC8">
            <w:pPr>
              <w:jc w:val="right"/>
              <w:rPr>
                <w:rFonts w:eastAsia="Times New Roman"/>
              </w:rPr>
            </w:pPr>
            <w:r>
              <w:rPr>
                <w:rFonts w:ascii="Arial" w:eastAsia="Times New Roman" w:hAnsi="Arial" w:cs="Arial"/>
                <w:color w:val="000000"/>
                <w:sz w:val="16"/>
                <w:szCs w:val="16"/>
              </w:rPr>
              <w:t>2024</w:t>
            </w:r>
          </w:p>
        </w:tc>
        <w:tc>
          <w:tcPr>
            <w:tcW w:w="0" w:type="auto"/>
            <w:gridSpan w:val="3"/>
            <w:tcMar>
              <w:top w:w="0" w:type="dxa"/>
              <w:left w:w="20" w:type="dxa"/>
              <w:bottom w:w="0" w:type="dxa"/>
              <w:right w:w="20" w:type="dxa"/>
            </w:tcMar>
            <w:vAlign w:val="center"/>
            <w:hideMark/>
          </w:tcPr>
          <w:p w:rsidR="00000000" w:rsidRDefault="001F1FC8">
            <w:pPr>
              <w:jc w:val="right"/>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b/>
                <w:bCs/>
                <w:color w:val="000000"/>
                <w:sz w:val="16"/>
                <w:szCs w:val="16"/>
              </w:rPr>
              <w:t>200</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hideMark/>
          </w:tcPr>
          <w:p w:rsidR="00000000" w:rsidRDefault="001F1FC8">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1F1FC8">
            <w:pPr>
              <w:jc w:val="right"/>
              <w:rPr>
                <w:rFonts w:eastAsia="Times New Roman"/>
                <w:sz w:val="20"/>
                <w:szCs w:val="20"/>
              </w:rPr>
            </w:pPr>
          </w:p>
        </w:tc>
        <w:tc>
          <w:tcPr>
            <w:tcW w:w="0" w:type="auto"/>
            <w:gridSpan w:val="2"/>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color w:val="000000"/>
                <w:sz w:val="16"/>
                <w:szCs w:val="16"/>
              </w:rPr>
              <w:t>200 </w:t>
            </w:r>
          </w:p>
        </w:tc>
        <w:tc>
          <w:tcPr>
            <w:tcW w:w="0" w:type="auto"/>
            <w:tcMar>
              <w:top w:w="30" w:type="dxa"/>
              <w:left w:w="0" w:type="dxa"/>
              <w:bottom w:w="30" w:type="dxa"/>
              <w:right w:w="20" w:type="dxa"/>
            </w:tcMar>
            <w:hideMark/>
          </w:tcPr>
          <w:p w:rsidR="00000000" w:rsidRDefault="001F1FC8">
            <w:pPr>
              <w:jc w:val="right"/>
              <w:rPr>
                <w:rFonts w:eastAsia="Times New Roman"/>
              </w:rPr>
            </w:pPr>
          </w:p>
        </w:tc>
      </w:tr>
      <w:tr w:rsidR="00000000">
        <w:trPr>
          <w:divId w:val="738597104"/>
        </w:trPr>
        <w:tc>
          <w:tcPr>
            <w:tcW w:w="0" w:type="auto"/>
            <w:gridSpan w:val="3"/>
            <w:tcMar>
              <w:top w:w="30" w:type="dxa"/>
              <w:left w:w="20" w:type="dxa"/>
              <w:bottom w:w="30" w:type="dxa"/>
              <w:right w:w="20" w:type="dxa"/>
            </w:tcMar>
            <w:hideMark/>
          </w:tcPr>
          <w:p w:rsidR="00000000" w:rsidRDefault="001F1FC8">
            <w:pPr>
              <w:ind w:firstLine="180"/>
              <w:rPr>
                <w:rFonts w:eastAsia="Times New Roman"/>
              </w:rPr>
            </w:pPr>
            <w:r>
              <w:rPr>
                <w:rFonts w:ascii="Arial" w:eastAsia="Times New Roman" w:hAnsi="Arial" w:cs="Arial"/>
                <w:color w:val="000000"/>
                <w:sz w:val="16"/>
                <w:szCs w:val="16"/>
              </w:rPr>
              <w:t>Commercial paper and credit facility draws</w:t>
            </w:r>
          </w:p>
        </w:tc>
        <w:tc>
          <w:tcPr>
            <w:tcW w:w="0" w:type="auto"/>
            <w:gridSpan w:val="2"/>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color w:val="000000"/>
                <w:sz w:val="16"/>
                <w:szCs w:val="16"/>
              </w:rPr>
              <w:t>0.7 </w:t>
            </w:r>
          </w:p>
        </w:tc>
        <w:tc>
          <w:tcPr>
            <w:tcW w:w="0" w:type="auto"/>
            <w:tcMar>
              <w:top w:w="30" w:type="dxa"/>
              <w:left w:w="0" w:type="dxa"/>
              <w:bottom w:w="30" w:type="dxa"/>
              <w:right w:w="20" w:type="dxa"/>
            </w:tcMar>
            <w:hideMark/>
          </w:tcPr>
          <w:p w:rsidR="00000000" w:rsidRDefault="001F1FC8">
            <w:pPr>
              <w:jc w:val="right"/>
              <w:rPr>
                <w:rFonts w:eastAsia="Times New Roman"/>
              </w:rPr>
            </w:pPr>
            <w:r>
              <w:rPr>
                <w:rFonts w:ascii="Arial" w:eastAsia="Times New Roman" w:hAnsi="Arial" w:cs="Arial"/>
                <w:color w:val="000000"/>
                <w:sz w:val="16"/>
                <w:szCs w:val="16"/>
              </w:rPr>
              <w:t>%</w:t>
            </w:r>
          </w:p>
        </w:tc>
        <w:tc>
          <w:tcPr>
            <w:tcW w:w="0" w:type="auto"/>
            <w:gridSpan w:val="3"/>
            <w:tcMar>
              <w:top w:w="0" w:type="dxa"/>
              <w:left w:w="20" w:type="dxa"/>
              <w:bottom w:w="0" w:type="dxa"/>
              <w:right w:w="20" w:type="dxa"/>
            </w:tcMar>
            <w:vAlign w:val="center"/>
            <w:hideMark/>
          </w:tcPr>
          <w:p w:rsidR="00000000" w:rsidRDefault="001F1FC8">
            <w:pPr>
              <w:jc w:val="right"/>
              <w:rPr>
                <w:rFonts w:eastAsia="Times New Roman"/>
              </w:rPr>
            </w:pPr>
          </w:p>
        </w:tc>
        <w:tc>
          <w:tcPr>
            <w:tcW w:w="0" w:type="auto"/>
            <w:gridSpan w:val="3"/>
            <w:tcMar>
              <w:top w:w="30" w:type="dxa"/>
              <w:left w:w="20" w:type="dxa"/>
              <w:bottom w:w="30" w:type="dxa"/>
              <w:right w:w="20" w:type="dxa"/>
            </w:tcMar>
            <w:hideMark/>
          </w:tcPr>
          <w:p w:rsidR="00000000" w:rsidRDefault="001F1FC8">
            <w:pPr>
              <w:jc w:val="right"/>
              <w:rPr>
                <w:rFonts w:eastAsia="Times New Roman"/>
              </w:rPr>
            </w:pPr>
            <w:r>
              <w:rPr>
                <w:rFonts w:ascii="Arial" w:eastAsia="Times New Roman" w:hAnsi="Arial" w:cs="Arial"/>
                <w:color w:val="000000"/>
                <w:sz w:val="16"/>
                <w:szCs w:val="16"/>
              </w:rPr>
              <w:t>2023</w:t>
            </w:r>
          </w:p>
        </w:tc>
        <w:tc>
          <w:tcPr>
            <w:tcW w:w="0" w:type="auto"/>
            <w:gridSpan w:val="3"/>
            <w:tcMar>
              <w:top w:w="0" w:type="dxa"/>
              <w:left w:w="20" w:type="dxa"/>
              <w:bottom w:w="0" w:type="dxa"/>
              <w:right w:w="20" w:type="dxa"/>
            </w:tcMar>
            <w:vAlign w:val="center"/>
            <w:hideMark/>
          </w:tcPr>
          <w:p w:rsidR="00000000" w:rsidRDefault="001F1FC8">
            <w:pPr>
              <w:jc w:val="right"/>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b/>
                <w:bCs/>
                <w:color w:val="000000"/>
                <w:sz w:val="16"/>
                <w:szCs w:val="16"/>
              </w:rPr>
              <w:t>667</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hideMark/>
          </w:tcPr>
          <w:p w:rsidR="00000000" w:rsidRDefault="001F1FC8">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1F1FC8">
            <w:pPr>
              <w:jc w:val="right"/>
              <w:rPr>
                <w:rFonts w:eastAsia="Times New Roman"/>
                <w:sz w:val="20"/>
                <w:szCs w:val="20"/>
              </w:rPr>
            </w:pPr>
          </w:p>
        </w:tc>
        <w:tc>
          <w:tcPr>
            <w:tcW w:w="0" w:type="auto"/>
            <w:gridSpan w:val="2"/>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color w:val="000000"/>
                <w:sz w:val="16"/>
                <w:szCs w:val="16"/>
              </w:rPr>
              <w:t>1,278 </w:t>
            </w:r>
          </w:p>
        </w:tc>
        <w:tc>
          <w:tcPr>
            <w:tcW w:w="0" w:type="auto"/>
            <w:tcMar>
              <w:top w:w="30" w:type="dxa"/>
              <w:left w:w="0" w:type="dxa"/>
              <w:bottom w:w="30" w:type="dxa"/>
              <w:right w:w="20" w:type="dxa"/>
            </w:tcMar>
            <w:hideMark/>
          </w:tcPr>
          <w:p w:rsidR="00000000" w:rsidRDefault="001F1FC8">
            <w:pPr>
              <w:jc w:val="right"/>
              <w:rPr>
                <w:rFonts w:eastAsia="Times New Roman"/>
              </w:rPr>
            </w:pPr>
          </w:p>
        </w:tc>
      </w:tr>
      <w:tr w:rsidR="00000000">
        <w:trPr>
          <w:divId w:val="738597104"/>
        </w:trPr>
        <w:tc>
          <w:tcPr>
            <w:tcW w:w="0" w:type="auto"/>
            <w:gridSpan w:val="3"/>
            <w:tcMar>
              <w:top w:w="30" w:type="dxa"/>
              <w:left w:w="20" w:type="dxa"/>
              <w:bottom w:w="30" w:type="dxa"/>
              <w:right w:w="20" w:type="dxa"/>
            </w:tcMar>
            <w:hideMark/>
          </w:tcPr>
          <w:p w:rsidR="00000000" w:rsidRDefault="001F1FC8">
            <w:pPr>
              <w:rPr>
                <w:rFonts w:eastAsia="Times New Roman"/>
              </w:rPr>
            </w:pPr>
            <w:r>
              <w:rPr>
                <w:rFonts w:ascii="Arial" w:eastAsia="Times New Roman" w:hAnsi="Arial" w:cs="Arial"/>
                <w:color w:val="000000"/>
                <w:sz w:val="16"/>
                <w:szCs w:val="16"/>
              </w:rPr>
              <w:t>Enbridge Southern Lights LP</w:t>
            </w:r>
          </w:p>
        </w:tc>
        <w:tc>
          <w:tcPr>
            <w:tcW w:w="0" w:type="auto"/>
            <w:gridSpan w:val="3"/>
            <w:tcMar>
              <w:top w:w="0" w:type="dxa"/>
              <w:left w:w="20" w:type="dxa"/>
              <w:bottom w:w="0" w:type="dxa"/>
              <w:right w:w="20" w:type="dxa"/>
            </w:tcMar>
            <w:vAlign w:val="center"/>
            <w:hideMark/>
          </w:tcPr>
          <w:p w:rsidR="00000000" w:rsidRDefault="001F1FC8">
            <w:pPr>
              <w:rPr>
                <w:rFonts w:eastAsia="Times New Roman"/>
              </w:rPr>
            </w:pPr>
          </w:p>
        </w:tc>
        <w:tc>
          <w:tcPr>
            <w:tcW w:w="0" w:type="auto"/>
            <w:gridSpan w:val="3"/>
            <w:tcMar>
              <w:top w:w="0" w:type="dxa"/>
              <w:left w:w="20" w:type="dxa"/>
              <w:bottom w:w="0" w:type="dxa"/>
              <w:right w:w="20" w:type="dxa"/>
            </w:tcMar>
            <w:vAlign w:val="center"/>
            <w:hideMark/>
          </w:tcPr>
          <w:p w:rsidR="00000000" w:rsidRDefault="001F1FC8">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1F1FC8">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1F1FC8">
            <w:pPr>
              <w:rPr>
                <w:rFonts w:eastAsia="Times New Roman"/>
                <w:sz w:val="20"/>
                <w:szCs w:val="20"/>
              </w:rPr>
            </w:pPr>
          </w:p>
        </w:tc>
        <w:tc>
          <w:tcPr>
            <w:tcW w:w="0" w:type="auto"/>
            <w:gridSpan w:val="3"/>
            <w:shd w:val="clear" w:color="auto" w:fill="D9D9D9"/>
            <w:tcMar>
              <w:top w:w="0" w:type="dxa"/>
              <w:left w:w="20" w:type="dxa"/>
              <w:bottom w:w="0" w:type="dxa"/>
              <w:right w:w="20" w:type="dxa"/>
            </w:tcMar>
            <w:vAlign w:val="center"/>
            <w:hideMark/>
          </w:tcPr>
          <w:p w:rsidR="00000000" w:rsidRDefault="001F1FC8">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1F1FC8">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1F1FC8">
            <w:pPr>
              <w:rPr>
                <w:rFonts w:eastAsia="Times New Roman"/>
                <w:sz w:val="20"/>
                <w:szCs w:val="20"/>
              </w:rPr>
            </w:pPr>
          </w:p>
        </w:tc>
      </w:tr>
      <w:tr w:rsidR="00000000">
        <w:trPr>
          <w:divId w:val="738597104"/>
        </w:trPr>
        <w:tc>
          <w:tcPr>
            <w:tcW w:w="0" w:type="auto"/>
            <w:gridSpan w:val="3"/>
            <w:tcMar>
              <w:top w:w="30" w:type="dxa"/>
              <w:left w:w="20" w:type="dxa"/>
              <w:bottom w:w="30" w:type="dxa"/>
              <w:right w:w="20" w:type="dxa"/>
            </w:tcMar>
            <w:hideMark/>
          </w:tcPr>
          <w:p w:rsidR="00000000" w:rsidRDefault="001F1FC8">
            <w:pPr>
              <w:ind w:firstLine="180"/>
              <w:divId w:val="293485751"/>
              <w:rPr>
                <w:rFonts w:eastAsia="Times New Roman"/>
              </w:rPr>
            </w:pPr>
            <w:r>
              <w:rPr>
                <w:rFonts w:ascii="Arial" w:eastAsia="Times New Roman" w:hAnsi="Arial" w:cs="Arial"/>
                <w:color w:val="000000"/>
                <w:sz w:val="16"/>
                <w:szCs w:val="16"/>
              </w:rPr>
              <w:t>Senior notes</w:t>
            </w:r>
          </w:p>
        </w:tc>
        <w:tc>
          <w:tcPr>
            <w:tcW w:w="0" w:type="auto"/>
            <w:gridSpan w:val="2"/>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color w:val="000000"/>
                <w:sz w:val="16"/>
                <w:szCs w:val="16"/>
              </w:rPr>
              <w:t>4.0 </w:t>
            </w:r>
          </w:p>
        </w:tc>
        <w:tc>
          <w:tcPr>
            <w:tcW w:w="0" w:type="auto"/>
            <w:tcMar>
              <w:top w:w="30" w:type="dxa"/>
              <w:left w:w="0" w:type="dxa"/>
              <w:bottom w:w="30" w:type="dxa"/>
              <w:right w:w="20" w:type="dxa"/>
            </w:tcMar>
            <w:hideMark/>
          </w:tcPr>
          <w:p w:rsidR="00000000" w:rsidRDefault="001F1FC8">
            <w:pPr>
              <w:jc w:val="right"/>
              <w:rPr>
                <w:rFonts w:eastAsia="Times New Roman"/>
              </w:rPr>
            </w:pPr>
            <w:r>
              <w:rPr>
                <w:rFonts w:ascii="Arial" w:eastAsia="Times New Roman" w:hAnsi="Arial" w:cs="Arial"/>
                <w:color w:val="000000"/>
                <w:sz w:val="16"/>
                <w:szCs w:val="16"/>
              </w:rPr>
              <w:t>%</w:t>
            </w:r>
          </w:p>
        </w:tc>
        <w:tc>
          <w:tcPr>
            <w:tcW w:w="0" w:type="auto"/>
            <w:gridSpan w:val="3"/>
            <w:tcMar>
              <w:top w:w="0" w:type="dxa"/>
              <w:left w:w="20" w:type="dxa"/>
              <w:bottom w:w="0" w:type="dxa"/>
              <w:right w:w="20" w:type="dxa"/>
            </w:tcMar>
            <w:vAlign w:val="center"/>
            <w:hideMark/>
          </w:tcPr>
          <w:p w:rsidR="00000000" w:rsidRDefault="001F1FC8">
            <w:pPr>
              <w:jc w:val="right"/>
              <w:rPr>
                <w:rFonts w:eastAsia="Times New Roman"/>
              </w:rPr>
            </w:pPr>
          </w:p>
        </w:tc>
        <w:tc>
          <w:tcPr>
            <w:tcW w:w="0" w:type="auto"/>
            <w:gridSpan w:val="3"/>
            <w:tcMar>
              <w:top w:w="30" w:type="dxa"/>
              <w:left w:w="20" w:type="dxa"/>
              <w:bottom w:w="30" w:type="dxa"/>
              <w:right w:w="20" w:type="dxa"/>
            </w:tcMar>
            <w:hideMark/>
          </w:tcPr>
          <w:p w:rsidR="00000000" w:rsidRDefault="001F1FC8">
            <w:pPr>
              <w:jc w:val="right"/>
              <w:rPr>
                <w:rFonts w:eastAsia="Times New Roman"/>
              </w:rPr>
            </w:pPr>
            <w:r>
              <w:rPr>
                <w:rFonts w:ascii="Arial" w:eastAsia="Times New Roman" w:hAnsi="Arial" w:cs="Arial"/>
                <w:color w:val="000000"/>
                <w:sz w:val="16"/>
                <w:szCs w:val="16"/>
              </w:rPr>
              <w:t>2040</w:t>
            </w:r>
          </w:p>
        </w:tc>
        <w:tc>
          <w:tcPr>
            <w:tcW w:w="0" w:type="auto"/>
            <w:gridSpan w:val="3"/>
            <w:tcMar>
              <w:top w:w="0" w:type="dxa"/>
              <w:left w:w="20" w:type="dxa"/>
              <w:bottom w:w="0" w:type="dxa"/>
              <w:right w:w="20" w:type="dxa"/>
            </w:tcMar>
            <w:vAlign w:val="center"/>
            <w:hideMark/>
          </w:tcPr>
          <w:p w:rsidR="00000000" w:rsidRDefault="001F1FC8">
            <w:pPr>
              <w:jc w:val="right"/>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b/>
                <w:bCs/>
                <w:color w:val="000000"/>
                <w:sz w:val="16"/>
                <w:szCs w:val="16"/>
              </w:rPr>
              <w:t>240</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hideMark/>
          </w:tcPr>
          <w:p w:rsidR="00000000" w:rsidRDefault="001F1FC8">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1F1FC8">
            <w:pPr>
              <w:jc w:val="right"/>
              <w:rPr>
                <w:rFonts w:eastAsia="Times New Roman"/>
                <w:sz w:val="20"/>
                <w:szCs w:val="20"/>
              </w:rPr>
            </w:pPr>
          </w:p>
        </w:tc>
        <w:tc>
          <w:tcPr>
            <w:tcW w:w="0" w:type="auto"/>
            <w:gridSpan w:val="2"/>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color w:val="000000"/>
                <w:sz w:val="16"/>
                <w:szCs w:val="16"/>
              </w:rPr>
              <w:t>257 </w:t>
            </w:r>
          </w:p>
        </w:tc>
        <w:tc>
          <w:tcPr>
            <w:tcW w:w="0" w:type="auto"/>
            <w:tcMar>
              <w:top w:w="30" w:type="dxa"/>
              <w:left w:w="0" w:type="dxa"/>
              <w:bottom w:w="30" w:type="dxa"/>
              <w:right w:w="20" w:type="dxa"/>
            </w:tcMar>
            <w:hideMark/>
          </w:tcPr>
          <w:p w:rsidR="00000000" w:rsidRDefault="001F1FC8">
            <w:pPr>
              <w:jc w:val="right"/>
              <w:rPr>
                <w:rFonts w:eastAsia="Times New Roman"/>
              </w:rPr>
            </w:pPr>
          </w:p>
        </w:tc>
      </w:tr>
      <w:tr w:rsidR="00000000">
        <w:trPr>
          <w:divId w:val="738597104"/>
        </w:trPr>
        <w:tc>
          <w:tcPr>
            <w:tcW w:w="0" w:type="auto"/>
            <w:gridSpan w:val="3"/>
            <w:tcMar>
              <w:top w:w="30" w:type="dxa"/>
              <w:left w:w="20" w:type="dxa"/>
              <w:bottom w:w="30" w:type="dxa"/>
              <w:right w:w="20" w:type="dxa"/>
            </w:tcMar>
            <w:hideMark/>
          </w:tcPr>
          <w:p w:rsidR="00000000" w:rsidRDefault="001F1FC8">
            <w:pPr>
              <w:rPr>
                <w:rFonts w:eastAsia="Times New Roman"/>
              </w:rPr>
            </w:pPr>
            <w:r>
              <w:rPr>
                <w:rFonts w:ascii="Arial" w:eastAsia="Times New Roman" w:hAnsi="Arial" w:cs="Arial"/>
                <w:color w:val="000000"/>
                <w:sz w:val="16"/>
                <w:szCs w:val="16"/>
              </w:rPr>
              <w:t>Spectra Energy Capital, LLC</w:t>
            </w:r>
          </w:p>
        </w:tc>
        <w:tc>
          <w:tcPr>
            <w:tcW w:w="0" w:type="auto"/>
            <w:gridSpan w:val="3"/>
            <w:tcMar>
              <w:top w:w="0" w:type="dxa"/>
              <w:left w:w="20" w:type="dxa"/>
              <w:bottom w:w="0" w:type="dxa"/>
              <w:right w:w="20" w:type="dxa"/>
            </w:tcMar>
            <w:vAlign w:val="center"/>
            <w:hideMark/>
          </w:tcPr>
          <w:p w:rsidR="00000000" w:rsidRDefault="001F1FC8">
            <w:pPr>
              <w:rPr>
                <w:rFonts w:eastAsia="Times New Roman"/>
              </w:rPr>
            </w:pPr>
          </w:p>
        </w:tc>
        <w:tc>
          <w:tcPr>
            <w:tcW w:w="0" w:type="auto"/>
            <w:gridSpan w:val="3"/>
            <w:tcMar>
              <w:top w:w="0" w:type="dxa"/>
              <w:left w:w="20" w:type="dxa"/>
              <w:bottom w:w="0" w:type="dxa"/>
              <w:right w:w="20" w:type="dxa"/>
            </w:tcMar>
            <w:vAlign w:val="center"/>
            <w:hideMark/>
          </w:tcPr>
          <w:p w:rsidR="00000000" w:rsidRDefault="001F1FC8">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1F1FC8">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1F1FC8">
            <w:pPr>
              <w:rPr>
                <w:rFonts w:eastAsia="Times New Roman"/>
                <w:sz w:val="20"/>
                <w:szCs w:val="20"/>
              </w:rPr>
            </w:pPr>
          </w:p>
        </w:tc>
        <w:tc>
          <w:tcPr>
            <w:tcW w:w="0" w:type="auto"/>
            <w:gridSpan w:val="3"/>
            <w:shd w:val="clear" w:color="auto" w:fill="D9D9D9"/>
            <w:tcMar>
              <w:top w:w="0" w:type="dxa"/>
              <w:left w:w="20" w:type="dxa"/>
              <w:bottom w:w="0" w:type="dxa"/>
              <w:right w:w="20" w:type="dxa"/>
            </w:tcMar>
            <w:vAlign w:val="center"/>
            <w:hideMark/>
          </w:tcPr>
          <w:p w:rsidR="00000000" w:rsidRDefault="001F1FC8">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1F1FC8">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1F1FC8">
            <w:pPr>
              <w:rPr>
                <w:rFonts w:eastAsia="Times New Roman"/>
                <w:sz w:val="20"/>
                <w:szCs w:val="20"/>
              </w:rPr>
            </w:pPr>
          </w:p>
        </w:tc>
      </w:tr>
      <w:tr w:rsidR="00000000">
        <w:trPr>
          <w:divId w:val="738597104"/>
        </w:trPr>
        <w:tc>
          <w:tcPr>
            <w:tcW w:w="0" w:type="auto"/>
            <w:gridSpan w:val="3"/>
            <w:tcMar>
              <w:top w:w="30" w:type="dxa"/>
              <w:left w:w="20" w:type="dxa"/>
              <w:bottom w:w="30" w:type="dxa"/>
              <w:right w:w="20" w:type="dxa"/>
            </w:tcMar>
            <w:hideMark/>
          </w:tcPr>
          <w:p w:rsidR="00000000" w:rsidRDefault="001F1FC8">
            <w:pPr>
              <w:ind w:firstLine="180"/>
              <w:divId w:val="1188788259"/>
              <w:rPr>
                <w:rFonts w:eastAsia="Times New Roman"/>
              </w:rPr>
            </w:pPr>
            <w:r>
              <w:rPr>
                <w:rFonts w:ascii="Arial" w:eastAsia="Times New Roman" w:hAnsi="Arial" w:cs="Arial"/>
                <w:color w:val="000000"/>
                <w:sz w:val="16"/>
                <w:szCs w:val="16"/>
              </w:rPr>
              <w:t>Senior notes</w:t>
            </w:r>
          </w:p>
        </w:tc>
        <w:tc>
          <w:tcPr>
            <w:tcW w:w="0" w:type="auto"/>
            <w:gridSpan w:val="2"/>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color w:val="000000"/>
                <w:sz w:val="16"/>
                <w:szCs w:val="16"/>
              </w:rPr>
              <w:t>7.0 </w:t>
            </w:r>
          </w:p>
        </w:tc>
        <w:tc>
          <w:tcPr>
            <w:tcW w:w="0" w:type="auto"/>
            <w:tcMar>
              <w:top w:w="30" w:type="dxa"/>
              <w:left w:w="0" w:type="dxa"/>
              <w:bottom w:w="30" w:type="dxa"/>
              <w:right w:w="20" w:type="dxa"/>
            </w:tcMar>
            <w:hideMark/>
          </w:tcPr>
          <w:p w:rsidR="00000000" w:rsidRDefault="001F1FC8">
            <w:pPr>
              <w:jc w:val="right"/>
              <w:rPr>
                <w:rFonts w:eastAsia="Times New Roman"/>
              </w:rPr>
            </w:pPr>
            <w:r>
              <w:rPr>
                <w:rFonts w:ascii="Arial" w:eastAsia="Times New Roman" w:hAnsi="Arial" w:cs="Arial"/>
                <w:color w:val="000000"/>
                <w:sz w:val="16"/>
                <w:szCs w:val="16"/>
              </w:rPr>
              <w:t>%</w:t>
            </w:r>
          </w:p>
        </w:tc>
        <w:tc>
          <w:tcPr>
            <w:tcW w:w="0" w:type="auto"/>
            <w:gridSpan w:val="3"/>
            <w:tcMar>
              <w:top w:w="0" w:type="dxa"/>
              <w:left w:w="20" w:type="dxa"/>
              <w:bottom w:w="0" w:type="dxa"/>
              <w:right w:w="20" w:type="dxa"/>
            </w:tcMar>
            <w:vAlign w:val="center"/>
            <w:hideMark/>
          </w:tcPr>
          <w:p w:rsidR="00000000" w:rsidRDefault="001F1FC8">
            <w:pPr>
              <w:jc w:val="right"/>
              <w:rPr>
                <w:rFonts w:eastAsia="Times New Roman"/>
              </w:rPr>
            </w:pPr>
          </w:p>
        </w:tc>
        <w:tc>
          <w:tcPr>
            <w:tcW w:w="0" w:type="auto"/>
            <w:gridSpan w:val="3"/>
            <w:tcMar>
              <w:top w:w="30" w:type="dxa"/>
              <w:left w:w="20" w:type="dxa"/>
              <w:bottom w:w="30" w:type="dxa"/>
              <w:right w:w="20" w:type="dxa"/>
            </w:tcMar>
            <w:hideMark/>
          </w:tcPr>
          <w:p w:rsidR="00000000" w:rsidRDefault="001F1FC8">
            <w:pPr>
              <w:jc w:val="right"/>
              <w:rPr>
                <w:rFonts w:eastAsia="Times New Roman"/>
              </w:rPr>
            </w:pPr>
            <w:r>
              <w:rPr>
                <w:rFonts w:ascii="Arial" w:eastAsia="Times New Roman" w:hAnsi="Arial" w:cs="Arial"/>
                <w:color w:val="000000"/>
                <w:sz w:val="16"/>
                <w:szCs w:val="16"/>
              </w:rPr>
              <w:t>2032 - 2038</w:t>
            </w:r>
          </w:p>
        </w:tc>
        <w:tc>
          <w:tcPr>
            <w:tcW w:w="0" w:type="auto"/>
            <w:gridSpan w:val="3"/>
            <w:tcMar>
              <w:top w:w="0" w:type="dxa"/>
              <w:left w:w="20" w:type="dxa"/>
              <w:bottom w:w="0" w:type="dxa"/>
              <w:right w:w="20" w:type="dxa"/>
            </w:tcMar>
            <w:vAlign w:val="center"/>
            <w:hideMark/>
          </w:tcPr>
          <w:p w:rsidR="00000000" w:rsidRDefault="001F1FC8">
            <w:pPr>
              <w:jc w:val="right"/>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b/>
                <w:bCs/>
                <w:color w:val="000000"/>
                <w:sz w:val="16"/>
                <w:szCs w:val="16"/>
              </w:rPr>
              <w:t>218</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hideMark/>
          </w:tcPr>
          <w:p w:rsidR="00000000" w:rsidRDefault="001F1FC8">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1F1FC8">
            <w:pPr>
              <w:jc w:val="right"/>
              <w:rPr>
                <w:rFonts w:eastAsia="Times New Roman"/>
                <w:sz w:val="20"/>
                <w:szCs w:val="20"/>
              </w:rPr>
            </w:pPr>
          </w:p>
        </w:tc>
        <w:tc>
          <w:tcPr>
            <w:tcW w:w="0" w:type="auto"/>
            <w:gridSpan w:val="2"/>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color w:val="000000"/>
                <w:sz w:val="16"/>
                <w:szCs w:val="16"/>
              </w:rPr>
              <w:t>220 </w:t>
            </w:r>
          </w:p>
        </w:tc>
        <w:tc>
          <w:tcPr>
            <w:tcW w:w="0" w:type="auto"/>
            <w:tcMar>
              <w:top w:w="30" w:type="dxa"/>
              <w:left w:w="0" w:type="dxa"/>
              <w:bottom w:w="30" w:type="dxa"/>
              <w:right w:w="20" w:type="dxa"/>
            </w:tcMar>
            <w:hideMark/>
          </w:tcPr>
          <w:p w:rsidR="00000000" w:rsidRDefault="001F1FC8">
            <w:pPr>
              <w:jc w:val="right"/>
              <w:rPr>
                <w:rFonts w:eastAsia="Times New Roman"/>
              </w:rPr>
            </w:pPr>
          </w:p>
        </w:tc>
      </w:tr>
      <w:tr w:rsidR="00000000">
        <w:trPr>
          <w:divId w:val="738597104"/>
        </w:trPr>
        <w:tc>
          <w:tcPr>
            <w:tcW w:w="0" w:type="auto"/>
            <w:gridSpan w:val="3"/>
            <w:tcMar>
              <w:top w:w="30" w:type="dxa"/>
              <w:left w:w="20" w:type="dxa"/>
              <w:bottom w:w="30" w:type="dxa"/>
              <w:right w:w="20" w:type="dxa"/>
            </w:tcMar>
            <w:hideMark/>
          </w:tcPr>
          <w:p w:rsidR="00000000" w:rsidRDefault="001F1FC8">
            <w:pPr>
              <w:rPr>
                <w:rFonts w:eastAsia="Times New Roman"/>
              </w:rPr>
            </w:pPr>
            <w:r>
              <w:rPr>
                <w:rFonts w:ascii="Arial" w:eastAsia="Times New Roman" w:hAnsi="Arial" w:cs="Arial"/>
                <w:color w:val="000000"/>
                <w:sz w:val="16"/>
                <w:szCs w:val="16"/>
              </w:rPr>
              <w:t>Spectra Energy Partners, LP</w:t>
            </w:r>
          </w:p>
        </w:tc>
        <w:tc>
          <w:tcPr>
            <w:tcW w:w="0" w:type="auto"/>
            <w:gridSpan w:val="3"/>
            <w:tcMar>
              <w:top w:w="0" w:type="dxa"/>
              <w:left w:w="20" w:type="dxa"/>
              <w:bottom w:w="0" w:type="dxa"/>
              <w:right w:w="20" w:type="dxa"/>
            </w:tcMar>
            <w:vAlign w:val="center"/>
            <w:hideMark/>
          </w:tcPr>
          <w:p w:rsidR="00000000" w:rsidRDefault="001F1FC8">
            <w:pPr>
              <w:rPr>
                <w:rFonts w:eastAsia="Times New Roman"/>
              </w:rPr>
            </w:pPr>
          </w:p>
        </w:tc>
        <w:tc>
          <w:tcPr>
            <w:tcW w:w="0" w:type="auto"/>
            <w:gridSpan w:val="3"/>
            <w:tcMar>
              <w:top w:w="0" w:type="dxa"/>
              <w:left w:w="20" w:type="dxa"/>
              <w:bottom w:w="0" w:type="dxa"/>
              <w:right w:w="20" w:type="dxa"/>
            </w:tcMar>
            <w:vAlign w:val="center"/>
            <w:hideMark/>
          </w:tcPr>
          <w:p w:rsidR="00000000" w:rsidRDefault="001F1FC8">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1F1FC8">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1F1FC8">
            <w:pPr>
              <w:rPr>
                <w:rFonts w:eastAsia="Times New Roman"/>
                <w:sz w:val="20"/>
                <w:szCs w:val="20"/>
              </w:rPr>
            </w:pPr>
          </w:p>
        </w:tc>
        <w:tc>
          <w:tcPr>
            <w:tcW w:w="0" w:type="auto"/>
            <w:gridSpan w:val="3"/>
            <w:shd w:val="clear" w:color="auto" w:fill="D9D9D9"/>
            <w:tcMar>
              <w:top w:w="0" w:type="dxa"/>
              <w:left w:w="20" w:type="dxa"/>
              <w:bottom w:w="0" w:type="dxa"/>
              <w:right w:w="20" w:type="dxa"/>
            </w:tcMar>
            <w:vAlign w:val="center"/>
            <w:hideMark/>
          </w:tcPr>
          <w:p w:rsidR="00000000" w:rsidRDefault="001F1FC8">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1F1FC8">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1F1FC8">
            <w:pPr>
              <w:rPr>
                <w:rFonts w:eastAsia="Times New Roman"/>
                <w:sz w:val="20"/>
                <w:szCs w:val="20"/>
              </w:rPr>
            </w:pPr>
          </w:p>
        </w:tc>
      </w:tr>
      <w:tr w:rsidR="00000000">
        <w:trPr>
          <w:divId w:val="738597104"/>
        </w:trPr>
        <w:tc>
          <w:tcPr>
            <w:tcW w:w="0" w:type="auto"/>
            <w:gridSpan w:val="3"/>
            <w:tcMar>
              <w:top w:w="30" w:type="dxa"/>
              <w:left w:w="20" w:type="dxa"/>
              <w:bottom w:w="30" w:type="dxa"/>
              <w:right w:w="20" w:type="dxa"/>
            </w:tcMar>
            <w:hideMark/>
          </w:tcPr>
          <w:p w:rsidR="00000000" w:rsidRDefault="001F1FC8">
            <w:pPr>
              <w:ind w:firstLine="180"/>
              <w:rPr>
                <w:rFonts w:eastAsia="Times New Roman"/>
              </w:rPr>
            </w:pPr>
            <w:r>
              <w:rPr>
                <w:rFonts w:ascii="Arial" w:eastAsia="Times New Roman" w:hAnsi="Arial" w:cs="Arial"/>
                <w:color w:val="000000"/>
                <w:sz w:val="16"/>
                <w:szCs w:val="16"/>
              </w:rPr>
              <w:t>Senior notes</w:t>
            </w:r>
          </w:p>
        </w:tc>
        <w:tc>
          <w:tcPr>
            <w:tcW w:w="0" w:type="auto"/>
            <w:gridSpan w:val="2"/>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color w:val="000000"/>
                <w:sz w:val="16"/>
                <w:szCs w:val="16"/>
              </w:rPr>
              <w:t>3.9 </w:t>
            </w:r>
          </w:p>
        </w:tc>
        <w:tc>
          <w:tcPr>
            <w:tcW w:w="0" w:type="auto"/>
            <w:tcMar>
              <w:top w:w="30" w:type="dxa"/>
              <w:left w:w="0" w:type="dxa"/>
              <w:bottom w:w="30" w:type="dxa"/>
              <w:right w:w="20" w:type="dxa"/>
            </w:tcMar>
            <w:hideMark/>
          </w:tcPr>
          <w:p w:rsidR="00000000" w:rsidRDefault="001F1FC8">
            <w:pPr>
              <w:jc w:val="right"/>
              <w:rPr>
                <w:rFonts w:eastAsia="Times New Roman"/>
              </w:rPr>
            </w:pPr>
            <w:r>
              <w:rPr>
                <w:rFonts w:ascii="Arial" w:eastAsia="Times New Roman" w:hAnsi="Arial" w:cs="Arial"/>
                <w:color w:val="000000"/>
                <w:sz w:val="16"/>
                <w:szCs w:val="16"/>
              </w:rPr>
              <w:t>%</w:t>
            </w:r>
          </w:p>
        </w:tc>
        <w:tc>
          <w:tcPr>
            <w:tcW w:w="0" w:type="auto"/>
            <w:gridSpan w:val="3"/>
            <w:tcMar>
              <w:top w:w="0" w:type="dxa"/>
              <w:left w:w="20" w:type="dxa"/>
              <w:bottom w:w="0" w:type="dxa"/>
              <w:right w:w="20" w:type="dxa"/>
            </w:tcMar>
            <w:vAlign w:val="center"/>
            <w:hideMark/>
          </w:tcPr>
          <w:p w:rsidR="00000000" w:rsidRDefault="001F1FC8">
            <w:pPr>
              <w:jc w:val="right"/>
              <w:rPr>
                <w:rFonts w:eastAsia="Times New Roman"/>
              </w:rPr>
            </w:pPr>
          </w:p>
        </w:tc>
        <w:tc>
          <w:tcPr>
            <w:tcW w:w="0" w:type="auto"/>
            <w:gridSpan w:val="3"/>
            <w:tcMar>
              <w:top w:w="30" w:type="dxa"/>
              <w:left w:w="20" w:type="dxa"/>
              <w:bottom w:w="30" w:type="dxa"/>
              <w:right w:w="20" w:type="dxa"/>
            </w:tcMar>
            <w:hideMark/>
          </w:tcPr>
          <w:p w:rsidR="00000000" w:rsidRDefault="001F1FC8">
            <w:pPr>
              <w:jc w:val="right"/>
              <w:rPr>
                <w:rFonts w:eastAsia="Times New Roman"/>
              </w:rPr>
            </w:pPr>
            <w:r>
              <w:rPr>
                <w:rFonts w:ascii="Arial" w:eastAsia="Times New Roman" w:hAnsi="Arial" w:cs="Arial"/>
                <w:color w:val="000000"/>
                <w:sz w:val="16"/>
                <w:szCs w:val="16"/>
              </w:rPr>
              <w:t>2022 - 2048</w:t>
            </w:r>
          </w:p>
        </w:tc>
        <w:tc>
          <w:tcPr>
            <w:tcW w:w="0" w:type="auto"/>
            <w:gridSpan w:val="3"/>
            <w:tcMar>
              <w:top w:w="0" w:type="dxa"/>
              <w:left w:w="20" w:type="dxa"/>
              <w:bottom w:w="0" w:type="dxa"/>
              <w:right w:w="20" w:type="dxa"/>
            </w:tcMar>
            <w:vAlign w:val="center"/>
            <w:hideMark/>
          </w:tcPr>
          <w:p w:rsidR="00000000" w:rsidRDefault="001F1FC8">
            <w:pPr>
              <w:jc w:val="right"/>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b/>
                <w:bCs/>
                <w:color w:val="000000"/>
                <w:sz w:val="16"/>
                <w:szCs w:val="16"/>
              </w:rPr>
              <w:t>8,451</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hideMark/>
          </w:tcPr>
          <w:p w:rsidR="00000000" w:rsidRDefault="001F1FC8">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1F1FC8">
            <w:pPr>
              <w:jc w:val="right"/>
              <w:rPr>
                <w:rFonts w:eastAsia="Times New Roman"/>
                <w:sz w:val="20"/>
                <w:szCs w:val="20"/>
              </w:rPr>
            </w:pPr>
          </w:p>
        </w:tc>
        <w:tc>
          <w:tcPr>
            <w:tcW w:w="0" w:type="auto"/>
            <w:gridSpan w:val="2"/>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color w:val="000000"/>
                <w:sz w:val="16"/>
                <w:szCs w:val="16"/>
              </w:rPr>
              <w:t>8,332 </w:t>
            </w:r>
          </w:p>
        </w:tc>
        <w:tc>
          <w:tcPr>
            <w:tcW w:w="0" w:type="auto"/>
            <w:tcMar>
              <w:top w:w="30" w:type="dxa"/>
              <w:left w:w="0" w:type="dxa"/>
              <w:bottom w:w="30" w:type="dxa"/>
              <w:right w:w="20" w:type="dxa"/>
            </w:tcMar>
            <w:hideMark/>
          </w:tcPr>
          <w:p w:rsidR="00000000" w:rsidRDefault="001F1FC8">
            <w:pPr>
              <w:jc w:val="right"/>
              <w:rPr>
                <w:rFonts w:eastAsia="Times New Roman"/>
              </w:rPr>
            </w:pPr>
          </w:p>
        </w:tc>
      </w:tr>
      <w:tr w:rsidR="00000000">
        <w:trPr>
          <w:divId w:val="738597104"/>
        </w:trPr>
        <w:tc>
          <w:tcPr>
            <w:tcW w:w="0" w:type="auto"/>
            <w:gridSpan w:val="3"/>
            <w:tcMar>
              <w:top w:w="30" w:type="dxa"/>
              <w:left w:w="20" w:type="dxa"/>
              <w:bottom w:w="30" w:type="dxa"/>
              <w:right w:w="20" w:type="dxa"/>
            </w:tcMar>
            <w:hideMark/>
          </w:tcPr>
          <w:p w:rsidR="00000000" w:rsidRDefault="001F1FC8">
            <w:pPr>
              <w:rPr>
                <w:rFonts w:eastAsia="Times New Roman"/>
              </w:rPr>
            </w:pPr>
            <w:r>
              <w:rPr>
                <w:rFonts w:ascii="Arial" w:eastAsia="Times New Roman" w:hAnsi="Arial" w:cs="Arial"/>
                <w:color w:val="000000"/>
                <w:sz w:val="16"/>
                <w:szCs w:val="16"/>
              </w:rPr>
              <w:t>Westcoast Energy Inc.</w:t>
            </w:r>
          </w:p>
        </w:tc>
        <w:tc>
          <w:tcPr>
            <w:tcW w:w="0" w:type="auto"/>
            <w:gridSpan w:val="3"/>
            <w:tcMar>
              <w:top w:w="0" w:type="dxa"/>
              <w:left w:w="20" w:type="dxa"/>
              <w:bottom w:w="0" w:type="dxa"/>
              <w:right w:w="20" w:type="dxa"/>
            </w:tcMar>
            <w:vAlign w:val="center"/>
            <w:hideMark/>
          </w:tcPr>
          <w:p w:rsidR="00000000" w:rsidRDefault="001F1FC8">
            <w:pPr>
              <w:rPr>
                <w:rFonts w:eastAsia="Times New Roman"/>
              </w:rPr>
            </w:pPr>
          </w:p>
        </w:tc>
        <w:tc>
          <w:tcPr>
            <w:tcW w:w="0" w:type="auto"/>
            <w:gridSpan w:val="3"/>
            <w:tcMar>
              <w:top w:w="0" w:type="dxa"/>
              <w:left w:w="20" w:type="dxa"/>
              <w:bottom w:w="0" w:type="dxa"/>
              <w:right w:w="20" w:type="dxa"/>
            </w:tcMar>
            <w:vAlign w:val="center"/>
            <w:hideMark/>
          </w:tcPr>
          <w:p w:rsidR="00000000" w:rsidRDefault="001F1FC8">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1F1FC8">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1F1FC8">
            <w:pPr>
              <w:rPr>
                <w:rFonts w:eastAsia="Times New Roman"/>
                <w:sz w:val="20"/>
                <w:szCs w:val="20"/>
              </w:rPr>
            </w:pPr>
          </w:p>
        </w:tc>
        <w:tc>
          <w:tcPr>
            <w:tcW w:w="0" w:type="auto"/>
            <w:gridSpan w:val="3"/>
            <w:shd w:val="clear" w:color="auto" w:fill="D9D9D9"/>
            <w:tcMar>
              <w:top w:w="0" w:type="dxa"/>
              <w:left w:w="20" w:type="dxa"/>
              <w:bottom w:w="0" w:type="dxa"/>
              <w:right w:w="20" w:type="dxa"/>
            </w:tcMar>
            <w:vAlign w:val="center"/>
            <w:hideMark/>
          </w:tcPr>
          <w:p w:rsidR="00000000" w:rsidRDefault="001F1FC8">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1F1FC8">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1F1FC8">
            <w:pPr>
              <w:rPr>
                <w:rFonts w:eastAsia="Times New Roman"/>
                <w:sz w:val="20"/>
                <w:szCs w:val="20"/>
              </w:rPr>
            </w:pPr>
          </w:p>
        </w:tc>
      </w:tr>
      <w:tr w:rsidR="00000000">
        <w:trPr>
          <w:divId w:val="738597104"/>
        </w:trPr>
        <w:tc>
          <w:tcPr>
            <w:tcW w:w="0" w:type="auto"/>
            <w:gridSpan w:val="3"/>
            <w:tcMar>
              <w:top w:w="30" w:type="dxa"/>
              <w:left w:w="20" w:type="dxa"/>
              <w:bottom w:w="30" w:type="dxa"/>
              <w:right w:w="20" w:type="dxa"/>
            </w:tcMar>
            <w:hideMark/>
          </w:tcPr>
          <w:p w:rsidR="00000000" w:rsidRDefault="001F1FC8">
            <w:pPr>
              <w:ind w:firstLine="180"/>
              <w:divId w:val="2078628081"/>
              <w:rPr>
                <w:rFonts w:eastAsia="Times New Roman"/>
              </w:rPr>
            </w:pPr>
            <w:r>
              <w:rPr>
                <w:rFonts w:ascii="Arial" w:eastAsia="Times New Roman" w:hAnsi="Arial" w:cs="Arial"/>
                <w:color w:val="000000"/>
                <w:sz w:val="16"/>
                <w:szCs w:val="16"/>
              </w:rPr>
              <w:t>Medium-term notes</w:t>
            </w:r>
          </w:p>
        </w:tc>
        <w:tc>
          <w:tcPr>
            <w:tcW w:w="0" w:type="auto"/>
            <w:gridSpan w:val="2"/>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color w:val="000000"/>
                <w:sz w:val="16"/>
                <w:szCs w:val="16"/>
              </w:rPr>
              <w:t>4.5 </w:t>
            </w:r>
          </w:p>
        </w:tc>
        <w:tc>
          <w:tcPr>
            <w:tcW w:w="0" w:type="auto"/>
            <w:tcMar>
              <w:top w:w="30" w:type="dxa"/>
              <w:left w:w="0" w:type="dxa"/>
              <w:bottom w:w="30" w:type="dxa"/>
              <w:right w:w="20" w:type="dxa"/>
            </w:tcMar>
            <w:hideMark/>
          </w:tcPr>
          <w:p w:rsidR="00000000" w:rsidRDefault="001F1FC8">
            <w:pPr>
              <w:jc w:val="right"/>
              <w:rPr>
                <w:rFonts w:eastAsia="Times New Roman"/>
              </w:rPr>
            </w:pPr>
            <w:r>
              <w:rPr>
                <w:rFonts w:ascii="Arial" w:eastAsia="Times New Roman" w:hAnsi="Arial" w:cs="Arial"/>
                <w:color w:val="000000"/>
                <w:sz w:val="16"/>
                <w:szCs w:val="16"/>
              </w:rPr>
              <w:t>%</w:t>
            </w:r>
          </w:p>
        </w:tc>
        <w:tc>
          <w:tcPr>
            <w:tcW w:w="0" w:type="auto"/>
            <w:gridSpan w:val="3"/>
            <w:tcMar>
              <w:top w:w="0" w:type="dxa"/>
              <w:left w:w="20" w:type="dxa"/>
              <w:bottom w:w="0" w:type="dxa"/>
              <w:right w:w="20" w:type="dxa"/>
            </w:tcMar>
            <w:vAlign w:val="center"/>
            <w:hideMark/>
          </w:tcPr>
          <w:p w:rsidR="00000000" w:rsidRDefault="001F1FC8">
            <w:pPr>
              <w:jc w:val="right"/>
              <w:rPr>
                <w:rFonts w:eastAsia="Times New Roman"/>
              </w:rPr>
            </w:pPr>
          </w:p>
        </w:tc>
        <w:tc>
          <w:tcPr>
            <w:tcW w:w="0" w:type="auto"/>
            <w:gridSpan w:val="3"/>
            <w:tcMar>
              <w:top w:w="30" w:type="dxa"/>
              <w:left w:w="20" w:type="dxa"/>
              <w:bottom w:w="30" w:type="dxa"/>
              <w:right w:w="20" w:type="dxa"/>
            </w:tcMar>
            <w:hideMark/>
          </w:tcPr>
          <w:p w:rsidR="00000000" w:rsidRDefault="001F1FC8">
            <w:pPr>
              <w:jc w:val="right"/>
              <w:rPr>
                <w:rFonts w:eastAsia="Times New Roman"/>
              </w:rPr>
            </w:pPr>
            <w:r>
              <w:rPr>
                <w:rFonts w:ascii="Arial" w:eastAsia="Times New Roman" w:hAnsi="Arial" w:cs="Arial"/>
                <w:color w:val="000000"/>
                <w:sz w:val="16"/>
                <w:szCs w:val="16"/>
              </w:rPr>
              <w:t>2022 - 2041</w:t>
            </w:r>
          </w:p>
        </w:tc>
        <w:tc>
          <w:tcPr>
            <w:tcW w:w="0" w:type="auto"/>
            <w:gridSpan w:val="3"/>
            <w:tcMar>
              <w:top w:w="0" w:type="dxa"/>
              <w:left w:w="20" w:type="dxa"/>
              <w:bottom w:w="0" w:type="dxa"/>
              <w:right w:w="20" w:type="dxa"/>
            </w:tcMar>
            <w:vAlign w:val="center"/>
            <w:hideMark/>
          </w:tcPr>
          <w:p w:rsidR="00000000" w:rsidRDefault="001F1FC8">
            <w:pPr>
              <w:jc w:val="right"/>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b/>
                <w:bCs/>
                <w:color w:val="000000"/>
                <w:sz w:val="16"/>
                <w:szCs w:val="16"/>
              </w:rPr>
              <w:t>1,475</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hideMark/>
          </w:tcPr>
          <w:p w:rsidR="00000000" w:rsidRDefault="001F1FC8">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1F1FC8">
            <w:pPr>
              <w:jc w:val="right"/>
              <w:rPr>
                <w:rFonts w:eastAsia="Times New Roman"/>
                <w:sz w:val="20"/>
                <w:szCs w:val="20"/>
              </w:rPr>
            </w:pPr>
          </w:p>
        </w:tc>
        <w:tc>
          <w:tcPr>
            <w:tcW w:w="0" w:type="auto"/>
            <w:gridSpan w:val="2"/>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color w:val="000000"/>
                <w:sz w:val="16"/>
                <w:szCs w:val="16"/>
              </w:rPr>
              <w:t>1,625 </w:t>
            </w:r>
          </w:p>
        </w:tc>
        <w:tc>
          <w:tcPr>
            <w:tcW w:w="0" w:type="auto"/>
            <w:tcMar>
              <w:top w:w="30" w:type="dxa"/>
              <w:left w:w="0" w:type="dxa"/>
              <w:bottom w:w="30" w:type="dxa"/>
              <w:right w:w="20" w:type="dxa"/>
            </w:tcMar>
            <w:hideMark/>
          </w:tcPr>
          <w:p w:rsidR="00000000" w:rsidRDefault="001F1FC8">
            <w:pPr>
              <w:jc w:val="right"/>
              <w:rPr>
                <w:rFonts w:eastAsia="Times New Roman"/>
              </w:rPr>
            </w:pPr>
          </w:p>
        </w:tc>
      </w:tr>
      <w:tr w:rsidR="00000000">
        <w:trPr>
          <w:divId w:val="738597104"/>
        </w:trPr>
        <w:tc>
          <w:tcPr>
            <w:tcW w:w="0" w:type="auto"/>
            <w:gridSpan w:val="3"/>
            <w:tcMar>
              <w:top w:w="30" w:type="dxa"/>
              <w:left w:w="20" w:type="dxa"/>
              <w:bottom w:w="30" w:type="dxa"/>
              <w:right w:w="20" w:type="dxa"/>
            </w:tcMar>
            <w:hideMark/>
          </w:tcPr>
          <w:p w:rsidR="00000000" w:rsidRDefault="001F1FC8">
            <w:pPr>
              <w:ind w:firstLine="180"/>
              <w:divId w:val="948008056"/>
              <w:rPr>
                <w:rFonts w:eastAsia="Times New Roman"/>
              </w:rPr>
            </w:pPr>
            <w:r>
              <w:rPr>
                <w:rFonts w:ascii="Arial" w:eastAsia="Times New Roman" w:hAnsi="Arial" w:cs="Arial"/>
                <w:color w:val="000000"/>
                <w:sz w:val="16"/>
                <w:szCs w:val="16"/>
              </w:rPr>
              <w:t xml:space="preserve">Debentures </w:t>
            </w:r>
          </w:p>
        </w:tc>
        <w:tc>
          <w:tcPr>
            <w:tcW w:w="0" w:type="auto"/>
            <w:gridSpan w:val="2"/>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color w:val="000000"/>
                <w:sz w:val="16"/>
                <w:szCs w:val="16"/>
              </w:rPr>
              <w:t>8.1 </w:t>
            </w:r>
          </w:p>
        </w:tc>
        <w:tc>
          <w:tcPr>
            <w:tcW w:w="0" w:type="auto"/>
            <w:tcMar>
              <w:top w:w="30" w:type="dxa"/>
              <w:left w:w="0" w:type="dxa"/>
              <w:bottom w:w="30" w:type="dxa"/>
              <w:right w:w="20" w:type="dxa"/>
            </w:tcMar>
            <w:hideMark/>
          </w:tcPr>
          <w:p w:rsidR="00000000" w:rsidRDefault="001F1FC8">
            <w:pPr>
              <w:jc w:val="right"/>
              <w:rPr>
                <w:rFonts w:eastAsia="Times New Roman"/>
              </w:rPr>
            </w:pPr>
            <w:r>
              <w:rPr>
                <w:rFonts w:ascii="Arial" w:eastAsia="Times New Roman" w:hAnsi="Arial" w:cs="Arial"/>
                <w:color w:val="000000"/>
                <w:sz w:val="16"/>
                <w:szCs w:val="16"/>
              </w:rPr>
              <w:t>%</w:t>
            </w:r>
          </w:p>
        </w:tc>
        <w:tc>
          <w:tcPr>
            <w:tcW w:w="0" w:type="auto"/>
            <w:gridSpan w:val="3"/>
            <w:tcMar>
              <w:top w:w="0" w:type="dxa"/>
              <w:left w:w="20" w:type="dxa"/>
              <w:bottom w:w="0" w:type="dxa"/>
              <w:right w:w="20" w:type="dxa"/>
            </w:tcMar>
            <w:vAlign w:val="center"/>
            <w:hideMark/>
          </w:tcPr>
          <w:p w:rsidR="00000000" w:rsidRDefault="001F1FC8">
            <w:pPr>
              <w:jc w:val="right"/>
              <w:rPr>
                <w:rFonts w:eastAsia="Times New Roman"/>
              </w:rPr>
            </w:pPr>
          </w:p>
        </w:tc>
        <w:tc>
          <w:tcPr>
            <w:tcW w:w="0" w:type="auto"/>
            <w:gridSpan w:val="3"/>
            <w:tcMar>
              <w:top w:w="30" w:type="dxa"/>
              <w:left w:w="20" w:type="dxa"/>
              <w:bottom w:w="30" w:type="dxa"/>
              <w:right w:w="20" w:type="dxa"/>
            </w:tcMar>
            <w:hideMark/>
          </w:tcPr>
          <w:p w:rsidR="00000000" w:rsidRDefault="001F1FC8">
            <w:pPr>
              <w:jc w:val="right"/>
              <w:rPr>
                <w:rFonts w:eastAsia="Times New Roman"/>
              </w:rPr>
            </w:pPr>
            <w:r>
              <w:rPr>
                <w:rFonts w:ascii="Arial" w:eastAsia="Times New Roman" w:hAnsi="Arial" w:cs="Arial"/>
                <w:color w:val="000000"/>
                <w:sz w:val="16"/>
                <w:szCs w:val="16"/>
              </w:rPr>
              <w:t>2025 - 2026</w:t>
            </w:r>
          </w:p>
        </w:tc>
        <w:tc>
          <w:tcPr>
            <w:tcW w:w="0" w:type="auto"/>
            <w:gridSpan w:val="3"/>
            <w:tcMar>
              <w:top w:w="0" w:type="dxa"/>
              <w:left w:w="20" w:type="dxa"/>
              <w:bottom w:w="0" w:type="dxa"/>
              <w:right w:w="20" w:type="dxa"/>
            </w:tcMar>
            <w:vAlign w:val="center"/>
            <w:hideMark/>
          </w:tcPr>
          <w:p w:rsidR="00000000" w:rsidRDefault="001F1FC8">
            <w:pPr>
              <w:jc w:val="right"/>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b/>
                <w:bCs/>
                <w:color w:val="000000"/>
                <w:sz w:val="16"/>
                <w:szCs w:val="16"/>
              </w:rPr>
              <w:t>275</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hideMark/>
          </w:tcPr>
          <w:p w:rsidR="00000000" w:rsidRDefault="001F1FC8">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1F1FC8">
            <w:pPr>
              <w:jc w:val="right"/>
              <w:rPr>
                <w:rFonts w:eastAsia="Times New Roman"/>
                <w:sz w:val="20"/>
                <w:szCs w:val="20"/>
              </w:rPr>
            </w:pPr>
          </w:p>
        </w:tc>
        <w:tc>
          <w:tcPr>
            <w:tcW w:w="0" w:type="auto"/>
            <w:gridSpan w:val="2"/>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color w:val="000000"/>
                <w:sz w:val="16"/>
                <w:szCs w:val="16"/>
              </w:rPr>
              <w:t>275 </w:t>
            </w:r>
          </w:p>
        </w:tc>
        <w:tc>
          <w:tcPr>
            <w:tcW w:w="0" w:type="auto"/>
            <w:tcMar>
              <w:top w:w="30" w:type="dxa"/>
              <w:left w:w="0" w:type="dxa"/>
              <w:bottom w:w="30" w:type="dxa"/>
              <w:right w:w="20" w:type="dxa"/>
            </w:tcMar>
            <w:hideMark/>
          </w:tcPr>
          <w:p w:rsidR="00000000" w:rsidRDefault="001F1FC8">
            <w:pPr>
              <w:jc w:val="right"/>
              <w:rPr>
                <w:rFonts w:eastAsia="Times New Roman"/>
              </w:rPr>
            </w:pPr>
          </w:p>
        </w:tc>
      </w:tr>
      <w:tr w:rsidR="00000000">
        <w:trPr>
          <w:divId w:val="738597104"/>
        </w:trPr>
        <w:tc>
          <w:tcPr>
            <w:tcW w:w="0" w:type="auto"/>
            <w:gridSpan w:val="3"/>
            <w:tcMar>
              <w:top w:w="30" w:type="dxa"/>
              <w:left w:w="200" w:type="dxa"/>
              <w:bottom w:w="30" w:type="dxa"/>
              <w:right w:w="20" w:type="dxa"/>
            </w:tcMar>
            <w:hideMark/>
          </w:tcPr>
          <w:p w:rsidR="00000000" w:rsidRDefault="001F1FC8">
            <w:pPr>
              <w:ind w:hanging="180"/>
              <w:rPr>
                <w:rFonts w:eastAsia="Times New Roman"/>
              </w:rPr>
            </w:pPr>
            <w:r>
              <w:rPr>
                <w:rFonts w:ascii="Arial" w:eastAsia="Times New Roman" w:hAnsi="Arial" w:cs="Arial"/>
                <w:color w:val="000000"/>
                <w:sz w:val="16"/>
                <w:szCs w:val="16"/>
              </w:rPr>
              <w:t xml:space="preserve">Fair value adjustment </w:t>
            </w:r>
          </w:p>
        </w:tc>
        <w:tc>
          <w:tcPr>
            <w:tcW w:w="0" w:type="auto"/>
            <w:gridSpan w:val="3"/>
            <w:tcMar>
              <w:top w:w="0" w:type="dxa"/>
              <w:left w:w="20" w:type="dxa"/>
              <w:bottom w:w="0" w:type="dxa"/>
              <w:right w:w="20" w:type="dxa"/>
            </w:tcMar>
            <w:vAlign w:val="center"/>
            <w:hideMark/>
          </w:tcPr>
          <w:p w:rsidR="00000000" w:rsidRDefault="001F1FC8">
            <w:pPr>
              <w:ind w:hanging="180"/>
              <w:rPr>
                <w:rFonts w:eastAsia="Times New Roman"/>
              </w:rPr>
            </w:pPr>
          </w:p>
        </w:tc>
        <w:tc>
          <w:tcPr>
            <w:tcW w:w="0" w:type="auto"/>
            <w:gridSpan w:val="3"/>
            <w:tcMar>
              <w:top w:w="0" w:type="dxa"/>
              <w:left w:w="20" w:type="dxa"/>
              <w:bottom w:w="0" w:type="dxa"/>
              <w:right w:w="20" w:type="dxa"/>
            </w:tcMar>
            <w:vAlign w:val="center"/>
            <w:hideMark/>
          </w:tcPr>
          <w:p w:rsidR="00000000" w:rsidRDefault="001F1FC8">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1F1FC8">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1F1FC8">
            <w:pPr>
              <w:rPr>
                <w:rFonts w:eastAsia="Times New Roman"/>
                <w:sz w:val="20"/>
                <w:szCs w:val="20"/>
              </w:rPr>
            </w:pPr>
          </w:p>
        </w:tc>
        <w:tc>
          <w:tcPr>
            <w:tcW w:w="0" w:type="auto"/>
            <w:gridSpan w:val="2"/>
            <w:shd w:val="clear" w:color="auto" w:fill="D9D9D9"/>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b/>
                <w:bCs/>
                <w:color w:val="000000"/>
                <w:sz w:val="16"/>
                <w:szCs w:val="16"/>
              </w:rPr>
              <w:t>667</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hideMark/>
          </w:tcPr>
          <w:p w:rsidR="00000000" w:rsidRDefault="001F1FC8">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1F1FC8">
            <w:pPr>
              <w:jc w:val="right"/>
              <w:rPr>
                <w:rFonts w:eastAsia="Times New Roman"/>
                <w:sz w:val="20"/>
                <w:szCs w:val="20"/>
              </w:rPr>
            </w:pPr>
          </w:p>
        </w:tc>
        <w:tc>
          <w:tcPr>
            <w:tcW w:w="0" w:type="auto"/>
            <w:gridSpan w:val="2"/>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color w:val="000000"/>
                <w:sz w:val="16"/>
                <w:szCs w:val="16"/>
              </w:rPr>
              <w:t>750 </w:t>
            </w:r>
          </w:p>
        </w:tc>
        <w:tc>
          <w:tcPr>
            <w:tcW w:w="0" w:type="auto"/>
            <w:tcMar>
              <w:top w:w="30" w:type="dxa"/>
              <w:left w:w="0" w:type="dxa"/>
              <w:bottom w:w="30" w:type="dxa"/>
              <w:right w:w="20" w:type="dxa"/>
            </w:tcMar>
            <w:hideMark/>
          </w:tcPr>
          <w:p w:rsidR="00000000" w:rsidRDefault="001F1FC8">
            <w:pPr>
              <w:jc w:val="right"/>
              <w:rPr>
                <w:rFonts w:eastAsia="Times New Roman"/>
              </w:rPr>
            </w:pPr>
          </w:p>
        </w:tc>
      </w:tr>
      <w:tr w:rsidR="00000000">
        <w:trPr>
          <w:divId w:val="738597104"/>
        </w:trPr>
        <w:tc>
          <w:tcPr>
            <w:tcW w:w="0" w:type="auto"/>
            <w:gridSpan w:val="3"/>
            <w:tcMar>
              <w:top w:w="30" w:type="dxa"/>
              <w:left w:w="20" w:type="dxa"/>
              <w:bottom w:w="30" w:type="dxa"/>
              <w:right w:w="20" w:type="dxa"/>
            </w:tcMar>
            <w:hideMark/>
          </w:tcPr>
          <w:p w:rsidR="00000000" w:rsidRDefault="001F1FC8">
            <w:pPr>
              <w:divId w:val="1253976157"/>
              <w:rPr>
                <w:rFonts w:eastAsia="Times New Roman"/>
              </w:rPr>
            </w:pPr>
            <w:r>
              <w:rPr>
                <w:rFonts w:ascii="Arial" w:eastAsia="Times New Roman" w:hAnsi="Arial" w:cs="Arial"/>
                <w:color w:val="000000"/>
                <w:sz w:val="16"/>
                <w:szCs w:val="16"/>
              </w:rPr>
              <w:t>Othe</w:t>
            </w:r>
            <w:r>
              <w:rPr>
                <w:rFonts w:ascii="Arial" w:eastAsia="Times New Roman" w:hAnsi="Arial" w:cs="Arial"/>
                <w:color w:val="000000"/>
                <w:sz w:val="16"/>
                <w:szCs w:val="16"/>
              </w:rPr>
              <w:t>r</w:t>
            </w:r>
            <w:r>
              <w:rPr>
                <w:rFonts w:ascii="Arial" w:eastAsia="Times New Roman" w:hAnsi="Arial" w:cs="Arial"/>
                <w:color w:val="000000"/>
                <w:sz w:val="9"/>
                <w:szCs w:val="9"/>
              </w:rPr>
              <w:t>6</w:t>
            </w:r>
          </w:p>
        </w:tc>
        <w:tc>
          <w:tcPr>
            <w:tcW w:w="0" w:type="auto"/>
            <w:gridSpan w:val="3"/>
            <w:tcMar>
              <w:top w:w="0" w:type="dxa"/>
              <w:left w:w="20" w:type="dxa"/>
              <w:bottom w:w="0" w:type="dxa"/>
              <w:right w:w="20" w:type="dxa"/>
            </w:tcMar>
            <w:vAlign w:val="center"/>
            <w:hideMark/>
          </w:tcPr>
          <w:p w:rsidR="00000000" w:rsidRDefault="001F1FC8">
            <w:pPr>
              <w:rPr>
                <w:rFonts w:eastAsia="Times New Roman"/>
              </w:rPr>
            </w:pPr>
          </w:p>
        </w:tc>
        <w:tc>
          <w:tcPr>
            <w:tcW w:w="0" w:type="auto"/>
            <w:gridSpan w:val="3"/>
            <w:tcMar>
              <w:top w:w="0" w:type="dxa"/>
              <w:left w:w="20" w:type="dxa"/>
              <w:bottom w:w="0" w:type="dxa"/>
              <w:right w:w="20" w:type="dxa"/>
            </w:tcMar>
            <w:vAlign w:val="center"/>
            <w:hideMark/>
          </w:tcPr>
          <w:p w:rsidR="00000000" w:rsidRDefault="001F1FC8">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1F1FC8">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1F1FC8">
            <w:pPr>
              <w:rPr>
                <w:rFonts w:eastAsia="Times New Roman"/>
                <w:sz w:val="20"/>
                <w:szCs w:val="20"/>
              </w:rPr>
            </w:pPr>
          </w:p>
        </w:tc>
        <w:tc>
          <w:tcPr>
            <w:tcW w:w="0" w:type="auto"/>
            <w:gridSpan w:val="2"/>
            <w:shd w:val="clear" w:color="auto" w:fill="D9D9D9"/>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b/>
                <w:bCs/>
                <w:color w:val="000000"/>
                <w:sz w:val="16"/>
                <w:szCs w:val="16"/>
              </w:rPr>
              <w:t>363)</w:t>
            </w:r>
          </w:p>
        </w:tc>
        <w:tc>
          <w:tcPr>
            <w:tcW w:w="0" w:type="auto"/>
            <w:shd w:val="clear" w:color="auto" w:fill="D9D9D9"/>
            <w:tcMar>
              <w:top w:w="30" w:type="dxa"/>
              <w:left w:w="0" w:type="dxa"/>
              <w:bottom w:w="30" w:type="dxa"/>
              <w:right w:w="20" w:type="dxa"/>
            </w:tcMar>
            <w:hideMark/>
          </w:tcPr>
          <w:p w:rsidR="00000000" w:rsidRDefault="001F1FC8">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1F1FC8">
            <w:pPr>
              <w:jc w:val="right"/>
              <w:rPr>
                <w:rFonts w:eastAsia="Times New Roman"/>
                <w:sz w:val="20"/>
                <w:szCs w:val="20"/>
              </w:rPr>
            </w:pPr>
          </w:p>
        </w:tc>
        <w:tc>
          <w:tcPr>
            <w:tcW w:w="0" w:type="auto"/>
            <w:gridSpan w:val="2"/>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color w:val="000000"/>
                <w:sz w:val="16"/>
                <w:szCs w:val="16"/>
              </w:rPr>
              <w:t>(344)</w:t>
            </w:r>
          </w:p>
        </w:tc>
        <w:tc>
          <w:tcPr>
            <w:tcW w:w="0" w:type="auto"/>
            <w:tcMar>
              <w:top w:w="30" w:type="dxa"/>
              <w:left w:w="0" w:type="dxa"/>
              <w:bottom w:w="30" w:type="dxa"/>
              <w:right w:w="20" w:type="dxa"/>
            </w:tcMar>
            <w:hideMark/>
          </w:tcPr>
          <w:p w:rsidR="00000000" w:rsidRDefault="001F1FC8">
            <w:pPr>
              <w:jc w:val="right"/>
              <w:rPr>
                <w:rFonts w:eastAsia="Times New Roman"/>
              </w:rPr>
            </w:pPr>
          </w:p>
        </w:tc>
      </w:tr>
      <w:tr w:rsidR="00000000">
        <w:trPr>
          <w:divId w:val="738597104"/>
        </w:trPr>
        <w:tc>
          <w:tcPr>
            <w:tcW w:w="0" w:type="auto"/>
            <w:gridSpan w:val="3"/>
            <w:tcBorders>
              <w:top w:val="single" w:sz="4" w:space="0" w:color="000000"/>
            </w:tcBorders>
            <w:tcMar>
              <w:top w:w="30" w:type="dxa"/>
              <w:left w:w="20" w:type="dxa"/>
              <w:bottom w:w="30" w:type="dxa"/>
              <w:right w:w="20" w:type="dxa"/>
            </w:tcMar>
            <w:hideMark/>
          </w:tcPr>
          <w:p w:rsidR="00000000" w:rsidRDefault="001F1FC8">
            <w:pPr>
              <w:divId w:val="170529641"/>
              <w:rPr>
                <w:rFonts w:eastAsia="Times New Roman"/>
              </w:rPr>
            </w:pPr>
            <w:r>
              <w:rPr>
                <w:rFonts w:ascii="Arial" w:eastAsia="Times New Roman" w:hAnsi="Arial" w:cs="Arial"/>
                <w:color w:val="000000"/>
                <w:sz w:val="16"/>
                <w:szCs w:val="16"/>
              </w:rPr>
              <w:t>Total deb</w:t>
            </w:r>
            <w:r>
              <w:rPr>
                <w:rFonts w:ascii="Arial" w:eastAsia="Times New Roman" w:hAnsi="Arial" w:cs="Arial"/>
                <w:color w:val="000000"/>
                <w:sz w:val="16"/>
                <w:szCs w:val="16"/>
              </w:rPr>
              <w:t>t</w:t>
            </w:r>
            <w:r>
              <w:rPr>
                <w:rFonts w:ascii="Arial" w:eastAsia="Times New Roman" w:hAnsi="Arial" w:cs="Arial"/>
                <w:color w:val="000000"/>
                <w:sz w:val="9"/>
                <w:szCs w:val="9"/>
              </w:rPr>
              <w:t>7</w:t>
            </w:r>
          </w:p>
        </w:tc>
        <w:tc>
          <w:tcPr>
            <w:tcW w:w="0" w:type="auto"/>
            <w:gridSpan w:val="3"/>
            <w:tcBorders>
              <w:top w:val="single" w:sz="4" w:space="0" w:color="000000"/>
            </w:tcBorders>
            <w:tcMar>
              <w:top w:w="30" w:type="dxa"/>
              <w:left w:w="20" w:type="dxa"/>
              <w:bottom w:w="30" w:type="dxa"/>
              <w:right w:w="20" w:type="dxa"/>
            </w:tcMar>
            <w:hideMark/>
          </w:tcPr>
          <w:p w:rsidR="00000000" w:rsidRDefault="001F1FC8">
            <w:pPr>
              <w:jc w:val="right"/>
              <w:rPr>
                <w:rFonts w:eastAsia="Times New Roman"/>
              </w:rPr>
            </w:pPr>
            <w:r>
              <w:rPr>
                <w:rFonts w:ascii="Arial" w:eastAsia="Times New Roman" w:hAnsi="Arial" w:cs="Arial"/>
                <w:color w:val="000000"/>
                <w:sz w:val="16"/>
                <w:szCs w:val="16"/>
              </w:rPr>
              <w:t> </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1F1FC8">
            <w:pPr>
              <w:jc w:val="right"/>
              <w:rPr>
                <w:rFonts w:eastAsia="Times New Roman"/>
              </w:rPr>
            </w:pPr>
          </w:p>
        </w:tc>
        <w:tc>
          <w:tcPr>
            <w:tcW w:w="0" w:type="auto"/>
            <w:gridSpan w:val="3"/>
            <w:tcBorders>
              <w:top w:val="single" w:sz="4" w:space="0" w:color="000000"/>
            </w:tcBorders>
            <w:tcMar>
              <w:top w:w="30" w:type="dxa"/>
              <w:left w:w="20" w:type="dxa"/>
              <w:bottom w:w="30" w:type="dxa"/>
              <w:right w:w="20" w:type="dxa"/>
            </w:tcMar>
            <w:hideMark/>
          </w:tcPr>
          <w:p w:rsidR="00000000" w:rsidRDefault="001F1FC8">
            <w:pPr>
              <w:jc w:val="right"/>
              <w:rPr>
                <w:rFonts w:eastAsia="Times New Roman"/>
              </w:rPr>
            </w:pPr>
            <w:r>
              <w:rPr>
                <w:rFonts w:ascii="Arial" w:eastAsia="Times New Roman" w:hAnsi="Arial" w:cs="Arial"/>
                <w:color w:val="000000"/>
                <w:sz w:val="16"/>
                <w:szCs w:val="16"/>
              </w:rPr>
              <w:t> </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1F1FC8">
            <w:pPr>
              <w:jc w:val="right"/>
              <w:rPr>
                <w:rFonts w:eastAsia="Times New Roman"/>
              </w:rPr>
            </w:pPr>
          </w:p>
        </w:tc>
        <w:tc>
          <w:tcPr>
            <w:tcW w:w="0" w:type="auto"/>
            <w:gridSpan w:val="2"/>
            <w:tcBorders>
              <w:top w:val="single" w:sz="4" w:space="0" w:color="000000"/>
            </w:tcBorders>
            <w:shd w:val="clear" w:color="auto" w:fill="D9D9D9"/>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b/>
                <w:bCs/>
                <w:color w:val="000000"/>
                <w:sz w:val="16"/>
                <w:szCs w:val="16"/>
              </w:rPr>
              <w:t>75,640</w:t>
            </w:r>
            <w:r>
              <w:rPr>
                <w:rFonts w:ascii="Arial" w:eastAsia="Times New Roman" w:hAnsi="Arial" w:cs="Arial"/>
                <w:color w:val="000000"/>
                <w:sz w:val="16"/>
                <w:szCs w:val="16"/>
              </w:rPr>
              <w:t> </w:t>
            </w:r>
          </w:p>
        </w:tc>
        <w:tc>
          <w:tcPr>
            <w:tcW w:w="0" w:type="auto"/>
            <w:tcBorders>
              <w:top w:val="single" w:sz="4" w:space="0" w:color="000000"/>
            </w:tcBorders>
            <w:shd w:val="clear" w:color="auto" w:fill="D9D9D9"/>
            <w:tcMar>
              <w:top w:w="30" w:type="dxa"/>
              <w:left w:w="0" w:type="dxa"/>
              <w:bottom w:w="30" w:type="dxa"/>
              <w:right w:w="20" w:type="dxa"/>
            </w:tcMar>
            <w:hideMark/>
          </w:tcPr>
          <w:p w:rsidR="00000000" w:rsidRDefault="001F1FC8">
            <w:pPr>
              <w:jc w:val="right"/>
              <w:rPr>
                <w:rFonts w:eastAsia="Times New Roman"/>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1F1FC8">
            <w:pPr>
              <w:jc w:val="right"/>
              <w:rPr>
                <w:rFonts w:eastAsia="Times New Roman"/>
                <w:sz w:val="20"/>
                <w:szCs w:val="20"/>
              </w:rPr>
            </w:pPr>
          </w:p>
        </w:tc>
        <w:tc>
          <w:tcPr>
            <w:tcW w:w="0" w:type="auto"/>
            <w:gridSpan w:val="2"/>
            <w:tcBorders>
              <w:top w:val="single" w:sz="4" w:space="0" w:color="000000"/>
            </w:tcBorders>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color w:val="000000"/>
                <w:sz w:val="16"/>
                <w:szCs w:val="16"/>
              </w:rPr>
              <w:t>66,897 </w:t>
            </w:r>
          </w:p>
        </w:tc>
        <w:tc>
          <w:tcPr>
            <w:tcW w:w="0" w:type="auto"/>
            <w:tcBorders>
              <w:top w:val="single" w:sz="4" w:space="0" w:color="000000"/>
            </w:tcBorders>
            <w:tcMar>
              <w:top w:w="30" w:type="dxa"/>
              <w:left w:w="0" w:type="dxa"/>
              <w:bottom w:w="30" w:type="dxa"/>
              <w:right w:w="20" w:type="dxa"/>
            </w:tcMar>
            <w:hideMark/>
          </w:tcPr>
          <w:p w:rsidR="00000000" w:rsidRDefault="001F1FC8">
            <w:pPr>
              <w:jc w:val="right"/>
              <w:rPr>
                <w:rFonts w:eastAsia="Times New Roman"/>
              </w:rPr>
            </w:pPr>
          </w:p>
        </w:tc>
      </w:tr>
      <w:tr w:rsidR="00000000">
        <w:trPr>
          <w:divId w:val="738597104"/>
        </w:trPr>
        <w:tc>
          <w:tcPr>
            <w:tcW w:w="0" w:type="auto"/>
            <w:gridSpan w:val="3"/>
            <w:tcMar>
              <w:top w:w="30" w:type="dxa"/>
              <w:left w:w="20" w:type="dxa"/>
              <w:bottom w:w="30" w:type="dxa"/>
              <w:right w:w="20" w:type="dxa"/>
            </w:tcMar>
            <w:hideMark/>
          </w:tcPr>
          <w:p w:rsidR="00000000" w:rsidRDefault="001F1FC8">
            <w:pPr>
              <w:rPr>
                <w:rFonts w:eastAsia="Times New Roman"/>
              </w:rPr>
            </w:pPr>
            <w:r>
              <w:rPr>
                <w:rFonts w:ascii="Arial" w:eastAsia="Times New Roman" w:hAnsi="Arial" w:cs="Arial"/>
                <w:color w:val="000000"/>
                <w:sz w:val="16"/>
                <w:szCs w:val="16"/>
              </w:rPr>
              <w:t>Current maturities</w:t>
            </w:r>
          </w:p>
        </w:tc>
        <w:tc>
          <w:tcPr>
            <w:tcW w:w="0" w:type="auto"/>
            <w:gridSpan w:val="3"/>
            <w:tcMar>
              <w:top w:w="30" w:type="dxa"/>
              <w:left w:w="20" w:type="dxa"/>
              <w:bottom w:w="30" w:type="dxa"/>
              <w:right w:w="20" w:type="dxa"/>
            </w:tcMar>
            <w:hideMark/>
          </w:tcPr>
          <w:p w:rsidR="00000000" w:rsidRDefault="001F1FC8">
            <w:pPr>
              <w:jc w:val="right"/>
              <w:rPr>
                <w:rFonts w:eastAsia="Times New Roman"/>
              </w:rPr>
            </w:pPr>
            <w:r>
              <w:rPr>
                <w:rFonts w:ascii="Arial" w:eastAsia="Times New Roman" w:hAnsi="Arial" w:cs="Arial"/>
                <w:color w:val="000000"/>
                <w:sz w:val="16"/>
                <w:szCs w:val="16"/>
              </w:rPr>
              <w:t> </w:t>
            </w:r>
          </w:p>
        </w:tc>
        <w:tc>
          <w:tcPr>
            <w:tcW w:w="0" w:type="auto"/>
            <w:gridSpan w:val="3"/>
            <w:tcMar>
              <w:top w:w="0" w:type="dxa"/>
              <w:left w:w="20" w:type="dxa"/>
              <w:bottom w:w="0" w:type="dxa"/>
              <w:right w:w="20" w:type="dxa"/>
            </w:tcMar>
            <w:vAlign w:val="center"/>
            <w:hideMark/>
          </w:tcPr>
          <w:p w:rsidR="00000000" w:rsidRDefault="001F1FC8">
            <w:pPr>
              <w:jc w:val="right"/>
              <w:rPr>
                <w:rFonts w:eastAsia="Times New Roman"/>
              </w:rPr>
            </w:pPr>
          </w:p>
        </w:tc>
        <w:tc>
          <w:tcPr>
            <w:tcW w:w="0" w:type="auto"/>
            <w:gridSpan w:val="3"/>
            <w:tcMar>
              <w:top w:w="30" w:type="dxa"/>
              <w:left w:w="20" w:type="dxa"/>
              <w:bottom w:w="30" w:type="dxa"/>
              <w:right w:w="20" w:type="dxa"/>
            </w:tcMar>
            <w:hideMark/>
          </w:tcPr>
          <w:p w:rsidR="00000000" w:rsidRDefault="001F1FC8">
            <w:pPr>
              <w:jc w:val="right"/>
              <w:rPr>
                <w:rFonts w:eastAsia="Times New Roman"/>
              </w:rPr>
            </w:pPr>
            <w:r>
              <w:rPr>
                <w:rFonts w:ascii="Arial" w:eastAsia="Times New Roman" w:hAnsi="Arial" w:cs="Arial"/>
                <w:color w:val="000000"/>
                <w:sz w:val="16"/>
                <w:szCs w:val="16"/>
              </w:rPr>
              <w:t> </w:t>
            </w:r>
          </w:p>
        </w:tc>
        <w:tc>
          <w:tcPr>
            <w:tcW w:w="0" w:type="auto"/>
            <w:gridSpan w:val="3"/>
            <w:tcMar>
              <w:top w:w="0" w:type="dxa"/>
              <w:left w:w="20" w:type="dxa"/>
              <w:bottom w:w="0" w:type="dxa"/>
              <w:right w:w="20" w:type="dxa"/>
            </w:tcMar>
            <w:vAlign w:val="center"/>
            <w:hideMark/>
          </w:tcPr>
          <w:p w:rsidR="00000000" w:rsidRDefault="001F1FC8">
            <w:pPr>
              <w:jc w:val="right"/>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b/>
                <w:bCs/>
                <w:color w:val="000000"/>
                <w:sz w:val="16"/>
                <w:szCs w:val="16"/>
              </w:rPr>
              <w:t>(6,164)</w:t>
            </w:r>
          </w:p>
        </w:tc>
        <w:tc>
          <w:tcPr>
            <w:tcW w:w="0" w:type="auto"/>
            <w:shd w:val="clear" w:color="auto" w:fill="D9D9D9"/>
            <w:tcMar>
              <w:top w:w="30" w:type="dxa"/>
              <w:left w:w="0" w:type="dxa"/>
              <w:bottom w:w="30" w:type="dxa"/>
              <w:right w:w="20" w:type="dxa"/>
            </w:tcMar>
            <w:hideMark/>
          </w:tcPr>
          <w:p w:rsidR="00000000" w:rsidRDefault="001F1FC8">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1F1FC8">
            <w:pPr>
              <w:jc w:val="right"/>
              <w:rPr>
                <w:rFonts w:eastAsia="Times New Roman"/>
                <w:sz w:val="20"/>
                <w:szCs w:val="20"/>
              </w:rPr>
            </w:pPr>
          </w:p>
        </w:tc>
        <w:tc>
          <w:tcPr>
            <w:tcW w:w="0" w:type="auto"/>
            <w:gridSpan w:val="2"/>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color w:val="000000"/>
                <w:sz w:val="16"/>
                <w:szCs w:val="16"/>
              </w:rPr>
              <w:t>(2,957)</w:t>
            </w:r>
          </w:p>
        </w:tc>
        <w:tc>
          <w:tcPr>
            <w:tcW w:w="0" w:type="auto"/>
            <w:tcMar>
              <w:top w:w="30" w:type="dxa"/>
              <w:left w:w="0" w:type="dxa"/>
              <w:bottom w:w="30" w:type="dxa"/>
              <w:right w:w="20" w:type="dxa"/>
            </w:tcMar>
            <w:hideMark/>
          </w:tcPr>
          <w:p w:rsidR="00000000" w:rsidRDefault="001F1FC8">
            <w:pPr>
              <w:jc w:val="right"/>
              <w:rPr>
                <w:rFonts w:eastAsia="Times New Roman"/>
              </w:rPr>
            </w:pPr>
          </w:p>
        </w:tc>
      </w:tr>
      <w:tr w:rsidR="00000000">
        <w:trPr>
          <w:divId w:val="738597104"/>
        </w:trPr>
        <w:tc>
          <w:tcPr>
            <w:tcW w:w="0" w:type="auto"/>
            <w:gridSpan w:val="3"/>
            <w:tcMar>
              <w:top w:w="30" w:type="dxa"/>
              <w:left w:w="20" w:type="dxa"/>
              <w:bottom w:w="30" w:type="dxa"/>
              <w:right w:w="20" w:type="dxa"/>
            </w:tcMar>
            <w:hideMark/>
          </w:tcPr>
          <w:p w:rsidR="00000000" w:rsidRDefault="001F1FC8">
            <w:pPr>
              <w:divId w:val="527304895"/>
              <w:rPr>
                <w:rFonts w:eastAsia="Times New Roman"/>
              </w:rPr>
            </w:pPr>
            <w:r>
              <w:rPr>
                <w:rFonts w:ascii="Arial" w:eastAsia="Times New Roman" w:hAnsi="Arial" w:cs="Arial"/>
                <w:color w:val="000000"/>
                <w:sz w:val="16"/>
                <w:szCs w:val="16"/>
              </w:rPr>
              <w:t>Short-term borrowing</w:t>
            </w:r>
            <w:r>
              <w:rPr>
                <w:rFonts w:ascii="Arial" w:eastAsia="Times New Roman" w:hAnsi="Arial" w:cs="Arial"/>
                <w:color w:val="000000"/>
                <w:sz w:val="16"/>
                <w:szCs w:val="16"/>
              </w:rPr>
              <w:t>s</w:t>
            </w:r>
            <w:r>
              <w:rPr>
                <w:rFonts w:ascii="Arial" w:eastAsia="Times New Roman" w:hAnsi="Arial" w:cs="Arial"/>
                <w:color w:val="000000"/>
                <w:sz w:val="9"/>
                <w:szCs w:val="9"/>
              </w:rPr>
              <w:t>8</w:t>
            </w:r>
          </w:p>
        </w:tc>
        <w:tc>
          <w:tcPr>
            <w:tcW w:w="0" w:type="auto"/>
            <w:gridSpan w:val="3"/>
            <w:tcMar>
              <w:top w:w="30" w:type="dxa"/>
              <w:left w:w="20" w:type="dxa"/>
              <w:bottom w:w="30" w:type="dxa"/>
              <w:right w:w="20" w:type="dxa"/>
            </w:tcMar>
            <w:hideMark/>
          </w:tcPr>
          <w:p w:rsidR="00000000" w:rsidRDefault="001F1FC8">
            <w:pPr>
              <w:jc w:val="right"/>
              <w:rPr>
                <w:rFonts w:eastAsia="Times New Roman"/>
              </w:rPr>
            </w:pPr>
            <w:r>
              <w:rPr>
                <w:rFonts w:ascii="Arial" w:eastAsia="Times New Roman" w:hAnsi="Arial" w:cs="Arial"/>
                <w:color w:val="000000"/>
                <w:sz w:val="16"/>
                <w:szCs w:val="16"/>
              </w:rPr>
              <w:t> </w:t>
            </w:r>
          </w:p>
        </w:tc>
        <w:tc>
          <w:tcPr>
            <w:tcW w:w="0" w:type="auto"/>
            <w:gridSpan w:val="3"/>
            <w:tcMar>
              <w:top w:w="0" w:type="dxa"/>
              <w:left w:w="20" w:type="dxa"/>
              <w:bottom w:w="0" w:type="dxa"/>
              <w:right w:w="20" w:type="dxa"/>
            </w:tcMar>
            <w:vAlign w:val="center"/>
            <w:hideMark/>
          </w:tcPr>
          <w:p w:rsidR="00000000" w:rsidRDefault="001F1FC8">
            <w:pPr>
              <w:jc w:val="right"/>
              <w:rPr>
                <w:rFonts w:eastAsia="Times New Roman"/>
              </w:rPr>
            </w:pPr>
          </w:p>
        </w:tc>
        <w:tc>
          <w:tcPr>
            <w:tcW w:w="0" w:type="auto"/>
            <w:gridSpan w:val="3"/>
            <w:tcMar>
              <w:top w:w="30" w:type="dxa"/>
              <w:left w:w="20" w:type="dxa"/>
              <w:bottom w:w="30" w:type="dxa"/>
              <w:right w:w="20" w:type="dxa"/>
            </w:tcMar>
            <w:hideMark/>
          </w:tcPr>
          <w:p w:rsidR="00000000" w:rsidRDefault="001F1FC8">
            <w:pPr>
              <w:jc w:val="right"/>
              <w:rPr>
                <w:rFonts w:eastAsia="Times New Roman"/>
              </w:rPr>
            </w:pPr>
            <w:r>
              <w:rPr>
                <w:rFonts w:ascii="Arial" w:eastAsia="Times New Roman" w:hAnsi="Arial" w:cs="Arial"/>
                <w:color w:val="000000"/>
                <w:sz w:val="16"/>
                <w:szCs w:val="16"/>
              </w:rPr>
              <w:t> </w:t>
            </w:r>
          </w:p>
        </w:tc>
        <w:tc>
          <w:tcPr>
            <w:tcW w:w="0" w:type="auto"/>
            <w:gridSpan w:val="3"/>
            <w:tcMar>
              <w:top w:w="0" w:type="dxa"/>
              <w:left w:w="20" w:type="dxa"/>
              <w:bottom w:w="0" w:type="dxa"/>
              <w:right w:w="20" w:type="dxa"/>
            </w:tcMar>
            <w:vAlign w:val="center"/>
            <w:hideMark/>
          </w:tcPr>
          <w:p w:rsidR="00000000" w:rsidRDefault="001F1FC8">
            <w:pPr>
              <w:jc w:val="right"/>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b/>
                <w:bCs/>
                <w:color w:val="000000"/>
                <w:sz w:val="16"/>
                <w:szCs w:val="16"/>
              </w:rPr>
              <w:t>(1,515)</w:t>
            </w:r>
          </w:p>
        </w:tc>
        <w:tc>
          <w:tcPr>
            <w:tcW w:w="0" w:type="auto"/>
            <w:shd w:val="clear" w:color="auto" w:fill="D9D9D9"/>
            <w:tcMar>
              <w:top w:w="30" w:type="dxa"/>
              <w:left w:w="0" w:type="dxa"/>
              <w:bottom w:w="30" w:type="dxa"/>
              <w:right w:w="20" w:type="dxa"/>
            </w:tcMar>
            <w:hideMark/>
          </w:tcPr>
          <w:p w:rsidR="00000000" w:rsidRDefault="001F1FC8">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1F1FC8">
            <w:pPr>
              <w:jc w:val="right"/>
              <w:rPr>
                <w:rFonts w:eastAsia="Times New Roman"/>
                <w:sz w:val="20"/>
                <w:szCs w:val="20"/>
              </w:rPr>
            </w:pPr>
          </w:p>
        </w:tc>
        <w:tc>
          <w:tcPr>
            <w:tcW w:w="0" w:type="auto"/>
            <w:gridSpan w:val="2"/>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color w:val="000000"/>
                <w:sz w:val="16"/>
                <w:szCs w:val="16"/>
              </w:rPr>
              <w:t>(1,121)</w:t>
            </w:r>
          </w:p>
        </w:tc>
        <w:tc>
          <w:tcPr>
            <w:tcW w:w="0" w:type="auto"/>
            <w:tcMar>
              <w:top w:w="30" w:type="dxa"/>
              <w:left w:w="0" w:type="dxa"/>
              <w:bottom w:w="30" w:type="dxa"/>
              <w:right w:w="20" w:type="dxa"/>
            </w:tcMar>
            <w:hideMark/>
          </w:tcPr>
          <w:p w:rsidR="00000000" w:rsidRDefault="001F1FC8">
            <w:pPr>
              <w:jc w:val="right"/>
              <w:rPr>
                <w:rFonts w:eastAsia="Times New Roman"/>
              </w:rPr>
            </w:pPr>
          </w:p>
        </w:tc>
      </w:tr>
      <w:tr w:rsidR="00000000">
        <w:trPr>
          <w:divId w:val="738597104"/>
        </w:trPr>
        <w:tc>
          <w:tcPr>
            <w:tcW w:w="0" w:type="auto"/>
            <w:gridSpan w:val="3"/>
            <w:tcBorders>
              <w:top w:val="single" w:sz="4" w:space="0" w:color="000000"/>
              <w:bottom w:val="single" w:sz="8" w:space="0" w:color="000000"/>
            </w:tcBorders>
            <w:tcMar>
              <w:top w:w="30" w:type="dxa"/>
              <w:left w:w="20" w:type="dxa"/>
              <w:bottom w:w="30" w:type="dxa"/>
              <w:right w:w="20" w:type="dxa"/>
            </w:tcMar>
            <w:hideMark/>
          </w:tcPr>
          <w:p w:rsidR="00000000" w:rsidRDefault="001F1FC8">
            <w:pPr>
              <w:rPr>
                <w:rFonts w:eastAsia="Times New Roman"/>
              </w:rPr>
            </w:pPr>
            <w:r>
              <w:rPr>
                <w:rFonts w:ascii="Arial" w:eastAsia="Times New Roman" w:hAnsi="Arial" w:cs="Arial"/>
                <w:color w:val="000000"/>
                <w:sz w:val="16"/>
                <w:szCs w:val="16"/>
              </w:rPr>
              <w:t>Long-term debt</w:t>
            </w:r>
          </w:p>
        </w:tc>
        <w:tc>
          <w:tcPr>
            <w:tcW w:w="0" w:type="auto"/>
            <w:gridSpan w:val="3"/>
            <w:tcBorders>
              <w:top w:val="single" w:sz="4" w:space="0" w:color="000000"/>
              <w:bottom w:val="single" w:sz="8" w:space="0" w:color="000000"/>
            </w:tcBorders>
            <w:tcMar>
              <w:top w:w="30" w:type="dxa"/>
              <w:left w:w="20" w:type="dxa"/>
              <w:bottom w:w="30" w:type="dxa"/>
              <w:right w:w="20" w:type="dxa"/>
            </w:tcMar>
            <w:hideMark/>
          </w:tcPr>
          <w:p w:rsidR="00000000" w:rsidRDefault="001F1FC8">
            <w:pPr>
              <w:jc w:val="right"/>
              <w:rPr>
                <w:rFonts w:eastAsia="Times New Roman"/>
              </w:rPr>
            </w:pPr>
            <w:r>
              <w:rPr>
                <w:rFonts w:ascii="Arial" w:eastAsia="Times New Roman" w:hAnsi="Arial" w:cs="Arial"/>
                <w:color w:val="000000"/>
                <w:sz w:val="16"/>
                <w:szCs w:val="16"/>
              </w:rPr>
              <w:t> </w:t>
            </w:r>
          </w:p>
        </w:tc>
        <w:tc>
          <w:tcPr>
            <w:tcW w:w="0" w:type="auto"/>
            <w:gridSpan w:val="3"/>
            <w:tcBorders>
              <w:top w:val="single" w:sz="4" w:space="0" w:color="000000"/>
              <w:bottom w:val="single" w:sz="8" w:space="0" w:color="000000"/>
            </w:tcBorders>
            <w:tcMar>
              <w:top w:w="0" w:type="dxa"/>
              <w:left w:w="20" w:type="dxa"/>
              <w:bottom w:w="0" w:type="dxa"/>
              <w:right w:w="20" w:type="dxa"/>
            </w:tcMar>
            <w:vAlign w:val="center"/>
            <w:hideMark/>
          </w:tcPr>
          <w:p w:rsidR="00000000" w:rsidRDefault="001F1FC8">
            <w:pPr>
              <w:jc w:val="right"/>
              <w:rPr>
                <w:rFonts w:eastAsia="Times New Roman"/>
              </w:rPr>
            </w:pPr>
          </w:p>
        </w:tc>
        <w:tc>
          <w:tcPr>
            <w:tcW w:w="0" w:type="auto"/>
            <w:gridSpan w:val="3"/>
            <w:tcBorders>
              <w:top w:val="single" w:sz="4" w:space="0" w:color="000000"/>
              <w:bottom w:val="single" w:sz="8" w:space="0" w:color="000000"/>
            </w:tcBorders>
            <w:tcMar>
              <w:top w:w="30" w:type="dxa"/>
              <w:left w:w="20" w:type="dxa"/>
              <w:bottom w:w="30" w:type="dxa"/>
              <w:right w:w="20" w:type="dxa"/>
            </w:tcMar>
            <w:hideMark/>
          </w:tcPr>
          <w:p w:rsidR="00000000" w:rsidRDefault="001F1FC8">
            <w:pPr>
              <w:jc w:val="right"/>
              <w:rPr>
                <w:rFonts w:eastAsia="Times New Roman"/>
              </w:rPr>
            </w:pPr>
            <w:r>
              <w:rPr>
                <w:rFonts w:ascii="Arial" w:eastAsia="Times New Roman" w:hAnsi="Arial" w:cs="Arial"/>
                <w:color w:val="000000"/>
                <w:sz w:val="16"/>
                <w:szCs w:val="16"/>
              </w:rPr>
              <w:t> </w:t>
            </w:r>
          </w:p>
        </w:tc>
        <w:tc>
          <w:tcPr>
            <w:tcW w:w="0" w:type="auto"/>
            <w:gridSpan w:val="3"/>
            <w:tcBorders>
              <w:top w:val="single" w:sz="4" w:space="0" w:color="000000"/>
              <w:bottom w:val="single" w:sz="8" w:space="0" w:color="000000"/>
            </w:tcBorders>
            <w:tcMar>
              <w:top w:w="0" w:type="dxa"/>
              <w:left w:w="20" w:type="dxa"/>
              <w:bottom w:w="0" w:type="dxa"/>
              <w:right w:w="20" w:type="dxa"/>
            </w:tcMar>
            <w:vAlign w:val="center"/>
            <w:hideMark/>
          </w:tcPr>
          <w:p w:rsidR="00000000" w:rsidRDefault="001F1FC8">
            <w:pPr>
              <w:jc w:val="right"/>
              <w:rPr>
                <w:rFonts w:eastAsia="Times New Roman"/>
              </w:rPr>
            </w:pPr>
          </w:p>
        </w:tc>
        <w:tc>
          <w:tcPr>
            <w:tcW w:w="0" w:type="auto"/>
            <w:gridSpan w:val="2"/>
            <w:tcBorders>
              <w:top w:val="single" w:sz="4" w:space="0" w:color="000000"/>
              <w:bottom w:val="single" w:sz="8" w:space="0" w:color="000000"/>
            </w:tcBorders>
            <w:shd w:val="clear" w:color="auto" w:fill="D9D9D9"/>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b/>
                <w:bCs/>
                <w:color w:val="000000"/>
                <w:sz w:val="16"/>
                <w:szCs w:val="16"/>
              </w:rPr>
              <w:t>67,961</w:t>
            </w:r>
            <w:r>
              <w:rPr>
                <w:rFonts w:ascii="Arial" w:eastAsia="Times New Roman" w:hAnsi="Arial" w:cs="Arial"/>
                <w:color w:val="000000"/>
                <w:sz w:val="16"/>
                <w:szCs w:val="16"/>
              </w:rPr>
              <w:t> </w:t>
            </w:r>
          </w:p>
        </w:tc>
        <w:tc>
          <w:tcPr>
            <w:tcW w:w="0" w:type="auto"/>
            <w:tcBorders>
              <w:top w:val="single" w:sz="4" w:space="0" w:color="000000"/>
              <w:bottom w:val="single" w:sz="8" w:space="0" w:color="000000"/>
            </w:tcBorders>
            <w:shd w:val="clear" w:color="auto" w:fill="D9D9D9"/>
            <w:tcMar>
              <w:top w:w="30" w:type="dxa"/>
              <w:left w:w="0" w:type="dxa"/>
              <w:bottom w:w="30" w:type="dxa"/>
              <w:right w:w="20" w:type="dxa"/>
            </w:tcMar>
            <w:hideMark/>
          </w:tcPr>
          <w:p w:rsidR="00000000" w:rsidRDefault="001F1FC8">
            <w:pPr>
              <w:jc w:val="right"/>
              <w:rPr>
                <w:rFonts w:eastAsia="Times New Roman"/>
              </w:rPr>
            </w:pPr>
          </w:p>
        </w:tc>
        <w:tc>
          <w:tcPr>
            <w:tcW w:w="0" w:type="auto"/>
            <w:gridSpan w:val="3"/>
            <w:tcBorders>
              <w:top w:val="single" w:sz="4" w:space="0" w:color="000000"/>
              <w:bottom w:val="single" w:sz="8" w:space="0" w:color="000000"/>
            </w:tcBorders>
            <w:tcMar>
              <w:top w:w="0" w:type="dxa"/>
              <w:left w:w="20" w:type="dxa"/>
              <w:bottom w:w="0" w:type="dxa"/>
              <w:right w:w="20" w:type="dxa"/>
            </w:tcMar>
            <w:vAlign w:val="center"/>
            <w:hideMark/>
          </w:tcPr>
          <w:p w:rsidR="00000000" w:rsidRDefault="001F1FC8">
            <w:pPr>
              <w:jc w:val="right"/>
              <w:rPr>
                <w:rFonts w:eastAsia="Times New Roman"/>
                <w:sz w:val="20"/>
                <w:szCs w:val="20"/>
              </w:rPr>
            </w:pPr>
          </w:p>
        </w:tc>
        <w:tc>
          <w:tcPr>
            <w:tcW w:w="0" w:type="auto"/>
            <w:gridSpan w:val="2"/>
            <w:tcBorders>
              <w:top w:val="single" w:sz="4" w:space="0" w:color="000000"/>
              <w:bottom w:val="single" w:sz="8" w:space="0" w:color="000000"/>
            </w:tcBorders>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color w:val="000000"/>
                <w:sz w:val="16"/>
                <w:szCs w:val="16"/>
              </w:rPr>
              <w:t>62,819 </w:t>
            </w:r>
          </w:p>
        </w:tc>
        <w:tc>
          <w:tcPr>
            <w:tcW w:w="0" w:type="auto"/>
            <w:tcBorders>
              <w:top w:val="single" w:sz="4" w:space="0" w:color="000000"/>
              <w:bottom w:val="single" w:sz="8" w:space="0" w:color="000000"/>
            </w:tcBorders>
            <w:tcMar>
              <w:top w:w="30" w:type="dxa"/>
              <w:left w:w="0" w:type="dxa"/>
              <w:bottom w:w="30" w:type="dxa"/>
              <w:right w:w="20" w:type="dxa"/>
            </w:tcMar>
            <w:hideMark/>
          </w:tcPr>
          <w:p w:rsidR="00000000" w:rsidRDefault="001F1FC8">
            <w:pPr>
              <w:jc w:val="right"/>
              <w:rPr>
                <w:rFonts w:eastAsia="Times New Roman"/>
              </w:rPr>
            </w:pPr>
          </w:p>
        </w:tc>
      </w:tr>
    </w:tbl>
    <w:p w:rsidR="00000000" w:rsidRDefault="001F1FC8">
      <w:pPr>
        <w:ind w:hanging="270"/>
        <w:divId w:val="1025836997"/>
        <w:rPr>
          <w:rFonts w:eastAsia="Times New Roman"/>
        </w:rPr>
      </w:pPr>
      <w:r>
        <w:rPr>
          <w:rFonts w:ascii="Arial" w:eastAsia="Times New Roman" w:hAnsi="Arial" w:cs="Arial"/>
          <w:i/>
          <w:iCs/>
          <w:color w:val="000000"/>
          <w:sz w:val="16"/>
          <w:szCs w:val="16"/>
        </w:rPr>
        <w:t xml:space="preserve">1For the initial 10 </w:t>
      </w:r>
      <w:r>
        <w:rPr>
          <w:rFonts w:ascii="Arial" w:eastAsia="Times New Roman" w:hAnsi="Arial" w:cs="Arial"/>
          <w:i/>
          <w:iCs/>
          <w:color w:val="000000"/>
          <w:sz w:val="16"/>
          <w:szCs w:val="16"/>
        </w:rPr>
        <w:t>years, the notes carry a fixed interest rate. Subsequently, the interest rate will be set to equal to the Five-Year US Treasury Rate plus a margin of 5.31% from years 10 to 30 and a margin of 6.06% from years 30 to 60.</w:t>
      </w:r>
    </w:p>
    <w:p w:rsidR="00000000" w:rsidRDefault="001F1FC8">
      <w:pPr>
        <w:ind w:hanging="270"/>
        <w:divId w:val="726759624"/>
        <w:rPr>
          <w:rFonts w:eastAsia="Times New Roman"/>
        </w:rPr>
      </w:pPr>
      <w:r>
        <w:rPr>
          <w:rFonts w:ascii="Arial" w:eastAsia="Times New Roman" w:hAnsi="Arial" w:cs="Arial"/>
          <w:i/>
          <w:iCs/>
          <w:color w:val="000000"/>
          <w:sz w:val="16"/>
          <w:szCs w:val="16"/>
        </w:rPr>
        <w:t xml:space="preserve">2For the initial 10 years, the notes </w:t>
      </w:r>
      <w:r>
        <w:rPr>
          <w:rFonts w:ascii="Arial" w:eastAsia="Times New Roman" w:hAnsi="Arial" w:cs="Arial"/>
          <w:i/>
          <w:iCs/>
          <w:color w:val="000000"/>
          <w:sz w:val="16"/>
          <w:szCs w:val="16"/>
        </w:rPr>
        <w:t>carry a fixed interest rate. Subsequently, the interest rate will be floating and set to equal to the Canadian Dollar Offered Rate (CDOR) or the London Interbank Offered Rate (LIBOR) plus a margin. The notes would be converted automatically into Conversion</w:t>
      </w:r>
      <w:r>
        <w:rPr>
          <w:rFonts w:ascii="Arial" w:eastAsia="Times New Roman" w:hAnsi="Arial" w:cs="Arial"/>
          <w:i/>
          <w:iCs/>
          <w:color w:val="000000"/>
          <w:sz w:val="16"/>
          <w:szCs w:val="16"/>
        </w:rPr>
        <w:t xml:space="preserve"> Preference Shares in the event of bankruptcy and related events.</w:t>
      </w:r>
    </w:p>
    <w:p w:rsidR="00000000" w:rsidRDefault="001F1FC8">
      <w:pPr>
        <w:ind w:hanging="270"/>
        <w:divId w:val="997735713"/>
        <w:rPr>
          <w:rFonts w:eastAsia="Times New Roman"/>
        </w:rPr>
      </w:pPr>
      <w:r>
        <w:rPr>
          <w:rFonts w:ascii="Arial" w:eastAsia="Times New Roman" w:hAnsi="Arial" w:cs="Arial"/>
          <w:i/>
          <w:iCs/>
          <w:color w:val="000000"/>
          <w:sz w:val="16"/>
          <w:szCs w:val="16"/>
        </w:rPr>
        <w:t xml:space="preserve">3The notes carry an interest rate equal to the three-month LIBOR plus a margin of 50 </w:t>
      </w:r>
      <w:r>
        <w:rPr>
          <w:rFonts w:ascii="Arial" w:eastAsia="Times New Roman" w:hAnsi="Arial" w:cs="Arial"/>
          <w:i/>
          <w:iCs/>
          <w:color w:val="000000"/>
          <w:sz w:val="16"/>
          <w:szCs w:val="16"/>
        </w:rPr>
        <w:t xml:space="preserve">basis points and Secured Overnight Financing Rate (SOFR) plus a margin of 40 basis points. </w:t>
      </w:r>
    </w:p>
    <w:p w:rsidR="00000000" w:rsidRDefault="001F1FC8">
      <w:pPr>
        <w:ind w:hanging="270"/>
        <w:divId w:val="649486257"/>
        <w:rPr>
          <w:rFonts w:eastAsia="Times New Roman"/>
        </w:rPr>
      </w:pPr>
      <w:r>
        <w:rPr>
          <w:rFonts w:ascii="Arial" w:eastAsia="Times New Roman" w:hAnsi="Arial" w:cs="Arial"/>
          <w:i/>
          <w:iCs/>
          <w:color w:val="000000"/>
          <w:sz w:val="16"/>
          <w:szCs w:val="16"/>
        </w:rPr>
        <w:t>4Primarily finance lease obligations.</w:t>
      </w:r>
    </w:p>
    <w:p w:rsidR="00000000" w:rsidRDefault="001F1FC8">
      <w:pPr>
        <w:ind w:hanging="270"/>
        <w:divId w:val="520045264"/>
        <w:rPr>
          <w:rFonts w:eastAsia="Times New Roman"/>
        </w:rPr>
      </w:pPr>
      <w:r>
        <w:rPr>
          <w:rFonts w:ascii="Arial" w:eastAsia="Times New Roman" w:hAnsi="Arial" w:cs="Arial"/>
          <w:i/>
          <w:iCs/>
          <w:color w:val="000000"/>
          <w:sz w:val="16"/>
          <w:szCs w:val="16"/>
        </w:rPr>
        <w:t>5Included in medium-term notes is $100 million with a maturity date of 2112.</w:t>
      </w:r>
    </w:p>
    <w:p w:rsidR="00000000" w:rsidRDefault="001F1FC8">
      <w:pPr>
        <w:ind w:hanging="270"/>
        <w:divId w:val="972635728"/>
        <w:rPr>
          <w:rFonts w:eastAsia="Times New Roman"/>
        </w:rPr>
      </w:pPr>
      <w:r>
        <w:rPr>
          <w:rFonts w:ascii="Arial" w:eastAsia="Times New Roman" w:hAnsi="Arial" w:cs="Arial"/>
          <w:i/>
          <w:iCs/>
          <w:color w:val="000000"/>
          <w:sz w:val="16"/>
          <w:szCs w:val="16"/>
        </w:rPr>
        <w:t>6Primarily unamortized discounts, premiums and de</w:t>
      </w:r>
      <w:r>
        <w:rPr>
          <w:rFonts w:ascii="Arial" w:eastAsia="Times New Roman" w:hAnsi="Arial" w:cs="Arial"/>
          <w:i/>
          <w:iCs/>
          <w:color w:val="000000"/>
          <w:sz w:val="16"/>
          <w:szCs w:val="16"/>
        </w:rPr>
        <w:t>bt issuance costs.</w:t>
      </w:r>
    </w:p>
    <w:p w:rsidR="00000000" w:rsidRDefault="001F1FC8">
      <w:pPr>
        <w:ind w:hanging="270"/>
        <w:divId w:val="240717857"/>
        <w:rPr>
          <w:rFonts w:eastAsia="Times New Roman"/>
        </w:rPr>
      </w:pPr>
      <w:r>
        <w:rPr>
          <w:rFonts w:ascii="Arial" w:eastAsia="Times New Roman" w:hAnsi="Arial" w:cs="Arial"/>
          <w:i/>
          <w:iCs/>
          <w:color w:val="000000"/>
          <w:sz w:val="16"/>
          <w:szCs w:val="16"/>
        </w:rPr>
        <w:t>72021 - $36 billion and US$31 billion; 2020 - $35 billion and US$24 billion. Totals exclude capital lease obligations, unamortized discounts, premiums and debt issuance costs and fair value adjustment.</w:t>
      </w:r>
    </w:p>
    <w:p w:rsidR="00000000" w:rsidRDefault="001F1FC8">
      <w:pPr>
        <w:ind w:hanging="270"/>
        <w:divId w:val="1053433557"/>
        <w:rPr>
          <w:rFonts w:eastAsia="Times New Roman"/>
        </w:rPr>
      </w:pPr>
      <w:r>
        <w:rPr>
          <w:rFonts w:ascii="Arial" w:eastAsia="Times New Roman" w:hAnsi="Arial" w:cs="Arial"/>
          <w:i/>
          <w:iCs/>
          <w:color w:val="000000"/>
          <w:sz w:val="16"/>
          <w:szCs w:val="16"/>
        </w:rPr>
        <w:t>8Weighted average interest rates on</w:t>
      </w:r>
      <w:r>
        <w:rPr>
          <w:rFonts w:ascii="Arial" w:eastAsia="Times New Roman" w:hAnsi="Arial" w:cs="Arial"/>
          <w:i/>
          <w:iCs/>
          <w:color w:val="000000"/>
          <w:sz w:val="16"/>
          <w:szCs w:val="16"/>
        </w:rPr>
        <w:t xml:space="preserve"> outstanding commercial paper were 0.5% as at December 31, 2021 (2020 - 0.3%).</w:t>
      </w:r>
    </w:p>
    <w:p w:rsidR="00000000" w:rsidRDefault="001F1FC8">
      <w:pPr>
        <w:ind w:hanging="270"/>
        <w:divId w:val="1695620164"/>
        <w:rPr>
          <w:rFonts w:eastAsia="Times New Roman"/>
        </w:rPr>
      </w:pPr>
      <w:r>
        <w:rPr>
          <w:rFonts w:ascii="Arial" w:eastAsia="Times New Roman" w:hAnsi="Arial" w:cs="Arial"/>
          <w:i/>
          <w:iCs/>
          <w:color w:val="000000"/>
          <w:sz w:val="16"/>
          <w:szCs w:val="16"/>
        </w:rPr>
        <w:t>9Calculated based on term notes, debentures, commercial paper and credit facility draws outstanding as at December 31, 2021.</w:t>
      </w:r>
    </w:p>
    <w:p w:rsidR="00000000" w:rsidRDefault="001F1FC8">
      <w:pPr>
        <w:ind w:firstLine="90"/>
        <w:divId w:val="1640921249"/>
        <w:rPr>
          <w:rFonts w:eastAsia="Times New Roman"/>
        </w:rPr>
      </w:pPr>
    </w:p>
    <w:p w:rsidR="00000000" w:rsidRDefault="001F1FC8">
      <w:pPr>
        <w:divId w:val="1496606054"/>
        <w:rPr>
          <w:rFonts w:eastAsia="Times New Roman"/>
        </w:rPr>
      </w:pPr>
      <w:r>
        <w:rPr>
          <w:rFonts w:ascii="Arial" w:eastAsia="Times New Roman" w:hAnsi="Arial" w:cs="Arial"/>
          <w:color w:val="000000"/>
          <w:sz w:val="20"/>
          <w:szCs w:val="20"/>
        </w:rPr>
        <w:t xml:space="preserve">As at December 31, 2021, all outstanding debt was </w:t>
      </w:r>
      <w:r>
        <w:rPr>
          <w:rFonts w:ascii="Arial" w:eastAsia="Times New Roman" w:hAnsi="Arial" w:cs="Arial"/>
          <w:color w:val="000000"/>
          <w:sz w:val="20"/>
          <w:szCs w:val="20"/>
        </w:rPr>
        <w:t>unsecured.</w:t>
      </w:r>
    </w:p>
    <w:p w:rsidR="00000000" w:rsidRDefault="001F1FC8">
      <w:pPr>
        <w:divId w:val="279729846"/>
        <w:rPr>
          <w:rFonts w:eastAsia="Times New Roman"/>
        </w:rPr>
      </w:pPr>
    </w:p>
    <w:p w:rsidR="00000000" w:rsidRDefault="001F1FC8">
      <w:pPr>
        <w:jc w:val="center"/>
        <w:divId w:val="889655833"/>
        <w:rPr>
          <w:rFonts w:eastAsia="Times New Roman"/>
        </w:rPr>
      </w:pPr>
      <w:r>
        <w:rPr>
          <w:rFonts w:ascii="Arial" w:eastAsia="Times New Roman" w:hAnsi="Arial" w:cs="Arial"/>
          <w:color w:val="000000"/>
          <w:sz w:val="20"/>
          <w:szCs w:val="20"/>
        </w:rPr>
        <w:t>138</w:t>
      </w:r>
    </w:p>
    <w:p w:rsidR="00000000" w:rsidRDefault="001F1FC8">
      <w:pPr>
        <w:rPr>
          <w:rFonts w:eastAsia="Times New Roman"/>
        </w:rPr>
      </w:pPr>
      <w:r>
        <w:rPr>
          <w:rFonts w:eastAsia="Times New Roman"/>
        </w:rPr>
        <w:pict>
          <v:rect id="_x0000_i1168" style="width:0;height:1.5pt" o:hralign="center" o:hrstd="t" o:hr="t" fillcolor="#a0a0a0" stroked="f"/>
        </w:pict>
      </w:r>
    </w:p>
    <w:p w:rsidR="00000000" w:rsidRDefault="001F1FC8">
      <w:pPr>
        <w:jc w:val="center"/>
        <w:divId w:val="1701970552"/>
        <w:rPr>
          <w:rFonts w:eastAsia="Times New Roman"/>
        </w:rPr>
      </w:pPr>
    </w:p>
    <w:p w:rsidR="00000000" w:rsidRDefault="001F1FC8">
      <w:pPr>
        <w:divId w:val="908807175"/>
        <w:rPr>
          <w:rFonts w:eastAsia="Times New Roman"/>
        </w:rPr>
      </w:pPr>
      <w:r>
        <w:rPr>
          <w:rFonts w:ascii="Arial" w:eastAsia="Times New Roman" w:hAnsi="Arial" w:cs="Arial"/>
          <w:b/>
          <w:bCs/>
          <w:color w:val="000000"/>
          <w:sz w:val="20"/>
          <w:szCs w:val="20"/>
        </w:rPr>
        <w:t>CREDIT FACILITIES</w:t>
      </w:r>
    </w:p>
    <w:p w:rsidR="00000000" w:rsidRDefault="001F1FC8">
      <w:pPr>
        <w:divId w:val="1477260810"/>
        <w:rPr>
          <w:rFonts w:eastAsia="Times New Roman"/>
        </w:rPr>
      </w:pPr>
      <w:r>
        <w:rPr>
          <w:rFonts w:ascii="Arial" w:eastAsia="Times New Roman" w:hAnsi="Arial" w:cs="Arial"/>
          <w:color w:val="000000"/>
          <w:sz w:val="20"/>
          <w:szCs w:val="20"/>
        </w:rPr>
        <w:t>The following table provides details of our committed credit facilities as at December 31, 2021:</w:t>
      </w:r>
    </w:p>
    <w:tbl>
      <w:tblPr>
        <w:tblW w:w="5000" w:type="pct"/>
        <w:tblCellMar>
          <w:top w:w="15" w:type="dxa"/>
          <w:left w:w="15" w:type="dxa"/>
          <w:bottom w:w="15" w:type="dxa"/>
          <w:right w:w="15" w:type="dxa"/>
        </w:tblCellMar>
        <w:tblLook w:val="04A0" w:firstRow="1" w:lastRow="0" w:firstColumn="1" w:lastColumn="0" w:noHBand="0" w:noVBand="1"/>
      </w:tblPr>
      <w:tblGrid>
        <w:gridCol w:w="69"/>
        <w:gridCol w:w="4370"/>
        <w:gridCol w:w="38"/>
        <w:gridCol w:w="72"/>
        <w:gridCol w:w="848"/>
        <w:gridCol w:w="36"/>
        <w:gridCol w:w="72"/>
        <w:gridCol w:w="848"/>
        <w:gridCol w:w="36"/>
        <w:gridCol w:w="69"/>
        <w:gridCol w:w="852"/>
        <w:gridCol w:w="36"/>
        <w:gridCol w:w="74"/>
        <w:gridCol w:w="850"/>
        <w:gridCol w:w="36"/>
      </w:tblGrid>
      <w:tr w:rsidR="00000000">
        <w:trPr>
          <w:divId w:val="304358122"/>
        </w:trPr>
        <w:tc>
          <w:tcPr>
            <w:tcW w:w="50" w:type="pct"/>
            <w:vAlign w:val="center"/>
            <w:hideMark/>
          </w:tcPr>
          <w:p w:rsidR="00000000" w:rsidRDefault="001F1FC8">
            <w:pPr>
              <w:rPr>
                <w:rFonts w:eastAsia="Times New Roman"/>
              </w:rPr>
            </w:pPr>
          </w:p>
        </w:tc>
        <w:tc>
          <w:tcPr>
            <w:tcW w:w="2637"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c>
          <w:tcPr>
            <w:tcW w:w="50" w:type="pct"/>
            <w:vAlign w:val="center"/>
            <w:hideMark/>
          </w:tcPr>
          <w:p w:rsidR="00000000" w:rsidRDefault="001F1FC8">
            <w:pPr>
              <w:rPr>
                <w:rFonts w:eastAsia="Times New Roman"/>
                <w:sz w:val="20"/>
                <w:szCs w:val="20"/>
              </w:rPr>
            </w:pPr>
          </w:p>
        </w:tc>
        <w:tc>
          <w:tcPr>
            <w:tcW w:w="521"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c>
          <w:tcPr>
            <w:tcW w:w="50" w:type="pct"/>
            <w:vAlign w:val="center"/>
            <w:hideMark/>
          </w:tcPr>
          <w:p w:rsidR="00000000" w:rsidRDefault="001F1FC8">
            <w:pPr>
              <w:rPr>
                <w:rFonts w:eastAsia="Times New Roman"/>
                <w:sz w:val="20"/>
                <w:szCs w:val="20"/>
              </w:rPr>
            </w:pPr>
          </w:p>
        </w:tc>
        <w:tc>
          <w:tcPr>
            <w:tcW w:w="521"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c>
          <w:tcPr>
            <w:tcW w:w="50" w:type="pct"/>
            <w:vAlign w:val="center"/>
            <w:hideMark/>
          </w:tcPr>
          <w:p w:rsidR="00000000" w:rsidRDefault="001F1FC8">
            <w:pPr>
              <w:rPr>
                <w:rFonts w:eastAsia="Times New Roman"/>
                <w:sz w:val="20"/>
                <w:szCs w:val="20"/>
              </w:rPr>
            </w:pPr>
          </w:p>
        </w:tc>
        <w:tc>
          <w:tcPr>
            <w:tcW w:w="521"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c>
          <w:tcPr>
            <w:tcW w:w="50" w:type="pct"/>
            <w:vAlign w:val="center"/>
            <w:hideMark/>
          </w:tcPr>
          <w:p w:rsidR="00000000" w:rsidRDefault="001F1FC8">
            <w:pPr>
              <w:rPr>
                <w:rFonts w:eastAsia="Times New Roman"/>
                <w:sz w:val="20"/>
                <w:szCs w:val="20"/>
              </w:rPr>
            </w:pPr>
          </w:p>
        </w:tc>
        <w:tc>
          <w:tcPr>
            <w:tcW w:w="522"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r>
      <w:tr w:rsidR="00000000">
        <w:trPr>
          <w:divId w:val="304358122"/>
        </w:trPr>
        <w:tc>
          <w:tcPr>
            <w:tcW w:w="0" w:type="auto"/>
            <w:gridSpan w:val="3"/>
            <w:tcMar>
              <w:top w:w="0" w:type="dxa"/>
              <w:left w:w="20" w:type="dxa"/>
              <w:bottom w:w="0" w:type="dxa"/>
              <w:right w:w="20" w:type="dxa"/>
            </w:tcMar>
            <w:vAlign w:val="center"/>
            <w:hideMark/>
          </w:tcPr>
          <w:p w:rsidR="00000000" w:rsidRDefault="001F1FC8">
            <w:pPr>
              <w:rPr>
                <w:rFonts w:eastAsia="Times New Roman"/>
                <w:sz w:val="20"/>
                <w:szCs w:val="20"/>
              </w:rPr>
            </w:pPr>
          </w:p>
        </w:tc>
        <w:tc>
          <w:tcPr>
            <w:tcW w:w="0" w:type="auto"/>
            <w:gridSpan w:val="3"/>
            <w:tcMar>
              <w:top w:w="30" w:type="dxa"/>
              <w:left w:w="20" w:type="dxa"/>
              <w:bottom w:w="30" w:type="dxa"/>
              <w:right w:w="20" w:type="dxa"/>
            </w:tcMar>
            <w:vAlign w:val="center"/>
            <w:hideMark/>
          </w:tcPr>
          <w:p w:rsidR="00000000" w:rsidRDefault="001F1FC8">
            <w:pPr>
              <w:jc w:val="right"/>
              <w:rPr>
                <w:rFonts w:eastAsia="Times New Roman"/>
              </w:rPr>
            </w:pPr>
            <w:r>
              <w:rPr>
                <w:rFonts w:ascii="Arial" w:eastAsia="Times New Roman" w:hAnsi="Arial" w:cs="Arial"/>
                <w:color w:val="000000"/>
                <w:sz w:val="20"/>
                <w:szCs w:val="20"/>
              </w:rPr>
              <w:t>Maturit</w:t>
            </w:r>
            <w:r>
              <w:rPr>
                <w:rFonts w:ascii="Arial" w:eastAsia="Times New Roman" w:hAnsi="Arial" w:cs="Arial"/>
                <w:color w:val="000000"/>
                <w:sz w:val="20"/>
                <w:szCs w:val="20"/>
              </w:rPr>
              <w:t>y</w:t>
            </w:r>
            <w:r>
              <w:rPr>
                <w:rFonts w:ascii="Arial" w:eastAsia="Times New Roman" w:hAnsi="Arial" w:cs="Arial"/>
                <w:color w:val="000000"/>
                <w:sz w:val="13"/>
                <w:szCs w:val="13"/>
              </w:rPr>
              <w:t>1</w:t>
            </w:r>
          </w:p>
        </w:tc>
        <w:tc>
          <w:tcPr>
            <w:tcW w:w="0" w:type="auto"/>
            <w:gridSpan w:val="3"/>
            <w:tcMar>
              <w:top w:w="30" w:type="dxa"/>
              <w:left w:w="20" w:type="dxa"/>
              <w:bottom w:w="30" w:type="dxa"/>
              <w:right w:w="20" w:type="dxa"/>
            </w:tcMar>
            <w:vAlign w:val="center"/>
            <w:hideMark/>
          </w:tcPr>
          <w:p w:rsidR="00000000" w:rsidRDefault="001F1FC8">
            <w:pPr>
              <w:jc w:val="right"/>
              <w:rPr>
                <w:rFonts w:eastAsia="Times New Roman"/>
              </w:rPr>
            </w:pPr>
            <w:r>
              <w:rPr>
                <w:rFonts w:ascii="Arial" w:eastAsia="Times New Roman" w:hAnsi="Arial" w:cs="Arial"/>
                <w:color w:val="000000"/>
                <w:sz w:val="20"/>
                <w:szCs w:val="20"/>
              </w:rPr>
              <w:t>Total Facilities</w:t>
            </w:r>
          </w:p>
        </w:tc>
        <w:tc>
          <w:tcPr>
            <w:tcW w:w="0" w:type="auto"/>
            <w:gridSpan w:val="3"/>
            <w:tcMar>
              <w:top w:w="30" w:type="dxa"/>
              <w:left w:w="20" w:type="dxa"/>
              <w:bottom w:w="30" w:type="dxa"/>
              <w:right w:w="20" w:type="dxa"/>
            </w:tcMar>
            <w:vAlign w:val="center"/>
            <w:hideMark/>
          </w:tcPr>
          <w:p w:rsidR="00000000" w:rsidRDefault="001F1FC8">
            <w:pPr>
              <w:jc w:val="right"/>
              <w:rPr>
                <w:rFonts w:eastAsia="Times New Roman"/>
              </w:rPr>
            </w:pPr>
            <w:r>
              <w:rPr>
                <w:rFonts w:ascii="Arial" w:eastAsia="Times New Roman" w:hAnsi="Arial" w:cs="Arial"/>
                <w:color w:val="000000"/>
                <w:sz w:val="20"/>
                <w:szCs w:val="20"/>
              </w:rPr>
              <w:t>Draw</w:t>
            </w:r>
            <w:r>
              <w:rPr>
                <w:rFonts w:ascii="Arial" w:eastAsia="Times New Roman" w:hAnsi="Arial" w:cs="Arial"/>
                <w:color w:val="000000"/>
                <w:sz w:val="20"/>
                <w:szCs w:val="20"/>
              </w:rPr>
              <w:t>s</w:t>
            </w:r>
            <w:r>
              <w:rPr>
                <w:rFonts w:ascii="Arial" w:eastAsia="Times New Roman" w:hAnsi="Arial" w:cs="Arial"/>
                <w:color w:val="000000"/>
                <w:sz w:val="10"/>
                <w:szCs w:val="10"/>
              </w:rPr>
              <w:t>2</w:t>
            </w:r>
          </w:p>
        </w:tc>
        <w:tc>
          <w:tcPr>
            <w:tcW w:w="0" w:type="auto"/>
            <w:gridSpan w:val="3"/>
            <w:tcMar>
              <w:top w:w="30" w:type="dxa"/>
              <w:left w:w="20" w:type="dxa"/>
              <w:bottom w:w="30" w:type="dxa"/>
              <w:right w:w="20" w:type="dxa"/>
            </w:tcMar>
            <w:vAlign w:val="center"/>
            <w:hideMark/>
          </w:tcPr>
          <w:p w:rsidR="00000000" w:rsidRDefault="001F1FC8">
            <w:pPr>
              <w:jc w:val="right"/>
              <w:rPr>
                <w:rFonts w:eastAsia="Times New Roman"/>
              </w:rPr>
            </w:pPr>
            <w:r>
              <w:rPr>
                <w:rFonts w:ascii="Arial" w:eastAsia="Times New Roman" w:hAnsi="Arial" w:cs="Arial"/>
                <w:color w:val="000000"/>
                <w:sz w:val="20"/>
                <w:szCs w:val="20"/>
              </w:rPr>
              <w:t>Available</w:t>
            </w:r>
          </w:p>
        </w:tc>
      </w:tr>
      <w:tr w:rsidR="00000000">
        <w:trPr>
          <w:divId w:val="304358122"/>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1F1FC8">
            <w:pPr>
              <w:rPr>
                <w:rFonts w:eastAsia="Times New Roman"/>
              </w:rPr>
            </w:pPr>
            <w:r>
              <w:rPr>
                <w:rFonts w:ascii="Arial" w:eastAsia="Times New Roman" w:hAnsi="Arial" w:cs="Arial"/>
                <w:i/>
                <w:iCs/>
                <w:color w:val="000000"/>
                <w:sz w:val="16"/>
                <w:szCs w:val="16"/>
              </w:rPr>
              <w:t>(millions of Canadian dollars)</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1F1FC8">
            <w:pPr>
              <w:jc w:val="right"/>
              <w:rPr>
                <w:rFonts w:eastAsia="Times New Roman"/>
              </w:rPr>
            </w:pPr>
            <w:r>
              <w:rPr>
                <w:rFonts w:ascii="Arial" w:eastAsia="Times New Roman" w:hAnsi="Arial" w:cs="Arial"/>
                <w:color w:val="000000"/>
                <w:sz w:val="20"/>
                <w:szCs w:val="20"/>
              </w:rPr>
              <w:t> </w:t>
            </w:r>
          </w:p>
        </w:tc>
        <w:tc>
          <w:tcPr>
            <w:tcW w:w="0" w:type="auto"/>
            <w:gridSpan w:val="3"/>
            <w:tcBorders>
              <w:top w:val="single" w:sz="4" w:space="0" w:color="000000"/>
            </w:tcBorders>
            <w:shd w:val="clear" w:color="auto" w:fill="D9D9D9"/>
            <w:tcMar>
              <w:top w:w="30" w:type="dxa"/>
              <w:left w:w="20" w:type="dxa"/>
              <w:bottom w:w="30" w:type="dxa"/>
              <w:right w:w="20" w:type="dxa"/>
            </w:tcMar>
            <w:vAlign w:val="center"/>
            <w:hideMark/>
          </w:tcPr>
          <w:p w:rsidR="00000000" w:rsidRDefault="001F1FC8">
            <w:pPr>
              <w:jc w:val="right"/>
              <w:rPr>
                <w:rFonts w:eastAsia="Times New Roman"/>
              </w:rPr>
            </w:pPr>
            <w:r>
              <w:rPr>
                <w:rFonts w:ascii="Arial" w:eastAsia="Times New Roman" w:hAnsi="Arial" w:cs="Arial"/>
                <w:color w:val="000000"/>
                <w:sz w:val="20"/>
                <w:szCs w:val="20"/>
              </w:rPr>
              <w:t> </w:t>
            </w:r>
          </w:p>
        </w:tc>
        <w:tc>
          <w:tcPr>
            <w:tcW w:w="0" w:type="auto"/>
            <w:gridSpan w:val="3"/>
            <w:tcBorders>
              <w:top w:val="single" w:sz="4" w:space="0" w:color="000000"/>
            </w:tcBorders>
            <w:shd w:val="clear" w:color="auto" w:fill="D9D9D9"/>
            <w:tcMar>
              <w:top w:w="30" w:type="dxa"/>
              <w:left w:w="20" w:type="dxa"/>
              <w:bottom w:w="30" w:type="dxa"/>
              <w:right w:w="20" w:type="dxa"/>
            </w:tcMar>
            <w:vAlign w:val="center"/>
            <w:hideMark/>
          </w:tcPr>
          <w:p w:rsidR="00000000" w:rsidRDefault="001F1FC8">
            <w:pPr>
              <w:jc w:val="right"/>
              <w:rPr>
                <w:rFonts w:eastAsia="Times New Roman"/>
              </w:rPr>
            </w:pPr>
            <w:r>
              <w:rPr>
                <w:rFonts w:ascii="Arial" w:eastAsia="Times New Roman" w:hAnsi="Arial" w:cs="Arial"/>
                <w:color w:val="000000"/>
                <w:sz w:val="20"/>
                <w:szCs w:val="20"/>
              </w:rPr>
              <w:t> </w:t>
            </w:r>
          </w:p>
        </w:tc>
        <w:tc>
          <w:tcPr>
            <w:tcW w:w="0" w:type="auto"/>
            <w:gridSpan w:val="3"/>
            <w:tcBorders>
              <w:top w:val="single" w:sz="4" w:space="0" w:color="000000"/>
            </w:tcBorders>
            <w:shd w:val="clear" w:color="auto" w:fill="D9D9D9"/>
            <w:tcMar>
              <w:top w:w="30" w:type="dxa"/>
              <w:left w:w="20" w:type="dxa"/>
              <w:bottom w:w="30" w:type="dxa"/>
              <w:right w:w="20" w:type="dxa"/>
            </w:tcMar>
            <w:vAlign w:val="center"/>
            <w:hideMark/>
          </w:tcPr>
          <w:p w:rsidR="00000000" w:rsidRDefault="001F1FC8">
            <w:pPr>
              <w:jc w:val="right"/>
              <w:rPr>
                <w:rFonts w:eastAsia="Times New Roman"/>
              </w:rPr>
            </w:pPr>
            <w:r>
              <w:rPr>
                <w:rFonts w:ascii="Arial" w:eastAsia="Times New Roman" w:hAnsi="Arial" w:cs="Arial"/>
                <w:color w:val="000000"/>
                <w:sz w:val="20"/>
                <w:szCs w:val="20"/>
              </w:rPr>
              <w:t> </w:t>
            </w:r>
          </w:p>
        </w:tc>
      </w:tr>
      <w:tr w:rsidR="00000000">
        <w:trPr>
          <w:divId w:val="304358122"/>
        </w:trPr>
        <w:tc>
          <w:tcPr>
            <w:tcW w:w="0" w:type="auto"/>
            <w:gridSpan w:val="3"/>
            <w:tcMar>
              <w:top w:w="30" w:type="dxa"/>
              <w:left w:w="20" w:type="dxa"/>
              <w:bottom w:w="30" w:type="dxa"/>
              <w:right w:w="20" w:type="dxa"/>
            </w:tcMar>
            <w:vAlign w:val="center"/>
            <w:hideMark/>
          </w:tcPr>
          <w:p w:rsidR="00000000" w:rsidRDefault="001F1FC8">
            <w:pPr>
              <w:rPr>
                <w:rFonts w:eastAsia="Times New Roman"/>
              </w:rPr>
            </w:pPr>
            <w:r>
              <w:rPr>
                <w:rFonts w:ascii="Arial" w:eastAsia="Times New Roman" w:hAnsi="Arial" w:cs="Arial"/>
                <w:color w:val="000000"/>
                <w:sz w:val="20"/>
                <w:szCs w:val="20"/>
              </w:rPr>
              <w:t>Enbridge Inc.</w:t>
            </w:r>
          </w:p>
        </w:tc>
        <w:tc>
          <w:tcPr>
            <w:tcW w:w="0" w:type="auto"/>
            <w:gridSpan w:val="3"/>
            <w:tcMar>
              <w:top w:w="30" w:type="dxa"/>
              <w:left w:w="20" w:type="dxa"/>
              <w:bottom w:w="30" w:type="dxa"/>
              <w:right w:w="20" w:type="dxa"/>
            </w:tcMar>
            <w:vAlign w:val="center"/>
            <w:hideMark/>
          </w:tcPr>
          <w:p w:rsidR="00000000" w:rsidRDefault="001F1FC8">
            <w:pPr>
              <w:jc w:val="right"/>
              <w:rPr>
                <w:rFonts w:eastAsia="Times New Roman"/>
              </w:rPr>
            </w:pPr>
            <w:r>
              <w:rPr>
                <w:rFonts w:ascii="Arial" w:eastAsia="Times New Roman" w:hAnsi="Arial" w:cs="Arial"/>
                <w:color w:val="000000"/>
                <w:sz w:val="20"/>
                <w:szCs w:val="20"/>
              </w:rPr>
              <w:t>2022-2026</w:t>
            </w:r>
          </w:p>
        </w:tc>
        <w:tc>
          <w:tcPr>
            <w:tcW w:w="0" w:type="auto"/>
            <w:gridSpan w:val="2"/>
            <w:shd w:val="clear" w:color="auto" w:fill="DBDBDB"/>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20"/>
                <w:szCs w:val="20"/>
              </w:rPr>
              <w:t>9,137</w:t>
            </w:r>
            <w:r>
              <w:rPr>
                <w:rFonts w:ascii="Arial" w:eastAsia="Times New Roman" w:hAnsi="Arial" w:cs="Arial"/>
                <w:color w:val="000000"/>
                <w:sz w:val="20"/>
                <w:szCs w:val="20"/>
              </w:rPr>
              <w:t> </w:t>
            </w:r>
          </w:p>
        </w:tc>
        <w:tc>
          <w:tcPr>
            <w:tcW w:w="0" w:type="auto"/>
            <w:shd w:val="clear" w:color="auto" w:fill="DBDBDB"/>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shd w:val="clear" w:color="auto" w:fill="DBDBDB"/>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20"/>
                <w:szCs w:val="20"/>
              </w:rPr>
              <w:t>7,837</w:t>
            </w:r>
            <w:r>
              <w:rPr>
                <w:rFonts w:ascii="Arial" w:eastAsia="Times New Roman" w:hAnsi="Arial" w:cs="Arial"/>
                <w:color w:val="000000"/>
                <w:sz w:val="20"/>
                <w:szCs w:val="20"/>
              </w:rPr>
              <w:t> </w:t>
            </w:r>
          </w:p>
        </w:tc>
        <w:tc>
          <w:tcPr>
            <w:tcW w:w="0" w:type="auto"/>
            <w:shd w:val="clear" w:color="auto" w:fill="DBDBDB"/>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b/>
                <w:bCs/>
                <w:color w:val="000000"/>
                <w:sz w:val="20"/>
                <w:szCs w:val="20"/>
              </w:rPr>
              <w:t>1,300</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1F1FC8">
            <w:pPr>
              <w:jc w:val="right"/>
              <w:rPr>
                <w:rFonts w:eastAsia="Times New Roman"/>
              </w:rPr>
            </w:pPr>
          </w:p>
        </w:tc>
      </w:tr>
      <w:tr w:rsidR="00000000">
        <w:trPr>
          <w:divId w:val="304358122"/>
        </w:trPr>
        <w:tc>
          <w:tcPr>
            <w:tcW w:w="0" w:type="auto"/>
            <w:gridSpan w:val="3"/>
            <w:tcMar>
              <w:top w:w="30" w:type="dxa"/>
              <w:left w:w="20" w:type="dxa"/>
              <w:bottom w:w="30" w:type="dxa"/>
              <w:right w:w="20" w:type="dxa"/>
            </w:tcMar>
            <w:vAlign w:val="center"/>
            <w:hideMark/>
          </w:tcPr>
          <w:p w:rsidR="00000000" w:rsidRDefault="001F1FC8">
            <w:pPr>
              <w:rPr>
                <w:rFonts w:eastAsia="Times New Roman"/>
              </w:rPr>
            </w:pPr>
            <w:r>
              <w:rPr>
                <w:rFonts w:ascii="Arial" w:eastAsia="Times New Roman" w:hAnsi="Arial" w:cs="Arial"/>
                <w:color w:val="000000"/>
                <w:sz w:val="20"/>
                <w:szCs w:val="20"/>
              </w:rPr>
              <w:t>Enbridge (U.S.) Inc.</w:t>
            </w:r>
          </w:p>
        </w:tc>
        <w:tc>
          <w:tcPr>
            <w:tcW w:w="0" w:type="auto"/>
            <w:gridSpan w:val="3"/>
            <w:tcMar>
              <w:top w:w="30" w:type="dxa"/>
              <w:left w:w="20" w:type="dxa"/>
              <w:bottom w:w="30" w:type="dxa"/>
              <w:right w:w="20" w:type="dxa"/>
            </w:tcMar>
            <w:vAlign w:val="center"/>
            <w:hideMark/>
          </w:tcPr>
          <w:p w:rsidR="00000000" w:rsidRDefault="001F1FC8">
            <w:pPr>
              <w:jc w:val="right"/>
              <w:rPr>
                <w:rFonts w:eastAsia="Times New Roman"/>
              </w:rPr>
            </w:pPr>
            <w:r>
              <w:rPr>
                <w:rFonts w:ascii="Arial" w:eastAsia="Times New Roman" w:hAnsi="Arial" w:cs="Arial"/>
                <w:color w:val="000000"/>
                <w:sz w:val="20"/>
                <w:szCs w:val="20"/>
              </w:rPr>
              <w:t>2023-2026</w:t>
            </w:r>
          </w:p>
        </w:tc>
        <w:tc>
          <w:tcPr>
            <w:tcW w:w="0" w:type="auto"/>
            <w:gridSpan w:val="2"/>
            <w:shd w:val="clear" w:color="auto" w:fill="DBDBDB"/>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20"/>
                <w:szCs w:val="20"/>
              </w:rPr>
              <w:t>6,948</w:t>
            </w:r>
            <w:r>
              <w:rPr>
                <w:rFonts w:ascii="Arial" w:eastAsia="Times New Roman" w:hAnsi="Arial" w:cs="Arial"/>
                <w:color w:val="000000"/>
                <w:sz w:val="20"/>
                <w:szCs w:val="20"/>
              </w:rPr>
              <w:t> </w:t>
            </w:r>
          </w:p>
        </w:tc>
        <w:tc>
          <w:tcPr>
            <w:tcW w:w="0" w:type="auto"/>
            <w:shd w:val="clear" w:color="auto" w:fill="DBDBDB"/>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shd w:val="clear" w:color="auto" w:fill="DBDBDB"/>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20"/>
                <w:szCs w:val="20"/>
              </w:rPr>
              <w:t>4,845</w:t>
            </w:r>
            <w:r>
              <w:rPr>
                <w:rFonts w:ascii="Arial" w:eastAsia="Times New Roman" w:hAnsi="Arial" w:cs="Arial"/>
                <w:color w:val="000000"/>
                <w:sz w:val="20"/>
                <w:szCs w:val="20"/>
              </w:rPr>
              <w:t> </w:t>
            </w:r>
          </w:p>
        </w:tc>
        <w:tc>
          <w:tcPr>
            <w:tcW w:w="0" w:type="auto"/>
            <w:shd w:val="clear" w:color="auto" w:fill="DBDBDB"/>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b/>
                <w:bCs/>
                <w:color w:val="000000"/>
                <w:sz w:val="20"/>
                <w:szCs w:val="20"/>
              </w:rPr>
              <w:t>2,103</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1F1FC8">
            <w:pPr>
              <w:jc w:val="right"/>
              <w:rPr>
                <w:rFonts w:eastAsia="Times New Roman"/>
              </w:rPr>
            </w:pPr>
          </w:p>
        </w:tc>
      </w:tr>
      <w:tr w:rsidR="00000000">
        <w:trPr>
          <w:divId w:val="304358122"/>
        </w:trPr>
        <w:tc>
          <w:tcPr>
            <w:tcW w:w="0" w:type="auto"/>
            <w:gridSpan w:val="3"/>
            <w:tcMar>
              <w:top w:w="30" w:type="dxa"/>
              <w:left w:w="20" w:type="dxa"/>
              <w:bottom w:w="30" w:type="dxa"/>
              <w:right w:w="20" w:type="dxa"/>
            </w:tcMar>
            <w:vAlign w:val="center"/>
            <w:hideMark/>
          </w:tcPr>
          <w:p w:rsidR="00000000" w:rsidRDefault="001F1FC8">
            <w:pPr>
              <w:rPr>
                <w:rFonts w:eastAsia="Times New Roman"/>
              </w:rPr>
            </w:pPr>
            <w:r>
              <w:rPr>
                <w:rFonts w:ascii="Arial" w:eastAsia="Times New Roman" w:hAnsi="Arial" w:cs="Arial"/>
                <w:color w:val="000000"/>
                <w:sz w:val="20"/>
                <w:szCs w:val="20"/>
              </w:rPr>
              <w:t>Enbridge Pipelines Inc.</w:t>
            </w:r>
          </w:p>
        </w:tc>
        <w:tc>
          <w:tcPr>
            <w:tcW w:w="0" w:type="auto"/>
            <w:gridSpan w:val="3"/>
            <w:tcMar>
              <w:top w:w="30" w:type="dxa"/>
              <w:left w:w="20" w:type="dxa"/>
              <w:bottom w:w="30" w:type="dxa"/>
              <w:right w:w="20" w:type="dxa"/>
            </w:tcMar>
            <w:vAlign w:val="center"/>
            <w:hideMark/>
          </w:tcPr>
          <w:p w:rsidR="00000000" w:rsidRDefault="001F1FC8">
            <w:pPr>
              <w:jc w:val="right"/>
              <w:rPr>
                <w:rFonts w:eastAsia="Times New Roman"/>
              </w:rPr>
            </w:pPr>
            <w:r>
              <w:rPr>
                <w:rFonts w:ascii="Arial" w:eastAsia="Times New Roman" w:hAnsi="Arial" w:cs="Arial"/>
                <w:color w:val="000000"/>
                <w:sz w:val="20"/>
                <w:szCs w:val="20"/>
              </w:rPr>
              <w:t>2023</w:t>
            </w:r>
          </w:p>
        </w:tc>
        <w:tc>
          <w:tcPr>
            <w:tcW w:w="0" w:type="auto"/>
            <w:gridSpan w:val="2"/>
            <w:shd w:val="clear" w:color="auto" w:fill="DBDBDB"/>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20"/>
                <w:szCs w:val="20"/>
              </w:rPr>
              <w:t>3,000</w:t>
            </w:r>
            <w:r>
              <w:rPr>
                <w:rFonts w:ascii="Arial" w:eastAsia="Times New Roman" w:hAnsi="Arial" w:cs="Arial"/>
                <w:color w:val="000000"/>
                <w:sz w:val="20"/>
                <w:szCs w:val="20"/>
              </w:rPr>
              <w:t> </w:t>
            </w:r>
          </w:p>
        </w:tc>
        <w:tc>
          <w:tcPr>
            <w:tcW w:w="0" w:type="auto"/>
            <w:shd w:val="clear" w:color="auto" w:fill="DBDBDB"/>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shd w:val="clear" w:color="auto" w:fill="DBDBDB"/>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20"/>
                <w:szCs w:val="20"/>
              </w:rPr>
              <w:t>667</w:t>
            </w:r>
            <w:r>
              <w:rPr>
                <w:rFonts w:ascii="Arial" w:eastAsia="Times New Roman" w:hAnsi="Arial" w:cs="Arial"/>
                <w:color w:val="000000"/>
                <w:sz w:val="20"/>
                <w:szCs w:val="20"/>
              </w:rPr>
              <w:t> </w:t>
            </w:r>
          </w:p>
        </w:tc>
        <w:tc>
          <w:tcPr>
            <w:tcW w:w="0" w:type="auto"/>
            <w:shd w:val="clear" w:color="auto" w:fill="DBDBDB"/>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b/>
                <w:bCs/>
                <w:color w:val="000000"/>
                <w:sz w:val="20"/>
                <w:szCs w:val="20"/>
              </w:rPr>
              <w:t>2,333</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1F1FC8">
            <w:pPr>
              <w:jc w:val="right"/>
              <w:rPr>
                <w:rFonts w:eastAsia="Times New Roman"/>
              </w:rPr>
            </w:pPr>
          </w:p>
        </w:tc>
      </w:tr>
      <w:tr w:rsidR="00000000">
        <w:trPr>
          <w:divId w:val="304358122"/>
        </w:trPr>
        <w:tc>
          <w:tcPr>
            <w:tcW w:w="0" w:type="auto"/>
            <w:gridSpan w:val="3"/>
            <w:tcMar>
              <w:top w:w="30" w:type="dxa"/>
              <w:left w:w="20" w:type="dxa"/>
              <w:bottom w:w="30" w:type="dxa"/>
              <w:right w:w="20" w:type="dxa"/>
            </w:tcMar>
            <w:vAlign w:val="center"/>
            <w:hideMark/>
          </w:tcPr>
          <w:p w:rsidR="00000000" w:rsidRDefault="001F1FC8">
            <w:pPr>
              <w:rPr>
                <w:rFonts w:eastAsia="Times New Roman"/>
              </w:rPr>
            </w:pPr>
            <w:r>
              <w:rPr>
                <w:rFonts w:ascii="Arial" w:eastAsia="Times New Roman" w:hAnsi="Arial" w:cs="Arial"/>
                <w:color w:val="000000"/>
                <w:sz w:val="20"/>
                <w:szCs w:val="20"/>
              </w:rPr>
              <w:t>Enbridge Gas Inc.</w:t>
            </w:r>
          </w:p>
        </w:tc>
        <w:tc>
          <w:tcPr>
            <w:tcW w:w="0" w:type="auto"/>
            <w:gridSpan w:val="3"/>
            <w:tcMar>
              <w:top w:w="30" w:type="dxa"/>
              <w:left w:w="20" w:type="dxa"/>
              <w:bottom w:w="30" w:type="dxa"/>
              <w:right w:w="20" w:type="dxa"/>
            </w:tcMar>
            <w:vAlign w:val="center"/>
            <w:hideMark/>
          </w:tcPr>
          <w:p w:rsidR="00000000" w:rsidRDefault="001F1FC8">
            <w:pPr>
              <w:jc w:val="right"/>
              <w:rPr>
                <w:rFonts w:eastAsia="Times New Roman"/>
              </w:rPr>
            </w:pPr>
            <w:r>
              <w:rPr>
                <w:rFonts w:ascii="Arial" w:eastAsia="Times New Roman" w:hAnsi="Arial" w:cs="Arial"/>
                <w:color w:val="000000"/>
                <w:sz w:val="20"/>
                <w:szCs w:val="20"/>
              </w:rPr>
              <w:t>2023</w:t>
            </w:r>
          </w:p>
        </w:tc>
        <w:tc>
          <w:tcPr>
            <w:tcW w:w="0" w:type="auto"/>
            <w:gridSpan w:val="2"/>
            <w:shd w:val="clear" w:color="auto" w:fill="DBDBDB"/>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20"/>
                <w:szCs w:val="20"/>
              </w:rPr>
              <w:t>2,000</w:t>
            </w:r>
            <w:r>
              <w:rPr>
                <w:rFonts w:ascii="Arial" w:eastAsia="Times New Roman" w:hAnsi="Arial" w:cs="Arial"/>
                <w:color w:val="000000"/>
                <w:sz w:val="20"/>
                <w:szCs w:val="20"/>
              </w:rPr>
              <w:t> </w:t>
            </w:r>
          </w:p>
        </w:tc>
        <w:tc>
          <w:tcPr>
            <w:tcW w:w="0" w:type="auto"/>
            <w:shd w:val="clear" w:color="auto" w:fill="DBDBDB"/>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shd w:val="clear" w:color="auto" w:fill="DBDBDB"/>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20"/>
                <w:szCs w:val="20"/>
              </w:rPr>
              <w:t>1,515</w:t>
            </w:r>
            <w:r>
              <w:rPr>
                <w:rFonts w:ascii="Arial" w:eastAsia="Times New Roman" w:hAnsi="Arial" w:cs="Arial"/>
                <w:color w:val="000000"/>
                <w:sz w:val="20"/>
                <w:szCs w:val="20"/>
              </w:rPr>
              <w:t> </w:t>
            </w:r>
          </w:p>
        </w:tc>
        <w:tc>
          <w:tcPr>
            <w:tcW w:w="0" w:type="auto"/>
            <w:shd w:val="clear" w:color="auto" w:fill="DBDBDB"/>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b/>
                <w:bCs/>
                <w:color w:val="000000"/>
                <w:sz w:val="20"/>
                <w:szCs w:val="20"/>
              </w:rPr>
              <w:t>485</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1F1FC8">
            <w:pPr>
              <w:jc w:val="right"/>
              <w:rPr>
                <w:rFonts w:eastAsia="Times New Roman"/>
              </w:rPr>
            </w:pPr>
          </w:p>
        </w:tc>
      </w:tr>
      <w:tr w:rsidR="00000000">
        <w:trPr>
          <w:divId w:val="304358122"/>
        </w:trPr>
        <w:tc>
          <w:tcPr>
            <w:tcW w:w="0" w:type="auto"/>
            <w:gridSpan w:val="3"/>
            <w:tcBorders>
              <w:top w:val="single" w:sz="4" w:space="0" w:color="000000"/>
              <w:bottom w:val="single" w:sz="8" w:space="0" w:color="000000"/>
            </w:tcBorders>
            <w:tcMar>
              <w:top w:w="30" w:type="dxa"/>
              <w:left w:w="20" w:type="dxa"/>
              <w:bottom w:w="30" w:type="dxa"/>
              <w:right w:w="20" w:type="dxa"/>
            </w:tcMar>
            <w:vAlign w:val="center"/>
            <w:hideMark/>
          </w:tcPr>
          <w:p w:rsidR="00000000" w:rsidRDefault="001F1FC8">
            <w:pPr>
              <w:rPr>
                <w:rFonts w:eastAsia="Times New Roman"/>
              </w:rPr>
            </w:pPr>
            <w:r>
              <w:rPr>
                <w:rFonts w:ascii="Arial" w:eastAsia="Times New Roman" w:hAnsi="Arial" w:cs="Arial"/>
                <w:color w:val="000000"/>
                <w:sz w:val="20"/>
                <w:szCs w:val="20"/>
              </w:rPr>
              <w:t>Total committed credit facilities</w:t>
            </w:r>
          </w:p>
        </w:tc>
        <w:tc>
          <w:tcPr>
            <w:tcW w:w="0" w:type="auto"/>
            <w:gridSpan w:val="3"/>
            <w:tcBorders>
              <w:top w:val="single" w:sz="4" w:space="0" w:color="000000"/>
              <w:bottom w:val="single" w:sz="8" w:space="0" w:color="000000"/>
            </w:tcBorders>
            <w:tcMar>
              <w:top w:w="30" w:type="dxa"/>
              <w:left w:w="20" w:type="dxa"/>
              <w:bottom w:w="30" w:type="dxa"/>
              <w:right w:w="20" w:type="dxa"/>
            </w:tcMar>
            <w:vAlign w:val="center"/>
            <w:hideMark/>
          </w:tcPr>
          <w:p w:rsidR="00000000" w:rsidRDefault="001F1FC8">
            <w:pPr>
              <w:jc w:val="right"/>
              <w:rPr>
                <w:rFonts w:eastAsia="Times New Roman"/>
              </w:rPr>
            </w:pPr>
            <w:r>
              <w:rPr>
                <w:rFonts w:ascii="Arial" w:eastAsia="Times New Roman" w:hAnsi="Arial" w:cs="Arial"/>
                <w:color w:val="000000"/>
                <w:sz w:val="20"/>
                <w:szCs w:val="20"/>
              </w:rPr>
              <w:t> </w:t>
            </w:r>
          </w:p>
        </w:tc>
        <w:tc>
          <w:tcPr>
            <w:tcW w:w="0" w:type="auto"/>
            <w:gridSpan w:val="2"/>
            <w:tcBorders>
              <w:top w:val="single" w:sz="4" w:space="0" w:color="000000"/>
              <w:bottom w:val="single" w:sz="8" w:space="0" w:color="000000"/>
            </w:tcBorders>
            <w:shd w:val="clear" w:color="auto" w:fill="D9D9D9"/>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b/>
                <w:bCs/>
                <w:color w:val="000000"/>
                <w:sz w:val="20"/>
                <w:szCs w:val="20"/>
              </w:rPr>
              <w:t>21,085</w:t>
            </w:r>
            <w:r>
              <w:rPr>
                <w:rFonts w:ascii="Arial" w:eastAsia="Times New Roman" w:hAnsi="Arial" w:cs="Arial"/>
                <w:color w:val="000000"/>
                <w:sz w:val="20"/>
                <w:szCs w:val="20"/>
              </w:rPr>
              <w:t> </w:t>
            </w:r>
          </w:p>
        </w:tc>
        <w:tc>
          <w:tcPr>
            <w:tcW w:w="0" w:type="auto"/>
            <w:tcBorders>
              <w:top w:val="single" w:sz="4" w:space="0" w:color="000000"/>
              <w:bottom w:val="single" w:sz="8" w:space="0" w:color="000000"/>
            </w:tcBorders>
            <w:shd w:val="clear" w:color="auto" w:fill="D9D9D9"/>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Borders>
              <w:top w:val="single" w:sz="4" w:space="0" w:color="000000"/>
              <w:bottom w:val="single" w:sz="8" w:space="0" w:color="000000"/>
            </w:tcBorders>
            <w:shd w:val="clear" w:color="auto" w:fill="D9D9D9"/>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b/>
                <w:bCs/>
                <w:color w:val="000000"/>
                <w:sz w:val="20"/>
                <w:szCs w:val="20"/>
              </w:rPr>
              <w:t>14,864</w:t>
            </w:r>
            <w:r>
              <w:rPr>
                <w:rFonts w:ascii="Arial" w:eastAsia="Times New Roman" w:hAnsi="Arial" w:cs="Arial"/>
                <w:color w:val="000000"/>
                <w:sz w:val="20"/>
                <w:szCs w:val="20"/>
              </w:rPr>
              <w:t> </w:t>
            </w:r>
          </w:p>
        </w:tc>
        <w:tc>
          <w:tcPr>
            <w:tcW w:w="0" w:type="auto"/>
            <w:tcBorders>
              <w:top w:val="single" w:sz="4" w:space="0" w:color="000000"/>
              <w:bottom w:val="single" w:sz="8" w:space="0" w:color="000000"/>
            </w:tcBorders>
            <w:shd w:val="clear" w:color="auto" w:fill="D9D9D9"/>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Borders>
              <w:top w:val="single" w:sz="4" w:space="0" w:color="000000"/>
              <w:bottom w:val="single" w:sz="8" w:space="0" w:color="000000"/>
            </w:tcBorders>
            <w:shd w:val="clear" w:color="auto" w:fill="D9D9D9"/>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b/>
                <w:bCs/>
                <w:color w:val="000000"/>
                <w:sz w:val="20"/>
                <w:szCs w:val="20"/>
              </w:rPr>
              <w:t>6,221</w:t>
            </w:r>
            <w:r>
              <w:rPr>
                <w:rFonts w:ascii="Arial" w:eastAsia="Times New Roman" w:hAnsi="Arial" w:cs="Arial"/>
                <w:color w:val="000000"/>
                <w:sz w:val="20"/>
                <w:szCs w:val="20"/>
              </w:rPr>
              <w:t> </w:t>
            </w:r>
          </w:p>
        </w:tc>
        <w:tc>
          <w:tcPr>
            <w:tcW w:w="0" w:type="auto"/>
            <w:tcBorders>
              <w:top w:val="single" w:sz="4" w:space="0" w:color="000000"/>
              <w:bottom w:val="single" w:sz="8" w:space="0" w:color="000000"/>
            </w:tcBorders>
            <w:shd w:val="clear" w:color="auto" w:fill="D9D9D9"/>
            <w:tcMar>
              <w:top w:w="30" w:type="dxa"/>
              <w:left w:w="0" w:type="dxa"/>
              <w:bottom w:w="30" w:type="dxa"/>
              <w:right w:w="20" w:type="dxa"/>
            </w:tcMar>
            <w:vAlign w:val="center"/>
            <w:hideMark/>
          </w:tcPr>
          <w:p w:rsidR="00000000" w:rsidRDefault="001F1FC8">
            <w:pPr>
              <w:jc w:val="right"/>
              <w:rPr>
                <w:rFonts w:eastAsia="Times New Roman"/>
              </w:rPr>
            </w:pPr>
          </w:p>
        </w:tc>
      </w:tr>
    </w:tbl>
    <w:p w:rsidR="00000000" w:rsidRDefault="001F1FC8">
      <w:pPr>
        <w:ind w:hanging="180"/>
        <w:divId w:val="2028939964"/>
        <w:rPr>
          <w:rFonts w:eastAsia="Times New Roman"/>
        </w:rPr>
      </w:pPr>
      <w:r>
        <w:rPr>
          <w:rFonts w:ascii="Arial" w:eastAsia="Times New Roman" w:hAnsi="Arial" w:cs="Arial"/>
          <w:i/>
          <w:iCs/>
          <w:color w:val="000000"/>
          <w:sz w:val="16"/>
          <w:szCs w:val="16"/>
        </w:rPr>
        <w:t>1</w:t>
      </w:r>
      <w:r>
        <w:rPr>
          <w:rFonts w:ascii="Arial" w:eastAsia="Times New Roman" w:hAnsi="Arial" w:cs="Arial"/>
          <w:i/>
          <w:iCs/>
          <w:color w:val="000000"/>
          <w:sz w:val="16"/>
          <w:szCs w:val="16"/>
        </w:rPr>
        <w:t>Maturity date is inclusive of the one-year term out option for certain credit facilities.</w:t>
      </w:r>
    </w:p>
    <w:p w:rsidR="00000000" w:rsidRDefault="001F1FC8">
      <w:pPr>
        <w:ind w:hanging="180"/>
        <w:divId w:val="210769308"/>
        <w:rPr>
          <w:rFonts w:eastAsia="Times New Roman"/>
        </w:rPr>
      </w:pPr>
      <w:r>
        <w:rPr>
          <w:rFonts w:ascii="Arial" w:eastAsia="Times New Roman" w:hAnsi="Arial" w:cs="Arial"/>
          <w:i/>
          <w:iCs/>
          <w:color w:val="000000"/>
          <w:sz w:val="16"/>
          <w:szCs w:val="16"/>
        </w:rPr>
        <w:t>2Includes facility draws and commercial paper issuances that are back-stopped by credit facilities.</w:t>
      </w:r>
    </w:p>
    <w:p w:rsidR="00000000" w:rsidRDefault="001F1FC8">
      <w:pPr>
        <w:divId w:val="583346146"/>
        <w:rPr>
          <w:rFonts w:eastAsia="Times New Roman"/>
        </w:rPr>
      </w:pPr>
      <w:r>
        <w:rPr>
          <w:rFonts w:ascii="Arial" w:eastAsia="Times New Roman" w:hAnsi="Arial" w:cs="Arial"/>
          <w:color w:val="000000"/>
          <w:sz w:val="2"/>
          <w:szCs w:val="2"/>
        </w:rPr>
        <w:t> </w:t>
      </w:r>
    </w:p>
    <w:p w:rsidR="00000000" w:rsidRDefault="001F1FC8">
      <w:pPr>
        <w:divId w:val="597252526"/>
        <w:rPr>
          <w:rFonts w:eastAsia="Times New Roman"/>
        </w:rPr>
      </w:pPr>
    </w:p>
    <w:p w:rsidR="00000000" w:rsidRDefault="001F1FC8">
      <w:pPr>
        <w:divId w:val="397285359"/>
        <w:rPr>
          <w:rFonts w:eastAsia="Times New Roman"/>
        </w:rPr>
      </w:pPr>
      <w:r>
        <w:rPr>
          <w:rFonts w:ascii="Arial" w:eastAsia="Times New Roman" w:hAnsi="Arial" w:cs="Arial"/>
          <w:color w:val="000000"/>
          <w:sz w:val="20"/>
          <w:szCs w:val="20"/>
        </w:rPr>
        <w:t>On February 10, 2021, Enbridge Inc. entered into a three year, revolving, extendible, sustainability-linked credit facility for $1.0 billion with a syndicate of lenders and concurrently terminated our one year, revolving, syndicated credit facility for $3.</w:t>
      </w:r>
      <w:r>
        <w:rPr>
          <w:rFonts w:ascii="Arial" w:eastAsia="Times New Roman" w:hAnsi="Arial" w:cs="Arial"/>
          <w:color w:val="000000"/>
          <w:sz w:val="20"/>
          <w:szCs w:val="20"/>
        </w:rPr>
        <w:t>0 billion.</w:t>
      </w:r>
    </w:p>
    <w:p w:rsidR="00000000" w:rsidRDefault="001F1FC8">
      <w:pPr>
        <w:divId w:val="1140926070"/>
        <w:rPr>
          <w:rFonts w:eastAsia="Times New Roman"/>
        </w:rPr>
      </w:pPr>
    </w:p>
    <w:p w:rsidR="00000000" w:rsidRDefault="001F1FC8">
      <w:pPr>
        <w:divId w:val="87704262"/>
        <w:rPr>
          <w:rFonts w:eastAsia="Times New Roman"/>
        </w:rPr>
      </w:pPr>
      <w:r>
        <w:rPr>
          <w:rFonts w:ascii="Arial" w:eastAsia="Times New Roman" w:hAnsi="Arial" w:cs="Arial"/>
          <w:color w:val="000000"/>
          <w:sz w:val="20"/>
          <w:szCs w:val="20"/>
        </w:rPr>
        <w:t>On February 25, 2021, two term loans with an aggregate total of US$500 million were repaid with proceeds from a floating rate notes issuance.</w:t>
      </w:r>
    </w:p>
    <w:p w:rsidR="00000000" w:rsidRDefault="001F1FC8">
      <w:pPr>
        <w:divId w:val="1126437249"/>
        <w:rPr>
          <w:rFonts w:eastAsia="Times New Roman"/>
        </w:rPr>
      </w:pPr>
    </w:p>
    <w:p w:rsidR="00000000" w:rsidRDefault="001F1FC8">
      <w:pPr>
        <w:divId w:val="170459373"/>
        <w:rPr>
          <w:rFonts w:eastAsia="Times New Roman"/>
        </w:rPr>
      </w:pPr>
      <w:r>
        <w:rPr>
          <w:rFonts w:ascii="Arial" w:eastAsia="Times New Roman" w:hAnsi="Arial" w:cs="Arial"/>
          <w:color w:val="000000"/>
          <w:sz w:val="20"/>
          <w:szCs w:val="20"/>
        </w:rPr>
        <w:t>On July 22 and 23, 2021, we renewed approximately $8.0 billion of our five-year credit facilities, extending the maturity date out to July 2026. We also extended approximately $10.0 billion of our 364-day extendible credit facilities to July 2022, which in</w:t>
      </w:r>
      <w:r>
        <w:rPr>
          <w:rFonts w:ascii="Arial" w:eastAsia="Times New Roman" w:hAnsi="Arial" w:cs="Arial"/>
          <w:color w:val="000000"/>
          <w:sz w:val="20"/>
          <w:szCs w:val="20"/>
        </w:rPr>
        <w:t>cludes a one-year term out provision to July 2023.</w:t>
      </w:r>
    </w:p>
    <w:p w:rsidR="00000000" w:rsidRDefault="001F1FC8">
      <w:pPr>
        <w:divId w:val="183137675"/>
        <w:rPr>
          <w:rFonts w:eastAsia="Times New Roman"/>
        </w:rPr>
      </w:pPr>
    </w:p>
    <w:p w:rsidR="00000000" w:rsidRDefault="001F1FC8">
      <w:pPr>
        <w:divId w:val="1883131046"/>
        <w:rPr>
          <w:rFonts w:eastAsia="Times New Roman"/>
        </w:rPr>
      </w:pPr>
      <w:r>
        <w:rPr>
          <w:rFonts w:ascii="Arial" w:eastAsia="Times New Roman" w:hAnsi="Arial" w:cs="Arial"/>
          <w:color w:val="000000"/>
          <w:sz w:val="20"/>
          <w:szCs w:val="20"/>
        </w:rPr>
        <w:t>On February 10, 2022 we renewed our three year $1.0 billion sustainability-linked credit facility, extending the maturity date out to July 2025.</w:t>
      </w:r>
    </w:p>
    <w:p w:rsidR="00000000" w:rsidRDefault="001F1FC8">
      <w:pPr>
        <w:divId w:val="601375601"/>
        <w:rPr>
          <w:rFonts w:eastAsia="Times New Roman"/>
        </w:rPr>
      </w:pPr>
    </w:p>
    <w:p w:rsidR="00000000" w:rsidRDefault="001F1FC8">
      <w:pPr>
        <w:divId w:val="1953706081"/>
        <w:rPr>
          <w:rFonts w:eastAsia="Times New Roman"/>
        </w:rPr>
      </w:pPr>
      <w:r>
        <w:rPr>
          <w:rFonts w:ascii="Arial" w:eastAsia="Times New Roman" w:hAnsi="Arial" w:cs="Arial"/>
          <w:color w:val="000000"/>
          <w:sz w:val="20"/>
          <w:szCs w:val="20"/>
        </w:rPr>
        <w:t>In addition to the committed credit facilities noted abo</w:t>
      </w:r>
      <w:r>
        <w:rPr>
          <w:rFonts w:ascii="Arial" w:eastAsia="Times New Roman" w:hAnsi="Arial" w:cs="Arial"/>
          <w:color w:val="000000"/>
          <w:sz w:val="20"/>
          <w:szCs w:val="20"/>
        </w:rPr>
        <w:t>ve, we maintain $1.3 billion of uncommitted demand letter of credit facilities, of which $854 million was unutilized as at December 31, 2021. As at December 31, 2020, we had $849 million of uncommitted demand letter of credit facilities, of which $533 mill</w:t>
      </w:r>
      <w:r>
        <w:rPr>
          <w:rFonts w:ascii="Arial" w:eastAsia="Times New Roman" w:hAnsi="Arial" w:cs="Arial"/>
          <w:color w:val="000000"/>
          <w:sz w:val="20"/>
          <w:szCs w:val="20"/>
        </w:rPr>
        <w:t>ion was unutilized.</w:t>
      </w:r>
    </w:p>
    <w:p w:rsidR="00000000" w:rsidRDefault="001F1FC8">
      <w:pPr>
        <w:divId w:val="243104027"/>
        <w:rPr>
          <w:rFonts w:eastAsia="Times New Roman"/>
        </w:rPr>
      </w:pPr>
    </w:p>
    <w:p w:rsidR="00000000" w:rsidRDefault="001F1FC8">
      <w:pPr>
        <w:divId w:val="561988645"/>
        <w:rPr>
          <w:rFonts w:eastAsia="Times New Roman"/>
        </w:rPr>
      </w:pPr>
      <w:r>
        <w:rPr>
          <w:rFonts w:ascii="Arial" w:eastAsia="Times New Roman" w:hAnsi="Arial" w:cs="Arial"/>
          <w:color w:val="000000"/>
          <w:sz w:val="20"/>
          <w:szCs w:val="20"/>
        </w:rPr>
        <w:t>Our credit facilities carry a weighted average standby fee of 0.1% per annum on the unused portion and draws bear interest at market rates. Certain credit facilities serve as a back-stop to the commercial paper programs and we have th</w:t>
      </w:r>
      <w:r>
        <w:rPr>
          <w:rFonts w:ascii="Arial" w:eastAsia="Times New Roman" w:hAnsi="Arial" w:cs="Arial"/>
          <w:color w:val="000000"/>
          <w:sz w:val="20"/>
          <w:szCs w:val="20"/>
        </w:rPr>
        <w:t>e option to extend such facilities, which are currently scheduled to mature from 2022 to 2026.</w:t>
      </w:r>
    </w:p>
    <w:p w:rsidR="00000000" w:rsidRDefault="001F1FC8">
      <w:pPr>
        <w:divId w:val="1604529065"/>
        <w:rPr>
          <w:rFonts w:eastAsia="Times New Roman"/>
        </w:rPr>
      </w:pPr>
    </w:p>
    <w:p w:rsidR="00000000" w:rsidRDefault="001F1FC8">
      <w:pPr>
        <w:divId w:val="157766631"/>
        <w:rPr>
          <w:rFonts w:eastAsia="Times New Roman"/>
        </w:rPr>
      </w:pPr>
      <w:r>
        <w:rPr>
          <w:rFonts w:ascii="Arial" w:eastAsia="Times New Roman" w:hAnsi="Arial" w:cs="Arial"/>
          <w:color w:val="000000"/>
          <w:sz w:val="20"/>
          <w:szCs w:val="20"/>
        </w:rPr>
        <w:t>As at December 31, 2021 and 2020, commercial paper and credit facility draws, net of short-term borrowings and non-revolving credit facilities that mature with</w:t>
      </w:r>
      <w:r>
        <w:rPr>
          <w:rFonts w:ascii="Arial" w:eastAsia="Times New Roman" w:hAnsi="Arial" w:cs="Arial"/>
          <w:color w:val="000000"/>
          <w:sz w:val="20"/>
          <w:szCs w:val="20"/>
        </w:rPr>
        <w:t>in one year, of $11.3 billion and $9.9 billion, respectively, were supported by the availability of long-term committed credit facilities and, therefore, have been classified as long-term debt.</w:t>
      </w:r>
    </w:p>
    <w:p w:rsidR="00000000" w:rsidRDefault="001F1FC8">
      <w:pPr>
        <w:divId w:val="1895464697"/>
        <w:rPr>
          <w:rFonts w:eastAsia="Times New Roman"/>
        </w:rPr>
      </w:pPr>
    </w:p>
    <w:p w:rsidR="00000000" w:rsidRDefault="001F1FC8">
      <w:pPr>
        <w:jc w:val="center"/>
        <w:divId w:val="994838208"/>
        <w:rPr>
          <w:rFonts w:eastAsia="Times New Roman"/>
        </w:rPr>
      </w:pPr>
      <w:r>
        <w:rPr>
          <w:rFonts w:ascii="Arial" w:eastAsia="Times New Roman" w:hAnsi="Arial" w:cs="Arial"/>
          <w:color w:val="000000"/>
          <w:sz w:val="20"/>
          <w:szCs w:val="20"/>
        </w:rPr>
        <w:t>139</w:t>
      </w:r>
    </w:p>
    <w:p w:rsidR="00000000" w:rsidRDefault="001F1FC8">
      <w:pPr>
        <w:rPr>
          <w:rFonts w:eastAsia="Times New Roman"/>
        </w:rPr>
      </w:pPr>
      <w:r>
        <w:rPr>
          <w:rFonts w:eastAsia="Times New Roman"/>
        </w:rPr>
        <w:pict>
          <v:rect id="_x0000_i1169" style="width:0;height:1.5pt" o:hralign="center" o:hrstd="t" o:hr="t" fillcolor="#a0a0a0" stroked="f"/>
        </w:pict>
      </w:r>
    </w:p>
    <w:p w:rsidR="00000000" w:rsidRDefault="001F1FC8">
      <w:pPr>
        <w:jc w:val="center"/>
        <w:divId w:val="1119373146"/>
        <w:rPr>
          <w:rFonts w:eastAsia="Times New Roman"/>
        </w:rPr>
      </w:pPr>
    </w:p>
    <w:p w:rsidR="00000000" w:rsidRDefault="001F1FC8">
      <w:pPr>
        <w:divId w:val="1790198802"/>
        <w:rPr>
          <w:rFonts w:eastAsia="Times New Roman"/>
        </w:rPr>
      </w:pPr>
      <w:r>
        <w:rPr>
          <w:rFonts w:ascii="Arial" w:eastAsia="Times New Roman" w:hAnsi="Arial" w:cs="Arial"/>
          <w:b/>
          <w:bCs/>
          <w:color w:val="000000"/>
          <w:sz w:val="20"/>
          <w:szCs w:val="20"/>
        </w:rPr>
        <w:t>LONG-TERM DEBT ISS</w:t>
      </w:r>
      <w:r>
        <w:rPr>
          <w:rFonts w:ascii="Arial" w:eastAsia="Times New Roman" w:hAnsi="Arial" w:cs="Arial"/>
          <w:b/>
          <w:bCs/>
          <w:color w:val="000000"/>
          <w:sz w:val="20"/>
          <w:szCs w:val="20"/>
        </w:rPr>
        <w:t>UANCES</w:t>
      </w:r>
    </w:p>
    <w:p w:rsidR="00000000" w:rsidRDefault="001F1FC8">
      <w:pPr>
        <w:divId w:val="160170590"/>
        <w:rPr>
          <w:rFonts w:eastAsia="Times New Roman"/>
        </w:rPr>
      </w:pPr>
      <w:r>
        <w:rPr>
          <w:rFonts w:ascii="Arial" w:eastAsia="Times New Roman" w:hAnsi="Arial" w:cs="Arial"/>
          <w:color w:val="000000"/>
          <w:sz w:val="20"/>
          <w:szCs w:val="20"/>
        </w:rPr>
        <w:t>During the year ended December 31, 2021, we completed the following long-term debt issuances totaling US$3.9 billion and $3.2 billion:</w:t>
      </w:r>
    </w:p>
    <w:tbl>
      <w:tblPr>
        <w:tblW w:w="5000" w:type="pct"/>
        <w:tblCellMar>
          <w:top w:w="15" w:type="dxa"/>
          <w:left w:w="15" w:type="dxa"/>
          <w:bottom w:w="15" w:type="dxa"/>
          <w:right w:w="15" w:type="dxa"/>
        </w:tblCellMar>
        <w:tblLook w:val="04A0" w:firstRow="1" w:lastRow="0" w:firstColumn="1" w:lastColumn="0" w:noHBand="0" w:noVBand="1"/>
      </w:tblPr>
      <w:tblGrid>
        <w:gridCol w:w="82"/>
        <w:gridCol w:w="806"/>
        <w:gridCol w:w="36"/>
        <w:gridCol w:w="60"/>
        <w:gridCol w:w="1478"/>
        <w:gridCol w:w="38"/>
        <w:gridCol w:w="69"/>
        <w:gridCol w:w="4621"/>
        <w:gridCol w:w="37"/>
        <w:gridCol w:w="72"/>
        <w:gridCol w:w="970"/>
        <w:gridCol w:w="37"/>
      </w:tblGrid>
      <w:tr w:rsidR="00000000">
        <w:trPr>
          <w:divId w:val="1821843830"/>
        </w:trPr>
        <w:tc>
          <w:tcPr>
            <w:tcW w:w="50" w:type="pct"/>
            <w:vAlign w:val="center"/>
            <w:hideMark/>
          </w:tcPr>
          <w:p w:rsidR="00000000" w:rsidRDefault="001F1FC8">
            <w:pPr>
              <w:rPr>
                <w:rFonts w:eastAsia="Times New Roman"/>
              </w:rPr>
            </w:pPr>
          </w:p>
        </w:tc>
        <w:tc>
          <w:tcPr>
            <w:tcW w:w="497"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c>
          <w:tcPr>
            <w:tcW w:w="50" w:type="pct"/>
            <w:vAlign w:val="center"/>
            <w:hideMark/>
          </w:tcPr>
          <w:p w:rsidR="00000000" w:rsidRDefault="001F1FC8">
            <w:pPr>
              <w:rPr>
                <w:rFonts w:eastAsia="Times New Roman"/>
                <w:sz w:val="20"/>
                <w:szCs w:val="20"/>
              </w:rPr>
            </w:pPr>
          </w:p>
        </w:tc>
        <w:tc>
          <w:tcPr>
            <w:tcW w:w="898"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c>
          <w:tcPr>
            <w:tcW w:w="50" w:type="pct"/>
            <w:vAlign w:val="center"/>
            <w:hideMark/>
          </w:tcPr>
          <w:p w:rsidR="00000000" w:rsidRDefault="001F1FC8">
            <w:pPr>
              <w:rPr>
                <w:rFonts w:eastAsia="Times New Roman"/>
                <w:sz w:val="20"/>
                <w:szCs w:val="20"/>
              </w:rPr>
            </w:pPr>
          </w:p>
        </w:tc>
        <w:tc>
          <w:tcPr>
            <w:tcW w:w="2789"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c>
          <w:tcPr>
            <w:tcW w:w="50" w:type="pct"/>
            <w:vAlign w:val="center"/>
            <w:hideMark/>
          </w:tcPr>
          <w:p w:rsidR="00000000" w:rsidRDefault="001F1FC8">
            <w:pPr>
              <w:rPr>
                <w:rFonts w:eastAsia="Times New Roman"/>
                <w:sz w:val="20"/>
                <w:szCs w:val="20"/>
              </w:rPr>
            </w:pPr>
          </w:p>
        </w:tc>
        <w:tc>
          <w:tcPr>
            <w:tcW w:w="594"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r>
      <w:tr w:rsidR="00000000">
        <w:trPr>
          <w:divId w:val="1821843830"/>
        </w:trPr>
        <w:tc>
          <w:tcPr>
            <w:tcW w:w="0" w:type="auto"/>
            <w:gridSpan w:val="3"/>
            <w:tcMar>
              <w:top w:w="30" w:type="dxa"/>
              <w:left w:w="20" w:type="dxa"/>
              <w:bottom w:w="30" w:type="dxa"/>
              <w:right w:w="20" w:type="dxa"/>
            </w:tcMar>
            <w:vAlign w:val="bottom"/>
            <w:hideMark/>
          </w:tcPr>
          <w:p w:rsidR="00000000" w:rsidRDefault="001F1FC8">
            <w:pPr>
              <w:rPr>
                <w:rFonts w:eastAsia="Times New Roman"/>
              </w:rPr>
            </w:pPr>
            <w:r>
              <w:rPr>
                <w:rFonts w:ascii="Arial" w:eastAsia="Times New Roman" w:hAnsi="Arial" w:cs="Arial"/>
                <w:color w:val="000000"/>
                <w:sz w:val="20"/>
                <w:szCs w:val="20"/>
              </w:rPr>
              <w:t>Company</w:t>
            </w:r>
          </w:p>
        </w:tc>
        <w:tc>
          <w:tcPr>
            <w:tcW w:w="0" w:type="auto"/>
            <w:gridSpan w:val="3"/>
            <w:tcBorders>
              <w:bottom w:val="single" w:sz="4" w:space="0" w:color="000000"/>
            </w:tcBorders>
            <w:tcMar>
              <w:top w:w="30" w:type="dxa"/>
              <w:left w:w="20" w:type="dxa"/>
              <w:bottom w:w="30" w:type="dxa"/>
              <w:right w:w="20" w:type="dxa"/>
            </w:tcMar>
            <w:vAlign w:val="bottom"/>
            <w:hideMark/>
          </w:tcPr>
          <w:p w:rsidR="00000000" w:rsidRDefault="001F1FC8">
            <w:pPr>
              <w:rPr>
                <w:rFonts w:eastAsia="Times New Roman"/>
              </w:rPr>
            </w:pPr>
            <w:r>
              <w:rPr>
                <w:rFonts w:ascii="Arial" w:eastAsia="Times New Roman" w:hAnsi="Arial" w:cs="Arial"/>
                <w:color w:val="000000"/>
                <w:sz w:val="20"/>
                <w:szCs w:val="20"/>
              </w:rPr>
              <w:t>Issue Date</w:t>
            </w:r>
          </w:p>
        </w:tc>
        <w:tc>
          <w:tcPr>
            <w:tcW w:w="0" w:type="auto"/>
            <w:gridSpan w:val="3"/>
            <w:tcBorders>
              <w:bottom w:val="single" w:sz="4" w:space="0" w:color="000000"/>
            </w:tcBorders>
            <w:tcMar>
              <w:top w:w="0" w:type="dxa"/>
              <w:left w:w="20" w:type="dxa"/>
              <w:bottom w:w="0" w:type="dxa"/>
              <w:right w:w="20" w:type="dxa"/>
            </w:tcMar>
            <w:vAlign w:val="center"/>
            <w:hideMark/>
          </w:tcPr>
          <w:p w:rsidR="00000000" w:rsidRDefault="001F1FC8">
            <w:pPr>
              <w:rPr>
                <w:rFonts w:eastAsia="Times New Roman"/>
              </w:rPr>
            </w:pPr>
          </w:p>
        </w:tc>
        <w:tc>
          <w:tcPr>
            <w:tcW w:w="0" w:type="auto"/>
            <w:gridSpan w:val="3"/>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Principal Amount</w:t>
            </w:r>
          </w:p>
        </w:tc>
      </w:tr>
      <w:tr w:rsidR="00000000">
        <w:trPr>
          <w:divId w:val="1821843830"/>
        </w:trPr>
        <w:tc>
          <w:tcPr>
            <w:tcW w:w="0" w:type="auto"/>
            <w:gridSpan w:val="9"/>
            <w:tcBorders>
              <w:top w:val="single" w:sz="4" w:space="0" w:color="000000"/>
            </w:tcBorders>
            <w:tcMar>
              <w:top w:w="30" w:type="dxa"/>
              <w:left w:w="20" w:type="dxa"/>
              <w:bottom w:w="30" w:type="dxa"/>
              <w:right w:w="20" w:type="dxa"/>
            </w:tcMar>
            <w:vAlign w:val="center"/>
            <w:hideMark/>
          </w:tcPr>
          <w:p w:rsidR="00000000" w:rsidRDefault="001F1FC8">
            <w:pPr>
              <w:rPr>
                <w:rFonts w:eastAsia="Times New Roman"/>
              </w:rPr>
            </w:pPr>
            <w:r>
              <w:rPr>
                <w:rFonts w:ascii="Arial" w:eastAsia="Times New Roman" w:hAnsi="Arial" w:cs="Arial"/>
                <w:i/>
                <w:iCs/>
                <w:color w:val="000000"/>
                <w:sz w:val="15"/>
                <w:szCs w:val="15"/>
              </w:rPr>
              <w:t>(millions of Canadian dollars unless otherwise stated)</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1F1FC8">
            <w:pPr>
              <w:jc w:val="right"/>
              <w:rPr>
                <w:rFonts w:eastAsia="Times New Roman"/>
              </w:rPr>
            </w:pPr>
            <w:r>
              <w:rPr>
                <w:rFonts w:ascii="Arial" w:eastAsia="Times New Roman" w:hAnsi="Arial" w:cs="Arial"/>
                <w:color w:val="000000"/>
                <w:sz w:val="20"/>
                <w:szCs w:val="20"/>
              </w:rPr>
              <w:t> </w:t>
            </w:r>
          </w:p>
        </w:tc>
      </w:tr>
      <w:tr w:rsidR="00000000">
        <w:trPr>
          <w:divId w:val="1821843830"/>
        </w:trPr>
        <w:tc>
          <w:tcPr>
            <w:tcW w:w="0" w:type="auto"/>
            <w:gridSpan w:val="6"/>
            <w:tcMar>
              <w:top w:w="30" w:type="dxa"/>
              <w:left w:w="20" w:type="dxa"/>
              <w:bottom w:w="30" w:type="dxa"/>
              <w:right w:w="20" w:type="dxa"/>
            </w:tcMar>
            <w:vAlign w:val="center"/>
            <w:hideMark/>
          </w:tcPr>
          <w:p w:rsidR="00000000" w:rsidRDefault="001F1FC8">
            <w:pPr>
              <w:rPr>
                <w:rFonts w:eastAsia="Times New Roman"/>
              </w:rPr>
            </w:pPr>
            <w:r>
              <w:rPr>
                <w:rFonts w:ascii="Arial" w:eastAsia="Times New Roman" w:hAnsi="Arial" w:cs="Arial"/>
                <w:color w:val="000000"/>
                <w:sz w:val="20"/>
                <w:szCs w:val="20"/>
              </w:rPr>
              <w:t>Enbridge Inc.</w:t>
            </w:r>
          </w:p>
        </w:tc>
        <w:tc>
          <w:tcPr>
            <w:tcW w:w="0" w:type="auto"/>
            <w:gridSpan w:val="3"/>
            <w:tcMar>
              <w:top w:w="0" w:type="dxa"/>
              <w:left w:w="20" w:type="dxa"/>
              <w:bottom w:w="0" w:type="dxa"/>
              <w:right w:w="20" w:type="dxa"/>
            </w:tcMar>
            <w:vAlign w:val="center"/>
            <w:hideMark/>
          </w:tcPr>
          <w:p w:rsidR="00000000" w:rsidRDefault="001F1FC8">
            <w:pPr>
              <w:rPr>
                <w:rFonts w:eastAsia="Times New Roman"/>
              </w:rPr>
            </w:pPr>
          </w:p>
        </w:tc>
        <w:tc>
          <w:tcPr>
            <w:tcW w:w="0" w:type="auto"/>
            <w:gridSpan w:val="3"/>
            <w:tcMar>
              <w:top w:w="0" w:type="dxa"/>
              <w:left w:w="20" w:type="dxa"/>
              <w:bottom w:w="0" w:type="dxa"/>
              <w:right w:w="20" w:type="dxa"/>
            </w:tcMar>
            <w:vAlign w:val="center"/>
            <w:hideMark/>
          </w:tcPr>
          <w:p w:rsidR="00000000" w:rsidRDefault="001F1FC8">
            <w:pPr>
              <w:rPr>
                <w:rFonts w:eastAsia="Times New Roman"/>
                <w:sz w:val="20"/>
                <w:szCs w:val="20"/>
              </w:rPr>
            </w:pPr>
          </w:p>
        </w:tc>
      </w:tr>
      <w:tr w:rsidR="00000000">
        <w:trPr>
          <w:divId w:val="1821843830"/>
        </w:trPr>
        <w:tc>
          <w:tcPr>
            <w:tcW w:w="0" w:type="auto"/>
            <w:gridSpan w:val="3"/>
            <w:tcMar>
              <w:top w:w="0" w:type="dxa"/>
              <w:left w:w="20" w:type="dxa"/>
              <w:bottom w:w="0" w:type="dxa"/>
              <w:right w:w="20" w:type="dxa"/>
            </w:tcMar>
            <w:vAlign w:val="center"/>
            <w:hideMark/>
          </w:tcPr>
          <w:p w:rsidR="00000000" w:rsidRDefault="001F1FC8">
            <w:pPr>
              <w:rPr>
                <w:rFonts w:eastAsia="Times New Roman"/>
                <w:sz w:val="20"/>
                <w:szCs w:val="20"/>
              </w:rPr>
            </w:pPr>
          </w:p>
        </w:tc>
        <w:tc>
          <w:tcPr>
            <w:tcW w:w="0" w:type="auto"/>
            <w:gridSpan w:val="3"/>
            <w:tcMar>
              <w:top w:w="30" w:type="dxa"/>
              <w:left w:w="20" w:type="dxa"/>
              <w:bottom w:w="30" w:type="dxa"/>
              <w:right w:w="20" w:type="dxa"/>
            </w:tcMar>
            <w:vAlign w:val="center"/>
            <w:hideMark/>
          </w:tcPr>
          <w:p w:rsidR="00000000" w:rsidRDefault="001F1FC8">
            <w:pPr>
              <w:rPr>
                <w:rFonts w:eastAsia="Times New Roman"/>
              </w:rPr>
            </w:pPr>
            <w:r>
              <w:rPr>
                <w:rFonts w:ascii="Arial" w:eastAsia="Times New Roman" w:hAnsi="Arial" w:cs="Arial"/>
                <w:color w:val="000000"/>
                <w:sz w:val="20"/>
                <w:szCs w:val="20"/>
              </w:rPr>
              <w:t>February 2021</w:t>
            </w:r>
          </w:p>
        </w:tc>
        <w:tc>
          <w:tcPr>
            <w:tcW w:w="0" w:type="auto"/>
            <w:gridSpan w:val="3"/>
            <w:tcMar>
              <w:top w:w="30" w:type="dxa"/>
              <w:left w:w="20" w:type="dxa"/>
              <w:bottom w:w="30" w:type="dxa"/>
              <w:right w:w="20" w:type="dxa"/>
            </w:tcMar>
            <w:vAlign w:val="center"/>
            <w:hideMark/>
          </w:tcPr>
          <w:p w:rsidR="00000000" w:rsidRDefault="001F1FC8">
            <w:pPr>
              <w:divId w:val="1306281633"/>
              <w:rPr>
                <w:rFonts w:eastAsia="Times New Roman"/>
              </w:rPr>
            </w:pPr>
            <w:r>
              <w:rPr>
                <w:rFonts w:ascii="Arial" w:eastAsia="Times New Roman" w:hAnsi="Arial" w:cs="Arial"/>
                <w:color w:val="000000"/>
                <w:sz w:val="20"/>
                <w:szCs w:val="20"/>
              </w:rPr>
              <w:t>Floating rate senior-notes due February 202</w:t>
            </w:r>
            <w:r>
              <w:rPr>
                <w:rFonts w:ascii="Arial" w:eastAsia="Times New Roman" w:hAnsi="Arial" w:cs="Arial"/>
                <w:color w:val="000000"/>
                <w:sz w:val="20"/>
                <w:szCs w:val="20"/>
              </w:rPr>
              <w:t>3</w:t>
            </w:r>
            <w:r>
              <w:rPr>
                <w:rFonts w:ascii="Arial" w:eastAsia="Times New Roman" w:hAnsi="Arial" w:cs="Arial"/>
                <w:color w:val="000000"/>
                <w:sz w:val="13"/>
                <w:szCs w:val="13"/>
              </w:rPr>
              <w:t>1</w:t>
            </w:r>
          </w:p>
        </w:tc>
        <w:tc>
          <w:tcPr>
            <w:tcW w:w="0" w:type="auto"/>
            <w:gridSpan w:val="3"/>
            <w:tcMar>
              <w:top w:w="30" w:type="dxa"/>
              <w:left w:w="20" w:type="dxa"/>
              <w:bottom w:w="30" w:type="dxa"/>
              <w:right w:w="20" w:type="dxa"/>
            </w:tcMar>
            <w:vAlign w:val="center"/>
            <w:hideMark/>
          </w:tcPr>
          <w:p w:rsidR="00000000" w:rsidRDefault="001F1FC8">
            <w:pPr>
              <w:jc w:val="right"/>
              <w:rPr>
                <w:rFonts w:eastAsia="Times New Roman"/>
              </w:rPr>
            </w:pPr>
            <w:r>
              <w:rPr>
                <w:rFonts w:ascii="Arial" w:eastAsia="Times New Roman" w:hAnsi="Arial" w:cs="Arial"/>
                <w:color w:val="000000"/>
                <w:sz w:val="20"/>
                <w:szCs w:val="20"/>
              </w:rPr>
              <w:t>US$500</w:t>
            </w:r>
          </w:p>
        </w:tc>
      </w:tr>
      <w:tr w:rsidR="00000000">
        <w:trPr>
          <w:divId w:val="1821843830"/>
        </w:trPr>
        <w:tc>
          <w:tcPr>
            <w:tcW w:w="0" w:type="auto"/>
            <w:gridSpan w:val="3"/>
            <w:tcMar>
              <w:top w:w="0" w:type="dxa"/>
              <w:left w:w="20" w:type="dxa"/>
              <w:bottom w:w="0" w:type="dxa"/>
              <w:right w:w="20" w:type="dxa"/>
            </w:tcMar>
            <w:vAlign w:val="center"/>
            <w:hideMark/>
          </w:tcPr>
          <w:p w:rsidR="00000000" w:rsidRDefault="001F1FC8">
            <w:pPr>
              <w:jc w:val="right"/>
              <w:rPr>
                <w:rFonts w:eastAsia="Times New Roman"/>
              </w:rPr>
            </w:pPr>
          </w:p>
        </w:tc>
        <w:tc>
          <w:tcPr>
            <w:tcW w:w="0" w:type="auto"/>
            <w:gridSpan w:val="3"/>
            <w:tcMar>
              <w:top w:w="30" w:type="dxa"/>
              <w:left w:w="20" w:type="dxa"/>
              <w:bottom w:w="30" w:type="dxa"/>
              <w:right w:w="20" w:type="dxa"/>
            </w:tcMar>
            <w:vAlign w:val="center"/>
            <w:hideMark/>
          </w:tcPr>
          <w:p w:rsidR="00000000" w:rsidRDefault="001F1FC8">
            <w:pPr>
              <w:rPr>
                <w:rFonts w:eastAsia="Times New Roman"/>
              </w:rPr>
            </w:pPr>
            <w:r>
              <w:rPr>
                <w:rFonts w:ascii="Arial" w:eastAsia="Times New Roman" w:hAnsi="Arial" w:cs="Arial"/>
                <w:color w:val="000000"/>
                <w:sz w:val="20"/>
                <w:szCs w:val="20"/>
              </w:rPr>
              <w:t>June 2021</w:t>
            </w:r>
          </w:p>
        </w:tc>
        <w:tc>
          <w:tcPr>
            <w:tcW w:w="0" w:type="auto"/>
            <w:gridSpan w:val="3"/>
            <w:tcMar>
              <w:top w:w="30" w:type="dxa"/>
              <w:left w:w="20" w:type="dxa"/>
              <w:bottom w:w="30" w:type="dxa"/>
              <w:right w:w="20" w:type="dxa"/>
            </w:tcMar>
            <w:vAlign w:val="center"/>
            <w:hideMark/>
          </w:tcPr>
          <w:p w:rsidR="00000000" w:rsidRDefault="001F1FC8">
            <w:pPr>
              <w:rPr>
                <w:rFonts w:eastAsia="Times New Roman"/>
              </w:rPr>
            </w:pPr>
            <w:r>
              <w:rPr>
                <w:rFonts w:ascii="Arial" w:eastAsia="Times New Roman" w:hAnsi="Arial" w:cs="Arial"/>
                <w:color w:val="000000"/>
                <w:sz w:val="20"/>
                <w:szCs w:val="20"/>
              </w:rPr>
              <w:t>2.50% Sustainability-linked senior notes due August 2033</w:t>
            </w:r>
          </w:p>
        </w:tc>
        <w:tc>
          <w:tcPr>
            <w:tcW w:w="0" w:type="auto"/>
            <w:gridSpan w:val="3"/>
            <w:tcMar>
              <w:top w:w="30" w:type="dxa"/>
              <w:left w:w="20" w:type="dxa"/>
              <w:bottom w:w="30" w:type="dxa"/>
              <w:right w:w="20" w:type="dxa"/>
            </w:tcMar>
            <w:vAlign w:val="center"/>
            <w:hideMark/>
          </w:tcPr>
          <w:p w:rsidR="00000000" w:rsidRDefault="001F1FC8">
            <w:pPr>
              <w:jc w:val="right"/>
              <w:rPr>
                <w:rFonts w:eastAsia="Times New Roman"/>
              </w:rPr>
            </w:pPr>
            <w:r>
              <w:rPr>
                <w:rFonts w:ascii="Arial" w:eastAsia="Times New Roman" w:hAnsi="Arial" w:cs="Arial"/>
                <w:color w:val="000000"/>
                <w:sz w:val="20"/>
                <w:szCs w:val="20"/>
              </w:rPr>
              <w:t>US$1,000</w:t>
            </w:r>
          </w:p>
        </w:tc>
      </w:tr>
      <w:tr w:rsidR="00000000">
        <w:trPr>
          <w:divId w:val="1821843830"/>
        </w:trPr>
        <w:tc>
          <w:tcPr>
            <w:tcW w:w="0" w:type="auto"/>
            <w:gridSpan w:val="3"/>
            <w:tcMar>
              <w:top w:w="0" w:type="dxa"/>
              <w:left w:w="20" w:type="dxa"/>
              <w:bottom w:w="0" w:type="dxa"/>
              <w:right w:w="20" w:type="dxa"/>
            </w:tcMar>
            <w:vAlign w:val="center"/>
            <w:hideMark/>
          </w:tcPr>
          <w:p w:rsidR="00000000" w:rsidRDefault="001F1FC8">
            <w:pPr>
              <w:jc w:val="right"/>
              <w:rPr>
                <w:rFonts w:eastAsia="Times New Roman"/>
              </w:rPr>
            </w:pPr>
          </w:p>
        </w:tc>
        <w:tc>
          <w:tcPr>
            <w:tcW w:w="0" w:type="auto"/>
            <w:gridSpan w:val="3"/>
            <w:tcMar>
              <w:top w:w="30" w:type="dxa"/>
              <w:left w:w="20" w:type="dxa"/>
              <w:bottom w:w="30" w:type="dxa"/>
              <w:right w:w="20" w:type="dxa"/>
            </w:tcMar>
            <w:vAlign w:val="center"/>
            <w:hideMark/>
          </w:tcPr>
          <w:p w:rsidR="00000000" w:rsidRDefault="001F1FC8">
            <w:pPr>
              <w:rPr>
                <w:rFonts w:eastAsia="Times New Roman"/>
              </w:rPr>
            </w:pPr>
            <w:r>
              <w:rPr>
                <w:rFonts w:ascii="Arial" w:eastAsia="Times New Roman" w:hAnsi="Arial" w:cs="Arial"/>
                <w:color w:val="000000"/>
                <w:sz w:val="20"/>
                <w:szCs w:val="20"/>
              </w:rPr>
              <w:t>June 2021</w:t>
            </w:r>
          </w:p>
        </w:tc>
        <w:tc>
          <w:tcPr>
            <w:tcW w:w="0" w:type="auto"/>
            <w:gridSpan w:val="3"/>
            <w:tcMar>
              <w:top w:w="30" w:type="dxa"/>
              <w:left w:w="20" w:type="dxa"/>
              <w:bottom w:w="30" w:type="dxa"/>
              <w:right w:w="20" w:type="dxa"/>
            </w:tcMar>
            <w:vAlign w:val="center"/>
            <w:hideMark/>
          </w:tcPr>
          <w:p w:rsidR="00000000" w:rsidRDefault="001F1FC8">
            <w:pPr>
              <w:rPr>
                <w:rFonts w:eastAsia="Times New Roman"/>
              </w:rPr>
            </w:pPr>
            <w:r>
              <w:rPr>
                <w:rFonts w:ascii="Arial" w:eastAsia="Times New Roman" w:hAnsi="Arial" w:cs="Arial"/>
                <w:color w:val="000000"/>
                <w:sz w:val="20"/>
                <w:szCs w:val="20"/>
              </w:rPr>
              <w:t>3.40% senior notes due August 2051</w:t>
            </w:r>
          </w:p>
        </w:tc>
        <w:tc>
          <w:tcPr>
            <w:tcW w:w="0" w:type="auto"/>
            <w:gridSpan w:val="3"/>
            <w:tcMar>
              <w:top w:w="30" w:type="dxa"/>
              <w:left w:w="20" w:type="dxa"/>
              <w:bottom w:w="30" w:type="dxa"/>
              <w:right w:w="20" w:type="dxa"/>
            </w:tcMar>
            <w:vAlign w:val="center"/>
            <w:hideMark/>
          </w:tcPr>
          <w:p w:rsidR="00000000" w:rsidRDefault="001F1FC8">
            <w:pPr>
              <w:jc w:val="right"/>
              <w:rPr>
                <w:rFonts w:eastAsia="Times New Roman"/>
              </w:rPr>
            </w:pPr>
            <w:r>
              <w:rPr>
                <w:rFonts w:ascii="Arial" w:eastAsia="Times New Roman" w:hAnsi="Arial" w:cs="Arial"/>
                <w:color w:val="000000"/>
                <w:sz w:val="20"/>
                <w:szCs w:val="20"/>
              </w:rPr>
              <w:t>US$500</w:t>
            </w:r>
          </w:p>
        </w:tc>
      </w:tr>
      <w:tr w:rsidR="00000000">
        <w:trPr>
          <w:divId w:val="1821843830"/>
        </w:trPr>
        <w:tc>
          <w:tcPr>
            <w:tcW w:w="0" w:type="auto"/>
            <w:gridSpan w:val="3"/>
            <w:tcMar>
              <w:top w:w="0" w:type="dxa"/>
              <w:left w:w="20" w:type="dxa"/>
              <w:bottom w:w="0" w:type="dxa"/>
              <w:right w:w="20" w:type="dxa"/>
            </w:tcMar>
            <w:vAlign w:val="center"/>
            <w:hideMark/>
          </w:tcPr>
          <w:p w:rsidR="00000000" w:rsidRDefault="001F1FC8">
            <w:pPr>
              <w:jc w:val="right"/>
              <w:rPr>
                <w:rFonts w:eastAsia="Times New Roman"/>
              </w:rPr>
            </w:pPr>
          </w:p>
        </w:tc>
        <w:tc>
          <w:tcPr>
            <w:tcW w:w="0" w:type="auto"/>
            <w:gridSpan w:val="3"/>
            <w:tcMar>
              <w:top w:w="30" w:type="dxa"/>
              <w:left w:w="20" w:type="dxa"/>
              <w:bottom w:w="30" w:type="dxa"/>
              <w:right w:w="20" w:type="dxa"/>
            </w:tcMar>
            <w:vAlign w:val="center"/>
            <w:hideMark/>
          </w:tcPr>
          <w:p w:rsidR="00000000" w:rsidRDefault="001F1FC8">
            <w:pPr>
              <w:rPr>
                <w:rFonts w:eastAsia="Times New Roman"/>
              </w:rPr>
            </w:pPr>
            <w:r>
              <w:rPr>
                <w:rFonts w:ascii="Arial" w:eastAsia="Times New Roman" w:hAnsi="Arial" w:cs="Arial"/>
                <w:color w:val="000000"/>
                <w:sz w:val="20"/>
                <w:szCs w:val="20"/>
              </w:rPr>
              <w:t>September 2021</w:t>
            </w:r>
          </w:p>
        </w:tc>
        <w:tc>
          <w:tcPr>
            <w:tcW w:w="0" w:type="auto"/>
            <w:gridSpan w:val="3"/>
            <w:tcMar>
              <w:top w:w="30" w:type="dxa"/>
              <w:left w:w="20" w:type="dxa"/>
              <w:bottom w:w="30" w:type="dxa"/>
              <w:right w:w="20" w:type="dxa"/>
            </w:tcMar>
            <w:vAlign w:val="center"/>
            <w:hideMark/>
          </w:tcPr>
          <w:p w:rsidR="00000000" w:rsidRDefault="001F1FC8">
            <w:pPr>
              <w:ind w:hanging="180"/>
              <w:divId w:val="648440919"/>
              <w:rPr>
                <w:rFonts w:eastAsia="Times New Roman"/>
              </w:rPr>
            </w:pPr>
            <w:r>
              <w:rPr>
                <w:rFonts w:ascii="Arial" w:eastAsia="Times New Roman" w:hAnsi="Arial" w:cs="Arial"/>
                <w:color w:val="000000"/>
                <w:sz w:val="20"/>
                <w:szCs w:val="20"/>
              </w:rPr>
              <w:t>3.10% Sustainability-linked medium-term notes due September 2033</w:t>
            </w:r>
          </w:p>
        </w:tc>
        <w:tc>
          <w:tcPr>
            <w:tcW w:w="0" w:type="auto"/>
            <w:gridSpan w:val="3"/>
            <w:tcMar>
              <w:top w:w="30" w:type="dxa"/>
              <w:left w:w="20" w:type="dxa"/>
              <w:bottom w:w="30" w:type="dxa"/>
              <w:right w:w="20" w:type="dxa"/>
            </w:tcMar>
            <w:vAlign w:val="center"/>
            <w:hideMark/>
          </w:tcPr>
          <w:p w:rsidR="00000000" w:rsidRDefault="001F1FC8">
            <w:pPr>
              <w:jc w:val="right"/>
              <w:rPr>
                <w:rFonts w:eastAsia="Times New Roman"/>
              </w:rPr>
            </w:pPr>
            <w:r>
              <w:rPr>
                <w:rFonts w:ascii="Arial" w:eastAsia="Times New Roman" w:hAnsi="Arial" w:cs="Arial"/>
                <w:color w:val="000000"/>
                <w:sz w:val="20"/>
                <w:szCs w:val="20"/>
              </w:rPr>
              <w:t>$1,100</w:t>
            </w:r>
          </w:p>
        </w:tc>
      </w:tr>
      <w:tr w:rsidR="00000000">
        <w:trPr>
          <w:divId w:val="1821843830"/>
        </w:trPr>
        <w:tc>
          <w:tcPr>
            <w:tcW w:w="0" w:type="auto"/>
            <w:gridSpan w:val="3"/>
            <w:tcMar>
              <w:top w:w="0" w:type="dxa"/>
              <w:left w:w="20" w:type="dxa"/>
              <w:bottom w:w="0" w:type="dxa"/>
              <w:right w:w="20" w:type="dxa"/>
            </w:tcMar>
            <w:vAlign w:val="center"/>
            <w:hideMark/>
          </w:tcPr>
          <w:p w:rsidR="00000000" w:rsidRDefault="001F1FC8">
            <w:pPr>
              <w:jc w:val="right"/>
              <w:rPr>
                <w:rFonts w:eastAsia="Times New Roman"/>
              </w:rPr>
            </w:pPr>
          </w:p>
        </w:tc>
        <w:tc>
          <w:tcPr>
            <w:tcW w:w="0" w:type="auto"/>
            <w:gridSpan w:val="3"/>
            <w:tcMar>
              <w:top w:w="30" w:type="dxa"/>
              <w:left w:w="20" w:type="dxa"/>
              <w:bottom w:w="30" w:type="dxa"/>
              <w:right w:w="20" w:type="dxa"/>
            </w:tcMar>
            <w:vAlign w:val="bottom"/>
            <w:hideMark/>
          </w:tcPr>
          <w:p w:rsidR="00000000" w:rsidRDefault="001F1FC8">
            <w:pPr>
              <w:rPr>
                <w:rFonts w:eastAsia="Times New Roman"/>
              </w:rPr>
            </w:pPr>
            <w:r>
              <w:rPr>
                <w:rFonts w:ascii="Arial" w:eastAsia="Times New Roman" w:hAnsi="Arial" w:cs="Arial"/>
                <w:color w:val="000000"/>
                <w:sz w:val="20"/>
                <w:szCs w:val="20"/>
              </w:rPr>
              <w:t>September 2021</w:t>
            </w:r>
          </w:p>
        </w:tc>
        <w:tc>
          <w:tcPr>
            <w:tcW w:w="0" w:type="auto"/>
            <w:gridSpan w:val="3"/>
            <w:tcMar>
              <w:top w:w="30" w:type="dxa"/>
              <w:left w:w="20" w:type="dxa"/>
              <w:bottom w:w="30" w:type="dxa"/>
              <w:right w:w="20" w:type="dxa"/>
            </w:tcMar>
            <w:vAlign w:val="center"/>
            <w:hideMark/>
          </w:tcPr>
          <w:p w:rsidR="00000000" w:rsidRDefault="001F1FC8">
            <w:pPr>
              <w:rPr>
                <w:rFonts w:eastAsia="Times New Roman"/>
              </w:rPr>
            </w:pPr>
            <w:r>
              <w:rPr>
                <w:rFonts w:ascii="Arial" w:eastAsia="Times New Roman" w:hAnsi="Arial" w:cs="Arial"/>
                <w:color w:val="000000"/>
                <w:sz w:val="20"/>
                <w:szCs w:val="20"/>
              </w:rPr>
              <w:t>4.10% medium-term notes due September 2051</w:t>
            </w:r>
          </w:p>
        </w:tc>
        <w:tc>
          <w:tcPr>
            <w:tcW w:w="0" w:type="auto"/>
            <w:gridSpan w:val="3"/>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$400</w:t>
            </w:r>
          </w:p>
        </w:tc>
      </w:tr>
      <w:tr w:rsidR="00000000">
        <w:trPr>
          <w:divId w:val="1821843830"/>
        </w:trPr>
        <w:tc>
          <w:tcPr>
            <w:tcW w:w="0" w:type="auto"/>
            <w:gridSpan w:val="3"/>
            <w:tcMar>
              <w:top w:w="0" w:type="dxa"/>
              <w:left w:w="20" w:type="dxa"/>
              <w:bottom w:w="0" w:type="dxa"/>
              <w:right w:w="20" w:type="dxa"/>
            </w:tcMar>
            <w:vAlign w:val="center"/>
            <w:hideMark/>
          </w:tcPr>
          <w:p w:rsidR="00000000" w:rsidRDefault="001F1FC8">
            <w:pPr>
              <w:jc w:val="right"/>
              <w:rPr>
                <w:rFonts w:eastAsia="Times New Roman"/>
              </w:rPr>
            </w:pPr>
          </w:p>
        </w:tc>
        <w:tc>
          <w:tcPr>
            <w:tcW w:w="0" w:type="auto"/>
            <w:gridSpan w:val="3"/>
            <w:tcMar>
              <w:top w:w="30" w:type="dxa"/>
              <w:left w:w="20" w:type="dxa"/>
              <w:bottom w:w="30" w:type="dxa"/>
              <w:right w:w="20" w:type="dxa"/>
            </w:tcMar>
            <w:vAlign w:val="center"/>
            <w:hideMark/>
          </w:tcPr>
          <w:p w:rsidR="00000000" w:rsidRDefault="001F1FC8">
            <w:pPr>
              <w:rPr>
                <w:rFonts w:eastAsia="Times New Roman"/>
              </w:rPr>
            </w:pPr>
            <w:r>
              <w:rPr>
                <w:rFonts w:ascii="Arial" w:eastAsia="Times New Roman" w:hAnsi="Arial" w:cs="Arial"/>
                <w:color w:val="000000"/>
                <w:sz w:val="20"/>
                <w:szCs w:val="20"/>
              </w:rPr>
              <w:t>October 2021</w:t>
            </w:r>
          </w:p>
        </w:tc>
        <w:tc>
          <w:tcPr>
            <w:tcW w:w="0" w:type="auto"/>
            <w:gridSpan w:val="3"/>
            <w:tcMar>
              <w:top w:w="30" w:type="dxa"/>
              <w:left w:w="20" w:type="dxa"/>
              <w:bottom w:w="30" w:type="dxa"/>
              <w:right w:w="20" w:type="dxa"/>
            </w:tcMar>
            <w:vAlign w:val="center"/>
            <w:hideMark/>
          </w:tcPr>
          <w:p w:rsidR="00000000" w:rsidRDefault="001F1FC8">
            <w:pPr>
              <w:rPr>
                <w:rFonts w:eastAsia="Times New Roman"/>
              </w:rPr>
            </w:pPr>
            <w:r>
              <w:rPr>
                <w:rFonts w:ascii="Arial" w:eastAsia="Times New Roman" w:hAnsi="Arial" w:cs="Arial"/>
                <w:color w:val="000000"/>
                <w:sz w:val="20"/>
                <w:szCs w:val="20"/>
              </w:rPr>
              <w:t>0.55% senior notes due October 2023</w:t>
            </w:r>
          </w:p>
        </w:tc>
        <w:tc>
          <w:tcPr>
            <w:tcW w:w="0" w:type="auto"/>
            <w:gridSpan w:val="3"/>
            <w:tcMar>
              <w:top w:w="30" w:type="dxa"/>
              <w:left w:w="20" w:type="dxa"/>
              <w:bottom w:w="30" w:type="dxa"/>
              <w:right w:w="20" w:type="dxa"/>
            </w:tcMar>
            <w:vAlign w:val="center"/>
            <w:hideMark/>
          </w:tcPr>
          <w:p w:rsidR="00000000" w:rsidRDefault="001F1FC8">
            <w:pPr>
              <w:jc w:val="right"/>
              <w:rPr>
                <w:rFonts w:eastAsia="Times New Roman"/>
              </w:rPr>
            </w:pPr>
            <w:r>
              <w:rPr>
                <w:rFonts w:ascii="Arial" w:eastAsia="Times New Roman" w:hAnsi="Arial" w:cs="Arial"/>
                <w:color w:val="000000"/>
                <w:sz w:val="20"/>
                <w:szCs w:val="20"/>
              </w:rPr>
              <w:t>US$500</w:t>
            </w:r>
          </w:p>
        </w:tc>
      </w:tr>
      <w:tr w:rsidR="00000000">
        <w:trPr>
          <w:divId w:val="1821843830"/>
        </w:trPr>
        <w:tc>
          <w:tcPr>
            <w:tcW w:w="0" w:type="auto"/>
            <w:gridSpan w:val="3"/>
            <w:tcMar>
              <w:top w:w="0" w:type="dxa"/>
              <w:left w:w="20" w:type="dxa"/>
              <w:bottom w:w="0" w:type="dxa"/>
              <w:right w:w="20" w:type="dxa"/>
            </w:tcMar>
            <w:vAlign w:val="center"/>
            <w:hideMark/>
          </w:tcPr>
          <w:p w:rsidR="00000000" w:rsidRDefault="001F1FC8">
            <w:pPr>
              <w:jc w:val="right"/>
              <w:rPr>
                <w:rFonts w:eastAsia="Times New Roman"/>
              </w:rPr>
            </w:pPr>
          </w:p>
        </w:tc>
        <w:tc>
          <w:tcPr>
            <w:tcW w:w="0" w:type="auto"/>
            <w:gridSpan w:val="3"/>
            <w:tcMar>
              <w:top w:w="30" w:type="dxa"/>
              <w:left w:w="20" w:type="dxa"/>
              <w:bottom w:w="30" w:type="dxa"/>
              <w:right w:w="20" w:type="dxa"/>
            </w:tcMar>
            <w:vAlign w:val="center"/>
            <w:hideMark/>
          </w:tcPr>
          <w:p w:rsidR="00000000" w:rsidRDefault="001F1FC8">
            <w:pPr>
              <w:rPr>
                <w:rFonts w:eastAsia="Times New Roman"/>
              </w:rPr>
            </w:pPr>
            <w:r>
              <w:rPr>
                <w:rFonts w:ascii="Arial" w:eastAsia="Times New Roman" w:hAnsi="Arial" w:cs="Arial"/>
                <w:color w:val="000000"/>
                <w:sz w:val="20"/>
                <w:szCs w:val="20"/>
              </w:rPr>
              <w:t>October 2021</w:t>
            </w:r>
          </w:p>
        </w:tc>
        <w:tc>
          <w:tcPr>
            <w:tcW w:w="0" w:type="auto"/>
            <w:gridSpan w:val="3"/>
            <w:tcMar>
              <w:top w:w="30" w:type="dxa"/>
              <w:left w:w="20" w:type="dxa"/>
              <w:bottom w:w="30" w:type="dxa"/>
              <w:right w:w="20" w:type="dxa"/>
            </w:tcMar>
            <w:vAlign w:val="center"/>
            <w:hideMark/>
          </w:tcPr>
          <w:p w:rsidR="00000000" w:rsidRDefault="001F1FC8">
            <w:pPr>
              <w:rPr>
                <w:rFonts w:eastAsia="Times New Roman"/>
              </w:rPr>
            </w:pPr>
            <w:r>
              <w:rPr>
                <w:rFonts w:ascii="Arial" w:eastAsia="Times New Roman" w:hAnsi="Arial" w:cs="Arial"/>
                <w:color w:val="000000"/>
                <w:sz w:val="20"/>
                <w:szCs w:val="20"/>
              </w:rPr>
              <w:t>1.60% senior notes due October 2026</w:t>
            </w:r>
          </w:p>
        </w:tc>
        <w:tc>
          <w:tcPr>
            <w:tcW w:w="0" w:type="auto"/>
            <w:gridSpan w:val="3"/>
            <w:tcMar>
              <w:top w:w="30" w:type="dxa"/>
              <w:left w:w="20" w:type="dxa"/>
              <w:bottom w:w="30" w:type="dxa"/>
              <w:right w:w="20" w:type="dxa"/>
            </w:tcMar>
            <w:vAlign w:val="center"/>
            <w:hideMark/>
          </w:tcPr>
          <w:p w:rsidR="00000000" w:rsidRDefault="001F1FC8">
            <w:pPr>
              <w:jc w:val="right"/>
              <w:rPr>
                <w:rFonts w:eastAsia="Times New Roman"/>
              </w:rPr>
            </w:pPr>
            <w:r>
              <w:rPr>
                <w:rFonts w:ascii="Arial" w:eastAsia="Times New Roman" w:hAnsi="Arial" w:cs="Arial"/>
                <w:color w:val="000000"/>
                <w:sz w:val="20"/>
                <w:szCs w:val="20"/>
              </w:rPr>
              <w:t>US$500</w:t>
            </w:r>
          </w:p>
        </w:tc>
      </w:tr>
      <w:tr w:rsidR="00000000">
        <w:trPr>
          <w:divId w:val="1821843830"/>
        </w:trPr>
        <w:tc>
          <w:tcPr>
            <w:tcW w:w="0" w:type="auto"/>
            <w:gridSpan w:val="3"/>
            <w:tcMar>
              <w:top w:w="0" w:type="dxa"/>
              <w:left w:w="20" w:type="dxa"/>
              <w:bottom w:w="0" w:type="dxa"/>
              <w:right w:w="20" w:type="dxa"/>
            </w:tcMar>
            <w:vAlign w:val="center"/>
            <w:hideMark/>
          </w:tcPr>
          <w:p w:rsidR="00000000" w:rsidRDefault="001F1FC8">
            <w:pPr>
              <w:jc w:val="right"/>
              <w:rPr>
                <w:rFonts w:eastAsia="Times New Roman"/>
              </w:rPr>
            </w:pPr>
          </w:p>
        </w:tc>
        <w:tc>
          <w:tcPr>
            <w:tcW w:w="0" w:type="auto"/>
            <w:gridSpan w:val="3"/>
            <w:tcMar>
              <w:top w:w="30" w:type="dxa"/>
              <w:left w:w="20" w:type="dxa"/>
              <w:bottom w:w="30" w:type="dxa"/>
              <w:right w:w="20" w:type="dxa"/>
            </w:tcMar>
            <w:vAlign w:val="center"/>
            <w:hideMark/>
          </w:tcPr>
          <w:p w:rsidR="00000000" w:rsidRDefault="001F1FC8">
            <w:pPr>
              <w:rPr>
                <w:rFonts w:eastAsia="Times New Roman"/>
              </w:rPr>
            </w:pPr>
            <w:r>
              <w:rPr>
                <w:rFonts w:ascii="Arial" w:eastAsia="Times New Roman" w:hAnsi="Arial" w:cs="Arial"/>
                <w:color w:val="000000"/>
                <w:sz w:val="20"/>
                <w:szCs w:val="20"/>
              </w:rPr>
              <w:t>October 2021</w:t>
            </w:r>
          </w:p>
        </w:tc>
        <w:tc>
          <w:tcPr>
            <w:tcW w:w="0" w:type="auto"/>
            <w:gridSpan w:val="3"/>
            <w:tcMar>
              <w:top w:w="30" w:type="dxa"/>
              <w:left w:w="20" w:type="dxa"/>
              <w:bottom w:w="30" w:type="dxa"/>
              <w:right w:w="20" w:type="dxa"/>
            </w:tcMar>
            <w:vAlign w:val="center"/>
            <w:hideMark/>
          </w:tcPr>
          <w:p w:rsidR="00000000" w:rsidRDefault="001F1FC8">
            <w:pPr>
              <w:rPr>
                <w:rFonts w:eastAsia="Times New Roman"/>
              </w:rPr>
            </w:pPr>
            <w:r>
              <w:rPr>
                <w:rFonts w:ascii="Arial" w:eastAsia="Times New Roman" w:hAnsi="Arial" w:cs="Arial"/>
                <w:color w:val="000000"/>
                <w:sz w:val="20"/>
                <w:szCs w:val="20"/>
              </w:rPr>
              <w:t>3.40% senior notes due August 2051</w:t>
            </w:r>
          </w:p>
        </w:tc>
        <w:tc>
          <w:tcPr>
            <w:tcW w:w="0" w:type="auto"/>
            <w:gridSpan w:val="3"/>
            <w:tcMar>
              <w:top w:w="30" w:type="dxa"/>
              <w:left w:w="20" w:type="dxa"/>
              <w:bottom w:w="30" w:type="dxa"/>
              <w:right w:w="20" w:type="dxa"/>
            </w:tcMar>
            <w:vAlign w:val="center"/>
            <w:hideMark/>
          </w:tcPr>
          <w:p w:rsidR="00000000" w:rsidRDefault="001F1FC8">
            <w:pPr>
              <w:jc w:val="right"/>
              <w:rPr>
                <w:rFonts w:eastAsia="Times New Roman"/>
              </w:rPr>
            </w:pPr>
            <w:r>
              <w:rPr>
                <w:rFonts w:ascii="Arial" w:eastAsia="Times New Roman" w:hAnsi="Arial" w:cs="Arial"/>
                <w:color w:val="000000"/>
                <w:sz w:val="20"/>
                <w:szCs w:val="20"/>
              </w:rPr>
              <w:t>US$500</w:t>
            </w:r>
          </w:p>
        </w:tc>
      </w:tr>
      <w:tr w:rsidR="00000000">
        <w:trPr>
          <w:divId w:val="1821843830"/>
        </w:trPr>
        <w:tc>
          <w:tcPr>
            <w:tcW w:w="0" w:type="auto"/>
            <w:gridSpan w:val="6"/>
            <w:tcMar>
              <w:top w:w="30" w:type="dxa"/>
              <w:left w:w="20" w:type="dxa"/>
              <w:bottom w:w="30" w:type="dxa"/>
              <w:right w:w="20" w:type="dxa"/>
            </w:tcMar>
            <w:vAlign w:val="center"/>
            <w:hideMark/>
          </w:tcPr>
          <w:p w:rsidR="00000000" w:rsidRDefault="001F1FC8">
            <w:pPr>
              <w:rPr>
                <w:rFonts w:eastAsia="Times New Roman"/>
              </w:rPr>
            </w:pPr>
            <w:r>
              <w:rPr>
                <w:rFonts w:ascii="Arial" w:eastAsia="Times New Roman" w:hAnsi="Arial" w:cs="Arial"/>
                <w:color w:val="000000"/>
                <w:sz w:val="20"/>
                <w:szCs w:val="20"/>
              </w:rPr>
              <w:t>Enbridge Gas Inc.</w:t>
            </w:r>
          </w:p>
        </w:tc>
        <w:tc>
          <w:tcPr>
            <w:tcW w:w="0" w:type="auto"/>
            <w:gridSpan w:val="3"/>
            <w:tcMar>
              <w:top w:w="0" w:type="dxa"/>
              <w:left w:w="20" w:type="dxa"/>
              <w:bottom w:w="0" w:type="dxa"/>
              <w:right w:w="20" w:type="dxa"/>
            </w:tcMar>
            <w:vAlign w:val="center"/>
            <w:hideMark/>
          </w:tcPr>
          <w:p w:rsidR="00000000" w:rsidRDefault="001F1FC8">
            <w:pPr>
              <w:rPr>
                <w:rFonts w:eastAsia="Times New Roman"/>
              </w:rPr>
            </w:pPr>
          </w:p>
        </w:tc>
        <w:tc>
          <w:tcPr>
            <w:tcW w:w="0" w:type="auto"/>
            <w:gridSpan w:val="3"/>
            <w:tcMar>
              <w:top w:w="0" w:type="dxa"/>
              <w:left w:w="20" w:type="dxa"/>
              <w:bottom w:w="0" w:type="dxa"/>
              <w:right w:w="20" w:type="dxa"/>
            </w:tcMar>
            <w:vAlign w:val="center"/>
            <w:hideMark/>
          </w:tcPr>
          <w:p w:rsidR="00000000" w:rsidRDefault="001F1FC8">
            <w:pPr>
              <w:rPr>
                <w:rFonts w:eastAsia="Times New Roman"/>
                <w:sz w:val="20"/>
                <w:szCs w:val="20"/>
              </w:rPr>
            </w:pPr>
          </w:p>
        </w:tc>
      </w:tr>
      <w:tr w:rsidR="00000000">
        <w:trPr>
          <w:divId w:val="1821843830"/>
        </w:trPr>
        <w:tc>
          <w:tcPr>
            <w:tcW w:w="0" w:type="auto"/>
            <w:gridSpan w:val="3"/>
            <w:tcMar>
              <w:top w:w="0" w:type="dxa"/>
              <w:left w:w="20" w:type="dxa"/>
              <w:bottom w:w="0" w:type="dxa"/>
              <w:right w:w="20" w:type="dxa"/>
            </w:tcMar>
            <w:vAlign w:val="center"/>
            <w:hideMark/>
          </w:tcPr>
          <w:p w:rsidR="00000000" w:rsidRDefault="001F1FC8">
            <w:pPr>
              <w:rPr>
                <w:rFonts w:eastAsia="Times New Roman"/>
                <w:sz w:val="20"/>
                <w:szCs w:val="20"/>
              </w:rPr>
            </w:pPr>
          </w:p>
        </w:tc>
        <w:tc>
          <w:tcPr>
            <w:tcW w:w="0" w:type="auto"/>
            <w:gridSpan w:val="3"/>
            <w:tcMar>
              <w:top w:w="30" w:type="dxa"/>
              <w:left w:w="20" w:type="dxa"/>
              <w:bottom w:w="30" w:type="dxa"/>
              <w:right w:w="20" w:type="dxa"/>
            </w:tcMar>
            <w:vAlign w:val="center"/>
            <w:hideMark/>
          </w:tcPr>
          <w:p w:rsidR="00000000" w:rsidRDefault="001F1FC8">
            <w:pPr>
              <w:rPr>
                <w:rFonts w:eastAsia="Times New Roman"/>
              </w:rPr>
            </w:pPr>
            <w:r>
              <w:rPr>
                <w:rFonts w:ascii="Arial" w:eastAsia="Times New Roman" w:hAnsi="Arial" w:cs="Arial"/>
                <w:color w:val="000000"/>
                <w:sz w:val="20"/>
                <w:szCs w:val="20"/>
              </w:rPr>
              <w:t>September 2021</w:t>
            </w:r>
          </w:p>
        </w:tc>
        <w:tc>
          <w:tcPr>
            <w:tcW w:w="0" w:type="auto"/>
            <w:gridSpan w:val="3"/>
            <w:tcMar>
              <w:top w:w="30" w:type="dxa"/>
              <w:left w:w="20" w:type="dxa"/>
              <w:bottom w:w="30" w:type="dxa"/>
              <w:right w:w="20" w:type="dxa"/>
            </w:tcMar>
            <w:vAlign w:val="center"/>
            <w:hideMark/>
          </w:tcPr>
          <w:p w:rsidR="00000000" w:rsidRDefault="001F1FC8">
            <w:pPr>
              <w:rPr>
                <w:rFonts w:eastAsia="Times New Roman"/>
              </w:rPr>
            </w:pPr>
            <w:r>
              <w:rPr>
                <w:rFonts w:ascii="Arial" w:eastAsia="Times New Roman" w:hAnsi="Arial" w:cs="Arial"/>
                <w:color w:val="000000"/>
                <w:sz w:val="20"/>
                <w:szCs w:val="20"/>
              </w:rPr>
              <w:t>2.35% medium-term notes due September 2031</w:t>
            </w:r>
          </w:p>
        </w:tc>
        <w:tc>
          <w:tcPr>
            <w:tcW w:w="0" w:type="auto"/>
            <w:gridSpan w:val="3"/>
            <w:tcMar>
              <w:top w:w="30" w:type="dxa"/>
              <w:left w:w="20" w:type="dxa"/>
              <w:bottom w:w="30" w:type="dxa"/>
              <w:right w:w="20" w:type="dxa"/>
            </w:tcMar>
            <w:vAlign w:val="center"/>
            <w:hideMark/>
          </w:tcPr>
          <w:p w:rsidR="00000000" w:rsidRDefault="001F1FC8">
            <w:pPr>
              <w:jc w:val="right"/>
              <w:rPr>
                <w:rFonts w:eastAsia="Times New Roman"/>
              </w:rPr>
            </w:pPr>
            <w:r>
              <w:rPr>
                <w:rFonts w:ascii="Arial" w:eastAsia="Times New Roman" w:hAnsi="Arial" w:cs="Arial"/>
                <w:color w:val="000000"/>
                <w:sz w:val="20"/>
                <w:szCs w:val="20"/>
              </w:rPr>
              <w:t>$475</w:t>
            </w:r>
          </w:p>
        </w:tc>
      </w:tr>
      <w:tr w:rsidR="00000000">
        <w:trPr>
          <w:divId w:val="1821843830"/>
        </w:trPr>
        <w:tc>
          <w:tcPr>
            <w:tcW w:w="0" w:type="auto"/>
            <w:gridSpan w:val="3"/>
            <w:tcMar>
              <w:top w:w="0" w:type="dxa"/>
              <w:left w:w="20" w:type="dxa"/>
              <w:bottom w:w="0" w:type="dxa"/>
              <w:right w:w="20" w:type="dxa"/>
            </w:tcMar>
            <w:vAlign w:val="center"/>
            <w:hideMark/>
          </w:tcPr>
          <w:p w:rsidR="00000000" w:rsidRDefault="001F1FC8">
            <w:pPr>
              <w:jc w:val="right"/>
              <w:rPr>
                <w:rFonts w:eastAsia="Times New Roman"/>
              </w:rPr>
            </w:pPr>
          </w:p>
        </w:tc>
        <w:tc>
          <w:tcPr>
            <w:tcW w:w="0" w:type="auto"/>
            <w:gridSpan w:val="3"/>
            <w:tcMar>
              <w:top w:w="30" w:type="dxa"/>
              <w:left w:w="20" w:type="dxa"/>
              <w:bottom w:w="30" w:type="dxa"/>
              <w:right w:w="20" w:type="dxa"/>
            </w:tcMar>
            <w:vAlign w:val="center"/>
            <w:hideMark/>
          </w:tcPr>
          <w:p w:rsidR="00000000" w:rsidRDefault="001F1FC8">
            <w:pPr>
              <w:rPr>
                <w:rFonts w:eastAsia="Times New Roman"/>
              </w:rPr>
            </w:pPr>
            <w:r>
              <w:rPr>
                <w:rFonts w:ascii="Arial" w:eastAsia="Times New Roman" w:hAnsi="Arial" w:cs="Arial"/>
                <w:color w:val="000000"/>
                <w:sz w:val="20"/>
                <w:szCs w:val="20"/>
              </w:rPr>
              <w:t>September 2021</w:t>
            </w:r>
          </w:p>
        </w:tc>
        <w:tc>
          <w:tcPr>
            <w:tcW w:w="0" w:type="auto"/>
            <w:gridSpan w:val="3"/>
            <w:tcMar>
              <w:top w:w="30" w:type="dxa"/>
              <w:left w:w="20" w:type="dxa"/>
              <w:bottom w:w="30" w:type="dxa"/>
              <w:right w:w="20" w:type="dxa"/>
            </w:tcMar>
            <w:vAlign w:val="center"/>
            <w:hideMark/>
          </w:tcPr>
          <w:p w:rsidR="00000000" w:rsidRDefault="001F1FC8">
            <w:pPr>
              <w:rPr>
                <w:rFonts w:eastAsia="Times New Roman"/>
              </w:rPr>
            </w:pPr>
            <w:r>
              <w:rPr>
                <w:rFonts w:ascii="Arial" w:eastAsia="Times New Roman" w:hAnsi="Arial" w:cs="Arial"/>
                <w:color w:val="000000"/>
                <w:sz w:val="20"/>
                <w:szCs w:val="20"/>
              </w:rPr>
              <w:t>3.20% medium-term notes due September 2051</w:t>
            </w:r>
          </w:p>
        </w:tc>
        <w:tc>
          <w:tcPr>
            <w:tcW w:w="0" w:type="auto"/>
            <w:gridSpan w:val="3"/>
            <w:tcMar>
              <w:top w:w="30" w:type="dxa"/>
              <w:left w:w="20" w:type="dxa"/>
              <w:bottom w:w="30" w:type="dxa"/>
              <w:right w:w="20" w:type="dxa"/>
            </w:tcMar>
            <w:vAlign w:val="center"/>
            <w:hideMark/>
          </w:tcPr>
          <w:p w:rsidR="00000000" w:rsidRDefault="001F1FC8">
            <w:pPr>
              <w:jc w:val="right"/>
              <w:rPr>
                <w:rFonts w:eastAsia="Times New Roman"/>
              </w:rPr>
            </w:pPr>
            <w:r>
              <w:rPr>
                <w:rFonts w:ascii="Arial" w:eastAsia="Times New Roman" w:hAnsi="Arial" w:cs="Arial"/>
                <w:color w:val="000000"/>
                <w:sz w:val="20"/>
                <w:szCs w:val="20"/>
              </w:rPr>
              <w:t>$425</w:t>
            </w:r>
          </w:p>
        </w:tc>
      </w:tr>
      <w:tr w:rsidR="00000000">
        <w:trPr>
          <w:divId w:val="1821843830"/>
        </w:trPr>
        <w:tc>
          <w:tcPr>
            <w:tcW w:w="0" w:type="auto"/>
            <w:gridSpan w:val="6"/>
            <w:tcMar>
              <w:top w:w="30" w:type="dxa"/>
              <w:left w:w="20" w:type="dxa"/>
              <w:bottom w:w="30" w:type="dxa"/>
              <w:right w:w="20" w:type="dxa"/>
            </w:tcMar>
            <w:vAlign w:val="center"/>
            <w:hideMark/>
          </w:tcPr>
          <w:p w:rsidR="00000000" w:rsidRDefault="001F1FC8">
            <w:pPr>
              <w:rPr>
                <w:rFonts w:eastAsia="Times New Roman"/>
              </w:rPr>
            </w:pPr>
            <w:r>
              <w:rPr>
                <w:rFonts w:ascii="Arial" w:eastAsia="Times New Roman" w:hAnsi="Arial" w:cs="Arial"/>
                <w:color w:val="000000"/>
                <w:sz w:val="20"/>
                <w:szCs w:val="20"/>
              </w:rPr>
              <w:t>Enbridge Pipelines Inc.</w:t>
            </w:r>
          </w:p>
        </w:tc>
        <w:tc>
          <w:tcPr>
            <w:tcW w:w="0" w:type="auto"/>
            <w:gridSpan w:val="3"/>
            <w:tcMar>
              <w:top w:w="0" w:type="dxa"/>
              <w:left w:w="20" w:type="dxa"/>
              <w:bottom w:w="0" w:type="dxa"/>
              <w:right w:w="20" w:type="dxa"/>
            </w:tcMar>
            <w:vAlign w:val="center"/>
            <w:hideMark/>
          </w:tcPr>
          <w:p w:rsidR="00000000" w:rsidRDefault="001F1FC8">
            <w:pPr>
              <w:rPr>
                <w:rFonts w:eastAsia="Times New Roman"/>
              </w:rPr>
            </w:pPr>
          </w:p>
        </w:tc>
        <w:tc>
          <w:tcPr>
            <w:tcW w:w="0" w:type="auto"/>
            <w:gridSpan w:val="3"/>
            <w:tcMar>
              <w:top w:w="0" w:type="dxa"/>
              <w:left w:w="20" w:type="dxa"/>
              <w:bottom w:w="0" w:type="dxa"/>
              <w:right w:w="20" w:type="dxa"/>
            </w:tcMar>
            <w:vAlign w:val="center"/>
            <w:hideMark/>
          </w:tcPr>
          <w:p w:rsidR="00000000" w:rsidRDefault="001F1FC8">
            <w:pPr>
              <w:rPr>
                <w:rFonts w:eastAsia="Times New Roman"/>
                <w:sz w:val="20"/>
                <w:szCs w:val="20"/>
              </w:rPr>
            </w:pPr>
          </w:p>
        </w:tc>
      </w:tr>
      <w:tr w:rsidR="00000000">
        <w:trPr>
          <w:divId w:val="1821843830"/>
        </w:trPr>
        <w:tc>
          <w:tcPr>
            <w:tcW w:w="0" w:type="auto"/>
            <w:gridSpan w:val="3"/>
            <w:tcMar>
              <w:top w:w="0" w:type="dxa"/>
              <w:left w:w="20" w:type="dxa"/>
              <w:bottom w:w="0" w:type="dxa"/>
              <w:right w:w="20" w:type="dxa"/>
            </w:tcMar>
            <w:vAlign w:val="center"/>
            <w:hideMark/>
          </w:tcPr>
          <w:p w:rsidR="00000000" w:rsidRDefault="001F1FC8">
            <w:pPr>
              <w:rPr>
                <w:rFonts w:eastAsia="Times New Roman"/>
                <w:sz w:val="20"/>
                <w:szCs w:val="20"/>
              </w:rPr>
            </w:pPr>
          </w:p>
        </w:tc>
        <w:tc>
          <w:tcPr>
            <w:tcW w:w="0" w:type="auto"/>
            <w:gridSpan w:val="3"/>
            <w:tcMar>
              <w:top w:w="30" w:type="dxa"/>
              <w:left w:w="20" w:type="dxa"/>
              <w:bottom w:w="30" w:type="dxa"/>
              <w:right w:w="20" w:type="dxa"/>
            </w:tcMar>
            <w:vAlign w:val="center"/>
            <w:hideMark/>
          </w:tcPr>
          <w:p w:rsidR="00000000" w:rsidRDefault="001F1FC8">
            <w:pPr>
              <w:rPr>
                <w:rFonts w:eastAsia="Times New Roman"/>
              </w:rPr>
            </w:pPr>
            <w:r>
              <w:rPr>
                <w:rFonts w:ascii="Arial" w:eastAsia="Times New Roman" w:hAnsi="Arial" w:cs="Arial"/>
                <w:color w:val="000000"/>
                <w:sz w:val="20"/>
                <w:szCs w:val="20"/>
              </w:rPr>
              <w:t>May 2021</w:t>
            </w:r>
          </w:p>
        </w:tc>
        <w:tc>
          <w:tcPr>
            <w:tcW w:w="0" w:type="auto"/>
            <w:gridSpan w:val="3"/>
            <w:tcMar>
              <w:top w:w="30" w:type="dxa"/>
              <w:left w:w="20" w:type="dxa"/>
              <w:bottom w:w="30" w:type="dxa"/>
              <w:right w:w="20" w:type="dxa"/>
            </w:tcMar>
            <w:vAlign w:val="center"/>
            <w:hideMark/>
          </w:tcPr>
          <w:p w:rsidR="00000000" w:rsidRDefault="001F1FC8">
            <w:pPr>
              <w:rPr>
                <w:rFonts w:eastAsia="Times New Roman"/>
              </w:rPr>
            </w:pPr>
            <w:r>
              <w:rPr>
                <w:rFonts w:ascii="Arial" w:eastAsia="Times New Roman" w:hAnsi="Arial" w:cs="Arial"/>
                <w:color w:val="000000"/>
                <w:sz w:val="20"/>
                <w:szCs w:val="20"/>
              </w:rPr>
              <w:t>2.82% medium-term notes due May 2031</w:t>
            </w:r>
          </w:p>
        </w:tc>
        <w:tc>
          <w:tcPr>
            <w:tcW w:w="0" w:type="auto"/>
            <w:gridSpan w:val="3"/>
            <w:tcMar>
              <w:top w:w="30" w:type="dxa"/>
              <w:left w:w="20" w:type="dxa"/>
              <w:bottom w:w="30" w:type="dxa"/>
              <w:right w:w="20" w:type="dxa"/>
            </w:tcMar>
            <w:vAlign w:val="center"/>
            <w:hideMark/>
          </w:tcPr>
          <w:p w:rsidR="00000000" w:rsidRDefault="001F1FC8">
            <w:pPr>
              <w:jc w:val="right"/>
              <w:rPr>
                <w:rFonts w:eastAsia="Times New Roman"/>
              </w:rPr>
            </w:pPr>
            <w:r>
              <w:rPr>
                <w:rFonts w:ascii="Arial" w:eastAsia="Times New Roman" w:hAnsi="Arial" w:cs="Arial"/>
                <w:color w:val="000000"/>
                <w:sz w:val="20"/>
                <w:szCs w:val="20"/>
              </w:rPr>
              <w:t>$400</w:t>
            </w:r>
          </w:p>
        </w:tc>
      </w:tr>
      <w:tr w:rsidR="00000000">
        <w:trPr>
          <w:divId w:val="1821843830"/>
        </w:trPr>
        <w:tc>
          <w:tcPr>
            <w:tcW w:w="0" w:type="auto"/>
            <w:gridSpan w:val="3"/>
            <w:tcMar>
              <w:top w:w="0" w:type="dxa"/>
              <w:left w:w="20" w:type="dxa"/>
              <w:bottom w:w="0" w:type="dxa"/>
              <w:right w:w="20" w:type="dxa"/>
            </w:tcMar>
            <w:vAlign w:val="center"/>
            <w:hideMark/>
          </w:tcPr>
          <w:p w:rsidR="00000000" w:rsidRDefault="001F1FC8">
            <w:pPr>
              <w:jc w:val="right"/>
              <w:rPr>
                <w:rFonts w:eastAsia="Times New Roman"/>
              </w:rPr>
            </w:pPr>
          </w:p>
        </w:tc>
        <w:tc>
          <w:tcPr>
            <w:tcW w:w="0" w:type="auto"/>
            <w:gridSpan w:val="3"/>
            <w:tcMar>
              <w:top w:w="30" w:type="dxa"/>
              <w:left w:w="20" w:type="dxa"/>
              <w:bottom w:w="30" w:type="dxa"/>
              <w:right w:w="20" w:type="dxa"/>
            </w:tcMar>
            <w:vAlign w:val="center"/>
            <w:hideMark/>
          </w:tcPr>
          <w:p w:rsidR="00000000" w:rsidRDefault="001F1FC8">
            <w:pPr>
              <w:rPr>
                <w:rFonts w:eastAsia="Times New Roman"/>
              </w:rPr>
            </w:pPr>
            <w:r>
              <w:rPr>
                <w:rFonts w:ascii="Arial" w:eastAsia="Times New Roman" w:hAnsi="Arial" w:cs="Arial"/>
                <w:color w:val="000000"/>
                <w:sz w:val="20"/>
                <w:szCs w:val="20"/>
              </w:rPr>
              <w:t>May 2021</w:t>
            </w:r>
          </w:p>
        </w:tc>
        <w:tc>
          <w:tcPr>
            <w:tcW w:w="0" w:type="auto"/>
            <w:gridSpan w:val="3"/>
            <w:tcMar>
              <w:top w:w="30" w:type="dxa"/>
              <w:left w:w="20" w:type="dxa"/>
              <w:bottom w:w="30" w:type="dxa"/>
              <w:right w:w="20" w:type="dxa"/>
            </w:tcMar>
            <w:vAlign w:val="center"/>
            <w:hideMark/>
          </w:tcPr>
          <w:p w:rsidR="00000000" w:rsidRDefault="001F1FC8">
            <w:pPr>
              <w:rPr>
                <w:rFonts w:eastAsia="Times New Roman"/>
              </w:rPr>
            </w:pPr>
            <w:r>
              <w:rPr>
                <w:rFonts w:ascii="Arial" w:eastAsia="Times New Roman" w:hAnsi="Arial" w:cs="Arial"/>
                <w:color w:val="000000"/>
                <w:sz w:val="20"/>
                <w:szCs w:val="20"/>
              </w:rPr>
              <w:t>4.20% medium-term notes due May 2051</w:t>
            </w:r>
          </w:p>
        </w:tc>
        <w:tc>
          <w:tcPr>
            <w:tcW w:w="0" w:type="auto"/>
            <w:gridSpan w:val="3"/>
            <w:tcMar>
              <w:top w:w="30" w:type="dxa"/>
              <w:left w:w="20" w:type="dxa"/>
              <w:bottom w:w="30" w:type="dxa"/>
              <w:right w:w="20" w:type="dxa"/>
            </w:tcMar>
            <w:vAlign w:val="center"/>
            <w:hideMark/>
          </w:tcPr>
          <w:p w:rsidR="00000000" w:rsidRDefault="001F1FC8">
            <w:pPr>
              <w:jc w:val="right"/>
              <w:rPr>
                <w:rFonts w:eastAsia="Times New Roman"/>
              </w:rPr>
            </w:pPr>
            <w:r>
              <w:rPr>
                <w:rFonts w:ascii="Arial" w:eastAsia="Times New Roman" w:hAnsi="Arial" w:cs="Arial"/>
                <w:color w:val="000000"/>
                <w:sz w:val="20"/>
                <w:szCs w:val="20"/>
              </w:rPr>
              <w:t>$400</w:t>
            </w:r>
          </w:p>
        </w:tc>
      </w:tr>
      <w:tr w:rsidR="00000000">
        <w:trPr>
          <w:divId w:val="1821843830"/>
        </w:trPr>
        <w:tc>
          <w:tcPr>
            <w:tcW w:w="0" w:type="auto"/>
            <w:gridSpan w:val="6"/>
            <w:tcMar>
              <w:top w:w="30" w:type="dxa"/>
              <w:left w:w="20" w:type="dxa"/>
              <w:bottom w:w="30" w:type="dxa"/>
              <w:right w:w="20" w:type="dxa"/>
            </w:tcMar>
            <w:vAlign w:val="center"/>
            <w:hideMark/>
          </w:tcPr>
          <w:p w:rsidR="00000000" w:rsidRDefault="001F1FC8">
            <w:pPr>
              <w:rPr>
                <w:rFonts w:eastAsia="Times New Roman"/>
              </w:rPr>
            </w:pPr>
            <w:r>
              <w:rPr>
                <w:rFonts w:ascii="Arial" w:eastAsia="Times New Roman" w:hAnsi="Arial" w:cs="Arial"/>
                <w:color w:val="000000"/>
                <w:sz w:val="20"/>
                <w:szCs w:val="20"/>
              </w:rPr>
              <w:t>Spectra Energy Partners, LP</w:t>
            </w:r>
          </w:p>
        </w:tc>
        <w:tc>
          <w:tcPr>
            <w:tcW w:w="0" w:type="auto"/>
            <w:gridSpan w:val="3"/>
            <w:tcMar>
              <w:top w:w="0" w:type="dxa"/>
              <w:left w:w="20" w:type="dxa"/>
              <w:bottom w:w="0" w:type="dxa"/>
              <w:right w:w="20" w:type="dxa"/>
            </w:tcMar>
            <w:vAlign w:val="center"/>
            <w:hideMark/>
          </w:tcPr>
          <w:p w:rsidR="00000000" w:rsidRDefault="001F1FC8">
            <w:pPr>
              <w:rPr>
                <w:rFonts w:eastAsia="Times New Roman"/>
              </w:rPr>
            </w:pPr>
          </w:p>
        </w:tc>
        <w:tc>
          <w:tcPr>
            <w:tcW w:w="0" w:type="auto"/>
            <w:gridSpan w:val="3"/>
            <w:tcMar>
              <w:top w:w="0" w:type="dxa"/>
              <w:left w:w="20" w:type="dxa"/>
              <w:bottom w:w="0" w:type="dxa"/>
              <w:right w:w="20" w:type="dxa"/>
            </w:tcMar>
            <w:vAlign w:val="center"/>
            <w:hideMark/>
          </w:tcPr>
          <w:p w:rsidR="00000000" w:rsidRDefault="001F1FC8">
            <w:pPr>
              <w:rPr>
                <w:rFonts w:eastAsia="Times New Roman"/>
                <w:sz w:val="20"/>
                <w:szCs w:val="20"/>
              </w:rPr>
            </w:pPr>
          </w:p>
        </w:tc>
      </w:tr>
      <w:tr w:rsidR="00000000">
        <w:trPr>
          <w:divId w:val="1821843830"/>
        </w:trPr>
        <w:tc>
          <w:tcPr>
            <w:tcW w:w="0" w:type="auto"/>
            <w:gridSpan w:val="3"/>
            <w:tcBorders>
              <w:bottom w:val="single" w:sz="8" w:space="0" w:color="000000"/>
            </w:tcBorders>
            <w:tcMar>
              <w:top w:w="0" w:type="dxa"/>
              <w:left w:w="20" w:type="dxa"/>
              <w:bottom w:w="0" w:type="dxa"/>
              <w:right w:w="20" w:type="dxa"/>
            </w:tcMar>
            <w:vAlign w:val="center"/>
            <w:hideMark/>
          </w:tcPr>
          <w:p w:rsidR="00000000" w:rsidRDefault="001F1FC8">
            <w:pPr>
              <w:rPr>
                <w:rFonts w:eastAsia="Times New Roman"/>
                <w:sz w:val="20"/>
                <w:szCs w:val="20"/>
              </w:rPr>
            </w:pPr>
          </w:p>
        </w:tc>
        <w:tc>
          <w:tcPr>
            <w:tcW w:w="0" w:type="auto"/>
            <w:gridSpan w:val="3"/>
            <w:tcBorders>
              <w:bottom w:val="single" w:sz="8" w:space="0" w:color="000000"/>
            </w:tcBorders>
            <w:tcMar>
              <w:top w:w="30" w:type="dxa"/>
              <w:left w:w="20" w:type="dxa"/>
              <w:bottom w:w="30" w:type="dxa"/>
              <w:right w:w="20" w:type="dxa"/>
            </w:tcMar>
            <w:vAlign w:val="center"/>
            <w:hideMark/>
          </w:tcPr>
          <w:p w:rsidR="00000000" w:rsidRDefault="001F1FC8">
            <w:pPr>
              <w:rPr>
                <w:rFonts w:eastAsia="Times New Roman"/>
              </w:rPr>
            </w:pPr>
            <w:r>
              <w:rPr>
                <w:rFonts w:ascii="Arial" w:eastAsia="Times New Roman" w:hAnsi="Arial" w:cs="Arial"/>
                <w:color w:val="000000"/>
                <w:sz w:val="20"/>
                <w:szCs w:val="20"/>
              </w:rPr>
              <w:t>September 2021</w:t>
            </w:r>
          </w:p>
        </w:tc>
        <w:tc>
          <w:tcPr>
            <w:tcW w:w="0" w:type="auto"/>
            <w:gridSpan w:val="3"/>
            <w:tcBorders>
              <w:bottom w:val="single" w:sz="8" w:space="0" w:color="000000"/>
            </w:tcBorders>
            <w:tcMar>
              <w:top w:w="30" w:type="dxa"/>
              <w:left w:w="20" w:type="dxa"/>
              <w:bottom w:w="30" w:type="dxa"/>
              <w:right w:w="20" w:type="dxa"/>
            </w:tcMar>
            <w:vAlign w:val="center"/>
            <w:hideMark/>
          </w:tcPr>
          <w:p w:rsidR="00000000" w:rsidRDefault="001F1FC8">
            <w:pPr>
              <w:divId w:val="2040154484"/>
              <w:rPr>
                <w:rFonts w:eastAsia="Times New Roman"/>
              </w:rPr>
            </w:pPr>
            <w:r>
              <w:rPr>
                <w:rFonts w:ascii="Arial" w:eastAsia="Times New Roman" w:hAnsi="Arial" w:cs="Arial"/>
                <w:color w:val="000000"/>
                <w:sz w:val="20"/>
                <w:szCs w:val="20"/>
              </w:rPr>
              <w:t>2.50% senior notes due September 203</w:t>
            </w:r>
            <w:r>
              <w:rPr>
                <w:rFonts w:ascii="Arial" w:eastAsia="Times New Roman" w:hAnsi="Arial" w:cs="Arial"/>
                <w:color w:val="000000"/>
                <w:sz w:val="20"/>
                <w:szCs w:val="20"/>
              </w:rPr>
              <w:t>1</w:t>
            </w:r>
            <w:r>
              <w:rPr>
                <w:rFonts w:ascii="Arial" w:eastAsia="Times New Roman" w:hAnsi="Arial" w:cs="Arial"/>
                <w:color w:val="000000"/>
                <w:sz w:val="13"/>
                <w:szCs w:val="13"/>
              </w:rPr>
              <w:t>2</w:t>
            </w:r>
          </w:p>
        </w:tc>
        <w:tc>
          <w:tcPr>
            <w:tcW w:w="0" w:type="auto"/>
            <w:gridSpan w:val="3"/>
            <w:tcBorders>
              <w:bottom w:val="single" w:sz="8" w:space="0" w:color="000000"/>
            </w:tcBorders>
            <w:tcMar>
              <w:top w:w="30" w:type="dxa"/>
              <w:left w:w="20" w:type="dxa"/>
              <w:bottom w:w="30" w:type="dxa"/>
              <w:right w:w="20" w:type="dxa"/>
            </w:tcMar>
            <w:vAlign w:val="center"/>
            <w:hideMark/>
          </w:tcPr>
          <w:p w:rsidR="00000000" w:rsidRDefault="001F1FC8">
            <w:pPr>
              <w:jc w:val="right"/>
              <w:rPr>
                <w:rFonts w:eastAsia="Times New Roman"/>
              </w:rPr>
            </w:pPr>
            <w:r>
              <w:rPr>
                <w:rFonts w:ascii="Arial" w:eastAsia="Times New Roman" w:hAnsi="Arial" w:cs="Arial"/>
                <w:color w:val="000000"/>
                <w:sz w:val="20"/>
                <w:szCs w:val="20"/>
              </w:rPr>
              <w:t>US$400</w:t>
            </w:r>
          </w:p>
        </w:tc>
      </w:tr>
    </w:tbl>
    <w:p w:rsidR="00000000" w:rsidRDefault="001F1FC8">
      <w:pPr>
        <w:ind w:hanging="180"/>
        <w:divId w:val="880828302"/>
        <w:rPr>
          <w:rFonts w:eastAsia="Times New Roman"/>
        </w:rPr>
      </w:pPr>
      <w:r>
        <w:rPr>
          <w:rFonts w:ascii="Arial" w:eastAsia="Times New Roman" w:hAnsi="Arial" w:cs="Arial"/>
          <w:i/>
          <w:iCs/>
          <w:color w:val="000000"/>
          <w:sz w:val="16"/>
          <w:szCs w:val="16"/>
        </w:rPr>
        <w:t>1</w:t>
      </w:r>
      <w:r>
        <w:rPr>
          <w:rFonts w:ascii="Arial" w:eastAsia="Times New Roman" w:hAnsi="Arial" w:cs="Arial"/>
          <w:i/>
          <w:iCs/>
          <w:color w:val="000000"/>
          <w:sz w:val="16"/>
          <w:szCs w:val="16"/>
        </w:rPr>
        <w:t>Notes carry an interest rate equal to the SOFR plus a margin of 40 basis points.</w:t>
      </w:r>
    </w:p>
    <w:p w:rsidR="00000000" w:rsidRDefault="001F1FC8">
      <w:pPr>
        <w:ind w:hanging="180"/>
        <w:divId w:val="1660769361"/>
        <w:rPr>
          <w:rFonts w:eastAsia="Times New Roman"/>
        </w:rPr>
      </w:pPr>
      <w:r>
        <w:rPr>
          <w:rFonts w:ascii="Arial" w:eastAsia="Times New Roman" w:hAnsi="Arial" w:cs="Arial"/>
          <w:i/>
          <w:iCs/>
          <w:color w:val="000000"/>
          <w:sz w:val="16"/>
          <w:szCs w:val="16"/>
        </w:rPr>
        <w:t>2Issued through Texas Eastern Transmission, LP, a wholly-owned operating subsidiary of SEP.</w:t>
      </w:r>
      <w:r>
        <w:rPr>
          <w:rFonts w:ascii="Arial" w:eastAsia="Times New Roman" w:hAnsi="Arial" w:cs="Arial"/>
          <w:color w:val="000000"/>
          <w:sz w:val="2"/>
          <w:szCs w:val="2"/>
        </w:rPr>
        <w:t> </w:t>
      </w:r>
    </w:p>
    <w:p w:rsidR="00000000" w:rsidRDefault="001F1FC8">
      <w:pPr>
        <w:divId w:val="913971866"/>
        <w:rPr>
          <w:rFonts w:eastAsia="Times New Roman"/>
        </w:rPr>
      </w:pPr>
    </w:p>
    <w:p w:rsidR="00000000" w:rsidRDefault="001F1FC8">
      <w:pPr>
        <w:divId w:val="383257178"/>
        <w:rPr>
          <w:rFonts w:eastAsia="Times New Roman"/>
        </w:rPr>
      </w:pPr>
      <w:r>
        <w:rPr>
          <w:rFonts w:ascii="Arial" w:eastAsia="Times New Roman" w:hAnsi="Arial" w:cs="Arial"/>
          <w:color w:val="000000"/>
          <w:sz w:val="20"/>
          <w:szCs w:val="20"/>
        </w:rPr>
        <w:t>On January 19, 2022, we closed a $750 million private placement offering of non-</w:t>
      </w:r>
      <w:r>
        <w:rPr>
          <w:rFonts w:ascii="Arial" w:eastAsia="Times New Roman" w:hAnsi="Arial" w:cs="Arial"/>
          <w:color w:val="000000"/>
          <w:sz w:val="20"/>
          <w:szCs w:val="20"/>
        </w:rPr>
        <w:t>call 10-year fixed-to-fixed subordinated notes which mature on January 19, 2082. The net proceeds from the offering will be used to redeem the Preference Shares, Series 17 at par on March 1, 2022.</w:t>
      </w:r>
    </w:p>
    <w:p w:rsidR="00000000" w:rsidRDefault="001F1FC8">
      <w:pPr>
        <w:divId w:val="568155696"/>
        <w:rPr>
          <w:rFonts w:eastAsia="Times New Roman"/>
        </w:rPr>
      </w:pPr>
    </w:p>
    <w:p w:rsidR="00000000" w:rsidRDefault="001F1FC8">
      <w:pPr>
        <w:divId w:val="1956323633"/>
        <w:rPr>
          <w:rFonts w:eastAsia="Times New Roman"/>
        </w:rPr>
      </w:pPr>
      <w:r>
        <w:rPr>
          <w:rFonts w:ascii="Arial" w:eastAsia="Times New Roman" w:hAnsi="Arial" w:cs="Arial"/>
          <w:b/>
          <w:bCs/>
          <w:color w:val="000000"/>
          <w:sz w:val="20"/>
          <w:szCs w:val="20"/>
        </w:rPr>
        <w:t>LONG-TERM DEBT REPAYMENTS</w:t>
      </w:r>
    </w:p>
    <w:p w:rsidR="00000000" w:rsidRDefault="001F1FC8">
      <w:pPr>
        <w:divId w:val="1607078619"/>
        <w:rPr>
          <w:rFonts w:eastAsia="Times New Roman"/>
        </w:rPr>
      </w:pPr>
      <w:r>
        <w:rPr>
          <w:rFonts w:ascii="Arial" w:eastAsia="Times New Roman" w:hAnsi="Arial" w:cs="Arial"/>
          <w:color w:val="000000"/>
          <w:sz w:val="20"/>
          <w:szCs w:val="20"/>
        </w:rPr>
        <w:t xml:space="preserve">During the year ended December </w:t>
      </w:r>
      <w:r>
        <w:rPr>
          <w:rFonts w:ascii="Arial" w:eastAsia="Times New Roman" w:hAnsi="Arial" w:cs="Arial"/>
          <w:color w:val="000000"/>
          <w:sz w:val="20"/>
          <w:szCs w:val="20"/>
        </w:rPr>
        <w:t>31, 2021, we completed the following long-term debt repayments totaling $1.1 billion and US$914 million, respectively:</w:t>
      </w:r>
    </w:p>
    <w:tbl>
      <w:tblPr>
        <w:tblW w:w="5000" w:type="pct"/>
        <w:tblCellMar>
          <w:top w:w="15" w:type="dxa"/>
          <w:left w:w="15" w:type="dxa"/>
          <w:bottom w:w="15" w:type="dxa"/>
          <w:right w:w="15" w:type="dxa"/>
        </w:tblCellMar>
        <w:tblLook w:val="04A0" w:firstRow="1" w:lastRow="0" w:firstColumn="1" w:lastColumn="0" w:noHBand="0" w:noVBand="1"/>
      </w:tblPr>
      <w:tblGrid>
        <w:gridCol w:w="71"/>
        <w:gridCol w:w="944"/>
        <w:gridCol w:w="36"/>
        <w:gridCol w:w="69"/>
        <w:gridCol w:w="2463"/>
        <w:gridCol w:w="36"/>
        <w:gridCol w:w="69"/>
        <w:gridCol w:w="3555"/>
        <w:gridCol w:w="36"/>
        <w:gridCol w:w="70"/>
        <w:gridCol w:w="921"/>
        <w:gridCol w:w="36"/>
      </w:tblGrid>
      <w:tr w:rsidR="00000000">
        <w:trPr>
          <w:divId w:val="74591193"/>
        </w:trPr>
        <w:tc>
          <w:tcPr>
            <w:tcW w:w="50" w:type="pct"/>
            <w:vAlign w:val="center"/>
            <w:hideMark/>
          </w:tcPr>
          <w:p w:rsidR="00000000" w:rsidRDefault="001F1FC8">
            <w:pPr>
              <w:rPr>
                <w:rFonts w:eastAsia="Times New Roman"/>
              </w:rPr>
            </w:pPr>
          </w:p>
        </w:tc>
        <w:tc>
          <w:tcPr>
            <w:tcW w:w="578"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c>
          <w:tcPr>
            <w:tcW w:w="50" w:type="pct"/>
            <w:vAlign w:val="center"/>
            <w:hideMark/>
          </w:tcPr>
          <w:p w:rsidR="00000000" w:rsidRDefault="001F1FC8">
            <w:pPr>
              <w:rPr>
                <w:rFonts w:eastAsia="Times New Roman"/>
                <w:sz w:val="20"/>
                <w:szCs w:val="20"/>
              </w:rPr>
            </w:pPr>
          </w:p>
        </w:tc>
        <w:tc>
          <w:tcPr>
            <w:tcW w:w="1491"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c>
          <w:tcPr>
            <w:tcW w:w="50" w:type="pct"/>
            <w:vAlign w:val="center"/>
            <w:hideMark/>
          </w:tcPr>
          <w:p w:rsidR="00000000" w:rsidRDefault="001F1FC8">
            <w:pPr>
              <w:rPr>
                <w:rFonts w:eastAsia="Times New Roman"/>
                <w:sz w:val="20"/>
                <w:szCs w:val="20"/>
              </w:rPr>
            </w:pPr>
          </w:p>
        </w:tc>
        <w:tc>
          <w:tcPr>
            <w:tcW w:w="2148"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c>
          <w:tcPr>
            <w:tcW w:w="50" w:type="pct"/>
            <w:vAlign w:val="center"/>
            <w:hideMark/>
          </w:tcPr>
          <w:p w:rsidR="00000000" w:rsidRDefault="001F1FC8">
            <w:pPr>
              <w:rPr>
                <w:rFonts w:eastAsia="Times New Roman"/>
                <w:sz w:val="20"/>
                <w:szCs w:val="20"/>
              </w:rPr>
            </w:pPr>
          </w:p>
        </w:tc>
        <w:tc>
          <w:tcPr>
            <w:tcW w:w="562"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r>
      <w:tr w:rsidR="00000000">
        <w:trPr>
          <w:divId w:val="74591193"/>
        </w:trPr>
        <w:tc>
          <w:tcPr>
            <w:tcW w:w="0" w:type="auto"/>
            <w:gridSpan w:val="3"/>
            <w:tcMar>
              <w:top w:w="30" w:type="dxa"/>
              <w:left w:w="20" w:type="dxa"/>
              <w:bottom w:w="30" w:type="dxa"/>
              <w:right w:w="20" w:type="dxa"/>
            </w:tcMar>
            <w:vAlign w:val="bottom"/>
            <w:hideMark/>
          </w:tcPr>
          <w:p w:rsidR="00000000" w:rsidRDefault="001F1FC8">
            <w:pPr>
              <w:rPr>
                <w:rFonts w:eastAsia="Times New Roman"/>
              </w:rPr>
            </w:pPr>
            <w:r>
              <w:rPr>
                <w:rFonts w:ascii="Arial" w:eastAsia="Times New Roman" w:hAnsi="Arial" w:cs="Arial"/>
                <w:color w:val="000000"/>
                <w:sz w:val="20"/>
                <w:szCs w:val="20"/>
              </w:rPr>
              <w:t>Company</w:t>
            </w:r>
          </w:p>
        </w:tc>
        <w:tc>
          <w:tcPr>
            <w:tcW w:w="0" w:type="auto"/>
            <w:gridSpan w:val="3"/>
            <w:tcBorders>
              <w:bottom w:val="single" w:sz="4" w:space="0" w:color="000000"/>
            </w:tcBorders>
            <w:tcMar>
              <w:top w:w="30" w:type="dxa"/>
              <w:left w:w="20" w:type="dxa"/>
              <w:bottom w:w="30" w:type="dxa"/>
              <w:right w:w="20" w:type="dxa"/>
            </w:tcMar>
            <w:vAlign w:val="bottom"/>
            <w:hideMark/>
          </w:tcPr>
          <w:p w:rsidR="00000000" w:rsidRDefault="001F1FC8">
            <w:pPr>
              <w:rPr>
                <w:rFonts w:eastAsia="Times New Roman"/>
              </w:rPr>
            </w:pPr>
            <w:r>
              <w:rPr>
                <w:rFonts w:ascii="Arial" w:eastAsia="Times New Roman" w:hAnsi="Arial" w:cs="Arial"/>
                <w:color w:val="000000"/>
                <w:sz w:val="20"/>
                <w:szCs w:val="20"/>
              </w:rPr>
              <w:t>Repayment Date</w:t>
            </w:r>
          </w:p>
        </w:tc>
        <w:tc>
          <w:tcPr>
            <w:tcW w:w="0" w:type="auto"/>
            <w:gridSpan w:val="3"/>
            <w:tcBorders>
              <w:bottom w:val="single" w:sz="4" w:space="0" w:color="000000"/>
            </w:tcBorders>
            <w:tcMar>
              <w:top w:w="0" w:type="dxa"/>
              <w:left w:w="20" w:type="dxa"/>
              <w:bottom w:w="0" w:type="dxa"/>
              <w:right w:w="20" w:type="dxa"/>
            </w:tcMar>
            <w:vAlign w:val="center"/>
            <w:hideMark/>
          </w:tcPr>
          <w:p w:rsidR="00000000" w:rsidRDefault="001F1FC8">
            <w:pPr>
              <w:rPr>
                <w:rFonts w:eastAsia="Times New Roman"/>
              </w:rPr>
            </w:pPr>
          </w:p>
        </w:tc>
        <w:tc>
          <w:tcPr>
            <w:tcW w:w="0" w:type="auto"/>
            <w:gridSpan w:val="3"/>
            <w:tcMar>
              <w:top w:w="30" w:type="dxa"/>
              <w:left w:w="20" w:type="dxa"/>
              <w:bottom w:w="30" w:type="dxa"/>
              <w:right w:w="20" w:type="dxa"/>
            </w:tcMar>
            <w:vAlign w:val="center"/>
            <w:hideMark/>
          </w:tcPr>
          <w:p w:rsidR="00000000" w:rsidRDefault="001F1FC8">
            <w:pPr>
              <w:jc w:val="right"/>
              <w:rPr>
                <w:rFonts w:eastAsia="Times New Roman"/>
              </w:rPr>
            </w:pPr>
            <w:r>
              <w:rPr>
                <w:rFonts w:ascii="Arial" w:eastAsia="Times New Roman" w:hAnsi="Arial" w:cs="Arial"/>
                <w:color w:val="000000"/>
                <w:sz w:val="20"/>
                <w:szCs w:val="20"/>
              </w:rPr>
              <w:t>Principal Amount</w:t>
            </w:r>
          </w:p>
        </w:tc>
      </w:tr>
      <w:tr w:rsidR="00000000">
        <w:trPr>
          <w:divId w:val="74591193"/>
        </w:trPr>
        <w:tc>
          <w:tcPr>
            <w:tcW w:w="0" w:type="auto"/>
            <w:gridSpan w:val="9"/>
            <w:tcBorders>
              <w:top w:val="single" w:sz="4" w:space="0" w:color="000000"/>
            </w:tcBorders>
            <w:tcMar>
              <w:top w:w="30" w:type="dxa"/>
              <w:left w:w="20" w:type="dxa"/>
              <w:bottom w:w="30" w:type="dxa"/>
              <w:right w:w="20" w:type="dxa"/>
            </w:tcMar>
            <w:vAlign w:val="center"/>
            <w:hideMark/>
          </w:tcPr>
          <w:p w:rsidR="00000000" w:rsidRDefault="001F1FC8">
            <w:pPr>
              <w:rPr>
                <w:rFonts w:eastAsia="Times New Roman"/>
              </w:rPr>
            </w:pPr>
            <w:r>
              <w:rPr>
                <w:rFonts w:ascii="Arial" w:eastAsia="Times New Roman" w:hAnsi="Arial" w:cs="Arial"/>
                <w:i/>
                <w:iCs/>
                <w:color w:val="000000"/>
                <w:sz w:val="16"/>
                <w:szCs w:val="16"/>
              </w:rPr>
              <w:t>(millions of Canadian dollars unless otherwise stated)</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1F1FC8">
            <w:pPr>
              <w:rPr>
                <w:rFonts w:eastAsia="Times New Roman"/>
              </w:rPr>
            </w:pPr>
          </w:p>
        </w:tc>
      </w:tr>
      <w:tr w:rsidR="00000000">
        <w:trPr>
          <w:divId w:val="74591193"/>
        </w:trPr>
        <w:tc>
          <w:tcPr>
            <w:tcW w:w="0" w:type="auto"/>
            <w:gridSpan w:val="6"/>
            <w:tcMar>
              <w:top w:w="30" w:type="dxa"/>
              <w:left w:w="20" w:type="dxa"/>
              <w:bottom w:w="30" w:type="dxa"/>
              <w:right w:w="20" w:type="dxa"/>
            </w:tcMar>
            <w:vAlign w:val="center"/>
            <w:hideMark/>
          </w:tcPr>
          <w:p w:rsidR="00000000" w:rsidRDefault="001F1FC8">
            <w:pPr>
              <w:rPr>
                <w:rFonts w:eastAsia="Times New Roman"/>
              </w:rPr>
            </w:pPr>
            <w:r>
              <w:rPr>
                <w:rFonts w:ascii="Arial" w:eastAsia="Times New Roman" w:hAnsi="Arial" w:cs="Arial"/>
                <w:color w:val="000000"/>
                <w:sz w:val="20"/>
                <w:szCs w:val="20"/>
              </w:rPr>
              <w:t>Enbridge Inc.</w:t>
            </w:r>
          </w:p>
        </w:tc>
        <w:tc>
          <w:tcPr>
            <w:tcW w:w="0" w:type="auto"/>
            <w:gridSpan w:val="3"/>
            <w:tcMar>
              <w:top w:w="0" w:type="dxa"/>
              <w:left w:w="20" w:type="dxa"/>
              <w:bottom w:w="0" w:type="dxa"/>
              <w:right w:w="20" w:type="dxa"/>
            </w:tcMar>
            <w:vAlign w:val="center"/>
            <w:hideMark/>
          </w:tcPr>
          <w:p w:rsidR="00000000" w:rsidRDefault="001F1FC8">
            <w:pPr>
              <w:rPr>
                <w:rFonts w:eastAsia="Times New Roman"/>
              </w:rPr>
            </w:pPr>
          </w:p>
        </w:tc>
        <w:tc>
          <w:tcPr>
            <w:tcW w:w="0" w:type="auto"/>
            <w:gridSpan w:val="3"/>
            <w:tcMar>
              <w:top w:w="0" w:type="dxa"/>
              <w:left w:w="20" w:type="dxa"/>
              <w:bottom w:w="0" w:type="dxa"/>
              <w:right w:w="20" w:type="dxa"/>
            </w:tcMar>
            <w:vAlign w:val="center"/>
            <w:hideMark/>
          </w:tcPr>
          <w:p w:rsidR="00000000" w:rsidRDefault="001F1FC8">
            <w:pPr>
              <w:rPr>
                <w:rFonts w:eastAsia="Times New Roman"/>
                <w:sz w:val="20"/>
                <w:szCs w:val="20"/>
              </w:rPr>
            </w:pPr>
          </w:p>
        </w:tc>
      </w:tr>
      <w:tr w:rsidR="00000000">
        <w:trPr>
          <w:divId w:val="74591193"/>
        </w:trPr>
        <w:tc>
          <w:tcPr>
            <w:tcW w:w="0" w:type="auto"/>
            <w:gridSpan w:val="3"/>
            <w:tcMar>
              <w:top w:w="0" w:type="dxa"/>
              <w:left w:w="20" w:type="dxa"/>
              <w:bottom w:w="0" w:type="dxa"/>
              <w:right w:w="20" w:type="dxa"/>
            </w:tcMar>
            <w:vAlign w:val="center"/>
            <w:hideMark/>
          </w:tcPr>
          <w:p w:rsidR="00000000" w:rsidRDefault="001F1FC8">
            <w:pPr>
              <w:rPr>
                <w:rFonts w:eastAsia="Times New Roman"/>
                <w:sz w:val="20"/>
                <w:szCs w:val="20"/>
              </w:rPr>
            </w:pPr>
          </w:p>
        </w:tc>
        <w:tc>
          <w:tcPr>
            <w:tcW w:w="0" w:type="auto"/>
            <w:gridSpan w:val="3"/>
            <w:tcMar>
              <w:top w:w="30" w:type="dxa"/>
              <w:left w:w="20" w:type="dxa"/>
              <w:bottom w:w="30" w:type="dxa"/>
              <w:right w:w="20" w:type="dxa"/>
            </w:tcMar>
            <w:vAlign w:val="center"/>
            <w:hideMark/>
          </w:tcPr>
          <w:p w:rsidR="00000000" w:rsidRDefault="001F1FC8">
            <w:pPr>
              <w:rPr>
                <w:rFonts w:eastAsia="Times New Roman"/>
              </w:rPr>
            </w:pPr>
            <w:r>
              <w:rPr>
                <w:rFonts w:ascii="Arial" w:eastAsia="Times New Roman" w:hAnsi="Arial" w:cs="Arial"/>
                <w:color w:val="000000"/>
                <w:sz w:val="20"/>
                <w:szCs w:val="20"/>
              </w:rPr>
              <w:t>February 2021</w:t>
            </w:r>
          </w:p>
        </w:tc>
        <w:tc>
          <w:tcPr>
            <w:tcW w:w="0" w:type="auto"/>
            <w:gridSpan w:val="3"/>
            <w:tcMar>
              <w:top w:w="30" w:type="dxa"/>
              <w:left w:w="20" w:type="dxa"/>
              <w:bottom w:w="30" w:type="dxa"/>
              <w:right w:w="20" w:type="dxa"/>
            </w:tcMar>
            <w:vAlign w:val="center"/>
            <w:hideMark/>
          </w:tcPr>
          <w:p w:rsidR="00000000" w:rsidRDefault="001F1FC8">
            <w:pPr>
              <w:rPr>
                <w:rFonts w:eastAsia="Times New Roman"/>
              </w:rPr>
            </w:pPr>
            <w:r>
              <w:rPr>
                <w:rFonts w:ascii="Arial" w:eastAsia="Times New Roman" w:hAnsi="Arial" w:cs="Arial"/>
                <w:color w:val="000000"/>
                <w:sz w:val="20"/>
                <w:szCs w:val="20"/>
              </w:rPr>
              <w:t>4.26% medium-term notes</w:t>
            </w:r>
          </w:p>
        </w:tc>
        <w:tc>
          <w:tcPr>
            <w:tcW w:w="0" w:type="auto"/>
            <w:gridSpan w:val="3"/>
            <w:tcMar>
              <w:top w:w="30" w:type="dxa"/>
              <w:left w:w="20" w:type="dxa"/>
              <w:bottom w:w="30" w:type="dxa"/>
              <w:right w:w="20" w:type="dxa"/>
            </w:tcMar>
            <w:vAlign w:val="center"/>
            <w:hideMark/>
          </w:tcPr>
          <w:p w:rsidR="00000000" w:rsidRDefault="001F1FC8">
            <w:pPr>
              <w:jc w:val="right"/>
              <w:rPr>
                <w:rFonts w:eastAsia="Times New Roman"/>
              </w:rPr>
            </w:pPr>
            <w:r>
              <w:rPr>
                <w:rFonts w:ascii="Arial" w:eastAsia="Times New Roman" w:hAnsi="Arial" w:cs="Arial"/>
                <w:color w:val="000000"/>
                <w:sz w:val="20"/>
                <w:szCs w:val="20"/>
              </w:rPr>
              <w:t>$200</w:t>
            </w:r>
          </w:p>
        </w:tc>
      </w:tr>
      <w:tr w:rsidR="00000000">
        <w:trPr>
          <w:divId w:val="74591193"/>
        </w:trPr>
        <w:tc>
          <w:tcPr>
            <w:tcW w:w="0" w:type="auto"/>
            <w:gridSpan w:val="3"/>
            <w:tcMar>
              <w:top w:w="0" w:type="dxa"/>
              <w:left w:w="20" w:type="dxa"/>
              <w:bottom w:w="0" w:type="dxa"/>
              <w:right w:w="20" w:type="dxa"/>
            </w:tcMar>
            <w:vAlign w:val="center"/>
            <w:hideMark/>
          </w:tcPr>
          <w:p w:rsidR="00000000" w:rsidRDefault="001F1FC8">
            <w:pPr>
              <w:jc w:val="right"/>
              <w:rPr>
                <w:rFonts w:eastAsia="Times New Roman"/>
              </w:rPr>
            </w:pPr>
          </w:p>
        </w:tc>
        <w:tc>
          <w:tcPr>
            <w:tcW w:w="0" w:type="auto"/>
            <w:gridSpan w:val="3"/>
            <w:tcMar>
              <w:top w:w="30" w:type="dxa"/>
              <w:left w:w="20" w:type="dxa"/>
              <w:bottom w:w="30" w:type="dxa"/>
              <w:right w:w="20" w:type="dxa"/>
            </w:tcMar>
            <w:vAlign w:val="center"/>
            <w:hideMark/>
          </w:tcPr>
          <w:p w:rsidR="00000000" w:rsidRDefault="001F1FC8">
            <w:pPr>
              <w:rPr>
                <w:rFonts w:eastAsia="Times New Roman"/>
              </w:rPr>
            </w:pPr>
            <w:r>
              <w:rPr>
                <w:rFonts w:ascii="Arial" w:eastAsia="Times New Roman" w:hAnsi="Arial" w:cs="Arial"/>
                <w:color w:val="000000"/>
                <w:sz w:val="20"/>
                <w:szCs w:val="20"/>
              </w:rPr>
              <w:t>March 2021</w:t>
            </w:r>
          </w:p>
        </w:tc>
        <w:tc>
          <w:tcPr>
            <w:tcW w:w="0" w:type="auto"/>
            <w:gridSpan w:val="3"/>
            <w:tcMar>
              <w:top w:w="30" w:type="dxa"/>
              <w:left w:w="20" w:type="dxa"/>
              <w:bottom w:w="30" w:type="dxa"/>
              <w:right w:w="20" w:type="dxa"/>
            </w:tcMar>
            <w:vAlign w:val="center"/>
            <w:hideMark/>
          </w:tcPr>
          <w:p w:rsidR="00000000" w:rsidRDefault="001F1FC8">
            <w:pPr>
              <w:rPr>
                <w:rFonts w:eastAsia="Times New Roman"/>
              </w:rPr>
            </w:pPr>
            <w:r>
              <w:rPr>
                <w:rFonts w:ascii="Arial" w:eastAsia="Times New Roman" w:hAnsi="Arial" w:cs="Arial"/>
                <w:color w:val="000000"/>
                <w:sz w:val="20"/>
                <w:szCs w:val="20"/>
              </w:rPr>
              <w:t>3.16% medium-term notes</w:t>
            </w:r>
          </w:p>
        </w:tc>
        <w:tc>
          <w:tcPr>
            <w:tcW w:w="0" w:type="auto"/>
            <w:gridSpan w:val="3"/>
            <w:tcMar>
              <w:top w:w="30" w:type="dxa"/>
              <w:left w:w="20" w:type="dxa"/>
              <w:bottom w:w="30" w:type="dxa"/>
              <w:right w:w="20" w:type="dxa"/>
            </w:tcMar>
            <w:vAlign w:val="center"/>
            <w:hideMark/>
          </w:tcPr>
          <w:p w:rsidR="00000000" w:rsidRDefault="001F1FC8">
            <w:pPr>
              <w:jc w:val="right"/>
              <w:rPr>
                <w:rFonts w:eastAsia="Times New Roman"/>
              </w:rPr>
            </w:pPr>
            <w:r>
              <w:rPr>
                <w:rFonts w:ascii="Arial" w:eastAsia="Times New Roman" w:hAnsi="Arial" w:cs="Arial"/>
                <w:color w:val="000000"/>
                <w:sz w:val="20"/>
                <w:szCs w:val="20"/>
              </w:rPr>
              <w:t>$400</w:t>
            </w:r>
          </w:p>
        </w:tc>
      </w:tr>
      <w:tr w:rsidR="00000000">
        <w:trPr>
          <w:divId w:val="74591193"/>
        </w:trPr>
        <w:tc>
          <w:tcPr>
            <w:tcW w:w="0" w:type="auto"/>
            <w:gridSpan w:val="6"/>
            <w:tcMar>
              <w:top w:w="30" w:type="dxa"/>
              <w:left w:w="20" w:type="dxa"/>
              <w:bottom w:w="30" w:type="dxa"/>
              <w:right w:w="20" w:type="dxa"/>
            </w:tcMar>
            <w:vAlign w:val="center"/>
            <w:hideMark/>
          </w:tcPr>
          <w:p w:rsidR="00000000" w:rsidRDefault="001F1FC8">
            <w:pPr>
              <w:rPr>
                <w:rFonts w:eastAsia="Times New Roman"/>
              </w:rPr>
            </w:pPr>
            <w:r>
              <w:rPr>
                <w:rFonts w:ascii="Arial" w:eastAsia="Times New Roman" w:hAnsi="Arial" w:cs="Arial"/>
                <w:color w:val="000000"/>
                <w:sz w:val="20"/>
                <w:szCs w:val="20"/>
              </w:rPr>
              <w:t>Enbridge Energy Partners, L.P.</w:t>
            </w:r>
          </w:p>
        </w:tc>
        <w:tc>
          <w:tcPr>
            <w:tcW w:w="0" w:type="auto"/>
            <w:gridSpan w:val="3"/>
            <w:tcMar>
              <w:top w:w="0" w:type="dxa"/>
              <w:left w:w="20" w:type="dxa"/>
              <w:bottom w:w="0" w:type="dxa"/>
              <w:right w:w="20" w:type="dxa"/>
            </w:tcMar>
            <w:vAlign w:val="center"/>
            <w:hideMark/>
          </w:tcPr>
          <w:p w:rsidR="00000000" w:rsidRDefault="001F1FC8">
            <w:pPr>
              <w:rPr>
                <w:rFonts w:eastAsia="Times New Roman"/>
              </w:rPr>
            </w:pPr>
          </w:p>
        </w:tc>
        <w:tc>
          <w:tcPr>
            <w:tcW w:w="0" w:type="auto"/>
            <w:gridSpan w:val="3"/>
            <w:tcMar>
              <w:top w:w="0" w:type="dxa"/>
              <w:left w:w="20" w:type="dxa"/>
              <w:bottom w:w="0" w:type="dxa"/>
              <w:right w:w="20" w:type="dxa"/>
            </w:tcMar>
            <w:vAlign w:val="center"/>
            <w:hideMark/>
          </w:tcPr>
          <w:p w:rsidR="00000000" w:rsidRDefault="001F1FC8">
            <w:pPr>
              <w:rPr>
                <w:rFonts w:eastAsia="Times New Roman"/>
                <w:sz w:val="20"/>
                <w:szCs w:val="20"/>
              </w:rPr>
            </w:pPr>
          </w:p>
        </w:tc>
      </w:tr>
      <w:tr w:rsidR="00000000">
        <w:trPr>
          <w:divId w:val="74591193"/>
        </w:trPr>
        <w:tc>
          <w:tcPr>
            <w:tcW w:w="0" w:type="auto"/>
            <w:gridSpan w:val="3"/>
            <w:tcMar>
              <w:top w:w="0" w:type="dxa"/>
              <w:left w:w="20" w:type="dxa"/>
              <w:bottom w:w="0" w:type="dxa"/>
              <w:right w:w="20" w:type="dxa"/>
            </w:tcMar>
            <w:vAlign w:val="center"/>
            <w:hideMark/>
          </w:tcPr>
          <w:p w:rsidR="00000000" w:rsidRDefault="001F1FC8">
            <w:pPr>
              <w:rPr>
                <w:rFonts w:eastAsia="Times New Roman"/>
                <w:sz w:val="20"/>
                <w:szCs w:val="20"/>
              </w:rPr>
            </w:pPr>
          </w:p>
        </w:tc>
        <w:tc>
          <w:tcPr>
            <w:tcW w:w="0" w:type="auto"/>
            <w:gridSpan w:val="3"/>
            <w:tcMar>
              <w:top w:w="30" w:type="dxa"/>
              <w:left w:w="20" w:type="dxa"/>
              <w:bottom w:w="30" w:type="dxa"/>
              <w:right w:w="20" w:type="dxa"/>
            </w:tcMar>
            <w:vAlign w:val="center"/>
            <w:hideMark/>
          </w:tcPr>
          <w:p w:rsidR="00000000" w:rsidRDefault="001F1FC8">
            <w:pPr>
              <w:rPr>
                <w:rFonts w:eastAsia="Times New Roman"/>
              </w:rPr>
            </w:pPr>
            <w:r>
              <w:rPr>
                <w:rFonts w:ascii="Arial" w:eastAsia="Times New Roman" w:hAnsi="Arial" w:cs="Arial"/>
                <w:color w:val="000000"/>
                <w:sz w:val="20"/>
                <w:szCs w:val="20"/>
              </w:rPr>
              <w:t>June 2021</w:t>
            </w:r>
          </w:p>
        </w:tc>
        <w:tc>
          <w:tcPr>
            <w:tcW w:w="0" w:type="auto"/>
            <w:gridSpan w:val="3"/>
            <w:tcMar>
              <w:top w:w="30" w:type="dxa"/>
              <w:left w:w="20" w:type="dxa"/>
              <w:bottom w:w="30" w:type="dxa"/>
              <w:right w:w="20" w:type="dxa"/>
            </w:tcMar>
            <w:vAlign w:val="center"/>
            <w:hideMark/>
          </w:tcPr>
          <w:p w:rsidR="00000000" w:rsidRDefault="001F1FC8">
            <w:pPr>
              <w:rPr>
                <w:rFonts w:eastAsia="Times New Roman"/>
              </w:rPr>
            </w:pPr>
            <w:r>
              <w:rPr>
                <w:rFonts w:ascii="Arial" w:eastAsia="Times New Roman" w:hAnsi="Arial" w:cs="Arial"/>
                <w:color w:val="000000"/>
                <w:sz w:val="20"/>
                <w:szCs w:val="20"/>
              </w:rPr>
              <w:t>4.20% senior notes</w:t>
            </w:r>
          </w:p>
        </w:tc>
        <w:tc>
          <w:tcPr>
            <w:tcW w:w="0" w:type="auto"/>
            <w:gridSpan w:val="3"/>
            <w:tcMar>
              <w:top w:w="30" w:type="dxa"/>
              <w:left w:w="20" w:type="dxa"/>
              <w:bottom w:w="30" w:type="dxa"/>
              <w:right w:w="20" w:type="dxa"/>
            </w:tcMar>
            <w:vAlign w:val="center"/>
            <w:hideMark/>
          </w:tcPr>
          <w:p w:rsidR="00000000" w:rsidRDefault="001F1FC8">
            <w:pPr>
              <w:jc w:val="right"/>
              <w:rPr>
                <w:rFonts w:eastAsia="Times New Roman"/>
              </w:rPr>
            </w:pPr>
            <w:r>
              <w:rPr>
                <w:rFonts w:ascii="Arial" w:eastAsia="Times New Roman" w:hAnsi="Arial" w:cs="Arial"/>
                <w:color w:val="000000"/>
                <w:sz w:val="20"/>
                <w:szCs w:val="20"/>
              </w:rPr>
              <w:t>US$600</w:t>
            </w:r>
          </w:p>
        </w:tc>
      </w:tr>
      <w:tr w:rsidR="00000000">
        <w:trPr>
          <w:divId w:val="74591193"/>
        </w:trPr>
        <w:tc>
          <w:tcPr>
            <w:tcW w:w="0" w:type="auto"/>
            <w:gridSpan w:val="6"/>
            <w:tcMar>
              <w:top w:w="30" w:type="dxa"/>
              <w:left w:w="20" w:type="dxa"/>
              <w:bottom w:w="30" w:type="dxa"/>
              <w:right w:w="20" w:type="dxa"/>
            </w:tcMar>
            <w:vAlign w:val="center"/>
            <w:hideMark/>
          </w:tcPr>
          <w:p w:rsidR="00000000" w:rsidRDefault="001F1FC8">
            <w:pPr>
              <w:rPr>
                <w:rFonts w:eastAsia="Times New Roman"/>
              </w:rPr>
            </w:pPr>
            <w:r>
              <w:rPr>
                <w:rFonts w:ascii="Arial" w:eastAsia="Times New Roman" w:hAnsi="Arial" w:cs="Arial"/>
                <w:color w:val="000000"/>
                <w:sz w:val="20"/>
                <w:szCs w:val="20"/>
              </w:rPr>
              <w:t>Enbridge Gas Inc.</w:t>
            </w:r>
          </w:p>
        </w:tc>
        <w:tc>
          <w:tcPr>
            <w:tcW w:w="0" w:type="auto"/>
            <w:gridSpan w:val="3"/>
            <w:tcMar>
              <w:top w:w="0" w:type="dxa"/>
              <w:left w:w="20" w:type="dxa"/>
              <w:bottom w:w="0" w:type="dxa"/>
              <w:right w:w="20" w:type="dxa"/>
            </w:tcMar>
            <w:vAlign w:val="center"/>
            <w:hideMark/>
          </w:tcPr>
          <w:p w:rsidR="00000000" w:rsidRDefault="001F1FC8">
            <w:pPr>
              <w:rPr>
                <w:rFonts w:eastAsia="Times New Roman"/>
              </w:rPr>
            </w:pPr>
          </w:p>
        </w:tc>
        <w:tc>
          <w:tcPr>
            <w:tcW w:w="0" w:type="auto"/>
            <w:gridSpan w:val="3"/>
            <w:tcMar>
              <w:top w:w="0" w:type="dxa"/>
              <w:left w:w="20" w:type="dxa"/>
              <w:bottom w:w="0" w:type="dxa"/>
              <w:right w:w="20" w:type="dxa"/>
            </w:tcMar>
            <w:vAlign w:val="center"/>
            <w:hideMark/>
          </w:tcPr>
          <w:p w:rsidR="00000000" w:rsidRDefault="001F1FC8">
            <w:pPr>
              <w:rPr>
                <w:rFonts w:eastAsia="Times New Roman"/>
                <w:sz w:val="20"/>
                <w:szCs w:val="20"/>
              </w:rPr>
            </w:pPr>
          </w:p>
        </w:tc>
      </w:tr>
      <w:tr w:rsidR="00000000">
        <w:trPr>
          <w:divId w:val="74591193"/>
        </w:trPr>
        <w:tc>
          <w:tcPr>
            <w:tcW w:w="0" w:type="auto"/>
            <w:gridSpan w:val="3"/>
            <w:tcMar>
              <w:top w:w="0" w:type="dxa"/>
              <w:left w:w="20" w:type="dxa"/>
              <w:bottom w:w="0" w:type="dxa"/>
              <w:right w:w="20" w:type="dxa"/>
            </w:tcMar>
            <w:vAlign w:val="center"/>
            <w:hideMark/>
          </w:tcPr>
          <w:p w:rsidR="00000000" w:rsidRDefault="001F1FC8">
            <w:pPr>
              <w:rPr>
                <w:rFonts w:eastAsia="Times New Roman"/>
                <w:sz w:val="20"/>
                <w:szCs w:val="20"/>
              </w:rPr>
            </w:pPr>
          </w:p>
        </w:tc>
        <w:tc>
          <w:tcPr>
            <w:tcW w:w="0" w:type="auto"/>
            <w:gridSpan w:val="3"/>
            <w:tcMar>
              <w:top w:w="30" w:type="dxa"/>
              <w:left w:w="20" w:type="dxa"/>
              <w:bottom w:w="30" w:type="dxa"/>
              <w:right w:w="20" w:type="dxa"/>
            </w:tcMar>
            <w:vAlign w:val="center"/>
            <w:hideMark/>
          </w:tcPr>
          <w:p w:rsidR="00000000" w:rsidRDefault="001F1FC8">
            <w:pPr>
              <w:rPr>
                <w:rFonts w:eastAsia="Times New Roman"/>
              </w:rPr>
            </w:pPr>
            <w:r>
              <w:rPr>
                <w:rFonts w:ascii="Arial" w:eastAsia="Times New Roman" w:hAnsi="Arial" w:cs="Arial"/>
                <w:color w:val="000000"/>
                <w:sz w:val="20"/>
                <w:szCs w:val="20"/>
              </w:rPr>
              <w:t>May 2021</w:t>
            </w:r>
          </w:p>
        </w:tc>
        <w:tc>
          <w:tcPr>
            <w:tcW w:w="0" w:type="auto"/>
            <w:gridSpan w:val="3"/>
            <w:tcMar>
              <w:top w:w="30" w:type="dxa"/>
              <w:left w:w="20" w:type="dxa"/>
              <w:bottom w:w="30" w:type="dxa"/>
              <w:right w:w="20" w:type="dxa"/>
            </w:tcMar>
            <w:vAlign w:val="center"/>
            <w:hideMark/>
          </w:tcPr>
          <w:p w:rsidR="00000000" w:rsidRDefault="001F1FC8">
            <w:pPr>
              <w:rPr>
                <w:rFonts w:eastAsia="Times New Roman"/>
              </w:rPr>
            </w:pPr>
            <w:r>
              <w:rPr>
                <w:rFonts w:ascii="Arial" w:eastAsia="Times New Roman" w:hAnsi="Arial" w:cs="Arial"/>
                <w:color w:val="000000"/>
                <w:sz w:val="20"/>
                <w:szCs w:val="20"/>
              </w:rPr>
              <w:t>2.76% medium-term notes</w:t>
            </w:r>
          </w:p>
        </w:tc>
        <w:tc>
          <w:tcPr>
            <w:tcW w:w="0" w:type="auto"/>
            <w:gridSpan w:val="3"/>
            <w:tcMar>
              <w:top w:w="30" w:type="dxa"/>
              <w:left w:w="20" w:type="dxa"/>
              <w:bottom w:w="30" w:type="dxa"/>
              <w:right w:w="20" w:type="dxa"/>
            </w:tcMar>
            <w:vAlign w:val="center"/>
            <w:hideMark/>
          </w:tcPr>
          <w:p w:rsidR="00000000" w:rsidRDefault="001F1FC8">
            <w:pPr>
              <w:jc w:val="right"/>
              <w:rPr>
                <w:rFonts w:eastAsia="Times New Roman"/>
              </w:rPr>
            </w:pPr>
            <w:r>
              <w:rPr>
                <w:rFonts w:ascii="Arial" w:eastAsia="Times New Roman" w:hAnsi="Arial" w:cs="Arial"/>
                <w:color w:val="000000"/>
                <w:sz w:val="20"/>
                <w:szCs w:val="20"/>
              </w:rPr>
              <w:t>$200</w:t>
            </w:r>
          </w:p>
        </w:tc>
      </w:tr>
      <w:tr w:rsidR="00000000">
        <w:trPr>
          <w:divId w:val="74591193"/>
        </w:trPr>
        <w:tc>
          <w:tcPr>
            <w:tcW w:w="0" w:type="auto"/>
            <w:gridSpan w:val="3"/>
            <w:tcMar>
              <w:top w:w="0" w:type="dxa"/>
              <w:left w:w="20" w:type="dxa"/>
              <w:bottom w:w="0" w:type="dxa"/>
              <w:right w:w="20" w:type="dxa"/>
            </w:tcMar>
            <w:vAlign w:val="center"/>
            <w:hideMark/>
          </w:tcPr>
          <w:p w:rsidR="00000000" w:rsidRDefault="001F1FC8">
            <w:pPr>
              <w:jc w:val="right"/>
              <w:rPr>
                <w:rFonts w:eastAsia="Times New Roman"/>
              </w:rPr>
            </w:pPr>
          </w:p>
        </w:tc>
        <w:tc>
          <w:tcPr>
            <w:tcW w:w="0" w:type="auto"/>
            <w:gridSpan w:val="3"/>
            <w:tcMar>
              <w:top w:w="30" w:type="dxa"/>
              <w:left w:w="20" w:type="dxa"/>
              <w:bottom w:w="30" w:type="dxa"/>
              <w:right w:w="20" w:type="dxa"/>
            </w:tcMar>
            <w:vAlign w:val="center"/>
            <w:hideMark/>
          </w:tcPr>
          <w:p w:rsidR="00000000" w:rsidRDefault="001F1FC8">
            <w:pPr>
              <w:rPr>
                <w:rFonts w:eastAsia="Times New Roman"/>
              </w:rPr>
            </w:pPr>
            <w:r>
              <w:rPr>
                <w:rFonts w:ascii="Arial" w:eastAsia="Times New Roman" w:hAnsi="Arial" w:cs="Arial"/>
                <w:color w:val="000000"/>
                <w:sz w:val="20"/>
                <w:szCs w:val="20"/>
              </w:rPr>
              <w:t>December 2021</w:t>
            </w:r>
          </w:p>
        </w:tc>
        <w:tc>
          <w:tcPr>
            <w:tcW w:w="0" w:type="auto"/>
            <w:gridSpan w:val="3"/>
            <w:tcMar>
              <w:top w:w="30" w:type="dxa"/>
              <w:left w:w="20" w:type="dxa"/>
              <w:bottom w:w="30" w:type="dxa"/>
              <w:right w:w="20" w:type="dxa"/>
            </w:tcMar>
            <w:vAlign w:val="center"/>
            <w:hideMark/>
          </w:tcPr>
          <w:p w:rsidR="00000000" w:rsidRDefault="001F1FC8">
            <w:pPr>
              <w:rPr>
                <w:rFonts w:eastAsia="Times New Roman"/>
              </w:rPr>
            </w:pPr>
            <w:r>
              <w:rPr>
                <w:rFonts w:ascii="Arial" w:eastAsia="Times New Roman" w:hAnsi="Arial" w:cs="Arial"/>
                <w:color w:val="000000"/>
                <w:sz w:val="20"/>
                <w:szCs w:val="20"/>
              </w:rPr>
              <w:t>4.77% medium-term notes</w:t>
            </w:r>
          </w:p>
        </w:tc>
        <w:tc>
          <w:tcPr>
            <w:tcW w:w="0" w:type="auto"/>
            <w:gridSpan w:val="3"/>
            <w:tcMar>
              <w:top w:w="30" w:type="dxa"/>
              <w:left w:w="20" w:type="dxa"/>
              <w:bottom w:w="30" w:type="dxa"/>
              <w:right w:w="20" w:type="dxa"/>
            </w:tcMar>
            <w:vAlign w:val="center"/>
            <w:hideMark/>
          </w:tcPr>
          <w:p w:rsidR="00000000" w:rsidRDefault="001F1FC8">
            <w:pPr>
              <w:jc w:val="right"/>
              <w:rPr>
                <w:rFonts w:eastAsia="Times New Roman"/>
              </w:rPr>
            </w:pPr>
            <w:r>
              <w:rPr>
                <w:rFonts w:ascii="Arial" w:eastAsia="Times New Roman" w:hAnsi="Arial" w:cs="Arial"/>
                <w:color w:val="000000"/>
                <w:sz w:val="20"/>
                <w:szCs w:val="20"/>
              </w:rPr>
              <w:t>$175</w:t>
            </w:r>
          </w:p>
        </w:tc>
      </w:tr>
      <w:tr w:rsidR="00000000">
        <w:trPr>
          <w:divId w:val="74591193"/>
        </w:trPr>
        <w:tc>
          <w:tcPr>
            <w:tcW w:w="0" w:type="auto"/>
            <w:gridSpan w:val="6"/>
            <w:tcMar>
              <w:top w:w="30" w:type="dxa"/>
              <w:left w:w="20" w:type="dxa"/>
              <w:bottom w:w="30" w:type="dxa"/>
              <w:right w:w="20" w:type="dxa"/>
            </w:tcMar>
            <w:vAlign w:val="center"/>
            <w:hideMark/>
          </w:tcPr>
          <w:p w:rsidR="00000000" w:rsidRDefault="001F1FC8">
            <w:pPr>
              <w:rPr>
                <w:rFonts w:eastAsia="Times New Roman"/>
              </w:rPr>
            </w:pPr>
            <w:r>
              <w:rPr>
                <w:rFonts w:ascii="Arial" w:eastAsia="Times New Roman" w:hAnsi="Arial" w:cs="Arial"/>
                <w:color w:val="000000"/>
                <w:sz w:val="20"/>
                <w:szCs w:val="20"/>
              </w:rPr>
              <w:t>Enbridge Pipelines (Southern Lights) L.L.C.</w:t>
            </w:r>
          </w:p>
        </w:tc>
        <w:tc>
          <w:tcPr>
            <w:tcW w:w="0" w:type="auto"/>
            <w:gridSpan w:val="3"/>
            <w:tcMar>
              <w:top w:w="0" w:type="dxa"/>
              <w:left w:w="20" w:type="dxa"/>
              <w:bottom w:w="0" w:type="dxa"/>
              <w:right w:w="20" w:type="dxa"/>
            </w:tcMar>
            <w:vAlign w:val="center"/>
            <w:hideMark/>
          </w:tcPr>
          <w:p w:rsidR="00000000" w:rsidRDefault="001F1FC8">
            <w:pPr>
              <w:rPr>
                <w:rFonts w:eastAsia="Times New Roman"/>
              </w:rPr>
            </w:pPr>
          </w:p>
        </w:tc>
        <w:tc>
          <w:tcPr>
            <w:tcW w:w="0" w:type="auto"/>
            <w:gridSpan w:val="3"/>
            <w:tcMar>
              <w:top w:w="0" w:type="dxa"/>
              <w:left w:w="20" w:type="dxa"/>
              <w:bottom w:w="0" w:type="dxa"/>
              <w:right w:w="20" w:type="dxa"/>
            </w:tcMar>
            <w:vAlign w:val="center"/>
            <w:hideMark/>
          </w:tcPr>
          <w:p w:rsidR="00000000" w:rsidRDefault="001F1FC8">
            <w:pPr>
              <w:rPr>
                <w:rFonts w:eastAsia="Times New Roman"/>
                <w:sz w:val="20"/>
                <w:szCs w:val="20"/>
              </w:rPr>
            </w:pPr>
          </w:p>
        </w:tc>
      </w:tr>
      <w:tr w:rsidR="00000000">
        <w:trPr>
          <w:divId w:val="74591193"/>
        </w:trPr>
        <w:tc>
          <w:tcPr>
            <w:tcW w:w="0" w:type="auto"/>
            <w:gridSpan w:val="3"/>
            <w:tcMar>
              <w:top w:w="0" w:type="dxa"/>
              <w:left w:w="20" w:type="dxa"/>
              <w:bottom w:w="0" w:type="dxa"/>
              <w:right w:w="20" w:type="dxa"/>
            </w:tcMar>
            <w:vAlign w:val="center"/>
            <w:hideMark/>
          </w:tcPr>
          <w:p w:rsidR="00000000" w:rsidRDefault="001F1FC8">
            <w:pPr>
              <w:rPr>
                <w:rFonts w:eastAsia="Times New Roman"/>
                <w:sz w:val="20"/>
                <w:szCs w:val="20"/>
              </w:rPr>
            </w:pPr>
          </w:p>
        </w:tc>
        <w:tc>
          <w:tcPr>
            <w:tcW w:w="0" w:type="auto"/>
            <w:gridSpan w:val="3"/>
            <w:tcMar>
              <w:top w:w="30" w:type="dxa"/>
              <w:left w:w="20" w:type="dxa"/>
              <w:bottom w:w="30" w:type="dxa"/>
              <w:right w:w="20" w:type="dxa"/>
            </w:tcMar>
            <w:vAlign w:val="center"/>
            <w:hideMark/>
          </w:tcPr>
          <w:p w:rsidR="00000000" w:rsidRDefault="001F1FC8">
            <w:pPr>
              <w:rPr>
                <w:rFonts w:eastAsia="Times New Roman"/>
              </w:rPr>
            </w:pPr>
            <w:r>
              <w:rPr>
                <w:rFonts w:ascii="Arial" w:eastAsia="Times New Roman" w:hAnsi="Arial" w:cs="Arial"/>
                <w:color w:val="000000"/>
                <w:sz w:val="20"/>
                <w:szCs w:val="20"/>
              </w:rPr>
              <w:t>June and December 2021</w:t>
            </w:r>
          </w:p>
        </w:tc>
        <w:tc>
          <w:tcPr>
            <w:tcW w:w="0" w:type="auto"/>
            <w:gridSpan w:val="3"/>
            <w:tcMar>
              <w:top w:w="30" w:type="dxa"/>
              <w:left w:w="20" w:type="dxa"/>
              <w:bottom w:w="30" w:type="dxa"/>
              <w:right w:w="20" w:type="dxa"/>
            </w:tcMar>
            <w:vAlign w:val="center"/>
            <w:hideMark/>
          </w:tcPr>
          <w:p w:rsidR="00000000" w:rsidRDefault="001F1FC8">
            <w:pPr>
              <w:rPr>
                <w:rFonts w:eastAsia="Times New Roman"/>
              </w:rPr>
            </w:pPr>
            <w:r>
              <w:rPr>
                <w:rFonts w:ascii="Arial" w:eastAsia="Times New Roman" w:hAnsi="Arial" w:cs="Arial"/>
                <w:color w:val="000000"/>
                <w:sz w:val="20"/>
                <w:szCs w:val="20"/>
              </w:rPr>
              <w:t>3.98% senior notes</w:t>
            </w:r>
          </w:p>
        </w:tc>
        <w:tc>
          <w:tcPr>
            <w:tcW w:w="0" w:type="auto"/>
            <w:gridSpan w:val="3"/>
            <w:tcMar>
              <w:top w:w="30" w:type="dxa"/>
              <w:left w:w="20" w:type="dxa"/>
              <w:bottom w:w="30" w:type="dxa"/>
              <w:right w:w="20" w:type="dxa"/>
            </w:tcMar>
            <w:vAlign w:val="center"/>
            <w:hideMark/>
          </w:tcPr>
          <w:p w:rsidR="00000000" w:rsidRDefault="001F1FC8">
            <w:pPr>
              <w:jc w:val="right"/>
              <w:rPr>
                <w:rFonts w:eastAsia="Times New Roman"/>
              </w:rPr>
            </w:pPr>
            <w:r>
              <w:rPr>
                <w:rFonts w:ascii="Arial" w:eastAsia="Times New Roman" w:hAnsi="Arial" w:cs="Arial"/>
                <w:color w:val="000000"/>
                <w:sz w:val="20"/>
                <w:szCs w:val="20"/>
              </w:rPr>
              <w:t>US$64</w:t>
            </w:r>
          </w:p>
        </w:tc>
      </w:tr>
      <w:tr w:rsidR="00000000">
        <w:trPr>
          <w:divId w:val="74591193"/>
        </w:trPr>
        <w:tc>
          <w:tcPr>
            <w:tcW w:w="0" w:type="auto"/>
            <w:gridSpan w:val="6"/>
            <w:tcMar>
              <w:top w:w="30" w:type="dxa"/>
              <w:left w:w="20" w:type="dxa"/>
              <w:bottom w:w="30" w:type="dxa"/>
              <w:right w:w="20" w:type="dxa"/>
            </w:tcMar>
            <w:vAlign w:val="center"/>
            <w:hideMark/>
          </w:tcPr>
          <w:p w:rsidR="00000000" w:rsidRDefault="001F1FC8">
            <w:pPr>
              <w:rPr>
                <w:rFonts w:eastAsia="Times New Roman"/>
              </w:rPr>
            </w:pPr>
            <w:r>
              <w:rPr>
                <w:rFonts w:ascii="Arial" w:eastAsia="Times New Roman" w:hAnsi="Arial" w:cs="Arial"/>
                <w:color w:val="000000"/>
                <w:sz w:val="20"/>
                <w:szCs w:val="20"/>
              </w:rPr>
              <w:t>Enbridge Southern Lights LP</w:t>
            </w:r>
          </w:p>
        </w:tc>
        <w:tc>
          <w:tcPr>
            <w:tcW w:w="0" w:type="auto"/>
            <w:gridSpan w:val="3"/>
            <w:tcMar>
              <w:top w:w="0" w:type="dxa"/>
              <w:left w:w="20" w:type="dxa"/>
              <w:bottom w:w="0" w:type="dxa"/>
              <w:right w:w="20" w:type="dxa"/>
            </w:tcMar>
            <w:vAlign w:val="center"/>
            <w:hideMark/>
          </w:tcPr>
          <w:p w:rsidR="00000000" w:rsidRDefault="001F1FC8">
            <w:pPr>
              <w:rPr>
                <w:rFonts w:eastAsia="Times New Roman"/>
              </w:rPr>
            </w:pPr>
          </w:p>
        </w:tc>
        <w:tc>
          <w:tcPr>
            <w:tcW w:w="0" w:type="auto"/>
            <w:gridSpan w:val="3"/>
            <w:tcMar>
              <w:top w:w="0" w:type="dxa"/>
              <w:left w:w="20" w:type="dxa"/>
              <w:bottom w:w="0" w:type="dxa"/>
              <w:right w:w="20" w:type="dxa"/>
            </w:tcMar>
            <w:vAlign w:val="center"/>
            <w:hideMark/>
          </w:tcPr>
          <w:p w:rsidR="00000000" w:rsidRDefault="001F1FC8">
            <w:pPr>
              <w:rPr>
                <w:rFonts w:eastAsia="Times New Roman"/>
                <w:sz w:val="20"/>
                <w:szCs w:val="20"/>
              </w:rPr>
            </w:pPr>
          </w:p>
        </w:tc>
      </w:tr>
      <w:tr w:rsidR="00000000">
        <w:trPr>
          <w:divId w:val="74591193"/>
        </w:trPr>
        <w:tc>
          <w:tcPr>
            <w:tcW w:w="0" w:type="auto"/>
            <w:gridSpan w:val="3"/>
            <w:tcMar>
              <w:top w:w="0" w:type="dxa"/>
              <w:left w:w="20" w:type="dxa"/>
              <w:bottom w:w="0" w:type="dxa"/>
              <w:right w:w="20" w:type="dxa"/>
            </w:tcMar>
            <w:vAlign w:val="center"/>
            <w:hideMark/>
          </w:tcPr>
          <w:p w:rsidR="00000000" w:rsidRDefault="001F1FC8">
            <w:pPr>
              <w:rPr>
                <w:rFonts w:eastAsia="Times New Roman"/>
                <w:sz w:val="20"/>
                <w:szCs w:val="20"/>
              </w:rPr>
            </w:pPr>
          </w:p>
        </w:tc>
        <w:tc>
          <w:tcPr>
            <w:tcW w:w="0" w:type="auto"/>
            <w:gridSpan w:val="3"/>
            <w:tcMar>
              <w:top w:w="30" w:type="dxa"/>
              <w:left w:w="20" w:type="dxa"/>
              <w:bottom w:w="30" w:type="dxa"/>
              <w:right w:w="20" w:type="dxa"/>
            </w:tcMar>
            <w:vAlign w:val="center"/>
            <w:hideMark/>
          </w:tcPr>
          <w:p w:rsidR="00000000" w:rsidRDefault="001F1FC8">
            <w:pPr>
              <w:rPr>
                <w:rFonts w:eastAsia="Times New Roman"/>
              </w:rPr>
            </w:pPr>
            <w:r>
              <w:rPr>
                <w:rFonts w:ascii="Arial" w:eastAsia="Times New Roman" w:hAnsi="Arial" w:cs="Arial"/>
                <w:color w:val="000000"/>
                <w:sz w:val="20"/>
                <w:szCs w:val="20"/>
              </w:rPr>
              <w:t>June and December 2021</w:t>
            </w:r>
          </w:p>
        </w:tc>
        <w:tc>
          <w:tcPr>
            <w:tcW w:w="0" w:type="auto"/>
            <w:gridSpan w:val="3"/>
            <w:tcMar>
              <w:top w:w="30" w:type="dxa"/>
              <w:left w:w="20" w:type="dxa"/>
              <w:bottom w:w="30" w:type="dxa"/>
              <w:right w:w="20" w:type="dxa"/>
            </w:tcMar>
            <w:vAlign w:val="center"/>
            <w:hideMark/>
          </w:tcPr>
          <w:p w:rsidR="00000000" w:rsidRDefault="001F1FC8">
            <w:pPr>
              <w:rPr>
                <w:rFonts w:eastAsia="Times New Roman"/>
              </w:rPr>
            </w:pPr>
            <w:r>
              <w:rPr>
                <w:rFonts w:ascii="Arial" w:eastAsia="Times New Roman" w:hAnsi="Arial" w:cs="Arial"/>
                <w:color w:val="000000"/>
                <w:sz w:val="20"/>
                <w:szCs w:val="20"/>
              </w:rPr>
              <w:t>4.01% senior notes</w:t>
            </w:r>
          </w:p>
        </w:tc>
        <w:tc>
          <w:tcPr>
            <w:tcW w:w="0" w:type="auto"/>
            <w:gridSpan w:val="3"/>
            <w:tcMar>
              <w:top w:w="30" w:type="dxa"/>
              <w:left w:w="20" w:type="dxa"/>
              <w:bottom w:w="30" w:type="dxa"/>
              <w:right w:w="20" w:type="dxa"/>
            </w:tcMar>
            <w:vAlign w:val="center"/>
            <w:hideMark/>
          </w:tcPr>
          <w:p w:rsidR="00000000" w:rsidRDefault="001F1FC8">
            <w:pPr>
              <w:jc w:val="right"/>
              <w:rPr>
                <w:rFonts w:eastAsia="Times New Roman"/>
              </w:rPr>
            </w:pPr>
            <w:r>
              <w:rPr>
                <w:rFonts w:ascii="Arial" w:eastAsia="Times New Roman" w:hAnsi="Arial" w:cs="Arial"/>
                <w:color w:val="000000"/>
                <w:sz w:val="20"/>
                <w:szCs w:val="20"/>
              </w:rPr>
              <w:t>$16</w:t>
            </w:r>
          </w:p>
        </w:tc>
      </w:tr>
      <w:tr w:rsidR="00000000">
        <w:trPr>
          <w:divId w:val="74591193"/>
        </w:trPr>
        <w:tc>
          <w:tcPr>
            <w:tcW w:w="0" w:type="auto"/>
            <w:gridSpan w:val="6"/>
            <w:tcMar>
              <w:top w:w="30" w:type="dxa"/>
              <w:left w:w="20" w:type="dxa"/>
              <w:bottom w:w="30" w:type="dxa"/>
              <w:right w:w="20" w:type="dxa"/>
            </w:tcMar>
            <w:vAlign w:val="center"/>
            <w:hideMark/>
          </w:tcPr>
          <w:p w:rsidR="00000000" w:rsidRDefault="001F1FC8">
            <w:pPr>
              <w:rPr>
                <w:rFonts w:eastAsia="Times New Roman"/>
              </w:rPr>
            </w:pPr>
            <w:r>
              <w:rPr>
                <w:rFonts w:ascii="Arial" w:eastAsia="Times New Roman" w:hAnsi="Arial" w:cs="Arial"/>
                <w:color w:val="000000"/>
                <w:sz w:val="20"/>
                <w:szCs w:val="20"/>
              </w:rPr>
              <w:t>Spectra Energy Partners, LP</w:t>
            </w:r>
          </w:p>
        </w:tc>
        <w:tc>
          <w:tcPr>
            <w:tcW w:w="0" w:type="auto"/>
            <w:gridSpan w:val="3"/>
            <w:tcMar>
              <w:top w:w="0" w:type="dxa"/>
              <w:left w:w="20" w:type="dxa"/>
              <w:bottom w:w="0" w:type="dxa"/>
              <w:right w:w="20" w:type="dxa"/>
            </w:tcMar>
            <w:vAlign w:val="center"/>
            <w:hideMark/>
          </w:tcPr>
          <w:p w:rsidR="00000000" w:rsidRDefault="001F1FC8">
            <w:pPr>
              <w:rPr>
                <w:rFonts w:eastAsia="Times New Roman"/>
              </w:rPr>
            </w:pPr>
          </w:p>
        </w:tc>
        <w:tc>
          <w:tcPr>
            <w:tcW w:w="0" w:type="auto"/>
            <w:gridSpan w:val="3"/>
            <w:tcMar>
              <w:top w:w="0" w:type="dxa"/>
              <w:left w:w="20" w:type="dxa"/>
              <w:bottom w:w="0" w:type="dxa"/>
              <w:right w:w="20" w:type="dxa"/>
            </w:tcMar>
            <w:vAlign w:val="center"/>
            <w:hideMark/>
          </w:tcPr>
          <w:p w:rsidR="00000000" w:rsidRDefault="001F1FC8">
            <w:pPr>
              <w:rPr>
                <w:rFonts w:eastAsia="Times New Roman"/>
                <w:sz w:val="20"/>
                <w:szCs w:val="20"/>
              </w:rPr>
            </w:pPr>
          </w:p>
        </w:tc>
      </w:tr>
      <w:tr w:rsidR="00000000">
        <w:trPr>
          <w:divId w:val="74591193"/>
        </w:trPr>
        <w:tc>
          <w:tcPr>
            <w:tcW w:w="0" w:type="auto"/>
            <w:gridSpan w:val="3"/>
            <w:tcMar>
              <w:top w:w="0" w:type="dxa"/>
              <w:left w:w="20" w:type="dxa"/>
              <w:bottom w:w="0" w:type="dxa"/>
              <w:right w:w="20" w:type="dxa"/>
            </w:tcMar>
            <w:vAlign w:val="center"/>
            <w:hideMark/>
          </w:tcPr>
          <w:p w:rsidR="00000000" w:rsidRDefault="001F1FC8">
            <w:pPr>
              <w:rPr>
                <w:rFonts w:eastAsia="Times New Roman"/>
                <w:sz w:val="20"/>
                <w:szCs w:val="20"/>
              </w:rPr>
            </w:pPr>
          </w:p>
        </w:tc>
        <w:tc>
          <w:tcPr>
            <w:tcW w:w="0" w:type="auto"/>
            <w:gridSpan w:val="3"/>
            <w:tcMar>
              <w:top w:w="30" w:type="dxa"/>
              <w:left w:w="20" w:type="dxa"/>
              <w:bottom w:w="30" w:type="dxa"/>
              <w:right w:w="20" w:type="dxa"/>
            </w:tcMar>
            <w:vAlign w:val="center"/>
            <w:hideMark/>
          </w:tcPr>
          <w:p w:rsidR="00000000" w:rsidRDefault="001F1FC8">
            <w:pPr>
              <w:rPr>
                <w:rFonts w:eastAsia="Times New Roman"/>
              </w:rPr>
            </w:pPr>
            <w:r>
              <w:rPr>
                <w:rFonts w:ascii="Arial" w:eastAsia="Times New Roman" w:hAnsi="Arial" w:cs="Arial"/>
                <w:color w:val="000000"/>
                <w:sz w:val="20"/>
                <w:szCs w:val="20"/>
              </w:rPr>
              <w:t>March 2021</w:t>
            </w:r>
          </w:p>
        </w:tc>
        <w:tc>
          <w:tcPr>
            <w:tcW w:w="0" w:type="auto"/>
            <w:gridSpan w:val="3"/>
            <w:tcMar>
              <w:top w:w="30" w:type="dxa"/>
              <w:left w:w="20" w:type="dxa"/>
              <w:bottom w:w="30" w:type="dxa"/>
              <w:right w:w="20" w:type="dxa"/>
            </w:tcMar>
            <w:vAlign w:val="center"/>
            <w:hideMark/>
          </w:tcPr>
          <w:p w:rsidR="00000000" w:rsidRDefault="001F1FC8">
            <w:pPr>
              <w:rPr>
                <w:rFonts w:eastAsia="Times New Roman"/>
              </w:rPr>
            </w:pPr>
            <w:r>
              <w:rPr>
                <w:rFonts w:ascii="Arial" w:eastAsia="Times New Roman" w:hAnsi="Arial" w:cs="Arial"/>
                <w:color w:val="000000"/>
                <w:sz w:val="20"/>
                <w:szCs w:val="20"/>
              </w:rPr>
              <w:t>4.60% senior notes</w:t>
            </w:r>
          </w:p>
        </w:tc>
        <w:tc>
          <w:tcPr>
            <w:tcW w:w="0" w:type="auto"/>
            <w:gridSpan w:val="3"/>
            <w:tcMar>
              <w:top w:w="30" w:type="dxa"/>
              <w:left w:w="20" w:type="dxa"/>
              <w:bottom w:w="30" w:type="dxa"/>
              <w:right w:w="20" w:type="dxa"/>
            </w:tcMar>
            <w:vAlign w:val="center"/>
            <w:hideMark/>
          </w:tcPr>
          <w:p w:rsidR="00000000" w:rsidRDefault="001F1FC8">
            <w:pPr>
              <w:jc w:val="right"/>
              <w:rPr>
                <w:rFonts w:eastAsia="Times New Roman"/>
              </w:rPr>
            </w:pPr>
            <w:r>
              <w:rPr>
                <w:rFonts w:ascii="Arial" w:eastAsia="Times New Roman" w:hAnsi="Arial" w:cs="Arial"/>
                <w:color w:val="000000"/>
                <w:sz w:val="20"/>
                <w:szCs w:val="20"/>
              </w:rPr>
              <w:t>US$250</w:t>
            </w:r>
          </w:p>
        </w:tc>
      </w:tr>
      <w:tr w:rsidR="00000000">
        <w:trPr>
          <w:divId w:val="74591193"/>
        </w:trPr>
        <w:tc>
          <w:tcPr>
            <w:tcW w:w="0" w:type="auto"/>
            <w:gridSpan w:val="6"/>
            <w:tcMar>
              <w:top w:w="30" w:type="dxa"/>
              <w:left w:w="20" w:type="dxa"/>
              <w:bottom w:w="30" w:type="dxa"/>
              <w:right w:w="20" w:type="dxa"/>
            </w:tcMar>
            <w:vAlign w:val="center"/>
            <w:hideMark/>
          </w:tcPr>
          <w:p w:rsidR="00000000" w:rsidRDefault="001F1FC8">
            <w:pPr>
              <w:rPr>
                <w:rFonts w:eastAsia="Times New Roman"/>
              </w:rPr>
            </w:pPr>
            <w:r>
              <w:rPr>
                <w:rFonts w:ascii="Arial" w:eastAsia="Times New Roman" w:hAnsi="Arial" w:cs="Arial"/>
                <w:color w:val="000000"/>
                <w:sz w:val="20"/>
                <w:szCs w:val="20"/>
              </w:rPr>
              <w:t>Westcoast Energy Inc.</w:t>
            </w:r>
          </w:p>
        </w:tc>
        <w:tc>
          <w:tcPr>
            <w:tcW w:w="0" w:type="auto"/>
            <w:gridSpan w:val="3"/>
            <w:tcMar>
              <w:top w:w="0" w:type="dxa"/>
              <w:left w:w="20" w:type="dxa"/>
              <w:bottom w:w="0" w:type="dxa"/>
              <w:right w:w="20" w:type="dxa"/>
            </w:tcMar>
            <w:vAlign w:val="center"/>
            <w:hideMark/>
          </w:tcPr>
          <w:p w:rsidR="00000000" w:rsidRDefault="001F1FC8">
            <w:pPr>
              <w:rPr>
                <w:rFonts w:eastAsia="Times New Roman"/>
              </w:rPr>
            </w:pPr>
          </w:p>
        </w:tc>
        <w:tc>
          <w:tcPr>
            <w:tcW w:w="0" w:type="auto"/>
            <w:gridSpan w:val="3"/>
            <w:tcMar>
              <w:top w:w="0" w:type="dxa"/>
              <w:left w:w="20" w:type="dxa"/>
              <w:bottom w:w="0" w:type="dxa"/>
              <w:right w:w="20" w:type="dxa"/>
            </w:tcMar>
            <w:vAlign w:val="center"/>
            <w:hideMark/>
          </w:tcPr>
          <w:p w:rsidR="00000000" w:rsidRDefault="001F1FC8">
            <w:pPr>
              <w:rPr>
                <w:rFonts w:eastAsia="Times New Roman"/>
                <w:sz w:val="20"/>
                <w:szCs w:val="20"/>
              </w:rPr>
            </w:pPr>
          </w:p>
        </w:tc>
      </w:tr>
      <w:tr w:rsidR="00000000">
        <w:trPr>
          <w:divId w:val="74591193"/>
        </w:trPr>
        <w:tc>
          <w:tcPr>
            <w:tcW w:w="0" w:type="auto"/>
            <w:gridSpan w:val="3"/>
            <w:tcBorders>
              <w:bottom w:val="single" w:sz="8" w:space="0" w:color="000000"/>
            </w:tcBorders>
            <w:tcMar>
              <w:top w:w="0" w:type="dxa"/>
              <w:left w:w="20" w:type="dxa"/>
              <w:bottom w:w="0" w:type="dxa"/>
              <w:right w:w="20" w:type="dxa"/>
            </w:tcMar>
            <w:vAlign w:val="center"/>
            <w:hideMark/>
          </w:tcPr>
          <w:p w:rsidR="00000000" w:rsidRDefault="001F1FC8">
            <w:pPr>
              <w:rPr>
                <w:rFonts w:eastAsia="Times New Roman"/>
                <w:sz w:val="20"/>
                <w:szCs w:val="20"/>
              </w:rPr>
            </w:pPr>
          </w:p>
        </w:tc>
        <w:tc>
          <w:tcPr>
            <w:tcW w:w="0" w:type="auto"/>
            <w:gridSpan w:val="3"/>
            <w:tcBorders>
              <w:bottom w:val="single" w:sz="8" w:space="0" w:color="000000"/>
            </w:tcBorders>
            <w:tcMar>
              <w:top w:w="30" w:type="dxa"/>
              <w:left w:w="20" w:type="dxa"/>
              <w:bottom w:w="30" w:type="dxa"/>
              <w:right w:w="20" w:type="dxa"/>
            </w:tcMar>
            <w:vAlign w:val="center"/>
            <w:hideMark/>
          </w:tcPr>
          <w:p w:rsidR="00000000" w:rsidRDefault="001F1FC8">
            <w:pPr>
              <w:rPr>
                <w:rFonts w:eastAsia="Times New Roman"/>
              </w:rPr>
            </w:pPr>
            <w:r>
              <w:rPr>
                <w:rFonts w:ascii="Arial" w:eastAsia="Times New Roman" w:hAnsi="Arial" w:cs="Arial"/>
                <w:color w:val="000000"/>
                <w:sz w:val="20"/>
                <w:szCs w:val="20"/>
              </w:rPr>
              <w:t>October 2021</w:t>
            </w:r>
          </w:p>
        </w:tc>
        <w:tc>
          <w:tcPr>
            <w:tcW w:w="0" w:type="auto"/>
            <w:gridSpan w:val="3"/>
            <w:tcBorders>
              <w:bottom w:val="single" w:sz="8" w:space="0" w:color="000000"/>
            </w:tcBorders>
            <w:tcMar>
              <w:top w:w="30" w:type="dxa"/>
              <w:left w:w="20" w:type="dxa"/>
              <w:bottom w:w="30" w:type="dxa"/>
              <w:right w:w="20" w:type="dxa"/>
            </w:tcMar>
            <w:vAlign w:val="center"/>
            <w:hideMark/>
          </w:tcPr>
          <w:p w:rsidR="00000000" w:rsidRDefault="001F1FC8">
            <w:pPr>
              <w:rPr>
                <w:rFonts w:eastAsia="Times New Roman"/>
              </w:rPr>
            </w:pPr>
            <w:r>
              <w:rPr>
                <w:rFonts w:ascii="Arial" w:eastAsia="Times New Roman" w:hAnsi="Arial" w:cs="Arial"/>
                <w:color w:val="000000"/>
                <w:sz w:val="20"/>
                <w:szCs w:val="20"/>
              </w:rPr>
              <w:t>3.88% medium-term notes</w:t>
            </w:r>
          </w:p>
        </w:tc>
        <w:tc>
          <w:tcPr>
            <w:tcW w:w="0" w:type="auto"/>
            <w:gridSpan w:val="3"/>
            <w:tcBorders>
              <w:bottom w:val="single" w:sz="8" w:space="0" w:color="000000"/>
            </w:tcBorders>
            <w:tcMar>
              <w:top w:w="30" w:type="dxa"/>
              <w:left w:w="20" w:type="dxa"/>
              <w:bottom w:w="30" w:type="dxa"/>
              <w:right w:w="20" w:type="dxa"/>
            </w:tcMar>
            <w:vAlign w:val="center"/>
            <w:hideMark/>
          </w:tcPr>
          <w:p w:rsidR="00000000" w:rsidRDefault="001F1FC8">
            <w:pPr>
              <w:jc w:val="right"/>
              <w:rPr>
                <w:rFonts w:eastAsia="Times New Roman"/>
              </w:rPr>
            </w:pPr>
            <w:r>
              <w:rPr>
                <w:rFonts w:ascii="Arial" w:eastAsia="Times New Roman" w:hAnsi="Arial" w:cs="Arial"/>
                <w:color w:val="000000"/>
                <w:sz w:val="20"/>
                <w:szCs w:val="20"/>
              </w:rPr>
              <w:t>$150</w:t>
            </w:r>
          </w:p>
        </w:tc>
      </w:tr>
    </w:tbl>
    <w:p w:rsidR="00000000" w:rsidRDefault="001F1FC8">
      <w:pPr>
        <w:ind w:hanging="180"/>
        <w:divId w:val="1262690262"/>
        <w:rPr>
          <w:rFonts w:eastAsia="Times New Roman"/>
        </w:rPr>
      </w:pPr>
    </w:p>
    <w:p w:rsidR="00000000" w:rsidRDefault="001F1FC8">
      <w:pPr>
        <w:jc w:val="center"/>
        <w:divId w:val="1881437243"/>
        <w:rPr>
          <w:rFonts w:eastAsia="Times New Roman"/>
        </w:rPr>
      </w:pPr>
      <w:r>
        <w:rPr>
          <w:rFonts w:ascii="Arial" w:eastAsia="Times New Roman" w:hAnsi="Arial" w:cs="Arial"/>
          <w:color w:val="000000"/>
          <w:sz w:val="20"/>
          <w:szCs w:val="20"/>
        </w:rPr>
        <w:t>140</w:t>
      </w:r>
    </w:p>
    <w:p w:rsidR="00000000" w:rsidRDefault="001F1FC8">
      <w:pPr>
        <w:rPr>
          <w:rFonts w:eastAsia="Times New Roman"/>
        </w:rPr>
      </w:pPr>
      <w:r>
        <w:rPr>
          <w:rFonts w:eastAsia="Times New Roman"/>
        </w:rPr>
        <w:pict>
          <v:rect id="_x0000_i1170" style="width:0;height:1.5pt" o:hralign="center" o:hrstd="t" o:hr="t" fillcolor="#a0a0a0" stroked="f"/>
        </w:pict>
      </w:r>
    </w:p>
    <w:p w:rsidR="00000000" w:rsidRDefault="001F1FC8">
      <w:pPr>
        <w:jc w:val="center"/>
        <w:divId w:val="2145848497"/>
        <w:rPr>
          <w:rFonts w:eastAsia="Times New Roman"/>
        </w:rPr>
      </w:pPr>
    </w:p>
    <w:p w:rsidR="00000000" w:rsidRDefault="001F1FC8">
      <w:pPr>
        <w:divId w:val="1768501937"/>
        <w:rPr>
          <w:rFonts w:eastAsia="Times New Roman"/>
        </w:rPr>
      </w:pPr>
      <w:r>
        <w:rPr>
          <w:rFonts w:ascii="Arial" w:eastAsia="Times New Roman" w:hAnsi="Arial" w:cs="Arial"/>
          <w:b/>
          <w:bCs/>
          <w:color w:val="000000"/>
          <w:sz w:val="20"/>
          <w:szCs w:val="20"/>
        </w:rPr>
        <w:t>DEBT COVENANTS</w:t>
      </w:r>
    </w:p>
    <w:p w:rsidR="00000000" w:rsidRDefault="001F1FC8">
      <w:pPr>
        <w:divId w:val="1339505876"/>
        <w:rPr>
          <w:rFonts w:eastAsia="Times New Roman"/>
        </w:rPr>
      </w:pPr>
      <w:r>
        <w:rPr>
          <w:rFonts w:ascii="Arial" w:eastAsia="Times New Roman" w:hAnsi="Arial" w:cs="Arial"/>
          <w:color w:val="000000"/>
          <w:sz w:val="20"/>
          <w:szCs w:val="20"/>
        </w:rPr>
        <w:t xml:space="preserve">Our credit facility agreements and term debt indentures include standard events of default and covenant provisions whereby accelerated repayment and/or termination of the agreements may result if we were to default on payment or violate certain covenants. </w:t>
      </w:r>
      <w:r>
        <w:rPr>
          <w:rFonts w:ascii="Arial" w:eastAsia="Times New Roman" w:hAnsi="Arial" w:cs="Arial"/>
          <w:color w:val="000000"/>
          <w:sz w:val="20"/>
          <w:szCs w:val="20"/>
        </w:rPr>
        <w:t>As at December 31, 2021, we were in compliance with all debt covenants.</w:t>
      </w:r>
    </w:p>
    <w:p w:rsidR="00000000" w:rsidRDefault="001F1FC8">
      <w:pPr>
        <w:divId w:val="407578419"/>
        <w:rPr>
          <w:rFonts w:eastAsia="Times New Roman"/>
        </w:rPr>
      </w:pPr>
    </w:p>
    <w:p w:rsidR="00000000" w:rsidRDefault="001F1FC8">
      <w:pPr>
        <w:divId w:val="1672681072"/>
        <w:rPr>
          <w:rFonts w:eastAsia="Times New Roman"/>
        </w:rPr>
      </w:pPr>
      <w:r>
        <w:rPr>
          <w:rFonts w:ascii="Arial" w:eastAsia="Times New Roman" w:hAnsi="Arial" w:cs="Arial"/>
          <w:b/>
          <w:bCs/>
          <w:color w:val="000000"/>
          <w:sz w:val="20"/>
          <w:szCs w:val="20"/>
        </w:rPr>
        <w:t>INTEREST EXPENSE</w:t>
      </w:r>
    </w:p>
    <w:tbl>
      <w:tblPr>
        <w:tblW w:w="5000" w:type="pct"/>
        <w:tblCellMar>
          <w:top w:w="15" w:type="dxa"/>
          <w:left w:w="15" w:type="dxa"/>
          <w:bottom w:w="15" w:type="dxa"/>
          <w:right w:w="15" w:type="dxa"/>
        </w:tblCellMar>
        <w:tblLook w:val="04A0" w:firstRow="1" w:lastRow="0" w:firstColumn="1" w:lastColumn="0" w:noHBand="0" w:noVBand="1"/>
      </w:tblPr>
      <w:tblGrid>
        <w:gridCol w:w="69"/>
        <w:gridCol w:w="5621"/>
        <w:gridCol w:w="38"/>
        <w:gridCol w:w="69"/>
        <w:gridCol w:w="758"/>
        <w:gridCol w:w="36"/>
        <w:gridCol w:w="69"/>
        <w:gridCol w:w="732"/>
        <w:gridCol w:w="36"/>
        <w:gridCol w:w="69"/>
        <w:gridCol w:w="773"/>
        <w:gridCol w:w="36"/>
      </w:tblGrid>
      <w:tr w:rsidR="00000000">
        <w:trPr>
          <w:divId w:val="675965841"/>
        </w:trPr>
        <w:tc>
          <w:tcPr>
            <w:tcW w:w="50" w:type="pct"/>
            <w:vAlign w:val="center"/>
            <w:hideMark/>
          </w:tcPr>
          <w:p w:rsidR="00000000" w:rsidRDefault="001F1FC8">
            <w:pPr>
              <w:rPr>
                <w:rFonts w:eastAsia="Times New Roman"/>
              </w:rPr>
            </w:pPr>
          </w:p>
        </w:tc>
        <w:tc>
          <w:tcPr>
            <w:tcW w:w="3390"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c>
          <w:tcPr>
            <w:tcW w:w="50" w:type="pct"/>
            <w:vAlign w:val="center"/>
            <w:hideMark/>
          </w:tcPr>
          <w:p w:rsidR="00000000" w:rsidRDefault="001F1FC8">
            <w:pPr>
              <w:rPr>
                <w:rFonts w:eastAsia="Times New Roman"/>
                <w:sz w:val="20"/>
                <w:szCs w:val="20"/>
              </w:rPr>
            </w:pPr>
          </w:p>
        </w:tc>
        <w:tc>
          <w:tcPr>
            <w:tcW w:w="465"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c>
          <w:tcPr>
            <w:tcW w:w="50" w:type="pct"/>
            <w:vAlign w:val="center"/>
            <w:hideMark/>
          </w:tcPr>
          <w:p w:rsidR="00000000" w:rsidRDefault="001F1FC8">
            <w:pPr>
              <w:rPr>
                <w:rFonts w:eastAsia="Times New Roman"/>
                <w:sz w:val="20"/>
                <w:szCs w:val="20"/>
              </w:rPr>
            </w:pPr>
          </w:p>
        </w:tc>
        <w:tc>
          <w:tcPr>
            <w:tcW w:w="449"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c>
          <w:tcPr>
            <w:tcW w:w="50" w:type="pct"/>
            <w:vAlign w:val="center"/>
            <w:hideMark/>
          </w:tcPr>
          <w:p w:rsidR="00000000" w:rsidRDefault="001F1FC8">
            <w:pPr>
              <w:rPr>
                <w:rFonts w:eastAsia="Times New Roman"/>
                <w:sz w:val="20"/>
                <w:szCs w:val="20"/>
              </w:rPr>
            </w:pPr>
          </w:p>
        </w:tc>
        <w:tc>
          <w:tcPr>
            <w:tcW w:w="473"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r>
      <w:tr w:rsidR="00000000">
        <w:trPr>
          <w:divId w:val="675965841"/>
        </w:trPr>
        <w:tc>
          <w:tcPr>
            <w:tcW w:w="0" w:type="auto"/>
            <w:gridSpan w:val="3"/>
            <w:tcMar>
              <w:top w:w="30" w:type="dxa"/>
              <w:left w:w="20" w:type="dxa"/>
              <w:bottom w:w="30" w:type="dxa"/>
              <w:right w:w="20" w:type="dxa"/>
            </w:tcMar>
            <w:vAlign w:val="center"/>
            <w:hideMark/>
          </w:tcPr>
          <w:p w:rsidR="00000000" w:rsidRDefault="001F1FC8">
            <w:pPr>
              <w:rPr>
                <w:rFonts w:eastAsia="Times New Roman"/>
              </w:rPr>
            </w:pPr>
            <w:r>
              <w:rPr>
                <w:rFonts w:ascii="Arial" w:eastAsia="Times New Roman" w:hAnsi="Arial" w:cs="Arial"/>
                <w:color w:val="000000"/>
                <w:sz w:val="20"/>
                <w:szCs w:val="20"/>
              </w:rPr>
              <w:t>Year ended December 31,</w:t>
            </w:r>
          </w:p>
        </w:tc>
        <w:tc>
          <w:tcPr>
            <w:tcW w:w="0" w:type="auto"/>
            <w:gridSpan w:val="3"/>
            <w:tcMar>
              <w:top w:w="30" w:type="dxa"/>
              <w:left w:w="20" w:type="dxa"/>
              <w:bottom w:w="30" w:type="dxa"/>
              <w:right w:w="20" w:type="dxa"/>
            </w:tcMar>
            <w:vAlign w:val="center"/>
            <w:hideMark/>
          </w:tcPr>
          <w:p w:rsidR="00000000" w:rsidRDefault="001F1FC8">
            <w:pPr>
              <w:jc w:val="right"/>
              <w:rPr>
                <w:rFonts w:eastAsia="Times New Roman"/>
              </w:rPr>
            </w:pPr>
            <w:r>
              <w:rPr>
                <w:rFonts w:ascii="Arial" w:eastAsia="Times New Roman" w:hAnsi="Arial" w:cs="Arial"/>
                <w:b/>
                <w:bCs/>
                <w:color w:val="000000"/>
                <w:sz w:val="20"/>
                <w:szCs w:val="20"/>
              </w:rPr>
              <w:t>2021</w:t>
            </w:r>
          </w:p>
        </w:tc>
        <w:tc>
          <w:tcPr>
            <w:tcW w:w="0" w:type="auto"/>
            <w:gridSpan w:val="3"/>
            <w:tcMar>
              <w:top w:w="30" w:type="dxa"/>
              <w:left w:w="20" w:type="dxa"/>
              <w:bottom w:w="30" w:type="dxa"/>
              <w:right w:w="20" w:type="dxa"/>
            </w:tcMar>
            <w:vAlign w:val="center"/>
            <w:hideMark/>
          </w:tcPr>
          <w:p w:rsidR="00000000" w:rsidRDefault="001F1FC8">
            <w:pPr>
              <w:jc w:val="right"/>
              <w:rPr>
                <w:rFonts w:eastAsia="Times New Roman"/>
              </w:rPr>
            </w:pPr>
            <w:r>
              <w:rPr>
                <w:rFonts w:ascii="Arial" w:eastAsia="Times New Roman" w:hAnsi="Arial" w:cs="Arial"/>
                <w:color w:val="000000"/>
                <w:sz w:val="20"/>
                <w:szCs w:val="20"/>
              </w:rPr>
              <w:t>2020</w:t>
            </w:r>
          </w:p>
        </w:tc>
        <w:tc>
          <w:tcPr>
            <w:tcW w:w="0" w:type="auto"/>
            <w:gridSpan w:val="3"/>
            <w:tcMar>
              <w:top w:w="30" w:type="dxa"/>
              <w:left w:w="20" w:type="dxa"/>
              <w:bottom w:w="30" w:type="dxa"/>
              <w:right w:w="20" w:type="dxa"/>
            </w:tcMar>
            <w:vAlign w:val="center"/>
            <w:hideMark/>
          </w:tcPr>
          <w:p w:rsidR="00000000" w:rsidRDefault="001F1FC8">
            <w:pPr>
              <w:jc w:val="right"/>
              <w:rPr>
                <w:rFonts w:eastAsia="Times New Roman"/>
              </w:rPr>
            </w:pPr>
            <w:r>
              <w:rPr>
                <w:rFonts w:ascii="Arial" w:eastAsia="Times New Roman" w:hAnsi="Arial" w:cs="Arial"/>
                <w:color w:val="000000"/>
                <w:sz w:val="20"/>
                <w:szCs w:val="20"/>
              </w:rPr>
              <w:t>2019</w:t>
            </w:r>
          </w:p>
        </w:tc>
      </w:tr>
      <w:tr w:rsidR="00000000">
        <w:trPr>
          <w:divId w:val="675965841"/>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1F1FC8">
            <w:pPr>
              <w:rPr>
                <w:rFonts w:eastAsia="Times New Roman"/>
              </w:rPr>
            </w:pPr>
            <w:r>
              <w:rPr>
                <w:rFonts w:ascii="Arial" w:eastAsia="Times New Roman" w:hAnsi="Arial" w:cs="Arial"/>
                <w:i/>
                <w:iCs/>
                <w:color w:val="000000"/>
                <w:sz w:val="15"/>
                <w:szCs w:val="15"/>
              </w:rPr>
              <w:t>(millions of Canadian dollars)</w:t>
            </w:r>
          </w:p>
        </w:tc>
        <w:tc>
          <w:tcPr>
            <w:tcW w:w="0" w:type="auto"/>
            <w:gridSpan w:val="3"/>
            <w:tcBorders>
              <w:top w:val="single" w:sz="4" w:space="0" w:color="000000"/>
            </w:tcBorders>
            <w:shd w:val="clear" w:color="auto" w:fill="D9D9D9"/>
            <w:tcMar>
              <w:top w:w="30" w:type="dxa"/>
              <w:left w:w="20" w:type="dxa"/>
              <w:bottom w:w="30" w:type="dxa"/>
              <w:right w:w="20" w:type="dxa"/>
            </w:tcMar>
            <w:vAlign w:val="center"/>
            <w:hideMark/>
          </w:tcPr>
          <w:p w:rsidR="00000000" w:rsidRDefault="001F1FC8">
            <w:pPr>
              <w:jc w:val="right"/>
              <w:rPr>
                <w:rFonts w:eastAsia="Times New Roman"/>
              </w:rPr>
            </w:pPr>
            <w:r>
              <w:rPr>
                <w:rFonts w:ascii="Arial" w:eastAsia="Times New Roman" w:hAnsi="Arial" w:cs="Arial"/>
                <w:color w:val="000000"/>
                <w:sz w:val="18"/>
                <w:szCs w:val="18"/>
              </w:rPr>
              <w:t> </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1F1FC8">
            <w:pPr>
              <w:jc w:val="right"/>
              <w:rPr>
                <w:rFonts w:eastAsia="Times New Roman"/>
              </w:rPr>
            </w:pPr>
            <w:r>
              <w:rPr>
                <w:rFonts w:ascii="Arial" w:eastAsia="Times New Roman" w:hAnsi="Arial" w:cs="Arial"/>
                <w:color w:val="000000"/>
                <w:sz w:val="18"/>
                <w:szCs w:val="18"/>
              </w:rPr>
              <w:t> </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1F1FC8">
            <w:pPr>
              <w:jc w:val="right"/>
              <w:rPr>
                <w:rFonts w:eastAsia="Times New Roman"/>
              </w:rPr>
            </w:pPr>
            <w:r>
              <w:rPr>
                <w:rFonts w:ascii="Arial" w:eastAsia="Times New Roman" w:hAnsi="Arial" w:cs="Arial"/>
                <w:color w:val="000000"/>
                <w:sz w:val="18"/>
                <w:szCs w:val="18"/>
              </w:rPr>
              <w:t> </w:t>
            </w:r>
          </w:p>
        </w:tc>
      </w:tr>
      <w:tr w:rsidR="00000000">
        <w:trPr>
          <w:divId w:val="675965841"/>
        </w:trPr>
        <w:tc>
          <w:tcPr>
            <w:tcW w:w="0" w:type="auto"/>
            <w:gridSpan w:val="3"/>
            <w:tcMar>
              <w:top w:w="30" w:type="dxa"/>
              <w:left w:w="20" w:type="dxa"/>
              <w:bottom w:w="30" w:type="dxa"/>
              <w:right w:w="20" w:type="dxa"/>
            </w:tcMar>
            <w:vAlign w:val="center"/>
            <w:hideMark/>
          </w:tcPr>
          <w:p w:rsidR="00000000" w:rsidRDefault="001F1FC8">
            <w:pPr>
              <w:rPr>
                <w:rFonts w:eastAsia="Times New Roman"/>
              </w:rPr>
            </w:pPr>
            <w:r>
              <w:rPr>
                <w:rFonts w:ascii="Arial" w:eastAsia="Times New Roman" w:hAnsi="Arial" w:cs="Arial"/>
                <w:color w:val="000000"/>
                <w:sz w:val="20"/>
                <w:szCs w:val="20"/>
              </w:rPr>
              <w:t>Debentures and term notes</w:t>
            </w:r>
          </w:p>
        </w:tc>
        <w:tc>
          <w:tcPr>
            <w:tcW w:w="0" w:type="auto"/>
            <w:gridSpan w:val="2"/>
            <w:shd w:val="clear" w:color="auto" w:fill="D9D9D9"/>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b/>
                <w:bCs/>
                <w:color w:val="000000"/>
                <w:sz w:val="20"/>
                <w:szCs w:val="20"/>
              </w:rPr>
              <w:t>2,850</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20"/>
                <w:szCs w:val="20"/>
              </w:rPr>
              <w:t>2,913 </w:t>
            </w:r>
          </w:p>
        </w:tc>
        <w:tc>
          <w:tcPr>
            <w:tcW w:w="0" w:type="auto"/>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20"/>
                <w:szCs w:val="20"/>
              </w:rPr>
              <w:t>2,783 </w:t>
            </w:r>
          </w:p>
        </w:tc>
        <w:tc>
          <w:tcPr>
            <w:tcW w:w="0" w:type="auto"/>
            <w:tcMar>
              <w:top w:w="30" w:type="dxa"/>
              <w:left w:w="0" w:type="dxa"/>
              <w:bottom w:w="30" w:type="dxa"/>
              <w:right w:w="20" w:type="dxa"/>
            </w:tcMar>
            <w:vAlign w:val="center"/>
            <w:hideMark/>
          </w:tcPr>
          <w:p w:rsidR="00000000" w:rsidRDefault="001F1FC8">
            <w:pPr>
              <w:jc w:val="right"/>
              <w:rPr>
                <w:rFonts w:eastAsia="Times New Roman"/>
              </w:rPr>
            </w:pPr>
          </w:p>
        </w:tc>
      </w:tr>
      <w:tr w:rsidR="00000000">
        <w:trPr>
          <w:divId w:val="675965841"/>
        </w:trPr>
        <w:tc>
          <w:tcPr>
            <w:tcW w:w="0" w:type="auto"/>
            <w:gridSpan w:val="3"/>
            <w:tcMar>
              <w:top w:w="30" w:type="dxa"/>
              <w:left w:w="20" w:type="dxa"/>
              <w:bottom w:w="30" w:type="dxa"/>
              <w:right w:w="20" w:type="dxa"/>
            </w:tcMar>
            <w:vAlign w:val="center"/>
            <w:hideMark/>
          </w:tcPr>
          <w:p w:rsidR="00000000" w:rsidRDefault="001F1FC8">
            <w:pPr>
              <w:rPr>
                <w:rFonts w:eastAsia="Times New Roman"/>
              </w:rPr>
            </w:pPr>
            <w:r>
              <w:rPr>
                <w:rFonts w:ascii="Arial" w:eastAsia="Times New Roman" w:hAnsi="Arial" w:cs="Arial"/>
                <w:color w:val="000000"/>
                <w:sz w:val="20"/>
                <w:szCs w:val="20"/>
              </w:rPr>
              <w:t>Commercial paper and credit facility draws</w:t>
            </w:r>
          </w:p>
        </w:tc>
        <w:tc>
          <w:tcPr>
            <w:tcW w:w="0" w:type="auto"/>
            <w:gridSpan w:val="2"/>
            <w:shd w:val="clear" w:color="auto" w:fill="D9D9D9"/>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b/>
                <w:bCs/>
                <w:color w:val="000000"/>
                <w:sz w:val="20"/>
                <w:szCs w:val="20"/>
              </w:rPr>
              <w:t>70</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20"/>
                <w:szCs w:val="20"/>
              </w:rPr>
              <w:t>123 </w:t>
            </w:r>
          </w:p>
        </w:tc>
        <w:tc>
          <w:tcPr>
            <w:tcW w:w="0" w:type="auto"/>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20"/>
                <w:szCs w:val="20"/>
              </w:rPr>
              <w:t>273 </w:t>
            </w:r>
          </w:p>
        </w:tc>
        <w:tc>
          <w:tcPr>
            <w:tcW w:w="0" w:type="auto"/>
            <w:tcMar>
              <w:top w:w="30" w:type="dxa"/>
              <w:left w:w="0" w:type="dxa"/>
              <w:bottom w:w="30" w:type="dxa"/>
              <w:right w:w="20" w:type="dxa"/>
            </w:tcMar>
            <w:vAlign w:val="center"/>
            <w:hideMark/>
          </w:tcPr>
          <w:p w:rsidR="00000000" w:rsidRDefault="001F1FC8">
            <w:pPr>
              <w:jc w:val="right"/>
              <w:rPr>
                <w:rFonts w:eastAsia="Times New Roman"/>
              </w:rPr>
            </w:pPr>
          </w:p>
        </w:tc>
      </w:tr>
      <w:tr w:rsidR="00000000">
        <w:trPr>
          <w:divId w:val="675965841"/>
        </w:trPr>
        <w:tc>
          <w:tcPr>
            <w:tcW w:w="0" w:type="auto"/>
            <w:gridSpan w:val="3"/>
            <w:tcMar>
              <w:top w:w="30" w:type="dxa"/>
              <w:left w:w="20" w:type="dxa"/>
              <w:bottom w:w="30" w:type="dxa"/>
              <w:right w:w="20" w:type="dxa"/>
            </w:tcMar>
            <w:vAlign w:val="center"/>
            <w:hideMark/>
          </w:tcPr>
          <w:p w:rsidR="00000000" w:rsidRDefault="001F1FC8">
            <w:pPr>
              <w:rPr>
                <w:rFonts w:eastAsia="Times New Roman"/>
              </w:rPr>
            </w:pPr>
            <w:r>
              <w:rPr>
                <w:rFonts w:ascii="Arial" w:eastAsia="Times New Roman" w:hAnsi="Arial" w:cs="Arial"/>
                <w:color w:val="000000"/>
                <w:sz w:val="20"/>
                <w:szCs w:val="20"/>
              </w:rPr>
              <w:t>Amortization of fair value adjustment</w:t>
            </w:r>
          </w:p>
        </w:tc>
        <w:tc>
          <w:tcPr>
            <w:tcW w:w="0" w:type="auto"/>
            <w:gridSpan w:val="2"/>
            <w:shd w:val="clear" w:color="auto" w:fill="D9D9D9"/>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b/>
                <w:bCs/>
                <w:color w:val="000000"/>
                <w:sz w:val="20"/>
                <w:szCs w:val="20"/>
              </w:rPr>
              <w:t>(50)</w:t>
            </w:r>
          </w:p>
        </w:tc>
        <w:tc>
          <w:tcPr>
            <w:tcW w:w="0" w:type="auto"/>
            <w:shd w:val="clear" w:color="auto" w:fill="D9D9D9"/>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20"/>
                <w:szCs w:val="20"/>
              </w:rPr>
              <w:t>(54)</w:t>
            </w:r>
          </w:p>
        </w:tc>
        <w:tc>
          <w:tcPr>
            <w:tcW w:w="0" w:type="auto"/>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20"/>
                <w:szCs w:val="20"/>
              </w:rPr>
              <w:t>(67)</w:t>
            </w:r>
          </w:p>
        </w:tc>
        <w:tc>
          <w:tcPr>
            <w:tcW w:w="0" w:type="auto"/>
            <w:tcMar>
              <w:top w:w="30" w:type="dxa"/>
              <w:left w:w="0" w:type="dxa"/>
              <w:bottom w:w="30" w:type="dxa"/>
              <w:right w:w="20" w:type="dxa"/>
            </w:tcMar>
            <w:vAlign w:val="center"/>
            <w:hideMark/>
          </w:tcPr>
          <w:p w:rsidR="00000000" w:rsidRDefault="001F1FC8">
            <w:pPr>
              <w:jc w:val="right"/>
              <w:rPr>
                <w:rFonts w:eastAsia="Times New Roman"/>
              </w:rPr>
            </w:pPr>
          </w:p>
        </w:tc>
      </w:tr>
      <w:tr w:rsidR="00000000">
        <w:trPr>
          <w:divId w:val="675965841"/>
        </w:trPr>
        <w:tc>
          <w:tcPr>
            <w:tcW w:w="0" w:type="auto"/>
            <w:gridSpan w:val="3"/>
            <w:tcMar>
              <w:top w:w="30" w:type="dxa"/>
              <w:left w:w="20" w:type="dxa"/>
              <w:bottom w:w="30" w:type="dxa"/>
              <w:right w:w="20" w:type="dxa"/>
            </w:tcMar>
            <w:vAlign w:val="center"/>
            <w:hideMark/>
          </w:tcPr>
          <w:p w:rsidR="00000000" w:rsidRDefault="001F1FC8">
            <w:pPr>
              <w:rPr>
                <w:rFonts w:eastAsia="Times New Roman"/>
              </w:rPr>
            </w:pPr>
            <w:r>
              <w:rPr>
                <w:rFonts w:ascii="Arial" w:eastAsia="Times New Roman" w:hAnsi="Arial" w:cs="Arial"/>
                <w:color w:val="000000"/>
                <w:sz w:val="20"/>
                <w:szCs w:val="20"/>
              </w:rPr>
              <w:t>Capitalized interest</w:t>
            </w:r>
          </w:p>
        </w:tc>
        <w:tc>
          <w:tcPr>
            <w:tcW w:w="0" w:type="auto"/>
            <w:gridSpan w:val="2"/>
            <w:shd w:val="clear" w:color="auto" w:fill="D9D9D9"/>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b/>
                <w:bCs/>
                <w:color w:val="000000"/>
                <w:sz w:val="20"/>
                <w:szCs w:val="20"/>
              </w:rPr>
              <w:t>(215)</w:t>
            </w:r>
          </w:p>
        </w:tc>
        <w:tc>
          <w:tcPr>
            <w:tcW w:w="0" w:type="auto"/>
            <w:shd w:val="clear" w:color="auto" w:fill="D9D9D9"/>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20"/>
                <w:szCs w:val="20"/>
              </w:rPr>
              <w:t>(192)</w:t>
            </w:r>
          </w:p>
        </w:tc>
        <w:tc>
          <w:tcPr>
            <w:tcW w:w="0" w:type="auto"/>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20"/>
                <w:szCs w:val="20"/>
              </w:rPr>
              <w:t>(326)</w:t>
            </w:r>
          </w:p>
        </w:tc>
        <w:tc>
          <w:tcPr>
            <w:tcW w:w="0" w:type="auto"/>
            <w:tcMar>
              <w:top w:w="30" w:type="dxa"/>
              <w:left w:w="0" w:type="dxa"/>
              <w:bottom w:w="30" w:type="dxa"/>
              <w:right w:w="20" w:type="dxa"/>
            </w:tcMar>
            <w:vAlign w:val="center"/>
            <w:hideMark/>
          </w:tcPr>
          <w:p w:rsidR="00000000" w:rsidRDefault="001F1FC8">
            <w:pPr>
              <w:jc w:val="right"/>
              <w:rPr>
                <w:rFonts w:eastAsia="Times New Roman"/>
              </w:rPr>
            </w:pPr>
          </w:p>
        </w:tc>
      </w:tr>
      <w:tr w:rsidR="00000000">
        <w:trPr>
          <w:divId w:val="675965841"/>
        </w:trPr>
        <w:tc>
          <w:tcPr>
            <w:tcW w:w="0" w:type="auto"/>
            <w:gridSpan w:val="3"/>
            <w:tcBorders>
              <w:top w:val="single" w:sz="4" w:space="0" w:color="000000"/>
              <w:bottom w:val="single" w:sz="8" w:space="0" w:color="000000"/>
            </w:tcBorders>
            <w:tcMar>
              <w:top w:w="30" w:type="dxa"/>
              <w:left w:w="20" w:type="dxa"/>
              <w:bottom w:w="30" w:type="dxa"/>
              <w:right w:w="20" w:type="dxa"/>
            </w:tcMar>
            <w:vAlign w:val="center"/>
            <w:hideMark/>
          </w:tcPr>
          <w:p w:rsidR="00000000" w:rsidRDefault="001F1FC8">
            <w:pPr>
              <w:rPr>
                <w:rFonts w:eastAsia="Times New Roman"/>
              </w:rPr>
            </w:pPr>
            <w:r>
              <w:rPr>
                <w:rFonts w:ascii="Arial" w:eastAsia="Times New Roman" w:hAnsi="Arial" w:cs="Arial"/>
                <w:color w:val="000000"/>
                <w:sz w:val="20"/>
                <w:szCs w:val="20"/>
              </w:rPr>
              <w:t> </w:t>
            </w:r>
          </w:p>
        </w:tc>
        <w:tc>
          <w:tcPr>
            <w:tcW w:w="0" w:type="auto"/>
            <w:gridSpan w:val="2"/>
            <w:tcBorders>
              <w:top w:val="single" w:sz="4" w:space="0" w:color="000000"/>
              <w:bottom w:val="single" w:sz="8" w:space="0" w:color="000000"/>
            </w:tcBorders>
            <w:shd w:val="clear" w:color="auto" w:fill="D9D9D9"/>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b/>
                <w:bCs/>
                <w:color w:val="000000"/>
                <w:sz w:val="20"/>
                <w:szCs w:val="20"/>
              </w:rPr>
              <w:t>2,655</w:t>
            </w:r>
            <w:r>
              <w:rPr>
                <w:rFonts w:ascii="Arial" w:eastAsia="Times New Roman" w:hAnsi="Arial" w:cs="Arial"/>
                <w:color w:val="000000"/>
                <w:sz w:val="20"/>
                <w:szCs w:val="20"/>
              </w:rPr>
              <w:t> </w:t>
            </w:r>
          </w:p>
        </w:tc>
        <w:tc>
          <w:tcPr>
            <w:tcW w:w="0" w:type="auto"/>
            <w:tcBorders>
              <w:top w:val="single" w:sz="4" w:space="0" w:color="000000"/>
              <w:bottom w:val="single" w:sz="8" w:space="0" w:color="000000"/>
            </w:tcBorders>
            <w:shd w:val="clear" w:color="auto" w:fill="D9D9D9"/>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Borders>
              <w:top w:val="single" w:sz="4" w:space="0" w:color="000000"/>
              <w:bottom w:val="single" w:sz="8" w:space="0" w:color="000000"/>
            </w:tcBorders>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20"/>
                <w:szCs w:val="20"/>
              </w:rPr>
              <w:t>2,790 </w:t>
            </w:r>
          </w:p>
        </w:tc>
        <w:tc>
          <w:tcPr>
            <w:tcW w:w="0" w:type="auto"/>
            <w:tcBorders>
              <w:top w:val="single" w:sz="4" w:space="0" w:color="000000"/>
              <w:bottom w:val="single" w:sz="8" w:space="0" w:color="000000"/>
            </w:tcBorders>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Borders>
              <w:top w:val="single" w:sz="4" w:space="0" w:color="000000"/>
              <w:bottom w:val="single" w:sz="8" w:space="0" w:color="000000"/>
            </w:tcBorders>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20"/>
                <w:szCs w:val="20"/>
              </w:rPr>
              <w:t>2,663 </w:t>
            </w:r>
          </w:p>
        </w:tc>
        <w:tc>
          <w:tcPr>
            <w:tcW w:w="0" w:type="auto"/>
            <w:tcBorders>
              <w:top w:val="single" w:sz="4" w:space="0" w:color="000000"/>
              <w:bottom w:val="single" w:sz="8" w:space="0" w:color="000000"/>
            </w:tcBorders>
            <w:tcMar>
              <w:top w:w="30" w:type="dxa"/>
              <w:left w:w="0" w:type="dxa"/>
              <w:bottom w:w="30" w:type="dxa"/>
              <w:right w:w="20" w:type="dxa"/>
            </w:tcMar>
            <w:vAlign w:val="center"/>
            <w:hideMark/>
          </w:tcPr>
          <w:p w:rsidR="00000000" w:rsidRDefault="001F1FC8">
            <w:pPr>
              <w:jc w:val="right"/>
              <w:rPr>
                <w:rFonts w:eastAsia="Times New Roman"/>
              </w:rPr>
            </w:pPr>
          </w:p>
        </w:tc>
      </w:tr>
    </w:tbl>
    <w:p w:rsidR="00000000" w:rsidRDefault="001F1FC8">
      <w:pPr>
        <w:divId w:val="1258440682"/>
        <w:rPr>
          <w:rFonts w:eastAsia="Times New Roman"/>
        </w:rPr>
      </w:pPr>
    </w:p>
    <w:p w:rsidR="00000000" w:rsidRDefault="001F1FC8">
      <w:pPr>
        <w:divId w:val="120078882"/>
        <w:rPr>
          <w:rFonts w:eastAsia="Times New Roman"/>
        </w:rPr>
      </w:pPr>
      <w:r>
        <w:rPr>
          <w:rFonts w:ascii="Arial" w:eastAsia="Times New Roman" w:hAnsi="Arial" w:cs="Arial"/>
          <w:b/>
          <w:bCs/>
          <w:color w:val="000000"/>
          <w:sz w:val="26"/>
          <w:szCs w:val="26"/>
        </w:rPr>
        <w:t>19.  </w:t>
      </w:r>
      <w:r>
        <w:rPr>
          <w:rFonts w:ascii="Arial" w:eastAsia="Times New Roman" w:hAnsi="Arial" w:cs="Arial"/>
          <w:b/>
          <w:bCs/>
          <w:color w:val="000000"/>
          <w:sz w:val="26"/>
          <w:szCs w:val="26"/>
        </w:rPr>
        <w:t>ASSET RETIREMENT OBLIGATIONS</w:t>
      </w:r>
    </w:p>
    <w:p w:rsidR="00000000" w:rsidRDefault="001F1FC8">
      <w:pPr>
        <w:divId w:val="492525469"/>
        <w:rPr>
          <w:rFonts w:eastAsia="Times New Roman"/>
        </w:rPr>
      </w:pPr>
      <w:r>
        <w:rPr>
          <w:rFonts w:ascii="Arial" w:eastAsia="Times New Roman" w:hAnsi="Arial" w:cs="Arial"/>
          <w:color w:val="000000"/>
          <w:sz w:val="20"/>
          <w:szCs w:val="20"/>
        </w:rPr>
        <w:t> </w:t>
      </w:r>
    </w:p>
    <w:p w:rsidR="00000000" w:rsidRDefault="001F1FC8">
      <w:pPr>
        <w:divId w:val="1111125619"/>
        <w:rPr>
          <w:rFonts w:eastAsia="Times New Roman"/>
        </w:rPr>
      </w:pPr>
      <w:r>
        <w:rPr>
          <w:rFonts w:ascii="Arial" w:eastAsia="Times New Roman" w:hAnsi="Arial" w:cs="Arial"/>
          <w:color w:val="000000"/>
          <w:sz w:val="20"/>
          <w:szCs w:val="20"/>
        </w:rPr>
        <w:t>Our ARO relate mostly to the retirement of pipelines, renewable power generation assets and obligations related to right-of way agreements and contractual leases for land use.</w:t>
      </w:r>
    </w:p>
    <w:p w:rsidR="00000000" w:rsidRDefault="001F1FC8">
      <w:pPr>
        <w:divId w:val="1297684231"/>
        <w:rPr>
          <w:rFonts w:eastAsia="Times New Roman"/>
        </w:rPr>
      </w:pPr>
    </w:p>
    <w:p w:rsidR="00000000" w:rsidRDefault="001F1FC8">
      <w:pPr>
        <w:divId w:val="1818917673"/>
        <w:rPr>
          <w:rFonts w:eastAsia="Times New Roman"/>
        </w:rPr>
      </w:pPr>
      <w:r>
        <w:rPr>
          <w:rFonts w:ascii="Arial" w:eastAsia="Times New Roman" w:hAnsi="Arial" w:cs="Arial"/>
          <w:color w:val="000000"/>
          <w:sz w:val="20"/>
          <w:szCs w:val="20"/>
        </w:rPr>
        <w:t>The discount rates used to estimate the present</w:t>
      </w:r>
      <w:r>
        <w:rPr>
          <w:rFonts w:ascii="Arial" w:eastAsia="Times New Roman" w:hAnsi="Arial" w:cs="Arial"/>
          <w:color w:val="000000"/>
          <w:sz w:val="20"/>
          <w:szCs w:val="20"/>
        </w:rPr>
        <w:t xml:space="preserve"> value of the expected future cash flows for the year ended December 31, 2021 ranged from 0.9% to 9.0% (2020 - 1.8% to 9.0%).</w:t>
      </w:r>
    </w:p>
    <w:p w:rsidR="00000000" w:rsidRDefault="001F1FC8">
      <w:pPr>
        <w:divId w:val="1853451590"/>
        <w:rPr>
          <w:rFonts w:eastAsia="Times New Roman"/>
        </w:rPr>
      </w:pPr>
    </w:p>
    <w:p w:rsidR="00000000" w:rsidRDefault="001F1FC8">
      <w:pPr>
        <w:divId w:val="1207985592"/>
        <w:rPr>
          <w:rFonts w:eastAsia="Times New Roman"/>
        </w:rPr>
      </w:pPr>
      <w:r>
        <w:rPr>
          <w:rFonts w:ascii="Arial" w:eastAsia="Times New Roman" w:hAnsi="Arial" w:cs="Arial"/>
          <w:color w:val="000000"/>
          <w:sz w:val="20"/>
          <w:szCs w:val="20"/>
        </w:rPr>
        <w:t>A reconciliation of movements in our ARO liabilities is as follows:</w:t>
      </w:r>
    </w:p>
    <w:tbl>
      <w:tblPr>
        <w:tblW w:w="5000" w:type="pct"/>
        <w:tblCellMar>
          <w:top w:w="15" w:type="dxa"/>
          <w:left w:w="15" w:type="dxa"/>
          <w:bottom w:w="15" w:type="dxa"/>
          <w:right w:w="15" w:type="dxa"/>
        </w:tblCellMar>
        <w:tblLook w:val="04A0" w:firstRow="1" w:lastRow="0" w:firstColumn="1" w:lastColumn="0" w:noHBand="0" w:noVBand="1"/>
      </w:tblPr>
      <w:tblGrid>
        <w:gridCol w:w="68"/>
        <w:gridCol w:w="6367"/>
        <w:gridCol w:w="37"/>
        <w:gridCol w:w="69"/>
        <w:gridCol w:w="812"/>
        <w:gridCol w:w="36"/>
        <w:gridCol w:w="69"/>
        <w:gridCol w:w="812"/>
        <w:gridCol w:w="36"/>
      </w:tblGrid>
      <w:tr w:rsidR="00000000">
        <w:trPr>
          <w:divId w:val="1153638922"/>
        </w:trPr>
        <w:tc>
          <w:tcPr>
            <w:tcW w:w="50" w:type="pct"/>
            <w:vAlign w:val="center"/>
            <w:hideMark/>
          </w:tcPr>
          <w:p w:rsidR="00000000" w:rsidRDefault="001F1FC8">
            <w:pPr>
              <w:rPr>
                <w:rFonts w:eastAsia="Times New Roman"/>
              </w:rPr>
            </w:pPr>
          </w:p>
        </w:tc>
        <w:tc>
          <w:tcPr>
            <w:tcW w:w="3839"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c>
          <w:tcPr>
            <w:tcW w:w="50" w:type="pct"/>
            <w:vAlign w:val="center"/>
            <w:hideMark/>
          </w:tcPr>
          <w:p w:rsidR="00000000" w:rsidRDefault="001F1FC8">
            <w:pPr>
              <w:rPr>
                <w:rFonts w:eastAsia="Times New Roman"/>
                <w:sz w:val="20"/>
                <w:szCs w:val="20"/>
              </w:rPr>
            </w:pPr>
          </w:p>
        </w:tc>
        <w:tc>
          <w:tcPr>
            <w:tcW w:w="497"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c>
          <w:tcPr>
            <w:tcW w:w="50" w:type="pct"/>
            <w:vAlign w:val="center"/>
            <w:hideMark/>
          </w:tcPr>
          <w:p w:rsidR="00000000" w:rsidRDefault="001F1FC8">
            <w:pPr>
              <w:rPr>
                <w:rFonts w:eastAsia="Times New Roman"/>
                <w:sz w:val="20"/>
                <w:szCs w:val="20"/>
              </w:rPr>
            </w:pPr>
          </w:p>
        </w:tc>
        <w:tc>
          <w:tcPr>
            <w:tcW w:w="497"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r>
      <w:tr w:rsidR="00000000">
        <w:trPr>
          <w:divId w:val="1153638922"/>
        </w:trPr>
        <w:tc>
          <w:tcPr>
            <w:tcW w:w="0" w:type="auto"/>
            <w:gridSpan w:val="3"/>
            <w:tcMar>
              <w:top w:w="30" w:type="dxa"/>
              <w:left w:w="20" w:type="dxa"/>
              <w:bottom w:w="30" w:type="dxa"/>
              <w:right w:w="20" w:type="dxa"/>
            </w:tcMar>
            <w:vAlign w:val="center"/>
            <w:hideMark/>
          </w:tcPr>
          <w:p w:rsidR="00000000" w:rsidRDefault="001F1FC8">
            <w:pPr>
              <w:rPr>
                <w:rFonts w:eastAsia="Times New Roman"/>
              </w:rPr>
            </w:pPr>
            <w:r>
              <w:rPr>
                <w:rFonts w:ascii="Arial" w:eastAsia="Times New Roman" w:hAnsi="Arial" w:cs="Arial"/>
                <w:color w:val="000000"/>
                <w:sz w:val="20"/>
                <w:szCs w:val="20"/>
              </w:rPr>
              <w:t>December 31,</w:t>
            </w:r>
          </w:p>
        </w:tc>
        <w:tc>
          <w:tcPr>
            <w:tcW w:w="0" w:type="auto"/>
            <w:gridSpan w:val="3"/>
            <w:tcMar>
              <w:top w:w="30" w:type="dxa"/>
              <w:left w:w="20" w:type="dxa"/>
              <w:bottom w:w="30" w:type="dxa"/>
              <w:right w:w="20" w:type="dxa"/>
            </w:tcMar>
            <w:vAlign w:val="center"/>
            <w:hideMark/>
          </w:tcPr>
          <w:p w:rsidR="00000000" w:rsidRDefault="001F1FC8">
            <w:pPr>
              <w:jc w:val="right"/>
              <w:rPr>
                <w:rFonts w:eastAsia="Times New Roman"/>
              </w:rPr>
            </w:pPr>
            <w:r>
              <w:rPr>
                <w:rFonts w:ascii="Arial" w:eastAsia="Times New Roman" w:hAnsi="Arial" w:cs="Arial"/>
                <w:b/>
                <w:bCs/>
                <w:color w:val="000000"/>
                <w:sz w:val="20"/>
                <w:szCs w:val="20"/>
              </w:rPr>
              <w:t>2021</w:t>
            </w:r>
          </w:p>
        </w:tc>
        <w:tc>
          <w:tcPr>
            <w:tcW w:w="0" w:type="auto"/>
            <w:gridSpan w:val="3"/>
            <w:tcMar>
              <w:top w:w="30" w:type="dxa"/>
              <w:left w:w="20" w:type="dxa"/>
              <w:bottom w:w="30" w:type="dxa"/>
              <w:right w:w="20" w:type="dxa"/>
            </w:tcMar>
            <w:vAlign w:val="center"/>
            <w:hideMark/>
          </w:tcPr>
          <w:p w:rsidR="00000000" w:rsidRDefault="001F1FC8">
            <w:pPr>
              <w:jc w:val="right"/>
              <w:rPr>
                <w:rFonts w:eastAsia="Times New Roman"/>
              </w:rPr>
            </w:pPr>
            <w:r>
              <w:rPr>
                <w:rFonts w:ascii="Arial" w:eastAsia="Times New Roman" w:hAnsi="Arial" w:cs="Arial"/>
                <w:color w:val="000000"/>
                <w:sz w:val="20"/>
                <w:szCs w:val="20"/>
              </w:rPr>
              <w:t>2020</w:t>
            </w:r>
          </w:p>
        </w:tc>
      </w:tr>
      <w:tr w:rsidR="00000000">
        <w:trPr>
          <w:divId w:val="1153638922"/>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1F1FC8">
            <w:pPr>
              <w:rPr>
                <w:rFonts w:eastAsia="Times New Roman"/>
              </w:rPr>
            </w:pPr>
            <w:r>
              <w:rPr>
                <w:rFonts w:ascii="Arial" w:eastAsia="Times New Roman" w:hAnsi="Arial" w:cs="Arial"/>
                <w:i/>
                <w:iCs/>
                <w:color w:val="000000"/>
                <w:sz w:val="16"/>
                <w:szCs w:val="16"/>
              </w:rPr>
              <w:t>(millions of Canadian dollars)</w:t>
            </w:r>
          </w:p>
        </w:tc>
        <w:tc>
          <w:tcPr>
            <w:tcW w:w="0" w:type="auto"/>
            <w:gridSpan w:val="3"/>
            <w:tcBorders>
              <w:top w:val="single" w:sz="4" w:space="0" w:color="000000"/>
            </w:tcBorders>
            <w:shd w:val="clear" w:color="auto" w:fill="D9D9D9"/>
            <w:tcMar>
              <w:top w:w="0" w:type="dxa"/>
              <w:left w:w="20" w:type="dxa"/>
              <w:bottom w:w="0" w:type="dxa"/>
              <w:right w:w="20" w:type="dxa"/>
            </w:tcMar>
            <w:vAlign w:val="center"/>
            <w:hideMark/>
          </w:tcPr>
          <w:p w:rsidR="00000000" w:rsidRDefault="001F1FC8">
            <w:pPr>
              <w:rPr>
                <w:rFonts w:eastAsia="Times New Roman"/>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1F1FC8">
            <w:pPr>
              <w:rPr>
                <w:rFonts w:eastAsia="Times New Roman"/>
                <w:sz w:val="20"/>
                <w:szCs w:val="20"/>
              </w:rPr>
            </w:pPr>
          </w:p>
        </w:tc>
      </w:tr>
      <w:tr w:rsidR="00000000">
        <w:trPr>
          <w:divId w:val="1153638922"/>
        </w:trPr>
        <w:tc>
          <w:tcPr>
            <w:tcW w:w="0" w:type="auto"/>
            <w:gridSpan w:val="3"/>
            <w:tcMar>
              <w:top w:w="30" w:type="dxa"/>
              <w:left w:w="20" w:type="dxa"/>
              <w:bottom w:w="30" w:type="dxa"/>
              <w:right w:w="20" w:type="dxa"/>
            </w:tcMar>
            <w:vAlign w:val="center"/>
            <w:hideMark/>
          </w:tcPr>
          <w:p w:rsidR="00000000" w:rsidRDefault="001F1FC8">
            <w:pPr>
              <w:rPr>
                <w:rFonts w:eastAsia="Times New Roman"/>
              </w:rPr>
            </w:pPr>
            <w:r>
              <w:rPr>
                <w:rFonts w:ascii="Arial" w:eastAsia="Times New Roman" w:hAnsi="Arial" w:cs="Arial"/>
                <w:color w:val="000000"/>
                <w:sz w:val="20"/>
                <w:szCs w:val="20"/>
              </w:rPr>
              <w:t>Obligations at beginning of year</w:t>
            </w:r>
          </w:p>
        </w:tc>
        <w:tc>
          <w:tcPr>
            <w:tcW w:w="0" w:type="auto"/>
            <w:gridSpan w:val="2"/>
            <w:shd w:val="clear" w:color="auto" w:fill="D9D9D9"/>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b/>
                <w:bCs/>
                <w:color w:val="000000"/>
                <w:sz w:val="20"/>
                <w:szCs w:val="20"/>
              </w:rPr>
              <w:t>496</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20"/>
                <w:szCs w:val="20"/>
              </w:rPr>
              <w:t>520 </w:t>
            </w:r>
          </w:p>
        </w:tc>
        <w:tc>
          <w:tcPr>
            <w:tcW w:w="0" w:type="auto"/>
            <w:tcMar>
              <w:top w:w="30" w:type="dxa"/>
              <w:left w:w="0" w:type="dxa"/>
              <w:bottom w:w="30" w:type="dxa"/>
              <w:right w:w="20" w:type="dxa"/>
            </w:tcMar>
            <w:vAlign w:val="center"/>
            <w:hideMark/>
          </w:tcPr>
          <w:p w:rsidR="00000000" w:rsidRDefault="001F1FC8">
            <w:pPr>
              <w:jc w:val="right"/>
              <w:rPr>
                <w:rFonts w:eastAsia="Times New Roman"/>
              </w:rPr>
            </w:pPr>
          </w:p>
        </w:tc>
      </w:tr>
      <w:tr w:rsidR="00000000">
        <w:trPr>
          <w:divId w:val="1153638922"/>
        </w:trPr>
        <w:tc>
          <w:tcPr>
            <w:tcW w:w="0" w:type="auto"/>
            <w:gridSpan w:val="3"/>
            <w:vAlign w:val="center"/>
            <w:hideMark/>
          </w:tcPr>
          <w:p w:rsidR="00000000" w:rsidRDefault="001F1FC8">
            <w:pPr>
              <w:jc w:val="right"/>
              <w:rPr>
                <w:rFonts w:eastAsia="Times New Roman"/>
                <w:sz w:val="20"/>
                <w:szCs w:val="20"/>
              </w:rPr>
            </w:pPr>
          </w:p>
        </w:tc>
        <w:tc>
          <w:tcPr>
            <w:tcW w:w="0" w:type="auto"/>
            <w:gridSpan w:val="3"/>
            <w:vAlign w:val="center"/>
            <w:hideMark/>
          </w:tcPr>
          <w:p w:rsidR="00000000" w:rsidRDefault="001F1FC8">
            <w:pPr>
              <w:rPr>
                <w:rFonts w:eastAsia="Times New Roman"/>
                <w:sz w:val="20"/>
                <w:szCs w:val="20"/>
              </w:rPr>
            </w:pPr>
          </w:p>
        </w:tc>
        <w:tc>
          <w:tcPr>
            <w:tcW w:w="0" w:type="auto"/>
            <w:gridSpan w:val="3"/>
            <w:vAlign w:val="center"/>
            <w:hideMark/>
          </w:tcPr>
          <w:p w:rsidR="00000000" w:rsidRDefault="001F1FC8">
            <w:pPr>
              <w:rPr>
                <w:rFonts w:eastAsia="Times New Roman"/>
                <w:sz w:val="20"/>
                <w:szCs w:val="20"/>
              </w:rPr>
            </w:pPr>
          </w:p>
        </w:tc>
      </w:tr>
      <w:tr w:rsidR="00000000">
        <w:trPr>
          <w:divId w:val="1153638922"/>
        </w:trPr>
        <w:tc>
          <w:tcPr>
            <w:tcW w:w="0" w:type="auto"/>
            <w:gridSpan w:val="3"/>
            <w:tcMar>
              <w:top w:w="30" w:type="dxa"/>
              <w:left w:w="20" w:type="dxa"/>
              <w:bottom w:w="30" w:type="dxa"/>
              <w:right w:w="20" w:type="dxa"/>
            </w:tcMar>
            <w:vAlign w:val="center"/>
            <w:hideMark/>
          </w:tcPr>
          <w:p w:rsidR="00000000" w:rsidRDefault="001F1FC8">
            <w:pPr>
              <w:rPr>
                <w:rFonts w:eastAsia="Times New Roman"/>
              </w:rPr>
            </w:pPr>
            <w:r>
              <w:rPr>
                <w:rFonts w:ascii="Arial" w:eastAsia="Times New Roman" w:hAnsi="Arial" w:cs="Arial"/>
                <w:color w:val="000000"/>
                <w:sz w:val="20"/>
                <w:szCs w:val="20"/>
              </w:rPr>
              <w:t>Liabilities disposed</w:t>
            </w:r>
          </w:p>
        </w:tc>
        <w:tc>
          <w:tcPr>
            <w:tcW w:w="0" w:type="auto"/>
            <w:gridSpan w:val="2"/>
            <w:shd w:val="clear" w:color="auto" w:fill="D9D9D9"/>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b/>
                <w:bCs/>
                <w:color w:val="000000"/>
                <w:sz w:val="20"/>
                <w:szCs w:val="20"/>
              </w:rPr>
              <w:t>—</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20"/>
                <w:szCs w:val="20"/>
              </w:rPr>
              <w:t>— </w:t>
            </w:r>
          </w:p>
        </w:tc>
        <w:tc>
          <w:tcPr>
            <w:tcW w:w="0" w:type="auto"/>
            <w:tcMar>
              <w:top w:w="30" w:type="dxa"/>
              <w:left w:w="0" w:type="dxa"/>
              <w:bottom w:w="30" w:type="dxa"/>
              <w:right w:w="20" w:type="dxa"/>
            </w:tcMar>
            <w:vAlign w:val="center"/>
            <w:hideMark/>
          </w:tcPr>
          <w:p w:rsidR="00000000" w:rsidRDefault="001F1FC8">
            <w:pPr>
              <w:jc w:val="right"/>
              <w:rPr>
                <w:rFonts w:eastAsia="Times New Roman"/>
              </w:rPr>
            </w:pPr>
          </w:p>
        </w:tc>
      </w:tr>
      <w:tr w:rsidR="00000000">
        <w:trPr>
          <w:divId w:val="1153638922"/>
        </w:trPr>
        <w:tc>
          <w:tcPr>
            <w:tcW w:w="0" w:type="auto"/>
            <w:gridSpan w:val="3"/>
            <w:tcMar>
              <w:top w:w="30" w:type="dxa"/>
              <w:left w:w="20" w:type="dxa"/>
              <w:bottom w:w="30" w:type="dxa"/>
              <w:right w:w="20" w:type="dxa"/>
            </w:tcMar>
            <w:vAlign w:val="center"/>
            <w:hideMark/>
          </w:tcPr>
          <w:p w:rsidR="00000000" w:rsidRDefault="001F1FC8">
            <w:pPr>
              <w:rPr>
                <w:rFonts w:eastAsia="Times New Roman"/>
              </w:rPr>
            </w:pPr>
            <w:r>
              <w:rPr>
                <w:rFonts w:ascii="Arial" w:eastAsia="Times New Roman" w:hAnsi="Arial" w:cs="Arial"/>
                <w:color w:val="000000"/>
                <w:sz w:val="20"/>
                <w:szCs w:val="20"/>
              </w:rPr>
              <w:t>Liabilities incurred</w:t>
            </w:r>
          </w:p>
        </w:tc>
        <w:tc>
          <w:tcPr>
            <w:tcW w:w="0" w:type="auto"/>
            <w:gridSpan w:val="2"/>
            <w:shd w:val="clear" w:color="auto" w:fill="D9D9D9"/>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b/>
                <w:bCs/>
                <w:color w:val="000000"/>
                <w:sz w:val="20"/>
                <w:szCs w:val="20"/>
              </w:rPr>
              <w:t>—</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20"/>
                <w:szCs w:val="20"/>
              </w:rPr>
              <w:t>— </w:t>
            </w:r>
          </w:p>
        </w:tc>
        <w:tc>
          <w:tcPr>
            <w:tcW w:w="0" w:type="auto"/>
            <w:tcMar>
              <w:top w:w="30" w:type="dxa"/>
              <w:left w:w="0" w:type="dxa"/>
              <w:bottom w:w="30" w:type="dxa"/>
              <w:right w:w="20" w:type="dxa"/>
            </w:tcMar>
            <w:vAlign w:val="center"/>
            <w:hideMark/>
          </w:tcPr>
          <w:p w:rsidR="00000000" w:rsidRDefault="001F1FC8">
            <w:pPr>
              <w:jc w:val="right"/>
              <w:rPr>
                <w:rFonts w:eastAsia="Times New Roman"/>
              </w:rPr>
            </w:pPr>
          </w:p>
        </w:tc>
      </w:tr>
      <w:tr w:rsidR="00000000">
        <w:trPr>
          <w:divId w:val="1153638922"/>
        </w:trPr>
        <w:tc>
          <w:tcPr>
            <w:tcW w:w="0" w:type="auto"/>
            <w:gridSpan w:val="3"/>
            <w:tcMar>
              <w:top w:w="30" w:type="dxa"/>
              <w:left w:w="20" w:type="dxa"/>
              <w:bottom w:w="30" w:type="dxa"/>
              <w:right w:w="20" w:type="dxa"/>
            </w:tcMar>
            <w:vAlign w:val="center"/>
            <w:hideMark/>
          </w:tcPr>
          <w:p w:rsidR="00000000" w:rsidRDefault="001F1FC8">
            <w:pPr>
              <w:rPr>
                <w:rFonts w:eastAsia="Times New Roman"/>
              </w:rPr>
            </w:pPr>
            <w:r>
              <w:rPr>
                <w:rFonts w:ascii="Arial" w:eastAsia="Times New Roman" w:hAnsi="Arial" w:cs="Arial"/>
                <w:color w:val="000000"/>
                <w:sz w:val="20"/>
                <w:szCs w:val="20"/>
              </w:rPr>
              <w:t>Liabilities settled</w:t>
            </w:r>
          </w:p>
        </w:tc>
        <w:tc>
          <w:tcPr>
            <w:tcW w:w="0" w:type="auto"/>
            <w:gridSpan w:val="2"/>
            <w:shd w:val="clear" w:color="auto" w:fill="D9D9D9"/>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b/>
                <w:bCs/>
                <w:color w:val="000000"/>
                <w:sz w:val="20"/>
                <w:szCs w:val="20"/>
              </w:rPr>
              <w:t>(67)</w:t>
            </w:r>
          </w:p>
        </w:tc>
        <w:tc>
          <w:tcPr>
            <w:tcW w:w="0" w:type="auto"/>
            <w:shd w:val="clear" w:color="auto" w:fill="D9D9D9"/>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20"/>
                <w:szCs w:val="20"/>
              </w:rPr>
              <w:t>(30)</w:t>
            </w:r>
          </w:p>
        </w:tc>
        <w:tc>
          <w:tcPr>
            <w:tcW w:w="0" w:type="auto"/>
            <w:tcMar>
              <w:top w:w="30" w:type="dxa"/>
              <w:left w:w="0" w:type="dxa"/>
              <w:bottom w:w="30" w:type="dxa"/>
              <w:right w:w="20" w:type="dxa"/>
            </w:tcMar>
            <w:vAlign w:val="center"/>
            <w:hideMark/>
          </w:tcPr>
          <w:p w:rsidR="00000000" w:rsidRDefault="001F1FC8">
            <w:pPr>
              <w:jc w:val="right"/>
              <w:rPr>
                <w:rFonts w:eastAsia="Times New Roman"/>
              </w:rPr>
            </w:pPr>
          </w:p>
        </w:tc>
      </w:tr>
      <w:tr w:rsidR="00000000">
        <w:trPr>
          <w:divId w:val="1153638922"/>
        </w:trPr>
        <w:tc>
          <w:tcPr>
            <w:tcW w:w="0" w:type="auto"/>
            <w:gridSpan w:val="3"/>
            <w:tcMar>
              <w:top w:w="30" w:type="dxa"/>
              <w:left w:w="20" w:type="dxa"/>
              <w:bottom w:w="30" w:type="dxa"/>
              <w:right w:w="20" w:type="dxa"/>
            </w:tcMar>
            <w:vAlign w:val="center"/>
            <w:hideMark/>
          </w:tcPr>
          <w:p w:rsidR="00000000" w:rsidRDefault="001F1FC8">
            <w:pPr>
              <w:rPr>
                <w:rFonts w:eastAsia="Times New Roman"/>
              </w:rPr>
            </w:pPr>
            <w:r>
              <w:rPr>
                <w:rFonts w:ascii="Arial" w:eastAsia="Times New Roman" w:hAnsi="Arial" w:cs="Arial"/>
                <w:color w:val="000000"/>
                <w:sz w:val="20"/>
                <w:szCs w:val="20"/>
              </w:rPr>
              <w:t>Change in estimate and other</w:t>
            </w:r>
          </w:p>
        </w:tc>
        <w:tc>
          <w:tcPr>
            <w:tcW w:w="0" w:type="auto"/>
            <w:gridSpan w:val="2"/>
            <w:shd w:val="clear" w:color="auto" w:fill="D9D9D9"/>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b/>
                <w:bCs/>
                <w:color w:val="000000"/>
                <w:sz w:val="20"/>
                <w:szCs w:val="20"/>
              </w:rPr>
              <w:t>70</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20"/>
                <w:szCs w:val="20"/>
              </w:rPr>
              <w:t>— </w:t>
            </w:r>
          </w:p>
        </w:tc>
        <w:tc>
          <w:tcPr>
            <w:tcW w:w="0" w:type="auto"/>
            <w:tcMar>
              <w:top w:w="30" w:type="dxa"/>
              <w:left w:w="0" w:type="dxa"/>
              <w:bottom w:w="30" w:type="dxa"/>
              <w:right w:w="20" w:type="dxa"/>
            </w:tcMar>
            <w:vAlign w:val="center"/>
            <w:hideMark/>
          </w:tcPr>
          <w:p w:rsidR="00000000" w:rsidRDefault="001F1FC8">
            <w:pPr>
              <w:jc w:val="right"/>
              <w:rPr>
                <w:rFonts w:eastAsia="Times New Roman"/>
              </w:rPr>
            </w:pPr>
          </w:p>
        </w:tc>
      </w:tr>
      <w:tr w:rsidR="00000000">
        <w:trPr>
          <w:divId w:val="1153638922"/>
        </w:trPr>
        <w:tc>
          <w:tcPr>
            <w:tcW w:w="0" w:type="auto"/>
            <w:gridSpan w:val="3"/>
            <w:tcMar>
              <w:top w:w="30" w:type="dxa"/>
              <w:left w:w="20" w:type="dxa"/>
              <w:bottom w:w="30" w:type="dxa"/>
              <w:right w:w="20" w:type="dxa"/>
            </w:tcMar>
            <w:vAlign w:val="center"/>
            <w:hideMark/>
          </w:tcPr>
          <w:p w:rsidR="00000000" w:rsidRDefault="001F1FC8">
            <w:pPr>
              <w:rPr>
                <w:rFonts w:eastAsia="Times New Roman"/>
              </w:rPr>
            </w:pPr>
            <w:r>
              <w:rPr>
                <w:rFonts w:ascii="Arial" w:eastAsia="Times New Roman" w:hAnsi="Arial" w:cs="Arial"/>
                <w:color w:val="000000"/>
                <w:sz w:val="20"/>
                <w:szCs w:val="20"/>
              </w:rPr>
              <w:t>Foreign currency translation adjustment</w:t>
            </w:r>
          </w:p>
        </w:tc>
        <w:tc>
          <w:tcPr>
            <w:tcW w:w="0" w:type="auto"/>
            <w:gridSpan w:val="2"/>
            <w:shd w:val="clear" w:color="auto" w:fill="D9D9D9"/>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b/>
                <w:bCs/>
                <w:color w:val="000000"/>
                <w:sz w:val="20"/>
                <w:szCs w:val="20"/>
              </w:rPr>
              <w:t>(3)</w:t>
            </w:r>
          </w:p>
        </w:tc>
        <w:tc>
          <w:tcPr>
            <w:tcW w:w="0" w:type="auto"/>
            <w:shd w:val="clear" w:color="auto" w:fill="D9D9D9"/>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20"/>
                <w:szCs w:val="20"/>
              </w:rPr>
              <w:t>(6)</w:t>
            </w:r>
          </w:p>
        </w:tc>
        <w:tc>
          <w:tcPr>
            <w:tcW w:w="0" w:type="auto"/>
            <w:tcMar>
              <w:top w:w="30" w:type="dxa"/>
              <w:left w:w="0" w:type="dxa"/>
              <w:bottom w:w="30" w:type="dxa"/>
              <w:right w:w="20" w:type="dxa"/>
            </w:tcMar>
            <w:vAlign w:val="center"/>
            <w:hideMark/>
          </w:tcPr>
          <w:p w:rsidR="00000000" w:rsidRDefault="001F1FC8">
            <w:pPr>
              <w:jc w:val="right"/>
              <w:rPr>
                <w:rFonts w:eastAsia="Times New Roman"/>
              </w:rPr>
            </w:pPr>
          </w:p>
        </w:tc>
      </w:tr>
      <w:tr w:rsidR="00000000">
        <w:trPr>
          <w:divId w:val="1153638922"/>
        </w:trPr>
        <w:tc>
          <w:tcPr>
            <w:tcW w:w="0" w:type="auto"/>
            <w:gridSpan w:val="3"/>
            <w:tcMar>
              <w:top w:w="30" w:type="dxa"/>
              <w:left w:w="20" w:type="dxa"/>
              <w:bottom w:w="30" w:type="dxa"/>
              <w:right w:w="20" w:type="dxa"/>
            </w:tcMar>
            <w:vAlign w:val="center"/>
            <w:hideMark/>
          </w:tcPr>
          <w:p w:rsidR="00000000" w:rsidRDefault="001F1FC8">
            <w:pPr>
              <w:rPr>
                <w:rFonts w:eastAsia="Times New Roman"/>
              </w:rPr>
            </w:pPr>
            <w:r>
              <w:rPr>
                <w:rFonts w:ascii="Arial" w:eastAsia="Times New Roman" w:hAnsi="Arial" w:cs="Arial"/>
                <w:color w:val="000000"/>
                <w:sz w:val="20"/>
                <w:szCs w:val="20"/>
              </w:rPr>
              <w:t>Accretion expense</w:t>
            </w:r>
          </w:p>
        </w:tc>
        <w:tc>
          <w:tcPr>
            <w:tcW w:w="0" w:type="auto"/>
            <w:gridSpan w:val="2"/>
            <w:shd w:val="clear" w:color="auto" w:fill="D9D9D9"/>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b/>
                <w:bCs/>
                <w:color w:val="000000"/>
                <w:sz w:val="20"/>
                <w:szCs w:val="20"/>
              </w:rPr>
              <w:t>6</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20"/>
                <w:szCs w:val="20"/>
              </w:rPr>
              <w:t>12 </w:t>
            </w:r>
          </w:p>
        </w:tc>
        <w:tc>
          <w:tcPr>
            <w:tcW w:w="0" w:type="auto"/>
            <w:tcMar>
              <w:top w:w="30" w:type="dxa"/>
              <w:left w:w="0" w:type="dxa"/>
              <w:bottom w:w="30" w:type="dxa"/>
              <w:right w:w="20" w:type="dxa"/>
            </w:tcMar>
            <w:vAlign w:val="center"/>
            <w:hideMark/>
          </w:tcPr>
          <w:p w:rsidR="00000000" w:rsidRDefault="001F1FC8">
            <w:pPr>
              <w:jc w:val="right"/>
              <w:rPr>
                <w:rFonts w:eastAsia="Times New Roman"/>
              </w:rPr>
            </w:pPr>
          </w:p>
        </w:tc>
      </w:tr>
      <w:tr w:rsidR="00000000">
        <w:trPr>
          <w:divId w:val="1153638922"/>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1F1FC8">
            <w:pPr>
              <w:rPr>
                <w:rFonts w:eastAsia="Times New Roman"/>
              </w:rPr>
            </w:pPr>
            <w:r>
              <w:rPr>
                <w:rFonts w:ascii="Arial" w:eastAsia="Times New Roman" w:hAnsi="Arial" w:cs="Arial"/>
                <w:color w:val="000000"/>
                <w:sz w:val="20"/>
                <w:szCs w:val="20"/>
              </w:rPr>
              <w:t>Obligations at end of year</w:t>
            </w:r>
          </w:p>
        </w:tc>
        <w:tc>
          <w:tcPr>
            <w:tcW w:w="0" w:type="auto"/>
            <w:gridSpan w:val="2"/>
            <w:tcBorders>
              <w:top w:val="single" w:sz="4" w:space="0" w:color="000000"/>
            </w:tcBorders>
            <w:shd w:val="clear" w:color="auto" w:fill="D9D9D9"/>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b/>
                <w:bCs/>
                <w:color w:val="000000"/>
                <w:sz w:val="20"/>
                <w:szCs w:val="20"/>
              </w:rPr>
              <w:t>502</w:t>
            </w:r>
            <w:r>
              <w:rPr>
                <w:rFonts w:ascii="Arial" w:eastAsia="Times New Roman" w:hAnsi="Arial" w:cs="Arial"/>
                <w:color w:val="000000"/>
                <w:sz w:val="20"/>
                <w:szCs w:val="20"/>
              </w:rPr>
              <w:t> </w:t>
            </w:r>
          </w:p>
        </w:tc>
        <w:tc>
          <w:tcPr>
            <w:tcW w:w="0" w:type="auto"/>
            <w:tcBorders>
              <w:top w:val="single" w:sz="4" w:space="0" w:color="000000"/>
            </w:tcBorders>
            <w:shd w:val="clear" w:color="auto" w:fill="D9D9D9"/>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20"/>
                <w:szCs w:val="20"/>
              </w:rPr>
              <w:t>496 </w:t>
            </w:r>
          </w:p>
        </w:tc>
        <w:tc>
          <w:tcPr>
            <w:tcW w:w="0" w:type="auto"/>
            <w:tcBorders>
              <w:top w:val="single" w:sz="4" w:space="0" w:color="000000"/>
            </w:tcBorders>
            <w:tcMar>
              <w:top w:w="30" w:type="dxa"/>
              <w:left w:w="0" w:type="dxa"/>
              <w:bottom w:w="30" w:type="dxa"/>
              <w:right w:w="20" w:type="dxa"/>
            </w:tcMar>
            <w:vAlign w:val="center"/>
            <w:hideMark/>
          </w:tcPr>
          <w:p w:rsidR="00000000" w:rsidRDefault="001F1FC8">
            <w:pPr>
              <w:jc w:val="right"/>
              <w:rPr>
                <w:rFonts w:eastAsia="Times New Roman"/>
              </w:rPr>
            </w:pPr>
          </w:p>
        </w:tc>
      </w:tr>
      <w:tr w:rsidR="00000000">
        <w:trPr>
          <w:divId w:val="1153638922"/>
        </w:trPr>
        <w:tc>
          <w:tcPr>
            <w:tcW w:w="0" w:type="auto"/>
            <w:gridSpan w:val="3"/>
            <w:tcBorders>
              <w:top w:val="single" w:sz="8" w:space="0" w:color="000000"/>
            </w:tcBorders>
            <w:tcMar>
              <w:top w:w="30" w:type="dxa"/>
              <w:left w:w="20" w:type="dxa"/>
              <w:bottom w:w="30" w:type="dxa"/>
              <w:right w:w="20" w:type="dxa"/>
            </w:tcMar>
            <w:vAlign w:val="center"/>
            <w:hideMark/>
          </w:tcPr>
          <w:p w:rsidR="00000000" w:rsidRDefault="001F1FC8">
            <w:pPr>
              <w:rPr>
                <w:rFonts w:eastAsia="Times New Roman"/>
              </w:rPr>
            </w:pPr>
            <w:r>
              <w:rPr>
                <w:rFonts w:ascii="Arial" w:eastAsia="Times New Roman" w:hAnsi="Arial" w:cs="Arial"/>
                <w:color w:val="000000"/>
                <w:sz w:val="20"/>
                <w:szCs w:val="20"/>
              </w:rPr>
              <w:t>Presented as follows:</w:t>
            </w:r>
          </w:p>
        </w:tc>
        <w:tc>
          <w:tcPr>
            <w:tcW w:w="0" w:type="auto"/>
            <w:gridSpan w:val="3"/>
            <w:tcBorders>
              <w:top w:val="single" w:sz="8" w:space="0" w:color="000000"/>
            </w:tcBorders>
            <w:shd w:val="clear" w:color="auto" w:fill="D9D9D9"/>
            <w:tcMar>
              <w:top w:w="0" w:type="dxa"/>
              <w:left w:w="20" w:type="dxa"/>
              <w:bottom w:w="0" w:type="dxa"/>
              <w:right w:w="20" w:type="dxa"/>
            </w:tcMar>
            <w:vAlign w:val="center"/>
            <w:hideMark/>
          </w:tcPr>
          <w:p w:rsidR="00000000" w:rsidRDefault="001F1FC8">
            <w:pP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1F1FC8">
            <w:pPr>
              <w:rPr>
                <w:rFonts w:eastAsia="Times New Roman"/>
                <w:sz w:val="20"/>
                <w:szCs w:val="20"/>
              </w:rPr>
            </w:pPr>
          </w:p>
        </w:tc>
      </w:tr>
      <w:tr w:rsidR="00000000">
        <w:trPr>
          <w:divId w:val="1153638922"/>
        </w:trPr>
        <w:tc>
          <w:tcPr>
            <w:tcW w:w="0" w:type="auto"/>
            <w:gridSpan w:val="3"/>
            <w:tcMar>
              <w:top w:w="30" w:type="dxa"/>
              <w:left w:w="20" w:type="dxa"/>
              <w:bottom w:w="30" w:type="dxa"/>
              <w:right w:w="20" w:type="dxa"/>
            </w:tcMar>
            <w:vAlign w:val="center"/>
            <w:hideMark/>
          </w:tcPr>
          <w:p w:rsidR="00000000" w:rsidRDefault="001F1FC8">
            <w:pPr>
              <w:divId w:val="1875455842"/>
              <w:rPr>
                <w:rFonts w:eastAsia="Times New Roman"/>
              </w:rPr>
            </w:pPr>
            <w:r>
              <w:rPr>
                <w:rFonts w:ascii="Arial" w:eastAsia="Times New Roman" w:hAnsi="Arial" w:cs="Arial"/>
                <w:color w:val="000000"/>
                <w:sz w:val="20"/>
                <w:szCs w:val="20"/>
              </w:rPr>
              <w:t>Accounts payable and other</w:t>
            </w:r>
          </w:p>
        </w:tc>
        <w:tc>
          <w:tcPr>
            <w:tcW w:w="0" w:type="auto"/>
            <w:gridSpan w:val="2"/>
            <w:shd w:val="clear" w:color="auto" w:fill="D9D9D9"/>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b/>
                <w:bCs/>
                <w:color w:val="000000"/>
                <w:sz w:val="20"/>
                <w:szCs w:val="20"/>
              </w:rPr>
              <w:t>160</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20"/>
                <w:szCs w:val="20"/>
              </w:rPr>
              <w:t>56 </w:t>
            </w:r>
          </w:p>
        </w:tc>
        <w:tc>
          <w:tcPr>
            <w:tcW w:w="0" w:type="auto"/>
            <w:tcMar>
              <w:top w:w="30" w:type="dxa"/>
              <w:left w:w="0" w:type="dxa"/>
              <w:bottom w:w="30" w:type="dxa"/>
              <w:right w:w="20" w:type="dxa"/>
            </w:tcMar>
            <w:vAlign w:val="center"/>
            <w:hideMark/>
          </w:tcPr>
          <w:p w:rsidR="00000000" w:rsidRDefault="001F1FC8">
            <w:pPr>
              <w:jc w:val="right"/>
              <w:rPr>
                <w:rFonts w:eastAsia="Times New Roman"/>
              </w:rPr>
            </w:pPr>
          </w:p>
        </w:tc>
      </w:tr>
      <w:tr w:rsidR="00000000">
        <w:trPr>
          <w:divId w:val="1153638922"/>
        </w:trPr>
        <w:tc>
          <w:tcPr>
            <w:tcW w:w="0" w:type="auto"/>
            <w:gridSpan w:val="3"/>
            <w:tcMar>
              <w:top w:w="30" w:type="dxa"/>
              <w:left w:w="20" w:type="dxa"/>
              <w:bottom w:w="30" w:type="dxa"/>
              <w:right w:w="20" w:type="dxa"/>
            </w:tcMar>
            <w:vAlign w:val="center"/>
            <w:hideMark/>
          </w:tcPr>
          <w:p w:rsidR="00000000" w:rsidRDefault="001F1FC8">
            <w:pPr>
              <w:divId w:val="1404136340"/>
              <w:rPr>
                <w:rFonts w:eastAsia="Times New Roman"/>
              </w:rPr>
            </w:pPr>
            <w:r>
              <w:rPr>
                <w:rFonts w:ascii="Arial" w:eastAsia="Times New Roman" w:hAnsi="Arial" w:cs="Arial"/>
                <w:color w:val="000000"/>
                <w:sz w:val="20"/>
                <w:szCs w:val="20"/>
              </w:rPr>
              <w:t>Other long-term liabilities</w:t>
            </w:r>
          </w:p>
        </w:tc>
        <w:tc>
          <w:tcPr>
            <w:tcW w:w="0" w:type="auto"/>
            <w:gridSpan w:val="2"/>
            <w:shd w:val="clear" w:color="auto" w:fill="D9D9D9"/>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b/>
                <w:bCs/>
                <w:color w:val="000000"/>
                <w:sz w:val="20"/>
                <w:szCs w:val="20"/>
              </w:rPr>
              <w:t>342</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20"/>
                <w:szCs w:val="20"/>
              </w:rPr>
              <w:t>440 </w:t>
            </w:r>
          </w:p>
        </w:tc>
        <w:tc>
          <w:tcPr>
            <w:tcW w:w="0" w:type="auto"/>
            <w:tcMar>
              <w:top w:w="30" w:type="dxa"/>
              <w:left w:w="0" w:type="dxa"/>
              <w:bottom w:w="30" w:type="dxa"/>
              <w:right w:w="20" w:type="dxa"/>
            </w:tcMar>
            <w:vAlign w:val="center"/>
            <w:hideMark/>
          </w:tcPr>
          <w:p w:rsidR="00000000" w:rsidRDefault="001F1FC8">
            <w:pPr>
              <w:jc w:val="right"/>
              <w:rPr>
                <w:rFonts w:eastAsia="Times New Roman"/>
              </w:rPr>
            </w:pPr>
          </w:p>
        </w:tc>
      </w:tr>
      <w:tr w:rsidR="00000000">
        <w:trPr>
          <w:divId w:val="1153638922"/>
        </w:trPr>
        <w:tc>
          <w:tcPr>
            <w:tcW w:w="0" w:type="auto"/>
            <w:gridSpan w:val="3"/>
            <w:tcBorders>
              <w:top w:val="single" w:sz="4" w:space="0" w:color="000000"/>
              <w:bottom w:val="single" w:sz="8" w:space="0" w:color="000000"/>
            </w:tcBorders>
            <w:tcMar>
              <w:top w:w="0" w:type="dxa"/>
              <w:left w:w="20" w:type="dxa"/>
              <w:bottom w:w="0" w:type="dxa"/>
              <w:right w:w="20" w:type="dxa"/>
            </w:tcMar>
            <w:vAlign w:val="center"/>
            <w:hideMark/>
          </w:tcPr>
          <w:p w:rsidR="00000000" w:rsidRDefault="001F1FC8">
            <w:pPr>
              <w:jc w:val="right"/>
              <w:rPr>
                <w:rFonts w:eastAsia="Times New Roman"/>
                <w:sz w:val="20"/>
                <w:szCs w:val="20"/>
              </w:rPr>
            </w:pPr>
          </w:p>
        </w:tc>
        <w:tc>
          <w:tcPr>
            <w:tcW w:w="0" w:type="auto"/>
            <w:gridSpan w:val="2"/>
            <w:tcBorders>
              <w:top w:val="single" w:sz="4" w:space="0" w:color="000000"/>
              <w:bottom w:val="single" w:sz="8" w:space="0" w:color="000000"/>
            </w:tcBorders>
            <w:shd w:val="clear" w:color="auto" w:fill="D9D9D9"/>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b/>
                <w:bCs/>
                <w:color w:val="000000"/>
                <w:sz w:val="20"/>
                <w:szCs w:val="20"/>
              </w:rPr>
              <w:t>502</w:t>
            </w:r>
            <w:r>
              <w:rPr>
                <w:rFonts w:ascii="Arial" w:eastAsia="Times New Roman" w:hAnsi="Arial" w:cs="Arial"/>
                <w:color w:val="000000"/>
                <w:sz w:val="20"/>
                <w:szCs w:val="20"/>
              </w:rPr>
              <w:t> </w:t>
            </w:r>
          </w:p>
        </w:tc>
        <w:tc>
          <w:tcPr>
            <w:tcW w:w="0" w:type="auto"/>
            <w:tcBorders>
              <w:top w:val="single" w:sz="4" w:space="0" w:color="000000"/>
              <w:bottom w:val="single" w:sz="8" w:space="0" w:color="000000"/>
            </w:tcBorders>
            <w:shd w:val="clear" w:color="auto" w:fill="D9D9D9"/>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Borders>
              <w:top w:val="single" w:sz="4" w:space="0" w:color="000000"/>
              <w:bottom w:val="single" w:sz="8" w:space="0" w:color="000000"/>
            </w:tcBorders>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20"/>
                <w:szCs w:val="20"/>
              </w:rPr>
              <w:t>496 </w:t>
            </w:r>
          </w:p>
        </w:tc>
        <w:tc>
          <w:tcPr>
            <w:tcW w:w="0" w:type="auto"/>
            <w:tcBorders>
              <w:top w:val="single" w:sz="4" w:space="0" w:color="000000"/>
              <w:bottom w:val="single" w:sz="8" w:space="0" w:color="000000"/>
            </w:tcBorders>
            <w:tcMar>
              <w:top w:w="30" w:type="dxa"/>
              <w:left w:w="0" w:type="dxa"/>
              <w:bottom w:w="30" w:type="dxa"/>
              <w:right w:w="20" w:type="dxa"/>
            </w:tcMar>
            <w:vAlign w:val="center"/>
            <w:hideMark/>
          </w:tcPr>
          <w:p w:rsidR="00000000" w:rsidRDefault="001F1FC8">
            <w:pPr>
              <w:jc w:val="right"/>
              <w:rPr>
                <w:rFonts w:eastAsia="Times New Roman"/>
              </w:rPr>
            </w:pPr>
          </w:p>
        </w:tc>
      </w:tr>
    </w:tbl>
    <w:p w:rsidR="00000000" w:rsidRDefault="001F1FC8">
      <w:pPr>
        <w:divId w:val="1544055608"/>
        <w:rPr>
          <w:rFonts w:eastAsia="Times New Roman"/>
        </w:rPr>
      </w:pPr>
    </w:p>
    <w:p w:rsidR="00000000" w:rsidRDefault="001F1FC8">
      <w:pPr>
        <w:jc w:val="center"/>
        <w:divId w:val="2003847252"/>
        <w:rPr>
          <w:rFonts w:eastAsia="Times New Roman"/>
        </w:rPr>
      </w:pPr>
      <w:r>
        <w:rPr>
          <w:rFonts w:ascii="Arial" w:eastAsia="Times New Roman" w:hAnsi="Arial" w:cs="Arial"/>
          <w:color w:val="000000"/>
          <w:sz w:val="20"/>
          <w:szCs w:val="20"/>
        </w:rPr>
        <w:t>141</w:t>
      </w:r>
    </w:p>
    <w:p w:rsidR="00000000" w:rsidRDefault="001F1FC8">
      <w:pPr>
        <w:rPr>
          <w:rFonts w:eastAsia="Times New Roman"/>
        </w:rPr>
      </w:pPr>
      <w:r>
        <w:rPr>
          <w:rFonts w:eastAsia="Times New Roman"/>
        </w:rPr>
        <w:pict>
          <v:rect id="_x0000_i1171" style="width:0;height:1.5pt" o:hralign="center" o:hrstd="t" o:hr="t" fillcolor="#a0a0a0" stroked="f"/>
        </w:pict>
      </w:r>
    </w:p>
    <w:p w:rsidR="00000000" w:rsidRDefault="001F1FC8">
      <w:pPr>
        <w:jc w:val="center"/>
        <w:divId w:val="1337731025"/>
        <w:rPr>
          <w:rFonts w:eastAsia="Times New Roman"/>
        </w:rPr>
      </w:pPr>
    </w:p>
    <w:p w:rsidR="00000000" w:rsidRDefault="001F1FC8">
      <w:pPr>
        <w:divId w:val="2133983234"/>
        <w:rPr>
          <w:rFonts w:eastAsia="Times New Roman"/>
        </w:rPr>
      </w:pPr>
      <w:r>
        <w:rPr>
          <w:rFonts w:ascii="Arial" w:eastAsia="Times New Roman" w:hAnsi="Arial" w:cs="Arial"/>
          <w:b/>
          <w:bCs/>
          <w:color w:val="000000"/>
          <w:sz w:val="26"/>
          <w:szCs w:val="26"/>
        </w:rPr>
        <w:t>20.  NONCONTROLLING INTERESTS</w:t>
      </w:r>
    </w:p>
    <w:p w:rsidR="00000000" w:rsidRDefault="001F1FC8">
      <w:pPr>
        <w:divId w:val="1114981532"/>
        <w:rPr>
          <w:rFonts w:eastAsia="Times New Roman"/>
        </w:rPr>
      </w:pPr>
      <w:r>
        <w:rPr>
          <w:rFonts w:ascii="Arial" w:eastAsia="Times New Roman" w:hAnsi="Arial" w:cs="Arial"/>
          <w:color w:val="000000"/>
          <w:sz w:val="20"/>
          <w:szCs w:val="20"/>
        </w:rPr>
        <w:t> </w:t>
      </w:r>
    </w:p>
    <w:p w:rsidR="00000000" w:rsidRDefault="001F1FC8">
      <w:pPr>
        <w:divId w:val="1132022220"/>
        <w:rPr>
          <w:rFonts w:eastAsia="Times New Roman"/>
        </w:rPr>
      </w:pPr>
      <w:r>
        <w:rPr>
          <w:rFonts w:ascii="Arial" w:eastAsia="Times New Roman" w:hAnsi="Arial" w:cs="Arial"/>
          <w:b/>
          <w:bCs/>
          <w:color w:val="000000"/>
          <w:sz w:val="20"/>
          <w:szCs w:val="20"/>
        </w:rPr>
        <w:t>NONCONTROLLING INTERESTS</w:t>
      </w:r>
    </w:p>
    <w:p w:rsidR="00000000" w:rsidRDefault="001F1FC8">
      <w:pPr>
        <w:divId w:val="639187302"/>
        <w:rPr>
          <w:rFonts w:eastAsia="Times New Roman"/>
        </w:rPr>
      </w:pPr>
      <w:r>
        <w:rPr>
          <w:rFonts w:ascii="Arial" w:eastAsia="Times New Roman" w:hAnsi="Arial" w:cs="Arial"/>
          <w:color w:val="000000"/>
          <w:sz w:val="20"/>
          <w:szCs w:val="20"/>
        </w:rPr>
        <w:t>The following table provides additional information regarding Noncontrolling interests as presented in our Consolidated Statements of Financial Position:</w:t>
      </w:r>
    </w:p>
    <w:tbl>
      <w:tblPr>
        <w:tblW w:w="5000" w:type="pct"/>
        <w:tblCellMar>
          <w:top w:w="15" w:type="dxa"/>
          <w:left w:w="15" w:type="dxa"/>
          <w:bottom w:w="15" w:type="dxa"/>
          <w:right w:w="15" w:type="dxa"/>
        </w:tblCellMar>
        <w:tblLook w:val="04A0" w:firstRow="1" w:lastRow="0" w:firstColumn="1" w:lastColumn="0" w:noHBand="0" w:noVBand="1"/>
      </w:tblPr>
      <w:tblGrid>
        <w:gridCol w:w="69"/>
        <w:gridCol w:w="6566"/>
        <w:gridCol w:w="37"/>
        <w:gridCol w:w="69"/>
        <w:gridCol w:w="745"/>
        <w:gridCol w:w="36"/>
        <w:gridCol w:w="69"/>
        <w:gridCol w:w="679"/>
        <w:gridCol w:w="36"/>
      </w:tblGrid>
      <w:tr w:rsidR="00000000">
        <w:trPr>
          <w:divId w:val="1951164757"/>
        </w:trPr>
        <w:tc>
          <w:tcPr>
            <w:tcW w:w="50" w:type="pct"/>
            <w:vAlign w:val="center"/>
            <w:hideMark/>
          </w:tcPr>
          <w:p w:rsidR="00000000" w:rsidRDefault="001F1FC8">
            <w:pPr>
              <w:rPr>
                <w:rFonts w:eastAsia="Times New Roman"/>
              </w:rPr>
            </w:pPr>
          </w:p>
        </w:tc>
        <w:tc>
          <w:tcPr>
            <w:tcW w:w="3959"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c>
          <w:tcPr>
            <w:tcW w:w="50" w:type="pct"/>
            <w:vAlign w:val="center"/>
            <w:hideMark/>
          </w:tcPr>
          <w:p w:rsidR="00000000" w:rsidRDefault="001F1FC8">
            <w:pPr>
              <w:rPr>
                <w:rFonts w:eastAsia="Times New Roman"/>
                <w:sz w:val="20"/>
                <w:szCs w:val="20"/>
              </w:rPr>
            </w:pPr>
          </w:p>
        </w:tc>
        <w:tc>
          <w:tcPr>
            <w:tcW w:w="457"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c>
          <w:tcPr>
            <w:tcW w:w="50" w:type="pct"/>
            <w:vAlign w:val="center"/>
            <w:hideMark/>
          </w:tcPr>
          <w:p w:rsidR="00000000" w:rsidRDefault="001F1FC8">
            <w:pPr>
              <w:rPr>
                <w:rFonts w:eastAsia="Times New Roman"/>
                <w:sz w:val="20"/>
                <w:szCs w:val="20"/>
              </w:rPr>
            </w:pPr>
          </w:p>
        </w:tc>
        <w:tc>
          <w:tcPr>
            <w:tcW w:w="417"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r>
      <w:tr w:rsidR="00000000">
        <w:trPr>
          <w:divId w:val="1951164757"/>
        </w:trPr>
        <w:tc>
          <w:tcPr>
            <w:tcW w:w="0" w:type="auto"/>
            <w:gridSpan w:val="3"/>
            <w:tcMar>
              <w:top w:w="30" w:type="dxa"/>
              <w:left w:w="20" w:type="dxa"/>
              <w:bottom w:w="30" w:type="dxa"/>
              <w:right w:w="20" w:type="dxa"/>
            </w:tcMar>
            <w:vAlign w:val="center"/>
            <w:hideMark/>
          </w:tcPr>
          <w:p w:rsidR="00000000" w:rsidRDefault="001F1FC8">
            <w:pPr>
              <w:rPr>
                <w:rFonts w:eastAsia="Times New Roman"/>
              </w:rPr>
            </w:pPr>
            <w:r>
              <w:rPr>
                <w:rFonts w:ascii="Arial" w:eastAsia="Times New Roman" w:hAnsi="Arial" w:cs="Arial"/>
                <w:color w:val="000000"/>
                <w:sz w:val="20"/>
                <w:szCs w:val="20"/>
              </w:rPr>
              <w:t>December 31,</w:t>
            </w:r>
          </w:p>
        </w:tc>
        <w:tc>
          <w:tcPr>
            <w:tcW w:w="0" w:type="auto"/>
            <w:gridSpan w:val="3"/>
            <w:tcMar>
              <w:top w:w="30" w:type="dxa"/>
              <w:left w:w="20" w:type="dxa"/>
              <w:bottom w:w="30" w:type="dxa"/>
              <w:right w:w="20" w:type="dxa"/>
            </w:tcMar>
            <w:vAlign w:val="center"/>
            <w:hideMark/>
          </w:tcPr>
          <w:p w:rsidR="00000000" w:rsidRDefault="001F1FC8">
            <w:pPr>
              <w:jc w:val="right"/>
              <w:rPr>
                <w:rFonts w:eastAsia="Times New Roman"/>
              </w:rPr>
            </w:pPr>
            <w:r>
              <w:rPr>
                <w:rFonts w:ascii="Arial" w:eastAsia="Times New Roman" w:hAnsi="Arial" w:cs="Arial"/>
                <w:b/>
                <w:bCs/>
                <w:color w:val="000000"/>
                <w:sz w:val="20"/>
                <w:szCs w:val="20"/>
              </w:rPr>
              <w:t>2021</w:t>
            </w:r>
          </w:p>
        </w:tc>
        <w:tc>
          <w:tcPr>
            <w:tcW w:w="0" w:type="auto"/>
            <w:gridSpan w:val="3"/>
            <w:tcMar>
              <w:top w:w="30" w:type="dxa"/>
              <w:left w:w="20" w:type="dxa"/>
              <w:bottom w:w="30" w:type="dxa"/>
              <w:right w:w="20" w:type="dxa"/>
            </w:tcMar>
            <w:vAlign w:val="center"/>
            <w:hideMark/>
          </w:tcPr>
          <w:p w:rsidR="00000000" w:rsidRDefault="001F1FC8">
            <w:pPr>
              <w:jc w:val="right"/>
              <w:rPr>
                <w:rFonts w:eastAsia="Times New Roman"/>
              </w:rPr>
            </w:pPr>
            <w:r>
              <w:rPr>
                <w:rFonts w:ascii="Arial" w:eastAsia="Times New Roman" w:hAnsi="Arial" w:cs="Arial"/>
                <w:color w:val="000000"/>
                <w:sz w:val="20"/>
                <w:szCs w:val="20"/>
              </w:rPr>
              <w:t>2020</w:t>
            </w:r>
          </w:p>
        </w:tc>
      </w:tr>
      <w:tr w:rsidR="00000000">
        <w:trPr>
          <w:divId w:val="1951164757"/>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1F1FC8">
            <w:pPr>
              <w:rPr>
                <w:rFonts w:eastAsia="Times New Roman"/>
              </w:rPr>
            </w:pPr>
            <w:r>
              <w:rPr>
                <w:rFonts w:ascii="Arial" w:eastAsia="Times New Roman" w:hAnsi="Arial" w:cs="Arial"/>
                <w:i/>
                <w:iCs/>
                <w:color w:val="000000"/>
                <w:sz w:val="16"/>
                <w:szCs w:val="16"/>
              </w:rPr>
              <w:t>(millions of Canadian dollars)</w:t>
            </w:r>
          </w:p>
        </w:tc>
        <w:tc>
          <w:tcPr>
            <w:tcW w:w="0" w:type="auto"/>
            <w:gridSpan w:val="3"/>
            <w:tcBorders>
              <w:top w:val="single" w:sz="4" w:space="0" w:color="000000"/>
            </w:tcBorders>
            <w:shd w:val="clear" w:color="auto" w:fill="D9D9D9"/>
            <w:tcMar>
              <w:top w:w="0" w:type="dxa"/>
              <w:left w:w="20" w:type="dxa"/>
              <w:bottom w:w="0" w:type="dxa"/>
              <w:right w:w="20" w:type="dxa"/>
            </w:tcMar>
            <w:vAlign w:val="center"/>
            <w:hideMark/>
          </w:tcPr>
          <w:p w:rsidR="00000000" w:rsidRDefault="001F1FC8">
            <w:pPr>
              <w:rPr>
                <w:rFonts w:eastAsia="Times New Roman"/>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1F1FC8">
            <w:pPr>
              <w:rPr>
                <w:rFonts w:eastAsia="Times New Roman"/>
                <w:sz w:val="20"/>
                <w:szCs w:val="20"/>
              </w:rPr>
            </w:pPr>
          </w:p>
        </w:tc>
      </w:tr>
      <w:tr w:rsidR="00000000">
        <w:trPr>
          <w:divId w:val="1951164757"/>
        </w:trPr>
        <w:tc>
          <w:tcPr>
            <w:tcW w:w="0" w:type="auto"/>
            <w:gridSpan w:val="3"/>
            <w:tcMar>
              <w:top w:w="30" w:type="dxa"/>
              <w:left w:w="20" w:type="dxa"/>
              <w:bottom w:w="30" w:type="dxa"/>
              <w:right w:w="20" w:type="dxa"/>
            </w:tcMar>
            <w:vAlign w:val="center"/>
            <w:hideMark/>
          </w:tcPr>
          <w:p w:rsidR="00000000" w:rsidRDefault="001F1FC8">
            <w:pPr>
              <w:rPr>
                <w:rFonts w:eastAsia="Times New Roman"/>
              </w:rPr>
            </w:pPr>
            <w:r>
              <w:rPr>
                <w:rFonts w:ascii="Arial" w:eastAsia="Times New Roman" w:hAnsi="Arial" w:cs="Arial"/>
                <w:color w:val="000000"/>
                <w:sz w:val="20"/>
                <w:szCs w:val="20"/>
              </w:rPr>
              <w:t>Algonquin Gas Transmission, L.L.C</w:t>
            </w:r>
          </w:p>
        </w:tc>
        <w:tc>
          <w:tcPr>
            <w:tcW w:w="0" w:type="auto"/>
            <w:gridSpan w:val="2"/>
            <w:shd w:val="clear" w:color="auto" w:fill="D9D9D9"/>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b/>
                <w:bCs/>
                <w:color w:val="000000"/>
                <w:sz w:val="20"/>
                <w:szCs w:val="20"/>
              </w:rPr>
              <w:t>377</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20"/>
                <w:szCs w:val="20"/>
              </w:rPr>
              <w:t>384 </w:t>
            </w:r>
          </w:p>
        </w:tc>
        <w:tc>
          <w:tcPr>
            <w:tcW w:w="0" w:type="auto"/>
            <w:tcMar>
              <w:top w:w="30" w:type="dxa"/>
              <w:left w:w="0" w:type="dxa"/>
              <w:bottom w:w="30" w:type="dxa"/>
              <w:right w:w="20" w:type="dxa"/>
            </w:tcMar>
            <w:vAlign w:val="center"/>
            <w:hideMark/>
          </w:tcPr>
          <w:p w:rsidR="00000000" w:rsidRDefault="001F1FC8">
            <w:pPr>
              <w:jc w:val="right"/>
              <w:rPr>
                <w:rFonts w:eastAsia="Times New Roman"/>
              </w:rPr>
            </w:pPr>
          </w:p>
        </w:tc>
      </w:tr>
      <w:tr w:rsidR="00000000">
        <w:trPr>
          <w:divId w:val="1951164757"/>
        </w:trPr>
        <w:tc>
          <w:tcPr>
            <w:tcW w:w="0" w:type="auto"/>
            <w:gridSpan w:val="3"/>
            <w:tcMar>
              <w:top w:w="30" w:type="dxa"/>
              <w:left w:w="20" w:type="dxa"/>
              <w:bottom w:w="30" w:type="dxa"/>
              <w:right w:w="20" w:type="dxa"/>
            </w:tcMar>
            <w:vAlign w:val="center"/>
            <w:hideMark/>
          </w:tcPr>
          <w:p w:rsidR="00000000" w:rsidRDefault="001F1FC8">
            <w:pPr>
              <w:rPr>
                <w:rFonts w:eastAsia="Times New Roman"/>
              </w:rPr>
            </w:pPr>
            <w:r>
              <w:rPr>
                <w:rFonts w:ascii="Arial" w:eastAsia="Times New Roman" w:hAnsi="Arial" w:cs="Arial"/>
                <w:color w:val="000000"/>
                <w:sz w:val="20"/>
                <w:szCs w:val="20"/>
              </w:rPr>
              <w:t>Maritimes &amp; Northeast Pipeline, L.L.C</w:t>
            </w:r>
          </w:p>
        </w:tc>
        <w:tc>
          <w:tcPr>
            <w:tcW w:w="0" w:type="auto"/>
            <w:gridSpan w:val="2"/>
            <w:shd w:val="clear" w:color="auto" w:fill="D9D9D9"/>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b/>
                <w:bCs/>
                <w:color w:val="000000"/>
                <w:sz w:val="20"/>
                <w:szCs w:val="20"/>
              </w:rPr>
              <w:t>546</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20"/>
                <w:szCs w:val="20"/>
              </w:rPr>
              <w:t>558 </w:t>
            </w:r>
          </w:p>
        </w:tc>
        <w:tc>
          <w:tcPr>
            <w:tcW w:w="0" w:type="auto"/>
            <w:tcMar>
              <w:top w:w="30" w:type="dxa"/>
              <w:left w:w="0" w:type="dxa"/>
              <w:bottom w:w="30" w:type="dxa"/>
              <w:right w:w="20" w:type="dxa"/>
            </w:tcMar>
            <w:vAlign w:val="center"/>
            <w:hideMark/>
          </w:tcPr>
          <w:p w:rsidR="00000000" w:rsidRDefault="001F1FC8">
            <w:pPr>
              <w:jc w:val="right"/>
              <w:rPr>
                <w:rFonts w:eastAsia="Times New Roman"/>
              </w:rPr>
            </w:pPr>
          </w:p>
        </w:tc>
      </w:tr>
      <w:tr w:rsidR="00000000">
        <w:trPr>
          <w:divId w:val="1951164757"/>
        </w:trPr>
        <w:tc>
          <w:tcPr>
            <w:tcW w:w="0" w:type="auto"/>
            <w:gridSpan w:val="3"/>
            <w:vAlign w:val="center"/>
            <w:hideMark/>
          </w:tcPr>
          <w:p w:rsidR="00000000" w:rsidRDefault="001F1FC8">
            <w:pPr>
              <w:jc w:val="right"/>
              <w:rPr>
                <w:rFonts w:eastAsia="Times New Roman"/>
                <w:sz w:val="20"/>
                <w:szCs w:val="20"/>
              </w:rPr>
            </w:pPr>
          </w:p>
        </w:tc>
        <w:tc>
          <w:tcPr>
            <w:tcW w:w="0" w:type="auto"/>
            <w:gridSpan w:val="3"/>
            <w:vAlign w:val="center"/>
            <w:hideMark/>
          </w:tcPr>
          <w:p w:rsidR="00000000" w:rsidRDefault="001F1FC8">
            <w:pPr>
              <w:rPr>
                <w:rFonts w:eastAsia="Times New Roman"/>
                <w:sz w:val="20"/>
                <w:szCs w:val="20"/>
              </w:rPr>
            </w:pPr>
          </w:p>
        </w:tc>
        <w:tc>
          <w:tcPr>
            <w:tcW w:w="0" w:type="auto"/>
            <w:gridSpan w:val="3"/>
            <w:vAlign w:val="center"/>
            <w:hideMark/>
          </w:tcPr>
          <w:p w:rsidR="00000000" w:rsidRDefault="001F1FC8">
            <w:pPr>
              <w:rPr>
                <w:rFonts w:eastAsia="Times New Roman"/>
                <w:sz w:val="20"/>
                <w:szCs w:val="20"/>
              </w:rPr>
            </w:pPr>
          </w:p>
        </w:tc>
      </w:tr>
      <w:tr w:rsidR="00000000">
        <w:trPr>
          <w:divId w:val="1951164757"/>
        </w:trPr>
        <w:tc>
          <w:tcPr>
            <w:tcW w:w="0" w:type="auto"/>
            <w:gridSpan w:val="3"/>
            <w:tcMar>
              <w:top w:w="30" w:type="dxa"/>
              <w:left w:w="20" w:type="dxa"/>
              <w:bottom w:w="30" w:type="dxa"/>
              <w:right w:w="20" w:type="dxa"/>
            </w:tcMar>
            <w:vAlign w:val="center"/>
            <w:hideMark/>
          </w:tcPr>
          <w:p w:rsidR="00000000" w:rsidRDefault="001F1FC8">
            <w:pPr>
              <w:rPr>
                <w:rFonts w:eastAsia="Times New Roman"/>
              </w:rPr>
            </w:pPr>
            <w:r>
              <w:rPr>
                <w:rFonts w:ascii="Arial" w:eastAsia="Times New Roman" w:hAnsi="Arial" w:cs="Arial"/>
                <w:color w:val="000000"/>
                <w:sz w:val="20"/>
                <w:szCs w:val="20"/>
              </w:rPr>
              <w:t>Renewable energy assets</w:t>
            </w:r>
          </w:p>
        </w:tc>
        <w:tc>
          <w:tcPr>
            <w:tcW w:w="0" w:type="auto"/>
            <w:gridSpan w:val="2"/>
            <w:shd w:val="clear" w:color="auto" w:fill="D9D9D9"/>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b/>
                <w:bCs/>
                <w:color w:val="000000"/>
                <w:sz w:val="20"/>
                <w:szCs w:val="20"/>
              </w:rPr>
              <w:t>1,503</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20"/>
                <w:szCs w:val="20"/>
              </w:rPr>
              <w:t>1,646 </w:t>
            </w:r>
          </w:p>
        </w:tc>
        <w:tc>
          <w:tcPr>
            <w:tcW w:w="0" w:type="auto"/>
            <w:tcMar>
              <w:top w:w="30" w:type="dxa"/>
              <w:left w:w="0" w:type="dxa"/>
              <w:bottom w:w="30" w:type="dxa"/>
              <w:right w:w="20" w:type="dxa"/>
            </w:tcMar>
            <w:vAlign w:val="center"/>
            <w:hideMark/>
          </w:tcPr>
          <w:p w:rsidR="00000000" w:rsidRDefault="001F1FC8">
            <w:pPr>
              <w:jc w:val="right"/>
              <w:rPr>
                <w:rFonts w:eastAsia="Times New Roman"/>
              </w:rPr>
            </w:pPr>
          </w:p>
        </w:tc>
      </w:tr>
      <w:tr w:rsidR="00000000">
        <w:trPr>
          <w:divId w:val="1951164757"/>
        </w:trPr>
        <w:tc>
          <w:tcPr>
            <w:tcW w:w="0" w:type="auto"/>
            <w:gridSpan w:val="3"/>
            <w:tcMar>
              <w:top w:w="30" w:type="dxa"/>
              <w:left w:w="20" w:type="dxa"/>
              <w:bottom w:w="30" w:type="dxa"/>
              <w:right w:w="20" w:type="dxa"/>
            </w:tcMar>
            <w:vAlign w:val="center"/>
            <w:hideMark/>
          </w:tcPr>
          <w:p w:rsidR="00000000" w:rsidRDefault="001F1FC8">
            <w:pPr>
              <w:divId w:val="153880716"/>
              <w:rPr>
                <w:rFonts w:eastAsia="Times New Roman"/>
              </w:rPr>
            </w:pPr>
            <w:r>
              <w:rPr>
                <w:rFonts w:ascii="Arial" w:eastAsia="Times New Roman" w:hAnsi="Arial" w:cs="Arial"/>
                <w:color w:val="000000"/>
                <w:sz w:val="20"/>
                <w:szCs w:val="20"/>
              </w:rPr>
              <w:t>Westcoast Energy Inc</w:t>
            </w:r>
            <w:r>
              <w:rPr>
                <w:rFonts w:ascii="Arial" w:eastAsia="Times New Roman" w:hAnsi="Arial" w:cs="Arial"/>
                <w:color w:val="000000"/>
                <w:sz w:val="20"/>
                <w:szCs w:val="20"/>
              </w:rPr>
              <w:t>.</w:t>
            </w:r>
            <w:r>
              <w:rPr>
                <w:rFonts w:ascii="Arial" w:eastAsia="Times New Roman" w:hAnsi="Arial" w:cs="Arial"/>
                <w:color w:val="000000"/>
                <w:sz w:val="10"/>
                <w:szCs w:val="10"/>
              </w:rPr>
              <w:t>1</w:t>
            </w:r>
          </w:p>
        </w:tc>
        <w:tc>
          <w:tcPr>
            <w:tcW w:w="0" w:type="auto"/>
            <w:gridSpan w:val="2"/>
            <w:shd w:val="clear" w:color="auto" w:fill="D9D9D9"/>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b/>
                <w:bCs/>
                <w:color w:val="000000"/>
                <w:sz w:val="20"/>
                <w:szCs w:val="20"/>
              </w:rPr>
              <w:t>116</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20"/>
                <w:szCs w:val="20"/>
              </w:rPr>
              <w:t>408 </w:t>
            </w:r>
          </w:p>
        </w:tc>
        <w:tc>
          <w:tcPr>
            <w:tcW w:w="0" w:type="auto"/>
            <w:tcMar>
              <w:top w:w="30" w:type="dxa"/>
              <w:left w:w="0" w:type="dxa"/>
              <w:bottom w:w="30" w:type="dxa"/>
              <w:right w:w="20" w:type="dxa"/>
            </w:tcMar>
            <w:vAlign w:val="center"/>
            <w:hideMark/>
          </w:tcPr>
          <w:p w:rsidR="00000000" w:rsidRDefault="001F1FC8">
            <w:pPr>
              <w:jc w:val="right"/>
              <w:rPr>
                <w:rFonts w:eastAsia="Times New Roman"/>
              </w:rPr>
            </w:pPr>
          </w:p>
        </w:tc>
      </w:tr>
      <w:tr w:rsidR="00000000">
        <w:trPr>
          <w:divId w:val="1951164757"/>
        </w:trPr>
        <w:tc>
          <w:tcPr>
            <w:tcW w:w="0" w:type="auto"/>
            <w:gridSpan w:val="3"/>
            <w:vAlign w:val="center"/>
            <w:hideMark/>
          </w:tcPr>
          <w:p w:rsidR="00000000" w:rsidRDefault="001F1FC8">
            <w:pPr>
              <w:jc w:val="right"/>
              <w:rPr>
                <w:rFonts w:eastAsia="Times New Roman"/>
                <w:sz w:val="20"/>
                <w:szCs w:val="20"/>
              </w:rPr>
            </w:pPr>
          </w:p>
        </w:tc>
        <w:tc>
          <w:tcPr>
            <w:tcW w:w="0" w:type="auto"/>
            <w:gridSpan w:val="3"/>
            <w:vAlign w:val="center"/>
            <w:hideMark/>
          </w:tcPr>
          <w:p w:rsidR="00000000" w:rsidRDefault="001F1FC8">
            <w:pPr>
              <w:rPr>
                <w:rFonts w:eastAsia="Times New Roman"/>
                <w:sz w:val="20"/>
                <w:szCs w:val="20"/>
              </w:rPr>
            </w:pPr>
          </w:p>
        </w:tc>
        <w:tc>
          <w:tcPr>
            <w:tcW w:w="0" w:type="auto"/>
            <w:gridSpan w:val="3"/>
            <w:vAlign w:val="center"/>
            <w:hideMark/>
          </w:tcPr>
          <w:p w:rsidR="00000000" w:rsidRDefault="001F1FC8">
            <w:pPr>
              <w:rPr>
                <w:rFonts w:eastAsia="Times New Roman"/>
                <w:sz w:val="20"/>
                <w:szCs w:val="20"/>
              </w:rPr>
            </w:pPr>
          </w:p>
        </w:tc>
      </w:tr>
      <w:tr w:rsidR="00000000">
        <w:trPr>
          <w:divId w:val="1951164757"/>
        </w:trPr>
        <w:tc>
          <w:tcPr>
            <w:tcW w:w="0" w:type="auto"/>
            <w:gridSpan w:val="3"/>
            <w:tcBorders>
              <w:top w:val="single" w:sz="4" w:space="0" w:color="000000"/>
              <w:bottom w:val="single" w:sz="8" w:space="0" w:color="000000"/>
            </w:tcBorders>
            <w:tcMar>
              <w:top w:w="0" w:type="dxa"/>
              <w:left w:w="20" w:type="dxa"/>
              <w:bottom w:w="0" w:type="dxa"/>
              <w:right w:w="20" w:type="dxa"/>
            </w:tcMar>
            <w:vAlign w:val="center"/>
            <w:hideMark/>
          </w:tcPr>
          <w:p w:rsidR="00000000" w:rsidRDefault="001F1FC8">
            <w:pPr>
              <w:rPr>
                <w:rFonts w:eastAsia="Times New Roman"/>
                <w:sz w:val="20"/>
                <w:szCs w:val="20"/>
              </w:rPr>
            </w:pPr>
          </w:p>
        </w:tc>
        <w:tc>
          <w:tcPr>
            <w:tcW w:w="0" w:type="auto"/>
            <w:gridSpan w:val="2"/>
            <w:tcBorders>
              <w:top w:val="single" w:sz="4" w:space="0" w:color="000000"/>
              <w:bottom w:val="single" w:sz="8" w:space="0" w:color="000000"/>
            </w:tcBorders>
            <w:shd w:val="clear" w:color="auto" w:fill="D9D9D9"/>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b/>
                <w:bCs/>
                <w:color w:val="000000"/>
                <w:sz w:val="20"/>
                <w:szCs w:val="20"/>
              </w:rPr>
              <w:t>2,542</w:t>
            </w:r>
            <w:r>
              <w:rPr>
                <w:rFonts w:ascii="Arial" w:eastAsia="Times New Roman" w:hAnsi="Arial" w:cs="Arial"/>
                <w:color w:val="000000"/>
                <w:sz w:val="20"/>
                <w:szCs w:val="20"/>
              </w:rPr>
              <w:t> </w:t>
            </w:r>
          </w:p>
        </w:tc>
        <w:tc>
          <w:tcPr>
            <w:tcW w:w="0" w:type="auto"/>
            <w:tcBorders>
              <w:top w:val="single" w:sz="4" w:space="0" w:color="000000"/>
              <w:bottom w:val="single" w:sz="8" w:space="0" w:color="000000"/>
            </w:tcBorders>
            <w:shd w:val="clear" w:color="auto" w:fill="D9D9D9"/>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Borders>
              <w:top w:val="single" w:sz="4" w:space="0" w:color="000000"/>
              <w:bottom w:val="single" w:sz="8" w:space="0" w:color="000000"/>
            </w:tcBorders>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20"/>
                <w:szCs w:val="20"/>
              </w:rPr>
              <w:t>2,996 </w:t>
            </w:r>
          </w:p>
        </w:tc>
        <w:tc>
          <w:tcPr>
            <w:tcW w:w="0" w:type="auto"/>
            <w:tcBorders>
              <w:top w:val="single" w:sz="4" w:space="0" w:color="000000"/>
              <w:bottom w:val="single" w:sz="8" w:space="0" w:color="000000"/>
            </w:tcBorders>
            <w:tcMar>
              <w:top w:w="30" w:type="dxa"/>
              <w:left w:w="0" w:type="dxa"/>
              <w:bottom w:w="30" w:type="dxa"/>
              <w:right w:w="20" w:type="dxa"/>
            </w:tcMar>
            <w:vAlign w:val="center"/>
            <w:hideMark/>
          </w:tcPr>
          <w:p w:rsidR="00000000" w:rsidRDefault="001F1FC8">
            <w:pPr>
              <w:jc w:val="right"/>
              <w:rPr>
                <w:rFonts w:eastAsia="Times New Roman"/>
              </w:rPr>
            </w:pPr>
          </w:p>
        </w:tc>
      </w:tr>
    </w:tbl>
    <w:p w:rsidR="00000000" w:rsidRDefault="001F1FC8">
      <w:pPr>
        <w:ind w:hanging="180"/>
        <w:divId w:val="459223436"/>
        <w:rPr>
          <w:rFonts w:eastAsia="Times New Roman"/>
        </w:rPr>
      </w:pPr>
      <w:r>
        <w:rPr>
          <w:rFonts w:ascii="Arial" w:eastAsia="Times New Roman" w:hAnsi="Arial" w:cs="Arial"/>
          <w:i/>
          <w:iCs/>
          <w:color w:val="000000"/>
          <w:sz w:val="16"/>
          <w:szCs w:val="16"/>
        </w:rPr>
        <w:t>1Includes nil and 12 million cumulative redeemable preferred shares as at December 31, 2021 and 2020, respectively.</w:t>
      </w:r>
    </w:p>
    <w:p w:rsidR="00000000" w:rsidRDefault="001F1FC8">
      <w:pPr>
        <w:divId w:val="1458067452"/>
        <w:rPr>
          <w:rFonts w:eastAsia="Times New Roman"/>
        </w:rPr>
      </w:pPr>
    </w:p>
    <w:p w:rsidR="00000000" w:rsidRDefault="001F1FC8">
      <w:pPr>
        <w:divId w:val="2012756315"/>
        <w:rPr>
          <w:rFonts w:eastAsia="Times New Roman"/>
        </w:rPr>
      </w:pPr>
      <w:r>
        <w:rPr>
          <w:rFonts w:ascii="Arial" w:eastAsia="Times New Roman" w:hAnsi="Arial" w:cs="Arial"/>
          <w:b/>
          <w:bCs/>
          <w:color w:val="000000"/>
          <w:sz w:val="20"/>
          <w:szCs w:val="20"/>
        </w:rPr>
        <w:t xml:space="preserve">Westcoast Energy Inc. Preferred Shares Redemption </w:t>
      </w:r>
    </w:p>
    <w:p w:rsidR="00000000" w:rsidRDefault="001F1FC8">
      <w:pPr>
        <w:divId w:val="1628076336"/>
        <w:rPr>
          <w:rFonts w:eastAsia="Times New Roman"/>
        </w:rPr>
      </w:pPr>
      <w:r>
        <w:rPr>
          <w:rFonts w:ascii="Arial" w:eastAsia="Times New Roman" w:hAnsi="Arial" w:cs="Arial"/>
          <w:color w:val="000000"/>
          <w:sz w:val="20"/>
          <w:szCs w:val="20"/>
        </w:rPr>
        <w:t>On March 20, 2019, Westcoast Energy Inc. (Westcoast) exercised its right to redeem all of its outstanding 5.5% Cumulative Redeemable First Preferred Shares, Series 7 (Series 7 Shares) and all of its outsta</w:t>
      </w:r>
      <w:r>
        <w:rPr>
          <w:rFonts w:ascii="Arial" w:eastAsia="Times New Roman" w:hAnsi="Arial" w:cs="Arial"/>
          <w:color w:val="000000"/>
          <w:sz w:val="20"/>
          <w:szCs w:val="20"/>
        </w:rPr>
        <w:t>nding 5.6% Cumulative Redeemable First Preferred Shares, Series 8 (Series 8 Shares) at a price of $25 per Series 7 Share and $25 per Series 8 Share, respectively, for a total payment of $300 million. In addition, payment of $4 million was made for all accr</w:t>
      </w:r>
      <w:r>
        <w:rPr>
          <w:rFonts w:ascii="Arial" w:eastAsia="Times New Roman" w:hAnsi="Arial" w:cs="Arial"/>
          <w:color w:val="000000"/>
          <w:sz w:val="20"/>
          <w:szCs w:val="20"/>
        </w:rPr>
        <w:t>ued and unpaid dividends. As a result, we recorded a $300 million decrease in Noncontrolling interests for the year ended December 31, 2019.</w:t>
      </w:r>
    </w:p>
    <w:p w:rsidR="00000000" w:rsidRDefault="001F1FC8">
      <w:pPr>
        <w:divId w:val="1137182811"/>
        <w:rPr>
          <w:rFonts w:eastAsia="Times New Roman"/>
        </w:rPr>
      </w:pPr>
    </w:p>
    <w:p w:rsidR="00000000" w:rsidRDefault="001F1FC8">
      <w:pPr>
        <w:divId w:val="233971085"/>
        <w:rPr>
          <w:rFonts w:eastAsia="Times New Roman"/>
        </w:rPr>
      </w:pPr>
      <w:r>
        <w:rPr>
          <w:rFonts w:ascii="Arial" w:eastAsia="Times New Roman" w:hAnsi="Arial" w:cs="Arial"/>
          <w:color w:val="000000"/>
          <w:sz w:val="20"/>
          <w:szCs w:val="20"/>
        </w:rPr>
        <w:t>On January 15, 2021, Westcoast redeemed its Cumulative Five-Year Minimum Rate Reset Redeemable First Preferred Sh</w:t>
      </w:r>
      <w:r>
        <w:rPr>
          <w:rFonts w:ascii="Arial" w:eastAsia="Times New Roman" w:hAnsi="Arial" w:cs="Arial"/>
          <w:color w:val="000000"/>
          <w:sz w:val="20"/>
          <w:szCs w:val="20"/>
        </w:rPr>
        <w:t>ares, Series 10 with a par value of $115 million. The par value of $115 million was included in Accounts payable and other in the Consolidated Statements of Financial Position as at December 31, 2020.</w:t>
      </w:r>
    </w:p>
    <w:p w:rsidR="00000000" w:rsidRDefault="001F1FC8">
      <w:pPr>
        <w:divId w:val="997155173"/>
        <w:rPr>
          <w:rFonts w:eastAsia="Times New Roman"/>
        </w:rPr>
      </w:pPr>
    </w:p>
    <w:p w:rsidR="00000000" w:rsidRDefault="001F1FC8">
      <w:pPr>
        <w:divId w:val="2145852681"/>
        <w:rPr>
          <w:rFonts w:eastAsia="Times New Roman"/>
        </w:rPr>
      </w:pPr>
      <w:r>
        <w:rPr>
          <w:rFonts w:ascii="Arial" w:eastAsia="Times New Roman" w:hAnsi="Arial" w:cs="Arial"/>
          <w:color w:val="000000"/>
          <w:sz w:val="20"/>
          <w:szCs w:val="20"/>
        </w:rPr>
        <w:t>On October 15, 2021, Westcoast redeemed its Cumulativ</w:t>
      </w:r>
      <w:r>
        <w:rPr>
          <w:rFonts w:ascii="Arial" w:eastAsia="Times New Roman" w:hAnsi="Arial" w:cs="Arial"/>
          <w:color w:val="000000"/>
          <w:sz w:val="20"/>
          <w:szCs w:val="20"/>
        </w:rPr>
        <w:t>e Five-Year Minimum Rate Reset Redeemable First Preferred Shares, Series 12 with a par value of $300 million. As a result, we recorded a decrease of $293 million, which represents the par value less related issuance costs, in Noncontrolling interests for t</w:t>
      </w:r>
      <w:r>
        <w:rPr>
          <w:rFonts w:ascii="Arial" w:eastAsia="Times New Roman" w:hAnsi="Arial" w:cs="Arial"/>
          <w:color w:val="000000"/>
          <w:sz w:val="20"/>
          <w:szCs w:val="20"/>
        </w:rPr>
        <w:t>he year ended December 31, 2021.</w:t>
      </w:r>
    </w:p>
    <w:p w:rsidR="00000000" w:rsidRDefault="001F1FC8">
      <w:pPr>
        <w:divId w:val="1793983092"/>
        <w:rPr>
          <w:rFonts w:eastAsia="Times New Roman"/>
        </w:rPr>
      </w:pPr>
    </w:p>
    <w:p w:rsidR="00000000" w:rsidRDefault="001F1FC8">
      <w:pPr>
        <w:divId w:val="570047224"/>
        <w:rPr>
          <w:rFonts w:eastAsia="Times New Roman"/>
        </w:rPr>
      </w:pPr>
      <w:r>
        <w:rPr>
          <w:rFonts w:ascii="Arial" w:eastAsia="Times New Roman" w:hAnsi="Arial" w:cs="Arial"/>
          <w:b/>
          <w:bCs/>
          <w:color w:val="000000"/>
          <w:sz w:val="26"/>
          <w:szCs w:val="26"/>
        </w:rPr>
        <w:t>21.  SHARE CAPITAL</w:t>
      </w:r>
    </w:p>
    <w:p w:rsidR="00000000" w:rsidRDefault="001F1FC8">
      <w:pPr>
        <w:divId w:val="1146320234"/>
        <w:rPr>
          <w:rFonts w:eastAsia="Times New Roman"/>
        </w:rPr>
      </w:pPr>
      <w:r>
        <w:rPr>
          <w:rFonts w:ascii="Arial" w:eastAsia="Times New Roman" w:hAnsi="Arial" w:cs="Arial"/>
          <w:color w:val="000000"/>
          <w:sz w:val="20"/>
          <w:szCs w:val="20"/>
        </w:rPr>
        <w:t> </w:t>
      </w:r>
    </w:p>
    <w:p w:rsidR="00000000" w:rsidRDefault="001F1FC8">
      <w:pPr>
        <w:divId w:val="229511242"/>
        <w:rPr>
          <w:rFonts w:eastAsia="Times New Roman"/>
        </w:rPr>
      </w:pPr>
      <w:r>
        <w:rPr>
          <w:rFonts w:ascii="Arial" w:eastAsia="Times New Roman" w:hAnsi="Arial" w:cs="Arial"/>
          <w:color w:val="000000"/>
          <w:sz w:val="20"/>
          <w:szCs w:val="20"/>
        </w:rPr>
        <w:t>Our authorized share capital consists of an unlimited number of common shares with no par value and an unlimited number of preference shares.</w:t>
      </w:r>
    </w:p>
    <w:p w:rsidR="00000000" w:rsidRDefault="001F1FC8">
      <w:pPr>
        <w:divId w:val="1899779388"/>
        <w:rPr>
          <w:rFonts w:eastAsia="Times New Roman"/>
        </w:rPr>
      </w:pPr>
    </w:p>
    <w:p w:rsidR="00000000" w:rsidRDefault="001F1FC8">
      <w:pPr>
        <w:divId w:val="1874229263"/>
        <w:rPr>
          <w:rFonts w:eastAsia="Times New Roman"/>
        </w:rPr>
      </w:pPr>
      <w:r>
        <w:rPr>
          <w:rFonts w:ascii="Arial" w:eastAsia="Times New Roman" w:hAnsi="Arial" w:cs="Arial"/>
          <w:b/>
          <w:bCs/>
          <w:color w:val="000000"/>
          <w:sz w:val="20"/>
          <w:szCs w:val="20"/>
        </w:rPr>
        <w:t>COMMON SHARES</w:t>
      </w:r>
    </w:p>
    <w:tbl>
      <w:tblPr>
        <w:tblW w:w="5000" w:type="pct"/>
        <w:tblCellMar>
          <w:top w:w="15" w:type="dxa"/>
          <w:left w:w="15" w:type="dxa"/>
          <w:bottom w:w="15" w:type="dxa"/>
          <w:right w:w="15" w:type="dxa"/>
        </w:tblCellMar>
        <w:tblLook w:val="04A0" w:firstRow="1" w:lastRow="0" w:firstColumn="1" w:lastColumn="0" w:noHBand="0" w:noVBand="1"/>
      </w:tblPr>
      <w:tblGrid>
        <w:gridCol w:w="64"/>
        <w:gridCol w:w="3327"/>
        <w:gridCol w:w="36"/>
        <w:gridCol w:w="75"/>
        <w:gridCol w:w="718"/>
        <w:gridCol w:w="36"/>
        <w:gridCol w:w="73"/>
        <w:gridCol w:w="720"/>
        <w:gridCol w:w="36"/>
        <w:gridCol w:w="80"/>
        <w:gridCol w:w="665"/>
        <w:gridCol w:w="37"/>
        <w:gridCol w:w="78"/>
        <w:gridCol w:w="657"/>
        <w:gridCol w:w="36"/>
        <w:gridCol w:w="69"/>
        <w:gridCol w:w="804"/>
        <w:gridCol w:w="37"/>
        <w:gridCol w:w="87"/>
        <w:gridCol w:w="635"/>
        <w:gridCol w:w="36"/>
      </w:tblGrid>
      <w:tr w:rsidR="00000000">
        <w:trPr>
          <w:divId w:val="891035798"/>
        </w:trPr>
        <w:tc>
          <w:tcPr>
            <w:tcW w:w="50" w:type="pct"/>
            <w:vAlign w:val="center"/>
            <w:hideMark/>
          </w:tcPr>
          <w:p w:rsidR="00000000" w:rsidRDefault="001F1FC8">
            <w:pPr>
              <w:rPr>
                <w:rFonts w:eastAsia="Times New Roman"/>
              </w:rPr>
            </w:pPr>
          </w:p>
        </w:tc>
        <w:tc>
          <w:tcPr>
            <w:tcW w:w="2012"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c>
          <w:tcPr>
            <w:tcW w:w="50" w:type="pct"/>
            <w:vAlign w:val="center"/>
            <w:hideMark/>
          </w:tcPr>
          <w:p w:rsidR="00000000" w:rsidRDefault="001F1FC8">
            <w:pPr>
              <w:rPr>
                <w:rFonts w:eastAsia="Times New Roman"/>
                <w:sz w:val="20"/>
                <w:szCs w:val="20"/>
              </w:rPr>
            </w:pPr>
          </w:p>
        </w:tc>
        <w:tc>
          <w:tcPr>
            <w:tcW w:w="449"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c>
          <w:tcPr>
            <w:tcW w:w="50" w:type="pct"/>
            <w:vAlign w:val="center"/>
            <w:hideMark/>
          </w:tcPr>
          <w:p w:rsidR="00000000" w:rsidRDefault="001F1FC8">
            <w:pPr>
              <w:rPr>
                <w:rFonts w:eastAsia="Times New Roman"/>
                <w:sz w:val="20"/>
                <w:szCs w:val="20"/>
              </w:rPr>
            </w:pPr>
          </w:p>
        </w:tc>
        <w:tc>
          <w:tcPr>
            <w:tcW w:w="449"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c>
          <w:tcPr>
            <w:tcW w:w="50" w:type="pct"/>
            <w:vAlign w:val="center"/>
            <w:hideMark/>
          </w:tcPr>
          <w:p w:rsidR="00000000" w:rsidRDefault="001F1FC8">
            <w:pPr>
              <w:rPr>
                <w:rFonts w:eastAsia="Times New Roman"/>
                <w:sz w:val="20"/>
                <w:szCs w:val="20"/>
              </w:rPr>
            </w:pPr>
          </w:p>
        </w:tc>
        <w:tc>
          <w:tcPr>
            <w:tcW w:w="417"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c>
          <w:tcPr>
            <w:tcW w:w="50" w:type="pct"/>
            <w:vAlign w:val="center"/>
            <w:hideMark/>
          </w:tcPr>
          <w:p w:rsidR="00000000" w:rsidRDefault="001F1FC8">
            <w:pPr>
              <w:rPr>
                <w:rFonts w:eastAsia="Times New Roman"/>
                <w:sz w:val="20"/>
                <w:szCs w:val="20"/>
              </w:rPr>
            </w:pPr>
          </w:p>
        </w:tc>
        <w:tc>
          <w:tcPr>
            <w:tcW w:w="417"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c>
          <w:tcPr>
            <w:tcW w:w="50" w:type="pct"/>
            <w:vAlign w:val="center"/>
            <w:hideMark/>
          </w:tcPr>
          <w:p w:rsidR="00000000" w:rsidRDefault="001F1FC8">
            <w:pPr>
              <w:rPr>
                <w:rFonts w:eastAsia="Times New Roman"/>
                <w:sz w:val="20"/>
                <w:szCs w:val="20"/>
              </w:rPr>
            </w:pPr>
          </w:p>
        </w:tc>
        <w:tc>
          <w:tcPr>
            <w:tcW w:w="497"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c>
          <w:tcPr>
            <w:tcW w:w="50" w:type="pct"/>
            <w:vAlign w:val="center"/>
            <w:hideMark/>
          </w:tcPr>
          <w:p w:rsidR="00000000" w:rsidRDefault="001F1FC8">
            <w:pPr>
              <w:rPr>
                <w:rFonts w:eastAsia="Times New Roman"/>
                <w:sz w:val="20"/>
                <w:szCs w:val="20"/>
              </w:rPr>
            </w:pPr>
          </w:p>
        </w:tc>
        <w:tc>
          <w:tcPr>
            <w:tcW w:w="369"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r>
      <w:tr w:rsidR="00000000">
        <w:trPr>
          <w:divId w:val="891035798"/>
        </w:trPr>
        <w:tc>
          <w:tcPr>
            <w:tcW w:w="0" w:type="auto"/>
            <w:gridSpan w:val="3"/>
            <w:tcMar>
              <w:top w:w="0" w:type="dxa"/>
              <w:left w:w="20" w:type="dxa"/>
              <w:bottom w:w="0" w:type="dxa"/>
              <w:right w:w="20" w:type="dxa"/>
            </w:tcMar>
            <w:vAlign w:val="center"/>
            <w:hideMark/>
          </w:tcPr>
          <w:p w:rsidR="00000000" w:rsidRDefault="001F1FC8">
            <w:pPr>
              <w:rPr>
                <w:rFonts w:eastAsia="Times New Roman"/>
                <w:sz w:val="20"/>
                <w:szCs w:val="20"/>
              </w:rPr>
            </w:pPr>
          </w:p>
        </w:tc>
        <w:tc>
          <w:tcPr>
            <w:tcW w:w="0" w:type="auto"/>
            <w:gridSpan w:val="6"/>
            <w:tcMar>
              <w:top w:w="30" w:type="dxa"/>
              <w:left w:w="20" w:type="dxa"/>
              <w:bottom w:w="30" w:type="dxa"/>
              <w:right w:w="20" w:type="dxa"/>
            </w:tcMar>
            <w:vAlign w:val="bottom"/>
            <w:hideMark/>
          </w:tcPr>
          <w:p w:rsidR="00000000" w:rsidRDefault="001F1FC8">
            <w:pPr>
              <w:jc w:val="center"/>
              <w:rPr>
                <w:rFonts w:eastAsia="Times New Roman"/>
              </w:rPr>
            </w:pPr>
            <w:r>
              <w:rPr>
                <w:rFonts w:ascii="Arial" w:eastAsia="Times New Roman" w:hAnsi="Arial" w:cs="Arial"/>
                <w:b/>
                <w:bCs/>
                <w:color w:val="000000"/>
                <w:sz w:val="20"/>
                <w:szCs w:val="20"/>
              </w:rPr>
              <w:t>2021</w:t>
            </w:r>
          </w:p>
        </w:tc>
        <w:tc>
          <w:tcPr>
            <w:tcW w:w="0" w:type="auto"/>
            <w:gridSpan w:val="6"/>
            <w:tcMar>
              <w:top w:w="30" w:type="dxa"/>
              <w:left w:w="20" w:type="dxa"/>
              <w:bottom w:w="30" w:type="dxa"/>
              <w:right w:w="20" w:type="dxa"/>
            </w:tcMar>
            <w:vAlign w:val="bottom"/>
            <w:hideMark/>
          </w:tcPr>
          <w:p w:rsidR="00000000" w:rsidRDefault="001F1FC8">
            <w:pPr>
              <w:jc w:val="center"/>
              <w:rPr>
                <w:rFonts w:eastAsia="Times New Roman"/>
              </w:rPr>
            </w:pPr>
            <w:r>
              <w:rPr>
                <w:rFonts w:ascii="Arial" w:eastAsia="Times New Roman" w:hAnsi="Arial" w:cs="Arial"/>
                <w:color w:val="000000"/>
                <w:sz w:val="20"/>
                <w:szCs w:val="20"/>
              </w:rPr>
              <w:t>2020</w:t>
            </w:r>
          </w:p>
        </w:tc>
        <w:tc>
          <w:tcPr>
            <w:tcW w:w="0" w:type="auto"/>
            <w:gridSpan w:val="6"/>
            <w:tcMar>
              <w:top w:w="30" w:type="dxa"/>
              <w:left w:w="20" w:type="dxa"/>
              <w:bottom w:w="30" w:type="dxa"/>
              <w:right w:w="20" w:type="dxa"/>
            </w:tcMar>
            <w:vAlign w:val="bottom"/>
            <w:hideMark/>
          </w:tcPr>
          <w:p w:rsidR="00000000" w:rsidRDefault="001F1FC8">
            <w:pPr>
              <w:jc w:val="center"/>
              <w:rPr>
                <w:rFonts w:eastAsia="Times New Roman"/>
              </w:rPr>
            </w:pPr>
            <w:r>
              <w:rPr>
                <w:rFonts w:ascii="Arial" w:eastAsia="Times New Roman" w:hAnsi="Arial" w:cs="Arial"/>
                <w:color w:val="000000"/>
                <w:sz w:val="20"/>
                <w:szCs w:val="20"/>
              </w:rPr>
              <w:t>2019</w:t>
            </w:r>
          </w:p>
        </w:tc>
      </w:tr>
      <w:tr w:rsidR="00000000">
        <w:trPr>
          <w:divId w:val="891035798"/>
        </w:trPr>
        <w:tc>
          <w:tcPr>
            <w:tcW w:w="0" w:type="auto"/>
            <w:gridSpan w:val="3"/>
            <w:tcMar>
              <w:top w:w="0" w:type="dxa"/>
              <w:left w:w="20" w:type="dxa"/>
              <w:bottom w:w="0" w:type="dxa"/>
              <w:right w:w="20" w:type="dxa"/>
            </w:tcMar>
            <w:vAlign w:val="center"/>
            <w:hideMark/>
          </w:tcPr>
          <w:p w:rsidR="00000000" w:rsidRDefault="001F1FC8">
            <w:pPr>
              <w:jc w:val="center"/>
              <w:rPr>
                <w:rFonts w:eastAsia="Times New Roman"/>
              </w:rPr>
            </w:pP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Number</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1F1FC8">
            <w:pPr>
              <w:jc w:val="right"/>
              <w:rPr>
                <w:rFonts w:eastAsia="Times New Roman"/>
              </w:rPr>
            </w:pP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Number</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1F1FC8">
            <w:pPr>
              <w:jc w:val="right"/>
              <w:rPr>
                <w:rFonts w:eastAsia="Times New Roman"/>
              </w:rPr>
            </w:pP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Number</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1F1FC8">
            <w:pPr>
              <w:jc w:val="right"/>
              <w:rPr>
                <w:rFonts w:eastAsia="Times New Roman"/>
              </w:rPr>
            </w:pPr>
          </w:p>
        </w:tc>
      </w:tr>
      <w:tr w:rsidR="00000000">
        <w:trPr>
          <w:divId w:val="891035798"/>
        </w:trPr>
        <w:tc>
          <w:tcPr>
            <w:tcW w:w="0" w:type="auto"/>
            <w:gridSpan w:val="3"/>
            <w:tcMar>
              <w:top w:w="30" w:type="dxa"/>
              <w:left w:w="20" w:type="dxa"/>
              <w:bottom w:w="30" w:type="dxa"/>
              <w:right w:w="20" w:type="dxa"/>
            </w:tcMar>
            <w:hideMark/>
          </w:tcPr>
          <w:p w:rsidR="00000000" w:rsidRDefault="001F1FC8">
            <w:pPr>
              <w:rPr>
                <w:rFonts w:eastAsia="Times New Roman"/>
              </w:rPr>
            </w:pPr>
            <w:r>
              <w:rPr>
                <w:rFonts w:ascii="Arial" w:eastAsia="Times New Roman" w:hAnsi="Arial" w:cs="Arial"/>
                <w:color w:val="000000"/>
                <w:sz w:val="20"/>
                <w:szCs w:val="20"/>
              </w:rPr>
              <w:t>December 31,</w:t>
            </w:r>
          </w:p>
        </w:tc>
        <w:tc>
          <w:tcPr>
            <w:tcW w:w="0" w:type="auto"/>
            <w:gridSpan w:val="3"/>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of Shares</w:t>
            </w:r>
          </w:p>
        </w:tc>
        <w:tc>
          <w:tcPr>
            <w:tcW w:w="0" w:type="auto"/>
            <w:gridSpan w:val="3"/>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Amount</w:t>
            </w:r>
          </w:p>
        </w:tc>
        <w:tc>
          <w:tcPr>
            <w:tcW w:w="0" w:type="auto"/>
            <w:gridSpan w:val="3"/>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of Shares</w:t>
            </w:r>
          </w:p>
        </w:tc>
        <w:tc>
          <w:tcPr>
            <w:tcW w:w="0" w:type="auto"/>
            <w:gridSpan w:val="3"/>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Amount</w:t>
            </w:r>
          </w:p>
        </w:tc>
        <w:tc>
          <w:tcPr>
            <w:tcW w:w="0" w:type="auto"/>
            <w:gridSpan w:val="3"/>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of Shares</w:t>
            </w:r>
          </w:p>
        </w:tc>
        <w:tc>
          <w:tcPr>
            <w:tcW w:w="0" w:type="auto"/>
            <w:gridSpan w:val="3"/>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Amount</w:t>
            </w:r>
          </w:p>
        </w:tc>
      </w:tr>
      <w:tr w:rsidR="00000000">
        <w:trPr>
          <w:divId w:val="891035798"/>
        </w:trPr>
        <w:tc>
          <w:tcPr>
            <w:tcW w:w="0" w:type="auto"/>
            <w:gridSpan w:val="3"/>
            <w:tcBorders>
              <w:top w:val="single" w:sz="4" w:space="0" w:color="000000"/>
            </w:tcBorders>
            <w:tcMar>
              <w:top w:w="30" w:type="dxa"/>
              <w:left w:w="20" w:type="dxa"/>
              <w:bottom w:w="30" w:type="dxa"/>
              <w:right w:w="20" w:type="dxa"/>
            </w:tcMar>
            <w:hideMark/>
          </w:tcPr>
          <w:p w:rsidR="00000000" w:rsidRDefault="001F1FC8">
            <w:pPr>
              <w:rPr>
                <w:rFonts w:eastAsia="Times New Roman"/>
              </w:rPr>
            </w:pPr>
            <w:r>
              <w:rPr>
                <w:rFonts w:ascii="Arial" w:eastAsia="Times New Roman" w:hAnsi="Arial" w:cs="Arial"/>
                <w:i/>
                <w:iCs/>
                <w:color w:val="000000"/>
                <w:sz w:val="16"/>
                <w:szCs w:val="16"/>
              </w:rPr>
              <w:t>(millions of Canadian dollars; number of shares in millions)</w:t>
            </w:r>
          </w:p>
        </w:tc>
        <w:tc>
          <w:tcPr>
            <w:tcW w:w="0" w:type="auto"/>
            <w:gridSpan w:val="3"/>
            <w:tcBorders>
              <w:top w:val="single" w:sz="4" w:space="0" w:color="000000"/>
            </w:tcBorders>
            <w:shd w:val="clear" w:color="auto" w:fill="D9D9D9"/>
            <w:tcMar>
              <w:top w:w="0" w:type="dxa"/>
              <w:left w:w="20" w:type="dxa"/>
              <w:bottom w:w="0" w:type="dxa"/>
              <w:right w:w="20" w:type="dxa"/>
            </w:tcMar>
            <w:vAlign w:val="center"/>
            <w:hideMark/>
          </w:tcPr>
          <w:p w:rsidR="00000000" w:rsidRDefault="001F1FC8">
            <w:pPr>
              <w:rPr>
                <w:rFonts w:eastAsia="Times New Roman"/>
              </w:rPr>
            </w:pPr>
          </w:p>
        </w:tc>
        <w:tc>
          <w:tcPr>
            <w:tcW w:w="0" w:type="auto"/>
            <w:gridSpan w:val="3"/>
            <w:tcBorders>
              <w:top w:val="single" w:sz="4" w:space="0" w:color="000000"/>
            </w:tcBorders>
            <w:shd w:val="clear" w:color="auto" w:fill="D9D9D9"/>
            <w:tcMar>
              <w:top w:w="0" w:type="dxa"/>
              <w:left w:w="20" w:type="dxa"/>
              <w:bottom w:w="0" w:type="dxa"/>
              <w:right w:w="20" w:type="dxa"/>
            </w:tcMar>
            <w:vAlign w:val="center"/>
            <w:hideMark/>
          </w:tcPr>
          <w:p w:rsidR="00000000" w:rsidRDefault="001F1FC8">
            <w:pPr>
              <w:rPr>
                <w:rFonts w:eastAsia="Times New Roman"/>
                <w:sz w:val="20"/>
                <w:szCs w:val="20"/>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1F1FC8">
            <w:pPr>
              <w:rPr>
                <w:rFonts w:eastAsia="Times New Roman"/>
                <w:sz w:val="20"/>
                <w:szCs w:val="20"/>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1F1FC8">
            <w:pPr>
              <w:rPr>
                <w:rFonts w:eastAsia="Times New Roman"/>
                <w:sz w:val="20"/>
                <w:szCs w:val="20"/>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1F1FC8">
            <w:pPr>
              <w:rPr>
                <w:rFonts w:eastAsia="Times New Roman"/>
                <w:sz w:val="20"/>
                <w:szCs w:val="20"/>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1F1FC8">
            <w:pPr>
              <w:rPr>
                <w:rFonts w:eastAsia="Times New Roman"/>
                <w:sz w:val="20"/>
                <w:szCs w:val="20"/>
              </w:rPr>
            </w:pPr>
          </w:p>
        </w:tc>
      </w:tr>
      <w:tr w:rsidR="00000000">
        <w:trPr>
          <w:divId w:val="891035798"/>
        </w:trPr>
        <w:tc>
          <w:tcPr>
            <w:tcW w:w="0" w:type="auto"/>
            <w:gridSpan w:val="3"/>
            <w:tcMar>
              <w:top w:w="30" w:type="dxa"/>
              <w:left w:w="20" w:type="dxa"/>
              <w:bottom w:w="30" w:type="dxa"/>
              <w:right w:w="20" w:type="dxa"/>
            </w:tcMar>
            <w:hideMark/>
          </w:tcPr>
          <w:p w:rsidR="00000000" w:rsidRDefault="001F1FC8">
            <w:pPr>
              <w:rPr>
                <w:rFonts w:eastAsia="Times New Roman"/>
              </w:rPr>
            </w:pPr>
            <w:r>
              <w:rPr>
                <w:rFonts w:ascii="Arial" w:eastAsia="Times New Roman" w:hAnsi="Arial" w:cs="Arial"/>
                <w:color w:val="000000"/>
                <w:sz w:val="20"/>
                <w:szCs w:val="20"/>
              </w:rPr>
              <w:t>Balance at beginning of year</w:t>
            </w:r>
          </w:p>
        </w:tc>
        <w:tc>
          <w:tcPr>
            <w:tcW w:w="0" w:type="auto"/>
            <w:gridSpan w:val="2"/>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20"/>
                <w:szCs w:val="20"/>
              </w:rPr>
              <w:t>2,026</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20"/>
                <w:szCs w:val="20"/>
              </w:rPr>
              <w:t>64,768</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2,025 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64,746 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2,022 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64,677 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r>
      <w:tr w:rsidR="00000000">
        <w:trPr>
          <w:divId w:val="891035798"/>
        </w:trPr>
        <w:tc>
          <w:tcPr>
            <w:tcW w:w="0" w:type="auto"/>
            <w:gridSpan w:val="3"/>
            <w:vAlign w:val="center"/>
            <w:hideMark/>
          </w:tcPr>
          <w:p w:rsidR="00000000" w:rsidRDefault="001F1FC8">
            <w:pPr>
              <w:jc w:val="right"/>
              <w:rPr>
                <w:rFonts w:eastAsia="Times New Roman"/>
                <w:sz w:val="20"/>
                <w:szCs w:val="20"/>
              </w:rPr>
            </w:pPr>
          </w:p>
        </w:tc>
        <w:tc>
          <w:tcPr>
            <w:tcW w:w="0" w:type="auto"/>
            <w:gridSpan w:val="3"/>
            <w:vAlign w:val="center"/>
            <w:hideMark/>
          </w:tcPr>
          <w:p w:rsidR="00000000" w:rsidRDefault="001F1FC8">
            <w:pPr>
              <w:rPr>
                <w:rFonts w:eastAsia="Times New Roman"/>
                <w:sz w:val="20"/>
                <w:szCs w:val="20"/>
              </w:rPr>
            </w:pPr>
          </w:p>
        </w:tc>
        <w:tc>
          <w:tcPr>
            <w:tcW w:w="0" w:type="auto"/>
            <w:gridSpan w:val="3"/>
            <w:vAlign w:val="center"/>
            <w:hideMark/>
          </w:tcPr>
          <w:p w:rsidR="00000000" w:rsidRDefault="001F1FC8">
            <w:pPr>
              <w:rPr>
                <w:rFonts w:eastAsia="Times New Roman"/>
                <w:sz w:val="20"/>
                <w:szCs w:val="20"/>
              </w:rPr>
            </w:pPr>
          </w:p>
        </w:tc>
        <w:tc>
          <w:tcPr>
            <w:tcW w:w="0" w:type="auto"/>
            <w:gridSpan w:val="3"/>
            <w:vAlign w:val="center"/>
            <w:hideMark/>
          </w:tcPr>
          <w:p w:rsidR="00000000" w:rsidRDefault="001F1FC8">
            <w:pPr>
              <w:rPr>
                <w:rFonts w:eastAsia="Times New Roman"/>
                <w:sz w:val="20"/>
                <w:szCs w:val="20"/>
              </w:rPr>
            </w:pPr>
          </w:p>
        </w:tc>
        <w:tc>
          <w:tcPr>
            <w:tcW w:w="0" w:type="auto"/>
            <w:gridSpan w:val="3"/>
            <w:vAlign w:val="center"/>
            <w:hideMark/>
          </w:tcPr>
          <w:p w:rsidR="00000000" w:rsidRDefault="001F1FC8">
            <w:pPr>
              <w:rPr>
                <w:rFonts w:eastAsia="Times New Roman"/>
                <w:sz w:val="20"/>
                <w:szCs w:val="20"/>
              </w:rPr>
            </w:pPr>
          </w:p>
        </w:tc>
        <w:tc>
          <w:tcPr>
            <w:tcW w:w="0" w:type="auto"/>
            <w:gridSpan w:val="3"/>
            <w:vAlign w:val="center"/>
            <w:hideMark/>
          </w:tcPr>
          <w:p w:rsidR="00000000" w:rsidRDefault="001F1FC8">
            <w:pPr>
              <w:rPr>
                <w:rFonts w:eastAsia="Times New Roman"/>
                <w:sz w:val="20"/>
                <w:szCs w:val="20"/>
              </w:rPr>
            </w:pPr>
          </w:p>
        </w:tc>
        <w:tc>
          <w:tcPr>
            <w:tcW w:w="0" w:type="auto"/>
            <w:gridSpan w:val="3"/>
            <w:vAlign w:val="center"/>
            <w:hideMark/>
          </w:tcPr>
          <w:p w:rsidR="00000000" w:rsidRDefault="001F1FC8">
            <w:pPr>
              <w:rPr>
                <w:rFonts w:eastAsia="Times New Roman"/>
                <w:sz w:val="20"/>
                <w:szCs w:val="20"/>
              </w:rPr>
            </w:pPr>
          </w:p>
        </w:tc>
      </w:tr>
      <w:tr w:rsidR="00000000">
        <w:trPr>
          <w:divId w:val="891035798"/>
        </w:trPr>
        <w:tc>
          <w:tcPr>
            <w:tcW w:w="0" w:type="auto"/>
            <w:gridSpan w:val="3"/>
            <w:vAlign w:val="center"/>
            <w:hideMark/>
          </w:tcPr>
          <w:p w:rsidR="00000000" w:rsidRDefault="001F1FC8">
            <w:pPr>
              <w:rPr>
                <w:rFonts w:eastAsia="Times New Roman"/>
                <w:sz w:val="20"/>
                <w:szCs w:val="20"/>
              </w:rPr>
            </w:pPr>
          </w:p>
        </w:tc>
        <w:tc>
          <w:tcPr>
            <w:tcW w:w="0" w:type="auto"/>
            <w:gridSpan w:val="3"/>
            <w:vAlign w:val="center"/>
            <w:hideMark/>
          </w:tcPr>
          <w:p w:rsidR="00000000" w:rsidRDefault="001F1FC8">
            <w:pPr>
              <w:rPr>
                <w:rFonts w:eastAsia="Times New Roman"/>
                <w:sz w:val="20"/>
                <w:szCs w:val="20"/>
              </w:rPr>
            </w:pPr>
          </w:p>
        </w:tc>
        <w:tc>
          <w:tcPr>
            <w:tcW w:w="0" w:type="auto"/>
            <w:gridSpan w:val="3"/>
            <w:vAlign w:val="center"/>
            <w:hideMark/>
          </w:tcPr>
          <w:p w:rsidR="00000000" w:rsidRDefault="001F1FC8">
            <w:pPr>
              <w:rPr>
                <w:rFonts w:eastAsia="Times New Roman"/>
                <w:sz w:val="20"/>
                <w:szCs w:val="20"/>
              </w:rPr>
            </w:pPr>
          </w:p>
        </w:tc>
        <w:tc>
          <w:tcPr>
            <w:tcW w:w="0" w:type="auto"/>
            <w:gridSpan w:val="3"/>
            <w:vAlign w:val="center"/>
            <w:hideMark/>
          </w:tcPr>
          <w:p w:rsidR="00000000" w:rsidRDefault="001F1FC8">
            <w:pPr>
              <w:rPr>
                <w:rFonts w:eastAsia="Times New Roman"/>
                <w:sz w:val="20"/>
                <w:szCs w:val="20"/>
              </w:rPr>
            </w:pPr>
          </w:p>
        </w:tc>
        <w:tc>
          <w:tcPr>
            <w:tcW w:w="0" w:type="auto"/>
            <w:gridSpan w:val="3"/>
            <w:vAlign w:val="center"/>
            <w:hideMark/>
          </w:tcPr>
          <w:p w:rsidR="00000000" w:rsidRDefault="001F1FC8">
            <w:pPr>
              <w:rPr>
                <w:rFonts w:eastAsia="Times New Roman"/>
                <w:sz w:val="20"/>
                <w:szCs w:val="20"/>
              </w:rPr>
            </w:pPr>
          </w:p>
        </w:tc>
        <w:tc>
          <w:tcPr>
            <w:tcW w:w="0" w:type="auto"/>
            <w:gridSpan w:val="3"/>
            <w:vAlign w:val="center"/>
            <w:hideMark/>
          </w:tcPr>
          <w:p w:rsidR="00000000" w:rsidRDefault="001F1FC8">
            <w:pPr>
              <w:rPr>
                <w:rFonts w:eastAsia="Times New Roman"/>
                <w:sz w:val="20"/>
                <w:szCs w:val="20"/>
              </w:rPr>
            </w:pPr>
          </w:p>
        </w:tc>
        <w:tc>
          <w:tcPr>
            <w:tcW w:w="0" w:type="auto"/>
            <w:gridSpan w:val="3"/>
            <w:vAlign w:val="center"/>
            <w:hideMark/>
          </w:tcPr>
          <w:p w:rsidR="00000000" w:rsidRDefault="001F1FC8">
            <w:pPr>
              <w:rPr>
                <w:rFonts w:eastAsia="Times New Roman"/>
                <w:sz w:val="20"/>
                <w:szCs w:val="20"/>
              </w:rPr>
            </w:pPr>
          </w:p>
        </w:tc>
      </w:tr>
      <w:tr w:rsidR="00000000">
        <w:trPr>
          <w:divId w:val="891035798"/>
        </w:trPr>
        <w:tc>
          <w:tcPr>
            <w:tcW w:w="0" w:type="auto"/>
            <w:gridSpan w:val="3"/>
            <w:tcMar>
              <w:top w:w="30" w:type="dxa"/>
              <w:left w:w="20" w:type="dxa"/>
              <w:bottom w:w="30" w:type="dxa"/>
              <w:right w:w="20" w:type="dxa"/>
            </w:tcMar>
            <w:hideMark/>
          </w:tcPr>
          <w:p w:rsidR="00000000" w:rsidRDefault="001F1FC8">
            <w:pPr>
              <w:ind w:hanging="180"/>
              <w:divId w:val="266618613"/>
              <w:rPr>
                <w:rFonts w:eastAsia="Times New Roman"/>
              </w:rPr>
            </w:pPr>
            <w:r>
              <w:rPr>
                <w:rFonts w:ascii="Arial" w:eastAsia="Times New Roman" w:hAnsi="Arial" w:cs="Arial"/>
                <w:color w:val="000000"/>
                <w:sz w:val="20"/>
                <w:szCs w:val="20"/>
              </w:rPr>
              <w:t>Shares issued on exercise of stock options</w:t>
            </w:r>
          </w:p>
        </w:tc>
        <w:tc>
          <w:tcPr>
            <w:tcW w:w="0" w:type="auto"/>
            <w:gridSpan w:val="2"/>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20"/>
                <w:szCs w:val="20"/>
              </w:rPr>
              <w:t>—</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20"/>
                <w:szCs w:val="20"/>
              </w:rPr>
              <w:t>31</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1 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22 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3 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69 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r>
      <w:tr w:rsidR="00000000">
        <w:trPr>
          <w:divId w:val="891035798"/>
        </w:trPr>
        <w:tc>
          <w:tcPr>
            <w:tcW w:w="0" w:type="auto"/>
            <w:gridSpan w:val="3"/>
            <w:tcBorders>
              <w:top w:val="single" w:sz="4" w:space="0" w:color="000000"/>
              <w:bottom w:val="single" w:sz="8" w:space="0" w:color="000000"/>
            </w:tcBorders>
            <w:tcMar>
              <w:top w:w="30" w:type="dxa"/>
              <w:left w:w="20" w:type="dxa"/>
              <w:bottom w:w="30" w:type="dxa"/>
              <w:right w:w="20" w:type="dxa"/>
            </w:tcMar>
            <w:vAlign w:val="bottom"/>
            <w:hideMark/>
          </w:tcPr>
          <w:p w:rsidR="00000000" w:rsidRDefault="001F1FC8">
            <w:pPr>
              <w:rPr>
                <w:rFonts w:eastAsia="Times New Roman"/>
              </w:rPr>
            </w:pPr>
            <w:r>
              <w:rPr>
                <w:rFonts w:ascii="Arial" w:eastAsia="Times New Roman" w:hAnsi="Arial" w:cs="Arial"/>
                <w:color w:val="000000"/>
                <w:sz w:val="20"/>
                <w:szCs w:val="20"/>
              </w:rPr>
              <w:t>Balance at end of year</w:t>
            </w:r>
          </w:p>
        </w:tc>
        <w:tc>
          <w:tcPr>
            <w:tcW w:w="0" w:type="auto"/>
            <w:gridSpan w:val="2"/>
            <w:tcBorders>
              <w:top w:val="single" w:sz="4" w:space="0" w:color="000000"/>
              <w:bottom w:val="single" w:sz="8" w:space="0" w:color="000000"/>
            </w:tcBorders>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20"/>
                <w:szCs w:val="20"/>
              </w:rPr>
              <w:t>2,026</w:t>
            </w:r>
            <w:r>
              <w:rPr>
                <w:rFonts w:ascii="Arial" w:eastAsia="Times New Roman" w:hAnsi="Arial" w:cs="Arial"/>
                <w:color w:val="000000"/>
                <w:sz w:val="20"/>
                <w:szCs w:val="20"/>
              </w:rPr>
              <w:t> </w:t>
            </w:r>
          </w:p>
        </w:tc>
        <w:tc>
          <w:tcPr>
            <w:tcW w:w="0" w:type="auto"/>
            <w:tcBorders>
              <w:top w:val="single" w:sz="4" w:space="0" w:color="000000"/>
              <w:bottom w:val="single" w:sz="8" w:space="0" w:color="000000"/>
            </w:tcBorders>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Borders>
              <w:top w:val="single" w:sz="4" w:space="0" w:color="000000"/>
              <w:bottom w:val="single" w:sz="8" w:space="0" w:color="000000"/>
            </w:tcBorders>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20"/>
                <w:szCs w:val="20"/>
              </w:rPr>
              <w:t>64,799</w:t>
            </w:r>
            <w:r>
              <w:rPr>
                <w:rFonts w:ascii="Arial" w:eastAsia="Times New Roman" w:hAnsi="Arial" w:cs="Arial"/>
                <w:color w:val="000000"/>
                <w:sz w:val="20"/>
                <w:szCs w:val="20"/>
              </w:rPr>
              <w:t> </w:t>
            </w:r>
          </w:p>
        </w:tc>
        <w:tc>
          <w:tcPr>
            <w:tcW w:w="0" w:type="auto"/>
            <w:tcBorders>
              <w:top w:val="single" w:sz="4" w:space="0" w:color="000000"/>
              <w:bottom w:val="single" w:sz="8" w:space="0" w:color="000000"/>
            </w:tcBorders>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Borders>
              <w:top w:val="single" w:sz="4" w:space="0" w:color="000000"/>
              <w:bottom w:val="single" w:sz="8" w:space="0" w:color="000000"/>
            </w:tcBorders>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2,026 </w:t>
            </w:r>
          </w:p>
        </w:tc>
        <w:tc>
          <w:tcPr>
            <w:tcW w:w="0" w:type="auto"/>
            <w:tcBorders>
              <w:top w:val="single" w:sz="4" w:space="0" w:color="000000"/>
              <w:bottom w:val="single" w:sz="8" w:space="0" w:color="000000"/>
            </w:tcBorders>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Borders>
              <w:top w:val="single" w:sz="4" w:space="0" w:color="000000"/>
              <w:bottom w:val="single" w:sz="8" w:space="0" w:color="000000"/>
            </w:tcBorders>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64,768 </w:t>
            </w:r>
          </w:p>
        </w:tc>
        <w:tc>
          <w:tcPr>
            <w:tcW w:w="0" w:type="auto"/>
            <w:tcBorders>
              <w:top w:val="single" w:sz="4" w:space="0" w:color="000000"/>
              <w:bottom w:val="single" w:sz="8" w:space="0" w:color="000000"/>
            </w:tcBorders>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Borders>
              <w:top w:val="single" w:sz="4" w:space="0" w:color="000000"/>
              <w:bottom w:val="single" w:sz="8" w:space="0" w:color="000000"/>
            </w:tcBorders>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2,025 </w:t>
            </w:r>
          </w:p>
        </w:tc>
        <w:tc>
          <w:tcPr>
            <w:tcW w:w="0" w:type="auto"/>
            <w:tcBorders>
              <w:top w:val="single" w:sz="4" w:space="0" w:color="000000"/>
              <w:bottom w:val="single" w:sz="8" w:space="0" w:color="000000"/>
            </w:tcBorders>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Borders>
              <w:top w:val="single" w:sz="4" w:space="0" w:color="000000"/>
              <w:bottom w:val="single" w:sz="8" w:space="0" w:color="000000"/>
            </w:tcBorders>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64,746 </w:t>
            </w:r>
          </w:p>
        </w:tc>
        <w:tc>
          <w:tcPr>
            <w:tcW w:w="0" w:type="auto"/>
            <w:tcBorders>
              <w:top w:val="single" w:sz="4" w:space="0" w:color="000000"/>
              <w:bottom w:val="single" w:sz="8" w:space="0" w:color="000000"/>
            </w:tcBorders>
            <w:tcMar>
              <w:top w:w="30" w:type="dxa"/>
              <w:left w:w="0" w:type="dxa"/>
              <w:bottom w:w="30" w:type="dxa"/>
              <w:right w:w="20" w:type="dxa"/>
            </w:tcMar>
            <w:vAlign w:val="bottom"/>
            <w:hideMark/>
          </w:tcPr>
          <w:p w:rsidR="00000000" w:rsidRDefault="001F1FC8">
            <w:pPr>
              <w:jc w:val="right"/>
              <w:rPr>
                <w:rFonts w:eastAsia="Times New Roman"/>
              </w:rPr>
            </w:pPr>
          </w:p>
        </w:tc>
      </w:tr>
    </w:tbl>
    <w:p w:rsidR="00000000" w:rsidRDefault="001F1FC8">
      <w:pPr>
        <w:divId w:val="918292499"/>
        <w:rPr>
          <w:rFonts w:eastAsia="Times New Roman"/>
        </w:rPr>
      </w:pPr>
      <w:r>
        <w:rPr>
          <w:rFonts w:ascii="Arial" w:eastAsia="Times New Roman" w:hAnsi="Arial" w:cs="Arial"/>
          <w:i/>
          <w:iCs/>
          <w:color w:val="000000"/>
          <w:sz w:val="2"/>
          <w:szCs w:val="2"/>
        </w:rPr>
        <w:t> </w:t>
      </w:r>
    </w:p>
    <w:p w:rsidR="00000000" w:rsidRDefault="001F1FC8">
      <w:pPr>
        <w:divId w:val="1218936515"/>
        <w:rPr>
          <w:rFonts w:eastAsia="Times New Roman"/>
        </w:rPr>
      </w:pPr>
    </w:p>
    <w:p w:rsidR="00000000" w:rsidRDefault="001F1FC8">
      <w:pPr>
        <w:jc w:val="center"/>
        <w:divId w:val="430668209"/>
        <w:rPr>
          <w:rFonts w:eastAsia="Times New Roman"/>
        </w:rPr>
      </w:pPr>
      <w:r>
        <w:rPr>
          <w:rFonts w:ascii="Arial" w:eastAsia="Times New Roman" w:hAnsi="Arial" w:cs="Arial"/>
          <w:color w:val="000000"/>
          <w:sz w:val="20"/>
          <w:szCs w:val="20"/>
        </w:rPr>
        <w:t>142</w:t>
      </w:r>
    </w:p>
    <w:p w:rsidR="00000000" w:rsidRDefault="001F1FC8">
      <w:pPr>
        <w:rPr>
          <w:rFonts w:eastAsia="Times New Roman"/>
        </w:rPr>
      </w:pPr>
      <w:r>
        <w:rPr>
          <w:rFonts w:eastAsia="Times New Roman"/>
        </w:rPr>
        <w:pict>
          <v:rect id="_x0000_i1172" style="width:0;height:1.5pt" o:hralign="center" o:hrstd="t" o:hr="t" fillcolor="#a0a0a0" stroked="f"/>
        </w:pict>
      </w:r>
    </w:p>
    <w:p w:rsidR="00000000" w:rsidRDefault="001F1FC8">
      <w:pPr>
        <w:jc w:val="center"/>
        <w:divId w:val="1532642445"/>
        <w:rPr>
          <w:rFonts w:eastAsia="Times New Roman"/>
        </w:rPr>
      </w:pPr>
    </w:p>
    <w:p w:rsidR="00000000" w:rsidRDefault="001F1FC8">
      <w:pPr>
        <w:divId w:val="2111120758"/>
        <w:rPr>
          <w:rFonts w:eastAsia="Times New Roman"/>
        </w:rPr>
      </w:pPr>
      <w:r>
        <w:rPr>
          <w:rFonts w:ascii="Arial" w:eastAsia="Times New Roman" w:hAnsi="Arial" w:cs="Arial"/>
          <w:b/>
          <w:bCs/>
          <w:color w:val="000000"/>
          <w:sz w:val="20"/>
          <w:szCs w:val="20"/>
        </w:rPr>
        <w:t>PREFERENCE SHARES</w:t>
      </w:r>
    </w:p>
    <w:tbl>
      <w:tblPr>
        <w:tblW w:w="5000" w:type="pct"/>
        <w:tblCellMar>
          <w:top w:w="15" w:type="dxa"/>
          <w:left w:w="15" w:type="dxa"/>
          <w:bottom w:w="15" w:type="dxa"/>
          <w:right w:w="15" w:type="dxa"/>
        </w:tblCellMar>
        <w:tblLook w:val="04A0" w:firstRow="1" w:lastRow="0" w:firstColumn="1" w:lastColumn="0" w:noHBand="0" w:noVBand="1"/>
      </w:tblPr>
      <w:tblGrid>
        <w:gridCol w:w="59"/>
        <w:gridCol w:w="2822"/>
        <w:gridCol w:w="37"/>
        <w:gridCol w:w="84"/>
        <w:gridCol w:w="805"/>
        <w:gridCol w:w="37"/>
        <w:gridCol w:w="69"/>
        <w:gridCol w:w="767"/>
        <w:gridCol w:w="36"/>
        <w:gridCol w:w="83"/>
        <w:gridCol w:w="806"/>
        <w:gridCol w:w="36"/>
        <w:gridCol w:w="69"/>
        <w:gridCol w:w="750"/>
        <w:gridCol w:w="36"/>
        <w:gridCol w:w="84"/>
        <w:gridCol w:w="805"/>
        <w:gridCol w:w="36"/>
        <w:gridCol w:w="68"/>
        <w:gridCol w:w="781"/>
        <w:gridCol w:w="36"/>
      </w:tblGrid>
      <w:tr w:rsidR="00000000">
        <w:trPr>
          <w:divId w:val="409815405"/>
        </w:trPr>
        <w:tc>
          <w:tcPr>
            <w:tcW w:w="50" w:type="pct"/>
            <w:vAlign w:val="center"/>
            <w:hideMark/>
          </w:tcPr>
          <w:p w:rsidR="00000000" w:rsidRDefault="001F1FC8">
            <w:pPr>
              <w:rPr>
                <w:rFonts w:eastAsia="Times New Roman"/>
              </w:rPr>
            </w:pPr>
          </w:p>
        </w:tc>
        <w:tc>
          <w:tcPr>
            <w:tcW w:w="1713"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c>
          <w:tcPr>
            <w:tcW w:w="50" w:type="pct"/>
            <w:vAlign w:val="center"/>
            <w:hideMark/>
          </w:tcPr>
          <w:p w:rsidR="00000000" w:rsidRDefault="001F1FC8">
            <w:pPr>
              <w:rPr>
                <w:rFonts w:eastAsia="Times New Roman"/>
                <w:sz w:val="20"/>
                <w:szCs w:val="20"/>
              </w:rPr>
            </w:pPr>
          </w:p>
        </w:tc>
        <w:tc>
          <w:tcPr>
            <w:tcW w:w="481"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c>
          <w:tcPr>
            <w:tcW w:w="50" w:type="pct"/>
            <w:vAlign w:val="center"/>
            <w:hideMark/>
          </w:tcPr>
          <w:p w:rsidR="00000000" w:rsidRDefault="001F1FC8">
            <w:pPr>
              <w:rPr>
                <w:rFonts w:eastAsia="Times New Roman"/>
                <w:sz w:val="20"/>
                <w:szCs w:val="20"/>
              </w:rPr>
            </w:pPr>
          </w:p>
        </w:tc>
        <w:tc>
          <w:tcPr>
            <w:tcW w:w="481"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c>
          <w:tcPr>
            <w:tcW w:w="50" w:type="pct"/>
            <w:vAlign w:val="center"/>
            <w:hideMark/>
          </w:tcPr>
          <w:p w:rsidR="00000000" w:rsidRDefault="001F1FC8">
            <w:pPr>
              <w:rPr>
                <w:rFonts w:eastAsia="Times New Roman"/>
                <w:sz w:val="20"/>
                <w:szCs w:val="20"/>
              </w:rPr>
            </w:pPr>
          </w:p>
        </w:tc>
        <w:tc>
          <w:tcPr>
            <w:tcW w:w="489"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c>
          <w:tcPr>
            <w:tcW w:w="50" w:type="pct"/>
            <w:vAlign w:val="center"/>
            <w:hideMark/>
          </w:tcPr>
          <w:p w:rsidR="00000000" w:rsidRDefault="001F1FC8">
            <w:pPr>
              <w:rPr>
                <w:rFonts w:eastAsia="Times New Roman"/>
                <w:sz w:val="20"/>
                <w:szCs w:val="20"/>
              </w:rPr>
            </w:pPr>
          </w:p>
        </w:tc>
        <w:tc>
          <w:tcPr>
            <w:tcW w:w="481"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c>
          <w:tcPr>
            <w:tcW w:w="50" w:type="pct"/>
            <w:vAlign w:val="center"/>
            <w:hideMark/>
          </w:tcPr>
          <w:p w:rsidR="00000000" w:rsidRDefault="001F1FC8">
            <w:pPr>
              <w:rPr>
                <w:rFonts w:eastAsia="Times New Roman"/>
                <w:sz w:val="20"/>
                <w:szCs w:val="20"/>
              </w:rPr>
            </w:pPr>
          </w:p>
        </w:tc>
        <w:tc>
          <w:tcPr>
            <w:tcW w:w="481"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c>
          <w:tcPr>
            <w:tcW w:w="50" w:type="pct"/>
            <w:vAlign w:val="center"/>
            <w:hideMark/>
          </w:tcPr>
          <w:p w:rsidR="00000000" w:rsidRDefault="001F1FC8">
            <w:pPr>
              <w:rPr>
                <w:rFonts w:eastAsia="Times New Roman"/>
                <w:sz w:val="20"/>
                <w:szCs w:val="20"/>
              </w:rPr>
            </w:pPr>
          </w:p>
        </w:tc>
        <w:tc>
          <w:tcPr>
            <w:tcW w:w="489"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r>
      <w:tr w:rsidR="00000000">
        <w:trPr>
          <w:divId w:val="409815405"/>
        </w:trPr>
        <w:tc>
          <w:tcPr>
            <w:tcW w:w="0" w:type="auto"/>
            <w:gridSpan w:val="3"/>
            <w:tcMar>
              <w:top w:w="0" w:type="dxa"/>
              <w:left w:w="20" w:type="dxa"/>
              <w:bottom w:w="0" w:type="dxa"/>
              <w:right w:w="20" w:type="dxa"/>
            </w:tcMar>
            <w:vAlign w:val="center"/>
            <w:hideMark/>
          </w:tcPr>
          <w:p w:rsidR="00000000" w:rsidRDefault="001F1FC8">
            <w:pPr>
              <w:rPr>
                <w:rFonts w:eastAsia="Times New Roman"/>
                <w:sz w:val="20"/>
                <w:szCs w:val="20"/>
              </w:rPr>
            </w:pPr>
          </w:p>
        </w:tc>
        <w:tc>
          <w:tcPr>
            <w:tcW w:w="0" w:type="auto"/>
            <w:gridSpan w:val="6"/>
            <w:tcMar>
              <w:top w:w="30" w:type="dxa"/>
              <w:left w:w="20" w:type="dxa"/>
              <w:bottom w:w="30" w:type="dxa"/>
              <w:right w:w="20" w:type="dxa"/>
            </w:tcMar>
            <w:vAlign w:val="bottom"/>
            <w:hideMark/>
          </w:tcPr>
          <w:p w:rsidR="00000000" w:rsidRDefault="001F1FC8">
            <w:pPr>
              <w:jc w:val="center"/>
              <w:rPr>
                <w:rFonts w:eastAsia="Times New Roman"/>
              </w:rPr>
            </w:pPr>
            <w:r>
              <w:rPr>
                <w:rFonts w:ascii="Arial" w:eastAsia="Times New Roman" w:hAnsi="Arial" w:cs="Arial"/>
                <w:b/>
                <w:bCs/>
                <w:color w:val="000000"/>
                <w:sz w:val="20"/>
                <w:szCs w:val="20"/>
              </w:rPr>
              <w:t>2021</w:t>
            </w:r>
          </w:p>
        </w:tc>
        <w:tc>
          <w:tcPr>
            <w:tcW w:w="0" w:type="auto"/>
            <w:gridSpan w:val="6"/>
            <w:tcMar>
              <w:top w:w="30" w:type="dxa"/>
              <w:left w:w="20" w:type="dxa"/>
              <w:bottom w:w="30" w:type="dxa"/>
              <w:right w:w="20" w:type="dxa"/>
            </w:tcMar>
            <w:vAlign w:val="bottom"/>
            <w:hideMark/>
          </w:tcPr>
          <w:p w:rsidR="00000000" w:rsidRDefault="001F1FC8">
            <w:pPr>
              <w:jc w:val="center"/>
              <w:rPr>
                <w:rFonts w:eastAsia="Times New Roman"/>
              </w:rPr>
            </w:pPr>
            <w:r>
              <w:rPr>
                <w:rFonts w:ascii="Arial" w:eastAsia="Times New Roman" w:hAnsi="Arial" w:cs="Arial"/>
                <w:color w:val="000000"/>
                <w:sz w:val="20"/>
                <w:szCs w:val="20"/>
              </w:rPr>
              <w:t>2020</w:t>
            </w:r>
          </w:p>
        </w:tc>
        <w:tc>
          <w:tcPr>
            <w:tcW w:w="0" w:type="auto"/>
            <w:gridSpan w:val="6"/>
            <w:tcMar>
              <w:top w:w="30" w:type="dxa"/>
              <w:left w:w="20" w:type="dxa"/>
              <w:bottom w:w="30" w:type="dxa"/>
              <w:right w:w="20" w:type="dxa"/>
            </w:tcMar>
            <w:vAlign w:val="bottom"/>
            <w:hideMark/>
          </w:tcPr>
          <w:p w:rsidR="00000000" w:rsidRDefault="001F1FC8">
            <w:pPr>
              <w:jc w:val="center"/>
              <w:rPr>
                <w:rFonts w:eastAsia="Times New Roman"/>
              </w:rPr>
            </w:pPr>
            <w:r>
              <w:rPr>
                <w:rFonts w:ascii="Arial" w:eastAsia="Times New Roman" w:hAnsi="Arial" w:cs="Arial"/>
                <w:color w:val="000000"/>
                <w:sz w:val="20"/>
                <w:szCs w:val="20"/>
              </w:rPr>
              <w:t>2019</w:t>
            </w:r>
          </w:p>
        </w:tc>
      </w:tr>
      <w:tr w:rsidR="00000000">
        <w:trPr>
          <w:divId w:val="409815405"/>
        </w:trPr>
        <w:tc>
          <w:tcPr>
            <w:tcW w:w="0" w:type="auto"/>
            <w:gridSpan w:val="3"/>
            <w:tcMar>
              <w:top w:w="0" w:type="dxa"/>
              <w:left w:w="20" w:type="dxa"/>
              <w:bottom w:w="0" w:type="dxa"/>
              <w:right w:w="20" w:type="dxa"/>
            </w:tcMar>
            <w:vAlign w:val="center"/>
            <w:hideMark/>
          </w:tcPr>
          <w:p w:rsidR="00000000" w:rsidRDefault="001F1FC8">
            <w:pPr>
              <w:jc w:val="center"/>
              <w:rPr>
                <w:rFonts w:eastAsia="Times New Roman"/>
              </w:rPr>
            </w:pP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Number</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1F1FC8">
            <w:pPr>
              <w:jc w:val="right"/>
              <w:rPr>
                <w:rFonts w:eastAsia="Times New Roman"/>
              </w:rPr>
            </w:pP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Number</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1F1FC8">
            <w:pPr>
              <w:jc w:val="right"/>
              <w:rPr>
                <w:rFonts w:eastAsia="Times New Roman"/>
              </w:rPr>
            </w:pP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Number</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1F1FC8">
            <w:pPr>
              <w:jc w:val="right"/>
              <w:rPr>
                <w:rFonts w:eastAsia="Times New Roman"/>
              </w:rPr>
            </w:pPr>
          </w:p>
        </w:tc>
      </w:tr>
      <w:tr w:rsidR="00000000">
        <w:trPr>
          <w:divId w:val="409815405"/>
        </w:trPr>
        <w:tc>
          <w:tcPr>
            <w:tcW w:w="0" w:type="auto"/>
            <w:gridSpan w:val="3"/>
            <w:tcMar>
              <w:top w:w="30" w:type="dxa"/>
              <w:left w:w="20" w:type="dxa"/>
              <w:bottom w:w="30" w:type="dxa"/>
              <w:right w:w="20" w:type="dxa"/>
            </w:tcMar>
            <w:hideMark/>
          </w:tcPr>
          <w:p w:rsidR="00000000" w:rsidRDefault="001F1FC8">
            <w:pPr>
              <w:rPr>
                <w:rFonts w:eastAsia="Times New Roman"/>
              </w:rPr>
            </w:pPr>
            <w:r>
              <w:rPr>
                <w:rFonts w:ascii="Arial" w:eastAsia="Times New Roman" w:hAnsi="Arial" w:cs="Arial"/>
                <w:color w:val="000000"/>
                <w:sz w:val="20"/>
                <w:szCs w:val="20"/>
              </w:rPr>
              <w:t>December 31,</w:t>
            </w:r>
          </w:p>
        </w:tc>
        <w:tc>
          <w:tcPr>
            <w:tcW w:w="0" w:type="auto"/>
            <w:gridSpan w:val="3"/>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of Shares</w:t>
            </w:r>
          </w:p>
        </w:tc>
        <w:tc>
          <w:tcPr>
            <w:tcW w:w="0" w:type="auto"/>
            <w:gridSpan w:val="3"/>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Amount</w:t>
            </w:r>
          </w:p>
        </w:tc>
        <w:tc>
          <w:tcPr>
            <w:tcW w:w="0" w:type="auto"/>
            <w:gridSpan w:val="3"/>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of Shares</w:t>
            </w:r>
          </w:p>
        </w:tc>
        <w:tc>
          <w:tcPr>
            <w:tcW w:w="0" w:type="auto"/>
            <w:gridSpan w:val="3"/>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Amount</w:t>
            </w:r>
          </w:p>
        </w:tc>
        <w:tc>
          <w:tcPr>
            <w:tcW w:w="0" w:type="auto"/>
            <w:gridSpan w:val="3"/>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of Shares</w:t>
            </w:r>
          </w:p>
        </w:tc>
        <w:tc>
          <w:tcPr>
            <w:tcW w:w="0" w:type="auto"/>
            <w:gridSpan w:val="3"/>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Amount</w:t>
            </w:r>
          </w:p>
        </w:tc>
      </w:tr>
      <w:tr w:rsidR="00000000">
        <w:trPr>
          <w:divId w:val="409815405"/>
        </w:trPr>
        <w:tc>
          <w:tcPr>
            <w:tcW w:w="0" w:type="auto"/>
            <w:gridSpan w:val="3"/>
            <w:tcBorders>
              <w:top w:val="single" w:sz="4" w:space="0" w:color="000000"/>
            </w:tcBorders>
            <w:tcMar>
              <w:top w:w="30" w:type="dxa"/>
              <w:left w:w="20" w:type="dxa"/>
              <w:bottom w:w="30" w:type="dxa"/>
              <w:right w:w="20" w:type="dxa"/>
            </w:tcMar>
            <w:hideMark/>
          </w:tcPr>
          <w:p w:rsidR="00000000" w:rsidRDefault="001F1FC8">
            <w:pPr>
              <w:rPr>
                <w:rFonts w:eastAsia="Times New Roman"/>
              </w:rPr>
            </w:pPr>
            <w:r>
              <w:rPr>
                <w:rFonts w:ascii="Arial" w:eastAsia="Times New Roman" w:hAnsi="Arial" w:cs="Arial"/>
                <w:i/>
                <w:iCs/>
                <w:color w:val="000000"/>
                <w:sz w:val="16"/>
                <w:szCs w:val="16"/>
              </w:rPr>
              <w:t>(millions of Canadian dollars; number of shares in millions)</w:t>
            </w:r>
          </w:p>
        </w:tc>
        <w:tc>
          <w:tcPr>
            <w:tcW w:w="0" w:type="auto"/>
            <w:gridSpan w:val="3"/>
            <w:tcBorders>
              <w:top w:val="single" w:sz="4" w:space="0" w:color="000000"/>
            </w:tcBorders>
            <w:shd w:val="clear" w:color="auto" w:fill="D9D9D9"/>
            <w:tcMar>
              <w:top w:w="0" w:type="dxa"/>
              <w:left w:w="20" w:type="dxa"/>
              <w:bottom w:w="0" w:type="dxa"/>
              <w:right w:w="20" w:type="dxa"/>
            </w:tcMar>
            <w:vAlign w:val="center"/>
            <w:hideMark/>
          </w:tcPr>
          <w:p w:rsidR="00000000" w:rsidRDefault="001F1FC8">
            <w:pPr>
              <w:rPr>
                <w:rFonts w:eastAsia="Times New Roman"/>
              </w:rPr>
            </w:pPr>
          </w:p>
        </w:tc>
        <w:tc>
          <w:tcPr>
            <w:tcW w:w="0" w:type="auto"/>
            <w:gridSpan w:val="3"/>
            <w:tcBorders>
              <w:top w:val="single" w:sz="4" w:space="0" w:color="000000"/>
            </w:tcBorders>
            <w:shd w:val="clear" w:color="auto" w:fill="D9D9D9"/>
            <w:tcMar>
              <w:top w:w="0" w:type="dxa"/>
              <w:left w:w="20" w:type="dxa"/>
              <w:bottom w:w="0" w:type="dxa"/>
              <w:right w:w="20" w:type="dxa"/>
            </w:tcMar>
            <w:vAlign w:val="center"/>
            <w:hideMark/>
          </w:tcPr>
          <w:p w:rsidR="00000000" w:rsidRDefault="001F1FC8">
            <w:pPr>
              <w:rPr>
                <w:rFonts w:eastAsia="Times New Roman"/>
                <w:sz w:val="20"/>
                <w:szCs w:val="20"/>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1F1FC8">
            <w:pPr>
              <w:rPr>
                <w:rFonts w:eastAsia="Times New Roman"/>
                <w:sz w:val="20"/>
                <w:szCs w:val="20"/>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1F1FC8">
            <w:pPr>
              <w:rPr>
                <w:rFonts w:eastAsia="Times New Roman"/>
                <w:sz w:val="20"/>
                <w:szCs w:val="20"/>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1F1FC8">
            <w:pPr>
              <w:rPr>
                <w:rFonts w:eastAsia="Times New Roman"/>
                <w:sz w:val="20"/>
                <w:szCs w:val="20"/>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1F1FC8">
            <w:pPr>
              <w:rPr>
                <w:rFonts w:eastAsia="Times New Roman"/>
                <w:sz w:val="20"/>
                <w:szCs w:val="20"/>
              </w:rPr>
            </w:pPr>
          </w:p>
        </w:tc>
      </w:tr>
      <w:tr w:rsidR="00000000">
        <w:trPr>
          <w:divId w:val="409815405"/>
        </w:trPr>
        <w:tc>
          <w:tcPr>
            <w:tcW w:w="0" w:type="auto"/>
            <w:gridSpan w:val="3"/>
            <w:tcMar>
              <w:top w:w="30" w:type="dxa"/>
              <w:left w:w="20" w:type="dxa"/>
              <w:bottom w:w="30" w:type="dxa"/>
              <w:right w:w="20" w:type="dxa"/>
            </w:tcMar>
            <w:hideMark/>
          </w:tcPr>
          <w:p w:rsidR="00000000" w:rsidRDefault="001F1FC8">
            <w:pPr>
              <w:rPr>
                <w:rFonts w:eastAsia="Times New Roman"/>
              </w:rPr>
            </w:pPr>
            <w:r>
              <w:rPr>
                <w:rFonts w:ascii="Arial" w:eastAsia="Times New Roman" w:hAnsi="Arial" w:cs="Arial"/>
                <w:color w:val="000000"/>
                <w:sz w:val="20"/>
                <w:szCs w:val="20"/>
              </w:rPr>
              <w:t>Preference Shares, Series A</w:t>
            </w:r>
          </w:p>
        </w:tc>
        <w:tc>
          <w:tcPr>
            <w:tcW w:w="0" w:type="auto"/>
            <w:gridSpan w:val="2"/>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20"/>
                <w:szCs w:val="20"/>
              </w:rPr>
              <w:t>5</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20"/>
                <w:szCs w:val="20"/>
              </w:rPr>
              <w:t>125</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5 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125 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5 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125 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r>
      <w:tr w:rsidR="00000000">
        <w:trPr>
          <w:divId w:val="409815405"/>
        </w:trPr>
        <w:tc>
          <w:tcPr>
            <w:tcW w:w="0" w:type="auto"/>
            <w:gridSpan w:val="3"/>
            <w:tcMar>
              <w:top w:w="30" w:type="dxa"/>
              <w:left w:w="20" w:type="dxa"/>
              <w:bottom w:w="30" w:type="dxa"/>
              <w:right w:w="20" w:type="dxa"/>
            </w:tcMar>
            <w:hideMark/>
          </w:tcPr>
          <w:p w:rsidR="00000000" w:rsidRDefault="001F1FC8">
            <w:pPr>
              <w:rPr>
                <w:rFonts w:eastAsia="Times New Roman"/>
              </w:rPr>
            </w:pPr>
            <w:r>
              <w:rPr>
                <w:rFonts w:ascii="Arial" w:eastAsia="Times New Roman" w:hAnsi="Arial" w:cs="Arial"/>
                <w:color w:val="000000"/>
                <w:sz w:val="20"/>
                <w:szCs w:val="20"/>
              </w:rPr>
              <w:t>Preference Shares, Series B</w:t>
            </w:r>
          </w:p>
        </w:tc>
        <w:tc>
          <w:tcPr>
            <w:tcW w:w="0" w:type="auto"/>
            <w:gridSpan w:val="2"/>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20"/>
                <w:szCs w:val="20"/>
              </w:rPr>
              <w:t>18</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20"/>
                <w:szCs w:val="20"/>
              </w:rPr>
              <w:t>457</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18 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457 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18 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457 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r>
      <w:tr w:rsidR="00000000">
        <w:trPr>
          <w:divId w:val="409815405"/>
        </w:trPr>
        <w:tc>
          <w:tcPr>
            <w:tcW w:w="0" w:type="auto"/>
            <w:gridSpan w:val="3"/>
            <w:tcMar>
              <w:top w:w="30" w:type="dxa"/>
              <w:left w:w="20" w:type="dxa"/>
              <w:bottom w:w="30" w:type="dxa"/>
              <w:right w:w="20" w:type="dxa"/>
            </w:tcMar>
            <w:hideMark/>
          </w:tcPr>
          <w:p w:rsidR="00000000" w:rsidRDefault="001F1FC8">
            <w:pPr>
              <w:rPr>
                <w:rFonts w:eastAsia="Times New Roman"/>
              </w:rPr>
            </w:pPr>
            <w:r>
              <w:rPr>
                <w:rFonts w:ascii="Arial" w:eastAsia="Times New Roman" w:hAnsi="Arial" w:cs="Arial"/>
                <w:color w:val="000000"/>
                <w:sz w:val="20"/>
                <w:szCs w:val="20"/>
              </w:rPr>
              <w:t>Preference Shares, Series C</w:t>
            </w:r>
          </w:p>
        </w:tc>
        <w:tc>
          <w:tcPr>
            <w:tcW w:w="0" w:type="auto"/>
            <w:gridSpan w:val="2"/>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20"/>
                <w:szCs w:val="20"/>
              </w:rPr>
              <w:t>2</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20"/>
                <w:szCs w:val="20"/>
              </w:rPr>
              <w:t>43</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2 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43 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2 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43 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r>
      <w:tr w:rsidR="00000000">
        <w:trPr>
          <w:divId w:val="409815405"/>
        </w:trPr>
        <w:tc>
          <w:tcPr>
            <w:tcW w:w="0" w:type="auto"/>
            <w:gridSpan w:val="3"/>
            <w:tcMar>
              <w:top w:w="30" w:type="dxa"/>
              <w:left w:w="20" w:type="dxa"/>
              <w:bottom w:w="30" w:type="dxa"/>
              <w:right w:w="20" w:type="dxa"/>
            </w:tcMar>
            <w:hideMark/>
          </w:tcPr>
          <w:p w:rsidR="00000000" w:rsidRDefault="001F1FC8">
            <w:pPr>
              <w:rPr>
                <w:rFonts w:eastAsia="Times New Roman"/>
              </w:rPr>
            </w:pPr>
            <w:r>
              <w:rPr>
                <w:rFonts w:ascii="Arial" w:eastAsia="Times New Roman" w:hAnsi="Arial" w:cs="Arial"/>
                <w:color w:val="000000"/>
                <w:sz w:val="20"/>
                <w:szCs w:val="20"/>
              </w:rPr>
              <w:t>Preference Shares, Series D</w:t>
            </w:r>
          </w:p>
        </w:tc>
        <w:tc>
          <w:tcPr>
            <w:tcW w:w="0" w:type="auto"/>
            <w:gridSpan w:val="2"/>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20"/>
                <w:szCs w:val="20"/>
              </w:rPr>
              <w:t>18</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20"/>
                <w:szCs w:val="20"/>
              </w:rPr>
              <w:t>450</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18 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450 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18 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450 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r>
      <w:tr w:rsidR="00000000">
        <w:trPr>
          <w:divId w:val="409815405"/>
        </w:trPr>
        <w:tc>
          <w:tcPr>
            <w:tcW w:w="0" w:type="auto"/>
            <w:gridSpan w:val="3"/>
            <w:tcMar>
              <w:top w:w="30" w:type="dxa"/>
              <w:left w:w="20" w:type="dxa"/>
              <w:bottom w:w="30" w:type="dxa"/>
              <w:right w:w="20" w:type="dxa"/>
            </w:tcMar>
            <w:hideMark/>
          </w:tcPr>
          <w:p w:rsidR="00000000" w:rsidRDefault="001F1FC8">
            <w:pPr>
              <w:rPr>
                <w:rFonts w:eastAsia="Times New Roman"/>
              </w:rPr>
            </w:pPr>
            <w:r>
              <w:rPr>
                <w:rFonts w:ascii="Arial" w:eastAsia="Times New Roman" w:hAnsi="Arial" w:cs="Arial"/>
                <w:color w:val="000000"/>
                <w:sz w:val="20"/>
                <w:szCs w:val="20"/>
              </w:rPr>
              <w:t>Preference Shares, Series F</w:t>
            </w:r>
          </w:p>
        </w:tc>
        <w:tc>
          <w:tcPr>
            <w:tcW w:w="0" w:type="auto"/>
            <w:gridSpan w:val="2"/>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20"/>
                <w:szCs w:val="20"/>
              </w:rPr>
              <w:t>20</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20"/>
                <w:szCs w:val="20"/>
              </w:rPr>
              <w:t>500</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20 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500 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20 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500 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r>
      <w:tr w:rsidR="00000000">
        <w:trPr>
          <w:divId w:val="409815405"/>
        </w:trPr>
        <w:tc>
          <w:tcPr>
            <w:tcW w:w="0" w:type="auto"/>
            <w:gridSpan w:val="3"/>
            <w:tcMar>
              <w:top w:w="30" w:type="dxa"/>
              <w:left w:w="20" w:type="dxa"/>
              <w:bottom w:w="30" w:type="dxa"/>
              <w:right w:w="20" w:type="dxa"/>
            </w:tcMar>
            <w:hideMark/>
          </w:tcPr>
          <w:p w:rsidR="00000000" w:rsidRDefault="001F1FC8">
            <w:pPr>
              <w:rPr>
                <w:rFonts w:eastAsia="Times New Roman"/>
              </w:rPr>
            </w:pPr>
            <w:r>
              <w:rPr>
                <w:rFonts w:ascii="Arial" w:eastAsia="Times New Roman" w:hAnsi="Arial" w:cs="Arial"/>
                <w:color w:val="000000"/>
                <w:sz w:val="20"/>
                <w:szCs w:val="20"/>
              </w:rPr>
              <w:t>Preference Shares, Series H</w:t>
            </w:r>
          </w:p>
        </w:tc>
        <w:tc>
          <w:tcPr>
            <w:tcW w:w="0" w:type="auto"/>
            <w:gridSpan w:val="2"/>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20"/>
                <w:szCs w:val="20"/>
              </w:rPr>
              <w:t>14</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20"/>
                <w:szCs w:val="20"/>
              </w:rPr>
              <w:t>350</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14 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350 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14 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350 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r>
      <w:tr w:rsidR="00000000">
        <w:trPr>
          <w:divId w:val="409815405"/>
        </w:trPr>
        <w:tc>
          <w:tcPr>
            <w:tcW w:w="0" w:type="auto"/>
            <w:gridSpan w:val="3"/>
            <w:tcMar>
              <w:top w:w="30" w:type="dxa"/>
              <w:left w:w="20" w:type="dxa"/>
              <w:bottom w:w="30" w:type="dxa"/>
              <w:right w:w="20" w:type="dxa"/>
            </w:tcMar>
            <w:hideMark/>
          </w:tcPr>
          <w:p w:rsidR="00000000" w:rsidRDefault="001F1FC8">
            <w:pPr>
              <w:rPr>
                <w:rFonts w:eastAsia="Times New Roman"/>
              </w:rPr>
            </w:pPr>
            <w:r>
              <w:rPr>
                <w:rFonts w:ascii="Arial" w:eastAsia="Times New Roman" w:hAnsi="Arial" w:cs="Arial"/>
                <w:color w:val="000000"/>
                <w:sz w:val="20"/>
                <w:szCs w:val="20"/>
              </w:rPr>
              <w:t>Preference Shares, Series J</w:t>
            </w:r>
          </w:p>
        </w:tc>
        <w:tc>
          <w:tcPr>
            <w:tcW w:w="0" w:type="auto"/>
            <w:gridSpan w:val="2"/>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20"/>
                <w:szCs w:val="20"/>
              </w:rPr>
              <w:t>8</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20"/>
                <w:szCs w:val="20"/>
              </w:rPr>
              <w:t>199</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8 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199 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8 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199 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r>
      <w:tr w:rsidR="00000000">
        <w:trPr>
          <w:divId w:val="409815405"/>
        </w:trPr>
        <w:tc>
          <w:tcPr>
            <w:tcW w:w="0" w:type="auto"/>
            <w:gridSpan w:val="3"/>
            <w:tcMar>
              <w:top w:w="30" w:type="dxa"/>
              <w:left w:w="20" w:type="dxa"/>
              <w:bottom w:w="30" w:type="dxa"/>
              <w:right w:w="20" w:type="dxa"/>
            </w:tcMar>
            <w:hideMark/>
          </w:tcPr>
          <w:p w:rsidR="00000000" w:rsidRDefault="001F1FC8">
            <w:pPr>
              <w:rPr>
                <w:rFonts w:eastAsia="Times New Roman"/>
              </w:rPr>
            </w:pPr>
            <w:r>
              <w:rPr>
                <w:rFonts w:ascii="Arial" w:eastAsia="Times New Roman" w:hAnsi="Arial" w:cs="Arial"/>
                <w:color w:val="000000"/>
                <w:sz w:val="20"/>
                <w:szCs w:val="20"/>
              </w:rPr>
              <w:t>Preference Shares, Series L</w:t>
            </w:r>
          </w:p>
        </w:tc>
        <w:tc>
          <w:tcPr>
            <w:tcW w:w="0" w:type="auto"/>
            <w:gridSpan w:val="2"/>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20"/>
                <w:szCs w:val="20"/>
              </w:rPr>
              <w:t>16</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20"/>
                <w:szCs w:val="20"/>
              </w:rPr>
              <w:t>411</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16 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411 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16 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411 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r>
      <w:tr w:rsidR="00000000">
        <w:trPr>
          <w:divId w:val="409815405"/>
        </w:trPr>
        <w:tc>
          <w:tcPr>
            <w:tcW w:w="0" w:type="auto"/>
            <w:gridSpan w:val="3"/>
            <w:tcMar>
              <w:top w:w="30" w:type="dxa"/>
              <w:left w:w="20" w:type="dxa"/>
              <w:bottom w:w="30" w:type="dxa"/>
              <w:right w:w="20" w:type="dxa"/>
            </w:tcMar>
            <w:hideMark/>
          </w:tcPr>
          <w:p w:rsidR="00000000" w:rsidRDefault="001F1FC8">
            <w:pPr>
              <w:rPr>
                <w:rFonts w:eastAsia="Times New Roman"/>
              </w:rPr>
            </w:pPr>
            <w:r>
              <w:rPr>
                <w:rFonts w:ascii="Arial" w:eastAsia="Times New Roman" w:hAnsi="Arial" w:cs="Arial"/>
                <w:color w:val="000000"/>
                <w:sz w:val="20"/>
                <w:szCs w:val="20"/>
              </w:rPr>
              <w:t>Preference Shares, Series N</w:t>
            </w:r>
          </w:p>
        </w:tc>
        <w:tc>
          <w:tcPr>
            <w:tcW w:w="0" w:type="auto"/>
            <w:gridSpan w:val="2"/>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20"/>
                <w:szCs w:val="20"/>
              </w:rPr>
              <w:t>18</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20"/>
                <w:szCs w:val="20"/>
              </w:rPr>
              <w:t>450</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18 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450 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18 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450 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r>
      <w:tr w:rsidR="00000000">
        <w:trPr>
          <w:divId w:val="409815405"/>
        </w:trPr>
        <w:tc>
          <w:tcPr>
            <w:tcW w:w="0" w:type="auto"/>
            <w:gridSpan w:val="3"/>
            <w:tcMar>
              <w:top w:w="30" w:type="dxa"/>
              <w:left w:w="20" w:type="dxa"/>
              <w:bottom w:w="30" w:type="dxa"/>
              <w:right w:w="20" w:type="dxa"/>
            </w:tcMar>
            <w:hideMark/>
          </w:tcPr>
          <w:p w:rsidR="00000000" w:rsidRDefault="001F1FC8">
            <w:pPr>
              <w:rPr>
                <w:rFonts w:eastAsia="Times New Roman"/>
              </w:rPr>
            </w:pPr>
            <w:r>
              <w:rPr>
                <w:rFonts w:ascii="Arial" w:eastAsia="Times New Roman" w:hAnsi="Arial" w:cs="Arial"/>
                <w:color w:val="000000"/>
                <w:sz w:val="20"/>
                <w:szCs w:val="20"/>
              </w:rPr>
              <w:t>Preference Shares, Series P</w:t>
            </w:r>
          </w:p>
        </w:tc>
        <w:tc>
          <w:tcPr>
            <w:tcW w:w="0" w:type="auto"/>
            <w:gridSpan w:val="2"/>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20"/>
                <w:szCs w:val="20"/>
              </w:rPr>
              <w:t>16</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20"/>
                <w:szCs w:val="20"/>
              </w:rPr>
              <w:t>400</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16 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400 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16 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400 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r>
      <w:tr w:rsidR="00000000">
        <w:trPr>
          <w:divId w:val="409815405"/>
        </w:trPr>
        <w:tc>
          <w:tcPr>
            <w:tcW w:w="0" w:type="auto"/>
            <w:gridSpan w:val="3"/>
            <w:tcMar>
              <w:top w:w="30" w:type="dxa"/>
              <w:left w:w="20" w:type="dxa"/>
              <w:bottom w:w="30" w:type="dxa"/>
              <w:right w:w="20" w:type="dxa"/>
            </w:tcMar>
            <w:hideMark/>
          </w:tcPr>
          <w:p w:rsidR="00000000" w:rsidRDefault="001F1FC8">
            <w:pPr>
              <w:rPr>
                <w:rFonts w:eastAsia="Times New Roman"/>
              </w:rPr>
            </w:pPr>
            <w:r>
              <w:rPr>
                <w:rFonts w:ascii="Arial" w:eastAsia="Times New Roman" w:hAnsi="Arial" w:cs="Arial"/>
                <w:color w:val="000000"/>
                <w:sz w:val="20"/>
                <w:szCs w:val="20"/>
              </w:rPr>
              <w:t>Preference Shares, Series R</w:t>
            </w:r>
          </w:p>
        </w:tc>
        <w:tc>
          <w:tcPr>
            <w:tcW w:w="0" w:type="auto"/>
            <w:gridSpan w:val="2"/>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20"/>
                <w:szCs w:val="20"/>
              </w:rPr>
              <w:t>16</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20"/>
                <w:szCs w:val="20"/>
              </w:rPr>
              <w:t>400</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16 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400 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16 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400 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r>
      <w:tr w:rsidR="00000000">
        <w:trPr>
          <w:divId w:val="409815405"/>
        </w:trPr>
        <w:tc>
          <w:tcPr>
            <w:tcW w:w="0" w:type="auto"/>
            <w:gridSpan w:val="3"/>
            <w:tcMar>
              <w:top w:w="30" w:type="dxa"/>
              <w:left w:w="20" w:type="dxa"/>
              <w:bottom w:w="30" w:type="dxa"/>
              <w:right w:w="20" w:type="dxa"/>
            </w:tcMar>
            <w:hideMark/>
          </w:tcPr>
          <w:p w:rsidR="00000000" w:rsidRDefault="001F1FC8">
            <w:pPr>
              <w:rPr>
                <w:rFonts w:eastAsia="Times New Roman"/>
              </w:rPr>
            </w:pPr>
            <w:r>
              <w:rPr>
                <w:rFonts w:ascii="Arial" w:eastAsia="Times New Roman" w:hAnsi="Arial" w:cs="Arial"/>
                <w:color w:val="000000"/>
                <w:sz w:val="20"/>
                <w:szCs w:val="20"/>
              </w:rPr>
              <w:t>Preference Shares, Series 1</w:t>
            </w:r>
          </w:p>
        </w:tc>
        <w:tc>
          <w:tcPr>
            <w:tcW w:w="0" w:type="auto"/>
            <w:gridSpan w:val="2"/>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20"/>
                <w:szCs w:val="20"/>
              </w:rPr>
              <w:t>16</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20"/>
                <w:szCs w:val="20"/>
              </w:rPr>
              <w:t>411</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16 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411 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16 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411 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r>
      <w:tr w:rsidR="00000000">
        <w:trPr>
          <w:divId w:val="409815405"/>
        </w:trPr>
        <w:tc>
          <w:tcPr>
            <w:tcW w:w="0" w:type="auto"/>
            <w:gridSpan w:val="3"/>
            <w:tcMar>
              <w:top w:w="30" w:type="dxa"/>
              <w:left w:w="20" w:type="dxa"/>
              <w:bottom w:w="30" w:type="dxa"/>
              <w:right w:w="20" w:type="dxa"/>
            </w:tcMar>
            <w:hideMark/>
          </w:tcPr>
          <w:p w:rsidR="00000000" w:rsidRDefault="001F1FC8">
            <w:pPr>
              <w:rPr>
                <w:rFonts w:eastAsia="Times New Roman"/>
              </w:rPr>
            </w:pPr>
            <w:r>
              <w:rPr>
                <w:rFonts w:ascii="Arial" w:eastAsia="Times New Roman" w:hAnsi="Arial" w:cs="Arial"/>
                <w:color w:val="000000"/>
                <w:sz w:val="20"/>
                <w:szCs w:val="20"/>
              </w:rPr>
              <w:t>Preference Shares, Series 3</w:t>
            </w:r>
          </w:p>
        </w:tc>
        <w:tc>
          <w:tcPr>
            <w:tcW w:w="0" w:type="auto"/>
            <w:gridSpan w:val="2"/>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20"/>
                <w:szCs w:val="20"/>
              </w:rPr>
              <w:t>24</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20"/>
                <w:szCs w:val="20"/>
              </w:rPr>
              <w:t>600</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24 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600 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24 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600 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r>
      <w:tr w:rsidR="00000000">
        <w:trPr>
          <w:divId w:val="409815405"/>
        </w:trPr>
        <w:tc>
          <w:tcPr>
            <w:tcW w:w="0" w:type="auto"/>
            <w:gridSpan w:val="3"/>
            <w:tcMar>
              <w:top w:w="30" w:type="dxa"/>
              <w:left w:w="20" w:type="dxa"/>
              <w:bottom w:w="30" w:type="dxa"/>
              <w:right w:w="20" w:type="dxa"/>
            </w:tcMar>
            <w:hideMark/>
          </w:tcPr>
          <w:p w:rsidR="00000000" w:rsidRDefault="001F1FC8">
            <w:pPr>
              <w:rPr>
                <w:rFonts w:eastAsia="Times New Roman"/>
              </w:rPr>
            </w:pPr>
            <w:r>
              <w:rPr>
                <w:rFonts w:ascii="Arial" w:eastAsia="Times New Roman" w:hAnsi="Arial" w:cs="Arial"/>
                <w:color w:val="000000"/>
                <w:sz w:val="20"/>
                <w:szCs w:val="20"/>
              </w:rPr>
              <w:t>Preference Shares, Series 5</w:t>
            </w:r>
          </w:p>
        </w:tc>
        <w:tc>
          <w:tcPr>
            <w:tcW w:w="0" w:type="auto"/>
            <w:gridSpan w:val="2"/>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20"/>
                <w:szCs w:val="20"/>
              </w:rPr>
              <w:t>8</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20"/>
                <w:szCs w:val="20"/>
              </w:rPr>
              <w:t>206</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8 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206 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8 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206 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r>
      <w:tr w:rsidR="00000000">
        <w:trPr>
          <w:divId w:val="409815405"/>
        </w:trPr>
        <w:tc>
          <w:tcPr>
            <w:tcW w:w="0" w:type="auto"/>
            <w:gridSpan w:val="3"/>
            <w:tcMar>
              <w:top w:w="30" w:type="dxa"/>
              <w:left w:w="20" w:type="dxa"/>
              <w:bottom w:w="30" w:type="dxa"/>
              <w:right w:w="20" w:type="dxa"/>
            </w:tcMar>
            <w:hideMark/>
          </w:tcPr>
          <w:p w:rsidR="00000000" w:rsidRDefault="001F1FC8">
            <w:pPr>
              <w:rPr>
                <w:rFonts w:eastAsia="Times New Roman"/>
              </w:rPr>
            </w:pPr>
            <w:r>
              <w:rPr>
                <w:rFonts w:ascii="Arial" w:eastAsia="Times New Roman" w:hAnsi="Arial" w:cs="Arial"/>
                <w:color w:val="000000"/>
                <w:sz w:val="20"/>
                <w:szCs w:val="20"/>
              </w:rPr>
              <w:t>Preference Shares, Series 7</w:t>
            </w:r>
          </w:p>
        </w:tc>
        <w:tc>
          <w:tcPr>
            <w:tcW w:w="0" w:type="auto"/>
            <w:gridSpan w:val="2"/>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20"/>
                <w:szCs w:val="20"/>
              </w:rPr>
              <w:t>10</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20"/>
                <w:szCs w:val="20"/>
              </w:rPr>
              <w:t>250</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10 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250 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10 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250 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r>
      <w:tr w:rsidR="00000000">
        <w:trPr>
          <w:divId w:val="409815405"/>
        </w:trPr>
        <w:tc>
          <w:tcPr>
            <w:tcW w:w="0" w:type="auto"/>
            <w:gridSpan w:val="3"/>
            <w:tcMar>
              <w:top w:w="30" w:type="dxa"/>
              <w:left w:w="20" w:type="dxa"/>
              <w:bottom w:w="30" w:type="dxa"/>
              <w:right w:w="20" w:type="dxa"/>
            </w:tcMar>
            <w:hideMark/>
          </w:tcPr>
          <w:p w:rsidR="00000000" w:rsidRDefault="001F1FC8">
            <w:pPr>
              <w:rPr>
                <w:rFonts w:eastAsia="Times New Roman"/>
              </w:rPr>
            </w:pPr>
            <w:r>
              <w:rPr>
                <w:rFonts w:ascii="Arial" w:eastAsia="Times New Roman" w:hAnsi="Arial" w:cs="Arial"/>
                <w:color w:val="000000"/>
                <w:sz w:val="20"/>
                <w:szCs w:val="20"/>
              </w:rPr>
              <w:t>Preference Shares, Series 9</w:t>
            </w:r>
          </w:p>
        </w:tc>
        <w:tc>
          <w:tcPr>
            <w:tcW w:w="0" w:type="auto"/>
            <w:gridSpan w:val="2"/>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20"/>
                <w:szCs w:val="20"/>
              </w:rPr>
              <w:t>11</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20"/>
                <w:szCs w:val="20"/>
              </w:rPr>
              <w:t>275</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11 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275 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11 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275 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r>
      <w:tr w:rsidR="00000000">
        <w:trPr>
          <w:divId w:val="409815405"/>
        </w:trPr>
        <w:tc>
          <w:tcPr>
            <w:tcW w:w="0" w:type="auto"/>
            <w:gridSpan w:val="3"/>
            <w:tcMar>
              <w:top w:w="30" w:type="dxa"/>
              <w:left w:w="20" w:type="dxa"/>
              <w:bottom w:w="30" w:type="dxa"/>
              <w:right w:w="20" w:type="dxa"/>
            </w:tcMar>
            <w:hideMark/>
          </w:tcPr>
          <w:p w:rsidR="00000000" w:rsidRDefault="001F1FC8">
            <w:pPr>
              <w:rPr>
                <w:rFonts w:eastAsia="Times New Roman"/>
              </w:rPr>
            </w:pPr>
            <w:r>
              <w:rPr>
                <w:rFonts w:ascii="Arial" w:eastAsia="Times New Roman" w:hAnsi="Arial" w:cs="Arial"/>
                <w:color w:val="000000"/>
                <w:sz w:val="20"/>
                <w:szCs w:val="20"/>
              </w:rPr>
              <w:t>Preference Shares, Series 11</w:t>
            </w:r>
          </w:p>
        </w:tc>
        <w:tc>
          <w:tcPr>
            <w:tcW w:w="0" w:type="auto"/>
            <w:gridSpan w:val="2"/>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20"/>
                <w:szCs w:val="20"/>
              </w:rPr>
              <w:t>20</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20"/>
                <w:szCs w:val="20"/>
              </w:rPr>
              <w:t>500</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20 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500 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20 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500 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r>
      <w:tr w:rsidR="00000000">
        <w:trPr>
          <w:divId w:val="409815405"/>
        </w:trPr>
        <w:tc>
          <w:tcPr>
            <w:tcW w:w="0" w:type="auto"/>
            <w:gridSpan w:val="3"/>
            <w:tcMar>
              <w:top w:w="30" w:type="dxa"/>
              <w:left w:w="20" w:type="dxa"/>
              <w:bottom w:w="30" w:type="dxa"/>
              <w:right w:w="20" w:type="dxa"/>
            </w:tcMar>
            <w:hideMark/>
          </w:tcPr>
          <w:p w:rsidR="00000000" w:rsidRDefault="001F1FC8">
            <w:pPr>
              <w:rPr>
                <w:rFonts w:eastAsia="Times New Roman"/>
              </w:rPr>
            </w:pPr>
            <w:r>
              <w:rPr>
                <w:rFonts w:ascii="Arial" w:eastAsia="Times New Roman" w:hAnsi="Arial" w:cs="Arial"/>
                <w:color w:val="000000"/>
                <w:sz w:val="20"/>
                <w:szCs w:val="20"/>
              </w:rPr>
              <w:t>Preference Shares, Series 13</w:t>
            </w:r>
          </w:p>
        </w:tc>
        <w:tc>
          <w:tcPr>
            <w:tcW w:w="0" w:type="auto"/>
            <w:gridSpan w:val="2"/>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20"/>
                <w:szCs w:val="20"/>
              </w:rPr>
              <w:t>14</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20"/>
                <w:szCs w:val="20"/>
              </w:rPr>
              <w:t>350</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14 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350 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14 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350 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r>
      <w:tr w:rsidR="00000000">
        <w:trPr>
          <w:divId w:val="409815405"/>
        </w:trPr>
        <w:tc>
          <w:tcPr>
            <w:tcW w:w="0" w:type="auto"/>
            <w:gridSpan w:val="3"/>
            <w:tcMar>
              <w:top w:w="30" w:type="dxa"/>
              <w:left w:w="20" w:type="dxa"/>
              <w:bottom w:w="30" w:type="dxa"/>
              <w:right w:w="20" w:type="dxa"/>
            </w:tcMar>
            <w:hideMark/>
          </w:tcPr>
          <w:p w:rsidR="00000000" w:rsidRDefault="001F1FC8">
            <w:pPr>
              <w:rPr>
                <w:rFonts w:eastAsia="Times New Roman"/>
              </w:rPr>
            </w:pPr>
            <w:r>
              <w:rPr>
                <w:rFonts w:ascii="Arial" w:eastAsia="Times New Roman" w:hAnsi="Arial" w:cs="Arial"/>
                <w:color w:val="000000"/>
                <w:sz w:val="20"/>
                <w:szCs w:val="20"/>
              </w:rPr>
              <w:t>Preference Shares, Series 15</w:t>
            </w:r>
          </w:p>
        </w:tc>
        <w:tc>
          <w:tcPr>
            <w:tcW w:w="0" w:type="auto"/>
            <w:gridSpan w:val="2"/>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20"/>
                <w:szCs w:val="20"/>
              </w:rPr>
              <w:t>11</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20"/>
                <w:szCs w:val="20"/>
              </w:rPr>
              <w:t>275</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11 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275 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11 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275 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r>
      <w:tr w:rsidR="00000000">
        <w:trPr>
          <w:divId w:val="409815405"/>
        </w:trPr>
        <w:tc>
          <w:tcPr>
            <w:tcW w:w="0" w:type="auto"/>
            <w:gridSpan w:val="3"/>
            <w:tcMar>
              <w:top w:w="30" w:type="dxa"/>
              <w:left w:w="20" w:type="dxa"/>
              <w:bottom w:w="30" w:type="dxa"/>
              <w:right w:w="20" w:type="dxa"/>
            </w:tcMar>
            <w:hideMark/>
          </w:tcPr>
          <w:p w:rsidR="00000000" w:rsidRDefault="001F1FC8">
            <w:pPr>
              <w:rPr>
                <w:rFonts w:eastAsia="Times New Roman"/>
              </w:rPr>
            </w:pPr>
            <w:r>
              <w:rPr>
                <w:rFonts w:ascii="Arial" w:eastAsia="Times New Roman" w:hAnsi="Arial" w:cs="Arial"/>
                <w:color w:val="000000"/>
                <w:sz w:val="20"/>
                <w:szCs w:val="20"/>
              </w:rPr>
              <w:t>Preference Shares, Series 17</w:t>
            </w:r>
          </w:p>
        </w:tc>
        <w:tc>
          <w:tcPr>
            <w:tcW w:w="0" w:type="auto"/>
            <w:gridSpan w:val="2"/>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20"/>
                <w:szCs w:val="20"/>
              </w:rPr>
              <w:t>30</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20"/>
                <w:szCs w:val="20"/>
              </w:rPr>
              <w:t>750</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30 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750 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30 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750 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r>
      <w:tr w:rsidR="00000000">
        <w:trPr>
          <w:divId w:val="409815405"/>
        </w:trPr>
        <w:tc>
          <w:tcPr>
            <w:tcW w:w="0" w:type="auto"/>
            <w:gridSpan w:val="3"/>
            <w:tcMar>
              <w:top w:w="30" w:type="dxa"/>
              <w:left w:w="20" w:type="dxa"/>
              <w:bottom w:w="30" w:type="dxa"/>
              <w:right w:w="20" w:type="dxa"/>
            </w:tcMar>
            <w:hideMark/>
          </w:tcPr>
          <w:p w:rsidR="00000000" w:rsidRDefault="001F1FC8">
            <w:pPr>
              <w:rPr>
                <w:rFonts w:eastAsia="Times New Roman"/>
              </w:rPr>
            </w:pPr>
            <w:r>
              <w:rPr>
                <w:rFonts w:ascii="Arial" w:eastAsia="Times New Roman" w:hAnsi="Arial" w:cs="Arial"/>
                <w:color w:val="000000"/>
                <w:sz w:val="20"/>
                <w:szCs w:val="20"/>
              </w:rPr>
              <w:t>Preference Shares, Series 19</w:t>
            </w:r>
          </w:p>
        </w:tc>
        <w:tc>
          <w:tcPr>
            <w:tcW w:w="0" w:type="auto"/>
            <w:gridSpan w:val="2"/>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20"/>
                <w:szCs w:val="20"/>
              </w:rPr>
              <w:t>20</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20"/>
                <w:szCs w:val="20"/>
              </w:rPr>
              <w:t>500</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20 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500 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20 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500 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r>
      <w:tr w:rsidR="00000000">
        <w:trPr>
          <w:divId w:val="409815405"/>
        </w:trPr>
        <w:tc>
          <w:tcPr>
            <w:tcW w:w="0" w:type="auto"/>
            <w:gridSpan w:val="3"/>
            <w:tcMar>
              <w:top w:w="30" w:type="dxa"/>
              <w:left w:w="20" w:type="dxa"/>
              <w:bottom w:w="30" w:type="dxa"/>
              <w:right w:w="20" w:type="dxa"/>
            </w:tcMar>
            <w:hideMark/>
          </w:tcPr>
          <w:p w:rsidR="00000000" w:rsidRDefault="001F1FC8">
            <w:pPr>
              <w:rPr>
                <w:rFonts w:eastAsia="Times New Roman"/>
              </w:rPr>
            </w:pPr>
            <w:r>
              <w:rPr>
                <w:rFonts w:ascii="Arial" w:eastAsia="Times New Roman" w:hAnsi="Arial" w:cs="Arial"/>
                <w:color w:val="000000"/>
                <w:sz w:val="20"/>
                <w:szCs w:val="20"/>
              </w:rPr>
              <w:t>Issuance costs</w:t>
            </w:r>
          </w:p>
        </w:tc>
        <w:tc>
          <w:tcPr>
            <w:tcW w:w="0" w:type="auto"/>
            <w:gridSpan w:val="3"/>
            <w:shd w:val="clear" w:color="auto" w:fill="D9D9D9"/>
            <w:tcMar>
              <w:top w:w="0" w:type="dxa"/>
              <w:left w:w="20" w:type="dxa"/>
              <w:bottom w:w="0" w:type="dxa"/>
              <w:right w:w="20" w:type="dxa"/>
            </w:tcMar>
            <w:vAlign w:val="center"/>
            <w:hideMark/>
          </w:tcPr>
          <w:p w:rsidR="00000000" w:rsidRDefault="001F1FC8">
            <w:pPr>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20"/>
                <w:szCs w:val="20"/>
              </w:rPr>
              <w:t>(155)</w:t>
            </w:r>
          </w:p>
        </w:tc>
        <w:tc>
          <w:tcPr>
            <w:tcW w:w="0" w:type="auto"/>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1F1FC8">
            <w:pPr>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(155)</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1F1FC8">
            <w:pPr>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(155)</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r>
      <w:tr w:rsidR="00000000">
        <w:trPr>
          <w:divId w:val="409815405"/>
        </w:trPr>
        <w:tc>
          <w:tcPr>
            <w:tcW w:w="0" w:type="auto"/>
            <w:gridSpan w:val="3"/>
            <w:tcBorders>
              <w:top w:val="single" w:sz="4" w:space="0" w:color="000000"/>
              <w:bottom w:val="single" w:sz="8" w:space="0" w:color="000000"/>
            </w:tcBorders>
            <w:tcMar>
              <w:top w:w="30" w:type="dxa"/>
              <w:left w:w="20" w:type="dxa"/>
              <w:bottom w:w="30" w:type="dxa"/>
              <w:right w:w="20" w:type="dxa"/>
            </w:tcMar>
            <w:vAlign w:val="bottom"/>
            <w:hideMark/>
          </w:tcPr>
          <w:p w:rsidR="00000000" w:rsidRDefault="001F1FC8">
            <w:pPr>
              <w:rPr>
                <w:rFonts w:eastAsia="Times New Roman"/>
              </w:rPr>
            </w:pPr>
            <w:r>
              <w:rPr>
                <w:rFonts w:ascii="Arial" w:eastAsia="Times New Roman" w:hAnsi="Arial" w:cs="Arial"/>
                <w:color w:val="000000"/>
                <w:sz w:val="20"/>
                <w:szCs w:val="20"/>
              </w:rPr>
              <w:t>Balance at end of year</w:t>
            </w:r>
          </w:p>
        </w:tc>
        <w:tc>
          <w:tcPr>
            <w:tcW w:w="0" w:type="auto"/>
            <w:gridSpan w:val="3"/>
            <w:tcBorders>
              <w:top w:val="single" w:sz="4" w:space="0" w:color="000000"/>
              <w:bottom w:val="single" w:sz="8" w:space="0" w:color="000000"/>
            </w:tcBorders>
            <w:shd w:val="clear" w:color="auto" w:fill="D9D9D9"/>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b/>
                <w:bCs/>
                <w:color w:val="000000"/>
                <w:sz w:val="20"/>
                <w:szCs w:val="20"/>
              </w:rPr>
              <w:t> </w:t>
            </w:r>
          </w:p>
        </w:tc>
        <w:tc>
          <w:tcPr>
            <w:tcW w:w="0" w:type="auto"/>
            <w:gridSpan w:val="2"/>
            <w:tcBorders>
              <w:top w:val="single" w:sz="4" w:space="0" w:color="000000"/>
              <w:bottom w:val="single" w:sz="8" w:space="0" w:color="000000"/>
            </w:tcBorders>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20"/>
                <w:szCs w:val="20"/>
              </w:rPr>
              <w:t>7,747</w:t>
            </w:r>
            <w:r>
              <w:rPr>
                <w:rFonts w:ascii="Arial" w:eastAsia="Times New Roman" w:hAnsi="Arial" w:cs="Arial"/>
                <w:color w:val="000000"/>
                <w:sz w:val="20"/>
                <w:szCs w:val="20"/>
              </w:rPr>
              <w:t> </w:t>
            </w:r>
          </w:p>
        </w:tc>
        <w:tc>
          <w:tcPr>
            <w:tcW w:w="0" w:type="auto"/>
            <w:tcBorders>
              <w:top w:val="single" w:sz="4" w:space="0" w:color="000000"/>
              <w:bottom w:val="single" w:sz="8" w:space="0" w:color="000000"/>
            </w:tcBorders>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3"/>
            <w:tcBorders>
              <w:top w:val="single" w:sz="4" w:space="0" w:color="000000"/>
              <w:bottom w:val="single" w:sz="8" w:space="0" w:color="000000"/>
            </w:tcBorders>
            <w:tcMar>
              <w:top w:w="0" w:type="dxa"/>
              <w:left w:w="20" w:type="dxa"/>
              <w:bottom w:w="0" w:type="dxa"/>
              <w:right w:w="20" w:type="dxa"/>
            </w:tcMar>
            <w:vAlign w:val="center"/>
            <w:hideMark/>
          </w:tcPr>
          <w:p w:rsidR="00000000" w:rsidRDefault="001F1FC8">
            <w:pPr>
              <w:jc w:val="right"/>
              <w:rPr>
                <w:rFonts w:eastAsia="Times New Roman"/>
                <w:sz w:val="20"/>
                <w:szCs w:val="20"/>
              </w:rPr>
            </w:pPr>
          </w:p>
        </w:tc>
        <w:tc>
          <w:tcPr>
            <w:tcW w:w="0" w:type="auto"/>
            <w:gridSpan w:val="2"/>
            <w:tcBorders>
              <w:top w:val="single" w:sz="4" w:space="0" w:color="000000"/>
              <w:bottom w:val="single" w:sz="8" w:space="0" w:color="000000"/>
            </w:tcBorders>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7,747 </w:t>
            </w:r>
          </w:p>
        </w:tc>
        <w:tc>
          <w:tcPr>
            <w:tcW w:w="0" w:type="auto"/>
            <w:tcBorders>
              <w:top w:val="single" w:sz="4" w:space="0" w:color="000000"/>
              <w:bottom w:val="single" w:sz="8" w:space="0" w:color="000000"/>
            </w:tcBorders>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3"/>
            <w:tcBorders>
              <w:top w:val="single" w:sz="4" w:space="0" w:color="000000"/>
              <w:bottom w:val="single" w:sz="8" w:space="0" w:color="000000"/>
            </w:tcBorders>
            <w:tcMar>
              <w:top w:w="0" w:type="dxa"/>
              <w:left w:w="20" w:type="dxa"/>
              <w:bottom w:w="0" w:type="dxa"/>
              <w:right w:w="20" w:type="dxa"/>
            </w:tcMar>
            <w:vAlign w:val="center"/>
            <w:hideMark/>
          </w:tcPr>
          <w:p w:rsidR="00000000" w:rsidRDefault="001F1FC8">
            <w:pPr>
              <w:jc w:val="right"/>
              <w:rPr>
                <w:rFonts w:eastAsia="Times New Roman"/>
                <w:sz w:val="20"/>
                <w:szCs w:val="20"/>
              </w:rPr>
            </w:pPr>
          </w:p>
        </w:tc>
        <w:tc>
          <w:tcPr>
            <w:tcW w:w="0" w:type="auto"/>
            <w:gridSpan w:val="2"/>
            <w:tcBorders>
              <w:top w:val="single" w:sz="4" w:space="0" w:color="000000"/>
              <w:bottom w:val="single" w:sz="8" w:space="0" w:color="000000"/>
            </w:tcBorders>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7,747 </w:t>
            </w:r>
          </w:p>
        </w:tc>
        <w:tc>
          <w:tcPr>
            <w:tcW w:w="0" w:type="auto"/>
            <w:tcBorders>
              <w:top w:val="single" w:sz="4" w:space="0" w:color="000000"/>
              <w:bottom w:val="single" w:sz="8" w:space="0" w:color="000000"/>
            </w:tcBorders>
            <w:tcMar>
              <w:top w:w="30" w:type="dxa"/>
              <w:left w:w="0" w:type="dxa"/>
              <w:bottom w:w="30" w:type="dxa"/>
              <w:right w:w="20" w:type="dxa"/>
            </w:tcMar>
            <w:vAlign w:val="bottom"/>
            <w:hideMark/>
          </w:tcPr>
          <w:p w:rsidR="00000000" w:rsidRDefault="001F1FC8">
            <w:pPr>
              <w:jc w:val="right"/>
              <w:rPr>
                <w:rFonts w:eastAsia="Times New Roman"/>
              </w:rPr>
            </w:pPr>
          </w:p>
        </w:tc>
      </w:tr>
    </w:tbl>
    <w:p w:rsidR="00000000" w:rsidRDefault="001F1FC8">
      <w:pPr>
        <w:divId w:val="1823811888"/>
        <w:rPr>
          <w:rFonts w:eastAsia="Times New Roman"/>
        </w:rPr>
      </w:pPr>
    </w:p>
    <w:p w:rsidR="00000000" w:rsidRDefault="001F1FC8">
      <w:pPr>
        <w:jc w:val="center"/>
        <w:divId w:val="443769153"/>
        <w:rPr>
          <w:rFonts w:eastAsia="Times New Roman"/>
        </w:rPr>
      </w:pPr>
      <w:r>
        <w:rPr>
          <w:rFonts w:ascii="Arial" w:eastAsia="Times New Roman" w:hAnsi="Arial" w:cs="Arial"/>
          <w:color w:val="000000"/>
          <w:sz w:val="20"/>
          <w:szCs w:val="20"/>
        </w:rPr>
        <w:t>143</w:t>
      </w:r>
    </w:p>
    <w:p w:rsidR="00000000" w:rsidRDefault="001F1FC8">
      <w:pPr>
        <w:rPr>
          <w:rFonts w:eastAsia="Times New Roman"/>
        </w:rPr>
      </w:pPr>
      <w:r>
        <w:rPr>
          <w:rFonts w:eastAsia="Times New Roman"/>
        </w:rPr>
        <w:pict>
          <v:rect id="_x0000_i1173" style="width:0;height:1.5pt" o:hralign="center" o:hrstd="t" o:hr="t" fillcolor="#a0a0a0" stroked="f"/>
        </w:pict>
      </w:r>
    </w:p>
    <w:p w:rsidR="00000000" w:rsidRDefault="001F1FC8">
      <w:pPr>
        <w:jc w:val="center"/>
        <w:divId w:val="1058896796"/>
        <w:rPr>
          <w:rFonts w:eastAsia="Times New Roman"/>
        </w:rPr>
      </w:pPr>
    </w:p>
    <w:p w:rsidR="00000000" w:rsidRDefault="001F1FC8">
      <w:pPr>
        <w:divId w:val="1191340956"/>
        <w:rPr>
          <w:rFonts w:eastAsia="Times New Roman"/>
        </w:rPr>
      </w:pPr>
      <w:r>
        <w:rPr>
          <w:rFonts w:ascii="Arial" w:eastAsia="Times New Roman" w:hAnsi="Arial" w:cs="Arial"/>
          <w:color w:val="000000"/>
          <w:sz w:val="20"/>
          <w:szCs w:val="20"/>
        </w:rPr>
        <w:t>Characteristics of the preference shares are as follows:</w:t>
      </w:r>
    </w:p>
    <w:tbl>
      <w:tblPr>
        <w:tblW w:w="4991" w:type="pct"/>
        <w:tblCellMar>
          <w:top w:w="15" w:type="dxa"/>
          <w:left w:w="15" w:type="dxa"/>
          <w:bottom w:w="15" w:type="dxa"/>
          <w:right w:w="15" w:type="dxa"/>
        </w:tblCellMar>
        <w:tblLook w:val="04A0" w:firstRow="1" w:lastRow="0" w:firstColumn="1" w:lastColumn="0" w:noHBand="0" w:noVBand="1"/>
      </w:tblPr>
      <w:tblGrid>
        <w:gridCol w:w="37"/>
        <w:gridCol w:w="2590"/>
        <w:gridCol w:w="36"/>
        <w:gridCol w:w="40"/>
        <w:gridCol w:w="1256"/>
        <w:gridCol w:w="163"/>
        <w:gridCol w:w="86"/>
        <w:gridCol w:w="836"/>
        <w:gridCol w:w="36"/>
        <w:gridCol w:w="87"/>
        <w:gridCol w:w="1075"/>
        <w:gridCol w:w="36"/>
        <w:gridCol w:w="73"/>
        <w:gridCol w:w="1210"/>
        <w:gridCol w:w="36"/>
        <w:gridCol w:w="66"/>
        <w:gridCol w:w="592"/>
        <w:gridCol w:w="36"/>
      </w:tblGrid>
      <w:tr w:rsidR="00000000">
        <w:trPr>
          <w:divId w:val="1056931806"/>
        </w:trPr>
        <w:tc>
          <w:tcPr>
            <w:tcW w:w="50" w:type="pct"/>
            <w:vAlign w:val="center"/>
            <w:hideMark/>
          </w:tcPr>
          <w:p w:rsidR="00000000" w:rsidRDefault="001F1FC8">
            <w:pPr>
              <w:rPr>
                <w:rFonts w:eastAsia="Times New Roman"/>
              </w:rPr>
            </w:pPr>
          </w:p>
        </w:tc>
        <w:tc>
          <w:tcPr>
            <w:tcW w:w="1590"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c>
          <w:tcPr>
            <w:tcW w:w="50" w:type="pct"/>
            <w:vAlign w:val="center"/>
            <w:hideMark/>
          </w:tcPr>
          <w:p w:rsidR="00000000" w:rsidRDefault="001F1FC8">
            <w:pPr>
              <w:rPr>
                <w:rFonts w:eastAsia="Times New Roman"/>
                <w:sz w:val="20"/>
                <w:szCs w:val="20"/>
              </w:rPr>
            </w:pPr>
          </w:p>
        </w:tc>
        <w:tc>
          <w:tcPr>
            <w:tcW w:w="787"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c>
          <w:tcPr>
            <w:tcW w:w="50" w:type="pct"/>
            <w:vAlign w:val="center"/>
            <w:hideMark/>
          </w:tcPr>
          <w:p w:rsidR="00000000" w:rsidRDefault="001F1FC8">
            <w:pPr>
              <w:rPr>
                <w:rFonts w:eastAsia="Times New Roman"/>
                <w:sz w:val="20"/>
                <w:szCs w:val="20"/>
              </w:rPr>
            </w:pPr>
          </w:p>
        </w:tc>
        <w:tc>
          <w:tcPr>
            <w:tcW w:w="490"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c>
          <w:tcPr>
            <w:tcW w:w="50" w:type="pct"/>
            <w:vAlign w:val="center"/>
            <w:hideMark/>
          </w:tcPr>
          <w:p w:rsidR="00000000" w:rsidRDefault="001F1FC8">
            <w:pPr>
              <w:rPr>
                <w:rFonts w:eastAsia="Times New Roman"/>
                <w:sz w:val="20"/>
                <w:szCs w:val="20"/>
              </w:rPr>
            </w:pPr>
          </w:p>
        </w:tc>
        <w:tc>
          <w:tcPr>
            <w:tcW w:w="619"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c>
          <w:tcPr>
            <w:tcW w:w="50" w:type="pct"/>
            <w:vAlign w:val="center"/>
            <w:hideMark/>
          </w:tcPr>
          <w:p w:rsidR="00000000" w:rsidRDefault="001F1FC8">
            <w:pPr>
              <w:rPr>
                <w:rFonts w:eastAsia="Times New Roman"/>
                <w:sz w:val="20"/>
                <w:szCs w:val="20"/>
              </w:rPr>
            </w:pPr>
          </w:p>
        </w:tc>
        <w:tc>
          <w:tcPr>
            <w:tcW w:w="779"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c>
          <w:tcPr>
            <w:tcW w:w="50" w:type="pct"/>
            <w:vAlign w:val="center"/>
            <w:hideMark/>
          </w:tcPr>
          <w:p w:rsidR="00000000" w:rsidRDefault="001F1FC8">
            <w:pPr>
              <w:rPr>
                <w:rFonts w:eastAsia="Times New Roman"/>
                <w:sz w:val="20"/>
                <w:szCs w:val="20"/>
              </w:rPr>
            </w:pPr>
          </w:p>
        </w:tc>
        <w:tc>
          <w:tcPr>
            <w:tcW w:w="402"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r>
      <w:tr w:rsidR="00000000">
        <w:trPr>
          <w:divId w:val="1056931806"/>
        </w:trPr>
        <w:tc>
          <w:tcPr>
            <w:tcW w:w="0" w:type="auto"/>
            <w:gridSpan w:val="3"/>
            <w:tcMar>
              <w:top w:w="0" w:type="dxa"/>
              <w:left w:w="20" w:type="dxa"/>
              <w:bottom w:w="0" w:type="dxa"/>
              <w:right w:w="20" w:type="dxa"/>
            </w:tcMar>
            <w:vAlign w:val="center"/>
            <w:hideMark/>
          </w:tcPr>
          <w:p w:rsidR="00000000" w:rsidRDefault="001F1FC8">
            <w:pPr>
              <w:rPr>
                <w:rFonts w:eastAsia="Times New Roman"/>
                <w:sz w:val="20"/>
                <w:szCs w:val="20"/>
              </w:rPr>
            </w:pPr>
          </w:p>
        </w:tc>
        <w:tc>
          <w:tcPr>
            <w:tcW w:w="0" w:type="auto"/>
            <w:gridSpan w:val="3"/>
            <w:tcBorders>
              <w:bottom w:val="single" w:sz="4" w:space="0" w:color="000000"/>
            </w:tcBorders>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Dividend Rate</w:t>
            </w:r>
          </w:p>
        </w:tc>
        <w:tc>
          <w:tcPr>
            <w:tcW w:w="0" w:type="auto"/>
            <w:gridSpan w:val="3"/>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Dividen</w:t>
            </w:r>
            <w:r>
              <w:rPr>
                <w:rFonts w:ascii="Arial" w:eastAsia="Times New Roman" w:hAnsi="Arial" w:cs="Arial"/>
                <w:color w:val="000000"/>
                <w:sz w:val="16"/>
                <w:szCs w:val="16"/>
              </w:rPr>
              <w:t>d</w:t>
            </w:r>
            <w:r>
              <w:rPr>
                <w:rFonts w:ascii="Arial" w:eastAsia="Times New Roman" w:hAnsi="Arial" w:cs="Arial"/>
                <w:color w:val="000000"/>
                <w:sz w:val="10"/>
                <w:szCs w:val="10"/>
              </w:rPr>
              <w:t>1</w:t>
            </w:r>
          </w:p>
        </w:tc>
        <w:tc>
          <w:tcPr>
            <w:tcW w:w="0" w:type="auto"/>
            <w:gridSpan w:val="3"/>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Per Share Base</w:t>
            </w:r>
          </w:p>
          <w:p w:rsidR="00000000" w:rsidRDefault="001F1FC8">
            <w:pPr>
              <w:jc w:val="right"/>
              <w:rPr>
                <w:rFonts w:eastAsia="Times New Roman"/>
              </w:rPr>
            </w:pPr>
            <w:r>
              <w:rPr>
                <w:rFonts w:ascii="Arial" w:eastAsia="Times New Roman" w:hAnsi="Arial" w:cs="Arial"/>
                <w:color w:val="000000"/>
                <w:sz w:val="16"/>
                <w:szCs w:val="16"/>
              </w:rPr>
              <w:t>Redemption</w:t>
            </w:r>
          </w:p>
          <w:p w:rsidR="00000000" w:rsidRDefault="001F1FC8">
            <w:pPr>
              <w:jc w:val="right"/>
              <w:rPr>
                <w:rFonts w:eastAsia="Times New Roman"/>
              </w:rPr>
            </w:pPr>
            <w:r>
              <w:rPr>
                <w:rFonts w:ascii="Arial" w:eastAsia="Times New Roman" w:hAnsi="Arial" w:cs="Arial"/>
                <w:color w:val="000000"/>
                <w:sz w:val="16"/>
                <w:szCs w:val="16"/>
              </w:rPr>
              <w:t>Valu</w:t>
            </w:r>
            <w:r>
              <w:rPr>
                <w:rFonts w:ascii="Arial" w:eastAsia="Times New Roman" w:hAnsi="Arial" w:cs="Arial"/>
                <w:color w:val="000000"/>
                <w:sz w:val="16"/>
                <w:szCs w:val="16"/>
              </w:rPr>
              <w:t>e</w:t>
            </w:r>
            <w:r>
              <w:rPr>
                <w:rFonts w:ascii="Arial" w:eastAsia="Times New Roman" w:hAnsi="Arial" w:cs="Arial"/>
                <w:color w:val="000000"/>
                <w:sz w:val="10"/>
                <w:szCs w:val="10"/>
              </w:rPr>
              <w:t>2</w:t>
            </w:r>
          </w:p>
        </w:tc>
        <w:tc>
          <w:tcPr>
            <w:tcW w:w="0" w:type="auto"/>
            <w:gridSpan w:val="3"/>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Redemption and</w:t>
            </w:r>
          </w:p>
          <w:p w:rsidR="00000000" w:rsidRDefault="001F1FC8">
            <w:pPr>
              <w:jc w:val="right"/>
              <w:rPr>
                <w:rFonts w:eastAsia="Times New Roman"/>
              </w:rPr>
            </w:pPr>
            <w:r>
              <w:rPr>
                <w:rFonts w:ascii="Arial" w:eastAsia="Times New Roman" w:hAnsi="Arial" w:cs="Arial"/>
                <w:color w:val="000000"/>
                <w:sz w:val="16"/>
                <w:szCs w:val="16"/>
              </w:rPr>
              <w:t>Conversion</w:t>
            </w:r>
          </w:p>
          <w:p w:rsidR="00000000" w:rsidRDefault="001F1FC8">
            <w:pPr>
              <w:jc w:val="right"/>
              <w:rPr>
                <w:rFonts w:eastAsia="Times New Roman"/>
              </w:rPr>
            </w:pPr>
            <w:r>
              <w:rPr>
                <w:rFonts w:ascii="Arial" w:eastAsia="Times New Roman" w:hAnsi="Arial" w:cs="Arial"/>
                <w:color w:val="000000"/>
                <w:sz w:val="16"/>
                <w:szCs w:val="16"/>
              </w:rPr>
              <w:t>Option Dat</w:t>
            </w:r>
            <w:r>
              <w:rPr>
                <w:rFonts w:ascii="Arial" w:eastAsia="Times New Roman" w:hAnsi="Arial" w:cs="Arial"/>
                <w:color w:val="000000"/>
                <w:sz w:val="16"/>
                <w:szCs w:val="16"/>
              </w:rPr>
              <w:t>e</w:t>
            </w:r>
            <w:r>
              <w:rPr>
                <w:rFonts w:ascii="Arial" w:eastAsia="Times New Roman" w:hAnsi="Arial" w:cs="Arial"/>
                <w:color w:val="000000"/>
                <w:sz w:val="10"/>
                <w:szCs w:val="10"/>
              </w:rPr>
              <w:t>2,</w:t>
            </w:r>
            <w:r>
              <w:rPr>
                <w:rFonts w:ascii="Arial" w:eastAsia="Times New Roman" w:hAnsi="Arial" w:cs="Arial"/>
                <w:color w:val="000000"/>
                <w:sz w:val="10"/>
                <w:szCs w:val="10"/>
              </w:rPr>
              <w:t>3</w:t>
            </w:r>
          </w:p>
        </w:tc>
        <w:tc>
          <w:tcPr>
            <w:tcW w:w="0" w:type="auto"/>
            <w:gridSpan w:val="3"/>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Right to</w:t>
            </w:r>
          </w:p>
          <w:p w:rsidR="00000000" w:rsidRDefault="001F1FC8">
            <w:pPr>
              <w:jc w:val="right"/>
              <w:rPr>
                <w:rFonts w:eastAsia="Times New Roman"/>
              </w:rPr>
            </w:pPr>
            <w:r>
              <w:rPr>
                <w:rFonts w:ascii="Arial" w:eastAsia="Times New Roman" w:hAnsi="Arial" w:cs="Arial"/>
                <w:color w:val="000000"/>
                <w:sz w:val="16"/>
                <w:szCs w:val="16"/>
              </w:rPr>
              <w:t>Convert</w:t>
            </w:r>
          </w:p>
          <w:p w:rsidR="00000000" w:rsidRDefault="001F1FC8">
            <w:pPr>
              <w:jc w:val="right"/>
              <w:rPr>
                <w:rFonts w:eastAsia="Times New Roman"/>
              </w:rPr>
            </w:pPr>
            <w:r>
              <w:rPr>
                <w:rFonts w:ascii="Arial" w:eastAsia="Times New Roman" w:hAnsi="Arial" w:cs="Arial"/>
                <w:color w:val="000000"/>
                <w:sz w:val="16"/>
                <w:szCs w:val="16"/>
              </w:rPr>
              <w:t>Int</w:t>
            </w:r>
            <w:r>
              <w:rPr>
                <w:rFonts w:ascii="Arial" w:eastAsia="Times New Roman" w:hAnsi="Arial" w:cs="Arial"/>
                <w:color w:val="000000"/>
                <w:sz w:val="16"/>
                <w:szCs w:val="16"/>
              </w:rPr>
              <w:t>o</w:t>
            </w:r>
            <w:r>
              <w:rPr>
                <w:rFonts w:ascii="Arial" w:eastAsia="Times New Roman" w:hAnsi="Arial" w:cs="Arial"/>
                <w:color w:val="000000"/>
                <w:sz w:val="10"/>
                <w:szCs w:val="10"/>
              </w:rPr>
              <w:t>3,</w:t>
            </w:r>
            <w:r>
              <w:rPr>
                <w:rFonts w:ascii="Arial" w:eastAsia="Times New Roman" w:hAnsi="Arial" w:cs="Arial"/>
                <w:color w:val="000000"/>
                <w:sz w:val="10"/>
                <w:szCs w:val="10"/>
              </w:rPr>
              <w:t>4</w:t>
            </w:r>
          </w:p>
        </w:tc>
      </w:tr>
      <w:tr w:rsidR="00000000">
        <w:trPr>
          <w:divId w:val="1056931806"/>
        </w:trPr>
        <w:tc>
          <w:tcPr>
            <w:tcW w:w="0" w:type="auto"/>
            <w:gridSpan w:val="6"/>
            <w:tcBorders>
              <w:top w:val="single" w:sz="4" w:space="0" w:color="000000"/>
            </w:tcBorders>
            <w:tcMar>
              <w:top w:w="30" w:type="dxa"/>
              <w:left w:w="20" w:type="dxa"/>
              <w:bottom w:w="30" w:type="dxa"/>
              <w:right w:w="20" w:type="dxa"/>
            </w:tcMar>
            <w:vAlign w:val="bottom"/>
            <w:hideMark/>
          </w:tcPr>
          <w:p w:rsidR="00000000" w:rsidRDefault="001F1FC8">
            <w:pPr>
              <w:rPr>
                <w:rFonts w:eastAsia="Times New Roman"/>
              </w:rPr>
            </w:pPr>
            <w:r>
              <w:rPr>
                <w:rFonts w:ascii="Arial" w:eastAsia="Times New Roman" w:hAnsi="Arial" w:cs="Arial"/>
                <w:i/>
                <w:iCs/>
                <w:color w:val="000000"/>
                <w:sz w:val="14"/>
                <w:szCs w:val="14"/>
              </w:rPr>
              <w:t>(Canadian dollars unless otherwise stated)</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1F1FC8">
            <w:pPr>
              <w:rPr>
                <w:rFonts w:eastAsia="Times New Roman"/>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1F1FC8">
            <w:pPr>
              <w:rPr>
                <w:rFonts w:eastAsia="Times New Roman"/>
                <w:sz w:val="20"/>
                <w:szCs w:val="20"/>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1F1FC8">
            <w:pPr>
              <w:rPr>
                <w:rFonts w:eastAsia="Times New Roman"/>
                <w:sz w:val="20"/>
                <w:szCs w:val="20"/>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1F1FC8">
            <w:pPr>
              <w:rPr>
                <w:rFonts w:eastAsia="Times New Roman"/>
                <w:sz w:val="20"/>
                <w:szCs w:val="20"/>
              </w:rPr>
            </w:pPr>
          </w:p>
        </w:tc>
      </w:tr>
      <w:tr w:rsidR="00000000">
        <w:trPr>
          <w:divId w:val="1056931806"/>
        </w:trPr>
        <w:tc>
          <w:tcPr>
            <w:tcW w:w="0" w:type="auto"/>
            <w:gridSpan w:val="3"/>
            <w:tcMar>
              <w:top w:w="30" w:type="dxa"/>
              <w:left w:w="20" w:type="dxa"/>
              <w:bottom w:w="30" w:type="dxa"/>
              <w:right w:w="20" w:type="dxa"/>
            </w:tcMar>
            <w:vAlign w:val="bottom"/>
            <w:hideMark/>
          </w:tcPr>
          <w:p w:rsidR="00000000" w:rsidRDefault="001F1FC8">
            <w:pPr>
              <w:rPr>
                <w:rFonts w:eastAsia="Times New Roman"/>
              </w:rPr>
            </w:pPr>
            <w:r>
              <w:rPr>
                <w:rFonts w:ascii="Arial" w:eastAsia="Times New Roman" w:hAnsi="Arial" w:cs="Arial"/>
                <w:color w:val="000000"/>
                <w:sz w:val="16"/>
                <w:szCs w:val="16"/>
              </w:rPr>
              <w:t>Preference Shares, Series A</w:t>
            </w: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5.50 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w:t>
            </w:r>
          </w:p>
        </w:tc>
        <w:tc>
          <w:tcPr>
            <w:tcW w:w="0" w:type="auto"/>
            <w:gridSpan w:val="3"/>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$1.37500</w:t>
            </w:r>
          </w:p>
        </w:tc>
        <w:tc>
          <w:tcPr>
            <w:tcW w:w="0" w:type="auto"/>
            <w:gridSpan w:val="3"/>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$25</w:t>
            </w: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r>
      <w:tr w:rsidR="00000000">
        <w:trPr>
          <w:divId w:val="1056931806"/>
        </w:trPr>
        <w:tc>
          <w:tcPr>
            <w:tcW w:w="0" w:type="auto"/>
            <w:gridSpan w:val="3"/>
            <w:tcMar>
              <w:top w:w="30" w:type="dxa"/>
              <w:left w:w="20" w:type="dxa"/>
              <w:bottom w:w="30" w:type="dxa"/>
              <w:right w:w="20" w:type="dxa"/>
            </w:tcMar>
            <w:vAlign w:val="bottom"/>
            <w:hideMark/>
          </w:tcPr>
          <w:p w:rsidR="00000000" w:rsidRDefault="001F1FC8">
            <w:pPr>
              <w:rPr>
                <w:rFonts w:eastAsia="Times New Roman"/>
              </w:rPr>
            </w:pPr>
            <w:r>
              <w:rPr>
                <w:rFonts w:ascii="Arial" w:eastAsia="Times New Roman" w:hAnsi="Arial" w:cs="Arial"/>
                <w:color w:val="000000"/>
                <w:sz w:val="16"/>
                <w:szCs w:val="16"/>
              </w:rPr>
              <w:t>Preference Shares, Series B</w:t>
            </w: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3.42 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w:t>
            </w:r>
          </w:p>
        </w:tc>
        <w:tc>
          <w:tcPr>
            <w:tcW w:w="0" w:type="auto"/>
            <w:gridSpan w:val="3"/>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$0.85360</w:t>
            </w:r>
          </w:p>
        </w:tc>
        <w:tc>
          <w:tcPr>
            <w:tcW w:w="0" w:type="auto"/>
            <w:gridSpan w:val="3"/>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$25</w:t>
            </w:r>
          </w:p>
        </w:tc>
        <w:tc>
          <w:tcPr>
            <w:tcW w:w="0" w:type="auto"/>
            <w:gridSpan w:val="3"/>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June 1, 2022</w:t>
            </w:r>
          </w:p>
        </w:tc>
        <w:tc>
          <w:tcPr>
            <w:tcW w:w="0" w:type="auto"/>
            <w:gridSpan w:val="3"/>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Series C</w:t>
            </w:r>
          </w:p>
        </w:tc>
      </w:tr>
      <w:tr w:rsidR="00000000">
        <w:trPr>
          <w:divId w:val="1056931806"/>
        </w:trPr>
        <w:tc>
          <w:tcPr>
            <w:tcW w:w="0" w:type="auto"/>
            <w:gridSpan w:val="3"/>
            <w:tcMar>
              <w:top w:w="30" w:type="dxa"/>
              <w:left w:w="20" w:type="dxa"/>
              <w:bottom w:w="30" w:type="dxa"/>
              <w:right w:w="20" w:type="dxa"/>
            </w:tcMar>
            <w:vAlign w:val="bottom"/>
            <w:hideMark/>
          </w:tcPr>
          <w:p w:rsidR="00000000" w:rsidRDefault="001F1FC8">
            <w:pPr>
              <w:divId w:val="1762795792"/>
              <w:rPr>
                <w:rFonts w:eastAsia="Times New Roman"/>
              </w:rPr>
            </w:pPr>
            <w:r>
              <w:rPr>
                <w:rFonts w:ascii="Arial" w:eastAsia="Times New Roman" w:hAnsi="Arial" w:cs="Arial"/>
                <w:color w:val="000000"/>
                <w:sz w:val="16"/>
                <w:szCs w:val="16"/>
              </w:rPr>
              <w:t>Preference Shares, Series </w:t>
            </w:r>
            <w:r>
              <w:rPr>
                <w:rFonts w:ascii="Arial" w:eastAsia="Times New Roman" w:hAnsi="Arial" w:cs="Arial"/>
                <w:color w:val="000000"/>
                <w:sz w:val="16"/>
                <w:szCs w:val="16"/>
              </w:rPr>
              <w:t>C</w:t>
            </w:r>
            <w:r>
              <w:rPr>
                <w:rFonts w:ascii="Arial" w:eastAsia="Times New Roman" w:hAnsi="Arial" w:cs="Arial"/>
                <w:color w:val="000000"/>
                <w:sz w:val="10"/>
                <w:szCs w:val="10"/>
              </w:rPr>
              <w:t>5</w:t>
            </w:r>
          </w:p>
        </w:tc>
        <w:tc>
          <w:tcPr>
            <w:tcW w:w="0" w:type="auto"/>
            <w:gridSpan w:val="3"/>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3-month treasury bill plus 2.40%</w:t>
            </w: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3"/>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$25</w:t>
            </w:r>
          </w:p>
        </w:tc>
        <w:tc>
          <w:tcPr>
            <w:tcW w:w="0" w:type="auto"/>
            <w:gridSpan w:val="3"/>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June 1, 2022</w:t>
            </w:r>
          </w:p>
        </w:tc>
        <w:tc>
          <w:tcPr>
            <w:tcW w:w="0" w:type="auto"/>
            <w:gridSpan w:val="3"/>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Series B</w:t>
            </w:r>
          </w:p>
        </w:tc>
      </w:tr>
      <w:tr w:rsidR="00000000">
        <w:trPr>
          <w:divId w:val="1056931806"/>
        </w:trPr>
        <w:tc>
          <w:tcPr>
            <w:tcW w:w="0" w:type="auto"/>
            <w:gridSpan w:val="3"/>
            <w:tcMar>
              <w:top w:w="30" w:type="dxa"/>
              <w:left w:w="20" w:type="dxa"/>
              <w:bottom w:w="30" w:type="dxa"/>
              <w:right w:w="20" w:type="dxa"/>
            </w:tcMar>
            <w:vAlign w:val="bottom"/>
            <w:hideMark/>
          </w:tcPr>
          <w:p w:rsidR="00000000" w:rsidRDefault="001F1FC8">
            <w:pPr>
              <w:rPr>
                <w:rFonts w:eastAsia="Times New Roman"/>
              </w:rPr>
            </w:pPr>
            <w:r>
              <w:rPr>
                <w:rFonts w:ascii="Arial" w:eastAsia="Times New Roman" w:hAnsi="Arial" w:cs="Arial"/>
                <w:color w:val="000000"/>
                <w:sz w:val="16"/>
                <w:szCs w:val="16"/>
              </w:rPr>
              <w:t>Preference Shares, Series D</w:t>
            </w: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4.46 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w:t>
            </w:r>
          </w:p>
        </w:tc>
        <w:tc>
          <w:tcPr>
            <w:tcW w:w="0" w:type="auto"/>
            <w:gridSpan w:val="3"/>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$1.11500</w:t>
            </w:r>
          </w:p>
        </w:tc>
        <w:tc>
          <w:tcPr>
            <w:tcW w:w="0" w:type="auto"/>
            <w:gridSpan w:val="3"/>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$25</w:t>
            </w:r>
          </w:p>
        </w:tc>
        <w:tc>
          <w:tcPr>
            <w:tcW w:w="0" w:type="auto"/>
            <w:gridSpan w:val="3"/>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March 1, 2023</w:t>
            </w:r>
          </w:p>
        </w:tc>
        <w:tc>
          <w:tcPr>
            <w:tcW w:w="0" w:type="auto"/>
            <w:gridSpan w:val="3"/>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Series E</w:t>
            </w:r>
          </w:p>
        </w:tc>
      </w:tr>
      <w:tr w:rsidR="00000000">
        <w:trPr>
          <w:divId w:val="1056931806"/>
        </w:trPr>
        <w:tc>
          <w:tcPr>
            <w:tcW w:w="0" w:type="auto"/>
            <w:gridSpan w:val="3"/>
            <w:tcMar>
              <w:top w:w="30" w:type="dxa"/>
              <w:left w:w="20" w:type="dxa"/>
              <w:bottom w:w="30" w:type="dxa"/>
              <w:right w:w="20" w:type="dxa"/>
            </w:tcMar>
            <w:vAlign w:val="bottom"/>
            <w:hideMark/>
          </w:tcPr>
          <w:p w:rsidR="00000000" w:rsidRDefault="001F1FC8">
            <w:pPr>
              <w:rPr>
                <w:rFonts w:eastAsia="Times New Roman"/>
              </w:rPr>
            </w:pPr>
            <w:r>
              <w:rPr>
                <w:rFonts w:ascii="Arial" w:eastAsia="Times New Roman" w:hAnsi="Arial" w:cs="Arial"/>
                <w:color w:val="000000"/>
                <w:sz w:val="16"/>
                <w:szCs w:val="16"/>
              </w:rPr>
              <w:t>Preference Shares, Series F</w:t>
            </w: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4.69 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w:t>
            </w:r>
          </w:p>
        </w:tc>
        <w:tc>
          <w:tcPr>
            <w:tcW w:w="0" w:type="auto"/>
            <w:gridSpan w:val="3"/>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$1.17224</w:t>
            </w:r>
          </w:p>
        </w:tc>
        <w:tc>
          <w:tcPr>
            <w:tcW w:w="0" w:type="auto"/>
            <w:gridSpan w:val="3"/>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$25</w:t>
            </w:r>
          </w:p>
        </w:tc>
        <w:tc>
          <w:tcPr>
            <w:tcW w:w="0" w:type="auto"/>
            <w:gridSpan w:val="3"/>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June 1, 2023</w:t>
            </w:r>
          </w:p>
        </w:tc>
        <w:tc>
          <w:tcPr>
            <w:tcW w:w="0" w:type="auto"/>
            <w:gridSpan w:val="3"/>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Series G</w:t>
            </w:r>
          </w:p>
        </w:tc>
      </w:tr>
      <w:tr w:rsidR="00000000">
        <w:trPr>
          <w:divId w:val="1056931806"/>
        </w:trPr>
        <w:tc>
          <w:tcPr>
            <w:tcW w:w="0" w:type="auto"/>
            <w:gridSpan w:val="3"/>
            <w:tcMar>
              <w:top w:w="30" w:type="dxa"/>
              <w:left w:w="20" w:type="dxa"/>
              <w:bottom w:w="30" w:type="dxa"/>
              <w:right w:w="20" w:type="dxa"/>
            </w:tcMar>
            <w:vAlign w:val="bottom"/>
            <w:hideMark/>
          </w:tcPr>
          <w:p w:rsidR="00000000" w:rsidRDefault="001F1FC8">
            <w:pPr>
              <w:rPr>
                <w:rFonts w:eastAsia="Times New Roman"/>
              </w:rPr>
            </w:pPr>
            <w:r>
              <w:rPr>
                <w:rFonts w:ascii="Arial" w:eastAsia="Times New Roman" w:hAnsi="Arial" w:cs="Arial"/>
                <w:color w:val="000000"/>
                <w:sz w:val="16"/>
                <w:szCs w:val="16"/>
              </w:rPr>
              <w:t>Preference Shares, Series H</w:t>
            </w: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4.38 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w:t>
            </w:r>
          </w:p>
        </w:tc>
        <w:tc>
          <w:tcPr>
            <w:tcW w:w="0" w:type="auto"/>
            <w:gridSpan w:val="3"/>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$1.09400</w:t>
            </w:r>
          </w:p>
        </w:tc>
        <w:tc>
          <w:tcPr>
            <w:tcW w:w="0" w:type="auto"/>
            <w:gridSpan w:val="3"/>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$25</w:t>
            </w:r>
          </w:p>
        </w:tc>
        <w:tc>
          <w:tcPr>
            <w:tcW w:w="0" w:type="auto"/>
            <w:gridSpan w:val="3"/>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September 1, 2023</w:t>
            </w:r>
          </w:p>
        </w:tc>
        <w:tc>
          <w:tcPr>
            <w:tcW w:w="0" w:type="auto"/>
            <w:gridSpan w:val="3"/>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Series I</w:t>
            </w:r>
          </w:p>
        </w:tc>
      </w:tr>
      <w:tr w:rsidR="00000000">
        <w:trPr>
          <w:divId w:val="1056931806"/>
        </w:trPr>
        <w:tc>
          <w:tcPr>
            <w:tcW w:w="0" w:type="auto"/>
            <w:gridSpan w:val="3"/>
            <w:tcMar>
              <w:top w:w="30" w:type="dxa"/>
              <w:left w:w="20" w:type="dxa"/>
              <w:bottom w:w="30" w:type="dxa"/>
              <w:right w:w="20" w:type="dxa"/>
            </w:tcMar>
            <w:vAlign w:val="bottom"/>
            <w:hideMark/>
          </w:tcPr>
          <w:p w:rsidR="00000000" w:rsidRDefault="001F1FC8">
            <w:pPr>
              <w:rPr>
                <w:rFonts w:eastAsia="Times New Roman"/>
              </w:rPr>
            </w:pPr>
            <w:r>
              <w:rPr>
                <w:rFonts w:ascii="Arial" w:eastAsia="Times New Roman" w:hAnsi="Arial" w:cs="Arial"/>
                <w:color w:val="000000"/>
                <w:sz w:val="16"/>
                <w:szCs w:val="16"/>
              </w:rPr>
              <w:t>Preference Shares, Series J</w:t>
            </w: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4.89 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w:t>
            </w:r>
          </w:p>
        </w:tc>
        <w:tc>
          <w:tcPr>
            <w:tcW w:w="0" w:type="auto"/>
            <w:gridSpan w:val="3"/>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US$1.22160</w:t>
            </w:r>
          </w:p>
        </w:tc>
        <w:tc>
          <w:tcPr>
            <w:tcW w:w="0" w:type="auto"/>
            <w:gridSpan w:val="3"/>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US$25</w:t>
            </w:r>
          </w:p>
        </w:tc>
        <w:tc>
          <w:tcPr>
            <w:tcW w:w="0" w:type="auto"/>
            <w:gridSpan w:val="3"/>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June 1, 2022</w:t>
            </w:r>
          </w:p>
        </w:tc>
        <w:tc>
          <w:tcPr>
            <w:tcW w:w="0" w:type="auto"/>
            <w:gridSpan w:val="3"/>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Series K</w:t>
            </w:r>
          </w:p>
        </w:tc>
      </w:tr>
      <w:tr w:rsidR="00000000">
        <w:trPr>
          <w:divId w:val="1056931806"/>
        </w:trPr>
        <w:tc>
          <w:tcPr>
            <w:tcW w:w="0" w:type="auto"/>
            <w:gridSpan w:val="3"/>
            <w:tcMar>
              <w:top w:w="30" w:type="dxa"/>
              <w:left w:w="20" w:type="dxa"/>
              <w:bottom w:w="30" w:type="dxa"/>
              <w:right w:w="20" w:type="dxa"/>
            </w:tcMar>
            <w:vAlign w:val="bottom"/>
            <w:hideMark/>
          </w:tcPr>
          <w:p w:rsidR="00000000" w:rsidRDefault="001F1FC8">
            <w:pPr>
              <w:rPr>
                <w:rFonts w:eastAsia="Times New Roman"/>
              </w:rPr>
            </w:pPr>
            <w:r>
              <w:rPr>
                <w:rFonts w:ascii="Arial" w:eastAsia="Times New Roman" w:hAnsi="Arial" w:cs="Arial"/>
                <w:color w:val="000000"/>
                <w:sz w:val="16"/>
                <w:szCs w:val="16"/>
              </w:rPr>
              <w:t>Preference Shares, Series L</w:t>
            </w: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4.96 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w:t>
            </w:r>
          </w:p>
        </w:tc>
        <w:tc>
          <w:tcPr>
            <w:tcW w:w="0" w:type="auto"/>
            <w:gridSpan w:val="3"/>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US$</w:t>
            </w:r>
            <w:r>
              <w:rPr>
                <w:rFonts w:ascii="Arial" w:eastAsia="Times New Roman" w:hAnsi="Arial" w:cs="Arial"/>
                <w:color w:val="000000"/>
                <w:sz w:val="16"/>
                <w:szCs w:val="16"/>
              </w:rPr>
              <w:t>1.23972</w:t>
            </w:r>
          </w:p>
        </w:tc>
        <w:tc>
          <w:tcPr>
            <w:tcW w:w="0" w:type="auto"/>
            <w:gridSpan w:val="3"/>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US$25</w:t>
            </w:r>
          </w:p>
        </w:tc>
        <w:tc>
          <w:tcPr>
            <w:tcW w:w="0" w:type="auto"/>
            <w:gridSpan w:val="3"/>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September 1, 2022</w:t>
            </w:r>
          </w:p>
        </w:tc>
        <w:tc>
          <w:tcPr>
            <w:tcW w:w="0" w:type="auto"/>
            <w:gridSpan w:val="3"/>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Series M</w:t>
            </w:r>
          </w:p>
        </w:tc>
      </w:tr>
      <w:tr w:rsidR="00000000">
        <w:trPr>
          <w:divId w:val="1056931806"/>
        </w:trPr>
        <w:tc>
          <w:tcPr>
            <w:tcW w:w="0" w:type="auto"/>
            <w:gridSpan w:val="3"/>
            <w:tcMar>
              <w:top w:w="30" w:type="dxa"/>
              <w:left w:w="20" w:type="dxa"/>
              <w:bottom w:w="30" w:type="dxa"/>
              <w:right w:w="20" w:type="dxa"/>
            </w:tcMar>
            <w:vAlign w:val="bottom"/>
            <w:hideMark/>
          </w:tcPr>
          <w:p w:rsidR="00000000" w:rsidRDefault="001F1FC8">
            <w:pPr>
              <w:rPr>
                <w:rFonts w:eastAsia="Times New Roman"/>
              </w:rPr>
            </w:pPr>
            <w:r>
              <w:rPr>
                <w:rFonts w:ascii="Arial" w:eastAsia="Times New Roman" w:hAnsi="Arial" w:cs="Arial"/>
                <w:color w:val="000000"/>
                <w:sz w:val="16"/>
                <w:szCs w:val="16"/>
              </w:rPr>
              <w:t>Preference Shares, Series N</w:t>
            </w: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5.09 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w:t>
            </w:r>
          </w:p>
        </w:tc>
        <w:tc>
          <w:tcPr>
            <w:tcW w:w="0" w:type="auto"/>
            <w:gridSpan w:val="3"/>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$1.27152</w:t>
            </w:r>
          </w:p>
        </w:tc>
        <w:tc>
          <w:tcPr>
            <w:tcW w:w="0" w:type="auto"/>
            <w:gridSpan w:val="3"/>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$25</w:t>
            </w:r>
          </w:p>
        </w:tc>
        <w:tc>
          <w:tcPr>
            <w:tcW w:w="0" w:type="auto"/>
            <w:gridSpan w:val="3"/>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December 1, 2023</w:t>
            </w:r>
          </w:p>
        </w:tc>
        <w:tc>
          <w:tcPr>
            <w:tcW w:w="0" w:type="auto"/>
            <w:gridSpan w:val="3"/>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Series O</w:t>
            </w:r>
          </w:p>
        </w:tc>
      </w:tr>
      <w:tr w:rsidR="00000000">
        <w:trPr>
          <w:divId w:val="1056931806"/>
        </w:trPr>
        <w:tc>
          <w:tcPr>
            <w:tcW w:w="0" w:type="auto"/>
            <w:gridSpan w:val="3"/>
            <w:tcMar>
              <w:top w:w="30" w:type="dxa"/>
              <w:left w:w="20" w:type="dxa"/>
              <w:bottom w:w="30" w:type="dxa"/>
              <w:right w:w="20" w:type="dxa"/>
            </w:tcMar>
            <w:vAlign w:val="bottom"/>
            <w:hideMark/>
          </w:tcPr>
          <w:p w:rsidR="00000000" w:rsidRDefault="001F1FC8">
            <w:pPr>
              <w:rPr>
                <w:rFonts w:eastAsia="Times New Roman"/>
              </w:rPr>
            </w:pPr>
            <w:r>
              <w:rPr>
                <w:rFonts w:ascii="Arial" w:eastAsia="Times New Roman" w:hAnsi="Arial" w:cs="Arial"/>
                <w:color w:val="000000"/>
                <w:sz w:val="16"/>
                <w:szCs w:val="16"/>
              </w:rPr>
              <w:t>Preference Shares, Series P</w:t>
            </w: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4.38 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w:t>
            </w:r>
          </w:p>
        </w:tc>
        <w:tc>
          <w:tcPr>
            <w:tcW w:w="0" w:type="auto"/>
            <w:gridSpan w:val="3"/>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$1.09476</w:t>
            </w:r>
          </w:p>
        </w:tc>
        <w:tc>
          <w:tcPr>
            <w:tcW w:w="0" w:type="auto"/>
            <w:gridSpan w:val="3"/>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$25</w:t>
            </w:r>
          </w:p>
        </w:tc>
        <w:tc>
          <w:tcPr>
            <w:tcW w:w="0" w:type="auto"/>
            <w:gridSpan w:val="3"/>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March 1, 2024</w:t>
            </w:r>
          </w:p>
        </w:tc>
        <w:tc>
          <w:tcPr>
            <w:tcW w:w="0" w:type="auto"/>
            <w:gridSpan w:val="3"/>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Series Q</w:t>
            </w:r>
          </w:p>
        </w:tc>
      </w:tr>
      <w:tr w:rsidR="00000000">
        <w:trPr>
          <w:divId w:val="1056931806"/>
        </w:trPr>
        <w:tc>
          <w:tcPr>
            <w:tcW w:w="0" w:type="auto"/>
            <w:gridSpan w:val="3"/>
            <w:tcMar>
              <w:top w:w="30" w:type="dxa"/>
              <w:left w:w="20" w:type="dxa"/>
              <w:bottom w:w="30" w:type="dxa"/>
              <w:right w:w="20" w:type="dxa"/>
            </w:tcMar>
            <w:vAlign w:val="bottom"/>
            <w:hideMark/>
          </w:tcPr>
          <w:p w:rsidR="00000000" w:rsidRDefault="001F1FC8">
            <w:pPr>
              <w:rPr>
                <w:rFonts w:eastAsia="Times New Roman"/>
              </w:rPr>
            </w:pPr>
            <w:r>
              <w:rPr>
                <w:rFonts w:ascii="Arial" w:eastAsia="Times New Roman" w:hAnsi="Arial" w:cs="Arial"/>
                <w:color w:val="000000"/>
                <w:sz w:val="16"/>
                <w:szCs w:val="16"/>
              </w:rPr>
              <w:t>Preference Shares, Series R</w:t>
            </w: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4.07 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w:t>
            </w:r>
          </w:p>
        </w:tc>
        <w:tc>
          <w:tcPr>
            <w:tcW w:w="0" w:type="auto"/>
            <w:gridSpan w:val="3"/>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$1.01825</w:t>
            </w:r>
          </w:p>
        </w:tc>
        <w:tc>
          <w:tcPr>
            <w:tcW w:w="0" w:type="auto"/>
            <w:gridSpan w:val="3"/>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$25</w:t>
            </w:r>
          </w:p>
        </w:tc>
        <w:tc>
          <w:tcPr>
            <w:tcW w:w="0" w:type="auto"/>
            <w:gridSpan w:val="3"/>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June 1, 2024</w:t>
            </w:r>
          </w:p>
        </w:tc>
        <w:tc>
          <w:tcPr>
            <w:tcW w:w="0" w:type="auto"/>
            <w:gridSpan w:val="3"/>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Series S</w:t>
            </w:r>
          </w:p>
        </w:tc>
      </w:tr>
      <w:tr w:rsidR="00000000">
        <w:trPr>
          <w:divId w:val="1056931806"/>
        </w:trPr>
        <w:tc>
          <w:tcPr>
            <w:tcW w:w="0" w:type="auto"/>
            <w:gridSpan w:val="3"/>
            <w:tcMar>
              <w:top w:w="30" w:type="dxa"/>
              <w:left w:w="20" w:type="dxa"/>
              <w:bottom w:w="30" w:type="dxa"/>
              <w:right w:w="20" w:type="dxa"/>
            </w:tcMar>
            <w:vAlign w:val="bottom"/>
            <w:hideMark/>
          </w:tcPr>
          <w:p w:rsidR="00000000" w:rsidRDefault="001F1FC8">
            <w:pPr>
              <w:rPr>
                <w:rFonts w:eastAsia="Times New Roman"/>
              </w:rPr>
            </w:pPr>
            <w:r>
              <w:rPr>
                <w:rFonts w:ascii="Arial" w:eastAsia="Times New Roman" w:hAnsi="Arial" w:cs="Arial"/>
                <w:color w:val="000000"/>
                <w:sz w:val="16"/>
                <w:szCs w:val="16"/>
              </w:rPr>
              <w:t>Preference Shares, Series 1</w:t>
            </w: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5.95 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w:t>
            </w:r>
          </w:p>
        </w:tc>
        <w:tc>
          <w:tcPr>
            <w:tcW w:w="0" w:type="auto"/>
            <w:gridSpan w:val="3"/>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US$1.48728</w:t>
            </w:r>
          </w:p>
        </w:tc>
        <w:tc>
          <w:tcPr>
            <w:tcW w:w="0" w:type="auto"/>
            <w:gridSpan w:val="3"/>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US$25</w:t>
            </w:r>
          </w:p>
        </w:tc>
        <w:tc>
          <w:tcPr>
            <w:tcW w:w="0" w:type="auto"/>
            <w:gridSpan w:val="3"/>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June 1, 2023</w:t>
            </w:r>
          </w:p>
        </w:tc>
        <w:tc>
          <w:tcPr>
            <w:tcW w:w="0" w:type="auto"/>
            <w:gridSpan w:val="3"/>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Series 2</w:t>
            </w:r>
          </w:p>
        </w:tc>
      </w:tr>
      <w:tr w:rsidR="00000000">
        <w:trPr>
          <w:divId w:val="1056931806"/>
        </w:trPr>
        <w:tc>
          <w:tcPr>
            <w:tcW w:w="0" w:type="auto"/>
            <w:gridSpan w:val="3"/>
            <w:tcMar>
              <w:top w:w="30" w:type="dxa"/>
              <w:left w:w="20" w:type="dxa"/>
              <w:bottom w:w="30" w:type="dxa"/>
              <w:right w:w="20" w:type="dxa"/>
            </w:tcMar>
            <w:vAlign w:val="bottom"/>
            <w:hideMark/>
          </w:tcPr>
          <w:p w:rsidR="00000000" w:rsidRDefault="001F1FC8">
            <w:pPr>
              <w:rPr>
                <w:rFonts w:eastAsia="Times New Roman"/>
              </w:rPr>
            </w:pPr>
            <w:r>
              <w:rPr>
                <w:rFonts w:ascii="Arial" w:eastAsia="Times New Roman" w:hAnsi="Arial" w:cs="Arial"/>
                <w:color w:val="000000"/>
                <w:sz w:val="16"/>
                <w:szCs w:val="16"/>
              </w:rPr>
              <w:t>Preference Shares, Series 3</w:t>
            </w: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3.74 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w:t>
            </w:r>
          </w:p>
        </w:tc>
        <w:tc>
          <w:tcPr>
            <w:tcW w:w="0" w:type="auto"/>
            <w:gridSpan w:val="3"/>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$0.93425</w:t>
            </w:r>
          </w:p>
        </w:tc>
        <w:tc>
          <w:tcPr>
            <w:tcW w:w="0" w:type="auto"/>
            <w:gridSpan w:val="3"/>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$25</w:t>
            </w:r>
          </w:p>
        </w:tc>
        <w:tc>
          <w:tcPr>
            <w:tcW w:w="0" w:type="auto"/>
            <w:gridSpan w:val="3"/>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September 1, 2024</w:t>
            </w:r>
          </w:p>
        </w:tc>
        <w:tc>
          <w:tcPr>
            <w:tcW w:w="0" w:type="auto"/>
            <w:gridSpan w:val="3"/>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Series 4</w:t>
            </w:r>
          </w:p>
        </w:tc>
      </w:tr>
      <w:tr w:rsidR="00000000">
        <w:trPr>
          <w:divId w:val="1056931806"/>
        </w:trPr>
        <w:tc>
          <w:tcPr>
            <w:tcW w:w="0" w:type="auto"/>
            <w:gridSpan w:val="3"/>
            <w:tcMar>
              <w:top w:w="30" w:type="dxa"/>
              <w:left w:w="20" w:type="dxa"/>
              <w:bottom w:w="30" w:type="dxa"/>
              <w:right w:w="20" w:type="dxa"/>
            </w:tcMar>
            <w:vAlign w:val="bottom"/>
            <w:hideMark/>
          </w:tcPr>
          <w:p w:rsidR="00000000" w:rsidRDefault="001F1FC8">
            <w:pPr>
              <w:rPr>
                <w:rFonts w:eastAsia="Times New Roman"/>
              </w:rPr>
            </w:pPr>
            <w:r>
              <w:rPr>
                <w:rFonts w:ascii="Arial" w:eastAsia="Times New Roman" w:hAnsi="Arial" w:cs="Arial"/>
                <w:color w:val="000000"/>
                <w:sz w:val="16"/>
                <w:szCs w:val="16"/>
              </w:rPr>
              <w:t>Preference Shares, Series 5</w:t>
            </w: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5.38 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w:t>
            </w:r>
          </w:p>
        </w:tc>
        <w:tc>
          <w:tcPr>
            <w:tcW w:w="0" w:type="auto"/>
            <w:gridSpan w:val="3"/>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US$1.34383</w:t>
            </w:r>
          </w:p>
        </w:tc>
        <w:tc>
          <w:tcPr>
            <w:tcW w:w="0" w:type="auto"/>
            <w:gridSpan w:val="3"/>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US$25</w:t>
            </w:r>
          </w:p>
        </w:tc>
        <w:tc>
          <w:tcPr>
            <w:tcW w:w="0" w:type="auto"/>
            <w:gridSpan w:val="3"/>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March 1, 2024</w:t>
            </w:r>
          </w:p>
        </w:tc>
        <w:tc>
          <w:tcPr>
            <w:tcW w:w="0" w:type="auto"/>
            <w:gridSpan w:val="3"/>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Series 6</w:t>
            </w:r>
          </w:p>
        </w:tc>
      </w:tr>
      <w:tr w:rsidR="00000000">
        <w:trPr>
          <w:divId w:val="1056931806"/>
        </w:trPr>
        <w:tc>
          <w:tcPr>
            <w:tcW w:w="0" w:type="auto"/>
            <w:gridSpan w:val="3"/>
            <w:tcMar>
              <w:top w:w="30" w:type="dxa"/>
              <w:left w:w="20" w:type="dxa"/>
              <w:bottom w:w="30" w:type="dxa"/>
              <w:right w:w="20" w:type="dxa"/>
            </w:tcMar>
            <w:vAlign w:val="bottom"/>
            <w:hideMark/>
          </w:tcPr>
          <w:p w:rsidR="00000000" w:rsidRDefault="001F1FC8">
            <w:pPr>
              <w:rPr>
                <w:rFonts w:eastAsia="Times New Roman"/>
              </w:rPr>
            </w:pPr>
            <w:r>
              <w:rPr>
                <w:rFonts w:ascii="Arial" w:eastAsia="Times New Roman" w:hAnsi="Arial" w:cs="Arial"/>
                <w:color w:val="000000"/>
                <w:sz w:val="16"/>
                <w:szCs w:val="16"/>
              </w:rPr>
              <w:t>Preference Shares, Series 7</w:t>
            </w: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4.45 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w:t>
            </w:r>
          </w:p>
        </w:tc>
        <w:tc>
          <w:tcPr>
            <w:tcW w:w="0" w:type="auto"/>
            <w:gridSpan w:val="3"/>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$1.11224</w:t>
            </w:r>
          </w:p>
        </w:tc>
        <w:tc>
          <w:tcPr>
            <w:tcW w:w="0" w:type="auto"/>
            <w:gridSpan w:val="3"/>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$25</w:t>
            </w:r>
          </w:p>
        </w:tc>
        <w:tc>
          <w:tcPr>
            <w:tcW w:w="0" w:type="auto"/>
            <w:gridSpan w:val="3"/>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March 1, 2024</w:t>
            </w:r>
          </w:p>
        </w:tc>
        <w:tc>
          <w:tcPr>
            <w:tcW w:w="0" w:type="auto"/>
            <w:gridSpan w:val="3"/>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Series 8</w:t>
            </w:r>
          </w:p>
        </w:tc>
      </w:tr>
      <w:tr w:rsidR="00000000">
        <w:trPr>
          <w:divId w:val="1056931806"/>
        </w:trPr>
        <w:tc>
          <w:tcPr>
            <w:tcW w:w="0" w:type="auto"/>
            <w:gridSpan w:val="3"/>
            <w:tcMar>
              <w:top w:w="30" w:type="dxa"/>
              <w:left w:w="20" w:type="dxa"/>
              <w:bottom w:w="30" w:type="dxa"/>
              <w:right w:w="20" w:type="dxa"/>
            </w:tcMar>
            <w:vAlign w:val="bottom"/>
            <w:hideMark/>
          </w:tcPr>
          <w:p w:rsidR="00000000" w:rsidRDefault="001F1FC8">
            <w:pPr>
              <w:rPr>
                <w:rFonts w:eastAsia="Times New Roman"/>
              </w:rPr>
            </w:pPr>
            <w:r>
              <w:rPr>
                <w:rFonts w:ascii="Arial" w:eastAsia="Times New Roman" w:hAnsi="Arial" w:cs="Arial"/>
                <w:color w:val="000000"/>
                <w:sz w:val="16"/>
                <w:szCs w:val="16"/>
              </w:rPr>
              <w:t>Preference Shares, Series 9</w:t>
            </w: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4.10 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w:t>
            </w:r>
          </w:p>
        </w:tc>
        <w:tc>
          <w:tcPr>
            <w:tcW w:w="0" w:type="auto"/>
            <w:gridSpan w:val="3"/>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w:t>
            </w:r>
            <w:r>
              <w:rPr>
                <w:rFonts w:ascii="Arial" w:eastAsia="Times New Roman" w:hAnsi="Arial" w:cs="Arial"/>
                <w:color w:val="000000"/>
                <w:sz w:val="16"/>
                <w:szCs w:val="16"/>
              </w:rPr>
              <w:t>1.02424</w:t>
            </w:r>
          </w:p>
        </w:tc>
        <w:tc>
          <w:tcPr>
            <w:tcW w:w="0" w:type="auto"/>
            <w:gridSpan w:val="3"/>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$25</w:t>
            </w:r>
          </w:p>
        </w:tc>
        <w:tc>
          <w:tcPr>
            <w:tcW w:w="0" w:type="auto"/>
            <w:gridSpan w:val="3"/>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December 1, 2024</w:t>
            </w:r>
          </w:p>
        </w:tc>
        <w:tc>
          <w:tcPr>
            <w:tcW w:w="0" w:type="auto"/>
            <w:gridSpan w:val="3"/>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Series 10</w:t>
            </w:r>
          </w:p>
        </w:tc>
      </w:tr>
      <w:tr w:rsidR="00000000">
        <w:trPr>
          <w:divId w:val="1056931806"/>
        </w:trPr>
        <w:tc>
          <w:tcPr>
            <w:tcW w:w="0" w:type="auto"/>
            <w:gridSpan w:val="3"/>
            <w:tcMar>
              <w:top w:w="30" w:type="dxa"/>
              <w:left w:w="20" w:type="dxa"/>
              <w:bottom w:w="30" w:type="dxa"/>
              <w:right w:w="20" w:type="dxa"/>
            </w:tcMar>
            <w:vAlign w:val="bottom"/>
            <w:hideMark/>
          </w:tcPr>
          <w:p w:rsidR="00000000" w:rsidRDefault="001F1FC8">
            <w:pPr>
              <w:rPr>
                <w:rFonts w:eastAsia="Times New Roman"/>
              </w:rPr>
            </w:pPr>
            <w:r>
              <w:rPr>
                <w:rFonts w:ascii="Arial" w:eastAsia="Times New Roman" w:hAnsi="Arial" w:cs="Arial"/>
                <w:color w:val="000000"/>
                <w:sz w:val="16"/>
                <w:szCs w:val="16"/>
              </w:rPr>
              <w:t>Preference Shares, Series 11</w:t>
            </w: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3.94 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w:t>
            </w:r>
          </w:p>
        </w:tc>
        <w:tc>
          <w:tcPr>
            <w:tcW w:w="0" w:type="auto"/>
            <w:gridSpan w:val="3"/>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$0.98452</w:t>
            </w:r>
          </w:p>
        </w:tc>
        <w:tc>
          <w:tcPr>
            <w:tcW w:w="0" w:type="auto"/>
            <w:gridSpan w:val="3"/>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$25</w:t>
            </w:r>
          </w:p>
        </w:tc>
        <w:tc>
          <w:tcPr>
            <w:tcW w:w="0" w:type="auto"/>
            <w:gridSpan w:val="3"/>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March 1, 2025</w:t>
            </w:r>
          </w:p>
        </w:tc>
        <w:tc>
          <w:tcPr>
            <w:tcW w:w="0" w:type="auto"/>
            <w:gridSpan w:val="3"/>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Series 12</w:t>
            </w:r>
          </w:p>
        </w:tc>
      </w:tr>
      <w:tr w:rsidR="00000000">
        <w:trPr>
          <w:divId w:val="1056931806"/>
        </w:trPr>
        <w:tc>
          <w:tcPr>
            <w:tcW w:w="0" w:type="auto"/>
            <w:gridSpan w:val="3"/>
            <w:tcMar>
              <w:top w:w="30" w:type="dxa"/>
              <w:left w:w="20" w:type="dxa"/>
              <w:bottom w:w="30" w:type="dxa"/>
              <w:right w:w="20" w:type="dxa"/>
            </w:tcMar>
            <w:vAlign w:val="bottom"/>
            <w:hideMark/>
          </w:tcPr>
          <w:p w:rsidR="00000000" w:rsidRDefault="001F1FC8">
            <w:pPr>
              <w:rPr>
                <w:rFonts w:eastAsia="Times New Roman"/>
              </w:rPr>
            </w:pPr>
            <w:r>
              <w:rPr>
                <w:rFonts w:ascii="Arial" w:eastAsia="Times New Roman" w:hAnsi="Arial" w:cs="Arial"/>
                <w:color w:val="000000"/>
                <w:sz w:val="16"/>
                <w:szCs w:val="16"/>
              </w:rPr>
              <w:t>Preference Shares, Series 13</w:t>
            </w: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3.04 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w:t>
            </w:r>
          </w:p>
        </w:tc>
        <w:tc>
          <w:tcPr>
            <w:tcW w:w="0" w:type="auto"/>
            <w:gridSpan w:val="3"/>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$0.76076</w:t>
            </w:r>
          </w:p>
        </w:tc>
        <w:tc>
          <w:tcPr>
            <w:tcW w:w="0" w:type="auto"/>
            <w:gridSpan w:val="3"/>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$25</w:t>
            </w:r>
          </w:p>
        </w:tc>
        <w:tc>
          <w:tcPr>
            <w:tcW w:w="0" w:type="auto"/>
            <w:gridSpan w:val="3"/>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June 1, 2025</w:t>
            </w:r>
          </w:p>
        </w:tc>
        <w:tc>
          <w:tcPr>
            <w:tcW w:w="0" w:type="auto"/>
            <w:gridSpan w:val="3"/>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Series 14</w:t>
            </w:r>
          </w:p>
        </w:tc>
      </w:tr>
      <w:tr w:rsidR="00000000">
        <w:trPr>
          <w:divId w:val="1056931806"/>
        </w:trPr>
        <w:tc>
          <w:tcPr>
            <w:tcW w:w="0" w:type="auto"/>
            <w:gridSpan w:val="3"/>
            <w:tcMar>
              <w:top w:w="30" w:type="dxa"/>
              <w:left w:w="20" w:type="dxa"/>
              <w:bottom w:w="30" w:type="dxa"/>
              <w:right w:w="20" w:type="dxa"/>
            </w:tcMar>
            <w:vAlign w:val="bottom"/>
            <w:hideMark/>
          </w:tcPr>
          <w:p w:rsidR="00000000" w:rsidRDefault="001F1FC8">
            <w:pPr>
              <w:rPr>
                <w:rFonts w:eastAsia="Times New Roman"/>
              </w:rPr>
            </w:pPr>
            <w:r>
              <w:rPr>
                <w:rFonts w:ascii="Arial" w:eastAsia="Times New Roman" w:hAnsi="Arial" w:cs="Arial"/>
                <w:color w:val="000000"/>
                <w:sz w:val="16"/>
                <w:szCs w:val="16"/>
              </w:rPr>
              <w:t>Preference Shares, Series 15</w:t>
            </w: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2.98 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w:t>
            </w:r>
          </w:p>
        </w:tc>
        <w:tc>
          <w:tcPr>
            <w:tcW w:w="0" w:type="auto"/>
            <w:gridSpan w:val="3"/>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$0.74576</w:t>
            </w:r>
          </w:p>
        </w:tc>
        <w:tc>
          <w:tcPr>
            <w:tcW w:w="0" w:type="auto"/>
            <w:gridSpan w:val="3"/>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$25</w:t>
            </w:r>
          </w:p>
        </w:tc>
        <w:tc>
          <w:tcPr>
            <w:tcW w:w="0" w:type="auto"/>
            <w:gridSpan w:val="3"/>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September 1, 2025</w:t>
            </w:r>
          </w:p>
        </w:tc>
        <w:tc>
          <w:tcPr>
            <w:tcW w:w="0" w:type="auto"/>
            <w:gridSpan w:val="3"/>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Series 16</w:t>
            </w:r>
          </w:p>
        </w:tc>
      </w:tr>
      <w:tr w:rsidR="00000000">
        <w:trPr>
          <w:divId w:val="1056931806"/>
        </w:trPr>
        <w:tc>
          <w:tcPr>
            <w:tcW w:w="0" w:type="auto"/>
            <w:gridSpan w:val="3"/>
            <w:tcMar>
              <w:top w:w="30" w:type="dxa"/>
              <w:left w:w="20" w:type="dxa"/>
              <w:bottom w:w="30" w:type="dxa"/>
              <w:right w:w="20" w:type="dxa"/>
            </w:tcMar>
            <w:vAlign w:val="bottom"/>
            <w:hideMark/>
          </w:tcPr>
          <w:p w:rsidR="00000000" w:rsidRDefault="001F1FC8">
            <w:pPr>
              <w:rPr>
                <w:rFonts w:eastAsia="Times New Roman"/>
              </w:rPr>
            </w:pPr>
            <w:r>
              <w:rPr>
                <w:rFonts w:ascii="Arial" w:eastAsia="Times New Roman" w:hAnsi="Arial" w:cs="Arial"/>
                <w:color w:val="000000"/>
                <w:sz w:val="16"/>
                <w:szCs w:val="16"/>
              </w:rPr>
              <w:t>Preference Shares, Series 17</w:t>
            </w: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5.15 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w:t>
            </w:r>
          </w:p>
        </w:tc>
        <w:tc>
          <w:tcPr>
            <w:tcW w:w="0" w:type="auto"/>
            <w:gridSpan w:val="3"/>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$1.28750</w:t>
            </w:r>
          </w:p>
        </w:tc>
        <w:tc>
          <w:tcPr>
            <w:tcW w:w="0" w:type="auto"/>
            <w:gridSpan w:val="3"/>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$25</w:t>
            </w:r>
          </w:p>
        </w:tc>
        <w:tc>
          <w:tcPr>
            <w:tcW w:w="0" w:type="auto"/>
            <w:gridSpan w:val="3"/>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March 1, 2022</w:t>
            </w:r>
          </w:p>
        </w:tc>
        <w:tc>
          <w:tcPr>
            <w:tcW w:w="0" w:type="auto"/>
            <w:gridSpan w:val="3"/>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Series 18</w:t>
            </w:r>
          </w:p>
        </w:tc>
      </w:tr>
      <w:tr w:rsidR="00000000">
        <w:trPr>
          <w:divId w:val="1056931806"/>
        </w:trPr>
        <w:tc>
          <w:tcPr>
            <w:tcW w:w="0" w:type="auto"/>
            <w:gridSpan w:val="3"/>
            <w:tcBorders>
              <w:bottom w:val="single" w:sz="8" w:space="0" w:color="000000"/>
            </w:tcBorders>
            <w:tcMar>
              <w:top w:w="30" w:type="dxa"/>
              <w:left w:w="20" w:type="dxa"/>
              <w:bottom w:w="30" w:type="dxa"/>
              <w:right w:w="20" w:type="dxa"/>
            </w:tcMar>
            <w:vAlign w:val="bottom"/>
            <w:hideMark/>
          </w:tcPr>
          <w:p w:rsidR="00000000" w:rsidRDefault="001F1FC8">
            <w:pPr>
              <w:rPr>
                <w:rFonts w:eastAsia="Times New Roman"/>
              </w:rPr>
            </w:pPr>
            <w:r>
              <w:rPr>
                <w:rFonts w:ascii="Arial" w:eastAsia="Times New Roman" w:hAnsi="Arial" w:cs="Arial"/>
                <w:color w:val="000000"/>
                <w:sz w:val="16"/>
                <w:szCs w:val="16"/>
              </w:rPr>
              <w:t>Preference Shares, Series 19</w:t>
            </w:r>
          </w:p>
        </w:tc>
        <w:tc>
          <w:tcPr>
            <w:tcW w:w="0" w:type="auto"/>
            <w:gridSpan w:val="2"/>
            <w:tcBorders>
              <w:bottom w:val="single" w:sz="8" w:space="0" w:color="000000"/>
            </w:tcBorders>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4.90 </w:t>
            </w:r>
          </w:p>
        </w:tc>
        <w:tc>
          <w:tcPr>
            <w:tcW w:w="0" w:type="auto"/>
            <w:tcBorders>
              <w:bottom w:val="single" w:sz="8" w:space="0" w:color="000000"/>
            </w:tcBorders>
            <w:tcMar>
              <w:top w:w="30" w:type="dxa"/>
              <w:left w:w="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w:t>
            </w: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$1.22500</w:t>
            </w: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$25</w:t>
            </w: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March 1, 2023</w:t>
            </w: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Series 20</w:t>
            </w:r>
          </w:p>
        </w:tc>
      </w:tr>
    </w:tbl>
    <w:p w:rsidR="00000000" w:rsidRDefault="001F1FC8">
      <w:pPr>
        <w:ind w:hanging="180"/>
        <w:divId w:val="296105440"/>
        <w:rPr>
          <w:rFonts w:eastAsia="Times New Roman"/>
        </w:rPr>
      </w:pPr>
      <w:r>
        <w:rPr>
          <w:rFonts w:ascii="Arial" w:eastAsia="Times New Roman" w:hAnsi="Arial" w:cs="Arial"/>
          <w:i/>
          <w:iCs/>
          <w:color w:val="000000"/>
          <w:sz w:val="16"/>
          <w:szCs w:val="16"/>
        </w:rPr>
        <w:t>1</w:t>
      </w:r>
      <w:r>
        <w:rPr>
          <w:rFonts w:ascii="Arial" w:eastAsia="Times New Roman" w:hAnsi="Arial" w:cs="Arial"/>
          <w:i/>
          <w:iCs/>
          <w:color w:val="000000"/>
          <w:sz w:val="16"/>
          <w:szCs w:val="16"/>
        </w:rPr>
        <w:t xml:space="preserve">The holder is entitled to receive a fixed, cumulative, quarterly preferential dividend, as declared by the Board of Directors. With the exception of Series A and Series C Preference Shares, such fixed dividend rate resets every five years beginning on the </w:t>
      </w:r>
      <w:r>
        <w:rPr>
          <w:rFonts w:ascii="Arial" w:eastAsia="Times New Roman" w:hAnsi="Arial" w:cs="Arial"/>
          <w:i/>
          <w:iCs/>
          <w:color w:val="000000"/>
          <w:sz w:val="16"/>
          <w:szCs w:val="16"/>
        </w:rPr>
        <w:t>initial redemption and conversion option date. The Series 17 and Series 19 Preference Shares contain a feature where the fixed dividend rate, when reset every five years, will not be less than 5.15% and 4.90%, respectively. No other series of Preference Sh</w:t>
      </w:r>
      <w:r>
        <w:rPr>
          <w:rFonts w:ascii="Arial" w:eastAsia="Times New Roman" w:hAnsi="Arial" w:cs="Arial"/>
          <w:i/>
          <w:iCs/>
          <w:color w:val="000000"/>
          <w:sz w:val="16"/>
          <w:szCs w:val="16"/>
        </w:rPr>
        <w:t>ares has this feature.</w:t>
      </w:r>
    </w:p>
    <w:p w:rsidR="00000000" w:rsidRDefault="001F1FC8">
      <w:pPr>
        <w:ind w:hanging="180"/>
        <w:divId w:val="1994210919"/>
        <w:rPr>
          <w:rFonts w:eastAsia="Times New Roman"/>
        </w:rPr>
      </w:pPr>
      <w:r>
        <w:rPr>
          <w:rFonts w:ascii="Arial" w:eastAsia="Times New Roman" w:hAnsi="Arial" w:cs="Arial"/>
          <w:i/>
          <w:iCs/>
          <w:color w:val="000000"/>
          <w:sz w:val="16"/>
          <w:szCs w:val="16"/>
        </w:rPr>
        <w:t>2Series A Preference Shares may be redeemed any time at our option. For all other series of Preference Shares, we may at our option, redeem all or a portion of the outstanding Preference Shares for the Base Redemption Value per share</w:t>
      </w:r>
      <w:r>
        <w:rPr>
          <w:rFonts w:ascii="Arial" w:eastAsia="Times New Roman" w:hAnsi="Arial" w:cs="Arial"/>
          <w:i/>
          <w:iCs/>
          <w:color w:val="000000"/>
          <w:sz w:val="16"/>
          <w:szCs w:val="16"/>
        </w:rPr>
        <w:t xml:space="preserve"> plus all accrued and unpaid dividends on the Redemption Option Date and on every fifth anniversary thereafter.</w:t>
      </w:r>
    </w:p>
    <w:p w:rsidR="00000000" w:rsidRDefault="001F1FC8">
      <w:pPr>
        <w:ind w:hanging="180"/>
        <w:divId w:val="260601890"/>
        <w:rPr>
          <w:rFonts w:eastAsia="Times New Roman"/>
        </w:rPr>
      </w:pPr>
      <w:r>
        <w:rPr>
          <w:rFonts w:ascii="Arial" w:eastAsia="Times New Roman" w:hAnsi="Arial" w:cs="Arial"/>
          <w:i/>
          <w:iCs/>
          <w:color w:val="000000"/>
          <w:sz w:val="16"/>
          <w:szCs w:val="16"/>
        </w:rPr>
        <w:t>3</w:t>
      </w:r>
      <w:r>
        <w:rPr>
          <w:rFonts w:ascii="Arial" w:eastAsia="Times New Roman" w:hAnsi="Arial" w:cs="Arial"/>
          <w:i/>
          <w:iCs/>
          <w:color w:val="000000"/>
          <w:sz w:val="16"/>
          <w:szCs w:val="16"/>
        </w:rPr>
        <w:t>The holder will have the right, subject to certain conditions, to convert their shares into Cumulative Redeemable Preference Shares of a specified series on a one-for-one basis on the Conversion Option Date and every fifth anniversary thereafter at an ascr</w:t>
      </w:r>
      <w:r>
        <w:rPr>
          <w:rFonts w:ascii="Arial" w:eastAsia="Times New Roman" w:hAnsi="Arial" w:cs="Arial"/>
          <w:i/>
          <w:iCs/>
          <w:color w:val="000000"/>
          <w:sz w:val="16"/>
          <w:szCs w:val="16"/>
        </w:rPr>
        <w:t>ibed issue price equal to the Base Redemption Value.</w:t>
      </w:r>
    </w:p>
    <w:p w:rsidR="00000000" w:rsidRDefault="001F1FC8">
      <w:pPr>
        <w:ind w:hanging="180"/>
        <w:divId w:val="1401055956"/>
        <w:rPr>
          <w:rFonts w:eastAsia="Times New Roman"/>
        </w:rPr>
      </w:pPr>
      <w:r>
        <w:rPr>
          <w:rFonts w:ascii="Arial" w:eastAsia="Times New Roman" w:hAnsi="Arial" w:cs="Arial"/>
          <w:i/>
          <w:iCs/>
          <w:color w:val="000000"/>
          <w:sz w:val="16"/>
          <w:szCs w:val="16"/>
        </w:rPr>
        <w:t>4With the exception of Series A Preference Shares, after the redemption and conversion option dates, holders may elect to receive quarterly floating rate cumulative dividends per share at a rate equal to</w:t>
      </w:r>
      <w:r>
        <w:rPr>
          <w:rFonts w:ascii="Arial" w:eastAsia="Times New Roman" w:hAnsi="Arial" w:cs="Arial"/>
          <w:i/>
          <w:iCs/>
          <w:color w:val="000000"/>
          <w:sz w:val="16"/>
          <w:szCs w:val="16"/>
        </w:rPr>
        <w:t xml:space="preserve">: $25 x (number of days in quarter/number of days in a year) x three-month Government of Canada treasury bill rate </w:t>
      </w:r>
      <w:r>
        <w:rPr>
          <w:rFonts w:ascii="Arial" w:eastAsia="Times New Roman" w:hAnsi="Arial" w:cs="Arial"/>
          <w:color w:val="000000"/>
          <w:sz w:val="16"/>
          <w:szCs w:val="16"/>
        </w:rPr>
        <w:t>+</w:t>
      </w:r>
      <w:r>
        <w:rPr>
          <w:rFonts w:ascii="Arial" w:eastAsia="Times New Roman" w:hAnsi="Arial" w:cs="Arial"/>
          <w:i/>
          <w:iCs/>
          <w:color w:val="000000"/>
          <w:sz w:val="16"/>
          <w:szCs w:val="16"/>
        </w:rPr>
        <w:t xml:space="preserve"> 2.4% (Series C), 2.4% (Series E), 2.5% (Series G), 2.1% (Series I), 2.7% (Series O), 2.5% (Series Q), 2.5% (Series S), 2.4% (Series 4), 2.6</w:t>
      </w:r>
      <w:r>
        <w:rPr>
          <w:rFonts w:ascii="Arial" w:eastAsia="Times New Roman" w:hAnsi="Arial" w:cs="Arial"/>
          <w:i/>
          <w:iCs/>
          <w:color w:val="000000"/>
          <w:sz w:val="16"/>
          <w:szCs w:val="16"/>
        </w:rPr>
        <w:t>% (Series 8), 2.7% (Series 10), 2.6% (Series 12), 2.7% (Series 14), 2.7% (Series 16), 4.1% (Series 18) or 3.2% (Series 20); or US$25 x (number of days in quarter/number of days in a year) x three-month US Government treasury bill rate + 3.1% (Series K), 3.</w:t>
      </w:r>
      <w:r>
        <w:rPr>
          <w:rFonts w:ascii="Arial" w:eastAsia="Times New Roman" w:hAnsi="Arial" w:cs="Arial"/>
          <w:i/>
          <w:iCs/>
          <w:color w:val="000000"/>
          <w:sz w:val="16"/>
          <w:szCs w:val="16"/>
        </w:rPr>
        <w:t>2% (Series M), 3.1% (Series 2) or 2.8% (Series 6).</w:t>
      </w:r>
    </w:p>
    <w:p w:rsidR="00000000" w:rsidRDefault="001F1FC8">
      <w:pPr>
        <w:ind w:hanging="180"/>
        <w:divId w:val="2046445644"/>
        <w:rPr>
          <w:rFonts w:eastAsia="Times New Roman"/>
        </w:rPr>
      </w:pPr>
      <w:r>
        <w:rPr>
          <w:rFonts w:ascii="Arial" w:eastAsia="Times New Roman" w:hAnsi="Arial" w:cs="Arial"/>
          <w:i/>
          <w:iCs/>
          <w:color w:val="000000"/>
          <w:sz w:val="16"/>
          <w:szCs w:val="16"/>
        </w:rPr>
        <w:t>5The floating quarterly dividend amount for the Series C Preference Shares was increased to $0.15501 from $0.15349 on March 1, 2021, was increased to $0.15753 from $0.15501 on June 1, 2021, was increased t</w:t>
      </w:r>
      <w:r>
        <w:rPr>
          <w:rFonts w:ascii="Arial" w:eastAsia="Times New Roman" w:hAnsi="Arial" w:cs="Arial"/>
          <w:i/>
          <w:iCs/>
          <w:color w:val="000000"/>
          <w:sz w:val="16"/>
          <w:szCs w:val="16"/>
        </w:rPr>
        <w:t xml:space="preserve">o $0.16081 from $0.15753 on September 1, 2021 and was decreased to $0.15719 from $0.16081 on December 1, 2021, due to reset on a quarterly basis following the issuance thereof. </w:t>
      </w:r>
    </w:p>
    <w:p w:rsidR="00000000" w:rsidRDefault="001F1FC8">
      <w:pPr>
        <w:divId w:val="955908260"/>
        <w:rPr>
          <w:rFonts w:eastAsia="Times New Roman"/>
        </w:rPr>
      </w:pPr>
    </w:p>
    <w:p w:rsidR="00000000" w:rsidRDefault="001F1FC8">
      <w:pPr>
        <w:divId w:val="393891773"/>
        <w:rPr>
          <w:rFonts w:eastAsia="Times New Roman"/>
        </w:rPr>
      </w:pPr>
      <w:r>
        <w:rPr>
          <w:rFonts w:ascii="Arial" w:eastAsia="Times New Roman" w:hAnsi="Arial" w:cs="Arial"/>
          <w:b/>
          <w:bCs/>
          <w:color w:val="000000"/>
          <w:sz w:val="20"/>
          <w:szCs w:val="20"/>
        </w:rPr>
        <w:t>PREFERENCE SHARE REDEMPTION</w:t>
      </w:r>
    </w:p>
    <w:p w:rsidR="00000000" w:rsidRDefault="001F1FC8">
      <w:pPr>
        <w:divId w:val="906383628"/>
        <w:rPr>
          <w:rFonts w:eastAsia="Times New Roman"/>
        </w:rPr>
      </w:pPr>
      <w:r>
        <w:rPr>
          <w:rFonts w:ascii="Arial" w:eastAsia="Times New Roman" w:hAnsi="Arial" w:cs="Arial"/>
          <w:color w:val="000000"/>
          <w:sz w:val="20"/>
          <w:szCs w:val="20"/>
        </w:rPr>
        <w:t>We intend to exercise our right to redeem all of</w:t>
      </w:r>
      <w:r>
        <w:rPr>
          <w:rFonts w:ascii="Arial" w:eastAsia="Times New Roman" w:hAnsi="Arial" w:cs="Arial"/>
          <w:color w:val="000000"/>
          <w:sz w:val="20"/>
          <w:szCs w:val="20"/>
        </w:rPr>
        <w:t xml:space="preserve"> our outstanding cumulative redeemable minimum rate reset preference shares, Series 17, on March 1, 2022 at a price of $25 per Series 17 share, together with all accrued and unpaid dividends, if any.</w:t>
      </w:r>
    </w:p>
    <w:p w:rsidR="00000000" w:rsidRDefault="001F1FC8">
      <w:pPr>
        <w:divId w:val="1515073879"/>
        <w:rPr>
          <w:rFonts w:eastAsia="Times New Roman"/>
        </w:rPr>
      </w:pPr>
    </w:p>
    <w:p w:rsidR="00000000" w:rsidRDefault="001F1FC8">
      <w:pPr>
        <w:jc w:val="center"/>
        <w:divId w:val="1584100535"/>
        <w:rPr>
          <w:rFonts w:eastAsia="Times New Roman"/>
        </w:rPr>
      </w:pPr>
      <w:r>
        <w:rPr>
          <w:rFonts w:ascii="Arial" w:eastAsia="Times New Roman" w:hAnsi="Arial" w:cs="Arial"/>
          <w:color w:val="000000"/>
          <w:sz w:val="20"/>
          <w:szCs w:val="20"/>
        </w:rPr>
        <w:t>144</w:t>
      </w:r>
    </w:p>
    <w:p w:rsidR="00000000" w:rsidRDefault="001F1FC8">
      <w:pPr>
        <w:rPr>
          <w:rFonts w:eastAsia="Times New Roman"/>
        </w:rPr>
      </w:pPr>
      <w:r>
        <w:rPr>
          <w:rFonts w:eastAsia="Times New Roman"/>
        </w:rPr>
        <w:pict>
          <v:rect id="_x0000_i1174" style="width:0;height:1.5pt" o:hralign="center" o:hrstd="t" o:hr="t" fillcolor="#a0a0a0" stroked="f"/>
        </w:pict>
      </w:r>
    </w:p>
    <w:p w:rsidR="00000000" w:rsidRDefault="001F1FC8">
      <w:pPr>
        <w:jc w:val="center"/>
        <w:divId w:val="265508756"/>
        <w:rPr>
          <w:rFonts w:eastAsia="Times New Roman"/>
        </w:rPr>
      </w:pPr>
    </w:p>
    <w:p w:rsidR="00000000" w:rsidRDefault="001F1FC8">
      <w:pPr>
        <w:divId w:val="1698894034"/>
        <w:rPr>
          <w:rFonts w:eastAsia="Times New Roman"/>
        </w:rPr>
      </w:pPr>
      <w:r>
        <w:rPr>
          <w:rFonts w:ascii="Arial" w:eastAsia="Times New Roman" w:hAnsi="Arial" w:cs="Arial"/>
          <w:b/>
          <w:bCs/>
          <w:color w:val="000000"/>
          <w:sz w:val="20"/>
          <w:szCs w:val="20"/>
        </w:rPr>
        <w:t xml:space="preserve">SHAREHOLDER </w:t>
      </w:r>
      <w:r>
        <w:rPr>
          <w:rFonts w:ascii="Arial" w:eastAsia="Times New Roman" w:hAnsi="Arial" w:cs="Arial"/>
          <w:b/>
          <w:bCs/>
          <w:color w:val="000000"/>
          <w:sz w:val="20"/>
          <w:szCs w:val="20"/>
        </w:rPr>
        <w:t>RIGHTS PLAN</w:t>
      </w:r>
    </w:p>
    <w:p w:rsidR="00000000" w:rsidRDefault="001F1FC8">
      <w:pPr>
        <w:divId w:val="1338924774"/>
        <w:rPr>
          <w:rFonts w:eastAsia="Times New Roman"/>
        </w:rPr>
      </w:pPr>
      <w:r>
        <w:rPr>
          <w:rFonts w:ascii="Arial" w:eastAsia="Times New Roman" w:hAnsi="Arial" w:cs="Arial"/>
          <w:color w:val="000000"/>
          <w:sz w:val="20"/>
          <w:szCs w:val="20"/>
        </w:rPr>
        <w:t>The Shareholder Rights Plan is designed to encourage the fair treatment of our shareholders in connection with any takeover offer. Rights issued under the plan become exercisable when a person and any related parties acquires or announces its i</w:t>
      </w:r>
      <w:r>
        <w:rPr>
          <w:rFonts w:ascii="Arial" w:eastAsia="Times New Roman" w:hAnsi="Arial" w:cs="Arial"/>
          <w:color w:val="000000"/>
          <w:sz w:val="20"/>
          <w:szCs w:val="20"/>
        </w:rPr>
        <w:t>ntention to acquire 20% or more of our outstanding common shares without complying with certain provisions set out in the plan or without approval of our Board of Directors. Should such an acquisition occur, each rights holder, other than the acquiring per</w:t>
      </w:r>
      <w:r>
        <w:rPr>
          <w:rFonts w:ascii="Arial" w:eastAsia="Times New Roman" w:hAnsi="Arial" w:cs="Arial"/>
          <w:color w:val="000000"/>
          <w:sz w:val="20"/>
          <w:szCs w:val="20"/>
        </w:rPr>
        <w:t>son and related parties, will have the right to purchase our common shares at a 50% discount to the market price at that time.</w:t>
      </w:r>
    </w:p>
    <w:p w:rsidR="00000000" w:rsidRDefault="001F1FC8">
      <w:pPr>
        <w:divId w:val="911309588"/>
        <w:rPr>
          <w:rFonts w:eastAsia="Times New Roman"/>
        </w:rPr>
      </w:pPr>
    </w:p>
    <w:p w:rsidR="00000000" w:rsidRDefault="001F1FC8">
      <w:pPr>
        <w:divId w:val="1419405567"/>
        <w:rPr>
          <w:rFonts w:eastAsia="Times New Roman"/>
        </w:rPr>
      </w:pPr>
      <w:r>
        <w:rPr>
          <w:rFonts w:ascii="Arial" w:eastAsia="Times New Roman" w:hAnsi="Arial" w:cs="Arial"/>
          <w:b/>
          <w:bCs/>
          <w:color w:val="000000"/>
          <w:sz w:val="26"/>
          <w:szCs w:val="26"/>
        </w:rPr>
        <w:t>22.  STOCK OPTION AND STOCK UNIT PLANS</w:t>
      </w:r>
    </w:p>
    <w:p w:rsidR="00000000" w:rsidRDefault="001F1FC8">
      <w:pPr>
        <w:divId w:val="532574516"/>
        <w:rPr>
          <w:rFonts w:eastAsia="Times New Roman"/>
        </w:rPr>
      </w:pPr>
    </w:p>
    <w:p w:rsidR="00000000" w:rsidRDefault="001F1FC8">
      <w:pPr>
        <w:divId w:val="2101827188"/>
        <w:rPr>
          <w:rFonts w:eastAsia="Times New Roman"/>
        </w:rPr>
      </w:pPr>
      <w:r>
        <w:rPr>
          <w:rFonts w:ascii="Arial" w:eastAsia="Times New Roman" w:hAnsi="Arial" w:cs="Arial"/>
          <w:color w:val="000000"/>
          <w:sz w:val="20"/>
          <w:szCs w:val="20"/>
        </w:rPr>
        <w:t xml:space="preserve">We maintain three </w:t>
      </w:r>
      <w:r>
        <w:rPr>
          <w:rFonts w:ascii="Arial" w:eastAsia="Times New Roman" w:hAnsi="Arial" w:cs="Arial"/>
          <w:color w:val="000000"/>
          <w:sz w:val="20"/>
          <w:szCs w:val="20"/>
        </w:rPr>
        <w:t>long-term incentive compensation plans: the ISO Plan, the PSU Plan and the RSU Plan. Total stock-based compensation expense recorded for the years ended December 31, 2021, 2020 and 2019 was $157 million, $145 million and $117 million, respectively. Disclos</w:t>
      </w:r>
      <w:r>
        <w:rPr>
          <w:rFonts w:ascii="Arial" w:eastAsia="Times New Roman" w:hAnsi="Arial" w:cs="Arial"/>
          <w:color w:val="000000"/>
          <w:sz w:val="20"/>
          <w:szCs w:val="20"/>
        </w:rPr>
        <w:t>ure of activity and assumptions for material stock-based compensation plans are included below.</w:t>
      </w:r>
    </w:p>
    <w:p w:rsidR="00000000" w:rsidRDefault="001F1FC8">
      <w:pPr>
        <w:divId w:val="1255093615"/>
        <w:rPr>
          <w:rFonts w:eastAsia="Times New Roman"/>
        </w:rPr>
      </w:pPr>
      <w:r>
        <w:rPr>
          <w:rFonts w:ascii="Arial" w:eastAsia="Times New Roman" w:hAnsi="Arial" w:cs="Arial"/>
          <w:color w:val="000000"/>
          <w:sz w:val="20"/>
          <w:szCs w:val="20"/>
        </w:rPr>
        <w:t> </w:t>
      </w:r>
    </w:p>
    <w:p w:rsidR="00000000" w:rsidRDefault="001F1FC8">
      <w:pPr>
        <w:divId w:val="153419797"/>
        <w:rPr>
          <w:rFonts w:eastAsia="Times New Roman"/>
        </w:rPr>
      </w:pPr>
      <w:r>
        <w:rPr>
          <w:rFonts w:ascii="Arial" w:eastAsia="Times New Roman" w:hAnsi="Arial" w:cs="Arial"/>
          <w:b/>
          <w:bCs/>
          <w:color w:val="000000"/>
          <w:sz w:val="20"/>
          <w:szCs w:val="20"/>
        </w:rPr>
        <w:t>INCENTIVE STOCK OPTIONS</w:t>
      </w:r>
    </w:p>
    <w:p w:rsidR="00000000" w:rsidRDefault="001F1FC8">
      <w:pPr>
        <w:divId w:val="678045307"/>
        <w:rPr>
          <w:rFonts w:eastAsia="Times New Roman"/>
        </w:rPr>
      </w:pPr>
      <w:r>
        <w:rPr>
          <w:rFonts w:ascii="Arial" w:eastAsia="Times New Roman" w:hAnsi="Arial" w:cs="Arial"/>
          <w:color w:val="000000"/>
          <w:sz w:val="20"/>
          <w:szCs w:val="20"/>
        </w:rPr>
        <w:t>Certain key employees are granted ISOs to purchase common shares at the grant date market price. ISOs vest in equal annual installment</w:t>
      </w:r>
      <w:r>
        <w:rPr>
          <w:rFonts w:ascii="Arial" w:eastAsia="Times New Roman" w:hAnsi="Arial" w:cs="Arial"/>
          <w:color w:val="000000"/>
          <w:sz w:val="20"/>
          <w:szCs w:val="20"/>
        </w:rPr>
        <w:t>s over a</w:t>
      </w:r>
      <w:r>
        <w:rPr>
          <w:rFonts w:ascii="Arial" w:eastAsia="Times New Roman" w:hAnsi="Arial" w:cs="Arial"/>
          <w:color w:val="000000"/>
          <w:sz w:val="20"/>
          <w:szCs w:val="20"/>
        </w:rPr>
        <w:t xml:space="preserve"> </w:t>
      </w:r>
      <w:r>
        <w:rPr>
          <w:rFonts w:ascii="Arial" w:eastAsia="Times New Roman" w:hAnsi="Arial" w:cs="Arial"/>
          <w:color w:val="000000"/>
          <w:sz w:val="20"/>
          <w:szCs w:val="20"/>
        </w:rPr>
        <w:t>fou</w:t>
      </w:r>
      <w:r>
        <w:rPr>
          <w:rFonts w:ascii="Arial" w:eastAsia="Times New Roman" w:hAnsi="Arial" w:cs="Arial"/>
          <w:color w:val="000000"/>
          <w:sz w:val="20"/>
          <w:szCs w:val="20"/>
        </w:rPr>
        <w:t>r</w:t>
      </w:r>
      <w:r>
        <w:rPr>
          <w:rFonts w:ascii="Arial" w:eastAsia="Times New Roman" w:hAnsi="Arial" w:cs="Arial"/>
          <w:color w:val="000000"/>
          <w:sz w:val="20"/>
          <w:szCs w:val="20"/>
        </w:rPr>
        <w:t>-year period and expire 10 years after the issue date.</w:t>
      </w:r>
    </w:p>
    <w:tbl>
      <w:tblPr>
        <w:tblW w:w="5000" w:type="pct"/>
        <w:tblCellMar>
          <w:top w:w="15" w:type="dxa"/>
          <w:left w:w="15" w:type="dxa"/>
          <w:bottom w:w="15" w:type="dxa"/>
          <w:right w:w="15" w:type="dxa"/>
        </w:tblCellMar>
        <w:tblLook w:val="04A0" w:firstRow="1" w:lastRow="0" w:firstColumn="1" w:lastColumn="0" w:noHBand="0" w:noVBand="1"/>
      </w:tblPr>
      <w:tblGrid>
        <w:gridCol w:w="67"/>
        <w:gridCol w:w="3939"/>
        <w:gridCol w:w="37"/>
        <w:gridCol w:w="68"/>
        <w:gridCol w:w="958"/>
        <w:gridCol w:w="36"/>
        <w:gridCol w:w="70"/>
        <w:gridCol w:w="956"/>
        <w:gridCol w:w="36"/>
        <w:gridCol w:w="83"/>
        <w:gridCol w:w="972"/>
        <w:gridCol w:w="36"/>
        <w:gridCol w:w="76"/>
        <w:gridCol w:w="936"/>
        <w:gridCol w:w="36"/>
      </w:tblGrid>
      <w:tr w:rsidR="00000000">
        <w:trPr>
          <w:divId w:val="878517407"/>
        </w:trPr>
        <w:tc>
          <w:tcPr>
            <w:tcW w:w="50" w:type="pct"/>
            <w:vAlign w:val="center"/>
            <w:hideMark/>
          </w:tcPr>
          <w:p w:rsidR="00000000" w:rsidRDefault="001F1FC8">
            <w:pPr>
              <w:rPr>
                <w:rFonts w:eastAsia="Times New Roman"/>
              </w:rPr>
            </w:pPr>
          </w:p>
        </w:tc>
        <w:tc>
          <w:tcPr>
            <w:tcW w:w="2380"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c>
          <w:tcPr>
            <w:tcW w:w="50" w:type="pct"/>
            <w:vAlign w:val="center"/>
            <w:hideMark/>
          </w:tcPr>
          <w:p w:rsidR="00000000" w:rsidRDefault="001F1FC8">
            <w:pPr>
              <w:rPr>
                <w:rFonts w:eastAsia="Times New Roman"/>
                <w:sz w:val="20"/>
                <w:szCs w:val="20"/>
              </w:rPr>
            </w:pPr>
          </w:p>
        </w:tc>
        <w:tc>
          <w:tcPr>
            <w:tcW w:w="586"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c>
          <w:tcPr>
            <w:tcW w:w="50" w:type="pct"/>
            <w:vAlign w:val="center"/>
            <w:hideMark/>
          </w:tcPr>
          <w:p w:rsidR="00000000" w:rsidRDefault="001F1FC8">
            <w:pPr>
              <w:rPr>
                <w:rFonts w:eastAsia="Times New Roman"/>
                <w:sz w:val="20"/>
                <w:szCs w:val="20"/>
              </w:rPr>
            </w:pPr>
          </w:p>
        </w:tc>
        <w:tc>
          <w:tcPr>
            <w:tcW w:w="586"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c>
          <w:tcPr>
            <w:tcW w:w="50" w:type="pct"/>
            <w:vAlign w:val="center"/>
            <w:hideMark/>
          </w:tcPr>
          <w:p w:rsidR="00000000" w:rsidRDefault="001F1FC8">
            <w:pPr>
              <w:rPr>
                <w:rFonts w:eastAsia="Times New Roman"/>
                <w:sz w:val="20"/>
                <w:szCs w:val="20"/>
              </w:rPr>
            </w:pPr>
          </w:p>
        </w:tc>
        <w:tc>
          <w:tcPr>
            <w:tcW w:w="586"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c>
          <w:tcPr>
            <w:tcW w:w="50" w:type="pct"/>
            <w:vAlign w:val="center"/>
            <w:hideMark/>
          </w:tcPr>
          <w:p w:rsidR="00000000" w:rsidRDefault="001F1FC8">
            <w:pPr>
              <w:rPr>
                <w:rFonts w:eastAsia="Times New Roman"/>
                <w:sz w:val="20"/>
                <w:szCs w:val="20"/>
              </w:rPr>
            </w:pPr>
          </w:p>
        </w:tc>
        <w:tc>
          <w:tcPr>
            <w:tcW w:w="586"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r>
      <w:tr w:rsidR="00000000">
        <w:trPr>
          <w:divId w:val="878517407"/>
        </w:trPr>
        <w:tc>
          <w:tcPr>
            <w:tcW w:w="0" w:type="auto"/>
            <w:gridSpan w:val="3"/>
            <w:tcMar>
              <w:top w:w="30" w:type="dxa"/>
              <w:left w:w="20" w:type="dxa"/>
              <w:bottom w:w="30" w:type="dxa"/>
              <w:right w:w="20" w:type="dxa"/>
            </w:tcMar>
            <w:vAlign w:val="bottom"/>
            <w:hideMark/>
          </w:tcPr>
          <w:p w:rsidR="00000000" w:rsidRDefault="001F1FC8">
            <w:pPr>
              <w:rPr>
                <w:rFonts w:eastAsia="Times New Roman"/>
              </w:rPr>
            </w:pPr>
            <w:r>
              <w:rPr>
                <w:rFonts w:ascii="Arial" w:eastAsia="Times New Roman" w:hAnsi="Arial" w:cs="Arial"/>
                <w:b/>
                <w:bCs/>
                <w:color w:val="000000"/>
                <w:sz w:val="20"/>
                <w:szCs w:val="20"/>
              </w:rPr>
              <w:t>December 31, 2021</w:t>
            </w:r>
          </w:p>
        </w:tc>
        <w:tc>
          <w:tcPr>
            <w:tcW w:w="0" w:type="auto"/>
            <w:gridSpan w:val="3"/>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Number</w:t>
            </w:r>
          </w:p>
        </w:tc>
        <w:tc>
          <w:tcPr>
            <w:tcW w:w="0" w:type="auto"/>
            <w:gridSpan w:val="3"/>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Weighted</w:t>
            </w:r>
          </w:p>
          <w:p w:rsidR="00000000" w:rsidRDefault="001F1FC8">
            <w:pPr>
              <w:jc w:val="right"/>
              <w:rPr>
                <w:rFonts w:eastAsia="Times New Roman"/>
              </w:rPr>
            </w:pPr>
            <w:r>
              <w:rPr>
                <w:rFonts w:ascii="Arial" w:eastAsia="Times New Roman" w:hAnsi="Arial" w:cs="Arial"/>
                <w:color w:val="000000"/>
                <w:sz w:val="20"/>
                <w:szCs w:val="20"/>
              </w:rPr>
              <w:t>Average</w:t>
            </w:r>
          </w:p>
          <w:p w:rsidR="00000000" w:rsidRDefault="001F1FC8">
            <w:pPr>
              <w:jc w:val="right"/>
              <w:rPr>
                <w:rFonts w:eastAsia="Times New Roman"/>
              </w:rPr>
            </w:pPr>
            <w:r>
              <w:rPr>
                <w:rFonts w:ascii="Arial" w:eastAsia="Times New Roman" w:hAnsi="Arial" w:cs="Arial"/>
                <w:color w:val="000000"/>
                <w:sz w:val="20"/>
                <w:szCs w:val="20"/>
              </w:rPr>
              <w:t>Exercise</w:t>
            </w:r>
          </w:p>
          <w:p w:rsidR="00000000" w:rsidRDefault="001F1FC8">
            <w:pPr>
              <w:jc w:val="right"/>
              <w:rPr>
                <w:rFonts w:eastAsia="Times New Roman"/>
              </w:rPr>
            </w:pPr>
            <w:r>
              <w:rPr>
                <w:rFonts w:ascii="Arial" w:eastAsia="Times New Roman" w:hAnsi="Arial" w:cs="Arial"/>
                <w:color w:val="000000"/>
                <w:sz w:val="20"/>
                <w:szCs w:val="20"/>
              </w:rPr>
              <w:t>Price</w:t>
            </w:r>
          </w:p>
        </w:tc>
        <w:tc>
          <w:tcPr>
            <w:tcW w:w="0" w:type="auto"/>
            <w:gridSpan w:val="3"/>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Weighted</w:t>
            </w:r>
          </w:p>
          <w:p w:rsidR="00000000" w:rsidRDefault="001F1FC8">
            <w:pPr>
              <w:jc w:val="right"/>
              <w:rPr>
                <w:rFonts w:eastAsia="Times New Roman"/>
              </w:rPr>
            </w:pPr>
            <w:r>
              <w:rPr>
                <w:rFonts w:ascii="Arial" w:eastAsia="Times New Roman" w:hAnsi="Arial" w:cs="Arial"/>
                <w:color w:val="000000"/>
                <w:sz w:val="20"/>
                <w:szCs w:val="20"/>
              </w:rPr>
              <w:t>Average</w:t>
            </w:r>
          </w:p>
          <w:p w:rsidR="00000000" w:rsidRDefault="001F1FC8">
            <w:pPr>
              <w:jc w:val="right"/>
              <w:rPr>
                <w:rFonts w:eastAsia="Times New Roman"/>
              </w:rPr>
            </w:pPr>
            <w:r>
              <w:rPr>
                <w:rFonts w:ascii="Arial" w:eastAsia="Times New Roman" w:hAnsi="Arial" w:cs="Arial"/>
                <w:color w:val="000000"/>
                <w:sz w:val="20"/>
                <w:szCs w:val="20"/>
              </w:rPr>
              <w:t>Remaining</w:t>
            </w:r>
          </w:p>
          <w:p w:rsidR="00000000" w:rsidRDefault="001F1FC8">
            <w:pPr>
              <w:jc w:val="right"/>
              <w:rPr>
                <w:rFonts w:eastAsia="Times New Roman"/>
              </w:rPr>
            </w:pPr>
            <w:r>
              <w:rPr>
                <w:rFonts w:ascii="Arial" w:eastAsia="Times New Roman" w:hAnsi="Arial" w:cs="Arial"/>
                <w:color w:val="000000"/>
                <w:sz w:val="20"/>
                <w:szCs w:val="20"/>
              </w:rPr>
              <w:t>Contractual</w:t>
            </w:r>
          </w:p>
          <w:p w:rsidR="00000000" w:rsidRDefault="001F1FC8">
            <w:pPr>
              <w:jc w:val="right"/>
              <w:rPr>
                <w:rFonts w:eastAsia="Times New Roman"/>
              </w:rPr>
            </w:pPr>
            <w:r>
              <w:rPr>
                <w:rFonts w:ascii="Arial" w:eastAsia="Times New Roman" w:hAnsi="Arial" w:cs="Arial"/>
                <w:color w:val="000000"/>
                <w:sz w:val="20"/>
                <w:szCs w:val="20"/>
              </w:rPr>
              <w:t>Life </w:t>
            </w:r>
            <w:r>
              <w:rPr>
                <w:rFonts w:ascii="Arial" w:eastAsia="Times New Roman" w:hAnsi="Arial" w:cs="Arial"/>
                <w:i/>
                <w:iCs/>
                <w:color w:val="000000"/>
                <w:sz w:val="16"/>
                <w:szCs w:val="16"/>
              </w:rPr>
              <w:t>(years)</w:t>
            </w:r>
          </w:p>
        </w:tc>
        <w:tc>
          <w:tcPr>
            <w:tcW w:w="0" w:type="auto"/>
            <w:gridSpan w:val="3"/>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Aggregate</w:t>
            </w:r>
          </w:p>
          <w:p w:rsidR="00000000" w:rsidRDefault="001F1FC8">
            <w:pPr>
              <w:jc w:val="right"/>
              <w:rPr>
                <w:rFonts w:eastAsia="Times New Roman"/>
              </w:rPr>
            </w:pPr>
            <w:r>
              <w:rPr>
                <w:rFonts w:ascii="Arial" w:eastAsia="Times New Roman" w:hAnsi="Arial" w:cs="Arial"/>
                <w:color w:val="000000"/>
                <w:sz w:val="20"/>
                <w:szCs w:val="20"/>
              </w:rPr>
              <w:t>Intrinsic</w:t>
            </w:r>
          </w:p>
          <w:p w:rsidR="00000000" w:rsidRDefault="001F1FC8">
            <w:pPr>
              <w:jc w:val="right"/>
              <w:rPr>
                <w:rFonts w:eastAsia="Times New Roman"/>
              </w:rPr>
            </w:pPr>
            <w:r>
              <w:rPr>
                <w:rFonts w:ascii="Arial" w:eastAsia="Times New Roman" w:hAnsi="Arial" w:cs="Arial"/>
                <w:color w:val="000000"/>
                <w:sz w:val="20"/>
                <w:szCs w:val="20"/>
              </w:rPr>
              <w:t>Value</w:t>
            </w:r>
          </w:p>
        </w:tc>
      </w:tr>
      <w:tr w:rsidR="00000000">
        <w:trPr>
          <w:divId w:val="878517407"/>
        </w:trPr>
        <w:tc>
          <w:tcPr>
            <w:tcW w:w="0" w:type="auto"/>
            <w:gridSpan w:val="3"/>
            <w:tcBorders>
              <w:top w:val="single" w:sz="4" w:space="0" w:color="000000"/>
            </w:tcBorders>
            <w:tcMar>
              <w:top w:w="30" w:type="dxa"/>
              <w:left w:w="20" w:type="dxa"/>
              <w:bottom w:w="30" w:type="dxa"/>
              <w:right w:w="20" w:type="dxa"/>
            </w:tcMar>
            <w:hideMark/>
          </w:tcPr>
          <w:p w:rsidR="00000000" w:rsidRDefault="001F1FC8">
            <w:pPr>
              <w:rPr>
                <w:rFonts w:eastAsia="Times New Roman"/>
              </w:rPr>
            </w:pPr>
            <w:r>
              <w:rPr>
                <w:rFonts w:ascii="Arial" w:eastAsia="Times New Roman" w:hAnsi="Arial" w:cs="Arial"/>
                <w:i/>
                <w:iCs/>
                <w:color w:val="000000"/>
                <w:sz w:val="16"/>
                <w:szCs w:val="16"/>
              </w:rPr>
              <w:t>(options in thousands; intrinsic value in millions of Canadian dollars; weighted average exercise price in Canadian dollars)</w:t>
            </w:r>
          </w:p>
        </w:tc>
        <w:tc>
          <w:tcPr>
            <w:tcW w:w="0" w:type="auto"/>
            <w:gridSpan w:val="3"/>
            <w:tcBorders>
              <w:top w:val="single" w:sz="4" w:space="0" w:color="000000"/>
            </w:tcBorders>
            <w:shd w:val="clear" w:color="auto" w:fill="D9D9D9"/>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2"/>
                <w:szCs w:val="2"/>
              </w:rPr>
              <w:t> </w:t>
            </w:r>
          </w:p>
        </w:tc>
        <w:tc>
          <w:tcPr>
            <w:tcW w:w="0" w:type="auto"/>
            <w:gridSpan w:val="3"/>
            <w:tcBorders>
              <w:top w:val="single" w:sz="4" w:space="0" w:color="000000"/>
            </w:tcBorders>
            <w:shd w:val="clear" w:color="auto" w:fill="D9D9D9"/>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2"/>
                <w:szCs w:val="2"/>
              </w:rPr>
              <w:t> </w:t>
            </w:r>
          </w:p>
        </w:tc>
        <w:tc>
          <w:tcPr>
            <w:tcW w:w="0" w:type="auto"/>
            <w:gridSpan w:val="3"/>
            <w:tcBorders>
              <w:top w:val="single" w:sz="4" w:space="0" w:color="000000"/>
            </w:tcBorders>
            <w:shd w:val="clear" w:color="auto" w:fill="D9D9D9"/>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2"/>
                <w:szCs w:val="2"/>
              </w:rPr>
              <w:t> </w:t>
            </w:r>
          </w:p>
        </w:tc>
        <w:tc>
          <w:tcPr>
            <w:tcW w:w="0" w:type="auto"/>
            <w:gridSpan w:val="3"/>
            <w:tcBorders>
              <w:top w:val="single" w:sz="4" w:space="0" w:color="000000"/>
            </w:tcBorders>
            <w:shd w:val="clear" w:color="auto" w:fill="D9D9D9"/>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2"/>
                <w:szCs w:val="2"/>
              </w:rPr>
              <w:t> </w:t>
            </w:r>
          </w:p>
        </w:tc>
      </w:tr>
      <w:tr w:rsidR="00000000">
        <w:trPr>
          <w:divId w:val="878517407"/>
        </w:trPr>
        <w:tc>
          <w:tcPr>
            <w:tcW w:w="0" w:type="auto"/>
            <w:gridSpan w:val="3"/>
            <w:tcMar>
              <w:top w:w="30" w:type="dxa"/>
              <w:left w:w="20" w:type="dxa"/>
              <w:bottom w:w="30" w:type="dxa"/>
              <w:right w:w="20" w:type="dxa"/>
            </w:tcMar>
            <w:hideMark/>
          </w:tcPr>
          <w:p w:rsidR="00000000" w:rsidRDefault="001F1FC8">
            <w:pPr>
              <w:rPr>
                <w:rFonts w:eastAsia="Times New Roman"/>
              </w:rPr>
            </w:pPr>
            <w:r>
              <w:rPr>
                <w:rFonts w:ascii="Arial" w:eastAsia="Times New Roman" w:hAnsi="Arial" w:cs="Arial"/>
                <w:color w:val="000000"/>
                <w:sz w:val="20"/>
                <w:szCs w:val="20"/>
              </w:rPr>
              <w:t>Options outstanding at beginning of year</w:t>
            </w:r>
          </w:p>
        </w:tc>
        <w:tc>
          <w:tcPr>
            <w:tcW w:w="0" w:type="auto"/>
            <w:gridSpan w:val="2"/>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20"/>
                <w:szCs w:val="20"/>
              </w:rPr>
              <w:t>35,494</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20"/>
                <w:szCs w:val="20"/>
              </w:rPr>
              <w:t>48.65</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3"/>
            <w:shd w:val="clear" w:color="auto" w:fill="D9D9D9"/>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2"/>
                <w:szCs w:val="2"/>
              </w:rPr>
              <w:t> </w:t>
            </w:r>
          </w:p>
        </w:tc>
        <w:tc>
          <w:tcPr>
            <w:tcW w:w="0" w:type="auto"/>
            <w:gridSpan w:val="3"/>
            <w:shd w:val="clear" w:color="auto" w:fill="D9D9D9"/>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2"/>
                <w:szCs w:val="2"/>
              </w:rPr>
              <w:t> </w:t>
            </w:r>
          </w:p>
        </w:tc>
      </w:tr>
      <w:tr w:rsidR="00000000">
        <w:trPr>
          <w:divId w:val="878517407"/>
        </w:trPr>
        <w:tc>
          <w:tcPr>
            <w:tcW w:w="0" w:type="auto"/>
            <w:gridSpan w:val="3"/>
            <w:tcMar>
              <w:top w:w="30" w:type="dxa"/>
              <w:left w:w="20" w:type="dxa"/>
              <w:bottom w:w="30" w:type="dxa"/>
              <w:right w:w="20" w:type="dxa"/>
            </w:tcMar>
            <w:hideMark/>
          </w:tcPr>
          <w:p w:rsidR="00000000" w:rsidRDefault="001F1FC8">
            <w:pPr>
              <w:rPr>
                <w:rFonts w:eastAsia="Times New Roman"/>
              </w:rPr>
            </w:pPr>
            <w:r>
              <w:rPr>
                <w:rFonts w:ascii="Arial" w:eastAsia="Times New Roman" w:hAnsi="Arial" w:cs="Arial"/>
                <w:color w:val="000000"/>
                <w:sz w:val="20"/>
                <w:szCs w:val="20"/>
              </w:rPr>
              <w:t>Options granted</w:t>
            </w:r>
          </w:p>
        </w:tc>
        <w:tc>
          <w:tcPr>
            <w:tcW w:w="0" w:type="auto"/>
            <w:gridSpan w:val="2"/>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20"/>
                <w:szCs w:val="20"/>
              </w:rPr>
              <w:t>4,072</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20"/>
                <w:szCs w:val="20"/>
              </w:rPr>
              <w:t>43.86</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3"/>
            <w:shd w:val="clear" w:color="auto" w:fill="D9D9D9"/>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2"/>
                <w:szCs w:val="2"/>
              </w:rPr>
              <w:t> </w:t>
            </w:r>
          </w:p>
        </w:tc>
        <w:tc>
          <w:tcPr>
            <w:tcW w:w="0" w:type="auto"/>
            <w:gridSpan w:val="3"/>
            <w:shd w:val="clear" w:color="auto" w:fill="D9D9D9"/>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2"/>
                <w:szCs w:val="2"/>
              </w:rPr>
              <w:t> </w:t>
            </w:r>
          </w:p>
        </w:tc>
      </w:tr>
      <w:tr w:rsidR="00000000">
        <w:trPr>
          <w:divId w:val="878517407"/>
        </w:trPr>
        <w:tc>
          <w:tcPr>
            <w:tcW w:w="0" w:type="auto"/>
            <w:gridSpan w:val="3"/>
            <w:tcMar>
              <w:top w:w="30" w:type="dxa"/>
              <w:left w:w="20" w:type="dxa"/>
              <w:bottom w:w="30" w:type="dxa"/>
              <w:right w:w="20" w:type="dxa"/>
            </w:tcMar>
            <w:vAlign w:val="bottom"/>
            <w:hideMark/>
          </w:tcPr>
          <w:p w:rsidR="00000000" w:rsidRDefault="001F1FC8">
            <w:pPr>
              <w:divId w:val="1481270898"/>
              <w:rPr>
                <w:rFonts w:eastAsia="Times New Roman"/>
              </w:rPr>
            </w:pPr>
            <w:r>
              <w:rPr>
                <w:rFonts w:ascii="Arial" w:eastAsia="Times New Roman" w:hAnsi="Arial" w:cs="Arial"/>
                <w:color w:val="000000"/>
                <w:sz w:val="20"/>
                <w:szCs w:val="20"/>
              </w:rPr>
              <w:t>Options exercise</w:t>
            </w:r>
            <w:r>
              <w:rPr>
                <w:rFonts w:ascii="Arial" w:eastAsia="Times New Roman" w:hAnsi="Arial" w:cs="Arial"/>
                <w:color w:val="000000"/>
                <w:sz w:val="20"/>
                <w:szCs w:val="20"/>
              </w:rPr>
              <w:t>d</w:t>
            </w:r>
            <w:r>
              <w:rPr>
                <w:rFonts w:ascii="Arial" w:eastAsia="Times New Roman" w:hAnsi="Arial" w:cs="Arial"/>
                <w:color w:val="000000"/>
                <w:sz w:val="10"/>
                <w:szCs w:val="10"/>
              </w:rPr>
              <w:t>1</w:t>
            </w:r>
          </w:p>
        </w:tc>
        <w:tc>
          <w:tcPr>
            <w:tcW w:w="0" w:type="auto"/>
            <w:gridSpan w:val="2"/>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20"/>
                <w:szCs w:val="20"/>
              </w:rPr>
              <w:t>(4,142)</w:t>
            </w:r>
          </w:p>
        </w:tc>
        <w:tc>
          <w:tcPr>
            <w:tcW w:w="0" w:type="auto"/>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20"/>
                <w:szCs w:val="20"/>
              </w:rPr>
              <w:t>41.85</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3"/>
            <w:shd w:val="clear" w:color="auto" w:fill="D9D9D9"/>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2"/>
                <w:szCs w:val="2"/>
              </w:rPr>
              <w:t> </w:t>
            </w:r>
          </w:p>
        </w:tc>
        <w:tc>
          <w:tcPr>
            <w:tcW w:w="0" w:type="auto"/>
            <w:gridSpan w:val="3"/>
            <w:shd w:val="clear" w:color="auto" w:fill="D9D9D9"/>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2"/>
                <w:szCs w:val="2"/>
              </w:rPr>
              <w:t> </w:t>
            </w:r>
          </w:p>
        </w:tc>
      </w:tr>
      <w:tr w:rsidR="00000000">
        <w:trPr>
          <w:divId w:val="878517407"/>
        </w:trPr>
        <w:tc>
          <w:tcPr>
            <w:tcW w:w="0" w:type="auto"/>
            <w:gridSpan w:val="3"/>
            <w:tcMar>
              <w:top w:w="30" w:type="dxa"/>
              <w:left w:w="20" w:type="dxa"/>
              <w:bottom w:w="30" w:type="dxa"/>
              <w:right w:w="20" w:type="dxa"/>
            </w:tcMar>
            <w:hideMark/>
          </w:tcPr>
          <w:p w:rsidR="00000000" w:rsidRDefault="001F1FC8">
            <w:pPr>
              <w:rPr>
                <w:rFonts w:eastAsia="Times New Roman"/>
              </w:rPr>
            </w:pPr>
            <w:r>
              <w:rPr>
                <w:rFonts w:ascii="Arial" w:eastAsia="Times New Roman" w:hAnsi="Arial" w:cs="Arial"/>
                <w:color w:val="000000"/>
                <w:sz w:val="20"/>
                <w:szCs w:val="20"/>
              </w:rPr>
              <w:t>Options cancelled or expired</w:t>
            </w:r>
          </w:p>
        </w:tc>
        <w:tc>
          <w:tcPr>
            <w:tcW w:w="0" w:type="auto"/>
            <w:gridSpan w:val="2"/>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20"/>
                <w:szCs w:val="20"/>
              </w:rPr>
              <w:t>(1,407)</w:t>
            </w:r>
          </w:p>
        </w:tc>
        <w:tc>
          <w:tcPr>
            <w:tcW w:w="0" w:type="auto"/>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20"/>
                <w:szCs w:val="20"/>
              </w:rPr>
              <w:t>50.74</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3"/>
            <w:shd w:val="clear" w:color="auto" w:fill="D9D9D9"/>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2"/>
                <w:szCs w:val="2"/>
              </w:rPr>
              <w:t> </w:t>
            </w:r>
          </w:p>
        </w:tc>
        <w:tc>
          <w:tcPr>
            <w:tcW w:w="0" w:type="auto"/>
            <w:gridSpan w:val="3"/>
            <w:shd w:val="clear" w:color="auto" w:fill="D9D9D9"/>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2"/>
                <w:szCs w:val="2"/>
              </w:rPr>
              <w:t> </w:t>
            </w:r>
          </w:p>
        </w:tc>
      </w:tr>
      <w:tr w:rsidR="00000000">
        <w:trPr>
          <w:divId w:val="878517407"/>
        </w:trPr>
        <w:tc>
          <w:tcPr>
            <w:tcW w:w="0" w:type="auto"/>
            <w:gridSpan w:val="3"/>
            <w:tcBorders>
              <w:top w:val="single" w:sz="4" w:space="0" w:color="000000"/>
            </w:tcBorders>
            <w:tcMar>
              <w:top w:w="30" w:type="dxa"/>
              <w:left w:w="20" w:type="dxa"/>
              <w:bottom w:w="30" w:type="dxa"/>
              <w:right w:w="20" w:type="dxa"/>
            </w:tcMar>
            <w:hideMark/>
          </w:tcPr>
          <w:p w:rsidR="00000000" w:rsidRDefault="001F1FC8">
            <w:pPr>
              <w:rPr>
                <w:rFonts w:eastAsia="Times New Roman"/>
              </w:rPr>
            </w:pPr>
            <w:r>
              <w:rPr>
                <w:rFonts w:ascii="Arial" w:eastAsia="Times New Roman" w:hAnsi="Arial" w:cs="Arial"/>
                <w:color w:val="000000"/>
                <w:sz w:val="20"/>
                <w:szCs w:val="20"/>
              </w:rPr>
              <w:t>Options outstanding at end of year</w:t>
            </w:r>
          </w:p>
        </w:tc>
        <w:tc>
          <w:tcPr>
            <w:tcW w:w="0" w:type="auto"/>
            <w:gridSpan w:val="2"/>
            <w:tcBorders>
              <w:top w:val="single" w:sz="4" w:space="0" w:color="000000"/>
            </w:tcBorders>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20"/>
                <w:szCs w:val="20"/>
              </w:rPr>
              <w:t>34,017</w:t>
            </w:r>
            <w:r>
              <w:rPr>
                <w:rFonts w:ascii="Arial" w:eastAsia="Times New Roman" w:hAnsi="Arial" w:cs="Arial"/>
                <w:color w:val="000000"/>
                <w:sz w:val="20"/>
                <w:szCs w:val="20"/>
              </w:rPr>
              <w:t> </w:t>
            </w:r>
          </w:p>
        </w:tc>
        <w:tc>
          <w:tcPr>
            <w:tcW w:w="0" w:type="auto"/>
            <w:tcBorders>
              <w:top w:val="single" w:sz="4" w:space="0" w:color="000000"/>
            </w:tcBorders>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Borders>
              <w:top w:val="single" w:sz="4" w:space="0" w:color="000000"/>
            </w:tcBorders>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20"/>
                <w:szCs w:val="20"/>
              </w:rPr>
              <w:t>49.28</w:t>
            </w:r>
            <w:r>
              <w:rPr>
                <w:rFonts w:ascii="Arial" w:eastAsia="Times New Roman" w:hAnsi="Arial" w:cs="Arial"/>
                <w:color w:val="000000"/>
                <w:sz w:val="20"/>
                <w:szCs w:val="20"/>
              </w:rPr>
              <w:t> </w:t>
            </w:r>
          </w:p>
        </w:tc>
        <w:tc>
          <w:tcPr>
            <w:tcW w:w="0" w:type="auto"/>
            <w:tcBorders>
              <w:top w:val="single" w:sz="4" w:space="0" w:color="000000"/>
            </w:tcBorders>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3"/>
            <w:tcBorders>
              <w:top w:val="single" w:sz="4" w:space="0" w:color="000000"/>
            </w:tcBorders>
            <w:shd w:val="clear" w:color="auto" w:fill="D9D9D9"/>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b/>
                <w:bCs/>
                <w:color w:val="000000"/>
                <w:sz w:val="20"/>
                <w:szCs w:val="20"/>
              </w:rPr>
              <w:t>5.7</w:t>
            </w:r>
          </w:p>
        </w:tc>
        <w:tc>
          <w:tcPr>
            <w:tcW w:w="0" w:type="auto"/>
            <w:gridSpan w:val="2"/>
            <w:tcBorders>
              <w:top w:val="single" w:sz="4" w:space="0" w:color="000000"/>
            </w:tcBorders>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20"/>
                <w:szCs w:val="20"/>
              </w:rPr>
              <w:t>128</w:t>
            </w:r>
            <w:r>
              <w:rPr>
                <w:rFonts w:ascii="Arial" w:eastAsia="Times New Roman" w:hAnsi="Arial" w:cs="Arial"/>
                <w:color w:val="000000"/>
                <w:sz w:val="20"/>
                <w:szCs w:val="20"/>
              </w:rPr>
              <w:t> </w:t>
            </w:r>
          </w:p>
        </w:tc>
        <w:tc>
          <w:tcPr>
            <w:tcW w:w="0" w:type="auto"/>
            <w:tcBorders>
              <w:top w:val="single" w:sz="4" w:space="0" w:color="000000"/>
            </w:tcBorders>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r>
      <w:tr w:rsidR="00000000">
        <w:trPr>
          <w:divId w:val="878517407"/>
        </w:trPr>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1F1FC8">
            <w:pPr>
              <w:divId w:val="1562136177"/>
              <w:rPr>
                <w:rFonts w:eastAsia="Times New Roman"/>
              </w:rPr>
            </w:pPr>
            <w:r>
              <w:rPr>
                <w:rFonts w:ascii="Arial" w:eastAsia="Times New Roman" w:hAnsi="Arial" w:cs="Arial"/>
                <w:color w:val="000000"/>
                <w:sz w:val="20"/>
                <w:szCs w:val="20"/>
              </w:rPr>
              <w:t>Options vested at end of yea</w:t>
            </w:r>
            <w:r>
              <w:rPr>
                <w:rFonts w:ascii="Arial" w:eastAsia="Times New Roman" w:hAnsi="Arial" w:cs="Arial"/>
                <w:color w:val="000000"/>
                <w:sz w:val="20"/>
                <w:szCs w:val="20"/>
              </w:rPr>
              <w:t>r</w:t>
            </w:r>
            <w:r>
              <w:rPr>
                <w:rFonts w:ascii="Arial" w:eastAsia="Times New Roman" w:hAnsi="Arial" w:cs="Arial"/>
                <w:color w:val="000000"/>
                <w:sz w:val="10"/>
                <w:szCs w:val="10"/>
              </w:rPr>
              <w:t>2</w:t>
            </w:r>
          </w:p>
        </w:tc>
        <w:tc>
          <w:tcPr>
            <w:tcW w:w="0" w:type="auto"/>
            <w:gridSpan w:val="2"/>
            <w:tcBorders>
              <w:top w:val="single" w:sz="8" w:space="0" w:color="000000"/>
              <w:bottom w:val="single" w:sz="8" w:space="0" w:color="000000"/>
            </w:tcBorders>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20"/>
                <w:szCs w:val="20"/>
              </w:rPr>
              <w:t>22,029</w:t>
            </w:r>
            <w:r>
              <w:rPr>
                <w:rFonts w:ascii="Arial" w:eastAsia="Times New Roman" w:hAnsi="Arial" w:cs="Arial"/>
                <w:color w:val="000000"/>
                <w:sz w:val="20"/>
                <w:szCs w:val="20"/>
              </w:rPr>
              <w:t> </w:t>
            </w:r>
          </w:p>
        </w:tc>
        <w:tc>
          <w:tcPr>
            <w:tcW w:w="0" w:type="auto"/>
            <w:tcBorders>
              <w:top w:val="single" w:sz="8" w:space="0" w:color="000000"/>
              <w:bottom w:val="single" w:sz="8" w:space="0" w:color="000000"/>
            </w:tcBorders>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Borders>
              <w:top w:val="single" w:sz="8" w:space="0" w:color="000000"/>
              <w:bottom w:val="single" w:sz="8" w:space="0" w:color="000000"/>
            </w:tcBorders>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20"/>
                <w:szCs w:val="20"/>
              </w:rPr>
              <w:t>49.84</w:t>
            </w:r>
            <w:r>
              <w:rPr>
                <w:rFonts w:ascii="Arial" w:eastAsia="Times New Roman" w:hAnsi="Arial" w:cs="Arial"/>
                <w:color w:val="000000"/>
                <w:sz w:val="20"/>
                <w:szCs w:val="20"/>
              </w:rPr>
              <w:t> </w:t>
            </w:r>
          </w:p>
        </w:tc>
        <w:tc>
          <w:tcPr>
            <w:tcW w:w="0" w:type="auto"/>
            <w:tcBorders>
              <w:top w:val="single" w:sz="8" w:space="0" w:color="000000"/>
              <w:bottom w:val="single" w:sz="8" w:space="0" w:color="000000"/>
            </w:tcBorders>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3"/>
            <w:tcBorders>
              <w:top w:val="single" w:sz="8" w:space="0" w:color="000000"/>
              <w:bottom w:val="single" w:sz="8" w:space="0" w:color="000000"/>
            </w:tcBorders>
            <w:shd w:val="clear" w:color="auto" w:fill="D9D9D9"/>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b/>
                <w:bCs/>
                <w:color w:val="000000"/>
                <w:sz w:val="20"/>
                <w:szCs w:val="20"/>
              </w:rPr>
              <w:t>4.5</w:t>
            </w:r>
          </w:p>
        </w:tc>
        <w:tc>
          <w:tcPr>
            <w:tcW w:w="0" w:type="auto"/>
            <w:gridSpan w:val="2"/>
            <w:tcBorders>
              <w:top w:val="single" w:sz="8" w:space="0" w:color="000000"/>
              <w:bottom w:val="single" w:sz="8" w:space="0" w:color="000000"/>
            </w:tcBorders>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20"/>
                <w:szCs w:val="20"/>
              </w:rPr>
              <w:t>64</w:t>
            </w:r>
            <w:r>
              <w:rPr>
                <w:rFonts w:ascii="Arial" w:eastAsia="Times New Roman" w:hAnsi="Arial" w:cs="Arial"/>
                <w:color w:val="000000"/>
                <w:sz w:val="20"/>
                <w:szCs w:val="20"/>
              </w:rPr>
              <w:t> </w:t>
            </w:r>
          </w:p>
        </w:tc>
        <w:tc>
          <w:tcPr>
            <w:tcW w:w="0" w:type="auto"/>
            <w:tcBorders>
              <w:top w:val="single" w:sz="8" w:space="0" w:color="000000"/>
              <w:bottom w:val="single" w:sz="8" w:space="0" w:color="000000"/>
            </w:tcBorders>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r>
    </w:tbl>
    <w:p w:rsidR="00000000" w:rsidRDefault="001F1FC8">
      <w:pPr>
        <w:ind w:hanging="180"/>
        <w:divId w:val="181747233"/>
        <w:rPr>
          <w:rFonts w:eastAsia="Times New Roman"/>
        </w:rPr>
      </w:pPr>
      <w:r>
        <w:rPr>
          <w:rFonts w:ascii="Arial" w:eastAsia="Times New Roman" w:hAnsi="Arial" w:cs="Arial"/>
          <w:i/>
          <w:iCs/>
          <w:color w:val="000000"/>
          <w:sz w:val="16"/>
          <w:szCs w:val="16"/>
        </w:rPr>
        <w:t xml:space="preserve">1The total intrinsic value of ISOs exercised during the years ended December 31, 2021, 2020 and 2019 was $24 million, $13 million and $58 million, respectively, and cash received on exercise was $2 million, $4 million and $1 </w:t>
      </w:r>
      <w:r>
        <w:rPr>
          <w:rFonts w:ascii="Arial" w:eastAsia="Times New Roman" w:hAnsi="Arial" w:cs="Arial"/>
          <w:i/>
          <w:iCs/>
          <w:color w:val="000000"/>
          <w:sz w:val="16"/>
          <w:szCs w:val="16"/>
        </w:rPr>
        <w:t>million, respectively.</w:t>
      </w:r>
    </w:p>
    <w:p w:rsidR="00000000" w:rsidRDefault="001F1FC8">
      <w:pPr>
        <w:ind w:hanging="180"/>
        <w:divId w:val="598366386"/>
        <w:rPr>
          <w:rFonts w:eastAsia="Times New Roman"/>
        </w:rPr>
      </w:pPr>
      <w:r>
        <w:rPr>
          <w:rFonts w:ascii="Arial" w:eastAsia="Times New Roman" w:hAnsi="Arial" w:cs="Arial"/>
          <w:i/>
          <w:iCs/>
          <w:color w:val="000000"/>
          <w:sz w:val="16"/>
          <w:szCs w:val="16"/>
        </w:rPr>
        <w:t>2The total fair value of ISOs exercised during the years ended December 31, 2021, 2020 and 2019 was $25 million, $30 million and $32 million, respectively.</w:t>
      </w:r>
    </w:p>
    <w:p w:rsidR="00000000" w:rsidRDefault="001F1FC8">
      <w:pPr>
        <w:divId w:val="873930631"/>
        <w:rPr>
          <w:rFonts w:eastAsia="Times New Roman"/>
        </w:rPr>
      </w:pPr>
    </w:p>
    <w:p w:rsidR="00000000" w:rsidRDefault="001F1FC8">
      <w:pPr>
        <w:jc w:val="center"/>
        <w:divId w:val="2635679"/>
        <w:rPr>
          <w:rFonts w:eastAsia="Times New Roman"/>
        </w:rPr>
      </w:pPr>
      <w:r>
        <w:rPr>
          <w:rFonts w:ascii="Arial" w:eastAsia="Times New Roman" w:hAnsi="Arial" w:cs="Arial"/>
          <w:color w:val="000000"/>
          <w:sz w:val="20"/>
          <w:szCs w:val="20"/>
        </w:rPr>
        <w:t>145</w:t>
      </w:r>
    </w:p>
    <w:p w:rsidR="00000000" w:rsidRDefault="001F1FC8">
      <w:pPr>
        <w:rPr>
          <w:rFonts w:eastAsia="Times New Roman"/>
        </w:rPr>
      </w:pPr>
      <w:r>
        <w:rPr>
          <w:rFonts w:eastAsia="Times New Roman"/>
        </w:rPr>
        <w:pict>
          <v:rect id="_x0000_i1175" style="width:0;height:1.5pt" o:hralign="center" o:hrstd="t" o:hr="t" fillcolor="#a0a0a0" stroked="f"/>
        </w:pict>
      </w:r>
    </w:p>
    <w:p w:rsidR="00000000" w:rsidRDefault="001F1FC8">
      <w:pPr>
        <w:jc w:val="center"/>
        <w:divId w:val="1018511037"/>
        <w:rPr>
          <w:rFonts w:eastAsia="Times New Roman"/>
        </w:rPr>
      </w:pPr>
    </w:p>
    <w:p w:rsidR="00000000" w:rsidRDefault="001F1FC8">
      <w:pPr>
        <w:divId w:val="1984458040"/>
        <w:rPr>
          <w:rFonts w:eastAsia="Times New Roman"/>
        </w:rPr>
      </w:pPr>
      <w:r>
        <w:rPr>
          <w:rFonts w:ascii="Arial" w:eastAsia="Times New Roman" w:hAnsi="Arial" w:cs="Arial"/>
          <w:color w:val="000000"/>
          <w:sz w:val="20"/>
          <w:szCs w:val="20"/>
        </w:rPr>
        <w:t>Weighted average assumptions used to determine the fair value of ISOs granted using the Black-Scholes-Merton option pricing model are as follows:</w:t>
      </w:r>
    </w:p>
    <w:tbl>
      <w:tblPr>
        <w:tblW w:w="5000" w:type="pct"/>
        <w:tblCellMar>
          <w:top w:w="15" w:type="dxa"/>
          <w:left w:w="15" w:type="dxa"/>
          <w:bottom w:w="15" w:type="dxa"/>
          <w:right w:w="15" w:type="dxa"/>
        </w:tblCellMar>
        <w:tblLook w:val="04A0" w:firstRow="1" w:lastRow="0" w:firstColumn="1" w:lastColumn="0" w:noHBand="0" w:noVBand="1"/>
      </w:tblPr>
      <w:tblGrid>
        <w:gridCol w:w="37"/>
        <w:gridCol w:w="5584"/>
        <w:gridCol w:w="36"/>
        <w:gridCol w:w="46"/>
        <w:gridCol w:w="687"/>
        <w:gridCol w:w="198"/>
        <w:gridCol w:w="49"/>
        <w:gridCol w:w="632"/>
        <w:gridCol w:w="198"/>
        <w:gridCol w:w="51"/>
        <w:gridCol w:w="590"/>
        <w:gridCol w:w="198"/>
      </w:tblGrid>
      <w:tr w:rsidR="00000000">
        <w:trPr>
          <w:divId w:val="1906992363"/>
        </w:trPr>
        <w:tc>
          <w:tcPr>
            <w:tcW w:w="50" w:type="pct"/>
            <w:vAlign w:val="center"/>
            <w:hideMark/>
          </w:tcPr>
          <w:p w:rsidR="00000000" w:rsidRDefault="001F1FC8">
            <w:pPr>
              <w:rPr>
                <w:rFonts w:eastAsia="Times New Roman"/>
              </w:rPr>
            </w:pPr>
          </w:p>
        </w:tc>
        <w:tc>
          <w:tcPr>
            <w:tcW w:w="3422"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c>
          <w:tcPr>
            <w:tcW w:w="50" w:type="pct"/>
            <w:vAlign w:val="center"/>
            <w:hideMark/>
          </w:tcPr>
          <w:p w:rsidR="00000000" w:rsidRDefault="001F1FC8">
            <w:pPr>
              <w:rPr>
                <w:rFonts w:eastAsia="Times New Roman"/>
                <w:sz w:val="20"/>
                <w:szCs w:val="20"/>
              </w:rPr>
            </w:pPr>
          </w:p>
        </w:tc>
        <w:tc>
          <w:tcPr>
            <w:tcW w:w="481"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c>
          <w:tcPr>
            <w:tcW w:w="50" w:type="pct"/>
            <w:vAlign w:val="center"/>
            <w:hideMark/>
          </w:tcPr>
          <w:p w:rsidR="00000000" w:rsidRDefault="001F1FC8">
            <w:pPr>
              <w:rPr>
                <w:rFonts w:eastAsia="Times New Roman"/>
                <w:sz w:val="20"/>
                <w:szCs w:val="20"/>
              </w:rPr>
            </w:pPr>
          </w:p>
        </w:tc>
        <w:tc>
          <w:tcPr>
            <w:tcW w:w="449"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c>
          <w:tcPr>
            <w:tcW w:w="50" w:type="pct"/>
            <w:vAlign w:val="center"/>
            <w:hideMark/>
          </w:tcPr>
          <w:p w:rsidR="00000000" w:rsidRDefault="001F1FC8">
            <w:pPr>
              <w:rPr>
                <w:rFonts w:eastAsia="Times New Roman"/>
                <w:sz w:val="20"/>
                <w:szCs w:val="20"/>
              </w:rPr>
            </w:pPr>
          </w:p>
        </w:tc>
        <w:tc>
          <w:tcPr>
            <w:tcW w:w="425"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r>
      <w:tr w:rsidR="00000000">
        <w:trPr>
          <w:divId w:val="1906992363"/>
        </w:trPr>
        <w:tc>
          <w:tcPr>
            <w:tcW w:w="0" w:type="auto"/>
            <w:gridSpan w:val="3"/>
            <w:tcMar>
              <w:top w:w="30" w:type="dxa"/>
              <w:left w:w="20" w:type="dxa"/>
              <w:bottom w:w="30" w:type="dxa"/>
              <w:right w:w="20" w:type="dxa"/>
            </w:tcMar>
            <w:vAlign w:val="bottom"/>
            <w:hideMark/>
          </w:tcPr>
          <w:p w:rsidR="00000000" w:rsidRDefault="001F1FC8">
            <w:pPr>
              <w:rPr>
                <w:rFonts w:eastAsia="Times New Roman"/>
              </w:rPr>
            </w:pPr>
            <w:r>
              <w:rPr>
                <w:rFonts w:ascii="Arial" w:eastAsia="Times New Roman" w:hAnsi="Arial" w:cs="Arial"/>
                <w:color w:val="000000"/>
                <w:sz w:val="20"/>
                <w:szCs w:val="20"/>
              </w:rPr>
              <w:t>Year ended December 31,</w:t>
            </w:r>
          </w:p>
        </w:tc>
        <w:tc>
          <w:tcPr>
            <w:tcW w:w="0" w:type="auto"/>
            <w:gridSpan w:val="3"/>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b/>
                <w:bCs/>
                <w:color w:val="000000"/>
                <w:sz w:val="20"/>
                <w:szCs w:val="20"/>
              </w:rPr>
              <w:t>2021</w:t>
            </w:r>
          </w:p>
        </w:tc>
        <w:tc>
          <w:tcPr>
            <w:tcW w:w="0" w:type="auto"/>
            <w:gridSpan w:val="3"/>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2020</w:t>
            </w:r>
          </w:p>
        </w:tc>
        <w:tc>
          <w:tcPr>
            <w:tcW w:w="0" w:type="auto"/>
            <w:gridSpan w:val="3"/>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2019</w:t>
            </w:r>
          </w:p>
        </w:tc>
      </w:tr>
      <w:tr w:rsidR="00000000">
        <w:trPr>
          <w:divId w:val="1906992363"/>
        </w:trPr>
        <w:tc>
          <w:tcPr>
            <w:tcW w:w="0" w:type="auto"/>
            <w:gridSpan w:val="3"/>
            <w:tcBorders>
              <w:top w:val="single" w:sz="4" w:space="0" w:color="000000"/>
            </w:tcBorders>
            <w:tcMar>
              <w:top w:w="30" w:type="dxa"/>
              <w:left w:w="20" w:type="dxa"/>
              <w:bottom w:w="30" w:type="dxa"/>
              <w:right w:w="20" w:type="dxa"/>
            </w:tcMar>
            <w:vAlign w:val="bottom"/>
            <w:hideMark/>
          </w:tcPr>
          <w:p w:rsidR="00000000" w:rsidRDefault="001F1FC8">
            <w:pPr>
              <w:divId w:val="581571355"/>
              <w:rPr>
                <w:rFonts w:eastAsia="Times New Roman"/>
              </w:rPr>
            </w:pPr>
            <w:r>
              <w:rPr>
                <w:rFonts w:ascii="Arial" w:eastAsia="Times New Roman" w:hAnsi="Arial" w:cs="Arial"/>
                <w:color w:val="000000"/>
                <w:sz w:val="20"/>
                <w:szCs w:val="20"/>
              </w:rPr>
              <w:t xml:space="preserve">Fair value per option </w:t>
            </w:r>
            <w:r>
              <w:rPr>
                <w:rFonts w:ascii="Arial" w:eastAsia="Times New Roman" w:hAnsi="Arial" w:cs="Arial"/>
                <w:i/>
                <w:iCs/>
                <w:color w:val="000000"/>
                <w:sz w:val="16"/>
                <w:szCs w:val="16"/>
              </w:rPr>
              <w:t>(Canadian dollars</w:t>
            </w:r>
            <w:r>
              <w:rPr>
                <w:rFonts w:ascii="Arial" w:eastAsia="Times New Roman" w:hAnsi="Arial" w:cs="Arial"/>
                <w:i/>
                <w:iCs/>
                <w:color w:val="000000"/>
                <w:sz w:val="16"/>
                <w:szCs w:val="16"/>
              </w:rPr>
              <w:t>)</w:t>
            </w:r>
            <w:r>
              <w:rPr>
                <w:rFonts w:ascii="Arial" w:eastAsia="Times New Roman" w:hAnsi="Arial" w:cs="Arial"/>
                <w:color w:val="000000"/>
                <w:sz w:val="10"/>
                <w:szCs w:val="10"/>
              </w:rPr>
              <w:t>1</w:t>
            </w:r>
          </w:p>
        </w:tc>
        <w:tc>
          <w:tcPr>
            <w:tcW w:w="0" w:type="auto"/>
            <w:gridSpan w:val="2"/>
            <w:tcBorders>
              <w:top w:val="single" w:sz="4" w:space="0" w:color="000000"/>
            </w:tcBorders>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20"/>
                <w:szCs w:val="20"/>
              </w:rPr>
              <w:t>4.10</w:t>
            </w:r>
            <w:r>
              <w:rPr>
                <w:rFonts w:ascii="Arial" w:eastAsia="Times New Roman" w:hAnsi="Arial" w:cs="Arial"/>
                <w:color w:val="000000"/>
                <w:sz w:val="20"/>
                <w:szCs w:val="20"/>
              </w:rPr>
              <w:t> </w:t>
            </w:r>
          </w:p>
        </w:tc>
        <w:tc>
          <w:tcPr>
            <w:tcW w:w="0" w:type="auto"/>
            <w:tcBorders>
              <w:top w:val="single" w:sz="4" w:space="0" w:color="000000"/>
            </w:tcBorders>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4.01 </w:t>
            </w:r>
          </w:p>
        </w:tc>
        <w:tc>
          <w:tcPr>
            <w:tcW w:w="0" w:type="auto"/>
            <w:tcBorders>
              <w:top w:val="single" w:sz="4" w:space="0" w:color="000000"/>
            </w:tcBorders>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4.37 </w:t>
            </w:r>
          </w:p>
        </w:tc>
        <w:tc>
          <w:tcPr>
            <w:tcW w:w="0" w:type="auto"/>
            <w:tcBorders>
              <w:top w:val="single" w:sz="4" w:space="0" w:color="000000"/>
            </w:tcBorders>
            <w:tcMar>
              <w:top w:w="30" w:type="dxa"/>
              <w:left w:w="0" w:type="dxa"/>
              <w:bottom w:w="30" w:type="dxa"/>
              <w:right w:w="20" w:type="dxa"/>
            </w:tcMar>
            <w:vAlign w:val="bottom"/>
            <w:hideMark/>
          </w:tcPr>
          <w:p w:rsidR="00000000" w:rsidRDefault="001F1FC8">
            <w:pPr>
              <w:jc w:val="right"/>
              <w:rPr>
                <w:rFonts w:eastAsia="Times New Roman"/>
              </w:rPr>
            </w:pPr>
          </w:p>
        </w:tc>
      </w:tr>
      <w:tr w:rsidR="00000000">
        <w:trPr>
          <w:divId w:val="1906992363"/>
        </w:trPr>
        <w:tc>
          <w:tcPr>
            <w:tcW w:w="0" w:type="auto"/>
            <w:gridSpan w:val="3"/>
            <w:tcMar>
              <w:top w:w="30" w:type="dxa"/>
              <w:left w:w="20" w:type="dxa"/>
              <w:bottom w:w="30" w:type="dxa"/>
              <w:right w:w="20" w:type="dxa"/>
            </w:tcMar>
            <w:hideMark/>
          </w:tcPr>
          <w:p w:rsidR="00000000" w:rsidRDefault="001F1FC8">
            <w:pPr>
              <w:rPr>
                <w:rFonts w:eastAsia="Times New Roman"/>
              </w:rPr>
            </w:pPr>
            <w:r>
              <w:rPr>
                <w:rFonts w:ascii="Arial" w:eastAsia="Times New Roman" w:hAnsi="Arial" w:cs="Arial"/>
                <w:color w:val="000000"/>
                <w:sz w:val="20"/>
                <w:szCs w:val="20"/>
              </w:rPr>
              <w:t>Valuation assumptions</w:t>
            </w:r>
          </w:p>
        </w:tc>
        <w:tc>
          <w:tcPr>
            <w:tcW w:w="0" w:type="auto"/>
            <w:gridSpan w:val="3"/>
            <w:shd w:val="clear" w:color="auto" w:fill="D9D9D9"/>
            <w:tcMar>
              <w:top w:w="0" w:type="dxa"/>
              <w:left w:w="20" w:type="dxa"/>
              <w:bottom w:w="0" w:type="dxa"/>
              <w:right w:w="20" w:type="dxa"/>
            </w:tcMar>
            <w:vAlign w:val="center"/>
            <w:hideMark/>
          </w:tcPr>
          <w:p w:rsidR="00000000" w:rsidRDefault="001F1FC8">
            <w:pPr>
              <w:rPr>
                <w:rFonts w:eastAsia="Times New Roman"/>
              </w:rPr>
            </w:pPr>
          </w:p>
        </w:tc>
        <w:tc>
          <w:tcPr>
            <w:tcW w:w="0" w:type="auto"/>
            <w:gridSpan w:val="3"/>
            <w:tcMar>
              <w:top w:w="0" w:type="dxa"/>
              <w:left w:w="20" w:type="dxa"/>
              <w:bottom w:w="0" w:type="dxa"/>
              <w:right w:w="20" w:type="dxa"/>
            </w:tcMar>
            <w:vAlign w:val="center"/>
            <w:hideMark/>
          </w:tcPr>
          <w:p w:rsidR="00000000" w:rsidRDefault="001F1FC8">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1F1FC8">
            <w:pPr>
              <w:rPr>
                <w:rFonts w:eastAsia="Times New Roman"/>
                <w:sz w:val="20"/>
                <w:szCs w:val="20"/>
              </w:rPr>
            </w:pPr>
          </w:p>
        </w:tc>
      </w:tr>
      <w:tr w:rsidR="00000000">
        <w:trPr>
          <w:divId w:val="1906992363"/>
        </w:trPr>
        <w:tc>
          <w:tcPr>
            <w:tcW w:w="0" w:type="auto"/>
            <w:gridSpan w:val="3"/>
            <w:tcMar>
              <w:top w:w="30" w:type="dxa"/>
              <w:left w:w="20" w:type="dxa"/>
              <w:bottom w:w="30" w:type="dxa"/>
              <w:right w:w="20" w:type="dxa"/>
            </w:tcMar>
            <w:vAlign w:val="bottom"/>
            <w:hideMark/>
          </w:tcPr>
          <w:p w:rsidR="00000000" w:rsidRDefault="001F1FC8">
            <w:pPr>
              <w:ind w:firstLine="225"/>
              <w:divId w:val="1954242518"/>
              <w:rPr>
                <w:rFonts w:eastAsia="Times New Roman"/>
              </w:rPr>
            </w:pPr>
            <w:r>
              <w:rPr>
                <w:rFonts w:ascii="Arial" w:eastAsia="Times New Roman" w:hAnsi="Arial" w:cs="Arial"/>
                <w:color w:val="000000"/>
                <w:sz w:val="20"/>
                <w:szCs w:val="20"/>
              </w:rPr>
              <w:t xml:space="preserve">Expected option term </w:t>
            </w:r>
            <w:r>
              <w:rPr>
                <w:rFonts w:ascii="Arial" w:eastAsia="Times New Roman" w:hAnsi="Arial" w:cs="Arial"/>
                <w:i/>
                <w:iCs/>
                <w:color w:val="000000"/>
                <w:sz w:val="16"/>
                <w:szCs w:val="16"/>
              </w:rPr>
              <w:t>(years</w:t>
            </w:r>
            <w:r>
              <w:rPr>
                <w:rFonts w:ascii="Arial" w:eastAsia="Times New Roman" w:hAnsi="Arial" w:cs="Arial"/>
                <w:i/>
                <w:iCs/>
                <w:color w:val="000000"/>
                <w:sz w:val="16"/>
                <w:szCs w:val="16"/>
              </w:rPr>
              <w:t>)</w:t>
            </w:r>
            <w:r>
              <w:rPr>
                <w:rFonts w:ascii="Arial" w:eastAsia="Times New Roman" w:hAnsi="Arial" w:cs="Arial"/>
                <w:color w:val="000000"/>
                <w:sz w:val="10"/>
                <w:szCs w:val="10"/>
              </w:rPr>
              <w:t>2</w:t>
            </w:r>
          </w:p>
        </w:tc>
        <w:tc>
          <w:tcPr>
            <w:tcW w:w="0" w:type="auto"/>
            <w:gridSpan w:val="3"/>
            <w:shd w:val="clear" w:color="auto" w:fill="D9D9D9"/>
            <w:tcMar>
              <w:top w:w="30" w:type="dxa"/>
              <w:left w:w="20" w:type="dxa"/>
              <w:bottom w:w="30" w:type="dxa"/>
              <w:right w:w="260" w:type="dxa"/>
            </w:tcMar>
            <w:vAlign w:val="bottom"/>
            <w:hideMark/>
          </w:tcPr>
          <w:p w:rsidR="00000000" w:rsidRDefault="001F1FC8">
            <w:pPr>
              <w:jc w:val="right"/>
              <w:rPr>
                <w:rFonts w:eastAsia="Times New Roman"/>
              </w:rPr>
            </w:pPr>
            <w:r>
              <w:rPr>
                <w:rFonts w:ascii="Arial" w:eastAsia="Times New Roman" w:hAnsi="Arial" w:cs="Arial"/>
                <w:b/>
                <w:bCs/>
                <w:color w:val="000000"/>
                <w:sz w:val="20"/>
                <w:szCs w:val="20"/>
              </w:rPr>
              <w:t>6</w:t>
            </w:r>
          </w:p>
        </w:tc>
        <w:tc>
          <w:tcPr>
            <w:tcW w:w="0" w:type="auto"/>
            <w:gridSpan w:val="3"/>
            <w:tcMar>
              <w:top w:w="30" w:type="dxa"/>
              <w:left w:w="20" w:type="dxa"/>
              <w:bottom w:w="30" w:type="dxa"/>
              <w:right w:w="26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6</w:t>
            </w:r>
          </w:p>
        </w:tc>
        <w:tc>
          <w:tcPr>
            <w:tcW w:w="0" w:type="auto"/>
            <w:gridSpan w:val="3"/>
            <w:tcMar>
              <w:top w:w="30" w:type="dxa"/>
              <w:left w:w="20" w:type="dxa"/>
              <w:bottom w:w="30" w:type="dxa"/>
              <w:right w:w="26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5</w:t>
            </w:r>
          </w:p>
        </w:tc>
      </w:tr>
      <w:tr w:rsidR="00000000">
        <w:trPr>
          <w:divId w:val="1906992363"/>
        </w:trPr>
        <w:tc>
          <w:tcPr>
            <w:tcW w:w="0" w:type="auto"/>
            <w:gridSpan w:val="3"/>
            <w:tcMar>
              <w:top w:w="30" w:type="dxa"/>
              <w:left w:w="20" w:type="dxa"/>
              <w:bottom w:w="30" w:type="dxa"/>
              <w:right w:w="20" w:type="dxa"/>
            </w:tcMar>
            <w:vAlign w:val="bottom"/>
            <w:hideMark/>
          </w:tcPr>
          <w:p w:rsidR="00000000" w:rsidRDefault="001F1FC8">
            <w:pPr>
              <w:ind w:firstLine="225"/>
              <w:divId w:val="978995038"/>
              <w:rPr>
                <w:rFonts w:eastAsia="Times New Roman"/>
              </w:rPr>
            </w:pPr>
            <w:r>
              <w:rPr>
                <w:rFonts w:ascii="Arial" w:eastAsia="Times New Roman" w:hAnsi="Arial" w:cs="Arial"/>
                <w:color w:val="000000"/>
                <w:sz w:val="20"/>
                <w:szCs w:val="20"/>
              </w:rPr>
              <w:t>Expected volatilit</w:t>
            </w:r>
            <w:r>
              <w:rPr>
                <w:rFonts w:ascii="Arial" w:eastAsia="Times New Roman" w:hAnsi="Arial" w:cs="Arial"/>
                <w:color w:val="000000"/>
                <w:sz w:val="20"/>
                <w:szCs w:val="20"/>
              </w:rPr>
              <w:t>y</w:t>
            </w:r>
            <w:r>
              <w:rPr>
                <w:rFonts w:ascii="Arial" w:eastAsia="Times New Roman" w:hAnsi="Arial" w:cs="Arial"/>
                <w:color w:val="000000"/>
                <w:sz w:val="10"/>
                <w:szCs w:val="10"/>
              </w:rPr>
              <w:t>3</w:t>
            </w:r>
          </w:p>
        </w:tc>
        <w:tc>
          <w:tcPr>
            <w:tcW w:w="0" w:type="auto"/>
            <w:gridSpan w:val="2"/>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20"/>
                <w:szCs w:val="20"/>
              </w:rPr>
              <w:t>25.5</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bottom"/>
            <w:hideMark/>
          </w:tcPr>
          <w:p w:rsidR="00000000" w:rsidRDefault="001F1FC8">
            <w:pPr>
              <w:jc w:val="right"/>
              <w:rPr>
                <w:rFonts w:eastAsia="Times New Roman"/>
              </w:rPr>
            </w:pPr>
            <w:r>
              <w:rPr>
                <w:rFonts w:ascii="Arial" w:eastAsia="Times New Roman" w:hAnsi="Arial" w:cs="Arial"/>
                <w:b/>
                <w:bCs/>
                <w:color w:val="000000"/>
                <w:sz w:val="20"/>
                <w:szCs w:val="20"/>
              </w:rPr>
              <w:t>%</w:t>
            </w: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18.3 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w:t>
            </w: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19.9 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w:t>
            </w:r>
          </w:p>
        </w:tc>
      </w:tr>
      <w:tr w:rsidR="00000000">
        <w:trPr>
          <w:divId w:val="1906992363"/>
        </w:trPr>
        <w:tc>
          <w:tcPr>
            <w:tcW w:w="0" w:type="auto"/>
            <w:gridSpan w:val="3"/>
            <w:tcMar>
              <w:top w:w="30" w:type="dxa"/>
              <w:left w:w="20" w:type="dxa"/>
              <w:bottom w:w="30" w:type="dxa"/>
              <w:right w:w="20" w:type="dxa"/>
            </w:tcMar>
            <w:vAlign w:val="bottom"/>
            <w:hideMark/>
          </w:tcPr>
          <w:p w:rsidR="00000000" w:rsidRDefault="001F1FC8">
            <w:pPr>
              <w:ind w:firstLine="225"/>
              <w:divId w:val="1867983669"/>
              <w:rPr>
                <w:rFonts w:eastAsia="Times New Roman"/>
              </w:rPr>
            </w:pPr>
            <w:r>
              <w:rPr>
                <w:rFonts w:ascii="Arial" w:eastAsia="Times New Roman" w:hAnsi="Arial" w:cs="Arial"/>
                <w:color w:val="000000"/>
                <w:sz w:val="20"/>
                <w:szCs w:val="20"/>
              </w:rPr>
              <w:t>Expected dividend yiel</w:t>
            </w:r>
            <w:r>
              <w:rPr>
                <w:rFonts w:ascii="Arial" w:eastAsia="Times New Roman" w:hAnsi="Arial" w:cs="Arial"/>
                <w:color w:val="000000"/>
                <w:sz w:val="20"/>
                <w:szCs w:val="20"/>
              </w:rPr>
              <w:t>d</w:t>
            </w:r>
            <w:r>
              <w:rPr>
                <w:rFonts w:ascii="Arial" w:eastAsia="Times New Roman" w:hAnsi="Arial" w:cs="Arial"/>
                <w:color w:val="000000"/>
                <w:sz w:val="10"/>
                <w:szCs w:val="10"/>
              </w:rPr>
              <w:t>4</w:t>
            </w:r>
          </w:p>
        </w:tc>
        <w:tc>
          <w:tcPr>
            <w:tcW w:w="0" w:type="auto"/>
            <w:gridSpan w:val="2"/>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20"/>
                <w:szCs w:val="20"/>
              </w:rPr>
              <w:t>7.6</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bottom"/>
            <w:hideMark/>
          </w:tcPr>
          <w:p w:rsidR="00000000" w:rsidRDefault="001F1FC8">
            <w:pPr>
              <w:jc w:val="right"/>
              <w:rPr>
                <w:rFonts w:eastAsia="Times New Roman"/>
              </w:rPr>
            </w:pPr>
            <w:r>
              <w:rPr>
                <w:rFonts w:ascii="Arial" w:eastAsia="Times New Roman" w:hAnsi="Arial" w:cs="Arial"/>
                <w:b/>
                <w:bCs/>
                <w:color w:val="000000"/>
                <w:sz w:val="20"/>
                <w:szCs w:val="20"/>
              </w:rPr>
              <w:t>%</w:t>
            </w: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5.9 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w:t>
            </w: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6.1 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w:t>
            </w:r>
          </w:p>
        </w:tc>
      </w:tr>
      <w:tr w:rsidR="00000000">
        <w:trPr>
          <w:divId w:val="1906992363"/>
        </w:trPr>
        <w:tc>
          <w:tcPr>
            <w:tcW w:w="0" w:type="auto"/>
            <w:gridSpan w:val="3"/>
            <w:tcBorders>
              <w:bottom w:val="single" w:sz="8" w:space="0" w:color="000000"/>
            </w:tcBorders>
            <w:tcMar>
              <w:top w:w="30" w:type="dxa"/>
              <w:left w:w="20" w:type="dxa"/>
              <w:bottom w:w="30" w:type="dxa"/>
              <w:right w:w="20" w:type="dxa"/>
            </w:tcMar>
            <w:vAlign w:val="bottom"/>
            <w:hideMark/>
          </w:tcPr>
          <w:p w:rsidR="00000000" w:rsidRDefault="001F1FC8">
            <w:pPr>
              <w:ind w:firstLine="225"/>
              <w:divId w:val="578565932"/>
              <w:rPr>
                <w:rFonts w:eastAsia="Times New Roman"/>
              </w:rPr>
            </w:pPr>
            <w:r>
              <w:rPr>
                <w:rFonts w:ascii="Arial" w:eastAsia="Times New Roman" w:hAnsi="Arial" w:cs="Arial"/>
                <w:color w:val="000000"/>
                <w:sz w:val="20"/>
                <w:szCs w:val="20"/>
              </w:rPr>
              <w:t>Risk-free interest rat</w:t>
            </w:r>
            <w:r>
              <w:rPr>
                <w:rFonts w:ascii="Arial" w:eastAsia="Times New Roman" w:hAnsi="Arial" w:cs="Arial"/>
                <w:color w:val="000000"/>
                <w:sz w:val="20"/>
                <w:szCs w:val="20"/>
              </w:rPr>
              <w:t>e</w:t>
            </w:r>
            <w:r>
              <w:rPr>
                <w:rFonts w:ascii="Arial" w:eastAsia="Times New Roman" w:hAnsi="Arial" w:cs="Arial"/>
                <w:color w:val="000000"/>
                <w:sz w:val="10"/>
                <w:szCs w:val="10"/>
              </w:rPr>
              <w:t>5</w:t>
            </w:r>
          </w:p>
        </w:tc>
        <w:tc>
          <w:tcPr>
            <w:tcW w:w="0" w:type="auto"/>
            <w:gridSpan w:val="2"/>
            <w:tcBorders>
              <w:bottom w:val="single" w:sz="8" w:space="0" w:color="000000"/>
            </w:tcBorders>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20"/>
                <w:szCs w:val="20"/>
              </w:rPr>
              <w:t>0.7</w:t>
            </w:r>
            <w:r>
              <w:rPr>
                <w:rFonts w:ascii="Arial" w:eastAsia="Times New Roman" w:hAnsi="Arial" w:cs="Arial"/>
                <w:color w:val="000000"/>
                <w:sz w:val="20"/>
                <w:szCs w:val="20"/>
              </w:rPr>
              <w:t> </w:t>
            </w:r>
          </w:p>
        </w:tc>
        <w:tc>
          <w:tcPr>
            <w:tcW w:w="0" w:type="auto"/>
            <w:tcBorders>
              <w:bottom w:val="single" w:sz="8" w:space="0" w:color="000000"/>
            </w:tcBorders>
            <w:shd w:val="clear" w:color="auto" w:fill="D9D9D9"/>
            <w:tcMar>
              <w:top w:w="30" w:type="dxa"/>
              <w:left w:w="0" w:type="dxa"/>
              <w:bottom w:w="30" w:type="dxa"/>
              <w:right w:w="20" w:type="dxa"/>
            </w:tcMar>
            <w:vAlign w:val="bottom"/>
            <w:hideMark/>
          </w:tcPr>
          <w:p w:rsidR="00000000" w:rsidRDefault="001F1FC8">
            <w:pPr>
              <w:jc w:val="right"/>
              <w:rPr>
                <w:rFonts w:eastAsia="Times New Roman"/>
              </w:rPr>
            </w:pPr>
            <w:r>
              <w:rPr>
                <w:rFonts w:ascii="Arial" w:eastAsia="Times New Roman" w:hAnsi="Arial" w:cs="Arial"/>
                <w:b/>
                <w:bCs/>
                <w:color w:val="000000"/>
                <w:sz w:val="20"/>
                <w:szCs w:val="20"/>
              </w:rPr>
              <w:t>%</w:t>
            </w:r>
          </w:p>
        </w:tc>
        <w:tc>
          <w:tcPr>
            <w:tcW w:w="0" w:type="auto"/>
            <w:gridSpan w:val="2"/>
            <w:tcBorders>
              <w:bottom w:val="single" w:sz="8" w:space="0" w:color="000000"/>
            </w:tcBorders>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1.3 </w:t>
            </w:r>
          </w:p>
        </w:tc>
        <w:tc>
          <w:tcPr>
            <w:tcW w:w="0" w:type="auto"/>
            <w:tcBorders>
              <w:bottom w:val="single" w:sz="8" w:space="0" w:color="000000"/>
            </w:tcBorders>
            <w:tcMar>
              <w:top w:w="30" w:type="dxa"/>
              <w:left w:w="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w:t>
            </w:r>
          </w:p>
        </w:tc>
        <w:tc>
          <w:tcPr>
            <w:tcW w:w="0" w:type="auto"/>
            <w:gridSpan w:val="2"/>
            <w:tcBorders>
              <w:bottom w:val="single" w:sz="8" w:space="0" w:color="000000"/>
            </w:tcBorders>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2.0 </w:t>
            </w:r>
          </w:p>
        </w:tc>
        <w:tc>
          <w:tcPr>
            <w:tcW w:w="0" w:type="auto"/>
            <w:tcBorders>
              <w:bottom w:val="single" w:sz="8" w:space="0" w:color="000000"/>
            </w:tcBorders>
            <w:tcMar>
              <w:top w:w="30" w:type="dxa"/>
              <w:left w:w="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w:t>
            </w:r>
          </w:p>
        </w:tc>
      </w:tr>
    </w:tbl>
    <w:p w:rsidR="00000000" w:rsidRDefault="001F1FC8">
      <w:pPr>
        <w:ind w:hanging="180"/>
        <w:divId w:val="711001688"/>
        <w:rPr>
          <w:rFonts w:eastAsia="Times New Roman"/>
        </w:rPr>
      </w:pPr>
      <w:r>
        <w:rPr>
          <w:rFonts w:ascii="Arial" w:eastAsia="Times New Roman" w:hAnsi="Arial" w:cs="Arial"/>
          <w:i/>
          <w:iCs/>
          <w:color w:val="000000"/>
          <w:sz w:val="16"/>
          <w:szCs w:val="16"/>
        </w:rPr>
        <w:t>1</w:t>
      </w:r>
      <w:r>
        <w:rPr>
          <w:rFonts w:ascii="Arial" w:eastAsia="Times New Roman" w:hAnsi="Arial" w:cs="Arial"/>
          <w:i/>
          <w:iCs/>
          <w:color w:val="000000"/>
          <w:sz w:val="16"/>
          <w:szCs w:val="16"/>
        </w:rPr>
        <w:t>Options granted to US employees are based on NYSE prices. The option value and assumptions shown are based on a weighted average of the US and the Canadian options. The fair values per option for the years ended December 31, 2021, 2020 and 2019 were $3.91,</w:t>
      </w:r>
      <w:r>
        <w:rPr>
          <w:rFonts w:ascii="Arial" w:eastAsia="Times New Roman" w:hAnsi="Arial" w:cs="Arial"/>
          <w:i/>
          <w:iCs/>
          <w:color w:val="000000"/>
          <w:sz w:val="16"/>
          <w:szCs w:val="16"/>
        </w:rPr>
        <w:t xml:space="preserve"> $3.75 and $4.04, respectively, for Canadian employees and US$3.65, US$3.62 and US$4.09, respectively, for US employees.</w:t>
      </w:r>
    </w:p>
    <w:p w:rsidR="00000000" w:rsidRDefault="001F1FC8">
      <w:pPr>
        <w:ind w:hanging="180"/>
        <w:divId w:val="1539589168"/>
        <w:rPr>
          <w:rFonts w:eastAsia="Times New Roman"/>
        </w:rPr>
      </w:pPr>
      <w:r>
        <w:rPr>
          <w:rFonts w:ascii="Arial" w:eastAsia="Times New Roman" w:hAnsi="Arial" w:cs="Arial"/>
          <w:i/>
          <w:iCs/>
          <w:color w:val="000000"/>
          <w:sz w:val="16"/>
          <w:szCs w:val="16"/>
        </w:rPr>
        <w:t>2The expected option term is six years based on historical exercise practice and five years for retirement eligible employees.</w:t>
      </w:r>
    </w:p>
    <w:p w:rsidR="00000000" w:rsidRDefault="001F1FC8">
      <w:pPr>
        <w:ind w:hanging="180"/>
        <w:divId w:val="130706955"/>
        <w:rPr>
          <w:rFonts w:eastAsia="Times New Roman"/>
        </w:rPr>
      </w:pPr>
      <w:r>
        <w:rPr>
          <w:rFonts w:ascii="Arial" w:eastAsia="Times New Roman" w:hAnsi="Arial" w:cs="Arial"/>
          <w:i/>
          <w:iCs/>
          <w:color w:val="000000"/>
          <w:sz w:val="16"/>
          <w:szCs w:val="16"/>
        </w:rPr>
        <w:t>3Expecte</w:t>
      </w:r>
      <w:r>
        <w:rPr>
          <w:rFonts w:ascii="Arial" w:eastAsia="Times New Roman" w:hAnsi="Arial" w:cs="Arial"/>
          <w:i/>
          <w:iCs/>
          <w:color w:val="000000"/>
          <w:sz w:val="16"/>
          <w:szCs w:val="16"/>
        </w:rPr>
        <w:t>d volatility is determined with reference to historic daily share price volatility and consideration of the implied volatility observable in call option values near the grant date.</w:t>
      </w:r>
    </w:p>
    <w:p w:rsidR="00000000" w:rsidRDefault="001F1FC8">
      <w:pPr>
        <w:ind w:hanging="180"/>
        <w:divId w:val="1316182945"/>
        <w:rPr>
          <w:rFonts w:eastAsia="Times New Roman"/>
        </w:rPr>
      </w:pPr>
      <w:r>
        <w:rPr>
          <w:rFonts w:ascii="Arial" w:eastAsia="Times New Roman" w:hAnsi="Arial" w:cs="Arial"/>
          <w:i/>
          <w:iCs/>
          <w:color w:val="000000"/>
          <w:sz w:val="16"/>
          <w:szCs w:val="16"/>
        </w:rPr>
        <w:t>4The expected dividend yield is the current annual dividend at the grant da</w:t>
      </w:r>
      <w:r>
        <w:rPr>
          <w:rFonts w:ascii="Arial" w:eastAsia="Times New Roman" w:hAnsi="Arial" w:cs="Arial"/>
          <w:i/>
          <w:iCs/>
          <w:color w:val="000000"/>
          <w:sz w:val="16"/>
          <w:szCs w:val="16"/>
        </w:rPr>
        <w:t>te divided by the current stock price.</w:t>
      </w:r>
    </w:p>
    <w:p w:rsidR="00000000" w:rsidRDefault="001F1FC8">
      <w:pPr>
        <w:ind w:hanging="180"/>
        <w:divId w:val="1134446270"/>
        <w:rPr>
          <w:rFonts w:eastAsia="Times New Roman"/>
        </w:rPr>
      </w:pPr>
      <w:r>
        <w:rPr>
          <w:rFonts w:ascii="Arial" w:eastAsia="Times New Roman" w:hAnsi="Arial" w:cs="Arial"/>
          <w:i/>
          <w:iCs/>
          <w:color w:val="000000"/>
          <w:sz w:val="16"/>
          <w:szCs w:val="16"/>
        </w:rPr>
        <w:t>5The risk-free interest rate is based on the Government of Canada’s Canadian Bond Yields and the US Treasury Bond Yields.</w:t>
      </w:r>
    </w:p>
    <w:p w:rsidR="00000000" w:rsidRDefault="001F1FC8">
      <w:pPr>
        <w:divId w:val="153032918"/>
        <w:rPr>
          <w:rFonts w:eastAsia="Times New Roman"/>
        </w:rPr>
      </w:pPr>
    </w:p>
    <w:p w:rsidR="00000000" w:rsidRDefault="001F1FC8">
      <w:pPr>
        <w:divId w:val="1474716675"/>
        <w:rPr>
          <w:rFonts w:eastAsia="Times New Roman"/>
        </w:rPr>
      </w:pPr>
      <w:r>
        <w:rPr>
          <w:rFonts w:ascii="Arial" w:eastAsia="Times New Roman" w:hAnsi="Arial" w:cs="Arial"/>
          <w:color w:val="000000"/>
          <w:sz w:val="20"/>
          <w:szCs w:val="20"/>
        </w:rPr>
        <w:t>Compensation expense recorded for the years ended December 31, 2021, 2020 and 2019 for ISOs w</w:t>
      </w:r>
      <w:r>
        <w:rPr>
          <w:rFonts w:ascii="Arial" w:eastAsia="Times New Roman" w:hAnsi="Arial" w:cs="Arial"/>
          <w:color w:val="000000"/>
          <w:sz w:val="20"/>
          <w:szCs w:val="20"/>
        </w:rPr>
        <w:t>as $16 million, $24 million and $32 million, respectively. As at December 31, 2021, unrecognized compensation expense related to non-vested stock-based compensation arrangements granted under the ISO Plan was $11 million. The expense is expected to be full</w:t>
      </w:r>
      <w:r>
        <w:rPr>
          <w:rFonts w:ascii="Arial" w:eastAsia="Times New Roman" w:hAnsi="Arial" w:cs="Arial"/>
          <w:color w:val="000000"/>
          <w:sz w:val="20"/>
          <w:szCs w:val="20"/>
        </w:rPr>
        <w:t>y recognized over a weighted average period of approximately two years.</w:t>
      </w:r>
    </w:p>
    <w:p w:rsidR="00000000" w:rsidRDefault="001F1FC8">
      <w:pPr>
        <w:divId w:val="1679041177"/>
        <w:rPr>
          <w:rFonts w:eastAsia="Times New Roman"/>
        </w:rPr>
      </w:pPr>
      <w:r>
        <w:rPr>
          <w:rFonts w:ascii="Arial" w:eastAsia="Times New Roman" w:hAnsi="Arial" w:cs="Arial"/>
          <w:color w:val="000000"/>
          <w:sz w:val="20"/>
          <w:szCs w:val="20"/>
        </w:rPr>
        <w:t> </w:t>
      </w:r>
    </w:p>
    <w:p w:rsidR="00000000" w:rsidRDefault="001F1FC8">
      <w:pPr>
        <w:divId w:val="1199127631"/>
        <w:rPr>
          <w:rFonts w:eastAsia="Times New Roman"/>
        </w:rPr>
      </w:pPr>
      <w:r>
        <w:rPr>
          <w:rFonts w:ascii="Arial" w:eastAsia="Times New Roman" w:hAnsi="Arial" w:cs="Arial"/>
          <w:b/>
          <w:bCs/>
          <w:color w:val="000000"/>
          <w:sz w:val="20"/>
          <w:szCs w:val="20"/>
        </w:rPr>
        <w:t>PERFORMANCE STOCK UNITS</w:t>
      </w:r>
    </w:p>
    <w:p w:rsidR="00000000" w:rsidRDefault="001F1FC8">
      <w:pPr>
        <w:divId w:val="1023214251"/>
        <w:rPr>
          <w:rFonts w:eastAsia="Times New Roman"/>
        </w:rPr>
      </w:pPr>
      <w:r>
        <w:rPr>
          <w:rFonts w:ascii="Arial" w:eastAsia="Times New Roman" w:hAnsi="Arial" w:cs="Arial"/>
          <w:color w:val="000000"/>
          <w:sz w:val="20"/>
          <w:szCs w:val="20"/>
        </w:rPr>
        <w:t xml:space="preserve">Under PSU awards for certain key employees, cash awards are paid following a three-year </w:t>
      </w:r>
      <w:r>
        <w:rPr>
          <w:rFonts w:ascii="Arial" w:eastAsia="Times New Roman" w:hAnsi="Arial" w:cs="Arial"/>
          <w:color w:val="000000"/>
          <w:sz w:val="20"/>
          <w:szCs w:val="20"/>
        </w:rPr>
        <w:t>performance cycle. Awards are calculated by multiplying the number of units outstanding at the end of the performance period by Enbridge's weighted average share price for 20 days prior to the maturity of the grant and by a performance multiplier. The perf</w:t>
      </w:r>
      <w:r>
        <w:rPr>
          <w:rFonts w:ascii="Arial" w:eastAsia="Times New Roman" w:hAnsi="Arial" w:cs="Arial"/>
          <w:color w:val="000000"/>
          <w:sz w:val="20"/>
          <w:szCs w:val="20"/>
        </w:rPr>
        <w:t>ormance multiplier ranges from zero, if our performance fails to meet threshold performance levels, to a maximum of two if we perform within the highest range of the performance targets. The performance multiplier is derived through a calculation of our To</w:t>
      </w:r>
      <w:r>
        <w:rPr>
          <w:rFonts w:ascii="Arial" w:eastAsia="Times New Roman" w:hAnsi="Arial" w:cs="Arial"/>
          <w:color w:val="000000"/>
          <w:sz w:val="20"/>
          <w:szCs w:val="20"/>
        </w:rPr>
        <w:t>tal Shareholder Return percentile rank, in each case relative to a specified peer group of companies and our distributable cash flow per share, adjusted for unusual, non-operating or non-recurring items, relative to targets established at the time of grant</w:t>
      </w:r>
      <w:r>
        <w:rPr>
          <w:rFonts w:ascii="Arial" w:eastAsia="Times New Roman" w:hAnsi="Arial" w:cs="Arial"/>
          <w:color w:val="000000"/>
          <w:sz w:val="20"/>
          <w:szCs w:val="20"/>
        </w:rPr>
        <w:t>. To calculate the 2021 expense, a multiplier of 0.5 was used for 2021 PSU grants, 0.5 for 2020 PSU grants and 1.3 for the 2019 PSU grants.</w:t>
      </w:r>
    </w:p>
    <w:tbl>
      <w:tblPr>
        <w:tblW w:w="5000" w:type="pct"/>
        <w:tblCellMar>
          <w:top w:w="15" w:type="dxa"/>
          <w:left w:w="15" w:type="dxa"/>
          <w:bottom w:w="15" w:type="dxa"/>
          <w:right w:w="15" w:type="dxa"/>
        </w:tblCellMar>
        <w:tblLook w:val="04A0" w:firstRow="1" w:lastRow="0" w:firstColumn="1" w:lastColumn="0" w:noHBand="0" w:noVBand="1"/>
      </w:tblPr>
      <w:tblGrid>
        <w:gridCol w:w="67"/>
        <w:gridCol w:w="5004"/>
        <w:gridCol w:w="38"/>
        <w:gridCol w:w="67"/>
        <w:gridCol w:w="957"/>
        <w:gridCol w:w="36"/>
        <w:gridCol w:w="83"/>
        <w:gridCol w:w="972"/>
        <w:gridCol w:w="36"/>
        <w:gridCol w:w="76"/>
        <w:gridCol w:w="934"/>
        <w:gridCol w:w="36"/>
      </w:tblGrid>
      <w:tr w:rsidR="00000000">
        <w:trPr>
          <w:divId w:val="490754393"/>
        </w:trPr>
        <w:tc>
          <w:tcPr>
            <w:tcW w:w="50" w:type="pct"/>
            <w:vAlign w:val="center"/>
            <w:hideMark/>
          </w:tcPr>
          <w:p w:rsidR="00000000" w:rsidRDefault="001F1FC8">
            <w:pPr>
              <w:rPr>
                <w:rFonts w:eastAsia="Times New Roman"/>
              </w:rPr>
            </w:pPr>
          </w:p>
        </w:tc>
        <w:tc>
          <w:tcPr>
            <w:tcW w:w="3021"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c>
          <w:tcPr>
            <w:tcW w:w="50" w:type="pct"/>
            <w:vAlign w:val="center"/>
            <w:hideMark/>
          </w:tcPr>
          <w:p w:rsidR="00000000" w:rsidRDefault="001F1FC8">
            <w:pPr>
              <w:rPr>
                <w:rFonts w:eastAsia="Times New Roman"/>
                <w:sz w:val="20"/>
                <w:szCs w:val="20"/>
              </w:rPr>
            </w:pPr>
          </w:p>
        </w:tc>
        <w:tc>
          <w:tcPr>
            <w:tcW w:w="586"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c>
          <w:tcPr>
            <w:tcW w:w="50" w:type="pct"/>
            <w:vAlign w:val="center"/>
            <w:hideMark/>
          </w:tcPr>
          <w:p w:rsidR="00000000" w:rsidRDefault="001F1FC8">
            <w:pPr>
              <w:rPr>
                <w:rFonts w:eastAsia="Times New Roman"/>
                <w:sz w:val="20"/>
                <w:szCs w:val="20"/>
              </w:rPr>
            </w:pPr>
          </w:p>
        </w:tc>
        <w:tc>
          <w:tcPr>
            <w:tcW w:w="586"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c>
          <w:tcPr>
            <w:tcW w:w="50" w:type="pct"/>
            <w:vAlign w:val="center"/>
            <w:hideMark/>
          </w:tcPr>
          <w:p w:rsidR="00000000" w:rsidRDefault="001F1FC8">
            <w:pPr>
              <w:rPr>
                <w:rFonts w:eastAsia="Times New Roman"/>
                <w:sz w:val="20"/>
                <w:szCs w:val="20"/>
              </w:rPr>
            </w:pPr>
          </w:p>
        </w:tc>
        <w:tc>
          <w:tcPr>
            <w:tcW w:w="586"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r>
      <w:tr w:rsidR="00000000">
        <w:trPr>
          <w:divId w:val="490754393"/>
        </w:trPr>
        <w:tc>
          <w:tcPr>
            <w:tcW w:w="0" w:type="auto"/>
            <w:gridSpan w:val="3"/>
            <w:tcMar>
              <w:top w:w="30" w:type="dxa"/>
              <w:left w:w="20" w:type="dxa"/>
              <w:bottom w:w="30" w:type="dxa"/>
              <w:right w:w="20" w:type="dxa"/>
            </w:tcMar>
            <w:vAlign w:val="bottom"/>
            <w:hideMark/>
          </w:tcPr>
          <w:p w:rsidR="00000000" w:rsidRDefault="001F1FC8">
            <w:pPr>
              <w:rPr>
                <w:rFonts w:eastAsia="Times New Roman"/>
              </w:rPr>
            </w:pPr>
            <w:r>
              <w:rPr>
                <w:rFonts w:ascii="Arial" w:eastAsia="Times New Roman" w:hAnsi="Arial" w:cs="Arial"/>
                <w:b/>
                <w:bCs/>
                <w:color w:val="000000"/>
                <w:sz w:val="20"/>
                <w:szCs w:val="20"/>
              </w:rPr>
              <w:t>December 31, 2021</w:t>
            </w:r>
          </w:p>
        </w:tc>
        <w:tc>
          <w:tcPr>
            <w:tcW w:w="0" w:type="auto"/>
            <w:gridSpan w:val="3"/>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Number</w:t>
            </w:r>
          </w:p>
        </w:tc>
        <w:tc>
          <w:tcPr>
            <w:tcW w:w="0" w:type="auto"/>
            <w:gridSpan w:val="3"/>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Weighted</w:t>
            </w:r>
          </w:p>
          <w:p w:rsidR="00000000" w:rsidRDefault="001F1FC8">
            <w:pPr>
              <w:jc w:val="right"/>
              <w:rPr>
                <w:rFonts w:eastAsia="Times New Roman"/>
              </w:rPr>
            </w:pPr>
            <w:r>
              <w:rPr>
                <w:rFonts w:ascii="Arial" w:eastAsia="Times New Roman" w:hAnsi="Arial" w:cs="Arial"/>
                <w:color w:val="000000"/>
                <w:sz w:val="20"/>
                <w:szCs w:val="20"/>
              </w:rPr>
              <w:t>Average</w:t>
            </w:r>
          </w:p>
          <w:p w:rsidR="00000000" w:rsidRDefault="001F1FC8">
            <w:pPr>
              <w:jc w:val="right"/>
              <w:rPr>
                <w:rFonts w:eastAsia="Times New Roman"/>
              </w:rPr>
            </w:pPr>
            <w:r>
              <w:rPr>
                <w:rFonts w:ascii="Arial" w:eastAsia="Times New Roman" w:hAnsi="Arial" w:cs="Arial"/>
                <w:color w:val="000000"/>
                <w:sz w:val="20"/>
                <w:szCs w:val="20"/>
              </w:rPr>
              <w:t>Remaining</w:t>
            </w:r>
          </w:p>
          <w:p w:rsidR="00000000" w:rsidRDefault="001F1FC8">
            <w:pPr>
              <w:jc w:val="right"/>
              <w:rPr>
                <w:rFonts w:eastAsia="Times New Roman"/>
              </w:rPr>
            </w:pPr>
            <w:r>
              <w:rPr>
                <w:rFonts w:ascii="Arial" w:eastAsia="Times New Roman" w:hAnsi="Arial" w:cs="Arial"/>
                <w:color w:val="000000"/>
                <w:sz w:val="20"/>
                <w:szCs w:val="20"/>
              </w:rPr>
              <w:t>Contractual</w:t>
            </w:r>
          </w:p>
          <w:p w:rsidR="00000000" w:rsidRDefault="001F1FC8">
            <w:pPr>
              <w:jc w:val="right"/>
              <w:rPr>
                <w:rFonts w:eastAsia="Times New Roman"/>
              </w:rPr>
            </w:pPr>
            <w:r>
              <w:rPr>
                <w:rFonts w:ascii="Arial" w:eastAsia="Times New Roman" w:hAnsi="Arial" w:cs="Arial"/>
                <w:color w:val="000000"/>
                <w:sz w:val="20"/>
                <w:szCs w:val="20"/>
              </w:rPr>
              <w:t>Life </w:t>
            </w:r>
            <w:r>
              <w:rPr>
                <w:rFonts w:ascii="Arial" w:eastAsia="Times New Roman" w:hAnsi="Arial" w:cs="Arial"/>
                <w:i/>
                <w:iCs/>
                <w:color w:val="000000"/>
                <w:sz w:val="16"/>
                <w:szCs w:val="16"/>
              </w:rPr>
              <w:t>(years)</w:t>
            </w:r>
          </w:p>
        </w:tc>
        <w:tc>
          <w:tcPr>
            <w:tcW w:w="0" w:type="auto"/>
            <w:gridSpan w:val="3"/>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Aggregate</w:t>
            </w:r>
          </w:p>
          <w:p w:rsidR="00000000" w:rsidRDefault="001F1FC8">
            <w:pPr>
              <w:jc w:val="right"/>
              <w:rPr>
                <w:rFonts w:eastAsia="Times New Roman"/>
              </w:rPr>
            </w:pPr>
            <w:r>
              <w:rPr>
                <w:rFonts w:ascii="Arial" w:eastAsia="Times New Roman" w:hAnsi="Arial" w:cs="Arial"/>
                <w:color w:val="000000"/>
                <w:sz w:val="20"/>
                <w:szCs w:val="20"/>
              </w:rPr>
              <w:t>Intrinsic</w:t>
            </w:r>
          </w:p>
          <w:p w:rsidR="00000000" w:rsidRDefault="001F1FC8">
            <w:pPr>
              <w:jc w:val="right"/>
              <w:rPr>
                <w:rFonts w:eastAsia="Times New Roman"/>
              </w:rPr>
            </w:pPr>
            <w:r>
              <w:rPr>
                <w:rFonts w:ascii="Arial" w:eastAsia="Times New Roman" w:hAnsi="Arial" w:cs="Arial"/>
                <w:color w:val="000000"/>
                <w:sz w:val="20"/>
                <w:szCs w:val="20"/>
              </w:rPr>
              <w:t>Value</w:t>
            </w:r>
          </w:p>
        </w:tc>
      </w:tr>
      <w:tr w:rsidR="00000000">
        <w:trPr>
          <w:divId w:val="490754393"/>
        </w:trPr>
        <w:tc>
          <w:tcPr>
            <w:tcW w:w="0" w:type="auto"/>
            <w:gridSpan w:val="3"/>
            <w:tcBorders>
              <w:top w:val="single" w:sz="4" w:space="0" w:color="000000"/>
            </w:tcBorders>
            <w:tcMar>
              <w:top w:w="30" w:type="dxa"/>
              <w:left w:w="20" w:type="dxa"/>
              <w:bottom w:w="30" w:type="dxa"/>
              <w:right w:w="20" w:type="dxa"/>
            </w:tcMar>
            <w:hideMark/>
          </w:tcPr>
          <w:p w:rsidR="00000000" w:rsidRDefault="001F1FC8">
            <w:pPr>
              <w:rPr>
                <w:rFonts w:eastAsia="Times New Roman"/>
              </w:rPr>
            </w:pPr>
            <w:r>
              <w:rPr>
                <w:rFonts w:ascii="Arial" w:eastAsia="Times New Roman" w:hAnsi="Arial" w:cs="Arial"/>
                <w:i/>
                <w:iCs/>
                <w:color w:val="000000"/>
                <w:sz w:val="16"/>
                <w:szCs w:val="16"/>
              </w:rPr>
              <w:t>(units in thousands; intrinsic value in millions of Canadian dollars)</w:t>
            </w:r>
          </w:p>
        </w:tc>
        <w:tc>
          <w:tcPr>
            <w:tcW w:w="0" w:type="auto"/>
            <w:gridSpan w:val="3"/>
            <w:tcBorders>
              <w:top w:val="single" w:sz="4" w:space="0" w:color="000000"/>
            </w:tcBorders>
            <w:shd w:val="clear" w:color="auto" w:fill="D9D9D9"/>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2"/>
                <w:szCs w:val="2"/>
              </w:rPr>
              <w:t> </w:t>
            </w:r>
          </w:p>
        </w:tc>
        <w:tc>
          <w:tcPr>
            <w:tcW w:w="0" w:type="auto"/>
            <w:gridSpan w:val="3"/>
            <w:tcBorders>
              <w:top w:val="single" w:sz="4" w:space="0" w:color="000000"/>
            </w:tcBorders>
            <w:shd w:val="clear" w:color="auto" w:fill="D9D9D9"/>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2"/>
                <w:szCs w:val="2"/>
              </w:rPr>
              <w:t> </w:t>
            </w:r>
          </w:p>
        </w:tc>
        <w:tc>
          <w:tcPr>
            <w:tcW w:w="0" w:type="auto"/>
            <w:gridSpan w:val="3"/>
            <w:tcBorders>
              <w:top w:val="single" w:sz="4" w:space="0" w:color="000000"/>
            </w:tcBorders>
            <w:shd w:val="clear" w:color="auto" w:fill="D9D9D9"/>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2"/>
                <w:szCs w:val="2"/>
              </w:rPr>
              <w:t> </w:t>
            </w:r>
          </w:p>
        </w:tc>
      </w:tr>
      <w:tr w:rsidR="00000000">
        <w:trPr>
          <w:divId w:val="490754393"/>
        </w:trPr>
        <w:tc>
          <w:tcPr>
            <w:tcW w:w="0" w:type="auto"/>
            <w:gridSpan w:val="3"/>
            <w:tcMar>
              <w:top w:w="30" w:type="dxa"/>
              <w:left w:w="20" w:type="dxa"/>
              <w:bottom w:w="30" w:type="dxa"/>
              <w:right w:w="20" w:type="dxa"/>
            </w:tcMar>
            <w:hideMark/>
          </w:tcPr>
          <w:p w:rsidR="00000000" w:rsidRDefault="001F1FC8">
            <w:pPr>
              <w:rPr>
                <w:rFonts w:eastAsia="Times New Roman"/>
              </w:rPr>
            </w:pPr>
            <w:r>
              <w:rPr>
                <w:rFonts w:ascii="Arial" w:eastAsia="Times New Roman" w:hAnsi="Arial" w:cs="Arial"/>
                <w:color w:val="000000"/>
                <w:sz w:val="20"/>
                <w:szCs w:val="20"/>
              </w:rPr>
              <w:t>Units outstanding at beginning of year</w:t>
            </w:r>
          </w:p>
        </w:tc>
        <w:tc>
          <w:tcPr>
            <w:tcW w:w="0" w:type="auto"/>
            <w:gridSpan w:val="2"/>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20"/>
                <w:szCs w:val="20"/>
              </w:rPr>
              <w:t>3,056</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3"/>
            <w:shd w:val="clear" w:color="auto" w:fill="D9D9D9"/>
            <w:tcMar>
              <w:top w:w="0" w:type="dxa"/>
              <w:left w:w="20" w:type="dxa"/>
              <w:bottom w:w="0" w:type="dxa"/>
              <w:right w:w="20" w:type="dxa"/>
            </w:tcMar>
            <w:vAlign w:val="center"/>
            <w:hideMark/>
          </w:tcPr>
          <w:p w:rsidR="00000000" w:rsidRDefault="001F1FC8">
            <w:pPr>
              <w:jc w:val="right"/>
              <w:rPr>
                <w:rFonts w:eastAsia="Times New Roman"/>
                <w:sz w:val="20"/>
                <w:szCs w:val="20"/>
              </w:rPr>
            </w:pPr>
          </w:p>
        </w:tc>
        <w:tc>
          <w:tcPr>
            <w:tcW w:w="0" w:type="auto"/>
            <w:gridSpan w:val="3"/>
            <w:shd w:val="clear" w:color="auto" w:fill="D9D9D9"/>
            <w:tcMar>
              <w:top w:w="0" w:type="dxa"/>
              <w:left w:w="20" w:type="dxa"/>
              <w:bottom w:w="0" w:type="dxa"/>
              <w:right w:w="20" w:type="dxa"/>
            </w:tcMar>
            <w:vAlign w:val="center"/>
            <w:hideMark/>
          </w:tcPr>
          <w:p w:rsidR="00000000" w:rsidRDefault="001F1FC8">
            <w:pPr>
              <w:rPr>
                <w:rFonts w:eastAsia="Times New Roman"/>
                <w:sz w:val="20"/>
                <w:szCs w:val="20"/>
              </w:rPr>
            </w:pPr>
          </w:p>
        </w:tc>
      </w:tr>
      <w:tr w:rsidR="00000000">
        <w:trPr>
          <w:divId w:val="490754393"/>
        </w:trPr>
        <w:tc>
          <w:tcPr>
            <w:tcW w:w="0" w:type="auto"/>
            <w:gridSpan w:val="3"/>
            <w:tcMar>
              <w:top w:w="30" w:type="dxa"/>
              <w:left w:w="20" w:type="dxa"/>
              <w:bottom w:w="30" w:type="dxa"/>
              <w:right w:w="20" w:type="dxa"/>
            </w:tcMar>
            <w:hideMark/>
          </w:tcPr>
          <w:p w:rsidR="00000000" w:rsidRDefault="001F1FC8">
            <w:pPr>
              <w:rPr>
                <w:rFonts w:eastAsia="Times New Roman"/>
              </w:rPr>
            </w:pPr>
            <w:r>
              <w:rPr>
                <w:rFonts w:ascii="Arial" w:eastAsia="Times New Roman" w:hAnsi="Arial" w:cs="Arial"/>
                <w:color w:val="000000"/>
                <w:sz w:val="20"/>
                <w:szCs w:val="20"/>
              </w:rPr>
              <w:t>Units granted</w:t>
            </w:r>
          </w:p>
        </w:tc>
        <w:tc>
          <w:tcPr>
            <w:tcW w:w="0" w:type="auto"/>
            <w:gridSpan w:val="2"/>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20"/>
                <w:szCs w:val="20"/>
              </w:rPr>
              <w:t>1,895</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3"/>
            <w:shd w:val="clear" w:color="auto" w:fill="D9D9D9"/>
            <w:tcMar>
              <w:top w:w="0" w:type="dxa"/>
              <w:left w:w="20" w:type="dxa"/>
              <w:bottom w:w="0" w:type="dxa"/>
              <w:right w:w="20" w:type="dxa"/>
            </w:tcMar>
            <w:vAlign w:val="center"/>
            <w:hideMark/>
          </w:tcPr>
          <w:p w:rsidR="00000000" w:rsidRDefault="001F1FC8">
            <w:pPr>
              <w:jc w:val="right"/>
              <w:rPr>
                <w:rFonts w:eastAsia="Times New Roman"/>
                <w:sz w:val="20"/>
                <w:szCs w:val="20"/>
              </w:rPr>
            </w:pPr>
          </w:p>
        </w:tc>
        <w:tc>
          <w:tcPr>
            <w:tcW w:w="0" w:type="auto"/>
            <w:gridSpan w:val="3"/>
            <w:shd w:val="clear" w:color="auto" w:fill="D9D9D9"/>
            <w:tcMar>
              <w:top w:w="0" w:type="dxa"/>
              <w:left w:w="20" w:type="dxa"/>
              <w:bottom w:w="0" w:type="dxa"/>
              <w:right w:w="20" w:type="dxa"/>
            </w:tcMar>
            <w:vAlign w:val="center"/>
            <w:hideMark/>
          </w:tcPr>
          <w:p w:rsidR="00000000" w:rsidRDefault="001F1FC8">
            <w:pPr>
              <w:rPr>
                <w:rFonts w:eastAsia="Times New Roman"/>
                <w:sz w:val="20"/>
                <w:szCs w:val="20"/>
              </w:rPr>
            </w:pPr>
          </w:p>
        </w:tc>
      </w:tr>
      <w:tr w:rsidR="00000000">
        <w:trPr>
          <w:divId w:val="490754393"/>
        </w:trPr>
        <w:tc>
          <w:tcPr>
            <w:tcW w:w="0" w:type="auto"/>
            <w:gridSpan w:val="3"/>
            <w:tcMar>
              <w:top w:w="30" w:type="dxa"/>
              <w:left w:w="20" w:type="dxa"/>
              <w:bottom w:w="30" w:type="dxa"/>
              <w:right w:w="20" w:type="dxa"/>
            </w:tcMar>
            <w:vAlign w:val="bottom"/>
            <w:hideMark/>
          </w:tcPr>
          <w:p w:rsidR="00000000" w:rsidRDefault="001F1FC8">
            <w:pPr>
              <w:rPr>
                <w:rFonts w:eastAsia="Times New Roman"/>
              </w:rPr>
            </w:pPr>
            <w:r>
              <w:rPr>
                <w:rFonts w:ascii="Arial" w:eastAsia="Times New Roman" w:hAnsi="Arial" w:cs="Arial"/>
                <w:color w:val="000000"/>
                <w:sz w:val="20"/>
                <w:szCs w:val="20"/>
              </w:rPr>
              <w:t>Units cancelled</w:t>
            </w:r>
          </w:p>
        </w:tc>
        <w:tc>
          <w:tcPr>
            <w:tcW w:w="0" w:type="auto"/>
            <w:gridSpan w:val="2"/>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20"/>
                <w:szCs w:val="20"/>
              </w:rPr>
              <w:t>(76)</w:t>
            </w:r>
          </w:p>
        </w:tc>
        <w:tc>
          <w:tcPr>
            <w:tcW w:w="0" w:type="auto"/>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3"/>
            <w:shd w:val="clear" w:color="auto" w:fill="D9D9D9"/>
            <w:tcMar>
              <w:top w:w="0" w:type="dxa"/>
              <w:left w:w="20" w:type="dxa"/>
              <w:bottom w:w="0" w:type="dxa"/>
              <w:right w:w="20" w:type="dxa"/>
            </w:tcMar>
            <w:vAlign w:val="center"/>
            <w:hideMark/>
          </w:tcPr>
          <w:p w:rsidR="00000000" w:rsidRDefault="001F1FC8">
            <w:pPr>
              <w:jc w:val="right"/>
              <w:rPr>
                <w:rFonts w:eastAsia="Times New Roman"/>
                <w:sz w:val="20"/>
                <w:szCs w:val="20"/>
              </w:rPr>
            </w:pPr>
          </w:p>
        </w:tc>
        <w:tc>
          <w:tcPr>
            <w:tcW w:w="0" w:type="auto"/>
            <w:gridSpan w:val="3"/>
            <w:shd w:val="clear" w:color="auto" w:fill="D9D9D9"/>
            <w:tcMar>
              <w:top w:w="0" w:type="dxa"/>
              <w:left w:w="20" w:type="dxa"/>
              <w:bottom w:w="0" w:type="dxa"/>
              <w:right w:w="20" w:type="dxa"/>
            </w:tcMar>
            <w:vAlign w:val="center"/>
            <w:hideMark/>
          </w:tcPr>
          <w:p w:rsidR="00000000" w:rsidRDefault="001F1FC8">
            <w:pPr>
              <w:rPr>
                <w:rFonts w:eastAsia="Times New Roman"/>
                <w:sz w:val="20"/>
                <w:szCs w:val="20"/>
              </w:rPr>
            </w:pPr>
          </w:p>
        </w:tc>
      </w:tr>
      <w:tr w:rsidR="00000000">
        <w:trPr>
          <w:divId w:val="490754393"/>
        </w:trPr>
        <w:tc>
          <w:tcPr>
            <w:tcW w:w="0" w:type="auto"/>
            <w:gridSpan w:val="3"/>
            <w:tcMar>
              <w:top w:w="30" w:type="dxa"/>
              <w:left w:w="20" w:type="dxa"/>
              <w:bottom w:w="30" w:type="dxa"/>
              <w:right w:w="20" w:type="dxa"/>
            </w:tcMar>
            <w:vAlign w:val="bottom"/>
            <w:hideMark/>
          </w:tcPr>
          <w:p w:rsidR="00000000" w:rsidRDefault="001F1FC8">
            <w:pPr>
              <w:divId w:val="1689477449"/>
              <w:rPr>
                <w:rFonts w:eastAsia="Times New Roman"/>
              </w:rPr>
            </w:pPr>
            <w:r>
              <w:rPr>
                <w:rFonts w:ascii="Arial" w:eastAsia="Times New Roman" w:hAnsi="Arial" w:cs="Arial"/>
                <w:color w:val="000000"/>
                <w:sz w:val="20"/>
                <w:szCs w:val="20"/>
              </w:rPr>
              <w:t>Units mature</w:t>
            </w:r>
            <w:r>
              <w:rPr>
                <w:rFonts w:ascii="Arial" w:eastAsia="Times New Roman" w:hAnsi="Arial" w:cs="Arial"/>
                <w:color w:val="000000"/>
                <w:sz w:val="20"/>
                <w:szCs w:val="20"/>
              </w:rPr>
              <w:t>d</w:t>
            </w:r>
            <w:r>
              <w:rPr>
                <w:rFonts w:ascii="Arial" w:eastAsia="Times New Roman" w:hAnsi="Arial" w:cs="Arial"/>
                <w:color w:val="000000"/>
                <w:sz w:val="10"/>
                <w:szCs w:val="10"/>
              </w:rPr>
              <w:t>1</w:t>
            </w:r>
          </w:p>
        </w:tc>
        <w:tc>
          <w:tcPr>
            <w:tcW w:w="0" w:type="auto"/>
            <w:gridSpan w:val="2"/>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20"/>
                <w:szCs w:val="20"/>
              </w:rPr>
              <w:t>(1,664)</w:t>
            </w:r>
          </w:p>
        </w:tc>
        <w:tc>
          <w:tcPr>
            <w:tcW w:w="0" w:type="auto"/>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3"/>
            <w:shd w:val="clear" w:color="auto" w:fill="D9D9D9"/>
            <w:tcMar>
              <w:top w:w="0" w:type="dxa"/>
              <w:left w:w="20" w:type="dxa"/>
              <w:bottom w:w="0" w:type="dxa"/>
              <w:right w:w="20" w:type="dxa"/>
            </w:tcMar>
            <w:vAlign w:val="center"/>
            <w:hideMark/>
          </w:tcPr>
          <w:p w:rsidR="00000000" w:rsidRDefault="001F1FC8">
            <w:pPr>
              <w:jc w:val="right"/>
              <w:rPr>
                <w:rFonts w:eastAsia="Times New Roman"/>
                <w:sz w:val="20"/>
                <w:szCs w:val="20"/>
              </w:rPr>
            </w:pPr>
          </w:p>
        </w:tc>
        <w:tc>
          <w:tcPr>
            <w:tcW w:w="0" w:type="auto"/>
            <w:gridSpan w:val="3"/>
            <w:shd w:val="clear" w:color="auto" w:fill="D9D9D9"/>
            <w:tcMar>
              <w:top w:w="0" w:type="dxa"/>
              <w:left w:w="20" w:type="dxa"/>
              <w:bottom w:w="0" w:type="dxa"/>
              <w:right w:w="20" w:type="dxa"/>
            </w:tcMar>
            <w:vAlign w:val="center"/>
            <w:hideMark/>
          </w:tcPr>
          <w:p w:rsidR="00000000" w:rsidRDefault="001F1FC8">
            <w:pPr>
              <w:rPr>
                <w:rFonts w:eastAsia="Times New Roman"/>
                <w:sz w:val="20"/>
                <w:szCs w:val="20"/>
              </w:rPr>
            </w:pPr>
          </w:p>
        </w:tc>
      </w:tr>
      <w:tr w:rsidR="00000000">
        <w:trPr>
          <w:divId w:val="490754393"/>
        </w:trPr>
        <w:tc>
          <w:tcPr>
            <w:tcW w:w="0" w:type="auto"/>
            <w:gridSpan w:val="3"/>
            <w:tcMar>
              <w:top w:w="30" w:type="dxa"/>
              <w:left w:w="20" w:type="dxa"/>
              <w:bottom w:w="30" w:type="dxa"/>
              <w:right w:w="20" w:type="dxa"/>
            </w:tcMar>
            <w:hideMark/>
          </w:tcPr>
          <w:p w:rsidR="00000000" w:rsidRDefault="001F1FC8">
            <w:pPr>
              <w:rPr>
                <w:rFonts w:eastAsia="Times New Roman"/>
              </w:rPr>
            </w:pPr>
            <w:r>
              <w:rPr>
                <w:rFonts w:ascii="Arial" w:eastAsia="Times New Roman" w:hAnsi="Arial" w:cs="Arial"/>
                <w:color w:val="000000"/>
                <w:sz w:val="20"/>
                <w:szCs w:val="20"/>
              </w:rPr>
              <w:t>Dividend reinvestment</w:t>
            </w:r>
          </w:p>
        </w:tc>
        <w:tc>
          <w:tcPr>
            <w:tcW w:w="0" w:type="auto"/>
            <w:gridSpan w:val="2"/>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20"/>
                <w:szCs w:val="20"/>
              </w:rPr>
              <w:t>218</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3"/>
            <w:shd w:val="clear" w:color="auto" w:fill="D9D9D9"/>
            <w:tcMar>
              <w:top w:w="0" w:type="dxa"/>
              <w:left w:w="20" w:type="dxa"/>
              <w:bottom w:w="0" w:type="dxa"/>
              <w:right w:w="20" w:type="dxa"/>
            </w:tcMar>
            <w:vAlign w:val="center"/>
            <w:hideMark/>
          </w:tcPr>
          <w:p w:rsidR="00000000" w:rsidRDefault="001F1FC8">
            <w:pPr>
              <w:jc w:val="right"/>
              <w:rPr>
                <w:rFonts w:eastAsia="Times New Roman"/>
                <w:sz w:val="20"/>
                <w:szCs w:val="20"/>
              </w:rPr>
            </w:pPr>
          </w:p>
        </w:tc>
        <w:tc>
          <w:tcPr>
            <w:tcW w:w="0" w:type="auto"/>
            <w:gridSpan w:val="3"/>
            <w:shd w:val="clear" w:color="auto" w:fill="D9D9D9"/>
            <w:tcMar>
              <w:top w:w="0" w:type="dxa"/>
              <w:left w:w="20" w:type="dxa"/>
              <w:bottom w:w="0" w:type="dxa"/>
              <w:right w:w="20" w:type="dxa"/>
            </w:tcMar>
            <w:vAlign w:val="center"/>
            <w:hideMark/>
          </w:tcPr>
          <w:p w:rsidR="00000000" w:rsidRDefault="001F1FC8">
            <w:pPr>
              <w:rPr>
                <w:rFonts w:eastAsia="Times New Roman"/>
                <w:sz w:val="20"/>
                <w:szCs w:val="20"/>
              </w:rPr>
            </w:pPr>
          </w:p>
        </w:tc>
      </w:tr>
      <w:tr w:rsidR="00000000">
        <w:trPr>
          <w:divId w:val="490754393"/>
        </w:trPr>
        <w:tc>
          <w:tcPr>
            <w:tcW w:w="0" w:type="auto"/>
            <w:gridSpan w:val="3"/>
            <w:tcBorders>
              <w:top w:val="single" w:sz="4" w:space="0" w:color="000000"/>
              <w:bottom w:val="single" w:sz="8" w:space="0" w:color="000000"/>
            </w:tcBorders>
            <w:tcMar>
              <w:top w:w="30" w:type="dxa"/>
              <w:left w:w="20" w:type="dxa"/>
              <w:bottom w:w="30" w:type="dxa"/>
              <w:right w:w="20" w:type="dxa"/>
            </w:tcMar>
            <w:vAlign w:val="bottom"/>
            <w:hideMark/>
          </w:tcPr>
          <w:p w:rsidR="00000000" w:rsidRDefault="001F1FC8">
            <w:pPr>
              <w:rPr>
                <w:rFonts w:eastAsia="Times New Roman"/>
              </w:rPr>
            </w:pPr>
            <w:r>
              <w:rPr>
                <w:rFonts w:ascii="Arial" w:eastAsia="Times New Roman" w:hAnsi="Arial" w:cs="Arial"/>
                <w:color w:val="000000"/>
                <w:sz w:val="20"/>
                <w:szCs w:val="20"/>
              </w:rPr>
              <w:t>Units outstanding at end of year</w:t>
            </w:r>
          </w:p>
        </w:tc>
        <w:tc>
          <w:tcPr>
            <w:tcW w:w="0" w:type="auto"/>
            <w:gridSpan w:val="2"/>
            <w:tcBorders>
              <w:top w:val="single" w:sz="4" w:space="0" w:color="000000"/>
              <w:bottom w:val="single" w:sz="8" w:space="0" w:color="000000"/>
            </w:tcBorders>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20"/>
                <w:szCs w:val="20"/>
              </w:rPr>
              <w:t>3,429</w:t>
            </w:r>
            <w:r>
              <w:rPr>
                <w:rFonts w:ascii="Arial" w:eastAsia="Times New Roman" w:hAnsi="Arial" w:cs="Arial"/>
                <w:color w:val="000000"/>
                <w:sz w:val="20"/>
                <w:szCs w:val="20"/>
              </w:rPr>
              <w:t> </w:t>
            </w:r>
          </w:p>
        </w:tc>
        <w:tc>
          <w:tcPr>
            <w:tcW w:w="0" w:type="auto"/>
            <w:tcBorders>
              <w:top w:val="single" w:sz="4" w:space="0" w:color="000000"/>
              <w:bottom w:val="single" w:sz="8" w:space="0" w:color="000000"/>
            </w:tcBorders>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3"/>
            <w:tcBorders>
              <w:top w:val="single" w:sz="4" w:space="0" w:color="000000"/>
              <w:bottom w:val="single" w:sz="8" w:space="0" w:color="000000"/>
            </w:tcBorders>
            <w:shd w:val="clear" w:color="auto" w:fill="D9D9D9"/>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b/>
                <w:bCs/>
                <w:color w:val="000000"/>
                <w:sz w:val="20"/>
                <w:szCs w:val="20"/>
              </w:rPr>
              <w:t>1.1</w:t>
            </w:r>
          </w:p>
        </w:tc>
        <w:tc>
          <w:tcPr>
            <w:tcW w:w="0" w:type="auto"/>
            <w:gridSpan w:val="2"/>
            <w:tcBorders>
              <w:top w:val="single" w:sz="4" w:space="0" w:color="000000"/>
              <w:bottom w:val="single" w:sz="8" w:space="0" w:color="000000"/>
            </w:tcBorders>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20"/>
                <w:szCs w:val="20"/>
              </w:rPr>
              <w:t>181</w:t>
            </w:r>
            <w:r>
              <w:rPr>
                <w:rFonts w:ascii="Arial" w:eastAsia="Times New Roman" w:hAnsi="Arial" w:cs="Arial"/>
                <w:color w:val="000000"/>
                <w:sz w:val="20"/>
                <w:szCs w:val="20"/>
              </w:rPr>
              <w:t> </w:t>
            </w:r>
          </w:p>
        </w:tc>
        <w:tc>
          <w:tcPr>
            <w:tcW w:w="0" w:type="auto"/>
            <w:tcBorders>
              <w:top w:val="single" w:sz="4" w:space="0" w:color="000000"/>
              <w:bottom w:val="single" w:sz="8" w:space="0" w:color="000000"/>
            </w:tcBorders>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r>
    </w:tbl>
    <w:p w:rsidR="00000000" w:rsidRDefault="001F1FC8">
      <w:pPr>
        <w:ind w:hanging="180"/>
        <w:divId w:val="1349137129"/>
        <w:rPr>
          <w:rFonts w:eastAsia="Times New Roman"/>
        </w:rPr>
      </w:pPr>
      <w:r>
        <w:rPr>
          <w:rFonts w:ascii="Arial" w:eastAsia="Times New Roman" w:hAnsi="Arial" w:cs="Arial"/>
          <w:i/>
          <w:iCs/>
          <w:color w:val="000000"/>
          <w:sz w:val="16"/>
          <w:szCs w:val="16"/>
        </w:rPr>
        <w:t xml:space="preserve">1The total amount paid during the years ended December 31, 2021, 2020 and 2019 for PSUs was $70 million, $14 million and $19 </w:t>
      </w:r>
      <w:r>
        <w:rPr>
          <w:rFonts w:ascii="Arial" w:eastAsia="Times New Roman" w:hAnsi="Arial" w:cs="Arial"/>
          <w:i/>
          <w:iCs/>
          <w:color w:val="000000"/>
          <w:sz w:val="16"/>
          <w:szCs w:val="16"/>
        </w:rPr>
        <w:t>million, respectively.</w:t>
      </w:r>
    </w:p>
    <w:p w:rsidR="00000000" w:rsidRDefault="001F1FC8">
      <w:pPr>
        <w:jc w:val="center"/>
        <w:divId w:val="778718857"/>
        <w:rPr>
          <w:rFonts w:eastAsia="Times New Roman"/>
        </w:rPr>
      </w:pPr>
      <w:r>
        <w:rPr>
          <w:rFonts w:ascii="Arial" w:eastAsia="Times New Roman" w:hAnsi="Arial" w:cs="Arial"/>
          <w:color w:val="000000"/>
          <w:sz w:val="20"/>
          <w:szCs w:val="20"/>
        </w:rPr>
        <w:t>146</w:t>
      </w:r>
    </w:p>
    <w:p w:rsidR="00000000" w:rsidRDefault="001F1FC8">
      <w:pPr>
        <w:rPr>
          <w:rFonts w:eastAsia="Times New Roman"/>
        </w:rPr>
      </w:pPr>
      <w:r>
        <w:rPr>
          <w:rFonts w:eastAsia="Times New Roman"/>
        </w:rPr>
        <w:pict>
          <v:rect id="_x0000_i1176" style="width:0;height:1.5pt" o:hralign="center" o:hrstd="t" o:hr="t" fillcolor="#a0a0a0" stroked="f"/>
        </w:pict>
      </w:r>
    </w:p>
    <w:p w:rsidR="00000000" w:rsidRDefault="001F1FC8">
      <w:pPr>
        <w:jc w:val="center"/>
        <w:divId w:val="1597982792"/>
        <w:rPr>
          <w:rFonts w:eastAsia="Times New Roman"/>
        </w:rPr>
      </w:pPr>
    </w:p>
    <w:p w:rsidR="00000000" w:rsidRDefault="001F1FC8">
      <w:pPr>
        <w:divId w:val="352801570"/>
        <w:rPr>
          <w:rFonts w:eastAsia="Times New Roman"/>
        </w:rPr>
      </w:pPr>
      <w:r>
        <w:rPr>
          <w:rFonts w:ascii="Arial" w:eastAsia="Times New Roman" w:hAnsi="Arial" w:cs="Arial"/>
          <w:color w:val="000000"/>
          <w:sz w:val="20"/>
          <w:szCs w:val="20"/>
        </w:rPr>
        <w:t xml:space="preserve">Compensation expense recorded for the years ended December 31, 2021, 2020 and 2019 for PSUs was $56 million, $76 million and $40 million, respectively. As at December 31, 2021, unrecognized </w:t>
      </w:r>
      <w:r>
        <w:rPr>
          <w:rFonts w:ascii="Arial" w:eastAsia="Times New Roman" w:hAnsi="Arial" w:cs="Arial"/>
          <w:color w:val="000000"/>
          <w:sz w:val="20"/>
          <w:szCs w:val="20"/>
        </w:rPr>
        <w:t>compensation expense related to non-vested PSUs was $31 million. The expense is expected to be fully recognized over a weighted average period of approximately two years.</w:t>
      </w:r>
    </w:p>
    <w:p w:rsidR="00000000" w:rsidRDefault="001F1FC8">
      <w:pPr>
        <w:divId w:val="1803693609"/>
        <w:rPr>
          <w:rFonts w:eastAsia="Times New Roman"/>
        </w:rPr>
      </w:pPr>
    </w:p>
    <w:p w:rsidR="00000000" w:rsidRDefault="001F1FC8">
      <w:pPr>
        <w:divId w:val="1605645811"/>
        <w:rPr>
          <w:rFonts w:eastAsia="Times New Roman"/>
        </w:rPr>
      </w:pPr>
      <w:r>
        <w:rPr>
          <w:rFonts w:ascii="Arial" w:eastAsia="Times New Roman" w:hAnsi="Arial" w:cs="Arial"/>
          <w:b/>
          <w:bCs/>
          <w:color w:val="000000"/>
          <w:sz w:val="20"/>
          <w:szCs w:val="20"/>
        </w:rPr>
        <w:t>RESTRICTED STOCK UNITS</w:t>
      </w:r>
    </w:p>
    <w:p w:rsidR="00000000" w:rsidRDefault="001F1FC8">
      <w:pPr>
        <w:divId w:val="1216968088"/>
        <w:rPr>
          <w:rFonts w:eastAsia="Times New Roman"/>
        </w:rPr>
      </w:pPr>
      <w:r>
        <w:rPr>
          <w:rFonts w:ascii="Arial" w:eastAsia="Times New Roman" w:hAnsi="Arial" w:cs="Arial"/>
          <w:color w:val="000000"/>
          <w:sz w:val="20"/>
          <w:szCs w:val="20"/>
        </w:rPr>
        <w:t>Under RSU awards, cash awards are paid to certain of our employees vesting in equal installments on each of the first, second and third anniversaries of the grant date. Share settled awards are given to certain senior management employees following a three</w:t>
      </w:r>
      <w:r>
        <w:rPr>
          <w:rFonts w:ascii="Arial" w:eastAsia="Times New Roman" w:hAnsi="Arial" w:cs="Arial"/>
          <w:color w:val="000000"/>
          <w:sz w:val="20"/>
          <w:szCs w:val="20"/>
        </w:rPr>
        <w:t xml:space="preserve"> year maturity period. RSU holders receive cash or shares equal to our weighted average share price for 20 days prior to the maturity of the grant multiplied by the units outstanding on the maturity date. </w:t>
      </w:r>
    </w:p>
    <w:tbl>
      <w:tblPr>
        <w:tblW w:w="5000" w:type="pct"/>
        <w:tblCellMar>
          <w:top w:w="15" w:type="dxa"/>
          <w:left w:w="15" w:type="dxa"/>
          <w:bottom w:w="15" w:type="dxa"/>
          <w:right w:w="15" w:type="dxa"/>
        </w:tblCellMar>
        <w:tblLook w:val="04A0" w:firstRow="1" w:lastRow="0" w:firstColumn="1" w:lastColumn="0" w:noHBand="0" w:noVBand="1"/>
      </w:tblPr>
      <w:tblGrid>
        <w:gridCol w:w="69"/>
        <w:gridCol w:w="5127"/>
        <w:gridCol w:w="38"/>
        <w:gridCol w:w="75"/>
        <w:gridCol w:w="726"/>
        <w:gridCol w:w="36"/>
        <w:gridCol w:w="72"/>
        <w:gridCol w:w="1129"/>
        <w:gridCol w:w="36"/>
        <w:gridCol w:w="81"/>
        <w:gridCol w:w="881"/>
        <w:gridCol w:w="36"/>
      </w:tblGrid>
      <w:tr w:rsidR="00000000">
        <w:trPr>
          <w:divId w:val="1192956111"/>
        </w:trPr>
        <w:tc>
          <w:tcPr>
            <w:tcW w:w="50" w:type="pct"/>
            <w:vAlign w:val="center"/>
            <w:hideMark/>
          </w:tcPr>
          <w:p w:rsidR="00000000" w:rsidRDefault="001F1FC8">
            <w:pPr>
              <w:rPr>
                <w:rFonts w:eastAsia="Times New Roman"/>
              </w:rPr>
            </w:pPr>
          </w:p>
        </w:tc>
        <w:tc>
          <w:tcPr>
            <w:tcW w:w="3094"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c>
          <w:tcPr>
            <w:tcW w:w="50" w:type="pct"/>
            <w:vAlign w:val="center"/>
            <w:hideMark/>
          </w:tcPr>
          <w:p w:rsidR="00000000" w:rsidRDefault="001F1FC8">
            <w:pPr>
              <w:rPr>
                <w:rFonts w:eastAsia="Times New Roman"/>
                <w:sz w:val="20"/>
                <w:szCs w:val="20"/>
              </w:rPr>
            </w:pPr>
          </w:p>
        </w:tc>
        <w:tc>
          <w:tcPr>
            <w:tcW w:w="449"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c>
          <w:tcPr>
            <w:tcW w:w="50" w:type="pct"/>
            <w:vAlign w:val="center"/>
            <w:hideMark/>
          </w:tcPr>
          <w:p w:rsidR="00000000" w:rsidRDefault="001F1FC8">
            <w:pPr>
              <w:rPr>
                <w:rFonts w:eastAsia="Times New Roman"/>
                <w:sz w:val="20"/>
                <w:szCs w:val="20"/>
              </w:rPr>
            </w:pPr>
          </w:p>
        </w:tc>
        <w:tc>
          <w:tcPr>
            <w:tcW w:w="690"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c>
          <w:tcPr>
            <w:tcW w:w="50" w:type="pct"/>
            <w:vAlign w:val="center"/>
            <w:hideMark/>
          </w:tcPr>
          <w:p w:rsidR="00000000" w:rsidRDefault="001F1FC8">
            <w:pPr>
              <w:rPr>
                <w:rFonts w:eastAsia="Times New Roman"/>
                <w:sz w:val="20"/>
                <w:szCs w:val="20"/>
              </w:rPr>
            </w:pPr>
          </w:p>
        </w:tc>
        <w:tc>
          <w:tcPr>
            <w:tcW w:w="546"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r>
      <w:tr w:rsidR="00000000">
        <w:trPr>
          <w:divId w:val="1192956111"/>
        </w:trPr>
        <w:tc>
          <w:tcPr>
            <w:tcW w:w="0" w:type="auto"/>
            <w:gridSpan w:val="3"/>
            <w:tcMar>
              <w:top w:w="30" w:type="dxa"/>
              <w:left w:w="20" w:type="dxa"/>
              <w:bottom w:w="30" w:type="dxa"/>
              <w:right w:w="20" w:type="dxa"/>
            </w:tcMar>
            <w:vAlign w:val="bottom"/>
            <w:hideMark/>
          </w:tcPr>
          <w:p w:rsidR="00000000" w:rsidRDefault="001F1FC8">
            <w:pPr>
              <w:rPr>
                <w:rFonts w:eastAsia="Times New Roman"/>
              </w:rPr>
            </w:pPr>
            <w:r>
              <w:rPr>
                <w:rFonts w:ascii="Arial" w:eastAsia="Times New Roman" w:hAnsi="Arial" w:cs="Arial"/>
                <w:b/>
                <w:bCs/>
                <w:color w:val="000000"/>
                <w:sz w:val="20"/>
                <w:szCs w:val="20"/>
              </w:rPr>
              <w:t>December 31, 2021</w:t>
            </w:r>
          </w:p>
        </w:tc>
        <w:tc>
          <w:tcPr>
            <w:tcW w:w="0" w:type="auto"/>
            <w:gridSpan w:val="3"/>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Number</w:t>
            </w:r>
          </w:p>
        </w:tc>
        <w:tc>
          <w:tcPr>
            <w:tcW w:w="0" w:type="auto"/>
            <w:gridSpan w:val="3"/>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Weighted</w:t>
            </w:r>
          </w:p>
          <w:p w:rsidR="00000000" w:rsidRDefault="001F1FC8">
            <w:pPr>
              <w:jc w:val="right"/>
              <w:rPr>
                <w:rFonts w:eastAsia="Times New Roman"/>
              </w:rPr>
            </w:pPr>
            <w:r>
              <w:rPr>
                <w:rFonts w:ascii="Arial" w:eastAsia="Times New Roman" w:hAnsi="Arial" w:cs="Arial"/>
                <w:color w:val="000000"/>
                <w:sz w:val="20"/>
                <w:szCs w:val="20"/>
              </w:rPr>
              <w:t>Average</w:t>
            </w:r>
          </w:p>
          <w:p w:rsidR="00000000" w:rsidRDefault="001F1FC8">
            <w:pPr>
              <w:jc w:val="right"/>
              <w:rPr>
                <w:rFonts w:eastAsia="Times New Roman"/>
              </w:rPr>
            </w:pPr>
            <w:r>
              <w:rPr>
                <w:rFonts w:ascii="Arial" w:eastAsia="Times New Roman" w:hAnsi="Arial" w:cs="Arial"/>
                <w:color w:val="000000"/>
                <w:sz w:val="20"/>
                <w:szCs w:val="20"/>
              </w:rPr>
              <w:t>Remaining</w:t>
            </w:r>
          </w:p>
          <w:p w:rsidR="00000000" w:rsidRDefault="001F1FC8">
            <w:pPr>
              <w:jc w:val="right"/>
              <w:rPr>
                <w:rFonts w:eastAsia="Times New Roman"/>
              </w:rPr>
            </w:pPr>
            <w:r>
              <w:rPr>
                <w:rFonts w:ascii="Arial" w:eastAsia="Times New Roman" w:hAnsi="Arial" w:cs="Arial"/>
                <w:color w:val="000000"/>
                <w:sz w:val="20"/>
                <w:szCs w:val="20"/>
              </w:rPr>
              <w:t xml:space="preserve">Contractual Life </w:t>
            </w:r>
            <w:r>
              <w:rPr>
                <w:rFonts w:ascii="Arial" w:eastAsia="Times New Roman" w:hAnsi="Arial" w:cs="Arial"/>
                <w:i/>
                <w:iCs/>
                <w:color w:val="000000"/>
                <w:sz w:val="16"/>
                <w:szCs w:val="16"/>
              </w:rPr>
              <w:t>(years)</w:t>
            </w:r>
          </w:p>
        </w:tc>
        <w:tc>
          <w:tcPr>
            <w:tcW w:w="0" w:type="auto"/>
            <w:gridSpan w:val="3"/>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Aggregate</w:t>
            </w:r>
          </w:p>
          <w:p w:rsidR="00000000" w:rsidRDefault="001F1FC8">
            <w:pPr>
              <w:jc w:val="right"/>
              <w:rPr>
                <w:rFonts w:eastAsia="Times New Roman"/>
              </w:rPr>
            </w:pPr>
            <w:r>
              <w:rPr>
                <w:rFonts w:ascii="Arial" w:eastAsia="Times New Roman" w:hAnsi="Arial" w:cs="Arial"/>
                <w:color w:val="000000"/>
                <w:sz w:val="20"/>
                <w:szCs w:val="20"/>
              </w:rPr>
              <w:t>Intrinsic Value</w:t>
            </w:r>
          </w:p>
        </w:tc>
      </w:tr>
      <w:tr w:rsidR="00000000">
        <w:trPr>
          <w:divId w:val="1192956111"/>
        </w:trPr>
        <w:tc>
          <w:tcPr>
            <w:tcW w:w="0" w:type="auto"/>
            <w:gridSpan w:val="3"/>
            <w:tcBorders>
              <w:top w:val="single" w:sz="4" w:space="0" w:color="000000"/>
            </w:tcBorders>
            <w:tcMar>
              <w:top w:w="30" w:type="dxa"/>
              <w:left w:w="20" w:type="dxa"/>
              <w:bottom w:w="30" w:type="dxa"/>
              <w:right w:w="20" w:type="dxa"/>
            </w:tcMar>
            <w:vAlign w:val="bottom"/>
            <w:hideMark/>
          </w:tcPr>
          <w:p w:rsidR="00000000" w:rsidRDefault="001F1FC8">
            <w:pPr>
              <w:rPr>
                <w:rFonts w:eastAsia="Times New Roman"/>
              </w:rPr>
            </w:pPr>
            <w:r>
              <w:rPr>
                <w:rFonts w:ascii="Arial" w:eastAsia="Times New Roman" w:hAnsi="Arial" w:cs="Arial"/>
                <w:i/>
                <w:iCs/>
                <w:color w:val="000000"/>
                <w:sz w:val="16"/>
                <w:szCs w:val="16"/>
              </w:rPr>
              <w:t>(units in thousands; intrinsic value in millions of Canadian dollars)</w:t>
            </w:r>
          </w:p>
        </w:tc>
        <w:tc>
          <w:tcPr>
            <w:tcW w:w="0" w:type="auto"/>
            <w:gridSpan w:val="3"/>
            <w:tcBorders>
              <w:top w:val="single" w:sz="4" w:space="0" w:color="000000"/>
            </w:tcBorders>
            <w:shd w:val="clear" w:color="auto" w:fill="D9D9D9"/>
            <w:tcMar>
              <w:top w:w="0" w:type="dxa"/>
              <w:left w:w="20" w:type="dxa"/>
              <w:bottom w:w="0" w:type="dxa"/>
              <w:right w:w="20" w:type="dxa"/>
            </w:tcMar>
            <w:vAlign w:val="center"/>
            <w:hideMark/>
          </w:tcPr>
          <w:p w:rsidR="00000000" w:rsidRDefault="001F1FC8">
            <w:pPr>
              <w:rPr>
                <w:rFonts w:eastAsia="Times New Roman"/>
              </w:rPr>
            </w:pPr>
          </w:p>
        </w:tc>
        <w:tc>
          <w:tcPr>
            <w:tcW w:w="0" w:type="auto"/>
            <w:gridSpan w:val="3"/>
            <w:tcBorders>
              <w:top w:val="single" w:sz="4" w:space="0" w:color="000000"/>
            </w:tcBorders>
            <w:shd w:val="clear" w:color="auto" w:fill="D9D9D9"/>
            <w:tcMar>
              <w:top w:w="0" w:type="dxa"/>
              <w:left w:w="20" w:type="dxa"/>
              <w:bottom w:w="0" w:type="dxa"/>
              <w:right w:w="20" w:type="dxa"/>
            </w:tcMar>
            <w:vAlign w:val="center"/>
            <w:hideMark/>
          </w:tcPr>
          <w:p w:rsidR="00000000" w:rsidRDefault="001F1FC8">
            <w:pPr>
              <w:rPr>
                <w:rFonts w:eastAsia="Times New Roman"/>
                <w:sz w:val="20"/>
                <w:szCs w:val="20"/>
              </w:rPr>
            </w:pPr>
          </w:p>
        </w:tc>
        <w:tc>
          <w:tcPr>
            <w:tcW w:w="0" w:type="auto"/>
            <w:gridSpan w:val="3"/>
            <w:tcBorders>
              <w:top w:val="single" w:sz="4" w:space="0" w:color="000000"/>
            </w:tcBorders>
            <w:shd w:val="clear" w:color="auto" w:fill="D9D9D9"/>
            <w:tcMar>
              <w:top w:w="0" w:type="dxa"/>
              <w:left w:w="20" w:type="dxa"/>
              <w:bottom w:w="0" w:type="dxa"/>
              <w:right w:w="20" w:type="dxa"/>
            </w:tcMar>
            <w:vAlign w:val="center"/>
            <w:hideMark/>
          </w:tcPr>
          <w:p w:rsidR="00000000" w:rsidRDefault="001F1FC8">
            <w:pPr>
              <w:rPr>
                <w:rFonts w:eastAsia="Times New Roman"/>
                <w:sz w:val="20"/>
                <w:szCs w:val="20"/>
              </w:rPr>
            </w:pPr>
          </w:p>
        </w:tc>
      </w:tr>
      <w:tr w:rsidR="00000000">
        <w:trPr>
          <w:divId w:val="1192956111"/>
        </w:trPr>
        <w:tc>
          <w:tcPr>
            <w:tcW w:w="0" w:type="auto"/>
            <w:gridSpan w:val="3"/>
            <w:tcMar>
              <w:top w:w="30" w:type="dxa"/>
              <w:left w:w="20" w:type="dxa"/>
              <w:bottom w:w="30" w:type="dxa"/>
              <w:right w:w="20" w:type="dxa"/>
            </w:tcMar>
            <w:vAlign w:val="bottom"/>
            <w:hideMark/>
          </w:tcPr>
          <w:p w:rsidR="00000000" w:rsidRDefault="001F1FC8">
            <w:pPr>
              <w:rPr>
                <w:rFonts w:eastAsia="Times New Roman"/>
              </w:rPr>
            </w:pPr>
            <w:r>
              <w:rPr>
                <w:rFonts w:ascii="Arial" w:eastAsia="Times New Roman" w:hAnsi="Arial" w:cs="Arial"/>
                <w:color w:val="000000"/>
                <w:sz w:val="20"/>
                <w:szCs w:val="20"/>
              </w:rPr>
              <w:t>Units outstanding at beginning of year</w:t>
            </w:r>
          </w:p>
        </w:tc>
        <w:tc>
          <w:tcPr>
            <w:tcW w:w="0" w:type="auto"/>
            <w:gridSpan w:val="2"/>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20"/>
                <w:szCs w:val="20"/>
              </w:rPr>
              <w:t>2,453</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3"/>
            <w:shd w:val="clear" w:color="auto" w:fill="D9D9D9"/>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2"/>
                <w:szCs w:val="2"/>
              </w:rPr>
              <w:t> </w:t>
            </w:r>
          </w:p>
        </w:tc>
        <w:tc>
          <w:tcPr>
            <w:tcW w:w="0" w:type="auto"/>
            <w:gridSpan w:val="3"/>
            <w:shd w:val="clear" w:color="auto" w:fill="D9D9D9"/>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2"/>
                <w:szCs w:val="2"/>
              </w:rPr>
              <w:t> </w:t>
            </w:r>
          </w:p>
        </w:tc>
      </w:tr>
      <w:tr w:rsidR="00000000">
        <w:trPr>
          <w:divId w:val="1192956111"/>
        </w:trPr>
        <w:tc>
          <w:tcPr>
            <w:tcW w:w="0" w:type="auto"/>
            <w:gridSpan w:val="3"/>
            <w:tcMar>
              <w:top w:w="30" w:type="dxa"/>
              <w:left w:w="20" w:type="dxa"/>
              <w:bottom w:w="30" w:type="dxa"/>
              <w:right w:w="20" w:type="dxa"/>
            </w:tcMar>
            <w:vAlign w:val="bottom"/>
            <w:hideMark/>
          </w:tcPr>
          <w:p w:rsidR="00000000" w:rsidRDefault="001F1FC8">
            <w:pPr>
              <w:rPr>
                <w:rFonts w:eastAsia="Times New Roman"/>
              </w:rPr>
            </w:pPr>
            <w:r>
              <w:rPr>
                <w:rFonts w:ascii="Arial" w:eastAsia="Times New Roman" w:hAnsi="Arial" w:cs="Arial"/>
                <w:color w:val="000000"/>
                <w:sz w:val="20"/>
                <w:szCs w:val="20"/>
              </w:rPr>
              <w:t>Units granted</w:t>
            </w:r>
          </w:p>
        </w:tc>
        <w:tc>
          <w:tcPr>
            <w:tcW w:w="0" w:type="auto"/>
            <w:gridSpan w:val="2"/>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20"/>
                <w:szCs w:val="20"/>
              </w:rPr>
              <w:t>1,514</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3"/>
            <w:shd w:val="clear" w:color="auto" w:fill="D9D9D9"/>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2"/>
                <w:szCs w:val="2"/>
              </w:rPr>
              <w:t> </w:t>
            </w:r>
          </w:p>
        </w:tc>
        <w:tc>
          <w:tcPr>
            <w:tcW w:w="0" w:type="auto"/>
            <w:gridSpan w:val="3"/>
            <w:shd w:val="clear" w:color="auto" w:fill="D9D9D9"/>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2"/>
                <w:szCs w:val="2"/>
              </w:rPr>
              <w:t> </w:t>
            </w:r>
          </w:p>
        </w:tc>
      </w:tr>
      <w:tr w:rsidR="00000000">
        <w:trPr>
          <w:divId w:val="1192956111"/>
        </w:trPr>
        <w:tc>
          <w:tcPr>
            <w:tcW w:w="0" w:type="auto"/>
            <w:gridSpan w:val="3"/>
            <w:tcMar>
              <w:top w:w="30" w:type="dxa"/>
              <w:left w:w="20" w:type="dxa"/>
              <w:bottom w:w="30" w:type="dxa"/>
              <w:right w:w="20" w:type="dxa"/>
            </w:tcMar>
            <w:vAlign w:val="bottom"/>
            <w:hideMark/>
          </w:tcPr>
          <w:p w:rsidR="00000000" w:rsidRDefault="001F1FC8">
            <w:pPr>
              <w:rPr>
                <w:rFonts w:eastAsia="Times New Roman"/>
              </w:rPr>
            </w:pPr>
            <w:r>
              <w:rPr>
                <w:rFonts w:ascii="Arial" w:eastAsia="Times New Roman" w:hAnsi="Arial" w:cs="Arial"/>
                <w:color w:val="000000"/>
                <w:sz w:val="20"/>
                <w:szCs w:val="20"/>
              </w:rPr>
              <w:t>Units cancelled</w:t>
            </w:r>
          </w:p>
        </w:tc>
        <w:tc>
          <w:tcPr>
            <w:tcW w:w="0" w:type="auto"/>
            <w:gridSpan w:val="2"/>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20"/>
                <w:szCs w:val="20"/>
              </w:rPr>
              <w:t>(75)</w:t>
            </w:r>
          </w:p>
        </w:tc>
        <w:tc>
          <w:tcPr>
            <w:tcW w:w="0" w:type="auto"/>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3"/>
            <w:shd w:val="clear" w:color="auto" w:fill="D9D9D9"/>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2"/>
                <w:szCs w:val="2"/>
              </w:rPr>
              <w:t> </w:t>
            </w:r>
          </w:p>
        </w:tc>
        <w:tc>
          <w:tcPr>
            <w:tcW w:w="0" w:type="auto"/>
            <w:gridSpan w:val="3"/>
            <w:shd w:val="clear" w:color="auto" w:fill="D9D9D9"/>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2"/>
                <w:szCs w:val="2"/>
              </w:rPr>
              <w:t> </w:t>
            </w:r>
          </w:p>
        </w:tc>
      </w:tr>
      <w:tr w:rsidR="00000000">
        <w:trPr>
          <w:divId w:val="1192956111"/>
        </w:trPr>
        <w:tc>
          <w:tcPr>
            <w:tcW w:w="0" w:type="auto"/>
            <w:gridSpan w:val="3"/>
            <w:tcMar>
              <w:top w:w="30" w:type="dxa"/>
              <w:left w:w="20" w:type="dxa"/>
              <w:bottom w:w="30" w:type="dxa"/>
              <w:right w:w="20" w:type="dxa"/>
            </w:tcMar>
            <w:vAlign w:val="bottom"/>
            <w:hideMark/>
          </w:tcPr>
          <w:p w:rsidR="00000000" w:rsidRDefault="001F1FC8">
            <w:pPr>
              <w:divId w:val="1827041627"/>
              <w:rPr>
                <w:rFonts w:eastAsia="Times New Roman"/>
              </w:rPr>
            </w:pPr>
            <w:r>
              <w:rPr>
                <w:rFonts w:ascii="Arial" w:eastAsia="Times New Roman" w:hAnsi="Arial" w:cs="Arial"/>
                <w:color w:val="000000"/>
                <w:sz w:val="20"/>
                <w:szCs w:val="20"/>
              </w:rPr>
              <w:t>Units mature</w:t>
            </w:r>
            <w:r>
              <w:rPr>
                <w:rFonts w:ascii="Arial" w:eastAsia="Times New Roman" w:hAnsi="Arial" w:cs="Arial"/>
                <w:color w:val="000000"/>
                <w:sz w:val="20"/>
                <w:szCs w:val="20"/>
              </w:rPr>
              <w:t>d</w:t>
            </w:r>
            <w:r>
              <w:rPr>
                <w:rFonts w:ascii="Arial" w:eastAsia="Times New Roman" w:hAnsi="Arial" w:cs="Arial"/>
                <w:color w:val="000000"/>
                <w:sz w:val="10"/>
                <w:szCs w:val="10"/>
              </w:rPr>
              <w:t>1</w:t>
            </w:r>
          </w:p>
        </w:tc>
        <w:tc>
          <w:tcPr>
            <w:tcW w:w="0" w:type="auto"/>
            <w:gridSpan w:val="2"/>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20"/>
                <w:szCs w:val="20"/>
              </w:rPr>
              <w:t>(1,433)</w:t>
            </w:r>
          </w:p>
        </w:tc>
        <w:tc>
          <w:tcPr>
            <w:tcW w:w="0" w:type="auto"/>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3"/>
            <w:shd w:val="clear" w:color="auto" w:fill="D9D9D9"/>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2"/>
                <w:szCs w:val="2"/>
              </w:rPr>
              <w:t> </w:t>
            </w:r>
          </w:p>
        </w:tc>
        <w:tc>
          <w:tcPr>
            <w:tcW w:w="0" w:type="auto"/>
            <w:gridSpan w:val="3"/>
            <w:shd w:val="clear" w:color="auto" w:fill="D9D9D9"/>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2"/>
                <w:szCs w:val="2"/>
              </w:rPr>
              <w:t> </w:t>
            </w:r>
          </w:p>
        </w:tc>
      </w:tr>
      <w:tr w:rsidR="00000000">
        <w:trPr>
          <w:divId w:val="1192956111"/>
        </w:trPr>
        <w:tc>
          <w:tcPr>
            <w:tcW w:w="0" w:type="auto"/>
            <w:gridSpan w:val="3"/>
            <w:tcMar>
              <w:top w:w="30" w:type="dxa"/>
              <w:left w:w="20" w:type="dxa"/>
              <w:bottom w:w="30" w:type="dxa"/>
              <w:right w:w="20" w:type="dxa"/>
            </w:tcMar>
            <w:vAlign w:val="bottom"/>
            <w:hideMark/>
          </w:tcPr>
          <w:p w:rsidR="00000000" w:rsidRDefault="001F1FC8">
            <w:pPr>
              <w:rPr>
                <w:rFonts w:eastAsia="Times New Roman"/>
              </w:rPr>
            </w:pPr>
            <w:r>
              <w:rPr>
                <w:rFonts w:ascii="Arial" w:eastAsia="Times New Roman" w:hAnsi="Arial" w:cs="Arial"/>
                <w:color w:val="000000"/>
                <w:sz w:val="20"/>
                <w:szCs w:val="20"/>
              </w:rPr>
              <w:t>Dividend reinvestment</w:t>
            </w:r>
          </w:p>
        </w:tc>
        <w:tc>
          <w:tcPr>
            <w:tcW w:w="0" w:type="auto"/>
            <w:gridSpan w:val="2"/>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20"/>
                <w:szCs w:val="20"/>
              </w:rPr>
              <w:t>246</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3"/>
            <w:shd w:val="clear" w:color="auto" w:fill="D9D9D9"/>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2"/>
                <w:szCs w:val="2"/>
              </w:rPr>
              <w:t> </w:t>
            </w:r>
          </w:p>
        </w:tc>
        <w:tc>
          <w:tcPr>
            <w:tcW w:w="0" w:type="auto"/>
            <w:gridSpan w:val="3"/>
            <w:shd w:val="clear" w:color="auto" w:fill="D9D9D9"/>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2"/>
                <w:szCs w:val="2"/>
              </w:rPr>
              <w:t> </w:t>
            </w:r>
          </w:p>
        </w:tc>
      </w:tr>
      <w:tr w:rsidR="00000000">
        <w:trPr>
          <w:divId w:val="1192956111"/>
        </w:trPr>
        <w:tc>
          <w:tcPr>
            <w:tcW w:w="0" w:type="auto"/>
            <w:gridSpan w:val="3"/>
            <w:tcBorders>
              <w:top w:val="single" w:sz="4" w:space="0" w:color="000000"/>
              <w:bottom w:val="single" w:sz="8" w:space="0" w:color="000000"/>
            </w:tcBorders>
            <w:tcMar>
              <w:top w:w="30" w:type="dxa"/>
              <w:left w:w="20" w:type="dxa"/>
              <w:bottom w:w="30" w:type="dxa"/>
              <w:right w:w="20" w:type="dxa"/>
            </w:tcMar>
            <w:vAlign w:val="bottom"/>
            <w:hideMark/>
          </w:tcPr>
          <w:p w:rsidR="00000000" w:rsidRDefault="001F1FC8">
            <w:pPr>
              <w:rPr>
                <w:rFonts w:eastAsia="Times New Roman"/>
              </w:rPr>
            </w:pPr>
            <w:r>
              <w:rPr>
                <w:rFonts w:ascii="Arial" w:eastAsia="Times New Roman" w:hAnsi="Arial" w:cs="Arial"/>
                <w:color w:val="000000"/>
                <w:sz w:val="20"/>
                <w:szCs w:val="20"/>
              </w:rPr>
              <w:t>Units outstanding at end of year</w:t>
            </w:r>
          </w:p>
        </w:tc>
        <w:tc>
          <w:tcPr>
            <w:tcW w:w="0" w:type="auto"/>
            <w:gridSpan w:val="2"/>
            <w:tcBorders>
              <w:top w:val="single" w:sz="4" w:space="0" w:color="000000"/>
              <w:bottom w:val="single" w:sz="8" w:space="0" w:color="000000"/>
            </w:tcBorders>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20"/>
                <w:szCs w:val="20"/>
              </w:rPr>
              <w:t>2,705</w:t>
            </w:r>
            <w:r>
              <w:rPr>
                <w:rFonts w:ascii="Arial" w:eastAsia="Times New Roman" w:hAnsi="Arial" w:cs="Arial"/>
                <w:color w:val="000000"/>
                <w:sz w:val="20"/>
                <w:szCs w:val="20"/>
              </w:rPr>
              <w:t> </w:t>
            </w:r>
          </w:p>
        </w:tc>
        <w:tc>
          <w:tcPr>
            <w:tcW w:w="0" w:type="auto"/>
            <w:tcBorders>
              <w:top w:val="single" w:sz="4" w:space="0" w:color="000000"/>
              <w:bottom w:val="single" w:sz="8" w:space="0" w:color="000000"/>
            </w:tcBorders>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3"/>
            <w:tcBorders>
              <w:top w:val="single" w:sz="4" w:space="0" w:color="000000"/>
              <w:bottom w:val="single" w:sz="8" w:space="0" w:color="000000"/>
            </w:tcBorders>
            <w:shd w:val="clear" w:color="auto" w:fill="D9D9D9"/>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b/>
                <w:bCs/>
                <w:color w:val="000000"/>
                <w:sz w:val="20"/>
                <w:szCs w:val="20"/>
              </w:rPr>
              <w:t>1.1</w:t>
            </w:r>
          </w:p>
        </w:tc>
        <w:tc>
          <w:tcPr>
            <w:tcW w:w="0" w:type="auto"/>
            <w:gridSpan w:val="2"/>
            <w:tcBorders>
              <w:top w:val="single" w:sz="4" w:space="0" w:color="000000"/>
              <w:bottom w:val="single" w:sz="8" w:space="0" w:color="000000"/>
            </w:tcBorders>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20"/>
                <w:szCs w:val="20"/>
              </w:rPr>
              <w:t>129</w:t>
            </w:r>
            <w:r>
              <w:rPr>
                <w:rFonts w:ascii="Arial" w:eastAsia="Times New Roman" w:hAnsi="Arial" w:cs="Arial"/>
                <w:color w:val="000000"/>
                <w:sz w:val="20"/>
                <w:szCs w:val="20"/>
              </w:rPr>
              <w:t> </w:t>
            </w:r>
          </w:p>
        </w:tc>
        <w:tc>
          <w:tcPr>
            <w:tcW w:w="0" w:type="auto"/>
            <w:tcBorders>
              <w:top w:val="single" w:sz="4" w:space="0" w:color="000000"/>
              <w:bottom w:val="single" w:sz="8" w:space="0" w:color="000000"/>
            </w:tcBorders>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r>
    </w:tbl>
    <w:p w:rsidR="00000000" w:rsidRDefault="001F1FC8">
      <w:pPr>
        <w:ind w:hanging="180"/>
        <w:divId w:val="1743216517"/>
        <w:rPr>
          <w:rFonts w:eastAsia="Times New Roman"/>
        </w:rPr>
      </w:pPr>
      <w:r>
        <w:rPr>
          <w:rFonts w:ascii="Arial" w:eastAsia="Times New Roman" w:hAnsi="Arial" w:cs="Arial"/>
          <w:i/>
          <w:iCs/>
          <w:color w:val="000000"/>
          <w:sz w:val="16"/>
          <w:szCs w:val="16"/>
        </w:rPr>
        <w:t>1</w:t>
      </w:r>
      <w:r>
        <w:rPr>
          <w:rFonts w:ascii="Arial" w:eastAsia="Times New Roman" w:hAnsi="Arial" w:cs="Arial"/>
          <w:i/>
          <w:iCs/>
          <w:color w:val="000000"/>
          <w:sz w:val="16"/>
          <w:szCs w:val="16"/>
        </w:rPr>
        <w:t>The total amount paid during the years ended December 31, 2021, 2020 and 2019 for RSUs was $72 million, $27 million and $34 million, respectively.</w:t>
      </w:r>
    </w:p>
    <w:p w:rsidR="00000000" w:rsidRDefault="001F1FC8">
      <w:pPr>
        <w:divId w:val="294725471"/>
        <w:rPr>
          <w:rFonts w:eastAsia="Times New Roman"/>
        </w:rPr>
      </w:pPr>
      <w:r>
        <w:rPr>
          <w:rFonts w:ascii="Arial" w:eastAsia="Times New Roman" w:hAnsi="Arial" w:cs="Arial"/>
          <w:color w:val="000000"/>
          <w:sz w:val="20"/>
          <w:szCs w:val="20"/>
        </w:rPr>
        <w:t> </w:t>
      </w:r>
    </w:p>
    <w:p w:rsidR="00000000" w:rsidRDefault="001F1FC8">
      <w:pPr>
        <w:divId w:val="148793835"/>
        <w:rPr>
          <w:rFonts w:eastAsia="Times New Roman"/>
        </w:rPr>
      </w:pPr>
      <w:r>
        <w:rPr>
          <w:rFonts w:ascii="Arial" w:eastAsia="Times New Roman" w:hAnsi="Arial" w:cs="Arial"/>
          <w:color w:val="000000"/>
          <w:sz w:val="20"/>
          <w:szCs w:val="20"/>
        </w:rPr>
        <w:t>Compensation expense recorded for the years ended December 31, 2021, 2020 and 2019 for RSUs was $85 million</w:t>
      </w:r>
      <w:r>
        <w:rPr>
          <w:rFonts w:ascii="Arial" w:eastAsia="Times New Roman" w:hAnsi="Arial" w:cs="Arial"/>
          <w:color w:val="000000"/>
          <w:sz w:val="20"/>
          <w:szCs w:val="20"/>
        </w:rPr>
        <w:t>, $44 million and $41 million, respectively. As at December 31, 2021, unrecognized compensation expense related to non-vested RSUs was $62 million. The expense is expected to be fully recognized over a weighted average period of approximately two years.</w:t>
      </w:r>
    </w:p>
    <w:p w:rsidR="00000000" w:rsidRDefault="001F1FC8">
      <w:pPr>
        <w:divId w:val="220872099"/>
        <w:rPr>
          <w:rFonts w:eastAsia="Times New Roman"/>
        </w:rPr>
      </w:pPr>
    </w:p>
    <w:p w:rsidR="00000000" w:rsidRDefault="001F1FC8">
      <w:pPr>
        <w:jc w:val="center"/>
        <w:divId w:val="1057167151"/>
        <w:rPr>
          <w:rFonts w:eastAsia="Times New Roman"/>
        </w:rPr>
      </w:pPr>
      <w:r>
        <w:rPr>
          <w:rFonts w:ascii="Arial" w:eastAsia="Times New Roman" w:hAnsi="Arial" w:cs="Arial"/>
          <w:color w:val="000000"/>
          <w:sz w:val="20"/>
          <w:szCs w:val="20"/>
        </w:rPr>
        <w:t>147</w:t>
      </w:r>
    </w:p>
    <w:p w:rsidR="00000000" w:rsidRDefault="001F1FC8">
      <w:pPr>
        <w:rPr>
          <w:rFonts w:eastAsia="Times New Roman"/>
        </w:rPr>
      </w:pPr>
      <w:r>
        <w:rPr>
          <w:rFonts w:eastAsia="Times New Roman"/>
        </w:rPr>
        <w:pict>
          <v:rect id="_x0000_i1177" style="width:0;height:1.5pt" o:hralign="center" o:hrstd="t" o:hr="t" fillcolor="#a0a0a0" stroked="f"/>
        </w:pict>
      </w:r>
    </w:p>
    <w:p w:rsidR="00000000" w:rsidRDefault="001F1FC8">
      <w:pPr>
        <w:jc w:val="center"/>
        <w:divId w:val="950935620"/>
        <w:rPr>
          <w:rFonts w:eastAsia="Times New Roman"/>
        </w:rPr>
      </w:pPr>
    </w:p>
    <w:p w:rsidR="00000000" w:rsidRDefault="001F1FC8">
      <w:pPr>
        <w:ind w:hanging="540"/>
        <w:divId w:val="1640652799"/>
        <w:rPr>
          <w:rFonts w:eastAsia="Times New Roman"/>
        </w:rPr>
      </w:pPr>
      <w:r>
        <w:rPr>
          <w:rFonts w:ascii="Arial" w:eastAsia="Times New Roman" w:hAnsi="Arial" w:cs="Arial"/>
          <w:b/>
          <w:bCs/>
          <w:color w:val="000000"/>
          <w:sz w:val="26"/>
          <w:szCs w:val="26"/>
        </w:rPr>
        <w:t xml:space="preserve">23.  COMPONENTS OF ACCUMULATED OTHER COMPREHENSIVE INCOME/(LOSS) </w:t>
      </w:r>
    </w:p>
    <w:p w:rsidR="00000000" w:rsidRDefault="001F1FC8">
      <w:pPr>
        <w:divId w:val="1666741888"/>
        <w:rPr>
          <w:rFonts w:eastAsia="Times New Roman"/>
        </w:rPr>
      </w:pPr>
      <w:r>
        <w:rPr>
          <w:rFonts w:ascii="Arial" w:eastAsia="Times New Roman" w:hAnsi="Arial" w:cs="Arial"/>
          <w:color w:val="000000"/>
          <w:sz w:val="20"/>
          <w:szCs w:val="20"/>
        </w:rPr>
        <w:t> </w:t>
      </w:r>
    </w:p>
    <w:p w:rsidR="00000000" w:rsidRDefault="001F1FC8">
      <w:pPr>
        <w:divId w:val="1189484255"/>
        <w:rPr>
          <w:rFonts w:eastAsia="Times New Roman"/>
        </w:rPr>
      </w:pPr>
      <w:r>
        <w:rPr>
          <w:rFonts w:ascii="Arial" w:eastAsia="Times New Roman" w:hAnsi="Arial" w:cs="Arial"/>
          <w:color w:val="000000"/>
          <w:sz w:val="20"/>
          <w:szCs w:val="20"/>
        </w:rPr>
        <w:t>Changes in AOCI attributable to our common shareholders for the years ended December 31, 2021, 2020 and 2019 are as follows:</w:t>
      </w:r>
    </w:p>
    <w:tbl>
      <w:tblPr>
        <w:tblW w:w="5000" w:type="pct"/>
        <w:tblCellMar>
          <w:top w:w="15" w:type="dxa"/>
          <w:left w:w="15" w:type="dxa"/>
          <w:bottom w:w="15" w:type="dxa"/>
          <w:right w:w="15" w:type="dxa"/>
        </w:tblCellMar>
        <w:tblLook w:val="04A0" w:firstRow="1" w:lastRow="0" w:firstColumn="1" w:lastColumn="0" w:noHBand="0" w:noVBand="1"/>
      </w:tblPr>
      <w:tblGrid>
        <w:gridCol w:w="42"/>
        <w:gridCol w:w="2625"/>
        <w:gridCol w:w="39"/>
        <w:gridCol w:w="70"/>
        <w:gridCol w:w="544"/>
        <w:gridCol w:w="36"/>
        <w:gridCol w:w="86"/>
        <w:gridCol w:w="854"/>
        <w:gridCol w:w="36"/>
        <w:gridCol w:w="85"/>
        <w:gridCol w:w="730"/>
        <w:gridCol w:w="36"/>
        <w:gridCol w:w="87"/>
        <w:gridCol w:w="746"/>
        <w:gridCol w:w="36"/>
        <w:gridCol w:w="77"/>
        <w:gridCol w:w="641"/>
        <w:gridCol w:w="36"/>
        <w:gridCol w:w="87"/>
        <w:gridCol w:w="746"/>
        <w:gridCol w:w="36"/>
        <w:gridCol w:w="63"/>
        <w:gridCol w:w="532"/>
        <w:gridCol w:w="36"/>
      </w:tblGrid>
      <w:tr w:rsidR="00000000">
        <w:trPr>
          <w:divId w:val="1269116225"/>
        </w:trPr>
        <w:tc>
          <w:tcPr>
            <w:tcW w:w="50" w:type="pct"/>
            <w:vAlign w:val="center"/>
            <w:hideMark/>
          </w:tcPr>
          <w:p w:rsidR="00000000" w:rsidRDefault="001F1FC8">
            <w:pPr>
              <w:rPr>
                <w:rFonts w:eastAsia="Times New Roman"/>
              </w:rPr>
            </w:pPr>
          </w:p>
        </w:tc>
        <w:tc>
          <w:tcPr>
            <w:tcW w:w="1603"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c>
          <w:tcPr>
            <w:tcW w:w="50" w:type="pct"/>
            <w:vAlign w:val="center"/>
            <w:hideMark/>
          </w:tcPr>
          <w:p w:rsidR="00000000" w:rsidRDefault="001F1FC8">
            <w:pPr>
              <w:rPr>
                <w:rFonts w:eastAsia="Times New Roman"/>
                <w:sz w:val="20"/>
                <w:szCs w:val="20"/>
              </w:rPr>
            </w:pPr>
          </w:p>
        </w:tc>
        <w:tc>
          <w:tcPr>
            <w:tcW w:w="369"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c>
          <w:tcPr>
            <w:tcW w:w="50" w:type="pct"/>
            <w:vAlign w:val="center"/>
            <w:hideMark/>
          </w:tcPr>
          <w:p w:rsidR="00000000" w:rsidRDefault="001F1FC8">
            <w:pPr>
              <w:rPr>
                <w:rFonts w:eastAsia="Times New Roman"/>
                <w:sz w:val="20"/>
                <w:szCs w:val="20"/>
              </w:rPr>
            </w:pPr>
          </w:p>
        </w:tc>
        <w:tc>
          <w:tcPr>
            <w:tcW w:w="497"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c>
          <w:tcPr>
            <w:tcW w:w="50" w:type="pct"/>
            <w:vAlign w:val="center"/>
            <w:hideMark/>
          </w:tcPr>
          <w:p w:rsidR="00000000" w:rsidRDefault="001F1FC8">
            <w:pPr>
              <w:rPr>
                <w:rFonts w:eastAsia="Times New Roman"/>
                <w:sz w:val="20"/>
                <w:szCs w:val="20"/>
              </w:rPr>
            </w:pPr>
          </w:p>
        </w:tc>
        <w:tc>
          <w:tcPr>
            <w:tcW w:w="433"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c>
          <w:tcPr>
            <w:tcW w:w="50" w:type="pct"/>
            <w:vAlign w:val="center"/>
            <w:hideMark/>
          </w:tcPr>
          <w:p w:rsidR="00000000" w:rsidRDefault="001F1FC8">
            <w:pPr>
              <w:rPr>
                <w:rFonts w:eastAsia="Times New Roman"/>
                <w:sz w:val="20"/>
                <w:szCs w:val="20"/>
              </w:rPr>
            </w:pPr>
          </w:p>
        </w:tc>
        <w:tc>
          <w:tcPr>
            <w:tcW w:w="433"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c>
          <w:tcPr>
            <w:tcW w:w="50" w:type="pct"/>
            <w:vAlign w:val="center"/>
            <w:hideMark/>
          </w:tcPr>
          <w:p w:rsidR="00000000" w:rsidRDefault="001F1FC8">
            <w:pPr>
              <w:rPr>
                <w:rFonts w:eastAsia="Times New Roman"/>
                <w:sz w:val="20"/>
                <w:szCs w:val="20"/>
              </w:rPr>
            </w:pPr>
          </w:p>
        </w:tc>
        <w:tc>
          <w:tcPr>
            <w:tcW w:w="417"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c>
          <w:tcPr>
            <w:tcW w:w="50" w:type="pct"/>
            <w:vAlign w:val="center"/>
            <w:hideMark/>
          </w:tcPr>
          <w:p w:rsidR="00000000" w:rsidRDefault="001F1FC8">
            <w:pPr>
              <w:rPr>
                <w:rFonts w:eastAsia="Times New Roman"/>
                <w:sz w:val="20"/>
                <w:szCs w:val="20"/>
              </w:rPr>
            </w:pPr>
          </w:p>
        </w:tc>
        <w:tc>
          <w:tcPr>
            <w:tcW w:w="433"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c>
          <w:tcPr>
            <w:tcW w:w="50" w:type="pct"/>
            <w:vAlign w:val="center"/>
            <w:hideMark/>
          </w:tcPr>
          <w:p w:rsidR="00000000" w:rsidRDefault="001F1FC8">
            <w:pPr>
              <w:rPr>
                <w:rFonts w:eastAsia="Times New Roman"/>
                <w:sz w:val="20"/>
                <w:szCs w:val="20"/>
              </w:rPr>
            </w:pPr>
          </w:p>
        </w:tc>
        <w:tc>
          <w:tcPr>
            <w:tcW w:w="369"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r>
      <w:tr w:rsidR="00000000">
        <w:trPr>
          <w:divId w:val="1269116225"/>
        </w:trPr>
        <w:tc>
          <w:tcPr>
            <w:tcW w:w="0" w:type="auto"/>
            <w:gridSpan w:val="3"/>
            <w:tcMar>
              <w:top w:w="0" w:type="dxa"/>
              <w:left w:w="20" w:type="dxa"/>
              <w:bottom w:w="0" w:type="dxa"/>
              <w:right w:w="20" w:type="dxa"/>
            </w:tcMar>
            <w:vAlign w:val="center"/>
            <w:hideMark/>
          </w:tcPr>
          <w:p w:rsidR="00000000" w:rsidRDefault="001F1FC8">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Cash Flow</w:t>
            </w:r>
          </w:p>
          <w:p w:rsidR="00000000" w:rsidRDefault="001F1FC8">
            <w:pPr>
              <w:jc w:val="right"/>
              <w:rPr>
                <w:rFonts w:eastAsia="Times New Roman"/>
              </w:rPr>
            </w:pPr>
            <w:r>
              <w:rPr>
                <w:rFonts w:ascii="Arial" w:eastAsia="Times New Roman" w:hAnsi="Arial" w:cs="Arial"/>
                <w:color w:val="000000"/>
                <w:sz w:val="16"/>
                <w:szCs w:val="16"/>
              </w:rPr>
              <w:t>Hedges</w:t>
            </w:r>
          </w:p>
        </w:tc>
        <w:tc>
          <w:tcPr>
            <w:tcW w:w="0" w:type="auto"/>
            <w:gridSpan w:val="3"/>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Excluded</w:t>
            </w:r>
            <w:r>
              <w:rPr>
                <w:rFonts w:ascii="Arial" w:eastAsia="Times New Roman" w:hAnsi="Arial" w:cs="Arial"/>
                <w:color w:val="000000"/>
                <w:sz w:val="16"/>
                <w:szCs w:val="16"/>
              </w:rPr>
              <w:br/>
              <w:t>Components</w:t>
            </w:r>
            <w:r>
              <w:rPr>
                <w:rFonts w:ascii="Arial" w:eastAsia="Times New Roman" w:hAnsi="Arial" w:cs="Arial"/>
                <w:color w:val="000000"/>
                <w:sz w:val="16"/>
                <w:szCs w:val="16"/>
              </w:rPr>
              <w:br/>
              <w:t>of Fair Value</w:t>
            </w:r>
            <w:r>
              <w:rPr>
                <w:rFonts w:ascii="Arial" w:eastAsia="Times New Roman" w:hAnsi="Arial" w:cs="Arial"/>
                <w:color w:val="000000"/>
                <w:sz w:val="16"/>
                <w:szCs w:val="16"/>
              </w:rPr>
              <w:br/>
              <w:t>Hedges</w:t>
            </w:r>
          </w:p>
        </w:tc>
        <w:tc>
          <w:tcPr>
            <w:tcW w:w="0" w:type="auto"/>
            <w:gridSpan w:val="3"/>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Net</w:t>
            </w:r>
          </w:p>
          <w:p w:rsidR="00000000" w:rsidRDefault="001F1FC8">
            <w:pPr>
              <w:jc w:val="right"/>
              <w:rPr>
                <w:rFonts w:eastAsia="Times New Roman"/>
              </w:rPr>
            </w:pPr>
            <w:r>
              <w:rPr>
                <w:rFonts w:ascii="Arial" w:eastAsia="Times New Roman" w:hAnsi="Arial" w:cs="Arial"/>
                <w:color w:val="000000"/>
                <w:sz w:val="16"/>
                <w:szCs w:val="16"/>
              </w:rPr>
              <w:t>Investment</w:t>
            </w:r>
          </w:p>
          <w:p w:rsidR="00000000" w:rsidRDefault="001F1FC8">
            <w:pPr>
              <w:jc w:val="right"/>
              <w:rPr>
                <w:rFonts w:eastAsia="Times New Roman"/>
              </w:rPr>
            </w:pPr>
            <w:r>
              <w:rPr>
                <w:rFonts w:ascii="Arial" w:eastAsia="Times New Roman" w:hAnsi="Arial" w:cs="Arial"/>
                <w:color w:val="000000"/>
                <w:sz w:val="16"/>
                <w:szCs w:val="16"/>
              </w:rPr>
              <w:t>Hedges</w:t>
            </w:r>
          </w:p>
        </w:tc>
        <w:tc>
          <w:tcPr>
            <w:tcW w:w="0" w:type="auto"/>
            <w:gridSpan w:val="3"/>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Cumulative</w:t>
            </w:r>
          </w:p>
          <w:p w:rsidR="00000000" w:rsidRDefault="001F1FC8">
            <w:pPr>
              <w:jc w:val="right"/>
              <w:rPr>
                <w:rFonts w:eastAsia="Times New Roman"/>
              </w:rPr>
            </w:pPr>
            <w:r>
              <w:rPr>
                <w:rFonts w:ascii="Arial" w:eastAsia="Times New Roman" w:hAnsi="Arial" w:cs="Arial"/>
                <w:color w:val="000000"/>
                <w:sz w:val="16"/>
                <w:szCs w:val="16"/>
              </w:rPr>
              <w:t>Translation</w:t>
            </w:r>
          </w:p>
          <w:p w:rsidR="00000000" w:rsidRDefault="001F1FC8">
            <w:pPr>
              <w:jc w:val="right"/>
              <w:rPr>
                <w:rFonts w:eastAsia="Times New Roman"/>
              </w:rPr>
            </w:pPr>
            <w:r>
              <w:rPr>
                <w:rFonts w:ascii="Arial" w:eastAsia="Times New Roman" w:hAnsi="Arial" w:cs="Arial"/>
                <w:color w:val="000000"/>
                <w:sz w:val="16"/>
                <w:szCs w:val="16"/>
              </w:rPr>
              <w:t>Adjustment</w:t>
            </w:r>
          </w:p>
        </w:tc>
        <w:tc>
          <w:tcPr>
            <w:tcW w:w="0" w:type="auto"/>
            <w:gridSpan w:val="3"/>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Equity</w:t>
            </w:r>
          </w:p>
          <w:p w:rsidR="00000000" w:rsidRDefault="001F1FC8">
            <w:pPr>
              <w:jc w:val="right"/>
              <w:rPr>
                <w:rFonts w:eastAsia="Times New Roman"/>
              </w:rPr>
            </w:pPr>
            <w:r>
              <w:rPr>
                <w:rFonts w:ascii="Arial" w:eastAsia="Times New Roman" w:hAnsi="Arial" w:cs="Arial"/>
                <w:color w:val="000000"/>
                <w:sz w:val="16"/>
                <w:szCs w:val="16"/>
              </w:rPr>
              <w:t>Investees</w:t>
            </w:r>
          </w:p>
        </w:tc>
        <w:tc>
          <w:tcPr>
            <w:tcW w:w="0" w:type="auto"/>
            <w:gridSpan w:val="3"/>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Pension and</w:t>
            </w:r>
          </w:p>
          <w:p w:rsidR="00000000" w:rsidRDefault="001F1FC8">
            <w:pPr>
              <w:jc w:val="right"/>
              <w:rPr>
                <w:rFonts w:eastAsia="Times New Roman"/>
              </w:rPr>
            </w:pPr>
            <w:r>
              <w:rPr>
                <w:rFonts w:ascii="Arial" w:eastAsia="Times New Roman" w:hAnsi="Arial" w:cs="Arial"/>
                <w:color w:val="000000"/>
                <w:sz w:val="16"/>
                <w:szCs w:val="16"/>
              </w:rPr>
              <w:t>OPEB</w:t>
            </w:r>
          </w:p>
          <w:p w:rsidR="00000000" w:rsidRDefault="001F1FC8">
            <w:pPr>
              <w:jc w:val="right"/>
              <w:rPr>
                <w:rFonts w:eastAsia="Times New Roman"/>
              </w:rPr>
            </w:pPr>
            <w:r>
              <w:rPr>
                <w:rFonts w:ascii="Arial" w:eastAsia="Times New Roman" w:hAnsi="Arial" w:cs="Arial"/>
                <w:color w:val="000000"/>
                <w:sz w:val="16"/>
                <w:szCs w:val="16"/>
              </w:rPr>
              <w:t>Adjustment</w:t>
            </w:r>
          </w:p>
        </w:tc>
        <w:tc>
          <w:tcPr>
            <w:tcW w:w="0" w:type="auto"/>
            <w:gridSpan w:val="3"/>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Total</w:t>
            </w:r>
          </w:p>
        </w:tc>
      </w:tr>
      <w:tr w:rsidR="00000000">
        <w:trPr>
          <w:divId w:val="1269116225"/>
        </w:trPr>
        <w:tc>
          <w:tcPr>
            <w:tcW w:w="0" w:type="auto"/>
            <w:gridSpan w:val="3"/>
            <w:tcBorders>
              <w:top w:val="single" w:sz="4" w:space="0" w:color="000000"/>
            </w:tcBorders>
            <w:tcMar>
              <w:top w:w="30" w:type="dxa"/>
              <w:left w:w="20" w:type="dxa"/>
              <w:bottom w:w="30" w:type="dxa"/>
              <w:right w:w="20" w:type="dxa"/>
            </w:tcMar>
            <w:hideMark/>
          </w:tcPr>
          <w:p w:rsidR="00000000" w:rsidRDefault="001F1FC8">
            <w:pPr>
              <w:rPr>
                <w:rFonts w:eastAsia="Times New Roman"/>
              </w:rPr>
            </w:pPr>
            <w:r>
              <w:rPr>
                <w:rFonts w:ascii="Arial" w:eastAsia="Times New Roman" w:hAnsi="Arial" w:cs="Arial"/>
                <w:i/>
                <w:iCs/>
                <w:color w:val="000000"/>
                <w:sz w:val="16"/>
                <w:szCs w:val="16"/>
              </w:rPr>
              <w:t>(millions of Canadian dollars)</w:t>
            </w:r>
          </w:p>
        </w:tc>
        <w:tc>
          <w:tcPr>
            <w:tcW w:w="0" w:type="auto"/>
            <w:gridSpan w:val="3"/>
            <w:tcBorders>
              <w:top w:val="single" w:sz="4" w:space="0" w:color="000000"/>
            </w:tcBorders>
            <w:shd w:val="clear" w:color="auto" w:fill="D8D8D8"/>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2"/>
                <w:szCs w:val="2"/>
              </w:rPr>
              <w:t> </w:t>
            </w:r>
          </w:p>
        </w:tc>
        <w:tc>
          <w:tcPr>
            <w:tcW w:w="0" w:type="auto"/>
            <w:gridSpan w:val="3"/>
            <w:tcBorders>
              <w:top w:val="single" w:sz="4" w:space="0" w:color="000000"/>
            </w:tcBorders>
            <w:shd w:val="clear" w:color="auto" w:fill="D8D8D8"/>
            <w:tcMar>
              <w:top w:w="0" w:type="dxa"/>
              <w:left w:w="20" w:type="dxa"/>
              <w:bottom w:w="0" w:type="dxa"/>
              <w:right w:w="20" w:type="dxa"/>
            </w:tcMar>
            <w:vAlign w:val="center"/>
            <w:hideMark/>
          </w:tcPr>
          <w:p w:rsidR="00000000" w:rsidRDefault="001F1FC8">
            <w:pPr>
              <w:jc w:val="right"/>
              <w:rPr>
                <w:rFonts w:eastAsia="Times New Roman"/>
              </w:rPr>
            </w:pPr>
          </w:p>
        </w:tc>
        <w:tc>
          <w:tcPr>
            <w:tcW w:w="0" w:type="auto"/>
            <w:gridSpan w:val="3"/>
            <w:tcBorders>
              <w:top w:val="single" w:sz="4" w:space="0" w:color="000000"/>
            </w:tcBorders>
            <w:shd w:val="clear" w:color="auto" w:fill="D8D8D8"/>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2"/>
                <w:szCs w:val="2"/>
              </w:rPr>
              <w:t> </w:t>
            </w:r>
          </w:p>
        </w:tc>
        <w:tc>
          <w:tcPr>
            <w:tcW w:w="0" w:type="auto"/>
            <w:gridSpan w:val="3"/>
            <w:tcBorders>
              <w:top w:val="single" w:sz="4" w:space="0" w:color="000000"/>
            </w:tcBorders>
            <w:shd w:val="clear" w:color="auto" w:fill="D8D8D8"/>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2"/>
                <w:szCs w:val="2"/>
              </w:rPr>
              <w:t> </w:t>
            </w:r>
          </w:p>
        </w:tc>
        <w:tc>
          <w:tcPr>
            <w:tcW w:w="0" w:type="auto"/>
            <w:gridSpan w:val="3"/>
            <w:tcBorders>
              <w:top w:val="single" w:sz="4" w:space="0" w:color="000000"/>
            </w:tcBorders>
            <w:shd w:val="clear" w:color="auto" w:fill="D8D8D8"/>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2"/>
                <w:szCs w:val="2"/>
              </w:rPr>
              <w:t> </w:t>
            </w:r>
          </w:p>
        </w:tc>
        <w:tc>
          <w:tcPr>
            <w:tcW w:w="0" w:type="auto"/>
            <w:gridSpan w:val="3"/>
            <w:tcBorders>
              <w:top w:val="single" w:sz="4" w:space="0" w:color="000000"/>
            </w:tcBorders>
            <w:shd w:val="clear" w:color="auto" w:fill="D8D8D8"/>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2"/>
                <w:szCs w:val="2"/>
              </w:rPr>
              <w:t> </w:t>
            </w:r>
          </w:p>
        </w:tc>
        <w:tc>
          <w:tcPr>
            <w:tcW w:w="0" w:type="auto"/>
            <w:gridSpan w:val="3"/>
            <w:tcBorders>
              <w:top w:val="single" w:sz="4" w:space="0" w:color="000000"/>
            </w:tcBorders>
            <w:shd w:val="clear" w:color="auto" w:fill="D8D8D8"/>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2"/>
                <w:szCs w:val="2"/>
              </w:rPr>
              <w:t> </w:t>
            </w:r>
          </w:p>
        </w:tc>
      </w:tr>
      <w:tr w:rsidR="00000000">
        <w:trPr>
          <w:divId w:val="1269116225"/>
        </w:trPr>
        <w:tc>
          <w:tcPr>
            <w:tcW w:w="0" w:type="auto"/>
            <w:gridSpan w:val="3"/>
            <w:tcMar>
              <w:top w:w="30" w:type="dxa"/>
              <w:left w:w="20" w:type="dxa"/>
              <w:bottom w:w="30" w:type="dxa"/>
              <w:right w:w="20" w:type="dxa"/>
            </w:tcMar>
            <w:vAlign w:val="center"/>
            <w:hideMark/>
          </w:tcPr>
          <w:p w:rsidR="00000000" w:rsidRDefault="001F1FC8">
            <w:pPr>
              <w:rPr>
                <w:rFonts w:eastAsia="Times New Roman"/>
              </w:rPr>
            </w:pPr>
            <w:r>
              <w:rPr>
                <w:rFonts w:ascii="Arial" w:eastAsia="Times New Roman" w:hAnsi="Arial" w:cs="Arial"/>
                <w:color w:val="000000"/>
                <w:sz w:val="16"/>
                <w:szCs w:val="16"/>
              </w:rPr>
              <w:t>Balance at January 1, 2021</w:t>
            </w:r>
          </w:p>
        </w:tc>
        <w:tc>
          <w:tcPr>
            <w:tcW w:w="0" w:type="auto"/>
            <w:gridSpan w:val="2"/>
            <w:shd w:val="clear" w:color="auto" w:fill="D8D8D8"/>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b/>
                <w:bCs/>
                <w:color w:val="000000"/>
                <w:sz w:val="16"/>
                <w:szCs w:val="16"/>
              </w:rPr>
              <w:t>(1,326)</w:t>
            </w:r>
          </w:p>
        </w:tc>
        <w:tc>
          <w:tcPr>
            <w:tcW w:w="0" w:type="auto"/>
            <w:shd w:val="clear" w:color="auto" w:fill="D8D8D8"/>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shd w:val="clear" w:color="auto" w:fill="D8D8D8"/>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b/>
                <w:bCs/>
                <w:color w:val="000000"/>
                <w:sz w:val="16"/>
                <w:szCs w:val="16"/>
              </w:rPr>
              <w:t>5</w:t>
            </w:r>
            <w:r>
              <w:rPr>
                <w:rFonts w:ascii="Arial" w:eastAsia="Times New Roman" w:hAnsi="Arial" w:cs="Arial"/>
                <w:color w:val="000000"/>
                <w:sz w:val="16"/>
                <w:szCs w:val="16"/>
              </w:rPr>
              <w:t> </w:t>
            </w:r>
          </w:p>
        </w:tc>
        <w:tc>
          <w:tcPr>
            <w:tcW w:w="0" w:type="auto"/>
            <w:shd w:val="clear" w:color="auto" w:fill="D8D8D8"/>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shd w:val="clear" w:color="auto" w:fill="D8D8D8"/>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b/>
                <w:bCs/>
                <w:color w:val="000000"/>
                <w:sz w:val="16"/>
                <w:szCs w:val="16"/>
              </w:rPr>
              <w:t>(215)</w:t>
            </w:r>
          </w:p>
        </w:tc>
        <w:tc>
          <w:tcPr>
            <w:tcW w:w="0" w:type="auto"/>
            <w:shd w:val="clear" w:color="auto" w:fill="D8D8D8"/>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shd w:val="clear" w:color="auto" w:fill="D8D8D8"/>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b/>
                <w:bCs/>
                <w:color w:val="000000"/>
                <w:sz w:val="16"/>
                <w:szCs w:val="16"/>
              </w:rPr>
              <w:t>568</w:t>
            </w:r>
            <w:r>
              <w:rPr>
                <w:rFonts w:ascii="Arial" w:eastAsia="Times New Roman" w:hAnsi="Arial" w:cs="Arial"/>
                <w:color w:val="000000"/>
                <w:sz w:val="16"/>
                <w:szCs w:val="16"/>
              </w:rPr>
              <w:t> </w:t>
            </w:r>
          </w:p>
        </w:tc>
        <w:tc>
          <w:tcPr>
            <w:tcW w:w="0" w:type="auto"/>
            <w:shd w:val="clear" w:color="auto" w:fill="D8D8D8"/>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shd w:val="clear" w:color="auto" w:fill="D8D8D8"/>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b/>
                <w:bCs/>
                <w:color w:val="000000"/>
                <w:sz w:val="16"/>
                <w:szCs w:val="16"/>
              </w:rPr>
              <w:t>66</w:t>
            </w:r>
            <w:r>
              <w:rPr>
                <w:rFonts w:ascii="Arial" w:eastAsia="Times New Roman" w:hAnsi="Arial" w:cs="Arial"/>
                <w:color w:val="000000"/>
                <w:sz w:val="16"/>
                <w:szCs w:val="16"/>
              </w:rPr>
              <w:t> </w:t>
            </w:r>
          </w:p>
        </w:tc>
        <w:tc>
          <w:tcPr>
            <w:tcW w:w="0" w:type="auto"/>
            <w:shd w:val="clear" w:color="auto" w:fill="D8D8D8"/>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shd w:val="clear" w:color="auto" w:fill="D8D8D8"/>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b/>
                <w:bCs/>
                <w:color w:val="000000"/>
                <w:sz w:val="16"/>
                <w:szCs w:val="16"/>
              </w:rPr>
              <w:t>(499)</w:t>
            </w:r>
          </w:p>
        </w:tc>
        <w:tc>
          <w:tcPr>
            <w:tcW w:w="0" w:type="auto"/>
            <w:shd w:val="clear" w:color="auto" w:fill="D8D8D8"/>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shd w:val="clear" w:color="auto" w:fill="D8D8D8"/>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b/>
                <w:bCs/>
                <w:color w:val="000000"/>
                <w:sz w:val="16"/>
                <w:szCs w:val="16"/>
              </w:rPr>
              <w:t>(1,401)</w:t>
            </w:r>
          </w:p>
        </w:tc>
        <w:tc>
          <w:tcPr>
            <w:tcW w:w="0" w:type="auto"/>
            <w:shd w:val="clear" w:color="auto" w:fill="D8D8D8"/>
            <w:tcMar>
              <w:top w:w="30" w:type="dxa"/>
              <w:left w:w="0" w:type="dxa"/>
              <w:bottom w:w="30" w:type="dxa"/>
              <w:right w:w="20" w:type="dxa"/>
            </w:tcMar>
            <w:vAlign w:val="center"/>
            <w:hideMark/>
          </w:tcPr>
          <w:p w:rsidR="00000000" w:rsidRDefault="001F1FC8">
            <w:pPr>
              <w:jc w:val="right"/>
              <w:rPr>
                <w:rFonts w:eastAsia="Times New Roman"/>
              </w:rPr>
            </w:pPr>
          </w:p>
        </w:tc>
      </w:tr>
      <w:tr w:rsidR="00000000">
        <w:trPr>
          <w:divId w:val="1269116225"/>
        </w:trPr>
        <w:tc>
          <w:tcPr>
            <w:tcW w:w="0" w:type="auto"/>
            <w:gridSpan w:val="3"/>
            <w:tcMar>
              <w:top w:w="30" w:type="dxa"/>
              <w:left w:w="20" w:type="dxa"/>
              <w:bottom w:w="30" w:type="dxa"/>
              <w:right w:w="20" w:type="dxa"/>
            </w:tcMar>
            <w:vAlign w:val="center"/>
            <w:hideMark/>
          </w:tcPr>
          <w:p w:rsidR="00000000" w:rsidRDefault="001F1FC8">
            <w:pPr>
              <w:ind w:hanging="180"/>
              <w:divId w:val="2054039364"/>
              <w:rPr>
                <w:rFonts w:eastAsia="Times New Roman"/>
              </w:rPr>
            </w:pPr>
            <w:r>
              <w:rPr>
                <w:rFonts w:ascii="Arial" w:eastAsia="Times New Roman" w:hAnsi="Arial" w:cs="Arial"/>
                <w:color w:val="000000"/>
                <w:sz w:val="16"/>
                <w:szCs w:val="16"/>
              </w:rPr>
              <w:t>Other comprehensive income/(loss) retained in AOCI</w:t>
            </w:r>
          </w:p>
        </w:tc>
        <w:tc>
          <w:tcPr>
            <w:tcW w:w="0" w:type="auto"/>
            <w:gridSpan w:val="2"/>
            <w:shd w:val="clear" w:color="auto" w:fill="D8D8D8"/>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6"/>
                <w:szCs w:val="16"/>
              </w:rPr>
              <w:t>238</w:t>
            </w:r>
            <w:r>
              <w:rPr>
                <w:rFonts w:ascii="Arial" w:eastAsia="Times New Roman" w:hAnsi="Arial" w:cs="Arial"/>
                <w:color w:val="000000"/>
                <w:sz w:val="16"/>
                <w:szCs w:val="16"/>
              </w:rPr>
              <w:t> </w:t>
            </w:r>
          </w:p>
        </w:tc>
        <w:tc>
          <w:tcPr>
            <w:tcW w:w="0" w:type="auto"/>
            <w:shd w:val="clear" w:color="auto" w:fill="D8D8D8"/>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shd w:val="clear" w:color="auto" w:fill="D8D8D8"/>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6"/>
                <w:szCs w:val="16"/>
              </w:rPr>
              <w:t>(5)</w:t>
            </w:r>
          </w:p>
        </w:tc>
        <w:tc>
          <w:tcPr>
            <w:tcW w:w="0" w:type="auto"/>
            <w:shd w:val="clear" w:color="auto" w:fill="D8D8D8"/>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shd w:val="clear" w:color="auto" w:fill="D8D8D8"/>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6"/>
                <w:szCs w:val="16"/>
              </w:rPr>
              <w:t>49</w:t>
            </w:r>
            <w:r>
              <w:rPr>
                <w:rFonts w:ascii="Arial" w:eastAsia="Times New Roman" w:hAnsi="Arial" w:cs="Arial"/>
                <w:color w:val="000000"/>
                <w:sz w:val="16"/>
                <w:szCs w:val="16"/>
              </w:rPr>
              <w:t> </w:t>
            </w:r>
          </w:p>
        </w:tc>
        <w:tc>
          <w:tcPr>
            <w:tcW w:w="0" w:type="auto"/>
            <w:shd w:val="clear" w:color="auto" w:fill="D8D8D8"/>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shd w:val="clear" w:color="auto" w:fill="D8D8D8"/>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6"/>
                <w:szCs w:val="16"/>
              </w:rPr>
              <w:t>(492)</w:t>
            </w:r>
          </w:p>
        </w:tc>
        <w:tc>
          <w:tcPr>
            <w:tcW w:w="0" w:type="auto"/>
            <w:shd w:val="clear" w:color="auto" w:fill="D8D8D8"/>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shd w:val="clear" w:color="auto" w:fill="D8D8D8"/>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6"/>
                <w:szCs w:val="16"/>
              </w:rPr>
              <w:t>(12)</w:t>
            </w:r>
          </w:p>
        </w:tc>
        <w:tc>
          <w:tcPr>
            <w:tcW w:w="0" w:type="auto"/>
            <w:shd w:val="clear" w:color="auto" w:fill="D8D8D8"/>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shd w:val="clear" w:color="auto" w:fill="D8D8D8"/>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6"/>
                <w:szCs w:val="16"/>
              </w:rPr>
              <w:t>520</w:t>
            </w:r>
            <w:r>
              <w:rPr>
                <w:rFonts w:ascii="Arial" w:eastAsia="Times New Roman" w:hAnsi="Arial" w:cs="Arial"/>
                <w:color w:val="000000"/>
                <w:sz w:val="16"/>
                <w:szCs w:val="16"/>
              </w:rPr>
              <w:t> </w:t>
            </w:r>
          </w:p>
        </w:tc>
        <w:tc>
          <w:tcPr>
            <w:tcW w:w="0" w:type="auto"/>
            <w:shd w:val="clear" w:color="auto" w:fill="D8D8D8"/>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shd w:val="clear" w:color="auto" w:fill="D8D8D8"/>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6"/>
                <w:szCs w:val="16"/>
              </w:rPr>
              <w:t>298</w:t>
            </w:r>
            <w:r>
              <w:rPr>
                <w:rFonts w:ascii="Arial" w:eastAsia="Times New Roman" w:hAnsi="Arial" w:cs="Arial"/>
                <w:color w:val="000000"/>
                <w:sz w:val="16"/>
                <w:szCs w:val="16"/>
              </w:rPr>
              <w:t> </w:t>
            </w:r>
          </w:p>
        </w:tc>
        <w:tc>
          <w:tcPr>
            <w:tcW w:w="0" w:type="auto"/>
            <w:shd w:val="clear" w:color="auto" w:fill="D8D8D8"/>
            <w:tcMar>
              <w:top w:w="30" w:type="dxa"/>
              <w:left w:w="0" w:type="dxa"/>
              <w:bottom w:w="30" w:type="dxa"/>
              <w:right w:w="20" w:type="dxa"/>
            </w:tcMar>
            <w:vAlign w:val="bottom"/>
            <w:hideMark/>
          </w:tcPr>
          <w:p w:rsidR="00000000" w:rsidRDefault="001F1FC8">
            <w:pPr>
              <w:jc w:val="right"/>
              <w:rPr>
                <w:rFonts w:eastAsia="Times New Roman"/>
              </w:rPr>
            </w:pPr>
          </w:p>
        </w:tc>
      </w:tr>
      <w:tr w:rsidR="00000000">
        <w:trPr>
          <w:divId w:val="1269116225"/>
        </w:trPr>
        <w:tc>
          <w:tcPr>
            <w:tcW w:w="0" w:type="auto"/>
            <w:gridSpan w:val="3"/>
            <w:tcMar>
              <w:top w:w="30" w:type="dxa"/>
              <w:left w:w="200" w:type="dxa"/>
              <w:bottom w:w="30" w:type="dxa"/>
              <w:right w:w="20" w:type="dxa"/>
            </w:tcMar>
            <w:vAlign w:val="center"/>
            <w:hideMark/>
          </w:tcPr>
          <w:p w:rsidR="00000000" w:rsidRDefault="001F1FC8">
            <w:pPr>
              <w:ind w:hanging="180"/>
              <w:rPr>
                <w:rFonts w:eastAsia="Times New Roman"/>
              </w:rPr>
            </w:pPr>
            <w:r>
              <w:rPr>
                <w:rFonts w:ascii="Arial" w:eastAsia="Times New Roman" w:hAnsi="Arial" w:cs="Arial"/>
                <w:color w:val="000000"/>
                <w:sz w:val="16"/>
                <w:szCs w:val="16"/>
              </w:rPr>
              <w:t>Other comprehensive (income)/loss reclassified to earnings</w:t>
            </w:r>
          </w:p>
        </w:tc>
        <w:tc>
          <w:tcPr>
            <w:tcW w:w="0" w:type="auto"/>
            <w:gridSpan w:val="3"/>
            <w:shd w:val="clear" w:color="auto" w:fill="D8D8D8"/>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2"/>
                <w:szCs w:val="2"/>
              </w:rPr>
              <w:t> </w:t>
            </w:r>
          </w:p>
        </w:tc>
        <w:tc>
          <w:tcPr>
            <w:tcW w:w="0" w:type="auto"/>
            <w:gridSpan w:val="3"/>
            <w:shd w:val="clear" w:color="auto" w:fill="D8D8D8"/>
            <w:tcMar>
              <w:top w:w="0" w:type="dxa"/>
              <w:left w:w="20" w:type="dxa"/>
              <w:bottom w:w="0" w:type="dxa"/>
              <w:right w:w="20" w:type="dxa"/>
            </w:tcMar>
            <w:vAlign w:val="center"/>
            <w:hideMark/>
          </w:tcPr>
          <w:p w:rsidR="00000000" w:rsidRDefault="001F1FC8">
            <w:pPr>
              <w:jc w:val="right"/>
              <w:rPr>
                <w:rFonts w:eastAsia="Times New Roman"/>
              </w:rPr>
            </w:pPr>
          </w:p>
        </w:tc>
        <w:tc>
          <w:tcPr>
            <w:tcW w:w="0" w:type="auto"/>
            <w:gridSpan w:val="3"/>
            <w:shd w:val="clear" w:color="auto" w:fill="D8D8D8"/>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2"/>
                <w:szCs w:val="2"/>
              </w:rPr>
              <w:t> </w:t>
            </w:r>
          </w:p>
        </w:tc>
        <w:tc>
          <w:tcPr>
            <w:tcW w:w="0" w:type="auto"/>
            <w:gridSpan w:val="3"/>
            <w:shd w:val="clear" w:color="auto" w:fill="D8D8D8"/>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2"/>
                <w:szCs w:val="2"/>
              </w:rPr>
              <w:t> </w:t>
            </w:r>
          </w:p>
        </w:tc>
        <w:tc>
          <w:tcPr>
            <w:tcW w:w="0" w:type="auto"/>
            <w:gridSpan w:val="3"/>
            <w:shd w:val="clear" w:color="auto" w:fill="D8D8D8"/>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2"/>
                <w:szCs w:val="2"/>
              </w:rPr>
              <w:t> </w:t>
            </w:r>
          </w:p>
        </w:tc>
        <w:tc>
          <w:tcPr>
            <w:tcW w:w="0" w:type="auto"/>
            <w:gridSpan w:val="3"/>
            <w:shd w:val="clear" w:color="auto" w:fill="D8D8D8"/>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2"/>
                <w:szCs w:val="2"/>
              </w:rPr>
              <w:t> </w:t>
            </w:r>
          </w:p>
        </w:tc>
        <w:tc>
          <w:tcPr>
            <w:tcW w:w="0" w:type="auto"/>
            <w:gridSpan w:val="3"/>
            <w:shd w:val="clear" w:color="auto" w:fill="D8D8D8"/>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2"/>
                <w:szCs w:val="2"/>
              </w:rPr>
              <w:t> </w:t>
            </w:r>
          </w:p>
        </w:tc>
      </w:tr>
      <w:tr w:rsidR="00000000">
        <w:trPr>
          <w:divId w:val="1269116225"/>
        </w:trPr>
        <w:tc>
          <w:tcPr>
            <w:tcW w:w="0" w:type="auto"/>
            <w:gridSpan w:val="3"/>
            <w:tcMar>
              <w:top w:w="30" w:type="dxa"/>
              <w:left w:w="20" w:type="dxa"/>
              <w:bottom w:w="30" w:type="dxa"/>
              <w:right w:w="20" w:type="dxa"/>
            </w:tcMar>
            <w:vAlign w:val="center"/>
            <w:hideMark/>
          </w:tcPr>
          <w:p w:rsidR="00000000" w:rsidRDefault="001F1FC8">
            <w:pPr>
              <w:ind w:firstLine="180"/>
              <w:divId w:val="1665081794"/>
              <w:rPr>
                <w:rFonts w:eastAsia="Times New Roman"/>
              </w:rPr>
            </w:pPr>
            <w:r>
              <w:rPr>
                <w:rFonts w:ascii="Arial" w:eastAsia="Times New Roman" w:hAnsi="Arial" w:cs="Arial"/>
                <w:color w:val="000000"/>
                <w:sz w:val="16"/>
                <w:szCs w:val="16"/>
              </w:rPr>
              <w:t>Interest rate contract</w:t>
            </w:r>
            <w:r>
              <w:rPr>
                <w:rFonts w:ascii="Arial" w:eastAsia="Times New Roman" w:hAnsi="Arial" w:cs="Arial"/>
                <w:color w:val="000000"/>
                <w:sz w:val="16"/>
                <w:szCs w:val="16"/>
              </w:rPr>
              <w:t>s</w:t>
            </w:r>
            <w:r>
              <w:rPr>
                <w:rFonts w:ascii="Arial" w:eastAsia="Times New Roman" w:hAnsi="Arial" w:cs="Arial"/>
                <w:color w:val="000000"/>
                <w:sz w:val="9"/>
                <w:szCs w:val="9"/>
              </w:rPr>
              <w:t>1</w:t>
            </w:r>
          </w:p>
        </w:tc>
        <w:tc>
          <w:tcPr>
            <w:tcW w:w="0" w:type="auto"/>
            <w:gridSpan w:val="2"/>
            <w:shd w:val="clear" w:color="auto" w:fill="D8D8D8"/>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b/>
                <w:bCs/>
                <w:color w:val="000000"/>
                <w:sz w:val="16"/>
                <w:szCs w:val="16"/>
              </w:rPr>
              <w:t>296</w:t>
            </w:r>
            <w:r>
              <w:rPr>
                <w:rFonts w:ascii="Arial" w:eastAsia="Times New Roman" w:hAnsi="Arial" w:cs="Arial"/>
                <w:color w:val="000000"/>
                <w:sz w:val="16"/>
                <w:szCs w:val="16"/>
              </w:rPr>
              <w:t> </w:t>
            </w:r>
          </w:p>
        </w:tc>
        <w:tc>
          <w:tcPr>
            <w:tcW w:w="0" w:type="auto"/>
            <w:shd w:val="clear" w:color="auto" w:fill="D8D8D8"/>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shd w:val="clear" w:color="auto" w:fill="D8D8D8"/>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8D8D8"/>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shd w:val="clear" w:color="auto" w:fill="D8D8D8"/>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8D8D8"/>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shd w:val="clear" w:color="auto" w:fill="D8D8D8"/>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8D8D8"/>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shd w:val="clear" w:color="auto" w:fill="D8D8D8"/>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8D8D8"/>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shd w:val="clear" w:color="auto" w:fill="D8D8D8"/>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8D8D8"/>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shd w:val="clear" w:color="auto" w:fill="D8D8D8"/>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b/>
                <w:bCs/>
                <w:color w:val="000000"/>
                <w:sz w:val="16"/>
                <w:szCs w:val="16"/>
              </w:rPr>
              <w:t>296</w:t>
            </w:r>
            <w:r>
              <w:rPr>
                <w:rFonts w:ascii="Arial" w:eastAsia="Times New Roman" w:hAnsi="Arial" w:cs="Arial"/>
                <w:color w:val="000000"/>
                <w:sz w:val="16"/>
                <w:szCs w:val="16"/>
              </w:rPr>
              <w:t> </w:t>
            </w:r>
          </w:p>
        </w:tc>
        <w:tc>
          <w:tcPr>
            <w:tcW w:w="0" w:type="auto"/>
            <w:shd w:val="clear" w:color="auto" w:fill="D8D8D8"/>
            <w:tcMar>
              <w:top w:w="30" w:type="dxa"/>
              <w:left w:w="0" w:type="dxa"/>
              <w:bottom w:w="30" w:type="dxa"/>
              <w:right w:w="20" w:type="dxa"/>
            </w:tcMar>
            <w:vAlign w:val="center"/>
            <w:hideMark/>
          </w:tcPr>
          <w:p w:rsidR="00000000" w:rsidRDefault="001F1FC8">
            <w:pPr>
              <w:jc w:val="right"/>
              <w:rPr>
                <w:rFonts w:eastAsia="Times New Roman"/>
              </w:rPr>
            </w:pPr>
          </w:p>
        </w:tc>
      </w:tr>
      <w:tr w:rsidR="00000000">
        <w:trPr>
          <w:divId w:val="1269116225"/>
        </w:trPr>
        <w:tc>
          <w:tcPr>
            <w:tcW w:w="0" w:type="auto"/>
            <w:gridSpan w:val="3"/>
            <w:tcMar>
              <w:top w:w="30" w:type="dxa"/>
              <w:left w:w="20" w:type="dxa"/>
              <w:bottom w:w="30" w:type="dxa"/>
              <w:right w:w="20" w:type="dxa"/>
            </w:tcMar>
            <w:vAlign w:val="center"/>
            <w:hideMark/>
          </w:tcPr>
          <w:p w:rsidR="00000000" w:rsidRDefault="001F1FC8">
            <w:pPr>
              <w:ind w:firstLine="180"/>
              <w:divId w:val="614941960"/>
              <w:rPr>
                <w:rFonts w:eastAsia="Times New Roman"/>
              </w:rPr>
            </w:pPr>
            <w:r>
              <w:rPr>
                <w:rFonts w:ascii="Arial" w:eastAsia="Times New Roman" w:hAnsi="Arial" w:cs="Arial"/>
                <w:color w:val="000000"/>
                <w:sz w:val="16"/>
                <w:szCs w:val="16"/>
              </w:rPr>
              <w:t>Commodity contract</w:t>
            </w:r>
            <w:r>
              <w:rPr>
                <w:rFonts w:ascii="Arial" w:eastAsia="Times New Roman" w:hAnsi="Arial" w:cs="Arial"/>
                <w:color w:val="000000"/>
                <w:sz w:val="16"/>
                <w:szCs w:val="16"/>
              </w:rPr>
              <w:t>s</w:t>
            </w:r>
            <w:r>
              <w:rPr>
                <w:rFonts w:ascii="Arial" w:eastAsia="Times New Roman" w:hAnsi="Arial" w:cs="Arial"/>
                <w:color w:val="000000"/>
                <w:sz w:val="9"/>
                <w:szCs w:val="9"/>
              </w:rPr>
              <w:t>2</w:t>
            </w:r>
          </w:p>
        </w:tc>
        <w:tc>
          <w:tcPr>
            <w:tcW w:w="0" w:type="auto"/>
            <w:gridSpan w:val="2"/>
            <w:shd w:val="clear" w:color="auto" w:fill="D8D8D8"/>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b/>
                <w:bCs/>
                <w:color w:val="000000"/>
                <w:sz w:val="16"/>
                <w:szCs w:val="16"/>
              </w:rPr>
              <w:t>1</w:t>
            </w:r>
            <w:r>
              <w:rPr>
                <w:rFonts w:ascii="Arial" w:eastAsia="Times New Roman" w:hAnsi="Arial" w:cs="Arial"/>
                <w:color w:val="000000"/>
                <w:sz w:val="16"/>
                <w:szCs w:val="16"/>
              </w:rPr>
              <w:t> </w:t>
            </w:r>
          </w:p>
        </w:tc>
        <w:tc>
          <w:tcPr>
            <w:tcW w:w="0" w:type="auto"/>
            <w:shd w:val="clear" w:color="auto" w:fill="D8D8D8"/>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shd w:val="clear" w:color="auto" w:fill="D8D8D8"/>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8D8D8"/>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shd w:val="clear" w:color="auto" w:fill="D8D8D8"/>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8D8D8"/>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shd w:val="clear" w:color="auto" w:fill="D8D8D8"/>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8D8D8"/>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shd w:val="clear" w:color="auto" w:fill="D8D8D8"/>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8D8D8"/>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shd w:val="clear" w:color="auto" w:fill="D8D8D8"/>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8D8D8"/>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shd w:val="clear" w:color="auto" w:fill="D8D8D8"/>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b/>
                <w:bCs/>
                <w:color w:val="000000"/>
                <w:sz w:val="16"/>
                <w:szCs w:val="16"/>
              </w:rPr>
              <w:t>1</w:t>
            </w:r>
            <w:r>
              <w:rPr>
                <w:rFonts w:ascii="Arial" w:eastAsia="Times New Roman" w:hAnsi="Arial" w:cs="Arial"/>
                <w:color w:val="000000"/>
                <w:sz w:val="16"/>
                <w:szCs w:val="16"/>
              </w:rPr>
              <w:t> </w:t>
            </w:r>
          </w:p>
        </w:tc>
        <w:tc>
          <w:tcPr>
            <w:tcW w:w="0" w:type="auto"/>
            <w:shd w:val="clear" w:color="auto" w:fill="D8D8D8"/>
            <w:tcMar>
              <w:top w:w="30" w:type="dxa"/>
              <w:left w:w="0" w:type="dxa"/>
              <w:bottom w:w="30" w:type="dxa"/>
              <w:right w:w="20" w:type="dxa"/>
            </w:tcMar>
            <w:vAlign w:val="center"/>
            <w:hideMark/>
          </w:tcPr>
          <w:p w:rsidR="00000000" w:rsidRDefault="001F1FC8">
            <w:pPr>
              <w:jc w:val="right"/>
              <w:rPr>
                <w:rFonts w:eastAsia="Times New Roman"/>
              </w:rPr>
            </w:pPr>
          </w:p>
        </w:tc>
      </w:tr>
      <w:tr w:rsidR="00000000">
        <w:trPr>
          <w:divId w:val="1269116225"/>
        </w:trPr>
        <w:tc>
          <w:tcPr>
            <w:tcW w:w="0" w:type="auto"/>
            <w:gridSpan w:val="3"/>
            <w:tcMar>
              <w:top w:w="30" w:type="dxa"/>
              <w:left w:w="20" w:type="dxa"/>
              <w:bottom w:w="30" w:type="dxa"/>
              <w:right w:w="20" w:type="dxa"/>
            </w:tcMar>
            <w:vAlign w:val="center"/>
            <w:hideMark/>
          </w:tcPr>
          <w:p w:rsidR="00000000" w:rsidRDefault="001F1FC8">
            <w:pPr>
              <w:ind w:firstLine="180"/>
              <w:divId w:val="1316952295"/>
              <w:rPr>
                <w:rFonts w:eastAsia="Times New Roman"/>
              </w:rPr>
            </w:pPr>
            <w:r>
              <w:rPr>
                <w:rFonts w:ascii="Arial" w:eastAsia="Times New Roman" w:hAnsi="Arial" w:cs="Arial"/>
                <w:color w:val="000000"/>
                <w:sz w:val="16"/>
                <w:szCs w:val="16"/>
              </w:rPr>
              <w:t>Foreign exchange contract</w:t>
            </w:r>
            <w:r>
              <w:rPr>
                <w:rFonts w:ascii="Arial" w:eastAsia="Times New Roman" w:hAnsi="Arial" w:cs="Arial"/>
                <w:color w:val="000000"/>
                <w:sz w:val="16"/>
                <w:szCs w:val="16"/>
              </w:rPr>
              <w:t>s</w:t>
            </w:r>
            <w:r>
              <w:rPr>
                <w:rFonts w:ascii="Arial" w:eastAsia="Times New Roman" w:hAnsi="Arial" w:cs="Arial"/>
                <w:color w:val="000000"/>
                <w:sz w:val="9"/>
                <w:szCs w:val="9"/>
              </w:rPr>
              <w:t>3</w:t>
            </w:r>
          </w:p>
        </w:tc>
        <w:tc>
          <w:tcPr>
            <w:tcW w:w="0" w:type="auto"/>
            <w:gridSpan w:val="2"/>
            <w:shd w:val="clear" w:color="auto" w:fill="D8D8D8"/>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b/>
                <w:bCs/>
                <w:color w:val="000000"/>
                <w:sz w:val="16"/>
                <w:szCs w:val="16"/>
              </w:rPr>
              <w:t>5</w:t>
            </w:r>
            <w:r>
              <w:rPr>
                <w:rFonts w:ascii="Arial" w:eastAsia="Times New Roman" w:hAnsi="Arial" w:cs="Arial"/>
                <w:color w:val="000000"/>
                <w:sz w:val="16"/>
                <w:szCs w:val="16"/>
              </w:rPr>
              <w:t> </w:t>
            </w:r>
          </w:p>
        </w:tc>
        <w:tc>
          <w:tcPr>
            <w:tcW w:w="0" w:type="auto"/>
            <w:shd w:val="clear" w:color="auto" w:fill="D8D8D8"/>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shd w:val="clear" w:color="auto" w:fill="D8D8D8"/>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8D8D8"/>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shd w:val="clear" w:color="auto" w:fill="D8D8D8"/>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8D8D8"/>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shd w:val="clear" w:color="auto" w:fill="D8D8D8"/>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8D8D8"/>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shd w:val="clear" w:color="auto" w:fill="D8D8D8"/>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8D8D8"/>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shd w:val="clear" w:color="auto" w:fill="D8D8D8"/>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8D8D8"/>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shd w:val="clear" w:color="auto" w:fill="D8D8D8"/>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b/>
                <w:bCs/>
                <w:color w:val="000000"/>
                <w:sz w:val="16"/>
                <w:szCs w:val="16"/>
              </w:rPr>
              <w:t>5</w:t>
            </w:r>
            <w:r>
              <w:rPr>
                <w:rFonts w:ascii="Arial" w:eastAsia="Times New Roman" w:hAnsi="Arial" w:cs="Arial"/>
                <w:color w:val="000000"/>
                <w:sz w:val="16"/>
                <w:szCs w:val="16"/>
              </w:rPr>
              <w:t> </w:t>
            </w:r>
          </w:p>
        </w:tc>
        <w:tc>
          <w:tcPr>
            <w:tcW w:w="0" w:type="auto"/>
            <w:shd w:val="clear" w:color="auto" w:fill="D8D8D8"/>
            <w:tcMar>
              <w:top w:w="30" w:type="dxa"/>
              <w:left w:w="0" w:type="dxa"/>
              <w:bottom w:w="30" w:type="dxa"/>
              <w:right w:w="20" w:type="dxa"/>
            </w:tcMar>
            <w:vAlign w:val="center"/>
            <w:hideMark/>
          </w:tcPr>
          <w:p w:rsidR="00000000" w:rsidRDefault="001F1FC8">
            <w:pPr>
              <w:jc w:val="right"/>
              <w:rPr>
                <w:rFonts w:eastAsia="Times New Roman"/>
              </w:rPr>
            </w:pPr>
          </w:p>
        </w:tc>
      </w:tr>
      <w:tr w:rsidR="00000000">
        <w:trPr>
          <w:divId w:val="1269116225"/>
        </w:trPr>
        <w:tc>
          <w:tcPr>
            <w:tcW w:w="0" w:type="auto"/>
            <w:gridSpan w:val="3"/>
            <w:tcMar>
              <w:top w:w="30" w:type="dxa"/>
              <w:left w:w="20" w:type="dxa"/>
              <w:bottom w:w="30" w:type="dxa"/>
              <w:right w:w="20" w:type="dxa"/>
            </w:tcMar>
            <w:vAlign w:val="center"/>
            <w:hideMark/>
          </w:tcPr>
          <w:p w:rsidR="00000000" w:rsidRDefault="001F1FC8">
            <w:pPr>
              <w:ind w:firstLine="180"/>
              <w:divId w:val="1914700720"/>
              <w:rPr>
                <w:rFonts w:eastAsia="Times New Roman"/>
              </w:rPr>
            </w:pPr>
            <w:r>
              <w:rPr>
                <w:rFonts w:ascii="Arial" w:eastAsia="Times New Roman" w:hAnsi="Arial" w:cs="Arial"/>
                <w:color w:val="000000"/>
                <w:sz w:val="16"/>
                <w:szCs w:val="16"/>
              </w:rPr>
              <w:t>Other contract</w:t>
            </w:r>
            <w:r>
              <w:rPr>
                <w:rFonts w:ascii="Arial" w:eastAsia="Times New Roman" w:hAnsi="Arial" w:cs="Arial"/>
                <w:color w:val="000000"/>
                <w:sz w:val="16"/>
                <w:szCs w:val="16"/>
              </w:rPr>
              <w:t>s</w:t>
            </w:r>
            <w:r>
              <w:rPr>
                <w:rFonts w:ascii="Arial" w:eastAsia="Times New Roman" w:hAnsi="Arial" w:cs="Arial"/>
                <w:color w:val="000000"/>
                <w:sz w:val="9"/>
                <w:szCs w:val="9"/>
              </w:rPr>
              <w:t>4</w:t>
            </w:r>
          </w:p>
        </w:tc>
        <w:tc>
          <w:tcPr>
            <w:tcW w:w="0" w:type="auto"/>
            <w:gridSpan w:val="2"/>
            <w:shd w:val="clear" w:color="auto" w:fill="D8D8D8"/>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b/>
                <w:bCs/>
                <w:color w:val="000000"/>
                <w:sz w:val="16"/>
                <w:szCs w:val="16"/>
              </w:rPr>
              <w:t>2</w:t>
            </w:r>
            <w:r>
              <w:rPr>
                <w:rFonts w:ascii="Arial" w:eastAsia="Times New Roman" w:hAnsi="Arial" w:cs="Arial"/>
                <w:color w:val="000000"/>
                <w:sz w:val="16"/>
                <w:szCs w:val="16"/>
              </w:rPr>
              <w:t> </w:t>
            </w:r>
          </w:p>
        </w:tc>
        <w:tc>
          <w:tcPr>
            <w:tcW w:w="0" w:type="auto"/>
            <w:shd w:val="clear" w:color="auto" w:fill="D8D8D8"/>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shd w:val="clear" w:color="auto" w:fill="D8D8D8"/>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8D8D8"/>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shd w:val="clear" w:color="auto" w:fill="D8D8D8"/>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8D8D8"/>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shd w:val="clear" w:color="auto" w:fill="D8D8D8"/>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8D8D8"/>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shd w:val="clear" w:color="auto" w:fill="D8D8D8"/>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8D8D8"/>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shd w:val="clear" w:color="auto" w:fill="D8D8D8"/>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8D8D8"/>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shd w:val="clear" w:color="auto" w:fill="D8D8D8"/>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b/>
                <w:bCs/>
                <w:color w:val="000000"/>
                <w:sz w:val="16"/>
                <w:szCs w:val="16"/>
              </w:rPr>
              <w:t>2</w:t>
            </w:r>
            <w:r>
              <w:rPr>
                <w:rFonts w:ascii="Arial" w:eastAsia="Times New Roman" w:hAnsi="Arial" w:cs="Arial"/>
                <w:color w:val="000000"/>
                <w:sz w:val="16"/>
                <w:szCs w:val="16"/>
              </w:rPr>
              <w:t> </w:t>
            </w:r>
          </w:p>
        </w:tc>
        <w:tc>
          <w:tcPr>
            <w:tcW w:w="0" w:type="auto"/>
            <w:shd w:val="clear" w:color="auto" w:fill="D8D8D8"/>
            <w:tcMar>
              <w:top w:w="30" w:type="dxa"/>
              <w:left w:w="0" w:type="dxa"/>
              <w:bottom w:w="30" w:type="dxa"/>
              <w:right w:w="20" w:type="dxa"/>
            </w:tcMar>
            <w:vAlign w:val="center"/>
            <w:hideMark/>
          </w:tcPr>
          <w:p w:rsidR="00000000" w:rsidRDefault="001F1FC8">
            <w:pPr>
              <w:jc w:val="right"/>
              <w:rPr>
                <w:rFonts w:eastAsia="Times New Roman"/>
              </w:rPr>
            </w:pPr>
          </w:p>
        </w:tc>
      </w:tr>
      <w:tr w:rsidR="00000000">
        <w:trPr>
          <w:divId w:val="1269116225"/>
        </w:trPr>
        <w:tc>
          <w:tcPr>
            <w:tcW w:w="0" w:type="auto"/>
            <w:gridSpan w:val="3"/>
            <w:tcMar>
              <w:top w:w="30" w:type="dxa"/>
              <w:left w:w="380" w:type="dxa"/>
              <w:bottom w:w="30" w:type="dxa"/>
              <w:right w:w="20" w:type="dxa"/>
            </w:tcMar>
            <w:vAlign w:val="center"/>
            <w:hideMark/>
          </w:tcPr>
          <w:p w:rsidR="00000000" w:rsidRDefault="001F1FC8">
            <w:pPr>
              <w:ind w:hanging="180"/>
              <w:rPr>
                <w:rFonts w:eastAsia="Times New Roman"/>
              </w:rPr>
            </w:pPr>
            <w:r>
              <w:rPr>
                <w:rFonts w:ascii="Arial" w:eastAsia="Times New Roman" w:hAnsi="Arial" w:cs="Arial"/>
                <w:color w:val="000000"/>
                <w:sz w:val="16"/>
                <w:szCs w:val="16"/>
              </w:rPr>
              <w:t>Equity investment disposal</w:t>
            </w:r>
          </w:p>
        </w:tc>
        <w:tc>
          <w:tcPr>
            <w:tcW w:w="0" w:type="auto"/>
            <w:gridSpan w:val="2"/>
            <w:shd w:val="clear" w:color="auto" w:fill="D8D8D8"/>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8D8D8"/>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shd w:val="clear" w:color="auto" w:fill="D8D8D8"/>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8D8D8"/>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shd w:val="clear" w:color="auto" w:fill="D8D8D8"/>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8D8D8"/>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shd w:val="clear" w:color="auto" w:fill="D8D8D8"/>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8D8D8"/>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shd w:val="clear" w:color="auto" w:fill="D8D8D8"/>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6"/>
                <w:szCs w:val="16"/>
              </w:rPr>
              <w:t>(66)</w:t>
            </w:r>
          </w:p>
        </w:tc>
        <w:tc>
          <w:tcPr>
            <w:tcW w:w="0" w:type="auto"/>
            <w:shd w:val="clear" w:color="auto" w:fill="D8D8D8"/>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shd w:val="clear" w:color="auto" w:fill="D8D8D8"/>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8D8D8"/>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shd w:val="clear" w:color="auto" w:fill="D8D8D8"/>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6"/>
                <w:szCs w:val="16"/>
              </w:rPr>
              <w:t>(66)</w:t>
            </w:r>
          </w:p>
        </w:tc>
        <w:tc>
          <w:tcPr>
            <w:tcW w:w="0" w:type="auto"/>
            <w:shd w:val="clear" w:color="auto" w:fill="D8D8D8"/>
            <w:tcMar>
              <w:top w:w="30" w:type="dxa"/>
              <w:left w:w="0" w:type="dxa"/>
              <w:bottom w:w="30" w:type="dxa"/>
              <w:right w:w="20" w:type="dxa"/>
            </w:tcMar>
            <w:vAlign w:val="bottom"/>
            <w:hideMark/>
          </w:tcPr>
          <w:p w:rsidR="00000000" w:rsidRDefault="001F1FC8">
            <w:pPr>
              <w:jc w:val="right"/>
              <w:rPr>
                <w:rFonts w:eastAsia="Times New Roman"/>
              </w:rPr>
            </w:pPr>
          </w:p>
        </w:tc>
      </w:tr>
      <w:tr w:rsidR="00000000">
        <w:trPr>
          <w:divId w:val="1269116225"/>
        </w:trPr>
        <w:tc>
          <w:tcPr>
            <w:tcW w:w="0" w:type="auto"/>
            <w:gridSpan w:val="3"/>
            <w:tcMar>
              <w:top w:w="30" w:type="dxa"/>
              <w:left w:w="20" w:type="dxa"/>
              <w:bottom w:w="30" w:type="dxa"/>
              <w:right w:w="20" w:type="dxa"/>
            </w:tcMar>
            <w:vAlign w:val="center"/>
            <w:hideMark/>
          </w:tcPr>
          <w:p w:rsidR="00000000" w:rsidRDefault="001F1FC8">
            <w:pPr>
              <w:ind w:hanging="180"/>
              <w:divId w:val="91511013"/>
              <w:rPr>
                <w:rFonts w:eastAsia="Times New Roman"/>
              </w:rPr>
            </w:pPr>
            <w:r>
              <w:rPr>
                <w:rFonts w:ascii="Arial" w:eastAsia="Times New Roman" w:hAnsi="Arial" w:cs="Arial"/>
                <w:color w:val="000000"/>
                <w:sz w:val="16"/>
                <w:szCs w:val="16"/>
              </w:rPr>
              <w:t> </w:t>
            </w:r>
            <w:r>
              <w:rPr>
                <w:rFonts w:ascii="Arial" w:eastAsia="Times New Roman" w:hAnsi="Arial" w:cs="Arial"/>
                <w:color w:val="000000"/>
                <w:sz w:val="16"/>
                <w:szCs w:val="16"/>
              </w:rPr>
              <w:t>Amortization of pension and OPEB actuarial loss and prior service cost</w:t>
            </w:r>
            <w:r>
              <w:rPr>
                <w:rFonts w:ascii="Arial" w:eastAsia="Times New Roman" w:hAnsi="Arial" w:cs="Arial"/>
                <w:color w:val="000000"/>
                <w:sz w:val="16"/>
                <w:szCs w:val="16"/>
              </w:rPr>
              <w:t>s</w:t>
            </w:r>
            <w:r>
              <w:rPr>
                <w:rFonts w:ascii="Arial" w:eastAsia="Times New Roman" w:hAnsi="Arial" w:cs="Arial"/>
                <w:color w:val="000000"/>
                <w:sz w:val="10"/>
                <w:szCs w:val="10"/>
              </w:rPr>
              <w:t>5</w:t>
            </w:r>
          </w:p>
        </w:tc>
        <w:tc>
          <w:tcPr>
            <w:tcW w:w="0" w:type="auto"/>
            <w:gridSpan w:val="2"/>
            <w:shd w:val="clear" w:color="auto" w:fill="D8D8D8"/>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8D8D8"/>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shd w:val="clear" w:color="auto" w:fill="D8D8D8"/>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8D8D8"/>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shd w:val="clear" w:color="auto" w:fill="D8D8D8"/>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8D8D8"/>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shd w:val="clear" w:color="auto" w:fill="D8D8D8"/>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8D8D8"/>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shd w:val="clear" w:color="auto" w:fill="D8D8D8"/>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8D8D8"/>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shd w:val="clear" w:color="auto" w:fill="D8D8D8"/>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6"/>
                <w:szCs w:val="16"/>
              </w:rPr>
              <w:t>28</w:t>
            </w:r>
            <w:r>
              <w:rPr>
                <w:rFonts w:ascii="Arial" w:eastAsia="Times New Roman" w:hAnsi="Arial" w:cs="Arial"/>
                <w:color w:val="000000"/>
                <w:sz w:val="16"/>
                <w:szCs w:val="16"/>
              </w:rPr>
              <w:t> </w:t>
            </w:r>
          </w:p>
        </w:tc>
        <w:tc>
          <w:tcPr>
            <w:tcW w:w="0" w:type="auto"/>
            <w:shd w:val="clear" w:color="auto" w:fill="D8D8D8"/>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shd w:val="clear" w:color="auto" w:fill="D8D8D8"/>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6"/>
                <w:szCs w:val="16"/>
              </w:rPr>
              <w:t>28</w:t>
            </w:r>
            <w:r>
              <w:rPr>
                <w:rFonts w:ascii="Arial" w:eastAsia="Times New Roman" w:hAnsi="Arial" w:cs="Arial"/>
                <w:color w:val="000000"/>
                <w:sz w:val="16"/>
                <w:szCs w:val="16"/>
              </w:rPr>
              <w:t> </w:t>
            </w:r>
          </w:p>
        </w:tc>
        <w:tc>
          <w:tcPr>
            <w:tcW w:w="0" w:type="auto"/>
            <w:shd w:val="clear" w:color="auto" w:fill="D8D8D8"/>
            <w:tcMar>
              <w:top w:w="30" w:type="dxa"/>
              <w:left w:w="0" w:type="dxa"/>
              <w:bottom w:w="30" w:type="dxa"/>
              <w:right w:w="20" w:type="dxa"/>
            </w:tcMar>
            <w:vAlign w:val="bottom"/>
            <w:hideMark/>
          </w:tcPr>
          <w:p w:rsidR="00000000" w:rsidRDefault="001F1FC8">
            <w:pPr>
              <w:jc w:val="right"/>
              <w:rPr>
                <w:rFonts w:eastAsia="Times New Roman"/>
              </w:rPr>
            </w:pPr>
          </w:p>
        </w:tc>
      </w:tr>
      <w:tr w:rsidR="00000000">
        <w:trPr>
          <w:divId w:val="1269116225"/>
        </w:trPr>
        <w:tc>
          <w:tcPr>
            <w:tcW w:w="0" w:type="auto"/>
            <w:gridSpan w:val="3"/>
            <w:tcMar>
              <w:top w:w="30" w:type="dxa"/>
              <w:left w:w="380" w:type="dxa"/>
              <w:bottom w:w="30" w:type="dxa"/>
              <w:right w:w="20" w:type="dxa"/>
            </w:tcMar>
            <w:vAlign w:val="center"/>
            <w:hideMark/>
          </w:tcPr>
          <w:p w:rsidR="00000000" w:rsidRDefault="001F1FC8">
            <w:pPr>
              <w:ind w:hanging="180"/>
              <w:rPr>
                <w:rFonts w:eastAsia="Times New Roman"/>
              </w:rPr>
            </w:pPr>
            <w:r>
              <w:rPr>
                <w:rFonts w:ascii="Arial" w:eastAsia="Times New Roman" w:hAnsi="Arial" w:cs="Arial"/>
                <w:color w:val="000000"/>
                <w:sz w:val="16"/>
                <w:szCs w:val="16"/>
              </w:rPr>
              <w:t>Other</w:t>
            </w:r>
          </w:p>
        </w:tc>
        <w:tc>
          <w:tcPr>
            <w:tcW w:w="0" w:type="auto"/>
            <w:gridSpan w:val="2"/>
            <w:shd w:val="clear" w:color="auto" w:fill="D8D8D8"/>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6"/>
                <w:szCs w:val="16"/>
              </w:rPr>
              <w:t>17</w:t>
            </w:r>
            <w:r>
              <w:rPr>
                <w:rFonts w:ascii="Arial" w:eastAsia="Times New Roman" w:hAnsi="Arial" w:cs="Arial"/>
                <w:color w:val="000000"/>
                <w:sz w:val="16"/>
                <w:szCs w:val="16"/>
              </w:rPr>
              <w:t> </w:t>
            </w:r>
          </w:p>
        </w:tc>
        <w:tc>
          <w:tcPr>
            <w:tcW w:w="0" w:type="auto"/>
            <w:shd w:val="clear" w:color="auto" w:fill="D8D8D8"/>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shd w:val="clear" w:color="auto" w:fill="D8D8D8"/>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8D8D8"/>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shd w:val="clear" w:color="auto" w:fill="D8D8D8"/>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8D8D8"/>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shd w:val="clear" w:color="auto" w:fill="D8D8D8"/>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6"/>
                <w:szCs w:val="16"/>
              </w:rPr>
              <w:t>(20)</w:t>
            </w:r>
          </w:p>
        </w:tc>
        <w:tc>
          <w:tcPr>
            <w:tcW w:w="0" w:type="auto"/>
            <w:shd w:val="clear" w:color="auto" w:fill="D8D8D8"/>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shd w:val="clear" w:color="auto" w:fill="D8D8D8"/>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6"/>
                <w:szCs w:val="16"/>
              </w:rPr>
              <w:t>3</w:t>
            </w:r>
            <w:r>
              <w:rPr>
                <w:rFonts w:ascii="Arial" w:eastAsia="Times New Roman" w:hAnsi="Arial" w:cs="Arial"/>
                <w:color w:val="000000"/>
                <w:sz w:val="16"/>
                <w:szCs w:val="16"/>
              </w:rPr>
              <w:t> </w:t>
            </w:r>
          </w:p>
        </w:tc>
        <w:tc>
          <w:tcPr>
            <w:tcW w:w="0" w:type="auto"/>
            <w:shd w:val="clear" w:color="auto" w:fill="D8D8D8"/>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shd w:val="clear" w:color="auto" w:fill="D8D8D8"/>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8D8D8"/>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shd w:val="clear" w:color="auto" w:fill="D8D8D8"/>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8D8D8"/>
            <w:tcMar>
              <w:top w:w="30" w:type="dxa"/>
              <w:left w:w="0" w:type="dxa"/>
              <w:bottom w:w="30" w:type="dxa"/>
              <w:right w:w="20" w:type="dxa"/>
            </w:tcMar>
            <w:vAlign w:val="bottom"/>
            <w:hideMark/>
          </w:tcPr>
          <w:p w:rsidR="00000000" w:rsidRDefault="001F1FC8">
            <w:pPr>
              <w:jc w:val="right"/>
              <w:rPr>
                <w:rFonts w:eastAsia="Times New Roman"/>
              </w:rPr>
            </w:pPr>
          </w:p>
        </w:tc>
      </w:tr>
      <w:tr w:rsidR="00000000">
        <w:trPr>
          <w:divId w:val="1269116225"/>
        </w:trPr>
        <w:tc>
          <w:tcPr>
            <w:tcW w:w="0" w:type="auto"/>
            <w:gridSpan w:val="3"/>
            <w:tcBorders>
              <w:top w:val="single" w:sz="4" w:space="0" w:color="000000"/>
            </w:tcBorders>
            <w:tcMar>
              <w:top w:w="30" w:type="dxa"/>
              <w:left w:w="20" w:type="dxa"/>
              <w:bottom w:w="30" w:type="dxa"/>
              <w:right w:w="20" w:type="dxa"/>
            </w:tcMar>
            <w:hideMark/>
          </w:tcPr>
          <w:p w:rsidR="00000000" w:rsidRDefault="001F1FC8">
            <w:pPr>
              <w:rPr>
                <w:rFonts w:eastAsia="Times New Roman"/>
              </w:rPr>
            </w:pPr>
            <w:r>
              <w:rPr>
                <w:rFonts w:ascii="Arial" w:eastAsia="Times New Roman" w:hAnsi="Arial" w:cs="Arial"/>
                <w:color w:val="000000"/>
                <w:sz w:val="2"/>
                <w:szCs w:val="2"/>
              </w:rPr>
              <w:t> </w:t>
            </w:r>
          </w:p>
        </w:tc>
        <w:tc>
          <w:tcPr>
            <w:tcW w:w="0" w:type="auto"/>
            <w:gridSpan w:val="2"/>
            <w:tcBorders>
              <w:top w:val="single" w:sz="4" w:space="0" w:color="000000"/>
            </w:tcBorders>
            <w:shd w:val="clear" w:color="auto" w:fill="D8D8D8"/>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b/>
                <w:bCs/>
                <w:color w:val="000000"/>
                <w:sz w:val="16"/>
                <w:szCs w:val="16"/>
              </w:rPr>
              <w:t>559</w:t>
            </w:r>
            <w:r>
              <w:rPr>
                <w:rFonts w:ascii="Arial" w:eastAsia="Times New Roman" w:hAnsi="Arial" w:cs="Arial"/>
                <w:color w:val="000000"/>
                <w:sz w:val="16"/>
                <w:szCs w:val="16"/>
              </w:rPr>
              <w:t> </w:t>
            </w:r>
          </w:p>
        </w:tc>
        <w:tc>
          <w:tcPr>
            <w:tcW w:w="0" w:type="auto"/>
            <w:tcBorders>
              <w:top w:val="single" w:sz="4" w:space="0" w:color="000000"/>
            </w:tcBorders>
            <w:shd w:val="clear" w:color="auto" w:fill="D8D8D8"/>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Borders>
              <w:top w:val="single" w:sz="4" w:space="0" w:color="000000"/>
            </w:tcBorders>
            <w:shd w:val="clear" w:color="auto" w:fill="D8D8D8"/>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b/>
                <w:bCs/>
                <w:color w:val="000000"/>
                <w:sz w:val="16"/>
                <w:szCs w:val="16"/>
              </w:rPr>
              <w:t>(5)</w:t>
            </w:r>
          </w:p>
        </w:tc>
        <w:tc>
          <w:tcPr>
            <w:tcW w:w="0" w:type="auto"/>
            <w:tcBorders>
              <w:top w:val="single" w:sz="4" w:space="0" w:color="000000"/>
            </w:tcBorders>
            <w:shd w:val="clear" w:color="auto" w:fill="D8D8D8"/>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Borders>
              <w:top w:val="single" w:sz="4" w:space="0" w:color="000000"/>
            </w:tcBorders>
            <w:shd w:val="clear" w:color="auto" w:fill="D8D8D8"/>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b/>
                <w:bCs/>
                <w:color w:val="000000"/>
                <w:sz w:val="16"/>
                <w:szCs w:val="16"/>
              </w:rPr>
              <w:t>49</w:t>
            </w:r>
            <w:r>
              <w:rPr>
                <w:rFonts w:ascii="Arial" w:eastAsia="Times New Roman" w:hAnsi="Arial" w:cs="Arial"/>
                <w:color w:val="000000"/>
                <w:sz w:val="16"/>
                <w:szCs w:val="16"/>
              </w:rPr>
              <w:t> </w:t>
            </w:r>
          </w:p>
        </w:tc>
        <w:tc>
          <w:tcPr>
            <w:tcW w:w="0" w:type="auto"/>
            <w:tcBorders>
              <w:top w:val="single" w:sz="4" w:space="0" w:color="000000"/>
            </w:tcBorders>
            <w:shd w:val="clear" w:color="auto" w:fill="D8D8D8"/>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Borders>
              <w:top w:val="single" w:sz="4" w:space="0" w:color="000000"/>
            </w:tcBorders>
            <w:shd w:val="clear" w:color="auto" w:fill="D8D8D8"/>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b/>
                <w:bCs/>
                <w:color w:val="000000"/>
                <w:sz w:val="16"/>
                <w:szCs w:val="16"/>
              </w:rPr>
              <w:t>(512)</w:t>
            </w:r>
          </w:p>
        </w:tc>
        <w:tc>
          <w:tcPr>
            <w:tcW w:w="0" w:type="auto"/>
            <w:tcBorders>
              <w:top w:val="single" w:sz="4" w:space="0" w:color="000000"/>
            </w:tcBorders>
            <w:shd w:val="clear" w:color="auto" w:fill="D8D8D8"/>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Borders>
              <w:top w:val="single" w:sz="4" w:space="0" w:color="000000"/>
            </w:tcBorders>
            <w:shd w:val="clear" w:color="auto" w:fill="D8D8D8"/>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b/>
                <w:bCs/>
                <w:color w:val="000000"/>
                <w:sz w:val="16"/>
                <w:szCs w:val="16"/>
              </w:rPr>
              <w:t>(75)</w:t>
            </w:r>
          </w:p>
        </w:tc>
        <w:tc>
          <w:tcPr>
            <w:tcW w:w="0" w:type="auto"/>
            <w:tcBorders>
              <w:top w:val="single" w:sz="4" w:space="0" w:color="000000"/>
            </w:tcBorders>
            <w:shd w:val="clear" w:color="auto" w:fill="D8D8D8"/>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Borders>
              <w:top w:val="single" w:sz="4" w:space="0" w:color="000000"/>
            </w:tcBorders>
            <w:shd w:val="clear" w:color="auto" w:fill="D8D8D8"/>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b/>
                <w:bCs/>
                <w:color w:val="000000"/>
                <w:sz w:val="16"/>
                <w:szCs w:val="16"/>
              </w:rPr>
              <w:t>548</w:t>
            </w:r>
            <w:r>
              <w:rPr>
                <w:rFonts w:ascii="Arial" w:eastAsia="Times New Roman" w:hAnsi="Arial" w:cs="Arial"/>
                <w:color w:val="000000"/>
                <w:sz w:val="16"/>
                <w:szCs w:val="16"/>
              </w:rPr>
              <w:t> </w:t>
            </w:r>
          </w:p>
        </w:tc>
        <w:tc>
          <w:tcPr>
            <w:tcW w:w="0" w:type="auto"/>
            <w:tcBorders>
              <w:top w:val="single" w:sz="4" w:space="0" w:color="000000"/>
            </w:tcBorders>
            <w:shd w:val="clear" w:color="auto" w:fill="D8D8D8"/>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Borders>
              <w:top w:val="single" w:sz="4" w:space="0" w:color="000000"/>
            </w:tcBorders>
            <w:shd w:val="clear" w:color="auto" w:fill="D8D8D8"/>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b/>
                <w:bCs/>
                <w:color w:val="000000"/>
                <w:sz w:val="16"/>
                <w:szCs w:val="16"/>
              </w:rPr>
              <w:t>564</w:t>
            </w:r>
            <w:r>
              <w:rPr>
                <w:rFonts w:ascii="Arial" w:eastAsia="Times New Roman" w:hAnsi="Arial" w:cs="Arial"/>
                <w:color w:val="000000"/>
                <w:sz w:val="16"/>
                <w:szCs w:val="16"/>
              </w:rPr>
              <w:t> </w:t>
            </w:r>
          </w:p>
        </w:tc>
        <w:tc>
          <w:tcPr>
            <w:tcW w:w="0" w:type="auto"/>
            <w:tcBorders>
              <w:top w:val="single" w:sz="4" w:space="0" w:color="000000"/>
            </w:tcBorders>
            <w:shd w:val="clear" w:color="auto" w:fill="D8D8D8"/>
            <w:tcMar>
              <w:top w:w="30" w:type="dxa"/>
              <w:left w:w="0" w:type="dxa"/>
              <w:bottom w:w="30" w:type="dxa"/>
              <w:right w:w="20" w:type="dxa"/>
            </w:tcMar>
            <w:vAlign w:val="center"/>
            <w:hideMark/>
          </w:tcPr>
          <w:p w:rsidR="00000000" w:rsidRDefault="001F1FC8">
            <w:pPr>
              <w:jc w:val="right"/>
              <w:rPr>
                <w:rFonts w:eastAsia="Times New Roman"/>
              </w:rPr>
            </w:pPr>
          </w:p>
        </w:tc>
      </w:tr>
      <w:tr w:rsidR="00000000">
        <w:trPr>
          <w:divId w:val="1269116225"/>
        </w:trPr>
        <w:tc>
          <w:tcPr>
            <w:tcW w:w="0" w:type="auto"/>
            <w:gridSpan w:val="3"/>
            <w:tcMar>
              <w:top w:w="30" w:type="dxa"/>
              <w:left w:w="20" w:type="dxa"/>
              <w:bottom w:w="30" w:type="dxa"/>
              <w:right w:w="20" w:type="dxa"/>
            </w:tcMar>
            <w:vAlign w:val="center"/>
            <w:hideMark/>
          </w:tcPr>
          <w:p w:rsidR="00000000" w:rsidRDefault="001F1FC8">
            <w:pPr>
              <w:rPr>
                <w:rFonts w:eastAsia="Times New Roman"/>
              </w:rPr>
            </w:pPr>
            <w:r>
              <w:rPr>
                <w:rFonts w:ascii="Arial" w:eastAsia="Times New Roman" w:hAnsi="Arial" w:cs="Arial"/>
                <w:color w:val="000000"/>
                <w:sz w:val="16"/>
                <w:szCs w:val="16"/>
              </w:rPr>
              <w:t>Tax impact</w:t>
            </w:r>
          </w:p>
        </w:tc>
        <w:tc>
          <w:tcPr>
            <w:tcW w:w="0" w:type="auto"/>
            <w:gridSpan w:val="3"/>
            <w:shd w:val="clear" w:color="auto" w:fill="D8D8D8"/>
            <w:tcMar>
              <w:top w:w="30" w:type="dxa"/>
              <w:left w:w="20" w:type="dxa"/>
              <w:bottom w:w="30" w:type="dxa"/>
              <w:right w:w="20" w:type="dxa"/>
            </w:tcMar>
            <w:vAlign w:val="center"/>
            <w:hideMark/>
          </w:tcPr>
          <w:p w:rsidR="00000000" w:rsidRDefault="001F1FC8">
            <w:pPr>
              <w:jc w:val="right"/>
              <w:rPr>
                <w:rFonts w:eastAsia="Times New Roman"/>
              </w:rPr>
            </w:pPr>
            <w:r>
              <w:rPr>
                <w:rFonts w:ascii="Arial" w:eastAsia="Times New Roman" w:hAnsi="Arial" w:cs="Arial"/>
                <w:color w:val="000000"/>
                <w:sz w:val="2"/>
                <w:szCs w:val="2"/>
              </w:rPr>
              <w:t> </w:t>
            </w:r>
          </w:p>
        </w:tc>
        <w:tc>
          <w:tcPr>
            <w:tcW w:w="0" w:type="auto"/>
            <w:gridSpan w:val="3"/>
            <w:shd w:val="clear" w:color="auto" w:fill="D8D8D8"/>
            <w:tcMar>
              <w:top w:w="0" w:type="dxa"/>
              <w:left w:w="20" w:type="dxa"/>
              <w:bottom w:w="0" w:type="dxa"/>
              <w:right w:w="20" w:type="dxa"/>
            </w:tcMar>
            <w:vAlign w:val="center"/>
            <w:hideMark/>
          </w:tcPr>
          <w:p w:rsidR="00000000" w:rsidRDefault="001F1FC8">
            <w:pPr>
              <w:jc w:val="right"/>
              <w:rPr>
                <w:rFonts w:eastAsia="Times New Roman"/>
              </w:rPr>
            </w:pPr>
          </w:p>
        </w:tc>
        <w:tc>
          <w:tcPr>
            <w:tcW w:w="0" w:type="auto"/>
            <w:gridSpan w:val="3"/>
            <w:shd w:val="clear" w:color="auto" w:fill="D8D8D8"/>
            <w:tcMar>
              <w:top w:w="30" w:type="dxa"/>
              <w:left w:w="20" w:type="dxa"/>
              <w:bottom w:w="30" w:type="dxa"/>
              <w:right w:w="20" w:type="dxa"/>
            </w:tcMar>
            <w:vAlign w:val="center"/>
            <w:hideMark/>
          </w:tcPr>
          <w:p w:rsidR="00000000" w:rsidRDefault="001F1FC8">
            <w:pPr>
              <w:jc w:val="right"/>
              <w:rPr>
                <w:rFonts w:eastAsia="Times New Roman"/>
              </w:rPr>
            </w:pPr>
            <w:r>
              <w:rPr>
                <w:rFonts w:ascii="Arial" w:eastAsia="Times New Roman" w:hAnsi="Arial" w:cs="Arial"/>
                <w:color w:val="000000"/>
                <w:sz w:val="2"/>
                <w:szCs w:val="2"/>
              </w:rPr>
              <w:t> </w:t>
            </w:r>
          </w:p>
        </w:tc>
        <w:tc>
          <w:tcPr>
            <w:tcW w:w="0" w:type="auto"/>
            <w:gridSpan w:val="3"/>
            <w:shd w:val="clear" w:color="auto" w:fill="D8D8D8"/>
            <w:tcMar>
              <w:top w:w="30" w:type="dxa"/>
              <w:left w:w="20" w:type="dxa"/>
              <w:bottom w:w="30" w:type="dxa"/>
              <w:right w:w="20" w:type="dxa"/>
            </w:tcMar>
            <w:vAlign w:val="center"/>
            <w:hideMark/>
          </w:tcPr>
          <w:p w:rsidR="00000000" w:rsidRDefault="001F1FC8">
            <w:pPr>
              <w:jc w:val="right"/>
              <w:rPr>
                <w:rFonts w:eastAsia="Times New Roman"/>
              </w:rPr>
            </w:pPr>
            <w:r>
              <w:rPr>
                <w:rFonts w:ascii="Arial" w:eastAsia="Times New Roman" w:hAnsi="Arial" w:cs="Arial"/>
                <w:color w:val="000000"/>
                <w:sz w:val="2"/>
                <w:szCs w:val="2"/>
              </w:rPr>
              <w:t> </w:t>
            </w:r>
          </w:p>
        </w:tc>
        <w:tc>
          <w:tcPr>
            <w:tcW w:w="0" w:type="auto"/>
            <w:gridSpan w:val="3"/>
            <w:shd w:val="clear" w:color="auto" w:fill="D8D8D8"/>
            <w:tcMar>
              <w:top w:w="30" w:type="dxa"/>
              <w:left w:w="20" w:type="dxa"/>
              <w:bottom w:w="30" w:type="dxa"/>
              <w:right w:w="20" w:type="dxa"/>
            </w:tcMar>
            <w:vAlign w:val="center"/>
            <w:hideMark/>
          </w:tcPr>
          <w:p w:rsidR="00000000" w:rsidRDefault="001F1FC8">
            <w:pPr>
              <w:jc w:val="right"/>
              <w:rPr>
                <w:rFonts w:eastAsia="Times New Roman"/>
              </w:rPr>
            </w:pPr>
            <w:r>
              <w:rPr>
                <w:rFonts w:ascii="Arial" w:eastAsia="Times New Roman" w:hAnsi="Arial" w:cs="Arial"/>
                <w:color w:val="000000"/>
                <w:sz w:val="2"/>
                <w:szCs w:val="2"/>
              </w:rPr>
              <w:t> </w:t>
            </w:r>
          </w:p>
        </w:tc>
        <w:tc>
          <w:tcPr>
            <w:tcW w:w="0" w:type="auto"/>
            <w:gridSpan w:val="3"/>
            <w:shd w:val="clear" w:color="auto" w:fill="D8D8D8"/>
            <w:tcMar>
              <w:top w:w="30" w:type="dxa"/>
              <w:left w:w="20" w:type="dxa"/>
              <w:bottom w:w="30" w:type="dxa"/>
              <w:right w:w="20" w:type="dxa"/>
            </w:tcMar>
            <w:vAlign w:val="center"/>
            <w:hideMark/>
          </w:tcPr>
          <w:p w:rsidR="00000000" w:rsidRDefault="001F1FC8">
            <w:pPr>
              <w:jc w:val="right"/>
              <w:rPr>
                <w:rFonts w:eastAsia="Times New Roman"/>
              </w:rPr>
            </w:pPr>
            <w:r>
              <w:rPr>
                <w:rFonts w:ascii="Arial" w:eastAsia="Times New Roman" w:hAnsi="Arial" w:cs="Arial"/>
                <w:b/>
                <w:bCs/>
                <w:color w:val="000000"/>
                <w:sz w:val="16"/>
                <w:szCs w:val="16"/>
              </w:rPr>
              <w:t> </w:t>
            </w:r>
          </w:p>
        </w:tc>
        <w:tc>
          <w:tcPr>
            <w:tcW w:w="0" w:type="auto"/>
            <w:gridSpan w:val="3"/>
            <w:shd w:val="clear" w:color="auto" w:fill="D8D8D8"/>
            <w:tcMar>
              <w:top w:w="30" w:type="dxa"/>
              <w:left w:w="20" w:type="dxa"/>
              <w:bottom w:w="30" w:type="dxa"/>
              <w:right w:w="20" w:type="dxa"/>
            </w:tcMar>
            <w:vAlign w:val="center"/>
            <w:hideMark/>
          </w:tcPr>
          <w:p w:rsidR="00000000" w:rsidRDefault="001F1FC8">
            <w:pPr>
              <w:jc w:val="right"/>
              <w:rPr>
                <w:rFonts w:eastAsia="Times New Roman"/>
              </w:rPr>
            </w:pPr>
            <w:r>
              <w:rPr>
                <w:rFonts w:ascii="Arial" w:eastAsia="Times New Roman" w:hAnsi="Arial" w:cs="Arial"/>
                <w:color w:val="000000"/>
                <w:sz w:val="2"/>
                <w:szCs w:val="2"/>
              </w:rPr>
              <w:t> </w:t>
            </w:r>
          </w:p>
        </w:tc>
      </w:tr>
      <w:tr w:rsidR="00000000">
        <w:trPr>
          <w:divId w:val="1269116225"/>
        </w:trPr>
        <w:tc>
          <w:tcPr>
            <w:tcW w:w="0" w:type="auto"/>
            <w:gridSpan w:val="3"/>
            <w:tcMar>
              <w:top w:w="30" w:type="dxa"/>
              <w:left w:w="380" w:type="dxa"/>
              <w:bottom w:w="30" w:type="dxa"/>
              <w:right w:w="20" w:type="dxa"/>
            </w:tcMar>
            <w:vAlign w:val="center"/>
            <w:hideMark/>
          </w:tcPr>
          <w:p w:rsidR="00000000" w:rsidRDefault="001F1FC8">
            <w:pPr>
              <w:ind w:hanging="180"/>
              <w:rPr>
                <w:rFonts w:eastAsia="Times New Roman"/>
              </w:rPr>
            </w:pPr>
            <w:r>
              <w:rPr>
                <w:rFonts w:ascii="Arial" w:eastAsia="Times New Roman" w:hAnsi="Arial" w:cs="Arial"/>
                <w:color w:val="000000"/>
                <w:sz w:val="16"/>
                <w:szCs w:val="16"/>
              </w:rPr>
              <w:t>Income tax on amounts retained in AOCI</w:t>
            </w:r>
          </w:p>
        </w:tc>
        <w:tc>
          <w:tcPr>
            <w:tcW w:w="0" w:type="auto"/>
            <w:gridSpan w:val="2"/>
            <w:shd w:val="clear" w:color="auto" w:fill="D8D8D8"/>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6"/>
                <w:szCs w:val="16"/>
              </w:rPr>
              <w:t>(61)</w:t>
            </w:r>
          </w:p>
        </w:tc>
        <w:tc>
          <w:tcPr>
            <w:tcW w:w="0" w:type="auto"/>
            <w:shd w:val="clear" w:color="auto" w:fill="D8D8D8"/>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shd w:val="clear" w:color="auto" w:fill="D8D8D8"/>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8D8D8"/>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shd w:val="clear" w:color="auto" w:fill="D8D8D8"/>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8D8D8"/>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shd w:val="clear" w:color="auto" w:fill="D8D8D8"/>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8D8D8"/>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shd w:val="clear" w:color="auto" w:fill="D8D8D8"/>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8D8D8"/>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shd w:val="clear" w:color="auto" w:fill="D8D8D8"/>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6"/>
                <w:szCs w:val="16"/>
              </w:rPr>
              <w:t>(126)</w:t>
            </w:r>
          </w:p>
        </w:tc>
        <w:tc>
          <w:tcPr>
            <w:tcW w:w="0" w:type="auto"/>
            <w:shd w:val="clear" w:color="auto" w:fill="D8D8D8"/>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shd w:val="clear" w:color="auto" w:fill="D8D8D8"/>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6"/>
                <w:szCs w:val="16"/>
              </w:rPr>
              <w:t>(187)</w:t>
            </w:r>
          </w:p>
        </w:tc>
        <w:tc>
          <w:tcPr>
            <w:tcW w:w="0" w:type="auto"/>
            <w:shd w:val="clear" w:color="auto" w:fill="D8D8D8"/>
            <w:tcMar>
              <w:top w:w="30" w:type="dxa"/>
              <w:left w:w="0" w:type="dxa"/>
              <w:bottom w:w="30" w:type="dxa"/>
              <w:right w:w="20" w:type="dxa"/>
            </w:tcMar>
            <w:vAlign w:val="bottom"/>
            <w:hideMark/>
          </w:tcPr>
          <w:p w:rsidR="00000000" w:rsidRDefault="001F1FC8">
            <w:pPr>
              <w:jc w:val="right"/>
              <w:rPr>
                <w:rFonts w:eastAsia="Times New Roman"/>
              </w:rPr>
            </w:pPr>
          </w:p>
        </w:tc>
      </w:tr>
      <w:tr w:rsidR="00000000">
        <w:trPr>
          <w:divId w:val="1269116225"/>
        </w:trPr>
        <w:tc>
          <w:tcPr>
            <w:tcW w:w="0" w:type="auto"/>
            <w:gridSpan w:val="3"/>
            <w:tcMar>
              <w:top w:w="30" w:type="dxa"/>
              <w:left w:w="380" w:type="dxa"/>
              <w:bottom w:w="30" w:type="dxa"/>
              <w:right w:w="20" w:type="dxa"/>
            </w:tcMar>
            <w:vAlign w:val="center"/>
            <w:hideMark/>
          </w:tcPr>
          <w:p w:rsidR="00000000" w:rsidRDefault="001F1FC8">
            <w:pPr>
              <w:ind w:hanging="180"/>
              <w:rPr>
                <w:rFonts w:eastAsia="Times New Roman"/>
              </w:rPr>
            </w:pPr>
            <w:r>
              <w:rPr>
                <w:rFonts w:ascii="Arial" w:eastAsia="Times New Roman" w:hAnsi="Arial" w:cs="Arial"/>
                <w:color w:val="000000"/>
                <w:sz w:val="16"/>
                <w:szCs w:val="16"/>
              </w:rPr>
              <w:t>Income tax on amounts reclassified to earnings</w:t>
            </w:r>
          </w:p>
        </w:tc>
        <w:tc>
          <w:tcPr>
            <w:tcW w:w="0" w:type="auto"/>
            <w:gridSpan w:val="2"/>
            <w:shd w:val="clear" w:color="auto" w:fill="D8D8D8"/>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6"/>
                <w:szCs w:val="16"/>
              </w:rPr>
              <w:t>(69)</w:t>
            </w:r>
          </w:p>
        </w:tc>
        <w:tc>
          <w:tcPr>
            <w:tcW w:w="0" w:type="auto"/>
            <w:shd w:val="clear" w:color="auto" w:fill="D8D8D8"/>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shd w:val="clear" w:color="auto" w:fill="D8D8D8"/>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8D8D8"/>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shd w:val="clear" w:color="auto" w:fill="D8D8D8"/>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8D8D8"/>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shd w:val="clear" w:color="auto" w:fill="D8D8D8"/>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8D8D8"/>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shd w:val="clear" w:color="auto" w:fill="D8D8D8"/>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6"/>
                <w:szCs w:val="16"/>
              </w:rPr>
              <w:t>4</w:t>
            </w:r>
            <w:r>
              <w:rPr>
                <w:rFonts w:ascii="Arial" w:eastAsia="Times New Roman" w:hAnsi="Arial" w:cs="Arial"/>
                <w:color w:val="000000"/>
                <w:sz w:val="16"/>
                <w:szCs w:val="16"/>
              </w:rPr>
              <w:t> </w:t>
            </w:r>
          </w:p>
        </w:tc>
        <w:tc>
          <w:tcPr>
            <w:tcW w:w="0" w:type="auto"/>
            <w:shd w:val="clear" w:color="auto" w:fill="D8D8D8"/>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shd w:val="clear" w:color="auto" w:fill="D8D8D8"/>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6"/>
                <w:szCs w:val="16"/>
              </w:rPr>
              <w:t>(7)</w:t>
            </w:r>
          </w:p>
        </w:tc>
        <w:tc>
          <w:tcPr>
            <w:tcW w:w="0" w:type="auto"/>
            <w:shd w:val="clear" w:color="auto" w:fill="D8D8D8"/>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shd w:val="clear" w:color="auto" w:fill="D8D8D8"/>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6"/>
                <w:szCs w:val="16"/>
              </w:rPr>
              <w:t>(72)</w:t>
            </w:r>
          </w:p>
        </w:tc>
        <w:tc>
          <w:tcPr>
            <w:tcW w:w="0" w:type="auto"/>
            <w:shd w:val="clear" w:color="auto" w:fill="D8D8D8"/>
            <w:tcMar>
              <w:top w:w="30" w:type="dxa"/>
              <w:left w:w="0" w:type="dxa"/>
              <w:bottom w:w="30" w:type="dxa"/>
              <w:right w:w="20" w:type="dxa"/>
            </w:tcMar>
            <w:vAlign w:val="bottom"/>
            <w:hideMark/>
          </w:tcPr>
          <w:p w:rsidR="00000000" w:rsidRDefault="001F1FC8">
            <w:pPr>
              <w:jc w:val="right"/>
              <w:rPr>
                <w:rFonts w:eastAsia="Times New Roman"/>
              </w:rPr>
            </w:pPr>
          </w:p>
        </w:tc>
      </w:tr>
      <w:tr w:rsidR="00000000">
        <w:trPr>
          <w:divId w:val="1269116225"/>
        </w:trPr>
        <w:tc>
          <w:tcPr>
            <w:tcW w:w="0" w:type="auto"/>
            <w:gridSpan w:val="3"/>
            <w:tcBorders>
              <w:top w:val="single" w:sz="4" w:space="0" w:color="000000"/>
            </w:tcBorders>
            <w:tcMar>
              <w:top w:w="30" w:type="dxa"/>
              <w:left w:w="20" w:type="dxa"/>
              <w:bottom w:w="30" w:type="dxa"/>
              <w:right w:w="20" w:type="dxa"/>
            </w:tcMar>
            <w:hideMark/>
          </w:tcPr>
          <w:p w:rsidR="00000000" w:rsidRDefault="001F1FC8">
            <w:pPr>
              <w:rPr>
                <w:rFonts w:eastAsia="Times New Roman"/>
              </w:rPr>
            </w:pPr>
            <w:r>
              <w:rPr>
                <w:rFonts w:ascii="Arial" w:eastAsia="Times New Roman" w:hAnsi="Arial" w:cs="Arial"/>
                <w:color w:val="000000"/>
                <w:sz w:val="2"/>
                <w:szCs w:val="2"/>
              </w:rPr>
              <w:t> </w:t>
            </w:r>
          </w:p>
        </w:tc>
        <w:tc>
          <w:tcPr>
            <w:tcW w:w="0" w:type="auto"/>
            <w:gridSpan w:val="2"/>
            <w:tcBorders>
              <w:top w:val="single" w:sz="4" w:space="0" w:color="000000"/>
            </w:tcBorders>
            <w:shd w:val="clear" w:color="auto" w:fill="D8D8D8"/>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b/>
                <w:bCs/>
                <w:color w:val="000000"/>
                <w:sz w:val="16"/>
                <w:szCs w:val="16"/>
              </w:rPr>
              <w:t>(130)</w:t>
            </w:r>
          </w:p>
        </w:tc>
        <w:tc>
          <w:tcPr>
            <w:tcW w:w="0" w:type="auto"/>
            <w:tcBorders>
              <w:top w:val="single" w:sz="4" w:space="0" w:color="000000"/>
            </w:tcBorders>
            <w:shd w:val="clear" w:color="auto" w:fill="D8D8D8"/>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Borders>
              <w:top w:val="single" w:sz="4" w:space="0" w:color="000000"/>
            </w:tcBorders>
            <w:shd w:val="clear" w:color="auto" w:fill="D8D8D8"/>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tcBorders>
              <w:top w:val="single" w:sz="4" w:space="0" w:color="000000"/>
            </w:tcBorders>
            <w:shd w:val="clear" w:color="auto" w:fill="D8D8D8"/>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Borders>
              <w:top w:val="single" w:sz="4" w:space="0" w:color="000000"/>
            </w:tcBorders>
            <w:shd w:val="clear" w:color="auto" w:fill="D8D8D8"/>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tcBorders>
              <w:top w:val="single" w:sz="4" w:space="0" w:color="000000"/>
            </w:tcBorders>
            <w:shd w:val="clear" w:color="auto" w:fill="D8D8D8"/>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Borders>
              <w:top w:val="single" w:sz="4" w:space="0" w:color="000000"/>
            </w:tcBorders>
            <w:shd w:val="clear" w:color="auto" w:fill="D8D8D8"/>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tcBorders>
              <w:top w:val="single" w:sz="4" w:space="0" w:color="000000"/>
            </w:tcBorders>
            <w:shd w:val="clear" w:color="auto" w:fill="D8D8D8"/>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Borders>
              <w:top w:val="single" w:sz="4" w:space="0" w:color="000000"/>
            </w:tcBorders>
            <w:shd w:val="clear" w:color="auto" w:fill="D8D8D8"/>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b/>
                <w:bCs/>
                <w:color w:val="000000"/>
                <w:sz w:val="16"/>
                <w:szCs w:val="16"/>
              </w:rPr>
              <w:t>4</w:t>
            </w:r>
            <w:r>
              <w:rPr>
                <w:rFonts w:ascii="Arial" w:eastAsia="Times New Roman" w:hAnsi="Arial" w:cs="Arial"/>
                <w:color w:val="000000"/>
                <w:sz w:val="16"/>
                <w:szCs w:val="16"/>
              </w:rPr>
              <w:t> </w:t>
            </w:r>
          </w:p>
        </w:tc>
        <w:tc>
          <w:tcPr>
            <w:tcW w:w="0" w:type="auto"/>
            <w:tcBorders>
              <w:top w:val="single" w:sz="4" w:space="0" w:color="000000"/>
            </w:tcBorders>
            <w:shd w:val="clear" w:color="auto" w:fill="D8D8D8"/>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Borders>
              <w:top w:val="single" w:sz="4" w:space="0" w:color="000000"/>
            </w:tcBorders>
            <w:shd w:val="clear" w:color="auto" w:fill="D8D8D8"/>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b/>
                <w:bCs/>
                <w:color w:val="000000"/>
                <w:sz w:val="16"/>
                <w:szCs w:val="16"/>
              </w:rPr>
              <w:t>(133)</w:t>
            </w:r>
          </w:p>
        </w:tc>
        <w:tc>
          <w:tcPr>
            <w:tcW w:w="0" w:type="auto"/>
            <w:tcBorders>
              <w:top w:val="single" w:sz="4" w:space="0" w:color="000000"/>
            </w:tcBorders>
            <w:shd w:val="clear" w:color="auto" w:fill="D8D8D8"/>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Borders>
              <w:top w:val="single" w:sz="4" w:space="0" w:color="000000"/>
            </w:tcBorders>
            <w:shd w:val="clear" w:color="auto" w:fill="D8D8D8"/>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b/>
                <w:bCs/>
                <w:color w:val="000000"/>
                <w:sz w:val="16"/>
                <w:szCs w:val="16"/>
              </w:rPr>
              <w:t>(259)</w:t>
            </w:r>
          </w:p>
        </w:tc>
        <w:tc>
          <w:tcPr>
            <w:tcW w:w="0" w:type="auto"/>
            <w:tcBorders>
              <w:top w:val="single" w:sz="4" w:space="0" w:color="000000"/>
            </w:tcBorders>
            <w:shd w:val="clear" w:color="auto" w:fill="D8D8D8"/>
            <w:tcMar>
              <w:top w:w="30" w:type="dxa"/>
              <w:left w:w="0" w:type="dxa"/>
              <w:bottom w:w="30" w:type="dxa"/>
              <w:right w:w="20" w:type="dxa"/>
            </w:tcMar>
            <w:vAlign w:val="center"/>
            <w:hideMark/>
          </w:tcPr>
          <w:p w:rsidR="00000000" w:rsidRDefault="001F1FC8">
            <w:pPr>
              <w:jc w:val="right"/>
              <w:rPr>
                <w:rFonts w:eastAsia="Times New Roman"/>
              </w:rPr>
            </w:pPr>
          </w:p>
        </w:tc>
      </w:tr>
      <w:tr w:rsidR="00000000">
        <w:trPr>
          <w:divId w:val="1269116225"/>
        </w:trPr>
        <w:tc>
          <w:tcPr>
            <w:tcW w:w="0" w:type="auto"/>
            <w:gridSpan w:val="3"/>
            <w:vAlign w:val="center"/>
            <w:hideMark/>
          </w:tcPr>
          <w:p w:rsidR="00000000" w:rsidRDefault="001F1FC8">
            <w:pPr>
              <w:jc w:val="right"/>
              <w:rPr>
                <w:rFonts w:eastAsia="Times New Roman"/>
                <w:sz w:val="20"/>
                <w:szCs w:val="20"/>
              </w:rPr>
            </w:pPr>
          </w:p>
        </w:tc>
        <w:tc>
          <w:tcPr>
            <w:tcW w:w="0" w:type="auto"/>
            <w:gridSpan w:val="3"/>
            <w:vAlign w:val="center"/>
            <w:hideMark/>
          </w:tcPr>
          <w:p w:rsidR="00000000" w:rsidRDefault="001F1FC8">
            <w:pPr>
              <w:rPr>
                <w:rFonts w:eastAsia="Times New Roman"/>
                <w:sz w:val="20"/>
                <w:szCs w:val="20"/>
              </w:rPr>
            </w:pPr>
          </w:p>
        </w:tc>
        <w:tc>
          <w:tcPr>
            <w:tcW w:w="0" w:type="auto"/>
            <w:gridSpan w:val="3"/>
            <w:vAlign w:val="center"/>
            <w:hideMark/>
          </w:tcPr>
          <w:p w:rsidR="00000000" w:rsidRDefault="001F1FC8">
            <w:pPr>
              <w:rPr>
                <w:rFonts w:eastAsia="Times New Roman"/>
                <w:sz w:val="20"/>
                <w:szCs w:val="20"/>
              </w:rPr>
            </w:pPr>
          </w:p>
        </w:tc>
        <w:tc>
          <w:tcPr>
            <w:tcW w:w="0" w:type="auto"/>
            <w:gridSpan w:val="3"/>
            <w:vAlign w:val="center"/>
            <w:hideMark/>
          </w:tcPr>
          <w:p w:rsidR="00000000" w:rsidRDefault="001F1FC8">
            <w:pPr>
              <w:rPr>
                <w:rFonts w:eastAsia="Times New Roman"/>
                <w:sz w:val="20"/>
                <w:szCs w:val="20"/>
              </w:rPr>
            </w:pPr>
          </w:p>
        </w:tc>
        <w:tc>
          <w:tcPr>
            <w:tcW w:w="0" w:type="auto"/>
            <w:gridSpan w:val="3"/>
            <w:vAlign w:val="center"/>
            <w:hideMark/>
          </w:tcPr>
          <w:p w:rsidR="00000000" w:rsidRDefault="001F1FC8">
            <w:pPr>
              <w:rPr>
                <w:rFonts w:eastAsia="Times New Roman"/>
                <w:sz w:val="20"/>
                <w:szCs w:val="20"/>
              </w:rPr>
            </w:pPr>
          </w:p>
        </w:tc>
        <w:tc>
          <w:tcPr>
            <w:tcW w:w="0" w:type="auto"/>
            <w:gridSpan w:val="3"/>
            <w:vAlign w:val="center"/>
            <w:hideMark/>
          </w:tcPr>
          <w:p w:rsidR="00000000" w:rsidRDefault="001F1FC8">
            <w:pPr>
              <w:rPr>
                <w:rFonts w:eastAsia="Times New Roman"/>
                <w:sz w:val="20"/>
                <w:szCs w:val="20"/>
              </w:rPr>
            </w:pPr>
          </w:p>
        </w:tc>
        <w:tc>
          <w:tcPr>
            <w:tcW w:w="0" w:type="auto"/>
            <w:gridSpan w:val="3"/>
            <w:vAlign w:val="center"/>
            <w:hideMark/>
          </w:tcPr>
          <w:p w:rsidR="00000000" w:rsidRDefault="001F1FC8">
            <w:pPr>
              <w:rPr>
                <w:rFonts w:eastAsia="Times New Roman"/>
                <w:sz w:val="20"/>
                <w:szCs w:val="20"/>
              </w:rPr>
            </w:pPr>
          </w:p>
        </w:tc>
        <w:tc>
          <w:tcPr>
            <w:tcW w:w="0" w:type="auto"/>
            <w:gridSpan w:val="3"/>
            <w:vAlign w:val="center"/>
            <w:hideMark/>
          </w:tcPr>
          <w:p w:rsidR="00000000" w:rsidRDefault="001F1FC8">
            <w:pPr>
              <w:rPr>
                <w:rFonts w:eastAsia="Times New Roman"/>
                <w:sz w:val="20"/>
                <w:szCs w:val="20"/>
              </w:rPr>
            </w:pPr>
          </w:p>
        </w:tc>
      </w:tr>
      <w:tr w:rsidR="00000000">
        <w:trPr>
          <w:divId w:val="1269116225"/>
        </w:trPr>
        <w:tc>
          <w:tcPr>
            <w:tcW w:w="0" w:type="auto"/>
            <w:gridSpan w:val="3"/>
            <w:tcBorders>
              <w:top w:val="single" w:sz="4" w:space="0" w:color="000000"/>
              <w:bottom w:val="single" w:sz="8" w:space="0" w:color="000000"/>
            </w:tcBorders>
            <w:tcMar>
              <w:top w:w="30" w:type="dxa"/>
              <w:left w:w="20" w:type="dxa"/>
              <w:bottom w:w="30" w:type="dxa"/>
              <w:right w:w="20" w:type="dxa"/>
            </w:tcMar>
            <w:vAlign w:val="center"/>
            <w:hideMark/>
          </w:tcPr>
          <w:p w:rsidR="00000000" w:rsidRDefault="001F1FC8">
            <w:pPr>
              <w:rPr>
                <w:rFonts w:eastAsia="Times New Roman"/>
              </w:rPr>
            </w:pPr>
            <w:r>
              <w:rPr>
                <w:rFonts w:ascii="Arial" w:eastAsia="Times New Roman" w:hAnsi="Arial" w:cs="Arial"/>
                <w:color w:val="000000"/>
                <w:sz w:val="16"/>
                <w:szCs w:val="16"/>
              </w:rPr>
              <w:t>Balance at December 31, 2021</w:t>
            </w:r>
          </w:p>
        </w:tc>
        <w:tc>
          <w:tcPr>
            <w:tcW w:w="0" w:type="auto"/>
            <w:gridSpan w:val="2"/>
            <w:tcBorders>
              <w:top w:val="single" w:sz="4" w:space="0" w:color="000000"/>
              <w:bottom w:val="single" w:sz="8" w:space="0" w:color="000000"/>
            </w:tcBorders>
            <w:shd w:val="clear" w:color="auto" w:fill="D8D8D8"/>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b/>
                <w:bCs/>
                <w:color w:val="000000"/>
                <w:sz w:val="16"/>
                <w:szCs w:val="16"/>
              </w:rPr>
              <w:t>(897)</w:t>
            </w:r>
          </w:p>
        </w:tc>
        <w:tc>
          <w:tcPr>
            <w:tcW w:w="0" w:type="auto"/>
            <w:tcBorders>
              <w:top w:val="single" w:sz="4" w:space="0" w:color="000000"/>
              <w:bottom w:val="single" w:sz="8" w:space="0" w:color="000000"/>
            </w:tcBorders>
            <w:shd w:val="clear" w:color="auto" w:fill="D8D8D8"/>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Borders>
              <w:top w:val="single" w:sz="4" w:space="0" w:color="000000"/>
              <w:bottom w:val="single" w:sz="8" w:space="0" w:color="000000"/>
            </w:tcBorders>
            <w:shd w:val="clear" w:color="auto" w:fill="D8D8D8"/>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tcBorders>
              <w:top w:val="single" w:sz="4" w:space="0" w:color="000000"/>
              <w:bottom w:val="single" w:sz="8" w:space="0" w:color="000000"/>
            </w:tcBorders>
            <w:shd w:val="clear" w:color="auto" w:fill="D8D8D8"/>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Borders>
              <w:top w:val="single" w:sz="4" w:space="0" w:color="000000"/>
              <w:bottom w:val="single" w:sz="8" w:space="0" w:color="000000"/>
            </w:tcBorders>
            <w:shd w:val="clear" w:color="auto" w:fill="D8D8D8"/>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b/>
                <w:bCs/>
                <w:color w:val="000000"/>
                <w:sz w:val="16"/>
                <w:szCs w:val="16"/>
              </w:rPr>
              <w:t>(166)</w:t>
            </w:r>
          </w:p>
        </w:tc>
        <w:tc>
          <w:tcPr>
            <w:tcW w:w="0" w:type="auto"/>
            <w:tcBorders>
              <w:top w:val="single" w:sz="4" w:space="0" w:color="000000"/>
              <w:bottom w:val="single" w:sz="8" w:space="0" w:color="000000"/>
            </w:tcBorders>
            <w:shd w:val="clear" w:color="auto" w:fill="D8D8D8"/>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Borders>
              <w:top w:val="single" w:sz="4" w:space="0" w:color="000000"/>
              <w:bottom w:val="single" w:sz="8" w:space="0" w:color="000000"/>
            </w:tcBorders>
            <w:shd w:val="clear" w:color="auto" w:fill="D8D8D8"/>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b/>
                <w:bCs/>
                <w:color w:val="000000"/>
                <w:sz w:val="16"/>
                <w:szCs w:val="16"/>
              </w:rPr>
              <w:t>56</w:t>
            </w:r>
            <w:r>
              <w:rPr>
                <w:rFonts w:ascii="Arial" w:eastAsia="Times New Roman" w:hAnsi="Arial" w:cs="Arial"/>
                <w:color w:val="000000"/>
                <w:sz w:val="16"/>
                <w:szCs w:val="16"/>
              </w:rPr>
              <w:t> </w:t>
            </w:r>
          </w:p>
        </w:tc>
        <w:tc>
          <w:tcPr>
            <w:tcW w:w="0" w:type="auto"/>
            <w:tcBorders>
              <w:top w:val="single" w:sz="4" w:space="0" w:color="000000"/>
              <w:bottom w:val="single" w:sz="8" w:space="0" w:color="000000"/>
            </w:tcBorders>
            <w:shd w:val="clear" w:color="auto" w:fill="D8D8D8"/>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Borders>
              <w:top w:val="single" w:sz="4" w:space="0" w:color="000000"/>
              <w:bottom w:val="single" w:sz="8" w:space="0" w:color="000000"/>
            </w:tcBorders>
            <w:shd w:val="clear" w:color="auto" w:fill="D8D8D8"/>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b/>
                <w:bCs/>
                <w:color w:val="000000"/>
                <w:sz w:val="16"/>
                <w:szCs w:val="16"/>
              </w:rPr>
              <w:t>(5)</w:t>
            </w:r>
          </w:p>
        </w:tc>
        <w:tc>
          <w:tcPr>
            <w:tcW w:w="0" w:type="auto"/>
            <w:tcBorders>
              <w:top w:val="single" w:sz="4" w:space="0" w:color="000000"/>
              <w:bottom w:val="single" w:sz="8" w:space="0" w:color="000000"/>
            </w:tcBorders>
            <w:shd w:val="clear" w:color="auto" w:fill="D8D8D8"/>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Borders>
              <w:top w:val="single" w:sz="4" w:space="0" w:color="000000"/>
              <w:bottom w:val="single" w:sz="8" w:space="0" w:color="000000"/>
            </w:tcBorders>
            <w:shd w:val="clear" w:color="auto" w:fill="D8D8D8"/>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b/>
                <w:bCs/>
                <w:color w:val="000000"/>
                <w:sz w:val="16"/>
                <w:szCs w:val="16"/>
              </w:rPr>
              <w:t>(84)</w:t>
            </w:r>
          </w:p>
        </w:tc>
        <w:tc>
          <w:tcPr>
            <w:tcW w:w="0" w:type="auto"/>
            <w:tcBorders>
              <w:top w:val="single" w:sz="4" w:space="0" w:color="000000"/>
              <w:bottom w:val="single" w:sz="8" w:space="0" w:color="000000"/>
            </w:tcBorders>
            <w:shd w:val="clear" w:color="auto" w:fill="D8D8D8"/>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Borders>
              <w:top w:val="single" w:sz="4" w:space="0" w:color="000000"/>
              <w:bottom w:val="single" w:sz="8" w:space="0" w:color="000000"/>
            </w:tcBorders>
            <w:shd w:val="clear" w:color="auto" w:fill="D8D8D8"/>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b/>
                <w:bCs/>
                <w:color w:val="000000"/>
                <w:sz w:val="16"/>
                <w:szCs w:val="16"/>
              </w:rPr>
              <w:t>(1,096)</w:t>
            </w:r>
          </w:p>
        </w:tc>
        <w:tc>
          <w:tcPr>
            <w:tcW w:w="0" w:type="auto"/>
            <w:tcBorders>
              <w:top w:val="single" w:sz="4" w:space="0" w:color="000000"/>
              <w:bottom w:val="single" w:sz="8" w:space="0" w:color="000000"/>
            </w:tcBorders>
            <w:shd w:val="clear" w:color="auto" w:fill="D8D8D8"/>
            <w:tcMar>
              <w:top w:w="30" w:type="dxa"/>
              <w:left w:w="0" w:type="dxa"/>
              <w:bottom w:w="30" w:type="dxa"/>
              <w:right w:w="20" w:type="dxa"/>
            </w:tcMar>
            <w:vAlign w:val="center"/>
            <w:hideMark/>
          </w:tcPr>
          <w:p w:rsidR="00000000" w:rsidRDefault="001F1FC8">
            <w:pPr>
              <w:jc w:val="right"/>
              <w:rPr>
                <w:rFonts w:eastAsia="Times New Roman"/>
              </w:rPr>
            </w:pPr>
          </w:p>
        </w:tc>
      </w:tr>
    </w:tbl>
    <w:tbl>
      <w:tblPr>
        <w:tblW w:w="4991" w:type="pct"/>
        <w:tblCellMar>
          <w:top w:w="15" w:type="dxa"/>
          <w:left w:w="15" w:type="dxa"/>
          <w:bottom w:w="15" w:type="dxa"/>
          <w:right w:w="15" w:type="dxa"/>
        </w:tblCellMar>
        <w:tblLook w:val="04A0" w:firstRow="1" w:lastRow="0" w:firstColumn="1" w:lastColumn="0" w:noHBand="0" w:noVBand="1"/>
      </w:tblPr>
      <w:tblGrid>
        <w:gridCol w:w="144"/>
        <w:gridCol w:w="2663"/>
        <w:gridCol w:w="144"/>
        <w:gridCol w:w="144"/>
        <w:gridCol w:w="613"/>
        <w:gridCol w:w="144"/>
        <w:gridCol w:w="144"/>
        <w:gridCol w:w="825"/>
        <w:gridCol w:w="144"/>
        <w:gridCol w:w="144"/>
        <w:gridCol w:w="719"/>
        <w:gridCol w:w="144"/>
        <w:gridCol w:w="144"/>
        <w:gridCol w:w="719"/>
        <w:gridCol w:w="144"/>
        <w:gridCol w:w="144"/>
        <w:gridCol w:w="693"/>
        <w:gridCol w:w="144"/>
        <w:gridCol w:w="144"/>
        <w:gridCol w:w="719"/>
        <w:gridCol w:w="144"/>
        <w:gridCol w:w="144"/>
        <w:gridCol w:w="600"/>
        <w:gridCol w:w="144"/>
      </w:tblGrid>
      <w:tr w:rsidR="00000000">
        <w:tc>
          <w:tcPr>
            <w:tcW w:w="50" w:type="pct"/>
            <w:vAlign w:val="center"/>
            <w:hideMark/>
          </w:tcPr>
          <w:p w:rsidR="00000000" w:rsidRDefault="001F1FC8">
            <w:pPr>
              <w:rPr>
                <w:rFonts w:eastAsia="Times New Roman"/>
              </w:rPr>
            </w:pPr>
          </w:p>
        </w:tc>
        <w:tc>
          <w:tcPr>
            <w:tcW w:w="1606"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c>
          <w:tcPr>
            <w:tcW w:w="50" w:type="pct"/>
            <w:vAlign w:val="center"/>
            <w:hideMark/>
          </w:tcPr>
          <w:p w:rsidR="00000000" w:rsidRDefault="001F1FC8">
            <w:pPr>
              <w:rPr>
                <w:rFonts w:eastAsia="Times New Roman"/>
                <w:sz w:val="20"/>
                <w:szCs w:val="20"/>
              </w:rPr>
            </w:pPr>
          </w:p>
        </w:tc>
        <w:tc>
          <w:tcPr>
            <w:tcW w:w="370"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c>
          <w:tcPr>
            <w:tcW w:w="50" w:type="pct"/>
            <w:vAlign w:val="center"/>
            <w:hideMark/>
          </w:tcPr>
          <w:p w:rsidR="00000000" w:rsidRDefault="001F1FC8">
            <w:pPr>
              <w:rPr>
                <w:rFonts w:eastAsia="Times New Roman"/>
                <w:sz w:val="20"/>
                <w:szCs w:val="20"/>
              </w:rPr>
            </w:pPr>
          </w:p>
        </w:tc>
        <w:tc>
          <w:tcPr>
            <w:tcW w:w="498"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c>
          <w:tcPr>
            <w:tcW w:w="50" w:type="pct"/>
            <w:vAlign w:val="center"/>
            <w:hideMark/>
          </w:tcPr>
          <w:p w:rsidR="00000000" w:rsidRDefault="001F1FC8">
            <w:pPr>
              <w:rPr>
                <w:rFonts w:eastAsia="Times New Roman"/>
                <w:sz w:val="20"/>
                <w:szCs w:val="20"/>
              </w:rPr>
            </w:pPr>
          </w:p>
        </w:tc>
        <w:tc>
          <w:tcPr>
            <w:tcW w:w="434"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c>
          <w:tcPr>
            <w:tcW w:w="50" w:type="pct"/>
            <w:vAlign w:val="center"/>
            <w:hideMark/>
          </w:tcPr>
          <w:p w:rsidR="00000000" w:rsidRDefault="001F1FC8">
            <w:pPr>
              <w:rPr>
                <w:rFonts w:eastAsia="Times New Roman"/>
                <w:sz w:val="20"/>
                <w:szCs w:val="20"/>
              </w:rPr>
            </w:pPr>
          </w:p>
        </w:tc>
        <w:tc>
          <w:tcPr>
            <w:tcW w:w="434"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c>
          <w:tcPr>
            <w:tcW w:w="50" w:type="pct"/>
            <w:vAlign w:val="center"/>
            <w:hideMark/>
          </w:tcPr>
          <w:p w:rsidR="00000000" w:rsidRDefault="001F1FC8">
            <w:pPr>
              <w:rPr>
                <w:rFonts w:eastAsia="Times New Roman"/>
                <w:sz w:val="20"/>
                <w:szCs w:val="20"/>
              </w:rPr>
            </w:pPr>
          </w:p>
        </w:tc>
        <w:tc>
          <w:tcPr>
            <w:tcW w:w="418"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c>
          <w:tcPr>
            <w:tcW w:w="50" w:type="pct"/>
            <w:vAlign w:val="center"/>
            <w:hideMark/>
          </w:tcPr>
          <w:p w:rsidR="00000000" w:rsidRDefault="001F1FC8">
            <w:pPr>
              <w:rPr>
                <w:rFonts w:eastAsia="Times New Roman"/>
                <w:sz w:val="20"/>
                <w:szCs w:val="20"/>
              </w:rPr>
            </w:pPr>
          </w:p>
        </w:tc>
        <w:tc>
          <w:tcPr>
            <w:tcW w:w="434"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c>
          <w:tcPr>
            <w:tcW w:w="50" w:type="pct"/>
            <w:vAlign w:val="center"/>
            <w:hideMark/>
          </w:tcPr>
          <w:p w:rsidR="00000000" w:rsidRDefault="001F1FC8">
            <w:pPr>
              <w:rPr>
                <w:rFonts w:eastAsia="Times New Roman"/>
                <w:sz w:val="20"/>
                <w:szCs w:val="20"/>
              </w:rPr>
            </w:pPr>
          </w:p>
        </w:tc>
        <w:tc>
          <w:tcPr>
            <w:tcW w:w="362"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r>
      <w:tr w:rsidR="00000000">
        <w:tc>
          <w:tcPr>
            <w:tcW w:w="0" w:type="auto"/>
            <w:gridSpan w:val="3"/>
            <w:tcMar>
              <w:top w:w="0" w:type="dxa"/>
              <w:left w:w="20" w:type="dxa"/>
              <w:bottom w:w="0" w:type="dxa"/>
              <w:right w:w="20" w:type="dxa"/>
            </w:tcMar>
            <w:vAlign w:val="center"/>
            <w:hideMark/>
          </w:tcPr>
          <w:p w:rsidR="00000000" w:rsidRDefault="001F1FC8">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Cash Flow</w:t>
            </w:r>
          </w:p>
          <w:p w:rsidR="00000000" w:rsidRDefault="001F1FC8">
            <w:pPr>
              <w:jc w:val="right"/>
              <w:rPr>
                <w:rFonts w:eastAsia="Times New Roman"/>
              </w:rPr>
            </w:pPr>
            <w:r>
              <w:rPr>
                <w:rFonts w:ascii="Arial" w:eastAsia="Times New Roman" w:hAnsi="Arial" w:cs="Arial"/>
                <w:color w:val="000000"/>
                <w:sz w:val="16"/>
                <w:szCs w:val="16"/>
              </w:rPr>
              <w:t>Hedges</w:t>
            </w:r>
          </w:p>
        </w:tc>
        <w:tc>
          <w:tcPr>
            <w:tcW w:w="0" w:type="auto"/>
            <w:gridSpan w:val="3"/>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Excluded</w:t>
            </w:r>
            <w:r>
              <w:rPr>
                <w:rFonts w:ascii="Arial" w:eastAsia="Times New Roman" w:hAnsi="Arial" w:cs="Arial"/>
                <w:color w:val="000000"/>
                <w:sz w:val="16"/>
                <w:szCs w:val="16"/>
              </w:rPr>
              <w:br/>
              <w:t>Components</w:t>
            </w:r>
            <w:r>
              <w:rPr>
                <w:rFonts w:ascii="Arial" w:eastAsia="Times New Roman" w:hAnsi="Arial" w:cs="Arial"/>
                <w:color w:val="000000"/>
                <w:sz w:val="16"/>
                <w:szCs w:val="16"/>
              </w:rPr>
              <w:br/>
              <w:t>of Fair Value</w:t>
            </w:r>
            <w:r>
              <w:rPr>
                <w:rFonts w:ascii="Arial" w:eastAsia="Times New Roman" w:hAnsi="Arial" w:cs="Arial"/>
                <w:color w:val="000000"/>
                <w:sz w:val="16"/>
                <w:szCs w:val="16"/>
              </w:rPr>
              <w:br/>
              <w:t>Hedges</w:t>
            </w:r>
          </w:p>
        </w:tc>
        <w:tc>
          <w:tcPr>
            <w:tcW w:w="0" w:type="auto"/>
            <w:gridSpan w:val="3"/>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Net</w:t>
            </w:r>
          </w:p>
          <w:p w:rsidR="00000000" w:rsidRDefault="001F1FC8">
            <w:pPr>
              <w:jc w:val="right"/>
              <w:rPr>
                <w:rFonts w:eastAsia="Times New Roman"/>
              </w:rPr>
            </w:pPr>
            <w:r>
              <w:rPr>
                <w:rFonts w:ascii="Arial" w:eastAsia="Times New Roman" w:hAnsi="Arial" w:cs="Arial"/>
                <w:color w:val="000000"/>
                <w:sz w:val="16"/>
                <w:szCs w:val="16"/>
              </w:rPr>
              <w:t>Investment</w:t>
            </w:r>
          </w:p>
          <w:p w:rsidR="00000000" w:rsidRDefault="001F1FC8">
            <w:pPr>
              <w:jc w:val="right"/>
              <w:rPr>
                <w:rFonts w:eastAsia="Times New Roman"/>
              </w:rPr>
            </w:pPr>
            <w:r>
              <w:rPr>
                <w:rFonts w:ascii="Arial" w:eastAsia="Times New Roman" w:hAnsi="Arial" w:cs="Arial"/>
                <w:color w:val="000000"/>
                <w:sz w:val="16"/>
                <w:szCs w:val="16"/>
              </w:rPr>
              <w:t>Hedges</w:t>
            </w:r>
          </w:p>
        </w:tc>
        <w:tc>
          <w:tcPr>
            <w:tcW w:w="0" w:type="auto"/>
            <w:gridSpan w:val="3"/>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Cumulative</w:t>
            </w:r>
          </w:p>
          <w:p w:rsidR="00000000" w:rsidRDefault="001F1FC8">
            <w:pPr>
              <w:jc w:val="right"/>
              <w:rPr>
                <w:rFonts w:eastAsia="Times New Roman"/>
              </w:rPr>
            </w:pPr>
            <w:r>
              <w:rPr>
                <w:rFonts w:ascii="Arial" w:eastAsia="Times New Roman" w:hAnsi="Arial" w:cs="Arial"/>
                <w:color w:val="000000"/>
                <w:sz w:val="16"/>
                <w:szCs w:val="16"/>
              </w:rPr>
              <w:t>Translation</w:t>
            </w:r>
          </w:p>
          <w:p w:rsidR="00000000" w:rsidRDefault="001F1FC8">
            <w:pPr>
              <w:jc w:val="right"/>
              <w:rPr>
                <w:rFonts w:eastAsia="Times New Roman"/>
              </w:rPr>
            </w:pPr>
            <w:r>
              <w:rPr>
                <w:rFonts w:ascii="Arial" w:eastAsia="Times New Roman" w:hAnsi="Arial" w:cs="Arial"/>
                <w:color w:val="000000"/>
                <w:sz w:val="16"/>
                <w:szCs w:val="16"/>
              </w:rPr>
              <w:t>Adjustment</w:t>
            </w:r>
          </w:p>
        </w:tc>
        <w:tc>
          <w:tcPr>
            <w:tcW w:w="0" w:type="auto"/>
            <w:gridSpan w:val="3"/>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Equity</w:t>
            </w:r>
          </w:p>
          <w:p w:rsidR="00000000" w:rsidRDefault="001F1FC8">
            <w:pPr>
              <w:jc w:val="right"/>
              <w:rPr>
                <w:rFonts w:eastAsia="Times New Roman"/>
              </w:rPr>
            </w:pPr>
            <w:r>
              <w:rPr>
                <w:rFonts w:ascii="Arial" w:eastAsia="Times New Roman" w:hAnsi="Arial" w:cs="Arial"/>
                <w:color w:val="000000"/>
                <w:sz w:val="16"/>
                <w:szCs w:val="16"/>
              </w:rPr>
              <w:t>Investees</w:t>
            </w:r>
          </w:p>
        </w:tc>
        <w:tc>
          <w:tcPr>
            <w:tcW w:w="0" w:type="auto"/>
            <w:gridSpan w:val="3"/>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Pension and</w:t>
            </w:r>
          </w:p>
          <w:p w:rsidR="00000000" w:rsidRDefault="001F1FC8">
            <w:pPr>
              <w:jc w:val="right"/>
              <w:rPr>
                <w:rFonts w:eastAsia="Times New Roman"/>
              </w:rPr>
            </w:pPr>
            <w:r>
              <w:rPr>
                <w:rFonts w:ascii="Arial" w:eastAsia="Times New Roman" w:hAnsi="Arial" w:cs="Arial"/>
                <w:color w:val="000000"/>
                <w:sz w:val="16"/>
                <w:szCs w:val="16"/>
              </w:rPr>
              <w:t>OPEB</w:t>
            </w:r>
          </w:p>
          <w:p w:rsidR="00000000" w:rsidRDefault="001F1FC8">
            <w:pPr>
              <w:jc w:val="right"/>
              <w:rPr>
                <w:rFonts w:eastAsia="Times New Roman"/>
              </w:rPr>
            </w:pPr>
            <w:r>
              <w:rPr>
                <w:rFonts w:ascii="Arial" w:eastAsia="Times New Roman" w:hAnsi="Arial" w:cs="Arial"/>
                <w:color w:val="000000"/>
                <w:sz w:val="16"/>
                <w:szCs w:val="16"/>
              </w:rPr>
              <w:t>Adjustment</w:t>
            </w:r>
          </w:p>
        </w:tc>
        <w:tc>
          <w:tcPr>
            <w:tcW w:w="0" w:type="auto"/>
            <w:gridSpan w:val="3"/>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Total</w:t>
            </w:r>
          </w:p>
        </w:tc>
      </w:tr>
      <w:tr w:rsidR="00000000">
        <w:tc>
          <w:tcPr>
            <w:tcW w:w="0" w:type="auto"/>
            <w:gridSpan w:val="3"/>
            <w:tcBorders>
              <w:top w:val="single" w:sz="4" w:space="0" w:color="000000"/>
            </w:tcBorders>
            <w:tcMar>
              <w:top w:w="30" w:type="dxa"/>
              <w:left w:w="20" w:type="dxa"/>
              <w:bottom w:w="30" w:type="dxa"/>
              <w:right w:w="20" w:type="dxa"/>
            </w:tcMar>
            <w:hideMark/>
          </w:tcPr>
          <w:p w:rsidR="00000000" w:rsidRDefault="001F1FC8">
            <w:pPr>
              <w:rPr>
                <w:rFonts w:eastAsia="Times New Roman"/>
              </w:rPr>
            </w:pPr>
            <w:r>
              <w:rPr>
                <w:rFonts w:ascii="Arial" w:eastAsia="Times New Roman" w:hAnsi="Arial" w:cs="Arial"/>
                <w:i/>
                <w:iCs/>
                <w:color w:val="000000"/>
                <w:sz w:val="16"/>
                <w:szCs w:val="16"/>
              </w:rPr>
              <w:t>(millions of Canadian dollars)</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1F1FC8">
            <w:pPr>
              <w:rPr>
                <w:rFonts w:eastAsia="Times New Roman"/>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1F1FC8">
            <w:pPr>
              <w:rPr>
                <w:rFonts w:eastAsia="Times New Roman"/>
                <w:sz w:val="20"/>
                <w:szCs w:val="20"/>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1F1FC8">
            <w:pPr>
              <w:rPr>
                <w:rFonts w:eastAsia="Times New Roman"/>
                <w:sz w:val="20"/>
                <w:szCs w:val="20"/>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1F1FC8">
            <w:pPr>
              <w:rPr>
                <w:rFonts w:eastAsia="Times New Roman"/>
                <w:sz w:val="20"/>
                <w:szCs w:val="20"/>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1F1FC8">
            <w:pPr>
              <w:rPr>
                <w:rFonts w:eastAsia="Times New Roman"/>
                <w:sz w:val="20"/>
                <w:szCs w:val="20"/>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1F1FC8">
            <w:pPr>
              <w:rPr>
                <w:rFonts w:eastAsia="Times New Roman"/>
                <w:sz w:val="20"/>
                <w:szCs w:val="20"/>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1F1FC8">
            <w:pPr>
              <w:rPr>
                <w:rFonts w:eastAsia="Times New Roman"/>
                <w:sz w:val="20"/>
                <w:szCs w:val="20"/>
              </w:rPr>
            </w:pPr>
          </w:p>
        </w:tc>
      </w:tr>
      <w:tr w:rsidR="00000000">
        <w:tc>
          <w:tcPr>
            <w:tcW w:w="0" w:type="auto"/>
            <w:gridSpan w:val="3"/>
            <w:tcMar>
              <w:top w:w="30" w:type="dxa"/>
              <w:left w:w="20" w:type="dxa"/>
              <w:bottom w:w="30" w:type="dxa"/>
              <w:right w:w="20" w:type="dxa"/>
            </w:tcMar>
            <w:vAlign w:val="center"/>
            <w:hideMark/>
          </w:tcPr>
          <w:p w:rsidR="00000000" w:rsidRDefault="001F1FC8">
            <w:pPr>
              <w:rPr>
                <w:rFonts w:eastAsia="Times New Roman"/>
              </w:rPr>
            </w:pPr>
            <w:r>
              <w:rPr>
                <w:rFonts w:ascii="Arial" w:eastAsia="Times New Roman" w:hAnsi="Arial" w:cs="Arial"/>
                <w:color w:val="000000"/>
                <w:sz w:val="16"/>
                <w:szCs w:val="16"/>
              </w:rPr>
              <w:t>Balance at January 1, 2020</w:t>
            </w:r>
          </w:p>
        </w:tc>
        <w:tc>
          <w:tcPr>
            <w:tcW w:w="0" w:type="auto"/>
            <w:gridSpan w:val="2"/>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16"/>
                <w:szCs w:val="16"/>
              </w:rPr>
              <w:t>(1,073)</w:t>
            </w:r>
          </w:p>
        </w:tc>
        <w:tc>
          <w:tcPr>
            <w:tcW w:w="0" w:type="auto"/>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16"/>
                <w:szCs w:val="16"/>
              </w:rPr>
              <w:t>(317)</w:t>
            </w:r>
          </w:p>
        </w:tc>
        <w:tc>
          <w:tcPr>
            <w:tcW w:w="0" w:type="auto"/>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16"/>
                <w:szCs w:val="16"/>
              </w:rPr>
              <w:t>1,396 </w:t>
            </w:r>
          </w:p>
        </w:tc>
        <w:tc>
          <w:tcPr>
            <w:tcW w:w="0" w:type="auto"/>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16"/>
                <w:szCs w:val="16"/>
              </w:rPr>
              <w:t>67 </w:t>
            </w:r>
          </w:p>
        </w:tc>
        <w:tc>
          <w:tcPr>
            <w:tcW w:w="0" w:type="auto"/>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16"/>
                <w:szCs w:val="16"/>
              </w:rPr>
              <w:t>(345)</w:t>
            </w:r>
          </w:p>
        </w:tc>
        <w:tc>
          <w:tcPr>
            <w:tcW w:w="0" w:type="auto"/>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16"/>
                <w:szCs w:val="16"/>
              </w:rPr>
              <w:t>(272)</w:t>
            </w:r>
          </w:p>
        </w:tc>
        <w:tc>
          <w:tcPr>
            <w:tcW w:w="0" w:type="auto"/>
            <w:tcMar>
              <w:top w:w="30" w:type="dxa"/>
              <w:left w:w="0" w:type="dxa"/>
              <w:bottom w:w="30" w:type="dxa"/>
              <w:right w:w="20" w:type="dxa"/>
            </w:tcMar>
            <w:vAlign w:val="center"/>
            <w:hideMark/>
          </w:tcPr>
          <w:p w:rsidR="00000000" w:rsidRDefault="001F1FC8">
            <w:pPr>
              <w:jc w:val="right"/>
              <w:rPr>
                <w:rFonts w:eastAsia="Times New Roman"/>
              </w:rPr>
            </w:pPr>
          </w:p>
        </w:tc>
      </w:tr>
      <w:tr w:rsidR="00000000">
        <w:tc>
          <w:tcPr>
            <w:tcW w:w="0" w:type="auto"/>
            <w:gridSpan w:val="3"/>
            <w:tcMar>
              <w:top w:w="30" w:type="dxa"/>
              <w:left w:w="20" w:type="dxa"/>
              <w:bottom w:w="30" w:type="dxa"/>
              <w:right w:w="20" w:type="dxa"/>
            </w:tcMar>
            <w:hideMark/>
          </w:tcPr>
          <w:p w:rsidR="00000000" w:rsidRDefault="001F1FC8">
            <w:pPr>
              <w:ind w:hanging="180"/>
              <w:divId w:val="807625590"/>
              <w:rPr>
                <w:rFonts w:eastAsia="Times New Roman"/>
              </w:rPr>
            </w:pPr>
            <w:r>
              <w:rPr>
                <w:rFonts w:ascii="Arial" w:eastAsia="Times New Roman" w:hAnsi="Arial" w:cs="Arial"/>
                <w:color w:val="000000"/>
                <w:sz w:val="16"/>
                <w:szCs w:val="16"/>
              </w:rPr>
              <w:t>Other comprehensive income/(loss) retained in AOCI</w:t>
            </w: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(591)</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5 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115 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(828)</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(2)</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(221)</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(1,522)</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r>
      <w:tr w:rsidR="00000000">
        <w:tc>
          <w:tcPr>
            <w:tcW w:w="0" w:type="auto"/>
            <w:gridSpan w:val="3"/>
            <w:tcMar>
              <w:top w:w="30" w:type="dxa"/>
              <w:left w:w="200" w:type="dxa"/>
              <w:bottom w:w="30" w:type="dxa"/>
              <w:right w:w="20" w:type="dxa"/>
            </w:tcMar>
            <w:vAlign w:val="center"/>
            <w:hideMark/>
          </w:tcPr>
          <w:p w:rsidR="00000000" w:rsidRDefault="001F1FC8">
            <w:pPr>
              <w:ind w:hanging="180"/>
              <w:rPr>
                <w:rFonts w:eastAsia="Times New Roman"/>
              </w:rPr>
            </w:pPr>
            <w:r>
              <w:rPr>
                <w:rFonts w:ascii="Arial" w:eastAsia="Times New Roman" w:hAnsi="Arial" w:cs="Arial"/>
                <w:color w:val="000000"/>
                <w:sz w:val="16"/>
                <w:szCs w:val="16"/>
              </w:rPr>
              <w:t>Other comprehensive (income)/loss reclassified to earnings</w:t>
            </w:r>
          </w:p>
        </w:tc>
        <w:tc>
          <w:tcPr>
            <w:tcW w:w="0" w:type="auto"/>
            <w:gridSpan w:val="3"/>
            <w:tcMar>
              <w:top w:w="0" w:type="dxa"/>
              <w:left w:w="20" w:type="dxa"/>
              <w:bottom w:w="0" w:type="dxa"/>
              <w:right w:w="20" w:type="dxa"/>
            </w:tcMar>
            <w:vAlign w:val="center"/>
            <w:hideMark/>
          </w:tcPr>
          <w:p w:rsidR="00000000" w:rsidRDefault="001F1FC8">
            <w:pPr>
              <w:ind w:hanging="180"/>
              <w:rPr>
                <w:rFonts w:eastAsia="Times New Roman"/>
              </w:rPr>
            </w:pPr>
          </w:p>
        </w:tc>
        <w:tc>
          <w:tcPr>
            <w:tcW w:w="0" w:type="auto"/>
            <w:gridSpan w:val="3"/>
            <w:tcMar>
              <w:top w:w="0" w:type="dxa"/>
              <w:left w:w="20" w:type="dxa"/>
              <w:bottom w:w="0" w:type="dxa"/>
              <w:right w:w="20" w:type="dxa"/>
            </w:tcMar>
            <w:vAlign w:val="center"/>
            <w:hideMark/>
          </w:tcPr>
          <w:p w:rsidR="00000000" w:rsidRDefault="001F1FC8">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1F1FC8">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1F1FC8">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1F1FC8">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1F1FC8">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1F1FC8">
            <w:pPr>
              <w:rPr>
                <w:rFonts w:eastAsia="Times New Roman"/>
                <w:sz w:val="20"/>
                <w:szCs w:val="20"/>
              </w:rPr>
            </w:pPr>
          </w:p>
        </w:tc>
      </w:tr>
      <w:tr w:rsidR="00000000">
        <w:tc>
          <w:tcPr>
            <w:tcW w:w="0" w:type="auto"/>
            <w:gridSpan w:val="3"/>
            <w:tcMar>
              <w:top w:w="30" w:type="dxa"/>
              <w:left w:w="20" w:type="dxa"/>
              <w:bottom w:w="30" w:type="dxa"/>
              <w:right w:w="20" w:type="dxa"/>
            </w:tcMar>
            <w:vAlign w:val="center"/>
            <w:hideMark/>
          </w:tcPr>
          <w:p w:rsidR="00000000" w:rsidRDefault="001F1FC8">
            <w:pPr>
              <w:ind w:firstLine="180"/>
              <w:divId w:val="1054351480"/>
              <w:rPr>
                <w:rFonts w:eastAsia="Times New Roman"/>
              </w:rPr>
            </w:pPr>
            <w:r>
              <w:rPr>
                <w:rFonts w:ascii="Arial" w:eastAsia="Times New Roman" w:hAnsi="Arial" w:cs="Arial"/>
                <w:color w:val="000000"/>
                <w:sz w:val="16"/>
                <w:szCs w:val="16"/>
              </w:rPr>
              <w:t>Interest rate contract</w:t>
            </w:r>
            <w:r>
              <w:rPr>
                <w:rFonts w:ascii="Arial" w:eastAsia="Times New Roman" w:hAnsi="Arial" w:cs="Arial"/>
                <w:color w:val="000000"/>
                <w:sz w:val="16"/>
                <w:szCs w:val="16"/>
              </w:rPr>
              <w:t>s</w:t>
            </w:r>
            <w:r>
              <w:rPr>
                <w:rFonts w:ascii="Arial" w:eastAsia="Times New Roman" w:hAnsi="Arial" w:cs="Arial"/>
                <w:color w:val="000000"/>
                <w:sz w:val="9"/>
                <w:szCs w:val="9"/>
              </w:rPr>
              <w:t>1</w:t>
            </w:r>
          </w:p>
        </w:tc>
        <w:tc>
          <w:tcPr>
            <w:tcW w:w="0" w:type="auto"/>
            <w:gridSpan w:val="2"/>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16"/>
                <w:szCs w:val="16"/>
              </w:rPr>
              <w:t>253 </w:t>
            </w:r>
          </w:p>
        </w:tc>
        <w:tc>
          <w:tcPr>
            <w:tcW w:w="0" w:type="auto"/>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16"/>
                <w:szCs w:val="16"/>
              </w:rPr>
              <w:t>253 </w:t>
            </w:r>
          </w:p>
        </w:tc>
        <w:tc>
          <w:tcPr>
            <w:tcW w:w="0" w:type="auto"/>
            <w:tcMar>
              <w:top w:w="30" w:type="dxa"/>
              <w:left w:w="0" w:type="dxa"/>
              <w:bottom w:w="30" w:type="dxa"/>
              <w:right w:w="20" w:type="dxa"/>
            </w:tcMar>
            <w:vAlign w:val="center"/>
            <w:hideMark/>
          </w:tcPr>
          <w:p w:rsidR="00000000" w:rsidRDefault="001F1FC8">
            <w:pPr>
              <w:jc w:val="right"/>
              <w:rPr>
                <w:rFonts w:eastAsia="Times New Roman"/>
              </w:rPr>
            </w:pPr>
          </w:p>
        </w:tc>
      </w:tr>
      <w:tr w:rsidR="00000000">
        <w:tc>
          <w:tcPr>
            <w:tcW w:w="0" w:type="auto"/>
            <w:gridSpan w:val="3"/>
            <w:vAlign w:val="center"/>
            <w:hideMark/>
          </w:tcPr>
          <w:p w:rsidR="00000000" w:rsidRDefault="001F1FC8">
            <w:pPr>
              <w:jc w:val="right"/>
              <w:rPr>
                <w:rFonts w:eastAsia="Times New Roman"/>
                <w:sz w:val="20"/>
                <w:szCs w:val="20"/>
              </w:rPr>
            </w:pPr>
          </w:p>
        </w:tc>
        <w:tc>
          <w:tcPr>
            <w:tcW w:w="0" w:type="auto"/>
            <w:gridSpan w:val="3"/>
            <w:vAlign w:val="center"/>
            <w:hideMark/>
          </w:tcPr>
          <w:p w:rsidR="00000000" w:rsidRDefault="001F1FC8">
            <w:pPr>
              <w:rPr>
                <w:rFonts w:eastAsia="Times New Roman"/>
                <w:sz w:val="20"/>
                <w:szCs w:val="20"/>
              </w:rPr>
            </w:pPr>
          </w:p>
        </w:tc>
        <w:tc>
          <w:tcPr>
            <w:tcW w:w="0" w:type="auto"/>
            <w:gridSpan w:val="3"/>
            <w:vAlign w:val="center"/>
            <w:hideMark/>
          </w:tcPr>
          <w:p w:rsidR="00000000" w:rsidRDefault="001F1FC8">
            <w:pPr>
              <w:rPr>
                <w:rFonts w:eastAsia="Times New Roman"/>
                <w:sz w:val="20"/>
                <w:szCs w:val="20"/>
              </w:rPr>
            </w:pPr>
          </w:p>
        </w:tc>
        <w:tc>
          <w:tcPr>
            <w:tcW w:w="0" w:type="auto"/>
            <w:gridSpan w:val="3"/>
            <w:vAlign w:val="center"/>
            <w:hideMark/>
          </w:tcPr>
          <w:p w:rsidR="00000000" w:rsidRDefault="001F1FC8">
            <w:pPr>
              <w:rPr>
                <w:rFonts w:eastAsia="Times New Roman"/>
                <w:sz w:val="20"/>
                <w:szCs w:val="20"/>
              </w:rPr>
            </w:pPr>
          </w:p>
        </w:tc>
        <w:tc>
          <w:tcPr>
            <w:tcW w:w="0" w:type="auto"/>
            <w:gridSpan w:val="3"/>
            <w:vAlign w:val="center"/>
            <w:hideMark/>
          </w:tcPr>
          <w:p w:rsidR="00000000" w:rsidRDefault="001F1FC8">
            <w:pPr>
              <w:rPr>
                <w:rFonts w:eastAsia="Times New Roman"/>
                <w:sz w:val="20"/>
                <w:szCs w:val="20"/>
              </w:rPr>
            </w:pPr>
          </w:p>
        </w:tc>
        <w:tc>
          <w:tcPr>
            <w:tcW w:w="0" w:type="auto"/>
            <w:gridSpan w:val="3"/>
            <w:vAlign w:val="center"/>
            <w:hideMark/>
          </w:tcPr>
          <w:p w:rsidR="00000000" w:rsidRDefault="001F1FC8">
            <w:pPr>
              <w:rPr>
                <w:rFonts w:eastAsia="Times New Roman"/>
                <w:sz w:val="20"/>
                <w:szCs w:val="20"/>
              </w:rPr>
            </w:pPr>
          </w:p>
        </w:tc>
        <w:tc>
          <w:tcPr>
            <w:tcW w:w="0" w:type="auto"/>
            <w:gridSpan w:val="3"/>
            <w:vAlign w:val="center"/>
            <w:hideMark/>
          </w:tcPr>
          <w:p w:rsidR="00000000" w:rsidRDefault="001F1FC8">
            <w:pPr>
              <w:rPr>
                <w:rFonts w:eastAsia="Times New Roman"/>
                <w:sz w:val="20"/>
                <w:szCs w:val="20"/>
              </w:rPr>
            </w:pPr>
          </w:p>
        </w:tc>
        <w:tc>
          <w:tcPr>
            <w:tcW w:w="0" w:type="auto"/>
            <w:gridSpan w:val="3"/>
            <w:vAlign w:val="center"/>
            <w:hideMark/>
          </w:tcPr>
          <w:p w:rsidR="00000000" w:rsidRDefault="001F1FC8">
            <w:pPr>
              <w:rPr>
                <w:rFonts w:eastAsia="Times New Roman"/>
                <w:sz w:val="20"/>
                <w:szCs w:val="20"/>
              </w:rPr>
            </w:pPr>
          </w:p>
        </w:tc>
      </w:tr>
      <w:tr w:rsidR="00000000">
        <w:tc>
          <w:tcPr>
            <w:tcW w:w="0" w:type="auto"/>
            <w:gridSpan w:val="3"/>
            <w:tcMar>
              <w:top w:w="30" w:type="dxa"/>
              <w:left w:w="20" w:type="dxa"/>
              <w:bottom w:w="30" w:type="dxa"/>
              <w:right w:w="20" w:type="dxa"/>
            </w:tcMar>
            <w:vAlign w:val="center"/>
            <w:hideMark/>
          </w:tcPr>
          <w:p w:rsidR="00000000" w:rsidRDefault="001F1FC8">
            <w:pPr>
              <w:ind w:firstLine="180"/>
              <w:divId w:val="922496896"/>
              <w:rPr>
                <w:rFonts w:eastAsia="Times New Roman"/>
              </w:rPr>
            </w:pPr>
            <w:r>
              <w:rPr>
                <w:rFonts w:ascii="Arial" w:eastAsia="Times New Roman" w:hAnsi="Arial" w:cs="Arial"/>
                <w:color w:val="000000"/>
                <w:sz w:val="16"/>
                <w:szCs w:val="16"/>
              </w:rPr>
              <w:t>Foreign exchange contract</w:t>
            </w:r>
            <w:r>
              <w:rPr>
                <w:rFonts w:ascii="Arial" w:eastAsia="Times New Roman" w:hAnsi="Arial" w:cs="Arial"/>
                <w:color w:val="000000"/>
                <w:sz w:val="16"/>
                <w:szCs w:val="16"/>
              </w:rPr>
              <w:t>s</w:t>
            </w:r>
            <w:r>
              <w:rPr>
                <w:rFonts w:ascii="Arial" w:eastAsia="Times New Roman" w:hAnsi="Arial" w:cs="Arial"/>
                <w:color w:val="000000"/>
                <w:sz w:val="9"/>
                <w:szCs w:val="9"/>
              </w:rPr>
              <w:t>3</w:t>
            </w:r>
          </w:p>
        </w:tc>
        <w:tc>
          <w:tcPr>
            <w:tcW w:w="0" w:type="auto"/>
            <w:gridSpan w:val="2"/>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16"/>
                <w:szCs w:val="16"/>
              </w:rPr>
              <w:t>5 </w:t>
            </w:r>
          </w:p>
        </w:tc>
        <w:tc>
          <w:tcPr>
            <w:tcW w:w="0" w:type="auto"/>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16"/>
                <w:szCs w:val="16"/>
              </w:rPr>
              <w:t>5 </w:t>
            </w:r>
          </w:p>
        </w:tc>
        <w:tc>
          <w:tcPr>
            <w:tcW w:w="0" w:type="auto"/>
            <w:tcMar>
              <w:top w:w="30" w:type="dxa"/>
              <w:left w:w="0" w:type="dxa"/>
              <w:bottom w:w="30" w:type="dxa"/>
              <w:right w:w="20" w:type="dxa"/>
            </w:tcMar>
            <w:vAlign w:val="center"/>
            <w:hideMark/>
          </w:tcPr>
          <w:p w:rsidR="00000000" w:rsidRDefault="001F1FC8">
            <w:pPr>
              <w:jc w:val="right"/>
              <w:rPr>
                <w:rFonts w:eastAsia="Times New Roman"/>
              </w:rPr>
            </w:pPr>
          </w:p>
        </w:tc>
      </w:tr>
      <w:tr w:rsidR="00000000">
        <w:tc>
          <w:tcPr>
            <w:tcW w:w="0" w:type="auto"/>
            <w:gridSpan w:val="3"/>
            <w:tcMar>
              <w:top w:w="30" w:type="dxa"/>
              <w:left w:w="20" w:type="dxa"/>
              <w:bottom w:w="30" w:type="dxa"/>
              <w:right w:w="20" w:type="dxa"/>
            </w:tcMar>
            <w:vAlign w:val="center"/>
            <w:hideMark/>
          </w:tcPr>
          <w:p w:rsidR="00000000" w:rsidRDefault="001F1FC8">
            <w:pPr>
              <w:ind w:firstLine="180"/>
              <w:divId w:val="1736850991"/>
              <w:rPr>
                <w:rFonts w:eastAsia="Times New Roman"/>
              </w:rPr>
            </w:pPr>
            <w:r>
              <w:rPr>
                <w:rFonts w:ascii="Arial" w:eastAsia="Times New Roman" w:hAnsi="Arial" w:cs="Arial"/>
                <w:color w:val="000000"/>
                <w:sz w:val="16"/>
                <w:szCs w:val="16"/>
              </w:rPr>
              <w:t>Other contract</w:t>
            </w:r>
            <w:r>
              <w:rPr>
                <w:rFonts w:ascii="Arial" w:eastAsia="Times New Roman" w:hAnsi="Arial" w:cs="Arial"/>
                <w:color w:val="000000"/>
                <w:sz w:val="16"/>
                <w:szCs w:val="16"/>
              </w:rPr>
              <w:t>s</w:t>
            </w:r>
            <w:r>
              <w:rPr>
                <w:rFonts w:ascii="Arial" w:eastAsia="Times New Roman" w:hAnsi="Arial" w:cs="Arial"/>
                <w:color w:val="000000"/>
                <w:sz w:val="9"/>
                <w:szCs w:val="9"/>
              </w:rPr>
              <w:t>4</w:t>
            </w:r>
          </w:p>
        </w:tc>
        <w:tc>
          <w:tcPr>
            <w:tcW w:w="0" w:type="auto"/>
            <w:gridSpan w:val="2"/>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16"/>
                <w:szCs w:val="16"/>
              </w:rPr>
              <w:t>(2)</w:t>
            </w:r>
          </w:p>
        </w:tc>
        <w:tc>
          <w:tcPr>
            <w:tcW w:w="0" w:type="auto"/>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16"/>
                <w:szCs w:val="16"/>
              </w:rPr>
              <w:t>(2)</w:t>
            </w:r>
          </w:p>
        </w:tc>
        <w:tc>
          <w:tcPr>
            <w:tcW w:w="0" w:type="auto"/>
            <w:tcMar>
              <w:top w:w="30" w:type="dxa"/>
              <w:left w:w="0" w:type="dxa"/>
              <w:bottom w:w="30" w:type="dxa"/>
              <w:right w:w="20" w:type="dxa"/>
            </w:tcMar>
            <w:vAlign w:val="center"/>
            <w:hideMark/>
          </w:tcPr>
          <w:p w:rsidR="00000000" w:rsidRDefault="001F1FC8">
            <w:pPr>
              <w:jc w:val="right"/>
              <w:rPr>
                <w:rFonts w:eastAsia="Times New Roman"/>
              </w:rPr>
            </w:pPr>
          </w:p>
        </w:tc>
      </w:tr>
      <w:tr w:rsidR="00000000">
        <w:tc>
          <w:tcPr>
            <w:tcW w:w="0" w:type="auto"/>
            <w:gridSpan w:val="3"/>
            <w:tcMar>
              <w:top w:w="30" w:type="dxa"/>
              <w:left w:w="20" w:type="dxa"/>
              <w:bottom w:w="30" w:type="dxa"/>
              <w:right w:w="20" w:type="dxa"/>
            </w:tcMar>
            <w:vAlign w:val="center"/>
            <w:hideMark/>
          </w:tcPr>
          <w:p w:rsidR="00000000" w:rsidRDefault="001F1FC8">
            <w:pPr>
              <w:ind w:hanging="180"/>
              <w:divId w:val="464851500"/>
              <w:rPr>
                <w:rFonts w:eastAsia="Times New Roman"/>
              </w:rPr>
            </w:pPr>
            <w:r>
              <w:rPr>
                <w:rFonts w:ascii="Arial" w:eastAsia="Times New Roman" w:hAnsi="Arial" w:cs="Arial"/>
                <w:color w:val="000000"/>
                <w:sz w:val="16"/>
                <w:szCs w:val="16"/>
              </w:rPr>
              <w:t> </w:t>
            </w:r>
            <w:r>
              <w:rPr>
                <w:rFonts w:ascii="Arial" w:eastAsia="Times New Roman" w:hAnsi="Arial" w:cs="Arial"/>
                <w:color w:val="000000"/>
                <w:sz w:val="16"/>
                <w:szCs w:val="16"/>
              </w:rPr>
              <w:t>Amortization of pension and OPEB actuarial loss and prior service cost</w:t>
            </w:r>
            <w:r>
              <w:rPr>
                <w:rFonts w:ascii="Arial" w:eastAsia="Times New Roman" w:hAnsi="Arial" w:cs="Arial"/>
                <w:color w:val="000000"/>
                <w:sz w:val="16"/>
                <w:szCs w:val="16"/>
              </w:rPr>
              <w:t>s</w:t>
            </w:r>
            <w:r>
              <w:rPr>
                <w:rFonts w:ascii="Arial" w:eastAsia="Times New Roman" w:hAnsi="Arial" w:cs="Arial"/>
                <w:color w:val="000000"/>
                <w:sz w:val="9"/>
                <w:szCs w:val="9"/>
              </w:rPr>
              <w:t>5</w:t>
            </w: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17 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17 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r>
      <w:tr w:rsidR="00000000">
        <w:tc>
          <w:tcPr>
            <w:tcW w:w="0" w:type="auto"/>
            <w:gridSpan w:val="3"/>
            <w:tcBorders>
              <w:top w:val="single" w:sz="4" w:space="0" w:color="000000"/>
            </w:tcBorders>
            <w:tcMar>
              <w:top w:w="0" w:type="dxa"/>
              <w:left w:w="20" w:type="dxa"/>
              <w:bottom w:w="0" w:type="dxa"/>
              <w:right w:w="20" w:type="dxa"/>
            </w:tcMar>
            <w:vAlign w:val="center"/>
            <w:hideMark/>
          </w:tcPr>
          <w:p w:rsidR="00000000" w:rsidRDefault="001F1FC8">
            <w:pPr>
              <w:jc w:val="right"/>
              <w:rPr>
                <w:rFonts w:eastAsia="Times New Roman"/>
                <w:sz w:val="20"/>
                <w:szCs w:val="20"/>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16"/>
                <w:szCs w:val="16"/>
              </w:rPr>
              <w:t>(335)</w:t>
            </w:r>
          </w:p>
        </w:tc>
        <w:tc>
          <w:tcPr>
            <w:tcW w:w="0" w:type="auto"/>
            <w:tcBorders>
              <w:top w:val="single" w:sz="4" w:space="0" w:color="000000"/>
            </w:tcBorders>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16"/>
                <w:szCs w:val="16"/>
              </w:rPr>
              <w:t>5 </w:t>
            </w:r>
          </w:p>
        </w:tc>
        <w:tc>
          <w:tcPr>
            <w:tcW w:w="0" w:type="auto"/>
            <w:tcBorders>
              <w:top w:val="single" w:sz="4" w:space="0" w:color="000000"/>
            </w:tcBorders>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16"/>
                <w:szCs w:val="16"/>
              </w:rPr>
              <w:t>115 </w:t>
            </w:r>
          </w:p>
        </w:tc>
        <w:tc>
          <w:tcPr>
            <w:tcW w:w="0" w:type="auto"/>
            <w:tcBorders>
              <w:top w:val="single" w:sz="4" w:space="0" w:color="000000"/>
            </w:tcBorders>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16"/>
                <w:szCs w:val="16"/>
              </w:rPr>
              <w:t>(828)</w:t>
            </w:r>
          </w:p>
        </w:tc>
        <w:tc>
          <w:tcPr>
            <w:tcW w:w="0" w:type="auto"/>
            <w:tcBorders>
              <w:top w:val="single" w:sz="4" w:space="0" w:color="000000"/>
            </w:tcBorders>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16"/>
                <w:szCs w:val="16"/>
              </w:rPr>
              <w:t>(2)</w:t>
            </w:r>
          </w:p>
        </w:tc>
        <w:tc>
          <w:tcPr>
            <w:tcW w:w="0" w:type="auto"/>
            <w:tcBorders>
              <w:top w:val="single" w:sz="4" w:space="0" w:color="000000"/>
            </w:tcBorders>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16"/>
                <w:szCs w:val="16"/>
              </w:rPr>
              <w:t>(204)</w:t>
            </w:r>
          </w:p>
        </w:tc>
        <w:tc>
          <w:tcPr>
            <w:tcW w:w="0" w:type="auto"/>
            <w:tcBorders>
              <w:top w:val="single" w:sz="4" w:space="0" w:color="000000"/>
            </w:tcBorders>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16"/>
                <w:szCs w:val="16"/>
              </w:rPr>
              <w:t>(1,249)</w:t>
            </w:r>
          </w:p>
        </w:tc>
        <w:tc>
          <w:tcPr>
            <w:tcW w:w="0" w:type="auto"/>
            <w:tcBorders>
              <w:top w:val="single" w:sz="4" w:space="0" w:color="000000"/>
            </w:tcBorders>
            <w:tcMar>
              <w:top w:w="30" w:type="dxa"/>
              <w:left w:w="0" w:type="dxa"/>
              <w:bottom w:w="30" w:type="dxa"/>
              <w:right w:w="20" w:type="dxa"/>
            </w:tcMar>
            <w:vAlign w:val="center"/>
            <w:hideMark/>
          </w:tcPr>
          <w:p w:rsidR="00000000" w:rsidRDefault="001F1FC8">
            <w:pPr>
              <w:jc w:val="right"/>
              <w:rPr>
                <w:rFonts w:eastAsia="Times New Roman"/>
              </w:rPr>
            </w:pPr>
          </w:p>
        </w:tc>
      </w:tr>
      <w:tr w:rsidR="00000000">
        <w:tc>
          <w:tcPr>
            <w:tcW w:w="0" w:type="auto"/>
            <w:gridSpan w:val="3"/>
            <w:tcMar>
              <w:top w:w="30" w:type="dxa"/>
              <w:left w:w="20" w:type="dxa"/>
              <w:bottom w:w="30" w:type="dxa"/>
              <w:right w:w="20" w:type="dxa"/>
            </w:tcMar>
            <w:vAlign w:val="center"/>
            <w:hideMark/>
          </w:tcPr>
          <w:p w:rsidR="00000000" w:rsidRDefault="001F1FC8">
            <w:pPr>
              <w:rPr>
                <w:rFonts w:eastAsia="Times New Roman"/>
              </w:rPr>
            </w:pPr>
            <w:r>
              <w:rPr>
                <w:rFonts w:ascii="Arial" w:eastAsia="Times New Roman" w:hAnsi="Arial" w:cs="Arial"/>
                <w:color w:val="000000"/>
                <w:sz w:val="16"/>
                <w:szCs w:val="16"/>
              </w:rPr>
              <w:t>Tax impact</w:t>
            </w:r>
          </w:p>
        </w:tc>
        <w:tc>
          <w:tcPr>
            <w:tcW w:w="0" w:type="auto"/>
            <w:gridSpan w:val="3"/>
            <w:tcMar>
              <w:top w:w="0" w:type="dxa"/>
              <w:left w:w="20" w:type="dxa"/>
              <w:bottom w:w="0" w:type="dxa"/>
              <w:right w:w="20" w:type="dxa"/>
            </w:tcMar>
            <w:vAlign w:val="center"/>
            <w:hideMark/>
          </w:tcPr>
          <w:p w:rsidR="00000000" w:rsidRDefault="001F1FC8">
            <w:pPr>
              <w:rPr>
                <w:rFonts w:eastAsia="Times New Roman"/>
              </w:rPr>
            </w:pPr>
          </w:p>
        </w:tc>
        <w:tc>
          <w:tcPr>
            <w:tcW w:w="0" w:type="auto"/>
            <w:gridSpan w:val="3"/>
            <w:tcMar>
              <w:top w:w="0" w:type="dxa"/>
              <w:left w:w="20" w:type="dxa"/>
              <w:bottom w:w="0" w:type="dxa"/>
              <w:right w:w="20" w:type="dxa"/>
            </w:tcMar>
            <w:vAlign w:val="center"/>
            <w:hideMark/>
          </w:tcPr>
          <w:p w:rsidR="00000000" w:rsidRDefault="001F1FC8">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1F1FC8">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1F1FC8">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1F1FC8">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1F1FC8">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1F1FC8">
            <w:pPr>
              <w:rPr>
                <w:rFonts w:eastAsia="Times New Roman"/>
                <w:sz w:val="20"/>
                <w:szCs w:val="20"/>
              </w:rPr>
            </w:pPr>
          </w:p>
        </w:tc>
      </w:tr>
      <w:tr w:rsidR="00000000">
        <w:tc>
          <w:tcPr>
            <w:tcW w:w="0" w:type="auto"/>
            <w:gridSpan w:val="3"/>
            <w:tcMar>
              <w:top w:w="30" w:type="dxa"/>
              <w:left w:w="380" w:type="dxa"/>
              <w:bottom w:w="30" w:type="dxa"/>
              <w:right w:w="20" w:type="dxa"/>
            </w:tcMar>
            <w:vAlign w:val="center"/>
            <w:hideMark/>
          </w:tcPr>
          <w:p w:rsidR="00000000" w:rsidRDefault="001F1FC8">
            <w:pPr>
              <w:ind w:hanging="180"/>
              <w:rPr>
                <w:rFonts w:eastAsia="Times New Roman"/>
              </w:rPr>
            </w:pPr>
            <w:r>
              <w:rPr>
                <w:rFonts w:ascii="Arial" w:eastAsia="Times New Roman" w:hAnsi="Arial" w:cs="Arial"/>
                <w:color w:val="000000"/>
                <w:sz w:val="16"/>
                <w:szCs w:val="16"/>
              </w:rPr>
              <w:t>Income tax on amounts retained in AOCI</w:t>
            </w: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140 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(13)</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1 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54 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182 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r>
      <w:tr w:rsidR="00000000">
        <w:tc>
          <w:tcPr>
            <w:tcW w:w="0" w:type="auto"/>
            <w:gridSpan w:val="3"/>
            <w:tcMar>
              <w:top w:w="30" w:type="dxa"/>
              <w:left w:w="380" w:type="dxa"/>
              <w:bottom w:w="30" w:type="dxa"/>
              <w:right w:w="20" w:type="dxa"/>
            </w:tcMar>
            <w:hideMark/>
          </w:tcPr>
          <w:p w:rsidR="00000000" w:rsidRDefault="001F1FC8">
            <w:pPr>
              <w:ind w:hanging="180"/>
              <w:rPr>
                <w:rFonts w:eastAsia="Times New Roman"/>
              </w:rPr>
            </w:pPr>
            <w:r>
              <w:rPr>
                <w:rFonts w:ascii="Arial" w:eastAsia="Times New Roman" w:hAnsi="Arial" w:cs="Arial"/>
                <w:color w:val="000000"/>
                <w:sz w:val="16"/>
                <w:szCs w:val="16"/>
              </w:rPr>
              <w:t>Income tax on amounts reclassified to earnings</w:t>
            </w: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(58)</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(4)</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(62)</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r>
      <w:tr w:rsidR="00000000">
        <w:tc>
          <w:tcPr>
            <w:tcW w:w="0" w:type="auto"/>
            <w:gridSpan w:val="3"/>
            <w:tcBorders>
              <w:top w:val="single" w:sz="4" w:space="0" w:color="000000"/>
            </w:tcBorders>
            <w:tcMar>
              <w:top w:w="0" w:type="dxa"/>
              <w:left w:w="20" w:type="dxa"/>
              <w:bottom w:w="0" w:type="dxa"/>
              <w:right w:w="20" w:type="dxa"/>
            </w:tcMar>
            <w:vAlign w:val="center"/>
            <w:hideMark/>
          </w:tcPr>
          <w:p w:rsidR="00000000" w:rsidRDefault="001F1FC8">
            <w:pPr>
              <w:jc w:val="right"/>
              <w:rPr>
                <w:rFonts w:eastAsia="Times New Roman"/>
                <w:sz w:val="20"/>
                <w:szCs w:val="20"/>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16"/>
                <w:szCs w:val="16"/>
              </w:rPr>
              <w:t>82 </w:t>
            </w:r>
          </w:p>
        </w:tc>
        <w:tc>
          <w:tcPr>
            <w:tcW w:w="0" w:type="auto"/>
            <w:tcBorders>
              <w:top w:val="single" w:sz="4" w:space="0" w:color="000000"/>
            </w:tcBorders>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16"/>
                <w:szCs w:val="16"/>
              </w:rPr>
              <w:t>— </w:t>
            </w:r>
          </w:p>
        </w:tc>
        <w:tc>
          <w:tcPr>
            <w:tcW w:w="0" w:type="auto"/>
            <w:tcBorders>
              <w:top w:val="single" w:sz="4" w:space="0" w:color="000000"/>
            </w:tcBorders>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16"/>
                <w:szCs w:val="16"/>
              </w:rPr>
              <w:t>(13)</w:t>
            </w:r>
          </w:p>
        </w:tc>
        <w:tc>
          <w:tcPr>
            <w:tcW w:w="0" w:type="auto"/>
            <w:tcBorders>
              <w:top w:val="single" w:sz="4" w:space="0" w:color="000000"/>
            </w:tcBorders>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16"/>
                <w:szCs w:val="16"/>
              </w:rPr>
              <w:t>— </w:t>
            </w:r>
          </w:p>
        </w:tc>
        <w:tc>
          <w:tcPr>
            <w:tcW w:w="0" w:type="auto"/>
            <w:tcBorders>
              <w:top w:val="single" w:sz="4" w:space="0" w:color="000000"/>
            </w:tcBorders>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16"/>
                <w:szCs w:val="16"/>
              </w:rPr>
              <w:t>1 </w:t>
            </w:r>
          </w:p>
        </w:tc>
        <w:tc>
          <w:tcPr>
            <w:tcW w:w="0" w:type="auto"/>
            <w:tcBorders>
              <w:top w:val="single" w:sz="4" w:space="0" w:color="000000"/>
            </w:tcBorders>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16"/>
                <w:szCs w:val="16"/>
              </w:rPr>
              <w:t>50 </w:t>
            </w:r>
          </w:p>
        </w:tc>
        <w:tc>
          <w:tcPr>
            <w:tcW w:w="0" w:type="auto"/>
            <w:tcBorders>
              <w:top w:val="single" w:sz="4" w:space="0" w:color="000000"/>
            </w:tcBorders>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16"/>
                <w:szCs w:val="16"/>
              </w:rPr>
              <w:t>120 </w:t>
            </w:r>
          </w:p>
        </w:tc>
        <w:tc>
          <w:tcPr>
            <w:tcW w:w="0" w:type="auto"/>
            <w:tcBorders>
              <w:top w:val="single" w:sz="4" w:space="0" w:color="000000"/>
            </w:tcBorders>
            <w:tcMar>
              <w:top w:w="30" w:type="dxa"/>
              <w:left w:w="0" w:type="dxa"/>
              <w:bottom w:w="30" w:type="dxa"/>
              <w:right w:w="20" w:type="dxa"/>
            </w:tcMar>
            <w:vAlign w:val="center"/>
            <w:hideMark/>
          </w:tcPr>
          <w:p w:rsidR="00000000" w:rsidRDefault="001F1FC8">
            <w:pPr>
              <w:jc w:val="right"/>
              <w:rPr>
                <w:rFonts w:eastAsia="Times New Roman"/>
              </w:rPr>
            </w:pPr>
          </w:p>
        </w:tc>
      </w:tr>
      <w:tr w:rsidR="00000000">
        <w:tc>
          <w:tcPr>
            <w:tcW w:w="0" w:type="auto"/>
            <w:gridSpan w:val="3"/>
            <w:vAlign w:val="center"/>
            <w:hideMark/>
          </w:tcPr>
          <w:p w:rsidR="00000000" w:rsidRDefault="001F1FC8">
            <w:pPr>
              <w:jc w:val="right"/>
              <w:rPr>
                <w:rFonts w:eastAsia="Times New Roman"/>
                <w:sz w:val="20"/>
                <w:szCs w:val="20"/>
              </w:rPr>
            </w:pPr>
          </w:p>
        </w:tc>
        <w:tc>
          <w:tcPr>
            <w:tcW w:w="0" w:type="auto"/>
            <w:gridSpan w:val="3"/>
            <w:vAlign w:val="center"/>
            <w:hideMark/>
          </w:tcPr>
          <w:p w:rsidR="00000000" w:rsidRDefault="001F1FC8">
            <w:pPr>
              <w:rPr>
                <w:rFonts w:eastAsia="Times New Roman"/>
                <w:sz w:val="20"/>
                <w:szCs w:val="20"/>
              </w:rPr>
            </w:pPr>
          </w:p>
        </w:tc>
        <w:tc>
          <w:tcPr>
            <w:tcW w:w="0" w:type="auto"/>
            <w:gridSpan w:val="3"/>
            <w:vAlign w:val="center"/>
            <w:hideMark/>
          </w:tcPr>
          <w:p w:rsidR="00000000" w:rsidRDefault="001F1FC8">
            <w:pPr>
              <w:rPr>
                <w:rFonts w:eastAsia="Times New Roman"/>
                <w:sz w:val="20"/>
                <w:szCs w:val="20"/>
              </w:rPr>
            </w:pPr>
          </w:p>
        </w:tc>
        <w:tc>
          <w:tcPr>
            <w:tcW w:w="0" w:type="auto"/>
            <w:gridSpan w:val="3"/>
            <w:vAlign w:val="center"/>
            <w:hideMark/>
          </w:tcPr>
          <w:p w:rsidR="00000000" w:rsidRDefault="001F1FC8">
            <w:pPr>
              <w:rPr>
                <w:rFonts w:eastAsia="Times New Roman"/>
                <w:sz w:val="20"/>
                <w:szCs w:val="20"/>
              </w:rPr>
            </w:pPr>
          </w:p>
        </w:tc>
        <w:tc>
          <w:tcPr>
            <w:tcW w:w="0" w:type="auto"/>
            <w:gridSpan w:val="3"/>
            <w:vAlign w:val="center"/>
            <w:hideMark/>
          </w:tcPr>
          <w:p w:rsidR="00000000" w:rsidRDefault="001F1FC8">
            <w:pPr>
              <w:rPr>
                <w:rFonts w:eastAsia="Times New Roman"/>
                <w:sz w:val="20"/>
                <w:szCs w:val="20"/>
              </w:rPr>
            </w:pPr>
          </w:p>
        </w:tc>
        <w:tc>
          <w:tcPr>
            <w:tcW w:w="0" w:type="auto"/>
            <w:gridSpan w:val="3"/>
            <w:vAlign w:val="center"/>
            <w:hideMark/>
          </w:tcPr>
          <w:p w:rsidR="00000000" w:rsidRDefault="001F1FC8">
            <w:pPr>
              <w:rPr>
                <w:rFonts w:eastAsia="Times New Roman"/>
                <w:sz w:val="20"/>
                <w:szCs w:val="20"/>
              </w:rPr>
            </w:pPr>
          </w:p>
        </w:tc>
        <w:tc>
          <w:tcPr>
            <w:tcW w:w="0" w:type="auto"/>
            <w:gridSpan w:val="3"/>
            <w:vAlign w:val="center"/>
            <w:hideMark/>
          </w:tcPr>
          <w:p w:rsidR="00000000" w:rsidRDefault="001F1FC8">
            <w:pPr>
              <w:rPr>
                <w:rFonts w:eastAsia="Times New Roman"/>
                <w:sz w:val="20"/>
                <w:szCs w:val="20"/>
              </w:rPr>
            </w:pPr>
          </w:p>
        </w:tc>
        <w:tc>
          <w:tcPr>
            <w:tcW w:w="0" w:type="auto"/>
            <w:gridSpan w:val="3"/>
            <w:vAlign w:val="center"/>
            <w:hideMark/>
          </w:tcPr>
          <w:p w:rsidR="00000000" w:rsidRDefault="001F1FC8">
            <w:pPr>
              <w:rPr>
                <w:rFonts w:eastAsia="Times New Roman"/>
                <w:sz w:val="20"/>
                <w:szCs w:val="20"/>
              </w:rPr>
            </w:pPr>
          </w:p>
        </w:tc>
      </w:tr>
      <w:tr w:rsidR="00000000">
        <w:tc>
          <w:tcPr>
            <w:tcW w:w="0" w:type="auto"/>
            <w:gridSpan w:val="3"/>
            <w:tcBorders>
              <w:top w:val="single" w:sz="4" w:space="0" w:color="000000"/>
              <w:bottom w:val="single" w:sz="8" w:space="0" w:color="000000"/>
            </w:tcBorders>
            <w:tcMar>
              <w:top w:w="30" w:type="dxa"/>
              <w:left w:w="20" w:type="dxa"/>
              <w:bottom w:w="30" w:type="dxa"/>
              <w:right w:w="20" w:type="dxa"/>
            </w:tcMar>
            <w:vAlign w:val="center"/>
            <w:hideMark/>
          </w:tcPr>
          <w:p w:rsidR="00000000" w:rsidRDefault="001F1FC8">
            <w:pPr>
              <w:rPr>
                <w:rFonts w:eastAsia="Times New Roman"/>
              </w:rPr>
            </w:pPr>
            <w:r>
              <w:rPr>
                <w:rFonts w:ascii="Arial" w:eastAsia="Times New Roman" w:hAnsi="Arial" w:cs="Arial"/>
                <w:color w:val="000000"/>
                <w:sz w:val="16"/>
                <w:szCs w:val="16"/>
              </w:rPr>
              <w:t>Balance at December 31, 2020</w:t>
            </w:r>
          </w:p>
        </w:tc>
        <w:tc>
          <w:tcPr>
            <w:tcW w:w="0" w:type="auto"/>
            <w:gridSpan w:val="2"/>
            <w:tcBorders>
              <w:top w:val="single" w:sz="4" w:space="0" w:color="000000"/>
              <w:bottom w:val="single" w:sz="8" w:space="0" w:color="000000"/>
            </w:tcBorders>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16"/>
                <w:szCs w:val="16"/>
              </w:rPr>
              <w:t>(1,326)</w:t>
            </w:r>
          </w:p>
        </w:tc>
        <w:tc>
          <w:tcPr>
            <w:tcW w:w="0" w:type="auto"/>
            <w:tcBorders>
              <w:top w:val="single" w:sz="4" w:space="0" w:color="000000"/>
              <w:bottom w:val="single" w:sz="8" w:space="0" w:color="000000"/>
            </w:tcBorders>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Borders>
              <w:top w:val="single" w:sz="4" w:space="0" w:color="000000"/>
              <w:bottom w:val="single" w:sz="8" w:space="0" w:color="000000"/>
            </w:tcBorders>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16"/>
                <w:szCs w:val="16"/>
              </w:rPr>
              <w:t>5 </w:t>
            </w:r>
          </w:p>
        </w:tc>
        <w:tc>
          <w:tcPr>
            <w:tcW w:w="0" w:type="auto"/>
            <w:tcBorders>
              <w:top w:val="single" w:sz="4" w:space="0" w:color="000000"/>
              <w:bottom w:val="single" w:sz="8" w:space="0" w:color="000000"/>
            </w:tcBorders>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Borders>
              <w:top w:val="single" w:sz="4" w:space="0" w:color="000000"/>
              <w:bottom w:val="single" w:sz="8" w:space="0" w:color="000000"/>
            </w:tcBorders>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16"/>
                <w:szCs w:val="16"/>
              </w:rPr>
              <w:t>(215)</w:t>
            </w:r>
          </w:p>
        </w:tc>
        <w:tc>
          <w:tcPr>
            <w:tcW w:w="0" w:type="auto"/>
            <w:tcBorders>
              <w:top w:val="single" w:sz="4" w:space="0" w:color="000000"/>
              <w:bottom w:val="single" w:sz="8" w:space="0" w:color="000000"/>
            </w:tcBorders>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Borders>
              <w:top w:val="single" w:sz="4" w:space="0" w:color="000000"/>
              <w:bottom w:val="single" w:sz="8" w:space="0" w:color="000000"/>
            </w:tcBorders>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16"/>
                <w:szCs w:val="16"/>
              </w:rPr>
              <w:t>568 </w:t>
            </w:r>
          </w:p>
        </w:tc>
        <w:tc>
          <w:tcPr>
            <w:tcW w:w="0" w:type="auto"/>
            <w:tcBorders>
              <w:top w:val="single" w:sz="4" w:space="0" w:color="000000"/>
              <w:bottom w:val="single" w:sz="8" w:space="0" w:color="000000"/>
            </w:tcBorders>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Borders>
              <w:top w:val="single" w:sz="4" w:space="0" w:color="000000"/>
              <w:bottom w:val="single" w:sz="8" w:space="0" w:color="000000"/>
            </w:tcBorders>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16"/>
                <w:szCs w:val="16"/>
              </w:rPr>
              <w:t>66 </w:t>
            </w:r>
          </w:p>
        </w:tc>
        <w:tc>
          <w:tcPr>
            <w:tcW w:w="0" w:type="auto"/>
            <w:tcBorders>
              <w:top w:val="single" w:sz="4" w:space="0" w:color="000000"/>
              <w:bottom w:val="single" w:sz="8" w:space="0" w:color="000000"/>
            </w:tcBorders>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Borders>
              <w:top w:val="single" w:sz="4" w:space="0" w:color="000000"/>
              <w:bottom w:val="single" w:sz="8" w:space="0" w:color="000000"/>
            </w:tcBorders>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16"/>
                <w:szCs w:val="16"/>
              </w:rPr>
              <w:t>(499)</w:t>
            </w:r>
          </w:p>
        </w:tc>
        <w:tc>
          <w:tcPr>
            <w:tcW w:w="0" w:type="auto"/>
            <w:tcBorders>
              <w:top w:val="single" w:sz="4" w:space="0" w:color="000000"/>
              <w:bottom w:val="single" w:sz="8" w:space="0" w:color="000000"/>
            </w:tcBorders>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Borders>
              <w:top w:val="single" w:sz="4" w:space="0" w:color="000000"/>
              <w:bottom w:val="single" w:sz="8" w:space="0" w:color="000000"/>
            </w:tcBorders>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16"/>
                <w:szCs w:val="16"/>
              </w:rPr>
              <w:t>(1,401)</w:t>
            </w:r>
          </w:p>
        </w:tc>
        <w:tc>
          <w:tcPr>
            <w:tcW w:w="0" w:type="auto"/>
            <w:tcBorders>
              <w:top w:val="single" w:sz="4" w:space="0" w:color="000000"/>
              <w:bottom w:val="single" w:sz="8" w:space="0" w:color="000000"/>
            </w:tcBorders>
            <w:tcMar>
              <w:top w:w="30" w:type="dxa"/>
              <w:left w:w="0" w:type="dxa"/>
              <w:bottom w:w="30" w:type="dxa"/>
              <w:right w:w="20" w:type="dxa"/>
            </w:tcMar>
            <w:vAlign w:val="center"/>
            <w:hideMark/>
          </w:tcPr>
          <w:p w:rsidR="00000000" w:rsidRDefault="001F1FC8">
            <w:pPr>
              <w:jc w:val="right"/>
              <w:rPr>
                <w:rFonts w:eastAsia="Times New Roman"/>
              </w:rPr>
            </w:pPr>
          </w:p>
        </w:tc>
      </w:tr>
    </w:tbl>
    <w:p w:rsidR="00000000" w:rsidRDefault="001F1FC8">
      <w:pPr>
        <w:divId w:val="1382902523"/>
        <w:rPr>
          <w:rFonts w:eastAsia="Times New Roman"/>
        </w:rPr>
      </w:pPr>
      <w:r>
        <w:rPr>
          <w:rFonts w:ascii="Arial" w:eastAsia="Times New Roman" w:hAnsi="Arial" w:cs="Arial"/>
          <w:color w:val="000000"/>
          <w:sz w:val="20"/>
          <w:szCs w:val="20"/>
        </w:rPr>
        <w:t> </w:t>
      </w:r>
    </w:p>
    <w:p w:rsidR="00000000" w:rsidRDefault="001F1FC8">
      <w:pPr>
        <w:jc w:val="center"/>
        <w:divId w:val="1484003140"/>
        <w:rPr>
          <w:rFonts w:eastAsia="Times New Roman"/>
        </w:rPr>
      </w:pPr>
      <w:r>
        <w:rPr>
          <w:rFonts w:ascii="Arial" w:eastAsia="Times New Roman" w:hAnsi="Arial" w:cs="Arial"/>
          <w:color w:val="000000"/>
          <w:sz w:val="20"/>
          <w:szCs w:val="20"/>
        </w:rPr>
        <w:t>148</w:t>
      </w:r>
    </w:p>
    <w:p w:rsidR="00000000" w:rsidRDefault="001F1FC8">
      <w:pPr>
        <w:rPr>
          <w:rFonts w:eastAsia="Times New Roman"/>
        </w:rPr>
      </w:pPr>
      <w:r>
        <w:rPr>
          <w:rFonts w:eastAsia="Times New Roman"/>
        </w:rPr>
        <w:pict>
          <v:rect id="_x0000_i1178" style="width:0;height:1.5pt" o:hralign="center" o:hrstd="t" o:hr="t" fillcolor="#a0a0a0" stroked="f"/>
        </w:pict>
      </w:r>
    </w:p>
    <w:p w:rsidR="00000000" w:rsidRDefault="001F1FC8">
      <w:pPr>
        <w:jc w:val="center"/>
        <w:divId w:val="1433865614"/>
        <w:rPr>
          <w:rFonts w:eastAsia="Times New Roman"/>
        </w:rPr>
      </w:pPr>
    </w:p>
    <w:tbl>
      <w:tblPr>
        <w:tblW w:w="4991" w:type="pct"/>
        <w:tblCellMar>
          <w:top w:w="15" w:type="dxa"/>
          <w:left w:w="15" w:type="dxa"/>
          <w:bottom w:w="15" w:type="dxa"/>
          <w:right w:w="15" w:type="dxa"/>
        </w:tblCellMar>
        <w:tblLook w:val="04A0" w:firstRow="1" w:lastRow="0" w:firstColumn="1" w:lastColumn="0" w:noHBand="0" w:noVBand="1"/>
      </w:tblPr>
      <w:tblGrid>
        <w:gridCol w:w="68"/>
        <w:gridCol w:w="2812"/>
        <w:gridCol w:w="38"/>
        <w:gridCol w:w="69"/>
        <w:gridCol w:w="759"/>
        <w:gridCol w:w="36"/>
        <w:gridCol w:w="79"/>
        <w:gridCol w:w="749"/>
        <w:gridCol w:w="36"/>
        <w:gridCol w:w="72"/>
        <w:gridCol w:w="864"/>
        <w:gridCol w:w="36"/>
        <w:gridCol w:w="70"/>
        <w:gridCol w:w="758"/>
        <w:gridCol w:w="36"/>
        <w:gridCol w:w="72"/>
        <w:gridCol w:w="864"/>
        <w:gridCol w:w="36"/>
        <w:gridCol w:w="69"/>
        <w:gridCol w:w="732"/>
        <w:gridCol w:w="36"/>
      </w:tblGrid>
      <w:tr w:rsidR="00000000">
        <w:trPr>
          <w:divId w:val="723913678"/>
        </w:trPr>
        <w:tc>
          <w:tcPr>
            <w:tcW w:w="50" w:type="pct"/>
            <w:vAlign w:val="center"/>
            <w:hideMark/>
          </w:tcPr>
          <w:p w:rsidR="00000000" w:rsidRDefault="001F1FC8">
            <w:pPr>
              <w:jc w:val="center"/>
              <w:rPr>
                <w:rFonts w:eastAsia="Times New Roman"/>
              </w:rPr>
            </w:pPr>
          </w:p>
        </w:tc>
        <w:tc>
          <w:tcPr>
            <w:tcW w:w="1702"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c>
          <w:tcPr>
            <w:tcW w:w="50" w:type="pct"/>
            <w:vAlign w:val="center"/>
            <w:hideMark/>
          </w:tcPr>
          <w:p w:rsidR="00000000" w:rsidRDefault="001F1FC8">
            <w:pPr>
              <w:rPr>
                <w:rFonts w:eastAsia="Times New Roman"/>
                <w:sz w:val="20"/>
                <w:szCs w:val="20"/>
              </w:rPr>
            </w:pPr>
          </w:p>
        </w:tc>
        <w:tc>
          <w:tcPr>
            <w:tcW w:w="466"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c>
          <w:tcPr>
            <w:tcW w:w="50" w:type="pct"/>
            <w:vAlign w:val="center"/>
            <w:hideMark/>
          </w:tcPr>
          <w:p w:rsidR="00000000" w:rsidRDefault="001F1FC8">
            <w:pPr>
              <w:rPr>
                <w:rFonts w:eastAsia="Times New Roman"/>
                <w:sz w:val="20"/>
                <w:szCs w:val="20"/>
              </w:rPr>
            </w:pPr>
          </w:p>
        </w:tc>
        <w:tc>
          <w:tcPr>
            <w:tcW w:w="466"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c>
          <w:tcPr>
            <w:tcW w:w="50" w:type="pct"/>
            <w:vAlign w:val="center"/>
            <w:hideMark/>
          </w:tcPr>
          <w:p w:rsidR="00000000" w:rsidRDefault="001F1FC8">
            <w:pPr>
              <w:rPr>
                <w:rFonts w:eastAsia="Times New Roman"/>
                <w:sz w:val="20"/>
                <w:szCs w:val="20"/>
              </w:rPr>
            </w:pPr>
          </w:p>
        </w:tc>
        <w:tc>
          <w:tcPr>
            <w:tcW w:w="530"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c>
          <w:tcPr>
            <w:tcW w:w="50" w:type="pct"/>
            <w:vAlign w:val="center"/>
            <w:hideMark/>
          </w:tcPr>
          <w:p w:rsidR="00000000" w:rsidRDefault="001F1FC8">
            <w:pPr>
              <w:rPr>
                <w:rFonts w:eastAsia="Times New Roman"/>
                <w:sz w:val="20"/>
                <w:szCs w:val="20"/>
              </w:rPr>
            </w:pPr>
          </w:p>
        </w:tc>
        <w:tc>
          <w:tcPr>
            <w:tcW w:w="466"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c>
          <w:tcPr>
            <w:tcW w:w="50" w:type="pct"/>
            <w:vAlign w:val="center"/>
            <w:hideMark/>
          </w:tcPr>
          <w:p w:rsidR="00000000" w:rsidRDefault="001F1FC8">
            <w:pPr>
              <w:rPr>
                <w:rFonts w:eastAsia="Times New Roman"/>
                <w:sz w:val="20"/>
                <w:szCs w:val="20"/>
              </w:rPr>
            </w:pPr>
          </w:p>
        </w:tc>
        <w:tc>
          <w:tcPr>
            <w:tcW w:w="530"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c>
          <w:tcPr>
            <w:tcW w:w="50" w:type="pct"/>
            <w:vAlign w:val="center"/>
            <w:hideMark/>
          </w:tcPr>
          <w:p w:rsidR="00000000" w:rsidRDefault="001F1FC8">
            <w:pPr>
              <w:rPr>
                <w:rFonts w:eastAsia="Times New Roman"/>
                <w:sz w:val="20"/>
                <w:szCs w:val="20"/>
              </w:rPr>
            </w:pPr>
          </w:p>
        </w:tc>
        <w:tc>
          <w:tcPr>
            <w:tcW w:w="450"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r>
      <w:tr w:rsidR="00000000">
        <w:trPr>
          <w:divId w:val="723913678"/>
        </w:trPr>
        <w:tc>
          <w:tcPr>
            <w:tcW w:w="0" w:type="auto"/>
            <w:gridSpan w:val="3"/>
            <w:tcMar>
              <w:top w:w="0" w:type="dxa"/>
              <w:left w:w="20" w:type="dxa"/>
              <w:bottom w:w="0" w:type="dxa"/>
              <w:right w:w="20" w:type="dxa"/>
            </w:tcMar>
            <w:vAlign w:val="center"/>
            <w:hideMark/>
          </w:tcPr>
          <w:p w:rsidR="00000000" w:rsidRDefault="001F1FC8">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Cash Flow</w:t>
            </w:r>
          </w:p>
          <w:p w:rsidR="00000000" w:rsidRDefault="001F1FC8">
            <w:pPr>
              <w:jc w:val="right"/>
              <w:rPr>
                <w:rFonts w:eastAsia="Times New Roman"/>
              </w:rPr>
            </w:pPr>
            <w:r>
              <w:rPr>
                <w:rFonts w:ascii="Arial" w:eastAsia="Times New Roman" w:hAnsi="Arial" w:cs="Arial"/>
                <w:color w:val="000000"/>
                <w:sz w:val="16"/>
                <w:szCs w:val="16"/>
              </w:rPr>
              <w:t>Hedges</w:t>
            </w:r>
          </w:p>
        </w:tc>
        <w:tc>
          <w:tcPr>
            <w:tcW w:w="0" w:type="auto"/>
            <w:gridSpan w:val="3"/>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Net</w:t>
            </w:r>
          </w:p>
          <w:p w:rsidR="00000000" w:rsidRDefault="001F1FC8">
            <w:pPr>
              <w:jc w:val="right"/>
              <w:rPr>
                <w:rFonts w:eastAsia="Times New Roman"/>
              </w:rPr>
            </w:pPr>
            <w:r>
              <w:rPr>
                <w:rFonts w:ascii="Arial" w:eastAsia="Times New Roman" w:hAnsi="Arial" w:cs="Arial"/>
                <w:color w:val="000000"/>
                <w:sz w:val="16"/>
                <w:szCs w:val="16"/>
              </w:rPr>
              <w:t>Investment</w:t>
            </w:r>
          </w:p>
          <w:p w:rsidR="00000000" w:rsidRDefault="001F1FC8">
            <w:pPr>
              <w:jc w:val="right"/>
              <w:rPr>
                <w:rFonts w:eastAsia="Times New Roman"/>
              </w:rPr>
            </w:pPr>
            <w:r>
              <w:rPr>
                <w:rFonts w:ascii="Arial" w:eastAsia="Times New Roman" w:hAnsi="Arial" w:cs="Arial"/>
                <w:color w:val="000000"/>
                <w:sz w:val="16"/>
                <w:szCs w:val="16"/>
              </w:rPr>
              <w:t>Hedges</w:t>
            </w:r>
          </w:p>
        </w:tc>
        <w:tc>
          <w:tcPr>
            <w:tcW w:w="0" w:type="auto"/>
            <w:gridSpan w:val="3"/>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Cumulative</w:t>
            </w:r>
          </w:p>
          <w:p w:rsidR="00000000" w:rsidRDefault="001F1FC8">
            <w:pPr>
              <w:jc w:val="right"/>
              <w:rPr>
                <w:rFonts w:eastAsia="Times New Roman"/>
              </w:rPr>
            </w:pPr>
            <w:r>
              <w:rPr>
                <w:rFonts w:ascii="Arial" w:eastAsia="Times New Roman" w:hAnsi="Arial" w:cs="Arial"/>
                <w:color w:val="000000"/>
                <w:sz w:val="16"/>
                <w:szCs w:val="16"/>
              </w:rPr>
              <w:t>Translation</w:t>
            </w:r>
          </w:p>
          <w:p w:rsidR="00000000" w:rsidRDefault="001F1FC8">
            <w:pPr>
              <w:jc w:val="right"/>
              <w:rPr>
                <w:rFonts w:eastAsia="Times New Roman"/>
              </w:rPr>
            </w:pPr>
            <w:r>
              <w:rPr>
                <w:rFonts w:ascii="Arial" w:eastAsia="Times New Roman" w:hAnsi="Arial" w:cs="Arial"/>
                <w:color w:val="000000"/>
                <w:sz w:val="16"/>
                <w:szCs w:val="16"/>
              </w:rPr>
              <w:t>Adjustment</w:t>
            </w:r>
          </w:p>
        </w:tc>
        <w:tc>
          <w:tcPr>
            <w:tcW w:w="0" w:type="auto"/>
            <w:gridSpan w:val="3"/>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Equity</w:t>
            </w:r>
          </w:p>
          <w:p w:rsidR="00000000" w:rsidRDefault="001F1FC8">
            <w:pPr>
              <w:jc w:val="right"/>
              <w:rPr>
                <w:rFonts w:eastAsia="Times New Roman"/>
              </w:rPr>
            </w:pPr>
            <w:r>
              <w:rPr>
                <w:rFonts w:ascii="Arial" w:eastAsia="Times New Roman" w:hAnsi="Arial" w:cs="Arial"/>
                <w:color w:val="000000"/>
                <w:sz w:val="16"/>
                <w:szCs w:val="16"/>
              </w:rPr>
              <w:t>Investees</w:t>
            </w:r>
          </w:p>
        </w:tc>
        <w:tc>
          <w:tcPr>
            <w:tcW w:w="0" w:type="auto"/>
            <w:gridSpan w:val="3"/>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Pension and</w:t>
            </w:r>
          </w:p>
          <w:p w:rsidR="00000000" w:rsidRDefault="001F1FC8">
            <w:pPr>
              <w:jc w:val="right"/>
              <w:rPr>
                <w:rFonts w:eastAsia="Times New Roman"/>
              </w:rPr>
            </w:pPr>
            <w:r>
              <w:rPr>
                <w:rFonts w:ascii="Arial" w:eastAsia="Times New Roman" w:hAnsi="Arial" w:cs="Arial"/>
                <w:color w:val="000000"/>
                <w:sz w:val="16"/>
                <w:szCs w:val="16"/>
              </w:rPr>
              <w:t>OPEB</w:t>
            </w:r>
          </w:p>
          <w:p w:rsidR="00000000" w:rsidRDefault="001F1FC8">
            <w:pPr>
              <w:jc w:val="right"/>
              <w:rPr>
                <w:rFonts w:eastAsia="Times New Roman"/>
              </w:rPr>
            </w:pPr>
            <w:r>
              <w:rPr>
                <w:rFonts w:ascii="Arial" w:eastAsia="Times New Roman" w:hAnsi="Arial" w:cs="Arial"/>
                <w:color w:val="000000"/>
                <w:sz w:val="16"/>
                <w:szCs w:val="16"/>
              </w:rPr>
              <w:t>Adjustment</w:t>
            </w:r>
          </w:p>
        </w:tc>
        <w:tc>
          <w:tcPr>
            <w:tcW w:w="0" w:type="auto"/>
            <w:gridSpan w:val="3"/>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Total</w:t>
            </w:r>
          </w:p>
        </w:tc>
      </w:tr>
      <w:tr w:rsidR="00000000">
        <w:trPr>
          <w:divId w:val="723913678"/>
        </w:trPr>
        <w:tc>
          <w:tcPr>
            <w:tcW w:w="0" w:type="auto"/>
            <w:gridSpan w:val="3"/>
            <w:tcBorders>
              <w:top w:val="single" w:sz="4" w:space="0" w:color="000000"/>
            </w:tcBorders>
            <w:tcMar>
              <w:top w:w="30" w:type="dxa"/>
              <w:left w:w="20" w:type="dxa"/>
              <w:bottom w:w="30" w:type="dxa"/>
              <w:right w:w="20" w:type="dxa"/>
            </w:tcMar>
            <w:hideMark/>
          </w:tcPr>
          <w:p w:rsidR="00000000" w:rsidRDefault="001F1FC8">
            <w:pPr>
              <w:rPr>
                <w:rFonts w:eastAsia="Times New Roman"/>
              </w:rPr>
            </w:pPr>
            <w:r>
              <w:rPr>
                <w:rFonts w:ascii="Arial" w:eastAsia="Times New Roman" w:hAnsi="Arial" w:cs="Arial"/>
                <w:i/>
                <w:iCs/>
                <w:color w:val="000000"/>
                <w:sz w:val="16"/>
                <w:szCs w:val="16"/>
              </w:rPr>
              <w:t>(millions of Canadian dollars)</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1F1FC8">
            <w:pPr>
              <w:rPr>
                <w:rFonts w:eastAsia="Times New Roman"/>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1F1FC8">
            <w:pPr>
              <w:rPr>
                <w:rFonts w:eastAsia="Times New Roman"/>
                <w:sz w:val="20"/>
                <w:szCs w:val="20"/>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1F1FC8">
            <w:pPr>
              <w:rPr>
                <w:rFonts w:eastAsia="Times New Roman"/>
                <w:sz w:val="20"/>
                <w:szCs w:val="20"/>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1F1FC8">
            <w:pPr>
              <w:rPr>
                <w:rFonts w:eastAsia="Times New Roman"/>
                <w:sz w:val="20"/>
                <w:szCs w:val="20"/>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1F1FC8">
            <w:pPr>
              <w:rPr>
                <w:rFonts w:eastAsia="Times New Roman"/>
                <w:sz w:val="20"/>
                <w:szCs w:val="20"/>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1F1FC8">
            <w:pPr>
              <w:rPr>
                <w:rFonts w:eastAsia="Times New Roman"/>
                <w:sz w:val="20"/>
                <w:szCs w:val="20"/>
              </w:rPr>
            </w:pPr>
          </w:p>
        </w:tc>
      </w:tr>
      <w:tr w:rsidR="00000000">
        <w:trPr>
          <w:divId w:val="723913678"/>
        </w:trPr>
        <w:tc>
          <w:tcPr>
            <w:tcW w:w="0" w:type="auto"/>
            <w:gridSpan w:val="3"/>
            <w:tcMar>
              <w:top w:w="30" w:type="dxa"/>
              <w:left w:w="20" w:type="dxa"/>
              <w:bottom w:w="30" w:type="dxa"/>
              <w:right w:w="20" w:type="dxa"/>
            </w:tcMar>
            <w:vAlign w:val="center"/>
            <w:hideMark/>
          </w:tcPr>
          <w:p w:rsidR="00000000" w:rsidRDefault="001F1FC8">
            <w:pPr>
              <w:rPr>
                <w:rFonts w:eastAsia="Times New Roman"/>
              </w:rPr>
            </w:pPr>
            <w:r>
              <w:rPr>
                <w:rFonts w:ascii="Arial" w:eastAsia="Times New Roman" w:hAnsi="Arial" w:cs="Arial"/>
                <w:color w:val="000000"/>
                <w:sz w:val="16"/>
                <w:szCs w:val="16"/>
              </w:rPr>
              <w:t>Balance at January 1, 2019</w:t>
            </w:r>
          </w:p>
        </w:tc>
        <w:tc>
          <w:tcPr>
            <w:tcW w:w="0" w:type="auto"/>
            <w:gridSpan w:val="2"/>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16"/>
                <w:szCs w:val="16"/>
              </w:rPr>
              <w:t>(770)</w:t>
            </w:r>
          </w:p>
        </w:tc>
        <w:tc>
          <w:tcPr>
            <w:tcW w:w="0" w:type="auto"/>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16"/>
                <w:szCs w:val="16"/>
              </w:rPr>
              <w:t>(598)</w:t>
            </w:r>
          </w:p>
        </w:tc>
        <w:tc>
          <w:tcPr>
            <w:tcW w:w="0" w:type="auto"/>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16"/>
                <w:szCs w:val="16"/>
              </w:rPr>
              <w:t>4,323 </w:t>
            </w:r>
          </w:p>
        </w:tc>
        <w:tc>
          <w:tcPr>
            <w:tcW w:w="0" w:type="auto"/>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16"/>
                <w:szCs w:val="16"/>
              </w:rPr>
              <w:t>34 </w:t>
            </w:r>
          </w:p>
        </w:tc>
        <w:tc>
          <w:tcPr>
            <w:tcW w:w="0" w:type="auto"/>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16"/>
                <w:szCs w:val="16"/>
              </w:rPr>
              <w:t>(317)</w:t>
            </w:r>
          </w:p>
        </w:tc>
        <w:tc>
          <w:tcPr>
            <w:tcW w:w="0" w:type="auto"/>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16"/>
                <w:szCs w:val="16"/>
              </w:rPr>
              <w:t>2,672 </w:t>
            </w:r>
          </w:p>
        </w:tc>
        <w:tc>
          <w:tcPr>
            <w:tcW w:w="0" w:type="auto"/>
            <w:tcMar>
              <w:top w:w="30" w:type="dxa"/>
              <w:left w:w="0" w:type="dxa"/>
              <w:bottom w:w="30" w:type="dxa"/>
              <w:right w:w="20" w:type="dxa"/>
            </w:tcMar>
            <w:vAlign w:val="center"/>
            <w:hideMark/>
          </w:tcPr>
          <w:p w:rsidR="00000000" w:rsidRDefault="001F1FC8">
            <w:pPr>
              <w:jc w:val="right"/>
              <w:rPr>
                <w:rFonts w:eastAsia="Times New Roman"/>
              </w:rPr>
            </w:pPr>
          </w:p>
        </w:tc>
      </w:tr>
      <w:tr w:rsidR="00000000">
        <w:trPr>
          <w:divId w:val="723913678"/>
        </w:trPr>
        <w:tc>
          <w:tcPr>
            <w:tcW w:w="0" w:type="auto"/>
            <w:gridSpan w:val="3"/>
            <w:tcMar>
              <w:top w:w="30" w:type="dxa"/>
              <w:left w:w="20" w:type="dxa"/>
              <w:bottom w:w="30" w:type="dxa"/>
              <w:right w:w="20" w:type="dxa"/>
            </w:tcMar>
            <w:vAlign w:val="center"/>
            <w:hideMark/>
          </w:tcPr>
          <w:p w:rsidR="00000000" w:rsidRDefault="001F1FC8">
            <w:pPr>
              <w:ind w:hanging="180"/>
              <w:divId w:val="2100056270"/>
              <w:rPr>
                <w:rFonts w:eastAsia="Times New Roman"/>
              </w:rPr>
            </w:pPr>
            <w:r>
              <w:rPr>
                <w:rFonts w:ascii="Arial" w:eastAsia="Times New Roman" w:hAnsi="Arial" w:cs="Arial"/>
                <w:color w:val="000000"/>
                <w:sz w:val="16"/>
                <w:szCs w:val="16"/>
              </w:rPr>
              <w:t>Other comprehensive income/(loss) retained in AOCI</w:t>
            </w: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(599)</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320 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(2,927)</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34 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(124)</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(3,296)</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r>
      <w:tr w:rsidR="00000000">
        <w:trPr>
          <w:divId w:val="723913678"/>
        </w:trPr>
        <w:tc>
          <w:tcPr>
            <w:tcW w:w="0" w:type="auto"/>
            <w:gridSpan w:val="3"/>
            <w:tcMar>
              <w:top w:w="30" w:type="dxa"/>
              <w:left w:w="200" w:type="dxa"/>
              <w:bottom w:w="30" w:type="dxa"/>
              <w:right w:w="20" w:type="dxa"/>
            </w:tcMar>
            <w:vAlign w:val="center"/>
            <w:hideMark/>
          </w:tcPr>
          <w:p w:rsidR="00000000" w:rsidRDefault="001F1FC8">
            <w:pPr>
              <w:ind w:hanging="180"/>
              <w:rPr>
                <w:rFonts w:eastAsia="Times New Roman"/>
              </w:rPr>
            </w:pPr>
            <w:r>
              <w:rPr>
                <w:rFonts w:ascii="Arial" w:eastAsia="Times New Roman" w:hAnsi="Arial" w:cs="Arial"/>
                <w:color w:val="000000"/>
                <w:sz w:val="16"/>
                <w:szCs w:val="16"/>
              </w:rPr>
              <w:t>Other comprehensive (income)/loss reclassified to earnings</w:t>
            </w:r>
          </w:p>
        </w:tc>
        <w:tc>
          <w:tcPr>
            <w:tcW w:w="0" w:type="auto"/>
            <w:gridSpan w:val="3"/>
            <w:tcMar>
              <w:top w:w="0" w:type="dxa"/>
              <w:left w:w="20" w:type="dxa"/>
              <w:bottom w:w="0" w:type="dxa"/>
              <w:right w:w="20" w:type="dxa"/>
            </w:tcMar>
            <w:vAlign w:val="center"/>
            <w:hideMark/>
          </w:tcPr>
          <w:p w:rsidR="00000000" w:rsidRDefault="001F1FC8">
            <w:pPr>
              <w:ind w:hanging="180"/>
              <w:rPr>
                <w:rFonts w:eastAsia="Times New Roman"/>
              </w:rPr>
            </w:pPr>
          </w:p>
        </w:tc>
        <w:tc>
          <w:tcPr>
            <w:tcW w:w="0" w:type="auto"/>
            <w:gridSpan w:val="3"/>
            <w:tcMar>
              <w:top w:w="0" w:type="dxa"/>
              <w:left w:w="20" w:type="dxa"/>
              <w:bottom w:w="0" w:type="dxa"/>
              <w:right w:w="20" w:type="dxa"/>
            </w:tcMar>
            <w:vAlign w:val="center"/>
            <w:hideMark/>
          </w:tcPr>
          <w:p w:rsidR="00000000" w:rsidRDefault="001F1FC8">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1F1FC8">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1F1FC8">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1F1FC8">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1F1FC8">
            <w:pPr>
              <w:rPr>
                <w:rFonts w:eastAsia="Times New Roman"/>
                <w:sz w:val="20"/>
                <w:szCs w:val="20"/>
              </w:rPr>
            </w:pPr>
          </w:p>
        </w:tc>
      </w:tr>
      <w:tr w:rsidR="00000000">
        <w:trPr>
          <w:divId w:val="723913678"/>
        </w:trPr>
        <w:tc>
          <w:tcPr>
            <w:tcW w:w="0" w:type="auto"/>
            <w:gridSpan w:val="3"/>
            <w:tcMar>
              <w:top w:w="30" w:type="dxa"/>
              <w:left w:w="20" w:type="dxa"/>
              <w:bottom w:w="30" w:type="dxa"/>
              <w:right w:w="20" w:type="dxa"/>
            </w:tcMar>
            <w:vAlign w:val="center"/>
            <w:hideMark/>
          </w:tcPr>
          <w:p w:rsidR="00000000" w:rsidRDefault="001F1FC8">
            <w:pPr>
              <w:ind w:firstLine="180"/>
              <w:divId w:val="424036438"/>
              <w:rPr>
                <w:rFonts w:eastAsia="Times New Roman"/>
              </w:rPr>
            </w:pPr>
            <w:r>
              <w:rPr>
                <w:rFonts w:ascii="Arial" w:eastAsia="Times New Roman" w:hAnsi="Arial" w:cs="Arial"/>
                <w:color w:val="000000"/>
                <w:sz w:val="16"/>
                <w:szCs w:val="16"/>
              </w:rPr>
              <w:t>Interest rate contract</w:t>
            </w:r>
            <w:r>
              <w:rPr>
                <w:rFonts w:ascii="Arial" w:eastAsia="Times New Roman" w:hAnsi="Arial" w:cs="Arial"/>
                <w:color w:val="000000"/>
                <w:sz w:val="16"/>
                <w:szCs w:val="16"/>
              </w:rPr>
              <w:t>s</w:t>
            </w:r>
            <w:r>
              <w:rPr>
                <w:rFonts w:ascii="Arial" w:eastAsia="Times New Roman" w:hAnsi="Arial" w:cs="Arial"/>
                <w:color w:val="000000"/>
                <w:sz w:val="9"/>
                <w:szCs w:val="9"/>
              </w:rPr>
              <w:t>1</w:t>
            </w:r>
          </w:p>
        </w:tc>
        <w:tc>
          <w:tcPr>
            <w:tcW w:w="0" w:type="auto"/>
            <w:gridSpan w:val="2"/>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16"/>
                <w:szCs w:val="16"/>
              </w:rPr>
              <w:t>157 </w:t>
            </w:r>
          </w:p>
        </w:tc>
        <w:tc>
          <w:tcPr>
            <w:tcW w:w="0" w:type="auto"/>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16"/>
                <w:szCs w:val="16"/>
              </w:rPr>
              <w:t>157 </w:t>
            </w:r>
          </w:p>
        </w:tc>
        <w:tc>
          <w:tcPr>
            <w:tcW w:w="0" w:type="auto"/>
            <w:tcMar>
              <w:top w:w="30" w:type="dxa"/>
              <w:left w:w="0" w:type="dxa"/>
              <w:bottom w:w="30" w:type="dxa"/>
              <w:right w:w="20" w:type="dxa"/>
            </w:tcMar>
            <w:vAlign w:val="center"/>
            <w:hideMark/>
          </w:tcPr>
          <w:p w:rsidR="00000000" w:rsidRDefault="001F1FC8">
            <w:pPr>
              <w:jc w:val="right"/>
              <w:rPr>
                <w:rFonts w:eastAsia="Times New Roman"/>
              </w:rPr>
            </w:pPr>
          </w:p>
        </w:tc>
      </w:tr>
      <w:tr w:rsidR="00000000">
        <w:trPr>
          <w:divId w:val="723913678"/>
        </w:trPr>
        <w:tc>
          <w:tcPr>
            <w:tcW w:w="0" w:type="auto"/>
            <w:gridSpan w:val="3"/>
            <w:tcMar>
              <w:top w:w="30" w:type="dxa"/>
              <w:left w:w="20" w:type="dxa"/>
              <w:bottom w:w="30" w:type="dxa"/>
              <w:right w:w="20" w:type="dxa"/>
            </w:tcMar>
            <w:vAlign w:val="center"/>
            <w:hideMark/>
          </w:tcPr>
          <w:p w:rsidR="00000000" w:rsidRDefault="001F1FC8">
            <w:pPr>
              <w:ind w:firstLine="180"/>
              <w:divId w:val="937833246"/>
              <w:rPr>
                <w:rFonts w:eastAsia="Times New Roman"/>
              </w:rPr>
            </w:pPr>
            <w:r>
              <w:rPr>
                <w:rFonts w:ascii="Arial" w:eastAsia="Times New Roman" w:hAnsi="Arial" w:cs="Arial"/>
                <w:color w:val="000000"/>
                <w:sz w:val="16"/>
                <w:szCs w:val="16"/>
              </w:rPr>
              <w:t>Commodity contract</w:t>
            </w:r>
            <w:r>
              <w:rPr>
                <w:rFonts w:ascii="Arial" w:eastAsia="Times New Roman" w:hAnsi="Arial" w:cs="Arial"/>
                <w:color w:val="000000"/>
                <w:sz w:val="16"/>
                <w:szCs w:val="16"/>
              </w:rPr>
              <w:t>s</w:t>
            </w:r>
            <w:r>
              <w:rPr>
                <w:rFonts w:ascii="Arial" w:eastAsia="Times New Roman" w:hAnsi="Arial" w:cs="Arial"/>
                <w:color w:val="000000"/>
                <w:sz w:val="9"/>
                <w:szCs w:val="9"/>
              </w:rPr>
              <w:t>2</w:t>
            </w:r>
          </w:p>
        </w:tc>
        <w:tc>
          <w:tcPr>
            <w:tcW w:w="0" w:type="auto"/>
            <w:gridSpan w:val="2"/>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16"/>
                <w:szCs w:val="16"/>
              </w:rPr>
              <w:t>(1)</w:t>
            </w:r>
          </w:p>
        </w:tc>
        <w:tc>
          <w:tcPr>
            <w:tcW w:w="0" w:type="auto"/>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16"/>
                <w:szCs w:val="16"/>
              </w:rPr>
              <w:t>(1)</w:t>
            </w:r>
          </w:p>
        </w:tc>
        <w:tc>
          <w:tcPr>
            <w:tcW w:w="0" w:type="auto"/>
            <w:tcMar>
              <w:top w:w="30" w:type="dxa"/>
              <w:left w:w="0" w:type="dxa"/>
              <w:bottom w:w="30" w:type="dxa"/>
              <w:right w:w="20" w:type="dxa"/>
            </w:tcMar>
            <w:vAlign w:val="center"/>
            <w:hideMark/>
          </w:tcPr>
          <w:p w:rsidR="00000000" w:rsidRDefault="001F1FC8">
            <w:pPr>
              <w:jc w:val="right"/>
              <w:rPr>
                <w:rFonts w:eastAsia="Times New Roman"/>
              </w:rPr>
            </w:pPr>
          </w:p>
        </w:tc>
      </w:tr>
      <w:tr w:rsidR="00000000">
        <w:trPr>
          <w:divId w:val="723913678"/>
        </w:trPr>
        <w:tc>
          <w:tcPr>
            <w:tcW w:w="0" w:type="auto"/>
            <w:gridSpan w:val="3"/>
            <w:tcMar>
              <w:top w:w="30" w:type="dxa"/>
              <w:left w:w="20" w:type="dxa"/>
              <w:bottom w:w="30" w:type="dxa"/>
              <w:right w:w="20" w:type="dxa"/>
            </w:tcMar>
            <w:vAlign w:val="center"/>
            <w:hideMark/>
          </w:tcPr>
          <w:p w:rsidR="00000000" w:rsidRDefault="001F1FC8">
            <w:pPr>
              <w:ind w:firstLine="180"/>
              <w:divId w:val="787234103"/>
              <w:rPr>
                <w:rFonts w:eastAsia="Times New Roman"/>
              </w:rPr>
            </w:pPr>
            <w:r>
              <w:rPr>
                <w:rFonts w:ascii="Arial" w:eastAsia="Times New Roman" w:hAnsi="Arial" w:cs="Arial"/>
                <w:color w:val="000000"/>
                <w:sz w:val="16"/>
                <w:szCs w:val="16"/>
              </w:rPr>
              <w:t>Foreign exchange contract</w:t>
            </w:r>
            <w:r>
              <w:rPr>
                <w:rFonts w:ascii="Arial" w:eastAsia="Times New Roman" w:hAnsi="Arial" w:cs="Arial"/>
                <w:color w:val="000000"/>
                <w:sz w:val="16"/>
                <w:szCs w:val="16"/>
              </w:rPr>
              <w:t>s</w:t>
            </w:r>
            <w:r>
              <w:rPr>
                <w:rFonts w:ascii="Arial" w:eastAsia="Times New Roman" w:hAnsi="Arial" w:cs="Arial"/>
                <w:color w:val="000000"/>
                <w:sz w:val="9"/>
                <w:szCs w:val="9"/>
              </w:rPr>
              <w:t>3</w:t>
            </w:r>
          </w:p>
        </w:tc>
        <w:tc>
          <w:tcPr>
            <w:tcW w:w="0" w:type="auto"/>
            <w:gridSpan w:val="2"/>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16"/>
                <w:szCs w:val="16"/>
              </w:rPr>
              <w:t>5 </w:t>
            </w:r>
          </w:p>
        </w:tc>
        <w:tc>
          <w:tcPr>
            <w:tcW w:w="0" w:type="auto"/>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16"/>
                <w:szCs w:val="16"/>
              </w:rPr>
              <w:t>5 </w:t>
            </w:r>
          </w:p>
        </w:tc>
        <w:tc>
          <w:tcPr>
            <w:tcW w:w="0" w:type="auto"/>
            <w:tcMar>
              <w:top w:w="30" w:type="dxa"/>
              <w:left w:w="0" w:type="dxa"/>
              <w:bottom w:w="30" w:type="dxa"/>
              <w:right w:w="20" w:type="dxa"/>
            </w:tcMar>
            <w:vAlign w:val="center"/>
            <w:hideMark/>
          </w:tcPr>
          <w:p w:rsidR="00000000" w:rsidRDefault="001F1FC8">
            <w:pPr>
              <w:jc w:val="right"/>
              <w:rPr>
                <w:rFonts w:eastAsia="Times New Roman"/>
              </w:rPr>
            </w:pPr>
          </w:p>
        </w:tc>
      </w:tr>
      <w:tr w:rsidR="00000000">
        <w:trPr>
          <w:divId w:val="723913678"/>
        </w:trPr>
        <w:tc>
          <w:tcPr>
            <w:tcW w:w="0" w:type="auto"/>
            <w:gridSpan w:val="3"/>
            <w:tcMar>
              <w:top w:w="30" w:type="dxa"/>
              <w:left w:w="20" w:type="dxa"/>
              <w:bottom w:w="30" w:type="dxa"/>
              <w:right w:w="20" w:type="dxa"/>
            </w:tcMar>
            <w:vAlign w:val="center"/>
            <w:hideMark/>
          </w:tcPr>
          <w:p w:rsidR="00000000" w:rsidRDefault="001F1FC8">
            <w:pPr>
              <w:ind w:firstLine="180"/>
              <w:divId w:val="245388585"/>
              <w:rPr>
                <w:rFonts w:eastAsia="Times New Roman"/>
              </w:rPr>
            </w:pPr>
            <w:r>
              <w:rPr>
                <w:rFonts w:ascii="Arial" w:eastAsia="Times New Roman" w:hAnsi="Arial" w:cs="Arial"/>
                <w:color w:val="000000"/>
                <w:sz w:val="16"/>
                <w:szCs w:val="16"/>
              </w:rPr>
              <w:t>Other contract</w:t>
            </w:r>
            <w:r>
              <w:rPr>
                <w:rFonts w:ascii="Arial" w:eastAsia="Times New Roman" w:hAnsi="Arial" w:cs="Arial"/>
                <w:color w:val="000000"/>
                <w:sz w:val="16"/>
                <w:szCs w:val="16"/>
              </w:rPr>
              <w:t>s</w:t>
            </w:r>
            <w:r>
              <w:rPr>
                <w:rFonts w:ascii="Arial" w:eastAsia="Times New Roman" w:hAnsi="Arial" w:cs="Arial"/>
                <w:color w:val="000000"/>
                <w:sz w:val="9"/>
                <w:szCs w:val="9"/>
              </w:rPr>
              <w:t>4</w:t>
            </w:r>
          </w:p>
        </w:tc>
        <w:tc>
          <w:tcPr>
            <w:tcW w:w="0" w:type="auto"/>
            <w:gridSpan w:val="2"/>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16"/>
                <w:szCs w:val="16"/>
              </w:rPr>
              <w:t>(3)</w:t>
            </w:r>
          </w:p>
        </w:tc>
        <w:tc>
          <w:tcPr>
            <w:tcW w:w="0" w:type="auto"/>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16"/>
                <w:szCs w:val="16"/>
              </w:rPr>
              <w:t>(3)</w:t>
            </w:r>
          </w:p>
        </w:tc>
        <w:tc>
          <w:tcPr>
            <w:tcW w:w="0" w:type="auto"/>
            <w:tcMar>
              <w:top w:w="30" w:type="dxa"/>
              <w:left w:w="0" w:type="dxa"/>
              <w:bottom w:w="30" w:type="dxa"/>
              <w:right w:w="20" w:type="dxa"/>
            </w:tcMar>
            <w:vAlign w:val="center"/>
            <w:hideMark/>
          </w:tcPr>
          <w:p w:rsidR="00000000" w:rsidRDefault="001F1FC8">
            <w:pPr>
              <w:jc w:val="right"/>
              <w:rPr>
                <w:rFonts w:eastAsia="Times New Roman"/>
              </w:rPr>
            </w:pPr>
          </w:p>
        </w:tc>
      </w:tr>
      <w:tr w:rsidR="00000000">
        <w:trPr>
          <w:divId w:val="723913678"/>
        </w:trPr>
        <w:tc>
          <w:tcPr>
            <w:tcW w:w="0" w:type="auto"/>
            <w:gridSpan w:val="3"/>
            <w:tcMar>
              <w:top w:w="30" w:type="dxa"/>
              <w:left w:w="20" w:type="dxa"/>
              <w:bottom w:w="30" w:type="dxa"/>
              <w:right w:w="20" w:type="dxa"/>
            </w:tcMar>
            <w:vAlign w:val="center"/>
            <w:hideMark/>
          </w:tcPr>
          <w:p w:rsidR="00000000" w:rsidRDefault="001F1FC8">
            <w:pPr>
              <w:ind w:hanging="180"/>
              <w:divId w:val="626743058"/>
              <w:rPr>
                <w:rFonts w:eastAsia="Times New Roman"/>
              </w:rPr>
            </w:pPr>
            <w:r>
              <w:rPr>
                <w:rFonts w:ascii="Arial" w:eastAsia="Times New Roman" w:hAnsi="Arial" w:cs="Arial"/>
                <w:color w:val="000000"/>
                <w:sz w:val="16"/>
                <w:szCs w:val="16"/>
              </w:rPr>
              <w:t> </w:t>
            </w:r>
            <w:r>
              <w:rPr>
                <w:rFonts w:ascii="Arial" w:eastAsia="Times New Roman" w:hAnsi="Arial" w:cs="Arial"/>
                <w:color w:val="000000"/>
                <w:sz w:val="16"/>
                <w:szCs w:val="16"/>
              </w:rPr>
              <w:t>Amortization of pension and OPEB actuarial loss and prior service cost</w:t>
            </w:r>
            <w:r>
              <w:rPr>
                <w:rFonts w:ascii="Arial" w:eastAsia="Times New Roman" w:hAnsi="Arial" w:cs="Arial"/>
                <w:color w:val="000000"/>
                <w:sz w:val="16"/>
                <w:szCs w:val="16"/>
              </w:rPr>
              <w:t>s</w:t>
            </w:r>
            <w:r>
              <w:rPr>
                <w:rFonts w:ascii="Arial" w:eastAsia="Times New Roman" w:hAnsi="Arial" w:cs="Arial"/>
                <w:color w:val="000000"/>
                <w:sz w:val="9"/>
                <w:szCs w:val="9"/>
              </w:rPr>
              <w:t>5</w:t>
            </w: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17 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17 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r>
      <w:tr w:rsidR="00000000">
        <w:trPr>
          <w:divId w:val="723913678"/>
        </w:trPr>
        <w:tc>
          <w:tcPr>
            <w:tcW w:w="0" w:type="auto"/>
            <w:gridSpan w:val="3"/>
            <w:vAlign w:val="center"/>
            <w:hideMark/>
          </w:tcPr>
          <w:p w:rsidR="00000000" w:rsidRDefault="001F1FC8">
            <w:pPr>
              <w:jc w:val="right"/>
              <w:rPr>
                <w:rFonts w:eastAsia="Times New Roman"/>
                <w:sz w:val="20"/>
                <w:szCs w:val="20"/>
              </w:rPr>
            </w:pPr>
          </w:p>
        </w:tc>
        <w:tc>
          <w:tcPr>
            <w:tcW w:w="0" w:type="auto"/>
            <w:gridSpan w:val="3"/>
            <w:vAlign w:val="center"/>
            <w:hideMark/>
          </w:tcPr>
          <w:p w:rsidR="00000000" w:rsidRDefault="001F1FC8">
            <w:pPr>
              <w:rPr>
                <w:rFonts w:eastAsia="Times New Roman"/>
                <w:sz w:val="20"/>
                <w:szCs w:val="20"/>
              </w:rPr>
            </w:pPr>
          </w:p>
        </w:tc>
        <w:tc>
          <w:tcPr>
            <w:tcW w:w="0" w:type="auto"/>
            <w:gridSpan w:val="3"/>
            <w:vAlign w:val="center"/>
            <w:hideMark/>
          </w:tcPr>
          <w:p w:rsidR="00000000" w:rsidRDefault="001F1FC8">
            <w:pPr>
              <w:rPr>
                <w:rFonts w:eastAsia="Times New Roman"/>
                <w:sz w:val="20"/>
                <w:szCs w:val="20"/>
              </w:rPr>
            </w:pPr>
          </w:p>
        </w:tc>
        <w:tc>
          <w:tcPr>
            <w:tcW w:w="0" w:type="auto"/>
            <w:gridSpan w:val="3"/>
            <w:vAlign w:val="center"/>
            <w:hideMark/>
          </w:tcPr>
          <w:p w:rsidR="00000000" w:rsidRDefault="001F1FC8">
            <w:pPr>
              <w:rPr>
                <w:rFonts w:eastAsia="Times New Roman"/>
                <w:sz w:val="20"/>
                <w:szCs w:val="20"/>
              </w:rPr>
            </w:pPr>
          </w:p>
        </w:tc>
        <w:tc>
          <w:tcPr>
            <w:tcW w:w="0" w:type="auto"/>
            <w:gridSpan w:val="3"/>
            <w:vAlign w:val="center"/>
            <w:hideMark/>
          </w:tcPr>
          <w:p w:rsidR="00000000" w:rsidRDefault="001F1FC8">
            <w:pPr>
              <w:rPr>
                <w:rFonts w:eastAsia="Times New Roman"/>
                <w:sz w:val="20"/>
                <w:szCs w:val="20"/>
              </w:rPr>
            </w:pPr>
          </w:p>
        </w:tc>
        <w:tc>
          <w:tcPr>
            <w:tcW w:w="0" w:type="auto"/>
            <w:gridSpan w:val="3"/>
            <w:vAlign w:val="center"/>
            <w:hideMark/>
          </w:tcPr>
          <w:p w:rsidR="00000000" w:rsidRDefault="001F1FC8">
            <w:pPr>
              <w:rPr>
                <w:rFonts w:eastAsia="Times New Roman"/>
                <w:sz w:val="20"/>
                <w:szCs w:val="20"/>
              </w:rPr>
            </w:pPr>
          </w:p>
        </w:tc>
        <w:tc>
          <w:tcPr>
            <w:tcW w:w="0" w:type="auto"/>
            <w:gridSpan w:val="3"/>
            <w:vAlign w:val="center"/>
            <w:hideMark/>
          </w:tcPr>
          <w:p w:rsidR="00000000" w:rsidRDefault="001F1FC8">
            <w:pPr>
              <w:rPr>
                <w:rFonts w:eastAsia="Times New Roman"/>
                <w:sz w:val="20"/>
                <w:szCs w:val="20"/>
              </w:rPr>
            </w:pPr>
          </w:p>
        </w:tc>
      </w:tr>
      <w:tr w:rsidR="00000000">
        <w:trPr>
          <w:divId w:val="723913678"/>
        </w:trPr>
        <w:tc>
          <w:tcPr>
            <w:tcW w:w="0" w:type="auto"/>
            <w:gridSpan w:val="3"/>
            <w:tcBorders>
              <w:top w:val="single" w:sz="4" w:space="0" w:color="000000"/>
            </w:tcBorders>
            <w:tcMar>
              <w:top w:w="0" w:type="dxa"/>
              <w:left w:w="20" w:type="dxa"/>
              <w:bottom w:w="0" w:type="dxa"/>
              <w:right w:w="20" w:type="dxa"/>
            </w:tcMar>
            <w:vAlign w:val="center"/>
            <w:hideMark/>
          </w:tcPr>
          <w:p w:rsidR="00000000" w:rsidRDefault="001F1FC8">
            <w:pPr>
              <w:rPr>
                <w:rFonts w:eastAsia="Times New Roman"/>
                <w:sz w:val="20"/>
                <w:szCs w:val="20"/>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16"/>
                <w:szCs w:val="16"/>
              </w:rPr>
              <w:t>(441)</w:t>
            </w:r>
          </w:p>
        </w:tc>
        <w:tc>
          <w:tcPr>
            <w:tcW w:w="0" w:type="auto"/>
            <w:tcBorders>
              <w:top w:val="single" w:sz="4" w:space="0" w:color="000000"/>
            </w:tcBorders>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16"/>
                <w:szCs w:val="16"/>
              </w:rPr>
              <w:t>320 </w:t>
            </w:r>
          </w:p>
        </w:tc>
        <w:tc>
          <w:tcPr>
            <w:tcW w:w="0" w:type="auto"/>
            <w:tcBorders>
              <w:top w:val="single" w:sz="4" w:space="0" w:color="000000"/>
            </w:tcBorders>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16"/>
                <w:szCs w:val="16"/>
              </w:rPr>
              <w:t>(2,927)</w:t>
            </w:r>
          </w:p>
        </w:tc>
        <w:tc>
          <w:tcPr>
            <w:tcW w:w="0" w:type="auto"/>
            <w:tcBorders>
              <w:top w:val="single" w:sz="4" w:space="0" w:color="000000"/>
            </w:tcBorders>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16"/>
                <w:szCs w:val="16"/>
              </w:rPr>
              <w:t>34 </w:t>
            </w:r>
          </w:p>
        </w:tc>
        <w:tc>
          <w:tcPr>
            <w:tcW w:w="0" w:type="auto"/>
            <w:tcBorders>
              <w:top w:val="single" w:sz="4" w:space="0" w:color="000000"/>
            </w:tcBorders>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16"/>
                <w:szCs w:val="16"/>
              </w:rPr>
              <w:t>(107)</w:t>
            </w:r>
          </w:p>
        </w:tc>
        <w:tc>
          <w:tcPr>
            <w:tcW w:w="0" w:type="auto"/>
            <w:tcBorders>
              <w:top w:val="single" w:sz="4" w:space="0" w:color="000000"/>
            </w:tcBorders>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16"/>
                <w:szCs w:val="16"/>
              </w:rPr>
              <w:t>(3,121)</w:t>
            </w:r>
          </w:p>
        </w:tc>
        <w:tc>
          <w:tcPr>
            <w:tcW w:w="0" w:type="auto"/>
            <w:tcBorders>
              <w:top w:val="single" w:sz="4" w:space="0" w:color="000000"/>
            </w:tcBorders>
            <w:tcMar>
              <w:top w:w="30" w:type="dxa"/>
              <w:left w:w="0" w:type="dxa"/>
              <w:bottom w:w="30" w:type="dxa"/>
              <w:right w:w="20" w:type="dxa"/>
            </w:tcMar>
            <w:vAlign w:val="center"/>
            <w:hideMark/>
          </w:tcPr>
          <w:p w:rsidR="00000000" w:rsidRDefault="001F1FC8">
            <w:pPr>
              <w:jc w:val="right"/>
              <w:rPr>
                <w:rFonts w:eastAsia="Times New Roman"/>
              </w:rPr>
            </w:pPr>
          </w:p>
        </w:tc>
      </w:tr>
      <w:tr w:rsidR="00000000">
        <w:trPr>
          <w:divId w:val="723913678"/>
        </w:trPr>
        <w:tc>
          <w:tcPr>
            <w:tcW w:w="0" w:type="auto"/>
            <w:gridSpan w:val="3"/>
            <w:tcMar>
              <w:top w:w="30" w:type="dxa"/>
              <w:left w:w="20" w:type="dxa"/>
              <w:bottom w:w="30" w:type="dxa"/>
              <w:right w:w="20" w:type="dxa"/>
            </w:tcMar>
            <w:vAlign w:val="center"/>
            <w:hideMark/>
          </w:tcPr>
          <w:p w:rsidR="00000000" w:rsidRDefault="001F1FC8">
            <w:pPr>
              <w:rPr>
                <w:rFonts w:eastAsia="Times New Roman"/>
              </w:rPr>
            </w:pPr>
            <w:r>
              <w:rPr>
                <w:rFonts w:ascii="Arial" w:eastAsia="Times New Roman" w:hAnsi="Arial" w:cs="Arial"/>
                <w:color w:val="000000"/>
                <w:sz w:val="16"/>
                <w:szCs w:val="16"/>
              </w:rPr>
              <w:t>Tax impact</w:t>
            </w:r>
          </w:p>
        </w:tc>
        <w:tc>
          <w:tcPr>
            <w:tcW w:w="0" w:type="auto"/>
            <w:gridSpan w:val="3"/>
            <w:tcMar>
              <w:top w:w="0" w:type="dxa"/>
              <w:left w:w="20" w:type="dxa"/>
              <w:bottom w:w="0" w:type="dxa"/>
              <w:right w:w="20" w:type="dxa"/>
            </w:tcMar>
            <w:vAlign w:val="center"/>
            <w:hideMark/>
          </w:tcPr>
          <w:p w:rsidR="00000000" w:rsidRDefault="001F1FC8">
            <w:pPr>
              <w:rPr>
                <w:rFonts w:eastAsia="Times New Roman"/>
              </w:rPr>
            </w:pPr>
          </w:p>
        </w:tc>
        <w:tc>
          <w:tcPr>
            <w:tcW w:w="0" w:type="auto"/>
            <w:gridSpan w:val="3"/>
            <w:tcMar>
              <w:top w:w="0" w:type="dxa"/>
              <w:left w:w="20" w:type="dxa"/>
              <w:bottom w:w="0" w:type="dxa"/>
              <w:right w:w="20" w:type="dxa"/>
            </w:tcMar>
            <w:vAlign w:val="center"/>
            <w:hideMark/>
          </w:tcPr>
          <w:p w:rsidR="00000000" w:rsidRDefault="001F1FC8">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1F1FC8">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1F1FC8">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1F1FC8">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1F1FC8">
            <w:pPr>
              <w:rPr>
                <w:rFonts w:eastAsia="Times New Roman"/>
                <w:sz w:val="20"/>
                <w:szCs w:val="20"/>
              </w:rPr>
            </w:pPr>
          </w:p>
        </w:tc>
      </w:tr>
      <w:tr w:rsidR="00000000">
        <w:trPr>
          <w:divId w:val="723913678"/>
        </w:trPr>
        <w:tc>
          <w:tcPr>
            <w:tcW w:w="0" w:type="auto"/>
            <w:gridSpan w:val="3"/>
            <w:tcMar>
              <w:top w:w="30" w:type="dxa"/>
              <w:left w:w="200" w:type="dxa"/>
              <w:bottom w:w="30" w:type="dxa"/>
              <w:right w:w="20" w:type="dxa"/>
            </w:tcMar>
            <w:vAlign w:val="center"/>
            <w:hideMark/>
          </w:tcPr>
          <w:p w:rsidR="00000000" w:rsidRDefault="001F1FC8">
            <w:pPr>
              <w:rPr>
                <w:rFonts w:eastAsia="Times New Roman"/>
              </w:rPr>
            </w:pPr>
            <w:r>
              <w:rPr>
                <w:rFonts w:ascii="Arial" w:eastAsia="Times New Roman" w:hAnsi="Arial" w:cs="Arial"/>
                <w:color w:val="000000"/>
                <w:sz w:val="16"/>
                <w:szCs w:val="16"/>
              </w:rPr>
              <w:t>Income tax on amounts retained in AOCI</w:t>
            </w:r>
          </w:p>
        </w:tc>
        <w:tc>
          <w:tcPr>
            <w:tcW w:w="0" w:type="auto"/>
            <w:gridSpan w:val="2"/>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16"/>
                <w:szCs w:val="16"/>
              </w:rPr>
              <w:t>169 </w:t>
            </w:r>
          </w:p>
        </w:tc>
        <w:tc>
          <w:tcPr>
            <w:tcW w:w="0" w:type="auto"/>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16"/>
                <w:szCs w:val="16"/>
              </w:rPr>
              <w:t>(39)</w:t>
            </w:r>
          </w:p>
        </w:tc>
        <w:tc>
          <w:tcPr>
            <w:tcW w:w="0" w:type="auto"/>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16"/>
                <w:szCs w:val="16"/>
              </w:rPr>
              <w:t>6 </w:t>
            </w:r>
          </w:p>
        </w:tc>
        <w:tc>
          <w:tcPr>
            <w:tcW w:w="0" w:type="auto"/>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16"/>
                <w:szCs w:val="16"/>
              </w:rPr>
              <w:t>28 </w:t>
            </w:r>
          </w:p>
        </w:tc>
        <w:tc>
          <w:tcPr>
            <w:tcW w:w="0" w:type="auto"/>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16"/>
                <w:szCs w:val="16"/>
              </w:rPr>
              <w:t>164 </w:t>
            </w:r>
          </w:p>
        </w:tc>
        <w:tc>
          <w:tcPr>
            <w:tcW w:w="0" w:type="auto"/>
            <w:tcMar>
              <w:top w:w="30" w:type="dxa"/>
              <w:left w:w="0" w:type="dxa"/>
              <w:bottom w:w="30" w:type="dxa"/>
              <w:right w:w="20" w:type="dxa"/>
            </w:tcMar>
            <w:vAlign w:val="center"/>
            <w:hideMark/>
          </w:tcPr>
          <w:p w:rsidR="00000000" w:rsidRDefault="001F1FC8">
            <w:pPr>
              <w:jc w:val="right"/>
              <w:rPr>
                <w:rFonts w:eastAsia="Times New Roman"/>
              </w:rPr>
            </w:pPr>
          </w:p>
        </w:tc>
      </w:tr>
      <w:tr w:rsidR="00000000">
        <w:trPr>
          <w:divId w:val="723913678"/>
        </w:trPr>
        <w:tc>
          <w:tcPr>
            <w:tcW w:w="0" w:type="auto"/>
            <w:gridSpan w:val="3"/>
            <w:tcMar>
              <w:top w:w="30" w:type="dxa"/>
              <w:left w:w="380" w:type="dxa"/>
              <w:bottom w:w="30" w:type="dxa"/>
              <w:right w:w="20" w:type="dxa"/>
            </w:tcMar>
            <w:vAlign w:val="center"/>
            <w:hideMark/>
          </w:tcPr>
          <w:p w:rsidR="00000000" w:rsidRDefault="001F1FC8">
            <w:pPr>
              <w:ind w:hanging="180"/>
              <w:rPr>
                <w:rFonts w:eastAsia="Times New Roman"/>
              </w:rPr>
            </w:pPr>
            <w:r>
              <w:rPr>
                <w:rFonts w:ascii="Arial" w:eastAsia="Times New Roman" w:hAnsi="Arial" w:cs="Arial"/>
                <w:color w:val="000000"/>
                <w:sz w:val="16"/>
                <w:szCs w:val="16"/>
              </w:rPr>
              <w:t>Income tax on amounts reclassified to earnings</w:t>
            </w: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(31)</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(4)</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(35)</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r>
      <w:tr w:rsidR="00000000">
        <w:trPr>
          <w:divId w:val="723913678"/>
        </w:trPr>
        <w:tc>
          <w:tcPr>
            <w:tcW w:w="0" w:type="auto"/>
            <w:gridSpan w:val="3"/>
            <w:vAlign w:val="center"/>
            <w:hideMark/>
          </w:tcPr>
          <w:p w:rsidR="00000000" w:rsidRDefault="001F1FC8">
            <w:pPr>
              <w:jc w:val="right"/>
              <w:rPr>
                <w:rFonts w:eastAsia="Times New Roman"/>
                <w:sz w:val="20"/>
                <w:szCs w:val="20"/>
              </w:rPr>
            </w:pPr>
          </w:p>
        </w:tc>
        <w:tc>
          <w:tcPr>
            <w:tcW w:w="0" w:type="auto"/>
            <w:gridSpan w:val="3"/>
            <w:vAlign w:val="center"/>
            <w:hideMark/>
          </w:tcPr>
          <w:p w:rsidR="00000000" w:rsidRDefault="001F1FC8">
            <w:pPr>
              <w:rPr>
                <w:rFonts w:eastAsia="Times New Roman"/>
                <w:sz w:val="20"/>
                <w:szCs w:val="20"/>
              </w:rPr>
            </w:pPr>
          </w:p>
        </w:tc>
        <w:tc>
          <w:tcPr>
            <w:tcW w:w="0" w:type="auto"/>
            <w:gridSpan w:val="3"/>
            <w:vAlign w:val="center"/>
            <w:hideMark/>
          </w:tcPr>
          <w:p w:rsidR="00000000" w:rsidRDefault="001F1FC8">
            <w:pPr>
              <w:rPr>
                <w:rFonts w:eastAsia="Times New Roman"/>
                <w:sz w:val="20"/>
                <w:szCs w:val="20"/>
              </w:rPr>
            </w:pPr>
          </w:p>
        </w:tc>
        <w:tc>
          <w:tcPr>
            <w:tcW w:w="0" w:type="auto"/>
            <w:gridSpan w:val="3"/>
            <w:vAlign w:val="center"/>
            <w:hideMark/>
          </w:tcPr>
          <w:p w:rsidR="00000000" w:rsidRDefault="001F1FC8">
            <w:pPr>
              <w:rPr>
                <w:rFonts w:eastAsia="Times New Roman"/>
                <w:sz w:val="20"/>
                <w:szCs w:val="20"/>
              </w:rPr>
            </w:pPr>
          </w:p>
        </w:tc>
        <w:tc>
          <w:tcPr>
            <w:tcW w:w="0" w:type="auto"/>
            <w:gridSpan w:val="3"/>
            <w:vAlign w:val="center"/>
            <w:hideMark/>
          </w:tcPr>
          <w:p w:rsidR="00000000" w:rsidRDefault="001F1FC8">
            <w:pPr>
              <w:rPr>
                <w:rFonts w:eastAsia="Times New Roman"/>
                <w:sz w:val="20"/>
                <w:szCs w:val="20"/>
              </w:rPr>
            </w:pPr>
          </w:p>
        </w:tc>
        <w:tc>
          <w:tcPr>
            <w:tcW w:w="0" w:type="auto"/>
            <w:gridSpan w:val="3"/>
            <w:vAlign w:val="center"/>
            <w:hideMark/>
          </w:tcPr>
          <w:p w:rsidR="00000000" w:rsidRDefault="001F1FC8">
            <w:pPr>
              <w:rPr>
                <w:rFonts w:eastAsia="Times New Roman"/>
                <w:sz w:val="20"/>
                <w:szCs w:val="20"/>
              </w:rPr>
            </w:pPr>
          </w:p>
        </w:tc>
        <w:tc>
          <w:tcPr>
            <w:tcW w:w="0" w:type="auto"/>
            <w:gridSpan w:val="3"/>
            <w:vAlign w:val="center"/>
            <w:hideMark/>
          </w:tcPr>
          <w:p w:rsidR="00000000" w:rsidRDefault="001F1FC8">
            <w:pPr>
              <w:rPr>
                <w:rFonts w:eastAsia="Times New Roman"/>
                <w:sz w:val="20"/>
                <w:szCs w:val="20"/>
              </w:rPr>
            </w:pPr>
          </w:p>
        </w:tc>
      </w:tr>
      <w:tr w:rsidR="00000000">
        <w:trPr>
          <w:divId w:val="723913678"/>
        </w:trPr>
        <w:tc>
          <w:tcPr>
            <w:tcW w:w="0" w:type="auto"/>
            <w:gridSpan w:val="3"/>
            <w:tcBorders>
              <w:top w:val="single" w:sz="4" w:space="0" w:color="000000"/>
            </w:tcBorders>
            <w:tcMar>
              <w:top w:w="0" w:type="dxa"/>
              <w:left w:w="20" w:type="dxa"/>
              <w:bottom w:w="0" w:type="dxa"/>
              <w:right w:w="20" w:type="dxa"/>
            </w:tcMar>
            <w:vAlign w:val="center"/>
            <w:hideMark/>
          </w:tcPr>
          <w:p w:rsidR="00000000" w:rsidRDefault="001F1FC8">
            <w:pPr>
              <w:rPr>
                <w:rFonts w:eastAsia="Times New Roman"/>
                <w:sz w:val="20"/>
                <w:szCs w:val="20"/>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16"/>
                <w:szCs w:val="16"/>
              </w:rPr>
              <w:t>138 </w:t>
            </w:r>
          </w:p>
        </w:tc>
        <w:tc>
          <w:tcPr>
            <w:tcW w:w="0" w:type="auto"/>
            <w:tcBorders>
              <w:top w:val="single" w:sz="4" w:space="0" w:color="000000"/>
            </w:tcBorders>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16"/>
                <w:szCs w:val="16"/>
              </w:rPr>
              <w:t>(39)</w:t>
            </w:r>
          </w:p>
        </w:tc>
        <w:tc>
          <w:tcPr>
            <w:tcW w:w="0" w:type="auto"/>
            <w:tcBorders>
              <w:top w:val="single" w:sz="4" w:space="0" w:color="000000"/>
            </w:tcBorders>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16"/>
                <w:szCs w:val="16"/>
              </w:rPr>
              <w:t>— </w:t>
            </w:r>
          </w:p>
        </w:tc>
        <w:tc>
          <w:tcPr>
            <w:tcW w:w="0" w:type="auto"/>
            <w:tcBorders>
              <w:top w:val="single" w:sz="4" w:space="0" w:color="000000"/>
            </w:tcBorders>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16"/>
                <w:szCs w:val="16"/>
              </w:rPr>
              <w:t>6 </w:t>
            </w:r>
          </w:p>
        </w:tc>
        <w:tc>
          <w:tcPr>
            <w:tcW w:w="0" w:type="auto"/>
            <w:tcBorders>
              <w:top w:val="single" w:sz="4" w:space="0" w:color="000000"/>
            </w:tcBorders>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16"/>
                <w:szCs w:val="16"/>
              </w:rPr>
              <w:t>24 </w:t>
            </w:r>
          </w:p>
        </w:tc>
        <w:tc>
          <w:tcPr>
            <w:tcW w:w="0" w:type="auto"/>
            <w:tcBorders>
              <w:top w:val="single" w:sz="4" w:space="0" w:color="000000"/>
            </w:tcBorders>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16"/>
                <w:szCs w:val="16"/>
              </w:rPr>
              <w:t>129 </w:t>
            </w:r>
          </w:p>
        </w:tc>
        <w:tc>
          <w:tcPr>
            <w:tcW w:w="0" w:type="auto"/>
            <w:tcBorders>
              <w:top w:val="single" w:sz="4" w:space="0" w:color="000000"/>
            </w:tcBorders>
            <w:tcMar>
              <w:top w:w="30" w:type="dxa"/>
              <w:left w:w="0" w:type="dxa"/>
              <w:bottom w:w="30" w:type="dxa"/>
              <w:right w:w="20" w:type="dxa"/>
            </w:tcMar>
            <w:vAlign w:val="center"/>
            <w:hideMark/>
          </w:tcPr>
          <w:p w:rsidR="00000000" w:rsidRDefault="001F1FC8">
            <w:pPr>
              <w:jc w:val="right"/>
              <w:rPr>
                <w:rFonts w:eastAsia="Times New Roman"/>
              </w:rPr>
            </w:pPr>
          </w:p>
        </w:tc>
      </w:tr>
      <w:tr w:rsidR="00000000">
        <w:trPr>
          <w:divId w:val="723913678"/>
        </w:trPr>
        <w:tc>
          <w:tcPr>
            <w:tcW w:w="0" w:type="auto"/>
            <w:gridSpan w:val="3"/>
            <w:tcBorders>
              <w:top w:val="single" w:sz="4" w:space="0" w:color="000000"/>
            </w:tcBorders>
            <w:tcMar>
              <w:top w:w="30" w:type="dxa"/>
              <w:left w:w="200" w:type="dxa"/>
              <w:bottom w:w="30" w:type="dxa"/>
              <w:right w:w="20" w:type="dxa"/>
            </w:tcMar>
            <w:vAlign w:val="center"/>
            <w:hideMark/>
          </w:tcPr>
          <w:p w:rsidR="00000000" w:rsidRDefault="001F1FC8">
            <w:pPr>
              <w:rPr>
                <w:rFonts w:eastAsia="Times New Roman"/>
              </w:rPr>
            </w:pPr>
            <w:r>
              <w:rPr>
                <w:rFonts w:ascii="Arial" w:eastAsia="Times New Roman" w:hAnsi="Arial" w:cs="Arial"/>
                <w:color w:val="000000"/>
                <w:sz w:val="16"/>
                <w:szCs w:val="16"/>
              </w:rPr>
              <w:t>Other</w:t>
            </w: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16"/>
                <w:szCs w:val="16"/>
              </w:rPr>
              <w:t>— </w:t>
            </w:r>
          </w:p>
        </w:tc>
        <w:tc>
          <w:tcPr>
            <w:tcW w:w="0" w:type="auto"/>
            <w:tcBorders>
              <w:top w:val="single" w:sz="4" w:space="0" w:color="000000"/>
            </w:tcBorders>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16"/>
                <w:szCs w:val="16"/>
              </w:rPr>
              <w:t>— </w:t>
            </w:r>
          </w:p>
        </w:tc>
        <w:tc>
          <w:tcPr>
            <w:tcW w:w="0" w:type="auto"/>
            <w:tcBorders>
              <w:top w:val="single" w:sz="4" w:space="0" w:color="000000"/>
            </w:tcBorders>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16"/>
                <w:szCs w:val="16"/>
              </w:rPr>
              <w:t>— </w:t>
            </w:r>
          </w:p>
        </w:tc>
        <w:tc>
          <w:tcPr>
            <w:tcW w:w="0" w:type="auto"/>
            <w:tcBorders>
              <w:top w:val="single" w:sz="4" w:space="0" w:color="000000"/>
            </w:tcBorders>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16"/>
                <w:szCs w:val="16"/>
              </w:rPr>
              <w:t>(7)</w:t>
            </w:r>
          </w:p>
        </w:tc>
        <w:tc>
          <w:tcPr>
            <w:tcW w:w="0" w:type="auto"/>
            <w:tcBorders>
              <w:top w:val="single" w:sz="4" w:space="0" w:color="000000"/>
            </w:tcBorders>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16"/>
                <w:szCs w:val="16"/>
              </w:rPr>
              <w:t>55 </w:t>
            </w:r>
          </w:p>
        </w:tc>
        <w:tc>
          <w:tcPr>
            <w:tcW w:w="0" w:type="auto"/>
            <w:tcBorders>
              <w:top w:val="single" w:sz="4" w:space="0" w:color="000000"/>
            </w:tcBorders>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16"/>
                <w:szCs w:val="16"/>
              </w:rPr>
              <w:t>48 </w:t>
            </w:r>
          </w:p>
        </w:tc>
        <w:tc>
          <w:tcPr>
            <w:tcW w:w="0" w:type="auto"/>
            <w:tcBorders>
              <w:top w:val="single" w:sz="4" w:space="0" w:color="000000"/>
            </w:tcBorders>
            <w:tcMar>
              <w:top w:w="30" w:type="dxa"/>
              <w:left w:w="0" w:type="dxa"/>
              <w:bottom w:w="30" w:type="dxa"/>
              <w:right w:w="20" w:type="dxa"/>
            </w:tcMar>
            <w:vAlign w:val="center"/>
            <w:hideMark/>
          </w:tcPr>
          <w:p w:rsidR="00000000" w:rsidRDefault="001F1FC8">
            <w:pPr>
              <w:jc w:val="right"/>
              <w:rPr>
                <w:rFonts w:eastAsia="Times New Roman"/>
              </w:rPr>
            </w:pPr>
          </w:p>
        </w:tc>
      </w:tr>
      <w:tr w:rsidR="00000000">
        <w:trPr>
          <w:divId w:val="723913678"/>
        </w:trPr>
        <w:tc>
          <w:tcPr>
            <w:tcW w:w="0" w:type="auto"/>
            <w:gridSpan w:val="3"/>
            <w:tcBorders>
              <w:top w:val="single" w:sz="4" w:space="0" w:color="000000"/>
              <w:bottom w:val="single" w:sz="8" w:space="0" w:color="000000"/>
            </w:tcBorders>
            <w:tcMar>
              <w:top w:w="30" w:type="dxa"/>
              <w:left w:w="20" w:type="dxa"/>
              <w:bottom w:w="30" w:type="dxa"/>
              <w:right w:w="20" w:type="dxa"/>
            </w:tcMar>
            <w:vAlign w:val="center"/>
            <w:hideMark/>
          </w:tcPr>
          <w:p w:rsidR="00000000" w:rsidRDefault="001F1FC8">
            <w:pPr>
              <w:rPr>
                <w:rFonts w:eastAsia="Times New Roman"/>
              </w:rPr>
            </w:pPr>
            <w:r>
              <w:rPr>
                <w:rFonts w:ascii="Arial" w:eastAsia="Times New Roman" w:hAnsi="Arial" w:cs="Arial"/>
                <w:color w:val="000000"/>
                <w:sz w:val="16"/>
                <w:szCs w:val="16"/>
              </w:rPr>
              <w:t>Balance at December 31, 2019</w:t>
            </w:r>
          </w:p>
        </w:tc>
        <w:tc>
          <w:tcPr>
            <w:tcW w:w="0" w:type="auto"/>
            <w:gridSpan w:val="2"/>
            <w:tcBorders>
              <w:top w:val="single" w:sz="4" w:space="0" w:color="000000"/>
              <w:bottom w:val="single" w:sz="8" w:space="0" w:color="000000"/>
            </w:tcBorders>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16"/>
                <w:szCs w:val="16"/>
              </w:rPr>
              <w:t>(1,073)</w:t>
            </w:r>
          </w:p>
        </w:tc>
        <w:tc>
          <w:tcPr>
            <w:tcW w:w="0" w:type="auto"/>
            <w:tcBorders>
              <w:top w:val="single" w:sz="4" w:space="0" w:color="000000"/>
              <w:bottom w:val="single" w:sz="8" w:space="0" w:color="000000"/>
            </w:tcBorders>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Borders>
              <w:top w:val="single" w:sz="4" w:space="0" w:color="000000"/>
              <w:bottom w:val="single" w:sz="8" w:space="0" w:color="000000"/>
            </w:tcBorders>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16"/>
                <w:szCs w:val="16"/>
              </w:rPr>
              <w:t>(317)</w:t>
            </w:r>
          </w:p>
        </w:tc>
        <w:tc>
          <w:tcPr>
            <w:tcW w:w="0" w:type="auto"/>
            <w:tcBorders>
              <w:top w:val="single" w:sz="4" w:space="0" w:color="000000"/>
              <w:bottom w:val="single" w:sz="8" w:space="0" w:color="000000"/>
            </w:tcBorders>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Borders>
              <w:top w:val="single" w:sz="4" w:space="0" w:color="000000"/>
              <w:bottom w:val="single" w:sz="8" w:space="0" w:color="000000"/>
            </w:tcBorders>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16"/>
                <w:szCs w:val="16"/>
              </w:rPr>
              <w:t>1,396 </w:t>
            </w:r>
          </w:p>
        </w:tc>
        <w:tc>
          <w:tcPr>
            <w:tcW w:w="0" w:type="auto"/>
            <w:tcBorders>
              <w:top w:val="single" w:sz="4" w:space="0" w:color="000000"/>
              <w:bottom w:val="single" w:sz="8" w:space="0" w:color="000000"/>
            </w:tcBorders>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Borders>
              <w:top w:val="single" w:sz="4" w:space="0" w:color="000000"/>
              <w:bottom w:val="single" w:sz="8" w:space="0" w:color="000000"/>
            </w:tcBorders>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16"/>
                <w:szCs w:val="16"/>
              </w:rPr>
              <w:t>67 </w:t>
            </w:r>
          </w:p>
        </w:tc>
        <w:tc>
          <w:tcPr>
            <w:tcW w:w="0" w:type="auto"/>
            <w:tcBorders>
              <w:top w:val="single" w:sz="4" w:space="0" w:color="000000"/>
              <w:bottom w:val="single" w:sz="8" w:space="0" w:color="000000"/>
            </w:tcBorders>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Borders>
              <w:top w:val="single" w:sz="4" w:space="0" w:color="000000"/>
              <w:bottom w:val="single" w:sz="8" w:space="0" w:color="000000"/>
            </w:tcBorders>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16"/>
                <w:szCs w:val="16"/>
              </w:rPr>
              <w:t>(345)</w:t>
            </w:r>
          </w:p>
        </w:tc>
        <w:tc>
          <w:tcPr>
            <w:tcW w:w="0" w:type="auto"/>
            <w:tcBorders>
              <w:top w:val="single" w:sz="4" w:space="0" w:color="000000"/>
              <w:bottom w:val="single" w:sz="8" w:space="0" w:color="000000"/>
            </w:tcBorders>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Borders>
              <w:top w:val="single" w:sz="4" w:space="0" w:color="000000"/>
              <w:bottom w:val="single" w:sz="8" w:space="0" w:color="000000"/>
            </w:tcBorders>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16"/>
                <w:szCs w:val="16"/>
              </w:rPr>
              <w:t>(272)</w:t>
            </w:r>
          </w:p>
        </w:tc>
        <w:tc>
          <w:tcPr>
            <w:tcW w:w="0" w:type="auto"/>
            <w:tcBorders>
              <w:top w:val="single" w:sz="4" w:space="0" w:color="000000"/>
              <w:bottom w:val="single" w:sz="8" w:space="0" w:color="000000"/>
            </w:tcBorders>
            <w:tcMar>
              <w:top w:w="30" w:type="dxa"/>
              <w:left w:w="0" w:type="dxa"/>
              <w:bottom w:w="30" w:type="dxa"/>
              <w:right w:w="20" w:type="dxa"/>
            </w:tcMar>
            <w:vAlign w:val="center"/>
            <w:hideMark/>
          </w:tcPr>
          <w:p w:rsidR="00000000" w:rsidRDefault="001F1FC8">
            <w:pPr>
              <w:jc w:val="right"/>
              <w:rPr>
                <w:rFonts w:eastAsia="Times New Roman"/>
              </w:rPr>
            </w:pPr>
          </w:p>
        </w:tc>
      </w:tr>
    </w:tbl>
    <w:p w:rsidR="00000000" w:rsidRDefault="001F1FC8">
      <w:pPr>
        <w:ind w:hanging="180"/>
        <w:divId w:val="1624458751"/>
        <w:rPr>
          <w:rFonts w:eastAsia="Times New Roman"/>
        </w:rPr>
      </w:pPr>
      <w:r>
        <w:rPr>
          <w:rFonts w:ascii="Arial" w:eastAsia="Times New Roman" w:hAnsi="Arial" w:cs="Arial"/>
          <w:i/>
          <w:iCs/>
          <w:color w:val="000000"/>
          <w:sz w:val="16"/>
          <w:szCs w:val="16"/>
        </w:rPr>
        <w:t>1Reported within Interest expense in the Consolidated Statements of Earnings.</w:t>
      </w:r>
    </w:p>
    <w:p w:rsidR="00000000" w:rsidRDefault="001F1FC8">
      <w:pPr>
        <w:ind w:hanging="180"/>
        <w:divId w:val="1817333898"/>
        <w:rPr>
          <w:rFonts w:eastAsia="Times New Roman"/>
        </w:rPr>
      </w:pPr>
      <w:r>
        <w:rPr>
          <w:rFonts w:ascii="Arial" w:eastAsia="Times New Roman" w:hAnsi="Arial" w:cs="Arial"/>
          <w:i/>
          <w:iCs/>
          <w:color w:val="000000"/>
          <w:sz w:val="16"/>
          <w:szCs w:val="16"/>
        </w:rPr>
        <w:t>2Reported within Transportation and other services revenue, Commodity sales revenue, Commodity costs and Operating and administrative expense in the Consolid</w:t>
      </w:r>
      <w:r>
        <w:rPr>
          <w:rFonts w:ascii="Arial" w:eastAsia="Times New Roman" w:hAnsi="Arial" w:cs="Arial"/>
          <w:i/>
          <w:iCs/>
          <w:color w:val="000000"/>
          <w:sz w:val="16"/>
          <w:szCs w:val="16"/>
        </w:rPr>
        <w:t>ated Statements of Earnings.</w:t>
      </w:r>
    </w:p>
    <w:p w:rsidR="00000000" w:rsidRDefault="001F1FC8">
      <w:pPr>
        <w:ind w:hanging="180"/>
        <w:divId w:val="1761564899"/>
        <w:rPr>
          <w:rFonts w:eastAsia="Times New Roman"/>
        </w:rPr>
      </w:pPr>
      <w:r>
        <w:rPr>
          <w:rFonts w:ascii="Arial" w:eastAsia="Times New Roman" w:hAnsi="Arial" w:cs="Arial"/>
          <w:i/>
          <w:iCs/>
          <w:color w:val="000000"/>
          <w:sz w:val="16"/>
          <w:szCs w:val="16"/>
        </w:rPr>
        <w:t>3</w:t>
      </w:r>
      <w:r>
        <w:rPr>
          <w:rFonts w:ascii="Arial" w:eastAsia="Times New Roman" w:hAnsi="Arial" w:cs="Arial"/>
          <w:i/>
          <w:iCs/>
          <w:color w:val="000000"/>
          <w:sz w:val="16"/>
          <w:szCs w:val="16"/>
        </w:rPr>
        <w:t>Reported within Transportation and other services revenue and Net foreign currency gain in the Consolidated Statements of Earnings.</w:t>
      </w:r>
    </w:p>
    <w:p w:rsidR="00000000" w:rsidRDefault="001F1FC8">
      <w:pPr>
        <w:ind w:hanging="180"/>
        <w:divId w:val="356197689"/>
        <w:rPr>
          <w:rFonts w:eastAsia="Times New Roman"/>
        </w:rPr>
      </w:pPr>
      <w:r>
        <w:rPr>
          <w:rFonts w:ascii="Arial" w:eastAsia="Times New Roman" w:hAnsi="Arial" w:cs="Arial"/>
          <w:i/>
          <w:iCs/>
          <w:color w:val="000000"/>
          <w:sz w:val="16"/>
          <w:szCs w:val="16"/>
        </w:rPr>
        <w:t>4Reported within Operating and administrative expense in the Consolidated Statements of Earnings.</w:t>
      </w:r>
    </w:p>
    <w:p w:rsidR="00000000" w:rsidRDefault="001F1FC8">
      <w:pPr>
        <w:ind w:hanging="180"/>
        <w:divId w:val="556862856"/>
        <w:rPr>
          <w:rFonts w:eastAsia="Times New Roman"/>
        </w:rPr>
      </w:pPr>
      <w:r>
        <w:rPr>
          <w:rFonts w:ascii="Arial" w:eastAsia="Times New Roman" w:hAnsi="Arial" w:cs="Arial"/>
          <w:i/>
          <w:iCs/>
          <w:color w:val="000000"/>
          <w:sz w:val="16"/>
          <w:szCs w:val="16"/>
        </w:rPr>
        <w:t>5These components are incl</w:t>
      </w:r>
      <w:r>
        <w:rPr>
          <w:rFonts w:ascii="Arial" w:eastAsia="Times New Roman" w:hAnsi="Arial" w:cs="Arial"/>
          <w:i/>
          <w:iCs/>
          <w:color w:val="000000"/>
          <w:sz w:val="16"/>
          <w:szCs w:val="16"/>
        </w:rPr>
        <w:t>uded in the computation of net benefit costs and are reported within Other income/(expense) in the Consolidated Statements of Earnings.</w:t>
      </w:r>
    </w:p>
    <w:p w:rsidR="00000000" w:rsidRDefault="001F1FC8">
      <w:pPr>
        <w:divId w:val="667758101"/>
        <w:rPr>
          <w:rFonts w:eastAsia="Times New Roman"/>
        </w:rPr>
      </w:pPr>
    </w:p>
    <w:p w:rsidR="00000000" w:rsidRDefault="001F1FC8">
      <w:pPr>
        <w:jc w:val="both"/>
        <w:rPr>
          <w:rFonts w:eastAsia="Times New Roman"/>
        </w:rPr>
      </w:pPr>
      <w:r>
        <w:rPr>
          <w:rFonts w:ascii="Arial" w:eastAsia="Times New Roman" w:hAnsi="Arial" w:cs="Arial"/>
          <w:b/>
          <w:bCs/>
          <w:color w:val="000000"/>
          <w:sz w:val="26"/>
          <w:szCs w:val="26"/>
        </w:rPr>
        <w:t>24.  RISK MANAGEMENT AND FINANCIAL INSTRUMENTS</w:t>
      </w:r>
    </w:p>
    <w:p w:rsidR="00000000" w:rsidRDefault="001F1FC8">
      <w:pPr>
        <w:divId w:val="1864132256"/>
        <w:rPr>
          <w:rFonts w:eastAsia="Times New Roman"/>
        </w:rPr>
      </w:pPr>
      <w:r>
        <w:rPr>
          <w:rFonts w:ascii="Arial" w:eastAsia="Times New Roman" w:hAnsi="Arial" w:cs="Arial"/>
          <w:color w:val="000000"/>
          <w:sz w:val="20"/>
          <w:szCs w:val="20"/>
        </w:rPr>
        <w:t> </w:t>
      </w:r>
    </w:p>
    <w:p w:rsidR="00000000" w:rsidRDefault="001F1FC8">
      <w:pPr>
        <w:divId w:val="863174675"/>
        <w:rPr>
          <w:rFonts w:eastAsia="Times New Roman"/>
        </w:rPr>
      </w:pPr>
      <w:r>
        <w:rPr>
          <w:rFonts w:ascii="Arial" w:eastAsia="Times New Roman" w:hAnsi="Arial" w:cs="Arial"/>
          <w:b/>
          <w:bCs/>
          <w:color w:val="000000"/>
          <w:sz w:val="20"/>
          <w:szCs w:val="20"/>
        </w:rPr>
        <w:t>MARKET RISK</w:t>
      </w:r>
    </w:p>
    <w:p w:rsidR="00000000" w:rsidRDefault="001F1FC8">
      <w:pPr>
        <w:divId w:val="1350453146"/>
        <w:rPr>
          <w:rFonts w:eastAsia="Times New Roman"/>
        </w:rPr>
      </w:pPr>
      <w:r>
        <w:rPr>
          <w:rFonts w:ascii="Arial" w:eastAsia="Times New Roman" w:hAnsi="Arial" w:cs="Arial"/>
          <w:color w:val="000000"/>
          <w:sz w:val="20"/>
          <w:szCs w:val="20"/>
        </w:rPr>
        <w:t>Our earnings, cash flows and OCI are subject to movements</w:t>
      </w:r>
      <w:r>
        <w:rPr>
          <w:rFonts w:ascii="Arial" w:eastAsia="Times New Roman" w:hAnsi="Arial" w:cs="Arial"/>
          <w:color w:val="000000"/>
          <w:sz w:val="20"/>
          <w:szCs w:val="20"/>
        </w:rPr>
        <w:t xml:space="preserve"> in foreign exchange rates, interest rates, commodity prices and our share price (collectively, market risks). Formal risk management policies, processes and systems have been designed to mitigate these risks.</w:t>
      </w:r>
    </w:p>
    <w:p w:rsidR="00000000" w:rsidRDefault="001F1FC8">
      <w:pPr>
        <w:divId w:val="1920485062"/>
        <w:rPr>
          <w:rFonts w:eastAsia="Times New Roman"/>
        </w:rPr>
      </w:pPr>
      <w:r>
        <w:rPr>
          <w:rFonts w:ascii="Arial" w:eastAsia="Times New Roman" w:hAnsi="Arial" w:cs="Arial"/>
          <w:color w:val="000000"/>
          <w:sz w:val="20"/>
          <w:szCs w:val="20"/>
        </w:rPr>
        <w:t> </w:t>
      </w:r>
    </w:p>
    <w:p w:rsidR="00000000" w:rsidRDefault="001F1FC8">
      <w:pPr>
        <w:divId w:val="696202912"/>
        <w:rPr>
          <w:rFonts w:eastAsia="Times New Roman"/>
        </w:rPr>
      </w:pPr>
      <w:r>
        <w:rPr>
          <w:rFonts w:ascii="Arial" w:eastAsia="Times New Roman" w:hAnsi="Arial" w:cs="Arial"/>
          <w:color w:val="000000"/>
          <w:sz w:val="20"/>
          <w:szCs w:val="20"/>
        </w:rPr>
        <w:t>The following summarizes the types of market</w:t>
      </w:r>
      <w:r>
        <w:rPr>
          <w:rFonts w:ascii="Arial" w:eastAsia="Times New Roman" w:hAnsi="Arial" w:cs="Arial"/>
          <w:color w:val="000000"/>
          <w:sz w:val="20"/>
          <w:szCs w:val="20"/>
        </w:rPr>
        <w:t xml:space="preserve"> risks to which we are exposed and the risk management instruments used to mitigate them. We use a combination of qualifying and non-qualifying derivative instruments to manage the risks noted below. </w:t>
      </w:r>
    </w:p>
    <w:p w:rsidR="00000000" w:rsidRDefault="001F1FC8">
      <w:pPr>
        <w:divId w:val="826284506"/>
        <w:rPr>
          <w:rFonts w:eastAsia="Times New Roman"/>
        </w:rPr>
      </w:pPr>
      <w:r>
        <w:rPr>
          <w:rFonts w:ascii="Arial" w:eastAsia="Times New Roman" w:hAnsi="Arial" w:cs="Arial"/>
          <w:color w:val="000000"/>
          <w:sz w:val="20"/>
          <w:szCs w:val="20"/>
        </w:rPr>
        <w:t> </w:t>
      </w:r>
    </w:p>
    <w:p w:rsidR="00000000" w:rsidRDefault="001F1FC8">
      <w:pPr>
        <w:divId w:val="1584875095"/>
        <w:rPr>
          <w:rFonts w:eastAsia="Times New Roman"/>
        </w:rPr>
      </w:pPr>
      <w:r>
        <w:rPr>
          <w:rFonts w:ascii="Arial" w:eastAsia="Times New Roman" w:hAnsi="Arial" w:cs="Arial"/>
          <w:b/>
          <w:bCs/>
          <w:color w:val="000000"/>
          <w:sz w:val="20"/>
          <w:szCs w:val="20"/>
        </w:rPr>
        <w:t>Foreign Exchange Risk</w:t>
      </w:r>
    </w:p>
    <w:p w:rsidR="00000000" w:rsidRDefault="001F1FC8">
      <w:pPr>
        <w:divId w:val="139614125"/>
        <w:rPr>
          <w:rFonts w:eastAsia="Times New Roman"/>
        </w:rPr>
      </w:pPr>
      <w:r>
        <w:rPr>
          <w:rFonts w:ascii="Arial" w:eastAsia="Times New Roman" w:hAnsi="Arial" w:cs="Arial"/>
          <w:color w:val="000000"/>
          <w:sz w:val="20"/>
          <w:szCs w:val="20"/>
        </w:rPr>
        <w:t>We generate certain revenues, i</w:t>
      </w:r>
      <w:r>
        <w:rPr>
          <w:rFonts w:ascii="Arial" w:eastAsia="Times New Roman" w:hAnsi="Arial" w:cs="Arial"/>
          <w:color w:val="000000"/>
          <w:sz w:val="20"/>
          <w:szCs w:val="20"/>
        </w:rPr>
        <w:t>ncur expenses and hold a number of investments and subsidiaries that are denominated in currencies other than Canadian dollars. As a result, our earnings, cash flows and OCI are exposed to fluctuations resulting from foreign exchange rate variability.</w:t>
      </w:r>
    </w:p>
    <w:p w:rsidR="00000000" w:rsidRDefault="001F1FC8">
      <w:pPr>
        <w:divId w:val="816458122"/>
        <w:rPr>
          <w:rFonts w:eastAsia="Times New Roman"/>
        </w:rPr>
      </w:pPr>
      <w:r>
        <w:rPr>
          <w:rFonts w:ascii="Arial" w:eastAsia="Times New Roman" w:hAnsi="Arial" w:cs="Arial"/>
          <w:color w:val="000000"/>
          <w:sz w:val="20"/>
          <w:szCs w:val="20"/>
        </w:rPr>
        <w:t> </w:t>
      </w:r>
    </w:p>
    <w:p w:rsidR="00000000" w:rsidRDefault="001F1FC8">
      <w:pPr>
        <w:divId w:val="487090483"/>
        <w:rPr>
          <w:rFonts w:eastAsia="Times New Roman"/>
        </w:rPr>
      </w:pPr>
      <w:r>
        <w:rPr>
          <w:rFonts w:ascii="Arial" w:eastAsia="Times New Roman" w:hAnsi="Arial" w:cs="Arial"/>
          <w:color w:val="000000"/>
          <w:sz w:val="20"/>
          <w:szCs w:val="20"/>
        </w:rPr>
        <w:t>We</w:t>
      </w:r>
      <w:r>
        <w:rPr>
          <w:rFonts w:ascii="Arial" w:eastAsia="Times New Roman" w:hAnsi="Arial" w:cs="Arial"/>
          <w:color w:val="000000"/>
          <w:sz w:val="20"/>
          <w:szCs w:val="20"/>
        </w:rPr>
        <w:t xml:space="preserve"> employ financial derivative instruments to hedge foreign currency denominated earnings exposure. A combination of qualifying and non-qualifying derivative instruments is used to hedge anticipated foreign currency denominated revenues and expenses and to m</w:t>
      </w:r>
      <w:r>
        <w:rPr>
          <w:rFonts w:ascii="Arial" w:eastAsia="Times New Roman" w:hAnsi="Arial" w:cs="Arial"/>
          <w:color w:val="000000"/>
          <w:sz w:val="20"/>
          <w:szCs w:val="20"/>
        </w:rPr>
        <w:t>anage variability in cash flows. We hedge certain net investments in US dollar denominated investments and subsidiaries using foreign currency derivatives and US dollar denominated debt.</w:t>
      </w:r>
    </w:p>
    <w:p w:rsidR="00000000" w:rsidRDefault="001F1FC8">
      <w:pPr>
        <w:divId w:val="1936815214"/>
        <w:rPr>
          <w:rFonts w:eastAsia="Times New Roman"/>
        </w:rPr>
      </w:pPr>
      <w:r>
        <w:rPr>
          <w:rFonts w:ascii="Arial" w:eastAsia="Times New Roman" w:hAnsi="Arial" w:cs="Arial"/>
          <w:color w:val="000000"/>
          <w:sz w:val="20"/>
          <w:szCs w:val="20"/>
        </w:rPr>
        <w:t> </w:t>
      </w:r>
    </w:p>
    <w:p w:rsidR="00000000" w:rsidRDefault="001F1FC8">
      <w:pPr>
        <w:jc w:val="center"/>
        <w:divId w:val="1061632661"/>
        <w:rPr>
          <w:rFonts w:eastAsia="Times New Roman"/>
        </w:rPr>
      </w:pPr>
      <w:r>
        <w:rPr>
          <w:rFonts w:ascii="Arial" w:eastAsia="Times New Roman" w:hAnsi="Arial" w:cs="Arial"/>
          <w:color w:val="000000"/>
          <w:sz w:val="20"/>
          <w:szCs w:val="20"/>
        </w:rPr>
        <w:t>149</w:t>
      </w:r>
    </w:p>
    <w:p w:rsidR="00000000" w:rsidRDefault="001F1FC8">
      <w:pPr>
        <w:rPr>
          <w:rFonts w:eastAsia="Times New Roman"/>
        </w:rPr>
      </w:pPr>
      <w:r>
        <w:rPr>
          <w:rFonts w:eastAsia="Times New Roman"/>
        </w:rPr>
        <w:pict>
          <v:rect id="_x0000_i1179" style="width:0;height:1.5pt" o:hralign="center" o:hrstd="t" o:hr="t" fillcolor="#a0a0a0" stroked="f"/>
        </w:pict>
      </w:r>
    </w:p>
    <w:p w:rsidR="00000000" w:rsidRDefault="001F1FC8">
      <w:pPr>
        <w:jc w:val="center"/>
        <w:divId w:val="934899366"/>
        <w:rPr>
          <w:rFonts w:eastAsia="Times New Roman"/>
        </w:rPr>
      </w:pPr>
    </w:p>
    <w:p w:rsidR="00000000" w:rsidRDefault="001F1FC8">
      <w:pPr>
        <w:divId w:val="2102213911"/>
        <w:rPr>
          <w:rFonts w:eastAsia="Times New Roman"/>
        </w:rPr>
      </w:pPr>
      <w:r>
        <w:rPr>
          <w:rFonts w:ascii="Arial" w:eastAsia="Times New Roman" w:hAnsi="Arial" w:cs="Arial"/>
          <w:b/>
          <w:bCs/>
          <w:color w:val="000000"/>
          <w:sz w:val="20"/>
          <w:szCs w:val="20"/>
        </w:rPr>
        <w:t>Interest Rate Risk</w:t>
      </w:r>
    </w:p>
    <w:p w:rsidR="00000000" w:rsidRDefault="001F1FC8">
      <w:pPr>
        <w:divId w:val="1090808120"/>
        <w:rPr>
          <w:rFonts w:eastAsia="Times New Roman"/>
        </w:rPr>
      </w:pPr>
      <w:r>
        <w:rPr>
          <w:rFonts w:ascii="Arial" w:eastAsia="Times New Roman" w:hAnsi="Arial" w:cs="Arial"/>
          <w:color w:val="000000"/>
          <w:sz w:val="20"/>
          <w:szCs w:val="20"/>
        </w:rPr>
        <w:t>Our e</w:t>
      </w:r>
      <w:r>
        <w:rPr>
          <w:rFonts w:ascii="Arial" w:eastAsia="Times New Roman" w:hAnsi="Arial" w:cs="Arial"/>
          <w:color w:val="000000"/>
          <w:sz w:val="20"/>
          <w:szCs w:val="20"/>
        </w:rPr>
        <w:t>arnings and cash flows are exposed to short-term interest rate variability due to the regular repricing of our variable rate debt, primarily commercial paper. We monitor our debt portfolio mix of fixed and variable rate debt instruments to manage a consoli</w:t>
      </w:r>
      <w:r>
        <w:rPr>
          <w:rFonts w:ascii="Arial" w:eastAsia="Times New Roman" w:hAnsi="Arial" w:cs="Arial"/>
          <w:color w:val="000000"/>
          <w:sz w:val="20"/>
          <w:szCs w:val="20"/>
        </w:rPr>
        <w:t xml:space="preserve">dated portfolio of floating rate debt within the Board of Directors approved policy limit of a maximum of 30% of floating rate debt as a percentage of total debt outstanding. We primarily use qualifying derivative instruments to manage interest rate risk. </w:t>
      </w:r>
      <w:r>
        <w:rPr>
          <w:rFonts w:ascii="Arial" w:eastAsia="Times New Roman" w:hAnsi="Arial" w:cs="Arial"/>
          <w:color w:val="000000"/>
          <w:sz w:val="20"/>
          <w:szCs w:val="20"/>
        </w:rPr>
        <w:t>Pay fixed-receive floating interest rate swaps may be used to hedge against the effect of future interest rate movements. We have implemented a program to mitigate the impact of short-term interest rate volatility on interest expense via execution of float</w:t>
      </w:r>
      <w:r>
        <w:rPr>
          <w:rFonts w:ascii="Arial" w:eastAsia="Times New Roman" w:hAnsi="Arial" w:cs="Arial"/>
          <w:color w:val="000000"/>
          <w:sz w:val="20"/>
          <w:szCs w:val="20"/>
        </w:rPr>
        <w:t>ing to fixed interest rate swaps with an average swap rate of 3.9%.</w:t>
      </w:r>
    </w:p>
    <w:p w:rsidR="00000000" w:rsidRDefault="001F1FC8">
      <w:pPr>
        <w:divId w:val="766731732"/>
        <w:rPr>
          <w:rFonts w:eastAsia="Times New Roman"/>
        </w:rPr>
      </w:pPr>
    </w:p>
    <w:p w:rsidR="00000000" w:rsidRDefault="001F1FC8">
      <w:pPr>
        <w:divId w:val="388312762"/>
        <w:rPr>
          <w:rFonts w:eastAsia="Times New Roman"/>
        </w:rPr>
      </w:pPr>
      <w:r>
        <w:rPr>
          <w:rFonts w:ascii="Arial" w:eastAsia="Times New Roman" w:hAnsi="Arial" w:cs="Arial"/>
          <w:color w:val="000000"/>
          <w:sz w:val="20"/>
          <w:szCs w:val="20"/>
        </w:rPr>
        <w:t xml:space="preserve">We are exposed to changes in the fair value of fixed rate debt that arise as a result of changes in market interest rates. Pay floating-receive fixed interest rate swaps are used, when applicable, to hedge against future changes to the fair value of fixed </w:t>
      </w:r>
      <w:r>
        <w:rPr>
          <w:rFonts w:ascii="Arial" w:eastAsia="Times New Roman" w:hAnsi="Arial" w:cs="Arial"/>
          <w:color w:val="000000"/>
          <w:sz w:val="20"/>
          <w:szCs w:val="20"/>
        </w:rPr>
        <w:t xml:space="preserve">rate debt which mitigates the impact of fluctuations in fair value via execution of fixed to floating interest rate swaps. As at December 31, 2021, we do not have any pay floating-receive fixed interest rate swaps outstanding. </w:t>
      </w:r>
    </w:p>
    <w:p w:rsidR="00000000" w:rsidRDefault="001F1FC8">
      <w:pPr>
        <w:divId w:val="770013296"/>
        <w:rPr>
          <w:rFonts w:eastAsia="Times New Roman"/>
        </w:rPr>
      </w:pPr>
      <w:r>
        <w:rPr>
          <w:rFonts w:ascii="Arial" w:eastAsia="Times New Roman" w:hAnsi="Arial" w:cs="Arial"/>
          <w:color w:val="000000"/>
          <w:sz w:val="20"/>
          <w:szCs w:val="20"/>
        </w:rPr>
        <w:t> </w:t>
      </w:r>
    </w:p>
    <w:p w:rsidR="00000000" w:rsidRDefault="001F1FC8">
      <w:pPr>
        <w:divId w:val="446046874"/>
        <w:rPr>
          <w:rFonts w:eastAsia="Times New Roman"/>
        </w:rPr>
      </w:pPr>
      <w:r>
        <w:rPr>
          <w:rFonts w:ascii="Arial" w:eastAsia="Times New Roman" w:hAnsi="Arial" w:cs="Arial"/>
          <w:color w:val="000000"/>
          <w:sz w:val="20"/>
          <w:szCs w:val="20"/>
        </w:rPr>
        <w:t>Our earnings and cash flow</w:t>
      </w:r>
      <w:r>
        <w:rPr>
          <w:rFonts w:ascii="Arial" w:eastAsia="Times New Roman" w:hAnsi="Arial" w:cs="Arial"/>
          <w:color w:val="000000"/>
          <w:sz w:val="20"/>
          <w:szCs w:val="20"/>
        </w:rPr>
        <w:t xml:space="preserve">s are also exposed to variability in longer term interest rates ahead of anticipated fixed rate term debt issuances. Forward starting interest rate swaps are used to hedge against the effect of future interest rate movements. We have established a program </w:t>
      </w:r>
      <w:r>
        <w:rPr>
          <w:rFonts w:ascii="Arial" w:eastAsia="Times New Roman" w:hAnsi="Arial" w:cs="Arial"/>
          <w:color w:val="000000"/>
          <w:sz w:val="20"/>
          <w:szCs w:val="20"/>
        </w:rPr>
        <w:t xml:space="preserve">including some of our subsidiaries to mitigate our exposure to long-term interest rate variability on select forecast term debt issuances via execution of floating to fixed interest rate swaps with an average swap rate of 2.0%. </w:t>
      </w:r>
    </w:p>
    <w:p w:rsidR="00000000" w:rsidRDefault="001F1FC8">
      <w:pPr>
        <w:divId w:val="2112235375"/>
        <w:rPr>
          <w:rFonts w:eastAsia="Times New Roman"/>
        </w:rPr>
      </w:pPr>
      <w:r>
        <w:rPr>
          <w:rFonts w:ascii="Arial" w:eastAsia="Times New Roman" w:hAnsi="Arial" w:cs="Arial"/>
          <w:color w:val="000000"/>
          <w:sz w:val="20"/>
          <w:szCs w:val="20"/>
        </w:rPr>
        <w:t> </w:t>
      </w:r>
    </w:p>
    <w:p w:rsidR="00000000" w:rsidRDefault="001F1FC8">
      <w:pPr>
        <w:divId w:val="1634404254"/>
        <w:rPr>
          <w:rFonts w:eastAsia="Times New Roman"/>
        </w:rPr>
      </w:pPr>
      <w:r>
        <w:rPr>
          <w:rFonts w:ascii="Arial" w:eastAsia="Times New Roman" w:hAnsi="Arial" w:cs="Arial"/>
          <w:b/>
          <w:bCs/>
          <w:color w:val="000000"/>
          <w:sz w:val="20"/>
          <w:szCs w:val="20"/>
        </w:rPr>
        <w:t>Commodity Price Risk</w:t>
      </w:r>
    </w:p>
    <w:p w:rsidR="00000000" w:rsidRDefault="001F1FC8">
      <w:pPr>
        <w:divId w:val="833423022"/>
        <w:rPr>
          <w:rFonts w:eastAsia="Times New Roman"/>
        </w:rPr>
      </w:pPr>
      <w:r>
        <w:rPr>
          <w:rFonts w:ascii="Arial" w:eastAsia="Times New Roman" w:hAnsi="Arial" w:cs="Arial"/>
          <w:color w:val="000000"/>
          <w:sz w:val="20"/>
          <w:szCs w:val="20"/>
        </w:rPr>
        <w:t>Our earnings and cash flows are exposed to changes in commodity prices as a result of our ownership interests in certain assets and investments, as well as through the activities of our energy services subsidiaries. These commodities include natural gas, c</w:t>
      </w:r>
      <w:r>
        <w:rPr>
          <w:rFonts w:ascii="Arial" w:eastAsia="Times New Roman" w:hAnsi="Arial" w:cs="Arial"/>
          <w:color w:val="000000"/>
          <w:sz w:val="20"/>
          <w:szCs w:val="20"/>
        </w:rPr>
        <w:t>rude oil, power and NGL. We employ financial and physical derivative instruments to fix a portion of the variable price exposures that arise from physical transactions involving these commodities. We use primarily non-qualifying derivative instruments to m</w:t>
      </w:r>
      <w:r>
        <w:rPr>
          <w:rFonts w:ascii="Arial" w:eastAsia="Times New Roman" w:hAnsi="Arial" w:cs="Arial"/>
          <w:color w:val="000000"/>
          <w:sz w:val="20"/>
          <w:szCs w:val="20"/>
        </w:rPr>
        <w:t>anage commodity price risk.</w:t>
      </w:r>
    </w:p>
    <w:p w:rsidR="00000000" w:rsidRDefault="001F1FC8">
      <w:pPr>
        <w:divId w:val="1115832989"/>
        <w:rPr>
          <w:rFonts w:eastAsia="Times New Roman"/>
        </w:rPr>
      </w:pPr>
      <w:r>
        <w:rPr>
          <w:rFonts w:ascii="Arial" w:eastAsia="Times New Roman" w:hAnsi="Arial" w:cs="Arial"/>
          <w:color w:val="000000"/>
          <w:sz w:val="20"/>
          <w:szCs w:val="20"/>
        </w:rPr>
        <w:t> </w:t>
      </w:r>
    </w:p>
    <w:p w:rsidR="00000000" w:rsidRDefault="001F1FC8">
      <w:pPr>
        <w:divId w:val="204369922"/>
        <w:rPr>
          <w:rFonts w:eastAsia="Times New Roman"/>
        </w:rPr>
      </w:pPr>
      <w:r>
        <w:rPr>
          <w:rFonts w:ascii="Arial" w:eastAsia="Times New Roman" w:hAnsi="Arial" w:cs="Arial"/>
          <w:b/>
          <w:bCs/>
          <w:color w:val="000000"/>
          <w:sz w:val="20"/>
          <w:szCs w:val="20"/>
        </w:rPr>
        <w:t>Equity Price Risk</w:t>
      </w:r>
    </w:p>
    <w:p w:rsidR="00000000" w:rsidRDefault="001F1FC8">
      <w:pPr>
        <w:divId w:val="691615153"/>
        <w:rPr>
          <w:rFonts w:eastAsia="Times New Roman"/>
        </w:rPr>
      </w:pPr>
      <w:r>
        <w:rPr>
          <w:rFonts w:ascii="Arial" w:eastAsia="Times New Roman" w:hAnsi="Arial" w:cs="Arial"/>
          <w:color w:val="000000"/>
          <w:sz w:val="20"/>
          <w:szCs w:val="20"/>
        </w:rPr>
        <w:t>Equity price risk is the risk of earnings fluctuations due to changes in our share price. We have exposure to our own common share price through the issuance of various forms of stock-based compensation, whic</w:t>
      </w:r>
      <w:r>
        <w:rPr>
          <w:rFonts w:ascii="Arial" w:eastAsia="Times New Roman" w:hAnsi="Arial" w:cs="Arial"/>
          <w:color w:val="000000"/>
          <w:sz w:val="20"/>
          <w:szCs w:val="20"/>
        </w:rPr>
        <w:t>h affect earnings through revaluation of the outstanding units every period. We use equity derivatives to manage the earnings volatility derived from one form of stock-based compensation, restricted share units. We use a combination of qualifying and non-q</w:t>
      </w:r>
      <w:r>
        <w:rPr>
          <w:rFonts w:ascii="Arial" w:eastAsia="Times New Roman" w:hAnsi="Arial" w:cs="Arial"/>
          <w:color w:val="000000"/>
          <w:sz w:val="20"/>
          <w:szCs w:val="20"/>
        </w:rPr>
        <w:t xml:space="preserve">ualifying derivative instruments to manage equity price risk. </w:t>
      </w:r>
    </w:p>
    <w:p w:rsidR="00000000" w:rsidRDefault="001F1FC8">
      <w:pPr>
        <w:divId w:val="1416055531"/>
        <w:rPr>
          <w:rFonts w:eastAsia="Times New Roman"/>
        </w:rPr>
      </w:pPr>
    </w:p>
    <w:p w:rsidR="00000000" w:rsidRDefault="001F1FC8">
      <w:pPr>
        <w:divId w:val="749156350"/>
        <w:rPr>
          <w:rFonts w:eastAsia="Times New Roman"/>
        </w:rPr>
      </w:pPr>
      <w:r>
        <w:rPr>
          <w:rFonts w:ascii="Arial" w:eastAsia="Times New Roman" w:hAnsi="Arial" w:cs="Arial"/>
          <w:b/>
          <w:bCs/>
          <w:color w:val="000000"/>
          <w:sz w:val="20"/>
          <w:szCs w:val="20"/>
        </w:rPr>
        <w:t>TOTAL DERIVATIVE INSTRUMENTS</w:t>
      </w:r>
    </w:p>
    <w:p w:rsidR="00000000" w:rsidRDefault="001F1FC8">
      <w:pPr>
        <w:divId w:val="360130409"/>
        <w:rPr>
          <w:rFonts w:eastAsia="Times New Roman"/>
        </w:rPr>
      </w:pPr>
      <w:r>
        <w:rPr>
          <w:rFonts w:ascii="Arial" w:eastAsia="Times New Roman" w:hAnsi="Arial" w:cs="Arial"/>
          <w:color w:val="000000"/>
          <w:sz w:val="20"/>
          <w:szCs w:val="20"/>
        </w:rPr>
        <w:t>The following table summarizes the Consolidated Statements of Financial Position location and carrying value of our derivative instruments.</w:t>
      </w:r>
    </w:p>
    <w:p w:rsidR="00000000" w:rsidRDefault="001F1FC8">
      <w:pPr>
        <w:divId w:val="2112234394"/>
        <w:rPr>
          <w:rFonts w:eastAsia="Times New Roman"/>
        </w:rPr>
      </w:pPr>
      <w:r>
        <w:rPr>
          <w:rFonts w:ascii="Arial" w:eastAsia="Times New Roman" w:hAnsi="Arial" w:cs="Arial"/>
          <w:color w:val="000000"/>
          <w:sz w:val="20"/>
          <w:szCs w:val="20"/>
        </w:rPr>
        <w:t> </w:t>
      </w:r>
    </w:p>
    <w:p w:rsidR="00000000" w:rsidRDefault="001F1FC8">
      <w:pPr>
        <w:divId w:val="1732607316"/>
        <w:rPr>
          <w:rFonts w:eastAsia="Times New Roman"/>
        </w:rPr>
      </w:pPr>
      <w:r>
        <w:rPr>
          <w:rFonts w:ascii="Arial" w:eastAsia="Times New Roman" w:hAnsi="Arial" w:cs="Arial"/>
          <w:color w:val="000000"/>
          <w:sz w:val="20"/>
          <w:szCs w:val="20"/>
        </w:rPr>
        <w:t xml:space="preserve">We generally have a </w:t>
      </w:r>
      <w:r>
        <w:rPr>
          <w:rFonts w:ascii="Arial" w:eastAsia="Times New Roman" w:hAnsi="Arial" w:cs="Arial"/>
          <w:color w:val="000000"/>
          <w:sz w:val="20"/>
          <w:szCs w:val="20"/>
        </w:rPr>
        <w:t>policy of entering into individual International Swaps and Derivatives Association, Inc. agreements, or other similar derivative agreements, with the majority of our financial derivative counterparties. These agreements provide for the net settlement of de</w:t>
      </w:r>
      <w:r>
        <w:rPr>
          <w:rFonts w:ascii="Arial" w:eastAsia="Times New Roman" w:hAnsi="Arial" w:cs="Arial"/>
          <w:color w:val="000000"/>
          <w:sz w:val="20"/>
          <w:szCs w:val="20"/>
        </w:rPr>
        <w:t>rivative instruments outstanding with specific counterparties in the event of bankruptcy or other significant credit events and reduce our credit risk exposure on financial derivative asset positions outstanding with the counterparties in those circumstanc</w:t>
      </w:r>
      <w:r>
        <w:rPr>
          <w:rFonts w:ascii="Arial" w:eastAsia="Times New Roman" w:hAnsi="Arial" w:cs="Arial"/>
          <w:color w:val="000000"/>
          <w:sz w:val="20"/>
          <w:szCs w:val="20"/>
        </w:rPr>
        <w:t>es.</w:t>
      </w:r>
    </w:p>
    <w:p w:rsidR="00000000" w:rsidRDefault="001F1FC8">
      <w:pPr>
        <w:divId w:val="921373068"/>
        <w:rPr>
          <w:rFonts w:eastAsia="Times New Roman"/>
        </w:rPr>
      </w:pPr>
    </w:p>
    <w:p w:rsidR="00000000" w:rsidRDefault="001F1FC8">
      <w:pPr>
        <w:jc w:val="center"/>
        <w:divId w:val="1016034975"/>
        <w:rPr>
          <w:rFonts w:eastAsia="Times New Roman"/>
        </w:rPr>
      </w:pPr>
      <w:r>
        <w:rPr>
          <w:rFonts w:ascii="Arial" w:eastAsia="Times New Roman" w:hAnsi="Arial" w:cs="Arial"/>
          <w:color w:val="000000"/>
          <w:sz w:val="20"/>
          <w:szCs w:val="20"/>
        </w:rPr>
        <w:t>150</w:t>
      </w:r>
    </w:p>
    <w:p w:rsidR="00000000" w:rsidRDefault="001F1FC8">
      <w:pPr>
        <w:rPr>
          <w:rFonts w:eastAsia="Times New Roman"/>
        </w:rPr>
      </w:pPr>
      <w:r>
        <w:rPr>
          <w:rFonts w:eastAsia="Times New Roman"/>
        </w:rPr>
        <w:pict>
          <v:rect id="_x0000_i1180" style="width:0;height:1.5pt" o:hralign="center" o:hrstd="t" o:hr="t" fillcolor="#a0a0a0" stroked="f"/>
        </w:pict>
      </w:r>
    </w:p>
    <w:p w:rsidR="00000000" w:rsidRDefault="001F1FC8">
      <w:pPr>
        <w:jc w:val="center"/>
        <w:divId w:val="1472601418"/>
        <w:rPr>
          <w:rFonts w:eastAsia="Times New Roman"/>
        </w:rPr>
      </w:pPr>
    </w:p>
    <w:p w:rsidR="00000000" w:rsidRDefault="001F1FC8">
      <w:pPr>
        <w:divId w:val="723724831"/>
        <w:rPr>
          <w:rFonts w:eastAsia="Times New Roman"/>
        </w:rPr>
      </w:pPr>
      <w:r>
        <w:rPr>
          <w:rFonts w:ascii="Arial" w:eastAsia="Times New Roman" w:hAnsi="Arial" w:cs="Arial"/>
          <w:color w:val="000000"/>
          <w:sz w:val="20"/>
          <w:szCs w:val="20"/>
        </w:rPr>
        <w:t>The following table summarizes the maximum potential settlement amounts in the event of these specific circumstances. All amounts are presented gross in the Consolidated Statements of Financial Position.</w:t>
      </w:r>
    </w:p>
    <w:p w:rsidR="00000000" w:rsidRDefault="001F1FC8">
      <w:pPr>
        <w:divId w:val="1988244793"/>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40"/>
        <w:gridCol w:w="2083"/>
        <w:gridCol w:w="39"/>
        <w:gridCol w:w="87"/>
        <w:gridCol w:w="781"/>
        <w:gridCol w:w="36"/>
        <w:gridCol w:w="87"/>
        <w:gridCol w:w="781"/>
        <w:gridCol w:w="36"/>
        <w:gridCol w:w="86"/>
        <w:gridCol w:w="782"/>
        <w:gridCol w:w="36"/>
        <w:gridCol w:w="87"/>
        <w:gridCol w:w="781"/>
        <w:gridCol w:w="36"/>
        <w:gridCol w:w="87"/>
        <w:gridCol w:w="781"/>
        <w:gridCol w:w="36"/>
        <w:gridCol w:w="69"/>
        <w:gridCol w:w="615"/>
        <w:gridCol w:w="36"/>
        <w:gridCol w:w="87"/>
        <w:gridCol w:w="781"/>
        <w:gridCol w:w="36"/>
      </w:tblGrid>
      <w:tr w:rsidR="00000000">
        <w:trPr>
          <w:divId w:val="1145588504"/>
        </w:trPr>
        <w:tc>
          <w:tcPr>
            <w:tcW w:w="50" w:type="pct"/>
            <w:vAlign w:val="center"/>
            <w:hideMark/>
          </w:tcPr>
          <w:p w:rsidR="00000000" w:rsidRDefault="001F1FC8">
            <w:pPr>
              <w:rPr>
                <w:rFonts w:eastAsia="Times New Roman"/>
              </w:rPr>
            </w:pPr>
          </w:p>
        </w:tc>
        <w:tc>
          <w:tcPr>
            <w:tcW w:w="1400"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c>
          <w:tcPr>
            <w:tcW w:w="50" w:type="pct"/>
            <w:vAlign w:val="center"/>
            <w:hideMark/>
          </w:tcPr>
          <w:p w:rsidR="00000000" w:rsidRDefault="001F1FC8">
            <w:pPr>
              <w:rPr>
                <w:rFonts w:eastAsia="Times New Roman"/>
                <w:sz w:val="20"/>
                <w:szCs w:val="20"/>
              </w:rPr>
            </w:pPr>
          </w:p>
        </w:tc>
        <w:tc>
          <w:tcPr>
            <w:tcW w:w="450"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c>
          <w:tcPr>
            <w:tcW w:w="50" w:type="pct"/>
            <w:vAlign w:val="center"/>
            <w:hideMark/>
          </w:tcPr>
          <w:p w:rsidR="00000000" w:rsidRDefault="001F1FC8">
            <w:pPr>
              <w:rPr>
                <w:rFonts w:eastAsia="Times New Roman"/>
                <w:sz w:val="20"/>
                <w:szCs w:val="20"/>
              </w:rPr>
            </w:pPr>
          </w:p>
        </w:tc>
        <w:tc>
          <w:tcPr>
            <w:tcW w:w="450"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c>
          <w:tcPr>
            <w:tcW w:w="50" w:type="pct"/>
            <w:vAlign w:val="center"/>
            <w:hideMark/>
          </w:tcPr>
          <w:p w:rsidR="00000000" w:rsidRDefault="001F1FC8">
            <w:pPr>
              <w:rPr>
                <w:rFonts w:eastAsia="Times New Roman"/>
                <w:sz w:val="20"/>
                <w:szCs w:val="20"/>
              </w:rPr>
            </w:pPr>
          </w:p>
        </w:tc>
        <w:tc>
          <w:tcPr>
            <w:tcW w:w="457"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c>
          <w:tcPr>
            <w:tcW w:w="50" w:type="pct"/>
            <w:vAlign w:val="center"/>
            <w:hideMark/>
          </w:tcPr>
          <w:p w:rsidR="00000000" w:rsidRDefault="001F1FC8">
            <w:pPr>
              <w:rPr>
                <w:rFonts w:eastAsia="Times New Roman"/>
                <w:sz w:val="20"/>
                <w:szCs w:val="20"/>
              </w:rPr>
            </w:pPr>
          </w:p>
        </w:tc>
        <w:tc>
          <w:tcPr>
            <w:tcW w:w="450"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c>
          <w:tcPr>
            <w:tcW w:w="50" w:type="pct"/>
            <w:vAlign w:val="center"/>
            <w:hideMark/>
          </w:tcPr>
          <w:p w:rsidR="00000000" w:rsidRDefault="001F1FC8">
            <w:pPr>
              <w:rPr>
                <w:rFonts w:eastAsia="Times New Roman"/>
                <w:sz w:val="20"/>
                <w:szCs w:val="20"/>
              </w:rPr>
            </w:pPr>
          </w:p>
        </w:tc>
        <w:tc>
          <w:tcPr>
            <w:tcW w:w="450"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c>
          <w:tcPr>
            <w:tcW w:w="50" w:type="pct"/>
            <w:vAlign w:val="center"/>
            <w:hideMark/>
          </w:tcPr>
          <w:p w:rsidR="00000000" w:rsidRDefault="001F1FC8">
            <w:pPr>
              <w:rPr>
                <w:rFonts w:eastAsia="Times New Roman"/>
                <w:sz w:val="20"/>
                <w:szCs w:val="20"/>
              </w:rPr>
            </w:pPr>
          </w:p>
        </w:tc>
        <w:tc>
          <w:tcPr>
            <w:tcW w:w="450"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c>
          <w:tcPr>
            <w:tcW w:w="50" w:type="pct"/>
            <w:vAlign w:val="center"/>
            <w:hideMark/>
          </w:tcPr>
          <w:p w:rsidR="00000000" w:rsidRDefault="001F1FC8">
            <w:pPr>
              <w:rPr>
                <w:rFonts w:eastAsia="Times New Roman"/>
                <w:sz w:val="20"/>
                <w:szCs w:val="20"/>
              </w:rPr>
            </w:pPr>
          </w:p>
        </w:tc>
        <w:tc>
          <w:tcPr>
            <w:tcW w:w="450"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r>
      <w:tr w:rsidR="00000000">
        <w:trPr>
          <w:divId w:val="1145588504"/>
        </w:trPr>
        <w:tc>
          <w:tcPr>
            <w:tcW w:w="0" w:type="auto"/>
            <w:gridSpan w:val="3"/>
            <w:tcMar>
              <w:top w:w="30" w:type="dxa"/>
              <w:left w:w="20" w:type="dxa"/>
              <w:bottom w:w="30" w:type="dxa"/>
              <w:right w:w="20" w:type="dxa"/>
            </w:tcMar>
            <w:vAlign w:val="bottom"/>
            <w:hideMark/>
          </w:tcPr>
          <w:p w:rsidR="00000000" w:rsidRDefault="001F1FC8">
            <w:pPr>
              <w:rPr>
                <w:rFonts w:eastAsia="Times New Roman"/>
              </w:rPr>
            </w:pPr>
            <w:r>
              <w:rPr>
                <w:rFonts w:ascii="Arial" w:eastAsia="Times New Roman" w:hAnsi="Arial" w:cs="Arial"/>
                <w:b/>
                <w:bCs/>
                <w:color w:val="000000"/>
                <w:sz w:val="16"/>
                <w:szCs w:val="16"/>
              </w:rPr>
              <w:t>December 31, 2021</w:t>
            </w:r>
          </w:p>
        </w:tc>
        <w:tc>
          <w:tcPr>
            <w:tcW w:w="0" w:type="auto"/>
            <w:gridSpan w:val="3"/>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Derivative</w:t>
            </w:r>
          </w:p>
          <w:p w:rsidR="00000000" w:rsidRDefault="001F1FC8">
            <w:pPr>
              <w:jc w:val="right"/>
              <w:rPr>
                <w:rFonts w:eastAsia="Times New Roman"/>
              </w:rPr>
            </w:pPr>
            <w:r>
              <w:rPr>
                <w:rFonts w:ascii="Arial" w:eastAsia="Times New Roman" w:hAnsi="Arial" w:cs="Arial"/>
                <w:color w:val="000000"/>
                <w:sz w:val="16"/>
                <w:szCs w:val="16"/>
              </w:rPr>
              <w:t>Instruments</w:t>
            </w:r>
          </w:p>
          <w:p w:rsidR="00000000" w:rsidRDefault="001F1FC8">
            <w:pPr>
              <w:jc w:val="right"/>
              <w:rPr>
                <w:rFonts w:eastAsia="Times New Roman"/>
              </w:rPr>
            </w:pPr>
            <w:r>
              <w:rPr>
                <w:rFonts w:ascii="Arial" w:eastAsia="Times New Roman" w:hAnsi="Arial" w:cs="Arial"/>
                <w:color w:val="000000"/>
                <w:sz w:val="16"/>
                <w:szCs w:val="16"/>
              </w:rPr>
              <w:t>Used as</w:t>
            </w:r>
          </w:p>
          <w:p w:rsidR="00000000" w:rsidRDefault="001F1FC8">
            <w:pPr>
              <w:jc w:val="right"/>
              <w:rPr>
                <w:rFonts w:eastAsia="Times New Roman"/>
              </w:rPr>
            </w:pPr>
            <w:r>
              <w:rPr>
                <w:rFonts w:ascii="Arial" w:eastAsia="Times New Roman" w:hAnsi="Arial" w:cs="Arial"/>
                <w:color w:val="000000"/>
                <w:sz w:val="16"/>
                <w:szCs w:val="16"/>
              </w:rPr>
              <w:t>Cash Flow Hedges</w:t>
            </w:r>
          </w:p>
        </w:tc>
        <w:tc>
          <w:tcPr>
            <w:tcW w:w="0" w:type="auto"/>
            <w:gridSpan w:val="3"/>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Derivative</w:t>
            </w:r>
          </w:p>
          <w:p w:rsidR="00000000" w:rsidRDefault="001F1FC8">
            <w:pPr>
              <w:jc w:val="right"/>
              <w:rPr>
                <w:rFonts w:eastAsia="Times New Roman"/>
              </w:rPr>
            </w:pPr>
            <w:r>
              <w:rPr>
                <w:rFonts w:ascii="Arial" w:eastAsia="Times New Roman" w:hAnsi="Arial" w:cs="Arial"/>
                <w:color w:val="000000"/>
                <w:sz w:val="16"/>
                <w:szCs w:val="16"/>
              </w:rPr>
              <w:t>Instruments</w:t>
            </w:r>
          </w:p>
          <w:p w:rsidR="00000000" w:rsidRDefault="001F1FC8">
            <w:pPr>
              <w:jc w:val="right"/>
              <w:rPr>
                <w:rFonts w:eastAsia="Times New Roman"/>
              </w:rPr>
            </w:pPr>
            <w:r>
              <w:rPr>
                <w:rFonts w:ascii="Arial" w:eastAsia="Times New Roman" w:hAnsi="Arial" w:cs="Arial"/>
                <w:color w:val="000000"/>
                <w:sz w:val="16"/>
                <w:szCs w:val="16"/>
              </w:rPr>
              <w:t>Used as Net</w:t>
            </w:r>
          </w:p>
          <w:p w:rsidR="00000000" w:rsidRDefault="001F1FC8">
            <w:pPr>
              <w:jc w:val="right"/>
              <w:rPr>
                <w:rFonts w:eastAsia="Times New Roman"/>
              </w:rPr>
            </w:pPr>
            <w:r>
              <w:rPr>
                <w:rFonts w:ascii="Arial" w:eastAsia="Times New Roman" w:hAnsi="Arial" w:cs="Arial"/>
                <w:color w:val="000000"/>
                <w:sz w:val="16"/>
                <w:szCs w:val="16"/>
              </w:rPr>
              <w:t>Investment Hedges</w:t>
            </w:r>
          </w:p>
        </w:tc>
        <w:tc>
          <w:tcPr>
            <w:tcW w:w="0" w:type="auto"/>
            <w:gridSpan w:val="3"/>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Derivative</w:t>
            </w:r>
            <w:r>
              <w:rPr>
                <w:rFonts w:ascii="Arial" w:eastAsia="Times New Roman" w:hAnsi="Arial" w:cs="Arial"/>
                <w:color w:val="000000"/>
                <w:sz w:val="16"/>
                <w:szCs w:val="16"/>
              </w:rPr>
              <w:br/>
              <w:t>Instruments</w:t>
            </w:r>
            <w:r>
              <w:rPr>
                <w:rFonts w:ascii="Arial" w:eastAsia="Times New Roman" w:hAnsi="Arial" w:cs="Arial"/>
                <w:color w:val="000000"/>
                <w:sz w:val="16"/>
                <w:szCs w:val="16"/>
              </w:rPr>
              <w:br/>
              <w:t>Used as</w:t>
            </w:r>
            <w:r>
              <w:rPr>
                <w:rFonts w:ascii="Arial" w:eastAsia="Times New Roman" w:hAnsi="Arial" w:cs="Arial"/>
                <w:color w:val="000000"/>
                <w:sz w:val="16"/>
                <w:szCs w:val="16"/>
              </w:rPr>
              <w:br/>
              <w:t>Fair Value Hedges</w:t>
            </w:r>
          </w:p>
        </w:tc>
        <w:tc>
          <w:tcPr>
            <w:tcW w:w="0" w:type="auto"/>
            <w:gridSpan w:val="3"/>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Non-</w:t>
            </w:r>
          </w:p>
          <w:p w:rsidR="00000000" w:rsidRDefault="001F1FC8">
            <w:pPr>
              <w:jc w:val="right"/>
              <w:rPr>
                <w:rFonts w:eastAsia="Times New Roman"/>
              </w:rPr>
            </w:pPr>
            <w:r>
              <w:rPr>
                <w:rFonts w:ascii="Arial" w:eastAsia="Times New Roman" w:hAnsi="Arial" w:cs="Arial"/>
                <w:color w:val="000000"/>
                <w:sz w:val="16"/>
                <w:szCs w:val="16"/>
              </w:rPr>
              <w:t>Qualifying</w:t>
            </w:r>
          </w:p>
          <w:p w:rsidR="00000000" w:rsidRDefault="001F1FC8">
            <w:pPr>
              <w:jc w:val="right"/>
              <w:rPr>
                <w:rFonts w:eastAsia="Times New Roman"/>
              </w:rPr>
            </w:pPr>
            <w:r>
              <w:rPr>
                <w:rFonts w:ascii="Arial" w:eastAsia="Times New Roman" w:hAnsi="Arial" w:cs="Arial"/>
                <w:color w:val="000000"/>
                <w:sz w:val="16"/>
                <w:szCs w:val="16"/>
              </w:rPr>
              <w:t>Derivative Instruments</w:t>
            </w:r>
          </w:p>
        </w:tc>
        <w:tc>
          <w:tcPr>
            <w:tcW w:w="0" w:type="auto"/>
            <w:gridSpan w:val="3"/>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Total Gross</w:t>
            </w:r>
          </w:p>
          <w:p w:rsidR="00000000" w:rsidRDefault="001F1FC8">
            <w:pPr>
              <w:jc w:val="right"/>
              <w:rPr>
                <w:rFonts w:eastAsia="Times New Roman"/>
              </w:rPr>
            </w:pPr>
            <w:r>
              <w:rPr>
                <w:rFonts w:ascii="Arial" w:eastAsia="Times New Roman" w:hAnsi="Arial" w:cs="Arial"/>
                <w:color w:val="000000"/>
                <w:sz w:val="16"/>
                <w:szCs w:val="16"/>
              </w:rPr>
              <w:t>Derivative</w:t>
            </w:r>
          </w:p>
          <w:p w:rsidR="00000000" w:rsidRDefault="001F1FC8">
            <w:pPr>
              <w:jc w:val="right"/>
              <w:rPr>
                <w:rFonts w:eastAsia="Times New Roman"/>
              </w:rPr>
            </w:pPr>
            <w:r>
              <w:rPr>
                <w:rFonts w:ascii="Arial" w:eastAsia="Times New Roman" w:hAnsi="Arial" w:cs="Arial"/>
                <w:color w:val="000000"/>
                <w:sz w:val="16"/>
                <w:szCs w:val="16"/>
              </w:rPr>
              <w:t>Instruments as Presented</w:t>
            </w:r>
          </w:p>
        </w:tc>
        <w:tc>
          <w:tcPr>
            <w:tcW w:w="0" w:type="auto"/>
            <w:gridSpan w:val="3"/>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Amounts</w:t>
            </w:r>
          </w:p>
          <w:p w:rsidR="00000000" w:rsidRDefault="001F1FC8">
            <w:pPr>
              <w:jc w:val="right"/>
              <w:rPr>
                <w:rFonts w:eastAsia="Times New Roman"/>
              </w:rPr>
            </w:pPr>
            <w:r>
              <w:rPr>
                <w:rFonts w:ascii="Arial" w:eastAsia="Times New Roman" w:hAnsi="Arial" w:cs="Arial"/>
                <w:color w:val="000000"/>
                <w:sz w:val="16"/>
                <w:szCs w:val="16"/>
              </w:rPr>
              <w:t>Available for Offset</w:t>
            </w:r>
          </w:p>
        </w:tc>
        <w:tc>
          <w:tcPr>
            <w:tcW w:w="0" w:type="auto"/>
            <w:gridSpan w:val="3"/>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Total Net</w:t>
            </w:r>
          </w:p>
          <w:p w:rsidR="00000000" w:rsidRDefault="001F1FC8">
            <w:pPr>
              <w:jc w:val="right"/>
              <w:rPr>
                <w:rFonts w:eastAsia="Times New Roman"/>
              </w:rPr>
            </w:pPr>
            <w:r>
              <w:rPr>
                <w:rFonts w:ascii="Arial" w:eastAsia="Times New Roman" w:hAnsi="Arial" w:cs="Arial"/>
                <w:color w:val="000000"/>
                <w:sz w:val="16"/>
                <w:szCs w:val="16"/>
              </w:rPr>
              <w:t>Derivative Instruments</w:t>
            </w:r>
          </w:p>
        </w:tc>
      </w:tr>
      <w:tr w:rsidR="00000000">
        <w:trPr>
          <w:divId w:val="1145588504"/>
        </w:trPr>
        <w:tc>
          <w:tcPr>
            <w:tcW w:w="0" w:type="auto"/>
            <w:gridSpan w:val="3"/>
            <w:tcBorders>
              <w:top w:val="single" w:sz="4" w:space="0" w:color="000000"/>
            </w:tcBorders>
            <w:tcMar>
              <w:top w:w="30" w:type="dxa"/>
              <w:left w:w="20" w:type="dxa"/>
              <w:bottom w:w="30" w:type="dxa"/>
              <w:right w:w="20" w:type="dxa"/>
            </w:tcMar>
            <w:hideMark/>
          </w:tcPr>
          <w:p w:rsidR="00000000" w:rsidRDefault="001F1FC8">
            <w:pPr>
              <w:rPr>
                <w:rFonts w:eastAsia="Times New Roman"/>
              </w:rPr>
            </w:pPr>
            <w:r>
              <w:rPr>
                <w:rFonts w:ascii="Arial" w:eastAsia="Times New Roman" w:hAnsi="Arial" w:cs="Arial"/>
                <w:i/>
                <w:iCs/>
                <w:color w:val="000000"/>
                <w:sz w:val="14"/>
                <w:szCs w:val="14"/>
              </w:rPr>
              <w:t>(millions of Canadian dollars)</w:t>
            </w:r>
          </w:p>
        </w:tc>
        <w:tc>
          <w:tcPr>
            <w:tcW w:w="0" w:type="auto"/>
            <w:gridSpan w:val="3"/>
            <w:tcBorders>
              <w:top w:val="single" w:sz="4" w:space="0" w:color="000000"/>
            </w:tcBorders>
            <w:shd w:val="clear" w:color="auto" w:fill="D8D8D8"/>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2"/>
                <w:szCs w:val="2"/>
              </w:rPr>
              <w:t> </w:t>
            </w:r>
          </w:p>
        </w:tc>
        <w:tc>
          <w:tcPr>
            <w:tcW w:w="0" w:type="auto"/>
            <w:gridSpan w:val="3"/>
            <w:tcBorders>
              <w:top w:val="single" w:sz="4" w:space="0" w:color="000000"/>
            </w:tcBorders>
            <w:shd w:val="clear" w:color="auto" w:fill="D8D8D8"/>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2"/>
                <w:szCs w:val="2"/>
              </w:rPr>
              <w:t> </w:t>
            </w:r>
          </w:p>
        </w:tc>
        <w:tc>
          <w:tcPr>
            <w:tcW w:w="0" w:type="auto"/>
            <w:gridSpan w:val="3"/>
            <w:tcBorders>
              <w:top w:val="single" w:sz="4" w:space="0" w:color="000000"/>
            </w:tcBorders>
            <w:shd w:val="clear" w:color="auto" w:fill="D8D8D8"/>
            <w:tcMar>
              <w:top w:w="0" w:type="dxa"/>
              <w:left w:w="20" w:type="dxa"/>
              <w:bottom w:w="0" w:type="dxa"/>
              <w:right w:w="20" w:type="dxa"/>
            </w:tcMar>
            <w:vAlign w:val="center"/>
            <w:hideMark/>
          </w:tcPr>
          <w:p w:rsidR="00000000" w:rsidRDefault="001F1FC8">
            <w:pPr>
              <w:jc w:val="right"/>
              <w:rPr>
                <w:rFonts w:eastAsia="Times New Roman"/>
              </w:rPr>
            </w:pPr>
          </w:p>
        </w:tc>
        <w:tc>
          <w:tcPr>
            <w:tcW w:w="0" w:type="auto"/>
            <w:gridSpan w:val="3"/>
            <w:tcBorders>
              <w:top w:val="single" w:sz="4" w:space="0" w:color="000000"/>
            </w:tcBorders>
            <w:shd w:val="clear" w:color="auto" w:fill="D8D8D8"/>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2"/>
                <w:szCs w:val="2"/>
              </w:rPr>
              <w:t> </w:t>
            </w:r>
          </w:p>
        </w:tc>
        <w:tc>
          <w:tcPr>
            <w:tcW w:w="0" w:type="auto"/>
            <w:gridSpan w:val="3"/>
            <w:tcBorders>
              <w:top w:val="single" w:sz="4" w:space="0" w:color="000000"/>
            </w:tcBorders>
            <w:shd w:val="clear" w:color="auto" w:fill="D8D8D8"/>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2"/>
                <w:szCs w:val="2"/>
              </w:rPr>
              <w:t> </w:t>
            </w:r>
          </w:p>
        </w:tc>
        <w:tc>
          <w:tcPr>
            <w:tcW w:w="0" w:type="auto"/>
            <w:gridSpan w:val="3"/>
            <w:tcBorders>
              <w:top w:val="single" w:sz="4" w:space="0" w:color="000000"/>
            </w:tcBorders>
            <w:shd w:val="clear" w:color="auto" w:fill="D8D8D8"/>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2"/>
                <w:szCs w:val="2"/>
              </w:rPr>
              <w:t> </w:t>
            </w:r>
          </w:p>
        </w:tc>
        <w:tc>
          <w:tcPr>
            <w:tcW w:w="0" w:type="auto"/>
            <w:gridSpan w:val="3"/>
            <w:tcBorders>
              <w:top w:val="single" w:sz="4" w:space="0" w:color="000000"/>
            </w:tcBorders>
            <w:shd w:val="clear" w:color="auto" w:fill="D8D8D8"/>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2"/>
                <w:szCs w:val="2"/>
              </w:rPr>
              <w:t> </w:t>
            </w:r>
          </w:p>
        </w:tc>
      </w:tr>
      <w:tr w:rsidR="00000000">
        <w:trPr>
          <w:divId w:val="1145588504"/>
        </w:trPr>
        <w:tc>
          <w:tcPr>
            <w:tcW w:w="0" w:type="auto"/>
            <w:gridSpan w:val="3"/>
            <w:tcMar>
              <w:top w:w="30" w:type="dxa"/>
              <w:left w:w="20" w:type="dxa"/>
              <w:bottom w:w="30" w:type="dxa"/>
              <w:right w:w="20" w:type="dxa"/>
            </w:tcMar>
            <w:vAlign w:val="bottom"/>
            <w:hideMark/>
          </w:tcPr>
          <w:p w:rsidR="00000000" w:rsidRDefault="001F1FC8">
            <w:pPr>
              <w:rPr>
                <w:rFonts w:eastAsia="Times New Roman"/>
              </w:rPr>
            </w:pPr>
            <w:r>
              <w:rPr>
                <w:rFonts w:ascii="Arial" w:eastAsia="Times New Roman" w:hAnsi="Arial" w:cs="Arial"/>
                <w:color w:val="000000"/>
                <w:sz w:val="16"/>
                <w:szCs w:val="16"/>
              </w:rPr>
              <w:t>Accounts receivable and other</w:t>
            </w:r>
          </w:p>
        </w:tc>
        <w:tc>
          <w:tcPr>
            <w:tcW w:w="0" w:type="auto"/>
            <w:gridSpan w:val="3"/>
            <w:shd w:val="clear" w:color="auto" w:fill="D8D8D8"/>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2"/>
                <w:szCs w:val="2"/>
              </w:rPr>
              <w:t> </w:t>
            </w:r>
          </w:p>
        </w:tc>
        <w:tc>
          <w:tcPr>
            <w:tcW w:w="0" w:type="auto"/>
            <w:gridSpan w:val="3"/>
            <w:shd w:val="clear" w:color="auto" w:fill="D8D8D8"/>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2"/>
                <w:szCs w:val="2"/>
              </w:rPr>
              <w:t> </w:t>
            </w:r>
          </w:p>
        </w:tc>
        <w:tc>
          <w:tcPr>
            <w:tcW w:w="0" w:type="auto"/>
            <w:gridSpan w:val="3"/>
            <w:shd w:val="clear" w:color="auto" w:fill="D8D8D8"/>
            <w:tcMar>
              <w:top w:w="0" w:type="dxa"/>
              <w:left w:w="20" w:type="dxa"/>
              <w:bottom w:w="0" w:type="dxa"/>
              <w:right w:w="20" w:type="dxa"/>
            </w:tcMar>
            <w:vAlign w:val="center"/>
            <w:hideMark/>
          </w:tcPr>
          <w:p w:rsidR="00000000" w:rsidRDefault="001F1FC8">
            <w:pPr>
              <w:jc w:val="right"/>
              <w:rPr>
                <w:rFonts w:eastAsia="Times New Roman"/>
              </w:rPr>
            </w:pPr>
          </w:p>
        </w:tc>
        <w:tc>
          <w:tcPr>
            <w:tcW w:w="0" w:type="auto"/>
            <w:gridSpan w:val="3"/>
            <w:shd w:val="clear" w:color="auto" w:fill="D8D8D8"/>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2"/>
                <w:szCs w:val="2"/>
              </w:rPr>
              <w:t> </w:t>
            </w:r>
          </w:p>
        </w:tc>
        <w:tc>
          <w:tcPr>
            <w:tcW w:w="0" w:type="auto"/>
            <w:gridSpan w:val="3"/>
            <w:shd w:val="clear" w:color="auto" w:fill="D8D8D8"/>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2"/>
                <w:szCs w:val="2"/>
              </w:rPr>
              <w:t> </w:t>
            </w:r>
          </w:p>
        </w:tc>
        <w:tc>
          <w:tcPr>
            <w:tcW w:w="0" w:type="auto"/>
            <w:gridSpan w:val="3"/>
            <w:shd w:val="clear" w:color="auto" w:fill="D8D8D8"/>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2"/>
                <w:szCs w:val="2"/>
              </w:rPr>
              <w:t> </w:t>
            </w:r>
          </w:p>
        </w:tc>
        <w:tc>
          <w:tcPr>
            <w:tcW w:w="0" w:type="auto"/>
            <w:gridSpan w:val="3"/>
            <w:shd w:val="clear" w:color="auto" w:fill="D8D8D8"/>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2"/>
                <w:szCs w:val="2"/>
              </w:rPr>
              <w:t> </w:t>
            </w:r>
          </w:p>
        </w:tc>
      </w:tr>
      <w:tr w:rsidR="00000000">
        <w:trPr>
          <w:divId w:val="1145588504"/>
        </w:trPr>
        <w:tc>
          <w:tcPr>
            <w:tcW w:w="0" w:type="auto"/>
            <w:gridSpan w:val="3"/>
            <w:tcMar>
              <w:top w:w="30" w:type="dxa"/>
              <w:left w:w="155" w:type="dxa"/>
              <w:bottom w:w="30" w:type="dxa"/>
              <w:right w:w="20" w:type="dxa"/>
            </w:tcMar>
            <w:hideMark/>
          </w:tcPr>
          <w:p w:rsidR="00000000" w:rsidRDefault="001F1FC8">
            <w:pPr>
              <w:rPr>
                <w:rFonts w:eastAsia="Times New Roman"/>
              </w:rPr>
            </w:pPr>
            <w:r>
              <w:rPr>
                <w:rFonts w:ascii="Arial" w:eastAsia="Times New Roman" w:hAnsi="Arial" w:cs="Arial"/>
                <w:color w:val="000000"/>
                <w:sz w:val="16"/>
                <w:szCs w:val="16"/>
              </w:rPr>
              <w:t>Foreign exchange contracts</w:t>
            </w:r>
          </w:p>
        </w:tc>
        <w:tc>
          <w:tcPr>
            <w:tcW w:w="0" w:type="auto"/>
            <w:gridSpan w:val="2"/>
            <w:shd w:val="clear" w:color="auto" w:fill="D8D8D8"/>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8D8D8"/>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shd w:val="clear" w:color="auto" w:fill="D8D8D8"/>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8D8D8"/>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shd w:val="clear" w:color="auto" w:fill="D8D8D8"/>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8D8D8"/>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shd w:val="clear" w:color="auto" w:fill="D8D8D8"/>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6"/>
                <w:szCs w:val="16"/>
              </w:rPr>
              <w:t>259</w:t>
            </w:r>
            <w:r>
              <w:rPr>
                <w:rFonts w:ascii="Arial" w:eastAsia="Times New Roman" w:hAnsi="Arial" w:cs="Arial"/>
                <w:color w:val="000000"/>
                <w:sz w:val="16"/>
                <w:szCs w:val="16"/>
              </w:rPr>
              <w:t> </w:t>
            </w:r>
          </w:p>
        </w:tc>
        <w:tc>
          <w:tcPr>
            <w:tcW w:w="0" w:type="auto"/>
            <w:shd w:val="clear" w:color="auto" w:fill="D8D8D8"/>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shd w:val="clear" w:color="auto" w:fill="D8D8D8"/>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6"/>
                <w:szCs w:val="16"/>
              </w:rPr>
              <w:t>259</w:t>
            </w:r>
            <w:r>
              <w:rPr>
                <w:rFonts w:ascii="Arial" w:eastAsia="Times New Roman" w:hAnsi="Arial" w:cs="Arial"/>
                <w:color w:val="000000"/>
                <w:sz w:val="16"/>
                <w:szCs w:val="16"/>
              </w:rPr>
              <w:t> </w:t>
            </w:r>
          </w:p>
        </w:tc>
        <w:tc>
          <w:tcPr>
            <w:tcW w:w="0" w:type="auto"/>
            <w:shd w:val="clear" w:color="auto" w:fill="D8D8D8"/>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shd w:val="clear" w:color="auto" w:fill="D8D8D8"/>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6"/>
                <w:szCs w:val="16"/>
              </w:rPr>
              <w:t>(41)</w:t>
            </w:r>
          </w:p>
        </w:tc>
        <w:tc>
          <w:tcPr>
            <w:tcW w:w="0" w:type="auto"/>
            <w:shd w:val="clear" w:color="auto" w:fill="D8D8D8"/>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shd w:val="clear" w:color="auto" w:fill="D8D8D8"/>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6"/>
                <w:szCs w:val="16"/>
              </w:rPr>
              <w:t>218</w:t>
            </w:r>
            <w:r>
              <w:rPr>
                <w:rFonts w:ascii="Arial" w:eastAsia="Times New Roman" w:hAnsi="Arial" w:cs="Arial"/>
                <w:color w:val="000000"/>
                <w:sz w:val="16"/>
                <w:szCs w:val="16"/>
              </w:rPr>
              <w:t> </w:t>
            </w:r>
          </w:p>
        </w:tc>
        <w:tc>
          <w:tcPr>
            <w:tcW w:w="0" w:type="auto"/>
            <w:shd w:val="clear" w:color="auto" w:fill="D8D8D8"/>
            <w:tcMar>
              <w:top w:w="30" w:type="dxa"/>
              <w:left w:w="0" w:type="dxa"/>
              <w:bottom w:w="30" w:type="dxa"/>
              <w:right w:w="20" w:type="dxa"/>
            </w:tcMar>
            <w:vAlign w:val="bottom"/>
            <w:hideMark/>
          </w:tcPr>
          <w:p w:rsidR="00000000" w:rsidRDefault="001F1FC8">
            <w:pPr>
              <w:jc w:val="right"/>
              <w:rPr>
                <w:rFonts w:eastAsia="Times New Roman"/>
              </w:rPr>
            </w:pPr>
          </w:p>
        </w:tc>
      </w:tr>
      <w:tr w:rsidR="00000000">
        <w:trPr>
          <w:divId w:val="1145588504"/>
        </w:trPr>
        <w:tc>
          <w:tcPr>
            <w:tcW w:w="0" w:type="auto"/>
            <w:gridSpan w:val="3"/>
            <w:tcMar>
              <w:top w:w="30" w:type="dxa"/>
              <w:left w:w="155" w:type="dxa"/>
              <w:bottom w:w="30" w:type="dxa"/>
              <w:right w:w="20" w:type="dxa"/>
            </w:tcMar>
            <w:hideMark/>
          </w:tcPr>
          <w:p w:rsidR="00000000" w:rsidRDefault="001F1FC8">
            <w:pPr>
              <w:rPr>
                <w:rFonts w:eastAsia="Times New Roman"/>
              </w:rPr>
            </w:pPr>
            <w:r>
              <w:rPr>
                <w:rFonts w:ascii="Arial" w:eastAsia="Times New Roman" w:hAnsi="Arial" w:cs="Arial"/>
                <w:color w:val="000000"/>
                <w:sz w:val="16"/>
                <w:szCs w:val="16"/>
              </w:rPr>
              <w:t>Interest rate contracts</w:t>
            </w:r>
          </w:p>
        </w:tc>
        <w:tc>
          <w:tcPr>
            <w:tcW w:w="0" w:type="auto"/>
            <w:gridSpan w:val="2"/>
            <w:shd w:val="clear" w:color="auto" w:fill="D8D8D8"/>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6"/>
                <w:szCs w:val="16"/>
              </w:rPr>
              <w:t>64</w:t>
            </w:r>
            <w:r>
              <w:rPr>
                <w:rFonts w:ascii="Arial" w:eastAsia="Times New Roman" w:hAnsi="Arial" w:cs="Arial"/>
                <w:color w:val="000000"/>
                <w:sz w:val="16"/>
                <w:szCs w:val="16"/>
              </w:rPr>
              <w:t> </w:t>
            </w:r>
          </w:p>
        </w:tc>
        <w:tc>
          <w:tcPr>
            <w:tcW w:w="0" w:type="auto"/>
            <w:shd w:val="clear" w:color="auto" w:fill="D8D8D8"/>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shd w:val="clear" w:color="auto" w:fill="D8D8D8"/>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8D8D8"/>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shd w:val="clear" w:color="auto" w:fill="D8D8D8"/>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8D8D8"/>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shd w:val="clear" w:color="auto" w:fill="D8D8D8"/>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8D8D8"/>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shd w:val="clear" w:color="auto" w:fill="D8D8D8"/>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6"/>
                <w:szCs w:val="16"/>
              </w:rPr>
              <w:t>64</w:t>
            </w:r>
            <w:r>
              <w:rPr>
                <w:rFonts w:ascii="Arial" w:eastAsia="Times New Roman" w:hAnsi="Arial" w:cs="Arial"/>
                <w:color w:val="000000"/>
                <w:sz w:val="16"/>
                <w:szCs w:val="16"/>
              </w:rPr>
              <w:t> </w:t>
            </w:r>
          </w:p>
        </w:tc>
        <w:tc>
          <w:tcPr>
            <w:tcW w:w="0" w:type="auto"/>
            <w:shd w:val="clear" w:color="auto" w:fill="D8D8D8"/>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shd w:val="clear" w:color="auto" w:fill="D8D8D8"/>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8D8D8"/>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shd w:val="clear" w:color="auto" w:fill="D8D8D8"/>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6"/>
                <w:szCs w:val="16"/>
              </w:rPr>
              <w:t>64</w:t>
            </w:r>
            <w:r>
              <w:rPr>
                <w:rFonts w:ascii="Arial" w:eastAsia="Times New Roman" w:hAnsi="Arial" w:cs="Arial"/>
                <w:color w:val="000000"/>
                <w:sz w:val="16"/>
                <w:szCs w:val="16"/>
              </w:rPr>
              <w:t> </w:t>
            </w:r>
          </w:p>
        </w:tc>
        <w:tc>
          <w:tcPr>
            <w:tcW w:w="0" w:type="auto"/>
            <w:shd w:val="clear" w:color="auto" w:fill="D8D8D8"/>
            <w:tcMar>
              <w:top w:w="30" w:type="dxa"/>
              <w:left w:w="0" w:type="dxa"/>
              <w:bottom w:w="30" w:type="dxa"/>
              <w:right w:w="20" w:type="dxa"/>
            </w:tcMar>
            <w:vAlign w:val="bottom"/>
            <w:hideMark/>
          </w:tcPr>
          <w:p w:rsidR="00000000" w:rsidRDefault="001F1FC8">
            <w:pPr>
              <w:jc w:val="right"/>
              <w:rPr>
                <w:rFonts w:eastAsia="Times New Roman"/>
              </w:rPr>
            </w:pPr>
          </w:p>
        </w:tc>
      </w:tr>
      <w:tr w:rsidR="00000000">
        <w:trPr>
          <w:divId w:val="1145588504"/>
        </w:trPr>
        <w:tc>
          <w:tcPr>
            <w:tcW w:w="0" w:type="auto"/>
            <w:gridSpan w:val="3"/>
            <w:tcMar>
              <w:top w:w="30" w:type="dxa"/>
              <w:left w:w="155" w:type="dxa"/>
              <w:bottom w:w="30" w:type="dxa"/>
              <w:right w:w="20" w:type="dxa"/>
            </w:tcMar>
            <w:hideMark/>
          </w:tcPr>
          <w:p w:rsidR="00000000" w:rsidRDefault="001F1FC8">
            <w:pPr>
              <w:rPr>
                <w:rFonts w:eastAsia="Times New Roman"/>
              </w:rPr>
            </w:pPr>
            <w:r>
              <w:rPr>
                <w:rFonts w:ascii="Arial" w:eastAsia="Times New Roman" w:hAnsi="Arial" w:cs="Arial"/>
                <w:color w:val="000000"/>
                <w:sz w:val="16"/>
                <w:szCs w:val="16"/>
              </w:rPr>
              <w:t>Commodity contracts</w:t>
            </w:r>
          </w:p>
        </w:tc>
        <w:tc>
          <w:tcPr>
            <w:tcW w:w="0" w:type="auto"/>
            <w:gridSpan w:val="2"/>
            <w:shd w:val="clear" w:color="auto" w:fill="D8D8D8"/>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8D8D8"/>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shd w:val="clear" w:color="auto" w:fill="D8D8D8"/>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8D8D8"/>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shd w:val="clear" w:color="auto" w:fill="D8D8D8"/>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8D8D8"/>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shd w:val="clear" w:color="auto" w:fill="D8D8D8"/>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6"/>
                <w:szCs w:val="16"/>
              </w:rPr>
              <w:t>204</w:t>
            </w:r>
            <w:r>
              <w:rPr>
                <w:rFonts w:ascii="Arial" w:eastAsia="Times New Roman" w:hAnsi="Arial" w:cs="Arial"/>
                <w:color w:val="000000"/>
                <w:sz w:val="16"/>
                <w:szCs w:val="16"/>
              </w:rPr>
              <w:t> </w:t>
            </w:r>
          </w:p>
        </w:tc>
        <w:tc>
          <w:tcPr>
            <w:tcW w:w="0" w:type="auto"/>
            <w:shd w:val="clear" w:color="auto" w:fill="D8D8D8"/>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shd w:val="clear" w:color="auto" w:fill="D8D8D8"/>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6"/>
                <w:szCs w:val="16"/>
              </w:rPr>
              <w:t>204</w:t>
            </w:r>
            <w:r>
              <w:rPr>
                <w:rFonts w:ascii="Arial" w:eastAsia="Times New Roman" w:hAnsi="Arial" w:cs="Arial"/>
                <w:color w:val="000000"/>
                <w:sz w:val="16"/>
                <w:szCs w:val="16"/>
              </w:rPr>
              <w:t> </w:t>
            </w:r>
          </w:p>
        </w:tc>
        <w:tc>
          <w:tcPr>
            <w:tcW w:w="0" w:type="auto"/>
            <w:shd w:val="clear" w:color="auto" w:fill="D8D8D8"/>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shd w:val="clear" w:color="auto" w:fill="D8D8D8"/>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6"/>
                <w:szCs w:val="16"/>
              </w:rPr>
              <w:t>(129)</w:t>
            </w:r>
          </w:p>
        </w:tc>
        <w:tc>
          <w:tcPr>
            <w:tcW w:w="0" w:type="auto"/>
            <w:shd w:val="clear" w:color="auto" w:fill="D8D8D8"/>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shd w:val="clear" w:color="auto" w:fill="D8D8D8"/>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6"/>
                <w:szCs w:val="16"/>
              </w:rPr>
              <w:t>75</w:t>
            </w:r>
            <w:r>
              <w:rPr>
                <w:rFonts w:ascii="Arial" w:eastAsia="Times New Roman" w:hAnsi="Arial" w:cs="Arial"/>
                <w:color w:val="000000"/>
                <w:sz w:val="16"/>
                <w:szCs w:val="16"/>
              </w:rPr>
              <w:t> </w:t>
            </w:r>
          </w:p>
        </w:tc>
        <w:tc>
          <w:tcPr>
            <w:tcW w:w="0" w:type="auto"/>
            <w:shd w:val="clear" w:color="auto" w:fill="D8D8D8"/>
            <w:tcMar>
              <w:top w:w="30" w:type="dxa"/>
              <w:left w:w="0" w:type="dxa"/>
              <w:bottom w:w="30" w:type="dxa"/>
              <w:right w:w="20" w:type="dxa"/>
            </w:tcMar>
            <w:vAlign w:val="bottom"/>
            <w:hideMark/>
          </w:tcPr>
          <w:p w:rsidR="00000000" w:rsidRDefault="001F1FC8">
            <w:pPr>
              <w:jc w:val="right"/>
              <w:rPr>
                <w:rFonts w:eastAsia="Times New Roman"/>
              </w:rPr>
            </w:pPr>
          </w:p>
        </w:tc>
      </w:tr>
      <w:tr w:rsidR="00000000">
        <w:trPr>
          <w:divId w:val="1145588504"/>
        </w:trPr>
        <w:tc>
          <w:tcPr>
            <w:tcW w:w="0" w:type="auto"/>
            <w:gridSpan w:val="3"/>
            <w:tcMar>
              <w:top w:w="30" w:type="dxa"/>
              <w:left w:w="155" w:type="dxa"/>
              <w:bottom w:w="30" w:type="dxa"/>
              <w:right w:w="20" w:type="dxa"/>
            </w:tcMar>
            <w:hideMark/>
          </w:tcPr>
          <w:p w:rsidR="00000000" w:rsidRDefault="001F1FC8">
            <w:pPr>
              <w:rPr>
                <w:rFonts w:eastAsia="Times New Roman"/>
              </w:rPr>
            </w:pPr>
            <w:r>
              <w:rPr>
                <w:rFonts w:ascii="Arial" w:eastAsia="Times New Roman" w:hAnsi="Arial" w:cs="Arial"/>
                <w:color w:val="000000"/>
                <w:sz w:val="16"/>
                <w:szCs w:val="16"/>
              </w:rPr>
              <w:t>Other contracts</w:t>
            </w:r>
          </w:p>
        </w:tc>
        <w:tc>
          <w:tcPr>
            <w:tcW w:w="0" w:type="auto"/>
            <w:gridSpan w:val="2"/>
            <w:shd w:val="clear" w:color="auto" w:fill="D8D8D8"/>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8D8D8"/>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shd w:val="clear" w:color="auto" w:fill="D8D8D8"/>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8D8D8"/>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shd w:val="clear" w:color="auto" w:fill="D8D8D8"/>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8D8D8"/>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shd w:val="clear" w:color="auto" w:fill="D8D8D8"/>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6"/>
                <w:szCs w:val="16"/>
              </w:rPr>
              <w:t>2</w:t>
            </w:r>
            <w:r>
              <w:rPr>
                <w:rFonts w:ascii="Arial" w:eastAsia="Times New Roman" w:hAnsi="Arial" w:cs="Arial"/>
                <w:color w:val="000000"/>
                <w:sz w:val="16"/>
                <w:szCs w:val="16"/>
              </w:rPr>
              <w:t> </w:t>
            </w:r>
          </w:p>
        </w:tc>
        <w:tc>
          <w:tcPr>
            <w:tcW w:w="0" w:type="auto"/>
            <w:shd w:val="clear" w:color="auto" w:fill="D8D8D8"/>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shd w:val="clear" w:color="auto" w:fill="D8D8D8"/>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6"/>
                <w:szCs w:val="16"/>
              </w:rPr>
              <w:t>2</w:t>
            </w:r>
            <w:r>
              <w:rPr>
                <w:rFonts w:ascii="Arial" w:eastAsia="Times New Roman" w:hAnsi="Arial" w:cs="Arial"/>
                <w:color w:val="000000"/>
                <w:sz w:val="16"/>
                <w:szCs w:val="16"/>
              </w:rPr>
              <w:t> </w:t>
            </w:r>
          </w:p>
        </w:tc>
        <w:tc>
          <w:tcPr>
            <w:tcW w:w="0" w:type="auto"/>
            <w:shd w:val="clear" w:color="auto" w:fill="D8D8D8"/>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shd w:val="clear" w:color="auto" w:fill="D8D8D8"/>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8D8D8"/>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shd w:val="clear" w:color="auto" w:fill="D8D8D8"/>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6"/>
                <w:szCs w:val="16"/>
              </w:rPr>
              <w:t>2</w:t>
            </w:r>
            <w:r>
              <w:rPr>
                <w:rFonts w:ascii="Arial" w:eastAsia="Times New Roman" w:hAnsi="Arial" w:cs="Arial"/>
                <w:color w:val="000000"/>
                <w:sz w:val="16"/>
                <w:szCs w:val="16"/>
              </w:rPr>
              <w:t> </w:t>
            </w:r>
          </w:p>
        </w:tc>
        <w:tc>
          <w:tcPr>
            <w:tcW w:w="0" w:type="auto"/>
            <w:shd w:val="clear" w:color="auto" w:fill="D8D8D8"/>
            <w:tcMar>
              <w:top w:w="30" w:type="dxa"/>
              <w:left w:w="0" w:type="dxa"/>
              <w:bottom w:w="30" w:type="dxa"/>
              <w:right w:w="20" w:type="dxa"/>
            </w:tcMar>
            <w:vAlign w:val="bottom"/>
            <w:hideMark/>
          </w:tcPr>
          <w:p w:rsidR="00000000" w:rsidRDefault="001F1FC8">
            <w:pPr>
              <w:jc w:val="right"/>
              <w:rPr>
                <w:rFonts w:eastAsia="Times New Roman"/>
              </w:rPr>
            </w:pPr>
          </w:p>
        </w:tc>
      </w:tr>
      <w:tr w:rsidR="00000000">
        <w:trPr>
          <w:divId w:val="1145588504"/>
        </w:trPr>
        <w:tc>
          <w:tcPr>
            <w:tcW w:w="0" w:type="auto"/>
            <w:gridSpan w:val="3"/>
            <w:tcBorders>
              <w:top w:val="single" w:sz="4" w:space="0" w:color="000000"/>
            </w:tcBorders>
            <w:tcMar>
              <w:top w:w="30" w:type="dxa"/>
              <w:left w:w="20" w:type="dxa"/>
              <w:bottom w:w="30" w:type="dxa"/>
              <w:right w:w="20" w:type="dxa"/>
            </w:tcMar>
            <w:hideMark/>
          </w:tcPr>
          <w:p w:rsidR="00000000" w:rsidRDefault="001F1FC8">
            <w:pPr>
              <w:rPr>
                <w:rFonts w:eastAsia="Times New Roman"/>
              </w:rPr>
            </w:pPr>
            <w:r>
              <w:rPr>
                <w:rFonts w:ascii="Arial" w:eastAsia="Times New Roman" w:hAnsi="Arial" w:cs="Arial"/>
                <w:color w:val="000000"/>
                <w:sz w:val="2"/>
                <w:szCs w:val="2"/>
              </w:rPr>
              <w:t> </w:t>
            </w:r>
          </w:p>
        </w:tc>
        <w:tc>
          <w:tcPr>
            <w:tcW w:w="0" w:type="auto"/>
            <w:gridSpan w:val="2"/>
            <w:tcBorders>
              <w:top w:val="single" w:sz="4" w:space="0" w:color="000000"/>
            </w:tcBorders>
            <w:shd w:val="clear" w:color="auto" w:fill="D8D8D8"/>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6"/>
                <w:szCs w:val="16"/>
              </w:rPr>
              <w:t>64</w:t>
            </w:r>
            <w:r>
              <w:rPr>
                <w:rFonts w:ascii="Arial" w:eastAsia="Times New Roman" w:hAnsi="Arial" w:cs="Arial"/>
                <w:color w:val="000000"/>
                <w:sz w:val="16"/>
                <w:szCs w:val="16"/>
              </w:rPr>
              <w:t> </w:t>
            </w:r>
          </w:p>
        </w:tc>
        <w:tc>
          <w:tcPr>
            <w:tcW w:w="0" w:type="auto"/>
            <w:tcBorders>
              <w:top w:val="single" w:sz="4" w:space="0" w:color="000000"/>
            </w:tcBorders>
            <w:shd w:val="clear" w:color="auto" w:fill="D8D8D8"/>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Borders>
              <w:top w:val="single" w:sz="4" w:space="0" w:color="000000"/>
            </w:tcBorders>
            <w:shd w:val="clear" w:color="auto" w:fill="D8D8D8"/>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tcBorders>
              <w:top w:val="single" w:sz="4" w:space="0" w:color="000000"/>
            </w:tcBorders>
            <w:shd w:val="clear" w:color="auto" w:fill="D8D8D8"/>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Borders>
              <w:top w:val="single" w:sz="4" w:space="0" w:color="000000"/>
            </w:tcBorders>
            <w:shd w:val="clear" w:color="auto" w:fill="D8D8D8"/>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tcBorders>
              <w:top w:val="single" w:sz="4" w:space="0" w:color="000000"/>
            </w:tcBorders>
            <w:shd w:val="clear" w:color="auto" w:fill="D8D8D8"/>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Borders>
              <w:top w:val="single" w:sz="4" w:space="0" w:color="000000"/>
            </w:tcBorders>
            <w:shd w:val="clear" w:color="auto" w:fill="D8D8D8"/>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6"/>
                <w:szCs w:val="16"/>
              </w:rPr>
              <w:t>465</w:t>
            </w:r>
            <w:r>
              <w:rPr>
                <w:rFonts w:ascii="Arial" w:eastAsia="Times New Roman" w:hAnsi="Arial" w:cs="Arial"/>
                <w:color w:val="000000"/>
                <w:sz w:val="16"/>
                <w:szCs w:val="16"/>
              </w:rPr>
              <w:t> </w:t>
            </w:r>
          </w:p>
        </w:tc>
        <w:tc>
          <w:tcPr>
            <w:tcW w:w="0" w:type="auto"/>
            <w:tcBorders>
              <w:top w:val="single" w:sz="4" w:space="0" w:color="000000"/>
            </w:tcBorders>
            <w:shd w:val="clear" w:color="auto" w:fill="D8D8D8"/>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Borders>
              <w:top w:val="single" w:sz="4" w:space="0" w:color="000000"/>
            </w:tcBorders>
            <w:shd w:val="clear" w:color="auto" w:fill="D8D8D8"/>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6"/>
                <w:szCs w:val="16"/>
              </w:rPr>
              <w:t>529</w:t>
            </w:r>
            <w:r>
              <w:rPr>
                <w:rFonts w:ascii="Arial" w:eastAsia="Times New Roman" w:hAnsi="Arial" w:cs="Arial"/>
                <w:color w:val="000000"/>
                <w:sz w:val="16"/>
                <w:szCs w:val="16"/>
              </w:rPr>
              <w:t> </w:t>
            </w:r>
          </w:p>
        </w:tc>
        <w:tc>
          <w:tcPr>
            <w:tcW w:w="0" w:type="auto"/>
            <w:tcBorders>
              <w:top w:val="single" w:sz="4" w:space="0" w:color="000000"/>
            </w:tcBorders>
            <w:shd w:val="clear" w:color="auto" w:fill="D8D8D8"/>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Borders>
              <w:top w:val="single" w:sz="4" w:space="0" w:color="000000"/>
            </w:tcBorders>
            <w:shd w:val="clear" w:color="auto" w:fill="D8D8D8"/>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6"/>
                <w:szCs w:val="16"/>
              </w:rPr>
              <w:t>(170)</w:t>
            </w:r>
          </w:p>
        </w:tc>
        <w:tc>
          <w:tcPr>
            <w:tcW w:w="0" w:type="auto"/>
            <w:tcBorders>
              <w:top w:val="single" w:sz="4" w:space="0" w:color="000000"/>
            </w:tcBorders>
            <w:shd w:val="clear" w:color="auto" w:fill="D8D8D8"/>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Borders>
              <w:top w:val="single" w:sz="4" w:space="0" w:color="000000"/>
            </w:tcBorders>
            <w:shd w:val="clear" w:color="auto" w:fill="D8D8D8"/>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6"/>
                <w:szCs w:val="16"/>
              </w:rPr>
              <w:t>359</w:t>
            </w:r>
            <w:r>
              <w:rPr>
                <w:rFonts w:ascii="Arial" w:eastAsia="Times New Roman" w:hAnsi="Arial" w:cs="Arial"/>
                <w:color w:val="000000"/>
                <w:sz w:val="16"/>
                <w:szCs w:val="16"/>
              </w:rPr>
              <w:t> </w:t>
            </w:r>
          </w:p>
        </w:tc>
        <w:tc>
          <w:tcPr>
            <w:tcW w:w="0" w:type="auto"/>
            <w:tcBorders>
              <w:top w:val="single" w:sz="4" w:space="0" w:color="000000"/>
            </w:tcBorders>
            <w:shd w:val="clear" w:color="auto" w:fill="D8D8D8"/>
            <w:tcMar>
              <w:top w:w="30" w:type="dxa"/>
              <w:left w:w="0" w:type="dxa"/>
              <w:bottom w:w="30" w:type="dxa"/>
              <w:right w:w="20" w:type="dxa"/>
            </w:tcMar>
            <w:vAlign w:val="bottom"/>
            <w:hideMark/>
          </w:tcPr>
          <w:p w:rsidR="00000000" w:rsidRDefault="001F1FC8">
            <w:pPr>
              <w:jc w:val="right"/>
              <w:rPr>
                <w:rFonts w:eastAsia="Times New Roman"/>
              </w:rPr>
            </w:pPr>
          </w:p>
        </w:tc>
      </w:tr>
      <w:tr w:rsidR="00000000">
        <w:trPr>
          <w:divId w:val="1145588504"/>
        </w:trPr>
        <w:tc>
          <w:tcPr>
            <w:tcW w:w="0" w:type="auto"/>
            <w:gridSpan w:val="3"/>
            <w:tcBorders>
              <w:top w:val="single" w:sz="4" w:space="0" w:color="000000"/>
            </w:tcBorders>
            <w:tcMar>
              <w:top w:w="30" w:type="dxa"/>
              <w:left w:w="20" w:type="dxa"/>
              <w:bottom w:w="30" w:type="dxa"/>
              <w:right w:w="20" w:type="dxa"/>
            </w:tcMar>
            <w:vAlign w:val="bottom"/>
            <w:hideMark/>
          </w:tcPr>
          <w:p w:rsidR="00000000" w:rsidRDefault="001F1FC8">
            <w:pPr>
              <w:rPr>
                <w:rFonts w:eastAsia="Times New Roman"/>
              </w:rPr>
            </w:pPr>
            <w:r>
              <w:rPr>
                <w:rFonts w:ascii="Arial" w:eastAsia="Times New Roman" w:hAnsi="Arial" w:cs="Arial"/>
                <w:color w:val="000000"/>
                <w:sz w:val="16"/>
                <w:szCs w:val="16"/>
              </w:rPr>
              <w:t>Deferred amounts and other assets</w:t>
            </w:r>
          </w:p>
        </w:tc>
        <w:tc>
          <w:tcPr>
            <w:tcW w:w="0" w:type="auto"/>
            <w:gridSpan w:val="3"/>
            <w:tcBorders>
              <w:top w:val="single" w:sz="4" w:space="0" w:color="000000"/>
            </w:tcBorders>
            <w:shd w:val="clear" w:color="auto" w:fill="D8D8D8"/>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2"/>
                <w:szCs w:val="2"/>
              </w:rPr>
              <w:t> </w:t>
            </w:r>
          </w:p>
        </w:tc>
        <w:tc>
          <w:tcPr>
            <w:tcW w:w="0" w:type="auto"/>
            <w:gridSpan w:val="3"/>
            <w:tcBorders>
              <w:top w:val="single" w:sz="4" w:space="0" w:color="000000"/>
            </w:tcBorders>
            <w:shd w:val="clear" w:color="auto" w:fill="D8D8D8"/>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2"/>
                <w:szCs w:val="2"/>
              </w:rPr>
              <w:t> </w:t>
            </w:r>
          </w:p>
        </w:tc>
        <w:tc>
          <w:tcPr>
            <w:tcW w:w="0" w:type="auto"/>
            <w:gridSpan w:val="3"/>
            <w:tcBorders>
              <w:top w:val="single" w:sz="4" w:space="0" w:color="000000"/>
            </w:tcBorders>
            <w:shd w:val="clear" w:color="auto" w:fill="D8D8D8"/>
            <w:tcMar>
              <w:top w:w="0" w:type="dxa"/>
              <w:left w:w="20" w:type="dxa"/>
              <w:bottom w:w="0" w:type="dxa"/>
              <w:right w:w="20" w:type="dxa"/>
            </w:tcMar>
            <w:vAlign w:val="center"/>
            <w:hideMark/>
          </w:tcPr>
          <w:p w:rsidR="00000000" w:rsidRDefault="001F1FC8">
            <w:pPr>
              <w:jc w:val="right"/>
              <w:rPr>
                <w:rFonts w:eastAsia="Times New Roman"/>
              </w:rPr>
            </w:pPr>
          </w:p>
        </w:tc>
        <w:tc>
          <w:tcPr>
            <w:tcW w:w="0" w:type="auto"/>
            <w:gridSpan w:val="3"/>
            <w:tcBorders>
              <w:top w:val="single" w:sz="4" w:space="0" w:color="000000"/>
            </w:tcBorders>
            <w:shd w:val="clear" w:color="auto" w:fill="D8D8D8"/>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2"/>
                <w:szCs w:val="2"/>
              </w:rPr>
              <w:t> </w:t>
            </w:r>
          </w:p>
        </w:tc>
        <w:tc>
          <w:tcPr>
            <w:tcW w:w="0" w:type="auto"/>
            <w:gridSpan w:val="3"/>
            <w:tcBorders>
              <w:top w:val="single" w:sz="4" w:space="0" w:color="000000"/>
            </w:tcBorders>
            <w:shd w:val="clear" w:color="auto" w:fill="D8D8D8"/>
            <w:tcMar>
              <w:top w:w="0" w:type="dxa"/>
              <w:left w:w="20" w:type="dxa"/>
              <w:bottom w:w="0" w:type="dxa"/>
              <w:right w:w="20" w:type="dxa"/>
            </w:tcMar>
            <w:vAlign w:val="center"/>
            <w:hideMark/>
          </w:tcPr>
          <w:p w:rsidR="00000000" w:rsidRDefault="001F1FC8">
            <w:pPr>
              <w:jc w:val="right"/>
              <w:rPr>
                <w:rFonts w:eastAsia="Times New Roman"/>
              </w:rPr>
            </w:pPr>
          </w:p>
        </w:tc>
        <w:tc>
          <w:tcPr>
            <w:tcW w:w="0" w:type="auto"/>
            <w:gridSpan w:val="3"/>
            <w:tcBorders>
              <w:top w:val="single" w:sz="4" w:space="0" w:color="000000"/>
            </w:tcBorders>
            <w:shd w:val="clear" w:color="auto" w:fill="D8D8D8"/>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2"/>
                <w:szCs w:val="2"/>
              </w:rPr>
              <w:t> </w:t>
            </w:r>
          </w:p>
        </w:tc>
        <w:tc>
          <w:tcPr>
            <w:tcW w:w="0" w:type="auto"/>
            <w:gridSpan w:val="3"/>
            <w:tcBorders>
              <w:top w:val="single" w:sz="4" w:space="0" w:color="000000"/>
            </w:tcBorders>
            <w:shd w:val="clear" w:color="auto" w:fill="D8D8D8"/>
            <w:tcMar>
              <w:top w:w="0" w:type="dxa"/>
              <w:left w:w="20" w:type="dxa"/>
              <w:bottom w:w="0" w:type="dxa"/>
              <w:right w:w="20" w:type="dxa"/>
            </w:tcMar>
            <w:vAlign w:val="center"/>
            <w:hideMark/>
          </w:tcPr>
          <w:p w:rsidR="00000000" w:rsidRDefault="001F1FC8">
            <w:pPr>
              <w:jc w:val="right"/>
              <w:rPr>
                <w:rFonts w:eastAsia="Times New Roman"/>
              </w:rPr>
            </w:pPr>
          </w:p>
        </w:tc>
      </w:tr>
      <w:tr w:rsidR="00000000">
        <w:trPr>
          <w:divId w:val="1145588504"/>
        </w:trPr>
        <w:tc>
          <w:tcPr>
            <w:tcW w:w="0" w:type="auto"/>
            <w:gridSpan w:val="3"/>
            <w:tcMar>
              <w:top w:w="30" w:type="dxa"/>
              <w:left w:w="155" w:type="dxa"/>
              <w:bottom w:w="30" w:type="dxa"/>
              <w:right w:w="20" w:type="dxa"/>
            </w:tcMar>
            <w:hideMark/>
          </w:tcPr>
          <w:p w:rsidR="00000000" w:rsidRDefault="001F1FC8">
            <w:pPr>
              <w:rPr>
                <w:rFonts w:eastAsia="Times New Roman"/>
              </w:rPr>
            </w:pPr>
            <w:r>
              <w:rPr>
                <w:rFonts w:ascii="Arial" w:eastAsia="Times New Roman" w:hAnsi="Arial" w:cs="Arial"/>
                <w:color w:val="000000"/>
                <w:sz w:val="16"/>
                <w:szCs w:val="16"/>
              </w:rPr>
              <w:t>Foreign exchange contracts</w:t>
            </w:r>
          </w:p>
        </w:tc>
        <w:tc>
          <w:tcPr>
            <w:tcW w:w="0" w:type="auto"/>
            <w:gridSpan w:val="2"/>
            <w:shd w:val="clear" w:color="auto" w:fill="D8D8D8"/>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8D8D8"/>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shd w:val="clear" w:color="auto" w:fill="D8D8D8"/>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8D8D8"/>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shd w:val="clear" w:color="auto" w:fill="D8D8D8"/>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8D8D8"/>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shd w:val="clear" w:color="auto" w:fill="D8D8D8"/>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6"/>
                <w:szCs w:val="16"/>
              </w:rPr>
              <w:t>240</w:t>
            </w:r>
            <w:r>
              <w:rPr>
                <w:rFonts w:ascii="Arial" w:eastAsia="Times New Roman" w:hAnsi="Arial" w:cs="Arial"/>
                <w:color w:val="000000"/>
                <w:sz w:val="16"/>
                <w:szCs w:val="16"/>
              </w:rPr>
              <w:t> </w:t>
            </w:r>
          </w:p>
        </w:tc>
        <w:tc>
          <w:tcPr>
            <w:tcW w:w="0" w:type="auto"/>
            <w:shd w:val="clear" w:color="auto" w:fill="D8D8D8"/>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shd w:val="clear" w:color="auto" w:fill="D8D8D8"/>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6"/>
                <w:szCs w:val="16"/>
              </w:rPr>
              <w:t>240</w:t>
            </w:r>
            <w:r>
              <w:rPr>
                <w:rFonts w:ascii="Arial" w:eastAsia="Times New Roman" w:hAnsi="Arial" w:cs="Arial"/>
                <w:color w:val="000000"/>
                <w:sz w:val="16"/>
                <w:szCs w:val="16"/>
              </w:rPr>
              <w:t> </w:t>
            </w:r>
          </w:p>
        </w:tc>
        <w:tc>
          <w:tcPr>
            <w:tcW w:w="0" w:type="auto"/>
            <w:shd w:val="clear" w:color="auto" w:fill="D8D8D8"/>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shd w:val="clear" w:color="auto" w:fill="D8D8D8"/>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6"/>
                <w:szCs w:val="16"/>
              </w:rPr>
              <w:t>(61)</w:t>
            </w:r>
          </w:p>
        </w:tc>
        <w:tc>
          <w:tcPr>
            <w:tcW w:w="0" w:type="auto"/>
            <w:shd w:val="clear" w:color="auto" w:fill="D8D8D8"/>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shd w:val="clear" w:color="auto" w:fill="D8D8D8"/>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6"/>
                <w:szCs w:val="16"/>
              </w:rPr>
              <w:t>179</w:t>
            </w:r>
            <w:r>
              <w:rPr>
                <w:rFonts w:ascii="Arial" w:eastAsia="Times New Roman" w:hAnsi="Arial" w:cs="Arial"/>
                <w:color w:val="000000"/>
                <w:sz w:val="16"/>
                <w:szCs w:val="16"/>
              </w:rPr>
              <w:t> </w:t>
            </w:r>
          </w:p>
        </w:tc>
        <w:tc>
          <w:tcPr>
            <w:tcW w:w="0" w:type="auto"/>
            <w:shd w:val="clear" w:color="auto" w:fill="D8D8D8"/>
            <w:tcMar>
              <w:top w:w="30" w:type="dxa"/>
              <w:left w:w="0" w:type="dxa"/>
              <w:bottom w:w="30" w:type="dxa"/>
              <w:right w:w="20" w:type="dxa"/>
            </w:tcMar>
            <w:vAlign w:val="bottom"/>
            <w:hideMark/>
          </w:tcPr>
          <w:p w:rsidR="00000000" w:rsidRDefault="001F1FC8">
            <w:pPr>
              <w:jc w:val="right"/>
              <w:rPr>
                <w:rFonts w:eastAsia="Times New Roman"/>
              </w:rPr>
            </w:pPr>
          </w:p>
        </w:tc>
      </w:tr>
      <w:tr w:rsidR="00000000">
        <w:trPr>
          <w:divId w:val="1145588504"/>
        </w:trPr>
        <w:tc>
          <w:tcPr>
            <w:tcW w:w="0" w:type="auto"/>
            <w:gridSpan w:val="3"/>
            <w:tcMar>
              <w:top w:w="30" w:type="dxa"/>
              <w:left w:w="155" w:type="dxa"/>
              <w:bottom w:w="30" w:type="dxa"/>
              <w:right w:w="20" w:type="dxa"/>
            </w:tcMar>
            <w:hideMark/>
          </w:tcPr>
          <w:p w:rsidR="00000000" w:rsidRDefault="001F1FC8">
            <w:pPr>
              <w:rPr>
                <w:rFonts w:eastAsia="Times New Roman"/>
              </w:rPr>
            </w:pPr>
            <w:r>
              <w:rPr>
                <w:rFonts w:ascii="Arial" w:eastAsia="Times New Roman" w:hAnsi="Arial" w:cs="Arial"/>
                <w:color w:val="000000"/>
                <w:sz w:val="16"/>
                <w:szCs w:val="16"/>
              </w:rPr>
              <w:t>Interest rate contracts</w:t>
            </w:r>
          </w:p>
        </w:tc>
        <w:tc>
          <w:tcPr>
            <w:tcW w:w="0" w:type="auto"/>
            <w:gridSpan w:val="2"/>
            <w:shd w:val="clear" w:color="auto" w:fill="D8D8D8"/>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6"/>
                <w:szCs w:val="16"/>
              </w:rPr>
              <w:t>88</w:t>
            </w:r>
            <w:r>
              <w:rPr>
                <w:rFonts w:ascii="Arial" w:eastAsia="Times New Roman" w:hAnsi="Arial" w:cs="Arial"/>
                <w:color w:val="000000"/>
                <w:sz w:val="16"/>
                <w:szCs w:val="16"/>
              </w:rPr>
              <w:t> </w:t>
            </w:r>
          </w:p>
        </w:tc>
        <w:tc>
          <w:tcPr>
            <w:tcW w:w="0" w:type="auto"/>
            <w:shd w:val="clear" w:color="auto" w:fill="D8D8D8"/>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shd w:val="clear" w:color="auto" w:fill="D8D8D8"/>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8D8D8"/>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shd w:val="clear" w:color="auto" w:fill="D8D8D8"/>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8D8D8"/>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shd w:val="clear" w:color="auto" w:fill="D8D8D8"/>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8D8D8"/>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shd w:val="clear" w:color="auto" w:fill="D8D8D8"/>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6"/>
                <w:szCs w:val="16"/>
              </w:rPr>
              <w:t>88</w:t>
            </w:r>
            <w:r>
              <w:rPr>
                <w:rFonts w:ascii="Arial" w:eastAsia="Times New Roman" w:hAnsi="Arial" w:cs="Arial"/>
                <w:color w:val="000000"/>
                <w:sz w:val="16"/>
                <w:szCs w:val="16"/>
              </w:rPr>
              <w:t> </w:t>
            </w:r>
          </w:p>
        </w:tc>
        <w:tc>
          <w:tcPr>
            <w:tcW w:w="0" w:type="auto"/>
            <w:shd w:val="clear" w:color="auto" w:fill="D8D8D8"/>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shd w:val="clear" w:color="auto" w:fill="D8D8D8"/>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6"/>
                <w:szCs w:val="16"/>
              </w:rPr>
              <w:t>(1)</w:t>
            </w:r>
          </w:p>
        </w:tc>
        <w:tc>
          <w:tcPr>
            <w:tcW w:w="0" w:type="auto"/>
            <w:shd w:val="clear" w:color="auto" w:fill="D8D8D8"/>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shd w:val="clear" w:color="auto" w:fill="D8D8D8"/>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6"/>
                <w:szCs w:val="16"/>
              </w:rPr>
              <w:t>87</w:t>
            </w:r>
            <w:r>
              <w:rPr>
                <w:rFonts w:ascii="Arial" w:eastAsia="Times New Roman" w:hAnsi="Arial" w:cs="Arial"/>
                <w:color w:val="000000"/>
                <w:sz w:val="16"/>
                <w:szCs w:val="16"/>
              </w:rPr>
              <w:t> </w:t>
            </w:r>
          </w:p>
        </w:tc>
        <w:tc>
          <w:tcPr>
            <w:tcW w:w="0" w:type="auto"/>
            <w:shd w:val="clear" w:color="auto" w:fill="D8D8D8"/>
            <w:tcMar>
              <w:top w:w="30" w:type="dxa"/>
              <w:left w:w="0" w:type="dxa"/>
              <w:bottom w:w="30" w:type="dxa"/>
              <w:right w:w="20" w:type="dxa"/>
            </w:tcMar>
            <w:vAlign w:val="bottom"/>
            <w:hideMark/>
          </w:tcPr>
          <w:p w:rsidR="00000000" w:rsidRDefault="001F1FC8">
            <w:pPr>
              <w:jc w:val="right"/>
              <w:rPr>
                <w:rFonts w:eastAsia="Times New Roman"/>
              </w:rPr>
            </w:pPr>
          </w:p>
        </w:tc>
      </w:tr>
      <w:tr w:rsidR="00000000">
        <w:trPr>
          <w:divId w:val="1145588504"/>
        </w:trPr>
        <w:tc>
          <w:tcPr>
            <w:tcW w:w="0" w:type="auto"/>
            <w:gridSpan w:val="3"/>
            <w:tcMar>
              <w:top w:w="30" w:type="dxa"/>
              <w:left w:w="155" w:type="dxa"/>
              <w:bottom w:w="30" w:type="dxa"/>
              <w:right w:w="20" w:type="dxa"/>
            </w:tcMar>
            <w:hideMark/>
          </w:tcPr>
          <w:p w:rsidR="00000000" w:rsidRDefault="001F1FC8">
            <w:pPr>
              <w:rPr>
                <w:rFonts w:eastAsia="Times New Roman"/>
              </w:rPr>
            </w:pPr>
            <w:r>
              <w:rPr>
                <w:rFonts w:ascii="Arial" w:eastAsia="Times New Roman" w:hAnsi="Arial" w:cs="Arial"/>
                <w:color w:val="000000"/>
                <w:sz w:val="16"/>
                <w:szCs w:val="16"/>
              </w:rPr>
              <w:t>Commodity contracts</w:t>
            </w:r>
          </w:p>
        </w:tc>
        <w:tc>
          <w:tcPr>
            <w:tcW w:w="0" w:type="auto"/>
            <w:gridSpan w:val="2"/>
            <w:shd w:val="clear" w:color="auto" w:fill="D8D8D8"/>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8D8D8"/>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shd w:val="clear" w:color="auto" w:fill="D8D8D8"/>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8D8D8"/>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shd w:val="clear" w:color="auto" w:fill="D8D8D8"/>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8D8D8"/>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shd w:val="clear" w:color="auto" w:fill="D8D8D8"/>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6"/>
                <w:szCs w:val="16"/>
              </w:rPr>
              <w:t>29</w:t>
            </w:r>
            <w:r>
              <w:rPr>
                <w:rFonts w:ascii="Arial" w:eastAsia="Times New Roman" w:hAnsi="Arial" w:cs="Arial"/>
                <w:color w:val="000000"/>
                <w:sz w:val="16"/>
                <w:szCs w:val="16"/>
              </w:rPr>
              <w:t> </w:t>
            </w:r>
          </w:p>
        </w:tc>
        <w:tc>
          <w:tcPr>
            <w:tcW w:w="0" w:type="auto"/>
            <w:shd w:val="clear" w:color="auto" w:fill="D8D8D8"/>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shd w:val="clear" w:color="auto" w:fill="D8D8D8"/>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6"/>
                <w:szCs w:val="16"/>
              </w:rPr>
              <w:t>29</w:t>
            </w:r>
            <w:r>
              <w:rPr>
                <w:rFonts w:ascii="Arial" w:eastAsia="Times New Roman" w:hAnsi="Arial" w:cs="Arial"/>
                <w:color w:val="000000"/>
                <w:sz w:val="16"/>
                <w:szCs w:val="16"/>
              </w:rPr>
              <w:t> </w:t>
            </w:r>
          </w:p>
        </w:tc>
        <w:tc>
          <w:tcPr>
            <w:tcW w:w="0" w:type="auto"/>
            <w:shd w:val="clear" w:color="auto" w:fill="D8D8D8"/>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shd w:val="clear" w:color="auto" w:fill="D8D8D8"/>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6"/>
                <w:szCs w:val="16"/>
              </w:rPr>
              <w:t>(13)</w:t>
            </w:r>
          </w:p>
        </w:tc>
        <w:tc>
          <w:tcPr>
            <w:tcW w:w="0" w:type="auto"/>
            <w:shd w:val="clear" w:color="auto" w:fill="D8D8D8"/>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shd w:val="clear" w:color="auto" w:fill="D8D8D8"/>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6"/>
                <w:szCs w:val="16"/>
              </w:rPr>
              <w:t>16</w:t>
            </w:r>
            <w:r>
              <w:rPr>
                <w:rFonts w:ascii="Arial" w:eastAsia="Times New Roman" w:hAnsi="Arial" w:cs="Arial"/>
                <w:color w:val="000000"/>
                <w:sz w:val="16"/>
                <w:szCs w:val="16"/>
              </w:rPr>
              <w:t> </w:t>
            </w:r>
          </w:p>
        </w:tc>
        <w:tc>
          <w:tcPr>
            <w:tcW w:w="0" w:type="auto"/>
            <w:shd w:val="clear" w:color="auto" w:fill="D8D8D8"/>
            <w:tcMar>
              <w:top w:w="30" w:type="dxa"/>
              <w:left w:w="0" w:type="dxa"/>
              <w:bottom w:w="30" w:type="dxa"/>
              <w:right w:w="20" w:type="dxa"/>
            </w:tcMar>
            <w:vAlign w:val="bottom"/>
            <w:hideMark/>
          </w:tcPr>
          <w:p w:rsidR="00000000" w:rsidRDefault="001F1FC8">
            <w:pPr>
              <w:jc w:val="right"/>
              <w:rPr>
                <w:rFonts w:eastAsia="Times New Roman"/>
              </w:rPr>
            </w:pPr>
          </w:p>
        </w:tc>
      </w:tr>
      <w:tr w:rsidR="00000000">
        <w:trPr>
          <w:divId w:val="1145588504"/>
        </w:trPr>
        <w:tc>
          <w:tcPr>
            <w:tcW w:w="0" w:type="auto"/>
            <w:gridSpan w:val="3"/>
            <w:tcMar>
              <w:top w:w="30" w:type="dxa"/>
              <w:left w:w="155" w:type="dxa"/>
              <w:bottom w:w="30" w:type="dxa"/>
              <w:right w:w="20" w:type="dxa"/>
            </w:tcMar>
            <w:hideMark/>
          </w:tcPr>
          <w:p w:rsidR="00000000" w:rsidRDefault="001F1FC8">
            <w:pPr>
              <w:rPr>
                <w:rFonts w:eastAsia="Times New Roman"/>
              </w:rPr>
            </w:pPr>
            <w:r>
              <w:rPr>
                <w:rFonts w:ascii="Arial" w:eastAsia="Times New Roman" w:hAnsi="Arial" w:cs="Arial"/>
                <w:color w:val="000000"/>
                <w:sz w:val="16"/>
                <w:szCs w:val="16"/>
              </w:rPr>
              <w:t>Other contracts</w:t>
            </w:r>
          </w:p>
        </w:tc>
        <w:tc>
          <w:tcPr>
            <w:tcW w:w="0" w:type="auto"/>
            <w:gridSpan w:val="2"/>
            <w:shd w:val="clear" w:color="auto" w:fill="D8D8D8"/>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8D8D8"/>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shd w:val="clear" w:color="auto" w:fill="D8D8D8"/>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8D8D8"/>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shd w:val="clear" w:color="auto" w:fill="D8D8D8"/>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8D8D8"/>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shd w:val="clear" w:color="auto" w:fill="D8D8D8"/>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6"/>
                <w:szCs w:val="16"/>
              </w:rPr>
              <w:t>3</w:t>
            </w:r>
            <w:r>
              <w:rPr>
                <w:rFonts w:ascii="Arial" w:eastAsia="Times New Roman" w:hAnsi="Arial" w:cs="Arial"/>
                <w:color w:val="000000"/>
                <w:sz w:val="16"/>
                <w:szCs w:val="16"/>
              </w:rPr>
              <w:t> </w:t>
            </w:r>
          </w:p>
        </w:tc>
        <w:tc>
          <w:tcPr>
            <w:tcW w:w="0" w:type="auto"/>
            <w:shd w:val="clear" w:color="auto" w:fill="D8D8D8"/>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shd w:val="clear" w:color="auto" w:fill="D8D8D8"/>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6"/>
                <w:szCs w:val="16"/>
              </w:rPr>
              <w:t>3</w:t>
            </w:r>
            <w:r>
              <w:rPr>
                <w:rFonts w:ascii="Arial" w:eastAsia="Times New Roman" w:hAnsi="Arial" w:cs="Arial"/>
                <w:color w:val="000000"/>
                <w:sz w:val="16"/>
                <w:szCs w:val="16"/>
              </w:rPr>
              <w:t> </w:t>
            </w:r>
          </w:p>
        </w:tc>
        <w:tc>
          <w:tcPr>
            <w:tcW w:w="0" w:type="auto"/>
            <w:shd w:val="clear" w:color="auto" w:fill="D8D8D8"/>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shd w:val="clear" w:color="auto" w:fill="D8D8D8"/>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8D8D8"/>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shd w:val="clear" w:color="auto" w:fill="D8D8D8"/>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6"/>
                <w:szCs w:val="16"/>
              </w:rPr>
              <w:t>3</w:t>
            </w:r>
            <w:r>
              <w:rPr>
                <w:rFonts w:ascii="Arial" w:eastAsia="Times New Roman" w:hAnsi="Arial" w:cs="Arial"/>
                <w:color w:val="000000"/>
                <w:sz w:val="16"/>
                <w:szCs w:val="16"/>
              </w:rPr>
              <w:t> </w:t>
            </w:r>
          </w:p>
        </w:tc>
        <w:tc>
          <w:tcPr>
            <w:tcW w:w="0" w:type="auto"/>
            <w:shd w:val="clear" w:color="auto" w:fill="D8D8D8"/>
            <w:tcMar>
              <w:top w:w="30" w:type="dxa"/>
              <w:left w:w="0" w:type="dxa"/>
              <w:bottom w:w="30" w:type="dxa"/>
              <w:right w:w="20" w:type="dxa"/>
            </w:tcMar>
            <w:vAlign w:val="bottom"/>
            <w:hideMark/>
          </w:tcPr>
          <w:p w:rsidR="00000000" w:rsidRDefault="001F1FC8">
            <w:pPr>
              <w:jc w:val="right"/>
              <w:rPr>
                <w:rFonts w:eastAsia="Times New Roman"/>
              </w:rPr>
            </w:pPr>
          </w:p>
        </w:tc>
      </w:tr>
      <w:tr w:rsidR="00000000">
        <w:trPr>
          <w:divId w:val="1145588504"/>
        </w:trPr>
        <w:tc>
          <w:tcPr>
            <w:tcW w:w="0" w:type="auto"/>
            <w:gridSpan w:val="3"/>
            <w:tcBorders>
              <w:top w:val="single" w:sz="4" w:space="0" w:color="000000"/>
            </w:tcBorders>
            <w:tcMar>
              <w:top w:w="30" w:type="dxa"/>
              <w:left w:w="20" w:type="dxa"/>
              <w:bottom w:w="30" w:type="dxa"/>
              <w:right w:w="20" w:type="dxa"/>
            </w:tcMar>
            <w:hideMark/>
          </w:tcPr>
          <w:p w:rsidR="00000000" w:rsidRDefault="001F1FC8">
            <w:pPr>
              <w:rPr>
                <w:rFonts w:eastAsia="Times New Roman"/>
              </w:rPr>
            </w:pPr>
            <w:r>
              <w:rPr>
                <w:rFonts w:ascii="Arial" w:eastAsia="Times New Roman" w:hAnsi="Arial" w:cs="Arial"/>
                <w:color w:val="000000"/>
                <w:sz w:val="2"/>
                <w:szCs w:val="2"/>
              </w:rPr>
              <w:t> </w:t>
            </w:r>
          </w:p>
        </w:tc>
        <w:tc>
          <w:tcPr>
            <w:tcW w:w="0" w:type="auto"/>
            <w:gridSpan w:val="2"/>
            <w:tcBorders>
              <w:top w:val="single" w:sz="4" w:space="0" w:color="000000"/>
            </w:tcBorders>
            <w:shd w:val="clear" w:color="auto" w:fill="D8D8D8"/>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6"/>
                <w:szCs w:val="16"/>
              </w:rPr>
              <w:t>88</w:t>
            </w:r>
            <w:r>
              <w:rPr>
                <w:rFonts w:ascii="Arial" w:eastAsia="Times New Roman" w:hAnsi="Arial" w:cs="Arial"/>
                <w:color w:val="000000"/>
                <w:sz w:val="16"/>
                <w:szCs w:val="16"/>
              </w:rPr>
              <w:t> </w:t>
            </w:r>
          </w:p>
        </w:tc>
        <w:tc>
          <w:tcPr>
            <w:tcW w:w="0" w:type="auto"/>
            <w:tcBorders>
              <w:top w:val="single" w:sz="4" w:space="0" w:color="000000"/>
            </w:tcBorders>
            <w:shd w:val="clear" w:color="auto" w:fill="D8D8D8"/>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Borders>
              <w:top w:val="single" w:sz="4" w:space="0" w:color="000000"/>
            </w:tcBorders>
            <w:shd w:val="clear" w:color="auto" w:fill="D8D8D8"/>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tcBorders>
              <w:top w:val="single" w:sz="4" w:space="0" w:color="000000"/>
            </w:tcBorders>
            <w:shd w:val="clear" w:color="auto" w:fill="D8D8D8"/>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Borders>
              <w:top w:val="single" w:sz="4" w:space="0" w:color="000000"/>
            </w:tcBorders>
            <w:shd w:val="clear" w:color="auto" w:fill="D8D8D8"/>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tcBorders>
              <w:top w:val="single" w:sz="4" w:space="0" w:color="000000"/>
            </w:tcBorders>
            <w:shd w:val="clear" w:color="auto" w:fill="D8D8D8"/>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Borders>
              <w:top w:val="single" w:sz="4" w:space="0" w:color="000000"/>
            </w:tcBorders>
            <w:shd w:val="clear" w:color="auto" w:fill="D8D8D8"/>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6"/>
                <w:szCs w:val="16"/>
              </w:rPr>
              <w:t>272</w:t>
            </w:r>
            <w:r>
              <w:rPr>
                <w:rFonts w:ascii="Arial" w:eastAsia="Times New Roman" w:hAnsi="Arial" w:cs="Arial"/>
                <w:color w:val="000000"/>
                <w:sz w:val="16"/>
                <w:szCs w:val="16"/>
              </w:rPr>
              <w:t> </w:t>
            </w:r>
          </w:p>
        </w:tc>
        <w:tc>
          <w:tcPr>
            <w:tcW w:w="0" w:type="auto"/>
            <w:tcBorders>
              <w:top w:val="single" w:sz="4" w:space="0" w:color="000000"/>
            </w:tcBorders>
            <w:shd w:val="clear" w:color="auto" w:fill="D8D8D8"/>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Borders>
              <w:top w:val="single" w:sz="4" w:space="0" w:color="000000"/>
            </w:tcBorders>
            <w:shd w:val="clear" w:color="auto" w:fill="D8D8D8"/>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6"/>
                <w:szCs w:val="16"/>
              </w:rPr>
              <w:t>360</w:t>
            </w:r>
            <w:r>
              <w:rPr>
                <w:rFonts w:ascii="Arial" w:eastAsia="Times New Roman" w:hAnsi="Arial" w:cs="Arial"/>
                <w:color w:val="000000"/>
                <w:sz w:val="16"/>
                <w:szCs w:val="16"/>
              </w:rPr>
              <w:t> </w:t>
            </w:r>
          </w:p>
        </w:tc>
        <w:tc>
          <w:tcPr>
            <w:tcW w:w="0" w:type="auto"/>
            <w:tcBorders>
              <w:top w:val="single" w:sz="4" w:space="0" w:color="000000"/>
            </w:tcBorders>
            <w:shd w:val="clear" w:color="auto" w:fill="D8D8D8"/>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Borders>
              <w:top w:val="single" w:sz="4" w:space="0" w:color="000000"/>
            </w:tcBorders>
            <w:shd w:val="clear" w:color="auto" w:fill="D8D8D8"/>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6"/>
                <w:szCs w:val="16"/>
              </w:rPr>
              <w:t>(75)</w:t>
            </w:r>
          </w:p>
        </w:tc>
        <w:tc>
          <w:tcPr>
            <w:tcW w:w="0" w:type="auto"/>
            <w:tcBorders>
              <w:top w:val="single" w:sz="4" w:space="0" w:color="000000"/>
            </w:tcBorders>
            <w:shd w:val="clear" w:color="auto" w:fill="D8D8D8"/>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Borders>
              <w:top w:val="single" w:sz="4" w:space="0" w:color="000000"/>
            </w:tcBorders>
            <w:shd w:val="clear" w:color="auto" w:fill="D8D8D8"/>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6"/>
                <w:szCs w:val="16"/>
              </w:rPr>
              <w:t>285</w:t>
            </w:r>
            <w:r>
              <w:rPr>
                <w:rFonts w:ascii="Arial" w:eastAsia="Times New Roman" w:hAnsi="Arial" w:cs="Arial"/>
                <w:color w:val="000000"/>
                <w:sz w:val="16"/>
                <w:szCs w:val="16"/>
              </w:rPr>
              <w:t> </w:t>
            </w:r>
          </w:p>
        </w:tc>
        <w:tc>
          <w:tcPr>
            <w:tcW w:w="0" w:type="auto"/>
            <w:tcBorders>
              <w:top w:val="single" w:sz="4" w:space="0" w:color="000000"/>
            </w:tcBorders>
            <w:shd w:val="clear" w:color="auto" w:fill="D8D8D8"/>
            <w:tcMar>
              <w:top w:w="30" w:type="dxa"/>
              <w:left w:w="0" w:type="dxa"/>
              <w:bottom w:w="30" w:type="dxa"/>
              <w:right w:w="20" w:type="dxa"/>
            </w:tcMar>
            <w:vAlign w:val="bottom"/>
            <w:hideMark/>
          </w:tcPr>
          <w:p w:rsidR="00000000" w:rsidRDefault="001F1FC8">
            <w:pPr>
              <w:jc w:val="right"/>
              <w:rPr>
                <w:rFonts w:eastAsia="Times New Roman"/>
              </w:rPr>
            </w:pPr>
          </w:p>
        </w:tc>
      </w:tr>
      <w:tr w:rsidR="00000000">
        <w:trPr>
          <w:divId w:val="1145588504"/>
        </w:trPr>
        <w:tc>
          <w:tcPr>
            <w:tcW w:w="0" w:type="auto"/>
            <w:gridSpan w:val="3"/>
            <w:tcBorders>
              <w:top w:val="single" w:sz="4" w:space="0" w:color="000000"/>
            </w:tcBorders>
            <w:tcMar>
              <w:top w:w="30" w:type="dxa"/>
              <w:left w:w="20" w:type="dxa"/>
              <w:bottom w:w="30" w:type="dxa"/>
              <w:right w:w="20" w:type="dxa"/>
            </w:tcMar>
            <w:vAlign w:val="bottom"/>
            <w:hideMark/>
          </w:tcPr>
          <w:p w:rsidR="00000000" w:rsidRDefault="001F1FC8">
            <w:pPr>
              <w:rPr>
                <w:rFonts w:eastAsia="Times New Roman"/>
              </w:rPr>
            </w:pPr>
            <w:r>
              <w:rPr>
                <w:rFonts w:ascii="Arial" w:eastAsia="Times New Roman" w:hAnsi="Arial" w:cs="Arial"/>
                <w:color w:val="000000"/>
                <w:sz w:val="16"/>
                <w:szCs w:val="16"/>
              </w:rPr>
              <w:t>Accounts payable and other</w:t>
            </w:r>
          </w:p>
        </w:tc>
        <w:tc>
          <w:tcPr>
            <w:tcW w:w="0" w:type="auto"/>
            <w:gridSpan w:val="3"/>
            <w:tcBorders>
              <w:top w:val="single" w:sz="4" w:space="0" w:color="000000"/>
            </w:tcBorders>
            <w:shd w:val="clear" w:color="auto" w:fill="D8D8D8"/>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2"/>
                <w:szCs w:val="2"/>
              </w:rPr>
              <w:t> </w:t>
            </w:r>
          </w:p>
        </w:tc>
        <w:tc>
          <w:tcPr>
            <w:tcW w:w="0" w:type="auto"/>
            <w:gridSpan w:val="3"/>
            <w:tcBorders>
              <w:top w:val="single" w:sz="4" w:space="0" w:color="000000"/>
            </w:tcBorders>
            <w:shd w:val="clear" w:color="auto" w:fill="D8D8D8"/>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2"/>
                <w:szCs w:val="2"/>
              </w:rPr>
              <w:t> </w:t>
            </w:r>
          </w:p>
        </w:tc>
        <w:tc>
          <w:tcPr>
            <w:tcW w:w="0" w:type="auto"/>
            <w:gridSpan w:val="3"/>
            <w:tcBorders>
              <w:top w:val="single" w:sz="4" w:space="0" w:color="000000"/>
            </w:tcBorders>
            <w:shd w:val="clear" w:color="auto" w:fill="D8D8D8"/>
            <w:tcMar>
              <w:top w:w="0" w:type="dxa"/>
              <w:left w:w="20" w:type="dxa"/>
              <w:bottom w:w="0" w:type="dxa"/>
              <w:right w:w="20" w:type="dxa"/>
            </w:tcMar>
            <w:vAlign w:val="center"/>
            <w:hideMark/>
          </w:tcPr>
          <w:p w:rsidR="00000000" w:rsidRDefault="001F1FC8">
            <w:pPr>
              <w:jc w:val="right"/>
              <w:rPr>
                <w:rFonts w:eastAsia="Times New Roman"/>
              </w:rPr>
            </w:pPr>
          </w:p>
        </w:tc>
        <w:tc>
          <w:tcPr>
            <w:tcW w:w="0" w:type="auto"/>
            <w:gridSpan w:val="3"/>
            <w:tcBorders>
              <w:top w:val="single" w:sz="4" w:space="0" w:color="000000"/>
            </w:tcBorders>
            <w:shd w:val="clear" w:color="auto" w:fill="D8D8D8"/>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2"/>
                <w:szCs w:val="2"/>
              </w:rPr>
              <w:t> </w:t>
            </w:r>
          </w:p>
        </w:tc>
        <w:tc>
          <w:tcPr>
            <w:tcW w:w="0" w:type="auto"/>
            <w:gridSpan w:val="3"/>
            <w:tcBorders>
              <w:top w:val="single" w:sz="4" w:space="0" w:color="000000"/>
            </w:tcBorders>
            <w:shd w:val="clear" w:color="auto" w:fill="D8D8D8"/>
            <w:tcMar>
              <w:top w:w="0" w:type="dxa"/>
              <w:left w:w="20" w:type="dxa"/>
              <w:bottom w:w="0" w:type="dxa"/>
              <w:right w:w="20" w:type="dxa"/>
            </w:tcMar>
            <w:vAlign w:val="center"/>
            <w:hideMark/>
          </w:tcPr>
          <w:p w:rsidR="00000000" w:rsidRDefault="001F1FC8">
            <w:pPr>
              <w:jc w:val="right"/>
              <w:rPr>
                <w:rFonts w:eastAsia="Times New Roman"/>
              </w:rPr>
            </w:pPr>
          </w:p>
        </w:tc>
        <w:tc>
          <w:tcPr>
            <w:tcW w:w="0" w:type="auto"/>
            <w:gridSpan w:val="3"/>
            <w:tcBorders>
              <w:top w:val="single" w:sz="4" w:space="0" w:color="000000"/>
            </w:tcBorders>
            <w:shd w:val="clear" w:color="auto" w:fill="D8D8D8"/>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2"/>
                <w:szCs w:val="2"/>
              </w:rPr>
              <w:t> </w:t>
            </w:r>
          </w:p>
        </w:tc>
        <w:tc>
          <w:tcPr>
            <w:tcW w:w="0" w:type="auto"/>
            <w:gridSpan w:val="3"/>
            <w:tcBorders>
              <w:top w:val="single" w:sz="4" w:space="0" w:color="000000"/>
            </w:tcBorders>
            <w:shd w:val="clear" w:color="auto" w:fill="D8D8D8"/>
            <w:tcMar>
              <w:top w:w="0" w:type="dxa"/>
              <w:left w:w="20" w:type="dxa"/>
              <w:bottom w:w="0" w:type="dxa"/>
              <w:right w:w="20" w:type="dxa"/>
            </w:tcMar>
            <w:vAlign w:val="center"/>
            <w:hideMark/>
          </w:tcPr>
          <w:p w:rsidR="00000000" w:rsidRDefault="001F1FC8">
            <w:pPr>
              <w:jc w:val="right"/>
              <w:rPr>
                <w:rFonts w:eastAsia="Times New Roman"/>
              </w:rPr>
            </w:pPr>
          </w:p>
        </w:tc>
      </w:tr>
      <w:tr w:rsidR="00000000">
        <w:trPr>
          <w:divId w:val="1145588504"/>
        </w:trPr>
        <w:tc>
          <w:tcPr>
            <w:tcW w:w="0" w:type="auto"/>
            <w:gridSpan w:val="3"/>
            <w:tcMar>
              <w:top w:w="30" w:type="dxa"/>
              <w:left w:w="155" w:type="dxa"/>
              <w:bottom w:w="30" w:type="dxa"/>
              <w:right w:w="20" w:type="dxa"/>
            </w:tcMar>
            <w:vAlign w:val="bottom"/>
            <w:hideMark/>
          </w:tcPr>
          <w:p w:rsidR="00000000" w:rsidRDefault="001F1FC8">
            <w:pPr>
              <w:rPr>
                <w:rFonts w:eastAsia="Times New Roman"/>
              </w:rPr>
            </w:pPr>
            <w:r>
              <w:rPr>
                <w:rFonts w:ascii="Arial" w:eastAsia="Times New Roman" w:hAnsi="Arial" w:cs="Arial"/>
                <w:color w:val="000000"/>
                <w:sz w:val="16"/>
                <w:szCs w:val="16"/>
              </w:rPr>
              <w:t>Foreign exchange contracts</w:t>
            </w:r>
          </w:p>
        </w:tc>
        <w:tc>
          <w:tcPr>
            <w:tcW w:w="0" w:type="auto"/>
            <w:gridSpan w:val="2"/>
            <w:shd w:val="clear" w:color="auto" w:fill="D8D8D8"/>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6"/>
                <w:szCs w:val="16"/>
              </w:rPr>
              <w:t>(15)</w:t>
            </w:r>
          </w:p>
        </w:tc>
        <w:tc>
          <w:tcPr>
            <w:tcW w:w="0" w:type="auto"/>
            <w:shd w:val="clear" w:color="auto" w:fill="D8D8D8"/>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shd w:val="clear" w:color="auto" w:fill="D8D8D8"/>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8D8D8"/>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shd w:val="clear" w:color="auto" w:fill="D8D8D8"/>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6"/>
                <w:szCs w:val="16"/>
              </w:rPr>
              <w:t>(112)</w:t>
            </w:r>
          </w:p>
        </w:tc>
        <w:tc>
          <w:tcPr>
            <w:tcW w:w="0" w:type="auto"/>
            <w:shd w:val="clear" w:color="auto" w:fill="D8D8D8"/>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shd w:val="clear" w:color="auto" w:fill="D8D8D8"/>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6"/>
                <w:szCs w:val="16"/>
              </w:rPr>
              <w:t>(176)</w:t>
            </w:r>
          </w:p>
        </w:tc>
        <w:tc>
          <w:tcPr>
            <w:tcW w:w="0" w:type="auto"/>
            <w:shd w:val="clear" w:color="auto" w:fill="D8D8D8"/>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shd w:val="clear" w:color="auto" w:fill="D8D8D8"/>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6"/>
                <w:szCs w:val="16"/>
              </w:rPr>
              <w:t>(303)</w:t>
            </w:r>
          </w:p>
        </w:tc>
        <w:tc>
          <w:tcPr>
            <w:tcW w:w="0" w:type="auto"/>
            <w:shd w:val="clear" w:color="auto" w:fill="D8D8D8"/>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shd w:val="clear" w:color="auto" w:fill="D8D8D8"/>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6"/>
                <w:szCs w:val="16"/>
              </w:rPr>
              <w:t>41</w:t>
            </w:r>
            <w:r>
              <w:rPr>
                <w:rFonts w:ascii="Arial" w:eastAsia="Times New Roman" w:hAnsi="Arial" w:cs="Arial"/>
                <w:color w:val="000000"/>
                <w:sz w:val="16"/>
                <w:szCs w:val="16"/>
              </w:rPr>
              <w:t> </w:t>
            </w:r>
          </w:p>
        </w:tc>
        <w:tc>
          <w:tcPr>
            <w:tcW w:w="0" w:type="auto"/>
            <w:shd w:val="clear" w:color="auto" w:fill="D8D8D8"/>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shd w:val="clear" w:color="auto" w:fill="D8D8D8"/>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6"/>
                <w:szCs w:val="16"/>
              </w:rPr>
              <w:t>(262)</w:t>
            </w:r>
          </w:p>
        </w:tc>
        <w:tc>
          <w:tcPr>
            <w:tcW w:w="0" w:type="auto"/>
            <w:shd w:val="clear" w:color="auto" w:fill="D8D8D8"/>
            <w:tcMar>
              <w:top w:w="30" w:type="dxa"/>
              <w:left w:w="0" w:type="dxa"/>
              <w:bottom w:w="30" w:type="dxa"/>
              <w:right w:w="20" w:type="dxa"/>
            </w:tcMar>
            <w:vAlign w:val="bottom"/>
            <w:hideMark/>
          </w:tcPr>
          <w:p w:rsidR="00000000" w:rsidRDefault="001F1FC8">
            <w:pPr>
              <w:jc w:val="right"/>
              <w:rPr>
                <w:rFonts w:eastAsia="Times New Roman"/>
              </w:rPr>
            </w:pPr>
          </w:p>
        </w:tc>
      </w:tr>
      <w:tr w:rsidR="00000000">
        <w:trPr>
          <w:divId w:val="1145588504"/>
        </w:trPr>
        <w:tc>
          <w:tcPr>
            <w:tcW w:w="0" w:type="auto"/>
            <w:gridSpan w:val="3"/>
            <w:tcMar>
              <w:top w:w="30" w:type="dxa"/>
              <w:left w:w="155" w:type="dxa"/>
              <w:bottom w:w="30" w:type="dxa"/>
              <w:right w:w="20" w:type="dxa"/>
            </w:tcMar>
            <w:vAlign w:val="bottom"/>
            <w:hideMark/>
          </w:tcPr>
          <w:p w:rsidR="00000000" w:rsidRDefault="001F1FC8">
            <w:pPr>
              <w:rPr>
                <w:rFonts w:eastAsia="Times New Roman"/>
              </w:rPr>
            </w:pPr>
            <w:r>
              <w:rPr>
                <w:rFonts w:ascii="Arial" w:eastAsia="Times New Roman" w:hAnsi="Arial" w:cs="Arial"/>
                <w:color w:val="000000"/>
                <w:sz w:val="16"/>
                <w:szCs w:val="16"/>
              </w:rPr>
              <w:t>Interest rate contracts</w:t>
            </w:r>
          </w:p>
        </w:tc>
        <w:tc>
          <w:tcPr>
            <w:tcW w:w="0" w:type="auto"/>
            <w:gridSpan w:val="2"/>
            <w:shd w:val="clear" w:color="auto" w:fill="D8D8D8"/>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6"/>
                <w:szCs w:val="16"/>
              </w:rPr>
              <w:t>(150)</w:t>
            </w:r>
          </w:p>
        </w:tc>
        <w:tc>
          <w:tcPr>
            <w:tcW w:w="0" w:type="auto"/>
            <w:shd w:val="clear" w:color="auto" w:fill="D8D8D8"/>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shd w:val="clear" w:color="auto" w:fill="D8D8D8"/>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8D8D8"/>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shd w:val="clear" w:color="auto" w:fill="D8D8D8"/>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8D8D8"/>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shd w:val="clear" w:color="auto" w:fill="D8D8D8"/>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8D8D8"/>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shd w:val="clear" w:color="auto" w:fill="D8D8D8"/>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6"/>
                <w:szCs w:val="16"/>
              </w:rPr>
              <w:t>(150)</w:t>
            </w:r>
          </w:p>
        </w:tc>
        <w:tc>
          <w:tcPr>
            <w:tcW w:w="0" w:type="auto"/>
            <w:shd w:val="clear" w:color="auto" w:fill="D8D8D8"/>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shd w:val="clear" w:color="auto" w:fill="D8D8D8"/>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8D8D8"/>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shd w:val="clear" w:color="auto" w:fill="D8D8D8"/>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6"/>
                <w:szCs w:val="16"/>
              </w:rPr>
              <w:t>(150)</w:t>
            </w:r>
          </w:p>
        </w:tc>
        <w:tc>
          <w:tcPr>
            <w:tcW w:w="0" w:type="auto"/>
            <w:shd w:val="clear" w:color="auto" w:fill="D8D8D8"/>
            <w:tcMar>
              <w:top w:w="30" w:type="dxa"/>
              <w:left w:w="0" w:type="dxa"/>
              <w:bottom w:w="30" w:type="dxa"/>
              <w:right w:w="20" w:type="dxa"/>
            </w:tcMar>
            <w:vAlign w:val="bottom"/>
            <w:hideMark/>
          </w:tcPr>
          <w:p w:rsidR="00000000" w:rsidRDefault="001F1FC8">
            <w:pPr>
              <w:jc w:val="right"/>
              <w:rPr>
                <w:rFonts w:eastAsia="Times New Roman"/>
              </w:rPr>
            </w:pPr>
          </w:p>
        </w:tc>
      </w:tr>
      <w:tr w:rsidR="00000000">
        <w:trPr>
          <w:divId w:val="1145588504"/>
        </w:trPr>
        <w:tc>
          <w:tcPr>
            <w:tcW w:w="0" w:type="auto"/>
            <w:gridSpan w:val="3"/>
            <w:tcMar>
              <w:top w:w="30" w:type="dxa"/>
              <w:left w:w="155" w:type="dxa"/>
              <w:bottom w:w="30" w:type="dxa"/>
              <w:right w:w="20" w:type="dxa"/>
            </w:tcMar>
            <w:hideMark/>
          </w:tcPr>
          <w:p w:rsidR="00000000" w:rsidRDefault="001F1FC8">
            <w:pPr>
              <w:rPr>
                <w:rFonts w:eastAsia="Times New Roman"/>
              </w:rPr>
            </w:pPr>
            <w:r>
              <w:rPr>
                <w:rFonts w:ascii="Arial" w:eastAsia="Times New Roman" w:hAnsi="Arial" w:cs="Arial"/>
                <w:color w:val="000000"/>
                <w:sz w:val="16"/>
                <w:szCs w:val="16"/>
              </w:rPr>
              <w:t>Commodity contracts</w:t>
            </w:r>
          </w:p>
        </w:tc>
        <w:tc>
          <w:tcPr>
            <w:tcW w:w="0" w:type="auto"/>
            <w:gridSpan w:val="2"/>
            <w:shd w:val="clear" w:color="auto" w:fill="D8D8D8"/>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6"/>
                <w:szCs w:val="16"/>
              </w:rPr>
              <w:t>(14)</w:t>
            </w:r>
          </w:p>
        </w:tc>
        <w:tc>
          <w:tcPr>
            <w:tcW w:w="0" w:type="auto"/>
            <w:shd w:val="clear" w:color="auto" w:fill="D8D8D8"/>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shd w:val="clear" w:color="auto" w:fill="D8D8D8"/>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8D8D8"/>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shd w:val="clear" w:color="auto" w:fill="D8D8D8"/>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8D8D8"/>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shd w:val="clear" w:color="auto" w:fill="D8D8D8"/>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6"/>
                <w:szCs w:val="16"/>
              </w:rPr>
              <w:t>(250)</w:t>
            </w:r>
          </w:p>
        </w:tc>
        <w:tc>
          <w:tcPr>
            <w:tcW w:w="0" w:type="auto"/>
            <w:shd w:val="clear" w:color="auto" w:fill="D8D8D8"/>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shd w:val="clear" w:color="auto" w:fill="D8D8D8"/>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b/>
                <w:bCs/>
                <w:color w:val="000000"/>
                <w:sz w:val="16"/>
                <w:szCs w:val="16"/>
              </w:rPr>
              <w:t>264)</w:t>
            </w:r>
          </w:p>
        </w:tc>
        <w:tc>
          <w:tcPr>
            <w:tcW w:w="0" w:type="auto"/>
            <w:shd w:val="clear" w:color="auto" w:fill="D8D8D8"/>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shd w:val="clear" w:color="auto" w:fill="D8D8D8"/>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6"/>
                <w:szCs w:val="16"/>
              </w:rPr>
              <w:t>129</w:t>
            </w:r>
            <w:r>
              <w:rPr>
                <w:rFonts w:ascii="Arial" w:eastAsia="Times New Roman" w:hAnsi="Arial" w:cs="Arial"/>
                <w:color w:val="000000"/>
                <w:sz w:val="16"/>
                <w:szCs w:val="16"/>
              </w:rPr>
              <w:t> </w:t>
            </w:r>
          </w:p>
        </w:tc>
        <w:tc>
          <w:tcPr>
            <w:tcW w:w="0" w:type="auto"/>
            <w:shd w:val="clear" w:color="auto" w:fill="D8D8D8"/>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shd w:val="clear" w:color="auto" w:fill="D8D8D8"/>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6"/>
                <w:szCs w:val="16"/>
              </w:rPr>
              <w:t>(135)</w:t>
            </w:r>
          </w:p>
        </w:tc>
        <w:tc>
          <w:tcPr>
            <w:tcW w:w="0" w:type="auto"/>
            <w:shd w:val="clear" w:color="auto" w:fill="D8D8D8"/>
            <w:tcMar>
              <w:top w:w="30" w:type="dxa"/>
              <w:left w:w="0" w:type="dxa"/>
              <w:bottom w:w="30" w:type="dxa"/>
              <w:right w:w="20" w:type="dxa"/>
            </w:tcMar>
            <w:vAlign w:val="bottom"/>
            <w:hideMark/>
          </w:tcPr>
          <w:p w:rsidR="00000000" w:rsidRDefault="001F1FC8">
            <w:pPr>
              <w:jc w:val="right"/>
              <w:rPr>
                <w:rFonts w:eastAsia="Times New Roman"/>
              </w:rPr>
            </w:pPr>
          </w:p>
        </w:tc>
      </w:tr>
      <w:tr w:rsidR="00000000">
        <w:trPr>
          <w:divId w:val="1145588504"/>
        </w:trPr>
        <w:tc>
          <w:tcPr>
            <w:tcW w:w="0" w:type="auto"/>
            <w:gridSpan w:val="3"/>
            <w:tcMar>
              <w:top w:w="30" w:type="dxa"/>
              <w:left w:w="155" w:type="dxa"/>
              <w:bottom w:w="30" w:type="dxa"/>
              <w:right w:w="20" w:type="dxa"/>
            </w:tcMar>
            <w:vAlign w:val="bottom"/>
            <w:hideMark/>
          </w:tcPr>
          <w:p w:rsidR="00000000" w:rsidRDefault="001F1FC8">
            <w:pPr>
              <w:rPr>
                <w:rFonts w:eastAsia="Times New Roman"/>
              </w:rPr>
            </w:pPr>
            <w:r>
              <w:rPr>
                <w:rFonts w:ascii="Arial" w:eastAsia="Times New Roman" w:hAnsi="Arial" w:cs="Arial"/>
                <w:color w:val="000000"/>
                <w:sz w:val="16"/>
                <w:szCs w:val="16"/>
              </w:rPr>
              <w:t>Other contracts</w:t>
            </w:r>
          </w:p>
        </w:tc>
        <w:tc>
          <w:tcPr>
            <w:tcW w:w="0" w:type="auto"/>
            <w:gridSpan w:val="2"/>
            <w:shd w:val="clear" w:color="auto" w:fill="D8D8D8"/>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8D8D8"/>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shd w:val="clear" w:color="auto" w:fill="D8D8D8"/>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8D8D8"/>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shd w:val="clear" w:color="auto" w:fill="D8D8D8"/>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8D8D8"/>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shd w:val="clear" w:color="auto" w:fill="D8D8D8"/>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8D8D8"/>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shd w:val="clear" w:color="auto" w:fill="D8D8D8"/>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8D8D8"/>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shd w:val="clear" w:color="auto" w:fill="D8D8D8"/>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8D8D8"/>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shd w:val="clear" w:color="auto" w:fill="D8D8D8"/>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8D8D8"/>
            <w:tcMar>
              <w:top w:w="30" w:type="dxa"/>
              <w:left w:w="0" w:type="dxa"/>
              <w:bottom w:w="30" w:type="dxa"/>
              <w:right w:w="20" w:type="dxa"/>
            </w:tcMar>
            <w:vAlign w:val="bottom"/>
            <w:hideMark/>
          </w:tcPr>
          <w:p w:rsidR="00000000" w:rsidRDefault="001F1FC8">
            <w:pPr>
              <w:jc w:val="right"/>
              <w:rPr>
                <w:rFonts w:eastAsia="Times New Roman"/>
              </w:rPr>
            </w:pPr>
          </w:p>
        </w:tc>
      </w:tr>
      <w:tr w:rsidR="00000000">
        <w:trPr>
          <w:divId w:val="1145588504"/>
        </w:trPr>
        <w:tc>
          <w:tcPr>
            <w:tcW w:w="0" w:type="auto"/>
            <w:gridSpan w:val="3"/>
            <w:tcBorders>
              <w:top w:val="single" w:sz="4" w:space="0" w:color="000000"/>
            </w:tcBorders>
            <w:tcMar>
              <w:top w:w="0" w:type="dxa"/>
              <w:left w:w="20" w:type="dxa"/>
              <w:bottom w:w="0" w:type="dxa"/>
              <w:right w:w="20" w:type="dxa"/>
            </w:tcMar>
            <w:vAlign w:val="center"/>
            <w:hideMark/>
          </w:tcPr>
          <w:p w:rsidR="00000000" w:rsidRDefault="001F1FC8">
            <w:pPr>
              <w:jc w:val="right"/>
              <w:rPr>
                <w:rFonts w:eastAsia="Times New Roman"/>
                <w:sz w:val="20"/>
                <w:szCs w:val="20"/>
              </w:rPr>
            </w:pPr>
          </w:p>
        </w:tc>
        <w:tc>
          <w:tcPr>
            <w:tcW w:w="0" w:type="auto"/>
            <w:gridSpan w:val="2"/>
            <w:tcBorders>
              <w:top w:val="single" w:sz="4" w:space="0" w:color="000000"/>
            </w:tcBorders>
            <w:shd w:val="clear" w:color="auto" w:fill="D8D8D8"/>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6"/>
                <w:szCs w:val="16"/>
              </w:rPr>
              <w:t>(179)</w:t>
            </w:r>
          </w:p>
        </w:tc>
        <w:tc>
          <w:tcPr>
            <w:tcW w:w="0" w:type="auto"/>
            <w:tcBorders>
              <w:top w:val="single" w:sz="4" w:space="0" w:color="000000"/>
            </w:tcBorders>
            <w:shd w:val="clear" w:color="auto" w:fill="D8D8D8"/>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Borders>
              <w:top w:val="single" w:sz="4" w:space="0" w:color="000000"/>
            </w:tcBorders>
            <w:shd w:val="clear" w:color="auto" w:fill="D8D8D8"/>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tcBorders>
              <w:top w:val="single" w:sz="4" w:space="0" w:color="000000"/>
            </w:tcBorders>
            <w:shd w:val="clear" w:color="auto" w:fill="D8D8D8"/>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Borders>
              <w:top w:val="single" w:sz="4" w:space="0" w:color="000000"/>
            </w:tcBorders>
            <w:shd w:val="clear" w:color="auto" w:fill="D8D8D8"/>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6"/>
                <w:szCs w:val="16"/>
              </w:rPr>
              <w:t>(112)</w:t>
            </w:r>
          </w:p>
        </w:tc>
        <w:tc>
          <w:tcPr>
            <w:tcW w:w="0" w:type="auto"/>
            <w:tcBorders>
              <w:top w:val="single" w:sz="4" w:space="0" w:color="000000"/>
            </w:tcBorders>
            <w:shd w:val="clear" w:color="auto" w:fill="D8D8D8"/>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Borders>
              <w:top w:val="single" w:sz="4" w:space="0" w:color="000000"/>
            </w:tcBorders>
            <w:shd w:val="clear" w:color="auto" w:fill="D8D8D8"/>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6"/>
                <w:szCs w:val="16"/>
              </w:rPr>
              <w:t>(426)</w:t>
            </w:r>
          </w:p>
        </w:tc>
        <w:tc>
          <w:tcPr>
            <w:tcW w:w="0" w:type="auto"/>
            <w:tcBorders>
              <w:top w:val="single" w:sz="4" w:space="0" w:color="000000"/>
            </w:tcBorders>
            <w:shd w:val="clear" w:color="auto" w:fill="D8D8D8"/>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Borders>
              <w:top w:val="single" w:sz="4" w:space="0" w:color="000000"/>
            </w:tcBorders>
            <w:shd w:val="clear" w:color="auto" w:fill="D8D8D8"/>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6"/>
                <w:szCs w:val="16"/>
              </w:rPr>
              <w:t>(717)</w:t>
            </w:r>
          </w:p>
        </w:tc>
        <w:tc>
          <w:tcPr>
            <w:tcW w:w="0" w:type="auto"/>
            <w:tcBorders>
              <w:top w:val="single" w:sz="4" w:space="0" w:color="000000"/>
            </w:tcBorders>
            <w:shd w:val="clear" w:color="auto" w:fill="D8D8D8"/>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Borders>
              <w:top w:val="single" w:sz="4" w:space="0" w:color="000000"/>
            </w:tcBorders>
            <w:shd w:val="clear" w:color="auto" w:fill="D8D8D8"/>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6"/>
                <w:szCs w:val="16"/>
              </w:rPr>
              <w:t>170</w:t>
            </w:r>
            <w:r>
              <w:rPr>
                <w:rFonts w:ascii="Arial" w:eastAsia="Times New Roman" w:hAnsi="Arial" w:cs="Arial"/>
                <w:color w:val="000000"/>
                <w:sz w:val="16"/>
                <w:szCs w:val="16"/>
              </w:rPr>
              <w:t> </w:t>
            </w:r>
          </w:p>
        </w:tc>
        <w:tc>
          <w:tcPr>
            <w:tcW w:w="0" w:type="auto"/>
            <w:tcBorders>
              <w:top w:val="single" w:sz="4" w:space="0" w:color="000000"/>
            </w:tcBorders>
            <w:shd w:val="clear" w:color="auto" w:fill="D8D8D8"/>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Borders>
              <w:top w:val="single" w:sz="4" w:space="0" w:color="000000"/>
            </w:tcBorders>
            <w:shd w:val="clear" w:color="auto" w:fill="D8D8D8"/>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6"/>
                <w:szCs w:val="16"/>
              </w:rPr>
              <w:t>(547)</w:t>
            </w:r>
          </w:p>
        </w:tc>
        <w:tc>
          <w:tcPr>
            <w:tcW w:w="0" w:type="auto"/>
            <w:tcBorders>
              <w:top w:val="single" w:sz="4" w:space="0" w:color="000000"/>
            </w:tcBorders>
            <w:shd w:val="clear" w:color="auto" w:fill="D8D8D8"/>
            <w:tcMar>
              <w:top w:w="30" w:type="dxa"/>
              <w:left w:w="0" w:type="dxa"/>
              <w:bottom w:w="30" w:type="dxa"/>
              <w:right w:w="20" w:type="dxa"/>
            </w:tcMar>
            <w:vAlign w:val="bottom"/>
            <w:hideMark/>
          </w:tcPr>
          <w:p w:rsidR="00000000" w:rsidRDefault="001F1FC8">
            <w:pPr>
              <w:jc w:val="right"/>
              <w:rPr>
                <w:rFonts w:eastAsia="Times New Roman"/>
              </w:rPr>
            </w:pPr>
          </w:p>
        </w:tc>
      </w:tr>
      <w:tr w:rsidR="00000000">
        <w:trPr>
          <w:divId w:val="1145588504"/>
        </w:trPr>
        <w:tc>
          <w:tcPr>
            <w:tcW w:w="0" w:type="auto"/>
            <w:gridSpan w:val="3"/>
            <w:tcBorders>
              <w:top w:val="single" w:sz="4" w:space="0" w:color="000000"/>
            </w:tcBorders>
            <w:tcMar>
              <w:top w:w="30" w:type="dxa"/>
              <w:left w:w="20" w:type="dxa"/>
              <w:bottom w:w="30" w:type="dxa"/>
              <w:right w:w="20" w:type="dxa"/>
            </w:tcMar>
            <w:vAlign w:val="bottom"/>
            <w:hideMark/>
          </w:tcPr>
          <w:p w:rsidR="00000000" w:rsidRDefault="001F1FC8">
            <w:pPr>
              <w:rPr>
                <w:rFonts w:eastAsia="Times New Roman"/>
              </w:rPr>
            </w:pPr>
            <w:r>
              <w:rPr>
                <w:rFonts w:ascii="Arial" w:eastAsia="Times New Roman" w:hAnsi="Arial" w:cs="Arial"/>
                <w:color w:val="000000"/>
                <w:sz w:val="16"/>
                <w:szCs w:val="16"/>
              </w:rPr>
              <w:t>Other long-term liabilities</w:t>
            </w:r>
          </w:p>
        </w:tc>
        <w:tc>
          <w:tcPr>
            <w:tcW w:w="0" w:type="auto"/>
            <w:gridSpan w:val="3"/>
            <w:tcBorders>
              <w:top w:val="single" w:sz="4" w:space="0" w:color="000000"/>
            </w:tcBorders>
            <w:shd w:val="clear" w:color="auto" w:fill="D8D8D8"/>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2"/>
                <w:szCs w:val="2"/>
              </w:rPr>
              <w:t> </w:t>
            </w:r>
          </w:p>
        </w:tc>
        <w:tc>
          <w:tcPr>
            <w:tcW w:w="0" w:type="auto"/>
            <w:gridSpan w:val="3"/>
            <w:tcBorders>
              <w:top w:val="single" w:sz="4" w:space="0" w:color="000000"/>
            </w:tcBorders>
            <w:shd w:val="clear" w:color="auto" w:fill="D8D8D8"/>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2"/>
                <w:szCs w:val="2"/>
              </w:rPr>
              <w:t> </w:t>
            </w:r>
          </w:p>
        </w:tc>
        <w:tc>
          <w:tcPr>
            <w:tcW w:w="0" w:type="auto"/>
            <w:gridSpan w:val="3"/>
            <w:tcBorders>
              <w:top w:val="single" w:sz="4" w:space="0" w:color="000000"/>
            </w:tcBorders>
            <w:shd w:val="clear" w:color="auto" w:fill="D8D8D8"/>
            <w:tcMar>
              <w:top w:w="0" w:type="dxa"/>
              <w:left w:w="20" w:type="dxa"/>
              <w:bottom w:w="0" w:type="dxa"/>
              <w:right w:w="20" w:type="dxa"/>
            </w:tcMar>
            <w:vAlign w:val="center"/>
            <w:hideMark/>
          </w:tcPr>
          <w:p w:rsidR="00000000" w:rsidRDefault="001F1FC8">
            <w:pPr>
              <w:jc w:val="right"/>
              <w:rPr>
                <w:rFonts w:eastAsia="Times New Roman"/>
              </w:rPr>
            </w:pPr>
          </w:p>
        </w:tc>
        <w:tc>
          <w:tcPr>
            <w:tcW w:w="0" w:type="auto"/>
            <w:gridSpan w:val="3"/>
            <w:tcBorders>
              <w:top w:val="single" w:sz="4" w:space="0" w:color="000000"/>
            </w:tcBorders>
            <w:shd w:val="clear" w:color="auto" w:fill="D8D8D8"/>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2"/>
                <w:szCs w:val="2"/>
              </w:rPr>
              <w:t> </w:t>
            </w:r>
          </w:p>
        </w:tc>
        <w:tc>
          <w:tcPr>
            <w:tcW w:w="0" w:type="auto"/>
            <w:gridSpan w:val="3"/>
            <w:tcBorders>
              <w:top w:val="single" w:sz="4" w:space="0" w:color="000000"/>
            </w:tcBorders>
            <w:shd w:val="clear" w:color="auto" w:fill="D8D8D8"/>
            <w:tcMar>
              <w:top w:w="0" w:type="dxa"/>
              <w:left w:w="20" w:type="dxa"/>
              <w:bottom w:w="0" w:type="dxa"/>
              <w:right w:w="20" w:type="dxa"/>
            </w:tcMar>
            <w:vAlign w:val="center"/>
            <w:hideMark/>
          </w:tcPr>
          <w:p w:rsidR="00000000" w:rsidRDefault="001F1FC8">
            <w:pPr>
              <w:jc w:val="right"/>
              <w:rPr>
                <w:rFonts w:eastAsia="Times New Roman"/>
              </w:rPr>
            </w:pPr>
          </w:p>
        </w:tc>
        <w:tc>
          <w:tcPr>
            <w:tcW w:w="0" w:type="auto"/>
            <w:gridSpan w:val="3"/>
            <w:tcBorders>
              <w:top w:val="single" w:sz="4" w:space="0" w:color="000000"/>
            </w:tcBorders>
            <w:shd w:val="clear" w:color="auto" w:fill="D8D8D8"/>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2"/>
                <w:szCs w:val="2"/>
              </w:rPr>
              <w:t> </w:t>
            </w:r>
          </w:p>
        </w:tc>
        <w:tc>
          <w:tcPr>
            <w:tcW w:w="0" w:type="auto"/>
            <w:gridSpan w:val="3"/>
            <w:tcBorders>
              <w:top w:val="single" w:sz="4" w:space="0" w:color="000000"/>
            </w:tcBorders>
            <w:shd w:val="clear" w:color="auto" w:fill="D8D8D8"/>
            <w:tcMar>
              <w:top w:w="0" w:type="dxa"/>
              <w:left w:w="20" w:type="dxa"/>
              <w:bottom w:w="0" w:type="dxa"/>
              <w:right w:w="20" w:type="dxa"/>
            </w:tcMar>
            <w:vAlign w:val="center"/>
            <w:hideMark/>
          </w:tcPr>
          <w:p w:rsidR="00000000" w:rsidRDefault="001F1FC8">
            <w:pPr>
              <w:jc w:val="right"/>
              <w:rPr>
                <w:rFonts w:eastAsia="Times New Roman"/>
              </w:rPr>
            </w:pPr>
          </w:p>
        </w:tc>
      </w:tr>
      <w:tr w:rsidR="00000000">
        <w:trPr>
          <w:divId w:val="1145588504"/>
        </w:trPr>
        <w:tc>
          <w:tcPr>
            <w:tcW w:w="0" w:type="auto"/>
            <w:gridSpan w:val="3"/>
            <w:tcMar>
              <w:top w:w="30" w:type="dxa"/>
              <w:left w:w="155" w:type="dxa"/>
              <w:bottom w:w="30" w:type="dxa"/>
              <w:right w:w="20" w:type="dxa"/>
            </w:tcMar>
            <w:vAlign w:val="bottom"/>
            <w:hideMark/>
          </w:tcPr>
          <w:p w:rsidR="00000000" w:rsidRDefault="001F1FC8">
            <w:pPr>
              <w:rPr>
                <w:rFonts w:eastAsia="Times New Roman"/>
              </w:rPr>
            </w:pPr>
            <w:r>
              <w:rPr>
                <w:rFonts w:ascii="Arial" w:eastAsia="Times New Roman" w:hAnsi="Arial" w:cs="Arial"/>
                <w:color w:val="000000"/>
                <w:sz w:val="16"/>
                <w:szCs w:val="16"/>
              </w:rPr>
              <w:t>Foreign exchange contracts</w:t>
            </w:r>
          </w:p>
        </w:tc>
        <w:tc>
          <w:tcPr>
            <w:tcW w:w="0" w:type="auto"/>
            <w:gridSpan w:val="2"/>
            <w:shd w:val="clear" w:color="auto" w:fill="D8D8D8"/>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8D8D8"/>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shd w:val="clear" w:color="auto" w:fill="D8D8D8"/>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8D8D8"/>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shd w:val="clear" w:color="auto" w:fill="D8D8D8"/>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8D8D8"/>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shd w:val="clear" w:color="auto" w:fill="D8D8D8"/>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6"/>
                <w:szCs w:val="16"/>
              </w:rPr>
              <w:t>(423)</w:t>
            </w:r>
          </w:p>
        </w:tc>
        <w:tc>
          <w:tcPr>
            <w:tcW w:w="0" w:type="auto"/>
            <w:shd w:val="clear" w:color="auto" w:fill="D8D8D8"/>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shd w:val="clear" w:color="auto" w:fill="D8D8D8"/>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6"/>
                <w:szCs w:val="16"/>
              </w:rPr>
              <w:t>(423)</w:t>
            </w:r>
          </w:p>
        </w:tc>
        <w:tc>
          <w:tcPr>
            <w:tcW w:w="0" w:type="auto"/>
            <w:shd w:val="clear" w:color="auto" w:fill="D8D8D8"/>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shd w:val="clear" w:color="auto" w:fill="D8D8D8"/>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6"/>
                <w:szCs w:val="16"/>
              </w:rPr>
              <w:t>61</w:t>
            </w:r>
            <w:r>
              <w:rPr>
                <w:rFonts w:ascii="Arial" w:eastAsia="Times New Roman" w:hAnsi="Arial" w:cs="Arial"/>
                <w:color w:val="000000"/>
                <w:sz w:val="16"/>
                <w:szCs w:val="16"/>
              </w:rPr>
              <w:t> </w:t>
            </w:r>
          </w:p>
        </w:tc>
        <w:tc>
          <w:tcPr>
            <w:tcW w:w="0" w:type="auto"/>
            <w:shd w:val="clear" w:color="auto" w:fill="D8D8D8"/>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shd w:val="clear" w:color="auto" w:fill="D8D8D8"/>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6"/>
                <w:szCs w:val="16"/>
              </w:rPr>
              <w:t>(362)</w:t>
            </w:r>
          </w:p>
        </w:tc>
        <w:tc>
          <w:tcPr>
            <w:tcW w:w="0" w:type="auto"/>
            <w:shd w:val="clear" w:color="auto" w:fill="D8D8D8"/>
            <w:tcMar>
              <w:top w:w="30" w:type="dxa"/>
              <w:left w:w="0" w:type="dxa"/>
              <w:bottom w:w="30" w:type="dxa"/>
              <w:right w:w="20" w:type="dxa"/>
            </w:tcMar>
            <w:vAlign w:val="bottom"/>
            <w:hideMark/>
          </w:tcPr>
          <w:p w:rsidR="00000000" w:rsidRDefault="001F1FC8">
            <w:pPr>
              <w:jc w:val="right"/>
              <w:rPr>
                <w:rFonts w:eastAsia="Times New Roman"/>
              </w:rPr>
            </w:pPr>
          </w:p>
        </w:tc>
      </w:tr>
      <w:tr w:rsidR="00000000">
        <w:trPr>
          <w:divId w:val="1145588504"/>
        </w:trPr>
        <w:tc>
          <w:tcPr>
            <w:tcW w:w="0" w:type="auto"/>
            <w:gridSpan w:val="3"/>
            <w:tcMar>
              <w:top w:w="30" w:type="dxa"/>
              <w:left w:w="155" w:type="dxa"/>
              <w:bottom w:w="30" w:type="dxa"/>
              <w:right w:w="20" w:type="dxa"/>
            </w:tcMar>
            <w:vAlign w:val="bottom"/>
            <w:hideMark/>
          </w:tcPr>
          <w:p w:rsidR="00000000" w:rsidRDefault="001F1FC8">
            <w:pPr>
              <w:rPr>
                <w:rFonts w:eastAsia="Times New Roman"/>
              </w:rPr>
            </w:pPr>
            <w:r>
              <w:rPr>
                <w:rFonts w:ascii="Arial" w:eastAsia="Times New Roman" w:hAnsi="Arial" w:cs="Arial"/>
                <w:color w:val="000000"/>
                <w:sz w:val="16"/>
                <w:szCs w:val="16"/>
              </w:rPr>
              <w:t>Interest rate contracts</w:t>
            </w:r>
          </w:p>
        </w:tc>
        <w:tc>
          <w:tcPr>
            <w:tcW w:w="0" w:type="auto"/>
            <w:gridSpan w:val="2"/>
            <w:shd w:val="clear" w:color="auto" w:fill="D8D8D8"/>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6"/>
                <w:szCs w:val="16"/>
              </w:rPr>
              <w:t>(1)</w:t>
            </w:r>
          </w:p>
        </w:tc>
        <w:tc>
          <w:tcPr>
            <w:tcW w:w="0" w:type="auto"/>
            <w:shd w:val="clear" w:color="auto" w:fill="D8D8D8"/>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shd w:val="clear" w:color="auto" w:fill="D8D8D8"/>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8D8D8"/>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shd w:val="clear" w:color="auto" w:fill="D8D8D8"/>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8D8D8"/>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shd w:val="clear" w:color="auto" w:fill="D8D8D8"/>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6"/>
                <w:szCs w:val="16"/>
              </w:rPr>
              <w:t>(23)</w:t>
            </w:r>
          </w:p>
        </w:tc>
        <w:tc>
          <w:tcPr>
            <w:tcW w:w="0" w:type="auto"/>
            <w:shd w:val="clear" w:color="auto" w:fill="D8D8D8"/>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shd w:val="clear" w:color="auto" w:fill="D8D8D8"/>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6"/>
                <w:szCs w:val="16"/>
              </w:rPr>
              <w:t>(24)</w:t>
            </w:r>
          </w:p>
        </w:tc>
        <w:tc>
          <w:tcPr>
            <w:tcW w:w="0" w:type="auto"/>
            <w:shd w:val="clear" w:color="auto" w:fill="D8D8D8"/>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shd w:val="clear" w:color="auto" w:fill="D8D8D8"/>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6"/>
                <w:szCs w:val="16"/>
              </w:rPr>
              <w:t>1</w:t>
            </w:r>
            <w:r>
              <w:rPr>
                <w:rFonts w:ascii="Arial" w:eastAsia="Times New Roman" w:hAnsi="Arial" w:cs="Arial"/>
                <w:color w:val="000000"/>
                <w:sz w:val="16"/>
                <w:szCs w:val="16"/>
              </w:rPr>
              <w:t> </w:t>
            </w:r>
          </w:p>
        </w:tc>
        <w:tc>
          <w:tcPr>
            <w:tcW w:w="0" w:type="auto"/>
            <w:shd w:val="clear" w:color="auto" w:fill="D8D8D8"/>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shd w:val="clear" w:color="auto" w:fill="D8D8D8"/>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6"/>
                <w:szCs w:val="16"/>
              </w:rPr>
              <w:t>(23)</w:t>
            </w:r>
          </w:p>
        </w:tc>
        <w:tc>
          <w:tcPr>
            <w:tcW w:w="0" w:type="auto"/>
            <w:shd w:val="clear" w:color="auto" w:fill="D8D8D8"/>
            <w:tcMar>
              <w:top w:w="30" w:type="dxa"/>
              <w:left w:w="0" w:type="dxa"/>
              <w:bottom w:w="30" w:type="dxa"/>
              <w:right w:w="20" w:type="dxa"/>
            </w:tcMar>
            <w:vAlign w:val="bottom"/>
            <w:hideMark/>
          </w:tcPr>
          <w:p w:rsidR="00000000" w:rsidRDefault="001F1FC8">
            <w:pPr>
              <w:jc w:val="right"/>
              <w:rPr>
                <w:rFonts w:eastAsia="Times New Roman"/>
              </w:rPr>
            </w:pPr>
          </w:p>
        </w:tc>
      </w:tr>
      <w:tr w:rsidR="00000000">
        <w:trPr>
          <w:divId w:val="1145588504"/>
        </w:trPr>
        <w:tc>
          <w:tcPr>
            <w:tcW w:w="0" w:type="auto"/>
            <w:gridSpan w:val="3"/>
            <w:tcMar>
              <w:top w:w="30" w:type="dxa"/>
              <w:left w:w="155" w:type="dxa"/>
              <w:bottom w:w="30" w:type="dxa"/>
              <w:right w:w="20" w:type="dxa"/>
            </w:tcMar>
            <w:hideMark/>
          </w:tcPr>
          <w:p w:rsidR="00000000" w:rsidRDefault="001F1FC8">
            <w:pPr>
              <w:rPr>
                <w:rFonts w:eastAsia="Times New Roman"/>
              </w:rPr>
            </w:pPr>
            <w:r>
              <w:rPr>
                <w:rFonts w:ascii="Arial" w:eastAsia="Times New Roman" w:hAnsi="Arial" w:cs="Arial"/>
                <w:color w:val="000000"/>
                <w:sz w:val="16"/>
                <w:szCs w:val="16"/>
              </w:rPr>
              <w:t>Commodity contracts</w:t>
            </w:r>
          </w:p>
        </w:tc>
        <w:tc>
          <w:tcPr>
            <w:tcW w:w="0" w:type="auto"/>
            <w:gridSpan w:val="2"/>
            <w:shd w:val="clear" w:color="auto" w:fill="D8D8D8"/>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6"/>
                <w:szCs w:val="16"/>
              </w:rPr>
              <w:t>(17)</w:t>
            </w:r>
          </w:p>
        </w:tc>
        <w:tc>
          <w:tcPr>
            <w:tcW w:w="0" w:type="auto"/>
            <w:shd w:val="clear" w:color="auto" w:fill="D8D8D8"/>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shd w:val="clear" w:color="auto" w:fill="D8D8D8"/>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8D8D8"/>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shd w:val="clear" w:color="auto" w:fill="D8D8D8"/>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8D8D8"/>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shd w:val="clear" w:color="auto" w:fill="D8D8D8"/>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6"/>
                <w:szCs w:val="16"/>
              </w:rPr>
              <w:t>(67)</w:t>
            </w:r>
          </w:p>
        </w:tc>
        <w:tc>
          <w:tcPr>
            <w:tcW w:w="0" w:type="auto"/>
            <w:shd w:val="clear" w:color="auto" w:fill="D8D8D8"/>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shd w:val="clear" w:color="auto" w:fill="D8D8D8"/>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6"/>
                <w:szCs w:val="16"/>
              </w:rPr>
              <w:t>(84)</w:t>
            </w:r>
          </w:p>
        </w:tc>
        <w:tc>
          <w:tcPr>
            <w:tcW w:w="0" w:type="auto"/>
            <w:shd w:val="clear" w:color="auto" w:fill="D8D8D8"/>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shd w:val="clear" w:color="auto" w:fill="D8D8D8"/>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6"/>
                <w:szCs w:val="16"/>
              </w:rPr>
              <w:t>13</w:t>
            </w:r>
            <w:r>
              <w:rPr>
                <w:rFonts w:ascii="Arial" w:eastAsia="Times New Roman" w:hAnsi="Arial" w:cs="Arial"/>
                <w:color w:val="000000"/>
                <w:sz w:val="16"/>
                <w:szCs w:val="16"/>
              </w:rPr>
              <w:t> </w:t>
            </w:r>
          </w:p>
        </w:tc>
        <w:tc>
          <w:tcPr>
            <w:tcW w:w="0" w:type="auto"/>
            <w:shd w:val="clear" w:color="auto" w:fill="D8D8D8"/>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shd w:val="clear" w:color="auto" w:fill="D8D8D8"/>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6"/>
                <w:szCs w:val="16"/>
              </w:rPr>
              <w:t>(71)</w:t>
            </w:r>
          </w:p>
        </w:tc>
        <w:tc>
          <w:tcPr>
            <w:tcW w:w="0" w:type="auto"/>
            <w:shd w:val="clear" w:color="auto" w:fill="D8D8D8"/>
            <w:tcMar>
              <w:top w:w="30" w:type="dxa"/>
              <w:left w:w="0" w:type="dxa"/>
              <w:bottom w:w="30" w:type="dxa"/>
              <w:right w:w="20" w:type="dxa"/>
            </w:tcMar>
            <w:vAlign w:val="bottom"/>
            <w:hideMark/>
          </w:tcPr>
          <w:p w:rsidR="00000000" w:rsidRDefault="001F1FC8">
            <w:pPr>
              <w:jc w:val="right"/>
              <w:rPr>
                <w:rFonts w:eastAsia="Times New Roman"/>
              </w:rPr>
            </w:pPr>
          </w:p>
        </w:tc>
      </w:tr>
      <w:tr w:rsidR="00000000">
        <w:trPr>
          <w:divId w:val="1145588504"/>
        </w:trPr>
        <w:tc>
          <w:tcPr>
            <w:tcW w:w="0" w:type="auto"/>
            <w:gridSpan w:val="3"/>
            <w:tcMar>
              <w:top w:w="30" w:type="dxa"/>
              <w:left w:w="155" w:type="dxa"/>
              <w:bottom w:w="30" w:type="dxa"/>
              <w:right w:w="20" w:type="dxa"/>
            </w:tcMar>
            <w:vAlign w:val="bottom"/>
            <w:hideMark/>
          </w:tcPr>
          <w:p w:rsidR="00000000" w:rsidRDefault="001F1FC8">
            <w:pPr>
              <w:rPr>
                <w:rFonts w:eastAsia="Times New Roman"/>
              </w:rPr>
            </w:pPr>
            <w:r>
              <w:rPr>
                <w:rFonts w:ascii="Arial" w:eastAsia="Times New Roman" w:hAnsi="Arial" w:cs="Arial"/>
                <w:color w:val="000000"/>
                <w:sz w:val="16"/>
                <w:szCs w:val="16"/>
              </w:rPr>
              <w:t>Other contracts</w:t>
            </w:r>
          </w:p>
        </w:tc>
        <w:tc>
          <w:tcPr>
            <w:tcW w:w="0" w:type="auto"/>
            <w:gridSpan w:val="2"/>
            <w:shd w:val="clear" w:color="auto" w:fill="D8D8D8"/>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8D8D8"/>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shd w:val="clear" w:color="auto" w:fill="D8D8D8"/>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8D8D8"/>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shd w:val="clear" w:color="auto" w:fill="D8D8D8"/>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8D8D8"/>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shd w:val="clear" w:color="auto" w:fill="D8D8D8"/>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8D8D8"/>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shd w:val="clear" w:color="auto" w:fill="D8D8D8"/>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8D8D8"/>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shd w:val="clear" w:color="auto" w:fill="D8D8D8"/>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8D8D8"/>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shd w:val="clear" w:color="auto" w:fill="D8D8D8"/>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8D8D8"/>
            <w:tcMar>
              <w:top w:w="30" w:type="dxa"/>
              <w:left w:w="0" w:type="dxa"/>
              <w:bottom w:w="30" w:type="dxa"/>
              <w:right w:w="20" w:type="dxa"/>
            </w:tcMar>
            <w:vAlign w:val="bottom"/>
            <w:hideMark/>
          </w:tcPr>
          <w:p w:rsidR="00000000" w:rsidRDefault="001F1FC8">
            <w:pPr>
              <w:jc w:val="right"/>
              <w:rPr>
                <w:rFonts w:eastAsia="Times New Roman"/>
              </w:rPr>
            </w:pPr>
          </w:p>
        </w:tc>
      </w:tr>
      <w:tr w:rsidR="00000000">
        <w:trPr>
          <w:divId w:val="1145588504"/>
        </w:trPr>
        <w:tc>
          <w:tcPr>
            <w:tcW w:w="0" w:type="auto"/>
            <w:gridSpan w:val="3"/>
            <w:tcBorders>
              <w:top w:val="single" w:sz="4" w:space="0" w:color="000000"/>
            </w:tcBorders>
            <w:tcMar>
              <w:top w:w="0" w:type="dxa"/>
              <w:left w:w="20" w:type="dxa"/>
              <w:bottom w:w="0" w:type="dxa"/>
              <w:right w:w="20" w:type="dxa"/>
            </w:tcMar>
            <w:vAlign w:val="center"/>
            <w:hideMark/>
          </w:tcPr>
          <w:p w:rsidR="00000000" w:rsidRDefault="001F1FC8">
            <w:pPr>
              <w:jc w:val="right"/>
              <w:rPr>
                <w:rFonts w:eastAsia="Times New Roman"/>
                <w:sz w:val="20"/>
                <w:szCs w:val="20"/>
              </w:rPr>
            </w:pPr>
          </w:p>
        </w:tc>
        <w:tc>
          <w:tcPr>
            <w:tcW w:w="0" w:type="auto"/>
            <w:gridSpan w:val="2"/>
            <w:tcBorders>
              <w:top w:val="single" w:sz="4" w:space="0" w:color="000000"/>
            </w:tcBorders>
            <w:shd w:val="clear" w:color="auto" w:fill="D8D8D8"/>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6"/>
                <w:szCs w:val="16"/>
              </w:rPr>
              <w:t>(18)</w:t>
            </w:r>
          </w:p>
        </w:tc>
        <w:tc>
          <w:tcPr>
            <w:tcW w:w="0" w:type="auto"/>
            <w:tcBorders>
              <w:top w:val="single" w:sz="4" w:space="0" w:color="000000"/>
            </w:tcBorders>
            <w:shd w:val="clear" w:color="auto" w:fill="D8D8D8"/>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Borders>
              <w:top w:val="single" w:sz="4" w:space="0" w:color="000000"/>
            </w:tcBorders>
            <w:shd w:val="clear" w:color="auto" w:fill="D8D8D8"/>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tcBorders>
              <w:top w:val="single" w:sz="4" w:space="0" w:color="000000"/>
            </w:tcBorders>
            <w:shd w:val="clear" w:color="auto" w:fill="D8D8D8"/>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Borders>
              <w:top w:val="single" w:sz="4" w:space="0" w:color="000000"/>
            </w:tcBorders>
            <w:shd w:val="clear" w:color="auto" w:fill="D8D8D8"/>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tcBorders>
              <w:top w:val="single" w:sz="4" w:space="0" w:color="000000"/>
            </w:tcBorders>
            <w:shd w:val="clear" w:color="auto" w:fill="D8D8D8"/>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Borders>
              <w:top w:val="single" w:sz="4" w:space="0" w:color="000000"/>
            </w:tcBorders>
            <w:shd w:val="clear" w:color="auto" w:fill="D8D8D8"/>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6"/>
                <w:szCs w:val="16"/>
              </w:rPr>
              <w:t>(513)</w:t>
            </w:r>
          </w:p>
        </w:tc>
        <w:tc>
          <w:tcPr>
            <w:tcW w:w="0" w:type="auto"/>
            <w:tcBorders>
              <w:top w:val="single" w:sz="4" w:space="0" w:color="000000"/>
            </w:tcBorders>
            <w:shd w:val="clear" w:color="auto" w:fill="D8D8D8"/>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Borders>
              <w:top w:val="single" w:sz="4" w:space="0" w:color="000000"/>
            </w:tcBorders>
            <w:shd w:val="clear" w:color="auto" w:fill="D8D8D8"/>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6"/>
                <w:szCs w:val="16"/>
              </w:rPr>
              <w:t>(531)</w:t>
            </w:r>
          </w:p>
        </w:tc>
        <w:tc>
          <w:tcPr>
            <w:tcW w:w="0" w:type="auto"/>
            <w:tcBorders>
              <w:top w:val="single" w:sz="4" w:space="0" w:color="000000"/>
            </w:tcBorders>
            <w:shd w:val="clear" w:color="auto" w:fill="D8D8D8"/>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Borders>
              <w:top w:val="single" w:sz="4" w:space="0" w:color="000000"/>
            </w:tcBorders>
            <w:shd w:val="clear" w:color="auto" w:fill="D8D8D8"/>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6"/>
                <w:szCs w:val="16"/>
              </w:rPr>
              <w:t>75</w:t>
            </w:r>
            <w:r>
              <w:rPr>
                <w:rFonts w:ascii="Arial" w:eastAsia="Times New Roman" w:hAnsi="Arial" w:cs="Arial"/>
                <w:color w:val="000000"/>
                <w:sz w:val="16"/>
                <w:szCs w:val="16"/>
              </w:rPr>
              <w:t> </w:t>
            </w:r>
          </w:p>
        </w:tc>
        <w:tc>
          <w:tcPr>
            <w:tcW w:w="0" w:type="auto"/>
            <w:tcBorders>
              <w:top w:val="single" w:sz="4" w:space="0" w:color="000000"/>
            </w:tcBorders>
            <w:shd w:val="clear" w:color="auto" w:fill="D8D8D8"/>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Borders>
              <w:top w:val="single" w:sz="4" w:space="0" w:color="000000"/>
            </w:tcBorders>
            <w:shd w:val="clear" w:color="auto" w:fill="D8D8D8"/>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6"/>
                <w:szCs w:val="16"/>
              </w:rPr>
              <w:t>(456)</w:t>
            </w:r>
          </w:p>
        </w:tc>
        <w:tc>
          <w:tcPr>
            <w:tcW w:w="0" w:type="auto"/>
            <w:tcBorders>
              <w:top w:val="single" w:sz="4" w:space="0" w:color="000000"/>
            </w:tcBorders>
            <w:shd w:val="clear" w:color="auto" w:fill="D8D8D8"/>
            <w:tcMar>
              <w:top w:w="30" w:type="dxa"/>
              <w:left w:w="0" w:type="dxa"/>
              <w:bottom w:w="30" w:type="dxa"/>
              <w:right w:w="20" w:type="dxa"/>
            </w:tcMar>
            <w:vAlign w:val="bottom"/>
            <w:hideMark/>
          </w:tcPr>
          <w:p w:rsidR="00000000" w:rsidRDefault="001F1FC8">
            <w:pPr>
              <w:jc w:val="right"/>
              <w:rPr>
                <w:rFonts w:eastAsia="Times New Roman"/>
              </w:rPr>
            </w:pPr>
          </w:p>
        </w:tc>
      </w:tr>
      <w:tr w:rsidR="00000000">
        <w:trPr>
          <w:divId w:val="1145588504"/>
        </w:trPr>
        <w:tc>
          <w:tcPr>
            <w:tcW w:w="0" w:type="auto"/>
            <w:gridSpan w:val="3"/>
            <w:tcBorders>
              <w:top w:val="single" w:sz="4" w:space="0" w:color="000000"/>
            </w:tcBorders>
            <w:tcMar>
              <w:top w:w="30" w:type="dxa"/>
              <w:left w:w="20" w:type="dxa"/>
              <w:bottom w:w="30" w:type="dxa"/>
              <w:right w:w="20" w:type="dxa"/>
            </w:tcMar>
            <w:vAlign w:val="bottom"/>
            <w:hideMark/>
          </w:tcPr>
          <w:p w:rsidR="00000000" w:rsidRDefault="001F1FC8">
            <w:pPr>
              <w:rPr>
                <w:rFonts w:eastAsia="Times New Roman"/>
              </w:rPr>
            </w:pPr>
            <w:r>
              <w:rPr>
                <w:rFonts w:ascii="Arial" w:eastAsia="Times New Roman" w:hAnsi="Arial" w:cs="Arial"/>
                <w:color w:val="000000"/>
                <w:sz w:val="16"/>
                <w:szCs w:val="16"/>
              </w:rPr>
              <w:t>Total net derivative asset/(liability)</w:t>
            </w:r>
          </w:p>
        </w:tc>
        <w:tc>
          <w:tcPr>
            <w:tcW w:w="0" w:type="auto"/>
            <w:gridSpan w:val="3"/>
            <w:tcBorders>
              <w:top w:val="single" w:sz="4" w:space="0" w:color="000000"/>
            </w:tcBorders>
            <w:shd w:val="clear" w:color="auto" w:fill="D8D8D8"/>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2"/>
                <w:szCs w:val="2"/>
              </w:rPr>
              <w:t> </w:t>
            </w:r>
          </w:p>
        </w:tc>
        <w:tc>
          <w:tcPr>
            <w:tcW w:w="0" w:type="auto"/>
            <w:gridSpan w:val="3"/>
            <w:tcBorders>
              <w:top w:val="single" w:sz="4" w:space="0" w:color="000000"/>
            </w:tcBorders>
            <w:shd w:val="clear" w:color="auto" w:fill="D8D8D8"/>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2"/>
                <w:szCs w:val="2"/>
              </w:rPr>
              <w:t> </w:t>
            </w:r>
          </w:p>
        </w:tc>
        <w:tc>
          <w:tcPr>
            <w:tcW w:w="0" w:type="auto"/>
            <w:gridSpan w:val="3"/>
            <w:tcBorders>
              <w:top w:val="single" w:sz="4" w:space="0" w:color="000000"/>
            </w:tcBorders>
            <w:shd w:val="clear" w:color="auto" w:fill="D8D8D8"/>
            <w:tcMar>
              <w:top w:w="0" w:type="dxa"/>
              <w:left w:w="20" w:type="dxa"/>
              <w:bottom w:w="0" w:type="dxa"/>
              <w:right w:w="20" w:type="dxa"/>
            </w:tcMar>
            <w:vAlign w:val="center"/>
            <w:hideMark/>
          </w:tcPr>
          <w:p w:rsidR="00000000" w:rsidRDefault="001F1FC8">
            <w:pPr>
              <w:jc w:val="right"/>
              <w:rPr>
                <w:rFonts w:eastAsia="Times New Roman"/>
              </w:rPr>
            </w:pPr>
          </w:p>
        </w:tc>
        <w:tc>
          <w:tcPr>
            <w:tcW w:w="0" w:type="auto"/>
            <w:gridSpan w:val="3"/>
            <w:tcBorders>
              <w:top w:val="single" w:sz="4" w:space="0" w:color="000000"/>
            </w:tcBorders>
            <w:shd w:val="clear" w:color="auto" w:fill="D8D8D8"/>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2"/>
                <w:szCs w:val="2"/>
              </w:rPr>
              <w:t> </w:t>
            </w:r>
          </w:p>
        </w:tc>
        <w:tc>
          <w:tcPr>
            <w:tcW w:w="0" w:type="auto"/>
            <w:gridSpan w:val="3"/>
            <w:tcBorders>
              <w:top w:val="single" w:sz="4" w:space="0" w:color="000000"/>
            </w:tcBorders>
            <w:shd w:val="clear" w:color="auto" w:fill="D8D8D8"/>
            <w:tcMar>
              <w:top w:w="0" w:type="dxa"/>
              <w:left w:w="20" w:type="dxa"/>
              <w:bottom w:w="0" w:type="dxa"/>
              <w:right w:w="20" w:type="dxa"/>
            </w:tcMar>
            <w:vAlign w:val="center"/>
            <w:hideMark/>
          </w:tcPr>
          <w:p w:rsidR="00000000" w:rsidRDefault="001F1FC8">
            <w:pPr>
              <w:jc w:val="right"/>
              <w:rPr>
                <w:rFonts w:eastAsia="Times New Roman"/>
              </w:rPr>
            </w:pPr>
          </w:p>
        </w:tc>
        <w:tc>
          <w:tcPr>
            <w:tcW w:w="0" w:type="auto"/>
            <w:gridSpan w:val="3"/>
            <w:tcBorders>
              <w:top w:val="single" w:sz="4" w:space="0" w:color="000000"/>
            </w:tcBorders>
            <w:shd w:val="clear" w:color="auto" w:fill="D8D8D8"/>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2"/>
                <w:szCs w:val="2"/>
              </w:rPr>
              <w:t> </w:t>
            </w:r>
          </w:p>
        </w:tc>
        <w:tc>
          <w:tcPr>
            <w:tcW w:w="0" w:type="auto"/>
            <w:gridSpan w:val="3"/>
            <w:tcBorders>
              <w:top w:val="single" w:sz="4" w:space="0" w:color="000000"/>
            </w:tcBorders>
            <w:shd w:val="clear" w:color="auto" w:fill="D8D8D8"/>
            <w:tcMar>
              <w:top w:w="0" w:type="dxa"/>
              <w:left w:w="20" w:type="dxa"/>
              <w:bottom w:w="0" w:type="dxa"/>
              <w:right w:w="20" w:type="dxa"/>
            </w:tcMar>
            <w:vAlign w:val="center"/>
            <w:hideMark/>
          </w:tcPr>
          <w:p w:rsidR="00000000" w:rsidRDefault="001F1FC8">
            <w:pPr>
              <w:jc w:val="right"/>
              <w:rPr>
                <w:rFonts w:eastAsia="Times New Roman"/>
              </w:rPr>
            </w:pPr>
          </w:p>
        </w:tc>
      </w:tr>
      <w:tr w:rsidR="00000000">
        <w:trPr>
          <w:divId w:val="1145588504"/>
        </w:trPr>
        <w:tc>
          <w:tcPr>
            <w:tcW w:w="0" w:type="auto"/>
            <w:gridSpan w:val="3"/>
            <w:tcMar>
              <w:top w:w="30" w:type="dxa"/>
              <w:left w:w="155" w:type="dxa"/>
              <w:bottom w:w="30" w:type="dxa"/>
              <w:right w:w="20" w:type="dxa"/>
            </w:tcMar>
            <w:vAlign w:val="bottom"/>
            <w:hideMark/>
          </w:tcPr>
          <w:p w:rsidR="00000000" w:rsidRDefault="001F1FC8">
            <w:pPr>
              <w:rPr>
                <w:rFonts w:eastAsia="Times New Roman"/>
              </w:rPr>
            </w:pPr>
            <w:r>
              <w:rPr>
                <w:rFonts w:ascii="Arial" w:eastAsia="Times New Roman" w:hAnsi="Arial" w:cs="Arial"/>
                <w:color w:val="000000"/>
                <w:sz w:val="16"/>
                <w:szCs w:val="16"/>
              </w:rPr>
              <w:t>Foreign exchange contracts</w:t>
            </w:r>
          </w:p>
        </w:tc>
        <w:tc>
          <w:tcPr>
            <w:tcW w:w="0" w:type="auto"/>
            <w:gridSpan w:val="2"/>
            <w:shd w:val="clear" w:color="auto" w:fill="D8D8D8"/>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6"/>
                <w:szCs w:val="16"/>
              </w:rPr>
              <w:t>(15)</w:t>
            </w:r>
          </w:p>
        </w:tc>
        <w:tc>
          <w:tcPr>
            <w:tcW w:w="0" w:type="auto"/>
            <w:shd w:val="clear" w:color="auto" w:fill="D8D8D8"/>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shd w:val="clear" w:color="auto" w:fill="D8D8D8"/>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8D8D8"/>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shd w:val="clear" w:color="auto" w:fill="D8D8D8"/>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6"/>
                <w:szCs w:val="16"/>
              </w:rPr>
              <w:t>(112)</w:t>
            </w:r>
          </w:p>
        </w:tc>
        <w:tc>
          <w:tcPr>
            <w:tcW w:w="0" w:type="auto"/>
            <w:shd w:val="clear" w:color="auto" w:fill="D8D8D8"/>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shd w:val="clear" w:color="auto" w:fill="D8D8D8"/>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6"/>
                <w:szCs w:val="16"/>
              </w:rPr>
              <w:t>(100)</w:t>
            </w:r>
          </w:p>
        </w:tc>
        <w:tc>
          <w:tcPr>
            <w:tcW w:w="0" w:type="auto"/>
            <w:shd w:val="clear" w:color="auto" w:fill="D8D8D8"/>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shd w:val="clear" w:color="auto" w:fill="D8D8D8"/>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6"/>
                <w:szCs w:val="16"/>
              </w:rPr>
              <w:t>(227)</w:t>
            </w:r>
          </w:p>
        </w:tc>
        <w:tc>
          <w:tcPr>
            <w:tcW w:w="0" w:type="auto"/>
            <w:shd w:val="clear" w:color="auto" w:fill="D8D8D8"/>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shd w:val="clear" w:color="auto" w:fill="D8D8D8"/>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8D8D8"/>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shd w:val="clear" w:color="auto" w:fill="D8D8D8"/>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6"/>
                <w:szCs w:val="16"/>
              </w:rPr>
              <w:t>(227)</w:t>
            </w:r>
          </w:p>
        </w:tc>
        <w:tc>
          <w:tcPr>
            <w:tcW w:w="0" w:type="auto"/>
            <w:shd w:val="clear" w:color="auto" w:fill="D8D8D8"/>
            <w:tcMar>
              <w:top w:w="30" w:type="dxa"/>
              <w:left w:w="0" w:type="dxa"/>
              <w:bottom w:w="30" w:type="dxa"/>
              <w:right w:w="20" w:type="dxa"/>
            </w:tcMar>
            <w:vAlign w:val="bottom"/>
            <w:hideMark/>
          </w:tcPr>
          <w:p w:rsidR="00000000" w:rsidRDefault="001F1FC8">
            <w:pPr>
              <w:jc w:val="right"/>
              <w:rPr>
                <w:rFonts w:eastAsia="Times New Roman"/>
              </w:rPr>
            </w:pPr>
          </w:p>
        </w:tc>
      </w:tr>
      <w:tr w:rsidR="00000000">
        <w:trPr>
          <w:divId w:val="1145588504"/>
        </w:trPr>
        <w:tc>
          <w:tcPr>
            <w:tcW w:w="0" w:type="auto"/>
            <w:gridSpan w:val="3"/>
            <w:tcMar>
              <w:top w:w="30" w:type="dxa"/>
              <w:left w:w="155" w:type="dxa"/>
              <w:bottom w:w="30" w:type="dxa"/>
              <w:right w:w="20" w:type="dxa"/>
            </w:tcMar>
            <w:vAlign w:val="bottom"/>
            <w:hideMark/>
          </w:tcPr>
          <w:p w:rsidR="00000000" w:rsidRDefault="001F1FC8">
            <w:pPr>
              <w:rPr>
                <w:rFonts w:eastAsia="Times New Roman"/>
              </w:rPr>
            </w:pPr>
            <w:r>
              <w:rPr>
                <w:rFonts w:ascii="Arial" w:eastAsia="Times New Roman" w:hAnsi="Arial" w:cs="Arial"/>
                <w:color w:val="000000"/>
                <w:sz w:val="16"/>
                <w:szCs w:val="16"/>
              </w:rPr>
              <w:t>Interest rate contracts</w:t>
            </w:r>
          </w:p>
        </w:tc>
        <w:tc>
          <w:tcPr>
            <w:tcW w:w="0" w:type="auto"/>
            <w:gridSpan w:val="2"/>
            <w:shd w:val="clear" w:color="auto" w:fill="D8D8D8"/>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6"/>
                <w:szCs w:val="16"/>
              </w:rPr>
              <w:t>1</w:t>
            </w:r>
            <w:r>
              <w:rPr>
                <w:rFonts w:ascii="Arial" w:eastAsia="Times New Roman" w:hAnsi="Arial" w:cs="Arial"/>
                <w:color w:val="000000"/>
                <w:sz w:val="16"/>
                <w:szCs w:val="16"/>
              </w:rPr>
              <w:t> </w:t>
            </w:r>
          </w:p>
        </w:tc>
        <w:tc>
          <w:tcPr>
            <w:tcW w:w="0" w:type="auto"/>
            <w:shd w:val="clear" w:color="auto" w:fill="D8D8D8"/>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shd w:val="clear" w:color="auto" w:fill="D8D8D8"/>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8D8D8"/>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shd w:val="clear" w:color="auto" w:fill="D8D8D8"/>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8D8D8"/>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shd w:val="clear" w:color="auto" w:fill="D8D8D8"/>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6"/>
                <w:szCs w:val="16"/>
              </w:rPr>
              <w:t>(23)</w:t>
            </w:r>
          </w:p>
        </w:tc>
        <w:tc>
          <w:tcPr>
            <w:tcW w:w="0" w:type="auto"/>
            <w:shd w:val="clear" w:color="auto" w:fill="D8D8D8"/>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shd w:val="clear" w:color="auto" w:fill="D8D8D8"/>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6"/>
                <w:szCs w:val="16"/>
              </w:rPr>
              <w:t>(22)</w:t>
            </w:r>
          </w:p>
        </w:tc>
        <w:tc>
          <w:tcPr>
            <w:tcW w:w="0" w:type="auto"/>
            <w:shd w:val="clear" w:color="auto" w:fill="D8D8D8"/>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shd w:val="clear" w:color="auto" w:fill="D8D8D8"/>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8D8D8"/>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shd w:val="clear" w:color="auto" w:fill="D8D8D8"/>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6"/>
                <w:szCs w:val="16"/>
              </w:rPr>
              <w:t>(22)</w:t>
            </w:r>
          </w:p>
        </w:tc>
        <w:tc>
          <w:tcPr>
            <w:tcW w:w="0" w:type="auto"/>
            <w:shd w:val="clear" w:color="auto" w:fill="D8D8D8"/>
            <w:tcMar>
              <w:top w:w="30" w:type="dxa"/>
              <w:left w:w="0" w:type="dxa"/>
              <w:bottom w:w="30" w:type="dxa"/>
              <w:right w:w="20" w:type="dxa"/>
            </w:tcMar>
            <w:vAlign w:val="bottom"/>
            <w:hideMark/>
          </w:tcPr>
          <w:p w:rsidR="00000000" w:rsidRDefault="001F1FC8">
            <w:pPr>
              <w:jc w:val="right"/>
              <w:rPr>
                <w:rFonts w:eastAsia="Times New Roman"/>
              </w:rPr>
            </w:pPr>
          </w:p>
        </w:tc>
      </w:tr>
      <w:tr w:rsidR="00000000">
        <w:trPr>
          <w:divId w:val="1145588504"/>
        </w:trPr>
        <w:tc>
          <w:tcPr>
            <w:tcW w:w="0" w:type="auto"/>
            <w:gridSpan w:val="3"/>
            <w:tcMar>
              <w:top w:w="30" w:type="dxa"/>
              <w:left w:w="155" w:type="dxa"/>
              <w:bottom w:w="30" w:type="dxa"/>
              <w:right w:w="20" w:type="dxa"/>
            </w:tcMar>
            <w:vAlign w:val="bottom"/>
            <w:hideMark/>
          </w:tcPr>
          <w:p w:rsidR="00000000" w:rsidRDefault="001F1FC8">
            <w:pPr>
              <w:rPr>
                <w:rFonts w:eastAsia="Times New Roman"/>
              </w:rPr>
            </w:pPr>
            <w:r>
              <w:rPr>
                <w:rFonts w:ascii="Arial" w:eastAsia="Times New Roman" w:hAnsi="Arial" w:cs="Arial"/>
                <w:color w:val="000000"/>
                <w:sz w:val="16"/>
                <w:szCs w:val="16"/>
              </w:rPr>
              <w:t>Commodity contracts</w:t>
            </w:r>
          </w:p>
        </w:tc>
        <w:tc>
          <w:tcPr>
            <w:tcW w:w="0" w:type="auto"/>
            <w:gridSpan w:val="2"/>
            <w:shd w:val="clear" w:color="auto" w:fill="D8D8D8"/>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6"/>
                <w:szCs w:val="16"/>
              </w:rPr>
              <w:t>(31)</w:t>
            </w:r>
          </w:p>
        </w:tc>
        <w:tc>
          <w:tcPr>
            <w:tcW w:w="0" w:type="auto"/>
            <w:shd w:val="clear" w:color="auto" w:fill="D8D8D8"/>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shd w:val="clear" w:color="auto" w:fill="D8D8D8"/>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8D8D8"/>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shd w:val="clear" w:color="auto" w:fill="D8D8D8"/>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8D8D8"/>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shd w:val="clear" w:color="auto" w:fill="D8D8D8"/>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b/>
                <w:bCs/>
                <w:color w:val="000000"/>
                <w:sz w:val="16"/>
                <w:szCs w:val="16"/>
              </w:rPr>
              <w:t>84)</w:t>
            </w:r>
          </w:p>
        </w:tc>
        <w:tc>
          <w:tcPr>
            <w:tcW w:w="0" w:type="auto"/>
            <w:shd w:val="clear" w:color="auto" w:fill="D8D8D8"/>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shd w:val="clear" w:color="auto" w:fill="D8D8D8"/>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6"/>
                <w:szCs w:val="16"/>
              </w:rPr>
              <w:t>(115)</w:t>
            </w:r>
          </w:p>
        </w:tc>
        <w:tc>
          <w:tcPr>
            <w:tcW w:w="0" w:type="auto"/>
            <w:shd w:val="clear" w:color="auto" w:fill="D8D8D8"/>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shd w:val="clear" w:color="auto" w:fill="D8D8D8"/>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8D8D8"/>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shd w:val="clear" w:color="auto" w:fill="D8D8D8"/>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6"/>
                <w:szCs w:val="16"/>
              </w:rPr>
              <w:t>(115)</w:t>
            </w:r>
          </w:p>
        </w:tc>
        <w:tc>
          <w:tcPr>
            <w:tcW w:w="0" w:type="auto"/>
            <w:shd w:val="clear" w:color="auto" w:fill="D8D8D8"/>
            <w:tcMar>
              <w:top w:w="30" w:type="dxa"/>
              <w:left w:w="0" w:type="dxa"/>
              <w:bottom w:w="30" w:type="dxa"/>
              <w:right w:w="20" w:type="dxa"/>
            </w:tcMar>
            <w:vAlign w:val="bottom"/>
            <w:hideMark/>
          </w:tcPr>
          <w:p w:rsidR="00000000" w:rsidRDefault="001F1FC8">
            <w:pPr>
              <w:jc w:val="right"/>
              <w:rPr>
                <w:rFonts w:eastAsia="Times New Roman"/>
              </w:rPr>
            </w:pPr>
          </w:p>
        </w:tc>
      </w:tr>
      <w:tr w:rsidR="00000000">
        <w:trPr>
          <w:divId w:val="1145588504"/>
        </w:trPr>
        <w:tc>
          <w:tcPr>
            <w:tcW w:w="0" w:type="auto"/>
            <w:gridSpan w:val="3"/>
            <w:tcMar>
              <w:top w:w="30" w:type="dxa"/>
              <w:left w:w="155" w:type="dxa"/>
              <w:bottom w:w="30" w:type="dxa"/>
              <w:right w:w="20" w:type="dxa"/>
            </w:tcMar>
            <w:vAlign w:val="bottom"/>
            <w:hideMark/>
          </w:tcPr>
          <w:p w:rsidR="00000000" w:rsidRDefault="001F1FC8">
            <w:pPr>
              <w:rPr>
                <w:rFonts w:eastAsia="Times New Roman"/>
              </w:rPr>
            </w:pPr>
            <w:r>
              <w:rPr>
                <w:rFonts w:ascii="Arial" w:eastAsia="Times New Roman" w:hAnsi="Arial" w:cs="Arial"/>
                <w:color w:val="000000"/>
                <w:sz w:val="16"/>
                <w:szCs w:val="16"/>
              </w:rPr>
              <w:t>Other contracts</w:t>
            </w:r>
          </w:p>
        </w:tc>
        <w:tc>
          <w:tcPr>
            <w:tcW w:w="0" w:type="auto"/>
            <w:gridSpan w:val="2"/>
            <w:shd w:val="clear" w:color="auto" w:fill="D8D8D8"/>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8D8D8"/>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shd w:val="clear" w:color="auto" w:fill="D8D8D8"/>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8D8D8"/>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shd w:val="clear" w:color="auto" w:fill="D8D8D8"/>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8D8D8"/>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shd w:val="clear" w:color="auto" w:fill="D8D8D8"/>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6"/>
                <w:szCs w:val="16"/>
              </w:rPr>
              <w:t>5</w:t>
            </w:r>
            <w:r>
              <w:rPr>
                <w:rFonts w:ascii="Arial" w:eastAsia="Times New Roman" w:hAnsi="Arial" w:cs="Arial"/>
                <w:color w:val="000000"/>
                <w:sz w:val="16"/>
                <w:szCs w:val="16"/>
              </w:rPr>
              <w:t> </w:t>
            </w:r>
          </w:p>
        </w:tc>
        <w:tc>
          <w:tcPr>
            <w:tcW w:w="0" w:type="auto"/>
            <w:shd w:val="clear" w:color="auto" w:fill="D8D8D8"/>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shd w:val="clear" w:color="auto" w:fill="D8D8D8"/>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6"/>
                <w:szCs w:val="16"/>
              </w:rPr>
              <w:t>5</w:t>
            </w:r>
            <w:r>
              <w:rPr>
                <w:rFonts w:ascii="Arial" w:eastAsia="Times New Roman" w:hAnsi="Arial" w:cs="Arial"/>
                <w:color w:val="000000"/>
                <w:sz w:val="16"/>
                <w:szCs w:val="16"/>
              </w:rPr>
              <w:t> </w:t>
            </w:r>
          </w:p>
        </w:tc>
        <w:tc>
          <w:tcPr>
            <w:tcW w:w="0" w:type="auto"/>
            <w:shd w:val="clear" w:color="auto" w:fill="D8D8D8"/>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shd w:val="clear" w:color="auto" w:fill="D8D8D8"/>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8D8D8"/>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shd w:val="clear" w:color="auto" w:fill="D8D8D8"/>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6"/>
                <w:szCs w:val="16"/>
              </w:rPr>
              <w:t>5</w:t>
            </w:r>
            <w:r>
              <w:rPr>
                <w:rFonts w:ascii="Arial" w:eastAsia="Times New Roman" w:hAnsi="Arial" w:cs="Arial"/>
                <w:color w:val="000000"/>
                <w:sz w:val="16"/>
                <w:szCs w:val="16"/>
              </w:rPr>
              <w:t> </w:t>
            </w:r>
          </w:p>
        </w:tc>
        <w:tc>
          <w:tcPr>
            <w:tcW w:w="0" w:type="auto"/>
            <w:shd w:val="clear" w:color="auto" w:fill="D8D8D8"/>
            <w:tcMar>
              <w:top w:w="30" w:type="dxa"/>
              <w:left w:w="0" w:type="dxa"/>
              <w:bottom w:w="30" w:type="dxa"/>
              <w:right w:w="20" w:type="dxa"/>
            </w:tcMar>
            <w:vAlign w:val="bottom"/>
            <w:hideMark/>
          </w:tcPr>
          <w:p w:rsidR="00000000" w:rsidRDefault="001F1FC8">
            <w:pPr>
              <w:jc w:val="right"/>
              <w:rPr>
                <w:rFonts w:eastAsia="Times New Roman"/>
              </w:rPr>
            </w:pPr>
          </w:p>
        </w:tc>
      </w:tr>
      <w:tr w:rsidR="00000000">
        <w:trPr>
          <w:divId w:val="1145588504"/>
        </w:trPr>
        <w:tc>
          <w:tcPr>
            <w:tcW w:w="0" w:type="auto"/>
            <w:gridSpan w:val="3"/>
            <w:tcBorders>
              <w:top w:val="single" w:sz="4" w:space="0" w:color="000000"/>
              <w:bottom w:val="single" w:sz="8" w:space="0" w:color="000000"/>
            </w:tcBorders>
            <w:tcMar>
              <w:top w:w="30" w:type="dxa"/>
              <w:left w:w="20" w:type="dxa"/>
              <w:bottom w:w="30" w:type="dxa"/>
              <w:right w:w="20" w:type="dxa"/>
            </w:tcMar>
            <w:hideMark/>
          </w:tcPr>
          <w:p w:rsidR="00000000" w:rsidRDefault="001F1FC8">
            <w:pPr>
              <w:rPr>
                <w:rFonts w:eastAsia="Times New Roman"/>
              </w:rPr>
            </w:pPr>
            <w:r>
              <w:rPr>
                <w:rFonts w:ascii="Arial" w:eastAsia="Times New Roman" w:hAnsi="Arial" w:cs="Arial"/>
                <w:color w:val="000000"/>
                <w:sz w:val="2"/>
                <w:szCs w:val="2"/>
              </w:rPr>
              <w:t> </w:t>
            </w:r>
          </w:p>
        </w:tc>
        <w:tc>
          <w:tcPr>
            <w:tcW w:w="0" w:type="auto"/>
            <w:gridSpan w:val="2"/>
            <w:tcBorders>
              <w:top w:val="single" w:sz="4" w:space="0" w:color="000000"/>
              <w:bottom w:val="single" w:sz="8" w:space="0" w:color="000000"/>
            </w:tcBorders>
            <w:shd w:val="clear" w:color="auto" w:fill="D8D8D8"/>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6"/>
                <w:szCs w:val="16"/>
              </w:rPr>
              <w:t>(45)</w:t>
            </w:r>
          </w:p>
        </w:tc>
        <w:tc>
          <w:tcPr>
            <w:tcW w:w="0" w:type="auto"/>
            <w:tcBorders>
              <w:top w:val="single" w:sz="4" w:space="0" w:color="000000"/>
              <w:bottom w:val="single" w:sz="8" w:space="0" w:color="000000"/>
            </w:tcBorders>
            <w:shd w:val="clear" w:color="auto" w:fill="D8D8D8"/>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Borders>
              <w:top w:val="single" w:sz="4" w:space="0" w:color="000000"/>
              <w:bottom w:val="single" w:sz="8" w:space="0" w:color="000000"/>
            </w:tcBorders>
            <w:shd w:val="clear" w:color="auto" w:fill="D8D8D8"/>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tcBorders>
              <w:top w:val="single" w:sz="4" w:space="0" w:color="000000"/>
              <w:bottom w:val="single" w:sz="8" w:space="0" w:color="000000"/>
            </w:tcBorders>
            <w:shd w:val="clear" w:color="auto" w:fill="D8D8D8"/>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Borders>
              <w:top w:val="single" w:sz="4" w:space="0" w:color="000000"/>
              <w:bottom w:val="single" w:sz="8" w:space="0" w:color="000000"/>
            </w:tcBorders>
            <w:shd w:val="clear" w:color="auto" w:fill="D8D8D8"/>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6"/>
                <w:szCs w:val="16"/>
              </w:rPr>
              <w:t>(112)</w:t>
            </w:r>
          </w:p>
        </w:tc>
        <w:tc>
          <w:tcPr>
            <w:tcW w:w="0" w:type="auto"/>
            <w:tcBorders>
              <w:top w:val="single" w:sz="4" w:space="0" w:color="000000"/>
              <w:bottom w:val="single" w:sz="8" w:space="0" w:color="000000"/>
            </w:tcBorders>
            <w:shd w:val="clear" w:color="auto" w:fill="D8D8D8"/>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Borders>
              <w:top w:val="single" w:sz="4" w:space="0" w:color="000000"/>
              <w:bottom w:val="single" w:sz="8" w:space="0" w:color="000000"/>
            </w:tcBorders>
            <w:shd w:val="clear" w:color="auto" w:fill="D8D8D8"/>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6"/>
                <w:szCs w:val="16"/>
              </w:rPr>
              <w:t>(202)</w:t>
            </w:r>
          </w:p>
        </w:tc>
        <w:tc>
          <w:tcPr>
            <w:tcW w:w="0" w:type="auto"/>
            <w:tcBorders>
              <w:top w:val="single" w:sz="4" w:space="0" w:color="000000"/>
              <w:bottom w:val="single" w:sz="8" w:space="0" w:color="000000"/>
            </w:tcBorders>
            <w:shd w:val="clear" w:color="auto" w:fill="D8D8D8"/>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Borders>
              <w:top w:val="single" w:sz="4" w:space="0" w:color="000000"/>
              <w:bottom w:val="single" w:sz="8" w:space="0" w:color="000000"/>
            </w:tcBorders>
            <w:shd w:val="clear" w:color="auto" w:fill="D8D8D8"/>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6"/>
                <w:szCs w:val="16"/>
              </w:rPr>
              <w:t>(359)</w:t>
            </w:r>
          </w:p>
        </w:tc>
        <w:tc>
          <w:tcPr>
            <w:tcW w:w="0" w:type="auto"/>
            <w:tcBorders>
              <w:top w:val="single" w:sz="4" w:space="0" w:color="000000"/>
              <w:bottom w:val="single" w:sz="8" w:space="0" w:color="000000"/>
            </w:tcBorders>
            <w:shd w:val="clear" w:color="auto" w:fill="D8D8D8"/>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Borders>
              <w:top w:val="single" w:sz="4" w:space="0" w:color="000000"/>
              <w:bottom w:val="single" w:sz="8" w:space="0" w:color="000000"/>
            </w:tcBorders>
            <w:shd w:val="clear" w:color="auto" w:fill="D8D8D8"/>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tcBorders>
              <w:top w:val="single" w:sz="4" w:space="0" w:color="000000"/>
              <w:bottom w:val="single" w:sz="8" w:space="0" w:color="000000"/>
            </w:tcBorders>
            <w:shd w:val="clear" w:color="auto" w:fill="D8D8D8"/>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Borders>
              <w:top w:val="single" w:sz="4" w:space="0" w:color="000000"/>
              <w:bottom w:val="single" w:sz="8" w:space="0" w:color="000000"/>
            </w:tcBorders>
            <w:shd w:val="clear" w:color="auto" w:fill="D8D8D8"/>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6"/>
                <w:szCs w:val="16"/>
              </w:rPr>
              <w:t>(359)</w:t>
            </w:r>
          </w:p>
        </w:tc>
        <w:tc>
          <w:tcPr>
            <w:tcW w:w="0" w:type="auto"/>
            <w:tcBorders>
              <w:top w:val="single" w:sz="4" w:space="0" w:color="000000"/>
              <w:bottom w:val="single" w:sz="8" w:space="0" w:color="000000"/>
            </w:tcBorders>
            <w:shd w:val="clear" w:color="auto" w:fill="D8D8D8"/>
            <w:tcMar>
              <w:top w:w="30" w:type="dxa"/>
              <w:left w:w="0" w:type="dxa"/>
              <w:bottom w:w="30" w:type="dxa"/>
              <w:right w:w="20" w:type="dxa"/>
            </w:tcMar>
            <w:vAlign w:val="bottom"/>
            <w:hideMark/>
          </w:tcPr>
          <w:p w:rsidR="00000000" w:rsidRDefault="001F1FC8">
            <w:pPr>
              <w:jc w:val="right"/>
              <w:rPr>
                <w:rFonts w:eastAsia="Times New Roman"/>
              </w:rPr>
            </w:pPr>
          </w:p>
        </w:tc>
      </w:tr>
    </w:tbl>
    <w:p w:rsidR="00000000" w:rsidRDefault="001F1FC8">
      <w:pPr>
        <w:jc w:val="center"/>
        <w:divId w:val="1767916417"/>
        <w:rPr>
          <w:rFonts w:eastAsia="Times New Roman"/>
        </w:rPr>
      </w:pPr>
      <w:r>
        <w:rPr>
          <w:rFonts w:ascii="Arial" w:eastAsia="Times New Roman" w:hAnsi="Arial" w:cs="Arial"/>
          <w:color w:val="000000"/>
          <w:sz w:val="20"/>
          <w:szCs w:val="20"/>
        </w:rPr>
        <w:t>151</w:t>
      </w:r>
    </w:p>
    <w:p w:rsidR="00000000" w:rsidRDefault="001F1FC8">
      <w:pPr>
        <w:rPr>
          <w:rFonts w:eastAsia="Times New Roman"/>
        </w:rPr>
      </w:pPr>
      <w:r>
        <w:rPr>
          <w:rFonts w:eastAsia="Times New Roman"/>
        </w:rPr>
        <w:pict>
          <v:rect id="_x0000_i1181" style="width:0;height:1.5pt" o:hralign="center" o:hrstd="t" o:hr="t" fillcolor="#a0a0a0" stroked="f"/>
        </w:pict>
      </w:r>
    </w:p>
    <w:p w:rsidR="00000000" w:rsidRDefault="001F1FC8">
      <w:pPr>
        <w:jc w:val="center"/>
        <w:divId w:val="698093531"/>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43"/>
        <w:gridCol w:w="2080"/>
        <w:gridCol w:w="39"/>
        <w:gridCol w:w="87"/>
        <w:gridCol w:w="781"/>
        <w:gridCol w:w="36"/>
        <w:gridCol w:w="87"/>
        <w:gridCol w:w="781"/>
        <w:gridCol w:w="36"/>
        <w:gridCol w:w="87"/>
        <w:gridCol w:w="781"/>
        <w:gridCol w:w="36"/>
        <w:gridCol w:w="87"/>
        <w:gridCol w:w="781"/>
        <w:gridCol w:w="36"/>
        <w:gridCol w:w="87"/>
        <w:gridCol w:w="781"/>
        <w:gridCol w:w="36"/>
        <w:gridCol w:w="69"/>
        <w:gridCol w:w="615"/>
        <w:gridCol w:w="36"/>
        <w:gridCol w:w="87"/>
        <w:gridCol w:w="781"/>
        <w:gridCol w:w="36"/>
      </w:tblGrid>
      <w:tr w:rsidR="00000000">
        <w:trPr>
          <w:divId w:val="1975720572"/>
        </w:trPr>
        <w:tc>
          <w:tcPr>
            <w:tcW w:w="50" w:type="pct"/>
            <w:vAlign w:val="center"/>
            <w:hideMark/>
          </w:tcPr>
          <w:p w:rsidR="00000000" w:rsidRDefault="001F1FC8">
            <w:pPr>
              <w:jc w:val="center"/>
              <w:rPr>
                <w:rFonts w:eastAsia="Times New Roman"/>
              </w:rPr>
            </w:pPr>
          </w:p>
        </w:tc>
        <w:tc>
          <w:tcPr>
            <w:tcW w:w="1402"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c>
          <w:tcPr>
            <w:tcW w:w="50" w:type="pct"/>
            <w:vAlign w:val="center"/>
            <w:hideMark/>
          </w:tcPr>
          <w:p w:rsidR="00000000" w:rsidRDefault="001F1FC8">
            <w:pPr>
              <w:rPr>
                <w:rFonts w:eastAsia="Times New Roman"/>
                <w:sz w:val="20"/>
                <w:szCs w:val="20"/>
              </w:rPr>
            </w:pPr>
          </w:p>
        </w:tc>
        <w:tc>
          <w:tcPr>
            <w:tcW w:w="451"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c>
          <w:tcPr>
            <w:tcW w:w="50" w:type="pct"/>
            <w:vAlign w:val="center"/>
            <w:hideMark/>
          </w:tcPr>
          <w:p w:rsidR="00000000" w:rsidRDefault="001F1FC8">
            <w:pPr>
              <w:rPr>
                <w:rFonts w:eastAsia="Times New Roman"/>
                <w:sz w:val="20"/>
                <w:szCs w:val="20"/>
              </w:rPr>
            </w:pPr>
          </w:p>
        </w:tc>
        <w:tc>
          <w:tcPr>
            <w:tcW w:w="451"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c>
          <w:tcPr>
            <w:tcW w:w="50" w:type="pct"/>
            <w:vAlign w:val="center"/>
            <w:hideMark/>
          </w:tcPr>
          <w:p w:rsidR="00000000" w:rsidRDefault="001F1FC8">
            <w:pPr>
              <w:rPr>
                <w:rFonts w:eastAsia="Times New Roman"/>
                <w:sz w:val="20"/>
                <w:szCs w:val="20"/>
              </w:rPr>
            </w:pPr>
          </w:p>
        </w:tc>
        <w:tc>
          <w:tcPr>
            <w:tcW w:w="451"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c>
          <w:tcPr>
            <w:tcW w:w="50" w:type="pct"/>
            <w:vAlign w:val="center"/>
            <w:hideMark/>
          </w:tcPr>
          <w:p w:rsidR="00000000" w:rsidRDefault="001F1FC8">
            <w:pPr>
              <w:rPr>
                <w:rFonts w:eastAsia="Times New Roman"/>
                <w:sz w:val="20"/>
                <w:szCs w:val="20"/>
              </w:rPr>
            </w:pPr>
          </w:p>
        </w:tc>
        <w:tc>
          <w:tcPr>
            <w:tcW w:w="451"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c>
          <w:tcPr>
            <w:tcW w:w="50" w:type="pct"/>
            <w:vAlign w:val="center"/>
            <w:hideMark/>
          </w:tcPr>
          <w:p w:rsidR="00000000" w:rsidRDefault="001F1FC8">
            <w:pPr>
              <w:rPr>
                <w:rFonts w:eastAsia="Times New Roman"/>
                <w:sz w:val="20"/>
                <w:szCs w:val="20"/>
              </w:rPr>
            </w:pPr>
          </w:p>
        </w:tc>
        <w:tc>
          <w:tcPr>
            <w:tcW w:w="451"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c>
          <w:tcPr>
            <w:tcW w:w="50" w:type="pct"/>
            <w:vAlign w:val="center"/>
            <w:hideMark/>
          </w:tcPr>
          <w:p w:rsidR="00000000" w:rsidRDefault="001F1FC8">
            <w:pPr>
              <w:rPr>
                <w:rFonts w:eastAsia="Times New Roman"/>
                <w:sz w:val="20"/>
                <w:szCs w:val="20"/>
              </w:rPr>
            </w:pPr>
          </w:p>
        </w:tc>
        <w:tc>
          <w:tcPr>
            <w:tcW w:w="451"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c>
          <w:tcPr>
            <w:tcW w:w="50" w:type="pct"/>
            <w:vAlign w:val="center"/>
            <w:hideMark/>
          </w:tcPr>
          <w:p w:rsidR="00000000" w:rsidRDefault="001F1FC8">
            <w:pPr>
              <w:rPr>
                <w:rFonts w:eastAsia="Times New Roman"/>
                <w:sz w:val="20"/>
                <w:szCs w:val="20"/>
              </w:rPr>
            </w:pPr>
          </w:p>
        </w:tc>
        <w:tc>
          <w:tcPr>
            <w:tcW w:w="451"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r>
      <w:tr w:rsidR="00000000">
        <w:trPr>
          <w:divId w:val="1975720572"/>
        </w:trPr>
        <w:tc>
          <w:tcPr>
            <w:tcW w:w="0" w:type="auto"/>
            <w:gridSpan w:val="3"/>
            <w:tcMar>
              <w:top w:w="30" w:type="dxa"/>
              <w:left w:w="20" w:type="dxa"/>
              <w:bottom w:w="30" w:type="dxa"/>
              <w:right w:w="20" w:type="dxa"/>
            </w:tcMar>
            <w:vAlign w:val="bottom"/>
            <w:hideMark/>
          </w:tcPr>
          <w:p w:rsidR="00000000" w:rsidRDefault="001F1FC8">
            <w:pPr>
              <w:rPr>
                <w:rFonts w:eastAsia="Times New Roman"/>
              </w:rPr>
            </w:pPr>
            <w:r>
              <w:rPr>
                <w:rFonts w:ascii="Arial" w:eastAsia="Times New Roman" w:hAnsi="Arial" w:cs="Arial"/>
                <w:color w:val="000000"/>
                <w:sz w:val="16"/>
                <w:szCs w:val="16"/>
              </w:rPr>
              <w:t>December 31, 2020</w:t>
            </w:r>
          </w:p>
        </w:tc>
        <w:tc>
          <w:tcPr>
            <w:tcW w:w="0" w:type="auto"/>
            <w:gridSpan w:val="3"/>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Derivative</w:t>
            </w:r>
            <w:r>
              <w:rPr>
                <w:rFonts w:ascii="Arial" w:eastAsia="Times New Roman" w:hAnsi="Arial" w:cs="Arial"/>
                <w:color w:val="000000"/>
                <w:sz w:val="16"/>
                <w:szCs w:val="16"/>
              </w:rPr>
              <w:br/>
              <w:t>Instruments</w:t>
            </w:r>
            <w:r>
              <w:rPr>
                <w:rFonts w:ascii="Arial" w:eastAsia="Times New Roman" w:hAnsi="Arial" w:cs="Arial"/>
                <w:color w:val="000000"/>
                <w:sz w:val="16"/>
                <w:szCs w:val="16"/>
              </w:rPr>
              <w:br/>
              <w:t>Used as</w:t>
            </w:r>
            <w:r>
              <w:rPr>
                <w:rFonts w:ascii="Arial" w:eastAsia="Times New Roman" w:hAnsi="Arial" w:cs="Arial"/>
                <w:color w:val="000000"/>
                <w:sz w:val="16"/>
                <w:szCs w:val="16"/>
              </w:rPr>
              <w:br/>
              <w:t>Cash Flow Hedges</w:t>
            </w:r>
          </w:p>
        </w:tc>
        <w:tc>
          <w:tcPr>
            <w:tcW w:w="0" w:type="auto"/>
            <w:gridSpan w:val="3"/>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Derivative</w:t>
            </w:r>
            <w:r>
              <w:rPr>
                <w:rFonts w:ascii="Arial" w:eastAsia="Times New Roman" w:hAnsi="Arial" w:cs="Arial"/>
                <w:color w:val="000000"/>
                <w:sz w:val="16"/>
                <w:szCs w:val="16"/>
              </w:rPr>
              <w:br/>
              <w:t>Instruments</w:t>
            </w:r>
            <w:r>
              <w:rPr>
                <w:rFonts w:ascii="Arial" w:eastAsia="Times New Roman" w:hAnsi="Arial" w:cs="Arial"/>
                <w:color w:val="000000"/>
                <w:sz w:val="16"/>
                <w:szCs w:val="16"/>
              </w:rPr>
              <w:br/>
              <w:t>Used as Net Investment Hedges</w:t>
            </w:r>
          </w:p>
        </w:tc>
        <w:tc>
          <w:tcPr>
            <w:tcW w:w="0" w:type="auto"/>
            <w:gridSpan w:val="3"/>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 xml:space="preserve">Derivative </w:t>
            </w:r>
          </w:p>
          <w:p w:rsidR="00000000" w:rsidRDefault="001F1FC8">
            <w:pPr>
              <w:jc w:val="right"/>
              <w:rPr>
                <w:rFonts w:eastAsia="Times New Roman"/>
              </w:rPr>
            </w:pPr>
            <w:r>
              <w:rPr>
                <w:rFonts w:ascii="Arial" w:eastAsia="Times New Roman" w:hAnsi="Arial" w:cs="Arial"/>
                <w:color w:val="000000"/>
                <w:sz w:val="16"/>
                <w:szCs w:val="16"/>
              </w:rPr>
              <w:t xml:space="preserve">Instruments </w:t>
            </w:r>
          </w:p>
          <w:p w:rsidR="00000000" w:rsidRDefault="001F1FC8">
            <w:pPr>
              <w:jc w:val="right"/>
              <w:rPr>
                <w:rFonts w:eastAsia="Times New Roman"/>
              </w:rPr>
            </w:pPr>
            <w:r>
              <w:rPr>
                <w:rFonts w:ascii="Arial" w:eastAsia="Times New Roman" w:hAnsi="Arial" w:cs="Arial"/>
                <w:color w:val="000000"/>
                <w:sz w:val="16"/>
                <w:szCs w:val="16"/>
              </w:rPr>
              <w:t>Used as Fair Value Hedges</w:t>
            </w:r>
          </w:p>
        </w:tc>
        <w:tc>
          <w:tcPr>
            <w:tcW w:w="0" w:type="auto"/>
            <w:gridSpan w:val="3"/>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Non-</w:t>
            </w:r>
            <w:r>
              <w:rPr>
                <w:rFonts w:ascii="Arial" w:eastAsia="Times New Roman" w:hAnsi="Arial" w:cs="Arial"/>
                <w:color w:val="000000"/>
                <w:sz w:val="16"/>
                <w:szCs w:val="16"/>
              </w:rPr>
              <w:br/>
              <w:t>Qualifying</w:t>
            </w:r>
            <w:r>
              <w:rPr>
                <w:rFonts w:ascii="Arial" w:eastAsia="Times New Roman" w:hAnsi="Arial" w:cs="Arial"/>
                <w:color w:val="000000"/>
                <w:sz w:val="16"/>
                <w:szCs w:val="16"/>
              </w:rPr>
              <w:br/>
              <w:t>Derivative Instruments</w:t>
            </w:r>
          </w:p>
        </w:tc>
        <w:tc>
          <w:tcPr>
            <w:tcW w:w="0" w:type="auto"/>
            <w:gridSpan w:val="3"/>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Total Gross</w:t>
            </w:r>
            <w:r>
              <w:rPr>
                <w:rFonts w:ascii="Arial" w:eastAsia="Times New Roman" w:hAnsi="Arial" w:cs="Arial"/>
                <w:color w:val="000000"/>
                <w:sz w:val="16"/>
                <w:szCs w:val="16"/>
              </w:rPr>
              <w:br/>
              <w:t>Derivative</w:t>
            </w:r>
            <w:r>
              <w:rPr>
                <w:rFonts w:ascii="Arial" w:eastAsia="Times New Roman" w:hAnsi="Arial" w:cs="Arial"/>
                <w:color w:val="000000"/>
                <w:sz w:val="16"/>
                <w:szCs w:val="16"/>
              </w:rPr>
              <w:br/>
              <w:t>Instruments as Presented</w:t>
            </w:r>
          </w:p>
        </w:tc>
        <w:tc>
          <w:tcPr>
            <w:tcW w:w="0" w:type="auto"/>
            <w:gridSpan w:val="3"/>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Amounts</w:t>
            </w:r>
            <w:r>
              <w:rPr>
                <w:rFonts w:ascii="Arial" w:eastAsia="Times New Roman" w:hAnsi="Arial" w:cs="Arial"/>
                <w:color w:val="000000"/>
                <w:sz w:val="16"/>
                <w:szCs w:val="16"/>
              </w:rPr>
              <w:br/>
              <w:t>Available for Offset</w:t>
            </w:r>
          </w:p>
        </w:tc>
        <w:tc>
          <w:tcPr>
            <w:tcW w:w="0" w:type="auto"/>
            <w:gridSpan w:val="3"/>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Total Net</w:t>
            </w:r>
          </w:p>
          <w:p w:rsidR="00000000" w:rsidRDefault="001F1FC8">
            <w:pPr>
              <w:jc w:val="right"/>
              <w:rPr>
                <w:rFonts w:eastAsia="Times New Roman"/>
              </w:rPr>
            </w:pPr>
            <w:r>
              <w:rPr>
                <w:rFonts w:ascii="Arial" w:eastAsia="Times New Roman" w:hAnsi="Arial" w:cs="Arial"/>
                <w:color w:val="000000"/>
                <w:sz w:val="16"/>
                <w:szCs w:val="16"/>
              </w:rPr>
              <w:t>Derivative Instruments</w:t>
            </w:r>
          </w:p>
        </w:tc>
      </w:tr>
      <w:tr w:rsidR="00000000">
        <w:trPr>
          <w:divId w:val="1975720572"/>
        </w:trPr>
        <w:tc>
          <w:tcPr>
            <w:tcW w:w="0" w:type="auto"/>
            <w:gridSpan w:val="3"/>
            <w:tcBorders>
              <w:top w:val="single" w:sz="4" w:space="0" w:color="000000"/>
            </w:tcBorders>
            <w:tcMar>
              <w:top w:w="30" w:type="dxa"/>
              <w:left w:w="20" w:type="dxa"/>
              <w:bottom w:w="30" w:type="dxa"/>
              <w:right w:w="20" w:type="dxa"/>
            </w:tcMar>
            <w:hideMark/>
          </w:tcPr>
          <w:p w:rsidR="00000000" w:rsidRDefault="001F1FC8">
            <w:pPr>
              <w:rPr>
                <w:rFonts w:eastAsia="Times New Roman"/>
              </w:rPr>
            </w:pPr>
            <w:r>
              <w:rPr>
                <w:rFonts w:ascii="Arial" w:eastAsia="Times New Roman" w:hAnsi="Arial" w:cs="Arial"/>
                <w:i/>
                <w:iCs/>
                <w:color w:val="000000"/>
                <w:sz w:val="14"/>
                <w:szCs w:val="14"/>
              </w:rPr>
              <w:t>(millions of Canadian dollars)</w:t>
            </w:r>
          </w:p>
        </w:tc>
        <w:tc>
          <w:tcPr>
            <w:tcW w:w="0" w:type="auto"/>
            <w:gridSpan w:val="3"/>
            <w:tcBorders>
              <w:top w:val="single" w:sz="4" w:space="0" w:color="000000"/>
            </w:tcBorders>
            <w:tcMar>
              <w:top w:w="30" w:type="dxa"/>
              <w:left w:w="20" w:type="dxa"/>
              <w:bottom w:w="30" w:type="dxa"/>
              <w:right w:w="20" w:type="dxa"/>
            </w:tcMar>
            <w:hideMark/>
          </w:tcPr>
          <w:p w:rsidR="00000000" w:rsidRDefault="001F1FC8">
            <w:pPr>
              <w:jc w:val="right"/>
              <w:rPr>
                <w:rFonts w:eastAsia="Times New Roman"/>
              </w:rPr>
            </w:pPr>
            <w:r>
              <w:rPr>
                <w:rFonts w:ascii="Arial" w:eastAsia="Times New Roman" w:hAnsi="Arial" w:cs="Arial"/>
                <w:color w:val="000000"/>
                <w:sz w:val="2"/>
                <w:szCs w:val="2"/>
              </w:rPr>
              <w:t> </w:t>
            </w:r>
          </w:p>
        </w:tc>
        <w:tc>
          <w:tcPr>
            <w:tcW w:w="0" w:type="auto"/>
            <w:gridSpan w:val="3"/>
            <w:tcBorders>
              <w:top w:val="single" w:sz="4" w:space="0" w:color="000000"/>
            </w:tcBorders>
            <w:tcMar>
              <w:top w:w="30" w:type="dxa"/>
              <w:left w:w="20" w:type="dxa"/>
              <w:bottom w:w="30" w:type="dxa"/>
              <w:right w:w="20" w:type="dxa"/>
            </w:tcMar>
            <w:hideMark/>
          </w:tcPr>
          <w:p w:rsidR="00000000" w:rsidRDefault="001F1FC8">
            <w:pPr>
              <w:jc w:val="right"/>
              <w:rPr>
                <w:rFonts w:eastAsia="Times New Roman"/>
              </w:rPr>
            </w:pPr>
            <w:r>
              <w:rPr>
                <w:rFonts w:ascii="Arial" w:eastAsia="Times New Roman" w:hAnsi="Arial" w:cs="Arial"/>
                <w:color w:val="000000"/>
                <w:sz w:val="2"/>
                <w:szCs w:val="2"/>
              </w:rPr>
              <w:t> </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1F1FC8">
            <w:pPr>
              <w:jc w:val="right"/>
              <w:rPr>
                <w:rFonts w:eastAsia="Times New Roman"/>
              </w:rPr>
            </w:pPr>
          </w:p>
        </w:tc>
        <w:tc>
          <w:tcPr>
            <w:tcW w:w="0" w:type="auto"/>
            <w:gridSpan w:val="3"/>
            <w:tcBorders>
              <w:top w:val="single" w:sz="4" w:space="0" w:color="000000"/>
            </w:tcBorders>
            <w:tcMar>
              <w:top w:w="30" w:type="dxa"/>
              <w:left w:w="20" w:type="dxa"/>
              <w:bottom w:w="30" w:type="dxa"/>
              <w:right w:w="20" w:type="dxa"/>
            </w:tcMar>
            <w:hideMark/>
          </w:tcPr>
          <w:p w:rsidR="00000000" w:rsidRDefault="001F1FC8">
            <w:pPr>
              <w:jc w:val="right"/>
              <w:rPr>
                <w:rFonts w:eastAsia="Times New Roman"/>
              </w:rPr>
            </w:pPr>
            <w:r>
              <w:rPr>
                <w:rFonts w:ascii="Arial" w:eastAsia="Times New Roman" w:hAnsi="Arial" w:cs="Arial"/>
                <w:color w:val="000000"/>
                <w:sz w:val="2"/>
                <w:szCs w:val="2"/>
              </w:rPr>
              <w:t> </w:t>
            </w:r>
          </w:p>
        </w:tc>
        <w:tc>
          <w:tcPr>
            <w:tcW w:w="0" w:type="auto"/>
            <w:gridSpan w:val="3"/>
            <w:tcBorders>
              <w:top w:val="single" w:sz="4" w:space="0" w:color="000000"/>
            </w:tcBorders>
            <w:tcMar>
              <w:top w:w="30" w:type="dxa"/>
              <w:left w:w="20" w:type="dxa"/>
              <w:bottom w:w="30" w:type="dxa"/>
              <w:right w:w="20" w:type="dxa"/>
            </w:tcMar>
            <w:hideMark/>
          </w:tcPr>
          <w:p w:rsidR="00000000" w:rsidRDefault="001F1FC8">
            <w:pPr>
              <w:jc w:val="right"/>
              <w:rPr>
                <w:rFonts w:eastAsia="Times New Roman"/>
              </w:rPr>
            </w:pPr>
            <w:r>
              <w:rPr>
                <w:rFonts w:ascii="Arial" w:eastAsia="Times New Roman" w:hAnsi="Arial" w:cs="Arial"/>
                <w:color w:val="000000"/>
                <w:sz w:val="2"/>
                <w:szCs w:val="2"/>
              </w:rPr>
              <w:t> </w:t>
            </w:r>
          </w:p>
        </w:tc>
        <w:tc>
          <w:tcPr>
            <w:tcW w:w="0" w:type="auto"/>
            <w:gridSpan w:val="3"/>
            <w:tcBorders>
              <w:top w:val="single" w:sz="4" w:space="0" w:color="000000"/>
            </w:tcBorders>
            <w:tcMar>
              <w:top w:w="30" w:type="dxa"/>
              <w:left w:w="20" w:type="dxa"/>
              <w:bottom w:w="30" w:type="dxa"/>
              <w:right w:w="20" w:type="dxa"/>
            </w:tcMar>
            <w:hideMark/>
          </w:tcPr>
          <w:p w:rsidR="00000000" w:rsidRDefault="001F1FC8">
            <w:pPr>
              <w:jc w:val="right"/>
              <w:rPr>
                <w:rFonts w:eastAsia="Times New Roman"/>
              </w:rPr>
            </w:pPr>
            <w:r>
              <w:rPr>
                <w:rFonts w:ascii="Arial" w:eastAsia="Times New Roman" w:hAnsi="Arial" w:cs="Arial"/>
                <w:color w:val="000000"/>
                <w:sz w:val="2"/>
                <w:szCs w:val="2"/>
              </w:rPr>
              <w:t> </w:t>
            </w:r>
          </w:p>
        </w:tc>
        <w:tc>
          <w:tcPr>
            <w:tcW w:w="0" w:type="auto"/>
            <w:gridSpan w:val="3"/>
            <w:tcBorders>
              <w:top w:val="single" w:sz="4" w:space="0" w:color="000000"/>
            </w:tcBorders>
            <w:tcMar>
              <w:top w:w="30" w:type="dxa"/>
              <w:left w:w="20" w:type="dxa"/>
              <w:bottom w:w="30" w:type="dxa"/>
              <w:right w:w="20" w:type="dxa"/>
            </w:tcMar>
            <w:hideMark/>
          </w:tcPr>
          <w:p w:rsidR="00000000" w:rsidRDefault="001F1FC8">
            <w:pPr>
              <w:jc w:val="right"/>
              <w:rPr>
                <w:rFonts w:eastAsia="Times New Roman"/>
              </w:rPr>
            </w:pPr>
            <w:r>
              <w:rPr>
                <w:rFonts w:ascii="Arial" w:eastAsia="Times New Roman" w:hAnsi="Arial" w:cs="Arial"/>
                <w:color w:val="000000"/>
                <w:sz w:val="2"/>
                <w:szCs w:val="2"/>
              </w:rPr>
              <w:t> </w:t>
            </w:r>
          </w:p>
        </w:tc>
      </w:tr>
      <w:tr w:rsidR="00000000">
        <w:trPr>
          <w:divId w:val="1975720572"/>
        </w:trPr>
        <w:tc>
          <w:tcPr>
            <w:tcW w:w="0" w:type="auto"/>
            <w:gridSpan w:val="3"/>
            <w:tcMar>
              <w:top w:w="30" w:type="dxa"/>
              <w:left w:w="20" w:type="dxa"/>
              <w:bottom w:w="30" w:type="dxa"/>
              <w:right w:w="20" w:type="dxa"/>
            </w:tcMar>
            <w:hideMark/>
          </w:tcPr>
          <w:p w:rsidR="00000000" w:rsidRDefault="001F1FC8">
            <w:pPr>
              <w:rPr>
                <w:rFonts w:eastAsia="Times New Roman"/>
              </w:rPr>
            </w:pPr>
            <w:r>
              <w:rPr>
                <w:rFonts w:ascii="Arial" w:eastAsia="Times New Roman" w:hAnsi="Arial" w:cs="Arial"/>
                <w:color w:val="000000"/>
                <w:sz w:val="16"/>
                <w:szCs w:val="16"/>
              </w:rPr>
              <w:t>Accounts receivable and other</w:t>
            </w:r>
          </w:p>
        </w:tc>
        <w:tc>
          <w:tcPr>
            <w:tcW w:w="0" w:type="auto"/>
            <w:gridSpan w:val="3"/>
            <w:tcMar>
              <w:top w:w="30" w:type="dxa"/>
              <w:left w:w="20" w:type="dxa"/>
              <w:bottom w:w="30" w:type="dxa"/>
              <w:right w:w="20" w:type="dxa"/>
            </w:tcMar>
            <w:hideMark/>
          </w:tcPr>
          <w:p w:rsidR="00000000" w:rsidRDefault="001F1FC8">
            <w:pPr>
              <w:jc w:val="right"/>
              <w:rPr>
                <w:rFonts w:eastAsia="Times New Roman"/>
              </w:rPr>
            </w:pPr>
            <w:r>
              <w:rPr>
                <w:rFonts w:ascii="Arial" w:eastAsia="Times New Roman" w:hAnsi="Arial" w:cs="Arial"/>
                <w:color w:val="000000"/>
                <w:sz w:val="2"/>
                <w:szCs w:val="2"/>
              </w:rPr>
              <w:t> </w:t>
            </w:r>
          </w:p>
        </w:tc>
        <w:tc>
          <w:tcPr>
            <w:tcW w:w="0" w:type="auto"/>
            <w:gridSpan w:val="3"/>
            <w:tcMar>
              <w:top w:w="30" w:type="dxa"/>
              <w:left w:w="20" w:type="dxa"/>
              <w:bottom w:w="30" w:type="dxa"/>
              <w:right w:w="20" w:type="dxa"/>
            </w:tcMar>
            <w:hideMark/>
          </w:tcPr>
          <w:p w:rsidR="00000000" w:rsidRDefault="001F1FC8">
            <w:pPr>
              <w:jc w:val="right"/>
              <w:rPr>
                <w:rFonts w:eastAsia="Times New Roman"/>
              </w:rPr>
            </w:pPr>
            <w:r>
              <w:rPr>
                <w:rFonts w:ascii="Arial" w:eastAsia="Times New Roman" w:hAnsi="Arial" w:cs="Arial"/>
                <w:color w:val="000000"/>
                <w:sz w:val="2"/>
                <w:szCs w:val="2"/>
              </w:rPr>
              <w:t> </w:t>
            </w:r>
          </w:p>
        </w:tc>
        <w:tc>
          <w:tcPr>
            <w:tcW w:w="0" w:type="auto"/>
            <w:gridSpan w:val="3"/>
            <w:tcMar>
              <w:top w:w="0" w:type="dxa"/>
              <w:left w:w="20" w:type="dxa"/>
              <w:bottom w:w="0" w:type="dxa"/>
              <w:right w:w="20" w:type="dxa"/>
            </w:tcMar>
            <w:vAlign w:val="center"/>
            <w:hideMark/>
          </w:tcPr>
          <w:p w:rsidR="00000000" w:rsidRDefault="001F1FC8">
            <w:pPr>
              <w:jc w:val="right"/>
              <w:rPr>
                <w:rFonts w:eastAsia="Times New Roman"/>
              </w:rPr>
            </w:pPr>
          </w:p>
        </w:tc>
        <w:tc>
          <w:tcPr>
            <w:tcW w:w="0" w:type="auto"/>
            <w:gridSpan w:val="3"/>
            <w:tcMar>
              <w:top w:w="30" w:type="dxa"/>
              <w:left w:w="20" w:type="dxa"/>
              <w:bottom w:w="30" w:type="dxa"/>
              <w:right w:w="20" w:type="dxa"/>
            </w:tcMar>
            <w:hideMark/>
          </w:tcPr>
          <w:p w:rsidR="00000000" w:rsidRDefault="001F1FC8">
            <w:pPr>
              <w:jc w:val="right"/>
              <w:rPr>
                <w:rFonts w:eastAsia="Times New Roman"/>
              </w:rPr>
            </w:pPr>
            <w:r>
              <w:rPr>
                <w:rFonts w:ascii="Arial" w:eastAsia="Times New Roman" w:hAnsi="Arial" w:cs="Arial"/>
                <w:color w:val="000000"/>
                <w:sz w:val="2"/>
                <w:szCs w:val="2"/>
              </w:rPr>
              <w:t> </w:t>
            </w:r>
          </w:p>
        </w:tc>
        <w:tc>
          <w:tcPr>
            <w:tcW w:w="0" w:type="auto"/>
            <w:gridSpan w:val="3"/>
            <w:tcMar>
              <w:top w:w="30" w:type="dxa"/>
              <w:left w:w="20" w:type="dxa"/>
              <w:bottom w:w="30" w:type="dxa"/>
              <w:right w:w="20" w:type="dxa"/>
            </w:tcMar>
            <w:hideMark/>
          </w:tcPr>
          <w:p w:rsidR="00000000" w:rsidRDefault="001F1FC8">
            <w:pPr>
              <w:jc w:val="right"/>
              <w:rPr>
                <w:rFonts w:eastAsia="Times New Roman"/>
              </w:rPr>
            </w:pPr>
            <w:r>
              <w:rPr>
                <w:rFonts w:ascii="Arial" w:eastAsia="Times New Roman" w:hAnsi="Arial" w:cs="Arial"/>
                <w:color w:val="000000"/>
                <w:sz w:val="2"/>
                <w:szCs w:val="2"/>
              </w:rPr>
              <w:t> </w:t>
            </w:r>
          </w:p>
        </w:tc>
        <w:tc>
          <w:tcPr>
            <w:tcW w:w="0" w:type="auto"/>
            <w:gridSpan w:val="3"/>
            <w:tcMar>
              <w:top w:w="30" w:type="dxa"/>
              <w:left w:w="20" w:type="dxa"/>
              <w:bottom w:w="30" w:type="dxa"/>
              <w:right w:w="20" w:type="dxa"/>
            </w:tcMar>
            <w:hideMark/>
          </w:tcPr>
          <w:p w:rsidR="00000000" w:rsidRDefault="001F1FC8">
            <w:pPr>
              <w:jc w:val="right"/>
              <w:rPr>
                <w:rFonts w:eastAsia="Times New Roman"/>
              </w:rPr>
            </w:pPr>
            <w:r>
              <w:rPr>
                <w:rFonts w:ascii="Arial" w:eastAsia="Times New Roman" w:hAnsi="Arial" w:cs="Arial"/>
                <w:color w:val="000000"/>
                <w:sz w:val="2"/>
                <w:szCs w:val="2"/>
              </w:rPr>
              <w:t> </w:t>
            </w:r>
          </w:p>
        </w:tc>
        <w:tc>
          <w:tcPr>
            <w:tcW w:w="0" w:type="auto"/>
            <w:gridSpan w:val="3"/>
            <w:tcMar>
              <w:top w:w="30" w:type="dxa"/>
              <w:left w:w="20" w:type="dxa"/>
              <w:bottom w:w="30" w:type="dxa"/>
              <w:right w:w="20" w:type="dxa"/>
            </w:tcMar>
            <w:hideMark/>
          </w:tcPr>
          <w:p w:rsidR="00000000" w:rsidRDefault="001F1FC8">
            <w:pPr>
              <w:jc w:val="right"/>
              <w:rPr>
                <w:rFonts w:eastAsia="Times New Roman"/>
              </w:rPr>
            </w:pPr>
            <w:r>
              <w:rPr>
                <w:rFonts w:ascii="Arial" w:eastAsia="Times New Roman" w:hAnsi="Arial" w:cs="Arial"/>
                <w:color w:val="000000"/>
                <w:sz w:val="2"/>
                <w:szCs w:val="2"/>
              </w:rPr>
              <w:t> </w:t>
            </w:r>
          </w:p>
        </w:tc>
      </w:tr>
      <w:tr w:rsidR="00000000">
        <w:trPr>
          <w:divId w:val="1975720572"/>
        </w:trPr>
        <w:tc>
          <w:tcPr>
            <w:tcW w:w="0" w:type="auto"/>
            <w:gridSpan w:val="3"/>
            <w:tcMar>
              <w:top w:w="30" w:type="dxa"/>
              <w:left w:w="275" w:type="dxa"/>
              <w:bottom w:w="30" w:type="dxa"/>
              <w:right w:w="20" w:type="dxa"/>
            </w:tcMar>
            <w:hideMark/>
          </w:tcPr>
          <w:p w:rsidR="00000000" w:rsidRDefault="001F1FC8">
            <w:pPr>
              <w:rPr>
                <w:rFonts w:eastAsia="Times New Roman"/>
              </w:rPr>
            </w:pPr>
            <w:r>
              <w:rPr>
                <w:rFonts w:ascii="Arial" w:eastAsia="Times New Roman" w:hAnsi="Arial" w:cs="Arial"/>
                <w:color w:val="000000"/>
                <w:sz w:val="16"/>
                <w:szCs w:val="16"/>
              </w:rPr>
              <w:t>Foreign exchange contracts</w:t>
            </w:r>
          </w:p>
        </w:tc>
        <w:tc>
          <w:tcPr>
            <w:tcW w:w="0" w:type="auto"/>
            <w:gridSpan w:val="2"/>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hideMark/>
          </w:tcPr>
          <w:p w:rsidR="00000000" w:rsidRDefault="001F1FC8">
            <w:pPr>
              <w:jc w:val="right"/>
              <w:rPr>
                <w:rFonts w:eastAsia="Times New Roman"/>
              </w:rPr>
            </w:pPr>
          </w:p>
        </w:tc>
        <w:tc>
          <w:tcPr>
            <w:tcW w:w="0" w:type="auto"/>
            <w:gridSpan w:val="2"/>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hideMark/>
          </w:tcPr>
          <w:p w:rsidR="00000000" w:rsidRDefault="001F1FC8">
            <w:pPr>
              <w:jc w:val="right"/>
              <w:rPr>
                <w:rFonts w:eastAsia="Times New Roman"/>
              </w:rPr>
            </w:pPr>
          </w:p>
        </w:tc>
        <w:tc>
          <w:tcPr>
            <w:tcW w:w="0" w:type="auto"/>
            <w:gridSpan w:val="2"/>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hideMark/>
          </w:tcPr>
          <w:p w:rsidR="00000000" w:rsidRDefault="001F1FC8">
            <w:pPr>
              <w:jc w:val="right"/>
              <w:rPr>
                <w:rFonts w:eastAsia="Times New Roman"/>
              </w:rPr>
            </w:pPr>
          </w:p>
        </w:tc>
        <w:tc>
          <w:tcPr>
            <w:tcW w:w="0" w:type="auto"/>
            <w:gridSpan w:val="2"/>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color w:val="000000"/>
                <w:sz w:val="16"/>
                <w:szCs w:val="16"/>
              </w:rPr>
              <w:t>180 </w:t>
            </w:r>
          </w:p>
        </w:tc>
        <w:tc>
          <w:tcPr>
            <w:tcW w:w="0" w:type="auto"/>
            <w:tcMar>
              <w:top w:w="30" w:type="dxa"/>
              <w:left w:w="0" w:type="dxa"/>
              <w:bottom w:w="30" w:type="dxa"/>
              <w:right w:w="20" w:type="dxa"/>
            </w:tcMar>
            <w:hideMark/>
          </w:tcPr>
          <w:p w:rsidR="00000000" w:rsidRDefault="001F1FC8">
            <w:pPr>
              <w:jc w:val="right"/>
              <w:rPr>
                <w:rFonts w:eastAsia="Times New Roman"/>
              </w:rPr>
            </w:pPr>
          </w:p>
        </w:tc>
        <w:tc>
          <w:tcPr>
            <w:tcW w:w="0" w:type="auto"/>
            <w:gridSpan w:val="2"/>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color w:val="000000"/>
                <w:sz w:val="16"/>
                <w:szCs w:val="16"/>
              </w:rPr>
              <w:t>180 </w:t>
            </w:r>
          </w:p>
        </w:tc>
        <w:tc>
          <w:tcPr>
            <w:tcW w:w="0" w:type="auto"/>
            <w:tcMar>
              <w:top w:w="30" w:type="dxa"/>
              <w:left w:w="0" w:type="dxa"/>
              <w:bottom w:w="30" w:type="dxa"/>
              <w:right w:w="20" w:type="dxa"/>
            </w:tcMar>
            <w:hideMark/>
          </w:tcPr>
          <w:p w:rsidR="00000000" w:rsidRDefault="001F1FC8">
            <w:pPr>
              <w:jc w:val="right"/>
              <w:rPr>
                <w:rFonts w:eastAsia="Times New Roman"/>
              </w:rPr>
            </w:pPr>
          </w:p>
        </w:tc>
        <w:tc>
          <w:tcPr>
            <w:tcW w:w="0" w:type="auto"/>
            <w:gridSpan w:val="2"/>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color w:val="000000"/>
                <w:sz w:val="16"/>
                <w:szCs w:val="16"/>
              </w:rPr>
              <w:t>(28)</w:t>
            </w:r>
          </w:p>
        </w:tc>
        <w:tc>
          <w:tcPr>
            <w:tcW w:w="0" w:type="auto"/>
            <w:tcMar>
              <w:top w:w="30" w:type="dxa"/>
              <w:left w:w="0" w:type="dxa"/>
              <w:bottom w:w="30" w:type="dxa"/>
              <w:right w:w="20" w:type="dxa"/>
            </w:tcMar>
            <w:hideMark/>
          </w:tcPr>
          <w:p w:rsidR="00000000" w:rsidRDefault="001F1FC8">
            <w:pPr>
              <w:jc w:val="right"/>
              <w:rPr>
                <w:rFonts w:eastAsia="Times New Roman"/>
              </w:rPr>
            </w:pPr>
          </w:p>
        </w:tc>
        <w:tc>
          <w:tcPr>
            <w:tcW w:w="0" w:type="auto"/>
            <w:gridSpan w:val="2"/>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color w:val="000000"/>
                <w:sz w:val="16"/>
                <w:szCs w:val="16"/>
              </w:rPr>
              <w:t>152 </w:t>
            </w:r>
          </w:p>
        </w:tc>
        <w:tc>
          <w:tcPr>
            <w:tcW w:w="0" w:type="auto"/>
            <w:tcMar>
              <w:top w:w="30" w:type="dxa"/>
              <w:left w:w="0" w:type="dxa"/>
              <w:bottom w:w="30" w:type="dxa"/>
              <w:right w:w="20" w:type="dxa"/>
            </w:tcMar>
            <w:hideMark/>
          </w:tcPr>
          <w:p w:rsidR="00000000" w:rsidRDefault="001F1FC8">
            <w:pPr>
              <w:jc w:val="right"/>
              <w:rPr>
                <w:rFonts w:eastAsia="Times New Roman"/>
              </w:rPr>
            </w:pPr>
          </w:p>
        </w:tc>
      </w:tr>
      <w:tr w:rsidR="00000000">
        <w:trPr>
          <w:divId w:val="1975720572"/>
        </w:trPr>
        <w:tc>
          <w:tcPr>
            <w:tcW w:w="0" w:type="auto"/>
            <w:gridSpan w:val="3"/>
            <w:tcMar>
              <w:top w:w="30" w:type="dxa"/>
              <w:left w:w="275" w:type="dxa"/>
              <w:bottom w:w="30" w:type="dxa"/>
              <w:right w:w="20" w:type="dxa"/>
            </w:tcMar>
            <w:hideMark/>
          </w:tcPr>
          <w:p w:rsidR="00000000" w:rsidRDefault="001F1FC8">
            <w:pPr>
              <w:rPr>
                <w:rFonts w:eastAsia="Times New Roman"/>
              </w:rPr>
            </w:pPr>
            <w:r>
              <w:rPr>
                <w:rFonts w:ascii="Arial" w:eastAsia="Times New Roman" w:hAnsi="Arial" w:cs="Arial"/>
                <w:color w:val="000000"/>
                <w:sz w:val="16"/>
                <w:szCs w:val="16"/>
              </w:rPr>
              <w:t>Interest rate contracts</w:t>
            </w:r>
          </w:p>
        </w:tc>
        <w:tc>
          <w:tcPr>
            <w:tcW w:w="0" w:type="auto"/>
            <w:gridSpan w:val="2"/>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hideMark/>
          </w:tcPr>
          <w:p w:rsidR="00000000" w:rsidRDefault="001F1FC8">
            <w:pPr>
              <w:jc w:val="right"/>
              <w:rPr>
                <w:rFonts w:eastAsia="Times New Roman"/>
              </w:rPr>
            </w:pPr>
          </w:p>
        </w:tc>
        <w:tc>
          <w:tcPr>
            <w:tcW w:w="0" w:type="auto"/>
            <w:gridSpan w:val="2"/>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hideMark/>
          </w:tcPr>
          <w:p w:rsidR="00000000" w:rsidRDefault="001F1FC8">
            <w:pPr>
              <w:jc w:val="right"/>
              <w:rPr>
                <w:rFonts w:eastAsia="Times New Roman"/>
              </w:rPr>
            </w:pPr>
          </w:p>
        </w:tc>
        <w:tc>
          <w:tcPr>
            <w:tcW w:w="0" w:type="auto"/>
            <w:gridSpan w:val="2"/>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hideMark/>
          </w:tcPr>
          <w:p w:rsidR="00000000" w:rsidRDefault="001F1FC8">
            <w:pPr>
              <w:jc w:val="right"/>
              <w:rPr>
                <w:rFonts w:eastAsia="Times New Roman"/>
              </w:rPr>
            </w:pPr>
          </w:p>
        </w:tc>
        <w:tc>
          <w:tcPr>
            <w:tcW w:w="0" w:type="auto"/>
            <w:gridSpan w:val="2"/>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hideMark/>
          </w:tcPr>
          <w:p w:rsidR="00000000" w:rsidRDefault="001F1FC8">
            <w:pPr>
              <w:jc w:val="right"/>
              <w:rPr>
                <w:rFonts w:eastAsia="Times New Roman"/>
              </w:rPr>
            </w:pPr>
          </w:p>
        </w:tc>
        <w:tc>
          <w:tcPr>
            <w:tcW w:w="0" w:type="auto"/>
            <w:gridSpan w:val="2"/>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hideMark/>
          </w:tcPr>
          <w:p w:rsidR="00000000" w:rsidRDefault="001F1FC8">
            <w:pPr>
              <w:jc w:val="right"/>
              <w:rPr>
                <w:rFonts w:eastAsia="Times New Roman"/>
              </w:rPr>
            </w:pPr>
          </w:p>
        </w:tc>
        <w:tc>
          <w:tcPr>
            <w:tcW w:w="0" w:type="auto"/>
            <w:gridSpan w:val="2"/>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hideMark/>
          </w:tcPr>
          <w:p w:rsidR="00000000" w:rsidRDefault="001F1FC8">
            <w:pPr>
              <w:jc w:val="right"/>
              <w:rPr>
                <w:rFonts w:eastAsia="Times New Roman"/>
              </w:rPr>
            </w:pPr>
          </w:p>
        </w:tc>
        <w:tc>
          <w:tcPr>
            <w:tcW w:w="0" w:type="auto"/>
            <w:gridSpan w:val="2"/>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hideMark/>
          </w:tcPr>
          <w:p w:rsidR="00000000" w:rsidRDefault="001F1FC8">
            <w:pPr>
              <w:jc w:val="right"/>
              <w:rPr>
                <w:rFonts w:eastAsia="Times New Roman"/>
              </w:rPr>
            </w:pPr>
          </w:p>
        </w:tc>
      </w:tr>
      <w:tr w:rsidR="00000000">
        <w:trPr>
          <w:divId w:val="1975720572"/>
        </w:trPr>
        <w:tc>
          <w:tcPr>
            <w:tcW w:w="0" w:type="auto"/>
            <w:gridSpan w:val="3"/>
            <w:tcMar>
              <w:top w:w="30" w:type="dxa"/>
              <w:left w:w="275" w:type="dxa"/>
              <w:bottom w:w="30" w:type="dxa"/>
              <w:right w:w="20" w:type="dxa"/>
            </w:tcMar>
            <w:hideMark/>
          </w:tcPr>
          <w:p w:rsidR="00000000" w:rsidRDefault="001F1FC8">
            <w:pPr>
              <w:rPr>
                <w:rFonts w:eastAsia="Times New Roman"/>
              </w:rPr>
            </w:pPr>
            <w:r>
              <w:rPr>
                <w:rFonts w:ascii="Arial" w:eastAsia="Times New Roman" w:hAnsi="Arial" w:cs="Arial"/>
                <w:color w:val="000000"/>
                <w:sz w:val="16"/>
                <w:szCs w:val="16"/>
              </w:rPr>
              <w:t>Commodity contracts</w:t>
            </w:r>
          </w:p>
        </w:tc>
        <w:tc>
          <w:tcPr>
            <w:tcW w:w="0" w:type="auto"/>
            <w:gridSpan w:val="2"/>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hideMark/>
          </w:tcPr>
          <w:p w:rsidR="00000000" w:rsidRDefault="001F1FC8">
            <w:pPr>
              <w:jc w:val="right"/>
              <w:rPr>
                <w:rFonts w:eastAsia="Times New Roman"/>
              </w:rPr>
            </w:pPr>
          </w:p>
        </w:tc>
        <w:tc>
          <w:tcPr>
            <w:tcW w:w="0" w:type="auto"/>
            <w:gridSpan w:val="2"/>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hideMark/>
          </w:tcPr>
          <w:p w:rsidR="00000000" w:rsidRDefault="001F1FC8">
            <w:pPr>
              <w:jc w:val="right"/>
              <w:rPr>
                <w:rFonts w:eastAsia="Times New Roman"/>
              </w:rPr>
            </w:pPr>
          </w:p>
        </w:tc>
        <w:tc>
          <w:tcPr>
            <w:tcW w:w="0" w:type="auto"/>
            <w:gridSpan w:val="2"/>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hideMark/>
          </w:tcPr>
          <w:p w:rsidR="00000000" w:rsidRDefault="001F1FC8">
            <w:pPr>
              <w:jc w:val="right"/>
              <w:rPr>
                <w:rFonts w:eastAsia="Times New Roman"/>
              </w:rPr>
            </w:pPr>
          </w:p>
        </w:tc>
        <w:tc>
          <w:tcPr>
            <w:tcW w:w="0" w:type="auto"/>
            <w:gridSpan w:val="2"/>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color w:val="000000"/>
                <w:sz w:val="16"/>
                <w:szCs w:val="16"/>
              </w:rPr>
              <w:t>143 </w:t>
            </w:r>
          </w:p>
        </w:tc>
        <w:tc>
          <w:tcPr>
            <w:tcW w:w="0" w:type="auto"/>
            <w:tcMar>
              <w:top w:w="30" w:type="dxa"/>
              <w:left w:w="0" w:type="dxa"/>
              <w:bottom w:w="30" w:type="dxa"/>
              <w:right w:w="20" w:type="dxa"/>
            </w:tcMar>
            <w:hideMark/>
          </w:tcPr>
          <w:p w:rsidR="00000000" w:rsidRDefault="001F1FC8">
            <w:pPr>
              <w:jc w:val="right"/>
              <w:rPr>
                <w:rFonts w:eastAsia="Times New Roman"/>
              </w:rPr>
            </w:pPr>
          </w:p>
        </w:tc>
        <w:tc>
          <w:tcPr>
            <w:tcW w:w="0" w:type="auto"/>
            <w:gridSpan w:val="2"/>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color w:val="000000"/>
                <w:sz w:val="16"/>
                <w:szCs w:val="16"/>
              </w:rPr>
              <w:t>143 </w:t>
            </w:r>
          </w:p>
        </w:tc>
        <w:tc>
          <w:tcPr>
            <w:tcW w:w="0" w:type="auto"/>
            <w:tcMar>
              <w:top w:w="30" w:type="dxa"/>
              <w:left w:w="0" w:type="dxa"/>
              <w:bottom w:w="30" w:type="dxa"/>
              <w:right w:w="20" w:type="dxa"/>
            </w:tcMar>
            <w:hideMark/>
          </w:tcPr>
          <w:p w:rsidR="00000000" w:rsidRDefault="001F1FC8">
            <w:pPr>
              <w:jc w:val="right"/>
              <w:rPr>
                <w:rFonts w:eastAsia="Times New Roman"/>
              </w:rPr>
            </w:pPr>
          </w:p>
        </w:tc>
        <w:tc>
          <w:tcPr>
            <w:tcW w:w="0" w:type="auto"/>
            <w:gridSpan w:val="2"/>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color w:val="000000"/>
                <w:sz w:val="16"/>
                <w:szCs w:val="16"/>
              </w:rPr>
              <w:t>(81)</w:t>
            </w:r>
          </w:p>
        </w:tc>
        <w:tc>
          <w:tcPr>
            <w:tcW w:w="0" w:type="auto"/>
            <w:tcMar>
              <w:top w:w="30" w:type="dxa"/>
              <w:left w:w="0" w:type="dxa"/>
              <w:bottom w:w="30" w:type="dxa"/>
              <w:right w:w="20" w:type="dxa"/>
            </w:tcMar>
            <w:hideMark/>
          </w:tcPr>
          <w:p w:rsidR="00000000" w:rsidRDefault="001F1FC8">
            <w:pPr>
              <w:jc w:val="right"/>
              <w:rPr>
                <w:rFonts w:eastAsia="Times New Roman"/>
              </w:rPr>
            </w:pPr>
          </w:p>
        </w:tc>
        <w:tc>
          <w:tcPr>
            <w:tcW w:w="0" w:type="auto"/>
            <w:gridSpan w:val="2"/>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color w:val="000000"/>
                <w:sz w:val="16"/>
                <w:szCs w:val="16"/>
              </w:rPr>
              <w:t>62 </w:t>
            </w:r>
          </w:p>
        </w:tc>
        <w:tc>
          <w:tcPr>
            <w:tcW w:w="0" w:type="auto"/>
            <w:tcMar>
              <w:top w:w="30" w:type="dxa"/>
              <w:left w:w="0" w:type="dxa"/>
              <w:bottom w:w="30" w:type="dxa"/>
              <w:right w:w="20" w:type="dxa"/>
            </w:tcMar>
            <w:hideMark/>
          </w:tcPr>
          <w:p w:rsidR="00000000" w:rsidRDefault="001F1FC8">
            <w:pPr>
              <w:jc w:val="right"/>
              <w:rPr>
                <w:rFonts w:eastAsia="Times New Roman"/>
              </w:rPr>
            </w:pPr>
          </w:p>
        </w:tc>
      </w:tr>
      <w:tr w:rsidR="00000000">
        <w:trPr>
          <w:divId w:val="1975720572"/>
        </w:trPr>
        <w:tc>
          <w:tcPr>
            <w:tcW w:w="0" w:type="auto"/>
            <w:gridSpan w:val="3"/>
            <w:tcMar>
              <w:top w:w="30" w:type="dxa"/>
              <w:left w:w="275" w:type="dxa"/>
              <w:bottom w:w="30" w:type="dxa"/>
              <w:right w:w="20" w:type="dxa"/>
            </w:tcMar>
            <w:hideMark/>
          </w:tcPr>
          <w:p w:rsidR="00000000" w:rsidRDefault="001F1FC8">
            <w:pPr>
              <w:rPr>
                <w:rFonts w:eastAsia="Times New Roman"/>
              </w:rPr>
            </w:pPr>
            <w:r>
              <w:rPr>
                <w:rFonts w:ascii="Arial" w:eastAsia="Times New Roman" w:hAnsi="Arial" w:cs="Arial"/>
                <w:color w:val="000000"/>
                <w:sz w:val="16"/>
                <w:szCs w:val="16"/>
              </w:rPr>
              <w:t>Other contracts</w:t>
            </w:r>
          </w:p>
        </w:tc>
        <w:tc>
          <w:tcPr>
            <w:tcW w:w="0" w:type="auto"/>
            <w:gridSpan w:val="2"/>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hideMark/>
          </w:tcPr>
          <w:p w:rsidR="00000000" w:rsidRDefault="001F1FC8">
            <w:pPr>
              <w:jc w:val="right"/>
              <w:rPr>
                <w:rFonts w:eastAsia="Times New Roman"/>
              </w:rPr>
            </w:pPr>
          </w:p>
        </w:tc>
        <w:tc>
          <w:tcPr>
            <w:tcW w:w="0" w:type="auto"/>
            <w:gridSpan w:val="2"/>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hideMark/>
          </w:tcPr>
          <w:p w:rsidR="00000000" w:rsidRDefault="001F1FC8">
            <w:pPr>
              <w:jc w:val="right"/>
              <w:rPr>
                <w:rFonts w:eastAsia="Times New Roman"/>
              </w:rPr>
            </w:pPr>
          </w:p>
        </w:tc>
        <w:tc>
          <w:tcPr>
            <w:tcW w:w="0" w:type="auto"/>
            <w:gridSpan w:val="2"/>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hideMark/>
          </w:tcPr>
          <w:p w:rsidR="00000000" w:rsidRDefault="001F1FC8">
            <w:pPr>
              <w:jc w:val="right"/>
              <w:rPr>
                <w:rFonts w:eastAsia="Times New Roman"/>
              </w:rPr>
            </w:pPr>
          </w:p>
        </w:tc>
        <w:tc>
          <w:tcPr>
            <w:tcW w:w="0" w:type="auto"/>
            <w:gridSpan w:val="2"/>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hideMark/>
          </w:tcPr>
          <w:p w:rsidR="00000000" w:rsidRDefault="001F1FC8">
            <w:pPr>
              <w:jc w:val="right"/>
              <w:rPr>
                <w:rFonts w:eastAsia="Times New Roman"/>
              </w:rPr>
            </w:pPr>
          </w:p>
        </w:tc>
        <w:tc>
          <w:tcPr>
            <w:tcW w:w="0" w:type="auto"/>
            <w:gridSpan w:val="2"/>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hideMark/>
          </w:tcPr>
          <w:p w:rsidR="00000000" w:rsidRDefault="001F1FC8">
            <w:pPr>
              <w:jc w:val="right"/>
              <w:rPr>
                <w:rFonts w:eastAsia="Times New Roman"/>
              </w:rPr>
            </w:pPr>
          </w:p>
        </w:tc>
        <w:tc>
          <w:tcPr>
            <w:tcW w:w="0" w:type="auto"/>
            <w:gridSpan w:val="2"/>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hideMark/>
          </w:tcPr>
          <w:p w:rsidR="00000000" w:rsidRDefault="001F1FC8">
            <w:pPr>
              <w:jc w:val="right"/>
              <w:rPr>
                <w:rFonts w:eastAsia="Times New Roman"/>
              </w:rPr>
            </w:pPr>
          </w:p>
        </w:tc>
        <w:tc>
          <w:tcPr>
            <w:tcW w:w="0" w:type="auto"/>
            <w:gridSpan w:val="2"/>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hideMark/>
          </w:tcPr>
          <w:p w:rsidR="00000000" w:rsidRDefault="001F1FC8">
            <w:pPr>
              <w:jc w:val="right"/>
              <w:rPr>
                <w:rFonts w:eastAsia="Times New Roman"/>
              </w:rPr>
            </w:pPr>
          </w:p>
        </w:tc>
      </w:tr>
      <w:tr w:rsidR="00000000">
        <w:trPr>
          <w:divId w:val="1975720572"/>
        </w:trPr>
        <w:tc>
          <w:tcPr>
            <w:tcW w:w="0" w:type="auto"/>
            <w:gridSpan w:val="3"/>
            <w:tcBorders>
              <w:top w:val="single" w:sz="4" w:space="0" w:color="000000"/>
            </w:tcBorders>
            <w:tcMar>
              <w:top w:w="30" w:type="dxa"/>
              <w:left w:w="20" w:type="dxa"/>
              <w:bottom w:w="30" w:type="dxa"/>
              <w:right w:w="20" w:type="dxa"/>
            </w:tcMar>
            <w:hideMark/>
          </w:tcPr>
          <w:p w:rsidR="00000000" w:rsidRDefault="001F1FC8">
            <w:pPr>
              <w:rPr>
                <w:rFonts w:eastAsia="Times New Roman"/>
              </w:rPr>
            </w:pPr>
            <w:r>
              <w:rPr>
                <w:rFonts w:ascii="Arial" w:eastAsia="Times New Roman" w:hAnsi="Arial" w:cs="Arial"/>
                <w:color w:val="000000"/>
                <w:sz w:val="2"/>
                <w:szCs w:val="2"/>
              </w:rPr>
              <w:t> </w:t>
            </w:r>
          </w:p>
        </w:tc>
        <w:tc>
          <w:tcPr>
            <w:tcW w:w="0" w:type="auto"/>
            <w:gridSpan w:val="2"/>
            <w:tcBorders>
              <w:top w:val="single" w:sz="4" w:space="0" w:color="000000"/>
            </w:tcBorders>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color w:val="000000"/>
                <w:sz w:val="16"/>
                <w:szCs w:val="16"/>
              </w:rPr>
              <w:t>— </w:t>
            </w:r>
          </w:p>
        </w:tc>
        <w:tc>
          <w:tcPr>
            <w:tcW w:w="0" w:type="auto"/>
            <w:tcBorders>
              <w:top w:val="single" w:sz="4" w:space="0" w:color="000000"/>
            </w:tcBorders>
            <w:tcMar>
              <w:top w:w="30" w:type="dxa"/>
              <w:left w:w="0" w:type="dxa"/>
              <w:bottom w:w="30" w:type="dxa"/>
              <w:right w:w="20" w:type="dxa"/>
            </w:tcMar>
            <w:hideMark/>
          </w:tcPr>
          <w:p w:rsidR="00000000" w:rsidRDefault="001F1FC8">
            <w:pPr>
              <w:jc w:val="right"/>
              <w:rPr>
                <w:rFonts w:eastAsia="Times New Roman"/>
              </w:rPr>
            </w:pPr>
          </w:p>
        </w:tc>
        <w:tc>
          <w:tcPr>
            <w:tcW w:w="0" w:type="auto"/>
            <w:gridSpan w:val="2"/>
            <w:tcBorders>
              <w:top w:val="single" w:sz="4" w:space="0" w:color="000000"/>
            </w:tcBorders>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color w:val="000000"/>
                <w:sz w:val="16"/>
                <w:szCs w:val="16"/>
              </w:rPr>
              <w:t>— </w:t>
            </w:r>
          </w:p>
        </w:tc>
        <w:tc>
          <w:tcPr>
            <w:tcW w:w="0" w:type="auto"/>
            <w:tcBorders>
              <w:top w:val="single" w:sz="4" w:space="0" w:color="000000"/>
            </w:tcBorders>
            <w:tcMar>
              <w:top w:w="30" w:type="dxa"/>
              <w:left w:w="0" w:type="dxa"/>
              <w:bottom w:w="30" w:type="dxa"/>
              <w:right w:w="20" w:type="dxa"/>
            </w:tcMar>
            <w:hideMark/>
          </w:tcPr>
          <w:p w:rsidR="00000000" w:rsidRDefault="001F1FC8">
            <w:pPr>
              <w:jc w:val="right"/>
              <w:rPr>
                <w:rFonts w:eastAsia="Times New Roman"/>
              </w:rPr>
            </w:pPr>
          </w:p>
        </w:tc>
        <w:tc>
          <w:tcPr>
            <w:tcW w:w="0" w:type="auto"/>
            <w:gridSpan w:val="2"/>
            <w:tcBorders>
              <w:top w:val="single" w:sz="4" w:space="0" w:color="000000"/>
            </w:tcBorders>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color w:val="000000"/>
                <w:sz w:val="16"/>
                <w:szCs w:val="16"/>
              </w:rPr>
              <w:t>— </w:t>
            </w:r>
          </w:p>
        </w:tc>
        <w:tc>
          <w:tcPr>
            <w:tcW w:w="0" w:type="auto"/>
            <w:tcBorders>
              <w:top w:val="single" w:sz="4" w:space="0" w:color="000000"/>
            </w:tcBorders>
            <w:tcMar>
              <w:top w:w="30" w:type="dxa"/>
              <w:left w:w="0" w:type="dxa"/>
              <w:bottom w:w="30" w:type="dxa"/>
              <w:right w:w="20" w:type="dxa"/>
            </w:tcMar>
            <w:hideMark/>
          </w:tcPr>
          <w:p w:rsidR="00000000" w:rsidRDefault="001F1FC8">
            <w:pPr>
              <w:jc w:val="right"/>
              <w:rPr>
                <w:rFonts w:eastAsia="Times New Roman"/>
              </w:rPr>
            </w:pPr>
          </w:p>
        </w:tc>
        <w:tc>
          <w:tcPr>
            <w:tcW w:w="0" w:type="auto"/>
            <w:gridSpan w:val="2"/>
            <w:tcBorders>
              <w:top w:val="single" w:sz="4" w:space="0" w:color="000000"/>
            </w:tcBorders>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color w:val="000000"/>
                <w:sz w:val="16"/>
                <w:szCs w:val="16"/>
              </w:rPr>
              <w:t>323 </w:t>
            </w:r>
          </w:p>
        </w:tc>
        <w:tc>
          <w:tcPr>
            <w:tcW w:w="0" w:type="auto"/>
            <w:tcBorders>
              <w:top w:val="single" w:sz="4" w:space="0" w:color="000000"/>
            </w:tcBorders>
            <w:tcMar>
              <w:top w:w="30" w:type="dxa"/>
              <w:left w:w="0" w:type="dxa"/>
              <w:bottom w:w="30" w:type="dxa"/>
              <w:right w:w="20" w:type="dxa"/>
            </w:tcMar>
            <w:hideMark/>
          </w:tcPr>
          <w:p w:rsidR="00000000" w:rsidRDefault="001F1FC8">
            <w:pPr>
              <w:jc w:val="right"/>
              <w:rPr>
                <w:rFonts w:eastAsia="Times New Roman"/>
              </w:rPr>
            </w:pPr>
          </w:p>
        </w:tc>
        <w:tc>
          <w:tcPr>
            <w:tcW w:w="0" w:type="auto"/>
            <w:gridSpan w:val="2"/>
            <w:tcBorders>
              <w:top w:val="single" w:sz="4" w:space="0" w:color="000000"/>
            </w:tcBorders>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color w:val="000000"/>
                <w:sz w:val="16"/>
                <w:szCs w:val="16"/>
              </w:rPr>
              <w:t>323 </w:t>
            </w:r>
          </w:p>
        </w:tc>
        <w:tc>
          <w:tcPr>
            <w:tcW w:w="0" w:type="auto"/>
            <w:tcBorders>
              <w:top w:val="single" w:sz="4" w:space="0" w:color="000000"/>
            </w:tcBorders>
            <w:tcMar>
              <w:top w:w="30" w:type="dxa"/>
              <w:left w:w="0" w:type="dxa"/>
              <w:bottom w:w="30" w:type="dxa"/>
              <w:right w:w="20" w:type="dxa"/>
            </w:tcMar>
            <w:hideMark/>
          </w:tcPr>
          <w:p w:rsidR="00000000" w:rsidRDefault="001F1FC8">
            <w:pPr>
              <w:jc w:val="right"/>
              <w:rPr>
                <w:rFonts w:eastAsia="Times New Roman"/>
              </w:rPr>
            </w:pPr>
          </w:p>
        </w:tc>
        <w:tc>
          <w:tcPr>
            <w:tcW w:w="0" w:type="auto"/>
            <w:gridSpan w:val="2"/>
            <w:tcBorders>
              <w:top w:val="single" w:sz="4" w:space="0" w:color="000000"/>
            </w:tcBorders>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color w:val="000000"/>
                <w:sz w:val="16"/>
                <w:szCs w:val="16"/>
              </w:rPr>
              <w:t>(109)</w:t>
            </w:r>
          </w:p>
        </w:tc>
        <w:tc>
          <w:tcPr>
            <w:tcW w:w="0" w:type="auto"/>
            <w:tcBorders>
              <w:top w:val="single" w:sz="4" w:space="0" w:color="000000"/>
            </w:tcBorders>
            <w:tcMar>
              <w:top w:w="30" w:type="dxa"/>
              <w:left w:w="0" w:type="dxa"/>
              <w:bottom w:w="30" w:type="dxa"/>
              <w:right w:w="20" w:type="dxa"/>
            </w:tcMar>
            <w:hideMark/>
          </w:tcPr>
          <w:p w:rsidR="00000000" w:rsidRDefault="001F1FC8">
            <w:pPr>
              <w:jc w:val="right"/>
              <w:rPr>
                <w:rFonts w:eastAsia="Times New Roman"/>
              </w:rPr>
            </w:pPr>
          </w:p>
        </w:tc>
        <w:tc>
          <w:tcPr>
            <w:tcW w:w="0" w:type="auto"/>
            <w:gridSpan w:val="2"/>
            <w:tcBorders>
              <w:top w:val="single" w:sz="4" w:space="0" w:color="000000"/>
            </w:tcBorders>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color w:val="000000"/>
                <w:sz w:val="16"/>
                <w:szCs w:val="16"/>
              </w:rPr>
              <w:t>214 </w:t>
            </w:r>
          </w:p>
        </w:tc>
        <w:tc>
          <w:tcPr>
            <w:tcW w:w="0" w:type="auto"/>
            <w:tcBorders>
              <w:top w:val="single" w:sz="4" w:space="0" w:color="000000"/>
            </w:tcBorders>
            <w:tcMar>
              <w:top w:w="30" w:type="dxa"/>
              <w:left w:w="0" w:type="dxa"/>
              <w:bottom w:w="30" w:type="dxa"/>
              <w:right w:w="20" w:type="dxa"/>
            </w:tcMar>
            <w:hideMark/>
          </w:tcPr>
          <w:p w:rsidR="00000000" w:rsidRDefault="001F1FC8">
            <w:pPr>
              <w:jc w:val="right"/>
              <w:rPr>
                <w:rFonts w:eastAsia="Times New Roman"/>
              </w:rPr>
            </w:pPr>
          </w:p>
        </w:tc>
      </w:tr>
      <w:tr w:rsidR="00000000">
        <w:trPr>
          <w:divId w:val="1975720572"/>
        </w:trPr>
        <w:tc>
          <w:tcPr>
            <w:tcW w:w="0" w:type="auto"/>
            <w:gridSpan w:val="3"/>
            <w:tcBorders>
              <w:top w:val="single" w:sz="4" w:space="0" w:color="000000"/>
            </w:tcBorders>
            <w:tcMar>
              <w:top w:w="30" w:type="dxa"/>
              <w:left w:w="20" w:type="dxa"/>
              <w:bottom w:w="30" w:type="dxa"/>
              <w:right w:w="20" w:type="dxa"/>
            </w:tcMar>
            <w:hideMark/>
          </w:tcPr>
          <w:p w:rsidR="00000000" w:rsidRDefault="001F1FC8">
            <w:pPr>
              <w:rPr>
                <w:rFonts w:eastAsia="Times New Roman"/>
              </w:rPr>
            </w:pPr>
            <w:r>
              <w:rPr>
                <w:rFonts w:ascii="Arial" w:eastAsia="Times New Roman" w:hAnsi="Arial" w:cs="Arial"/>
                <w:color w:val="000000"/>
                <w:sz w:val="16"/>
                <w:szCs w:val="16"/>
              </w:rPr>
              <w:t>Deferred amounts and other assets</w:t>
            </w:r>
          </w:p>
        </w:tc>
        <w:tc>
          <w:tcPr>
            <w:tcW w:w="0" w:type="auto"/>
            <w:gridSpan w:val="3"/>
            <w:tcBorders>
              <w:top w:val="single" w:sz="4" w:space="0" w:color="000000"/>
            </w:tcBorders>
            <w:tcMar>
              <w:top w:w="30" w:type="dxa"/>
              <w:left w:w="20" w:type="dxa"/>
              <w:bottom w:w="30" w:type="dxa"/>
              <w:right w:w="20" w:type="dxa"/>
            </w:tcMar>
            <w:hideMark/>
          </w:tcPr>
          <w:p w:rsidR="00000000" w:rsidRDefault="001F1FC8">
            <w:pPr>
              <w:jc w:val="right"/>
              <w:rPr>
                <w:rFonts w:eastAsia="Times New Roman"/>
              </w:rPr>
            </w:pPr>
            <w:r>
              <w:rPr>
                <w:rFonts w:ascii="Arial" w:eastAsia="Times New Roman" w:hAnsi="Arial" w:cs="Arial"/>
                <w:color w:val="000000"/>
                <w:sz w:val="2"/>
                <w:szCs w:val="2"/>
              </w:rPr>
              <w:t> </w:t>
            </w:r>
          </w:p>
        </w:tc>
        <w:tc>
          <w:tcPr>
            <w:tcW w:w="0" w:type="auto"/>
            <w:gridSpan w:val="3"/>
            <w:tcBorders>
              <w:top w:val="single" w:sz="4" w:space="0" w:color="000000"/>
            </w:tcBorders>
            <w:tcMar>
              <w:top w:w="30" w:type="dxa"/>
              <w:left w:w="20" w:type="dxa"/>
              <w:bottom w:w="30" w:type="dxa"/>
              <w:right w:w="20" w:type="dxa"/>
            </w:tcMar>
            <w:hideMark/>
          </w:tcPr>
          <w:p w:rsidR="00000000" w:rsidRDefault="001F1FC8">
            <w:pPr>
              <w:jc w:val="right"/>
              <w:rPr>
                <w:rFonts w:eastAsia="Times New Roman"/>
              </w:rPr>
            </w:pPr>
            <w:r>
              <w:rPr>
                <w:rFonts w:ascii="Arial" w:eastAsia="Times New Roman" w:hAnsi="Arial" w:cs="Arial"/>
                <w:color w:val="000000"/>
                <w:sz w:val="2"/>
                <w:szCs w:val="2"/>
              </w:rPr>
              <w:t> </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1F1FC8">
            <w:pPr>
              <w:jc w:val="right"/>
              <w:rPr>
                <w:rFonts w:eastAsia="Times New Roman"/>
              </w:rPr>
            </w:pPr>
          </w:p>
        </w:tc>
        <w:tc>
          <w:tcPr>
            <w:tcW w:w="0" w:type="auto"/>
            <w:gridSpan w:val="3"/>
            <w:tcBorders>
              <w:top w:val="single" w:sz="4" w:space="0" w:color="000000"/>
            </w:tcBorders>
            <w:tcMar>
              <w:top w:w="30" w:type="dxa"/>
              <w:left w:w="20" w:type="dxa"/>
              <w:bottom w:w="30" w:type="dxa"/>
              <w:right w:w="20" w:type="dxa"/>
            </w:tcMar>
            <w:hideMark/>
          </w:tcPr>
          <w:p w:rsidR="00000000" w:rsidRDefault="001F1FC8">
            <w:pPr>
              <w:jc w:val="right"/>
              <w:rPr>
                <w:rFonts w:eastAsia="Times New Roman"/>
              </w:rPr>
            </w:pPr>
            <w:r>
              <w:rPr>
                <w:rFonts w:ascii="Arial" w:eastAsia="Times New Roman" w:hAnsi="Arial" w:cs="Arial"/>
                <w:color w:val="000000"/>
                <w:sz w:val="2"/>
                <w:szCs w:val="2"/>
              </w:rPr>
              <w:t> </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1F1FC8">
            <w:pPr>
              <w:jc w:val="right"/>
              <w:rPr>
                <w:rFonts w:eastAsia="Times New Roman"/>
              </w:rPr>
            </w:pPr>
          </w:p>
        </w:tc>
        <w:tc>
          <w:tcPr>
            <w:tcW w:w="0" w:type="auto"/>
            <w:gridSpan w:val="3"/>
            <w:tcBorders>
              <w:top w:val="single" w:sz="4" w:space="0" w:color="000000"/>
            </w:tcBorders>
            <w:tcMar>
              <w:top w:w="30" w:type="dxa"/>
              <w:left w:w="20" w:type="dxa"/>
              <w:bottom w:w="30" w:type="dxa"/>
              <w:right w:w="20" w:type="dxa"/>
            </w:tcMar>
            <w:hideMark/>
          </w:tcPr>
          <w:p w:rsidR="00000000" w:rsidRDefault="001F1FC8">
            <w:pPr>
              <w:jc w:val="right"/>
              <w:rPr>
                <w:rFonts w:eastAsia="Times New Roman"/>
              </w:rPr>
            </w:pPr>
            <w:r>
              <w:rPr>
                <w:rFonts w:ascii="Arial" w:eastAsia="Times New Roman" w:hAnsi="Arial" w:cs="Arial"/>
                <w:color w:val="000000"/>
                <w:sz w:val="2"/>
                <w:szCs w:val="2"/>
              </w:rPr>
              <w:t> </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1F1FC8">
            <w:pPr>
              <w:jc w:val="right"/>
              <w:rPr>
                <w:rFonts w:eastAsia="Times New Roman"/>
              </w:rPr>
            </w:pPr>
          </w:p>
        </w:tc>
      </w:tr>
      <w:tr w:rsidR="00000000">
        <w:trPr>
          <w:divId w:val="1975720572"/>
        </w:trPr>
        <w:tc>
          <w:tcPr>
            <w:tcW w:w="0" w:type="auto"/>
            <w:gridSpan w:val="3"/>
            <w:tcMar>
              <w:top w:w="30" w:type="dxa"/>
              <w:left w:w="155" w:type="dxa"/>
              <w:bottom w:w="30" w:type="dxa"/>
              <w:right w:w="20" w:type="dxa"/>
            </w:tcMar>
            <w:hideMark/>
          </w:tcPr>
          <w:p w:rsidR="00000000" w:rsidRDefault="001F1FC8">
            <w:pPr>
              <w:rPr>
                <w:rFonts w:eastAsia="Times New Roman"/>
              </w:rPr>
            </w:pPr>
            <w:r>
              <w:rPr>
                <w:rFonts w:ascii="Arial" w:eastAsia="Times New Roman" w:hAnsi="Arial" w:cs="Arial"/>
                <w:color w:val="000000"/>
                <w:sz w:val="16"/>
                <w:szCs w:val="16"/>
              </w:rPr>
              <w:t>   Foreign exchange contracts</w:t>
            </w:r>
          </w:p>
        </w:tc>
        <w:tc>
          <w:tcPr>
            <w:tcW w:w="0" w:type="auto"/>
            <w:gridSpan w:val="2"/>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color w:val="000000"/>
                <w:sz w:val="16"/>
                <w:szCs w:val="16"/>
              </w:rPr>
              <w:t>14 </w:t>
            </w:r>
          </w:p>
        </w:tc>
        <w:tc>
          <w:tcPr>
            <w:tcW w:w="0" w:type="auto"/>
            <w:tcMar>
              <w:top w:w="30" w:type="dxa"/>
              <w:left w:w="0" w:type="dxa"/>
              <w:bottom w:w="30" w:type="dxa"/>
              <w:right w:w="20" w:type="dxa"/>
            </w:tcMar>
            <w:hideMark/>
          </w:tcPr>
          <w:p w:rsidR="00000000" w:rsidRDefault="001F1FC8">
            <w:pPr>
              <w:jc w:val="right"/>
              <w:rPr>
                <w:rFonts w:eastAsia="Times New Roman"/>
              </w:rPr>
            </w:pPr>
          </w:p>
        </w:tc>
        <w:tc>
          <w:tcPr>
            <w:tcW w:w="0" w:type="auto"/>
            <w:gridSpan w:val="2"/>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hideMark/>
          </w:tcPr>
          <w:p w:rsidR="00000000" w:rsidRDefault="001F1FC8">
            <w:pPr>
              <w:jc w:val="right"/>
              <w:rPr>
                <w:rFonts w:eastAsia="Times New Roman"/>
              </w:rPr>
            </w:pPr>
          </w:p>
        </w:tc>
        <w:tc>
          <w:tcPr>
            <w:tcW w:w="0" w:type="auto"/>
            <w:gridSpan w:val="2"/>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hideMark/>
          </w:tcPr>
          <w:p w:rsidR="00000000" w:rsidRDefault="001F1FC8">
            <w:pPr>
              <w:jc w:val="right"/>
              <w:rPr>
                <w:rFonts w:eastAsia="Times New Roman"/>
              </w:rPr>
            </w:pPr>
          </w:p>
        </w:tc>
        <w:tc>
          <w:tcPr>
            <w:tcW w:w="0" w:type="auto"/>
            <w:gridSpan w:val="2"/>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color w:val="000000"/>
                <w:sz w:val="16"/>
                <w:szCs w:val="16"/>
              </w:rPr>
              <w:t>452 </w:t>
            </w:r>
          </w:p>
        </w:tc>
        <w:tc>
          <w:tcPr>
            <w:tcW w:w="0" w:type="auto"/>
            <w:tcMar>
              <w:top w:w="30" w:type="dxa"/>
              <w:left w:w="0" w:type="dxa"/>
              <w:bottom w:w="30" w:type="dxa"/>
              <w:right w:w="20" w:type="dxa"/>
            </w:tcMar>
            <w:hideMark/>
          </w:tcPr>
          <w:p w:rsidR="00000000" w:rsidRDefault="001F1FC8">
            <w:pPr>
              <w:jc w:val="right"/>
              <w:rPr>
                <w:rFonts w:eastAsia="Times New Roman"/>
              </w:rPr>
            </w:pPr>
          </w:p>
        </w:tc>
        <w:tc>
          <w:tcPr>
            <w:tcW w:w="0" w:type="auto"/>
            <w:gridSpan w:val="2"/>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color w:val="000000"/>
                <w:sz w:val="16"/>
                <w:szCs w:val="16"/>
              </w:rPr>
              <w:t>466 </w:t>
            </w:r>
          </w:p>
        </w:tc>
        <w:tc>
          <w:tcPr>
            <w:tcW w:w="0" w:type="auto"/>
            <w:tcMar>
              <w:top w:w="30" w:type="dxa"/>
              <w:left w:w="0" w:type="dxa"/>
              <w:bottom w:w="30" w:type="dxa"/>
              <w:right w:w="20" w:type="dxa"/>
            </w:tcMar>
            <w:hideMark/>
          </w:tcPr>
          <w:p w:rsidR="00000000" w:rsidRDefault="001F1FC8">
            <w:pPr>
              <w:jc w:val="right"/>
              <w:rPr>
                <w:rFonts w:eastAsia="Times New Roman"/>
              </w:rPr>
            </w:pPr>
          </w:p>
        </w:tc>
        <w:tc>
          <w:tcPr>
            <w:tcW w:w="0" w:type="auto"/>
            <w:gridSpan w:val="2"/>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color w:val="000000"/>
                <w:sz w:val="16"/>
                <w:szCs w:val="16"/>
              </w:rPr>
              <w:t>(218)</w:t>
            </w:r>
          </w:p>
        </w:tc>
        <w:tc>
          <w:tcPr>
            <w:tcW w:w="0" w:type="auto"/>
            <w:tcMar>
              <w:top w:w="30" w:type="dxa"/>
              <w:left w:w="0" w:type="dxa"/>
              <w:bottom w:w="30" w:type="dxa"/>
              <w:right w:w="20" w:type="dxa"/>
            </w:tcMar>
            <w:hideMark/>
          </w:tcPr>
          <w:p w:rsidR="00000000" w:rsidRDefault="001F1FC8">
            <w:pPr>
              <w:jc w:val="right"/>
              <w:rPr>
                <w:rFonts w:eastAsia="Times New Roman"/>
              </w:rPr>
            </w:pPr>
          </w:p>
        </w:tc>
        <w:tc>
          <w:tcPr>
            <w:tcW w:w="0" w:type="auto"/>
            <w:gridSpan w:val="2"/>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color w:val="000000"/>
                <w:sz w:val="16"/>
                <w:szCs w:val="16"/>
              </w:rPr>
              <w:t>248 </w:t>
            </w:r>
          </w:p>
        </w:tc>
        <w:tc>
          <w:tcPr>
            <w:tcW w:w="0" w:type="auto"/>
            <w:tcMar>
              <w:top w:w="30" w:type="dxa"/>
              <w:left w:w="0" w:type="dxa"/>
              <w:bottom w:w="30" w:type="dxa"/>
              <w:right w:w="20" w:type="dxa"/>
            </w:tcMar>
            <w:hideMark/>
          </w:tcPr>
          <w:p w:rsidR="00000000" w:rsidRDefault="001F1FC8">
            <w:pPr>
              <w:jc w:val="right"/>
              <w:rPr>
                <w:rFonts w:eastAsia="Times New Roman"/>
              </w:rPr>
            </w:pPr>
          </w:p>
        </w:tc>
      </w:tr>
      <w:tr w:rsidR="00000000">
        <w:trPr>
          <w:divId w:val="1975720572"/>
        </w:trPr>
        <w:tc>
          <w:tcPr>
            <w:tcW w:w="0" w:type="auto"/>
            <w:gridSpan w:val="3"/>
            <w:tcMar>
              <w:top w:w="30" w:type="dxa"/>
              <w:left w:w="155" w:type="dxa"/>
              <w:bottom w:w="30" w:type="dxa"/>
              <w:right w:w="20" w:type="dxa"/>
            </w:tcMar>
            <w:hideMark/>
          </w:tcPr>
          <w:p w:rsidR="00000000" w:rsidRDefault="001F1FC8">
            <w:pPr>
              <w:rPr>
                <w:rFonts w:eastAsia="Times New Roman"/>
              </w:rPr>
            </w:pPr>
            <w:r>
              <w:rPr>
                <w:rFonts w:ascii="Arial" w:eastAsia="Times New Roman" w:hAnsi="Arial" w:cs="Arial"/>
                <w:color w:val="000000"/>
                <w:sz w:val="16"/>
                <w:szCs w:val="16"/>
              </w:rPr>
              <w:t>   </w:t>
            </w:r>
            <w:r>
              <w:rPr>
                <w:rFonts w:ascii="Arial" w:eastAsia="Times New Roman" w:hAnsi="Arial" w:cs="Arial"/>
                <w:color w:val="000000"/>
                <w:sz w:val="16"/>
                <w:szCs w:val="16"/>
              </w:rPr>
              <w:t>Interest rate contracts</w:t>
            </w:r>
          </w:p>
        </w:tc>
        <w:tc>
          <w:tcPr>
            <w:tcW w:w="0" w:type="auto"/>
            <w:gridSpan w:val="2"/>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color w:val="000000"/>
                <w:sz w:val="16"/>
                <w:szCs w:val="16"/>
              </w:rPr>
              <w:t>56 </w:t>
            </w:r>
          </w:p>
        </w:tc>
        <w:tc>
          <w:tcPr>
            <w:tcW w:w="0" w:type="auto"/>
            <w:tcMar>
              <w:top w:w="30" w:type="dxa"/>
              <w:left w:w="0" w:type="dxa"/>
              <w:bottom w:w="30" w:type="dxa"/>
              <w:right w:w="20" w:type="dxa"/>
            </w:tcMar>
            <w:hideMark/>
          </w:tcPr>
          <w:p w:rsidR="00000000" w:rsidRDefault="001F1FC8">
            <w:pPr>
              <w:jc w:val="right"/>
              <w:rPr>
                <w:rFonts w:eastAsia="Times New Roman"/>
              </w:rPr>
            </w:pPr>
          </w:p>
        </w:tc>
        <w:tc>
          <w:tcPr>
            <w:tcW w:w="0" w:type="auto"/>
            <w:gridSpan w:val="2"/>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hideMark/>
          </w:tcPr>
          <w:p w:rsidR="00000000" w:rsidRDefault="001F1FC8">
            <w:pPr>
              <w:jc w:val="right"/>
              <w:rPr>
                <w:rFonts w:eastAsia="Times New Roman"/>
              </w:rPr>
            </w:pPr>
          </w:p>
        </w:tc>
        <w:tc>
          <w:tcPr>
            <w:tcW w:w="0" w:type="auto"/>
            <w:gridSpan w:val="2"/>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hideMark/>
          </w:tcPr>
          <w:p w:rsidR="00000000" w:rsidRDefault="001F1FC8">
            <w:pPr>
              <w:jc w:val="right"/>
              <w:rPr>
                <w:rFonts w:eastAsia="Times New Roman"/>
              </w:rPr>
            </w:pPr>
          </w:p>
        </w:tc>
        <w:tc>
          <w:tcPr>
            <w:tcW w:w="0" w:type="auto"/>
            <w:gridSpan w:val="2"/>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hideMark/>
          </w:tcPr>
          <w:p w:rsidR="00000000" w:rsidRDefault="001F1FC8">
            <w:pPr>
              <w:jc w:val="right"/>
              <w:rPr>
                <w:rFonts w:eastAsia="Times New Roman"/>
              </w:rPr>
            </w:pPr>
          </w:p>
        </w:tc>
        <w:tc>
          <w:tcPr>
            <w:tcW w:w="0" w:type="auto"/>
            <w:gridSpan w:val="2"/>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color w:val="000000"/>
                <w:sz w:val="16"/>
                <w:szCs w:val="16"/>
              </w:rPr>
              <w:t>56 </w:t>
            </w:r>
          </w:p>
        </w:tc>
        <w:tc>
          <w:tcPr>
            <w:tcW w:w="0" w:type="auto"/>
            <w:tcMar>
              <w:top w:w="30" w:type="dxa"/>
              <w:left w:w="0" w:type="dxa"/>
              <w:bottom w:w="30" w:type="dxa"/>
              <w:right w:w="20" w:type="dxa"/>
            </w:tcMar>
            <w:hideMark/>
          </w:tcPr>
          <w:p w:rsidR="00000000" w:rsidRDefault="001F1FC8">
            <w:pPr>
              <w:jc w:val="right"/>
              <w:rPr>
                <w:rFonts w:eastAsia="Times New Roman"/>
              </w:rPr>
            </w:pPr>
          </w:p>
        </w:tc>
        <w:tc>
          <w:tcPr>
            <w:tcW w:w="0" w:type="auto"/>
            <w:gridSpan w:val="2"/>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color w:val="000000"/>
                <w:sz w:val="16"/>
                <w:szCs w:val="16"/>
              </w:rPr>
              <w:t>(25)</w:t>
            </w:r>
          </w:p>
        </w:tc>
        <w:tc>
          <w:tcPr>
            <w:tcW w:w="0" w:type="auto"/>
            <w:tcMar>
              <w:top w:w="30" w:type="dxa"/>
              <w:left w:w="0" w:type="dxa"/>
              <w:bottom w:w="30" w:type="dxa"/>
              <w:right w:w="20" w:type="dxa"/>
            </w:tcMar>
            <w:hideMark/>
          </w:tcPr>
          <w:p w:rsidR="00000000" w:rsidRDefault="001F1FC8">
            <w:pPr>
              <w:jc w:val="right"/>
              <w:rPr>
                <w:rFonts w:eastAsia="Times New Roman"/>
              </w:rPr>
            </w:pPr>
          </w:p>
        </w:tc>
        <w:tc>
          <w:tcPr>
            <w:tcW w:w="0" w:type="auto"/>
            <w:gridSpan w:val="2"/>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color w:val="000000"/>
                <w:sz w:val="16"/>
                <w:szCs w:val="16"/>
              </w:rPr>
              <w:t>31 </w:t>
            </w:r>
          </w:p>
        </w:tc>
        <w:tc>
          <w:tcPr>
            <w:tcW w:w="0" w:type="auto"/>
            <w:tcMar>
              <w:top w:w="30" w:type="dxa"/>
              <w:left w:w="0" w:type="dxa"/>
              <w:bottom w:w="30" w:type="dxa"/>
              <w:right w:w="20" w:type="dxa"/>
            </w:tcMar>
            <w:hideMark/>
          </w:tcPr>
          <w:p w:rsidR="00000000" w:rsidRDefault="001F1FC8">
            <w:pPr>
              <w:jc w:val="right"/>
              <w:rPr>
                <w:rFonts w:eastAsia="Times New Roman"/>
              </w:rPr>
            </w:pPr>
          </w:p>
        </w:tc>
      </w:tr>
      <w:tr w:rsidR="00000000">
        <w:trPr>
          <w:divId w:val="1975720572"/>
        </w:trPr>
        <w:tc>
          <w:tcPr>
            <w:tcW w:w="0" w:type="auto"/>
            <w:gridSpan w:val="3"/>
            <w:tcMar>
              <w:top w:w="30" w:type="dxa"/>
              <w:left w:w="155" w:type="dxa"/>
              <w:bottom w:w="30" w:type="dxa"/>
              <w:right w:w="20" w:type="dxa"/>
            </w:tcMar>
            <w:hideMark/>
          </w:tcPr>
          <w:p w:rsidR="00000000" w:rsidRDefault="001F1FC8">
            <w:pPr>
              <w:rPr>
                <w:rFonts w:eastAsia="Times New Roman"/>
              </w:rPr>
            </w:pPr>
            <w:r>
              <w:rPr>
                <w:rFonts w:ascii="Arial" w:eastAsia="Times New Roman" w:hAnsi="Arial" w:cs="Arial"/>
                <w:color w:val="000000"/>
                <w:sz w:val="16"/>
                <w:szCs w:val="16"/>
              </w:rPr>
              <w:t>   Commodity contracts</w:t>
            </w:r>
          </w:p>
        </w:tc>
        <w:tc>
          <w:tcPr>
            <w:tcW w:w="0" w:type="auto"/>
            <w:gridSpan w:val="2"/>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hideMark/>
          </w:tcPr>
          <w:p w:rsidR="00000000" w:rsidRDefault="001F1FC8">
            <w:pPr>
              <w:jc w:val="right"/>
              <w:rPr>
                <w:rFonts w:eastAsia="Times New Roman"/>
              </w:rPr>
            </w:pPr>
          </w:p>
        </w:tc>
        <w:tc>
          <w:tcPr>
            <w:tcW w:w="0" w:type="auto"/>
            <w:gridSpan w:val="2"/>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hideMark/>
          </w:tcPr>
          <w:p w:rsidR="00000000" w:rsidRDefault="001F1FC8">
            <w:pPr>
              <w:jc w:val="right"/>
              <w:rPr>
                <w:rFonts w:eastAsia="Times New Roman"/>
              </w:rPr>
            </w:pPr>
          </w:p>
        </w:tc>
        <w:tc>
          <w:tcPr>
            <w:tcW w:w="0" w:type="auto"/>
            <w:gridSpan w:val="2"/>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hideMark/>
          </w:tcPr>
          <w:p w:rsidR="00000000" w:rsidRDefault="001F1FC8">
            <w:pPr>
              <w:jc w:val="right"/>
              <w:rPr>
                <w:rFonts w:eastAsia="Times New Roman"/>
              </w:rPr>
            </w:pPr>
          </w:p>
        </w:tc>
        <w:tc>
          <w:tcPr>
            <w:tcW w:w="0" w:type="auto"/>
            <w:gridSpan w:val="2"/>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color w:val="000000"/>
                <w:sz w:val="16"/>
                <w:szCs w:val="16"/>
              </w:rPr>
              <w:t>39 </w:t>
            </w:r>
          </w:p>
        </w:tc>
        <w:tc>
          <w:tcPr>
            <w:tcW w:w="0" w:type="auto"/>
            <w:tcMar>
              <w:top w:w="30" w:type="dxa"/>
              <w:left w:w="0" w:type="dxa"/>
              <w:bottom w:w="30" w:type="dxa"/>
              <w:right w:w="20" w:type="dxa"/>
            </w:tcMar>
            <w:hideMark/>
          </w:tcPr>
          <w:p w:rsidR="00000000" w:rsidRDefault="001F1FC8">
            <w:pPr>
              <w:jc w:val="right"/>
              <w:rPr>
                <w:rFonts w:eastAsia="Times New Roman"/>
              </w:rPr>
            </w:pPr>
          </w:p>
        </w:tc>
        <w:tc>
          <w:tcPr>
            <w:tcW w:w="0" w:type="auto"/>
            <w:gridSpan w:val="2"/>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color w:val="000000"/>
                <w:sz w:val="16"/>
                <w:szCs w:val="16"/>
              </w:rPr>
              <w:t>39 </w:t>
            </w:r>
          </w:p>
        </w:tc>
        <w:tc>
          <w:tcPr>
            <w:tcW w:w="0" w:type="auto"/>
            <w:tcMar>
              <w:top w:w="30" w:type="dxa"/>
              <w:left w:w="0" w:type="dxa"/>
              <w:bottom w:w="30" w:type="dxa"/>
              <w:right w:w="20" w:type="dxa"/>
            </w:tcMar>
            <w:hideMark/>
          </w:tcPr>
          <w:p w:rsidR="00000000" w:rsidRDefault="001F1FC8">
            <w:pPr>
              <w:jc w:val="right"/>
              <w:rPr>
                <w:rFonts w:eastAsia="Times New Roman"/>
              </w:rPr>
            </w:pPr>
          </w:p>
        </w:tc>
        <w:tc>
          <w:tcPr>
            <w:tcW w:w="0" w:type="auto"/>
            <w:gridSpan w:val="2"/>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color w:val="000000"/>
                <w:sz w:val="16"/>
                <w:szCs w:val="16"/>
              </w:rPr>
              <w:t>(9)</w:t>
            </w:r>
          </w:p>
        </w:tc>
        <w:tc>
          <w:tcPr>
            <w:tcW w:w="0" w:type="auto"/>
            <w:tcMar>
              <w:top w:w="30" w:type="dxa"/>
              <w:left w:w="0" w:type="dxa"/>
              <w:bottom w:w="30" w:type="dxa"/>
              <w:right w:w="20" w:type="dxa"/>
            </w:tcMar>
            <w:hideMark/>
          </w:tcPr>
          <w:p w:rsidR="00000000" w:rsidRDefault="001F1FC8">
            <w:pPr>
              <w:jc w:val="right"/>
              <w:rPr>
                <w:rFonts w:eastAsia="Times New Roman"/>
              </w:rPr>
            </w:pPr>
          </w:p>
        </w:tc>
        <w:tc>
          <w:tcPr>
            <w:tcW w:w="0" w:type="auto"/>
            <w:gridSpan w:val="2"/>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color w:val="000000"/>
                <w:sz w:val="16"/>
                <w:szCs w:val="16"/>
              </w:rPr>
              <w:t>30 </w:t>
            </w:r>
          </w:p>
        </w:tc>
        <w:tc>
          <w:tcPr>
            <w:tcW w:w="0" w:type="auto"/>
            <w:tcMar>
              <w:top w:w="30" w:type="dxa"/>
              <w:left w:w="0" w:type="dxa"/>
              <w:bottom w:w="30" w:type="dxa"/>
              <w:right w:w="20" w:type="dxa"/>
            </w:tcMar>
            <w:hideMark/>
          </w:tcPr>
          <w:p w:rsidR="00000000" w:rsidRDefault="001F1FC8">
            <w:pPr>
              <w:jc w:val="right"/>
              <w:rPr>
                <w:rFonts w:eastAsia="Times New Roman"/>
              </w:rPr>
            </w:pPr>
          </w:p>
        </w:tc>
      </w:tr>
      <w:tr w:rsidR="00000000">
        <w:trPr>
          <w:divId w:val="1975720572"/>
        </w:trPr>
        <w:tc>
          <w:tcPr>
            <w:tcW w:w="0" w:type="auto"/>
            <w:gridSpan w:val="3"/>
            <w:tcMar>
              <w:top w:w="30" w:type="dxa"/>
              <w:left w:w="155" w:type="dxa"/>
              <w:bottom w:w="30" w:type="dxa"/>
              <w:right w:w="20" w:type="dxa"/>
            </w:tcMar>
            <w:hideMark/>
          </w:tcPr>
          <w:p w:rsidR="00000000" w:rsidRDefault="001F1FC8">
            <w:pPr>
              <w:rPr>
                <w:rFonts w:eastAsia="Times New Roman"/>
              </w:rPr>
            </w:pPr>
            <w:r>
              <w:rPr>
                <w:rFonts w:ascii="Arial" w:eastAsia="Times New Roman" w:hAnsi="Arial" w:cs="Arial"/>
                <w:color w:val="000000"/>
                <w:sz w:val="16"/>
                <w:szCs w:val="16"/>
              </w:rPr>
              <w:t>   Other contracts</w:t>
            </w:r>
          </w:p>
        </w:tc>
        <w:tc>
          <w:tcPr>
            <w:tcW w:w="0" w:type="auto"/>
            <w:gridSpan w:val="2"/>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hideMark/>
          </w:tcPr>
          <w:p w:rsidR="00000000" w:rsidRDefault="001F1FC8">
            <w:pPr>
              <w:jc w:val="right"/>
              <w:rPr>
                <w:rFonts w:eastAsia="Times New Roman"/>
              </w:rPr>
            </w:pPr>
          </w:p>
        </w:tc>
        <w:tc>
          <w:tcPr>
            <w:tcW w:w="0" w:type="auto"/>
            <w:gridSpan w:val="2"/>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hideMark/>
          </w:tcPr>
          <w:p w:rsidR="00000000" w:rsidRDefault="001F1FC8">
            <w:pPr>
              <w:jc w:val="right"/>
              <w:rPr>
                <w:rFonts w:eastAsia="Times New Roman"/>
              </w:rPr>
            </w:pPr>
          </w:p>
        </w:tc>
        <w:tc>
          <w:tcPr>
            <w:tcW w:w="0" w:type="auto"/>
            <w:gridSpan w:val="2"/>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hideMark/>
          </w:tcPr>
          <w:p w:rsidR="00000000" w:rsidRDefault="001F1FC8">
            <w:pPr>
              <w:jc w:val="right"/>
              <w:rPr>
                <w:rFonts w:eastAsia="Times New Roman"/>
              </w:rPr>
            </w:pPr>
          </w:p>
        </w:tc>
        <w:tc>
          <w:tcPr>
            <w:tcW w:w="0" w:type="auto"/>
            <w:gridSpan w:val="2"/>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hideMark/>
          </w:tcPr>
          <w:p w:rsidR="00000000" w:rsidRDefault="001F1FC8">
            <w:pPr>
              <w:jc w:val="right"/>
              <w:rPr>
                <w:rFonts w:eastAsia="Times New Roman"/>
              </w:rPr>
            </w:pPr>
          </w:p>
        </w:tc>
        <w:tc>
          <w:tcPr>
            <w:tcW w:w="0" w:type="auto"/>
            <w:gridSpan w:val="2"/>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hideMark/>
          </w:tcPr>
          <w:p w:rsidR="00000000" w:rsidRDefault="001F1FC8">
            <w:pPr>
              <w:jc w:val="right"/>
              <w:rPr>
                <w:rFonts w:eastAsia="Times New Roman"/>
              </w:rPr>
            </w:pPr>
          </w:p>
        </w:tc>
        <w:tc>
          <w:tcPr>
            <w:tcW w:w="0" w:type="auto"/>
            <w:gridSpan w:val="2"/>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hideMark/>
          </w:tcPr>
          <w:p w:rsidR="00000000" w:rsidRDefault="001F1FC8">
            <w:pPr>
              <w:jc w:val="right"/>
              <w:rPr>
                <w:rFonts w:eastAsia="Times New Roman"/>
              </w:rPr>
            </w:pPr>
          </w:p>
        </w:tc>
        <w:tc>
          <w:tcPr>
            <w:tcW w:w="0" w:type="auto"/>
            <w:gridSpan w:val="2"/>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hideMark/>
          </w:tcPr>
          <w:p w:rsidR="00000000" w:rsidRDefault="001F1FC8">
            <w:pPr>
              <w:jc w:val="right"/>
              <w:rPr>
                <w:rFonts w:eastAsia="Times New Roman"/>
              </w:rPr>
            </w:pPr>
          </w:p>
        </w:tc>
      </w:tr>
      <w:tr w:rsidR="00000000">
        <w:trPr>
          <w:divId w:val="1975720572"/>
        </w:trPr>
        <w:tc>
          <w:tcPr>
            <w:tcW w:w="0" w:type="auto"/>
            <w:gridSpan w:val="3"/>
            <w:tcBorders>
              <w:top w:val="single" w:sz="4" w:space="0" w:color="000000"/>
            </w:tcBorders>
            <w:tcMar>
              <w:top w:w="30" w:type="dxa"/>
              <w:left w:w="20" w:type="dxa"/>
              <w:bottom w:w="30" w:type="dxa"/>
              <w:right w:w="20" w:type="dxa"/>
            </w:tcMar>
            <w:hideMark/>
          </w:tcPr>
          <w:p w:rsidR="00000000" w:rsidRDefault="001F1FC8">
            <w:pPr>
              <w:rPr>
                <w:rFonts w:eastAsia="Times New Roman"/>
              </w:rPr>
            </w:pPr>
            <w:r>
              <w:rPr>
                <w:rFonts w:ascii="Arial" w:eastAsia="Times New Roman" w:hAnsi="Arial" w:cs="Arial"/>
                <w:color w:val="000000"/>
                <w:sz w:val="2"/>
                <w:szCs w:val="2"/>
              </w:rPr>
              <w:t> </w:t>
            </w:r>
          </w:p>
        </w:tc>
        <w:tc>
          <w:tcPr>
            <w:tcW w:w="0" w:type="auto"/>
            <w:gridSpan w:val="2"/>
            <w:tcBorders>
              <w:top w:val="single" w:sz="4" w:space="0" w:color="000000"/>
            </w:tcBorders>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color w:val="000000"/>
                <w:sz w:val="16"/>
                <w:szCs w:val="16"/>
              </w:rPr>
              <w:t>70 </w:t>
            </w:r>
          </w:p>
        </w:tc>
        <w:tc>
          <w:tcPr>
            <w:tcW w:w="0" w:type="auto"/>
            <w:tcBorders>
              <w:top w:val="single" w:sz="4" w:space="0" w:color="000000"/>
            </w:tcBorders>
            <w:tcMar>
              <w:top w:w="30" w:type="dxa"/>
              <w:left w:w="0" w:type="dxa"/>
              <w:bottom w:w="30" w:type="dxa"/>
              <w:right w:w="20" w:type="dxa"/>
            </w:tcMar>
            <w:hideMark/>
          </w:tcPr>
          <w:p w:rsidR="00000000" w:rsidRDefault="001F1FC8">
            <w:pPr>
              <w:jc w:val="right"/>
              <w:rPr>
                <w:rFonts w:eastAsia="Times New Roman"/>
              </w:rPr>
            </w:pPr>
          </w:p>
        </w:tc>
        <w:tc>
          <w:tcPr>
            <w:tcW w:w="0" w:type="auto"/>
            <w:gridSpan w:val="2"/>
            <w:tcBorders>
              <w:top w:val="single" w:sz="4" w:space="0" w:color="000000"/>
            </w:tcBorders>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color w:val="000000"/>
                <w:sz w:val="16"/>
                <w:szCs w:val="16"/>
              </w:rPr>
              <w:t>— </w:t>
            </w:r>
          </w:p>
        </w:tc>
        <w:tc>
          <w:tcPr>
            <w:tcW w:w="0" w:type="auto"/>
            <w:tcBorders>
              <w:top w:val="single" w:sz="4" w:space="0" w:color="000000"/>
            </w:tcBorders>
            <w:tcMar>
              <w:top w:w="30" w:type="dxa"/>
              <w:left w:w="0" w:type="dxa"/>
              <w:bottom w:w="30" w:type="dxa"/>
              <w:right w:w="20" w:type="dxa"/>
            </w:tcMar>
            <w:hideMark/>
          </w:tcPr>
          <w:p w:rsidR="00000000" w:rsidRDefault="001F1FC8">
            <w:pPr>
              <w:jc w:val="right"/>
              <w:rPr>
                <w:rFonts w:eastAsia="Times New Roman"/>
              </w:rPr>
            </w:pPr>
          </w:p>
        </w:tc>
        <w:tc>
          <w:tcPr>
            <w:tcW w:w="0" w:type="auto"/>
            <w:gridSpan w:val="2"/>
            <w:tcBorders>
              <w:top w:val="single" w:sz="4" w:space="0" w:color="000000"/>
            </w:tcBorders>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color w:val="000000"/>
                <w:sz w:val="16"/>
                <w:szCs w:val="16"/>
              </w:rPr>
              <w:t>— </w:t>
            </w:r>
          </w:p>
        </w:tc>
        <w:tc>
          <w:tcPr>
            <w:tcW w:w="0" w:type="auto"/>
            <w:tcBorders>
              <w:top w:val="single" w:sz="4" w:space="0" w:color="000000"/>
            </w:tcBorders>
            <w:tcMar>
              <w:top w:w="30" w:type="dxa"/>
              <w:left w:w="0" w:type="dxa"/>
              <w:bottom w:w="30" w:type="dxa"/>
              <w:right w:w="20" w:type="dxa"/>
            </w:tcMar>
            <w:hideMark/>
          </w:tcPr>
          <w:p w:rsidR="00000000" w:rsidRDefault="001F1FC8">
            <w:pPr>
              <w:jc w:val="right"/>
              <w:rPr>
                <w:rFonts w:eastAsia="Times New Roman"/>
              </w:rPr>
            </w:pPr>
          </w:p>
        </w:tc>
        <w:tc>
          <w:tcPr>
            <w:tcW w:w="0" w:type="auto"/>
            <w:gridSpan w:val="2"/>
            <w:tcBorders>
              <w:top w:val="single" w:sz="4" w:space="0" w:color="000000"/>
            </w:tcBorders>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color w:val="000000"/>
                <w:sz w:val="16"/>
                <w:szCs w:val="16"/>
              </w:rPr>
              <w:t>491 </w:t>
            </w:r>
          </w:p>
        </w:tc>
        <w:tc>
          <w:tcPr>
            <w:tcW w:w="0" w:type="auto"/>
            <w:tcBorders>
              <w:top w:val="single" w:sz="4" w:space="0" w:color="000000"/>
            </w:tcBorders>
            <w:tcMar>
              <w:top w:w="30" w:type="dxa"/>
              <w:left w:w="0" w:type="dxa"/>
              <w:bottom w:w="30" w:type="dxa"/>
              <w:right w:w="20" w:type="dxa"/>
            </w:tcMar>
            <w:hideMark/>
          </w:tcPr>
          <w:p w:rsidR="00000000" w:rsidRDefault="001F1FC8">
            <w:pPr>
              <w:jc w:val="right"/>
              <w:rPr>
                <w:rFonts w:eastAsia="Times New Roman"/>
              </w:rPr>
            </w:pPr>
          </w:p>
        </w:tc>
        <w:tc>
          <w:tcPr>
            <w:tcW w:w="0" w:type="auto"/>
            <w:gridSpan w:val="2"/>
            <w:tcBorders>
              <w:top w:val="single" w:sz="4" w:space="0" w:color="000000"/>
            </w:tcBorders>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color w:val="000000"/>
                <w:sz w:val="16"/>
                <w:szCs w:val="16"/>
              </w:rPr>
              <w:t>561 </w:t>
            </w:r>
          </w:p>
        </w:tc>
        <w:tc>
          <w:tcPr>
            <w:tcW w:w="0" w:type="auto"/>
            <w:tcBorders>
              <w:top w:val="single" w:sz="4" w:space="0" w:color="000000"/>
            </w:tcBorders>
            <w:tcMar>
              <w:top w:w="30" w:type="dxa"/>
              <w:left w:w="0" w:type="dxa"/>
              <w:bottom w:w="30" w:type="dxa"/>
              <w:right w:w="20" w:type="dxa"/>
            </w:tcMar>
            <w:hideMark/>
          </w:tcPr>
          <w:p w:rsidR="00000000" w:rsidRDefault="001F1FC8">
            <w:pPr>
              <w:jc w:val="right"/>
              <w:rPr>
                <w:rFonts w:eastAsia="Times New Roman"/>
              </w:rPr>
            </w:pPr>
          </w:p>
        </w:tc>
        <w:tc>
          <w:tcPr>
            <w:tcW w:w="0" w:type="auto"/>
            <w:gridSpan w:val="2"/>
            <w:tcBorders>
              <w:top w:val="single" w:sz="4" w:space="0" w:color="000000"/>
            </w:tcBorders>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color w:val="000000"/>
                <w:sz w:val="16"/>
                <w:szCs w:val="16"/>
              </w:rPr>
              <w:t>(252)</w:t>
            </w:r>
          </w:p>
        </w:tc>
        <w:tc>
          <w:tcPr>
            <w:tcW w:w="0" w:type="auto"/>
            <w:tcBorders>
              <w:top w:val="single" w:sz="4" w:space="0" w:color="000000"/>
            </w:tcBorders>
            <w:tcMar>
              <w:top w:w="30" w:type="dxa"/>
              <w:left w:w="0" w:type="dxa"/>
              <w:bottom w:w="30" w:type="dxa"/>
              <w:right w:w="20" w:type="dxa"/>
            </w:tcMar>
            <w:hideMark/>
          </w:tcPr>
          <w:p w:rsidR="00000000" w:rsidRDefault="001F1FC8">
            <w:pPr>
              <w:jc w:val="right"/>
              <w:rPr>
                <w:rFonts w:eastAsia="Times New Roman"/>
              </w:rPr>
            </w:pPr>
          </w:p>
        </w:tc>
        <w:tc>
          <w:tcPr>
            <w:tcW w:w="0" w:type="auto"/>
            <w:gridSpan w:val="2"/>
            <w:tcBorders>
              <w:top w:val="single" w:sz="4" w:space="0" w:color="000000"/>
            </w:tcBorders>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color w:val="000000"/>
                <w:sz w:val="16"/>
                <w:szCs w:val="16"/>
              </w:rPr>
              <w:t>309 </w:t>
            </w:r>
          </w:p>
        </w:tc>
        <w:tc>
          <w:tcPr>
            <w:tcW w:w="0" w:type="auto"/>
            <w:tcBorders>
              <w:top w:val="single" w:sz="4" w:space="0" w:color="000000"/>
            </w:tcBorders>
            <w:tcMar>
              <w:top w:w="30" w:type="dxa"/>
              <w:left w:w="0" w:type="dxa"/>
              <w:bottom w:w="30" w:type="dxa"/>
              <w:right w:w="20" w:type="dxa"/>
            </w:tcMar>
            <w:hideMark/>
          </w:tcPr>
          <w:p w:rsidR="00000000" w:rsidRDefault="001F1FC8">
            <w:pPr>
              <w:jc w:val="right"/>
              <w:rPr>
                <w:rFonts w:eastAsia="Times New Roman"/>
              </w:rPr>
            </w:pPr>
          </w:p>
        </w:tc>
      </w:tr>
      <w:tr w:rsidR="00000000">
        <w:trPr>
          <w:divId w:val="1975720572"/>
        </w:trPr>
        <w:tc>
          <w:tcPr>
            <w:tcW w:w="0" w:type="auto"/>
            <w:gridSpan w:val="3"/>
            <w:tcBorders>
              <w:top w:val="single" w:sz="4" w:space="0" w:color="000000"/>
            </w:tcBorders>
            <w:tcMar>
              <w:top w:w="30" w:type="dxa"/>
              <w:left w:w="20" w:type="dxa"/>
              <w:bottom w:w="30" w:type="dxa"/>
              <w:right w:w="20" w:type="dxa"/>
            </w:tcMar>
            <w:hideMark/>
          </w:tcPr>
          <w:p w:rsidR="00000000" w:rsidRDefault="001F1FC8">
            <w:pPr>
              <w:rPr>
                <w:rFonts w:eastAsia="Times New Roman"/>
              </w:rPr>
            </w:pPr>
            <w:r>
              <w:rPr>
                <w:rFonts w:ascii="Arial" w:eastAsia="Times New Roman" w:hAnsi="Arial" w:cs="Arial"/>
                <w:color w:val="000000"/>
                <w:sz w:val="16"/>
                <w:szCs w:val="16"/>
              </w:rPr>
              <w:t xml:space="preserve">Accounts payable and other </w:t>
            </w:r>
          </w:p>
        </w:tc>
        <w:tc>
          <w:tcPr>
            <w:tcW w:w="0" w:type="auto"/>
            <w:gridSpan w:val="3"/>
            <w:tcBorders>
              <w:top w:val="single" w:sz="4" w:space="0" w:color="000000"/>
            </w:tcBorders>
            <w:tcMar>
              <w:top w:w="30" w:type="dxa"/>
              <w:left w:w="20" w:type="dxa"/>
              <w:bottom w:w="30" w:type="dxa"/>
              <w:right w:w="20" w:type="dxa"/>
            </w:tcMar>
            <w:hideMark/>
          </w:tcPr>
          <w:p w:rsidR="00000000" w:rsidRDefault="001F1FC8">
            <w:pPr>
              <w:jc w:val="right"/>
              <w:rPr>
                <w:rFonts w:eastAsia="Times New Roman"/>
              </w:rPr>
            </w:pPr>
            <w:r>
              <w:rPr>
                <w:rFonts w:ascii="Arial" w:eastAsia="Times New Roman" w:hAnsi="Arial" w:cs="Arial"/>
                <w:color w:val="000000"/>
                <w:sz w:val="2"/>
                <w:szCs w:val="2"/>
              </w:rPr>
              <w:t> </w:t>
            </w:r>
          </w:p>
        </w:tc>
        <w:tc>
          <w:tcPr>
            <w:tcW w:w="0" w:type="auto"/>
            <w:gridSpan w:val="3"/>
            <w:tcBorders>
              <w:top w:val="single" w:sz="4" w:space="0" w:color="000000"/>
            </w:tcBorders>
            <w:tcMar>
              <w:top w:w="30" w:type="dxa"/>
              <w:left w:w="20" w:type="dxa"/>
              <w:bottom w:w="30" w:type="dxa"/>
              <w:right w:w="20" w:type="dxa"/>
            </w:tcMar>
            <w:hideMark/>
          </w:tcPr>
          <w:p w:rsidR="00000000" w:rsidRDefault="001F1FC8">
            <w:pPr>
              <w:jc w:val="right"/>
              <w:rPr>
                <w:rFonts w:eastAsia="Times New Roman"/>
              </w:rPr>
            </w:pPr>
            <w:r>
              <w:rPr>
                <w:rFonts w:ascii="Arial" w:eastAsia="Times New Roman" w:hAnsi="Arial" w:cs="Arial"/>
                <w:color w:val="000000"/>
                <w:sz w:val="2"/>
                <w:szCs w:val="2"/>
              </w:rPr>
              <w:t> </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1F1FC8">
            <w:pPr>
              <w:jc w:val="right"/>
              <w:rPr>
                <w:rFonts w:eastAsia="Times New Roman"/>
              </w:rPr>
            </w:pPr>
          </w:p>
        </w:tc>
        <w:tc>
          <w:tcPr>
            <w:tcW w:w="0" w:type="auto"/>
            <w:gridSpan w:val="3"/>
            <w:tcBorders>
              <w:top w:val="single" w:sz="4" w:space="0" w:color="000000"/>
            </w:tcBorders>
            <w:tcMar>
              <w:top w:w="30" w:type="dxa"/>
              <w:left w:w="20" w:type="dxa"/>
              <w:bottom w:w="30" w:type="dxa"/>
              <w:right w:w="20" w:type="dxa"/>
            </w:tcMar>
            <w:hideMark/>
          </w:tcPr>
          <w:p w:rsidR="00000000" w:rsidRDefault="001F1FC8">
            <w:pPr>
              <w:jc w:val="right"/>
              <w:rPr>
                <w:rFonts w:eastAsia="Times New Roman"/>
              </w:rPr>
            </w:pPr>
            <w:r>
              <w:rPr>
                <w:rFonts w:ascii="Arial" w:eastAsia="Times New Roman" w:hAnsi="Arial" w:cs="Arial"/>
                <w:color w:val="000000"/>
                <w:sz w:val="2"/>
                <w:szCs w:val="2"/>
              </w:rPr>
              <w:t> </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1F1FC8">
            <w:pPr>
              <w:jc w:val="right"/>
              <w:rPr>
                <w:rFonts w:eastAsia="Times New Roman"/>
              </w:rPr>
            </w:pPr>
          </w:p>
        </w:tc>
        <w:tc>
          <w:tcPr>
            <w:tcW w:w="0" w:type="auto"/>
            <w:gridSpan w:val="3"/>
            <w:tcBorders>
              <w:top w:val="single" w:sz="4" w:space="0" w:color="000000"/>
            </w:tcBorders>
            <w:tcMar>
              <w:top w:w="30" w:type="dxa"/>
              <w:left w:w="20" w:type="dxa"/>
              <w:bottom w:w="30" w:type="dxa"/>
              <w:right w:w="20" w:type="dxa"/>
            </w:tcMar>
            <w:hideMark/>
          </w:tcPr>
          <w:p w:rsidR="00000000" w:rsidRDefault="001F1FC8">
            <w:pPr>
              <w:jc w:val="right"/>
              <w:rPr>
                <w:rFonts w:eastAsia="Times New Roman"/>
              </w:rPr>
            </w:pPr>
            <w:r>
              <w:rPr>
                <w:rFonts w:ascii="Arial" w:eastAsia="Times New Roman" w:hAnsi="Arial" w:cs="Arial"/>
                <w:color w:val="000000"/>
                <w:sz w:val="2"/>
                <w:szCs w:val="2"/>
              </w:rPr>
              <w:t> </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1F1FC8">
            <w:pPr>
              <w:jc w:val="right"/>
              <w:rPr>
                <w:rFonts w:eastAsia="Times New Roman"/>
              </w:rPr>
            </w:pPr>
          </w:p>
        </w:tc>
      </w:tr>
      <w:tr w:rsidR="00000000">
        <w:trPr>
          <w:divId w:val="1975720572"/>
        </w:trPr>
        <w:tc>
          <w:tcPr>
            <w:tcW w:w="0" w:type="auto"/>
            <w:gridSpan w:val="3"/>
            <w:tcMar>
              <w:top w:w="30" w:type="dxa"/>
              <w:left w:w="155" w:type="dxa"/>
              <w:bottom w:w="30" w:type="dxa"/>
              <w:right w:w="20" w:type="dxa"/>
            </w:tcMar>
            <w:hideMark/>
          </w:tcPr>
          <w:p w:rsidR="00000000" w:rsidRDefault="001F1FC8">
            <w:pPr>
              <w:rPr>
                <w:rFonts w:eastAsia="Times New Roman"/>
              </w:rPr>
            </w:pPr>
            <w:r>
              <w:rPr>
                <w:rFonts w:ascii="Arial" w:eastAsia="Times New Roman" w:hAnsi="Arial" w:cs="Arial"/>
                <w:color w:val="000000"/>
                <w:sz w:val="16"/>
                <w:szCs w:val="16"/>
              </w:rPr>
              <w:t>   Foreign exchange contracts</w:t>
            </w:r>
          </w:p>
        </w:tc>
        <w:tc>
          <w:tcPr>
            <w:tcW w:w="0" w:type="auto"/>
            <w:gridSpan w:val="2"/>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color w:val="000000"/>
                <w:sz w:val="16"/>
                <w:szCs w:val="16"/>
              </w:rPr>
              <w:t>(5)</w:t>
            </w:r>
          </w:p>
        </w:tc>
        <w:tc>
          <w:tcPr>
            <w:tcW w:w="0" w:type="auto"/>
            <w:tcMar>
              <w:top w:w="30" w:type="dxa"/>
              <w:left w:w="0" w:type="dxa"/>
              <w:bottom w:w="30" w:type="dxa"/>
              <w:right w:w="20" w:type="dxa"/>
            </w:tcMar>
            <w:hideMark/>
          </w:tcPr>
          <w:p w:rsidR="00000000" w:rsidRDefault="001F1FC8">
            <w:pPr>
              <w:jc w:val="right"/>
              <w:rPr>
                <w:rFonts w:eastAsia="Times New Roman"/>
              </w:rPr>
            </w:pPr>
          </w:p>
        </w:tc>
        <w:tc>
          <w:tcPr>
            <w:tcW w:w="0" w:type="auto"/>
            <w:gridSpan w:val="2"/>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hideMark/>
          </w:tcPr>
          <w:p w:rsidR="00000000" w:rsidRDefault="001F1FC8">
            <w:pPr>
              <w:jc w:val="right"/>
              <w:rPr>
                <w:rFonts w:eastAsia="Times New Roman"/>
              </w:rPr>
            </w:pPr>
          </w:p>
        </w:tc>
        <w:tc>
          <w:tcPr>
            <w:tcW w:w="0" w:type="auto"/>
            <w:gridSpan w:val="2"/>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color w:val="000000"/>
                <w:sz w:val="16"/>
                <w:szCs w:val="16"/>
              </w:rPr>
              <w:t>(29)</w:t>
            </w:r>
          </w:p>
        </w:tc>
        <w:tc>
          <w:tcPr>
            <w:tcW w:w="0" w:type="auto"/>
            <w:tcMar>
              <w:top w:w="30" w:type="dxa"/>
              <w:left w:w="0" w:type="dxa"/>
              <w:bottom w:w="30" w:type="dxa"/>
              <w:right w:w="20" w:type="dxa"/>
            </w:tcMar>
            <w:hideMark/>
          </w:tcPr>
          <w:p w:rsidR="00000000" w:rsidRDefault="001F1FC8">
            <w:pPr>
              <w:jc w:val="right"/>
              <w:rPr>
                <w:rFonts w:eastAsia="Times New Roman"/>
              </w:rPr>
            </w:pPr>
          </w:p>
        </w:tc>
        <w:tc>
          <w:tcPr>
            <w:tcW w:w="0" w:type="auto"/>
            <w:gridSpan w:val="2"/>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color w:val="000000"/>
                <w:sz w:val="16"/>
                <w:szCs w:val="16"/>
              </w:rPr>
              <w:t>(151)</w:t>
            </w:r>
          </w:p>
        </w:tc>
        <w:tc>
          <w:tcPr>
            <w:tcW w:w="0" w:type="auto"/>
            <w:tcMar>
              <w:top w:w="30" w:type="dxa"/>
              <w:left w:w="0" w:type="dxa"/>
              <w:bottom w:w="30" w:type="dxa"/>
              <w:right w:w="20" w:type="dxa"/>
            </w:tcMar>
            <w:hideMark/>
          </w:tcPr>
          <w:p w:rsidR="00000000" w:rsidRDefault="001F1FC8">
            <w:pPr>
              <w:jc w:val="right"/>
              <w:rPr>
                <w:rFonts w:eastAsia="Times New Roman"/>
              </w:rPr>
            </w:pPr>
          </w:p>
        </w:tc>
        <w:tc>
          <w:tcPr>
            <w:tcW w:w="0" w:type="auto"/>
            <w:gridSpan w:val="2"/>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color w:val="000000"/>
                <w:sz w:val="16"/>
                <w:szCs w:val="16"/>
              </w:rPr>
              <w:t>(185)</w:t>
            </w:r>
          </w:p>
        </w:tc>
        <w:tc>
          <w:tcPr>
            <w:tcW w:w="0" w:type="auto"/>
            <w:tcMar>
              <w:top w:w="30" w:type="dxa"/>
              <w:left w:w="0" w:type="dxa"/>
              <w:bottom w:w="30" w:type="dxa"/>
              <w:right w:w="20" w:type="dxa"/>
            </w:tcMar>
            <w:hideMark/>
          </w:tcPr>
          <w:p w:rsidR="00000000" w:rsidRDefault="001F1FC8">
            <w:pPr>
              <w:jc w:val="right"/>
              <w:rPr>
                <w:rFonts w:eastAsia="Times New Roman"/>
              </w:rPr>
            </w:pPr>
          </w:p>
        </w:tc>
        <w:tc>
          <w:tcPr>
            <w:tcW w:w="0" w:type="auto"/>
            <w:gridSpan w:val="2"/>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color w:val="000000"/>
                <w:sz w:val="16"/>
                <w:szCs w:val="16"/>
              </w:rPr>
              <w:t>28 </w:t>
            </w:r>
          </w:p>
        </w:tc>
        <w:tc>
          <w:tcPr>
            <w:tcW w:w="0" w:type="auto"/>
            <w:tcMar>
              <w:top w:w="30" w:type="dxa"/>
              <w:left w:w="0" w:type="dxa"/>
              <w:bottom w:w="30" w:type="dxa"/>
              <w:right w:w="20" w:type="dxa"/>
            </w:tcMar>
            <w:hideMark/>
          </w:tcPr>
          <w:p w:rsidR="00000000" w:rsidRDefault="001F1FC8">
            <w:pPr>
              <w:jc w:val="right"/>
              <w:rPr>
                <w:rFonts w:eastAsia="Times New Roman"/>
              </w:rPr>
            </w:pPr>
          </w:p>
        </w:tc>
        <w:tc>
          <w:tcPr>
            <w:tcW w:w="0" w:type="auto"/>
            <w:gridSpan w:val="2"/>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color w:val="000000"/>
                <w:sz w:val="16"/>
                <w:szCs w:val="16"/>
              </w:rPr>
              <w:t>(157)</w:t>
            </w:r>
          </w:p>
        </w:tc>
        <w:tc>
          <w:tcPr>
            <w:tcW w:w="0" w:type="auto"/>
            <w:tcMar>
              <w:top w:w="30" w:type="dxa"/>
              <w:left w:w="0" w:type="dxa"/>
              <w:bottom w:w="30" w:type="dxa"/>
              <w:right w:w="20" w:type="dxa"/>
            </w:tcMar>
            <w:hideMark/>
          </w:tcPr>
          <w:p w:rsidR="00000000" w:rsidRDefault="001F1FC8">
            <w:pPr>
              <w:jc w:val="right"/>
              <w:rPr>
                <w:rFonts w:eastAsia="Times New Roman"/>
              </w:rPr>
            </w:pPr>
          </w:p>
        </w:tc>
      </w:tr>
      <w:tr w:rsidR="00000000">
        <w:trPr>
          <w:divId w:val="1975720572"/>
        </w:trPr>
        <w:tc>
          <w:tcPr>
            <w:tcW w:w="0" w:type="auto"/>
            <w:gridSpan w:val="3"/>
            <w:tcMar>
              <w:top w:w="30" w:type="dxa"/>
              <w:left w:w="155" w:type="dxa"/>
              <w:bottom w:w="30" w:type="dxa"/>
              <w:right w:w="20" w:type="dxa"/>
            </w:tcMar>
            <w:hideMark/>
          </w:tcPr>
          <w:p w:rsidR="00000000" w:rsidRDefault="001F1FC8">
            <w:pPr>
              <w:rPr>
                <w:rFonts w:eastAsia="Times New Roman"/>
              </w:rPr>
            </w:pPr>
            <w:r>
              <w:rPr>
                <w:rFonts w:ascii="Arial" w:eastAsia="Times New Roman" w:hAnsi="Arial" w:cs="Arial"/>
                <w:color w:val="000000"/>
                <w:sz w:val="16"/>
                <w:szCs w:val="16"/>
              </w:rPr>
              <w:t>   Interest rate contracts</w:t>
            </w:r>
          </w:p>
        </w:tc>
        <w:tc>
          <w:tcPr>
            <w:tcW w:w="0" w:type="auto"/>
            <w:gridSpan w:val="2"/>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color w:val="000000"/>
                <w:sz w:val="16"/>
                <w:szCs w:val="16"/>
              </w:rPr>
              <w:t>(423)</w:t>
            </w:r>
          </w:p>
        </w:tc>
        <w:tc>
          <w:tcPr>
            <w:tcW w:w="0" w:type="auto"/>
            <w:tcMar>
              <w:top w:w="30" w:type="dxa"/>
              <w:left w:w="0" w:type="dxa"/>
              <w:bottom w:w="30" w:type="dxa"/>
              <w:right w:w="20" w:type="dxa"/>
            </w:tcMar>
            <w:hideMark/>
          </w:tcPr>
          <w:p w:rsidR="00000000" w:rsidRDefault="001F1FC8">
            <w:pPr>
              <w:jc w:val="right"/>
              <w:rPr>
                <w:rFonts w:eastAsia="Times New Roman"/>
              </w:rPr>
            </w:pPr>
          </w:p>
        </w:tc>
        <w:tc>
          <w:tcPr>
            <w:tcW w:w="0" w:type="auto"/>
            <w:gridSpan w:val="2"/>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hideMark/>
          </w:tcPr>
          <w:p w:rsidR="00000000" w:rsidRDefault="001F1FC8">
            <w:pPr>
              <w:jc w:val="right"/>
              <w:rPr>
                <w:rFonts w:eastAsia="Times New Roman"/>
              </w:rPr>
            </w:pPr>
          </w:p>
        </w:tc>
        <w:tc>
          <w:tcPr>
            <w:tcW w:w="0" w:type="auto"/>
            <w:gridSpan w:val="2"/>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hideMark/>
          </w:tcPr>
          <w:p w:rsidR="00000000" w:rsidRDefault="001F1FC8">
            <w:pPr>
              <w:jc w:val="right"/>
              <w:rPr>
                <w:rFonts w:eastAsia="Times New Roman"/>
              </w:rPr>
            </w:pPr>
          </w:p>
        </w:tc>
        <w:tc>
          <w:tcPr>
            <w:tcW w:w="0" w:type="auto"/>
            <w:gridSpan w:val="2"/>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color w:val="000000"/>
                <w:sz w:val="16"/>
                <w:szCs w:val="16"/>
              </w:rPr>
              <w:t>(2)</w:t>
            </w:r>
          </w:p>
        </w:tc>
        <w:tc>
          <w:tcPr>
            <w:tcW w:w="0" w:type="auto"/>
            <w:tcMar>
              <w:top w:w="30" w:type="dxa"/>
              <w:left w:w="0" w:type="dxa"/>
              <w:bottom w:w="30" w:type="dxa"/>
              <w:right w:w="20" w:type="dxa"/>
            </w:tcMar>
            <w:hideMark/>
          </w:tcPr>
          <w:p w:rsidR="00000000" w:rsidRDefault="001F1FC8">
            <w:pPr>
              <w:jc w:val="right"/>
              <w:rPr>
                <w:rFonts w:eastAsia="Times New Roman"/>
              </w:rPr>
            </w:pPr>
          </w:p>
        </w:tc>
        <w:tc>
          <w:tcPr>
            <w:tcW w:w="0" w:type="auto"/>
            <w:gridSpan w:val="2"/>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color w:val="000000"/>
                <w:sz w:val="16"/>
                <w:szCs w:val="16"/>
              </w:rPr>
              <w:t>(425)</w:t>
            </w:r>
          </w:p>
        </w:tc>
        <w:tc>
          <w:tcPr>
            <w:tcW w:w="0" w:type="auto"/>
            <w:tcMar>
              <w:top w:w="30" w:type="dxa"/>
              <w:left w:w="0" w:type="dxa"/>
              <w:bottom w:w="30" w:type="dxa"/>
              <w:right w:w="20" w:type="dxa"/>
            </w:tcMar>
            <w:hideMark/>
          </w:tcPr>
          <w:p w:rsidR="00000000" w:rsidRDefault="001F1FC8">
            <w:pPr>
              <w:jc w:val="right"/>
              <w:rPr>
                <w:rFonts w:eastAsia="Times New Roman"/>
              </w:rPr>
            </w:pPr>
          </w:p>
        </w:tc>
        <w:tc>
          <w:tcPr>
            <w:tcW w:w="0" w:type="auto"/>
            <w:gridSpan w:val="2"/>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hideMark/>
          </w:tcPr>
          <w:p w:rsidR="00000000" w:rsidRDefault="001F1FC8">
            <w:pPr>
              <w:jc w:val="right"/>
              <w:rPr>
                <w:rFonts w:eastAsia="Times New Roman"/>
              </w:rPr>
            </w:pPr>
          </w:p>
        </w:tc>
        <w:tc>
          <w:tcPr>
            <w:tcW w:w="0" w:type="auto"/>
            <w:gridSpan w:val="2"/>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color w:val="000000"/>
                <w:sz w:val="16"/>
                <w:szCs w:val="16"/>
              </w:rPr>
              <w:t>(425)</w:t>
            </w:r>
          </w:p>
        </w:tc>
        <w:tc>
          <w:tcPr>
            <w:tcW w:w="0" w:type="auto"/>
            <w:tcMar>
              <w:top w:w="30" w:type="dxa"/>
              <w:left w:w="0" w:type="dxa"/>
              <w:bottom w:w="30" w:type="dxa"/>
              <w:right w:w="20" w:type="dxa"/>
            </w:tcMar>
            <w:hideMark/>
          </w:tcPr>
          <w:p w:rsidR="00000000" w:rsidRDefault="001F1FC8">
            <w:pPr>
              <w:jc w:val="right"/>
              <w:rPr>
                <w:rFonts w:eastAsia="Times New Roman"/>
              </w:rPr>
            </w:pPr>
          </w:p>
        </w:tc>
      </w:tr>
      <w:tr w:rsidR="00000000">
        <w:trPr>
          <w:divId w:val="1975720572"/>
        </w:trPr>
        <w:tc>
          <w:tcPr>
            <w:tcW w:w="0" w:type="auto"/>
            <w:gridSpan w:val="3"/>
            <w:tcMar>
              <w:top w:w="30" w:type="dxa"/>
              <w:left w:w="155" w:type="dxa"/>
              <w:bottom w:w="30" w:type="dxa"/>
              <w:right w:w="20" w:type="dxa"/>
            </w:tcMar>
            <w:hideMark/>
          </w:tcPr>
          <w:p w:rsidR="00000000" w:rsidRDefault="001F1FC8">
            <w:pPr>
              <w:rPr>
                <w:rFonts w:eastAsia="Times New Roman"/>
              </w:rPr>
            </w:pPr>
            <w:r>
              <w:rPr>
                <w:rFonts w:ascii="Arial" w:eastAsia="Times New Roman" w:hAnsi="Arial" w:cs="Arial"/>
                <w:color w:val="000000"/>
                <w:sz w:val="16"/>
                <w:szCs w:val="16"/>
              </w:rPr>
              <w:t>   Commodity contracts</w:t>
            </w:r>
          </w:p>
        </w:tc>
        <w:tc>
          <w:tcPr>
            <w:tcW w:w="0" w:type="auto"/>
            <w:gridSpan w:val="2"/>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color w:val="000000"/>
                <w:sz w:val="16"/>
                <w:szCs w:val="16"/>
              </w:rPr>
              <w:t>(2)</w:t>
            </w:r>
          </w:p>
        </w:tc>
        <w:tc>
          <w:tcPr>
            <w:tcW w:w="0" w:type="auto"/>
            <w:tcMar>
              <w:top w:w="30" w:type="dxa"/>
              <w:left w:w="0" w:type="dxa"/>
              <w:bottom w:w="30" w:type="dxa"/>
              <w:right w:w="20" w:type="dxa"/>
            </w:tcMar>
            <w:hideMark/>
          </w:tcPr>
          <w:p w:rsidR="00000000" w:rsidRDefault="001F1FC8">
            <w:pPr>
              <w:jc w:val="right"/>
              <w:rPr>
                <w:rFonts w:eastAsia="Times New Roman"/>
              </w:rPr>
            </w:pPr>
          </w:p>
        </w:tc>
        <w:tc>
          <w:tcPr>
            <w:tcW w:w="0" w:type="auto"/>
            <w:gridSpan w:val="2"/>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hideMark/>
          </w:tcPr>
          <w:p w:rsidR="00000000" w:rsidRDefault="001F1FC8">
            <w:pPr>
              <w:jc w:val="right"/>
              <w:rPr>
                <w:rFonts w:eastAsia="Times New Roman"/>
              </w:rPr>
            </w:pPr>
          </w:p>
        </w:tc>
        <w:tc>
          <w:tcPr>
            <w:tcW w:w="0" w:type="auto"/>
            <w:gridSpan w:val="2"/>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hideMark/>
          </w:tcPr>
          <w:p w:rsidR="00000000" w:rsidRDefault="001F1FC8">
            <w:pPr>
              <w:jc w:val="right"/>
              <w:rPr>
                <w:rFonts w:eastAsia="Times New Roman"/>
              </w:rPr>
            </w:pPr>
          </w:p>
        </w:tc>
        <w:tc>
          <w:tcPr>
            <w:tcW w:w="0" w:type="auto"/>
            <w:gridSpan w:val="2"/>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color w:val="000000"/>
                <w:sz w:val="16"/>
                <w:szCs w:val="16"/>
              </w:rPr>
              <w:t>(</w:t>
            </w:r>
            <w:r>
              <w:rPr>
                <w:rFonts w:ascii="Arial" w:eastAsia="Times New Roman" w:hAnsi="Arial" w:cs="Arial"/>
                <w:color w:val="000000"/>
                <w:sz w:val="16"/>
                <w:szCs w:val="16"/>
              </w:rPr>
              <w:t>278)</w:t>
            </w:r>
          </w:p>
        </w:tc>
        <w:tc>
          <w:tcPr>
            <w:tcW w:w="0" w:type="auto"/>
            <w:tcMar>
              <w:top w:w="30" w:type="dxa"/>
              <w:left w:w="0" w:type="dxa"/>
              <w:bottom w:w="30" w:type="dxa"/>
              <w:right w:w="20" w:type="dxa"/>
            </w:tcMar>
            <w:hideMark/>
          </w:tcPr>
          <w:p w:rsidR="00000000" w:rsidRDefault="001F1FC8">
            <w:pPr>
              <w:jc w:val="right"/>
              <w:rPr>
                <w:rFonts w:eastAsia="Times New Roman"/>
              </w:rPr>
            </w:pPr>
          </w:p>
        </w:tc>
        <w:tc>
          <w:tcPr>
            <w:tcW w:w="0" w:type="auto"/>
            <w:gridSpan w:val="2"/>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color w:val="000000"/>
                <w:sz w:val="16"/>
                <w:szCs w:val="16"/>
              </w:rPr>
              <w:t>(280)</w:t>
            </w:r>
          </w:p>
        </w:tc>
        <w:tc>
          <w:tcPr>
            <w:tcW w:w="0" w:type="auto"/>
            <w:tcMar>
              <w:top w:w="30" w:type="dxa"/>
              <w:left w:w="0" w:type="dxa"/>
              <w:bottom w:w="30" w:type="dxa"/>
              <w:right w:w="20" w:type="dxa"/>
            </w:tcMar>
            <w:hideMark/>
          </w:tcPr>
          <w:p w:rsidR="00000000" w:rsidRDefault="001F1FC8">
            <w:pPr>
              <w:jc w:val="right"/>
              <w:rPr>
                <w:rFonts w:eastAsia="Times New Roman"/>
              </w:rPr>
            </w:pPr>
          </w:p>
        </w:tc>
        <w:tc>
          <w:tcPr>
            <w:tcW w:w="0" w:type="auto"/>
            <w:gridSpan w:val="2"/>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color w:val="000000"/>
                <w:sz w:val="16"/>
                <w:szCs w:val="16"/>
              </w:rPr>
              <w:t>81 </w:t>
            </w:r>
          </w:p>
        </w:tc>
        <w:tc>
          <w:tcPr>
            <w:tcW w:w="0" w:type="auto"/>
            <w:tcMar>
              <w:top w:w="30" w:type="dxa"/>
              <w:left w:w="0" w:type="dxa"/>
              <w:bottom w:w="30" w:type="dxa"/>
              <w:right w:w="20" w:type="dxa"/>
            </w:tcMar>
            <w:hideMark/>
          </w:tcPr>
          <w:p w:rsidR="00000000" w:rsidRDefault="001F1FC8">
            <w:pPr>
              <w:jc w:val="right"/>
              <w:rPr>
                <w:rFonts w:eastAsia="Times New Roman"/>
              </w:rPr>
            </w:pPr>
          </w:p>
        </w:tc>
        <w:tc>
          <w:tcPr>
            <w:tcW w:w="0" w:type="auto"/>
            <w:gridSpan w:val="2"/>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color w:val="000000"/>
                <w:sz w:val="16"/>
                <w:szCs w:val="16"/>
              </w:rPr>
              <w:t>(199)</w:t>
            </w:r>
          </w:p>
        </w:tc>
        <w:tc>
          <w:tcPr>
            <w:tcW w:w="0" w:type="auto"/>
            <w:tcMar>
              <w:top w:w="30" w:type="dxa"/>
              <w:left w:w="0" w:type="dxa"/>
              <w:bottom w:w="30" w:type="dxa"/>
              <w:right w:w="20" w:type="dxa"/>
            </w:tcMar>
            <w:hideMark/>
          </w:tcPr>
          <w:p w:rsidR="00000000" w:rsidRDefault="001F1FC8">
            <w:pPr>
              <w:jc w:val="right"/>
              <w:rPr>
                <w:rFonts w:eastAsia="Times New Roman"/>
              </w:rPr>
            </w:pPr>
          </w:p>
        </w:tc>
      </w:tr>
      <w:tr w:rsidR="00000000">
        <w:trPr>
          <w:divId w:val="1975720572"/>
        </w:trPr>
        <w:tc>
          <w:tcPr>
            <w:tcW w:w="0" w:type="auto"/>
            <w:gridSpan w:val="3"/>
            <w:tcMar>
              <w:top w:w="30" w:type="dxa"/>
              <w:left w:w="155" w:type="dxa"/>
              <w:bottom w:w="30" w:type="dxa"/>
              <w:right w:w="20" w:type="dxa"/>
            </w:tcMar>
            <w:hideMark/>
          </w:tcPr>
          <w:p w:rsidR="00000000" w:rsidRDefault="001F1FC8">
            <w:pPr>
              <w:rPr>
                <w:rFonts w:eastAsia="Times New Roman"/>
              </w:rPr>
            </w:pPr>
            <w:r>
              <w:rPr>
                <w:rFonts w:ascii="Arial" w:eastAsia="Times New Roman" w:hAnsi="Arial" w:cs="Arial"/>
                <w:color w:val="000000"/>
                <w:sz w:val="16"/>
                <w:szCs w:val="16"/>
              </w:rPr>
              <w:t>   Other contracts</w:t>
            </w:r>
          </w:p>
        </w:tc>
        <w:tc>
          <w:tcPr>
            <w:tcW w:w="0" w:type="auto"/>
            <w:gridSpan w:val="2"/>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color w:val="000000"/>
                <w:sz w:val="16"/>
                <w:szCs w:val="16"/>
              </w:rPr>
              <w:t>(1)</w:t>
            </w:r>
          </w:p>
        </w:tc>
        <w:tc>
          <w:tcPr>
            <w:tcW w:w="0" w:type="auto"/>
            <w:tcMar>
              <w:top w:w="30" w:type="dxa"/>
              <w:left w:w="0" w:type="dxa"/>
              <w:bottom w:w="30" w:type="dxa"/>
              <w:right w:w="20" w:type="dxa"/>
            </w:tcMar>
            <w:hideMark/>
          </w:tcPr>
          <w:p w:rsidR="00000000" w:rsidRDefault="001F1FC8">
            <w:pPr>
              <w:jc w:val="right"/>
              <w:rPr>
                <w:rFonts w:eastAsia="Times New Roman"/>
              </w:rPr>
            </w:pPr>
          </w:p>
        </w:tc>
        <w:tc>
          <w:tcPr>
            <w:tcW w:w="0" w:type="auto"/>
            <w:gridSpan w:val="2"/>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hideMark/>
          </w:tcPr>
          <w:p w:rsidR="00000000" w:rsidRDefault="001F1FC8">
            <w:pPr>
              <w:jc w:val="right"/>
              <w:rPr>
                <w:rFonts w:eastAsia="Times New Roman"/>
              </w:rPr>
            </w:pPr>
          </w:p>
        </w:tc>
        <w:tc>
          <w:tcPr>
            <w:tcW w:w="0" w:type="auto"/>
            <w:gridSpan w:val="2"/>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hideMark/>
          </w:tcPr>
          <w:p w:rsidR="00000000" w:rsidRDefault="001F1FC8">
            <w:pPr>
              <w:jc w:val="right"/>
              <w:rPr>
                <w:rFonts w:eastAsia="Times New Roman"/>
              </w:rPr>
            </w:pPr>
          </w:p>
        </w:tc>
        <w:tc>
          <w:tcPr>
            <w:tcW w:w="0" w:type="auto"/>
            <w:gridSpan w:val="2"/>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color w:val="000000"/>
                <w:sz w:val="16"/>
                <w:szCs w:val="16"/>
              </w:rPr>
              <w:t>(3)</w:t>
            </w:r>
          </w:p>
        </w:tc>
        <w:tc>
          <w:tcPr>
            <w:tcW w:w="0" w:type="auto"/>
            <w:tcMar>
              <w:top w:w="30" w:type="dxa"/>
              <w:left w:w="0" w:type="dxa"/>
              <w:bottom w:w="30" w:type="dxa"/>
              <w:right w:w="20" w:type="dxa"/>
            </w:tcMar>
            <w:hideMark/>
          </w:tcPr>
          <w:p w:rsidR="00000000" w:rsidRDefault="001F1FC8">
            <w:pPr>
              <w:jc w:val="right"/>
              <w:rPr>
                <w:rFonts w:eastAsia="Times New Roman"/>
              </w:rPr>
            </w:pPr>
          </w:p>
        </w:tc>
        <w:tc>
          <w:tcPr>
            <w:tcW w:w="0" w:type="auto"/>
            <w:gridSpan w:val="2"/>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color w:val="000000"/>
                <w:sz w:val="16"/>
                <w:szCs w:val="16"/>
              </w:rPr>
              <w:t>(4)</w:t>
            </w:r>
          </w:p>
        </w:tc>
        <w:tc>
          <w:tcPr>
            <w:tcW w:w="0" w:type="auto"/>
            <w:tcMar>
              <w:top w:w="30" w:type="dxa"/>
              <w:left w:w="0" w:type="dxa"/>
              <w:bottom w:w="30" w:type="dxa"/>
              <w:right w:w="20" w:type="dxa"/>
            </w:tcMar>
            <w:hideMark/>
          </w:tcPr>
          <w:p w:rsidR="00000000" w:rsidRDefault="001F1FC8">
            <w:pPr>
              <w:jc w:val="right"/>
              <w:rPr>
                <w:rFonts w:eastAsia="Times New Roman"/>
              </w:rPr>
            </w:pPr>
          </w:p>
        </w:tc>
        <w:tc>
          <w:tcPr>
            <w:tcW w:w="0" w:type="auto"/>
            <w:gridSpan w:val="2"/>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hideMark/>
          </w:tcPr>
          <w:p w:rsidR="00000000" w:rsidRDefault="001F1FC8">
            <w:pPr>
              <w:jc w:val="right"/>
              <w:rPr>
                <w:rFonts w:eastAsia="Times New Roman"/>
              </w:rPr>
            </w:pPr>
          </w:p>
        </w:tc>
        <w:tc>
          <w:tcPr>
            <w:tcW w:w="0" w:type="auto"/>
            <w:gridSpan w:val="2"/>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color w:val="000000"/>
                <w:sz w:val="16"/>
                <w:szCs w:val="16"/>
              </w:rPr>
              <w:t>(4)</w:t>
            </w:r>
          </w:p>
        </w:tc>
        <w:tc>
          <w:tcPr>
            <w:tcW w:w="0" w:type="auto"/>
            <w:tcMar>
              <w:top w:w="30" w:type="dxa"/>
              <w:left w:w="0" w:type="dxa"/>
              <w:bottom w:w="30" w:type="dxa"/>
              <w:right w:w="20" w:type="dxa"/>
            </w:tcMar>
            <w:hideMark/>
          </w:tcPr>
          <w:p w:rsidR="00000000" w:rsidRDefault="001F1FC8">
            <w:pPr>
              <w:jc w:val="right"/>
              <w:rPr>
                <w:rFonts w:eastAsia="Times New Roman"/>
              </w:rPr>
            </w:pPr>
          </w:p>
        </w:tc>
      </w:tr>
      <w:tr w:rsidR="00000000">
        <w:trPr>
          <w:divId w:val="1975720572"/>
        </w:trPr>
        <w:tc>
          <w:tcPr>
            <w:tcW w:w="0" w:type="auto"/>
            <w:gridSpan w:val="3"/>
            <w:tcBorders>
              <w:top w:val="single" w:sz="4" w:space="0" w:color="000000"/>
            </w:tcBorders>
            <w:tcMar>
              <w:top w:w="30" w:type="dxa"/>
              <w:left w:w="20" w:type="dxa"/>
              <w:bottom w:w="30" w:type="dxa"/>
              <w:right w:w="20" w:type="dxa"/>
            </w:tcMar>
            <w:hideMark/>
          </w:tcPr>
          <w:p w:rsidR="00000000" w:rsidRDefault="001F1FC8">
            <w:pPr>
              <w:rPr>
                <w:rFonts w:eastAsia="Times New Roman"/>
              </w:rPr>
            </w:pPr>
            <w:r>
              <w:rPr>
                <w:rFonts w:ascii="Arial" w:eastAsia="Times New Roman" w:hAnsi="Arial" w:cs="Arial"/>
                <w:color w:val="000000"/>
                <w:sz w:val="2"/>
                <w:szCs w:val="2"/>
              </w:rPr>
              <w:t> </w:t>
            </w:r>
          </w:p>
        </w:tc>
        <w:tc>
          <w:tcPr>
            <w:tcW w:w="0" w:type="auto"/>
            <w:gridSpan w:val="2"/>
            <w:tcBorders>
              <w:top w:val="single" w:sz="4" w:space="0" w:color="000000"/>
            </w:tcBorders>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color w:val="000000"/>
                <w:sz w:val="16"/>
                <w:szCs w:val="16"/>
              </w:rPr>
              <w:t>(431)</w:t>
            </w:r>
          </w:p>
        </w:tc>
        <w:tc>
          <w:tcPr>
            <w:tcW w:w="0" w:type="auto"/>
            <w:tcBorders>
              <w:top w:val="single" w:sz="4" w:space="0" w:color="000000"/>
            </w:tcBorders>
            <w:tcMar>
              <w:top w:w="30" w:type="dxa"/>
              <w:left w:w="0" w:type="dxa"/>
              <w:bottom w:w="30" w:type="dxa"/>
              <w:right w:w="20" w:type="dxa"/>
            </w:tcMar>
            <w:hideMark/>
          </w:tcPr>
          <w:p w:rsidR="00000000" w:rsidRDefault="001F1FC8">
            <w:pPr>
              <w:jc w:val="right"/>
              <w:rPr>
                <w:rFonts w:eastAsia="Times New Roman"/>
              </w:rPr>
            </w:pPr>
          </w:p>
        </w:tc>
        <w:tc>
          <w:tcPr>
            <w:tcW w:w="0" w:type="auto"/>
            <w:gridSpan w:val="2"/>
            <w:tcBorders>
              <w:top w:val="single" w:sz="4" w:space="0" w:color="000000"/>
            </w:tcBorders>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color w:val="000000"/>
                <w:sz w:val="16"/>
                <w:szCs w:val="16"/>
              </w:rPr>
              <w:t>— </w:t>
            </w:r>
          </w:p>
        </w:tc>
        <w:tc>
          <w:tcPr>
            <w:tcW w:w="0" w:type="auto"/>
            <w:tcBorders>
              <w:top w:val="single" w:sz="4" w:space="0" w:color="000000"/>
            </w:tcBorders>
            <w:tcMar>
              <w:top w:w="30" w:type="dxa"/>
              <w:left w:w="0" w:type="dxa"/>
              <w:bottom w:w="30" w:type="dxa"/>
              <w:right w:w="20" w:type="dxa"/>
            </w:tcMar>
            <w:hideMark/>
          </w:tcPr>
          <w:p w:rsidR="00000000" w:rsidRDefault="001F1FC8">
            <w:pPr>
              <w:jc w:val="right"/>
              <w:rPr>
                <w:rFonts w:eastAsia="Times New Roman"/>
              </w:rPr>
            </w:pPr>
          </w:p>
        </w:tc>
        <w:tc>
          <w:tcPr>
            <w:tcW w:w="0" w:type="auto"/>
            <w:gridSpan w:val="2"/>
            <w:tcBorders>
              <w:top w:val="single" w:sz="4" w:space="0" w:color="000000"/>
            </w:tcBorders>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color w:val="000000"/>
                <w:sz w:val="16"/>
                <w:szCs w:val="16"/>
              </w:rPr>
              <w:t>(29)</w:t>
            </w:r>
          </w:p>
        </w:tc>
        <w:tc>
          <w:tcPr>
            <w:tcW w:w="0" w:type="auto"/>
            <w:tcBorders>
              <w:top w:val="single" w:sz="4" w:space="0" w:color="000000"/>
            </w:tcBorders>
            <w:tcMar>
              <w:top w:w="30" w:type="dxa"/>
              <w:left w:w="0" w:type="dxa"/>
              <w:bottom w:w="30" w:type="dxa"/>
              <w:right w:w="20" w:type="dxa"/>
            </w:tcMar>
            <w:hideMark/>
          </w:tcPr>
          <w:p w:rsidR="00000000" w:rsidRDefault="001F1FC8">
            <w:pPr>
              <w:jc w:val="right"/>
              <w:rPr>
                <w:rFonts w:eastAsia="Times New Roman"/>
              </w:rPr>
            </w:pPr>
          </w:p>
        </w:tc>
        <w:tc>
          <w:tcPr>
            <w:tcW w:w="0" w:type="auto"/>
            <w:gridSpan w:val="2"/>
            <w:tcBorders>
              <w:top w:val="single" w:sz="4" w:space="0" w:color="000000"/>
            </w:tcBorders>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color w:val="000000"/>
                <w:sz w:val="16"/>
                <w:szCs w:val="16"/>
              </w:rPr>
              <w:t>(434)</w:t>
            </w:r>
          </w:p>
        </w:tc>
        <w:tc>
          <w:tcPr>
            <w:tcW w:w="0" w:type="auto"/>
            <w:tcBorders>
              <w:top w:val="single" w:sz="4" w:space="0" w:color="000000"/>
            </w:tcBorders>
            <w:tcMar>
              <w:top w:w="30" w:type="dxa"/>
              <w:left w:w="0" w:type="dxa"/>
              <w:bottom w:w="30" w:type="dxa"/>
              <w:right w:w="20" w:type="dxa"/>
            </w:tcMar>
            <w:hideMark/>
          </w:tcPr>
          <w:p w:rsidR="00000000" w:rsidRDefault="001F1FC8">
            <w:pPr>
              <w:jc w:val="right"/>
              <w:rPr>
                <w:rFonts w:eastAsia="Times New Roman"/>
              </w:rPr>
            </w:pPr>
          </w:p>
        </w:tc>
        <w:tc>
          <w:tcPr>
            <w:tcW w:w="0" w:type="auto"/>
            <w:gridSpan w:val="2"/>
            <w:tcBorders>
              <w:top w:val="single" w:sz="4" w:space="0" w:color="000000"/>
            </w:tcBorders>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color w:val="000000"/>
                <w:sz w:val="16"/>
                <w:szCs w:val="16"/>
              </w:rPr>
              <w:t>(894)</w:t>
            </w:r>
          </w:p>
        </w:tc>
        <w:tc>
          <w:tcPr>
            <w:tcW w:w="0" w:type="auto"/>
            <w:tcBorders>
              <w:top w:val="single" w:sz="4" w:space="0" w:color="000000"/>
            </w:tcBorders>
            <w:tcMar>
              <w:top w:w="30" w:type="dxa"/>
              <w:left w:w="0" w:type="dxa"/>
              <w:bottom w:w="30" w:type="dxa"/>
              <w:right w:w="20" w:type="dxa"/>
            </w:tcMar>
            <w:hideMark/>
          </w:tcPr>
          <w:p w:rsidR="00000000" w:rsidRDefault="001F1FC8">
            <w:pPr>
              <w:jc w:val="right"/>
              <w:rPr>
                <w:rFonts w:eastAsia="Times New Roman"/>
              </w:rPr>
            </w:pPr>
          </w:p>
        </w:tc>
        <w:tc>
          <w:tcPr>
            <w:tcW w:w="0" w:type="auto"/>
            <w:gridSpan w:val="2"/>
            <w:tcBorders>
              <w:top w:val="single" w:sz="4" w:space="0" w:color="000000"/>
            </w:tcBorders>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color w:val="000000"/>
                <w:sz w:val="16"/>
                <w:szCs w:val="16"/>
              </w:rPr>
              <w:t>109 </w:t>
            </w:r>
          </w:p>
        </w:tc>
        <w:tc>
          <w:tcPr>
            <w:tcW w:w="0" w:type="auto"/>
            <w:tcBorders>
              <w:top w:val="single" w:sz="4" w:space="0" w:color="000000"/>
            </w:tcBorders>
            <w:tcMar>
              <w:top w:w="30" w:type="dxa"/>
              <w:left w:w="0" w:type="dxa"/>
              <w:bottom w:w="30" w:type="dxa"/>
              <w:right w:w="20" w:type="dxa"/>
            </w:tcMar>
            <w:hideMark/>
          </w:tcPr>
          <w:p w:rsidR="00000000" w:rsidRDefault="001F1FC8">
            <w:pPr>
              <w:jc w:val="right"/>
              <w:rPr>
                <w:rFonts w:eastAsia="Times New Roman"/>
              </w:rPr>
            </w:pPr>
          </w:p>
        </w:tc>
        <w:tc>
          <w:tcPr>
            <w:tcW w:w="0" w:type="auto"/>
            <w:gridSpan w:val="2"/>
            <w:tcBorders>
              <w:top w:val="single" w:sz="4" w:space="0" w:color="000000"/>
            </w:tcBorders>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color w:val="000000"/>
                <w:sz w:val="16"/>
                <w:szCs w:val="16"/>
              </w:rPr>
              <w:t>(785)</w:t>
            </w:r>
          </w:p>
        </w:tc>
        <w:tc>
          <w:tcPr>
            <w:tcW w:w="0" w:type="auto"/>
            <w:tcBorders>
              <w:top w:val="single" w:sz="4" w:space="0" w:color="000000"/>
            </w:tcBorders>
            <w:tcMar>
              <w:top w:w="30" w:type="dxa"/>
              <w:left w:w="0" w:type="dxa"/>
              <w:bottom w:w="30" w:type="dxa"/>
              <w:right w:w="20" w:type="dxa"/>
            </w:tcMar>
            <w:hideMark/>
          </w:tcPr>
          <w:p w:rsidR="00000000" w:rsidRDefault="001F1FC8">
            <w:pPr>
              <w:jc w:val="right"/>
              <w:rPr>
                <w:rFonts w:eastAsia="Times New Roman"/>
              </w:rPr>
            </w:pPr>
          </w:p>
        </w:tc>
      </w:tr>
      <w:tr w:rsidR="00000000">
        <w:trPr>
          <w:divId w:val="1975720572"/>
        </w:trPr>
        <w:tc>
          <w:tcPr>
            <w:tcW w:w="0" w:type="auto"/>
            <w:gridSpan w:val="3"/>
            <w:tcBorders>
              <w:top w:val="single" w:sz="4" w:space="0" w:color="000000"/>
            </w:tcBorders>
            <w:tcMar>
              <w:top w:w="30" w:type="dxa"/>
              <w:left w:w="20" w:type="dxa"/>
              <w:bottom w:w="30" w:type="dxa"/>
              <w:right w:w="20" w:type="dxa"/>
            </w:tcMar>
            <w:hideMark/>
          </w:tcPr>
          <w:p w:rsidR="00000000" w:rsidRDefault="001F1FC8">
            <w:pPr>
              <w:rPr>
                <w:rFonts w:eastAsia="Times New Roman"/>
              </w:rPr>
            </w:pPr>
            <w:r>
              <w:rPr>
                <w:rFonts w:ascii="Arial" w:eastAsia="Times New Roman" w:hAnsi="Arial" w:cs="Arial"/>
                <w:color w:val="000000"/>
                <w:sz w:val="16"/>
                <w:szCs w:val="16"/>
              </w:rPr>
              <w:t xml:space="preserve">Other long-term liabilities </w:t>
            </w:r>
          </w:p>
        </w:tc>
        <w:tc>
          <w:tcPr>
            <w:tcW w:w="0" w:type="auto"/>
            <w:gridSpan w:val="3"/>
            <w:tcBorders>
              <w:top w:val="single" w:sz="4" w:space="0" w:color="000000"/>
            </w:tcBorders>
            <w:tcMar>
              <w:top w:w="30" w:type="dxa"/>
              <w:left w:w="20" w:type="dxa"/>
              <w:bottom w:w="30" w:type="dxa"/>
              <w:right w:w="20" w:type="dxa"/>
            </w:tcMar>
            <w:hideMark/>
          </w:tcPr>
          <w:p w:rsidR="00000000" w:rsidRDefault="001F1FC8">
            <w:pPr>
              <w:jc w:val="right"/>
              <w:rPr>
                <w:rFonts w:eastAsia="Times New Roman"/>
              </w:rPr>
            </w:pPr>
            <w:r>
              <w:rPr>
                <w:rFonts w:ascii="Arial" w:eastAsia="Times New Roman" w:hAnsi="Arial" w:cs="Arial"/>
                <w:color w:val="000000"/>
                <w:sz w:val="2"/>
                <w:szCs w:val="2"/>
              </w:rPr>
              <w:t> </w:t>
            </w:r>
          </w:p>
        </w:tc>
        <w:tc>
          <w:tcPr>
            <w:tcW w:w="0" w:type="auto"/>
            <w:gridSpan w:val="3"/>
            <w:tcBorders>
              <w:top w:val="single" w:sz="4" w:space="0" w:color="000000"/>
            </w:tcBorders>
            <w:tcMar>
              <w:top w:w="30" w:type="dxa"/>
              <w:left w:w="20" w:type="dxa"/>
              <w:bottom w:w="30" w:type="dxa"/>
              <w:right w:w="20" w:type="dxa"/>
            </w:tcMar>
            <w:hideMark/>
          </w:tcPr>
          <w:p w:rsidR="00000000" w:rsidRDefault="001F1FC8">
            <w:pPr>
              <w:jc w:val="right"/>
              <w:rPr>
                <w:rFonts w:eastAsia="Times New Roman"/>
              </w:rPr>
            </w:pPr>
            <w:r>
              <w:rPr>
                <w:rFonts w:ascii="Arial" w:eastAsia="Times New Roman" w:hAnsi="Arial" w:cs="Arial"/>
                <w:color w:val="000000"/>
                <w:sz w:val="2"/>
                <w:szCs w:val="2"/>
              </w:rPr>
              <w:t> </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1F1FC8">
            <w:pPr>
              <w:jc w:val="right"/>
              <w:rPr>
                <w:rFonts w:eastAsia="Times New Roman"/>
              </w:rPr>
            </w:pPr>
          </w:p>
        </w:tc>
        <w:tc>
          <w:tcPr>
            <w:tcW w:w="0" w:type="auto"/>
            <w:gridSpan w:val="3"/>
            <w:tcBorders>
              <w:top w:val="single" w:sz="4" w:space="0" w:color="000000"/>
            </w:tcBorders>
            <w:tcMar>
              <w:top w:w="30" w:type="dxa"/>
              <w:left w:w="20" w:type="dxa"/>
              <w:bottom w:w="30" w:type="dxa"/>
              <w:right w:w="20" w:type="dxa"/>
            </w:tcMar>
            <w:hideMark/>
          </w:tcPr>
          <w:p w:rsidR="00000000" w:rsidRDefault="001F1FC8">
            <w:pPr>
              <w:jc w:val="right"/>
              <w:rPr>
                <w:rFonts w:eastAsia="Times New Roman"/>
              </w:rPr>
            </w:pPr>
            <w:r>
              <w:rPr>
                <w:rFonts w:ascii="Arial" w:eastAsia="Times New Roman" w:hAnsi="Arial" w:cs="Arial"/>
                <w:color w:val="000000"/>
                <w:sz w:val="2"/>
                <w:szCs w:val="2"/>
              </w:rPr>
              <w:t> </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1F1FC8">
            <w:pPr>
              <w:jc w:val="right"/>
              <w:rPr>
                <w:rFonts w:eastAsia="Times New Roman"/>
              </w:rPr>
            </w:pPr>
          </w:p>
        </w:tc>
        <w:tc>
          <w:tcPr>
            <w:tcW w:w="0" w:type="auto"/>
            <w:gridSpan w:val="3"/>
            <w:tcBorders>
              <w:top w:val="single" w:sz="4" w:space="0" w:color="000000"/>
            </w:tcBorders>
            <w:tcMar>
              <w:top w:w="30" w:type="dxa"/>
              <w:left w:w="20" w:type="dxa"/>
              <w:bottom w:w="30" w:type="dxa"/>
              <w:right w:w="20" w:type="dxa"/>
            </w:tcMar>
            <w:hideMark/>
          </w:tcPr>
          <w:p w:rsidR="00000000" w:rsidRDefault="001F1FC8">
            <w:pPr>
              <w:jc w:val="right"/>
              <w:rPr>
                <w:rFonts w:eastAsia="Times New Roman"/>
              </w:rPr>
            </w:pPr>
            <w:r>
              <w:rPr>
                <w:rFonts w:ascii="Arial" w:eastAsia="Times New Roman" w:hAnsi="Arial" w:cs="Arial"/>
                <w:color w:val="000000"/>
                <w:sz w:val="2"/>
                <w:szCs w:val="2"/>
              </w:rPr>
              <w:t> </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1F1FC8">
            <w:pPr>
              <w:jc w:val="right"/>
              <w:rPr>
                <w:rFonts w:eastAsia="Times New Roman"/>
              </w:rPr>
            </w:pPr>
          </w:p>
        </w:tc>
      </w:tr>
      <w:tr w:rsidR="00000000">
        <w:trPr>
          <w:divId w:val="1975720572"/>
        </w:trPr>
        <w:tc>
          <w:tcPr>
            <w:tcW w:w="0" w:type="auto"/>
            <w:gridSpan w:val="3"/>
            <w:tcMar>
              <w:top w:w="30" w:type="dxa"/>
              <w:left w:w="155" w:type="dxa"/>
              <w:bottom w:w="30" w:type="dxa"/>
              <w:right w:w="20" w:type="dxa"/>
            </w:tcMar>
            <w:hideMark/>
          </w:tcPr>
          <w:p w:rsidR="00000000" w:rsidRDefault="001F1FC8">
            <w:pPr>
              <w:rPr>
                <w:rFonts w:eastAsia="Times New Roman"/>
              </w:rPr>
            </w:pPr>
            <w:r>
              <w:rPr>
                <w:rFonts w:ascii="Arial" w:eastAsia="Times New Roman" w:hAnsi="Arial" w:cs="Arial"/>
                <w:color w:val="000000"/>
                <w:sz w:val="16"/>
                <w:szCs w:val="16"/>
              </w:rPr>
              <w:t>   </w:t>
            </w:r>
            <w:r>
              <w:rPr>
                <w:rFonts w:ascii="Arial" w:eastAsia="Times New Roman" w:hAnsi="Arial" w:cs="Arial"/>
                <w:color w:val="000000"/>
                <w:sz w:val="16"/>
                <w:szCs w:val="16"/>
              </w:rPr>
              <w:t>Foreign exchange contracts</w:t>
            </w:r>
          </w:p>
        </w:tc>
        <w:tc>
          <w:tcPr>
            <w:tcW w:w="0" w:type="auto"/>
            <w:gridSpan w:val="2"/>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hideMark/>
          </w:tcPr>
          <w:p w:rsidR="00000000" w:rsidRDefault="001F1FC8">
            <w:pPr>
              <w:jc w:val="right"/>
              <w:rPr>
                <w:rFonts w:eastAsia="Times New Roman"/>
              </w:rPr>
            </w:pPr>
          </w:p>
        </w:tc>
        <w:tc>
          <w:tcPr>
            <w:tcW w:w="0" w:type="auto"/>
            <w:gridSpan w:val="2"/>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hideMark/>
          </w:tcPr>
          <w:p w:rsidR="00000000" w:rsidRDefault="001F1FC8">
            <w:pPr>
              <w:jc w:val="right"/>
              <w:rPr>
                <w:rFonts w:eastAsia="Times New Roman"/>
              </w:rPr>
            </w:pPr>
          </w:p>
        </w:tc>
        <w:tc>
          <w:tcPr>
            <w:tcW w:w="0" w:type="auto"/>
            <w:gridSpan w:val="2"/>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color w:val="000000"/>
                <w:sz w:val="16"/>
                <w:szCs w:val="16"/>
              </w:rPr>
              <w:t>(87)</w:t>
            </w:r>
          </w:p>
        </w:tc>
        <w:tc>
          <w:tcPr>
            <w:tcW w:w="0" w:type="auto"/>
            <w:tcMar>
              <w:top w:w="30" w:type="dxa"/>
              <w:left w:w="0" w:type="dxa"/>
              <w:bottom w:w="30" w:type="dxa"/>
              <w:right w:w="20" w:type="dxa"/>
            </w:tcMar>
            <w:hideMark/>
          </w:tcPr>
          <w:p w:rsidR="00000000" w:rsidRDefault="001F1FC8">
            <w:pPr>
              <w:jc w:val="right"/>
              <w:rPr>
                <w:rFonts w:eastAsia="Times New Roman"/>
              </w:rPr>
            </w:pPr>
          </w:p>
        </w:tc>
        <w:tc>
          <w:tcPr>
            <w:tcW w:w="0" w:type="auto"/>
            <w:gridSpan w:val="2"/>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color w:val="000000"/>
                <w:sz w:val="16"/>
                <w:szCs w:val="16"/>
              </w:rPr>
              <w:t>(673)</w:t>
            </w:r>
          </w:p>
        </w:tc>
        <w:tc>
          <w:tcPr>
            <w:tcW w:w="0" w:type="auto"/>
            <w:tcMar>
              <w:top w:w="30" w:type="dxa"/>
              <w:left w:w="0" w:type="dxa"/>
              <w:bottom w:w="30" w:type="dxa"/>
              <w:right w:w="20" w:type="dxa"/>
            </w:tcMar>
            <w:hideMark/>
          </w:tcPr>
          <w:p w:rsidR="00000000" w:rsidRDefault="001F1FC8">
            <w:pPr>
              <w:jc w:val="right"/>
              <w:rPr>
                <w:rFonts w:eastAsia="Times New Roman"/>
              </w:rPr>
            </w:pPr>
          </w:p>
        </w:tc>
        <w:tc>
          <w:tcPr>
            <w:tcW w:w="0" w:type="auto"/>
            <w:gridSpan w:val="2"/>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color w:val="000000"/>
                <w:sz w:val="16"/>
                <w:szCs w:val="16"/>
              </w:rPr>
              <w:t>(760)</w:t>
            </w:r>
          </w:p>
        </w:tc>
        <w:tc>
          <w:tcPr>
            <w:tcW w:w="0" w:type="auto"/>
            <w:tcMar>
              <w:top w:w="30" w:type="dxa"/>
              <w:left w:w="0" w:type="dxa"/>
              <w:bottom w:w="30" w:type="dxa"/>
              <w:right w:w="20" w:type="dxa"/>
            </w:tcMar>
            <w:hideMark/>
          </w:tcPr>
          <w:p w:rsidR="00000000" w:rsidRDefault="001F1FC8">
            <w:pPr>
              <w:jc w:val="right"/>
              <w:rPr>
                <w:rFonts w:eastAsia="Times New Roman"/>
              </w:rPr>
            </w:pPr>
          </w:p>
        </w:tc>
        <w:tc>
          <w:tcPr>
            <w:tcW w:w="0" w:type="auto"/>
            <w:gridSpan w:val="2"/>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color w:val="000000"/>
                <w:sz w:val="16"/>
                <w:szCs w:val="16"/>
              </w:rPr>
              <w:t>218 </w:t>
            </w:r>
          </w:p>
        </w:tc>
        <w:tc>
          <w:tcPr>
            <w:tcW w:w="0" w:type="auto"/>
            <w:tcMar>
              <w:top w:w="30" w:type="dxa"/>
              <w:left w:w="0" w:type="dxa"/>
              <w:bottom w:w="30" w:type="dxa"/>
              <w:right w:w="20" w:type="dxa"/>
            </w:tcMar>
            <w:hideMark/>
          </w:tcPr>
          <w:p w:rsidR="00000000" w:rsidRDefault="001F1FC8">
            <w:pPr>
              <w:jc w:val="right"/>
              <w:rPr>
                <w:rFonts w:eastAsia="Times New Roman"/>
              </w:rPr>
            </w:pPr>
          </w:p>
        </w:tc>
        <w:tc>
          <w:tcPr>
            <w:tcW w:w="0" w:type="auto"/>
            <w:gridSpan w:val="2"/>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color w:val="000000"/>
                <w:sz w:val="16"/>
                <w:szCs w:val="16"/>
              </w:rPr>
              <w:t>(542)</w:t>
            </w:r>
          </w:p>
        </w:tc>
        <w:tc>
          <w:tcPr>
            <w:tcW w:w="0" w:type="auto"/>
            <w:tcMar>
              <w:top w:w="30" w:type="dxa"/>
              <w:left w:w="0" w:type="dxa"/>
              <w:bottom w:w="30" w:type="dxa"/>
              <w:right w:w="20" w:type="dxa"/>
            </w:tcMar>
            <w:hideMark/>
          </w:tcPr>
          <w:p w:rsidR="00000000" w:rsidRDefault="001F1FC8">
            <w:pPr>
              <w:jc w:val="right"/>
              <w:rPr>
                <w:rFonts w:eastAsia="Times New Roman"/>
              </w:rPr>
            </w:pPr>
          </w:p>
        </w:tc>
      </w:tr>
      <w:tr w:rsidR="00000000">
        <w:trPr>
          <w:divId w:val="1975720572"/>
        </w:trPr>
        <w:tc>
          <w:tcPr>
            <w:tcW w:w="0" w:type="auto"/>
            <w:gridSpan w:val="3"/>
            <w:tcMar>
              <w:top w:w="30" w:type="dxa"/>
              <w:left w:w="155" w:type="dxa"/>
              <w:bottom w:w="30" w:type="dxa"/>
              <w:right w:w="20" w:type="dxa"/>
            </w:tcMar>
            <w:hideMark/>
          </w:tcPr>
          <w:p w:rsidR="00000000" w:rsidRDefault="001F1FC8">
            <w:pPr>
              <w:rPr>
                <w:rFonts w:eastAsia="Times New Roman"/>
              </w:rPr>
            </w:pPr>
            <w:r>
              <w:rPr>
                <w:rFonts w:ascii="Arial" w:eastAsia="Times New Roman" w:hAnsi="Arial" w:cs="Arial"/>
                <w:color w:val="000000"/>
                <w:sz w:val="16"/>
                <w:szCs w:val="16"/>
              </w:rPr>
              <w:t>   Interest rate contracts</w:t>
            </w:r>
          </w:p>
        </w:tc>
        <w:tc>
          <w:tcPr>
            <w:tcW w:w="0" w:type="auto"/>
            <w:gridSpan w:val="2"/>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color w:val="000000"/>
                <w:sz w:val="16"/>
                <w:szCs w:val="16"/>
              </w:rPr>
              <w:t>(218)</w:t>
            </w:r>
          </w:p>
        </w:tc>
        <w:tc>
          <w:tcPr>
            <w:tcW w:w="0" w:type="auto"/>
            <w:tcMar>
              <w:top w:w="30" w:type="dxa"/>
              <w:left w:w="0" w:type="dxa"/>
              <w:bottom w:w="30" w:type="dxa"/>
              <w:right w:w="20" w:type="dxa"/>
            </w:tcMar>
            <w:hideMark/>
          </w:tcPr>
          <w:p w:rsidR="00000000" w:rsidRDefault="001F1FC8">
            <w:pPr>
              <w:jc w:val="right"/>
              <w:rPr>
                <w:rFonts w:eastAsia="Times New Roman"/>
              </w:rPr>
            </w:pPr>
          </w:p>
        </w:tc>
        <w:tc>
          <w:tcPr>
            <w:tcW w:w="0" w:type="auto"/>
            <w:gridSpan w:val="2"/>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hideMark/>
          </w:tcPr>
          <w:p w:rsidR="00000000" w:rsidRDefault="001F1FC8">
            <w:pPr>
              <w:jc w:val="right"/>
              <w:rPr>
                <w:rFonts w:eastAsia="Times New Roman"/>
              </w:rPr>
            </w:pPr>
          </w:p>
        </w:tc>
        <w:tc>
          <w:tcPr>
            <w:tcW w:w="0" w:type="auto"/>
            <w:gridSpan w:val="2"/>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hideMark/>
          </w:tcPr>
          <w:p w:rsidR="00000000" w:rsidRDefault="001F1FC8">
            <w:pPr>
              <w:jc w:val="right"/>
              <w:rPr>
                <w:rFonts w:eastAsia="Times New Roman"/>
              </w:rPr>
            </w:pPr>
          </w:p>
        </w:tc>
        <w:tc>
          <w:tcPr>
            <w:tcW w:w="0" w:type="auto"/>
            <w:gridSpan w:val="2"/>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color w:val="000000"/>
                <w:sz w:val="16"/>
                <w:szCs w:val="16"/>
              </w:rPr>
              <w:t>(23)</w:t>
            </w:r>
          </w:p>
        </w:tc>
        <w:tc>
          <w:tcPr>
            <w:tcW w:w="0" w:type="auto"/>
            <w:tcMar>
              <w:top w:w="30" w:type="dxa"/>
              <w:left w:w="0" w:type="dxa"/>
              <w:bottom w:w="30" w:type="dxa"/>
              <w:right w:w="20" w:type="dxa"/>
            </w:tcMar>
            <w:hideMark/>
          </w:tcPr>
          <w:p w:rsidR="00000000" w:rsidRDefault="001F1FC8">
            <w:pPr>
              <w:jc w:val="right"/>
              <w:rPr>
                <w:rFonts w:eastAsia="Times New Roman"/>
              </w:rPr>
            </w:pPr>
          </w:p>
        </w:tc>
        <w:tc>
          <w:tcPr>
            <w:tcW w:w="0" w:type="auto"/>
            <w:gridSpan w:val="2"/>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color w:val="000000"/>
                <w:sz w:val="16"/>
                <w:szCs w:val="16"/>
              </w:rPr>
              <w:t>(241)</w:t>
            </w:r>
          </w:p>
        </w:tc>
        <w:tc>
          <w:tcPr>
            <w:tcW w:w="0" w:type="auto"/>
            <w:tcMar>
              <w:top w:w="30" w:type="dxa"/>
              <w:left w:w="0" w:type="dxa"/>
              <w:bottom w:w="30" w:type="dxa"/>
              <w:right w:w="20" w:type="dxa"/>
            </w:tcMar>
            <w:hideMark/>
          </w:tcPr>
          <w:p w:rsidR="00000000" w:rsidRDefault="001F1FC8">
            <w:pPr>
              <w:jc w:val="right"/>
              <w:rPr>
                <w:rFonts w:eastAsia="Times New Roman"/>
              </w:rPr>
            </w:pPr>
          </w:p>
        </w:tc>
        <w:tc>
          <w:tcPr>
            <w:tcW w:w="0" w:type="auto"/>
            <w:gridSpan w:val="2"/>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color w:val="000000"/>
                <w:sz w:val="16"/>
                <w:szCs w:val="16"/>
              </w:rPr>
              <w:t>25 </w:t>
            </w:r>
          </w:p>
        </w:tc>
        <w:tc>
          <w:tcPr>
            <w:tcW w:w="0" w:type="auto"/>
            <w:tcMar>
              <w:top w:w="30" w:type="dxa"/>
              <w:left w:w="0" w:type="dxa"/>
              <w:bottom w:w="30" w:type="dxa"/>
              <w:right w:w="20" w:type="dxa"/>
            </w:tcMar>
            <w:hideMark/>
          </w:tcPr>
          <w:p w:rsidR="00000000" w:rsidRDefault="001F1FC8">
            <w:pPr>
              <w:jc w:val="right"/>
              <w:rPr>
                <w:rFonts w:eastAsia="Times New Roman"/>
              </w:rPr>
            </w:pPr>
          </w:p>
        </w:tc>
        <w:tc>
          <w:tcPr>
            <w:tcW w:w="0" w:type="auto"/>
            <w:gridSpan w:val="2"/>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color w:val="000000"/>
                <w:sz w:val="16"/>
                <w:szCs w:val="16"/>
              </w:rPr>
              <w:t>(216)</w:t>
            </w:r>
          </w:p>
        </w:tc>
        <w:tc>
          <w:tcPr>
            <w:tcW w:w="0" w:type="auto"/>
            <w:tcMar>
              <w:top w:w="30" w:type="dxa"/>
              <w:left w:w="0" w:type="dxa"/>
              <w:bottom w:w="30" w:type="dxa"/>
              <w:right w:w="20" w:type="dxa"/>
            </w:tcMar>
            <w:hideMark/>
          </w:tcPr>
          <w:p w:rsidR="00000000" w:rsidRDefault="001F1FC8">
            <w:pPr>
              <w:jc w:val="right"/>
              <w:rPr>
                <w:rFonts w:eastAsia="Times New Roman"/>
              </w:rPr>
            </w:pPr>
          </w:p>
        </w:tc>
      </w:tr>
      <w:tr w:rsidR="00000000">
        <w:trPr>
          <w:divId w:val="1975720572"/>
        </w:trPr>
        <w:tc>
          <w:tcPr>
            <w:tcW w:w="0" w:type="auto"/>
            <w:gridSpan w:val="3"/>
            <w:tcMar>
              <w:top w:w="30" w:type="dxa"/>
              <w:left w:w="155" w:type="dxa"/>
              <w:bottom w:w="30" w:type="dxa"/>
              <w:right w:w="20" w:type="dxa"/>
            </w:tcMar>
            <w:hideMark/>
          </w:tcPr>
          <w:p w:rsidR="00000000" w:rsidRDefault="001F1FC8">
            <w:pPr>
              <w:rPr>
                <w:rFonts w:eastAsia="Times New Roman"/>
              </w:rPr>
            </w:pPr>
            <w:r>
              <w:rPr>
                <w:rFonts w:ascii="Arial" w:eastAsia="Times New Roman" w:hAnsi="Arial" w:cs="Arial"/>
                <w:color w:val="000000"/>
                <w:sz w:val="16"/>
                <w:szCs w:val="16"/>
              </w:rPr>
              <w:t>   Commodity contracts</w:t>
            </w:r>
          </w:p>
        </w:tc>
        <w:tc>
          <w:tcPr>
            <w:tcW w:w="0" w:type="auto"/>
            <w:gridSpan w:val="2"/>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color w:val="000000"/>
                <w:sz w:val="16"/>
                <w:szCs w:val="16"/>
              </w:rPr>
              <w:t>(1)</w:t>
            </w:r>
          </w:p>
        </w:tc>
        <w:tc>
          <w:tcPr>
            <w:tcW w:w="0" w:type="auto"/>
            <w:tcMar>
              <w:top w:w="30" w:type="dxa"/>
              <w:left w:w="0" w:type="dxa"/>
              <w:bottom w:w="30" w:type="dxa"/>
              <w:right w:w="20" w:type="dxa"/>
            </w:tcMar>
            <w:hideMark/>
          </w:tcPr>
          <w:p w:rsidR="00000000" w:rsidRDefault="001F1FC8">
            <w:pPr>
              <w:jc w:val="right"/>
              <w:rPr>
                <w:rFonts w:eastAsia="Times New Roman"/>
              </w:rPr>
            </w:pPr>
          </w:p>
        </w:tc>
        <w:tc>
          <w:tcPr>
            <w:tcW w:w="0" w:type="auto"/>
            <w:gridSpan w:val="2"/>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hideMark/>
          </w:tcPr>
          <w:p w:rsidR="00000000" w:rsidRDefault="001F1FC8">
            <w:pPr>
              <w:jc w:val="right"/>
              <w:rPr>
                <w:rFonts w:eastAsia="Times New Roman"/>
              </w:rPr>
            </w:pPr>
          </w:p>
        </w:tc>
        <w:tc>
          <w:tcPr>
            <w:tcW w:w="0" w:type="auto"/>
            <w:gridSpan w:val="2"/>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hideMark/>
          </w:tcPr>
          <w:p w:rsidR="00000000" w:rsidRDefault="001F1FC8">
            <w:pPr>
              <w:jc w:val="right"/>
              <w:rPr>
                <w:rFonts w:eastAsia="Times New Roman"/>
              </w:rPr>
            </w:pPr>
          </w:p>
        </w:tc>
        <w:tc>
          <w:tcPr>
            <w:tcW w:w="0" w:type="auto"/>
            <w:gridSpan w:val="2"/>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color w:val="000000"/>
                <w:sz w:val="16"/>
                <w:szCs w:val="16"/>
              </w:rPr>
              <w:t>(57)</w:t>
            </w:r>
          </w:p>
        </w:tc>
        <w:tc>
          <w:tcPr>
            <w:tcW w:w="0" w:type="auto"/>
            <w:tcMar>
              <w:top w:w="30" w:type="dxa"/>
              <w:left w:w="0" w:type="dxa"/>
              <w:bottom w:w="30" w:type="dxa"/>
              <w:right w:w="20" w:type="dxa"/>
            </w:tcMar>
            <w:hideMark/>
          </w:tcPr>
          <w:p w:rsidR="00000000" w:rsidRDefault="001F1FC8">
            <w:pPr>
              <w:jc w:val="right"/>
              <w:rPr>
                <w:rFonts w:eastAsia="Times New Roman"/>
              </w:rPr>
            </w:pPr>
          </w:p>
        </w:tc>
        <w:tc>
          <w:tcPr>
            <w:tcW w:w="0" w:type="auto"/>
            <w:gridSpan w:val="2"/>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color w:val="000000"/>
                <w:sz w:val="16"/>
                <w:szCs w:val="16"/>
              </w:rPr>
              <w:t>(58)</w:t>
            </w:r>
          </w:p>
        </w:tc>
        <w:tc>
          <w:tcPr>
            <w:tcW w:w="0" w:type="auto"/>
            <w:tcMar>
              <w:top w:w="30" w:type="dxa"/>
              <w:left w:w="0" w:type="dxa"/>
              <w:bottom w:w="30" w:type="dxa"/>
              <w:right w:w="20" w:type="dxa"/>
            </w:tcMar>
            <w:hideMark/>
          </w:tcPr>
          <w:p w:rsidR="00000000" w:rsidRDefault="001F1FC8">
            <w:pPr>
              <w:jc w:val="right"/>
              <w:rPr>
                <w:rFonts w:eastAsia="Times New Roman"/>
              </w:rPr>
            </w:pPr>
          </w:p>
        </w:tc>
        <w:tc>
          <w:tcPr>
            <w:tcW w:w="0" w:type="auto"/>
            <w:gridSpan w:val="2"/>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color w:val="000000"/>
                <w:sz w:val="16"/>
                <w:szCs w:val="16"/>
              </w:rPr>
              <w:t>9 </w:t>
            </w:r>
          </w:p>
        </w:tc>
        <w:tc>
          <w:tcPr>
            <w:tcW w:w="0" w:type="auto"/>
            <w:tcMar>
              <w:top w:w="30" w:type="dxa"/>
              <w:left w:w="0" w:type="dxa"/>
              <w:bottom w:w="30" w:type="dxa"/>
              <w:right w:w="20" w:type="dxa"/>
            </w:tcMar>
            <w:hideMark/>
          </w:tcPr>
          <w:p w:rsidR="00000000" w:rsidRDefault="001F1FC8">
            <w:pPr>
              <w:jc w:val="right"/>
              <w:rPr>
                <w:rFonts w:eastAsia="Times New Roman"/>
              </w:rPr>
            </w:pPr>
          </w:p>
        </w:tc>
        <w:tc>
          <w:tcPr>
            <w:tcW w:w="0" w:type="auto"/>
            <w:gridSpan w:val="2"/>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color w:val="000000"/>
                <w:sz w:val="16"/>
                <w:szCs w:val="16"/>
              </w:rPr>
              <w:t>(49)</w:t>
            </w:r>
          </w:p>
        </w:tc>
        <w:tc>
          <w:tcPr>
            <w:tcW w:w="0" w:type="auto"/>
            <w:tcMar>
              <w:top w:w="30" w:type="dxa"/>
              <w:left w:w="0" w:type="dxa"/>
              <w:bottom w:w="30" w:type="dxa"/>
              <w:right w:w="20" w:type="dxa"/>
            </w:tcMar>
            <w:hideMark/>
          </w:tcPr>
          <w:p w:rsidR="00000000" w:rsidRDefault="001F1FC8">
            <w:pPr>
              <w:jc w:val="right"/>
              <w:rPr>
                <w:rFonts w:eastAsia="Times New Roman"/>
              </w:rPr>
            </w:pPr>
          </w:p>
        </w:tc>
      </w:tr>
      <w:tr w:rsidR="00000000">
        <w:trPr>
          <w:divId w:val="1975720572"/>
        </w:trPr>
        <w:tc>
          <w:tcPr>
            <w:tcW w:w="0" w:type="auto"/>
            <w:gridSpan w:val="3"/>
            <w:tcMar>
              <w:top w:w="30" w:type="dxa"/>
              <w:left w:w="290" w:type="dxa"/>
              <w:bottom w:w="30" w:type="dxa"/>
              <w:right w:w="20" w:type="dxa"/>
            </w:tcMar>
            <w:hideMark/>
          </w:tcPr>
          <w:p w:rsidR="00000000" w:rsidRDefault="001F1FC8">
            <w:pPr>
              <w:rPr>
                <w:rFonts w:eastAsia="Times New Roman"/>
              </w:rPr>
            </w:pPr>
            <w:r>
              <w:rPr>
                <w:rFonts w:ascii="Arial" w:eastAsia="Times New Roman" w:hAnsi="Arial" w:cs="Arial"/>
                <w:color w:val="000000"/>
                <w:sz w:val="16"/>
                <w:szCs w:val="16"/>
              </w:rPr>
              <w:t>Other contracts</w:t>
            </w:r>
          </w:p>
        </w:tc>
        <w:tc>
          <w:tcPr>
            <w:tcW w:w="0" w:type="auto"/>
            <w:gridSpan w:val="2"/>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hideMark/>
          </w:tcPr>
          <w:p w:rsidR="00000000" w:rsidRDefault="001F1FC8">
            <w:pPr>
              <w:jc w:val="right"/>
              <w:rPr>
                <w:rFonts w:eastAsia="Times New Roman"/>
              </w:rPr>
            </w:pPr>
          </w:p>
        </w:tc>
        <w:tc>
          <w:tcPr>
            <w:tcW w:w="0" w:type="auto"/>
            <w:gridSpan w:val="2"/>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hideMark/>
          </w:tcPr>
          <w:p w:rsidR="00000000" w:rsidRDefault="001F1FC8">
            <w:pPr>
              <w:jc w:val="right"/>
              <w:rPr>
                <w:rFonts w:eastAsia="Times New Roman"/>
              </w:rPr>
            </w:pPr>
          </w:p>
        </w:tc>
        <w:tc>
          <w:tcPr>
            <w:tcW w:w="0" w:type="auto"/>
            <w:gridSpan w:val="2"/>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hideMark/>
          </w:tcPr>
          <w:p w:rsidR="00000000" w:rsidRDefault="001F1FC8">
            <w:pPr>
              <w:jc w:val="right"/>
              <w:rPr>
                <w:rFonts w:eastAsia="Times New Roman"/>
              </w:rPr>
            </w:pPr>
          </w:p>
        </w:tc>
        <w:tc>
          <w:tcPr>
            <w:tcW w:w="0" w:type="auto"/>
            <w:gridSpan w:val="2"/>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hideMark/>
          </w:tcPr>
          <w:p w:rsidR="00000000" w:rsidRDefault="001F1FC8">
            <w:pPr>
              <w:jc w:val="right"/>
              <w:rPr>
                <w:rFonts w:eastAsia="Times New Roman"/>
              </w:rPr>
            </w:pPr>
          </w:p>
        </w:tc>
        <w:tc>
          <w:tcPr>
            <w:tcW w:w="0" w:type="auto"/>
            <w:gridSpan w:val="2"/>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hideMark/>
          </w:tcPr>
          <w:p w:rsidR="00000000" w:rsidRDefault="001F1FC8">
            <w:pPr>
              <w:jc w:val="right"/>
              <w:rPr>
                <w:rFonts w:eastAsia="Times New Roman"/>
              </w:rPr>
            </w:pPr>
          </w:p>
        </w:tc>
        <w:tc>
          <w:tcPr>
            <w:tcW w:w="0" w:type="auto"/>
            <w:gridSpan w:val="2"/>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hideMark/>
          </w:tcPr>
          <w:p w:rsidR="00000000" w:rsidRDefault="001F1FC8">
            <w:pPr>
              <w:jc w:val="right"/>
              <w:rPr>
                <w:rFonts w:eastAsia="Times New Roman"/>
              </w:rPr>
            </w:pPr>
          </w:p>
        </w:tc>
        <w:tc>
          <w:tcPr>
            <w:tcW w:w="0" w:type="auto"/>
            <w:gridSpan w:val="2"/>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hideMark/>
          </w:tcPr>
          <w:p w:rsidR="00000000" w:rsidRDefault="001F1FC8">
            <w:pPr>
              <w:jc w:val="right"/>
              <w:rPr>
                <w:rFonts w:eastAsia="Times New Roman"/>
              </w:rPr>
            </w:pPr>
          </w:p>
        </w:tc>
      </w:tr>
      <w:tr w:rsidR="00000000">
        <w:trPr>
          <w:divId w:val="1975720572"/>
        </w:trPr>
        <w:tc>
          <w:tcPr>
            <w:tcW w:w="0" w:type="auto"/>
            <w:gridSpan w:val="3"/>
            <w:tcBorders>
              <w:top w:val="single" w:sz="4" w:space="0" w:color="000000"/>
            </w:tcBorders>
            <w:tcMar>
              <w:top w:w="30" w:type="dxa"/>
              <w:left w:w="20" w:type="dxa"/>
              <w:bottom w:w="30" w:type="dxa"/>
              <w:right w:w="20" w:type="dxa"/>
            </w:tcMar>
            <w:hideMark/>
          </w:tcPr>
          <w:p w:rsidR="00000000" w:rsidRDefault="001F1FC8">
            <w:pPr>
              <w:rPr>
                <w:rFonts w:eastAsia="Times New Roman"/>
              </w:rPr>
            </w:pPr>
            <w:r>
              <w:rPr>
                <w:rFonts w:ascii="Arial" w:eastAsia="Times New Roman" w:hAnsi="Arial" w:cs="Arial"/>
                <w:color w:val="000000"/>
                <w:sz w:val="2"/>
                <w:szCs w:val="2"/>
              </w:rPr>
              <w:t> </w:t>
            </w:r>
          </w:p>
        </w:tc>
        <w:tc>
          <w:tcPr>
            <w:tcW w:w="0" w:type="auto"/>
            <w:gridSpan w:val="2"/>
            <w:tcBorders>
              <w:top w:val="single" w:sz="4" w:space="0" w:color="000000"/>
            </w:tcBorders>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color w:val="000000"/>
                <w:sz w:val="16"/>
                <w:szCs w:val="16"/>
              </w:rPr>
              <w:t>(219)</w:t>
            </w:r>
          </w:p>
        </w:tc>
        <w:tc>
          <w:tcPr>
            <w:tcW w:w="0" w:type="auto"/>
            <w:tcBorders>
              <w:top w:val="single" w:sz="4" w:space="0" w:color="000000"/>
            </w:tcBorders>
            <w:tcMar>
              <w:top w:w="30" w:type="dxa"/>
              <w:left w:w="0" w:type="dxa"/>
              <w:bottom w:w="30" w:type="dxa"/>
              <w:right w:w="20" w:type="dxa"/>
            </w:tcMar>
            <w:hideMark/>
          </w:tcPr>
          <w:p w:rsidR="00000000" w:rsidRDefault="001F1FC8">
            <w:pPr>
              <w:jc w:val="right"/>
              <w:rPr>
                <w:rFonts w:eastAsia="Times New Roman"/>
              </w:rPr>
            </w:pPr>
          </w:p>
        </w:tc>
        <w:tc>
          <w:tcPr>
            <w:tcW w:w="0" w:type="auto"/>
            <w:gridSpan w:val="2"/>
            <w:tcBorders>
              <w:top w:val="single" w:sz="4" w:space="0" w:color="000000"/>
            </w:tcBorders>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color w:val="000000"/>
                <w:sz w:val="16"/>
                <w:szCs w:val="16"/>
              </w:rPr>
              <w:t>— </w:t>
            </w:r>
          </w:p>
        </w:tc>
        <w:tc>
          <w:tcPr>
            <w:tcW w:w="0" w:type="auto"/>
            <w:tcBorders>
              <w:top w:val="single" w:sz="4" w:space="0" w:color="000000"/>
            </w:tcBorders>
            <w:tcMar>
              <w:top w:w="30" w:type="dxa"/>
              <w:left w:w="0" w:type="dxa"/>
              <w:bottom w:w="30" w:type="dxa"/>
              <w:right w:w="20" w:type="dxa"/>
            </w:tcMar>
            <w:hideMark/>
          </w:tcPr>
          <w:p w:rsidR="00000000" w:rsidRDefault="001F1FC8">
            <w:pPr>
              <w:jc w:val="right"/>
              <w:rPr>
                <w:rFonts w:eastAsia="Times New Roman"/>
              </w:rPr>
            </w:pPr>
          </w:p>
        </w:tc>
        <w:tc>
          <w:tcPr>
            <w:tcW w:w="0" w:type="auto"/>
            <w:gridSpan w:val="2"/>
            <w:tcBorders>
              <w:top w:val="single" w:sz="4" w:space="0" w:color="000000"/>
            </w:tcBorders>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color w:val="000000"/>
                <w:sz w:val="16"/>
                <w:szCs w:val="16"/>
              </w:rPr>
              <w:t>(87)</w:t>
            </w:r>
          </w:p>
        </w:tc>
        <w:tc>
          <w:tcPr>
            <w:tcW w:w="0" w:type="auto"/>
            <w:tcBorders>
              <w:top w:val="single" w:sz="4" w:space="0" w:color="000000"/>
            </w:tcBorders>
            <w:tcMar>
              <w:top w:w="30" w:type="dxa"/>
              <w:left w:w="0" w:type="dxa"/>
              <w:bottom w:w="30" w:type="dxa"/>
              <w:right w:w="20" w:type="dxa"/>
            </w:tcMar>
            <w:hideMark/>
          </w:tcPr>
          <w:p w:rsidR="00000000" w:rsidRDefault="001F1FC8">
            <w:pPr>
              <w:jc w:val="right"/>
              <w:rPr>
                <w:rFonts w:eastAsia="Times New Roman"/>
              </w:rPr>
            </w:pPr>
          </w:p>
        </w:tc>
        <w:tc>
          <w:tcPr>
            <w:tcW w:w="0" w:type="auto"/>
            <w:gridSpan w:val="2"/>
            <w:tcBorders>
              <w:top w:val="single" w:sz="4" w:space="0" w:color="000000"/>
            </w:tcBorders>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color w:val="000000"/>
                <w:sz w:val="16"/>
                <w:szCs w:val="16"/>
              </w:rPr>
              <w:t>(753)</w:t>
            </w:r>
          </w:p>
        </w:tc>
        <w:tc>
          <w:tcPr>
            <w:tcW w:w="0" w:type="auto"/>
            <w:tcBorders>
              <w:top w:val="single" w:sz="4" w:space="0" w:color="000000"/>
            </w:tcBorders>
            <w:tcMar>
              <w:top w:w="30" w:type="dxa"/>
              <w:left w:w="0" w:type="dxa"/>
              <w:bottom w:w="30" w:type="dxa"/>
              <w:right w:w="20" w:type="dxa"/>
            </w:tcMar>
            <w:hideMark/>
          </w:tcPr>
          <w:p w:rsidR="00000000" w:rsidRDefault="001F1FC8">
            <w:pPr>
              <w:jc w:val="right"/>
              <w:rPr>
                <w:rFonts w:eastAsia="Times New Roman"/>
              </w:rPr>
            </w:pPr>
          </w:p>
        </w:tc>
        <w:tc>
          <w:tcPr>
            <w:tcW w:w="0" w:type="auto"/>
            <w:gridSpan w:val="2"/>
            <w:tcBorders>
              <w:top w:val="single" w:sz="4" w:space="0" w:color="000000"/>
            </w:tcBorders>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color w:val="000000"/>
                <w:sz w:val="16"/>
                <w:szCs w:val="16"/>
              </w:rPr>
              <w:t>(1,059)</w:t>
            </w:r>
          </w:p>
        </w:tc>
        <w:tc>
          <w:tcPr>
            <w:tcW w:w="0" w:type="auto"/>
            <w:tcBorders>
              <w:top w:val="single" w:sz="4" w:space="0" w:color="000000"/>
            </w:tcBorders>
            <w:tcMar>
              <w:top w:w="30" w:type="dxa"/>
              <w:left w:w="0" w:type="dxa"/>
              <w:bottom w:w="30" w:type="dxa"/>
              <w:right w:w="20" w:type="dxa"/>
            </w:tcMar>
            <w:hideMark/>
          </w:tcPr>
          <w:p w:rsidR="00000000" w:rsidRDefault="001F1FC8">
            <w:pPr>
              <w:jc w:val="right"/>
              <w:rPr>
                <w:rFonts w:eastAsia="Times New Roman"/>
              </w:rPr>
            </w:pPr>
          </w:p>
        </w:tc>
        <w:tc>
          <w:tcPr>
            <w:tcW w:w="0" w:type="auto"/>
            <w:gridSpan w:val="2"/>
            <w:tcBorders>
              <w:top w:val="single" w:sz="4" w:space="0" w:color="000000"/>
            </w:tcBorders>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color w:val="000000"/>
                <w:sz w:val="16"/>
                <w:szCs w:val="16"/>
              </w:rPr>
              <w:t>252 </w:t>
            </w:r>
          </w:p>
        </w:tc>
        <w:tc>
          <w:tcPr>
            <w:tcW w:w="0" w:type="auto"/>
            <w:tcBorders>
              <w:top w:val="single" w:sz="4" w:space="0" w:color="000000"/>
            </w:tcBorders>
            <w:tcMar>
              <w:top w:w="30" w:type="dxa"/>
              <w:left w:w="0" w:type="dxa"/>
              <w:bottom w:w="30" w:type="dxa"/>
              <w:right w:w="20" w:type="dxa"/>
            </w:tcMar>
            <w:hideMark/>
          </w:tcPr>
          <w:p w:rsidR="00000000" w:rsidRDefault="001F1FC8">
            <w:pPr>
              <w:jc w:val="right"/>
              <w:rPr>
                <w:rFonts w:eastAsia="Times New Roman"/>
              </w:rPr>
            </w:pPr>
          </w:p>
        </w:tc>
        <w:tc>
          <w:tcPr>
            <w:tcW w:w="0" w:type="auto"/>
            <w:gridSpan w:val="2"/>
            <w:tcBorders>
              <w:top w:val="single" w:sz="4" w:space="0" w:color="000000"/>
            </w:tcBorders>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color w:val="000000"/>
                <w:sz w:val="16"/>
                <w:szCs w:val="16"/>
              </w:rPr>
              <w:t>(807)</w:t>
            </w:r>
          </w:p>
        </w:tc>
        <w:tc>
          <w:tcPr>
            <w:tcW w:w="0" w:type="auto"/>
            <w:tcBorders>
              <w:top w:val="single" w:sz="4" w:space="0" w:color="000000"/>
            </w:tcBorders>
            <w:tcMar>
              <w:top w:w="30" w:type="dxa"/>
              <w:left w:w="0" w:type="dxa"/>
              <w:bottom w:w="30" w:type="dxa"/>
              <w:right w:w="20" w:type="dxa"/>
            </w:tcMar>
            <w:hideMark/>
          </w:tcPr>
          <w:p w:rsidR="00000000" w:rsidRDefault="001F1FC8">
            <w:pPr>
              <w:jc w:val="right"/>
              <w:rPr>
                <w:rFonts w:eastAsia="Times New Roman"/>
              </w:rPr>
            </w:pPr>
          </w:p>
        </w:tc>
      </w:tr>
      <w:tr w:rsidR="00000000">
        <w:trPr>
          <w:divId w:val="1975720572"/>
        </w:trPr>
        <w:tc>
          <w:tcPr>
            <w:tcW w:w="0" w:type="auto"/>
            <w:gridSpan w:val="3"/>
            <w:tcBorders>
              <w:top w:val="single" w:sz="4" w:space="0" w:color="000000"/>
            </w:tcBorders>
            <w:tcMar>
              <w:top w:w="30" w:type="dxa"/>
              <w:left w:w="200" w:type="dxa"/>
              <w:bottom w:w="30" w:type="dxa"/>
              <w:right w:w="20" w:type="dxa"/>
            </w:tcMar>
            <w:hideMark/>
          </w:tcPr>
          <w:p w:rsidR="00000000" w:rsidRDefault="001F1FC8">
            <w:pPr>
              <w:rPr>
                <w:rFonts w:eastAsia="Times New Roman"/>
              </w:rPr>
            </w:pPr>
            <w:r>
              <w:rPr>
                <w:rFonts w:ascii="Arial" w:eastAsia="Times New Roman" w:hAnsi="Arial" w:cs="Arial"/>
                <w:color w:val="000000"/>
                <w:sz w:val="16"/>
                <w:szCs w:val="16"/>
              </w:rPr>
              <w:t>Total net derivative asset/(liability)</w:t>
            </w:r>
          </w:p>
        </w:tc>
        <w:tc>
          <w:tcPr>
            <w:tcW w:w="0" w:type="auto"/>
            <w:gridSpan w:val="3"/>
            <w:tcBorders>
              <w:top w:val="single" w:sz="4" w:space="0" w:color="000000"/>
            </w:tcBorders>
            <w:tcMar>
              <w:top w:w="30" w:type="dxa"/>
              <w:left w:w="20" w:type="dxa"/>
              <w:bottom w:w="30" w:type="dxa"/>
              <w:right w:w="20" w:type="dxa"/>
            </w:tcMar>
            <w:hideMark/>
          </w:tcPr>
          <w:p w:rsidR="00000000" w:rsidRDefault="001F1FC8">
            <w:pPr>
              <w:jc w:val="right"/>
              <w:rPr>
                <w:rFonts w:eastAsia="Times New Roman"/>
              </w:rPr>
            </w:pPr>
            <w:r>
              <w:rPr>
                <w:rFonts w:ascii="Arial" w:eastAsia="Times New Roman" w:hAnsi="Arial" w:cs="Arial"/>
                <w:color w:val="000000"/>
                <w:sz w:val="2"/>
                <w:szCs w:val="2"/>
              </w:rPr>
              <w:t> </w:t>
            </w:r>
          </w:p>
        </w:tc>
        <w:tc>
          <w:tcPr>
            <w:tcW w:w="0" w:type="auto"/>
            <w:gridSpan w:val="3"/>
            <w:tcBorders>
              <w:top w:val="single" w:sz="4" w:space="0" w:color="000000"/>
            </w:tcBorders>
            <w:tcMar>
              <w:top w:w="30" w:type="dxa"/>
              <w:left w:w="20" w:type="dxa"/>
              <w:bottom w:w="30" w:type="dxa"/>
              <w:right w:w="20" w:type="dxa"/>
            </w:tcMar>
            <w:hideMark/>
          </w:tcPr>
          <w:p w:rsidR="00000000" w:rsidRDefault="001F1FC8">
            <w:pPr>
              <w:jc w:val="right"/>
              <w:rPr>
                <w:rFonts w:eastAsia="Times New Roman"/>
              </w:rPr>
            </w:pPr>
            <w:r>
              <w:rPr>
                <w:rFonts w:ascii="Arial" w:eastAsia="Times New Roman" w:hAnsi="Arial" w:cs="Arial"/>
                <w:color w:val="000000"/>
                <w:sz w:val="2"/>
                <w:szCs w:val="2"/>
              </w:rPr>
              <w:t> </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1F1FC8">
            <w:pPr>
              <w:jc w:val="right"/>
              <w:rPr>
                <w:rFonts w:eastAsia="Times New Roman"/>
              </w:rPr>
            </w:pPr>
          </w:p>
        </w:tc>
        <w:tc>
          <w:tcPr>
            <w:tcW w:w="0" w:type="auto"/>
            <w:gridSpan w:val="3"/>
            <w:tcBorders>
              <w:top w:val="single" w:sz="4" w:space="0" w:color="000000"/>
            </w:tcBorders>
            <w:tcMar>
              <w:top w:w="30" w:type="dxa"/>
              <w:left w:w="20" w:type="dxa"/>
              <w:bottom w:w="30" w:type="dxa"/>
              <w:right w:w="20" w:type="dxa"/>
            </w:tcMar>
            <w:hideMark/>
          </w:tcPr>
          <w:p w:rsidR="00000000" w:rsidRDefault="001F1FC8">
            <w:pPr>
              <w:jc w:val="right"/>
              <w:rPr>
                <w:rFonts w:eastAsia="Times New Roman"/>
              </w:rPr>
            </w:pPr>
            <w:r>
              <w:rPr>
                <w:rFonts w:ascii="Arial" w:eastAsia="Times New Roman" w:hAnsi="Arial" w:cs="Arial"/>
                <w:color w:val="000000"/>
                <w:sz w:val="2"/>
                <w:szCs w:val="2"/>
              </w:rPr>
              <w:t> </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1F1FC8">
            <w:pPr>
              <w:jc w:val="right"/>
              <w:rPr>
                <w:rFonts w:eastAsia="Times New Roman"/>
              </w:rPr>
            </w:pPr>
          </w:p>
        </w:tc>
        <w:tc>
          <w:tcPr>
            <w:tcW w:w="0" w:type="auto"/>
            <w:gridSpan w:val="3"/>
            <w:tcBorders>
              <w:top w:val="single" w:sz="4" w:space="0" w:color="000000"/>
            </w:tcBorders>
            <w:tcMar>
              <w:top w:w="30" w:type="dxa"/>
              <w:left w:w="20" w:type="dxa"/>
              <w:bottom w:w="30" w:type="dxa"/>
              <w:right w:w="20" w:type="dxa"/>
            </w:tcMar>
            <w:hideMark/>
          </w:tcPr>
          <w:p w:rsidR="00000000" w:rsidRDefault="001F1FC8">
            <w:pPr>
              <w:jc w:val="right"/>
              <w:rPr>
                <w:rFonts w:eastAsia="Times New Roman"/>
              </w:rPr>
            </w:pPr>
            <w:r>
              <w:rPr>
                <w:rFonts w:ascii="Arial" w:eastAsia="Times New Roman" w:hAnsi="Arial" w:cs="Arial"/>
                <w:color w:val="000000"/>
                <w:sz w:val="2"/>
                <w:szCs w:val="2"/>
              </w:rPr>
              <w:t> </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1F1FC8">
            <w:pPr>
              <w:jc w:val="right"/>
              <w:rPr>
                <w:rFonts w:eastAsia="Times New Roman"/>
              </w:rPr>
            </w:pPr>
          </w:p>
        </w:tc>
      </w:tr>
      <w:tr w:rsidR="00000000">
        <w:trPr>
          <w:divId w:val="1975720572"/>
        </w:trPr>
        <w:tc>
          <w:tcPr>
            <w:tcW w:w="0" w:type="auto"/>
            <w:gridSpan w:val="3"/>
            <w:tcMar>
              <w:top w:w="30" w:type="dxa"/>
              <w:left w:w="155" w:type="dxa"/>
              <w:bottom w:w="30" w:type="dxa"/>
              <w:right w:w="20" w:type="dxa"/>
            </w:tcMar>
            <w:hideMark/>
          </w:tcPr>
          <w:p w:rsidR="00000000" w:rsidRDefault="001F1FC8">
            <w:pPr>
              <w:rPr>
                <w:rFonts w:eastAsia="Times New Roman"/>
              </w:rPr>
            </w:pPr>
            <w:r>
              <w:rPr>
                <w:rFonts w:ascii="Arial" w:eastAsia="Times New Roman" w:hAnsi="Arial" w:cs="Arial"/>
                <w:color w:val="000000"/>
                <w:sz w:val="16"/>
                <w:szCs w:val="16"/>
              </w:rPr>
              <w:t>   Foreign exchange contracts</w:t>
            </w:r>
          </w:p>
        </w:tc>
        <w:tc>
          <w:tcPr>
            <w:tcW w:w="0" w:type="auto"/>
            <w:gridSpan w:val="2"/>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color w:val="000000"/>
                <w:sz w:val="16"/>
                <w:szCs w:val="16"/>
              </w:rPr>
              <w:t>9 </w:t>
            </w:r>
          </w:p>
        </w:tc>
        <w:tc>
          <w:tcPr>
            <w:tcW w:w="0" w:type="auto"/>
            <w:tcMar>
              <w:top w:w="30" w:type="dxa"/>
              <w:left w:w="0" w:type="dxa"/>
              <w:bottom w:w="30" w:type="dxa"/>
              <w:right w:w="20" w:type="dxa"/>
            </w:tcMar>
            <w:hideMark/>
          </w:tcPr>
          <w:p w:rsidR="00000000" w:rsidRDefault="001F1FC8">
            <w:pPr>
              <w:jc w:val="right"/>
              <w:rPr>
                <w:rFonts w:eastAsia="Times New Roman"/>
              </w:rPr>
            </w:pPr>
          </w:p>
        </w:tc>
        <w:tc>
          <w:tcPr>
            <w:tcW w:w="0" w:type="auto"/>
            <w:gridSpan w:val="2"/>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hideMark/>
          </w:tcPr>
          <w:p w:rsidR="00000000" w:rsidRDefault="001F1FC8">
            <w:pPr>
              <w:jc w:val="right"/>
              <w:rPr>
                <w:rFonts w:eastAsia="Times New Roman"/>
              </w:rPr>
            </w:pPr>
          </w:p>
        </w:tc>
        <w:tc>
          <w:tcPr>
            <w:tcW w:w="0" w:type="auto"/>
            <w:gridSpan w:val="2"/>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color w:val="000000"/>
                <w:sz w:val="16"/>
                <w:szCs w:val="16"/>
              </w:rPr>
              <w:t>(116)</w:t>
            </w:r>
          </w:p>
        </w:tc>
        <w:tc>
          <w:tcPr>
            <w:tcW w:w="0" w:type="auto"/>
            <w:tcMar>
              <w:top w:w="30" w:type="dxa"/>
              <w:left w:w="0" w:type="dxa"/>
              <w:bottom w:w="30" w:type="dxa"/>
              <w:right w:w="20" w:type="dxa"/>
            </w:tcMar>
            <w:hideMark/>
          </w:tcPr>
          <w:p w:rsidR="00000000" w:rsidRDefault="001F1FC8">
            <w:pPr>
              <w:jc w:val="right"/>
              <w:rPr>
                <w:rFonts w:eastAsia="Times New Roman"/>
              </w:rPr>
            </w:pPr>
          </w:p>
        </w:tc>
        <w:tc>
          <w:tcPr>
            <w:tcW w:w="0" w:type="auto"/>
            <w:gridSpan w:val="2"/>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color w:val="000000"/>
                <w:sz w:val="16"/>
                <w:szCs w:val="16"/>
              </w:rPr>
              <w:t>(192)</w:t>
            </w:r>
          </w:p>
        </w:tc>
        <w:tc>
          <w:tcPr>
            <w:tcW w:w="0" w:type="auto"/>
            <w:tcMar>
              <w:top w:w="30" w:type="dxa"/>
              <w:left w:w="0" w:type="dxa"/>
              <w:bottom w:w="30" w:type="dxa"/>
              <w:right w:w="20" w:type="dxa"/>
            </w:tcMar>
            <w:hideMark/>
          </w:tcPr>
          <w:p w:rsidR="00000000" w:rsidRDefault="001F1FC8">
            <w:pPr>
              <w:jc w:val="right"/>
              <w:rPr>
                <w:rFonts w:eastAsia="Times New Roman"/>
              </w:rPr>
            </w:pPr>
          </w:p>
        </w:tc>
        <w:tc>
          <w:tcPr>
            <w:tcW w:w="0" w:type="auto"/>
            <w:gridSpan w:val="2"/>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color w:val="000000"/>
                <w:sz w:val="16"/>
                <w:szCs w:val="16"/>
              </w:rPr>
              <w:t>(299)</w:t>
            </w:r>
          </w:p>
        </w:tc>
        <w:tc>
          <w:tcPr>
            <w:tcW w:w="0" w:type="auto"/>
            <w:tcMar>
              <w:top w:w="30" w:type="dxa"/>
              <w:left w:w="0" w:type="dxa"/>
              <w:bottom w:w="30" w:type="dxa"/>
              <w:right w:w="20" w:type="dxa"/>
            </w:tcMar>
            <w:hideMark/>
          </w:tcPr>
          <w:p w:rsidR="00000000" w:rsidRDefault="001F1FC8">
            <w:pPr>
              <w:jc w:val="right"/>
              <w:rPr>
                <w:rFonts w:eastAsia="Times New Roman"/>
              </w:rPr>
            </w:pPr>
          </w:p>
        </w:tc>
        <w:tc>
          <w:tcPr>
            <w:tcW w:w="0" w:type="auto"/>
            <w:gridSpan w:val="2"/>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hideMark/>
          </w:tcPr>
          <w:p w:rsidR="00000000" w:rsidRDefault="001F1FC8">
            <w:pPr>
              <w:jc w:val="right"/>
              <w:rPr>
                <w:rFonts w:eastAsia="Times New Roman"/>
              </w:rPr>
            </w:pPr>
          </w:p>
        </w:tc>
        <w:tc>
          <w:tcPr>
            <w:tcW w:w="0" w:type="auto"/>
            <w:gridSpan w:val="2"/>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color w:val="000000"/>
                <w:sz w:val="16"/>
                <w:szCs w:val="16"/>
              </w:rPr>
              <w:t>(299)</w:t>
            </w:r>
          </w:p>
        </w:tc>
        <w:tc>
          <w:tcPr>
            <w:tcW w:w="0" w:type="auto"/>
            <w:tcMar>
              <w:top w:w="30" w:type="dxa"/>
              <w:left w:w="0" w:type="dxa"/>
              <w:bottom w:w="30" w:type="dxa"/>
              <w:right w:w="20" w:type="dxa"/>
            </w:tcMar>
            <w:hideMark/>
          </w:tcPr>
          <w:p w:rsidR="00000000" w:rsidRDefault="001F1FC8">
            <w:pPr>
              <w:jc w:val="right"/>
              <w:rPr>
                <w:rFonts w:eastAsia="Times New Roman"/>
              </w:rPr>
            </w:pPr>
          </w:p>
        </w:tc>
      </w:tr>
      <w:tr w:rsidR="00000000">
        <w:trPr>
          <w:divId w:val="1975720572"/>
        </w:trPr>
        <w:tc>
          <w:tcPr>
            <w:tcW w:w="0" w:type="auto"/>
            <w:gridSpan w:val="3"/>
            <w:tcMar>
              <w:top w:w="30" w:type="dxa"/>
              <w:left w:w="155" w:type="dxa"/>
              <w:bottom w:w="30" w:type="dxa"/>
              <w:right w:w="20" w:type="dxa"/>
            </w:tcMar>
            <w:hideMark/>
          </w:tcPr>
          <w:p w:rsidR="00000000" w:rsidRDefault="001F1FC8">
            <w:pPr>
              <w:rPr>
                <w:rFonts w:eastAsia="Times New Roman"/>
              </w:rPr>
            </w:pPr>
            <w:r>
              <w:rPr>
                <w:rFonts w:ascii="Arial" w:eastAsia="Times New Roman" w:hAnsi="Arial" w:cs="Arial"/>
                <w:color w:val="000000"/>
                <w:sz w:val="16"/>
                <w:szCs w:val="16"/>
              </w:rPr>
              <w:t>   </w:t>
            </w:r>
            <w:r>
              <w:rPr>
                <w:rFonts w:ascii="Arial" w:eastAsia="Times New Roman" w:hAnsi="Arial" w:cs="Arial"/>
                <w:color w:val="000000"/>
                <w:sz w:val="16"/>
                <w:szCs w:val="16"/>
              </w:rPr>
              <w:t>Interest rate contracts</w:t>
            </w:r>
          </w:p>
        </w:tc>
        <w:tc>
          <w:tcPr>
            <w:tcW w:w="0" w:type="auto"/>
            <w:gridSpan w:val="2"/>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color w:val="000000"/>
                <w:sz w:val="16"/>
                <w:szCs w:val="16"/>
              </w:rPr>
              <w:t>(585)</w:t>
            </w:r>
          </w:p>
        </w:tc>
        <w:tc>
          <w:tcPr>
            <w:tcW w:w="0" w:type="auto"/>
            <w:tcMar>
              <w:top w:w="30" w:type="dxa"/>
              <w:left w:w="0" w:type="dxa"/>
              <w:bottom w:w="30" w:type="dxa"/>
              <w:right w:w="20" w:type="dxa"/>
            </w:tcMar>
            <w:hideMark/>
          </w:tcPr>
          <w:p w:rsidR="00000000" w:rsidRDefault="001F1FC8">
            <w:pPr>
              <w:jc w:val="right"/>
              <w:rPr>
                <w:rFonts w:eastAsia="Times New Roman"/>
              </w:rPr>
            </w:pPr>
          </w:p>
        </w:tc>
        <w:tc>
          <w:tcPr>
            <w:tcW w:w="0" w:type="auto"/>
            <w:gridSpan w:val="2"/>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hideMark/>
          </w:tcPr>
          <w:p w:rsidR="00000000" w:rsidRDefault="001F1FC8">
            <w:pPr>
              <w:jc w:val="right"/>
              <w:rPr>
                <w:rFonts w:eastAsia="Times New Roman"/>
              </w:rPr>
            </w:pPr>
          </w:p>
        </w:tc>
        <w:tc>
          <w:tcPr>
            <w:tcW w:w="0" w:type="auto"/>
            <w:gridSpan w:val="2"/>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hideMark/>
          </w:tcPr>
          <w:p w:rsidR="00000000" w:rsidRDefault="001F1FC8">
            <w:pPr>
              <w:jc w:val="right"/>
              <w:rPr>
                <w:rFonts w:eastAsia="Times New Roman"/>
              </w:rPr>
            </w:pPr>
          </w:p>
        </w:tc>
        <w:tc>
          <w:tcPr>
            <w:tcW w:w="0" w:type="auto"/>
            <w:gridSpan w:val="2"/>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color w:val="000000"/>
                <w:sz w:val="16"/>
                <w:szCs w:val="16"/>
              </w:rPr>
              <w:t>(25)</w:t>
            </w:r>
          </w:p>
        </w:tc>
        <w:tc>
          <w:tcPr>
            <w:tcW w:w="0" w:type="auto"/>
            <w:tcMar>
              <w:top w:w="30" w:type="dxa"/>
              <w:left w:w="0" w:type="dxa"/>
              <w:bottom w:w="30" w:type="dxa"/>
              <w:right w:w="20" w:type="dxa"/>
            </w:tcMar>
            <w:hideMark/>
          </w:tcPr>
          <w:p w:rsidR="00000000" w:rsidRDefault="001F1FC8">
            <w:pPr>
              <w:jc w:val="right"/>
              <w:rPr>
                <w:rFonts w:eastAsia="Times New Roman"/>
              </w:rPr>
            </w:pPr>
          </w:p>
        </w:tc>
        <w:tc>
          <w:tcPr>
            <w:tcW w:w="0" w:type="auto"/>
            <w:gridSpan w:val="2"/>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color w:val="000000"/>
                <w:sz w:val="16"/>
                <w:szCs w:val="16"/>
              </w:rPr>
              <w:t>(610)</w:t>
            </w:r>
          </w:p>
        </w:tc>
        <w:tc>
          <w:tcPr>
            <w:tcW w:w="0" w:type="auto"/>
            <w:tcMar>
              <w:top w:w="30" w:type="dxa"/>
              <w:left w:w="0" w:type="dxa"/>
              <w:bottom w:w="30" w:type="dxa"/>
              <w:right w:w="20" w:type="dxa"/>
            </w:tcMar>
            <w:hideMark/>
          </w:tcPr>
          <w:p w:rsidR="00000000" w:rsidRDefault="001F1FC8">
            <w:pPr>
              <w:jc w:val="right"/>
              <w:rPr>
                <w:rFonts w:eastAsia="Times New Roman"/>
              </w:rPr>
            </w:pPr>
          </w:p>
        </w:tc>
        <w:tc>
          <w:tcPr>
            <w:tcW w:w="0" w:type="auto"/>
            <w:gridSpan w:val="2"/>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hideMark/>
          </w:tcPr>
          <w:p w:rsidR="00000000" w:rsidRDefault="001F1FC8">
            <w:pPr>
              <w:jc w:val="right"/>
              <w:rPr>
                <w:rFonts w:eastAsia="Times New Roman"/>
              </w:rPr>
            </w:pPr>
          </w:p>
        </w:tc>
        <w:tc>
          <w:tcPr>
            <w:tcW w:w="0" w:type="auto"/>
            <w:gridSpan w:val="2"/>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color w:val="000000"/>
                <w:sz w:val="16"/>
                <w:szCs w:val="16"/>
              </w:rPr>
              <w:t>(610)</w:t>
            </w:r>
          </w:p>
        </w:tc>
        <w:tc>
          <w:tcPr>
            <w:tcW w:w="0" w:type="auto"/>
            <w:tcMar>
              <w:top w:w="30" w:type="dxa"/>
              <w:left w:w="0" w:type="dxa"/>
              <w:bottom w:w="30" w:type="dxa"/>
              <w:right w:w="20" w:type="dxa"/>
            </w:tcMar>
            <w:hideMark/>
          </w:tcPr>
          <w:p w:rsidR="00000000" w:rsidRDefault="001F1FC8">
            <w:pPr>
              <w:jc w:val="right"/>
              <w:rPr>
                <w:rFonts w:eastAsia="Times New Roman"/>
              </w:rPr>
            </w:pPr>
          </w:p>
        </w:tc>
      </w:tr>
      <w:tr w:rsidR="00000000">
        <w:trPr>
          <w:divId w:val="1975720572"/>
        </w:trPr>
        <w:tc>
          <w:tcPr>
            <w:tcW w:w="0" w:type="auto"/>
            <w:gridSpan w:val="3"/>
            <w:tcMar>
              <w:top w:w="30" w:type="dxa"/>
              <w:left w:w="155" w:type="dxa"/>
              <w:bottom w:w="30" w:type="dxa"/>
              <w:right w:w="20" w:type="dxa"/>
            </w:tcMar>
            <w:hideMark/>
          </w:tcPr>
          <w:p w:rsidR="00000000" w:rsidRDefault="001F1FC8">
            <w:pPr>
              <w:rPr>
                <w:rFonts w:eastAsia="Times New Roman"/>
              </w:rPr>
            </w:pPr>
            <w:r>
              <w:rPr>
                <w:rFonts w:ascii="Arial" w:eastAsia="Times New Roman" w:hAnsi="Arial" w:cs="Arial"/>
                <w:color w:val="000000"/>
                <w:sz w:val="16"/>
                <w:szCs w:val="16"/>
              </w:rPr>
              <w:t>   Commodity contracts</w:t>
            </w:r>
          </w:p>
        </w:tc>
        <w:tc>
          <w:tcPr>
            <w:tcW w:w="0" w:type="auto"/>
            <w:gridSpan w:val="2"/>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color w:val="000000"/>
                <w:sz w:val="16"/>
                <w:szCs w:val="16"/>
              </w:rPr>
              <w:t>(3)</w:t>
            </w:r>
          </w:p>
        </w:tc>
        <w:tc>
          <w:tcPr>
            <w:tcW w:w="0" w:type="auto"/>
            <w:tcMar>
              <w:top w:w="30" w:type="dxa"/>
              <w:left w:w="0" w:type="dxa"/>
              <w:bottom w:w="30" w:type="dxa"/>
              <w:right w:w="20" w:type="dxa"/>
            </w:tcMar>
            <w:hideMark/>
          </w:tcPr>
          <w:p w:rsidR="00000000" w:rsidRDefault="001F1FC8">
            <w:pPr>
              <w:jc w:val="right"/>
              <w:rPr>
                <w:rFonts w:eastAsia="Times New Roman"/>
              </w:rPr>
            </w:pPr>
          </w:p>
        </w:tc>
        <w:tc>
          <w:tcPr>
            <w:tcW w:w="0" w:type="auto"/>
            <w:gridSpan w:val="2"/>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hideMark/>
          </w:tcPr>
          <w:p w:rsidR="00000000" w:rsidRDefault="001F1FC8">
            <w:pPr>
              <w:jc w:val="right"/>
              <w:rPr>
                <w:rFonts w:eastAsia="Times New Roman"/>
              </w:rPr>
            </w:pPr>
          </w:p>
        </w:tc>
        <w:tc>
          <w:tcPr>
            <w:tcW w:w="0" w:type="auto"/>
            <w:gridSpan w:val="2"/>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hideMark/>
          </w:tcPr>
          <w:p w:rsidR="00000000" w:rsidRDefault="001F1FC8">
            <w:pPr>
              <w:jc w:val="right"/>
              <w:rPr>
                <w:rFonts w:eastAsia="Times New Roman"/>
              </w:rPr>
            </w:pPr>
          </w:p>
        </w:tc>
        <w:tc>
          <w:tcPr>
            <w:tcW w:w="0" w:type="auto"/>
            <w:gridSpan w:val="2"/>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color w:val="000000"/>
                <w:sz w:val="16"/>
                <w:szCs w:val="16"/>
              </w:rPr>
              <w:t>(153)</w:t>
            </w:r>
          </w:p>
        </w:tc>
        <w:tc>
          <w:tcPr>
            <w:tcW w:w="0" w:type="auto"/>
            <w:tcMar>
              <w:top w:w="30" w:type="dxa"/>
              <w:left w:w="0" w:type="dxa"/>
              <w:bottom w:w="30" w:type="dxa"/>
              <w:right w:w="20" w:type="dxa"/>
            </w:tcMar>
            <w:hideMark/>
          </w:tcPr>
          <w:p w:rsidR="00000000" w:rsidRDefault="001F1FC8">
            <w:pPr>
              <w:jc w:val="right"/>
              <w:rPr>
                <w:rFonts w:eastAsia="Times New Roman"/>
              </w:rPr>
            </w:pPr>
          </w:p>
        </w:tc>
        <w:tc>
          <w:tcPr>
            <w:tcW w:w="0" w:type="auto"/>
            <w:gridSpan w:val="2"/>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color w:val="000000"/>
                <w:sz w:val="16"/>
                <w:szCs w:val="16"/>
              </w:rPr>
              <w:t>(156)</w:t>
            </w:r>
          </w:p>
        </w:tc>
        <w:tc>
          <w:tcPr>
            <w:tcW w:w="0" w:type="auto"/>
            <w:tcMar>
              <w:top w:w="30" w:type="dxa"/>
              <w:left w:w="0" w:type="dxa"/>
              <w:bottom w:w="30" w:type="dxa"/>
              <w:right w:w="20" w:type="dxa"/>
            </w:tcMar>
            <w:hideMark/>
          </w:tcPr>
          <w:p w:rsidR="00000000" w:rsidRDefault="001F1FC8">
            <w:pPr>
              <w:jc w:val="right"/>
              <w:rPr>
                <w:rFonts w:eastAsia="Times New Roman"/>
              </w:rPr>
            </w:pPr>
          </w:p>
        </w:tc>
        <w:tc>
          <w:tcPr>
            <w:tcW w:w="0" w:type="auto"/>
            <w:gridSpan w:val="2"/>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hideMark/>
          </w:tcPr>
          <w:p w:rsidR="00000000" w:rsidRDefault="001F1FC8">
            <w:pPr>
              <w:jc w:val="right"/>
              <w:rPr>
                <w:rFonts w:eastAsia="Times New Roman"/>
              </w:rPr>
            </w:pPr>
          </w:p>
        </w:tc>
        <w:tc>
          <w:tcPr>
            <w:tcW w:w="0" w:type="auto"/>
            <w:gridSpan w:val="2"/>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color w:val="000000"/>
                <w:sz w:val="16"/>
                <w:szCs w:val="16"/>
              </w:rPr>
              <w:t>(156)</w:t>
            </w:r>
          </w:p>
        </w:tc>
        <w:tc>
          <w:tcPr>
            <w:tcW w:w="0" w:type="auto"/>
            <w:tcMar>
              <w:top w:w="30" w:type="dxa"/>
              <w:left w:w="0" w:type="dxa"/>
              <w:bottom w:w="30" w:type="dxa"/>
              <w:right w:w="20" w:type="dxa"/>
            </w:tcMar>
            <w:hideMark/>
          </w:tcPr>
          <w:p w:rsidR="00000000" w:rsidRDefault="001F1FC8">
            <w:pPr>
              <w:jc w:val="right"/>
              <w:rPr>
                <w:rFonts w:eastAsia="Times New Roman"/>
              </w:rPr>
            </w:pPr>
          </w:p>
        </w:tc>
      </w:tr>
      <w:tr w:rsidR="00000000">
        <w:trPr>
          <w:divId w:val="1975720572"/>
        </w:trPr>
        <w:tc>
          <w:tcPr>
            <w:tcW w:w="0" w:type="auto"/>
            <w:gridSpan w:val="3"/>
            <w:tcMar>
              <w:top w:w="30" w:type="dxa"/>
              <w:left w:w="155" w:type="dxa"/>
              <w:bottom w:w="30" w:type="dxa"/>
              <w:right w:w="20" w:type="dxa"/>
            </w:tcMar>
            <w:hideMark/>
          </w:tcPr>
          <w:p w:rsidR="00000000" w:rsidRDefault="001F1FC8">
            <w:pPr>
              <w:rPr>
                <w:rFonts w:eastAsia="Times New Roman"/>
              </w:rPr>
            </w:pPr>
            <w:r>
              <w:rPr>
                <w:rFonts w:ascii="Arial" w:eastAsia="Times New Roman" w:hAnsi="Arial" w:cs="Arial"/>
                <w:color w:val="000000"/>
                <w:sz w:val="16"/>
                <w:szCs w:val="16"/>
              </w:rPr>
              <w:t>   Other contracts</w:t>
            </w:r>
          </w:p>
        </w:tc>
        <w:tc>
          <w:tcPr>
            <w:tcW w:w="0" w:type="auto"/>
            <w:gridSpan w:val="2"/>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color w:val="000000"/>
                <w:sz w:val="16"/>
                <w:szCs w:val="16"/>
              </w:rPr>
              <w:t>(1)</w:t>
            </w:r>
          </w:p>
        </w:tc>
        <w:tc>
          <w:tcPr>
            <w:tcW w:w="0" w:type="auto"/>
            <w:tcMar>
              <w:top w:w="30" w:type="dxa"/>
              <w:left w:w="0" w:type="dxa"/>
              <w:bottom w:w="30" w:type="dxa"/>
              <w:right w:w="20" w:type="dxa"/>
            </w:tcMar>
            <w:hideMark/>
          </w:tcPr>
          <w:p w:rsidR="00000000" w:rsidRDefault="001F1FC8">
            <w:pPr>
              <w:jc w:val="right"/>
              <w:rPr>
                <w:rFonts w:eastAsia="Times New Roman"/>
              </w:rPr>
            </w:pPr>
          </w:p>
        </w:tc>
        <w:tc>
          <w:tcPr>
            <w:tcW w:w="0" w:type="auto"/>
            <w:gridSpan w:val="2"/>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hideMark/>
          </w:tcPr>
          <w:p w:rsidR="00000000" w:rsidRDefault="001F1FC8">
            <w:pPr>
              <w:jc w:val="right"/>
              <w:rPr>
                <w:rFonts w:eastAsia="Times New Roman"/>
              </w:rPr>
            </w:pPr>
          </w:p>
        </w:tc>
        <w:tc>
          <w:tcPr>
            <w:tcW w:w="0" w:type="auto"/>
            <w:gridSpan w:val="2"/>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hideMark/>
          </w:tcPr>
          <w:p w:rsidR="00000000" w:rsidRDefault="001F1FC8">
            <w:pPr>
              <w:jc w:val="right"/>
              <w:rPr>
                <w:rFonts w:eastAsia="Times New Roman"/>
              </w:rPr>
            </w:pPr>
          </w:p>
        </w:tc>
        <w:tc>
          <w:tcPr>
            <w:tcW w:w="0" w:type="auto"/>
            <w:gridSpan w:val="2"/>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color w:val="000000"/>
                <w:sz w:val="16"/>
                <w:szCs w:val="16"/>
              </w:rPr>
              <w:t>(3)</w:t>
            </w:r>
          </w:p>
        </w:tc>
        <w:tc>
          <w:tcPr>
            <w:tcW w:w="0" w:type="auto"/>
            <w:tcMar>
              <w:top w:w="30" w:type="dxa"/>
              <w:left w:w="0" w:type="dxa"/>
              <w:bottom w:w="30" w:type="dxa"/>
              <w:right w:w="20" w:type="dxa"/>
            </w:tcMar>
            <w:hideMark/>
          </w:tcPr>
          <w:p w:rsidR="00000000" w:rsidRDefault="001F1FC8">
            <w:pPr>
              <w:jc w:val="right"/>
              <w:rPr>
                <w:rFonts w:eastAsia="Times New Roman"/>
              </w:rPr>
            </w:pPr>
          </w:p>
        </w:tc>
        <w:tc>
          <w:tcPr>
            <w:tcW w:w="0" w:type="auto"/>
            <w:gridSpan w:val="2"/>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color w:val="000000"/>
                <w:sz w:val="16"/>
                <w:szCs w:val="16"/>
              </w:rPr>
              <w:t>(4)</w:t>
            </w:r>
          </w:p>
        </w:tc>
        <w:tc>
          <w:tcPr>
            <w:tcW w:w="0" w:type="auto"/>
            <w:tcMar>
              <w:top w:w="30" w:type="dxa"/>
              <w:left w:w="0" w:type="dxa"/>
              <w:bottom w:w="30" w:type="dxa"/>
              <w:right w:w="20" w:type="dxa"/>
            </w:tcMar>
            <w:hideMark/>
          </w:tcPr>
          <w:p w:rsidR="00000000" w:rsidRDefault="001F1FC8">
            <w:pPr>
              <w:jc w:val="right"/>
              <w:rPr>
                <w:rFonts w:eastAsia="Times New Roman"/>
              </w:rPr>
            </w:pPr>
          </w:p>
        </w:tc>
        <w:tc>
          <w:tcPr>
            <w:tcW w:w="0" w:type="auto"/>
            <w:gridSpan w:val="2"/>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hideMark/>
          </w:tcPr>
          <w:p w:rsidR="00000000" w:rsidRDefault="001F1FC8">
            <w:pPr>
              <w:jc w:val="right"/>
              <w:rPr>
                <w:rFonts w:eastAsia="Times New Roman"/>
              </w:rPr>
            </w:pPr>
          </w:p>
        </w:tc>
        <w:tc>
          <w:tcPr>
            <w:tcW w:w="0" w:type="auto"/>
            <w:gridSpan w:val="2"/>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color w:val="000000"/>
                <w:sz w:val="16"/>
                <w:szCs w:val="16"/>
              </w:rPr>
              <w:t>(4)</w:t>
            </w:r>
          </w:p>
        </w:tc>
        <w:tc>
          <w:tcPr>
            <w:tcW w:w="0" w:type="auto"/>
            <w:tcMar>
              <w:top w:w="30" w:type="dxa"/>
              <w:left w:w="0" w:type="dxa"/>
              <w:bottom w:w="30" w:type="dxa"/>
              <w:right w:w="20" w:type="dxa"/>
            </w:tcMar>
            <w:hideMark/>
          </w:tcPr>
          <w:p w:rsidR="00000000" w:rsidRDefault="001F1FC8">
            <w:pPr>
              <w:jc w:val="right"/>
              <w:rPr>
                <w:rFonts w:eastAsia="Times New Roman"/>
              </w:rPr>
            </w:pPr>
          </w:p>
        </w:tc>
      </w:tr>
      <w:tr w:rsidR="00000000">
        <w:trPr>
          <w:divId w:val="1975720572"/>
        </w:trPr>
        <w:tc>
          <w:tcPr>
            <w:tcW w:w="0" w:type="auto"/>
            <w:gridSpan w:val="3"/>
            <w:tcBorders>
              <w:top w:val="single" w:sz="4" w:space="0" w:color="000000"/>
              <w:bottom w:val="single" w:sz="8" w:space="0" w:color="000000"/>
            </w:tcBorders>
            <w:tcMar>
              <w:top w:w="30" w:type="dxa"/>
              <w:left w:w="20" w:type="dxa"/>
              <w:bottom w:w="30" w:type="dxa"/>
              <w:right w:w="20" w:type="dxa"/>
            </w:tcMar>
            <w:hideMark/>
          </w:tcPr>
          <w:p w:rsidR="00000000" w:rsidRDefault="001F1FC8">
            <w:pPr>
              <w:rPr>
                <w:rFonts w:eastAsia="Times New Roman"/>
              </w:rPr>
            </w:pPr>
            <w:r>
              <w:rPr>
                <w:rFonts w:ascii="Arial" w:eastAsia="Times New Roman" w:hAnsi="Arial" w:cs="Arial"/>
                <w:color w:val="000000"/>
                <w:sz w:val="2"/>
                <w:szCs w:val="2"/>
              </w:rPr>
              <w:t> </w:t>
            </w:r>
          </w:p>
        </w:tc>
        <w:tc>
          <w:tcPr>
            <w:tcW w:w="0" w:type="auto"/>
            <w:gridSpan w:val="2"/>
            <w:tcBorders>
              <w:top w:val="single" w:sz="4" w:space="0" w:color="000000"/>
              <w:bottom w:val="single" w:sz="8" w:space="0" w:color="000000"/>
            </w:tcBorders>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color w:val="000000"/>
                <w:sz w:val="16"/>
                <w:szCs w:val="16"/>
              </w:rPr>
              <w:t>(580)</w:t>
            </w:r>
          </w:p>
        </w:tc>
        <w:tc>
          <w:tcPr>
            <w:tcW w:w="0" w:type="auto"/>
            <w:tcBorders>
              <w:top w:val="single" w:sz="4" w:space="0" w:color="000000"/>
              <w:bottom w:val="single" w:sz="8" w:space="0" w:color="000000"/>
            </w:tcBorders>
            <w:tcMar>
              <w:top w:w="30" w:type="dxa"/>
              <w:left w:w="0" w:type="dxa"/>
              <w:bottom w:w="30" w:type="dxa"/>
              <w:right w:w="20" w:type="dxa"/>
            </w:tcMar>
            <w:hideMark/>
          </w:tcPr>
          <w:p w:rsidR="00000000" w:rsidRDefault="001F1FC8">
            <w:pPr>
              <w:jc w:val="right"/>
              <w:rPr>
                <w:rFonts w:eastAsia="Times New Roman"/>
              </w:rPr>
            </w:pPr>
          </w:p>
        </w:tc>
        <w:tc>
          <w:tcPr>
            <w:tcW w:w="0" w:type="auto"/>
            <w:gridSpan w:val="2"/>
            <w:tcBorders>
              <w:top w:val="single" w:sz="4" w:space="0" w:color="000000"/>
              <w:bottom w:val="single" w:sz="8" w:space="0" w:color="000000"/>
            </w:tcBorders>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color w:val="000000"/>
                <w:sz w:val="16"/>
                <w:szCs w:val="16"/>
              </w:rPr>
              <w:t>— </w:t>
            </w:r>
          </w:p>
        </w:tc>
        <w:tc>
          <w:tcPr>
            <w:tcW w:w="0" w:type="auto"/>
            <w:tcBorders>
              <w:top w:val="single" w:sz="4" w:space="0" w:color="000000"/>
              <w:bottom w:val="single" w:sz="8" w:space="0" w:color="000000"/>
            </w:tcBorders>
            <w:tcMar>
              <w:top w:w="30" w:type="dxa"/>
              <w:left w:w="0" w:type="dxa"/>
              <w:bottom w:w="30" w:type="dxa"/>
              <w:right w:w="20" w:type="dxa"/>
            </w:tcMar>
            <w:hideMark/>
          </w:tcPr>
          <w:p w:rsidR="00000000" w:rsidRDefault="001F1FC8">
            <w:pPr>
              <w:jc w:val="right"/>
              <w:rPr>
                <w:rFonts w:eastAsia="Times New Roman"/>
              </w:rPr>
            </w:pPr>
          </w:p>
        </w:tc>
        <w:tc>
          <w:tcPr>
            <w:tcW w:w="0" w:type="auto"/>
            <w:gridSpan w:val="2"/>
            <w:tcBorders>
              <w:top w:val="single" w:sz="4" w:space="0" w:color="000000"/>
              <w:bottom w:val="single" w:sz="8" w:space="0" w:color="000000"/>
            </w:tcBorders>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color w:val="000000"/>
                <w:sz w:val="16"/>
                <w:szCs w:val="16"/>
              </w:rPr>
              <w:t>(116)</w:t>
            </w:r>
          </w:p>
        </w:tc>
        <w:tc>
          <w:tcPr>
            <w:tcW w:w="0" w:type="auto"/>
            <w:tcBorders>
              <w:top w:val="single" w:sz="4" w:space="0" w:color="000000"/>
              <w:bottom w:val="single" w:sz="8" w:space="0" w:color="000000"/>
            </w:tcBorders>
            <w:tcMar>
              <w:top w:w="30" w:type="dxa"/>
              <w:left w:w="0" w:type="dxa"/>
              <w:bottom w:w="30" w:type="dxa"/>
              <w:right w:w="20" w:type="dxa"/>
            </w:tcMar>
            <w:hideMark/>
          </w:tcPr>
          <w:p w:rsidR="00000000" w:rsidRDefault="001F1FC8">
            <w:pPr>
              <w:jc w:val="right"/>
              <w:rPr>
                <w:rFonts w:eastAsia="Times New Roman"/>
              </w:rPr>
            </w:pPr>
          </w:p>
        </w:tc>
        <w:tc>
          <w:tcPr>
            <w:tcW w:w="0" w:type="auto"/>
            <w:gridSpan w:val="2"/>
            <w:tcBorders>
              <w:top w:val="single" w:sz="4" w:space="0" w:color="000000"/>
              <w:bottom w:val="single" w:sz="8" w:space="0" w:color="000000"/>
            </w:tcBorders>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color w:val="000000"/>
                <w:sz w:val="16"/>
                <w:szCs w:val="16"/>
              </w:rPr>
              <w:t>(373)</w:t>
            </w:r>
          </w:p>
        </w:tc>
        <w:tc>
          <w:tcPr>
            <w:tcW w:w="0" w:type="auto"/>
            <w:tcBorders>
              <w:top w:val="single" w:sz="4" w:space="0" w:color="000000"/>
              <w:bottom w:val="single" w:sz="8" w:space="0" w:color="000000"/>
            </w:tcBorders>
            <w:tcMar>
              <w:top w:w="30" w:type="dxa"/>
              <w:left w:w="0" w:type="dxa"/>
              <w:bottom w:w="30" w:type="dxa"/>
              <w:right w:w="20" w:type="dxa"/>
            </w:tcMar>
            <w:hideMark/>
          </w:tcPr>
          <w:p w:rsidR="00000000" w:rsidRDefault="001F1FC8">
            <w:pPr>
              <w:jc w:val="right"/>
              <w:rPr>
                <w:rFonts w:eastAsia="Times New Roman"/>
              </w:rPr>
            </w:pPr>
          </w:p>
        </w:tc>
        <w:tc>
          <w:tcPr>
            <w:tcW w:w="0" w:type="auto"/>
            <w:gridSpan w:val="2"/>
            <w:tcBorders>
              <w:top w:val="single" w:sz="4" w:space="0" w:color="000000"/>
              <w:bottom w:val="single" w:sz="8" w:space="0" w:color="000000"/>
            </w:tcBorders>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color w:val="000000"/>
                <w:sz w:val="16"/>
                <w:szCs w:val="16"/>
              </w:rPr>
              <w:t>(1,069)</w:t>
            </w:r>
          </w:p>
        </w:tc>
        <w:tc>
          <w:tcPr>
            <w:tcW w:w="0" w:type="auto"/>
            <w:tcBorders>
              <w:top w:val="single" w:sz="4" w:space="0" w:color="000000"/>
              <w:bottom w:val="single" w:sz="8" w:space="0" w:color="000000"/>
            </w:tcBorders>
            <w:tcMar>
              <w:top w:w="30" w:type="dxa"/>
              <w:left w:w="0" w:type="dxa"/>
              <w:bottom w:w="30" w:type="dxa"/>
              <w:right w:w="20" w:type="dxa"/>
            </w:tcMar>
            <w:hideMark/>
          </w:tcPr>
          <w:p w:rsidR="00000000" w:rsidRDefault="001F1FC8">
            <w:pPr>
              <w:jc w:val="right"/>
              <w:rPr>
                <w:rFonts w:eastAsia="Times New Roman"/>
              </w:rPr>
            </w:pPr>
          </w:p>
        </w:tc>
        <w:tc>
          <w:tcPr>
            <w:tcW w:w="0" w:type="auto"/>
            <w:gridSpan w:val="2"/>
            <w:tcBorders>
              <w:top w:val="single" w:sz="4" w:space="0" w:color="000000"/>
              <w:bottom w:val="single" w:sz="8" w:space="0" w:color="000000"/>
            </w:tcBorders>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color w:val="000000"/>
                <w:sz w:val="16"/>
                <w:szCs w:val="16"/>
              </w:rPr>
              <w:t>— </w:t>
            </w:r>
          </w:p>
        </w:tc>
        <w:tc>
          <w:tcPr>
            <w:tcW w:w="0" w:type="auto"/>
            <w:tcBorders>
              <w:top w:val="single" w:sz="4" w:space="0" w:color="000000"/>
              <w:bottom w:val="single" w:sz="8" w:space="0" w:color="000000"/>
            </w:tcBorders>
            <w:tcMar>
              <w:top w:w="30" w:type="dxa"/>
              <w:left w:w="0" w:type="dxa"/>
              <w:bottom w:w="30" w:type="dxa"/>
              <w:right w:w="20" w:type="dxa"/>
            </w:tcMar>
            <w:hideMark/>
          </w:tcPr>
          <w:p w:rsidR="00000000" w:rsidRDefault="001F1FC8">
            <w:pPr>
              <w:jc w:val="right"/>
              <w:rPr>
                <w:rFonts w:eastAsia="Times New Roman"/>
              </w:rPr>
            </w:pPr>
          </w:p>
        </w:tc>
        <w:tc>
          <w:tcPr>
            <w:tcW w:w="0" w:type="auto"/>
            <w:gridSpan w:val="2"/>
            <w:tcBorders>
              <w:top w:val="single" w:sz="4" w:space="0" w:color="000000"/>
              <w:bottom w:val="single" w:sz="8" w:space="0" w:color="000000"/>
            </w:tcBorders>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color w:val="000000"/>
                <w:sz w:val="16"/>
                <w:szCs w:val="16"/>
              </w:rPr>
              <w:t>(</w:t>
            </w:r>
            <w:r>
              <w:rPr>
                <w:rFonts w:ascii="Arial" w:eastAsia="Times New Roman" w:hAnsi="Arial" w:cs="Arial"/>
                <w:color w:val="000000"/>
                <w:sz w:val="16"/>
                <w:szCs w:val="16"/>
              </w:rPr>
              <w:t>1,069)</w:t>
            </w:r>
          </w:p>
        </w:tc>
        <w:tc>
          <w:tcPr>
            <w:tcW w:w="0" w:type="auto"/>
            <w:tcBorders>
              <w:top w:val="single" w:sz="4" w:space="0" w:color="000000"/>
              <w:bottom w:val="single" w:sz="8" w:space="0" w:color="000000"/>
            </w:tcBorders>
            <w:tcMar>
              <w:top w:w="30" w:type="dxa"/>
              <w:left w:w="0" w:type="dxa"/>
              <w:bottom w:w="30" w:type="dxa"/>
              <w:right w:w="20" w:type="dxa"/>
            </w:tcMar>
            <w:hideMark/>
          </w:tcPr>
          <w:p w:rsidR="00000000" w:rsidRDefault="001F1FC8">
            <w:pPr>
              <w:jc w:val="right"/>
              <w:rPr>
                <w:rFonts w:eastAsia="Times New Roman"/>
              </w:rPr>
            </w:pPr>
          </w:p>
        </w:tc>
      </w:tr>
    </w:tbl>
    <w:p w:rsidR="00000000" w:rsidRDefault="001F1FC8">
      <w:pPr>
        <w:divId w:val="647586616"/>
        <w:rPr>
          <w:rFonts w:eastAsia="Times New Roman"/>
        </w:rPr>
      </w:pPr>
      <w:r>
        <w:rPr>
          <w:rFonts w:ascii="Arial" w:eastAsia="Times New Roman" w:hAnsi="Arial" w:cs="Arial"/>
          <w:color w:val="000000"/>
          <w:sz w:val="20"/>
          <w:szCs w:val="20"/>
        </w:rPr>
        <w:t> </w:t>
      </w:r>
    </w:p>
    <w:p w:rsidR="00000000" w:rsidRDefault="001F1FC8">
      <w:pPr>
        <w:jc w:val="center"/>
        <w:divId w:val="128406827"/>
        <w:rPr>
          <w:rFonts w:eastAsia="Times New Roman"/>
        </w:rPr>
      </w:pPr>
      <w:r>
        <w:rPr>
          <w:rFonts w:ascii="Arial" w:eastAsia="Times New Roman" w:hAnsi="Arial" w:cs="Arial"/>
          <w:color w:val="000000"/>
          <w:sz w:val="20"/>
          <w:szCs w:val="20"/>
        </w:rPr>
        <w:t>152</w:t>
      </w:r>
    </w:p>
    <w:p w:rsidR="00000000" w:rsidRDefault="001F1FC8">
      <w:pPr>
        <w:rPr>
          <w:rFonts w:eastAsia="Times New Roman"/>
        </w:rPr>
      </w:pPr>
      <w:r>
        <w:rPr>
          <w:rFonts w:eastAsia="Times New Roman"/>
        </w:rPr>
        <w:pict>
          <v:rect id="_x0000_i1182" style="width:0;height:1.5pt" o:hralign="center" o:hrstd="t" o:hr="t" fillcolor="#a0a0a0" stroked="f"/>
        </w:pict>
      </w:r>
    </w:p>
    <w:p w:rsidR="00000000" w:rsidRDefault="001F1FC8">
      <w:pPr>
        <w:jc w:val="center"/>
        <w:divId w:val="376390496"/>
        <w:rPr>
          <w:rFonts w:eastAsia="Times New Roman"/>
        </w:rPr>
      </w:pPr>
    </w:p>
    <w:p w:rsidR="00000000" w:rsidRDefault="001F1FC8">
      <w:pPr>
        <w:divId w:val="1299913245"/>
        <w:rPr>
          <w:rFonts w:eastAsia="Times New Roman"/>
        </w:rPr>
      </w:pPr>
      <w:r>
        <w:rPr>
          <w:rFonts w:ascii="Arial" w:eastAsia="Times New Roman" w:hAnsi="Arial" w:cs="Arial"/>
          <w:color w:val="000000"/>
          <w:sz w:val="20"/>
          <w:szCs w:val="20"/>
        </w:rPr>
        <w:t>The following table summarizes the maturity and notional principal or quantity outstanding related to our derivative instruments.</w:t>
      </w:r>
    </w:p>
    <w:tbl>
      <w:tblPr>
        <w:tblW w:w="4983" w:type="pct"/>
        <w:tblCellMar>
          <w:top w:w="15" w:type="dxa"/>
          <w:left w:w="15" w:type="dxa"/>
          <w:bottom w:w="15" w:type="dxa"/>
          <w:right w:w="15" w:type="dxa"/>
        </w:tblCellMar>
        <w:tblLook w:val="04A0" w:firstRow="1" w:lastRow="0" w:firstColumn="1" w:lastColumn="0" w:noHBand="0" w:noVBand="1"/>
      </w:tblPr>
      <w:tblGrid>
        <w:gridCol w:w="60"/>
        <w:gridCol w:w="2242"/>
        <w:gridCol w:w="36"/>
        <w:gridCol w:w="66"/>
        <w:gridCol w:w="585"/>
        <w:gridCol w:w="36"/>
        <w:gridCol w:w="60"/>
        <w:gridCol w:w="591"/>
        <w:gridCol w:w="36"/>
        <w:gridCol w:w="60"/>
        <w:gridCol w:w="591"/>
        <w:gridCol w:w="36"/>
        <w:gridCol w:w="60"/>
        <w:gridCol w:w="591"/>
        <w:gridCol w:w="36"/>
        <w:gridCol w:w="60"/>
        <w:gridCol w:w="591"/>
        <w:gridCol w:w="36"/>
        <w:gridCol w:w="81"/>
        <w:gridCol w:w="690"/>
        <w:gridCol w:w="36"/>
        <w:gridCol w:w="36"/>
        <w:gridCol w:w="40"/>
        <w:gridCol w:w="36"/>
        <w:gridCol w:w="73"/>
        <w:gridCol w:w="512"/>
        <w:gridCol w:w="36"/>
        <w:gridCol w:w="37"/>
        <w:gridCol w:w="99"/>
        <w:gridCol w:w="36"/>
        <w:gridCol w:w="73"/>
        <w:gridCol w:w="512"/>
        <w:gridCol w:w="36"/>
        <w:gridCol w:w="37"/>
        <w:gridCol w:w="99"/>
        <w:gridCol w:w="36"/>
      </w:tblGrid>
      <w:tr w:rsidR="00000000">
        <w:trPr>
          <w:divId w:val="1760252082"/>
        </w:trPr>
        <w:tc>
          <w:tcPr>
            <w:tcW w:w="50" w:type="pct"/>
            <w:vAlign w:val="center"/>
            <w:hideMark/>
          </w:tcPr>
          <w:p w:rsidR="00000000" w:rsidRDefault="001F1FC8">
            <w:pPr>
              <w:rPr>
                <w:rFonts w:eastAsia="Times New Roman"/>
              </w:rPr>
            </w:pPr>
          </w:p>
        </w:tc>
        <w:tc>
          <w:tcPr>
            <w:tcW w:w="1367"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c>
          <w:tcPr>
            <w:tcW w:w="50" w:type="pct"/>
            <w:vAlign w:val="center"/>
            <w:hideMark/>
          </w:tcPr>
          <w:p w:rsidR="00000000" w:rsidRDefault="001F1FC8">
            <w:pPr>
              <w:rPr>
                <w:rFonts w:eastAsia="Times New Roman"/>
                <w:sz w:val="20"/>
                <w:szCs w:val="20"/>
              </w:rPr>
            </w:pPr>
          </w:p>
        </w:tc>
        <w:tc>
          <w:tcPr>
            <w:tcW w:w="371"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c>
          <w:tcPr>
            <w:tcW w:w="50" w:type="pct"/>
            <w:vAlign w:val="center"/>
            <w:hideMark/>
          </w:tcPr>
          <w:p w:rsidR="00000000" w:rsidRDefault="001F1FC8">
            <w:pPr>
              <w:rPr>
                <w:rFonts w:eastAsia="Times New Roman"/>
                <w:sz w:val="20"/>
                <w:szCs w:val="20"/>
              </w:rPr>
            </w:pPr>
          </w:p>
        </w:tc>
        <w:tc>
          <w:tcPr>
            <w:tcW w:w="371"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c>
          <w:tcPr>
            <w:tcW w:w="50" w:type="pct"/>
            <w:vAlign w:val="center"/>
            <w:hideMark/>
          </w:tcPr>
          <w:p w:rsidR="00000000" w:rsidRDefault="001F1FC8">
            <w:pPr>
              <w:rPr>
                <w:rFonts w:eastAsia="Times New Roman"/>
                <w:sz w:val="20"/>
                <w:szCs w:val="20"/>
              </w:rPr>
            </w:pPr>
          </w:p>
        </w:tc>
        <w:tc>
          <w:tcPr>
            <w:tcW w:w="371"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c>
          <w:tcPr>
            <w:tcW w:w="50" w:type="pct"/>
            <w:vAlign w:val="center"/>
            <w:hideMark/>
          </w:tcPr>
          <w:p w:rsidR="00000000" w:rsidRDefault="001F1FC8">
            <w:pPr>
              <w:rPr>
                <w:rFonts w:eastAsia="Times New Roman"/>
                <w:sz w:val="20"/>
                <w:szCs w:val="20"/>
              </w:rPr>
            </w:pPr>
          </w:p>
        </w:tc>
        <w:tc>
          <w:tcPr>
            <w:tcW w:w="371"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c>
          <w:tcPr>
            <w:tcW w:w="50" w:type="pct"/>
            <w:vAlign w:val="center"/>
            <w:hideMark/>
          </w:tcPr>
          <w:p w:rsidR="00000000" w:rsidRDefault="001F1FC8">
            <w:pPr>
              <w:rPr>
                <w:rFonts w:eastAsia="Times New Roman"/>
                <w:sz w:val="20"/>
                <w:szCs w:val="20"/>
              </w:rPr>
            </w:pPr>
          </w:p>
        </w:tc>
        <w:tc>
          <w:tcPr>
            <w:tcW w:w="371"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c>
          <w:tcPr>
            <w:tcW w:w="50" w:type="pct"/>
            <w:vAlign w:val="center"/>
            <w:hideMark/>
          </w:tcPr>
          <w:p w:rsidR="00000000" w:rsidRDefault="001F1FC8">
            <w:pPr>
              <w:rPr>
                <w:rFonts w:eastAsia="Times New Roman"/>
                <w:sz w:val="20"/>
                <w:szCs w:val="20"/>
              </w:rPr>
            </w:pPr>
          </w:p>
        </w:tc>
        <w:tc>
          <w:tcPr>
            <w:tcW w:w="427"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c>
          <w:tcPr>
            <w:tcW w:w="54"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c>
          <w:tcPr>
            <w:tcW w:w="50" w:type="pct"/>
            <w:vAlign w:val="center"/>
            <w:hideMark/>
          </w:tcPr>
          <w:p w:rsidR="00000000" w:rsidRDefault="001F1FC8">
            <w:pPr>
              <w:rPr>
                <w:rFonts w:eastAsia="Times New Roman"/>
                <w:sz w:val="20"/>
                <w:szCs w:val="20"/>
              </w:rPr>
            </w:pPr>
          </w:p>
        </w:tc>
        <w:tc>
          <w:tcPr>
            <w:tcW w:w="330"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c>
          <w:tcPr>
            <w:tcW w:w="54"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c>
          <w:tcPr>
            <w:tcW w:w="50" w:type="pct"/>
            <w:vAlign w:val="center"/>
            <w:hideMark/>
          </w:tcPr>
          <w:p w:rsidR="00000000" w:rsidRDefault="001F1FC8">
            <w:pPr>
              <w:rPr>
                <w:rFonts w:eastAsia="Times New Roman"/>
                <w:sz w:val="20"/>
                <w:szCs w:val="20"/>
              </w:rPr>
            </w:pPr>
          </w:p>
        </w:tc>
        <w:tc>
          <w:tcPr>
            <w:tcW w:w="330"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c>
          <w:tcPr>
            <w:tcW w:w="54"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r>
      <w:tr w:rsidR="00000000">
        <w:trPr>
          <w:divId w:val="1760252082"/>
        </w:trPr>
        <w:tc>
          <w:tcPr>
            <w:tcW w:w="0" w:type="auto"/>
            <w:gridSpan w:val="3"/>
            <w:tcMar>
              <w:top w:w="0" w:type="dxa"/>
              <w:left w:w="20" w:type="dxa"/>
              <w:bottom w:w="0" w:type="dxa"/>
              <w:right w:w="20" w:type="dxa"/>
            </w:tcMar>
            <w:vAlign w:val="center"/>
            <w:hideMark/>
          </w:tcPr>
          <w:p w:rsidR="00000000" w:rsidRDefault="001F1FC8">
            <w:pPr>
              <w:rPr>
                <w:rFonts w:eastAsia="Times New Roman"/>
                <w:sz w:val="20"/>
                <w:szCs w:val="20"/>
              </w:rPr>
            </w:pPr>
          </w:p>
        </w:tc>
        <w:tc>
          <w:tcPr>
            <w:tcW w:w="0" w:type="auto"/>
            <w:gridSpan w:val="18"/>
            <w:tcMar>
              <w:top w:w="30" w:type="dxa"/>
              <w:left w:w="20" w:type="dxa"/>
              <w:bottom w:w="30" w:type="dxa"/>
              <w:right w:w="20" w:type="dxa"/>
            </w:tcMar>
            <w:vAlign w:val="bottom"/>
            <w:hideMark/>
          </w:tcPr>
          <w:p w:rsidR="00000000" w:rsidRDefault="001F1FC8">
            <w:pPr>
              <w:jc w:val="center"/>
              <w:rPr>
                <w:rFonts w:eastAsia="Times New Roman"/>
              </w:rPr>
            </w:pPr>
            <w:r>
              <w:rPr>
                <w:rFonts w:ascii="Arial" w:eastAsia="Times New Roman" w:hAnsi="Arial" w:cs="Arial"/>
                <w:b/>
                <w:bCs/>
                <w:color w:val="000000"/>
                <w:sz w:val="18"/>
                <w:szCs w:val="18"/>
              </w:rPr>
              <w:t>2021</w:t>
            </w:r>
          </w:p>
        </w:tc>
        <w:tc>
          <w:tcPr>
            <w:tcW w:w="0" w:type="auto"/>
            <w:gridSpan w:val="3"/>
            <w:tcMar>
              <w:top w:w="0" w:type="dxa"/>
              <w:left w:w="20" w:type="dxa"/>
              <w:bottom w:w="0" w:type="dxa"/>
              <w:right w:w="20" w:type="dxa"/>
            </w:tcMar>
            <w:vAlign w:val="center"/>
            <w:hideMark/>
          </w:tcPr>
          <w:p w:rsidR="00000000" w:rsidRDefault="001F1FC8">
            <w:pPr>
              <w:jc w:val="center"/>
              <w:rPr>
                <w:rFonts w:eastAsia="Times New Roman"/>
              </w:rPr>
            </w:pPr>
          </w:p>
        </w:tc>
        <w:tc>
          <w:tcPr>
            <w:tcW w:w="0" w:type="auto"/>
            <w:gridSpan w:val="3"/>
            <w:tcMar>
              <w:top w:w="0" w:type="dxa"/>
              <w:left w:w="20" w:type="dxa"/>
              <w:bottom w:w="0" w:type="dxa"/>
              <w:right w:w="20" w:type="dxa"/>
            </w:tcMar>
            <w:vAlign w:val="center"/>
            <w:hideMark/>
          </w:tcPr>
          <w:p w:rsidR="00000000" w:rsidRDefault="001F1FC8">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1F1FC8">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18"/>
                <w:szCs w:val="18"/>
              </w:rPr>
              <w:t>2020</w:t>
            </w:r>
          </w:p>
        </w:tc>
        <w:tc>
          <w:tcPr>
            <w:tcW w:w="0" w:type="auto"/>
            <w:gridSpan w:val="3"/>
            <w:tcMar>
              <w:top w:w="0" w:type="dxa"/>
              <w:left w:w="20" w:type="dxa"/>
              <w:bottom w:w="0" w:type="dxa"/>
              <w:right w:w="20" w:type="dxa"/>
            </w:tcMar>
            <w:vAlign w:val="center"/>
            <w:hideMark/>
          </w:tcPr>
          <w:p w:rsidR="00000000" w:rsidRDefault="001F1FC8">
            <w:pPr>
              <w:jc w:val="right"/>
              <w:rPr>
                <w:rFonts w:eastAsia="Times New Roman"/>
              </w:rPr>
            </w:pPr>
          </w:p>
        </w:tc>
      </w:tr>
      <w:tr w:rsidR="00000000">
        <w:trPr>
          <w:divId w:val="1760252082"/>
        </w:trPr>
        <w:tc>
          <w:tcPr>
            <w:tcW w:w="0" w:type="auto"/>
            <w:gridSpan w:val="3"/>
            <w:tcMar>
              <w:top w:w="30" w:type="dxa"/>
              <w:left w:w="20" w:type="dxa"/>
              <w:bottom w:w="30" w:type="dxa"/>
              <w:right w:w="20" w:type="dxa"/>
            </w:tcMar>
            <w:vAlign w:val="bottom"/>
            <w:hideMark/>
          </w:tcPr>
          <w:p w:rsidR="00000000" w:rsidRDefault="001F1FC8">
            <w:pPr>
              <w:rPr>
                <w:rFonts w:eastAsia="Times New Roman"/>
              </w:rPr>
            </w:pPr>
            <w:r>
              <w:rPr>
                <w:rFonts w:ascii="Arial" w:eastAsia="Times New Roman" w:hAnsi="Arial" w:cs="Arial"/>
                <w:color w:val="000000"/>
                <w:sz w:val="16"/>
                <w:szCs w:val="16"/>
              </w:rPr>
              <w:t>As at December 31,</w:t>
            </w: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2022</w:t>
            </w: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2023</w:t>
            </w: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2024</w:t>
            </w: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2025</w:t>
            </w: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2026</w:t>
            </w: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Thereafter</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1F1FC8">
            <w:pPr>
              <w:jc w:val="right"/>
              <w:rPr>
                <w:rFonts w:eastAsia="Times New Roman"/>
              </w:rPr>
            </w:pP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Total</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1F1FC8">
            <w:pPr>
              <w:jc w:val="right"/>
              <w:rPr>
                <w:rFonts w:eastAsia="Times New Roman"/>
              </w:rPr>
            </w:pP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Total</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1F1FC8">
            <w:pPr>
              <w:jc w:val="right"/>
              <w:rPr>
                <w:rFonts w:eastAsia="Times New Roman"/>
              </w:rPr>
            </w:pPr>
          </w:p>
        </w:tc>
      </w:tr>
      <w:tr w:rsidR="00000000">
        <w:trPr>
          <w:divId w:val="1760252082"/>
        </w:trPr>
        <w:tc>
          <w:tcPr>
            <w:tcW w:w="0" w:type="auto"/>
            <w:gridSpan w:val="3"/>
            <w:tcBorders>
              <w:top w:val="single" w:sz="4" w:space="0" w:color="000000"/>
            </w:tcBorders>
            <w:tcMar>
              <w:top w:w="30" w:type="dxa"/>
              <w:left w:w="20" w:type="dxa"/>
              <w:bottom w:w="30" w:type="dxa"/>
              <w:right w:w="20" w:type="dxa"/>
            </w:tcMar>
            <w:vAlign w:val="bottom"/>
            <w:hideMark/>
          </w:tcPr>
          <w:p w:rsidR="00000000" w:rsidRDefault="001F1FC8">
            <w:pPr>
              <w:ind w:hanging="180"/>
              <w:divId w:val="1339499336"/>
              <w:rPr>
                <w:rFonts w:eastAsia="Times New Roman"/>
              </w:rPr>
            </w:pPr>
            <w:r>
              <w:rPr>
                <w:rFonts w:ascii="Arial" w:eastAsia="Times New Roman" w:hAnsi="Arial" w:cs="Arial"/>
                <w:color w:val="000000"/>
                <w:sz w:val="16"/>
                <w:szCs w:val="16"/>
              </w:rPr>
              <w:t xml:space="preserve">Foreign exchange contracts - US dollar forwards - purchase </w:t>
            </w:r>
            <w:r>
              <w:rPr>
                <w:rFonts w:ascii="Arial" w:eastAsia="Times New Roman" w:hAnsi="Arial" w:cs="Arial"/>
                <w:i/>
                <w:iCs/>
                <w:color w:val="000000"/>
                <w:sz w:val="16"/>
                <w:szCs w:val="16"/>
              </w:rPr>
              <w:t>(millions of US dollars)</w:t>
            </w:r>
          </w:p>
        </w:tc>
        <w:tc>
          <w:tcPr>
            <w:tcW w:w="0" w:type="auto"/>
            <w:gridSpan w:val="2"/>
            <w:tcBorders>
              <w:top w:val="single" w:sz="4" w:space="0" w:color="000000"/>
            </w:tcBorders>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6"/>
                <w:szCs w:val="16"/>
              </w:rPr>
              <w:t>2,508</w:t>
            </w:r>
            <w:r>
              <w:rPr>
                <w:rFonts w:ascii="Arial" w:eastAsia="Times New Roman" w:hAnsi="Arial" w:cs="Arial"/>
                <w:color w:val="000000"/>
                <w:sz w:val="16"/>
                <w:szCs w:val="16"/>
              </w:rPr>
              <w:t> </w:t>
            </w:r>
          </w:p>
        </w:tc>
        <w:tc>
          <w:tcPr>
            <w:tcW w:w="0" w:type="auto"/>
            <w:tcBorders>
              <w:top w:val="single" w:sz="4" w:space="0" w:color="000000"/>
            </w:tcBorders>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Borders>
              <w:top w:val="single" w:sz="4" w:space="0" w:color="000000"/>
            </w:tcBorders>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tcBorders>
              <w:top w:val="single" w:sz="4" w:space="0" w:color="000000"/>
            </w:tcBorders>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Borders>
              <w:top w:val="single" w:sz="4" w:space="0" w:color="000000"/>
            </w:tcBorders>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tcBorders>
              <w:top w:val="single" w:sz="4" w:space="0" w:color="000000"/>
            </w:tcBorders>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Borders>
              <w:top w:val="single" w:sz="4" w:space="0" w:color="000000"/>
            </w:tcBorders>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tcBorders>
              <w:top w:val="single" w:sz="4" w:space="0" w:color="000000"/>
            </w:tcBorders>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Borders>
              <w:top w:val="single" w:sz="4" w:space="0" w:color="000000"/>
            </w:tcBorders>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tcBorders>
              <w:top w:val="single" w:sz="4" w:space="0" w:color="000000"/>
            </w:tcBorders>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Borders>
              <w:top w:val="single" w:sz="4" w:space="0" w:color="000000"/>
            </w:tcBorders>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tcBorders>
              <w:top w:val="single" w:sz="4" w:space="0" w:color="000000"/>
            </w:tcBorders>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3"/>
            <w:tcBorders>
              <w:top w:val="single" w:sz="4" w:space="0" w:color="000000"/>
            </w:tcBorders>
            <w:shd w:val="clear" w:color="auto" w:fill="D9D9D9"/>
            <w:tcMar>
              <w:top w:w="0" w:type="dxa"/>
              <w:left w:w="20" w:type="dxa"/>
              <w:bottom w:w="0" w:type="dxa"/>
              <w:right w:w="20" w:type="dxa"/>
            </w:tcMar>
            <w:vAlign w:val="center"/>
            <w:hideMark/>
          </w:tcPr>
          <w:p w:rsidR="00000000" w:rsidRDefault="001F1FC8">
            <w:pPr>
              <w:jc w:val="right"/>
              <w:rPr>
                <w:rFonts w:eastAsia="Times New Roman"/>
                <w:sz w:val="20"/>
                <w:szCs w:val="20"/>
              </w:rPr>
            </w:pPr>
          </w:p>
        </w:tc>
        <w:tc>
          <w:tcPr>
            <w:tcW w:w="0" w:type="auto"/>
            <w:gridSpan w:val="2"/>
            <w:tcBorders>
              <w:top w:val="single" w:sz="4" w:space="0" w:color="000000"/>
            </w:tcBorders>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6"/>
                <w:szCs w:val="16"/>
              </w:rPr>
              <w:t>2,508</w:t>
            </w:r>
            <w:r>
              <w:rPr>
                <w:rFonts w:ascii="Arial" w:eastAsia="Times New Roman" w:hAnsi="Arial" w:cs="Arial"/>
                <w:color w:val="000000"/>
                <w:sz w:val="16"/>
                <w:szCs w:val="16"/>
              </w:rPr>
              <w:t> </w:t>
            </w:r>
          </w:p>
        </w:tc>
        <w:tc>
          <w:tcPr>
            <w:tcW w:w="0" w:type="auto"/>
            <w:tcBorders>
              <w:top w:val="single" w:sz="4" w:space="0" w:color="000000"/>
            </w:tcBorders>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3"/>
            <w:tcBorders>
              <w:top w:val="single" w:sz="4" w:space="0" w:color="000000"/>
            </w:tcBorders>
            <w:shd w:val="clear" w:color="auto" w:fill="D9D9D9"/>
            <w:tcMar>
              <w:top w:w="0" w:type="dxa"/>
              <w:left w:w="20" w:type="dxa"/>
              <w:bottom w:w="0" w:type="dxa"/>
              <w:right w:w="20" w:type="dxa"/>
            </w:tcMar>
            <w:vAlign w:val="center"/>
            <w:hideMark/>
          </w:tcPr>
          <w:p w:rsidR="00000000" w:rsidRDefault="001F1FC8">
            <w:pPr>
              <w:jc w:val="right"/>
              <w:rPr>
                <w:rFonts w:eastAsia="Times New Roman"/>
                <w:sz w:val="20"/>
                <w:szCs w:val="20"/>
              </w:rPr>
            </w:pPr>
          </w:p>
        </w:tc>
        <w:tc>
          <w:tcPr>
            <w:tcW w:w="0" w:type="auto"/>
            <w:gridSpan w:val="2"/>
            <w:tcBorders>
              <w:top w:val="single" w:sz="4" w:space="0" w:color="000000"/>
            </w:tcBorders>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3,522 </w:t>
            </w:r>
          </w:p>
        </w:tc>
        <w:tc>
          <w:tcPr>
            <w:tcW w:w="0" w:type="auto"/>
            <w:tcBorders>
              <w:top w:val="single" w:sz="4" w:space="0" w:color="000000"/>
            </w:tcBorders>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1F1FC8">
            <w:pPr>
              <w:jc w:val="right"/>
              <w:rPr>
                <w:rFonts w:eastAsia="Times New Roman"/>
                <w:sz w:val="20"/>
                <w:szCs w:val="20"/>
              </w:rPr>
            </w:pPr>
          </w:p>
        </w:tc>
      </w:tr>
      <w:tr w:rsidR="00000000">
        <w:trPr>
          <w:divId w:val="1760252082"/>
        </w:trPr>
        <w:tc>
          <w:tcPr>
            <w:tcW w:w="0" w:type="auto"/>
            <w:gridSpan w:val="3"/>
            <w:tcMar>
              <w:top w:w="30" w:type="dxa"/>
              <w:left w:w="20" w:type="dxa"/>
              <w:bottom w:w="30" w:type="dxa"/>
              <w:right w:w="20" w:type="dxa"/>
            </w:tcMar>
            <w:vAlign w:val="bottom"/>
            <w:hideMark/>
          </w:tcPr>
          <w:p w:rsidR="00000000" w:rsidRDefault="001F1FC8">
            <w:pPr>
              <w:ind w:hanging="180"/>
              <w:divId w:val="340282774"/>
              <w:rPr>
                <w:rFonts w:eastAsia="Times New Roman"/>
              </w:rPr>
            </w:pPr>
            <w:r>
              <w:rPr>
                <w:rFonts w:ascii="Arial" w:eastAsia="Times New Roman" w:hAnsi="Arial" w:cs="Arial"/>
                <w:color w:val="000000"/>
                <w:sz w:val="16"/>
                <w:szCs w:val="16"/>
              </w:rPr>
              <w:t xml:space="preserve">Foreign exchange contracts - US dollar forwards - sell </w:t>
            </w:r>
            <w:r>
              <w:rPr>
                <w:rFonts w:ascii="Arial" w:eastAsia="Times New Roman" w:hAnsi="Arial" w:cs="Arial"/>
                <w:i/>
                <w:iCs/>
                <w:color w:val="000000"/>
                <w:sz w:val="16"/>
                <w:szCs w:val="16"/>
              </w:rPr>
              <w:t>(millions of US dollars)</w:t>
            </w:r>
          </w:p>
        </w:tc>
        <w:tc>
          <w:tcPr>
            <w:tcW w:w="0" w:type="auto"/>
            <w:gridSpan w:val="2"/>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6"/>
                <w:szCs w:val="16"/>
              </w:rPr>
              <w:t>9,245</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6"/>
                <w:szCs w:val="16"/>
              </w:rPr>
              <w:t>5,596</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6"/>
                <w:szCs w:val="16"/>
              </w:rPr>
              <w:t>4,346</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6"/>
                <w:szCs w:val="16"/>
              </w:rPr>
              <w:t>3,174</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6"/>
                <w:szCs w:val="16"/>
              </w:rPr>
              <w:t>2,574</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6"/>
                <w:szCs w:val="16"/>
              </w:rPr>
              <w:t>492</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3"/>
            <w:shd w:val="clear" w:color="auto" w:fill="D9D9D9"/>
            <w:tcMar>
              <w:top w:w="0" w:type="dxa"/>
              <w:left w:w="20" w:type="dxa"/>
              <w:bottom w:w="0" w:type="dxa"/>
              <w:right w:w="20" w:type="dxa"/>
            </w:tcMar>
            <w:vAlign w:val="center"/>
            <w:hideMark/>
          </w:tcPr>
          <w:p w:rsidR="00000000" w:rsidRDefault="001F1FC8">
            <w:pPr>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6"/>
                <w:szCs w:val="16"/>
              </w:rPr>
              <w:t>25,427</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3"/>
            <w:shd w:val="clear" w:color="auto" w:fill="D9D9D9"/>
            <w:tcMar>
              <w:top w:w="0" w:type="dxa"/>
              <w:left w:w="20" w:type="dxa"/>
              <w:bottom w:w="0" w:type="dxa"/>
              <w:right w:w="20" w:type="dxa"/>
            </w:tcMar>
            <w:vAlign w:val="center"/>
            <w:hideMark/>
          </w:tcPr>
          <w:p w:rsidR="00000000" w:rsidRDefault="001F1FC8">
            <w:pPr>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17,859 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1F1FC8">
            <w:pPr>
              <w:jc w:val="right"/>
              <w:rPr>
                <w:rFonts w:eastAsia="Times New Roman"/>
                <w:sz w:val="20"/>
                <w:szCs w:val="20"/>
              </w:rPr>
            </w:pPr>
          </w:p>
        </w:tc>
      </w:tr>
      <w:tr w:rsidR="00000000">
        <w:trPr>
          <w:divId w:val="1760252082"/>
        </w:trPr>
        <w:tc>
          <w:tcPr>
            <w:tcW w:w="0" w:type="auto"/>
            <w:gridSpan w:val="3"/>
            <w:tcMar>
              <w:top w:w="30" w:type="dxa"/>
              <w:left w:w="20" w:type="dxa"/>
              <w:bottom w:w="30" w:type="dxa"/>
              <w:right w:w="20" w:type="dxa"/>
            </w:tcMar>
            <w:vAlign w:val="bottom"/>
            <w:hideMark/>
          </w:tcPr>
          <w:p w:rsidR="00000000" w:rsidRDefault="001F1FC8">
            <w:pPr>
              <w:ind w:hanging="180"/>
              <w:divId w:val="15934272"/>
              <w:rPr>
                <w:rFonts w:eastAsia="Times New Roman"/>
              </w:rPr>
            </w:pPr>
            <w:r>
              <w:rPr>
                <w:rFonts w:ascii="Arial" w:eastAsia="Times New Roman" w:hAnsi="Arial" w:cs="Arial"/>
                <w:color w:val="000000"/>
                <w:sz w:val="16"/>
                <w:szCs w:val="16"/>
              </w:rPr>
              <w:t xml:space="preserve">Foreign exchange contracts - British pound (GBP) forwards - sell </w:t>
            </w:r>
            <w:r>
              <w:rPr>
                <w:rFonts w:ascii="Arial" w:eastAsia="Times New Roman" w:hAnsi="Arial" w:cs="Arial"/>
                <w:i/>
                <w:iCs/>
                <w:color w:val="000000"/>
                <w:sz w:val="16"/>
                <w:szCs w:val="16"/>
              </w:rPr>
              <w:t>(millions of GBP)</w:t>
            </w:r>
          </w:p>
        </w:tc>
        <w:tc>
          <w:tcPr>
            <w:tcW w:w="0" w:type="auto"/>
            <w:gridSpan w:val="2"/>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6"/>
                <w:szCs w:val="16"/>
              </w:rPr>
              <w:t>28</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6"/>
                <w:szCs w:val="16"/>
              </w:rPr>
              <w:t>29</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6"/>
                <w:szCs w:val="16"/>
              </w:rPr>
              <w:t>30</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6"/>
                <w:szCs w:val="16"/>
              </w:rPr>
              <w:t>30</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6"/>
                <w:szCs w:val="16"/>
              </w:rPr>
              <w:t>28</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6"/>
                <w:szCs w:val="16"/>
              </w:rPr>
              <w:t>32</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3"/>
            <w:shd w:val="clear" w:color="auto" w:fill="D9D9D9"/>
            <w:tcMar>
              <w:top w:w="0" w:type="dxa"/>
              <w:left w:w="20" w:type="dxa"/>
              <w:bottom w:w="0" w:type="dxa"/>
              <w:right w:w="20" w:type="dxa"/>
            </w:tcMar>
            <w:vAlign w:val="center"/>
            <w:hideMark/>
          </w:tcPr>
          <w:p w:rsidR="00000000" w:rsidRDefault="001F1FC8">
            <w:pPr>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6"/>
                <w:szCs w:val="16"/>
              </w:rPr>
              <w:t>177</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3"/>
            <w:shd w:val="clear" w:color="auto" w:fill="D9D9D9"/>
            <w:tcMar>
              <w:top w:w="0" w:type="dxa"/>
              <w:left w:w="20" w:type="dxa"/>
              <w:bottom w:w="0" w:type="dxa"/>
              <w:right w:w="20" w:type="dxa"/>
            </w:tcMar>
            <w:vAlign w:val="center"/>
            <w:hideMark/>
          </w:tcPr>
          <w:p w:rsidR="00000000" w:rsidRDefault="001F1FC8">
            <w:pPr>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265 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1F1FC8">
            <w:pPr>
              <w:jc w:val="right"/>
              <w:rPr>
                <w:rFonts w:eastAsia="Times New Roman"/>
                <w:sz w:val="20"/>
                <w:szCs w:val="20"/>
              </w:rPr>
            </w:pPr>
          </w:p>
        </w:tc>
      </w:tr>
      <w:tr w:rsidR="00000000">
        <w:trPr>
          <w:divId w:val="1760252082"/>
        </w:trPr>
        <w:tc>
          <w:tcPr>
            <w:tcW w:w="0" w:type="auto"/>
            <w:gridSpan w:val="3"/>
            <w:tcMar>
              <w:top w:w="30" w:type="dxa"/>
              <w:left w:w="20" w:type="dxa"/>
              <w:bottom w:w="30" w:type="dxa"/>
              <w:right w:w="20" w:type="dxa"/>
            </w:tcMar>
            <w:vAlign w:val="bottom"/>
            <w:hideMark/>
          </w:tcPr>
          <w:p w:rsidR="00000000" w:rsidRDefault="001F1FC8">
            <w:pPr>
              <w:ind w:hanging="180"/>
              <w:divId w:val="1834376348"/>
              <w:rPr>
                <w:rFonts w:eastAsia="Times New Roman"/>
              </w:rPr>
            </w:pPr>
            <w:r>
              <w:rPr>
                <w:rFonts w:ascii="Arial" w:eastAsia="Times New Roman" w:hAnsi="Arial" w:cs="Arial"/>
                <w:color w:val="000000"/>
                <w:sz w:val="16"/>
                <w:szCs w:val="16"/>
              </w:rPr>
              <w:t>Foreign exchange contracts - Euro forwards - sell</w:t>
            </w:r>
            <w:r>
              <w:rPr>
                <w:rFonts w:ascii="Arial" w:eastAsia="Times New Roman" w:hAnsi="Arial" w:cs="Arial"/>
                <w:i/>
                <w:iCs/>
                <w:color w:val="000000"/>
                <w:sz w:val="16"/>
                <w:szCs w:val="16"/>
              </w:rPr>
              <w:t xml:space="preserve"> (millions of Euro)</w:t>
            </w:r>
          </w:p>
        </w:tc>
        <w:tc>
          <w:tcPr>
            <w:tcW w:w="0" w:type="auto"/>
            <w:gridSpan w:val="2"/>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6"/>
                <w:szCs w:val="16"/>
              </w:rPr>
              <w:t>104</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6"/>
                <w:szCs w:val="16"/>
              </w:rPr>
              <w:t>92</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6"/>
                <w:szCs w:val="16"/>
              </w:rPr>
              <w:t>91</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6"/>
                <w:szCs w:val="16"/>
              </w:rPr>
              <w:t>86</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6"/>
                <w:szCs w:val="16"/>
              </w:rPr>
              <w:t>85</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6"/>
                <w:szCs w:val="16"/>
              </w:rPr>
              <w:t>343</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3"/>
            <w:shd w:val="clear" w:color="auto" w:fill="D9D9D9"/>
            <w:tcMar>
              <w:top w:w="0" w:type="dxa"/>
              <w:left w:w="20" w:type="dxa"/>
              <w:bottom w:w="0" w:type="dxa"/>
              <w:right w:w="20" w:type="dxa"/>
            </w:tcMar>
            <w:vAlign w:val="center"/>
            <w:hideMark/>
          </w:tcPr>
          <w:p w:rsidR="00000000" w:rsidRDefault="001F1FC8">
            <w:pPr>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6"/>
                <w:szCs w:val="16"/>
              </w:rPr>
              <w:t>801</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3"/>
            <w:shd w:val="clear" w:color="auto" w:fill="D9D9D9"/>
            <w:tcMar>
              <w:top w:w="0" w:type="dxa"/>
              <w:left w:w="20" w:type="dxa"/>
              <w:bottom w:w="0" w:type="dxa"/>
              <w:right w:w="20" w:type="dxa"/>
            </w:tcMar>
            <w:vAlign w:val="center"/>
            <w:hideMark/>
          </w:tcPr>
          <w:p w:rsidR="00000000" w:rsidRDefault="001F1FC8">
            <w:pPr>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885 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1F1FC8">
            <w:pPr>
              <w:jc w:val="right"/>
              <w:rPr>
                <w:rFonts w:eastAsia="Times New Roman"/>
                <w:sz w:val="20"/>
                <w:szCs w:val="20"/>
              </w:rPr>
            </w:pPr>
          </w:p>
        </w:tc>
      </w:tr>
      <w:tr w:rsidR="00000000">
        <w:trPr>
          <w:divId w:val="1760252082"/>
        </w:trPr>
        <w:tc>
          <w:tcPr>
            <w:tcW w:w="0" w:type="auto"/>
            <w:gridSpan w:val="3"/>
            <w:tcMar>
              <w:top w:w="30" w:type="dxa"/>
              <w:left w:w="20" w:type="dxa"/>
              <w:bottom w:w="30" w:type="dxa"/>
              <w:right w:w="20" w:type="dxa"/>
            </w:tcMar>
            <w:vAlign w:val="bottom"/>
            <w:hideMark/>
          </w:tcPr>
          <w:p w:rsidR="00000000" w:rsidRDefault="001F1FC8">
            <w:pPr>
              <w:ind w:hanging="180"/>
              <w:divId w:val="50270694"/>
              <w:rPr>
                <w:rFonts w:eastAsia="Times New Roman"/>
              </w:rPr>
            </w:pPr>
            <w:r>
              <w:rPr>
                <w:rFonts w:ascii="Arial" w:eastAsia="Times New Roman" w:hAnsi="Arial" w:cs="Arial"/>
                <w:color w:val="000000"/>
                <w:sz w:val="16"/>
                <w:szCs w:val="16"/>
              </w:rPr>
              <w:t xml:space="preserve">Foreign exchange contracts - Japanese yen forwards - purchase </w:t>
            </w:r>
            <w:r>
              <w:rPr>
                <w:rFonts w:ascii="Arial" w:eastAsia="Times New Roman" w:hAnsi="Arial" w:cs="Arial"/>
                <w:i/>
                <w:iCs/>
                <w:color w:val="000000"/>
                <w:sz w:val="16"/>
                <w:szCs w:val="16"/>
              </w:rPr>
              <w:t>(millions of yen)</w:t>
            </w:r>
          </w:p>
        </w:tc>
        <w:tc>
          <w:tcPr>
            <w:tcW w:w="0" w:type="auto"/>
            <w:gridSpan w:val="2"/>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6"/>
                <w:szCs w:val="16"/>
              </w:rPr>
              <w:t>72,500</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3"/>
            <w:shd w:val="clear" w:color="auto" w:fill="D9D9D9"/>
            <w:tcMar>
              <w:top w:w="0" w:type="dxa"/>
              <w:left w:w="20" w:type="dxa"/>
              <w:bottom w:w="0" w:type="dxa"/>
              <w:right w:w="20" w:type="dxa"/>
            </w:tcMar>
            <w:vAlign w:val="center"/>
            <w:hideMark/>
          </w:tcPr>
          <w:p w:rsidR="00000000" w:rsidRDefault="001F1FC8">
            <w:pPr>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6"/>
                <w:szCs w:val="16"/>
              </w:rPr>
              <w:t>72,500</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3"/>
            <w:shd w:val="clear" w:color="auto" w:fill="D9D9D9"/>
            <w:tcMar>
              <w:top w:w="0" w:type="dxa"/>
              <w:left w:w="20" w:type="dxa"/>
              <w:bottom w:w="0" w:type="dxa"/>
              <w:right w:w="20" w:type="dxa"/>
            </w:tcMar>
            <w:vAlign w:val="center"/>
            <w:hideMark/>
          </w:tcPr>
          <w:p w:rsidR="00000000" w:rsidRDefault="001F1FC8">
            <w:pPr>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72,500 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1F1FC8">
            <w:pPr>
              <w:jc w:val="right"/>
              <w:rPr>
                <w:rFonts w:eastAsia="Times New Roman"/>
                <w:sz w:val="20"/>
                <w:szCs w:val="20"/>
              </w:rPr>
            </w:pPr>
          </w:p>
        </w:tc>
      </w:tr>
      <w:tr w:rsidR="00000000">
        <w:trPr>
          <w:divId w:val="1760252082"/>
        </w:trPr>
        <w:tc>
          <w:tcPr>
            <w:tcW w:w="0" w:type="auto"/>
            <w:gridSpan w:val="3"/>
            <w:tcMar>
              <w:top w:w="30" w:type="dxa"/>
              <w:left w:w="20" w:type="dxa"/>
              <w:bottom w:w="30" w:type="dxa"/>
              <w:right w:w="20" w:type="dxa"/>
            </w:tcMar>
            <w:vAlign w:val="bottom"/>
            <w:hideMark/>
          </w:tcPr>
          <w:p w:rsidR="00000000" w:rsidRDefault="001F1FC8">
            <w:pPr>
              <w:ind w:hanging="180"/>
              <w:divId w:val="863860820"/>
              <w:rPr>
                <w:rFonts w:eastAsia="Times New Roman"/>
              </w:rPr>
            </w:pPr>
            <w:r>
              <w:rPr>
                <w:rFonts w:ascii="Arial" w:eastAsia="Times New Roman" w:hAnsi="Arial" w:cs="Arial"/>
                <w:color w:val="000000"/>
                <w:sz w:val="16"/>
                <w:szCs w:val="16"/>
              </w:rPr>
              <w:t xml:space="preserve">Interest rate contracts - short-term pay fixed rate </w:t>
            </w:r>
            <w:r>
              <w:rPr>
                <w:rFonts w:ascii="Arial" w:eastAsia="Times New Roman" w:hAnsi="Arial" w:cs="Arial"/>
                <w:i/>
                <w:iCs/>
                <w:color w:val="000000"/>
                <w:sz w:val="16"/>
                <w:szCs w:val="16"/>
              </w:rPr>
              <w:t>(millions of Canadian dollars)</w:t>
            </w:r>
          </w:p>
        </w:tc>
        <w:tc>
          <w:tcPr>
            <w:tcW w:w="0" w:type="auto"/>
            <w:gridSpan w:val="2"/>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6"/>
                <w:szCs w:val="16"/>
              </w:rPr>
              <w:t>395</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6"/>
                <w:szCs w:val="16"/>
              </w:rPr>
              <w:t>47</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6"/>
                <w:szCs w:val="16"/>
              </w:rPr>
              <w:t>35</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6"/>
                <w:szCs w:val="16"/>
              </w:rPr>
              <w:t>30</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6"/>
                <w:szCs w:val="16"/>
              </w:rPr>
              <w:t>26</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6"/>
                <w:szCs w:val="16"/>
              </w:rPr>
              <w:t>64</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3"/>
            <w:shd w:val="clear" w:color="auto" w:fill="D9D9D9"/>
            <w:tcMar>
              <w:top w:w="0" w:type="dxa"/>
              <w:left w:w="20" w:type="dxa"/>
              <w:bottom w:w="0" w:type="dxa"/>
              <w:right w:w="20" w:type="dxa"/>
            </w:tcMar>
            <w:vAlign w:val="center"/>
            <w:hideMark/>
          </w:tcPr>
          <w:p w:rsidR="00000000" w:rsidRDefault="001F1FC8">
            <w:pPr>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6"/>
                <w:szCs w:val="16"/>
              </w:rPr>
              <w:t>597</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3"/>
            <w:shd w:val="clear" w:color="auto" w:fill="D9D9D9"/>
            <w:tcMar>
              <w:top w:w="0" w:type="dxa"/>
              <w:left w:w="20" w:type="dxa"/>
              <w:bottom w:w="0" w:type="dxa"/>
              <w:right w:w="20" w:type="dxa"/>
            </w:tcMar>
            <w:vAlign w:val="center"/>
            <w:hideMark/>
          </w:tcPr>
          <w:p w:rsidR="00000000" w:rsidRDefault="001F1FC8">
            <w:pPr>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4,635 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1F1FC8">
            <w:pPr>
              <w:jc w:val="right"/>
              <w:rPr>
                <w:rFonts w:eastAsia="Times New Roman"/>
                <w:sz w:val="20"/>
                <w:szCs w:val="20"/>
              </w:rPr>
            </w:pPr>
          </w:p>
        </w:tc>
      </w:tr>
      <w:tr w:rsidR="00000000">
        <w:trPr>
          <w:divId w:val="1760252082"/>
        </w:trPr>
        <w:tc>
          <w:tcPr>
            <w:tcW w:w="0" w:type="auto"/>
            <w:gridSpan w:val="3"/>
            <w:tcMar>
              <w:top w:w="30" w:type="dxa"/>
              <w:left w:w="20" w:type="dxa"/>
              <w:bottom w:w="30" w:type="dxa"/>
              <w:right w:w="20" w:type="dxa"/>
            </w:tcMar>
            <w:vAlign w:val="bottom"/>
            <w:hideMark/>
          </w:tcPr>
          <w:p w:rsidR="00000000" w:rsidRDefault="001F1FC8">
            <w:pPr>
              <w:ind w:hanging="180"/>
              <w:divId w:val="1576166253"/>
              <w:rPr>
                <w:rFonts w:eastAsia="Times New Roman"/>
              </w:rPr>
            </w:pPr>
            <w:r>
              <w:rPr>
                <w:rFonts w:ascii="Arial" w:eastAsia="Times New Roman" w:hAnsi="Arial" w:cs="Arial"/>
                <w:color w:val="000000"/>
                <w:sz w:val="16"/>
                <w:szCs w:val="16"/>
              </w:rPr>
              <w:t xml:space="preserve">Interest rate contracts - long-term pay fixed rate </w:t>
            </w:r>
            <w:r>
              <w:rPr>
                <w:rFonts w:ascii="Arial" w:eastAsia="Times New Roman" w:hAnsi="Arial" w:cs="Arial"/>
                <w:i/>
                <w:iCs/>
                <w:color w:val="000000"/>
                <w:sz w:val="16"/>
                <w:szCs w:val="16"/>
              </w:rPr>
              <w:t>(millions of Canadian dollars)</w:t>
            </w:r>
          </w:p>
        </w:tc>
        <w:tc>
          <w:tcPr>
            <w:tcW w:w="0" w:type="auto"/>
            <w:gridSpan w:val="2"/>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6"/>
                <w:szCs w:val="16"/>
              </w:rPr>
              <w:t>2,363</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6"/>
                <w:szCs w:val="16"/>
              </w:rPr>
              <w:t>1,784</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6"/>
                <w:szCs w:val="16"/>
              </w:rPr>
              <w:t>1,132</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3"/>
            <w:shd w:val="clear" w:color="auto" w:fill="D9D9D9"/>
            <w:tcMar>
              <w:top w:w="0" w:type="dxa"/>
              <w:left w:w="20" w:type="dxa"/>
              <w:bottom w:w="0" w:type="dxa"/>
              <w:right w:w="20" w:type="dxa"/>
            </w:tcMar>
            <w:vAlign w:val="center"/>
            <w:hideMark/>
          </w:tcPr>
          <w:p w:rsidR="00000000" w:rsidRDefault="001F1FC8">
            <w:pPr>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6"/>
                <w:szCs w:val="16"/>
              </w:rPr>
              <w:t>5,279</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3"/>
            <w:shd w:val="clear" w:color="auto" w:fill="D9D9D9"/>
            <w:tcMar>
              <w:top w:w="0" w:type="dxa"/>
              <w:left w:w="20" w:type="dxa"/>
              <w:bottom w:w="0" w:type="dxa"/>
              <w:right w:w="20" w:type="dxa"/>
            </w:tcMar>
            <w:vAlign w:val="center"/>
            <w:hideMark/>
          </w:tcPr>
          <w:p w:rsidR="00000000" w:rsidRDefault="001F1FC8">
            <w:pPr>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5,396 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1F1FC8">
            <w:pPr>
              <w:jc w:val="right"/>
              <w:rPr>
                <w:rFonts w:eastAsia="Times New Roman"/>
                <w:sz w:val="20"/>
                <w:szCs w:val="20"/>
              </w:rPr>
            </w:pPr>
          </w:p>
        </w:tc>
      </w:tr>
      <w:tr w:rsidR="00000000">
        <w:trPr>
          <w:divId w:val="1760252082"/>
        </w:trPr>
        <w:tc>
          <w:tcPr>
            <w:tcW w:w="0" w:type="auto"/>
            <w:gridSpan w:val="3"/>
            <w:tcMar>
              <w:top w:w="30" w:type="dxa"/>
              <w:left w:w="20" w:type="dxa"/>
              <w:bottom w:w="30" w:type="dxa"/>
              <w:right w:w="20" w:type="dxa"/>
            </w:tcMar>
            <w:vAlign w:val="bottom"/>
            <w:hideMark/>
          </w:tcPr>
          <w:p w:rsidR="00000000" w:rsidRDefault="001F1FC8">
            <w:pPr>
              <w:divId w:val="1928802113"/>
              <w:rPr>
                <w:rFonts w:eastAsia="Times New Roman"/>
              </w:rPr>
            </w:pPr>
            <w:r>
              <w:rPr>
                <w:rFonts w:ascii="Arial" w:eastAsia="Times New Roman" w:hAnsi="Arial" w:cs="Arial"/>
                <w:color w:val="000000"/>
                <w:sz w:val="16"/>
                <w:szCs w:val="16"/>
              </w:rPr>
              <w:t xml:space="preserve">Equity contracts </w:t>
            </w:r>
            <w:r>
              <w:rPr>
                <w:rFonts w:ascii="Arial" w:eastAsia="Times New Roman" w:hAnsi="Arial" w:cs="Arial"/>
                <w:i/>
                <w:iCs/>
                <w:color w:val="000000"/>
                <w:sz w:val="16"/>
                <w:szCs w:val="16"/>
              </w:rPr>
              <w:t>(millions of Canadian dollars)</w:t>
            </w:r>
          </w:p>
        </w:tc>
        <w:tc>
          <w:tcPr>
            <w:tcW w:w="0" w:type="auto"/>
            <w:gridSpan w:val="2"/>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6"/>
                <w:szCs w:val="16"/>
              </w:rPr>
              <w:t>20</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6"/>
                <w:szCs w:val="16"/>
              </w:rPr>
              <w:t>26</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6"/>
                <w:szCs w:val="16"/>
              </w:rPr>
              <w:t>21</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3"/>
            <w:shd w:val="clear" w:color="auto" w:fill="D9D9D9"/>
            <w:tcMar>
              <w:top w:w="0" w:type="dxa"/>
              <w:left w:w="20" w:type="dxa"/>
              <w:bottom w:w="0" w:type="dxa"/>
              <w:right w:w="20" w:type="dxa"/>
            </w:tcMar>
            <w:vAlign w:val="center"/>
            <w:hideMark/>
          </w:tcPr>
          <w:p w:rsidR="00000000" w:rsidRDefault="001F1FC8">
            <w:pPr>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6"/>
                <w:szCs w:val="16"/>
              </w:rPr>
              <w:t>67</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3"/>
            <w:shd w:val="clear" w:color="auto" w:fill="D9D9D9"/>
            <w:tcMar>
              <w:top w:w="0" w:type="dxa"/>
              <w:left w:w="20" w:type="dxa"/>
              <w:bottom w:w="0" w:type="dxa"/>
              <w:right w:w="20" w:type="dxa"/>
            </w:tcMar>
            <w:vAlign w:val="center"/>
            <w:hideMark/>
          </w:tcPr>
          <w:p w:rsidR="00000000" w:rsidRDefault="001F1FC8">
            <w:pPr>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62 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1F1FC8">
            <w:pPr>
              <w:jc w:val="right"/>
              <w:rPr>
                <w:rFonts w:eastAsia="Times New Roman"/>
                <w:sz w:val="20"/>
                <w:szCs w:val="20"/>
              </w:rPr>
            </w:pPr>
          </w:p>
        </w:tc>
      </w:tr>
      <w:tr w:rsidR="00000000">
        <w:trPr>
          <w:divId w:val="1760252082"/>
        </w:trPr>
        <w:tc>
          <w:tcPr>
            <w:tcW w:w="0" w:type="auto"/>
            <w:gridSpan w:val="3"/>
            <w:tcMar>
              <w:top w:w="30" w:type="dxa"/>
              <w:left w:w="20" w:type="dxa"/>
              <w:bottom w:w="30" w:type="dxa"/>
              <w:right w:w="20" w:type="dxa"/>
            </w:tcMar>
            <w:vAlign w:val="bottom"/>
            <w:hideMark/>
          </w:tcPr>
          <w:p w:rsidR="00000000" w:rsidRDefault="001F1FC8">
            <w:pPr>
              <w:ind w:hanging="180"/>
              <w:divId w:val="1998340746"/>
              <w:rPr>
                <w:rFonts w:eastAsia="Times New Roman"/>
              </w:rPr>
            </w:pPr>
            <w:r>
              <w:rPr>
                <w:rFonts w:ascii="Arial" w:eastAsia="Times New Roman" w:hAnsi="Arial" w:cs="Arial"/>
                <w:color w:val="000000"/>
                <w:sz w:val="16"/>
                <w:szCs w:val="16"/>
              </w:rPr>
              <w:t xml:space="preserve">Commodity contracts - natural gas </w:t>
            </w:r>
            <w:r>
              <w:rPr>
                <w:rFonts w:ascii="Arial" w:eastAsia="Times New Roman" w:hAnsi="Arial" w:cs="Arial"/>
                <w:i/>
                <w:iCs/>
                <w:color w:val="000000"/>
                <w:sz w:val="16"/>
                <w:szCs w:val="16"/>
              </w:rPr>
              <w:t>(billions of cubic feet)</w:t>
            </w:r>
          </w:p>
        </w:tc>
        <w:tc>
          <w:tcPr>
            <w:tcW w:w="0" w:type="auto"/>
            <w:gridSpan w:val="2"/>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6"/>
                <w:szCs w:val="16"/>
              </w:rPr>
              <w:t>165</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6"/>
                <w:szCs w:val="16"/>
              </w:rPr>
              <w:t>18</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6"/>
                <w:szCs w:val="16"/>
              </w:rPr>
              <w:t>5</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6"/>
                <w:szCs w:val="16"/>
              </w:rPr>
              <w:t>11</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3"/>
            <w:shd w:val="clear" w:color="auto" w:fill="D9D9D9"/>
            <w:tcMar>
              <w:top w:w="0" w:type="dxa"/>
              <w:left w:w="20" w:type="dxa"/>
              <w:bottom w:w="0" w:type="dxa"/>
              <w:right w:w="20" w:type="dxa"/>
            </w:tcMar>
            <w:vAlign w:val="center"/>
            <w:hideMark/>
          </w:tcPr>
          <w:p w:rsidR="00000000" w:rsidRDefault="001F1FC8">
            <w:pPr>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6"/>
                <w:szCs w:val="16"/>
              </w:rPr>
              <w:t>199</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3"/>
            <w:shd w:val="clear" w:color="auto" w:fill="D9D9D9"/>
            <w:tcMar>
              <w:top w:w="0" w:type="dxa"/>
              <w:left w:w="20" w:type="dxa"/>
              <w:bottom w:w="0" w:type="dxa"/>
              <w:right w:w="20" w:type="dxa"/>
            </w:tcMar>
            <w:vAlign w:val="center"/>
            <w:hideMark/>
          </w:tcPr>
          <w:p w:rsidR="00000000" w:rsidRDefault="001F1FC8">
            <w:pPr>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173 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1F1FC8">
            <w:pPr>
              <w:jc w:val="right"/>
              <w:rPr>
                <w:rFonts w:eastAsia="Times New Roman"/>
                <w:sz w:val="20"/>
                <w:szCs w:val="20"/>
              </w:rPr>
            </w:pPr>
          </w:p>
        </w:tc>
      </w:tr>
      <w:tr w:rsidR="00000000">
        <w:trPr>
          <w:divId w:val="1760252082"/>
        </w:trPr>
        <w:tc>
          <w:tcPr>
            <w:tcW w:w="0" w:type="auto"/>
            <w:gridSpan w:val="3"/>
            <w:tcMar>
              <w:top w:w="30" w:type="dxa"/>
              <w:left w:w="20" w:type="dxa"/>
              <w:bottom w:w="30" w:type="dxa"/>
              <w:right w:w="20" w:type="dxa"/>
            </w:tcMar>
            <w:vAlign w:val="bottom"/>
            <w:hideMark/>
          </w:tcPr>
          <w:p w:rsidR="00000000" w:rsidRDefault="001F1FC8">
            <w:pPr>
              <w:ind w:hanging="180"/>
              <w:divId w:val="1174030436"/>
              <w:rPr>
                <w:rFonts w:eastAsia="Times New Roman"/>
              </w:rPr>
            </w:pPr>
            <w:r>
              <w:rPr>
                <w:rFonts w:ascii="Arial" w:eastAsia="Times New Roman" w:hAnsi="Arial" w:cs="Arial"/>
                <w:color w:val="000000"/>
                <w:sz w:val="16"/>
                <w:szCs w:val="16"/>
              </w:rPr>
              <w:t xml:space="preserve">Commodity contracts - crude oil </w:t>
            </w:r>
            <w:r>
              <w:rPr>
                <w:rFonts w:ascii="Arial" w:eastAsia="Times New Roman" w:hAnsi="Arial" w:cs="Arial"/>
                <w:i/>
                <w:iCs/>
                <w:color w:val="000000"/>
                <w:sz w:val="16"/>
                <w:szCs w:val="16"/>
              </w:rPr>
              <w:t>(millions of barrels)</w:t>
            </w:r>
          </w:p>
        </w:tc>
        <w:tc>
          <w:tcPr>
            <w:tcW w:w="0" w:type="auto"/>
            <w:gridSpan w:val="2"/>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6"/>
                <w:szCs w:val="16"/>
              </w:rPr>
              <w:t>12</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3"/>
            <w:shd w:val="clear" w:color="auto" w:fill="D9D9D9"/>
            <w:tcMar>
              <w:top w:w="0" w:type="dxa"/>
              <w:left w:w="20" w:type="dxa"/>
              <w:bottom w:w="0" w:type="dxa"/>
              <w:right w:w="20" w:type="dxa"/>
            </w:tcMar>
            <w:vAlign w:val="center"/>
            <w:hideMark/>
          </w:tcPr>
          <w:p w:rsidR="00000000" w:rsidRDefault="001F1FC8">
            <w:pPr>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6"/>
                <w:szCs w:val="16"/>
              </w:rPr>
              <w:t>12</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3"/>
            <w:shd w:val="clear" w:color="auto" w:fill="D9D9D9"/>
            <w:tcMar>
              <w:top w:w="0" w:type="dxa"/>
              <w:left w:w="20" w:type="dxa"/>
              <w:bottom w:w="0" w:type="dxa"/>
              <w:right w:w="20" w:type="dxa"/>
            </w:tcMar>
            <w:vAlign w:val="center"/>
            <w:hideMark/>
          </w:tcPr>
          <w:p w:rsidR="00000000" w:rsidRDefault="001F1FC8">
            <w:pPr>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15 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1F1FC8">
            <w:pPr>
              <w:jc w:val="right"/>
              <w:rPr>
                <w:rFonts w:eastAsia="Times New Roman"/>
                <w:sz w:val="20"/>
                <w:szCs w:val="20"/>
              </w:rPr>
            </w:pPr>
          </w:p>
        </w:tc>
      </w:tr>
      <w:tr w:rsidR="00000000">
        <w:trPr>
          <w:divId w:val="1760252082"/>
        </w:trPr>
        <w:tc>
          <w:tcPr>
            <w:tcW w:w="0" w:type="auto"/>
            <w:gridSpan w:val="3"/>
            <w:vAlign w:val="center"/>
            <w:hideMark/>
          </w:tcPr>
          <w:p w:rsidR="00000000" w:rsidRDefault="001F1FC8">
            <w:pPr>
              <w:rPr>
                <w:rFonts w:eastAsia="Times New Roman"/>
                <w:sz w:val="20"/>
                <w:szCs w:val="20"/>
              </w:rPr>
            </w:pPr>
          </w:p>
        </w:tc>
        <w:tc>
          <w:tcPr>
            <w:tcW w:w="0" w:type="auto"/>
            <w:gridSpan w:val="3"/>
            <w:vAlign w:val="center"/>
            <w:hideMark/>
          </w:tcPr>
          <w:p w:rsidR="00000000" w:rsidRDefault="001F1FC8">
            <w:pPr>
              <w:rPr>
                <w:rFonts w:eastAsia="Times New Roman"/>
                <w:sz w:val="20"/>
                <w:szCs w:val="20"/>
              </w:rPr>
            </w:pPr>
          </w:p>
        </w:tc>
        <w:tc>
          <w:tcPr>
            <w:tcW w:w="0" w:type="auto"/>
            <w:gridSpan w:val="3"/>
            <w:vAlign w:val="center"/>
            <w:hideMark/>
          </w:tcPr>
          <w:p w:rsidR="00000000" w:rsidRDefault="001F1FC8">
            <w:pPr>
              <w:rPr>
                <w:rFonts w:eastAsia="Times New Roman"/>
                <w:sz w:val="20"/>
                <w:szCs w:val="20"/>
              </w:rPr>
            </w:pPr>
          </w:p>
        </w:tc>
        <w:tc>
          <w:tcPr>
            <w:tcW w:w="0" w:type="auto"/>
            <w:gridSpan w:val="3"/>
            <w:vAlign w:val="center"/>
            <w:hideMark/>
          </w:tcPr>
          <w:p w:rsidR="00000000" w:rsidRDefault="001F1FC8">
            <w:pPr>
              <w:rPr>
                <w:rFonts w:eastAsia="Times New Roman"/>
                <w:sz w:val="20"/>
                <w:szCs w:val="20"/>
              </w:rPr>
            </w:pPr>
          </w:p>
        </w:tc>
        <w:tc>
          <w:tcPr>
            <w:tcW w:w="0" w:type="auto"/>
            <w:gridSpan w:val="3"/>
            <w:vAlign w:val="center"/>
            <w:hideMark/>
          </w:tcPr>
          <w:p w:rsidR="00000000" w:rsidRDefault="001F1FC8">
            <w:pPr>
              <w:rPr>
                <w:rFonts w:eastAsia="Times New Roman"/>
                <w:sz w:val="20"/>
                <w:szCs w:val="20"/>
              </w:rPr>
            </w:pPr>
          </w:p>
        </w:tc>
        <w:tc>
          <w:tcPr>
            <w:tcW w:w="0" w:type="auto"/>
            <w:gridSpan w:val="3"/>
            <w:vAlign w:val="center"/>
            <w:hideMark/>
          </w:tcPr>
          <w:p w:rsidR="00000000" w:rsidRDefault="001F1FC8">
            <w:pPr>
              <w:rPr>
                <w:rFonts w:eastAsia="Times New Roman"/>
                <w:sz w:val="20"/>
                <w:szCs w:val="20"/>
              </w:rPr>
            </w:pPr>
          </w:p>
        </w:tc>
        <w:tc>
          <w:tcPr>
            <w:tcW w:w="0" w:type="auto"/>
            <w:gridSpan w:val="3"/>
            <w:vAlign w:val="center"/>
            <w:hideMark/>
          </w:tcPr>
          <w:p w:rsidR="00000000" w:rsidRDefault="001F1FC8">
            <w:pPr>
              <w:rPr>
                <w:rFonts w:eastAsia="Times New Roman"/>
                <w:sz w:val="20"/>
                <w:szCs w:val="20"/>
              </w:rPr>
            </w:pPr>
          </w:p>
        </w:tc>
        <w:tc>
          <w:tcPr>
            <w:tcW w:w="0" w:type="auto"/>
            <w:gridSpan w:val="3"/>
            <w:vAlign w:val="center"/>
            <w:hideMark/>
          </w:tcPr>
          <w:p w:rsidR="00000000" w:rsidRDefault="001F1FC8">
            <w:pPr>
              <w:rPr>
                <w:rFonts w:eastAsia="Times New Roman"/>
                <w:sz w:val="20"/>
                <w:szCs w:val="20"/>
              </w:rPr>
            </w:pPr>
          </w:p>
        </w:tc>
        <w:tc>
          <w:tcPr>
            <w:tcW w:w="0" w:type="auto"/>
            <w:gridSpan w:val="3"/>
            <w:vAlign w:val="center"/>
            <w:hideMark/>
          </w:tcPr>
          <w:p w:rsidR="00000000" w:rsidRDefault="001F1FC8">
            <w:pPr>
              <w:rPr>
                <w:rFonts w:eastAsia="Times New Roman"/>
                <w:sz w:val="20"/>
                <w:szCs w:val="20"/>
              </w:rPr>
            </w:pPr>
          </w:p>
        </w:tc>
        <w:tc>
          <w:tcPr>
            <w:tcW w:w="0" w:type="auto"/>
            <w:gridSpan w:val="3"/>
            <w:vAlign w:val="center"/>
            <w:hideMark/>
          </w:tcPr>
          <w:p w:rsidR="00000000" w:rsidRDefault="001F1FC8">
            <w:pPr>
              <w:rPr>
                <w:rFonts w:eastAsia="Times New Roman"/>
                <w:sz w:val="20"/>
                <w:szCs w:val="20"/>
              </w:rPr>
            </w:pPr>
          </w:p>
        </w:tc>
        <w:tc>
          <w:tcPr>
            <w:tcW w:w="0" w:type="auto"/>
            <w:gridSpan w:val="3"/>
            <w:vAlign w:val="center"/>
            <w:hideMark/>
          </w:tcPr>
          <w:p w:rsidR="00000000" w:rsidRDefault="001F1FC8">
            <w:pPr>
              <w:rPr>
                <w:rFonts w:eastAsia="Times New Roman"/>
                <w:sz w:val="20"/>
                <w:szCs w:val="20"/>
              </w:rPr>
            </w:pPr>
          </w:p>
        </w:tc>
        <w:tc>
          <w:tcPr>
            <w:tcW w:w="0" w:type="auto"/>
            <w:gridSpan w:val="3"/>
            <w:vAlign w:val="center"/>
            <w:hideMark/>
          </w:tcPr>
          <w:p w:rsidR="00000000" w:rsidRDefault="001F1FC8">
            <w:pPr>
              <w:rPr>
                <w:rFonts w:eastAsia="Times New Roman"/>
                <w:sz w:val="20"/>
                <w:szCs w:val="20"/>
              </w:rPr>
            </w:pPr>
          </w:p>
        </w:tc>
      </w:tr>
      <w:tr w:rsidR="00000000">
        <w:trPr>
          <w:divId w:val="1760252082"/>
        </w:trPr>
        <w:tc>
          <w:tcPr>
            <w:tcW w:w="0" w:type="auto"/>
            <w:gridSpan w:val="3"/>
            <w:tcBorders>
              <w:bottom w:val="single" w:sz="8" w:space="0" w:color="000000"/>
            </w:tcBorders>
            <w:tcMar>
              <w:top w:w="30" w:type="dxa"/>
              <w:left w:w="20" w:type="dxa"/>
              <w:bottom w:w="30" w:type="dxa"/>
              <w:right w:w="20" w:type="dxa"/>
            </w:tcMar>
            <w:vAlign w:val="bottom"/>
            <w:hideMark/>
          </w:tcPr>
          <w:p w:rsidR="00000000" w:rsidRDefault="001F1FC8">
            <w:pPr>
              <w:ind w:hanging="180"/>
              <w:divId w:val="959149254"/>
              <w:rPr>
                <w:rFonts w:eastAsia="Times New Roman"/>
              </w:rPr>
            </w:pPr>
            <w:r>
              <w:rPr>
                <w:rFonts w:ascii="Arial" w:eastAsia="Times New Roman" w:hAnsi="Arial" w:cs="Arial"/>
                <w:color w:val="000000"/>
                <w:sz w:val="16"/>
                <w:szCs w:val="16"/>
              </w:rPr>
              <w:t xml:space="preserve">Commodity contracts - power </w:t>
            </w:r>
            <w:r>
              <w:rPr>
                <w:rFonts w:ascii="Arial" w:eastAsia="Times New Roman" w:hAnsi="Arial" w:cs="Arial"/>
                <w:i/>
                <w:iCs/>
                <w:color w:val="000000"/>
                <w:sz w:val="16"/>
                <w:szCs w:val="16"/>
              </w:rPr>
              <w:t>(megawatt per hour (MW/H)</w:t>
            </w:r>
          </w:p>
        </w:tc>
        <w:tc>
          <w:tcPr>
            <w:tcW w:w="0" w:type="auto"/>
            <w:gridSpan w:val="2"/>
            <w:tcBorders>
              <w:bottom w:val="single" w:sz="8" w:space="0" w:color="000000"/>
            </w:tcBorders>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6"/>
                <w:szCs w:val="16"/>
              </w:rPr>
              <w:t>(43)</w:t>
            </w:r>
          </w:p>
        </w:tc>
        <w:tc>
          <w:tcPr>
            <w:tcW w:w="0" w:type="auto"/>
            <w:tcBorders>
              <w:bottom w:val="single" w:sz="8" w:space="0" w:color="000000"/>
            </w:tcBorders>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Borders>
              <w:bottom w:val="single" w:sz="8" w:space="0" w:color="000000"/>
            </w:tcBorders>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6"/>
                <w:szCs w:val="16"/>
              </w:rPr>
              <w:t>(43)</w:t>
            </w:r>
          </w:p>
        </w:tc>
        <w:tc>
          <w:tcPr>
            <w:tcW w:w="0" w:type="auto"/>
            <w:tcBorders>
              <w:bottom w:val="single" w:sz="8" w:space="0" w:color="000000"/>
            </w:tcBorders>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Borders>
              <w:bottom w:val="single" w:sz="8" w:space="0" w:color="000000"/>
            </w:tcBorders>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6"/>
                <w:szCs w:val="16"/>
              </w:rPr>
              <w:t>(43)</w:t>
            </w:r>
          </w:p>
        </w:tc>
        <w:tc>
          <w:tcPr>
            <w:tcW w:w="0" w:type="auto"/>
            <w:tcBorders>
              <w:bottom w:val="single" w:sz="8" w:space="0" w:color="000000"/>
            </w:tcBorders>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Borders>
              <w:bottom w:val="single" w:sz="8" w:space="0" w:color="000000"/>
            </w:tcBorders>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6"/>
                <w:szCs w:val="16"/>
              </w:rPr>
              <w:t>(43)</w:t>
            </w:r>
          </w:p>
        </w:tc>
        <w:tc>
          <w:tcPr>
            <w:tcW w:w="0" w:type="auto"/>
            <w:tcBorders>
              <w:bottom w:val="single" w:sz="8" w:space="0" w:color="000000"/>
            </w:tcBorders>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Borders>
              <w:bottom w:val="single" w:sz="8" w:space="0" w:color="000000"/>
            </w:tcBorders>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tcBorders>
              <w:bottom w:val="single" w:sz="8" w:space="0" w:color="000000"/>
            </w:tcBorders>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Borders>
              <w:bottom w:val="single" w:sz="8" w:space="0" w:color="000000"/>
            </w:tcBorders>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tcBorders>
              <w:bottom w:val="single" w:sz="8" w:space="0" w:color="000000"/>
            </w:tcBorders>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3"/>
            <w:tcBorders>
              <w:bottom w:val="single" w:sz="8" w:space="0" w:color="000000"/>
            </w:tcBorders>
            <w:shd w:val="clear" w:color="auto" w:fill="D9D9D9"/>
            <w:tcMar>
              <w:top w:w="0" w:type="dxa"/>
              <w:left w:w="20" w:type="dxa"/>
              <w:bottom w:w="0" w:type="dxa"/>
              <w:right w:w="20" w:type="dxa"/>
            </w:tcMar>
            <w:vAlign w:val="center"/>
            <w:hideMark/>
          </w:tcPr>
          <w:p w:rsidR="00000000" w:rsidRDefault="001F1FC8">
            <w:pPr>
              <w:jc w:val="right"/>
              <w:rPr>
                <w:rFonts w:eastAsia="Times New Roman"/>
                <w:sz w:val="20"/>
                <w:szCs w:val="20"/>
              </w:rPr>
            </w:pPr>
          </w:p>
        </w:tc>
        <w:tc>
          <w:tcPr>
            <w:tcW w:w="0" w:type="auto"/>
            <w:gridSpan w:val="2"/>
            <w:tcBorders>
              <w:bottom w:val="single" w:sz="8" w:space="0" w:color="000000"/>
            </w:tcBorders>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6"/>
                <w:szCs w:val="16"/>
              </w:rPr>
              <w:t>(43)</w:t>
            </w:r>
          </w:p>
        </w:tc>
        <w:tc>
          <w:tcPr>
            <w:tcW w:w="0" w:type="auto"/>
            <w:tcBorders>
              <w:bottom w:val="single" w:sz="8" w:space="0" w:color="000000"/>
            </w:tcBorders>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3"/>
            <w:tcBorders>
              <w:bottom w:val="single" w:sz="8" w:space="0" w:color="000000"/>
            </w:tcBorders>
            <w:shd w:val="clear" w:color="auto" w:fill="D9D9D9"/>
            <w:tcMar>
              <w:top w:w="30" w:type="dxa"/>
              <w:left w:w="20" w:type="dxa"/>
              <w:bottom w:w="30" w:type="dxa"/>
              <w:right w:w="20" w:type="dxa"/>
            </w:tcMar>
            <w:vAlign w:val="center"/>
            <w:hideMark/>
          </w:tcPr>
          <w:p w:rsidR="00000000" w:rsidRDefault="001F1FC8">
            <w:pPr>
              <w:rPr>
                <w:rFonts w:eastAsia="Times New Roman"/>
              </w:rPr>
            </w:pPr>
            <w:r>
              <w:rPr>
                <w:rFonts w:ascii="Arial" w:eastAsia="Times New Roman" w:hAnsi="Arial" w:cs="Arial"/>
                <w:b/>
                <w:bCs/>
                <w:color w:val="000000"/>
                <w:sz w:val="14"/>
                <w:szCs w:val="14"/>
              </w:rPr>
              <w:t>1</w:t>
            </w:r>
          </w:p>
        </w:tc>
        <w:tc>
          <w:tcPr>
            <w:tcW w:w="0" w:type="auto"/>
            <w:gridSpan w:val="2"/>
            <w:tcBorders>
              <w:bottom w:val="single" w:sz="8" w:space="0" w:color="000000"/>
            </w:tcBorders>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(35)</w:t>
            </w:r>
          </w:p>
        </w:tc>
        <w:tc>
          <w:tcPr>
            <w:tcW w:w="0" w:type="auto"/>
            <w:tcBorders>
              <w:bottom w:val="single" w:sz="8" w:space="0" w:color="000000"/>
            </w:tcBorders>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3"/>
            <w:tcBorders>
              <w:bottom w:val="single" w:sz="8" w:space="0" w:color="000000"/>
            </w:tcBorders>
            <w:tcMar>
              <w:top w:w="30" w:type="dxa"/>
              <w:left w:w="20" w:type="dxa"/>
              <w:bottom w:w="30" w:type="dxa"/>
              <w:right w:w="20" w:type="dxa"/>
            </w:tcMar>
            <w:vAlign w:val="center"/>
            <w:hideMark/>
          </w:tcPr>
          <w:p w:rsidR="00000000" w:rsidRDefault="001F1FC8">
            <w:pPr>
              <w:rPr>
                <w:rFonts w:eastAsia="Times New Roman"/>
              </w:rPr>
            </w:pPr>
            <w:r>
              <w:rPr>
                <w:rFonts w:ascii="Arial" w:eastAsia="Times New Roman" w:hAnsi="Arial" w:cs="Arial"/>
                <w:color w:val="000000"/>
                <w:sz w:val="14"/>
                <w:szCs w:val="14"/>
              </w:rPr>
              <w:t>1</w:t>
            </w:r>
          </w:p>
        </w:tc>
      </w:tr>
    </w:tbl>
    <w:p w:rsidR="00000000" w:rsidRDefault="001F1FC8">
      <w:pPr>
        <w:ind w:hanging="180"/>
        <w:divId w:val="1840272154"/>
        <w:rPr>
          <w:rFonts w:eastAsia="Times New Roman"/>
        </w:rPr>
      </w:pPr>
      <w:r>
        <w:rPr>
          <w:rFonts w:ascii="Arial" w:eastAsia="Times New Roman" w:hAnsi="Arial" w:cs="Arial"/>
          <w:i/>
          <w:iCs/>
          <w:color w:val="000000"/>
          <w:sz w:val="16"/>
          <w:szCs w:val="16"/>
        </w:rPr>
        <w:t>1Total is an average net purchase/(sell) of power.</w:t>
      </w:r>
    </w:p>
    <w:p w:rsidR="00000000" w:rsidRDefault="001F1FC8">
      <w:pPr>
        <w:divId w:val="453257873"/>
        <w:rPr>
          <w:rFonts w:eastAsia="Times New Roman"/>
        </w:rPr>
      </w:pPr>
    </w:p>
    <w:p w:rsidR="00000000" w:rsidRDefault="001F1FC8">
      <w:pPr>
        <w:jc w:val="center"/>
        <w:divId w:val="179583762"/>
        <w:rPr>
          <w:rFonts w:eastAsia="Times New Roman"/>
        </w:rPr>
      </w:pPr>
      <w:r>
        <w:rPr>
          <w:rFonts w:ascii="Arial" w:eastAsia="Times New Roman" w:hAnsi="Arial" w:cs="Arial"/>
          <w:color w:val="000000"/>
          <w:sz w:val="20"/>
          <w:szCs w:val="20"/>
        </w:rPr>
        <w:t>153</w:t>
      </w:r>
    </w:p>
    <w:p w:rsidR="00000000" w:rsidRDefault="001F1FC8">
      <w:pPr>
        <w:rPr>
          <w:rFonts w:eastAsia="Times New Roman"/>
        </w:rPr>
      </w:pPr>
      <w:r>
        <w:rPr>
          <w:rFonts w:eastAsia="Times New Roman"/>
        </w:rPr>
        <w:pict>
          <v:rect id="_x0000_i1183" style="width:0;height:1.5pt" o:hralign="center" o:hrstd="t" o:hr="t" fillcolor="#a0a0a0" stroked="f"/>
        </w:pict>
      </w:r>
    </w:p>
    <w:p w:rsidR="00000000" w:rsidRDefault="001F1FC8">
      <w:pPr>
        <w:jc w:val="center"/>
        <w:divId w:val="6448802"/>
        <w:rPr>
          <w:rFonts w:eastAsia="Times New Roman"/>
        </w:rPr>
      </w:pPr>
    </w:p>
    <w:p w:rsidR="00000000" w:rsidRDefault="001F1FC8">
      <w:pPr>
        <w:divId w:val="2096827138"/>
        <w:rPr>
          <w:rFonts w:eastAsia="Times New Roman"/>
        </w:rPr>
      </w:pPr>
      <w:r>
        <w:rPr>
          <w:rFonts w:ascii="Arial" w:eastAsia="Times New Roman" w:hAnsi="Arial" w:cs="Arial"/>
          <w:b/>
          <w:bCs/>
          <w:color w:val="000000"/>
          <w:sz w:val="20"/>
          <w:szCs w:val="20"/>
        </w:rPr>
        <w:t>The Effect of Derivative Instruments on the Statements of Earnings a</w:t>
      </w:r>
      <w:r>
        <w:rPr>
          <w:rFonts w:ascii="Arial" w:eastAsia="Times New Roman" w:hAnsi="Arial" w:cs="Arial"/>
          <w:b/>
          <w:bCs/>
          <w:color w:val="000000"/>
          <w:sz w:val="20"/>
          <w:szCs w:val="20"/>
        </w:rPr>
        <w:t>nd Comprehensive Income</w:t>
      </w:r>
    </w:p>
    <w:p w:rsidR="00000000" w:rsidRDefault="001F1FC8">
      <w:pPr>
        <w:divId w:val="1146749825"/>
        <w:rPr>
          <w:rFonts w:eastAsia="Times New Roman"/>
        </w:rPr>
      </w:pPr>
      <w:r>
        <w:rPr>
          <w:rFonts w:ascii="Arial" w:eastAsia="Times New Roman" w:hAnsi="Arial" w:cs="Arial"/>
          <w:color w:val="000000"/>
          <w:sz w:val="4"/>
          <w:szCs w:val="4"/>
        </w:rPr>
        <w:t> </w:t>
      </w:r>
    </w:p>
    <w:p w:rsidR="00000000" w:rsidRDefault="001F1FC8">
      <w:pPr>
        <w:divId w:val="1813598979"/>
        <w:rPr>
          <w:rFonts w:eastAsia="Times New Roman"/>
        </w:rPr>
      </w:pPr>
      <w:r>
        <w:rPr>
          <w:rFonts w:ascii="Arial" w:eastAsia="Times New Roman" w:hAnsi="Arial" w:cs="Arial"/>
          <w:color w:val="000000"/>
          <w:sz w:val="20"/>
          <w:szCs w:val="20"/>
        </w:rPr>
        <w:t>The following table presents the effect of cash flow hedges and net investment hedges on our consolidated earnings and consolidated comprehensive income, before the effect of income taxes:</w:t>
      </w:r>
    </w:p>
    <w:tbl>
      <w:tblPr>
        <w:tblW w:w="4959" w:type="pct"/>
        <w:tblCellMar>
          <w:top w:w="15" w:type="dxa"/>
          <w:left w:w="15" w:type="dxa"/>
          <w:bottom w:w="15" w:type="dxa"/>
          <w:right w:w="15" w:type="dxa"/>
        </w:tblCellMar>
        <w:tblLook w:val="04A0" w:firstRow="1" w:lastRow="0" w:firstColumn="1" w:lastColumn="0" w:noHBand="0" w:noVBand="1"/>
      </w:tblPr>
      <w:tblGrid>
        <w:gridCol w:w="68"/>
        <w:gridCol w:w="5538"/>
        <w:gridCol w:w="39"/>
        <w:gridCol w:w="68"/>
        <w:gridCol w:w="760"/>
        <w:gridCol w:w="36"/>
        <w:gridCol w:w="68"/>
        <w:gridCol w:w="732"/>
        <w:gridCol w:w="36"/>
        <w:gridCol w:w="69"/>
        <w:gridCol w:w="788"/>
        <w:gridCol w:w="36"/>
      </w:tblGrid>
      <w:tr w:rsidR="00000000">
        <w:trPr>
          <w:divId w:val="1543715097"/>
        </w:trPr>
        <w:tc>
          <w:tcPr>
            <w:tcW w:w="50" w:type="pct"/>
            <w:vAlign w:val="center"/>
            <w:hideMark/>
          </w:tcPr>
          <w:p w:rsidR="00000000" w:rsidRDefault="001F1FC8">
            <w:pPr>
              <w:rPr>
                <w:rFonts w:eastAsia="Times New Roman"/>
              </w:rPr>
            </w:pPr>
          </w:p>
        </w:tc>
        <w:tc>
          <w:tcPr>
            <w:tcW w:w="3369"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c>
          <w:tcPr>
            <w:tcW w:w="50" w:type="pct"/>
            <w:vAlign w:val="center"/>
            <w:hideMark/>
          </w:tcPr>
          <w:p w:rsidR="00000000" w:rsidRDefault="001F1FC8">
            <w:pPr>
              <w:rPr>
                <w:rFonts w:eastAsia="Times New Roman"/>
                <w:sz w:val="20"/>
                <w:szCs w:val="20"/>
              </w:rPr>
            </w:pPr>
          </w:p>
        </w:tc>
        <w:tc>
          <w:tcPr>
            <w:tcW w:w="470"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c>
          <w:tcPr>
            <w:tcW w:w="50" w:type="pct"/>
            <w:vAlign w:val="center"/>
            <w:hideMark/>
          </w:tcPr>
          <w:p w:rsidR="00000000" w:rsidRDefault="001F1FC8">
            <w:pPr>
              <w:rPr>
                <w:rFonts w:eastAsia="Times New Roman"/>
                <w:sz w:val="20"/>
                <w:szCs w:val="20"/>
              </w:rPr>
            </w:pPr>
          </w:p>
        </w:tc>
        <w:tc>
          <w:tcPr>
            <w:tcW w:w="453"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c>
          <w:tcPr>
            <w:tcW w:w="50" w:type="pct"/>
            <w:vAlign w:val="center"/>
            <w:hideMark/>
          </w:tcPr>
          <w:p w:rsidR="00000000" w:rsidRDefault="001F1FC8">
            <w:pPr>
              <w:rPr>
                <w:rFonts w:eastAsia="Times New Roman"/>
                <w:sz w:val="20"/>
                <w:szCs w:val="20"/>
              </w:rPr>
            </w:pPr>
          </w:p>
        </w:tc>
        <w:tc>
          <w:tcPr>
            <w:tcW w:w="486"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r>
      <w:tr w:rsidR="00000000">
        <w:trPr>
          <w:divId w:val="1543715097"/>
        </w:trPr>
        <w:tc>
          <w:tcPr>
            <w:tcW w:w="0" w:type="auto"/>
            <w:gridSpan w:val="3"/>
            <w:tcMar>
              <w:top w:w="30" w:type="dxa"/>
              <w:left w:w="20" w:type="dxa"/>
              <w:bottom w:w="30" w:type="dxa"/>
              <w:right w:w="20" w:type="dxa"/>
            </w:tcMar>
            <w:vAlign w:val="bottom"/>
            <w:hideMark/>
          </w:tcPr>
          <w:p w:rsidR="00000000" w:rsidRDefault="001F1FC8">
            <w:pPr>
              <w:rPr>
                <w:rFonts w:eastAsia="Times New Roman"/>
              </w:rPr>
            </w:pPr>
            <w:r>
              <w:rPr>
                <w:rFonts w:ascii="Arial" w:eastAsia="Times New Roman" w:hAnsi="Arial" w:cs="Arial"/>
                <w:color w:val="000000"/>
                <w:sz w:val="2"/>
                <w:szCs w:val="2"/>
              </w:rPr>
              <w:t> </w:t>
            </w:r>
          </w:p>
        </w:tc>
        <w:tc>
          <w:tcPr>
            <w:tcW w:w="0" w:type="auto"/>
            <w:gridSpan w:val="3"/>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b/>
                <w:bCs/>
                <w:color w:val="000000"/>
                <w:sz w:val="20"/>
                <w:szCs w:val="20"/>
              </w:rPr>
              <w:t>2021</w:t>
            </w:r>
          </w:p>
        </w:tc>
        <w:tc>
          <w:tcPr>
            <w:tcW w:w="0" w:type="auto"/>
            <w:gridSpan w:val="3"/>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2020</w:t>
            </w:r>
          </w:p>
        </w:tc>
        <w:tc>
          <w:tcPr>
            <w:tcW w:w="0" w:type="auto"/>
            <w:gridSpan w:val="3"/>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2019</w:t>
            </w:r>
          </w:p>
        </w:tc>
      </w:tr>
      <w:tr w:rsidR="00000000">
        <w:trPr>
          <w:divId w:val="1543715097"/>
        </w:trPr>
        <w:tc>
          <w:tcPr>
            <w:tcW w:w="0" w:type="auto"/>
            <w:gridSpan w:val="3"/>
            <w:tcBorders>
              <w:top w:val="single" w:sz="4" w:space="0" w:color="000000"/>
            </w:tcBorders>
            <w:tcMar>
              <w:top w:w="30" w:type="dxa"/>
              <w:left w:w="20" w:type="dxa"/>
              <w:bottom w:w="30" w:type="dxa"/>
              <w:right w:w="20" w:type="dxa"/>
            </w:tcMar>
            <w:hideMark/>
          </w:tcPr>
          <w:p w:rsidR="00000000" w:rsidRDefault="001F1FC8">
            <w:pPr>
              <w:rPr>
                <w:rFonts w:eastAsia="Times New Roman"/>
              </w:rPr>
            </w:pPr>
            <w:r>
              <w:rPr>
                <w:rFonts w:ascii="Arial" w:eastAsia="Times New Roman" w:hAnsi="Arial" w:cs="Arial"/>
                <w:i/>
                <w:iCs/>
                <w:color w:val="000000"/>
                <w:sz w:val="16"/>
                <w:szCs w:val="16"/>
              </w:rPr>
              <w:t>(millions of Canadian dollars)</w:t>
            </w:r>
          </w:p>
        </w:tc>
        <w:tc>
          <w:tcPr>
            <w:tcW w:w="0" w:type="auto"/>
            <w:gridSpan w:val="3"/>
            <w:tcBorders>
              <w:top w:val="single" w:sz="4" w:space="0" w:color="000000"/>
            </w:tcBorders>
            <w:shd w:val="clear" w:color="auto" w:fill="D9D9D9"/>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2"/>
                <w:szCs w:val="2"/>
              </w:rPr>
              <w:t> </w:t>
            </w: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2"/>
                <w:szCs w:val="2"/>
              </w:rPr>
              <w:t> </w:t>
            </w: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2"/>
                <w:szCs w:val="2"/>
              </w:rPr>
              <w:t> </w:t>
            </w:r>
          </w:p>
        </w:tc>
      </w:tr>
      <w:tr w:rsidR="00000000">
        <w:trPr>
          <w:divId w:val="1543715097"/>
        </w:trPr>
        <w:tc>
          <w:tcPr>
            <w:tcW w:w="0" w:type="auto"/>
            <w:gridSpan w:val="3"/>
            <w:tcMar>
              <w:top w:w="30" w:type="dxa"/>
              <w:left w:w="20" w:type="dxa"/>
              <w:bottom w:w="30" w:type="dxa"/>
              <w:right w:w="20" w:type="dxa"/>
            </w:tcMar>
            <w:hideMark/>
          </w:tcPr>
          <w:p w:rsidR="00000000" w:rsidRDefault="001F1FC8">
            <w:pPr>
              <w:rPr>
                <w:rFonts w:eastAsia="Times New Roman"/>
              </w:rPr>
            </w:pPr>
            <w:r>
              <w:rPr>
                <w:rFonts w:ascii="Arial" w:eastAsia="Times New Roman" w:hAnsi="Arial" w:cs="Arial"/>
                <w:color w:val="000000"/>
                <w:sz w:val="20"/>
                <w:szCs w:val="20"/>
              </w:rPr>
              <w:t>Amount of unrealized gain/(loss) recognized in OCI</w:t>
            </w:r>
          </w:p>
        </w:tc>
        <w:tc>
          <w:tcPr>
            <w:tcW w:w="0" w:type="auto"/>
            <w:gridSpan w:val="3"/>
            <w:shd w:val="clear" w:color="auto" w:fill="D9D9D9"/>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2"/>
                <w:szCs w:val="2"/>
              </w:rPr>
              <w:t> </w:t>
            </w:r>
          </w:p>
        </w:tc>
        <w:tc>
          <w:tcPr>
            <w:tcW w:w="0" w:type="auto"/>
            <w:gridSpan w:val="3"/>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2"/>
                <w:szCs w:val="2"/>
              </w:rPr>
              <w:t> </w:t>
            </w:r>
          </w:p>
        </w:tc>
        <w:tc>
          <w:tcPr>
            <w:tcW w:w="0" w:type="auto"/>
            <w:gridSpan w:val="3"/>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2"/>
                <w:szCs w:val="2"/>
              </w:rPr>
              <w:t> </w:t>
            </w:r>
          </w:p>
        </w:tc>
      </w:tr>
      <w:tr w:rsidR="00000000">
        <w:trPr>
          <w:divId w:val="1543715097"/>
        </w:trPr>
        <w:tc>
          <w:tcPr>
            <w:tcW w:w="0" w:type="auto"/>
            <w:gridSpan w:val="3"/>
            <w:tcMar>
              <w:top w:w="30" w:type="dxa"/>
              <w:left w:w="155" w:type="dxa"/>
              <w:bottom w:w="30" w:type="dxa"/>
              <w:right w:w="20" w:type="dxa"/>
            </w:tcMar>
            <w:hideMark/>
          </w:tcPr>
          <w:p w:rsidR="00000000" w:rsidRDefault="001F1FC8">
            <w:pPr>
              <w:rPr>
                <w:rFonts w:eastAsia="Times New Roman"/>
              </w:rPr>
            </w:pPr>
            <w:r>
              <w:rPr>
                <w:rFonts w:ascii="Arial" w:eastAsia="Times New Roman" w:hAnsi="Arial" w:cs="Arial"/>
                <w:color w:val="000000"/>
                <w:sz w:val="20"/>
                <w:szCs w:val="20"/>
              </w:rPr>
              <w:t>Cash flow hedges</w:t>
            </w:r>
          </w:p>
        </w:tc>
        <w:tc>
          <w:tcPr>
            <w:tcW w:w="0" w:type="auto"/>
            <w:gridSpan w:val="3"/>
            <w:shd w:val="clear" w:color="auto" w:fill="D9D9D9"/>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2"/>
                <w:szCs w:val="2"/>
              </w:rPr>
              <w:t> </w:t>
            </w:r>
          </w:p>
        </w:tc>
        <w:tc>
          <w:tcPr>
            <w:tcW w:w="0" w:type="auto"/>
            <w:gridSpan w:val="3"/>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2"/>
                <w:szCs w:val="2"/>
              </w:rPr>
              <w:t> </w:t>
            </w:r>
          </w:p>
        </w:tc>
        <w:tc>
          <w:tcPr>
            <w:tcW w:w="0" w:type="auto"/>
            <w:gridSpan w:val="3"/>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2"/>
                <w:szCs w:val="2"/>
              </w:rPr>
              <w:t> </w:t>
            </w:r>
          </w:p>
        </w:tc>
      </w:tr>
      <w:tr w:rsidR="00000000">
        <w:trPr>
          <w:divId w:val="1543715097"/>
        </w:trPr>
        <w:tc>
          <w:tcPr>
            <w:tcW w:w="0" w:type="auto"/>
            <w:gridSpan w:val="3"/>
            <w:tcMar>
              <w:top w:w="30" w:type="dxa"/>
              <w:left w:w="380" w:type="dxa"/>
              <w:bottom w:w="30" w:type="dxa"/>
              <w:right w:w="20" w:type="dxa"/>
            </w:tcMar>
            <w:hideMark/>
          </w:tcPr>
          <w:p w:rsidR="00000000" w:rsidRDefault="001F1FC8">
            <w:pPr>
              <w:rPr>
                <w:rFonts w:eastAsia="Times New Roman"/>
              </w:rPr>
            </w:pPr>
            <w:r>
              <w:rPr>
                <w:rFonts w:ascii="Arial" w:eastAsia="Times New Roman" w:hAnsi="Arial" w:cs="Arial"/>
                <w:color w:val="000000"/>
                <w:sz w:val="20"/>
                <w:szCs w:val="20"/>
              </w:rPr>
              <w:t>Foreign exchange contracts</w:t>
            </w:r>
          </w:p>
        </w:tc>
        <w:tc>
          <w:tcPr>
            <w:tcW w:w="0" w:type="auto"/>
            <w:gridSpan w:val="2"/>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20"/>
                <w:szCs w:val="20"/>
              </w:rPr>
              <w:t>(29)</w:t>
            </w:r>
          </w:p>
        </w:tc>
        <w:tc>
          <w:tcPr>
            <w:tcW w:w="0" w:type="auto"/>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(1)</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(19)</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r>
      <w:tr w:rsidR="00000000">
        <w:trPr>
          <w:divId w:val="1543715097"/>
        </w:trPr>
        <w:tc>
          <w:tcPr>
            <w:tcW w:w="0" w:type="auto"/>
            <w:gridSpan w:val="3"/>
            <w:tcMar>
              <w:top w:w="30" w:type="dxa"/>
              <w:left w:w="380" w:type="dxa"/>
              <w:bottom w:w="30" w:type="dxa"/>
              <w:right w:w="20" w:type="dxa"/>
            </w:tcMar>
            <w:hideMark/>
          </w:tcPr>
          <w:p w:rsidR="00000000" w:rsidRDefault="001F1FC8">
            <w:pPr>
              <w:rPr>
                <w:rFonts w:eastAsia="Times New Roman"/>
              </w:rPr>
            </w:pPr>
            <w:r>
              <w:rPr>
                <w:rFonts w:ascii="Arial" w:eastAsia="Times New Roman" w:hAnsi="Arial" w:cs="Arial"/>
                <w:color w:val="000000"/>
                <w:sz w:val="20"/>
                <w:szCs w:val="20"/>
              </w:rPr>
              <w:t>Interest rate contracts</w:t>
            </w:r>
          </w:p>
        </w:tc>
        <w:tc>
          <w:tcPr>
            <w:tcW w:w="0" w:type="auto"/>
            <w:gridSpan w:val="2"/>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20"/>
                <w:szCs w:val="20"/>
              </w:rPr>
              <w:t>252</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(595)</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(559)</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r>
      <w:tr w:rsidR="00000000">
        <w:trPr>
          <w:divId w:val="1543715097"/>
        </w:trPr>
        <w:tc>
          <w:tcPr>
            <w:tcW w:w="0" w:type="auto"/>
            <w:gridSpan w:val="3"/>
            <w:tcMar>
              <w:top w:w="30" w:type="dxa"/>
              <w:left w:w="380" w:type="dxa"/>
              <w:bottom w:w="30" w:type="dxa"/>
              <w:right w:w="20" w:type="dxa"/>
            </w:tcMar>
            <w:hideMark/>
          </w:tcPr>
          <w:p w:rsidR="00000000" w:rsidRDefault="001F1FC8">
            <w:pPr>
              <w:rPr>
                <w:rFonts w:eastAsia="Times New Roman"/>
              </w:rPr>
            </w:pPr>
            <w:r>
              <w:rPr>
                <w:rFonts w:ascii="Arial" w:eastAsia="Times New Roman" w:hAnsi="Arial" w:cs="Arial"/>
                <w:color w:val="000000"/>
                <w:sz w:val="20"/>
                <w:szCs w:val="20"/>
              </w:rPr>
              <w:t>Commodity contracts</w:t>
            </w:r>
          </w:p>
        </w:tc>
        <w:tc>
          <w:tcPr>
            <w:tcW w:w="0" w:type="auto"/>
            <w:gridSpan w:val="2"/>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20"/>
                <w:szCs w:val="20"/>
              </w:rPr>
              <w:t>(28)</w:t>
            </w:r>
          </w:p>
        </w:tc>
        <w:tc>
          <w:tcPr>
            <w:tcW w:w="0" w:type="auto"/>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2 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(25)</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r>
      <w:tr w:rsidR="00000000">
        <w:trPr>
          <w:divId w:val="1543715097"/>
        </w:trPr>
        <w:tc>
          <w:tcPr>
            <w:tcW w:w="0" w:type="auto"/>
            <w:gridSpan w:val="3"/>
            <w:tcMar>
              <w:top w:w="30" w:type="dxa"/>
              <w:left w:w="380" w:type="dxa"/>
              <w:bottom w:w="30" w:type="dxa"/>
              <w:right w:w="20" w:type="dxa"/>
            </w:tcMar>
            <w:hideMark/>
          </w:tcPr>
          <w:p w:rsidR="00000000" w:rsidRDefault="001F1FC8">
            <w:pPr>
              <w:rPr>
                <w:rFonts w:eastAsia="Times New Roman"/>
              </w:rPr>
            </w:pPr>
            <w:r>
              <w:rPr>
                <w:rFonts w:ascii="Arial" w:eastAsia="Times New Roman" w:hAnsi="Arial" w:cs="Arial"/>
                <w:color w:val="000000"/>
                <w:sz w:val="20"/>
                <w:szCs w:val="20"/>
              </w:rPr>
              <w:t>Other contracts</w:t>
            </w:r>
          </w:p>
        </w:tc>
        <w:tc>
          <w:tcPr>
            <w:tcW w:w="0" w:type="auto"/>
            <w:gridSpan w:val="2"/>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20"/>
                <w:szCs w:val="20"/>
              </w:rPr>
              <w:t>1</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(3)</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10 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r>
      <w:tr w:rsidR="00000000">
        <w:trPr>
          <w:divId w:val="1543715097"/>
        </w:trPr>
        <w:tc>
          <w:tcPr>
            <w:tcW w:w="0" w:type="auto"/>
            <w:gridSpan w:val="3"/>
            <w:tcMar>
              <w:top w:w="30" w:type="dxa"/>
              <w:left w:w="155" w:type="dxa"/>
              <w:bottom w:w="30" w:type="dxa"/>
              <w:right w:w="20" w:type="dxa"/>
            </w:tcMar>
            <w:hideMark/>
          </w:tcPr>
          <w:p w:rsidR="00000000" w:rsidRDefault="001F1FC8">
            <w:pPr>
              <w:rPr>
                <w:rFonts w:eastAsia="Times New Roman"/>
              </w:rPr>
            </w:pPr>
            <w:r>
              <w:rPr>
                <w:rFonts w:ascii="Arial" w:eastAsia="Times New Roman" w:hAnsi="Arial" w:cs="Arial"/>
                <w:color w:val="000000"/>
                <w:sz w:val="20"/>
                <w:szCs w:val="20"/>
              </w:rPr>
              <w:t>Fair value hedges</w:t>
            </w:r>
          </w:p>
        </w:tc>
        <w:tc>
          <w:tcPr>
            <w:tcW w:w="0" w:type="auto"/>
            <w:gridSpan w:val="3"/>
            <w:shd w:val="clear" w:color="auto" w:fill="D9D9D9"/>
            <w:tcMar>
              <w:top w:w="0" w:type="dxa"/>
              <w:left w:w="20" w:type="dxa"/>
              <w:bottom w:w="0" w:type="dxa"/>
              <w:right w:w="20" w:type="dxa"/>
            </w:tcMar>
            <w:vAlign w:val="center"/>
            <w:hideMark/>
          </w:tcPr>
          <w:p w:rsidR="00000000" w:rsidRDefault="001F1FC8">
            <w:pPr>
              <w:rPr>
                <w:rFonts w:eastAsia="Times New Roman"/>
              </w:rPr>
            </w:pPr>
          </w:p>
        </w:tc>
        <w:tc>
          <w:tcPr>
            <w:tcW w:w="0" w:type="auto"/>
            <w:gridSpan w:val="3"/>
            <w:tcMar>
              <w:top w:w="0" w:type="dxa"/>
              <w:left w:w="20" w:type="dxa"/>
              <w:bottom w:w="0" w:type="dxa"/>
              <w:right w:w="20" w:type="dxa"/>
            </w:tcMar>
            <w:vAlign w:val="center"/>
            <w:hideMark/>
          </w:tcPr>
          <w:p w:rsidR="00000000" w:rsidRDefault="001F1FC8">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1F1FC8">
            <w:pPr>
              <w:rPr>
                <w:rFonts w:eastAsia="Times New Roman"/>
                <w:sz w:val="20"/>
                <w:szCs w:val="20"/>
              </w:rPr>
            </w:pPr>
          </w:p>
        </w:tc>
      </w:tr>
      <w:tr w:rsidR="00000000">
        <w:trPr>
          <w:divId w:val="1543715097"/>
        </w:trPr>
        <w:tc>
          <w:tcPr>
            <w:tcW w:w="0" w:type="auto"/>
            <w:gridSpan w:val="3"/>
            <w:tcMar>
              <w:top w:w="30" w:type="dxa"/>
              <w:left w:w="380" w:type="dxa"/>
              <w:bottom w:w="30" w:type="dxa"/>
              <w:right w:w="20" w:type="dxa"/>
            </w:tcMar>
            <w:hideMark/>
          </w:tcPr>
          <w:p w:rsidR="00000000" w:rsidRDefault="001F1FC8">
            <w:pPr>
              <w:rPr>
                <w:rFonts w:eastAsia="Times New Roman"/>
              </w:rPr>
            </w:pPr>
            <w:r>
              <w:rPr>
                <w:rFonts w:ascii="Arial" w:eastAsia="Times New Roman" w:hAnsi="Arial" w:cs="Arial"/>
                <w:color w:val="000000"/>
                <w:sz w:val="20"/>
                <w:szCs w:val="20"/>
              </w:rPr>
              <w:t>Foreign exchange contracts</w:t>
            </w:r>
          </w:p>
        </w:tc>
        <w:tc>
          <w:tcPr>
            <w:tcW w:w="0" w:type="auto"/>
            <w:gridSpan w:val="2"/>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20"/>
                <w:szCs w:val="20"/>
              </w:rPr>
              <w:t>(5)</w:t>
            </w:r>
          </w:p>
        </w:tc>
        <w:tc>
          <w:tcPr>
            <w:tcW w:w="0" w:type="auto"/>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5 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1F1FC8">
            <w:pPr>
              <w:jc w:val="right"/>
              <w:rPr>
                <w:rFonts w:eastAsia="Times New Roman"/>
              </w:rPr>
            </w:pPr>
          </w:p>
        </w:tc>
      </w:tr>
      <w:tr w:rsidR="00000000">
        <w:trPr>
          <w:divId w:val="1543715097"/>
        </w:trPr>
        <w:tc>
          <w:tcPr>
            <w:tcW w:w="0" w:type="auto"/>
            <w:gridSpan w:val="3"/>
            <w:tcMar>
              <w:top w:w="30" w:type="dxa"/>
              <w:left w:w="155" w:type="dxa"/>
              <w:bottom w:w="30" w:type="dxa"/>
              <w:right w:w="20" w:type="dxa"/>
            </w:tcMar>
            <w:hideMark/>
          </w:tcPr>
          <w:p w:rsidR="00000000" w:rsidRDefault="001F1FC8">
            <w:pPr>
              <w:rPr>
                <w:rFonts w:eastAsia="Times New Roman"/>
              </w:rPr>
            </w:pPr>
            <w:r>
              <w:rPr>
                <w:rFonts w:ascii="Arial" w:eastAsia="Times New Roman" w:hAnsi="Arial" w:cs="Arial"/>
                <w:color w:val="000000"/>
                <w:sz w:val="20"/>
                <w:szCs w:val="20"/>
              </w:rPr>
              <w:t>Net investment hedges</w:t>
            </w:r>
          </w:p>
        </w:tc>
        <w:tc>
          <w:tcPr>
            <w:tcW w:w="0" w:type="auto"/>
            <w:gridSpan w:val="3"/>
            <w:shd w:val="clear" w:color="auto" w:fill="D9D9D9"/>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2"/>
                <w:szCs w:val="2"/>
              </w:rPr>
              <w:t> </w:t>
            </w:r>
          </w:p>
        </w:tc>
        <w:tc>
          <w:tcPr>
            <w:tcW w:w="0" w:type="auto"/>
            <w:gridSpan w:val="3"/>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2"/>
                <w:szCs w:val="2"/>
              </w:rPr>
              <w:t> </w:t>
            </w:r>
          </w:p>
        </w:tc>
        <w:tc>
          <w:tcPr>
            <w:tcW w:w="0" w:type="auto"/>
            <w:gridSpan w:val="3"/>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2"/>
                <w:szCs w:val="2"/>
              </w:rPr>
              <w:t> </w:t>
            </w:r>
          </w:p>
        </w:tc>
      </w:tr>
      <w:tr w:rsidR="00000000">
        <w:trPr>
          <w:divId w:val="1543715097"/>
        </w:trPr>
        <w:tc>
          <w:tcPr>
            <w:tcW w:w="0" w:type="auto"/>
            <w:gridSpan w:val="3"/>
            <w:tcMar>
              <w:top w:w="30" w:type="dxa"/>
              <w:left w:w="380" w:type="dxa"/>
              <w:bottom w:w="30" w:type="dxa"/>
              <w:right w:w="20" w:type="dxa"/>
            </w:tcMar>
            <w:hideMark/>
          </w:tcPr>
          <w:p w:rsidR="00000000" w:rsidRDefault="001F1FC8">
            <w:pPr>
              <w:rPr>
                <w:rFonts w:eastAsia="Times New Roman"/>
              </w:rPr>
            </w:pPr>
            <w:r>
              <w:rPr>
                <w:rFonts w:ascii="Arial" w:eastAsia="Times New Roman" w:hAnsi="Arial" w:cs="Arial"/>
                <w:color w:val="000000"/>
                <w:sz w:val="20"/>
                <w:szCs w:val="20"/>
              </w:rPr>
              <w:t>Foreign exchange contracts</w:t>
            </w:r>
          </w:p>
        </w:tc>
        <w:tc>
          <w:tcPr>
            <w:tcW w:w="0" w:type="auto"/>
            <w:gridSpan w:val="2"/>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20"/>
                <w:szCs w:val="20"/>
              </w:rPr>
              <w:t>—</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13 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2 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r>
      <w:tr w:rsidR="00000000">
        <w:trPr>
          <w:divId w:val="1543715097"/>
        </w:trPr>
        <w:tc>
          <w:tcPr>
            <w:tcW w:w="0" w:type="auto"/>
            <w:gridSpan w:val="3"/>
            <w:tcBorders>
              <w:top w:val="single" w:sz="4" w:space="0" w:color="000000"/>
            </w:tcBorders>
            <w:tcMar>
              <w:top w:w="30" w:type="dxa"/>
              <w:left w:w="20" w:type="dxa"/>
              <w:bottom w:w="30" w:type="dxa"/>
              <w:right w:w="20" w:type="dxa"/>
            </w:tcMar>
            <w:hideMark/>
          </w:tcPr>
          <w:p w:rsidR="00000000" w:rsidRDefault="001F1FC8">
            <w:pPr>
              <w:rPr>
                <w:rFonts w:eastAsia="Times New Roman"/>
              </w:rPr>
            </w:pPr>
            <w:r>
              <w:rPr>
                <w:rFonts w:ascii="Arial" w:eastAsia="Times New Roman" w:hAnsi="Arial" w:cs="Arial"/>
                <w:color w:val="000000"/>
                <w:sz w:val="2"/>
                <w:szCs w:val="2"/>
              </w:rPr>
              <w:t> </w:t>
            </w:r>
          </w:p>
        </w:tc>
        <w:tc>
          <w:tcPr>
            <w:tcW w:w="0" w:type="auto"/>
            <w:gridSpan w:val="2"/>
            <w:tcBorders>
              <w:top w:val="single" w:sz="4" w:space="0" w:color="000000"/>
            </w:tcBorders>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20"/>
                <w:szCs w:val="20"/>
              </w:rPr>
              <w:t>191</w:t>
            </w:r>
            <w:r>
              <w:rPr>
                <w:rFonts w:ascii="Arial" w:eastAsia="Times New Roman" w:hAnsi="Arial" w:cs="Arial"/>
                <w:color w:val="000000"/>
                <w:sz w:val="20"/>
                <w:szCs w:val="20"/>
              </w:rPr>
              <w:t> </w:t>
            </w:r>
          </w:p>
        </w:tc>
        <w:tc>
          <w:tcPr>
            <w:tcW w:w="0" w:type="auto"/>
            <w:tcBorders>
              <w:top w:val="single" w:sz="4" w:space="0" w:color="000000"/>
            </w:tcBorders>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(579)</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(591)</w:t>
            </w:r>
          </w:p>
        </w:tc>
        <w:tc>
          <w:tcPr>
            <w:tcW w:w="0" w:type="auto"/>
            <w:tcBorders>
              <w:top w:val="single" w:sz="4" w:space="0" w:color="000000"/>
            </w:tcBorders>
            <w:tcMar>
              <w:top w:w="30" w:type="dxa"/>
              <w:left w:w="0" w:type="dxa"/>
              <w:bottom w:w="30" w:type="dxa"/>
              <w:right w:w="20" w:type="dxa"/>
            </w:tcMar>
            <w:vAlign w:val="bottom"/>
            <w:hideMark/>
          </w:tcPr>
          <w:p w:rsidR="00000000" w:rsidRDefault="001F1FC8">
            <w:pPr>
              <w:jc w:val="right"/>
              <w:rPr>
                <w:rFonts w:eastAsia="Times New Roman"/>
              </w:rPr>
            </w:pPr>
          </w:p>
        </w:tc>
      </w:tr>
      <w:tr w:rsidR="00000000">
        <w:trPr>
          <w:divId w:val="1543715097"/>
        </w:trPr>
        <w:tc>
          <w:tcPr>
            <w:tcW w:w="0" w:type="auto"/>
            <w:gridSpan w:val="3"/>
            <w:tcBorders>
              <w:top w:val="single" w:sz="8" w:space="0" w:color="000000"/>
            </w:tcBorders>
            <w:tcMar>
              <w:top w:w="30" w:type="dxa"/>
              <w:left w:w="20" w:type="dxa"/>
              <w:bottom w:w="30" w:type="dxa"/>
              <w:right w:w="20" w:type="dxa"/>
            </w:tcMar>
            <w:vAlign w:val="bottom"/>
            <w:hideMark/>
          </w:tcPr>
          <w:p w:rsidR="00000000" w:rsidRDefault="001F1FC8">
            <w:pPr>
              <w:rPr>
                <w:rFonts w:eastAsia="Times New Roman"/>
              </w:rPr>
            </w:pPr>
            <w:r>
              <w:rPr>
                <w:rFonts w:ascii="Arial" w:eastAsia="Times New Roman" w:hAnsi="Arial" w:cs="Arial"/>
                <w:color w:val="000000"/>
                <w:sz w:val="20"/>
                <w:szCs w:val="20"/>
              </w:rPr>
              <w:t xml:space="preserve">Amount of (gain)/loss reclassified from AOCI to earnings </w:t>
            </w:r>
          </w:p>
        </w:tc>
        <w:tc>
          <w:tcPr>
            <w:tcW w:w="0" w:type="auto"/>
            <w:gridSpan w:val="3"/>
            <w:tcBorders>
              <w:top w:val="single" w:sz="8" w:space="0" w:color="000000"/>
            </w:tcBorders>
            <w:shd w:val="clear" w:color="auto" w:fill="D9D9D9"/>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2"/>
                <w:szCs w:val="2"/>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2"/>
                <w:szCs w:val="2"/>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2"/>
                <w:szCs w:val="2"/>
              </w:rPr>
              <w:t> </w:t>
            </w:r>
          </w:p>
        </w:tc>
      </w:tr>
      <w:tr w:rsidR="00000000">
        <w:trPr>
          <w:divId w:val="1543715097"/>
        </w:trPr>
        <w:tc>
          <w:tcPr>
            <w:tcW w:w="0" w:type="auto"/>
            <w:gridSpan w:val="3"/>
            <w:tcMar>
              <w:top w:w="30" w:type="dxa"/>
              <w:left w:w="20" w:type="dxa"/>
              <w:bottom w:w="30" w:type="dxa"/>
              <w:right w:w="20" w:type="dxa"/>
            </w:tcMar>
            <w:vAlign w:val="bottom"/>
            <w:hideMark/>
          </w:tcPr>
          <w:p w:rsidR="00000000" w:rsidRDefault="001F1FC8">
            <w:pPr>
              <w:divId w:val="1265846657"/>
              <w:rPr>
                <w:rFonts w:eastAsia="Times New Roman"/>
              </w:rPr>
            </w:pPr>
            <w:r>
              <w:rPr>
                <w:rFonts w:ascii="Arial" w:eastAsia="Times New Roman" w:hAnsi="Arial" w:cs="Arial"/>
                <w:color w:val="000000"/>
                <w:sz w:val="20"/>
                <w:szCs w:val="20"/>
              </w:rPr>
              <w:t>Foreign exchange contract</w:t>
            </w:r>
            <w:r>
              <w:rPr>
                <w:rFonts w:ascii="Arial" w:eastAsia="Times New Roman" w:hAnsi="Arial" w:cs="Arial"/>
                <w:color w:val="000000"/>
                <w:sz w:val="20"/>
                <w:szCs w:val="20"/>
              </w:rPr>
              <w:t>s</w:t>
            </w:r>
            <w:r>
              <w:rPr>
                <w:rFonts w:ascii="Arial" w:eastAsia="Times New Roman" w:hAnsi="Arial" w:cs="Arial"/>
                <w:color w:val="000000"/>
                <w:sz w:val="10"/>
                <w:szCs w:val="10"/>
              </w:rPr>
              <w:t>1</w:t>
            </w:r>
          </w:p>
        </w:tc>
        <w:tc>
          <w:tcPr>
            <w:tcW w:w="0" w:type="auto"/>
            <w:gridSpan w:val="2"/>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20"/>
                <w:szCs w:val="20"/>
              </w:rPr>
              <w:t>5</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5 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5 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r>
      <w:tr w:rsidR="00000000">
        <w:trPr>
          <w:divId w:val="1543715097"/>
        </w:trPr>
        <w:tc>
          <w:tcPr>
            <w:tcW w:w="0" w:type="auto"/>
            <w:gridSpan w:val="3"/>
            <w:tcMar>
              <w:top w:w="30" w:type="dxa"/>
              <w:left w:w="20" w:type="dxa"/>
              <w:bottom w:w="30" w:type="dxa"/>
              <w:right w:w="20" w:type="dxa"/>
            </w:tcMar>
            <w:vAlign w:val="bottom"/>
            <w:hideMark/>
          </w:tcPr>
          <w:p w:rsidR="00000000" w:rsidRDefault="001F1FC8">
            <w:pPr>
              <w:divId w:val="1722513073"/>
              <w:rPr>
                <w:rFonts w:eastAsia="Times New Roman"/>
              </w:rPr>
            </w:pPr>
            <w:r>
              <w:rPr>
                <w:rFonts w:ascii="Arial" w:eastAsia="Times New Roman" w:hAnsi="Arial" w:cs="Arial"/>
                <w:color w:val="000000"/>
                <w:sz w:val="20"/>
                <w:szCs w:val="20"/>
              </w:rPr>
              <w:t>Interest rate contract</w:t>
            </w:r>
            <w:r>
              <w:rPr>
                <w:rFonts w:ascii="Arial" w:eastAsia="Times New Roman" w:hAnsi="Arial" w:cs="Arial"/>
                <w:color w:val="000000"/>
                <w:sz w:val="20"/>
                <w:szCs w:val="20"/>
              </w:rPr>
              <w:t>s</w:t>
            </w:r>
            <w:r>
              <w:rPr>
                <w:rFonts w:ascii="Arial" w:eastAsia="Times New Roman" w:hAnsi="Arial" w:cs="Arial"/>
                <w:color w:val="000000"/>
                <w:sz w:val="10"/>
                <w:szCs w:val="10"/>
              </w:rPr>
              <w:t>2</w:t>
            </w:r>
          </w:p>
        </w:tc>
        <w:tc>
          <w:tcPr>
            <w:tcW w:w="0" w:type="auto"/>
            <w:gridSpan w:val="2"/>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20"/>
                <w:szCs w:val="20"/>
              </w:rPr>
              <w:t>296</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253 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157 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r>
      <w:tr w:rsidR="00000000">
        <w:trPr>
          <w:divId w:val="1543715097"/>
        </w:trPr>
        <w:tc>
          <w:tcPr>
            <w:tcW w:w="0" w:type="auto"/>
            <w:gridSpan w:val="3"/>
            <w:tcMar>
              <w:top w:w="30" w:type="dxa"/>
              <w:left w:w="20" w:type="dxa"/>
              <w:bottom w:w="30" w:type="dxa"/>
              <w:right w:w="20" w:type="dxa"/>
            </w:tcMar>
            <w:vAlign w:val="bottom"/>
            <w:hideMark/>
          </w:tcPr>
          <w:p w:rsidR="00000000" w:rsidRDefault="001F1FC8">
            <w:pPr>
              <w:divId w:val="323628723"/>
              <w:rPr>
                <w:rFonts w:eastAsia="Times New Roman"/>
              </w:rPr>
            </w:pPr>
            <w:r>
              <w:rPr>
                <w:rFonts w:ascii="Arial" w:eastAsia="Times New Roman" w:hAnsi="Arial" w:cs="Arial"/>
                <w:color w:val="000000"/>
                <w:sz w:val="20"/>
                <w:szCs w:val="20"/>
              </w:rPr>
              <w:t>Commodity contract</w:t>
            </w:r>
            <w:r>
              <w:rPr>
                <w:rFonts w:ascii="Arial" w:eastAsia="Times New Roman" w:hAnsi="Arial" w:cs="Arial"/>
                <w:color w:val="000000"/>
                <w:sz w:val="20"/>
                <w:szCs w:val="20"/>
              </w:rPr>
              <w:t>s</w:t>
            </w:r>
            <w:r>
              <w:rPr>
                <w:rFonts w:ascii="Arial" w:eastAsia="Times New Roman" w:hAnsi="Arial" w:cs="Arial"/>
                <w:color w:val="000000"/>
                <w:sz w:val="10"/>
                <w:szCs w:val="10"/>
              </w:rPr>
              <w:t>3</w:t>
            </w:r>
          </w:p>
        </w:tc>
        <w:tc>
          <w:tcPr>
            <w:tcW w:w="0" w:type="auto"/>
            <w:gridSpan w:val="2"/>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20"/>
                <w:szCs w:val="20"/>
              </w:rPr>
              <w:t>1</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(1)</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r>
      <w:tr w:rsidR="00000000">
        <w:trPr>
          <w:divId w:val="1543715097"/>
        </w:trPr>
        <w:tc>
          <w:tcPr>
            <w:tcW w:w="0" w:type="auto"/>
            <w:gridSpan w:val="3"/>
            <w:tcMar>
              <w:top w:w="30" w:type="dxa"/>
              <w:left w:w="20" w:type="dxa"/>
              <w:bottom w:w="30" w:type="dxa"/>
              <w:right w:w="20" w:type="dxa"/>
            </w:tcMar>
            <w:vAlign w:val="bottom"/>
            <w:hideMark/>
          </w:tcPr>
          <w:p w:rsidR="00000000" w:rsidRDefault="001F1FC8">
            <w:pPr>
              <w:divId w:val="704253427"/>
              <w:rPr>
                <w:rFonts w:eastAsia="Times New Roman"/>
              </w:rPr>
            </w:pPr>
            <w:r>
              <w:rPr>
                <w:rFonts w:ascii="Arial" w:eastAsia="Times New Roman" w:hAnsi="Arial" w:cs="Arial"/>
                <w:color w:val="000000"/>
                <w:sz w:val="20"/>
                <w:szCs w:val="20"/>
              </w:rPr>
              <w:t>Other contract</w:t>
            </w:r>
            <w:r>
              <w:rPr>
                <w:rFonts w:ascii="Arial" w:eastAsia="Times New Roman" w:hAnsi="Arial" w:cs="Arial"/>
                <w:color w:val="000000"/>
                <w:sz w:val="20"/>
                <w:szCs w:val="20"/>
              </w:rPr>
              <w:t>s</w:t>
            </w:r>
            <w:r>
              <w:rPr>
                <w:rFonts w:ascii="Arial" w:eastAsia="Times New Roman" w:hAnsi="Arial" w:cs="Arial"/>
                <w:color w:val="000000"/>
                <w:sz w:val="10"/>
                <w:szCs w:val="10"/>
              </w:rPr>
              <w:t>4</w:t>
            </w:r>
          </w:p>
        </w:tc>
        <w:tc>
          <w:tcPr>
            <w:tcW w:w="0" w:type="auto"/>
            <w:gridSpan w:val="2"/>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20"/>
                <w:szCs w:val="20"/>
              </w:rPr>
              <w:t>2</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(2)</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(3)</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r>
      <w:tr w:rsidR="00000000">
        <w:trPr>
          <w:divId w:val="1543715097"/>
        </w:trPr>
        <w:tc>
          <w:tcPr>
            <w:tcW w:w="0" w:type="auto"/>
            <w:gridSpan w:val="3"/>
            <w:tcBorders>
              <w:top w:val="single" w:sz="4" w:space="0" w:color="000000"/>
              <w:bottom w:val="single" w:sz="8" w:space="0" w:color="000000"/>
            </w:tcBorders>
            <w:tcMar>
              <w:top w:w="30" w:type="dxa"/>
              <w:left w:w="20" w:type="dxa"/>
              <w:bottom w:w="30" w:type="dxa"/>
              <w:right w:w="20" w:type="dxa"/>
            </w:tcMar>
            <w:hideMark/>
          </w:tcPr>
          <w:p w:rsidR="00000000" w:rsidRDefault="001F1FC8">
            <w:pPr>
              <w:rPr>
                <w:rFonts w:eastAsia="Times New Roman"/>
              </w:rPr>
            </w:pPr>
            <w:r>
              <w:rPr>
                <w:rFonts w:ascii="Arial" w:eastAsia="Times New Roman" w:hAnsi="Arial" w:cs="Arial"/>
                <w:color w:val="000000"/>
                <w:sz w:val="2"/>
                <w:szCs w:val="2"/>
              </w:rPr>
              <w:t> </w:t>
            </w:r>
          </w:p>
        </w:tc>
        <w:tc>
          <w:tcPr>
            <w:tcW w:w="0" w:type="auto"/>
            <w:gridSpan w:val="2"/>
            <w:tcBorders>
              <w:top w:val="single" w:sz="4" w:space="0" w:color="000000"/>
              <w:bottom w:val="single" w:sz="8" w:space="0" w:color="000000"/>
            </w:tcBorders>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20"/>
                <w:szCs w:val="20"/>
              </w:rPr>
              <w:t>304</w:t>
            </w:r>
            <w:r>
              <w:rPr>
                <w:rFonts w:ascii="Arial" w:eastAsia="Times New Roman" w:hAnsi="Arial" w:cs="Arial"/>
                <w:color w:val="000000"/>
                <w:sz w:val="20"/>
                <w:szCs w:val="20"/>
              </w:rPr>
              <w:t> </w:t>
            </w:r>
          </w:p>
        </w:tc>
        <w:tc>
          <w:tcPr>
            <w:tcW w:w="0" w:type="auto"/>
            <w:tcBorders>
              <w:top w:val="single" w:sz="4" w:space="0" w:color="000000"/>
              <w:bottom w:val="single" w:sz="8" w:space="0" w:color="000000"/>
            </w:tcBorders>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Borders>
              <w:top w:val="single" w:sz="4" w:space="0" w:color="000000"/>
              <w:bottom w:val="single" w:sz="8" w:space="0" w:color="000000"/>
            </w:tcBorders>
            <w:shd w:val="clear" w:color="auto" w:fill="FFFFFF"/>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256 </w:t>
            </w:r>
          </w:p>
        </w:tc>
        <w:tc>
          <w:tcPr>
            <w:tcW w:w="0" w:type="auto"/>
            <w:tcBorders>
              <w:top w:val="single" w:sz="4" w:space="0" w:color="000000"/>
              <w:bottom w:val="single" w:sz="8" w:space="0" w:color="000000"/>
            </w:tcBorders>
            <w:shd w:val="clear" w:color="auto" w:fill="FFFFFF"/>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Borders>
              <w:top w:val="single" w:sz="4" w:space="0" w:color="000000"/>
              <w:bottom w:val="single" w:sz="8" w:space="0" w:color="000000"/>
            </w:tcBorders>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158 </w:t>
            </w:r>
          </w:p>
        </w:tc>
        <w:tc>
          <w:tcPr>
            <w:tcW w:w="0" w:type="auto"/>
            <w:tcBorders>
              <w:top w:val="single" w:sz="4" w:space="0" w:color="000000"/>
              <w:bottom w:val="single" w:sz="8" w:space="0" w:color="000000"/>
            </w:tcBorders>
            <w:tcMar>
              <w:top w:w="30" w:type="dxa"/>
              <w:left w:w="0" w:type="dxa"/>
              <w:bottom w:w="30" w:type="dxa"/>
              <w:right w:w="20" w:type="dxa"/>
            </w:tcMar>
            <w:vAlign w:val="bottom"/>
            <w:hideMark/>
          </w:tcPr>
          <w:p w:rsidR="00000000" w:rsidRDefault="001F1FC8">
            <w:pPr>
              <w:jc w:val="right"/>
              <w:rPr>
                <w:rFonts w:eastAsia="Times New Roman"/>
              </w:rPr>
            </w:pPr>
          </w:p>
        </w:tc>
      </w:tr>
    </w:tbl>
    <w:p w:rsidR="00000000" w:rsidRDefault="001F1FC8">
      <w:pPr>
        <w:ind w:hanging="180"/>
        <w:divId w:val="107631216"/>
        <w:rPr>
          <w:rFonts w:eastAsia="Times New Roman"/>
        </w:rPr>
      </w:pPr>
      <w:r>
        <w:rPr>
          <w:rFonts w:ascii="Arial" w:eastAsia="Times New Roman" w:hAnsi="Arial" w:cs="Arial"/>
          <w:i/>
          <w:iCs/>
          <w:color w:val="000000"/>
          <w:sz w:val="16"/>
          <w:szCs w:val="16"/>
        </w:rPr>
        <w:t>1</w:t>
      </w:r>
      <w:r>
        <w:rPr>
          <w:rFonts w:ascii="Arial" w:eastAsia="Times New Roman" w:hAnsi="Arial" w:cs="Arial"/>
          <w:i/>
          <w:iCs/>
          <w:color w:val="000000"/>
          <w:sz w:val="16"/>
          <w:szCs w:val="16"/>
        </w:rPr>
        <w:t>Reported within Transportation and other services revenues and Net foreign currency gain/(loss) in the Consolidated Statements of Earnings.</w:t>
      </w:r>
    </w:p>
    <w:p w:rsidR="00000000" w:rsidRDefault="001F1FC8">
      <w:pPr>
        <w:ind w:hanging="180"/>
        <w:divId w:val="950862585"/>
        <w:rPr>
          <w:rFonts w:eastAsia="Times New Roman"/>
        </w:rPr>
      </w:pPr>
      <w:r>
        <w:rPr>
          <w:rFonts w:ascii="Arial" w:eastAsia="Times New Roman" w:hAnsi="Arial" w:cs="Arial"/>
          <w:i/>
          <w:iCs/>
          <w:color w:val="000000"/>
          <w:sz w:val="16"/>
          <w:szCs w:val="16"/>
        </w:rPr>
        <w:t>2</w:t>
      </w:r>
      <w:r>
        <w:rPr>
          <w:rFonts w:ascii="Arial" w:eastAsia="Times New Roman" w:hAnsi="Arial" w:cs="Arial"/>
          <w:i/>
          <w:iCs/>
          <w:color w:val="000000"/>
          <w:sz w:val="16"/>
          <w:szCs w:val="16"/>
        </w:rPr>
        <w:t xml:space="preserve">Reported within Interest expense in the Consolidated Statements of Earnings. </w:t>
      </w:r>
    </w:p>
    <w:p w:rsidR="00000000" w:rsidRDefault="001F1FC8">
      <w:pPr>
        <w:ind w:hanging="180"/>
        <w:divId w:val="627905212"/>
        <w:rPr>
          <w:rFonts w:eastAsia="Times New Roman"/>
        </w:rPr>
      </w:pPr>
      <w:r>
        <w:rPr>
          <w:rFonts w:ascii="Arial" w:eastAsia="Times New Roman" w:hAnsi="Arial" w:cs="Arial"/>
          <w:i/>
          <w:iCs/>
          <w:color w:val="000000"/>
          <w:sz w:val="16"/>
          <w:szCs w:val="16"/>
        </w:rPr>
        <w:t>3Reported within Transportation and other services revenue, Commodity sales revenues, Commodity costs and Operating and administrative expense in the Consolidated Statements of E</w:t>
      </w:r>
      <w:r>
        <w:rPr>
          <w:rFonts w:ascii="Arial" w:eastAsia="Times New Roman" w:hAnsi="Arial" w:cs="Arial"/>
          <w:i/>
          <w:iCs/>
          <w:color w:val="000000"/>
          <w:sz w:val="16"/>
          <w:szCs w:val="16"/>
        </w:rPr>
        <w:t>arnings.</w:t>
      </w:r>
    </w:p>
    <w:p w:rsidR="00000000" w:rsidRDefault="001F1FC8">
      <w:pPr>
        <w:ind w:hanging="180"/>
        <w:divId w:val="818032201"/>
        <w:rPr>
          <w:rFonts w:eastAsia="Times New Roman"/>
        </w:rPr>
      </w:pPr>
      <w:r>
        <w:rPr>
          <w:rFonts w:ascii="Arial" w:eastAsia="Times New Roman" w:hAnsi="Arial" w:cs="Arial"/>
          <w:i/>
          <w:iCs/>
          <w:color w:val="000000"/>
          <w:sz w:val="16"/>
          <w:szCs w:val="16"/>
        </w:rPr>
        <w:t>4Reported within Operating and administrative expenses in the Consolidated Statements of Earnings.</w:t>
      </w:r>
    </w:p>
    <w:p w:rsidR="00000000" w:rsidRDefault="001F1FC8">
      <w:pPr>
        <w:jc w:val="both"/>
        <w:rPr>
          <w:rFonts w:eastAsia="Times New Roman"/>
        </w:rPr>
      </w:pPr>
      <w:r>
        <w:rPr>
          <w:rFonts w:ascii="Arial" w:eastAsia="Times New Roman" w:hAnsi="Arial" w:cs="Arial"/>
          <w:color w:val="000000"/>
          <w:sz w:val="20"/>
          <w:szCs w:val="20"/>
        </w:rPr>
        <w:t> </w:t>
      </w:r>
    </w:p>
    <w:p w:rsidR="00000000" w:rsidRDefault="001F1FC8">
      <w:pPr>
        <w:divId w:val="915281719"/>
        <w:rPr>
          <w:rFonts w:eastAsia="Times New Roman"/>
        </w:rPr>
      </w:pPr>
      <w:r>
        <w:rPr>
          <w:rFonts w:ascii="Arial" w:eastAsia="Times New Roman" w:hAnsi="Arial" w:cs="Arial"/>
          <w:color w:val="000000"/>
          <w:sz w:val="20"/>
          <w:szCs w:val="20"/>
        </w:rPr>
        <w:t xml:space="preserve">We estimate that a loss of $47 </w:t>
      </w:r>
      <w:r>
        <w:rPr>
          <w:rFonts w:ascii="Arial" w:eastAsia="Times New Roman" w:hAnsi="Arial" w:cs="Arial"/>
          <w:color w:val="000000"/>
          <w:sz w:val="20"/>
          <w:szCs w:val="20"/>
        </w:rPr>
        <w:t>million from AOCI related to cash flow hedges will be reclassified to earnings in the next 12 months. Actual amounts reclassified to earnings depend on the foreign exchange rates, interest rates and commodity prices in effect when derivative contracts that</w:t>
      </w:r>
      <w:r>
        <w:rPr>
          <w:rFonts w:ascii="Arial" w:eastAsia="Times New Roman" w:hAnsi="Arial" w:cs="Arial"/>
          <w:color w:val="000000"/>
          <w:sz w:val="20"/>
          <w:szCs w:val="20"/>
        </w:rPr>
        <w:t xml:space="preserve"> are currently outstanding mature. For all forecasted transactions, the maximum term over which we are hedging exposures to the variability of cash flows is 36 months as at December 31, 2021.</w:t>
      </w:r>
    </w:p>
    <w:p w:rsidR="00000000" w:rsidRDefault="001F1FC8">
      <w:pPr>
        <w:divId w:val="569733750"/>
        <w:rPr>
          <w:rFonts w:eastAsia="Times New Roman"/>
        </w:rPr>
      </w:pPr>
    </w:p>
    <w:p w:rsidR="00000000" w:rsidRDefault="001F1FC8">
      <w:pPr>
        <w:divId w:val="1241208841"/>
        <w:rPr>
          <w:rFonts w:eastAsia="Times New Roman"/>
        </w:rPr>
      </w:pPr>
      <w:r>
        <w:rPr>
          <w:rFonts w:ascii="Arial" w:eastAsia="Times New Roman" w:hAnsi="Arial" w:cs="Arial"/>
          <w:b/>
          <w:bCs/>
          <w:color w:val="000000"/>
          <w:sz w:val="20"/>
          <w:szCs w:val="20"/>
        </w:rPr>
        <w:t>Fair Value Derivatives</w:t>
      </w:r>
    </w:p>
    <w:p w:rsidR="00000000" w:rsidRDefault="001F1FC8">
      <w:pPr>
        <w:divId w:val="1888759109"/>
        <w:rPr>
          <w:rFonts w:eastAsia="Times New Roman"/>
        </w:rPr>
      </w:pPr>
      <w:r>
        <w:rPr>
          <w:rFonts w:ascii="Arial" w:eastAsia="Times New Roman" w:hAnsi="Arial" w:cs="Arial"/>
          <w:color w:val="000000"/>
          <w:sz w:val="20"/>
          <w:szCs w:val="20"/>
        </w:rPr>
        <w:t>For interest rate derivative instrument</w:t>
      </w:r>
      <w:r>
        <w:rPr>
          <w:rFonts w:ascii="Arial" w:eastAsia="Times New Roman" w:hAnsi="Arial" w:cs="Arial"/>
          <w:color w:val="000000"/>
          <w:sz w:val="20"/>
          <w:szCs w:val="20"/>
        </w:rPr>
        <w:t>s that are designated and qualify as fair value hedges, the gain or loss on the derivative as well as the offsetting loss or gain on the hedged item attributable to the hedged risk is included in Interest expense in the Consolidated Statements of Earnings.</w:t>
      </w:r>
      <w:r>
        <w:rPr>
          <w:rFonts w:ascii="Arial" w:eastAsia="Times New Roman" w:hAnsi="Arial" w:cs="Arial"/>
          <w:color w:val="000000"/>
          <w:sz w:val="20"/>
          <w:szCs w:val="20"/>
        </w:rPr>
        <w:t xml:space="preserve"> </w:t>
      </w:r>
    </w:p>
    <w:p w:rsidR="00000000" w:rsidRDefault="001F1FC8">
      <w:pPr>
        <w:divId w:val="966198163"/>
        <w:rPr>
          <w:rFonts w:eastAsia="Times New Roman"/>
        </w:rPr>
      </w:pPr>
    </w:p>
    <w:tbl>
      <w:tblPr>
        <w:tblW w:w="4991" w:type="pct"/>
        <w:jc w:val="center"/>
        <w:tblCellMar>
          <w:top w:w="15" w:type="dxa"/>
          <w:left w:w="15" w:type="dxa"/>
          <w:bottom w:w="15" w:type="dxa"/>
          <w:right w:w="15" w:type="dxa"/>
        </w:tblCellMar>
        <w:tblLook w:val="04A0" w:firstRow="1" w:lastRow="0" w:firstColumn="1" w:lastColumn="0" w:noHBand="0" w:noVBand="1"/>
      </w:tblPr>
      <w:tblGrid>
        <w:gridCol w:w="69"/>
        <w:gridCol w:w="6352"/>
        <w:gridCol w:w="36"/>
        <w:gridCol w:w="69"/>
        <w:gridCol w:w="812"/>
        <w:gridCol w:w="36"/>
        <w:gridCol w:w="69"/>
        <w:gridCol w:w="812"/>
        <w:gridCol w:w="36"/>
      </w:tblGrid>
      <w:tr w:rsidR="00000000">
        <w:trPr>
          <w:divId w:val="63258232"/>
          <w:jc w:val="center"/>
        </w:trPr>
        <w:tc>
          <w:tcPr>
            <w:tcW w:w="50" w:type="pct"/>
            <w:vAlign w:val="center"/>
            <w:hideMark/>
          </w:tcPr>
          <w:p w:rsidR="00000000" w:rsidRDefault="001F1FC8">
            <w:pPr>
              <w:rPr>
                <w:rFonts w:eastAsia="Times New Roman"/>
              </w:rPr>
            </w:pPr>
          </w:p>
        </w:tc>
        <w:tc>
          <w:tcPr>
            <w:tcW w:w="3837"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c>
          <w:tcPr>
            <w:tcW w:w="50" w:type="pct"/>
            <w:vAlign w:val="center"/>
            <w:hideMark/>
          </w:tcPr>
          <w:p w:rsidR="00000000" w:rsidRDefault="001F1FC8">
            <w:pPr>
              <w:rPr>
                <w:rFonts w:eastAsia="Times New Roman"/>
                <w:sz w:val="20"/>
                <w:szCs w:val="20"/>
              </w:rPr>
            </w:pPr>
          </w:p>
        </w:tc>
        <w:tc>
          <w:tcPr>
            <w:tcW w:w="498"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c>
          <w:tcPr>
            <w:tcW w:w="50" w:type="pct"/>
            <w:vAlign w:val="center"/>
            <w:hideMark/>
          </w:tcPr>
          <w:p w:rsidR="00000000" w:rsidRDefault="001F1FC8">
            <w:pPr>
              <w:rPr>
                <w:rFonts w:eastAsia="Times New Roman"/>
                <w:sz w:val="20"/>
                <w:szCs w:val="20"/>
              </w:rPr>
            </w:pPr>
          </w:p>
        </w:tc>
        <w:tc>
          <w:tcPr>
            <w:tcW w:w="498"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r>
      <w:tr w:rsidR="00000000">
        <w:trPr>
          <w:divId w:val="63258232"/>
          <w:jc w:val="center"/>
        </w:trPr>
        <w:tc>
          <w:tcPr>
            <w:tcW w:w="0" w:type="auto"/>
            <w:gridSpan w:val="3"/>
            <w:tcMar>
              <w:top w:w="30" w:type="dxa"/>
              <w:left w:w="20" w:type="dxa"/>
              <w:bottom w:w="30" w:type="dxa"/>
              <w:right w:w="20" w:type="dxa"/>
            </w:tcMar>
            <w:vAlign w:val="bottom"/>
            <w:hideMark/>
          </w:tcPr>
          <w:p w:rsidR="00000000" w:rsidRDefault="001F1FC8">
            <w:pPr>
              <w:rPr>
                <w:rFonts w:eastAsia="Times New Roman"/>
              </w:rPr>
            </w:pPr>
            <w:r>
              <w:rPr>
                <w:rFonts w:ascii="Arial" w:eastAsia="Times New Roman" w:hAnsi="Arial" w:cs="Arial"/>
                <w:color w:val="000000"/>
                <w:sz w:val="20"/>
                <w:szCs w:val="20"/>
              </w:rPr>
              <w:t>Year ended December 31,</w:t>
            </w:r>
          </w:p>
        </w:tc>
        <w:tc>
          <w:tcPr>
            <w:tcW w:w="0" w:type="auto"/>
            <w:gridSpan w:val="3"/>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b/>
                <w:bCs/>
                <w:color w:val="000000"/>
                <w:sz w:val="20"/>
                <w:szCs w:val="20"/>
              </w:rPr>
              <w:t>2021</w:t>
            </w:r>
          </w:p>
        </w:tc>
        <w:tc>
          <w:tcPr>
            <w:tcW w:w="0" w:type="auto"/>
            <w:gridSpan w:val="3"/>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2020</w:t>
            </w:r>
          </w:p>
        </w:tc>
      </w:tr>
      <w:tr w:rsidR="00000000">
        <w:trPr>
          <w:divId w:val="63258232"/>
          <w:jc w:val="center"/>
        </w:trPr>
        <w:tc>
          <w:tcPr>
            <w:tcW w:w="0" w:type="auto"/>
            <w:gridSpan w:val="3"/>
            <w:tcBorders>
              <w:top w:val="single" w:sz="4" w:space="0" w:color="000000"/>
            </w:tcBorders>
            <w:tcMar>
              <w:top w:w="30" w:type="dxa"/>
              <w:left w:w="20" w:type="dxa"/>
              <w:bottom w:w="30" w:type="dxa"/>
              <w:right w:w="20" w:type="dxa"/>
            </w:tcMar>
            <w:vAlign w:val="bottom"/>
            <w:hideMark/>
          </w:tcPr>
          <w:p w:rsidR="00000000" w:rsidRDefault="001F1FC8">
            <w:pPr>
              <w:rPr>
                <w:rFonts w:eastAsia="Times New Roman"/>
              </w:rPr>
            </w:pPr>
            <w:r>
              <w:rPr>
                <w:rFonts w:ascii="Arial" w:eastAsia="Times New Roman" w:hAnsi="Arial" w:cs="Arial"/>
                <w:i/>
                <w:iCs/>
                <w:color w:val="000000"/>
                <w:sz w:val="16"/>
                <w:szCs w:val="16"/>
              </w:rPr>
              <w:t>(millions of Canadian dollars)</w:t>
            </w:r>
          </w:p>
        </w:tc>
        <w:tc>
          <w:tcPr>
            <w:tcW w:w="0" w:type="auto"/>
            <w:gridSpan w:val="3"/>
            <w:tcBorders>
              <w:top w:val="single" w:sz="4" w:space="0" w:color="000000"/>
            </w:tcBorders>
            <w:shd w:val="clear" w:color="auto" w:fill="D9D9D9"/>
            <w:tcMar>
              <w:top w:w="0" w:type="dxa"/>
              <w:left w:w="20" w:type="dxa"/>
              <w:bottom w:w="0" w:type="dxa"/>
              <w:right w:w="20" w:type="dxa"/>
            </w:tcMar>
            <w:vAlign w:val="center"/>
            <w:hideMark/>
          </w:tcPr>
          <w:p w:rsidR="00000000" w:rsidRDefault="001F1FC8">
            <w:pPr>
              <w:rPr>
                <w:rFonts w:eastAsia="Times New Roman"/>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1F1FC8">
            <w:pPr>
              <w:rPr>
                <w:rFonts w:eastAsia="Times New Roman"/>
                <w:sz w:val="20"/>
                <w:szCs w:val="20"/>
              </w:rPr>
            </w:pPr>
          </w:p>
        </w:tc>
      </w:tr>
      <w:tr w:rsidR="00000000">
        <w:trPr>
          <w:divId w:val="63258232"/>
          <w:jc w:val="center"/>
        </w:trPr>
        <w:tc>
          <w:tcPr>
            <w:tcW w:w="0" w:type="auto"/>
            <w:gridSpan w:val="3"/>
            <w:tcMar>
              <w:top w:w="30" w:type="dxa"/>
              <w:left w:w="20" w:type="dxa"/>
              <w:bottom w:w="30" w:type="dxa"/>
              <w:right w:w="20" w:type="dxa"/>
            </w:tcMar>
            <w:vAlign w:val="bottom"/>
            <w:hideMark/>
          </w:tcPr>
          <w:p w:rsidR="00000000" w:rsidRDefault="001F1FC8">
            <w:pPr>
              <w:rPr>
                <w:rFonts w:eastAsia="Times New Roman"/>
              </w:rPr>
            </w:pPr>
            <w:r>
              <w:rPr>
                <w:rFonts w:ascii="Arial" w:eastAsia="Times New Roman" w:hAnsi="Arial" w:cs="Arial"/>
                <w:color w:val="000000"/>
                <w:sz w:val="20"/>
                <w:szCs w:val="20"/>
              </w:rPr>
              <w:t>Unrealized gain/(loss) on derivative</w:t>
            </w:r>
          </w:p>
        </w:tc>
        <w:tc>
          <w:tcPr>
            <w:tcW w:w="0" w:type="auto"/>
            <w:gridSpan w:val="2"/>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20"/>
                <w:szCs w:val="20"/>
              </w:rPr>
              <w:t>8</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(116)</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r>
      <w:tr w:rsidR="00000000">
        <w:trPr>
          <w:divId w:val="63258232"/>
          <w:jc w:val="center"/>
        </w:trPr>
        <w:tc>
          <w:tcPr>
            <w:tcW w:w="0" w:type="auto"/>
            <w:gridSpan w:val="3"/>
            <w:tcMar>
              <w:top w:w="30" w:type="dxa"/>
              <w:left w:w="20" w:type="dxa"/>
              <w:bottom w:w="30" w:type="dxa"/>
              <w:right w:w="20" w:type="dxa"/>
            </w:tcMar>
            <w:vAlign w:val="bottom"/>
            <w:hideMark/>
          </w:tcPr>
          <w:p w:rsidR="00000000" w:rsidRDefault="001F1FC8">
            <w:pPr>
              <w:rPr>
                <w:rFonts w:eastAsia="Times New Roman"/>
              </w:rPr>
            </w:pPr>
            <w:r>
              <w:rPr>
                <w:rFonts w:ascii="Arial" w:eastAsia="Times New Roman" w:hAnsi="Arial" w:cs="Arial"/>
                <w:color w:val="000000"/>
                <w:sz w:val="20"/>
                <w:szCs w:val="20"/>
              </w:rPr>
              <w:t>Unrealized gain/(loss) on hedged item</w:t>
            </w:r>
          </w:p>
        </w:tc>
        <w:tc>
          <w:tcPr>
            <w:tcW w:w="0" w:type="auto"/>
            <w:gridSpan w:val="2"/>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20"/>
                <w:szCs w:val="20"/>
              </w:rPr>
              <w:t>(15)</w:t>
            </w:r>
          </w:p>
        </w:tc>
        <w:tc>
          <w:tcPr>
            <w:tcW w:w="0" w:type="auto"/>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133 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r>
      <w:tr w:rsidR="00000000">
        <w:trPr>
          <w:divId w:val="63258232"/>
          <w:jc w:val="center"/>
        </w:trPr>
        <w:tc>
          <w:tcPr>
            <w:tcW w:w="0" w:type="auto"/>
            <w:gridSpan w:val="3"/>
            <w:tcMar>
              <w:top w:w="30" w:type="dxa"/>
              <w:left w:w="20" w:type="dxa"/>
              <w:bottom w:w="30" w:type="dxa"/>
              <w:right w:w="20" w:type="dxa"/>
            </w:tcMar>
            <w:vAlign w:val="bottom"/>
            <w:hideMark/>
          </w:tcPr>
          <w:p w:rsidR="00000000" w:rsidRDefault="001F1FC8">
            <w:pPr>
              <w:rPr>
                <w:rFonts w:eastAsia="Times New Roman"/>
              </w:rPr>
            </w:pPr>
            <w:r>
              <w:rPr>
                <w:rFonts w:ascii="Arial" w:eastAsia="Times New Roman" w:hAnsi="Arial" w:cs="Arial"/>
                <w:color w:val="000000"/>
                <w:sz w:val="20"/>
                <w:szCs w:val="20"/>
              </w:rPr>
              <w:t>Realized loss on derivative</w:t>
            </w:r>
          </w:p>
        </w:tc>
        <w:tc>
          <w:tcPr>
            <w:tcW w:w="0" w:type="auto"/>
            <w:gridSpan w:val="2"/>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20"/>
                <w:szCs w:val="20"/>
              </w:rPr>
              <w:t>(41)</w:t>
            </w:r>
          </w:p>
        </w:tc>
        <w:tc>
          <w:tcPr>
            <w:tcW w:w="0" w:type="auto"/>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(12)</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r>
      <w:tr w:rsidR="00000000">
        <w:trPr>
          <w:divId w:val="63258232"/>
          <w:jc w:val="center"/>
        </w:trPr>
        <w:tc>
          <w:tcPr>
            <w:tcW w:w="0" w:type="auto"/>
            <w:gridSpan w:val="3"/>
            <w:tcBorders>
              <w:bottom w:val="single" w:sz="8" w:space="0" w:color="000000"/>
            </w:tcBorders>
            <w:tcMar>
              <w:top w:w="30" w:type="dxa"/>
              <w:left w:w="20" w:type="dxa"/>
              <w:bottom w:w="30" w:type="dxa"/>
              <w:right w:w="20" w:type="dxa"/>
            </w:tcMar>
            <w:vAlign w:val="bottom"/>
            <w:hideMark/>
          </w:tcPr>
          <w:p w:rsidR="00000000" w:rsidRDefault="001F1FC8">
            <w:pPr>
              <w:rPr>
                <w:rFonts w:eastAsia="Times New Roman"/>
              </w:rPr>
            </w:pPr>
            <w:r>
              <w:rPr>
                <w:rFonts w:ascii="Arial" w:eastAsia="Times New Roman" w:hAnsi="Arial" w:cs="Arial"/>
                <w:color w:val="000000"/>
                <w:sz w:val="20"/>
                <w:szCs w:val="20"/>
              </w:rPr>
              <w:t>Realized gain on hedged item</w:t>
            </w:r>
          </w:p>
        </w:tc>
        <w:tc>
          <w:tcPr>
            <w:tcW w:w="0" w:type="auto"/>
            <w:gridSpan w:val="2"/>
            <w:tcBorders>
              <w:bottom w:val="single" w:sz="8" w:space="0" w:color="000000"/>
            </w:tcBorders>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20"/>
                <w:szCs w:val="20"/>
              </w:rPr>
              <w:t>45</w:t>
            </w:r>
            <w:r>
              <w:rPr>
                <w:rFonts w:ascii="Arial" w:eastAsia="Times New Roman" w:hAnsi="Arial" w:cs="Arial"/>
                <w:color w:val="000000"/>
                <w:sz w:val="20"/>
                <w:szCs w:val="20"/>
              </w:rPr>
              <w:t> </w:t>
            </w:r>
          </w:p>
        </w:tc>
        <w:tc>
          <w:tcPr>
            <w:tcW w:w="0" w:type="auto"/>
            <w:tcBorders>
              <w:bottom w:val="single" w:sz="8" w:space="0" w:color="000000"/>
            </w:tcBorders>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Borders>
              <w:bottom w:val="single" w:sz="8" w:space="0" w:color="000000"/>
            </w:tcBorders>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 </w:t>
            </w:r>
          </w:p>
        </w:tc>
        <w:tc>
          <w:tcPr>
            <w:tcW w:w="0" w:type="auto"/>
            <w:tcBorders>
              <w:bottom w:val="single" w:sz="8" w:space="0" w:color="000000"/>
            </w:tcBorders>
            <w:tcMar>
              <w:top w:w="30" w:type="dxa"/>
              <w:left w:w="0" w:type="dxa"/>
              <w:bottom w:w="30" w:type="dxa"/>
              <w:right w:w="20" w:type="dxa"/>
            </w:tcMar>
            <w:vAlign w:val="bottom"/>
            <w:hideMark/>
          </w:tcPr>
          <w:p w:rsidR="00000000" w:rsidRDefault="001F1FC8">
            <w:pPr>
              <w:jc w:val="right"/>
              <w:rPr>
                <w:rFonts w:eastAsia="Times New Roman"/>
              </w:rPr>
            </w:pPr>
          </w:p>
        </w:tc>
      </w:tr>
    </w:tbl>
    <w:p w:rsidR="00000000" w:rsidRDefault="001F1FC8">
      <w:pPr>
        <w:divId w:val="267205124"/>
        <w:rPr>
          <w:rFonts w:eastAsia="Times New Roman"/>
        </w:rPr>
      </w:pPr>
    </w:p>
    <w:p w:rsidR="00000000" w:rsidRDefault="001F1FC8">
      <w:pPr>
        <w:jc w:val="center"/>
        <w:divId w:val="883563421"/>
        <w:rPr>
          <w:rFonts w:eastAsia="Times New Roman"/>
        </w:rPr>
      </w:pPr>
      <w:r>
        <w:rPr>
          <w:rFonts w:ascii="Arial" w:eastAsia="Times New Roman" w:hAnsi="Arial" w:cs="Arial"/>
          <w:color w:val="000000"/>
          <w:sz w:val="20"/>
          <w:szCs w:val="20"/>
        </w:rPr>
        <w:t>154</w:t>
      </w:r>
    </w:p>
    <w:p w:rsidR="00000000" w:rsidRDefault="001F1FC8">
      <w:pPr>
        <w:rPr>
          <w:rFonts w:eastAsia="Times New Roman"/>
        </w:rPr>
      </w:pPr>
      <w:r>
        <w:rPr>
          <w:rFonts w:eastAsia="Times New Roman"/>
        </w:rPr>
        <w:pict>
          <v:rect id="_x0000_i1184" style="width:0;height:1.5pt" o:hralign="center" o:hrstd="t" o:hr="t" fillcolor="#a0a0a0" stroked="f"/>
        </w:pict>
      </w:r>
    </w:p>
    <w:p w:rsidR="00000000" w:rsidRDefault="001F1FC8">
      <w:pPr>
        <w:jc w:val="center"/>
        <w:divId w:val="43450507"/>
        <w:rPr>
          <w:rFonts w:eastAsia="Times New Roman"/>
        </w:rPr>
      </w:pPr>
    </w:p>
    <w:p w:rsidR="00000000" w:rsidRDefault="001F1FC8">
      <w:pPr>
        <w:divId w:val="1858957391"/>
        <w:rPr>
          <w:rFonts w:eastAsia="Times New Roman"/>
        </w:rPr>
      </w:pPr>
      <w:r>
        <w:rPr>
          <w:rFonts w:ascii="Arial" w:eastAsia="Times New Roman" w:hAnsi="Arial" w:cs="Arial"/>
          <w:b/>
          <w:bCs/>
          <w:color w:val="000000"/>
          <w:sz w:val="20"/>
          <w:szCs w:val="20"/>
        </w:rPr>
        <w:t>Non-Qualifying Derivatives</w:t>
      </w:r>
    </w:p>
    <w:p w:rsidR="00000000" w:rsidRDefault="001F1FC8">
      <w:pPr>
        <w:divId w:val="886602285"/>
        <w:rPr>
          <w:rFonts w:eastAsia="Times New Roman"/>
        </w:rPr>
      </w:pPr>
      <w:r>
        <w:rPr>
          <w:rFonts w:ascii="Arial" w:eastAsia="Times New Roman" w:hAnsi="Arial" w:cs="Arial"/>
          <w:color w:val="000000"/>
          <w:sz w:val="20"/>
          <w:szCs w:val="20"/>
        </w:rPr>
        <w:t>The following table presents the unrealized gains and losses associated with changes in the fair value of our non-qualifying derivatives:</w:t>
      </w:r>
    </w:p>
    <w:tbl>
      <w:tblPr>
        <w:tblW w:w="4991" w:type="pct"/>
        <w:tblCellMar>
          <w:top w:w="15" w:type="dxa"/>
          <w:left w:w="15" w:type="dxa"/>
          <w:bottom w:w="15" w:type="dxa"/>
          <w:right w:w="15" w:type="dxa"/>
        </w:tblCellMar>
        <w:tblLook w:val="04A0" w:firstRow="1" w:lastRow="0" w:firstColumn="1" w:lastColumn="0" w:noHBand="0" w:noVBand="1"/>
      </w:tblPr>
      <w:tblGrid>
        <w:gridCol w:w="69"/>
        <w:gridCol w:w="5433"/>
        <w:gridCol w:w="37"/>
        <w:gridCol w:w="69"/>
        <w:gridCol w:w="812"/>
        <w:gridCol w:w="36"/>
        <w:gridCol w:w="69"/>
        <w:gridCol w:w="812"/>
        <w:gridCol w:w="36"/>
        <w:gridCol w:w="69"/>
        <w:gridCol w:w="813"/>
        <w:gridCol w:w="36"/>
      </w:tblGrid>
      <w:tr w:rsidR="00000000">
        <w:trPr>
          <w:divId w:val="473715837"/>
        </w:trPr>
        <w:tc>
          <w:tcPr>
            <w:tcW w:w="50" w:type="pct"/>
            <w:vAlign w:val="center"/>
            <w:hideMark/>
          </w:tcPr>
          <w:p w:rsidR="00000000" w:rsidRDefault="001F1FC8">
            <w:pPr>
              <w:rPr>
                <w:rFonts w:eastAsia="Times New Roman"/>
              </w:rPr>
            </w:pPr>
          </w:p>
        </w:tc>
        <w:tc>
          <w:tcPr>
            <w:tcW w:w="3283"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c>
          <w:tcPr>
            <w:tcW w:w="50" w:type="pct"/>
            <w:vAlign w:val="center"/>
            <w:hideMark/>
          </w:tcPr>
          <w:p w:rsidR="00000000" w:rsidRDefault="001F1FC8">
            <w:pPr>
              <w:rPr>
                <w:rFonts w:eastAsia="Times New Roman"/>
                <w:sz w:val="20"/>
                <w:szCs w:val="20"/>
              </w:rPr>
            </w:pPr>
          </w:p>
        </w:tc>
        <w:tc>
          <w:tcPr>
            <w:tcW w:w="498"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c>
          <w:tcPr>
            <w:tcW w:w="50" w:type="pct"/>
            <w:vAlign w:val="center"/>
            <w:hideMark/>
          </w:tcPr>
          <w:p w:rsidR="00000000" w:rsidRDefault="001F1FC8">
            <w:pPr>
              <w:rPr>
                <w:rFonts w:eastAsia="Times New Roman"/>
                <w:sz w:val="20"/>
                <w:szCs w:val="20"/>
              </w:rPr>
            </w:pPr>
          </w:p>
        </w:tc>
        <w:tc>
          <w:tcPr>
            <w:tcW w:w="498"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c>
          <w:tcPr>
            <w:tcW w:w="50" w:type="pct"/>
            <w:vAlign w:val="center"/>
            <w:hideMark/>
          </w:tcPr>
          <w:p w:rsidR="00000000" w:rsidRDefault="001F1FC8">
            <w:pPr>
              <w:rPr>
                <w:rFonts w:eastAsia="Times New Roman"/>
                <w:sz w:val="20"/>
                <w:szCs w:val="20"/>
              </w:rPr>
            </w:pPr>
          </w:p>
        </w:tc>
        <w:tc>
          <w:tcPr>
            <w:tcW w:w="498"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r>
      <w:tr w:rsidR="00000000">
        <w:trPr>
          <w:divId w:val="473715837"/>
        </w:trPr>
        <w:tc>
          <w:tcPr>
            <w:tcW w:w="0" w:type="auto"/>
            <w:gridSpan w:val="3"/>
            <w:tcMar>
              <w:top w:w="30" w:type="dxa"/>
              <w:left w:w="20" w:type="dxa"/>
              <w:bottom w:w="30" w:type="dxa"/>
              <w:right w:w="20" w:type="dxa"/>
            </w:tcMar>
            <w:hideMark/>
          </w:tcPr>
          <w:p w:rsidR="00000000" w:rsidRDefault="001F1FC8">
            <w:pPr>
              <w:rPr>
                <w:rFonts w:eastAsia="Times New Roman"/>
              </w:rPr>
            </w:pPr>
            <w:r>
              <w:rPr>
                <w:rFonts w:ascii="Arial" w:eastAsia="Times New Roman" w:hAnsi="Arial" w:cs="Arial"/>
                <w:color w:val="000000"/>
                <w:sz w:val="20"/>
                <w:szCs w:val="20"/>
              </w:rPr>
              <w:t>Year ended December 31,</w:t>
            </w:r>
          </w:p>
        </w:tc>
        <w:tc>
          <w:tcPr>
            <w:tcW w:w="0" w:type="auto"/>
            <w:gridSpan w:val="3"/>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b/>
                <w:bCs/>
                <w:color w:val="000000"/>
                <w:sz w:val="20"/>
                <w:szCs w:val="20"/>
              </w:rPr>
              <w:t>2021</w:t>
            </w:r>
          </w:p>
        </w:tc>
        <w:tc>
          <w:tcPr>
            <w:tcW w:w="0" w:type="auto"/>
            <w:gridSpan w:val="3"/>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2020</w:t>
            </w:r>
          </w:p>
        </w:tc>
        <w:tc>
          <w:tcPr>
            <w:tcW w:w="0" w:type="auto"/>
            <w:gridSpan w:val="3"/>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2019</w:t>
            </w:r>
          </w:p>
        </w:tc>
      </w:tr>
      <w:tr w:rsidR="00000000">
        <w:trPr>
          <w:divId w:val="473715837"/>
        </w:trPr>
        <w:tc>
          <w:tcPr>
            <w:tcW w:w="0" w:type="auto"/>
            <w:gridSpan w:val="3"/>
            <w:tcBorders>
              <w:top w:val="single" w:sz="4" w:space="0" w:color="000000"/>
            </w:tcBorders>
            <w:tcMar>
              <w:top w:w="30" w:type="dxa"/>
              <w:left w:w="20" w:type="dxa"/>
              <w:bottom w:w="30" w:type="dxa"/>
              <w:right w:w="20" w:type="dxa"/>
            </w:tcMar>
            <w:hideMark/>
          </w:tcPr>
          <w:p w:rsidR="00000000" w:rsidRDefault="001F1FC8">
            <w:pPr>
              <w:rPr>
                <w:rFonts w:eastAsia="Times New Roman"/>
              </w:rPr>
            </w:pPr>
            <w:r>
              <w:rPr>
                <w:rFonts w:ascii="Arial" w:eastAsia="Times New Roman" w:hAnsi="Arial" w:cs="Arial"/>
                <w:i/>
                <w:iCs/>
                <w:color w:val="000000"/>
                <w:sz w:val="16"/>
                <w:szCs w:val="16"/>
              </w:rPr>
              <w:t>(millions of Canadian dollars)</w:t>
            </w:r>
          </w:p>
        </w:tc>
        <w:tc>
          <w:tcPr>
            <w:tcW w:w="0" w:type="auto"/>
            <w:gridSpan w:val="3"/>
            <w:tcBorders>
              <w:top w:val="single" w:sz="4" w:space="0" w:color="000000"/>
            </w:tcBorders>
            <w:shd w:val="clear" w:color="auto" w:fill="D9D9D9"/>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2"/>
                <w:szCs w:val="2"/>
              </w:rPr>
              <w:t> </w:t>
            </w: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2"/>
                <w:szCs w:val="2"/>
              </w:rPr>
              <w:t> </w:t>
            </w: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2"/>
                <w:szCs w:val="2"/>
              </w:rPr>
              <w:t> </w:t>
            </w:r>
          </w:p>
        </w:tc>
      </w:tr>
      <w:tr w:rsidR="00000000">
        <w:trPr>
          <w:divId w:val="473715837"/>
        </w:trPr>
        <w:tc>
          <w:tcPr>
            <w:tcW w:w="0" w:type="auto"/>
            <w:gridSpan w:val="3"/>
            <w:tcMar>
              <w:top w:w="30" w:type="dxa"/>
              <w:left w:w="20" w:type="dxa"/>
              <w:bottom w:w="30" w:type="dxa"/>
              <w:right w:w="20" w:type="dxa"/>
            </w:tcMar>
            <w:vAlign w:val="bottom"/>
            <w:hideMark/>
          </w:tcPr>
          <w:p w:rsidR="00000000" w:rsidRDefault="001F1FC8">
            <w:pPr>
              <w:divId w:val="830288956"/>
              <w:rPr>
                <w:rFonts w:eastAsia="Times New Roman"/>
              </w:rPr>
            </w:pPr>
            <w:r>
              <w:rPr>
                <w:rFonts w:ascii="Arial" w:eastAsia="Times New Roman" w:hAnsi="Arial" w:cs="Arial"/>
                <w:color w:val="000000"/>
                <w:sz w:val="20"/>
                <w:szCs w:val="20"/>
              </w:rPr>
              <w:t>Foreign exchange contract</w:t>
            </w:r>
            <w:r>
              <w:rPr>
                <w:rFonts w:ascii="Arial" w:eastAsia="Times New Roman" w:hAnsi="Arial" w:cs="Arial"/>
                <w:color w:val="000000"/>
                <w:sz w:val="20"/>
                <w:szCs w:val="20"/>
              </w:rPr>
              <w:t>s</w:t>
            </w:r>
            <w:r>
              <w:rPr>
                <w:rFonts w:ascii="Arial" w:eastAsia="Times New Roman" w:hAnsi="Arial" w:cs="Arial"/>
                <w:color w:val="000000"/>
                <w:sz w:val="10"/>
                <w:szCs w:val="10"/>
              </w:rPr>
              <w:t>1</w:t>
            </w:r>
          </w:p>
        </w:tc>
        <w:tc>
          <w:tcPr>
            <w:tcW w:w="0" w:type="auto"/>
            <w:gridSpan w:val="2"/>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20"/>
                <w:szCs w:val="20"/>
              </w:rPr>
              <w:t>92</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902 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1,626 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r>
      <w:tr w:rsidR="00000000">
        <w:trPr>
          <w:divId w:val="473715837"/>
        </w:trPr>
        <w:tc>
          <w:tcPr>
            <w:tcW w:w="0" w:type="auto"/>
            <w:gridSpan w:val="3"/>
            <w:tcMar>
              <w:top w:w="30" w:type="dxa"/>
              <w:left w:w="20" w:type="dxa"/>
              <w:bottom w:w="30" w:type="dxa"/>
              <w:right w:w="20" w:type="dxa"/>
            </w:tcMar>
            <w:vAlign w:val="bottom"/>
            <w:hideMark/>
          </w:tcPr>
          <w:p w:rsidR="00000000" w:rsidRDefault="001F1FC8">
            <w:pPr>
              <w:divId w:val="1873880444"/>
              <w:rPr>
                <w:rFonts w:eastAsia="Times New Roman"/>
              </w:rPr>
            </w:pPr>
            <w:r>
              <w:rPr>
                <w:rFonts w:ascii="Arial" w:eastAsia="Times New Roman" w:hAnsi="Arial" w:cs="Arial"/>
                <w:color w:val="000000"/>
                <w:sz w:val="20"/>
                <w:szCs w:val="20"/>
              </w:rPr>
              <w:t>Interest rate contract</w:t>
            </w:r>
            <w:r>
              <w:rPr>
                <w:rFonts w:ascii="Arial" w:eastAsia="Times New Roman" w:hAnsi="Arial" w:cs="Arial"/>
                <w:color w:val="000000"/>
                <w:sz w:val="20"/>
                <w:szCs w:val="20"/>
              </w:rPr>
              <w:t>s</w:t>
            </w:r>
            <w:r>
              <w:rPr>
                <w:rFonts w:ascii="Arial" w:eastAsia="Times New Roman" w:hAnsi="Arial" w:cs="Arial"/>
                <w:color w:val="000000"/>
                <w:sz w:val="10"/>
                <w:szCs w:val="10"/>
              </w:rPr>
              <w:t>2</w:t>
            </w:r>
          </w:p>
        </w:tc>
        <w:tc>
          <w:tcPr>
            <w:tcW w:w="0" w:type="auto"/>
            <w:gridSpan w:val="2"/>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20"/>
                <w:szCs w:val="20"/>
              </w:rPr>
              <w:t>2</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(25)</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178 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r>
      <w:tr w:rsidR="00000000">
        <w:trPr>
          <w:divId w:val="473715837"/>
        </w:trPr>
        <w:tc>
          <w:tcPr>
            <w:tcW w:w="0" w:type="auto"/>
            <w:gridSpan w:val="3"/>
            <w:tcMar>
              <w:top w:w="30" w:type="dxa"/>
              <w:left w:w="20" w:type="dxa"/>
              <w:bottom w:w="30" w:type="dxa"/>
              <w:right w:w="20" w:type="dxa"/>
            </w:tcMar>
            <w:vAlign w:val="bottom"/>
            <w:hideMark/>
          </w:tcPr>
          <w:p w:rsidR="00000000" w:rsidRDefault="001F1FC8">
            <w:pPr>
              <w:divId w:val="349068897"/>
              <w:rPr>
                <w:rFonts w:eastAsia="Times New Roman"/>
              </w:rPr>
            </w:pPr>
            <w:r>
              <w:rPr>
                <w:rFonts w:ascii="Arial" w:eastAsia="Times New Roman" w:hAnsi="Arial" w:cs="Arial"/>
                <w:color w:val="000000"/>
                <w:sz w:val="20"/>
                <w:szCs w:val="20"/>
              </w:rPr>
              <w:t>Commodity contract</w:t>
            </w:r>
            <w:r>
              <w:rPr>
                <w:rFonts w:ascii="Arial" w:eastAsia="Times New Roman" w:hAnsi="Arial" w:cs="Arial"/>
                <w:color w:val="000000"/>
                <w:sz w:val="20"/>
                <w:szCs w:val="20"/>
              </w:rPr>
              <w:t>s</w:t>
            </w:r>
            <w:r>
              <w:rPr>
                <w:rFonts w:ascii="Arial" w:eastAsia="Times New Roman" w:hAnsi="Arial" w:cs="Arial"/>
                <w:color w:val="000000"/>
                <w:sz w:val="10"/>
                <w:szCs w:val="10"/>
              </w:rPr>
              <w:t>3</w:t>
            </w:r>
          </w:p>
        </w:tc>
        <w:tc>
          <w:tcPr>
            <w:tcW w:w="0" w:type="auto"/>
            <w:gridSpan w:val="2"/>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20"/>
                <w:szCs w:val="20"/>
              </w:rPr>
              <w:t>71</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(114)</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(62)</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r>
      <w:tr w:rsidR="00000000">
        <w:trPr>
          <w:divId w:val="473715837"/>
        </w:trPr>
        <w:tc>
          <w:tcPr>
            <w:tcW w:w="0" w:type="auto"/>
            <w:gridSpan w:val="3"/>
            <w:tcMar>
              <w:top w:w="30" w:type="dxa"/>
              <w:left w:w="20" w:type="dxa"/>
              <w:bottom w:w="30" w:type="dxa"/>
              <w:right w:w="20" w:type="dxa"/>
            </w:tcMar>
            <w:vAlign w:val="bottom"/>
            <w:hideMark/>
          </w:tcPr>
          <w:p w:rsidR="00000000" w:rsidRDefault="001F1FC8">
            <w:pPr>
              <w:divId w:val="1637756928"/>
              <w:rPr>
                <w:rFonts w:eastAsia="Times New Roman"/>
              </w:rPr>
            </w:pPr>
            <w:r>
              <w:rPr>
                <w:rFonts w:ascii="Arial" w:eastAsia="Times New Roman" w:hAnsi="Arial" w:cs="Arial"/>
                <w:color w:val="000000"/>
                <w:sz w:val="20"/>
                <w:szCs w:val="20"/>
              </w:rPr>
              <w:t>Other contract</w:t>
            </w:r>
            <w:r>
              <w:rPr>
                <w:rFonts w:ascii="Arial" w:eastAsia="Times New Roman" w:hAnsi="Arial" w:cs="Arial"/>
                <w:color w:val="000000"/>
                <w:sz w:val="20"/>
                <w:szCs w:val="20"/>
              </w:rPr>
              <w:t>s</w:t>
            </w:r>
            <w:r>
              <w:rPr>
                <w:rFonts w:ascii="Arial" w:eastAsia="Times New Roman" w:hAnsi="Arial" w:cs="Arial"/>
                <w:color w:val="000000"/>
                <w:sz w:val="10"/>
                <w:szCs w:val="10"/>
              </w:rPr>
              <w:t>4</w:t>
            </w:r>
          </w:p>
        </w:tc>
        <w:tc>
          <w:tcPr>
            <w:tcW w:w="0" w:type="auto"/>
            <w:gridSpan w:val="2"/>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20"/>
                <w:szCs w:val="20"/>
              </w:rPr>
              <w:t>8</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(7)</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9 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r>
      <w:tr w:rsidR="00000000">
        <w:trPr>
          <w:divId w:val="473715837"/>
        </w:trPr>
        <w:tc>
          <w:tcPr>
            <w:tcW w:w="0" w:type="auto"/>
            <w:gridSpan w:val="3"/>
            <w:tcBorders>
              <w:top w:val="single" w:sz="4" w:space="0" w:color="000000"/>
              <w:bottom w:val="single" w:sz="8" w:space="0" w:color="000000"/>
            </w:tcBorders>
            <w:tcMar>
              <w:top w:w="30" w:type="dxa"/>
              <w:left w:w="20" w:type="dxa"/>
              <w:bottom w:w="30" w:type="dxa"/>
              <w:right w:w="20" w:type="dxa"/>
            </w:tcMar>
            <w:hideMark/>
          </w:tcPr>
          <w:p w:rsidR="00000000" w:rsidRDefault="001F1FC8">
            <w:pPr>
              <w:rPr>
                <w:rFonts w:eastAsia="Times New Roman"/>
              </w:rPr>
            </w:pPr>
            <w:r>
              <w:rPr>
                <w:rFonts w:ascii="Arial" w:eastAsia="Times New Roman" w:hAnsi="Arial" w:cs="Arial"/>
                <w:color w:val="000000"/>
                <w:sz w:val="20"/>
                <w:szCs w:val="20"/>
              </w:rPr>
              <w:t>Total unrealized derivative fair value gain/(loss), net</w:t>
            </w:r>
          </w:p>
        </w:tc>
        <w:tc>
          <w:tcPr>
            <w:tcW w:w="0" w:type="auto"/>
            <w:gridSpan w:val="2"/>
            <w:tcBorders>
              <w:top w:val="single" w:sz="4" w:space="0" w:color="000000"/>
              <w:bottom w:val="single" w:sz="8" w:space="0" w:color="000000"/>
            </w:tcBorders>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20"/>
                <w:szCs w:val="20"/>
              </w:rPr>
              <w:t>173</w:t>
            </w:r>
            <w:r>
              <w:rPr>
                <w:rFonts w:ascii="Arial" w:eastAsia="Times New Roman" w:hAnsi="Arial" w:cs="Arial"/>
                <w:color w:val="000000"/>
                <w:sz w:val="20"/>
                <w:szCs w:val="20"/>
              </w:rPr>
              <w:t> </w:t>
            </w:r>
          </w:p>
        </w:tc>
        <w:tc>
          <w:tcPr>
            <w:tcW w:w="0" w:type="auto"/>
            <w:tcBorders>
              <w:top w:val="single" w:sz="4" w:space="0" w:color="000000"/>
              <w:bottom w:val="single" w:sz="8" w:space="0" w:color="000000"/>
            </w:tcBorders>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Borders>
              <w:top w:val="single" w:sz="4" w:space="0" w:color="000000"/>
              <w:bottom w:val="single" w:sz="8" w:space="0" w:color="000000"/>
            </w:tcBorders>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756 </w:t>
            </w:r>
          </w:p>
        </w:tc>
        <w:tc>
          <w:tcPr>
            <w:tcW w:w="0" w:type="auto"/>
            <w:tcBorders>
              <w:top w:val="single" w:sz="4" w:space="0" w:color="000000"/>
              <w:bottom w:val="single" w:sz="8" w:space="0" w:color="000000"/>
            </w:tcBorders>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Borders>
              <w:top w:val="single" w:sz="4" w:space="0" w:color="000000"/>
              <w:bottom w:val="single" w:sz="8" w:space="0" w:color="000000"/>
            </w:tcBorders>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1,751 </w:t>
            </w:r>
          </w:p>
        </w:tc>
        <w:tc>
          <w:tcPr>
            <w:tcW w:w="0" w:type="auto"/>
            <w:tcBorders>
              <w:top w:val="single" w:sz="4" w:space="0" w:color="000000"/>
              <w:bottom w:val="single" w:sz="8" w:space="0" w:color="000000"/>
            </w:tcBorders>
            <w:tcMar>
              <w:top w:w="30" w:type="dxa"/>
              <w:left w:w="0" w:type="dxa"/>
              <w:bottom w:w="30" w:type="dxa"/>
              <w:right w:w="20" w:type="dxa"/>
            </w:tcMar>
            <w:vAlign w:val="bottom"/>
            <w:hideMark/>
          </w:tcPr>
          <w:p w:rsidR="00000000" w:rsidRDefault="001F1FC8">
            <w:pPr>
              <w:jc w:val="right"/>
              <w:rPr>
                <w:rFonts w:eastAsia="Times New Roman"/>
              </w:rPr>
            </w:pPr>
          </w:p>
        </w:tc>
      </w:tr>
    </w:tbl>
    <w:p w:rsidR="00000000" w:rsidRDefault="001F1FC8">
      <w:pPr>
        <w:ind w:hanging="180"/>
        <w:divId w:val="1584294411"/>
        <w:rPr>
          <w:rFonts w:eastAsia="Times New Roman"/>
        </w:rPr>
      </w:pPr>
      <w:r>
        <w:rPr>
          <w:rFonts w:ascii="Arial" w:eastAsia="Times New Roman" w:hAnsi="Arial" w:cs="Arial"/>
          <w:i/>
          <w:iCs/>
          <w:color w:val="000000"/>
          <w:sz w:val="16"/>
          <w:szCs w:val="16"/>
        </w:rPr>
        <w:t>1</w:t>
      </w:r>
      <w:r>
        <w:rPr>
          <w:rFonts w:ascii="Arial" w:eastAsia="Times New Roman" w:hAnsi="Arial" w:cs="Arial"/>
          <w:i/>
          <w:iCs/>
          <w:color w:val="000000"/>
          <w:sz w:val="16"/>
          <w:szCs w:val="16"/>
        </w:rPr>
        <w:t>For the respective annual periods, reported within Transportation and other services revenue (2021 - $98 million gain; 2020 - $533 million gain; 2019 - $930 million gain) and Net foreign currency gain/(loss) (2021 - $6 million loss; 2020 - $369 million gai</w:t>
      </w:r>
      <w:r>
        <w:rPr>
          <w:rFonts w:ascii="Arial" w:eastAsia="Times New Roman" w:hAnsi="Arial" w:cs="Arial"/>
          <w:i/>
          <w:iCs/>
          <w:color w:val="000000"/>
          <w:sz w:val="16"/>
          <w:szCs w:val="16"/>
        </w:rPr>
        <w:t>n; 2019 - $696 million gain) in the Consolidated Statements of Earnings.</w:t>
      </w:r>
    </w:p>
    <w:p w:rsidR="00000000" w:rsidRDefault="001F1FC8">
      <w:pPr>
        <w:ind w:hanging="180"/>
        <w:divId w:val="1591741056"/>
        <w:rPr>
          <w:rFonts w:eastAsia="Times New Roman"/>
        </w:rPr>
      </w:pPr>
      <w:r>
        <w:rPr>
          <w:rFonts w:ascii="Arial" w:eastAsia="Times New Roman" w:hAnsi="Arial" w:cs="Arial"/>
          <w:i/>
          <w:iCs/>
          <w:color w:val="000000"/>
          <w:sz w:val="16"/>
          <w:szCs w:val="16"/>
        </w:rPr>
        <w:t>2Reported as an increase within Interest expense in the Consolidated Statements of Earnings.</w:t>
      </w:r>
    </w:p>
    <w:p w:rsidR="00000000" w:rsidRDefault="001F1FC8">
      <w:pPr>
        <w:ind w:hanging="180"/>
        <w:divId w:val="1546596231"/>
        <w:rPr>
          <w:rFonts w:eastAsia="Times New Roman"/>
        </w:rPr>
      </w:pPr>
      <w:r>
        <w:rPr>
          <w:rFonts w:ascii="Arial" w:eastAsia="Times New Roman" w:hAnsi="Arial" w:cs="Arial"/>
          <w:i/>
          <w:iCs/>
          <w:color w:val="000000"/>
          <w:sz w:val="16"/>
          <w:szCs w:val="16"/>
        </w:rPr>
        <w:t>3For the respective annual periods, reported within Transportation and other services reve</w:t>
      </w:r>
      <w:r>
        <w:rPr>
          <w:rFonts w:ascii="Arial" w:eastAsia="Times New Roman" w:hAnsi="Arial" w:cs="Arial"/>
          <w:i/>
          <w:iCs/>
          <w:color w:val="000000"/>
          <w:sz w:val="16"/>
          <w:szCs w:val="16"/>
        </w:rPr>
        <w:t xml:space="preserve">nue (2021 - $9 million gain; 2020 - $2 million loss; 2019 - $26 million loss), Commodity sales (2021 - $160 million gain; 2020 - $321 million loss; 2019 - $544 million loss), Commodity costs (2021 - $105 million loss; 2020 - $207 million gain; 2019 - $459 </w:t>
      </w:r>
      <w:r>
        <w:rPr>
          <w:rFonts w:ascii="Arial" w:eastAsia="Times New Roman" w:hAnsi="Arial" w:cs="Arial"/>
          <w:i/>
          <w:iCs/>
          <w:color w:val="000000"/>
          <w:sz w:val="16"/>
          <w:szCs w:val="16"/>
        </w:rPr>
        <w:t>million gain) and Operating and administrative expense (2021 - $7 million gain; 2020 - $2 million gain; 2019 - $49 million gain) in the Consolidated Statements of Earnings.</w:t>
      </w:r>
    </w:p>
    <w:p w:rsidR="00000000" w:rsidRDefault="001F1FC8">
      <w:pPr>
        <w:ind w:hanging="180"/>
        <w:divId w:val="1509296862"/>
        <w:rPr>
          <w:rFonts w:eastAsia="Times New Roman"/>
        </w:rPr>
      </w:pPr>
      <w:r>
        <w:rPr>
          <w:rFonts w:ascii="Arial" w:eastAsia="Times New Roman" w:hAnsi="Arial" w:cs="Arial"/>
          <w:i/>
          <w:iCs/>
          <w:color w:val="000000"/>
          <w:sz w:val="16"/>
          <w:szCs w:val="16"/>
        </w:rPr>
        <w:t>4Reported within Operating and administrative expense in the Consolidated Statement</w:t>
      </w:r>
      <w:r>
        <w:rPr>
          <w:rFonts w:ascii="Arial" w:eastAsia="Times New Roman" w:hAnsi="Arial" w:cs="Arial"/>
          <w:i/>
          <w:iCs/>
          <w:color w:val="000000"/>
          <w:sz w:val="16"/>
          <w:szCs w:val="16"/>
        </w:rPr>
        <w:t>s of Earnings.</w:t>
      </w:r>
    </w:p>
    <w:p w:rsidR="00000000" w:rsidRDefault="001F1FC8">
      <w:pPr>
        <w:jc w:val="both"/>
        <w:rPr>
          <w:rFonts w:eastAsia="Times New Roman"/>
        </w:rPr>
      </w:pPr>
      <w:r>
        <w:rPr>
          <w:rFonts w:ascii="Arial" w:eastAsia="Times New Roman" w:hAnsi="Arial" w:cs="Arial"/>
          <w:color w:val="000000"/>
          <w:sz w:val="20"/>
          <w:szCs w:val="20"/>
        </w:rPr>
        <w:t> </w:t>
      </w:r>
    </w:p>
    <w:p w:rsidR="00000000" w:rsidRDefault="001F1FC8">
      <w:pPr>
        <w:divId w:val="1760255082"/>
        <w:rPr>
          <w:rFonts w:eastAsia="Times New Roman"/>
        </w:rPr>
      </w:pPr>
      <w:r>
        <w:rPr>
          <w:rFonts w:ascii="Arial" w:eastAsia="Times New Roman" w:hAnsi="Arial" w:cs="Arial"/>
          <w:b/>
          <w:bCs/>
          <w:color w:val="000000"/>
          <w:sz w:val="20"/>
          <w:szCs w:val="20"/>
        </w:rPr>
        <w:t>LIQUIDITY RISK</w:t>
      </w:r>
    </w:p>
    <w:p w:rsidR="00000000" w:rsidRDefault="001F1FC8">
      <w:pPr>
        <w:divId w:val="1840467335"/>
        <w:rPr>
          <w:rFonts w:eastAsia="Times New Roman"/>
        </w:rPr>
      </w:pPr>
      <w:r>
        <w:rPr>
          <w:rFonts w:ascii="Arial" w:eastAsia="Times New Roman" w:hAnsi="Arial" w:cs="Arial"/>
          <w:color w:val="000000"/>
          <w:sz w:val="20"/>
          <w:szCs w:val="20"/>
        </w:rPr>
        <w:t xml:space="preserve">Liquidity risk is the risk that we will not be able to meet our financial obligations, including commitments and guarantees, as they become due. In order to mitigate this risk, we forecast cash requirements over a 12-month rolling time period to determine </w:t>
      </w:r>
      <w:r>
        <w:rPr>
          <w:rFonts w:ascii="Arial" w:eastAsia="Times New Roman" w:hAnsi="Arial" w:cs="Arial"/>
          <w:color w:val="000000"/>
          <w:sz w:val="20"/>
          <w:szCs w:val="20"/>
        </w:rPr>
        <w:t xml:space="preserve">whether sufficient funds will be available and maintain substantial capacity under our committed bank lines of credit to address any contingencies. Our primary sources of liquidity and capital resources are funds generated from operations, the issuance of </w:t>
      </w:r>
      <w:r>
        <w:rPr>
          <w:rFonts w:ascii="Arial" w:eastAsia="Times New Roman" w:hAnsi="Arial" w:cs="Arial"/>
          <w:color w:val="000000"/>
          <w:sz w:val="20"/>
          <w:szCs w:val="20"/>
        </w:rPr>
        <w:t>commercial paper and draws under committed credit facilities and long-term debt, which includes debentures and medium-term notes. We also maintain current shelf prospectuses with securities regulators which enables ready access to either the Canadian or US</w:t>
      </w:r>
      <w:r>
        <w:rPr>
          <w:rFonts w:ascii="Arial" w:eastAsia="Times New Roman" w:hAnsi="Arial" w:cs="Arial"/>
          <w:color w:val="000000"/>
          <w:sz w:val="20"/>
          <w:szCs w:val="20"/>
        </w:rPr>
        <w:t xml:space="preserve"> public capital markets, subject to market conditions. In addition, we maintain sufficient liquidity through committed credit facilities with a diversified group of banks and institutions which, if necessary, enables us to fund all anticipated requirements</w:t>
      </w:r>
      <w:r>
        <w:rPr>
          <w:rFonts w:ascii="Arial" w:eastAsia="Times New Roman" w:hAnsi="Arial" w:cs="Arial"/>
          <w:color w:val="000000"/>
          <w:sz w:val="20"/>
          <w:szCs w:val="20"/>
        </w:rPr>
        <w:t xml:space="preserve"> for approximately one year without accessing the capital markets. We are in compliance with all the terms and conditions of our committed credit facility agreements and term debt indentures as at December 31, 2021. As a result, all credit facilities are a</w:t>
      </w:r>
      <w:r>
        <w:rPr>
          <w:rFonts w:ascii="Arial" w:eastAsia="Times New Roman" w:hAnsi="Arial" w:cs="Arial"/>
          <w:color w:val="000000"/>
          <w:sz w:val="20"/>
          <w:szCs w:val="20"/>
        </w:rPr>
        <w:t>vailable to us and the banks are obligated to fund and have been funding us under the terms of the facilities.</w:t>
      </w:r>
    </w:p>
    <w:p w:rsidR="00000000" w:rsidRDefault="001F1FC8">
      <w:pPr>
        <w:divId w:val="1576813593"/>
        <w:rPr>
          <w:rFonts w:eastAsia="Times New Roman"/>
        </w:rPr>
      </w:pPr>
    </w:p>
    <w:p w:rsidR="00000000" w:rsidRDefault="001F1FC8">
      <w:pPr>
        <w:divId w:val="131872569"/>
        <w:rPr>
          <w:rFonts w:eastAsia="Times New Roman"/>
        </w:rPr>
      </w:pPr>
      <w:r>
        <w:rPr>
          <w:rFonts w:ascii="Arial" w:eastAsia="Times New Roman" w:hAnsi="Arial" w:cs="Arial"/>
          <w:b/>
          <w:bCs/>
          <w:color w:val="000000"/>
          <w:sz w:val="20"/>
          <w:szCs w:val="20"/>
        </w:rPr>
        <w:t>CREDIT RISK</w:t>
      </w:r>
    </w:p>
    <w:p w:rsidR="00000000" w:rsidRDefault="001F1FC8">
      <w:pPr>
        <w:divId w:val="662394215"/>
        <w:rPr>
          <w:rFonts w:eastAsia="Times New Roman"/>
        </w:rPr>
      </w:pPr>
      <w:r>
        <w:rPr>
          <w:rFonts w:ascii="Arial" w:eastAsia="Times New Roman" w:hAnsi="Arial" w:cs="Arial"/>
          <w:color w:val="000000"/>
          <w:sz w:val="20"/>
          <w:szCs w:val="20"/>
        </w:rPr>
        <w:t>Entering into derivative instruments may result in exposure to credit risk from the possibility that a counterparty will default on</w:t>
      </w:r>
      <w:r>
        <w:rPr>
          <w:rFonts w:ascii="Arial" w:eastAsia="Times New Roman" w:hAnsi="Arial" w:cs="Arial"/>
          <w:color w:val="000000"/>
          <w:sz w:val="20"/>
          <w:szCs w:val="20"/>
        </w:rPr>
        <w:t xml:space="preserve"> its contractual obligations. In order to mitigate this risk, we enter into risk management transactions primarily with institutions that possess strong investment grade credit ratings. Credit risk relating to derivative counterparties is mitigated through</w:t>
      </w:r>
      <w:r>
        <w:rPr>
          <w:rFonts w:ascii="Arial" w:eastAsia="Times New Roman" w:hAnsi="Arial" w:cs="Arial"/>
          <w:color w:val="000000"/>
          <w:sz w:val="20"/>
          <w:szCs w:val="20"/>
        </w:rPr>
        <w:t xml:space="preserve"> maintenance and monitoring of credit exposure limits and contractual requirements, netting arrangements, and ongoing monitoring of counterparty credit exposure using external credit rating services and other analytical tools.</w:t>
      </w:r>
    </w:p>
    <w:p w:rsidR="00000000" w:rsidRDefault="001F1FC8">
      <w:pPr>
        <w:divId w:val="1934976830"/>
        <w:rPr>
          <w:rFonts w:eastAsia="Times New Roman"/>
        </w:rPr>
      </w:pPr>
    </w:p>
    <w:p w:rsidR="00000000" w:rsidRDefault="001F1FC8">
      <w:pPr>
        <w:jc w:val="center"/>
        <w:divId w:val="1468165313"/>
        <w:rPr>
          <w:rFonts w:eastAsia="Times New Roman"/>
        </w:rPr>
      </w:pPr>
      <w:r>
        <w:rPr>
          <w:rFonts w:ascii="Arial" w:eastAsia="Times New Roman" w:hAnsi="Arial" w:cs="Arial"/>
          <w:color w:val="000000"/>
          <w:sz w:val="20"/>
          <w:szCs w:val="20"/>
        </w:rPr>
        <w:t>155</w:t>
      </w:r>
    </w:p>
    <w:p w:rsidR="00000000" w:rsidRDefault="001F1FC8">
      <w:pPr>
        <w:rPr>
          <w:rFonts w:eastAsia="Times New Roman"/>
        </w:rPr>
      </w:pPr>
      <w:r>
        <w:rPr>
          <w:rFonts w:eastAsia="Times New Roman"/>
        </w:rPr>
        <w:pict>
          <v:rect id="_x0000_i1185" style="width:0;height:1.5pt" o:hralign="center" o:hrstd="t" o:hr="t" fillcolor="#a0a0a0" stroked="f"/>
        </w:pict>
      </w:r>
    </w:p>
    <w:p w:rsidR="00000000" w:rsidRDefault="001F1FC8">
      <w:pPr>
        <w:jc w:val="center"/>
        <w:divId w:val="952981479"/>
        <w:rPr>
          <w:rFonts w:eastAsia="Times New Roman"/>
        </w:rPr>
      </w:pPr>
    </w:p>
    <w:p w:rsidR="00000000" w:rsidRDefault="001F1FC8">
      <w:pPr>
        <w:divId w:val="1702238551"/>
        <w:rPr>
          <w:rFonts w:eastAsia="Times New Roman"/>
        </w:rPr>
      </w:pPr>
      <w:r>
        <w:rPr>
          <w:rFonts w:ascii="Arial" w:eastAsia="Times New Roman" w:hAnsi="Arial" w:cs="Arial"/>
          <w:color w:val="000000"/>
          <w:sz w:val="20"/>
          <w:szCs w:val="20"/>
        </w:rPr>
        <w:t>We have credit concentrations and credit exposure, with respect to derivative instruments, in the following counterparty segments:</w:t>
      </w:r>
    </w:p>
    <w:tbl>
      <w:tblPr>
        <w:tblW w:w="5000" w:type="pct"/>
        <w:tblCellMar>
          <w:top w:w="15" w:type="dxa"/>
          <w:left w:w="15" w:type="dxa"/>
          <w:bottom w:w="15" w:type="dxa"/>
          <w:right w:w="15" w:type="dxa"/>
        </w:tblCellMar>
        <w:tblLook w:val="04A0" w:firstRow="1" w:lastRow="0" w:firstColumn="1" w:lastColumn="0" w:noHBand="0" w:noVBand="1"/>
      </w:tblPr>
      <w:tblGrid>
        <w:gridCol w:w="69"/>
        <w:gridCol w:w="6553"/>
        <w:gridCol w:w="36"/>
        <w:gridCol w:w="69"/>
        <w:gridCol w:w="745"/>
        <w:gridCol w:w="36"/>
        <w:gridCol w:w="69"/>
        <w:gridCol w:w="693"/>
        <w:gridCol w:w="36"/>
      </w:tblGrid>
      <w:tr w:rsidR="00000000">
        <w:trPr>
          <w:divId w:val="739057729"/>
        </w:trPr>
        <w:tc>
          <w:tcPr>
            <w:tcW w:w="50" w:type="pct"/>
            <w:vAlign w:val="center"/>
            <w:hideMark/>
          </w:tcPr>
          <w:p w:rsidR="00000000" w:rsidRDefault="001F1FC8">
            <w:pPr>
              <w:rPr>
                <w:rFonts w:eastAsia="Times New Roman"/>
              </w:rPr>
            </w:pPr>
          </w:p>
        </w:tc>
        <w:tc>
          <w:tcPr>
            <w:tcW w:w="3951"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c>
          <w:tcPr>
            <w:tcW w:w="50" w:type="pct"/>
            <w:vAlign w:val="center"/>
            <w:hideMark/>
          </w:tcPr>
          <w:p w:rsidR="00000000" w:rsidRDefault="001F1FC8">
            <w:pPr>
              <w:rPr>
                <w:rFonts w:eastAsia="Times New Roman"/>
                <w:sz w:val="20"/>
                <w:szCs w:val="20"/>
              </w:rPr>
            </w:pPr>
          </w:p>
        </w:tc>
        <w:tc>
          <w:tcPr>
            <w:tcW w:w="457"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c>
          <w:tcPr>
            <w:tcW w:w="50" w:type="pct"/>
            <w:vAlign w:val="center"/>
            <w:hideMark/>
          </w:tcPr>
          <w:p w:rsidR="00000000" w:rsidRDefault="001F1FC8">
            <w:pPr>
              <w:rPr>
                <w:rFonts w:eastAsia="Times New Roman"/>
                <w:sz w:val="20"/>
                <w:szCs w:val="20"/>
              </w:rPr>
            </w:pPr>
          </w:p>
        </w:tc>
        <w:tc>
          <w:tcPr>
            <w:tcW w:w="425"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r>
      <w:tr w:rsidR="00000000">
        <w:trPr>
          <w:divId w:val="739057729"/>
        </w:trPr>
        <w:tc>
          <w:tcPr>
            <w:tcW w:w="0" w:type="auto"/>
            <w:gridSpan w:val="3"/>
            <w:tcMar>
              <w:top w:w="30" w:type="dxa"/>
              <w:left w:w="20" w:type="dxa"/>
              <w:bottom w:w="30" w:type="dxa"/>
              <w:right w:w="20" w:type="dxa"/>
            </w:tcMar>
            <w:vAlign w:val="bottom"/>
            <w:hideMark/>
          </w:tcPr>
          <w:p w:rsidR="00000000" w:rsidRDefault="001F1FC8">
            <w:pPr>
              <w:rPr>
                <w:rFonts w:eastAsia="Times New Roman"/>
              </w:rPr>
            </w:pPr>
            <w:r>
              <w:rPr>
                <w:rFonts w:ascii="Arial" w:eastAsia="Times New Roman" w:hAnsi="Arial" w:cs="Arial"/>
                <w:color w:val="000000"/>
                <w:sz w:val="20"/>
                <w:szCs w:val="20"/>
              </w:rPr>
              <w:t>December 31,</w:t>
            </w:r>
          </w:p>
        </w:tc>
        <w:tc>
          <w:tcPr>
            <w:tcW w:w="0" w:type="auto"/>
            <w:gridSpan w:val="3"/>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b/>
                <w:bCs/>
                <w:color w:val="000000"/>
                <w:sz w:val="20"/>
                <w:szCs w:val="20"/>
              </w:rPr>
              <w:t>2021</w:t>
            </w:r>
          </w:p>
        </w:tc>
        <w:tc>
          <w:tcPr>
            <w:tcW w:w="0" w:type="auto"/>
            <w:gridSpan w:val="3"/>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2020</w:t>
            </w:r>
          </w:p>
        </w:tc>
      </w:tr>
      <w:tr w:rsidR="00000000">
        <w:trPr>
          <w:divId w:val="739057729"/>
        </w:trPr>
        <w:tc>
          <w:tcPr>
            <w:tcW w:w="0" w:type="auto"/>
            <w:gridSpan w:val="3"/>
            <w:tcBorders>
              <w:top w:val="single" w:sz="4" w:space="0" w:color="000000"/>
            </w:tcBorders>
            <w:tcMar>
              <w:top w:w="30" w:type="dxa"/>
              <w:left w:w="20" w:type="dxa"/>
              <w:bottom w:w="30" w:type="dxa"/>
              <w:right w:w="20" w:type="dxa"/>
            </w:tcMar>
            <w:vAlign w:val="bottom"/>
            <w:hideMark/>
          </w:tcPr>
          <w:p w:rsidR="00000000" w:rsidRDefault="001F1FC8">
            <w:pPr>
              <w:jc w:val="both"/>
              <w:rPr>
                <w:rFonts w:eastAsia="Times New Roman"/>
              </w:rPr>
            </w:pPr>
            <w:r>
              <w:rPr>
                <w:rFonts w:ascii="Arial" w:eastAsia="Times New Roman" w:hAnsi="Arial" w:cs="Arial"/>
                <w:i/>
                <w:iCs/>
                <w:color w:val="000000"/>
                <w:sz w:val="16"/>
                <w:szCs w:val="16"/>
              </w:rPr>
              <w:t>(millions of Canadian dollars)</w:t>
            </w:r>
          </w:p>
        </w:tc>
        <w:tc>
          <w:tcPr>
            <w:tcW w:w="0" w:type="auto"/>
            <w:gridSpan w:val="3"/>
            <w:tcBorders>
              <w:top w:val="single" w:sz="4" w:space="0" w:color="000000"/>
            </w:tcBorders>
            <w:shd w:val="clear" w:color="auto" w:fill="D9D9D9"/>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2"/>
                <w:szCs w:val="2"/>
              </w:rPr>
              <w:t> </w:t>
            </w: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2"/>
                <w:szCs w:val="2"/>
              </w:rPr>
              <w:t> </w:t>
            </w:r>
          </w:p>
        </w:tc>
      </w:tr>
      <w:tr w:rsidR="00000000">
        <w:trPr>
          <w:divId w:val="739057729"/>
        </w:trPr>
        <w:tc>
          <w:tcPr>
            <w:tcW w:w="0" w:type="auto"/>
            <w:gridSpan w:val="3"/>
            <w:tcMar>
              <w:top w:w="30" w:type="dxa"/>
              <w:left w:w="20" w:type="dxa"/>
              <w:bottom w:w="30" w:type="dxa"/>
              <w:right w:w="20" w:type="dxa"/>
            </w:tcMar>
            <w:vAlign w:val="bottom"/>
            <w:hideMark/>
          </w:tcPr>
          <w:p w:rsidR="00000000" w:rsidRDefault="001F1FC8">
            <w:pPr>
              <w:rPr>
                <w:rFonts w:eastAsia="Times New Roman"/>
              </w:rPr>
            </w:pPr>
            <w:r>
              <w:rPr>
                <w:rFonts w:ascii="Arial" w:eastAsia="Times New Roman" w:hAnsi="Arial" w:cs="Arial"/>
                <w:color w:val="000000"/>
                <w:sz w:val="20"/>
                <w:szCs w:val="20"/>
              </w:rPr>
              <w:t>Canadian financial institutions</w:t>
            </w:r>
          </w:p>
        </w:tc>
        <w:tc>
          <w:tcPr>
            <w:tcW w:w="0" w:type="auto"/>
            <w:gridSpan w:val="2"/>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20"/>
                <w:szCs w:val="20"/>
              </w:rPr>
              <w:t>424</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481 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r>
      <w:tr w:rsidR="00000000">
        <w:trPr>
          <w:divId w:val="739057729"/>
        </w:trPr>
        <w:tc>
          <w:tcPr>
            <w:tcW w:w="0" w:type="auto"/>
            <w:gridSpan w:val="3"/>
            <w:tcMar>
              <w:top w:w="30" w:type="dxa"/>
              <w:left w:w="20" w:type="dxa"/>
              <w:bottom w:w="30" w:type="dxa"/>
              <w:right w:w="20" w:type="dxa"/>
            </w:tcMar>
            <w:vAlign w:val="bottom"/>
            <w:hideMark/>
          </w:tcPr>
          <w:p w:rsidR="00000000" w:rsidRDefault="001F1FC8">
            <w:pPr>
              <w:rPr>
                <w:rFonts w:eastAsia="Times New Roman"/>
              </w:rPr>
            </w:pPr>
            <w:r>
              <w:rPr>
                <w:rFonts w:ascii="Arial" w:eastAsia="Times New Roman" w:hAnsi="Arial" w:cs="Arial"/>
                <w:color w:val="000000"/>
                <w:sz w:val="20"/>
                <w:szCs w:val="20"/>
              </w:rPr>
              <w:t>US financial institutions</w:t>
            </w:r>
          </w:p>
        </w:tc>
        <w:tc>
          <w:tcPr>
            <w:tcW w:w="0" w:type="auto"/>
            <w:gridSpan w:val="2"/>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20"/>
                <w:szCs w:val="20"/>
              </w:rPr>
              <w:t>130</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99 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r>
      <w:tr w:rsidR="00000000">
        <w:trPr>
          <w:divId w:val="739057729"/>
        </w:trPr>
        <w:tc>
          <w:tcPr>
            <w:tcW w:w="0" w:type="auto"/>
            <w:gridSpan w:val="3"/>
            <w:tcMar>
              <w:top w:w="30" w:type="dxa"/>
              <w:left w:w="20" w:type="dxa"/>
              <w:bottom w:w="30" w:type="dxa"/>
              <w:right w:w="20" w:type="dxa"/>
            </w:tcMar>
            <w:vAlign w:val="bottom"/>
            <w:hideMark/>
          </w:tcPr>
          <w:p w:rsidR="00000000" w:rsidRDefault="001F1FC8">
            <w:pPr>
              <w:rPr>
                <w:rFonts w:eastAsia="Times New Roman"/>
              </w:rPr>
            </w:pPr>
            <w:r>
              <w:rPr>
                <w:rFonts w:ascii="Arial" w:eastAsia="Times New Roman" w:hAnsi="Arial" w:cs="Arial"/>
                <w:color w:val="000000"/>
                <w:sz w:val="20"/>
                <w:szCs w:val="20"/>
              </w:rPr>
              <w:t>European financial institutions</w:t>
            </w:r>
          </w:p>
        </w:tc>
        <w:tc>
          <w:tcPr>
            <w:tcW w:w="0" w:type="auto"/>
            <w:gridSpan w:val="2"/>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20"/>
                <w:szCs w:val="20"/>
              </w:rPr>
              <w:t>181</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28 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r>
      <w:tr w:rsidR="00000000">
        <w:trPr>
          <w:divId w:val="739057729"/>
        </w:trPr>
        <w:tc>
          <w:tcPr>
            <w:tcW w:w="0" w:type="auto"/>
            <w:gridSpan w:val="3"/>
            <w:tcMar>
              <w:top w:w="30" w:type="dxa"/>
              <w:left w:w="20" w:type="dxa"/>
              <w:bottom w:w="30" w:type="dxa"/>
              <w:right w:w="20" w:type="dxa"/>
            </w:tcMar>
            <w:vAlign w:val="bottom"/>
            <w:hideMark/>
          </w:tcPr>
          <w:p w:rsidR="00000000" w:rsidRDefault="001F1FC8">
            <w:pPr>
              <w:rPr>
                <w:rFonts w:eastAsia="Times New Roman"/>
              </w:rPr>
            </w:pPr>
            <w:r>
              <w:rPr>
                <w:rFonts w:ascii="Arial" w:eastAsia="Times New Roman" w:hAnsi="Arial" w:cs="Arial"/>
                <w:color w:val="000000"/>
                <w:sz w:val="20"/>
                <w:szCs w:val="20"/>
              </w:rPr>
              <w:t>Asian financial institutions</w:t>
            </w:r>
          </w:p>
        </w:tc>
        <w:tc>
          <w:tcPr>
            <w:tcW w:w="0" w:type="auto"/>
            <w:gridSpan w:val="2"/>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20"/>
                <w:szCs w:val="20"/>
              </w:rPr>
              <w:t>30</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167 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r>
      <w:tr w:rsidR="00000000">
        <w:trPr>
          <w:divId w:val="739057729"/>
        </w:trPr>
        <w:tc>
          <w:tcPr>
            <w:tcW w:w="0" w:type="auto"/>
            <w:gridSpan w:val="3"/>
            <w:tcMar>
              <w:top w:w="30" w:type="dxa"/>
              <w:left w:w="20" w:type="dxa"/>
              <w:bottom w:w="30" w:type="dxa"/>
              <w:right w:w="20" w:type="dxa"/>
            </w:tcMar>
            <w:vAlign w:val="bottom"/>
            <w:hideMark/>
          </w:tcPr>
          <w:p w:rsidR="00000000" w:rsidRDefault="001F1FC8">
            <w:pPr>
              <w:divId w:val="878586437"/>
              <w:rPr>
                <w:rFonts w:eastAsia="Times New Roman"/>
              </w:rPr>
            </w:pPr>
            <w:r>
              <w:rPr>
                <w:rFonts w:ascii="Arial" w:eastAsia="Times New Roman" w:hAnsi="Arial" w:cs="Arial"/>
                <w:color w:val="000000"/>
                <w:sz w:val="20"/>
                <w:szCs w:val="20"/>
              </w:rPr>
              <w:t>Othe</w:t>
            </w:r>
            <w:r>
              <w:rPr>
                <w:rFonts w:ascii="Arial" w:eastAsia="Times New Roman" w:hAnsi="Arial" w:cs="Arial"/>
                <w:color w:val="000000"/>
                <w:sz w:val="20"/>
                <w:szCs w:val="20"/>
              </w:rPr>
              <w:t>r</w:t>
            </w:r>
            <w:r>
              <w:rPr>
                <w:rFonts w:ascii="Arial" w:eastAsia="Times New Roman" w:hAnsi="Arial" w:cs="Arial"/>
                <w:color w:val="000000"/>
                <w:sz w:val="10"/>
                <w:szCs w:val="10"/>
              </w:rPr>
              <w:t>1</w:t>
            </w:r>
          </w:p>
        </w:tc>
        <w:tc>
          <w:tcPr>
            <w:tcW w:w="0" w:type="auto"/>
            <w:gridSpan w:val="2"/>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20"/>
                <w:szCs w:val="20"/>
              </w:rPr>
              <w:t>122</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97 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r>
      <w:tr w:rsidR="00000000">
        <w:trPr>
          <w:divId w:val="739057729"/>
        </w:trPr>
        <w:tc>
          <w:tcPr>
            <w:tcW w:w="0" w:type="auto"/>
            <w:gridSpan w:val="3"/>
            <w:tcBorders>
              <w:top w:val="single" w:sz="4" w:space="0" w:color="000000"/>
              <w:bottom w:val="single" w:sz="8" w:space="0" w:color="000000"/>
            </w:tcBorders>
            <w:tcMar>
              <w:top w:w="30" w:type="dxa"/>
              <w:left w:w="20" w:type="dxa"/>
              <w:bottom w:w="30" w:type="dxa"/>
              <w:right w:w="20" w:type="dxa"/>
            </w:tcMar>
            <w:hideMark/>
          </w:tcPr>
          <w:p w:rsidR="00000000" w:rsidRDefault="001F1FC8">
            <w:pPr>
              <w:rPr>
                <w:rFonts w:eastAsia="Times New Roman"/>
              </w:rPr>
            </w:pPr>
            <w:r>
              <w:rPr>
                <w:rFonts w:ascii="Arial" w:eastAsia="Times New Roman" w:hAnsi="Arial" w:cs="Arial"/>
                <w:color w:val="000000"/>
                <w:sz w:val="2"/>
                <w:szCs w:val="2"/>
              </w:rPr>
              <w:t> </w:t>
            </w:r>
          </w:p>
        </w:tc>
        <w:tc>
          <w:tcPr>
            <w:tcW w:w="0" w:type="auto"/>
            <w:gridSpan w:val="2"/>
            <w:tcBorders>
              <w:top w:val="single" w:sz="4" w:space="0" w:color="000000"/>
              <w:bottom w:val="single" w:sz="8" w:space="0" w:color="000000"/>
            </w:tcBorders>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20"/>
                <w:szCs w:val="20"/>
              </w:rPr>
              <w:t>887</w:t>
            </w:r>
            <w:r>
              <w:rPr>
                <w:rFonts w:ascii="Arial" w:eastAsia="Times New Roman" w:hAnsi="Arial" w:cs="Arial"/>
                <w:color w:val="000000"/>
                <w:sz w:val="20"/>
                <w:szCs w:val="20"/>
              </w:rPr>
              <w:t> </w:t>
            </w:r>
          </w:p>
        </w:tc>
        <w:tc>
          <w:tcPr>
            <w:tcW w:w="0" w:type="auto"/>
            <w:tcBorders>
              <w:top w:val="single" w:sz="4" w:space="0" w:color="000000"/>
              <w:bottom w:val="single" w:sz="8" w:space="0" w:color="000000"/>
            </w:tcBorders>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Borders>
              <w:top w:val="single" w:sz="4" w:space="0" w:color="000000"/>
              <w:bottom w:val="single" w:sz="8" w:space="0" w:color="000000"/>
            </w:tcBorders>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872 </w:t>
            </w:r>
          </w:p>
        </w:tc>
        <w:tc>
          <w:tcPr>
            <w:tcW w:w="0" w:type="auto"/>
            <w:tcBorders>
              <w:top w:val="single" w:sz="4" w:space="0" w:color="000000"/>
              <w:bottom w:val="single" w:sz="8" w:space="0" w:color="000000"/>
            </w:tcBorders>
            <w:tcMar>
              <w:top w:w="30" w:type="dxa"/>
              <w:left w:w="0" w:type="dxa"/>
              <w:bottom w:w="30" w:type="dxa"/>
              <w:right w:w="20" w:type="dxa"/>
            </w:tcMar>
            <w:vAlign w:val="bottom"/>
            <w:hideMark/>
          </w:tcPr>
          <w:p w:rsidR="00000000" w:rsidRDefault="001F1FC8">
            <w:pPr>
              <w:jc w:val="right"/>
              <w:rPr>
                <w:rFonts w:eastAsia="Times New Roman"/>
              </w:rPr>
            </w:pPr>
          </w:p>
        </w:tc>
      </w:tr>
    </w:tbl>
    <w:p w:rsidR="00000000" w:rsidRDefault="001F1FC8">
      <w:pPr>
        <w:ind w:hanging="180"/>
        <w:divId w:val="1588730600"/>
        <w:rPr>
          <w:rFonts w:eastAsia="Times New Roman"/>
        </w:rPr>
      </w:pPr>
      <w:r>
        <w:rPr>
          <w:rFonts w:ascii="Arial" w:eastAsia="Times New Roman" w:hAnsi="Arial" w:cs="Arial"/>
          <w:i/>
          <w:iCs/>
          <w:color w:val="000000"/>
          <w:sz w:val="16"/>
          <w:szCs w:val="16"/>
        </w:rPr>
        <w:t>1</w:t>
      </w:r>
      <w:r>
        <w:rPr>
          <w:rFonts w:ascii="Arial" w:eastAsia="Times New Roman" w:hAnsi="Arial" w:cs="Arial"/>
          <w:i/>
          <w:iCs/>
          <w:color w:val="000000"/>
          <w:sz w:val="16"/>
          <w:szCs w:val="16"/>
        </w:rPr>
        <w:t>Other is comprised of commodity clearing house and physical natural gas and crude oil counterparties.</w:t>
      </w:r>
    </w:p>
    <w:p w:rsidR="00000000" w:rsidRDefault="001F1FC8">
      <w:pPr>
        <w:jc w:val="both"/>
        <w:rPr>
          <w:rFonts w:eastAsia="Times New Roman"/>
        </w:rPr>
      </w:pPr>
      <w:r>
        <w:rPr>
          <w:rFonts w:ascii="Arial" w:eastAsia="Times New Roman" w:hAnsi="Arial" w:cs="Arial"/>
          <w:color w:val="000000"/>
          <w:sz w:val="20"/>
          <w:szCs w:val="20"/>
        </w:rPr>
        <w:t> </w:t>
      </w:r>
    </w:p>
    <w:p w:rsidR="00000000" w:rsidRDefault="001F1FC8">
      <w:pPr>
        <w:divId w:val="1442653147"/>
        <w:rPr>
          <w:rFonts w:eastAsia="Times New Roman"/>
        </w:rPr>
      </w:pPr>
      <w:r>
        <w:rPr>
          <w:rFonts w:ascii="Arial" w:eastAsia="Times New Roman" w:hAnsi="Arial" w:cs="Arial"/>
          <w:color w:val="000000"/>
          <w:sz w:val="20"/>
          <w:szCs w:val="20"/>
        </w:rPr>
        <w:t xml:space="preserve">As at December 31, 2021, we provided letters of credit totaling nil in lieu of providing cash collateral to our counterparties pursuant to the terms of </w:t>
      </w:r>
      <w:r>
        <w:rPr>
          <w:rFonts w:ascii="Arial" w:eastAsia="Times New Roman" w:hAnsi="Arial" w:cs="Arial"/>
          <w:color w:val="000000"/>
          <w:sz w:val="20"/>
          <w:szCs w:val="20"/>
        </w:rPr>
        <w:t>the relevant International Swaps and Derivatives Association agreements. We held no cash collateral on derivative asset exposures as at December 31, 2021 and December 31, 2020.</w:t>
      </w:r>
    </w:p>
    <w:p w:rsidR="00000000" w:rsidRDefault="001F1FC8">
      <w:pPr>
        <w:divId w:val="157769386"/>
        <w:rPr>
          <w:rFonts w:eastAsia="Times New Roman"/>
        </w:rPr>
      </w:pPr>
      <w:r>
        <w:rPr>
          <w:rFonts w:ascii="Arial" w:eastAsia="Times New Roman" w:hAnsi="Arial" w:cs="Arial"/>
          <w:color w:val="000000"/>
          <w:sz w:val="20"/>
          <w:szCs w:val="20"/>
        </w:rPr>
        <w:t> </w:t>
      </w:r>
    </w:p>
    <w:p w:rsidR="00000000" w:rsidRDefault="001F1FC8">
      <w:pPr>
        <w:divId w:val="1151867570"/>
        <w:rPr>
          <w:rFonts w:eastAsia="Times New Roman"/>
        </w:rPr>
      </w:pPr>
      <w:r>
        <w:rPr>
          <w:rFonts w:ascii="Arial" w:eastAsia="Times New Roman" w:hAnsi="Arial" w:cs="Arial"/>
          <w:color w:val="000000"/>
          <w:sz w:val="20"/>
          <w:szCs w:val="20"/>
        </w:rPr>
        <w:t>Gross derivative balances have been presented without the effects of collater</w:t>
      </w:r>
      <w:r>
        <w:rPr>
          <w:rFonts w:ascii="Arial" w:eastAsia="Times New Roman" w:hAnsi="Arial" w:cs="Arial"/>
          <w:color w:val="000000"/>
          <w:sz w:val="20"/>
          <w:szCs w:val="20"/>
        </w:rPr>
        <w:t>al posted. Derivative assets are adjusted for non-performance risk of our counterparties using their credit default swap spread rates, and are reflected at fair value. For derivative liabilities, our non-performance risk is considered in the valuation.</w:t>
      </w:r>
    </w:p>
    <w:p w:rsidR="00000000" w:rsidRDefault="001F1FC8">
      <w:pPr>
        <w:divId w:val="566958445"/>
        <w:rPr>
          <w:rFonts w:eastAsia="Times New Roman"/>
        </w:rPr>
      </w:pPr>
      <w:r>
        <w:rPr>
          <w:rFonts w:ascii="Arial" w:eastAsia="Times New Roman" w:hAnsi="Arial" w:cs="Arial"/>
          <w:color w:val="000000"/>
          <w:sz w:val="20"/>
          <w:szCs w:val="20"/>
        </w:rPr>
        <w:t> </w:t>
      </w:r>
    </w:p>
    <w:p w:rsidR="00000000" w:rsidRDefault="001F1FC8">
      <w:pPr>
        <w:divId w:val="2087800160"/>
        <w:rPr>
          <w:rFonts w:eastAsia="Times New Roman"/>
        </w:rPr>
      </w:pPr>
      <w:r>
        <w:rPr>
          <w:rFonts w:ascii="Arial" w:eastAsia="Times New Roman" w:hAnsi="Arial" w:cs="Arial"/>
          <w:color w:val="000000"/>
          <w:sz w:val="20"/>
          <w:szCs w:val="20"/>
        </w:rPr>
        <w:t>C</w:t>
      </w:r>
      <w:r>
        <w:rPr>
          <w:rFonts w:ascii="Arial" w:eastAsia="Times New Roman" w:hAnsi="Arial" w:cs="Arial"/>
          <w:color w:val="000000"/>
          <w:sz w:val="20"/>
          <w:szCs w:val="20"/>
        </w:rPr>
        <w:t>redit risk also arises from trade and other long-term receivables, and is mitigated through credit exposure limits and contractual requirements, assessment of credit ratings and netting arrangements. Within Enbridge Gas, credit risk is mitigated by the uti</w:t>
      </w:r>
      <w:r>
        <w:rPr>
          <w:rFonts w:ascii="Arial" w:eastAsia="Times New Roman" w:hAnsi="Arial" w:cs="Arial"/>
          <w:color w:val="000000"/>
          <w:sz w:val="20"/>
          <w:szCs w:val="20"/>
        </w:rPr>
        <w:t>lities' large and diversified customer base and the ability to recover an estimate for doubtful accounts through the ratemaking process. We actively monitor the financial strength of large industrial customers and, in select cases, have obtained additional</w:t>
      </w:r>
      <w:r>
        <w:rPr>
          <w:rFonts w:ascii="Arial" w:eastAsia="Times New Roman" w:hAnsi="Arial" w:cs="Arial"/>
          <w:color w:val="000000"/>
          <w:sz w:val="20"/>
          <w:szCs w:val="20"/>
        </w:rPr>
        <w:t xml:space="preserve"> security to minimize the risk of default on receivables. Generally, we classify and provide for receivables older than 30 days as past due. The maximum exposure to credit risk related to non-derivative financial assets is their carrying value.</w:t>
      </w:r>
    </w:p>
    <w:p w:rsidR="00000000" w:rsidRDefault="001F1FC8">
      <w:pPr>
        <w:divId w:val="2105879358"/>
        <w:rPr>
          <w:rFonts w:eastAsia="Times New Roman"/>
        </w:rPr>
      </w:pPr>
      <w:r>
        <w:rPr>
          <w:rFonts w:ascii="Arial" w:eastAsia="Times New Roman" w:hAnsi="Arial" w:cs="Arial"/>
          <w:color w:val="000000"/>
          <w:sz w:val="20"/>
          <w:szCs w:val="20"/>
        </w:rPr>
        <w:t> </w:t>
      </w:r>
    </w:p>
    <w:p w:rsidR="00000000" w:rsidRDefault="001F1FC8">
      <w:pPr>
        <w:divId w:val="124348099"/>
        <w:rPr>
          <w:rFonts w:eastAsia="Times New Roman"/>
        </w:rPr>
      </w:pPr>
      <w:r>
        <w:rPr>
          <w:rFonts w:ascii="Arial" w:eastAsia="Times New Roman" w:hAnsi="Arial" w:cs="Arial"/>
          <w:b/>
          <w:bCs/>
          <w:color w:val="000000"/>
          <w:sz w:val="20"/>
          <w:szCs w:val="20"/>
        </w:rPr>
        <w:t>FAIR VALU</w:t>
      </w:r>
      <w:r>
        <w:rPr>
          <w:rFonts w:ascii="Arial" w:eastAsia="Times New Roman" w:hAnsi="Arial" w:cs="Arial"/>
          <w:b/>
          <w:bCs/>
          <w:color w:val="000000"/>
          <w:sz w:val="20"/>
          <w:szCs w:val="20"/>
        </w:rPr>
        <w:t>E MEASUREMENTS</w:t>
      </w:r>
    </w:p>
    <w:p w:rsidR="00000000" w:rsidRDefault="001F1FC8">
      <w:pPr>
        <w:divId w:val="1857764417"/>
        <w:rPr>
          <w:rFonts w:eastAsia="Times New Roman"/>
        </w:rPr>
      </w:pPr>
      <w:r>
        <w:rPr>
          <w:rFonts w:ascii="Arial" w:eastAsia="Times New Roman" w:hAnsi="Arial" w:cs="Arial"/>
          <w:color w:val="000000"/>
          <w:sz w:val="20"/>
          <w:szCs w:val="20"/>
        </w:rPr>
        <w:t>Our financial assets and liabilities measured at fair value on a recurring basis include derivative instruments. We also disclose the fair value of other financial instruments not measured at fair value. The fair value of financial instrumen</w:t>
      </w:r>
      <w:r>
        <w:rPr>
          <w:rFonts w:ascii="Arial" w:eastAsia="Times New Roman" w:hAnsi="Arial" w:cs="Arial"/>
          <w:color w:val="000000"/>
          <w:sz w:val="20"/>
          <w:szCs w:val="20"/>
        </w:rPr>
        <w:t>ts reflects our best estimates of market value based on generally accepted valuation techniques or models and is supported by observable market prices and rates. When such values are not available, we use discounted cash flow analysis from applicable yield</w:t>
      </w:r>
      <w:r>
        <w:rPr>
          <w:rFonts w:ascii="Arial" w:eastAsia="Times New Roman" w:hAnsi="Arial" w:cs="Arial"/>
          <w:color w:val="000000"/>
          <w:sz w:val="20"/>
          <w:szCs w:val="20"/>
        </w:rPr>
        <w:t xml:space="preserve"> curves based on observable market inputs to estimate fair value.</w:t>
      </w:r>
    </w:p>
    <w:p w:rsidR="00000000" w:rsidRDefault="001F1FC8">
      <w:pPr>
        <w:divId w:val="833567677"/>
        <w:rPr>
          <w:rFonts w:eastAsia="Times New Roman"/>
        </w:rPr>
      </w:pPr>
      <w:r>
        <w:rPr>
          <w:rFonts w:ascii="Arial" w:eastAsia="Times New Roman" w:hAnsi="Arial" w:cs="Arial"/>
          <w:color w:val="000000"/>
          <w:sz w:val="20"/>
          <w:szCs w:val="20"/>
        </w:rPr>
        <w:t> </w:t>
      </w:r>
    </w:p>
    <w:p w:rsidR="00000000" w:rsidRDefault="001F1FC8">
      <w:pPr>
        <w:divId w:val="1681273266"/>
        <w:rPr>
          <w:rFonts w:eastAsia="Times New Roman"/>
        </w:rPr>
      </w:pPr>
      <w:r>
        <w:rPr>
          <w:rFonts w:ascii="Arial" w:eastAsia="Times New Roman" w:hAnsi="Arial" w:cs="Arial"/>
          <w:b/>
          <w:bCs/>
          <w:color w:val="000000"/>
          <w:sz w:val="20"/>
          <w:szCs w:val="20"/>
        </w:rPr>
        <w:t>FAIR VALUE OF FINANCIAL INSTRUMENTS</w:t>
      </w:r>
    </w:p>
    <w:p w:rsidR="00000000" w:rsidRDefault="001F1FC8">
      <w:pPr>
        <w:divId w:val="357853803"/>
        <w:rPr>
          <w:rFonts w:eastAsia="Times New Roman"/>
        </w:rPr>
      </w:pPr>
      <w:r>
        <w:rPr>
          <w:rFonts w:ascii="Arial" w:eastAsia="Times New Roman" w:hAnsi="Arial" w:cs="Arial"/>
          <w:color w:val="000000"/>
          <w:sz w:val="20"/>
          <w:szCs w:val="20"/>
        </w:rPr>
        <w:t>We categorize our derivative instruments measured at fair value into one of three different levels depending on the observability of the inputs employed in the measurement.</w:t>
      </w:r>
    </w:p>
    <w:p w:rsidR="00000000" w:rsidRDefault="001F1FC8">
      <w:pPr>
        <w:divId w:val="995575633"/>
        <w:rPr>
          <w:rFonts w:eastAsia="Times New Roman"/>
        </w:rPr>
      </w:pPr>
      <w:r>
        <w:rPr>
          <w:rFonts w:ascii="Arial" w:eastAsia="Times New Roman" w:hAnsi="Arial" w:cs="Arial"/>
          <w:color w:val="000000"/>
          <w:sz w:val="20"/>
          <w:szCs w:val="20"/>
        </w:rPr>
        <w:t> </w:t>
      </w:r>
    </w:p>
    <w:p w:rsidR="00000000" w:rsidRDefault="001F1FC8">
      <w:pPr>
        <w:divId w:val="420419024"/>
        <w:rPr>
          <w:rFonts w:eastAsia="Times New Roman"/>
        </w:rPr>
      </w:pPr>
      <w:r>
        <w:rPr>
          <w:rFonts w:ascii="Arial" w:eastAsia="Times New Roman" w:hAnsi="Arial" w:cs="Arial"/>
          <w:b/>
          <w:bCs/>
          <w:color w:val="000000"/>
          <w:sz w:val="20"/>
          <w:szCs w:val="20"/>
        </w:rPr>
        <w:t>Level 1</w:t>
      </w:r>
    </w:p>
    <w:p w:rsidR="00000000" w:rsidRDefault="001F1FC8">
      <w:pPr>
        <w:divId w:val="1348215641"/>
        <w:rPr>
          <w:rFonts w:eastAsia="Times New Roman"/>
        </w:rPr>
      </w:pPr>
      <w:r>
        <w:rPr>
          <w:rFonts w:ascii="Arial" w:eastAsia="Times New Roman" w:hAnsi="Arial" w:cs="Arial"/>
          <w:color w:val="000000"/>
          <w:sz w:val="20"/>
          <w:szCs w:val="20"/>
        </w:rPr>
        <w:t>Level 1 includes derivatives measured at fair value based on unadjusted q</w:t>
      </w:r>
      <w:r>
        <w:rPr>
          <w:rFonts w:ascii="Arial" w:eastAsia="Times New Roman" w:hAnsi="Arial" w:cs="Arial"/>
          <w:color w:val="000000"/>
          <w:sz w:val="20"/>
          <w:szCs w:val="20"/>
        </w:rPr>
        <w:t>uoted prices for identical assets and liabilities in active markets that are accessible at the measurement date. An active market for a derivative is considered to be a market where transactions occur with sufficient frequency and volume to provide pricing</w:t>
      </w:r>
      <w:r>
        <w:rPr>
          <w:rFonts w:ascii="Arial" w:eastAsia="Times New Roman" w:hAnsi="Arial" w:cs="Arial"/>
          <w:color w:val="000000"/>
          <w:sz w:val="20"/>
          <w:szCs w:val="20"/>
        </w:rPr>
        <w:t xml:space="preserve"> information on an ongoing basis. Our Level 1 instruments consist primarily of exchange traded derivatives used to mitigate the risk of crude oil price fluctuations.</w:t>
      </w:r>
    </w:p>
    <w:p w:rsidR="00000000" w:rsidRDefault="001F1FC8">
      <w:pPr>
        <w:divId w:val="422721264"/>
        <w:rPr>
          <w:rFonts w:eastAsia="Times New Roman"/>
        </w:rPr>
      </w:pPr>
      <w:r>
        <w:rPr>
          <w:rFonts w:ascii="Arial" w:eastAsia="Times New Roman" w:hAnsi="Arial" w:cs="Arial"/>
          <w:color w:val="000000"/>
          <w:sz w:val="20"/>
          <w:szCs w:val="20"/>
        </w:rPr>
        <w:t> </w:t>
      </w:r>
    </w:p>
    <w:p w:rsidR="00000000" w:rsidRDefault="001F1FC8">
      <w:pPr>
        <w:jc w:val="center"/>
        <w:divId w:val="738602580"/>
        <w:rPr>
          <w:rFonts w:eastAsia="Times New Roman"/>
        </w:rPr>
      </w:pPr>
      <w:r>
        <w:rPr>
          <w:rFonts w:ascii="Arial" w:eastAsia="Times New Roman" w:hAnsi="Arial" w:cs="Arial"/>
          <w:color w:val="000000"/>
          <w:sz w:val="20"/>
          <w:szCs w:val="20"/>
        </w:rPr>
        <w:t>156</w:t>
      </w:r>
    </w:p>
    <w:p w:rsidR="00000000" w:rsidRDefault="001F1FC8">
      <w:pPr>
        <w:rPr>
          <w:rFonts w:eastAsia="Times New Roman"/>
        </w:rPr>
      </w:pPr>
      <w:r>
        <w:rPr>
          <w:rFonts w:eastAsia="Times New Roman"/>
        </w:rPr>
        <w:pict>
          <v:rect id="_x0000_i1186" style="width:0;height:1.5pt" o:hralign="center" o:hrstd="t" o:hr="t" fillcolor="#a0a0a0" stroked="f"/>
        </w:pict>
      </w:r>
    </w:p>
    <w:p w:rsidR="00000000" w:rsidRDefault="001F1FC8">
      <w:pPr>
        <w:jc w:val="center"/>
        <w:divId w:val="2054302396"/>
        <w:rPr>
          <w:rFonts w:eastAsia="Times New Roman"/>
        </w:rPr>
      </w:pPr>
    </w:p>
    <w:p w:rsidR="00000000" w:rsidRDefault="001F1FC8">
      <w:pPr>
        <w:divId w:val="1936280527"/>
        <w:rPr>
          <w:rFonts w:eastAsia="Times New Roman"/>
        </w:rPr>
      </w:pPr>
      <w:r>
        <w:rPr>
          <w:rFonts w:ascii="Arial" w:eastAsia="Times New Roman" w:hAnsi="Arial" w:cs="Arial"/>
          <w:b/>
          <w:bCs/>
          <w:color w:val="000000"/>
          <w:sz w:val="20"/>
          <w:szCs w:val="20"/>
        </w:rPr>
        <w:t>Level 2</w:t>
      </w:r>
    </w:p>
    <w:p w:rsidR="00000000" w:rsidRDefault="001F1FC8">
      <w:pPr>
        <w:divId w:val="1437364585"/>
        <w:rPr>
          <w:rFonts w:eastAsia="Times New Roman"/>
        </w:rPr>
      </w:pPr>
      <w:r>
        <w:rPr>
          <w:rFonts w:ascii="Arial" w:eastAsia="Times New Roman" w:hAnsi="Arial" w:cs="Arial"/>
          <w:color w:val="000000"/>
          <w:sz w:val="20"/>
          <w:szCs w:val="20"/>
        </w:rPr>
        <w:t>Level 2 includes derivative valuations</w:t>
      </w:r>
      <w:r>
        <w:rPr>
          <w:rFonts w:ascii="Arial" w:eastAsia="Times New Roman" w:hAnsi="Arial" w:cs="Arial"/>
          <w:color w:val="000000"/>
          <w:sz w:val="20"/>
          <w:szCs w:val="20"/>
        </w:rPr>
        <w:t xml:space="preserve"> determined using directly or indirectly observable inputs other than quoted prices included within Level 1. Derivatives in this category are valued using models or other industry standard valuation techniques derived from observable market data. Such valu</w:t>
      </w:r>
      <w:r>
        <w:rPr>
          <w:rFonts w:ascii="Arial" w:eastAsia="Times New Roman" w:hAnsi="Arial" w:cs="Arial"/>
          <w:color w:val="000000"/>
          <w:sz w:val="20"/>
          <w:szCs w:val="20"/>
        </w:rPr>
        <w:t>ation techniques include inputs such as quoted forward prices, time value, volatility factors and broker quotes that can be observed or corroborated in the market for the entire duration of the derivative. Derivatives valued using Level 2 inputs include no</w:t>
      </w:r>
      <w:r>
        <w:rPr>
          <w:rFonts w:ascii="Arial" w:eastAsia="Times New Roman" w:hAnsi="Arial" w:cs="Arial"/>
          <w:color w:val="000000"/>
          <w:sz w:val="20"/>
          <w:szCs w:val="20"/>
        </w:rPr>
        <w:t>n-exchange traded derivatives such as over-the-counter foreign exchange forward and cross currency swap contracts, interest rate swaps, physical forward commodity contracts, as well as commodity swaps for which observable inputs can be obtained.</w:t>
      </w:r>
    </w:p>
    <w:p w:rsidR="00000000" w:rsidRDefault="001F1FC8">
      <w:pPr>
        <w:divId w:val="1773863232"/>
        <w:rPr>
          <w:rFonts w:eastAsia="Times New Roman"/>
        </w:rPr>
      </w:pPr>
    </w:p>
    <w:p w:rsidR="00000000" w:rsidRDefault="001F1FC8">
      <w:pPr>
        <w:divId w:val="2057507707"/>
        <w:rPr>
          <w:rFonts w:eastAsia="Times New Roman"/>
        </w:rPr>
      </w:pPr>
      <w:r>
        <w:rPr>
          <w:rFonts w:ascii="Arial" w:eastAsia="Times New Roman" w:hAnsi="Arial" w:cs="Arial"/>
          <w:color w:val="000000"/>
          <w:sz w:val="20"/>
          <w:szCs w:val="20"/>
        </w:rPr>
        <w:t xml:space="preserve">We have </w:t>
      </w:r>
      <w:r>
        <w:rPr>
          <w:rFonts w:ascii="Arial" w:eastAsia="Times New Roman" w:hAnsi="Arial" w:cs="Arial"/>
          <w:color w:val="000000"/>
          <w:sz w:val="20"/>
          <w:szCs w:val="20"/>
        </w:rPr>
        <w:t>also categorized the fair value of our held to maturity preferred share investment and long-term debt as Level 2. The fair value of our held to maturity preferred share investment is primarily based on the yield of certain Government of Canada bonds. The f</w:t>
      </w:r>
      <w:r>
        <w:rPr>
          <w:rFonts w:ascii="Arial" w:eastAsia="Times New Roman" w:hAnsi="Arial" w:cs="Arial"/>
          <w:color w:val="000000"/>
          <w:sz w:val="20"/>
          <w:szCs w:val="20"/>
        </w:rPr>
        <w:t>air value of our long-term debt is based on quoted market prices for instruments of similar yield, credit risk and tenor.</w:t>
      </w:r>
    </w:p>
    <w:p w:rsidR="00000000" w:rsidRDefault="001F1FC8">
      <w:pPr>
        <w:divId w:val="1845589465"/>
        <w:rPr>
          <w:rFonts w:eastAsia="Times New Roman"/>
        </w:rPr>
      </w:pPr>
      <w:r>
        <w:rPr>
          <w:rFonts w:ascii="Arial" w:eastAsia="Times New Roman" w:hAnsi="Arial" w:cs="Arial"/>
          <w:color w:val="000000"/>
          <w:sz w:val="20"/>
          <w:szCs w:val="20"/>
        </w:rPr>
        <w:t> </w:t>
      </w:r>
    </w:p>
    <w:p w:rsidR="00000000" w:rsidRDefault="001F1FC8">
      <w:pPr>
        <w:divId w:val="567569141"/>
        <w:rPr>
          <w:rFonts w:eastAsia="Times New Roman"/>
        </w:rPr>
      </w:pPr>
      <w:r>
        <w:rPr>
          <w:rFonts w:ascii="Arial" w:eastAsia="Times New Roman" w:hAnsi="Arial" w:cs="Arial"/>
          <w:b/>
          <w:bCs/>
          <w:color w:val="000000"/>
          <w:sz w:val="20"/>
          <w:szCs w:val="20"/>
        </w:rPr>
        <w:t>Level 3</w:t>
      </w:r>
    </w:p>
    <w:p w:rsidR="00000000" w:rsidRDefault="001F1FC8">
      <w:pPr>
        <w:divId w:val="1923221809"/>
        <w:rPr>
          <w:rFonts w:eastAsia="Times New Roman"/>
        </w:rPr>
      </w:pPr>
      <w:r>
        <w:rPr>
          <w:rFonts w:ascii="Arial" w:eastAsia="Times New Roman" w:hAnsi="Arial" w:cs="Arial"/>
          <w:color w:val="000000"/>
          <w:sz w:val="20"/>
          <w:szCs w:val="20"/>
        </w:rPr>
        <w:t>Level 3 includes derivative valuations based on inputs which are less observable, unavailable or where the observable data d</w:t>
      </w:r>
      <w:r>
        <w:rPr>
          <w:rFonts w:ascii="Arial" w:eastAsia="Times New Roman" w:hAnsi="Arial" w:cs="Arial"/>
          <w:color w:val="000000"/>
          <w:sz w:val="20"/>
          <w:szCs w:val="20"/>
        </w:rPr>
        <w:t xml:space="preserve">oes not support a significant portion of the derivatives’ fair value. Generally, Level 3 derivatives are longer dated transactions, occur in less active markets, occur at locations where pricing information is not available or have no binding broker quote </w:t>
      </w:r>
      <w:r>
        <w:rPr>
          <w:rFonts w:ascii="Arial" w:eastAsia="Times New Roman" w:hAnsi="Arial" w:cs="Arial"/>
          <w:color w:val="000000"/>
          <w:sz w:val="20"/>
          <w:szCs w:val="20"/>
        </w:rPr>
        <w:t xml:space="preserve">to support Level 2 classification. We have developed methodologies, benchmarked against industry standards, to determine fair value for these derivatives based on extrapolation of observable future prices and rates. Derivatives valued using Level 3 inputs </w:t>
      </w:r>
      <w:r>
        <w:rPr>
          <w:rFonts w:ascii="Arial" w:eastAsia="Times New Roman" w:hAnsi="Arial" w:cs="Arial"/>
          <w:color w:val="000000"/>
          <w:sz w:val="20"/>
          <w:szCs w:val="20"/>
        </w:rPr>
        <w:t xml:space="preserve">primarily include long-dated derivative power contracts and NGL and natural gas contracts, basis swaps, commodity swaps, power and energy swaps, as well as physical forward commodity contracts. We do not have any other financial instruments categorized in </w:t>
      </w:r>
      <w:r>
        <w:rPr>
          <w:rFonts w:ascii="Arial" w:eastAsia="Times New Roman" w:hAnsi="Arial" w:cs="Arial"/>
          <w:color w:val="000000"/>
          <w:sz w:val="20"/>
          <w:szCs w:val="20"/>
        </w:rPr>
        <w:t>Level 3.</w:t>
      </w:r>
    </w:p>
    <w:p w:rsidR="00000000" w:rsidRDefault="001F1FC8">
      <w:pPr>
        <w:divId w:val="544290203"/>
        <w:rPr>
          <w:rFonts w:eastAsia="Times New Roman"/>
        </w:rPr>
      </w:pPr>
    </w:p>
    <w:p w:rsidR="00000000" w:rsidRDefault="001F1FC8">
      <w:pPr>
        <w:divId w:val="365637566"/>
        <w:rPr>
          <w:rFonts w:eastAsia="Times New Roman"/>
        </w:rPr>
      </w:pPr>
      <w:r>
        <w:rPr>
          <w:rFonts w:ascii="Arial" w:eastAsia="Times New Roman" w:hAnsi="Arial" w:cs="Arial"/>
          <w:color w:val="000000"/>
          <w:sz w:val="20"/>
          <w:szCs w:val="20"/>
        </w:rPr>
        <w:t>We use the most observable inputs available to estimate the fair value of our derivatives. When possible, we estimate the fair value of our derivatives based on quoted market prices. If quoted market prices are not available, we use estimates from third pa</w:t>
      </w:r>
      <w:r>
        <w:rPr>
          <w:rFonts w:ascii="Arial" w:eastAsia="Times New Roman" w:hAnsi="Arial" w:cs="Arial"/>
          <w:color w:val="000000"/>
          <w:sz w:val="20"/>
          <w:szCs w:val="20"/>
        </w:rPr>
        <w:t>rty brokers. For non-exchange traded derivatives classified in Levels 2 and 3, we use standard valuation techniques to calculate the estimated fair value. These methods include discounted cash flows for forwards and swaps and Black-Scholes-Merton pricing m</w:t>
      </w:r>
      <w:r>
        <w:rPr>
          <w:rFonts w:ascii="Arial" w:eastAsia="Times New Roman" w:hAnsi="Arial" w:cs="Arial"/>
          <w:color w:val="000000"/>
          <w:sz w:val="20"/>
          <w:szCs w:val="20"/>
        </w:rPr>
        <w:t>odels for options. Depending on the type of derivative and nature of the underlying risk, we use observable market prices (interest, foreign exchange, commodity and share price) and volatility as primary inputs to these valuation techniques. Finally, we co</w:t>
      </w:r>
      <w:r>
        <w:rPr>
          <w:rFonts w:ascii="Arial" w:eastAsia="Times New Roman" w:hAnsi="Arial" w:cs="Arial"/>
          <w:color w:val="000000"/>
          <w:sz w:val="20"/>
          <w:szCs w:val="20"/>
        </w:rPr>
        <w:t>nsider our own credit default swap spread as well as the credit default swap spreads associated with our counterparties in our estimation of fair value.</w:t>
      </w:r>
    </w:p>
    <w:p w:rsidR="00000000" w:rsidRDefault="001F1FC8">
      <w:pPr>
        <w:divId w:val="832334059"/>
        <w:rPr>
          <w:rFonts w:eastAsia="Times New Roman"/>
        </w:rPr>
      </w:pPr>
    </w:p>
    <w:p w:rsidR="00000000" w:rsidRDefault="001F1FC8">
      <w:pPr>
        <w:jc w:val="center"/>
        <w:divId w:val="864754471"/>
        <w:rPr>
          <w:rFonts w:eastAsia="Times New Roman"/>
        </w:rPr>
      </w:pPr>
      <w:r>
        <w:rPr>
          <w:rFonts w:ascii="Arial" w:eastAsia="Times New Roman" w:hAnsi="Arial" w:cs="Arial"/>
          <w:color w:val="000000"/>
          <w:sz w:val="20"/>
          <w:szCs w:val="20"/>
        </w:rPr>
        <w:t>157</w:t>
      </w:r>
    </w:p>
    <w:p w:rsidR="00000000" w:rsidRDefault="001F1FC8">
      <w:pPr>
        <w:rPr>
          <w:rFonts w:eastAsia="Times New Roman"/>
        </w:rPr>
      </w:pPr>
      <w:r>
        <w:rPr>
          <w:rFonts w:eastAsia="Times New Roman"/>
        </w:rPr>
        <w:pict>
          <v:rect id="_x0000_i1187" style="width:0;height:1.5pt" o:hralign="center" o:hrstd="t" o:hr="t" fillcolor="#a0a0a0" stroked="f"/>
        </w:pict>
      </w:r>
    </w:p>
    <w:p w:rsidR="00000000" w:rsidRDefault="001F1FC8">
      <w:pPr>
        <w:jc w:val="center"/>
        <w:divId w:val="1845052109"/>
        <w:rPr>
          <w:rFonts w:eastAsia="Times New Roman"/>
        </w:rPr>
      </w:pPr>
    </w:p>
    <w:p w:rsidR="00000000" w:rsidRDefault="001F1FC8">
      <w:pPr>
        <w:divId w:val="1269435732"/>
        <w:rPr>
          <w:rFonts w:eastAsia="Times New Roman"/>
        </w:rPr>
      </w:pPr>
      <w:r>
        <w:rPr>
          <w:rFonts w:ascii="Arial" w:eastAsia="Times New Roman" w:hAnsi="Arial" w:cs="Arial"/>
          <w:color w:val="000000"/>
          <w:sz w:val="20"/>
          <w:szCs w:val="20"/>
        </w:rPr>
        <w:t xml:space="preserve">We have categorized our derivative assets and liabilities </w:t>
      </w:r>
      <w:r>
        <w:rPr>
          <w:rFonts w:ascii="Arial" w:eastAsia="Times New Roman" w:hAnsi="Arial" w:cs="Arial"/>
          <w:color w:val="000000"/>
          <w:sz w:val="20"/>
          <w:szCs w:val="20"/>
        </w:rPr>
        <w:t>measured at fair value as follows:</w:t>
      </w:r>
    </w:p>
    <w:tbl>
      <w:tblPr>
        <w:tblW w:w="5000" w:type="pct"/>
        <w:tblCellMar>
          <w:top w:w="15" w:type="dxa"/>
          <w:left w:w="15" w:type="dxa"/>
          <w:bottom w:w="15" w:type="dxa"/>
          <w:right w:w="15" w:type="dxa"/>
        </w:tblCellMar>
        <w:tblLook w:val="04A0" w:firstRow="1" w:lastRow="0" w:firstColumn="1" w:lastColumn="0" w:noHBand="0" w:noVBand="1"/>
      </w:tblPr>
      <w:tblGrid>
        <w:gridCol w:w="69"/>
        <w:gridCol w:w="4290"/>
        <w:gridCol w:w="38"/>
        <w:gridCol w:w="69"/>
        <w:gridCol w:w="865"/>
        <w:gridCol w:w="36"/>
        <w:gridCol w:w="69"/>
        <w:gridCol w:w="865"/>
        <w:gridCol w:w="36"/>
        <w:gridCol w:w="69"/>
        <w:gridCol w:w="865"/>
        <w:gridCol w:w="36"/>
        <w:gridCol w:w="73"/>
        <w:gridCol w:w="890"/>
        <w:gridCol w:w="36"/>
      </w:tblGrid>
      <w:tr w:rsidR="00000000">
        <w:trPr>
          <w:divId w:val="1420449477"/>
        </w:trPr>
        <w:tc>
          <w:tcPr>
            <w:tcW w:w="50" w:type="pct"/>
            <w:vAlign w:val="center"/>
            <w:hideMark/>
          </w:tcPr>
          <w:p w:rsidR="00000000" w:rsidRDefault="001F1FC8">
            <w:pPr>
              <w:rPr>
                <w:rFonts w:eastAsia="Times New Roman"/>
              </w:rPr>
            </w:pPr>
          </w:p>
        </w:tc>
        <w:tc>
          <w:tcPr>
            <w:tcW w:w="2589"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c>
          <w:tcPr>
            <w:tcW w:w="50" w:type="pct"/>
            <w:vAlign w:val="center"/>
            <w:hideMark/>
          </w:tcPr>
          <w:p w:rsidR="00000000" w:rsidRDefault="001F1FC8">
            <w:pPr>
              <w:rPr>
                <w:rFonts w:eastAsia="Times New Roman"/>
                <w:sz w:val="20"/>
                <w:szCs w:val="20"/>
              </w:rPr>
            </w:pPr>
          </w:p>
        </w:tc>
        <w:tc>
          <w:tcPr>
            <w:tcW w:w="529"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c>
          <w:tcPr>
            <w:tcW w:w="50" w:type="pct"/>
            <w:vAlign w:val="center"/>
            <w:hideMark/>
          </w:tcPr>
          <w:p w:rsidR="00000000" w:rsidRDefault="001F1FC8">
            <w:pPr>
              <w:rPr>
                <w:rFonts w:eastAsia="Times New Roman"/>
                <w:sz w:val="20"/>
                <w:szCs w:val="20"/>
              </w:rPr>
            </w:pPr>
          </w:p>
        </w:tc>
        <w:tc>
          <w:tcPr>
            <w:tcW w:w="529"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c>
          <w:tcPr>
            <w:tcW w:w="50" w:type="pct"/>
            <w:vAlign w:val="center"/>
            <w:hideMark/>
          </w:tcPr>
          <w:p w:rsidR="00000000" w:rsidRDefault="001F1FC8">
            <w:pPr>
              <w:rPr>
                <w:rFonts w:eastAsia="Times New Roman"/>
                <w:sz w:val="20"/>
                <w:szCs w:val="20"/>
              </w:rPr>
            </w:pPr>
          </w:p>
        </w:tc>
        <w:tc>
          <w:tcPr>
            <w:tcW w:w="529"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c>
          <w:tcPr>
            <w:tcW w:w="50" w:type="pct"/>
            <w:vAlign w:val="center"/>
            <w:hideMark/>
          </w:tcPr>
          <w:p w:rsidR="00000000" w:rsidRDefault="001F1FC8">
            <w:pPr>
              <w:rPr>
                <w:rFonts w:eastAsia="Times New Roman"/>
                <w:sz w:val="20"/>
                <w:szCs w:val="20"/>
              </w:rPr>
            </w:pPr>
          </w:p>
        </w:tc>
        <w:tc>
          <w:tcPr>
            <w:tcW w:w="546"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r>
      <w:tr w:rsidR="00000000">
        <w:trPr>
          <w:divId w:val="1420449477"/>
        </w:trPr>
        <w:tc>
          <w:tcPr>
            <w:tcW w:w="0" w:type="auto"/>
            <w:gridSpan w:val="3"/>
            <w:tcMar>
              <w:top w:w="30" w:type="dxa"/>
              <w:left w:w="20" w:type="dxa"/>
              <w:bottom w:w="30" w:type="dxa"/>
              <w:right w:w="20" w:type="dxa"/>
            </w:tcMar>
            <w:vAlign w:val="bottom"/>
            <w:hideMark/>
          </w:tcPr>
          <w:p w:rsidR="00000000" w:rsidRDefault="001F1FC8">
            <w:pPr>
              <w:rPr>
                <w:rFonts w:eastAsia="Times New Roman"/>
              </w:rPr>
            </w:pPr>
            <w:r>
              <w:rPr>
                <w:rFonts w:ascii="Arial" w:eastAsia="Times New Roman" w:hAnsi="Arial" w:cs="Arial"/>
                <w:b/>
                <w:bCs/>
                <w:color w:val="000000"/>
                <w:sz w:val="16"/>
                <w:szCs w:val="16"/>
              </w:rPr>
              <w:t>December 31, 2021</w:t>
            </w:r>
          </w:p>
        </w:tc>
        <w:tc>
          <w:tcPr>
            <w:tcW w:w="0" w:type="auto"/>
            <w:gridSpan w:val="3"/>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Level 1</w:t>
            </w:r>
          </w:p>
        </w:tc>
        <w:tc>
          <w:tcPr>
            <w:tcW w:w="0" w:type="auto"/>
            <w:gridSpan w:val="3"/>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Level 2</w:t>
            </w:r>
          </w:p>
        </w:tc>
        <w:tc>
          <w:tcPr>
            <w:tcW w:w="0" w:type="auto"/>
            <w:gridSpan w:val="3"/>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Level 3</w:t>
            </w:r>
          </w:p>
        </w:tc>
        <w:tc>
          <w:tcPr>
            <w:tcW w:w="0" w:type="auto"/>
            <w:gridSpan w:val="3"/>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Total Gross Derivative Instruments</w:t>
            </w:r>
          </w:p>
        </w:tc>
      </w:tr>
      <w:tr w:rsidR="00000000">
        <w:trPr>
          <w:divId w:val="1420449477"/>
        </w:trPr>
        <w:tc>
          <w:tcPr>
            <w:tcW w:w="0" w:type="auto"/>
            <w:gridSpan w:val="3"/>
            <w:tcBorders>
              <w:top w:val="single" w:sz="4" w:space="0" w:color="000000"/>
            </w:tcBorders>
            <w:tcMar>
              <w:top w:w="30" w:type="dxa"/>
              <w:left w:w="20" w:type="dxa"/>
              <w:bottom w:w="30" w:type="dxa"/>
              <w:right w:w="20" w:type="dxa"/>
            </w:tcMar>
            <w:hideMark/>
          </w:tcPr>
          <w:p w:rsidR="00000000" w:rsidRDefault="001F1FC8">
            <w:pPr>
              <w:jc w:val="both"/>
              <w:rPr>
                <w:rFonts w:eastAsia="Times New Roman"/>
              </w:rPr>
            </w:pPr>
            <w:r>
              <w:rPr>
                <w:rFonts w:ascii="Arial" w:eastAsia="Times New Roman" w:hAnsi="Arial" w:cs="Arial"/>
                <w:i/>
                <w:iCs/>
                <w:color w:val="000000"/>
                <w:sz w:val="14"/>
                <w:szCs w:val="14"/>
              </w:rPr>
              <w:t>(millions of Canadian dollars)</w:t>
            </w:r>
          </w:p>
        </w:tc>
        <w:tc>
          <w:tcPr>
            <w:tcW w:w="0" w:type="auto"/>
            <w:gridSpan w:val="3"/>
            <w:tcBorders>
              <w:top w:val="single" w:sz="4" w:space="0" w:color="000000"/>
            </w:tcBorders>
            <w:shd w:val="clear" w:color="auto" w:fill="D9D9D9"/>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2"/>
                <w:szCs w:val="2"/>
              </w:rPr>
              <w:t> </w:t>
            </w:r>
          </w:p>
        </w:tc>
        <w:tc>
          <w:tcPr>
            <w:tcW w:w="0" w:type="auto"/>
            <w:gridSpan w:val="3"/>
            <w:tcBorders>
              <w:top w:val="single" w:sz="4" w:space="0" w:color="000000"/>
            </w:tcBorders>
            <w:shd w:val="clear" w:color="auto" w:fill="D9D9D9"/>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2"/>
                <w:szCs w:val="2"/>
              </w:rPr>
              <w:t> </w:t>
            </w:r>
          </w:p>
        </w:tc>
        <w:tc>
          <w:tcPr>
            <w:tcW w:w="0" w:type="auto"/>
            <w:gridSpan w:val="3"/>
            <w:tcBorders>
              <w:top w:val="single" w:sz="4" w:space="0" w:color="000000"/>
            </w:tcBorders>
            <w:shd w:val="clear" w:color="auto" w:fill="D9D9D9"/>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2"/>
                <w:szCs w:val="2"/>
              </w:rPr>
              <w:t> </w:t>
            </w:r>
          </w:p>
        </w:tc>
        <w:tc>
          <w:tcPr>
            <w:tcW w:w="0" w:type="auto"/>
            <w:gridSpan w:val="3"/>
            <w:tcBorders>
              <w:top w:val="single" w:sz="4" w:space="0" w:color="000000"/>
            </w:tcBorders>
            <w:shd w:val="clear" w:color="auto" w:fill="D9D9D9"/>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2"/>
                <w:szCs w:val="2"/>
              </w:rPr>
              <w:t> </w:t>
            </w:r>
          </w:p>
        </w:tc>
      </w:tr>
      <w:tr w:rsidR="00000000">
        <w:trPr>
          <w:divId w:val="1420449477"/>
        </w:trPr>
        <w:tc>
          <w:tcPr>
            <w:tcW w:w="0" w:type="auto"/>
            <w:gridSpan w:val="3"/>
            <w:tcMar>
              <w:top w:w="30" w:type="dxa"/>
              <w:left w:w="20" w:type="dxa"/>
              <w:bottom w:w="30" w:type="dxa"/>
              <w:right w:w="20" w:type="dxa"/>
            </w:tcMar>
            <w:hideMark/>
          </w:tcPr>
          <w:p w:rsidR="00000000" w:rsidRDefault="001F1FC8">
            <w:pPr>
              <w:rPr>
                <w:rFonts w:eastAsia="Times New Roman"/>
              </w:rPr>
            </w:pPr>
            <w:r>
              <w:rPr>
                <w:rFonts w:ascii="Arial" w:eastAsia="Times New Roman" w:hAnsi="Arial" w:cs="Arial"/>
                <w:color w:val="000000"/>
                <w:sz w:val="16"/>
                <w:szCs w:val="16"/>
              </w:rPr>
              <w:t>Financial assets</w:t>
            </w:r>
          </w:p>
        </w:tc>
        <w:tc>
          <w:tcPr>
            <w:tcW w:w="0" w:type="auto"/>
            <w:gridSpan w:val="3"/>
            <w:shd w:val="clear" w:color="auto" w:fill="D9D9D9"/>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2"/>
                <w:szCs w:val="2"/>
              </w:rPr>
              <w:t> </w:t>
            </w:r>
          </w:p>
        </w:tc>
        <w:tc>
          <w:tcPr>
            <w:tcW w:w="0" w:type="auto"/>
            <w:gridSpan w:val="3"/>
            <w:shd w:val="clear" w:color="auto" w:fill="D9D9D9"/>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2"/>
                <w:szCs w:val="2"/>
              </w:rPr>
              <w:t> </w:t>
            </w:r>
          </w:p>
        </w:tc>
        <w:tc>
          <w:tcPr>
            <w:tcW w:w="0" w:type="auto"/>
            <w:gridSpan w:val="3"/>
            <w:shd w:val="clear" w:color="auto" w:fill="D9D9D9"/>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2"/>
                <w:szCs w:val="2"/>
              </w:rPr>
              <w:t> </w:t>
            </w:r>
          </w:p>
        </w:tc>
        <w:tc>
          <w:tcPr>
            <w:tcW w:w="0" w:type="auto"/>
            <w:gridSpan w:val="3"/>
            <w:shd w:val="clear" w:color="auto" w:fill="D9D9D9"/>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2"/>
                <w:szCs w:val="2"/>
              </w:rPr>
              <w:t> </w:t>
            </w:r>
          </w:p>
        </w:tc>
      </w:tr>
      <w:tr w:rsidR="00000000">
        <w:trPr>
          <w:divId w:val="1420449477"/>
        </w:trPr>
        <w:tc>
          <w:tcPr>
            <w:tcW w:w="0" w:type="auto"/>
            <w:gridSpan w:val="3"/>
            <w:tcMar>
              <w:top w:w="30" w:type="dxa"/>
              <w:left w:w="110" w:type="dxa"/>
              <w:bottom w:w="30" w:type="dxa"/>
              <w:right w:w="20" w:type="dxa"/>
            </w:tcMar>
            <w:hideMark/>
          </w:tcPr>
          <w:p w:rsidR="00000000" w:rsidRDefault="001F1FC8">
            <w:pPr>
              <w:rPr>
                <w:rFonts w:eastAsia="Times New Roman"/>
              </w:rPr>
            </w:pPr>
            <w:r>
              <w:rPr>
                <w:rFonts w:ascii="Arial" w:eastAsia="Times New Roman" w:hAnsi="Arial" w:cs="Arial"/>
                <w:color w:val="000000"/>
                <w:sz w:val="16"/>
                <w:szCs w:val="16"/>
              </w:rPr>
              <w:t>Current derivative assets</w:t>
            </w:r>
          </w:p>
        </w:tc>
        <w:tc>
          <w:tcPr>
            <w:tcW w:w="0" w:type="auto"/>
            <w:gridSpan w:val="3"/>
            <w:shd w:val="clear" w:color="auto" w:fill="D9D9D9"/>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2"/>
                <w:szCs w:val="2"/>
              </w:rPr>
              <w:t> </w:t>
            </w:r>
          </w:p>
        </w:tc>
        <w:tc>
          <w:tcPr>
            <w:tcW w:w="0" w:type="auto"/>
            <w:gridSpan w:val="3"/>
            <w:shd w:val="clear" w:color="auto" w:fill="D9D9D9"/>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2"/>
                <w:szCs w:val="2"/>
              </w:rPr>
              <w:t> </w:t>
            </w:r>
          </w:p>
        </w:tc>
        <w:tc>
          <w:tcPr>
            <w:tcW w:w="0" w:type="auto"/>
            <w:gridSpan w:val="3"/>
            <w:shd w:val="clear" w:color="auto" w:fill="D9D9D9"/>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 </w:t>
            </w:r>
          </w:p>
        </w:tc>
        <w:tc>
          <w:tcPr>
            <w:tcW w:w="0" w:type="auto"/>
            <w:gridSpan w:val="3"/>
            <w:shd w:val="clear" w:color="auto" w:fill="D9D9D9"/>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 </w:t>
            </w:r>
          </w:p>
        </w:tc>
      </w:tr>
      <w:tr w:rsidR="00000000">
        <w:trPr>
          <w:divId w:val="1420449477"/>
        </w:trPr>
        <w:tc>
          <w:tcPr>
            <w:tcW w:w="0" w:type="auto"/>
            <w:gridSpan w:val="3"/>
            <w:tcMar>
              <w:top w:w="30" w:type="dxa"/>
              <w:left w:w="380" w:type="dxa"/>
              <w:bottom w:w="30" w:type="dxa"/>
              <w:right w:w="20" w:type="dxa"/>
            </w:tcMar>
            <w:hideMark/>
          </w:tcPr>
          <w:p w:rsidR="00000000" w:rsidRDefault="001F1FC8">
            <w:pPr>
              <w:rPr>
                <w:rFonts w:eastAsia="Times New Roman"/>
              </w:rPr>
            </w:pPr>
            <w:r>
              <w:rPr>
                <w:rFonts w:ascii="Arial" w:eastAsia="Times New Roman" w:hAnsi="Arial" w:cs="Arial"/>
                <w:color w:val="000000"/>
                <w:sz w:val="16"/>
                <w:szCs w:val="16"/>
              </w:rPr>
              <w:t>Foreign exchange contracts</w:t>
            </w:r>
          </w:p>
        </w:tc>
        <w:tc>
          <w:tcPr>
            <w:tcW w:w="0" w:type="auto"/>
            <w:gridSpan w:val="2"/>
            <w:shd w:val="clear" w:color="auto" w:fill="D9D9D9"/>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hideMark/>
          </w:tcPr>
          <w:p w:rsidR="00000000" w:rsidRDefault="001F1FC8">
            <w:pPr>
              <w:jc w:val="right"/>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b/>
                <w:bCs/>
                <w:color w:val="000000"/>
                <w:sz w:val="16"/>
                <w:szCs w:val="16"/>
              </w:rPr>
              <w:t>259</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hideMark/>
          </w:tcPr>
          <w:p w:rsidR="00000000" w:rsidRDefault="001F1FC8">
            <w:pPr>
              <w:jc w:val="right"/>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hideMark/>
          </w:tcPr>
          <w:p w:rsidR="00000000" w:rsidRDefault="001F1FC8">
            <w:pPr>
              <w:jc w:val="right"/>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b/>
                <w:bCs/>
                <w:color w:val="000000"/>
                <w:sz w:val="16"/>
                <w:szCs w:val="16"/>
              </w:rPr>
              <w:t>259</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hideMark/>
          </w:tcPr>
          <w:p w:rsidR="00000000" w:rsidRDefault="001F1FC8">
            <w:pPr>
              <w:jc w:val="right"/>
              <w:rPr>
                <w:rFonts w:eastAsia="Times New Roman"/>
              </w:rPr>
            </w:pPr>
          </w:p>
        </w:tc>
      </w:tr>
      <w:tr w:rsidR="00000000">
        <w:trPr>
          <w:divId w:val="1420449477"/>
        </w:trPr>
        <w:tc>
          <w:tcPr>
            <w:tcW w:w="0" w:type="auto"/>
            <w:gridSpan w:val="3"/>
            <w:tcMar>
              <w:top w:w="30" w:type="dxa"/>
              <w:left w:w="380" w:type="dxa"/>
              <w:bottom w:w="30" w:type="dxa"/>
              <w:right w:w="20" w:type="dxa"/>
            </w:tcMar>
            <w:hideMark/>
          </w:tcPr>
          <w:p w:rsidR="00000000" w:rsidRDefault="001F1FC8">
            <w:pPr>
              <w:rPr>
                <w:rFonts w:eastAsia="Times New Roman"/>
              </w:rPr>
            </w:pPr>
            <w:r>
              <w:rPr>
                <w:rFonts w:ascii="Arial" w:eastAsia="Times New Roman" w:hAnsi="Arial" w:cs="Arial"/>
                <w:color w:val="000000"/>
                <w:sz w:val="16"/>
                <w:szCs w:val="16"/>
              </w:rPr>
              <w:t>Interest rate contracts</w:t>
            </w:r>
          </w:p>
        </w:tc>
        <w:tc>
          <w:tcPr>
            <w:tcW w:w="0" w:type="auto"/>
            <w:gridSpan w:val="2"/>
            <w:shd w:val="clear" w:color="auto" w:fill="D9D9D9"/>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hideMark/>
          </w:tcPr>
          <w:p w:rsidR="00000000" w:rsidRDefault="001F1FC8">
            <w:pPr>
              <w:jc w:val="right"/>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b/>
                <w:bCs/>
                <w:color w:val="000000"/>
                <w:sz w:val="16"/>
                <w:szCs w:val="16"/>
              </w:rPr>
              <w:t>64</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hideMark/>
          </w:tcPr>
          <w:p w:rsidR="00000000" w:rsidRDefault="001F1FC8">
            <w:pPr>
              <w:jc w:val="right"/>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hideMark/>
          </w:tcPr>
          <w:p w:rsidR="00000000" w:rsidRDefault="001F1FC8">
            <w:pPr>
              <w:jc w:val="right"/>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b/>
                <w:bCs/>
                <w:color w:val="000000"/>
                <w:sz w:val="16"/>
                <w:szCs w:val="16"/>
              </w:rPr>
              <w:t>64</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hideMark/>
          </w:tcPr>
          <w:p w:rsidR="00000000" w:rsidRDefault="001F1FC8">
            <w:pPr>
              <w:jc w:val="right"/>
              <w:rPr>
                <w:rFonts w:eastAsia="Times New Roman"/>
              </w:rPr>
            </w:pPr>
          </w:p>
        </w:tc>
      </w:tr>
      <w:tr w:rsidR="00000000">
        <w:trPr>
          <w:divId w:val="1420449477"/>
        </w:trPr>
        <w:tc>
          <w:tcPr>
            <w:tcW w:w="0" w:type="auto"/>
            <w:gridSpan w:val="3"/>
            <w:tcMar>
              <w:top w:w="30" w:type="dxa"/>
              <w:left w:w="380" w:type="dxa"/>
              <w:bottom w:w="30" w:type="dxa"/>
              <w:right w:w="20" w:type="dxa"/>
            </w:tcMar>
            <w:hideMark/>
          </w:tcPr>
          <w:p w:rsidR="00000000" w:rsidRDefault="001F1FC8">
            <w:pPr>
              <w:rPr>
                <w:rFonts w:eastAsia="Times New Roman"/>
              </w:rPr>
            </w:pPr>
            <w:r>
              <w:rPr>
                <w:rFonts w:ascii="Arial" w:eastAsia="Times New Roman" w:hAnsi="Arial" w:cs="Arial"/>
                <w:color w:val="000000"/>
                <w:sz w:val="16"/>
                <w:szCs w:val="16"/>
              </w:rPr>
              <w:t>Commodity contracts</w:t>
            </w:r>
          </w:p>
        </w:tc>
        <w:tc>
          <w:tcPr>
            <w:tcW w:w="0" w:type="auto"/>
            <w:gridSpan w:val="2"/>
            <w:shd w:val="clear" w:color="auto" w:fill="D9D9D9"/>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b/>
                <w:bCs/>
                <w:color w:val="000000"/>
                <w:sz w:val="16"/>
                <w:szCs w:val="16"/>
              </w:rPr>
              <w:t>38</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hideMark/>
          </w:tcPr>
          <w:p w:rsidR="00000000" w:rsidRDefault="001F1FC8">
            <w:pPr>
              <w:jc w:val="right"/>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b/>
                <w:bCs/>
                <w:color w:val="000000"/>
                <w:sz w:val="16"/>
                <w:szCs w:val="16"/>
              </w:rPr>
              <w:t>71</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hideMark/>
          </w:tcPr>
          <w:p w:rsidR="00000000" w:rsidRDefault="001F1FC8">
            <w:pPr>
              <w:jc w:val="right"/>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b/>
                <w:bCs/>
                <w:color w:val="000000"/>
                <w:sz w:val="16"/>
                <w:szCs w:val="16"/>
              </w:rPr>
              <w:t>95</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hideMark/>
          </w:tcPr>
          <w:p w:rsidR="00000000" w:rsidRDefault="001F1FC8">
            <w:pPr>
              <w:jc w:val="right"/>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b/>
                <w:bCs/>
                <w:color w:val="000000"/>
                <w:sz w:val="16"/>
                <w:szCs w:val="16"/>
              </w:rPr>
              <w:t>204</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hideMark/>
          </w:tcPr>
          <w:p w:rsidR="00000000" w:rsidRDefault="001F1FC8">
            <w:pPr>
              <w:jc w:val="right"/>
              <w:rPr>
                <w:rFonts w:eastAsia="Times New Roman"/>
              </w:rPr>
            </w:pPr>
          </w:p>
        </w:tc>
      </w:tr>
      <w:tr w:rsidR="00000000">
        <w:trPr>
          <w:divId w:val="1420449477"/>
        </w:trPr>
        <w:tc>
          <w:tcPr>
            <w:tcW w:w="0" w:type="auto"/>
            <w:gridSpan w:val="3"/>
            <w:tcMar>
              <w:top w:w="30" w:type="dxa"/>
              <w:left w:w="380" w:type="dxa"/>
              <w:bottom w:w="30" w:type="dxa"/>
              <w:right w:w="20" w:type="dxa"/>
            </w:tcMar>
            <w:hideMark/>
          </w:tcPr>
          <w:p w:rsidR="00000000" w:rsidRDefault="001F1FC8">
            <w:pPr>
              <w:rPr>
                <w:rFonts w:eastAsia="Times New Roman"/>
              </w:rPr>
            </w:pPr>
            <w:r>
              <w:rPr>
                <w:rFonts w:ascii="Arial" w:eastAsia="Times New Roman" w:hAnsi="Arial" w:cs="Arial"/>
                <w:color w:val="000000"/>
                <w:sz w:val="16"/>
                <w:szCs w:val="16"/>
              </w:rPr>
              <w:t>Other contracts</w:t>
            </w:r>
          </w:p>
        </w:tc>
        <w:tc>
          <w:tcPr>
            <w:tcW w:w="0" w:type="auto"/>
            <w:gridSpan w:val="2"/>
            <w:shd w:val="clear" w:color="auto" w:fill="D9D9D9"/>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hideMark/>
          </w:tcPr>
          <w:p w:rsidR="00000000" w:rsidRDefault="001F1FC8">
            <w:pPr>
              <w:jc w:val="right"/>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b/>
                <w:bCs/>
                <w:color w:val="000000"/>
                <w:sz w:val="16"/>
                <w:szCs w:val="16"/>
              </w:rPr>
              <w:t>2</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hideMark/>
          </w:tcPr>
          <w:p w:rsidR="00000000" w:rsidRDefault="001F1FC8">
            <w:pPr>
              <w:jc w:val="right"/>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hideMark/>
          </w:tcPr>
          <w:p w:rsidR="00000000" w:rsidRDefault="001F1FC8">
            <w:pPr>
              <w:jc w:val="right"/>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b/>
                <w:bCs/>
                <w:color w:val="000000"/>
                <w:sz w:val="16"/>
                <w:szCs w:val="16"/>
              </w:rPr>
              <w:t>2</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hideMark/>
          </w:tcPr>
          <w:p w:rsidR="00000000" w:rsidRDefault="001F1FC8">
            <w:pPr>
              <w:jc w:val="right"/>
              <w:rPr>
                <w:rFonts w:eastAsia="Times New Roman"/>
              </w:rPr>
            </w:pPr>
          </w:p>
        </w:tc>
      </w:tr>
      <w:tr w:rsidR="00000000">
        <w:trPr>
          <w:divId w:val="1420449477"/>
        </w:trPr>
        <w:tc>
          <w:tcPr>
            <w:tcW w:w="0" w:type="auto"/>
            <w:gridSpan w:val="3"/>
            <w:tcBorders>
              <w:top w:val="single" w:sz="4" w:space="0" w:color="000000"/>
            </w:tcBorders>
            <w:tcMar>
              <w:top w:w="30" w:type="dxa"/>
              <w:left w:w="380" w:type="dxa"/>
              <w:bottom w:w="30" w:type="dxa"/>
              <w:right w:w="20" w:type="dxa"/>
            </w:tcMar>
            <w:hideMark/>
          </w:tcPr>
          <w:p w:rsidR="00000000" w:rsidRDefault="001F1FC8">
            <w:pPr>
              <w:rPr>
                <w:rFonts w:eastAsia="Times New Roman"/>
              </w:rPr>
            </w:pPr>
            <w:r>
              <w:rPr>
                <w:rFonts w:ascii="Arial" w:eastAsia="Times New Roman" w:hAnsi="Arial" w:cs="Arial"/>
                <w:color w:val="000000"/>
                <w:sz w:val="2"/>
                <w:szCs w:val="2"/>
              </w:rPr>
              <w:t> </w:t>
            </w:r>
          </w:p>
        </w:tc>
        <w:tc>
          <w:tcPr>
            <w:tcW w:w="0" w:type="auto"/>
            <w:gridSpan w:val="2"/>
            <w:tcBorders>
              <w:top w:val="single" w:sz="4" w:space="0" w:color="000000"/>
            </w:tcBorders>
            <w:shd w:val="clear" w:color="auto" w:fill="D9D9D9"/>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b/>
                <w:bCs/>
                <w:color w:val="000000"/>
                <w:sz w:val="16"/>
                <w:szCs w:val="16"/>
              </w:rPr>
              <w:t>38</w:t>
            </w:r>
            <w:r>
              <w:rPr>
                <w:rFonts w:ascii="Arial" w:eastAsia="Times New Roman" w:hAnsi="Arial" w:cs="Arial"/>
                <w:color w:val="000000"/>
                <w:sz w:val="16"/>
                <w:szCs w:val="16"/>
              </w:rPr>
              <w:t> </w:t>
            </w:r>
          </w:p>
        </w:tc>
        <w:tc>
          <w:tcPr>
            <w:tcW w:w="0" w:type="auto"/>
            <w:tcBorders>
              <w:top w:val="single" w:sz="4" w:space="0" w:color="000000"/>
            </w:tcBorders>
            <w:shd w:val="clear" w:color="auto" w:fill="D9D9D9"/>
            <w:tcMar>
              <w:top w:w="30" w:type="dxa"/>
              <w:left w:w="0" w:type="dxa"/>
              <w:bottom w:w="30" w:type="dxa"/>
              <w:right w:w="20" w:type="dxa"/>
            </w:tcMar>
            <w:hideMark/>
          </w:tcPr>
          <w:p w:rsidR="00000000" w:rsidRDefault="001F1FC8">
            <w:pPr>
              <w:jc w:val="right"/>
              <w:rPr>
                <w:rFonts w:eastAsia="Times New Roman"/>
              </w:rPr>
            </w:pPr>
          </w:p>
        </w:tc>
        <w:tc>
          <w:tcPr>
            <w:tcW w:w="0" w:type="auto"/>
            <w:gridSpan w:val="2"/>
            <w:tcBorders>
              <w:top w:val="single" w:sz="4" w:space="0" w:color="000000"/>
            </w:tcBorders>
            <w:shd w:val="clear" w:color="auto" w:fill="D9D9D9"/>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b/>
                <w:bCs/>
                <w:color w:val="000000"/>
                <w:sz w:val="16"/>
                <w:szCs w:val="16"/>
              </w:rPr>
              <w:t>396</w:t>
            </w:r>
            <w:r>
              <w:rPr>
                <w:rFonts w:ascii="Arial" w:eastAsia="Times New Roman" w:hAnsi="Arial" w:cs="Arial"/>
                <w:color w:val="000000"/>
                <w:sz w:val="16"/>
                <w:szCs w:val="16"/>
              </w:rPr>
              <w:t> </w:t>
            </w:r>
          </w:p>
        </w:tc>
        <w:tc>
          <w:tcPr>
            <w:tcW w:w="0" w:type="auto"/>
            <w:tcBorders>
              <w:top w:val="single" w:sz="4" w:space="0" w:color="000000"/>
            </w:tcBorders>
            <w:shd w:val="clear" w:color="auto" w:fill="D9D9D9"/>
            <w:tcMar>
              <w:top w:w="30" w:type="dxa"/>
              <w:left w:w="0" w:type="dxa"/>
              <w:bottom w:w="30" w:type="dxa"/>
              <w:right w:w="20" w:type="dxa"/>
            </w:tcMar>
            <w:hideMark/>
          </w:tcPr>
          <w:p w:rsidR="00000000" w:rsidRDefault="001F1FC8">
            <w:pPr>
              <w:jc w:val="right"/>
              <w:rPr>
                <w:rFonts w:eastAsia="Times New Roman"/>
              </w:rPr>
            </w:pPr>
          </w:p>
        </w:tc>
        <w:tc>
          <w:tcPr>
            <w:tcW w:w="0" w:type="auto"/>
            <w:gridSpan w:val="2"/>
            <w:tcBorders>
              <w:top w:val="single" w:sz="4" w:space="0" w:color="000000"/>
            </w:tcBorders>
            <w:shd w:val="clear" w:color="auto" w:fill="D9D9D9"/>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b/>
                <w:bCs/>
                <w:color w:val="000000"/>
                <w:sz w:val="16"/>
                <w:szCs w:val="16"/>
              </w:rPr>
              <w:t>95</w:t>
            </w:r>
            <w:r>
              <w:rPr>
                <w:rFonts w:ascii="Arial" w:eastAsia="Times New Roman" w:hAnsi="Arial" w:cs="Arial"/>
                <w:color w:val="000000"/>
                <w:sz w:val="16"/>
                <w:szCs w:val="16"/>
              </w:rPr>
              <w:t> </w:t>
            </w:r>
          </w:p>
        </w:tc>
        <w:tc>
          <w:tcPr>
            <w:tcW w:w="0" w:type="auto"/>
            <w:tcBorders>
              <w:top w:val="single" w:sz="4" w:space="0" w:color="000000"/>
            </w:tcBorders>
            <w:shd w:val="clear" w:color="auto" w:fill="D9D9D9"/>
            <w:tcMar>
              <w:top w:w="30" w:type="dxa"/>
              <w:left w:w="0" w:type="dxa"/>
              <w:bottom w:w="30" w:type="dxa"/>
              <w:right w:w="20" w:type="dxa"/>
            </w:tcMar>
            <w:hideMark/>
          </w:tcPr>
          <w:p w:rsidR="00000000" w:rsidRDefault="001F1FC8">
            <w:pPr>
              <w:jc w:val="right"/>
              <w:rPr>
                <w:rFonts w:eastAsia="Times New Roman"/>
              </w:rPr>
            </w:pPr>
          </w:p>
        </w:tc>
        <w:tc>
          <w:tcPr>
            <w:tcW w:w="0" w:type="auto"/>
            <w:gridSpan w:val="2"/>
            <w:tcBorders>
              <w:top w:val="single" w:sz="4" w:space="0" w:color="000000"/>
            </w:tcBorders>
            <w:shd w:val="clear" w:color="auto" w:fill="D9D9D9"/>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b/>
                <w:bCs/>
                <w:color w:val="000000"/>
                <w:sz w:val="16"/>
                <w:szCs w:val="16"/>
              </w:rPr>
              <w:t>529</w:t>
            </w:r>
            <w:r>
              <w:rPr>
                <w:rFonts w:ascii="Arial" w:eastAsia="Times New Roman" w:hAnsi="Arial" w:cs="Arial"/>
                <w:color w:val="000000"/>
                <w:sz w:val="16"/>
                <w:szCs w:val="16"/>
              </w:rPr>
              <w:t> </w:t>
            </w:r>
          </w:p>
        </w:tc>
        <w:tc>
          <w:tcPr>
            <w:tcW w:w="0" w:type="auto"/>
            <w:tcBorders>
              <w:top w:val="single" w:sz="4" w:space="0" w:color="000000"/>
            </w:tcBorders>
            <w:shd w:val="clear" w:color="auto" w:fill="D9D9D9"/>
            <w:tcMar>
              <w:top w:w="30" w:type="dxa"/>
              <w:left w:w="0" w:type="dxa"/>
              <w:bottom w:w="30" w:type="dxa"/>
              <w:right w:w="20" w:type="dxa"/>
            </w:tcMar>
            <w:hideMark/>
          </w:tcPr>
          <w:p w:rsidR="00000000" w:rsidRDefault="001F1FC8">
            <w:pPr>
              <w:jc w:val="right"/>
              <w:rPr>
                <w:rFonts w:eastAsia="Times New Roman"/>
              </w:rPr>
            </w:pPr>
          </w:p>
        </w:tc>
      </w:tr>
      <w:tr w:rsidR="00000000">
        <w:trPr>
          <w:divId w:val="1420449477"/>
        </w:trPr>
        <w:tc>
          <w:tcPr>
            <w:tcW w:w="0" w:type="auto"/>
            <w:gridSpan w:val="3"/>
            <w:tcBorders>
              <w:top w:val="single" w:sz="4" w:space="0" w:color="000000"/>
            </w:tcBorders>
            <w:tcMar>
              <w:top w:w="30" w:type="dxa"/>
              <w:left w:w="110" w:type="dxa"/>
              <w:bottom w:w="30" w:type="dxa"/>
              <w:right w:w="20" w:type="dxa"/>
            </w:tcMar>
            <w:hideMark/>
          </w:tcPr>
          <w:p w:rsidR="00000000" w:rsidRDefault="001F1FC8">
            <w:pPr>
              <w:rPr>
                <w:rFonts w:eastAsia="Times New Roman"/>
              </w:rPr>
            </w:pPr>
            <w:r>
              <w:rPr>
                <w:rFonts w:ascii="Arial" w:eastAsia="Times New Roman" w:hAnsi="Arial" w:cs="Arial"/>
                <w:color w:val="000000"/>
                <w:sz w:val="16"/>
                <w:szCs w:val="16"/>
              </w:rPr>
              <w:t>Long-term derivative assets</w:t>
            </w:r>
          </w:p>
        </w:tc>
        <w:tc>
          <w:tcPr>
            <w:tcW w:w="0" w:type="auto"/>
            <w:gridSpan w:val="3"/>
            <w:tcBorders>
              <w:top w:val="single" w:sz="4" w:space="0" w:color="000000"/>
            </w:tcBorders>
            <w:shd w:val="clear" w:color="auto" w:fill="D9D9D9"/>
            <w:tcMar>
              <w:top w:w="30" w:type="dxa"/>
              <w:left w:w="20" w:type="dxa"/>
              <w:bottom w:w="30" w:type="dxa"/>
              <w:right w:w="20" w:type="dxa"/>
            </w:tcMar>
            <w:hideMark/>
          </w:tcPr>
          <w:p w:rsidR="00000000" w:rsidRDefault="001F1FC8">
            <w:pPr>
              <w:jc w:val="right"/>
              <w:rPr>
                <w:rFonts w:eastAsia="Times New Roman"/>
              </w:rPr>
            </w:pPr>
            <w:r>
              <w:rPr>
                <w:rFonts w:ascii="Arial" w:eastAsia="Times New Roman" w:hAnsi="Arial" w:cs="Arial"/>
                <w:color w:val="000000"/>
                <w:sz w:val="2"/>
                <w:szCs w:val="2"/>
              </w:rPr>
              <w:t> </w:t>
            </w:r>
          </w:p>
        </w:tc>
        <w:tc>
          <w:tcPr>
            <w:tcW w:w="0" w:type="auto"/>
            <w:gridSpan w:val="3"/>
            <w:tcBorders>
              <w:top w:val="single" w:sz="4" w:space="0" w:color="000000"/>
            </w:tcBorders>
            <w:shd w:val="clear" w:color="auto" w:fill="D9D9D9"/>
            <w:tcMar>
              <w:top w:w="30" w:type="dxa"/>
              <w:left w:w="20" w:type="dxa"/>
              <w:bottom w:w="30" w:type="dxa"/>
              <w:right w:w="20" w:type="dxa"/>
            </w:tcMar>
            <w:hideMark/>
          </w:tcPr>
          <w:p w:rsidR="00000000" w:rsidRDefault="001F1FC8">
            <w:pPr>
              <w:jc w:val="right"/>
              <w:rPr>
                <w:rFonts w:eastAsia="Times New Roman"/>
              </w:rPr>
            </w:pPr>
            <w:r>
              <w:rPr>
                <w:rFonts w:ascii="Arial" w:eastAsia="Times New Roman" w:hAnsi="Arial" w:cs="Arial"/>
                <w:color w:val="000000"/>
                <w:sz w:val="2"/>
                <w:szCs w:val="2"/>
              </w:rPr>
              <w:t> </w:t>
            </w:r>
          </w:p>
        </w:tc>
        <w:tc>
          <w:tcPr>
            <w:tcW w:w="0" w:type="auto"/>
            <w:gridSpan w:val="3"/>
            <w:tcBorders>
              <w:top w:val="single" w:sz="4" w:space="0" w:color="000000"/>
            </w:tcBorders>
            <w:shd w:val="clear" w:color="auto" w:fill="D9D9D9"/>
            <w:tcMar>
              <w:top w:w="30" w:type="dxa"/>
              <w:left w:w="20" w:type="dxa"/>
              <w:bottom w:w="30" w:type="dxa"/>
              <w:right w:w="20" w:type="dxa"/>
            </w:tcMar>
            <w:hideMark/>
          </w:tcPr>
          <w:p w:rsidR="00000000" w:rsidRDefault="001F1FC8">
            <w:pPr>
              <w:jc w:val="right"/>
              <w:rPr>
                <w:rFonts w:eastAsia="Times New Roman"/>
              </w:rPr>
            </w:pPr>
            <w:r>
              <w:rPr>
                <w:rFonts w:ascii="Arial" w:eastAsia="Times New Roman" w:hAnsi="Arial" w:cs="Arial"/>
                <w:color w:val="000000"/>
                <w:sz w:val="2"/>
                <w:szCs w:val="2"/>
              </w:rPr>
              <w:t> </w:t>
            </w:r>
          </w:p>
        </w:tc>
        <w:tc>
          <w:tcPr>
            <w:tcW w:w="0" w:type="auto"/>
            <w:gridSpan w:val="3"/>
            <w:tcBorders>
              <w:top w:val="single" w:sz="4" w:space="0" w:color="000000"/>
            </w:tcBorders>
            <w:shd w:val="clear" w:color="auto" w:fill="D9D9D9"/>
            <w:tcMar>
              <w:top w:w="0" w:type="dxa"/>
              <w:left w:w="20" w:type="dxa"/>
              <w:bottom w:w="0" w:type="dxa"/>
              <w:right w:w="20" w:type="dxa"/>
            </w:tcMar>
            <w:vAlign w:val="center"/>
            <w:hideMark/>
          </w:tcPr>
          <w:p w:rsidR="00000000" w:rsidRDefault="001F1FC8">
            <w:pPr>
              <w:jc w:val="right"/>
              <w:rPr>
                <w:rFonts w:eastAsia="Times New Roman"/>
              </w:rPr>
            </w:pPr>
          </w:p>
        </w:tc>
      </w:tr>
      <w:tr w:rsidR="00000000">
        <w:trPr>
          <w:divId w:val="1420449477"/>
        </w:trPr>
        <w:tc>
          <w:tcPr>
            <w:tcW w:w="0" w:type="auto"/>
            <w:gridSpan w:val="3"/>
            <w:tcMar>
              <w:top w:w="30" w:type="dxa"/>
              <w:left w:w="380" w:type="dxa"/>
              <w:bottom w:w="30" w:type="dxa"/>
              <w:right w:w="20" w:type="dxa"/>
            </w:tcMar>
            <w:hideMark/>
          </w:tcPr>
          <w:p w:rsidR="00000000" w:rsidRDefault="001F1FC8">
            <w:pPr>
              <w:rPr>
                <w:rFonts w:eastAsia="Times New Roman"/>
              </w:rPr>
            </w:pPr>
            <w:r>
              <w:rPr>
                <w:rFonts w:ascii="Arial" w:eastAsia="Times New Roman" w:hAnsi="Arial" w:cs="Arial"/>
                <w:color w:val="000000"/>
                <w:sz w:val="16"/>
                <w:szCs w:val="16"/>
              </w:rPr>
              <w:t>Foreign exchange contracts</w:t>
            </w:r>
          </w:p>
        </w:tc>
        <w:tc>
          <w:tcPr>
            <w:tcW w:w="0" w:type="auto"/>
            <w:gridSpan w:val="2"/>
            <w:shd w:val="clear" w:color="auto" w:fill="D9D9D9"/>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hideMark/>
          </w:tcPr>
          <w:p w:rsidR="00000000" w:rsidRDefault="001F1FC8">
            <w:pPr>
              <w:jc w:val="right"/>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b/>
                <w:bCs/>
                <w:color w:val="000000"/>
                <w:sz w:val="16"/>
                <w:szCs w:val="16"/>
              </w:rPr>
              <w:t>240</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hideMark/>
          </w:tcPr>
          <w:p w:rsidR="00000000" w:rsidRDefault="001F1FC8">
            <w:pPr>
              <w:jc w:val="right"/>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hideMark/>
          </w:tcPr>
          <w:p w:rsidR="00000000" w:rsidRDefault="001F1FC8">
            <w:pPr>
              <w:jc w:val="right"/>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b/>
                <w:bCs/>
                <w:color w:val="000000"/>
                <w:sz w:val="16"/>
                <w:szCs w:val="16"/>
              </w:rPr>
              <w:t>240</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hideMark/>
          </w:tcPr>
          <w:p w:rsidR="00000000" w:rsidRDefault="001F1FC8">
            <w:pPr>
              <w:jc w:val="right"/>
              <w:rPr>
                <w:rFonts w:eastAsia="Times New Roman"/>
              </w:rPr>
            </w:pPr>
          </w:p>
        </w:tc>
      </w:tr>
      <w:tr w:rsidR="00000000">
        <w:trPr>
          <w:divId w:val="1420449477"/>
        </w:trPr>
        <w:tc>
          <w:tcPr>
            <w:tcW w:w="0" w:type="auto"/>
            <w:gridSpan w:val="3"/>
            <w:tcMar>
              <w:top w:w="30" w:type="dxa"/>
              <w:left w:w="380" w:type="dxa"/>
              <w:bottom w:w="30" w:type="dxa"/>
              <w:right w:w="20" w:type="dxa"/>
            </w:tcMar>
            <w:hideMark/>
          </w:tcPr>
          <w:p w:rsidR="00000000" w:rsidRDefault="001F1FC8">
            <w:pPr>
              <w:rPr>
                <w:rFonts w:eastAsia="Times New Roman"/>
              </w:rPr>
            </w:pPr>
            <w:r>
              <w:rPr>
                <w:rFonts w:ascii="Arial" w:eastAsia="Times New Roman" w:hAnsi="Arial" w:cs="Arial"/>
                <w:color w:val="000000"/>
                <w:sz w:val="16"/>
                <w:szCs w:val="16"/>
              </w:rPr>
              <w:t>Interest rate contracts</w:t>
            </w:r>
          </w:p>
        </w:tc>
        <w:tc>
          <w:tcPr>
            <w:tcW w:w="0" w:type="auto"/>
            <w:gridSpan w:val="2"/>
            <w:shd w:val="clear" w:color="auto" w:fill="D9D9D9"/>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hideMark/>
          </w:tcPr>
          <w:p w:rsidR="00000000" w:rsidRDefault="001F1FC8">
            <w:pPr>
              <w:jc w:val="right"/>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b/>
                <w:bCs/>
                <w:color w:val="000000"/>
                <w:sz w:val="16"/>
                <w:szCs w:val="16"/>
              </w:rPr>
              <w:t>88</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hideMark/>
          </w:tcPr>
          <w:p w:rsidR="00000000" w:rsidRDefault="001F1FC8">
            <w:pPr>
              <w:jc w:val="right"/>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hideMark/>
          </w:tcPr>
          <w:p w:rsidR="00000000" w:rsidRDefault="001F1FC8">
            <w:pPr>
              <w:jc w:val="right"/>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b/>
                <w:bCs/>
                <w:color w:val="000000"/>
                <w:sz w:val="16"/>
                <w:szCs w:val="16"/>
              </w:rPr>
              <w:t>88</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hideMark/>
          </w:tcPr>
          <w:p w:rsidR="00000000" w:rsidRDefault="001F1FC8">
            <w:pPr>
              <w:jc w:val="right"/>
              <w:rPr>
                <w:rFonts w:eastAsia="Times New Roman"/>
              </w:rPr>
            </w:pPr>
          </w:p>
        </w:tc>
      </w:tr>
      <w:tr w:rsidR="00000000">
        <w:trPr>
          <w:divId w:val="1420449477"/>
        </w:trPr>
        <w:tc>
          <w:tcPr>
            <w:tcW w:w="0" w:type="auto"/>
            <w:gridSpan w:val="3"/>
            <w:tcMar>
              <w:top w:w="30" w:type="dxa"/>
              <w:left w:w="380" w:type="dxa"/>
              <w:bottom w:w="30" w:type="dxa"/>
              <w:right w:w="20" w:type="dxa"/>
            </w:tcMar>
            <w:hideMark/>
          </w:tcPr>
          <w:p w:rsidR="00000000" w:rsidRDefault="001F1FC8">
            <w:pPr>
              <w:rPr>
                <w:rFonts w:eastAsia="Times New Roman"/>
              </w:rPr>
            </w:pPr>
            <w:r>
              <w:rPr>
                <w:rFonts w:ascii="Arial" w:eastAsia="Times New Roman" w:hAnsi="Arial" w:cs="Arial"/>
                <w:color w:val="000000"/>
                <w:sz w:val="16"/>
                <w:szCs w:val="16"/>
              </w:rPr>
              <w:t>Commodity contracts</w:t>
            </w:r>
          </w:p>
        </w:tc>
        <w:tc>
          <w:tcPr>
            <w:tcW w:w="0" w:type="auto"/>
            <w:gridSpan w:val="2"/>
            <w:shd w:val="clear" w:color="auto" w:fill="D9D9D9"/>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hideMark/>
          </w:tcPr>
          <w:p w:rsidR="00000000" w:rsidRDefault="001F1FC8">
            <w:pPr>
              <w:jc w:val="right"/>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b/>
                <w:bCs/>
                <w:color w:val="000000"/>
                <w:sz w:val="16"/>
                <w:szCs w:val="16"/>
              </w:rPr>
              <w:t>21</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hideMark/>
          </w:tcPr>
          <w:p w:rsidR="00000000" w:rsidRDefault="001F1FC8">
            <w:pPr>
              <w:jc w:val="right"/>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b/>
                <w:bCs/>
                <w:color w:val="000000"/>
                <w:sz w:val="16"/>
                <w:szCs w:val="16"/>
              </w:rPr>
              <w:t>8</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hideMark/>
          </w:tcPr>
          <w:p w:rsidR="00000000" w:rsidRDefault="001F1FC8">
            <w:pPr>
              <w:jc w:val="right"/>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b/>
                <w:bCs/>
                <w:color w:val="000000"/>
                <w:sz w:val="16"/>
                <w:szCs w:val="16"/>
              </w:rPr>
              <w:t>29</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hideMark/>
          </w:tcPr>
          <w:p w:rsidR="00000000" w:rsidRDefault="001F1FC8">
            <w:pPr>
              <w:jc w:val="right"/>
              <w:rPr>
                <w:rFonts w:eastAsia="Times New Roman"/>
              </w:rPr>
            </w:pPr>
          </w:p>
        </w:tc>
      </w:tr>
      <w:tr w:rsidR="00000000">
        <w:trPr>
          <w:divId w:val="1420449477"/>
        </w:trPr>
        <w:tc>
          <w:tcPr>
            <w:tcW w:w="0" w:type="auto"/>
            <w:gridSpan w:val="3"/>
            <w:tcMar>
              <w:top w:w="30" w:type="dxa"/>
              <w:left w:w="380" w:type="dxa"/>
              <w:bottom w:w="30" w:type="dxa"/>
              <w:right w:w="20" w:type="dxa"/>
            </w:tcMar>
            <w:hideMark/>
          </w:tcPr>
          <w:p w:rsidR="00000000" w:rsidRDefault="001F1FC8">
            <w:pPr>
              <w:rPr>
                <w:rFonts w:eastAsia="Times New Roman"/>
              </w:rPr>
            </w:pPr>
            <w:r>
              <w:rPr>
                <w:rFonts w:ascii="Arial" w:eastAsia="Times New Roman" w:hAnsi="Arial" w:cs="Arial"/>
                <w:color w:val="000000"/>
                <w:sz w:val="16"/>
                <w:szCs w:val="16"/>
              </w:rPr>
              <w:t>Other contracts</w:t>
            </w:r>
          </w:p>
        </w:tc>
        <w:tc>
          <w:tcPr>
            <w:tcW w:w="0" w:type="auto"/>
            <w:gridSpan w:val="2"/>
            <w:shd w:val="clear" w:color="auto" w:fill="D9D9D9"/>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hideMark/>
          </w:tcPr>
          <w:p w:rsidR="00000000" w:rsidRDefault="001F1FC8">
            <w:pPr>
              <w:jc w:val="right"/>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b/>
                <w:bCs/>
                <w:color w:val="000000"/>
                <w:sz w:val="16"/>
                <w:szCs w:val="16"/>
              </w:rPr>
              <w:t>3</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hideMark/>
          </w:tcPr>
          <w:p w:rsidR="00000000" w:rsidRDefault="001F1FC8">
            <w:pPr>
              <w:jc w:val="right"/>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hideMark/>
          </w:tcPr>
          <w:p w:rsidR="00000000" w:rsidRDefault="001F1FC8">
            <w:pPr>
              <w:jc w:val="right"/>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b/>
                <w:bCs/>
                <w:color w:val="000000"/>
                <w:sz w:val="16"/>
                <w:szCs w:val="16"/>
              </w:rPr>
              <w:t>3</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hideMark/>
          </w:tcPr>
          <w:p w:rsidR="00000000" w:rsidRDefault="001F1FC8">
            <w:pPr>
              <w:jc w:val="right"/>
              <w:rPr>
                <w:rFonts w:eastAsia="Times New Roman"/>
              </w:rPr>
            </w:pPr>
          </w:p>
        </w:tc>
      </w:tr>
      <w:tr w:rsidR="00000000">
        <w:trPr>
          <w:divId w:val="1420449477"/>
        </w:trPr>
        <w:tc>
          <w:tcPr>
            <w:tcW w:w="0" w:type="auto"/>
            <w:gridSpan w:val="3"/>
            <w:tcBorders>
              <w:top w:val="single" w:sz="4" w:space="0" w:color="000000"/>
            </w:tcBorders>
            <w:tcMar>
              <w:top w:w="30" w:type="dxa"/>
              <w:left w:w="380" w:type="dxa"/>
              <w:bottom w:w="30" w:type="dxa"/>
              <w:right w:w="20" w:type="dxa"/>
            </w:tcMar>
            <w:hideMark/>
          </w:tcPr>
          <w:p w:rsidR="00000000" w:rsidRDefault="001F1FC8">
            <w:pPr>
              <w:rPr>
                <w:rFonts w:eastAsia="Times New Roman"/>
              </w:rPr>
            </w:pPr>
            <w:r>
              <w:rPr>
                <w:rFonts w:ascii="Arial" w:eastAsia="Times New Roman" w:hAnsi="Arial" w:cs="Arial"/>
                <w:color w:val="000000"/>
                <w:sz w:val="2"/>
                <w:szCs w:val="2"/>
              </w:rPr>
              <w:t> </w:t>
            </w:r>
          </w:p>
        </w:tc>
        <w:tc>
          <w:tcPr>
            <w:tcW w:w="0" w:type="auto"/>
            <w:gridSpan w:val="2"/>
            <w:tcBorders>
              <w:top w:val="single" w:sz="4" w:space="0" w:color="000000"/>
            </w:tcBorders>
            <w:shd w:val="clear" w:color="auto" w:fill="D9D9D9"/>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tcBorders>
              <w:top w:val="single" w:sz="4" w:space="0" w:color="000000"/>
            </w:tcBorders>
            <w:shd w:val="clear" w:color="auto" w:fill="D9D9D9"/>
            <w:tcMar>
              <w:top w:w="30" w:type="dxa"/>
              <w:left w:w="0" w:type="dxa"/>
              <w:bottom w:w="30" w:type="dxa"/>
              <w:right w:w="20" w:type="dxa"/>
            </w:tcMar>
            <w:hideMark/>
          </w:tcPr>
          <w:p w:rsidR="00000000" w:rsidRDefault="001F1FC8">
            <w:pPr>
              <w:jc w:val="right"/>
              <w:rPr>
                <w:rFonts w:eastAsia="Times New Roman"/>
              </w:rPr>
            </w:pPr>
          </w:p>
        </w:tc>
        <w:tc>
          <w:tcPr>
            <w:tcW w:w="0" w:type="auto"/>
            <w:gridSpan w:val="2"/>
            <w:tcBorders>
              <w:top w:val="single" w:sz="4" w:space="0" w:color="000000"/>
            </w:tcBorders>
            <w:shd w:val="clear" w:color="auto" w:fill="D9D9D9"/>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b/>
                <w:bCs/>
                <w:color w:val="000000"/>
                <w:sz w:val="16"/>
                <w:szCs w:val="16"/>
              </w:rPr>
              <w:t>352</w:t>
            </w:r>
            <w:r>
              <w:rPr>
                <w:rFonts w:ascii="Arial" w:eastAsia="Times New Roman" w:hAnsi="Arial" w:cs="Arial"/>
                <w:color w:val="000000"/>
                <w:sz w:val="16"/>
                <w:szCs w:val="16"/>
              </w:rPr>
              <w:t> </w:t>
            </w:r>
          </w:p>
        </w:tc>
        <w:tc>
          <w:tcPr>
            <w:tcW w:w="0" w:type="auto"/>
            <w:tcBorders>
              <w:top w:val="single" w:sz="4" w:space="0" w:color="000000"/>
            </w:tcBorders>
            <w:shd w:val="clear" w:color="auto" w:fill="D9D9D9"/>
            <w:tcMar>
              <w:top w:w="30" w:type="dxa"/>
              <w:left w:w="0" w:type="dxa"/>
              <w:bottom w:w="30" w:type="dxa"/>
              <w:right w:w="20" w:type="dxa"/>
            </w:tcMar>
            <w:hideMark/>
          </w:tcPr>
          <w:p w:rsidR="00000000" w:rsidRDefault="001F1FC8">
            <w:pPr>
              <w:jc w:val="right"/>
              <w:rPr>
                <w:rFonts w:eastAsia="Times New Roman"/>
              </w:rPr>
            </w:pPr>
          </w:p>
        </w:tc>
        <w:tc>
          <w:tcPr>
            <w:tcW w:w="0" w:type="auto"/>
            <w:gridSpan w:val="2"/>
            <w:tcBorders>
              <w:top w:val="single" w:sz="4" w:space="0" w:color="000000"/>
            </w:tcBorders>
            <w:shd w:val="clear" w:color="auto" w:fill="D9D9D9"/>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b/>
                <w:bCs/>
                <w:color w:val="000000"/>
                <w:sz w:val="16"/>
                <w:szCs w:val="16"/>
              </w:rPr>
              <w:t>8</w:t>
            </w:r>
            <w:r>
              <w:rPr>
                <w:rFonts w:ascii="Arial" w:eastAsia="Times New Roman" w:hAnsi="Arial" w:cs="Arial"/>
                <w:color w:val="000000"/>
                <w:sz w:val="16"/>
                <w:szCs w:val="16"/>
              </w:rPr>
              <w:t> </w:t>
            </w:r>
          </w:p>
        </w:tc>
        <w:tc>
          <w:tcPr>
            <w:tcW w:w="0" w:type="auto"/>
            <w:tcBorders>
              <w:top w:val="single" w:sz="4" w:space="0" w:color="000000"/>
            </w:tcBorders>
            <w:shd w:val="clear" w:color="auto" w:fill="D9D9D9"/>
            <w:tcMar>
              <w:top w:w="30" w:type="dxa"/>
              <w:left w:w="0" w:type="dxa"/>
              <w:bottom w:w="30" w:type="dxa"/>
              <w:right w:w="20" w:type="dxa"/>
            </w:tcMar>
            <w:hideMark/>
          </w:tcPr>
          <w:p w:rsidR="00000000" w:rsidRDefault="001F1FC8">
            <w:pPr>
              <w:jc w:val="right"/>
              <w:rPr>
                <w:rFonts w:eastAsia="Times New Roman"/>
              </w:rPr>
            </w:pPr>
          </w:p>
        </w:tc>
        <w:tc>
          <w:tcPr>
            <w:tcW w:w="0" w:type="auto"/>
            <w:gridSpan w:val="2"/>
            <w:tcBorders>
              <w:top w:val="single" w:sz="4" w:space="0" w:color="000000"/>
            </w:tcBorders>
            <w:shd w:val="clear" w:color="auto" w:fill="D9D9D9"/>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b/>
                <w:bCs/>
                <w:color w:val="000000"/>
                <w:sz w:val="16"/>
                <w:szCs w:val="16"/>
              </w:rPr>
              <w:t>360</w:t>
            </w:r>
            <w:r>
              <w:rPr>
                <w:rFonts w:ascii="Arial" w:eastAsia="Times New Roman" w:hAnsi="Arial" w:cs="Arial"/>
                <w:color w:val="000000"/>
                <w:sz w:val="16"/>
                <w:szCs w:val="16"/>
              </w:rPr>
              <w:t> </w:t>
            </w:r>
          </w:p>
        </w:tc>
        <w:tc>
          <w:tcPr>
            <w:tcW w:w="0" w:type="auto"/>
            <w:tcBorders>
              <w:top w:val="single" w:sz="4" w:space="0" w:color="000000"/>
            </w:tcBorders>
            <w:shd w:val="clear" w:color="auto" w:fill="D9D9D9"/>
            <w:tcMar>
              <w:top w:w="30" w:type="dxa"/>
              <w:left w:w="0" w:type="dxa"/>
              <w:bottom w:w="30" w:type="dxa"/>
              <w:right w:w="20" w:type="dxa"/>
            </w:tcMar>
            <w:hideMark/>
          </w:tcPr>
          <w:p w:rsidR="00000000" w:rsidRDefault="001F1FC8">
            <w:pPr>
              <w:jc w:val="right"/>
              <w:rPr>
                <w:rFonts w:eastAsia="Times New Roman"/>
              </w:rPr>
            </w:pPr>
          </w:p>
        </w:tc>
      </w:tr>
      <w:tr w:rsidR="00000000">
        <w:trPr>
          <w:divId w:val="1420449477"/>
        </w:trPr>
        <w:tc>
          <w:tcPr>
            <w:tcW w:w="0" w:type="auto"/>
            <w:gridSpan w:val="3"/>
            <w:tcBorders>
              <w:top w:val="single" w:sz="4" w:space="0" w:color="000000"/>
            </w:tcBorders>
            <w:tcMar>
              <w:top w:w="30" w:type="dxa"/>
              <w:left w:w="20" w:type="dxa"/>
              <w:bottom w:w="30" w:type="dxa"/>
              <w:right w:w="20" w:type="dxa"/>
            </w:tcMar>
            <w:hideMark/>
          </w:tcPr>
          <w:p w:rsidR="00000000" w:rsidRDefault="001F1FC8">
            <w:pPr>
              <w:rPr>
                <w:rFonts w:eastAsia="Times New Roman"/>
              </w:rPr>
            </w:pPr>
            <w:r>
              <w:rPr>
                <w:rFonts w:ascii="Arial" w:eastAsia="Times New Roman" w:hAnsi="Arial" w:cs="Arial"/>
                <w:color w:val="000000"/>
                <w:sz w:val="16"/>
                <w:szCs w:val="16"/>
              </w:rPr>
              <w:t>Financial liabilities</w:t>
            </w:r>
          </w:p>
        </w:tc>
        <w:tc>
          <w:tcPr>
            <w:tcW w:w="0" w:type="auto"/>
            <w:gridSpan w:val="3"/>
            <w:tcBorders>
              <w:top w:val="single" w:sz="4" w:space="0" w:color="000000"/>
            </w:tcBorders>
            <w:shd w:val="clear" w:color="auto" w:fill="D9D9D9"/>
            <w:tcMar>
              <w:top w:w="30" w:type="dxa"/>
              <w:left w:w="20" w:type="dxa"/>
              <w:bottom w:w="30" w:type="dxa"/>
              <w:right w:w="20" w:type="dxa"/>
            </w:tcMar>
            <w:hideMark/>
          </w:tcPr>
          <w:p w:rsidR="00000000" w:rsidRDefault="001F1FC8">
            <w:pPr>
              <w:jc w:val="right"/>
              <w:rPr>
                <w:rFonts w:eastAsia="Times New Roman"/>
              </w:rPr>
            </w:pPr>
            <w:r>
              <w:rPr>
                <w:rFonts w:ascii="Arial" w:eastAsia="Times New Roman" w:hAnsi="Arial" w:cs="Arial"/>
                <w:color w:val="000000"/>
                <w:sz w:val="2"/>
                <w:szCs w:val="2"/>
              </w:rPr>
              <w:t> </w:t>
            </w:r>
          </w:p>
        </w:tc>
        <w:tc>
          <w:tcPr>
            <w:tcW w:w="0" w:type="auto"/>
            <w:gridSpan w:val="3"/>
            <w:tcBorders>
              <w:top w:val="single" w:sz="4" w:space="0" w:color="000000"/>
            </w:tcBorders>
            <w:shd w:val="clear" w:color="auto" w:fill="D9D9D9"/>
            <w:tcMar>
              <w:top w:w="30" w:type="dxa"/>
              <w:left w:w="20" w:type="dxa"/>
              <w:bottom w:w="30" w:type="dxa"/>
              <w:right w:w="20" w:type="dxa"/>
            </w:tcMar>
            <w:hideMark/>
          </w:tcPr>
          <w:p w:rsidR="00000000" w:rsidRDefault="001F1FC8">
            <w:pPr>
              <w:jc w:val="right"/>
              <w:rPr>
                <w:rFonts w:eastAsia="Times New Roman"/>
              </w:rPr>
            </w:pPr>
            <w:r>
              <w:rPr>
                <w:rFonts w:ascii="Arial" w:eastAsia="Times New Roman" w:hAnsi="Arial" w:cs="Arial"/>
                <w:color w:val="000000"/>
                <w:sz w:val="2"/>
                <w:szCs w:val="2"/>
              </w:rPr>
              <w:t> </w:t>
            </w:r>
          </w:p>
        </w:tc>
        <w:tc>
          <w:tcPr>
            <w:tcW w:w="0" w:type="auto"/>
            <w:gridSpan w:val="3"/>
            <w:tcBorders>
              <w:top w:val="single" w:sz="4" w:space="0" w:color="000000"/>
            </w:tcBorders>
            <w:shd w:val="clear" w:color="auto" w:fill="D9D9D9"/>
            <w:tcMar>
              <w:top w:w="30" w:type="dxa"/>
              <w:left w:w="20" w:type="dxa"/>
              <w:bottom w:w="30" w:type="dxa"/>
              <w:right w:w="20" w:type="dxa"/>
            </w:tcMar>
            <w:hideMark/>
          </w:tcPr>
          <w:p w:rsidR="00000000" w:rsidRDefault="001F1FC8">
            <w:pPr>
              <w:jc w:val="right"/>
              <w:rPr>
                <w:rFonts w:eastAsia="Times New Roman"/>
              </w:rPr>
            </w:pPr>
            <w:r>
              <w:rPr>
                <w:rFonts w:ascii="Arial" w:eastAsia="Times New Roman" w:hAnsi="Arial" w:cs="Arial"/>
                <w:color w:val="000000"/>
                <w:sz w:val="2"/>
                <w:szCs w:val="2"/>
              </w:rPr>
              <w:t> </w:t>
            </w:r>
          </w:p>
        </w:tc>
        <w:tc>
          <w:tcPr>
            <w:tcW w:w="0" w:type="auto"/>
            <w:gridSpan w:val="3"/>
            <w:tcBorders>
              <w:top w:val="single" w:sz="4" w:space="0" w:color="000000"/>
            </w:tcBorders>
            <w:shd w:val="clear" w:color="auto" w:fill="D9D9D9"/>
            <w:tcMar>
              <w:top w:w="0" w:type="dxa"/>
              <w:left w:w="20" w:type="dxa"/>
              <w:bottom w:w="0" w:type="dxa"/>
              <w:right w:w="20" w:type="dxa"/>
            </w:tcMar>
            <w:vAlign w:val="center"/>
            <w:hideMark/>
          </w:tcPr>
          <w:p w:rsidR="00000000" w:rsidRDefault="001F1FC8">
            <w:pPr>
              <w:jc w:val="right"/>
              <w:rPr>
                <w:rFonts w:eastAsia="Times New Roman"/>
              </w:rPr>
            </w:pPr>
          </w:p>
        </w:tc>
      </w:tr>
      <w:tr w:rsidR="00000000">
        <w:trPr>
          <w:divId w:val="1420449477"/>
        </w:trPr>
        <w:tc>
          <w:tcPr>
            <w:tcW w:w="0" w:type="auto"/>
            <w:gridSpan w:val="3"/>
            <w:tcMar>
              <w:top w:w="30" w:type="dxa"/>
              <w:left w:w="110" w:type="dxa"/>
              <w:bottom w:w="30" w:type="dxa"/>
              <w:right w:w="20" w:type="dxa"/>
            </w:tcMar>
            <w:hideMark/>
          </w:tcPr>
          <w:p w:rsidR="00000000" w:rsidRDefault="001F1FC8">
            <w:pPr>
              <w:rPr>
                <w:rFonts w:eastAsia="Times New Roman"/>
              </w:rPr>
            </w:pPr>
            <w:r>
              <w:rPr>
                <w:rFonts w:ascii="Arial" w:eastAsia="Times New Roman" w:hAnsi="Arial" w:cs="Arial"/>
                <w:color w:val="000000"/>
                <w:sz w:val="16"/>
                <w:szCs w:val="16"/>
              </w:rPr>
              <w:t>Current derivative liabilities</w:t>
            </w:r>
          </w:p>
        </w:tc>
        <w:tc>
          <w:tcPr>
            <w:tcW w:w="0" w:type="auto"/>
            <w:gridSpan w:val="3"/>
            <w:shd w:val="clear" w:color="auto" w:fill="D9D9D9"/>
            <w:tcMar>
              <w:top w:w="30" w:type="dxa"/>
              <w:left w:w="20" w:type="dxa"/>
              <w:bottom w:w="30" w:type="dxa"/>
              <w:right w:w="20" w:type="dxa"/>
            </w:tcMar>
            <w:hideMark/>
          </w:tcPr>
          <w:p w:rsidR="00000000" w:rsidRDefault="001F1FC8">
            <w:pPr>
              <w:jc w:val="right"/>
              <w:rPr>
                <w:rFonts w:eastAsia="Times New Roman"/>
              </w:rPr>
            </w:pPr>
            <w:r>
              <w:rPr>
                <w:rFonts w:ascii="Arial" w:eastAsia="Times New Roman" w:hAnsi="Arial" w:cs="Arial"/>
                <w:color w:val="000000"/>
                <w:sz w:val="2"/>
                <w:szCs w:val="2"/>
              </w:rPr>
              <w:t> </w:t>
            </w:r>
          </w:p>
        </w:tc>
        <w:tc>
          <w:tcPr>
            <w:tcW w:w="0" w:type="auto"/>
            <w:gridSpan w:val="3"/>
            <w:shd w:val="clear" w:color="auto" w:fill="D9D9D9"/>
            <w:tcMar>
              <w:top w:w="30" w:type="dxa"/>
              <w:left w:w="20" w:type="dxa"/>
              <w:bottom w:w="30" w:type="dxa"/>
              <w:right w:w="20" w:type="dxa"/>
            </w:tcMar>
            <w:hideMark/>
          </w:tcPr>
          <w:p w:rsidR="00000000" w:rsidRDefault="001F1FC8">
            <w:pPr>
              <w:jc w:val="right"/>
              <w:rPr>
                <w:rFonts w:eastAsia="Times New Roman"/>
              </w:rPr>
            </w:pPr>
            <w:r>
              <w:rPr>
                <w:rFonts w:ascii="Arial" w:eastAsia="Times New Roman" w:hAnsi="Arial" w:cs="Arial"/>
                <w:color w:val="000000"/>
                <w:sz w:val="2"/>
                <w:szCs w:val="2"/>
              </w:rPr>
              <w:t> </w:t>
            </w:r>
          </w:p>
        </w:tc>
        <w:tc>
          <w:tcPr>
            <w:tcW w:w="0" w:type="auto"/>
            <w:gridSpan w:val="3"/>
            <w:shd w:val="clear" w:color="auto" w:fill="D9D9D9"/>
            <w:tcMar>
              <w:top w:w="30" w:type="dxa"/>
              <w:left w:w="20" w:type="dxa"/>
              <w:bottom w:w="30" w:type="dxa"/>
              <w:right w:w="20" w:type="dxa"/>
            </w:tcMar>
            <w:hideMark/>
          </w:tcPr>
          <w:p w:rsidR="00000000" w:rsidRDefault="001F1FC8">
            <w:pPr>
              <w:jc w:val="right"/>
              <w:rPr>
                <w:rFonts w:eastAsia="Times New Roman"/>
              </w:rPr>
            </w:pPr>
            <w:r>
              <w:rPr>
                <w:rFonts w:ascii="Arial" w:eastAsia="Times New Roman" w:hAnsi="Arial" w:cs="Arial"/>
                <w:color w:val="000000"/>
                <w:sz w:val="2"/>
                <w:szCs w:val="2"/>
              </w:rPr>
              <w:t> </w:t>
            </w:r>
          </w:p>
        </w:tc>
        <w:tc>
          <w:tcPr>
            <w:tcW w:w="0" w:type="auto"/>
            <w:gridSpan w:val="3"/>
            <w:shd w:val="clear" w:color="auto" w:fill="D9D9D9"/>
            <w:tcMar>
              <w:top w:w="0" w:type="dxa"/>
              <w:left w:w="20" w:type="dxa"/>
              <w:bottom w:w="0" w:type="dxa"/>
              <w:right w:w="20" w:type="dxa"/>
            </w:tcMar>
            <w:vAlign w:val="center"/>
            <w:hideMark/>
          </w:tcPr>
          <w:p w:rsidR="00000000" w:rsidRDefault="001F1FC8">
            <w:pPr>
              <w:jc w:val="right"/>
              <w:rPr>
                <w:rFonts w:eastAsia="Times New Roman"/>
              </w:rPr>
            </w:pPr>
          </w:p>
        </w:tc>
      </w:tr>
      <w:tr w:rsidR="00000000">
        <w:trPr>
          <w:divId w:val="1420449477"/>
        </w:trPr>
        <w:tc>
          <w:tcPr>
            <w:tcW w:w="0" w:type="auto"/>
            <w:gridSpan w:val="3"/>
            <w:tcMar>
              <w:top w:w="30" w:type="dxa"/>
              <w:left w:w="380" w:type="dxa"/>
              <w:bottom w:w="30" w:type="dxa"/>
              <w:right w:w="20" w:type="dxa"/>
            </w:tcMar>
            <w:hideMark/>
          </w:tcPr>
          <w:p w:rsidR="00000000" w:rsidRDefault="001F1FC8">
            <w:pPr>
              <w:rPr>
                <w:rFonts w:eastAsia="Times New Roman"/>
              </w:rPr>
            </w:pPr>
            <w:r>
              <w:rPr>
                <w:rFonts w:ascii="Arial" w:eastAsia="Times New Roman" w:hAnsi="Arial" w:cs="Arial"/>
                <w:color w:val="000000"/>
                <w:sz w:val="16"/>
                <w:szCs w:val="16"/>
              </w:rPr>
              <w:t>Foreign exchange contracts</w:t>
            </w:r>
          </w:p>
        </w:tc>
        <w:tc>
          <w:tcPr>
            <w:tcW w:w="0" w:type="auto"/>
            <w:gridSpan w:val="2"/>
            <w:shd w:val="clear" w:color="auto" w:fill="D9D9D9"/>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hideMark/>
          </w:tcPr>
          <w:p w:rsidR="00000000" w:rsidRDefault="001F1FC8">
            <w:pPr>
              <w:jc w:val="right"/>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b/>
                <w:bCs/>
                <w:color w:val="000000"/>
                <w:sz w:val="16"/>
                <w:szCs w:val="16"/>
              </w:rPr>
              <w:t>(303)</w:t>
            </w:r>
          </w:p>
        </w:tc>
        <w:tc>
          <w:tcPr>
            <w:tcW w:w="0" w:type="auto"/>
            <w:shd w:val="clear" w:color="auto" w:fill="D9D9D9"/>
            <w:tcMar>
              <w:top w:w="30" w:type="dxa"/>
              <w:left w:w="0" w:type="dxa"/>
              <w:bottom w:w="30" w:type="dxa"/>
              <w:right w:w="20" w:type="dxa"/>
            </w:tcMar>
            <w:hideMark/>
          </w:tcPr>
          <w:p w:rsidR="00000000" w:rsidRDefault="001F1FC8">
            <w:pPr>
              <w:jc w:val="right"/>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hideMark/>
          </w:tcPr>
          <w:p w:rsidR="00000000" w:rsidRDefault="001F1FC8">
            <w:pPr>
              <w:jc w:val="right"/>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b/>
                <w:bCs/>
                <w:color w:val="000000"/>
                <w:sz w:val="16"/>
                <w:szCs w:val="16"/>
              </w:rPr>
              <w:t>(303)</w:t>
            </w:r>
          </w:p>
        </w:tc>
        <w:tc>
          <w:tcPr>
            <w:tcW w:w="0" w:type="auto"/>
            <w:shd w:val="clear" w:color="auto" w:fill="D9D9D9"/>
            <w:tcMar>
              <w:top w:w="30" w:type="dxa"/>
              <w:left w:w="0" w:type="dxa"/>
              <w:bottom w:w="30" w:type="dxa"/>
              <w:right w:w="20" w:type="dxa"/>
            </w:tcMar>
            <w:hideMark/>
          </w:tcPr>
          <w:p w:rsidR="00000000" w:rsidRDefault="001F1FC8">
            <w:pPr>
              <w:jc w:val="right"/>
              <w:rPr>
                <w:rFonts w:eastAsia="Times New Roman"/>
              </w:rPr>
            </w:pPr>
          </w:p>
        </w:tc>
      </w:tr>
      <w:tr w:rsidR="00000000">
        <w:trPr>
          <w:divId w:val="1420449477"/>
        </w:trPr>
        <w:tc>
          <w:tcPr>
            <w:tcW w:w="0" w:type="auto"/>
            <w:gridSpan w:val="3"/>
            <w:tcMar>
              <w:top w:w="30" w:type="dxa"/>
              <w:left w:w="380" w:type="dxa"/>
              <w:bottom w:w="30" w:type="dxa"/>
              <w:right w:w="20" w:type="dxa"/>
            </w:tcMar>
            <w:hideMark/>
          </w:tcPr>
          <w:p w:rsidR="00000000" w:rsidRDefault="001F1FC8">
            <w:pPr>
              <w:rPr>
                <w:rFonts w:eastAsia="Times New Roman"/>
              </w:rPr>
            </w:pPr>
            <w:r>
              <w:rPr>
                <w:rFonts w:ascii="Arial" w:eastAsia="Times New Roman" w:hAnsi="Arial" w:cs="Arial"/>
                <w:color w:val="000000"/>
                <w:sz w:val="16"/>
                <w:szCs w:val="16"/>
              </w:rPr>
              <w:t>Interest rate contracts</w:t>
            </w:r>
          </w:p>
        </w:tc>
        <w:tc>
          <w:tcPr>
            <w:tcW w:w="0" w:type="auto"/>
            <w:gridSpan w:val="2"/>
            <w:shd w:val="clear" w:color="auto" w:fill="D9D9D9"/>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hideMark/>
          </w:tcPr>
          <w:p w:rsidR="00000000" w:rsidRDefault="001F1FC8">
            <w:pPr>
              <w:jc w:val="right"/>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b/>
                <w:bCs/>
                <w:color w:val="000000"/>
                <w:sz w:val="16"/>
                <w:szCs w:val="16"/>
              </w:rPr>
              <w:t>(150)</w:t>
            </w:r>
          </w:p>
        </w:tc>
        <w:tc>
          <w:tcPr>
            <w:tcW w:w="0" w:type="auto"/>
            <w:shd w:val="clear" w:color="auto" w:fill="D9D9D9"/>
            <w:tcMar>
              <w:top w:w="30" w:type="dxa"/>
              <w:left w:w="0" w:type="dxa"/>
              <w:bottom w:w="30" w:type="dxa"/>
              <w:right w:w="20" w:type="dxa"/>
            </w:tcMar>
            <w:hideMark/>
          </w:tcPr>
          <w:p w:rsidR="00000000" w:rsidRDefault="001F1FC8">
            <w:pPr>
              <w:jc w:val="right"/>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hideMark/>
          </w:tcPr>
          <w:p w:rsidR="00000000" w:rsidRDefault="001F1FC8">
            <w:pPr>
              <w:jc w:val="right"/>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b/>
                <w:bCs/>
                <w:color w:val="000000"/>
                <w:sz w:val="16"/>
                <w:szCs w:val="16"/>
              </w:rPr>
              <w:t>(150)</w:t>
            </w:r>
          </w:p>
        </w:tc>
        <w:tc>
          <w:tcPr>
            <w:tcW w:w="0" w:type="auto"/>
            <w:shd w:val="clear" w:color="auto" w:fill="D9D9D9"/>
            <w:tcMar>
              <w:top w:w="30" w:type="dxa"/>
              <w:left w:w="0" w:type="dxa"/>
              <w:bottom w:w="30" w:type="dxa"/>
              <w:right w:w="20" w:type="dxa"/>
            </w:tcMar>
            <w:hideMark/>
          </w:tcPr>
          <w:p w:rsidR="00000000" w:rsidRDefault="001F1FC8">
            <w:pPr>
              <w:jc w:val="right"/>
              <w:rPr>
                <w:rFonts w:eastAsia="Times New Roman"/>
              </w:rPr>
            </w:pPr>
          </w:p>
        </w:tc>
      </w:tr>
      <w:tr w:rsidR="00000000">
        <w:trPr>
          <w:divId w:val="1420449477"/>
        </w:trPr>
        <w:tc>
          <w:tcPr>
            <w:tcW w:w="0" w:type="auto"/>
            <w:gridSpan w:val="3"/>
            <w:tcMar>
              <w:top w:w="30" w:type="dxa"/>
              <w:left w:w="380" w:type="dxa"/>
              <w:bottom w:w="30" w:type="dxa"/>
              <w:right w:w="20" w:type="dxa"/>
            </w:tcMar>
            <w:hideMark/>
          </w:tcPr>
          <w:p w:rsidR="00000000" w:rsidRDefault="001F1FC8">
            <w:pPr>
              <w:rPr>
                <w:rFonts w:eastAsia="Times New Roman"/>
              </w:rPr>
            </w:pPr>
            <w:r>
              <w:rPr>
                <w:rFonts w:ascii="Arial" w:eastAsia="Times New Roman" w:hAnsi="Arial" w:cs="Arial"/>
                <w:color w:val="000000"/>
                <w:sz w:val="16"/>
                <w:szCs w:val="16"/>
              </w:rPr>
              <w:t>Commodity contracts</w:t>
            </w:r>
          </w:p>
        </w:tc>
        <w:tc>
          <w:tcPr>
            <w:tcW w:w="0" w:type="auto"/>
            <w:gridSpan w:val="2"/>
            <w:shd w:val="clear" w:color="auto" w:fill="D9D9D9"/>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b/>
                <w:bCs/>
                <w:color w:val="000000"/>
                <w:sz w:val="16"/>
                <w:szCs w:val="16"/>
              </w:rPr>
              <w:t>(52)</w:t>
            </w:r>
          </w:p>
        </w:tc>
        <w:tc>
          <w:tcPr>
            <w:tcW w:w="0" w:type="auto"/>
            <w:shd w:val="clear" w:color="auto" w:fill="D9D9D9"/>
            <w:tcMar>
              <w:top w:w="30" w:type="dxa"/>
              <w:left w:w="0" w:type="dxa"/>
              <w:bottom w:w="30" w:type="dxa"/>
              <w:right w:w="20" w:type="dxa"/>
            </w:tcMar>
            <w:hideMark/>
          </w:tcPr>
          <w:p w:rsidR="00000000" w:rsidRDefault="001F1FC8">
            <w:pPr>
              <w:jc w:val="right"/>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b/>
                <w:bCs/>
                <w:color w:val="000000"/>
                <w:sz w:val="16"/>
                <w:szCs w:val="16"/>
              </w:rPr>
              <w:t>(66)</w:t>
            </w:r>
          </w:p>
        </w:tc>
        <w:tc>
          <w:tcPr>
            <w:tcW w:w="0" w:type="auto"/>
            <w:shd w:val="clear" w:color="auto" w:fill="D9D9D9"/>
            <w:tcMar>
              <w:top w:w="30" w:type="dxa"/>
              <w:left w:w="0" w:type="dxa"/>
              <w:bottom w:w="30" w:type="dxa"/>
              <w:right w:w="20" w:type="dxa"/>
            </w:tcMar>
            <w:hideMark/>
          </w:tcPr>
          <w:p w:rsidR="00000000" w:rsidRDefault="001F1FC8">
            <w:pPr>
              <w:jc w:val="right"/>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b/>
                <w:bCs/>
                <w:color w:val="000000"/>
                <w:sz w:val="16"/>
                <w:szCs w:val="16"/>
              </w:rPr>
              <w:t>146)</w:t>
            </w:r>
          </w:p>
        </w:tc>
        <w:tc>
          <w:tcPr>
            <w:tcW w:w="0" w:type="auto"/>
            <w:shd w:val="clear" w:color="auto" w:fill="D9D9D9"/>
            <w:tcMar>
              <w:top w:w="30" w:type="dxa"/>
              <w:left w:w="0" w:type="dxa"/>
              <w:bottom w:w="30" w:type="dxa"/>
              <w:right w:w="20" w:type="dxa"/>
            </w:tcMar>
            <w:hideMark/>
          </w:tcPr>
          <w:p w:rsidR="00000000" w:rsidRDefault="001F1FC8">
            <w:pPr>
              <w:jc w:val="right"/>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b/>
                <w:bCs/>
                <w:color w:val="000000"/>
                <w:sz w:val="16"/>
                <w:szCs w:val="16"/>
              </w:rPr>
              <w:t>(264)</w:t>
            </w:r>
          </w:p>
        </w:tc>
        <w:tc>
          <w:tcPr>
            <w:tcW w:w="0" w:type="auto"/>
            <w:shd w:val="clear" w:color="auto" w:fill="D9D9D9"/>
            <w:tcMar>
              <w:top w:w="30" w:type="dxa"/>
              <w:left w:w="0" w:type="dxa"/>
              <w:bottom w:w="30" w:type="dxa"/>
              <w:right w:w="20" w:type="dxa"/>
            </w:tcMar>
            <w:hideMark/>
          </w:tcPr>
          <w:p w:rsidR="00000000" w:rsidRDefault="001F1FC8">
            <w:pPr>
              <w:jc w:val="right"/>
              <w:rPr>
                <w:rFonts w:eastAsia="Times New Roman"/>
              </w:rPr>
            </w:pPr>
          </w:p>
        </w:tc>
      </w:tr>
      <w:tr w:rsidR="00000000">
        <w:trPr>
          <w:divId w:val="1420449477"/>
        </w:trPr>
        <w:tc>
          <w:tcPr>
            <w:tcW w:w="0" w:type="auto"/>
            <w:gridSpan w:val="3"/>
            <w:tcMar>
              <w:top w:w="30" w:type="dxa"/>
              <w:left w:w="380" w:type="dxa"/>
              <w:bottom w:w="30" w:type="dxa"/>
              <w:right w:w="20" w:type="dxa"/>
            </w:tcMar>
            <w:hideMark/>
          </w:tcPr>
          <w:p w:rsidR="00000000" w:rsidRDefault="001F1FC8">
            <w:pPr>
              <w:rPr>
                <w:rFonts w:eastAsia="Times New Roman"/>
              </w:rPr>
            </w:pPr>
            <w:r>
              <w:rPr>
                <w:rFonts w:ascii="Arial" w:eastAsia="Times New Roman" w:hAnsi="Arial" w:cs="Arial"/>
                <w:color w:val="000000"/>
                <w:sz w:val="16"/>
                <w:szCs w:val="16"/>
              </w:rPr>
              <w:t>Other contracts</w:t>
            </w:r>
          </w:p>
        </w:tc>
        <w:tc>
          <w:tcPr>
            <w:tcW w:w="0" w:type="auto"/>
            <w:gridSpan w:val="2"/>
            <w:shd w:val="clear" w:color="auto" w:fill="D9D9D9"/>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hideMark/>
          </w:tcPr>
          <w:p w:rsidR="00000000" w:rsidRDefault="001F1FC8">
            <w:pPr>
              <w:jc w:val="right"/>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hideMark/>
          </w:tcPr>
          <w:p w:rsidR="00000000" w:rsidRDefault="001F1FC8">
            <w:pPr>
              <w:jc w:val="right"/>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hideMark/>
          </w:tcPr>
          <w:p w:rsidR="00000000" w:rsidRDefault="001F1FC8">
            <w:pPr>
              <w:jc w:val="right"/>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hideMark/>
          </w:tcPr>
          <w:p w:rsidR="00000000" w:rsidRDefault="001F1FC8">
            <w:pPr>
              <w:jc w:val="right"/>
              <w:rPr>
                <w:rFonts w:eastAsia="Times New Roman"/>
              </w:rPr>
            </w:pPr>
          </w:p>
        </w:tc>
      </w:tr>
      <w:tr w:rsidR="00000000">
        <w:trPr>
          <w:divId w:val="1420449477"/>
        </w:trPr>
        <w:tc>
          <w:tcPr>
            <w:tcW w:w="0" w:type="auto"/>
            <w:gridSpan w:val="3"/>
            <w:tcBorders>
              <w:top w:val="single" w:sz="4" w:space="0" w:color="000000"/>
            </w:tcBorders>
            <w:tcMar>
              <w:top w:w="30" w:type="dxa"/>
              <w:left w:w="380" w:type="dxa"/>
              <w:bottom w:w="30" w:type="dxa"/>
              <w:right w:w="20" w:type="dxa"/>
            </w:tcMar>
            <w:hideMark/>
          </w:tcPr>
          <w:p w:rsidR="00000000" w:rsidRDefault="001F1FC8">
            <w:pPr>
              <w:rPr>
                <w:rFonts w:eastAsia="Times New Roman"/>
              </w:rPr>
            </w:pPr>
            <w:r>
              <w:rPr>
                <w:rFonts w:ascii="Arial" w:eastAsia="Times New Roman" w:hAnsi="Arial" w:cs="Arial"/>
                <w:color w:val="000000"/>
                <w:sz w:val="2"/>
                <w:szCs w:val="2"/>
              </w:rPr>
              <w:t> </w:t>
            </w:r>
          </w:p>
        </w:tc>
        <w:tc>
          <w:tcPr>
            <w:tcW w:w="0" w:type="auto"/>
            <w:gridSpan w:val="2"/>
            <w:tcBorders>
              <w:top w:val="single" w:sz="4" w:space="0" w:color="000000"/>
            </w:tcBorders>
            <w:shd w:val="clear" w:color="auto" w:fill="D9D9D9"/>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b/>
                <w:bCs/>
                <w:color w:val="000000"/>
                <w:sz w:val="16"/>
                <w:szCs w:val="16"/>
              </w:rPr>
              <w:t>(52)</w:t>
            </w:r>
          </w:p>
        </w:tc>
        <w:tc>
          <w:tcPr>
            <w:tcW w:w="0" w:type="auto"/>
            <w:tcBorders>
              <w:top w:val="single" w:sz="4" w:space="0" w:color="000000"/>
            </w:tcBorders>
            <w:shd w:val="clear" w:color="auto" w:fill="D9D9D9"/>
            <w:tcMar>
              <w:top w:w="30" w:type="dxa"/>
              <w:left w:w="0" w:type="dxa"/>
              <w:bottom w:w="30" w:type="dxa"/>
              <w:right w:w="20" w:type="dxa"/>
            </w:tcMar>
            <w:hideMark/>
          </w:tcPr>
          <w:p w:rsidR="00000000" w:rsidRDefault="001F1FC8">
            <w:pPr>
              <w:jc w:val="right"/>
              <w:rPr>
                <w:rFonts w:eastAsia="Times New Roman"/>
              </w:rPr>
            </w:pPr>
          </w:p>
        </w:tc>
        <w:tc>
          <w:tcPr>
            <w:tcW w:w="0" w:type="auto"/>
            <w:gridSpan w:val="2"/>
            <w:tcBorders>
              <w:top w:val="single" w:sz="4" w:space="0" w:color="000000"/>
            </w:tcBorders>
            <w:shd w:val="clear" w:color="auto" w:fill="D9D9D9"/>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b/>
                <w:bCs/>
                <w:color w:val="000000"/>
                <w:sz w:val="16"/>
                <w:szCs w:val="16"/>
              </w:rPr>
              <w:t>(519)</w:t>
            </w:r>
          </w:p>
        </w:tc>
        <w:tc>
          <w:tcPr>
            <w:tcW w:w="0" w:type="auto"/>
            <w:tcBorders>
              <w:top w:val="single" w:sz="4" w:space="0" w:color="000000"/>
            </w:tcBorders>
            <w:shd w:val="clear" w:color="auto" w:fill="D9D9D9"/>
            <w:tcMar>
              <w:top w:w="30" w:type="dxa"/>
              <w:left w:w="0" w:type="dxa"/>
              <w:bottom w:w="30" w:type="dxa"/>
              <w:right w:w="20" w:type="dxa"/>
            </w:tcMar>
            <w:hideMark/>
          </w:tcPr>
          <w:p w:rsidR="00000000" w:rsidRDefault="001F1FC8">
            <w:pPr>
              <w:jc w:val="right"/>
              <w:rPr>
                <w:rFonts w:eastAsia="Times New Roman"/>
              </w:rPr>
            </w:pPr>
          </w:p>
        </w:tc>
        <w:tc>
          <w:tcPr>
            <w:tcW w:w="0" w:type="auto"/>
            <w:gridSpan w:val="2"/>
            <w:tcBorders>
              <w:top w:val="single" w:sz="4" w:space="0" w:color="000000"/>
            </w:tcBorders>
            <w:shd w:val="clear" w:color="auto" w:fill="D9D9D9"/>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b/>
                <w:bCs/>
                <w:color w:val="000000"/>
                <w:sz w:val="16"/>
                <w:szCs w:val="16"/>
              </w:rPr>
              <w:t>(146)</w:t>
            </w:r>
          </w:p>
        </w:tc>
        <w:tc>
          <w:tcPr>
            <w:tcW w:w="0" w:type="auto"/>
            <w:tcBorders>
              <w:top w:val="single" w:sz="4" w:space="0" w:color="000000"/>
            </w:tcBorders>
            <w:shd w:val="clear" w:color="auto" w:fill="D9D9D9"/>
            <w:tcMar>
              <w:top w:w="30" w:type="dxa"/>
              <w:left w:w="0" w:type="dxa"/>
              <w:bottom w:w="30" w:type="dxa"/>
              <w:right w:w="20" w:type="dxa"/>
            </w:tcMar>
            <w:hideMark/>
          </w:tcPr>
          <w:p w:rsidR="00000000" w:rsidRDefault="001F1FC8">
            <w:pPr>
              <w:jc w:val="right"/>
              <w:rPr>
                <w:rFonts w:eastAsia="Times New Roman"/>
              </w:rPr>
            </w:pPr>
          </w:p>
        </w:tc>
        <w:tc>
          <w:tcPr>
            <w:tcW w:w="0" w:type="auto"/>
            <w:gridSpan w:val="2"/>
            <w:tcBorders>
              <w:top w:val="single" w:sz="4" w:space="0" w:color="000000"/>
            </w:tcBorders>
            <w:shd w:val="clear" w:color="auto" w:fill="D9D9D9"/>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b/>
                <w:bCs/>
                <w:color w:val="000000"/>
                <w:sz w:val="16"/>
                <w:szCs w:val="16"/>
              </w:rPr>
              <w:t>(717)</w:t>
            </w:r>
          </w:p>
        </w:tc>
        <w:tc>
          <w:tcPr>
            <w:tcW w:w="0" w:type="auto"/>
            <w:tcBorders>
              <w:top w:val="single" w:sz="4" w:space="0" w:color="000000"/>
            </w:tcBorders>
            <w:shd w:val="clear" w:color="auto" w:fill="D9D9D9"/>
            <w:tcMar>
              <w:top w:w="30" w:type="dxa"/>
              <w:left w:w="0" w:type="dxa"/>
              <w:bottom w:w="30" w:type="dxa"/>
              <w:right w:w="20" w:type="dxa"/>
            </w:tcMar>
            <w:hideMark/>
          </w:tcPr>
          <w:p w:rsidR="00000000" w:rsidRDefault="001F1FC8">
            <w:pPr>
              <w:jc w:val="right"/>
              <w:rPr>
                <w:rFonts w:eastAsia="Times New Roman"/>
              </w:rPr>
            </w:pPr>
          </w:p>
        </w:tc>
      </w:tr>
      <w:tr w:rsidR="00000000">
        <w:trPr>
          <w:divId w:val="1420449477"/>
        </w:trPr>
        <w:tc>
          <w:tcPr>
            <w:tcW w:w="0" w:type="auto"/>
            <w:gridSpan w:val="3"/>
            <w:tcBorders>
              <w:top w:val="single" w:sz="4" w:space="0" w:color="000000"/>
            </w:tcBorders>
            <w:tcMar>
              <w:top w:w="30" w:type="dxa"/>
              <w:left w:w="110" w:type="dxa"/>
              <w:bottom w:w="30" w:type="dxa"/>
              <w:right w:w="20" w:type="dxa"/>
            </w:tcMar>
            <w:hideMark/>
          </w:tcPr>
          <w:p w:rsidR="00000000" w:rsidRDefault="001F1FC8">
            <w:pPr>
              <w:rPr>
                <w:rFonts w:eastAsia="Times New Roman"/>
              </w:rPr>
            </w:pPr>
            <w:r>
              <w:rPr>
                <w:rFonts w:ascii="Arial" w:eastAsia="Times New Roman" w:hAnsi="Arial" w:cs="Arial"/>
                <w:color w:val="000000"/>
                <w:sz w:val="16"/>
                <w:szCs w:val="16"/>
              </w:rPr>
              <w:t>Long-term derivative liabilities</w:t>
            </w:r>
          </w:p>
        </w:tc>
        <w:tc>
          <w:tcPr>
            <w:tcW w:w="0" w:type="auto"/>
            <w:gridSpan w:val="3"/>
            <w:tcBorders>
              <w:top w:val="single" w:sz="4" w:space="0" w:color="000000"/>
            </w:tcBorders>
            <w:shd w:val="clear" w:color="auto" w:fill="D9D9D9"/>
            <w:tcMar>
              <w:top w:w="30" w:type="dxa"/>
              <w:left w:w="20" w:type="dxa"/>
              <w:bottom w:w="30" w:type="dxa"/>
              <w:right w:w="20" w:type="dxa"/>
            </w:tcMar>
            <w:hideMark/>
          </w:tcPr>
          <w:p w:rsidR="00000000" w:rsidRDefault="001F1FC8">
            <w:pPr>
              <w:jc w:val="right"/>
              <w:rPr>
                <w:rFonts w:eastAsia="Times New Roman"/>
              </w:rPr>
            </w:pPr>
            <w:r>
              <w:rPr>
                <w:rFonts w:ascii="Arial" w:eastAsia="Times New Roman" w:hAnsi="Arial" w:cs="Arial"/>
                <w:color w:val="000000"/>
                <w:sz w:val="2"/>
                <w:szCs w:val="2"/>
              </w:rPr>
              <w:t> </w:t>
            </w:r>
          </w:p>
        </w:tc>
        <w:tc>
          <w:tcPr>
            <w:tcW w:w="0" w:type="auto"/>
            <w:gridSpan w:val="3"/>
            <w:tcBorders>
              <w:top w:val="single" w:sz="4" w:space="0" w:color="000000"/>
            </w:tcBorders>
            <w:shd w:val="clear" w:color="auto" w:fill="D9D9D9"/>
            <w:tcMar>
              <w:top w:w="30" w:type="dxa"/>
              <w:left w:w="20" w:type="dxa"/>
              <w:bottom w:w="30" w:type="dxa"/>
              <w:right w:w="20" w:type="dxa"/>
            </w:tcMar>
            <w:hideMark/>
          </w:tcPr>
          <w:p w:rsidR="00000000" w:rsidRDefault="001F1FC8">
            <w:pPr>
              <w:jc w:val="right"/>
              <w:rPr>
                <w:rFonts w:eastAsia="Times New Roman"/>
              </w:rPr>
            </w:pPr>
            <w:r>
              <w:rPr>
                <w:rFonts w:ascii="Arial" w:eastAsia="Times New Roman" w:hAnsi="Arial" w:cs="Arial"/>
                <w:color w:val="000000"/>
                <w:sz w:val="2"/>
                <w:szCs w:val="2"/>
              </w:rPr>
              <w:t> </w:t>
            </w:r>
          </w:p>
        </w:tc>
        <w:tc>
          <w:tcPr>
            <w:tcW w:w="0" w:type="auto"/>
            <w:gridSpan w:val="3"/>
            <w:tcBorders>
              <w:top w:val="single" w:sz="4" w:space="0" w:color="000000"/>
            </w:tcBorders>
            <w:shd w:val="clear" w:color="auto" w:fill="D9D9D9"/>
            <w:tcMar>
              <w:top w:w="30" w:type="dxa"/>
              <w:left w:w="20" w:type="dxa"/>
              <w:bottom w:w="30" w:type="dxa"/>
              <w:right w:w="20" w:type="dxa"/>
            </w:tcMar>
            <w:hideMark/>
          </w:tcPr>
          <w:p w:rsidR="00000000" w:rsidRDefault="001F1FC8">
            <w:pPr>
              <w:jc w:val="right"/>
              <w:rPr>
                <w:rFonts w:eastAsia="Times New Roman"/>
              </w:rPr>
            </w:pPr>
            <w:r>
              <w:rPr>
                <w:rFonts w:ascii="Arial" w:eastAsia="Times New Roman" w:hAnsi="Arial" w:cs="Arial"/>
                <w:color w:val="000000"/>
                <w:sz w:val="2"/>
                <w:szCs w:val="2"/>
              </w:rPr>
              <w:t> </w:t>
            </w:r>
          </w:p>
        </w:tc>
        <w:tc>
          <w:tcPr>
            <w:tcW w:w="0" w:type="auto"/>
            <w:gridSpan w:val="3"/>
            <w:tcBorders>
              <w:top w:val="single" w:sz="4" w:space="0" w:color="000000"/>
            </w:tcBorders>
            <w:shd w:val="clear" w:color="auto" w:fill="D9D9D9"/>
            <w:tcMar>
              <w:top w:w="0" w:type="dxa"/>
              <w:left w:w="20" w:type="dxa"/>
              <w:bottom w:w="0" w:type="dxa"/>
              <w:right w:w="20" w:type="dxa"/>
            </w:tcMar>
            <w:vAlign w:val="center"/>
            <w:hideMark/>
          </w:tcPr>
          <w:p w:rsidR="00000000" w:rsidRDefault="001F1FC8">
            <w:pPr>
              <w:jc w:val="right"/>
              <w:rPr>
                <w:rFonts w:eastAsia="Times New Roman"/>
              </w:rPr>
            </w:pPr>
          </w:p>
        </w:tc>
      </w:tr>
      <w:tr w:rsidR="00000000">
        <w:trPr>
          <w:divId w:val="1420449477"/>
        </w:trPr>
        <w:tc>
          <w:tcPr>
            <w:tcW w:w="0" w:type="auto"/>
            <w:gridSpan w:val="3"/>
            <w:tcMar>
              <w:top w:w="30" w:type="dxa"/>
              <w:left w:w="380" w:type="dxa"/>
              <w:bottom w:w="30" w:type="dxa"/>
              <w:right w:w="20" w:type="dxa"/>
            </w:tcMar>
            <w:hideMark/>
          </w:tcPr>
          <w:p w:rsidR="00000000" w:rsidRDefault="001F1FC8">
            <w:pPr>
              <w:rPr>
                <w:rFonts w:eastAsia="Times New Roman"/>
              </w:rPr>
            </w:pPr>
            <w:r>
              <w:rPr>
                <w:rFonts w:ascii="Arial" w:eastAsia="Times New Roman" w:hAnsi="Arial" w:cs="Arial"/>
                <w:color w:val="000000"/>
                <w:sz w:val="16"/>
                <w:szCs w:val="16"/>
              </w:rPr>
              <w:t>Foreign exchange contracts</w:t>
            </w:r>
          </w:p>
        </w:tc>
        <w:tc>
          <w:tcPr>
            <w:tcW w:w="0" w:type="auto"/>
            <w:gridSpan w:val="2"/>
            <w:shd w:val="clear" w:color="auto" w:fill="D9D9D9"/>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hideMark/>
          </w:tcPr>
          <w:p w:rsidR="00000000" w:rsidRDefault="001F1FC8">
            <w:pPr>
              <w:jc w:val="right"/>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b/>
                <w:bCs/>
                <w:color w:val="000000"/>
                <w:sz w:val="16"/>
                <w:szCs w:val="16"/>
              </w:rPr>
              <w:t>(423)</w:t>
            </w:r>
          </w:p>
        </w:tc>
        <w:tc>
          <w:tcPr>
            <w:tcW w:w="0" w:type="auto"/>
            <w:shd w:val="clear" w:color="auto" w:fill="D9D9D9"/>
            <w:tcMar>
              <w:top w:w="30" w:type="dxa"/>
              <w:left w:w="0" w:type="dxa"/>
              <w:bottom w:w="30" w:type="dxa"/>
              <w:right w:w="20" w:type="dxa"/>
            </w:tcMar>
            <w:hideMark/>
          </w:tcPr>
          <w:p w:rsidR="00000000" w:rsidRDefault="001F1FC8">
            <w:pPr>
              <w:jc w:val="right"/>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hideMark/>
          </w:tcPr>
          <w:p w:rsidR="00000000" w:rsidRDefault="001F1FC8">
            <w:pPr>
              <w:jc w:val="right"/>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b/>
                <w:bCs/>
                <w:color w:val="000000"/>
                <w:sz w:val="16"/>
                <w:szCs w:val="16"/>
              </w:rPr>
              <w:t>(423)</w:t>
            </w:r>
          </w:p>
        </w:tc>
        <w:tc>
          <w:tcPr>
            <w:tcW w:w="0" w:type="auto"/>
            <w:shd w:val="clear" w:color="auto" w:fill="D9D9D9"/>
            <w:tcMar>
              <w:top w:w="30" w:type="dxa"/>
              <w:left w:w="0" w:type="dxa"/>
              <w:bottom w:w="30" w:type="dxa"/>
              <w:right w:w="20" w:type="dxa"/>
            </w:tcMar>
            <w:hideMark/>
          </w:tcPr>
          <w:p w:rsidR="00000000" w:rsidRDefault="001F1FC8">
            <w:pPr>
              <w:jc w:val="right"/>
              <w:rPr>
                <w:rFonts w:eastAsia="Times New Roman"/>
              </w:rPr>
            </w:pPr>
          </w:p>
        </w:tc>
      </w:tr>
      <w:tr w:rsidR="00000000">
        <w:trPr>
          <w:divId w:val="1420449477"/>
        </w:trPr>
        <w:tc>
          <w:tcPr>
            <w:tcW w:w="0" w:type="auto"/>
            <w:gridSpan w:val="3"/>
            <w:tcMar>
              <w:top w:w="30" w:type="dxa"/>
              <w:left w:w="380" w:type="dxa"/>
              <w:bottom w:w="30" w:type="dxa"/>
              <w:right w:w="20" w:type="dxa"/>
            </w:tcMar>
            <w:hideMark/>
          </w:tcPr>
          <w:p w:rsidR="00000000" w:rsidRDefault="001F1FC8">
            <w:pPr>
              <w:rPr>
                <w:rFonts w:eastAsia="Times New Roman"/>
              </w:rPr>
            </w:pPr>
            <w:r>
              <w:rPr>
                <w:rFonts w:ascii="Arial" w:eastAsia="Times New Roman" w:hAnsi="Arial" w:cs="Arial"/>
                <w:color w:val="000000"/>
                <w:sz w:val="16"/>
                <w:szCs w:val="16"/>
              </w:rPr>
              <w:t>Interest rate contracts</w:t>
            </w:r>
          </w:p>
        </w:tc>
        <w:tc>
          <w:tcPr>
            <w:tcW w:w="0" w:type="auto"/>
            <w:gridSpan w:val="2"/>
            <w:shd w:val="clear" w:color="auto" w:fill="D9D9D9"/>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hideMark/>
          </w:tcPr>
          <w:p w:rsidR="00000000" w:rsidRDefault="001F1FC8">
            <w:pPr>
              <w:jc w:val="right"/>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b/>
                <w:bCs/>
                <w:color w:val="000000"/>
                <w:sz w:val="16"/>
                <w:szCs w:val="16"/>
              </w:rPr>
              <w:t>(24)</w:t>
            </w:r>
          </w:p>
        </w:tc>
        <w:tc>
          <w:tcPr>
            <w:tcW w:w="0" w:type="auto"/>
            <w:shd w:val="clear" w:color="auto" w:fill="D9D9D9"/>
            <w:tcMar>
              <w:top w:w="30" w:type="dxa"/>
              <w:left w:w="0" w:type="dxa"/>
              <w:bottom w:w="30" w:type="dxa"/>
              <w:right w:w="20" w:type="dxa"/>
            </w:tcMar>
            <w:hideMark/>
          </w:tcPr>
          <w:p w:rsidR="00000000" w:rsidRDefault="001F1FC8">
            <w:pPr>
              <w:jc w:val="right"/>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hideMark/>
          </w:tcPr>
          <w:p w:rsidR="00000000" w:rsidRDefault="001F1FC8">
            <w:pPr>
              <w:jc w:val="right"/>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b/>
                <w:bCs/>
                <w:color w:val="000000"/>
                <w:sz w:val="16"/>
                <w:szCs w:val="16"/>
              </w:rPr>
              <w:t>(24)</w:t>
            </w:r>
          </w:p>
        </w:tc>
        <w:tc>
          <w:tcPr>
            <w:tcW w:w="0" w:type="auto"/>
            <w:shd w:val="clear" w:color="auto" w:fill="D9D9D9"/>
            <w:tcMar>
              <w:top w:w="30" w:type="dxa"/>
              <w:left w:w="0" w:type="dxa"/>
              <w:bottom w:w="30" w:type="dxa"/>
              <w:right w:w="20" w:type="dxa"/>
            </w:tcMar>
            <w:hideMark/>
          </w:tcPr>
          <w:p w:rsidR="00000000" w:rsidRDefault="001F1FC8">
            <w:pPr>
              <w:jc w:val="right"/>
              <w:rPr>
                <w:rFonts w:eastAsia="Times New Roman"/>
              </w:rPr>
            </w:pPr>
          </w:p>
        </w:tc>
      </w:tr>
      <w:tr w:rsidR="00000000">
        <w:trPr>
          <w:divId w:val="1420449477"/>
        </w:trPr>
        <w:tc>
          <w:tcPr>
            <w:tcW w:w="0" w:type="auto"/>
            <w:gridSpan w:val="3"/>
            <w:tcMar>
              <w:top w:w="30" w:type="dxa"/>
              <w:left w:w="380" w:type="dxa"/>
              <w:bottom w:w="30" w:type="dxa"/>
              <w:right w:w="20" w:type="dxa"/>
            </w:tcMar>
            <w:hideMark/>
          </w:tcPr>
          <w:p w:rsidR="00000000" w:rsidRDefault="001F1FC8">
            <w:pPr>
              <w:rPr>
                <w:rFonts w:eastAsia="Times New Roman"/>
              </w:rPr>
            </w:pPr>
            <w:r>
              <w:rPr>
                <w:rFonts w:ascii="Arial" w:eastAsia="Times New Roman" w:hAnsi="Arial" w:cs="Arial"/>
                <w:color w:val="000000"/>
                <w:sz w:val="16"/>
                <w:szCs w:val="16"/>
              </w:rPr>
              <w:t>Commodity contracts</w:t>
            </w:r>
          </w:p>
        </w:tc>
        <w:tc>
          <w:tcPr>
            <w:tcW w:w="0" w:type="auto"/>
            <w:gridSpan w:val="2"/>
            <w:shd w:val="clear" w:color="auto" w:fill="D9D9D9"/>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hideMark/>
          </w:tcPr>
          <w:p w:rsidR="00000000" w:rsidRDefault="001F1FC8">
            <w:pPr>
              <w:jc w:val="right"/>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b/>
                <w:bCs/>
                <w:color w:val="000000"/>
                <w:sz w:val="16"/>
                <w:szCs w:val="16"/>
              </w:rPr>
              <w:t>(19)</w:t>
            </w:r>
          </w:p>
        </w:tc>
        <w:tc>
          <w:tcPr>
            <w:tcW w:w="0" w:type="auto"/>
            <w:shd w:val="clear" w:color="auto" w:fill="D9D9D9"/>
            <w:tcMar>
              <w:top w:w="30" w:type="dxa"/>
              <w:left w:w="0" w:type="dxa"/>
              <w:bottom w:w="30" w:type="dxa"/>
              <w:right w:w="20" w:type="dxa"/>
            </w:tcMar>
            <w:hideMark/>
          </w:tcPr>
          <w:p w:rsidR="00000000" w:rsidRDefault="001F1FC8">
            <w:pPr>
              <w:jc w:val="right"/>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b/>
                <w:bCs/>
                <w:color w:val="000000"/>
                <w:sz w:val="16"/>
                <w:szCs w:val="16"/>
              </w:rPr>
              <w:t>(65)</w:t>
            </w:r>
          </w:p>
        </w:tc>
        <w:tc>
          <w:tcPr>
            <w:tcW w:w="0" w:type="auto"/>
            <w:shd w:val="clear" w:color="auto" w:fill="D9D9D9"/>
            <w:tcMar>
              <w:top w:w="30" w:type="dxa"/>
              <w:left w:w="0" w:type="dxa"/>
              <w:bottom w:w="30" w:type="dxa"/>
              <w:right w:w="20" w:type="dxa"/>
            </w:tcMar>
            <w:hideMark/>
          </w:tcPr>
          <w:p w:rsidR="00000000" w:rsidRDefault="001F1FC8">
            <w:pPr>
              <w:jc w:val="right"/>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b/>
                <w:bCs/>
                <w:color w:val="000000"/>
                <w:sz w:val="16"/>
                <w:szCs w:val="16"/>
              </w:rPr>
              <w:t>(84)</w:t>
            </w:r>
          </w:p>
        </w:tc>
        <w:tc>
          <w:tcPr>
            <w:tcW w:w="0" w:type="auto"/>
            <w:shd w:val="clear" w:color="auto" w:fill="D9D9D9"/>
            <w:tcMar>
              <w:top w:w="30" w:type="dxa"/>
              <w:left w:w="0" w:type="dxa"/>
              <w:bottom w:w="30" w:type="dxa"/>
              <w:right w:w="20" w:type="dxa"/>
            </w:tcMar>
            <w:hideMark/>
          </w:tcPr>
          <w:p w:rsidR="00000000" w:rsidRDefault="001F1FC8">
            <w:pPr>
              <w:jc w:val="right"/>
              <w:rPr>
                <w:rFonts w:eastAsia="Times New Roman"/>
              </w:rPr>
            </w:pPr>
          </w:p>
        </w:tc>
      </w:tr>
      <w:tr w:rsidR="00000000">
        <w:trPr>
          <w:divId w:val="1420449477"/>
        </w:trPr>
        <w:tc>
          <w:tcPr>
            <w:tcW w:w="0" w:type="auto"/>
            <w:gridSpan w:val="3"/>
            <w:tcMar>
              <w:top w:w="30" w:type="dxa"/>
              <w:left w:w="380" w:type="dxa"/>
              <w:bottom w:w="30" w:type="dxa"/>
              <w:right w:w="20" w:type="dxa"/>
            </w:tcMar>
            <w:hideMark/>
          </w:tcPr>
          <w:p w:rsidR="00000000" w:rsidRDefault="001F1FC8">
            <w:pPr>
              <w:rPr>
                <w:rFonts w:eastAsia="Times New Roman"/>
              </w:rPr>
            </w:pPr>
            <w:r>
              <w:rPr>
                <w:rFonts w:ascii="Arial" w:eastAsia="Times New Roman" w:hAnsi="Arial" w:cs="Arial"/>
                <w:color w:val="000000"/>
                <w:sz w:val="16"/>
                <w:szCs w:val="16"/>
              </w:rPr>
              <w:t>Other contracts</w:t>
            </w:r>
          </w:p>
        </w:tc>
        <w:tc>
          <w:tcPr>
            <w:tcW w:w="0" w:type="auto"/>
            <w:gridSpan w:val="2"/>
            <w:shd w:val="clear" w:color="auto" w:fill="D9D9D9"/>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hideMark/>
          </w:tcPr>
          <w:p w:rsidR="00000000" w:rsidRDefault="001F1FC8">
            <w:pPr>
              <w:jc w:val="right"/>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hideMark/>
          </w:tcPr>
          <w:p w:rsidR="00000000" w:rsidRDefault="001F1FC8">
            <w:pPr>
              <w:jc w:val="right"/>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hideMark/>
          </w:tcPr>
          <w:p w:rsidR="00000000" w:rsidRDefault="001F1FC8">
            <w:pPr>
              <w:jc w:val="right"/>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hideMark/>
          </w:tcPr>
          <w:p w:rsidR="00000000" w:rsidRDefault="001F1FC8">
            <w:pPr>
              <w:jc w:val="right"/>
              <w:rPr>
                <w:rFonts w:eastAsia="Times New Roman"/>
              </w:rPr>
            </w:pPr>
          </w:p>
        </w:tc>
      </w:tr>
      <w:tr w:rsidR="00000000">
        <w:trPr>
          <w:divId w:val="1420449477"/>
        </w:trPr>
        <w:tc>
          <w:tcPr>
            <w:tcW w:w="0" w:type="auto"/>
            <w:gridSpan w:val="3"/>
            <w:tcBorders>
              <w:top w:val="single" w:sz="4" w:space="0" w:color="000000"/>
            </w:tcBorders>
            <w:tcMar>
              <w:top w:w="30" w:type="dxa"/>
              <w:left w:w="380" w:type="dxa"/>
              <w:bottom w:w="30" w:type="dxa"/>
              <w:right w:w="20" w:type="dxa"/>
            </w:tcMar>
            <w:hideMark/>
          </w:tcPr>
          <w:p w:rsidR="00000000" w:rsidRDefault="001F1FC8">
            <w:pPr>
              <w:rPr>
                <w:rFonts w:eastAsia="Times New Roman"/>
              </w:rPr>
            </w:pPr>
            <w:r>
              <w:rPr>
                <w:rFonts w:ascii="Arial" w:eastAsia="Times New Roman" w:hAnsi="Arial" w:cs="Arial"/>
                <w:color w:val="000000"/>
                <w:sz w:val="2"/>
                <w:szCs w:val="2"/>
              </w:rPr>
              <w:t> </w:t>
            </w:r>
          </w:p>
        </w:tc>
        <w:tc>
          <w:tcPr>
            <w:tcW w:w="0" w:type="auto"/>
            <w:gridSpan w:val="2"/>
            <w:tcBorders>
              <w:top w:val="single" w:sz="4" w:space="0" w:color="000000"/>
            </w:tcBorders>
            <w:shd w:val="clear" w:color="auto" w:fill="D9D9D9"/>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tcBorders>
              <w:top w:val="single" w:sz="4" w:space="0" w:color="000000"/>
            </w:tcBorders>
            <w:shd w:val="clear" w:color="auto" w:fill="D9D9D9"/>
            <w:tcMar>
              <w:top w:w="30" w:type="dxa"/>
              <w:left w:w="0" w:type="dxa"/>
              <w:bottom w:w="30" w:type="dxa"/>
              <w:right w:w="20" w:type="dxa"/>
            </w:tcMar>
            <w:hideMark/>
          </w:tcPr>
          <w:p w:rsidR="00000000" w:rsidRDefault="001F1FC8">
            <w:pPr>
              <w:jc w:val="right"/>
              <w:rPr>
                <w:rFonts w:eastAsia="Times New Roman"/>
              </w:rPr>
            </w:pPr>
          </w:p>
        </w:tc>
        <w:tc>
          <w:tcPr>
            <w:tcW w:w="0" w:type="auto"/>
            <w:gridSpan w:val="2"/>
            <w:tcBorders>
              <w:top w:val="single" w:sz="4" w:space="0" w:color="000000"/>
            </w:tcBorders>
            <w:shd w:val="clear" w:color="auto" w:fill="D9D9D9"/>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b/>
                <w:bCs/>
                <w:color w:val="000000"/>
                <w:sz w:val="16"/>
                <w:szCs w:val="16"/>
              </w:rPr>
              <w:t>(466)</w:t>
            </w:r>
          </w:p>
        </w:tc>
        <w:tc>
          <w:tcPr>
            <w:tcW w:w="0" w:type="auto"/>
            <w:tcBorders>
              <w:top w:val="single" w:sz="4" w:space="0" w:color="000000"/>
            </w:tcBorders>
            <w:shd w:val="clear" w:color="auto" w:fill="D9D9D9"/>
            <w:tcMar>
              <w:top w:w="30" w:type="dxa"/>
              <w:left w:w="0" w:type="dxa"/>
              <w:bottom w:w="30" w:type="dxa"/>
              <w:right w:w="20" w:type="dxa"/>
            </w:tcMar>
            <w:hideMark/>
          </w:tcPr>
          <w:p w:rsidR="00000000" w:rsidRDefault="001F1FC8">
            <w:pPr>
              <w:jc w:val="right"/>
              <w:rPr>
                <w:rFonts w:eastAsia="Times New Roman"/>
              </w:rPr>
            </w:pPr>
          </w:p>
        </w:tc>
        <w:tc>
          <w:tcPr>
            <w:tcW w:w="0" w:type="auto"/>
            <w:gridSpan w:val="2"/>
            <w:tcBorders>
              <w:top w:val="single" w:sz="4" w:space="0" w:color="000000"/>
            </w:tcBorders>
            <w:shd w:val="clear" w:color="auto" w:fill="D9D9D9"/>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b/>
                <w:bCs/>
                <w:color w:val="000000"/>
                <w:sz w:val="16"/>
                <w:szCs w:val="16"/>
              </w:rPr>
              <w:t>(65)</w:t>
            </w:r>
          </w:p>
        </w:tc>
        <w:tc>
          <w:tcPr>
            <w:tcW w:w="0" w:type="auto"/>
            <w:tcBorders>
              <w:top w:val="single" w:sz="4" w:space="0" w:color="000000"/>
            </w:tcBorders>
            <w:shd w:val="clear" w:color="auto" w:fill="D9D9D9"/>
            <w:tcMar>
              <w:top w:w="30" w:type="dxa"/>
              <w:left w:w="0" w:type="dxa"/>
              <w:bottom w:w="30" w:type="dxa"/>
              <w:right w:w="20" w:type="dxa"/>
            </w:tcMar>
            <w:hideMark/>
          </w:tcPr>
          <w:p w:rsidR="00000000" w:rsidRDefault="001F1FC8">
            <w:pPr>
              <w:jc w:val="right"/>
              <w:rPr>
                <w:rFonts w:eastAsia="Times New Roman"/>
              </w:rPr>
            </w:pPr>
          </w:p>
        </w:tc>
        <w:tc>
          <w:tcPr>
            <w:tcW w:w="0" w:type="auto"/>
            <w:gridSpan w:val="2"/>
            <w:tcBorders>
              <w:top w:val="single" w:sz="4" w:space="0" w:color="000000"/>
            </w:tcBorders>
            <w:shd w:val="clear" w:color="auto" w:fill="D9D9D9"/>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b/>
                <w:bCs/>
                <w:color w:val="000000"/>
                <w:sz w:val="16"/>
                <w:szCs w:val="16"/>
              </w:rPr>
              <w:t>(531)</w:t>
            </w:r>
          </w:p>
        </w:tc>
        <w:tc>
          <w:tcPr>
            <w:tcW w:w="0" w:type="auto"/>
            <w:tcBorders>
              <w:top w:val="single" w:sz="4" w:space="0" w:color="000000"/>
            </w:tcBorders>
            <w:shd w:val="clear" w:color="auto" w:fill="D9D9D9"/>
            <w:tcMar>
              <w:top w:w="30" w:type="dxa"/>
              <w:left w:w="0" w:type="dxa"/>
              <w:bottom w:w="30" w:type="dxa"/>
              <w:right w:w="20" w:type="dxa"/>
            </w:tcMar>
            <w:hideMark/>
          </w:tcPr>
          <w:p w:rsidR="00000000" w:rsidRDefault="001F1FC8">
            <w:pPr>
              <w:jc w:val="right"/>
              <w:rPr>
                <w:rFonts w:eastAsia="Times New Roman"/>
              </w:rPr>
            </w:pPr>
          </w:p>
        </w:tc>
      </w:tr>
      <w:tr w:rsidR="00000000">
        <w:trPr>
          <w:divId w:val="1420449477"/>
        </w:trPr>
        <w:tc>
          <w:tcPr>
            <w:tcW w:w="0" w:type="auto"/>
            <w:gridSpan w:val="3"/>
            <w:tcBorders>
              <w:top w:val="single" w:sz="4" w:space="0" w:color="000000"/>
            </w:tcBorders>
            <w:tcMar>
              <w:top w:w="30" w:type="dxa"/>
              <w:left w:w="20" w:type="dxa"/>
              <w:bottom w:w="30" w:type="dxa"/>
              <w:right w:w="20" w:type="dxa"/>
            </w:tcMar>
            <w:hideMark/>
          </w:tcPr>
          <w:p w:rsidR="00000000" w:rsidRDefault="001F1FC8">
            <w:pPr>
              <w:rPr>
                <w:rFonts w:eastAsia="Times New Roman"/>
              </w:rPr>
            </w:pPr>
            <w:r>
              <w:rPr>
                <w:rFonts w:ascii="Arial" w:eastAsia="Times New Roman" w:hAnsi="Arial" w:cs="Arial"/>
                <w:color w:val="000000"/>
                <w:sz w:val="16"/>
                <w:szCs w:val="16"/>
              </w:rPr>
              <w:t>Total net financial asset/(liability)</w:t>
            </w:r>
          </w:p>
        </w:tc>
        <w:tc>
          <w:tcPr>
            <w:tcW w:w="0" w:type="auto"/>
            <w:gridSpan w:val="3"/>
            <w:tcBorders>
              <w:top w:val="single" w:sz="4" w:space="0" w:color="000000"/>
            </w:tcBorders>
            <w:shd w:val="clear" w:color="auto" w:fill="D9D9D9"/>
            <w:tcMar>
              <w:top w:w="30" w:type="dxa"/>
              <w:left w:w="20" w:type="dxa"/>
              <w:bottom w:w="30" w:type="dxa"/>
              <w:right w:w="20" w:type="dxa"/>
            </w:tcMar>
            <w:hideMark/>
          </w:tcPr>
          <w:p w:rsidR="00000000" w:rsidRDefault="001F1FC8">
            <w:pPr>
              <w:jc w:val="right"/>
              <w:rPr>
                <w:rFonts w:eastAsia="Times New Roman"/>
              </w:rPr>
            </w:pPr>
            <w:r>
              <w:rPr>
                <w:rFonts w:ascii="Arial" w:eastAsia="Times New Roman" w:hAnsi="Arial" w:cs="Arial"/>
                <w:color w:val="000000"/>
                <w:sz w:val="2"/>
                <w:szCs w:val="2"/>
              </w:rPr>
              <w:t> </w:t>
            </w:r>
          </w:p>
        </w:tc>
        <w:tc>
          <w:tcPr>
            <w:tcW w:w="0" w:type="auto"/>
            <w:gridSpan w:val="3"/>
            <w:tcBorders>
              <w:top w:val="single" w:sz="4" w:space="0" w:color="000000"/>
            </w:tcBorders>
            <w:shd w:val="clear" w:color="auto" w:fill="D9D9D9"/>
            <w:tcMar>
              <w:top w:w="30" w:type="dxa"/>
              <w:left w:w="20" w:type="dxa"/>
              <w:bottom w:w="30" w:type="dxa"/>
              <w:right w:w="20" w:type="dxa"/>
            </w:tcMar>
            <w:hideMark/>
          </w:tcPr>
          <w:p w:rsidR="00000000" w:rsidRDefault="001F1FC8">
            <w:pPr>
              <w:jc w:val="right"/>
              <w:rPr>
                <w:rFonts w:eastAsia="Times New Roman"/>
              </w:rPr>
            </w:pPr>
            <w:r>
              <w:rPr>
                <w:rFonts w:ascii="Arial" w:eastAsia="Times New Roman" w:hAnsi="Arial" w:cs="Arial"/>
                <w:color w:val="000000"/>
                <w:sz w:val="2"/>
                <w:szCs w:val="2"/>
              </w:rPr>
              <w:t> </w:t>
            </w:r>
          </w:p>
        </w:tc>
        <w:tc>
          <w:tcPr>
            <w:tcW w:w="0" w:type="auto"/>
            <w:gridSpan w:val="3"/>
            <w:tcBorders>
              <w:top w:val="single" w:sz="4" w:space="0" w:color="000000"/>
            </w:tcBorders>
            <w:shd w:val="clear" w:color="auto" w:fill="D9D9D9"/>
            <w:tcMar>
              <w:top w:w="30" w:type="dxa"/>
              <w:left w:w="20" w:type="dxa"/>
              <w:bottom w:w="30" w:type="dxa"/>
              <w:right w:w="20" w:type="dxa"/>
            </w:tcMar>
            <w:hideMark/>
          </w:tcPr>
          <w:p w:rsidR="00000000" w:rsidRDefault="001F1FC8">
            <w:pPr>
              <w:jc w:val="right"/>
              <w:rPr>
                <w:rFonts w:eastAsia="Times New Roman"/>
              </w:rPr>
            </w:pPr>
            <w:r>
              <w:rPr>
                <w:rFonts w:ascii="Arial" w:eastAsia="Times New Roman" w:hAnsi="Arial" w:cs="Arial"/>
                <w:color w:val="000000"/>
                <w:sz w:val="2"/>
                <w:szCs w:val="2"/>
              </w:rPr>
              <w:t> </w:t>
            </w:r>
          </w:p>
        </w:tc>
        <w:tc>
          <w:tcPr>
            <w:tcW w:w="0" w:type="auto"/>
            <w:gridSpan w:val="3"/>
            <w:tcBorders>
              <w:top w:val="single" w:sz="4" w:space="0" w:color="000000"/>
            </w:tcBorders>
            <w:shd w:val="clear" w:color="auto" w:fill="D9D9D9"/>
            <w:tcMar>
              <w:top w:w="0" w:type="dxa"/>
              <w:left w:w="20" w:type="dxa"/>
              <w:bottom w:w="0" w:type="dxa"/>
              <w:right w:w="20" w:type="dxa"/>
            </w:tcMar>
            <w:vAlign w:val="center"/>
            <w:hideMark/>
          </w:tcPr>
          <w:p w:rsidR="00000000" w:rsidRDefault="001F1FC8">
            <w:pPr>
              <w:jc w:val="right"/>
              <w:rPr>
                <w:rFonts w:eastAsia="Times New Roman"/>
              </w:rPr>
            </w:pPr>
          </w:p>
        </w:tc>
      </w:tr>
      <w:tr w:rsidR="00000000">
        <w:trPr>
          <w:divId w:val="1420449477"/>
        </w:trPr>
        <w:tc>
          <w:tcPr>
            <w:tcW w:w="0" w:type="auto"/>
            <w:gridSpan w:val="3"/>
            <w:tcMar>
              <w:top w:w="30" w:type="dxa"/>
              <w:left w:w="380" w:type="dxa"/>
              <w:bottom w:w="30" w:type="dxa"/>
              <w:right w:w="20" w:type="dxa"/>
            </w:tcMar>
            <w:hideMark/>
          </w:tcPr>
          <w:p w:rsidR="00000000" w:rsidRDefault="001F1FC8">
            <w:pPr>
              <w:rPr>
                <w:rFonts w:eastAsia="Times New Roman"/>
              </w:rPr>
            </w:pPr>
            <w:r>
              <w:rPr>
                <w:rFonts w:ascii="Arial" w:eastAsia="Times New Roman" w:hAnsi="Arial" w:cs="Arial"/>
                <w:color w:val="000000"/>
                <w:sz w:val="16"/>
                <w:szCs w:val="16"/>
              </w:rPr>
              <w:t>Foreign exchange contracts</w:t>
            </w:r>
          </w:p>
        </w:tc>
        <w:tc>
          <w:tcPr>
            <w:tcW w:w="0" w:type="auto"/>
            <w:gridSpan w:val="2"/>
            <w:shd w:val="clear" w:color="auto" w:fill="D9D9D9"/>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hideMark/>
          </w:tcPr>
          <w:p w:rsidR="00000000" w:rsidRDefault="001F1FC8">
            <w:pPr>
              <w:jc w:val="right"/>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b/>
                <w:bCs/>
                <w:color w:val="000000"/>
                <w:sz w:val="16"/>
                <w:szCs w:val="16"/>
              </w:rPr>
              <w:t>(227)</w:t>
            </w:r>
          </w:p>
        </w:tc>
        <w:tc>
          <w:tcPr>
            <w:tcW w:w="0" w:type="auto"/>
            <w:shd w:val="clear" w:color="auto" w:fill="D9D9D9"/>
            <w:tcMar>
              <w:top w:w="30" w:type="dxa"/>
              <w:left w:w="0" w:type="dxa"/>
              <w:bottom w:w="30" w:type="dxa"/>
              <w:right w:w="20" w:type="dxa"/>
            </w:tcMar>
            <w:hideMark/>
          </w:tcPr>
          <w:p w:rsidR="00000000" w:rsidRDefault="001F1FC8">
            <w:pPr>
              <w:jc w:val="right"/>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hideMark/>
          </w:tcPr>
          <w:p w:rsidR="00000000" w:rsidRDefault="001F1FC8">
            <w:pPr>
              <w:jc w:val="right"/>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b/>
                <w:bCs/>
                <w:color w:val="000000"/>
                <w:sz w:val="16"/>
                <w:szCs w:val="16"/>
              </w:rPr>
              <w:t>(227)</w:t>
            </w:r>
          </w:p>
        </w:tc>
        <w:tc>
          <w:tcPr>
            <w:tcW w:w="0" w:type="auto"/>
            <w:shd w:val="clear" w:color="auto" w:fill="D9D9D9"/>
            <w:tcMar>
              <w:top w:w="30" w:type="dxa"/>
              <w:left w:w="0" w:type="dxa"/>
              <w:bottom w:w="30" w:type="dxa"/>
              <w:right w:w="20" w:type="dxa"/>
            </w:tcMar>
            <w:hideMark/>
          </w:tcPr>
          <w:p w:rsidR="00000000" w:rsidRDefault="001F1FC8">
            <w:pPr>
              <w:jc w:val="right"/>
              <w:rPr>
                <w:rFonts w:eastAsia="Times New Roman"/>
              </w:rPr>
            </w:pPr>
          </w:p>
        </w:tc>
      </w:tr>
      <w:tr w:rsidR="00000000">
        <w:trPr>
          <w:divId w:val="1420449477"/>
        </w:trPr>
        <w:tc>
          <w:tcPr>
            <w:tcW w:w="0" w:type="auto"/>
            <w:gridSpan w:val="3"/>
            <w:tcMar>
              <w:top w:w="30" w:type="dxa"/>
              <w:left w:w="380" w:type="dxa"/>
              <w:bottom w:w="30" w:type="dxa"/>
              <w:right w:w="20" w:type="dxa"/>
            </w:tcMar>
            <w:hideMark/>
          </w:tcPr>
          <w:p w:rsidR="00000000" w:rsidRDefault="001F1FC8">
            <w:pPr>
              <w:rPr>
                <w:rFonts w:eastAsia="Times New Roman"/>
              </w:rPr>
            </w:pPr>
            <w:r>
              <w:rPr>
                <w:rFonts w:ascii="Arial" w:eastAsia="Times New Roman" w:hAnsi="Arial" w:cs="Arial"/>
                <w:color w:val="000000"/>
                <w:sz w:val="16"/>
                <w:szCs w:val="16"/>
              </w:rPr>
              <w:t>Interest rate contracts</w:t>
            </w:r>
          </w:p>
        </w:tc>
        <w:tc>
          <w:tcPr>
            <w:tcW w:w="0" w:type="auto"/>
            <w:gridSpan w:val="2"/>
            <w:shd w:val="clear" w:color="auto" w:fill="D9D9D9"/>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hideMark/>
          </w:tcPr>
          <w:p w:rsidR="00000000" w:rsidRDefault="001F1FC8">
            <w:pPr>
              <w:jc w:val="right"/>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b/>
                <w:bCs/>
                <w:color w:val="000000"/>
                <w:sz w:val="16"/>
                <w:szCs w:val="16"/>
              </w:rPr>
              <w:t>(22)</w:t>
            </w:r>
          </w:p>
        </w:tc>
        <w:tc>
          <w:tcPr>
            <w:tcW w:w="0" w:type="auto"/>
            <w:shd w:val="clear" w:color="auto" w:fill="D9D9D9"/>
            <w:tcMar>
              <w:top w:w="30" w:type="dxa"/>
              <w:left w:w="0" w:type="dxa"/>
              <w:bottom w:w="30" w:type="dxa"/>
              <w:right w:w="20" w:type="dxa"/>
            </w:tcMar>
            <w:hideMark/>
          </w:tcPr>
          <w:p w:rsidR="00000000" w:rsidRDefault="001F1FC8">
            <w:pPr>
              <w:jc w:val="right"/>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hideMark/>
          </w:tcPr>
          <w:p w:rsidR="00000000" w:rsidRDefault="001F1FC8">
            <w:pPr>
              <w:jc w:val="right"/>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b/>
                <w:bCs/>
                <w:color w:val="000000"/>
                <w:sz w:val="16"/>
                <w:szCs w:val="16"/>
              </w:rPr>
              <w:t>(22)</w:t>
            </w:r>
          </w:p>
        </w:tc>
        <w:tc>
          <w:tcPr>
            <w:tcW w:w="0" w:type="auto"/>
            <w:shd w:val="clear" w:color="auto" w:fill="D9D9D9"/>
            <w:tcMar>
              <w:top w:w="30" w:type="dxa"/>
              <w:left w:w="0" w:type="dxa"/>
              <w:bottom w:w="30" w:type="dxa"/>
              <w:right w:w="20" w:type="dxa"/>
            </w:tcMar>
            <w:hideMark/>
          </w:tcPr>
          <w:p w:rsidR="00000000" w:rsidRDefault="001F1FC8">
            <w:pPr>
              <w:jc w:val="right"/>
              <w:rPr>
                <w:rFonts w:eastAsia="Times New Roman"/>
              </w:rPr>
            </w:pPr>
          </w:p>
        </w:tc>
      </w:tr>
      <w:tr w:rsidR="00000000">
        <w:trPr>
          <w:divId w:val="1420449477"/>
        </w:trPr>
        <w:tc>
          <w:tcPr>
            <w:tcW w:w="0" w:type="auto"/>
            <w:gridSpan w:val="3"/>
            <w:tcMar>
              <w:top w:w="30" w:type="dxa"/>
              <w:left w:w="380" w:type="dxa"/>
              <w:bottom w:w="30" w:type="dxa"/>
              <w:right w:w="20" w:type="dxa"/>
            </w:tcMar>
            <w:hideMark/>
          </w:tcPr>
          <w:p w:rsidR="00000000" w:rsidRDefault="001F1FC8">
            <w:pPr>
              <w:rPr>
                <w:rFonts w:eastAsia="Times New Roman"/>
              </w:rPr>
            </w:pPr>
            <w:r>
              <w:rPr>
                <w:rFonts w:ascii="Arial" w:eastAsia="Times New Roman" w:hAnsi="Arial" w:cs="Arial"/>
                <w:color w:val="000000"/>
                <w:sz w:val="16"/>
                <w:szCs w:val="16"/>
              </w:rPr>
              <w:t>Commodity contracts</w:t>
            </w:r>
          </w:p>
        </w:tc>
        <w:tc>
          <w:tcPr>
            <w:tcW w:w="0" w:type="auto"/>
            <w:gridSpan w:val="2"/>
            <w:shd w:val="clear" w:color="auto" w:fill="D9D9D9"/>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b/>
                <w:bCs/>
                <w:color w:val="000000"/>
                <w:sz w:val="16"/>
                <w:szCs w:val="16"/>
              </w:rPr>
              <w:t>(14)</w:t>
            </w:r>
          </w:p>
        </w:tc>
        <w:tc>
          <w:tcPr>
            <w:tcW w:w="0" w:type="auto"/>
            <w:shd w:val="clear" w:color="auto" w:fill="D9D9D9"/>
            <w:tcMar>
              <w:top w:w="30" w:type="dxa"/>
              <w:left w:w="0" w:type="dxa"/>
              <w:bottom w:w="30" w:type="dxa"/>
              <w:right w:w="20" w:type="dxa"/>
            </w:tcMar>
            <w:hideMark/>
          </w:tcPr>
          <w:p w:rsidR="00000000" w:rsidRDefault="001F1FC8">
            <w:pPr>
              <w:jc w:val="right"/>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b/>
                <w:bCs/>
                <w:color w:val="000000"/>
                <w:sz w:val="16"/>
                <w:szCs w:val="16"/>
              </w:rPr>
              <w:t>7</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hideMark/>
          </w:tcPr>
          <w:p w:rsidR="00000000" w:rsidRDefault="001F1FC8">
            <w:pPr>
              <w:jc w:val="right"/>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b/>
                <w:bCs/>
                <w:color w:val="000000"/>
                <w:sz w:val="16"/>
                <w:szCs w:val="16"/>
              </w:rPr>
              <w:t>(108)</w:t>
            </w:r>
          </w:p>
        </w:tc>
        <w:tc>
          <w:tcPr>
            <w:tcW w:w="0" w:type="auto"/>
            <w:shd w:val="clear" w:color="auto" w:fill="D9D9D9"/>
            <w:tcMar>
              <w:top w:w="30" w:type="dxa"/>
              <w:left w:w="0" w:type="dxa"/>
              <w:bottom w:w="30" w:type="dxa"/>
              <w:right w:w="20" w:type="dxa"/>
            </w:tcMar>
            <w:hideMark/>
          </w:tcPr>
          <w:p w:rsidR="00000000" w:rsidRDefault="001F1FC8">
            <w:pPr>
              <w:jc w:val="right"/>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b/>
                <w:bCs/>
                <w:color w:val="000000"/>
                <w:sz w:val="16"/>
                <w:szCs w:val="16"/>
              </w:rPr>
              <w:t>(115)</w:t>
            </w:r>
          </w:p>
        </w:tc>
        <w:tc>
          <w:tcPr>
            <w:tcW w:w="0" w:type="auto"/>
            <w:shd w:val="clear" w:color="auto" w:fill="D9D9D9"/>
            <w:tcMar>
              <w:top w:w="30" w:type="dxa"/>
              <w:left w:w="0" w:type="dxa"/>
              <w:bottom w:w="30" w:type="dxa"/>
              <w:right w:w="20" w:type="dxa"/>
            </w:tcMar>
            <w:hideMark/>
          </w:tcPr>
          <w:p w:rsidR="00000000" w:rsidRDefault="001F1FC8">
            <w:pPr>
              <w:jc w:val="right"/>
              <w:rPr>
                <w:rFonts w:eastAsia="Times New Roman"/>
              </w:rPr>
            </w:pPr>
          </w:p>
        </w:tc>
      </w:tr>
      <w:tr w:rsidR="00000000">
        <w:trPr>
          <w:divId w:val="1420449477"/>
        </w:trPr>
        <w:tc>
          <w:tcPr>
            <w:tcW w:w="0" w:type="auto"/>
            <w:gridSpan w:val="3"/>
            <w:tcMar>
              <w:top w:w="30" w:type="dxa"/>
              <w:left w:w="380" w:type="dxa"/>
              <w:bottom w:w="30" w:type="dxa"/>
              <w:right w:w="20" w:type="dxa"/>
            </w:tcMar>
            <w:hideMark/>
          </w:tcPr>
          <w:p w:rsidR="00000000" w:rsidRDefault="001F1FC8">
            <w:pPr>
              <w:rPr>
                <w:rFonts w:eastAsia="Times New Roman"/>
              </w:rPr>
            </w:pPr>
            <w:r>
              <w:rPr>
                <w:rFonts w:ascii="Arial" w:eastAsia="Times New Roman" w:hAnsi="Arial" w:cs="Arial"/>
                <w:color w:val="000000"/>
                <w:sz w:val="16"/>
                <w:szCs w:val="16"/>
              </w:rPr>
              <w:t>Other contracts</w:t>
            </w:r>
          </w:p>
        </w:tc>
        <w:tc>
          <w:tcPr>
            <w:tcW w:w="0" w:type="auto"/>
            <w:gridSpan w:val="2"/>
            <w:shd w:val="clear" w:color="auto" w:fill="D9D9D9"/>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hideMark/>
          </w:tcPr>
          <w:p w:rsidR="00000000" w:rsidRDefault="001F1FC8">
            <w:pPr>
              <w:jc w:val="right"/>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b/>
                <w:bCs/>
                <w:color w:val="000000"/>
                <w:sz w:val="16"/>
                <w:szCs w:val="16"/>
              </w:rPr>
              <w:t>5</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hideMark/>
          </w:tcPr>
          <w:p w:rsidR="00000000" w:rsidRDefault="001F1FC8">
            <w:pPr>
              <w:jc w:val="right"/>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hideMark/>
          </w:tcPr>
          <w:p w:rsidR="00000000" w:rsidRDefault="001F1FC8">
            <w:pPr>
              <w:jc w:val="right"/>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b/>
                <w:bCs/>
                <w:color w:val="000000"/>
                <w:sz w:val="16"/>
                <w:szCs w:val="16"/>
              </w:rPr>
              <w:t>5</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hideMark/>
          </w:tcPr>
          <w:p w:rsidR="00000000" w:rsidRDefault="001F1FC8">
            <w:pPr>
              <w:jc w:val="right"/>
              <w:rPr>
                <w:rFonts w:eastAsia="Times New Roman"/>
              </w:rPr>
            </w:pPr>
          </w:p>
        </w:tc>
      </w:tr>
      <w:tr w:rsidR="00000000">
        <w:trPr>
          <w:divId w:val="1420449477"/>
        </w:trPr>
        <w:tc>
          <w:tcPr>
            <w:tcW w:w="0" w:type="auto"/>
            <w:gridSpan w:val="3"/>
            <w:tcBorders>
              <w:top w:val="single" w:sz="4" w:space="0" w:color="000000"/>
              <w:bottom w:val="single" w:sz="8" w:space="0" w:color="000000"/>
            </w:tcBorders>
            <w:tcMar>
              <w:top w:w="30" w:type="dxa"/>
              <w:left w:w="380" w:type="dxa"/>
              <w:bottom w:w="30" w:type="dxa"/>
              <w:right w:w="20" w:type="dxa"/>
            </w:tcMar>
            <w:hideMark/>
          </w:tcPr>
          <w:p w:rsidR="00000000" w:rsidRDefault="001F1FC8">
            <w:pPr>
              <w:rPr>
                <w:rFonts w:eastAsia="Times New Roman"/>
              </w:rPr>
            </w:pPr>
            <w:r>
              <w:rPr>
                <w:rFonts w:ascii="Arial" w:eastAsia="Times New Roman" w:hAnsi="Arial" w:cs="Arial"/>
                <w:color w:val="000000"/>
                <w:sz w:val="2"/>
                <w:szCs w:val="2"/>
              </w:rPr>
              <w:t> </w:t>
            </w:r>
          </w:p>
        </w:tc>
        <w:tc>
          <w:tcPr>
            <w:tcW w:w="0" w:type="auto"/>
            <w:gridSpan w:val="2"/>
            <w:tcBorders>
              <w:top w:val="single" w:sz="4" w:space="0" w:color="000000"/>
              <w:bottom w:val="single" w:sz="8" w:space="0" w:color="000000"/>
            </w:tcBorders>
            <w:shd w:val="clear" w:color="auto" w:fill="D9D9D9"/>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b/>
                <w:bCs/>
                <w:color w:val="000000"/>
                <w:sz w:val="16"/>
                <w:szCs w:val="16"/>
              </w:rPr>
              <w:t>(14)</w:t>
            </w:r>
          </w:p>
        </w:tc>
        <w:tc>
          <w:tcPr>
            <w:tcW w:w="0" w:type="auto"/>
            <w:tcBorders>
              <w:top w:val="single" w:sz="4" w:space="0" w:color="000000"/>
              <w:bottom w:val="single" w:sz="8" w:space="0" w:color="000000"/>
            </w:tcBorders>
            <w:shd w:val="clear" w:color="auto" w:fill="D9D9D9"/>
            <w:tcMar>
              <w:top w:w="30" w:type="dxa"/>
              <w:left w:w="0" w:type="dxa"/>
              <w:bottom w:w="30" w:type="dxa"/>
              <w:right w:w="20" w:type="dxa"/>
            </w:tcMar>
            <w:hideMark/>
          </w:tcPr>
          <w:p w:rsidR="00000000" w:rsidRDefault="001F1FC8">
            <w:pPr>
              <w:jc w:val="right"/>
              <w:rPr>
                <w:rFonts w:eastAsia="Times New Roman"/>
              </w:rPr>
            </w:pPr>
          </w:p>
        </w:tc>
        <w:tc>
          <w:tcPr>
            <w:tcW w:w="0" w:type="auto"/>
            <w:gridSpan w:val="2"/>
            <w:tcBorders>
              <w:top w:val="single" w:sz="4" w:space="0" w:color="000000"/>
              <w:bottom w:val="single" w:sz="8" w:space="0" w:color="000000"/>
            </w:tcBorders>
            <w:shd w:val="clear" w:color="auto" w:fill="D9D9D9"/>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b/>
                <w:bCs/>
                <w:color w:val="000000"/>
                <w:sz w:val="16"/>
                <w:szCs w:val="16"/>
              </w:rPr>
              <w:t>(237)</w:t>
            </w:r>
          </w:p>
        </w:tc>
        <w:tc>
          <w:tcPr>
            <w:tcW w:w="0" w:type="auto"/>
            <w:tcBorders>
              <w:top w:val="single" w:sz="4" w:space="0" w:color="000000"/>
              <w:bottom w:val="single" w:sz="8" w:space="0" w:color="000000"/>
            </w:tcBorders>
            <w:shd w:val="clear" w:color="auto" w:fill="D9D9D9"/>
            <w:tcMar>
              <w:top w:w="30" w:type="dxa"/>
              <w:left w:w="0" w:type="dxa"/>
              <w:bottom w:w="30" w:type="dxa"/>
              <w:right w:w="20" w:type="dxa"/>
            </w:tcMar>
            <w:hideMark/>
          </w:tcPr>
          <w:p w:rsidR="00000000" w:rsidRDefault="001F1FC8">
            <w:pPr>
              <w:jc w:val="right"/>
              <w:rPr>
                <w:rFonts w:eastAsia="Times New Roman"/>
              </w:rPr>
            </w:pPr>
          </w:p>
        </w:tc>
        <w:tc>
          <w:tcPr>
            <w:tcW w:w="0" w:type="auto"/>
            <w:gridSpan w:val="2"/>
            <w:tcBorders>
              <w:top w:val="single" w:sz="4" w:space="0" w:color="000000"/>
              <w:bottom w:val="single" w:sz="8" w:space="0" w:color="000000"/>
            </w:tcBorders>
            <w:shd w:val="clear" w:color="auto" w:fill="D9D9D9"/>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b/>
                <w:bCs/>
                <w:color w:val="000000"/>
                <w:sz w:val="16"/>
                <w:szCs w:val="16"/>
              </w:rPr>
              <w:t>(108)</w:t>
            </w:r>
          </w:p>
        </w:tc>
        <w:tc>
          <w:tcPr>
            <w:tcW w:w="0" w:type="auto"/>
            <w:tcBorders>
              <w:top w:val="single" w:sz="4" w:space="0" w:color="000000"/>
              <w:bottom w:val="single" w:sz="8" w:space="0" w:color="000000"/>
            </w:tcBorders>
            <w:shd w:val="clear" w:color="auto" w:fill="D9D9D9"/>
            <w:tcMar>
              <w:top w:w="30" w:type="dxa"/>
              <w:left w:w="0" w:type="dxa"/>
              <w:bottom w:w="30" w:type="dxa"/>
              <w:right w:w="20" w:type="dxa"/>
            </w:tcMar>
            <w:hideMark/>
          </w:tcPr>
          <w:p w:rsidR="00000000" w:rsidRDefault="001F1FC8">
            <w:pPr>
              <w:jc w:val="right"/>
              <w:rPr>
                <w:rFonts w:eastAsia="Times New Roman"/>
              </w:rPr>
            </w:pPr>
          </w:p>
        </w:tc>
        <w:tc>
          <w:tcPr>
            <w:tcW w:w="0" w:type="auto"/>
            <w:gridSpan w:val="2"/>
            <w:tcBorders>
              <w:top w:val="single" w:sz="4" w:space="0" w:color="000000"/>
              <w:bottom w:val="single" w:sz="8" w:space="0" w:color="000000"/>
            </w:tcBorders>
            <w:shd w:val="clear" w:color="auto" w:fill="D9D9D9"/>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b/>
                <w:bCs/>
                <w:color w:val="000000"/>
                <w:sz w:val="16"/>
                <w:szCs w:val="16"/>
              </w:rPr>
              <w:t>(359)</w:t>
            </w:r>
          </w:p>
        </w:tc>
        <w:tc>
          <w:tcPr>
            <w:tcW w:w="0" w:type="auto"/>
            <w:tcBorders>
              <w:top w:val="single" w:sz="4" w:space="0" w:color="000000"/>
              <w:bottom w:val="single" w:sz="8" w:space="0" w:color="000000"/>
            </w:tcBorders>
            <w:shd w:val="clear" w:color="auto" w:fill="D9D9D9"/>
            <w:tcMar>
              <w:top w:w="30" w:type="dxa"/>
              <w:left w:w="0" w:type="dxa"/>
              <w:bottom w:w="30" w:type="dxa"/>
              <w:right w:w="20" w:type="dxa"/>
            </w:tcMar>
            <w:hideMark/>
          </w:tcPr>
          <w:p w:rsidR="00000000" w:rsidRDefault="001F1FC8">
            <w:pPr>
              <w:jc w:val="right"/>
              <w:rPr>
                <w:rFonts w:eastAsia="Times New Roman"/>
              </w:rPr>
            </w:pPr>
          </w:p>
        </w:tc>
      </w:tr>
    </w:tbl>
    <w:p w:rsidR="00000000" w:rsidRDefault="001F1FC8">
      <w:pPr>
        <w:jc w:val="center"/>
        <w:divId w:val="1564752040"/>
        <w:rPr>
          <w:rFonts w:eastAsia="Times New Roman"/>
        </w:rPr>
      </w:pPr>
      <w:r>
        <w:rPr>
          <w:rFonts w:ascii="Arial" w:eastAsia="Times New Roman" w:hAnsi="Arial" w:cs="Arial"/>
          <w:color w:val="000000"/>
          <w:sz w:val="20"/>
          <w:szCs w:val="20"/>
        </w:rPr>
        <w:t>158</w:t>
      </w:r>
    </w:p>
    <w:p w:rsidR="00000000" w:rsidRDefault="001F1FC8">
      <w:pPr>
        <w:rPr>
          <w:rFonts w:eastAsia="Times New Roman"/>
        </w:rPr>
      </w:pPr>
      <w:r>
        <w:rPr>
          <w:rFonts w:eastAsia="Times New Roman"/>
        </w:rPr>
        <w:pict>
          <v:rect id="_x0000_i1188" style="width:0;height:1.5pt" o:hralign="center" o:hrstd="t" o:hr="t" fillcolor="#a0a0a0" stroked="f"/>
        </w:pict>
      </w:r>
    </w:p>
    <w:p w:rsidR="00000000" w:rsidRDefault="001F1FC8">
      <w:pPr>
        <w:jc w:val="center"/>
        <w:divId w:val="1718505480"/>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4529"/>
        <w:gridCol w:w="39"/>
        <w:gridCol w:w="69"/>
        <w:gridCol w:w="812"/>
        <w:gridCol w:w="36"/>
        <w:gridCol w:w="69"/>
        <w:gridCol w:w="812"/>
        <w:gridCol w:w="36"/>
        <w:gridCol w:w="69"/>
        <w:gridCol w:w="812"/>
        <w:gridCol w:w="36"/>
        <w:gridCol w:w="80"/>
        <w:gridCol w:w="802"/>
        <w:gridCol w:w="36"/>
      </w:tblGrid>
      <w:tr w:rsidR="00000000">
        <w:trPr>
          <w:divId w:val="2112384593"/>
        </w:trPr>
        <w:tc>
          <w:tcPr>
            <w:tcW w:w="50" w:type="pct"/>
            <w:vAlign w:val="center"/>
            <w:hideMark/>
          </w:tcPr>
          <w:p w:rsidR="00000000" w:rsidRDefault="001F1FC8">
            <w:pPr>
              <w:jc w:val="center"/>
              <w:rPr>
                <w:rFonts w:eastAsia="Times New Roman"/>
              </w:rPr>
            </w:pPr>
          </w:p>
        </w:tc>
        <w:tc>
          <w:tcPr>
            <w:tcW w:w="2733"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c>
          <w:tcPr>
            <w:tcW w:w="50" w:type="pct"/>
            <w:vAlign w:val="center"/>
            <w:hideMark/>
          </w:tcPr>
          <w:p w:rsidR="00000000" w:rsidRDefault="001F1FC8">
            <w:pPr>
              <w:rPr>
                <w:rFonts w:eastAsia="Times New Roman"/>
                <w:sz w:val="20"/>
                <w:szCs w:val="20"/>
              </w:rPr>
            </w:pPr>
          </w:p>
        </w:tc>
        <w:tc>
          <w:tcPr>
            <w:tcW w:w="497"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c>
          <w:tcPr>
            <w:tcW w:w="50" w:type="pct"/>
            <w:vAlign w:val="center"/>
            <w:hideMark/>
          </w:tcPr>
          <w:p w:rsidR="00000000" w:rsidRDefault="001F1FC8">
            <w:pPr>
              <w:rPr>
                <w:rFonts w:eastAsia="Times New Roman"/>
                <w:sz w:val="20"/>
                <w:szCs w:val="20"/>
              </w:rPr>
            </w:pPr>
          </w:p>
        </w:tc>
        <w:tc>
          <w:tcPr>
            <w:tcW w:w="497"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c>
          <w:tcPr>
            <w:tcW w:w="50" w:type="pct"/>
            <w:vAlign w:val="center"/>
            <w:hideMark/>
          </w:tcPr>
          <w:p w:rsidR="00000000" w:rsidRDefault="001F1FC8">
            <w:pPr>
              <w:rPr>
                <w:rFonts w:eastAsia="Times New Roman"/>
                <w:sz w:val="20"/>
                <w:szCs w:val="20"/>
              </w:rPr>
            </w:pPr>
          </w:p>
        </w:tc>
        <w:tc>
          <w:tcPr>
            <w:tcW w:w="497"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c>
          <w:tcPr>
            <w:tcW w:w="50" w:type="pct"/>
            <w:vAlign w:val="center"/>
            <w:hideMark/>
          </w:tcPr>
          <w:p w:rsidR="00000000" w:rsidRDefault="001F1FC8">
            <w:pPr>
              <w:rPr>
                <w:rFonts w:eastAsia="Times New Roman"/>
                <w:sz w:val="20"/>
                <w:szCs w:val="20"/>
              </w:rPr>
            </w:pPr>
          </w:p>
        </w:tc>
        <w:tc>
          <w:tcPr>
            <w:tcW w:w="498"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r>
      <w:tr w:rsidR="00000000">
        <w:trPr>
          <w:divId w:val="2112384593"/>
        </w:trPr>
        <w:tc>
          <w:tcPr>
            <w:tcW w:w="0" w:type="auto"/>
            <w:gridSpan w:val="3"/>
            <w:tcMar>
              <w:top w:w="30" w:type="dxa"/>
              <w:left w:w="20" w:type="dxa"/>
              <w:bottom w:w="30" w:type="dxa"/>
              <w:right w:w="20" w:type="dxa"/>
            </w:tcMar>
            <w:vAlign w:val="bottom"/>
            <w:hideMark/>
          </w:tcPr>
          <w:p w:rsidR="00000000" w:rsidRDefault="001F1FC8">
            <w:pPr>
              <w:jc w:val="both"/>
              <w:rPr>
                <w:rFonts w:eastAsia="Times New Roman"/>
              </w:rPr>
            </w:pPr>
            <w:r>
              <w:rPr>
                <w:rFonts w:ascii="Arial" w:eastAsia="Times New Roman" w:hAnsi="Arial" w:cs="Arial"/>
                <w:color w:val="000000"/>
                <w:sz w:val="16"/>
                <w:szCs w:val="16"/>
              </w:rPr>
              <w:t>December 31, 2020</w:t>
            </w:r>
          </w:p>
        </w:tc>
        <w:tc>
          <w:tcPr>
            <w:tcW w:w="0" w:type="auto"/>
            <w:gridSpan w:val="3"/>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Level 1</w:t>
            </w:r>
          </w:p>
        </w:tc>
        <w:tc>
          <w:tcPr>
            <w:tcW w:w="0" w:type="auto"/>
            <w:gridSpan w:val="3"/>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Level 2</w:t>
            </w:r>
          </w:p>
        </w:tc>
        <w:tc>
          <w:tcPr>
            <w:tcW w:w="0" w:type="auto"/>
            <w:gridSpan w:val="3"/>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Level 3</w:t>
            </w:r>
          </w:p>
        </w:tc>
        <w:tc>
          <w:tcPr>
            <w:tcW w:w="0" w:type="auto"/>
            <w:gridSpan w:val="3"/>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Total Gross Derivative Instruments</w:t>
            </w:r>
          </w:p>
        </w:tc>
      </w:tr>
      <w:tr w:rsidR="00000000">
        <w:trPr>
          <w:divId w:val="2112384593"/>
        </w:trPr>
        <w:tc>
          <w:tcPr>
            <w:tcW w:w="0" w:type="auto"/>
            <w:gridSpan w:val="3"/>
            <w:tcBorders>
              <w:top w:val="single" w:sz="4" w:space="0" w:color="000000"/>
            </w:tcBorders>
            <w:tcMar>
              <w:top w:w="30" w:type="dxa"/>
              <w:left w:w="20" w:type="dxa"/>
              <w:bottom w:w="30" w:type="dxa"/>
              <w:right w:w="20" w:type="dxa"/>
            </w:tcMar>
            <w:hideMark/>
          </w:tcPr>
          <w:p w:rsidR="00000000" w:rsidRDefault="001F1FC8">
            <w:pPr>
              <w:jc w:val="both"/>
              <w:rPr>
                <w:rFonts w:eastAsia="Times New Roman"/>
              </w:rPr>
            </w:pPr>
            <w:r>
              <w:rPr>
                <w:rFonts w:ascii="Arial" w:eastAsia="Times New Roman" w:hAnsi="Arial" w:cs="Arial"/>
                <w:i/>
                <w:iCs/>
                <w:color w:val="000000"/>
                <w:sz w:val="14"/>
                <w:szCs w:val="14"/>
              </w:rPr>
              <w:t>(millions of Canadian dollars)</w:t>
            </w: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14"/>
                <w:szCs w:val="14"/>
              </w:rPr>
              <w:t> </w:t>
            </w: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14"/>
                <w:szCs w:val="14"/>
              </w:rPr>
              <w:t> </w:t>
            </w: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14"/>
                <w:szCs w:val="14"/>
              </w:rPr>
              <w:t> </w:t>
            </w: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14"/>
                <w:szCs w:val="14"/>
              </w:rPr>
              <w:t> </w:t>
            </w:r>
          </w:p>
        </w:tc>
      </w:tr>
      <w:tr w:rsidR="00000000">
        <w:trPr>
          <w:divId w:val="2112384593"/>
        </w:trPr>
        <w:tc>
          <w:tcPr>
            <w:tcW w:w="0" w:type="auto"/>
            <w:gridSpan w:val="3"/>
            <w:tcMar>
              <w:top w:w="30" w:type="dxa"/>
              <w:left w:w="20" w:type="dxa"/>
              <w:bottom w:w="30" w:type="dxa"/>
              <w:right w:w="20" w:type="dxa"/>
            </w:tcMar>
            <w:hideMark/>
          </w:tcPr>
          <w:p w:rsidR="00000000" w:rsidRDefault="001F1FC8">
            <w:pPr>
              <w:rPr>
                <w:rFonts w:eastAsia="Times New Roman"/>
              </w:rPr>
            </w:pPr>
            <w:r>
              <w:rPr>
                <w:rFonts w:ascii="Arial" w:eastAsia="Times New Roman" w:hAnsi="Arial" w:cs="Arial"/>
                <w:color w:val="000000"/>
                <w:sz w:val="16"/>
                <w:szCs w:val="16"/>
              </w:rPr>
              <w:t>Financial assets</w:t>
            </w:r>
          </w:p>
        </w:tc>
        <w:tc>
          <w:tcPr>
            <w:tcW w:w="0" w:type="auto"/>
            <w:gridSpan w:val="3"/>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2"/>
                <w:szCs w:val="2"/>
              </w:rPr>
              <w:t> </w:t>
            </w:r>
          </w:p>
        </w:tc>
        <w:tc>
          <w:tcPr>
            <w:tcW w:w="0" w:type="auto"/>
            <w:gridSpan w:val="3"/>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2"/>
                <w:szCs w:val="2"/>
              </w:rPr>
              <w:t> </w:t>
            </w:r>
          </w:p>
        </w:tc>
        <w:tc>
          <w:tcPr>
            <w:tcW w:w="0" w:type="auto"/>
            <w:gridSpan w:val="3"/>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2"/>
                <w:szCs w:val="2"/>
              </w:rPr>
              <w:t> </w:t>
            </w:r>
          </w:p>
        </w:tc>
        <w:tc>
          <w:tcPr>
            <w:tcW w:w="0" w:type="auto"/>
            <w:gridSpan w:val="3"/>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2"/>
                <w:szCs w:val="2"/>
              </w:rPr>
              <w:t> </w:t>
            </w:r>
          </w:p>
        </w:tc>
      </w:tr>
      <w:tr w:rsidR="00000000">
        <w:trPr>
          <w:divId w:val="2112384593"/>
        </w:trPr>
        <w:tc>
          <w:tcPr>
            <w:tcW w:w="0" w:type="auto"/>
            <w:gridSpan w:val="3"/>
            <w:tcMar>
              <w:top w:w="30" w:type="dxa"/>
              <w:left w:w="140" w:type="dxa"/>
              <w:bottom w:w="30" w:type="dxa"/>
              <w:right w:w="20" w:type="dxa"/>
            </w:tcMar>
            <w:hideMark/>
          </w:tcPr>
          <w:p w:rsidR="00000000" w:rsidRDefault="001F1FC8">
            <w:pPr>
              <w:rPr>
                <w:rFonts w:eastAsia="Times New Roman"/>
              </w:rPr>
            </w:pPr>
            <w:r>
              <w:rPr>
                <w:rFonts w:ascii="Arial" w:eastAsia="Times New Roman" w:hAnsi="Arial" w:cs="Arial"/>
                <w:color w:val="000000"/>
                <w:sz w:val="16"/>
                <w:szCs w:val="16"/>
              </w:rPr>
              <w:t>Current derivative assets</w:t>
            </w:r>
          </w:p>
        </w:tc>
        <w:tc>
          <w:tcPr>
            <w:tcW w:w="0" w:type="auto"/>
            <w:gridSpan w:val="3"/>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2"/>
                <w:szCs w:val="2"/>
              </w:rPr>
              <w:t> </w:t>
            </w:r>
          </w:p>
        </w:tc>
        <w:tc>
          <w:tcPr>
            <w:tcW w:w="0" w:type="auto"/>
            <w:gridSpan w:val="3"/>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2"/>
                <w:szCs w:val="2"/>
              </w:rPr>
              <w:t> </w:t>
            </w:r>
          </w:p>
        </w:tc>
        <w:tc>
          <w:tcPr>
            <w:tcW w:w="0" w:type="auto"/>
            <w:gridSpan w:val="3"/>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2"/>
                <w:szCs w:val="2"/>
              </w:rPr>
              <w:t> </w:t>
            </w:r>
          </w:p>
        </w:tc>
        <w:tc>
          <w:tcPr>
            <w:tcW w:w="0" w:type="auto"/>
            <w:gridSpan w:val="3"/>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2"/>
                <w:szCs w:val="2"/>
              </w:rPr>
              <w:t> </w:t>
            </w:r>
          </w:p>
        </w:tc>
      </w:tr>
      <w:tr w:rsidR="00000000">
        <w:trPr>
          <w:divId w:val="2112384593"/>
        </w:trPr>
        <w:tc>
          <w:tcPr>
            <w:tcW w:w="0" w:type="auto"/>
            <w:gridSpan w:val="3"/>
            <w:tcMar>
              <w:top w:w="30" w:type="dxa"/>
              <w:left w:w="380" w:type="dxa"/>
              <w:bottom w:w="30" w:type="dxa"/>
              <w:right w:w="20" w:type="dxa"/>
            </w:tcMar>
            <w:hideMark/>
          </w:tcPr>
          <w:p w:rsidR="00000000" w:rsidRDefault="001F1FC8">
            <w:pPr>
              <w:rPr>
                <w:rFonts w:eastAsia="Times New Roman"/>
              </w:rPr>
            </w:pPr>
            <w:r>
              <w:rPr>
                <w:rFonts w:ascii="Arial" w:eastAsia="Times New Roman" w:hAnsi="Arial" w:cs="Arial"/>
                <w:color w:val="000000"/>
                <w:sz w:val="16"/>
                <w:szCs w:val="16"/>
              </w:rPr>
              <w:t>Foreign exchange contracts</w:t>
            </w:r>
          </w:p>
        </w:tc>
        <w:tc>
          <w:tcPr>
            <w:tcW w:w="0" w:type="auto"/>
            <w:gridSpan w:val="2"/>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hideMark/>
          </w:tcPr>
          <w:p w:rsidR="00000000" w:rsidRDefault="001F1FC8">
            <w:pPr>
              <w:jc w:val="right"/>
              <w:rPr>
                <w:rFonts w:eastAsia="Times New Roman"/>
              </w:rPr>
            </w:pPr>
          </w:p>
        </w:tc>
        <w:tc>
          <w:tcPr>
            <w:tcW w:w="0" w:type="auto"/>
            <w:gridSpan w:val="2"/>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color w:val="000000"/>
                <w:sz w:val="16"/>
                <w:szCs w:val="16"/>
              </w:rPr>
              <w:t>180 </w:t>
            </w:r>
          </w:p>
        </w:tc>
        <w:tc>
          <w:tcPr>
            <w:tcW w:w="0" w:type="auto"/>
            <w:tcMar>
              <w:top w:w="30" w:type="dxa"/>
              <w:left w:w="0" w:type="dxa"/>
              <w:bottom w:w="30" w:type="dxa"/>
              <w:right w:w="20" w:type="dxa"/>
            </w:tcMar>
            <w:hideMark/>
          </w:tcPr>
          <w:p w:rsidR="00000000" w:rsidRDefault="001F1FC8">
            <w:pPr>
              <w:jc w:val="right"/>
              <w:rPr>
                <w:rFonts w:eastAsia="Times New Roman"/>
              </w:rPr>
            </w:pPr>
          </w:p>
        </w:tc>
        <w:tc>
          <w:tcPr>
            <w:tcW w:w="0" w:type="auto"/>
            <w:gridSpan w:val="2"/>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hideMark/>
          </w:tcPr>
          <w:p w:rsidR="00000000" w:rsidRDefault="001F1FC8">
            <w:pPr>
              <w:jc w:val="right"/>
              <w:rPr>
                <w:rFonts w:eastAsia="Times New Roman"/>
              </w:rPr>
            </w:pPr>
          </w:p>
        </w:tc>
        <w:tc>
          <w:tcPr>
            <w:tcW w:w="0" w:type="auto"/>
            <w:gridSpan w:val="2"/>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color w:val="000000"/>
                <w:sz w:val="16"/>
                <w:szCs w:val="16"/>
              </w:rPr>
              <w:t>180 </w:t>
            </w:r>
          </w:p>
        </w:tc>
        <w:tc>
          <w:tcPr>
            <w:tcW w:w="0" w:type="auto"/>
            <w:tcMar>
              <w:top w:w="30" w:type="dxa"/>
              <w:left w:w="0" w:type="dxa"/>
              <w:bottom w:w="30" w:type="dxa"/>
              <w:right w:w="20" w:type="dxa"/>
            </w:tcMar>
            <w:hideMark/>
          </w:tcPr>
          <w:p w:rsidR="00000000" w:rsidRDefault="001F1FC8">
            <w:pPr>
              <w:jc w:val="right"/>
              <w:rPr>
                <w:rFonts w:eastAsia="Times New Roman"/>
              </w:rPr>
            </w:pPr>
          </w:p>
        </w:tc>
      </w:tr>
      <w:tr w:rsidR="00000000">
        <w:trPr>
          <w:divId w:val="2112384593"/>
        </w:trPr>
        <w:tc>
          <w:tcPr>
            <w:tcW w:w="0" w:type="auto"/>
            <w:gridSpan w:val="3"/>
            <w:tcMar>
              <w:top w:w="30" w:type="dxa"/>
              <w:left w:w="380" w:type="dxa"/>
              <w:bottom w:w="30" w:type="dxa"/>
              <w:right w:w="20" w:type="dxa"/>
            </w:tcMar>
            <w:hideMark/>
          </w:tcPr>
          <w:p w:rsidR="00000000" w:rsidRDefault="001F1FC8">
            <w:pPr>
              <w:rPr>
                <w:rFonts w:eastAsia="Times New Roman"/>
              </w:rPr>
            </w:pPr>
            <w:r>
              <w:rPr>
                <w:rFonts w:ascii="Arial" w:eastAsia="Times New Roman" w:hAnsi="Arial" w:cs="Arial"/>
                <w:color w:val="000000"/>
                <w:sz w:val="16"/>
                <w:szCs w:val="16"/>
              </w:rPr>
              <w:t>Interest rate contracts</w:t>
            </w:r>
          </w:p>
        </w:tc>
        <w:tc>
          <w:tcPr>
            <w:tcW w:w="0" w:type="auto"/>
            <w:gridSpan w:val="2"/>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hideMark/>
          </w:tcPr>
          <w:p w:rsidR="00000000" w:rsidRDefault="001F1FC8">
            <w:pPr>
              <w:jc w:val="right"/>
              <w:rPr>
                <w:rFonts w:eastAsia="Times New Roman"/>
              </w:rPr>
            </w:pPr>
          </w:p>
        </w:tc>
        <w:tc>
          <w:tcPr>
            <w:tcW w:w="0" w:type="auto"/>
            <w:gridSpan w:val="2"/>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hideMark/>
          </w:tcPr>
          <w:p w:rsidR="00000000" w:rsidRDefault="001F1FC8">
            <w:pPr>
              <w:jc w:val="right"/>
              <w:rPr>
                <w:rFonts w:eastAsia="Times New Roman"/>
              </w:rPr>
            </w:pPr>
          </w:p>
        </w:tc>
        <w:tc>
          <w:tcPr>
            <w:tcW w:w="0" w:type="auto"/>
            <w:gridSpan w:val="2"/>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hideMark/>
          </w:tcPr>
          <w:p w:rsidR="00000000" w:rsidRDefault="001F1FC8">
            <w:pPr>
              <w:jc w:val="right"/>
              <w:rPr>
                <w:rFonts w:eastAsia="Times New Roman"/>
              </w:rPr>
            </w:pPr>
          </w:p>
        </w:tc>
        <w:tc>
          <w:tcPr>
            <w:tcW w:w="0" w:type="auto"/>
            <w:gridSpan w:val="2"/>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hideMark/>
          </w:tcPr>
          <w:p w:rsidR="00000000" w:rsidRDefault="001F1FC8">
            <w:pPr>
              <w:jc w:val="right"/>
              <w:rPr>
                <w:rFonts w:eastAsia="Times New Roman"/>
              </w:rPr>
            </w:pPr>
          </w:p>
        </w:tc>
      </w:tr>
      <w:tr w:rsidR="00000000">
        <w:trPr>
          <w:divId w:val="2112384593"/>
        </w:trPr>
        <w:tc>
          <w:tcPr>
            <w:tcW w:w="0" w:type="auto"/>
            <w:gridSpan w:val="3"/>
            <w:tcMar>
              <w:top w:w="30" w:type="dxa"/>
              <w:left w:w="380" w:type="dxa"/>
              <w:bottom w:w="30" w:type="dxa"/>
              <w:right w:w="20" w:type="dxa"/>
            </w:tcMar>
            <w:hideMark/>
          </w:tcPr>
          <w:p w:rsidR="00000000" w:rsidRDefault="001F1FC8">
            <w:pPr>
              <w:rPr>
                <w:rFonts w:eastAsia="Times New Roman"/>
              </w:rPr>
            </w:pPr>
            <w:r>
              <w:rPr>
                <w:rFonts w:ascii="Arial" w:eastAsia="Times New Roman" w:hAnsi="Arial" w:cs="Arial"/>
                <w:color w:val="000000"/>
                <w:sz w:val="16"/>
                <w:szCs w:val="16"/>
              </w:rPr>
              <w:t>Commodity contracts</w:t>
            </w:r>
          </w:p>
        </w:tc>
        <w:tc>
          <w:tcPr>
            <w:tcW w:w="0" w:type="auto"/>
            <w:gridSpan w:val="2"/>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color w:val="000000"/>
                <w:sz w:val="16"/>
                <w:szCs w:val="16"/>
              </w:rPr>
              <w:t>43 </w:t>
            </w:r>
          </w:p>
        </w:tc>
        <w:tc>
          <w:tcPr>
            <w:tcW w:w="0" w:type="auto"/>
            <w:tcMar>
              <w:top w:w="30" w:type="dxa"/>
              <w:left w:w="0" w:type="dxa"/>
              <w:bottom w:w="30" w:type="dxa"/>
              <w:right w:w="20" w:type="dxa"/>
            </w:tcMar>
            <w:hideMark/>
          </w:tcPr>
          <w:p w:rsidR="00000000" w:rsidRDefault="001F1FC8">
            <w:pPr>
              <w:jc w:val="right"/>
              <w:rPr>
                <w:rFonts w:eastAsia="Times New Roman"/>
              </w:rPr>
            </w:pPr>
          </w:p>
        </w:tc>
        <w:tc>
          <w:tcPr>
            <w:tcW w:w="0" w:type="auto"/>
            <w:gridSpan w:val="2"/>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color w:val="000000"/>
                <w:sz w:val="16"/>
                <w:szCs w:val="16"/>
              </w:rPr>
              <w:t>33 </w:t>
            </w:r>
          </w:p>
        </w:tc>
        <w:tc>
          <w:tcPr>
            <w:tcW w:w="0" w:type="auto"/>
            <w:tcMar>
              <w:top w:w="30" w:type="dxa"/>
              <w:left w:w="0" w:type="dxa"/>
              <w:bottom w:w="30" w:type="dxa"/>
              <w:right w:w="20" w:type="dxa"/>
            </w:tcMar>
            <w:hideMark/>
          </w:tcPr>
          <w:p w:rsidR="00000000" w:rsidRDefault="001F1FC8">
            <w:pPr>
              <w:jc w:val="right"/>
              <w:rPr>
                <w:rFonts w:eastAsia="Times New Roman"/>
              </w:rPr>
            </w:pPr>
          </w:p>
        </w:tc>
        <w:tc>
          <w:tcPr>
            <w:tcW w:w="0" w:type="auto"/>
            <w:gridSpan w:val="2"/>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color w:val="000000"/>
                <w:sz w:val="16"/>
                <w:szCs w:val="16"/>
              </w:rPr>
              <w:t>67 </w:t>
            </w:r>
          </w:p>
        </w:tc>
        <w:tc>
          <w:tcPr>
            <w:tcW w:w="0" w:type="auto"/>
            <w:tcMar>
              <w:top w:w="30" w:type="dxa"/>
              <w:left w:w="0" w:type="dxa"/>
              <w:bottom w:w="30" w:type="dxa"/>
              <w:right w:w="20" w:type="dxa"/>
            </w:tcMar>
            <w:hideMark/>
          </w:tcPr>
          <w:p w:rsidR="00000000" w:rsidRDefault="001F1FC8">
            <w:pPr>
              <w:jc w:val="right"/>
              <w:rPr>
                <w:rFonts w:eastAsia="Times New Roman"/>
              </w:rPr>
            </w:pPr>
          </w:p>
        </w:tc>
        <w:tc>
          <w:tcPr>
            <w:tcW w:w="0" w:type="auto"/>
            <w:gridSpan w:val="2"/>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color w:val="000000"/>
                <w:sz w:val="16"/>
                <w:szCs w:val="16"/>
              </w:rPr>
              <w:t>143 </w:t>
            </w:r>
          </w:p>
        </w:tc>
        <w:tc>
          <w:tcPr>
            <w:tcW w:w="0" w:type="auto"/>
            <w:tcMar>
              <w:top w:w="30" w:type="dxa"/>
              <w:left w:w="0" w:type="dxa"/>
              <w:bottom w:w="30" w:type="dxa"/>
              <w:right w:w="20" w:type="dxa"/>
            </w:tcMar>
            <w:hideMark/>
          </w:tcPr>
          <w:p w:rsidR="00000000" w:rsidRDefault="001F1FC8">
            <w:pPr>
              <w:jc w:val="right"/>
              <w:rPr>
                <w:rFonts w:eastAsia="Times New Roman"/>
              </w:rPr>
            </w:pPr>
          </w:p>
        </w:tc>
      </w:tr>
      <w:tr w:rsidR="00000000">
        <w:trPr>
          <w:divId w:val="2112384593"/>
        </w:trPr>
        <w:tc>
          <w:tcPr>
            <w:tcW w:w="0" w:type="auto"/>
            <w:gridSpan w:val="3"/>
            <w:tcMar>
              <w:top w:w="30" w:type="dxa"/>
              <w:left w:w="380" w:type="dxa"/>
              <w:bottom w:w="30" w:type="dxa"/>
              <w:right w:w="20" w:type="dxa"/>
            </w:tcMar>
            <w:hideMark/>
          </w:tcPr>
          <w:p w:rsidR="00000000" w:rsidRDefault="001F1FC8">
            <w:pPr>
              <w:rPr>
                <w:rFonts w:eastAsia="Times New Roman"/>
              </w:rPr>
            </w:pPr>
            <w:r>
              <w:rPr>
                <w:rFonts w:ascii="Arial" w:eastAsia="Times New Roman" w:hAnsi="Arial" w:cs="Arial"/>
                <w:color w:val="000000"/>
                <w:sz w:val="16"/>
                <w:szCs w:val="16"/>
              </w:rPr>
              <w:t>Other contracts</w:t>
            </w:r>
          </w:p>
        </w:tc>
        <w:tc>
          <w:tcPr>
            <w:tcW w:w="0" w:type="auto"/>
            <w:gridSpan w:val="2"/>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hideMark/>
          </w:tcPr>
          <w:p w:rsidR="00000000" w:rsidRDefault="001F1FC8">
            <w:pPr>
              <w:jc w:val="right"/>
              <w:rPr>
                <w:rFonts w:eastAsia="Times New Roman"/>
              </w:rPr>
            </w:pPr>
          </w:p>
        </w:tc>
        <w:tc>
          <w:tcPr>
            <w:tcW w:w="0" w:type="auto"/>
            <w:gridSpan w:val="2"/>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hideMark/>
          </w:tcPr>
          <w:p w:rsidR="00000000" w:rsidRDefault="001F1FC8">
            <w:pPr>
              <w:jc w:val="right"/>
              <w:rPr>
                <w:rFonts w:eastAsia="Times New Roman"/>
              </w:rPr>
            </w:pPr>
          </w:p>
        </w:tc>
        <w:tc>
          <w:tcPr>
            <w:tcW w:w="0" w:type="auto"/>
            <w:gridSpan w:val="2"/>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hideMark/>
          </w:tcPr>
          <w:p w:rsidR="00000000" w:rsidRDefault="001F1FC8">
            <w:pPr>
              <w:jc w:val="right"/>
              <w:rPr>
                <w:rFonts w:eastAsia="Times New Roman"/>
              </w:rPr>
            </w:pPr>
          </w:p>
        </w:tc>
        <w:tc>
          <w:tcPr>
            <w:tcW w:w="0" w:type="auto"/>
            <w:gridSpan w:val="2"/>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hideMark/>
          </w:tcPr>
          <w:p w:rsidR="00000000" w:rsidRDefault="001F1FC8">
            <w:pPr>
              <w:jc w:val="right"/>
              <w:rPr>
                <w:rFonts w:eastAsia="Times New Roman"/>
              </w:rPr>
            </w:pPr>
          </w:p>
        </w:tc>
      </w:tr>
      <w:tr w:rsidR="00000000">
        <w:trPr>
          <w:divId w:val="2112384593"/>
        </w:trPr>
        <w:tc>
          <w:tcPr>
            <w:tcW w:w="0" w:type="auto"/>
            <w:gridSpan w:val="3"/>
            <w:tcBorders>
              <w:top w:val="single" w:sz="4" w:space="0" w:color="000000"/>
            </w:tcBorders>
            <w:tcMar>
              <w:top w:w="30" w:type="dxa"/>
              <w:left w:w="20" w:type="dxa"/>
              <w:bottom w:w="30" w:type="dxa"/>
              <w:right w:w="20" w:type="dxa"/>
            </w:tcMar>
            <w:hideMark/>
          </w:tcPr>
          <w:p w:rsidR="00000000" w:rsidRDefault="001F1FC8">
            <w:pPr>
              <w:rPr>
                <w:rFonts w:eastAsia="Times New Roman"/>
              </w:rPr>
            </w:pPr>
            <w:r>
              <w:rPr>
                <w:rFonts w:ascii="Arial" w:eastAsia="Times New Roman" w:hAnsi="Arial" w:cs="Arial"/>
                <w:color w:val="000000"/>
                <w:sz w:val="14"/>
                <w:szCs w:val="14"/>
              </w:rPr>
              <w:t> </w:t>
            </w:r>
          </w:p>
        </w:tc>
        <w:tc>
          <w:tcPr>
            <w:tcW w:w="0" w:type="auto"/>
            <w:gridSpan w:val="2"/>
            <w:tcBorders>
              <w:top w:val="single" w:sz="4" w:space="0" w:color="000000"/>
            </w:tcBorders>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color w:val="000000"/>
                <w:sz w:val="16"/>
                <w:szCs w:val="16"/>
              </w:rPr>
              <w:t>43 </w:t>
            </w:r>
          </w:p>
        </w:tc>
        <w:tc>
          <w:tcPr>
            <w:tcW w:w="0" w:type="auto"/>
            <w:tcBorders>
              <w:top w:val="single" w:sz="4" w:space="0" w:color="000000"/>
            </w:tcBorders>
            <w:tcMar>
              <w:top w:w="30" w:type="dxa"/>
              <w:left w:w="0" w:type="dxa"/>
              <w:bottom w:w="30" w:type="dxa"/>
              <w:right w:w="20" w:type="dxa"/>
            </w:tcMar>
            <w:hideMark/>
          </w:tcPr>
          <w:p w:rsidR="00000000" w:rsidRDefault="001F1FC8">
            <w:pPr>
              <w:jc w:val="right"/>
              <w:rPr>
                <w:rFonts w:eastAsia="Times New Roman"/>
              </w:rPr>
            </w:pPr>
          </w:p>
        </w:tc>
        <w:tc>
          <w:tcPr>
            <w:tcW w:w="0" w:type="auto"/>
            <w:gridSpan w:val="2"/>
            <w:tcBorders>
              <w:top w:val="single" w:sz="4" w:space="0" w:color="000000"/>
            </w:tcBorders>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color w:val="000000"/>
                <w:sz w:val="16"/>
                <w:szCs w:val="16"/>
              </w:rPr>
              <w:t>213 </w:t>
            </w:r>
          </w:p>
        </w:tc>
        <w:tc>
          <w:tcPr>
            <w:tcW w:w="0" w:type="auto"/>
            <w:tcBorders>
              <w:top w:val="single" w:sz="4" w:space="0" w:color="000000"/>
            </w:tcBorders>
            <w:tcMar>
              <w:top w:w="30" w:type="dxa"/>
              <w:left w:w="0" w:type="dxa"/>
              <w:bottom w:w="30" w:type="dxa"/>
              <w:right w:w="20" w:type="dxa"/>
            </w:tcMar>
            <w:hideMark/>
          </w:tcPr>
          <w:p w:rsidR="00000000" w:rsidRDefault="001F1FC8">
            <w:pPr>
              <w:jc w:val="right"/>
              <w:rPr>
                <w:rFonts w:eastAsia="Times New Roman"/>
              </w:rPr>
            </w:pPr>
          </w:p>
        </w:tc>
        <w:tc>
          <w:tcPr>
            <w:tcW w:w="0" w:type="auto"/>
            <w:gridSpan w:val="2"/>
            <w:tcBorders>
              <w:top w:val="single" w:sz="4" w:space="0" w:color="000000"/>
            </w:tcBorders>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color w:val="000000"/>
                <w:sz w:val="16"/>
                <w:szCs w:val="16"/>
              </w:rPr>
              <w:t>67 </w:t>
            </w:r>
          </w:p>
        </w:tc>
        <w:tc>
          <w:tcPr>
            <w:tcW w:w="0" w:type="auto"/>
            <w:tcBorders>
              <w:top w:val="single" w:sz="4" w:space="0" w:color="000000"/>
            </w:tcBorders>
            <w:tcMar>
              <w:top w:w="30" w:type="dxa"/>
              <w:left w:w="0" w:type="dxa"/>
              <w:bottom w:w="30" w:type="dxa"/>
              <w:right w:w="20" w:type="dxa"/>
            </w:tcMar>
            <w:hideMark/>
          </w:tcPr>
          <w:p w:rsidR="00000000" w:rsidRDefault="001F1FC8">
            <w:pPr>
              <w:jc w:val="right"/>
              <w:rPr>
                <w:rFonts w:eastAsia="Times New Roman"/>
              </w:rPr>
            </w:pPr>
          </w:p>
        </w:tc>
        <w:tc>
          <w:tcPr>
            <w:tcW w:w="0" w:type="auto"/>
            <w:gridSpan w:val="2"/>
            <w:tcBorders>
              <w:top w:val="single" w:sz="4" w:space="0" w:color="000000"/>
            </w:tcBorders>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color w:val="000000"/>
                <w:sz w:val="16"/>
                <w:szCs w:val="16"/>
              </w:rPr>
              <w:t>323 </w:t>
            </w:r>
          </w:p>
        </w:tc>
        <w:tc>
          <w:tcPr>
            <w:tcW w:w="0" w:type="auto"/>
            <w:tcBorders>
              <w:top w:val="single" w:sz="4" w:space="0" w:color="000000"/>
            </w:tcBorders>
            <w:tcMar>
              <w:top w:w="30" w:type="dxa"/>
              <w:left w:w="0" w:type="dxa"/>
              <w:bottom w:w="30" w:type="dxa"/>
              <w:right w:w="20" w:type="dxa"/>
            </w:tcMar>
            <w:hideMark/>
          </w:tcPr>
          <w:p w:rsidR="00000000" w:rsidRDefault="001F1FC8">
            <w:pPr>
              <w:jc w:val="right"/>
              <w:rPr>
                <w:rFonts w:eastAsia="Times New Roman"/>
              </w:rPr>
            </w:pPr>
          </w:p>
        </w:tc>
      </w:tr>
      <w:tr w:rsidR="00000000">
        <w:trPr>
          <w:divId w:val="2112384593"/>
        </w:trPr>
        <w:tc>
          <w:tcPr>
            <w:tcW w:w="0" w:type="auto"/>
            <w:gridSpan w:val="3"/>
            <w:tcBorders>
              <w:top w:val="single" w:sz="4" w:space="0" w:color="000000"/>
            </w:tcBorders>
            <w:tcMar>
              <w:top w:w="30" w:type="dxa"/>
              <w:left w:w="155" w:type="dxa"/>
              <w:bottom w:w="30" w:type="dxa"/>
              <w:right w:w="20" w:type="dxa"/>
            </w:tcMar>
            <w:hideMark/>
          </w:tcPr>
          <w:p w:rsidR="00000000" w:rsidRDefault="001F1FC8">
            <w:pPr>
              <w:rPr>
                <w:rFonts w:eastAsia="Times New Roman"/>
              </w:rPr>
            </w:pPr>
            <w:r>
              <w:rPr>
                <w:rFonts w:ascii="Arial" w:eastAsia="Times New Roman" w:hAnsi="Arial" w:cs="Arial"/>
                <w:color w:val="000000"/>
                <w:sz w:val="16"/>
                <w:szCs w:val="16"/>
              </w:rPr>
              <w:t>Long-term derivative assets</w:t>
            </w:r>
          </w:p>
        </w:tc>
        <w:tc>
          <w:tcPr>
            <w:tcW w:w="0" w:type="auto"/>
            <w:gridSpan w:val="3"/>
            <w:tcBorders>
              <w:top w:val="single" w:sz="4" w:space="0" w:color="000000"/>
            </w:tcBorders>
            <w:tcMar>
              <w:top w:w="30" w:type="dxa"/>
              <w:left w:w="20" w:type="dxa"/>
              <w:bottom w:w="30" w:type="dxa"/>
              <w:right w:w="20" w:type="dxa"/>
            </w:tcMar>
            <w:hideMark/>
          </w:tcPr>
          <w:p w:rsidR="00000000" w:rsidRDefault="001F1FC8">
            <w:pPr>
              <w:jc w:val="right"/>
              <w:rPr>
                <w:rFonts w:eastAsia="Times New Roman"/>
              </w:rPr>
            </w:pPr>
            <w:r>
              <w:rPr>
                <w:rFonts w:ascii="Arial" w:eastAsia="Times New Roman" w:hAnsi="Arial" w:cs="Arial"/>
                <w:color w:val="000000"/>
                <w:sz w:val="2"/>
                <w:szCs w:val="2"/>
              </w:rPr>
              <w:t> </w:t>
            </w:r>
          </w:p>
        </w:tc>
        <w:tc>
          <w:tcPr>
            <w:tcW w:w="0" w:type="auto"/>
            <w:gridSpan w:val="3"/>
            <w:tcBorders>
              <w:top w:val="single" w:sz="4" w:space="0" w:color="000000"/>
            </w:tcBorders>
            <w:tcMar>
              <w:top w:w="30" w:type="dxa"/>
              <w:left w:w="20" w:type="dxa"/>
              <w:bottom w:w="30" w:type="dxa"/>
              <w:right w:w="20" w:type="dxa"/>
            </w:tcMar>
            <w:hideMark/>
          </w:tcPr>
          <w:p w:rsidR="00000000" w:rsidRDefault="001F1FC8">
            <w:pPr>
              <w:jc w:val="right"/>
              <w:rPr>
                <w:rFonts w:eastAsia="Times New Roman"/>
              </w:rPr>
            </w:pPr>
            <w:r>
              <w:rPr>
                <w:rFonts w:ascii="Arial" w:eastAsia="Times New Roman" w:hAnsi="Arial" w:cs="Arial"/>
                <w:color w:val="000000"/>
                <w:sz w:val="2"/>
                <w:szCs w:val="2"/>
              </w:rPr>
              <w:t> </w:t>
            </w:r>
          </w:p>
        </w:tc>
        <w:tc>
          <w:tcPr>
            <w:tcW w:w="0" w:type="auto"/>
            <w:gridSpan w:val="3"/>
            <w:tcBorders>
              <w:top w:val="single" w:sz="4" w:space="0" w:color="000000"/>
            </w:tcBorders>
            <w:tcMar>
              <w:top w:w="30" w:type="dxa"/>
              <w:left w:w="20" w:type="dxa"/>
              <w:bottom w:w="30" w:type="dxa"/>
              <w:right w:w="20" w:type="dxa"/>
            </w:tcMar>
            <w:hideMark/>
          </w:tcPr>
          <w:p w:rsidR="00000000" w:rsidRDefault="001F1FC8">
            <w:pPr>
              <w:jc w:val="right"/>
              <w:rPr>
                <w:rFonts w:eastAsia="Times New Roman"/>
              </w:rPr>
            </w:pPr>
            <w:r>
              <w:rPr>
                <w:rFonts w:ascii="Arial" w:eastAsia="Times New Roman" w:hAnsi="Arial" w:cs="Arial"/>
                <w:color w:val="000000"/>
                <w:sz w:val="2"/>
                <w:szCs w:val="2"/>
              </w:rPr>
              <w:t> </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1F1FC8">
            <w:pPr>
              <w:jc w:val="right"/>
              <w:rPr>
                <w:rFonts w:eastAsia="Times New Roman"/>
              </w:rPr>
            </w:pPr>
          </w:p>
        </w:tc>
      </w:tr>
      <w:tr w:rsidR="00000000">
        <w:trPr>
          <w:divId w:val="2112384593"/>
        </w:trPr>
        <w:tc>
          <w:tcPr>
            <w:tcW w:w="0" w:type="auto"/>
            <w:gridSpan w:val="3"/>
            <w:tcMar>
              <w:top w:w="30" w:type="dxa"/>
              <w:left w:w="380" w:type="dxa"/>
              <w:bottom w:w="30" w:type="dxa"/>
              <w:right w:w="20" w:type="dxa"/>
            </w:tcMar>
            <w:hideMark/>
          </w:tcPr>
          <w:p w:rsidR="00000000" w:rsidRDefault="001F1FC8">
            <w:pPr>
              <w:rPr>
                <w:rFonts w:eastAsia="Times New Roman"/>
              </w:rPr>
            </w:pPr>
            <w:r>
              <w:rPr>
                <w:rFonts w:ascii="Arial" w:eastAsia="Times New Roman" w:hAnsi="Arial" w:cs="Arial"/>
                <w:color w:val="000000"/>
                <w:sz w:val="16"/>
                <w:szCs w:val="16"/>
              </w:rPr>
              <w:t>Foreign exchange contracts</w:t>
            </w:r>
          </w:p>
        </w:tc>
        <w:tc>
          <w:tcPr>
            <w:tcW w:w="0" w:type="auto"/>
            <w:gridSpan w:val="2"/>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hideMark/>
          </w:tcPr>
          <w:p w:rsidR="00000000" w:rsidRDefault="001F1FC8">
            <w:pPr>
              <w:jc w:val="right"/>
              <w:rPr>
                <w:rFonts w:eastAsia="Times New Roman"/>
              </w:rPr>
            </w:pPr>
          </w:p>
        </w:tc>
        <w:tc>
          <w:tcPr>
            <w:tcW w:w="0" w:type="auto"/>
            <w:gridSpan w:val="2"/>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color w:val="000000"/>
                <w:sz w:val="16"/>
                <w:szCs w:val="16"/>
              </w:rPr>
              <w:t>466 </w:t>
            </w:r>
          </w:p>
        </w:tc>
        <w:tc>
          <w:tcPr>
            <w:tcW w:w="0" w:type="auto"/>
            <w:tcMar>
              <w:top w:w="30" w:type="dxa"/>
              <w:left w:w="0" w:type="dxa"/>
              <w:bottom w:w="30" w:type="dxa"/>
              <w:right w:w="20" w:type="dxa"/>
            </w:tcMar>
            <w:hideMark/>
          </w:tcPr>
          <w:p w:rsidR="00000000" w:rsidRDefault="001F1FC8">
            <w:pPr>
              <w:jc w:val="right"/>
              <w:rPr>
                <w:rFonts w:eastAsia="Times New Roman"/>
              </w:rPr>
            </w:pPr>
          </w:p>
        </w:tc>
        <w:tc>
          <w:tcPr>
            <w:tcW w:w="0" w:type="auto"/>
            <w:gridSpan w:val="2"/>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hideMark/>
          </w:tcPr>
          <w:p w:rsidR="00000000" w:rsidRDefault="001F1FC8">
            <w:pPr>
              <w:jc w:val="right"/>
              <w:rPr>
                <w:rFonts w:eastAsia="Times New Roman"/>
              </w:rPr>
            </w:pPr>
          </w:p>
        </w:tc>
        <w:tc>
          <w:tcPr>
            <w:tcW w:w="0" w:type="auto"/>
            <w:gridSpan w:val="2"/>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color w:val="000000"/>
                <w:sz w:val="16"/>
                <w:szCs w:val="16"/>
              </w:rPr>
              <w:t>466 </w:t>
            </w:r>
          </w:p>
        </w:tc>
        <w:tc>
          <w:tcPr>
            <w:tcW w:w="0" w:type="auto"/>
            <w:tcMar>
              <w:top w:w="30" w:type="dxa"/>
              <w:left w:w="0" w:type="dxa"/>
              <w:bottom w:w="30" w:type="dxa"/>
              <w:right w:w="20" w:type="dxa"/>
            </w:tcMar>
            <w:hideMark/>
          </w:tcPr>
          <w:p w:rsidR="00000000" w:rsidRDefault="001F1FC8">
            <w:pPr>
              <w:jc w:val="right"/>
              <w:rPr>
                <w:rFonts w:eastAsia="Times New Roman"/>
              </w:rPr>
            </w:pPr>
          </w:p>
        </w:tc>
      </w:tr>
      <w:tr w:rsidR="00000000">
        <w:trPr>
          <w:divId w:val="2112384593"/>
        </w:trPr>
        <w:tc>
          <w:tcPr>
            <w:tcW w:w="0" w:type="auto"/>
            <w:gridSpan w:val="3"/>
            <w:tcMar>
              <w:top w:w="30" w:type="dxa"/>
              <w:left w:w="380" w:type="dxa"/>
              <w:bottom w:w="30" w:type="dxa"/>
              <w:right w:w="20" w:type="dxa"/>
            </w:tcMar>
            <w:hideMark/>
          </w:tcPr>
          <w:p w:rsidR="00000000" w:rsidRDefault="001F1FC8">
            <w:pPr>
              <w:rPr>
                <w:rFonts w:eastAsia="Times New Roman"/>
              </w:rPr>
            </w:pPr>
            <w:r>
              <w:rPr>
                <w:rFonts w:ascii="Arial" w:eastAsia="Times New Roman" w:hAnsi="Arial" w:cs="Arial"/>
                <w:color w:val="000000"/>
                <w:sz w:val="16"/>
                <w:szCs w:val="16"/>
              </w:rPr>
              <w:t>Interest rate contracts</w:t>
            </w:r>
          </w:p>
        </w:tc>
        <w:tc>
          <w:tcPr>
            <w:tcW w:w="0" w:type="auto"/>
            <w:gridSpan w:val="2"/>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hideMark/>
          </w:tcPr>
          <w:p w:rsidR="00000000" w:rsidRDefault="001F1FC8">
            <w:pPr>
              <w:jc w:val="right"/>
              <w:rPr>
                <w:rFonts w:eastAsia="Times New Roman"/>
              </w:rPr>
            </w:pPr>
          </w:p>
        </w:tc>
        <w:tc>
          <w:tcPr>
            <w:tcW w:w="0" w:type="auto"/>
            <w:gridSpan w:val="2"/>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color w:val="000000"/>
                <w:sz w:val="16"/>
                <w:szCs w:val="16"/>
              </w:rPr>
              <w:t>56 </w:t>
            </w:r>
          </w:p>
        </w:tc>
        <w:tc>
          <w:tcPr>
            <w:tcW w:w="0" w:type="auto"/>
            <w:tcMar>
              <w:top w:w="30" w:type="dxa"/>
              <w:left w:w="0" w:type="dxa"/>
              <w:bottom w:w="30" w:type="dxa"/>
              <w:right w:w="20" w:type="dxa"/>
            </w:tcMar>
            <w:hideMark/>
          </w:tcPr>
          <w:p w:rsidR="00000000" w:rsidRDefault="001F1FC8">
            <w:pPr>
              <w:jc w:val="right"/>
              <w:rPr>
                <w:rFonts w:eastAsia="Times New Roman"/>
              </w:rPr>
            </w:pPr>
          </w:p>
        </w:tc>
        <w:tc>
          <w:tcPr>
            <w:tcW w:w="0" w:type="auto"/>
            <w:gridSpan w:val="2"/>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hideMark/>
          </w:tcPr>
          <w:p w:rsidR="00000000" w:rsidRDefault="001F1FC8">
            <w:pPr>
              <w:jc w:val="right"/>
              <w:rPr>
                <w:rFonts w:eastAsia="Times New Roman"/>
              </w:rPr>
            </w:pPr>
          </w:p>
        </w:tc>
        <w:tc>
          <w:tcPr>
            <w:tcW w:w="0" w:type="auto"/>
            <w:gridSpan w:val="2"/>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color w:val="000000"/>
                <w:sz w:val="16"/>
                <w:szCs w:val="16"/>
              </w:rPr>
              <w:t>56 </w:t>
            </w:r>
          </w:p>
        </w:tc>
        <w:tc>
          <w:tcPr>
            <w:tcW w:w="0" w:type="auto"/>
            <w:tcMar>
              <w:top w:w="30" w:type="dxa"/>
              <w:left w:w="0" w:type="dxa"/>
              <w:bottom w:w="30" w:type="dxa"/>
              <w:right w:w="20" w:type="dxa"/>
            </w:tcMar>
            <w:hideMark/>
          </w:tcPr>
          <w:p w:rsidR="00000000" w:rsidRDefault="001F1FC8">
            <w:pPr>
              <w:jc w:val="right"/>
              <w:rPr>
                <w:rFonts w:eastAsia="Times New Roman"/>
              </w:rPr>
            </w:pPr>
          </w:p>
        </w:tc>
      </w:tr>
      <w:tr w:rsidR="00000000">
        <w:trPr>
          <w:divId w:val="2112384593"/>
        </w:trPr>
        <w:tc>
          <w:tcPr>
            <w:tcW w:w="0" w:type="auto"/>
            <w:gridSpan w:val="3"/>
            <w:tcMar>
              <w:top w:w="30" w:type="dxa"/>
              <w:left w:w="380" w:type="dxa"/>
              <w:bottom w:w="30" w:type="dxa"/>
              <w:right w:w="20" w:type="dxa"/>
            </w:tcMar>
            <w:hideMark/>
          </w:tcPr>
          <w:p w:rsidR="00000000" w:rsidRDefault="001F1FC8">
            <w:pPr>
              <w:rPr>
                <w:rFonts w:eastAsia="Times New Roman"/>
              </w:rPr>
            </w:pPr>
            <w:r>
              <w:rPr>
                <w:rFonts w:ascii="Arial" w:eastAsia="Times New Roman" w:hAnsi="Arial" w:cs="Arial"/>
                <w:color w:val="000000"/>
                <w:sz w:val="16"/>
                <w:szCs w:val="16"/>
              </w:rPr>
              <w:t>Commodity contracts</w:t>
            </w:r>
          </w:p>
        </w:tc>
        <w:tc>
          <w:tcPr>
            <w:tcW w:w="0" w:type="auto"/>
            <w:gridSpan w:val="2"/>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color w:val="000000"/>
                <w:sz w:val="16"/>
                <w:szCs w:val="16"/>
              </w:rPr>
              <w:t>1 </w:t>
            </w:r>
          </w:p>
        </w:tc>
        <w:tc>
          <w:tcPr>
            <w:tcW w:w="0" w:type="auto"/>
            <w:tcMar>
              <w:top w:w="30" w:type="dxa"/>
              <w:left w:w="0" w:type="dxa"/>
              <w:bottom w:w="30" w:type="dxa"/>
              <w:right w:w="20" w:type="dxa"/>
            </w:tcMar>
            <w:hideMark/>
          </w:tcPr>
          <w:p w:rsidR="00000000" w:rsidRDefault="001F1FC8">
            <w:pPr>
              <w:jc w:val="right"/>
              <w:rPr>
                <w:rFonts w:eastAsia="Times New Roman"/>
              </w:rPr>
            </w:pPr>
          </w:p>
        </w:tc>
        <w:tc>
          <w:tcPr>
            <w:tcW w:w="0" w:type="auto"/>
            <w:gridSpan w:val="2"/>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color w:val="000000"/>
                <w:sz w:val="16"/>
                <w:szCs w:val="16"/>
              </w:rPr>
              <w:t>24 </w:t>
            </w:r>
          </w:p>
        </w:tc>
        <w:tc>
          <w:tcPr>
            <w:tcW w:w="0" w:type="auto"/>
            <w:tcMar>
              <w:top w:w="30" w:type="dxa"/>
              <w:left w:w="0" w:type="dxa"/>
              <w:bottom w:w="30" w:type="dxa"/>
              <w:right w:w="20" w:type="dxa"/>
            </w:tcMar>
            <w:hideMark/>
          </w:tcPr>
          <w:p w:rsidR="00000000" w:rsidRDefault="001F1FC8">
            <w:pPr>
              <w:jc w:val="right"/>
              <w:rPr>
                <w:rFonts w:eastAsia="Times New Roman"/>
              </w:rPr>
            </w:pPr>
          </w:p>
        </w:tc>
        <w:tc>
          <w:tcPr>
            <w:tcW w:w="0" w:type="auto"/>
            <w:gridSpan w:val="2"/>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color w:val="000000"/>
                <w:sz w:val="16"/>
                <w:szCs w:val="16"/>
              </w:rPr>
              <w:t>14 </w:t>
            </w:r>
          </w:p>
        </w:tc>
        <w:tc>
          <w:tcPr>
            <w:tcW w:w="0" w:type="auto"/>
            <w:tcMar>
              <w:top w:w="30" w:type="dxa"/>
              <w:left w:w="0" w:type="dxa"/>
              <w:bottom w:w="30" w:type="dxa"/>
              <w:right w:w="20" w:type="dxa"/>
            </w:tcMar>
            <w:hideMark/>
          </w:tcPr>
          <w:p w:rsidR="00000000" w:rsidRDefault="001F1FC8">
            <w:pPr>
              <w:jc w:val="right"/>
              <w:rPr>
                <w:rFonts w:eastAsia="Times New Roman"/>
              </w:rPr>
            </w:pPr>
          </w:p>
        </w:tc>
        <w:tc>
          <w:tcPr>
            <w:tcW w:w="0" w:type="auto"/>
            <w:gridSpan w:val="2"/>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color w:val="000000"/>
                <w:sz w:val="16"/>
                <w:szCs w:val="16"/>
              </w:rPr>
              <w:t>39 </w:t>
            </w:r>
          </w:p>
        </w:tc>
        <w:tc>
          <w:tcPr>
            <w:tcW w:w="0" w:type="auto"/>
            <w:tcMar>
              <w:top w:w="30" w:type="dxa"/>
              <w:left w:w="0" w:type="dxa"/>
              <w:bottom w:w="30" w:type="dxa"/>
              <w:right w:w="20" w:type="dxa"/>
            </w:tcMar>
            <w:hideMark/>
          </w:tcPr>
          <w:p w:rsidR="00000000" w:rsidRDefault="001F1FC8">
            <w:pPr>
              <w:jc w:val="right"/>
              <w:rPr>
                <w:rFonts w:eastAsia="Times New Roman"/>
              </w:rPr>
            </w:pPr>
          </w:p>
        </w:tc>
      </w:tr>
      <w:tr w:rsidR="00000000">
        <w:trPr>
          <w:divId w:val="2112384593"/>
        </w:trPr>
        <w:tc>
          <w:tcPr>
            <w:tcW w:w="0" w:type="auto"/>
            <w:gridSpan w:val="3"/>
            <w:tcMar>
              <w:top w:w="30" w:type="dxa"/>
              <w:left w:w="380" w:type="dxa"/>
              <w:bottom w:w="30" w:type="dxa"/>
              <w:right w:w="20" w:type="dxa"/>
            </w:tcMar>
            <w:hideMark/>
          </w:tcPr>
          <w:p w:rsidR="00000000" w:rsidRDefault="001F1FC8">
            <w:pPr>
              <w:rPr>
                <w:rFonts w:eastAsia="Times New Roman"/>
              </w:rPr>
            </w:pPr>
            <w:r>
              <w:rPr>
                <w:rFonts w:ascii="Arial" w:eastAsia="Times New Roman" w:hAnsi="Arial" w:cs="Arial"/>
                <w:color w:val="000000"/>
                <w:sz w:val="16"/>
                <w:szCs w:val="16"/>
              </w:rPr>
              <w:t>Other contracts</w:t>
            </w:r>
          </w:p>
        </w:tc>
        <w:tc>
          <w:tcPr>
            <w:tcW w:w="0" w:type="auto"/>
            <w:gridSpan w:val="2"/>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hideMark/>
          </w:tcPr>
          <w:p w:rsidR="00000000" w:rsidRDefault="001F1FC8">
            <w:pPr>
              <w:jc w:val="right"/>
              <w:rPr>
                <w:rFonts w:eastAsia="Times New Roman"/>
              </w:rPr>
            </w:pPr>
          </w:p>
        </w:tc>
        <w:tc>
          <w:tcPr>
            <w:tcW w:w="0" w:type="auto"/>
            <w:gridSpan w:val="2"/>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hideMark/>
          </w:tcPr>
          <w:p w:rsidR="00000000" w:rsidRDefault="001F1FC8">
            <w:pPr>
              <w:jc w:val="right"/>
              <w:rPr>
                <w:rFonts w:eastAsia="Times New Roman"/>
              </w:rPr>
            </w:pPr>
          </w:p>
        </w:tc>
        <w:tc>
          <w:tcPr>
            <w:tcW w:w="0" w:type="auto"/>
            <w:gridSpan w:val="2"/>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hideMark/>
          </w:tcPr>
          <w:p w:rsidR="00000000" w:rsidRDefault="001F1FC8">
            <w:pPr>
              <w:jc w:val="right"/>
              <w:rPr>
                <w:rFonts w:eastAsia="Times New Roman"/>
              </w:rPr>
            </w:pPr>
          </w:p>
        </w:tc>
        <w:tc>
          <w:tcPr>
            <w:tcW w:w="0" w:type="auto"/>
            <w:gridSpan w:val="2"/>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hideMark/>
          </w:tcPr>
          <w:p w:rsidR="00000000" w:rsidRDefault="001F1FC8">
            <w:pPr>
              <w:jc w:val="right"/>
              <w:rPr>
                <w:rFonts w:eastAsia="Times New Roman"/>
              </w:rPr>
            </w:pPr>
          </w:p>
        </w:tc>
      </w:tr>
      <w:tr w:rsidR="00000000">
        <w:trPr>
          <w:divId w:val="2112384593"/>
        </w:trPr>
        <w:tc>
          <w:tcPr>
            <w:tcW w:w="0" w:type="auto"/>
            <w:gridSpan w:val="3"/>
            <w:tcBorders>
              <w:top w:val="single" w:sz="4" w:space="0" w:color="000000"/>
            </w:tcBorders>
            <w:tcMar>
              <w:top w:w="30" w:type="dxa"/>
              <w:left w:w="20" w:type="dxa"/>
              <w:bottom w:w="30" w:type="dxa"/>
              <w:right w:w="20" w:type="dxa"/>
            </w:tcMar>
            <w:hideMark/>
          </w:tcPr>
          <w:p w:rsidR="00000000" w:rsidRDefault="001F1FC8">
            <w:pPr>
              <w:rPr>
                <w:rFonts w:eastAsia="Times New Roman"/>
              </w:rPr>
            </w:pPr>
            <w:r>
              <w:rPr>
                <w:rFonts w:ascii="Arial" w:eastAsia="Times New Roman" w:hAnsi="Arial" w:cs="Arial"/>
                <w:color w:val="000000"/>
                <w:sz w:val="2"/>
                <w:szCs w:val="2"/>
              </w:rPr>
              <w:t> </w:t>
            </w:r>
          </w:p>
        </w:tc>
        <w:tc>
          <w:tcPr>
            <w:tcW w:w="0" w:type="auto"/>
            <w:gridSpan w:val="2"/>
            <w:tcBorders>
              <w:top w:val="single" w:sz="4" w:space="0" w:color="000000"/>
            </w:tcBorders>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color w:val="000000"/>
                <w:sz w:val="16"/>
                <w:szCs w:val="16"/>
              </w:rPr>
              <w:t>1 </w:t>
            </w:r>
          </w:p>
        </w:tc>
        <w:tc>
          <w:tcPr>
            <w:tcW w:w="0" w:type="auto"/>
            <w:tcBorders>
              <w:top w:val="single" w:sz="4" w:space="0" w:color="000000"/>
            </w:tcBorders>
            <w:tcMar>
              <w:top w:w="30" w:type="dxa"/>
              <w:left w:w="0" w:type="dxa"/>
              <w:bottom w:w="30" w:type="dxa"/>
              <w:right w:w="20" w:type="dxa"/>
            </w:tcMar>
            <w:hideMark/>
          </w:tcPr>
          <w:p w:rsidR="00000000" w:rsidRDefault="001F1FC8">
            <w:pPr>
              <w:jc w:val="right"/>
              <w:rPr>
                <w:rFonts w:eastAsia="Times New Roman"/>
              </w:rPr>
            </w:pPr>
          </w:p>
        </w:tc>
        <w:tc>
          <w:tcPr>
            <w:tcW w:w="0" w:type="auto"/>
            <w:gridSpan w:val="2"/>
            <w:tcBorders>
              <w:top w:val="single" w:sz="4" w:space="0" w:color="000000"/>
            </w:tcBorders>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color w:val="000000"/>
                <w:sz w:val="16"/>
                <w:szCs w:val="16"/>
              </w:rPr>
              <w:t>546 </w:t>
            </w:r>
          </w:p>
        </w:tc>
        <w:tc>
          <w:tcPr>
            <w:tcW w:w="0" w:type="auto"/>
            <w:tcBorders>
              <w:top w:val="single" w:sz="4" w:space="0" w:color="000000"/>
            </w:tcBorders>
            <w:tcMar>
              <w:top w:w="30" w:type="dxa"/>
              <w:left w:w="0" w:type="dxa"/>
              <w:bottom w:w="30" w:type="dxa"/>
              <w:right w:w="20" w:type="dxa"/>
            </w:tcMar>
            <w:hideMark/>
          </w:tcPr>
          <w:p w:rsidR="00000000" w:rsidRDefault="001F1FC8">
            <w:pPr>
              <w:jc w:val="right"/>
              <w:rPr>
                <w:rFonts w:eastAsia="Times New Roman"/>
              </w:rPr>
            </w:pPr>
          </w:p>
        </w:tc>
        <w:tc>
          <w:tcPr>
            <w:tcW w:w="0" w:type="auto"/>
            <w:gridSpan w:val="2"/>
            <w:tcBorders>
              <w:top w:val="single" w:sz="4" w:space="0" w:color="000000"/>
            </w:tcBorders>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color w:val="000000"/>
                <w:sz w:val="16"/>
                <w:szCs w:val="16"/>
              </w:rPr>
              <w:t>14 </w:t>
            </w:r>
          </w:p>
        </w:tc>
        <w:tc>
          <w:tcPr>
            <w:tcW w:w="0" w:type="auto"/>
            <w:tcBorders>
              <w:top w:val="single" w:sz="4" w:space="0" w:color="000000"/>
            </w:tcBorders>
            <w:tcMar>
              <w:top w:w="30" w:type="dxa"/>
              <w:left w:w="0" w:type="dxa"/>
              <w:bottom w:w="30" w:type="dxa"/>
              <w:right w:w="20" w:type="dxa"/>
            </w:tcMar>
            <w:hideMark/>
          </w:tcPr>
          <w:p w:rsidR="00000000" w:rsidRDefault="001F1FC8">
            <w:pPr>
              <w:jc w:val="right"/>
              <w:rPr>
                <w:rFonts w:eastAsia="Times New Roman"/>
              </w:rPr>
            </w:pPr>
          </w:p>
        </w:tc>
        <w:tc>
          <w:tcPr>
            <w:tcW w:w="0" w:type="auto"/>
            <w:gridSpan w:val="2"/>
            <w:tcBorders>
              <w:top w:val="single" w:sz="4" w:space="0" w:color="000000"/>
            </w:tcBorders>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color w:val="000000"/>
                <w:sz w:val="16"/>
                <w:szCs w:val="16"/>
              </w:rPr>
              <w:t>561 </w:t>
            </w:r>
          </w:p>
        </w:tc>
        <w:tc>
          <w:tcPr>
            <w:tcW w:w="0" w:type="auto"/>
            <w:tcBorders>
              <w:top w:val="single" w:sz="4" w:space="0" w:color="000000"/>
            </w:tcBorders>
            <w:tcMar>
              <w:top w:w="30" w:type="dxa"/>
              <w:left w:w="0" w:type="dxa"/>
              <w:bottom w:w="30" w:type="dxa"/>
              <w:right w:w="20" w:type="dxa"/>
            </w:tcMar>
            <w:hideMark/>
          </w:tcPr>
          <w:p w:rsidR="00000000" w:rsidRDefault="001F1FC8">
            <w:pPr>
              <w:jc w:val="right"/>
              <w:rPr>
                <w:rFonts w:eastAsia="Times New Roman"/>
              </w:rPr>
            </w:pPr>
          </w:p>
        </w:tc>
      </w:tr>
      <w:tr w:rsidR="00000000">
        <w:trPr>
          <w:divId w:val="2112384593"/>
        </w:trPr>
        <w:tc>
          <w:tcPr>
            <w:tcW w:w="0" w:type="auto"/>
            <w:gridSpan w:val="3"/>
            <w:tcBorders>
              <w:top w:val="single" w:sz="4" w:space="0" w:color="000000"/>
            </w:tcBorders>
            <w:tcMar>
              <w:top w:w="30" w:type="dxa"/>
              <w:left w:w="20" w:type="dxa"/>
              <w:bottom w:w="30" w:type="dxa"/>
              <w:right w:w="20" w:type="dxa"/>
            </w:tcMar>
            <w:hideMark/>
          </w:tcPr>
          <w:p w:rsidR="00000000" w:rsidRDefault="001F1FC8">
            <w:pPr>
              <w:rPr>
                <w:rFonts w:eastAsia="Times New Roman"/>
              </w:rPr>
            </w:pPr>
            <w:r>
              <w:rPr>
                <w:rFonts w:ascii="Arial" w:eastAsia="Times New Roman" w:hAnsi="Arial" w:cs="Arial"/>
                <w:color w:val="000000"/>
                <w:sz w:val="16"/>
                <w:szCs w:val="16"/>
              </w:rPr>
              <w:t>Financial liabilities</w:t>
            </w:r>
          </w:p>
        </w:tc>
        <w:tc>
          <w:tcPr>
            <w:tcW w:w="0" w:type="auto"/>
            <w:gridSpan w:val="3"/>
            <w:tcBorders>
              <w:top w:val="single" w:sz="4" w:space="0" w:color="000000"/>
            </w:tcBorders>
            <w:tcMar>
              <w:top w:w="30" w:type="dxa"/>
              <w:left w:w="20" w:type="dxa"/>
              <w:bottom w:w="30" w:type="dxa"/>
              <w:right w:w="20" w:type="dxa"/>
            </w:tcMar>
            <w:hideMark/>
          </w:tcPr>
          <w:p w:rsidR="00000000" w:rsidRDefault="001F1FC8">
            <w:pPr>
              <w:jc w:val="right"/>
              <w:rPr>
                <w:rFonts w:eastAsia="Times New Roman"/>
              </w:rPr>
            </w:pPr>
            <w:r>
              <w:rPr>
                <w:rFonts w:ascii="Arial" w:eastAsia="Times New Roman" w:hAnsi="Arial" w:cs="Arial"/>
                <w:color w:val="000000"/>
                <w:sz w:val="2"/>
                <w:szCs w:val="2"/>
              </w:rPr>
              <w:t> </w:t>
            </w:r>
          </w:p>
        </w:tc>
        <w:tc>
          <w:tcPr>
            <w:tcW w:w="0" w:type="auto"/>
            <w:gridSpan w:val="3"/>
            <w:tcBorders>
              <w:top w:val="single" w:sz="4" w:space="0" w:color="000000"/>
            </w:tcBorders>
            <w:tcMar>
              <w:top w:w="30" w:type="dxa"/>
              <w:left w:w="20" w:type="dxa"/>
              <w:bottom w:w="30" w:type="dxa"/>
              <w:right w:w="20" w:type="dxa"/>
            </w:tcMar>
            <w:hideMark/>
          </w:tcPr>
          <w:p w:rsidR="00000000" w:rsidRDefault="001F1FC8">
            <w:pPr>
              <w:jc w:val="right"/>
              <w:rPr>
                <w:rFonts w:eastAsia="Times New Roman"/>
              </w:rPr>
            </w:pPr>
            <w:r>
              <w:rPr>
                <w:rFonts w:ascii="Arial" w:eastAsia="Times New Roman" w:hAnsi="Arial" w:cs="Arial"/>
                <w:color w:val="000000"/>
                <w:sz w:val="2"/>
                <w:szCs w:val="2"/>
              </w:rPr>
              <w:t> </w:t>
            </w:r>
          </w:p>
        </w:tc>
        <w:tc>
          <w:tcPr>
            <w:tcW w:w="0" w:type="auto"/>
            <w:gridSpan w:val="3"/>
            <w:tcBorders>
              <w:top w:val="single" w:sz="4" w:space="0" w:color="000000"/>
            </w:tcBorders>
            <w:tcMar>
              <w:top w:w="30" w:type="dxa"/>
              <w:left w:w="20" w:type="dxa"/>
              <w:bottom w:w="30" w:type="dxa"/>
              <w:right w:w="20" w:type="dxa"/>
            </w:tcMar>
            <w:hideMark/>
          </w:tcPr>
          <w:p w:rsidR="00000000" w:rsidRDefault="001F1FC8">
            <w:pPr>
              <w:jc w:val="right"/>
              <w:rPr>
                <w:rFonts w:eastAsia="Times New Roman"/>
              </w:rPr>
            </w:pPr>
            <w:r>
              <w:rPr>
                <w:rFonts w:ascii="Arial" w:eastAsia="Times New Roman" w:hAnsi="Arial" w:cs="Arial"/>
                <w:color w:val="000000"/>
                <w:sz w:val="2"/>
                <w:szCs w:val="2"/>
              </w:rPr>
              <w:t> </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1F1FC8">
            <w:pPr>
              <w:jc w:val="right"/>
              <w:rPr>
                <w:rFonts w:eastAsia="Times New Roman"/>
              </w:rPr>
            </w:pPr>
          </w:p>
        </w:tc>
      </w:tr>
      <w:tr w:rsidR="00000000">
        <w:trPr>
          <w:divId w:val="2112384593"/>
        </w:trPr>
        <w:tc>
          <w:tcPr>
            <w:tcW w:w="0" w:type="auto"/>
            <w:gridSpan w:val="3"/>
            <w:tcMar>
              <w:top w:w="30" w:type="dxa"/>
              <w:left w:w="140" w:type="dxa"/>
              <w:bottom w:w="30" w:type="dxa"/>
              <w:right w:w="20" w:type="dxa"/>
            </w:tcMar>
            <w:hideMark/>
          </w:tcPr>
          <w:p w:rsidR="00000000" w:rsidRDefault="001F1FC8">
            <w:pPr>
              <w:rPr>
                <w:rFonts w:eastAsia="Times New Roman"/>
              </w:rPr>
            </w:pPr>
            <w:r>
              <w:rPr>
                <w:rFonts w:ascii="Arial" w:eastAsia="Times New Roman" w:hAnsi="Arial" w:cs="Arial"/>
                <w:color w:val="000000"/>
                <w:sz w:val="16"/>
                <w:szCs w:val="16"/>
              </w:rPr>
              <w:t>Current derivative liabilities</w:t>
            </w:r>
          </w:p>
        </w:tc>
        <w:tc>
          <w:tcPr>
            <w:tcW w:w="0" w:type="auto"/>
            <w:gridSpan w:val="3"/>
            <w:tcMar>
              <w:top w:w="30" w:type="dxa"/>
              <w:left w:w="20" w:type="dxa"/>
              <w:bottom w:w="30" w:type="dxa"/>
              <w:right w:w="20" w:type="dxa"/>
            </w:tcMar>
            <w:hideMark/>
          </w:tcPr>
          <w:p w:rsidR="00000000" w:rsidRDefault="001F1FC8">
            <w:pPr>
              <w:jc w:val="right"/>
              <w:rPr>
                <w:rFonts w:eastAsia="Times New Roman"/>
              </w:rPr>
            </w:pPr>
            <w:r>
              <w:rPr>
                <w:rFonts w:ascii="Arial" w:eastAsia="Times New Roman" w:hAnsi="Arial" w:cs="Arial"/>
                <w:color w:val="000000"/>
                <w:sz w:val="2"/>
                <w:szCs w:val="2"/>
              </w:rPr>
              <w:t> </w:t>
            </w:r>
          </w:p>
        </w:tc>
        <w:tc>
          <w:tcPr>
            <w:tcW w:w="0" w:type="auto"/>
            <w:gridSpan w:val="3"/>
            <w:tcMar>
              <w:top w:w="30" w:type="dxa"/>
              <w:left w:w="20" w:type="dxa"/>
              <w:bottom w:w="30" w:type="dxa"/>
              <w:right w:w="20" w:type="dxa"/>
            </w:tcMar>
            <w:hideMark/>
          </w:tcPr>
          <w:p w:rsidR="00000000" w:rsidRDefault="001F1FC8">
            <w:pPr>
              <w:jc w:val="right"/>
              <w:rPr>
                <w:rFonts w:eastAsia="Times New Roman"/>
              </w:rPr>
            </w:pPr>
            <w:r>
              <w:rPr>
                <w:rFonts w:ascii="Arial" w:eastAsia="Times New Roman" w:hAnsi="Arial" w:cs="Arial"/>
                <w:color w:val="000000"/>
                <w:sz w:val="2"/>
                <w:szCs w:val="2"/>
              </w:rPr>
              <w:t> </w:t>
            </w:r>
          </w:p>
        </w:tc>
        <w:tc>
          <w:tcPr>
            <w:tcW w:w="0" w:type="auto"/>
            <w:gridSpan w:val="3"/>
            <w:tcMar>
              <w:top w:w="30" w:type="dxa"/>
              <w:left w:w="20" w:type="dxa"/>
              <w:bottom w:w="30" w:type="dxa"/>
              <w:right w:w="20" w:type="dxa"/>
            </w:tcMar>
            <w:hideMark/>
          </w:tcPr>
          <w:p w:rsidR="00000000" w:rsidRDefault="001F1FC8">
            <w:pPr>
              <w:jc w:val="right"/>
              <w:rPr>
                <w:rFonts w:eastAsia="Times New Roman"/>
              </w:rPr>
            </w:pPr>
            <w:r>
              <w:rPr>
                <w:rFonts w:ascii="Arial" w:eastAsia="Times New Roman" w:hAnsi="Arial" w:cs="Arial"/>
                <w:color w:val="000000"/>
                <w:sz w:val="2"/>
                <w:szCs w:val="2"/>
              </w:rPr>
              <w:t> </w:t>
            </w:r>
          </w:p>
        </w:tc>
        <w:tc>
          <w:tcPr>
            <w:tcW w:w="0" w:type="auto"/>
            <w:gridSpan w:val="3"/>
            <w:tcMar>
              <w:top w:w="0" w:type="dxa"/>
              <w:left w:w="20" w:type="dxa"/>
              <w:bottom w:w="0" w:type="dxa"/>
              <w:right w:w="20" w:type="dxa"/>
            </w:tcMar>
            <w:vAlign w:val="center"/>
            <w:hideMark/>
          </w:tcPr>
          <w:p w:rsidR="00000000" w:rsidRDefault="001F1FC8">
            <w:pPr>
              <w:jc w:val="right"/>
              <w:rPr>
                <w:rFonts w:eastAsia="Times New Roman"/>
              </w:rPr>
            </w:pPr>
          </w:p>
        </w:tc>
      </w:tr>
      <w:tr w:rsidR="00000000">
        <w:trPr>
          <w:divId w:val="2112384593"/>
        </w:trPr>
        <w:tc>
          <w:tcPr>
            <w:tcW w:w="0" w:type="auto"/>
            <w:gridSpan w:val="3"/>
            <w:tcMar>
              <w:top w:w="30" w:type="dxa"/>
              <w:left w:w="380" w:type="dxa"/>
              <w:bottom w:w="30" w:type="dxa"/>
              <w:right w:w="20" w:type="dxa"/>
            </w:tcMar>
            <w:hideMark/>
          </w:tcPr>
          <w:p w:rsidR="00000000" w:rsidRDefault="001F1FC8">
            <w:pPr>
              <w:rPr>
                <w:rFonts w:eastAsia="Times New Roman"/>
              </w:rPr>
            </w:pPr>
            <w:r>
              <w:rPr>
                <w:rFonts w:ascii="Arial" w:eastAsia="Times New Roman" w:hAnsi="Arial" w:cs="Arial"/>
                <w:color w:val="000000"/>
                <w:sz w:val="16"/>
                <w:szCs w:val="16"/>
              </w:rPr>
              <w:t>Foreign exchange contracts</w:t>
            </w:r>
          </w:p>
        </w:tc>
        <w:tc>
          <w:tcPr>
            <w:tcW w:w="0" w:type="auto"/>
            <w:gridSpan w:val="2"/>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hideMark/>
          </w:tcPr>
          <w:p w:rsidR="00000000" w:rsidRDefault="001F1FC8">
            <w:pPr>
              <w:jc w:val="right"/>
              <w:rPr>
                <w:rFonts w:eastAsia="Times New Roman"/>
              </w:rPr>
            </w:pPr>
          </w:p>
        </w:tc>
        <w:tc>
          <w:tcPr>
            <w:tcW w:w="0" w:type="auto"/>
            <w:gridSpan w:val="2"/>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color w:val="000000"/>
                <w:sz w:val="16"/>
                <w:szCs w:val="16"/>
              </w:rPr>
              <w:t>(185)</w:t>
            </w:r>
          </w:p>
        </w:tc>
        <w:tc>
          <w:tcPr>
            <w:tcW w:w="0" w:type="auto"/>
            <w:tcMar>
              <w:top w:w="30" w:type="dxa"/>
              <w:left w:w="0" w:type="dxa"/>
              <w:bottom w:w="30" w:type="dxa"/>
              <w:right w:w="20" w:type="dxa"/>
            </w:tcMar>
            <w:hideMark/>
          </w:tcPr>
          <w:p w:rsidR="00000000" w:rsidRDefault="001F1FC8">
            <w:pPr>
              <w:jc w:val="right"/>
              <w:rPr>
                <w:rFonts w:eastAsia="Times New Roman"/>
              </w:rPr>
            </w:pPr>
          </w:p>
        </w:tc>
        <w:tc>
          <w:tcPr>
            <w:tcW w:w="0" w:type="auto"/>
            <w:gridSpan w:val="2"/>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hideMark/>
          </w:tcPr>
          <w:p w:rsidR="00000000" w:rsidRDefault="001F1FC8">
            <w:pPr>
              <w:jc w:val="right"/>
              <w:rPr>
                <w:rFonts w:eastAsia="Times New Roman"/>
              </w:rPr>
            </w:pPr>
          </w:p>
        </w:tc>
        <w:tc>
          <w:tcPr>
            <w:tcW w:w="0" w:type="auto"/>
            <w:gridSpan w:val="2"/>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color w:val="000000"/>
                <w:sz w:val="16"/>
                <w:szCs w:val="16"/>
              </w:rPr>
              <w:t>(185)</w:t>
            </w:r>
          </w:p>
        </w:tc>
        <w:tc>
          <w:tcPr>
            <w:tcW w:w="0" w:type="auto"/>
            <w:tcMar>
              <w:top w:w="30" w:type="dxa"/>
              <w:left w:w="0" w:type="dxa"/>
              <w:bottom w:w="30" w:type="dxa"/>
              <w:right w:w="20" w:type="dxa"/>
            </w:tcMar>
            <w:hideMark/>
          </w:tcPr>
          <w:p w:rsidR="00000000" w:rsidRDefault="001F1FC8">
            <w:pPr>
              <w:jc w:val="right"/>
              <w:rPr>
                <w:rFonts w:eastAsia="Times New Roman"/>
              </w:rPr>
            </w:pPr>
          </w:p>
        </w:tc>
      </w:tr>
      <w:tr w:rsidR="00000000">
        <w:trPr>
          <w:divId w:val="2112384593"/>
        </w:trPr>
        <w:tc>
          <w:tcPr>
            <w:tcW w:w="0" w:type="auto"/>
            <w:gridSpan w:val="3"/>
            <w:tcMar>
              <w:top w:w="30" w:type="dxa"/>
              <w:left w:w="380" w:type="dxa"/>
              <w:bottom w:w="30" w:type="dxa"/>
              <w:right w:w="20" w:type="dxa"/>
            </w:tcMar>
            <w:hideMark/>
          </w:tcPr>
          <w:p w:rsidR="00000000" w:rsidRDefault="001F1FC8">
            <w:pPr>
              <w:rPr>
                <w:rFonts w:eastAsia="Times New Roman"/>
              </w:rPr>
            </w:pPr>
            <w:r>
              <w:rPr>
                <w:rFonts w:ascii="Arial" w:eastAsia="Times New Roman" w:hAnsi="Arial" w:cs="Arial"/>
                <w:color w:val="000000"/>
                <w:sz w:val="16"/>
                <w:szCs w:val="16"/>
              </w:rPr>
              <w:t>Interest rate contracts</w:t>
            </w:r>
          </w:p>
        </w:tc>
        <w:tc>
          <w:tcPr>
            <w:tcW w:w="0" w:type="auto"/>
            <w:gridSpan w:val="2"/>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hideMark/>
          </w:tcPr>
          <w:p w:rsidR="00000000" w:rsidRDefault="001F1FC8">
            <w:pPr>
              <w:jc w:val="right"/>
              <w:rPr>
                <w:rFonts w:eastAsia="Times New Roman"/>
              </w:rPr>
            </w:pPr>
          </w:p>
        </w:tc>
        <w:tc>
          <w:tcPr>
            <w:tcW w:w="0" w:type="auto"/>
            <w:gridSpan w:val="2"/>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color w:val="000000"/>
                <w:sz w:val="16"/>
                <w:szCs w:val="16"/>
              </w:rPr>
              <w:t>(425)</w:t>
            </w:r>
          </w:p>
        </w:tc>
        <w:tc>
          <w:tcPr>
            <w:tcW w:w="0" w:type="auto"/>
            <w:tcMar>
              <w:top w:w="30" w:type="dxa"/>
              <w:left w:w="0" w:type="dxa"/>
              <w:bottom w:w="30" w:type="dxa"/>
              <w:right w:w="20" w:type="dxa"/>
            </w:tcMar>
            <w:hideMark/>
          </w:tcPr>
          <w:p w:rsidR="00000000" w:rsidRDefault="001F1FC8">
            <w:pPr>
              <w:jc w:val="right"/>
              <w:rPr>
                <w:rFonts w:eastAsia="Times New Roman"/>
              </w:rPr>
            </w:pPr>
          </w:p>
        </w:tc>
        <w:tc>
          <w:tcPr>
            <w:tcW w:w="0" w:type="auto"/>
            <w:gridSpan w:val="2"/>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hideMark/>
          </w:tcPr>
          <w:p w:rsidR="00000000" w:rsidRDefault="001F1FC8">
            <w:pPr>
              <w:jc w:val="right"/>
              <w:rPr>
                <w:rFonts w:eastAsia="Times New Roman"/>
              </w:rPr>
            </w:pPr>
          </w:p>
        </w:tc>
        <w:tc>
          <w:tcPr>
            <w:tcW w:w="0" w:type="auto"/>
            <w:gridSpan w:val="2"/>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color w:val="000000"/>
                <w:sz w:val="16"/>
                <w:szCs w:val="16"/>
              </w:rPr>
              <w:t>(425)</w:t>
            </w:r>
          </w:p>
        </w:tc>
        <w:tc>
          <w:tcPr>
            <w:tcW w:w="0" w:type="auto"/>
            <w:tcMar>
              <w:top w:w="30" w:type="dxa"/>
              <w:left w:w="0" w:type="dxa"/>
              <w:bottom w:w="30" w:type="dxa"/>
              <w:right w:w="20" w:type="dxa"/>
            </w:tcMar>
            <w:hideMark/>
          </w:tcPr>
          <w:p w:rsidR="00000000" w:rsidRDefault="001F1FC8">
            <w:pPr>
              <w:jc w:val="right"/>
              <w:rPr>
                <w:rFonts w:eastAsia="Times New Roman"/>
              </w:rPr>
            </w:pPr>
          </w:p>
        </w:tc>
      </w:tr>
      <w:tr w:rsidR="00000000">
        <w:trPr>
          <w:divId w:val="2112384593"/>
        </w:trPr>
        <w:tc>
          <w:tcPr>
            <w:tcW w:w="0" w:type="auto"/>
            <w:gridSpan w:val="3"/>
            <w:tcMar>
              <w:top w:w="30" w:type="dxa"/>
              <w:left w:w="380" w:type="dxa"/>
              <w:bottom w:w="30" w:type="dxa"/>
              <w:right w:w="20" w:type="dxa"/>
            </w:tcMar>
            <w:hideMark/>
          </w:tcPr>
          <w:p w:rsidR="00000000" w:rsidRDefault="001F1FC8">
            <w:pPr>
              <w:rPr>
                <w:rFonts w:eastAsia="Times New Roman"/>
              </w:rPr>
            </w:pPr>
            <w:r>
              <w:rPr>
                <w:rFonts w:ascii="Arial" w:eastAsia="Times New Roman" w:hAnsi="Arial" w:cs="Arial"/>
                <w:color w:val="000000"/>
                <w:sz w:val="16"/>
                <w:szCs w:val="16"/>
              </w:rPr>
              <w:t>Commodity contracts</w:t>
            </w:r>
          </w:p>
        </w:tc>
        <w:tc>
          <w:tcPr>
            <w:tcW w:w="0" w:type="auto"/>
            <w:gridSpan w:val="2"/>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color w:val="000000"/>
                <w:sz w:val="16"/>
                <w:szCs w:val="16"/>
              </w:rPr>
              <w:t>(39)</w:t>
            </w:r>
          </w:p>
        </w:tc>
        <w:tc>
          <w:tcPr>
            <w:tcW w:w="0" w:type="auto"/>
            <w:tcMar>
              <w:top w:w="30" w:type="dxa"/>
              <w:left w:w="0" w:type="dxa"/>
              <w:bottom w:w="30" w:type="dxa"/>
              <w:right w:w="20" w:type="dxa"/>
            </w:tcMar>
            <w:hideMark/>
          </w:tcPr>
          <w:p w:rsidR="00000000" w:rsidRDefault="001F1FC8">
            <w:pPr>
              <w:jc w:val="right"/>
              <w:rPr>
                <w:rFonts w:eastAsia="Times New Roman"/>
              </w:rPr>
            </w:pPr>
          </w:p>
        </w:tc>
        <w:tc>
          <w:tcPr>
            <w:tcW w:w="0" w:type="auto"/>
            <w:gridSpan w:val="2"/>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color w:val="000000"/>
                <w:sz w:val="16"/>
                <w:szCs w:val="16"/>
              </w:rPr>
              <w:t>(18)</w:t>
            </w:r>
          </w:p>
        </w:tc>
        <w:tc>
          <w:tcPr>
            <w:tcW w:w="0" w:type="auto"/>
            <w:tcMar>
              <w:top w:w="30" w:type="dxa"/>
              <w:left w:w="0" w:type="dxa"/>
              <w:bottom w:w="30" w:type="dxa"/>
              <w:right w:w="20" w:type="dxa"/>
            </w:tcMar>
            <w:hideMark/>
          </w:tcPr>
          <w:p w:rsidR="00000000" w:rsidRDefault="001F1FC8">
            <w:pPr>
              <w:jc w:val="right"/>
              <w:rPr>
                <w:rFonts w:eastAsia="Times New Roman"/>
              </w:rPr>
            </w:pPr>
          </w:p>
        </w:tc>
        <w:tc>
          <w:tcPr>
            <w:tcW w:w="0" w:type="auto"/>
            <w:gridSpan w:val="2"/>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color w:val="000000"/>
                <w:sz w:val="16"/>
                <w:szCs w:val="16"/>
              </w:rPr>
              <w:t>(223)</w:t>
            </w:r>
          </w:p>
        </w:tc>
        <w:tc>
          <w:tcPr>
            <w:tcW w:w="0" w:type="auto"/>
            <w:tcMar>
              <w:top w:w="30" w:type="dxa"/>
              <w:left w:w="0" w:type="dxa"/>
              <w:bottom w:w="30" w:type="dxa"/>
              <w:right w:w="20" w:type="dxa"/>
            </w:tcMar>
            <w:hideMark/>
          </w:tcPr>
          <w:p w:rsidR="00000000" w:rsidRDefault="001F1FC8">
            <w:pPr>
              <w:jc w:val="right"/>
              <w:rPr>
                <w:rFonts w:eastAsia="Times New Roman"/>
              </w:rPr>
            </w:pPr>
          </w:p>
        </w:tc>
        <w:tc>
          <w:tcPr>
            <w:tcW w:w="0" w:type="auto"/>
            <w:gridSpan w:val="2"/>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color w:val="000000"/>
                <w:sz w:val="16"/>
                <w:szCs w:val="16"/>
              </w:rPr>
              <w:t>(280)</w:t>
            </w:r>
          </w:p>
        </w:tc>
        <w:tc>
          <w:tcPr>
            <w:tcW w:w="0" w:type="auto"/>
            <w:tcMar>
              <w:top w:w="30" w:type="dxa"/>
              <w:left w:w="0" w:type="dxa"/>
              <w:bottom w:w="30" w:type="dxa"/>
              <w:right w:w="20" w:type="dxa"/>
            </w:tcMar>
            <w:hideMark/>
          </w:tcPr>
          <w:p w:rsidR="00000000" w:rsidRDefault="001F1FC8">
            <w:pPr>
              <w:jc w:val="right"/>
              <w:rPr>
                <w:rFonts w:eastAsia="Times New Roman"/>
              </w:rPr>
            </w:pPr>
          </w:p>
        </w:tc>
      </w:tr>
      <w:tr w:rsidR="00000000">
        <w:trPr>
          <w:divId w:val="2112384593"/>
        </w:trPr>
        <w:tc>
          <w:tcPr>
            <w:tcW w:w="0" w:type="auto"/>
            <w:gridSpan w:val="3"/>
            <w:tcMar>
              <w:top w:w="30" w:type="dxa"/>
              <w:left w:w="380" w:type="dxa"/>
              <w:bottom w:w="30" w:type="dxa"/>
              <w:right w:w="20" w:type="dxa"/>
            </w:tcMar>
            <w:hideMark/>
          </w:tcPr>
          <w:p w:rsidR="00000000" w:rsidRDefault="001F1FC8">
            <w:pPr>
              <w:rPr>
                <w:rFonts w:eastAsia="Times New Roman"/>
              </w:rPr>
            </w:pPr>
            <w:r>
              <w:rPr>
                <w:rFonts w:ascii="Arial" w:eastAsia="Times New Roman" w:hAnsi="Arial" w:cs="Arial"/>
                <w:color w:val="000000"/>
                <w:sz w:val="16"/>
                <w:szCs w:val="16"/>
              </w:rPr>
              <w:t>Other contracts</w:t>
            </w:r>
          </w:p>
        </w:tc>
        <w:tc>
          <w:tcPr>
            <w:tcW w:w="0" w:type="auto"/>
            <w:gridSpan w:val="2"/>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hideMark/>
          </w:tcPr>
          <w:p w:rsidR="00000000" w:rsidRDefault="001F1FC8">
            <w:pPr>
              <w:jc w:val="right"/>
              <w:rPr>
                <w:rFonts w:eastAsia="Times New Roman"/>
              </w:rPr>
            </w:pPr>
          </w:p>
        </w:tc>
        <w:tc>
          <w:tcPr>
            <w:tcW w:w="0" w:type="auto"/>
            <w:gridSpan w:val="2"/>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color w:val="000000"/>
                <w:sz w:val="16"/>
                <w:szCs w:val="16"/>
              </w:rPr>
              <w:t>(4)</w:t>
            </w:r>
          </w:p>
        </w:tc>
        <w:tc>
          <w:tcPr>
            <w:tcW w:w="0" w:type="auto"/>
            <w:tcMar>
              <w:top w:w="30" w:type="dxa"/>
              <w:left w:w="0" w:type="dxa"/>
              <w:bottom w:w="30" w:type="dxa"/>
              <w:right w:w="20" w:type="dxa"/>
            </w:tcMar>
            <w:hideMark/>
          </w:tcPr>
          <w:p w:rsidR="00000000" w:rsidRDefault="001F1FC8">
            <w:pPr>
              <w:jc w:val="right"/>
              <w:rPr>
                <w:rFonts w:eastAsia="Times New Roman"/>
              </w:rPr>
            </w:pPr>
          </w:p>
        </w:tc>
        <w:tc>
          <w:tcPr>
            <w:tcW w:w="0" w:type="auto"/>
            <w:gridSpan w:val="2"/>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hideMark/>
          </w:tcPr>
          <w:p w:rsidR="00000000" w:rsidRDefault="001F1FC8">
            <w:pPr>
              <w:jc w:val="right"/>
              <w:rPr>
                <w:rFonts w:eastAsia="Times New Roman"/>
              </w:rPr>
            </w:pPr>
          </w:p>
        </w:tc>
        <w:tc>
          <w:tcPr>
            <w:tcW w:w="0" w:type="auto"/>
            <w:gridSpan w:val="2"/>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color w:val="000000"/>
                <w:sz w:val="16"/>
                <w:szCs w:val="16"/>
              </w:rPr>
              <w:t>(4)</w:t>
            </w:r>
          </w:p>
        </w:tc>
        <w:tc>
          <w:tcPr>
            <w:tcW w:w="0" w:type="auto"/>
            <w:tcMar>
              <w:top w:w="30" w:type="dxa"/>
              <w:left w:w="0" w:type="dxa"/>
              <w:bottom w:w="30" w:type="dxa"/>
              <w:right w:w="20" w:type="dxa"/>
            </w:tcMar>
            <w:hideMark/>
          </w:tcPr>
          <w:p w:rsidR="00000000" w:rsidRDefault="001F1FC8">
            <w:pPr>
              <w:jc w:val="right"/>
              <w:rPr>
                <w:rFonts w:eastAsia="Times New Roman"/>
              </w:rPr>
            </w:pPr>
          </w:p>
        </w:tc>
      </w:tr>
      <w:tr w:rsidR="00000000">
        <w:trPr>
          <w:divId w:val="2112384593"/>
        </w:trPr>
        <w:tc>
          <w:tcPr>
            <w:tcW w:w="0" w:type="auto"/>
            <w:gridSpan w:val="3"/>
            <w:tcBorders>
              <w:top w:val="single" w:sz="4" w:space="0" w:color="000000"/>
            </w:tcBorders>
            <w:tcMar>
              <w:top w:w="30" w:type="dxa"/>
              <w:left w:w="20" w:type="dxa"/>
              <w:bottom w:w="30" w:type="dxa"/>
              <w:right w:w="20" w:type="dxa"/>
            </w:tcMar>
            <w:hideMark/>
          </w:tcPr>
          <w:p w:rsidR="00000000" w:rsidRDefault="001F1FC8">
            <w:pPr>
              <w:rPr>
                <w:rFonts w:eastAsia="Times New Roman"/>
              </w:rPr>
            </w:pPr>
            <w:r>
              <w:rPr>
                <w:rFonts w:ascii="Arial" w:eastAsia="Times New Roman" w:hAnsi="Arial" w:cs="Arial"/>
                <w:color w:val="000000"/>
                <w:sz w:val="2"/>
                <w:szCs w:val="2"/>
              </w:rPr>
              <w:t> </w:t>
            </w:r>
          </w:p>
        </w:tc>
        <w:tc>
          <w:tcPr>
            <w:tcW w:w="0" w:type="auto"/>
            <w:gridSpan w:val="2"/>
            <w:tcBorders>
              <w:top w:val="single" w:sz="4" w:space="0" w:color="000000"/>
            </w:tcBorders>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color w:val="000000"/>
                <w:sz w:val="16"/>
                <w:szCs w:val="16"/>
              </w:rPr>
              <w:t>(39)</w:t>
            </w:r>
          </w:p>
        </w:tc>
        <w:tc>
          <w:tcPr>
            <w:tcW w:w="0" w:type="auto"/>
            <w:tcBorders>
              <w:top w:val="single" w:sz="4" w:space="0" w:color="000000"/>
            </w:tcBorders>
            <w:tcMar>
              <w:top w:w="30" w:type="dxa"/>
              <w:left w:w="0" w:type="dxa"/>
              <w:bottom w:w="30" w:type="dxa"/>
              <w:right w:w="20" w:type="dxa"/>
            </w:tcMar>
            <w:hideMark/>
          </w:tcPr>
          <w:p w:rsidR="00000000" w:rsidRDefault="001F1FC8">
            <w:pPr>
              <w:jc w:val="right"/>
              <w:rPr>
                <w:rFonts w:eastAsia="Times New Roman"/>
              </w:rPr>
            </w:pPr>
          </w:p>
        </w:tc>
        <w:tc>
          <w:tcPr>
            <w:tcW w:w="0" w:type="auto"/>
            <w:gridSpan w:val="2"/>
            <w:tcBorders>
              <w:top w:val="single" w:sz="4" w:space="0" w:color="000000"/>
            </w:tcBorders>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color w:val="000000"/>
                <w:sz w:val="16"/>
                <w:szCs w:val="16"/>
              </w:rPr>
              <w:t>(632)</w:t>
            </w:r>
          </w:p>
        </w:tc>
        <w:tc>
          <w:tcPr>
            <w:tcW w:w="0" w:type="auto"/>
            <w:tcBorders>
              <w:top w:val="single" w:sz="4" w:space="0" w:color="000000"/>
            </w:tcBorders>
            <w:tcMar>
              <w:top w:w="30" w:type="dxa"/>
              <w:left w:w="0" w:type="dxa"/>
              <w:bottom w:w="30" w:type="dxa"/>
              <w:right w:w="20" w:type="dxa"/>
            </w:tcMar>
            <w:hideMark/>
          </w:tcPr>
          <w:p w:rsidR="00000000" w:rsidRDefault="001F1FC8">
            <w:pPr>
              <w:jc w:val="right"/>
              <w:rPr>
                <w:rFonts w:eastAsia="Times New Roman"/>
              </w:rPr>
            </w:pPr>
          </w:p>
        </w:tc>
        <w:tc>
          <w:tcPr>
            <w:tcW w:w="0" w:type="auto"/>
            <w:gridSpan w:val="2"/>
            <w:tcBorders>
              <w:top w:val="single" w:sz="4" w:space="0" w:color="000000"/>
            </w:tcBorders>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color w:val="000000"/>
                <w:sz w:val="16"/>
                <w:szCs w:val="16"/>
              </w:rPr>
              <w:t>(223)</w:t>
            </w:r>
          </w:p>
        </w:tc>
        <w:tc>
          <w:tcPr>
            <w:tcW w:w="0" w:type="auto"/>
            <w:tcBorders>
              <w:top w:val="single" w:sz="4" w:space="0" w:color="000000"/>
            </w:tcBorders>
            <w:tcMar>
              <w:top w:w="30" w:type="dxa"/>
              <w:left w:w="0" w:type="dxa"/>
              <w:bottom w:w="30" w:type="dxa"/>
              <w:right w:w="20" w:type="dxa"/>
            </w:tcMar>
            <w:hideMark/>
          </w:tcPr>
          <w:p w:rsidR="00000000" w:rsidRDefault="001F1FC8">
            <w:pPr>
              <w:jc w:val="right"/>
              <w:rPr>
                <w:rFonts w:eastAsia="Times New Roman"/>
              </w:rPr>
            </w:pPr>
          </w:p>
        </w:tc>
        <w:tc>
          <w:tcPr>
            <w:tcW w:w="0" w:type="auto"/>
            <w:gridSpan w:val="2"/>
            <w:tcBorders>
              <w:top w:val="single" w:sz="4" w:space="0" w:color="000000"/>
            </w:tcBorders>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color w:val="000000"/>
                <w:sz w:val="16"/>
                <w:szCs w:val="16"/>
              </w:rPr>
              <w:t>(894)</w:t>
            </w:r>
          </w:p>
        </w:tc>
        <w:tc>
          <w:tcPr>
            <w:tcW w:w="0" w:type="auto"/>
            <w:tcBorders>
              <w:top w:val="single" w:sz="4" w:space="0" w:color="000000"/>
            </w:tcBorders>
            <w:tcMar>
              <w:top w:w="30" w:type="dxa"/>
              <w:left w:w="0" w:type="dxa"/>
              <w:bottom w:w="30" w:type="dxa"/>
              <w:right w:w="20" w:type="dxa"/>
            </w:tcMar>
            <w:hideMark/>
          </w:tcPr>
          <w:p w:rsidR="00000000" w:rsidRDefault="001F1FC8">
            <w:pPr>
              <w:jc w:val="right"/>
              <w:rPr>
                <w:rFonts w:eastAsia="Times New Roman"/>
              </w:rPr>
            </w:pPr>
          </w:p>
        </w:tc>
      </w:tr>
      <w:tr w:rsidR="00000000">
        <w:trPr>
          <w:divId w:val="2112384593"/>
        </w:trPr>
        <w:tc>
          <w:tcPr>
            <w:tcW w:w="0" w:type="auto"/>
            <w:gridSpan w:val="3"/>
            <w:tcBorders>
              <w:top w:val="single" w:sz="4" w:space="0" w:color="000000"/>
            </w:tcBorders>
            <w:tcMar>
              <w:top w:w="30" w:type="dxa"/>
              <w:left w:w="155" w:type="dxa"/>
              <w:bottom w:w="30" w:type="dxa"/>
              <w:right w:w="20" w:type="dxa"/>
            </w:tcMar>
            <w:hideMark/>
          </w:tcPr>
          <w:p w:rsidR="00000000" w:rsidRDefault="001F1FC8">
            <w:pPr>
              <w:rPr>
                <w:rFonts w:eastAsia="Times New Roman"/>
              </w:rPr>
            </w:pPr>
            <w:r>
              <w:rPr>
                <w:rFonts w:ascii="Arial" w:eastAsia="Times New Roman" w:hAnsi="Arial" w:cs="Arial"/>
                <w:color w:val="000000"/>
                <w:sz w:val="16"/>
                <w:szCs w:val="16"/>
              </w:rPr>
              <w:t>Long-term derivative liabilities</w:t>
            </w:r>
          </w:p>
        </w:tc>
        <w:tc>
          <w:tcPr>
            <w:tcW w:w="0" w:type="auto"/>
            <w:gridSpan w:val="3"/>
            <w:tcBorders>
              <w:top w:val="single" w:sz="4" w:space="0" w:color="000000"/>
            </w:tcBorders>
            <w:tcMar>
              <w:top w:w="30" w:type="dxa"/>
              <w:left w:w="20" w:type="dxa"/>
              <w:bottom w:w="30" w:type="dxa"/>
              <w:right w:w="20" w:type="dxa"/>
            </w:tcMar>
            <w:hideMark/>
          </w:tcPr>
          <w:p w:rsidR="00000000" w:rsidRDefault="001F1FC8">
            <w:pPr>
              <w:jc w:val="right"/>
              <w:rPr>
                <w:rFonts w:eastAsia="Times New Roman"/>
              </w:rPr>
            </w:pPr>
            <w:r>
              <w:rPr>
                <w:rFonts w:ascii="Arial" w:eastAsia="Times New Roman" w:hAnsi="Arial" w:cs="Arial"/>
                <w:color w:val="000000"/>
                <w:sz w:val="2"/>
                <w:szCs w:val="2"/>
              </w:rPr>
              <w:t> </w:t>
            </w:r>
          </w:p>
        </w:tc>
        <w:tc>
          <w:tcPr>
            <w:tcW w:w="0" w:type="auto"/>
            <w:gridSpan w:val="3"/>
            <w:tcBorders>
              <w:top w:val="single" w:sz="4" w:space="0" w:color="000000"/>
            </w:tcBorders>
            <w:tcMar>
              <w:top w:w="30" w:type="dxa"/>
              <w:left w:w="20" w:type="dxa"/>
              <w:bottom w:w="30" w:type="dxa"/>
              <w:right w:w="20" w:type="dxa"/>
            </w:tcMar>
            <w:hideMark/>
          </w:tcPr>
          <w:p w:rsidR="00000000" w:rsidRDefault="001F1FC8">
            <w:pPr>
              <w:jc w:val="right"/>
              <w:rPr>
                <w:rFonts w:eastAsia="Times New Roman"/>
              </w:rPr>
            </w:pPr>
            <w:r>
              <w:rPr>
                <w:rFonts w:ascii="Arial" w:eastAsia="Times New Roman" w:hAnsi="Arial" w:cs="Arial"/>
                <w:color w:val="000000"/>
                <w:sz w:val="2"/>
                <w:szCs w:val="2"/>
              </w:rPr>
              <w:t> </w:t>
            </w:r>
          </w:p>
        </w:tc>
        <w:tc>
          <w:tcPr>
            <w:tcW w:w="0" w:type="auto"/>
            <w:gridSpan w:val="3"/>
            <w:tcBorders>
              <w:top w:val="single" w:sz="4" w:space="0" w:color="000000"/>
            </w:tcBorders>
            <w:tcMar>
              <w:top w:w="30" w:type="dxa"/>
              <w:left w:w="20" w:type="dxa"/>
              <w:bottom w:w="30" w:type="dxa"/>
              <w:right w:w="20" w:type="dxa"/>
            </w:tcMar>
            <w:hideMark/>
          </w:tcPr>
          <w:p w:rsidR="00000000" w:rsidRDefault="001F1FC8">
            <w:pPr>
              <w:jc w:val="right"/>
              <w:rPr>
                <w:rFonts w:eastAsia="Times New Roman"/>
              </w:rPr>
            </w:pPr>
            <w:r>
              <w:rPr>
                <w:rFonts w:ascii="Arial" w:eastAsia="Times New Roman" w:hAnsi="Arial" w:cs="Arial"/>
                <w:color w:val="000000"/>
                <w:sz w:val="2"/>
                <w:szCs w:val="2"/>
              </w:rPr>
              <w:t> </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1F1FC8">
            <w:pPr>
              <w:jc w:val="right"/>
              <w:rPr>
                <w:rFonts w:eastAsia="Times New Roman"/>
              </w:rPr>
            </w:pPr>
          </w:p>
        </w:tc>
      </w:tr>
      <w:tr w:rsidR="00000000">
        <w:trPr>
          <w:divId w:val="2112384593"/>
        </w:trPr>
        <w:tc>
          <w:tcPr>
            <w:tcW w:w="0" w:type="auto"/>
            <w:gridSpan w:val="3"/>
            <w:tcMar>
              <w:top w:w="30" w:type="dxa"/>
              <w:left w:w="380" w:type="dxa"/>
              <w:bottom w:w="30" w:type="dxa"/>
              <w:right w:w="20" w:type="dxa"/>
            </w:tcMar>
            <w:hideMark/>
          </w:tcPr>
          <w:p w:rsidR="00000000" w:rsidRDefault="001F1FC8">
            <w:pPr>
              <w:rPr>
                <w:rFonts w:eastAsia="Times New Roman"/>
              </w:rPr>
            </w:pPr>
            <w:r>
              <w:rPr>
                <w:rFonts w:ascii="Arial" w:eastAsia="Times New Roman" w:hAnsi="Arial" w:cs="Arial"/>
                <w:color w:val="000000"/>
                <w:sz w:val="16"/>
                <w:szCs w:val="16"/>
              </w:rPr>
              <w:t>Foreign exchange contracts</w:t>
            </w:r>
          </w:p>
        </w:tc>
        <w:tc>
          <w:tcPr>
            <w:tcW w:w="0" w:type="auto"/>
            <w:gridSpan w:val="2"/>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hideMark/>
          </w:tcPr>
          <w:p w:rsidR="00000000" w:rsidRDefault="001F1FC8">
            <w:pPr>
              <w:jc w:val="right"/>
              <w:rPr>
                <w:rFonts w:eastAsia="Times New Roman"/>
              </w:rPr>
            </w:pPr>
          </w:p>
        </w:tc>
        <w:tc>
          <w:tcPr>
            <w:tcW w:w="0" w:type="auto"/>
            <w:gridSpan w:val="2"/>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color w:val="000000"/>
                <w:sz w:val="16"/>
                <w:szCs w:val="16"/>
              </w:rPr>
              <w:t>(760)</w:t>
            </w:r>
          </w:p>
        </w:tc>
        <w:tc>
          <w:tcPr>
            <w:tcW w:w="0" w:type="auto"/>
            <w:tcMar>
              <w:top w:w="30" w:type="dxa"/>
              <w:left w:w="0" w:type="dxa"/>
              <w:bottom w:w="30" w:type="dxa"/>
              <w:right w:w="20" w:type="dxa"/>
            </w:tcMar>
            <w:hideMark/>
          </w:tcPr>
          <w:p w:rsidR="00000000" w:rsidRDefault="001F1FC8">
            <w:pPr>
              <w:jc w:val="right"/>
              <w:rPr>
                <w:rFonts w:eastAsia="Times New Roman"/>
              </w:rPr>
            </w:pPr>
          </w:p>
        </w:tc>
        <w:tc>
          <w:tcPr>
            <w:tcW w:w="0" w:type="auto"/>
            <w:gridSpan w:val="2"/>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hideMark/>
          </w:tcPr>
          <w:p w:rsidR="00000000" w:rsidRDefault="001F1FC8">
            <w:pPr>
              <w:jc w:val="right"/>
              <w:rPr>
                <w:rFonts w:eastAsia="Times New Roman"/>
              </w:rPr>
            </w:pPr>
          </w:p>
        </w:tc>
        <w:tc>
          <w:tcPr>
            <w:tcW w:w="0" w:type="auto"/>
            <w:gridSpan w:val="2"/>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color w:val="000000"/>
                <w:sz w:val="16"/>
                <w:szCs w:val="16"/>
              </w:rPr>
              <w:t>(760)</w:t>
            </w:r>
          </w:p>
        </w:tc>
        <w:tc>
          <w:tcPr>
            <w:tcW w:w="0" w:type="auto"/>
            <w:tcMar>
              <w:top w:w="30" w:type="dxa"/>
              <w:left w:w="0" w:type="dxa"/>
              <w:bottom w:w="30" w:type="dxa"/>
              <w:right w:w="20" w:type="dxa"/>
            </w:tcMar>
            <w:hideMark/>
          </w:tcPr>
          <w:p w:rsidR="00000000" w:rsidRDefault="001F1FC8">
            <w:pPr>
              <w:jc w:val="right"/>
              <w:rPr>
                <w:rFonts w:eastAsia="Times New Roman"/>
              </w:rPr>
            </w:pPr>
          </w:p>
        </w:tc>
      </w:tr>
      <w:tr w:rsidR="00000000">
        <w:trPr>
          <w:divId w:val="2112384593"/>
        </w:trPr>
        <w:tc>
          <w:tcPr>
            <w:tcW w:w="0" w:type="auto"/>
            <w:gridSpan w:val="3"/>
            <w:tcMar>
              <w:top w:w="30" w:type="dxa"/>
              <w:left w:w="380" w:type="dxa"/>
              <w:bottom w:w="30" w:type="dxa"/>
              <w:right w:w="20" w:type="dxa"/>
            </w:tcMar>
            <w:hideMark/>
          </w:tcPr>
          <w:p w:rsidR="00000000" w:rsidRDefault="001F1FC8">
            <w:pPr>
              <w:rPr>
                <w:rFonts w:eastAsia="Times New Roman"/>
              </w:rPr>
            </w:pPr>
            <w:r>
              <w:rPr>
                <w:rFonts w:ascii="Arial" w:eastAsia="Times New Roman" w:hAnsi="Arial" w:cs="Arial"/>
                <w:color w:val="000000"/>
                <w:sz w:val="16"/>
                <w:szCs w:val="16"/>
              </w:rPr>
              <w:t>Interest rate contracts</w:t>
            </w:r>
          </w:p>
        </w:tc>
        <w:tc>
          <w:tcPr>
            <w:tcW w:w="0" w:type="auto"/>
            <w:gridSpan w:val="2"/>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hideMark/>
          </w:tcPr>
          <w:p w:rsidR="00000000" w:rsidRDefault="001F1FC8">
            <w:pPr>
              <w:jc w:val="right"/>
              <w:rPr>
                <w:rFonts w:eastAsia="Times New Roman"/>
              </w:rPr>
            </w:pPr>
          </w:p>
        </w:tc>
        <w:tc>
          <w:tcPr>
            <w:tcW w:w="0" w:type="auto"/>
            <w:gridSpan w:val="2"/>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color w:val="000000"/>
                <w:sz w:val="16"/>
                <w:szCs w:val="16"/>
              </w:rPr>
              <w:t>(241)</w:t>
            </w:r>
          </w:p>
        </w:tc>
        <w:tc>
          <w:tcPr>
            <w:tcW w:w="0" w:type="auto"/>
            <w:tcMar>
              <w:top w:w="30" w:type="dxa"/>
              <w:left w:w="0" w:type="dxa"/>
              <w:bottom w:w="30" w:type="dxa"/>
              <w:right w:w="20" w:type="dxa"/>
            </w:tcMar>
            <w:hideMark/>
          </w:tcPr>
          <w:p w:rsidR="00000000" w:rsidRDefault="001F1FC8">
            <w:pPr>
              <w:jc w:val="right"/>
              <w:rPr>
                <w:rFonts w:eastAsia="Times New Roman"/>
              </w:rPr>
            </w:pPr>
          </w:p>
        </w:tc>
        <w:tc>
          <w:tcPr>
            <w:tcW w:w="0" w:type="auto"/>
            <w:gridSpan w:val="2"/>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hideMark/>
          </w:tcPr>
          <w:p w:rsidR="00000000" w:rsidRDefault="001F1FC8">
            <w:pPr>
              <w:jc w:val="right"/>
              <w:rPr>
                <w:rFonts w:eastAsia="Times New Roman"/>
              </w:rPr>
            </w:pPr>
          </w:p>
        </w:tc>
        <w:tc>
          <w:tcPr>
            <w:tcW w:w="0" w:type="auto"/>
            <w:gridSpan w:val="2"/>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color w:val="000000"/>
                <w:sz w:val="16"/>
                <w:szCs w:val="16"/>
              </w:rPr>
              <w:t>(241)</w:t>
            </w:r>
          </w:p>
        </w:tc>
        <w:tc>
          <w:tcPr>
            <w:tcW w:w="0" w:type="auto"/>
            <w:tcMar>
              <w:top w:w="30" w:type="dxa"/>
              <w:left w:w="0" w:type="dxa"/>
              <w:bottom w:w="30" w:type="dxa"/>
              <w:right w:w="20" w:type="dxa"/>
            </w:tcMar>
            <w:hideMark/>
          </w:tcPr>
          <w:p w:rsidR="00000000" w:rsidRDefault="001F1FC8">
            <w:pPr>
              <w:jc w:val="right"/>
              <w:rPr>
                <w:rFonts w:eastAsia="Times New Roman"/>
              </w:rPr>
            </w:pPr>
          </w:p>
        </w:tc>
      </w:tr>
      <w:tr w:rsidR="00000000">
        <w:trPr>
          <w:divId w:val="2112384593"/>
        </w:trPr>
        <w:tc>
          <w:tcPr>
            <w:tcW w:w="0" w:type="auto"/>
            <w:gridSpan w:val="3"/>
            <w:tcMar>
              <w:top w:w="30" w:type="dxa"/>
              <w:left w:w="380" w:type="dxa"/>
              <w:bottom w:w="30" w:type="dxa"/>
              <w:right w:w="20" w:type="dxa"/>
            </w:tcMar>
            <w:hideMark/>
          </w:tcPr>
          <w:p w:rsidR="00000000" w:rsidRDefault="001F1FC8">
            <w:pPr>
              <w:rPr>
                <w:rFonts w:eastAsia="Times New Roman"/>
              </w:rPr>
            </w:pPr>
            <w:r>
              <w:rPr>
                <w:rFonts w:ascii="Arial" w:eastAsia="Times New Roman" w:hAnsi="Arial" w:cs="Arial"/>
                <w:color w:val="000000"/>
                <w:sz w:val="16"/>
                <w:szCs w:val="16"/>
              </w:rPr>
              <w:t>Commodity contracts</w:t>
            </w:r>
          </w:p>
        </w:tc>
        <w:tc>
          <w:tcPr>
            <w:tcW w:w="0" w:type="auto"/>
            <w:gridSpan w:val="2"/>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color w:val="000000"/>
                <w:sz w:val="16"/>
                <w:szCs w:val="16"/>
              </w:rPr>
              <w:t>(1)</w:t>
            </w:r>
          </w:p>
        </w:tc>
        <w:tc>
          <w:tcPr>
            <w:tcW w:w="0" w:type="auto"/>
            <w:tcMar>
              <w:top w:w="30" w:type="dxa"/>
              <w:left w:w="0" w:type="dxa"/>
              <w:bottom w:w="30" w:type="dxa"/>
              <w:right w:w="20" w:type="dxa"/>
            </w:tcMar>
            <w:hideMark/>
          </w:tcPr>
          <w:p w:rsidR="00000000" w:rsidRDefault="001F1FC8">
            <w:pPr>
              <w:jc w:val="right"/>
              <w:rPr>
                <w:rFonts w:eastAsia="Times New Roman"/>
              </w:rPr>
            </w:pPr>
          </w:p>
        </w:tc>
        <w:tc>
          <w:tcPr>
            <w:tcW w:w="0" w:type="auto"/>
            <w:gridSpan w:val="2"/>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color w:val="000000"/>
                <w:sz w:val="16"/>
                <w:szCs w:val="16"/>
              </w:rPr>
              <w:t>(8)</w:t>
            </w:r>
          </w:p>
        </w:tc>
        <w:tc>
          <w:tcPr>
            <w:tcW w:w="0" w:type="auto"/>
            <w:tcMar>
              <w:top w:w="30" w:type="dxa"/>
              <w:left w:w="0" w:type="dxa"/>
              <w:bottom w:w="30" w:type="dxa"/>
              <w:right w:w="20" w:type="dxa"/>
            </w:tcMar>
            <w:hideMark/>
          </w:tcPr>
          <w:p w:rsidR="00000000" w:rsidRDefault="001F1FC8">
            <w:pPr>
              <w:jc w:val="right"/>
              <w:rPr>
                <w:rFonts w:eastAsia="Times New Roman"/>
              </w:rPr>
            </w:pPr>
          </w:p>
        </w:tc>
        <w:tc>
          <w:tcPr>
            <w:tcW w:w="0" w:type="auto"/>
            <w:gridSpan w:val="2"/>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color w:val="000000"/>
                <w:sz w:val="16"/>
                <w:szCs w:val="16"/>
              </w:rPr>
              <w:t>(49)</w:t>
            </w:r>
          </w:p>
        </w:tc>
        <w:tc>
          <w:tcPr>
            <w:tcW w:w="0" w:type="auto"/>
            <w:tcMar>
              <w:top w:w="30" w:type="dxa"/>
              <w:left w:w="0" w:type="dxa"/>
              <w:bottom w:w="30" w:type="dxa"/>
              <w:right w:w="20" w:type="dxa"/>
            </w:tcMar>
            <w:hideMark/>
          </w:tcPr>
          <w:p w:rsidR="00000000" w:rsidRDefault="001F1FC8">
            <w:pPr>
              <w:jc w:val="right"/>
              <w:rPr>
                <w:rFonts w:eastAsia="Times New Roman"/>
              </w:rPr>
            </w:pPr>
          </w:p>
        </w:tc>
        <w:tc>
          <w:tcPr>
            <w:tcW w:w="0" w:type="auto"/>
            <w:gridSpan w:val="2"/>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color w:val="000000"/>
                <w:sz w:val="16"/>
                <w:szCs w:val="16"/>
              </w:rPr>
              <w:t>(58)</w:t>
            </w:r>
          </w:p>
        </w:tc>
        <w:tc>
          <w:tcPr>
            <w:tcW w:w="0" w:type="auto"/>
            <w:tcMar>
              <w:top w:w="30" w:type="dxa"/>
              <w:left w:w="0" w:type="dxa"/>
              <w:bottom w:w="30" w:type="dxa"/>
              <w:right w:w="20" w:type="dxa"/>
            </w:tcMar>
            <w:hideMark/>
          </w:tcPr>
          <w:p w:rsidR="00000000" w:rsidRDefault="001F1FC8">
            <w:pPr>
              <w:jc w:val="right"/>
              <w:rPr>
                <w:rFonts w:eastAsia="Times New Roman"/>
              </w:rPr>
            </w:pPr>
          </w:p>
        </w:tc>
      </w:tr>
      <w:tr w:rsidR="00000000">
        <w:trPr>
          <w:divId w:val="2112384593"/>
        </w:trPr>
        <w:tc>
          <w:tcPr>
            <w:tcW w:w="0" w:type="auto"/>
            <w:gridSpan w:val="3"/>
            <w:tcMar>
              <w:top w:w="30" w:type="dxa"/>
              <w:left w:w="380" w:type="dxa"/>
              <w:bottom w:w="30" w:type="dxa"/>
              <w:right w:w="20" w:type="dxa"/>
            </w:tcMar>
            <w:hideMark/>
          </w:tcPr>
          <w:p w:rsidR="00000000" w:rsidRDefault="001F1FC8">
            <w:pPr>
              <w:rPr>
                <w:rFonts w:eastAsia="Times New Roman"/>
              </w:rPr>
            </w:pPr>
            <w:r>
              <w:rPr>
                <w:rFonts w:ascii="Arial" w:eastAsia="Times New Roman" w:hAnsi="Arial" w:cs="Arial"/>
                <w:color w:val="000000"/>
                <w:sz w:val="16"/>
                <w:szCs w:val="16"/>
              </w:rPr>
              <w:t>Other contracts</w:t>
            </w:r>
          </w:p>
        </w:tc>
        <w:tc>
          <w:tcPr>
            <w:tcW w:w="0" w:type="auto"/>
            <w:gridSpan w:val="2"/>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hideMark/>
          </w:tcPr>
          <w:p w:rsidR="00000000" w:rsidRDefault="001F1FC8">
            <w:pPr>
              <w:jc w:val="right"/>
              <w:rPr>
                <w:rFonts w:eastAsia="Times New Roman"/>
              </w:rPr>
            </w:pPr>
          </w:p>
        </w:tc>
        <w:tc>
          <w:tcPr>
            <w:tcW w:w="0" w:type="auto"/>
            <w:gridSpan w:val="2"/>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hideMark/>
          </w:tcPr>
          <w:p w:rsidR="00000000" w:rsidRDefault="001F1FC8">
            <w:pPr>
              <w:jc w:val="right"/>
              <w:rPr>
                <w:rFonts w:eastAsia="Times New Roman"/>
              </w:rPr>
            </w:pPr>
          </w:p>
        </w:tc>
        <w:tc>
          <w:tcPr>
            <w:tcW w:w="0" w:type="auto"/>
            <w:gridSpan w:val="2"/>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hideMark/>
          </w:tcPr>
          <w:p w:rsidR="00000000" w:rsidRDefault="001F1FC8">
            <w:pPr>
              <w:jc w:val="right"/>
              <w:rPr>
                <w:rFonts w:eastAsia="Times New Roman"/>
              </w:rPr>
            </w:pPr>
          </w:p>
        </w:tc>
        <w:tc>
          <w:tcPr>
            <w:tcW w:w="0" w:type="auto"/>
            <w:gridSpan w:val="2"/>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hideMark/>
          </w:tcPr>
          <w:p w:rsidR="00000000" w:rsidRDefault="001F1FC8">
            <w:pPr>
              <w:jc w:val="right"/>
              <w:rPr>
                <w:rFonts w:eastAsia="Times New Roman"/>
              </w:rPr>
            </w:pPr>
          </w:p>
        </w:tc>
      </w:tr>
      <w:tr w:rsidR="00000000">
        <w:trPr>
          <w:divId w:val="2112384593"/>
        </w:trPr>
        <w:tc>
          <w:tcPr>
            <w:tcW w:w="0" w:type="auto"/>
            <w:gridSpan w:val="3"/>
            <w:tcBorders>
              <w:top w:val="single" w:sz="4" w:space="0" w:color="000000"/>
            </w:tcBorders>
            <w:tcMar>
              <w:top w:w="30" w:type="dxa"/>
              <w:left w:w="20" w:type="dxa"/>
              <w:bottom w:w="30" w:type="dxa"/>
              <w:right w:w="20" w:type="dxa"/>
            </w:tcMar>
            <w:hideMark/>
          </w:tcPr>
          <w:p w:rsidR="00000000" w:rsidRDefault="001F1FC8">
            <w:pPr>
              <w:rPr>
                <w:rFonts w:eastAsia="Times New Roman"/>
              </w:rPr>
            </w:pPr>
            <w:r>
              <w:rPr>
                <w:rFonts w:ascii="Arial" w:eastAsia="Times New Roman" w:hAnsi="Arial" w:cs="Arial"/>
                <w:color w:val="000000"/>
                <w:sz w:val="2"/>
                <w:szCs w:val="2"/>
              </w:rPr>
              <w:t> </w:t>
            </w:r>
          </w:p>
        </w:tc>
        <w:tc>
          <w:tcPr>
            <w:tcW w:w="0" w:type="auto"/>
            <w:gridSpan w:val="2"/>
            <w:tcBorders>
              <w:top w:val="single" w:sz="4" w:space="0" w:color="000000"/>
            </w:tcBorders>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color w:val="000000"/>
                <w:sz w:val="16"/>
                <w:szCs w:val="16"/>
              </w:rPr>
              <w:t>(1)</w:t>
            </w:r>
          </w:p>
        </w:tc>
        <w:tc>
          <w:tcPr>
            <w:tcW w:w="0" w:type="auto"/>
            <w:tcBorders>
              <w:top w:val="single" w:sz="4" w:space="0" w:color="000000"/>
            </w:tcBorders>
            <w:tcMar>
              <w:top w:w="30" w:type="dxa"/>
              <w:left w:w="0" w:type="dxa"/>
              <w:bottom w:w="30" w:type="dxa"/>
              <w:right w:w="20" w:type="dxa"/>
            </w:tcMar>
            <w:hideMark/>
          </w:tcPr>
          <w:p w:rsidR="00000000" w:rsidRDefault="001F1FC8">
            <w:pPr>
              <w:jc w:val="right"/>
              <w:rPr>
                <w:rFonts w:eastAsia="Times New Roman"/>
              </w:rPr>
            </w:pPr>
          </w:p>
        </w:tc>
        <w:tc>
          <w:tcPr>
            <w:tcW w:w="0" w:type="auto"/>
            <w:gridSpan w:val="2"/>
            <w:tcBorders>
              <w:top w:val="single" w:sz="4" w:space="0" w:color="000000"/>
            </w:tcBorders>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color w:val="000000"/>
                <w:sz w:val="16"/>
                <w:szCs w:val="16"/>
              </w:rPr>
              <w:t>(1,009)</w:t>
            </w:r>
          </w:p>
        </w:tc>
        <w:tc>
          <w:tcPr>
            <w:tcW w:w="0" w:type="auto"/>
            <w:tcBorders>
              <w:top w:val="single" w:sz="4" w:space="0" w:color="000000"/>
            </w:tcBorders>
            <w:tcMar>
              <w:top w:w="30" w:type="dxa"/>
              <w:left w:w="0" w:type="dxa"/>
              <w:bottom w:w="30" w:type="dxa"/>
              <w:right w:w="20" w:type="dxa"/>
            </w:tcMar>
            <w:hideMark/>
          </w:tcPr>
          <w:p w:rsidR="00000000" w:rsidRDefault="001F1FC8">
            <w:pPr>
              <w:jc w:val="right"/>
              <w:rPr>
                <w:rFonts w:eastAsia="Times New Roman"/>
              </w:rPr>
            </w:pPr>
          </w:p>
        </w:tc>
        <w:tc>
          <w:tcPr>
            <w:tcW w:w="0" w:type="auto"/>
            <w:gridSpan w:val="2"/>
            <w:tcBorders>
              <w:top w:val="single" w:sz="4" w:space="0" w:color="000000"/>
            </w:tcBorders>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color w:val="000000"/>
                <w:sz w:val="16"/>
                <w:szCs w:val="16"/>
              </w:rPr>
              <w:t>(49)</w:t>
            </w:r>
          </w:p>
        </w:tc>
        <w:tc>
          <w:tcPr>
            <w:tcW w:w="0" w:type="auto"/>
            <w:tcBorders>
              <w:top w:val="single" w:sz="4" w:space="0" w:color="000000"/>
            </w:tcBorders>
            <w:tcMar>
              <w:top w:w="30" w:type="dxa"/>
              <w:left w:w="0" w:type="dxa"/>
              <w:bottom w:w="30" w:type="dxa"/>
              <w:right w:w="20" w:type="dxa"/>
            </w:tcMar>
            <w:hideMark/>
          </w:tcPr>
          <w:p w:rsidR="00000000" w:rsidRDefault="001F1FC8">
            <w:pPr>
              <w:jc w:val="right"/>
              <w:rPr>
                <w:rFonts w:eastAsia="Times New Roman"/>
              </w:rPr>
            </w:pPr>
          </w:p>
        </w:tc>
        <w:tc>
          <w:tcPr>
            <w:tcW w:w="0" w:type="auto"/>
            <w:gridSpan w:val="2"/>
            <w:tcBorders>
              <w:top w:val="single" w:sz="4" w:space="0" w:color="000000"/>
            </w:tcBorders>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color w:val="000000"/>
                <w:sz w:val="16"/>
                <w:szCs w:val="16"/>
              </w:rPr>
              <w:t>(1,059)</w:t>
            </w:r>
          </w:p>
        </w:tc>
        <w:tc>
          <w:tcPr>
            <w:tcW w:w="0" w:type="auto"/>
            <w:tcBorders>
              <w:top w:val="single" w:sz="4" w:space="0" w:color="000000"/>
            </w:tcBorders>
            <w:tcMar>
              <w:top w:w="30" w:type="dxa"/>
              <w:left w:w="0" w:type="dxa"/>
              <w:bottom w:w="30" w:type="dxa"/>
              <w:right w:w="20" w:type="dxa"/>
            </w:tcMar>
            <w:hideMark/>
          </w:tcPr>
          <w:p w:rsidR="00000000" w:rsidRDefault="001F1FC8">
            <w:pPr>
              <w:jc w:val="right"/>
              <w:rPr>
                <w:rFonts w:eastAsia="Times New Roman"/>
              </w:rPr>
            </w:pPr>
          </w:p>
        </w:tc>
      </w:tr>
      <w:tr w:rsidR="00000000">
        <w:trPr>
          <w:divId w:val="2112384593"/>
        </w:trPr>
        <w:tc>
          <w:tcPr>
            <w:tcW w:w="0" w:type="auto"/>
            <w:gridSpan w:val="3"/>
            <w:tcBorders>
              <w:top w:val="single" w:sz="4" w:space="0" w:color="000000"/>
            </w:tcBorders>
            <w:tcMar>
              <w:top w:w="30" w:type="dxa"/>
              <w:left w:w="20" w:type="dxa"/>
              <w:bottom w:w="30" w:type="dxa"/>
              <w:right w:w="20" w:type="dxa"/>
            </w:tcMar>
            <w:hideMark/>
          </w:tcPr>
          <w:p w:rsidR="00000000" w:rsidRDefault="001F1FC8">
            <w:pPr>
              <w:rPr>
                <w:rFonts w:eastAsia="Times New Roman"/>
              </w:rPr>
            </w:pPr>
            <w:r>
              <w:rPr>
                <w:rFonts w:ascii="Arial" w:eastAsia="Times New Roman" w:hAnsi="Arial" w:cs="Arial"/>
                <w:color w:val="000000"/>
                <w:sz w:val="16"/>
                <w:szCs w:val="16"/>
              </w:rPr>
              <w:t>Total net financial asset/(liability)</w:t>
            </w:r>
          </w:p>
        </w:tc>
        <w:tc>
          <w:tcPr>
            <w:tcW w:w="0" w:type="auto"/>
            <w:gridSpan w:val="3"/>
            <w:tcBorders>
              <w:top w:val="single" w:sz="4" w:space="0" w:color="000000"/>
            </w:tcBorders>
            <w:tcMar>
              <w:top w:w="30" w:type="dxa"/>
              <w:left w:w="20" w:type="dxa"/>
              <w:bottom w:w="30" w:type="dxa"/>
              <w:right w:w="20" w:type="dxa"/>
            </w:tcMar>
            <w:hideMark/>
          </w:tcPr>
          <w:p w:rsidR="00000000" w:rsidRDefault="001F1FC8">
            <w:pPr>
              <w:jc w:val="right"/>
              <w:rPr>
                <w:rFonts w:eastAsia="Times New Roman"/>
              </w:rPr>
            </w:pPr>
            <w:r>
              <w:rPr>
                <w:rFonts w:ascii="Arial" w:eastAsia="Times New Roman" w:hAnsi="Arial" w:cs="Arial"/>
                <w:color w:val="000000"/>
                <w:sz w:val="2"/>
                <w:szCs w:val="2"/>
              </w:rPr>
              <w:t> </w:t>
            </w:r>
          </w:p>
        </w:tc>
        <w:tc>
          <w:tcPr>
            <w:tcW w:w="0" w:type="auto"/>
            <w:gridSpan w:val="3"/>
            <w:tcBorders>
              <w:top w:val="single" w:sz="4" w:space="0" w:color="000000"/>
            </w:tcBorders>
            <w:tcMar>
              <w:top w:w="30" w:type="dxa"/>
              <w:left w:w="20" w:type="dxa"/>
              <w:bottom w:w="30" w:type="dxa"/>
              <w:right w:w="20" w:type="dxa"/>
            </w:tcMar>
            <w:hideMark/>
          </w:tcPr>
          <w:p w:rsidR="00000000" w:rsidRDefault="001F1FC8">
            <w:pPr>
              <w:jc w:val="right"/>
              <w:rPr>
                <w:rFonts w:eastAsia="Times New Roman"/>
              </w:rPr>
            </w:pPr>
            <w:r>
              <w:rPr>
                <w:rFonts w:ascii="Arial" w:eastAsia="Times New Roman" w:hAnsi="Arial" w:cs="Arial"/>
                <w:color w:val="000000"/>
                <w:sz w:val="2"/>
                <w:szCs w:val="2"/>
              </w:rPr>
              <w:t> </w:t>
            </w:r>
          </w:p>
        </w:tc>
        <w:tc>
          <w:tcPr>
            <w:tcW w:w="0" w:type="auto"/>
            <w:gridSpan w:val="3"/>
            <w:tcBorders>
              <w:top w:val="single" w:sz="4" w:space="0" w:color="000000"/>
            </w:tcBorders>
            <w:tcMar>
              <w:top w:w="30" w:type="dxa"/>
              <w:left w:w="20" w:type="dxa"/>
              <w:bottom w:w="30" w:type="dxa"/>
              <w:right w:w="20" w:type="dxa"/>
            </w:tcMar>
            <w:hideMark/>
          </w:tcPr>
          <w:p w:rsidR="00000000" w:rsidRDefault="001F1FC8">
            <w:pPr>
              <w:jc w:val="right"/>
              <w:rPr>
                <w:rFonts w:eastAsia="Times New Roman"/>
              </w:rPr>
            </w:pPr>
            <w:r>
              <w:rPr>
                <w:rFonts w:ascii="Arial" w:eastAsia="Times New Roman" w:hAnsi="Arial" w:cs="Arial"/>
                <w:color w:val="000000"/>
                <w:sz w:val="2"/>
                <w:szCs w:val="2"/>
              </w:rPr>
              <w:t> </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1F1FC8">
            <w:pPr>
              <w:jc w:val="right"/>
              <w:rPr>
                <w:rFonts w:eastAsia="Times New Roman"/>
              </w:rPr>
            </w:pPr>
          </w:p>
        </w:tc>
      </w:tr>
      <w:tr w:rsidR="00000000">
        <w:trPr>
          <w:divId w:val="2112384593"/>
        </w:trPr>
        <w:tc>
          <w:tcPr>
            <w:tcW w:w="0" w:type="auto"/>
            <w:gridSpan w:val="3"/>
            <w:tcMar>
              <w:top w:w="30" w:type="dxa"/>
              <w:left w:w="380" w:type="dxa"/>
              <w:bottom w:w="30" w:type="dxa"/>
              <w:right w:w="20" w:type="dxa"/>
            </w:tcMar>
            <w:hideMark/>
          </w:tcPr>
          <w:p w:rsidR="00000000" w:rsidRDefault="001F1FC8">
            <w:pPr>
              <w:rPr>
                <w:rFonts w:eastAsia="Times New Roman"/>
              </w:rPr>
            </w:pPr>
            <w:r>
              <w:rPr>
                <w:rFonts w:ascii="Arial" w:eastAsia="Times New Roman" w:hAnsi="Arial" w:cs="Arial"/>
                <w:color w:val="000000"/>
                <w:sz w:val="16"/>
                <w:szCs w:val="16"/>
              </w:rPr>
              <w:t>Foreign exchange contracts</w:t>
            </w:r>
          </w:p>
        </w:tc>
        <w:tc>
          <w:tcPr>
            <w:tcW w:w="0" w:type="auto"/>
            <w:gridSpan w:val="2"/>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hideMark/>
          </w:tcPr>
          <w:p w:rsidR="00000000" w:rsidRDefault="001F1FC8">
            <w:pPr>
              <w:jc w:val="right"/>
              <w:rPr>
                <w:rFonts w:eastAsia="Times New Roman"/>
              </w:rPr>
            </w:pPr>
          </w:p>
        </w:tc>
        <w:tc>
          <w:tcPr>
            <w:tcW w:w="0" w:type="auto"/>
            <w:gridSpan w:val="2"/>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color w:val="000000"/>
                <w:sz w:val="16"/>
                <w:szCs w:val="16"/>
              </w:rPr>
              <w:t>(299)</w:t>
            </w:r>
          </w:p>
        </w:tc>
        <w:tc>
          <w:tcPr>
            <w:tcW w:w="0" w:type="auto"/>
            <w:tcMar>
              <w:top w:w="30" w:type="dxa"/>
              <w:left w:w="0" w:type="dxa"/>
              <w:bottom w:w="30" w:type="dxa"/>
              <w:right w:w="20" w:type="dxa"/>
            </w:tcMar>
            <w:hideMark/>
          </w:tcPr>
          <w:p w:rsidR="00000000" w:rsidRDefault="001F1FC8">
            <w:pPr>
              <w:jc w:val="right"/>
              <w:rPr>
                <w:rFonts w:eastAsia="Times New Roman"/>
              </w:rPr>
            </w:pPr>
          </w:p>
        </w:tc>
        <w:tc>
          <w:tcPr>
            <w:tcW w:w="0" w:type="auto"/>
            <w:gridSpan w:val="2"/>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hideMark/>
          </w:tcPr>
          <w:p w:rsidR="00000000" w:rsidRDefault="001F1FC8">
            <w:pPr>
              <w:jc w:val="right"/>
              <w:rPr>
                <w:rFonts w:eastAsia="Times New Roman"/>
              </w:rPr>
            </w:pPr>
          </w:p>
        </w:tc>
        <w:tc>
          <w:tcPr>
            <w:tcW w:w="0" w:type="auto"/>
            <w:gridSpan w:val="2"/>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color w:val="000000"/>
                <w:sz w:val="16"/>
                <w:szCs w:val="16"/>
              </w:rPr>
              <w:t>(299)</w:t>
            </w:r>
          </w:p>
        </w:tc>
        <w:tc>
          <w:tcPr>
            <w:tcW w:w="0" w:type="auto"/>
            <w:tcMar>
              <w:top w:w="30" w:type="dxa"/>
              <w:left w:w="0" w:type="dxa"/>
              <w:bottom w:w="30" w:type="dxa"/>
              <w:right w:w="20" w:type="dxa"/>
            </w:tcMar>
            <w:hideMark/>
          </w:tcPr>
          <w:p w:rsidR="00000000" w:rsidRDefault="001F1FC8">
            <w:pPr>
              <w:jc w:val="right"/>
              <w:rPr>
                <w:rFonts w:eastAsia="Times New Roman"/>
              </w:rPr>
            </w:pPr>
          </w:p>
        </w:tc>
      </w:tr>
      <w:tr w:rsidR="00000000">
        <w:trPr>
          <w:divId w:val="2112384593"/>
        </w:trPr>
        <w:tc>
          <w:tcPr>
            <w:tcW w:w="0" w:type="auto"/>
            <w:gridSpan w:val="3"/>
            <w:tcMar>
              <w:top w:w="30" w:type="dxa"/>
              <w:left w:w="380" w:type="dxa"/>
              <w:bottom w:w="30" w:type="dxa"/>
              <w:right w:w="20" w:type="dxa"/>
            </w:tcMar>
            <w:hideMark/>
          </w:tcPr>
          <w:p w:rsidR="00000000" w:rsidRDefault="001F1FC8">
            <w:pPr>
              <w:rPr>
                <w:rFonts w:eastAsia="Times New Roman"/>
              </w:rPr>
            </w:pPr>
            <w:r>
              <w:rPr>
                <w:rFonts w:ascii="Arial" w:eastAsia="Times New Roman" w:hAnsi="Arial" w:cs="Arial"/>
                <w:color w:val="000000"/>
                <w:sz w:val="16"/>
                <w:szCs w:val="16"/>
              </w:rPr>
              <w:t>Interest rate contracts</w:t>
            </w:r>
          </w:p>
        </w:tc>
        <w:tc>
          <w:tcPr>
            <w:tcW w:w="0" w:type="auto"/>
            <w:gridSpan w:val="2"/>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hideMark/>
          </w:tcPr>
          <w:p w:rsidR="00000000" w:rsidRDefault="001F1FC8">
            <w:pPr>
              <w:jc w:val="right"/>
              <w:rPr>
                <w:rFonts w:eastAsia="Times New Roman"/>
              </w:rPr>
            </w:pPr>
          </w:p>
        </w:tc>
        <w:tc>
          <w:tcPr>
            <w:tcW w:w="0" w:type="auto"/>
            <w:gridSpan w:val="2"/>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color w:val="000000"/>
                <w:sz w:val="16"/>
                <w:szCs w:val="16"/>
              </w:rPr>
              <w:t>(610)</w:t>
            </w:r>
          </w:p>
        </w:tc>
        <w:tc>
          <w:tcPr>
            <w:tcW w:w="0" w:type="auto"/>
            <w:tcMar>
              <w:top w:w="30" w:type="dxa"/>
              <w:left w:w="0" w:type="dxa"/>
              <w:bottom w:w="30" w:type="dxa"/>
              <w:right w:w="20" w:type="dxa"/>
            </w:tcMar>
            <w:hideMark/>
          </w:tcPr>
          <w:p w:rsidR="00000000" w:rsidRDefault="001F1FC8">
            <w:pPr>
              <w:jc w:val="right"/>
              <w:rPr>
                <w:rFonts w:eastAsia="Times New Roman"/>
              </w:rPr>
            </w:pPr>
          </w:p>
        </w:tc>
        <w:tc>
          <w:tcPr>
            <w:tcW w:w="0" w:type="auto"/>
            <w:gridSpan w:val="2"/>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hideMark/>
          </w:tcPr>
          <w:p w:rsidR="00000000" w:rsidRDefault="001F1FC8">
            <w:pPr>
              <w:jc w:val="right"/>
              <w:rPr>
                <w:rFonts w:eastAsia="Times New Roman"/>
              </w:rPr>
            </w:pPr>
          </w:p>
        </w:tc>
        <w:tc>
          <w:tcPr>
            <w:tcW w:w="0" w:type="auto"/>
            <w:gridSpan w:val="2"/>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color w:val="000000"/>
                <w:sz w:val="16"/>
                <w:szCs w:val="16"/>
              </w:rPr>
              <w:t>(610)</w:t>
            </w:r>
          </w:p>
        </w:tc>
        <w:tc>
          <w:tcPr>
            <w:tcW w:w="0" w:type="auto"/>
            <w:tcMar>
              <w:top w:w="30" w:type="dxa"/>
              <w:left w:w="0" w:type="dxa"/>
              <w:bottom w:w="30" w:type="dxa"/>
              <w:right w:w="20" w:type="dxa"/>
            </w:tcMar>
            <w:hideMark/>
          </w:tcPr>
          <w:p w:rsidR="00000000" w:rsidRDefault="001F1FC8">
            <w:pPr>
              <w:jc w:val="right"/>
              <w:rPr>
                <w:rFonts w:eastAsia="Times New Roman"/>
              </w:rPr>
            </w:pPr>
          </w:p>
        </w:tc>
      </w:tr>
      <w:tr w:rsidR="00000000">
        <w:trPr>
          <w:divId w:val="2112384593"/>
        </w:trPr>
        <w:tc>
          <w:tcPr>
            <w:tcW w:w="0" w:type="auto"/>
            <w:gridSpan w:val="3"/>
            <w:tcMar>
              <w:top w:w="30" w:type="dxa"/>
              <w:left w:w="380" w:type="dxa"/>
              <w:bottom w:w="30" w:type="dxa"/>
              <w:right w:w="20" w:type="dxa"/>
            </w:tcMar>
            <w:hideMark/>
          </w:tcPr>
          <w:p w:rsidR="00000000" w:rsidRDefault="001F1FC8">
            <w:pPr>
              <w:rPr>
                <w:rFonts w:eastAsia="Times New Roman"/>
              </w:rPr>
            </w:pPr>
            <w:r>
              <w:rPr>
                <w:rFonts w:ascii="Arial" w:eastAsia="Times New Roman" w:hAnsi="Arial" w:cs="Arial"/>
                <w:color w:val="000000"/>
                <w:sz w:val="16"/>
                <w:szCs w:val="16"/>
              </w:rPr>
              <w:t>Commodity contracts</w:t>
            </w:r>
          </w:p>
        </w:tc>
        <w:tc>
          <w:tcPr>
            <w:tcW w:w="0" w:type="auto"/>
            <w:gridSpan w:val="2"/>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color w:val="000000"/>
                <w:sz w:val="16"/>
                <w:szCs w:val="16"/>
              </w:rPr>
              <w:t>4 </w:t>
            </w:r>
          </w:p>
        </w:tc>
        <w:tc>
          <w:tcPr>
            <w:tcW w:w="0" w:type="auto"/>
            <w:tcMar>
              <w:top w:w="30" w:type="dxa"/>
              <w:left w:w="0" w:type="dxa"/>
              <w:bottom w:w="30" w:type="dxa"/>
              <w:right w:w="20" w:type="dxa"/>
            </w:tcMar>
            <w:hideMark/>
          </w:tcPr>
          <w:p w:rsidR="00000000" w:rsidRDefault="001F1FC8">
            <w:pPr>
              <w:jc w:val="right"/>
              <w:rPr>
                <w:rFonts w:eastAsia="Times New Roman"/>
              </w:rPr>
            </w:pPr>
          </w:p>
        </w:tc>
        <w:tc>
          <w:tcPr>
            <w:tcW w:w="0" w:type="auto"/>
            <w:gridSpan w:val="2"/>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color w:val="000000"/>
                <w:sz w:val="16"/>
                <w:szCs w:val="16"/>
              </w:rPr>
              <w:t>31 </w:t>
            </w:r>
          </w:p>
        </w:tc>
        <w:tc>
          <w:tcPr>
            <w:tcW w:w="0" w:type="auto"/>
            <w:tcMar>
              <w:top w:w="30" w:type="dxa"/>
              <w:left w:w="0" w:type="dxa"/>
              <w:bottom w:w="30" w:type="dxa"/>
              <w:right w:w="20" w:type="dxa"/>
            </w:tcMar>
            <w:hideMark/>
          </w:tcPr>
          <w:p w:rsidR="00000000" w:rsidRDefault="001F1FC8">
            <w:pPr>
              <w:jc w:val="right"/>
              <w:rPr>
                <w:rFonts w:eastAsia="Times New Roman"/>
              </w:rPr>
            </w:pPr>
          </w:p>
        </w:tc>
        <w:tc>
          <w:tcPr>
            <w:tcW w:w="0" w:type="auto"/>
            <w:gridSpan w:val="2"/>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color w:val="000000"/>
                <w:sz w:val="16"/>
                <w:szCs w:val="16"/>
              </w:rPr>
              <w:t>(191)</w:t>
            </w:r>
          </w:p>
        </w:tc>
        <w:tc>
          <w:tcPr>
            <w:tcW w:w="0" w:type="auto"/>
            <w:tcMar>
              <w:top w:w="30" w:type="dxa"/>
              <w:left w:w="0" w:type="dxa"/>
              <w:bottom w:w="30" w:type="dxa"/>
              <w:right w:w="20" w:type="dxa"/>
            </w:tcMar>
            <w:hideMark/>
          </w:tcPr>
          <w:p w:rsidR="00000000" w:rsidRDefault="001F1FC8">
            <w:pPr>
              <w:jc w:val="right"/>
              <w:rPr>
                <w:rFonts w:eastAsia="Times New Roman"/>
              </w:rPr>
            </w:pPr>
          </w:p>
        </w:tc>
        <w:tc>
          <w:tcPr>
            <w:tcW w:w="0" w:type="auto"/>
            <w:gridSpan w:val="2"/>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color w:val="000000"/>
                <w:sz w:val="16"/>
                <w:szCs w:val="16"/>
              </w:rPr>
              <w:t>(156)</w:t>
            </w:r>
          </w:p>
        </w:tc>
        <w:tc>
          <w:tcPr>
            <w:tcW w:w="0" w:type="auto"/>
            <w:tcMar>
              <w:top w:w="30" w:type="dxa"/>
              <w:left w:w="0" w:type="dxa"/>
              <w:bottom w:w="30" w:type="dxa"/>
              <w:right w:w="20" w:type="dxa"/>
            </w:tcMar>
            <w:hideMark/>
          </w:tcPr>
          <w:p w:rsidR="00000000" w:rsidRDefault="001F1FC8">
            <w:pPr>
              <w:jc w:val="right"/>
              <w:rPr>
                <w:rFonts w:eastAsia="Times New Roman"/>
              </w:rPr>
            </w:pPr>
          </w:p>
        </w:tc>
      </w:tr>
      <w:tr w:rsidR="00000000">
        <w:trPr>
          <w:divId w:val="2112384593"/>
        </w:trPr>
        <w:tc>
          <w:tcPr>
            <w:tcW w:w="0" w:type="auto"/>
            <w:gridSpan w:val="3"/>
            <w:tcMar>
              <w:top w:w="30" w:type="dxa"/>
              <w:left w:w="380" w:type="dxa"/>
              <w:bottom w:w="30" w:type="dxa"/>
              <w:right w:w="20" w:type="dxa"/>
            </w:tcMar>
            <w:hideMark/>
          </w:tcPr>
          <w:p w:rsidR="00000000" w:rsidRDefault="001F1FC8">
            <w:pPr>
              <w:rPr>
                <w:rFonts w:eastAsia="Times New Roman"/>
              </w:rPr>
            </w:pPr>
            <w:r>
              <w:rPr>
                <w:rFonts w:ascii="Arial" w:eastAsia="Times New Roman" w:hAnsi="Arial" w:cs="Arial"/>
                <w:color w:val="000000"/>
                <w:sz w:val="16"/>
                <w:szCs w:val="16"/>
              </w:rPr>
              <w:t>Other contracts</w:t>
            </w:r>
          </w:p>
        </w:tc>
        <w:tc>
          <w:tcPr>
            <w:tcW w:w="0" w:type="auto"/>
            <w:gridSpan w:val="2"/>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hideMark/>
          </w:tcPr>
          <w:p w:rsidR="00000000" w:rsidRDefault="001F1FC8">
            <w:pPr>
              <w:jc w:val="right"/>
              <w:rPr>
                <w:rFonts w:eastAsia="Times New Roman"/>
              </w:rPr>
            </w:pPr>
          </w:p>
        </w:tc>
        <w:tc>
          <w:tcPr>
            <w:tcW w:w="0" w:type="auto"/>
            <w:gridSpan w:val="2"/>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color w:val="000000"/>
                <w:sz w:val="16"/>
                <w:szCs w:val="16"/>
              </w:rPr>
              <w:t>(4)</w:t>
            </w:r>
          </w:p>
        </w:tc>
        <w:tc>
          <w:tcPr>
            <w:tcW w:w="0" w:type="auto"/>
            <w:tcMar>
              <w:top w:w="30" w:type="dxa"/>
              <w:left w:w="0" w:type="dxa"/>
              <w:bottom w:w="30" w:type="dxa"/>
              <w:right w:w="20" w:type="dxa"/>
            </w:tcMar>
            <w:hideMark/>
          </w:tcPr>
          <w:p w:rsidR="00000000" w:rsidRDefault="001F1FC8">
            <w:pPr>
              <w:jc w:val="right"/>
              <w:rPr>
                <w:rFonts w:eastAsia="Times New Roman"/>
              </w:rPr>
            </w:pPr>
          </w:p>
        </w:tc>
        <w:tc>
          <w:tcPr>
            <w:tcW w:w="0" w:type="auto"/>
            <w:gridSpan w:val="2"/>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hideMark/>
          </w:tcPr>
          <w:p w:rsidR="00000000" w:rsidRDefault="001F1FC8">
            <w:pPr>
              <w:jc w:val="right"/>
              <w:rPr>
                <w:rFonts w:eastAsia="Times New Roman"/>
              </w:rPr>
            </w:pPr>
          </w:p>
        </w:tc>
        <w:tc>
          <w:tcPr>
            <w:tcW w:w="0" w:type="auto"/>
            <w:gridSpan w:val="2"/>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color w:val="000000"/>
                <w:sz w:val="16"/>
                <w:szCs w:val="16"/>
              </w:rPr>
              <w:t>(4)</w:t>
            </w:r>
          </w:p>
        </w:tc>
        <w:tc>
          <w:tcPr>
            <w:tcW w:w="0" w:type="auto"/>
            <w:tcMar>
              <w:top w:w="30" w:type="dxa"/>
              <w:left w:w="0" w:type="dxa"/>
              <w:bottom w:w="30" w:type="dxa"/>
              <w:right w:w="20" w:type="dxa"/>
            </w:tcMar>
            <w:hideMark/>
          </w:tcPr>
          <w:p w:rsidR="00000000" w:rsidRDefault="001F1FC8">
            <w:pPr>
              <w:jc w:val="right"/>
              <w:rPr>
                <w:rFonts w:eastAsia="Times New Roman"/>
              </w:rPr>
            </w:pPr>
          </w:p>
        </w:tc>
      </w:tr>
      <w:tr w:rsidR="00000000">
        <w:trPr>
          <w:divId w:val="2112384593"/>
        </w:trPr>
        <w:tc>
          <w:tcPr>
            <w:tcW w:w="0" w:type="auto"/>
            <w:gridSpan w:val="3"/>
            <w:tcBorders>
              <w:top w:val="single" w:sz="4" w:space="0" w:color="000000"/>
              <w:bottom w:val="single" w:sz="8" w:space="0" w:color="000000"/>
            </w:tcBorders>
            <w:tcMar>
              <w:top w:w="30" w:type="dxa"/>
              <w:left w:w="20" w:type="dxa"/>
              <w:bottom w:w="30" w:type="dxa"/>
              <w:right w:w="20" w:type="dxa"/>
            </w:tcMar>
            <w:hideMark/>
          </w:tcPr>
          <w:p w:rsidR="00000000" w:rsidRDefault="001F1FC8">
            <w:pPr>
              <w:rPr>
                <w:rFonts w:eastAsia="Times New Roman"/>
              </w:rPr>
            </w:pPr>
            <w:r>
              <w:rPr>
                <w:rFonts w:ascii="Arial" w:eastAsia="Times New Roman" w:hAnsi="Arial" w:cs="Arial"/>
                <w:color w:val="000000"/>
                <w:sz w:val="16"/>
                <w:szCs w:val="16"/>
              </w:rPr>
              <w:t> </w:t>
            </w:r>
          </w:p>
        </w:tc>
        <w:tc>
          <w:tcPr>
            <w:tcW w:w="0" w:type="auto"/>
            <w:gridSpan w:val="2"/>
            <w:tcBorders>
              <w:top w:val="single" w:sz="4" w:space="0" w:color="000000"/>
              <w:bottom w:val="single" w:sz="8" w:space="0" w:color="000000"/>
            </w:tcBorders>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color w:val="000000"/>
                <w:sz w:val="16"/>
                <w:szCs w:val="16"/>
              </w:rPr>
              <w:t>4 </w:t>
            </w:r>
          </w:p>
        </w:tc>
        <w:tc>
          <w:tcPr>
            <w:tcW w:w="0" w:type="auto"/>
            <w:tcBorders>
              <w:top w:val="single" w:sz="4" w:space="0" w:color="000000"/>
              <w:bottom w:val="single" w:sz="8" w:space="0" w:color="000000"/>
            </w:tcBorders>
            <w:tcMar>
              <w:top w:w="30" w:type="dxa"/>
              <w:left w:w="0" w:type="dxa"/>
              <w:bottom w:w="30" w:type="dxa"/>
              <w:right w:w="20" w:type="dxa"/>
            </w:tcMar>
            <w:hideMark/>
          </w:tcPr>
          <w:p w:rsidR="00000000" w:rsidRDefault="001F1FC8">
            <w:pPr>
              <w:jc w:val="right"/>
              <w:rPr>
                <w:rFonts w:eastAsia="Times New Roman"/>
              </w:rPr>
            </w:pPr>
          </w:p>
        </w:tc>
        <w:tc>
          <w:tcPr>
            <w:tcW w:w="0" w:type="auto"/>
            <w:gridSpan w:val="2"/>
            <w:tcBorders>
              <w:top w:val="single" w:sz="4" w:space="0" w:color="000000"/>
              <w:bottom w:val="single" w:sz="8" w:space="0" w:color="000000"/>
            </w:tcBorders>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color w:val="000000"/>
                <w:sz w:val="16"/>
                <w:szCs w:val="16"/>
              </w:rPr>
              <w:t>(882)</w:t>
            </w:r>
          </w:p>
        </w:tc>
        <w:tc>
          <w:tcPr>
            <w:tcW w:w="0" w:type="auto"/>
            <w:tcBorders>
              <w:top w:val="single" w:sz="4" w:space="0" w:color="000000"/>
              <w:bottom w:val="single" w:sz="8" w:space="0" w:color="000000"/>
            </w:tcBorders>
            <w:tcMar>
              <w:top w:w="30" w:type="dxa"/>
              <w:left w:w="0" w:type="dxa"/>
              <w:bottom w:w="30" w:type="dxa"/>
              <w:right w:w="20" w:type="dxa"/>
            </w:tcMar>
            <w:hideMark/>
          </w:tcPr>
          <w:p w:rsidR="00000000" w:rsidRDefault="001F1FC8">
            <w:pPr>
              <w:jc w:val="right"/>
              <w:rPr>
                <w:rFonts w:eastAsia="Times New Roman"/>
              </w:rPr>
            </w:pPr>
          </w:p>
        </w:tc>
        <w:tc>
          <w:tcPr>
            <w:tcW w:w="0" w:type="auto"/>
            <w:gridSpan w:val="2"/>
            <w:tcBorders>
              <w:top w:val="single" w:sz="4" w:space="0" w:color="000000"/>
              <w:bottom w:val="single" w:sz="8" w:space="0" w:color="000000"/>
            </w:tcBorders>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color w:val="000000"/>
                <w:sz w:val="16"/>
                <w:szCs w:val="16"/>
              </w:rPr>
              <w:t>(191)</w:t>
            </w:r>
          </w:p>
        </w:tc>
        <w:tc>
          <w:tcPr>
            <w:tcW w:w="0" w:type="auto"/>
            <w:tcBorders>
              <w:top w:val="single" w:sz="4" w:space="0" w:color="000000"/>
              <w:bottom w:val="single" w:sz="8" w:space="0" w:color="000000"/>
            </w:tcBorders>
            <w:tcMar>
              <w:top w:w="30" w:type="dxa"/>
              <w:left w:w="0" w:type="dxa"/>
              <w:bottom w:w="30" w:type="dxa"/>
              <w:right w:w="20" w:type="dxa"/>
            </w:tcMar>
            <w:hideMark/>
          </w:tcPr>
          <w:p w:rsidR="00000000" w:rsidRDefault="001F1FC8">
            <w:pPr>
              <w:jc w:val="right"/>
              <w:rPr>
                <w:rFonts w:eastAsia="Times New Roman"/>
              </w:rPr>
            </w:pPr>
          </w:p>
        </w:tc>
        <w:tc>
          <w:tcPr>
            <w:tcW w:w="0" w:type="auto"/>
            <w:gridSpan w:val="2"/>
            <w:tcBorders>
              <w:top w:val="single" w:sz="4" w:space="0" w:color="000000"/>
              <w:bottom w:val="single" w:sz="8" w:space="0" w:color="000000"/>
            </w:tcBorders>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color w:val="000000"/>
                <w:sz w:val="16"/>
                <w:szCs w:val="16"/>
              </w:rPr>
              <w:t>(1,069)</w:t>
            </w:r>
          </w:p>
        </w:tc>
        <w:tc>
          <w:tcPr>
            <w:tcW w:w="0" w:type="auto"/>
            <w:tcBorders>
              <w:top w:val="single" w:sz="4" w:space="0" w:color="000000"/>
              <w:bottom w:val="single" w:sz="8" w:space="0" w:color="000000"/>
            </w:tcBorders>
            <w:tcMar>
              <w:top w:w="30" w:type="dxa"/>
              <w:left w:w="0" w:type="dxa"/>
              <w:bottom w:w="30" w:type="dxa"/>
              <w:right w:w="20" w:type="dxa"/>
            </w:tcMar>
            <w:hideMark/>
          </w:tcPr>
          <w:p w:rsidR="00000000" w:rsidRDefault="001F1FC8">
            <w:pPr>
              <w:jc w:val="right"/>
              <w:rPr>
                <w:rFonts w:eastAsia="Times New Roman"/>
              </w:rPr>
            </w:pPr>
          </w:p>
        </w:tc>
      </w:tr>
    </w:tbl>
    <w:p w:rsidR="00000000" w:rsidRDefault="001F1FC8">
      <w:pPr>
        <w:divId w:val="887494851"/>
        <w:rPr>
          <w:rFonts w:eastAsia="Times New Roman"/>
        </w:rPr>
      </w:pPr>
      <w:r>
        <w:rPr>
          <w:rFonts w:ascii="Arial" w:eastAsia="Times New Roman" w:hAnsi="Arial" w:cs="Arial"/>
          <w:color w:val="000000"/>
          <w:sz w:val="20"/>
          <w:szCs w:val="20"/>
        </w:rPr>
        <w:t> </w:t>
      </w:r>
    </w:p>
    <w:p w:rsidR="00000000" w:rsidRDefault="001F1FC8">
      <w:pPr>
        <w:divId w:val="2133863461"/>
        <w:rPr>
          <w:rFonts w:eastAsia="Times New Roman"/>
        </w:rPr>
      </w:pPr>
      <w:r>
        <w:rPr>
          <w:rFonts w:ascii="Arial" w:eastAsia="Times New Roman" w:hAnsi="Arial" w:cs="Arial"/>
          <w:color w:val="000000"/>
          <w:sz w:val="20"/>
          <w:szCs w:val="20"/>
        </w:rPr>
        <w:t>The significant unobservable inputs used in the fair value measurement of Level 3 derivative instruments were as follows:</w:t>
      </w:r>
    </w:p>
    <w:tbl>
      <w:tblPr>
        <w:tblW w:w="5000" w:type="pct"/>
        <w:tblCellMar>
          <w:top w:w="15" w:type="dxa"/>
          <w:left w:w="15" w:type="dxa"/>
          <w:bottom w:w="15" w:type="dxa"/>
          <w:right w:w="15" w:type="dxa"/>
        </w:tblCellMar>
        <w:tblLook w:val="04A0" w:firstRow="1" w:lastRow="0" w:firstColumn="1" w:lastColumn="0" w:noHBand="0" w:noVBand="1"/>
      </w:tblPr>
      <w:tblGrid>
        <w:gridCol w:w="65"/>
        <w:gridCol w:w="1791"/>
        <w:gridCol w:w="36"/>
        <w:gridCol w:w="65"/>
        <w:gridCol w:w="648"/>
        <w:gridCol w:w="36"/>
        <w:gridCol w:w="65"/>
        <w:gridCol w:w="1552"/>
        <w:gridCol w:w="36"/>
        <w:gridCol w:w="65"/>
        <w:gridCol w:w="887"/>
        <w:gridCol w:w="36"/>
        <w:gridCol w:w="65"/>
        <w:gridCol w:w="887"/>
        <w:gridCol w:w="36"/>
        <w:gridCol w:w="65"/>
        <w:gridCol w:w="888"/>
        <w:gridCol w:w="36"/>
        <w:gridCol w:w="85"/>
        <w:gridCol w:w="926"/>
        <w:gridCol w:w="36"/>
      </w:tblGrid>
      <w:tr w:rsidR="00000000">
        <w:trPr>
          <w:divId w:val="1819688045"/>
        </w:trPr>
        <w:tc>
          <w:tcPr>
            <w:tcW w:w="50" w:type="pct"/>
            <w:vAlign w:val="center"/>
            <w:hideMark/>
          </w:tcPr>
          <w:p w:rsidR="00000000" w:rsidRDefault="001F1FC8">
            <w:pPr>
              <w:rPr>
                <w:rFonts w:eastAsia="Times New Roman"/>
              </w:rPr>
            </w:pPr>
          </w:p>
        </w:tc>
        <w:tc>
          <w:tcPr>
            <w:tcW w:w="1089"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c>
          <w:tcPr>
            <w:tcW w:w="50" w:type="pct"/>
            <w:vAlign w:val="center"/>
            <w:hideMark/>
          </w:tcPr>
          <w:p w:rsidR="00000000" w:rsidRDefault="001F1FC8">
            <w:pPr>
              <w:rPr>
                <w:rFonts w:eastAsia="Times New Roman"/>
                <w:sz w:val="20"/>
                <w:szCs w:val="20"/>
              </w:rPr>
            </w:pPr>
          </w:p>
        </w:tc>
        <w:tc>
          <w:tcPr>
            <w:tcW w:w="401"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c>
          <w:tcPr>
            <w:tcW w:w="50" w:type="pct"/>
            <w:vAlign w:val="center"/>
            <w:hideMark/>
          </w:tcPr>
          <w:p w:rsidR="00000000" w:rsidRDefault="001F1FC8">
            <w:pPr>
              <w:rPr>
                <w:rFonts w:eastAsia="Times New Roman"/>
                <w:sz w:val="20"/>
                <w:szCs w:val="20"/>
              </w:rPr>
            </w:pPr>
          </w:p>
        </w:tc>
        <w:tc>
          <w:tcPr>
            <w:tcW w:w="945"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c>
          <w:tcPr>
            <w:tcW w:w="50" w:type="pct"/>
            <w:vAlign w:val="center"/>
            <w:hideMark/>
          </w:tcPr>
          <w:p w:rsidR="00000000" w:rsidRDefault="001F1FC8">
            <w:pPr>
              <w:rPr>
                <w:rFonts w:eastAsia="Times New Roman"/>
                <w:sz w:val="20"/>
                <w:szCs w:val="20"/>
              </w:rPr>
            </w:pPr>
          </w:p>
        </w:tc>
        <w:tc>
          <w:tcPr>
            <w:tcW w:w="545"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c>
          <w:tcPr>
            <w:tcW w:w="50" w:type="pct"/>
            <w:vAlign w:val="center"/>
            <w:hideMark/>
          </w:tcPr>
          <w:p w:rsidR="00000000" w:rsidRDefault="001F1FC8">
            <w:pPr>
              <w:rPr>
                <w:rFonts w:eastAsia="Times New Roman"/>
                <w:sz w:val="20"/>
                <w:szCs w:val="20"/>
              </w:rPr>
            </w:pPr>
          </w:p>
        </w:tc>
        <w:tc>
          <w:tcPr>
            <w:tcW w:w="545"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c>
          <w:tcPr>
            <w:tcW w:w="50" w:type="pct"/>
            <w:vAlign w:val="center"/>
            <w:hideMark/>
          </w:tcPr>
          <w:p w:rsidR="00000000" w:rsidRDefault="001F1FC8">
            <w:pPr>
              <w:rPr>
                <w:rFonts w:eastAsia="Times New Roman"/>
                <w:sz w:val="20"/>
                <w:szCs w:val="20"/>
              </w:rPr>
            </w:pPr>
          </w:p>
        </w:tc>
        <w:tc>
          <w:tcPr>
            <w:tcW w:w="545"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c>
          <w:tcPr>
            <w:tcW w:w="50" w:type="pct"/>
            <w:vAlign w:val="center"/>
            <w:hideMark/>
          </w:tcPr>
          <w:p w:rsidR="00000000" w:rsidRDefault="001F1FC8">
            <w:pPr>
              <w:rPr>
                <w:rFonts w:eastAsia="Times New Roman"/>
                <w:sz w:val="20"/>
                <w:szCs w:val="20"/>
              </w:rPr>
            </w:pPr>
          </w:p>
        </w:tc>
        <w:tc>
          <w:tcPr>
            <w:tcW w:w="545"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r>
      <w:tr w:rsidR="00000000">
        <w:trPr>
          <w:divId w:val="1819688045"/>
        </w:trPr>
        <w:tc>
          <w:tcPr>
            <w:tcW w:w="0" w:type="auto"/>
            <w:gridSpan w:val="3"/>
            <w:tcMar>
              <w:top w:w="30" w:type="dxa"/>
              <w:left w:w="20" w:type="dxa"/>
              <w:bottom w:w="30" w:type="dxa"/>
              <w:right w:w="20" w:type="dxa"/>
            </w:tcMar>
            <w:vAlign w:val="bottom"/>
            <w:hideMark/>
          </w:tcPr>
          <w:p w:rsidR="00000000" w:rsidRDefault="001F1FC8">
            <w:pPr>
              <w:rPr>
                <w:rFonts w:eastAsia="Times New Roman"/>
              </w:rPr>
            </w:pPr>
            <w:r>
              <w:rPr>
                <w:rFonts w:ascii="Arial" w:eastAsia="Times New Roman" w:hAnsi="Arial" w:cs="Arial"/>
                <w:b/>
                <w:bCs/>
                <w:color w:val="000000"/>
                <w:sz w:val="16"/>
                <w:szCs w:val="16"/>
              </w:rPr>
              <w:t>December 31, 2021</w:t>
            </w:r>
          </w:p>
        </w:tc>
        <w:tc>
          <w:tcPr>
            <w:tcW w:w="0" w:type="auto"/>
            <w:gridSpan w:val="3"/>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Fair Value</w:t>
            </w:r>
          </w:p>
        </w:tc>
        <w:tc>
          <w:tcPr>
            <w:tcW w:w="0" w:type="auto"/>
            <w:gridSpan w:val="3"/>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Unobservable Input</w:t>
            </w:r>
          </w:p>
        </w:tc>
        <w:tc>
          <w:tcPr>
            <w:tcW w:w="0" w:type="auto"/>
            <w:gridSpan w:val="3"/>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Minimum Price</w:t>
            </w:r>
          </w:p>
        </w:tc>
        <w:tc>
          <w:tcPr>
            <w:tcW w:w="0" w:type="auto"/>
            <w:gridSpan w:val="3"/>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Maximum Price</w:t>
            </w:r>
          </w:p>
        </w:tc>
        <w:tc>
          <w:tcPr>
            <w:tcW w:w="0" w:type="auto"/>
            <w:gridSpan w:val="3"/>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Weighted Average Price</w:t>
            </w:r>
          </w:p>
        </w:tc>
        <w:tc>
          <w:tcPr>
            <w:tcW w:w="0" w:type="auto"/>
            <w:gridSpan w:val="3"/>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Unit of Measurement</w:t>
            </w:r>
          </w:p>
        </w:tc>
      </w:tr>
      <w:tr w:rsidR="00000000">
        <w:trPr>
          <w:divId w:val="1819688045"/>
        </w:trPr>
        <w:tc>
          <w:tcPr>
            <w:tcW w:w="0" w:type="auto"/>
            <w:gridSpan w:val="3"/>
            <w:tcBorders>
              <w:top w:val="single" w:sz="4" w:space="0" w:color="000000"/>
            </w:tcBorders>
            <w:tcMar>
              <w:top w:w="30" w:type="dxa"/>
              <w:left w:w="20" w:type="dxa"/>
              <w:bottom w:w="30" w:type="dxa"/>
              <w:right w:w="20" w:type="dxa"/>
            </w:tcMar>
            <w:vAlign w:val="bottom"/>
            <w:hideMark/>
          </w:tcPr>
          <w:p w:rsidR="00000000" w:rsidRDefault="001F1FC8">
            <w:pPr>
              <w:rPr>
                <w:rFonts w:eastAsia="Times New Roman"/>
              </w:rPr>
            </w:pPr>
            <w:r>
              <w:rPr>
                <w:rFonts w:ascii="Arial" w:eastAsia="Times New Roman" w:hAnsi="Arial" w:cs="Arial"/>
                <w:i/>
                <w:iCs/>
                <w:color w:val="000000"/>
                <w:sz w:val="16"/>
                <w:szCs w:val="16"/>
              </w:rPr>
              <w:t>(fair value in millions of Canadian dollars)</w:t>
            </w:r>
          </w:p>
        </w:tc>
        <w:tc>
          <w:tcPr>
            <w:tcW w:w="0" w:type="auto"/>
            <w:gridSpan w:val="3"/>
            <w:tcBorders>
              <w:top w:val="single" w:sz="4" w:space="0" w:color="000000"/>
            </w:tcBorders>
            <w:shd w:val="clear" w:color="auto" w:fill="D9D9D9"/>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2"/>
                <w:szCs w:val="2"/>
              </w:rPr>
              <w:t> </w:t>
            </w:r>
          </w:p>
        </w:tc>
        <w:tc>
          <w:tcPr>
            <w:tcW w:w="0" w:type="auto"/>
            <w:gridSpan w:val="3"/>
            <w:tcBorders>
              <w:top w:val="single" w:sz="4" w:space="0" w:color="000000"/>
            </w:tcBorders>
            <w:shd w:val="clear" w:color="auto" w:fill="D9D9D9"/>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2"/>
                <w:szCs w:val="2"/>
              </w:rPr>
              <w:t> </w:t>
            </w:r>
          </w:p>
        </w:tc>
        <w:tc>
          <w:tcPr>
            <w:tcW w:w="0" w:type="auto"/>
            <w:gridSpan w:val="3"/>
            <w:tcBorders>
              <w:top w:val="single" w:sz="4" w:space="0" w:color="000000"/>
            </w:tcBorders>
            <w:shd w:val="clear" w:color="auto" w:fill="D9D9D9"/>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2"/>
                <w:szCs w:val="2"/>
              </w:rPr>
              <w:t> </w:t>
            </w:r>
          </w:p>
        </w:tc>
        <w:tc>
          <w:tcPr>
            <w:tcW w:w="0" w:type="auto"/>
            <w:gridSpan w:val="3"/>
            <w:tcBorders>
              <w:top w:val="single" w:sz="4" w:space="0" w:color="000000"/>
            </w:tcBorders>
            <w:shd w:val="clear" w:color="auto" w:fill="D9D9D9"/>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2"/>
                <w:szCs w:val="2"/>
              </w:rPr>
              <w:t> </w:t>
            </w:r>
          </w:p>
        </w:tc>
        <w:tc>
          <w:tcPr>
            <w:tcW w:w="0" w:type="auto"/>
            <w:gridSpan w:val="3"/>
            <w:tcBorders>
              <w:top w:val="single" w:sz="4" w:space="0" w:color="000000"/>
            </w:tcBorders>
            <w:shd w:val="clear" w:color="auto" w:fill="D9D9D9"/>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2"/>
                <w:szCs w:val="2"/>
              </w:rPr>
              <w:t> </w:t>
            </w:r>
          </w:p>
        </w:tc>
        <w:tc>
          <w:tcPr>
            <w:tcW w:w="0" w:type="auto"/>
            <w:gridSpan w:val="3"/>
            <w:tcBorders>
              <w:top w:val="single" w:sz="4" w:space="0" w:color="000000"/>
            </w:tcBorders>
            <w:shd w:val="clear" w:color="auto" w:fill="D9D9D9"/>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2"/>
                <w:szCs w:val="2"/>
              </w:rPr>
              <w:t> </w:t>
            </w:r>
          </w:p>
        </w:tc>
      </w:tr>
      <w:tr w:rsidR="00000000">
        <w:trPr>
          <w:divId w:val="1819688045"/>
        </w:trPr>
        <w:tc>
          <w:tcPr>
            <w:tcW w:w="0" w:type="auto"/>
            <w:gridSpan w:val="3"/>
            <w:tcMar>
              <w:top w:w="30" w:type="dxa"/>
              <w:left w:w="20" w:type="dxa"/>
              <w:bottom w:w="30" w:type="dxa"/>
              <w:right w:w="20" w:type="dxa"/>
            </w:tcMar>
            <w:vAlign w:val="bottom"/>
            <w:hideMark/>
          </w:tcPr>
          <w:p w:rsidR="00000000" w:rsidRDefault="001F1FC8">
            <w:pPr>
              <w:ind w:hanging="180"/>
              <w:divId w:val="543714239"/>
              <w:rPr>
                <w:rFonts w:eastAsia="Times New Roman"/>
              </w:rPr>
            </w:pPr>
            <w:r>
              <w:rPr>
                <w:rFonts w:ascii="Arial" w:eastAsia="Times New Roman" w:hAnsi="Arial" w:cs="Arial"/>
                <w:color w:val="000000"/>
                <w:sz w:val="16"/>
                <w:szCs w:val="16"/>
              </w:rPr>
              <w:t>Commodity contracts - financia</w:t>
            </w:r>
            <w:r>
              <w:rPr>
                <w:rFonts w:ascii="Arial" w:eastAsia="Times New Roman" w:hAnsi="Arial" w:cs="Arial"/>
                <w:color w:val="000000"/>
                <w:sz w:val="16"/>
                <w:szCs w:val="16"/>
              </w:rPr>
              <w:t>l</w:t>
            </w:r>
            <w:r>
              <w:rPr>
                <w:rFonts w:ascii="Arial" w:eastAsia="Times New Roman" w:hAnsi="Arial" w:cs="Arial"/>
                <w:color w:val="000000"/>
                <w:sz w:val="9"/>
                <w:szCs w:val="9"/>
              </w:rPr>
              <w:t>1</w:t>
            </w:r>
          </w:p>
        </w:tc>
        <w:tc>
          <w:tcPr>
            <w:tcW w:w="0" w:type="auto"/>
            <w:gridSpan w:val="3"/>
            <w:shd w:val="clear" w:color="auto" w:fill="D9D9D9"/>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2"/>
                <w:szCs w:val="2"/>
              </w:rPr>
              <w:t> </w:t>
            </w:r>
          </w:p>
        </w:tc>
        <w:tc>
          <w:tcPr>
            <w:tcW w:w="0" w:type="auto"/>
            <w:gridSpan w:val="3"/>
            <w:shd w:val="clear" w:color="auto" w:fill="D9D9D9"/>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2"/>
                <w:szCs w:val="2"/>
              </w:rPr>
              <w:t> </w:t>
            </w:r>
          </w:p>
        </w:tc>
        <w:tc>
          <w:tcPr>
            <w:tcW w:w="0" w:type="auto"/>
            <w:gridSpan w:val="3"/>
            <w:shd w:val="clear" w:color="auto" w:fill="D9D9D9"/>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2"/>
                <w:szCs w:val="2"/>
              </w:rPr>
              <w:t> </w:t>
            </w:r>
          </w:p>
        </w:tc>
        <w:tc>
          <w:tcPr>
            <w:tcW w:w="0" w:type="auto"/>
            <w:gridSpan w:val="3"/>
            <w:shd w:val="clear" w:color="auto" w:fill="D9D9D9"/>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2"/>
                <w:szCs w:val="2"/>
              </w:rPr>
              <w:t> </w:t>
            </w:r>
          </w:p>
        </w:tc>
        <w:tc>
          <w:tcPr>
            <w:tcW w:w="0" w:type="auto"/>
            <w:gridSpan w:val="3"/>
            <w:shd w:val="clear" w:color="auto" w:fill="D9D9D9"/>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2"/>
                <w:szCs w:val="2"/>
              </w:rPr>
              <w:t> </w:t>
            </w:r>
          </w:p>
        </w:tc>
        <w:tc>
          <w:tcPr>
            <w:tcW w:w="0" w:type="auto"/>
            <w:gridSpan w:val="3"/>
            <w:shd w:val="clear" w:color="auto" w:fill="D9D9D9"/>
            <w:tcMar>
              <w:top w:w="30" w:type="dxa"/>
              <w:left w:w="20" w:type="dxa"/>
              <w:bottom w:w="30" w:type="dxa"/>
              <w:right w:w="20" w:type="dxa"/>
            </w:tcMar>
            <w:vAlign w:val="bottom"/>
            <w:hideMark/>
          </w:tcPr>
          <w:p w:rsidR="00000000" w:rsidRDefault="001F1FC8">
            <w:pPr>
              <w:jc w:val="center"/>
              <w:rPr>
                <w:rFonts w:eastAsia="Times New Roman"/>
              </w:rPr>
            </w:pPr>
            <w:r>
              <w:rPr>
                <w:rFonts w:ascii="Arial" w:eastAsia="Times New Roman" w:hAnsi="Arial" w:cs="Arial"/>
                <w:color w:val="000000"/>
                <w:sz w:val="2"/>
                <w:szCs w:val="2"/>
              </w:rPr>
              <w:t> </w:t>
            </w:r>
          </w:p>
        </w:tc>
      </w:tr>
      <w:tr w:rsidR="00000000">
        <w:trPr>
          <w:divId w:val="1819688045"/>
        </w:trPr>
        <w:tc>
          <w:tcPr>
            <w:tcW w:w="0" w:type="auto"/>
            <w:gridSpan w:val="3"/>
            <w:tcMar>
              <w:top w:w="30" w:type="dxa"/>
              <w:left w:w="155" w:type="dxa"/>
              <w:bottom w:w="30" w:type="dxa"/>
              <w:right w:w="20" w:type="dxa"/>
            </w:tcMar>
            <w:vAlign w:val="bottom"/>
            <w:hideMark/>
          </w:tcPr>
          <w:p w:rsidR="00000000" w:rsidRDefault="001F1FC8">
            <w:pPr>
              <w:rPr>
                <w:rFonts w:eastAsia="Times New Roman"/>
              </w:rPr>
            </w:pPr>
            <w:r>
              <w:rPr>
                <w:rFonts w:ascii="Arial" w:eastAsia="Times New Roman" w:hAnsi="Arial" w:cs="Arial"/>
                <w:color w:val="000000"/>
                <w:sz w:val="16"/>
                <w:szCs w:val="16"/>
              </w:rPr>
              <w:t>Natural gas</w:t>
            </w:r>
          </w:p>
        </w:tc>
        <w:tc>
          <w:tcPr>
            <w:tcW w:w="0" w:type="auto"/>
            <w:gridSpan w:val="2"/>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6"/>
                <w:szCs w:val="16"/>
              </w:rPr>
              <w:t>(19)</w:t>
            </w:r>
          </w:p>
        </w:tc>
        <w:tc>
          <w:tcPr>
            <w:tcW w:w="0" w:type="auto"/>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3"/>
            <w:shd w:val="clear" w:color="auto" w:fill="D9D9D9"/>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b/>
                <w:bCs/>
                <w:color w:val="000000"/>
                <w:sz w:val="16"/>
                <w:szCs w:val="16"/>
              </w:rPr>
              <w:t>Forward gas price</w:t>
            </w:r>
          </w:p>
        </w:tc>
        <w:tc>
          <w:tcPr>
            <w:tcW w:w="0" w:type="auto"/>
            <w:gridSpan w:val="3"/>
            <w:shd w:val="clear" w:color="auto" w:fill="D9D9D9"/>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b/>
                <w:bCs/>
                <w:color w:val="000000"/>
                <w:sz w:val="16"/>
                <w:szCs w:val="16"/>
              </w:rPr>
              <w:t>3.12</w:t>
            </w:r>
          </w:p>
        </w:tc>
        <w:tc>
          <w:tcPr>
            <w:tcW w:w="0" w:type="auto"/>
            <w:gridSpan w:val="3"/>
            <w:shd w:val="clear" w:color="auto" w:fill="D9D9D9"/>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b/>
                <w:bCs/>
                <w:color w:val="000000"/>
                <w:sz w:val="16"/>
                <w:szCs w:val="16"/>
              </w:rPr>
              <w:t>9.05</w:t>
            </w:r>
          </w:p>
        </w:tc>
        <w:tc>
          <w:tcPr>
            <w:tcW w:w="0" w:type="auto"/>
            <w:gridSpan w:val="3"/>
            <w:shd w:val="clear" w:color="auto" w:fill="D9D9D9"/>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b/>
                <w:bCs/>
                <w:color w:val="000000"/>
                <w:sz w:val="16"/>
                <w:szCs w:val="16"/>
              </w:rPr>
              <w:t>4.49</w:t>
            </w:r>
          </w:p>
        </w:tc>
        <w:tc>
          <w:tcPr>
            <w:tcW w:w="0" w:type="auto"/>
            <w:gridSpan w:val="3"/>
            <w:shd w:val="clear" w:color="auto" w:fill="D9D9D9"/>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b/>
                <w:bCs/>
                <w:color w:val="000000"/>
                <w:sz w:val="16"/>
                <w:szCs w:val="16"/>
              </w:rPr>
              <w:t>$/mmbt</w:t>
            </w:r>
            <w:r>
              <w:rPr>
                <w:rFonts w:ascii="Arial" w:eastAsia="Times New Roman" w:hAnsi="Arial" w:cs="Arial"/>
                <w:b/>
                <w:bCs/>
                <w:color w:val="000000"/>
                <w:sz w:val="16"/>
                <w:szCs w:val="16"/>
              </w:rPr>
              <w:t>u</w:t>
            </w:r>
            <w:r>
              <w:rPr>
                <w:rFonts w:ascii="Arial" w:eastAsia="Times New Roman" w:hAnsi="Arial" w:cs="Arial"/>
                <w:b/>
                <w:bCs/>
                <w:color w:val="000000"/>
                <w:sz w:val="10"/>
                <w:szCs w:val="10"/>
              </w:rPr>
              <w:t>2</w:t>
            </w:r>
          </w:p>
        </w:tc>
      </w:tr>
      <w:tr w:rsidR="00000000">
        <w:trPr>
          <w:divId w:val="1819688045"/>
        </w:trPr>
        <w:tc>
          <w:tcPr>
            <w:tcW w:w="0" w:type="auto"/>
            <w:gridSpan w:val="3"/>
            <w:tcMar>
              <w:top w:w="30" w:type="dxa"/>
              <w:left w:w="155" w:type="dxa"/>
              <w:bottom w:w="30" w:type="dxa"/>
              <w:right w:w="20" w:type="dxa"/>
            </w:tcMar>
            <w:vAlign w:val="bottom"/>
            <w:hideMark/>
          </w:tcPr>
          <w:p w:rsidR="00000000" w:rsidRDefault="001F1FC8">
            <w:pPr>
              <w:rPr>
                <w:rFonts w:eastAsia="Times New Roman"/>
              </w:rPr>
            </w:pPr>
            <w:r>
              <w:rPr>
                <w:rFonts w:ascii="Arial" w:eastAsia="Times New Roman" w:hAnsi="Arial" w:cs="Arial"/>
                <w:color w:val="000000"/>
                <w:sz w:val="16"/>
                <w:szCs w:val="16"/>
              </w:rPr>
              <w:t>Crude</w:t>
            </w:r>
          </w:p>
        </w:tc>
        <w:tc>
          <w:tcPr>
            <w:tcW w:w="0" w:type="auto"/>
            <w:gridSpan w:val="2"/>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6"/>
                <w:szCs w:val="16"/>
              </w:rPr>
              <w:t>3</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3"/>
            <w:shd w:val="clear" w:color="auto" w:fill="D9D9D9"/>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b/>
                <w:bCs/>
                <w:color w:val="000000"/>
                <w:sz w:val="16"/>
                <w:szCs w:val="16"/>
              </w:rPr>
              <w:t>Forward crude price</w:t>
            </w:r>
          </w:p>
        </w:tc>
        <w:tc>
          <w:tcPr>
            <w:tcW w:w="0" w:type="auto"/>
            <w:gridSpan w:val="3"/>
            <w:shd w:val="clear" w:color="auto" w:fill="D9D9D9"/>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b/>
                <w:bCs/>
                <w:color w:val="000000"/>
                <w:sz w:val="16"/>
                <w:szCs w:val="16"/>
              </w:rPr>
              <w:t>76.02</w:t>
            </w:r>
          </w:p>
        </w:tc>
        <w:tc>
          <w:tcPr>
            <w:tcW w:w="0" w:type="auto"/>
            <w:gridSpan w:val="3"/>
            <w:shd w:val="clear" w:color="auto" w:fill="D9D9D9"/>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b/>
                <w:bCs/>
                <w:color w:val="000000"/>
                <w:sz w:val="16"/>
                <w:szCs w:val="16"/>
              </w:rPr>
              <w:t>98.99</w:t>
            </w:r>
          </w:p>
        </w:tc>
        <w:tc>
          <w:tcPr>
            <w:tcW w:w="0" w:type="auto"/>
            <w:gridSpan w:val="3"/>
            <w:shd w:val="clear" w:color="auto" w:fill="D9D9D9"/>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b/>
                <w:bCs/>
                <w:color w:val="000000"/>
                <w:sz w:val="16"/>
                <w:szCs w:val="16"/>
              </w:rPr>
              <w:t>91.73</w:t>
            </w:r>
          </w:p>
        </w:tc>
        <w:tc>
          <w:tcPr>
            <w:tcW w:w="0" w:type="auto"/>
            <w:gridSpan w:val="3"/>
            <w:shd w:val="clear" w:color="auto" w:fill="D9D9D9"/>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b/>
                <w:bCs/>
                <w:color w:val="000000"/>
                <w:sz w:val="16"/>
                <w:szCs w:val="16"/>
              </w:rPr>
              <w:t xml:space="preserve">$/barrel </w:t>
            </w:r>
          </w:p>
        </w:tc>
      </w:tr>
      <w:tr w:rsidR="00000000">
        <w:trPr>
          <w:divId w:val="1819688045"/>
        </w:trPr>
        <w:tc>
          <w:tcPr>
            <w:tcW w:w="0" w:type="auto"/>
            <w:gridSpan w:val="3"/>
            <w:vAlign w:val="center"/>
            <w:hideMark/>
          </w:tcPr>
          <w:p w:rsidR="00000000" w:rsidRDefault="001F1FC8">
            <w:pPr>
              <w:jc w:val="right"/>
              <w:rPr>
                <w:rFonts w:eastAsia="Times New Roman"/>
              </w:rPr>
            </w:pPr>
          </w:p>
        </w:tc>
        <w:tc>
          <w:tcPr>
            <w:tcW w:w="0" w:type="auto"/>
            <w:gridSpan w:val="3"/>
            <w:vAlign w:val="center"/>
            <w:hideMark/>
          </w:tcPr>
          <w:p w:rsidR="00000000" w:rsidRDefault="001F1FC8">
            <w:pPr>
              <w:rPr>
                <w:rFonts w:eastAsia="Times New Roman"/>
                <w:sz w:val="20"/>
                <w:szCs w:val="20"/>
              </w:rPr>
            </w:pPr>
          </w:p>
        </w:tc>
        <w:tc>
          <w:tcPr>
            <w:tcW w:w="0" w:type="auto"/>
            <w:gridSpan w:val="3"/>
            <w:vAlign w:val="center"/>
            <w:hideMark/>
          </w:tcPr>
          <w:p w:rsidR="00000000" w:rsidRDefault="001F1FC8">
            <w:pPr>
              <w:rPr>
                <w:rFonts w:eastAsia="Times New Roman"/>
                <w:sz w:val="20"/>
                <w:szCs w:val="20"/>
              </w:rPr>
            </w:pPr>
          </w:p>
        </w:tc>
        <w:tc>
          <w:tcPr>
            <w:tcW w:w="0" w:type="auto"/>
            <w:gridSpan w:val="3"/>
            <w:vAlign w:val="center"/>
            <w:hideMark/>
          </w:tcPr>
          <w:p w:rsidR="00000000" w:rsidRDefault="001F1FC8">
            <w:pPr>
              <w:rPr>
                <w:rFonts w:eastAsia="Times New Roman"/>
                <w:sz w:val="20"/>
                <w:szCs w:val="20"/>
              </w:rPr>
            </w:pPr>
          </w:p>
        </w:tc>
        <w:tc>
          <w:tcPr>
            <w:tcW w:w="0" w:type="auto"/>
            <w:gridSpan w:val="3"/>
            <w:vAlign w:val="center"/>
            <w:hideMark/>
          </w:tcPr>
          <w:p w:rsidR="00000000" w:rsidRDefault="001F1FC8">
            <w:pPr>
              <w:rPr>
                <w:rFonts w:eastAsia="Times New Roman"/>
                <w:sz w:val="20"/>
                <w:szCs w:val="20"/>
              </w:rPr>
            </w:pPr>
          </w:p>
        </w:tc>
        <w:tc>
          <w:tcPr>
            <w:tcW w:w="0" w:type="auto"/>
            <w:gridSpan w:val="3"/>
            <w:vAlign w:val="center"/>
            <w:hideMark/>
          </w:tcPr>
          <w:p w:rsidR="00000000" w:rsidRDefault="001F1FC8">
            <w:pPr>
              <w:rPr>
                <w:rFonts w:eastAsia="Times New Roman"/>
                <w:sz w:val="20"/>
                <w:szCs w:val="20"/>
              </w:rPr>
            </w:pPr>
          </w:p>
        </w:tc>
        <w:tc>
          <w:tcPr>
            <w:tcW w:w="0" w:type="auto"/>
            <w:gridSpan w:val="3"/>
            <w:vAlign w:val="center"/>
            <w:hideMark/>
          </w:tcPr>
          <w:p w:rsidR="00000000" w:rsidRDefault="001F1FC8">
            <w:pPr>
              <w:rPr>
                <w:rFonts w:eastAsia="Times New Roman"/>
                <w:sz w:val="20"/>
                <w:szCs w:val="20"/>
              </w:rPr>
            </w:pPr>
          </w:p>
        </w:tc>
      </w:tr>
      <w:tr w:rsidR="00000000">
        <w:trPr>
          <w:divId w:val="1819688045"/>
        </w:trPr>
        <w:tc>
          <w:tcPr>
            <w:tcW w:w="0" w:type="auto"/>
            <w:gridSpan w:val="3"/>
            <w:tcMar>
              <w:top w:w="30" w:type="dxa"/>
              <w:left w:w="155" w:type="dxa"/>
              <w:bottom w:w="30" w:type="dxa"/>
              <w:right w:w="20" w:type="dxa"/>
            </w:tcMar>
            <w:vAlign w:val="bottom"/>
            <w:hideMark/>
          </w:tcPr>
          <w:p w:rsidR="00000000" w:rsidRDefault="001F1FC8">
            <w:pPr>
              <w:rPr>
                <w:rFonts w:eastAsia="Times New Roman"/>
              </w:rPr>
            </w:pPr>
            <w:r>
              <w:rPr>
                <w:rFonts w:ascii="Arial" w:eastAsia="Times New Roman" w:hAnsi="Arial" w:cs="Arial"/>
                <w:color w:val="000000"/>
                <w:sz w:val="16"/>
                <w:szCs w:val="16"/>
              </w:rPr>
              <w:t>Power</w:t>
            </w:r>
          </w:p>
        </w:tc>
        <w:tc>
          <w:tcPr>
            <w:tcW w:w="0" w:type="auto"/>
            <w:gridSpan w:val="2"/>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6"/>
                <w:szCs w:val="16"/>
              </w:rPr>
              <w:t>(60)</w:t>
            </w:r>
          </w:p>
        </w:tc>
        <w:tc>
          <w:tcPr>
            <w:tcW w:w="0" w:type="auto"/>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3"/>
            <w:shd w:val="clear" w:color="auto" w:fill="D9D9D9"/>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b/>
                <w:bCs/>
                <w:color w:val="000000"/>
                <w:sz w:val="16"/>
                <w:szCs w:val="16"/>
              </w:rPr>
              <w:t>Forward power price</w:t>
            </w:r>
          </w:p>
        </w:tc>
        <w:tc>
          <w:tcPr>
            <w:tcW w:w="0" w:type="auto"/>
            <w:gridSpan w:val="3"/>
            <w:shd w:val="clear" w:color="auto" w:fill="D9D9D9"/>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b/>
                <w:bCs/>
                <w:color w:val="000000"/>
                <w:sz w:val="16"/>
                <w:szCs w:val="16"/>
              </w:rPr>
              <w:t>31.00</w:t>
            </w:r>
          </w:p>
        </w:tc>
        <w:tc>
          <w:tcPr>
            <w:tcW w:w="0" w:type="auto"/>
            <w:gridSpan w:val="3"/>
            <w:shd w:val="clear" w:color="auto" w:fill="D9D9D9"/>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b/>
                <w:bCs/>
                <w:color w:val="000000"/>
                <w:sz w:val="16"/>
                <w:szCs w:val="16"/>
              </w:rPr>
              <w:t>125.13</w:t>
            </w:r>
          </w:p>
        </w:tc>
        <w:tc>
          <w:tcPr>
            <w:tcW w:w="0" w:type="auto"/>
            <w:gridSpan w:val="3"/>
            <w:shd w:val="clear" w:color="auto" w:fill="D9D9D9"/>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b/>
                <w:bCs/>
                <w:color w:val="000000"/>
                <w:sz w:val="16"/>
                <w:szCs w:val="16"/>
              </w:rPr>
              <w:t>76.23</w:t>
            </w:r>
          </w:p>
        </w:tc>
        <w:tc>
          <w:tcPr>
            <w:tcW w:w="0" w:type="auto"/>
            <w:gridSpan w:val="3"/>
            <w:shd w:val="clear" w:color="auto" w:fill="D9D9D9"/>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b/>
                <w:bCs/>
                <w:color w:val="000000"/>
                <w:sz w:val="16"/>
                <w:szCs w:val="16"/>
              </w:rPr>
              <w:t xml:space="preserve">$/MW/H </w:t>
            </w:r>
          </w:p>
        </w:tc>
      </w:tr>
      <w:tr w:rsidR="00000000">
        <w:trPr>
          <w:divId w:val="1819688045"/>
        </w:trPr>
        <w:tc>
          <w:tcPr>
            <w:tcW w:w="0" w:type="auto"/>
            <w:gridSpan w:val="3"/>
            <w:tcMar>
              <w:top w:w="30" w:type="dxa"/>
              <w:left w:w="20" w:type="dxa"/>
              <w:bottom w:w="30" w:type="dxa"/>
              <w:right w:w="20" w:type="dxa"/>
            </w:tcMar>
            <w:vAlign w:val="bottom"/>
            <w:hideMark/>
          </w:tcPr>
          <w:p w:rsidR="00000000" w:rsidRDefault="001F1FC8">
            <w:pPr>
              <w:ind w:hanging="180"/>
              <w:divId w:val="963081927"/>
              <w:rPr>
                <w:rFonts w:eastAsia="Times New Roman"/>
              </w:rPr>
            </w:pPr>
            <w:r>
              <w:rPr>
                <w:rFonts w:ascii="Arial" w:eastAsia="Times New Roman" w:hAnsi="Arial" w:cs="Arial"/>
                <w:color w:val="000000"/>
                <w:sz w:val="16"/>
                <w:szCs w:val="16"/>
              </w:rPr>
              <w:t>Commodity contracts - physica</w:t>
            </w:r>
            <w:r>
              <w:rPr>
                <w:rFonts w:ascii="Arial" w:eastAsia="Times New Roman" w:hAnsi="Arial" w:cs="Arial"/>
                <w:color w:val="000000"/>
                <w:sz w:val="16"/>
                <w:szCs w:val="16"/>
              </w:rPr>
              <w:t>l</w:t>
            </w:r>
            <w:r>
              <w:rPr>
                <w:rFonts w:ascii="Arial" w:eastAsia="Times New Roman" w:hAnsi="Arial" w:cs="Arial"/>
                <w:color w:val="000000"/>
                <w:sz w:val="9"/>
                <w:szCs w:val="9"/>
              </w:rPr>
              <w:t>1</w:t>
            </w:r>
          </w:p>
        </w:tc>
        <w:tc>
          <w:tcPr>
            <w:tcW w:w="0" w:type="auto"/>
            <w:gridSpan w:val="3"/>
            <w:shd w:val="clear" w:color="auto" w:fill="D9D9D9"/>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b/>
                <w:bCs/>
                <w:color w:val="000000"/>
                <w:sz w:val="2"/>
                <w:szCs w:val="2"/>
              </w:rPr>
              <w:t> </w:t>
            </w:r>
          </w:p>
        </w:tc>
        <w:tc>
          <w:tcPr>
            <w:tcW w:w="0" w:type="auto"/>
            <w:gridSpan w:val="3"/>
            <w:shd w:val="clear" w:color="auto" w:fill="D9D9D9"/>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b/>
                <w:bCs/>
                <w:color w:val="000000"/>
                <w:sz w:val="2"/>
                <w:szCs w:val="2"/>
              </w:rPr>
              <w:t> </w:t>
            </w:r>
          </w:p>
        </w:tc>
        <w:tc>
          <w:tcPr>
            <w:tcW w:w="0" w:type="auto"/>
            <w:gridSpan w:val="3"/>
            <w:shd w:val="clear" w:color="auto" w:fill="D9D9D9"/>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b/>
                <w:bCs/>
                <w:color w:val="000000"/>
                <w:sz w:val="2"/>
                <w:szCs w:val="2"/>
              </w:rPr>
              <w:t> </w:t>
            </w:r>
          </w:p>
        </w:tc>
        <w:tc>
          <w:tcPr>
            <w:tcW w:w="0" w:type="auto"/>
            <w:gridSpan w:val="3"/>
            <w:shd w:val="clear" w:color="auto" w:fill="D9D9D9"/>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b/>
                <w:bCs/>
                <w:color w:val="000000"/>
                <w:sz w:val="2"/>
                <w:szCs w:val="2"/>
              </w:rPr>
              <w:t> </w:t>
            </w:r>
          </w:p>
        </w:tc>
        <w:tc>
          <w:tcPr>
            <w:tcW w:w="0" w:type="auto"/>
            <w:gridSpan w:val="3"/>
            <w:shd w:val="clear" w:color="auto" w:fill="D9D9D9"/>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b/>
                <w:bCs/>
                <w:color w:val="000000"/>
                <w:sz w:val="2"/>
                <w:szCs w:val="2"/>
              </w:rPr>
              <w:t> </w:t>
            </w:r>
          </w:p>
        </w:tc>
        <w:tc>
          <w:tcPr>
            <w:tcW w:w="0" w:type="auto"/>
            <w:gridSpan w:val="3"/>
            <w:shd w:val="clear" w:color="auto" w:fill="D9D9D9"/>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b/>
                <w:bCs/>
                <w:color w:val="000000"/>
                <w:sz w:val="2"/>
                <w:szCs w:val="2"/>
              </w:rPr>
              <w:t> </w:t>
            </w:r>
          </w:p>
        </w:tc>
      </w:tr>
      <w:tr w:rsidR="00000000">
        <w:trPr>
          <w:divId w:val="1819688045"/>
        </w:trPr>
        <w:tc>
          <w:tcPr>
            <w:tcW w:w="0" w:type="auto"/>
            <w:gridSpan w:val="3"/>
            <w:tcMar>
              <w:top w:w="30" w:type="dxa"/>
              <w:left w:w="155" w:type="dxa"/>
              <w:bottom w:w="30" w:type="dxa"/>
              <w:right w:w="20" w:type="dxa"/>
            </w:tcMar>
            <w:vAlign w:val="bottom"/>
            <w:hideMark/>
          </w:tcPr>
          <w:p w:rsidR="00000000" w:rsidRDefault="001F1FC8">
            <w:pPr>
              <w:rPr>
                <w:rFonts w:eastAsia="Times New Roman"/>
              </w:rPr>
            </w:pPr>
            <w:r>
              <w:rPr>
                <w:rFonts w:ascii="Arial" w:eastAsia="Times New Roman" w:hAnsi="Arial" w:cs="Arial"/>
                <w:color w:val="000000"/>
                <w:sz w:val="16"/>
                <w:szCs w:val="16"/>
              </w:rPr>
              <w:t>Natural gas</w:t>
            </w:r>
          </w:p>
        </w:tc>
        <w:tc>
          <w:tcPr>
            <w:tcW w:w="0" w:type="auto"/>
            <w:gridSpan w:val="2"/>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6"/>
                <w:szCs w:val="16"/>
              </w:rPr>
              <w:t>(56)</w:t>
            </w:r>
          </w:p>
        </w:tc>
        <w:tc>
          <w:tcPr>
            <w:tcW w:w="0" w:type="auto"/>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3"/>
            <w:shd w:val="clear" w:color="auto" w:fill="D9D9D9"/>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b/>
                <w:bCs/>
                <w:color w:val="000000"/>
                <w:sz w:val="16"/>
                <w:szCs w:val="16"/>
              </w:rPr>
              <w:t>Forward gas price</w:t>
            </w:r>
          </w:p>
        </w:tc>
        <w:tc>
          <w:tcPr>
            <w:tcW w:w="0" w:type="auto"/>
            <w:gridSpan w:val="3"/>
            <w:shd w:val="clear" w:color="auto" w:fill="D9D9D9"/>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b/>
                <w:bCs/>
                <w:color w:val="000000"/>
                <w:sz w:val="16"/>
                <w:szCs w:val="16"/>
              </w:rPr>
              <w:t>2.65</w:t>
            </w:r>
          </w:p>
        </w:tc>
        <w:tc>
          <w:tcPr>
            <w:tcW w:w="0" w:type="auto"/>
            <w:gridSpan w:val="3"/>
            <w:shd w:val="clear" w:color="auto" w:fill="D9D9D9"/>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b/>
                <w:bCs/>
                <w:color w:val="000000"/>
                <w:sz w:val="16"/>
                <w:szCs w:val="16"/>
              </w:rPr>
              <w:t>9.25</w:t>
            </w:r>
          </w:p>
        </w:tc>
        <w:tc>
          <w:tcPr>
            <w:tcW w:w="0" w:type="auto"/>
            <w:gridSpan w:val="3"/>
            <w:shd w:val="clear" w:color="auto" w:fill="D9D9D9"/>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b/>
                <w:bCs/>
                <w:color w:val="000000"/>
                <w:sz w:val="16"/>
                <w:szCs w:val="16"/>
              </w:rPr>
              <w:t>4.63</w:t>
            </w:r>
          </w:p>
        </w:tc>
        <w:tc>
          <w:tcPr>
            <w:tcW w:w="0" w:type="auto"/>
            <w:gridSpan w:val="3"/>
            <w:shd w:val="clear" w:color="auto" w:fill="D9D9D9"/>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b/>
                <w:bCs/>
                <w:color w:val="000000"/>
                <w:sz w:val="16"/>
                <w:szCs w:val="16"/>
              </w:rPr>
              <w:t>$/mmbt</w:t>
            </w:r>
            <w:r>
              <w:rPr>
                <w:rFonts w:ascii="Arial" w:eastAsia="Times New Roman" w:hAnsi="Arial" w:cs="Arial"/>
                <w:b/>
                <w:bCs/>
                <w:color w:val="000000"/>
                <w:sz w:val="16"/>
                <w:szCs w:val="16"/>
              </w:rPr>
              <w:t>u</w:t>
            </w:r>
            <w:r>
              <w:rPr>
                <w:rFonts w:ascii="Arial" w:eastAsia="Times New Roman" w:hAnsi="Arial" w:cs="Arial"/>
                <w:b/>
                <w:bCs/>
                <w:color w:val="000000"/>
                <w:sz w:val="10"/>
                <w:szCs w:val="10"/>
              </w:rPr>
              <w:t>2</w:t>
            </w:r>
          </w:p>
        </w:tc>
      </w:tr>
      <w:tr w:rsidR="00000000">
        <w:trPr>
          <w:divId w:val="1819688045"/>
        </w:trPr>
        <w:tc>
          <w:tcPr>
            <w:tcW w:w="0" w:type="auto"/>
            <w:gridSpan w:val="3"/>
            <w:tcMar>
              <w:top w:w="30" w:type="dxa"/>
              <w:left w:w="155" w:type="dxa"/>
              <w:bottom w:w="30" w:type="dxa"/>
              <w:right w:w="20" w:type="dxa"/>
            </w:tcMar>
            <w:vAlign w:val="bottom"/>
            <w:hideMark/>
          </w:tcPr>
          <w:p w:rsidR="00000000" w:rsidRDefault="001F1FC8">
            <w:pPr>
              <w:rPr>
                <w:rFonts w:eastAsia="Times New Roman"/>
              </w:rPr>
            </w:pPr>
            <w:r>
              <w:rPr>
                <w:rFonts w:ascii="Arial" w:eastAsia="Times New Roman" w:hAnsi="Arial" w:cs="Arial"/>
                <w:color w:val="000000"/>
                <w:sz w:val="16"/>
                <w:szCs w:val="16"/>
              </w:rPr>
              <w:t>Crude</w:t>
            </w:r>
          </w:p>
        </w:tc>
        <w:tc>
          <w:tcPr>
            <w:tcW w:w="0" w:type="auto"/>
            <w:gridSpan w:val="2"/>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6"/>
                <w:szCs w:val="16"/>
              </w:rPr>
              <w:t>24</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3"/>
            <w:shd w:val="clear" w:color="auto" w:fill="D9D9D9"/>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b/>
                <w:bCs/>
                <w:color w:val="000000"/>
                <w:sz w:val="16"/>
                <w:szCs w:val="16"/>
              </w:rPr>
              <w:t>Forward crude price</w:t>
            </w:r>
          </w:p>
        </w:tc>
        <w:tc>
          <w:tcPr>
            <w:tcW w:w="0" w:type="auto"/>
            <w:gridSpan w:val="3"/>
            <w:shd w:val="clear" w:color="auto" w:fill="D9D9D9"/>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b/>
                <w:bCs/>
                <w:color w:val="000000"/>
                <w:sz w:val="16"/>
                <w:szCs w:val="16"/>
              </w:rPr>
              <w:t>68.66</w:t>
            </w:r>
          </w:p>
        </w:tc>
        <w:tc>
          <w:tcPr>
            <w:tcW w:w="0" w:type="auto"/>
            <w:gridSpan w:val="3"/>
            <w:shd w:val="clear" w:color="auto" w:fill="D9D9D9"/>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b/>
                <w:bCs/>
                <w:color w:val="000000"/>
                <w:sz w:val="16"/>
                <w:szCs w:val="16"/>
              </w:rPr>
              <w:t>97.00</w:t>
            </w:r>
          </w:p>
        </w:tc>
        <w:tc>
          <w:tcPr>
            <w:tcW w:w="0" w:type="auto"/>
            <w:gridSpan w:val="3"/>
            <w:shd w:val="clear" w:color="auto" w:fill="D9D9D9"/>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b/>
                <w:bCs/>
                <w:color w:val="000000"/>
                <w:sz w:val="16"/>
                <w:szCs w:val="16"/>
              </w:rPr>
              <w:t>87.97</w:t>
            </w:r>
          </w:p>
        </w:tc>
        <w:tc>
          <w:tcPr>
            <w:tcW w:w="0" w:type="auto"/>
            <w:gridSpan w:val="3"/>
            <w:shd w:val="clear" w:color="auto" w:fill="D9D9D9"/>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b/>
                <w:bCs/>
                <w:color w:val="000000"/>
                <w:sz w:val="16"/>
                <w:szCs w:val="16"/>
              </w:rPr>
              <w:t xml:space="preserve">$/barrel </w:t>
            </w:r>
          </w:p>
        </w:tc>
      </w:tr>
      <w:tr w:rsidR="00000000">
        <w:trPr>
          <w:divId w:val="1819688045"/>
        </w:trPr>
        <w:tc>
          <w:tcPr>
            <w:tcW w:w="0" w:type="auto"/>
            <w:gridSpan w:val="3"/>
            <w:vAlign w:val="center"/>
            <w:hideMark/>
          </w:tcPr>
          <w:p w:rsidR="00000000" w:rsidRDefault="001F1FC8">
            <w:pPr>
              <w:jc w:val="right"/>
              <w:rPr>
                <w:rFonts w:eastAsia="Times New Roman"/>
              </w:rPr>
            </w:pPr>
          </w:p>
        </w:tc>
        <w:tc>
          <w:tcPr>
            <w:tcW w:w="0" w:type="auto"/>
            <w:gridSpan w:val="3"/>
            <w:vAlign w:val="center"/>
            <w:hideMark/>
          </w:tcPr>
          <w:p w:rsidR="00000000" w:rsidRDefault="001F1FC8">
            <w:pPr>
              <w:rPr>
                <w:rFonts w:eastAsia="Times New Roman"/>
                <w:sz w:val="20"/>
                <w:szCs w:val="20"/>
              </w:rPr>
            </w:pPr>
          </w:p>
        </w:tc>
        <w:tc>
          <w:tcPr>
            <w:tcW w:w="0" w:type="auto"/>
            <w:gridSpan w:val="3"/>
            <w:vAlign w:val="center"/>
            <w:hideMark/>
          </w:tcPr>
          <w:p w:rsidR="00000000" w:rsidRDefault="001F1FC8">
            <w:pPr>
              <w:rPr>
                <w:rFonts w:eastAsia="Times New Roman"/>
                <w:sz w:val="20"/>
                <w:szCs w:val="20"/>
              </w:rPr>
            </w:pPr>
          </w:p>
        </w:tc>
        <w:tc>
          <w:tcPr>
            <w:tcW w:w="0" w:type="auto"/>
            <w:gridSpan w:val="3"/>
            <w:vAlign w:val="center"/>
            <w:hideMark/>
          </w:tcPr>
          <w:p w:rsidR="00000000" w:rsidRDefault="001F1FC8">
            <w:pPr>
              <w:rPr>
                <w:rFonts w:eastAsia="Times New Roman"/>
                <w:sz w:val="20"/>
                <w:szCs w:val="20"/>
              </w:rPr>
            </w:pPr>
          </w:p>
        </w:tc>
        <w:tc>
          <w:tcPr>
            <w:tcW w:w="0" w:type="auto"/>
            <w:gridSpan w:val="3"/>
            <w:vAlign w:val="center"/>
            <w:hideMark/>
          </w:tcPr>
          <w:p w:rsidR="00000000" w:rsidRDefault="001F1FC8">
            <w:pPr>
              <w:rPr>
                <w:rFonts w:eastAsia="Times New Roman"/>
                <w:sz w:val="20"/>
                <w:szCs w:val="20"/>
              </w:rPr>
            </w:pPr>
          </w:p>
        </w:tc>
        <w:tc>
          <w:tcPr>
            <w:tcW w:w="0" w:type="auto"/>
            <w:gridSpan w:val="3"/>
            <w:vAlign w:val="center"/>
            <w:hideMark/>
          </w:tcPr>
          <w:p w:rsidR="00000000" w:rsidRDefault="001F1FC8">
            <w:pPr>
              <w:rPr>
                <w:rFonts w:eastAsia="Times New Roman"/>
                <w:sz w:val="20"/>
                <w:szCs w:val="20"/>
              </w:rPr>
            </w:pPr>
          </w:p>
        </w:tc>
        <w:tc>
          <w:tcPr>
            <w:tcW w:w="0" w:type="auto"/>
            <w:gridSpan w:val="3"/>
            <w:vAlign w:val="center"/>
            <w:hideMark/>
          </w:tcPr>
          <w:p w:rsidR="00000000" w:rsidRDefault="001F1FC8">
            <w:pPr>
              <w:rPr>
                <w:rFonts w:eastAsia="Times New Roman"/>
                <w:sz w:val="20"/>
                <w:szCs w:val="20"/>
              </w:rPr>
            </w:pPr>
          </w:p>
        </w:tc>
      </w:tr>
      <w:tr w:rsidR="00000000">
        <w:trPr>
          <w:divId w:val="1819688045"/>
        </w:trPr>
        <w:tc>
          <w:tcPr>
            <w:tcW w:w="0" w:type="auto"/>
            <w:gridSpan w:val="3"/>
            <w:tcBorders>
              <w:top w:val="single" w:sz="4" w:space="0" w:color="000000"/>
              <w:bottom w:val="single" w:sz="8" w:space="0" w:color="000000"/>
            </w:tcBorders>
            <w:tcMar>
              <w:top w:w="30" w:type="dxa"/>
              <w:left w:w="20" w:type="dxa"/>
              <w:bottom w:w="30" w:type="dxa"/>
              <w:right w:w="20" w:type="dxa"/>
            </w:tcMar>
            <w:hideMark/>
          </w:tcPr>
          <w:p w:rsidR="00000000" w:rsidRDefault="001F1FC8">
            <w:pPr>
              <w:rPr>
                <w:rFonts w:eastAsia="Times New Roman"/>
              </w:rPr>
            </w:pPr>
            <w:r>
              <w:rPr>
                <w:rFonts w:ascii="Arial" w:eastAsia="Times New Roman" w:hAnsi="Arial" w:cs="Arial"/>
                <w:color w:val="000000"/>
                <w:sz w:val="2"/>
                <w:szCs w:val="2"/>
              </w:rPr>
              <w:t> </w:t>
            </w:r>
          </w:p>
        </w:tc>
        <w:tc>
          <w:tcPr>
            <w:tcW w:w="0" w:type="auto"/>
            <w:gridSpan w:val="2"/>
            <w:tcBorders>
              <w:top w:val="single" w:sz="4" w:space="0" w:color="000000"/>
              <w:bottom w:val="single" w:sz="8" w:space="0" w:color="000000"/>
            </w:tcBorders>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6"/>
                <w:szCs w:val="16"/>
              </w:rPr>
              <w:t>(108)</w:t>
            </w:r>
          </w:p>
        </w:tc>
        <w:tc>
          <w:tcPr>
            <w:tcW w:w="0" w:type="auto"/>
            <w:tcBorders>
              <w:top w:val="single" w:sz="4" w:space="0" w:color="000000"/>
              <w:bottom w:val="single" w:sz="8" w:space="0" w:color="000000"/>
            </w:tcBorders>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3"/>
            <w:tcBorders>
              <w:top w:val="single" w:sz="4" w:space="0" w:color="000000"/>
              <w:bottom w:val="single" w:sz="8" w:space="0" w:color="000000"/>
            </w:tcBorders>
            <w:shd w:val="clear" w:color="auto" w:fill="D9D9D9"/>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b/>
                <w:bCs/>
                <w:color w:val="000000"/>
                <w:sz w:val="2"/>
                <w:szCs w:val="2"/>
              </w:rPr>
              <w:t> </w:t>
            </w:r>
          </w:p>
        </w:tc>
        <w:tc>
          <w:tcPr>
            <w:tcW w:w="0" w:type="auto"/>
            <w:gridSpan w:val="3"/>
            <w:tcBorders>
              <w:top w:val="single" w:sz="4" w:space="0" w:color="000000"/>
              <w:bottom w:val="single" w:sz="8" w:space="0" w:color="000000"/>
            </w:tcBorders>
            <w:shd w:val="clear" w:color="auto" w:fill="D9D9D9"/>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b/>
                <w:bCs/>
                <w:color w:val="000000"/>
                <w:sz w:val="2"/>
                <w:szCs w:val="2"/>
              </w:rPr>
              <w:t> </w:t>
            </w:r>
          </w:p>
        </w:tc>
        <w:tc>
          <w:tcPr>
            <w:tcW w:w="0" w:type="auto"/>
            <w:gridSpan w:val="3"/>
            <w:tcBorders>
              <w:top w:val="single" w:sz="4" w:space="0" w:color="000000"/>
              <w:bottom w:val="single" w:sz="8" w:space="0" w:color="000000"/>
            </w:tcBorders>
            <w:shd w:val="clear" w:color="auto" w:fill="D9D9D9"/>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b/>
                <w:bCs/>
                <w:color w:val="000000"/>
                <w:sz w:val="2"/>
                <w:szCs w:val="2"/>
              </w:rPr>
              <w:t> </w:t>
            </w:r>
          </w:p>
        </w:tc>
        <w:tc>
          <w:tcPr>
            <w:tcW w:w="0" w:type="auto"/>
            <w:gridSpan w:val="3"/>
            <w:tcBorders>
              <w:top w:val="single" w:sz="4" w:space="0" w:color="000000"/>
              <w:bottom w:val="single" w:sz="8" w:space="0" w:color="000000"/>
            </w:tcBorders>
            <w:shd w:val="clear" w:color="auto" w:fill="D9D9D9"/>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b/>
                <w:bCs/>
                <w:color w:val="000000"/>
                <w:sz w:val="2"/>
                <w:szCs w:val="2"/>
              </w:rPr>
              <w:t> </w:t>
            </w:r>
          </w:p>
        </w:tc>
        <w:tc>
          <w:tcPr>
            <w:tcW w:w="0" w:type="auto"/>
            <w:gridSpan w:val="3"/>
            <w:tcBorders>
              <w:top w:val="single" w:sz="4" w:space="0" w:color="000000"/>
              <w:bottom w:val="single" w:sz="8" w:space="0" w:color="000000"/>
            </w:tcBorders>
            <w:shd w:val="clear" w:color="auto" w:fill="D9D9D9"/>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b/>
                <w:bCs/>
                <w:color w:val="000000"/>
                <w:sz w:val="2"/>
                <w:szCs w:val="2"/>
              </w:rPr>
              <w:t> </w:t>
            </w:r>
          </w:p>
        </w:tc>
      </w:tr>
    </w:tbl>
    <w:p w:rsidR="00000000" w:rsidRDefault="001F1FC8">
      <w:pPr>
        <w:ind w:hanging="180"/>
        <w:divId w:val="1064257943"/>
        <w:rPr>
          <w:rFonts w:eastAsia="Times New Roman"/>
        </w:rPr>
      </w:pPr>
      <w:r>
        <w:rPr>
          <w:rFonts w:ascii="Arial" w:eastAsia="Times New Roman" w:hAnsi="Arial" w:cs="Arial"/>
          <w:i/>
          <w:iCs/>
          <w:color w:val="000000"/>
          <w:sz w:val="16"/>
          <w:szCs w:val="16"/>
        </w:rPr>
        <w:t>1</w:t>
      </w:r>
      <w:r>
        <w:rPr>
          <w:rFonts w:ascii="Arial" w:eastAsia="Times New Roman" w:hAnsi="Arial" w:cs="Arial"/>
          <w:i/>
          <w:iCs/>
          <w:color w:val="000000"/>
          <w:sz w:val="16"/>
          <w:szCs w:val="16"/>
        </w:rPr>
        <w:t>Financial and physical forward commodity contracts are valued using a market approach valuation technique.</w:t>
      </w:r>
    </w:p>
    <w:p w:rsidR="00000000" w:rsidRDefault="001F1FC8">
      <w:pPr>
        <w:ind w:hanging="180"/>
        <w:divId w:val="1168638276"/>
        <w:rPr>
          <w:rFonts w:eastAsia="Times New Roman"/>
        </w:rPr>
      </w:pPr>
      <w:r>
        <w:rPr>
          <w:rFonts w:ascii="Arial" w:eastAsia="Times New Roman" w:hAnsi="Arial" w:cs="Arial"/>
          <w:i/>
          <w:iCs/>
          <w:color w:val="000000"/>
          <w:sz w:val="16"/>
          <w:szCs w:val="16"/>
        </w:rPr>
        <w:t>2One million British thermal units (mmbtu).</w:t>
      </w:r>
    </w:p>
    <w:p w:rsidR="00000000" w:rsidRDefault="001F1FC8">
      <w:pPr>
        <w:jc w:val="both"/>
        <w:rPr>
          <w:rFonts w:eastAsia="Times New Roman"/>
        </w:rPr>
      </w:pPr>
      <w:r>
        <w:rPr>
          <w:rFonts w:ascii="Arial" w:eastAsia="Times New Roman" w:hAnsi="Arial" w:cs="Arial"/>
          <w:color w:val="000000"/>
          <w:sz w:val="20"/>
          <w:szCs w:val="20"/>
        </w:rPr>
        <w:t> </w:t>
      </w:r>
    </w:p>
    <w:p w:rsidR="00000000" w:rsidRDefault="001F1FC8">
      <w:pPr>
        <w:jc w:val="center"/>
        <w:divId w:val="519398097"/>
        <w:rPr>
          <w:rFonts w:eastAsia="Times New Roman"/>
        </w:rPr>
      </w:pPr>
      <w:r>
        <w:rPr>
          <w:rFonts w:ascii="Arial" w:eastAsia="Times New Roman" w:hAnsi="Arial" w:cs="Arial"/>
          <w:color w:val="000000"/>
          <w:sz w:val="20"/>
          <w:szCs w:val="20"/>
        </w:rPr>
        <w:t>159</w:t>
      </w:r>
    </w:p>
    <w:p w:rsidR="00000000" w:rsidRDefault="001F1FC8">
      <w:pPr>
        <w:rPr>
          <w:rFonts w:eastAsia="Times New Roman"/>
        </w:rPr>
      </w:pPr>
      <w:r>
        <w:rPr>
          <w:rFonts w:eastAsia="Times New Roman"/>
        </w:rPr>
        <w:pict>
          <v:rect id="_x0000_i1189" style="width:0;height:1.5pt" o:hralign="center" o:hrstd="t" o:hr="t" fillcolor="#a0a0a0" stroked="f"/>
        </w:pict>
      </w:r>
    </w:p>
    <w:p w:rsidR="00000000" w:rsidRDefault="001F1FC8">
      <w:pPr>
        <w:jc w:val="center"/>
        <w:divId w:val="724910194"/>
        <w:rPr>
          <w:rFonts w:eastAsia="Times New Roman"/>
        </w:rPr>
      </w:pPr>
    </w:p>
    <w:p w:rsidR="00000000" w:rsidRDefault="001F1FC8">
      <w:pPr>
        <w:divId w:val="18245298"/>
        <w:rPr>
          <w:rFonts w:eastAsia="Times New Roman"/>
        </w:rPr>
      </w:pPr>
      <w:r>
        <w:rPr>
          <w:rFonts w:ascii="Arial" w:eastAsia="Times New Roman" w:hAnsi="Arial" w:cs="Arial"/>
          <w:color w:val="000000"/>
          <w:sz w:val="20"/>
          <w:szCs w:val="20"/>
        </w:rPr>
        <w:t>If adjusted, the significant unobservable inputs disclosed in the table above would have a direct impact on the fair value of our Level 3 derivative instruments. The significant unobservable inputs used in the fair val</w:t>
      </w:r>
      <w:r>
        <w:rPr>
          <w:rFonts w:ascii="Arial" w:eastAsia="Times New Roman" w:hAnsi="Arial" w:cs="Arial"/>
          <w:color w:val="000000"/>
          <w:sz w:val="20"/>
          <w:szCs w:val="20"/>
        </w:rPr>
        <w:t>ue measurement of Level 3 derivative instruments include forward commodity prices, and for option contracts, price volatility. Changes in forward commodity prices could result in significantly different fair values for our Level 3 derivatives. Changes in p</w:t>
      </w:r>
      <w:r>
        <w:rPr>
          <w:rFonts w:ascii="Arial" w:eastAsia="Times New Roman" w:hAnsi="Arial" w:cs="Arial"/>
          <w:color w:val="000000"/>
          <w:sz w:val="20"/>
          <w:szCs w:val="20"/>
        </w:rPr>
        <w:t>rice volatility would change the value of the option contracts. Generally, a change in the estimate of forward commodity prices is unrelated to a change in the estimate of price volatility.</w:t>
      </w:r>
    </w:p>
    <w:p w:rsidR="00000000" w:rsidRDefault="001F1FC8">
      <w:pPr>
        <w:divId w:val="1562710033"/>
        <w:rPr>
          <w:rFonts w:eastAsia="Times New Roman"/>
        </w:rPr>
      </w:pPr>
    </w:p>
    <w:p w:rsidR="00000000" w:rsidRDefault="001F1FC8">
      <w:pPr>
        <w:divId w:val="1581329207"/>
        <w:rPr>
          <w:rFonts w:eastAsia="Times New Roman"/>
        </w:rPr>
      </w:pPr>
      <w:r>
        <w:rPr>
          <w:rFonts w:ascii="Arial" w:eastAsia="Times New Roman" w:hAnsi="Arial" w:cs="Arial"/>
          <w:color w:val="000000"/>
          <w:sz w:val="20"/>
          <w:szCs w:val="20"/>
        </w:rPr>
        <w:t>Changes in net fair value of derivative assets and liabilities c</w:t>
      </w:r>
      <w:r>
        <w:rPr>
          <w:rFonts w:ascii="Arial" w:eastAsia="Times New Roman" w:hAnsi="Arial" w:cs="Arial"/>
          <w:color w:val="000000"/>
          <w:sz w:val="20"/>
          <w:szCs w:val="20"/>
        </w:rPr>
        <w:t>lassified as Level 3 in the fair value hierarchy were as follows:</w:t>
      </w:r>
    </w:p>
    <w:tbl>
      <w:tblPr>
        <w:tblW w:w="4967" w:type="pct"/>
        <w:tblCellMar>
          <w:top w:w="15" w:type="dxa"/>
          <w:left w:w="15" w:type="dxa"/>
          <w:bottom w:w="15" w:type="dxa"/>
          <w:right w:w="15" w:type="dxa"/>
        </w:tblCellMar>
        <w:tblLook w:val="04A0" w:firstRow="1" w:lastRow="0" w:firstColumn="1" w:lastColumn="0" w:noHBand="0" w:noVBand="1"/>
      </w:tblPr>
      <w:tblGrid>
        <w:gridCol w:w="68"/>
        <w:gridCol w:w="6497"/>
        <w:gridCol w:w="37"/>
        <w:gridCol w:w="69"/>
        <w:gridCol w:w="786"/>
        <w:gridCol w:w="36"/>
        <w:gridCol w:w="69"/>
        <w:gridCol w:w="653"/>
        <w:gridCol w:w="36"/>
      </w:tblGrid>
      <w:tr w:rsidR="00000000">
        <w:trPr>
          <w:divId w:val="69086572"/>
        </w:trPr>
        <w:tc>
          <w:tcPr>
            <w:tcW w:w="50" w:type="pct"/>
            <w:vAlign w:val="center"/>
            <w:hideMark/>
          </w:tcPr>
          <w:p w:rsidR="00000000" w:rsidRDefault="001F1FC8">
            <w:pPr>
              <w:rPr>
                <w:rFonts w:eastAsia="Times New Roman"/>
              </w:rPr>
            </w:pPr>
          </w:p>
        </w:tc>
        <w:tc>
          <w:tcPr>
            <w:tcW w:w="3945"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c>
          <w:tcPr>
            <w:tcW w:w="50" w:type="pct"/>
            <w:vAlign w:val="center"/>
            <w:hideMark/>
          </w:tcPr>
          <w:p w:rsidR="00000000" w:rsidRDefault="001F1FC8">
            <w:pPr>
              <w:rPr>
                <w:rFonts w:eastAsia="Times New Roman"/>
                <w:sz w:val="20"/>
                <w:szCs w:val="20"/>
              </w:rPr>
            </w:pPr>
          </w:p>
        </w:tc>
        <w:tc>
          <w:tcPr>
            <w:tcW w:w="485"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c>
          <w:tcPr>
            <w:tcW w:w="50" w:type="pct"/>
            <w:vAlign w:val="center"/>
            <w:hideMark/>
          </w:tcPr>
          <w:p w:rsidR="00000000" w:rsidRDefault="001F1FC8">
            <w:pPr>
              <w:rPr>
                <w:rFonts w:eastAsia="Times New Roman"/>
                <w:sz w:val="20"/>
                <w:szCs w:val="20"/>
              </w:rPr>
            </w:pPr>
          </w:p>
        </w:tc>
        <w:tc>
          <w:tcPr>
            <w:tcW w:w="404"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r>
      <w:tr w:rsidR="00000000">
        <w:trPr>
          <w:divId w:val="69086572"/>
        </w:trPr>
        <w:tc>
          <w:tcPr>
            <w:tcW w:w="0" w:type="auto"/>
            <w:gridSpan w:val="3"/>
            <w:tcMar>
              <w:top w:w="30" w:type="dxa"/>
              <w:left w:w="20" w:type="dxa"/>
              <w:bottom w:w="30" w:type="dxa"/>
              <w:right w:w="20" w:type="dxa"/>
            </w:tcMar>
            <w:hideMark/>
          </w:tcPr>
          <w:p w:rsidR="00000000" w:rsidRDefault="001F1FC8">
            <w:pPr>
              <w:jc w:val="both"/>
              <w:rPr>
                <w:rFonts w:eastAsia="Times New Roman"/>
              </w:rPr>
            </w:pPr>
            <w:r>
              <w:rPr>
                <w:rFonts w:ascii="Arial" w:eastAsia="Times New Roman" w:hAnsi="Arial" w:cs="Arial"/>
                <w:color w:val="000000"/>
                <w:sz w:val="20"/>
                <w:szCs w:val="20"/>
              </w:rPr>
              <w:t>Year ended December 31,</w:t>
            </w:r>
          </w:p>
        </w:tc>
        <w:tc>
          <w:tcPr>
            <w:tcW w:w="0" w:type="auto"/>
            <w:gridSpan w:val="3"/>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b/>
                <w:bCs/>
                <w:color w:val="000000"/>
                <w:sz w:val="20"/>
                <w:szCs w:val="20"/>
              </w:rPr>
              <w:t>2021</w:t>
            </w:r>
          </w:p>
        </w:tc>
        <w:tc>
          <w:tcPr>
            <w:tcW w:w="0" w:type="auto"/>
            <w:gridSpan w:val="3"/>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2020</w:t>
            </w:r>
          </w:p>
        </w:tc>
      </w:tr>
      <w:tr w:rsidR="00000000">
        <w:trPr>
          <w:divId w:val="69086572"/>
        </w:trPr>
        <w:tc>
          <w:tcPr>
            <w:tcW w:w="0" w:type="auto"/>
            <w:gridSpan w:val="3"/>
            <w:tcBorders>
              <w:top w:val="single" w:sz="4" w:space="0" w:color="000000"/>
            </w:tcBorders>
            <w:tcMar>
              <w:top w:w="30" w:type="dxa"/>
              <w:left w:w="20" w:type="dxa"/>
              <w:bottom w:w="30" w:type="dxa"/>
              <w:right w:w="20" w:type="dxa"/>
            </w:tcMar>
            <w:hideMark/>
          </w:tcPr>
          <w:p w:rsidR="00000000" w:rsidRDefault="001F1FC8">
            <w:pPr>
              <w:rPr>
                <w:rFonts w:eastAsia="Times New Roman"/>
              </w:rPr>
            </w:pPr>
            <w:r>
              <w:rPr>
                <w:rFonts w:ascii="Arial" w:eastAsia="Times New Roman" w:hAnsi="Arial" w:cs="Arial"/>
                <w:i/>
                <w:iCs/>
                <w:color w:val="000000"/>
                <w:sz w:val="16"/>
                <w:szCs w:val="16"/>
              </w:rPr>
              <w:t>(millions of Canadian dollars)</w:t>
            </w:r>
          </w:p>
        </w:tc>
        <w:tc>
          <w:tcPr>
            <w:tcW w:w="0" w:type="auto"/>
            <w:gridSpan w:val="3"/>
            <w:tcBorders>
              <w:top w:val="single" w:sz="4" w:space="0" w:color="000000"/>
            </w:tcBorders>
            <w:shd w:val="clear" w:color="auto" w:fill="D9D9D9"/>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2"/>
                <w:szCs w:val="2"/>
              </w:rPr>
              <w:t> </w:t>
            </w: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2"/>
                <w:szCs w:val="2"/>
              </w:rPr>
              <w:t> </w:t>
            </w:r>
          </w:p>
        </w:tc>
      </w:tr>
      <w:tr w:rsidR="00000000">
        <w:trPr>
          <w:divId w:val="69086572"/>
        </w:trPr>
        <w:tc>
          <w:tcPr>
            <w:tcW w:w="0" w:type="auto"/>
            <w:gridSpan w:val="3"/>
            <w:tcMar>
              <w:top w:w="30" w:type="dxa"/>
              <w:left w:w="20" w:type="dxa"/>
              <w:bottom w:w="30" w:type="dxa"/>
              <w:right w:w="20" w:type="dxa"/>
            </w:tcMar>
            <w:hideMark/>
          </w:tcPr>
          <w:p w:rsidR="00000000" w:rsidRDefault="001F1FC8">
            <w:pPr>
              <w:rPr>
                <w:rFonts w:eastAsia="Times New Roman"/>
              </w:rPr>
            </w:pPr>
            <w:r>
              <w:rPr>
                <w:rFonts w:ascii="Arial" w:eastAsia="Times New Roman" w:hAnsi="Arial" w:cs="Arial"/>
                <w:color w:val="000000"/>
                <w:sz w:val="20"/>
                <w:szCs w:val="20"/>
              </w:rPr>
              <w:t>Level 3 net derivative liability at beginning of period</w:t>
            </w:r>
          </w:p>
        </w:tc>
        <w:tc>
          <w:tcPr>
            <w:tcW w:w="0" w:type="auto"/>
            <w:gridSpan w:val="2"/>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20"/>
                <w:szCs w:val="20"/>
              </w:rPr>
              <w:t>(191)</w:t>
            </w:r>
          </w:p>
        </w:tc>
        <w:tc>
          <w:tcPr>
            <w:tcW w:w="0" w:type="auto"/>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(69)</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r>
      <w:tr w:rsidR="00000000">
        <w:trPr>
          <w:divId w:val="69086572"/>
        </w:trPr>
        <w:tc>
          <w:tcPr>
            <w:tcW w:w="0" w:type="auto"/>
            <w:gridSpan w:val="3"/>
            <w:tcMar>
              <w:top w:w="30" w:type="dxa"/>
              <w:left w:w="20" w:type="dxa"/>
              <w:bottom w:w="30" w:type="dxa"/>
              <w:right w:w="20" w:type="dxa"/>
            </w:tcMar>
            <w:hideMark/>
          </w:tcPr>
          <w:p w:rsidR="00000000" w:rsidRDefault="001F1FC8">
            <w:pPr>
              <w:rPr>
                <w:rFonts w:eastAsia="Times New Roman"/>
              </w:rPr>
            </w:pPr>
            <w:r>
              <w:rPr>
                <w:rFonts w:ascii="Arial" w:eastAsia="Times New Roman" w:hAnsi="Arial" w:cs="Arial"/>
                <w:color w:val="000000"/>
                <w:sz w:val="20"/>
                <w:szCs w:val="20"/>
              </w:rPr>
              <w:t>Total gain/(loss)</w:t>
            </w:r>
          </w:p>
        </w:tc>
        <w:tc>
          <w:tcPr>
            <w:tcW w:w="0" w:type="auto"/>
            <w:gridSpan w:val="3"/>
            <w:shd w:val="clear" w:color="auto" w:fill="D9D9D9"/>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2"/>
                <w:szCs w:val="2"/>
              </w:rPr>
              <w:t> </w:t>
            </w:r>
          </w:p>
        </w:tc>
        <w:tc>
          <w:tcPr>
            <w:tcW w:w="0" w:type="auto"/>
            <w:gridSpan w:val="3"/>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2"/>
                <w:szCs w:val="2"/>
              </w:rPr>
              <w:t> </w:t>
            </w:r>
          </w:p>
        </w:tc>
      </w:tr>
      <w:tr w:rsidR="00000000">
        <w:trPr>
          <w:divId w:val="69086572"/>
        </w:trPr>
        <w:tc>
          <w:tcPr>
            <w:tcW w:w="0" w:type="auto"/>
            <w:gridSpan w:val="3"/>
            <w:tcMar>
              <w:top w:w="30" w:type="dxa"/>
              <w:left w:w="20" w:type="dxa"/>
              <w:bottom w:w="30" w:type="dxa"/>
              <w:right w:w="20" w:type="dxa"/>
            </w:tcMar>
            <w:vAlign w:val="bottom"/>
            <w:hideMark/>
          </w:tcPr>
          <w:p w:rsidR="00000000" w:rsidRDefault="001F1FC8">
            <w:pPr>
              <w:divId w:val="2027562287"/>
              <w:rPr>
                <w:rFonts w:eastAsia="Times New Roman"/>
              </w:rPr>
            </w:pPr>
            <w:r>
              <w:rPr>
                <w:rFonts w:ascii="Arial" w:eastAsia="Times New Roman" w:hAnsi="Arial" w:cs="Arial"/>
                <w:color w:val="000000"/>
                <w:sz w:val="20"/>
                <w:szCs w:val="20"/>
              </w:rPr>
              <w:t>Included in earning</w:t>
            </w:r>
            <w:r>
              <w:rPr>
                <w:rFonts w:ascii="Arial" w:eastAsia="Times New Roman" w:hAnsi="Arial" w:cs="Arial"/>
                <w:color w:val="000000"/>
                <w:sz w:val="20"/>
                <w:szCs w:val="20"/>
              </w:rPr>
              <w:t>s</w:t>
            </w:r>
            <w:r>
              <w:rPr>
                <w:rFonts w:ascii="Arial" w:eastAsia="Times New Roman" w:hAnsi="Arial" w:cs="Arial"/>
                <w:color w:val="000000"/>
                <w:sz w:val="10"/>
                <w:szCs w:val="10"/>
              </w:rPr>
              <w:t>1</w:t>
            </w:r>
          </w:p>
        </w:tc>
        <w:tc>
          <w:tcPr>
            <w:tcW w:w="0" w:type="auto"/>
            <w:gridSpan w:val="2"/>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20"/>
                <w:szCs w:val="20"/>
              </w:rPr>
              <w:t>(39)</w:t>
            </w:r>
          </w:p>
        </w:tc>
        <w:tc>
          <w:tcPr>
            <w:tcW w:w="0" w:type="auto"/>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(123)</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r>
      <w:tr w:rsidR="00000000">
        <w:trPr>
          <w:divId w:val="69086572"/>
        </w:trPr>
        <w:tc>
          <w:tcPr>
            <w:tcW w:w="0" w:type="auto"/>
            <w:gridSpan w:val="3"/>
            <w:tcMar>
              <w:top w:w="30" w:type="dxa"/>
              <w:left w:w="200" w:type="dxa"/>
              <w:bottom w:w="30" w:type="dxa"/>
              <w:right w:w="20" w:type="dxa"/>
            </w:tcMar>
            <w:vAlign w:val="bottom"/>
            <w:hideMark/>
          </w:tcPr>
          <w:p w:rsidR="00000000" w:rsidRDefault="001F1FC8">
            <w:pPr>
              <w:rPr>
                <w:rFonts w:eastAsia="Times New Roman"/>
              </w:rPr>
            </w:pPr>
            <w:r>
              <w:rPr>
                <w:rFonts w:ascii="Arial" w:eastAsia="Times New Roman" w:hAnsi="Arial" w:cs="Arial"/>
                <w:color w:val="000000"/>
                <w:sz w:val="20"/>
                <w:szCs w:val="20"/>
              </w:rPr>
              <w:t>Included in OCI</w:t>
            </w:r>
          </w:p>
        </w:tc>
        <w:tc>
          <w:tcPr>
            <w:tcW w:w="0" w:type="auto"/>
            <w:gridSpan w:val="2"/>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20"/>
                <w:szCs w:val="20"/>
              </w:rPr>
              <w:t>(29)</w:t>
            </w:r>
          </w:p>
        </w:tc>
        <w:tc>
          <w:tcPr>
            <w:tcW w:w="0" w:type="auto"/>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2 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r>
      <w:tr w:rsidR="00000000">
        <w:trPr>
          <w:divId w:val="69086572"/>
        </w:trPr>
        <w:tc>
          <w:tcPr>
            <w:tcW w:w="0" w:type="auto"/>
            <w:gridSpan w:val="3"/>
            <w:tcMar>
              <w:top w:w="30" w:type="dxa"/>
              <w:left w:w="20" w:type="dxa"/>
              <w:bottom w:w="30" w:type="dxa"/>
              <w:right w:w="20" w:type="dxa"/>
            </w:tcMar>
            <w:vAlign w:val="bottom"/>
            <w:hideMark/>
          </w:tcPr>
          <w:p w:rsidR="00000000" w:rsidRDefault="001F1FC8">
            <w:pPr>
              <w:rPr>
                <w:rFonts w:eastAsia="Times New Roman"/>
              </w:rPr>
            </w:pPr>
            <w:r>
              <w:rPr>
                <w:rFonts w:ascii="Arial" w:eastAsia="Times New Roman" w:hAnsi="Arial" w:cs="Arial"/>
                <w:color w:val="000000"/>
                <w:sz w:val="20"/>
                <w:szCs w:val="20"/>
              </w:rPr>
              <w:t>Settlements</w:t>
            </w:r>
          </w:p>
        </w:tc>
        <w:tc>
          <w:tcPr>
            <w:tcW w:w="0" w:type="auto"/>
            <w:gridSpan w:val="2"/>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20"/>
                <w:szCs w:val="20"/>
              </w:rPr>
              <w:t>151</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(1)</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r>
      <w:tr w:rsidR="00000000">
        <w:trPr>
          <w:divId w:val="69086572"/>
        </w:trPr>
        <w:tc>
          <w:tcPr>
            <w:tcW w:w="0" w:type="auto"/>
            <w:gridSpan w:val="3"/>
            <w:tcBorders>
              <w:top w:val="single" w:sz="4" w:space="0" w:color="000000"/>
              <w:bottom w:val="single" w:sz="8" w:space="0" w:color="000000"/>
            </w:tcBorders>
            <w:tcMar>
              <w:top w:w="30" w:type="dxa"/>
              <w:left w:w="20" w:type="dxa"/>
              <w:bottom w:w="30" w:type="dxa"/>
              <w:right w:w="20" w:type="dxa"/>
            </w:tcMar>
            <w:hideMark/>
          </w:tcPr>
          <w:p w:rsidR="00000000" w:rsidRDefault="001F1FC8">
            <w:pPr>
              <w:rPr>
                <w:rFonts w:eastAsia="Times New Roman"/>
              </w:rPr>
            </w:pPr>
            <w:r>
              <w:rPr>
                <w:rFonts w:ascii="Arial" w:eastAsia="Times New Roman" w:hAnsi="Arial" w:cs="Arial"/>
                <w:color w:val="000000"/>
                <w:sz w:val="20"/>
                <w:szCs w:val="20"/>
              </w:rPr>
              <w:t>Level 3 net derivative liability at end of period</w:t>
            </w:r>
          </w:p>
        </w:tc>
        <w:tc>
          <w:tcPr>
            <w:tcW w:w="0" w:type="auto"/>
            <w:gridSpan w:val="2"/>
            <w:tcBorders>
              <w:top w:val="single" w:sz="4" w:space="0" w:color="000000"/>
              <w:bottom w:val="single" w:sz="8" w:space="0" w:color="000000"/>
            </w:tcBorders>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20"/>
                <w:szCs w:val="20"/>
              </w:rPr>
              <w:t>(108)</w:t>
            </w:r>
          </w:p>
        </w:tc>
        <w:tc>
          <w:tcPr>
            <w:tcW w:w="0" w:type="auto"/>
            <w:tcBorders>
              <w:top w:val="single" w:sz="4" w:space="0" w:color="000000"/>
              <w:bottom w:val="single" w:sz="8" w:space="0" w:color="000000"/>
            </w:tcBorders>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Borders>
              <w:top w:val="single" w:sz="4" w:space="0" w:color="000000"/>
              <w:bottom w:val="single" w:sz="8" w:space="0" w:color="000000"/>
            </w:tcBorders>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(191)</w:t>
            </w:r>
          </w:p>
        </w:tc>
        <w:tc>
          <w:tcPr>
            <w:tcW w:w="0" w:type="auto"/>
            <w:tcBorders>
              <w:top w:val="single" w:sz="4" w:space="0" w:color="000000"/>
              <w:bottom w:val="single" w:sz="8" w:space="0" w:color="000000"/>
            </w:tcBorders>
            <w:tcMar>
              <w:top w:w="30" w:type="dxa"/>
              <w:left w:w="0" w:type="dxa"/>
              <w:bottom w:w="30" w:type="dxa"/>
              <w:right w:w="20" w:type="dxa"/>
            </w:tcMar>
            <w:vAlign w:val="bottom"/>
            <w:hideMark/>
          </w:tcPr>
          <w:p w:rsidR="00000000" w:rsidRDefault="001F1FC8">
            <w:pPr>
              <w:jc w:val="right"/>
              <w:rPr>
                <w:rFonts w:eastAsia="Times New Roman"/>
              </w:rPr>
            </w:pPr>
          </w:p>
        </w:tc>
      </w:tr>
    </w:tbl>
    <w:p w:rsidR="00000000" w:rsidRDefault="001F1FC8">
      <w:pPr>
        <w:ind w:hanging="180"/>
        <w:divId w:val="374281534"/>
        <w:rPr>
          <w:rFonts w:eastAsia="Times New Roman"/>
        </w:rPr>
      </w:pPr>
      <w:r>
        <w:rPr>
          <w:rFonts w:ascii="Arial" w:eastAsia="Times New Roman" w:hAnsi="Arial" w:cs="Arial"/>
          <w:i/>
          <w:iCs/>
          <w:color w:val="000000"/>
          <w:sz w:val="16"/>
          <w:szCs w:val="16"/>
        </w:rPr>
        <w:t>1</w:t>
      </w:r>
      <w:r>
        <w:rPr>
          <w:rFonts w:ascii="Arial" w:eastAsia="Times New Roman" w:hAnsi="Arial" w:cs="Arial"/>
          <w:i/>
          <w:iCs/>
          <w:color w:val="000000"/>
          <w:sz w:val="16"/>
          <w:szCs w:val="16"/>
        </w:rPr>
        <w:t>Reported within Transportation and other services revenue, Commodity costs and Operating and administrative expenses in the Consolidated Statements of Earnings.</w:t>
      </w:r>
    </w:p>
    <w:p w:rsidR="00000000" w:rsidRDefault="001F1FC8">
      <w:pPr>
        <w:divId w:val="66848981"/>
        <w:rPr>
          <w:rFonts w:eastAsia="Times New Roman"/>
        </w:rPr>
      </w:pPr>
      <w:r>
        <w:rPr>
          <w:rFonts w:ascii="Arial" w:eastAsia="Times New Roman" w:hAnsi="Arial" w:cs="Arial"/>
          <w:color w:val="000000"/>
          <w:sz w:val="20"/>
          <w:szCs w:val="20"/>
        </w:rPr>
        <w:t> </w:t>
      </w:r>
    </w:p>
    <w:p w:rsidR="00000000" w:rsidRDefault="001F1FC8">
      <w:pPr>
        <w:divId w:val="1262180513"/>
        <w:rPr>
          <w:rFonts w:eastAsia="Times New Roman"/>
        </w:rPr>
      </w:pPr>
      <w:r>
        <w:rPr>
          <w:rFonts w:ascii="Arial" w:eastAsia="Times New Roman" w:hAnsi="Arial" w:cs="Arial"/>
          <w:color w:val="000000"/>
          <w:sz w:val="20"/>
          <w:szCs w:val="20"/>
        </w:rPr>
        <w:t>There were no transfers into or out of Level 3 as at December 31, 2021 or 2020.</w:t>
      </w:r>
    </w:p>
    <w:p w:rsidR="00000000" w:rsidRDefault="001F1FC8">
      <w:pPr>
        <w:divId w:val="1215697518"/>
        <w:rPr>
          <w:rFonts w:eastAsia="Times New Roman"/>
        </w:rPr>
      </w:pPr>
    </w:p>
    <w:p w:rsidR="00000000" w:rsidRDefault="001F1FC8">
      <w:pPr>
        <w:divId w:val="51392483"/>
        <w:rPr>
          <w:rFonts w:eastAsia="Times New Roman"/>
        </w:rPr>
      </w:pPr>
      <w:r>
        <w:rPr>
          <w:rFonts w:ascii="Arial" w:eastAsia="Times New Roman" w:hAnsi="Arial" w:cs="Arial"/>
          <w:b/>
          <w:bCs/>
          <w:color w:val="000000"/>
          <w:sz w:val="20"/>
          <w:szCs w:val="20"/>
        </w:rPr>
        <w:t>NET INVESTM</w:t>
      </w:r>
      <w:r>
        <w:rPr>
          <w:rFonts w:ascii="Arial" w:eastAsia="Times New Roman" w:hAnsi="Arial" w:cs="Arial"/>
          <w:b/>
          <w:bCs/>
          <w:color w:val="000000"/>
          <w:sz w:val="20"/>
          <w:szCs w:val="20"/>
        </w:rPr>
        <w:t>ENT HEDGES</w:t>
      </w:r>
    </w:p>
    <w:p w:rsidR="00000000" w:rsidRDefault="001F1FC8">
      <w:pPr>
        <w:divId w:val="839851250"/>
        <w:rPr>
          <w:rFonts w:eastAsia="Times New Roman"/>
        </w:rPr>
      </w:pPr>
      <w:r>
        <w:rPr>
          <w:rFonts w:ascii="Arial" w:eastAsia="Times New Roman" w:hAnsi="Arial" w:cs="Arial"/>
          <w:color w:val="000000"/>
          <w:sz w:val="20"/>
          <w:szCs w:val="20"/>
        </w:rPr>
        <w:t>We have designated a portion of our US dollar denominated debt, as well as a portfolio of foreign exchange forward contracts, as a hedge of our net investment in US dollar denominated investments and subsidiaries.</w:t>
      </w:r>
    </w:p>
    <w:p w:rsidR="00000000" w:rsidRDefault="001F1FC8">
      <w:pPr>
        <w:divId w:val="2038192556"/>
        <w:rPr>
          <w:rFonts w:eastAsia="Times New Roman"/>
        </w:rPr>
      </w:pPr>
      <w:r>
        <w:rPr>
          <w:rFonts w:ascii="Arial" w:eastAsia="Times New Roman" w:hAnsi="Arial" w:cs="Arial"/>
          <w:color w:val="000000"/>
          <w:sz w:val="20"/>
          <w:szCs w:val="20"/>
        </w:rPr>
        <w:t> </w:t>
      </w:r>
    </w:p>
    <w:p w:rsidR="00000000" w:rsidRDefault="001F1FC8">
      <w:pPr>
        <w:divId w:val="883752978"/>
        <w:rPr>
          <w:rFonts w:eastAsia="Times New Roman"/>
        </w:rPr>
      </w:pPr>
      <w:r>
        <w:rPr>
          <w:rFonts w:ascii="Arial" w:eastAsia="Times New Roman" w:hAnsi="Arial" w:cs="Arial"/>
          <w:color w:val="000000"/>
          <w:sz w:val="20"/>
          <w:szCs w:val="20"/>
        </w:rPr>
        <w:t>During the years ended Decemb</w:t>
      </w:r>
      <w:r>
        <w:rPr>
          <w:rFonts w:ascii="Arial" w:eastAsia="Times New Roman" w:hAnsi="Arial" w:cs="Arial"/>
          <w:color w:val="000000"/>
          <w:sz w:val="20"/>
          <w:szCs w:val="20"/>
        </w:rPr>
        <w:t>er 31, 2021 and 2020, we recognized unrealized foreign exchange gains of $49 million and $117 million, respectively, on the translation of US dollar denominated debt and an unrealized gain on the change in fair value of our outstanding foreign exchange for</w:t>
      </w:r>
      <w:r>
        <w:rPr>
          <w:rFonts w:ascii="Arial" w:eastAsia="Times New Roman" w:hAnsi="Arial" w:cs="Arial"/>
          <w:color w:val="000000"/>
          <w:sz w:val="20"/>
          <w:szCs w:val="20"/>
        </w:rPr>
        <w:t>ward contracts of nil and $13 million, respectively, in OCI. During the years ended December 31, 2021 and 2020, we recognized a realized loss of nil and $15 million, respectively, in OCI associated with the settlement of foreign exchange forward contracts.</w:t>
      </w:r>
      <w:r>
        <w:rPr>
          <w:rFonts w:ascii="Arial" w:eastAsia="Times New Roman" w:hAnsi="Arial" w:cs="Arial"/>
          <w:color w:val="000000"/>
          <w:sz w:val="20"/>
          <w:szCs w:val="20"/>
        </w:rPr>
        <w:t xml:space="preserve"> No realized gains or losses associated with the settlement of US dollar denominated debt that had matured during the period were recognized in OCI during the years ended December 31, 2021 and 2020.</w:t>
      </w:r>
    </w:p>
    <w:p w:rsidR="00000000" w:rsidRDefault="001F1FC8">
      <w:pPr>
        <w:divId w:val="1159540222"/>
        <w:rPr>
          <w:rFonts w:eastAsia="Times New Roman"/>
        </w:rPr>
      </w:pPr>
    </w:p>
    <w:p w:rsidR="00000000" w:rsidRDefault="001F1FC8">
      <w:pPr>
        <w:divId w:val="1840190552"/>
        <w:rPr>
          <w:rFonts w:eastAsia="Times New Roman"/>
        </w:rPr>
      </w:pPr>
      <w:r>
        <w:rPr>
          <w:rFonts w:ascii="Arial" w:eastAsia="Times New Roman" w:hAnsi="Arial" w:cs="Arial"/>
          <w:b/>
          <w:bCs/>
          <w:color w:val="000000"/>
          <w:sz w:val="20"/>
          <w:szCs w:val="20"/>
        </w:rPr>
        <w:t>FAIR VALUE OF OTHER FINANCIAL INSTRUMENTS</w:t>
      </w:r>
    </w:p>
    <w:p w:rsidR="00000000" w:rsidRDefault="001F1FC8">
      <w:pPr>
        <w:divId w:val="245382158"/>
        <w:rPr>
          <w:rFonts w:eastAsia="Times New Roman"/>
        </w:rPr>
      </w:pPr>
      <w:r>
        <w:rPr>
          <w:rFonts w:ascii="Arial" w:eastAsia="Times New Roman" w:hAnsi="Arial" w:cs="Arial"/>
          <w:color w:val="000000"/>
          <w:sz w:val="20"/>
          <w:szCs w:val="20"/>
        </w:rPr>
        <w:t>Certain long-</w:t>
      </w:r>
      <w:r>
        <w:rPr>
          <w:rFonts w:ascii="Arial" w:eastAsia="Times New Roman" w:hAnsi="Arial" w:cs="Arial"/>
          <w:color w:val="000000"/>
          <w:sz w:val="20"/>
          <w:szCs w:val="20"/>
        </w:rPr>
        <w:t>term investments in other entities with no actively quoted prices are classified as FVMA investments and are recorded at cost less impairment. The carrying value of FVMA investments totaled $52 million as at December 31, 2021 and 2020.</w:t>
      </w:r>
    </w:p>
    <w:p w:rsidR="00000000" w:rsidRDefault="001F1FC8">
      <w:pPr>
        <w:divId w:val="117459123"/>
        <w:rPr>
          <w:rFonts w:eastAsia="Times New Roman"/>
        </w:rPr>
      </w:pPr>
    </w:p>
    <w:p w:rsidR="00000000" w:rsidRDefault="001F1FC8">
      <w:pPr>
        <w:divId w:val="518548520"/>
        <w:rPr>
          <w:rFonts w:eastAsia="Times New Roman"/>
        </w:rPr>
      </w:pPr>
      <w:r>
        <w:rPr>
          <w:rFonts w:ascii="Arial" w:eastAsia="Times New Roman" w:hAnsi="Arial" w:cs="Arial"/>
          <w:color w:val="000000"/>
          <w:sz w:val="20"/>
          <w:szCs w:val="20"/>
        </w:rPr>
        <w:t>We have Restricted long-term investments held in trust totaling $630 million and $553 million as at December 31, 2021 and 2020, respectively, which are recognized at fair value.</w:t>
      </w:r>
    </w:p>
    <w:p w:rsidR="00000000" w:rsidRDefault="001F1FC8">
      <w:pPr>
        <w:divId w:val="1832671346"/>
        <w:rPr>
          <w:rFonts w:eastAsia="Times New Roman"/>
        </w:rPr>
      </w:pPr>
      <w:r>
        <w:rPr>
          <w:rFonts w:ascii="Arial" w:eastAsia="Times New Roman" w:hAnsi="Arial" w:cs="Arial"/>
          <w:color w:val="000000"/>
          <w:sz w:val="20"/>
          <w:szCs w:val="20"/>
        </w:rPr>
        <w:t> </w:t>
      </w:r>
    </w:p>
    <w:p w:rsidR="00000000" w:rsidRDefault="001F1FC8">
      <w:pPr>
        <w:divId w:val="823660723"/>
        <w:rPr>
          <w:rFonts w:eastAsia="Times New Roman"/>
        </w:rPr>
      </w:pPr>
      <w:r>
        <w:rPr>
          <w:rFonts w:ascii="Arial" w:eastAsia="Times New Roman" w:hAnsi="Arial" w:cs="Arial"/>
          <w:color w:val="000000"/>
          <w:sz w:val="20"/>
          <w:szCs w:val="20"/>
        </w:rPr>
        <w:t>As at December 31, 2021 and 2020, our long-term debt had a carrying value of</w:t>
      </w:r>
      <w:r>
        <w:rPr>
          <w:rFonts w:ascii="Arial" w:eastAsia="Times New Roman" w:hAnsi="Arial" w:cs="Arial"/>
          <w:color w:val="000000"/>
          <w:sz w:val="20"/>
          <w:szCs w:val="20"/>
        </w:rPr>
        <w:t xml:space="preserve"> $74.4 billion and $66.1 billion, respectively, before debt issuance costs and a fair value of $82.0 billion and $75.1 billion, respectively. We also have non-current notes receivable carried at book value and recorded in Deferred amounts and other assets </w:t>
      </w:r>
      <w:r>
        <w:rPr>
          <w:rFonts w:ascii="Arial" w:eastAsia="Times New Roman" w:hAnsi="Arial" w:cs="Arial"/>
          <w:color w:val="000000"/>
          <w:sz w:val="20"/>
          <w:szCs w:val="20"/>
        </w:rPr>
        <w:t>in the Consolidated Statements of Financial Position. As at December 31, 2021 and 2020, the non-current notes receivable had a carrying value of $1.0 billion and $1.1 billion, respectively, which also approximates their fair value.</w:t>
      </w:r>
    </w:p>
    <w:p w:rsidR="00000000" w:rsidRDefault="001F1FC8">
      <w:pPr>
        <w:divId w:val="669871036"/>
        <w:rPr>
          <w:rFonts w:eastAsia="Times New Roman"/>
        </w:rPr>
      </w:pPr>
    </w:p>
    <w:p w:rsidR="00000000" w:rsidRDefault="001F1FC8">
      <w:pPr>
        <w:jc w:val="center"/>
        <w:divId w:val="785733923"/>
        <w:rPr>
          <w:rFonts w:eastAsia="Times New Roman"/>
        </w:rPr>
      </w:pPr>
      <w:r>
        <w:rPr>
          <w:rFonts w:ascii="Arial" w:eastAsia="Times New Roman" w:hAnsi="Arial" w:cs="Arial"/>
          <w:color w:val="000000"/>
          <w:sz w:val="20"/>
          <w:szCs w:val="20"/>
        </w:rPr>
        <w:t>160</w:t>
      </w:r>
    </w:p>
    <w:p w:rsidR="00000000" w:rsidRDefault="001F1FC8">
      <w:pPr>
        <w:rPr>
          <w:rFonts w:eastAsia="Times New Roman"/>
        </w:rPr>
      </w:pPr>
      <w:r>
        <w:rPr>
          <w:rFonts w:eastAsia="Times New Roman"/>
        </w:rPr>
        <w:pict>
          <v:rect id="_x0000_i1190" style="width:0;height:1.5pt" o:hralign="center" o:hrstd="t" o:hr="t" fillcolor="#a0a0a0" stroked="f"/>
        </w:pict>
      </w:r>
    </w:p>
    <w:p w:rsidR="00000000" w:rsidRDefault="001F1FC8">
      <w:pPr>
        <w:jc w:val="center"/>
        <w:divId w:val="1215432561"/>
        <w:rPr>
          <w:rFonts w:eastAsia="Times New Roman"/>
        </w:rPr>
      </w:pPr>
    </w:p>
    <w:p w:rsidR="00000000" w:rsidRDefault="001F1FC8">
      <w:pPr>
        <w:divId w:val="197819072"/>
        <w:rPr>
          <w:rFonts w:eastAsia="Times New Roman"/>
        </w:rPr>
      </w:pPr>
      <w:r>
        <w:rPr>
          <w:rFonts w:ascii="Arial" w:eastAsia="Times New Roman" w:hAnsi="Arial" w:cs="Arial"/>
          <w:color w:val="000000"/>
          <w:sz w:val="20"/>
          <w:szCs w:val="20"/>
        </w:rPr>
        <w:t>The fair value of other financial assets and liabilities other than derivative instruments, other long-term investments, restricted long-term investments and long-term debt approximate their cost due to the short period to maturity.</w:t>
      </w:r>
    </w:p>
    <w:p w:rsidR="00000000" w:rsidRDefault="001F1FC8">
      <w:pPr>
        <w:divId w:val="1033572663"/>
        <w:rPr>
          <w:rFonts w:eastAsia="Times New Roman"/>
        </w:rPr>
      </w:pPr>
    </w:p>
    <w:p w:rsidR="00000000" w:rsidRDefault="001F1FC8">
      <w:pPr>
        <w:divId w:val="1950383601"/>
        <w:rPr>
          <w:rFonts w:eastAsia="Times New Roman"/>
        </w:rPr>
      </w:pPr>
      <w:r>
        <w:rPr>
          <w:rFonts w:ascii="Arial" w:eastAsia="Times New Roman" w:hAnsi="Arial" w:cs="Arial"/>
          <w:b/>
          <w:bCs/>
          <w:color w:val="000000"/>
          <w:sz w:val="26"/>
          <w:szCs w:val="26"/>
        </w:rPr>
        <w:t>2</w:t>
      </w:r>
      <w:r>
        <w:rPr>
          <w:rFonts w:ascii="Arial" w:eastAsia="Times New Roman" w:hAnsi="Arial" w:cs="Arial"/>
          <w:b/>
          <w:bCs/>
          <w:color w:val="000000"/>
          <w:sz w:val="26"/>
          <w:szCs w:val="26"/>
        </w:rPr>
        <w:t>5. INCOME TAXES</w:t>
      </w:r>
    </w:p>
    <w:p w:rsidR="00000000" w:rsidRDefault="001F1FC8">
      <w:pPr>
        <w:divId w:val="682823362"/>
        <w:rPr>
          <w:rFonts w:eastAsia="Times New Roman"/>
        </w:rPr>
      </w:pPr>
    </w:p>
    <w:p w:rsidR="00000000" w:rsidRDefault="001F1FC8">
      <w:pPr>
        <w:divId w:val="887884316"/>
        <w:rPr>
          <w:rFonts w:eastAsia="Times New Roman"/>
        </w:rPr>
      </w:pPr>
      <w:r>
        <w:rPr>
          <w:rFonts w:ascii="Arial" w:eastAsia="Times New Roman" w:hAnsi="Arial" w:cs="Arial"/>
          <w:b/>
          <w:bCs/>
          <w:color w:val="000000"/>
          <w:sz w:val="20"/>
          <w:szCs w:val="20"/>
        </w:rPr>
        <w:t>INCOME TAX RATE RECONCILIATION</w:t>
      </w:r>
    </w:p>
    <w:tbl>
      <w:tblPr>
        <w:tblW w:w="5000" w:type="pct"/>
        <w:tblCellMar>
          <w:top w:w="15" w:type="dxa"/>
          <w:left w:w="15" w:type="dxa"/>
          <w:bottom w:w="15" w:type="dxa"/>
          <w:right w:w="15" w:type="dxa"/>
        </w:tblCellMar>
        <w:tblLook w:val="04A0" w:firstRow="1" w:lastRow="0" w:firstColumn="1" w:lastColumn="0" w:noHBand="0" w:noVBand="1"/>
      </w:tblPr>
      <w:tblGrid>
        <w:gridCol w:w="38"/>
        <w:gridCol w:w="5476"/>
        <w:gridCol w:w="37"/>
        <w:gridCol w:w="93"/>
        <w:gridCol w:w="844"/>
        <w:gridCol w:w="198"/>
        <w:gridCol w:w="57"/>
        <w:gridCol w:w="555"/>
        <w:gridCol w:w="198"/>
        <w:gridCol w:w="57"/>
        <w:gridCol w:w="555"/>
        <w:gridCol w:w="198"/>
      </w:tblGrid>
      <w:tr w:rsidR="00000000">
        <w:trPr>
          <w:divId w:val="208031228"/>
        </w:trPr>
        <w:tc>
          <w:tcPr>
            <w:tcW w:w="50" w:type="pct"/>
            <w:vAlign w:val="center"/>
            <w:hideMark/>
          </w:tcPr>
          <w:p w:rsidR="00000000" w:rsidRDefault="001F1FC8">
            <w:pPr>
              <w:rPr>
                <w:rFonts w:eastAsia="Times New Roman"/>
              </w:rPr>
            </w:pPr>
          </w:p>
        </w:tc>
        <w:tc>
          <w:tcPr>
            <w:tcW w:w="3406"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c>
          <w:tcPr>
            <w:tcW w:w="50" w:type="pct"/>
            <w:vAlign w:val="center"/>
            <w:hideMark/>
          </w:tcPr>
          <w:p w:rsidR="00000000" w:rsidRDefault="001F1FC8">
            <w:pPr>
              <w:rPr>
                <w:rFonts w:eastAsia="Times New Roman"/>
                <w:sz w:val="20"/>
                <w:szCs w:val="20"/>
              </w:rPr>
            </w:pPr>
          </w:p>
        </w:tc>
        <w:tc>
          <w:tcPr>
            <w:tcW w:w="457"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c>
          <w:tcPr>
            <w:tcW w:w="50" w:type="pct"/>
            <w:vAlign w:val="center"/>
            <w:hideMark/>
          </w:tcPr>
          <w:p w:rsidR="00000000" w:rsidRDefault="001F1FC8">
            <w:pPr>
              <w:rPr>
                <w:rFonts w:eastAsia="Times New Roman"/>
                <w:sz w:val="20"/>
                <w:szCs w:val="20"/>
              </w:rPr>
            </w:pPr>
          </w:p>
        </w:tc>
        <w:tc>
          <w:tcPr>
            <w:tcW w:w="457"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c>
          <w:tcPr>
            <w:tcW w:w="50" w:type="pct"/>
            <w:vAlign w:val="center"/>
            <w:hideMark/>
          </w:tcPr>
          <w:p w:rsidR="00000000" w:rsidRDefault="001F1FC8">
            <w:pPr>
              <w:rPr>
                <w:rFonts w:eastAsia="Times New Roman"/>
                <w:sz w:val="20"/>
                <w:szCs w:val="20"/>
              </w:rPr>
            </w:pPr>
          </w:p>
        </w:tc>
        <w:tc>
          <w:tcPr>
            <w:tcW w:w="457"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r>
      <w:tr w:rsidR="00000000">
        <w:trPr>
          <w:divId w:val="208031228"/>
        </w:trPr>
        <w:tc>
          <w:tcPr>
            <w:tcW w:w="0" w:type="auto"/>
            <w:gridSpan w:val="3"/>
            <w:tcMar>
              <w:top w:w="30" w:type="dxa"/>
              <w:left w:w="20" w:type="dxa"/>
              <w:bottom w:w="30" w:type="dxa"/>
              <w:right w:w="20" w:type="dxa"/>
            </w:tcMar>
            <w:vAlign w:val="center"/>
            <w:hideMark/>
          </w:tcPr>
          <w:p w:rsidR="00000000" w:rsidRDefault="001F1FC8">
            <w:pPr>
              <w:rPr>
                <w:rFonts w:eastAsia="Times New Roman"/>
              </w:rPr>
            </w:pPr>
            <w:r>
              <w:rPr>
                <w:rFonts w:ascii="Arial" w:eastAsia="Times New Roman" w:hAnsi="Arial" w:cs="Arial"/>
                <w:color w:val="000000"/>
                <w:sz w:val="20"/>
                <w:szCs w:val="20"/>
              </w:rPr>
              <w:t>Year ended December 31,</w:t>
            </w:r>
          </w:p>
        </w:tc>
        <w:tc>
          <w:tcPr>
            <w:tcW w:w="0" w:type="auto"/>
            <w:gridSpan w:val="3"/>
            <w:tcMar>
              <w:top w:w="30" w:type="dxa"/>
              <w:left w:w="20" w:type="dxa"/>
              <w:bottom w:w="30" w:type="dxa"/>
              <w:right w:w="20" w:type="dxa"/>
            </w:tcMar>
            <w:vAlign w:val="center"/>
            <w:hideMark/>
          </w:tcPr>
          <w:p w:rsidR="00000000" w:rsidRDefault="001F1FC8">
            <w:pPr>
              <w:jc w:val="right"/>
              <w:rPr>
                <w:rFonts w:eastAsia="Times New Roman"/>
              </w:rPr>
            </w:pPr>
            <w:r>
              <w:rPr>
                <w:rFonts w:ascii="Arial" w:eastAsia="Times New Roman" w:hAnsi="Arial" w:cs="Arial"/>
                <w:b/>
                <w:bCs/>
                <w:color w:val="000000"/>
                <w:sz w:val="20"/>
                <w:szCs w:val="20"/>
              </w:rPr>
              <w:t>2021</w:t>
            </w:r>
          </w:p>
        </w:tc>
        <w:tc>
          <w:tcPr>
            <w:tcW w:w="0" w:type="auto"/>
            <w:gridSpan w:val="3"/>
            <w:tcMar>
              <w:top w:w="30" w:type="dxa"/>
              <w:left w:w="20" w:type="dxa"/>
              <w:bottom w:w="30" w:type="dxa"/>
              <w:right w:w="20" w:type="dxa"/>
            </w:tcMar>
            <w:vAlign w:val="center"/>
            <w:hideMark/>
          </w:tcPr>
          <w:p w:rsidR="00000000" w:rsidRDefault="001F1FC8">
            <w:pPr>
              <w:jc w:val="right"/>
              <w:rPr>
                <w:rFonts w:eastAsia="Times New Roman"/>
              </w:rPr>
            </w:pPr>
            <w:r>
              <w:rPr>
                <w:rFonts w:ascii="Arial" w:eastAsia="Times New Roman" w:hAnsi="Arial" w:cs="Arial"/>
                <w:color w:val="000000"/>
                <w:sz w:val="20"/>
                <w:szCs w:val="20"/>
              </w:rPr>
              <w:t>2020</w:t>
            </w:r>
          </w:p>
        </w:tc>
        <w:tc>
          <w:tcPr>
            <w:tcW w:w="0" w:type="auto"/>
            <w:gridSpan w:val="3"/>
            <w:tcMar>
              <w:top w:w="30" w:type="dxa"/>
              <w:left w:w="20" w:type="dxa"/>
              <w:bottom w:w="30" w:type="dxa"/>
              <w:right w:w="20" w:type="dxa"/>
            </w:tcMar>
            <w:vAlign w:val="center"/>
            <w:hideMark/>
          </w:tcPr>
          <w:p w:rsidR="00000000" w:rsidRDefault="001F1FC8">
            <w:pPr>
              <w:jc w:val="right"/>
              <w:rPr>
                <w:rFonts w:eastAsia="Times New Roman"/>
              </w:rPr>
            </w:pPr>
            <w:r>
              <w:rPr>
                <w:rFonts w:ascii="Arial" w:eastAsia="Times New Roman" w:hAnsi="Arial" w:cs="Arial"/>
                <w:color w:val="000000"/>
                <w:sz w:val="20"/>
                <w:szCs w:val="20"/>
              </w:rPr>
              <w:t>2019</w:t>
            </w:r>
          </w:p>
        </w:tc>
      </w:tr>
      <w:tr w:rsidR="00000000">
        <w:trPr>
          <w:divId w:val="208031228"/>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1F1FC8">
            <w:pPr>
              <w:rPr>
                <w:rFonts w:eastAsia="Times New Roman"/>
              </w:rPr>
            </w:pPr>
            <w:r>
              <w:rPr>
                <w:rFonts w:ascii="Arial" w:eastAsia="Times New Roman" w:hAnsi="Arial" w:cs="Arial"/>
                <w:i/>
                <w:iCs/>
                <w:color w:val="000000"/>
                <w:sz w:val="16"/>
                <w:szCs w:val="16"/>
              </w:rPr>
              <w:t>(millions of Canadian dollars)</w:t>
            </w:r>
          </w:p>
        </w:tc>
        <w:tc>
          <w:tcPr>
            <w:tcW w:w="0" w:type="auto"/>
            <w:gridSpan w:val="3"/>
            <w:tcBorders>
              <w:top w:val="single" w:sz="4" w:space="0" w:color="000000"/>
            </w:tcBorders>
            <w:shd w:val="clear" w:color="auto" w:fill="D9D9D9"/>
            <w:tcMar>
              <w:top w:w="30" w:type="dxa"/>
              <w:left w:w="20" w:type="dxa"/>
              <w:bottom w:w="30" w:type="dxa"/>
              <w:right w:w="20" w:type="dxa"/>
            </w:tcMar>
            <w:vAlign w:val="center"/>
            <w:hideMark/>
          </w:tcPr>
          <w:p w:rsidR="00000000" w:rsidRDefault="001F1FC8">
            <w:pPr>
              <w:jc w:val="right"/>
              <w:rPr>
                <w:rFonts w:eastAsia="Times New Roman"/>
              </w:rPr>
            </w:pPr>
            <w:r>
              <w:rPr>
                <w:rFonts w:ascii="Arial" w:eastAsia="Times New Roman" w:hAnsi="Arial" w:cs="Arial"/>
                <w:color w:val="000000"/>
                <w:sz w:val="2"/>
                <w:szCs w:val="2"/>
              </w:rPr>
              <w:t> </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1F1FC8">
            <w:pPr>
              <w:jc w:val="right"/>
              <w:rPr>
                <w:rFonts w:eastAsia="Times New Roman"/>
              </w:rPr>
            </w:pPr>
            <w:r>
              <w:rPr>
                <w:rFonts w:ascii="Arial" w:eastAsia="Times New Roman" w:hAnsi="Arial" w:cs="Arial"/>
                <w:color w:val="000000"/>
                <w:sz w:val="2"/>
                <w:szCs w:val="2"/>
              </w:rPr>
              <w:t> </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1F1FC8">
            <w:pPr>
              <w:jc w:val="right"/>
              <w:rPr>
                <w:rFonts w:eastAsia="Times New Roman"/>
              </w:rPr>
            </w:pPr>
            <w:r>
              <w:rPr>
                <w:rFonts w:ascii="Arial" w:eastAsia="Times New Roman" w:hAnsi="Arial" w:cs="Arial"/>
                <w:color w:val="000000"/>
                <w:sz w:val="2"/>
                <w:szCs w:val="2"/>
              </w:rPr>
              <w:t> </w:t>
            </w:r>
          </w:p>
        </w:tc>
      </w:tr>
      <w:tr w:rsidR="00000000">
        <w:trPr>
          <w:divId w:val="208031228"/>
        </w:trPr>
        <w:tc>
          <w:tcPr>
            <w:tcW w:w="0" w:type="auto"/>
            <w:gridSpan w:val="3"/>
            <w:tcMar>
              <w:top w:w="30" w:type="dxa"/>
              <w:left w:w="20" w:type="dxa"/>
              <w:bottom w:w="30" w:type="dxa"/>
              <w:right w:w="20" w:type="dxa"/>
            </w:tcMar>
            <w:vAlign w:val="center"/>
            <w:hideMark/>
          </w:tcPr>
          <w:p w:rsidR="00000000" w:rsidRDefault="001F1FC8">
            <w:pPr>
              <w:rPr>
                <w:rFonts w:eastAsia="Times New Roman"/>
              </w:rPr>
            </w:pPr>
            <w:r>
              <w:rPr>
                <w:rFonts w:ascii="Arial" w:eastAsia="Times New Roman" w:hAnsi="Arial" w:cs="Arial"/>
                <w:color w:val="000000"/>
                <w:sz w:val="20"/>
                <w:szCs w:val="20"/>
              </w:rPr>
              <w:t>Earnings before income taxes</w:t>
            </w:r>
          </w:p>
        </w:tc>
        <w:tc>
          <w:tcPr>
            <w:tcW w:w="0" w:type="auto"/>
            <w:gridSpan w:val="3"/>
            <w:shd w:val="clear" w:color="auto" w:fill="D9D9D9"/>
            <w:tcMar>
              <w:top w:w="30" w:type="dxa"/>
              <w:left w:w="380" w:type="dxa"/>
              <w:bottom w:w="30" w:type="dxa"/>
              <w:right w:w="20" w:type="dxa"/>
            </w:tcMar>
            <w:vAlign w:val="bottom"/>
            <w:hideMark/>
          </w:tcPr>
          <w:p w:rsidR="00000000" w:rsidRDefault="001F1FC8">
            <w:pPr>
              <w:rPr>
                <w:rFonts w:eastAsia="Times New Roman"/>
              </w:rPr>
            </w:pPr>
            <w:r>
              <w:rPr>
                <w:rFonts w:ascii="Arial" w:eastAsia="Times New Roman" w:hAnsi="Arial" w:cs="Arial"/>
                <w:b/>
                <w:bCs/>
                <w:color w:val="000000"/>
                <w:sz w:val="20"/>
                <w:szCs w:val="20"/>
              </w:rPr>
              <w:t>7,729</w:t>
            </w:r>
          </w:p>
        </w:tc>
        <w:tc>
          <w:tcPr>
            <w:tcW w:w="0" w:type="auto"/>
            <w:gridSpan w:val="2"/>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20"/>
                <w:szCs w:val="20"/>
              </w:rPr>
              <w:t>4,190 </w:t>
            </w:r>
          </w:p>
        </w:tc>
        <w:tc>
          <w:tcPr>
            <w:tcW w:w="0" w:type="auto"/>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20"/>
                <w:szCs w:val="20"/>
              </w:rPr>
              <w:t>7,535 </w:t>
            </w:r>
          </w:p>
        </w:tc>
        <w:tc>
          <w:tcPr>
            <w:tcW w:w="0" w:type="auto"/>
            <w:tcMar>
              <w:top w:w="30" w:type="dxa"/>
              <w:left w:w="0" w:type="dxa"/>
              <w:bottom w:w="30" w:type="dxa"/>
              <w:right w:w="20" w:type="dxa"/>
            </w:tcMar>
            <w:vAlign w:val="center"/>
            <w:hideMark/>
          </w:tcPr>
          <w:p w:rsidR="00000000" w:rsidRDefault="001F1FC8">
            <w:pPr>
              <w:jc w:val="right"/>
              <w:rPr>
                <w:rFonts w:eastAsia="Times New Roman"/>
              </w:rPr>
            </w:pPr>
          </w:p>
        </w:tc>
      </w:tr>
      <w:tr w:rsidR="00000000">
        <w:trPr>
          <w:divId w:val="208031228"/>
        </w:trPr>
        <w:tc>
          <w:tcPr>
            <w:tcW w:w="0" w:type="auto"/>
            <w:gridSpan w:val="3"/>
            <w:tcMar>
              <w:top w:w="30" w:type="dxa"/>
              <w:left w:w="20" w:type="dxa"/>
              <w:bottom w:w="30" w:type="dxa"/>
              <w:right w:w="20" w:type="dxa"/>
            </w:tcMar>
            <w:vAlign w:val="center"/>
            <w:hideMark/>
          </w:tcPr>
          <w:p w:rsidR="00000000" w:rsidRDefault="001F1FC8">
            <w:pPr>
              <w:rPr>
                <w:rFonts w:eastAsia="Times New Roman"/>
              </w:rPr>
            </w:pPr>
            <w:r>
              <w:rPr>
                <w:rFonts w:ascii="Arial" w:eastAsia="Times New Roman" w:hAnsi="Arial" w:cs="Arial"/>
                <w:color w:val="000000"/>
                <w:sz w:val="20"/>
                <w:szCs w:val="20"/>
              </w:rPr>
              <w:t>Canadian federal statutory income tax rate</w:t>
            </w:r>
          </w:p>
        </w:tc>
        <w:tc>
          <w:tcPr>
            <w:tcW w:w="0" w:type="auto"/>
            <w:gridSpan w:val="2"/>
            <w:shd w:val="clear" w:color="auto" w:fill="D9D9D9"/>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b/>
                <w:bCs/>
                <w:color w:val="000000"/>
                <w:sz w:val="20"/>
                <w:szCs w:val="20"/>
              </w:rPr>
              <w:t>15</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1F1FC8">
            <w:pPr>
              <w:rPr>
                <w:rFonts w:eastAsia="Times New Roman"/>
              </w:rPr>
            </w:pPr>
            <w:r>
              <w:rPr>
                <w:rFonts w:ascii="Arial" w:eastAsia="Times New Roman" w:hAnsi="Arial" w:cs="Arial"/>
                <w:b/>
                <w:bCs/>
                <w:color w:val="000000"/>
                <w:sz w:val="20"/>
                <w:szCs w:val="20"/>
              </w:rPr>
              <w:t>%</w:t>
            </w:r>
          </w:p>
        </w:tc>
        <w:tc>
          <w:tcPr>
            <w:tcW w:w="0" w:type="auto"/>
            <w:gridSpan w:val="2"/>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20"/>
                <w:szCs w:val="20"/>
              </w:rPr>
              <w:t>15 </w:t>
            </w:r>
          </w:p>
        </w:tc>
        <w:tc>
          <w:tcPr>
            <w:tcW w:w="0" w:type="auto"/>
            <w:tcMar>
              <w:top w:w="30" w:type="dxa"/>
              <w:left w:w="0" w:type="dxa"/>
              <w:bottom w:w="30" w:type="dxa"/>
              <w:right w:w="20" w:type="dxa"/>
            </w:tcMar>
            <w:vAlign w:val="center"/>
            <w:hideMark/>
          </w:tcPr>
          <w:p w:rsidR="00000000" w:rsidRDefault="001F1FC8">
            <w:pPr>
              <w:rPr>
                <w:rFonts w:eastAsia="Times New Roman"/>
              </w:rPr>
            </w:pPr>
            <w:r>
              <w:rPr>
                <w:rFonts w:ascii="Arial" w:eastAsia="Times New Roman" w:hAnsi="Arial" w:cs="Arial"/>
                <w:color w:val="000000"/>
                <w:sz w:val="20"/>
                <w:szCs w:val="20"/>
              </w:rPr>
              <w:t>%</w:t>
            </w:r>
          </w:p>
        </w:tc>
        <w:tc>
          <w:tcPr>
            <w:tcW w:w="0" w:type="auto"/>
            <w:gridSpan w:val="2"/>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20"/>
                <w:szCs w:val="20"/>
              </w:rPr>
              <w:t>15 </w:t>
            </w:r>
          </w:p>
        </w:tc>
        <w:tc>
          <w:tcPr>
            <w:tcW w:w="0" w:type="auto"/>
            <w:tcMar>
              <w:top w:w="30" w:type="dxa"/>
              <w:left w:w="0" w:type="dxa"/>
              <w:bottom w:w="30" w:type="dxa"/>
              <w:right w:w="20" w:type="dxa"/>
            </w:tcMar>
            <w:vAlign w:val="center"/>
            <w:hideMark/>
          </w:tcPr>
          <w:p w:rsidR="00000000" w:rsidRDefault="001F1FC8">
            <w:pPr>
              <w:rPr>
                <w:rFonts w:eastAsia="Times New Roman"/>
              </w:rPr>
            </w:pPr>
            <w:r>
              <w:rPr>
                <w:rFonts w:ascii="Arial" w:eastAsia="Times New Roman" w:hAnsi="Arial" w:cs="Arial"/>
                <w:color w:val="000000"/>
                <w:sz w:val="20"/>
                <w:szCs w:val="20"/>
              </w:rPr>
              <w:t>%</w:t>
            </w:r>
          </w:p>
        </w:tc>
      </w:tr>
      <w:tr w:rsidR="00000000">
        <w:trPr>
          <w:divId w:val="208031228"/>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1F1FC8">
            <w:pPr>
              <w:rPr>
                <w:rFonts w:eastAsia="Times New Roman"/>
              </w:rPr>
            </w:pPr>
            <w:r>
              <w:rPr>
                <w:rFonts w:ascii="Arial" w:eastAsia="Times New Roman" w:hAnsi="Arial" w:cs="Arial"/>
                <w:color w:val="000000"/>
                <w:sz w:val="20"/>
                <w:szCs w:val="20"/>
              </w:rPr>
              <w:t>Expected federal taxes at statutory rate</w:t>
            </w:r>
          </w:p>
        </w:tc>
        <w:tc>
          <w:tcPr>
            <w:tcW w:w="0" w:type="auto"/>
            <w:gridSpan w:val="3"/>
            <w:tcBorders>
              <w:top w:val="single" w:sz="4" w:space="0" w:color="000000"/>
            </w:tcBorders>
            <w:shd w:val="clear" w:color="auto" w:fill="D9D9D9"/>
            <w:tcMar>
              <w:top w:w="30" w:type="dxa"/>
              <w:left w:w="380" w:type="dxa"/>
              <w:bottom w:w="30" w:type="dxa"/>
              <w:right w:w="20" w:type="dxa"/>
            </w:tcMar>
            <w:vAlign w:val="bottom"/>
            <w:hideMark/>
          </w:tcPr>
          <w:p w:rsidR="00000000" w:rsidRDefault="001F1FC8">
            <w:pPr>
              <w:rPr>
                <w:rFonts w:eastAsia="Times New Roman"/>
              </w:rPr>
            </w:pPr>
            <w:r>
              <w:rPr>
                <w:rFonts w:ascii="Arial" w:eastAsia="Times New Roman" w:hAnsi="Arial" w:cs="Arial"/>
                <w:b/>
                <w:bCs/>
                <w:color w:val="000000"/>
                <w:sz w:val="20"/>
                <w:szCs w:val="20"/>
              </w:rPr>
              <w:t>1,159</w:t>
            </w: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20"/>
                <w:szCs w:val="20"/>
              </w:rPr>
              <w:t>629 </w:t>
            </w:r>
          </w:p>
        </w:tc>
        <w:tc>
          <w:tcPr>
            <w:tcW w:w="0" w:type="auto"/>
            <w:tcBorders>
              <w:top w:val="single" w:sz="4" w:space="0" w:color="000000"/>
            </w:tcBorders>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20"/>
                <w:szCs w:val="20"/>
              </w:rPr>
              <w:t>1,130 </w:t>
            </w:r>
          </w:p>
        </w:tc>
        <w:tc>
          <w:tcPr>
            <w:tcW w:w="0" w:type="auto"/>
            <w:tcBorders>
              <w:top w:val="single" w:sz="4" w:space="0" w:color="000000"/>
            </w:tcBorders>
            <w:tcMar>
              <w:top w:w="30" w:type="dxa"/>
              <w:left w:w="0" w:type="dxa"/>
              <w:bottom w:w="30" w:type="dxa"/>
              <w:right w:w="20" w:type="dxa"/>
            </w:tcMar>
            <w:vAlign w:val="center"/>
            <w:hideMark/>
          </w:tcPr>
          <w:p w:rsidR="00000000" w:rsidRDefault="001F1FC8">
            <w:pPr>
              <w:jc w:val="right"/>
              <w:rPr>
                <w:rFonts w:eastAsia="Times New Roman"/>
              </w:rPr>
            </w:pPr>
          </w:p>
        </w:tc>
      </w:tr>
      <w:tr w:rsidR="00000000">
        <w:trPr>
          <w:divId w:val="208031228"/>
        </w:trPr>
        <w:tc>
          <w:tcPr>
            <w:tcW w:w="0" w:type="auto"/>
            <w:gridSpan w:val="3"/>
            <w:tcMar>
              <w:top w:w="30" w:type="dxa"/>
              <w:left w:w="20" w:type="dxa"/>
              <w:bottom w:w="30" w:type="dxa"/>
              <w:right w:w="20" w:type="dxa"/>
            </w:tcMar>
            <w:vAlign w:val="center"/>
            <w:hideMark/>
          </w:tcPr>
          <w:p w:rsidR="00000000" w:rsidRDefault="001F1FC8">
            <w:pPr>
              <w:rPr>
                <w:rFonts w:eastAsia="Times New Roman"/>
              </w:rPr>
            </w:pPr>
            <w:r>
              <w:rPr>
                <w:rFonts w:ascii="Arial" w:eastAsia="Times New Roman" w:hAnsi="Arial" w:cs="Arial"/>
                <w:color w:val="000000"/>
                <w:sz w:val="20"/>
                <w:szCs w:val="20"/>
              </w:rPr>
              <w:t>Increase/(decrease) resulting from:</w:t>
            </w:r>
          </w:p>
        </w:tc>
        <w:tc>
          <w:tcPr>
            <w:tcW w:w="0" w:type="auto"/>
            <w:gridSpan w:val="3"/>
            <w:shd w:val="clear" w:color="auto" w:fill="D9D9D9"/>
            <w:tcMar>
              <w:top w:w="30" w:type="dxa"/>
              <w:left w:w="380" w:type="dxa"/>
              <w:bottom w:w="30" w:type="dxa"/>
              <w:right w:w="20" w:type="dxa"/>
            </w:tcMar>
            <w:vAlign w:val="bottom"/>
            <w:hideMark/>
          </w:tcPr>
          <w:p w:rsidR="00000000" w:rsidRDefault="001F1FC8">
            <w:pPr>
              <w:rPr>
                <w:rFonts w:eastAsia="Times New Roman"/>
              </w:rPr>
            </w:pPr>
            <w:r>
              <w:rPr>
                <w:rFonts w:ascii="Arial" w:eastAsia="Times New Roman" w:hAnsi="Arial" w:cs="Arial"/>
                <w:b/>
                <w:bCs/>
                <w:color w:val="000000"/>
                <w:sz w:val="20"/>
                <w:szCs w:val="20"/>
              </w:rPr>
              <w:t> </w:t>
            </w:r>
          </w:p>
        </w:tc>
        <w:tc>
          <w:tcPr>
            <w:tcW w:w="0" w:type="auto"/>
            <w:gridSpan w:val="3"/>
            <w:tcMar>
              <w:top w:w="30" w:type="dxa"/>
              <w:left w:w="20" w:type="dxa"/>
              <w:bottom w:w="30" w:type="dxa"/>
              <w:right w:w="20" w:type="dxa"/>
            </w:tcMar>
            <w:vAlign w:val="center"/>
            <w:hideMark/>
          </w:tcPr>
          <w:p w:rsidR="00000000" w:rsidRDefault="001F1FC8">
            <w:pPr>
              <w:jc w:val="right"/>
              <w:rPr>
                <w:rFonts w:eastAsia="Times New Roman"/>
              </w:rPr>
            </w:pPr>
            <w:r>
              <w:rPr>
                <w:rFonts w:ascii="Arial" w:eastAsia="Times New Roman" w:hAnsi="Arial" w:cs="Arial"/>
                <w:color w:val="000000"/>
                <w:sz w:val="2"/>
                <w:szCs w:val="2"/>
              </w:rPr>
              <w:t> </w:t>
            </w:r>
          </w:p>
        </w:tc>
        <w:tc>
          <w:tcPr>
            <w:tcW w:w="0" w:type="auto"/>
            <w:gridSpan w:val="3"/>
            <w:tcMar>
              <w:top w:w="30" w:type="dxa"/>
              <w:left w:w="20" w:type="dxa"/>
              <w:bottom w:w="30" w:type="dxa"/>
              <w:right w:w="20" w:type="dxa"/>
            </w:tcMar>
            <w:vAlign w:val="center"/>
            <w:hideMark/>
          </w:tcPr>
          <w:p w:rsidR="00000000" w:rsidRDefault="001F1FC8">
            <w:pPr>
              <w:jc w:val="right"/>
              <w:rPr>
                <w:rFonts w:eastAsia="Times New Roman"/>
              </w:rPr>
            </w:pPr>
            <w:r>
              <w:rPr>
                <w:rFonts w:ascii="Arial" w:eastAsia="Times New Roman" w:hAnsi="Arial" w:cs="Arial"/>
                <w:color w:val="000000"/>
                <w:sz w:val="2"/>
                <w:szCs w:val="2"/>
              </w:rPr>
              <w:t> </w:t>
            </w:r>
          </w:p>
        </w:tc>
      </w:tr>
      <w:tr w:rsidR="00000000">
        <w:trPr>
          <w:divId w:val="208031228"/>
        </w:trPr>
        <w:tc>
          <w:tcPr>
            <w:tcW w:w="0" w:type="auto"/>
            <w:gridSpan w:val="3"/>
            <w:tcMar>
              <w:top w:w="30" w:type="dxa"/>
              <w:left w:w="20" w:type="dxa"/>
              <w:bottom w:w="30" w:type="dxa"/>
              <w:right w:w="20" w:type="dxa"/>
            </w:tcMar>
            <w:vAlign w:val="center"/>
            <w:hideMark/>
          </w:tcPr>
          <w:p w:rsidR="00000000" w:rsidRDefault="001F1FC8">
            <w:pPr>
              <w:ind w:firstLine="180"/>
              <w:divId w:val="1508907751"/>
              <w:rPr>
                <w:rFonts w:eastAsia="Times New Roman"/>
              </w:rPr>
            </w:pPr>
            <w:r>
              <w:rPr>
                <w:rFonts w:ascii="Arial" w:eastAsia="Times New Roman" w:hAnsi="Arial" w:cs="Arial"/>
                <w:color w:val="000000"/>
                <w:sz w:val="20"/>
                <w:szCs w:val="20"/>
              </w:rPr>
              <w:t>Provincial and state income taxe</w:t>
            </w:r>
            <w:r>
              <w:rPr>
                <w:rFonts w:ascii="Arial" w:eastAsia="Times New Roman" w:hAnsi="Arial" w:cs="Arial"/>
                <w:color w:val="000000"/>
                <w:sz w:val="20"/>
                <w:szCs w:val="20"/>
              </w:rPr>
              <w:t>s</w:t>
            </w:r>
            <w:r>
              <w:rPr>
                <w:rFonts w:ascii="Arial" w:eastAsia="Times New Roman" w:hAnsi="Arial" w:cs="Arial"/>
                <w:color w:val="000000"/>
                <w:sz w:val="10"/>
                <w:szCs w:val="10"/>
              </w:rPr>
              <w:t>1</w:t>
            </w:r>
          </w:p>
        </w:tc>
        <w:tc>
          <w:tcPr>
            <w:tcW w:w="0" w:type="auto"/>
            <w:gridSpan w:val="2"/>
            <w:shd w:val="clear" w:color="auto" w:fill="D9D9D9"/>
            <w:tcMar>
              <w:top w:w="30" w:type="dxa"/>
              <w:left w:w="20" w:type="dxa"/>
              <w:bottom w:w="30" w:type="dxa"/>
              <w:right w:w="0" w:type="dxa"/>
            </w:tcMar>
            <w:vAlign w:val="bottom"/>
            <w:hideMark/>
          </w:tcPr>
          <w:p w:rsidR="00000000" w:rsidRDefault="001F1FC8">
            <w:pPr>
              <w:ind w:firstLine="360"/>
              <w:jc w:val="right"/>
              <w:rPr>
                <w:rFonts w:eastAsia="Times New Roman"/>
              </w:rPr>
            </w:pPr>
            <w:r>
              <w:rPr>
                <w:rFonts w:ascii="Arial" w:eastAsia="Times New Roman" w:hAnsi="Arial" w:cs="Arial"/>
                <w:b/>
                <w:bCs/>
                <w:color w:val="000000"/>
                <w:sz w:val="20"/>
                <w:szCs w:val="20"/>
              </w:rPr>
              <w:t>228</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bottom"/>
            <w:hideMark/>
          </w:tcPr>
          <w:p w:rsidR="00000000" w:rsidRDefault="001F1FC8">
            <w:pPr>
              <w:ind w:firstLine="360"/>
              <w:jc w:val="right"/>
              <w:rPr>
                <w:rFonts w:eastAsia="Times New Roman"/>
              </w:rPr>
            </w:pPr>
          </w:p>
        </w:tc>
        <w:tc>
          <w:tcPr>
            <w:tcW w:w="0" w:type="auto"/>
            <w:gridSpan w:val="2"/>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20"/>
                <w:szCs w:val="20"/>
              </w:rPr>
              <w:t>288 </w:t>
            </w:r>
          </w:p>
        </w:tc>
        <w:tc>
          <w:tcPr>
            <w:tcW w:w="0" w:type="auto"/>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20"/>
                <w:szCs w:val="20"/>
              </w:rPr>
              <w:t>415 </w:t>
            </w:r>
          </w:p>
        </w:tc>
        <w:tc>
          <w:tcPr>
            <w:tcW w:w="0" w:type="auto"/>
            <w:tcMar>
              <w:top w:w="30" w:type="dxa"/>
              <w:left w:w="0" w:type="dxa"/>
              <w:bottom w:w="30" w:type="dxa"/>
              <w:right w:w="20" w:type="dxa"/>
            </w:tcMar>
            <w:vAlign w:val="center"/>
            <w:hideMark/>
          </w:tcPr>
          <w:p w:rsidR="00000000" w:rsidRDefault="001F1FC8">
            <w:pPr>
              <w:jc w:val="right"/>
              <w:rPr>
                <w:rFonts w:eastAsia="Times New Roman"/>
              </w:rPr>
            </w:pPr>
          </w:p>
        </w:tc>
      </w:tr>
      <w:tr w:rsidR="00000000">
        <w:trPr>
          <w:divId w:val="208031228"/>
        </w:trPr>
        <w:tc>
          <w:tcPr>
            <w:tcW w:w="0" w:type="auto"/>
            <w:gridSpan w:val="3"/>
            <w:tcMar>
              <w:top w:w="30" w:type="dxa"/>
              <w:left w:w="20" w:type="dxa"/>
              <w:bottom w:w="30" w:type="dxa"/>
              <w:right w:w="20" w:type="dxa"/>
            </w:tcMar>
            <w:vAlign w:val="center"/>
            <w:hideMark/>
          </w:tcPr>
          <w:p w:rsidR="00000000" w:rsidRDefault="001F1FC8">
            <w:pPr>
              <w:ind w:firstLine="180"/>
              <w:divId w:val="310258500"/>
              <w:rPr>
                <w:rFonts w:eastAsia="Times New Roman"/>
              </w:rPr>
            </w:pPr>
            <w:r>
              <w:rPr>
                <w:rFonts w:ascii="Arial" w:eastAsia="Times New Roman" w:hAnsi="Arial" w:cs="Arial"/>
                <w:color w:val="000000"/>
                <w:sz w:val="20"/>
                <w:szCs w:val="20"/>
              </w:rPr>
              <w:t>Foreign and other statutory rate differential</w:t>
            </w:r>
            <w:r>
              <w:rPr>
                <w:rFonts w:ascii="Arial" w:eastAsia="Times New Roman" w:hAnsi="Arial" w:cs="Arial"/>
                <w:color w:val="000000"/>
                <w:sz w:val="20"/>
                <w:szCs w:val="20"/>
              </w:rPr>
              <w:t>s</w:t>
            </w:r>
            <w:r>
              <w:rPr>
                <w:rFonts w:ascii="Arial" w:eastAsia="Times New Roman" w:hAnsi="Arial" w:cs="Arial"/>
                <w:color w:val="000000"/>
                <w:sz w:val="10"/>
                <w:szCs w:val="10"/>
              </w:rPr>
              <w:t>2</w:t>
            </w:r>
          </w:p>
        </w:tc>
        <w:tc>
          <w:tcPr>
            <w:tcW w:w="0" w:type="auto"/>
            <w:gridSpan w:val="2"/>
            <w:shd w:val="clear" w:color="auto" w:fill="D9D9D9"/>
            <w:tcMar>
              <w:top w:w="30" w:type="dxa"/>
              <w:left w:w="20" w:type="dxa"/>
              <w:bottom w:w="30" w:type="dxa"/>
              <w:right w:w="0" w:type="dxa"/>
            </w:tcMar>
            <w:vAlign w:val="bottom"/>
            <w:hideMark/>
          </w:tcPr>
          <w:p w:rsidR="00000000" w:rsidRDefault="001F1FC8">
            <w:pPr>
              <w:ind w:firstLine="360"/>
              <w:jc w:val="right"/>
              <w:rPr>
                <w:rFonts w:eastAsia="Times New Roman"/>
              </w:rPr>
            </w:pPr>
            <w:r>
              <w:rPr>
                <w:rFonts w:ascii="Arial" w:eastAsia="Times New Roman" w:hAnsi="Arial" w:cs="Arial"/>
                <w:b/>
                <w:bCs/>
                <w:color w:val="000000"/>
                <w:sz w:val="20"/>
                <w:szCs w:val="20"/>
              </w:rPr>
              <w:t>134</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bottom"/>
            <w:hideMark/>
          </w:tcPr>
          <w:p w:rsidR="00000000" w:rsidRDefault="001F1FC8">
            <w:pPr>
              <w:ind w:firstLine="360"/>
              <w:jc w:val="right"/>
              <w:rPr>
                <w:rFonts w:eastAsia="Times New Roman"/>
              </w:rPr>
            </w:pPr>
          </w:p>
        </w:tc>
        <w:tc>
          <w:tcPr>
            <w:tcW w:w="0" w:type="auto"/>
            <w:gridSpan w:val="2"/>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20"/>
                <w:szCs w:val="20"/>
              </w:rPr>
              <w:t>(53)</w:t>
            </w:r>
          </w:p>
        </w:tc>
        <w:tc>
          <w:tcPr>
            <w:tcW w:w="0" w:type="auto"/>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20"/>
                <w:szCs w:val="20"/>
              </w:rPr>
              <w:t>129 </w:t>
            </w:r>
          </w:p>
        </w:tc>
        <w:tc>
          <w:tcPr>
            <w:tcW w:w="0" w:type="auto"/>
            <w:tcMar>
              <w:top w:w="30" w:type="dxa"/>
              <w:left w:w="0" w:type="dxa"/>
              <w:bottom w:w="30" w:type="dxa"/>
              <w:right w:w="20" w:type="dxa"/>
            </w:tcMar>
            <w:vAlign w:val="center"/>
            <w:hideMark/>
          </w:tcPr>
          <w:p w:rsidR="00000000" w:rsidRDefault="001F1FC8">
            <w:pPr>
              <w:jc w:val="right"/>
              <w:rPr>
                <w:rFonts w:eastAsia="Times New Roman"/>
              </w:rPr>
            </w:pPr>
          </w:p>
        </w:tc>
      </w:tr>
      <w:tr w:rsidR="00000000">
        <w:trPr>
          <w:divId w:val="208031228"/>
        </w:trPr>
        <w:tc>
          <w:tcPr>
            <w:tcW w:w="0" w:type="auto"/>
            <w:gridSpan w:val="3"/>
            <w:vAlign w:val="center"/>
            <w:hideMark/>
          </w:tcPr>
          <w:p w:rsidR="00000000" w:rsidRDefault="001F1FC8">
            <w:pPr>
              <w:jc w:val="right"/>
              <w:rPr>
                <w:rFonts w:eastAsia="Times New Roman"/>
                <w:sz w:val="20"/>
                <w:szCs w:val="20"/>
              </w:rPr>
            </w:pPr>
          </w:p>
        </w:tc>
        <w:tc>
          <w:tcPr>
            <w:tcW w:w="0" w:type="auto"/>
            <w:gridSpan w:val="3"/>
            <w:vAlign w:val="center"/>
            <w:hideMark/>
          </w:tcPr>
          <w:p w:rsidR="00000000" w:rsidRDefault="001F1FC8">
            <w:pPr>
              <w:rPr>
                <w:rFonts w:eastAsia="Times New Roman"/>
                <w:sz w:val="20"/>
                <w:szCs w:val="20"/>
              </w:rPr>
            </w:pPr>
          </w:p>
        </w:tc>
        <w:tc>
          <w:tcPr>
            <w:tcW w:w="0" w:type="auto"/>
            <w:gridSpan w:val="3"/>
            <w:vAlign w:val="center"/>
            <w:hideMark/>
          </w:tcPr>
          <w:p w:rsidR="00000000" w:rsidRDefault="001F1FC8">
            <w:pPr>
              <w:rPr>
                <w:rFonts w:eastAsia="Times New Roman"/>
                <w:sz w:val="20"/>
                <w:szCs w:val="20"/>
              </w:rPr>
            </w:pPr>
          </w:p>
        </w:tc>
        <w:tc>
          <w:tcPr>
            <w:tcW w:w="0" w:type="auto"/>
            <w:gridSpan w:val="3"/>
            <w:vAlign w:val="center"/>
            <w:hideMark/>
          </w:tcPr>
          <w:p w:rsidR="00000000" w:rsidRDefault="001F1FC8">
            <w:pPr>
              <w:rPr>
                <w:rFonts w:eastAsia="Times New Roman"/>
                <w:sz w:val="20"/>
                <w:szCs w:val="20"/>
              </w:rPr>
            </w:pPr>
          </w:p>
        </w:tc>
      </w:tr>
      <w:tr w:rsidR="00000000">
        <w:trPr>
          <w:divId w:val="208031228"/>
        </w:trPr>
        <w:tc>
          <w:tcPr>
            <w:tcW w:w="0" w:type="auto"/>
            <w:gridSpan w:val="3"/>
            <w:tcMar>
              <w:top w:w="30" w:type="dxa"/>
              <w:left w:w="20" w:type="dxa"/>
              <w:bottom w:w="30" w:type="dxa"/>
              <w:right w:w="20" w:type="dxa"/>
            </w:tcMar>
            <w:vAlign w:val="center"/>
            <w:hideMark/>
          </w:tcPr>
          <w:p w:rsidR="00000000" w:rsidRDefault="001F1FC8">
            <w:pPr>
              <w:ind w:firstLine="180"/>
              <w:divId w:val="1749183006"/>
              <w:rPr>
                <w:rFonts w:eastAsia="Times New Roman"/>
              </w:rPr>
            </w:pPr>
            <w:r>
              <w:rPr>
                <w:rFonts w:ascii="Arial" w:eastAsia="Times New Roman" w:hAnsi="Arial" w:cs="Arial"/>
                <w:color w:val="000000"/>
                <w:sz w:val="20"/>
                <w:szCs w:val="20"/>
              </w:rPr>
              <w:t>Effects of rate-regulated accountin</w:t>
            </w:r>
            <w:r>
              <w:rPr>
                <w:rFonts w:ascii="Arial" w:eastAsia="Times New Roman" w:hAnsi="Arial" w:cs="Arial"/>
                <w:color w:val="000000"/>
                <w:sz w:val="20"/>
                <w:szCs w:val="20"/>
              </w:rPr>
              <w:t>g</w:t>
            </w:r>
            <w:r>
              <w:rPr>
                <w:rFonts w:ascii="Arial" w:eastAsia="Times New Roman" w:hAnsi="Arial" w:cs="Arial"/>
                <w:color w:val="000000"/>
                <w:sz w:val="10"/>
                <w:szCs w:val="10"/>
              </w:rPr>
              <w:t>3</w:t>
            </w:r>
          </w:p>
        </w:tc>
        <w:tc>
          <w:tcPr>
            <w:tcW w:w="0" w:type="auto"/>
            <w:gridSpan w:val="2"/>
            <w:shd w:val="clear" w:color="auto" w:fill="D9D9D9"/>
            <w:tcMar>
              <w:top w:w="30" w:type="dxa"/>
              <w:left w:w="20" w:type="dxa"/>
              <w:bottom w:w="30" w:type="dxa"/>
              <w:right w:w="0" w:type="dxa"/>
            </w:tcMar>
            <w:vAlign w:val="bottom"/>
            <w:hideMark/>
          </w:tcPr>
          <w:p w:rsidR="00000000" w:rsidRDefault="001F1FC8">
            <w:pPr>
              <w:ind w:firstLine="360"/>
              <w:jc w:val="right"/>
              <w:rPr>
                <w:rFonts w:eastAsia="Times New Roman"/>
              </w:rPr>
            </w:pPr>
            <w:r>
              <w:rPr>
                <w:rFonts w:ascii="Arial" w:eastAsia="Times New Roman" w:hAnsi="Arial" w:cs="Arial"/>
                <w:b/>
                <w:bCs/>
                <w:color w:val="000000"/>
                <w:sz w:val="20"/>
                <w:szCs w:val="20"/>
              </w:rPr>
              <w:t>(139)</w:t>
            </w:r>
          </w:p>
        </w:tc>
        <w:tc>
          <w:tcPr>
            <w:tcW w:w="0" w:type="auto"/>
            <w:shd w:val="clear" w:color="auto" w:fill="D9D9D9"/>
            <w:tcMar>
              <w:top w:w="30" w:type="dxa"/>
              <w:left w:w="0" w:type="dxa"/>
              <w:bottom w:w="30" w:type="dxa"/>
              <w:right w:w="20" w:type="dxa"/>
            </w:tcMar>
            <w:vAlign w:val="bottom"/>
            <w:hideMark/>
          </w:tcPr>
          <w:p w:rsidR="00000000" w:rsidRDefault="001F1FC8">
            <w:pPr>
              <w:ind w:firstLine="360"/>
              <w:jc w:val="right"/>
              <w:rPr>
                <w:rFonts w:eastAsia="Times New Roman"/>
              </w:rPr>
            </w:pPr>
          </w:p>
        </w:tc>
        <w:tc>
          <w:tcPr>
            <w:tcW w:w="0" w:type="auto"/>
            <w:gridSpan w:val="2"/>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20"/>
                <w:szCs w:val="20"/>
              </w:rPr>
              <w:t>(145)</w:t>
            </w:r>
          </w:p>
        </w:tc>
        <w:tc>
          <w:tcPr>
            <w:tcW w:w="0" w:type="auto"/>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20"/>
                <w:szCs w:val="20"/>
              </w:rPr>
              <w:t>(63)</w:t>
            </w:r>
          </w:p>
        </w:tc>
        <w:tc>
          <w:tcPr>
            <w:tcW w:w="0" w:type="auto"/>
            <w:tcMar>
              <w:top w:w="30" w:type="dxa"/>
              <w:left w:w="0" w:type="dxa"/>
              <w:bottom w:w="30" w:type="dxa"/>
              <w:right w:w="20" w:type="dxa"/>
            </w:tcMar>
            <w:vAlign w:val="center"/>
            <w:hideMark/>
          </w:tcPr>
          <w:p w:rsidR="00000000" w:rsidRDefault="001F1FC8">
            <w:pPr>
              <w:jc w:val="right"/>
              <w:rPr>
                <w:rFonts w:eastAsia="Times New Roman"/>
              </w:rPr>
            </w:pPr>
          </w:p>
        </w:tc>
      </w:tr>
      <w:tr w:rsidR="00000000">
        <w:trPr>
          <w:divId w:val="208031228"/>
        </w:trPr>
        <w:tc>
          <w:tcPr>
            <w:tcW w:w="0" w:type="auto"/>
            <w:gridSpan w:val="3"/>
            <w:tcMar>
              <w:top w:w="30" w:type="dxa"/>
              <w:left w:w="20" w:type="dxa"/>
              <w:bottom w:w="30" w:type="dxa"/>
              <w:right w:w="20" w:type="dxa"/>
            </w:tcMar>
            <w:vAlign w:val="center"/>
            <w:hideMark/>
          </w:tcPr>
          <w:p w:rsidR="00000000" w:rsidRDefault="001F1FC8">
            <w:pPr>
              <w:ind w:firstLine="180"/>
              <w:divId w:val="835802943"/>
              <w:rPr>
                <w:rFonts w:eastAsia="Times New Roman"/>
              </w:rPr>
            </w:pPr>
            <w:r>
              <w:rPr>
                <w:rFonts w:ascii="Arial" w:eastAsia="Times New Roman" w:hAnsi="Arial" w:cs="Arial"/>
                <w:color w:val="000000"/>
                <w:sz w:val="20"/>
                <w:szCs w:val="20"/>
              </w:rPr>
              <w:t>Foreign allowable interest deduction</w:t>
            </w:r>
            <w:r>
              <w:rPr>
                <w:rFonts w:ascii="Arial" w:eastAsia="Times New Roman" w:hAnsi="Arial" w:cs="Arial"/>
                <w:color w:val="000000"/>
                <w:sz w:val="20"/>
                <w:szCs w:val="20"/>
              </w:rPr>
              <w:t>s</w:t>
            </w:r>
            <w:r>
              <w:rPr>
                <w:rFonts w:ascii="Arial" w:eastAsia="Times New Roman" w:hAnsi="Arial" w:cs="Arial"/>
                <w:color w:val="000000"/>
                <w:sz w:val="10"/>
                <w:szCs w:val="10"/>
              </w:rPr>
              <w:t>4</w:t>
            </w:r>
          </w:p>
        </w:tc>
        <w:tc>
          <w:tcPr>
            <w:tcW w:w="0" w:type="auto"/>
            <w:gridSpan w:val="2"/>
            <w:shd w:val="clear" w:color="auto" w:fill="D9D9D9"/>
            <w:tcMar>
              <w:top w:w="30" w:type="dxa"/>
              <w:left w:w="20" w:type="dxa"/>
              <w:bottom w:w="30" w:type="dxa"/>
              <w:right w:w="0" w:type="dxa"/>
            </w:tcMar>
            <w:vAlign w:val="bottom"/>
            <w:hideMark/>
          </w:tcPr>
          <w:p w:rsidR="00000000" w:rsidRDefault="001F1FC8">
            <w:pPr>
              <w:ind w:firstLine="360"/>
              <w:jc w:val="right"/>
              <w:rPr>
                <w:rFonts w:eastAsia="Times New Roman"/>
              </w:rPr>
            </w:pPr>
            <w:r>
              <w:rPr>
                <w:rFonts w:ascii="Arial" w:eastAsia="Times New Roman" w:hAnsi="Arial" w:cs="Arial"/>
                <w:b/>
                <w:bCs/>
                <w:color w:val="000000"/>
                <w:sz w:val="20"/>
                <w:szCs w:val="20"/>
              </w:rPr>
              <w:t>—</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bottom"/>
            <w:hideMark/>
          </w:tcPr>
          <w:p w:rsidR="00000000" w:rsidRDefault="001F1FC8">
            <w:pPr>
              <w:ind w:firstLine="360"/>
              <w:jc w:val="right"/>
              <w:rPr>
                <w:rFonts w:eastAsia="Times New Roman"/>
              </w:rPr>
            </w:pPr>
          </w:p>
        </w:tc>
        <w:tc>
          <w:tcPr>
            <w:tcW w:w="0" w:type="auto"/>
            <w:gridSpan w:val="2"/>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20"/>
                <w:szCs w:val="20"/>
              </w:rPr>
              <w:t>(4)</w:t>
            </w:r>
          </w:p>
        </w:tc>
        <w:tc>
          <w:tcPr>
            <w:tcW w:w="0" w:type="auto"/>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20"/>
                <w:szCs w:val="20"/>
              </w:rPr>
              <w:t>(29)</w:t>
            </w:r>
          </w:p>
        </w:tc>
        <w:tc>
          <w:tcPr>
            <w:tcW w:w="0" w:type="auto"/>
            <w:tcMar>
              <w:top w:w="30" w:type="dxa"/>
              <w:left w:w="0" w:type="dxa"/>
              <w:bottom w:w="30" w:type="dxa"/>
              <w:right w:w="20" w:type="dxa"/>
            </w:tcMar>
            <w:vAlign w:val="center"/>
            <w:hideMark/>
          </w:tcPr>
          <w:p w:rsidR="00000000" w:rsidRDefault="001F1FC8">
            <w:pPr>
              <w:jc w:val="right"/>
              <w:rPr>
                <w:rFonts w:eastAsia="Times New Roman"/>
              </w:rPr>
            </w:pPr>
          </w:p>
        </w:tc>
      </w:tr>
      <w:tr w:rsidR="00000000">
        <w:trPr>
          <w:divId w:val="208031228"/>
        </w:trPr>
        <w:tc>
          <w:tcPr>
            <w:tcW w:w="0" w:type="auto"/>
            <w:gridSpan w:val="3"/>
            <w:tcMar>
              <w:top w:w="30" w:type="dxa"/>
              <w:left w:w="20" w:type="dxa"/>
              <w:bottom w:w="30" w:type="dxa"/>
              <w:right w:w="20" w:type="dxa"/>
            </w:tcMar>
            <w:vAlign w:val="center"/>
            <w:hideMark/>
          </w:tcPr>
          <w:p w:rsidR="00000000" w:rsidRDefault="001F1FC8">
            <w:pPr>
              <w:ind w:firstLine="180"/>
              <w:divId w:val="1006639165"/>
              <w:rPr>
                <w:rFonts w:eastAsia="Times New Roman"/>
              </w:rPr>
            </w:pPr>
            <w:r>
              <w:rPr>
                <w:rFonts w:ascii="Arial" w:eastAsia="Times New Roman" w:hAnsi="Arial" w:cs="Arial"/>
                <w:color w:val="000000"/>
                <w:sz w:val="20"/>
                <w:szCs w:val="20"/>
              </w:rPr>
              <w:t>Part </w:t>
            </w:r>
            <w:r>
              <w:rPr>
                <w:rFonts w:ascii="Arial" w:eastAsia="Times New Roman" w:hAnsi="Arial" w:cs="Arial"/>
                <w:color w:val="000000"/>
                <w:sz w:val="20"/>
                <w:szCs w:val="20"/>
              </w:rPr>
              <w:t>VI.1 tax, net of federal Part I deductio</w:t>
            </w:r>
            <w:r>
              <w:rPr>
                <w:rFonts w:ascii="Arial" w:eastAsia="Times New Roman" w:hAnsi="Arial" w:cs="Arial"/>
                <w:color w:val="000000"/>
                <w:sz w:val="20"/>
                <w:szCs w:val="20"/>
              </w:rPr>
              <w:t>n</w:t>
            </w:r>
            <w:r>
              <w:rPr>
                <w:rFonts w:ascii="Arial" w:eastAsia="Times New Roman" w:hAnsi="Arial" w:cs="Arial"/>
                <w:color w:val="000000"/>
                <w:sz w:val="10"/>
                <w:szCs w:val="10"/>
              </w:rPr>
              <w:t>5</w:t>
            </w:r>
          </w:p>
        </w:tc>
        <w:tc>
          <w:tcPr>
            <w:tcW w:w="0" w:type="auto"/>
            <w:gridSpan w:val="2"/>
            <w:shd w:val="clear" w:color="auto" w:fill="D9D9D9"/>
            <w:tcMar>
              <w:top w:w="30" w:type="dxa"/>
              <w:left w:w="20" w:type="dxa"/>
              <w:bottom w:w="30" w:type="dxa"/>
              <w:right w:w="0" w:type="dxa"/>
            </w:tcMar>
            <w:vAlign w:val="bottom"/>
            <w:hideMark/>
          </w:tcPr>
          <w:p w:rsidR="00000000" w:rsidRDefault="001F1FC8">
            <w:pPr>
              <w:ind w:firstLine="360"/>
              <w:jc w:val="right"/>
              <w:rPr>
                <w:rFonts w:eastAsia="Times New Roman"/>
              </w:rPr>
            </w:pPr>
            <w:r>
              <w:rPr>
                <w:rFonts w:ascii="Arial" w:eastAsia="Times New Roman" w:hAnsi="Arial" w:cs="Arial"/>
                <w:b/>
                <w:bCs/>
                <w:color w:val="000000"/>
                <w:sz w:val="20"/>
                <w:szCs w:val="20"/>
              </w:rPr>
              <w:t>73</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bottom"/>
            <w:hideMark/>
          </w:tcPr>
          <w:p w:rsidR="00000000" w:rsidRDefault="001F1FC8">
            <w:pPr>
              <w:ind w:firstLine="360"/>
              <w:jc w:val="right"/>
              <w:rPr>
                <w:rFonts w:eastAsia="Times New Roman"/>
              </w:rPr>
            </w:pPr>
          </w:p>
        </w:tc>
        <w:tc>
          <w:tcPr>
            <w:tcW w:w="0" w:type="auto"/>
            <w:gridSpan w:val="2"/>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20"/>
                <w:szCs w:val="20"/>
              </w:rPr>
              <w:t>76 </w:t>
            </w:r>
          </w:p>
        </w:tc>
        <w:tc>
          <w:tcPr>
            <w:tcW w:w="0" w:type="auto"/>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20"/>
                <w:szCs w:val="20"/>
              </w:rPr>
              <w:t>78 </w:t>
            </w:r>
          </w:p>
        </w:tc>
        <w:tc>
          <w:tcPr>
            <w:tcW w:w="0" w:type="auto"/>
            <w:tcMar>
              <w:top w:w="30" w:type="dxa"/>
              <w:left w:w="0" w:type="dxa"/>
              <w:bottom w:w="30" w:type="dxa"/>
              <w:right w:w="20" w:type="dxa"/>
            </w:tcMar>
            <w:vAlign w:val="center"/>
            <w:hideMark/>
          </w:tcPr>
          <w:p w:rsidR="00000000" w:rsidRDefault="001F1FC8">
            <w:pPr>
              <w:jc w:val="right"/>
              <w:rPr>
                <w:rFonts w:eastAsia="Times New Roman"/>
              </w:rPr>
            </w:pPr>
          </w:p>
        </w:tc>
      </w:tr>
      <w:tr w:rsidR="00000000">
        <w:trPr>
          <w:divId w:val="208031228"/>
        </w:trPr>
        <w:tc>
          <w:tcPr>
            <w:tcW w:w="0" w:type="auto"/>
            <w:gridSpan w:val="3"/>
            <w:vAlign w:val="center"/>
            <w:hideMark/>
          </w:tcPr>
          <w:p w:rsidR="00000000" w:rsidRDefault="001F1FC8">
            <w:pPr>
              <w:jc w:val="right"/>
              <w:rPr>
                <w:rFonts w:eastAsia="Times New Roman"/>
                <w:sz w:val="20"/>
                <w:szCs w:val="20"/>
              </w:rPr>
            </w:pPr>
          </w:p>
        </w:tc>
        <w:tc>
          <w:tcPr>
            <w:tcW w:w="0" w:type="auto"/>
            <w:gridSpan w:val="3"/>
            <w:vAlign w:val="center"/>
            <w:hideMark/>
          </w:tcPr>
          <w:p w:rsidR="00000000" w:rsidRDefault="001F1FC8">
            <w:pPr>
              <w:rPr>
                <w:rFonts w:eastAsia="Times New Roman"/>
                <w:sz w:val="20"/>
                <w:szCs w:val="20"/>
              </w:rPr>
            </w:pPr>
          </w:p>
        </w:tc>
        <w:tc>
          <w:tcPr>
            <w:tcW w:w="0" w:type="auto"/>
            <w:gridSpan w:val="3"/>
            <w:vAlign w:val="center"/>
            <w:hideMark/>
          </w:tcPr>
          <w:p w:rsidR="00000000" w:rsidRDefault="001F1FC8">
            <w:pPr>
              <w:rPr>
                <w:rFonts w:eastAsia="Times New Roman"/>
                <w:sz w:val="20"/>
                <w:szCs w:val="20"/>
              </w:rPr>
            </w:pPr>
          </w:p>
        </w:tc>
        <w:tc>
          <w:tcPr>
            <w:tcW w:w="0" w:type="auto"/>
            <w:gridSpan w:val="3"/>
            <w:vAlign w:val="center"/>
            <w:hideMark/>
          </w:tcPr>
          <w:p w:rsidR="00000000" w:rsidRDefault="001F1FC8">
            <w:pPr>
              <w:rPr>
                <w:rFonts w:eastAsia="Times New Roman"/>
                <w:sz w:val="20"/>
                <w:szCs w:val="20"/>
              </w:rPr>
            </w:pPr>
          </w:p>
        </w:tc>
      </w:tr>
      <w:tr w:rsidR="00000000">
        <w:trPr>
          <w:divId w:val="208031228"/>
        </w:trPr>
        <w:tc>
          <w:tcPr>
            <w:tcW w:w="0" w:type="auto"/>
            <w:gridSpan w:val="3"/>
            <w:tcMar>
              <w:top w:w="30" w:type="dxa"/>
              <w:left w:w="20" w:type="dxa"/>
              <w:bottom w:w="30" w:type="dxa"/>
              <w:right w:w="20" w:type="dxa"/>
            </w:tcMar>
            <w:vAlign w:val="center"/>
            <w:hideMark/>
          </w:tcPr>
          <w:p w:rsidR="00000000" w:rsidRDefault="001F1FC8">
            <w:pPr>
              <w:ind w:firstLine="180"/>
              <w:divId w:val="1973050908"/>
              <w:rPr>
                <w:rFonts w:eastAsia="Times New Roman"/>
              </w:rPr>
            </w:pPr>
            <w:r>
              <w:rPr>
                <w:rFonts w:ascii="Arial" w:eastAsia="Times New Roman" w:hAnsi="Arial" w:cs="Arial"/>
                <w:color w:val="000000"/>
                <w:sz w:val="20"/>
                <w:szCs w:val="20"/>
              </w:rPr>
              <w:t>US Minimum Ta</w:t>
            </w:r>
            <w:r>
              <w:rPr>
                <w:rFonts w:ascii="Arial" w:eastAsia="Times New Roman" w:hAnsi="Arial" w:cs="Arial"/>
                <w:color w:val="000000"/>
                <w:sz w:val="20"/>
                <w:szCs w:val="20"/>
              </w:rPr>
              <w:t>x</w:t>
            </w:r>
            <w:r>
              <w:rPr>
                <w:rFonts w:ascii="Arial" w:eastAsia="Times New Roman" w:hAnsi="Arial" w:cs="Arial"/>
                <w:color w:val="000000"/>
                <w:sz w:val="10"/>
                <w:szCs w:val="10"/>
              </w:rPr>
              <w:t>6</w:t>
            </w:r>
          </w:p>
        </w:tc>
        <w:tc>
          <w:tcPr>
            <w:tcW w:w="0" w:type="auto"/>
            <w:gridSpan w:val="2"/>
            <w:shd w:val="clear" w:color="auto" w:fill="D9D9D9"/>
            <w:tcMar>
              <w:top w:w="30" w:type="dxa"/>
              <w:left w:w="20" w:type="dxa"/>
              <w:bottom w:w="30" w:type="dxa"/>
              <w:right w:w="0" w:type="dxa"/>
            </w:tcMar>
            <w:vAlign w:val="bottom"/>
            <w:hideMark/>
          </w:tcPr>
          <w:p w:rsidR="00000000" w:rsidRDefault="001F1FC8">
            <w:pPr>
              <w:ind w:firstLine="360"/>
              <w:jc w:val="right"/>
              <w:rPr>
                <w:rFonts w:eastAsia="Times New Roman"/>
              </w:rPr>
            </w:pPr>
            <w:r>
              <w:rPr>
                <w:rFonts w:ascii="Arial" w:eastAsia="Times New Roman" w:hAnsi="Arial" w:cs="Arial"/>
                <w:b/>
                <w:bCs/>
                <w:color w:val="000000"/>
                <w:sz w:val="20"/>
                <w:szCs w:val="20"/>
              </w:rPr>
              <w:t>—</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bottom"/>
            <w:hideMark/>
          </w:tcPr>
          <w:p w:rsidR="00000000" w:rsidRDefault="001F1FC8">
            <w:pPr>
              <w:ind w:firstLine="360"/>
              <w:jc w:val="right"/>
              <w:rPr>
                <w:rFonts w:eastAsia="Times New Roman"/>
              </w:rPr>
            </w:pPr>
          </w:p>
        </w:tc>
        <w:tc>
          <w:tcPr>
            <w:tcW w:w="0" w:type="auto"/>
            <w:gridSpan w:val="2"/>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20"/>
                <w:szCs w:val="20"/>
              </w:rPr>
              <w:t>44 </w:t>
            </w:r>
          </w:p>
        </w:tc>
        <w:tc>
          <w:tcPr>
            <w:tcW w:w="0" w:type="auto"/>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20"/>
                <w:szCs w:val="20"/>
              </w:rPr>
              <w:t>67 </w:t>
            </w:r>
          </w:p>
        </w:tc>
        <w:tc>
          <w:tcPr>
            <w:tcW w:w="0" w:type="auto"/>
            <w:tcMar>
              <w:top w:w="30" w:type="dxa"/>
              <w:left w:w="0" w:type="dxa"/>
              <w:bottom w:w="30" w:type="dxa"/>
              <w:right w:w="20" w:type="dxa"/>
            </w:tcMar>
            <w:vAlign w:val="center"/>
            <w:hideMark/>
          </w:tcPr>
          <w:p w:rsidR="00000000" w:rsidRDefault="001F1FC8">
            <w:pPr>
              <w:jc w:val="right"/>
              <w:rPr>
                <w:rFonts w:eastAsia="Times New Roman"/>
              </w:rPr>
            </w:pPr>
          </w:p>
        </w:tc>
      </w:tr>
      <w:tr w:rsidR="00000000">
        <w:trPr>
          <w:divId w:val="208031228"/>
        </w:trPr>
        <w:tc>
          <w:tcPr>
            <w:tcW w:w="0" w:type="auto"/>
            <w:gridSpan w:val="3"/>
            <w:tcMar>
              <w:top w:w="30" w:type="dxa"/>
              <w:left w:w="20" w:type="dxa"/>
              <w:bottom w:w="30" w:type="dxa"/>
              <w:right w:w="20" w:type="dxa"/>
            </w:tcMar>
            <w:vAlign w:val="center"/>
            <w:hideMark/>
          </w:tcPr>
          <w:p w:rsidR="00000000" w:rsidRDefault="001F1FC8">
            <w:pPr>
              <w:ind w:hanging="180"/>
              <w:divId w:val="122384426"/>
              <w:rPr>
                <w:rFonts w:eastAsia="Times New Roman"/>
              </w:rPr>
            </w:pPr>
            <w:r>
              <w:rPr>
                <w:rFonts w:ascii="Arial" w:eastAsia="Times New Roman" w:hAnsi="Arial" w:cs="Arial"/>
                <w:color w:val="000000"/>
                <w:sz w:val="20"/>
                <w:szCs w:val="20"/>
              </w:rPr>
              <w:t>Non-taxable portion of gain on sale of investmen</w:t>
            </w:r>
            <w:r>
              <w:rPr>
                <w:rFonts w:ascii="Arial" w:eastAsia="Times New Roman" w:hAnsi="Arial" w:cs="Arial"/>
                <w:color w:val="000000"/>
                <w:sz w:val="20"/>
                <w:szCs w:val="20"/>
              </w:rPr>
              <w:t>t</w:t>
            </w:r>
            <w:r>
              <w:rPr>
                <w:rFonts w:ascii="Arial" w:eastAsia="Times New Roman" w:hAnsi="Arial" w:cs="Arial"/>
                <w:color w:val="000000"/>
                <w:sz w:val="10"/>
                <w:szCs w:val="10"/>
              </w:rPr>
              <w:t>7</w:t>
            </w:r>
          </w:p>
        </w:tc>
        <w:tc>
          <w:tcPr>
            <w:tcW w:w="0" w:type="auto"/>
            <w:gridSpan w:val="2"/>
            <w:shd w:val="clear" w:color="auto" w:fill="D9D9D9"/>
            <w:tcMar>
              <w:top w:w="30" w:type="dxa"/>
              <w:left w:w="20" w:type="dxa"/>
              <w:bottom w:w="30" w:type="dxa"/>
              <w:right w:w="0" w:type="dxa"/>
            </w:tcMar>
            <w:vAlign w:val="bottom"/>
            <w:hideMark/>
          </w:tcPr>
          <w:p w:rsidR="00000000" w:rsidRDefault="001F1FC8">
            <w:pPr>
              <w:ind w:firstLine="360"/>
              <w:jc w:val="right"/>
              <w:rPr>
                <w:rFonts w:eastAsia="Times New Roman"/>
              </w:rPr>
            </w:pPr>
            <w:r>
              <w:rPr>
                <w:rFonts w:ascii="Arial" w:eastAsia="Times New Roman" w:hAnsi="Arial" w:cs="Arial"/>
                <w:b/>
                <w:bCs/>
                <w:color w:val="000000"/>
                <w:sz w:val="20"/>
                <w:szCs w:val="20"/>
              </w:rPr>
              <w:t>(23)</w:t>
            </w:r>
          </w:p>
        </w:tc>
        <w:tc>
          <w:tcPr>
            <w:tcW w:w="0" w:type="auto"/>
            <w:shd w:val="clear" w:color="auto" w:fill="D9D9D9"/>
            <w:tcMar>
              <w:top w:w="30" w:type="dxa"/>
              <w:left w:w="0" w:type="dxa"/>
              <w:bottom w:w="30" w:type="dxa"/>
              <w:right w:w="20" w:type="dxa"/>
            </w:tcMar>
            <w:vAlign w:val="bottom"/>
            <w:hideMark/>
          </w:tcPr>
          <w:p w:rsidR="00000000" w:rsidRDefault="001F1FC8">
            <w:pPr>
              <w:ind w:firstLine="360"/>
              <w:jc w:val="right"/>
              <w:rPr>
                <w:rFonts w:eastAsia="Times New Roman"/>
              </w:rPr>
            </w:pPr>
          </w:p>
        </w:tc>
        <w:tc>
          <w:tcPr>
            <w:tcW w:w="0" w:type="auto"/>
            <w:gridSpan w:val="2"/>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20"/>
                <w:szCs w:val="20"/>
              </w:rPr>
              <w:t>— </w:t>
            </w:r>
          </w:p>
        </w:tc>
        <w:tc>
          <w:tcPr>
            <w:tcW w:w="0" w:type="auto"/>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20"/>
                <w:szCs w:val="20"/>
              </w:rPr>
              <w:t>— </w:t>
            </w:r>
          </w:p>
        </w:tc>
        <w:tc>
          <w:tcPr>
            <w:tcW w:w="0" w:type="auto"/>
            <w:tcMar>
              <w:top w:w="30" w:type="dxa"/>
              <w:left w:w="0" w:type="dxa"/>
              <w:bottom w:w="30" w:type="dxa"/>
              <w:right w:w="20" w:type="dxa"/>
            </w:tcMar>
            <w:vAlign w:val="center"/>
            <w:hideMark/>
          </w:tcPr>
          <w:p w:rsidR="00000000" w:rsidRDefault="001F1FC8">
            <w:pPr>
              <w:jc w:val="right"/>
              <w:rPr>
                <w:rFonts w:eastAsia="Times New Roman"/>
              </w:rPr>
            </w:pPr>
          </w:p>
        </w:tc>
      </w:tr>
      <w:tr w:rsidR="00000000">
        <w:trPr>
          <w:divId w:val="208031228"/>
        </w:trPr>
        <w:tc>
          <w:tcPr>
            <w:tcW w:w="0" w:type="auto"/>
            <w:gridSpan w:val="3"/>
            <w:tcMar>
              <w:top w:w="30" w:type="dxa"/>
              <w:left w:w="20" w:type="dxa"/>
              <w:bottom w:w="30" w:type="dxa"/>
              <w:right w:w="20" w:type="dxa"/>
            </w:tcMar>
            <w:vAlign w:val="center"/>
            <w:hideMark/>
          </w:tcPr>
          <w:p w:rsidR="00000000" w:rsidRDefault="001F1FC8">
            <w:pPr>
              <w:ind w:firstLine="180"/>
              <w:divId w:val="612398920"/>
              <w:rPr>
                <w:rFonts w:eastAsia="Times New Roman"/>
              </w:rPr>
            </w:pPr>
            <w:r>
              <w:rPr>
                <w:rFonts w:ascii="Arial" w:eastAsia="Times New Roman" w:hAnsi="Arial" w:cs="Arial"/>
                <w:color w:val="000000"/>
                <w:sz w:val="20"/>
                <w:szCs w:val="20"/>
              </w:rPr>
              <w:t>Valuation allowanc</w:t>
            </w:r>
            <w:r>
              <w:rPr>
                <w:rFonts w:ascii="Arial" w:eastAsia="Times New Roman" w:hAnsi="Arial" w:cs="Arial"/>
                <w:color w:val="000000"/>
                <w:sz w:val="20"/>
                <w:szCs w:val="20"/>
              </w:rPr>
              <w:t>e</w:t>
            </w:r>
            <w:r>
              <w:rPr>
                <w:rFonts w:ascii="Arial" w:eastAsia="Times New Roman" w:hAnsi="Arial" w:cs="Arial"/>
                <w:color w:val="000000"/>
                <w:sz w:val="10"/>
                <w:szCs w:val="10"/>
              </w:rPr>
              <w:t>8</w:t>
            </w:r>
          </w:p>
        </w:tc>
        <w:tc>
          <w:tcPr>
            <w:tcW w:w="0" w:type="auto"/>
            <w:gridSpan w:val="2"/>
            <w:shd w:val="clear" w:color="auto" w:fill="D9D9D9"/>
            <w:tcMar>
              <w:top w:w="30" w:type="dxa"/>
              <w:left w:w="20" w:type="dxa"/>
              <w:bottom w:w="30" w:type="dxa"/>
              <w:right w:w="0" w:type="dxa"/>
            </w:tcMar>
            <w:vAlign w:val="bottom"/>
            <w:hideMark/>
          </w:tcPr>
          <w:p w:rsidR="00000000" w:rsidRDefault="001F1FC8">
            <w:pPr>
              <w:ind w:firstLine="360"/>
              <w:jc w:val="right"/>
              <w:rPr>
                <w:rFonts w:eastAsia="Times New Roman"/>
              </w:rPr>
            </w:pPr>
            <w:r>
              <w:rPr>
                <w:rFonts w:ascii="Arial" w:eastAsia="Times New Roman" w:hAnsi="Arial" w:cs="Arial"/>
                <w:b/>
                <w:bCs/>
                <w:color w:val="000000"/>
                <w:sz w:val="20"/>
                <w:szCs w:val="20"/>
              </w:rPr>
              <w:t>5</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bottom"/>
            <w:hideMark/>
          </w:tcPr>
          <w:p w:rsidR="00000000" w:rsidRDefault="001F1FC8">
            <w:pPr>
              <w:ind w:firstLine="360"/>
              <w:jc w:val="right"/>
              <w:rPr>
                <w:rFonts w:eastAsia="Times New Roman"/>
              </w:rPr>
            </w:pPr>
          </w:p>
        </w:tc>
        <w:tc>
          <w:tcPr>
            <w:tcW w:w="0" w:type="auto"/>
            <w:gridSpan w:val="2"/>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20"/>
                <w:szCs w:val="20"/>
              </w:rPr>
              <w:t>(6)</w:t>
            </w:r>
          </w:p>
        </w:tc>
        <w:tc>
          <w:tcPr>
            <w:tcW w:w="0" w:type="auto"/>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20"/>
                <w:szCs w:val="20"/>
              </w:rPr>
              <w:t>26 </w:t>
            </w:r>
          </w:p>
        </w:tc>
        <w:tc>
          <w:tcPr>
            <w:tcW w:w="0" w:type="auto"/>
            <w:tcMar>
              <w:top w:w="30" w:type="dxa"/>
              <w:left w:w="0" w:type="dxa"/>
              <w:bottom w:w="30" w:type="dxa"/>
              <w:right w:w="20" w:type="dxa"/>
            </w:tcMar>
            <w:vAlign w:val="center"/>
            <w:hideMark/>
          </w:tcPr>
          <w:p w:rsidR="00000000" w:rsidRDefault="001F1FC8">
            <w:pPr>
              <w:jc w:val="right"/>
              <w:rPr>
                <w:rFonts w:eastAsia="Times New Roman"/>
              </w:rPr>
            </w:pPr>
          </w:p>
        </w:tc>
      </w:tr>
      <w:tr w:rsidR="00000000">
        <w:trPr>
          <w:divId w:val="208031228"/>
        </w:trPr>
        <w:tc>
          <w:tcPr>
            <w:tcW w:w="0" w:type="auto"/>
            <w:gridSpan w:val="3"/>
            <w:tcMar>
              <w:top w:w="30" w:type="dxa"/>
              <w:left w:w="20" w:type="dxa"/>
              <w:bottom w:w="30" w:type="dxa"/>
              <w:right w:w="20" w:type="dxa"/>
            </w:tcMar>
            <w:vAlign w:val="center"/>
            <w:hideMark/>
          </w:tcPr>
          <w:p w:rsidR="00000000" w:rsidRDefault="001F1FC8">
            <w:pPr>
              <w:ind w:firstLine="180"/>
              <w:divId w:val="646206813"/>
              <w:rPr>
                <w:rFonts w:eastAsia="Times New Roman"/>
              </w:rPr>
            </w:pPr>
            <w:r>
              <w:rPr>
                <w:rFonts w:ascii="Arial" w:eastAsia="Times New Roman" w:hAnsi="Arial" w:cs="Arial"/>
                <w:color w:val="000000"/>
                <w:sz w:val="20"/>
                <w:szCs w:val="20"/>
              </w:rPr>
              <w:t>Intercorporate investment</w:t>
            </w:r>
            <w:r>
              <w:rPr>
                <w:rFonts w:ascii="Arial" w:eastAsia="Times New Roman" w:hAnsi="Arial" w:cs="Arial"/>
                <w:color w:val="000000"/>
                <w:sz w:val="20"/>
                <w:szCs w:val="20"/>
              </w:rPr>
              <w:t>s</w:t>
            </w:r>
            <w:r>
              <w:rPr>
                <w:rFonts w:ascii="Arial" w:eastAsia="Times New Roman" w:hAnsi="Arial" w:cs="Arial"/>
                <w:color w:val="000000"/>
                <w:sz w:val="10"/>
                <w:szCs w:val="10"/>
              </w:rPr>
              <w:t>9</w:t>
            </w:r>
          </w:p>
        </w:tc>
        <w:tc>
          <w:tcPr>
            <w:tcW w:w="0" w:type="auto"/>
            <w:gridSpan w:val="2"/>
            <w:shd w:val="clear" w:color="auto" w:fill="D9D9D9"/>
            <w:tcMar>
              <w:top w:w="30" w:type="dxa"/>
              <w:left w:w="20" w:type="dxa"/>
              <w:bottom w:w="30" w:type="dxa"/>
              <w:right w:w="0" w:type="dxa"/>
            </w:tcMar>
            <w:vAlign w:val="bottom"/>
            <w:hideMark/>
          </w:tcPr>
          <w:p w:rsidR="00000000" w:rsidRDefault="001F1FC8">
            <w:pPr>
              <w:ind w:firstLine="360"/>
              <w:jc w:val="right"/>
              <w:rPr>
                <w:rFonts w:eastAsia="Times New Roman"/>
              </w:rPr>
            </w:pPr>
            <w:r>
              <w:rPr>
                <w:rFonts w:ascii="Arial" w:eastAsia="Times New Roman" w:hAnsi="Arial" w:cs="Arial"/>
                <w:b/>
                <w:bCs/>
                <w:color w:val="000000"/>
                <w:sz w:val="20"/>
                <w:szCs w:val="20"/>
              </w:rPr>
              <w:t>—</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bottom"/>
            <w:hideMark/>
          </w:tcPr>
          <w:p w:rsidR="00000000" w:rsidRDefault="001F1FC8">
            <w:pPr>
              <w:ind w:firstLine="360"/>
              <w:jc w:val="right"/>
              <w:rPr>
                <w:rFonts w:eastAsia="Times New Roman"/>
              </w:rPr>
            </w:pPr>
          </w:p>
        </w:tc>
        <w:tc>
          <w:tcPr>
            <w:tcW w:w="0" w:type="auto"/>
            <w:gridSpan w:val="2"/>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20"/>
                <w:szCs w:val="20"/>
              </w:rPr>
              <w:t>— </w:t>
            </w:r>
          </w:p>
        </w:tc>
        <w:tc>
          <w:tcPr>
            <w:tcW w:w="0" w:type="auto"/>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20"/>
                <w:szCs w:val="20"/>
              </w:rPr>
              <w:t>(14)</w:t>
            </w:r>
          </w:p>
        </w:tc>
        <w:tc>
          <w:tcPr>
            <w:tcW w:w="0" w:type="auto"/>
            <w:tcMar>
              <w:top w:w="30" w:type="dxa"/>
              <w:left w:w="0" w:type="dxa"/>
              <w:bottom w:w="30" w:type="dxa"/>
              <w:right w:w="20" w:type="dxa"/>
            </w:tcMar>
            <w:vAlign w:val="center"/>
            <w:hideMark/>
          </w:tcPr>
          <w:p w:rsidR="00000000" w:rsidRDefault="001F1FC8">
            <w:pPr>
              <w:jc w:val="right"/>
              <w:rPr>
                <w:rFonts w:eastAsia="Times New Roman"/>
              </w:rPr>
            </w:pPr>
          </w:p>
        </w:tc>
      </w:tr>
      <w:tr w:rsidR="00000000">
        <w:trPr>
          <w:divId w:val="208031228"/>
        </w:trPr>
        <w:tc>
          <w:tcPr>
            <w:tcW w:w="0" w:type="auto"/>
            <w:gridSpan w:val="3"/>
            <w:tcMar>
              <w:top w:w="30" w:type="dxa"/>
              <w:left w:w="20" w:type="dxa"/>
              <w:bottom w:w="30" w:type="dxa"/>
              <w:right w:w="20" w:type="dxa"/>
            </w:tcMar>
            <w:vAlign w:val="center"/>
            <w:hideMark/>
          </w:tcPr>
          <w:p w:rsidR="00000000" w:rsidRDefault="001F1FC8">
            <w:pPr>
              <w:ind w:firstLine="180"/>
              <w:rPr>
                <w:rFonts w:eastAsia="Times New Roman"/>
              </w:rPr>
            </w:pPr>
            <w:r>
              <w:rPr>
                <w:rFonts w:ascii="Arial" w:eastAsia="Times New Roman" w:hAnsi="Arial" w:cs="Arial"/>
                <w:color w:val="000000"/>
                <w:sz w:val="20"/>
                <w:szCs w:val="20"/>
              </w:rPr>
              <w:t>Noncontrolling interests</w:t>
            </w:r>
          </w:p>
        </w:tc>
        <w:tc>
          <w:tcPr>
            <w:tcW w:w="0" w:type="auto"/>
            <w:gridSpan w:val="2"/>
            <w:shd w:val="clear" w:color="auto" w:fill="D9D9D9"/>
            <w:tcMar>
              <w:top w:w="30" w:type="dxa"/>
              <w:left w:w="20" w:type="dxa"/>
              <w:bottom w:w="30" w:type="dxa"/>
              <w:right w:w="0" w:type="dxa"/>
            </w:tcMar>
            <w:vAlign w:val="bottom"/>
            <w:hideMark/>
          </w:tcPr>
          <w:p w:rsidR="00000000" w:rsidRDefault="001F1FC8">
            <w:pPr>
              <w:ind w:firstLine="360"/>
              <w:jc w:val="right"/>
              <w:rPr>
                <w:rFonts w:eastAsia="Times New Roman"/>
              </w:rPr>
            </w:pPr>
            <w:r>
              <w:rPr>
                <w:rFonts w:ascii="Arial" w:eastAsia="Times New Roman" w:hAnsi="Arial" w:cs="Arial"/>
                <w:b/>
                <w:bCs/>
                <w:color w:val="000000"/>
                <w:sz w:val="20"/>
                <w:szCs w:val="20"/>
              </w:rPr>
              <w:t>(17)</w:t>
            </w:r>
          </w:p>
        </w:tc>
        <w:tc>
          <w:tcPr>
            <w:tcW w:w="0" w:type="auto"/>
            <w:shd w:val="clear" w:color="auto" w:fill="D9D9D9"/>
            <w:tcMar>
              <w:top w:w="30" w:type="dxa"/>
              <w:left w:w="0" w:type="dxa"/>
              <w:bottom w:w="30" w:type="dxa"/>
              <w:right w:w="20" w:type="dxa"/>
            </w:tcMar>
            <w:vAlign w:val="bottom"/>
            <w:hideMark/>
          </w:tcPr>
          <w:p w:rsidR="00000000" w:rsidRDefault="001F1FC8">
            <w:pPr>
              <w:ind w:firstLine="360"/>
              <w:jc w:val="right"/>
              <w:rPr>
                <w:rFonts w:eastAsia="Times New Roman"/>
              </w:rPr>
            </w:pPr>
          </w:p>
        </w:tc>
        <w:tc>
          <w:tcPr>
            <w:tcW w:w="0" w:type="auto"/>
            <w:gridSpan w:val="2"/>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20"/>
                <w:szCs w:val="20"/>
              </w:rPr>
              <w:t>(8)</w:t>
            </w:r>
          </w:p>
        </w:tc>
        <w:tc>
          <w:tcPr>
            <w:tcW w:w="0" w:type="auto"/>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20"/>
                <w:szCs w:val="20"/>
              </w:rPr>
              <w:t>(13)</w:t>
            </w:r>
          </w:p>
        </w:tc>
        <w:tc>
          <w:tcPr>
            <w:tcW w:w="0" w:type="auto"/>
            <w:tcMar>
              <w:top w:w="30" w:type="dxa"/>
              <w:left w:w="0" w:type="dxa"/>
              <w:bottom w:w="30" w:type="dxa"/>
              <w:right w:w="20" w:type="dxa"/>
            </w:tcMar>
            <w:vAlign w:val="center"/>
            <w:hideMark/>
          </w:tcPr>
          <w:p w:rsidR="00000000" w:rsidRDefault="001F1FC8">
            <w:pPr>
              <w:jc w:val="right"/>
              <w:rPr>
                <w:rFonts w:eastAsia="Times New Roman"/>
              </w:rPr>
            </w:pPr>
          </w:p>
        </w:tc>
      </w:tr>
      <w:tr w:rsidR="00000000">
        <w:trPr>
          <w:divId w:val="208031228"/>
        </w:trPr>
        <w:tc>
          <w:tcPr>
            <w:tcW w:w="0" w:type="auto"/>
            <w:gridSpan w:val="3"/>
            <w:tcMar>
              <w:top w:w="30" w:type="dxa"/>
              <w:left w:w="20" w:type="dxa"/>
              <w:bottom w:w="30" w:type="dxa"/>
              <w:right w:w="20" w:type="dxa"/>
            </w:tcMar>
            <w:vAlign w:val="center"/>
            <w:hideMark/>
          </w:tcPr>
          <w:p w:rsidR="00000000" w:rsidRDefault="001F1FC8">
            <w:pPr>
              <w:ind w:firstLine="180"/>
              <w:rPr>
                <w:rFonts w:eastAsia="Times New Roman"/>
              </w:rPr>
            </w:pPr>
            <w:r>
              <w:rPr>
                <w:rFonts w:ascii="Arial" w:eastAsia="Times New Roman" w:hAnsi="Arial" w:cs="Arial"/>
                <w:color w:val="000000"/>
                <w:sz w:val="20"/>
                <w:szCs w:val="20"/>
              </w:rPr>
              <w:t>Other</w:t>
            </w:r>
          </w:p>
        </w:tc>
        <w:tc>
          <w:tcPr>
            <w:tcW w:w="0" w:type="auto"/>
            <w:gridSpan w:val="2"/>
            <w:shd w:val="clear" w:color="auto" w:fill="D9D9D9"/>
            <w:tcMar>
              <w:top w:w="30" w:type="dxa"/>
              <w:left w:w="20" w:type="dxa"/>
              <w:bottom w:w="30" w:type="dxa"/>
              <w:right w:w="0" w:type="dxa"/>
            </w:tcMar>
            <w:vAlign w:val="bottom"/>
            <w:hideMark/>
          </w:tcPr>
          <w:p w:rsidR="00000000" w:rsidRDefault="001F1FC8">
            <w:pPr>
              <w:ind w:firstLine="360"/>
              <w:jc w:val="right"/>
              <w:rPr>
                <w:rFonts w:eastAsia="Times New Roman"/>
              </w:rPr>
            </w:pPr>
            <w:r>
              <w:rPr>
                <w:rFonts w:ascii="Arial" w:eastAsia="Times New Roman" w:hAnsi="Arial" w:cs="Arial"/>
                <w:b/>
                <w:bCs/>
                <w:color w:val="000000"/>
                <w:sz w:val="20"/>
                <w:szCs w:val="20"/>
              </w:rPr>
              <w:t>(5)</w:t>
            </w:r>
          </w:p>
        </w:tc>
        <w:tc>
          <w:tcPr>
            <w:tcW w:w="0" w:type="auto"/>
            <w:shd w:val="clear" w:color="auto" w:fill="D9D9D9"/>
            <w:tcMar>
              <w:top w:w="30" w:type="dxa"/>
              <w:left w:w="0" w:type="dxa"/>
              <w:bottom w:w="30" w:type="dxa"/>
              <w:right w:w="20" w:type="dxa"/>
            </w:tcMar>
            <w:vAlign w:val="bottom"/>
            <w:hideMark/>
          </w:tcPr>
          <w:p w:rsidR="00000000" w:rsidRDefault="001F1FC8">
            <w:pPr>
              <w:ind w:firstLine="360"/>
              <w:jc w:val="right"/>
              <w:rPr>
                <w:rFonts w:eastAsia="Times New Roman"/>
              </w:rPr>
            </w:pPr>
          </w:p>
        </w:tc>
        <w:tc>
          <w:tcPr>
            <w:tcW w:w="0" w:type="auto"/>
            <w:gridSpan w:val="2"/>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20"/>
                <w:szCs w:val="20"/>
              </w:rPr>
              <w:t>(47)</w:t>
            </w:r>
          </w:p>
        </w:tc>
        <w:tc>
          <w:tcPr>
            <w:tcW w:w="0" w:type="auto"/>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20"/>
                <w:szCs w:val="20"/>
              </w:rPr>
              <w:t>(18)</w:t>
            </w:r>
          </w:p>
        </w:tc>
        <w:tc>
          <w:tcPr>
            <w:tcW w:w="0" w:type="auto"/>
            <w:tcMar>
              <w:top w:w="30" w:type="dxa"/>
              <w:left w:w="0" w:type="dxa"/>
              <w:bottom w:w="30" w:type="dxa"/>
              <w:right w:w="20" w:type="dxa"/>
            </w:tcMar>
            <w:vAlign w:val="center"/>
            <w:hideMark/>
          </w:tcPr>
          <w:p w:rsidR="00000000" w:rsidRDefault="001F1FC8">
            <w:pPr>
              <w:jc w:val="right"/>
              <w:rPr>
                <w:rFonts w:eastAsia="Times New Roman"/>
              </w:rPr>
            </w:pPr>
          </w:p>
        </w:tc>
      </w:tr>
      <w:tr w:rsidR="00000000">
        <w:trPr>
          <w:divId w:val="208031228"/>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1F1FC8">
            <w:pPr>
              <w:rPr>
                <w:rFonts w:eastAsia="Times New Roman"/>
              </w:rPr>
            </w:pPr>
            <w:r>
              <w:rPr>
                <w:rFonts w:ascii="Arial" w:eastAsia="Times New Roman" w:hAnsi="Arial" w:cs="Arial"/>
                <w:color w:val="000000"/>
                <w:sz w:val="20"/>
                <w:szCs w:val="20"/>
              </w:rPr>
              <w:t>Income tax expense</w:t>
            </w:r>
          </w:p>
        </w:tc>
        <w:tc>
          <w:tcPr>
            <w:tcW w:w="0" w:type="auto"/>
            <w:gridSpan w:val="2"/>
            <w:tcBorders>
              <w:top w:val="single" w:sz="4" w:space="0" w:color="000000"/>
            </w:tcBorders>
            <w:shd w:val="clear" w:color="auto" w:fill="D9D9D9"/>
            <w:tcMar>
              <w:top w:w="30" w:type="dxa"/>
              <w:left w:w="20" w:type="dxa"/>
              <w:bottom w:w="30" w:type="dxa"/>
              <w:right w:w="0" w:type="dxa"/>
            </w:tcMar>
            <w:vAlign w:val="bottom"/>
            <w:hideMark/>
          </w:tcPr>
          <w:p w:rsidR="00000000" w:rsidRDefault="001F1FC8">
            <w:pPr>
              <w:ind w:firstLine="360"/>
              <w:jc w:val="right"/>
              <w:rPr>
                <w:rFonts w:eastAsia="Times New Roman"/>
              </w:rPr>
            </w:pPr>
            <w:r>
              <w:rPr>
                <w:rFonts w:ascii="Arial" w:eastAsia="Times New Roman" w:hAnsi="Arial" w:cs="Arial"/>
                <w:b/>
                <w:bCs/>
                <w:color w:val="000000"/>
                <w:sz w:val="20"/>
                <w:szCs w:val="20"/>
              </w:rPr>
              <w:t>1,415</w:t>
            </w:r>
            <w:r>
              <w:rPr>
                <w:rFonts w:ascii="Arial" w:eastAsia="Times New Roman" w:hAnsi="Arial" w:cs="Arial"/>
                <w:color w:val="000000"/>
                <w:sz w:val="20"/>
                <w:szCs w:val="20"/>
              </w:rPr>
              <w:t> </w:t>
            </w:r>
          </w:p>
        </w:tc>
        <w:tc>
          <w:tcPr>
            <w:tcW w:w="0" w:type="auto"/>
            <w:tcBorders>
              <w:top w:val="single" w:sz="4" w:space="0" w:color="000000"/>
            </w:tcBorders>
            <w:shd w:val="clear" w:color="auto" w:fill="D9D9D9"/>
            <w:tcMar>
              <w:top w:w="30" w:type="dxa"/>
              <w:left w:w="0" w:type="dxa"/>
              <w:bottom w:w="30" w:type="dxa"/>
              <w:right w:w="20" w:type="dxa"/>
            </w:tcMar>
            <w:vAlign w:val="bottom"/>
            <w:hideMark/>
          </w:tcPr>
          <w:p w:rsidR="00000000" w:rsidRDefault="001F1FC8">
            <w:pPr>
              <w:ind w:firstLine="36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20"/>
                <w:szCs w:val="20"/>
              </w:rPr>
              <w:t>774 </w:t>
            </w:r>
          </w:p>
        </w:tc>
        <w:tc>
          <w:tcPr>
            <w:tcW w:w="0" w:type="auto"/>
            <w:tcBorders>
              <w:top w:val="single" w:sz="4" w:space="0" w:color="000000"/>
            </w:tcBorders>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20"/>
                <w:szCs w:val="20"/>
              </w:rPr>
              <w:t>1,708 </w:t>
            </w:r>
          </w:p>
        </w:tc>
        <w:tc>
          <w:tcPr>
            <w:tcW w:w="0" w:type="auto"/>
            <w:tcBorders>
              <w:top w:val="single" w:sz="4" w:space="0" w:color="000000"/>
            </w:tcBorders>
            <w:tcMar>
              <w:top w:w="30" w:type="dxa"/>
              <w:left w:w="0" w:type="dxa"/>
              <w:bottom w:w="30" w:type="dxa"/>
              <w:right w:w="20" w:type="dxa"/>
            </w:tcMar>
            <w:vAlign w:val="center"/>
            <w:hideMark/>
          </w:tcPr>
          <w:p w:rsidR="00000000" w:rsidRDefault="001F1FC8">
            <w:pPr>
              <w:jc w:val="right"/>
              <w:rPr>
                <w:rFonts w:eastAsia="Times New Roman"/>
              </w:rPr>
            </w:pPr>
          </w:p>
        </w:tc>
      </w:tr>
      <w:tr w:rsidR="00000000">
        <w:trPr>
          <w:divId w:val="208031228"/>
        </w:trPr>
        <w:tc>
          <w:tcPr>
            <w:tcW w:w="0" w:type="auto"/>
            <w:gridSpan w:val="3"/>
            <w:tcBorders>
              <w:top w:val="single" w:sz="4" w:space="0" w:color="000000"/>
              <w:bottom w:val="single" w:sz="8" w:space="0" w:color="000000"/>
            </w:tcBorders>
            <w:tcMar>
              <w:top w:w="30" w:type="dxa"/>
              <w:left w:w="20" w:type="dxa"/>
              <w:bottom w:w="30" w:type="dxa"/>
              <w:right w:w="20" w:type="dxa"/>
            </w:tcMar>
            <w:vAlign w:val="center"/>
            <w:hideMark/>
          </w:tcPr>
          <w:p w:rsidR="00000000" w:rsidRDefault="001F1FC8">
            <w:pPr>
              <w:rPr>
                <w:rFonts w:eastAsia="Times New Roman"/>
              </w:rPr>
            </w:pPr>
            <w:r>
              <w:rPr>
                <w:rFonts w:ascii="Arial" w:eastAsia="Times New Roman" w:hAnsi="Arial" w:cs="Arial"/>
                <w:color w:val="000000"/>
                <w:sz w:val="20"/>
                <w:szCs w:val="20"/>
              </w:rPr>
              <w:t>Effective income tax rate</w:t>
            </w:r>
          </w:p>
        </w:tc>
        <w:tc>
          <w:tcPr>
            <w:tcW w:w="0" w:type="auto"/>
            <w:gridSpan w:val="3"/>
            <w:tcBorders>
              <w:top w:val="single" w:sz="4" w:space="0" w:color="000000"/>
              <w:bottom w:val="single" w:sz="8" w:space="0" w:color="000000"/>
            </w:tcBorders>
            <w:shd w:val="clear" w:color="auto" w:fill="D9D9D9"/>
            <w:tcMar>
              <w:top w:w="30" w:type="dxa"/>
              <w:left w:w="20" w:type="dxa"/>
              <w:bottom w:w="30" w:type="dxa"/>
              <w:right w:w="20" w:type="dxa"/>
            </w:tcMar>
            <w:vAlign w:val="center"/>
            <w:hideMark/>
          </w:tcPr>
          <w:p w:rsidR="00000000" w:rsidRDefault="001F1FC8">
            <w:pPr>
              <w:jc w:val="right"/>
              <w:rPr>
                <w:rFonts w:eastAsia="Times New Roman"/>
              </w:rPr>
            </w:pPr>
            <w:r>
              <w:rPr>
                <w:rFonts w:ascii="Arial" w:eastAsia="Times New Roman" w:hAnsi="Arial" w:cs="Arial"/>
                <w:b/>
                <w:bCs/>
                <w:color w:val="000000"/>
                <w:sz w:val="20"/>
                <w:szCs w:val="20"/>
              </w:rPr>
              <w:t>18.3%</w:t>
            </w:r>
          </w:p>
        </w:tc>
        <w:tc>
          <w:tcPr>
            <w:tcW w:w="0" w:type="auto"/>
            <w:gridSpan w:val="3"/>
            <w:tcBorders>
              <w:top w:val="single" w:sz="4" w:space="0" w:color="000000"/>
              <w:bottom w:val="single" w:sz="8" w:space="0" w:color="000000"/>
            </w:tcBorders>
            <w:tcMar>
              <w:top w:w="30" w:type="dxa"/>
              <w:left w:w="20" w:type="dxa"/>
              <w:bottom w:w="30" w:type="dxa"/>
              <w:right w:w="20" w:type="dxa"/>
            </w:tcMar>
            <w:vAlign w:val="center"/>
            <w:hideMark/>
          </w:tcPr>
          <w:p w:rsidR="00000000" w:rsidRDefault="001F1FC8">
            <w:pPr>
              <w:jc w:val="right"/>
              <w:rPr>
                <w:rFonts w:eastAsia="Times New Roman"/>
              </w:rPr>
            </w:pPr>
            <w:r>
              <w:rPr>
                <w:rFonts w:ascii="Arial" w:eastAsia="Times New Roman" w:hAnsi="Arial" w:cs="Arial"/>
                <w:color w:val="000000"/>
                <w:sz w:val="20"/>
                <w:szCs w:val="20"/>
              </w:rPr>
              <w:t>18.5%</w:t>
            </w:r>
          </w:p>
        </w:tc>
        <w:tc>
          <w:tcPr>
            <w:tcW w:w="0" w:type="auto"/>
            <w:gridSpan w:val="3"/>
            <w:tcBorders>
              <w:top w:val="single" w:sz="4" w:space="0" w:color="000000"/>
              <w:bottom w:val="single" w:sz="8" w:space="0" w:color="000000"/>
            </w:tcBorders>
            <w:tcMar>
              <w:top w:w="30" w:type="dxa"/>
              <w:left w:w="20" w:type="dxa"/>
              <w:bottom w:w="30" w:type="dxa"/>
              <w:right w:w="20" w:type="dxa"/>
            </w:tcMar>
            <w:vAlign w:val="center"/>
            <w:hideMark/>
          </w:tcPr>
          <w:p w:rsidR="00000000" w:rsidRDefault="001F1FC8">
            <w:pPr>
              <w:jc w:val="right"/>
              <w:rPr>
                <w:rFonts w:eastAsia="Times New Roman"/>
              </w:rPr>
            </w:pPr>
            <w:r>
              <w:rPr>
                <w:rFonts w:ascii="Arial" w:eastAsia="Times New Roman" w:hAnsi="Arial" w:cs="Arial"/>
                <w:color w:val="000000"/>
                <w:sz w:val="20"/>
                <w:szCs w:val="20"/>
              </w:rPr>
              <w:t>22.7%</w:t>
            </w:r>
          </w:p>
        </w:tc>
      </w:tr>
    </w:tbl>
    <w:p w:rsidR="00000000" w:rsidRDefault="001F1FC8">
      <w:pPr>
        <w:ind w:hanging="180"/>
        <w:divId w:val="1259674391"/>
        <w:rPr>
          <w:rFonts w:eastAsia="Times New Roman"/>
        </w:rPr>
      </w:pPr>
      <w:r>
        <w:rPr>
          <w:rFonts w:ascii="Arial" w:eastAsia="Times New Roman" w:hAnsi="Arial" w:cs="Arial"/>
          <w:i/>
          <w:iCs/>
          <w:color w:val="000000"/>
          <w:sz w:val="16"/>
          <w:szCs w:val="16"/>
        </w:rPr>
        <w:t xml:space="preserve">1 </w:t>
      </w:r>
      <w:r>
        <w:rPr>
          <w:rFonts w:ascii="Arial" w:eastAsia="Times New Roman" w:hAnsi="Arial" w:cs="Arial"/>
          <w:i/>
          <w:iCs/>
          <w:color w:val="000000"/>
          <w:sz w:val="16"/>
          <w:szCs w:val="16"/>
        </w:rPr>
        <w:t>The change in provincial and state income taxes from 2020 to 2021 reflects the 2020 impact of state tax apportionment and rate changes in both the US and Canada offset by the increase in earnings from US and Canadian operations in 2021.</w:t>
      </w:r>
    </w:p>
    <w:p w:rsidR="00000000" w:rsidRDefault="001F1FC8">
      <w:pPr>
        <w:ind w:hanging="180"/>
        <w:divId w:val="1610577641"/>
        <w:rPr>
          <w:rFonts w:eastAsia="Times New Roman"/>
        </w:rPr>
      </w:pPr>
      <w:r>
        <w:rPr>
          <w:rFonts w:ascii="Arial" w:eastAsia="Times New Roman" w:hAnsi="Arial" w:cs="Arial"/>
          <w:i/>
          <w:iCs/>
          <w:color w:val="000000"/>
          <w:sz w:val="16"/>
          <w:szCs w:val="16"/>
        </w:rPr>
        <w:t>2 The change in for</w:t>
      </w:r>
      <w:r>
        <w:rPr>
          <w:rFonts w:ascii="Arial" w:eastAsia="Times New Roman" w:hAnsi="Arial" w:cs="Arial"/>
          <w:i/>
          <w:iCs/>
          <w:color w:val="000000"/>
          <w:sz w:val="16"/>
          <w:szCs w:val="16"/>
        </w:rPr>
        <w:t>eign and other statutory rate differentials from 2020 to 2021 reflects the increase in earnings from US operations partially offset by higher rate benefits from foreign operations.</w:t>
      </w:r>
    </w:p>
    <w:p w:rsidR="00000000" w:rsidRDefault="001F1FC8">
      <w:pPr>
        <w:ind w:hanging="180"/>
        <w:divId w:val="1838882108"/>
        <w:rPr>
          <w:rFonts w:eastAsia="Times New Roman"/>
        </w:rPr>
      </w:pPr>
      <w:r>
        <w:rPr>
          <w:rFonts w:ascii="Arial" w:eastAsia="Times New Roman" w:hAnsi="Arial" w:cs="Arial"/>
          <w:i/>
          <w:iCs/>
          <w:color w:val="000000"/>
          <w:sz w:val="16"/>
          <w:szCs w:val="16"/>
        </w:rPr>
        <w:t>3 The amount in 2019 included the federal component of the tax benefit of t</w:t>
      </w:r>
      <w:r>
        <w:rPr>
          <w:rFonts w:ascii="Arial" w:eastAsia="Times New Roman" w:hAnsi="Arial" w:cs="Arial"/>
          <w:i/>
          <w:iCs/>
          <w:color w:val="000000"/>
          <w:sz w:val="16"/>
          <w:szCs w:val="16"/>
        </w:rPr>
        <w:t>he write-off of regulatory assets.</w:t>
      </w:r>
    </w:p>
    <w:p w:rsidR="00000000" w:rsidRDefault="001F1FC8">
      <w:pPr>
        <w:ind w:hanging="180"/>
        <w:divId w:val="425854960"/>
        <w:rPr>
          <w:rFonts w:eastAsia="Times New Roman"/>
        </w:rPr>
      </w:pPr>
      <w:r>
        <w:rPr>
          <w:rFonts w:ascii="Arial" w:eastAsia="Times New Roman" w:hAnsi="Arial" w:cs="Arial"/>
          <w:i/>
          <w:iCs/>
          <w:color w:val="000000"/>
          <w:sz w:val="16"/>
          <w:szCs w:val="16"/>
        </w:rPr>
        <w:t>4 The decrease in foreign allowable interest deductions from 2019 to 2021 was due to changes in the related loan portfolio.</w:t>
      </w:r>
    </w:p>
    <w:p w:rsidR="00000000" w:rsidRDefault="001F1FC8">
      <w:pPr>
        <w:ind w:hanging="180"/>
        <w:divId w:val="189533003"/>
        <w:rPr>
          <w:rFonts w:eastAsia="Times New Roman"/>
        </w:rPr>
      </w:pPr>
      <w:r>
        <w:rPr>
          <w:rFonts w:ascii="Arial" w:eastAsia="Times New Roman" w:hAnsi="Arial" w:cs="Arial"/>
          <w:i/>
          <w:iCs/>
          <w:color w:val="000000"/>
          <w:sz w:val="16"/>
          <w:szCs w:val="16"/>
        </w:rPr>
        <w:t>5 Part VI.1 tax is a tax levied on preferred share dividends paid in Canada.</w:t>
      </w:r>
    </w:p>
    <w:p w:rsidR="00000000" w:rsidRDefault="001F1FC8">
      <w:pPr>
        <w:ind w:hanging="180"/>
        <w:divId w:val="1301111656"/>
        <w:rPr>
          <w:rFonts w:eastAsia="Times New Roman"/>
        </w:rPr>
      </w:pPr>
      <w:r>
        <w:rPr>
          <w:rFonts w:ascii="Arial" w:eastAsia="Times New Roman" w:hAnsi="Arial" w:cs="Arial"/>
          <w:i/>
          <w:iCs/>
          <w:color w:val="000000"/>
          <w:sz w:val="16"/>
          <w:szCs w:val="16"/>
        </w:rPr>
        <w:t>6 There was no US Mi</w:t>
      </w:r>
      <w:r>
        <w:rPr>
          <w:rFonts w:ascii="Arial" w:eastAsia="Times New Roman" w:hAnsi="Arial" w:cs="Arial"/>
          <w:i/>
          <w:iCs/>
          <w:color w:val="000000"/>
          <w:sz w:val="16"/>
          <w:szCs w:val="16"/>
        </w:rPr>
        <w:t>nimum Tax in 2021 as a result of tax losses from bonus tax depreciation.</w:t>
      </w:r>
    </w:p>
    <w:p w:rsidR="00000000" w:rsidRDefault="001F1FC8">
      <w:pPr>
        <w:ind w:hanging="180"/>
        <w:divId w:val="601106156"/>
        <w:rPr>
          <w:rFonts w:eastAsia="Times New Roman"/>
        </w:rPr>
      </w:pPr>
      <w:r>
        <w:rPr>
          <w:rFonts w:ascii="Arial" w:eastAsia="Times New Roman" w:hAnsi="Arial" w:cs="Arial"/>
          <w:i/>
          <w:iCs/>
          <w:color w:val="000000"/>
          <w:sz w:val="16"/>
          <w:szCs w:val="16"/>
        </w:rPr>
        <w:t>7 The amount in 2021 relates to the federal impact of the gain on sale of the investment in Noverco.</w:t>
      </w:r>
    </w:p>
    <w:p w:rsidR="00000000" w:rsidRDefault="001F1FC8">
      <w:pPr>
        <w:ind w:hanging="180"/>
        <w:divId w:val="1055465451"/>
        <w:rPr>
          <w:rFonts w:eastAsia="Times New Roman"/>
        </w:rPr>
      </w:pPr>
      <w:r>
        <w:rPr>
          <w:rFonts w:ascii="Arial" w:eastAsia="Times New Roman" w:hAnsi="Arial" w:cs="Arial"/>
          <w:i/>
          <w:iCs/>
          <w:color w:val="000000"/>
          <w:sz w:val="16"/>
          <w:szCs w:val="16"/>
        </w:rPr>
        <w:t>8 The increase in 2021 is due to the federal component of the tax effect of a valu</w:t>
      </w:r>
      <w:r>
        <w:rPr>
          <w:rFonts w:ascii="Arial" w:eastAsia="Times New Roman" w:hAnsi="Arial" w:cs="Arial"/>
          <w:i/>
          <w:iCs/>
          <w:color w:val="000000"/>
          <w:sz w:val="16"/>
          <w:szCs w:val="16"/>
        </w:rPr>
        <w:t>ation allowance on additional deferred tax assets that are not more likely than not to be realized.</w:t>
      </w:r>
    </w:p>
    <w:p w:rsidR="00000000" w:rsidRDefault="001F1FC8">
      <w:pPr>
        <w:ind w:hanging="180"/>
        <w:divId w:val="236865160"/>
        <w:rPr>
          <w:rFonts w:eastAsia="Times New Roman"/>
        </w:rPr>
      </w:pPr>
      <w:r>
        <w:rPr>
          <w:rFonts w:ascii="Arial" w:eastAsia="Times New Roman" w:hAnsi="Arial" w:cs="Arial"/>
          <w:i/>
          <w:iCs/>
          <w:color w:val="000000"/>
          <w:sz w:val="16"/>
          <w:szCs w:val="16"/>
        </w:rPr>
        <w:t>9 The amount in 2019 relates to the federal component of changes in assertions regarding the manner of recovery of intercorporate investments such that defe</w:t>
      </w:r>
      <w:r>
        <w:rPr>
          <w:rFonts w:ascii="Arial" w:eastAsia="Times New Roman" w:hAnsi="Arial" w:cs="Arial"/>
          <w:i/>
          <w:iCs/>
          <w:color w:val="000000"/>
          <w:sz w:val="16"/>
          <w:szCs w:val="16"/>
        </w:rPr>
        <w:t>rred tax related to outside basis temporary differences was required to be recorded for MATL.</w:t>
      </w:r>
    </w:p>
    <w:p w:rsidR="00000000" w:rsidRDefault="001F1FC8">
      <w:pPr>
        <w:jc w:val="center"/>
        <w:divId w:val="2080788263"/>
        <w:rPr>
          <w:rFonts w:eastAsia="Times New Roman"/>
        </w:rPr>
      </w:pPr>
      <w:r>
        <w:rPr>
          <w:rFonts w:ascii="Arial" w:eastAsia="Times New Roman" w:hAnsi="Arial" w:cs="Arial"/>
          <w:color w:val="000000"/>
          <w:sz w:val="20"/>
          <w:szCs w:val="20"/>
        </w:rPr>
        <w:t>161</w:t>
      </w:r>
    </w:p>
    <w:p w:rsidR="00000000" w:rsidRDefault="001F1FC8">
      <w:pPr>
        <w:rPr>
          <w:rFonts w:eastAsia="Times New Roman"/>
        </w:rPr>
      </w:pPr>
      <w:r>
        <w:rPr>
          <w:rFonts w:eastAsia="Times New Roman"/>
        </w:rPr>
        <w:pict>
          <v:rect id="_x0000_i1191" style="width:0;height:1.5pt" o:hralign="center" o:hrstd="t" o:hr="t" fillcolor="#a0a0a0" stroked="f"/>
        </w:pict>
      </w:r>
    </w:p>
    <w:p w:rsidR="00000000" w:rsidRDefault="001F1FC8">
      <w:pPr>
        <w:jc w:val="center"/>
        <w:divId w:val="1526747487"/>
        <w:rPr>
          <w:rFonts w:eastAsia="Times New Roman"/>
        </w:rPr>
      </w:pPr>
    </w:p>
    <w:p w:rsidR="00000000" w:rsidRDefault="001F1FC8">
      <w:pPr>
        <w:divId w:val="1516505131"/>
        <w:rPr>
          <w:rFonts w:eastAsia="Times New Roman"/>
        </w:rPr>
      </w:pPr>
      <w:r>
        <w:rPr>
          <w:rFonts w:ascii="Arial" w:eastAsia="Times New Roman" w:hAnsi="Arial" w:cs="Arial"/>
          <w:b/>
          <w:bCs/>
          <w:color w:val="000000"/>
          <w:sz w:val="20"/>
          <w:szCs w:val="20"/>
        </w:rPr>
        <w:t>COMPONENTS OF PRETAX EARNINGS AND INCOME TAXES</w:t>
      </w:r>
    </w:p>
    <w:tbl>
      <w:tblPr>
        <w:tblW w:w="5000" w:type="pct"/>
        <w:tblCellMar>
          <w:top w:w="15" w:type="dxa"/>
          <w:left w:w="15" w:type="dxa"/>
          <w:bottom w:w="15" w:type="dxa"/>
          <w:right w:w="15" w:type="dxa"/>
        </w:tblCellMar>
        <w:tblLook w:val="04A0" w:firstRow="1" w:lastRow="0" w:firstColumn="1" w:lastColumn="0" w:noHBand="0" w:noVBand="1"/>
      </w:tblPr>
      <w:tblGrid>
        <w:gridCol w:w="69"/>
        <w:gridCol w:w="5446"/>
        <w:gridCol w:w="36"/>
        <w:gridCol w:w="69"/>
        <w:gridCol w:w="812"/>
        <w:gridCol w:w="36"/>
        <w:gridCol w:w="69"/>
        <w:gridCol w:w="813"/>
        <w:gridCol w:w="36"/>
        <w:gridCol w:w="70"/>
        <w:gridCol w:w="814"/>
        <w:gridCol w:w="36"/>
      </w:tblGrid>
      <w:tr w:rsidR="00000000">
        <w:trPr>
          <w:divId w:val="1795512953"/>
        </w:trPr>
        <w:tc>
          <w:tcPr>
            <w:tcW w:w="50" w:type="pct"/>
            <w:vAlign w:val="center"/>
            <w:hideMark/>
          </w:tcPr>
          <w:p w:rsidR="00000000" w:rsidRDefault="001F1FC8">
            <w:pPr>
              <w:rPr>
                <w:rFonts w:eastAsia="Times New Roman"/>
              </w:rPr>
            </w:pPr>
          </w:p>
        </w:tc>
        <w:tc>
          <w:tcPr>
            <w:tcW w:w="3286"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c>
          <w:tcPr>
            <w:tcW w:w="50" w:type="pct"/>
            <w:vAlign w:val="center"/>
            <w:hideMark/>
          </w:tcPr>
          <w:p w:rsidR="00000000" w:rsidRDefault="001F1FC8">
            <w:pPr>
              <w:rPr>
                <w:rFonts w:eastAsia="Times New Roman"/>
                <w:sz w:val="20"/>
                <w:szCs w:val="20"/>
              </w:rPr>
            </w:pPr>
          </w:p>
        </w:tc>
        <w:tc>
          <w:tcPr>
            <w:tcW w:w="497"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c>
          <w:tcPr>
            <w:tcW w:w="50" w:type="pct"/>
            <w:vAlign w:val="center"/>
            <w:hideMark/>
          </w:tcPr>
          <w:p w:rsidR="00000000" w:rsidRDefault="001F1FC8">
            <w:pPr>
              <w:rPr>
                <w:rFonts w:eastAsia="Times New Roman"/>
                <w:sz w:val="20"/>
                <w:szCs w:val="20"/>
              </w:rPr>
            </w:pPr>
          </w:p>
        </w:tc>
        <w:tc>
          <w:tcPr>
            <w:tcW w:w="497"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c>
          <w:tcPr>
            <w:tcW w:w="50" w:type="pct"/>
            <w:vAlign w:val="center"/>
            <w:hideMark/>
          </w:tcPr>
          <w:p w:rsidR="00000000" w:rsidRDefault="001F1FC8">
            <w:pPr>
              <w:rPr>
                <w:rFonts w:eastAsia="Times New Roman"/>
                <w:sz w:val="20"/>
                <w:szCs w:val="20"/>
              </w:rPr>
            </w:pPr>
          </w:p>
        </w:tc>
        <w:tc>
          <w:tcPr>
            <w:tcW w:w="498"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r>
      <w:tr w:rsidR="00000000">
        <w:trPr>
          <w:divId w:val="1795512953"/>
        </w:trPr>
        <w:tc>
          <w:tcPr>
            <w:tcW w:w="0" w:type="auto"/>
            <w:gridSpan w:val="3"/>
            <w:tcMar>
              <w:top w:w="30" w:type="dxa"/>
              <w:left w:w="20" w:type="dxa"/>
              <w:bottom w:w="30" w:type="dxa"/>
              <w:right w:w="20" w:type="dxa"/>
            </w:tcMar>
            <w:vAlign w:val="center"/>
            <w:hideMark/>
          </w:tcPr>
          <w:p w:rsidR="00000000" w:rsidRDefault="001F1FC8">
            <w:pPr>
              <w:rPr>
                <w:rFonts w:eastAsia="Times New Roman"/>
              </w:rPr>
            </w:pPr>
            <w:r>
              <w:rPr>
                <w:rFonts w:ascii="Arial" w:eastAsia="Times New Roman" w:hAnsi="Arial" w:cs="Arial"/>
                <w:color w:val="000000"/>
                <w:sz w:val="20"/>
                <w:szCs w:val="20"/>
              </w:rPr>
              <w:t>Year ended December 31,</w:t>
            </w:r>
          </w:p>
        </w:tc>
        <w:tc>
          <w:tcPr>
            <w:tcW w:w="0" w:type="auto"/>
            <w:gridSpan w:val="3"/>
            <w:tcMar>
              <w:top w:w="30" w:type="dxa"/>
              <w:left w:w="20" w:type="dxa"/>
              <w:bottom w:w="30" w:type="dxa"/>
              <w:right w:w="20" w:type="dxa"/>
            </w:tcMar>
            <w:vAlign w:val="center"/>
            <w:hideMark/>
          </w:tcPr>
          <w:p w:rsidR="00000000" w:rsidRDefault="001F1FC8">
            <w:pPr>
              <w:jc w:val="right"/>
              <w:rPr>
                <w:rFonts w:eastAsia="Times New Roman"/>
              </w:rPr>
            </w:pPr>
            <w:r>
              <w:rPr>
                <w:rFonts w:ascii="Arial" w:eastAsia="Times New Roman" w:hAnsi="Arial" w:cs="Arial"/>
                <w:b/>
                <w:bCs/>
                <w:color w:val="000000"/>
                <w:sz w:val="20"/>
                <w:szCs w:val="20"/>
              </w:rPr>
              <w:t>2021</w:t>
            </w:r>
          </w:p>
        </w:tc>
        <w:tc>
          <w:tcPr>
            <w:tcW w:w="0" w:type="auto"/>
            <w:gridSpan w:val="3"/>
            <w:tcMar>
              <w:top w:w="30" w:type="dxa"/>
              <w:left w:w="20" w:type="dxa"/>
              <w:bottom w:w="30" w:type="dxa"/>
              <w:right w:w="20" w:type="dxa"/>
            </w:tcMar>
            <w:vAlign w:val="center"/>
            <w:hideMark/>
          </w:tcPr>
          <w:p w:rsidR="00000000" w:rsidRDefault="001F1FC8">
            <w:pPr>
              <w:jc w:val="right"/>
              <w:rPr>
                <w:rFonts w:eastAsia="Times New Roman"/>
              </w:rPr>
            </w:pPr>
            <w:r>
              <w:rPr>
                <w:rFonts w:ascii="Arial" w:eastAsia="Times New Roman" w:hAnsi="Arial" w:cs="Arial"/>
                <w:color w:val="000000"/>
                <w:sz w:val="20"/>
                <w:szCs w:val="20"/>
              </w:rPr>
              <w:t>2020</w:t>
            </w:r>
          </w:p>
        </w:tc>
        <w:tc>
          <w:tcPr>
            <w:tcW w:w="0" w:type="auto"/>
            <w:gridSpan w:val="3"/>
            <w:tcMar>
              <w:top w:w="30" w:type="dxa"/>
              <w:left w:w="20" w:type="dxa"/>
              <w:bottom w:w="30" w:type="dxa"/>
              <w:right w:w="20" w:type="dxa"/>
            </w:tcMar>
            <w:vAlign w:val="center"/>
            <w:hideMark/>
          </w:tcPr>
          <w:p w:rsidR="00000000" w:rsidRDefault="001F1FC8">
            <w:pPr>
              <w:jc w:val="right"/>
              <w:rPr>
                <w:rFonts w:eastAsia="Times New Roman"/>
              </w:rPr>
            </w:pPr>
            <w:r>
              <w:rPr>
                <w:rFonts w:ascii="Arial" w:eastAsia="Times New Roman" w:hAnsi="Arial" w:cs="Arial"/>
                <w:color w:val="000000"/>
                <w:sz w:val="20"/>
                <w:szCs w:val="20"/>
              </w:rPr>
              <w:t>2019</w:t>
            </w:r>
          </w:p>
        </w:tc>
      </w:tr>
      <w:tr w:rsidR="00000000">
        <w:trPr>
          <w:divId w:val="1795512953"/>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1F1FC8">
            <w:pPr>
              <w:rPr>
                <w:rFonts w:eastAsia="Times New Roman"/>
              </w:rPr>
            </w:pPr>
            <w:r>
              <w:rPr>
                <w:rFonts w:ascii="Arial" w:eastAsia="Times New Roman" w:hAnsi="Arial" w:cs="Arial"/>
                <w:i/>
                <w:iCs/>
                <w:color w:val="000000"/>
                <w:sz w:val="16"/>
                <w:szCs w:val="16"/>
              </w:rPr>
              <w:t>(millions of Canadian dollars)</w:t>
            </w:r>
          </w:p>
        </w:tc>
        <w:tc>
          <w:tcPr>
            <w:tcW w:w="0" w:type="auto"/>
            <w:gridSpan w:val="3"/>
            <w:tcBorders>
              <w:top w:val="single" w:sz="4" w:space="0" w:color="000000"/>
            </w:tcBorders>
            <w:shd w:val="clear" w:color="auto" w:fill="D9D9D9"/>
            <w:tcMar>
              <w:top w:w="30" w:type="dxa"/>
              <w:left w:w="20" w:type="dxa"/>
              <w:bottom w:w="30" w:type="dxa"/>
              <w:right w:w="20" w:type="dxa"/>
            </w:tcMar>
            <w:vAlign w:val="center"/>
            <w:hideMark/>
          </w:tcPr>
          <w:p w:rsidR="00000000" w:rsidRDefault="001F1FC8">
            <w:pPr>
              <w:jc w:val="right"/>
              <w:rPr>
                <w:rFonts w:eastAsia="Times New Roman"/>
              </w:rPr>
            </w:pPr>
            <w:r>
              <w:rPr>
                <w:rFonts w:ascii="Arial" w:eastAsia="Times New Roman" w:hAnsi="Arial" w:cs="Arial"/>
                <w:color w:val="000000"/>
                <w:sz w:val="2"/>
                <w:szCs w:val="2"/>
              </w:rPr>
              <w:t> </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1F1FC8">
            <w:pPr>
              <w:jc w:val="right"/>
              <w:rPr>
                <w:rFonts w:eastAsia="Times New Roman"/>
              </w:rPr>
            </w:pPr>
            <w:r>
              <w:rPr>
                <w:rFonts w:ascii="Arial" w:eastAsia="Times New Roman" w:hAnsi="Arial" w:cs="Arial"/>
                <w:color w:val="000000"/>
                <w:sz w:val="2"/>
                <w:szCs w:val="2"/>
              </w:rPr>
              <w:t> </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1F1FC8">
            <w:pPr>
              <w:jc w:val="right"/>
              <w:rPr>
                <w:rFonts w:eastAsia="Times New Roman"/>
              </w:rPr>
            </w:pPr>
            <w:r>
              <w:rPr>
                <w:rFonts w:ascii="Arial" w:eastAsia="Times New Roman" w:hAnsi="Arial" w:cs="Arial"/>
                <w:color w:val="000000"/>
                <w:sz w:val="2"/>
                <w:szCs w:val="2"/>
              </w:rPr>
              <w:t> </w:t>
            </w:r>
          </w:p>
        </w:tc>
      </w:tr>
      <w:tr w:rsidR="00000000">
        <w:trPr>
          <w:divId w:val="1795512953"/>
        </w:trPr>
        <w:tc>
          <w:tcPr>
            <w:tcW w:w="0" w:type="auto"/>
            <w:gridSpan w:val="3"/>
            <w:tcMar>
              <w:top w:w="30" w:type="dxa"/>
              <w:left w:w="20" w:type="dxa"/>
              <w:bottom w:w="30" w:type="dxa"/>
              <w:right w:w="20" w:type="dxa"/>
            </w:tcMar>
            <w:vAlign w:val="center"/>
            <w:hideMark/>
          </w:tcPr>
          <w:p w:rsidR="00000000" w:rsidRDefault="001F1FC8">
            <w:pPr>
              <w:rPr>
                <w:rFonts w:eastAsia="Times New Roman"/>
              </w:rPr>
            </w:pPr>
            <w:r>
              <w:rPr>
                <w:rFonts w:ascii="Arial" w:eastAsia="Times New Roman" w:hAnsi="Arial" w:cs="Arial"/>
                <w:color w:val="000000"/>
                <w:sz w:val="20"/>
                <w:szCs w:val="20"/>
              </w:rPr>
              <w:t xml:space="preserve">Earnings before income taxes </w:t>
            </w:r>
          </w:p>
        </w:tc>
        <w:tc>
          <w:tcPr>
            <w:tcW w:w="0" w:type="auto"/>
            <w:gridSpan w:val="3"/>
            <w:shd w:val="clear" w:color="auto" w:fill="D9D9D9"/>
            <w:tcMar>
              <w:top w:w="30" w:type="dxa"/>
              <w:left w:w="20" w:type="dxa"/>
              <w:bottom w:w="30" w:type="dxa"/>
              <w:right w:w="20" w:type="dxa"/>
            </w:tcMar>
            <w:vAlign w:val="center"/>
            <w:hideMark/>
          </w:tcPr>
          <w:p w:rsidR="00000000" w:rsidRDefault="001F1FC8">
            <w:pPr>
              <w:jc w:val="right"/>
              <w:rPr>
                <w:rFonts w:eastAsia="Times New Roman"/>
              </w:rPr>
            </w:pPr>
            <w:r>
              <w:rPr>
                <w:rFonts w:ascii="Arial" w:eastAsia="Times New Roman" w:hAnsi="Arial" w:cs="Arial"/>
                <w:color w:val="000000"/>
                <w:sz w:val="2"/>
                <w:szCs w:val="2"/>
              </w:rPr>
              <w:t> </w:t>
            </w:r>
          </w:p>
        </w:tc>
        <w:tc>
          <w:tcPr>
            <w:tcW w:w="0" w:type="auto"/>
            <w:gridSpan w:val="3"/>
            <w:tcMar>
              <w:top w:w="30" w:type="dxa"/>
              <w:left w:w="20" w:type="dxa"/>
              <w:bottom w:w="30" w:type="dxa"/>
              <w:right w:w="20" w:type="dxa"/>
            </w:tcMar>
            <w:vAlign w:val="center"/>
            <w:hideMark/>
          </w:tcPr>
          <w:p w:rsidR="00000000" w:rsidRDefault="001F1FC8">
            <w:pPr>
              <w:jc w:val="right"/>
              <w:rPr>
                <w:rFonts w:eastAsia="Times New Roman"/>
              </w:rPr>
            </w:pPr>
            <w:r>
              <w:rPr>
                <w:rFonts w:ascii="Arial" w:eastAsia="Times New Roman" w:hAnsi="Arial" w:cs="Arial"/>
                <w:color w:val="000000"/>
                <w:sz w:val="2"/>
                <w:szCs w:val="2"/>
              </w:rPr>
              <w:t> </w:t>
            </w:r>
          </w:p>
        </w:tc>
        <w:tc>
          <w:tcPr>
            <w:tcW w:w="0" w:type="auto"/>
            <w:gridSpan w:val="3"/>
            <w:tcMar>
              <w:top w:w="30" w:type="dxa"/>
              <w:left w:w="20" w:type="dxa"/>
              <w:bottom w:w="30" w:type="dxa"/>
              <w:right w:w="20" w:type="dxa"/>
            </w:tcMar>
            <w:vAlign w:val="center"/>
            <w:hideMark/>
          </w:tcPr>
          <w:p w:rsidR="00000000" w:rsidRDefault="001F1FC8">
            <w:pPr>
              <w:jc w:val="right"/>
              <w:rPr>
                <w:rFonts w:eastAsia="Times New Roman"/>
              </w:rPr>
            </w:pPr>
            <w:r>
              <w:rPr>
                <w:rFonts w:ascii="Arial" w:eastAsia="Times New Roman" w:hAnsi="Arial" w:cs="Arial"/>
                <w:color w:val="000000"/>
                <w:sz w:val="2"/>
                <w:szCs w:val="2"/>
              </w:rPr>
              <w:t> </w:t>
            </w:r>
          </w:p>
        </w:tc>
      </w:tr>
      <w:tr w:rsidR="00000000">
        <w:trPr>
          <w:divId w:val="1795512953"/>
        </w:trPr>
        <w:tc>
          <w:tcPr>
            <w:tcW w:w="0" w:type="auto"/>
            <w:gridSpan w:val="3"/>
            <w:tcMar>
              <w:top w:w="30" w:type="dxa"/>
              <w:left w:w="155" w:type="dxa"/>
              <w:bottom w:w="30" w:type="dxa"/>
              <w:right w:w="20" w:type="dxa"/>
            </w:tcMar>
            <w:vAlign w:val="center"/>
            <w:hideMark/>
          </w:tcPr>
          <w:p w:rsidR="00000000" w:rsidRDefault="001F1FC8">
            <w:pPr>
              <w:rPr>
                <w:rFonts w:eastAsia="Times New Roman"/>
              </w:rPr>
            </w:pPr>
            <w:r>
              <w:rPr>
                <w:rFonts w:ascii="Arial" w:eastAsia="Times New Roman" w:hAnsi="Arial" w:cs="Arial"/>
                <w:color w:val="000000"/>
                <w:sz w:val="20"/>
                <w:szCs w:val="20"/>
              </w:rPr>
              <w:t>Canada</w:t>
            </w:r>
          </w:p>
        </w:tc>
        <w:tc>
          <w:tcPr>
            <w:tcW w:w="0" w:type="auto"/>
            <w:gridSpan w:val="2"/>
            <w:shd w:val="clear" w:color="auto" w:fill="D9D9D9"/>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b/>
                <w:bCs/>
                <w:color w:val="000000"/>
                <w:sz w:val="20"/>
                <w:szCs w:val="20"/>
              </w:rPr>
              <w:t>3,399</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20"/>
                <w:szCs w:val="20"/>
              </w:rPr>
              <w:t>2,789 </w:t>
            </w:r>
          </w:p>
        </w:tc>
        <w:tc>
          <w:tcPr>
            <w:tcW w:w="0" w:type="auto"/>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20"/>
                <w:szCs w:val="20"/>
              </w:rPr>
              <w:t>3,560 </w:t>
            </w:r>
          </w:p>
        </w:tc>
        <w:tc>
          <w:tcPr>
            <w:tcW w:w="0" w:type="auto"/>
            <w:tcMar>
              <w:top w:w="30" w:type="dxa"/>
              <w:left w:w="0" w:type="dxa"/>
              <w:bottom w:w="30" w:type="dxa"/>
              <w:right w:w="20" w:type="dxa"/>
            </w:tcMar>
            <w:vAlign w:val="center"/>
            <w:hideMark/>
          </w:tcPr>
          <w:p w:rsidR="00000000" w:rsidRDefault="001F1FC8">
            <w:pPr>
              <w:jc w:val="right"/>
              <w:rPr>
                <w:rFonts w:eastAsia="Times New Roman"/>
              </w:rPr>
            </w:pPr>
          </w:p>
        </w:tc>
      </w:tr>
      <w:tr w:rsidR="00000000">
        <w:trPr>
          <w:divId w:val="1795512953"/>
        </w:trPr>
        <w:tc>
          <w:tcPr>
            <w:tcW w:w="0" w:type="auto"/>
            <w:gridSpan w:val="3"/>
            <w:tcMar>
              <w:top w:w="30" w:type="dxa"/>
              <w:left w:w="155" w:type="dxa"/>
              <w:bottom w:w="30" w:type="dxa"/>
              <w:right w:w="20" w:type="dxa"/>
            </w:tcMar>
            <w:vAlign w:val="center"/>
            <w:hideMark/>
          </w:tcPr>
          <w:p w:rsidR="00000000" w:rsidRDefault="001F1FC8">
            <w:pPr>
              <w:rPr>
                <w:rFonts w:eastAsia="Times New Roman"/>
              </w:rPr>
            </w:pPr>
            <w:r>
              <w:rPr>
                <w:rFonts w:ascii="Arial" w:eastAsia="Times New Roman" w:hAnsi="Arial" w:cs="Arial"/>
                <w:color w:val="000000"/>
                <w:sz w:val="20"/>
                <w:szCs w:val="20"/>
              </w:rPr>
              <w:t>US</w:t>
            </w:r>
          </w:p>
        </w:tc>
        <w:tc>
          <w:tcPr>
            <w:tcW w:w="0" w:type="auto"/>
            <w:gridSpan w:val="2"/>
            <w:shd w:val="clear" w:color="auto" w:fill="D9D9D9"/>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b/>
                <w:bCs/>
                <w:color w:val="000000"/>
                <w:sz w:val="20"/>
                <w:szCs w:val="20"/>
              </w:rPr>
              <w:t>3,336</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20"/>
                <w:szCs w:val="20"/>
              </w:rPr>
              <w:t>407 </w:t>
            </w:r>
          </w:p>
        </w:tc>
        <w:tc>
          <w:tcPr>
            <w:tcW w:w="0" w:type="auto"/>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20"/>
                <w:szCs w:val="20"/>
              </w:rPr>
              <w:t>3,115 </w:t>
            </w:r>
          </w:p>
        </w:tc>
        <w:tc>
          <w:tcPr>
            <w:tcW w:w="0" w:type="auto"/>
            <w:tcMar>
              <w:top w:w="30" w:type="dxa"/>
              <w:left w:w="0" w:type="dxa"/>
              <w:bottom w:w="30" w:type="dxa"/>
              <w:right w:w="20" w:type="dxa"/>
            </w:tcMar>
            <w:vAlign w:val="center"/>
            <w:hideMark/>
          </w:tcPr>
          <w:p w:rsidR="00000000" w:rsidRDefault="001F1FC8">
            <w:pPr>
              <w:jc w:val="right"/>
              <w:rPr>
                <w:rFonts w:eastAsia="Times New Roman"/>
              </w:rPr>
            </w:pPr>
          </w:p>
        </w:tc>
      </w:tr>
      <w:tr w:rsidR="00000000">
        <w:trPr>
          <w:divId w:val="1795512953"/>
        </w:trPr>
        <w:tc>
          <w:tcPr>
            <w:tcW w:w="0" w:type="auto"/>
            <w:gridSpan w:val="3"/>
            <w:tcMar>
              <w:top w:w="30" w:type="dxa"/>
              <w:left w:w="155" w:type="dxa"/>
              <w:bottom w:w="30" w:type="dxa"/>
              <w:right w:w="20" w:type="dxa"/>
            </w:tcMar>
            <w:vAlign w:val="center"/>
            <w:hideMark/>
          </w:tcPr>
          <w:p w:rsidR="00000000" w:rsidRDefault="001F1FC8">
            <w:pPr>
              <w:rPr>
                <w:rFonts w:eastAsia="Times New Roman"/>
              </w:rPr>
            </w:pPr>
            <w:r>
              <w:rPr>
                <w:rFonts w:ascii="Arial" w:eastAsia="Times New Roman" w:hAnsi="Arial" w:cs="Arial"/>
                <w:color w:val="000000"/>
                <w:sz w:val="20"/>
                <w:szCs w:val="20"/>
              </w:rPr>
              <w:t>Other</w:t>
            </w:r>
          </w:p>
        </w:tc>
        <w:tc>
          <w:tcPr>
            <w:tcW w:w="0" w:type="auto"/>
            <w:gridSpan w:val="2"/>
            <w:shd w:val="clear" w:color="auto" w:fill="D9D9D9"/>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b/>
                <w:bCs/>
                <w:color w:val="000000"/>
                <w:sz w:val="20"/>
                <w:szCs w:val="20"/>
              </w:rPr>
              <w:t>994</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20"/>
                <w:szCs w:val="20"/>
              </w:rPr>
              <w:t>994 </w:t>
            </w:r>
          </w:p>
        </w:tc>
        <w:tc>
          <w:tcPr>
            <w:tcW w:w="0" w:type="auto"/>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20"/>
                <w:szCs w:val="20"/>
              </w:rPr>
              <w:t>860 </w:t>
            </w:r>
          </w:p>
        </w:tc>
        <w:tc>
          <w:tcPr>
            <w:tcW w:w="0" w:type="auto"/>
            <w:tcMar>
              <w:top w:w="30" w:type="dxa"/>
              <w:left w:w="0" w:type="dxa"/>
              <w:bottom w:w="30" w:type="dxa"/>
              <w:right w:w="20" w:type="dxa"/>
            </w:tcMar>
            <w:vAlign w:val="center"/>
            <w:hideMark/>
          </w:tcPr>
          <w:p w:rsidR="00000000" w:rsidRDefault="001F1FC8">
            <w:pPr>
              <w:jc w:val="right"/>
              <w:rPr>
                <w:rFonts w:eastAsia="Times New Roman"/>
              </w:rPr>
            </w:pPr>
          </w:p>
        </w:tc>
      </w:tr>
      <w:tr w:rsidR="00000000">
        <w:trPr>
          <w:divId w:val="1795512953"/>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1F1FC8">
            <w:pPr>
              <w:rPr>
                <w:rFonts w:eastAsia="Times New Roman"/>
              </w:rPr>
            </w:pPr>
            <w:r>
              <w:rPr>
                <w:rFonts w:ascii="Arial" w:eastAsia="Times New Roman" w:hAnsi="Arial" w:cs="Arial"/>
                <w:color w:val="000000"/>
                <w:sz w:val="2"/>
                <w:szCs w:val="2"/>
              </w:rPr>
              <w:t> </w:t>
            </w:r>
          </w:p>
        </w:tc>
        <w:tc>
          <w:tcPr>
            <w:tcW w:w="0" w:type="auto"/>
            <w:gridSpan w:val="2"/>
            <w:tcBorders>
              <w:top w:val="single" w:sz="4" w:space="0" w:color="000000"/>
            </w:tcBorders>
            <w:shd w:val="clear" w:color="auto" w:fill="D9D9D9"/>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b/>
                <w:bCs/>
                <w:color w:val="000000"/>
                <w:sz w:val="20"/>
                <w:szCs w:val="20"/>
              </w:rPr>
              <w:t>7,729</w:t>
            </w:r>
            <w:r>
              <w:rPr>
                <w:rFonts w:ascii="Arial" w:eastAsia="Times New Roman" w:hAnsi="Arial" w:cs="Arial"/>
                <w:color w:val="000000"/>
                <w:sz w:val="20"/>
                <w:szCs w:val="20"/>
              </w:rPr>
              <w:t> </w:t>
            </w:r>
          </w:p>
        </w:tc>
        <w:tc>
          <w:tcPr>
            <w:tcW w:w="0" w:type="auto"/>
            <w:tcBorders>
              <w:top w:val="single" w:sz="4" w:space="0" w:color="000000"/>
            </w:tcBorders>
            <w:shd w:val="clear" w:color="auto" w:fill="D9D9D9"/>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20"/>
                <w:szCs w:val="20"/>
              </w:rPr>
              <w:t>4,190 </w:t>
            </w:r>
          </w:p>
        </w:tc>
        <w:tc>
          <w:tcPr>
            <w:tcW w:w="0" w:type="auto"/>
            <w:tcBorders>
              <w:top w:val="single" w:sz="4" w:space="0" w:color="000000"/>
            </w:tcBorders>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20"/>
                <w:szCs w:val="20"/>
              </w:rPr>
              <w:t>7,535 </w:t>
            </w:r>
          </w:p>
        </w:tc>
        <w:tc>
          <w:tcPr>
            <w:tcW w:w="0" w:type="auto"/>
            <w:tcBorders>
              <w:top w:val="single" w:sz="4" w:space="0" w:color="000000"/>
            </w:tcBorders>
            <w:tcMar>
              <w:top w:w="30" w:type="dxa"/>
              <w:left w:w="0" w:type="dxa"/>
              <w:bottom w:w="30" w:type="dxa"/>
              <w:right w:w="20" w:type="dxa"/>
            </w:tcMar>
            <w:vAlign w:val="center"/>
            <w:hideMark/>
          </w:tcPr>
          <w:p w:rsidR="00000000" w:rsidRDefault="001F1FC8">
            <w:pPr>
              <w:jc w:val="right"/>
              <w:rPr>
                <w:rFonts w:eastAsia="Times New Roman"/>
              </w:rPr>
            </w:pPr>
          </w:p>
        </w:tc>
      </w:tr>
      <w:tr w:rsidR="00000000">
        <w:trPr>
          <w:divId w:val="1795512953"/>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1F1FC8">
            <w:pPr>
              <w:rPr>
                <w:rFonts w:eastAsia="Times New Roman"/>
              </w:rPr>
            </w:pPr>
            <w:r>
              <w:rPr>
                <w:rFonts w:ascii="Arial" w:eastAsia="Times New Roman" w:hAnsi="Arial" w:cs="Arial"/>
                <w:color w:val="000000"/>
                <w:sz w:val="20"/>
                <w:szCs w:val="20"/>
              </w:rPr>
              <w:t>Current income taxes</w:t>
            </w:r>
          </w:p>
        </w:tc>
        <w:tc>
          <w:tcPr>
            <w:tcW w:w="0" w:type="auto"/>
            <w:gridSpan w:val="3"/>
            <w:tcBorders>
              <w:top w:val="single" w:sz="4" w:space="0" w:color="000000"/>
            </w:tcBorders>
            <w:shd w:val="clear" w:color="auto" w:fill="D9D9D9"/>
            <w:tcMar>
              <w:top w:w="30" w:type="dxa"/>
              <w:left w:w="20" w:type="dxa"/>
              <w:bottom w:w="30" w:type="dxa"/>
              <w:right w:w="20" w:type="dxa"/>
            </w:tcMar>
            <w:vAlign w:val="center"/>
            <w:hideMark/>
          </w:tcPr>
          <w:p w:rsidR="00000000" w:rsidRDefault="001F1FC8">
            <w:pPr>
              <w:jc w:val="right"/>
              <w:rPr>
                <w:rFonts w:eastAsia="Times New Roman"/>
              </w:rPr>
            </w:pPr>
            <w:r>
              <w:rPr>
                <w:rFonts w:ascii="Arial" w:eastAsia="Times New Roman" w:hAnsi="Arial" w:cs="Arial"/>
                <w:color w:val="000000"/>
                <w:sz w:val="2"/>
                <w:szCs w:val="2"/>
              </w:rPr>
              <w:t> </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1F1FC8">
            <w:pPr>
              <w:jc w:val="right"/>
              <w:rPr>
                <w:rFonts w:eastAsia="Times New Roman"/>
              </w:rPr>
            </w:pPr>
            <w:r>
              <w:rPr>
                <w:rFonts w:ascii="Arial" w:eastAsia="Times New Roman" w:hAnsi="Arial" w:cs="Arial"/>
                <w:color w:val="000000"/>
                <w:sz w:val="2"/>
                <w:szCs w:val="2"/>
              </w:rPr>
              <w:t> </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1F1FC8">
            <w:pPr>
              <w:jc w:val="right"/>
              <w:rPr>
                <w:rFonts w:eastAsia="Times New Roman"/>
              </w:rPr>
            </w:pPr>
            <w:r>
              <w:rPr>
                <w:rFonts w:ascii="Arial" w:eastAsia="Times New Roman" w:hAnsi="Arial" w:cs="Arial"/>
                <w:color w:val="000000"/>
                <w:sz w:val="2"/>
                <w:szCs w:val="2"/>
              </w:rPr>
              <w:t> </w:t>
            </w:r>
          </w:p>
        </w:tc>
      </w:tr>
      <w:tr w:rsidR="00000000">
        <w:trPr>
          <w:divId w:val="1795512953"/>
        </w:trPr>
        <w:tc>
          <w:tcPr>
            <w:tcW w:w="0" w:type="auto"/>
            <w:gridSpan w:val="3"/>
            <w:tcMar>
              <w:top w:w="30" w:type="dxa"/>
              <w:left w:w="155" w:type="dxa"/>
              <w:bottom w:w="30" w:type="dxa"/>
              <w:right w:w="20" w:type="dxa"/>
            </w:tcMar>
            <w:vAlign w:val="center"/>
            <w:hideMark/>
          </w:tcPr>
          <w:p w:rsidR="00000000" w:rsidRDefault="001F1FC8">
            <w:pPr>
              <w:rPr>
                <w:rFonts w:eastAsia="Times New Roman"/>
              </w:rPr>
            </w:pPr>
            <w:r>
              <w:rPr>
                <w:rFonts w:ascii="Arial" w:eastAsia="Times New Roman" w:hAnsi="Arial" w:cs="Arial"/>
                <w:color w:val="000000"/>
                <w:sz w:val="20"/>
                <w:szCs w:val="20"/>
              </w:rPr>
              <w:t>Canada</w:t>
            </w:r>
          </w:p>
        </w:tc>
        <w:tc>
          <w:tcPr>
            <w:tcW w:w="0" w:type="auto"/>
            <w:gridSpan w:val="2"/>
            <w:shd w:val="clear" w:color="auto" w:fill="D9D9D9"/>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b/>
                <w:bCs/>
                <w:color w:val="000000"/>
                <w:sz w:val="20"/>
                <w:szCs w:val="20"/>
              </w:rPr>
              <w:t>162</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20"/>
                <w:szCs w:val="20"/>
              </w:rPr>
              <w:t>165 </w:t>
            </w:r>
          </w:p>
        </w:tc>
        <w:tc>
          <w:tcPr>
            <w:tcW w:w="0" w:type="auto"/>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20"/>
                <w:szCs w:val="20"/>
              </w:rPr>
              <w:t>347 </w:t>
            </w:r>
          </w:p>
        </w:tc>
        <w:tc>
          <w:tcPr>
            <w:tcW w:w="0" w:type="auto"/>
            <w:tcMar>
              <w:top w:w="30" w:type="dxa"/>
              <w:left w:w="0" w:type="dxa"/>
              <w:bottom w:w="30" w:type="dxa"/>
              <w:right w:w="20" w:type="dxa"/>
            </w:tcMar>
            <w:vAlign w:val="center"/>
            <w:hideMark/>
          </w:tcPr>
          <w:p w:rsidR="00000000" w:rsidRDefault="001F1FC8">
            <w:pPr>
              <w:jc w:val="right"/>
              <w:rPr>
                <w:rFonts w:eastAsia="Times New Roman"/>
              </w:rPr>
            </w:pPr>
          </w:p>
        </w:tc>
      </w:tr>
      <w:tr w:rsidR="00000000">
        <w:trPr>
          <w:divId w:val="1795512953"/>
        </w:trPr>
        <w:tc>
          <w:tcPr>
            <w:tcW w:w="0" w:type="auto"/>
            <w:gridSpan w:val="3"/>
            <w:tcMar>
              <w:top w:w="30" w:type="dxa"/>
              <w:left w:w="155" w:type="dxa"/>
              <w:bottom w:w="30" w:type="dxa"/>
              <w:right w:w="20" w:type="dxa"/>
            </w:tcMar>
            <w:vAlign w:val="center"/>
            <w:hideMark/>
          </w:tcPr>
          <w:p w:rsidR="00000000" w:rsidRDefault="001F1FC8">
            <w:pPr>
              <w:rPr>
                <w:rFonts w:eastAsia="Times New Roman"/>
              </w:rPr>
            </w:pPr>
            <w:r>
              <w:rPr>
                <w:rFonts w:ascii="Arial" w:eastAsia="Times New Roman" w:hAnsi="Arial" w:cs="Arial"/>
                <w:color w:val="000000"/>
                <w:sz w:val="20"/>
                <w:szCs w:val="20"/>
              </w:rPr>
              <w:t>US</w:t>
            </w:r>
          </w:p>
        </w:tc>
        <w:tc>
          <w:tcPr>
            <w:tcW w:w="0" w:type="auto"/>
            <w:gridSpan w:val="2"/>
            <w:shd w:val="clear" w:color="auto" w:fill="D9D9D9"/>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b/>
                <w:bCs/>
                <w:color w:val="000000"/>
                <w:sz w:val="20"/>
                <w:szCs w:val="20"/>
              </w:rPr>
              <w:t>80</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20"/>
                <w:szCs w:val="20"/>
              </w:rPr>
              <w:t>64 </w:t>
            </w:r>
          </w:p>
        </w:tc>
        <w:tc>
          <w:tcPr>
            <w:tcW w:w="0" w:type="auto"/>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20"/>
                <w:szCs w:val="20"/>
              </w:rPr>
              <w:t>107 </w:t>
            </w:r>
          </w:p>
        </w:tc>
        <w:tc>
          <w:tcPr>
            <w:tcW w:w="0" w:type="auto"/>
            <w:tcMar>
              <w:top w:w="30" w:type="dxa"/>
              <w:left w:w="0" w:type="dxa"/>
              <w:bottom w:w="30" w:type="dxa"/>
              <w:right w:w="20" w:type="dxa"/>
            </w:tcMar>
            <w:vAlign w:val="center"/>
            <w:hideMark/>
          </w:tcPr>
          <w:p w:rsidR="00000000" w:rsidRDefault="001F1FC8">
            <w:pPr>
              <w:jc w:val="right"/>
              <w:rPr>
                <w:rFonts w:eastAsia="Times New Roman"/>
              </w:rPr>
            </w:pPr>
          </w:p>
        </w:tc>
      </w:tr>
      <w:tr w:rsidR="00000000">
        <w:trPr>
          <w:divId w:val="1795512953"/>
        </w:trPr>
        <w:tc>
          <w:tcPr>
            <w:tcW w:w="0" w:type="auto"/>
            <w:gridSpan w:val="3"/>
            <w:tcMar>
              <w:top w:w="30" w:type="dxa"/>
              <w:left w:w="155" w:type="dxa"/>
              <w:bottom w:w="30" w:type="dxa"/>
              <w:right w:w="20" w:type="dxa"/>
            </w:tcMar>
            <w:vAlign w:val="center"/>
            <w:hideMark/>
          </w:tcPr>
          <w:p w:rsidR="00000000" w:rsidRDefault="001F1FC8">
            <w:pPr>
              <w:rPr>
                <w:rFonts w:eastAsia="Times New Roman"/>
              </w:rPr>
            </w:pPr>
            <w:r>
              <w:rPr>
                <w:rFonts w:ascii="Arial" w:eastAsia="Times New Roman" w:hAnsi="Arial" w:cs="Arial"/>
                <w:color w:val="000000"/>
                <w:sz w:val="20"/>
                <w:szCs w:val="20"/>
              </w:rPr>
              <w:t>Other</w:t>
            </w:r>
          </w:p>
        </w:tc>
        <w:tc>
          <w:tcPr>
            <w:tcW w:w="0" w:type="auto"/>
            <w:gridSpan w:val="2"/>
            <w:shd w:val="clear" w:color="auto" w:fill="D9D9D9"/>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b/>
                <w:bCs/>
                <w:color w:val="000000"/>
                <w:sz w:val="20"/>
                <w:szCs w:val="20"/>
              </w:rPr>
              <w:t>82</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20"/>
                <w:szCs w:val="20"/>
              </w:rPr>
              <w:t>98 </w:t>
            </w:r>
          </w:p>
        </w:tc>
        <w:tc>
          <w:tcPr>
            <w:tcW w:w="0" w:type="auto"/>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20"/>
                <w:szCs w:val="20"/>
              </w:rPr>
              <w:t>98 </w:t>
            </w:r>
          </w:p>
        </w:tc>
        <w:tc>
          <w:tcPr>
            <w:tcW w:w="0" w:type="auto"/>
            <w:tcMar>
              <w:top w:w="30" w:type="dxa"/>
              <w:left w:w="0" w:type="dxa"/>
              <w:bottom w:w="30" w:type="dxa"/>
              <w:right w:w="20" w:type="dxa"/>
            </w:tcMar>
            <w:vAlign w:val="center"/>
            <w:hideMark/>
          </w:tcPr>
          <w:p w:rsidR="00000000" w:rsidRDefault="001F1FC8">
            <w:pPr>
              <w:jc w:val="right"/>
              <w:rPr>
                <w:rFonts w:eastAsia="Times New Roman"/>
              </w:rPr>
            </w:pPr>
          </w:p>
        </w:tc>
      </w:tr>
      <w:tr w:rsidR="00000000">
        <w:trPr>
          <w:divId w:val="1795512953"/>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1F1FC8">
            <w:pPr>
              <w:rPr>
                <w:rFonts w:eastAsia="Times New Roman"/>
              </w:rPr>
            </w:pPr>
            <w:r>
              <w:rPr>
                <w:rFonts w:ascii="Arial" w:eastAsia="Times New Roman" w:hAnsi="Arial" w:cs="Arial"/>
                <w:color w:val="000000"/>
                <w:sz w:val="2"/>
                <w:szCs w:val="2"/>
              </w:rPr>
              <w:t> </w:t>
            </w:r>
          </w:p>
        </w:tc>
        <w:tc>
          <w:tcPr>
            <w:tcW w:w="0" w:type="auto"/>
            <w:gridSpan w:val="2"/>
            <w:tcBorders>
              <w:top w:val="single" w:sz="4" w:space="0" w:color="000000"/>
            </w:tcBorders>
            <w:shd w:val="clear" w:color="auto" w:fill="D9D9D9"/>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b/>
                <w:bCs/>
                <w:color w:val="000000"/>
                <w:sz w:val="20"/>
                <w:szCs w:val="20"/>
              </w:rPr>
              <w:t>324</w:t>
            </w:r>
            <w:r>
              <w:rPr>
                <w:rFonts w:ascii="Arial" w:eastAsia="Times New Roman" w:hAnsi="Arial" w:cs="Arial"/>
                <w:color w:val="000000"/>
                <w:sz w:val="20"/>
                <w:szCs w:val="20"/>
              </w:rPr>
              <w:t> </w:t>
            </w:r>
          </w:p>
        </w:tc>
        <w:tc>
          <w:tcPr>
            <w:tcW w:w="0" w:type="auto"/>
            <w:tcBorders>
              <w:top w:val="single" w:sz="4" w:space="0" w:color="000000"/>
            </w:tcBorders>
            <w:shd w:val="clear" w:color="auto" w:fill="D9D9D9"/>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20"/>
                <w:szCs w:val="20"/>
              </w:rPr>
              <w:t>327 </w:t>
            </w:r>
          </w:p>
        </w:tc>
        <w:tc>
          <w:tcPr>
            <w:tcW w:w="0" w:type="auto"/>
            <w:tcBorders>
              <w:top w:val="single" w:sz="4" w:space="0" w:color="000000"/>
            </w:tcBorders>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20"/>
                <w:szCs w:val="20"/>
              </w:rPr>
              <w:t>552 </w:t>
            </w:r>
          </w:p>
        </w:tc>
        <w:tc>
          <w:tcPr>
            <w:tcW w:w="0" w:type="auto"/>
            <w:tcBorders>
              <w:top w:val="single" w:sz="4" w:space="0" w:color="000000"/>
            </w:tcBorders>
            <w:tcMar>
              <w:top w:w="30" w:type="dxa"/>
              <w:left w:w="0" w:type="dxa"/>
              <w:bottom w:w="30" w:type="dxa"/>
              <w:right w:w="20" w:type="dxa"/>
            </w:tcMar>
            <w:vAlign w:val="center"/>
            <w:hideMark/>
          </w:tcPr>
          <w:p w:rsidR="00000000" w:rsidRDefault="001F1FC8">
            <w:pPr>
              <w:jc w:val="right"/>
              <w:rPr>
                <w:rFonts w:eastAsia="Times New Roman"/>
              </w:rPr>
            </w:pPr>
          </w:p>
        </w:tc>
      </w:tr>
      <w:tr w:rsidR="00000000">
        <w:trPr>
          <w:divId w:val="1795512953"/>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1F1FC8">
            <w:pPr>
              <w:rPr>
                <w:rFonts w:eastAsia="Times New Roman"/>
              </w:rPr>
            </w:pPr>
            <w:r>
              <w:rPr>
                <w:rFonts w:ascii="Arial" w:eastAsia="Times New Roman" w:hAnsi="Arial" w:cs="Arial"/>
                <w:color w:val="000000"/>
                <w:sz w:val="20"/>
                <w:szCs w:val="20"/>
              </w:rPr>
              <w:t>Deferred income taxes</w:t>
            </w:r>
          </w:p>
        </w:tc>
        <w:tc>
          <w:tcPr>
            <w:tcW w:w="0" w:type="auto"/>
            <w:gridSpan w:val="3"/>
            <w:tcBorders>
              <w:top w:val="single" w:sz="4" w:space="0" w:color="000000"/>
            </w:tcBorders>
            <w:shd w:val="clear" w:color="auto" w:fill="D9D9D9"/>
            <w:tcMar>
              <w:top w:w="30" w:type="dxa"/>
              <w:left w:w="20" w:type="dxa"/>
              <w:bottom w:w="30" w:type="dxa"/>
              <w:right w:w="20" w:type="dxa"/>
            </w:tcMar>
            <w:vAlign w:val="center"/>
            <w:hideMark/>
          </w:tcPr>
          <w:p w:rsidR="00000000" w:rsidRDefault="001F1FC8">
            <w:pPr>
              <w:jc w:val="right"/>
              <w:rPr>
                <w:rFonts w:eastAsia="Times New Roman"/>
              </w:rPr>
            </w:pPr>
            <w:r>
              <w:rPr>
                <w:rFonts w:ascii="Arial" w:eastAsia="Times New Roman" w:hAnsi="Arial" w:cs="Arial"/>
                <w:color w:val="000000"/>
                <w:sz w:val="2"/>
                <w:szCs w:val="2"/>
              </w:rPr>
              <w:t> </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1F1FC8">
            <w:pPr>
              <w:jc w:val="right"/>
              <w:rPr>
                <w:rFonts w:eastAsia="Times New Roman"/>
              </w:rPr>
            </w:pPr>
            <w:r>
              <w:rPr>
                <w:rFonts w:ascii="Arial" w:eastAsia="Times New Roman" w:hAnsi="Arial" w:cs="Arial"/>
                <w:color w:val="000000"/>
                <w:sz w:val="2"/>
                <w:szCs w:val="2"/>
              </w:rPr>
              <w:t> </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1F1FC8">
            <w:pPr>
              <w:jc w:val="right"/>
              <w:rPr>
                <w:rFonts w:eastAsia="Times New Roman"/>
              </w:rPr>
            </w:pPr>
            <w:r>
              <w:rPr>
                <w:rFonts w:ascii="Arial" w:eastAsia="Times New Roman" w:hAnsi="Arial" w:cs="Arial"/>
                <w:color w:val="000000"/>
                <w:sz w:val="2"/>
                <w:szCs w:val="2"/>
              </w:rPr>
              <w:t> </w:t>
            </w:r>
          </w:p>
        </w:tc>
      </w:tr>
      <w:tr w:rsidR="00000000">
        <w:trPr>
          <w:divId w:val="1795512953"/>
        </w:trPr>
        <w:tc>
          <w:tcPr>
            <w:tcW w:w="0" w:type="auto"/>
            <w:gridSpan w:val="3"/>
            <w:tcMar>
              <w:top w:w="30" w:type="dxa"/>
              <w:left w:w="155" w:type="dxa"/>
              <w:bottom w:w="30" w:type="dxa"/>
              <w:right w:w="20" w:type="dxa"/>
            </w:tcMar>
            <w:vAlign w:val="center"/>
            <w:hideMark/>
          </w:tcPr>
          <w:p w:rsidR="00000000" w:rsidRDefault="001F1FC8">
            <w:pPr>
              <w:rPr>
                <w:rFonts w:eastAsia="Times New Roman"/>
              </w:rPr>
            </w:pPr>
            <w:r>
              <w:rPr>
                <w:rFonts w:ascii="Arial" w:eastAsia="Times New Roman" w:hAnsi="Arial" w:cs="Arial"/>
                <w:color w:val="000000"/>
                <w:sz w:val="20"/>
                <w:szCs w:val="20"/>
              </w:rPr>
              <w:t>Canada</w:t>
            </w:r>
          </w:p>
        </w:tc>
        <w:tc>
          <w:tcPr>
            <w:tcW w:w="0" w:type="auto"/>
            <w:gridSpan w:val="2"/>
            <w:shd w:val="clear" w:color="auto" w:fill="D9D9D9"/>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b/>
                <w:bCs/>
                <w:color w:val="000000"/>
                <w:sz w:val="20"/>
                <w:szCs w:val="20"/>
              </w:rPr>
              <w:t>344</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20"/>
                <w:szCs w:val="20"/>
              </w:rPr>
              <w:t>378 </w:t>
            </w:r>
          </w:p>
        </w:tc>
        <w:tc>
          <w:tcPr>
            <w:tcW w:w="0" w:type="auto"/>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20"/>
                <w:szCs w:val="20"/>
              </w:rPr>
              <w:t>490 </w:t>
            </w:r>
          </w:p>
        </w:tc>
        <w:tc>
          <w:tcPr>
            <w:tcW w:w="0" w:type="auto"/>
            <w:tcMar>
              <w:top w:w="30" w:type="dxa"/>
              <w:left w:w="0" w:type="dxa"/>
              <w:bottom w:w="30" w:type="dxa"/>
              <w:right w:w="20" w:type="dxa"/>
            </w:tcMar>
            <w:vAlign w:val="center"/>
            <w:hideMark/>
          </w:tcPr>
          <w:p w:rsidR="00000000" w:rsidRDefault="001F1FC8">
            <w:pPr>
              <w:jc w:val="right"/>
              <w:rPr>
                <w:rFonts w:eastAsia="Times New Roman"/>
              </w:rPr>
            </w:pPr>
          </w:p>
        </w:tc>
      </w:tr>
      <w:tr w:rsidR="00000000">
        <w:trPr>
          <w:divId w:val="1795512953"/>
        </w:trPr>
        <w:tc>
          <w:tcPr>
            <w:tcW w:w="0" w:type="auto"/>
            <w:gridSpan w:val="3"/>
            <w:tcMar>
              <w:top w:w="30" w:type="dxa"/>
              <w:left w:w="155" w:type="dxa"/>
              <w:bottom w:w="30" w:type="dxa"/>
              <w:right w:w="20" w:type="dxa"/>
            </w:tcMar>
            <w:vAlign w:val="center"/>
            <w:hideMark/>
          </w:tcPr>
          <w:p w:rsidR="00000000" w:rsidRDefault="001F1FC8">
            <w:pPr>
              <w:rPr>
                <w:rFonts w:eastAsia="Times New Roman"/>
              </w:rPr>
            </w:pPr>
            <w:r>
              <w:rPr>
                <w:rFonts w:ascii="Arial" w:eastAsia="Times New Roman" w:hAnsi="Arial" w:cs="Arial"/>
                <w:color w:val="000000"/>
                <w:sz w:val="20"/>
                <w:szCs w:val="20"/>
              </w:rPr>
              <w:t>US</w:t>
            </w:r>
          </w:p>
        </w:tc>
        <w:tc>
          <w:tcPr>
            <w:tcW w:w="0" w:type="auto"/>
            <w:gridSpan w:val="2"/>
            <w:shd w:val="clear" w:color="auto" w:fill="D9D9D9"/>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b/>
                <w:bCs/>
                <w:color w:val="000000"/>
                <w:sz w:val="20"/>
                <w:szCs w:val="20"/>
              </w:rPr>
              <w:t>741</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20"/>
                <w:szCs w:val="20"/>
              </w:rPr>
              <w:t>66 </w:t>
            </w:r>
          </w:p>
        </w:tc>
        <w:tc>
          <w:tcPr>
            <w:tcW w:w="0" w:type="auto"/>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20"/>
                <w:szCs w:val="20"/>
              </w:rPr>
              <w:t>672 </w:t>
            </w:r>
          </w:p>
        </w:tc>
        <w:tc>
          <w:tcPr>
            <w:tcW w:w="0" w:type="auto"/>
            <w:tcMar>
              <w:top w:w="30" w:type="dxa"/>
              <w:left w:w="0" w:type="dxa"/>
              <w:bottom w:w="30" w:type="dxa"/>
              <w:right w:w="20" w:type="dxa"/>
            </w:tcMar>
            <w:vAlign w:val="center"/>
            <w:hideMark/>
          </w:tcPr>
          <w:p w:rsidR="00000000" w:rsidRDefault="001F1FC8">
            <w:pPr>
              <w:jc w:val="right"/>
              <w:rPr>
                <w:rFonts w:eastAsia="Times New Roman"/>
              </w:rPr>
            </w:pPr>
          </w:p>
        </w:tc>
      </w:tr>
      <w:tr w:rsidR="00000000">
        <w:trPr>
          <w:divId w:val="1795512953"/>
        </w:trPr>
        <w:tc>
          <w:tcPr>
            <w:tcW w:w="0" w:type="auto"/>
            <w:gridSpan w:val="3"/>
            <w:tcMar>
              <w:top w:w="30" w:type="dxa"/>
              <w:left w:w="155" w:type="dxa"/>
              <w:bottom w:w="30" w:type="dxa"/>
              <w:right w:w="20" w:type="dxa"/>
            </w:tcMar>
            <w:vAlign w:val="center"/>
            <w:hideMark/>
          </w:tcPr>
          <w:p w:rsidR="00000000" w:rsidRDefault="001F1FC8">
            <w:pPr>
              <w:rPr>
                <w:rFonts w:eastAsia="Times New Roman"/>
              </w:rPr>
            </w:pPr>
            <w:r>
              <w:rPr>
                <w:rFonts w:ascii="Arial" w:eastAsia="Times New Roman" w:hAnsi="Arial" w:cs="Arial"/>
                <w:color w:val="000000"/>
                <w:sz w:val="20"/>
                <w:szCs w:val="20"/>
              </w:rPr>
              <w:t>Other</w:t>
            </w:r>
          </w:p>
        </w:tc>
        <w:tc>
          <w:tcPr>
            <w:tcW w:w="0" w:type="auto"/>
            <w:gridSpan w:val="2"/>
            <w:shd w:val="clear" w:color="auto" w:fill="D9D9D9"/>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b/>
                <w:bCs/>
                <w:color w:val="000000"/>
                <w:sz w:val="20"/>
                <w:szCs w:val="20"/>
              </w:rPr>
              <w:t>6</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20"/>
                <w:szCs w:val="20"/>
              </w:rPr>
              <w:t>3 </w:t>
            </w:r>
          </w:p>
        </w:tc>
        <w:tc>
          <w:tcPr>
            <w:tcW w:w="0" w:type="auto"/>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20"/>
                <w:szCs w:val="20"/>
              </w:rPr>
              <w:t>(6)</w:t>
            </w:r>
          </w:p>
        </w:tc>
        <w:tc>
          <w:tcPr>
            <w:tcW w:w="0" w:type="auto"/>
            <w:tcMar>
              <w:top w:w="30" w:type="dxa"/>
              <w:left w:w="0" w:type="dxa"/>
              <w:bottom w:w="30" w:type="dxa"/>
              <w:right w:w="20" w:type="dxa"/>
            </w:tcMar>
            <w:vAlign w:val="center"/>
            <w:hideMark/>
          </w:tcPr>
          <w:p w:rsidR="00000000" w:rsidRDefault="001F1FC8">
            <w:pPr>
              <w:jc w:val="right"/>
              <w:rPr>
                <w:rFonts w:eastAsia="Times New Roman"/>
              </w:rPr>
            </w:pPr>
          </w:p>
        </w:tc>
      </w:tr>
      <w:tr w:rsidR="00000000">
        <w:trPr>
          <w:divId w:val="1795512953"/>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1F1FC8">
            <w:pPr>
              <w:rPr>
                <w:rFonts w:eastAsia="Times New Roman"/>
              </w:rPr>
            </w:pPr>
            <w:r>
              <w:rPr>
                <w:rFonts w:ascii="Arial" w:eastAsia="Times New Roman" w:hAnsi="Arial" w:cs="Arial"/>
                <w:color w:val="000000"/>
                <w:sz w:val="2"/>
                <w:szCs w:val="2"/>
              </w:rPr>
              <w:t> </w:t>
            </w:r>
          </w:p>
        </w:tc>
        <w:tc>
          <w:tcPr>
            <w:tcW w:w="0" w:type="auto"/>
            <w:gridSpan w:val="2"/>
            <w:tcBorders>
              <w:top w:val="single" w:sz="4" w:space="0" w:color="000000"/>
            </w:tcBorders>
            <w:shd w:val="clear" w:color="auto" w:fill="D9D9D9"/>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b/>
                <w:bCs/>
                <w:color w:val="000000"/>
                <w:sz w:val="20"/>
                <w:szCs w:val="20"/>
              </w:rPr>
              <w:t>1,091</w:t>
            </w:r>
            <w:r>
              <w:rPr>
                <w:rFonts w:ascii="Arial" w:eastAsia="Times New Roman" w:hAnsi="Arial" w:cs="Arial"/>
                <w:color w:val="000000"/>
                <w:sz w:val="20"/>
                <w:szCs w:val="20"/>
              </w:rPr>
              <w:t> </w:t>
            </w:r>
          </w:p>
        </w:tc>
        <w:tc>
          <w:tcPr>
            <w:tcW w:w="0" w:type="auto"/>
            <w:tcBorders>
              <w:top w:val="single" w:sz="4" w:space="0" w:color="000000"/>
            </w:tcBorders>
            <w:shd w:val="clear" w:color="auto" w:fill="D9D9D9"/>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20"/>
                <w:szCs w:val="20"/>
              </w:rPr>
              <w:t>447 </w:t>
            </w:r>
          </w:p>
        </w:tc>
        <w:tc>
          <w:tcPr>
            <w:tcW w:w="0" w:type="auto"/>
            <w:tcBorders>
              <w:top w:val="single" w:sz="4" w:space="0" w:color="000000"/>
            </w:tcBorders>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20"/>
                <w:szCs w:val="20"/>
              </w:rPr>
              <w:t>1,156 </w:t>
            </w:r>
          </w:p>
        </w:tc>
        <w:tc>
          <w:tcPr>
            <w:tcW w:w="0" w:type="auto"/>
            <w:tcBorders>
              <w:top w:val="single" w:sz="4" w:space="0" w:color="000000"/>
            </w:tcBorders>
            <w:tcMar>
              <w:top w:w="30" w:type="dxa"/>
              <w:left w:w="0" w:type="dxa"/>
              <w:bottom w:w="30" w:type="dxa"/>
              <w:right w:w="20" w:type="dxa"/>
            </w:tcMar>
            <w:vAlign w:val="center"/>
            <w:hideMark/>
          </w:tcPr>
          <w:p w:rsidR="00000000" w:rsidRDefault="001F1FC8">
            <w:pPr>
              <w:jc w:val="right"/>
              <w:rPr>
                <w:rFonts w:eastAsia="Times New Roman"/>
              </w:rPr>
            </w:pPr>
          </w:p>
        </w:tc>
      </w:tr>
      <w:tr w:rsidR="00000000">
        <w:trPr>
          <w:divId w:val="1795512953"/>
        </w:trPr>
        <w:tc>
          <w:tcPr>
            <w:tcW w:w="0" w:type="auto"/>
            <w:gridSpan w:val="3"/>
            <w:tcBorders>
              <w:top w:val="single" w:sz="4" w:space="0" w:color="000000"/>
              <w:bottom w:val="single" w:sz="8" w:space="0" w:color="000000"/>
            </w:tcBorders>
            <w:tcMar>
              <w:top w:w="30" w:type="dxa"/>
              <w:left w:w="20" w:type="dxa"/>
              <w:bottom w:w="30" w:type="dxa"/>
              <w:right w:w="20" w:type="dxa"/>
            </w:tcMar>
            <w:vAlign w:val="center"/>
            <w:hideMark/>
          </w:tcPr>
          <w:p w:rsidR="00000000" w:rsidRDefault="001F1FC8">
            <w:pPr>
              <w:rPr>
                <w:rFonts w:eastAsia="Times New Roman"/>
              </w:rPr>
            </w:pPr>
            <w:r>
              <w:rPr>
                <w:rFonts w:ascii="Arial" w:eastAsia="Times New Roman" w:hAnsi="Arial" w:cs="Arial"/>
                <w:color w:val="000000"/>
                <w:sz w:val="20"/>
                <w:szCs w:val="20"/>
              </w:rPr>
              <w:t>Income tax expense</w:t>
            </w:r>
          </w:p>
        </w:tc>
        <w:tc>
          <w:tcPr>
            <w:tcW w:w="0" w:type="auto"/>
            <w:gridSpan w:val="2"/>
            <w:tcBorders>
              <w:top w:val="single" w:sz="4" w:space="0" w:color="000000"/>
              <w:bottom w:val="single" w:sz="8" w:space="0" w:color="000000"/>
            </w:tcBorders>
            <w:shd w:val="clear" w:color="auto" w:fill="D9D9D9"/>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b/>
                <w:bCs/>
                <w:color w:val="000000"/>
                <w:sz w:val="20"/>
                <w:szCs w:val="20"/>
              </w:rPr>
              <w:t>1,415</w:t>
            </w:r>
            <w:r>
              <w:rPr>
                <w:rFonts w:ascii="Arial" w:eastAsia="Times New Roman" w:hAnsi="Arial" w:cs="Arial"/>
                <w:color w:val="000000"/>
                <w:sz w:val="20"/>
                <w:szCs w:val="20"/>
              </w:rPr>
              <w:t> </w:t>
            </w:r>
          </w:p>
        </w:tc>
        <w:tc>
          <w:tcPr>
            <w:tcW w:w="0" w:type="auto"/>
            <w:tcBorders>
              <w:top w:val="single" w:sz="4" w:space="0" w:color="000000"/>
              <w:bottom w:val="single" w:sz="8" w:space="0" w:color="000000"/>
            </w:tcBorders>
            <w:shd w:val="clear" w:color="auto" w:fill="D9D9D9"/>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Borders>
              <w:top w:val="single" w:sz="4" w:space="0" w:color="000000"/>
              <w:bottom w:val="single" w:sz="8" w:space="0" w:color="000000"/>
            </w:tcBorders>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20"/>
                <w:szCs w:val="20"/>
              </w:rPr>
              <w:t>774 </w:t>
            </w:r>
          </w:p>
        </w:tc>
        <w:tc>
          <w:tcPr>
            <w:tcW w:w="0" w:type="auto"/>
            <w:tcBorders>
              <w:top w:val="single" w:sz="4" w:space="0" w:color="000000"/>
              <w:bottom w:val="single" w:sz="8" w:space="0" w:color="000000"/>
            </w:tcBorders>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Borders>
              <w:top w:val="single" w:sz="4" w:space="0" w:color="000000"/>
              <w:bottom w:val="single" w:sz="8" w:space="0" w:color="000000"/>
            </w:tcBorders>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20"/>
                <w:szCs w:val="20"/>
              </w:rPr>
              <w:t>1,708 </w:t>
            </w:r>
          </w:p>
        </w:tc>
        <w:tc>
          <w:tcPr>
            <w:tcW w:w="0" w:type="auto"/>
            <w:tcBorders>
              <w:top w:val="single" w:sz="4" w:space="0" w:color="000000"/>
              <w:bottom w:val="single" w:sz="8" w:space="0" w:color="000000"/>
            </w:tcBorders>
            <w:tcMar>
              <w:top w:w="30" w:type="dxa"/>
              <w:left w:w="0" w:type="dxa"/>
              <w:bottom w:w="30" w:type="dxa"/>
              <w:right w:w="20" w:type="dxa"/>
            </w:tcMar>
            <w:vAlign w:val="center"/>
            <w:hideMark/>
          </w:tcPr>
          <w:p w:rsidR="00000000" w:rsidRDefault="001F1FC8">
            <w:pPr>
              <w:jc w:val="right"/>
              <w:rPr>
                <w:rFonts w:eastAsia="Times New Roman"/>
              </w:rPr>
            </w:pPr>
          </w:p>
        </w:tc>
      </w:tr>
    </w:tbl>
    <w:p w:rsidR="00000000" w:rsidRDefault="001F1FC8">
      <w:pPr>
        <w:divId w:val="1745226056"/>
        <w:rPr>
          <w:rFonts w:eastAsia="Times New Roman"/>
        </w:rPr>
      </w:pPr>
    </w:p>
    <w:p w:rsidR="00000000" w:rsidRDefault="001F1FC8">
      <w:pPr>
        <w:divId w:val="264581534"/>
        <w:rPr>
          <w:rFonts w:eastAsia="Times New Roman"/>
        </w:rPr>
      </w:pPr>
      <w:r>
        <w:rPr>
          <w:rFonts w:ascii="Arial" w:eastAsia="Times New Roman" w:hAnsi="Arial" w:cs="Arial"/>
          <w:b/>
          <w:bCs/>
          <w:color w:val="000000"/>
          <w:sz w:val="20"/>
          <w:szCs w:val="20"/>
        </w:rPr>
        <w:t>COMPONENTS OF DEFERRED INCOME TAXES</w:t>
      </w:r>
    </w:p>
    <w:p w:rsidR="00000000" w:rsidRDefault="001F1FC8">
      <w:pPr>
        <w:divId w:val="391660318"/>
        <w:rPr>
          <w:rFonts w:eastAsia="Times New Roman"/>
        </w:rPr>
      </w:pPr>
      <w:r>
        <w:rPr>
          <w:rFonts w:ascii="Arial" w:eastAsia="Times New Roman" w:hAnsi="Arial" w:cs="Arial"/>
          <w:color w:val="000000"/>
          <w:sz w:val="20"/>
          <w:szCs w:val="20"/>
        </w:rPr>
        <w:t>Deferred income tax assets and liabilities are recognized for the future tax consequences of differences between carrying amounts of assets and liabilities and their respective tax bases. Major components of deferred income tax assets and liabilities are a</w:t>
      </w:r>
      <w:r>
        <w:rPr>
          <w:rFonts w:ascii="Arial" w:eastAsia="Times New Roman" w:hAnsi="Arial" w:cs="Arial"/>
          <w:color w:val="000000"/>
          <w:sz w:val="20"/>
          <w:szCs w:val="20"/>
        </w:rPr>
        <w:t>s follows:</w:t>
      </w:r>
    </w:p>
    <w:p w:rsidR="00000000" w:rsidRDefault="001F1FC8">
      <w:pPr>
        <w:divId w:val="2021076257"/>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68"/>
        <w:gridCol w:w="5539"/>
        <w:gridCol w:w="39"/>
        <w:gridCol w:w="69"/>
        <w:gridCol w:w="1225"/>
        <w:gridCol w:w="36"/>
        <w:gridCol w:w="69"/>
        <w:gridCol w:w="1225"/>
        <w:gridCol w:w="36"/>
      </w:tblGrid>
      <w:tr w:rsidR="00000000">
        <w:trPr>
          <w:divId w:val="2109426325"/>
        </w:trPr>
        <w:tc>
          <w:tcPr>
            <w:tcW w:w="50" w:type="pct"/>
            <w:vAlign w:val="center"/>
            <w:hideMark/>
          </w:tcPr>
          <w:p w:rsidR="00000000" w:rsidRDefault="001F1FC8">
            <w:pPr>
              <w:rPr>
                <w:rFonts w:eastAsia="Times New Roman"/>
              </w:rPr>
            </w:pPr>
          </w:p>
        </w:tc>
        <w:tc>
          <w:tcPr>
            <w:tcW w:w="3342"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c>
          <w:tcPr>
            <w:tcW w:w="50" w:type="pct"/>
            <w:vAlign w:val="center"/>
            <w:hideMark/>
          </w:tcPr>
          <w:p w:rsidR="00000000" w:rsidRDefault="001F1FC8">
            <w:pPr>
              <w:rPr>
                <w:rFonts w:eastAsia="Times New Roman"/>
                <w:sz w:val="20"/>
                <w:szCs w:val="20"/>
              </w:rPr>
            </w:pPr>
          </w:p>
        </w:tc>
        <w:tc>
          <w:tcPr>
            <w:tcW w:w="746"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c>
          <w:tcPr>
            <w:tcW w:w="50" w:type="pct"/>
            <w:vAlign w:val="center"/>
            <w:hideMark/>
          </w:tcPr>
          <w:p w:rsidR="00000000" w:rsidRDefault="001F1FC8">
            <w:pPr>
              <w:rPr>
                <w:rFonts w:eastAsia="Times New Roman"/>
                <w:sz w:val="20"/>
                <w:szCs w:val="20"/>
              </w:rPr>
            </w:pPr>
          </w:p>
        </w:tc>
        <w:tc>
          <w:tcPr>
            <w:tcW w:w="746"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r>
      <w:tr w:rsidR="00000000">
        <w:trPr>
          <w:divId w:val="2109426325"/>
        </w:trPr>
        <w:tc>
          <w:tcPr>
            <w:tcW w:w="0" w:type="auto"/>
            <w:gridSpan w:val="3"/>
            <w:tcMar>
              <w:top w:w="30" w:type="dxa"/>
              <w:left w:w="20" w:type="dxa"/>
              <w:bottom w:w="30" w:type="dxa"/>
              <w:right w:w="20" w:type="dxa"/>
            </w:tcMar>
            <w:vAlign w:val="center"/>
            <w:hideMark/>
          </w:tcPr>
          <w:p w:rsidR="00000000" w:rsidRDefault="001F1FC8">
            <w:pPr>
              <w:rPr>
                <w:rFonts w:eastAsia="Times New Roman"/>
              </w:rPr>
            </w:pPr>
            <w:r>
              <w:rPr>
                <w:rFonts w:ascii="Arial" w:eastAsia="Times New Roman" w:hAnsi="Arial" w:cs="Arial"/>
                <w:color w:val="000000"/>
                <w:sz w:val="20"/>
                <w:szCs w:val="20"/>
              </w:rPr>
              <w:t>December 31,</w:t>
            </w:r>
          </w:p>
        </w:tc>
        <w:tc>
          <w:tcPr>
            <w:tcW w:w="0" w:type="auto"/>
            <w:gridSpan w:val="3"/>
            <w:tcMar>
              <w:top w:w="30" w:type="dxa"/>
              <w:left w:w="20" w:type="dxa"/>
              <w:bottom w:w="30" w:type="dxa"/>
              <w:right w:w="20" w:type="dxa"/>
            </w:tcMar>
            <w:vAlign w:val="center"/>
            <w:hideMark/>
          </w:tcPr>
          <w:p w:rsidR="00000000" w:rsidRDefault="001F1FC8">
            <w:pPr>
              <w:jc w:val="right"/>
              <w:rPr>
                <w:rFonts w:eastAsia="Times New Roman"/>
              </w:rPr>
            </w:pPr>
            <w:r>
              <w:rPr>
                <w:rFonts w:ascii="Arial" w:eastAsia="Times New Roman" w:hAnsi="Arial" w:cs="Arial"/>
                <w:b/>
                <w:bCs/>
                <w:color w:val="000000"/>
                <w:sz w:val="20"/>
                <w:szCs w:val="20"/>
              </w:rPr>
              <w:t>2021</w:t>
            </w:r>
          </w:p>
        </w:tc>
        <w:tc>
          <w:tcPr>
            <w:tcW w:w="0" w:type="auto"/>
            <w:gridSpan w:val="3"/>
            <w:tcMar>
              <w:top w:w="30" w:type="dxa"/>
              <w:left w:w="20" w:type="dxa"/>
              <w:bottom w:w="30" w:type="dxa"/>
              <w:right w:w="20" w:type="dxa"/>
            </w:tcMar>
            <w:vAlign w:val="center"/>
            <w:hideMark/>
          </w:tcPr>
          <w:p w:rsidR="00000000" w:rsidRDefault="001F1FC8">
            <w:pPr>
              <w:jc w:val="right"/>
              <w:rPr>
                <w:rFonts w:eastAsia="Times New Roman"/>
              </w:rPr>
            </w:pPr>
            <w:r>
              <w:rPr>
                <w:rFonts w:ascii="Arial" w:eastAsia="Times New Roman" w:hAnsi="Arial" w:cs="Arial"/>
                <w:color w:val="000000"/>
                <w:sz w:val="20"/>
                <w:szCs w:val="20"/>
              </w:rPr>
              <w:t>2020</w:t>
            </w:r>
          </w:p>
        </w:tc>
      </w:tr>
      <w:tr w:rsidR="00000000">
        <w:trPr>
          <w:divId w:val="2109426325"/>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1F1FC8">
            <w:pPr>
              <w:rPr>
                <w:rFonts w:eastAsia="Times New Roman"/>
              </w:rPr>
            </w:pPr>
            <w:r>
              <w:rPr>
                <w:rFonts w:ascii="Arial" w:eastAsia="Times New Roman" w:hAnsi="Arial" w:cs="Arial"/>
                <w:i/>
                <w:iCs/>
                <w:color w:val="000000"/>
                <w:sz w:val="16"/>
                <w:szCs w:val="16"/>
              </w:rPr>
              <w:t>(millions of Canadian dollars)</w:t>
            </w:r>
          </w:p>
        </w:tc>
        <w:tc>
          <w:tcPr>
            <w:tcW w:w="0" w:type="auto"/>
            <w:gridSpan w:val="3"/>
            <w:tcBorders>
              <w:top w:val="single" w:sz="4" w:space="0" w:color="000000"/>
            </w:tcBorders>
            <w:shd w:val="clear" w:color="auto" w:fill="D9D9D9"/>
            <w:tcMar>
              <w:top w:w="30" w:type="dxa"/>
              <w:left w:w="20" w:type="dxa"/>
              <w:bottom w:w="30" w:type="dxa"/>
              <w:right w:w="20" w:type="dxa"/>
            </w:tcMar>
            <w:vAlign w:val="center"/>
            <w:hideMark/>
          </w:tcPr>
          <w:p w:rsidR="00000000" w:rsidRDefault="001F1FC8">
            <w:pPr>
              <w:jc w:val="right"/>
              <w:rPr>
                <w:rFonts w:eastAsia="Times New Roman"/>
              </w:rPr>
            </w:pPr>
            <w:r>
              <w:rPr>
                <w:rFonts w:ascii="Arial" w:eastAsia="Times New Roman" w:hAnsi="Arial" w:cs="Arial"/>
                <w:color w:val="000000"/>
                <w:sz w:val="20"/>
                <w:szCs w:val="20"/>
              </w:rPr>
              <w:t> </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1F1FC8">
            <w:pPr>
              <w:jc w:val="right"/>
              <w:rPr>
                <w:rFonts w:eastAsia="Times New Roman"/>
              </w:rPr>
            </w:pPr>
            <w:r>
              <w:rPr>
                <w:rFonts w:ascii="Arial" w:eastAsia="Times New Roman" w:hAnsi="Arial" w:cs="Arial"/>
                <w:color w:val="000000"/>
                <w:sz w:val="20"/>
                <w:szCs w:val="20"/>
              </w:rPr>
              <w:t> </w:t>
            </w:r>
          </w:p>
        </w:tc>
      </w:tr>
      <w:tr w:rsidR="00000000">
        <w:trPr>
          <w:divId w:val="2109426325"/>
        </w:trPr>
        <w:tc>
          <w:tcPr>
            <w:tcW w:w="0" w:type="auto"/>
            <w:gridSpan w:val="3"/>
            <w:tcMar>
              <w:top w:w="30" w:type="dxa"/>
              <w:left w:w="20" w:type="dxa"/>
              <w:bottom w:w="30" w:type="dxa"/>
              <w:right w:w="20" w:type="dxa"/>
            </w:tcMar>
            <w:vAlign w:val="center"/>
            <w:hideMark/>
          </w:tcPr>
          <w:p w:rsidR="00000000" w:rsidRDefault="001F1FC8">
            <w:pPr>
              <w:rPr>
                <w:rFonts w:eastAsia="Times New Roman"/>
              </w:rPr>
            </w:pPr>
            <w:r>
              <w:rPr>
                <w:rFonts w:ascii="Arial" w:eastAsia="Times New Roman" w:hAnsi="Arial" w:cs="Arial"/>
                <w:color w:val="000000"/>
                <w:sz w:val="20"/>
                <w:szCs w:val="20"/>
              </w:rPr>
              <w:t>Deferred income tax liabilities</w:t>
            </w:r>
          </w:p>
        </w:tc>
        <w:tc>
          <w:tcPr>
            <w:tcW w:w="0" w:type="auto"/>
            <w:gridSpan w:val="3"/>
            <w:shd w:val="clear" w:color="auto" w:fill="D9D9D9"/>
            <w:tcMar>
              <w:top w:w="30" w:type="dxa"/>
              <w:left w:w="20" w:type="dxa"/>
              <w:bottom w:w="30" w:type="dxa"/>
              <w:right w:w="20" w:type="dxa"/>
            </w:tcMar>
            <w:vAlign w:val="center"/>
            <w:hideMark/>
          </w:tcPr>
          <w:p w:rsidR="00000000" w:rsidRDefault="001F1FC8">
            <w:pPr>
              <w:jc w:val="right"/>
              <w:rPr>
                <w:rFonts w:eastAsia="Times New Roman"/>
              </w:rPr>
            </w:pPr>
            <w:r>
              <w:rPr>
                <w:rFonts w:ascii="Arial" w:eastAsia="Times New Roman" w:hAnsi="Arial" w:cs="Arial"/>
                <w:color w:val="000000"/>
                <w:sz w:val="20"/>
                <w:szCs w:val="20"/>
              </w:rPr>
              <w:t> </w:t>
            </w:r>
          </w:p>
        </w:tc>
        <w:tc>
          <w:tcPr>
            <w:tcW w:w="0" w:type="auto"/>
            <w:gridSpan w:val="3"/>
            <w:tcMar>
              <w:top w:w="30" w:type="dxa"/>
              <w:left w:w="20" w:type="dxa"/>
              <w:bottom w:w="30" w:type="dxa"/>
              <w:right w:w="20" w:type="dxa"/>
            </w:tcMar>
            <w:vAlign w:val="center"/>
            <w:hideMark/>
          </w:tcPr>
          <w:p w:rsidR="00000000" w:rsidRDefault="001F1FC8">
            <w:pPr>
              <w:jc w:val="right"/>
              <w:rPr>
                <w:rFonts w:eastAsia="Times New Roman"/>
              </w:rPr>
            </w:pPr>
            <w:r>
              <w:rPr>
                <w:rFonts w:ascii="Arial" w:eastAsia="Times New Roman" w:hAnsi="Arial" w:cs="Arial"/>
                <w:color w:val="000000"/>
                <w:sz w:val="20"/>
                <w:szCs w:val="20"/>
              </w:rPr>
              <w:t> </w:t>
            </w:r>
          </w:p>
        </w:tc>
      </w:tr>
      <w:tr w:rsidR="00000000">
        <w:trPr>
          <w:divId w:val="2109426325"/>
        </w:trPr>
        <w:tc>
          <w:tcPr>
            <w:tcW w:w="0" w:type="auto"/>
            <w:gridSpan w:val="3"/>
            <w:tcMar>
              <w:top w:w="30" w:type="dxa"/>
              <w:left w:w="155" w:type="dxa"/>
              <w:bottom w:w="30" w:type="dxa"/>
              <w:right w:w="20" w:type="dxa"/>
            </w:tcMar>
            <w:vAlign w:val="center"/>
            <w:hideMark/>
          </w:tcPr>
          <w:p w:rsidR="00000000" w:rsidRDefault="001F1FC8">
            <w:pPr>
              <w:rPr>
                <w:rFonts w:eastAsia="Times New Roman"/>
              </w:rPr>
            </w:pPr>
            <w:r>
              <w:rPr>
                <w:rFonts w:ascii="Arial" w:eastAsia="Times New Roman" w:hAnsi="Arial" w:cs="Arial"/>
                <w:color w:val="000000"/>
                <w:sz w:val="20"/>
                <w:szCs w:val="20"/>
              </w:rPr>
              <w:t>Property, plant and equipment</w:t>
            </w:r>
          </w:p>
        </w:tc>
        <w:tc>
          <w:tcPr>
            <w:tcW w:w="0" w:type="auto"/>
            <w:gridSpan w:val="2"/>
            <w:shd w:val="clear" w:color="auto" w:fill="D9D9D9"/>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b/>
                <w:bCs/>
                <w:color w:val="000000"/>
                <w:sz w:val="20"/>
                <w:szCs w:val="20"/>
              </w:rPr>
              <w:t>(8,721)</w:t>
            </w:r>
          </w:p>
        </w:tc>
        <w:tc>
          <w:tcPr>
            <w:tcW w:w="0" w:type="auto"/>
            <w:shd w:val="clear" w:color="auto" w:fill="D9D9D9"/>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20"/>
                <w:szCs w:val="20"/>
              </w:rPr>
              <w:t>(7,786)</w:t>
            </w:r>
          </w:p>
        </w:tc>
        <w:tc>
          <w:tcPr>
            <w:tcW w:w="0" w:type="auto"/>
            <w:tcMar>
              <w:top w:w="30" w:type="dxa"/>
              <w:left w:w="0" w:type="dxa"/>
              <w:bottom w:w="30" w:type="dxa"/>
              <w:right w:w="20" w:type="dxa"/>
            </w:tcMar>
            <w:vAlign w:val="center"/>
            <w:hideMark/>
          </w:tcPr>
          <w:p w:rsidR="00000000" w:rsidRDefault="001F1FC8">
            <w:pPr>
              <w:jc w:val="right"/>
              <w:rPr>
                <w:rFonts w:eastAsia="Times New Roman"/>
              </w:rPr>
            </w:pPr>
          </w:p>
        </w:tc>
      </w:tr>
      <w:tr w:rsidR="00000000">
        <w:trPr>
          <w:divId w:val="2109426325"/>
        </w:trPr>
        <w:tc>
          <w:tcPr>
            <w:tcW w:w="0" w:type="auto"/>
            <w:gridSpan w:val="3"/>
            <w:tcMar>
              <w:top w:w="30" w:type="dxa"/>
              <w:left w:w="155" w:type="dxa"/>
              <w:bottom w:w="30" w:type="dxa"/>
              <w:right w:w="20" w:type="dxa"/>
            </w:tcMar>
            <w:vAlign w:val="center"/>
            <w:hideMark/>
          </w:tcPr>
          <w:p w:rsidR="00000000" w:rsidRDefault="001F1FC8">
            <w:pPr>
              <w:rPr>
                <w:rFonts w:eastAsia="Times New Roman"/>
              </w:rPr>
            </w:pPr>
            <w:r>
              <w:rPr>
                <w:rFonts w:ascii="Arial" w:eastAsia="Times New Roman" w:hAnsi="Arial" w:cs="Arial"/>
                <w:color w:val="000000"/>
                <w:sz w:val="20"/>
                <w:szCs w:val="20"/>
              </w:rPr>
              <w:t>Investments</w:t>
            </w:r>
          </w:p>
        </w:tc>
        <w:tc>
          <w:tcPr>
            <w:tcW w:w="0" w:type="auto"/>
            <w:gridSpan w:val="2"/>
            <w:shd w:val="clear" w:color="auto" w:fill="D9D9D9"/>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b/>
                <w:bCs/>
                <w:color w:val="000000"/>
                <w:sz w:val="20"/>
                <w:szCs w:val="20"/>
              </w:rPr>
              <w:t>(6,097)</w:t>
            </w:r>
          </w:p>
        </w:tc>
        <w:tc>
          <w:tcPr>
            <w:tcW w:w="0" w:type="auto"/>
            <w:shd w:val="clear" w:color="auto" w:fill="D9D9D9"/>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20"/>
                <w:szCs w:val="20"/>
              </w:rPr>
              <w:t>(4,649)</w:t>
            </w:r>
          </w:p>
        </w:tc>
        <w:tc>
          <w:tcPr>
            <w:tcW w:w="0" w:type="auto"/>
            <w:tcMar>
              <w:top w:w="30" w:type="dxa"/>
              <w:left w:w="0" w:type="dxa"/>
              <w:bottom w:w="30" w:type="dxa"/>
              <w:right w:w="20" w:type="dxa"/>
            </w:tcMar>
            <w:vAlign w:val="center"/>
            <w:hideMark/>
          </w:tcPr>
          <w:p w:rsidR="00000000" w:rsidRDefault="001F1FC8">
            <w:pPr>
              <w:jc w:val="right"/>
              <w:rPr>
                <w:rFonts w:eastAsia="Times New Roman"/>
              </w:rPr>
            </w:pPr>
          </w:p>
        </w:tc>
      </w:tr>
      <w:tr w:rsidR="00000000">
        <w:trPr>
          <w:divId w:val="2109426325"/>
        </w:trPr>
        <w:tc>
          <w:tcPr>
            <w:tcW w:w="0" w:type="auto"/>
            <w:gridSpan w:val="3"/>
            <w:tcMar>
              <w:top w:w="30" w:type="dxa"/>
              <w:left w:w="155" w:type="dxa"/>
              <w:bottom w:w="30" w:type="dxa"/>
              <w:right w:w="20" w:type="dxa"/>
            </w:tcMar>
            <w:vAlign w:val="center"/>
            <w:hideMark/>
          </w:tcPr>
          <w:p w:rsidR="00000000" w:rsidRDefault="001F1FC8">
            <w:pPr>
              <w:rPr>
                <w:rFonts w:eastAsia="Times New Roman"/>
              </w:rPr>
            </w:pPr>
            <w:r>
              <w:rPr>
                <w:rFonts w:ascii="Arial" w:eastAsia="Times New Roman" w:hAnsi="Arial" w:cs="Arial"/>
                <w:color w:val="000000"/>
                <w:sz w:val="20"/>
                <w:szCs w:val="20"/>
              </w:rPr>
              <w:t>Regulatory assets</w:t>
            </w:r>
          </w:p>
        </w:tc>
        <w:tc>
          <w:tcPr>
            <w:tcW w:w="0" w:type="auto"/>
            <w:gridSpan w:val="2"/>
            <w:shd w:val="clear" w:color="auto" w:fill="D9D9D9"/>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b/>
                <w:bCs/>
                <w:color w:val="000000"/>
                <w:sz w:val="20"/>
                <w:szCs w:val="20"/>
              </w:rPr>
              <w:t>(1,245)</w:t>
            </w:r>
          </w:p>
        </w:tc>
        <w:tc>
          <w:tcPr>
            <w:tcW w:w="0" w:type="auto"/>
            <w:shd w:val="clear" w:color="auto" w:fill="D9D9D9"/>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20"/>
                <w:szCs w:val="20"/>
              </w:rPr>
              <w:t>(1,156)</w:t>
            </w:r>
          </w:p>
        </w:tc>
        <w:tc>
          <w:tcPr>
            <w:tcW w:w="0" w:type="auto"/>
            <w:tcMar>
              <w:top w:w="30" w:type="dxa"/>
              <w:left w:w="0" w:type="dxa"/>
              <w:bottom w:w="30" w:type="dxa"/>
              <w:right w:w="20" w:type="dxa"/>
            </w:tcMar>
            <w:vAlign w:val="center"/>
            <w:hideMark/>
          </w:tcPr>
          <w:p w:rsidR="00000000" w:rsidRDefault="001F1FC8">
            <w:pPr>
              <w:jc w:val="right"/>
              <w:rPr>
                <w:rFonts w:eastAsia="Times New Roman"/>
              </w:rPr>
            </w:pPr>
          </w:p>
        </w:tc>
      </w:tr>
      <w:tr w:rsidR="00000000">
        <w:trPr>
          <w:divId w:val="2109426325"/>
        </w:trPr>
        <w:tc>
          <w:tcPr>
            <w:tcW w:w="0" w:type="auto"/>
            <w:gridSpan w:val="3"/>
            <w:tcMar>
              <w:top w:w="30" w:type="dxa"/>
              <w:left w:w="155" w:type="dxa"/>
              <w:bottom w:w="30" w:type="dxa"/>
              <w:right w:w="20" w:type="dxa"/>
            </w:tcMar>
            <w:vAlign w:val="center"/>
            <w:hideMark/>
          </w:tcPr>
          <w:p w:rsidR="00000000" w:rsidRDefault="001F1FC8">
            <w:pPr>
              <w:rPr>
                <w:rFonts w:eastAsia="Times New Roman"/>
              </w:rPr>
            </w:pPr>
            <w:r>
              <w:rPr>
                <w:rFonts w:ascii="Arial" w:eastAsia="Times New Roman" w:hAnsi="Arial" w:cs="Arial"/>
                <w:color w:val="000000"/>
                <w:sz w:val="20"/>
                <w:szCs w:val="20"/>
              </w:rPr>
              <w:t>Other</w:t>
            </w:r>
          </w:p>
        </w:tc>
        <w:tc>
          <w:tcPr>
            <w:tcW w:w="0" w:type="auto"/>
            <w:gridSpan w:val="2"/>
            <w:shd w:val="clear" w:color="auto" w:fill="D9D9D9"/>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b/>
                <w:bCs/>
                <w:color w:val="000000"/>
                <w:sz w:val="20"/>
                <w:szCs w:val="20"/>
              </w:rPr>
              <w:t>(208)</w:t>
            </w:r>
          </w:p>
        </w:tc>
        <w:tc>
          <w:tcPr>
            <w:tcW w:w="0" w:type="auto"/>
            <w:shd w:val="clear" w:color="auto" w:fill="D9D9D9"/>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20"/>
                <w:szCs w:val="20"/>
              </w:rPr>
              <w:t>(127)</w:t>
            </w:r>
          </w:p>
        </w:tc>
        <w:tc>
          <w:tcPr>
            <w:tcW w:w="0" w:type="auto"/>
            <w:tcMar>
              <w:top w:w="30" w:type="dxa"/>
              <w:left w:w="0" w:type="dxa"/>
              <w:bottom w:w="30" w:type="dxa"/>
              <w:right w:w="20" w:type="dxa"/>
            </w:tcMar>
            <w:vAlign w:val="center"/>
            <w:hideMark/>
          </w:tcPr>
          <w:p w:rsidR="00000000" w:rsidRDefault="001F1FC8">
            <w:pPr>
              <w:jc w:val="right"/>
              <w:rPr>
                <w:rFonts w:eastAsia="Times New Roman"/>
              </w:rPr>
            </w:pPr>
          </w:p>
        </w:tc>
      </w:tr>
      <w:tr w:rsidR="00000000">
        <w:trPr>
          <w:divId w:val="2109426325"/>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1F1FC8">
            <w:pPr>
              <w:rPr>
                <w:rFonts w:eastAsia="Times New Roman"/>
              </w:rPr>
            </w:pPr>
            <w:r>
              <w:rPr>
                <w:rFonts w:ascii="Arial" w:eastAsia="Times New Roman" w:hAnsi="Arial" w:cs="Arial"/>
                <w:color w:val="000000"/>
                <w:sz w:val="20"/>
                <w:szCs w:val="20"/>
              </w:rPr>
              <w:t>Total deferred income tax liabilities</w:t>
            </w:r>
          </w:p>
        </w:tc>
        <w:tc>
          <w:tcPr>
            <w:tcW w:w="0" w:type="auto"/>
            <w:gridSpan w:val="2"/>
            <w:tcBorders>
              <w:top w:val="single" w:sz="4" w:space="0" w:color="000000"/>
            </w:tcBorders>
            <w:shd w:val="clear" w:color="auto" w:fill="D9D9D9"/>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b/>
                <w:bCs/>
                <w:color w:val="000000"/>
                <w:sz w:val="20"/>
                <w:szCs w:val="20"/>
              </w:rPr>
              <w:t>(16,271)</w:t>
            </w:r>
          </w:p>
        </w:tc>
        <w:tc>
          <w:tcPr>
            <w:tcW w:w="0" w:type="auto"/>
            <w:tcBorders>
              <w:top w:val="single" w:sz="4" w:space="0" w:color="000000"/>
            </w:tcBorders>
            <w:shd w:val="clear" w:color="auto" w:fill="D9D9D9"/>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20"/>
                <w:szCs w:val="20"/>
              </w:rPr>
              <w:t>(13,718)</w:t>
            </w:r>
          </w:p>
        </w:tc>
        <w:tc>
          <w:tcPr>
            <w:tcW w:w="0" w:type="auto"/>
            <w:tcBorders>
              <w:top w:val="single" w:sz="4" w:space="0" w:color="000000"/>
            </w:tcBorders>
            <w:tcMar>
              <w:top w:w="30" w:type="dxa"/>
              <w:left w:w="0" w:type="dxa"/>
              <w:bottom w:w="30" w:type="dxa"/>
              <w:right w:w="20" w:type="dxa"/>
            </w:tcMar>
            <w:vAlign w:val="center"/>
            <w:hideMark/>
          </w:tcPr>
          <w:p w:rsidR="00000000" w:rsidRDefault="001F1FC8">
            <w:pPr>
              <w:jc w:val="right"/>
              <w:rPr>
                <w:rFonts w:eastAsia="Times New Roman"/>
              </w:rPr>
            </w:pPr>
          </w:p>
        </w:tc>
      </w:tr>
      <w:tr w:rsidR="00000000">
        <w:trPr>
          <w:divId w:val="2109426325"/>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1F1FC8">
            <w:pPr>
              <w:rPr>
                <w:rFonts w:eastAsia="Times New Roman"/>
              </w:rPr>
            </w:pPr>
            <w:r>
              <w:rPr>
                <w:rFonts w:ascii="Arial" w:eastAsia="Times New Roman" w:hAnsi="Arial" w:cs="Arial"/>
                <w:color w:val="000000"/>
                <w:sz w:val="20"/>
                <w:szCs w:val="20"/>
              </w:rPr>
              <w:t>Deferred income tax assets</w:t>
            </w:r>
          </w:p>
        </w:tc>
        <w:tc>
          <w:tcPr>
            <w:tcW w:w="0" w:type="auto"/>
            <w:gridSpan w:val="3"/>
            <w:tcBorders>
              <w:top w:val="single" w:sz="4" w:space="0" w:color="000000"/>
            </w:tcBorders>
            <w:shd w:val="clear" w:color="auto" w:fill="D9D9D9"/>
            <w:tcMar>
              <w:top w:w="30" w:type="dxa"/>
              <w:left w:w="20" w:type="dxa"/>
              <w:bottom w:w="30" w:type="dxa"/>
              <w:right w:w="20" w:type="dxa"/>
            </w:tcMar>
            <w:vAlign w:val="center"/>
            <w:hideMark/>
          </w:tcPr>
          <w:p w:rsidR="00000000" w:rsidRDefault="001F1FC8">
            <w:pPr>
              <w:jc w:val="right"/>
              <w:rPr>
                <w:rFonts w:eastAsia="Times New Roman"/>
              </w:rPr>
            </w:pPr>
            <w:r>
              <w:rPr>
                <w:rFonts w:ascii="Arial" w:eastAsia="Times New Roman" w:hAnsi="Arial" w:cs="Arial"/>
                <w:color w:val="000000"/>
                <w:sz w:val="20"/>
                <w:szCs w:val="20"/>
              </w:rPr>
              <w:t> </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1F1FC8">
            <w:pPr>
              <w:jc w:val="right"/>
              <w:rPr>
                <w:rFonts w:eastAsia="Times New Roman"/>
              </w:rPr>
            </w:pPr>
            <w:r>
              <w:rPr>
                <w:rFonts w:ascii="Arial" w:eastAsia="Times New Roman" w:hAnsi="Arial" w:cs="Arial"/>
                <w:color w:val="000000"/>
                <w:sz w:val="20"/>
                <w:szCs w:val="20"/>
              </w:rPr>
              <w:t> </w:t>
            </w:r>
          </w:p>
        </w:tc>
      </w:tr>
      <w:tr w:rsidR="00000000">
        <w:trPr>
          <w:divId w:val="2109426325"/>
        </w:trPr>
        <w:tc>
          <w:tcPr>
            <w:tcW w:w="0" w:type="auto"/>
            <w:gridSpan w:val="3"/>
            <w:tcMar>
              <w:top w:w="30" w:type="dxa"/>
              <w:left w:w="155" w:type="dxa"/>
              <w:bottom w:w="30" w:type="dxa"/>
              <w:right w:w="20" w:type="dxa"/>
            </w:tcMar>
            <w:vAlign w:val="center"/>
            <w:hideMark/>
          </w:tcPr>
          <w:p w:rsidR="00000000" w:rsidRDefault="001F1FC8">
            <w:pPr>
              <w:rPr>
                <w:rFonts w:eastAsia="Times New Roman"/>
              </w:rPr>
            </w:pPr>
            <w:r>
              <w:rPr>
                <w:rFonts w:ascii="Arial" w:eastAsia="Times New Roman" w:hAnsi="Arial" w:cs="Arial"/>
                <w:color w:val="000000"/>
                <w:sz w:val="20"/>
                <w:szCs w:val="20"/>
              </w:rPr>
              <w:t>Financial instruments</w:t>
            </w:r>
          </w:p>
        </w:tc>
        <w:tc>
          <w:tcPr>
            <w:tcW w:w="0" w:type="auto"/>
            <w:gridSpan w:val="2"/>
            <w:shd w:val="clear" w:color="auto" w:fill="D9D9D9"/>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b/>
                <w:bCs/>
                <w:color w:val="000000"/>
                <w:sz w:val="20"/>
                <w:szCs w:val="20"/>
              </w:rPr>
              <w:t>315</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20"/>
                <w:szCs w:val="20"/>
              </w:rPr>
              <w:t>518 </w:t>
            </w:r>
          </w:p>
        </w:tc>
        <w:tc>
          <w:tcPr>
            <w:tcW w:w="0" w:type="auto"/>
            <w:tcMar>
              <w:top w:w="30" w:type="dxa"/>
              <w:left w:w="0" w:type="dxa"/>
              <w:bottom w:w="30" w:type="dxa"/>
              <w:right w:w="20" w:type="dxa"/>
            </w:tcMar>
            <w:vAlign w:val="center"/>
            <w:hideMark/>
          </w:tcPr>
          <w:p w:rsidR="00000000" w:rsidRDefault="001F1FC8">
            <w:pPr>
              <w:jc w:val="right"/>
              <w:rPr>
                <w:rFonts w:eastAsia="Times New Roman"/>
              </w:rPr>
            </w:pPr>
          </w:p>
        </w:tc>
      </w:tr>
      <w:tr w:rsidR="00000000">
        <w:trPr>
          <w:divId w:val="2109426325"/>
        </w:trPr>
        <w:tc>
          <w:tcPr>
            <w:tcW w:w="0" w:type="auto"/>
            <w:gridSpan w:val="3"/>
            <w:tcMar>
              <w:top w:w="30" w:type="dxa"/>
              <w:left w:w="155" w:type="dxa"/>
              <w:bottom w:w="30" w:type="dxa"/>
              <w:right w:w="20" w:type="dxa"/>
            </w:tcMar>
            <w:vAlign w:val="center"/>
            <w:hideMark/>
          </w:tcPr>
          <w:p w:rsidR="00000000" w:rsidRDefault="001F1FC8">
            <w:pPr>
              <w:rPr>
                <w:rFonts w:eastAsia="Times New Roman"/>
              </w:rPr>
            </w:pPr>
            <w:r>
              <w:rPr>
                <w:rFonts w:ascii="Arial" w:eastAsia="Times New Roman" w:hAnsi="Arial" w:cs="Arial"/>
                <w:color w:val="000000"/>
                <w:sz w:val="20"/>
                <w:szCs w:val="20"/>
              </w:rPr>
              <w:t>Pension and OPEB plans</w:t>
            </w:r>
          </w:p>
        </w:tc>
        <w:tc>
          <w:tcPr>
            <w:tcW w:w="0" w:type="auto"/>
            <w:gridSpan w:val="2"/>
            <w:shd w:val="clear" w:color="auto" w:fill="D9D9D9"/>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b/>
                <w:bCs/>
                <w:color w:val="000000"/>
                <w:sz w:val="20"/>
                <w:szCs w:val="20"/>
              </w:rPr>
              <w:t>110</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20"/>
                <w:szCs w:val="20"/>
              </w:rPr>
              <w:t>251 </w:t>
            </w:r>
          </w:p>
        </w:tc>
        <w:tc>
          <w:tcPr>
            <w:tcW w:w="0" w:type="auto"/>
            <w:tcMar>
              <w:top w:w="30" w:type="dxa"/>
              <w:left w:w="0" w:type="dxa"/>
              <w:bottom w:w="30" w:type="dxa"/>
              <w:right w:w="20" w:type="dxa"/>
            </w:tcMar>
            <w:vAlign w:val="center"/>
            <w:hideMark/>
          </w:tcPr>
          <w:p w:rsidR="00000000" w:rsidRDefault="001F1FC8">
            <w:pPr>
              <w:jc w:val="right"/>
              <w:rPr>
                <w:rFonts w:eastAsia="Times New Roman"/>
              </w:rPr>
            </w:pPr>
          </w:p>
        </w:tc>
      </w:tr>
      <w:tr w:rsidR="00000000">
        <w:trPr>
          <w:divId w:val="2109426325"/>
        </w:trPr>
        <w:tc>
          <w:tcPr>
            <w:tcW w:w="0" w:type="auto"/>
            <w:gridSpan w:val="3"/>
            <w:tcMar>
              <w:top w:w="30" w:type="dxa"/>
              <w:left w:w="155" w:type="dxa"/>
              <w:bottom w:w="30" w:type="dxa"/>
              <w:right w:w="20" w:type="dxa"/>
            </w:tcMar>
            <w:vAlign w:val="center"/>
            <w:hideMark/>
          </w:tcPr>
          <w:p w:rsidR="00000000" w:rsidRDefault="001F1FC8">
            <w:pPr>
              <w:rPr>
                <w:rFonts w:eastAsia="Times New Roman"/>
              </w:rPr>
            </w:pPr>
            <w:r>
              <w:rPr>
                <w:rFonts w:ascii="Arial" w:eastAsia="Times New Roman" w:hAnsi="Arial" w:cs="Arial"/>
                <w:color w:val="000000"/>
                <w:sz w:val="20"/>
                <w:szCs w:val="20"/>
              </w:rPr>
              <w:t>Loss carryforwards</w:t>
            </w:r>
          </w:p>
        </w:tc>
        <w:tc>
          <w:tcPr>
            <w:tcW w:w="0" w:type="auto"/>
            <w:gridSpan w:val="2"/>
            <w:shd w:val="clear" w:color="auto" w:fill="D9D9D9"/>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b/>
                <w:bCs/>
                <w:color w:val="000000"/>
                <w:sz w:val="20"/>
                <w:szCs w:val="20"/>
              </w:rPr>
              <w:t>3,081</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20"/>
                <w:szCs w:val="20"/>
              </w:rPr>
              <w:t>2,005 </w:t>
            </w:r>
          </w:p>
        </w:tc>
        <w:tc>
          <w:tcPr>
            <w:tcW w:w="0" w:type="auto"/>
            <w:tcMar>
              <w:top w:w="30" w:type="dxa"/>
              <w:left w:w="0" w:type="dxa"/>
              <w:bottom w:w="30" w:type="dxa"/>
              <w:right w:w="20" w:type="dxa"/>
            </w:tcMar>
            <w:vAlign w:val="center"/>
            <w:hideMark/>
          </w:tcPr>
          <w:p w:rsidR="00000000" w:rsidRDefault="001F1FC8">
            <w:pPr>
              <w:jc w:val="right"/>
              <w:rPr>
                <w:rFonts w:eastAsia="Times New Roman"/>
              </w:rPr>
            </w:pPr>
          </w:p>
        </w:tc>
      </w:tr>
      <w:tr w:rsidR="00000000">
        <w:trPr>
          <w:divId w:val="2109426325"/>
        </w:trPr>
        <w:tc>
          <w:tcPr>
            <w:tcW w:w="0" w:type="auto"/>
            <w:gridSpan w:val="3"/>
            <w:tcMar>
              <w:top w:w="30" w:type="dxa"/>
              <w:left w:w="155" w:type="dxa"/>
              <w:bottom w:w="30" w:type="dxa"/>
              <w:right w:w="20" w:type="dxa"/>
            </w:tcMar>
            <w:vAlign w:val="center"/>
            <w:hideMark/>
          </w:tcPr>
          <w:p w:rsidR="00000000" w:rsidRDefault="001F1FC8">
            <w:pPr>
              <w:rPr>
                <w:rFonts w:eastAsia="Times New Roman"/>
              </w:rPr>
            </w:pPr>
            <w:r>
              <w:rPr>
                <w:rFonts w:ascii="Arial" w:eastAsia="Times New Roman" w:hAnsi="Arial" w:cs="Arial"/>
                <w:color w:val="000000"/>
                <w:sz w:val="20"/>
                <w:szCs w:val="20"/>
              </w:rPr>
              <w:t>Other</w:t>
            </w:r>
          </w:p>
        </w:tc>
        <w:tc>
          <w:tcPr>
            <w:tcW w:w="0" w:type="auto"/>
            <w:gridSpan w:val="2"/>
            <w:shd w:val="clear" w:color="auto" w:fill="D9D9D9"/>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b/>
                <w:bCs/>
                <w:color w:val="000000"/>
                <w:sz w:val="20"/>
                <w:szCs w:val="20"/>
              </w:rPr>
              <w:t>1,648</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20"/>
                <w:szCs w:val="20"/>
              </w:rPr>
              <w:t>1,461 </w:t>
            </w:r>
          </w:p>
        </w:tc>
        <w:tc>
          <w:tcPr>
            <w:tcW w:w="0" w:type="auto"/>
            <w:tcMar>
              <w:top w:w="30" w:type="dxa"/>
              <w:left w:w="0" w:type="dxa"/>
              <w:bottom w:w="30" w:type="dxa"/>
              <w:right w:w="20" w:type="dxa"/>
            </w:tcMar>
            <w:vAlign w:val="center"/>
            <w:hideMark/>
          </w:tcPr>
          <w:p w:rsidR="00000000" w:rsidRDefault="001F1FC8">
            <w:pPr>
              <w:jc w:val="right"/>
              <w:rPr>
                <w:rFonts w:eastAsia="Times New Roman"/>
              </w:rPr>
            </w:pPr>
          </w:p>
        </w:tc>
      </w:tr>
      <w:tr w:rsidR="00000000">
        <w:trPr>
          <w:divId w:val="2109426325"/>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1F1FC8">
            <w:pPr>
              <w:rPr>
                <w:rFonts w:eastAsia="Times New Roman"/>
              </w:rPr>
            </w:pPr>
            <w:r>
              <w:rPr>
                <w:rFonts w:ascii="Arial" w:eastAsia="Times New Roman" w:hAnsi="Arial" w:cs="Arial"/>
                <w:color w:val="000000"/>
                <w:sz w:val="20"/>
                <w:szCs w:val="20"/>
              </w:rPr>
              <w:t>Total deferred income tax assets</w:t>
            </w:r>
          </w:p>
        </w:tc>
        <w:tc>
          <w:tcPr>
            <w:tcW w:w="0" w:type="auto"/>
            <w:gridSpan w:val="2"/>
            <w:tcBorders>
              <w:top w:val="single" w:sz="4" w:space="0" w:color="000000"/>
            </w:tcBorders>
            <w:shd w:val="clear" w:color="auto" w:fill="D9D9D9"/>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b/>
                <w:bCs/>
                <w:color w:val="000000"/>
                <w:sz w:val="20"/>
                <w:szCs w:val="20"/>
              </w:rPr>
              <w:t>5,154</w:t>
            </w:r>
            <w:r>
              <w:rPr>
                <w:rFonts w:ascii="Arial" w:eastAsia="Times New Roman" w:hAnsi="Arial" w:cs="Arial"/>
                <w:color w:val="000000"/>
                <w:sz w:val="20"/>
                <w:szCs w:val="20"/>
              </w:rPr>
              <w:t> </w:t>
            </w:r>
          </w:p>
        </w:tc>
        <w:tc>
          <w:tcPr>
            <w:tcW w:w="0" w:type="auto"/>
            <w:tcBorders>
              <w:top w:val="single" w:sz="4" w:space="0" w:color="000000"/>
            </w:tcBorders>
            <w:shd w:val="clear" w:color="auto" w:fill="D9D9D9"/>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20"/>
                <w:szCs w:val="20"/>
              </w:rPr>
              <w:t>4,235 </w:t>
            </w:r>
          </w:p>
        </w:tc>
        <w:tc>
          <w:tcPr>
            <w:tcW w:w="0" w:type="auto"/>
            <w:tcBorders>
              <w:top w:val="single" w:sz="4" w:space="0" w:color="000000"/>
            </w:tcBorders>
            <w:tcMar>
              <w:top w:w="30" w:type="dxa"/>
              <w:left w:w="0" w:type="dxa"/>
              <w:bottom w:w="30" w:type="dxa"/>
              <w:right w:w="20" w:type="dxa"/>
            </w:tcMar>
            <w:vAlign w:val="center"/>
            <w:hideMark/>
          </w:tcPr>
          <w:p w:rsidR="00000000" w:rsidRDefault="001F1FC8">
            <w:pPr>
              <w:jc w:val="right"/>
              <w:rPr>
                <w:rFonts w:eastAsia="Times New Roman"/>
              </w:rPr>
            </w:pPr>
          </w:p>
        </w:tc>
      </w:tr>
      <w:tr w:rsidR="00000000">
        <w:trPr>
          <w:divId w:val="2109426325"/>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1F1FC8">
            <w:pPr>
              <w:rPr>
                <w:rFonts w:eastAsia="Times New Roman"/>
              </w:rPr>
            </w:pPr>
            <w:r>
              <w:rPr>
                <w:rFonts w:ascii="Arial" w:eastAsia="Times New Roman" w:hAnsi="Arial" w:cs="Arial"/>
                <w:color w:val="000000"/>
                <w:sz w:val="20"/>
                <w:szCs w:val="20"/>
              </w:rPr>
              <w:t>Less valuation allowance</w:t>
            </w:r>
          </w:p>
        </w:tc>
        <w:tc>
          <w:tcPr>
            <w:tcW w:w="0" w:type="auto"/>
            <w:gridSpan w:val="2"/>
            <w:tcBorders>
              <w:top w:val="single" w:sz="4" w:space="0" w:color="000000"/>
            </w:tcBorders>
            <w:shd w:val="clear" w:color="auto" w:fill="D9D9D9"/>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b/>
                <w:bCs/>
                <w:color w:val="000000"/>
                <w:sz w:val="20"/>
                <w:szCs w:val="20"/>
              </w:rPr>
              <w:t>(84)</w:t>
            </w:r>
          </w:p>
        </w:tc>
        <w:tc>
          <w:tcPr>
            <w:tcW w:w="0" w:type="auto"/>
            <w:tcBorders>
              <w:top w:val="single" w:sz="4" w:space="0" w:color="000000"/>
            </w:tcBorders>
            <w:shd w:val="clear" w:color="auto" w:fill="D9D9D9"/>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20"/>
                <w:szCs w:val="20"/>
              </w:rPr>
              <w:t>(79)</w:t>
            </w:r>
          </w:p>
        </w:tc>
        <w:tc>
          <w:tcPr>
            <w:tcW w:w="0" w:type="auto"/>
            <w:tcBorders>
              <w:top w:val="single" w:sz="4" w:space="0" w:color="000000"/>
            </w:tcBorders>
            <w:tcMar>
              <w:top w:w="30" w:type="dxa"/>
              <w:left w:w="0" w:type="dxa"/>
              <w:bottom w:w="30" w:type="dxa"/>
              <w:right w:w="20" w:type="dxa"/>
            </w:tcMar>
            <w:vAlign w:val="center"/>
            <w:hideMark/>
          </w:tcPr>
          <w:p w:rsidR="00000000" w:rsidRDefault="001F1FC8">
            <w:pPr>
              <w:jc w:val="right"/>
              <w:rPr>
                <w:rFonts w:eastAsia="Times New Roman"/>
              </w:rPr>
            </w:pPr>
          </w:p>
        </w:tc>
      </w:tr>
      <w:tr w:rsidR="00000000">
        <w:trPr>
          <w:divId w:val="2109426325"/>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1F1FC8">
            <w:pPr>
              <w:rPr>
                <w:rFonts w:eastAsia="Times New Roman"/>
              </w:rPr>
            </w:pPr>
            <w:r>
              <w:rPr>
                <w:rFonts w:ascii="Arial" w:eastAsia="Times New Roman" w:hAnsi="Arial" w:cs="Arial"/>
                <w:color w:val="000000"/>
                <w:sz w:val="20"/>
                <w:szCs w:val="20"/>
              </w:rPr>
              <w:t>Total deferred income tax assets, net</w:t>
            </w:r>
          </w:p>
        </w:tc>
        <w:tc>
          <w:tcPr>
            <w:tcW w:w="0" w:type="auto"/>
            <w:gridSpan w:val="2"/>
            <w:tcBorders>
              <w:top w:val="single" w:sz="4" w:space="0" w:color="000000"/>
            </w:tcBorders>
            <w:shd w:val="clear" w:color="auto" w:fill="D9D9D9"/>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b/>
                <w:bCs/>
                <w:color w:val="000000"/>
                <w:sz w:val="20"/>
                <w:szCs w:val="20"/>
              </w:rPr>
              <w:t>5,070</w:t>
            </w:r>
            <w:r>
              <w:rPr>
                <w:rFonts w:ascii="Arial" w:eastAsia="Times New Roman" w:hAnsi="Arial" w:cs="Arial"/>
                <w:color w:val="000000"/>
                <w:sz w:val="20"/>
                <w:szCs w:val="20"/>
              </w:rPr>
              <w:t> </w:t>
            </w:r>
          </w:p>
        </w:tc>
        <w:tc>
          <w:tcPr>
            <w:tcW w:w="0" w:type="auto"/>
            <w:tcBorders>
              <w:top w:val="single" w:sz="4" w:space="0" w:color="000000"/>
            </w:tcBorders>
            <w:shd w:val="clear" w:color="auto" w:fill="D9D9D9"/>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20"/>
                <w:szCs w:val="20"/>
              </w:rPr>
              <w:t>4,156 </w:t>
            </w:r>
          </w:p>
        </w:tc>
        <w:tc>
          <w:tcPr>
            <w:tcW w:w="0" w:type="auto"/>
            <w:tcBorders>
              <w:top w:val="single" w:sz="4" w:space="0" w:color="000000"/>
            </w:tcBorders>
            <w:tcMar>
              <w:top w:w="30" w:type="dxa"/>
              <w:left w:w="0" w:type="dxa"/>
              <w:bottom w:w="30" w:type="dxa"/>
              <w:right w:w="20" w:type="dxa"/>
            </w:tcMar>
            <w:vAlign w:val="center"/>
            <w:hideMark/>
          </w:tcPr>
          <w:p w:rsidR="00000000" w:rsidRDefault="001F1FC8">
            <w:pPr>
              <w:jc w:val="right"/>
              <w:rPr>
                <w:rFonts w:eastAsia="Times New Roman"/>
              </w:rPr>
            </w:pPr>
          </w:p>
        </w:tc>
      </w:tr>
      <w:tr w:rsidR="00000000">
        <w:trPr>
          <w:divId w:val="2109426325"/>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1F1FC8">
            <w:pPr>
              <w:rPr>
                <w:rFonts w:eastAsia="Times New Roman"/>
              </w:rPr>
            </w:pPr>
            <w:r>
              <w:rPr>
                <w:rFonts w:ascii="Arial" w:eastAsia="Times New Roman" w:hAnsi="Arial" w:cs="Arial"/>
                <w:color w:val="000000"/>
                <w:sz w:val="20"/>
                <w:szCs w:val="20"/>
              </w:rPr>
              <w:t>Net deferred income tax liabilities</w:t>
            </w:r>
          </w:p>
        </w:tc>
        <w:tc>
          <w:tcPr>
            <w:tcW w:w="0" w:type="auto"/>
            <w:gridSpan w:val="2"/>
            <w:tcBorders>
              <w:top w:val="single" w:sz="4" w:space="0" w:color="000000"/>
            </w:tcBorders>
            <w:shd w:val="clear" w:color="auto" w:fill="D9D9D9"/>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b/>
                <w:bCs/>
                <w:color w:val="000000"/>
                <w:sz w:val="20"/>
                <w:szCs w:val="20"/>
              </w:rPr>
              <w:t>(11,201)</w:t>
            </w:r>
          </w:p>
        </w:tc>
        <w:tc>
          <w:tcPr>
            <w:tcW w:w="0" w:type="auto"/>
            <w:tcBorders>
              <w:top w:val="single" w:sz="4" w:space="0" w:color="000000"/>
            </w:tcBorders>
            <w:shd w:val="clear" w:color="auto" w:fill="D9D9D9"/>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20"/>
                <w:szCs w:val="20"/>
              </w:rPr>
              <w:t>(9,562)</w:t>
            </w:r>
          </w:p>
        </w:tc>
        <w:tc>
          <w:tcPr>
            <w:tcW w:w="0" w:type="auto"/>
            <w:tcBorders>
              <w:top w:val="single" w:sz="4" w:space="0" w:color="000000"/>
            </w:tcBorders>
            <w:tcMar>
              <w:top w:w="30" w:type="dxa"/>
              <w:left w:w="0" w:type="dxa"/>
              <w:bottom w:w="30" w:type="dxa"/>
              <w:right w:w="20" w:type="dxa"/>
            </w:tcMar>
            <w:vAlign w:val="center"/>
            <w:hideMark/>
          </w:tcPr>
          <w:p w:rsidR="00000000" w:rsidRDefault="001F1FC8">
            <w:pPr>
              <w:jc w:val="right"/>
              <w:rPr>
                <w:rFonts w:eastAsia="Times New Roman"/>
              </w:rPr>
            </w:pPr>
          </w:p>
        </w:tc>
      </w:tr>
      <w:tr w:rsidR="00000000">
        <w:trPr>
          <w:divId w:val="2109426325"/>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1F1FC8">
            <w:pPr>
              <w:rPr>
                <w:rFonts w:eastAsia="Times New Roman"/>
              </w:rPr>
            </w:pPr>
            <w:r>
              <w:rPr>
                <w:rFonts w:ascii="Arial" w:eastAsia="Times New Roman" w:hAnsi="Arial" w:cs="Arial"/>
                <w:color w:val="000000"/>
                <w:sz w:val="20"/>
                <w:szCs w:val="20"/>
              </w:rPr>
              <w:t>Presented as follows:</w:t>
            </w:r>
          </w:p>
        </w:tc>
        <w:tc>
          <w:tcPr>
            <w:tcW w:w="0" w:type="auto"/>
            <w:gridSpan w:val="3"/>
            <w:tcBorders>
              <w:top w:val="single" w:sz="4" w:space="0" w:color="000000"/>
            </w:tcBorders>
            <w:shd w:val="clear" w:color="auto" w:fill="D9D9D9"/>
            <w:tcMar>
              <w:top w:w="0" w:type="dxa"/>
              <w:left w:w="20" w:type="dxa"/>
              <w:bottom w:w="0" w:type="dxa"/>
              <w:right w:w="20" w:type="dxa"/>
            </w:tcMar>
            <w:vAlign w:val="center"/>
            <w:hideMark/>
          </w:tcPr>
          <w:p w:rsidR="00000000" w:rsidRDefault="001F1FC8">
            <w:pPr>
              <w:rPr>
                <w:rFonts w:eastAsia="Times New Roman"/>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1F1FC8">
            <w:pPr>
              <w:rPr>
                <w:rFonts w:eastAsia="Times New Roman"/>
                <w:sz w:val="20"/>
                <w:szCs w:val="20"/>
              </w:rPr>
            </w:pPr>
          </w:p>
        </w:tc>
      </w:tr>
      <w:tr w:rsidR="00000000">
        <w:trPr>
          <w:divId w:val="2109426325"/>
        </w:trPr>
        <w:tc>
          <w:tcPr>
            <w:tcW w:w="0" w:type="auto"/>
            <w:gridSpan w:val="3"/>
            <w:tcMar>
              <w:top w:w="30" w:type="dxa"/>
              <w:left w:w="155" w:type="dxa"/>
              <w:bottom w:w="30" w:type="dxa"/>
              <w:right w:w="20" w:type="dxa"/>
            </w:tcMar>
            <w:vAlign w:val="center"/>
            <w:hideMark/>
          </w:tcPr>
          <w:p w:rsidR="00000000" w:rsidRDefault="001F1FC8">
            <w:pPr>
              <w:rPr>
                <w:rFonts w:eastAsia="Times New Roman"/>
              </w:rPr>
            </w:pPr>
            <w:r>
              <w:rPr>
                <w:rFonts w:ascii="Arial" w:eastAsia="Times New Roman" w:hAnsi="Arial" w:cs="Arial"/>
                <w:color w:val="000000"/>
                <w:sz w:val="20"/>
                <w:szCs w:val="20"/>
              </w:rPr>
              <w:t>Total deferred income tax assets</w:t>
            </w:r>
          </w:p>
        </w:tc>
        <w:tc>
          <w:tcPr>
            <w:tcW w:w="0" w:type="auto"/>
            <w:gridSpan w:val="2"/>
            <w:shd w:val="clear" w:color="auto" w:fill="D9D9D9"/>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b/>
                <w:bCs/>
                <w:color w:val="000000"/>
                <w:sz w:val="20"/>
                <w:szCs w:val="20"/>
              </w:rPr>
              <w:t>488</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20"/>
                <w:szCs w:val="20"/>
              </w:rPr>
              <w:t>770 </w:t>
            </w:r>
          </w:p>
        </w:tc>
        <w:tc>
          <w:tcPr>
            <w:tcW w:w="0" w:type="auto"/>
            <w:tcMar>
              <w:top w:w="30" w:type="dxa"/>
              <w:left w:w="0" w:type="dxa"/>
              <w:bottom w:w="30" w:type="dxa"/>
              <w:right w:w="20" w:type="dxa"/>
            </w:tcMar>
            <w:vAlign w:val="center"/>
            <w:hideMark/>
          </w:tcPr>
          <w:p w:rsidR="00000000" w:rsidRDefault="001F1FC8">
            <w:pPr>
              <w:jc w:val="right"/>
              <w:rPr>
                <w:rFonts w:eastAsia="Times New Roman"/>
              </w:rPr>
            </w:pPr>
          </w:p>
        </w:tc>
      </w:tr>
      <w:tr w:rsidR="00000000">
        <w:trPr>
          <w:divId w:val="2109426325"/>
        </w:trPr>
        <w:tc>
          <w:tcPr>
            <w:tcW w:w="0" w:type="auto"/>
            <w:gridSpan w:val="3"/>
            <w:tcMar>
              <w:top w:w="30" w:type="dxa"/>
              <w:left w:w="155" w:type="dxa"/>
              <w:bottom w:w="30" w:type="dxa"/>
              <w:right w:w="20" w:type="dxa"/>
            </w:tcMar>
            <w:vAlign w:val="center"/>
            <w:hideMark/>
          </w:tcPr>
          <w:p w:rsidR="00000000" w:rsidRDefault="001F1FC8">
            <w:pPr>
              <w:rPr>
                <w:rFonts w:eastAsia="Times New Roman"/>
              </w:rPr>
            </w:pPr>
            <w:r>
              <w:rPr>
                <w:rFonts w:ascii="Arial" w:eastAsia="Times New Roman" w:hAnsi="Arial" w:cs="Arial"/>
                <w:color w:val="000000"/>
                <w:sz w:val="20"/>
                <w:szCs w:val="20"/>
              </w:rPr>
              <w:t>Total deferred income tax liabilities</w:t>
            </w:r>
          </w:p>
        </w:tc>
        <w:tc>
          <w:tcPr>
            <w:tcW w:w="0" w:type="auto"/>
            <w:gridSpan w:val="2"/>
            <w:shd w:val="clear" w:color="auto" w:fill="D9D9D9"/>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b/>
                <w:bCs/>
                <w:color w:val="000000"/>
                <w:sz w:val="20"/>
                <w:szCs w:val="20"/>
              </w:rPr>
              <w:t>(11,689)</w:t>
            </w:r>
          </w:p>
        </w:tc>
        <w:tc>
          <w:tcPr>
            <w:tcW w:w="0" w:type="auto"/>
            <w:shd w:val="clear" w:color="auto" w:fill="D9D9D9"/>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20"/>
                <w:szCs w:val="20"/>
              </w:rPr>
              <w:t>(10,332)</w:t>
            </w:r>
          </w:p>
        </w:tc>
        <w:tc>
          <w:tcPr>
            <w:tcW w:w="0" w:type="auto"/>
            <w:tcMar>
              <w:top w:w="30" w:type="dxa"/>
              <w:left w:w="0" w:type="dxa"/>
              <w:bottom w:w="30" w:type="dxa"/>
              <w:right w:w="20" w:type="dxa"/>
            </w:tcMar>
            <w:vAlign w:val="center"/>
            <w:hideMark/>
          </w:tcPr>
          <w:p w:rsidR="00000000" w:rsidRDefault="001F1FC8">
            <w:pPr>
              <w:jc w:val="right"/>
              <w:rPr>
                <w:rFonts w:eastAsia="Times New Roman"/>
              </w:rPr>
            </w:pPr>
          </w:p>
        </w:tc>
      </w:tr>
      <w:tr w:rsidR="00000000">
        <w:trPr>
          <w:divId w:val="2109426325"/>
        </w:trPr>
        <w:tc>
          <w:tcPr>
            <w:tcW w:w="0" w:type="auto"/>
            <w:gridSpan w:val="3"/>
            <w:tcBorders>
              <w:top w:val="single" w:sz="4" w:space="0" w:color="000000"/>
              <w:bottom w:val="single" w:sz="8" w:space="0" w:color="000000"/>
            </w:tcBorders>
            <w:tcMar>
              <w:top w:w="30" w:type="dxa"/>
              <w:left w:w="20" w:type="dxa"/>
              <w:bottom w:w="30" w:type="dxa"/>
              <w:right w:w="20" w:type="dxa"/>
            </w:tcMar>
            <w:vAlign w:val="center"/>
            <w:hideMark/>
          </w:tcPr>
          <w:p w:rsidR="00000000" w:rsidRDefault="001F1FC8">
            <w:pPr>
              <w:rPr>
                <w:rFonts w:eastAsia="Times New Roman"/>
              </w:rPr>
            </w:pPr>
            <w:r>
              <w:rPr>
                <w:rFonts w:ascii="Arial" w:eastAsia="Times New Roman" w:hAnsi="Arial" w:cs="Arial"/>
                <w:color w:val="000000"/>
                <w:sz w:val="20"/>
                <w:szCs w:val="20"/>
              </w:rPr>
              <w:t>Net deferred income tax liabilities</w:t>
            </w:r>
          </w:p>
        </w:tc>
        <w:tc>
          <w:tcPr>
            <w:tcW w:w="0" w:type="auto"/>
            <w:gridSpan w:val="2"/>
            <w:tcBorders>
              <w:top w:val="single" w:sz="4" w:space="0" w:color="000000"/>
              <w:bottom w:val="single" w:sz="8" w:space="0" w:color="000000"/>
            </w:tcBorders>
            <w:shd w:val="clear" w:color="auto" w:fill="D9D9D9"/>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b/>
                <w:bCs/>
                <w:color w:val="000000"/>
                <w:sz w:val="20"/>
                <w:szCs w:val="20"/>
              </w:rPr>
              <w:t>(11,201)</w:t>
            </w:r>
          </w:p>
        </w:tc>
        <w:tc>
          <w:tcPr>
            <w:tcW w:w="0" w:type="auto"/>
            <w:tcBorders>
              <w:top w:val="single" w:sz="4" w:space="0" w:color="000000"/>
              <w:bottom w:val="single" w:sz="8" w:space="0" w:color="000000"/>
            </w:tcBorders>
            <w:shd w:val="clear" w:color="auto" w:fill="D9D9D9"/>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Borders>
              <w:top w:val="single" w:sz="4" w:space="0" w:color="000000"/>
              <w:bottom w:val="single" w:sz="8" w:space="0" w:color="000000"/>
            </w:tcBorders>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20"/>
                <w:szCs w:val="20"/>
              </w:rPr>
              <w:t>(9,562)</w:t>
            </w:r>
          </w:p>
        </w:tc>
        <w:tc>
          <w:tcPr>
            <w:tcW w:w="0" w:type="auto"/>
            <w:tcBorders>
              <w:top w:val="single" w:sz="4" w:space="0" w:color="000000"/>
              <w:bottom w:val="single" w:sz="8" w:space="0" w:color="000000"/>
            </w:tcBorders>
            <w:tcMar>
              <w:top w:w="30" w:type="dxa"/>
              <w:left w:w="0" w:type="dxa"/>
              <w:bottom w:w="30" w:type="dxa"/>
              <w:right w:w="20" w:type="dxa"/>
            </w:tcMar>
            <w:vAlign w:val="center"/>
            <w:hideMark/>
          </w:tcPr>
          <w:p w:rsidR="00000000" w:rsidRDefault="001F1FC8">
            <w:pPr>
              <w:jc w:val="right"/>
              <w:rPr>
                <w:rFonts w:eastAsia="Times New Roman"/>
              </w:rPr>
            </w:pPr>
          </w:p>
        </w:tc>
      </w:tr>
    </w:tbl>
    <w:p w:rsidR="00000000" w:rsidRDefault="001F1FC8">
      <w:pPr>
        <w:divId w:val="1398014724"/>
        <w:rPr>
          <w:rFonts w:eastAsia="Times New Roman"/>
        </w:rPr>
      </w:pPr>
    </w:p>
    <w:p w:rsidR="00000000" w:rsidRDefault="001F1FC8">
      <w:pPr>
        <w:divId w:val="1205950388"/>
        <w:rPr>
          <w:rFonts w:eastAsia="Times New Roman"/>
        </w:rPr>
      </w:pPr>
      <w:r>
        <w:rPr>
          <w:rFonts w:ascii="Arial" w:eastAsia="Times New Roman" w:hAnsi="Arial" w:cs="Arial"/>
          <w:color w:val="000000"/>
          <w:sz w:val="20"/>
          <w:szCs w:val="20"/>
        </w:rPr>
        <w:t>A valuation allowance has been established for certain loss and credit carryforwards, and outside basis temporary differences on investments that reduce deferred income tax assets to an amount that will more likely than not be realized.</w:t>
      </w:r>
    </w:p>
    <w:p w:rsidR="00000000" w:rsidRDefault="001F1FC8">
      <w:pPr>
        <w:divId w:val="783619923"/>
        <w:rPr>
          <w:rFonts w:eastAsia="Times New Roman"/>
        </w:rPr>
      </w:pPr>
      <w:r>
        <w:rPr>
          <w:rFonts w:ascii="Arial" w:eastAsia="Times New Roman" w:hAnsi="Arial" w:cs="Arial"/>
          <w:color w:val="000000"/>
          <w:sz w:val="20"/>
          <w:szCs w:val="20"/>
        </w:rPr>
        <w:t> </w:t>
      </w:r>
    </w:p>
    <w:p w:rsidR="00000000" w:rsidRDefault="001F1FC8">
      <w:pPr>
        <w:jc w:val="center"/>
        <w:divId w:val="1709451819"/>
        <w:rPr>
          <w:rFonts w:eastAsia="Times New Roman"/>
        </w:rPr>
      </w:pPr>
      <w:r>
        <w:rPr>
          <w:rFonts w:ascii="Arial" w:eastAsia="Times New Roman" w:hAnsi="Arial" w:cs="Arial"/>
          <w:color w:val="000000"/>
          <w:sz w:val="20"/>
          <w:szCs w:val="20"/>
        </w:rPr>
        <w:t>162</w:t>
      </w:r>
    </w:p>
    <w:p w:rsidR="00000000" w:rsidRDefault="001F1FC8">
      <w:pPr>
        <w:rPr>
          <w:rFonts w:eastAsia="Times New Roman"/>
        </w:rPr>
      </w:pPr>
      <w:r>
        <w:rPr>
          <w:rFonts w:eastAsia="Times New Roman"/>
        </w:rPr>
        <w:pict>
          <v:rect id="_x0000_i1192" style="width:0;height:1.5pt" o:hralign="center" o:hrstd="t" o:hr="t" fillcolor="#a0a0a0" stroked="f"/>
        </w:pict>
      </w:r>
    </w:p>
    <w:p w:rsidR="00000000" w:rsidRDefault="001F1FC8">
      <w:pPr>
        <w:jc w:val="center"/>
        <w:divId w:val="1061292891"/>
        <w:rPr>
          <w:rFonts w:eastAsia="Times New Roman"/>
        </w:rPr>
      </w:pPr>
    </w:p>
    <w:p w:rsidR="00000000" w:rsidRDefault="001F1FC8">
      <w:pPr>
        <w:divId w:val="535970887"/>
        <w:rPr>
          <w:rFonts w:eastAsia="Times New Roman"/>
        </w:rPr>
      </w:pPr>
      <w:r>
        <w:rPr>
          <w:rFonts w:ascii="Arial" w:eastAsia="Times New Roman" w:hAnsi="Arial" w:cs="Arial"/>
          <w:color w:val="000000"/>
          <w:sz w:val="20"/>
          <w:szCs w:val="20"/>
        </w:rPr>
        <w:t>As at December 31, 2021, we recognized the benefit of unused tax loss carryforwards of $1.9 billion (2020 - $2.6 billion) in Canada which expire in 2026 and beyond.</w:t>
      </w:r>
    </w:p>
    <w:p w:rsidR="00000000" w:rsidRDefault="001F1FC8">
      <w:pPr>
        <w:divId w:val="1910725878"/>
        <w:rPr>
          <w:rFonts w:eastAsia="Times New Roman"/>
        </w:rPr>
      </w:pPr>
    </w:p>
    <w:p w:rsidR="00000000" w:rsidRDefault="001F1FC8">
      <w:pPr>
        <w:divId w:val="2120442665"/>
        <w:rPr>
          <w:rFonts w:eastAsia="Times New Roman"/>
        </w:rPr>
      </w:pPr>
      <w:r>
        <w:rPr>
          <w:rFonts w:ascii="Arial" w:eastAsia="Times New Roman" w:hAnsi="Arial" w:cs="Arial"/>
          <w:color w:val="000000"/>
          <w:sz w:val="20"/>
          <w:szCs w:val="20"/>
        </w:rPr>
        <w:t>As at December 31, 2021, we recognized the benefit of unused ta</w:t>
      </w:r>
      <w:r>
        <w:rPr>
          <w:rFonts w:ascii="Arial" w:eastAsia="Times New Roman" w:hAnsi="Arial" w:cs="Arial"/>
          <w:color w:val="000000"/>
          <w:sz w:val="20"/>
          <w:szCs w:val="20"/>
        </w:rPr>
        <w:t>x loss carryforwards of $11.0 billion (2020 - $5.8 billion) in the US. Unused tax loss carryforwards of $3.5 billion (2020 - $2.4 billion) begin to expire in 2023, and unused tax loss carryforwards of $7.5 billion (2020 - $3.4 billion) have no expiration.</w:t>
      </w:r>
    </w:p>
    <w:p w:rsidR="00000000" w:rsidRDefault="001F1FC8">
      <w:pPr>
        <w:divId w:val="1056859943"/>
        <w:rPr>
          <w:rFonts w:eastAsia="Times New Roman"/>
        </w:rPr>
      </w:pPr>
    </w:p>
    <w:p w:rsidR="00000000" w:rsidRDefault="001F1FC8">
      <w:pPr>
        <w:divId w:val="1671252524"/>
        <w:rPr>
          <w:rFonts w:eastAsia="Times New Roman"/>
        </w:rPr>
      </w:pPr>
      <w:r>
        <w:rPr>
          <w:rFonts w:ascii="Arial" w:eastAsia="Times New Roman" w:hAnsi="Arial" w:cs="Arial"/>
          <w:color w:val="000000"/>
          <w:sz w:val="20"/>
          <w:szCs w:val="20"/>
        </w:rPr>
        <w:t>We have not provided for deferred income taxes on the difference between the carrying value of substantially all of our foreign subsidiaries and their corresponding tax basis as the earnings of those subsidiaries are intended to be permanently reinvested</w:t>
      </w:r>
      <w:r>
        <w:rPr>
          <w:rFonts w:ascii="Arial" w:eastAsia="Times New Roman" w:hAnsi="Arial" w:cs="Arial"/>
          <w:color w:val="000000"/>
          <w:sz w:val="20"/>
          <w:szCs w:val="20"/>
        </w:rPr>
        <w:t xml:space="preserve"> in their operations. As such, these investments are not anticipated to give rise to income taxes in the foreseeable future. The difference between the carrying values of the investments and their tax bases is largely a result of unremitted earnings and cu</w:t>
      </w:r>
      <w:r>
        <w:rPr>
          <w:rFonts w:ascii="Arial" w:eastAsia="Times New Roman" w:hAnsi="Arial" w:cs="Arial"/>
          <w:color w:val="000000"/>
          <w:sz w:val="20"/>
          <w:szCs w:val="20"/>
        </w:rPr>
        <w:t>rrency translation adjustments. The unremitted earnings and currency translation adjustment for which no deferred taxes have been recognized in respect of foreign subsidiaries were $4.3 billion and $5.5 billion for the periods December 31, 2021 and 2020, r</w:t>
      </w:r>
      <w:r>
        <w:rPr>
          <w:rFonts w:ascii="Arial" w:eastAsia="Times New Roman" w:hAnsi="Arial" w:cs="Arial"/>
          <w:color w:val="000000"/>
          <w:sz w:val="20"/>
          <w:szCs w:val="20"/>
        </w:rPr>
        <w:t>espectively. If such earnings are remitted, in the form of dividends or otherwise, we may be subject to income taxes and foreign withholding taxes. The determination of the amount of unrecognized deferred income tax liabilities on such amounts is not pract</w:t>
      </w:r>
      <w:r>
        <w:rPr>
          <w:rFonts w:ascii="Arial" w:eastAsia="Times New Roman" w:hAnsi="Arial" w:cs="Arial"/>
          <w:color w:val="000000"/>
          <w:sz w:val="20"/>
          <w:szCs w:val="20"/>
        </w:rPr>
        <w:t>icable.</w:t>
      </w:r>
    </w:p>
    <w:p w:rsidR="00000000" w:rsidRDefault="001F1FC8">
      <w:pPr>
        <w:divId w:val="388263856"/>
        <w:rPr>
          <w:rFonts w:eastAsia="Times New Roman"/>
        </w:rPr>
      </w:pPr>
    </w:p>
    <w:p w:rsidR="00000000" w:rsidRDefault="001F1FC8">
      <w:pPr>
        <w:divId w:val="1550612105"/>
        <w:rPr>
          <w:rFonts w:eastAsia="Times New Roman"/>
        </w:rPr>
      </w:pPr>
      <w:r>
        <w:rPr>
          <w:rFonts w:ascii="Arial" w:eastAsia="Times New Roman" w:hAnsi="Arial" w:cs="Arial"/>
          <w:color w:val="000000"/>
          <w:sz w:val="20"/>
          <w:szCs w:val="20"/>
        </w:rPr>
        <w:t>Enbridge and certain of our subsidiaries are subject to taxation in Canada, the US and other foreign jurisdictions. The material jurisdictions in which we are subject to potential examinations include the US (Federal) and Canada (Federal, Alberta and Ontar</w:t>
      </w:r>
      <w:r>
        <w:rPr>
          <w:rFonts w:ascii="Arial" w:eastAsia="Times New Roman" w:hAnsi="Arial" w:cs="Arial"/>
          <w:color w:val="000000"/>
          <w:sz w:val="20"/>
          <w:szCs w:val="20"/>
        </w:rPr>
        <w:t xml:space="preserve">io). We are open to examination by Canadian tax authorities for the 2012 to 2021 tax years and by US tax authorities for the 2018 to 2021 tax years. We are currently under examination for income tax matters in Canada for the 2014 to 2018 tax years. We are </w:t>
      </w:r>
      <w:r>
        <w:rPr>
          <w:rFonts w:ascii="Arial" w:eastAsia="Times New Roman" w:hAnsi="Arial" w:cs="Arial"/>
          <w:color w:val="000000"/>
          <w:sz w:val="20"/>
          <w:szCs w:val="20"/>
        </w:rPr>
        <w:t>not currently under examination for income tax matters in any other material jurisdiction where we are subject to income tax.</w:t>
      </w:r>
    </w:p>
    <w:p w:rsidR="00000000" w:rsidRDefault="001F1FC8">
      <w:pPr>
        <w:divId w:val="605624450"/>
        <w:rPr>
          <w:rFonts w:eastAsia="Times New Roman"/>
        </w:rPr>
      </w:pPr>
    </w:p>
    <w:p w:rsidR="00000000" w:rsidRDefault="001F1FC8">
      <w:pPr>
        <w:divId w:val="1388988827"/>
        <w:rPr>
          <w:rFonts w:eastAsia="Times New Roman"/>
        </w:rPr>
      </w:pPr>
      <w:r>
        <w:rPr>
          <w:rFonts w:ascii="Arial" w:eastAsia="Times New Roman" w:hAnsi="Arial" w:cs="Arial"/>
          <w:b/>
          <w:bCs/>
          <w:color w:val="000000"/>
          <w:sz w:val="20"/>
          <w:szCs w:val="20"/>
        </w:rPr>
        <w:t>UNRECOGNIZED TAX BENEFITS</w:t>
      </w:r>
    </w:p>
    <w:tbl>
      <w:tblPr>
        <w:tblW w:w="5000" w:type="pct"/>
        <w:tblCellMar>
          <w:top w:w="15" w:type="dxa"/>
          <w:left w:w="15" w:type="dxa"/>
          <w:bottom w:w="15" w:type="dxa"/>
          <w:right w:w="15" w:type="dxa"/>
        </w:tblCellMar>
        <w:tblLook w:val="04A0" w:firstRow="1" w:lastRow="0" w:firstColumn="1" w:lastColumn="0" w:noHBand="0" w:noVBand="1"/>
      </w:tblPr>
      <w:tblGrid>
        <w:gridCol w:w="68"/>
        <w:gridCol w:w="6367"/>
        <w:gridCol w:w="37"/>
        <w:gridCol w:w="69"/>
        <w:gridCol w:w="812"/>
        <w:gridCol w:w="36"/>
        <w:gridCol w:w="69"/>
        <w:gridCol w:w="812"/>
        <w:gridCol w:w="36"/>
      </w:tblGrid>
      <w:tr w:rsidR="00000000">
        <w:trPr>
          <w:divId w:val="74861905"/>
        </w:trPr>
        <w:tc>
          <w:tcPr>
            <w:tcW w:w="50" w:type="pct"/>
            <w:vAlign w:val="center"/>
            <w:hideMark/>
          </w:tcPr>
          <w:p w:rsidR="00000000" w:rsidRDefault="001F1FC8">
            <w:pPr>
              <w:rPr>
                <w:rFonts w:eastAsia="Times New Roman"/>
              </w:rPr>
            </w:pPr>
          </w:p>
        </w:tc>
        <w:tc>
          <w:tcPr>
            <w:tcW w:w="3839"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c>
          <w:tcPr>
            <w:tcW w:w="50" w:type="pct"/>
            <w:vAlign w:val="center"/>
            <w:hideMark/>
          </w:tcPr>
          <w:p w:rsidR="00000000" w:rsidRDefault="001F1FC8">
            <w:pPr>
              <w:rPr>
                <w:rFonts w:eastAsia="Times New Roman"/>
                <w:sz w:val="20"/>
                <w:szCs w:val="20"/>
              </w:rPr>
            </w:pPr>
          </w:p>
        </w:tc>
        <w:tc>
          <w:tcPr>
            <w:tcW w:w="497"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c>
          <w:tcPr>
            <w:tcW w:w="50" w:type="pct"/>
            <w:vAlign w:val="center"/>
            <w:hideMark/>
          </w:tcPr>
          <w:p w:rsidR="00000000" w:rsidRDefault="001F1FC8">
            <w:pPr>
              <w:rPr>
                <w:rFonts w:eastAsia="Times New Roman"/>
                <w:sz w:val="20"/>
                <w:szCs w:val="20"/>
              </w:rPr>
            </w:pPr>
          </w:p>
        </w:tc>
        <w:tc>
          <w:tcPr>
            <w:tcW w:w="497"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r>
      <w:tr w:rsidR="00000000">
        <w:trPr>
          <w:divId w:val="74861905"/>
        </w:trPr>
        <w:tc>
          <w:tcPr>
            <w:tcW w:w="0" w:type="auto"/>
            <w:gridSpan w:val="3"/>
            <w:tcMar>
              <w:top w:w="30" w:type="dxa"/>
              <w:left w:w="20" w:type="dxa"/>
              <w:bottom w:w="30" w:type="dxa"/>
              <w:right w:w="20" w:type="dxa"/>
            </w:tcMar>
            <w:vAlign w:val="center"/>
            <w:hideMark/>
          </w:tcPr>
          <w:p w:rsidR="00000000" w:rsidRDefault="001F1FC8">
            <w:pPr>
              <w:rPr>
                <w:rFonts w:eastAsia="Times New Roman"/>
              </w:rPr>
            </w:pPr>
            <w:r>
              <w:rPr>
                <w:rFonts w:ascii="Arial" w:eastAsia="Times New Roman" w:hAnsi="Arial" w:cs="Arial"/>
                <w:color w:val="000000"/>
                <w:sz w:val="20"/>
                <w:szCs w:val="20"/>
              </w:rPr>
              <w:t>Year ended December 31,</w:t>
            </w:r>
          </w:p>
        </w:tc>
        <w:tc>
          <w:tcPr>
            <w:tcW w:w="0" w:type="auto"/>
            <w:gridSpan w:val="3"/>
            <w:tcMar>
              <w:top w:w="30" w:type="dxa"/>
              <w:left w:w="20" w:type="dxa"/>
              <w:bottom w:w="30" w:type="dxa"/>
              <w:right w:w="20" w:type="dxa"/>
            </w:tcMar>
            <w:vAlign w:val="center"/>
            <w:hideMark/>
          </w:tcPr>
          <w:p w:rsidR="00000000" w:rsidRDefault="001F1FC8">
            <w:pPr>
              <w:jc w:val="right"/>
              <w:rPr>
                <w:rFonts w:eastAsia="Times New Roman"/>
              </w:rPr>
            </w:pPr>
            <w:r>
              <w:rPr>
                <w:rFonts w:ascii="Arial" w:eastAsia="Times New Roman" w:hAnsi="Arial" w:cs="Arial"/>
                <w:b/>
                <w:bCs/>
                <w:color w:val="000000"/>
                <w:sz w:val="20"/>
                <w:szCs w:val="20"/>
              </w:rPr>
              <w:t>2021</w:t>
            </w:r>
          </w:p>
        </w:tc>
        <w:tc>
          <w:tcPr>
            <w:tcW w:w="0" w:type="auto"/>
            <w:gridSpan w:val="3"/>
            <w:tcMar>
              <w:top w:w="30" w:type="dxa"/>
              <w:left w:w="20" w:type="dxa"/>
              <w:bottom w:w="30" w:type="dxa"/>
              <w:right w:w="20" w:type="dxa"/>
            </w:tcMar>
            <w:vAlign w:val="center"/>
            <w:hideMark/>
          </w:tcPr>
          <w:p w:rsidR="00000000" w:rsidRDefault="001F1FC8">
            <w:pPr>
              <w:jc w:val="right"/>
              <w:rPr>
                <w:rFonts w:eastAsia="Times New Roman"/>
              </w:rPr>
            </w:pPr>
            <w:r>
              <w:rPr>
                <w:rFonts w:ascii="Arial" w:eastAsia="Times New Roman" w:hAnsi="Arial" w:cs="Arial"/>
                <w:color w:val="000000"/>
                <w:sz w:val="20"/>
                <w:szCs w:val="20"/>
              </w:rPr>
              <w:t>2020</w:t>
            </w:r>
          </w:p>
        </w:tc>
      </w:tr>
      <w:tr w:rsidR="00000000">
        <w:trPr>
          <w:divId w:val="74861905"/>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1F1FC8">
            <w:pPr>
              <w:rPr>
                <w:rFonts w:eastAsia="Times New Roman"/>
              </w:rPr>
            </w:pPr>
            <w:r>
              <w:rPr>
                <w:rFonts w:ascii="Arial" w:eastAsia="Times New Roman" w:hAnsi="Arial" w:cs="Arial"/>
                <w:i/>
                <w:iCs/>
                <w:color w:val="000000"/>
                <w:sz w:val="16"/>
                <w:szCs w:val="16"/>
              </w:rPr>
              <w:t>(millions of Canadian dollars)</w:t>
            </w:r>
          </w:p>
        </w:tc>
        <w:tc>
          <w:tcPr>
            <w:tcW w:w="0" w:type="auto"/>
            <w:gridSpan w:val="3"/>
            <w:tcBorders>
              <w:top w:val="single" w:sz="4" w:space="0" w:color="000000"/>
            </w:tcBorders>
            <w:shd w:val="clear" w:color="auto" w:fill="D9D9D9"/>
            <w:tcMar>
              <w:top w:w="0" w:type="dxa"/>
              <w:left w:w="20" w:type="dxa"/>
              <w:bottom w:w="0" w:type="dxa"/>
              <w:right w:w="20" w:type="dxa"/>
            </w:tcMar>
            <w:vAlign w:val="center"/>
            <w:hideMark/>
          </w:tcPr>
          <w:p w:rsidR="00000000" w:rsidRDefault="001F1FC8">
            <w:pPr>
              <w:rPr>
                <w:rFonts w:eastAsia="Times New Roman"/>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1F1FC8">
            <w:pPr>
              <w:rPr>
                <w:rFonts w:eastAsia="Times New Roman"/>
                <w:sz w:val="20"/>
                <w:szCs w:val="20"/>
              </w:rPr>
            </w:pPr>
          </w:p>
        </w:tc>
      </w:tr>
      <w:tr w:rsidR="00000000">
        <w:trPr>
          <w:divId w:val="74861905"/>
        </w:trPr>
        <w:tc>
          <w:tcPr>
            <w:tcW w:w="0" w:type="auto"/>
            <w:gridSpan w:val="3"/>
            <w:tcMar>
              <w:top w:w="30" w:type="dxa"/>
              <w:left w:w="20" w:type="dxa"/>
              <w:bottom w:w="30" w:type="dxa"/>
              <w:right w:w="20" w:type="dxa"/>
            </w:tcMar>
            <w:vAlign w:val="center"/>
            <w:hideMark/>
          </w:tcPr>
          <w:p w:rsidR="00000000" w:rsidRDefault="001F1FC8">
            <w:pPr>
              <w:rPr>
                <w:rFonts w:eastAsia="Times New Roman"/>
              </w:rPr>
            </w:pPr>
            <w:r>
              <w:rPr>
                <w:rFonts w:ascii="Arial" w:eastAsia="Times New Roman" w:hAnsi="Arial" w:cs="Arial"/>
                <w:color w:val="000000"/>
                <w:sz w:val="20"/>
                <w:szCs w:val="20"/>
              </w:rPr>
              <w:t>Unrecognized tax benefits at beginning of year</w:t>
            </w:r>
          </w:p>
        </w:tc>
        <w:tc>
          <w:tcPr>
            <w:tcW w:w="0" w:type="auto"/>
            <w:gridSpan w:val="2"/>
            <w:shd w:val="clear" w:color="auto" w:fill="D9D9D9"/>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b/>
                <w:bCs/>
                <w:color w:val="000000"/>
                <w:sz w:val="20"/>
                <w:szCs w:val="20"/>
              </w:rPr>
              <w:t>121</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20"/>
                <w:szCs w:val="20"/>
              </w:rPr>
              <w:t>129 </w:t>
            </w:r>
          </w:p>
        </w:tc>
        <w:tc>
          <w:tcPr>
            <w:tcW w:w="0" w:type="auto"/>
            <w:tcMar>
              <w:top w:w="30" w:type="dxa"/>
              <w:left w:w="0" w:type="dxa"/>
              <w:bottom w:w="30" w:type="dxa"/>
              <w:right w:w="20" w:type="dxa"/>
            </w:tcMar>
            <w:vAlign w:val="center"/>
            <w:hideMark/>
          </w:tcPr>
          <w:p w:rsidR="00000000" w:rsidRDefault="001F1FC8">
            <w:pPr>
              <w:jc w:val="right"/>
              <w:rPr>
                <w:rFonts w:eastAsia="Times New Roman"/>
              </w:rPr>
            </w:pPr>
          </w:p>
        </w:tc>
      </w:tr>
      <w:tr w:rsidR="00000000">
        <w:trPr>
          <w:divId w:val="74861905"/>
        </w:trPr>
        <w:tc>
          <w:tcPr>
            <w:tcW w:w="0" w:type="auto"/>
            <w:gridSpan w:val="3"/>
            <w:tcMar>
              <w:top w:w="30" w:type="dxa"/>
              <w:left w:w="20" w:type="dxa"/>
              <w:bottom w:w="30" w:type="dxa"/>
              <w:right w:w="20" w:type="dxa"/>
            </w:tcMar>
            <w:vAlign w:val="center"/>
            <w:hideMark/>
          </w:tcPr>
          <w:p w:rsidR="00000000" w:rsidRDefault="001F1FC8">
            <w:pPr>
              <w:rPr>
                <w:rFonts w:eastAsia="Times New Roman"/>
              </w:rPr>
            </w:pPr>
            <w:r>
              <w:rPr>
                <w:rFonts w:ascii="Arial" w:eastAsia="Times New Roman" w:hAnsi="Arial" w:cs="Arial"/>
                <w:color w:val="000000"/>
                <w:sz w:val="20"/>
                <w:szCs w:val="20"/>
              </w:rPr>
              <w:t>Gross increases for tax positions of current year</w:t>
            </w:r>
          </w:p>
        </w:tc>
        <w:tc>
          <w:tcPr>
            <w:tcW w:w="0" w:type="auto"/>
            <w:gridSpan w:val="2"/>
            <w:shd w:val="clear" w:color="auto" w:fill="D9D9D9"/>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b/>
                <w:bCs/>
                <w:color w:val="000000"/>
                <w:sz w:val="20"/>
                <w:szCs w:val="20"/>
              </w:rPr>
              <w:t>1</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20"/>
                <w:szCs w:val="20"/>
              </w:rPr>
              <w:t>1 </w:t>
            </w:r>
          </w:p>
        </w:tc>
        <w:tc>
          <w:tcPr>
            <w:tcW w:w="0" w:type="auto"/>
            <w:tcMar>
              <w:top w:w="30" w:type="dxa"/>
              <w:left w:w="0" w:type="dxa"/>
              <w:bottom w:w="30" w:type="dxa"/>
              <w:right w:w="20" w:type="dxa"/>
            </w:tcMar>
            <w:vAlign w:val="center"/>
            <w:hideMark/>
          </w:tcPr>
          <w:p w:rsidR="00000000" w:rsidRDefault="001F1FC8">
            <w:pPr>
              <w:jc w:val="right"/>
              <w:rPr>
                <w:rFonts w:eastAsia="Times New Roman"/>
              </w:rPr>
            </w:pPr>
          </w:p>
        </w:tc>
      </w:tr>
      <w:tr w:rsidR="00000000">
        <w:trPr>
          <w:divId w:val="74861905"/>
        </w:trPr>
        <w:tc>
          <w:tcPr>
            <w:tcW w:w="0" w:type="auto"/>
            <w:gridSpan w:val="3"/>
            <w:vAlign w:val="center"/>
            <w:hideMark/>
          </w:tcPr>
          <w:p w:rsidR="00000000" w:rsidRDefault="001F1FC8">
            <w:pPr>
              <w:jc w:val="right"/>
              <w:rPr>
                <w:rFonts w:eastAsia="Times New Roman"/>
                <w:sz w:val="20"/>
                <w:szCs w:val="20"/>
              </w:rPr>
            </w:pPr>
          </w:p>
        </w:tc>
        <w:tc>
          <w:tcPr>
            <w:tcW w:w="0" w:type="auto"/>
            <w:gridSpan w:val="3"/>
            <w:vAlign w:val="center"/>
            <w:hideMark/>
          </w:tcPr>
          <w:p w:rsidR="00000000" w:rsidRDefault="001F1FC8">
            <w:pPr>
              <w:rPr>
                <w:rFonts w:eastAsia="Times New Roman"/>
                <w:sz w:val="20"/>
                <w:szCs w:val="20"/>
              </w:rPr>
            </w:pPr>
          </w:p>
        </w:tc>
        <w:tc>
          <w:tcPr>
            <w:tcW w:w="0" w:type="auto"/>
            <w:gridSpan w:val="3"/>
            <w:vAlign w:val="center"/>
            <w:hideMark/>
          </w:tcPr>
          <w:p w:rsidR="00000000" w:rsidRDefault="001F1FC8">
            <w:pPr>
              <w:rPr>
                <w:rFonts w:eastAsia="Times New Roman"/>
                <w:sz w:val="20"/>
                <w:szCs w:val="20"/>
              </w:rPr>
            </w:pPr>
          </w:p>
        </w:tc>
      </w:tr>
      <w:tr w:rsidR="00000000">
        <w:trPr>
          <w:divId w:val="74861905"/>
        </w:trPr>
        <w:tc>
          <w:tcPr>
            <w:tcW w:w="0" w:type="auto"/>
            <w:gridSpan w:val="3"/>
            <w:tcMar>
              <w:top w:w="30" w:type="dxa"/>
              <w:left w:w="20" w:type="dxa"/>
              <w:bottom w:w="30" w:type="dxa"/>
              <w:right w:w="20" w:type="dxa"/>
            </w:tcMar>
            <w:vAlign w:val="center"/>
            <w:hideMark/>
          </w:tcPr>
          <w:p w:rsidR="00000000" w:rsidRDefault="001F1FC8">
            <w:pPr>
              <w:rPr>
                <w:rFonts w:eastAsia="Times New Roman"/>
              </w:rPr>
            </w:pPr>
            <w:r>
              <w:rPr>
                <w:rFonts w:ascii="Arial" w:eastAsia="Times New Roman" w:hAnsi="Arial" w:cs="Arial"/>
                <w:color w:val="000000"/>
                <w:sz w:val="20"/>
                <w:szCs w:val="20"/>
              </w:rPr>
              <w:t>Gross decreases for tax positions of prior year</w:t>
            </w:r>
          </w:p>
        </w:tc>
        <w:tc>
          <w:tcPr>
            <w:tcW w:w="0" w:type="auto"/>
            <w:gridSpan w:val="2"/>
            <w:shd w:val="clear" w:color="auto" w:fill="D9D9D9"/>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b/>
                <w:bCs/>
                <w:color w:val="000000"/>
                <w:sz w:val="20"/>
                <w:szCs w:val="20"/>
              </w:rPr>
              <w:t>(26)</w:t>
            </w:r>
          </w:p>
        </w:tc>
        <w:tc>
          <w:tcPr>
            <w:tcW w:w="0" w:type="auto"/>
            <w:shd w:val="clear" w:color="auto" w:fill="D9D9D9"/>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20"/>
                <w:szCs w:val="20"/>
              </w:rPr>
              <w:t>(1)</w:t>
            </w:r>
          </w:p>
        </w:tc>
        <w:tc>
          <w:tcPr>
            <w:tcW w:w="0" w:type="auto"/>
            <w:tcMar>
              <w:top w:w="30" w:type="dxa"/>
              <w:left w:w="0" w:type="dxa"/>
              <w:bottom w:w="30" w:type="dxa"/>
              <w:right w:w="20" w:type="dxa"/>
            </w:tcMar>
            <w:vAlign w:val="center"/>
            <w:hideMark/>
          </w:tcPr>
          <w:p w:rsidR="00000000" w:rsidRDefault="001F1FC8">
            <w:pPr>
              <w:jc w:val="right"/>
              <w:rPr>
                <w:rFonts w:eastAsia="Times New Roman"/>
              </w:rPr>
            </w:pPr>
          </w:p>
        </w:tc>
      </w:tr>
      <w:tr w:rsidR="00000000">
        <w:trPr>
          <w:divId w:val="74861905"/>
        </w:trPr>
        <w:tc>
          <w:tcPr>
            <w:tcW w:w="0" w:type="auto"/>
            <w:gridSpan w:val="3"/>
            <w:tcMar>
              <w:top w:w="30" w:type="dxa"/>
              <w:left w:w="20" w:type="dxa"/>
              <w:bottom w:w="30" w:type="dxa"/>
              <w:right w:w="20" w:type="dxa"/>
            </w:tcMar>
            <w:vAlign w:val="center"/>
            <w:hideMark/>
          </w:tcPr>
          <w:p w:rsidR="00000000" w:rsidRDefault="001F1FC8">
            <w:pPr>
              <w:rPr>
                <w:rFonts w:eastAsia="Times New Roman"/>
              </w:rPr>
            </w:pPr>
            <w:r>
              <w:rPr>
                <w:rFonts w:ascii="Arial" w:eastAsia="Times New Roman" w:hAnsi="Arial" w:cs="Arial"/>
                <w:color w:val="000000"/>
                <w:sz w:val="20"/>
                <w:szCs w:val="20"/>
              </w:rPr>
              <w:t>Change in translation of foreign currency</w:t>
            </w:r>
          </w:p>
        </w:tc>
        <w:tc>
          <w:tcPr>
            <w:tcW w:w="0" w:type="auto"/>
            <w:gridSpan w:val="2"/>
            <w:shd w:val="clear" w:color="auto" w:fill="D9D9D9"/>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b/>
                <w:bCs/>
                <w:color w:val="000000"/>
                <w:sz w:val="20"/>
                <w:szCs w:val="20"/>
              </w:rPr>
              <w:t>(1)</w:t>
            </w:r>
          </w:p>
        </w:tc>
        <w:tc>
          <w:tcPr>
            <w:tcW w:w="0" w:type="auto"/>
            <w:shd w:val="clear" w:color="auto" w:fill="D9D9D9"/>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20"/>
                <w:szCs w:val="20"/>
              </w:rPr>
              <w:t>(3)</w:t>
            </w:r>
          </w:p>
        </w:tc>
        <w:tc>
          <w:tcPr>
            <w:tcW w:w="0" w:type="auto"/>
            <w:tcMar>
              <w:top w:w="30" w:type="dxa"/>
              <w:left w:w="0" w:type="dxa"/>
              <w:bottom w:w="30" w:type="dxa"/>
              <w:right w:w="20" w:type="dxa"/>
            </w:tcMar>
            <w:vAlign w:val="center"/>
            <w:hideMark/>
          </w:tcPr>
          <w:p w:rsidR="00000000" w:rsidRDefault="001F1FC8">
            <w:pPr>
              <w:jc w:val="right"/>
              <w:rPr>
                <w:rFonts w:eastAsia="Times New Roman"/>
              </w:rPr>
            </w:pPr>
          </w:p>
        </w:tc>
      </w:tr>
      <w:tr w:rsidR="00000000">
        <w:trPr>
          <w:divId w:val="74861905"/>
        </w:trPr>
        <w:tc>
          <w:tcPr>
            <w:tcW w:w="0" w:type="auto"/>
            <w:gridSpan w:val="3"/>
            <w:tcMar>
              <w:top w:w="30" w:type="dxa"/>
              <w:left w:w="20" w:type="dxa"/>
              <w:bottom w:w="30" w:type="dxa"/>
              <w:right w:w="20" w:type="dxa"/>
            </w:tcMar>
            <w:vAlign w:val="center"/>
            <w:hideMark/>
          </w:tcPr>
          <w:p w:rsidR="00000000" w:rsidRDefault="001F1FC8">
            <w:pPr>
              <w:rPr>
                <w:rFonts w:eastAsia="Times New Roman"/>
              </w:rPr>
            </w:pPr>
            <w:r>
              <w:rPr>
                <w:rFonts w:ascii="Arial" w:eastAsia="Times New Roman" w:hAnsi="Arial" w:cs="Arial"/>
                <w:color w:val="000000"/>
                <w:sz w:val="20"/>
                <w:szCs w:val="20"/>
              </w:rPr>
              <w:t>Lapses of statute of limitations</w:t>
            </w:r>
          </w:p>
        </w:tc>
        <w:tc>
          <w:tcPr>
            <w:tcW w:w="0" w:type="auto"/>
            <w:gridSpan w:val="2"/>
            <w:shd w:val="clear" w:color="auto" w:fill="D9D9D9"/>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b/>
                <w:bCs/>
                <w:color w:val="000000"/>
                <w:sz w:val="20"/>
                <w:szCs w:val="20"/>
              </w:rPr>
              <w:t>(19)</w:t>
            </w:r>
          </w:p>
        </w:tc>
        <w:tc>
          <w:tcPr>
            <w:tcW w:w="0" w:type="auto"/>
            <w:shd w:val="clear" w:color="auto" w:fill="D9D9D9"/>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20"/>
                <w:szCs w:val="20"/>
              </w:rPr>
              <w:t>(5)</w:t>
            </w:r>
          </w:p>
        </w:tc>
        <w:tc>
          <w:tcPr>
            <w:tcW w:w="0" w:type="auto"/>
            <w:tcMar>
              <w:top w:w="30" w:type="dxa"/>
              <w:left w:w="0" w:type="dxa"/>
              <w:bottom w:w="30" w:type="dxa"/>
              <w:right w:w="20" w:type="dxa"/>
            </w:tcMar>
            <w:vAlign w:val="center"/>
            <w:hideMark/>
          </w:tcPr>
          <w:p w:rsidR="00000000" w:rsidRDefault="001F1FC8">
            <w:pPr>
              <w:jc w:val="right"/>
              <w:rPr>
                <w:rFonts w:eastAsia="Times New Roman"/>
              </w:rPr>
            </w:pPr>
          </w:p>
        </w:tc>
      </w:tr>
      <w:tr w:rsidR="00000000">
        <w:trPr>
          <w:divId w:val="74861905"/>
        </w:trPr>
        <w:tc>
          <w:tcPr>
            <w:tcW w:w="0" w:type="auto"/>
            <w:gridSpan w:val="3"/>
            <w:vAlign w:val="center"/>
            <w:hideMark/>
          </w:tcPr>
          <w:p w:rsidR="00000000" w:rsidRDefault="001F1FC8">
            <w:pPr>
              <w:jc w:val="right"/>
              <w:rPr>
                <w:rFonts w:eastAsia="Times New Roman"/>
                <w:sz w:val="20"/>
                <w:szCs w:val="20"/>
              </w:rPr>
            </w:pPr>
          </w:p>
        </w:tc>
        <w:tc>
          <w:tcPr>
            <w:tcW w:w="0" w:type="auto"/>
            <w:gridSpan w:val="3"/>
            <w:vAlign w:val="center"/>
            <w:hideMark/>
          </w:tcPr>
          <w:p w:rsidR="00000000" w:rsidRDefault="001F1FC8">
            <w:pPr>
              <w:rPr>
                <w:rFonts w:eastAsia="Times New Roman"/>
                <w:sz w:val="20"/>
                <w:szCs w:val="20"/>
              </w:rPr>
            </w:pPr>
          </w:p>
        </w:tc>
        <w:tc>
          <w:tcPr>
            <w:tcW w:w="0" w:type="auto"/>
            <w:gridSpan w:val="3"/>
            <w:vAlign w:val="center"/>
            <w:hideMark/>
          </w:tcPr>
          <w:p w:rsidR="00000000" w:rsidRDefault="001F1FC8">
            <w:pPr>
              <w:rPr>
                <w:rFonts w:eastAsia="Times New Roman"/>
                <w:sz w:val="20"/>
                <w:szCs w:val="20"/>
              </w:rPr>
            </w:pPr>
          </w:p>
        </w:tc>
      </w:tr>
      <w:tr w:rsidR="00000000">
        <w:trPr>
          <w:divId w:val="74861905"/>
        </w:trPr>
        <w:tc>
          <w:tcPr>
            <w:tcW w:w="0" w:type="auto"/>
            <w:gridSpan w:val="3"/>
            <w:tcBorders>
              <w:top w:val="single" w:sz="4" w:space="0" w:color="000000"/>
              <w:bottom w:val="single" w:sz="8" w:space="0" w:color="000000"/>
            </w:tcBorders>
            <w:tcMar>
              <w:top w:w="30" w:type="dxa"/>
              <w:left w:w="20" w:type="dxa"/>
              <w:bottom w:w="30" w:type="dxa"/>
              <w:right w:w="20" w:type="dxa"/>
            </w:tcMar>
            <w:vAlign w:val="center"/>
            <w:hideMark/>
          </w:tcPr>
          <w:p w:rsidR="00000000" w:rsidRDefault="001F1FC8">
            <w:pPr>
              <w:rPr>
                <w:rFonts w:eastAsia="Times New Roman"/>
              </w:rPr>
            </w:pPr>
            <w:r>
              <w:rPr>
                <w:rFonts w:ascii="Arial" w:eastAsia="Times New Roman" w:hAnsi="Arial" w:cs="Arial"/>
                <w:color w:val="000000"/>
                <w:sz w:val="20"/>
                <w:szCs w:val="20"/>
              </w:rPr>
              <w:t>Unrecognized tax benefits at end of year</w:t>
            </w:r>
          </w:p>
        </w:tc>
        <w:tc>
          <w:tcPr>
            <w:tcW w:w="0" w:type="auto"/>
            <w:gridSpan w:val="2"/>
            <w:tcBorders>
              <w:top w:val="single" w:sz="4" w:space="0" w:color="000000"/>
              <w:bottom w:val="single" w:sz="8" w:space="0" w:color="000000"/>
            </w:tcBorders>
            <w:shd w:val="clear" w:color="auto" w:fill="D9D9D9"/>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b/>
                <w:bCs/>
                <w:color w:val="000000"/>
                <w:sz w:val="20"/>
                <w:szCs w:val="20"/>
              </w:rPr>
              <w:t>76</w:t>
            </w:r>
            <w:r>
              <w:rPr>
                <w:rFonts w:ascii="Arial" w:eastAsia="Times New Roman" w:hAnsi="Arial" w:cs="Arial"/>
                <w:color w:val="000000"/>
                <w:sz w:val="20"/>
                <w:szCs w:val="20"/>
              </w:rPr>
              <w:t> </w:t>
            </w:r>
          </w:p>
        </w:tc>
        <w:tc>
          <w:tcPr>
            <w:tcW w:w="0" w:type="auto"/>
            <w:tcBorders>
              <w:top w:val="single" w:sz="4" w:space="0" w:color="000000"/>
              <w:bottom w:val="single" w:sz="8" w:space="0" w:color="000000"/>
            </w:tcBorders>
            <w:shd w:val="clear" w:color="auto" w:fill="D9D9D9"/>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Borders>
              <w:top w:val="single" w:sz="4" w:space="0" w:color="000000"/>
              <w:bottom w:val="single" w:sz="8" w:space="0" w:color="000000"/>
            </w:tcBorders>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20"/>
                <w:szCs w:val="20"/>
              </w:rPr>
              <w:t>121 </w:t>
            </w:r>
          </w:p>
        </w:tc>
        <w:tc>
          <w:tcPr>
            <w:tcW w:w="0" w:type="auto"/>
            <w:tcBorders>
              <w:top w:val="single" w:sz="4" w:space="0" w:color="000000"/>
              <w:bottom w:val="single" w:sz="8" w:space="0" w:color="000000"/>
            </w:tcBorders>
            <w:tcMar>
              <w:top w:w="30" w:type="dxa"/>
              <w:left w:w="0" w:type="dxa"/>
              <w:bottom w:w="30" w:type="dxa"/>
              <w:right w:w="20" w:type="dxa"/>
            </w:tcMar>
            <w:vAlign w:val="center"/>
            <w:hideMark/>
          </w:tcPr>
          <w:p w:rsidR="00000000" w:rsidRDefault="001F1FC8">
            <w:pPr>
              <w:jc w:val="right"/>
              <w:rPr>
                <w:rFonts w:eastAsia="Times New Roman"/>
              </w:rPr>
            </w:pPr>
          </w:p>
        </w:tc>
      </w:tr>
    </w:tbl>
    <w:p w:rsidR="00000000" w:rsidRDefault="001F1FC8">
      <w:pPr>
        <w:divId w:val="865749673"/>
        <w:rPr>
          <w:rFonts w:eastAsia="Times New Roman"/>
        </w:rPr>
      </w:pPr>
      <w:r>
        <w:rPr>
          <w:rFonts w:ascii="Arial" w:eastAsia="Times New Roman" w:hAnsi="Arial" w:cs="Arial"/>
          <w:color w:val="000000"/>
          <w:sz w:val="20"/>
          <w:szCs w:val="20"/>
        </w:rPr>
        <w:t> </w:t>
      </w:r>
    </w:p>
    <w:p w:rsidR="00000000" w:rsidRDefault="001F1FC8">
      <w:pPr>
        <w:divId w:val="1105422277"/>
        <w:rPr>
          <w:rFonts w:eastAsia="Times New Roman"/>
        </w:rPr>
      </w:pPr>
      <w:r>
        <w:rPr>
          <w:rFonts w:ascii="Arial" w:eastAsia="Times New Roman" w:hAnsi="Arial" w:cs="Arial"/>
          <w:color w:val="000000"/>
          <w:sz w:val="20"/>
          <w:szCs w:val="20"/>
        </w:rPr>
        <w:t>The unrecognized tax benefits as at December </w:t>
      </w:r>
      <w:r>
        <w:rPr>
          <w:rFonts w:ascii="Arial" w:eastAsia="Times New Roman" w:hAnsi="Arial" w:cs="Arial"/>
          <w:color w:val="000000"/>
          <w:sz w:val="20"/>
          <w:szCs w:val="20"/>
        </w:rPr>
        <w:t>31, 2021, if recognized, would impact our effective income tax rate. We do not anticipate further adjustments to the unrecognized tax benefits during the next 12 months that would have a material impact on our consolidated financial statements.</w:t>
      </w:r>
    </w:p>
    <w:p w:rsidR="00000000" w:rsidRDefault="001F1FC8">
      <w:pPr>
        <w:divId w:val="163596132"/>
        <w:rPr>
          <w:rFonts w:eastAsia="Times New Roman"/>
        </w:rPr>
      </w:pPr>
    </w:p>
    <w:p w:rsidR="00000000" w:rsidRDefault="001F1FC8">
      <w:pPr>
        <w:divId w:val="1893342392"/>
        <w:rPr>
          <w:rFonts w:eastAsia="Times New Roman"/>
        </w:rPr>
      </w:pPr>
      <w:r>
        <w:rPr>
          <w:rFonts w:ascii="Arial" w:eastAsia="Times New Roman" w:hAnsi="Arial" w:cs="Arial"/>
          <w:color w:val="000000"/>
          <w:sz w:val="20"/>
          <w:szCs w:val="20"/>
        </w:rPr>
        <w:t>We recogn</w:t>
      </w:r>
      <w:r>
        <w:rPr>
          <w:rFonts w:ascii="Arial" w:eastAsia="Times New Roman" w:hAnsi="Arial" w:cs="Arial"/>
          <w:color w:val="000000"/>
          <w:sz w:val="20"/>
          <w:szCs w:val="20"/>
        </w:rPr>
        <w:t>ize accrued interest and penalties related to unrecognized tax benefits as a component of income taxes. Interest and penalties included in income taxes for the years ended December 31, 2021 and 2020 were a $5 million recovery and $3 million expense, respec</w:t>
      </w:r>
      <w:r>
        <w:rPr>
          <w:rFonts w:ascii="Arial" w:eastAsia="Times New Roman" w:hAnsi="Arial" w:cs="Arial"/>
          <w:color w:val="000000"/>
          <w:sz w:val="20"/>
          <w:szCs w:val="20"/>
        </w:rPr>
        <w:t>tively. As at December 31, 2021 and 2020, interest and penalties of $12 million and $17 million, respectively, have been accrued.</w:t>
      </w:r>
    </w:p>
    <w:p w:rsidR="00000000" w:rsidRDefault="001F1FC8">
      <w:pPr>
        <w:divId w:val="1552762526"/>
        <w:rPr>
          <w:rFonts w:eastAsia="Times New Roman"/>
        </w:rPr>
      </w:pPr>
    </w:p>
    <w:p w:rsidR="00000000" w:rsidRDefault="001F1FC8">
      <w:pPr>
        <w:jc w:val="center"/>
        <w:divId w:val="959071460"/>
        <w:rPr>
          <w:rFonts w:eastAsia="Times New Roman"/>
        </w:rPr>
      </w:pPr>
      <w:r>
        <w:rPr>
          <w:rFonts w:ascii="Arial" w:eastAsia="Times New Roman" w:hAnsi="Arial" w:cs="Arial"/>
          <w:color w:val="000000"/>
          <w:sz w:val="20"/>
          <w:szCs w:val="20"/>
        </w:rPr>
        <w:t>163</w:t>
      </w:r>
    </w:p>
    <w:p w:rsidR="00000000" w:rsidRDefault="001F1FC8">
      <w:pPr>
        <w:rPr>
          <w:rFonts w:eastAsia="Times New Roman"/>
        </w:rPr>
      </w:pPr>
      <w:r>
        <w:rPr>
          <w:rFonts w:eastAsia="Times New Roman"/>
        </w:rPr>
        <w:pict>
          <v:rect id="_x0000_i1193" style="width:0;height:1.5pt" o:hralign="center" o:hrstd="t" o:hr="t" fillcolor="#a0a0a0" stroked="f"/>
        </w:pict>
      </w:r>
    </w:p>
    <w:p w:rsidR="00000000" w:rsidRDefault="001F1FC8">
      <w:pPr>
        <w:jc w:val="center"/>
        <w:divId w:val="336885885"/>
        <w:rPr>
          <w:rFonts w:eastAsia="Times New Roman"/>
        </w:rPr>
      </w:pPr>
    </w:p>
    <w:p w:rsidR="00000000" w:rsidRDefault="001F1FC8">
      <w:pPr>
        <w:jc w:val="both"/>
        <w:rPr>
          <w:rFonts w:eastAsia="Times New Roman"/>
        </w:rPr>
      </w:pPr>
      <w:r>
        <w:rPr>
          <w:rFonts w:ascii="Arial" w:eastAsia="Times New Roman" w:hAnsi="Arial" w:cs="Arial"/>
          <w:b/>
          <w:bCs/>
          <w:color w:val="000000"/>
          <w:sz w:val="26"/>
          <w:szCs w:val="26"/>
        </w:rPr>
        <w:t>26.  PENSION AND OTHER POSTRETIREMENT BENEFITS</w:t>
      </w:r>
    </w:p>
    <w:p w:rsidR="00000000" w:rsidRDefault="001F1FC8">
      <w:pPr>
        <w:divId w:val="120422279"/>
        <w:rPr>
          <w:rFonts w:eastAsia="Times New Roman"/>
        </w:rPr>
      </w:pPr>
      <w:r>
        <w:rPr>
          <w:rFonts w:ascii="Arial" w:eastAsia="Times New Roman" w:hAnsi="Arial" w:cs="Arial"/>
          <w:color w:val="000000"/>
          <w:sz w:val="20"/>
          <w:szCs w:val="20"/>
        </w:rPr>
        <w:t> </w:t>
      </w:r>
    </w:p>
    <w:p w:rsidR="00000000" w:rsidRDefault="001F1FC8">
      <w:pPr>
        <w:divId w:val="218905192"/>
        <w:rPr>
          <w:rFonts w:eastAsia="Times New Roman"/>
        </w:rPr>
      </w:pPr>
      <w:r>
        <w:rPr>
          <w:rFonts w:ascii="Arial" w:eastAsia="Times New Roman" w:hAnsi="Arial" w:cs="Arial"/>
          <w:b/>
          <w:bCs/>
          <w:color w:val="000000"/>
          <w:sz w:val="20"/>
          <w:szCs w:val="20"/>
        </w:rPr>
        <w:t>PENSION PLANS</w:t>
      </w:r>
    </w:p>
    <w:p w:rsidR="00000000" w:rsidRDefault="001F1FC8">
      <w:pPr>
        <w:divId w:val="918370338"/>
        <w:rPr>
          <w:rFonts w:eastAsia="Times New Roman"/>
        </w:rPr>
      </w:pPr>
      <w:r>
        <w:rPr>
          <w:rFonts w:ascii="Arial" w:eastAsia="Times New Roman" w:hAnsi="Arial" w:cs="Arial"/>
          <w:color w:val="000000"/>
          <w:sz w:val="20"/>
          <w:szCs w:val="20"/>
        </w:rPr>
        <w:t>We sponsor Canadian and US contributory and non-contributory registered defined benefit and defined contribution pension plans, which provide benefits covering substantially all employees. The Canadian Plans provide defined benefit and defined contribution</w:t>
      </w:r>
      <w:r>
        <w:rPr>
          <w:rFonts w:ascii="Arial" w:eastAsia="Times New Roman" w:hAnsi="Arial" w:cs="Arial"/>
          <w:color w:val="000000"/>
          <w:sz w:val="20"/>
          <w:szCs w:val="20"/>
        </w:rPr>
        <w:t xml:space="preserve"> pension benefits to our Canadian employees. The US Plans provide defined benefit pension benefits to our US employees. We also sponsor supplemental non-contributory defined benefit pension plans, which provide non-registered benefits for certain employees</w:t>
      </w:r>
      <w:r>
        <w:rPr>
          <w:rFonts w:ascii="Arial" w:eastAsia="Times New Roman" w:hAnsi="Arial" w:cs="Arial"/>
          <w:color w:val="000000"/>
          <w:sz w:val="20"/>
          <w:szCs w:val="20"/>
        </w:rPr>
        <w:t xml:space="preserve"> in Canada and the US. </w:t>
      </w:r>
    </w:p>
    <w:p w:rsidR="00000000" w:rsidRDefault="001F1FC8">
      <w:pPr>
        <w:divId w:val="462045970"/>
        <w:rPr>
          <w:rFonts w:eastAsia="Times New Roman"/>
        </w:rPr>
      </w:pPr>
    </w:p>
    <w:p w:rsidR="00000000" w:rsidRDefault="001F1FC8">
      <w:pPr>
        <w:divId w:val="917403217"/>
        <w:rPr>
          <w:rFonts w:eastAsia="Times New Roman"/>
        </w:rPr>
      </w:pPr>
      <w:r>
        <w:rPr>
          <w:rFonts w:ascii="Arial" w:eastAsia="Times New Roman" w:hAnsi="Arial" w:cs="Arial"/>
          <w:b/>
          <w:bCs/>
          <w:color w:val="000000"/>
          <w:sz w:val="20"/>
          <w:szCs w:val="20"/>
        </w:rPr>
        <w:t>Defined Benefit Pension Plan Benefits</w:t>
      </w:r>
    </w:p>
    <w:p w:rsidR="00000000" w:rsidRDefault="001F1FC8">
      <w:pPr>
        <w:divId w:val="646012511"/>
        <w:rPr>
          <w:rFonts w:eastAsia="Times New Roman"/>
        </w:rPr>
      </w:pPr>
      <w:r>
        <w:rPr>
          <w:rFonts w:ascii="Arial" w:eastAsia="Times New Roman" w:hAnsi="Arial" w:cs="Arial"/>
          <w:color w:val="000000"/>
          <w:sz w:val="20"/>
          <w:szCs w:val="20"/>
        </w:rPr>
        <w:t>Benefits payable from the defined benefit pension plans are based on each plan participant’s years of service and final average remuneration. Some benefits are partially inflation-indexed afte</w:t>
      </w:r>
      <w:r>
        <w:rPr>
          <w:rFonts w:ascii="Arial" w:eastAsia="Times New Roman" w:hAnsi="Arial" w:cs="Arial"/>
          <w:color w:val="000000"/>
          <w:sz w:val="20"/>
          <w:szCs w:val="20"/>
        </w:rPr>
        <w:t>r a plan participant’s retirement. Our contributions are made in accordance with independent actuarial valuations. Participant contributions to contributory defined benefit pension plans are based upon each plan participant’s current eligible remuneration.</w:t>
      </w:r>
    </w:p>
    <w:p w:rsidR="00000000" w:rsidRDefault="001F1FC8">
      <w:pPr>
        <w:divId w:val="2040691981"/>
        <w:rPr>
          <w:rFonts w:eastAsia="Times New Roman"/>
        </w:rPr>
      </w:pPr>
    </w:p>
    <w:p w:rsidR="00000000" w:rsidRDefault="001F1FC8">
      <w:pPr>
        <w:divId w:val="85150384"/>
        <w:rPr>
          <w:rFonts w:eastAsia="Times New Roman"/>
        </w:rPr>
      </w:pPr>
      <w:r>
        <w:rPr>
          <w:rFonts w:ascii="Arial" w:eastAsia="Times New Roman" w:hAnsi="Arial" w:cs="Arial"/>
          <w:b/>
          <w:bCs/>
          <w:color w:val="000000"/>
          <w:sz w:val="20"/>
          <w:szCs w:val="20"/>
        </w:rPr>
        <w:t>Defined Contribution Pension Plan Benefits</w:t>
      </w:r>
    </w:p>
    <w:p w:rsidR="00000000" w:rsidRDefault="001F1FC8">
      <w:pPr>
        <w:divId w:val="1712076389"/>
        <w:rPr>
          <w:rFonts w:eastAsia="Times New Roman"/>
        </w:rPr>
      </w:pPr>
      <w:r>
        <w:rPr>
          <w:rFonts w:ascii="Arial" w:eastAsia="Times New Roman" w:hAnsi="Arial" w:cs="Arial"/>
          <w:color w:val="000000"/>
          <w:sz w:val="20"/>
          <w:szCs w:val="20"/>
        </w:rPr>
        <w:t>Our contributions are based on each plan participant’s current eligible remuneration. Our contributions for some defined contribution pension plans are also based on age and years of service. Our defined contri</w:t>
      </w:r>
      <w:r>
        <w:rPr>
          <w:rFonts w:ascii="Arial" w:eastAsia="Times New Roman" w:hAnsi="Arial" w:cs="Arial"/>
          <w:color w:val="000000"/>
          <w:sz w:val="20"/>
          <w:szCs w:val="20"/>
        </w:rPr>
        <w:t>bution pension benefit costs are equal to the amount of contributions required to be made by us.</w:t>
      </w:r>
    </w:p>
    <w:p w:rsidR="00000000" w:rsidRDefault="001F1FC8">
      <w:pPr>
        <w:jc w:val="center"/>
        <w:divId w:val="1526940422"/>
        <w:rPr>
          <w:rFonts w:eastAsia="Times New Roman"/>
        </w:rPr>
      </w:pPr>
      <w:r>
        <w:rPr>
          <w:rFonts w:ascii="Arial" w:eastAsia="Times New Roman" w:hAnsi="Arial" w:cs="Arial"/>
          <w:color w:val="000000"/>
          <w:sz w:val="20"/>
          <w:szCs w:val="20"/>
        </w:rPr>
        <w:t>164</w:t>
      </w:r>
    </w:p>
    <w:p w:rsidR="00000000" w:rsidRDefault="001F1FC8">
      <w:pPr>
        <w:rPr>
          <w:rFonts w:eastAsia="Times New Roman"/>
        </w:rPr>
      </w:pPr>
      <w:r>
        <w:rPr>
          <w:rFonts w:eastAsia="Times New Roman"/>
        </w:rPr>
        <w:pict>
          <v:rect id="_x0000_i1194" style="width:0;height:1.5pt" o:hralign="center" o:hrstd="t" o:hr="t" fillcolor="#a0a0a0" stroked="f"/>
        </w:pict>
      </w:r>
    </w:p>
    <w:p w:rsidR="00000000" w:rsidRDefault="001F1FC8">
      <w:pPr>
        <w:jc w:val="center"/>
        <w:divId w:val="1784567488"/>
        <w:rPr>
          <w:rFonts w:eastAsia="Times New Roman"/>
        </w:rPr>
      </w:pPr>
    </w:p>
    <w:p w:rsidR="00000000" w:rsidRDefault="001F1FC8">
      <w:pPr>
        <w:divId w:val="321354485"/>
        <w:rPr>
          <w:rFonts w:eastAsia="Times New Roman"/>
        </w:rPr>
      </w:pPr>
      <w:r>
        <w:rPr>
          <w:rFonts w:ascii="Arial" w:eastAsia="Times New Roman" w:hAnsi="Arial" w:cs="Arial"/>
          <w:b/>
          <w:bCs/>
          <w:color w:val="000000"/>
          <w:sz w:val="20"/>
          <w:szCs w:val="20"/>
        </w:rPr>
        <w:t>Benefit Obligations, Plan Assets and Funded Status</w:t>
      </w:r>
    </w:p>
    <w:p w:rsidR="00000000" w:rsidRDefault="001F1FC8">
      <w:pPr>
        <w:divId w:val="1044402173"/>
        <w:rPr>
          <w:rFonts w:eastAsia="Times New Roman"/>
        </w:rPr>
      </w:pPr>
      <w:r>
        <w:rPr>
          <w:rFonts w:ascii="Arial" w:eastAsia="Times New Roman" w:hAnsi="Arial" w:cs="Arial"/>
          <w:color w:val="000000"/>
          <w:sz w:val="20"/>
          <w:szCs w:val="20"/>
        </w:rPr>
        <w:t xml:space="preserve">The following table details the changes in the projected benefit </w:t>
      </w:r>
      <w:r>
        <w:rPr>
          <w:rFonts w:ascii="Arial" w:eastAsia="Times New Roman" w:hAnsi="Arial" w:cs="Arial"/>
          <w:color w:val="000000"/>
          <w:sz w:val="20"/>
          <w:szCs w:val="20"/>
        </w:rPr>
        <w:t>obligation, the fair value of plan assets and the recorded assets or liabilities for our defined benefit pension plans:</w:t>
      </w:r>
    </w:p>
    <w:tbl>
      <w:tblPr>
        <w:tblW w:w="5000" w:type="pct"/>
        <w:tblCellMar>
          <w:top w:w="15" w:type="dxa"/>
          <w:left w:w="15" w:type="dxa"/>
          <w:bottom w:w="15" w:type="dxa"/>
          <w:right w:w="15" w:type="dxa"/>
        </w:tblCellMar>
        <w:tblLook w:val="04A0" w:firstRow="1" w:lastRow="0" w:firstColumn="1" w:lastColumn="0" w:noHBand="0" w:noVBand="1"/>
      </w:tblPr>
      <w:tblGrid>
        <w:gridCol w:w="65"/>
        <w:gridCol w:w="4459"/>
        <w:gridCol w:w="37"/>
        <w:gridCol w:w="65"/>
        <w:gridCol w:w="808"/>
        <w:gridCol w:w="37"/>
        <w:gridCol w:w="65"/>
        <w:gridCol w:w="808"/>
        <w:gridCol w:w="36"/>
        <w:gridCol w:w="36"/>
        <w:gridCol w:w="36"/>
        <w:gridCol w:w="36"/>
        <w:gridCol w:w="61"/>
        <w:gridCol w:w="809"/>
        <w:gridCol w:w="36"/>
        <w:gridCol w:w="66"/>
        <w:gridCol w:w="810"/>
        <w:gridCol w:w="36"/>
      </w:tblGrid>
      <w:tr w:rsidR="00000000">
        <w:trPr>
          <w:divId w:val="362101814"/>
        </w:trPr>
        <w:tc>
          <w:tcPr>
            <w:tcW w:w="50" w:type="pct"/>
            <w:vAlign w:val="center"/>
            <w:hideMark/>
          </w:tcPr>
          <w:p w:rsidR="00000000" w:rsidRDefault="001F1FC8">
            <w:pPr>
              <w:rPr>
                <w:rFonts w:eastAsia="Times New Roman"/>
              </w:rPr>
            </w:pPr>
          </w:p>
        </w:tc>
        <w:tc>
          <w:tcPr>
            <w:tcW w:w="2693"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c>
          <w:tcPr>
            <w:tcW w:w="50" w:type="pct"/>
            <w:vAlign w:val="center"/>
            <w:hideMark/>
          </w:tcPr>
          <w:p w:rsidR="00000000" w:rsidRDefault="001F1FC8">
            <w:pPr>
              <w:rPr>
                <w:rFonts w:eastAsia="Times New Roman"/>
                <w:sz w:val="20"/>
                <w:szCs w:val="20"/>
              </w:rPr>
            </w:pPr>
          </w:p>
        </w:tc>
        <w:tc>
          <w:tcPr>
            <w:tcW w:w="497"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c>
          <w:tcPr>
            <w:tcW w:w="50" w:type="pct"/>
            <w:vAlign w:val="center"/>
            <w:hideMark/>
          </w:tcPr>
          <w:p w:rsidR="00000000" w:rsidRDefault="001F1FC8">
            <w:pPr>
              <w:rPr>
                <w:rFonts w:eastAsia="Times New Roman"/>
                <w:sz w:val="20"/>
                <w:szCs w:val="20"/>
              </w:rPr>
            </w:pPr>
          </w:p>
        </w:tc>
        <w:tc>
          <w:tcPr>
            <w:tcW w:w="497"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c>
          <w:tcPr>
            <w:tcW w:w="30"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c>
          <w:tcPr>
            <w:tcW w:w="50" w:type="pct"/>
            <w:vAlign w:val="center"/>
            <w:hideMark/>
          </w:tcPr>
          <w:p w:rsidR="00000000" w:rsidRDefault="001F1FC8">
            <w:pPr>
              <w:rPr>
                <w:rFonts w:eastAsia="Times New Roman"/>
                <w:sz w:val="20"/>
                <w:szCs w:val="20"/>
              </w:rPr>
            </w:pPr>
          </w:p>
        </w:tc>
        <w:tc>
          <w:tcPr>
            <w:tcW w:w="497"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c>
          <w:tcPr>
            <w:tcW w:w="50" w:type="pct"/>
            <w:vAlign w:val="center"/>
            <w:hideMark/>
          </w:tcPr>
          <w:p w:rsidR="00000000" w:rsidRDefault="001F1FC8">
            <w:pPr>
              <w:rPr>
                <w:rFonts w:eastAsia="Times New Roman"/>
                <w:sz w:val="20"/>
                <w:szCs w:val="20"/>
              </w:rPr>
            </w:pPr>
          </w:p>
        </w:tc>
        <w:tc>
          <w:tcPr>
            <w:tcW w:w="498"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r>
      <w:tr w:rsidR="00000000">
        <w:trPr>
          <w:divId w:val="362101814"/>
        </w:trPr>
        <w:tc>
          <w:tcPr>
            <w:tcW w:w="0" w:type="auto"/>
            <w:gridSpan w:val="3"/>
            <w:tcMar>
              <w:top w:w="30" w:type="dxa"/>
              <w:left w:w="20" w:type="dxa"/>
              <w:bottom w:w="30" w:type="dxa"/>
              <w:right w:w="20" w:type="dxa"/>
            </w:tcMar>
            <w:hideMark/>
          </w:tcPr>
          <w:p w:rsidR="00000000" w:rsidRDefault="001F1FC8">
            <w:pPr>
              <w:rPr>
                <w:rFonts w:eastAsia="Times New Roman"/>
              </w:rPr>
            </w:pPr>
            <w:r>
              <w:rPr>
                <w:rFonts w:ascii="Arial" w:eastAsia="Times New Roman" w:hAnsi="Arial" w:cs="Arial"/>
                <w:color w:val="000000"/>
                <w:sz w:val="2"/>
                <w:szCs w:val="2"/>
              </w:rPr>
              <w:t> </w:t>
            </w:r>
          </w:p>
        </w:tc>
        <w:tc>
          <w:tcPr>
            <w:tcW w:w="0" w:type="auto"/>
            <w:gridSpan w:val="6"/>
            <w:tcMar>
              <w:top w:w="30" w:type="dxa"/>
              <w:left w:w="20" w:type="dxa"/>
              <w:bottom w:w="30" w:type="dxa"/>
              <w:right w:w="20" w:type="dxa"/>
            </w:tcMar>
            <w:vAlign w:val="bottom"/>
            <w:hideMark/>
          </w:tcPr>
          <w:p w:rsidR="00000000" w:rsidRDefault="001F1FC8">
            <w:pPr>
              <w:jc w:val="center"/>
              <w:rPr>
                <w:rFonts w:eastAsia="Times New Roman"/>
              </w:rPr>
            </w:pPr>
            <w:r>
              <w:rPr>
                <w:rFonts w:ascii="Arial" w:eastAsia="Times New Roman" w:hAnsi="Arial" w:cs="Arial"/>
                <w:color w:val="000000"/>
                <w:sz w:val="20"/>
                <w:szCs w:val="20"/>
              </w:rPr>
              <w:t>Canada</w:t>
            </w:r>
          </w:p>
        </w:tc>
        <w:tc>
          <w:tcPr>
            <w:tcW w:w="0" w:type="auto"/>
            <w:gridSpan w:val="3"/>
            <w:tcMar>
              <w:top w:w="0" w:type="dxa"/>
              <w:left w:w="20" w:type="dxa"/>
              <w:bottom w:w="0" w:type="dxa"/>
              <w:right w:w="20" w:type="dxa"/>
            </w:tcMar>
            <w:vAlign w:val="center"/>
            <w:hideMark/>
          </w:tcPr>
          <w:p w:rsidR="00000000" w:rsidRDefault="001F1FC8">
            <w:pPr>
              <w:jc w:val="center"/>
              <w:rPr>
                <w:rFonts w:eastAsia="Times New Roman"/>
              </w:rPr>
            </w:pPr>
          </w:p>
        </w:tc>
        <w:tc>
          <w:tcPr>
            <w:tcW w:w="0" w:type="auto"/>
            <w:gridSpan w:val="6"/>
            <w:tcMar>
              <w:top w:w="30" w:type="dxa"/>
              <w:left w:w="20" w:type="dxa"/>
              <w:bottom w:w="30" w:type="dxa"/>
              <w:right w:w="20" w:type="dxa"/>
            </w:tcMar>
            <w:vAlign w:val="bottom"/>
            <w:hideMark/>
          </w:tcPr>
          <w:p w:rsidR="00000000" w:rsidRDefault="001F1FC8">
            <w:pPr>
              <w:jc w:val="center"/>
              <w:rPr>
                <w:rFonts w:eastAsia="Times New Roman"/>
              </w:rPr>
            </w:pPr>
            <w:r>
              <w:rPr>
                <w:rFonts w:ascii="Arial" w:eastAsia="Times New Roman" w:hAnsi="Arial" w:cs="Arial"/>
                <w:color w:val="000000"/>
                <w:sz w:val="20"/>
                <w:szCs w:val="20"/>
              </w:rPr>
              <w:t>US</w:t>
            </w:r>
          </w:p>
        </w:tc>
      </w:tr>
      <w:tr w:rsidR="00000000">
        <w:trPr>
          <w:divId w:val="362101814"/>
        </w:trPr>
        <w:tc>
          <w:tcPr>
            <w:tcW w:w="0" w:type="auto"/>
            <w:gridSpan w:val="3"/>
            <w:tcMar>
              <w:top w:w="30" w:type="dxa"/>
              <w:left w:w="20" w:type="dxa"/>
              <w:bottom w:w="30" w:type="dxa"/>
              <w:right w:w="20" w:type="dxa"/>
            </w:tcMar>
            <w:hideMark/>
          </w:tcPr>
          <w:p w:rsidR="00000000" w:rsidRDefault="001F1FC8">
            <w:pPr>
              <w:rPr>
                <w:rFonts w:eastAsia="Times New Roman"/>
              </w:rPr>
            </w:pPr>
            <w:r>
              <w:rPr>
                <w:rFonts w:ascii="Arial" w:eastAsia="Times New Roman" w:hAnsi="Arial" w:cs="Arial"/>
                <w:color w:val="000000"/>
                <w:sz w:val="20"/>
                <w:szCs w:val="20"/>
              </w:rPr>
              <w:t>December 31,</w:t>
            </w:r>
          </w:p>
        </w:tc>
        <w:tc>
          <w:tcPr>
            <w:tcW w:w="0" w:type="auto"/>
            <w:gridSpan w:val="3"/>
            <w:tcBorders>
              <w:top w:val="single" w:sz="4" w:space="0" w:color="000000"/>
            </w:tcBorders>
            <w:tcMar>
              <w:top w:w="30" w:type="dxa"/>
              <w:left w:w="20" w:type="dxa"/>
              <w:bottom w:w="30" w:type="dxa"/>
              <w:right w:w="20" w:type="dxa"/>
            </w:tcMar>
            <w:hideMark/>
          </w:tcPr>
          <w:p w:rsidR="00000000" w:rsidRDefault="001F1FC8">
            <w:pPr>
              <w:jc w:val="right"/>
              <w:rPr>
                <w:rFonts w:eastAsia="Times New Roman"/>
              </w:rPr>
            </w:pPr>
            <w:r>
              <w:rPr>
                <w:rFonts w:ascii="Arial" w:eastAsia="Times New Roman" w:hAnsi="Arial" w:cs="Arial"/>
                <w:b/>
                <w:bCs/>
                <w:color w:val="000000"/>
                <w:sz w:val="20"/>
                <w:szCs w:val="20"/>
              </w:rPr>
              <w:t>2021</w:t>
            </w:r>
          </w:p>
        </w:tc>
        <w:tc>
          <w:tcPr>
            <w:tcW w:w="0" w:type="auto"/>
            <w:gridSpan w:val="3"/>
            <w:tcBorders>
              <w:top w:val="single" w:sz="4" w:space="0" w:color="000000"/>
            </w:tcBorders>
            <w:tcMar>
              <w:top w:w="30" w:type="dxa"/>
              <w:left w:w="20" w:type="dxa"/>
              <w:bottom w:w="30" w:type="dxa"/>
              <w:right w:w="20" w:type="dxa"/>
            </w:tcMar>
            <w:hideMark/>
          </w:tcPr>
          <w:p w:rsidR="00000000" w:rsidRDefault="001F1FC8">
            <w:pPr>
              <w:jc w:val="right"/>
              <w:rPr>
                <w:rFonts w:eastAsia="Times New Roman"/>
              </w:rPr>
            </w:pPr>
            <w:r>
              <w:rPr>
                <w:rFonts w:ascii="Arial" w:eastAsia="Times New Roman" w:hAnsi="Arial" w:cs="Arial"/>
                <w:color w:val="000000"/>
                <w:sz w:val="20"/>
                <w:szCs w:val="20"/>
              </w:rPr>
              <w:t>2020</w:t>
            </w:r>
          </w:p>
        </w:tc>
        <w:tc>
          <w:tcPr>
            <w:tcW w:w="0" w:type="auto"/>
            <w:gridSpan w:val="3"/>
            <w:tcMar>
              <w:top w:w="0" w:type="dxa"/>
              <w:left w:w="20" w:type="dxa"/>
              <w:bottom w:w="0" w:type="dxa"/>
              <w:right w:w="20" w:type="dxa"/>
            </w:tcMar>
            <w:vAlign w:val="center"/>
            <w:hideMark/>
          </w:tcPr>
          <w:p w:rsidR="00000000" w:rsidRDefault="001F1FC8">
            <w:pPr>
              <w:jc w:val="right"/>
              <w:rPr>
                <w:rFonts w:eastAsia="Times New Roman"/>
              </w:rPr>
            </w:pPr>
          </w:p>
        </w:tc>
        <w:tc>
          <w:tcPr>
            <w:tcW w:w="0" w:type="auto"/>
            <w:gridSpan w:val="3"/>
            <w:tcBorders>
              <w:top w:val="single" w:sz="4" w:space="0" w:color="000000"/>
            </w:tcBorders>
            <w:tcMar>
              <w:top w:w="30" w:type="dxa"/>
              <w:left w:w="20" w:type="dxa"/>
              <w:bottom w:w="30" w:type="dxa"/>
              <w:right w:w="20" w:type="dxa"/>
            </w:tcMar>
            <w:hideMark/>
          </w:tcPr>
          <w:p w:rsidR="00000000" w:rsidRDefault="001F1FC8">
            <w:pPr>
              <w:jc w:val="right"/>
              <w:rPr>
                <w:rFonts w:eastAsia="Times New Roman"/>
              </w:rPr>
            </w:pPr>
            <w:r>
              <w:rPr>
                <w:rFonts w:ascii="Arial" w:eastAsia="Times New Roman" w:hAnsi="Arial" w:cs="Arial"/>
                <w:b/>
                <w:bCs/>
                <w:color w:val="000000"/>
                <w:sz w:val="20"/>
                <w:szCs w:val="20"/>
              </w:rPr>
              <w:t>2021</w:t>
            </w:r>
          </w:p>
        </w:tc>
        <w:tc>
          <w:tcPr>
            <w:tcW w:w="0" w:type="auto"/>
            <w:gridSpan w:val="3"/>
            <w:tcBorders>
              <w:top w:val="single" w:sz="4" w:space="0" w:color="000000"/>
            </w:tcBorders>
            <w:tcMar>
              <w:top w:w="30" w:type="dxa"/>
              <w:left w:w="20" w:type="dxa"/>
              <w:bottom w:w="30" w:type="dxa"/>
              <w:right w:w="20" w:type="dxa"/>
            </w:tcMar>
            <w:hideMark/>
          </w:tcPr>
          <w:p w:rsidR="00000000" w:rsidRDefault="001F1FC8">
            <w:pPr>
              <w:jc w:val="right"/>
              <w:rPr>
                <w:rFonts w:eastAsia="Times New Roman"/>
              </w:rPr>
            </w:pPr>
            <w:r>
              <w:rPr>
                <w:rFonts w:ascii="Arial" w:eastAsia="Times New Roman" w:hAnsi="Arial" w:cs="Arial"/>
                <w:color w:val="000000"/>
                <w:sz w:val="20"/>
                <w:szCs w:val="20"/>
              </w:rPr>
              <w:t>2020</w:t>
            </w:r>
          </w:p>
        </w:tc>
      </w:tr>
      <w:tr w:rsidR="00000000">
        <w:trPr>
          <w:divId w:val="362101814"/>
        </w:trPr>
        <w:tc>
          <w:tcPr>
            <w:tcW w:w="0" w:type="auto"/>
            <w:gridSpan w:val="3"/>
            <w:tcBorders>
              <w:top w:val="single" w:sz="4" w:space="0" w:color="000000"/>
            </w:tcBorders>
            <w:tcMar>
              <w:top w:w="30" w:type="dxa"/>
              <w:left w:w="20" w:type="dxa"/>
              <w:bottom w:w="30" w:type="dxa"/>
              <w:right w:w="20" w:type="dxa"/>
            </w:tcMar>
            <w:hideMark/>
          </w:tcPr>
          <w:p w:rsidR="00000000" w:rsidRDefault="001F1FC8">
            <w:pPr>
              <w:rPr>
                <w:rFonts w:eastAsia="Times New Roman"/>
              </w:rPr>
            </w:pPr>
            <w:r>
              <w:rPr>
                <w:rFonts w:ascii="Arial" w:eastAsia="Times New Roman" w:hAnsi="Arial" w:cs="Arial"/>
                <w:i/>
                <w:iCs/>
                <w:color w:val="000000"/>
                <w:sz w:val="16"/>
                <w:szCs w:val="16"/>
              </w:rPr>
              <w:t>(millions of Canadian dollars)</w:t>
            </w:r>
          </w:p>
        </w:tc>
        <w:tc>
          <w:tcPr>
            <w:tcW w:w="0" w:type="auto"/>
            <w:gridSpan w:val="3"/>
            <w:tcBorders>
              <w:top w:val="single" w:sz="4" w:space="0" w:color="000000"/>
            </w:tcBorders>
            <w:shd w:val="clear" w:color="auto" w:fill="D9D9D9"/>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2"/>
                <w:szCs w:val="2"/>
              </w:rPr>
              <w:t> </w:t>
            </w: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2"/>
                <w:szCs w:val="2"/>
              </w:rPr>
              <w:t> </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1F1FC8">
            <w:pPr>
              <w:jc w:val="right"/>
              <w:rPr>
                <w:rFonts w:eastAsia="Times New Roman"/>
              </w:rPr>
            </w:pPr>
          </w:p>
        </w:tc>
        <w:tc>
          <w:tcPr>
            <w:tcW w:w="0" w:type="auto"/>
            <w:gridSpan w:val="3"/>
            <w:tcBorders>
              <w:top w:val="single" w:sz="4" w:space="0" w:color="000000"/>
            </w:tcBorders>
            <w:shd w:val="clear" w:color="auto" w:fill="D9D9D9"/>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2"/>
                <w:szCs w:val="2"/>
              </w:rPr>
              <w:t> </w:t>
            </w: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2"/>
                <w:szCs w:val="2"/>
              </w:rPr>
              <w:t> </w:t>
            </w:r>
          </w:p>
        </w:tc>
      </w:tr>
      <w:tr w:rsidR="00000000">
        <w:trPr>
          <w:divId w:val="362101814"/>
        </w:trPr>
        <w:tc>
          <w:tcPr>
            <w:tcW w:w="0" w:type="auto"/>
            <w:gridSpan w:val="3"/>
            <w:tcMar>
              <w:top w:w="30" w:type="dxa"/>
              <w:left w:w="20" w:type="dxa"/>
              <w:bottom w:w="30" w:type="dxa"/>
              <w:right w:w="20" w:type="dxa"/>
            </w:tcMar>
            <w:hideMark/>
          </w:tcPr>
          <w:p w:rsidR="00000000" w:rsidRDefault="001F1FC8">
            <w:pPr>
              <w:rPr>
                <w:rFonts w:eastAsia="Times New Roman"/>
              </w:rPr>
            </w:pPr>
            <w:r>
              <w:rPr>
                <w:rFonts w:ascii="Arial" w:eastAsia="Times New Roman" w:hAnsi="Arial" w:cs="Arial"/>
                <w:b/>
                <w:bCs/>
                <w:color w:val="000000"/>
                <w:sz w:val="20"/>
                <w:szCs w:val="20"/>
              </w:rPr>
              <w:t>Change in projected benefit obligation</w:t>
            </w:r>
          </w:p>
        </w:tc>
        <w:tc>
          <w:tcPr>
            <w:tcW w:w="0" w:type="auto"/>
            <w:gridSpan w:val="3"/>
            <w:shd w:val="clear" w:color="auto" w:fill="D9D9D9"/>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2"/>
                <w:szCs w:val="2"/>
              </w:rPr>
              <w:t> </w:t>
            </w:r>
          </w:p>
        </w:tc>
        <w:tc>
          <w:tcPr>
            <w:tcW w:w="0" w:type="auto"/>
            <w:gridSpan w:val="3"/>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2"/>
                <w:szCs w:val="2"/>
              </w:rPr>
              <w:t> </w:t>
            </w:r>
          </w:p>
        </w:tc>
        <w:tc>
          <w:tcPr>
            <w:tcW w:w="0" w:type="auto"/>
            <w:gridSpan w:val="3"/>
            <w:tcMar>
              <w:top w:w="0" w:type="dxa"/>
              <w:left w:w="20" w:type="dxa"/>
              <w:bottom w:w="0" w:type="dxa"/>
              <w:right w:w="20" w:type="dxa"/>
            </w:tcMar>
            <w:vAlign w:val="center"/>
            <w:hideMark/>
          </w:tcPr>
          <w:p w:rsidR="00000000" w:rsidRDefault="001F1FC8">
            <w:pPr>
              <w:jc w:val="right"/>
              <w:rPr>
                <w:rFonts w:eastAsia="Times New Roman"/>
              </w:rPr>
            </w:pPr>
          </w:p>
        </w:tc>
        <w:tc>
          <w:tcPr>
            <w:tcW w:w="0" w:type="auto"/>
            <w:gridSpan w:val="3"/>
            <w:shd w:val="clear" w:color="auto" w:fill="D9D9D9"/>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2"/>
                <w:szCs w:val="2"/>
              </w:rPr>
              <w:t> </w:t>
            </w:r>
          </w:p>
        </w:tc>
        <w:tc>
          <w:tcPr>
            <w:tcW w:w="0" w:type="auto"/>
            <w:gridSpan w:val="3"/>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2"/>
                <w:szCs w:val="2"/>
              </w:rPr>
              <w:t> </w:t>
            </w:r>
          </w:p>
        </w:tc>
      </w:tr>
      <w:tr w:rsidR="00000000">
        <w:trPr>
          <w:divId w:val="362101814"/>
        </w:trPr>
        <w:tc>
          <w:tcPr>
            <w:tcW w:w="0" w:type="auto"/>
            <w:gridSpan w:val="3"/>
            <w:tcMar>
              <w:top w:w="30" w:type="dxa"/>
              <w:left w:w="20" w:type="dxa"/>
              <w:bottom w:w="30" w:type="dxa"/>
              <w:right w:w="20" w:type="dxa"/>
            </w:tcMar>
            <w:hideMark/>
          </w:tcPr>
          <w:p w:rsidR="00000000" w:rsidRDefault="001F1FC8">
            <w:pPr>
              <w:rPr>
                <w:rFonts w:eastAsia="Times New Roman"/>
              </w:rPr>
            </w:pPr>
            <w:r>
              <w:rPr>
                <w:rFonts w:ascii="Arial" w:eastAsia="Times New Roman" w:hAnsi="Arial" w:cs="Arial"/>
                <w:color w:val="000000"/>
                <w:sz w:val="20"/>
                <w:szCs w:val="20"/>
              </w:rPr>
              <w:t>Projected benefit obligation at beginning of year</w:t>
            </w:r>
          </w:p>
        </w:tc>
        <w:tc>
          <w:tcPr>
            <w:tcW w:w="0" w:type="auto"/>
            <w:gridSpan w:val="2"/>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20"/>
                <w:szCs w:val="20"/>
              </w:rPr>
              <w:t>4,855</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4,446 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1F1FC8">
            <w:pPr>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20"/>
                <w:szCs w:val="20"/>
              </w:rPr>
              <w:t>1,243</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1,230 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r>
      <w:tr w:rsidR="00000000">
        <w:trPr>
          <w:divId w:val="362101814"/>
        </w:trPr>
        <w:tc>
          <w:tcPr>
            <w:tcW w:w="0" w:type="auto"/>
            <w:gridSpan w:val="3"/>
            <w:tcMar>
              <w:top w:w="30" w:type="dxa"/>
              <w:left w:w="155" w:type="dxa"/>
              <w:bottom w:w="30" w:type="dxa"/>
              <w:right w:w="20" w:type="dxa"/>
            </w:tcMar>
            <w:hideMark/>
          </w:tcPr>
          <w:p w:rsidR="00000000" w:rsidRDefault="001F1FC8">
            <w:pPr>
              <w:rPr>
                <w:rFonts w:eastAsia="Times New Roman"/>
              </w:rPr>
            </w:pPr>
            <w:r>
              <w:rPr>
                <w:rFonts w:ascii="Arial" w:eastAsia="Times New Roman" w:hAnsi="Arial" w:cs="Arial"/>
                <w:color w:val="000000"/>
                <w:sz w:val="20"/>
                <w:szCs w:val="20"/>
              </w:rPr>
              <w:t xml:space="preserve">Service cost </w:t>
            </w:r>
          </w:p>
        </w:tc>
        <w:tc>
          <w:tcPr>
            <w:tcW w:w="0" w:type="auto"/>
            <w:gridSpan w:val="2"/>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20"/>
                <w:szCs w:val="20"/>
              </w:rPr>
              <w:t>139</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148 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1F1FC8">
            <w:pPr>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20"/>
                <w:szCs w:val="20"/>
              </w:rPr>
              <w:t>44</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44 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r>
      <w:tr w:rsidR="00000000">
        <w:trPr>
          <w:divId w:val="362101814"/>
        </w:trPr>
        <w:tc>
          <w:tcPr>
            <w:tcW w:w="0" w:type="auto"/>
            <w:gridSpan w:val="3"/>
            <w:tcMar>
              <w:top w:w="30" w:type="dxa"/>
              <w:left w:w="155" w:type="dxa"/>
              <w:bottom w:w="30" w:type="dxa"/>
              <w:right w:w="20" w:type="dxa"/>
            </w:tcMar>
            <w:hideMark/>
          </w:tcPr>
          <w:p w:rsidR="00000000" w:rsidRDefault="001F1FC8">
            <w:pPr>
              <w:rPr>
                <w:rFonts w:eastAsia="Times New Roman"/>
              </w:rPr>
            </w:pPr>
            <w:r>
              <w:rPr>
                <w:rFonts w:ascii="Arial" w:eastAsia="Times New Roman" w:hAnsi="Arial" w:cs="Arial"/>
                <w:color w:val="000000"/>
                <w:sz w:val="20"/>
                <w:szCs w:val="20"/>
              </w:rPr>
              <w:t>Interest cost</w:t>
            </w:r>
          </w:p>
        </w:tc>
        <w:tc>
          <w:tcPr>
            <w:tcW w:w="0" w:type="auto"/>
            <w:gridSpan w:val="2"/>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20"/>
                <w:szCs w:val="20"/>
              </w:rPr>
              <w:t>101</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128 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1F1FC8">
            <w:pPr>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20"/>
                <w:szCs w:val="20"/>
              </w:rPr>
              <w:t>17</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31 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r>
      <w:tr w:rsidR="00000000">
        <w:trPr>
          <w:divId w:val="362101814"/>
        </w:trPr>
        <w:tc>
          <w:tcPr>
            <w:tcW w:w="0" w:type="auto"/>
            <w:gridSpan w:val="3"/>
            <w:tcMar>
              <w:top w:w="30" w:type="dxa"/>
              <w:left w:w="155" w:type="dxa"/>
              <w:bottom w:w="30" w:type="dxa"/>
              <w:right w:w="20" w:type="dxa"/>
            </w:tcMar>
            <w:hideMark/>
          </w:tcPr>
          <w:p w:rsidR="00000000" w:rsidRDefault="001F1FC8">
            <w:pPr>
              <w:rPr>
                <w:rFonts w:eastAsia="Times New Roman"/>
              </w:rPr>
            </w:pPr>
            <w:r>
              <w:rPr>
                <w:rFonts w:ascii="Arial" w:eastAsia="Times New Roman" w:hAnsi="Arial" w:cs="Arial"/>
                <w:color w:val="000000"/>
                <w:sz w:val="20"/>
                <w:szCs w:val="20"/>
              </w:rPr>
              <w:t>Participant contributions</w:t>
            </w:r>
          </w:p>
        </w:tc>
        <w:tc>
          <w:tcPr>
            <w:tcW w:w="0" w:type="auto"/>
            <w:gridSpan w:val="2"/>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20"/>
                <w:szCs w:val="20"/>
              </w:rPr>
              <w:t>28</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31 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1F1FC8">
            <w:pPr>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20"/>
                <w:szCs w:val="20"/>
              </w:rPr>
              <w:t>—</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r>
      <w:tr w:rsidR="00000000">
        <w:trPr>
          <w:divId w:val="362101814"/>
        </w:trPr>
        <w:tc>
          <w:tcPr>
            <w:tcW w:w="0" w:type="auto"/>
            <w:gridSpan w:val="3"/>
            <w:tcMar>
              <w:top w:w="30" w:type="dxa"/>
              <w:left w:w="20" w:type="dxa"/>
              <w:bottom w:w="30" w:type="dxa"/>
              <w:right w:w="20" w:type="dxa"/>
            </w:tcMar>
            <w:hideMark/>
          </w:tcPr>
          <w:p w:rsidR="00000000" w:rsidRDefault="001F1FC8">
            <w:pPr>
              <w:divId w:val="1194687828"/>
              <w:rPr>
                <w:rFonts w:eastAsia="Times New Roman"/>
              </w:rPr>
            </w:pPr>
            <w:r>
              <w:rPr>
                <w:rFonts w:ascii="Arial" w:eastAsia="Times New Roman" w:hAnsi="Arial" w:cs="Arial"/>
                <w:color w:val="000000"/>
                <w:sz w:val="20"/>
                <w:szCs w:val="20"/>
              </w:rPr>
              <w:t>Actuarial (gain)/los</w:t>
            </w:r>
            <w:r>
              <w:rPr>
                <w:rFonts w:ascii="Arial" w:eastAsia="Times New Roman" w:hAnsi="Arial" w:cs="Arial"/>
                <w:color w:val="000000"/>
                <w:sz w:val="20"/>
                <w:szCs w:val="20"/>
              </w:rPr>
              <w:t>s</w:t>
            </w:r>
            <w:r>
              <w:rPr>
                <w:rFonts w:ascii="Arial" w:eastAsia="Times New Roman" w:hAnsi="Arial" w:cs="Arial"/>
                <w:color w:val="000000"/>
                <w:sz w:val="10"/>
                <w:szCs w:val="10"/>
              </w:rPr>
              <w:t>1</w:t>
            </w:r>
          </w:p>
        </w:tc>
        <w:tc>
          <w:tcPr>
            <w:tcW w:w="0" w:type="auto"/>
            <w:gridSpan w:val="2"/>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20"/>
                <w:szCs w:val="20"/>
              </w:rPr>
              <w:t>(329)</w:t>
            </w:r>
          </w:p>
        </w:tc>
        <w:tc>
          <w:tcPr>
            <w:tcW w:w="0" w:type="auto"/>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292 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1F1FC8">
            <w:pPr>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20"/>
                <w:szCs w:val="20"/>
              </w:rPr>
              <w:t>(21)</w:t>
            </w:r>
          </w:p>
        </w:tc>
        <w:tc>
          <w:tcPr>
            <w:tcW w:w="0" w:type="auto"/>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95 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r>
      <w:tr w:rsidR="00000000">
        <w:trPr>
          <w:divId w:val="362101814"/>
        </w:trPr>
        <w:tc>
          <w:tcPr>
            <w:tcW w:w="0" w:type="auto"/>
            <w:gridSpan w:val="3"/>
            <w:tcMar>
              <w:top w:w="30" w:type="dxa"/>
              <w:left w:w="155" w:type="dxa"/>
              <w:bottom w:w="30" w:type="dxa"/>
              <w:right w:w="20" w:type="dxa"/>
            </w:tcMar>
            <w:hideMark/>
          </w:tcPr>
          <w:p w:rsidR="00000000" w:rsidRDefault="001F1FC8">
            <w:pPr>
              <w:rPr>
                <w:rFonts w:eastAsia="Times New Roman"/>
              </w:rPr>
            </w:pPr>
            <w:r>
              <w:rPr>
                <w:rFonts w:ascii="Arial" w:eastAsia="Times New Roman" w:hAnsi="Arial" w:cs="Arial"/>
                <w:color w:val="000000"/>
                <w:sz w:val="20"/>
                <w:szCs w:val="20"/>
              </w:rPr>
              <w:t>Benefits paid</w:t>
            </w:r>
          </w:p>
        </w:tc>
        <w:tc>
          <w:tcPr>
            <w:tcW w:w="0" w:type="auto"/>
            <w:gridSpan w:val="2"/>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20"/>
                <w:szCs w:val="20"/>
              </w:rPr>
              <w:t>(194)</w:t>
            </w:r>
          </w:p>
        </w:tc>
        <w:tc>
          <w:tcPr>
            <w:tcW w:w="0" w:type="auto"/>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(190)</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1F1FC8">
            <w:pPr>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20"/>
                <w:szCs w:val="20"/>
              </w:rPr>
              <w:t>(84)</w:t>
            </w:r>
          </w:p>
        </w:tc>
        <w:tc>
          <w:tcPr>
            <w:tcW w:w="0" w:type="auto"/>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(128)</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r>
      <w:tr w:rsidR="00000000">
        <w:trPr>
          <w:divId w:val="362101814"/>
        </w:trPr>
        <w:tc>
          <w:tcPr>
            <w:tcW w:w="0" w:type="auto"/>
            <w:gridSpan w:val="3"/>
            <w:tcMar>
              <w:top w:w="30" w:type="dxa"/>
              <w:left w:w="155" w:type="dxa"/>
              <w:bottom w:w="30" w:type="dxa"/>
              <w:right w:w="20" w:type="dxa"/>
            </w:tcMar>
            <w:hideMark/>
          </w:tcPr>
          <w:p w:rsidR="00000000" w:rsidRDefault="001F1FC8">
            <w:pPr>
              <w:rPr>
                <w:rFonts w:eastAsia="Times New Roman"/>
              </w:rPr>
            </w:pPr>
            <w:r>
              <w:rPr>
                <w:rFonts w:ascii="Arial" w:eastAsia="Times New Roman" w:hAnsi="Arial" w:cs="Arial"/>
                <w:color w:val="000000"/>
                <w:sz w:val="20"/>
                <w:szCs w:val="20"/>
              </w:rPr>
              <w:t>Foreign currency exchange rate changes</w:t>
            </w:r>
          </w:p>
        </w:tc>
        <w:tc>
          <w:tcPr>
            <w:tcW w:w="0" w:type="auto"/>
            <w:gridSpan w:val="2"/>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20"/>
                <w:szCs w:val="20"/>
              </w:rPr>
              <w:t>—</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1F1FC8">
            <w:pPr>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20"/>
                <w:szCs w:val="20"/>
              </w:rPr>
              <w:t>(11)</w:t>
            </w:r>
          </w:p>
        </w:tc>
        <w:tc>
          <w:tcPr>
            <w:tcW w:w="0" w:type="auto"/>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(23)</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r>
      <w:tr w:rsidR="00000000">
        <w:trPr>
          <w:divId w:val="362101814"/>
        </w:trPr>
        <w:tc>
          <w:tcPr>
            <w:tcW w:w="0" w:type="auto"/>
            <w:gridSpan w:val="3"/>
            <w:tcMar>
              <w:top w:w="30" w:type="dxa"/>
              <w:left w:w="155" w:type="dxa"/>
              <w:bottom w:w="30" w:type="dxa"/>
              <w:right w:w="20" w:type="dxa"/>
            </w:tcMar>
            <w:hideMark/>
          </w:tcPr>
          <w:p w:rsidR="00000000" w:rsidRDefault="001F1FC8">
            <w:pPr>
              <w:rPr>
                <w:rFonts w:eastAsia="Times New Roman"/>
              </w:rPr>
            </w:pPr>
            <w:r>
              <w:rPr>
                <w:rFonts w:ascii="Arial" w:eastAsia="Times New Roman" w:hAnsi="Arial" w:cs="Arial"/>
                <w:color w:val="000000"/>
                <w:sz w:val="20"/>
                <w:szCs w:val="20"/>
              </w:rPr>
              <w:t>Other</w:t>
            </w:r>
          </w:p>
        </w:tc>
        <w:tc>
          <w:tcPr>
            <w:tcW w:w="0" w:type="auto"/>
            <w:gridSpan w:val="2"/>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20"/>
                <w:szCs w:val="20"/>
              </w:rPr>
              <w:t>—</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1F1FC8">
            <w:pPr>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20"/>
                <w:szCs w:val="20"/>
              </w:rPr>
              <w:t>(4)</w:t>
            </w:r>
          </w:p>
        </w:tc>
        <w:tc>
          <w:tcPr>
            <w:tcW w:w="0" w:type="auto"/>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(6)</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r>
      <w:tr w:rsidR="00000000">
        <w:trPr>
          <w:divId w:val="362101814"/>
        </w:trPr>
        <w:tc>
          <w:tcPr>
            <w:tcW w:w="0" w:type="auto"/>
            <w:gridSpan w:val="3"/>
            <w:tcBorders>
              <w:top w:val="single" w:sz="4" w:space="0" w:color="000000"/>
            </w:tcBorders>
            <w:tcMar>
              <w:top w:w="30" w:type="dxa"/>
              <w:left w:w="20" w:type="dxa"/>
              <w:bottom w:w="30" w:type="dxa"/>
              <w:right w:w="20" w:type="dxa"/>
            </w:tcMar>
            <w:hideMark/>
          </w:tcPr>
          <w:p w:rsidR="00000000" w:rsidRDefault="001F1FC8">
            <w:pPr>
              <w:divId w:val="746465163"/>
              <w:rPr>
                <w:rFonts w:eastAsia="Times New Roman"/>
              </w:rPr>
            </w:pPr>
            <w:r>
              <w:rPr>
                <w:rFonts w:ascii="Arial" w:eastAsia="Times New Roman" w:hAnsi="Arial" w:cs="Arial"/>
                <w:color w:val="000000"/>
                <w:sz w:val="20"/>
                <w:szCs w:val="20"/>
              </w:rPr>
              <w:t>Projected benefit obligation at end of yea</w:t>
            </w:r>
            <w:r>
              <w:rPr>
                <w:rFonts w:ascii="Arial" w:eastAsia="Times New Roman" w:hAnsi="Arial" w:cs="Arial"/>
                <w:color w:val="000000"/>
                <w:sz w:val="20"/>
                <w:szCs w:val="20"/>
              </w:rPr>
              <w:t>r</w:t>
            </w:r>
            <w:r>
              <w:rPr>
                <w:rFonts w:ascii="Arial" w:eastAsia="Times New Roman" w:hAnsi="Arial" w:cs="Arial"/>
                <w:color w:val="000000"/>
                <w:sz w:val="10"/>
                <w:szCs w:val="10"/>
              </w:rPr>
              <w:t>2</w:t>
            </w:r>
          </w:p>
        </w:tc>
        <w:tc>
          <w:tcPr>
            <w:tcW w:w="0" w:type="auto"/>
            <w:gridSpan w:val="2"/>
            <w:tcBorders>
              <w:top w:val="single" w:sz="4" w:space="0" w:color="000000"/>
            </w:tcBorders>
            <w:shd w:val="clear" w:color="auto" w:fill="D9D9D9"/>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b/>
                <w:bCs/>
                <w:color w:val="000000"/>
                <w:sz w:val="20"/>
                <w:szCs w:val="20"/>
              </w:rPr>
              <w:t>4,600</w:t>
            </w:r>
            <w:r>
              <w:rPr>
                <w:rFonts w:ascii="Arial" w:eastAsia="Times New Roman" w:hAnsi="Arial" w:cs="Arial"/>
                <w:color w:val="000000"/>
                <w:sz w:val="20"/>
                <w:szCs w:val="20"/>
              </w:rPr>
              <w:t> </w:t>
            </w:r>
          </w:p>
        </w:tc>
        <w:tc>
          <w:tcPr>
            <w:tcW w:w="0" w:type="auto"/>
            <w:tcBorders>
              <w:top w:val="single" w:sz="4" w:space="0" w:color="000000"/>
            </w:tcBorders>
            <w:shd w:val="clear" w:color="auto" w:fill="D9D9D9"/>
            <w:tcMar>
              <w:top w:w="30" w:type="dxa"/>
              <w:left w:w="0" w:type="dxa"/>
              <w:bottom w:w="30" w:type="dxa"/>
              <w:right w:w="20" w:type="dxa"/>
            </w:tcMar>
            <w:hideMark/>
          </w:tcPr>
          <w:p w:rsidR="00000000" w:rsidRDefault="001F1FC8">
            <w:pPr>
              <w:jc w:val="right"/>
              <w:rPr>
                <w:rFonts w:eastAsia="Times New Roman"/>
              </w:rPr>
            </w:pPr>
          </w:p>
        </w:tc>
        <w:tc>
          <w:tcPr>
            <w:tcW w:w="0" w:type="auto"/>
            <w:gridSpan w:val="2"/>
            <w:tcBorders>
              <w:top w:val="single" w:sz="4" w:space="0" w:color="000000"/>
            </w:tcBorders>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color w:val="000000"/>
                <w:sz w:val="20"/>
                <w:szCs w:val="20"/>
              </w:rPr>
              <w:t>4,855 </w:t>
            </w:r>
          </w:p>
        </w:tc>
        <w:tc>
          <w:tcPr>
            <w:tcW w:w="0" w:type="auto"/>
            <w:tcBorders>
              <w:top w:val="single" w:sz="4" w:space="0" w:color="000000"/>
            </w:tcBorders>
            <w:tcMar>
              <w:top w:w="30" w:type="dxa"/>
              <w:left w:w="0" w:type="dxa"/>
              <w:bottom w:w="30" w:type="dxa"/>
              <w:right w:w="20" w:type="dxa"/>
            </w:tcMar>
            <w:hideMark/>
          </w:tcPr>
          <w:p w:rsidR="00000000" w:rsidRDefault="001F1FC8">
            <w:pPr>
              <w:jc w:val="right"/>
              <w:rPr>
                <w:rFonts w:eastAsia="Times New Roman"/>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1F1FC8">
            <w:pPr>
              <w:jc w:val="right"/>
              <w:rPr>
                <w:rFonts w:eastAsia="Times New Roman"/>
                <w:sz w:val="20"/>
                <w:szCs w:val="20"/>
              </w:rPr>
            </w:pPr>
          </w:p>
        </w:tc>
        <w:tc>
          <w:tcPr>
            <w:tcW w:w="0" w:type="auto"/>
            <w:gridSpan w:val="2"/>
            <w:tcBorders>
              <w:top w:val="single" w:sz="4" w:space="0" w:color="000000"/>
            </w:tcBorders>
            <w:shd w:val="clear" w:color="auto" w:fill="D9D9D9"/>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b/>
                <w:bCs/>
                <w:color w:val="000000"/>
                <w:sz w:val="20"/>
                <w:szCs w:val="20"/>
              </w:rPr>
              <w:t>1,184</w:t>
            </w:r>
            <w:r>
              <w:rPr>
                <w:rFonts w:ascii="Arial" w:eastAsia="Times New Roman" w:hAnsi="Arial" w:cs="Arial"/>
                <w:color w:val="000000"/>
                <w:sz w:val="20"/>
                <w:szCs w:val="20"/>
              </w:rPr>
              <w:t> </w:t>
            </w:r>
          </w:p>
        </w:tc>
        <w:tc>
          <w:tcPr>
            <w:tcW w:w="0" w:type="auto"/>
            <w:tcBorders>
              <w:top w:val="single" w:sz="4" w:space="0" w:color="000000"/>
            </w:tcBorders>
            <w:shd w:val="clear" w:color="auto" w:fill="D9D9D9"/>
            <w:tcMar>
              <w:top w:w="30" w:type="dxa"/>
              <w:left w:w="0" w:type="dxa"/>
              <w:bottom w:w="30" w:type="dxa"/>
              <w:right w:w="20" w:type="dxa"/>
            </w:tcMar>
            <w:hideMark/>
          </w:tcPr>
          <w:p w:rsidR="00000000" w:rsidRDefault="001F1FC8">
            <w:pPr>
              <w:jc w:val="right"/>
              <w:rPr>
                <w:rFonts w:eastAsia="Times New Roman"/>
              </w:rPr>
            </w:pPr>
          </w:p>
        </w:tc>
        <w:tc>
          <w:tcPr>
            <w:tcW w:w="0" w:type="auto"/>
            <w:gridSpan w:val="2"/>
            <w:tcBorders>
              <w:top w:val="single" w:sz="4" w:space="0" w:color="000000"/>
            </w:tcBorders>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color w:val="000000"/>
                <w:sz w:val="20"/>
                <w:szCs w:val="20"/>
              </w:rPr>
              <w:t>1,243 </w:t>
            </w:r>
          </w:p>
        </w:tc>
        <w:tc>
          <w:tcPr>
            <w:tcW w:w="0" w:type="auto"/>
            <w:tcBorders>
              <w:top w:val="single" w:sz="4" w:space="0" w:color="000000"/>
            </w:tcBorders>
            <w:tcMar>
              <w:top w:w="30" w:type="dxa"/>
              <w:left w:w="0" w:type="dxa"/>
              <w:bottom w:w="30" w:type="dxa"/>
              <w:right w:w="20" w:type="dxa"/>
            </w:tcMar>
            <w:hideMark/>
          </w:tcPr>
          <w:p w:rsidR="00000000" w:rsidRDefault="001F1FC8">
            <w:pPr>
              <w:jc w:val="right"/>
              <w:rPr>
                <w:rFonts w:eastAsia="Times New Roman"/>
              </w:rPr>
            </w:pPr>
          </w:p>
        </w:tc>
      </w:tr>
      <w:tr w:rsidR="00000000">
        <w:trPr>
          <w:divId w:val="362101814"/>
        </w:trPr>
        <w:tc>
          <w:tcPr>
            <w:tcW w:w="0" w:type="auto"/>
            <w:gridSpan w:val="3"/>
            <w:tcBorders>
              <w:top w:val="single" w:sz="4" w:space="0" w:color="000000"/>
            </w:tcBorders>
            <w:tcMar>
              <w:top w:w="30" w:type="dxa"/>
              <w:left w:w="20" w:type="dxa"/>
              <w:bottom w:w="30" w:type="dxa"/>
              <w:right w:w="20" w:type="dxa"/>
            </w:tcMar>
            <w:hideMark/>
          </w:tcPr>
          <w:p w:rsidR="00000000" w:rsidRDefault="001F1FC8">
            <w:pPr>
              <w:rPr>
                <w:rFonts w:eastAsia="Times New Roman"/>
              </w:rPr>
            </w:pPr>
            <w:r>
              <w:rPr>
                <w:rFonts w:ascii="Arial" w:eastAsia="Times New Roman" w:hAnsi="Arial" w:cs="Arial"/>
                <w:b/>
                <w:bCs/>
                <w:color w:val="000000"/>
                <w:sz w:val="20"/>
                <w:szCs w:val="20"/>
              </w:rPr>
              <w:t>Change in plan assets</w:t>
            </w:r>
          </w:p>
        </w:tc>
        <w:tc>
          <w:tcPr>
            <w:tcW w:w="0" w:type="auto"/>
            <w:gridSpan w:val="3"/>
            <w:tcBorders>
              <w:top w:val="single" w:sz="4" w:space="0" w:color="000000"/>
            </w:tcBorders>
            <w:shd w:val="clear" w:color="auto" w:fill="D9D9D9"/>
            <w:tcMar>
              <w:top w:w="0" w:type="dxa"/>
              <w:left w:w="20" w:type="dxa"/>
              <w:bottom w:w="0" w:type="dxa"/>
              <w:right w:w="20" w:type="dxa"/>
            </w:tcMar>
            <w:vAlign w:val="center"/>
            <w:hideMark/>
          </w:tcPr>
          <w:p w:rsidR="00000000" w:rsidRDefault="001F1FC8">
            <w:pPr>
              <w:rPr>
                <w:rFonts w:eastAsia="Times New Roman"/>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1F1FC8">
            <w:pPr>
              <w:rPr>
                <w:rFonts w:eastAsia="Times New Roman"/>
                <w:sz w:val="20"/>
                <w:szCs w:val="20"/>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1F1FC8">
            <w:pPr>
              <w:rPr>
                <w:rFonts w:eastAsia="Times New Roman"/>
                <w:sz w:val="20"/>
                <w:szCs w:val="20"/>
              </w:rPr>
            </w:pPr>
          </w:p>
        </w:tc>
        <w:tc>
          <w:tcPr>
            <w:tcW w:w="0" w:type="auto"/>
            <w:gridSpan w:val="3"/>
            <w:tcBorders>
              <w:top w:val="single" w:sz="4" w:space="0" w:color="000000"/>
            </w:tcBorders>
            <w:shd w:val="clear" w:color="auto" w:fill="D9D9D9"/>
            <w:tcMar>
              <w:top w:w="0" w:type="dxa"/>
              <w:left w:w="20" w:type="dxa"/>
              <w:bottom w:w="0" w:type="dxa"/>
              <w:right w:w="20" w:type="dxa"/>
            </w:tcMar>
            <w:vAlign w:val="center"/>
            <w:hideMark/>
          </w:tcPr>
          <w:p w:rsidR="00000000" w:rsidRDefault="001F1FC8">
            <w:pPr>
              <w:rPr>
                <w:rFonts w:eastAsia="Times New Roman"/>
                <w:sz w:val="20"/>
                <w:szCs w:val="20"/>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1F1FC8">
            <w:pPr>
              <w:rPr>
                <w:rFonts w:eastAsia="Times New Roman"/>
                <w:sz w:val="20"/>
                <w:szCs w:val="20"/>
              </w:rPr>
            </w:pPr>
          </w:p>
        </w:tc>
      </w:tr>
      <w:tr w:rsidR="00000000">
        <w:trPr>
          <w:divId w:val="362101814"/>
        </w:trPr>
        <w:tc>
          <w:tcPr>
            <w:tcW w:w="0" w:type="auto"/>
            <w:gridSpan w:val="3"/>
            <w:tcMar>
              <w:top w:w="30" w:type="dxa"/>
              <w:left w:w="20" w:type="dxa"/>
              <w:bottom w:w="30" w:type="dxa"/>
              <w:right w:w="20" w:type="dxa"/>
            </w:tcMar>
            <w:hideMark/>
          </w:tcPr>
          <w:p w:rsidR="00000000" w:rsidRDefault="001F1FC8">
            <w:pPr>
              <w:rPr>
                <w:rFonts w:eastAsia="Times New Roman"/>
              </w:rPr>
            </w:pPr>
            <w:r>
              <w:rPr>
                <w:rFonts w:ascii="Arial" w:eastAsia="Times New Roman" w:hAnsi="Arial" w:cs="Arial"/>
                <w:color w:val="000000"/>
                <w:sz w:val="20"/>
                <w:szCs w:val="20"/>
              </w:rPr>
              <w:t>Fair value of plan assets at beginning of year</w:t>
            </w:r>
          </w:p>
        </w:tc>
        <w:tc>
          <w:tcPr>
            <w:tcW w:w="0" w:type="auto"/>
            <w:gridSpan w:val="2"/>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20"/>
                <w:szCs w:val="20"/>
              </w:rPr>
              <w:t>4,077</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3,827 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1F1FC8">
            <w:pPr>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20"/>
                <w:szCs w:val="20"/>
              </w:rPr>
              <w:t>1,062</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1,104 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r>
      <w:tr w:rsidR="00000000">
        <w:trPr>
          <w:divId w:val="362101814"/>
        </w:trPr>
        <w:tc>
          <w:tcPr>
            <w:tcW w:w="0" w:type="auto"/>
            <w:gridSpan w:val="3"/>
            <w:tcMar>
              <w:top w:w="30" w:type="dxa"/>
              <w:left w:w="155" w:type="dxa"/>
              <w:bottom w:w="30" w:type="dxa"/>
              <w:right w:w="20" w:type="dxa"/>
            </w:tcMar>
            <w:hideMark/>
          </w:tcPr>
          <w:p w:rsidR="00000000" w:rsidRDefault="001F1FC8">
            <w:pPr>
              <w:rPr>
                <w:rFonts w:eastAsia="Times New Roman"/>
              </w:rPr>
            </w:pPr>
            <w:r>
              <w:rPr>
                <w:rFonts w:ascii="Arial" w:eastAsia="Times New Roman" w:hAnsi="Arial" w:cs="Arial"/>
                <w:color w:val="000000"/>
                <w:sz w:val="20"/>
                <w:szCs w:val="20"/>
              </w:rPr>
              <w:t>Actual return on plan assets</w:t>
            </w:r>
          </w:p>
        </w:tc>
        <w:tc>
          <w:tcPr>
            <w:tcW w:w="0" w:type="auto"/>
            <w:gridSpan w:val="2"/>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20"/>
                <w:szCs w:val="20"/>
              </w:rPr>
              <w:t>505</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288 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1F1FC8">
            <w:pPr>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20"/>
                <w:szCs w:val="20"/>
              </w:rPr>
              <w:t>151</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83 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r>
      <w:tr w:rsidR="00000000">
        <w:trPr>
          <w:divId w:val="362101814"/>
        </w:trPr>
        <w:tc>
          <w:tcPr>
            <w:tcW w:w="0" w:type="auto"/>
            <w:gridSpan w:val="3"/>
            <w:tcMar>
              <w:top w:w="30" w:type="dxa"/>
              <w:left w:w="155" w:type="dxa"/>
              <w:bottom w:w="30" w:type="dxa"/>
              <w:right w:w="20" w:type="dxa"/>
            </w:tcMar>
            <w:hideMark/>
          </w:tcPr>
          <w:p w:rsidR="00000000" w:rsidRDefault="001F1FC8">
            <w:pPr>
              <w:rPr>
                <w:rFonts w:eastAsia="Times New Roman"/>
              </w:rPr>
            </w:pPr>
            <w:r>
              <w:rPr>
                <w:rFonts w:ascii="Arial" w:eastAsia="Times New Roman" w:hAnsi="Arial" w:cs="Arial"/>
                <w:color w:val="000000"/>
                <w:sz w:val="20"/>
                <w:szCs w:val="20"/>
              </w:rPr>
              <w:t>Employer contributions</w:t>
            </w:r>
          </w:p>
        </w:tc>
        <w:tc>
          <w:tcPr>
            <w:tcW w:w="0" w:type="auto"/>
            <w:gridSpan w:val="2"/>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20"/>
                <w:szCs w:val="20"/>
              </w:rPr>
              <w:t>120</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121 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1F1FC8">
            <w:pPr>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20"/>
                <w:szCs w:val="20"/>
              </w:rPr>
              <w:t>43</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27 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r>
      <w:tr w:rsidR="00000000">
        <w:trPr>
          <w:divId w:val="362101814"/>
        </w:trPr>
        <w:tc>
          <w:tcPr>
            <w:tcW w:w="0" w:type="auto"/>
            <w:gridSpan w:val="3"/>
            <w:tcMar>
              <w:top w:w="30" w:type="dxa"/>
              <w:left w:w="155" w:type="dxa"/>
              <w:bottom w:w="30" w:type="dxa"/>
              <w:right w:w="20" w:type="dxa"/>
            </w:tcMar>
            <w:hideMark/>
          </w:tcPr>
          <w:p w:rsidR="00000000" w:rsidRDefault="001F1FC8">
            <w:pPr>
              <w:rPr>
                <w:rFonts w:eastAsia="Times New Roman"/>
              </w:rPr>
            </w:pPr>
            <w:r>
              <w:rPr>
                <w:rFonts w:ascii="Arial" w:eastAsia="Times New Roman" w:hAnsi="Arial" w:cs="Arial"/>
                <w:color w:val="000000"/>
                <w:sz w:val="20"/>
                <w:szCs w:val="20"/>
              </w:rPr>
              <w:t>Participant contributions</w:t>
            </w:r>
          </w:p>
        </w:tc>
        <w:tc>
          <w:tcPr>
            <w:tcW w:w="0" w:type="auto"/>
            <w:gridSpan w:val="2"/>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20"/>
                <w:szCs w:val="20"/>
              </w:rPr>
              <w:t>28</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31 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1F1FC8">
            <w:pPr>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20"/>
                <w:szCs w:val="20"/>
              </w:rPr>
              <w:t>—</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w:t>
            </w:r>
            <w:r>
              <w:rPr>
                <w:rFonts w:ascii="Arial" w:eastAsia="Times New Roman" w:hAnsi="Arial" w:cs="Arial"/>
                <w:color w:val="000000"/>
                <w:sz w:val="20"/>
                <w:szCs w:val="20"/>
              </w:rPr>
              <w:t>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r>
      <w:tr w:rsidR="00000000">
        <w:trPr>
          <w:divId w:val="362101814"/>
        </w:trPr>
        <w:tc>
          <w:tcPr>
            <w:tcW w:w="0" w:type="auto"/>
            <w:gridSpan w:val="3"/>
            <w:tcMar>
              <w:top w:w="30" w:type="dxa"/>
              <w:left w:w="155" w:type="dxa"/>
              <w:bottom w:w="30" w:type="dxa"/>
              <w:right w:w="20" w:type="dxa"/>
            </w:tcMar>
            <w:hideMark/>
          </w:tcPr>
          <w:p w:rsidR="00000000" w:rsidRDefault="001F1FC8">
            <w:pPr>
              <w:rPr>
                <w:rFonts w:eastAsia="Times New Roman"/>
              </w:rPr>
            </w:pPr>
            <w:r>
              <w:rPr>
                <w:rFonts w:ascii="Arial" w:eastAsia="Times New Roman" w:hAnsi="Arial" w:cs="Arial"/>
                <w:color w:val="000000"/>
                <w:sz w:val="20"/>
                <w:szCs w:val="20"/>
              </w:rPr>
              <w:t>Benefits paid</w:t>
            </w:r>
          </w:p>
        </w:tc>
        <w:tc>
          <w:tcPr>
            <w:tcW w:w="0" w:type="auto"/>
            <w:gridSpan w:val="2"/>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20"/>
                <w:szCs w:val="20"/>
              </w:rPr>
              <w:t>(194)</w:t>
            </w:r>
          </w:p>
        </w:tc>
        <w:tc>
          <w:tcPr>
            <w:tcW w:w="0" w:type="auto"/>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(190)</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1F1FC8">
            <w:pPr>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20"/>
                <w:szCs w:val="20"/>
              </w:rPr>
              <w:t>(84)</w:t>
            </w:r>
          </w:p>
        </w:tc>
        <w:tc>
          <w:tcPr>
            <w:tcW w:w="0" w:type="auto"/>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(128)</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r>
      <w:tr w:rsidR="00000000">
        <w:trPr>
          <w:divId w:val="362101814"/>
        </w:trPr>
        <w:tc>
          <w:tcPr>
            <w:tcW w:w="0" w:type="auto"/>
            <w:gridSpan w:val="3"/>
            <w:tcMar>
              <w:top w:w="30" w:type="dxa"/>
              <w:left w:w="155" w:type="dxa"/>
              <w:bottom w:w="30" w:type="dxa"/>
              <w:right w:w="20" w:type="dxa"/>
            </w:tcMar>
            <w:hideMark/>
          </w:tcPr>
          <w:p w:rsidR="00000000" w:rsidRDefault="001F1FC8">
            <w:pPr>
              <w:rPr>
                <w:rFonts w:eastAsia="Times New Roman"/>
              </w:rPr>
            </w:pPr>
            <w:r>
              <w:rPr>
                <w:rFonts w:ascii="Arial" w:eastAsia="Times New Roman" w:hAnsi="Arial" w:cs="Arial"/>
                <w:color w:val="000000"/>
                <w:sz w:val="20"/>
                <w:szCs w:val="20"/>
              </w:rPr>
              <w:t>Foreign currency exchange rate changes</w:t>
            </w:r>
          </w:p>
        </w:tc>
        <w:tc>
          <w:tcPr>
            <w:tcW w:w="0" w:type="auto"/>
            <w:gridSpan w:val="2"/>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20"/>
                <w:szCs w:val="20"/>
              </w:rPr>
              <w:t>—</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1F1FC8">
            <w:pPr>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20"/>
                <w:szCs w:val="20"/>
              </w:rPr>
              <w:t>(8)</w:t>
            </w:r>
          </w:p>
        </w:tc>
        <w:tc>
          <w:tcPr>
            <w:tcW w:w="0" w:type="auto"/>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(18)</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r>
      <w:tr w:rsidR="00000000">
        <w:trPr>
          <w:divId w:val="362101814"/>
        </w:trPr>
        <w:tc>
          <w:tcPr>
            <w:tcW w:w="0" w:type="auto"/>
            <w:gridSpan w:val="3"/>
            <w:tcMar>
              <w:top w:w="30" w:type="dxa"/>
              <w:left w:w="155" w:type="dxa"/>
              <w:bottom w:w="30" w:type="dxa"/>
              <w:right w:w="20" w:type="dxa"/>
            </w:tcMar>
            <w:hideMark/>
          </w:tcPr>
          <w:p w:rsidR="00000000" w:rsidRDefault="001F1FC8">
            <w:pPr>
              <w:rPr>
                <w:rFonts w:eastAsia="Times New Roman"/>
              </w:rPr>
            </w:pPr>
            <w:r>
              <w:rPr>
                <w:rFonts w:ascii="Arial" w:eastAsia="Times New Roman" w:hAnsi="Arial" w:cs="Arial"/>
                <w:color w:val="000000"/>
                <w:sz w:val="20"/>
                <w:szCs w:val="20"/>
              </w:rPr>
              <w:t>Other</w:t>
            </w:r>
          </w:p>
        </w:tc>
        <w:tc>
          <w:tcPr>
            <w:tcW w:w="0" w:type="auto"/>
            <w:gridSpan w:val="2"/>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20"/>
                <w:szCs w:val="20"/>
              </w:rPr>
              <w:t>—</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1F1FC8">
            <w:pPr>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20"/>
                <w:szCs w:val="20"/>
              </w:rPr>
              <w:t>(4)</w:t>
            </w:r>
          </w:p>
        </w:tc>
        <w:tc>
          <w:tcPr>
            <w:tcW w:w="0" w:type="auto"/>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(6)</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r>
      <w:tr w:rsidR="00000000">
        <w:trPr>
          <w:divId w:val="362101814"/>
        </w:trPr>
        <w:tc>
          <w:tcPr>
            <w:tcW w:w="0" w:type="auto"/>
            <w:gridSpan w:val="3"/>
            <w:tcBorders>
              <w:top w:val="single" w:sz="4" w:space="0" w:color="000000"/>
            </w:tcBorders>
            <w:tcMar>
              <w:top w:w="30" w:type="dxa"/>
              <w:left w:w="20" w:type="dxa"/>
              <w:bottom w:w="30" w:type="dxa"/>
              <w:right w:w="20" w:type="dxa"/>
            </w:tcMar>
            <w:hideMark/>
          </w:tcPr>
          <w:p w:rsidR="00000000" w:rsidRDefault="001F1FC8">
            <w:pPr>
              <w:divId w:val="312418735"/>
              <w:rPr>
                <w:rFonts w:eastAsia="Times New Roman"/>
              </w:rPr>
            </w:pPr>
            <w:r>
              <w:rPr>
                <w:rFonts w:ascii="Arial" w:eastAsia="Times New Roman" w:hAnsi="Arial" w:cs="Arial"/>
                <w:color w:val="000000"/>
                <w:sz w:val="20"/>
                <w:szCs w:val="20"/>
              </w:rPr>
              <w:t>Fair value of plan assets at end of yea</w:t>
            </w:r>
            <w:r>
              <w:rPr>
                <w:rFonts w:ascii="Arial" w:eastAsia="Times New Roman" w:hAnsi="Arial" w:cs="Arial"/>
                <w:color w:val="000000"/>
                <w:sz w:val="20"/>
                <w:szCs w:val="20"/>
              </w:rPr>
              <w:t>r</w:t>
            </w:r>
            <w:r>
              <w:rPr>
                <w:rFonts w:ascii="Arial" w:eastAsia="Times New Roman" w:hAnsi="Arial" w:cs="Arial"/>
                <w:color w:val="000000"/>
                <w:sz w:val="13"/>
                <w:szCs w:val="13"/>
              </w:rPr>
              <w:t>3</w:t>
            </w:r>
          </w:p>
        </w:tc>
        <w:tc>
          <w:tcPr>
            <w:tcW w:w="0" w:type="auto"/>
            <w:gridSpan w:val="2"/>
            <w:tcBorders>
              <w:top w:val="single" w:sz="4" w:space="0" w:color="000000"/>
            </w:tcBorders>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20"/>
                <w:szCs w:val="20"/>
              </w:rPr>
              <w:t>4,536</w:t>
            </w:r>
            <w:r>
              <w:rPr>
                <w:rFonts w:ascii="Arial" w:eastAsia="Times New Roman" w:hAnsi="Arial" w:cs="Arial"/>
                <w:color w:val="000000"/>
                <w:sz w:val="20"/>
                <w:szCs w:val="20"/>
              </w:rPr>
              <w:t> </w:t>
            </w:r>
          </w:p>
        </w:tc>
        <w:tc>
          <w:tcPr>
            <w:tcW w:w="0" w:type="auto"/>
            <w:tcBorders>
              <w:top w:val="single" w:sz="4" w:space="0" w:color="000000"/>
            </w:tcBorders>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4,077 </w:t>
            </w:r>
          </w:p>
        </w:tc>
        <w:tc>
          <w:tcPr>
            <w:tcW w:w="0" w:type="auto"/>
            <w:tcBorders>
              <w:top w:val="single" w:sz="4" w:space="0" w:color="000000"/>
            </w:tcBorders>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1F1FC8">
            <w:pPr>
              <w:jc w:val="right"/>
              <w:rPr>
                <w:rFonts w:eastAsia="Times New Roman"/>
                <w:sz w:val="20"/>
                <w:szCs w:val="20"/>
              </w:rPr>
            </w:pPr>
          </w:p>
        </w:tc>
        <w:tc>
          <w:tcPr>
            <w:tcW w:w="0" w:type="auto"/>
            <w:gridSpan w:val="2"/>
            <w:tcBorders>
              <w:top w:val="single" w:sz="4" w:space="0" w:color="000000"/>
            </w:tcBorders>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20"/>
                <w:szCs w:val="20"/>
              </w:rPr>
              <w:t>1,160</w:t>
            </w:r>
            <w:r>
              <w:rPr>
                <w:rFonts w:ascii="Arial" w:eastAsia="Times New Roman" w:hAnsi="Arial" w:cs="Arial"/>
                <w:color w:val="000000"/>
                <w:sz w:val="20"/>
                <w:szCs w:val="20"/>
              </w:rPr>
              <w:t> </w:t>
            </w:r>
          </w:p>
        </w:tc>
        <w:tc>
          <w:tcPr>
            <w:tcW w:w="0" w:type="auto"/>
            <w:tcBorders>
              <w:top w:val="single" w:sz="4" w:space="0" w:color="000000"/>
            </w:tcBorders>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1,062 </w:t>
            </w:r>
          </w:p>
        </w:tc>
        <w:tc>
          <w:tcPr>
            <w:tcW w:w="0" w:type="auto"/>
            <w:tcBorders>
              <w:top w:val="single" w:sz="4" w:space="0" w:color="000000"/>
            </w:tcBorders>
            <w:tcMar>
              <w:top w:w="30" w:type="dxa"/>
              <w:left w:w="0" w:type="dxa"/>
              <w:bottom w:w="30" w:type="dxa"/>
              <w:right w:w="20" w:type="dxa"/>
            </w:tcMar>
            <w:vAlign w:val="bottom"/>
            <w:hideMark/>
          </w:tcPr>
          <w:p w:rsidR="00000000" w:rsidRDefault="001F1FC8">
            <w:pPr>
              <w:jc w:val="right"/>
              <w:rPr>
                <w:rFonts w:eastAsia="Times New Roman"/>
              </w:rPr>
            </w:pPr>
          </w:p>
        </w:tc>
      </w:tr>
      <w:tr w:rsidR="00000000">
        <w:trPr>
          <w:divId w:val="362101814"/>
        </w:trPr>
        <w:tc>
          <w:tcPr>
            <w:tcW w:w="0" w:type="auto"/>
            <w:gridSpan w:val="3"/>
            <w:tcBorders>
              <w:top w:val="single" w:sz="4" w:space="0" w:color="000000"/>
            </w:tcBorders>
            <w:tcMar>
              <w:top w:w="30" w:type="dxa"/>
              <w:left w:w="20" w:type="dxa"/>
              <w:bottom w:w="30" w:type="dxa"/>
              <w:right w:w="20" w:type="dxa"/>
            </w:tcMar>
            <w:hideMark/>
          </w:tcPr>
          <w:p w:rsidR="00000000" w:rsidRDefault="001F1FC8">
            <w:pPr>
              <w:rPr>
                <w:rFonts w:eastAsia="Times New Roman"/>
              </w:rPr>
            </w:pPr>
            <w:r>
              <w:rPr>
                <w:rFonts w:ascii="Arial" w:eastAsia="Times New Roman" w:hAnsi="Arial" w:cs="Arial"/>
                <w:color w:val="000000"/>
                <w:sz w:val="20"/>
                <w:szCs w:val="20"/>
              </w:rPr>
              <w:t>Underfunded status at end of year</w:t>
            </w:r>
          </w:p>
        </w:tc>
        <w:tc>
          <w:tcPr>
            <w:tcW w:w="0" w:type="auto"/>
            <w:gridSpan w:val="2"/>
            <w:tcBorders>
              <w:top w:val="single" w:sz="4" w:space="0" w:color="000000"/>
            </w:tcBorders>
            <w:shd w:val="clear" w:color="auto" w:fill="D9D9D9"/>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b/>
                <w:bCs/>
                <w:color w:val="000000"/>
                <w:sz w:val="20"/>
                <w:szCs w:val="20"/>
              </w:rPr>
              <w:t>(64)</w:t>
            </w:r>
          </w:p>
        </w:tc>
        <w:tc>
          <w:tcPr>
            <w:tcW w:w="0" w:type="auto"/>
            <w:tcBorders>
              <w:top w:val="single" w:sz="4" w:space="0" w:color="000000"/>
            </w:tcBorders>
            <w:shd w:val="clear" w:color="auto" w:fill="D9D9D9"/>
            <w:tcMar>
              <w:top w:w="30" w:type="dxa"/>
              <w:left w:w="0" w:type="dxa"/>
              <w:bottom w:w="30" w:type="dxa"/>
              <w:right w:w="20" w:type="dxa"/>
            </w:tcMar>
            <w:hideMark/>
          </w:tcPr>
          <w:p w:rsidR="00000000" w:rsidRDefault="001F1FC8">
            <w:pPr>
              <w:jc w:val="right"/>
              <w:rPr>
                <w:rFonts w:eastAsia="Times New Roman"/>
              </w:rPr>
            </w:pPr>
          </w:p>
        </w:tc>
        <w:tc>
          <w:tcPr>
            <w:tcW w:w="0" w:type="auto"/>
            <w:gridSpan w:val="2"/>
            <w:tcBorders>
              <w:top w:val="single" w:sz="4" w:space="0" w:color="000000"/>
            </w:tcBorders>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color w:val="000000"/>
                <w:sz w:val="20"/>
                <w:szCs w:val="20"/>
              </w:rPr>
              <w:t>(778)</w:t>
            </w:r>
          </w:p>
        </w:tc>
        <w:tc>
          <w:tcPr>
            <w:tcW w:w="0" w:type="auto"/>
            <w:tcBorders>
              <w:top w:val="single" w:sz="4" w:space="0" w:color="000000"/>
            </w:tcBorders>
            <w:tcMar>
              <w:top w:w="30" w:type="dxa"/>
              <w:left w:w="0" w:type="dxa"/>
              <w:bottom w:w="30" w:type="dxa"/>
              <w:right w:w="20" w:type="dxa"/>
            </w:tcMar>
            <w:hideMark/>
          </w:tcPr>
          <w:p w:rsidR="00000000" w:rsidRDefault="001F1FC8">
            <w:pPr>
              <w:jc w:val="right"/>
              <w:rPr>
                <w:rFonts w:eastAsia="Times New Roman"/>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1F1FC8">
            <w:pPr>
              <w:jc w:val="right"/>
              <w:rPr>
                <w:rFonts w:eastAsia="Times New Roman"/>
                <w:sz w:val="20"/>
                <w:szCs w:val="20"/>
              </w:rPr>
            </w:pPr>
          </w:p>
        </w:tc>
        <w:tc>
          <w:tcPr>
            <w:tcW w:w="0" w:type="auto"/>
            <w:gridSpan w:val="2"/>
            <w:tcBorders>
              <w:top w:val="single" w:sz="4" w:space="0" w:color="000000"/>
            </w:tcBorders>
            <w:shd w:val="clear" w:color="auto" w:fill="D9D9D9"/>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b/>
                <w:bCs/>
                <w:color w:val="000000"/>
                <w:sz w:val="20"/>
                <w:szCs w:val="20"/>
              </w:rPr>
              <w:t>(24)</w:t>
            </w:r>
          </w:p>
        </w:tc>
        <w:tc>
          <w:tcPr>
            <w:tcW w:w="0" w:type="auto"/>
            <w:tcBorders>
              <w:top w:val="single" w:sz="4" w:space="0" w:color="000000"/>
            </w:tcBorders>
            <w:shd w:val="clear" w:color="auto" w:fill="D9D9D9"/>
            <w:tcMar>
              <w:top w:w="30" w:type="dxa"/>
              <w:left w:w="0" w:type="dxa"/>
              <w:bottom w:w="30" w:type="dxa"/>
              <w:right w:w="20" w:type="dxa"/>
            </w:tcMar>
            <w:hideMark/>
          </w:tcPr>
          <w:p w:rsidR="00000000" w:rsidRDefault="001F1FC8">
            <w:pPr>
              <w:jc w:val="right"/>
              <w:rPr>
                <w:rFonts w:eastAsia="Times New Roman"/>
              </w:rPr>
            </w:pPr>
          </w:p>
        </w:tc>
        <w:tc>
          <w:tcPr>
            <w:tcW w:w="0" w:type="auto"/>
            <w:gridSpan w:val="2"/>
            <w:tcBorders>
              <w:top w:val="single" w:sz="4" w:space="0" w:color="000000"/>
            </w:tcBorders>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color w:val="000000"/>
                <w:sz w:val="20"/>
                <w:szCs w:val="20"/>
              </w:rPr>
              <w:t>(181)</w:t>
            </w:r>
          </w:p>
        </w:tc>
        <w:tc>
          <w:tcPr>
            <w:tcW w:w="0" w:type="auto"/>
            <w:tcBorders>
              <w:top w:val="single" w:sz="4" w:space="0" w:color="000000"/>
            </w:tcBorders>
            <w:tcMar>
              <w:top w:w="30" w:type="dxa"/>
              <w:left w:w="0" w:type="dxa"/>
              <w:bottom w:w="30" w:type="dxa"/>
              <w:right w:w="20" w:type="dxa"/>
            </w:tcMar>
            <w:hideMark/>
          </w:tcPr>
          <w:p w:rsidR="00000000" w:rsidRDefault="001F1FC8">
            <w:pPr>
              <w:jc w:val="right"/>
              <w:rPr>
                <w:rFonts w:eastAsia="Times New Roman"/>
              </w:rPr>
            </w:pPr>
          </w:p>
        </w:tc>
      </w:tr>
      <w:tr w:rsidR="00000000">
        <w:trPr>
          <w:divId w:val="362101814"/>
        </w:trPr>
        <w:tc>
          <w:tcPr>
            <w:tcW w:w="0" w:type="auto"/>
            <w:gridSpan w:val="3"/>
            <w:tcBorders>
              <w:top w:val="single" w:sz="8" w:space="0" w:color="000000"/>
            </w:tcBorders>
            <w:tcMar>
              <w:top w:w="30" w:type="dxa"/>
              <w:left w:w="20" w:type="dxa"/>
              <w:bottom w:w="30" w:type="dxa"/>
              <w:right w:w="20" w:type="dxa"/>
            </w:tcMar>
            <w:hideMark/>
          </w:tcPr>
          <w:p w:rsidR="00000000" w:rsidRDefault="001F1FC8">
            <w:pPr>
              <w:rPr>
                <w:rFonts w:eastAsia="Times New Roman"/>
              </w:rPr>
            </w:pPr>
            <w:r>
              <w:rPr>
                <w:rFonts w:ascii="Arial" w:eastAsia="Times New Roman" w:hAnsi="Arial" w:cs="Arial"/>
                <w:color w:val="000000"/>
                <w:sz w:val="20"/>
                <w:szCs w:val="20"/>
              </w:rPr>
              <w:t>Presented as follows:</w:t>
            </w:r>
          </w:p>
        </w:tc>
        <w:tc>
          <w:tcPr>
            <w:tcW w:w="0" w:type="auto"/>
            <w:gridSpan w:val="3"/>
            <w:tcBorders>
              <w:top w:val="single" w:sz="8" w:space="0" w:color="000000"/>
            </w:tcBorders>
            <w:shd w:val="clear" w:color="auto" w:fill="D9D9D9"/>
            <w:tcMar>
              <w:top w:w="0" w:type="dxa"/>
              <w:left w:w="20" w:type="dxa"/>
              <w:bottom w:w="0" w:type="dxa"/>
              <w:right w:w="20" w:type="dxa"/>
            </w:tcMar>
            <w:vAlign w:val="center"/>
            <w:hideMark/>
          </w:tcPr>
          <w:p w:rsidR="00000000" w:rsidRDefault="001F1FC8">
            <w:pP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1F1FC8">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1F1FC8">
            <w:pPr>
              <w:rPr>
                <w:rFonts w:eastAsia="Times New Roman"/>
                <w:sz w:val="20"/>
                <w:szCs w:val="20"/>
              </w:rPr>
            </w:pPr>
          </w:p>
        </w:tc>
        <w:tc>
          <w:tcPr>
            <w:tcW w:w="0" w:type="auto"/>
            <w:gridSpan w:val="3"/>
            <w:tcBorders>
              <w:top w:val="single" w:sz="8" w:space="0" w:color="000000"/>
            </w:tcBorders>
            <w:shd w:val="clear" w:color="auto" w:fill="D9D9D9"/>
            <w:tcMar>
              <w:top w:w="0" w:type="dxa"/>
              <w:left w:w="20" w:type="dxa"/>
              <w:bottom w:w="0" w:type="dxa"/>
              <w:right w:w="20" w:type="dxa"/>
            </w:tcMar>
            <w:vAlign w:val="center"/>
            <w:hideMark/>
          </w:tcPr>
          <w:p w:rsidR="00000000" w:rsidRDefault="001F1FC8">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1F1FC8">
            <w:pPr>
              <w:rPr>
                <w:rFonts w:eastAsia="Times New Roman"/>
                <w:sz w:val="20"/>
                <w:szCs w:val="20"/>
              </w:rPr>
            </w:pPr>
          </w:p>
        </w:tc>
      </w:tr>
      <w:tr w:rsidR="00000000">
        <w:trPr>
          <w:divId w:val="362101814"/>
        </w:trPr>
        <w:tc>
          <w:tcPr>
            <w:tcW w:w="0" w:type="auto"/>
            <w:gridSpan w:val="3"/>
            <w:tcMar>
              <w:top w:w="30" w:type="dxa"/>
              <w:left w:w="155" w:type="dxa"/>
              <w:bottom w:w="30" w:type="dxa"/>
              <w:right w:w="20" w:type="dxa"/>
            </w:tcMar>
            <w:hideMark/>
          </w:tcPr>
          <w:p w:rsidR="00000000" w:rsidRDefault="001F1FC8">
            <w:pPr>
              <w:rPr>
                <w:rFonts w:eastAsia="Times New Roman"/>
              </w:rPr>
            </w:pPr>
            <w:r>
              <w:rPr>
                <w:rFonts w:ascii="Arial" w:eastAsia="Times New Roman" w:hAnsi="Arial" w:cs="Arial"/>
                <w:color w:val="000000"/>
                <w:sz w:val="20"/>
                <w:szCs w:val="20"/>
              </w:rPr>
              <w:t>Deferred amounts and other assets</w:t>
            </w:r>
          </w:p>
        </w:tc>
        <w:tc>
          <w:tcPr>
            <w:tcW w:w="0" w:type="auto"/>
            <w:gridSpan w:val="2"/>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20"/>
                <w:szCs w:val="20"/>
              </w:rPr>
              <w:t>250</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35 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1F1FC8">
            <w:pPr>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20"/>
                <w:szCs w:val="20"/>
              </w:rPr>
              <w:t>98</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r>
      <w:tr w:rsidR="00000000">
        <w:trPr>
          <w:divId w:val="362101814"/>
        </w:trPr>
        <w:tc>
          <w:tcPr>
            <w:tcW w:w="0" w:type="auto"/>
            <w:gridSpan w:val="3"/>
            <w:tcMar>
              <w:top w:w="30" w:type="dxa"/>
              <w:left w:w="155" w:type="dxa"/>
              <w:bottom w:w="30" w:type="dxa"/>
              <w:right w:w="20" w:type="dxa"/>
            </w:tcMar>
            <w:hideMark/>
          </w:tcPr>
          <w:p w:rsidR="00000000" w:rsidRDefault="001F1FC8">
            <w:pPr>
              <w:rPr>
                <w:rFonts w:eastAsia="Times New Roman"/>
              </w:rPr>
            </w:pPr>
            <w:r>
              <w:rPr>
                <w:rFonts w:ascii="Arial" w:eastAsia="Times New Roman" w:hAnsi="Arial" w:cs="Arial"/>
                <w:color w:val="000000"/>
                <w:sz w:val="20"/>
                <w:szCs w:val="20"/>
              </w:rPr>
              <w:t>Accounts payable and other</w:t>
            </w:r>
          </w:p>
        </w:tc>
        <w:tc>
          <w:tcPr>
            <w:tcW w:w="0" w:type="auto"/>
            <w:gridSpan w:val="2"/>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20"/>
                <w:szCs w:val="20"/>
              </w:rPr>
              <w:t>(9)</w:t>
            </w:r>
          </w:p>
        </w:tc>
        <w:tc>
          <w:tcPr>
            <w:tcW w:w="0" w:type="auto"/>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(9)</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1F1FC8">
            <w:pPr>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20"/>
                <w:szCs w:val="20"/>
              </w:rPr>
              <w:t>(4)</w:t>
            </w:r>
          </w:p>
        </w:tc>
        <w:tc>
          <w:tcPr>
            <w:tcW w:w="0" w:type="auto"/>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(3)</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r>
      <w:tr w:rsidR="00000000">
        <w:trPr>
          <w:divId w:val="362101814"/>
        </w:trPr>
        <w:tc>
          <w:tcPr>
            <w:tcW w:w="0" w:type="auto"/>
            <w:gridSpan w:val="3"/>
            <w:tcMar>
              <w:top w:w="30" w:type="dxa"/>
              <w:left w:w="155" w:type="dxa"/>
              <w:bottom w:w="30" w:type="dxa"/>
              <w:right w:w="20" w:type="dxa"/>
            </w:tcMar>
            <w:hideMark/>
          </w:tcPr>
          <w:p w:rsidR="00000000" w:rsidRDefault="001F1FC8">
            <w:pPr>
              <w:rPr>
                <w:rFonts w:eastAsia="Times New Roman"/>
              </w:rPr>
            </w:pPr>
            <w:r>
              <w:rPr>
                <w:rFonts w:ascii="Arial" w:eastAsia="Times New Roman" w:hAnsi="Arial" w:cs="Arial"/>
                <w:color w:val="000000"/>
                <w:sz w:val="20"/>
                <w:szCs w:val="20"/>
              </w:rPr>
              <w:t xml:space="preserve">Other long-term liabilities </w:t>
            </w:r>
          </w:p>
        </w:tc>
        <w:tc>
          <w:tcPr>
            <w:tcW w:w="0" w:type="auto"/>
            <w:gridSpan w:val="2"/>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20"/>
                <w:szCs w:val="20"/>
              </w:rPr>
              <w:t>(305)</w:t>
            </w:r>
          </w:p>
        </w:tc>
        <w:tc>
          <w:tcPr>
            <w:tcW w:w="0" w:type="auto"/>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(804)</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1F1FC8">
            <w:pPr>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20"/>
                <w:szCs w:val="20"/>
              </w:rPr>
              <w:t>(118)</w:t>
            </w:r>
          </w:p>
        </w:tc>
        <w:tc>
          <w:tcPr>
            <w:tcW w:w="0" w:type="auto"/>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(178)</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r>
      <w:tr w:rsidR="00000000">
        <w:trPr>
          <w:divId w:val="362101814"/>
        </w:trPr>
        <w:tc>
          <w:tcPr>
            <w:tcW w:w="0" w:type="auto"/>
            <w:gridSpan w:val="3"/>
            <w:tcBorders>
              <w:top w:val="single" w:sz="4" w:space="0" w:color="000000"/>
              <w:bottom w:val="single" w:sz="8" w:space="0" w:color="000000"/>
            </w:tcBorders>
            <w:tcMar>
              <w:top w:w="30" w:type="dxa"/>
              <w:left w:w="20" w:type="dxa"/>
              <w:bottom w:w="30" w:type="dxa"/>
              <w:right w:w="20" w:type="dxa"/>
            </w:tcMar>
            <w:hideMark/>
          </w:tcPr>
          <w:p w:rsidR="00000000" w:rsidRDefault="001F1FC8">
            <w:pPr>
              <w:rPr>
                <w:rFonts w:eastAsia="Times New Roman"/>
              </w:rPr>
            </w:pPr>
            <w:r>
              <w:rPr>
                <w:rFonts w:ascii="Arial" w:eastAsia="Times New Roman" w:hAnsi="Arial" w:cs="Arial"/>
                <w:color w:val="000000"/>
                <w:sz w:val="2"/>
                <w:szCs w:val="2"/>
              </w:rPr>
              <w:t> </w:t>
            </w:r>
          </w:p>
        </w:tc>
        <w:tc>
          <w:tcPr>
            <w:tcW w:w="0" w:type="auto"/>
            <w:gridSpan w:val="2"/>
            <w:tcBorders>
              <w:top w:val="single" w:sz="4" w:space="0" w:color="000000"/>
              <w:bottom w:val="single" w:sz="8" w:space="0" w:color="000000"/>
            </w:tcBorders>
            <w:shd w:val="clear" w:color="auto" w:fill="D9D9D9"/>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b/>
                <w:bCs/>
                <w:color w:val="000000"/>
                <w:sz w:val="20"/>
                <w:szCs w:val="20"/>
              </w:rPr>
              <w:t>(64)</w:t>
            </w:r>
          </w:p>
        </w:tc>
        <w:tc>
          <w:tcPr>
            <w:tcW w:w="0" w:type="auto"/>
            <w:tcBorders>
              <w:top w:val="single" w:sz="4" w:space="0" w:color="000000"/>
              <w:bottom w:val="single" w:sz="8" w:space="0" w:color="000000"/>
            </w:tcBorders>
            <w:shd w:val="clear" w:color="auto" w:fill="D9D9D9"/>
            <w:tcMar>
              <w:top w:w="30" w:type="dxa"/>
              <w:left w:w="0" w:type="dxa"/>
              <w:bottom w:w="30" w:type="dxa"/>
              <w:right w:w="20" w:type="dxa"/>
            </w:tcMar>
            <w:hideMark/>
          </w:tcPr>
          <w:p w:rsidR="00000000" w:rsidRDefault="001F1FC8">
            <w:pPr>
              <w:jc w:val="right"/>
              <w:rPr>
                <w:rFonts w:eastAsia="Times New Roman"/>
              </w:rPr>
            </w:pPr>
          </w:p>
        </w:tc>
        <w:tc>
          <w:tcPr>
            <w:tcW w:w="0" w:type="auto"/>
            <w:gridSpan w:val="2"/>
            <w:tcBorders>
              <w:top w:val="single" w:sz="4" w:space="0" w:color="000000"/>
              <w:bottom w:val="single" w:sz="8" w:space="0" w:color="000000"/>
            </w:tcBorders>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color w:val="000000"/>
                <w:sz w:val="20"/>
                <w:szCs w:val="20"/>
              </w:rPr>
              <w:t>(778)</w:t>
            </w:r>
          </w:p>
        </w:tc>
        <w:tc>
          <w:tcPr>
            <w:tcW w:w="0" w:type="auto"/>
            <w:tcBorders>
              <w:top w:val="single" w:sz="4" w:space="0" w:color="000000"/>
              <w:bottom w:val="single" w:sz="8" w:space="0" w:color="000000"/>
            </w:tcBorders>
            <w:tcMar>
              <w:top w:w="30" w:type="dxa"/>
              <w:left w:w="0" w:type="dxa"/>
              <w:bottom w:w="30" w:type="dxa"/>
              <w:right w:w="20" w:type="dxa"/>
            </w:tcMar>
            <w:hideMark/>
          </w:tcPr>
          <w:p w:rsidR="00000000" w:rsidRDefault="001F1FC8">
            <w:pPr>
              <w:jc w:val="right"/>
              <w:rPr>
                <w:rFonts w:eastAsia="Times New Roman"/>
              </w:rPr>
            </w:pPr>
          </w:p>
        </w:tc>
        <w:tc>
          <w:tcPr>
            <w:tcW w:w="0" w:type="auto"/>
            <w:gridSpan w:val="3"/>
            <w:tcBorders>
              <w:top w:val="single" w:sz="4" w:space="0" w:color="000000"/>
              <w:bottom w:val="single" w:sz="8" w:space="0" w:color="000000"/>
            </w:tcBorders>
            <w:tcMar>
              <w:top w:w="0" w:type="dxa"/>
              <w:left w:w="20" w:type="dxa"/>
              <w:bottom w:w="0" w:type="dxa"/>
              <w:right w:w="20" w:type="dxa"/>
            </w:tcMar>
            <w:vAlign w:val="center"/>
            <w:hideMark/>
          </w:tcPr>
          <w:p w:rsidR="00000000" w:rsidRDefault="001F1FC8">
            <w:pPr>
              <w:jc w:val="right"/>
              <w:rPr>
                <w:rFonts w:eastAsia="Times New Roman"/>
                <w:sz w:val="20"/>
                <w:szCs w:val="20"/>
              </w:rPr>
            </w:pPr>
          </w:p>
        </w:tc>
        <w:tc>
          <w:tcPr>
            <w:tcW w:w="0" w:type="auto"/>
            <w:gridSpan w:val="2"/>
            <w:tcBorders>
              <w:top w:val="single" w:sz="4" w:space="0" w:color="000000"/>
              <w:bottom w:val="single" w:sz="8" w:space="0" w:color="000000"/>
            </w:tcBorders>
            <w:shd w:val="clear" w:color="auto" w:fill="D9D9D9"/>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b/>
                <w:bCs/>
                <w:color w:val="000000"/>
                <w:sz w:val="20"/>
                <w:szCs w:val="20"/>
              </w:rPr>
              <w:t>(24)</w:t>
            </w:r>
          </w:p>
        </w:tc>
        <w:tc>
          <w:tcPr>
            <w:tcW w:w="0" w:type="auto"/>
            <w:tcBorders>
              <w:top w:val="single" w:sz="4" w:space="0" w:color="000000"/>
              <w:bottom w:val="single" w:sz="8" w:space="0" w:color="000000"/>
            </w:tcBorders>
            <w:shd w:val="clear" w:color="auto" w:fill="D9D9D9"/>
            <w:tcMar>
              <w:top w:w="30" w:type="dxa"/>
              <w:left w:w="0" w:type="dxa"/>
              <w:bottom w:w="30" w:type="dxa"/>
              <w:right w:w="20" w:type="dxa"/>
            </w:tcMar>
            <w:hideMark/>
          </w:tcPr>
          <w:p w:rsidR="00000000" w:rsidRDefault="001F1FC8">
            <w:pPr>
              <w:jc w:val="right"/>
              <w:rPr>
                <w:rFonts w:eastAsia="Times New Roman"/>
              </w:rPr>
            </w:pPr>
          </w:p>
        </w:tc>
        <w:tc>
          <w:tcPr>
            <w:tcW w:w="0" w:type="auto"/>
            <w:gridSpan w:val="2"/>
            <w:tcBorders>
              <w:top w:val="single" w:sz="4" w:space="0" w:color="000000"/>
              <w:bottom w:val="single" w:sz="8" w:space="0" w:color="000000"/>
            </w:tcBorders>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color w:val="000000"/>
                <w:sz w:val="20"/>
                <w:szCs w:val="20"/>
              </w:rPr>
              <w:t>(181)</w:t>
            </w:r>
          </w:p>
        </w:tc>
        <w:tc>
          <w:tcPr>
            <w:tcW w:w="0" w:type="auto"/>
            <w:tcBorders>
              <w:top w:val="single" w:sz="4" w:space="0" w:color="000000"/>
              <w:bottom w:val="single" w:sz="8" w:space="0" w:color="000000"/>
            </w:tcBorders>
            <w:tcMar>
              <w:top w:w="30" w:type="dxa"/>
              <w:left w:w="0" w:type="dxa"/>
              <w:bottom w:w="30" w:type="dxa"/>
              <w:right w:w="20" w:type="dxa"/>
            </w:tcMar>
            <w:hideMark/>
          </w:tcPr>
          <w:p w:rsidR="00000000" w:rsidRDefault="001F1FC8">
            <w:pPr>
              <w:jc w:val="right"/>
              <w:rPr>
                <w:rFonts w:eastAsia="Times New Roman"/>
              </w:rPr>
            </w:pPr>
          </w:p>
        </w:tc>
      </w:tr>
    </w:tbl>
    <w:p w:rsidR="00000000" w:rsidRDefault="001F1FC8">
      <w:pPr>
        <w:ind w:hanging="180"/>
        <w:divId w:val="125465851"/>
        <w:rPr>
          <w:rFonts w:eastAsia="Times New Roman"/>
        </w:rPr>
      </w:pPr>
      <w:r>
        <w:rPr>
          <w:rFonts w:ascii="Arial" w:eastAsia="Times New Roman" w:hAnsi="Arial" w:cs="Arial"/>
          <w:i/>
          <w:iCs/>
          <w:color w:val="000000"/>
          <w:sz w:val="16"/>
          <w:szCs w:val="16"/>
          <w:shd w:val="clear" w:color="auto" w:fill="FFFFFF"/>
        </w:rPr>
        <w:t>1</w:t>
      </w:r>
      <w:r>
        <w:rPr>
          <w:rFonts w:ascii="Arial" w:eastAsia="Times New Roman" w:hAnsi="Arial" w:cs="Arial"/>
          <w:i/>
          <w:iCs/>
          <w:color w:val="000000"/>
          <w:sz w:val="16"/>
          <w:szCs w:val="16"/>
        </w:rPr>
        <w:t>Primarily due to increase in the discount rate used to measure the benefit obligations (2020 - primarily due to decrease in the discount rate used to measure the benefit obligations).</w:t>
      </w:r>
      <w:r>
        <w:rPr>
          <w:rFonts w:ascii="Arial" w:eastAsia="Times New Roman" w:hAnsi="Arial" w:cs="Arial"/>
          <w:i/>
          <w:iCs/>
          <w:color w:val="000000"/>
          <w:sz w:val="16"/>
          <w:szCs w:val="16"/>
          <w:shd w:val="clear" w:color="auto" w:fill="FFFFFF"/>
        </w:rPr>
        <w:t>                            </w:t>
      </w:r>
    </w:p>
    <w:p w:rsidR="00000000" w:rsidRDefault="001F1FC8">
      <w:pPr>
        <w:ind w:hanging="180"/>
        <w:divId w:val="1995329466"/>
        <w:rPr>
          <w:rFonts w:eastAsia="Times New Roman"/>
        </w:rPr>
      </w:pPr>
      <w:r>
        <w:rPr>
          <w:rFonts w:ascii="Arial" w:eastAsia="Times New Roman" w:hAnsi="Arial" w:cs="Arial"/>
          <w:i/>
          <w:iCs/>
          <w:color w:val="000000"/>
          <w:sz w:val="16"/>
          <w:szCs w:val="16"/>
        </w:rPr>
        <w:t xml:space="preserve">2The accumulated benefit obligation for our </w:t>
      </w:r>
      <w:r>
        <w:rPr>
          <w:rFonts w:ascii="Arial" w:eastAsia="Times New Roman" w:hAnsi="Arial" w:cs="Arial"/>
          <w:i/>
          <w:iCs/>
          <w:color w:val="000000"/>
          <w:sz w:val="16"/>
          <w:szCs w:val="16"/>
        </w:rPr>
        <w:t>Canadian pension plans was $4.3 billion and $4.5 billion as at December 31, 2021 and 2020, respectively. The accumulated benefit obligation for our US pension plans was $1.1 billion and $1.2 billion as at December 31, 2021 and 2020, respectively.</w:t>
      </w:r>
    </w:p>
    <w:p w:rsidR="00000000" w:rsidRDefault="001F1FC8">
      <w:pPr>
        <w:ind w:hanging="180"/>
        <w:divId w:val="1036854911"/>
        <w:rPr>
          <w:rFonts w:eastAsia="Times New Roman"/>
        </w:rPr>
      </w:pPr>
      <w:r>
        <w:rPr>
          <w:rFonts w:ascii="Arial" w:eastAsia="Times New Roman" w:hAnsi="Arial" w:cs="Arial"/>
          <w:i/>
          <w:iCs/>
          <w:color w:val="000000"/>
          <w:sz w:val="16"/>
          <w:szCs w:val="16"/>
        </w:rPr>
        <w:t>3Assets i</w:t>
      </w:r>
      <w:r>
        <w:rPr>
          <w:rFonts w:ascii="Arial" w:eastAsia="Times New Roman" w:hAnsi="Arial" w:cs="Arial"/>
          <w:i/>
          <w:iCs/>
          <w:color w:val="000000"/>
          <w:sz w:val="16"/>
          <w:szCs w:val="16"/>
        </w:rPr>
        <w:t>n the amount of $13 million (2020 - $11 million) and $84 million (2020 - $59 million), related to our Canadian and United States non-registered supplemental pension plan obligations, are held in grantor trusts and rabbi trusts that, in accordance with fede</w:t>
      </w:r>
      <w:r>
        <w:rPr>
          <w:rFonts w:ascii="Arial" w:eastAsia="Times New Roman" w:hAnsi="Arial" w:cs="Arial"/>
          <w:i/>
          <w:iCs/>
          <w:color w:val="000000"/>
          <w:sz w:val="16"/>
          <w:szCs w:val="16"/>
        </w:rPr>
        <w:t>ral tax regulations, are not restricted from creditors. These assets are committed for the future settlement of benefit obligations included in the underfunded status as at the end of the year, however they are excluded from plan assets for accounting purp</w:t>
      </w:r>
      <w:r>
        <w:rPr>
          <w:rFonts w:ascii="Arial" w:eastAsia="Times New Roman" w:hAnsi="Arial" w:cs="Arial"/>
          <w:i/>
          <w:iCs/>
          <w:color w:val="000000"/>
          <w:sz w:val="16"/>
          <w:szCs w:val="16"/>
        </w:rPr>
        <w:t>oses.</w:t>
      </w:r>
    </w:p>
    <w:p w:rsidR="00000000" w:rsidRDefault="001F1FC8">
      <w:pPr>
        <w:divId w:val="1835729771"/>
        <w:rPr>
          <w:rFonts w:eastAsia="Times New Roman"/>
        </w:rPr>
      </w:pPr>
    </w:p>
    <w:p w:rsidR="00000000" w:rsidRDefault="001F1FC8">
      <w:pPr>
        <w:jc w:val="center"/>
        <w:divId w:val="362174547"/>
        <w:rPr>
          <w:rFonts w:eastAsia="Times New Roman"/>
        </w:rPr>
      </w:pPr>
      <w:r>
        <w:rPr>
          <w:rFonts w:ascii="Arial" w:eastAsia="Times New Roman" w:hAnsi="Arial" w:cs="Arial"/>
          <w:color w:val="000000"/>
          <w:sz w:val="20"/>
          <w:szCs w:val="20"/>
        </w:rPr>
        <w:t>165</w:t>
      </w:r>
    </w:p>
    <w:p w:rsidR="00000000" w:rsidRDefault="001F1FC8">
      <w:pPr>
        <w:rPr>
          <w:rFonts w:eastAsia="Times New Roman"/>
        </w:rPr>
      </w:pPr>
      <w:r>
        <w:rPr>
          <w:rFonts w:eastAsia="Times New Roman"/>
        </w:rPr>
        <w:pict>
          <v:rect id="_x0000_i1195" style="width:0;height:1.5pt" o:hralign="center" o:hrstd="t" o:hr="t" fillcolor="#a0a0a0" stroked="f"/>
        </w:pict>
      </w:r>
    </w:p>
    <w:p w:rsidR="00000000" w:rsidRDefault="001F1FC8">
      <w:pPr>
        <w:jc w:val="center"/>
        <w:divId w:val="938945986"/>
        <w:rPr>
          <w:rFonts w:eastAsia="Times New Roman"/>
        </w:rPr>
      </w:pPr>
    </w:p>
    <w:p w:rsidR="00000000" w:rsidRDefault="001F1FC8">
      <w:pPr>
        <w:divId w:val="196815386"/>
        <w:rPr>
          <w:rFonts w:eastAsia="Times New Roman"/>
        </w:rPr>
      </w:pPr>
      <w:r>
        <w:rPr>
          <w:rFonts w:ascii="Arial" w:eastAsia="Times New Roman" w:hAnsi="Arial" w:cs="Arial"/>
          <w:color w:val="000000"/>
          <w:sz w:val="20"/>
          <w:szCs w:val="20"/>
        </w:rPr>
        <w:t>Certain of our pension plans have accumulated benefit obligations in excess of the fair value of plan assets. For these plans, the accumulated benefit obligation and fair value of plan assets were as follow</w:t>
      </w:r>
      <w:r>
        <w:rPr>
          <w:rFonts w:ascii="Arial" w:eastAsia="Times New Roman" w:hAnsi="Arial" w:cs="Arial"/>
          <w:color w:val="000000"/>
          <w:sz w:val="20"/>
          <w:szCs w:val="20"/>
        </w:rPr>
        <w:t>s:</w:t>
      </w:r>
    </w:p>
    <w:tbl>
      <w:tblPr>
        <w:tblW w:w="5000" w:type="pct"/>
        <w:jc w:val="center"/>
        <w:tblCellMar>
          <w:top w:w="15" w:type="dxa"/>
          <w:left w:w="15" w:type="dxa"/>
          <w:bottom w:w="15" w:type="dxa"/>
          <w:right w:w="15" w:type="dxa"/>
        </w:tblCellMar>
        <w:tblLook w:val="04A0" w:firstRow="1" w:lastRow="0" w:firstColumn="1" w:lastColumn="0" w:noHBand="0" w:noVBand="1"/>
      </w:tblPr>
      <w:tblGrid>
        <w:gridCol w:w="65"/>
        <w:gridCol w:w="4459"/>
        <w:gridCol w:w="37"/>
        <w:gridCol w:w="65"/>
        <w:gridCol w:w="808"/>
        <w:gridCol w:w="37"/>
        <w:gridCol w:w="65"/>
        <w:gridCol w:w="808"/>
        <w:gridCol w:w="36"/>
        <w:gridCol w:w="36"/>
        <w:gridCol w:w="36"/>
        <w:gridCol w:w="36"/>
        <w:gridCol w:w="61"/>
        <w:gridCol w:w="809"/>
        <w:gridCol w:w="36"/>
        <w:gridCol w:w="66"/>
        <w:gridCol w:w="810"/>
        <w:gridCol w:w="36"/>
      </w:tblGrid>
      <w:tr w:rsidR="00000000">
        <w:trPr>
          <w:divId w:val="199703839"/>
          <w:jc w:val="center"/>
        </w:trPr>
        <w:tc>
          <w:tcPr>
            <w:tcW w:w="50" w:type="pct"/>
            <w:vAlign w:val="center"/>
            <w:hideMark/>
          </w:tcPr>
          <w:p w:rsidR="00000000" w:rsidRDefault="001F1FC8">
            <w:pPr>
              <w:rPr>
                <w:rFonts w:eastAsia="Times New Roman"/>
              </w:rPr>
            </w:pPr>
          </w:p>
        </w:tc>
        <w:tc>
          <w:tcPr>
            <w:tcW w:w="2693"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c>
          <w:tcPr>
            <w:tcW w:w="50" w:type="pct"/>
            <w:vAlign w:val="center"/>
            <w:hideMark/>
          </w:tcPr>
          <w:p w:rsidR="00000000" w:rsidRDefault="001F1FC8">
            <w:pPr>
              <w:rPr>
                <w:rFonts w:eastAsia="Times New Roman"/>
                <w:sz w:val="20"/>
                <w:szCs w:val="20"/>
              </w:rPr>
            </w:pPr>
          </w:p>
        </w:tc>
        <w:tc>
          <w:tcPr>
            <w:tcW w:w="497"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c>
          <w:tcPr>
            <w:tcW w:w="50" w:type="pct"/>
            <w:vAlign w:val="center"/>
            <w:hideMark/>
          </w:tcPr>
          <w:p w:rsidR="00000000" w:rsidRDefault="001F1FC8">
            <w:pPr>
              <w:rPr>
                <w:rFonts w:eastAsia="Times New Roman"/>
                <w:sz w:val="20"/>
                <w:szCs w:val="20"/>
              </w:rPr>
            </w:pPr>
          </w:p>
        </w:tc>
        <w:tc>
          <w:tcPr>
            <w:tcW w:w="497"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c>
          <w:tcPr>
            <w:tcW w:w="30"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c>
          <w:tcPr>
            <w:tcW w:w="50" w:type="pct"/>
            <w:vAlign w:val="center"/>
            <w:hideMark/>
          </w:tcPr>
          <w:p w:rsidR="00000000" w:rsidRDefault="001F1FC8">
            <w:pPr>
              <w:rPr>
                <w:rFonts w:eastAsia="Times New Roman"/>
                <w:sz w:val="20"/>
                <w:szCs w:val="20"/>
              </w:rPr>
            </w:pPr>
          </w:p>
        </w:tc>
        <w:tc>
          <w:tcPr>
            <w:tcW w:w="497"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c>
          <w:tcPr>
            <w:tcW w:w="50" w:type="pct"/>
            <w:vAlign w:val="center"/>
            <w:hideMark/>
          </w:tcPr>
          <w:p w:rsidR="00000000" w:rsidRDefault="001F1FC8">
            <w:pPr>
              <w:rPr>
                <w:rFonts w:eastAsia="Times New Roman"/>
                <w:sz w:val="20"/>
                <w:szCs w:val="20"/>
              </w:rPr>
            </w:pPr>
          </w:p>
        </w:tc>
        <w:tc>
          <w:tcPr>
            <w:tcW w:w="498"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r>
      <w:tr w:rsidR="00000000">
        <w:trPr>
          <w:divId w:val="199703839"/>
          <w:jc w:val="center"/>
        </w:trPr>
        <w:tc>
          <w:tcPr>
            <w:tcW w:w="0" w:type="auto"/>
            <w:gridSpan w:val="3"/>
            <w:tcMar>
              <w:top w:w="30" w:type="dxa"/>
              <w:left w:w="20" w:type="dxa"/>
              <w:bottom w:w="30" w:type="dxa"/>
              <w:right w:w="20" w:type="dxa"/>
            </w:tcMar>
            <w:hideMark/>
          </w:tcPr>
          <w:p w:rsidR="00000000" w:rsidRDefault="001F1FC8">
            <w:pPr>
              <w:rPr>
                <w:rFonts w:eastAsia="Times New Roman"/>
              </w:rPr>
            </w:pPr>
            <w:r>
              <w:rPr>
                <w:rFonts w:ascii="Arial" w:eastAsia="Times New Roman" w:hAnsi="Arial" w:cs="Arial"/>
                <w:color w:val="000000"/>
                <w:sz w:val="2"/>
                <w:szCs w:val="2"/>
              </w:rPr>
              <w:t> </w:t>
            </w:r>
          </w:p>
        </w:tc>
        <w:tc>
          <w:tcPr>
            <w:tcW w:w="0" w:type="auto"/>
            <w:gridSpan w:val="6"/>
            <w:tcMar>
              <w:top w:w="30" w:type="dxa"/>
              <w:left w:w="20" w:type="dxa"/>
              <w:bottom w:w="30" w:type="dxa"/>
              <w:right w:w="20" w:type="dxa"/>
            </w:tcMar>
            <w:vAlign w:val="bottom"/>
            <w:hideMark/>
          </w:tcPr>
          <w:p w:rsidR="00000000" w:rsidRDefault="001F1FC8">
            <w:pPr>
              <w:jc w:val="center"/>
              <w:rPr>
                <w:rFonts w:eastAsia="Times New Roman"/>
              </w:rPr>
            </w:pPr>
            <w:r>
              <w:rPr>
                <w:rFonts w:ascii="Arial" w:eastAsia="Times New Roman" w:hAnsi="Arial" w:cs="Arial"/>
                <w:color w:val="000000"/>
                <w:sz w:val="20"/>
                <w:szCs w:val="20"/>
              </w:rPr>
              <w:t>Canada</w:t>
            </w:r>
          </w:p>
        </w:tc>
        <w:tc>
          <w:tcPr>
            <w:tcW w:w="0" w:type="auto"/>
            <w:gridSpan w:val="3"/>
            <w:tcMar>
              <w:top w:w="0" w:type="dxa"/>
              <w:left w:w="20" w:type="dxa"/>
              <w:bottom w:w="0" w:type="dxa"/>
              <w:right w:w="20" w:type="dxa"/>
            </w:tcMar>
            <w:vAlign w:val="center"/>
            <w:hideMark/>
          </w:tcPr>
          <w:p w:rsidR="00000000" w:rsidRDefault="001F1FC8">
            <w:pPr>
              <w:jc w:val="center"/>
              <w:rPr>
                <w:rFonts w:eastAsia="Times New Roman"/>
              </w:rPr>
            </w:pPr>
          </w:p>
        </w:tc>
        <w:tc>
          <w:tcPr>
            <w:tcW w:w="0" w:type="auto"/>
            <w:gridSpan w:val="6"/>
            <w:tcMar>
              <w:top w:w="30" w:type="dxa"/>
              <w:left w:w="20" w:type="dxa"/>
              <w:bottom w:w="30" w:type="dxa"/>
              <w:right w:w="20" w:type="dxa"/>
            </w:tcMar>
            <w:vAlign w:val="bottom"/>
            <w:hideMark/>
          </w:tcPr>
          <w:p w:rsidR="00000000" w:rsidRDefault="001F1FC8">
            <w:pPr>
              <w:jc w:val="center"/>
              <w:rPr>
                <w:rFonts w:eastAsia="Times New Roman"/>
              </w:rPr>
            </w:pPr>
            <w:r>
              <w:rPr>
                <w:rFonts w:ascii="Arial" w:eastAsia="Times New Roman" w:hAnsi="Arial" w:cs="Arial"/>
                <w:color w:val="000000"/>
                <w:sz w:val="20"/>
                <w:szCs w:val="20"/>
              </w:rPr>
              <w:t>US</w:t>
            </w:r>
          </w:p>
        </w:tc>
      </w:tr>
      <w:tr w:rsidR="00000000">
        <w:trPr>
          <w:divId w:val="199703839"/>
          <w:jc w:val="center"/>
        </w:trPr>
        <w:tc>
          <w:tcPr>
            <w:tcW w:w="0" w:type="auto"/>
            <w:gridSpan w:val="3"/>
            <w:tcMar>
              <w:top w:w="30" w:type="dxa"/>
              <w:left w:w="20" w:type="dxa"/>
              <w:bottom w:w="30" w:type="dxa"/>
              <w:right w:w="20" w:type="dxa"/>
            </w:tcMar>
            <w:hideMark/>
          </w:tcPr>
          <w:p w:rsidR="00000000" w:rsidRDefault="001F1FC8">
            <w:pPr>
              <w:rPr>
                <w:rFonts w:eastAsia="Times New Roman"/>
              </w:rPr>
            </w:pPr>
            <w:r>
              <w:rPr>
                <w:rFonts w:ascii="Arial" w:eastAsia="Times New Roman" w:hAnsi="Arial" w:cs="Arial"/>
                <w:color w:val="000000"/>
                <w:sz w:val="20"/>
                <w:szCs w:val="20"/>
              </w:rPr>
              <w:t>December 31,</w:t>
            </w:r>
          </w:p>
        </w:tc>
        <w:tc>
          <w:tcPr>
            <w:tcW w:w="0" w:type="auto"/>
            <w:gridSpan w:val="3"/>
            <w:tcBorders>
              <w:top w:val="single" w:sz="4" w:space="0" w:color="000000"/>
            </w:tcBorders>
            <w:tcMar>
              <w:top w:w="30" w:type="dxa"/>
              <w:left w:w="20" w:type="dxa"/>
              <w:bottom w:w="30" w:type="dxa"/>
              <w:right w:w="20" w:type="dxa"/>
            </w:tcMar>
            <w:hideMark/>
          </w:tcPr>
          <w:p w:rsidR="00000000" w:rsidRDefault="001F1FC8">
            <w:pPr>
              <w:jc w:val="right"/>
              <w:rPr>
                <w:rFonts w:eastAsia="Times New Roman"/>
              </w:rPr>
            </w:pPr>
            <w:r>
              <w:rPr>
                <w:rFonts w:ascii="Arial" w:eastAsia="Times New Roman" w:hAnsi="Arial" w:cs="Arial"/>
                <w:b/>
                <w:bCs/>
                <w:color w:val="000000"/>
                <w:sz w:val="20"/>
                <w:szCs w:val="20"/>
              </w:rPr>
              <w:t>2021</w:t>
            </w:r>
          </w:p>
        </w:tc>
        <w:tc>
          <w:tcPr>
            <w:tcW w:w="0" w:type="auto"/>
            <w:gridSpan w:val="3"/>
            <w:tcBorders>
              <w:top w:val="single" w:sz="4" w:space="0" w:color="000000"/>
            </w:tcBorders>
            <w:tcMar>
              <w:top w:w="30" w:type="dxa"/>
              <w:left w:w="20" w:type="dxa"/>
              <w:bottom w:w="30" w:type="dxa"/>
              <w:right w:w="20" w:type="dxa"/>
            </w:tcMar>
            <w:hideMark/>
          </w:tcPr>
          <w:p w:rsidR="00000000" w:rsidRDefault="001F1FC8">
            <w:pPr>
              <w:jc w:val="right"/>
              <w:rPr>
                <w:rFonts w:eastAsia="Times New Roman"/>
              </w:rPr>
            </w:pPr>
            <w:r>
              <w:rPr>
                <w:rFonts w:ascii="Arial" w:eastAsia="Times New Roman" w:hAnsi="Arial" w:cs="Arial"/>
                <w:color w:val="000000"/>
                <w:sz w:val="20"/>
                <w:szCs w:val="20"/>
              </w:rPr>
              <w:t>2020</w:t>
            </w:r>
          </w:p>
        </w:tc>
        <w:tc>
          <w:tcPr>
            <w:tcW w:w="0" w:type="auto"/>
            <w:gridSpan w:val="3"/>
            <w:tcMar>
              <w:top w:w="0" w:type="dxa"/>
              <w:left w:w="20" w:type="dxa"/>
              <w:bottom w:w="0" w:type="dxa"/>
              <w:right w:w="20" w:type="dxa"/>
            </w:tcMar>
            <w:vAlign w:val="center"/>
            <w:hideMark/>
          </w:tcPr>
          <w:p w:rsidR="00000000" w:rsidRDefault="001F1FC8">
            <w:pPr>
              <w:jc w:val="right"/>
              <w:rPr>
                <w:rFonts w:eastAsia="Times New Roman"/>
              </w:rPr>
            </w:pPr>
          </w:p>
        </w:tc>
        <w:tc>
          <w:tcPr>
            <w:tcW w:w="0" w:type="auto"/>
            <w:gridSpan w:val="3"/>
            <w:tcBorders>
              <w:top w:val="single" w:sz="4" w:space="0" w:color="000000"/>
            </w:tcBorders>
            <w:tcMar>
              <w:top w:w="30" w:type="dxa"/>
              <w:left w:w="20" w:type="dxa"/>
              <w:bottom w:w="30" w:type="dxa"/>
              <w:right w:w="20" w:type="dxa"/>
            </w:tcMar>
            <w:hideMark/>
          </w:tcPr>
          <w:p w:rsidR="00000000" w:rsidRDefault="001F1FC8">
            <w:pPr>
              <w:jc w:val="right"/>
              <w:rPr>
                <w:rFonts w:eastAsia="Times New Roman"/>
              </w:rPr>
            </w:pPr>
            <w:r>
              <w:rPr>
                <w:rFonts w:ascii="Arial" w:eastAsia="Times New Roman" w:hAnsi="Arial" w:cs="Arial"/>
                <w:b/>
                <w:bCs/>
                <w:color w:val="000000"/>
                <w:sz w:val="20"/>
                <w:szCs w:val="20"/>
              </w:rPr>
              <w:t>2021</w:t>
            </w:r>
          </w:p>
        </w:tc>
        <w:tc>
          <w:tcPr>
            <w:tcW w:w="0" w:type="auto"/>
            <w:gridSpan w:val="3"/>
            <w:tcBorders>
              <w:top w:val="single" w:sz="4" w:space="0" w:color="000000"/>
            </w:tcBorders>
            <w:tcMar>
              <w:top w:w="30" w:type="dxa"/>
              <w:left w:w="20" w:type="dxa"/>
              <w:bottom w:w="30" w:type="dxa"/>
              <w:right w:w="20" w:type="dxa"/>
            </w:tcMar>
            <w:hideMark/>
          </w:tcPr>
          <w:p w:rsidR="00000000" w:rsidRDefault="001F1FC8">
            <w:pPr>
              <w:jc w:val="right"/>
              <w:rPr>
                <w:rFonts w:eastAsia="Times New Roman"/>
              </w:rPr>
            </w:pPr>
            <w:r>
              <w:rPr>
                <w:rFonts w:ascii="Arial" w:eastAsia="Times New Roman" w:hAnsi="Arial" w:cs="Arial"/>
                <w:color w:val="000000"/>
                <w:sz w:val="20"/>
                <w:szCs w:val="20"/>
              </w:rPr>
              <w:t>2020</w:t>
            </w:r>
          </w:p>
        </w:tc>
      </w:tr>
      <w:tr w:rsidR="00000000">
        <w:trPr>
          <w:divId w:val="199703839"/>
          <w:jc w:val="center"/>
        </w:trPr>
        <w:tc>
          <w:tcPr>
            <w:tcW w:w="0" w:type="auto"/>
            <w:gridSpan w:val="3"/>
            <w:tcBorders>
              <w:top w:val="single" w:sz="4" w:space="0" w:color="000000"/>
            </w:tcBorders>
            <w:tcMar>
              <w:top w:w="30" w:type="dxa"/>
              <w:left w:w="20" w:type="dxa"/>
              <w:bottom w:w="30" w:type="dxa"/>
              <w:right w:w="20" w:type="dxa"/>
            </w:tcMar>
            <w:hideMark/>
          </w:tcPr>
          <w:p w:rsidR="00000000" w:rsidRDefault="001F1FC8">
            <w:pPr>
              <w:rPr>
                <w:rFonts w:eastAsia="Times New Roman"/>
              </w:rPr>
            </w:pPr>
            <w:r>
              <w:rPr>
                <w:rFonts w:ascii="Arial" w:eastAsia="Times New Roman" w:hAnsi="Arial" w:cs="Arial"/>
                <w:i/>
                <w:iCs/>
                <w:color w:val="000000"/>
                <w:sz w:val="16"/>
                <w:szCs w:val="16"/>
              </w:rPr>
              <w:t>(millions of Canadian dollars)</w:t>
            </w:r>
          </w:p>
        </w:tc>
        <w:tc>
          <w:tcPr>
            <w:tcW w:w="0" w:type="auto"/>
            <w:gridSpan w:val="3"/>
            <w:tcBorders>
              <w:top w:val="single" w:sz="4" w:space="0" w:color="000000"/>
            </w:tcBorders>
            <w:shd w:val="clear" w:color="auto" w:fill="D9D9D9"/>
            <w:tcMar>
              <w:top w:w="0" w:type="dxa"/>
              <w:left w:w="20" w:type="dxa"/>
              <w:bottom w:w="0" w:type="dxa"/>
              <w:right w:w="20" w:type="dxa"/>
            </w:tcMar>
            <w:vAlign w:val="center"/>
            <w:hideMark/>
          </w:tcPr>
          <w:p w:rsidR="00000000" w:rsidRDefault="001F1FC8">
            <w:pPr>
              <w:rPr>
                <w:rFonts w:eastAsia="Times New Roman"/>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1F1FC8">
            <w:pPr>
              <w:rPr>
                <w:rFonts w:eastAsia="Times New Roman"/>
                <w:sz w:val="20"/>
                <w:szCs w:val="20"/>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1F1FC8">
            <w:pPr>
              <w:rPr>
                <w:rFonts w:eastAsia="Times New Roman"/>
                <w:sz w:val="20"/>
                <w:szCs w:val="20"/>
              </w:rPr>
            </w:pPr>
          </w:p>
        </w:tc>
        <w:tc>
          <w:tcPr>
            <w:tcW w:w="0" w:type="auto"/>
            <w:gridSpan w:val="3"/>
            <w:tcBorders>
              <w:top w:val="single" w:sz="4" w:space="0" w:color="000000"/>
            </w:tcBorders>
            <w:shd w:val="clear" w:color="auto" w:fill="D9D9D9"/>
            <w:tcMar>
              <w:top w:w="0" w:type="dxa"/>
              <w:left w:w="20" w:type="dxa"/>
              <w:bottom w:w="0" w:type="dxa"/>
              <w:right w:w="20" w:type="dxa"/>
            </w:tcMar>
            <w:vAlign w:val="center"/>
            <w:hideMark/>
          </w:tcPr>
          <w:p w:rsidR="00000000" w:rsidRDefault="001F1FC8">
            <w:pPr>
              <w:rPr>
                <w:rFonts w:eastAsia="Times New Roman"/>
                <w:sz w:val="20"/>
                <w:szCs w:val="20"/>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1F1FC8">
            <w:pPr>
              <w:rPr>
                <w:rFonts w:eastAsia="Times New Roman"/>
                <w:sz w:val="20"/>
                <w:szCs w:val="20"/>
              </w:rPr>
            </w:pPr>
          </w:p>
        </w:tc>
      </w:tr>
      <w:tr w:rsidR="00000000">
        <w:trPr>
          <w:divId w:val="199703839"/>
          <w:jc w:val="center"/>
        </w:trPr>
        <w:tc>
          <w:tcPr>
            <w:tcW w:w="0" w:type="auto"/>
            <w:gridSpan w:val="3"/>
            <w:tcMar>
              <w:top w:w="30" w:type="dxa"/>
              <w:left w:w="20" w:type="dxa"/>
              <w:bottom w:w="30" w:type="dxa"/>
              <w:right w:w="20" w:type="dxa"/>
            </w:tcMar>
            <w:hideMark/>
          </w:tcPr>
          <w:p w:rsidR="00000000" w:rsidRDefault="001F1FC8">
            <w:pPr>
              <w:rPr>
                <w:rFonts w:eastAsia="Times New Roman"/>
              </w:rPr>
            </w:pPr>
            <w:r>
              <w:rPr>
                <w:rFonts w:ascii="Arial" w:eastAsia="Times New Roman" w:hAnsi="Arial" w:cs="Arial"/>
                <w:color w:val="000000"/>
                <w:sz w:val="20"/>
                <w:szCs w:val="20"/>
              </w:rPr>
              <w:t>Accumulated benefit obligation</w:t>
            </w:r>
          </w:p>
        </w:tc>
        <w:tc>
          <w:tcPr>
            <w:tcW w:w="0" w:type="auto"/>
            <w:gridSpan w:val="2"/>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20"/>
                <w:szCs w:val="20"/>
              </w:rPr>
              <w:t>440</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4,094 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1F1FC8">
            <w:pPr>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20"/>
                <w:szCs w:val="20"/>
              </w:rPr>
              <w:t>115</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1,207 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r>
      <w:tr w:rsidR="00000000">
        <w:trPr>
          <w:divId w:val="199703839"/>
          <w:jc w:val="center"/>
        </w:trPr>
        <w:tc>
          <w:tcPr>
            <w:tcW w:w="0" w:type="auto"/>
            <w:gridSpan w:val="3"/>
            <w:tcBorders>
              <w:bottom w:val="single" w:sz="8" w:space="0" w:color="000000"/>
            </w:tcBorders>
            <w:tcMar>
              <w:top w:w="30" w:type="dxa"/>
              <w:left w:w="20" w:type="dxa"/>
              <w:bottom w:w="30" w:type="dxa"/>
              <w:right w:w="20" w:type="dxa"/>
            </w:tcMar>
            <w:hideMark/>
          </w:tcPr>
          <w:p w:rsidR="00000000" w:rsidRDefault="001F1FC8">
            <w:pPr>
              <w:rPr>
                <w:rFonts w:eastAsia="Times New Roman"/>
              </w:rPr>
            </w:pPr>
            <w:r>
              <w:rPr>
                <w:rFonts w:ascii="Arial" w:eastAsia="Times New Roman" w:hAnsi="Arial" w:cs="Arial"/>
                <w:color w:val="000000"/>
                <w:sz w:val="20"/>
                <w:szCs w:val="20"/>
              </w:rPr>
              <w:t>Fair value of plan assets</w:t>
            </w:r>
          </w:p>
        </w:tc>
        <w:tc>
          <w:tcPr>
            <w:tcW w:w="0" w:type="auto"/>
            <w:gridSpan w:val="2"/>
            <w:tcBorders>
              <w:bottom w:val="single" w:sz="8" w:space="0" w:color="000000"/>
            </w:tcBorders>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20"/>
                <w:szCs w:val="20"/>
              </w:rPr>
              <w:t>247</w:t>
            </w:r>
            <w:r>
              <w:rPr>
                <w:rFonts w:ascii="Arial" w:eastAsia="Times New Roman" w:hAnsi="Arial" w:cs="Arial"/>
                <w:color w:val="000000"/>
                <w:sz w:val="20"/>
                <w:szCs w:val="20"/>
              </w:rPr>
              <w:t> </w:t>
            </w:r>
          </w:p>
        </w:tc>
        <w:tc>
          <w:tcPr>
            <w:tcW w:w="0" w:type="auto"/>
            <w:tcBorders>
              <w:bottom w:val="single" w:sz="8" w:space="0" w:color="000000"/>
            </w:tcBorders>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Borders>
              <w:bottom w:val="single" w:sz="8" w:space="0" w:color="000000"/>
            </w:tcBorders>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3,621 </w:t>
            </w:r>
          </w:p>
        </w:tc>
        <w:tc>
          <w:tcPr>
            <w:tcW w:w="0" w:type="auto"/>
            <w:tcBorders>
              <w:bottom w:val="single" w:sz="8" w:space="0" w:color="000000"/>
            </w:tcBorders>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3"/>
            <w:tcBorders>
              <w:bottom w:val="single" w:sz="8" w:space="0" w:color="000000"/>
            </w:tcBorders>
            <w:tcMar>
              <w:top w:w="0" w:type="dxa"/>
              <w:left w:w="20" w:type="dxa"/>
              <w:bottom w:w="0" w:type="dxa"/>
              <w:right w:w="20" w:type="dxa"/>
            </w:tcMar>
            <w:vAlign w:val="center"/>
            <w:hideMark/>
          </w:tcPr>
          <w:p w:rsidR="00000000" w:rsidRDefault="001F1FC8">
            <w:pPr>
              <w:jc w:val="right"/>
              <w:rPr>
                <w:rFonts w:eastAsia="Times New Roman"/>
                <w:sz w:val="20"/>
                <w:szCs w:val="20"/>
              </w:rPr>
            </w:pPr>
          </w:p>
        </w:tc>
        <w:tc>
          <w:tcPr>
            <w:tcW w:w="0" w:type="auto"/>
            <w:gridSpan w:val="2"/>
            <w:tcBorders>
              <w:bottom w:val="single" w:sz="8" w:space="0" w:color="000000"/>
            </w:tcBorders>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20"/>
                <w:szCs w:val="20"/>
              </w:rPr>
              <w:t>—</w:t>
            </w:r>
            <w:r>
              <w:rPr>
                <w:rFonts w:ascii="Arial" w:eastAsia="Times New Roman" w:hAnsi="Arial" w:cs="Arial"/>
                <w:color w:val="000000"/>
                <w:sz w:val="20"/>
                <w:szCs w:val="20"/>
              </w:rPr>
              <w:t> </w:t>
            </w:r>
          </w:p>
        </w:tc>
        <w:tc>
          <w:tcPr>
            <w:tcW w:w="0" w:type="auto"/>
            <w:tcBorders>
              <w:bottom w:val="single" w:sz="8" w:space="0" w:color="000000"/>
            </w:tcBorders>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Borders>
              <w:bottom w:val="single" w:sz="8" w:space="0" w:color="000000"/>
            </w:tcBorders>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1,062 </w:t>
            </w:r>
          </w:p>
        </w:tc>
        <w:tc>
          <w:tcPr>
            <w:tcW w:w="0" w:type="auto"/>
            <w:tcBorders>
              <w:bottom w:val="single" w:sz="8" w:space="0" w:color="000000"/>
            </w:tcBorders>
            <w:tcMar>
              <w:top w:w="30" w:type="dxa"/>
              <w:left w:w="0" w:type="dxa"/>
              <w:bottom w:w="30" w:type="dxa"/>
              <w:right w:w="20" w:type="dxa"/>
            </w:tcMar>
            <w:vAlign w:val="bottom"/>
            <w:hideMark/>
          </w:tcPr>
          <w:p w:rsidR="00000000" w:rsidRDefault="001F1FC8">
            <w:pPr>
              <w:jc w:val="right"/>
              <w:rPr>
                <w:rFonts w:eastAsia="Times New Roman"/>
              </w:rPr>
            </w:pPr>
          </w:p>
        </w:tc>
      </w:tr>
    </w:tbl>
    <w:p w:rsidR="00000000" w:rsidRDefault="001F1FC8">
      <w:pPr>
        <w:divId w:val="2025011507"/>
        <w:rPr>
          <w:rFonts w:eastAsia="Times New Roman"/>
        </w:rPr>
      </w:pPr>
    </w:p>
    <w:p w:rsidR="00000000" w:rsidRDefault="001F1FC8">
      <w:pPr>
        <w:divId w:val="2111704948"/>
        <w:rPr>
          <w:rFonts w:eastAsia="Times New Roman"/>
        </w:rPr>
      </w:pPr>
      <w:r>
        <w:rPr>
          <w:rFonts w:ascii="Arial" w:eastAsia="Times New Roman" w:hAnsi="Arial" w:cs="Arial"/>
          <w:color w:val="000000"/>
          <w:sz w:val="20"/>
          <w:szCs w:val="20"/>
        </w:rPr>
        <w:t>Certain of our pension plans have projected benefit obligations in excess of the fair value of plan assets. For these plans, the projected benefit obligation and fair value of plan assets were as follows:</w:t>
      </w:r>
    </w:p>
    <w:tbl>
      <w:tblPr>
        <w:tblW w:w="5000" w:type="pct"/>
        <w:tblCellMar>
          <w:top w:w="15" w:type="dxa"/>
          <w:left w:w="15" w:type="dxa"/>
          <w:bottom w:w="15" w:type="dxa"/>
          <w:right w:w="15" w:type="dxa"/>
        </w:tblCellMar>
        <w:tblLook w:val="04A0" w:firstRow="1" w:lastRow="0" w:firstColumn="1" w:lastColumn="0" w:noHBand="0" w:noVBand="1"/>
      </w:tblPr>
      <w:tblGrid>
        <w:gridCol w:w="65"/>
        <w:gridCol w:w="4459"/>
        <w:gridCol w:w="36"/>
        <w:gridCol w:w="65"/>
        <w:gridCol w:w="808"/>
        <w:gridCol w:w="37"/>
        <w:gridCol w:w="65"/>
        <w:gridCol w:w="808"/>
        <w:gridCol w:w="36"/>
        <w:gridCol w:w="36"/>
        <w:gridCol w:w="36"/>
        <w:gridCol w:w="36"/>
        <w:gridCol w:w="62"/>
        <w:gridCol w:w="809"/>
        <w:gridCol w:w="36"/>
        <w:gridCol w:w="66"/>
        <w:gridCol w:w="810"/>
        <w:gridCol w:w="36"/>
      </w:tblGrid>
      <w:tr w:rsidR="00000000">
        <w:trPr>
          <w:divId w:val="724723610"/>
        </w:trPr>
        <w:tc>
          <w:tcPr>
            <w:tcW w:w="50" w:type="pct"/>
            <w:vAlign w:val="center"/>
            <w:hideMark/>
          </w:tcPr>
          <w:p w:rsidR="00000000" w:rsidRDefault="001F1FC8">
            <w:pPr>
              <w:rPr>
                <w:rFonts w:eastAsia="Times New Roman"/>
              </w:rPr>
            </w:pPr>
          </w:p>
        </w:tc>
        <w:tc>
          <w:tcPr>
            <w:tcW w:w="2693"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c>
          <w:tcPr>
            <w:tcW w:w="50" w:type="pct"/>
            <w:vAlign w:val="center"/>
            <w:hideMark/>
          </w:tcPr>
          <w:p w:rsidR="00000000" w:rsidRDefault="001F1FC8">
            <w:pPr>
              <w:rPr>
                <w:rFonts w:eastAsia="Times New Roman"/>
                <w:sz w:val="20"/>
                <w:szCs w:val="20"/>
              </w:rPr>
            </w:pPr>
          </w:p>
        </w:tc>
        <w:tc>
          <w:tcPr>
            <w:tcW w:w="497"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c>
          <w:tcPr>
            <w:tcW w:w="50" w:type="pct"/>
            <w:vAlign w:val="center"/>
            <w:hideMark/>
          </w:tcPr>
          <w:p w:rsidR="00000000" w:rsidRDefault="001F1FC8">
            <w:pPr>
              <w:rPr>
                <w:rFonts w:eastAsia="Times New Roman"/>
                <w:sz w:val="20"/>
                <w:szCs w:val="20"/>
              </w:rPr>
            </w:pPr>
          </w:p>
        </w:tc>
        <w:tc>
          <w:tcPr>
            <w:tcW w:w="497"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c>
          <w:tcPr>
            <w:tcW w:w="30"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c>
          <w:tcPr>
            <w:tcW w:w="50" w:type="pct"/>
            <w:vAlign w:val="center"/>
            <w:hideMark/>
          </w:tcPr>
          <w:p w:rsidR="00000000" w:rsidRDefault="001F1FC8">
            <w:pPr>
              <w:rPr>
                <w:rFonts w:eastAsia="Times New Roman"/>
                <w:sz w:val="20"/>
                <w:szCs w:val="20"/>
              </w:rPr>
            </w:pPr>
          </w:p>
        </w:tc>
        <w:tc>
          <w:tcPr>
            <w:tcW w:w="497"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c>
          <w:tcPr>
            <w:tcW w:w="50" w:type="pct"/>
            <w:vAlign w:val="center"/>
            <w:hideMark/>
          </w:tcPr>
          <w:p w:rsidR="00000000" w:rsidRDefault="001F1FC8">
            <w:pPr>
              <w:rPr>
                <w:rFonts w:eastAsia="Times New Roman"/>
                <w:sz w:val="20"/>
                <w:szCs w:val="20"/>
              </w:rPr>
            </w:pPr>
          </w:p>
        </w:tc>
        <w:tc>
          <w:tcPr>
            <w:tcW w:w="498"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r>
      <w:tr w:rsidR="00000000">
        <w:trPr>
          <w:divId w:val="724723610"/>
        </w:trPr>
        <w:tc>
          <w:tcPr>
            <w:tcW w:w="0" w:type="auto"/>
            <w:gridSpan w:val="3"/>
            <w:tcMar>
              <w:top w:w="30" w:type="dxa"/>
              <w:left w:w="20" w:type="dxa"/>
              <w:bottom w:w="30" w:type="dxa"/>
              <w:right w:w="20" w:type="dxa"/>
            </w:tcMar>
            <w:hideMark/>
          </w:tcPr>
          <w:p w:rsidR="00000000" w:rsidRDefault="001F1FC8">
            <w:pPr>
              <w:rPr>
                <w:rFonts w:eastAsia="Times New Roman"/>
              </w:rPr>
            </w:pPr>
            <w:r>
              <w:rPr>
                <w:rFonts w:ascii="Arial" w:eastAsia="Times New Roman" w:hAnsi="Arial" w:cs="Arial"/>
                <w:color w:val="000000"/>
                <w:sz w:val="2"/>
                <w:szCs w:val="2"/>
              </w:rPr>
              <w:t> </w:t>
            </w:r>
          </w:p>
        </w:tc>
        <w:tc>
          <w:tcPr>
            <w:tcW w:w="0" w:type="auto"/>
            <w:gridSpan w:val="6"/>
            <w:tcMar>
              <w:top w:w="30" w:type="dxa"/>
              <w:left w:w="20" w:type="dxa"/>
              <w:bottom w:w="30" w:type="dxa"/>
              <w:right w:w="20" w:type="dxa"/>
            </w:tcMar>
            <w:vAlign w:val="bottom"/>
            <w:hideMark/>
          </w:tcPr>
          <w:p w:rsidR="00000000" w:rsidRDefault="001F1FC8">
            <w:pPr>
              <w:jc w:val="center"/>
              <w:rPr>
                <w:rFonts w:eastAsia="Times New Roman"/>
              </w:rPr>
            </w:pPr>
            <w:r>
              <w:rPr>
                <w:rFonts w:ascii="Arial" w:eastAsia="Times New Roman" w:hAnsi="Arial" w:cs="Arial"/>
                <w:color w:val="000000"/>
                <w:sz w:val="20"/>
                <w:szCs w:val="20"/>
              </w:rPr>
              <w:t>Canada</w:t>
            </w:r>
          </w:p>
        </w:tc>
        <w:tc>
          <w:tcPr>
            <w:tcW w:w="0" w:type="auto"/>
            <w:gridSpan w:val="3"/>
            <w:tcMar>
              <w:top w:w="0" w:type="dxa"/>
              <w:left w:w="20" w:type="dxa"/>
              <w:bottom w:w="0" w:type="dxa"/>
              <w:right w:w="20" w:type="dxa"/>
            </w:tcMar>
            <w:vAlign w:val="center"/>
            <w:hideMark/>
          </w:tcPr>
          <w:p w:rsidR="00000000" w:rsidRDefault="001F1FC8">
            <w:pPr>
              <w:jc w:val="center"/>
              <w:rPr>
                <w:rFonts w:eastAsia="Times New Roman"/>
              </w:rPr>
            </w:pPr>
          </w:p>
        </w:tc>
        <w:tc>
          <w:tcPr>
            <w:tcW w:w="0" w:type="auto"/>
            <w:gridSpan w:val="6"/>
            <w:tcMar>
              <w:top w:w="30" w:type="dxa"/>
              <w:left w:w="20" w:type="dxa"/>
              <w:bottom w:w="30" w:type="dxa"/>
              <w:right w:w="20" w:type="dxa"/>
            </w:tcMar>
            <w:vAlign w:val="bottom"/>
            <w:hideMark/>
          </w:tcPr>
          <w:p w:rsidR="00000000" w:rsidRDefault="001F1FC8">
            <w:pPr>
              <w:jc w:val="center"/>
              <w:rPr>
                <w:rFonts w:eastAsia="Times New Roman"/>
              </w:rPr>
            </w:pPr>
            <w:r>
              <w:rPr>
                <w:rFonts w:ascii="Arial" w:eastAsia="Times New Roman" w:hAnsi="Arial" w:cs="Arial"/>
                <w:color w:val="000000"/>
                <w:sz w:val="20"/>
                <w:szCs w:val="20"/>
              </w:rPr>
              <w:t>US</w:t>
            </w:r>
          </w:p>
        </w:tc>
      </w:tr>
      <w:tr w:rsidR="00000000">
        <w:trPr>
          <w:divId w:val="724723610"/>
        </w:trPr>
        <w:tc>
          <w:tcPr>
            <w:tcW w:w="0" w:type="auto"/>
            <w:gridSpan w:val="3"/>
            <w:tcMar>
              <w:top w:w="30" w:type="dxa"/>
              <w:left w:w="20" w:type="dxa"/>
              <w:bottom w:w="30" w:type="dxa"/>
              <w:right w:w="20" w:type="dxa"/>
            </w:tcMar>
            <w:hideMark/>
          </w:tcPr>
          <w:p w:rsidR="00000000" w:rsidRDefault="001F1FC8">
            <w:pPr>
              <w:rPr>
                <w:rFonts w:eastAsia="Times New Roman"/>
              </w:rPr>
            </w:pPr>
            <w:r>
              <w:rPr>
                <w:rFonts w:ascii="Arial" w:eastAsia="Times New Roman" w:hAnsi="Arial" w:cs="Arial"/>
                <w:color w:val="000000"/>
                <w:sz w:val="20"/>
                <w:szCs w:val="20"/>
              </w:rPr>
              <w:t>December 31,</w:t>
            </w:r>
          </w:p>
        </w:tc>
        <w:tc>
          <w:tcPr>
            <w:tcW w:w="0" w:type="auto"/>
            <w:gridSpan w:val="3"/>
            <w:tcBorders>
              <w:top w:val="single" w:sz="4" w:space="0" w:color="000000"/>
            </w:tcBorders>
            <w:tcMar>
              <w:top w:w="30" w:type="dxa"/>
              <w:left w:w="20" w:type="dxa"/>
              <w:bottom w:w="30" w:type="dxa"/>
              <w:right w:w="20" w:type="dxa"/>
            </w:tcMar>
            <w:hideMark/>
          </w:tcPr>
          <w:p w:rsidR="00000000" w:rsidRDefault="001F1FC8">
            <w:pPr>
              <w:jc w:val="right"/>
              <w:rPr>
                <w:rFonts w:eastAsia="Times New Roman"/>
              </w:rPr>
            </w:pPr>
            <w:r>
              <w:rPr>
                <w:rFonts w:ascii="Arial" w:eastAsia="Times New Roman" w:hAnsi="Arial" w:cs="Arial"/>
                <w:b/>
                <w:bCs/>
                <w:color w:val="000000"/>
                <w:sz w:val="20"/>
                <w:szCs w:val="20"/>
              </w:rPr>
              <w:t>2021</w:t>
            </w:r>
          </w:p>
        </w:tc>
        <w:tc>
          <w:tcPr>
            <w:tcW w:w="0" w:type="auto"/>
            <w:gridSpan w:val="3"/>
            <w:tcBorders>
              <w:top w:val="single" w:sz="4" w:space="0" w:color="000000"/>
            </w:tcBorders>
            <w:tcMar>
              <w:top w:w="30" w:type="dxa"/>
              <w:left w:w="20" w:type="dxa"/>
              <w:bottom w:w="30" w:type="dxa"/>
              <w:right w:w="20" w:type="dxa"/>
            </w:tcMar>
            <w:hideMark/>
          </w:tcPr>
          <w:p w:rsidR="00000000" w:rsidRDefault="001F1FC8">
            <w:pPr>
              <w:jc w:val="right"/>
              <w:rPr>
                <w:rFonts w:eastAsia="Times New Roman"/>
              </w:rPr>
            </w:pPr>
            <w:r>
              <w:rPr>
                <w:rFonts w:ascii="Arial" w:eastAsia="Times New Roman" w:hAnsi="Arial" w:cs="Arial"/>
                <w:color w:val="000000"/>
                <w:sz w:val="20"/>
                <w:szCs w:val="20"/>
              </w:rPr>
              <w:t>2020</w:t>
            </w:r>
          </w:p>
        </w:tc>
        <w:tc>
          <w:tcPr>
            <w:tcW w:w="0" w:type="auto"/>
            <w:gridSpan w:val="3"/>
            <w:tcMar>
              <w:top w:w="0" w:type="dxa"/>
              <w:left w:w="20" w:type="dxa"/>
              <w:bottom w:w="0" w:type="dxa"/>
              <w:right w:w="20" w:type="dxa"/>
            </w:tcMar>
            <w:vAlign w:val="center"/>
            <w:hideMark/>
          </w:tcPr>
          <w:p w:rsidR="00000000" w:rsidRDefault="001F1FC8">
            <w:pPr>
              <w:jc w:val="right"/>
              <w:rPr>
                <w:rFonts w:eastAsia="Times New Roman"/>
              </w:rPr>
            </w:pPr>
          </w:p>
        </w:tc>
        <w:tc>
          <w:tcPr>
            <w:tcW w:w="0" w:type="auto"/>
            <w:gridSpan w:val="3"/>
            <w:tcBorders>
              <w:top w:val="single" w:sz="4" w:space="0" w:color="000000"/>
            </w:tcBorders>
            <w:tcMar>
              <w:top w:w="30" w:type="dxa"/>
              <w:left w:w="20" w:type="dxa"/>
              <w:bottom w:w="30" w:type="dxa"/>
              <w:right w:w="20" w:type="dxa"/>
            </w:tcMar>
            <w:hideMark/>
          </w:tcPr>
          <w:p w:rsidR="00000000" w:rsidRDefault="001F1FC8">
            <w:pPr>
              <w:jc w:val="right"/>
              <w:rPr>
                <w:rFonts w:eastAsia="Times New Roman"/>
              </w:rPr>
            </w:pPr>
            <w:r>
              <w:rPr>
                <w:rFonts w:ascii="Arial" w:eastAsia="Times New Roman" w:hAnsi="Arial" w:cs="Arial"/>
                <w:b/>
                <w:bCs/>
                <w:color w:val="000000"/>
                <w:sz w:val="20"/>
                <w:szCs w:val="20"/>
              </w:rPr>
              <w:t>2021</w:t>
            </w:r>
          </w:p>
        </w:tc>
        <w:tc>
          <w:tcPr>
            <w:tcW w:w="0" w:type="auto"/>
            <w:gridSpan w:val="3"/>
            <w:tcBorders>
              <w:top w:val="single" w:sz="4" w:space="0" w:color="000000"/>
            </w:tcBorders>
            <w:tcMar>
              <w:top w:w="30" w:type="dxa"/>
              <w:left w:w="20" w:type="dxa"/>
              <w:bottom w:w="30" w:type="dxa"/>
              <w:right w:w="20" w:type="dxa"/>
            </w:tcMar>
            <w:hideMark/>
          </w:tcPr>
          <w:p w:rsidR="00000000" w:rsidRDefault="001F1FC8">
            <w:pPr>
              <w:jc w:val="right"/>
              <w:rPr>
                <w:rFonts w:eastAsia="Times New Roman"/>
              </w:rPr>
            </w:pPr>
            <w:r>
              <w:rPr>
                <w:rFonts w:ascii="Arial" w:eastAsia="Times New Roman" w:hAnsi="Arial" w:cs="Arial"/>
                <w:color w:val="000000"/>
                <w:sz w:val="20"/>
                <w:szCs w:val="20"/>
              </w:rPr>
              <w:t>2020</w:t>
            </w:r>
          </w:p>
        </w:tc>
      </w:tr>
      <w:tr w:rsidR="00000000">
        <w:trPr>
          <w:divId w:val="724723610"/>
        </w:trPr>
        <w:tc>
          <w:tcPr>
            <w:tcW w:w="0" w:type="auto"/>
            <w:gridSpan w:val="3"/>
            <w:tcBorders>
              <w:top w:val="single" w:sz="4" w:space="0" w:color="000000"/>
            </w:tcBorders>
            <w:tcMar>
              <w:top w:w="30" w:type="dxa"/>
              <w:left w:w="20" w:type="dxa"/>
              <w:bottom w:w="30" w:type="dxa"/>
              <w:right w:w="20" w:type="dxa"/>
            </w:tcMar>
            <w:hideMark/>
          </w:tcPr>
          <w:p w:rsidR="00000000" w:rsidRDefault="001F1FC8">
            <w:pPr>
              <w:rPr>
                <w:rFonts w:eastAsia="Times New Roman"/>
              </w:rPr>
            </w:pPr>
            <w:r>
              <w:rPr>
                <w:rFonts w:ascii="Arial" w:eastAsia="Times New Roman" w:hAnsi="Arial" w:cs="Arial"/>
                <w:i/>
                <w:iCs/>
                <w:color w:val="000000"/>
                <w:sz w:val="16"/>
                <w:szCs w:val="16"/>
              </w:rPr>
              <w:t>(millions of Canadian dollars)</w:t>
            </w:r>
          </w:p>
        </w:tc>
        <w:tc>
          <w:tcPr>
            <w:tcW w:w="0" w:type="auto"/>
            <w:gridSpan w:val="3"/>
            <w:tcBorders>
              <w:top w:val="single" w:sz="4" w:space="0" w:color="000000"/>
            </w:tcBorders>
            <w:shd w:val="clear" w:color="auto" w:fill="D9D9D9"/>
            <w:tcMar>
              <w:top w:w="0" w:type="dxa"/>
              <w:left w:w="20" w:type="dxa"/>
              <w:bottom w:w="0" w:type="dxa"/>
              <w:right w:w="20" w:type="dxa"/>
            </w:tcMar>
            <w:vAlign w:val="center"/>
            <w:hideMark/>
          </w:tcPr>
          <w:p w:rsidR="00000000" w:rsidRDefault="001F1FC8">
            <w:pPr>
              <w:rPr>
                <w:rFonts w:eastAsia="Times New Roman"/>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1F1FC8">
            <w:pPr>
              <w:rPr>
                <w:rFonts w:eastAsia="Times New Roman"/>
                <w:sz w:val="20"/>
                <w:szCs w:val="20"/>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1F1FC8">
            <w:pPr>
              <w:rPr>
                <w:rFonts w:eastAsia="Times New Roman"/>
                <w:sz w:val="20"/>
                <w:szCs w:val="20"/>
              </w:rPr>
            </w:pPr>
          </w:p>
        </w:tc>
        <w:tc>
          <w:tcPr>
            <w:tcW w:w="0" w:type="auto"/>
            <w:gridSpan w:val="3"/>
            <w:tcBorders>
              <w:top w:val="single" w:sz="4" w:space="0" w:color="000000"/>
            </w:tcBorders>
            <w:shd w:val="clear" w:color="auto" w:fill="D9D9D9"/>
            <w:tcMar>
              <w:top w:w="0" w:type="dxa"/>
              <w:left w:w="20" w:type="dxa"/>
              <w:bottom w:w="0" w:type="dxa"/>
              <w:right w:w="20" w:type="dxa"/>
            </w:tcMar>
            <w:vAlign w:val="center"/>
            <w:hideMark/>
          </w:tcPr>
          <w:p w:rsidR="00000000" w:rsidRDefault="001F1FC8">
            <w:pPr>
              <w:rPr>
                <w:rFonts w:eastAsia="Times New Roman"/>
                <w:sz w:val="20"/>
                <w:szCs w:val="20"/>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1F1FC8">
            <w:pPr>
              <w:rPr>
                <w:rFonts w:eastAsia="Times New Roman"/>
                <w:sz w:val="20"/>
                <w:szCs w:val="20"/>
              </w:rPr>
            </w:pPr>
          </w:p>
        </w:tc>
      </w:tr>
      <w:tr w:rsidR="00000000">
        <w:trPr>
          <w:divId w:val="724723610"/>
        </w:trPr>
        <w:tc>
          <w:tcPr>
            <w:tcW w:w="0" w:type="auto"/>
            <w:gridSpan w:val="3"/>
            <w:tcMar>
              <w:top w:w="30" w:type="dxa"/>
              <w:left w:w="20" w:type="dxa"/>
              <w:bottom w:w="30" w:type="dxa"/>
              <w:right w:w="20" w:type="dxa"/>
            </w:tcMar>
            <w:hideMark/>
          </w:tcPr>
          <w:p w:rsidR="00000000" w:rsidRDefault="001F1FC8">
            <w:pPr>
              <w:rPr>
                <w:rFonts w:eastAsia="Times New Roman"/>
              </w:rPr>
            </w:pPr>
            <w:r>
              <w:rPr>
                <w:rFonts w:ascii="Arial" w:eastAsia="Times New Roman" w:hAnsi="Arial" w:cs="Arial"/>
                <w:color w:val="000000"/>
                <w:sz w:val="20"/>
                <w:szCs w:val="20"/>
              </w:rPr>
              <w:t>Projected benefit obligation</w:t>
            </w:r>
          </w:p>
        </w:tc>
        <w:tc>
          <w:tcPr>
            <w:tcW w:w="0" w:type="auto"/>
            <w:gridSpan w:val="2"/>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20"/>
                <w:szCs w:val="20"/>
              </w:rPr>
              <w:t>1,272</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4,434 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1F1FC8">
            <w:pPr>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20"/>
                <w:szCs w:val="20"/>
              </w:rPr>
              <w:t>121</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1,243 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r>
      <w:tr w:rsidR="00000000">
        <w:trPr>
          <w:divId w:val="724723610"/>
        </w:trPr>
        <w:tc>
          <w:tcPr>
            <w:tcW w:w="0" w:type="auto"/>
            <w:gridSpan w:val="3"/>
            <w:tcBorders>
              <w:bottom w:val="single" w:sz="8" w:space="0" w:color="000000"/>
            </w:tcBorders>
            <w:tcMar>
              <w:top w:w="30" w:type="dxa"/>
              <w:left w:w="20" w:type="dxa"/>
              <w:bottom w:w="30" w:type="dxa"/>
              <w:right w:w="20" w:type="dxa"/>
            </w:tcMar>
            <w:hideMark/>
          </w:tcPr>
          <w:p w:rsidR="00000000" w:rsidRDefault="001F1FC8">
            <w:pPr>
              <w:rPr>
                <w:rFonts w:eastAsia="Times New Roman"/>
              </w:rPr>
            </w:pPr>
            <w:r>
              <w:rPr>
                <w:rFonts w:ascii="Arial" w:eastAsia="Times New Roman" w:hAnsi="Arial" w:cs="Arial"/>
                <w:color w:val="000000"/>
                <w:sz w:val="20"/>
                <w:szCs w:val="20"/>
              </w:rPr>
              <w:t>Fair value of plan assets</w:t>
            </w:r>
          </w:p>
        </w:tc>
        <w:tc>
          <w:tcPr>
            <w:tcW w:w="0" w:type="auto"/>
            <w:gridSpan w:val="2"/>
            <w:tcBorders>
              <w:bottom w:val="single" w:sz="8" w:space="0" w:color="000000"/>
            </w:tcBorders>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20"/>
                <w:szCs w:val="20"/>
              </w:rPr>
              <w:t>1,020</w:t>
            </w:r>
            <w:r>
              <w:rPr>
                <w:rFonts w:ascii="Arial" w:eastAsia="Times New Roman" w:hAnsi="Arial" w:cs="Arial"/>
                <w:color w:val="000000"/>
                <w:sz w:val="20"/>
                <w:szCs w:val="20"/>
              </w:rPr>
              <w:t> </w:t>
            </w:r>
          </w:p>
        </w:tc>
        <w:tc>
          <w:tcPr>
            <w:tcW w:w="0" w:type="auto"/>
            <w:tcBorders>
              <w:bottom w:val="single" w:sz="8" w:space="0" w:color="000000"/>
            </w:tcBorders>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Borders>
              <w:bottom w:val="single" w:sz="8" w:space="0" w:color="000000"/>
            </w:tcBorders>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3,621 </w:t>
            </w:r>
          </w:p>
        </w:tc>
        <w:tc>
          <w:tcPr>
            <w:tcW w:w="0" w:type="auto"/>
            <w:tcBorders>
              <w:bottom w:val="single" w:sz="8" w:space="0" w:color="000000"/>
            </w:tcBorders>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3"/>
            <w:tcBorders>
              <w:bottom w:val="single" w:sz="8" w:space="0" w:color="000000"/>
            </w:tcBorders>
            <w:tcMar>
              <w:top w:w="0" w:type="dxa"/>
              <w:left w:w="20" w:type="dxa"/>
              <w:bottom w:w="0" w:type="dxa"/>
              <w:right w:w="20" w:type="dxa"/>
            </w:tcMar>
            <w:vAlign w:val="center"/>
            <w:hideMark/>
          </w:tcPr>
          <w:p w:rsidR="00000000" w:rsidRDefault="001F1FC8">
            <w:pPr>
              <w:jc w:val="right"/>
              <w:rPr>
                <w:rFonts w:eastAsia="Times New Roman"/>
                <w:sz w:val="20"/>
                <w:szCs w:val="20"/>
              </w:rPr>
            </w:pPr>
          </w:p>
        </w:tc>
        <w:tc>
          <w:tcPr>
            <w:tcW w:w="0" w:type="auto"/>
            <w:gridSpan w:val="2"/>
            <w:tcBorders>
              <w:bottom w:val="single" w:sz="8" w:space="0" w:color="000000"/>
            </w:tcBorders>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20"/>
                <w:szCs w:val="20"/>
              </w:rPr>
              <w:t>—</w:t>
            </w:r>
            <w:r>
              <w:rPr>
                <w:rFonts w:ascii="Arial" w:eastAsia="Times New Roman" w:hAnsi="Arial" w:cs="Arial"/>
                <w:color w:val="000000"/>
                <w:sz w:val="20"/>
                <w:szCs w:val="20"/>
              </w:rPr>
              <w:t> </w:t>
            </w:r>
          </w:p>
        </w:tc>
        <w:tc>
          <w:tcPr>
            <w:tcW w:w="0" w:type="auto"/>
            <w:tcBorders>
              <w:bottom w:val="single" w:sz="8" w:space="0" w:color="000000"/>
            </w:tcBorders>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Borders>
              <w:bottom w:val="single" w:sz="8" w:space="0" w:color="000000"/>
            </w:tcBorders>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1,062 </w:t>
            </w:r>
          </w:p>
        </w:tc>
        <w:tc>
          <w:tcPr>
            <w:tcW w:w="0" w:type="auto"/>
            <w:tcBorders>
              <w:bottom w:val="single" w:sz="8" w:space="0" w:color="000000"/>
            </w:tcBorders>
            <w:tcMar>
              <w:top w:w="30" w:type="dxa"/>
              <w:left w:w="0" w:type="dxa"/>
              <w:bottom w:w="30" w:type="dxa"/>
              <w:right w:w="20" w:type="dxa"/>
            </w:tcMar>
            <w:vAlign w:val="bottom"/>
            <w:hideMark/>
          </w:tcPr>
          <w:p w:rsidR="00000000" w:rsidRDefault="001F1FC8">
            <w:pPr>
              <w:jc w:val="right"/>
              <w:rPr>
                <w:rFonts w:eastAsia="Times New Roman"/>
              </w:rPr>
            </w:pPr>
          </w:p>
        </w:tc>
      </w:tr>
    </w:tbl>
    <w:p w:rsidR="00000000" w:rsidRDefault="001F1FC8">
      <w:pPr>
        <w:divId w:val="611475463"/>
        <w:rPr>
          <w:rFonts w:eastAsia="Times New Roman"/>
        </w:rPr>
      </w:pPr>
    </w:p>
    <w:p w:rsidR="00000000" w:rsidRDefault="001F1FC8">
      <w:pPr>
        <w:divId w:val="182323725"/>
        <w:rPr>
          <w:rFonts w:eastAsia="Times New Roman"/>
        </w:rPr>
      </w:pPr>
      <w:r>
        <w:rPr>
          <w:rFonts w:ascii="Arial" w:eastAsia="Times New Roman" w:hAnsi="Arial" w:cs="Arial"/>
          <w:b/>
          <w:bCs/>
          <w:color w:val="000000"/>
          <w:sz w:val="20"/>
          <w:szCs w:val="20"/>
        </w:rPr>
        <w:t>Amount Recognized in Accumulated Other Comprehensive Income</w:t>
      </w:r>
    </w:p>
    <w:p w:rsidR="00000000" w:rsidRDefault="001F1FC8">
      <w:pPr>
        <w:divId w:val="385182208"/>
        <w:rPr>
          <w:rFonts w:eastAsia="Times New Roman"/>
        </w:rPr>
      </w:pPr>
      <w:r>
        <w:rPr>
          <w:rFonts w:ascii="Arial" w:eastAsia="Times New Roman" w:hAnsi="Arial" w:cs="Arial"/>
          <w:color w:val="000000"/>
          <w:sz w:val="20"/>
          <w:szCs w:val="20"/>
        </w:rPr>
        <w:t>The amount of pre-tax AOCI relating to our pension plans are as follows:</w:t>
      </w:r>
    </w:p>
    <w:tbl>
      <w:tblPr>
        <w:tblW w:w="5000" w:type="pct"/>
        <w:tblCellMar>
          <w:top w:w="15" w:type="dxa"/>
          <w:left w:w="15" w:type="dxa"/>
          <w:bottom w:w="15" w:type="dxa"/>
          <w:right w:w="15" w:type="dxa"/>
        </w:tblCellMar>
        <w:tblLook w:val="04A0" w:firstRow="1" w:lastRow="0" w:firstColumn="1" w:lastColumn="0" w:noHBand="0" w:noVBand="1"/>
      </w:tblPr>
      <w:tblGrid>
        <w:gridCol w:w="65"/>
        <w:gridCol w:w="4459"/>
        <w:gridCol w:w="37"/>
        <w:gridCol w:w="65"/>
        <w:gridCol w:w="808"/>
        <w:gridCol w:w="37"/>
        <w:gridCol w:w="65"/>
        <w:gridCol w:w="808"/>
        <w:gridCol w:w="36"/>
        <w:gridCol w:w="36"/>
        <w:gridCol w:w="36"/>
        <w:gridCol w:w="36"/>
        <w:gridCol w:w="61"/>
        <w:gridCol w:w="809"/>
        <w:gridCol w:w="36"/>
        <w:gridCol w:w="66"/>
        <w:gridCol w:w="810"/>
        <w:gridCol w:w="36"/>
      </w:tblGrid>
      <w:tr w:rsidR="00000000">
        <w:trPr>
          <w:divId w:val="1950699773"/>
        </w:trPr>
        <w:tc>
          <w:tcPr>
            <w:tcW w:w="50" w:type="pct"/>
            <w:vAlign w:val="center"/>
            <w:hideMark/>
          </w:tcPr>
          <w:p w:rsidR="00000000" w:rsidRDefault="001F1FC8">
            <w:pPr>
              <w:rPr>
                <w:rFonts w:eastAsia="Times New Roman"/>
              </w:rPr>
            </w:pPr>
          </w:p>
        </w:tc>
        <w:tc>
          <w:tcPr>
            <w:tcW w:w="2693"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c>
          <w:tcPr>
            <w:tcW w:w="50" w:type="pct"/>
            <w:vAlign w:val="center"/>
            <w:hideMark/>
          </w:tcPr>
          <w:p w:rsidR="00000000" w:rsidRDefault="001F1FC8">
            <w:pPr>
              <w:rPr>
                <w:rFonts w:eastAsia="Times New Roman"/>
                <w:sz w:val="20"/>
                <w:szCs w:val="20"/>
              </w:rPr>
            </w:pPr>
          </w:p>
        </w:tc>
        <w:tc>
          <w:tcPr>
            <w:tcW w:w="497"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c>
          <w:tcPr>
            <w:tcW w:w="50" w:type="pct"/>
            <w:vAlign w:val="center"/>
            <w:hideMark/>
          </w:tcPr>
          <w:p w:rsidR="00000000" w:rsidRDefault="001F1FC8">
            <w:pPr>
              <w:rPr>
                <w:rFonts w:eastAsia="Times New Roman"/>
                <w:sz w:val="20"/>
                <w:szCs w:val="20"/>
              </w:rPr>
            </w:pPr>
          </w:p>
        </w:tc>
        <w:tc>
          <w:tcPr>
            <w:tcW w:w="497"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c>
          <w:tcPr>
            <w:tcW w:w="30"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c>
          <w:tcPr>
            <w:tcW w:w="50" w:type="pct"/>
            <w:vAlign w:val="center"/>
            <w:hideMark/>
          </w:tcPr>
          <w:p w:rsidR="00000000" w:rsidRDefault="001F1FC8">
            <w:pPr>
              <w:rPr>
                <w:rFonts w:eastAsia="Times New Roman"/>
                <w:sz w:val="20"/>
                <w:szCs w:val="20"/>
              </w:rPr>
            </w:pPr>
          </w:p>
        </w:tc>
        <w:tc>
          <w:tcPr>
            <w:tcW w:w="497"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c>
          <w:tcPr>
            <w:tcW w:w="50" w:type="pct"/>
            <w:vAlign w:val="center"/>
            <w:hideMark/>
          </w:tcPr>
          <w:p w:rsidR="00000000" w:rsidRDefault="001F1FC8">
            <w:pPr>
              <w:rPr>
                <w:rFonts w:eastAsia="Times New Roman"/>
                <w:sz w:val="20"/>
                <w:szCs w:val="20"/>
              </w:rPr>
            </w:pPr>
          </w:p>
        </w:tc>
        <w:tc>
          <w:tcPr>
            <w:tcW w:w="498"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r>
      <w:tr w:rsidR="00000000">
        <w:trPr>
          <w:divId w:val="1950699773"/>
        </w:trPr>
        <w:tc>
          <w:tcPr>
            <w:tcW w:w="0" w:type="auto"/>
            <w:gridSpan w:val="3"/>
            <w:tcMar>
              <w:top w:w="30" w:type="dxa"/>
              <w:left w:w="20" w:type="dxa"/>
              <w:bottom w:w="30" w:type="dxa"/>
              <w:right w:w="20" w:type="dxa"/>
            </w:tcMar>
            <w:hideMark/>
          </w:tcPr>
          <w:p w:rsidR="00000000" w:rsidRDefault="001F1FC8">
            <w:pPr>
              <w:rPr>
                <w:rFonts w:eastAsia="Times New Roman"/>
              </w:rPr>
            </w:pPr>
            <w:r>
              <w:rPr>
                <w:rFonts w:ascii="Arial" w:eastAsia="Times New Roman" w:hAnsi="Arial" w:cs="Arial"/>
                <w:color w:val="000000"/>
                <w:sz w:val="2"/>
                <w:szCs w:val="2"/>
              </w:rPr>
              <w:t> </w:t>
            </w:r>
          </w:p>
        </w:tc>
        <w:tc>
          <w:tcPr>
            <w:tcW w:w="0" w:type="auto"/>
            <w:gridSpan w:val="6"/>
            <w:tcMar>
              <w:top w:w="30" w:type="dxa"/>
              <w:left w:w="20" w:type="dxa"/>
              <w:bottom w:w="30" w:type="dxa"/>
              <w:right w:w="20" w:type="dxa"/>
            </w:tcMar>
            <w:vAlign w:val="bottom"/>
            <w:hideMark/>
          </w:tcPr>
          <w:p w:rsidR="00000000" w:rsidRDefault="001F1FC8">
            <w:pPr>
              <w:jc w:val="center"/>
              <w:rPr>
                <w:rFonts w:eastAsia="Times New Roman"/>
              </w:rPr>
            </w:pPr>
            <w:r>
              <w:rPr>
                <w:rFonts w:ascii="Arial" w:eastAsia="Times New Roman" w:hAnsi="Arial" w:cs="Arial"/>
                <w:color w:val="000000"/>
                <w:sz w:val="20"/>
                <w:szCs w:val="20"/>
              </w:rPr>
              <w:t>Canada</w:t>
            </w:r>
          </w:p>
        </w:tc>
        <w:tc>
          <w:tcPr>
            <w:tcW w:w="0" w:type="auto"/>
            <w:gridSpan w:val="3"/>
            <w:tcMar>
              <w:top w:w="0" w:type="dxa"/>
              <w:left w:w="20" w:type="dxa"/>
              <w:bottom w:w="0" w:type="dxa"/>
              <w:right w:w="20" w:type="dxa"/>
            </w:tcMar>
            <w:vAlign w:val="center"/>
            <w:hideMark/>
          </w:tcPr>
          <w:p w:rsidR="00000000" w:rsidRDefault="001F1FC8">
            <w:pPr>
              <w:jc w:val="center"/>
              <w:rPr>
                <w:rFonts w:eastAsia="Times New Roman"/>
              </w:rPr>
            </w:pPr>
          </w:p>
        </w:tc>
        <w:tc>
          <w:tcPr>
            <w:tcW w:w="0" w:type="auto"/>
            <w:gridSpan w:val="6"/>
            <w:tcMar>
              <w:top w:w="30" w:type="dxa"/>
              <w:left w:w="20" w:type="dxa"/>
              <w:bottom w:w="30" w:type="dxa"/>
              <w:right w:w="20" w:type="dxa"/>
            </w:tcMar>
            <w:vAlign w:val="bottom"/>
            <w:hideMark/>
          </w:tcPr>
          <w:p w:rsidR="00000000" w:rsidRDefault="001F1FC8">
            <w:pPr>
              <w:jc w:val="center"/>
              <w:rPr>
                <w:rFonts w:eastAsia="Times New Roman"/>
              </w:rPr>
            </w:pPr>
            <w:r>
              <w:rPr>
                <w:rFonts w:ascii="Arial" w:eastAsia="Times New Roman" w:hAnsi="Arial" w:cs="Arial"/>
                <w:color w:val="000000"/>
                <w:sz w:val="20"/>
                <w:szCs w:val="20"/>
              </w:rPr>
              <w:t>US</w:t>
            </w:r>
          </w:p>
        </w:tc>
      </w:tr>
      <w:tr w:rsidR="00000000">
        <w:trPr>
          <w:divId w:val="1950699773"/>
        </w:trPr>
        <w:tc>
          <w:tcPr>
            <w:tcW w:w="0" w:type="auto"/>
            <w:gridSpan w:val="3"/>
            <w:tcMar>
              <w:top w:w="30" w:type="dxa"/>
              <w:left w:w="20" w:type="dxa"/>
              <w:bottom w:w="30" w:type="dxa"/>
              <w:right w:w="20" w:type="dxa"/>
            </w:tcMar>
            <w:hideMark/>
          </w:tcPr>
          <w:p w:rsidR="00000000" w:rsidRDefault="001F1FC8">
            <w:pPr>
              <w:rPr>
                <w:rFonts w:eastAsia="Times New Roman"/>
              </w:rPr>
            </w:pPr>
            <w:r>
              <w:rPr>
                <w:rFonts w:ascii="Arial" w:eastAsia="Times New Roman" w:hAnsi="Arial" w:cs="Arial"/>
                <w:color w:val="000000"/>
                <w:sz w:val="20"/>
                <w:szCs w:val="20"/>
              </w:rPr>
              <w:t>December 31,</w:t>
            </w:r>
          </w:p>
        </w:tc>
        <w:tc>
          <w:tcPr>
            <w:tcW w:w="0" w:type="auto"/>
            <w:gridSpan w:val="3"/>
            <w:tcBorders>
              <w:top w:val="single" w:sz="4" w:space="0" w:color="000000"/>
            </w:tcBorders>
            <w:tcMar>
              <w:top w:w="30" w:type="dxa"/>
              <w:left w:w="20" w:type="dxa"/>
              <w:bottom w:w="30" w:type="dxa"/>
              <w:right w:w="20" w:type="dxa"/>
            </w:tcMar>
            <w:hideMark/>
          </w:tcPr>
          <w:p w:rsidR="00000000" w:rsidRDefault="001F1FC8">
            <w:pPr>
              <w:jc w:val="right"/>
              <w:rPr>
                <w:rFonts w:eastAsia="Times New Roman"/>
              </w:rPr>
            </w:pPr>
            <w:r>
              <w:rPr>
                <w:rFonts w:ascii="Arial" w:eastAsia="Times New Roman" w:hAnsi="Arial" w:cs="Arial"/>
                <w:b/>
                <w:bCs/>
                <w:color w:val="000000"/>
                <w:sz w:val="20"/>
                <w:szCs w:val="20"/>
              </w:rPr>
              <w:t>2021</w:t>
            </w:r>
          </w:p>
        </w:tc>
        <w:tc>
          <w:tcPr>
            <w:tcW w:w="0" w:type="auto"/>
            <w:gridSpan w:val="3"/>
            <w:tcBorders>
              <w:top w:val="single" w:sz="4" w:space="0" w:color="000000"/>
            </w:tcBorders>
            <w:tcMar>
              <w:top w:w="30" w:type="dxa"/>
              <w:left w:w="20" w:type="dxa"/>
              <w:bottom w:w="30" w:type="dxa"/>
              <w:right w:w="20" w:type="dxa"/>
            </w:tcMar>
            <w:hideMark/>
          </w:tcPr>
          <w:p w:rsidR="00000000" w:rsidRDefault="001F1FC8">
            <w:pPr>
              <w:jc w:val="right"/>
              <w:rPr>
                <w:rFonts w:eastAsia="Times New Roman"/>
              </w:rPr>
            </w:pPr>
            <w:r>
              <w:rPr>
                <w:rFonts w:ascii="Arial" w:eastAsia="Times New Roman" w:hAnsi="Arial" w:cs="Arial"/>
                <w:color w:val="000000"/>
                <w:sz w:val="20"/>
                <w:szCs w:val="20"/>
              </w:rPr>
              <w:t>2020</w:t>
            </w:r>
          </w:p>
        </w:tc>
        <w:tc>
          <w:tcPr>
            <w:tcW w:w="0" w:type="auto"/>
            <w:gridSpan w:val="3"/>
            <w:tcMar>
              <w:top w:w="0" w:type="dxa"/>
              <w:left w:w="20" w:type="dxa"/>
              <w:bottom w:w="0" w:type="dxa"/>
              <w:right w:w="20" w:type="dxa"/>
            </w:tcMar>
            <w:vAlign w:val="center"/>
            <w:hideMark/>
          </w:tcPr>
          <w:p w:rsidR="00000000" w:rsidRDefault="001F1FC8">
            <w:pPr>
              <w:jc w:val="right"/>
              <w:rPr>
                <w:rFonts w:eastAsia="Times New Roman"/>
              </w:rPr>
            </w:pPr>
          </w:p>
        </w:tc>
        <w:tc>
          <w:tcPr>
            <w:tcW w:w="0" w:type="auto"/>
            <w:gridSpan w:val="3"/>
            <w:tcBorders>
              <w:top w:val="single" w:sz="4" w:space="0" w:color="000000"/>
            </w:tcBorders>
            <w:tcMar>
              <w:top w:w="30" w:type="dxa"/>
              <w:left w:w="20" w:type="dxa"/>
              <w:bottom w:w="30" w:type="dxa"/>
              <w:right w:w="20" w:type="dxa"/>
            </w:tcMar>
            <w:hideMark/>
          </w:tcPr>
          <w:p w:rsidR="00000000" w:rsidRDefault="001F1FC8">
            <w:pPr>
              <w:jc w:val="right"/>
              <w:rPr>
                <w:rFonts w:eastAsia="Times New Roman"/>
              </w:rPr>
            </w:pPr>
            <w:r>
              <w:rPr>
                <w:rFonts w:ascii="Arial" w:eastAsia="Times New Roman" w:hAnsi="Arial" w:cs="Arial"/>
                <w:b/>
                <w:bCs/>
                <w:color w:val="000000"/>
                <w:sz w:val="20"/>
                <w:szCs w:val="20"/>
              </w:rPr>
              <w:t>2021</w:t>
            </w:r>
          </w:p>
        </w:tc>
        <w:tc>
          <w:tcPr>
            <w:tcW w:w="0" w:type="auto"/>
            <w:gridSpan w:val="3"/>
            <w:tcBorders>
              <w:top w:val="single" w:sz="4" w:space="0" w:color="000000"/>
            </w:tcBorders>
            <w:tcMar>
              <w:top w:w="30" w:type="dxa"/>
              <w:left w:w="20" w:type="dxa"/>
              <w:bottom w:w="30" w:type="dxa"/>
              <w:right w:w="20" w:type="dxa"/>
            </w:tcMar>
            <w:hideMark/>
          </w:tcPr>
          <w:p w:rsidR="00000000" w:rsidRDefault="001F1FC8">
            <w:pPr>
              <w:jc w:val="right"/>
              <w:rPr>
                <w:rFonts w:eastAsia="Times New Roman"/>
              </w:rPr>
            </w:pPr>
            <w:r>
              <w:rPr>
                <w:rFonts w:ascii="Arial" w:eastAsia="Times New Roman" w:hAnsi="Arial" w:cs="Arial"/>
                <w:color w:val="000000"/>
                <w:sz w:val="20"/>
                <w:szCs w:val="20"/>
              </w:rPr>
              <w:t>2020</w:t>
            </w:r>
          </w:p>
        </w:tc>
      </w:tr>
      <w:tr w:rsidR="00000000">
        <w:trPr>
          <w:divId w:val="1950699773"/>
        </w:trPr>
        <w:tc>
          <w:tcPr>
            <w:tcW w:w="0" w:type="auto"/>
            <w:gridSpan w:val="3"/>
            <w:tcBorders>
              <w:top w:val="single" w:sz="4" w:space="0" w:color="000000"/>
            </w:tcBorders>
            <w:tcMar>
              <w:top w:w="30" w:type="dxa"/>
              <w:left w:w="20" w:type="dxa"/>
              <w:bottom w:w="30" w:type="dxa"/>
              <w:right w:w="20" w:type="dxa"/>
            </w:tcMar>
            <w:hideMark/>
          </w:tcPr>
          <w:p w:rsidR="00000000" w:rsidRDefault="001F1FC8">
            <w:pPr>
              <w:rPr>
                <w:rFonts w:eastAsia="Times New Roman"/>
              </w:rPr>
            </w:pPr>
            <w:r>
              <w:rPr>
                <w:rFonts w:ascii="Arial" w:eastAsia="Times New Roman" w:hAnsi="Arial" w:cs="Arial"/>
                <w:i/>
                <w:iCs/>
                <w:color w:val="000000"/>
                <w:sz w:val="16"/>
                <w:szCs w:val="16"/>
              </w:rPr>
              <w:t>(millions of Canadian dollars)</w:t>
            </w:r>
          </w:p>
        </w:tc>
        <w:tc>
          <w:tcPr>
            <w:tcW w:w="0" w:type="auto"/>
            <w:gridSpan w:val="3"/>
            <w:tcBorders>
              <w:top w:val="single" w:sz="4" w:space="0" w:color="000000"/>
            </w:tcBorders>
            <w:shd w:val="clear" w:color="auto" w:fill="D9D9D9"/>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2"/>
                <w:szCs w:val="2"/>
              </w:rPr>
              <w:t> </w:t>
            </w: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1F1FC8">
            <w:pPr>
              <w:rPr>
                <w:rFonts w:eastAsia="Times New Roman"/>
              </w:rPr>
            </w:pPr>
            <w:r>
              <w:rPr>
                <w:rFonts w:ascii="Arial" w:eastAsia="Times New Roman" w:hAnsi="Arial" w:cs="Arial"/>
                <w:color w:val="000000"/>
                <w:sz w:val="20"/>
                <w:szCs w:val="20"/>
              </w:rPr>
              <w:t> </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1F1FC8">
            <w:pPr>
              <w:rPr>
                <w:rFonts w:eastAsia="Times New Roman"/>
              </w:rPr>
            </w:pPr>
          </w:p>
        </w:tc>
        <w:tc>
          <w:tcPr>
            <w:tcW w:w="0" w:type="auto"/>
            <w:gridSpan w:val="3"/>
            <w:tcBorders>
              <w:top w:val="single" w:sz="4" w:space="0" w:color="000000"/>
            </w:tcBorders>
            <w:shd w:val="clear" w:color="auto" w:fill="D9D9D9"/>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2"/>
                <w:szCs w:val="2"/>
              </w:rPr>
              <w:t> </w:t>
            </w: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1F1FC8">
            <w:pPr>
              <w:rPr>
                <w:rFonts w:eastAsia="Times New Roman"/>
              </w:rPr>
            </w:pPr>
            <w:r>
              <w:rPr>
                <w:rFonts w:ascii="Arial" w:eastAsia="Times New Roman" w:hAnsi="Arial" w:cs="Arial"/>
                <w:color w:val="000000"/>
                <w:sz w:val="20"/>
                <w:szCs w:val="20"/>
              </w:rPr>
              <w:t> </w:t>
            </w:r>
          </w:p>
        </w:tc>
      </w:tr>
      <w:tr w:rsidR="00000000">
        <w:trPr>
          <w:divId w:val="1950699773"/>
        </w:trPr>
        <w:tc>
          <w:tcPr>
            <w:tcW w:w="0" w:type="auto"/>
            <w:gridSpan w:val="3"/>
            <w:tcMar>
              <w:top w:w="30" w:type="dxa"/>
              <w:left w:w="20" w:type="dxa"/>
              <w:bottom w:w="30" w:type="dxa"/>
              <w:right w:w="20" w:type="dxa"/>
            </w:tcMar>
            <w:hideMark/>
          </w:tcPr>
          <w:p w:rsidR="00000000" w:rsidRDefault="001F1FC8">
            <w:pPr>
              <w:rPr>
                <w:rFonts w:eastAsia="Times New Roman"/>
              </w:rPr>
            </w:pPr>
            <w:r>
              <w:rPr>
                <w:rFonts w:ascii="Arial" w:eastAsia="Times New Roman" w:hAnsi="Arial" w:cs="Arial"/>
                <w:color w:val="000000"/>
                <w:sz w:val="20"/>
                <w:szCs w:val="20"/>
              </w:rPr>
              <w:t>Net actuarial loss</w:t>
            </w:r>
          </w:p>
        </w:tc>
        <w:tc>
          <w:tcPr>
            <w:tcW w:w="0" w:type="auto"/>
            <w:gridSpan w:val="2"/>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20"/>
                <w:szCs w:val="20"/>
              </w:rPr>
              <w:t>226</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542 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1F1FC8">
            <w:pPr>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20"/>
                <w:szCs w:val="20"/>
              </w:rPr>
              <w:t>92</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233 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r>
      <w:tr w:rsidR="00000000">
        <w:trPr>
          <w:divId w:val="1950699773"/>
        </w:trPr>
        <w:tc>
          <w:tcPr>
            <w:tcW w:w="0" w:type="auto"/>
            <w:gridSpan w:val="3"/>
            <w:tcMar>
              <w:top w:w="30" w:type="dxa"/>
              <w:left w:w="20" w:type="dxa"/>
              <w:bottom w:w="30" w:type="dxa"/>
              <w:right w:w="20" w:type="dxa"/>
            </w:tcMar>
            <w:hideMark/>
          </w:tcPr>
          <w:p w:rsidR="00000000" w:rsidRDefault="001F1FC8">
            <w:pPr>
              <w:rPr>
                <w:rFonts w:eastAsia="Times New Roman"/>
              </w:rPr>
            </w:pPr>
            <w:r>
              <w:rPr>
                <w:rFonts w:ascii="Arial" w:eastAsia="Times New Roman" w:hAnsi="Arial" w:cs="Arial"/>
                <w:color w:val="000000"/>
                <w:sz w:val="20"/>
                <w:szCs w:val="20"/>
              </w:rPr>
              <w:t>Prior service credit</w:t>
            </w:r>
          </w:p>
        </w:tc>
        <w:tc>
          <w:tcPr>
            <w:tcW w:w="0" w:type="auto"/>
            <w:gridSpan w:val="2"/>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20"/>
                <w:szCs w:val="20"/>
              </w:rPr>
              <w:t>—</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1F1FC8">
            <w:pPr>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20"/>
                <w:szCs w:val="20"/>
              </w:rPr>
              <w:t>(1)</w:t>
            </w:r>
          </w:p>
        </w:tc>
        <w:tc>
          <w:tcPr>
            <w:tcW w:w="0" w:type="auto"/>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(1)</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r>
      <w:tr w:rsidR="00000000">
        <w:trPr>
          <w:divId w:val="1950699773"/>
        </w:trPr>
        <w:tc>
          <w:tcPr>
            <w:tcW w:w="0" w:type="auto"/>
            <w:gridSpan w:val="3"/>
            <w:tcBorders>
              <w:top w:val="single" w:sz="4" w:space="0" w:color="000000"/>
              <w:bottom w:val="single" w:sz="8" w:space="0" w:color="000000"/>
            </w:tcBorders>
            <w:tcMar>
              <w:top w:w="30" w:type="dxa"/>
              <w:left w:w="20" w:type="dxa"/>
              <w:bottom w:w="30" w:type="dxa"/>
              <w:right w:w="20" w:type="dxa"/>
            </w:tcMar>
            <w:hideMark/>
          </w:tcPr>
          <w:p w:rsidR="00000000" w:rsidRDefault="001F1FC8">
            <w:pPr>
              <w:divId w:val="451244631"/>
              <w:rPr>
                <w:rFonts w:eastAsia="Times New Roman"/>
              </w:rPr>
            </w:pPr>
            <w:r>
              <w:rPr>
                <w:rFonts w:ascii="Arial" w:eastAsia="Times New Roman" w:hAnsi="Arial" w:cs="Arial"/>
                <w:color w:val="000000"/>
                <w:sz w:val="20"/>
                <w:szCs w:val="20"/>
              </w:rPr>
              <w:t>Total amount recognized in AOC</w:t>
            </w:r>
            <w:r>
              <w:rPr>
                <w:rFonts w:ascii="Arial" w:eastAsia="Times New Roman" w:hAnsi="Arial" w:cs="Arial"/>
                <w:color w:val="000000"/>
                <w:sz w:val="20"/>
                <w:szCs w:val="20"/>
              </w:rPr>
              <w:t>I</w:t>
            </w:r>
            <w:r>
              <w:rPr>
                <w:rFonts w:ascii="Arial" w:eastAsia="Times New Roman" w:hAnsi="Arial" w:cs="Arial"/>
                <w:color w:val="000000"/>
                <w:sz w:val="13"/>
                <w:szCs w:val="13"/>
              </w:rPr>
              <w:t>1</w:t>
            </w:r>
          </w:p>
        </w:tc>
        <w:tc>
          <w:tcPr>
            <w:tcW w:w="0" w:type="auto"/>
            <w:gridSpan w:val="2"/>
            <w:tcBorders>
              <w:top w:val="single" w:sz="4" w:space="0" w:color="000000"/>
              <w:bottom w:val="single" w:sz="8" w:space="0" w:color="000000"/>
            </w:tcBorders>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20"/>
                <w:szCs w:val="20"/>
              </w:rPr>
              <w:t>226</w:t>
            </w:r>
            <w:r>
              <w:rPr>
                <w:rFonts w:ascii="Arial" w:eastAsia="Times New Roman" w:hAnsi="Arial" w:cs="Arial"/>
                <w:color w:val="000000"/>
                <w:sz w:val="20"/>
                <w:szCs w:val="20"/>
              </w:rPr>
              <w:t> </w:t>
            </w:r>
          </w:p>
        </w:tc>
        <w:tc>
          <w:tcPr>
            <w:tcW w:w="0" w:type="auto"/>
            <w:tcBorders>
              <w:top w:val="single" w:sz="4" w:space="0" w:color="000000"/>
              <w:bottom w:val="single" w:sz="8" w:space="0" w:color="000000"/>
            </w:tcBorders>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Borders>
              <w:top w:val="single" w:sz="4" w:space="0" w:color="000000"/>
              <w:bottom w:val="single" w:sz="8" w:space="0" w:color="000000"/>
            </w:tcBorders>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542 </w:t>
            </w:r>
          </w:p>
        </w:tc>
        <w:tc>
          <w:tcPr>
            <w:tcW w:w="0" w:type="auto"/>
            <w:tcBorders>
              <w:top w:val="single" w:sz="4" w:space="0" w:color="000000"/>
              <w:bottom w:val="single" w:sz="8" w:space="0" w:color="000000"/>
            </w:tcBorders>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3"/>
            <w:tcBorders>
              <w:top w:val="single" w:sz="4" w:space="0" w:color="000000"/>
              <w:bottom w:val="single" w:sz="8" w:space="0" w:color="000000"/>
            </w:tcBorders>
            <w:tcMar>
              <w:top w:w="0" w:type="dxa"/>
              <w:left w:w="20" w:type="dxa"/>
              <w:bottom w:w="0" w:type="dxa"/>
              <w:right w:w="20" w:type="dxa"/>
            </w:tcMar>
            <w:vAlign w:val="center"/>
            <w:hideMark/>
          </w:tcPr>
          <w:p w:rsidR="00000000" w:rsidRDefault="001F1FC8">
            <w:pPr>
              <w:jc w:val="right"/>
              <w:rPr>
                <w:rFonts w:eastAsia="Times New Roman"/>
                <w:sz w:val="20"/>
                <w:szCs w:val="20"/>
              </w:rPr>
            </w:pPr>
          </w:p>
        </w:tc>
        <w:tc>
          <w:tcPr>
            <w:tcW w:w="0" w:type="auto"/>
            <w:gridSpan w:val="2"/>
            <w:tcBorders>
              <w:top w:val="single" w:sz="4" w:space="0" w:color="000000"/>
              <w:bottom w:val="single" w:sz="8" w:space="0" w:color="000000"/>
            </w:tcBorders>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20"/>
                <w:szCs w:val="20"/>
              </w:rPr>
              <w:t>91</w:t>
            </w:r>
            <w:r>
              <w:rPr>
                <w:rFonts w:ascii="Arial" w:eastAsia="Times New Roman" w:hAnsi="Arial" w:cs="Arial"/>
                <w:color w:val="000000"/>
                <w:sz w:val="20"/>
                <w:szCs w:val="20"/>
              </w:rPr>
              <w:t> </w:t>
            </w:r>
          </w:p>
        </w:tc>
        <w:tc>
          <w:tcPr>
            <w:tcW w:w="0" w:type="auto"/>
            <w:tcBorders>
              <w:top w:val="single" w:sz="4" w:space="0" w:color="000000"/>
              <w:bottom w:val="single" w:sz="8" w:space="0" w:color="000000"/>
            </w:tcBorders>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Borders>
              <w:top w:val="single" w:sz="4" w:space="0" w:color="000000"/>
              <w:bottom w:val="single" w:sz="8" w:space="0" w:color="000000"/>
            </w:tcBorders>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232 </w:t>
            </w:r>
          </w:p>
        </w:tc>
        <w:tc>
          <w:tcPr>
            <w:tcW w:w="0" w:type="auto"/>
            <w:tcBorders>
              <w:top w:val="single" w:sz="4" w:space="0" w:color="000000"/>
              <w:bottom w:val="single" w:sz="8" w:space="0" w:color="000000"/>
            </w:tcBorders>
            <w:tcMar>
              <w:top w:w="30" w:type="dxa"/>
              <w:left w:w="0" w:type="dxa"/>
              <w:bottom w:w="30" w:type="dxa"/>
              <w:right w:w="20" w:type="dxa"/>
            </w:tcMar>
            <w:vAlign w:val="bottom"/>
            <w:hideMark/>
          </w:tcPr>
          <w:p w:rsidR="00000000" w:rsidRDefault="001F1FC8">
            <w:pPr>
              <w:jc w:val="right"/>
              <w:rPr>
                <w:rFonts w:eastAsia="Times New Roman"/>
              </w:rPr>
            </w:pPr>
          </w:p>
        </w:tc>
      </w:tr>
    </w:tbl>
    <w:p w:rsidR="00000000" w:rsidRDefault="001F1FC8">
      <w:pPr>
        <w:divId w:val="253827322"/>
        <w:rPr>
          <w:rFonts w:eastAsia="Times New Roman"/>
        </w:rPr>
      </w:pPr>
      <w:r>
        <w:rPr>
          <w:rFonts w:ascii="Arial" w:eastAsia="Times New Roman" w:hAnsi="Arial" w:cs="Arial"/>
          <w:i/>
          <w:iCs/>
          <w:color w:val="000000"/>
          <w:sz w:val="16"/>
          <w:szCs w:val="16"/>
        </w:rPr>
        <w:t>1 Excludes amounts related to cumulative translation adjustment.</w:t>
      </w:r>
    </w:p>
    <w:p w:rsidR="00000000" w:rsidRDefault="001F1FC8">
      <w:pPr>
        <w:divId w:val="1337073661"/>
        <w:rPr>
          <w:rFonts w:eastAsia="Times New Roman"/>
        </w:rPr>
      </w:pPr>
    </w:p>
    <w:p w:rsidR="00000000" w:rsidRDefault="001F1FC8">
      <w:pPr>
        <w:divId w:val="1192381345"/>
        <w:rPr>
          <w:rFonts w:eastAsia="Times New Roman"/>
        </w:rPr>
      </w:pPr>
      <w:r>
        <w:rPr>
          <w:rFonts w:ascii="Arial" w:eastAsia="Times New Roman" w:hAnsi="Arial" w:cs="Arial"/>
          <w:b/>
          <w:bCs/>
          <w:color w:val="000000"/>
          <w:sz w:val="20"/>
          <w:szCs w:val="20"/>
        </w:rPr>
        <w:t>Net Periodic Benefit Cost and Other Amounts Recognized in Comprehensive Income</w:t>
      </w:r>
    </w:p>
    <w:p w:rsidR="00000000" w:rsidRDefault="001F1FC8">
      <w:pPr>
        <w:divId w:val="2115976901"/>
        <w:rPr>
          <w:rFonts w:eastAsia="Times New Roman"/>
        </w:rPr>
      </w:pPr>
      <w:r>
        <w:rPr>
          <w:rFonts w:ascii="Arial" w:eastAsia="Times New Roman" w:hAnsi="Arial" w:cs="Arial"/>
          <w:color w:val="000000"/>
          <w:sz w:val="20"/>
          <w:szCs w:val="20"/>
        </w:rPr>
        <w:t>The components of net periodic benefit cost and other amounts recognized in pre-tax Comprehensive income related to our pension plans are as follows:</w:t>
      </w:r>
    </w:p>
    <w:tbl>
      <w:tblPr>
        <w:tblW w:w="5000" w:type="pct"/>
        <w:tblCellMar>
          <w:top w:w="15" w:type="dxa"/>
          <w:left w:w="15" w:type="dxa"/>
          <w:bottom w:w="15" w:type="dxa"/>
          <w:right w:w="15" w:type="dxa"/>
        </w:tblCellMar>
        <w:tblLook w:val="04A0" w:firstRow="1" w:lastRow="0" w:firstColumn="1" w:lastColumn="0" w:noHBand="0" w:noVBand="1"/>
      </w:tblPr>
      <w:tblGrid>
        <w:gridCol w:w="38"/>
        <w:gridCol w:w="83"/>
        <w:gridCol w:w="38"/>
        <w:gridCol w:w="63"/>
        <w:gridCol w:w="3658"/>
        <w:gridCol w:w="39"/>
        <w:gridCol w:w="63"/>
        <w:gridCol w:w="621"/>
        <w:gridCol w:w="37"/>
        <w:gridCol w:w="64"/>
        <w:gridCol w:w="621"/>
        <w:gridCol w:w="36"/>
        <w:gridCol w:w="64"/>
        <w:gridCol w:w="621"/>
        <w:gridCol w:w="36"/>
        <w:gridCol w:w="36"/>
        <w:gridCol w:w="36"/>
        <w:gridCol w:w="36"/>
        <w:gridCol w:w="59"/>
        <w:gridCol w:w="607"/>
        <w:gridCol w:w="36"/>
        <w:gridCol w:w="64"/>
        <w:gridCol w:w="607"/>
        <w:gridCol w:w="36"/>
        <w:gridCol w:w="64"/>
        <w:gridCol w:w="607"/>
        <w:gridCol w:w="36"/>
      </w:tblGrid>
      <w:tr w:rsidR="00000000">
        <w:trPr>
          <w:divId w:val="597829455"/>
        </w:trPr>
        <w:tc>
          <w:tcPr>
            <w:tcW w:w="5" w:type="pct"/>
            <w:vAlign w:val="center"/>
            <w:hideMark/>
          </w:tcPr>
          <w:p w:rsidR="00000000" w:rsidRDefault="001F1FC8">
            <w:pPr>
              <w:rPr>
                <w:rFonts w:eastAsia="Times New Roman"/>
              </w:rPr>
            </w:pPr>
          </w:p>
        </w:tc>
        <w:tc>
          <w:tcPr>
            <w:tcW w:w="62"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c>
          <w:tcPr>
            <w:tcW w:w="50" w:type="pct"/>
            <w:vAlign w:val="center"/>
            <w:hideMark/>
          </w:tcPr>
          <w:p w:rsidR="00000000" w:rsidRDefault="001F1FC8">
            <w:pPr>
              <w:rPr>
                <w:rFonts w:eastAsia="Times New Roman"/>
                <w:sz w:val="20"/>
                <w:szCs w:val="20"/>
              </w:rPr>
            </w:pPr>
          </w:p>
        </w:tc>
        <w:tc>
          <w:tcPr>
            <w:tcW w:w="2212"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c>
          <w:tcPr>
            <w:tcW w:w="50" w:type="pct"/>
            <w:vAlign w:val="center"/>
            <w:hideMark/>
          </w:tcPr>
          <w:p w:rsidR="00000000" w:rsidRDefault="001F1FC8">
            <w:pPr>
              <w:rPr>
                <w:rFonts w:eastAsia="Times New Roman"/>
                <w:sz w:val="20"/>
                <w:szCs w:val="20"/>
              </w:rPr>
            </w:pPr>
          </w:p>
        </w:tc>
        <w:tc>
          <w:tcPr>
            <w:tcW w:w="385"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c>
          <w:tcPr>
            <w:tcW w:w="50" w:type="pct"/>
            <w:vAlign w:val="center"/>
            <w:hideMark/>
          </w:tcPr>
          <w:p w:rsidR="00000000" w:rsidRDefault="001F1FC8">
            <w:pPr>
              <w:rPr>
                <w:rFonts w:eastAsia="Times New Roman"/>
                <w:sz w:val="20"/>
                <w:szCs w:val="20"/>
              </w:rPr>
            </w:pPr>
          </w:p>
        </w:tc>
        <w:tc>
          <w:tcPr>
            <w:tcW w:w="385"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c>
          <w:tcPr>
            <w:tcW w:w="50" w:type="pct"/>
            <w:vAlign w:val="center"/>
            <w:hideMark/>
          </w:tcPr>
          <w:p w:rsidR="00000000" w:rsidRDefault="001F1FC8">
            <w:pPr>
              <w:rPr>
                <w:rFonts w:eastAsia="Times New Roman"/>
                <w:sz w:val="20"/>
                <w:szCs w:val="20"/>
              </w:rPr>
            </w:pPr>
          </w:p>
        </w:tc>
        <w:tc>
          <w:tcPr>
            <w:tcW w:w="385"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c>
          <w:tcPr>
            <w:tcW w:w="30"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c>
          <w:tcPr>
            <w:tcW w:w="50" w:type="pct"/>
            <w:vAlign w:val="center"/>
            <w:hideMark/>
          </w:tcPr>
          <w:p w:rsidR="00000000" w:rsidRDefault="001F1FC8">
            <w:pPr>
              <w:rPr>
                <w:rFonts w:eastAsia="Times New Roman"/>
                <w:sz w:val="20"/>
                <w:szCs w:val="20"/>
              </w:rPr>
            </w:pPr>
          </w:p>
        </w:tc>
        <w:tc>
          <w:tcPr>
            <w:tcW w:w="377"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c>
          <w:tcPr>
            <w:tcW w:w="50" w:type="pct"/>
            <w:vAlign w:val="center"/>
            <w:hideMark/>
          </w:tcPr>
          <w:p w:rsidR="00000000" w:rsidRDefault="001F1FC8">
            <w:pPr>
              <w:rPr>
                <w:rFonts w:eastAsia="Times New Roman"/>
                <w:sz w:val="20"/>
                <w:szCs w:val="20"/>
              </w:rPr>
            </w:pPr>
          </w:p>
        </w:tc>
        <w:tc>
          <w:tcPr>
            <w:tcW w:w="377"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c>
          <w:tcPr>
            <w:tcW w:w="50" w:type="pct"/>
            <w:vAlign w:val="center"/>
            <w:hideMark/>
          </w:tcPr>
          <w:p w:rsidR="00000000" w:rsidRDefault="001F1FC8">
            <w:pPr>
              <w:rPr>
                <w:rFonts w:eastAsia="Times New Roman"/>
                <w:sz w:val="20"/>
                <w:szCs w:val="20"/>
              </w:rPr>
            </w:pPr>
          </w:p>
        </w:tc>
        <w:tc>
          <w:tcPr>
            <w:tcW w:w="377"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r>
      <w:tr w:rsidR="00000000">
        <w:trPr>
          <w:divId w:val="597829455"/>
        </w:trPr>
        <w:tc>
          <w:tcPr>
            <w:tcW w:w="0" w:type="auto"/>
            <w:gridSpan w:val="6"/>
            <w:tcMar>
              <w:top w:w="0" w:type="dxa"/>
              <w:left w:w="20" w:type="dxa"/>
              <w:bottom w:w="0" w:type="dxa"/>
              <w:right w:w="20" w:type="dxa"/>
            </w:tcMar>
            <w:vAlign w:val="center"/>
            <w:hideMark/>
          </w:tcPr>
          <w:p w:rsidR="00000000" w:rsidRDefault="001F1FC8">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1F1FC8">
            <w:pPr>
              <w:jc w:val="center"/>
              <w:rPr>
                <w:rFonts w:eastAsia="Times New Roman"/>
              </w:rPr>
            </w:pPr>
            <w:r>
              <w:rPr>
                <w:rFonts w:ascii="Arial" w:eastAsia="Times New Roman" w:hAnsi="Arial" w:cs="Arial"/>
                <w:color w:val="000000"/>
                <w:sz w:val="18"/>
                <w:szCs w:val="18"/>
              </w:rPr>
              <w:t>Canada</w:t>
            </w:r>
          </w:p>
        </w:tc>
        <w:tc>
          <w:tcPr>
            <w:tcW w:w="0" w:type="auto"/>
            <w:gridSpan w:val="3"/>
            <w:tcMar>
              <w:top w:w="0" w:type="dxa"/>
              <w:left w:w="20" w:type="dxa"/>
              <w:bottom w:w="0" w:type="dxa"/>
              <w:right w:w="20" w:type="dxa"/>
            </w:tcMar>
            <w:vAlign w:val="center"/>
            <w:hideMark/>
          </w:tcPr>
          <w:p w:rsidR="00000000" w:rsidRDefault="001F1FC8">
            <w:pPr>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1F1FC8">
            <w:pPr>
              <w:jc w:val="center"/>
              <w:rPr>
                <w:rFonts w:eastAsia="Times New Roman"/>
              </w:rPr>
            </w:pPr>
            <w:r>
              <w:rPr>
                <w:rFonts w:ascii="Arial" w:eastAsia="Times New Roman" w:hAnsi="Arial" w:cs="Arial"/>
                <w:color w:val="000000"/>
                <w:sz w:val="18"/>
                <w:szCs w:val="18"/>
              </w:rPr>
              <w:t>US</w:t>
            </w:r>
          </w:p>
        </w:tc>
      </w:tr>
      <w:tr w:rsidR="00000000">
        <w:trPr>
          <w:divId w:val="597829455"/>
        </w:trPr>
        <w:tc>
          <w:tcPr>
            <w:tcW w:w="0" w:type="auto"/>
            <w:gridSpan w:val="6"/>
            <w:tcBorders>
              <w:bottom w:val="single" w:sz="4" w:space="0" w:color="000000"/>
            </w:tcBorders>
            <w:tcMar>
              <w:top w:w="30" w:type="dxa"/>
              <w:left w:w="20" w:type="dxa"/>
              <w:bottom w:w="30" w:type="dxa"/>
              <w:right w:w="20" w:type="dxa"/>
            </w:tcMar>
            <w:vAlign w:val="bottom"/>
            <w:hideMark/>
          </w:tcPr>
          <w:p w:rsidR="00000000" w:rsidRDefault="001F1FC8">
            <w:pPr>
              <w:rPr>
                <w:rFonts w:eastAsia="Times New Roman"/>
              </w:rPr>
            </w:pPr>
            <w:r>
              <w:rPr>
                <w:rFonts w:ascii="Arial" w:eastAsia="Times New Roman" w:hAnsi="Arial" w:cs="Arial"/>
                <w:color w:val="000000"/>
                <w:sz w:val="18"/>
                <w:szCs w:val="18"/>
              </w:rPr>
              <w:t xml:space="preserve">Year ended December 31, </w:t>
            </w:r>
          </w:p>
        </w:tc>
        <w:tc>
          <w:tcPr>
            <w:tcW w:w="0" w:type="auto"/>
            <w:gridSpan w:val="3"/>
            <w:tcBorders>
              <w:top w:val="single" w:sz="4" w:space="0" w:color="000000"/>
            </w:tcBorders>
            <w:tcMar>
              <w:top w:w="30" w:type="dxa"/>
              <w:left w:w="20" w:type="dxa"/>
              <w:bottom w:w="30" w:type="dxa"/>
              <w:right w:w="20" w:type="dxa"/>
            </w:tcMar>
            <w:hideMark/>
          </w:tcPr>
          <w:p w:rsidR="00000000" w:rsidRDefault="001F1FC8">
            <w:pPr>
              <w:jc w:val="right"/>
              <w:rPr>
                <w:rFonts w:eastAsia="Times New Roman"/>
              </w:rPr>
            </w:pPr>
            <w:r>
              <w:rPr>
                <w:rFonts w:ascii="Arial" w:eastAsia="Times New Roman" w:hAnsi="Arial" w:cs="Arial"/>
                <w:b/>
                <w:bCs/>
                <w:color w:val="000000"/>
                <w:sz w:val="18"/>
                <w:szCs w:val="18"/>
              </w:rPr>
              <w:t>2021</w:t>
            </w:r>
          </w:p>
        </w:tc>
        <w:tc>
          <w:tcPr>
            <w:tcW w:w="0" w:type="auto"/>
            <w:gridSpan w:val="3"/>
            <w:tcBorders>
              <w:top w:val="single" w:sz="4" w:space="0" w:color="000000"/>
            </w:tcBorders>
            <w:tcMar>
              <w:top w:w="30" w:type="dxa"/>
              <w:left w:w="20" w:type="dxa"/>
              <w:bottom w:w="30" w:type="dxa"/>
              <w:right w:w="20" w:type="dxa"/>
            </w:tcMar>
            <w:hideMark/>
          </w:tcPr>
          <w:p w:rsidR="00000000" w:rsidRDefault="001F1FC8">
            <w:pPr>
              <w:jc w:val="right"/>
              <w:rPr>
                <w:rFonts w:eastAsia="Times New Roman"/>
              </w:rPr>
            </w:pPr>
            <w:r>
              <w:rPr>
                <w:rFonts w:ascii="Arial" w:eastAsia="Times New Roman" w:hAnsi="Arial" w:cs="Arial"/>
                <w:color w:val="000000"/>
                <w:sz w:val="18"/>
                <w:szCs w:val="18"/>
              </w:rPr>
              <w:t>2020</w:t>
            </w:r>
          </w:p>
        </w:tc>
        <w:tc>
          <w:tcPr>
            <w:tcW w:w="0" w:type="auto"/>
            <w:gridSpan w:val="3"/>
            <w:tcBorders>
              <w:top w:val="single" w:sz="4" w:space="0" w:color="000000"/>
            </w:tcBorders>
            <w:tcMar>
              <w:top w:w="30" w:type="dxa"/>
              <w:left w:w="20" w:type="dxa"/>
              <w:bottom w:w="30" w:type="dxa"/>
              <w:right w:w="20" w:type="dxa"/>
            </w:tcMar>
            <w:hideMark/>
          </w:tcPr>
          <w:p w:rsidR="00000000" w:rsidRDefault="001F1FC8">
            <w:pPr>
              <w:jc w:val="right"/>
              <w:rPr>
                <w:rFonts w:eastAsia="Times New Roman"/>
              </w:rPr>
            </w:pPr>
            <w:r>
              <w:rPr>
                <w:rFonts w:ascii="Arial" w:eastAsia="Times New Roman" w:hAnsi="Arial" w:cs="Arial"/>
                <w:color w:val="000000"/>
                <w:sz w:val="18"/>
                <w:szCs w:val="18"/>
              </w:rPr>
              <w:t>2019</w:t>
            </w:r>
          </w:p>
        </w:tc>
        <w:tc>
          <w:tcPr>
            <w:tcW w:w="0" w:type="auto"/>
            <w:gridSpan w:val="3"/>
            <w:tcMar>
              <w:top w:w="0" w:type="dxa"/>
              <w:left w:w="20" w:type="dxa"/>
              <w:bottom w:w="0" w:type="dxa"/>
              <w:right w:w="20" w:type="dxa"/>
            </w:tcMar>
            <w:vAlign w:val="center"/>
            <w:hideMark/>
          </w:tcPr>
          <w:p w:rsidR="00000000" w:rsidRDefault="001F1FC8">
            <w:pPr>
              <w:jc w:val="right"/>
              <w:rPr>
                <w:rFonts w:eastAsia="Times New Roman"/>
              </w:rPr>
            </w:pPr>
          </w:p>
        </w:tc>
        <w:tc>
          <w:tcPr>
            <w:tcW w:w="0" w:type="auto"/>
            <w:gridSpan w:val="3"/>
            <w:tcBorders>
              <w:top w:val="single" w:sz="4" w:space="0" w:color="000000"/>
            </w:tcBorders>
            <w:tcMar>
              <w:top w:w="30" w:type="dxa"/>
              <w:left w:w="20" w:type="dxa"/>
              <w:bottom w:w="30" w:type="dxa"/>
              <w:right w:w="20" w:type="dxa"/>
            </w:tcMar>
            <w:hideMark/>
          </w:tcPr>
          <w:p w:rsidR="00000000" w:rsidRDefault="001F1FC8">
            <w:pPr>
              <w:jc w:val="right"/>
              <w:rPr>
                <w:rFonts w:eastAsia="Times New Roman"/>
              </w:rPr>
            </w:pPr>
            <w:r>
              <w:rPr>
                <w:rFonts w:ascii="Arial" w:eastAsia="Times New Roman" w:hAnsi="Arial" w:cs="Arial"/>
                <w:b/>
                <w:bCs/>
                <w:color w:val="000000"/>
                <w:sz w:val="18"/>
                <w:szCs w:val="18"/>
              </w:rPr>
              <w:t>2021</w:t>
            </w:r>
          </w:p>
        </w:tc>
        <w:tc>
          <w:tcPr>
            <w:tcW w:w="0" w:type="auto"/>
            <w:gridSpan w:val="3"/>
            <w:tcBorders>
              <w:top w:val="single" w:sz="4" w:space="0" w:color="000000"/>
            </w:tcBorders>
            <w:tcMar>
              <w:top w:w="30" w:type="dxa"/>
              <w:left w:w="20" w:type="dxa"/>
              <w:bottom w:w="30" w:type="dxa"/>
              <w:right w:w="20" w:type="dxa"/>
            </w:tcMar>
            <w:hideMark/>
          </w:tcPr>
          <w:p w:rsidR="00000000" w:rsidRDefault="001F1FC8">
            <w:pPr>
              <w:jc w:val="right"/>
              <w:rPr>
                <w:rFonts w:eastAsia="Times New Roman"/>
              </w:rPr>
            </w:pPr>
            <w:r>
              <w:rPr>
                <w:rFonts w:ascii="Arial" w:eastAsia="Times New Roman" w:hAnsi="Arial" w:cs="Arial"/>
                <w:color w:val="000000"/>
                <w:sz w:val="18"/>
                <w:szCs w:val="18"/>
              </w:rPr>
              <w:t>2020</w:t>
            </w:r>
          </w:p>
        </w:tc>
        <w:tc>
          <w:tcPr>
            <w:tcW w:w="0" w:type="auto"/>
            <w:gridSpan w:val="3"/>
            <w:tcBorders>
              <w:top w:val="single" w:sz="4" w:space="0" w:color="000000"/>
            </w:tcBorders>
            <w:tcMar>
              <w:top w:w="30" w:type="dxa"/>
              <w:left w:w="20" w:type="dxa"/>
              <w:bottom w:w="30" w:type="dxa"/>
              <w:right w:w="20" w:type="dxa"/>
            </w:tcMar>
            <w:hideMark/>
          </w:tcPr>
          <w:p w:rsidR="00000000" w:rsidRDefault="001F1FC8">
            <w:pPr>
              <w:jc w:val="right"/>
              <w:rPr>
                <w:rFonts w:eastAsia="Times New Roman"/>
              </w:rPr>
            </w:pPr>
            <w:r>
              <w:rPr>
                <w:rFonts w:ascii="Arial" w:eastAsia="Times New Roman" w:hAnsi="Arial" w:cs="Arial"/>
                <w:color w:val="000000"/>
                <w:sz w:val="18"/>
                <w:szCs w:val="18"/>
              </w:rPr>
              <w:t>2019</w:t>
            </w:r>
          </w:p>
        </w:tc>
      </w:tr>
      <w:tr w:rsidR="00000000">
        <w:trPr>
          <w:divId w:val="597829455"/>
        </w:trPr>
        <w:tc>
          <w:tcPr>
            <w:tcW w:w="0" w:type="auto"/>
            <w:gridSpan w:val="6"/>
            <w:tcBorders>
              <w:top w:val="single" w:sz="4" w:space="0" w:color="000000"/>
            </w:tcBorders>
            <w:tcMar>
              <w:top w:w="30" w:type="dxa"/>
              <w:left w:w="20" w:type="dxa"/>
              <w:bottom w:w="30" w:type="dxa"/>
              <w:right w:w="20" w:type="dxa"/>
            </w:tcMar>
            <w:vAlign w:val="bottom"/>
            <w:hideMark/>
          </w:tcPr>
          <w:p w:rsidR="00000000" w:rsidRDefault="001F1FC8">
            <w:pPr>
              <w:rPr>
                <w:rFonts w:eastAsia="Times New Roman"/>
              </w:rPr>
            </w:pPr>
            <w:r>
              <w:rPr>
                <w:rFonts w:ascii="Arial" w:eastAsia="Times New Roman" w:hAnsi="Arial" w:cs="Arial"/>
                <w:i/>
                <w:iCs/>
                <w:color w:val="000000"/>
                <w:sz w:val="16"/>
                <w:szCs w:val="16"/>
              </w:rPr>
              <w:t xml:space="preserve">(millions of Canadian dollars) </w:t>
            </w:r>
          </w:p>
        </w:tc>
        <w:tc>
          <w:tcPr>
            <w:tcW w:w="0" w:type="auto"/>
            <w:gridSpan w:val="3"/>
            <w:tcBorders>
              <w:top w:val="single" w:sz="4" w:space="0" w:color="000000"/>
            </w:tcBorders>
            <w:shd w:val="clear" w:color="auto" w:fill="D9D9D9"/>
            <w:tcMar>
              <w:top w:w="0" w:type="dxa"/>
              <w:left w:w="20" w:type="dxa"/>
              <w:bottom w:w="0" w:type="dxa"/>
              <w:right w:w="20" w:type="dxa"/>
            </w:tcMar>
            <w:vAlign w:val="center"/>
            <w:hideMark/>
          </w:tcPr>
          <w:p w:rsidR="00000000" w:rsidRDefault="001F1FC8">
            <w:pPr>
              <w:rPr>
                <w:rFonts w:eastAsia="Times New Roman"/>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1F1FC8">
            <w:pPr>
              <w:rPr>
                <w:rFonts w:eastAsia="Times New Roman"/>
                <w:sz w:val="20"/>
                <w:szCs w:val="20"/>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1F1FC8">
            <w:pPr>
              <w:rPr>
                <w:rFonts w:eastAsia="Times New Roman"/>
                <w:sz w:val="20"/>
                <w:szCs w:val="20"/>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1F1FC8">
            <w:pPr>
              <w:rPr>
                <w:rFonts w:eastAsia="Times New Roman"/>
                <w:sz w:val="20"/>
                <w:szCs w:val="20"/>
              </w:rPr>
            </w:pPr>
          </w:p>
        </w:tc>
        <w:tc>
          <w:tcPr>
            <w:tcW w:w="0" w:type="auto"/>
            <w:gridSpan w:val="3"/>
            <w:tcBorders>
              <w:top w:val="single" w:sz="4" w:space="0" w:color="000000"/>
            </w:tcBorders>
            <w:shd w:val="clear" w:color="auto" w:fill="D9D9D9"/>
            <w:tcMar>
              <w:top w:w="0" w:type="dxa"/>
              <w:left w:w="20" w:type="dxa"/>
              <w:bottom w:w="0" w:type="dxa"/>
              <w:right w:w="20" w:type="dxa"/>
            </w:tcMar>
            <w:vAlign w:val="center"/>
            <w:hideMark/>
          </w:tcPr>
          <w:p w:rsidR="00000000" w:rsidRDefault="001F1FC8">
            <w:pPr>
              <w:rPr>
                <w:rFonts w:eastAsia="Times New Roman"/>
                <w:sz w:val="20"/>
                <w:szCs w:val="20"/>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1F1FC8">
            <w:pPr>
              <w:rPr>
                <w:rFonts w:eastAsia="Times New Roman"/>
                <w:sz w:val="20"/>
                <w:szCs w:val="20"/>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1F1FC8">
            <w:pPr>
              <w:rPr>
                <w:rFonts w:eastAsia="Times New Roman"/>
                <w:sz w:val="20"/>
                <w:szCs w:val="20"/>
              </w:rPr>
            </w:pPr>
          </w:p>
        </w:tc>
      </w:tr>
      <w:tr w:rsidR="00000000">
        <w:trPr>
          <w:divId w:val="597829455"/>
        </w:trPr>
        <w:tc>
          <w:tcPr>
            <w:tcW w:w="0" w:type="auto"/>
            <w:gridSpan w:val="6"/>
            <w:tcMar>
              <w:top w:w="30" w:type="dxa"/>
              <w:left w:w="20" w:type="dxa"/>
              <w:bottom w:w="30" w:type="dxa"/>
              <w:right w:w="20" w:type="dxa"/>
            </w:tcMar>
            <w:vAlign w:val="bottom"/>
            <w:hideMark/>
          </w:tcPr>
          <w:p w:rsidR="00000000" w:rsidRDefault="001F1FC8">
            <w:pPr>
              <w:rPr>
                <w:rFonts w:eastAsia="Times New Roman"/>
              </w:rPr>
            </w:pPr>
            <w:r>
              <w:rPr>
                <w:rFonts w:ascii="Arial" w:eastAsia="Times New Roman" w:hAnsi="Arial" w:cs="Arial"/>
                <w:color w:val="000000"/>
                <w:sz w:val="18"/>
                <w:szCs w:val="18"/>
              </w:rPr>
              <w:t>Service cost</w:t>
            </w:r>
          </w:p>
        </w:tc>
        <w:tc>
          <w:tcPr>
            <w:tcW w:w="0" w:type="auto"/>
            <w:gridSpan w:val="2"/>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8"/>
                <w:szCs w:val="18"/>
              </w:rPr>
              <w:t>139</w:t>
            </w:r>
            <w:r>
              <w:rPr>
                <w:rFonts w:ascii="Arial" w:eastAsia="Times New Roman" w:hAnsi="Arial" w:cs="Arial"/>
                <w:color w:val="000000"/>
                <w:sz w:val="18"/>
                <w:szCs w:val="18"/>
              </w:rPr>
              <w:t> </w:t>
            </w:r>
          </w:p>
        </w:tc>
        <w:tc>
          <w:tcPr>
            <w:tcW w:w="0" w:type="auto"/>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8"/>
                <w:szCs w:val="18"/>
              </w:rPr>
              <w:t>148 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8"/>
                <w:szCs w:val="18"/>
              </w:rPr>
              <w:t>149 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1F1FC8">
            <w:pPr>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8"/>
                <w:szCs w:val="18"/>
              </w:rPr>
              <w:t>44</w:t>
            </w:r>
            <w:r>
              <w:rPr>
                <w:rFonts w:ascii="Arial" w:eastAsia="Times New Roman" w:hAnsi="Arial" w:cs="Arial"/>
                <w:color w:val="000000"/>
                <w:sz w:val="18"/>
                <w:szCs w:val="18"/>
              </w:rPr>
              <w:t> </w:t>
            </w:r>
          </w:p>
        </w:tc>
        <w:tc>
          <w:tcPr>
            <w:tcW w:w="0" w:type="auto"/>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8"/>
                <w:szCs w:val="18"/>
              </w:rPr>
              <w:t>44 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8"/>
                <w:szCs w:val="18"/>
              </w:rPr>
              <w:t>45 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r>
      <w:tr w:rsidR="00000000">
        <w:trPr>
          <w:divId w:val="597829455"/>
        </w:trPr>
        <w:tc>
          <w:tcPr>
            <w:tcW w:w="0" w:type="auto"/>
            <w:gridSpan w:val="6"/>
            <w:tcMar>
              <w:top w:w="30" w:type="dxa"/>
              <w:left w:w="20" w:type="dxa"/>
              <w:bottom w:w="30" w:type="dxa"/>
              <w:right w:w="20" w:type="dxa"/>
            </w:tcMar>
            <w:vAlign w:val="bottom"/>
            <w:hideMark/>
          </w:tcPr>
          <w:p w:rsidR="00000000" w:rsidRDefault="001F1FC8">
            <w:pPr>
              <w:divId w:val="863518271"/>
              <w:rPr>
                <w:rFonts w:eastAsia="Times New Roman"/>
              </w:rPr>
            </w:pPr>
            <w:r>
              <w:rPr>
                <w:rFonts w:ascii="Arial" w:eastAsia="Times New Roman" w:hAnsi="Arial" w:cs="Arial"/>
                <w:color w:val="000000"/>
                <w:sz w:val="18"/>
                <w:szCs w:val="18"/>
              </w:rPr>
              <w:t>Interest cos</w:t>
            </w:r>
            <w:r>
              <w:rPr>
                <w:rFonts w:ascii="Arial" w:eastAsia="Times New Roman" w:hAnsi="Arial" w:cs="Arial"/>
                <w:color w:val="000000"/>
                <w:sz w:val="18"/>
                <w:szCs w:val="18"/>
              </w:rPr>
              <w:t>t</w:t>
            </w:r>
            <w:r>
              <w:rPr>
                <w:rFonts w:ascii="Arial" w:eastAsia="Times New Roman" w:hAnsi="Arial" w:cs="Arial"/>
                <w:color w:val="000000"/>
                <w:sz w:val="12"/>
                <w:szCs w:val="12"/>
              </w:rPr>
              <w:t>1</w:t>
            </w:r>
          </w:p>
        </w:tc>
        <w:tc>
          <w:tcPr>
            <w:tcW w:w="0" w:type="auto"/>
            <w:gridSpan w:val="2"/>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8"/>
                <w:szCs w:val="18"/>
              </w:rPr>
              <w:t>101</w:t>
            </w:r>
            <w:r>
              <w:rPr>
                <w:rFonts w:ascii="Arial" w:eastAsia="Times New Roman" w:hAnsi="Arial" w:cs="Arial"/>
                <w:color w:val="000000"/>
                <w:sz w:val="18"/>
                <w:szCs w:val="18"/>
              </w:rPr>
              <w:t> </w:t>
            </w:r>
          </w:p>
        </w:tc>
        <w:tc>
          <w:tcPr>
            <w:tcW w:w="0" w:type="auto"/>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8"/>
                <w:szCs w:val="18"/>
              </w:rPr>
              <w:t>128 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8"/>
                <w:szCs w:val="18"/>
              </w:rPr>
              <w:t>139 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1F1FC8">
            <w:pPr>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8"/>
                <w:szCs w:val="18"/>
              </w:rPr>
              <w:t>17</w:t>
            </w:r>
            <w:r>
              <w:rPr>
                <w:rFonts w:ascii="Arial" w:eastAsia="Times New Roman" w:hAnsi="Arial" w:cs="Arial"/>
                <w:color w:val="000000"/>
                <w:sz w:val="18"/>
                <w:szCs w:val="18"/>
              </w:rPr>
              <w:t> </w:t>
            </w:r>
          </w:p>
        </w:tc>
        <w:tc>
          <w:tcPr>
            <w:tcW w:w="0" w:type="auto"/>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8"/>
                <w:szCs w:val="18"/>
              </w:rPr>
              <w:t>31 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8"/>
                <w:szCs w:val="18"/>
              </w:rPr>
              <w:t>41 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r>
      <w:tr w:rsidR="00000000">
        <w:trPr>
          <w:divId w:val="597829455"/>
        </w:trPr>
        <w:tc>
          <w:tcPr>
            <w:tcW w:w="0" w:type="auto"/>
            <w:gridSpan w:val="6"/>
            <w:tcMar>
              <w:top w:w="30" w:type="dxa"/>
              <w:left w:w="20" w:type="dxa"/>
              <w:bottom w:w="30" w:type="dxa"/>
              <w:right w:w="20" w:type="dxa"/>
            </w:tcMar>
            <w:vAlign w:val="bottom"/>
            <w:hideMark/>
          </w:tcPr>
          <w:p w:rsidR="00000000" w:rsidRDefault="001F1FC8">
            <w:pPr>
              <w:divId w:val="379131104"/>
              <w:rPr>
                <w:rFonts w:eastAsia="Times New Roman"/>
              </w:rPr>
            </w:pPr>
            <w:r>
              <w:rPr>
                <w:rFonts w:ascii="Arial" w:eastAsia="Times New Roman" w:hAnsi="Arial" w:cs="Arial"/>
                <w:color w:val="000000"/>
                <w:sz w:val="18"/>
                <w:szCs w:val="18"/>
              </w:rPr>
              <w:t>Expected return on plan asset</w:t>
            </w:r>
            <w:r>
              <w:rPr>
                <w:rFonts w:ascii="Arial" w:eastAsia="Times New Roman" w:hAnsi="Arial" w:cs="Arial"/>
                <w:color w:val="000000"/>
                <w:sz w:val="18"/>
                <w:szCs w:val="18"/>
              </w:rPr>
              <w:t>s</w:t>
            </w:r>
            <w:r>
              <w:rPr>
                <w:rFonts w:ascii="Arial" w:eastAsia="Times New Roman" w:hAnsi="Arial" w:cs="Arial"/>
                <w:color w:val="000000"/>
                <w:sz w:val="12"/>
                <w:szCs w:val="12"/>
              </w:rPr>
              <w:t>1</w:t>
            </w:r>
          </w:p>
        </w:tc>
        <w:tc>
          <w:tcPr>
            <w:tcW w:w="0" w:type="auto"/>
            <w:gridSpan w:val="2"/>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8"/>
                <w:szCs w:val="18"/>
              </w:rPr>
              <w:t>(252)</w:t>
            </w:r>
          </w:p>
        </w:tc>
        <w:tc>
          <w:tcPr>
            <w:tcW w:w="0" w:type="auto"/>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8"/>
                <w:szCs w:val="18"/>
              </w:rPr>
              <w:t>(260)</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8"/>
                <w:szCs w:val="18"/>
              </w:rPr>
              <w:t>(245)</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1F1FC8">
            <w:pPr>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8"/>
                <w:szCs w:val="18"/>
              </w:rPr>
              <w:t>(73)</w:t>
            </w:r>
          </w:p>
        </w:tc>
        <w:tc>
          <w:tcPr>
            <w:tcW w:w="0" w:type="auto"/>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8"/>
                <w:szCs w:val="18"/>
              </w:rPr>
              <w:t>(88)</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8"/>
                <w:szCs w:val="18"/>
              </w:rPr>
              <w:t>(78)</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r>
      <w:tr w:rsidR="00000000">
        <w:trPr>
          <w:divId w:val="597829455"/>
        </w:trPr>
        <w:tc>
          <w:tcPr>
            <w:tcW w:w="0" w:type="auto"/>
            <w:gridSpan w:val="6"/>
            <w:tcMar>
              <w:top w:w="30" w:type="dxa"/>
              <w:left w:w="20" w:type="dxa"/>
              <w:bottom w:w="30" w:type="dxa"/>
              <w:right w:w="20" w:type="dxa"/>
            </w:tcMar>
            <w:vAlign w:val="bottom"/>
            <w:hideMark/>
          </w:tcPr>
          <w:p w:rsidR="00000000" w:rsidRDefault="001F1FC8">
            <w:pPr>
              <w:divId w:val="1956713003"/>
              <w:rPr>
                <w:rFonts w:eastAsia="Times New Roman"/>
              </w:rPr>
            </w:pPr>
            <w:r>
              <w:rPr>
                <w:rFonts w:ascii="Arial" w:eastAsia="Times New Roman" w:hAnsi="Arial" w:cs="Arial"/>
                <w:color w:val="000000"/>
                <w:sz w:val="18"/>
                <w:szCs w:val="18"/>
              </w:rPr>
              <w:t>Amortization/settlement of net actuarial los</w:t>
            </w:r>
            <w:r>
              <w:rPr>
                <w:rFonts w:ascii="Arial" w:eastAsia="Times New Roman" w:hAnsi="Arial" w:cs="Arial"/>
                <w:color w:val="000000"/>
                <w:sz w:val="18"/>
                <w:szCs w:val="18"/>
              </w:rPr>
              <w:t>s</w:t>
            </w:r>
            <w:r>
              <w:rPr>
                <w:rFonts w:ascii="Arial" w:eastAsia="Times New Roman" w:hAnsi="Arial" w:cs="Arial"/>
                <w:color w:val="000000"/>
                <w:sz w:val="12"/>
                <w:szCs w:val="12"/>
              </w:rPr>
              <w:t>1</w:t>
            </w:r>
          </w:p>
        </w:tc>
        <w:tc>
          <w:tcPr>
            <w:tcW w:w="0" w:type="auto"/>
            <w:gridSpan w:val="2"/>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8"/>
                <w:szCs w:val="18"/>
              </w:rPr>
              <w:t>54</w:t>
            </w:r>
            <w:r>
              <w:rPr>
                <w:rFonts w:ascii="Arial" w:eastAsia="Times New Roman" w:hAnsi="Arial" w:cs="Arial"/>
                <w:color w:val="000000"/>
                <w:sz w:val="18"/>
                <w:szCs w:val="18"/>
              </w:rPr>
              <w:t> </w:t>
            </w:r>
          </w:p>
        </w:tc>
        <w:tc>
          <w:tcPr>
            <w:tcW w:w="0" w:type="auto"/>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8"/>
                <w:szCs w:val="18"/>
              </w:rPr>
              <w:t>42 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8"/>
                <w:szCs w:val="18"/>
              </w:rPr>
              <w:t>41 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1F1FC8">
            <w:pPr>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8"/>
                <w:szCs w:val="18"/>
              </w:rPr>
              <w:t>11</w:t>
            </w:r>
            <w:r>
              <w:rPr>
                <w:rFonts w:ascii="Arial" w:eastAsia="Times New Roman" w:hAnsi="Arial" w:cs="Arial"/>
                <w:color w:val="000000"/>
                <w:sz w:val="18"/>
                <w:szCs w:val="18"/>
              </w:rPr>
              <w:t> </w:t>
            </w:r>
          </w:p>
        </w:tc>
        <w:tc>
          <w:tcPr>
            <w:tcW w:w="0" w:type="auto"/>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8"/>
                <w:szCs w:val="18"/>
              </w:rPr>
              <w:t>1 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8"/>
                <w:szCs w:val="18"/>
              </w:rPr>
              <w:t>2 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r>
      <w:tr w:rsidR="00000000">
        <w:trPr>
          <w:divId w:val="597829455"/>
        </w:trPr>
        <w:tc>
          <w:tcPr>
            <w:tcW w:w="0" w:type="auto"/>
            <w:gridSpan w:val="6"/>
            <w:tcBorders>
              <w:bottom w:val="single" w:sz="4" w:space="0" w:color="000000"/>
            </w:tcBorders>
            <w:tcMar>
              <w:top w:w="30" w:type="dxa"/>
              <w:left w:w="20" w:type="dxa"/>
              <w:bottom w:w="30" w:type="dxa"/>
              <w:right w:w="20" w:type="dxa"/>
            </w:tcMar>
            <w:vAlign w:val="bottom"/>
            <w:hideMark/>
          </w:tcPr>
          <w:p w:rsidR="00000000" w:rsidRDefault="001F1FC8">
            <w:pPr>
              <w:ind w:hanging="180"/>
              <w:divId w:val="1989893084"/>
              <w:rPr>
                <w:rFonts w:eastAsia="Times New Roman"/>
              </w:rPr>
            </w:pPr>
            <w:r>
              <w:rPr>
                <w:rFonts w:ascii="Arial" w:eastAsia="Times New Roman" w:hAnsi="Arial" w:cs="Arial"/>
                <w:color w:val="000000"/>
                <w:sz w:val="18"/>
                <w:szCs w:val="18"/>
              </w:rPr>
              <w:t>Amortization/curtailment of prior service credi</w:t>
            </w:r>
            <w:r>
              <w:rPr>
                <w:rFonts w:ascii="Arial" w:eastAsia="Times New Roman" w:hAnsi="Arial" w:cs="Arial"/>
                <w:color w:val="000000"/>
                <w:sz w:val="18"/>
                <w:szCs w:val="18"/>
              </w:rPr>
              <w:t>t</w:t>
            </w:r>
            <w:r>
              <w:rPr>
                <w:rFonts w:ascii="Arial" w:eastAsia="Times New Roman" w:hAnsi="Arial" w:cs="Arial"/>
                <w:color w:val="000000"/>
                <w:sz w:val="12"/>
                <w:szCs w:val="12"/>
              </w:rPr>
              <w:t>1</w:t>
            </w:r>
          </w:p>
        </w:tc>
        <w:tc>
          <w:tcPr>
            <w:tcW w:w="0" w:type="auto"/>
            <w:gridSpan w:val="2"/>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8"/>
                <w:szCs w:val="18"/>
              </w:rPr>
              <w:t>—</w:t>
            </w:r>
            <w:r>
              <w:rPr>
                <w:rFonts w:ascii="Arial" w:eastAsia="Times New Roman" w:hAnsi="Arial" w:cs="Arial"/>
                <w:color w:val="000000"/>
                <w:sz w:val="18"/>
                <w:szCs w:val="18"/>
              </w:rPr>
              <w:t> </w:t>
            </w:r>
          </w:p>
        </w:tc>
        <w:tc>
          <w:tcPr>
            <w:tcW w:w="0" w:type="auto"/>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8"/>
                <w:szCs w:val="18"/>
              </w:rPr>
              <w:t>—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8"/>
                <w:szCs w:val="18"/>
              </w:rPr>
              <w:t>—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1F1FC8">
            <w:pPr>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8"/>
                <w:szCs w:val="18"/>
              </w:rPr>
              <w:t>—</w:t>
            </w:r>
            <w:r>
              <w:rPr>
                <w:rFonts w:ascii="Arial" w:eastAsia="Times New Roman" w:hAnsi="Arial" w:cs="Arial"/>
                <w:color w:val="000000"/>
                <w:sz w:val="18"/>
                <w:szCs w:val="18"/>
              </w:rPr>
              <w:t> </w:t>
            </w:r>
          </w:p>
        </w:tc>
        <w:tc>
          <w:tcPr>
            <w:tcW w:w="0" w:type="auto"/>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8"/>
                <w:szCs w:val="18"/>
              </w:rPr>
              <w:t>(1)</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8"/>
                <w:szCs w:val="18"/>
              </w:rPr>
              <w:t>(1)</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r>
      <w:tr w:rsidR="00000000">
        <w:trPr>
          <w:divId w:val="597829455"/>
        </w:trPr>
        <w:tc>
          <w:tcPr>
            <w:tcW w:w="0" w:type="auto"/>
            <w:gridSpan w:val="6"/>
            <w:tcBorders>
              <w:top w:val="single" w:sz="4" w:space="0" w:color="000000"/>
            </w:tcBorders>
            <w:tcMar>
              <w:top w:w="30" w:type="dxa"/>
              <w:left w:w="20" w:type="dxa"/>
              <w:bottom w:w="30" w:type="dxa"/>
              <w:right w:w="20" w:type="dxa"/>
            </w:tcMar>
            <w:vAlign w:val="bottom"/>
            <w:hideMark/>
          </w:tcPr>
          <w:p w:rsidR="00000000" w:rsidRDefault="001F1FC8">
            <w:pPr>
              <w:rPr>
                <w:rFonts w:eastAsia="Times New Roman"/>
              </w:rPr>
            </w:pPr>
            <w:r>
              <w:rPr>
                <w:rFonts w:ascii="Arial" w:eastAsia="Times New Roman" w:hAnsi="Arial" w:cs="Arial"/>
                <w:color w:val="000000"/>
                <w:sz w:val="18"/>
                <w:szCs w:val="18"/>
              </w:rPr>
              <w:t>Net periodic benefit (credit)/cost</w:t>
            </w:r>
          </w:p>
        </w:tc>
        <w:tc>
          <w:tcPr>
            <w:tcW w:w="0" w:type="auto"/>
            <w:gridSpan w:val="2"/>
            <w:tcBorders>
              <w:top w:val="single" w:sz="4" w:space="0" w:color="000000"/>
            </w:tcBorders>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8"/>
                <w:szCs w:val="18"/>
              </w:rPr>
              <w:t>42</w:t>
            </w:r>
            <w:r>
              <w:rPr>
                <w:rFonts w:ascii="Arial" w:eastAsia="Times New Roman" w:hAnsi="Arial" w:cs="Arial"/>
                <w:color w:val="000000"/>
                <w:sz w:val="18"/>
                <w:szCs w:val="18"/>
              </w:rPr>
              <w:t> </w:t>
            </w:r>
          </w:p>
        </w:tc>
        <w:tc>
          <w:tcPr>
            <w:tcW w:w="0" w:type="auto"/>
            <w:tcBorders>
              <w:top w:val="single" w:sz="4" w:space="0" w:color="000000"/>
            </w:tcBorders>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8"/>
                <w:szCs w:val="18"/>
              </w:rPr>
              <w:t>58 </w:t>
            </w:r>
          </w:p>
        </w:tc>
        <w:tc>
          <w:tcPr>
            <w:tcW w:w="0" w:type="auto"/>
            <w:tcBorders>
              <w:top w:val="single" w:sz="4" w:space="0" w:color="000000"/>
            </w:tcBorders>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8"/>
                <w:szCs w:val="18"/>
              </w:rPr>
              <w:t>84 </w:t>
            </w:r>
          </w:p>
        </w:tc>
        <w:tc>
          <w:tcPr>
            <w:tcW w:w="0" w:type="auto"/>
            <w:tcBorders>
              <w:top w:val="single" w:sz="4" w:space="0" w:color="000000"/>
            </w:tcBorders>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1F1FC8">
            <w:pPr>
              <w:jc w:val="right"/>
              <w:rPr>
                <w:rFonts w:eastAsia="Times New Roman"/>
                <w:sz w:val="20"/>
                <w:szCs w:val="20"/>
              </w:rPr>
            </w:pPr>
          </w:p>
        </w:tc>
        <w:tc>
          <w:tcPr>
            <w:tcW w:w="0" w:type="auto"/>
            <w:gridSpan w:val="2"/>
            <w:tcBorders>
              <w:top w:val="single" w:sz="4" w:space="0" w:color="000000"/>
            </w:tcBorders>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8"/>
                <w:szCs w:val="18"/>
              </w:rPr>
              <w:t>(1)</w:t>
            </w:r>
          </w:p>
        </w:tc>
        <w:tc>
          <w:tcPr>
            <w:tcW w:w="0" w:type="auto"/>
            <w:tcBorders>
              <w:top w:val="single" w:sz="4" w:space="0" w:color="000000"/>
            </w:tcBorders>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8"/>
                <w:szCs w:val="18"/>
              </w:rPr>
              <w:t>(13)</w:t>
            </w:r>
          </w:p>
        </w:tc>
        <w:tc>
          <w:tcPr>
            <w:tcW w:w="0" w:type="auto"/>
            <w:tcBorders>
              <w:top w:val="single" w:sz="4" w:space="0" w:color="000000"/>
            </w:tcBorders>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8"/>
                <w:szCs w:val="18"/>
              </w:rPr>
              <w:t>9 </w:t>
            </w:r>
          </w:p>
        </w:tc>
        <w:tc>
          <w:tcPr>
            <w:tcW w:w="0" w:type="auto"/>
            <w:tcBorders>
              <w:top w:val="single" w:sz="4" w:space="0" w:color="000000"/>
            </w:tcBorders>
            <w:tcMar>
              <w:top w:w="30" w:type="dxa"/>
              <w:left w:w="0" w:type="dxa"/>
              <w:bottom w:w="30" w:type="dxa"/>
              <w:right w:w="20" w:type="dxa"/>
            </w:tcMar>
            <w:vAlign w:val="bottom"/>
            <w:hideMark/>
          </w:tcPr>
          <w:p w:rsidR="00000000" w:rsidRDefault="001F1FC8">
            <w:pPr>
              <w:jc w:val="right"/>
              <w:rPr>
                <w:rFonts w:eastAsia="Times New Roman"/>
              </w:rPr>
            </w:pPr>
          </w:p>
        </w:tc>
      </w:tr>
      <w:tr w:rsidR="00000000">
        <w:trPr>
          <w:divId w:val="597829455"/>
        </w:trPr>
        <w:tc>
          <w:tcPr>
            <w:tcW w:w="0" w:type="auto"/>
            <w:gridSpan w:val="6"/>
            <w:tcBorders>
              <w:bottom w:val="single" w:sz="4" w:space="0" w:color="000000"/>
            </w:tcBorders>
            <w:tcMar>
              <w:top w:w="30" w:type="dxa"/>
              <w:left w:w="20" w:type="dxa"/>
              <w:bottom w:w="30" w:type="dxa"/>
              <w:right w:w="20" w:type="dxa"/>
            </w:tcMar>
            <w:vAlign w:val="bottom"/>
            <w:hideMark/>
          </w:tcPr>
          <w:p w:rsidR="00000000" w:rsidRDefault="001F1FC8">
            <w:pPr>
              <w:rPr>
                <w:rFonts w:eastAsia="Times New Roman"/>
              </w:rPr>
            </w:pPr>
            <w:r>
              <w:rPr>
                <w:rFonts w:ascii="Arial" w:eastAsia="Times New Roman" w:hAnsi="Arial" w:cs="Arial"/>
                <w:color w:val="000000"/>
                <w:sz w:val="18"/>
                <w:szCs w:val="18"/>
              </w:rPr>
              <w:t>Defined contribution benefit cost</w:t>
            </w:r>
          </w:p>
        </w:tc>
        <w:tc>
          <w:tcPr>
            <w:tcW w:w="0" w:type="auto"/>
            <w:gridSpan w:val="2"/>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8"/>
                <w:szCs w:val="18"/>
              </w:rPr>
              <w:t>7</w:t>
            </w:r>
            <w:r>
              <w:rPr>
                <w:rFonts w:ascii="Arial" w:eastAsia="Times New Roman" w:hAnsi="Arial" w:cs="Arial"/>
                <w:color w:val="000000"/>
                <w:sz w:val="18"/>
                <w:szCs w:val="18"/>
              </w:rPr>
              <w:t> </w:t>
            </w:r>
          </w:p>
        </w:tc>
        <w:tc>
          <w:tcPr>
            <w:tcW w:w="0" w:type="auto"/>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8"/>
                <w:szCs w:val="18"/>
              </w:rPr>
              <w:t>6 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8"/>
                <w:szCs w:val="18"/>
              </w:rPr>
              <w:t>8 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1F1FC8">
            <w:pPr>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8"/>
                <w:szCs w:val="18"/>
              </w:rPr>
              <w:t>—</w:t>
            </w:r>
            <w:r>
              <w:rPr>
                <w:rFonts w:ascii="Arial" w:eastAsia="Times New Roman" w:hAnsi="Arial" w:cs="Arial"/>
                <w:color w:val="000000"/>
                <w:sz w:val="18"/>
                <w:szCs w:val="18"/>
              </w:rPr>
              <w:t> </w:t>
            </w:r>
          </w:p>
        </w:tc>
        <w:tc>
          <w:tcPr>
            <w:tcW w:w="0" w:type="auto"/>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8"/>
                <w:szCs w:val="18"/>
              </w:rPr>
              <w:t>—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8"/>
                <w:szCs w:val="18"/>
              </w:rPr>
              <w:t>—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r>
      <w:tr w:rsidR="00000000">
        <w:trPr>
          <w:divId w:val="597829455"/>
        </w:trPr>
        <w:tc>
          <w:tcPr>
            <w:tcW w:w="0" w:type="auto"/>
            <w:gridSpan w:val="6"/>
            <w:tcBorders>
              <w:top w:val="single" w:sz="4" w:space="0" w:color="000000"/>
            </w:tcBorders>
            <w:tcMar>
              <w:top w:w="30" w:type="dxa"/>
              <w:left w:w="20" w:type="dxa"/>
              <w:bottom w:w="30" w:type="dxa"/>
              <w:right w:w="20" w:type="dxa"/>
            </w:tcMar>
            <w:vAlign w:val="bottom"/>
            <w:hideMark/>
          </w:tcPr>
          <w:p w:rsidR="00000000" w:rsidRDefault="001F1FC8">
            <w:pPr>
              <w:rPr>
                <w:rFonts w:eastAsia="Times New Roman"/>
              </w:rPr>
            </w:pPr>
            <w:r>
              <w:rPr>
                <w:rFonts w:ascii="Arial" w:eastAsia="Times New Roman" w:hAnsi="Arial" w:cs="Arial"/>
                <w:color w:val="000000"/>
                <w:sz w:val="18"/>
                <w:szCs w:val="18"/>
              </w:rPr>
              <w:t>Net pension (credit)/cost recognized in Earnings</w:t>
            </w:r>
          </w:p>
        </w:tc>
        <w:tc>
          <w:tcPr>
            <w:tcW w:w="0" w:type="auto"/>
            <w:gridSpan w:val="2"/>
            <w:tcBorders>
              <w:top w:val="single" w:sz="4" w:space="0" w:color="000000"/>
            </w:tcBorders>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8"/>
                <w:szCs w:val="18"/>
              </w:rPr>
              <w:t>49</w:t>
            </w:r>
            <w:r>
              <w:rPr>
                <w:rFonts w:ascii="Arial" w:eastAsia="Times New Roman" w:hAnsi="Arial" w:cs="Arial"/>
                <w:color w:val="000000"/>
                <w:sz w:val="18"/>
                <w:szCs w:val="18"/>
              </w:rPr>
              <w:t> </w:t>
            </w:r>
          </w:p>
        </w:tc>
        <w:tc>
          <w:tcPr>
            <w:tcW w:w="0" w:type="auto"/>
            <w:tcBorders>
              <w:top w:val="single" w:sz="4" w:space="0" w:color="000000"/>
            </w:tcBorders>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8"/>
                <w:szCs w:val="18"/>
              </w:rPr>
              <w:t>64 </w:t>
            </w:r>
          </w:p>
        </w:tc>
        <w:tc>
          <w:tcPr>
            <w:tcW w:w="0" w:type="auto"/>
            <w:tcBorders>
              <w:top w:val="single" w:sz="4" w:space="0" w:color="000000"/>
            </w:tcBorders>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8"/>
                <w:szCs w:val="18"/>
              </w:rPr>
              <w:t>92 </w:t>
            </w:r>
          </w:p>
        </w:tc>
        <w:tc>
          <w:tcPr>
            <w:tcW w:w="0" w:type="auto"/>
            <w:tcBorders>
              <w:top w:val="single" w:sz="4" w:space="0" w:color="000000"/>
            </w:tcBorders>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1F1FC8">
            <w:pPr>
              <w:jc w:val="right"/>
              <w:rPr>
                <w:rFonts w:eastAsia="Times New Roman"/>
                <w:sz w:val="20"/>
                <w:szCs w:val="20"/>
              </w:rPr>
            </w:pPr>
          </w:p>
        </w:tc>
        <w:tc>
          <w:tcPr>
            <w:tcW w:w="0" w:type="auto"/>
            <w:gridSpan w:val="2"/>
            <w:tcBorders>
              <w:top w:val="single" w:sz="4" w:space="0" w:color="000000"/>
            </w:tcBorders>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8"/>
                <w:szCs w:val="18"/>
              </w:rPr>
              <w:t>(1)</w:t>
            </w:r>
          </w:p>
        </w:tc>
        <w:tc>
          <w:tcPr>
            <w:tcW w:w="0" w:type="auto"/>
            <w:tcBorders>
              <w:top w:val="single" w:sz="4" w:space="0" w:color="000000"/>
            </w:tcBorders>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8"/>
                <w:szCs w:val="18"/>
              </w:rPr>
              <w:t>(13)</w:t>
            </w:r>
          </w:p>
        </w:tc>
        <w:tc>
          <w:tcPr>
            <w:tcW w:w="0" w:type="auto"/>
            <w:tcBorders>
              <w:top w:val="single" w:sz="4" w:space="0" w:color="000000"/>
            </w:tcBorders>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8"/>
                <w:szCs w:val="18"/>
              </w:rPr>
              <w:t>9 </w:t>
            </w:r>
          </w:p>
        </w:tc>
        <w:tc>
          <w:tcPr>
            <w:tcW w:w="0" w:type="auto"/>
            <w:tcBorders>
              <w:top w:val="single" w:sz="4" w:space="0" w:color="000000"/>
            </w:tcBorders>
            <w:tcMar>
              <w:top w:w="30" w:type="dxa"/>
              <w:left w:w="0" w:type="dxa"/>
              <w:bottom w:w="30" w:type="dxa"/>
              <w:right w:w="20" w:type="dxa"/>
            </w:tcMar>
            <w:vAlign w:val="bottom"/>
            <w:hideMark/>
          </w:tcPr>
          <w:p w:rsidR="00000000" w:rsidRDefault="001F1FC8">
            <w:pPr>
              <w:jc w:val="right"/>
              <w:rPr>
                <w:rFonts w:eastAsia="Times New Roman"/>
              </w:rPr>
            </w:pPr>
          </w:p>
        </w:tc>
      </w:tr>
      <w:tr w:rsidR="00000000">
        <w:trPr>
          <w:divId w:val="597829455"/>
        </w:trPr>
        <w:tc>
          <w:tcPr>
            <w:tcW w:w="0" w:type="auto"/>
            <w:gridSpan w:val="6"/>
            <w:tcMar>
              <w:top w:w="30" w:type="dxa"/>
              <w:left w:w="20" w:type="dxa"/>
              <w:bottom w:w="30" w:type="dxa"/>
              <w:right w:w="20" w:type="dxa"/>
            </w:tcMar>
            <w:vAlign w:val="bottom"/>
            <w:hideMark/>
          </w:tcPr>
          <w:p w:rsidR="00000000" w:rsidRDefault="001F1FC8">
            <w:pPr>
              <w:rPr>
                <w:rFonts w:eastAsia="Times New Roman"/>
              </w:rPr>
            </w:pPr>
            <w:r>
              <w:rPr>
                <w:rFonts w:ascii="Arial" w:eastAsia="Times New Roman" w:hAnsi="Arial" w:cs="Arial"/>
                <w:color w:val="000000"/>
                <w:sz w:val="18"/>
                <w:szCs w:val="18"/>
              </w:rPr>
              <w:t>Amount recognized in OCI:</w:t>
            </w:r>
          </w:p>
        </w:tc>
        <w:tc>
          <w:tcPr>
            <w:tcW w:w="0" w:type="auto"/>
            <w:gridSpan w:val="3"/>
            <w:shd w:val="clear" w:color="auto" w:fill="D9D9D9"/>
            <w:tcMar>
              <w:top w:w="0" w:type="dxa"/>
              <w:left w:w="20" w:type="dxa"/>
              <w:bottom w:w="0" w:type="dxa"/>
              <w:right w:w="20" w:type="dxa"/>
            </w:tcMar>
            <w:vAlign w:val="center"/>
            <w:hideMark/>
          </w:tcPr>
          <w:p w:rsidR="00000000" w:rsidRDefault="001F1FC8">
            <w:pPr>
              <w:rPr>
                <w:rFonts w:eastAsia="Times New Roman"/>
              </w:rPr>
            </w:pPr>
          </w:p>
        </w:tc>
        <w:tc>
          <w:tcPr>
            <w:tcW w:w="0" w:type="auto"/>
            <w:gridSpan w:val="3"/>
            <w:tcMar>
              <w:top w:w="0" w:type="dxa"/>
              <w:left w:w="20" w:type="dxa"/>
              <w:bottom w:w="0" w:type="dxa"/>
              <w:right w:w="20" w:type="dxa"/>
            </w:tcMar>
            <w:vAlign w:val="center"/>
            <w:hideMark/>
          </w:tcPr>
          <w:p w:rsidR="00000000" w:rsidRDefault="001F1FC8">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1F1FC8">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1F1FC8">
            <w:pPr>
              <w:rPr>
                <w:rFonts w:eastAsia="Times New Roman"/>
                <w:sz w:val="20"/>
                <w:szCs w:val="20"/>
              </w:rPr>
            </w:pPr>
          </w:p>
        </w:tc>
        <w:tc>
          <w:tcPr>
            <w:tcW w:w="0" w:type="auto"/>
            <w:gridSpan w:val="3"/>
            <w:shd w:val="clear" w:color="auto" w:fill="D9D9D9"/>
            <w:tcMar>
              <w:top w:w="0" w:type="dxa"/>
              <w:left w:w="20" w:type="dxa"/>
              <w:bottom w:w="0" w:type="dxa"/>
              <w:right w:w="20" w:type="dxa"/>
            </w:tcMar>
            <w:vAlign w:val="center"/>
            <w:hideMark/>
          </w:tcPr>
          <w:p w:rsidR="00000000" w:rsidRDefault="001F1FC8">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1F1FC8">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1F1FC8">
            <w:pPr>
              <w:rPr>
                <w:rFonts w:eastAsia="Times New Roman"/>
                <w:sz w:val="20"/>
                <w:szCs w:val="20"/>
              </w:rPr>
            </w:pPr>
          </w:p>
        </w:tc>
      </w:tr>
      <w:tr w:rsidR="00000000">
        <w:trPr>
          <w:divId w:val="597829455"/>
        </w:trPr>
        <w:tc>
          <w:tcPr>
            <w:tcW w:w="0" w:type="auto"/>
            <w:gridSpan w:val="3"/>
            <w:tcMar>
              <w:top w:w="0" w:type="dxa"/>
              <w:left w:w="20" w:type="dxa"/>
              <w:bottom w:w="0" w:type="dxa"/>
              <w:right w:w="20" w:type="dxa"/>
            </w:tcMar>
            <w:vAlign w:val="center"/>
            <w:hideMark/>
          </w:tcPr>
          <w:p w:rsidR="00000000" w:rsidRDefault="001F1FC8">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1F1FC8">
            <w:pPr>
              <w:rPr>
                <w:rFonts w:eastAsia="Times New Roman"/>
              </w:rPr>
            </w:pPr>
            <w:r>
              <w:rPr>
                <w:rFonts w:ascii="Arial" w:eastAsia="Times New Roman" w:hAnsi="Arial" w:cs="Arial"/>
                <w:color w:val="000000"/>
                <w:sz w:val="18"/>
                <w:szCs w:val="18"/>
              </w:rPr>
              <w:t>Effect of plan combination</w:t>
            </w:r>
          </w:p>
        </w:tc>
        <w:tc>
          <w:tcPr>
            <w:tcW w:w="0" w:type="auto"/>
            <w:gridSpan w:val="2"/>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8"/>
                <w:szCs w:val="18"/>
              </w:rPr>
              <w:t>—</w:t>
            </w:r>
            <w:r>
              <w:rPr>
                <w:rFonts w:ascii="Arial" w:eastAsia="Times New Roman" w:hAnsi="Arial" w:cs="Arial"/>
                <w:color w:val="000000"/>
                <w:sz w:val="18"/>
                <w:szCs w:val="18"/>
              </w:rPr>
              <w:t> </w:t>
            </w:r>
          </w:p>
        </w:tc>
        <w:tc>
          <w:tcPr>
            <w:tcW w:w="0" w:type="auto"/>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8"/>
                <w:szCs w:val="18"/>
              </w:rPr>
              <w:t>—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8"/>
                <w:szCs w:val="18"/>
              </w:rPr>
              <w:t>—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1F1FC8">
            <w:pPr>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8"/>
                <w:szCs w:val="18"/>
              </w:rPr>
              <w:t>—</w:t>
            </w:r>
            <w:r>
              <w:rPr>
                <w:rFonts w:ascii="Arial" w:eastAsia="Times New Roman" w:hAnsi="Arial" w:cs="Arial"/>
                <w:color w:val="000000"/>
                <w:sz w:val="18"/>
                <w:szCs w:val="18"/>
              </w:rPr>
              <w:t> </w:t>
            </w:r>
          </w:p>
        </w:tc>
        <w:tc>
          <w:tcPr>
            <w:tcW w:w="0" w:type="auto"/>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8"/>
                <w:szCs w:val="18"/>
              </w:rPr>
              <w:t>—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8"/>
                <w:szCs w:val="18"/>
              </w:rPr>
              <w:t>(6)</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r>
      <w:tr w:rsidR="00000000">
        <w:trPr>
          <w:divId w:val="597829455"/>
        </w:trPr>
        <w:tc>
          <w:tcPr>
            <w:tcW w:w="0" w:type="auto"/>
            <w:gridSpan w:val="3"/>
            <w:tcMar>
              <w:top w:w="30" w:type="dxa"/>
              <w:left w:w="20" w:type="dxa"/>
              <w:bottom w:w="30" w:type="dxa"/>
              <w:right w:w="20" w:type="dxa"/>
            </w:tcMar>
            <w:vAlign w:val="bottom"/>
            <w:hideMark/>
          </w:tcPr>
          <w:p w:rsidR="00000000" w:rsidRDefault="001F1FC8">
            <w:pPr>
              <w:rPr>
                <w:rFonts w:eastAsia="Times New Roman"/>
              </w:rPr>
            </w:pPr>
            <w:r>
              <w:rPr>
                <w:rFonts w:ascii="Arial" w:eastAsia="Times New Roman" w:hAnsi="Arial" w:cs="Arial"/>
                <w:color w:val="000000"/>
                <w:sz w:val="18"/>
                <w:szCs w:val="18"/>
              </w:rPr>
              <w:t> </w:t>
            </w:r>
          </w:p>
        </w:tc>
        <w:tc>
          <w:tcPr>
            <w:tcW w:w="0" w:type="auto"/>
            <w:gridSpan w:val="3"/>
            <w:tcMar>
              <w:top w:w="30" w:type="dxa"/>
              <w:left w:w="20" w:type="dxa"/>
              <w:bottom w:w="30" w:type="dxa"/>
              <w:right w:w="20" w:type="dxa"/>
            </w:tcMar>
            <w:vAlign w:val="bottom"/>
            <w:hideMark/>
          </w:tcPr>
          <w:p w:rsidR="00000000" w:rsidRDefault="001F1FC8">
            <w:pPr>
              <w:rPr>
                <w:rFonts w:eastAsia="Times New Roman"/>
              </w:rPr>
            </w:pPr>
            <w:r>
              <w:rPr>
                <w:rFonts w:ascii="Arial" w:eastAsia="Times New Roman" w:hAnsi="Arial" w:cs="Arial"/>
                <w:color w:val="000000"/>
                <w:sz w:val="18"/>
                <w:szCs w:val="18"/>
              </w:rPr>
              <w:t>Amortization/settlement of net actuarial loss</w:t>
            </w:r>
          </w:p>
        </w:tc>
        <w:tc>
          <w:tcPr>
            <w:tcW w:w="0" w:type="auto"/>
            <w:gridSpan w:val="2"/>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8"/>
                <w:szCs w:val="18"/>
              </w:rPr>
              <w:t>(25)</w:t>
            </w:r>
          </w:p>
        </w:tc>
        <w:tc>
          <w:tcPr>
            <w:tcW w:w="0" w:type="auto"/>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8"/>
                <w:szCs w:val="18"/>
              </w:rPr>
              <w:t>(21)</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8"/>
                <w:szCs w:val="18"/>
              </w:rPr>
              <w:t>(26)</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1F1FC8">
            <w:pPr>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8"/>
                <w:szCs w:val="18"/>
              </w:rPr>
              <w:t>(11)</w:t>
            </w:r>
          </w:p>
        </w:tc>
        <w:tc>
          <w:tcPr>
            <w:tcW w:w="0" w:type="auto"/>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8"/>
                <w:szCs w:val="18"/>
              </w:rPr>
              <w:t>(1)</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8"/>
                <w:szCs w:val="18"/>
              </w:rPr>
              <w:t>(2)</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r>
      <w:tr w:rsidR="00000000">
        <w:trPr>
          <w:divId w:val="597829455"/>
        </w:trPr>
        <w:tc>
          <w:tcPr>
            <w:tcW w:w="0" w:type="auto"/>
            <w:gridSpan w:val="3"/>
            <w:tcMar>
              <w:top w:w="0" w:type="dxa"/>
              <w:left w:w="20" w:type="dxa"/>
              <w:bottom w:w="0" w:type="dxa"/>
              <w:right w:w="20" w:type="dxa"/>
            </w:tcMar>
            <w:vAlign w:val="center"/>
            <w:hideMark/>
          </w:tcPr>
          <w:p w:rsidR="00000000" w:rsidRDefault="001F1FC8">
            <w:pPr>
              <w:jc w:val="right"/>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1F1FC8">
            <w:pPr>
              <w:rPr>
                <w:rFonts w:eastAsia="Times New Roman"/>
              </w:rPr>
            </w:pPr>
            <w:r>
              <w:rPr>
                <w:rFonts w:ascii="Arial" w:eastAsia="Times New Roman" w:hAnsi="Arial" w:cs="Arial"/>
                <w:color w:val="000000"/>
                <w:sz w:val="18"/>
                <w:szCs w:val="18"/>
              </w:rPr>
              <w:t>Amortization/curtailment of prior service credit</w:t>
            </w:r>
          </w:p>
        </w:tc>
        <w:tc>
          <w:tcPr>
            <w:tcW w:w="0" w:type="auto"/>
            <w:gridSpan w:val="2"/>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8"/>
                <w:szCs w:val="18"/>
              </w:rPr>
              <w:t>—</w:t>
            </w:r>
            <w:r>
              <w:rPr>
                <w:rFonts w:ascii="Arial" w:eastAsia="Times New Roman" w:hAnsi="Arial" w:cs="Arial"/>
                <w:color w:val="000000"/>
                <w:sz w:val="18"/>
                <w:szCs w:val="18"/>
              </w:rPr>
              <w:t> </w:t>
            </w:r>
          </w:p>
        </w:tc>
        <w:tc>
          <w:tcPr>
            <w:tcW w:w="0" w:type="auto"/>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8"/>
                <w:szCs w:val="18"/>
              </w:rPr>
              <w:t>—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8"/>
                <w:szCs w:val="18"/>
              </w:rPr>
              <w:t>—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1F1FC8">
            <w:pPr>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8"/>
                <w:szCs w:val="18"/>
              </w:rPr>
              <w:t>—</w:t>
            </w:r>
            <w:r>
              <w:rPr>
                <w:rFonts w:ascii="Arial" w:eastAsia="Times New Roman" w:hAnsi="Arial" w:cs="Arial"/>
                <w:color w:val="000000"/>
                <w:sz w:val="18"/>
                <w:szCs w:val="18"/>
              </w:rPr>
              <w:t> </w:t>
            </w:r>
          </w:p>
        </w:tc>
        <w:tc>
          <w:tcPr>
            <w:tcW w:w="0" w:type="auto"/>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8"/>
                <w:szCs w:val="18"/>
              </w:rPr>
              <w:t>1 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8"/>
                <w:szCs w:val="18"/>
              </w:rPr>
              <w:t>1 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r>
      <w:tr w:rsidR="00000000">
        <w:trPr>
          <w:divId w:val="597829455"/>
        </w:trPr>
        <w:tc>
          <w:tcPr>
            <w:tcW w:w="0" w:type="auto"/>
            <w:gridSpan w:val="3"/>
            <w:tcMar>
              <w:top w:w="0" w:type="dxa"/>
              <w:left w:w="20" w:type="dxa"/>
              <w:bottom w:w="0" w:type="dxa"/>
              <w:right w:w="20" w:type="dxa"/>
            </w:tcMar>
            <w:vAlign w:val="center"/>
            <w:hideMark/>
          </w:tcPr>
          <w:p w:rsidR="00000000" w:rsidRDefault="001F1FC8">
            <w:pPr>
              <w:jc w:val="right"/>
              <w:rPr>
                <w:rFonts w:eastAsia="Times New Roman"/>
                <w:sz w:val="20"/>
                <w:szCs w:val="20"/>
              </w:rPr>
            </w:pPr>
          </w:p>
        </w:tc>
        <w:tc>
          <w:tcPr>
            <w:tcW w:w="0" w:type="auto"/>
            <w:gridSpan w:val="3"/>
            <w:tcBorders>
              <w:bottom w:val="single" w:sz="4" w:space="0" w:color="000000"/>
            </w:tcBorders>
            <w:tcMar>
              <w:top w:w="30" w:type="dxa"/>
              <w:left w:w="20" w:type="dxa"/>
              <w:bottom w:w="30" w:type="dxa"/>
              <w:right w:w="20" w:type="dxa"/>
            </w:tcMar>
            <w:vAlign w:val="bottom"/>
            <w:hideMark/>
          </w:tcPr>
          <w:p w:rsidR="00000000" w:rsidRDefault="001F1FC8">
            <w:pPr>
              <w:rPr>
                <w:rFonts w:eastAsia="Times New Roman"/>
              </w:rPr>
            </w:pPr>
            <w:r>
              <w:rPr>
                <w:rFonts w:ascii="Arial" w:eastAsia="Times New Roman" w:hAnsi="Arial" w:cs="Arial"/>
                <w:color w:val="000000"/>
                <w:sz w:val="18"/>
                <w:szCs w:val="18"/>
              </w:rPr>
              <w:t>Net actuarial (gain)/loss arising during the year</w:t>
            </w:r>
          </w:p>
        </w:tc>
        <w:tc>
          <w:tcPr>
            <w:tcW w:w="0" w:type="auto"/>
            <w:gridSpan w:val="2"/>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8"/>
                <w:szCs w:val="18"/>
              </w:rPr>
              <w:t>(291)</w:t>
            </w:r>
          </w:p>
        </w:tc>
        <w:tc>
          <w:tcPr>
            <w:tcW w:w="0" w:type="auto"/>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8"/>
                <w:szCs w:val="18"/>
              </w:rPr>
              <w:t>118 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8"/>
                <w:szCs w:val="18"/>
              </w:rPr>
              <w:t>115 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1F1FC8">
            <w:pPr>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8"/>
                <w:szCs w:val="18"/>
              </w:rPr>
              <w:t>(99)</w:t>
            </w:r>
          </w:p>
        </w:tc>
        <w:tc>
          <w:tcPr>
            <w:tcW w:w="0" w:type="auto"/>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8"/>
                <w:szCs w:val="18"/>
              </w:rPr>
              <w:t>100 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8"/>
                <w:szCs w:val="18"/>
              </w:rPr>
              <w:t>8 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r>
      <w:tr w:rsidR="00000000">
        <w:trPr>
          <w:divId w:val="597829455"/>
        </w:trPr>
        <w:tc>
          <w:tcPr>
            <w:tcW w:w="0" w:type="auto"/>
            <w:gridSpan w:val="6"/>
            <w:tcBorders>
              <w:top w:val="single" w:sz="4" w:space="0" w:color="000000"/>
              <w:bottom w:val="single" w:sz="4" w:space="0" w:color="000000"/>
            </w:tcBorders>
            <w:tcMar>
              <w:top w:w="30" w:type="dxa"/>
              <w:left w:w="20" w:type="dxa"/>
              <w:bottom w:w="30" w:type="dxa"/>
              <w:right w:w="20" w:type="dxa"/>
            </w:tcMar>
            <w:vAlign w:val="bottom"/>
            <w:hideMark/>
          </w:tcPr>
          <w:p w:rsidR="00000000" w:rsidRDefault="001F1FC8">
            <w:pPr>
              <w:rPr>
                <w:rFonts w:eastAsia="Times New Roman"/>
              </w:rPr>
            </w:pPr>
            <w:r>
              <w:rPr>
                <w:rFonts w:ascii="Arial" w:eastAsia="Times New Roman" w:hAnsi="Arial" w:cs="Arial"/>
                <w:color w:val="000000"/>
                <w:sz w:val="18"/>
                <w:szCs w:val="18"/>
              </w:rPr>
              <w:t>Total amount recognized in OCI</w:t>
            </w:r>
          </w:p>
        </w:tc>
        <w:tc>
          <w:tcPr>
            <w:tcW w:w="0" w:type="auto"/>
            <w:gridSpan w:val="2"/>
            <w:tcBorders>
              <w:top w:val="single" w:sz="4" w:space="0" w:color="000000"/>
            </w:tcBorders>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8"/>
                <w:szCs w:val="18"/>
              </w:rPr>
              <w:t>(316)</w:t>
            </w:r>
          </w:p>
        </w:tc>
        <w:tc>
          <w:tcPr>
            <w:tcW w:w="0" w:type="auto"/>
            <w:tcBorders>
              <w:top w:val="single" w:sz="4" w:space="0" w:color="000000"/>
            </w:tcBorders>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8"/>
                <w:szCs w:val="18"/>
              </w:rPr>
              <w:t>97 </w:t>
            </w:r>
          </w:p>
        </w:tc>
        <w:tc>
          <w:tcPr>
            <w:tcW w:w="0" w:type="auto"/>
            <w:tcBorders>
              <w:top w:val="single" w:sz="4" w:space="0" w:color="000000"/>
            </w:tcBorders>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8"/>
                <w:szCs w:val="18"/>
              </w:rPr>
              <w:t>89 </w:t>
            </w:r>
          </w:p>
        </w:tc>
        <w:tc>
          <w:tcPr>
            <w:tcW w:w="0" w:type="auto"/>
            <w:tcBorders>
              <w:top w:val="single" w:sz="4" w:space="0" w:color="000000"/>
            </w:tcBorders>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1F1FC8">
            <w:pPr>
              <w:jc w:val="right"/>
              <w:rPr>
                <w:rFonts w:eastAsia="Times New Roman"/>
                <w:sz w:val="20"/>
                <w:szCs w:val="20"/>
              </w:rPr>
            </w:pPr>
          </w:p>
        </w:tc>
        <w:tc>
          <w:tcPr>
            <w:tcW w:w="0" w:type="auto"/>
            <w:gridSpan w:val="2"/>
            <w:tcBorders>
              <w:top w:val="single" w:sz="4" w:space="0" w:color="000000"/>
            </w:tcBorders>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8"/>
                <w:szCs w:val="18"/>
              </w:rPr>
              <w:t>(110)</w:t>
            </w:r>
          </w:p>
        </w:tc>
        <w:tc>
          <w:tcPr>
            <w:tcW w:w="0" w:type="auto"/>
            <w:tcBorders>
              <w:top w:val="single" w:sz="4" w:space="0" w:color="000000"/>
            </w:tcBorders>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8"/>
                <w:szCs w:val="18"/>
              </w:rPr>
              <w:t>100 </w:t>
            </w:r>
          </w:p>
        </w:tc>
        <w:tc>
          <w:tcPr>
            <w:tcW w:w="0" w:type="auto"/>
            <w:tcBorders>
              <w:top w:val="single" w:sz="4" w:space="0" w:color="000000"/>
            </w:tcBorders>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8"/>
                <w:szCs w:val="18"/>
              </w:rPr>
              <w:t>1 </w:t>
            </w:r>
          </w:p>
        </w:tc>
        <w:tc>
          <w:tcPr>
            <w:tcW w:w="0" w:type="auto"/>
            <w:tcBorders>
              <w:top w:val="single" w:sz="4" w:space="0" w:color="000000"/>
            </w:tcBorders>
            <w:tcMar>
              <w:top w:w="30" w:type="dxa"/>
              <w:left w:w="0" w:type="dxa"/>
              <w:bottom w:w="30" w:type="dxa"/>
              <w:right w:w="20" w:type="dxa"/>
            </w:tcMar>
            <w:vAlign w:val="bottom"/>
            <w:hideMark/>
          </w:tcPr>
          <w:p w:rsidR="00000000" w:rsidRDefault="001F1FC8">
            <w:pPr>
              <w:jc w:val="right"/>
              <w:rPr>
                <w:rFonts w:eastAsia="Times New Roman"/>
              </w:rPr>
            </w:pPr>
          </w:p>
        </w:tc>
      </w:tr>
      <w:tr w:rsidR="00000000">
        <w:trPr>
          <w:divId w:val="597829455"/>
        </w:trPr>
        <w:tc>
          <w:tcPr>
            <w:tcW w:w="0" w:type="auto"/>
            <w:gridSpan w:val="6"/>
            <w:tcBorders>
              <w:top w:val="single" w:sz="4" w:space="0" w:color="000000"/>
              <w:bottom w:val="single" w:sz="8" w:space="0" w:color="000000"/>
            </w:tcBorders>
            <w:tcMar>
              <w:top w:w="30" w:type="dxa"/>
              <w:left w:w="20" w:type="dxa"/>
              <w:bottom w:w="30" w:type="dxa"/>
              <w:right w:w="20" w:type="dxa"/>
            </w:tcMar>
            <w:vAlign w:val="bottom"/>
            <w:hideMark/>
          </w:tcPr>
          <w:p w:rsidR="00000000" w:rsidRDefault="001F1FC8">
            <w:pPr>
              <w:rPr>
                <w:rFonts w:eastAsia="Times New Roman"/>
              </w:rPr>
            </w:pPr>
            <w:r>
              <w:rPr>
                <w:rFonts w:ascii="Arial" w:eastAsia="Times New Roman" w:hAnsi="Arial" w:cs="Arial"/>
                <w:color w:val="000000"/>
                <w:sz w:val="18"/>
                <w:szCs w:val="18"/>
              </w:rPr>
              <w:t>Total amount recognized in Comprehensive income</w:t>
            </w:r>
          </w:p>
        </w:tc>
        <w:tc>
          <w:tcPr>
            <w:tcW w:w="0" w:type="auto"/>
            <w:gridSpan w:val="2"/>
            <w:tcBorders>
              <w:top w:val="single" w:sz="4" w:space="0" w:color="000000"/>
              <w:bottom w:val="single" w:sz="8" w:space="0" w:color="000000"/>
            </w:tcBorders>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8"/>
                <w:szCs w:val="18"/>
              </w:rPr>
              <w:t>(267)</w:t>
            </w:r>
          </w:p>
        </w:tc>
        <w:tc>
          <w:tcPr>
            <w:tcW w:w="0" w:type="auto"/>
            <w:tcBorders>
              <w:top w:val="single" w:sz="4" w:space="0" w:color="000000"/>
              <w:bottom w:val="single" w:sz="8" w:space="0" w:color="000000"/>
            </w:tcBorders>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Borders>
              <w:top w:val="single" w:sz="4" w:space="0" w:color="000000"/>
              <w:bottom w:val="single" w:sz="8" w:space="0" w:color="000000"/>
            </w:tcBorders>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8"/>
                <w:szCs w:val="18"/>
              </w:rPr>
              <w:t>161 </w:t>
            </w:r>
          </w:p>
        </w:tc>
        <w:tc>
          <w:tcPr>
            <w:tcW w:w="0" w:type="auto"/>
            <w:tcBorders>
              <w:top w:val="single" w:sz="4" w:space="0" w:color="000000"/>
              <w:bottom w:val="single" w:sz="8" w:space="0" w:color="000000"/>
            </w:tcBorders>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Borders>
              <w:top w:val="single" w:sz="4" w:space="0" w:color="000000"/>
              <w:bottom w:val="single" w:sz="8" w:space="0" w:color="000000"/>
            </w:tcBorders>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8"/>
                <w:szCs w:val="18"/>
              </w:rPr>
              <w:t>181 </w:t>
            </w:r>
          </w:p>
        </w:tc>
        <w:tc>
          <w:tcPr>
            <w:tcW w:w="0" w:type="auto"/>
            <w:tcBorders>
              <w:top w:val="single" w:sz="4" w:space="0" w:color="000000"/>
              <w:bottom w:val="single" w:sz="8" w:space="0" w:color="000000"/>
            </w:tcBorders>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3"/>
            <w:tcBorders>
              <w:top w:val="single" w:sz="4" w:space="0" w:color="000000"/>
              <w:bottom w:val="single" w:sz="8" w:space="0" w:color="000000"/>
            </w:tcBorders>
            <w:tcMar>
              <w:top w:w="0" w:type="dxa"/>
              <w:left w:w="20" w:type="dxa"/>
              <w:bottom w:w="0" w:type="dxa"/>
              <w:right w:w="20" w:type="dxa"/>
            </w:tcMar>
            <w:vAlign w:val="center"/>
            <w:hideMark/>
          </w:tcPr>
          <w:p w:rsidR="00000000" w:rsidRDefault="001F1FC8">
            <w:pPr>
              <w:jc w:val="right"/>
              <w:rPr>
                <w:rFonts w:eastAsia="Times New Roman"/>
                <w:sz w:val="20"/>
                <w:szCs w:val="20"/>
              </w:rPr>
            </w:pPr>
          </w:p>
        </w:tc>
        <w:tc>
          <w:tcPr>
            <w:tcW w:w="0" w:type="auto"/>
            <w:gridSpan w:val="2"/>
            <w:tcBorders>
              <w:top w:val="single" w:sz="4" w:space="0" w:color="000000"/>
              <w:bottom w:val="single" w:sz="8" w:space="0" w:color="000000"/>
            </w:tcBorders>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8"/>
                <w:szCs w:val="18"/>
              </w:rPr>
              <w:t>(111)</w:t>
            </w:r>
          </w:p>
        </w:tc>
        <w:tc>
          <w:tcPr>
            <w:tcW w:w="0" w:type="auto"/>
            <w:tcBorders>
              <w:top w:val="single" w:sz="4" w:space="0" w:color="000000"/>
              <w:bottom w:val="single" w:sz="8" w:space="0" w:color="000000"/>
            </w:tcBorders>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Borders>
              <w:top w:val="single" w:sz="4" w:space="0" w:color="000000"/>
              <w:bottom w:val="single" w:sz="8" w:space="0" w:color="000000"/>
            </w:tcBorders>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8"/>
                <w:szCs w:val="18"/>
              </w:rPr>
              <w:t>87 </w:t>
            </w:r>
          </w:p>
        </w:tc>
        <w:tc>
          <w:tcPr>
            <w:tcW w:w="0" w:type="auto"/>
            <w:tcBorders>
              <w:top w:val="single" w:sz="4" w:space="0" w:color="000000"/>
              <w:bottom w:val="single" w:sz="8" w:space="0" w:color="000000"/>
            </w:tcBorders>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Borders>
              <w:top w:val="single" w:sz="4" w:space="0" w:color="000000"/>
              <w:bottom w:val="single" w:sz="8" w:space="0" w:color="000000"/>
            </w:tcBorders>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8"/>
                <w:szCs w:val="18"/>
              </w:rPr>
              <w:t>10 </w:t>
            </w:r>
          </w:p>
        </w:tc>
        <w:tc>
          <w:tcPr>
            <w:tcW w:w="0" w:type="auto"/>
            <w:tcBorders>
              <w:top w:val="single" w:sz="4" w:space="0" w:color="000000"/>
              <w:bottom w:val="single" w:sz="8" w:space="0" w:color="000000"/>
            </w:tcBorders>
            <w:tcMar>
              <w:top w:w="30" w:type="dxa"/>
              <w:left w:w="0" w:type="dxa"/>
              <w:bottom w:w="30" w:type="dxa"/>
              <w:right w:w="20" w:type="dxa"/>
            </w:tcMar>
            <w:vAlign w:val="bottom"/>
            <w:hideMark/>
          </w:tcPr>
          <w:p w:rsidR="00000000" w:rsidRDefault="001F1FC8">
            <w:pPr>
              <w:jc w:val="right"/>
              <w:rPr>
                <w:rFonts w:eastAsia="Times New Roman"/>
              </w:rPr>
            </w:pPr>
          </w:p>
        </w:tc>
      </w:tr>
    </w:tbl>
    <w:p w:rsidR="00000000" w:rsidRDefault="001F1FC8">
      <w:pPr>
        <w:divId w:val="443841895"/>
        <w:rPr>
          <w:rFonts w:eastAsia="Times New Roman"/>
        </w:rPr>
      </w:pPr>
      <w:r>
        <w:rPr>
          <w:rFonts w:ascii="Arial" w:eastAsia="Times New Roman" w:hAnsi="Arial" w:cs="Arial"/>
          <w:i/>
          <w:iCs/>
          <w:color w:val="000000"/>
          <w:sz w:val="16"/>
          <w:szCs w:val="16"/>
        </w:rPr>
        <w:t>1 Reported within Other income/(expense) in the Consolidated Statements of Earnings.</w:t>
      </w:r>
    </w:p>
    <w:p w:rsidR="00000000" w:rsidRDefault="001F1FC8">
      <w:pPr>
        <w:divId w:val="2007199382"/>
        <w:rPr>
          <w:rFonts w:eastAsia="Times New Roman"/>
        </w:rPr>
      </w:pPr>
    </w:p>
    <w:p w:rsidR="00000000" w:rsidRDefault="001F1FC8">
      <w:pPr>
        <w:jc w:val="center"/>
        <w:divId w:val="211118345"/>
        <w:rPr>
          <w:rFonts w:eastAsia="Times New Roman"/>
        </w:rPr>
      </w:pPr>
      <w:r>
        <w:rPr>
          <w:rFonts w:ascii="Arial" w:eastAsia="Times New Roman" w:hAnsi="Arial" w:cs="Arial"/>
          <w:color w:val="000000"/>
          <w:sz w:val="20"/>
          <w:szCs w:val="20"/>
        </w:rPr>
        <w:t>166</w:t>
      </w:r>
    </w:p>
    <w:p w:rsidR="00000000" w:rsidRDefault="001F1FC8">
      <w:pPr>
        <w:rPr>
          <w:rFonts w:eastAsia="Times New Roman"/>
        </w:rPr>
      </w:pPr>
      <w:r>
        <w:rPr>
          <w:rFonts w:eastAsia="Times New Roman"/>
        </w:rPr>
        <w:pict>
          <v:rect id="_x0000_i1196" style="width:0;height:1.5pt" o:hralign="center" o:hrstd="t" o:hr="t" fillcolor="#a0a0a0" stroked="f"/>
        </w:pict>
      </w:r>
    </w:p>
    <w:p w:rsidR="00000000" w:rsidRDefault="001F1FC8">
      <w:pPr>
        <w:jc w:val="center"/>
        <w:divId w:val="386416210"/>
        <w:rPr>
          <w:rFonts w:eastAsia="Times New Roman"/>
        </w:rPr>
      </w:pPr>
    </w:p>
    <w:p w:rsidR="00000000" w:rsidRDefault="001F1FC8">
      <w:pPr>
        <w:divId w:val="2033413646"/>
        <w:rPr>
          <w:rFonts w:eastAsia="Times New Roman"/>
        </w:rPr>
      </w:pPr>
      <w:r>
        <w:rPr>
          <w:rFonts w:ascii="Arial" w:eastAsia="Times New Roman" w:hAnsi="Arial" w:cs="Arial"/>
          <w:b/>
          <w:bCs/>
          <w:color w:val="000000"/>
          <w:sz w:val="20"/>
          <w:szCs w:val="20"/>
        </w:rPr>
        <w:t xml:space="preserve">Actuarial Assumptions </w:t>
      </w:r>
    </w:p>
    <w:p w:rsidR="00000000" w:rsidRDefault="001F1FC8">
      <w:pPr>
        <w:divId w:val="638153310"/>
        <w:rPr>
          <w:rFonts w:eastAsia="Times New Roman"/>
        </w:rPr>
      </w:pPr>
      <w:r>
        <w:rPr>
          <w:rFonts w:ascii="Arial" w:eastAsia="Times New Roman" w:hAnsi="Arial" w:cs="Arial"/>
          <w:color w:val="000000"/>
          <w:sz w:val="20"/>
          <w:szCs w:val="20"/>
        </w:rPr>
        <w:t>The weighted average assumptions made in the measurement of the projected benefit obligation and net periodic benefit cost of our pension plans are as follows:</w:t>
      </w:r>
    </w:p>
    <w:tbl>
      <w:tblPr>
        <w:tblW w:w="5000" w:type="pct"/>
        <w:tblCellMar>
          <w:top w:w="15" w:type="dxa"/>
          <w:left w:w="15" w:type="dxa"/>
          <w:bottom w:w="15" w:type="dxa"/>
          <w:right w:w="15" w:type="dxa"/>
        </w:tblCellMar>
        <w:tblLook w:val="04A0" w:firstRow="1" w:lastRow="0" w:firstColumn="1" w:lastColumn="0" w:noHBand="0" w:noVBand="1"/>
      </w:tblPr>
      <w:tblGrid>
        <w:gridCol w:w="37"/>
        <w:gridCol w:w="2522"/>
        <w:gridCol w:w="36"/>
        <w:gridCol w:w="44"/>
        <w:gridCol w:w="702"/>
        <w:gridCol w:w="198"/>
        <w:gridCol w:w="44"/>
        <w:gridCol w:w="703"/>
        <w:gridCol w:w="198"/>
        <w:gridCol w:w="44"/>
        <w:gridCol w:w="703"/>
        <w:gridCol w:w="198"/>
        <w:gridCol w:w="36"/>
        <w:gridCol w:w="36"/>
        <w:gridCol w:w="36"/>
        <w:gridCol w:w="44"/>
        <w:gridCol w:w="636"/>
        <w:gridCol w:w="198"/>
        <w:gridCol w:w="44"/>
        <w:gridCol w:w="703"/>
        <w:gridCol w:w="198"/>
        <w:gridCol w:w="44"/>
        <w:gridCol w:w="704"/>
        <w:gridCol w:w="198"/>
      </w:tblGrid>
      <w:tr w:rsidR="00000000">
        <w:trPr>
          <w:divId w:val="868951190"/>
        </w:trPr>
        <w:tc>
          <w:tcPr>
            <w:tcW w:w="50" w:type="pct"/>
            <w:vAlign w:val="center"/>
            <w:hideMark/>
          </w:tcPr>
          <w:p w:rsidR="00000000" w:rsidRDefault="001F1FC8">
            <w:pPr>
              <w:rPr>
                <w:rFonts w:eastAsia="Times New Roman"/>
              </w:rPr>
            </w:pPr>
          </w:p>
        </w:tc>
        <w:tc>
          <w:tcPr>
            <w:tcW w:w="1587"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c>
          <w:tcPr>
            <w:tcW w:w="50" w:type="pct"/>
            <w:vAlign w:val="center"/>
            <w:hideMark/>
          </w:tcPr>
          <w:p w:rsidR="00000000" w:rsidRDefault="001F1FC8">
            <w:pPr>
              <w:rPr>
                <w:rFonts w:eastAsia="Times New Roman"/>
                <w:sz w:val="20"/>
                <w:szCs w:val="20"/>
              </w:rPr>
            </w:pPr>
          </w:p>
        </w:tc>
        <w:tc>
          <w:tcPr>
            <w:tcW w:w="497"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c>
          <w:tcPr>
            <w:tcW w:w="50" w:type="pct"/>
            <w:vAlign w:val="center"/>
            <w:hideMark/>
          </w:tcPr>
          <w:p w:rsidR="00000000" w:rsidRDefault="001F1FC8">
            <w:pPr>
              <w:rPr>
                <w:rFonts w:eastAsia="Times New Roman"/>
                <w:sz w:val="20"/>
                <w:szCs w:val="20"/>
              </w:rPr>
            </w:pPr>
          </w:p>
        </w:tc>
        <w:tc>
          <w:tcPr>
            <w:tcW w:w="497"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c>
          <w:tcPr>
            <w:tcW w:w="50" w:type="pct"/>
            <w:vAlign w:val="center"/>
            <w:hideMark/>
          </w:tcPr>
          <w:p w:rsidR="00000000" w:rsidRDefault="001F1FC8">
            <w:pPr>
              <w:rPr>
                <w:rFonts w:eastAsia="Times New Roman"/>
                <w:sz w:val="20"/>
                <w:szCs w:val="20"/>
              </w:rPr>
            </w:pPr>
          </w:p>
        </w:tc>
        <w:tc>
          <w:tcPr>
            <w:tcW w:w="497"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c>
          <w:tcPr>
            <w:tcW w:w="30"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c>
          <w:tcPr>
            <w:tcW w:w="50" w:type="pct"/>
            <w:vAlign w:val="center"/>
            <w:hideMark/>
          </w:tcPr>
          <w:p w:rsidR="00000000" w:rsidRDefault="001F1FC8">
            <w:pPr>
              <w:rPr>
                <w:rFonts w:eastAsia="Times New Roman"/>
                <w:sz w:val="20"/>
                <w:szCs w:val="20"/>
              </w:rPr>
            </w:pPr>
          </w:p>
        </w:tc>
        <w:tc>
          <w:tcPr>
            <w:tcW w:w="497"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c>
          <w:tcPr>
            <w:tcW w:w="50" w:type="pct"/>
            <w:vAlign w:val="center"/>
            <w:hideMark/>
          </w:tcPr>
          <w:p w:rsidR="00000000" w:rsidRDefault="001F1FC8">
            <w:pPr>
              <w:rPr>
                <w:rFonts w:eastAsia="Times New Roman"/>
                <w:sz w:val="20"/>
                <w:szCs w:val="20"/>
              </w:rPr>
            </w:pPr>
          </w:p>
        </w:tc>
        <w:tc>
          <w:tcPr>
            <w:tcW w:w="497"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c>
          <w:tcPr>
            <w:tcW w:w="50" w:type="pct"/>
            <w:vAlign w:val="center"/>
            <w:hideMark/>
          </w:tcPr>
          <w:p w:rsidR="00000000" w:rsidRDefault="001F1FC8">
            <w:pPr>
              <w:rPr>
                <w:rFonts w:eastAsia="Times New Roman"/>
                <w:sz w:val="20"/>
                <w:szCs w:val="20"/>
              </w:rPr>
            </w:pPr>
          </w:p>
        </w:tc>
        <w:tc>
          <w:tcPr>
            <w:tcW w:w="498"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r>
      <w:tr w:rsidR="00000000">
        <w:trPr>
          <w:divId w:val="868951190"/>
        </w:trPr>
        <w:tc>
          <w:tcPr>
            <w:tcW w:w="0" w:type="auto"/>
            <w:gridSpan w:val="3"/>
            <w:tcMar>
              <w:top w:w="30" w:type="dxa"/>
              <w:left w:w="20" w:type="dxa"/>
              <w:bottom w:w="30" w:type="dxa"/>
              <w:right w:w="20" w:type="dxa"/>
            </w:tcMar>
            <w:hideMark/>
          </w:tcPr>
          <w:p w:rsidR="00000000" w:rsidRDefault="001F1FC8">
            <w:pPr>
              <w:rPr>
                <w:rFonts w:eastAsia="Times New Roman"/>
              </w:rPr>
            </w:pPr>
            <w:r>
              <w:rPr>
                <w:rFonts w:ascii="Arial" w:eastAsia="Times New Roman" w:hAnsi="Arial" w:cs="Arial"/>
                <w:color w:val="000000"/>
                <w:sz w:val="2"/>
                <w:szCs w:val="2"/>
              </w:rPr>
              <w:t> </w:t>
            </w:r>
          </w:p>
        </w:tc>
        <w:tc>
          <w:tcPr>
            <w:tcW w:w="0" w:type="auto"/>
            <w:gridSpan w:val="9"/>
            <w:tcMar>
              <w:top w:w="30" w:type="dxa"/>
              <w:left w:w="20" w:type="dxa"/>
              <w:bottom w:w="30" w:type="dxa"/>
              <w:right w:w="20" w:type="dxa"/>
            </w:tcMar>
            <w:vAlign w:val="bottom"/>
            <w:hideMark/>
          </w:tcPr>
          <w:p w:rsidR="00000000" w:rsidRDefault="001F1FC8">
            <w:pPr>
              <w:jc w:val="center"/>
              <w:rPr>
                <w:rFonts w:eastAsia="Times New Roman"/>
              </w:rPr>
            </w:pPr>
            <w:r>
              <w:rPr>
                <w:rFonts w:ascii="Arial" w:eastAsia="Times New Roman" w:hAnsi="Arial" w:cs="Arial"/>
                <w:color w:val="000000"/>
                <w:sz w:val="20"/>
                <w:szCs w:val="20"/>
              </w:rPr>
              <w:t>Canada</w:t>
            </w:r>
          </w:p>
        </w:tc>
        <w:tc>
          <w:tcPr>
            <w:tcW w:w="0" w:type="auto"/>
            <w:gridSpan w:val="3"/>
            <w:tcMar>
              <w:top w:w="0" w:type="dxa"/>
              <w:left w:w="20" w:type="dxa"/>
              <w:bottom w:w="0" w:type="dxa"/>
              <w:right w:w="20" w:type="dxa"/>
            </w:tcMar>
            <w:vAlign w:val="center"/>
            <w:hideMark/>
          </w:tcPr>
          <w:p w:rsidR="00000000" w:rsidRDefault="001F1FC8">
            <w:pPr>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1F1FC8">
            <w:pPr>
              <w:jc w:val="center"/>
              <w:rPr>
                <w:rFonts w:eastAsia="Times New Roman"/>
              </w:rPr>
            </w:pPr>
            <w:r>
              <w:rPr>
                <w:rFonts w:ascii="Arial" w:eastAsia="Times New Roman" w:hAnsi="Arial" w:cs="Arial"/>
                <w:color w:val="000000"/>
                <w:sz w:val="20"/>
                <w:szCs w:val="20"/>
              </w:rPr>
              <w:t>US</w:t>
            </w:r>
          </w:p>
        </w:tc>
      </w:tr>
      <w:tr w:rsidR="00000000">
        <w:trPr>
          <w:divId w:val="868951190"/>
        </w:trPr>
        <w:tc>
          <w:tcPr>
            <w:tcW w:w="0" w:type="auto"/>
            <w:gridSpan w:val="3"/>
            <w:tcMar>
              <w:top w:w="0" w:type="dxa"/>
              <w:left w:w="20" w:type="dxa"/>
              <w:bottom w:w="0" w:type="dxa"/>
              <w:right w:w="20" w:type="dxa"/>
            </w:tcMar>
            <w:vAlign w:val="center"/>
            <w:hideMark/>
          </w:tcPr>
          <w:p w:rsidR="00000000" w:rsidRDefault="001F1FC8">
            <w:pPr>
              <w:jc w:val="center"/>
              <w:rPr>
                <w:rFonts w:eastAsia="Times New Roman"/>
              </w:rPr>
            </w:pPr>
          </w:p>
        </w:tc>
        <w:tc>
          <w:tcPr>
            <w:tcW w:w="0" w:type="auto"/>
            <w:gridSpan w:val="3"/>
            <w:tcBorders>
              <w:top w:val="single" w:sz="4" w:space="0" w:color="000000"/>
            </w:tcBorders>
            <w:tcMar>
              <w:top w:w="30" w:type="dxa"/>
              <w:left w:w="20" w:type="dxa"/>
              <w:bottom w:w="30" w:type="dxa"/>
              <w:right w:w="20" w:type="dxa"/>
            </w:tcMar>
            <w:hideMark/>
          </w:tcPr>
          <w:p w:rsidR="00000000" w:rsidRDefault="001F1FC8">
            <w:pPr>
              <w:jc w:val="right"/>
              <w:rPr>
                <w:rFonts w:eastAsia="Times New Roman"/>
              </w:rPr>
            </w:pPr>
            <w:r>
              <w:rPr>
                <w:rFonts w:ascii="Arial" w:eastAsia="Times New Roman" w:hAnsi="Arial" w:cs="Arial"/>
                <w:b/>
                <w:bCs/>
                <w:color w:val="000000"/>
                <w:sz w:val="20"/>
                <w:szCs w:val="20"/>
              </w:rPr>
              <w:t>2021</w:t>
            </w:r>
          </w:p>
        </w:tc>
        <w:tc>
          <w:tcPr>
            <w:tcW w:w="0" w:type="auto"/>
            <w:gridSpan w:val="3"/>
            <w:tcBorders>
              <w:top w:val="single" w:sz="4" w:space="0" w:color="000000"/>
            </w:tcBorders>
            <w:tcMar>
              <w:top w:w="30" w:type="dxa"/>
              <w:left w:w="20" w:type="dxa"/>
              <w:bottom w:w="30" w:type="dxa"/>
              <w:right w:w="20" w:type="dxa"/>
            </w:tcMar>
            <w:hideMark/>
          </w:tcPr>
          <w:p w:rsidR="00000000" w:rsidRDefault="001F1FC8">
            <w:pPr>
              <w:jc w:val="right"/>
              <w:rPr>
                <w:rFonts w:eastAsia="Times New Roman"/>
              </w:rPr>
            </w:pPr>
            <w:r>
              <w:rPr>
                <w:rFonts w:ascii="Arial" w:eastAsia="Times New Roman" w:hAnsi="Arial" w:cs="Arial"/>
                <w:color w:val="000000"/>
                <w:sz w:val="20"/>
                <w:szCs w:val="20"/>
              </w:rPr>
              <w:t>2020</w:t>
            </w:r>
          </w:p>
        </w:tc>
        <w:tc>
          <w:tcPr>
            <w:tcW w:w="0" w:type="auto"/>
            <w:gridSpan w:val="3"/>
            <w:tcBorders>
              <w:top w:val="single" w:sz="4" w:space="0" w:color="000000"/>
            </w:tcBorders>
            <w:tcMar>
              <w:top w:w="30" w:type="dxa"/>
              <w:left w:w="20" w:type="dxa"/>
              <w:bottom w:w="30" w:type="dxa"/>
              <w:right w:w="20" w:type="dxa"/>
            </w:tcMar>
            <w:hideMark/>
          </w:tcPr>
          <w:p w:rsidR="00000000" w:rsidRDefault="001F1FC8">
            <w:pPr>
              <w:jc w:val="right"/>
              <w:rPr>
                <w:rFonts w:eastAsia="Times New Roman"/>
              </w:rPr>
            </w:pPr>
            <w:r>
              <w:rPr>
                <w:rFonts w:ascii="Arial" w:eastAsia="Times New Roman" w:hAnsi="Arial" w:cs="Arial"/>
                <w:color w:val="000000"/>
                <w:sz w:val="20"/>
                <w:szCs w:val="20"/>
              </w:rPr>
              <w:t>2019</w:t>
            </w:r>
          </w:p>
        </w:tc>
        <w:tc>
          <w:tcPr>
            <w:tcW w:w="0" w:type="auto"/>
            <w:gridSpan w:val="3"/>
            <w:tcMar>
              <w:top w:w="0" w:type="dxa"/>
              <w:left w:w="20" w:type="dxa"/>
              <w:bottom w:w="0" w:type="dxa"/>
              <w:right w:w="20" w:type="dxa"/>
            </w:tcMar>
            <w:vAlign w:val="center"/>
            <w:hideMark/>
          </w:tcPr>
          <w:p w:rsidR="00000000" w:rsidRDefault="001F1FC8">
            <w:pPr>
              <w:jc w:val="right"/>
              <w:rPr>
                <w:rFonts w:eastAsia="Times New Roman"/>
              </w:rPr>
            </w:pPr>
          </w:p>
        </w:tc>
        <w:tc>
          <w:tcPr>
            <w:tcW w:w="0" w:type="auto"/>
            <w:gridSpan w:val="3"/>
            <w:tcBorders>
              <w:top w:val="single" w:sz="4" w:space="0" w:color="000000"/>
            </w:tcBorders>
            <w:tcMar>
              <w:top w:w="30" w:type="dxa"/>
              <w:left w:w="20" w:type="dxa"/>
              <w:bottom w:w="30" w:type="dxa"/>
              <w:right w:w="20" w:type="dxa"/>
            </w:tcMar>
            <w:hideMark/>
          </w:tcPr>
          <w:p w:rsidR="00000000" w:rsidRDefault="001F1FC8">
            <w:pPr>
              <w:jc w:val="right"/>
              <w:rPr>
                <w:rFonts w:eastAsia="Times New Roman"/>
              </w:rPr>
            </w:pPr>
            <w:r>
              <w:rPr>
                <w:rFonts w:ascii="Arial" w:eastAsia="Times New Roman" w:hAnsi="Arial" w:cs="Arial"/>
                <w:b/>
                <w:bCs/>
                <w:color w:val="000000"/>
                <w:sz w:val="20"/>
                <w:szCs w:val="20"/>
              </w:rPr>
              <w:t>2021</w:t>
            </w:r>
          </w:p>
        </w:tc>
        <w:tc>
          <w:tcPr>
            <w:tcW w:w="0" w:type="auto"/>
            <w:gridSpan w:val="3"/>
            <w:tcBorders>
              <w:top w:val="single" w:sz="4" w:space="0" w:color="000000"/>
            </w:tcBorders>
            <w:tcMar>
              <w:top w:w="30" w:type="dxa"/>
              <w:left w:w="20" w:type="dxa"/>
              <w:bottom w:w="30" w:type="dxa"/>
              <w:right w:w="20" w:type="dxa"/>
            </w:tcMar>
            <w:hideMark/>
          </w:tcPr>
          <w:p w:rsidR="00000000" w:rsidRDefault="001F1FC8">
            <w:pPr>
              <w:jc w:val="right"/>
              <w:rPr>
                <w:rFonts w:eastAsia="Times New Roman"/>
              </w:rPr>
            </w:pPr>
            <w:r>
              <w:rPr>
                <w:rFonts w:ascii="Arial" w:eastAsia="Times New Roman" w:hAnsi="Arial" w:cs="Arial"/>
                <w:color w:val="000000"/>
                <w:sz w:val="20"/>
                <w:szCs w:val="20"/>
              </w:rPr>
              <w:t>2020</w:t>
            </w:r>
          </w:p>
        </w:tc>
        <w:tc>
          <w:tcPr>
            <w:tcW w:w="0" w:type="auto"/>
            <w:gridSpan w:val="3"/>
            <w:tcBorders>
              <w:top w:val="single" w:sz="4" w:space="0" w:color="000000"/>
            </w:tcBorders>
            <w:tcMar>
              <w:top w:w="30" w:type="dxa"/>
              <w:left w:w="20" w:type="dxa"/>
              <w:bottom w:w="30" w:type="dxa"/>
              <w:right w:w="20" w:type="dxa"/>
            </w:tcMar>
            <w:hideMark/>
          </w:tcPr>
          <w:p w:rsidR="00000000" w:rsidRDefault="001F1FC8">
            <w:pPr>
              <w:jc w:val="right"/>
              <w:rPr>
                <w:rFonts w:eastAsia="Times New Roman"/>
              </w:rPr>
            </w:pPr>
            <w:r>
              <w:rPr>
                <w:rFonts w:ascii="Arial" w:eastAsia="Times New Roman" w:hAnsi="Arial" w:cs="Arial"/>
                <w:color w:val="000000"/>
                <w:sz w:val="20"/>
                <w:szCs w:val="20"/>
              </w:rPr>
              <w:t>2019</w:t>
            </w:r>
          </w:p>
        </w:tc>
      </w:tr>
      <w:tr w:rsidR="00000000">
        <w:trPr>
          <w:divId w:val="868951190"/>
        </w:trPr>
        <w:tc>
          <w:tcPr>
            <w:tcW w:w="0" w:type="auto"/>
            <w:gridSpan w:val="3"/>
            <w:tcBorders>
              <w:top w:val="single" w:sz="4" w:space="0" w:color="000000"/>
            </w:tcBorders>
            <w:tcMar>
              <w:top w:w="30" w:type="dxa"/>
              <w:left w:w="20" w:type="dxa"/>
              <w:bottom w:w="30" w:type="dxa"/>
              <w:right w:w="20" w:type="dxa"/>
            </w:tcMar>
            <w:hideMark/>
          </w:tcPr>
          <w:p w:rsidR="00000000" w:rsidRDefault="001F1FC8">
            <w:pPr>
              <w:rPr>
                <w:rFonts w:eastAsia="Times New Roman"/>
              </w:rPr>
            </w:pPr>
            <w:r>
              <w:rPr>
                <w:rFonts w:ascii="Arial" w:eastAsia="Times New Roman" w:hAnsi="Arial" w:cs="Arial"/>
                <w:b/>
                <w:bCs/>
                <w:color w:val="000000"/>
                <w:sz w:val="20"/>
                <w:szCs w:val="20"/>
              </w:rPr>
              <w:t>Projected benefit obligation</w:t>
            </w:r>
          </w:p>
        </w:tc>
        <w:tc>
          <w:tcPr>
            <w:tcW w:w="0" w:type="auto"/>
            <w:gridSpan w:val="3"/>
            <w:tcBorders>
              <w:top w:val="single" w:sz="4" w:space="0" w:color="000000"/>
            </w:tcBorders>
            <w:shd w:val="clear" w:color="auto" w:fill="D9D9D9"/>
            <w:tcMar>
              <w:top w:w="0" w:type="dxa"/>
              <w:left w:w="20" w:type="dxa"/>
              <w:bottom w:w="0" w:type="dxa"/>
              <w:right w:w="20" w:type="dxa"/>
            </w:tcMar>
            <w:vAlign w:val="center"/>
            <w:hideMark/>
          </w:tcPr>
          <w:p w:rsidR="00000000" w:rsidRDefault="001F1FC8">
            <w:pPr>
              <w:rPr>
                <w:rFonts w:eastAsia="Times New Roman"/>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1F1FC8">
            <w:pPr>
              <w:rPr>
                <w:rFonts w:eastAsia="Times New Roman"/>
                <w:sz w:val="20"/>
                <w:szCs w:val="20"/>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1F1FC8">
            <w:pPr>
              <w:rPr>
                <w:rFonts w:eastAsia="Times New Roman"/>
                <w:sz w:val="20"/>
                <w:szCs w:val="20"/>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1F1FC8">
            <w:pPr>
              <w:rPr>
                <w:rFonts w:eastAsia="Times New Roman"/>
                <w:sz w:val="20"/>
                <w:szCs w:val="20"/>
              </w:rPr>
            </w:pPr>
          </w:p>
        </w:tc>
        <w:tc>
          <w:tcPr>
            <w:tcW w:w="0" w:type="auto"/>
            <w:gridSpan w:val="3"/>
            <w:tcBorders>
              <w:top w:val="single" w:sz="4" w:space="0" w:color="000000"/>
            </w:tcBorders>
            <w:shd w:val="clear" w:color="auto" w:fill="D9D9D9"/>
            <w:tcMar>
              <w:top w:w="0" w:type="dxa"/>
              <w:left w:w="20" w:type="dxa"/>
              <w:bottom w:w="0" w:type="dxa"/>
              <w:right w:w="20" w:type="dxa"/>
            </w:tcMar>
            <w:vAlign w:val="center"/>
            <w:hideMark/>
          </w:tcPr>
          <w:p w:rsidR="00000000" w:rsidRDefault="001F1FC8">
            <w:pPr>
              <w:rPr>
                <w:rFonts w:eastAsia="Times New Roman"/>
                <w:sz w:val="20"/>
                <w:szCs w:val="20"/>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1F1FC8">
            <w:pPr>
              <w:rPr>
                <w:rFonts w:eastAsia="Times New Roman"/>
                <w:sz w:val="20"/>
                <w:szCs w:val="20"/>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1F1FC8">
            <w:pPr>
              <w:rPr>
                <w:rFonts w:eastAsia="Times New Roman"/>
                <w:sz w:val="20"/>
                <w:szCs w:val="20"/>
              </w:rPr>
            </w:pPr>
          </w:p>
        </w:tc>
      </w:tr>
      <w:tr w:rsidR="00000000">
        <w:trPr>
          <w:divId w:val="868951190"/>
        </w:trPr>
        <w:tc>
          <w:tcPr>
            <w:tcW w:w="0" w:type="auto"/>
            <w:gridSpan w:val="3"/>
            <w:tcMar>
              <w:top w:w="30" w:type="dxa"/>
              <w:left w:w="20" w:type="dxa"/>
              <w:bottom w:w="30" w:type="dxa"/>
              <w:right w:w="20" w:type="dxa"/>
            </w:tcMar>
            <w:hideMark/>
          </w:tcPr>
          <w:p w:rsidR="00000000" w:rsidRDefault="001F1FC8">
            <w:pPr>
              <w:rPr>
                <w:rFonts w:eastAsia="Times New Roman"/>
              </w:rPr>
            </w:pPr>
            <w:r>
              <w:rPr>
                <w:rFonts w:ascii="Arial" w:eastAsia="Times New Roman" w:hAnsi="Arial" w:cs="Arial"/>
                <w:color w:val="000000"/>
                <w:sz w:val="20"/>
                <w:szCs w:val="20"/>
              </w:rPr>
              <w:t>Discount rate</w:t>
            </w:r>
          </w:p>
        </w:tc>
        <w:tc>
          <w:tcPr>
            <w:tcW w:w="0" w:type="auto"/>
            <w:gridSpan w:val="2"/>
            <w:shd w:val="clear" w:color="auto" w:fill="D9D9D9"/>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b/>
                <w:bCs/>
                <w:color w:val="000000"/>
                <w:sz w:val="20"/>
                <w:szCs w:val="20"/>
              </w:rPr>
              <w:t>3.2</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hideMark/>
          </w:tcPr>
          <w:p w:rsidR="00000000" w:rsidRDefault="001F1FC8">
            <w:pPr>
              <w:jc w:val="right"/>
              <w:rPr>
                <w:rFonts w:eastAsia="Times New Roman"/>
              </w:rPr>
            </w:pPr>
            <w:r>
              <w:rPr>
                <w:rFonts w:ascii="Arial" w:eastAsia="Times New Roman" w:hAnsi="Arial" w:cs="Arial"/>
                <w:b/>
                <w:bCs/>
                <w:color w:val="000000"/>
                <w:sz w:val="20"/>
                <w:szCs w:val="20"/>
              </w:rPr>
              <w:t>%</w:t>
            </w:r>
          </w:p>
        </w:tc>
        <w:tc>
          <w:tcPr>
            <w:tcW w:w="0" w:type="auto"/>
            <w:gridSpan w:val="2"/>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color w:val="000000"/>
                <w:sz w:val="20"/>
                <w:szCs w:val="20"/>
              </w:rPr>
              <w:t>2.6 </w:t>
            </w:r>
          </w:p>
        </w:tc>
        <w:tc>
          <w:tcPr>
            <w:tcW w:w="0" w:type="auto"/>
            <w:tcMar>
              <w:top w:w="30" w:type="dxa"/>
              <w:left w:w="0" w:type="dxa"/>
              <w:bottom w:w="30" w:type="dxa"/>
              <w:right w:w="20" w:type="dxa"/>
            </w:tcMar>
            <w:hideMark/>
          </w:tcPr>
          <w:p w:rsidR="00000000" w:rsidRDefault="001F1FC8">
            <w:pPr>
              <w:jc w:val="right"/>
              <w:rPr>
                <w:rFonts w:eastAsia="Times New Roman"/>
              </w:rPr>
            </w:pPr>
            <w:r>
              <w:rPr>
                <w:rFonts w:ascii="Arial" w:eastAsia="Times New Roman" w:hAnsi="Arial" w:cs="Arial"/>
                <w:color w:val="000000"/>
                <w:sz w:val="20"/>
                <w:szCs w:val="20"/>
              </w:rPr>
              <w:t>%</w:t>
            </w:r>
          </w:p>
        </w:tc>
        <w:tc>
          <w:tcPr>
            <w:tcW w:w="0" w:type="auto"/>
            <w:gridSpan w:val="2"/>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color w:val="000000"/>
                <w:sz w:val="20"/>
                <w:szCs w:val="20"/>
              </w:rPr>
              <w:t>3.0 </w:t>
            </w:r>
          </w:p>
        </w:tc>
        <w:tc>
          <w:tcPr>
            <w:tcW w:w="0" w:type="auto"/>
            <w:tcMar>
              <w:top w:w="30" w:type="dxa"/>
              <w:left w:w="0" w:type="dxa"/>
              <w:bottom w:w="30" w:type="dxa"/>
              <w:right w:w="20" w:type="dxa"/>
            </w:tcMar>
            <w:hideMark/>
          </w:tcPr>
          <w:p w:rsidR="00000000" w:rsidRDefault="001F1FC8">
            <w:pPr>
              <w:jc w:val="right"/>
              <w:rPr>
                <w:rFonts w:eastAsia="Times New Roman"/>
              </w:rPr>
            </w:pPr>
            <w:r>
              <w:rPr>
                <w:rFonts w:ascii="Arial" w:eastAsia="Times New Roman" w:hAnsi="Arial" w:cs="Arial"/>
                <w:color w:val="000000"/>
                <w:sz w:val="20"/>
                <w:szCs w:val="20"/>
              </w:rPr>
              <w:t>%</w:t>
            </w:r>
          </w:p>
        </w:tc>
        <w:tc>
          <w:tcPr>
            <w:tcW w:w="0" w:type="auto"/>
            <w:gridSpan w:val="3"/>
            <w:tcMar>
              <w:top w:w="0" w:type="dxa"/>
              <w:left w:w="20" w:type="dxa"/>
              <w:bottom w:w="0" w:type="dxa"/>
              <w:right w:w="20" w:type="dxa"/>
            </w:tcMar>
            <w:vAlign w:val="center"/>
            <w:hideMark/>
          </w:tcPr>
          <w:p w:rsidR="00000000" w:rsidRDefault="001F1FC8">
            <w:pPr>
              <w:jc w:val="right"/>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b/>
                <w:bCs/>
                <w:color w:val="000000"/>
                <w:sz w:val="20"/>
                <w:szCs w:val="20"/>
              </w:rPr>
              <w:t>2.6</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hideMark/>
          </w:tcPr>
          <w:p w:rsidR="00000000" w:rsidRDefault="001F1FC8">
            <w:pPr>
              <w:jc w:val="right"/>
              <w:rPr>
                <w:rFonts w:eastAsia="Times New Roman"/>
              </w:rPr>
            </w:pPr>
            <w:r>
              <w:rPr>
                <w:rFonts w:ascii="Arial" w:eastAsia="Times New Roman" w:hAnsi="Arial" w:cs="Arial"/>
                <w:b/>
                <w:bCs/>
                <w:color w:val="000000"/>
                <w:sz w:val="20"/>
                <w:szCs w:val="20"/>
              </w:rPr>
              <w:t>%</w:t>
            </w:r>
          </w:p>
        </w:tc>
        <w:tc>
          <w:tcPr>
            <w:tcW w:w="0" w:type="auto"/>
            <w:gridSpan w:val="2"/>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color w:val="000000"/>
                <w:sz w:val="20"/>
                <w:szCs w:val="20"/>
              </w:rPr>
              <w:t>2.2 </w:t>
            </w:r>
          </w:p>
        </w:tc>
        <w:tc>
          <w:tcPr>
            <w:tcW w:w="0" w:type="auto"/>
            <w:tcMar>
              <w:top w:w="30" w:type="dxa"/>
              <w:left w:w="0" w:type="dxa"/>
              <w:bottom w:w="30" w:type="dxa"/>
              <w:right w:w="20" w:type="dxa"/>
            </w:tcMar>
            <w:hideMark/>
          </w:tcPr>
          <w:p w:rsidR="00000000" w:rsidRDefault="001F1FC8">
            <w:pPr>
              <w:jc w:val="right"/>
              <w:rPr>
                <w:rFonts w:eastAsia="Times New Roman"/>
              </w:rPr>
            </w:pPr>
            <w:r>
              <w:rPr>
                <w:rFonts w:ascii="Arial" w:eastAsia="Times New Roman" w:hAnsi="Arial" w:cs="Arial"/>
                <w:color w:val="000000"/>
                <w:sz w:val="20"/>
                <w:szCs w:val="20"/>
              </w:rPr>
              <w:t>%</w:t>
            </w:r>
          </w:p>
        </w:tc>
        <w:tc>
          <w:tcPr>
            <w:tcW w:w="0" w:type="auto"/>
            <w:gridSpan w:val="2"/>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color w:val="000000"/>
                <w:sz w:val="20"/>
                <w:szCs w:val="20"/>
              </w:rPr>
              <w:t>3.0 </w:t>
            </w:r>
          </w:p>
        </w:tc>
        <w:tc>
          <w:tcPr>
            <w:tcW w:w="0" w:type="auto"/>
            <w:tcMar>
              <w:top w:w="30" w:type="dxa"/>
              <w:left w:w="0" w:type="dxa"/>
              <w:bottom w:w="30" w:type="dxa"/>
              <w:right w:w="20" w:type="dxa"/>
            </w:tcMar>
            <w:hideMark/>
          </w:tcPr>
          <w:p w:rsidR="00000000" w:rsidRDefault="001F1FC8">
            <w:pPr>
              <w:jc w:val="right"/>
              <w:rPr>
                <w:rFonts w:eastAsia="Times New Roman"/>
              </w:rPr>
            </w:pPr>
            <w:r>
              <w:rPr>
                <w:rFonts w:ascii="Arial" w:eastAsia="Times New Roman" w:hAnsi="Arial" w:cs="Arial"/>
                <w:color w:val="000000"/>
                <w:sz w:val="20"/>
                <w:szCs w:val="20"/>
              </w:rPr>
              <w:t>%</w:t>
            </w:r>
          </w:p>
        </w:tc>
      </w:tr>
      <w:tr w:rsidR="00000000">
        <w:trPr>
          <w:divId w:val="868951190"/>
        </w:trPr>
        <w:tc>
          <w:tcPr>
            <w:tcW w:w="0" w:type="auto"/>
            <w:gridSpan w:val="3"/>
            <w:tcMar>
              <w:top w:w="30" w:type="dxa"/>
              <w:left w:w="20" w:type="dxa"/>
              <w:bottom w:w="30" w:type="dxa"/>
              <w:right w:w="20" w:type="dxa"/>
            </w:tcMar>
            <w:hideMark/>
          </w:tcPr>
          <w:p w:rsidR="00000000" w:rsidRDefault="001F1FC8">
            <w:pPr>
              <w:rPr>
                <w:rFonts w:eastAsia="Times New Roman"/>
              </w:rPr>
            </w:pPr>
            <w:r>
              <w:rPr>
                <w:rFonts w:ascii="Arial" w:eastAsia="Times New Roman" w:hAnsi="Arial" w:cs="Arial"/>
                <w:color w:val="000000"/>
                <w:sz w:val="20"/>
                <w:szCs w:val="20"/>
              </w:rPr>
              <w:t>Rate of salary increase</w:t>
            </w:r>
          </w:p>
        </w:tc>
        <w:tc>
          <w:tcPr>
            <w:tcW w:w="0" w:type="auto"/>
            <w:gridSpan w:val="2"/>
            <w:shd w:val="clear" w:color="auto" w:fill="D9D9D9"/>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b/>
                <w:bCs/>
                <w:color w:val="000000"/>
                <w:sz w:val="20"/>
                <w:szCs w:val="20"/>
              </w:rPr>
              <w:t>2.9</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hideMark/>
          </w:tcPr>
          <w:p w:rsidR="00000000" w:rsidRDefault="001F1FC8">
            <w:pPr>
              <w:jc w:val="right"/>
              <w:rPr>
                <w:rFonts w:eastAsia="Times New Roman"/>
              </w:rPr>
            </w:pPr>
            <w:r>
              <w:rPr>
                <w:rFonts w:ascii="Arial" w:eastAsia="Times New Roman" w:hAnsi="Arial" w:cs="Arial"/>
                <w:b/>
                <w:bCs/>
                <w:color w:val="000000"/>
                <w:sz w:val="20"/>
                <w:szCs w:val="20"/>
              </w:rPr>
              <w:t>%</w:t>
            </w:r>
          </w:p>
        </w:tc>
        <w:tc>
          <w:tcPr>
            <w:tcW w:w="0" w:type="auto"/>
            <w:gridSpan w:val="2"/>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color w:val="000000"/>
                <w:sz w:val="20"/>
                <w:szCs w:val="20"/>
              </w:rPr>
              <w:t>2.3 </w:t>
            </w:r>
          </w:p>
        </w:tc>
        <w:tc>
          <w:tcPr>
            <w:tcW w:w="0" w:type="auto"/>
            <w:tcMar>
              <w:top w:w="30" w:type="dxa"/>
              <w:left w:w="0" w:type="dxa"/>
              <w:bottom w:w="30" w:type="dxa"/>
              <w:right w:w="20" w:type="dxa"/>
            </w:tcMar>
            <w:hideMark/>
          </w:tcPr>
          <w:p w:rsidR="00000000" w:rsidRDefault="001F1FC8">
            <w:pPr>
              <w:jc w:val="right"/>
              <w:rPr>
                <w:rFonts w:eastAsia="Times New Roman"/>
              </w:rPr>
            </w:pPr>
            <w:r>
              <w:rPr>
                <w:rFonts w:ascii="Arial" w:eastAsia="Times New Roman" w:hAnsi="Arial" w:cs="Arial"/>
                <w:color w:val="000000"/>
                <w:sz w:val="20"/>
                <w:szCs w:val="20"/>
              </w:rPr>
              <w:t>%</w:t>
            </w:r>
          </w:p>
        </w:tc>
        <w:tc>
          <w:tcPr>
            <w:tcW w:w="0" w:type="auto"/>
            <w:gridSpan w:val="2"/>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color w:val="000000"/>
                <w:sz w:val="20"/>
                <w:szCs w:val="20"/>
              </w:rPr>
              <w:t>3.2 </w:t>
            </w:r>
          </w:p>
        </w:tc>
        <w:tc>
          <w:tcPr>
            <w:tcW w:w="0" w:type="auto"/>
            <w:tcMar>
              <w:top w:w="30" w:type="dxa"/>
              <w:left w:w="0" w:type="dxa"/>
              <w:bottom w:w="30" w:type="dxa"/>
              <w:right w:w="20" w:type="dxa"/>
            </w:tcMar>
            <w:hideMark/>
          </w:tcPr>
          <w:p w:rsidR="00000000" w:rsidRDefault="001F1FC8">
            <w:pPr>
              <w:jc w:val="right"/>
              <w:rPr>
                <w:rFonts w:eastAsia="Times New Roman"/>
              </w:rPr>
            </w:pPr>
            <w:r>
              <w:rPr>
                <w:rFonts w:ascii="Arial" w:eastAsia="Times New Roman" w:hAnsi="Arial" w:cs="Arial"/>
                <w:color w:val="000000"/>
                <w:sz w:val="20"/>
                <w:szCs w:val="20"/>
              </w:rPr>
              <w:t>%</w:t>
            </w:r>
          </w:p>
        </w:tc>
        <w:tc>
          <w:tcPr>
            <w:tcW w:w="0" w:type="auto"/>
            <w:gridSpan w:val="3"/>
            <w:tcMar>
              <w:top w:w="0" w:type="dxa"/>
              <w:left w:w="20" w:type="dxa"/>
              <w:bottom w:w="0" w:type="dxa"/>
              <w:right w:w="20" w:type="dxa"/>
            </w:tcMar>
            <w:vAlign w:val="center"/>
            <w:hideMark/>
          </w:tcPr>
          <w:p w:rsidR="00000000" w:rsidRDefault="001F1FC8">
            <w:pPr>
              <w:jc w:val="right"/>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b/>
                <w:bCs/>
                <w:color w:val="000000"/>
                <w:sz w:val="20"/>
                <w:szCs w:val="20"/>
              </w:rPr>
              <w:t>2.8</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hideMark/>
          </w:tcPr>
          <w:p w:rsidR="00000000" w:rsidRDefault="001F1FC8">
            <w:pPr>
              <w:jc w:val="right"/>
              <w:rPr>
                <w:rFonts w:eastAsia="Times New Roman"/>
              </w:rPr>
            </w:pPr>
            <w:r>
              <w:rPr>
                <w:rFonts w:ascii="Arial" w:eastAsia="Times New Roman" w:hAnsi="Arial" w:cs="Arial"/>
                <w:b/>
                <w:bCs/>
                <w:color w:val="000000"/>
                <w:sz w:val="20"/>
                <w:szCs w:val="20"/>
              </w:rPr>
              <w:t>%</w:t>
            </w:r>
          </w:p>
        </w:tc>
        <w:tc>
          <w:tcPr>
            <w:tcW w:w="0" w:type="auto"/>
            <w:gridSpan w:val="2"/>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color w:val="000000"/>
                <w:sz w:val="20"/>
                <w:szCs w:val="20"/>
              </w:rPr>
              <w:t>2.7 </w:t>
            </w:r>
          </w:p>
        </w:tc>
        <w:tc>
          <w:tcPr>
            <w:tcW w:w="0" w:type="auto"/>
            <w:tcMar>
              <w:top w:w="30" w:type="dxa"/>
              <w:left w:w="0" w:type="dxa"/>
              <w:bottom w:w="30" w:type="dxa"/>
              <w:right w:w="20" w:type="dxa"/>
            </w:tcMar>
            <w:hideMark/>
          </w:tcPr>
          <w:p w:rsidR="00000000" w:rsidRDefault="001F1FC8">
            <w:pPr>
              <w:jc w:val="right"/>
              <w:rPr>
                <w:rFonts w:eastAsia="Times New Roman"/>
              </w:rPr>
            </w:pPr>
            <w:r>
              <w:rPr>
                <w:rFonts w:ascii="Arial" w:eastAsia="Times New Roman" w:hAnsi="Arial" w:cs="Arial"/>
                <w:color w:val="000000"/>
                <w:sz w:val="20"/>
                <w:szCs w:val="20"/>
              </w:rPr>
              <w:t>%</w:t>
            </w:r>
          </w:p>
        </w:tc>
        <w:tc>
          <w:tcPr>
            <w:tcW w:w="0" w:type="auto"/>
            <w:gridSpan w:val="2"/>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color w:val="000000"/>
                <w:sz w:val="20"/>
                <w:szCs w:val="20"/>
              </w:rPr>
              <w:t>2.9 </w:t>
            </w:r>
          </w:p>
        </w:tc>
        <w:tc>
          <w:tcPr>
            <w:tcW w:w="0" w:type="auto"/>
            <w:tcMar>
              <w:top w:w="30" w:type="dxa"/>
              <w:left w:w="0" w:type="dxa"/>
              <w:bottom w:w="30" w:type="dxa"/>
              <w:right w:w="20" w:type="dxa"/>
            </w:tcMar>
            <w:hideMark/>
          </w:tcPr>
          <w:p w:rsidR="00000000" w:rsidRDefault="001F1FC8">
            <w:pPr>
              <w:jc w:val="right"/>
              <w:rPr>
                <w:rFonts w:eastAsia="Times New Roman"/>
              </w:rPr>
            </w:pPr>
            <w:r>
              <w:rPr>
                <w:rFonts w:ascii="Arial" w:eastAsia="Times New Roman" w:hAnsi="Arial" w:cs="Arial"/>
                <w:color w:val="000000"/>
                <w:sz w:val="20"/>
                <w:szCs w:val="20"/>
              </w:rPr>
              <w:t>%</w:t>
            </w:r>
          </w:p>
        </w:tc>
      </w:tr>
      <w:tr w:rsidR="00000000">
        <w:trPr>
          <w:divId w:val="868951190"/>
        </w:trPr>
        <w:tc>
          <w:tcPr>
            <w:tcW w:w="0" w:type="auto"/>
            <w:gridSpan w:val="3"/>
            <w:tcMar>
              <w:top w:w="30" w:type="dxa"/>
              <w:left w:w="20" w:type="dxa"/>
              <w:bottom w:w="30" w:type="dxa"/>
              <w:right w:w="20" w:type="dxa"/>
            </w:tcMar>
            <w:hideMark/>
          </w:tcPr>
          <w:p w:rsidR="00000000" w:rsidRDefault="001F1FC8">
            <w:pPr>
              <w:rPr>
                <w:rFonts w:eastAsia="Times New Roman"/>
              </w:rPr>
            </w:pPr>
            <w:r>
              <w:rPr>
                <w:rFonts w:ascii="Arial" w:eastAsia="Times New Roman" w:hAnsi="Arial" w:cs="Arial"/>
                <w:color w:val="000000"/>
                <w:sz w:val="20"/>
                <w:szCs w:val="20"/>
              </w:rPr>
              <w:t>Cash balance interest credit rate</w:t>
            </w:r>
          </w:p>
        </w:tc>
        <w:tc>
          <w:tcPr>
            <w:tcW w:w="0" w:type="auto"/>
            <w:gridSpan w:val="3"/>
            <w:shd w:val="clear" w:color="auto" w:fill="D9D9D9"/>
            <w:tcMar>
              <w:top w:w="30" w:type="dxa"/>
              <w:left w:w="20" w:type="dxa"/>
              <w:bottom w:w="30" w:type="dxa"/>
              <w:right w:w="20" w:type="dxa"/>
            </w:tcMar>
            <w:hideMark/>
          </w:tcPr>
          <w:p w:rsidR="00000000" w:rsidRDefault="001F1FC8">
            <w:pPr>
              <w:jc w:val="right"/>
              <w:rPr>
                <w:rFonts w:eastAsia="Times New Roman"/>
              </w:rPr>
            </w:pPr>
            <w:r>
              <w:rPr>
                <w:rFonts w:ascii="Arial" w:eastAsia="Times New Roman" w:hAnsi="Arial" w:cs="Arial"/>
                <w:b/>
                <w:bCs/>
                <w:color w:val="000000"/>
                <w:sz w:val="20"/>
                <w:szCs w:val="20"/>
              </w:rPr>
              <w:t>N/A</w:t>
            </w:r>
          </w:p>
        </w:tc>
        <w:tc>
          <w:tcPr>
            <w:tcW w:w="0" w:type="auto"/>
            <w:gridSpan w:val="3"/>
            <w:tcMar>
              <w:top w:w="30" w:type="dxa"/>
              <w:left w:w="20" w:type="dxa"/>
              <w:bottom w:w="30" w:type="dxa"/>
              <w:right w:w="20" w:type="dxa"/>
            </w:tcMar>
            <w:hideMark/>
          </w:tcPr>
          <w:p w:rsidR="00000000" w:rsidRDefault="001F1FC8">
            <w:pPr>
              <w:jc w:val="right"/>
              <w:rPr>
                <w:rFonts w:eastAsia="Times New Roman"/>
              </w:rPr>
            </w:pPr>
            <w:r>
              <w:rPr>
                <w:rFonts w:ascii="Arial" w:eastAsia="Times New Roman" w:hAnsi="Arial" w:cs="Arial"/>
                <w:color w:val="000000"/>
                <w:sz w:val="20"/>
                <w:szCs w:val="20"/>
              </w:rPr>
              <w:t>N/A</w:t>
            </w:r>
          </w:p>
        </w:tc>
        <w:tc>
          <w:tcPr>
            <w:tcW w:w="0" w:type="auto"/>
            <w:gridSpan w:val="3"/>
            <w:tcMar>
              <w:top w:w="30" w:type="dxa"/>
              <w:left w:w="20" w:type="dxa"/>
              <w:bottom w:w="30" w:type="dxa"/>
              <w:right w:w="20" w:type="dxa"/>
            </w:tcMar>
            <w:hideMark/>
          </w:tcPr>
          <w:p w:rsidR="00000000" w:rsidRDefault="001F1FC8">
            <w:pPr>
              <w:jc w:val="right"/>
              <w:rPr>
                <w:rFonts w:eastAsia="Times New Roman"/>
              </w:rPr>
            </w:pPr>
            <w:r>
              <w:rPr>
                <w:rFonts w:ascii="Arial" w:eastAsia="Times New Roman" w:hAnsi="Arial" w:cs="Arial"/>
                <w:color w:val="000000"/>
                <w:sz w:val="20"/>
                <w:szCs w:val="20"/>
              </w:rPr>
              <w:t>N/A</w:t>
            </w:r>
          </w:p>
        </w:tc>
        <w:tc>
          <w:tcPr>
            <w:tcW w:w="0" w:type="auto"/>
            <w:gridSpan w:val="3"/>
            <w:tcMar>
              <w:top w:w="0" w:type="dxa"/>
              <w:left w:w="20" w:type="dxa"/>
              <w:bottom w:w="0" w:type="dxa"/>
              <w:right w:w="20" w:type="dxa"/>
            </w:tcMar>
            <w:vAlign w:val="center"/>
            <w:hideMark/>
          </w:tcPr>
          <w:p w:rsidR="00000000" w:rsidRDefault="001F1FC8">
            <w:pPr>
              <w:jc w:val="right"/>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b/>
                <w:bCs/>
                <w:color w:val="000000"/>
                <w:sz w:val="20"/>
                <w:szCs w:val="20"/>
              </w:rPr>
              <w:t>4.3</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hideMark/>
          </w:tcPr>
          <w:p w:rsidR="00000000" w:rsidRDefault="001F1FC8">
            <w:pPr>
              <w:jc w:val="right"/>
              <w:rPr>
                <w:rFonts w:eastAsia="Times New Roman"/>
              </w:rPr>
            </w:pPr>
            <w:r>
              <w:rPr>
                <w:rFonts w:ascii="Arial" w:eastAsia="Times New Roman" w:hAnsi="Arial" w:cs="Arial"/>
                <w:b/>
                <w:bCs/>
                <w:color w:val="000000"/>
                <w:sz w:val="20"/>
                <w:szCs w:val="20"/>
              </w:rPr>
              <w:t>%</w:t>
            </w:r>
          </w:p>
        </w:tc>
        <w:tc>
          <w:tcPr>
            <w:tcW w:w="0" w:type="auto"/>
            <w:gridSpan w:val="2"/>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color w:val="000000"/>
                <w:sz w:val="20"/>
                <w:szCs w:val="20"/>
              </w:rPr>
              <w:t>4.3 </w:t>
            </w:r>
          </w:p>
        </w:tc>
        <w:tc>
          <w:tcPr>
            <w:tcW w:w="0" w:type="auto"/>
            <w:tcMar>
              <w:top w:w="30" w:type="dxa"/>
              <w:left w:w="0" w:type="dxa"/>
              <w:bottom w:w="30" w:type="dxa"/>
              <w:right w:w="20" w:type="dxa"/>
            </w:tcMar>
            <w:hideMark/>
          </w:tcPr>
          <w:p w:rsidR="00000000" w:rsidRDefault="001F1FC8">
            <w:pPr>
              <w:jc w:val="right"/>
              <w:rPr>
                <w:rFonts w:eastAsia="Times New Roman"/>
              </w:rPr>
            </w:pPr>
            <w:r>
              <w:rPr>
                <w:rFonts w:ascii="Arial" w:eastAsia="Times New Roman" w:hAnsi="Arial" w:cs="Arial"/>
                <w:color w:val="000000"/>
                <w:sz w:val="20"/>
                <w:szCs w:val="20"/>
              </w:rPr>
              <w:t>%</w:t>
            </w:r>
          </w:p>
        </w:tc>
        <w:tc>
          <w:tcPr>
            <w:tcW w:w="0" w:type="auto"/>
            <w:gridSpan w:val="2"/>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color w:val="000000"/>
                <w:sz w:val="20"/>
                <w:szCs w:val="20"/>
              </w:rPr>
              <w:t>4.5 </w:t>
            </w:r>
          </w:p>
        </w:tc>
        <w:tc>
          <w:tcPr>
            <w:tcW w:w="0" w:type="auto"/>
            <w:tcMar>
              <w:top w:w="30" w:type="dxa"/>
              <w:left w:w="0" w:type="dxa"/>
              <w:bottom w:w="30" w:type="dxa"/>
              <w:right w:w="20" w:type="dxa"/>
            </w:tcMar>
            <w:hideMark/>
          </w:tcPr>
          <w:p w:rsidR="00000000" w:rsidRDefault="001F1FC8">
            <w:pPr>
              <w:jc w:val="right"/>
              <w:rPr>
                <w:rFonts w:eastAsia="Times New Roman"/>
              </w:rPr>
            </w:pPr>
            <w:r>
              <w:rPr>
                <w:rFonts w:ascii="Arial" w:eastAsia="Times New Roman" w:hAnsi="Arial" w:cs="Arial"/>
                <w:color w:val="000000"/>
                <w:sz w:val="20"/>
                <w:szCs w:val="20"/>
              </w:rPr>
              <w:t>%</w:t>
            </w:r>
          </w:p>
        </w:tc>
      </w:tr>
      <w:tr w:rsidR="00000000">
        <w:trPr>
          <w:divId w:val="868951190"/>
        </w:trPr>
        <w:tc>
          <w:tcPr>
            <w:tcW w:w="0" w:type="auto"/>
            <w:gridSpan w:val="3"/>
            <w:tcMar>
              <w:top w:w="30" w:type="dxa"/>
              <w:left w:w="20" w:type="dxa"/>
              <w:bottom w:w="30" w:type="dxa"/>
              <w:right w:w="20" w:type="dxa"/>
            </w:tcMar>
            <w:hideMark/>
          </w:tcPr>
          <w:p w:rsidR="00000000" w:rsidRDefault="001F1FC8">
            <w:pPr>
              <w:rPr>
                <w:rFonts w:eastAsia="Times New Roman"/>
              </w:rPr>
            </w:pPr>
            <w:r>
              <w:rPr>
                <w:rFonts w:ascii="Arial" w:eastAsia="Times New Roman" w:hAnsi="Arial" w:cs="Arial"/>
                <w:b/>
                <w:bCs/>
                <w:color w:val="000000"/>
                <w:sz w:val="20"/>
                <w:szCs w:val="20"/>
              </w:rPr>
              <w:t>Net periodic benefit cost</w:t>
            </w:r>
          </w:p>
        </w:tc>
        <w:tc>
          <w:tcPr>
            <w:tcW w:w="0" w:type="auto"/>
            <w:gridSpan w:val="3"/>
            <w:shd w:val="clear" w:color="auto" w:fill="D9D9D9"/>
            <w:tcMar>
              <w:top w:w="0" w:type="dxa"/>
              <w:left w:w="20" w:type="dxa"/>
              <w:bottom w:w="0" w:type="dxa"/>
              <w:right w:w="20" w:type="dxa"/>
            </w:tcMar>
            <w:vAlign w:val="center"/>
            <w:hideMark/>
          </w:tcPr>
          <w:p w:rsidR="00000000" w:rsidRDefault="001F1FC8">
            <w:pPr>
              <w:rPr>
                <w:rFonts w:eastAsia="Times New Roman"/>
              </w:rPr>
            </w:pPr>
          </w:p>
        </w:tc>
        <w:tc>
          <w:tcPr>
            <w:tcW w:w="0" w:type="auto"/>
            <w:gridSpan w:val="3"/>
            <w:tcMar>
              <w:top w:w="0" w:type="dxa"/>
              <w:left w:w="20" w:type="dxa"/>
              <w:bottom w:w="0" w:type="dxa"/>
              <w:right w:w="20" w:type="dxa"/>
            </w:tcMar>
            <w:vAlign w:val="center"/>
            <w:hideMark/>
          </w:tcPr>
          <w:p w:rsidR="00000000" w:rsidRDefault="001F1FC8">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1F1FC8">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1F1FC8">
            <w:pPr>
              <w:rPr>
                <w:rFonts w:eastAsia="Times New Roman"/>
                <w:sz w:val="20"/>
                <w:szCs w:val="20"/>
              </w:rPr>
            </w:pPr>
          </w:p>
        </w:tc>
        <w:tc>
          <w:tcPr>
            <w:tcW w:w="0" w:type="auto"/>
            <w:gridSpan w:val="3"/>
            <w:shd w:val="clear" w:color="auto" w:fill="D9D9D9"/>
            <w:tcMar>
              <w:top w:w="0" w:type="dxa"/>
              <w:left w:w="20" w:type="dxa"/>
              <w:bottom w:w="0" w:type="dxa"/>
              <w:right w:w="20" w:type="dxa"/>
            </w:tcMar>
            <w:vAlign w:val="center"/>
            <w:hideMark/>
          </w:tcPr>
          <w:p w:rsidR="00000000" w:rsidRDefault="001F1FC8">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1F1FC8">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1F1FC8">
            <w:pPr>
              <w:rPr>
                <w:rFonts w:eastAsia="Times New Roman"/>
                <w:sz w:val="20"/>
                <w:szCs w:val="20"/>
              </w:rPr>
            </w:pPr>
          </w:p>
        </w:tc>
      </w:tr>
      <w:tr w:rsidR="00000000">
        <w:trPr>
          <w:divId w:val="868951190"/>
        </w:trPr>
        <w:tc>
          <w:tcPr>
            <w:tcW w:w="0" w:type="auto"/>
            <w:gridSpan w:val="3"/>
            <w:tcMar>
              <w:top w:w="30" w:type="dxa"/>
              <w:left w:w="20" w:type="dxa"/>
              <w:bottom w:w="30" w:type="dxa"/>
              <w:right w:w="20" w:type="dxa"/>
            </w:tcMar>
            <w:hideMark/>
          </w:tcPr>
          <w:p w:rsidR="00000000" w:rsidRDefault="001F1FC8">
            <w:pPr>
              <w:rPr>
                <w:rFonts w:eastAsia="Times New Roman"/>
              </w:rPr>
            </w:pPr>
            <w:r>
              <w:rPr>
                <w:rFonts w:ascii="Arial" w:eastAsia="Times New Roman" w:hAnsi="Arial" w:cs="Arial"/>
                <w:color w:val="000000"/>
                <w:sz w:val="20"/>
                <w:szCs w:val="20"/>
              </w:rPr>
              <w:t>Discount rate</w:t>
            </w:r>
          </w:p>
        </w:tc>
        <w:tc>
          <w:tcPr>
            <w:tcW w:w="0" w:type="auto"/>
            <w:gridSpan w:val="2"/>
            <w:shd w:val="clear" w:color="auto" w:fill="D9D9D9"/>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b/>
                <w:bCs/>
                <w:color w:val="000000"/>
                <w:sz w:val="20"/>
                <w:szCs w:val="20"/>
              </w:rPr>
              <w:t>2.6</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hideMark/>
          </w:tcPr>
          <w:p w:rsidR="00000000" w:rsidRDefault="001F1FC8">
            <w:pPr>
              <w:jc w:val="right"/>
              <w:rPr>
                <w:rFonts w:eastAsia="Times New Roman"/>
              </w:rPr>
            </w:pPr>
            <w:r>
              <w:rPr>
                <w:rFonts w:ascii="Arial" w:eastAsia="Times New Roman" w:hAnsi="Arial" w:cs="Arial"/>
                <w:b/>
                <w:bCs/>
                <w:color w:val="000000"/>
                <w:sz w:val="20"/>
                <w:szCs w:val="20"/>
              </w:rPr>
              <w:t>%</w:t>
            </w:r>
          </w:p>
        </w:tc>
        <w:tc>
          <w:tcPr>
            <w:tcW w:w="0" w:type="auto"/>
            <w:gridSpan w:val="2"/>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color w:val="000000"/>
                <w:sz w:val="20"/>
                <w:szCs w:val="20"/>
              </w:rPr>
              <w:t>3.0 </w:t>
            </w:r>
          </w:p>
        </w:tc>
        <w:tc>
          <w:tcPr>
            <w:tcW w:w="0" w:type="auto"/>
            <w:tcMar>
              <w:top w:w="30" w:type="dxa"/>
              <w:left w:w="0" w:type="dxa"/>
              <w:bottom w:w="30" w:type="dxa"/>
              <w:right w:w="20" w:type="dxa"/>
            </w:tcMar>
            <w:hideMark/>
          </w:tcPr>
          <w:p w:rsidR="00000000" w:rsidRDefault="001F1FC8">
            <w:pPr>
              <w:jc w:val="right"/>
              <w:rPr>
                <w:rFonts w:eastAsia="Times New Roman"/>
              </w:rPr>
            </w:pPr>
            <w:r>
              <w:rPr>
                <w:rFonts w:ascii="Arial" w:eastAsia="Times New Roman" w:hAnsi="Arial" w:cs="Arial"/>
                <w:color w:val="000000"/>
                <w:sz w:val="20"/>
                <w:szCs w:val="20"/>
              </w:rPr>
              <w:t>%</w:t>
            </w:r>
          </w:p>
        </w:tc>
        <w:tc>
          <w:tcPr>
            <w:tcW w:w="0" w:type="auto"/>
            <w:gridSpan w:val="2"/>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color w:val="000000"/>
                <w:sz w:val="20"/>
                <w:szCs w:val="20"/>
              </w:rPr>
              <w:t>3.8 </w:t>
            </w:r>
          </w:p>
        </w:tc>
        <w:tc>
          <w:tcPr>
            <w:tcW w:w="0" w:type="auto"/>
            <w:tcMar>
              <w:top w:w="30" w:type="dxa"/>
              <w:left w:w="0" w:type="dxa"/>
              <w:bottom w:w="30" w:type="dxa"/>
              <w:right w:w="20" w:type="dxa"/>
            </w:tcMar>
            <w:hideMark/>
          </w:tcPr>
          <w:p w:rsidR="00000000" w:rsidRDefault="001F1FC8">
            <w:pPr>
              <w:jc w:val="right"/>
              <w:rPr>
                <w:rFonts w:eastAsia="Times New Roman"/>
              </w:rPr>
            </w:pPr>
            <w:r>
              <w:rPr>
                <w:rFonts w:ascii="Arial" w:eastAsia="Times New Roman" w:hAnsi="Arial" w:cs="Arial"/>
                <w:color w:val="000000"/>
                <w:sz w:val="20"/>
                <w:szCs w:val="20"/>
              </w:rPr>
              <w:t>%</w:t>
            </w:r>
          </w:p>
        </w:tc>
        <w:tc>
          <w:tcPr>
            <w:tcW w:w="0" w:type="auto"/>
            <w:gridSpan w:val="3"/>
            <w:tcMar>
              <w:top w:w="0" w:type="dxa"/>
              <w:left w:w="20" w:type="dxa"/>
              <w:bottom w:w="0" w:type="dxa"/>
              <w:right w:w="20" w:type="dxa"/>
            </w:tcMar>
            <w:vAlign w:val="center"/>
            <w:hideMark/>
          </w:tcPr>
          <w:p w:rsidR="00000000" w:rsidRDefault="001F1FC8">
            <w:pPr>
              <w:jc w:val="right"/>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b/>
                <w:bCs/>
                <w:color w:val="000000"/>
                <w:sz w:val="20"/>
                <w:szCs w:val="20"/>
              </w:rPr>
              <w:t>2.2</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hideMark/>
          </w:tcPr>
          <w:p w:rsidR="00000000" w:rsidRDefault="001F1FC8">
            <w:pPr>
              <w:jc w:val="right"/>
              <w:rPr>
                <w:rFonts w:eastAsia="Times New Roman"/>
              </w:rPr>
            </w:pPr>
            <w:r>
              <w:rPr>
                <w:rFonts w:ascii="Arial" w:eastAsia="Times New Roman" w:hAnsi="Arial" w:cs="Arial"/>
                <w:b/>
                <w:bCs/>
                <w:color w:val="000000"/>
                <w:sz w:val="20"/>
                <w:szCs w:val="20"/>
              </w:rPr>
              <w:t>%</w:t>
            </w:r>
          </w:p>
        </w:tc>
        <w:tc>
          <w:tcPr>
            <w:tcW w:w="0" w:type="auto"/>
            <w:gridSpan w:val="2"/>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color w:val="000000"/>
                <w:sz w:val="20"/>
                <w:szCs w:val="20"/>
              </w:rPr>
              <w:t>3.0 </w:t>
            </w:r>
          </w:p>
        </w:tc>
        <w:tc>
          <w:tcPr>
            <w:tcW w:w="0" w:type="auto"/>
            <w:tcMar>
              <w:top w:w="30" w:type="dxa"/>
              <w:left w:w="0" w:type="dxa"/>
              <w:bottom w:w="30" w:type="dxa"/>
              <w:right w:w="20" w:type="dxa"/>
            </w:tcMar>
            <w:hideMark/>
          </w:tcPr>
          <w:p w:rsidR="00000000" w:rsidRDefault="001F1FC8">
            <w:pPr>
              <w:jc w:val="right"/>
              <w:rPr>
                <w:rFonts w:eastAsia="Times New Roman"/>
              </w:rPr>
            </w:pPr>
            <w:r>
              <w:rPr>
                <w:rFonts w:ascii="Arial" w:eastAsia="Times New Roman" w:hAnsi="Arial" w:cs="Arial"/>
                <w:color w:val="000000"/>
                <w:sz w:val="20"/>
                <w:szCs w:val="20"/>
              </w:rPr>
              <w:t>%</w:t>
            </w:r>
          </w:p>
        </w:tc>
        <w:tc>
          <w:tcPr>
            <w:tcW w:w="0" w:type="auto"/>
            <w:gridSpan w:val="2"/>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color w:val="000000"/>
                <w:sz w:val="20"/>
                <w:szCs w:val="20"/>
              </w:rPr>
              <w:t>3.9 </w:t>
            </w:r>
          </w:p>
        </w:tc>
        <w:tc>
          <w:tcPr>
            <w:tcW w:w="0" w:type="auto"/>
            <w:tcMar>
              <w:top w:w="30" w:type="dxa"/>
              <w:left w:w="0" w:type="dxa"/>
              <w:bottom w:w="30" w:type="dxa"/>
              <w:right w:w="20" w:type="dxa"/>
            </w:tcMar>
            <w:hideMark/>
          </w:tcPr>
          <w:p w:rsidR="00000000" w:rsidRDefault="001F1FC8">
            <w:pPr>
              <w:jc w:val="right"/>
              <w:rPr>
                <w:rFonts w:eastAsia="Times New Roman"/>
              </w:rPr>
            </w:pPr>
            <w:r>
              <w:rPr>
                <w:rFonts w:ascii="Arial" w:eastAsia="Times New Roman" w:hAnsi="Arial" w:cs="Arial"/>
                <w:color w:val="000000"/>
                <w:sz w:val="20"/>
                <w:szCs w:val="20"/>
              </w:rPr>
              <w:t>%</w:t>
            </w:r>
          </w:p>
        </w:tc>
      </w:tr>
      <w:tr w:rsidR="00000000">
        <w:trPr>
          <w:divId w:val="868951190"/>
        </w:trPr>
        <w:tc>
          <w:tcPr>
            <w:tcW w:w="0" w:type="auto"/>
            <w:gridSpan w:val="3"/>
            <w:tcMar>
              <w:top w:w="30" w:type="dxa"/>
              <w:left w:w="20" w:type="dxa"/>
              <w:bottom w:w="30" w:type="dxa"/>
              <w:right w:w="20" w:type="dxa"/>
            </w:tcMar>
            <w:hideMark/>
          </w:tcPr>
          <w:p w:rsidR="00000000" w:rsidRDefault="001F1FC8">
            <w:pPr>
              <w:rPr>
                <w:rFonts w:eastAsia="Times New Roman"/>
              </w:rPr>
            </w:pPr>
            <w:r>
              <w:rPr>
                <w:rFonts w:ascii="Arial" w:eastAsia="Times New Roman" w:hAnsi="Arial" w:cs="Arial"/>
                <w:color w:val="000000"/>
                <w:sz w:val="20"/>
                <w:szCs w:val="20"/>
              </w:rPr>
              <w:t>Rate of return on plan assets</w:t>
            </w:r>
          </w:p>
        </w:tc>
        <w:tc>
          <w:tcPr>
            <w:tcW w:w="0" w:type="auto"/>
            <w:gridSpan w:val="2"/>
            <w:shd w:val="clear" w:color="auto" w:fill="D9D9D9"/>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b/>
                <w:bCs/>
                <w:color w:val="000000"/>
                <w:sz w:val="20"/>
                <w:szCs w:val="20"/>
              </w:rPr>
              <w:t>6.2</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hideMark/>
          </w:tcPr>
          <w:p w:rsidR="00000000" w:rsidRDefault="001F1FC8">
            <w:pPr>
              <w:jc w:val="right"/>
              <w:rPr>
                <w:rFonts w:eastAsia="Times New Roman"/>
              </w:rPr>
            </w:pPr>
            <w:r>
              <w:rPr>
                <w:rFonts w:ascii="Arial" w:eastAsia="Times New Roman" w:hAnsi="Arial" w:cs="Arial"/>
                <w:b/>
                <w:bCs/>
                <w:color w:val="000000"/>
                <w:sz w:val="20"/>
                <w:szCs w:val="20"/>
              </w:rPr>
              <w:t>%</w:t>
            </w:r>
          </w:p>
        </w:tc>
        <w:tc>
          <w:tcPr>
            <w:tcW w:w="0" w:type="auto"/>
            <w:gridSpan w:val="2"/>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color w:val="000000"/>
                <w:sz w:val="20"/>
                <w:szCs w:val="20"/>
              </w:rPr>
              <w:t>6.8 </w:t>
            </w:r>
          </w:p>
        </w:tc>
        <w:tc>
          <w:tcPr>
            <w:tcW w:w="0" w:type="auto"/>
            <w:tcMar>
              <w:top w:w="30" w:type="dxa"/>
              <w:left w:w="0" w:type="dxa"/>
              <w:bottom w:w="30" w:type="dxa"/>
              <w:right w:w="20" w:type="dxa"/>
            </w:tcMar>
            <w:hideMark/>
          </w:tcPr>
          <w:p w:rsidR="00000000" w:rsidRDefault="001F1FC8">
            <w:pPr>
              <w:jc w:val="right"/>
              <w:rPr>
                <w:rFonts w:eastAsia="Times New Roman"/>
              </w:rPr>
            </w:pPr>
            <w:r>
              <w:rPr>
                <w:rFonts w:ascii="Arial" w:eastAsia="Times New Roman" w:hAnsi="Arial" w:cs="Arial"/>
                <w:color w:val="000000"/>
                <w:sz w:val="20"/>
                <w:szCs w:val="20"/>
              </w:rPr>
              <w:t>%</w:t>
            </w:r>
          </w:p>
        </w:tc>
        <w:tc>
          <w:tcPr>
            <w:tcW w:w="0" w:type="auto"/>
            <w:gridSpan w:val="2"/>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color w:val="000000"/>
                <w:sz w:val="20"/>
                <w:szCs w:val="20"/>
              </w:rPr>
              <w:t>7.0 </w:t>
            </w:r>
          </w:p>
        </w:tc>
        <w:tc>
          <w:tcPr>
            <w:tcW w:w="0" w:type="auto"/>
            <w:tcMar>
              <w:top w:w="30" w:type="dxa"/>
              <w:left w:w="0" w:type="dxa"/>
              <w:bottom w:w="30" w:type="dxa"/>
              <w:right w:w="20" w:type="dxa"/>
            </w:tcMar>
            <w:hideMark/>
          </w:tcPr>
          <w:p w:rsidR="00000000" w:rsidRDefault="001F1FC8">
            <w:pPr>
              <w:jc w:val="right"/>
              <w:rPr>
                <w:rFonts w:eastAsia="Times New Roman"/>
              </w:rPr>
            </w:pPr>
            <w:r>
              <w:rPr>
                <w:rFonts w:ascii="Arial" w:eastAsia="Times New Roman" w:hAnsi="Arial" w:cs="Arial"/>
                <w:color w:val="000000"/>
                <w:sz w:val="20"/>
                <w:szCs w:val="20"/>
              </w:rPr>
              <w:t>%</w:t>
            </w:r>
          </w:p>
        </w:tc>
        <w:tc>
          <w:tcPr>
            <w:tcW w:w="0" w:type="auto"/>
            <w:gridSpan w:val="3"/>
            <w:tcMar>
              <w:top w:w="0" w:type="dxa"/>
              <w:left w:w="20" w:type="dxa"/>
              <w:bottom w:w="0" w:type="dxa"/>
              <w:right w:w="20" w:type="dxa"/>
            </w:tcMar>
            <w:vAlign w:val="center"/>
            <w:hideMark/>
          </w:tcPr>
          <w:p w:rsidR="00000000" w:rsidRDefault="001F1FC8">
            <w:pPr>
              <w:jc w:val="right"/>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b/>
                <w:bCs/>
                <w:color w:val="000000"/>
                <w:sz w:val="20"/>
                <w:szCs w:val="20"/>
              </w:rPr>
              <w:t>7.3</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hideMark/>
          </w:tcPr>
          <w:p w:rsidR="00000000" w:rsidRDefault="001F1FC8">
            <w:pPr>
              <w:jc w:val="right"/>
              <w:rPr>
                <w:rFonts w:eastAsia="Times New Roman"/>
              </w:rPr>
            </w:pPr>
            <w:r>
              <w:rPr>
                <w:rFonts w:ascii="Arial" w:eastAsia="Times New Roman" w:hAnsi="Arial" w:cs="Arial"/>
                <w:b/>
                <w:bCs/>
                <w:color w:val="000000"/>
                <w:sz w:val="20"/>
                <w:szCs w:val="20"/>
              </w:rPr>
              <w:t>%</w:t>
            </w:r>
          </w:p>
        </w:tc>
        <w:tc>
          <w:tcPr>
            <w:tcW w:w="0" w:type="auto"/>
            <w:gridSpan w:val="2"/>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color w:val="000000"/>
                <w:sz w:val="20"/>
                <w:szCs w:val="20"/>
              </w:rPr>
              <w:t>7.9 </w:t>
            </w:r>
          </w:p>
        </w:tc>
        <w:tc>
          <w:tcPr>
            <w:tcW w:w="0" w:type="auto"/>
            <w:tcMar>
              <w:top w:w="30" w:type="dxa"/>
              <w:left w:w="0" w:type="dxa"/>
              <w:bottom w:w="30" w:type="dxa"/>
              <w:right w:w="20" w:type="dxa"/>
            </w:tcMar>
            <w:hideMark/>
          </w:tcPr>
          <w:p w:rsidR="00000000" w:rsidRDefault="001F1FC8">
            <w:pPr>
              <w:jc w:val="right"/>
              <w:rPr>
                <w:rFonts w:eastAsia="Times New Roman"/>
              </w:rPr>
            </w:pPr>
            <w:r>
              <w:rPr>
                <w:rFonts w:ascii="Arial" w:eastAsia="Times New Roman" w:hAnsi="Arial" w:cs="Arial"/>
                <w:color w:val="000000"/>
                <w:sz w:val="20"/>
                <w:szCs w:val="20"/>
              </w:rPr>
              <w:t>%</w:t>
            </w:r>
          </w:p>
        </w:tc>
        <w:tc>
          <w:tcPr>
            <w:tcW w:w="0" w:type="auto"/>
            <w:gridSpan w:val="2"/>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color w:val="000000"/>
                <w:sz w:val="20"/>
                <w:szCs w:val="20"/>
              </w:rPr>
              <w:t>8.0 </w:t>
            </w:r>
          </w:p>
        </w:tc>
        <w:tc>
          <w:tcPr>
            <w:tcW w:w="0" w:type="auto"/>
            <w:tcMar>
              <w:top w:w="30" w:type="dxa"/>
              <w:left w:w="0" w:type="dxa"/>
              <w:bottom w:w="30" w:type="dxa"/>
              <w:right w:w="20" w:type="dxa"/>
            </w:tcMar>
            <w:hideMark/>
          </w:tcPr>
          <w:p w:rsidR="00000000" w:rsidRDefault="001F1FC8">
            <w:pPr>
              <w:jc w:val="right"/>
              <w:rPr>
                <w:rFonts w:eastAsia="Times New Roman"/>
              </w:rPr>
            </w:pPr>
            <w:r>
              <w:rPr>
                <w:rFonts w:ascii="Arial" w:eastAsia="Times New Roman" w:hAnsi="Arial" w:cs="Arial"/>
                <w:color w:val="000000"/>
                <w:sz w:val="20"/>
                <w:szCs w:val="20"/>
              </w:rPr>
              <w:t>%</w:t>
            </w:r>
          </w:p>
        </w:tc>
      </w:tr>
      <w:tr w:rsidR="00000000">
        <w:trPr>
          <w:divId w:val="868951190"/>
        </w:trPr>
        <w:tc>
          <w:tcPr>
            <w:tcW w:w="0" w:type="auto"/>
            <w:gridSpan w:val="3"/>
            <w:tcMar>
              <w:top w:w="30" w:type="dxa"/>
              <w:left w:w="20" w:type="dxa"/>
              <w:bottom w:w="30" w:type="dxa"/>
              <w:right w:w="20" w:type="dxa"/>
            </w:tcMar>
            <w:hideMark/>
          </w:tcPr>
          <w:p w:rsidR="00000000" w:rsidRDefault="001F1FC8">
            <w:pPr>
              <w:rPr>
                <w:rFonts w:eastAsia="Times New Roman"/>
              </w:rPr>
            </w:pPr>
            <w:r>
              <w:rPr>
                <w:rFonts w:ascii="Arial" w:eastAsia="Times New Roman" w:hAnsi="Arial" w:cs="Arial"/>
                <w:color w:val="000000"/>
                <w:sz w:val="20"/>
                <w:szCs w:val="20"/>
              </w:rPr>
              <w:t>Rate of salary increase</w:t>
            </w:r>
          </w:p>
        </w:tc>
        <w:tc>
          <w:tcPr>
            <w:tcW w:w="0" w:type="auto"/>
            <w:gridSpan w:val="2"/>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20"/>
                <w:szCs w:val="20"/>
              </w:rPr>
              <w:t>2.3</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bottom"/>
            <w:hideMark/>
          </w:tcPr>
          <w:p w:rsidR="00000000" w:rsidRDefault="001F1FC8">
            <w:pPr>
              <w:jc w:val="right"/>
              <w:rPr>
                <w:rFonts w:eastAsia="Times New Roman"/>
              </w:rPr>
            </w:pPr>
            <w:r>
              <w:rPr>
                <w:rFonts w:ascii="Arial" w:eastAsia="Times New Roman" w:hAnsi="Arial" w:cs="Arial"/>
                <w:b/>
                <w:bCs/>
                <w:color w:val="000000"/>
                <w:sz w:val="20"/>
                <w:szCs w:val="20"/>
              </w:rPr>
              <w:t>%</w:t>
            </w: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3.2 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w:t>
            </w: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3.2 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w:t>
            </w:r>
          </w:p>
        </w:tc>
        <w:tc>
          <w:tcPr>
            <w:tcW w:w="0" w:type="auto"/>
            <w:gridSpan w:val="3"/>
            <w:tcMar>
              <w:top w:w="0" w:type="dxa"/>
              <w:left w:w="20" w:type="dxa"/>
              <w:bottom w:w="0" w:type="dxa"/>
              <w:right w:w="20" w:type="dxa"/>
            </w:tcMar>
            <w:vAlign w:val="center"/>
            <w:hideMark/>
          </w:tcPr>
          <w:p w:rsidR="00000000" w:rsidRDefault="001F1FC8">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20"/>
                <w:szCs w:val="20"/>
              </w:rPr>
              <w:t>2.7</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bottom"/>
            <w:hideMark/>
          </w:tcPr>
          <w:p w:rsidR="00000000" w:rsidRDefault="001F1FC8">
            <w:pPr>
              <w:jc w:val="right"/>
              <w:rPr>
                <w:rFonts w:eastAsia="Times New Roman"/>
              </w:rPr>
            </w:pPr>
            <w:r>
              <w:rPr>
                <w:rFonts w:ascii="Arial" w:eastAsia="Times New Roman" w:hAnsi="Arial" w:cs="Arial"/>
                <w:b/>
                <w:bCs/>
                <w:color w:val="000000"/>
                <w:sz w:val="20"/>
                <w:szCs w:val="20"/>
              </w:rPr>
              <w:t>%</w:t>
            </w: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2.9 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w:t>
            </w: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2.9 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w:t>
            </w:r>
          </w:p>
        </w:tc>
      </w:tr>
      <w:tr w:rsidR="00000000">
        <w:trPr>
          <w:divId w:val="868951190"/>
        </w:trPr>
        <w:tc>
          <w:tcPr>
            <w:tcW w:w="0" w:type="auto"/>
            <w:gridSpan w:val="3"/>
            <w:tcBorders>
              <w:bottom w:val="single" w:sz="8" w:space="0" w:color="000000"/>
            </w:tcBorders>
            <w:tcMar>
              <w:top w:w="30" w:type="dxa"/>
              <w:left w:w="20" w:type="dxa"/>
              <w:bottom w:w="30" w:type="dxa"/>
              <w:right w:w="20" w:type="dxa"/>
            </w:tcMar>
            <w:hideMark/>
          </w:tcPr>
          <w:p w:rsidR="00000000" w:rsidRDefault="001F1FC8">
            <w:pPr>
              <w:rPr>
                <w:rFonts w:eastAsia="Times New Roman"/>
              </w:rPr>
            </w:pPr>
            <w:r>
              <w:rPr>
                <w:rFonts w:ascii="Arial" w:eastAsia="Times New Roman" w:hAnsi="Arial" w:cs="Arial"/>
                <w:color w:val="000000"/>
                <w:sz w:val="20"/>
                <w:szCs w:val="20"/>
              </w:rPr>
              <w:t>Cash balance interest credit rate</w:t>
            </w:r>
          </w:p>
        </w:tc>
        <w:tc>
          <w:tcPr>
            <w:tcW w:w="0" w:type="auto"/>
            <w:gridSpan w:val="3"/>
            <w:tcBorders>
              <w:bottom w:val="single" w:sz="8" w:space="0" w:color="000000"/>
            </w:tcBorders>
            <w:shd w:val="clear" w:color="auto" w:fill="D9D9D9"/>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b/>
                <w:bCs/>
                <w:color w:val="000000"/>
                <w:sz w:val="20"/>
                <w:szCs w:val="20"/>
              </w:rPr>
              <w:t>N/A</w:t>
            </w: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N/A</w:t>
            </w: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N/A</w:t>
            </w:r>
          </w:p>
        </w:tc>
        <w:tc>
          <w:tcPr>
            <w:tcW w:w="0" w:type="auto"/>
            <w:gridSpan w:val="3"/>
            <w:tcBorders>
              <w:bottom w:val="single" w:sz="8" w:space="0" w:color="000000"/>
            </w:tcBorders>
            <w:tcMar>
              <w:top w:w="0" w:type="dxa"/>
              <w:left w:w="20" w:type="dxa"/>
              <w:bottom w:w="0" w:type="dxa"/>
              <w:right w:w="20" w:type="dxa"/>
            </w:tcMar>
            <w:vAlign w:val="center"/>
            <w:hideMark/>
          </w:tcPr>
          <w:p w:rsidR="00000000" w:rsidRDefault="001F1FC8">
            <w:pPr>
              <w:jc w:val="right"/>
              <w:rPr>
                <w:rFonts w:eastAsia="Times New Roman"/>
              </w:rPr>
            </w:pPr>
          </w:p>
        </w:tc>
        <w:tc>
          <w:tcPr>
            <w:tcW w:w="0" w:type="auto"/>
            <w:gridSpan w:val="2"/>
            <w:tcBorders>
              <w:bottom w:val="single" w:sz="8" w:space="0" w:color="000000"/>
            </w:tcBorders>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20"/>
                <w:szCs w:val="20"/>
              </w:rPr>
              <w:t>4.3</w:t>
            </w:r>
            <w:r>
              <w:rPr>
                <w:rFonts w:ascii="Arial" w:eastAsia="Times New Roman" w:hAnsi="Arial" w:cs="Arial"/>
                <w:color w:val="000000"/>
                <w:sz w:val="20"/>
                <w:szCs w:val="20"/>
              </w:rPr>
              <w:t> </w:t>
            </w:r>
          </w:p>
        </w:tc>
        <w:tc>
          <w:tcPr>
            <w:tcW w:w="0" w:type="auto"/>
            <w:tcBorders>
              <w:bottom w:val="single" w:sz="8" w:space="0" w:color="000000"/>
            </w:tcBorders>
            <w:shd w:val="clear" w:color="auto" w:fill="D9D9D9"/>
            <w:tcMar>
              <w:top w:w="30" w:type="dxa"/>
              <w:left w:w="0" w:type="dxa"/>
              <w:bottom w:w="30" w:type="dxa"/>
              <w:right w:w="20" w:type="dxa"/>
            </w:tcMar>
            <w:vAlign w:val="bottom"/>
            <w:hideMark/>
          </w:tcPr>
          <w:p w:rsidR="00000000" w:rsidRDefault="001F1FC8">
            <w:pPr>
              <w:jc w:val="right"/>
              <w:rPr>
                <w:rFonts w:eastAsia="Times New Roman"/>
              </w:rPr>
            </w:pPr>
            <w:r>
              <w:rPr>
                <w:rFonts w:ascii="Arial" w:eastAsia="Times New Roman" w:hAnsi="Arial" w:cs="Arial"/>
                <w:b/>
                <w:bCs/>
                <w:color w:val="000000"/>
                <w:sz w:val="20"/>
                <w:szCs w:val="20"/>
              </w:rPr>
              <w:t>%</w:t>
            </w:r>
          </w:p>
        </w:tc>
        <w:tc>
          <w:tcPr>
            <w:tcW w:w="0" w:type="auto"/>
            <w:gridSpan w:val="2"/>
            <w:tcBorders>
              <w:bottom w:val="single" w:sz="8" w:space="0" w:color="000000"/>
            </w:tcBorders>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4.5 </w:t>
            </w:r>
          </w:p>
        </w:tc>
        <w:tc>
          <w:tcPr>
            <w:tcW w:w="0" w:type="auto"/>
            <w:tcBorders>
              <w:bottom w:val="single" w:sz="8" w:space="0" w:color="000000"/>
            </w:tcBorders>
            <w:tcMar>
              <w:top w:w="30" w:type="dxa"/>
              <w:left w:w="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w:t>
            </w:r>
          </w:p>
        </w:tc>
        <w:tc>
          <w:tcPr>
            <w:tcW w:w="0" w:type="auto"/>
            <w:gridSpan w:val="2"/>
            <w:tcBorders>
              <w:bottom w:val="single" w:sz="8" w:space="0" w:color="000000"/>
            </w:tcBorders>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4.5 </w:t>
            </w:r>
          </w:p>
        </w:tc>
        <w:tc>
          <w:tcPr>
            <w:tcW w:w="0" w:type="auto"/>
            <w:tcBorders>
              <w:bottom w:val="single" w:sz="8" w:space="0" w:color="000000"/>
            </w:tcBorders>
            <w:tcMar>
              <w:top w:w="30" w:type="dxa"/>
              <w:left w:w="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w:t>
            </w:r>
          </w:p>
        </w:tc>
      </w:tr>
    </w:tbl>
    <w:p w:rsidR="00000000" w:rsidRDefault="001F1FC8">
      <w:pPr>
        <w:divId w:val="669869596"/>
        <w:rPr>
          <w:rFonts w:eastAsia="Times New Roman"/>
        </w:rPr>
      </w:pPr>
    </w:p>
    <w:p w:rsidR="00000000" w:rsidRDefault="001F1FC8">
      <w:pPr>
        <w:divId w:val="1557427937"/>
        <w:rPr>
          <w:rFonts w:eastAsia="Times New Roman"/>
        </w:rPr>
      </w:pPr>
      <w:r>
        <w:rPr>
          <w:rFonts w:ascii="Arial" w:eastAsia="Times New Roman" w:hAnsi="Arial" w:cs="Arial"/>
          <w:b/>
          <w:bCs/>
          <w:color w:val="000000"/>
          <w:sz w:val="20"/>
          <w:szCs w:val="20"/>
        </w:rPr>
        <w:t>OTHER POSTRETIREMENT BENEFIT PLANS</w:t>
      </w:r>
    </w:p>
    <w:p w:rsidR="00000000" w:rsidRDefault="001F1FC8">
      <w:pPr>
        <w:divId w:val="932788544"/>
        <w:rPr>
          <w:rFonts w:eastAsia="Times New Roman"/>
        </w:rPr>
      </w:pPr>
      <w:r>
        <w:rPr>
          <w:rFonts w:ascii="Arial" w:eastAsia="Times New Roman" w:hAnsi="Arial" w:cs="Arial"/>
          <w:color w:val="000000"/>
          <w:sz w:val="20"/>
          <w:szCs w:val="20"/>
        </w:rPr>
        <w:t>We sponsor funded and unfunded defined benefit OPEB Plans, which provide non-contributory supplemental health, dental, life and health spending account benefit coverage for certain qualifying retired employees.</w:t>
      </w:r>
    </w:p>
    <w:p w:rsidR="00000000" w:rsidRDefault="001F1FC8">
      <w:pPr>
        <w:divId w:val="2000960460"/>
        <w:rPr>
          <w:rFonts w:eastAsia="Times New Roman"/>
        </w:rPr>
      </w:pPr>
    </w:p>
    <w:p w:rsidR="00000000" w:rsidRDefault="001F1FC8">
      <w:pPr>
        <w:jc w:val="center"/>
        <w:divId w:val="606624796"/>
        <w:rPr>
          <w:rFonts w:eastAsia="Times New Roman"/>
        </w:rPr>
      </w:pPr>
      <w:r>
        <w:rPr>
          <w:rFonts w:ascii="Arial" w:eastAsia="Times New Roman" w:hAnsi="Arial" w:cs="Arial"/>
          <w:color w:val="000000"/>
          <w:sz w:val="20"/>
          <w:szCs w:val="20"/>
        </w:rPr>
        <w:t>167</w:t>
      </w:r>
    </w:p>
    <w:p w:rsidR="00000000" w:rsidRDefault="001F1FC8">
      <w:pPr>
        <w:rPr>
          <w:rFonts w:eastAsia="Times New Roman"/>
        </w:rPr>
      </w:pPr>
      <w:r>
        <w:rPr>
          <w:rFonts w:eastAsia="Times New Roman"/>
        </w:rPr>
        <w:pict>
          <v:rect id="_x0000_i1197" style="width:0;height:1.5pt" o:hralign="center" o:hrstd="t" o:hr="t" fillcolor="#a0a0a0" stroked="f"/>
        </w:pict>
      </w:r>
    </w:p>
    <w:p w:rsidR="00000000" w:rsidRDefault="001F1FC8">
      <w:pPr>
        <w:jc w:val="center"/>
        <w:divId w:val="62023069"/>
        <w:rPr>
          <w:rFonts w:eastAsia="Times New Roman"/>
        </w:rPr>
      </w:pPr>
    </w:p>
    <w:p w:rsidR="00000000" w:rsidRDefault="001F1FC8">
      <w:pPr>
        <w:divId w:val="1541474190"/>
        <w:rPr>
          <w:rFonts w:eastAsia="Times New Roman"/>
        </w:rPr>
      </w:pPr>
      <w:r>
        <w:rPr>
          <w:rFonts w:ascii="Arial" w:eastAsia="Times New Roman" w:hAnsi="Arial" w:cs="Arial"/>
          <w:b/>
          <w:bCs/>
          <w:color w:val="000000"/>
          <w:sz w:val="20"/>
          <w:szCs w:val="20"/>
        </w:rPr>
        <w:t>Benefit Obligations, Plan Assets and Funded Status</w:t>
      </w:r>
    </w:p>
    <w:p w:rsidR="00000000" w:rsidRDefault="001F1FC8">
      <w:pPr>
        <w:divId w:val="1645230829"/>
        <w:rPr>
          <w:rFonts w:eastAsia="Times New Roman"/>
        </w:rPr>
      </w:pPr>
      <w:r>
        <w:rPr>
          <w:rFonts w:ascii="Arial" w:eastAsia="Times New Roman" w:hAnsi="Arial" w:cs="Arial"/>
          <w:color w:val="000000"/>
          <w:sz w:val="20"/>
          <w:szCs w:val="20"/>
        </w:rPr>
        <w:t xml:space="preserve">The following table details the changes in the accumulated postretirement benefit obligation, the fair value of plan assets and the recorded assets or liabilities for </w:t>
      </w:r>
      <w:r>
        <w:rPr>
          <w:rFonts w:ascii="Arial" w:eastAsia="Times New Roman" w:hAnsi="Arial" w:cs="Arial"/>
          <w:color w:val="000000"/>
          <w:sz w:val="20"/>
          <w:szCs w:val="20"/>
        </w:rPr>
        <w:t>our defined benefit OPEB plans:</w:t>
      </w:r>
    </w:p>
    <w:tbl>
      <w:tblPr>
        <w:tblW w:w="5000" w:type="pct"/>
        <w:tblCellMar>
          <w:top w:w="15" w:type="dxa"/>
          <w:left w:w="15" w:type="dxa"/>
          <w:bottom w:w="15" w:type="dxa"/>
          <w:right w:w="15" w:type="dxa"/>
        </w:tblCellMar>
        <w:tblLook w:val="04A0" w:firstRow="1" w:lastRow="0" w:firstColumn="1" w:lastColumn="0" w:noHBand="0" w:noVBand="1"/>
      </w:tblPr>
      <w:tblGrid>
        <w:gridCol w:w="65"/>
        <w:gridCol w:w="4725"/>
        <w:gridCol w:w="38"/>
        <w:gridCol w:w="65"/>
        <w:gridCol w:w="741"/>
        <w:gridCol w:w="37"/>
        <w:gridCol w:w="65"/>
        <w:gridCol w:w="741"/>
        <w:gridCol w:w="36"/>
        <w:gridCol w:w="36"/>
        <w:gridCol w:w="36"/>
        <w:gridCol w:w="36"/>
        <w:gridCol w:w="62"/>
        <w:gridCol w:w="742"/>
        <w:gridCol w:w="37"/>
        <w:gridCol w:w="66"/>
        <w:gridCol w:w="742"/>
        <w:gridCol w:w="36"/>
      </w:tblGrid>
      <w:tr w:rsidR="00000000">
        <w:trPr>
          <w:divId w:val="926693281"/>
        </w:trPr>
        <w:tc>
          <w:tcPr>
            <w:tcW w:w="50" w:type="pct"/>
            <w:vAlign w:val="center"/>
            <w:hideMark/>
          </w:tcPr>
          <w:p w:rsidR="00000000" w:rsidRDefault="001F1FC8">
            <w:pPr>
              <w:rPr>
                <w:rFonts w:eastAsia="Times New Roman"/>
              </w:rPr>
            </w:pPr>
          </w:p>
        </w:tc>
        <w:tc>
          <w:tcPr>
            <w:tcW w:w="2853"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c>
          <w:tcPr>
            <w:tcW w:w="50" w:type="pct"/>
            <w:vAlign w:val="center"/>
            <w:hideMark/>
          </w:tcPr>
          <w:p w:rsidR="00000000" w:rsidRDefault="001F1FC8">
            <w:pPr>
              <w:rPr>
                <w:rFonts w:eastAsia="Times New Roman"/>
                <w:sz w:val="20"/>
                <w:szCs w:val="20"/>
              </w:rPr>
            </w:pPr>
          </w:p>
        </w:tc>
        <w:tc>
          <w:tcPr>
            <w:tcW w:w="457"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c>
          <w:tcPr>
            <w:tcW w:w="50" w:type="pct"/>
            <w:vAlign w:val="center"/>
            <w:hideMark/>
          </w:tcPr>
          <w:p w:rsidR="00000000" w:rsidRDefault="001F1FC8">
            <w:pPr>
              <w:rPr>
                <w:rFonts w:eastAsia="Times New Roman"/>
                <w:sz w:val="20"/>
                <w:szCs w:val="20"/>
              </w:rPr>
            </w:pPr>
          </w:p>
        </w:tc>
        <w:tc>
          <w:tcPr>
            <w:tcW w:w="457"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c>
          <w:tcPr>
            <w:tcW w:w="30"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c>
          <w:tcPr>
            <w:tcW w:w="50" w:type="pct"/>
            <w:vAlign w:val="center"/>
            <w:hideMark/>
          </w:tcPr>
          <w:p w:rsidR="00000000" w:rsidRDefault="001F1FC8">
            <w:pPr>
              <w:rPr>
                <w:rFonts w:eastAsia="Times New Roman"/>
                <w:sz w:val="20"/>
                <w:szCs w:val="20"/>
              </w:rPr>
            </w:pPr>
          </w:p>
        </w:tc>
        <w:tc>
          <w:tcPr>
            <w:tcW w:w="457"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c>
          <w:tcPr>
            <w:tcW w:w="50" w:type="pct"/>
            <w:vAlign w:val="center"/>
            <w:hideMark/>
          </w:tcPr>
          <w:p w:rsidR="00000000" w:rsidRDefault="001F1FC8">
            <w:pPr>
              <w:rPr>
                <w:rFonts w:eastAsia="Times New Roman"/>
                <w:sz w:val="20"/>
                <w:szCs w:val="20"/>
              </w:rPr>
            </w:pPr>
          </w:p>
        </w:tc>
        <w:tc>
          <w:tcPr>
            <w:tcW w:w="457"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r>
      <w:tr w:rsidR="00000000">
        <w:trPr>
          <w:divId w:val="926693281"/>
        </w:trPr>
        <w:tc>
          <w:tcPr>
            <w:tcW w:w="0" w:type="auto"/>
            <w:gridSpan w:val="3"/>
            <w:tcMar>
              <w:top w:w="30" w:type="dxa"/>
              <w:left w:w="20" w:type="dxa"/>
              <w:bottom w:w="30" w:type="dxa"/>
              <w:right w:w="20" w:type="dxa"/>
            </w:tcMar>
            <w:vAlign w:val="bottom"/>
            <w:hideMark/>
          </w:tcPr>
          <w:p w:rsidR="00000000" w:rsidRDefault="001F1FC8">
            <w:pPr>
              <w:rPr>
                <w:rFonts w:eastAsia="Times New Roman"/>
              </w:rPr>
            </w:pPr>
            <w:r>
              <w:rPr>
                <w:rFonts w:ascii="Arial" w:eastAsia="Times New Roman" w:hAnsi="Arial" w:cs="Arial"/>
                <w:color w:val="000000"/>
                <w:sz w:val="20"/>
                <w:szCs w:val="20"/>
              </w:rPr>
              <w:t> </w:t>
            </w:r>
          </w:p>
        </w:tc>
        <w:tc>
          <w:tcPr>
            <w:tcW w:w="0" w:type="auto"/>
            <w:gridSpan w:val="6"/>
            <w:tcMar>
              <w:top w:w="30" w:type="dxa"/>
              <w:left w:w="20" w:type="dxa"/>
              <w:bottom w:w="30" w:type="dxa"/>
              <w:right w:w="20" w:type="dxa"/>
            </w:tcMar>
            <w:vAlign w:val="bottom"/>
            <w:hideMark/>
          </w:tcPr>
          <w:p w:rsidR="00000000" w:rsidRDefault="001F1FC8">
            <w:pPr>
              <w:jc w:val="center"/>
              <w:rPr>
                <w:rFonts w:eastAsia="Times New Roman"/>
              </w:rPr>
            </w:pPr>
            <w:r>
              <w:rPr>
                <w:rFonts w:ascii="Arial" w:eastAsia="Times New Roman" w:hAnsi="Arial" w:cs="Arial"/>
                <w:color w:val="000000"/>
                <w:sz w:val="20"/>
                <w:szCs w:val="20"/>
              </w:rPr>
              <w:t>Canada</w:t>
            </w:r>
          </w:p>
        </w:tc>
        <w:tc>
          <w:tcPr>
            <w:tcW w:w="0" w:type="auto"/>
            <w:gridSpan w:val="3"/>
            <w:tcMar>
              <w:top w:w="0" w:type="dxa"/>
              <w:left w:w="20" w:type="dxa"/>
              <w:bottom w:w="0" w:type="dxa"/>
              <w:right w:w="20" w:type="dxa"/>
            </w:tcMar>
            <w:vAlign w:val="center"/>
            <w:hideMark/>
          </w:tcPr>
          <w:p w:rsidR="00000000" w:rsidRDefault="001F1FC8">
            <w:pPr>
              <w:jc w:val="center"/>
              <w:rPr>
                <w:rFonts w:eastAsia="Times New Roman"/>
              </w:rPr>
            </w:pPr>
          </w:p>
        </w:tc>
        <w:tc>
          <w:tcPr>
            <w:tcW w:w="0" w:type="auto"/>
            <w:gridSpan w:val="6"/>
            <w:tcMar>
              <w:top w:w="30" w:type="dxa"/>
              <w:left w:w="20" w:type="dxa"/>
              <w:bottom w:w="30" w:type="dxa"/>
              <w:right w:w="20" w:type="dxa"/>
            </w:tcMar>
            <w:vAlign w:val="bottom"/>
            <w:hideMark/>
          </w:tcPr>
          <w:p w:rsidR="00000000" w:rsidRDefault="001F1FC8">
            <w:pPr>
              <w:jc w:val="center"/>
              <w:rPr>
                <w:rFonts w:eastAsia="Times New Roman"/>
              </w:rPr>
            </w:pPr>
            <w:r>
              <w:rPr>
                <w:rFonts w:ascii="Arial" w:eastAsia="Times New Roman" w:hAnsi="Arial" w:cs="Arial"/>
                <w:color w:val="000000"/>
                <w:sz w:val="20"/>
                <w:szCs w:val="20"/>
              </w:rPr>
              <w:t>US</w:t>
            </w:r>
          </w:p>
        </w:tc>
      </w:tr>
      <w:tr w:rsidR="00000000">
        <w:trPr>
          <w:divId w:val="926693281"/>
        </w:trPr>
        <w:tc>
          <w:tcPr>
            <w:tcW w:w="0" w:type="auto"/>
            <w:gridSpan w:val="3"/>
            <w:tcMar>
              <w:top w:w="30" w:type="dxa"/>
              <w:left w:w="20" w:type="dxa"/>
              <w:bottom w:w="30" w:type="dxa"/>
              <w:right w:w="20" w:type="dxa"/>
            </w:tcMar>
            <w:vAlign w:val="bottom"/>
            <w:hideMark/>
          </w:tcPr>
          <w:p w:rsidR="00000000" w:rsidRDefault="001F1FC8">
            <w:pPr>
              <w:rPr>
                <w:rFonts w:eastAsia="Times New Roman"/>
              </w:rPr>
            </w:pPr>
            <w:r>
              <w:rPr>
                <w:rFonts w:ascii="Arial" w:eastAsia="Times New Roman" w:hAnsi="Arial" w:cs="Arial"/>
                <w:color w:val="000000"/>
                <w:sz w:val="20"/>
                <w:szCs w:val="20"/>
              </w:rPr>
              <w:t>December 31,</w:t>
            </w:r>
          </w:p>
        </w:tc>
        <w:tc>
          <w:tcPr>
            <w:tcW w:w="0" w:type="auto"/>
            <w:gridSpan w:val="3"/>
            <w:tcBorders>
              <w:top w:val="single" w:sz="4" w:space="0" w:color="000000"/>
            </w:tcBorders>
            <w:tcMar>
              <w:top w:w="30" w:type="dxa"/>
              <w:left w:w="20" w:type="dxa"/>
              <w:bottom w:w="30" w:type="dxa"/>
              <w:right w:w="20" w:type="dxa"/>
            </w:tcMar>
            <w:hideMark/>
          </w:tcPr>
          <w:p w:rsidR="00000000" w:rsidRDefault="001F1FC8">
            <w:pPr>
              <w:jc w:val="right"/>
              <w:rPr>
                <w:rFonts w:eastAsia="Times New Roman"/>
              </w:rPr>
            </w:pPr>
            <w:r>
              <w:rPr>
                <w:rFonts w:ascii="Arial" w:eastAsia="Times New Roman" w:hAnsi="Arial" w:cs="Arial"/>
                <w:b/>
                <w:bCs/>
                <w:color w:val="000000"/>
                <w:sz w:val="20"/>
                <w:szCs w:val="20"/>
              </w:rPr>
              <w:t>2021</w:t>
            </w:r>
          </w:p>
        </w:tc>
        <w:tc>
          <w:tcPr>
            <w:tcW w:w="0" w:type="auto"/>
            <w:gridSpan w:val="3"/>
            <w:tcBorders>
              <w:top w:val="single" w:sz="4" w:space="0" w:color="000000"/>
            </w:tcBorders>
            <w:tcMar>
              <w:top w:w="30" w:type="dxa"/>
              <w:left w:w="20" w:type="dxa"/>
              <w:bottom w:w="30" w:type="dxa"/>
              <w:right w:w="20" w:type="dxa"/>
            </w:tcMar>
            <w:hideMark/>
          </w:tcPr>
          <w:p w:rsidR="00000000" w:rsidRDefault="001F1FC8">
            <w:pPr>
              <w:jc w:val="right"/>
              <w:rPr>
                <w:rFonts w:eastAsia="Times New Roman"/>
              </w:rPr>
            </w:pPr>
            <w:r>
              <w:rPr>
                <w:rFonts w:ascii="Arial" w:eastAsia="Times New Roman" w:hAnsi="Arial" w:cs="Arial"/>
                <w:color w:val="000000"/>
                <w:sz w:val="20"/>
                <w:szCs w:val="20"/>
              </w:rPr>
              <w:t>2020</w:t>
            </w:r>
          </w:p>
        </w:tc>
        <w:tc>
          <w:tcPr>
            <w:tcW w:w="0" w:type="auto"/>
            <w:gridSpan w:val="3"/>
            <w:tcMar>
              <w:top w:w="0" w:type="dxa"/>
              <w:left w:w="20" w:type="dxa"/>
              <w:bottom w:w="0" w:type="dxa"/>
              <w:right w:w="20" w:type="dxa"/>
            </w:tcMar>
            <w:vAlign w:val="center"/>
            <w:hideMark/>
          </w:tcPr>
          <w:p w:rsidR="00000000" w:rsidRDefault="001F1FC8">
            <w:pPr>
              <w:jc w:val="right"/>
              <w:rPr>
                <w:rFonts w:eastAsia="Times New Roman"/>
              </w:rPr>
            </w:pPr>
          </w:p>
        </w:tc>
        <w:tc>
          <w:tcPr>
            <w:tcW w:w="0" w:type="auto"/>
            <w:gridSpan w:val="3"/>
            <w:tcBorders>
              <w:top w:val="single" w:sz="4" w:space="0" w:color="000000"/>
            </w:tcBorders>
            <w:tcMar>
              <w:top w:w="30" w:type="dxa"/>
              <w:left w:w="20" w:type="dxa"/>
              <w:bottom w:w="30" w:type="dxa"/>
              <w:right w:w="20" w:type="dxa"/>
            </w:tcMar>
            <w:hideMark/>
          </w:tcPr>
          <w:p w:rsidR="00000000" w:rsidRDefault="001F1FC8">
            <w:pPr>
              <w:jc w:val="right"/>
              <w:rPr>
                <w:rFonts w:eastAsia="Times New Roman"/>
              </w:rPr>
            </w:pPr>
            <w:r>
              <w:rPr>
                <w:rFonts w:ascii="Arial" w:eastAsia="Times New Roman" w:hAnsi="Arial" w:cs="Arial"/>
                <w:b/>
                <w:bCs/>
                <w:color w:val="000000"/>
                <w:sz w:val="20"/>
                <w:szCs w:val="20"/>
              </w:rPr>
              <w:t>2021</w:t>
            </w:r>
          </w:p>
        </w:tc>
        <w:tc>
          <w:tcPr>
            <w:tcW w:w="0" w:type="auto"/>
            <w:gridSpan w:val="3"/>
            <w:tcBorders>
              <w:top w:val="single" w:sz="4" w:space="0" w:color="000000"/>
            </w:tcBorders>
            <w:tcMar>
              <w:top w:w="30" w:type="dxa"/>
              <w:left w:w="20" w:type="dxa"/>
              <w:bottom w:w="30" w:type="dxa"/>
              <w:right w:w="20" w:type="dxa"/>
            </w:tcMar>
            <w:hideMark/>
          </w:tcPr>
          <w:p w:rsidR="00000000" w:rsidRDefault="001F1FC8">
            <w:pPr>
              <w:jc w:val="right"/>
              <w:rPr>
                <w:rFonts w:eastAsia="Times New Roman"/>
              </w:rPr>
            </w:pPr>
            <w:r>
              <w:rPr>
                <w:rFonts w:ascii="Arial" w:eastAsia="Times New Roman" w:hAnsi="Arial" w:cs="Arial"/>
                <w:color w:val="000000"/>
                <w:sz w:val="20"/>
                <w:szCs w:val="20"/>
              </w:rPr>
              <w:t>2020</w:t>
            </w:r>
          </w:p>
        </w:tc>
      </w:tr>
      <w:tr w:rsidR="00000000">
        <w:trPr>
          <w:divId w:val="926693281"/>
        </w:trPr>
        <w:tc>
          <w:tcPr>
            <w:tcW w:w="0" w:type="auto"/>
            <w:gridSpan w:val="3"/>
            <w:tcBorders>
              <w:top w:val="single" w:sz="4" w:space="0" w:color="000000"/>
            </w:tcBorders>
            <w:tcMar>
              <w:top w:w="30" w:type="dxa"/>
              <w:left w:w="20" w:type="dxa"/>
              <w:bottom w:w="30" w:type="dxa"/>
              <w:right w:w="20" w:type="dxa"/>
            </w:tcMar>
            <w:hideMark/>
          </w:tcPr>
          <w:p w:rsidR="00000000" w:rsidRDefault="001F1FC8">
            <w:pPr>
              <w:rPr>
                <w:rFonts w:eastAsia="Times New Roman"/>
              </w:rPr>
            </w:pPr>
            <w:r>
              <w:rPr>
                <w:rFonts w:ascii="Arial" w:eastAsia="Times New Roman" w:hAnsi="Arial" w:cs="Arial"/>
                <w:i/>
                <w:iCs/>
                <w:color w:val="000000"/>
                <w:sz w:val="16"/>
                <w:szCs w:val="16"/>
              </w:rPr>
              <w:t>(millions of Canadian dollars)</w:t>
            </w:r>
          </w:p>
        </w:tc>
        <w:tc>
          <w:tcPr>
            <w:tcW w:w="0" w:type="auto"/>
            <w:gridSpan w:val="3"/>
            <w:tcBorders>
              <w:top w:val="single" w:sz="4" w:space="0" w:color="000000"/>
            </w:tcBorders>
            <w:shd w:val="clear" w:color="auto" w:fill="D9D9D9"/>
            <w:tcMar>
              <w:top w:w="30" w:type="dxa"/>
              <w:left w:w="20" w:type="dxa"/>
              <w:bottom w:w="30" w:type="dxa"/>
              <w:right w:w="20" w:type="dxa"/>
            </w:tcMar>
            <w:hideMark/>
          </w:tcPr>
          <w:p w:rsidR="00000000" w:rsidRDefault="001F1FC8">
            <w:pPr>
              <w:jc w:val="right"/>
              <w:rPr>
                <w:rFonts w:eastAsia="Times New Roman"/>
              </w:rPr>
            </w:pPr>
            <w:r>
              <w:rPr>
                <w:rFonts w:ascii="Arial" w:eastAsia="Times New Roman" w:hAnsi="Arial" w:cs="Arial"/>
                <w:color w:val="000000"/>
                <w:sz w:val="20"/>
                <w:szCs w:val="20"/>
              </w:rPr>
              <w:t> </w:t>
            </w:r>
          </w:p>
        </w:tc>
        <w:tc>
          <w:tcPr>
            <w:tcW w:w="0" w:type="auto"/>
            <w:gridSpan w:val="3"/>
            <w:tcBorders>
              <w:top w:val="single" w:sz="4" w:space="0" w:color="000000"/>
            </w:tcBorders>
            <w:tcMar>
              <w:top w:w="30" w:type="dxa"/>
              <w:left w:w="20" w:type="dxa"/>
              <w:bottom w:w="30" w:type="dxa"/>
              <w:right w:w="20" w:type="dxa"/>
            </w:tcMar>
            <w:hideMark/>
          </w:tcPr>
          <w:p w:rsidR="00000000" w:rsidRDefault="001F1FC8">
            <w:pPr>
              <w:jc w:val="right"/>
              <w:rPr>
                <w:rFonts w:eastAsia="Times New Roman"/>
              </w:rPr>
            </w:pPr>
            <w:r>
              <w:rPr>
                <w:rFonts w:ascii="Arial" w:eastAsia="Times New Roman" w:hAnsi="Arial" w:cs="Arial"/>
                <w:color w:val="000000"/>
                <w:sz w:val="20"/>
                <w:szCs w:val="20"/>
              </w:rPr>
              <w:t> </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1F1FC8">
            <w:pPr>
              <w:jc w:val="right"/>
              <w:rPr>
                <w:rFonts w:eastAsia="Times New Roman"/>
              </w:rPr>
            </w:pPr>
          </w:p>
        </w:tc>
        <w:tc>
          <w:tcPr>
            <w:tcW w:w="0" w:type="auto"/>
            <w:gridSpan w:val="3"/>
            <w:tcBorders>
              <w:top w:val="single" w:sz="4" w:space="0" w:color="000000"/>
            </w:tcBorders>
            <w:shd w:val="clear" w:color="auto" w:fill="D9D9D9"/>
            <w:tcMar>
              <w:top w:w="30" w:type="dxa"/>
              <w:left w:w="20" w:type="dxa"/>
              <w:bottom w:w="30" w:type="dxa"/>
              <w:right w:w="20" w:type="dxa"/>
            </w:tcMar>
            <w:hideMark/>
          </w:tcPr>
          <w:p w:rsidR="00000000" w:rsidRDefault="001F1FC8">
            <w:pPr>
              <w:jc w:val="right"/>
              <w:rPr>
                <w:rFonts w:eastAsia="Times New Roman"/>
              </w:rPr>
            </w:pPr>
            <w:r>
              <w:rPr>
                <w:rFonts w:ascii="Arial" w:eastAsia="Times New Roman" w:hAnsi="Arial" w:cs="Arial"/>
                <w:color w:val="000000"/>
                <w:sz w:val="20"/>
                <w:szCs w:val="20"/>
              </w:rPr>
              <w:t> </w:t>
            </w:r>
          </w:p>
        </w:tc>
        <w:tc>
          <w:tcPr>
            <w:tcW w:w="0" w:type="auto"/>
            <w:gridSpan w:val="3"/>
            <w:tcBorders>
              <w:top w:val="single" w:sz="4" w:space="0" w:color="000000"/>
            </w:tcBorders>
            <w:tcMar>
              <w:top w:w="30" w:type="dxa"/>
              <w:left w:w="20" w:type="dxa"/>
              <w:bottom w:w="30" w:type="dxa"/>
              <w:right w:w="20" w:type="dxa"/>
            </w:tcMar>
            <w:hideMark/>
          </w:tcPr>
          <w:p w:rsidR="00000000" w:rsidRDefault="001F1FC8">
            <w:pPr>
              <w:jc w:val="right"/>
              <w:rPr>
                <w:rFonts w:eastAsia="Times New Roman"/>
              </w:rPr>
            </w:pPr>
            <w:r>
              <w:rPr>
                <w:rFonts w:ascii="Arial" w:eastAsia="Times New Roman" w:hAnsi="Arial" w:cs="Arial"/>
                <w:color w:val="000000"/>
                <w:sz w:val="20"/>
                <w:szCs w:val="20"/>
              </w:rPr>
              <w:t> </w:t>
            </w:r>
          </w:p>
        </w:tc>
      </w:tr>
      <w:tr w:rsidR="00000000">
        <w:trPr>
          <w:divId w:val="926693281"/>
        </w:trPr>
        <w:tc>
          <w:tcPr>
            <w:tcW w:w="0" w:type="auto"/>
            <w:gridSpan w:val="3"/>
            <w:tcMar>
              <w:top w:w="30" w:type="dxa"/>
              <w:left w:w="20" w:type="dxa"/>
              <w:bottom w:w="30" w:type="dxa"/>
              <w:right w:w="20" w:type="dxa"/>
            </w:tcMar>
            <w:hideMark/>
          </w:tcPr>
          <w:p w:rsidR="00000000" w:rsidRDefault="001F1FC8">
            <w:pPr>
              <w:ind w:hanging="180"/>
              <w:divId w:val="853152862"/>
              <w:rPr>
                <w:rFonts w:eastAsia="Times New Roman"/>
              </w:rPr>
            </w:pPr>
            <w:r>
              <w:rPr>
                <w:rFonts w:ascii="Arial" w:eastAsia="Times New Roman" w:hAnsi="Arial" w:cs="Arial"/>
                <w:b/>
                <w:bCs/>
                <w:color w:val="000000"/>
                <w:sz w:val="20"/>
                <w:szCs w:val="20"/>
              </w:rPr>
              <w:t>Change in accumulated postretirement benefit obligation</w:t>
            </w:r>
          </w:p>
        </w:tc>
        <w:tc>
          <w:tcPr>
            <w:tcW w:w="0" w:type="auto"/>
            <w:gridSpan w:val="3"/>
            <w:shd w:val="clear" w:color="auto" w:fill="D9D9D9"/>
            <w:tcMar>
              <w:top w:w="30" w:type="dxa"/>
              <w:left w:w="20" w:type="dxa"/>
              <w:bottom w:w="30" w:type="dxa"/>
              <w:right w:w="20" w:type="dxa"/>
            </w:tcMar>
            <w:hideMark/>
          </w:tcPr>
          <w:p w:rsidR="00000000" w:rsidRDefault="001F1FC8">
            <w:pPr>
              <w:jc w:val="right"/>
              <w:rPr>
                <w:rFonts w:eastAsia="Times New Roman"/>
              </w:rPr>
            </w:pPr>
            <w:r>
              <w:rPr>
                <w:rFonts w:ascii="Arial" w:eastAsia="Times New Roman" w:hAnsi="Arial" w:cs="Arial"/>
                <w:color w:val="000000"/>
                <w:sz w:val="20"/>
                <w:szCs w:val="20"/>
              </w:rPr>
              <w:t> </w:t>
            </w:r>
          </w:p>
        </w:tc>
        <w:tc>
          <w:tcPr>
            <w:tcW w:w="0" w:type="auto"/>
            <w:gridSpan w:val="3"/>
            <w:tcMar>
              <w:top w:w="30" w:type="dxa"/>
              <w:left w:w="20" w:type="dxa"/>
              <w:bottom w:w="30" w:type="dxa"/>
              <w:right w:w="20" w:type="dxa"/>
            </w:tcMar>
            <w:hideMark/>
          </w:tcPr>
          <w:p w:rsidR="00000000" w:rsidRDefault="001F1FC8">
            <w:pPr>
              <w:jc w:val="right"/>
              <w:rPr>
                <w:rFonts w:eastAsia="Times New Roman"/>
              </w:rPr>
            </w:pPr>
            <w:r>
              <w:rPr>
                <w:rFonts w:ascii="Arial" w:eastAsia="Times New Roman" w:hAnsi="Arial" w:cs="Arial"/>
                <w:color w:val="000000"/>
                <w:sz w:val="20"/>
                <w:szCs w:val="20"/>
              </w:rPr>
              <w:t> </w:t>
            </w:r>
          </w:p>
        </w:tc>
        <w:tc>
          <w:tcPr>
            <w:tcW w:w="0" w:type="auto"/>
            <w:gridSpan w:val="3"/>
            <w:tcMar>
              <w:top w:w="0" w:type="dxa"/>
              <w:left w:w="20" w:type="dxa"/>
              <w:bottom w:w="0" w:type="dxa"/>
              <w:right w:w="20" w:type="dxa"/>
            </w:tcMar>
            <w:vAlign w:val="center"/>
            <w:hideMark/>
          </w:tcPr>
          <w:p w:rsidR="00000000" w:rsidRDefault="001F1FC8">
            <w:pPr>
              <w:jc w:val="right"/>
              <w:rPr>
                <w:rFonts w:eastAsia="Times New Roman"/>
              </w:rPr>
            </w:pPr>
          </w:p>
        </w:tc>
        <w:tc>
          <w:tcPr>
            <w:tcW w:w="0" w:type="auto"/>
            <w:gridSpan w:val="3"/>
            <w:shd w:val="clear" w:color="auto" w:fill="D9D9D9"/>
            <w:tcMar>
              <w:top w:w="30" w:type="dxa"/>
              <w:left w:w="20" w:type="dxa"/>
              <w:bottom w:w="30" w:type="dxa"/>
              <w:right w:w="20" w:type="dxa"/>
            </w:tcMar>
            <w:hideMark/>
          </w:tcPr>
          <w:p w:rsidR="00000000" w:rsidRDefault="001F1FC8">
            <w:pPr>
              <w:jc w:val="right"/>
              <w:rPr>
                <w:rFonts w:eastAsia="Times New Roman"/>
              </w:rPr>
            </w:pPr>
            <w:r>
              <w:rPr>
                <w:rFonts w:ascii="Arial" w:eastAsia="Times New Roman" w:hAnsi="Arial" w:cs="Arial"/>
                <w:color w:val="000000"/>
                <w:sz w:val="20"/>
                <w:szCs w:val="20"/>
              </w:rPr>
              <w:t> </w:t>
            </w:r>
          </w:p>
        </w:tc>
        <w:tc>
          <w:tcPr>
            <w:tcW w:w="0" w:type="auto"/>
            <w:gridSpan w:val="3"/>
            <w:tcMar>
              <w:top w:w="30" w:type="dxa"/>
              <w:left w:w="20" w:type="dxa"/>
              <w:bottom w:w="30" w:type="dxa"/>
              <w:right w:w="20" w:type="dxa"/>
            </w:tcMar>
            <w:hideMark/>
          </w:tcPr>
          <w:p w:rsidR="00000000" w:rsidRDefault="001F1FC8">
            <w:pPr>
              <w:jc w:val="right"/>
              <w:rPr>
                <w:rFonts w:eastAsia="Times New Roman"/>
              </w:rPr>
            </w:pPr>
            <w:r>
              <w:rPr>
                <w:rFonts w:ascii="Arial" w:eastAsia="Times New Roman" w:hAnsi="Arial" w:cs="Arial"/>
                <w:color w:val="000000"/>
                <w:sz w:val="20"/>
                <w:szCs w:val="20"/>
              </w:rPr>
              <w:t> </w:t>
            </w:r>
          </w:p>
        </w:tc>
      </w:tr>
      <w:tr w:rsidR="00000000">
        <w:trPr>
          <w:divId w:val="926693281"/>
        </w:trPr>
        <w:tc>
          <w:tcPr>
            <w:tcW w:w="0" w:type="auto"/>
            <w:gridSpan w:val="3"/>
            <w:tcMar>
              <w:top w:w="30" w:type="dxa"/>
              <w:left w:w="20" w:type="dxa"/>
              <w:bottom w:w="30" w:type="dxa"/>
              <w:right w:w="20" w:type="dxa"/>
            </w:tcMar>
            <w:hideMark/>
          </w:tcPr>
          <w:p w:rsidR="00000000" w:rsidRDefault="001F1FC8">
            <w:pPr>
              <w:ind w:hanging="180"/>
              <w:divId w:val="1936477266"/>
              <w:rPr>
                <w:rFonts w:eastAsia="Times New Roman"/>
              </w:rPr>
            </w:pPr>
            <w:r>
              <w:rPr>
                <w:rFonts w:ascii="Arial" w:eastAsia="Times New Roman" w:hAnsi="Arial" w:cs="Arial"/>
                <w:color w:val="000000"/>
                <w:sz w:val="20"/>
                <w:szCs w:val="20"/>
              </w:rPr>
              <w:t>Accumulated postretirement benefit obligation at beginning of year</w:t>
            </w:r>
          </w:p>
        </w:tc>
        <w:tc>
          <w:tcPr>
            <w:tcW w:w="0" w:type="auto"/>
            <w:gridSpan w:val="2"/>
            <w:shd w:val="clear" w:color="auto" w:fill="D9D9D9"/>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b/>
                <w:bCs/>
                <w:color w:val="000000"/>
                <w:sz w:val="20"/>
                <w:szCs w:val="20"/>
              </w:rPr>
              <w:t>321</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hideMark/>
          </w:tcPr>
          <w:p w:rsidR="00000000" w:rsidRDefault="001F1FC8">
            <w:pPr>
              <w:jc w:val="right"/>
              <w:rPr>
                <w:rFonts w:eastAsia="Times New Roman"/>
              </w:rPr>
            </w:pPr>
          </w:p>
        </w:tc>
        <w:tc>
          <w:tcPr>
            <w:tcW w:w="0" w:type="auto"/>
            <w:gridSpan w:val="2"/>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color w:val="000000"/>
                <w:sz w:val="20"/>
                <w:szCs w:val="20"/>
              </w:rPr>
              <w:t>293 </w:t>
            </w:r>
          </w:p>
        </w:tc>
        <w:tc>
          <w:tcPr>
            <w:tcW w:w="0" w:type="auto"/>
            <w:tcMar>
              <w:top w:w="30" w:type="dxa"/>
              <w:left w:w="0" w:type="dxa"/>
              <w:bottom w:w="30" w:type="dxa"/>
              <w:right w:w="20" w:type="dxa"/>
            </w:tcMar>
            <w:hideMark/>
          </w:tcPr>
          <w:p w:rsidR="00000000" w:rsidRDefault="001F1FC8">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1F1FC8">
            <w:pPr>
              <w:jc w:val="right"/>
              <w:rPr>
                <w:rFonts w:eastAsia="Times New Roman"/>
                <w:sz w:val="20"/>
                <w:szCs w:val="20"/>
              </w:rPr>
            </w:pPr>
          </w:p>
        </w:tc>
        <w:tc>
          <w:tcPr>
            <w:tcW w:w="0" w:type="auto"/>
            <w:gridSpan w:val="2"/>
            <w:shd w:val="clear" w:color="auto" w:fill="D9D9D9"/>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b/>
                <w:bCs/>
                <w:color w:val="000000"/>
                <w:sz w:val="20"/>
                <w:szCs w:val="20"/>
              </w:rPr>
              <w:t>254</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hideMark/>
          </w:tcPr>
          <w:p w:rsidR="00000000" w:rsidRDefault="001F1FC8">
            <w:pPr>
              <w:jc w:val="right"/>
              <w:rPr>
                <w:rFonts w:eastAsia="Times New Roman"/>
              </w:rPr>
            </w:pPr>
          </w:p>
        </w:tc>
        <w:tc>
          <w:tcPr>
            <w:tcW w:w="0" w:type="auto"/>
            <w:gridSpan w:val="2"/>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color w:val="000000"/>
                <w:sz w:val="20"/>
                <w:szCs w:val="20"/>
              </w:rPr>
              <w:t>288 </w:t>
            </w:r>
          </w:p>
        </w:tc>
        <w:tc>
          <w:tcPr>
            <w:tcW w:w="0" w:type="auto"/>
            <w:tcMar>
              <w:top w:w="30" w:type="dxa"/>
              <w:left w:w="0" w:type="dxa"/>
              <w:bottom w:w="30" w:type="dxa"/>
              <w:right w:w="20" w:type="dxa"/>
            </w:tcMar>
            <w:hideMark/>
          </w:tcPr>
          <w:p w:rsidR="00000000" w:rsidRDefault="001F1FC8">
            <w:pPr>
              <w:jc w:val="right"/>
              <w:rPr>
                <w:rFonts w:eastAsia="Times New Roman"/>
              </w:rPr>
            </w:pPr>
          </w:p>
        </w:tc>
      </w:tr>
      <w:tr w:rsidR="00000000">
        <w:trPr>
          <w:divId w:val="926693281"/>
        </w:trPr>
        <w:tc>
          <w:tcPr>
            <w:tcW w:w="0" w:type="auto"/>
            <w:gridSpan w:val="3"/>
            <w:tcMar>
              <w:top w:w="30" w:type="dxa"/>
              <w:left w:w="155" w:type="dxa"/>
              <w:bottom w:w="30" w:type="dxa"/>
              <w:right w:w="20" w:type="dxa"/>
            </w:tcMar>
            <w:hideMark/>
          </w:tcPr>
          <w:p w:rsidR="00000000" w:rsidRDefault="001F1FC8">
            <w:pPr>
              <w:rPr>
                <w:rFonts w:eastAsia="Times New Roman"/>
              </w:rPr>
            </w:pPr>
            <w:r>
              <w:rPr>
                <w:rFonts w:ascii="Arial" w:eastAsia="Times New Roman" w:hAnsi="Arial" w:cs="Arial"/>
                <w:color w:val="000000"/>
                <w:sz w:val="20"/>
                <w:szCs w:val="20"/>
              </w:rPr>
              <w:t xml:space="preserve">Service cost </w:t>
            </w:r>
          </w:p>
        </w:tc>
        <w:tc>
          <w:tcPr>
            <w:tcW w:w="0" w:type="auto"/>
            <w:gridSpan w:val="2"/>
            <w:shd w:val="clear" w:color="auto" w:fill="D9D9D9"/>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b/>
                <w:bCs/>
                <w:color w:val="000000"/>
                <w:sz w:val="20"/>
                <w:szCs w:val="20"/>
              </w:rPr>
              <w:t>6</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hideMark/>
          </w:tcPr>
          <w:p w:rsidR="00000000" w:rsidRDefault="001F1FC8">
            <w:pPr>
              <w:jc w:val="right"/>
              <w:rPr>
                <w:rFonts w:eastAsia="Times New Roman"/>
              </w:rPr>
            </w:pPr>
          </w:p>
        </w:tc>
        <w:tc>
          <w:tcPr>
            <w:tcW w:w="0" w:type="auto"/>
            <w:gridSpan w:val="2"/>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color w:val="000000"/>
                <w:sz w:val="20"/>
                <w:szCs w:val="20"/>
              </w:rPr>
              <w:t>5 </w:t>
            </w:r>
          </w:p>
        </w:tc>
        <w:tc>
          <w:tcPr>
            <w:tcW w:w="0" w:type="auto"/>
            <w:tcMar>
              <w:top w:w="30" w:type="dxa"/>
              <w:left w:w="0" w:type="dxa"/>
              <w:bottom w:w="30" w:type="dxa"/>
              <w:right w:w="20" w:type="dxa"/>
            </w:tcMar>
            <w:hideMark/>
          </w:tcPr>
          <w:p w:rsidR="00000000" w:rsidRDefault="001F1FC8">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1F1FC8">
            <w:pPr>
              <w:jc w:val="right"/>
              <w:rPr>
                <w:rFonts w:eastAsia="Times New Roman"/>
                <w:sz w:val="20"/>
                <w:szCs w:val="20"/>
              </w:rPr>
            </w:pPr>
          </w:p>
        </w:tc>
        <w:tc>
          <w:tcPr>
            <w:tcW w:w="0" w:type="auto"/>
            <w:gridSpan w:val="2"/>
            <w:shd w:val="clear" w:color="auto" w:fill="D9D9D9"/>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b/>
                <w:bCs/>
                <w:color w:val="000000"/>
                <w:sz w:val="20"/>
                <w:szCs w:val="20"/>
              </w:rPr>
              <w:t>1</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hideMark/>
          </w:tcPr>
          <w:p w:rsidR="00000000" w:rsidRDefault="001F1FC8">
            <w:pPr>
              <w:jc w:val="right"/>
              <w:rPr>
                <w:rFonts w:eastAsia="Times New Roman"/>
              </w:rPr>
            </w:pPr>
          </w:p>
        </w:tc>
        <w:tc>
          <w:tcPr>
            <w:tcW w:w="0" w:type="auto"/>
            <w:gridSpan w:val="2"/>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color w:val="000000"/>
                <w:sz w:val="20"/>
                <w:szCs w:val="20"/>
              </w:rPr>
              <w:t>2 </w:t>
            </w:r>
          </w:p>
        </w:tc>
        <w:tc>
          <w:tcPr>
            <w:tcW w:w="0" w:type="auto"/>
            <w:tcMar>
              <w:top w:w="30" w:type="dxa"/>
              <w:left w:w="0" w:type="dxa"/>
              <w:bottom w:w="30" w:type="dxa"/>
              <w:right w:w="20" w:type="dxa"/>
            </w:tcMar>
            <w:hideMark/>
          </w:tcPr>
          <w:p w:rsidR="00000000" w:rsidRDefault="001F1FC8">
            <w:pPr>
              <w:jc w:val="right"/>
              <w:rPr>
                <w:rFonts w:eastAsia="Times New Roman"/>
              </w:rPr>
            </w:pPr>
          </w:p>
        </w:tc>
      </w:tr>
      <w:tr w:rsidR="00000000">
        <w:trPr>
          <w:divId w:val="926693281"/>
        </w:trPr>
        <w:tc>
          <w:tcPr>
            <w:tcW w:w="0" w:type="auto"/>
            <w:gridSpan w:val="3"/>
            <w:tcMar>
              <w:top w:w="30" w:type="dxa"/>
              <w:left w:w="155" w:type="dxa"/>
              <w:bottom w:w="30" w:type="dxa"/>
              <w:right w:w="20" w:type="dxa"/>
            </w:tcMar>
            <w:hideMark/>
          </w:tcPr>
          <w:p w:rsidR="00000000" w:rsidRDefault="001F1FC8">
            <w:pPr>
              <w:rPr>
                <w:rFonts w:eastAsia="Times New Roman"/>
              </w:rPr>
            </w:pPr>
            <w:r>
              <w:rPr>
                <w:rFonts w:ascii="Arial" w:eastAsia="Times New Roman" w:hAnsi="Arial" w:cs="Arial"/>
                <w:color w:val="000000"/>
                <w:sz w:val="20"/>
                <w:szCs w:val="20"/>
              </w:rPr>
              <w:t>Interest cost</w:t>
            </w:r>
          </w:p>
        </w:tc>
        <w:tc>
          <w:tcPr>
            <w:tcW w:w="0" w:type="auto"/>
            <w:gridSpan w:val="2"/>
            <w:shd w:val="clear" w:color="auto" w:fill="D9D9D9"/>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b/>
                <w:bCs/>
                <w:color w:val="000000"/>
                <w:sz w:val="20"/>
                <w:szCs w:val="20"/>
              </w:rPr>
              <w:t>7</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hideMark/>
          </w:tcPr>
          <w:p w:rsidR="00000000" w:rsidRDefault="001F1FC8">
            <w:pPr>
              <w:jc w:val="right"/>
              <w:rPr>
                <w:rFonts w:eastAsia="Times New Roman"/>
              </w:rPr>
            </w:pPr>
          </w:p>
        </w:tc>
        <w:tc>
          <w:tcPr>
            <w:tcW w:w="0" w:type="auto"/>
            <w:gridSpan w:val="2"/>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color w:val="000000"/>
                <w:sz w:val="20"/>
                <w:szCs w:val="20"/>
              </w:rPr>
              <w:t>8 </w:t>
            </w:r>
          </w:p>
        </w:tc>
        <w:tc>
          <w:tcPr>
            <w:tcW w:w="0" w:type="auto"/>
            <w:tcMar>
              <w:top w:w="30" w:type="dxa"/>
              <w:left w:w="0" w:type="dxa"/>
              <w:bottom w:w="30" w:type="dxa"/>
              <w:right w:w="20" w:type="dxa"/>
            </w:tcMar>
            <w:hideMark/>
          </w:tcPr>
          <w:p w:rsidR="00000000" w:rsidRDefault="001F1FC8">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1F1FC8">
            <w:pPr>
              <w:jc w:val="right"/>
              <w:rPr>
                <w:rFonts w:eastAsia="Times New Roman"/>
                <w:sz w:val="20"/>
                <w:szCs w:val="20"/>
              </w:rPr>
            </w:pPr>
          </w:p>
        </w:tc>
        <w:tc>
          <w:tcPr>
            <w:tcW w:w="0" w:type="auto"/>
            <w:gridSpan w:val="2"/>
            <w:shd w:val="clear" w:color="auto" w:fill="D9D9D9"/>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b/>
                <w:bCs/>
                <w:color w:val="000000"/>
                <w:sz w:val="20"/>
                <w:szCs w:val="20"/>
              </w:rPr>
              <w:t>3</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hideMark/>
          </w:tcPr>
          <w:p w:rsidR="00000000" w:rsidRDefault="001F1FC8">
            <w:pPr>
              <w:jc w:val="right"/>
              <w:rPr>
                <w:rFonts w:eastAsia="Times New Roman"/>
              </w:rPr>
            </w:pPr>
          </w:p>
        </w:tc>
        <w:tc>
          <w:tcPr>
            <w:tcW w:w="0" w:type="auto"/>
            <w:gridSpan w:val="2"/>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color w:val="000000"/>
                <w:sz w:val="20"/>
                <w:szCs w:val="20"/>
              </w:rPr>
              <w:t>7 </w:t>
            </w:r>
          </w:p>
        </w:tc>
        <w:tc>
          <w:tcPr>
            <w:tcW w:w="0" w:type="auto"/>
            <w:tcMar>
              <w:top w:w="30" w:type="dxa"/>
              <w:left w:w="0" w:type="dxa"/>
              <w:bottom w:w="30" w:type="dxa"/>
              <w:right w:w="20" w:type="dxa"/>
            </w:tcMar>
            <w:hideMark/>
          </w:tcPr>
          <w:p w:rsidR="00000000" w:rsidRDefault="001F1FC8">
            <w:pPr>
              <w:jc w:val="right"/>
              <w:rPr>
                <w:rFonts w:eastAsia="Times New Roman"/>
              </w:rPr>
            </w:pPr>
          </w:p>
        </w:tc>
      </w:tr>
      <w:tr w:rsidR="00000000">
        <w:trPr>
          <w:divId w:val="926693281"/>
        </w:trPr>
        <w:tc>
          <w:tcPr>
            <w:tcW w:w="0" w:type="auto"/>
            <w:gridSpan w:val="3"/>
            <w:tcMar>
              <w:top w:w="30" w:type="dxa"/>
              <w:left w:w="155" w:type="dxa"/>
              <w:bottom w:w="30" w:type="dxa"/>
              <w:right w:w="20" w:type="dxa"/>
            </w:tcMar>
            <w:hideMark/>
          </w:tcPr>
          <w:p w:rsidR="00000000" w:rsidRDefault="001F1FC8">
            <w:pPr>
              <w:rPr>
                <w:rFonts w:eastAsia="Times New Roman"/>
              </w:rPr>
            </w:pPr>
            <w:r>
              <w:rPr>
                <w:rFonts w:ascii="Arial" w:eastAsia="Times New Roman" w:hAnsi="Arial" w:cs="Arial"/>
                <w:color w:val="000000"/>
                <w:sz w:val="20"/>
                <w:szCs w:val="20"/>
              </w:rPr>
              <w:t>Participant contributions</w:t>
            </w:r>
          </w:p>
        </w:tc>
        <w:tc>
          <w:tcPr>
            <w:tcW w:w="0" w:type="auto"/>
            <w:gridSpan w:val="2"/>
            <w:shd w:val="clear" w:color="auto" w:fill="D9D9D9"/>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b/>
                <w:bCs/>
                <w:color w:val="000000"/>
                <w:sz w:val="20"/>
                <w:szCs w:val="20"/>
              </w:rPr>
              <w:t>—</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hideMark/>
          </w:tcPr>
          <w:p w:rsidR="00000000" w:rsidRDefault="001F1FC8">
            <w:pPr>
              <w:jc w:val="right"/>
              <w:rPr>
                <w:rFonts w:eastAsia="Times New Roman"/>
              </w:rPr>
            </w:pPr>
          </w:p>
        </w:tc>
        <w:tc>
          <w:tcPr>
            <w:tcW w:w="0" w:type="auto"/>
            <w:gridSpan w:val="2"/>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color w:val="000000"/>
                <w:sz w:val="20"/>
                <w:szCs w:val="20"/>
              </w:rPr>
              <w:t>— </w:t>
            </w:r>
          </w:p>
        </w:tc>
        <w:tc>
          <w:tcPr>
            <w:tcW w:w="0" w:type="auto"/>
            <w:tcMar>
              <w:top w:w="30" w:type="dxa"/>
              <w:left w:w="0" w:type="dxa"/>
              <w:bottom w:w="30" w:type="dxa"/>
              <w:right w:w="20" w:type="dxa"/>
            </w:tcMar>
            <w:hideMark/>
          </w:tcPr>
          <w:p w:rsidR="00000000" w:rsidRDefault="001F1FC8">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1F1FC8">
            <w:pPr>
              <w:jc w:val="right"/>
              <w:rPr>
                <w:rFonts w:eastAsia="Times New Roman"/>
                <w:sz w:val="20"/>
                <w:szCs w:val="20"/>
              </w:rPr>
            </w:pPr>
          </w:p>
        </w:tc>
        <w:tc>
          <w:tcPr>
            <w:tcW w:w="0" w:type="auto"/>
            <w:gridSpan w:val="2"/>
            <w:shd w:val="clear" w:color="auto" w:fill="D9D9D9"/>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b/>
                <w:bCs/>
                <w:color w:val="000000"/>
                <w:sz w:val="20"/>
                <w:szCs w:val="20"/>
              </w:rPr>
              <w:t>8</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hideMark/>
          </w:tcPr>
          <w:p w:rsidR="00000000" w:rsidRDefault="001F1FC8">
            <w:pPr>
              <w:jc w:val="right"/>
              <w:rPr>
                <w:rFonts w:eastAsia="Times New Roman"/>
              </w:rPr>
            </w:pPr>
          </w:p>
        </w:tc>
        <w:tc>
          <w:tcPr>
            <w:tcW w:w="0" w:type="auto"/>
            <w:gridSpan w:val="2"/>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color w:val="000000"/>
                <w:sz w:val="20"/>
                <w:szCs w:val="20"/>
              </w:rPr>
              <w:t>4 </w:t>
            </w:r>
          </w:p>
        </w:tc>
        <w:tc>
          <w:tcPr>
            <w:tcW w:w="0" w:type="auto"/>
            <w:tcMar>
              <w:top w:w="30" w:type="dxa"/>
              <w:left w:w="0" w:type="dxa"/>
              <w:bottom w:w="30" w:type="dxa"/>
              <w:right w:w="20" w:type="dxa"/>
            </w:tcMar>
            <w:hideMark/>
          </w:tcPr>
          <w:p w:rsidR="00000000" w:rsidRDefault="001F1FC8">
            <w:pPr>
              <w:jc w:val="right"/>
              <w:rPr>
                <w:rFonts w:eastAsia="Times New Roman"/>
              </w:rPr>
            </w:pPr>
          </w:p>
        </w:tc>
      </w:tr>
      <w:tr w:rsidR="00000000">
        <w:trPr>
          <w:divId w:val="926693281"/>
        </w:trPr>
        <w:tc>
          <w:tcPr>
            <w:tcW w:w="0" w:type="auto"/>
            <w:gridSpan w:val="3"/>
            <w:tcMar>
              <w:top w:w="30" w:type="dxa"/>
              <w:left w:w="20" w:type="dxa"/>
              <w:bottom w:w="30" w:type="dxa"/>
              <w:right w:w="20" w:type="dxa"/>
            </w:tcMar>
            <w:hideMark/>
          </w:tcPr>
          <w:p w:rsidR="00000000" w:rsidRDefault="001F1FC8">
            <w:pPr>
              <w:divId w:val="358164818"/>
              <w:rPr>
                <w:rFonts w:eastAsia="Times New Roman"/>
              </w:rPr>
            </w:pPr>
            <w:r>
              <w:rPr>
                <w:rFonts w:ascii="Arial" w:eastAsia="Times New Roman" w:hAnsi="Arial" w:cs="Arial"/>
                <w:color w:val="000000"/>
                <w:sz w:val="20"/>
                <w:szCs w:val="20"/>
              </w:rPr>
              <w:t>Actuarial (gain)/los</w:t>
            </w:r>
            <w:r>
              <w:rPr>
                <w:rFonts w:ascii="Arial" w:eastAsia="Times New Roman" w:hAnsi="Arial" w:cs="Arial"/>
                <w:color w:val="000000"/>
                <w:sz w:val="20"/>
                <w:szCs w:val="20"/>
              </w:rPr>
              <w:t>s</w:t>
            </w:r>
            <w:r>
              <w:rPr>
                <w:rFonts w:ascii="Arial" w:eastAsia="Times New Roman" w:hAnsi="Arial" w:cs="Arial"/>
                <w:color w:val="000000"/>
                <w:sz w:val="10"/>
                <w:szCs w:val="10"/>
              </w:rPr>
              <w:t>1</w:t>
            </w:r>
          </w:p>
        </w:tc>
        <w:tc>
          <w:tcPr>
            <w:tcW w:w="0" w:type="auto"/>
            <w:gridSpan w:val="2"/>
            <w:shd w:val="clear" w:color="auto" w:fill="D9D9D9"/>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b/>
                <w:bCs/>
                <w:color w:val="000000"/>
                <w:sz w:val="20"/>
                <w:szCs w:val="20"/>
              </w:rPr>
              <w:t>(51)</w:t>
            </w:r>
          </w:p>
        </w:tc>
        <w:tc>
          <w:tcPr>
            <w:tcW w:w="0" w:type="auto"/>
            <w:shd w:val="clear" w:color="auto" w:fill="D9D9D9"/>
            <w:tcMar>
              <w:top w:w="30" w:type="dxa"/>
              <w:left w:w="0" w:type="dxa"/>
              <w:bottom w:w="30" w:type="dxa"/>
              <w:right w:w="20" w:type="dxa"/>
            </w:tcMar>
            <w:hideMark/>
          </w:tcPr>
          <w:p w:rsidR="00000000" w:rsidRDefault="001F1FC8">
            <w:pPr>
              <w:jc w:val="right"/>
              <w:rPr>
                <w:rFonts w:eastAsia="Times New Roman"/>
              </w:rPr>
            </w:pPr>
          </w:p>
        </w:tc>
        <w:tc>
          <w:tcPr>
            <w:tcW w:w="0" w:type="auto"/>
            <w:gridSpan w:val="2"/>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color w:val="000000"/>
                <w:sz w:val="20"/>
                <w:szCs w:val="20"/>
              </w:rPr>
              <w:t>21 </w:t>
            </w:r>
          </w:p>
        </w:tc>
        <w:tc>
          <w:tcPr>
            <w:tcW w:w="0" w:type="auto"/>
            <w:tcMar>
              <w:top w:w="30" w:type="dxa"/>
              <w:left w:w="0" w:type="dxa"/>
              <w:bottom w:w="30" w:type="dxa"/>
              <w:right w:w="20" w:type="dxa"/>
            </w:tcMar>
            <w:hideMark/>
          </w:tcPr>
          <w:p w:rsidR="00000000" w:rsidRDefault="001F1FC8">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1F1FC8">
            <w:pPr>
              <w:jc w:val="right"/>
              <w:rPr>
                <w:rFonts w:eastAsia="Times New Roman"/>
                <w:sz w:val="20"/>
                <w:szCs w:val="20"/>
              </w:rPr>
            </w:pPr>
          </w:p>
        </w:tc>
        <w:tc>
          <w:tcPr>
            <w:tcW w:w="0" w:type="auto"/>
            <w:gridSpan w:val="2"/>
            <w:shd w:val="clear" w:color="auto" w:fill="D9D9D9"/>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b/>
                <w:bCs/>
                <w:color w:val="000000"/>
                <w:sz w:val="20"/>
                <w:szCs w:val="20"/>
              </w:rPr>
              <w:t>(69)</w:t>
            </w:r>
          </w:p>
        </w:tc>
        <w:tc>
          <w:tcPr>
            <w:tcW w:w="0" w:type="auto"/>
            <w:shd w:val="clear" w:color="auto" w:fill="D9D9D9"/>
            <w:tcMar>
              <w:top w:w="30" w:type="dxa"/>
              <w:left w:w="0" w:type="dxa"/>
              <w:bottom w:w="30" w:type="dxa"/>
              <w:right w:w="20" w:type="dxa"/>
            </w:tcMar>
            <w:hideMark/>
          </w:tcPr>
          <w:p w:rsidR="00000000" w:rsidRDefault="001F1FC8">
            <w:pPr>
              <w:jc w:val="right"/>
              <w:rPr>
                <w:rFonts w:eastAsia="Times New Roman"/>
              </w:rPr>
            </w:pPr>
          </w:p>
        </w:tc>
        <w:tc>
          <w:tcPr>
            <w:tcW w:w="0" w:type="auto"/>
            <w:gridSpan w:val="2"/>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color w:val="000000"/>
                <w:sz w:val="20"/>
                <w:szCs w:val="20"/>
              </w:rPr>
              <w:t>17 </w:t>
            </w:r>
          </w:p>
        </w:tc>
        <w:tc>
          <w:tcPr>
            <w:tcW w:w="0" w:type="auto"/>
            <w:tcMar>
              <w:top w:w="30" w:type="dxa"/>
              <w:left w:w="0" w:type="dxa"/>
              <w:bottom w:w="30" w:type="dxa"/>
              <w:right w:w="20" w:type="dxa"/>
            </w:tcMar>
            <w:hideMark/>
          </w:tcPr>
          <w:p w:rsidR="00000000" w:rsidRDefault="001F1FC8">
            <w:pPr>
              <w:jc w:val="right"/>
              <w:rPr>
                <w:rFonts w:eastAsia="Times New Roman"/>
              </w:rPr>
            </w:pPr>
          </w:p>
        </w:tc>
      </w:tr>
      <w:tr w:rsidR="00000000">
        <w:trPr>
          <w:divId w:val="926693281"/>
        </w:trPr>
        <w:tc>
          <w:tcPr>
            <w:tcW w:w="0" w:type="auto"/>
            <w:gridSpan w:val="3"/>
            <w:tcMar>
              <w:top w:w="30" w:type="dxa"/>
              <w:left w:w="155" w:type="dxa"/>
              <w:bottom w:w="30" w:type="dxa"/>
              <w:right w:w="20" w:type="dxa"/>
            </w:tcMar>
            <w:hideMark/>
          </w:tcPr>
          <w:p w:rsidR="00000000" w:rsidRDefault="001F1FC8">
            <w:pPr>
              <w:rPr>
                <w:rFonts w:eastAsia="Times New Roman"/>
              </w:rPr>
            </w:pPr>
            <w:r>
              <w:rPr>
                <w:rFonts w:ascii="Arial" w:eastAsia="Times New Roman" w:hAnsi="Arial" w:cs="Arial"/>
                <w:color w:val="000000"/>
                <w:sz w:val="20"/>
                <w:szCs w:val="20"/>
              </w:rPr>
              <w:t>Benefits paid</w:t>
            </w:r>
          </w:p>
        </w:tc>
        <w:tc>
          <w:tcPr>
            <w:tcW w:w="0" w:type="auto"/>
            <w:gridSpan w:val="2"/>
            <w:shd w:val="clear" w:color="auto" w:fill="D9D9D9"/>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b/>
                <w:bCs/>
                <w:color w:val="000000"/>
                <w:sz w:val="20"/>
                <w:szCs w:val="20"/>
              </w:rPr>
              <w:t>(9)</w:t>
            </w:r>
          </w:p>
        </w:tc>
        <w:tc>
          <w:tcPr>
            <w:tcW w:w="0" w:type="auto"/>
            <w:shd w:val="clear" w:color="auto" w:fill="D9D9D9"/>
            <w:tcMar>
              <w:top w:w="30" w:type="dxa"/>
              <w:left w:w="0" w:type="dxa"/>
              <w:bottom w:w="30" w:type="dxa"/>
              <w:right w:w="20" w:type="dxa"/>
            </w:tcMar>
            <w:hideMark/>
          </w:tcPr>
          <w:p w:rsidR="00000000" w:rsidRDefault="001F1FC8">
            <w:pPr>
              <w:jc w:val="right"/>
              <w:rPr>
                <w:rFonts w:eastAsia="Times New Roman"/>
              </w:rPr>
            </w:pPr>
          </w:p>
        </w:tc>
        <w:tc>
          <w:tcPr>
            <w:tcW w:w="0" w:type="auto"/>
            <w:gridSpan w:val="2"/>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color w:val="000000"/>
                <w:sz w:val="20"/>
                <w:szCs w:val="20"/>
              </w:rPr>
              <w:t>(6)</w:t>
            </w:r>
          </w:p>
        </w:tc>
        <w:tc>
          <w:tcPr>
            <w:tcW w:w="0" w:type="auto"/>
            <w:tcMar>
              <w:top w:w="30" w:type="dxa"/>
              <w:left w:w="0" w:type="dxa"/>
              <w:bottom w:w="30" w:type="dxa"/>
              <w:right w:w="20" w:type="dxa"/>
            </w:tcMar>
            <w:hideMark/>
          </w:tcPr>
          <w:p w:rsidR="00000000" w:rsidRDefault="001F1FC8">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1F1FC8">
            <w:pPr>
              <w:jc w:val="right"/>
              <w:rPr>
                <w:rFonts w:eastAsia="Times New Roman"/>
                <w:sz w:val="20"/>
                <w:szCs w:val="20"/>
              </w:rPr>
            </w:pPr>
          </w:p>
        </w:tc>
        <w:tc>
          <w:tcPr>
            <w:tcW w:w="0" w:type="auto"/>
            <w:gridSpan w:val="2"/>
            <w:shd w:val="clear" w:color="auto" w:fill="D9D9D9"/>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b/>
                <w:bCs/>
                <w:color w:val="000000"/>
                <w:sz w:val="20"/>
                <w:szCs w:val="20"/>
              </w:rPr>
              <w:t>(22)</w:t>
            </w:r>
          </w:p>
        </w:tc>
        <w:tc>
          <w:tcPr>
            <w:tcW w:w="0" w:type="auto"/>
            <w:shd w:val="clear" w:color="auto" w:fill="D9D9D9"/>
            <w:tcMar>
              <w:top w:w="30" w:type="dxa"/>
              <w:left w:w="0" w:type="dxa"/>
              <w:bottom w:w="30" w:type="dxa"/>
              <w:right w:w="20" w:type="dxa"/>
            </w:tcMar>
            <w:hideMark/>
          </w:tcPr>
          <w:p w:rsidR="00000000" w:rsidRDefault="001F1FC8">
            <w:pPr>
              <w:jc w:val="right"/>
              <w:rPr>
                <w:rFonts w:eastAsia="Times New Roman"/>
              </w:rPr>
            </w:pPr>
          </w:p>
        </w:tc>
        <w:tc>
          <w:tcPr>
            <w:tcW w:w="0" w:type="auto"/>
            <w:gridSpan w:val="2"/>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color w:val="000000"/>
                <w:sz w:val="20"/>
                <w:szCs w:val="20"/>
              </w:rPr>
              <w:t>(28)</w:t>
            </w:r>
          </w:p>
        </w:tc>
        <w:tc>
          <w:tcPr>
            <w:tcW w:w="0" w:type="auto"/>
            <w:tcMar>
              <w:top w:w="30" w:type="dxa"/>
              <w:left w:w="0" w:type="dxa"/>
              <w:bottom w:w="30" w:type="dxa"/>
              <w:right w:w="20" w:type="dxa"/>
            </w:tcMar>
            <w:hideMark/>
          </w:tcPr>
          <w:p w:rsidR="00000000" w:rsidRDefault="001F1FC8">
            <w:pPr>
              <w:jc w:val="right"/>
              <w:rPr>
                <w:rFonts w:eastAsia="Times New Roman"/>
              </w:rPr>
            </w:pPr>
          </w:p>
        </w:tc>
      </w:tr>
      <w:tr w:rsidR="00000000">
        <w:trPr>
          <w:divId w:val="926693281"/>
        </w:trPr>
        <w:tc>
          <w:tcPr>
            <w:tcW w:w="0" w:type="auto"/>
            <w:gridSpan w:val="3"/>
            <w:tcMar>
              <w:top w:w="30" w:type="dxa"/>
              <w:left w:w="155" w:type="dxa"/>
              <w:bottom w:w="30" w:type="dxa"/>
              <w:right w:w="20" w:type="dxa"/>
            </w:tcMar>
            <w:hideMark/>
          </w:tcPr>
          <w:p w:rsidR="00000000" w:rsidRDefault="001F1FC8">
            <w:pPr>
              <w:rPr>
                <w:rFonts w:eastAsia="Times New Roman"/>
              </w:rPr>
            </w:pPr>
            <w:r>
              <w:rPr>
                <w:rFonts w:ascii="Arial" w:eastAsia="Times New Roman" w:hAnsi="Arial" w:cs="Arial"/>
                <w:color w:val="000000"/>
                <w:sz w:val="20"/>
                <w:szCs w:val="20"/>
              </w:rPr>
              <w:t xml:space="preserve">Plan amendments </w:t>
            </w:r>
          </w:p>
        </w:tc>
        <w:tc>
          <w:tcPr>
            <w:tcW w:w="0" w:type="auto"/>
            <w:gridSpan w:val="2"/>
            <w:shd w:val="clear" w:color="auto" w:fill="D9D9D9"/>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b/>
                <w:bCs/>
                <w:color w:val="000000"/>
                <w:sz w:val="20"/>
                <w:szCs w:val="20"/>
              </w:rPr>
              <w:t>—</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hideMark/>
          </w:tcPr>
          <w:p w:rsidR="00000000" w:rsidRDefault="001F1FC8">
            <w:pPr>
              <w:jc w:val="right"/>
              <w:rPr>
                <w:rFonts w:eastAsia="Times New Roman"/>
              </w:rPr>
            </w:pPr>
          </w:p>
        </w:tc>
        <w:tc>
          <w:tcPr>
            <w:tcW w:w="0" w:type="auto"/>
            <w:gridSpan w:val="2"/>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color w:val="000000"/>
                <w:sz w:val="20"/>
                <w:szCs w:val="20"/>
              </w:rPr>
              <w:t>— </w:t>
            </w:r>
          </w:p>
        </w:tc>
        <w:tc>
          <w:tcPr>
            <w:tcW w:w="0" w:type="auto"/>
            <w:tcMar>
              <w:top w:w="30" w:type="dxa"/>
              <w:left w:w="0" w:type="dxa"/>
              <w:bottom w:w="30" w:type="dxa"/>
              <w:right w:w="20" w:type="dxa"/>
            </w:tcMar>
            <w:hideMark/>
          </w:tcPr>
          <w:p w:rsidR="00000000" w:rsidRDefault="001F1FC8">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1F1FC8">
            <w:pPr>
              <w:jc w:val="right"/>
              <w:rPr>
                <w:rFonts w:eastAsia="Times New Roman"/>
                <w:sz w:val="20"/>
                <w:szCs w:val="20"/>
              </w:rPr>
            </w:pPr>
          </w:p>
        </w:tc>
        <w:tc>
          <w:tcPr>
            <w:tcW w:w="0" w:type="auto"/>
            <w:gridSpan w:val="2"/>
            <w:shd w:val="clear" w:color="auto" w:fill="D9D9D9"/>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b/>
                <w:bCs/>
                <w:color w:val="000000"/>
                <w:sz w:val="20"/>
                <w:szCs w:val="20"/>
              </w:rPr>
              <w:t>—</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hideMark/>
          </w:tcPr>
          <w:p w:rsidR="00000000" w:rsidRDefault="001F1FC8">
            <w:pPr>
              <w:jc w:val="right"/>
              <w:rPr>
                <w:rFonts w:eastAsia="Times New Roman"/>
              </w:rPr>
            </w:pPr>
          </w:p>
        </w:tc>
        <w:tc>
          <w:tcPr>
            <w:tcW w:w="0" w:type="auto"/>
            <w:gridSpan w:val="2"/>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color w:val="000000"/>
                <w:sz w:val="20"/>
                <w:szCs w:val="20"/>
              </w:rPr>
              <w:t>(33)</w:t>
            </w:r>
          </w:p>
        </w:tc>
        <w:tc>
          <w:tcPr>
            <w:tcW w:w="0" w:type="auto"/>
            <w:tcMar>
              <w:top w:w="30" w:type="dxa"/>
              <w:left w:w="0" w:type="dxa"/>
              <w:bottom w:w="30" w:type="dxa"/>
              <w:right w:w="20" w:type="dxa"/>
            </w:tcMar>
            <w:hideMark/>
          </w:tcPr>
          <w:p w:rsidR="00000000" w:rsidRDefault="001F1FC8">
            <w:pPr>
              <w:jc w:val="right"/>
              <w:rPr>
                <w:rFonts w:eastAsia="Times New Roman"/>
              </w:rPr>
            </w:pPr>
          </w:p>
        </w:tc>
      </w:tr>
      <w:tr w:rsidR="00000000">
        <w:trPr>
          <w:divId w:val="926693281"/>
        </w:trPr>
        <w:tc>
          <w:tcPr>
            <w:tcW w:w="0" w:type="auto"/>
            <w:gridSpan w:val="3"/>
            <w:tcMar>
              <w:top w:w="30" w:type="dxa"/>
              <w:left w:w="155" w:type="dxa"/>
              <w:bottom w:w="30" w:type="dxa"/>
              <w:right w:w="20" w:type="dxa"/>
            </w:tcMar>
            <w:hideMark/>
          </w:tcPr>
          <w:p w:rsidR="00000000" w:rsidRDefault="001F1FC8">
            <w:pPr>
              <w:rPr>
                <w:rFonts w:eastAsia="Times New Roman"/>
              </w:rPr>
            </w:pPr>
            <w:r>
              <w:rPr>
                <w:rFonts w:ascii="Arial" w:eastAsia="Times New Roman" w:hAnsi="Arial" w:cs="Arial"/>
                <w:color w:val="000000"/>
                <w:sz w:val="20"/>
                <w:szCs w:val="20"/>
              </w:rPr>
              <w:t>Foreign currency exchange rate changes</w:t>
            </w:r>
          </w:p>
        </w:tc>
        <w:tc>
          <w:tcPr>
            <w:tcW w:w="0" w:type="auto"/>
            <w:gridSpan w:val="2"/>
            <w:shd w:val="clear" w:color="auto" w:fill="D9D9D9"/>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b/>
                <w:bCs/>
                <w:color w:val="000000"/>
                <w:sz w:val="20"/>
                <w:szCs w:val="20"/>
              </w:rPr>
              <w:t>—</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hideMark/>
          </w:tcPr>
          <w:p w:rsidR="00000000" w:rsidRDefault="001F1FC8">
            <w:pPr>
              <w:jc w:val="right"/>
              <w:rPr>
                <w:rFonts w:eastAsia="Times New Roman"/>
              </w:rPr>
            </w:pPr>
          </w:p>
        </w:tc>
        <w:tc>
          <w:tcPr>
            <w:tcW w:w="0" w:type="auto"/>
            <w:gridSpan w:val="2"/>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color w:val="000000"/>
                <w:sz w:val="20"/>
                <w:szCs w:val="20"/>
              </w:rPr>
              <w:t>— </w:t>
            </w:r>
          </w:p>
        </w:tc>
        <w:tc>
          <w:tcPr>
            <w:tcW w:w="0" w:type="auto"/>
            <w:tcMar>
              <w:top w:w="30" w:type="dxa"/>
              <w:left w:w="0" w:type="dxa"/>
              <w:bottom w:w="30" w:type="dxa"/>
              <w:right w:w="20" w:type="dxa"/>
            </w:tcMar>
            <w:hideMark/>
          </w:tcPr>
          <w:p w:rsidR="00000000" w:rsidRDefault="001F1FC8">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1F1FC8">
            <w:pPr>
              <w:jc w:val="right"/>
              <w:rPr>
                <w:rFonts w:eastAsia="Times New Roman"/>
                <w:sz w:val="20"/>
                <w:szCs w:val="20"/>
              </w:rPr>
            </w:pPr>
          </w:p>
        </w:tc>
        <w:tc>
          <w:tcPr>
            <w:tcW w:w="0" w:type="auto"/>
            <w:gridSpan w:val="2"/>
            <w:shd w:val="clear" w:color="auto" w:fill="D9D9D9"/>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b/>
                <w:bCs/>
                <w:color w:val="000000"/>
                <w:sz w:val="20"/>
                <w:szCs w:val="20"/>
              </w:rPr>
              <w:t>(3)</w:t>
            </w:r>
          </w:p>
        </w:tc>
        <w:tc>
          <w:tcPr>
            <w:tcW w:w="0" w:type="auto"/>
            <w:shd w:val="clear" w:color="auto" w:fill="D9D9D9"/>
            <w:tcMar>
              <w:top w:w="30" w:type="dxa"/>
              <w:left w:w="0" w:type="dxa"/>
              <w:bottom w:w="30" w:type="dxa"/>
              <w:right w:w="20" w:type="dxa"/>
            </w:tcMar>
            <w:hideMark/>
          </w:tcPr>
          <w:p w:rsidR="00000000" w:rsidRDefault="001F1FC8">
            <w:pPr>
              <w:jc w:val="right"/>
              <w:rPr>
                <w:rFonts w:eastAsia="Times New Roman"/>
              </w:rPr>
            </w:pPr>
          </w:p>
        </w:tc>
        <w:tc>
          <w:tcPr>
            <w:tcW w:w="0" w:type="auto"/>
            <w:gridSpan w:val="2"/>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color w:val="000000"/>
                <w:sz w:val="20"/>
                <w:szCs w:val="20"/>
              </w:rPr>
              <w:t>(4)</w:t>
            </w:r>
          </w:p>
        </w:tc>
        <w:tc>
          <w:tcPr>
            <w:tcW w:w="0" w:type="auto"/>
            <w:tcMar>
              <w:top w:w="30" w:type="dxa"/>
              <w:left w:w="0" w:type="dxa"/>
              <w:bottom w:w="30" w:type="dxa"/>
              <w:right w:w="20" w:type="dxa"/>
            </w:tcMar>
            <w:hideMark/>
          </w:tcPr>
          <w:p w:rsidR="00000000" w:rsidRDefault="001F1FC8">
            <w:pPr>
              <w:jc w:val="right"/>
              <w:rPr>
                <w:rFonts w:eastAsia="Times New Roman"/>
              </w:rPr>
            </w:pPr>
          </w:p>
        </w:tc>
      </w:tr>
      <w:tr w:rsidR="00000000">
        <w:trPr>
          <w:divId w:val="926693281"/>
        </w:trPr>
        <w:tc>
          <w:tcPr>
            <w:tcW w:w="0" w:type="auto"/>
            <w:gridSpan w:val="3"/>
            <w:tcMar>
              <w:top w:w="30" w:type="dxa"/>
              <w:left w:w="155" w:type="dxa"/>
              <w:bottom w:w="30" w:type="dxa"/>
              <w:right w:w="20" w:type="dxa"/>
            </w:tcMar>
            <w:hideMark/>
          </w:tcPr>
          <w:p w:rsidR="00000000" w:rsidRDefault="001F1FC8">
            <w:pPr>
              <w:rPr>
                <w:rFonts w:eastAsia="Times New Roman"/>
              </w:rPr>
            </w:pPr>
            <w:r>
              <w:rPr>
                <w:rFonts w:ascii="Arial" w:eastAsia="Times New Roman" w:hAnsi="Arial" w:cs="Arial"/>
                <w:color w:val="000000"/>
                <w:sz w:val="20"/>
                <w:szCs w:val="20"/>
              </w:rPr>
              <w:t>Other</w:t>
            </w:r>
          </w:p>
        </w:tc>
        <w:tc>
          <w:tcPr>
            <w:tcW w:w="0" w:type="auto"/>
            <w:gridSpan w:val="2"/>
            <w:shd w:val="clear" w:color="auto" w:fill="D9D9D9"/>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b/>
                <w:bCs/>
                <w:color w:val="000000"/>
                <w:sz w:val="20"/>
                <w:szCs w:val="20"/>
              </w:rPr>
              <w:t>—</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hideMark/>
          </w:tcPr>
          <w:p w:rsidR="00000000" w:rsidRDefault="001F1FC8">
            <w:pPr>
              <w:jc w:val="right"/>
              <w:rPr>
                <w:rFonts w:eastAsia="Times New Roman"/>
              </w:rPr>
            </w:pPr>
          </w:p>
        </w:tc>
        <w:tc>
          <w:tcPr>
            <w:tcW w:w="0" w:type="auto"/>
            <w:gridSpan w:val="2"/>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color w:val="000000"/>
                <w:sz w:val="20"/>
                <w:szCs w:val="20"/>
              </w:rPr>
              <w:t>— </w:t>
            </w:r>
          </w:p>
        </w:tc>
        <w:tc>
          <w:tcPr>
            <w:tcW w:w="0" w:type="auto"/>
            <w:tcMar>
              <w:top w:w="30" w:type="dxa"/>
              <w:left w:w="0" w:type="dxa"/>
              <w:bottom w:w="30" w:type="dxa"/>
              <w:right w:w="20" w:type="dxa"/>
            </w:tcMar>
            <w:hideMark/>
          </w:tcPr>
          <w:p w:rsidR="00000000" w:rsidRDefault="001F1FC8">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1F1FC8">
            <w:pPr>
              <w:jc w:val="right"/>
              <w:rPr>
                <w:rFonts w:eastAsia="Times New Roman"/>
                <w:sz w:val="20"/>
                <w:szCs w:val="20"/>
              </w:rPr>
            </w:pPr>
          </w:p>
        </w:tc>
        <w:tc>
          <w:tcPr>
            <w:tcW w:w="0" w:type="auto"/>
            <w:gridSpan w:val="2"/>
            <w:shd w:val="clear" w:color="auto" w:fill="D9D9D9"/>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b/>
                <w:bCs/>
                <w:color w:val="000000"/>
                <w:sz w:val="20"/>
                <w:szCs w:val="20"/>
              </w:rPr>
              <w:t>1</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hideMark/>
          </w:tcPr>
          <w:p w:rsidR="00000000" w:rsidRDefault="001F1FC8">
            <w:pPr>
              <w:jc w:val="right"/>
              <w:rPr>
                <w:rFonts w:eastAsia="Times New Roman"/>
              </w:rPr>
            </w:pPr>
          </w:p>
        </w:tc>
        <w:tc>
          <w:tcPr>
            <w:tcW w:w="0" w:type="auto"/>
            <w:gridSpan w:val="2"/>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color w:val="000000"/>
                <w:sz w:val="20"/>
                <w:szCs w:val="20"/>
              </w:rPr>
              <w:t>1 </w:t>
            </w:r>
          </w:p>
        </w:tc>
        <w:tc>
          <w:tcPr>
            <w:tcW w:w="0" w:type="auto"/>
            <w:tcMar>
              <w:top w:w="30" w:type="dxa"/>
              <w:left w:w="0" w:type="dxa"/>
              <w:bottom w:w="30" w:type="dxa"/>
              <w:right w:w="20" w:type="dxa"/>
            </w:tcMar>
            <w:hideMark/>
          </w:tcPr>
          <w:p w:rsidR="00000000" w:rsidRDefault="001F1FC8">
            <w:pPr>
              <w:jc w:val="right"/>
              <w:rPr>
                <w:rFonts w:eastAsia="Times New Roman"/>
              </w:rPr>
            </w:pPr>
          </w:p>
        </w:tc>
      </w:tr>
      <w:tr w:rsidR="00000000">
        <w:trPr>
          <w:divId w:val="926693281"/>
        </w:trPr>
        <w:tc>
          <w:tcPr>
            <w:tcW w:w="0" w:type="auto"/>
            <w:gridSpan w:val="3"/>
            <w:tcBorders>
              <w:top w:val="single" w:sz="4" w:space="0" w:color="000000"/>
            </w:tcBorders>
            <w:tcMar>
              <w:top w:w="30" w:type="dxa"/>
              <w:left w:w="20" w:type="dxa"/>
              <w:bottom w:w="30" w:type="dxa"/>
              <w:right w:w="20" w:type="dxa"/>
            </w:tcMar>
            <w:hideMark/>
          </w:tcPr>
          <w:p w:rsidR="00000000" w:rsidRDefault="001F1FC8">
            <w:pPr>
              <w:ind w:hanging="180"/>
              <w:divId w:val="1306663156"/>
              <w:rPr>
                <w:rFonts w:eastAsia="Times New Roman"/>
              </w:rPr>
            </w:pPr>
            <w:r>
              <w:rPr>
                <w:rFonts w:ascii="Arial" w:eastAsia="Times New Roman" w:hAnsi="Arial" w:cs="Arial"/>
                <w:color w:val="000000"/>
                <w:sz w:val="20"/>
                <w:szCs w:val="20"/>
              </w:rPr>
              <w:t>Accumulated postretirement benefit obligation at end of year</w:t>
            </w:r>
          </w:p>
        </w:tc>
        <w:tc>
          <w:tcPr>
            <w:tcW w:w="0" w:type="auto"/>
            <w:gridSpan w:val="2"/>
            <w:tcBorders>
              <w:top w:val="single" w:sz="4" w:space="0" w:color="000000"/>
            </w:tcBorders>
            <w:shd w:val="clear" w:color="auto" w:fill="D9D9D9"/>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b/>
                <w:bCs/>
                <w:color w:val="000000"/>
                <w:sz w:val="20"/>
                <w:szCs w:val="20"/>
              </w:rPr>
              <w:t>274</w:t>
            </w:r>
            <w:r>
              <w:rPr>
                <w:rFonts w:ascii="Arial" w:eastAsia="Times New Roman" w:hAnsi="Arial" w:cs="Arial"/>
                <w:color w:val="000000"/>
                <w:sz w:val="20"/>
                <w:szCs w:val="20"/>
              </w:rPr>
              <w:t> </w:t>
            </w:r>
          </w:p>
        </w:tc>
        <w:tc>
          <w:tcPr>
            <w:tcW w:w="0" w:type="auto"/>
            <w:tcBorders>
              <w:top w:val="single" w:sz="4" w:space="0" w:color="000000"/>
            </w:tcBorders>
            <w:shd w:val="clear" w:color="auto" w:fill="D9D9D9"/>
            <w:tcMar>
              <w:top w:w="30" w:type="dxa"/>
              <w:left w:w="0" w:type="dxa"/>
              <w:bottom w:w="30" w:type="dxa"/>
              <w:right w:w="20" w:type="dxa"/>
            </w:tcMar>
            <w:hideMark/>
          </w:tcPr>
          <w:p w:rsidR="00000000" w:rsidRDefault="001F1FC8">
            <w:pPr>
              <w:jc w:val="right"/>
              <w:rPr>
                <w:rFonts w:eastAsia="Times New Roman"/>
              </w:rPr>
            </w:pPr>
          </w:p>
        </w:tc>
        <w:tc>
          <w:tcPr>
            <w:tcW w:w="0" w:type="auto"/>
            <w:gridSpan w:val="2"/>
            <w:tcBorders>
              <w:top w:val="single" w:sz="4" w:space="0" w:color="000000"/>
            </w:tcBorders>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color w:val="000000"/>
                <w:sz w:val="20"/>
                <w:szCs w:val="20"/>
              </w:rPr>
              <w:t>321 </w:t>
            </w:r>
          </w:p>
        </w:tc>
        <w:tc>
          <w:tcPr>
            <w:tcW w:w="0" w:type="auto"/>
            <w:tcBorders>
              <w:top w:val="single" w:sz="4" w:space="0" w:color="000000"/>
            </w:tcBorders>
            <w:tcMar>
              <w:top w:w="30" w:type="dxa"/>
              <w:left w:w="0" w:type="dxa"/>
              <w:bottom w:w="30" w:type="dxa"/>
              <w:right w:w="20" w:type="dxa"/>
            </w:tcMar>
            <w:hideMark/>
          </w:tcPr>
          <w:p w:rsidR="00000000" w:rsidRDefault="001F1FC8">
            <w:pPr>
              <w:jc w:val="right"/>
              <w:rPr>
                <w:rFonts w:eastAsia="Times New Roman"/>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1F1FC8">
            <w:pPr>
              <w:jc w:val="right"/>
              <w:rPr>
                <w:rFonts w:eastAsia="Times New Roman"/>
                <w:sz w:val="20"/>
                <w:szCs w:val="20"/>
              </w:rPr>
            </w:pPr>
          </w:p>
        </w:tc>
        <w:tc>
          <w:tcPr>
            <w:tcW w:w="0" w:type="auto"/>
            <w:gridSpan w:val="2"/>
            <w:tcBorders>
              <w:top w:val="single" w:sz="4" w:space="0" w:color="000000"/>
            </w:tcBorders>
            <w:shd w:val="clear" w:color="auto" w:fill="D9D9D9"/>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b/>
                <w:bCs/>
                <w:color w:val="000000"/>
                <w:sz w:val="20"/>
                <w:szCs w:val="20"/>
              </w:rPr>
              <w:t>173</w:t>
            </w:r>
            <w:r>
              <w:rPr>
                <w:rFonts w:ascii="Arial" w:eastAsia="Times New Roman" w:hAnsi="Arial" w:cs="Arial"/>
                <w:color w:val="000000"/>
                <w:sz w:val="20"/>
                <w:szCs w:val="20"/>
              </w:rPr>
              <w:t> </w:t>
            </w:r>
          </w:p>
        </w:tc>
        <w:tc>
          <w:tcPr>
            <w:tcW w:w="0" w:type="auto"/>
            <w:tcBorders>
              <w:top w:val="single" w:sz="4" w:space="0" w:color="000000"/>
            </w:tcBorders>
            <w:shd w:val="clear" w:color="auto" w:fill="D9D9D9"/>
            <w:tcMar>
              <w:top w:w="30" w:type="dxa"/>
              <w:left w:w="0" w:type="dxa"/>
              <w:bottom w:w="30" w:type="dxa"/>
              <w:right w:w="20" w:type="dxa"/>
            </w:tcMar>
            <w:hideMark/>
          </w:tcPr>
          <w:p w:rsidR="00000000" w:rsidRDefault="001F1FC8">
            <w:pPr>
              <w:jc w:val="right"/>
              <w:rPr>
                <w:rFonts w:eastAsia="Times New Roman"/>
              </w:rPr>
            </w:pPr>
          </w:p>
        </w:tc>
        <w:tc>
          <w:tcPr>
            <w:tcW w:w="0" w:type="auto"/>
            <w:gridSpan w:val="2"/>
            <w:tcBorders>
              <w:top w:val="single" w:sz="4" w:space="0" w:color="000000"/>
            </w:tcBorders>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color w:val="000000"/>
                <w:sz w:val="20"/>
                <w:szCs w:val="20"/>
              </w:rPr>
              <w:t>254 </w:t>
            </w:r>
          </w:p>
        </w:tc>
        <w:tc>
          <w:tcPr>
            <w:tcW w:w="0" w:type="auto"/>
            <w:tcBorders>
              <w:top w:val="single" w:sz="4" w:space="0" w:color="000000"/>
            </w:tcBorders>
            <w:tcMar>
              <w:top w:w="30" w:type="dxa"/>
              <w:left w:w="0" w:type="dxa"/>
              <w:bottom w:w="30" w:type="dxa"/>
              <w:right w:w="20" w:type="dxa"/>
            </w:tcMar>
            <w:hideMark/>
          </w:tcPr>
          <w:p w:rsidR="00000000" w:rsidRDefault="001F1FC8">
            <w:pPr>
              <w:jc w:val="right"/>
              <w:rPr>
                <w:rFonts w:eastAsia="Times New Roman"/>
              </w:rPr>
            </w:pPr>
          </w:p>
        </w:tc>
      </w:tr>
      <w:tr w:rsidR="00000000">
        <w:trPr>
          <w:divId w:val="926693281"/>
        </w:trPr>
        <w:tc>
          <w:tcPr>
            <w:tcW w:w="0" w:type="auto"/>
            <w:gridSpan w:val="3"/>
            <w:tcBorders>
              <w:top w:val="single" w:sz="4" w:space="0" w:color="000000"/>
            </w:tcBorders>
            <w:tcMar>
              <w:top w:w="30" w:type="dxa"/>
              <w:left w:w="20" w:type="dxa"/>
              <w:bottom w:w="30" w:type="dxa"/>
              <w:right w:w="20" w:type="dxa"/>
            </w:tcMar>
            <w:hideMark/>
          </w:tcPr>
          <w:p w:rsidR="00000000" w:rsidRDefault="001F1FC8">
            <w:pPr>
              <w:rPr>
                <w:rFonts w:eastAsia="Times New Roman"/>
              </w:rPr>
            </w:pPr>
            <w:r>
              <w:rPr>
                <w:rFonts w:ascii="Arial" w:eastAsia="Times New Roman" w:hAnsi="Arial" w:cs="Arial"/>
                <w:b/>
                <w:bCs/>
                <w:color w:val="000000"/>
                <w:sz w:val="20"/>
                <w:szCs w:val="20"/>
              </w:rPr>
              <w:t>Change in plan assets</w:t>
            </w:r>
          </w:p>
        </w:tc>
        <w:tc>
          <w:tcPr>
            <w:tcW w:w="0" w:type="auto"/>
            <w:gridSpan w:val="3"/>
            <w:tcBorders>
              <w:top w:val="single" w:sz="4" w:space="0" w:color="000000"/>
            </w:tcBorders>
            <w:shd w:val="clear" w:color="auto" w:fill="D9D9D9"/>
            <w:tcMar>
              <w:top w:w="0" w:type="dxa"/>
              <w:left w:w="20" w:type="dxa"/>
              <w:bottom w:w="0" w:type="dxa"/>
              <w:right w:w="20" w:type="dxa"/>
            </w:tcMar>
            <w:vAlign w:val="center"/>
            <w:hideMark/>
          </w:tcPr>
          <w:p w:rsidR="00000000" w:rsidRDefault="001F1FC8">
            <w:pPr>
              <w:rPr>
                <w:rFonts w:eastAsia="Times New Roman"/>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1F1FC8">
            <w:pPr>
              <w:rPr>
                <w:rFonts w:eastAsia="Times New Roman"/>
                <w:sz w:val="20"/>
                <w:szCs w:val="20"/>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1F1FC8">
            <w:pPr>
              <w:rPr>
                <w:rFonts w:eastAsia="Times New Roman"/>
                <w:sz w:val="20"/>
                <w:szCs w:val="20"/>
              </w:rPr>
            </w:pPr>
          </w:p>
        </w:tc>
        <w:tc>
          <w:tcPr>
            <w:tcW w:w="0" w:type="auto"/>
            <w:gridSpan w:val="3"/>
            <w:tcBorders>
              <w:top w:val="single" w:sz="4" w:space="0" w:color="000000"/>
            </w:tcBorders>
            <w:shd w:val="clear" w:color="auto" w:fill="D9D9D9"/>
            <w:tcMar>
              <w:top w:w="0" w:type="dxa"/>
              <w:left w:w="20" w:type="dxa"/>
              <w:bottom w:w="0" w:type="dxa"/>
              <w:right w:w="20" w:type="dxa"/>
            </w:tcMar>
            <w:vAlign w:val="center"/>
            <w:hideMark/>
          </w:tcPr>
          <w:p w:rsidR="00000000" w:rsidRDefault="001F1FC8">
            <w:pPr>
              <w:rPr>
                <w:rFonts w:eastAsia="Times New Roman"/>
                <w:sz w:val="20"/>
                <w:szCs w:val="20"/>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1F1FC8">
            <w:pPr>
              <w:rPr>
                <w:rFonts w:eastAsia="Times New Roman"/>
                <w:sz w:val="20"/>
                <w:szCs w:val="20"/>
              </w:rPr>
            </w:pPr>
          </w:p>
        </w:tc>
      </w:tr>
      <w:tr w:rsidR="00000000">
        <w:trPr>
          <w:divId w:val="926693281"/>
        </w:trPr>
        <w:tc>
          <w:tcPr>
            <w:tcW w:w="0" w:type="auto"/>
            <w:gridSpan w:val="3"/>
            <w:tcMar>
              <w:top w:w="30" w:type="dxa"/>
              <w:left w:w="20" w:type="dxa"/>
              <w:bottom w:w="30" w:type="dxa"/>
              <w:right w:w="20" w:type="dxa"/>
            </w:tcMar>
            <w:hideMark/>
          </w:tcPr>
          <w:p w:rsidR="00000000" w:rsidRDefault="001F1FC8">
            <w:pPr>
              <w:rPr>
                <w:rFonts w:eastAsia="Times New Roman"/>
              </w:rPr>
            </w:pPr>
            <w:r>
              <w:rPr>
                <w:rFonts w:ascii="Arial" w:eastAsia="Times New Roman" w:hAnsi="Arial" w:cs="Arial"/>
                <w:color w:val="000000"/>
                <w:sz w:val="20"/>
                <w:szCs w:val="20"/>
              </w:rPr>
              <w:t>Fair value of plan assets at beginning of year</w:t>
            </w:r>
          </w:p>
        </w:tc>
        <w:tc>
          <w:tcPr>
            <w:tcW w:w="0" w:type="auto"/>
            <w:gridSpan w:val="2"/>
            <w:shd w:val="clear" w:color="auto" w:fill="D9D9D9"/>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b/>
                <w:bCs/>
                <w:color w:val="000000"/>
                <w:sz w:val="20"/>
                <w:szCs w:val="20"/>
              </w:rPr>
              <w:t>—</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hideMark/>
          </w:tcPr>
          <w:p w:rsidR="00000000" w:rsidRDefault="001F1FC8">
            <w:pPr>
              <w:jc w:val="right"/>
              <w:rPr>
                <w:rFonts w:eastAsia="Times New Roman"/>
              </w:rPr>
            </w:pPr>
          </w:p>
        </w:tc>
        <w:tc>
          <w:tcPr>
            <w:tcW w:w="0" w:type="auto"/>
            <w:gridSpan w:val="2"/>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color w:val="000000"/>
                <w:sz w:val="20"/>
                <w:szCs w:val="20"/>
              </w:rPr>
              <w:t>— </w:t>
            </w:r>
          </w:p>
        </w:tc>
        <w:tc>
          <w:tcPr>
            <w:tcW w:w="0" w:type="auto"/>
            <w:tcMar>
              <w:top w:w="30" w:type="dxa"/>
              <w:left w:w="0" w:type="dxa"/>
              <w:bottom w:w="30" w:type="dxa"/>
              <w:right w:w="20" w:type="dxa"/>
            </w:tcMar>
            <w:hideMark/>
          </w:tcPr>
          <w:p w:rsidR="00000000" w:rsidRDefault="001F1FC8">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1F1FC8">
            <w:pPr>
              <w:jc w:val="right"/>
              <w:rPr>
                <w:rFonts w:eastAsia="Times New Roman"/>
                <w:sz w:val="20"/>
                <w:szCs w:val="20"/>
              </w:rPr>
            </w:pPr>
          </w:p>
        </w:tc>
        <w:tc>
          <w:tcPr>
            <w:tcW w:w="0" w:type="auto"/>
            <w:gridSpan w:val="2"/>
            <w:shd w:val="clear" w:color="auto" w:fill="D9D9D9"/>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b/>
                <w:bCs/>
                <w:color w:val="000000"/>
                <w:sz w:val="20"/>
                <w:szCs w:val="20"/>
              </w:rPr>
              <w:t>188</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hideMark/>
          </w:tcPr>
          <w:p w:rsidR="00000000" w:rsidRDefault="001F1FC8">
            <w:pPr>
              <w:jc w:val="right"/>
              <w:rPr>
                <w:rFonts w:eastAsia="Times New Roman"/>
              </w:rPr>
            </w:pPr>
          </w:p>
        </w:tc>
        <w:tc>
          <w:tcPr>
            <w:tcW w:w="0" w:type="auto"/>
            <w:gridSpan w:val="2"/>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color w:val="000000"/>
                <w:sz w:val="20"/>
                <w:szCs w:val="20"/>
              </w:rPr>
              <w:t>188 </w:t>
            </w:r>
          </w:p>
        </w:tc>
        <w:tc>
          <w:tcPr>
            <w:tcW w:w="0" w:type="auto"/>
            <w:tcMar>
              <w:top w:w="30" w:type="dxa"/>
              <w:left w:w="0" w:type="dxa"/>
              <w:bottom w:w="30" w:type="dxa"/>
              <w:right w:w="20" w:type="dxa"/>
            </w:tcMar>
            <w:hideMark/>
          </w:tcPr>
          <w:p w:rsidR="00000000" w:rsidRDefault="001F1FC8">
            <w:pPr>
              <w:jc w:val="right"/>
              <w:rPr>
                <w:rFonts w:eastAsia="Times New Roman"/>
              </w:rPr>
            </w:pPr>
          </w:p>
        </w:tc>
      </w:tr>
      <w:tr w:rsidR="00000000">
        <w:trPr>
          <w:divId w:val="926693281"/>
        </w:trPr>
        <w:tc>
          <w:tcPr>
            <w:tcW w:w="0" w:type="auto"/>
            <w:gridSpan w:val="3"/>
            <w:tcMar>
              <w:top w:w="30" w:type="dxa"/>
              <w:left w:w="155" w:type="dxa"/>
              <w:bottom w:w="30" w:type="dxa"/>
              <w:right w:w="20" w:type="dxa"/>
            </w:tcMar>
            <w:hideMark/>
          </w:tcPr>
          <w:p w:rsidR="00000000" w:rsidRDefault="001F1FC8">
            <w:pPr>
              <w:rPr>
                <w:rFonts w:eastAsia="Times New Roman"/>
              </w:rPr>
            </w:pPr>
            <w:r>
              <w:rPr>
                <w:rFonts w:ascii="Arial" w:eastAsia="Times New Roman" w:hAnsi="Arial" w:cs="Arial"/>
                <w:color w:val="000000"/>
                <w:sz w:val="20"/>
                <w:szCs w:val="20"/>
              </w:rPr>
              <w:t>Actual return on plan assets</w:t>
            </w:r>
          </w:p>
        </w:tc>
        <w:tc>
          <w:tcPr>
            <w:tcW w:w="0" w:type="auto"/>
            <w:gridSpan w:val="2"/>
            <w:shd w:val="clear" w:color="auto" w:fill="D9D9D9"/>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b/>
                <w:bCs/>
                <w:color w:val="000000"/>
                <w:sz w:val="20"/>
                <w:szCs w:val="20"/>
              </w:rPr>
              <w:t>—</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hideMark/>
          </w:tcPr>
          <w:p w:rsidR="00000000" w:rsidRDefault="001F1FC8">
            <w:pPr>
              <w:jc w:val="right"/>
              <w:rPr>
                <w:rFonts w:eastAsia="Times New Roman"/>
              </w:rPr>
            </w:pPr>
          </w:p>
        </w:tc>
        <w:tc>
          <w:tcPr>
            <w:tcW w:w="0" w:type="auto"/>
            <w:gridSpan w:val="2"/>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color w:val="000000"/>
                <w:sz w:val="20"/>
                <w:szCs w:val="20"/>
              </w:rPr>
              <w:t>— </w:t>
            </w:r>
          </w:p>
        </w:tc>
        <w:tc>
          <w:tcPr>
            <w:tcW w:w="0" w:type="auto"/>
            <w:tcMar>
              <w:top w:w="30" w:type="dxa"/>
              <w:left w:w="0" w:type="dxa"/>
              <w:bottom w:w="30" w:type="dxa"/>
              <w:right w:w="20" w:type="dxa"/>
            </w:tcMar>
            <w:hideMark/>
          </w:tcPr>
          <w:p w:rsidR="00000000" w:rsidRDefault="001F1FC8">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1F1FC8">
            <w:pPr>
              <w:jc w:val="right"/>
              <w:rPr>
                <w:rFonts w:eastAsia="Times New Roman"/>
                <w:sz w:val="20"/>
                <w:szCs w:val="20"/>
              </w:rPr>
            </w:pPr>
          </w:p>
        </w:tc>
        <w:tc>
          <w:tcPr>
            <w:tcW w:w="0" w:type="auto"/>
            <w:gridSpan w:val="2"/>
            <w:shd w:val="clear" w:color="auto" w:fill="D9D9D9"/>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b/>
                <w:bCs/>
                <w:color w:val="000000"/>
                <w:sz w:val="20"/>
                <w:szCs w:val="20"/>
              </w:rPr>
              <w:t>22</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hideMark/>
          </w:tcPr>
          <w:p w:rsidR="00000000" w:rsidRDefault="001F1FC8">
            <w:pPr>
              <w:jc w:val="right"/>
              <w:rPr>
                <w:rFonts w:eastAsia="Times New Roman"/>
              </w:rPr>
            </w:pPr>
          </w:p>
        </w:tc>
        <w:tc>
          <w:tcPr>
            <w:tcW w:w="0" w:type="auto"/>
            <w:gridSpan w:val="2"/>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color w:val="000000"/>
                <w:sz w:val="20"/>
                <w:szCs w:val="20"/>
              </w:rPr>
              <w:t>14 </w:t>
            </w:r>
          </w:p>
        </w:tc>
        <w:tc>
          <w:tcPr>
            <w:tcW w:w="0" w:type="auto"/>
            <w:tcMar>
              <w:top w:w="30" w:type="dxa"/>
              <w:left w:w="0" w:type="dxa"/>
              <w:bottom w:w="30" w:type="dxa"/>
              <w:right w:w="20" w:type="dxa"/>
            </w:tcMar>
            <w:hideMark/>
          </w:tcPr>
          <w:p w:rsidR="00000000" w:rsidRDefault="001F1FC8">
            <w:pPr>
              <w:jc w:val="right"/>
              <w:rPr>
                <w:rFonts w:eastAsia="Times New Roman"/>
              </w:rPr>
            </w:pPr>
          </w:p>
        </w:tc>
      </w:tr>
      <w:tr w:rsidR="00000000">
        <w:trPr>
          <w:divId w:val="926693281"/>
        </w:trPr>
        <w:tc>
          <w:tcPr>
            <w:tcW w:w="0" w:type="auto"/>
            <w:gridSpan w:val="3"/>
            <w:tcMar>
              <w:top w:w="30" w:type="dxa"/>
              <w:left w:w="155" w:type="dxa"/>
              <w:bottom w:w="30" w:type="dxa"/>
              <w:right w:w="20" w:type="dxa"/>
            </w:tcMar>
            <w:hideMark/>
          </w:tcPr>
          <w:p w:rsidR="00000000" w:rsidRDefault="001F1FC8">
            <w:pPr>
              <w:rPr>
                <w:rFonts w:eastAsia="Times New Roman"/>
              </w:rPr>
            </w:pPr>
            <w:r>
              <w:rPr>
                <w:rFonts w:ascii="Arial" w:eastAsia="Times New Roman" w:hAnsi="Arial" w:cs="Arial"/>
                <w:color w:val="000000"/>
                <w:sz w:val="20"/>
                <w:szCs w:val="20"/>
              </w:rPr>
              <w:t>Employer contributions</w:t>
            </w:r>
          </w:p>
        </w:tc>
        <w:tc>
          <w:tcPr>
            <w:tcW w:w="0" w:type="auto"/>
            <w:gridSpan w:val="2"/>
            <w:shd w:val="clear" w:color="auto" w:fill="D9D9D9"/>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b/>
                <w:bCs/>
                <w:color w:val="000000"/>
                <w:sz w:val="20"/>
                <w:szCs w:val="20"/>
              </w:rPr>
              <w:t>9</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hideMark/>
          </w:tcPr>
          <w:p w:rsidR="00000000" w:rsidRDefault="001F1FC8">
            <w:pPr>
              <w:jc w:val="right"/>
              <w:rPr>
                <w:rFonts w:eastAsia="Times New Roman"/>
              </w:rPr>
            </w:pPr>
          </w:p>
        </w:tc>
        <w:tc>
          <w:tcPr>
            <w:tcW w:w="0" w:type="auto"/>
            <w:gridSpan w:val="2"/>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color w:val="000000"/>
                <w:sz w:val="20"/>
                <w:szCs w:val="20"/>
              </w:rPr>
              <w:t>6 </w:t>
            </w:r>
          </w:p>
        </w:tc>
        <w:tc>
          <w:tcPr>
            <w:tcW w:w="0" w:type="auto"/>
            <w:tcMar>
              <w:top w:w="30" w:type="dxa"/>
              <w:left w:w="0" w:type="dxa"/>
              <w:bottom w:w="30" w:type="dxa"/>
              <w:right w:w="20" w:type="dxa"/>
            </w:tcMar>
            <w:hideMark/>
          </w:tcPr>
          <w:p w:rsidR="00000000" w:rsidRDefault="001F1FC8">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1F1FC8">
            <w:pPr>
              <w:jc w:val="right"/>
              <w:rPr>
                <w:rFonts w:eastAsia="Times New Roman"/>
                <w:sz w:val="20"/>
                <w:szCs w:val="20"/>
              </w:rPr>
            </w:pPr>
          </w:p>
        </w:tc>
        <w:tc>
          <w:tcPr>
            <w:tcW w:w="0" w:type="auto"/>
            <w:gridSpan w:val="2"/>
            <w:shd w:val="clear" w:color="auto" w:fill="D9D9D9"/>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b/>
                <w:bCs/>
                <w:color w:val="000000"/>
                <w:sz w:val="20"/>
                <w:szCs w:val="20"/>
              </w:rPr>
              <w:t>6</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hideMark/>
          </w:tcPr>
          <w:p w:rsidR="00000000" w:rsidRDefault="001F1FC8">
            <w:pPr>
              <w:jc w:val="right"/>
              <w:rPr>
                <w:rFonts w:eastAsia="Times New Roman"/>
              </w:rPr>
            </w:pPr>
          </w:p>
        </w:tc>
        <w:tc>
          <w:tcPr>
            <w:tcW w:w="0" w:type="auto"/>
            <w:gridSpan w:val="2"/>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color w:val="000000"/>
                <w:sz w:val="20"/>
                <w:szCs w:val="20"/>
              </w:rPr>
              <w:t>12 </w:t>
            </w:r>
          </w:p>
        </w:tc>
        <w:tc>
          <w:tcPr>
            <w:tcW w:w="0" w:type="auto"/>
            <w:tcMar>
              <w:top w:w="30" w:type="dxa"/>
              <w:left w:w="0" w:type="dxa"/>
              <w:bottom w:w="30" w:type="dxa"/>
              <w:right w:w="20" w:type="dxa"/>
            </w:tcMar>
            <w:hideMark/>
          </w:tcPr>
          <w:p w:rsidR="00000000" w:rsidRDefault="001F1FC8">
            <w:pPr>
              <w:jc w:val="right"/>
              <w:rPr>
                <w:rFonts w:eastAsia="Times New Roman"/>
              </w:rPr>
            </w:pPr>
          </w:p>
        </w:tc>
      </w:tr>
      <w:tr w:rsidR="00000000">
        <w:trPr>
          <w:divId w:val="926693281"/>
        </w:trPr>
        <w:tc>
          <w:tcPr>
            <w:tcW w:w="0" w:type="auto"/>
            <w:gridSpan w:val="3"/>
            <w:tcMar>
              <w:top w:w="30" w:type="dxa"/>
              <w:left w:w="155" w:type="dxa"/>
              <w:bottom w:w="30" w:type="dxa"/>
              <w:right w:w="20" w:type="dxa"/>
            </w:tcMar>
            <w:hideMark/>
          </w:tcPr>
          <w:p w:rsidR="00000000" w:rsidRDefault="001F1FC8">
            <w:pPr>
              <w:rPr>
                <w:rFonts w:eastAsia="Times New Roman"/>
              </w:rPr>
            </w:pPr>
            <w:r>
              <w:rPr>
                <w:rFonts w:ascii="Arial" w:eastAsia="Times New Roman" w:hAnsi="Arial" w:cs="Arial"/>
                <w:color w:val="000000"/>
                <w:sz w:val="20"/>
                <w:szCs w:val="20"/>
              </w:rPr>
              <w:t>Participant contributions</w:t>
            </w:r>
          </w:p>
        </w:tc>
        <w:tc>
          <w:tcPr>
            <w:tcW w:w="0" w:type="auto"/>
            <w:gridSpan w:val="2"/>
            <w:shd w:val="clear" w:color="auto" w:fill="D9D9D9"/>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b/>
                <w:bCs/>
                <w:color w:val="000000"/>
                <w:sz w:val="20"/>
                <w:szCs w:val="20"/>
              </w:rPr>
              <w:t>—</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hideMark/>
          </w:tcPr>
          <w:p w:rsidR="00000000" w:rsidRDefault="001F1FC8">
            <w:pPr>
              <w:jc w:val="right"/>
              <w:rPr>
                <w:rFonts w:eastAsia="Times New Roman"/>
              </w:rPr>
            </w:pPr>
          </w:p>
        </w:tc>
        <w:tc>
          <w:tcPr>
            <w:tcW w:w="0" w:type="auto"/>
            <w:gridSpan w:val="2"/>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color w:val="000000"/>
                <w:sz w:val="20"/>
                <w:szCs w:val="20"/>
              </w:rPr>
              <w:t>— </w:t>
            </w:r>
          </w:p>
        </w:tc>
        <w:tc>
          <w:tcPr>
            <w:tcW w:w="0" w:type="auto"/>
            <w:tcMar>
              <w:top w:w="30" w:type="dxa"/>
              <w:left w:w="0" w:type="dxa"/>
              <w:bottom w:w="30" w:type="dxa"/>
              <w:right w:w="20" w:type="dxa"/>
            </w:tcMar>
            <w:hideMark/>
          </w:tcPr>
          <w:p w:rsidR="00000000" w:rsidRDefault="001F1FC8">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1F1FC8">
            <w:pPr>
              <w:jc w:val="right"/>
              <w:rPr>
                <w:rFonts w:eastAsia="Times New Roman"/>
                <w:sz w:val="20"/>
                <w:szCs w:val="20"/>
              </w:rPr>
            </w:pPr>
          </w:p>
        </w:tc>
        <w:tc>
          <w:tcPr>
            <w:tcW w:w="0" w:type="auto"/>
            <w:gridSpan w:val="2"/>
            <w:shd w:val="clear" w:color="auto" w:fill="D9D9D9"/>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b/>
                <w:bCs/>
                <w:color w:val="000000"/>
                <w:sz w:val="20"/>
                <w:szCs w:val="20"/>
              </w:rPr>
              <w:t>8</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hideMark/>
          </w:tcPr>
          <w:p w:rsidR="00000000" w:rsidRDefault="001F1FC8">
            <w:pPr>
              <w:jc w:val="right"/>
              <w:rPr>
                <w:rFonts w:eastAsia="Times New Roman"/>
              </w:rPr>
            </w:pPr>
          </w:p>
        </w:tc>
        <w:tc>
          <w:tcPr>
            <w:tcW w:w="0" w:type="auto"/>
            <w:gridSpan w:val="2"/>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color w:val="000000"/>
                <w:sz w:val="20"/>
                <w:szCs w:val="20"/>
              </w:rPr>
              <w:t>4 </w:t>
            </w:r>
          </w:p>
        </w:tc>
        <w:tc>
          <w:tcPr>
            <w:tcW w:w="0" w:type="auto"/>
            <w:tcMar>
              <w:top w:w="30" w:type="dxa"/>
              <w:left w:w="0" w:type="dxa"/>
              <w:bottom w:w="30" w:type="dxa"/>
              <w:right w:w="20" w:type="dxa"/>
            </w:tcMar>
            <w:hideMark/>
          </w:tcPr>
          <w:p w:rsidR="00000000" w:rsidRDefault="001F1FC8">
            <w:pPr>
              <w:jc w:val="right"/>
              <w:rPr>
                <w:rFonts w:eastAsia="Times New Roman"/>
              </w:rPr>
            </w:pPr>
          </w:p>
        </w:tc>
      </w:tr>
      <w:tr w:rsidR="00000000">
        <w:trPr>
          <w:divId w:val="926693281"/>
        </w:trPr>
        <w:tc>
          <w:tcPr>
            <w:tcW w:w="0" w:type="auto"/>
            <w:gridSpan w:val="3"/>
            <w:tcMar>
              <w:top w:w="30" w:type="dxa"/>
              <w:left w:w="155" w:type="dxa"/>
              <w:bottom w:w="30" w:type="dxa"/>
              <w:right w:w="20" w:type="dxa"/>
            </w:tcMar>
            <w:hideMark/>
          </w:tcPr>
          <w:p w:rsidR="00000000" w:rsidRDefault="001F1FC8">
            <w:pPr>
              <w:rPr>
                <w:rFonts w:eastAsia="Times New Roman"/>
              </w:rPr>
            </w:pPr>
            <w:r>
              <w:rPr>
                <w:rFonts w:ascii="Arial" w:eastAsia="Times New Roman" w:hAnsi="Arial" w:cs="Arial"/>
                <w:color w:val="000000"/>
                <w:sz w:val="20"/>
                <w:szCs w:val="20"/>
              </w:rPr>
              <w:t>Benefits paid</w:t>
            </w:r>
          </w:p>
        </w:tc>
        <w:tc>
          <w:tcPr>
            <w:tcW w:w="0" w:type="auto"/>
            <w:gridSpan w:val="2"/>
            <w:shd w:val="clear" w:color="auto" w:fill="D9D9D9"/>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b/>
                <w:bCs/>
                <w:color w:val="000000"/>
                <w:sz w:val="20"/>
                <w:szCs w:val="20"/>
              </w:rPr>
              <w:t>(9)</w:t>
            </w:r>
          </w:p>
        </w:tc>
        <w:tc>
          <w:tcPr>
            <w:tcW w:w="0" w:type="auto"/>
            <w:shd w:val="clear" w:color="auto" w:fill="D9D9D9"/>
            <w:tcMar>
              <w:top w:w="30" w:type="dxa"/>
              <w:left w:w="0" w:type="dxa"/>
              <w:bottom w:w="30" w:type="dxa"/>
              <w:right w:w="20" w:type="dxa"/>
            </w:tcMar>
            <w:hideMark/>
          </w:tcPr>
          <w:p w:rsidR="00000000" w:rsidRDefault="001F1FC8">
            <w:pPr>
              <w:jc w:val="right"/>
              <w:rPr>
                <w:rFonts w:eastAsia="Times New Roman"/>
              </w:rPr>
            </w:pPr>
          </w:p>
        </w:tc>
        <w:tc>
          <w:tcPr>
            <w:tcW w:w="0" w:type="auto"/>
            <w:gridSpan w:val="2"/>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color w:val="000000"/>
                <w:sz w:val="20"/>
                <w:szCs w:val="20"/>
              </w:rPr>
              <w:t>(6)</w:t>
            </w:r>
          </w:p>
        </w:tc>
        <w:tc>
          <w:tcPr>
            <w:tcW w:w="0" w:type="auto"/>
            <w:tcMar>
              <w:top w:w="30" w:type="dxa"/>
              <w:left w:w="0" w:type="dxa"/>
              <w:bottom w:w="30" w:type="dxa"/>
              <w:right w:w="20" w:type="dxa"/>
            </w:tcMar>
            <w:hideMark/>
          </w:tcPr>
          <w:p w:rsidR="00000000" w:rsidRDefault="001F1FC8">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1F1FC8">
            <w:pPr>
              <w:jc w:val="right"/>
              <w:rPr>
                <w:rFonts w:eastAsia="Times New Roman"/>
                <w:sz w:val="20"/>
                <w:szCs w:val="20"/>
              </w:rPr>
            </w:pPr>
          </w:p>
        </w:tc>
        <w:tc>
          <w:tcPr>
            <w:tcW w:w="0" w:type="auto"/>
            <w:gridSpan w:val="2"/>
            <w:shd w:val="clear" w:color="auto" w:fill="D9D9D9"/>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b/>
                <w:bCs/>
                <w:color w:val="000000"/>
                <w:sz w:val="20"/>
                <w:szCs w:val="20"/>
              </w:rPr>
              <w:t>(22)</w:t>
            </w:r>
          </w:p>
        </w:tc>
        <w:tc>
          <w:tcPr>
            <w:tcW w:w="0" w:type="auto"/>
            <w:shd w:val="clear" w:color="auto" w:fill="D9D9D9"/>
            <w:tcMar>
              <w:top w:w="30" w:type="dxa"/>
              <w:left w:w="0" w:type="dxa"/>
              <w:bottom w:w="30" w:type="dxa"/>
              <w:right w:w="20" w:type="dxa"/>
            </w:tcMar>
            <w:hideMark/>
          </w:tcPr>
          <w:p w:rsidR="00000000" w:rsidRDefault="001F1FC8">
            <w:pPr>
              <w:jc w:val="right"/>
              <w:rPr>
                <w:rFonts w:eastAsia="Times New Roman"/>
              </w:rPr>
            </w:pPr>
          </w:p>
        </w:tc>
        <w:tc>
          <w:tcPr>
            <w:tcW w:w="0" w:type="auto"/>
            <w:gridSpan w:val="2"/>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color w:val="000000"/>
                <w:sz w:val="20"/>
                <w:szCs w:val="20"/>
              </w:rPr>
              <w:t>(28)</w:t>
            </w:r>
          </w:p>
        </w:tc>
        <w:tc>
          <w:tcPr>
            <w:tcW w:w="0" w:type="auto"/>
            <w:tcMar>
              <w:top w:w="30" w:type="dxa"/>
              <w:left w:w="0" w:type="dxa"/>
              <w:bottom w:w="30" w:type="dxa"/>
              <w:right w:w="20" w:type="dxa"/>
            </w:tcMar>
            <w:hideMark/>
          </w:tcPr>
          <w:p w:rsidR="00000000" w:rsidRDefault="001F1FC8">
            <w:pPr>
              <w:jc w:val="right"/>
              <w:rPr>
                <w:rFonts w:eastAsia="Times New Roman"/>
              </w:rPr>
            </w:pPr>
          </w:p>
        </w:tc>
      </w:tr>
      <w:tr w:rsidR="00000000">
        <w:trPr>
          <w:divId w:val="926693281"/>
        </w:trPr>
        <w:tc>
          <w:tcPr>
            <w:tcW w:w="0" w:type="auto"/>
            <w:gridSpan w:val="3"/>
            <w:tcMar>
              <w:top w:w="30" w:type="dxa"/>
              <w:left w:w="155" w:type="dxa"/>
              <w:bottom w:w="30" w:type="dxa"/>
              <w:right w:w="20" w:type="dxa"/>
            </w:tcMar>
            <w:hideMark/>
          </w:tcPr>
          <w:p w:rsidR="00000000" w:rsidRDefault="001F1FC8">
            <w:pPr>
              <w:rPr>
                <w:rFonts w:eastAsia="Times New Roman"/>
              </w:rPr>
            </w:pPr>
            <w:r>
              <w:rPr>
                <w:rFonts w:ascii="Arial" w:eastAsia="Times New Roman" w:hAnsi="Arial" w:cs="Arial"/>
                <w:color w:val="000000"/>
                <w:sz w:val="20"/>
                <w:szCs w:val="20"/>
              </w:rPr>
              <w:t>Foreign currency exchange rate changes</w:t>
            </w:r>
          </w:p>
        </w:tc>
        <w:tc>
          <w:tcPr>
            <w:tcW w:w="0" w:type="auto"/>
            <w:gridSpan w:val="2"/>
            <w:shd w:val="clear" w:color="auto" w:fill="D9D9D9"/>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b/>
                <w:bCs/>
                <w:color w:val="000000"/>
                <w:sz w:val="20"/>
                <w:szCs w:val="20"/>
              </w:rPr>
              <w:t>—</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hideMark/>
          </w:tcPr>
          <w:p w:rsidR="00000000" w:rsidRDefault="001F1FC8">
            <w:pPr>
              <w:jc w:val="right"/>
              <w:rPr>
                <w:rFonts w:eastAsia="Times New Roman"/>
              </w:rPr>
            </w:pPr>
          </w:p>
        </w:tc>
        <w:tc>
          <w:tcPr>
            <w:tcW w:w="0" w:type="auto"/>
            <w:gridSpan w:val="2"/>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color w:val="000000"/>
                <w:sz w:val="20"/>
                <w:szCs w:val="20"/>
              </w:rPr>
              <w:t>— </w:t>
            </w:r>
          </w:p>
        </w:tc>
        <w:tc>
          <w:tcPr>
            <w:tcW w:w="0" w:type="auto"/>
            <w:tcMar>
              <w:top w:w="30" w:type="dxa"/>
              <w:left w:w="0" w:type="dxa"/>
              <w:bottom w:w="30" w:type="dxa"/>
              <w:right w:w="20" w:type="dxa"/>
            </w:tcMar>
            <w:hideMark/>
          </w:tcPr>
          <w:p w:rsidR="00000000" w:rsidRDefault="001F1FC8">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1F1FC8">
            <w:pPr>
              <w:jc w:val="right"/>
              <w:rPr>
                <w:rFonts w:eastAsia="Times New Roman"/>
                <w:sz w:val="20"/>
                <w:szCs w:val="20"/>
              </w:rPr>
            </w:pPr>
          </w:p>
        </w:tc>
        <w:tc>
          <w:tcPr>
            <w:tcW w:w="0" w:type="auto"/>
            <w:gridSpan w:val="2"/>
            <w:shd w:val="clear" w:color="auto" w:fill="D9D9D9"/>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b/>
                <w:bCs/>
                <w:color w:val="000000"/>
                <w:sz w:val="20"/>
                <w:szCs w:val="20"/>
              </w:rPr>
              <w:t>(3)</w:t>
            </w:r>
          </w:p>
        </w:tc>
        <w:tc>
          <w:tcPr>
            <w:tcW w:w="0" w:type="auto"/>
            <w:shd w:val="clear" w:color="auto" w:fill="D9D9D9"/>
            <w:tcMar>
              <w:top w:w="30" w:type="dxa"/>
              <w:left w:w="0" w:type="dxa"/>
              <w:bottom w:w="30" w:type="dxa"/>
              <w:right w:w="20" w:type="dxa"/>
            </w:tcMar>
            <w:hideMark/>
          </w:tcPr>
          <w:p w:rsidR="00000000" w:rsidRDefault="001F1FC8">
            <w:pPr>
              <w:jc w:val="right"/>
              <w:rPr>
                <w:rFonts w:eastAsia="Times New Roman"/>
              </w:rPr>
            </w:pPr>
          </w:p>
        </w:tc>
        <w:tc>
          <w:tcPr>
            <w:tcW w:w="0" w:type="auto"/>
            <w:gridSpan w:val="2"/>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color w:val="000000"/>
                <w:sz w:val="20"/>
                <w:szCs w:val="20"/>
              </w:rPr>
              <w:t>(3)</w:t>
            </w:r>
          </w:p>
        </w:tc>
        <w:tc>
          <w:tcPr>
            <w:tcW w:w="0" w:type="auto"/>
            <w:tcMar>
              <w:top w:w="30" w:type="dxa"/>
              <w:left w:w="0" w:type="dxa"/>
              <w:bottom w:w="30" w:type="dxa"/>
              <w:right w:w="20" w:type="dxa"/>
            </w:tcMar>
            <w:hideMark/>
          </w:tcPr>
          <w:p w:rsidR="00000000" w:rsidRDefault="001F1FC8">
            <w:pPr>
              <w:jc w:val="right"/>
              <w:rPr>
                <w:rFonts w:eastAsia="Times New Roman"/>
              </w:rPr>
            </w:pPr>
          </w:p>
        </w:tc>
      </w:tr>
      <w:tr w:rsidR="00000000">
        <w:trPr>
          <w:divId w:val="926693281"/>
        </w:trPr>
        <w:tc>
          <w:tcPr>
            <w:tcW w:w="0" w:type="auto"/>
            <w:gridSpan w:val="3"/>
            <w:tcMar>
              <w:top w:w="30" w:type="dxa"/>
              <w:left w:w="155" w:type="dxa"/>
              <w:bottom w:w="30" w:type="dxa"/>
              <w:right w:w="20" w:type="dxa"/>
            </w:tcMar>
            <w:hideMark/>
          </w:tcPr>
          <w:p w:rsidR="00000000" w:rsidRDefault="001F1FC8">
            <w:pPr>
              <w:rPr>
                <w:rFonts w:eastAsia="Times New Roman"/>
              </w:rPr>
            </w:pPr>
            <w:r>
              <w:rPr>
                <w:rFonts w:ascii="Arial" w:eastAsia="Times New Roman" w:hAnsi="Arial" w:cs="Arial"/>
                <w:color w:val="000000"/>
                <w:sz w:val="20"/>
                <w:szCs w:val="20"/>
              </w:rPr>
              <w:t>Other</w:t>
            </w:r>
          </w:p>
        </w:tc>
        <w:tc>
          <w:tcPr>
            <w:tcW w:w="0" w:type="auto"/>
            <w:gridSpan w:val="2"/>
            <w:shd w:val="clear" w:color="auto" w:fill="D9D9D9"/>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b/>
                <w:bCs/>
                <w:color w:val="000000"/>
                <w:sz w:val="20"/>
                <w:szCs w:val="20"/>
              </w:rPr>
              <w:t>—</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hideMark/>
          </w:tcPr>
          <w:p w:rsidR="00000000" w:rsidRDefault="001F1FC8">
            <w:pPr>
              <w:jc w:val="right"/>
              <w:rPr>
                <w:rFonts w:eastAsia="Times New Roman"/>
              </w:rPr>
            </w:pPr>
          </w:p>
        </w:tc>
        <w:tc>
          <w:tcPr>
            <w:tcW w:w="0" w:type="auto"/>
            <w:gridSpan w:val="2"/>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color w:val="000000"/>
                <w:sz w:val="20"/>
                <w:szCs w:val="20"/>
              </w:rPr>
              <w:t>— </w:t>
            </w:r>
          </w:p>
        </w:tc>
        <w:tc>
          <w:tcPr>
            <w:tcW w:w="0" w:type="auto"/>
            <w:tcMar>
              <w:top w:w="30" w:type="dxa"/>
              <w:left w:w="0" w:type="dxa"/>
              <w:bottom w:w="30" w:type="dxa"/>
              <w:right w:w="20" w:type="dxa"/>
            </w:tcMar>
            <w:hideMark/>
          </w:tcPr>
          <w:p w:rsidR="00000000" w:rsidRDefault="001F1FC8">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1F1FC8">
            <w:pPr>
              <w:jc w:val="right"/>
              <w:rPr>
                <w:rFonts w:eastAsia="Times New Roman"/>
                <w:sz w:val="20"/>
                <w:szCs w:val="20"/>
              </w:rPr>
            </w:pPr>
          </w:p>
        </w:tc>
        <w:tc>
          <w:tcPr>
            <w:tcW w:w="0" w:type="auto"/>
            <w:gridSpan w:val="2"/>
            <w:shd w:val="clear" w:color="auto" w:fill="D9D9D9"/>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b/>
                <w:bCs/>
                <w:color w:val="000000"/>
                <w:sz w:val="20"/>
                <w:szCs w:val="20"/>
              </w:rPr>
              <w:t>2</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hideMark/>
          </w:tcPr>
          <w:p w:rsidR="00000000" w:rsidRDefault="001F1FC8">
            <w:pPr>
              <w:jc w:val="right"/>
              <w:rPr>
                <w:rFonts w:eastAsia="Times New Roman"/>
              </w:rPr>
            </w:pPr>
          </w:p>
        </w:tc>
        <w:tc>
          <w:tcPr>
            <w:tcW w:w="0" w:type="auto"/>
            <w:gridSpan w:val="2"/>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color w:val="000000"/>
                <w:sz w:val="20"/>
                <w:szCs w:val="20"/>
              </w:rPr>
              <w:t>1 </w:t>
            </w:r>
          </w:p>
        </w:tc>
        <w:tc>
          <w:tcPr>
            <w:tcW w:w="0" w:type="auto"/>
            <w:tcMar>
              <w:top w:w="30" w:type="dxa"/>
              <w:left w:w="0" w:type="dxa"/>
              <w:bottom w:w="30" w:type="dxa"/>
              <w:right w:w="20" w:type="dxa"/>
            </w:tcMar>
            <w:hideMark/>
          </w:tcPr>
          <w:p w:rsidR="00000000" w:rsidRDefault="001F1FC8">
            <w:pPr>
              <w:jc w:val="right"/>
              <w:rPr>
                <w:rFonts w:eastAsia="Times New Roman"/>
              </w:rPr>
            </w:pPr>
          </w:p>
        </w:tc>
      </w:tr>
      <w:tr w:rsidR="00000000">
        <w:trPr>
          <w:divId w:val="926693281"/>
        </w:trPr>
        <w:tc>
          <w:tcPr>
            <w:tcW w:w="0" w:type="auto"/>
            <w:gridSpan w:val="3"/>
            <w:tcBorders>
              <w:top w:val="single" w:sz="4" w:space="0" w:color="000000"/>
            </w:tcBorders>
            <w:tcMar>
              <w:top w:w="30" w:type="dxa"/>
              <w:left w:w="20" w:type="dxa"/>
              <w:bottom w:w="30" w:type="dxa"/>
              <w:right w:w="20" w:type="dxa"/>
            </w:tcMar>
            <w:hideMark/>
          </w:tcPr>
          <w:p w:rsidR="00000000" w:rsidRDefault="001F1FC8">
            <w:pPr>
              <w:rPr>
                <w:rFonts w:eastAsia="Times New Roman"/>
              </w:rPr>
            </w:pPr>
            <w:r>
              <w:rPr>
                <w:rFonts w:ascii="Arial" w:eastAsia="Times New Roman" w:hAnsi="Arial" w:cs="Arial"/>
                <w:color w:val="000000"/>
                <w:sz w:val="20"/>
                <w:szCs w:val="20"/>
              </w:rPr>
              <w:t>Fair value of plan assets at end of year</w:t>
            </w:r>
          </w:p>
        </w:tc>
        <w:tc>
          <w:tcPr>
            <w:tcW w:w="0" w:type="auto"/>
            <w:gridSpan w:val="2"/>
            <w:tcBorders>
              <w:top w:val="single" w:sz="4" w:space="0" w:color="000000"/>
            </w:tcBorders>
            <w:shd w:val="clear" w:color="auto" w:fill="D9D9D9"/>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b/>
                <w:bCs/>
                <w:color w:val="000000"/>
                <w:sz w:val="20"/>
                <w:szCs w:val="20"/>
              </w:rPr>
              <w:t>—</w:t>
            </w:r>
            <w:r>
              <w:rPr>
                <w:rFonts w:ascii="Arial" w:eastAsia="Times New Roman" w:hAnsi="Arial" w:cs="Arial"/>
                <w:color w:val="000000"/>
                <w:sz w:val="20"/>
                <w:szCs w:val="20"/>
              </w:rPr>
              <w:t> </w:t>
            </w:r>
          </w:p>
        </w:tc>
        <w:tc>
          <w:tcPr>
            <w:tcW w:w="0" w:type="auto"/>
            <w:tcBorders>
              <w:top w:val="single" w:sz="4" w:space="0" w:color="000000"/>
            </w:tcBorders>
            <w:shd w:val="clear" w:color="auto" w:fill="D9D9D9"/>
            <w:tcMar>
              <w:top w:w="30" w:type="dxa"/>
              <w:left w:w="0" w:type="dxa"/>
              <w:bottom w:w="30" w:type="dxa"/>
              <w:right w:w="20" w:type="dxa"/>
            </w:tcMar>
            <w:hideMark/>
          </w:tcPr>
          <w:p w:rsidR="00000000" w:rsidRDefault="001F1FC8">
            <w:pPr>
              <w:jc w:val="right"/>
              <w:rPr>
                <w:rFonts w:eastAsia="Times New Roman"/>
              </w:rPr>
            </w:pPr>
          </w:p>
        </w:tc>
        <w:tc>
          <w:tcPr>
            <w:tcW w:w="0" w:type="auto"/>
            <w:gridSpan w:val="2"/>
            <w:tcBorders>
              <w:top w:val="single" w:sz="4" w:space="0" w:color="000000"/>
            </w:tcBorders>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color w:val="000000"/>
                <w:sz w:val="20"/>
                <w:szCs w:val="20"/>
              </w:rPr>
              <w:t>— </w:t>
            </w:r>
          </w:p>
        </w:tc>
        <w:tc>
          <w:tcPr>
            <w:tcW w:w="0" w:type="auto"/>
            <w:tcBorders>
              <w:top w:val="single" w:sz="4" w:space="0" w:color="000000"/>
            </w:tcBorders>
            <w:tcMar>
              <w:top w:w="30" w:type="dxa"/>
              <w:left w:w="0" w:type="dxa"/>
              <w:bottom w:w="30" w:type="dxa"/>
              <w:right w:w="20" w:type="dxa"/>
            </w:tcMar>
            <w:hideMark/>
          </w:tcPr>
          <w:p w:rsidR="00000000" w:rsidRDefault="001F1FC8">
            <w:pPr>
              <w:jc w:val="right"/>
              <w:rPr>
                <w:rFonts w:eastAsia="Times New Roman"/>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1F1FC8">
            <w:pPr>
              <w:jc w:val="right"/>
              <w:rPr>
                <w:rFonts w:eastAsia="Times New Roman"/>
                <w:sz w:val="20"/>
                <w:szCs w:val="20"/>
              </w:rPr>
            </w:pPr>
          </w:p>
        </w:tc>
        <w:tc>
          <w:tcPr>
            <w:tcW w:w="0" w:type="auto"/>
            <w:gridSpan w:val="2"/>
            <w:tcBorders>
              <w:top w:val="single" w:sz="4" w:space="0" w:color="000000"/>
            </w:tcBorders>
            <w:shd w:val="clear" w:color="auto" w:fill="D9D9D9"/>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b/>
                <w:bCs/>
                <w:color w:val="000000"/>
                <w:sz w:val="20"/>
                <w:szCs w:val="20"/>
              </w:rPr>
              <w:t>201</w:t>
            </w:r>
            <w:r>
              <w:rPr>
                <w:rFonts w:ascii="Arial" w:eastAsia="Times New Roman" w:hAnsi="Arial" w:cs="Arial"/>
                <w:color w:val="000000"/>
                <w:sz w:val="20"/>
                <w:szCs w:val="20"/>
              </w:rPr>
              <w:t> </w:t>
            </w:r>
          </w:p>
        </w:tc>
        <w:tc>
          <w:tcPr>
            <w:tcW w:w="0" w:type="auto"/>
            <w:tcBorders>
              <w:top w:val="single" w:sz="4" w:space="0" w:color="000000"/>
            </w:tcBorders>
            <w:shd w:val="clear" w:color="auto" w:fill="D9D9D9"/>
            <w:tcMar>
              <w:top w:w="30" w:type="dxa"/>
              <w:left w:w="0" w:type="dxa"/>
              <w:bottom w:w="30" w:type="dxa"/>
              <w:right w:w="20" w:type="dxa"/>
            </w:tcMar>
            <w:hideMark/>
          </w:tcPr>
          <w:p w:rsidR="00000000" w:rsidRDefault="001F1FC8">
            <w:pPr>
              <w:jc w:val="right"/>
              <w:rPr>
                <w:rFonts w:eastAsia="Times New Roman"/>
              </w:rPr>
            </w:pPr>
          </w:p>
        </w:tc>
        <w:tc>
          <w:tcPr>
            <w:tcW w:w="0" w:type="auto"/>
            <w:gridSpan w:val="2"/>
            <w:tcBorders>
              <w:top w:val="single" w:sz="4" w:space="0" w:color="000000"/>
            </w:tcBorders>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color w:val="000000"/>
                <w:sz w:val="20"/>
                <w:szCs w:val="20"/>
              </w:rPr>
              <w:t>188 </w:t>
            </w:r>
          </w:p>
        </w:tc>
        <w:tc>
          <w:tcPr>
            <w:tcW w:w="0" w:type="auto"/>
            <w:tcBorders>
              <w:top w:val="single" w:sz="4" w:space="0" w:color="000000"/>
            </w:tcBorders>
            <w:tcMar>
              <w:top w:w="30" w:type="dxa"/>
              <w:left w:w="0" w:type="dxa"/>
              <w:bottom w:w="30" w:type="dxa"/>
              <w:right w:w="20" w:type="dxa"/>
            </w:tcMar>
            <w:hideMark/>
          </w:tcPr>
          <w:p w:rsidR="00000000" w:rsidRDefault="001F1FC8">
            <w:pPr>
              <w:jc w:val="right"/>
              <w:rPr>
                <w:rFonts w:eastAsia="Times New Roman"/>
              </w:rPr>
            </w:pPr>
          </w:p>
        </w:tc>
      </w:tr>
      <w:tr w:rsidR="00000000">
        <w:trPr>
          <w:divId w:val="926693281"/>
        </w:trPr>
        <w:tc>
          <w:tcPr>
            <w:tcW w:w="0" w:type="auto"/>
            <w:gridSpan w:val="3"/>
            <w:tcBorders>
              <w:top w:val="single" w:sz="4" w:space="0" w:color="000000"/>
            </w:tcBorders>
            <w:tcMar>
              <w:top w:w="30" w:type="dxa"/>
              <w:left w:w="20" w:type="dxa"/>
              <w:bottom w:w="30" w:type="dxa"/>
              <w:right w:w="20" w:type="dxa"/>
            </w:tcMar>
            <w:hideMark/>
          </w:tcPr>
          <w:p w:rsidR="00000000" w:rsidRDefault="001F1FC8">
            <w:pPr>
              <w:rPr>
                <w:rFonts w:eastAsia="Times New Roman"/>
              </w:rPr>
            </w:pPr>
            <w:r>
              <w:rPr>
                <w:rFonts w:ascii="Arial" w:eastAsia="Times New Roman" w:hAnsi="Arial" w:cs="Arial"/>
                <w:color w:val="000000"/>
                <w:sz w:val="20"/>
                <w:szCs w:val="20"/>
              </w:rPr>
              <w:t>Overfunded/(underfunded) status at end of year</w:t>
            </w:r>
          </w:p>
        </w:tc>
        <w:tc>
          <w:tcPr>
            <w:tcW w:w="0" w:type="auto"/>
            <w:gridSpan w:val="2"/>
            <w:tcBorders>
              <w:top w:val="single" w:sz="4" w:space="0" w:color="000000"/>
            </w:tcBorders>
            <w:shd w:val="clear" w:color="auto" w:fill="D9D9D9"/>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b/>
                <w:bCs/>
                <w:color w:val="000000"/>
                <w:sz w:val="20"/>
                <w:szCs w:val="20"/>
              </w:rPr>
              <w:t>(274)</w:t>
            </w:r>
          </w:p>
        </w:tc>
        <w:tc>
          <w:tcPr>
            <w:tcW w:w="0" w:type="auto"/>
            <w:tcBorders>
              <w:top w:val="single" w:sz="4" w:space="0" w:color="000000"/>
            </w:tcBorders>
            <w:shd w:val="clear" w:color="auto" w:fill="D9D9D9"/>
            <w:tcMar>
              <w:top w:w="30" w:type="dxa"/>
              <w:left w:w="0" w:type="dxa"/>
              <w:bottom w:w="30" w:type="dxa"/>
              <w:right w:w="20" w:type="dxa"/>
            </w:tcMar>
            <w:hideMark/>
          </w:tcPr>
          <w:p w:rsidR="00000000" w:rsidRDefault="001F1FC8">
            <w:pPr>
              <w:jc w:val="right"/>
              <w:rPr>
                <w:rFonts w:eastAsia="Times New Roman"/>
              </w:rPr>
            </w:pPr>
          </w:p>
        </w:tc>
        <w:tc>
          <w:tcPr>
            <w:tcW w:w="0" w:type="auto"/>
            <w:gridSpan w:val="2"/>
            <w:tcBorders>
              <w:top w:val="single" w:sz="4" w:space="0" w:color="000000"/>
            </w:tcBorders>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color w:val="000000"/>
                <w:sz w:val="20"/>
                <w:szCs w:val="20"/>
              </w:rPr>
              <w:t>(321)</w:t>
            </w:r>
          </w:p>
        </w:tc>
        <w:tc>
          <w:tcPr>
            <w:tcW w:w="0" w:type="auto"/>
            <w:tcBorders>
              <w:top w:val="single" w:sz="4" w:space="0" w:color="000000"/>
            </w:tcBorders>
            <w:tcMar>
              <w:top w:w="30" w:type="dxa"/>
              <w:left w:w="0" w:type="dxa"/>
              <w:bottom w:w="30" w:type="dxa"/>
              <w:right w:w="20" w:type="dxa"/>
            </w:tcMar>
            <w:hideMark/>
          </w:tcPr>
          <w:p w:rsidR="00000000" w:rsidRDefault="001F1FC8">
            <w:pPr>
              <w:jc w:val="right"/>
              <w:rPr>
                <w:rFonts w:eastAsia="Times New Roman"/>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1F1FC8">
            <w:pPr>
              <w:jc w:val="right"/>
              <w:rPr>
                <w:rFonts w:eastAsia="Times New Roman"/>
                <w:sz w:val="20"/>
                <w:szCs w:val="20"/>
              </w:rPr>
            </w:pPr>
          </w:p>
        </w:tc>
        <w:tc>
          <w:tcPr>
            <w:tcW w:w="0" w:type="auto"/>
            <w:gridSpan w:val="2"/>
            <w:tcBorders>
              <w:top w:val="single" w:sz="4" w:space="0" w:color="000000"/>
            </w:tcBorders>
            <w:shd w:val="clear" w:color="auto" w:fill="D9D9D9"/>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b/>
                <w:bCs/>
                <w:color w:val="000000"/>
                <w:sz w:val="20"/>
                <w:szCs w:val="20"/>
              </w:rPr>
              <w:t>28</w:t>
            </w:r>
            <w:r>
              <w:rPr>
                <w:rFonts w:ascii="Arial" w:eastAsia="Times New Roman" w:hAnsi="Arial" w:cs="Arial"/>
                <w:color w:val="000000"/>
                <w:sz w:val="20"/>
                <w:szCs w:val="20"/>
              </w:rPr>
              <w:t> </w:t>
            </w:r>
          </w:p>
        </w:tc>
        <w:tc>
          <w:tcPr>
            <w:tcW w:w="0" w:type="auto"/>
            <w:tcBorders>
              <w:top w:val="single" w:sz="4" w:space="0" w:color="000000"/>
            </w:tcBorders>
            <w:shd w:val="clear" w:color="auto" w:fill="D9D9D9"/>
            <w:tcMar>
              <w:top w:w="30" w:type="dxa"/>
              <w:left w:w="0" w:type="dxa"/>
              <w:bottom w:w="30" w:type="dxa"/>
              <w:right w:w="20" w:type="dxa"/>
            </w:tcMar>
            <w:hideMark/>
          </w:tcPr>
          <w:p w:rsidR="00000000" w:rsidRDefault="001F1FC8">
            <w:pPr>
              <w:jc w:val="right"/>
              <w:rPr>
                <w:rFonts w:eastAsia="Times New Roman"/>
              </w:rPr>
            </w:pPr>
          </w:p>
        </w:tc>
        <w:tc>
          <w:tcPr>
            <w:tcW w:w="0" w:type="auto"/>
            <w:gridSpan w:val="2"/>
            <w:tcBorders>
              <w:top w:val="single" w:sz="4" w:space="0" w:color="000000"/>
            </w:tcBorders>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color w:val="000000"/>
                <w:sz w:val="20"/>
                <w:szCs w:val="20"/>
              </w:rPr>
              <w:t>(66)</w:t>
            </w:r>
          </w:p>
        </w:tc>
        <w:tc>
          <w:tcPr>
            <w:tcW w:w="0" w:type="auto"/>
            <w:tcBorders>
              <w:top w:val="single" w:sz="4" w:space="0" w:color="000000"/>
            </w:tcBorders>
            <w:tcMar>
              <w:top w:w="30" w:type="dxa"/>
              <w:left w:w="0" w:type="dxa"/>
              <w:bottom w:w="30" w:type="dxa"/>
              <w:right w:w="20" w:type="dxa"/>
            </w:tcMar>
            <w:hideMark/>
          </w:tcPr>
          <w:p w:rsidR="00000000" w:rsidRDefault="001F1FC8">
            <w:pPr>
              <w:jc w:val="right"/>
              <w:rPr>
                <w:rFonts w:eastAsia="Times New Roman"/>
              </w:rPr>
            </w:pPr>
          </w:p>
        </w:tc>
      </w:tr>
      <w:tr w:rsidR="00000000">
        <w:trPr>
          <w:divId w:val="926693281"/>
        </w:trPr>
        <w:tc>
          <w:tcPr>
            <w:tcW w:w="0" w:type="auto"/>
            <w:gridSpan w:val="3"/>
            <w:tcBorders>
              <w:top w:val="single" w:sz="8" w:space="0" w:color="000000"/>
            </w:tcBorders>
            <w:tcMar>
              <w:top w:w="30" w:type="dxa"/>
              <w:left w:w="20" w:type="dxa"/>
              <w:bottom w:w="30" w:type="dxa"/>
              <w:right w:w="20" w:type="dxa"/>
            </w:tcMar>
            <w:hideMark/>
          </w:tcPr>
          <w:p w:rsidR="00000000" w:rsidRDefault="001F1FC8">
            <w:pPr>
              <w:rPr>
                <w:rFonts w:eastAsia="Times New Roman"/>
              </w:rPr>
            </w:pPr>
            <w:r>
              <w:rPr>
                <w:rFonts w:ascii="Arial" w:eastAsia="Times New Roman" w:hAnsi="Arial" w:cs="Arial"/>
                <w:color w:val="000000"/>
                <w:sz w:val="20"/>
                <w:szCs w:val="20"/>
              </w:rPr>
              <w:t>Presented as follows:</w:t>
            </w:r>
          </w:p>
        </w:tc>
        <w:tc>
          <w:tcPr>
            <w:tcW w:w="0" w:type="auto"/>
            <w:gridSpan w:val="3"/>
            <w:tcBorders>
              <w:top w:val="single" w:sz="8" w:space="0" w:color="000000"/>
            </w:tcBorders>
            <w:shd w:val="clear" w:color="auto" w:fill="D9D9D9"/>
            <w:tcMar>
              <w:top w:w="0" w:type="dxa"/>
              <w:left w:w="20" w:type="dxa"/>
              <w:bottom w:w="0" w:type="dxa"/>
              <w:right w:w="20" w:type="dxa"/>
            </w:tcMar>
            <w:vAlign w:val="center"/>
            <w:hideMark/>
          </w:tcPr>
          <w:p w:rsidR="00000000" w:rsidRDefault="001F1FC8">
            <w:pP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1F1FC8">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1F1FC8">
            <w:pPr>
              <w:rPr>
                <w:rFonts w:eastAsia="Times New Roman"/>
                <w:sz w:val="20"/>
                <w:szCs w:val="20"/>
              </w:rPr>
            </w:pPr>
          </w:p>
        </w:tc>
        <w:tc>
          <w:tcPr>
            <w:tcW w:w="0" w:type="auto"/>
            <w:gridSpan w:val="3"/>
            <w:tcBorders>
              <w:top w:val="single" w:sz="8" w:space="0" w:color="000000"/>
            </w:tcBorders>
            <w:shd w:val="clear" w:color="auto" w:fill="D9D9D9"/>
            <w:tcMar>
              <w:top w:w="0" w:type="dxa"/>
              <w:left w:w="20" w:type="dxa"/>
              <w:bottom w:w="0" w:type="dxa"/>
              <w:right w:w="20" w:type="dxa"/>
            </w:tcMar>
            <w:vAlign w:val="center"/>
            <w:hideMark/>
          </w:tcPr>
          <w:p w:rsidR="00000000" w:rsidRDefault="001F1FC8">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1F1FC8">
            <w:pPr>
              <w:rPr>
                <w:rFonts w:eastAsia="Times New Roman"/>
                <w:sz w:val="20"/>
                <w:szCs w:val="20"/>
              </w:rPr>
            </w:pPr>
          </w:p>
        </w:tc>
      </w:tr>
      <w:tr w:rsidR="00000000">
        <w:trPr>
          <w:divId w:val="926693281"/>
        </w:trPr>
        <w:tc>
          <w:tcPr>
            <w:tcW w:w="0" w:type="auto"/>
            <w:gridSpan w:val="3"/>
            <w:tcMar>
              <w:top w:w="30" w:type="dxa"/>
              <w:left w:w="155" w:type="dxa"/>
              <w:bottom w:w="30" w:type="dxa"/>
              <w:right w:w="20" w:type="dxa"/>
            </w:tcMar>
            <w:hideMark/>
          </w:tcPr>
          <w:p w:rsidR="00000000" w:rsidRDefault="001F1FC8">
            <w:pPr>
              <w:rPr>
                <w:rFonts w:eastAsia="Times New Roman"/>
              </w:rPr>
            </w:pPr>
            <w:r>
              <w:rPr>
                <w:rFonts w:ascii="Arial" w:eastAsia="Times New Roman" w:hAnsi="Arial" w:cs="Arial"/>
                <w:color w:val="000000"/>
                <w:sz w:val="20"/>
                <w:szCs w:val="20"/>
              </w:rPr>
              <w:t>Deferred amounts and other assets</w:t>
            </w:r>
          </w:p>
        </w:tc>
        <w:tc>
          <w:tcPr>
            <w:tcW w:w="0" w:type="auto"/>
            <w:gridSpan w:val="2"/>
            <w:shd w:val="clear" w:color="auto" w:fill="D9D9D9"/>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b/>
                <w:bCs/>
                <w:color w:val="000000"/>
                <w:sz w:val="20"/>
                <w:szCs w:val="20"/>
              </w:rPr>
              <w:t>—</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hideMark/>
          </w:tcPr>
          <w:p w:rsidR="00000000" w:rsidRDefault="001F1FC8">
            <w:pPr>
              <w:jc w:val="right"/>
              <w:rPr>
                <w:rFonts w:eastAsia="Times New Roman"/>
              </w:rPr>
            </w:pPr>
          </w:p>
        </w:tc>
        <w:tc>
          <w:tcPr>
            <w:tcW w:w="0" w:type="auto"/>
            <w:gridSpan w:val="2"/>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color w:val="000000"/>
                <w:sz w:val="20"/>
                <w:szCs w:val="20"/>
              </w:rPr>
              <w:t>— </w:t>
            </w:r>
          </w:p>
        </w:tc>
        <w:tc>
          <w:tcPr>
            <w:tcW w:w="0" w:type="auto"/>
            <w:tcMar>
              <w:top w:w="30" w:type="dxa"/>
              <w:left w:w="0" w:type="dxa"/>
              <w:bottom w:w="30" w:type="dxa"/>
              <w:right w:w="20" w:type="dxa"/>
            </w:tcMar>
            <w:hideMark/>
          </w:tcPr>
          <w:p w:rsidR="00000000" w:rsidRDefault="001F1FC8">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1F1FC8">
            <w:pPr>
              <w:jc w:val="right"/>
              <w:rPr>
                <w:rFonts w:eastAsia="Times New Roman"/>
                <w:sz w:val="20"/>
                <w:szCs w:val="20"/>
              </w:rPr>
            </w:pPr>
          </w:p>
        </w:tc>
        <w:tc>
          <w:tcPr>
            <w:tcW w:w="0" w:type="auto"/>
            <w:gridSpan w:val="2"/>
            <w:shd w:val="clear" w:color="auto" w:fill="D9D9D9"/>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b/>
                <w:bCs/>
                <w:color w:val="000000"/>
                <w:sz w:val="20"/>
                <w:szCs w:val="20"/>
              </w:rPr>
              <w:t>71</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hideMark/>
          </w:tcPr>
          <w:p w:rsidR="00000000" w:rsidRDefault="001F1FC8">
            <w:pPr>
              <w:jc w:val="right"/>
              <w:rPr>
                <w:rFonts w:eastAsia="Times New Roman"/>
              </w:rPr>
            </w:pPr>
          </w:p>
        </w:tc>
        <w:tc>
          <w:tcPr>
            <w:tcW w:w="0" w:type="auto"/>
            <w:gridSpan w:val="2"/>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color w:val="000000"/>
                <w:sz w:val="20"/>
                <w:szCs w:val="20"/>
              </w:rPr>
              <w:t>19 </w:t>
            </w:r>
          </w:p>
        </w:tc>
        <w:tc>
          <w:tcPr>
            <w:tcW w:w="0" w:type="auto"/>
            <w:tcMar>
              <w:top w:w="30" w:type="dxa"/>
              <w:left w:w="0" w:type="dxa"/>
              <w:bottom w:w="30" w:type="dxa"/>
              <w:right w:w="20" w:type="dxa"/>
            </w:tcMar>
            <w:hideMark/>
          </w:tcPr>
          <w:p w:rsidR="00000000" w:rsidRDefault="001F1FC8">
            <w:pPr>
              <w:jc w:val="right"/>
              <w:rPr>
                <w:rFonts w:eastAsia="Times New Roman"/>
              </w:rPr>
            </w:pPr>
          </w:p>
        </w:tc>
      </w:tr>
      <w:tr w:rsidR="00000000">
        <w:trPr>
          <w:divId w:val="926693281"/>
        </w:trPr>
        <w:tc>
          <w:tcPr>
            <w:tcW w:w="0" w:type="auto"/>
            <w:gridSpan w:val="3"/>
            <w:tcMar>
              <w:top w:w="30" w:type="dxa"/>
              <w:left w:w="155" w:type="dxa"/>
              <w:bottom w:w="30" w:type="dxa"/>
              <w:right w:w="20" w:type="dxa"/>
            </w:tcMar>
            <w:hideMark/>
          </w:tcPr>
          <w:p w:rsidR="00000000" w:rsidRDefault="001F1FC8">
            <w:pPr>
              <w:rPr>
                <w:rFonts w:eastAsia="Times New Roman"/>
              </w:rPr>
            </w:pPr>
            <w:r>
              <w:rPr>
                <w:rFonts w:ascii="Arial" w:eastAsia="Times New Roman" w:hAnsi="Arial" w:cs="Arial"/>
                <w:color w:val="000000"/>
                <w:sz w:val="20"/>
                <w:szCs w:val="20"/>
              </w:rPr>
              <w:t>Accounts payable and other</w:t>
            </w:r>
          </w:p>
        </w:tc>
        <w:tc>
          <w:tcPr>
            <w:tcW w:w="0" w:type="auto"/>
            <w:gridSpan w:val="2"/>
            <w:shd w:val="clear" w:color="auto" w:fill="D9D9D9"/>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b/>
                <w:bCs/>
                <w:color w:val="000000"/>
                <w:sz w:val="20"/>
                <w:szCs w:val="20"/>
              </w:rPr>
              <w:t>(12)</w:t>
            </w:r>
          </w:p>
        </w:tc>
        <w:tc>
          <w:tcPr>
            <w:tcW w:w="0" w:type="auto"/>
            <w:shd w:val="clear" w:color="auto" w:fill="D9D9D9"/>
            <w:tcMar>
              <w:top w:w="30" w:type="dxa"/>
              <w:left w:w="0" w:type="dxa"/>
              <w:bottom w:w="30" w:type="dxa"/>
              <w:right w:w="20" w:type="dxa"/>
            </w:tcMar>
            <w:hideMark/>
          </w:tcPr>
          <w:p w:rsidR="00000000" w:rsidRDefault="001F1FC8">
            <w:pPr>
              <w:jc w:val="right"/>
              <w:rPr>
                <w:rFonts w:eastAsia="Times New Roman"/>
              </w:rPr>
            </w:pPr>
          </w:p>
        </w:tc>
        <w:tc>
          <w:tcPr>
            <w:tcW w:w="0" w:type="auto"/>
            <w:gridSpan w:val="2"/>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color w:val="000000"/>
                <w:sz w:val="20"/>
                <w:szCs w:val="20"/>
              </w:rPr>
              <w:t>(13)</w:t>
            </w:r>
          </w:p>
        </w:tc>
        <w:tc>
          <w:tcPr>
            <w:tcW w:w="0" w:type="auto"/>
            <w:tcMar>
              <w:top w:w="30" w:type="dxa"/>
              <w:left w:w="0" w:type="dxa"/>
              <w:bottom w:w="30" w:type="dxa"/>
              <w:right w:w="20" w:type="dxa"/>
            </w:tcMar>
            <w:hideMark/>
          </w:tcPr>
          <w:p w:rsidR="00000000" w:rsidRDefault="001F1FC8">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1F1FC8">
            <w:pPr>
              <w:jc w:val="right"/>
              <w:rPr>
                <w:rFonts w:eastAsia="Times New Roman"/>
                <w:sz w:val="20"/>
                <w:szCs w:val="20"/>
              </w:rPr>
            </w:pPr>
          </w:p>
        </w:tc>
        <w:tc>
          <w:tcPr>
            <w:tcW w:w="0" w:type="auto"/>
            <w:gridSpan w:val="2"/>
            <w:shd w:val="clear" w:color="auto" w:fill="D9D9D9"/>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b/>
                <w:bCs/>
                <w:color w:val="000000"/>
                <w:sz w:val="20"/>
                <w:szCs w:val="20"/>
              </w:rPr>
              <w:t>—</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hideMark/>
          </w:tcPr>
          <w:p w:rsidR="00000000" w:rsidRDefault="001F1FC8">
            <w:pPr>
              <w:jc w:val="right"/>
              <w:rPr>
                <w:rFonts w:eastAsia="Times New Roman"/>
              </w:rPr>
            </w:pPr>
          </w:p>
        </w:tc>
        <w:tc>
          <w:tcPr>
            <w:tcW w:w="0" w:type="auto"/>
            <w:gridSpan w:val="2"/>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color w:val="000000"/>
                <w:sz w:val="20"/>
                <w:szCs w:val="20"/>
              </w:rPr>
              <w:t>(6)</w:t>
            </w:r>
          </w:p>
        </w:tc>
        <w:tc>
          <w:tcPr>
            <w:tcW w:w="0" w:type="auto"/>
            <w:tcMar>
              <w:top w:w="30" w:type="dxa"/>
              <w:left w:w="0" w:type="dxa"/>
              <w:bottom w:w="30" w:type="dxa"/>
              <w:right w:w="20" w:type="dxa"/>
            </w:tcMar>
            <w:hideMark/>
          </w:tcPr>
          <w:p w:rsidR="00000000" w:rsidRDefault="001F1FC8">
            <w:pPr>
              <w:jc w:val="right"/>
              <w:rPr>
                <w:rFonts w:eastAsia="Times New Roman"/>
              </w:rPr>
            </w:pPr>
          </w:p>
        </w:tc>
      </w:tr>
      <w:tr w:rsidR="00000000">
        <w:trPr>
          <w:divId w:val="926693281"/>
        </w:trPr>
        <w:tc>
          <w:tcPr>
            <w:tcW w:w="0" w:type="auto"/>
            <w:gridSpan w:val="3"/>
            <w:tcMar>
              <w:top w:w="30" w:type="dxa"/>
              <w:left w:w="155" w:type="dxa"/>
              <w:bottom w:w="30" w:type="dxa"/>
              <w:right w:w="20" w:type="dxa"/>
            </w:tcMar>
            <w:hideMark/>
          </w:tcPr>
          <w:p w:rsidR="00000000" w:rsidRDefault="001F1FC8">
            <w:pPr>
              <w:rPr>
                <w:rFonts w:eastAsia="Times New Roman"/>
              </w:rPr>
            </w:pPr>
            <w:r>
              <w:rPr>
                <w:rFonts w:ascii="Arial" w:eastAsia="Times New Roman" w:hAnsi="Arial" w:cs="Arial"/>
                <w:color w:val="000000"/>
                <w:sz w:val="20"/>
                <w:szCs w:val="20"/>
              </w:rPr>
              <w:t xml:space="preserve">Other long-term liabilities </w:t>
            </w:r>
          </w:p>
        </w:tc>
        <w:tc>
          <w:tcPr>
            <w:tcW w:w="0" w:type="auto"/>
            <w:gridSpan w:val="2"/>
            <w:shd w:val="clear" w:color="auto" w:fill="D9D9D9"/>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b/>
                <w:bCs/>
                <w:color w:val="000000"/>
                <w:sz w:val="20"/>
                <w:szCs w:val="20"/>
              </w:rPr>
              <w:t>(262)</w:t>
            </w:r>
          </w:p>
        </w:tc>
        <w:tc>
          <w:tcPr>
            <w:tcW w:w="0" w:type="auto"/>
            <w:shd w:val="clear" w:color="auto" w:fill="D9D9D9"/>
            <w:tcMar>
              <w:top w:w="30" w:type="dxa"/>
              <w:left w:w="0" w:type="dxa"/>
              <w:bottom w:w="30" w:type="dxa"/>
              <w:right w:w="20" w:type="dxa"/>
            </w:tcMar>
            <w:hideMark/>
          </w:tcPr>
          <w:p w:rsidR="00000000" w:rsidRDefault="001F1FC8">
            <w:pPr>
              <w:jc w:val="right"/>
              <w:rPr>
                <w:rFonts w:eastAsia="Times New Roman"/>
              </w:rPr>
            </w:pPr>
          </w:p>
        </w:tc>
        <w:tc>
          <w:tcPr>
            <w:tcW w:w="0" w:type="auto"/>
            <w:gridSpan w:val="2"/>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color w:val="000000"/>
                <w:sz w:val="20"/>
                <w:szCs w:val="20"/>
              </w:rPr>
              <w:t>(308)</w:t>
            </w:r>
          </w:p>
        </w:tc>
        <w:tc>
          <w:tcPr>
            <w:tcW w:w="0" w:type="auto"/>
            <w:tcMar>
              <w:top w:w="30" w:type="dxa"/>
              <w:left w:w="0" w:type="dxa"/>
              <w:bottom w:w="30" w:type="dxa"/>
              <w:right w:w="20" w:type="dxa"/>
            </w:tcMar>
            <w:hideMark/>
          </w:tcPr>
          <w:p w:rsidR="00000000" w:rsidRDefault="001F1FC8">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1F1FC8">
            <w:pPr>
              <w:jc w:val="right"/>
              <w:rPr>
                <w:rFonts w:eastAsia="Times New Roman"/>
                <w:sz w:val="20"/>
                <w:szCs w:val="20"/>
              </w:rPr>
            </w:pPr>
          </w:p>
        </w:tc>
        <w:tc>
          <w:tcPr>
            <w:tcW w:w="0" w:type="auto"/>
            <w:gridSpan w:val="2"/>
            <w:shd w:val="clear" w:color="auto" w:fill="D9D9D9"/>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b/>
                <w:bCs/>
                <w:color w:val="000000"/>
                <w:sz w:val="20"/>
                <w:szCs w:val="20"/>
              </w:rPr>
              <w:t>(43)</w:t>
            </w:r>
          </w:p>
        </w:tc>
        <w:tc>
          <w:tcPr>
            <w:tcW w:w="0" w:type="auto"/>
            <w:shd w:val="clear" w:color="auto" w:fill="D9D9D9"/>
            <w:tcMar>
              <w:top w:w="30" w:type="dxa"/>
              <w:left w:w="0" w:type="dxa"/>
              <w:bottom w:w="30" w:type="dxa"/>
              <w:right w:w="20" w:type="dxa"/>
            </w:tcMar>
            <w:hideMark/>
          </w:tcPr>
          <w:p w:rsidR="00000000" w:rsidRDefault="001F1FC8">
            <w:pPr>
              <w:jc w:val="right"/>
              <w:rPr>
                <w:rFonts w:eastAsia="Times New Roman"/>
              </w:rPr>
            </w:pPr>
          </w:p>
        </w:tc>
        <w:tc>
          <w:tcPr>
            <w:tcW w:w="0" w:type="auto"/>
            <w:gridSpan w:val="2"/>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color w:val="000000"/>
                <w:sz w:val="20"/>
                <w:szCs w:val="20"/>
              </w:rPr>
              <w:t>(79)</w:t>
            </w:r>
          </w:p>
        </w:tc>
        <w:tc>
          <w:tcPr>
            <w:tcW w:w="0" w:type="auto"/>
            <w:tcMar>
              <w:top w:w="30" w:type="dxa"/>
              <w:left w:w="0" w:type="dxa"/>
              <w:bottom w:w="30" w:type="dxa"/>
              <w:right w:w="20" w:type="dxa"/>
            </w:tcMar>
            <w:hideMark/>
          </w:tcPr>
          <w:p w:rsidR="00000000" w:rsidRDefault="001F1FC8">
            <w:pPr>
              <w:jc w:val="right"/>
              <w:rPr>
                <w:rFonts w:eastAsia="Times New Roman"/>
              </w:rPr>
            </w:pPr>
          </w:p>
        </w:tc>
      </w:tr>
      <w:tr w:rsidR="00000000">
        <w:trPr>
          <w:divId w:val="926693281"/>
        </w:trPr>
        <w:tc>
          <w:tcPr>
            <w:tcW w:w="0" w:type="auto"/>
            <w:gridSpan w:val="3"/>
            <w:tcBorders>
              <w:top w:val="single" w:sz="4" w:space="0" w:color="000000"/>
              <w:bottom w:val="single" w:sz="8" w:space="0" w:color="000000"/>
            </w:tcBorders>
            <w:tcMar>
              <w:top w:w="30" w:type="dxa"/>
              <w:left w:w="20" w:type="dxa"/>
              <w:bottom w:w="30" w:type="dxa"/>
              <w:right w:w="20" w:type="dxa"/>
            </w:tcMar>
            <w:hideMark/>
          </w:tcPr>
          <w:p w:rsidR="00000000" w:rsidRDefault="001F1FC8">
            <w:pPr>
              <w:rPr>
                <w:rFonts w:eastAsia="Times New Roman"/>
              </w:rPr>
            </w:pPr>
            <w:r>
              <w:rPr>
                <w:rFonts w:ascii="Arial" w:eastAsia="Times New Roman" w:hAnsi="Arial" w:cs="Arial"/>
                <w:color w:val="000000"/>
                <w:sz w:val="20"/>
                <w:szCs w:val="20"/>
              </w:rPr>
              <w:t> </w:t>
            </w:r>
          </w:p>
        </w:tc>
        <w:tc>
          <w:tcPr>
            <w:tcW w:w="0" w:type="auto"/>
            <w:gridSpan w:val="2"/>
            <w:tcBorders>
              <w:top w:val="single" w:sz="4" w:space="0" w:color="000000"/>
              <w:bottom w:val="single" w:sz="8" w:space="0" w:color="000000"/>
            </w:tcBorders>
            <w:shd w:val="clear" w:color="auto" w:fill="D9D9D9"/>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b/>
                <w:bCs/>
                <w:color w:val="000000"/>
                <w:sz w:val="20"/>
                <w:szCs w:val="20"/>
              </w:rPr>
              <w:t>(274)</w:t>
            </w:r>
          </w:p>
        </w:tc>
        <w:tc>
          <w:tcPr>
            <w:tcW w:w="0" w:type="auto"/>
            <w:tcBorders>
              <w:top w:val="single" w:sz="4" w:space="0" w:color="000000"/>
              <w:bottom w:val="single" w:sz="8" w:space="0" w:color="000000"/>
            </w:tcBorders>
            <w:shd w:val="clear" w:color="auto" w:fill="D9D9D9"/>
            <w:tcMar>
              <w:top w:w="30" w:type="dxa"/>
              <w:left w:w="0" w:type="dxa"/>
              <w:bottom w:w="30" w:type="dxa"/>
              <w:right w:w="20" w:type="dxa"/>
            </w:tcMar>
            <w:hideMark/>
          </w:tcPr>
          <w:p w:rsidR="00000000" w:rsidRDefault="001F1FC8">
            <w:pPr>
              <w:jc w:val="right"/>
              <w:rPr>
                <w:rFonts w:eastAsia="Times New Roman"/>
              </w:rPr>
            </w:pPr>
          </w:p>
        </w:tc>
        <w:tc>
          <w:tcPr>
            <w:tcW w:w="0" w:type="auto"/>
            <w:gridSpan w:val="2"/>
            <w:tcBorders>
              <w:top w:val="single" w:sz="4" w:space="0" w:color="000000"/>
              <w:bottom w:val="single" w:sz="8" w:space="0" w:color="000000"/>
            </w:tcBorders>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color w:val="000000"/>
                <w:sz w:val="20"/>
                <w:szCs w:val="20"/>
              </w:rPr>
              <w:t>(321)</w:t>
            </w:r>
          </w:p>
        </w:tc>
        <w:tc>
          <w:tcPr>
            <w:tcW w:w="0" w:type="auto"/>
            <w:tcBorders>
              <w:top w:val="single" w:sz="4" w:space="0" w:color="000000"/>
              <w:bottom w:val="single" w:sz="8" w:space="0" w:color="000000"/>
            </w:tcBorders>
            <w:tcMar>
              <w:top w:w="30" w:type="dxa"/>
              <w:left w:w="0" w:type="dxa"/>
              <w:bottom w:w="30" w:type="dxa"/>
              <w:right w:w="20" w:type="dxa"/>
            </w:tcMar>
            <w:hideMark/>
          </w:tcPr>
          <w:p w:rsidR="00000000" w:rsidRDefault="001F1FC8">
            <w:pPr>
              <w:jc w:val="right"/>
              <w:rPr>
                <w:rFonts w:eastAsia="Times New Roman"/>
              </w:rPr>
            </w:pPr>
          </w:p>
        </w:tc>
        <w:tc>
          <w:tcPr>
            <w:tcW w:w="0" w:type="auto"/>
            <w:gridSpan w:val="3"/>
            <w:tcBorders>
              <w:top w:val="single" w:sz="4" w:space="0" w:color="000000"/>
              <w:bottom w:val="single" w:sz="8" w:space="0" w:color="000000"/>
            </w:tcBorders>
            <w:tcMar>
              <w:top w:w="0" w:type="dxa"/>
              <w:left w:w="20" w:type="dxa"/>
              <w:bottom w:w="0" w:type="dxa"/>
              <w:right w:w="20" w:type="dxa"/>
            </w:tcMar>
            <w:vAlign w:val="center"/>
            <w:hideMark/>
          </w:tcPr>
          <w:p w:rsidR="00000000" w:rsidRDefault="001F1FC8">
            <w:pPr>
              <w:jc w:val="right"/>
              <w:rPr>
                <w:rFonts w:eastAsia="Times New Roman"/>
                <w:sz w:val="20"/>
                <w:szCs w:val="20"/>
              </w:rPr>
            </w:pPr>
          </w:p>
        </w:tc>
        <w:tc>
          <w:tcPr>
            <w:tcW w:w="0" w:type="auto"/>
            <w:gridSpan w:val="2"/>
            <w:tcBorders>
              <w:top w:val="single" w:sz="4" w:space="0" w:color="000000"/>
              <w:bottom w:val="single" w:sz="8" w:space="0" w:color="000000"/>
            </w:tcBorders>
            <w:shd w:val="clear" w:color="auto" w:fill="D9D9D9"/>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b/>
                <w:bCs/>
                <w:color w:val="000000"/>
                <w:sz w:val="20"/>
                <w:szCs w:val="20"/>
              </w:rPr>
              <w:t>28</w:t>
            </w:r>
            <w:r>
              <w:rPr>
                <w:rFonts w:ascii="Arial" w:eastAsia="Times New Roman" w:hAnsi="Arial" w:cs="Arial"/>
                <w:color w:val="000000"/>
                <w:sz w:val="20"/>
                <w:szCs w:val="20"/>
              </w:rPr>
              <w:t> </w:t>
            </w:r>
          </w:p>
        </w:tc>
        <w:tc>
          <w:tcPr>
            <w:tcW w:w="0" w:type="auto"/>
            <w:tcBorders>
              <w:top w:val="single" w:sz="4" w:space="0" w:color="000000"/>
              <w:bottom w:val="single" w:sz="8" w:space="0" w:color="000000"/>
            </w:tcBorders>
            <w:shd w:val="clear" w:color="auto" w:fill="D9D9D9"/>
            <w:tcMar>
              <w:top w:w="30" w:type="dxa"/>
              <w:left w:w="0" w:type="dxa"/>
              <w:bottom w:w="30" w:type="dxa"/>
              <w:right w:w="20" w:type="dxa"/>
            </w:tcMar>
            <w:hideMark/>
          </w:tcPr>
          <w:p w:rsidR="00000000" w:rsidRDefault="001F1FC8">
            <w:pPr>
              <w:jc w:val="right"/>
              <w:rPr>
                <w:rFonts w:eastAsia="Times New Roman"/>
              </w:rPr>
            </w:pPr>
          </w:p>
        </w:tc>
        <w:tc>
          <w:tcPr>
            <w:tcW w:w="0" w:type="auto"/>
            <w:gridSpan w:val="2"/>
            <w:tcBorders>
              <w:top w:val="single" w:sz="4" w:space="0" w:color="000000"/>
              <w:bottom w:val="single" w:sz="8" w:space="0" w:color="000000"/>
            </w:tcBorders>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color w:val="000000"/>
                <w:sz w:val="20"/>
                <w:szCs w:val="20"/>
              </w:rPr>
              <w:t>(66)</w:t>
            </w:r>
          </w:p>
        </w:tc>
        <w:tc>
          <w:tcPr>
            <w:tcW w:w="0" w:type="auto"/>
            <w:tcBorders>
              <w:top w:val="single" w:sz="4" w:space="0" w:color="000000"/>
              <w:bottom w:val="single" w:sz="8" w:space="0" w:color="000000"/>
            </w:tcBorders>
            <w:tcMar>
              <w:top w:w="30" w:type="dxa"/>
              <w:left w:w="0" w:type="dxa"/>
              <w:bottom w:w="30" w:type="dxa"/>
              <w:right w:w="20" w:type="dxa"/>
            </w:tcMar>
            <w:hideMark/>
          </w:tcPr>
          <w:p w:rsidR="00000000" w:rsidRDefault="001F1FC8">
            <w:pPr>
              <w:jc w:val="right"/>
              <w:rPr>
                <w:rFonts w:eastAsia="Times New Roman"/>
              </w:rPr>
            </w:pPr>
          </w:p>
        </w:tc>
      </w:tr>
    </w:tbl>
    <w:p w:rsidR="00000000" w:rsidRDefault="001F1FC8">
      <w:pPr>
        <w:divId w:val="694815802"/>
        <w:rPr>
          <w:rFonts w:eastAsia="Times New Roman"/>
        </w:rPr>
      </w:pPr>
      <w:r>
        <w:rPr>
          <w:rFonts w:ascii="Arial" w:eastAsia="Times New Roman" w:hAnsi="Arial" w:cs="Arial"/>
          <w:i/>
          <w:iCs/>
          <w:color w:val="000000"/>
          <w:sz w:val="16"/>
          <w:szCs w:val="16"/>
        </w:rPr>
        <w:t>1 Primarily due to increase in the discount rate used to measure the benefit obligations (</w:t>
      </w:r>
      <w:r>
        <w:rPr>
          <w:rFonts w:ascii="Arial" w:eastAsia="Times New Roman" w:hAnsi="Arial" w:cs="Arial"/>
          <w:i/>
          <w:iCs/>
          <w:color w:val="000000"/>
          <w:sz w:val="16"/>
          <w:szCs w:val="16"/>
          <w:shd w:val="clear" w:color="auto" w:fill="FFFFFF"/>
        </w:rPr>
        <w:t>2020</w:t>
      </w:r>
      <w:r>
        <w:rPr>
          <w:rFonts w:ascii="Arial" w:eastAsia="Times New Roman" w:hAnsi="Arial" w:cs="Arial"/>
          <w:i/>
          <w:iCs/>
          <w:color w:val="000000"/>
          <w:sz w:val="16"/>
          <w:szCs w:val="16"/>
        </w:rPr>
        <w:t xml:space="preserve"> - primarily due to decrease in the discount rate used to measure the benefit obligations)</w:t>
      </w:r>
      <w:r>
        <w:rPr>
          <w:rFonts w:ascii="Arial" w:eastAsia="Times New Roman" w:hAnsi="Arial" w:cs="Arial"/>
          <w:i/>
          <w:iCs/>
          <w:color w:val="000000"/>
          <w:sz w:val="16"/>
          <w:szCs w:val="16"/>
          <w:shd w:val="clear" w:color="auto" w:fill="FFFFFF"/>
        </w:rPr>
        <w:t xml:space="preserve">. </w:t>
      </w:r>
    </w:p>
    <w:p w:rsidR="00000000" w:rsidRDefault="001F1FC8">
      <w:pPr>
        <w:divId w:val="484857990"/>
        <w:rPr>
          <w:rFonts w:eastAsia="Times New Roman"/>
        </w:rPr>
      </w:pPr>
    </w:p>
    <w:p w:rsidR="00000000" w:rsidRDefault="001F1FC8">
      <w:pPr>
        <w:jc w:val="center"/>
        <w:divId w:val="1056706130"/>
        <w:rPr>
          <w:rFonts w:eastAsia="Times New Roman"/>
        </w:rPr>
      </w:pPr>
      <w:r>
        <w:rPr>
          <w:rFonts w:ascii="Arial" w:eastAsia="Times New Roman" w:hAnsi="Arial" w:cs="Arial"/>
          <w:color w:val="000000"/>
          <w:sz w:val="20"/>
          <w:szCs w:val="20"/>
        </w:rPr>
        <w:t>168</w:t>
      </w:r>
    </w:p>
    <w:p w:rsidR="00000000" w:rsidRDefault="001F1FC8">
      <w:pPr>
        <w:rPr>
          <w:rFonts w:eastAsia="Times New Roman"/>
        </w:rPr>
      </w:pPr>
      <w:r>
        <w:rPr>
          <w:rFonts w:eastAsia="Times New Roman"/>
        </w:rPr>
        <w:pict>
          <v:rect id="_x0000_i1198" style="width:0;height:1.5pt" o:hralign="center" o:hrstd="t" o:hr="t" fillcolor="#a0a0a0" stroked="f"/>
        </w:pict>
      </w:r>
    </w:p>
    <w:p w:rsidR="00000000" w:rsidRDefault="001F1FC8">
      <w:pPr>
        <w:jc w:val="center"/>
        <w:divId w:val="749471127"/>
        <w:rPr>
          <w:rFonts w:eastAsia="Times New Roman"/>
        </w:rPr>
      </w:pPr>
    </w:p>
    <w:p w:rsidR="00000000" w:rsidRDefault="001F1FC8">
      <w:pPr>
        <w:divId w:val="92481805"/>
        <w:rPr>
          <w:rFonts w:eastAsia="Times New Roman"/>
        </w:rPr>
      </w:pPr>
      <w:r>
        <w:rPr>
          <w:rFonts w:ascii="Arial" w:eastAsia="Times New Roman" w:hAnsi="Arial" w:cs="Arial"/>
          <w:color w:val="000000"/>
          <w:sz w:val="20"/>
          <w:szCs w:val="20"/>
        </w:rPr>
        <w:t>Certain of our OPEB plan</w:t>
      </w:r>
      <w:r>
        <w:rPr>
          <w:rFonts w:ascii="Arial" w:eastAsia="Times New Roman" w:hAnsi="Arial" w:cs="Arial"/>
          <w:color w:val="000000"/>
          <w:sz w:val="20"/>
          <w:szCs w:val="20"/>
        </w:rPr>
        <w:t>s have accumulated benefit obligations in excess of the fair value of plan assets. For these plans, the accumulated benefit obligation and fair value of plan assets were as follows:</w:t>
      </w:r>
    </w:p>
    <w:tbl>
      <w:tblPr>
        <w:tblW w:w="5000" w:type="pct"/>
        <w:jc w:val="center"/>
        <w:tblCellMar>
          <w:top w:w="15" w:type="dxa"/>
          <w:left w:w="15" w:type="dxa"/>
          <w:bottom w:w="15" w:type="dxa"/>
          <w:right w:w="15" w:type="dxa"/>
        </w:tblCellMar>
        <w:tblLook w:val="04A0" w:firstRow="1" w:lastRow="0" w:firstColumn="1" w:lastColumn="0" w:noHBand="0" w:noVBand="1"/>
      </w:tblPr>
      <w:tblGrid>
        <w:gridCol w:w="65"/>
        <w:gridCol w:w="4459"/>
        <w:gridCol w:w="37"/>
        <w:gridCol w:w="65"/>
        <w:gridCol w:w="808"/>
        <w:gridCol w:w="37"/>
        <w:gridCol w:w="65"/>
        <w:gridCol w:w="808"/>
        <w:gridCol w:w="36"/>
        <w:gridCol w:w="36"/>
        <w:gridCol w:w="36"/>
        <w:gridCol w:w="36"/>
        <w:gridCol w:w="61"/>
        <w:gridCol w:w="809"/>
        <w:gridCol w:w="36"/>
        <w:gridCol w:w="66"/>
        <w:gridCol w:w="810"/>
        <w:gridCol w:w="36"/>
      </w:tblGrid>
      <w:tr w:rsidR="00000000">
        <w:trPr>
          <w:divId w:val="128983584"/>
          <w:jc w:val="center"/>
        </w:trPr>
        <w:tc>
          <w:tcPr>
            <w:tcW w:w="50" w:type="pct"/>
            <w:vAlign w:val="center"/>
            <w:hideMark/>
          </w:tcPr>
          <w:p w:rsidR="00000000" w:rsidRDefault="001F1FC8">
            <w:pPr>
              <w:rPr>
                <w:rFonts w:eastAsia="Times New Roman"/>
              </w:rPr>
            </w:pPr>
          </w:p>
        </w:tc>
        <w:tc>
          <w:tcPr>
            <w:tcW w:w="2693"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c>
          <w:tcPr>
            <w:tcW w:w="50" w:type="pct"/>
            <w:vAlign w:val="center"/>
            <w:hideMark/>
          </w:tcPr>
          <w:p w:rsidR="00000000" w:rsidRDefault="001F1FC8">
            <w:pPr>
              <w:rPr>
                <w:rFonts w:eastAsia="Times New Roman"/>
                <w:sz w:val="20"/>
                <w:szCs w:val="20"/>
              </w:rPr>
            </w:pPr>
          </w:p>
        </w:tc>
        <w:tc>
          <w:tcPr>
            <w:tcW w:w="497"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c>
          <w:tcPr>
            <w:tcW w:w="50" w:type="pct"/>
            <w:vAlign w:val="center"/>
            <w:hideMark/>
          </w:tcPr>
          <w:p w:rsidR="00000000" w:rsidRDefault="001F1FC8">
            <w:pPr>
              <w:rPr>
                <w:rFonts w:eastAsia="Times New Roman"/>
                <w:sz w:val="20"/>
                <w:szCs w:val="20"/>
              </w:rPr>
            </w:pPr>
          </w:p>
        </w:tc>
        <w:tc>
          <w:tcPr>
            <w:tcW w:w="497"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c>
          <w:tcPr>
            <w:tcW w:w="30"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c>
          <w:tcPr>
            <w:tcW w:w="50" w:type="pct"/>
            <w:vAlign w:val="center"/>
            <w:hideMark/>
          </w:tcPr>
          <w:p w:rsidR="00000000" w:rsidRDefault="001F1FC8">
            <w:pPr>
              <w:rPr>
                <w:rFonts w:eastAsia="Times New Roman"/>
                <w:sz w:val="20"/>
                <w:szCs w:val="20"/>
              </w:rPr>
            </w:pPr>
          </w:p>
        </w:tc>
        <w:tc>
          <w:tcPr>
            <w:tcW w:w="497"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c>
          <w:tcPr>
            <w:tcW w:w="50" w:type="pct"/>
            <w:vAlign w:val="center"/>
            <w:hideMark/>
          </w:tcPr>
          <w:p w:rsidR="00000000" w:rsidRDefault="001F1FC8">
            <w:pPr>
              <w:rPr>
                <w:rFonts w:eastAsia="Times New Roman"/>
                <w:sz w:val="20"/>
                <w:szCs w:val="20"/>
              </w:rPr>
            </w:pPr>
          </w:p>
        </w:tc>
        <w:tc>
          <w:tcPr>
            <w:tcW w:w="498"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r>
      <w:tr w:rsidR="00000000">
        <w:trPr>
          <w:divId w:val="128983584"/>
          <w:jc w:val="center"/>
        </w:trPr>
        <w:tc>
          <w:tcPr>
            <w:tcW w:w="0" w:type="auto"/>
            <w:gridSpan w:val="3"/>
            <w:tcMar>
              <w:top w:w="30" w:type="dxa"/>
              <w:left w:w="20" w:type="dxa"/>
              <w:bottom w:w="30" w:type="dxa"/>
              <w:right w:w="20" w:type="dxa"/>
            </w:tcMar>
            <w:hideMark/>
          </w:tcPr>
          <w:p w:rsidR="00000000" w:rsidRDefault="001F1FC8">
            <w:pPr>
              <w:rPr>
                <w:rFonts w:eastAsia="Times New Roman"/>
              </w:rPr>
            </w:pPr>
            <w:r>
              <w:rPr>
                <w:rFonts w:ascii="Arial" w:eastAsia="Times New Roman" w:hAnsi="Arial" w:cs="Arial"/>
                <w:color w:val="000000"/>
                <w:sz w:val="2"/>
                <w:szCs w:val="2"/>
              </w:rPr>
              <w:t> </w:t>
            </w:r>
          </w:p>
        </w:tc>
        <w:tc>
          <w:tcPr>
            <w:tcW w:w="0" w:type="auto"/>
            <w:gridSpan w:val="6"/>
            <w:tcMar>
              <w:top w:w="30" w:type="dxa"/>
              <w:left w:w="20" w:type="dxa"/>
              <w:bottom w:w="30" w:type="dxa"/>
              <w:right w:w="20" w:type="dxa"/>
            </w:tcMar>
            <w:vAlign w:val="bottom"/>
            <w:hideMark/>
          </w:tcPr>
          <w:p w:rsidR="00000000" w:rsidRDefault="001F1FC8">
            <w:pPr>
              <w:jc w:val="center"/>
              <w:rPr>
                <w:rFonts w:eastAsia="Times New Roman"/>
              </w:rPr>
            </w:pPr>
            <w:r>
              <w:rPr>
                <w:rFonts w:ascii="Arial" w:eastAsia="Times New Roman" w:hAnsi="Arial" w:cs="Arial"/>
                <w:color w:val="000000"/>
                <w:sz w:val="20"/>
                <w:szCs w:val="20"/>
              </w:rPr>
              <w:t>Canada</w:t>
            </w:r>
          </w:p>
        </w:tc>
        <w:tc>
          <w:tcPr>
            <w:tcW w:w="0" w:type="auto"/>
            <w:gridSpan w:val="3"/>
            <w:tcMar>
              <w:top w:w="0" w:type="dxa"/>
              <w:left w:w="20" w:type="dxa"/>
              <w:bottom w:w="0" w:type="dxa"/>
              <w:right w:w="20" w:type="dxa"/>
            </w:tcMar>
            <w:vAlign w:val="center"/>
            <w:hideMark/>
          </w:tcPr>
          <w:p w:rsidR="00000000" w:rsidRDefault="001F1FC8">
            <w:pPr>
              <w:jc w:val="center"/>
              <w:rPr>
                <w:rFonts w:eastAsia="Times New Roman"/>
              </w:rPr>
            </w:pPr>
          </w:p>
        </w:tc>
        <w:tc>
          <w:tcPr>
            <w:tcW w:w="0" w:type="auto"/>
            <w:gridSpan w:val="6"/>
            <w:tcMar>
              <w:top w:w="30" w:type="dxa"/>
              <w:left w:w="20" w:type="dxa"/>
              <w:bottom w:w="30" w:type="dxa"/>
              <w:right w:w="20" w:type="dxa"/>
            </w:tcMar>
            <w:vAlign w:val="bottom"/>
            <w:hideMark/>
          </w:tcPr>
          <w:p w:rsidR="00000000" w:rsidRDefault="001F1FC8">
            <w:pPr>
              <w:jc w:val="center"/>
              <w:rPr>
                <w:rFonts w:eastAsia="Times New Roman"/>
              </w:rPr>
            </w:pPr>
            <w:r>
              <w:rPr>
                <w:rFonts w:ascii="Arial" w:eastAsia="Times New Roman" w:hAnsi="Arial" w:cs="Arial"/>
                <w:color w:val="000000"/>
                <w:sz w:val="20"/>
                <w:szCs w:val="20"/>
              </w:rPr>
              <w:t>US</w:t>
            </w:r>
          </w:p>
        </w:tc>
      </w:tr>
      <w:tr w:rsidR="00000000">
        <w:trPr>
          <w:divId w:val="128983584"/>
          <w:jc w:val="center"/>
        </w:trPr>
        <w:tc>
          <w:tcPr>
            <w:tcW w:w="0" w:type="auto"/>
            <w:gridSpan w:val="3"/>
            <w:tcMar>
              <w:top w:w="30" w:type="dxa"/>
              <w:left w:w="20" w:type="dxa"/>
              <w:bottom w:w="30" w:type="dxa"/>
              <w:right w:w="20" w:type="dxa"/>
            </w:tcMar>
            <w:hideMark/>
          </w:tcPr>
          <w:p w:rsidR="00000000" w:rsidRDefault="001F1FC8">
            <w:pPr>
              <w:rPr>
                <w:rFonts w:eastAsia="Times New Roman"/>
              </w:rPr>
            </w:pPr>
            <w:r>
              <w:rPr>
                <w:rFonts w:ascii="Arial" w:eastAsia="Times New Roman" w:hAnsi="Arial" w:cs="Arial"/>
                <w:color w:val="000000"/>
                <w:sz w:val="20"/>
                <w:szCs w:val="20"/>
              </w:rPr>
              <w:t>December 31,</w:t>
            </w:r>
          </w:p>
        </w:tc>
        <w:tc>
          <w:tcPr>
            <w:tcW w:w="0" w:type="auto"/>
            <w:gridSpan w:val="3"/>
            <w:tcBorders>
              <w:top w:val="single" w:sz="4" w:space="0" w:color="000000"/>
            </w:tcBorders>
            <w:tcMar>
              <w:top w:w="30" w:type="dxa"/>
              <w:left w:w="20" w:type="dxa"/>
              <w:bottom w:w="30" w:type="dxa"/>
              <w:right w:w="20" w:type="dxa"/>
            </w:tcMar>
            <w:hideMark/>
          </w:tcPr>
          <w:p w:rsidR="00000000" w:rsidRDefault="001F1FC8">
            <w:pPr>
              <w:jc w:val="right"/>
              <w:rPr>
                <w:rFonts w:eastAsia="Times New Roman"/>
              </w:rPr>
            </w:pPr>
            <w:r>
              <w:rPr>
                <w:rFonts w:ascii="Arial" w:eastAsia="Times New Roman" w:hAnsi="Arial" w:cs="Arial"/>
                <w:b/>
                <w:bCs/>
                <w:color w:val="000000"/>
                <w:sz w:val="20"/>
                <w:szCs w:val="20"/>
              </w:rPr>
              <w:t>2021</w:t>
            </w:r>
          </w:p>
        </w:tc>
        <w:tc>
          <w:tcPr>
            <w:tcW w:w="0" w:type="auto"/>
            <w:gridSpan w:val="3"/>
            <w:tcBorders>
              <w:top w:val="single" w:sz="4" w:space="0" w:color="000000"/>
            </w:tcBorders>
            <w:tcMar>
              <w:top w:w="30" w:type="dxa"/>
              <w:left w:w="20" w:type="dxa"/>
              <w:bottom w:w="30" w:type="dxa"/>
              <w:right w:w="20" w:type="dxa"/>
            </w:tcMar>
            <w:hideMark/>
          </w:tcPr>
          <w:p w:rsidR="00000000" w:rsidRDefault="001F1FC8">
            <w:pPr>
              <w:jc w:val="right"/>
              <w:rPr>
                <w:rFonts w:eastAsia="Times New Roman"/>
              </w:rPr>
            </w:pPr>
            <w:r>
              <w:rPr>
                <w:rFonts w:ascii="Arial" w:eastAsia="Times New Roman" w:hAnsi="Arial" w:cs="Arial"/>
                <w:color w:val="000000"/>
                <w:sz w:val="20"/>
                <w:szCs w:val="20"/>
              </w:rPr>
              <w:t>2020</w:t>
            </w:r>
          </w:p>
        </w:tc>
        <w:tc>
          <w:tcPr>
            <w:tcW w:w="0" w:type="auto"/>
            <w:gridSpan w:val="3"/>
            <w:tcMar>
              <w:top w:w="0" w:type="dxa"/>
              <w:left w:w="20" w:type="dxa"/>
              <w:bottom w:w="0" w:type="dxa"/>
              <w:right w:w="20" w:type="dxa"/>
            </w:tcMar>
            <w:vAlign w:val="center"/>
            <w:hideMark/>
          </w:tcPr>
          <w:p w:rsidR="00000000" w:rsidRDefault="001F1FC8">
            <w:pPr>
              <w:jc w:val="right"/>
              <w:rPr>
                <w:rFonts w:eastAsia="Times New Roman"/>
              </w:rPr>
            </w:pPr>
          </w:p>
        </w:tc>
        <w:tc>
          <w:tcPr>
            <w:tcW w:w="0" w:type="auto"/>
            <w:gridSpan w:val="3"/>
            <w:tcBorders>
              <w:top w:val="single" w:sz="4" w:space="0" w:color="000000"/>
            </w:tcBorders>
            <w:tcMar>
              <w:top w:w="30" w:type="dxa"/>
              <w:left w:w="20" w:type="dxa"/>
              <w:bottom w:w="30" w:type="dxa"/>
              <w:right w:w="20" w:type="dxa"/>
            </w:tcMar>
            <w:hideMark/>
          </w:tcPr>
          <w:p w:rsidR="00000000" w:rsidRDefault="001F1FC8">
            <w:pPr>
              <w:jc w:val="right"/>
              <w:rPr>
                <w:rFonts w:eastAsia="Times New Roman"/>
              </w:rPr>
            </w:pPr>
            <w:r>
              <w:rPr>
                <w:rFonts w:ascii="Arial" w:eastAsia="Times New Roman" w:hAnsi="Arial" w:cs="Arial"/>
                <w:b/>
                <w:bCs/>
                <w:color w:val="000000"/>
                <w:sz w:val="20"/>
                <w:szCs w:val="20"/>
              </w:rPr>
              <w:t>2021</w:t>
            </w:r>
          </w:p>
        </w:tc>
        <w:tc>
          <w:tcPr>
            <w:tcW w:w="0" w:type="auto"/>
            <w:gridSpan w:val="3"/>
            <w:tcBorders>
              <w:top w:val="single" w:sz="4" w:space="0" w:color="000000"/>
            </w:tcBorders>
            <w:tcMar>
              <w:top w:w="30" w:type="dxa"/>
              <w:left w:w="20" w:type="dxa"/>
              <w:bottom w:w="30" w:type="dxa"/>
              <w:right w:w="20" w:type="dxa"/>
            </w:tcMar>
            <w:hideMark/>
          </w:tcPr>
          <w:p w:rsidR="00000000" w:rsidRDefault="001F1FC8">
            <w:pPr>
              <w:jc w:val="right"/>
              <w:rPr>
                <w:rFonts w:eastAsia="Times New Roman"/>
              </w:rPr>
            </w:pPr>
            <w:r>
              <w:rPr>
                <w:rFonts w:ascii="Arial" w:eastAsia="Times New Roman" w:hAnsi="Arial" w:cs="Arial"/>
                <w:color w:val="000000"/>
                <w:sz w:val="20"/>
                <w:szCs w:val="20"/>
              </w:rPr>
              <w:t>2020</w:t>
            </w:r>
          </w:p>
        </w:tc>
      </w:tr>
      <w:tr w:rsidR="00000000">
        <w:trPr>
          <w:divId w:val="128983584"/>
          <w:jc w:val="center"/>
        </w:trPr>
        <w:tc>
          <w:tcPr>
            <w:tcW w:w="0" w:type="auto"/>
            <w:gridSpan w:val="3"/>
            <w:tcBorders>
              <w:top w:val="single" w:sz="4" w:space="0" w:color="000000"/>
            </w:tcBorders>
            <w:tcMar>
              <w:top w:w="30" w:type="dxa"/>
              <w:left w:w="20" w:type="dxa"/>
              <w:bottom w:w="30" w:type="dxa"/>
              <w:right w:w="20" w:type="dxa"/>
            </w:tcMar>
            <w:hideMark/>
          </w:tcPr>
          <w:p w:rsidR="00000000" w:rsidRDefault="001F1FC8">
            <w:pPr>
              <w:rPr>
                <w:rFonts w:eastAsia="Times New Roman"/>
              </w:rPr>
            </w:pPr>
            <w:r>
              <w:rPr>
                <w:rFonts w:ascii="Arial" w:eastAsia="Times New Roman" w:hAnsi="Arial" w:cs="Arial"/>
                <w:i/>
                <w:iCs/>
                <w:color w:val="000000"/>
                <w:sz w:val="16"/>
                <w:szCs w:val="16"/>
              </w:rPr>
              <w:t>(millions of Canadian dollars)</w:t>
            </w:r>
          </w:p>
        </w:tc>
        <w:tc>
          <w:tcPr>
            <w:tcW w:w="0" w:type="auto"/>
            <w:gridSpan w:val="3"/>
            <w:tcBorders>
              <w:top w:val="single" w:sz="4" w:space="0" w:color="000000"/>
            </w:tcBorders>
            <w:shd w:val="clear" w:color="auto" w:fill="D9D9D9"/>
            <w:tcMar>
              <w:top w:w="0" w:type="dxa"/>
              <w:left w:w="20" w:type="dxa"/>
              <w:bottom w:w="0" w:type="dxa"/>
              <w:right w:w="20" w:type="dxa"/>
            </w:tcMar>
            <w:vAlign w:val="center"/>
            <w:hideMark/>
          </w:tcPr>
          <w:p w:rsidR="00000000" w:rsidRDefault="001F1FC8">
            <w:pPr>
              <w:rPr>
                <w:rFonts w:eastAsia="Times New Roman"/>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1F1FC8">
            <w:pPr>
              <w:rPr>
                <w:rFonts w:eastAsia="Times New Roman"/>
                <w:sz w:val="20"/>
                <w:szCs w:val="20"/>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1F1FC8">
            <w:pPr>
              <w:rPr>
                <w:rFonts w:eastAsia="Times New Roman"/>
                <w:sz w:val="20"/>
                <w:szCs w:val="20"/>
              </w:rPr>
            </w:pPr>
          </w:p>
        </w:tc>
        <w:tc>
          <w:tcPr>
            <w:tcW w:w="0" w:type="auto"/>
            <w:gridSpan w:val="3"/>
            <w:tcBorders>
              <w:top w:val="single" w:sz="4" w:space="0" w:color="000000"/>
            </w:tcBorders>
            <w:shd w:val="clear" w:color="auto" w:fill="D9D9D9"/>
            <w:tcMar>
              <w:top w:w="0" w:type="dxa"/>
              <w:left w:w="20" w:type="dxa"/>
              <w:bottom w:w="0" w:type="dxa"/>
              <w:right w:w="20" w:type="dxa"/>
            </w:tcMar>
            <w:vAlign w:val="center"/>
            <w:hideMark/>
          </w:tcPr>
          <w:p w:rsidR="00000000" w:rsidRDefault="001F1FC8">
            <w:pPr>
              <w:rPr>
                <w:rFonts w:eastAsia="Times New Roman"/>
                <w:sz w:val="20"/>
                <w:szCs w:val="20"/>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1F1FC8">
            <w:pPr>
              <w:rPr>
                <w:rFonts w:eastAsia="Times New Roman"/>
                <w:sz w:val="20"/>
                <w:szCs w:val="20"/>
              </w:rPr>
            </w:pPr>
          </w:p>
        </w:tc>
      </w:tr>
      <w:tr w:rsidR="00000000">
        <w:trPr>
          <w:divId w:val="128983584"/>
          <w:jc w:val="center"/>
        </w:trPr>
        <w:tc>
          <w:tcPr>
            <w:tcW w:w="0" w:type="auto"/>
            <w:gridSpan w:val="3"/>
            <w:tcMar>
              <w:top w:w="30" w:type="dxa"/>
              <w:left w:w="20" w:type="dxa"/>
              <w:bottom w:w="30" w:type="dxa"/>
              <w:right w:w="20" w:type="dxa"/>
            </w:tcMar>
            <w:hideMark/>
          </w:tcPr>
          <w:p w:rsidR="00000000" w:rsidRDefault="001F1FC8">
            <w:pPr>
              <w:rPr>
                <w:rFonts w:eastAsia="Times New Roman"/>
              </w:rPr>
            </w:pPr>
            <w:r>
              <w:rPr>
                <w:rFonts w:ascii="Arial" w:eastAsia="Times New Roman" w:hAnsi="Arial" w:cs="Arial"/>
                <w:color w:val="000000"/>
                <w:sz w:val="20"/>
                <w:szCs w:val="20"/>
              </w:rPr>
              <w:t>Accumulated benefit obligation</w:t>
            </w:r>
          </w:p>
        </w:tc>
        <w:tc>
          <w:tcPr>
            <w:tcW w:w="0" w:type="auto"/>
            <w:gridSpan w:val="2"/>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20"/>
                <w:szCs w:val="20"/>
              </w:rPr>
              <w:t>274</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321 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1F1FC8">
            <w:pPr>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20"/>
                <w:szCs w:val="20"/>
              </w:rPr>
              <w:t>94</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191 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r>
      <w:tr w:rsidR="00000000">
        <w:trPr>
          <w:divId w:val="128983584"/>
          <w:jc w:val="center"/>
        </w:trPr>
        <w:tc>
          <w:tcPr>
            <w:tcW w:w="0" w:type="auto"/>
            <w:gridSpan w:val="3"/>
            <w:tcBorders>
              <w:bottom w:val="single" w:sz="8" w:space="0" w:color="000000"/>
            </w:tcBorders>
            <w:tcMar>
              <w:top w:w="30" w:type="dxa"/>
              <w:left w:w="20" w:type="dxa"/>
              <w:bottom w:w="30" w:type="dxa"/>
              <w:right w:w="20" w:type="dxa"/>
            </w:tcMar>
            <w:hideMark/>
          </w:tcPr>
          <w:p w:rsidR="00000000" w:rsidRDefault="001F1FC8">
            <w:pPr>
              <w:rPr>
                <w:rFonts w:eastAsia="Times New Roman"/>
              </w:rPr>
            </w:pPr>
            <w:r>
              <w:rPr>
                <w:rFonts w:ascii="Arial" w:eastAsia="Times New Roman" w:hAnsi="Arial" w:cs="Arial"/>
                <w:color w:val="000000"/>
                <w:sz w:val="20"/>
                <w:szCs w:val="20"/>
              </w:rPr>
              <w:t>Fair value of plan assets</w:t>
            </w:r>
          </w:p>
        </w:tc>
        <w:tc>
          <w:tcPr>
            <w:tcW w:w="0" w:type="auto"/>
            <w:gridSpan w:val="2"/>
            <w:tcBorders>
              <w:bottom w:val="single" w:sz="8" w:space="0" w:color="000000"/>
            </w:tcBorders>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20"/>
                <w:szCs w:val="20"/>
              </w:rPr>
              <w:t>—</w:t>
            </w:r>
            <w:r>
              <w:rPr>
                <w:rFonts w:ascii="Arial" w:eastAsia="Times New Roman" w:hAnsi="Arial" w:cs="Arial"/>
                <w:color w:val="000000"/>
                <w:sz w:val="20"/>
                <w:szCs w:val="20"/>
              </w:rPr>
              <w:t> </w:t>
            </w:r>
          </w:p>
        </w:tc>
        <w:tc>
          <w:tcPr>
            <w:tcW w:w="0" w:type="auto"/>
            <w:tcBorders>
              <w:bottom w:val="single" w:sz="8" w:space="0" w:color="000000"/>
            </w:tcBorders>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Borders>
              <w:bottom w:val="single" w:sz="8" w:space="0" w:color="000000"/>
            </w:tcBorders>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 </w:t>
            </w:r>
          </w:p>
        </w:tc>
        <w:tc>
          <w:tcPr>
            <w:tcW w:w="0" w:type="auto"/>
            <w:tcBorders>
              <w:bottom w:val="single" w:sz="8" w:space="0" w:color="000000"/>
            </w:tcBorders>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3"/>
            <w:tcBorders>
              <w:bottom w:val="single" w:sz="8" w:space="0" w:color="000000"/>
            </w:tcBorders>
            <w:tcMar>
              <w:top w:w="0" w:type="dxa"/>
              <w:left w:w="20" w:type="dxa"/>
              <w:bottom w:w="0" w:type="dxa"/>
              <w:right w:w="20" w:type="dxa"/>
            </w:tcMar>
            <w:vAlign w:val="center"/>
            <w:hideMark/>
          </w:tcPr>
          <w:p w:rsidR="00000000" w:rsidRDefault="001F1FC8">
            <w:pPr>
              <w:jc w:val="right"/>
              <w:rPr>
                <w:rFonts w:eastAsia="Times New Roman"/>
                <w:sz w:val="20"/>
                <w:szCs w:val="20"/>
              </w:rPr>
            </w:pPr>
          </w:p>
        </w:tc>
        <w:tc>
          <w:tcPr>
            <w:tcW w:w="0" w:type="auto"/>
            <w:gridSpan w:val="2"/>
            <w:tcBorders>
              <w:bottom w:val="single" w:sz="8" w:space="0" w:color="000000"/>
            </w:tcBorders>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20"/>
                <w:szCs w:val="20"/>
              </w:rPr>
              <w:t>51</w:t>
            </w:r>
            <w:r>
              <w:rPr>
                <w:rFonts w:ascii="Arial" w:eastAsia="Times New Roman" w:hAnsi="Arial" w:cs="Arial"/>
                <w:color w:val="000000"/>
                <w:sz w:val="20"/>
                <w:szCs w:val="20"/>
              </w:rPr>
              <w:t> </w:t>
            </w:r>
          </w:p>
        </w:tc>
        <w:tc>
          <w:tcPr>
            <w:tcW w:w="0" w:type="auto"/>
            <w:tcBorders>
              <w:bottom w:val="single" w:sz="8" w:space="0" w:color="000000"/>
            </w:tcBorders>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Borders>
              <w:bottom w:val="single" w:sz="8" w:space="0" w:color="000000"/>
            </w:tcBorders>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106 </w:t>
            </w:r>
          </w:p>
        </w:tc>
        <w:tc>
          <w:tcPr>
            <w:tcW w:w="0" w:type="auto"/>
            <w:tcBorders>
              <w:bottom w:val="single" w:sz="8" w:space="0" w:color="000000"/>
            </w:tcBorders>
            <w:tcMar>
              <w:top w:w="30" w:type="dxa"/>
              <w:left w:w="0" w:type="dxa"/>
              <w:bottom w:w="30" w:type="dxa"/>
              <w:right w:w="20" w:type="dxa"/>
            </w:tcMar>
            <w:vAlign w:val="bottom"/>
            <w:hideMark/>
          </w:tcPr>
          <w:p w:rsidR="00000000" w:rsidRDefault="001F1FC8">
            <w:pPr>
              <w:jc w:val="right"/>
              <w:rPr>
                <w:rFonts w:eastAsia="Times New Roman"/>
              </w:rPr>
            </w:pPr>
          </w:p>
        </w:tc>
      </w:tr>
    </w:tbl>
    <w:p w:rsidR="00000000" w:rsidRDefault="001F1FC8">
      <w:pPr>
        <w:divId w:val="752240371"/>
        <w:rPr>
          <w:rFonts w:eastAsia="Times New Roman"/>
        </w:rPr>
      </w:pPr>
    </w:p>
    <w:p w:rsidR="00000000" w:rsidRDefault="001F1FC8">
      <w:pPr>
        <w:divId w:val="3827681"/>
        <w:rPr>
          <w:rFonts w:eastAsia="Times New Roman"/>
        </w:rPr>
      </w:pPr>
      <w:r>
        <w:rPr>
          <w:rFonts w:ascii="Arial" w:eastAsia="Times New Roman" w:hAnsi="Arial" w:cs="Arial"/>
          <w:b/>
          <w:bCs/>
          <w:color w:val="000000"/>
          <w:sz w:val="20"/>
          <w:szCs w:val="20"/>
        </w:rPr>
        <w:t>Amount Rec</w:t>
      </w:r>
      <w:r>
        <w:rPr>
          <w:rFonts w:ascii="Arial" w:eastAsia="Times New Roman" w:hAnsi="Arial" w:cs="Arial"/>
          <w:b/>
          <w:bCs/>
          <w:color w:val="000000"/>
          <w:sz w:val="20"/>
          <w:szCs w:val="20"/>
        </w:rPr>
        <w:t>ognized in Accumulated Other Comprehensive Income</w:t>
      </w:r>
    </w:p>
    <w:p w:rsidR="00000000" w:rsidRDefault="001F1FC8">
      <w:pPr>
        <w:divId w:val="1440442803"/>
        <w:rPr>
          <w:rFonts w:eastAsia="Times New Roman"/>
        </w:rPr>
      </w:pPr>
      <w:r>
        <w:rPr>
          <w:rFonts w:ascii="Arial" w:eastAsia="Times New Roman" w:hAnsi="Arial" w:cs="Arial"/>
          <w:color w:val="000000"/>
          <w:sz w:val="20"/>
          <w:szCs w:val="20"/>
        </w:rPr>
        <w:t>The amount of pre-tax AOCI relating to our OPEB plans are as follows:</w:t>
      </w:r>
    </w:p>
    <w:tbl>
      <w:tblPr>
        <w:tblW w:w="5000" w:type="pct"/>
        <w:tblCellMar>
          <w:top w:w="15" w:type="dxa"/>
          <w:left w:w="15" w:type="dxa"/>
          <w:bottom w:w="15" w:type="dxa"/>
          <w:right w:w="15" w:type="dxa"/>
        </w:tblCellMar>
        <w:tblLook w:val="04A0" w:firstRow="1" w:lastRow="0" w:firstColumn="1" w:lastColumn="0" w:noHBand="0" w:noVBand="1"/>
      </w:tblPr>
      <w:tblGrid>
        <w:gridCol w:w="65"/>
        <w:gridCol w:w="4459"/>
        <w:gridCol w:w="37"/>
        <w:gridCol w:w="65"/>
        <w:gridCol w:w="808"/>
        <w:gridCol w:w="37"/>
        <w:gridCol w:w="65"/>
        <w:gridCol w:w="808"/>
        <w:gridCol w:w="36"/>
        <w:gridCol w:w="36"/>
        <w:gridCol w:w="36"/>
        <w:gridCol w:w="36"/>
        <w:gridCol w:w="61"/>
        <w:gridCol w:w="809"/>
        <w:gridCol w:w="36"/>
        <w:gridCol w:w="66"/>
        <w:gridCol w:w="810"/>
        <w:gridCol w:w="36"/>
      </w:tblGrid>
      <w:tr w:rsidR="00000000">
        <w:trPr>
          <w:divId w:val="493187732"/>
        </w:trPr>
        <w:tc>
          <w:tcPr>
            <w:tcW w:w="50" w:type="pct"/>
            <w:vAlign w:val="center"/>
            <w:hideMark/>
          </w:tcPr>
          <w:p w:rsidR="00000000" w:rsidRDefault="001F1FC8">
            <w:pPr>
              <w:rPr>
                <w:rFonts w:eastAsia="Times New Roman"/>
              </w:rPr>
            </w:pPr>
          </w:p>
        </w:tc>
        <w:tc>
          <w:tcPr>
            <w:tcW w:w="2693"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c>
          <w:tcPr>
            <w:tcW w:w="50" w:type="pct"/>
            <w:vAlign w:val="center"/>
            <w:hideMark/>
          </w:tcPr>
          <w:p w:rsidR="00000000" w:rsidRDefault="001F1FC8">
            <w:pPr>
              <w:rPr>
                <w:rFonts w:eastAsia="Times New Roman"/>
                <w:sz w:val="20"/>
                <w:szCs w:val="20"/>
              </w:rPr>
            </w:pPr>
          </w:p>
        </w:tc>
        <w:tc>
          <w:tcPr>
            <w:tcW w:w="497"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c>
          <w:tcPr>
            <w:tcW w:w="50" w:type="pct"/>
            <w:vAlign w:val="center"/>
            <w:hideMark/>
          </w:tcPr>
          <w:p w:rsidR="00000000" w:rsidRDefault="001F1FC8">
            <w:pPr>
              <w:rPr>
                <w:rFonts w:eastAsia="Times New Roman"/>
                <w:sz w:val="20"/>
                <w:szCs w:val="20"/>
              </w:rPr>
            </w:pPr>
          </w:p>
        </w:tc>
        <w:tc>
          <w:tcPr>
            <w:tcW w:w="497"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c>
          <w:tcPr>
            <w:tcW w:w="30"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c>
          <w:tcPr>
            <w:tcW w:w="50" w:type="pct"/>
            <w:vAlign w:val="center"/>
            <w:hideMark/>
          </w:tcPr>
          <w:p w:rsidR="00000000" w:rsidRDefault="001F1FC8">
            <w:pPr>
              <w:rPr>
                <w:rFonts w:eastAsia="Times New Roman"/>
                <w:sz w:val="20"/>
                <w:szCs w:val="20"/>
              </w:rPr>
            </w:pPr>
          </w:p>
        </w:tc>
        <w:tc>
          <w:tcPr>
            <w:tcW w:w="497"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c>
          <w:tcPr>
            <w:tcW w:w="50" w:type="pct"/>
            <w:vAlign w:val="center"/>
            <w:hideMark/>
          </w:tcPr>
          <w:p w:rsidR="00000000" w:rsidRDefault="001F1FC8">
            <w:pPr>
              <w:rPr>
                <w:rFonts w:eastAsia="Times New Roman"/>
                <w:sz w:val="20"/>
                <w:szCs w:val="20"/>
              </w:rPr>
            </w:pPr>
          </w:p>
        </w:tc>
        <w:tc>
          <w:tcPr>
            <w:tcW w:w="498"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r>
      <w:tr w:rsidR="00000000">
        <w:trPr>
          <w:divId w:val="493187732"/>
        </w:trPr>
        <w:tc>
          <w:tcPr>
            <w:tcW w:w="0" w:type="auto"/>
            <w:gridSpan w:val="3"/>
            <w:tcMar>
              <w:top w:w="30" w:type="dxa"/>
              <w:left w:w="20" w:type="dxa"/>
              <w:bottom w:w="30" w:type="dxa"/>
              <w:right w:w="20" w:type="dxa"/>
            </w:tcMar>
            <w:vAlign w:val="bottom"/>
            <w:hideMark/>
          </w:tcPr>
          <w:p w:rsidR="00000000" w:rsidRDefault="001F1FC8">
            <w:pPr>
              <w:rPr>
                <w:rFonts w:eastAsia="Times New Roman"/>
              </w:rPr>
            </w:pPr>
            <w:r>
              <w:rPr>
                <w:rFonts w:ascii="Arial" w:eastAsia="Times New Roman" w:hAnsi="Arial" w:cs="Arial"/>
                <w:color w:val="000000"/>
                <w:sz w:val="2"/>
                <w:szCs w:val="2"/>
              </w:rPr>
              <w:t> </w:t>
            </w:r>
          </w:p>
        </w:tc>
        <w:tc>
          <w:tcPr>
            <w:tcW w:w="0" w:type="auto"/>
            <w:gridSpan w:val="6"/>
            <w:tcMar>
              <w:top w:w="30" w:type="dxa"/>
              <w:left w:w="20" w:type="dxa"/>
              <w:bottom w:w="30" w:type="dxa"/>
              <w:right w:w="20" w:type="dxa"/>
            </w:tcMar>
            <w:vAlign w:val="bottom"/>
            <w:hideMark/>
          </w:tcPr>
          <w:p w:rsidR="00000000" w:rsidRDefault="001F1FC8">
            <w:pPr>
              <w:jc w:val="center"/>
              <w:rPr>
                <w:rFonts w:eastAsia="Times New Roman"/>
              </w:rPr>
            </w:pPr>
            <w:r>
              <w:rPr>
                <w:rFonts w:ascii="Arial" w:eastAsia="Times New Roman" w:hAnsi="Arial" w:cs="Arial"/>
                <w:color w:val="000000"/>
                <w:sz w:val="20"/>
                <w:szCs w:val="20"/>
              </w:rPr>
              <w:t>Canada</w:t>
            </w:r>
          </w:p>
        </w:tc>
        <w:tc>
          <w:tcPr>
            <w:tcW w:w="0" w:type="auto"/>
            <w:gridSpan w:val="3"/>
            <w:tcMar>
              <w:top w:w="0" w:type="dxa"/>
              <w:left w:w="20" w:type="dxa"/>
              <w:bottom w:w="0" w:type="dxa"/>
              <w:right w:w="20" w:type="dxa"/>
            </w:tcMar>
            <w:vAlign w:val="center"/>
            <w:hideMark/>
          </w:tcPr>
          <w:p w:rsidR="00000000" w:rsidRDefault="001F1FC8">
            <w:pPr>
              <w:jc w:val="center"/>
              <w:rPr>
                <w:rFonts w:eastAsia="Times New Roman"/>
              </w:rPr>
            </w:pPr>
          </w:p>
        </w:tc>
        <w:tc>
          <w:tcPr>
            <w:tcW w:w="0" w:type="auto"/>
            <w:gridSpan w:val="6"/>
            <w:tcMar>
              <w:top w:w="30" w:type="dxa"/>
              <w:left w:w="20" w:type="dxa"/>
              <w:bottom w:w="30" w:type="dxa"/>
              <w:right w:w="20" w:type="dxa"/>
            </w:tcMar>
            <w:vAlign w:val="bottom"/>
            <w:hideMark/>
          </w:tcPr>
          <w:p w:rsidR="00000000" w:rsidRDefault="001F1FC8">
            <w:pPr>
              <w:jc w:val="center"/>
              <w:rPr>
                <w:rFonts w:eastAsia="Times New Roman"/>
              </w:rPr>
            </w:pPr>
            <w:r>
              <w:rPr>
                <w:rFonts w:ascii="Arial" w:eastAsia="Times New Roman" w:hAnsi="Arial" w:cs="Arial"/>
                <w:color w:val="000000"/>
                <w:sz w:val="20"/>
                <w:szCs w:val="20"/>
              </w:rPr>
              <w:t>US</w:t>
            </w:r>
          </w:p>
        </w:tc>
      </w:tr>
      <w:tr w:rsidR="00000000">
        <w:trPr>
          <w:divId w:val="493187732"/>
        </w:trPr>
        <w:tc>
          <w:tcPr>
            <w:tcW w:w="0" w:type="auto"/>
            <w:gridSpan w:val="3"/>
            <w:tcMar>
              <w:top w:w="30" w:type="dxa"/>
              <w:left w:w="20" w:type="dxa"/>
              <w:bottom w:w="30" w:type="dxa"/>
              <w:right w:w="20" w:type="dxa"/>
            </w:tcMar>
            <w:vAlign w:val="bottom"/>
            <w:hideMark/>
          </w:tcPr>
          <w:p w:rsidR="00000000" w:rsidRDefault="001F1FC8">
            <w:pPr>
              <w:rPr>
                <w:rFonts w:eastAsia="Times New Roman"/>
              </w:rPr>
            </w:pPr>
            <w:r>
              <w:rPr>
                <w:rFonts w:ascii="Arial" w:eastAsia="Times New Roman" w:hAnsi="Arial" w:cs="Arial"/>
                <w:color w:val="000000"/>
                <w:sz w:val="20"/>
                <w:szCs w:val="20"/>
              </w:rPr>
              <w:t>December 31,</w:t>
            </w:r>
          </w:p>
        </w:tc>
        <w:tc>
          <w:tcPr>
            <w:tcW w:w="0" w:type="auto"/>
            <w:gridSpan w:val="3"/>
            <w:tcBorders>
              <w:top w:val="single" w:sz="4" w:space="0" w:color="000000"/>
            </w:tcBorders>
            <w:tcMar>
              <w:top w:w="30" w:type="dxa"/>
              <w:left w:w="20" w:type="dxa"/>
              <w:bottom w:w="30" w:type="dxa"/>
              <w:right w:w="20" w:type="dxa"/>
            </w:tcMar>
            <w:hideMark/>
          </w:tcPr>
          <w:p w:rsidR="00000000" w:rsidRDefault="001F1FC8">
            <w:pPr>
              <w:jc w:val="right"/>
              <w:rPr>
                <w:rFonts w:eastAsia="Times New Roman"/>
              </w:rPr>
            </w:pPr>
            <w:r>
              <w:rPr>
                <w:rFonts w:ascii="Arial" w:eastAsia="Times New Roman" w:hAnsi="Arial" w:cs="Arial"/>
                <w:b/>
                <w:bCs/>
                <w:color w:val="000000"/>
                <w:sz w:val="20"/>
                <w:szCs w:val="20"/>
              </w:rPr>
              <w:t>2021</w:t>
            </w:r>
          </w:p>
        </w:tc>
        <w:tc>
          <w:tcPr>
            <w:tcW w:w="0" w:type="auto"/>
            <w:gridSpan w:val="3"/>
            <w:tcBorders>
              <w:top w:val="single" w:sz="4" w:space="0" w:color="000000"/>
            </w:tcBorders>
            <w:tcMar>
              <w:top w:w="30" w:type="dxa"/>
              <w:left w:w="20" w:type="dxa"/>
              <w:bottom w:w="30" w:type="dxa"/>
              <w:right w:w="20" w:type="dxa"/>
            </w:tcMar>
            <w:hideMark/>
          </w:tcPr>
          <w:p w:rsidR="00000000" w:rsidRDefault="001F1FC8">
            <w:pPr>
              <w:jc w:val="right"/>
              <w:rPr>
                <w:rFonts w:eastAsia="Times New Roman"/>
              </w:rPr>
            </w:pPr>
            <w:r>
              <w:rPr>
                <w:rFonts w:ascii="Arial" w:eastAsia="Times New Roman" w:hAnsi="Arial" w:cs="Arial"/>
                <w:color w:val="000000"/>
                <w:sz w:val="20"/>
                <w:szCs w:val="20"/>
              </w:rPr>
              <w:t>2020</w:t>
            </w:r>
          </w:p>
        </w:tc>
        <w:tc>
          <w:tcPr>
            <w:tcW w:w="0" w:type="auto"/>
            <w:gridSpan w:val="3"/>
            <w:tcMar>
              <w:top w:w="0" w:type="dxa"/>
              <w:left w:w="20" w:type="dxa"/>
              <w:bottom w:w="0" w:type="dxa"/>
              <w:right w:w="20" w:type="dxa"/>
            </w:tcMar>
            <w:vAlign w:val="center"/>
            <w:hideMark/>
          </w:tcPr>
          <w:p w:rsidR="00000000" w:rsidRDefault="001F1FC8">
            <w:pPr>
              <w:jc w:val="right"/>
              <w:rPr>
                <w:rFonts w:eastAsia="Times New Roman"/>
              </w:rPr>
            </w:pPr>
          </w:p>
        </w:tc>
        <w:tc>
          <w:tcPr>
            <w:tcW w:w="0" w:type="auto"/>
            <w:gridSpan w:val="3"/>
            <w:tcBorders>
              <w:top w:val="single" w:sz="4" w:space="0" w:color="000000"/>
            </w:tcBorders>
            <w:tcMar>
              <w:top w:w="30" w:type="dxa"/>
              <w:left w:w="20" w:type="dxa"/>
              <w:bottom w:w="30" w:type="dxa"/>
              <w:right w:w="20" w:type="dxa"/>
            </w:tcMar>
            <w:hideMark/>
          </w:tcPr>
          <w:p w:rsidR="00000000" w:rsidRDefault="001F1FC8">
            <w:pPr>
              <w:jc w:val="right"/>
              <w:rPr>
                <w:rFonts w:eastAsia="Times New Roman"/>
              </w:rPr>
            </w:pPr>
            <w:r>
              <w:rPr>
                <w:rFonts w:ascii="Arial" w:eastAsia="Times New Roman" w:hAnsi="Arial" w:cs="Arial"/>
                <w:b/>
                <w:bCs/>
                <w:color w:val="000000"/>
                <w:sz w:val="20"/>
                <w:szCs w:val="20"/>
              </w:rPr>
              <w:t>2021</w:t>
            </w:r>
          </w:p>
        </w:tc>
        <w:tc>
          <w:tcPr>
            <w:tcW w:w="0" w:type="auto"/>
            <w:gridSpan w:val="3"/>
            <w:tcBorders>
              <w:top w:val="single" w:sz="4" w:space="0" w:color="000000"/>
            </w:tcBorders>
            <w:tcMar>
              <w:top w:w="30" w:type="dxa"/>
              <w:left w:w="20" w:type="dxa"/>
              <w:bottom w:w="30" w:type="dxa"/>
              <w:right w:w="20" w:type="dxa"/>
            </w:tcMar>
            <w:hideMark/>
          </w:tcPr>
          <w:p w:rsidR="00000000" w:rsidRDefault="001F1FC8">
            <w:pPr>
              <w:jc w:val="right"/>
              <w:rPr>
                <w:rFonts w:eastAsia="Times New Roman"/>
              </w:rPr>
            </w:pPr>
            <w:r>
              <w:rPr>
                <w:rFonts w:ascii="Arial" w:eastAsia="Times New Roman" w:hAnsi="Arial" w:cs="Arial"/>
                <w:color w:val="000000"/>
                <w:sz w:val="20"/>
                <w:szCs w:val="20"/>
              </w:rPr>
              <w:t>2020</w:t>
            </w:r>
          </w:p>
        </w:tc>
      </w:tr>
      <w:tr w:rsidR="00000000">
        <w:trPr>
          <w:divId w:val="493187732"/>
        </w:trPr>
        <w:tc>
          <w:tcPr>
            <w:tcW w:w="0" w:type="auto"/>
            <w:gridSpan w:val="3"/>
            <w:tcBorders>
              <w:top w:val="single" w:sz="4" w:space="0" w:color="000000"/>
            </w:tcBorders>
            <w:tcMar>
              <w:top w:w="30" w:type="dxa"/>
              <w:left w:w="20" w:type="dxa"/>
              <w:bottom w:w="30" w:type="dxa"/>
              <w:right w:w="20" w:type="dxa"/>
            </w:tcMar>
            <w:vAlign w:val="bottom"/>
            <w:hideMark/>
          </w:tcPr>
          <w:p w:rsidR="00000000" w:rsidRDefault="001F1FC8">
            <w:pPr>
              <w:rPr>
                <w:rFonts w:eastAsia="Times New Roman"/>
              </w:rPr>
            </w:pPr>
            <w:r>
              <w:rPr>
                <w:rFonts w:ascii="Arial" w:eastAsia="Times New Roman" w:hAnsi="Arial" w:cs="Arial"/>
                <w:i/>
                <w:iCs/>
                <w:color w:val="000000"/>
                <w:sz w:val="16"/>
                <w:szCs w:val="16"/>
              </w:rPr>
              <w:t>(millions of Canadian dollars)</w:t>
            </w:r>
          </w:p>
        </w:tc>
        <w:tc>
          <w:tcPr>
            <w:tcW w:w="0" w:type="auto"/>
            <w:gridSpan w:val="3"/>
            <w:tcBorders>
              <w:top w:val="single" w:sz="4" w:space="0" w:color="000000"/>
            </w:tcBorders>
            <w:shd w:val="clear" w:color="auto" w:fill="D9D9D9"/>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2"/>
                <w:szCs w:val="2"/>
              </w:rPr>
              <w:t> </w:t>
            </w: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2"/>
                <w:szCs w:val="2"/>
              </w:rPr>
              <w:t> </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1F1FC8">
            <w:pPr>
              <w:jc w:val="right"/>
              <w:rPr>
                <w:rFonts w:eastAsia="Times New Roman"/>
              </w:rPr>
            </w:pPr>
          </w:p>
        </w:tc>
        <w:tc>
          <w:tcPr>
            <w:tcW w:w="0" w:type="auto"/>
            <w:gridSpan w:val="3"/>
            <w:tcBorders>
              <w:top w:val="single" w:sz="4" w:space="0" w:color="000000"/>
            </w:tcBorders>
            <w:shd w:val="clear" w:color="auto" w:fill="D9D9D9"/>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2"/>
                <w:szCs w:val="2"/>
              </w:rPr>
              <w:t> </w:t>
            </w: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2"/>
                <w:szCs w:val="2"/>
              </w:rPr>
              <w:t> </w:t>
            </w:r>
          </w:p>
        </w:tc>
      </w:tr>
      <w:tr w:rsidR="00000000">
        <w:trPr>
          <w:divId w:val="493187732"/>
        </w:trPr>
        <w:tc>
          <w:tcPr>
            <w:tcW w:w="0" w:type="auto"/>
            <w:gridSpan w:val="3"/>
            <w:tcMar>
              <w:top w:w="30" w:type="dxa"/>
              <w:left w:w="20" w:type="dxa"/>
              <w:bottom w:w="30" w:type="dxa"/>
              <w:right w:w="20" w:type="dxa"/>
            </w:tcMar>
            <w:hideMark/>
          </w:tcPr>
          <w:p w:rsidR="00000000" w:rsidRDefault="001F1FC8">
            <w:pPr>
              <w:rPr>
                <w:rFonts w:eastAsia="Times New Roman"/>
              </w:rPr>
            </w:pPr>
            <w:r>
              <w:rPr>
                <w:rFonts w:ascii="Arial" w:eastAsia="Times New Roman" w:hAnsi="Arial" w:cs="Arial"/>
                <w:color w:val="000000"/>
                <w:sz w:val="20"/>
                <w:szCs w:val="20"/>
              </w:rPr>
              <w:t>Net actuarial (gain)/loss</w:t>
            </w:r>
          </w:p>
        </w:tc>
        <w:tc>
          <w:tcPr>
            <w:tcW w:w="0" w:type="auto"/>
            <w:gridSpan w:val="2"/>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20"/>
                <w:szCs w:val="20"/>
              </w:rPr>
              <w:t>(35)</w:t>
            </w:r>
          </w:p>
        </w:tc>
        <w:tc>
          <w:tcPr>
            <w:tcW w:w="0" w:type="auto"/>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15 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1F1FC8">
            <w:pPr>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20"/>
                <w:szCs w:val="20"/>
              </w:rPr>
              <w:t>(104)</w:t>
            </w:r>
          </w:p>
        </w:tc>
        <w:tc>
          <w:tcPr>
            <w:tcW w:w="0" w:type="auto"/>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(7)</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r>
      <w:tr w:rsidR="00000000">
        <w:trPr>
          <w:divId w:val="493187732"/>
        </w:trPr>
        <w:tc>
          <w:tcPr>
            <w:tcW w:w="0" w:type="auto"/>
            <w:gridSpan w:val="3"/>
            <w:tcMar>
              <w:top w:w="30" w:type="dxa"/>
              <w:left w:w="20" w:type="dxa"/>
              <w:bottom w:w="30" w:type="dxa"/>
              <w:right w:w="20" w:type="dxa"/>
            </w:tcMar>
            <w:hideMark/>
          </w:tcPr>
          <w:p w:rsidR="00000000" w:rsidRDefault="001F1FC8">
            <w:pPr>
              <w:rPr>
                <w:rFonts w:eastAsia="Times New Roman"/>
              </w:rPr>
            </w:pPr>
            <w:r>
              <w:rPr>
                <w:rFonts w:ascii="Arial" w:eastAsia="Times New Roman" w:hAnsi="Arial" w:cs="Arial"/>
                <w:color w:val="000000"/>
                <w:sz w:val="20"/>
                <w:szCs w:val="20"/>
              </w:rPr>
              <w:t>Prior service credit</w:t>
            </w:r>
          </w:p>
        </w:tc>
        <w:tc>
          <w:tcPr>
            <w:tcW w:w="0" w:type="auto"/>
            <w:gridSpan w:val="2"/>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20"/>
                <w:szCs w:val="20"/>
              </w:rPr>
              <w:t>(1)</w:t>
            </w:r>
          </w:p>
        </w:tc>
        <w:tc>
          <w:tcPr>
            <w:tcW w:w="0" w:type="auto"/>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(1)</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1F1FC8">
            <w:pPr>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20"/>
                <w:szCs w:val="20"/>
              </w:rPr>
              <w:t>(37)</w:t>
            </w:r>
          </w:p>
        </w:tc>
        <w:tc>
          <w:tcPr>
            <w:tcW w:w="0" w:type="auto"/>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(44)</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r>
      <w:tr w:rsidR="00000000">
        <w:trPr>
          <w:divId w:val="493187732"/>
        </w:trPr>
        <w:tc>
          <w:tcPr>
            <w:tcW w:w="0" w:type="auto"/>
            <w:gridSpan w:val="3"/>
            <w:tcBorders>
              <w:top w:val="single" w:sz="4" w:space="0" w:color="000000"/>
              <w:bottom w:val="single" w:sz="8" w:space="0" w:color="000000"/>
            </w:tcBorders>
            <w:tcMar>
              <w:top w:w="30" w:type="dxa"/>
              <w:left w:w="20" w:type="dxa"/>
              <w:bottom w:w="30" w:type="dxa"/>
              <w:right w:w="20" w:type="dxa"/>
            </w:tcMar>
            <w:vAlign w:val="bottom"/>
            <w:hideMark/>
          </w:tcPr>
          <w:p w:rsidR="00000000" w:rsidRDefault="001F1FC8">
            <w:pPr>
              <w:divId w:val="833683635"/>
              <w:rPr>
                <w:rFonts w:eastAsia="Times New Roman"/>
              </w:rPr>
            </w:pPr>
            <w:r>
              <w:rPr>
                <w:rFonts w:ascii="Arial" w:eastAsia="Times New Roman" w:hAnsi="Arial" w:cs="Arial"/>
                <w:color w:val="000000"/>
                <w:sz w:val="20"/>
                <w:szCs w:val="20"/>
              </w:rPr>
              <w:t>Total amount recognized in AOC</w:t>
            </w:r>
            <w:r>
              <w:rPr>
                <w:rFonts w:ascii="Arial" w:eastAsia="Times New Roman" w:hAnsi="Arial" w:cs="Arial"/>
                <w:color w:val="000000"/>
                <w:sz w:val="20"/>
                <w:szCs w:val="20"/>
              </w:rPr>
              <w:t>I</w:t>
            </w:r>
            <w:r>
              <w:rPr>
                <w:rFonts w:ascii="Arial" w:eastAsia="Times New Roman" w:hAnsi="Arial" w:cs="Arial"/>
                <w:color w:val="000000"/>
                <w:sz w:val="13"/>
                <w:szCs w:val="13"/>
              </w:rPr>
              <w:t>1</w:t>
            </w:r>
          </w:p>
        </w:tc>
        <w:tc>
          <w:tcPr>
            <w:tcW w:w="0" w:type="auto"/>
            <w:gridSpan w:val="2"/>
            <w:tcBorders>
              <w:top w:val="single" w:sz="4" w:space="0" w:color="000000"/>
              <w:bottom w:val="single" w:sz="8" w:space="0" w:color="000000"/>
            </w:tcBorders>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20"/>
                <w:szCs w:val="20"/>
              </w:rPr>
              <w:t>(36)</w:t>
            </w:r>
          </w:p>
        </w:tc>
        <w:tc>
          <w:tcPr>
            <w:tcW w:w="0" w:type="auto"/>
            <w:tcBorders>
              <w:top w:val="single" w:sz="4" w:space="0" w:color="000000"/>
              <w:bottom w:val="single" w:sz="8" w:space="0" w:color="000000"/>
            </w:tcBorders>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Borders>
              <w:top w:val="single" w:sz="4" w:space="0" w:color="000000"/>
              <w:bottom w:val="single" w:sz="8" w:space="0" w:color="000000"/>
            </w:tcBorders>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14 </w:t>
            </w:r>
          </w:p>
        </w:tc>
        <w:tc>
          <w:tcPr>
            <w:tcW w:w="0" w:type="auto"/>
            <w:tcBorders>
              <w:top w:val="single" w:sz="4" w:space="0" w:color="000000"/>
              <w:bottom w:val="single" w:sz="8" w:space="0" w:color="000000"/>
            </w:tcBorders>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3"/>
            <w:tcBorders>
              <w:top w:val="single" w:sz="4" w:space="0" w:color="000000"/>
              <w:bottom w:val="single" w:sz="8" w:space="0" w:color="000000"/>
            </w:tcBorders>
            <w:tcMar>
              <w:top w:w="0" w:type="dxa"/>
              <w:left w:w="20" w:type="dxa"/>
              <w:bottom w:w="0" w:type="dxa"/>
              <w:right w:w="20" w:type="dxa"/>
            </w:tcMar>
            <w:vAlign w:val="center"/>
            <w:hideMark/>
          </w:tcPr>
          <w:p w:rsidR="00000000" w:rsidRDefault="001F1FC8">
            <w:pPr>
              <w:jc w:val="right"/>
              <w:rPr>
                <w:rFonts w:eastAsia="Times New Roman"/>
                <w:sz w:val="20"/>
                <w:szCs w:val="20"/>
              </w:rPr>
            </w:pPr>
          </w:p>
        </w:tc>
        <w:tc>
          <w:tcPr>
            <w:tcW w:w="0" w:type="auto"/>
            <w:gridSpan w:val="2"/>
            <w:tcBorders>
              <w:top w:val="single" w:sz="4" w:space="0" w:color="000000"/>
              <w:bottom w:val="single" w:sz="8" w:space="0" w:color="000000"/>
            </w:tcBorders>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20"/>
                <w:szCs w:val="20"/>
              </w:rPr>
              <w:t>(141)</w:t>
            </w:r>
          </w:p>
        </w:tc>
        <w:tc>
          <w:tcPr>
            <w:tcW w:w="0" w:type="auto"/>
            <w:tcBorders>
              <w:top w:val="single" w:sz="4" w:space="0" w:color="000000"/>
              <w:bottom w:val="single" w:sz="8" w:space="0" w:color="000000"/>
            </w:tcBorders>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Borders>
              <w:top w:val="single" w:sz="4" w:space="0" w:color="000000"/>
              <w:bottom w:val="single" w:sz="8" w:space="0" w:color="000000"/>
            </w:tcBorders>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(51)</w:t>
            </w:r>
          </w:p>
        </w:tc>
        <w:tc>
          <w:tcPr>
            <w:tcW w:w="0" w:type="auto"/>
            <w:tcBorders>
              <w:top w:val="single" w:sz="4" w:space="0" w:color="000000"/>
              <w:bottom w:val="single" w:sz="8" w:space="0" w:color="000000"/>
            </w:tcBorders>
            <w:tcMar>
              <w:top w:w="30" w:type="dxa"/>
              <w:left w:w="0" w:type="dxa"/>
              <w:bottom w:w="30" w:type="dxa"/>
              <w:right w:w="20" w:type="dxa"/>
            </w:tcMar>
            <w:vAlign w:val="bottom"/>
            <w:hideMark/>
          </w:tcPr>
          <w:p w:rsidR="00000000" w:rsidRDefault="001F1FC8">
            <w:pPr>
              <w:jc w:val="right"/>
              <w:rPr>
                <w:rFonts w:eastAsia="Times New Roman"/>
              </w:rPr>
            </w:pPr>
          </w:p>
        </w:tc>
      </w:tr>
    </w:tbl>
    <w:p w:rsidR="00000000" w:rsidRDefault="001F1FC8">
      <w:pPr>
        <w:divId w:val="788745680"/>
        <w:rPr>
          <w:rFonts w:eastAsia="Times New Roman"/>
        </w:rPr>
      </w:pPr>
      <w:r>
        <w:rPr>
          <w:rFonts w:ascii="Arial" w:eastAsia="Times New Roman" w:hAnsi="Arial" w:cs="Arial"/>
          <w:i/>
          <w:iCs/>
          <w:color w:val="000000"/>
          <w:sz w:val="16"/>
          <w:szCs w:val="16"/>
        </w:rPr>
        <w:t>1 Excludes amounts related to cumulative translation adjustment.</w:t>
      </w:r>
    </w:p>
    <w:p w:rsidR="00000000" w:rsidRDefault="001F1FC8">
      <w:pPr>
        <w:divId w:val="969440801"/>
        <w:rPr>
          <w:rFonts w:eastAsia="Times New Roman"/>
        </w:rPr>
      </w:pPr>
    </w:p>
    <w:p w:rsidR="00000000" w:rsidRDefault="001F1FC8">
      <w:pPr>
        <w:divId w:val="1872764039"/>
        <w:rPr>
          <w:rFonts w:eastAsia="Times New Roman"/>
        </w:rPr>
      </w:pPr>
      <w:r>
        <w:rPr>
          <w:rFonts w:ascii="Arial" w:eastAsia="Times New Roman" w:hAnsi="Arial" w:cs="Arial"/>
          <w:b/>
          <w:bCs/>
          <w:color w:val="000000"/>
          <w:sz w:val="20"/>
          <w:szCs w:val="20"/>
        </w:rPr>
        <w:t>Net Periodic Benefit Cost and Other Amounts Recognized in Comprehensive Income</w:t>
      </w:r>
    </w:p>
    <w:p w:rsidR="00000000" w:rsidRDefault="001F1FC8">
      <w:pPr>
        <w:divId w:val="2053073324"/>
        <w:rPr>
          <w:rFonts w:eastAsia="Times New Roman"/>
        </w:rPr>
      </w:pPr>
      <w:r>
        <w:rPr>
          <w:rFonts w:ascii="Arial" w:eastAsia="Times New Roman" w:hAnsi="Arial" w:cs="Arial"/>
          <w:color w:val="000000"/>
          <w:sz w:val="20"/>
          <w:szCs w:val="20"/>
        </w:rPr>
        <w:t>The components of net periodic benefit cost and other amounts recognized in pre-tax Comprehensive income related to our OPEB plans are as follows:</w:t>
      </w:r>
    </w:p>
    <w:tbl>
      <w:tblPr>
        <w:tblW w:w="5000" w:type="pct"/>
        <w:tblCellMar>
          <w:top w:w="15" w:type="dxa"/>
          <w:left w:w="15" w:type="dxa"/>
          <w:bottom w:w="15" w:type="dxa"/>
          <w:right w:w="15" w:type="dxa"/>
        </w:tblCellMar>
        <w:tblLook w:val="04A0" w:firstRow="1" w:lastRow="0" w:firstColumn="1" w:lastColumn="0" w:noHBand="0" w:noVBand="1"/>
      </w:tblPr>
      <w:tblGrid>
        <w:gridCol w:w="66"/>
        <w:gridCol w:w="3741"/>
        <w:gridCol w:w="39"/>
        <w:gridCol w:w="66"/>
        <w:gridCol w:w="623"/>
        <w:gridCol w:w="37"/>
        <w:gridCol w:w="66"/>
        <w:gridCol w:w="623"/>
        <w:gridCol w:w="36"/>
        <w:gridCol w:w="66"/>
        <w:gridCol w:w="623"/>
        <w:gridCol w:w="36"/>
        <w:gridCol w:w="36"/>
        <w:gridCol w:w="36"/>
        <w:gridCol w:w="36"/>
        <w:gridCol w:w="63"/>
        <w:gridCol w:w="623"/>
        <w:gridCol w:w="36"/>
        <w:gridCol w:w="67"/>
        <w:gridCol w:w="624"/>
        <w:gridCol w:w="36"/>
        <w:gridCol w:w="67"/>
        <w:gridCol w:w="624"/>
        <w:gridCol w:w="36"/>
      </w:tblGrid>
      <w:tr w:rsidR="00000000">
        <w:trPr>
          <w:divId w:val="730730853"/>
        </w:trPr>
        <w:tc>
          <w:tcPr>
            <w:tcW w:w="50" w:type="pct"/>
            <w:vAlign w:val="center"/>
            <w:hideMark/>
          </w:tcPr>
          <w:p w:rsidR="00000000" w:rsidRDefault="001F1FC8">
            <w:pPr>
              <w:rPr>
                <w:rFonts w:eastAsia="Times New Roman"/>
              </w:rPr>
            </w:pPr>
          </w:p>
        </w:tc>
        <w:tc>
          <w:tcPr>
            <w:tcW w:w="2260"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c>
          <w:tcPr>
            <w:tcW w:w="50" w:type="pct"/>
            <w:vAlign w:val="center"/>
            <w:hideMark/>
          </w:tcPr>
          <w:p w:rsidR="00000000" w:rsidRDefault="001F1FC8">
            <w:pPr>
              <w:rPr>
                <w:rFonts w:eastAsia="Times New Roman"/>
                <w:sz w:val="20"/>
                <w:szCs w:val="20"/>
              </w:rPr>
            </w:pPr>
          </w:p>
        </w:tc>
        <w:tc>
          <w:tcPr>
            <w:tcW w:w="385"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c>
          <w:tcPr>
            <w:tcW w:w="50" w:type="pct"/>
            <w:vAlign w:val="center"/>
            <w:hideMark/>
          </w:tcPr>
          <w:p w:rsidR="00000000" w:rsidRDefault="001F1FC8">
            <w:pPr>
              <w:rPr>
                <w:rFonts w:eastAsia="Times New Roman"/>
                <w:sz w:val="20"/>
                <w:szCs w:val="20"/>
              </w:rPr>
            </w:pPr>
          </w:p>
        </w:tc>
        <w:tc>
          <w:tcPr>
            <w:tcW w:w="385"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c>
          <w:tcPr>
            <w:tcW w:w="50" w:type="pct"/>
            <w:vAlign w:val="center"/>
            <w:hideMark/>
          </w:tcPr>
          <w:p w:rsidR="00000000" w:rsidRDefault="001F1FC8">
            <w:pPr>
              <w:rPr>
                <w:rFonts w:eastAsia="Times New Roman"/>
                <w:sz w:val="20"/>
                <w:szCs w:val="20"/>
              </w:rPr>
            </w:pPr>
          </w:p>
        </w:tc>
        <w:tc>
          <w:tcPr>
            <w:tcW w:w="385"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c>
          <w:tcPr>
            <w:tcW w:w="30"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c>
          <w:tcPr>
            <w:tcW w:w="50" w:type="pct"/>
            <w:vAlign w:val="center"/>
            <w:hideMark/>
          </w:tcPr>
          <w:p w:rsidR="00000000" w:rsidRDefault="001F1FC8">
            <w:pPr>
              <w:rPr>
                <w:rFonts w:eastAsia="Times New Roman"/>
                <w:sz w:val="20"/>
                <w:szCs w:val="20"/>
              </w:rPr>
            </w:pPr>
          </w:p>
        </w:tc>
        <w:tc>
          <w:tcPr>
            <w:tcW w:w="385"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c>
          <w:tcPr>
            <w:tcW w:w="50" w:type="pct"/>
            <w:vAlign w:val="center"/>
            <w:hideMark/>
          </w:tcPr>
          <w:p w:rsidR="00000000" w:rsidRDefault="001F1FC8">
            <w:pPr>
              <w:rPr>
                <w:rFonts w:eastAsia="Times New Roman"/>
                <w:sz w:val="20"/>
                <w:szCs w:val="20"/>
              </w:rPr>
            </w:pPr>
          </w:p>
        </w:tc>
        <w:tc>
          <w:tcPr>
            <w:tcW w:w="385"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c>
          <w:tcPr>
            <w:tcW w:w="50" w:type="pct"/>
            <w:vAlign w:val="center"/>
            <w:hideMark/>
          </w:tcPr>
          <w:p w:rsidR="00000000" w:rsidRDefault="001F1FC8">
            <w:pPr>
              <w:rPr>
                <w:rFonts w:eastAsia="Times New Roman"/>
                <w:sz w:val="20"/>
                <w:szCs w:val="20"/>
              </w:rPr>
            </w:pPr>
          </w:p>
        </w:tc>
        <w:tc>
          <w:tcPr>
            <w:tcW w:w="385"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r>
      <w:tr w:rsidR="00000000">
        <w:trPr>
          <w:divId w:val="730730853"/>
        </w:trPr>
        <w:tc>
          <w:tcPr>
            <w:tcW w:w="0" w:type="auto"/>
            <w:gridSpan w:val="3"/>
            <w:tcMar>
              <w:top w:w="30" w:type="dxa"/>
              <w:left w:w="20" w:type="dxa"/>
              <w:bottom w:w="30" w:type="dxa"/>
              <w:right w:w="20" w:type="dxa"/>
            </w:tcMar>
            <w:hideMark/>
          </w:tcPr>
          <w:p w:rsidR="00000000" w:rsidRDefault="001F1FC8">
            <w:pPr>
              <w:rPr>
                <w:rFonts w:eastAsia="Times New Roman"/>
              </w:rPr>
            </w:pPr>
            <w:r>
              <w:rPr>
                <w:rFonts w:ascii="Arial" w:eastAsia="Times New Roman" w:hAnsi="Arial" w:cs="Arial"/>
                <w:color w:val="000000"/>
                <w:sz w:val="18"/>
                <w:szCs w:val="18"/>
              </w:rPr>
              <w:t> </w:t>
            </w:r>
          </w:p>
        </w:tc>
        <w:tc>
          <w:tcPr>
            <w:tcW w:w="0" w:type="auto"/>
            <w:gridSpan w:val="9"/>
            <w:tcMar>
              <w:top w:w="30" w:type="dxa"/>
              <w:left w:w="20" w:type="dxa"/>
              <w:bottom w:w="30" w:type="dxa"/>
              <w:right w:w="20" w:type="dxa"/>
            </w:tcMar>
            <w:vAlign w:val="bottom"/>
            <w:hideMark/>
          </w:tcPr>
          <w:p w:rsidR="00000000" w:rsidRDefault="001F1FC8">
            <w:pPr>
              <w:jc w:val="center"/>
              <w:rPr>
                <w:rFonts w:eastAsia="Times New Roman"/>
              </w:rPr>
            </w:pPr>
            <w:r>
              <w:rPr>
                <w:rFonts w:ascii="Arial" w:eastAsia="Times New Roman" w:hAnsi="Arial" w:cs="Arial"/>
                <w:color w:val="000000"/>
                <w:sz w:val="18"/>
                <w:szCs w:val="18"/>
              </w:rPr>
              <w:t>Canada</w:t>
            </w:r>
          </w:p>
        </w:tc>
        <w:tc>
          <w:tcPr>
            <w:tcW w:w="0" w:type="auto"/>
            <w:gridSpan w:val="3"/>
            <w:tcMar>
              <w:top w:w="0" w:type="dxa"/>
              <w:left w:w="20" w:type="dxa"/>
              <w:bottom w:w="0" w:type="dxa"/>
              <w:right w:w="20" w:type="dxa"/>
            </w:tcMar>
            <w:vAlign w:val="center"/>
            <w:hideMark/>
          </w:tcPr>
          <w:p w:rsidR="00000000" w:rsidRDefault="001F1FC8">
            <w:pPr>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1F1FC8">
            <w:pPr>
              <w:jc w:val="center"/>
              <w:rPr>
                <w:rFonts w:eastAsia="Times New Roman"/>
              </w:rPr>
            </w:pPr>
            <w:r>
              <w:rPr>
                <w:rFonts w:ascii="Arial" w:eastAsia="Times New Roman" w:hAnsi="Arial" w:cs="Arial"/>
                <w:color w:val="000000"/>
                <w:sz w:val="18"/>
                <w:szCs w:val="18"/>
              </w:rPr>
              <w:t>US</w:t>
            </w:r>
          </w:p>
        </w:tc>
      </w:tr>
      <w:tr w:rsidR="00000000">
        <w:trPr>
          <w:divId w:val="730730853"/>
        </w:trPr>
        <w:tc>
          <w:tcPr>
            <w:tcW w:w="0" w:type="auto"/>
            <w:gridSpan w:val="3"/>
            <w:tcMar>
              <w:top w:w="30" w:type="dxa"/>
              <w:left w:w="20" w:type="dxa"/>
              <w:bottom w:w="30" w:type="dxa"/>
              <w:right w:w="20" w:type="dxa"/>
            </w:tcMar>
            <w:hideMark/>
          </w:tcPr>
          <w:p w:rsidR="00000000" w:rsidRDefault="001F1FC8">
            <w:pPr>
              <w:rPr>
                <w:rFonts w:eastAsia="Times New Roman"/>
              </w:rPr>
            </w:pPr>
            <w:r>
              <w:rPr>
                <w:rFonts w:ascii="Arial" w:eastAsia="Times New Roman" w:hAnsi="Arial" w:cs="Arial"/>
                <w:color w:val="000000"/>
                <w:sz w:val="18"/>
                <w:szCs w:val="18"/>
              </w:rPr>
              <w:t>Year ended December 31,</w:t>
            </w:r>
          </w:p>
        </w:tc>
        <w:tc>
          <w:tcPr>
            <w:tcW w:w="0" w:type="auto"/>
            <w:gridSpan w:val="3"/>
            <w:tcBorders>
              <w:top w:val="single" w:sz="4" w:space="0" w:color="000000"/>
            </w:tcBorders>
            <w:tcMar>
              <w:top w:w="30" w:type="dxa"/>
              <w:left w:w="20" w:type="dxa"/>
              <w:bottom w:w="30" w:type="dxa"/>
              <w:right w:w="20" w:type="dxa"/>
            </w:tcMar>
            <w:hideMark/>
          </w:tcPr>
          <w:p w:rsidR="00000000" w:rsidRDefault="001F1FC8">
            <w:pPr>
              <w:jc w:val="right"/>
              <w:rPr>
                <w:rFonts w:eastAsia="Times New Roman"/>
              </w:rPr>
            </w:pPr>
            <w:r>
              <w:rPr>
                <w:rFonts w:ascii="Arial" w:eastAsia="Times New Roman" w:hAnsi="Arial" w:cs="Arial"/>
                <w:b/>
                <w:bCs/>
                <w:color w:val="000000"/>
                <w:sz w:val="18"/>
                <w:szCs w:val="18"/>
              </w:rPr>
              <w:t>2021</w:t>
            </w:r>
          </w:p>
        </w:tc>
        <w:tc>
          <w:tcPr>
            <w:tcW w:w="0" w:type="auto"/>
            <w:gridSpan w:val="3"/>
            <w:tcBorders>
              <w:top w:val="single" w:sz="4" w:space="0" w:color="000000"/>
            </w:tcBorders>
            <w:tcMar>
              <w:top w:w="30" w:type="dxa"/>
              <w:left w:w="20" w:type="dxa"/>
              <w:bottom w:w="30" w:type="dxa"/>
              <w:right w:w="20" w:type="dxa"/>
            </w:tcMar>
            <w:hideMark/>
          </w:tcPr>
          <w:p w:rsidR="00000000" w:rsidRDefault="001F1FC8">
            <w:pPr>
              <w:jc w:val="right"/>
              <w:rPr>
                <w:rFonts w:eastAsia="Times New Roman"/>
              </w:rPr>
            </w:pPr>
            <w:r>
              <w:rPr>
                <w:rFonts w:ascii="Arial" w:eastAsia="Times New Roman" w:hAnsi="Arial" w:cs="Arial"/>
                <w:color w:val="000000"/>
                <w:sz w:val="18"/>
                <w:szCs w:val="18"/>
              </w:rPr>
              <w:t>2020</w:t>
            </w:r>
          </w:p>
        </w:tc>
        <w:tc>
          <w:tcPr>
            <w:tcW w:w="0" w:type="auto"/>
            <w:gridSpan w:val="3"/>
            <w:tcBorders>
              <w:top w:val="single" w:sz="4" w:space="0" w:color="000000"/>
            </w:tcBorders>
            <w:tcMar>
              <w:top w:w="30" w:type="dxa"/>
              <w:left w:w="20" w:type="dxa"/>
              <w:bottom w:w="30" w:type="dxa"/>
              <w:right w:w="20" w:type="dxa"/>
            </w:tcMar>
            <w:hideMark/>
          </w:tcPr>
          <w:p w:rsidR="00000000" w:rsidRDefault="001F1FC8">
            <w:pPr>
              <w:jc w:val="right"/>
              <w:rPr>
                <w:rFonts w:eastAsia="Times New Roman"/>
              </w:rPr>
            </w:pPr>
            <w:r>
              <w:rPr>
                <w:rFonts w:ascii="Arial" w:eastAsia="Times New Roman" w:hAnsi="Arial" w:cs="Arial"/>
                <w:color w:val="000000"/>
                <w:sz w:val="18"/>
                <w:szCs w:val="18"/>
              </w:rPr>
              <w:t>2019</w:t>
            </w:r>
          </w:p>
        </w:tc>
        <w:tc>
          <w:tcPr>
            <w:tcW w:w="0" w:type="auto"/>
            <w:gridSpan w:val="3"/>
            <w:tcMar>
              <w:top w:w="0" w:type="dxa"/>
              <w:left w:w="20" w:type="dxa"/>
              <w:bottom w:w="0" w:type="dxa"/>
              <w:right w:w="20" w:type="dxa"/>
            </w:tcMar>
            <w:vAlign w:val="center"/>
            <w:hideMark/>
          </w:tcPr>
          <w:p w:rsidR="00000000" w:rsidRDefault="001F1FC8">
            <w:pPr>
              <w:jc w:val="right"/>
              <w:rPr>
                <w:rFonts w:eastAsia="Times New Roman"/>
              </w:rPr>
            </w:pPr>
          </w:p>
        </w:tc>
        <w:tc>
          <w:tcPr>
            <w:tcW w:w="0" w:type="auto"/>
            <w:gridSpan w:val="3"/>
            <w:tcBorders>
              <w:top w:val="single" w:sz="4" w:space="0" w:color="000000"/>
            </w:tcBorders>
            <w:tcMar>
              <w:top w:w="30" w:type="dxa"/>
              <w:left w:w="20" w:type="dxa"/>
              <w:bottom w:w="30" w:type="dxa"/>
              <w:right w:w="20" w:type="dxa"/>
            </w:tcMar>
            <w:hideMark/>
          </w:tcPr>
          <w:p w:rsidR="00000000" w:rsidRDefault="001F1FC8">
            <w:pPr>
              <w:jc w:val="right"/>
              <w:rPr>
                <w:rFonts w:eastAsia="Times New Roman"/>
              </w:rPr>
            </w:pPr>
            <w:r>
              <w:rPr>
                <w:rFonts w:ascii="Arial" w:eastAsia="Times New Roman" w:hAnsi="Arial" w:cs="Arial"/>
                <w:b/>
                <w:bCs/>
                <w:color w:val="000000"/>
                <w:sz w:val="18"/>
                <w:szCs w:val="18"/>
              </w:rPr>
              <w:t>2021</w:t>
            </w:r>
          </w:p>
        </w:tc>
        <w:tc>
          <w:tcPr>
            <w:tcW w:w="0" w:type="auto"/>
            <w:gridSpan w:val="3"/>
            <w:tcBorders>
              <w:top w:val="single" w:sz="4" w:space="0" w:color="000000"/>
            </w:tcBorders>
            <w:tcMar>
              <w:top w:w="30" w:type="dxa"/>
              <w:left w:w="20" w:type="dxa"/>
              <w:bottom w:w="30" w:type="dxa"/>
              <w:right w:w="20" w:type="dxa"/>
            </w:tcMar>
            <w:hideMark/>
          </w:tcPr>
          <w:p w:rsidR="00000000" w:rsidRDefault="001F1FC8">
            <w:pPr>
              <w:jc w:val="right"/>
              <w:rPr>
                <w:rFonts w:eastAsia="Times New Roman"/>
              </w:rPr>
            </w:pPr>
            <w:r>
              <w:rPr>
                <w:rFonts w:ascii="Arial" w:eastAsia="Times New Roman" w:hAnsi="Arial" w:cs="Arial"/>
                <w:color w:val="000000"/>
                <w:sz w:val="18"/>
                <w:szCs w:val="18"/>
              </w:rPr>
              <w:t>2020</w:t>
            </w:r>
          </w:p>
        </w:tc>
        <w:tc>
          <w:tcPr>
            <w:tcW w:w="0" w:type="auto"/>
            <w:gridSpan w:val="3"/>
            <w:tcBorders>
              <w:top w:val="single" w:sz="4" w:space="0" w:color="000000"/>
            </w:tcBorders>
            <w:tcMar>
              <w:top w:w="30" w:type="dxa"/>
              <w:left w:w="20" w:type="dxa"/>
              <w:bottom w:w="30" w:type="dxa"/>
              <w:right w:w="20" w:type="dxa"/>
            </w:tcMar>
            <w:hideMark/>
          </w:tcPr>
          <w:p w:rsidR="00000000" w:rsidRDefault="001F1FC8">
            <w:pPr>
              <w:jc w:val="right"/>
              <w:rPr>
                <w:rFonts w:eastAsia="Times New Roman"/>
              </w:rPr>
            </w:pPr>
            <w:r>
              <w:rPr>
                <w:rFonts w:ascii="Arial" w:eastAsia="Times New Roman" w:hAnsi="Arial" w:cs="Arial"/>
                <w:color w:val="000000"/>
                <w:sz w:val="18"/>
                <w:szCs w:val="18"/>
              </w:rPr>
              <w:t>2019</w:t>
            </w:r>
          </w:p>
        </w:tc>
      </w:tr>
      <w:tr w:rsidR="00000000">
        <w:trPr>
          <w:divId w:val="730730853"/>
        </w:trPr>
        <w:tc>
          <w:tcPr>
            <w:tcW w:w="0" w:type="auto"/>
            <w:gridSpan w:val="3"/>
            <w:tcBorders>
              <w:top w:val="single" w:sz="4" w:space="0" w:color="000000"/>
            </w:tcBorders>
            <w:tcMar>
              <w:top w:w="30" w:type="dxa"/>
              <w:left w:w="20" w:type="dxa"/>
              <w:bottom w:w="30" w:type="dxa"/>
              <w:right w:w="20" w:type="dxa"/>
            </w:tcMar>
            <w:hideMark/>
          </w:tcPr>
          <w:p w:rsidR="00000000" w:rsidRDefault="001F1FC8">
            <w:pPr>
              <w:rPr>
                <w:rFonts w:eastAsia="Times New Roman"/>
              </w:rPr>
            </w:pPr>
            <w:r>
              <w:rPr>
                <w:rFonts w:ascii="Arial" w:eastAsia="Times New Roman" w:hAnsi="Arial" w:cs="Arial"/>
                <w:i/>
                <w:iCs/>
                <w:color w:val="000000"/>
                <w:sz w:val="16"/>
                <w:szCs w:val="16"/>
              </w:rPr>
              <w:t>(millions of Canadian dollars)</w:t>
            </w:r>
          </w:p>
        </w:tc>
        <w:tc>
          <w:tcPr>
            <w:tcW w:w="0" w:type="auto"/>
            <w:gridSpan w:val="3"/>
            <w:tcBorders>
              <w:top w:val="single" w:sz="4" w:space="0" w:color="000000"/>
            </w:tcBorders>
            <w:shd w:val="clear" w:color="auto" w:fill="D9D9D9"/>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18"/>
                <w:szCs w:val="18"/>
              </w:rPr>
              <w:t> </w:t>
            </w: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18"/>
                <w:szCs w:val="18"/>
              </w:rPr>
              <w:t> </w:t>
            </w: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18"/>
                <w:szCs w:val="18"/>
              </w:rPr>
              <w:t> </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1F1FC8">
            <w:pPr>
              <w:jc w:val="right"/>
              <w:rPr>
                <w:rFonts w:eastAsia="Times New Roman"/>
              </w:rPr>
            </w:pPr>
          </w:p>
        </w:tc>
        <w:tc>
          <w:tcPr>
            <w:tcW w:w="0" w:type="auto"/>
            <w:gridSpan w:val="3"/>
            <w:tcBorders>
              <w:top w:val="single" w:sz="4" w:space="0" w:color="000000"/>
            </w:tcBorders>
            <w:shd w:val="clear" w:color="auto" w:fill="D9D9D9"/>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18"/>
                <w:szCs w:val="18"/>
              </w:rPr>
              <w:t> </w:t>
            </w: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18"/>
                <w:szCs w:val="18"/>
              </w:rPr>
              <w:t> </w:t>
            </w: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18"/>
                <w:szCs w:val="18"/>
              </w:rPr>
              <w:t> </w:t>
            </w:r>
          </w:p>
        </w:tc>
      </w:tr>
      <w:tr w:rsidR="00000000">
        <w:trPr>
          <w:divId w:val="730730853"/>
        </w:trPr>
        <w:tc>
          <w:tcPr>
            <w:tcW w:w="0" w:type="auto"/>
            <w:gridSpan w:val="3"/>
            <w:tcMar>
              <w:top w:w="30" w:type="dxa"/>
              <w:left w:w="20" w:type="dxa"/>
              <w:bottom w:w="30" w:type="dxa"/>
              <w:right w:w="20" w:type="dxa"/>
            </w:tcMar>
            <w:hideMark/>
          </w:tcPr>
          <w:p w:rsidR="00000000" w:rsidRDefault="001F1FC8">
            <w:pPr>
              <w:rPr>
                <w:rFonts w:eastAsia="Times New Roman"/>
              </w:rPr>
            </w:pPr>
            <w:r>
              <w:rPr>
                <w:rFonts w:ascii="Arial" w:eastAsia="Times New Roman" w:hAnsi="Arial" w:cs="Arial"/>
                <w:color w:val="000000"/>
                <w:sz w:val="18"/>
                <w:szCs w:val="18"/>
              </w:rPr>
              <w:t>Service cost</w:t>
            </w:r>
          </w:p>
        </w:tc>
        <w:tc>
          <w:tcPr>
            <w:tcW w:w="0" w:type="auto"/>
            <w:gridSpan w:val="2"/>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8"/>
                <w:szCs w:val="18"/>
              </w:rPr>
              <w:t>6</w:t>
            </w:r>
            <w:r>
              <w:rPr>
                <w:rFonts w:ascii="Arial" w:eastAsia="Times New Roman" w:hAnsi="Arial" w:cs="Arial"/>
                <w:color w:val="000000"/>
                <w:sz w:val="18"/>
                <w:szCs w:val="18"/>
              </w:rPr>
              <w:t> </w:t>
            </w:r>
          </w:p>
        </w:tc>
        <w:tc>
          <w:tcPr>
            <w:tcW w:w="0" w:type="auto"/>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8"/>
                <w:szCs w:val="18"/>
              </w:rPr>
              <w:t>5 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8"/>
                <w:szCs w:val="18"/>
              </w:rPr>
              <w:t>5 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1F1FC8">
            <w:pPr>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8"/>
                <w:szCs w:val="18"/>
              </w:rPr>
              <w:t>1</w:t>
            </w:r>
            <w:r>
              <w:rPr>
                <w:rFonts w:ascii="Arial" w:eastAsia="Times New Roman" w:hAnsi="Arial" w:cs="Arial"/>
                <w:color w:val="000000"/>
                <w:sz w:val="18"/>
                <w:szCs w:val="18"/>
              </w:rPr>
              <w:t> </w:t>
            </w:r>
          </w:p>
        </w:tc>
        <w:tc>
          <w:tcPr>
            <w:tcW w:w="0" w:type="auto"/>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8"/>
                <w:szCs w:val="18"/>
              </w:rPr>
              <w:t>2 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8"/>
                <w:szCs w:val="18"/>
              </w:rPr>
              <w:t>2 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r>
      <w:tr w:rsidR="00000000">
        <w:trPr>
          <w:divId w:val="730730853"/>
        </w:trPr>
        <w:tc>
          <w:tcPr>
            <w:tcW w:w="0" w:type="auto"/>
            <w:gridSpan w:val="3"/>
            <w:tcMar>
              <w:top w:w="30" w:type="dxa"/>
              <w:left w:w="20" w:type="dxa"/>
              <w:bottom w:w="30" w:type="dxa"/>
              <w:right w:w="20" w:type="dxa"/>
            </w:tcMar>
            <w:hideMark/>
          </w:tcPr>
          <w:p w:rsidR="00000000" w:rsidRDefault="001F1FC8">
            <w:pPr>
              <w:divId w:val="123349283"/>
              <w:rPr>
                <w:rFonts w:eastAsia="Times New Roman"/>
              </w:rPr>
            </w:pPr>
            <w:r>
              <w:rPr>
                <w:rFonts w:ascii="Arial" w:eastAsia="Times New Roman" w:hAnsi="Arial" w:cs="Arial"/>
                <w:color w:val="000000"/>
                <w:sz w:val="18"/>
                <w:szCs w:val="18"/>
              </w:rPr>
              <w:t>Interest cos</w:t>
            </w:r>
            <w:r>
              <w:rPr>
                <w:rFonts w:ascii="Arial" w:eastAsia="Times New Roman" w:hAnsi="Arial" w:cs="Arial"/>
                <w:color w:val="000000"/>
                <w:sz w:val="18"/>
                <w:szCs w:val="18"/>
              </w:rPr>
              <w:t>t</w:t>
            </w:r>
            <w:r>
              <w:rPr>
                <w:rFonts w:ascii="Arial" w:eastAsia="Times New Roman" w:hAnsi="Arial" w:cs="Arial"/>
                <w:color w:val="000000"/>
                <w:sz w:val="12"/>
                <w:szCs w:val="12"/>
              </w:rPr>
              <w:t>1</w:t>
            </w:r>
          </w:p>
        </w:tc>
        <w:tc>
          <w:tcPr>
            <w:tcW w:w="0" w:type="auto"/>
            <w:gridSpan w:val="2"/>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8"/>
                <w:szCs w:val="18"/>
              </w:rPr>
              <w:t>7</w:t>
            </w:r>
            <w:r>
              <w:rPr>
                <w:rFonts w:ascii="Arial" w:eastAsia="Times New Roman" w:hAnsi="Arial" w:cs="Arial"/>
                <w:color w:val="000000"/>
                <w:sz w:val="18"/>
                <w:szCs w:val="18"/>
              </w:rPr>
              <w:t> </w:t>
            </w:r>
          </w:p>
        </w:tc>
        <w:tc>
          <w:tcPr>
            <w:tcW w:w="0" w:type="auto"/>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8"/>
                <w:szCs w:val="18"/>
              </w:rPr>
              <w:t>8 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8"/>
                <w:szCs w:val="18"/>
              </w:rPr>
              <w:t>10 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1F1FC8">
            <w:pPr>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8"/>
                <w:szCs w:val="18"/>
              </w:rPr>
              <w:t>3</w:t>
            </w:r>
            <w:r>
              <w:rPr>
                <w:rFonts w:ascii="Arial" w:eastAsia="Times New Roman" w:hAnsi="Arial" w:cs="Arial"/>
                <w:color w:val="000000"/>
                <w:sz w:val="18"/>
                <w:szCs w:val="18"/>
              </w:rPr>
              <w:t> </w:t>
            </w:r>
          </w:p>
        </w:tc>
        <w:tc>
          <w:tcPr>
            <w:tcW w:w="0" w:type="auto"/>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8"/>
                <w:szCs w:val="18"/>
              </w:rPr>
              <w:t>7 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8"/>
                <w:szCs w:val="18"/>
              </w:rPr>
              <w:t>10 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r>
      <w:tr w:rsidR="00000000">
        <w:trPr>
          <w:divId w:val="730730853"/>
        </w:trPr>
        <w:tc>
          <w:tcPr>
            <w:tcW w:w="0" w:type="auto"/>
            <w:gridSpan w:val="3"/>
            <w:tcMar>
              <w:top w:w="30" w:type="dxa"/>
              <w:left w:w="20" w:type="dxa"/>
              <w:bottom w:w="30" w:type="dxa"/>
              <w:right w:w="20" w:type="dxa"/>
            </w:tcMar>
            <w:hideMark/>
          </w:tcPr>
          <w:p w:rsidR="00000000" w:rsidRDefault="001F1FC8">
            <w:pPr>
              <w:divId w:val="1112434176"/>
              <w:rPr>
                <w:rFonts w:eastAsia="Times New Roman"/>
              </w:rPr>
            </w:pPr>
            <w:r>
              <w:rPr>
                <w:rFonts w:ascii="Arial" w:eastAsia="Times New Roman" w:hAnsi="Arial" w:cs="Arial"/>
                <w:color w:val="000000"/>
                <w:sz w:val="18"/>
                <w:szCs w:val="18"/>
              </w:rPr>
              <w:t>Expected return on plan asset</w:t>
            </w:r>
            <w:r>
              <w:rPr>
                <w:rFonts w:ascii="Arial" w:eastAsia="Times New Roman" w:hAnsi="Arial" w:cs="Arial"/>
                <w:color w:val="000000"/>
                <w:sz w:val="18"/>
                <w:szCs w:val="18"/>
              </w:rPr>
              <w:t>s</w:t>
            </w:r>
            <w:r>
              <w:rPr>
                <w:rFonts w:ascii="Arial" w:eastAsia="Times New Roman" w:hAnsi="Arial" w:cs="Arial"/>
                <w:color w:val="000000"/>
                <w:sz w:val="12"/>
                <w:szCs w:val="12"/>
              </w:rPr>
              <w:t>1</w:t>
            </w:r>
          </w:p>
        </w:tc>
        <w:tc>
          <w:tcPr>
            <w:tcW w:w="0" w:type="auto"/>
            <w:gridSpan w:val="2"/>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8"/>
                <w:szCs w:val="18"/>
              </w:rPr>
              <w:t>—</w:t>
            </w:r>
            <w:r>
              <w:rPr>
                <w:rFonts w:ascii="Arial" w:eastAsia="Times New Roman" w:hAnsi="Arial" w:cs="Arial"/>
                <w:color w:val="000000"/>
                <w:sz w:val="18"/>
                <w:szCs w:val="18"/>
              </w:rPr>
              <w:t> </w:t>
            </w:r>
          </w:p>
        </w:tc>
        <w:tc>
          <w:tcPr>
            <w:tcW w:w="0" w:type="auto"/>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8"/>
                <w:szCs w:val="18"/>
              </w:rPr>
              <w:t>—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8"/>
                <w:szCs w:val="18"/>
              </w:rPr>
              <w:t>—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1F1FC8">
            <w:pPr>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8"/>
                <w:szCs w:val="18"/>
              </w:rPr>
              <w:t>(10)</w:t>
            </w:r>
          </w:p>
        </w:tc>
        <w:tc>
          <w:tcPr>
            <w:tcW w:w="0" w:type="auto"/>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8"/>
                <w:szCs w:val="18"/>
              </w:rPr>
              <w:t>(12)</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8"/>
                <w:szCs w:val="18"/>
              </w:rPr>
              <w:t>(</w:t>
            </w:r>
            <w:r>
              <w:rPr>
                <w:rFonts w:ascii="Arial" w:eastAsia="Times New Roman" w:hAnsi="Arial" w:cs="Arial"/>
                <w:color w:val="000000"/>
                <w:sz w:val="18"/>
                <w:szCs w:val="18"/>
              </w:rPr>
              <w:t>12)</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r>
      <w:tr w:rsidR="00000000">
        <w:trPr>
          <w:divId w:val="730730853"/>
        </w:trPr>
        <w:tc>
          <w:tcPr>
            <w:tcW w:w="0" w:type="auto"/>
            <w:gridSpan w:val="3"/>
            <w:tcMar>
              <w:top w:w="30" w:type="dxa"/>
              <w:left w:w="20" w:type="dxa"/>
              <w:bottom w:w="30" w:type="dxa"/>
              <w:right w:w="20" w:type="dxa"/>
            </w:tcMar>
            <w:hideMark/>
          </w:tcPr>
          <w:p w:rsidR="00000000" w:rsidRDefault="001F1FC8">
            <w:pPr>
              <w:divId w:val="1102993676"/>
              <w:rPr>
                <w:rFonts w:eastAsia="Times New Roman"/>
              </w:rPr>
            </w:pPr>
            <w:r>
              <w:rPr>
                <w:rFonts w:ascii="Arial" w:eastAsia="Times New Roman" w:hAnsi="Arial" w:cs="Arial"/>
                <w:color w:val="000000"/>
                <w:sz w:val="18"/>
                <w:szCs w:val="18"/>
              </w:rPr>
              <w:t>Amortization/settlement of net actuarial gai</w:t>
            </w:r>
            <w:r>
              <w:rPr>
                <w:rFonts w:ascii="Arial" w:eastAsia="Times New Roman" w:hAnsi="Arial" w:cs="Arial"/>
                <w:color w:val="000000"/>
                <w:sz w:val="18"/>
                <w:szCs w:val="18"/>
              </w:rPr>
              <w:t>n</w:t>
            </w:r>
            <w:r>
              <w:rPr>
                <w:rFonts w:ascii="Arial" w:eastAsia="Times New Roman" w:hAnsi="Arial" w:cs="Arial"/>
                <w:color w:val="000000"/>
                <w:sz w:val="12"/>
                <w:szCs w:val="12"/>
              </w:rPr>
              <w:t>1</w:t>
            </w:r>
          </w:p>
        </w:tc>
        <w:tc>
          <w:tcPr>
            <w:tcW w:w="0" w:type="auto"/>
            <w:gridSpan w:val="2"/>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8"/>
                <w:szCs w:val="18"/>
              </w:rPr>
              <w:t>—</w:t>
            </w:r>
            <w:r>
              <w:rPr>
                <w:rFonts w:ascii="Arial" w:eastAsia="Times New Roman" w:hAnsi="Arial" w:cs="Arial"/>
                <w:color w:val="000000"/>
                <w:sz w:val="18"/>
                <w:szCs w:val="18"/>
              </w:rPr>
              <w:t> </w:t>
            </w:r>
          </w:p>
        </w:tc>
        <w:tc>
          <w:tcPr>
            <w:tcW w:w="0" w:type="auto"/>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8"/>
                <w:szCs w:val="18"/>
              </w:rPr>
              <w:t>(1)</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8"/>
                <w:szCs w:val="18"/>
              </w:rPr>
              <w:t>(7)</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1F1FC8">
            <w:pPr>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8"/>
                <w:szCs w:val="18"/>
              </w:rPr>
              <w:t>(1)</w:t>
            </w:r>
          </w:p>
        </w:tc>
        <w:tc>
          <w:tcPr>
            <w:tcW w:w="0" w:type="auto"/>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8"/>
                <w:szCs w:val="18"/>
              </w:rPr>
              <w:t>(1)</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8"/>
                <w:szCs w:val="18"/>
              </w:rPr>
              <w:t>—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r>
      <w:tr w:rsidR="00000000">
        <w:trPr>
          <w:divId w:val="730730853"/>
        </w:trPr>
        <w:tc>
          <w:tcPr>
            <w:tcW w:w="0" w:type="auto"/>
            <w:gridSpan w:val="3"/>
            <w:tcMar>
              <w:top w:w="30" w:type="dxa"/>
              <w:left w:w="20" w:type="dxa"/>
              <w:bottom w:w="30" w:type="dxa"/>
              <w:right w:w="20" w:type="dxa"/>
            </w:tcMar>
            <w:hideMark/>
          </w:tcPr>
          <w:p w:rsidR="00000000" w:rsidRDefault="001F1FC8">
            <w:pPr>
              <w:ind w:hanging="180"/>
              <w:divId w:val="883559189"/>
              <w:rPr>
                <w:rFonts w:eastAsia="Times New Roman"/>
              </w:rPr>
            </w:pPr>
            <w:r>
              <w:rPr>
                <w:rFonts w:ascii="Arial" w:eastAsia="Times New Roman" w:hAnsi="Arial" w:cs="Arial"/>
                <w:color w:val="000000"/>
                <w:sz w:val="18"/>
                <w:szCs w:val="18"/>
              </w:rPr>
              <w:t>Amortization/curtailment of prior service credi</w:t>
            </w:r>
            <w:r>
              <w:rPr>
                <w:rFonts w:ascii="Arial" w:eastAsia="Times New Roman" w:hAnsi="Arial" w:cs="Arial"/>
                <w:color w:val="000000"/>
                <w:sz w:val="18"/>
                <w:szCs w:val="18"/>
              </w:rPr>
              <w:t>t</w:t>
            </w:r>
            <w:r>
              <w:rPr>
                <w:rFonts w:ascii="Arial" w:eastAsia="Times New Roman" w:hAnsi="Arial" w:cs="Arial"/>
                <w:color w:val="000000"/>
                <w:sz w:val="12"/>
                <w:szCs w:val="12"/>
              </w:rPr>
              <w:t>1</w:t>
            </w:r>
          </w:p>
        </w:tc>
        <w:tc>
          <w:tcPr>
            <w:tcW w:w="0" w:type="auto"/>
            <w:gridSpan w:val="2"/>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8"/>
                <w:szCs w:val="18"/>
              </w:rPr>
              <w:t>—</w:t>
            </w:r>
            <w:r>
              <w:rPr>
                <w:rFonts w:ascii="Arial" w:eastAsia="Times New Roman" w:hAnsi="Arial" w:cs="Arial"/>
                <w:color w:val="000000"/>
                <w:sz w:val="18"/>
                <w:szCs w:val="18"/>
              </w:rPr>
              <w:t> </w:t>
            </w:r>
          </w:p>
        </w:tc>
        <w:tc>
          <w:tcPr>
            <w:tcW w:w="0" w:type="auto"/>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8"/>
                <w:szCs w:val="18"/>
              </w:rPr>
              <w:t>—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8"/>
                <w:szCs w:val="18"/>
              </w:rPr>
              <w:t>(1)</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1F1FC8">
            <w:pPr>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8"/>
                <w:szCs w:val="18"/>
              </w:rPr>
              <w:t>(7)</w:t>
            </w:r>
          </w:p>
        </w:tc>
        <w:tc>
          <w:tcPr>
            <w:tcW w:w="0" w:type="auto"/>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8"/>
                <w:szCs w:val="18"/>
              </w:rPr>
              <w:t>(2)</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8"/>
                <w:szCs w:val="18"/>
              </w:rPr>
              <w:t>(2)</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r>
      <w:tr w:rsidR="00000000">
        <w:trPr>
          <w:divId w:val="730730853"/>
        </w:trPr>
        <w:tc>
          <w:tcPr>
            <w:tcW w:w="0" w:type="auto"/>
            <w:gridSpan w:val="3"/>
            <w:tcBorders>
              <w:top w:val="single" w:sz="4" w:space="0" w:color="000000"/>
            </w:tcBorders>
            <w:tcMar>
              <w:top w:w="30" w:type="dxa"/>
              <w:left w:w="20" w:type="dxa"/>
              <w:bottom w:w="30" w:type="dxa"/>
              <w:right w:w="20" w:type="dxa"/>
            </w:tcMar>
            <w:hideMark/>
          </w:tcPr>
          <w:p w:rsidR="00000000" w:rsidRDefault="001F1FC8">
            <w:pPr>
              <w:rPr>
                <w:rFonts w:eastAsia="Times New Roman"/>
              </w:rPr>
            </w:pPr>
            <w:r>
              <w:rPr>
                <w:rFonts w:ascii="Arial" w:eastAsia="Times New Roman" w:hAnsi="Arial" w:cs="Arial"/>
                <w:color w:val="000000"/>
                <w:sz w:val="18"/>
                <w:szCs w:val="18"/>
              </w:rPr>
              <w:t>Net periodic benefit (credit)/cost recognized in Earnings</w:t>
            </w:r>
          </w:p>
        </w:tc>
        <w:tc>
          <w:tcPr>
            <w:tcW w:w="0" w:type="auto"/>
            <w:gridSpan w:val="2"/>
            <w:tcBorders>
              <w:top w:val="single" w:sz="4" w:space="0" w:color="000000"/>
            </w:tcBorders>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8"/>
                <w:szCs w:val="18"/>
              </w:rPr>
              <w:t>13</w:t>
            </w:r>
            <w:r>
              <w:rPr>
                <w:rFonts w:ascii="Arial" w:eastAsia="Times New Roman" w:hAnsi="Arial" w:cs="Arial"/>
                <w:color w:val="000000"/>
                <w:sz w:val="18"/>
                <w:szCs w:val="18"/>
              </w:rPr>
              <w:t> </w:t>
            </w:r>
          </w:p>
        </w:tc>
        <w:tc>
          <w:tcPr>
            <w:tcW w:w="0" w:type="auto"/>
            <w:tcBorders>
              <w:top w:val="single" w:sz="4" w:space="0" w:color="000000"/>
            </w:tcBorders>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8"/>
                <w:szCs w:val="18"/>
              </w:rPr>
              <w:t>12 </w:t>
            </w:r>
          </w:p>
        </w:tc>
        <w:tc>
          <w:tcPr>
            <w:tcW w:w="0" w:type="auto"/>
            <w:tcBorders>
              <w:top w:val="single" w:sz="4" w:space="0" w:color="000000"/>
            </w:tcBorders>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8"/>
                <w:szCs w:val="18"/>
              </w:rPr>
              <w:t>7 </w:t>
            </w:r>
          </w:p>
        </w:tc>
        <w:tc>
          <w:tcPr>
            <w:tcW w:w="0" w:type="auto"/>
            <w:tcBorders>
              <w:top w:val="single" w:sz="4" w:space="0" w:color="000000"/>
            </w:tcBorders>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1F1FC8">
            <w:pPr>
              <w:jc w:val="right"/>
              <w:rPr>
                <w:rFonts w:eastAsia="Times New Roman"/>
                <w:sz w:val="20"/>
                <w:szCs w:val="20"/>
              </w:rPr>
            </w:pPr>
          </w:p>
        </w:tc>
        <w:tc>
          <w:tcPr>
            <w:tcW w:w="0" w:type="auto"/>
            <w:gridSpan w:val="2"/>
            <w:tcBorders>
              <w:top w:val="single" w:sz="4" w:space="0" w:color="000000"/>
            </w:tcBorders>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8"/>
                <w:szCs w:val="18"/>
              </w:rPr>
              <w:t>(14)</w:t>
            </w:r>
          </w:p>
        </w:tc>
        <w:tc>
          <w:tcPr>
            <w:tcW w:w="0" w:type="auto"/>
            <w:tcBorders>
              <w:top w:val="single" w:sz="4" w:space="0" w:color="000000"/>
            </w:tcBorders>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8"/>
                <w:szCs w:val="18"/>
              </w:rPr>
              <w:t>(6)</w:t>
            </w:r>
          </w:p>
        </w:tc>
        <w:tc>
          <w:tcPr>
            <w:tcW w:w="0" w:type="auto"/>
            <w:tcBorders>
              <w:top w:val="single" w:sz="4" w:space="0" w:color="000000"/>
            </w:tcBorders>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8"/>
                <w:szCs w:val="18"/>
              </w:rPr>
              <w:t>(2)</w:t>
            </w:r>
          </w:p>
        </w:tc>
        <w:tc>
          <w:tcPr>
            <w:tcW w:w="0" w:type="auto"/>
            <w:tcBorders>
              <w:top w:val="single" w:sz="4" w:space="0" w:color="000000"/>
            </w:tcBorders>
            <w:tcMar>
              <w:top w:w="30" w:type="dxa"/>
              <w:left w:w="0" w:type="dxa"/>
              <w:bottom w:w="30" w:type="dxa"/>
              <w:right w:w="20" w:type="dxa"/>
            </w:tcMar>
            <w:vAlign w:val="bottom"/>
            <w:hideMark/>
          </w:tcPr>
          <w:p w:rsidR="00000000" w:rsidRDefault="001F1FC8">
            <w:pPr>
              <w:jc w:val="right"/>
              <w:rPr>
                <w:rFonts w:eastAsia="Times New Roman"/>
              </w:rPr>
            </w:pPr>
          </w:p>
        </w:tc>
      </w:tr>
      <w:tr w:rsidR="00000000">
        <w:trPr>
          <w:divId w:val="730730853"/>
        </w:trPr>
        <w:tc>
          <w:tcPr>
            <w:tcW w:w="0" w:type="auto"/>
            <w:gridSpan w:val="3"/>
            <w:tcMar>
              <w:top w:w="30" w:type="dxa"/>
              <w:left w:w="20" w:type="dxa"/>
              <w:bottom w:w="30" w:type="dxa"/>
              <w:right w:w="20" w:type="dxa"/>
            </w:tcMar>
            <w:hideMark/>
          </w:tcPr>
          <w:p w:rsidR="00000000" w:rsidRDefault="001F1FC8">
            <w:pPr>
              <w:rPr>
                <w:rFonts w:eastAsia="Times New Roman"/>
              </w:rPr>
            </w:pPr>
            <w:r>
              <w:rPr>
                <w:rFonts w:ascii="Arial" w:eastAsia="Times New Roman" w:hAnsi="Arial" w:cs="Arial"/>
                <w:color w:val="000000"/>
                <w:sz w:val="18"/>
                <w:szCs w:val="18"/>
              </w:rPr>
              <w:t>Amount recognized in OCI:</w:t>
            </w:r>
          </w:p>
        </w:tc>
        <w:tc>
          <w:tcPr>
            <w:tcW w:w="0" w:type="auto"/>
            <w:gridSpan w:val="3"/>
            <w:shd w:val="clear" w:color="auto" w:fill="D9D9D9"/>
            <w:tcMar>
              <w:top w:w="0" w:type="dxa"/>
              <w:left w:w="20" w:type="dxa"/>
              <w:bottom w:w="0" w:type="dxa"/>
              <w:right w:w="20" w:type="dxa"/>
            </w:tcMar>
            <w:vAlign w:val="center"/>
            <w:hideMark/>
          </w:tcPr>
          <w:p w:rsidR="00000000" w:rsidRDefault="001F1FC8">
            <w:pPr>
              <w:rPr>
                <w:rFonts w:eastAsia="Times New Roman"/>
              </w:rPr>
            </w:pPr>
          </w:p>
        </w:tc>
        <w:tc>
          <w:tcPr>
            <w:tcW w:w="0" w:type="auto"/>
            <w:gridSpan w:val="3"/>
            <w:tcMar>
              <w:top w:w="0" w:type="dxa"/>
              <w:left w:w="20" w:type="dxa"/>
              <w:bottom w:w="0" w:type="dxa"/>
              <w:right w:w="20" w:type="dxa"/>
            </w:tcMar>
            <w:vAlign w:val="center"/>
            <w:hideMark/>
          </w:tcPr>
          <w:p w:rsidR="00000000" w:rsidRDefault="001F1FC8">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1F1FC8">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1F1FC8">
            <w:pPr>
              <w:rPr>
                <w:rFonts w:eastAsia="Times New Roman"/>
                <w:sz w:val="20"/>
                <w:szCs w:val="20"/>
              </w:rPr>
            </w:pPr>
          </w:p>
        </w:tc>
        <w:tc>
          <w:tcPr>
            <w:tcW w:w="0" w:type="auto"/>
            <w:gridSpan w:val="3"/>
            <w:shd w:val="clear" w:color="auto" w:fill="D9D9D9"/>
            <w:tcMar>
              <w:top w:w="0" w:type="dxa"/>
              <w:left w:w="20" w:type="dxa"/>
              <w:bottom w:w="0" w:type="dxa"/>
              <w:right w:w="20" w:type="dxa"/>
            </w:tcMar>
            <w:vAlign w:val="center"/>
            <w:hideMark/>
          </w:tcPr>
          <w:p w:rsidR="00000000" w:rsidRDefault="001F1FC8">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1F1FC8">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1F1FC8">
            <w:pPr>
              <w:rPr>
                <w:rFonts w:eastAsia="Times New Roman"/>
                <w:sz w:val="20"/>
                <w:szCs w:val="20"/>
              </w:rPr>
            </w:pPr>
          </w:p>
        </w:tc>
      </w:tr>
      <w:tr w:rsidR="00000000">
        <w:trPr>
          <w:divId w:val="730730853"/>
        </w:trPr>
        <w:tc>
          <w:tcPr>
            <w:tcW w:w="0" w:type="auto"/>
            <w:gridSpan w:val="3"/>
            <w:tcMar>
              <w:top w:w="30" w:type="dxa"/>
              <w:left w:w="20" w:type="dxa"/>
              <w:bottom w:w="30" w:type="dxa"/>
              <w:right w:w="20" w:type="dxa"/>
            </w:tcMar>
            <w:vAlign w:val="bottom"/>
            <w:hideMark/>
          </w:tcPr>
          <w:p w:rsidR="00000000" w:rsidRDefault="001F1FC8">
            <w:pPr>
              <w:ind w:firstLine="180"/>
              <w:rPr>
                <w:rFonts w:eastAsia="Times New Roman"/>
              </w:rPr>
            </w:pPr>
            <w:r>
              <w:rPr>
                <w:rFonts w:ascii="Arial" w:eastAsia="Times New Roman" w:hAnsi="Arial" w:cs="Arial"/>
                <w:color w:val="000000"/>
                <w:sz w:val="18"/>
                <w:szCs w:val="18"/>
              </w:rPr>
              <w:t>Amortization/settlement of net actuarial gain</w:t>
            </w:r>
          </w:p>
        </w:tc>
        <w:tc>
          <w:tcPr>
            <w:tcW w:w="0" w:type="auto"/>
            <w:gridSpan w:val="2"/>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8"/>
                <w:szCs w:val="18"/>
              </w:rPr>
              <w:t>—</w:t>
            </w:r>
            <w:r>
              <w:rPr>
                <w:rFonts w:ascii="Arial" w:eastAsia="Times New Roman" w:hAnsi="Arial" w:cs="Arial"/>
                <w:color w:val="000000"/>
                <w:sz w:val="18"/>
                <w:szCs w:val="18"/>
              </w:rPr>
              <w:t> </w:t>
            </w:r>
          </w:p>
        </w:tc>
        <w:tc>
          <w:tcPr>
            <w:tcW w:w="0" w:type="auto"/>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8"/>
                <w:szCs w:val="18"/>
              </w:rPr>
              <w:t>1 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8"/>
                <w:szCs w:val="18"/>
              </w:rPr>
              <w:t>7 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1F1FC8">
            <w:pPr>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8"/>
                <w:szCs w:val="18"/>
              </w:rPr>
              <w:t>1</w:t>
            </w:r>
            <w:r>
              <w:rPr>
                <w:rFonts w:ascii="Arial" w:eastAsia="Times New Roman" w:hAnsi="Arial" w:cs="Arial"/>
                <w:color w:val="000000"/>
                <w:sz w:val="18"/>
                <w:szCs w:val="18"/>
              </w:rPr>
              <w:t> </w:t>
            </w:r>
          </w:p>
        </w:tc>
        <w:tc>
          <w:tcPr>
            <w:tcW w:w="0" w:type="auto"/>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8"/>
                <w:szCs w:val="18"/>
              </w:rPr>
              <w:t>1 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8"/>
                <w:szCs w:val="18"/>
              </w:rPr>
              <w:t>—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r>
      <w:tr w:rsidR="00000000">
        <w:trPr>
          <w:divId w:val="730730853"/>
        </w:trPr>
        <w:tc>
          <w:tcPr>
            <w:tcW w:w="0" w:type="auto"/>
            <w:gridSpan w:val="3"/>
            <w:tcMar>
              <w:top w:w="30" w:type="dxa"/>
              <w:left w:w="20" w:type="dxa"/>
              <w:bottom w:w="30" w:type="dxa"/>
              <w:right w:w="20" w:type="dxa"/>
            </w:tcMar>
            <w:vAlign w:val="bottom"/>
            <w:hideMark/>
          </w:tcPr>
          <w:p w:rsidR="00000000" w:rsidRDefault="001F1FC8">
            <w:pPr>
              <w:ind w:firstLine="180"/>
              <w:rPr>
                <w:rFonts w:eastAsia="Times New Roman"/>
              </w:rPr>
            </w:pPr>
            <w:r>
              <w:rPr>
                <w:rFonts w:ascii="Arial" w:eastAsia="Times New Roman" w:hAnsi="Arial" w:cs="Arial"/>
                <w:color w:val="000000"/>
                <w:sz w:val="18"/>
                <w:szCs w:val="18"/>
              </w:rPr>
              <w:t>Amortization/curtailment of prior service credit</w:t>
            </w:r>
          </w:p>
        </w:tc>
        <w:tc>
          <w:tcPr>
            <w:tcW w:w="0" w:type="auto"/>
            <w:gridSpan w:val="2"/>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8"/>
                <w:szCs w:val="18"/>
              </w:rPr>
              <w:t>—</w:t>
            </w:r>
            <w:r>
              <w:rPr>
                <w:rFonts w:ascii="Arial" w:eastAsia="Times New Roman" w:hAnsi="Arial" w:cs="Arial"/>
                <w:color w:val="000000"/>
                <w:sz w:val="18"/>
                <w:szCs w:val="18"/>
              </w:rPr>
              <w:t> </w:t>
            </w:r>
          </w:p>
        </w:tc>
        <w:tc>
          <w:tcPr>
            <w:tcW w:w="0" w:type="auto"/>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8"/>
                <w:szCs w:val="18"/>
              </w:rPr>
              <w:t>—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8"/>
                <w:szCs w:val="18"/>
              </w:rPr>
              <w:t>1 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1F1FC8">
            <w:pPr>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8"/>
                <w:szCs w:val="18"/>
              </w:rPr>
              <w:t>7</w:t>
            </w:r>
            <w:r>
              <w:rPr>
                <w:rFonts w:ascii="Arial" w:eastAsia="Times New Roman" w:hAnsi="Arial" w:cs="Arial"/>
                <w:color w:val="000000"/>
                <w:sz w:val="18"/>
                <w:szCs w:val="18"/>
              </w:rPr>
              <w:t> </w:t>
            </w:r>
          </w:p>
        </w:tc>
        <w:tc>
          <w:tcPr>
            <w:tcW w:w="0" w:type="auto"/>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8"/>
                <w:szCs w:val="18"/>
              </w:rPr>
              <w:t>2 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8"/>
                <w:szCs w:val="18"/>
              </w:rPr>
              <w:t>2 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r>
      <w:tr w:rsidR="00000000">
        <w:trPr>
          <w:divId w:val="730730853"/>
        </w:trPr>
        <w:tc>
          <w:tcPr>
            <w:tcW w:w="0" w:type="auto"/>
            <w:gridSpan w:val="3"/>
            <w:tcMar>
              <w:top w:w="30" w:type="dxa"/>
              <w:left w:w="20" w:type="dxa"/>
              <w:bottom w:w="30" w:type="dxa"/>
              <w:right w:w="20" w:type="dxa"/>
            </w:tcMar>
            <w:vAlign w:val="bottom"/>
            <w:hideMark/>
          </w:tcPr>
          <w:p w:rsidR="00000000" w:rsidRDefault="001F1FC8">
            <w:pPr>
              <w:ind w:firstLine="180"/>
              <w:rPr>
                <w:rFonts w:eastAsia="Times New Roman"/>
              </w:rPr>
            </w:pPr>
            <w:r>
              <w:rPr>
                <w:rFonts w:ascii="Arial" w:eastAsia="Times New Roman" w:hAnsi="Arial" w:cs="Arial"/>
                <w:color w:val="000000"/>
                <w:sz w:val="18"/>
                <w:szCs w:val="18"/>
              </w:rPr>
              <w:t>Net actuarial (gain)/loss arising during the year</w:t>
            </w:r>
          </w:p>
        </w:tc>
        <w:tc>
          <w:tcPr>
            <w:tcW w:w="0" w:type="auto"/>
            <w:gridSpan w:val="2"/>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8"/>
                <w:szCs w:val="18"/>
              </w:rPr>
              <w:t>(50)</w:t>
            </w:r>
          </w:p>
        </w:tc>
        <w:tc>
          <w:tcPr>
            <w:tcW w:w="0" w:type="auto"/>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8"/>
                <w:szCs w:val="18"/>
              </w:rPr>
              <w:t>21 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8"/>
                <w:szCs w:val="18"/>
              </w:rPr>
              <w:t>15 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1F1FC8">
            <w:pPr>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8"/>
                <w:szCs w:val="18"/>
              </w:rPr>
              <w:t>(80)</w:t>
            </w:r>
          </w:p>
        </w:tc>
        <w:tc>
          <w:tcPr>
            <w:tcW w:w="0" w:type="auto"/>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8"/>
                <w:szCs w:val="18"/>
              </w:rPr>
              <w:t>15 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8"/>
                <w:szCs w:val="18"/>
              </w:rPr>
              <w:t>(8)</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r>
      <w:tr w:rsidR="00000000">
        <w:trPr>
          <w:divId w:val="730730853"/>
        </w:trPr>
        <w:tc>
          <w:tcPr>
            <w:tcW w:w="0" w:type="auto"/>
            <w:gridSpan w:val="3"/>
            <w:tcMar>
              <w:top w:w="30" w:type="dxa"/>
              <w:left w:w="20" w:type="dxa"/>
              <w:bottom w:w="30" w:type="dxa"/>
              <w:right w:w="20" w:type="dxa"/>
            </w:tcMar>
            <w:vAlign w:val="bottom"/>
            <w:hideMark/>
          </w:tcPr>
          <w:p w:rsidR="00000000" w:rsidRDefault="001F1FC8">
            <w:pPr>
              <w:ind w:firstLine="180"/>
              <w:rPr>
                <w:rFonts w:eastAsia="Times New Roman"/>
              </w:rPr>
            </w:pPr>
            <w:r>
              <w:rPr>
                <w:rFonts w:ascii="Arial" w:eastAsia="Times New Roman" w:hAnsi="Arial" w:cs="Arial"/>
                <w:color w:val="000000"/>
                <w:sz w:val="18"/>
                <w:szCs w:val="18"/>
              </w:rPr>
              <w:t>Prior service credit</w:t>
            </w:r>
          </w:p>
        </w:tc>
        <w:tc>
          <w:tcPr>
            <w:tcW w:w="0" w:type="auto"/>
            <w:gridSpan w:val="2"/>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8"/>
                <w:szCs w:val="18"/>
              </w:rPr>
              <w:t>—</w:t>
            </w:r>
            <w:r>
              <w:rPr>
                <w:rFonts w:ascii="Arial" w:eastAsia="Times New Roman" w:hAnsi="Arial" w:cs="Arial"/>
                <w:color w:val="000000"/>
                <w:sz w:val="18"/>
                <w:szCs w:val="18"/>
              </w:rPr>
              <w:t> </w:t>
            </w:r>
          </w:p>
        </w:tc>
        <w:tc>
          <w:tcPr>
            <w:tcW w:w="0" w:type="auto"/>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8"/>
                <w:szCs w:val="18"/>
              </w:rPr>
              <w:t>—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8"/>
                <w:szCs w:val="18"/>
              </w:rPr>
              <w:t>—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1F1FC8">
            <w:pPr>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8"/>
                <w:szCs w:val="18"/>
              </w:rPr>
              <w:t>—</w:t>
            </w:r>
            <w:r>
              <w:rPr>
                <w:rFonts w:ascii="Arial" w:eastAsia="Times New Roman" w:hAnsi="Arial" w:cs="Arial"/>
                <w:color w:val="000000"/>
                <w:sz w:val="18"/>
                <w:szCs w:val="18"/>
              </w:rPr>
              <w:t> </w:t>
            </w:r>
          </w:p>
        </w:tc>
        <w:tc>
          <w:tcPr>
            <w:tcW w:w="0" w:type="auto"/>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8"/>
                <w:szCs w:val="18"/>
              </w:rPr>
              <w:t>(33)</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8"/>
                <w:szCs w:val="18"/>
              </w:rPr>
              <w:t>—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r>
      <w:tr w:rsidR="00000000">
        <w:trPr>
          <w:divId w:val="730730853"/>
        </w:trPr>
        <w:tc>
          <w:tcPr>
            <w:tcW w:w="0" w:type="auto"/>
            <w:gridSpan w:val="3"/>
            <w:tcBorders>
              <w:top w:val="single" w:sz="4" w:space="0" w:color="000000"/>
            </w:tcBorders>
            <w:tcMar>
              <w:top w:w="30" w:type="dxa"/>
              <w:left w:w="20" w:type="dxa"/>
              <w:bottom w:w="30" w:type="dxa"/>
              <w:right w:w="20" w:type="dxa"/>
            </w:tcMar>
            <w:hideMark/>
          </w:tcPr>
          <w:p w:rsidR="00000000" w:rsidRDefault="001F1FC8">
            <w:pPr>
              <w:rPr>
                <w:rFonts w:eastAsia="Times New Roman"/>
              </w:rPr>
            </w:pPr>
            <w:r>
              <w:rPr>
                <w:rFonts w:ascii="Arial" w:eastAsia="Times New Roman" w:hAnsi="Arial" w:cs="Arial"/>
                <w:color w:val="000000"/>
                <w:sz w:val="18"/>
                <w:szCs w:val="18"/>
              </w:rPr>
              <w:t>Total amount recognized in OCI</w:t>
            </w:r>
          </w:p>
        </w:tc>
        <w:tc>
          <w:tcPr>
            <w:tcW w:w="0" w:type="auto"/>
            <w:gridSpan w:val="2"/>
            <w:tcBorders>
              <w:top w:val="single" w:sz="4" w:space="0" w:color="000000"/>
            </w:tcBorders>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8"/>
                <w:szCs w:val="18"/>
              </w:rPr>
              <w:t>(50)</w:t>
            </w:r>
          </w:p>
        </w:tc>
        <w:tc>
          <w:tcPr>
            <w:tcW w:w="0" w:type="auto"/>
            <w:tcBorders>
              <w:top w:val="single" w:sz="4" w:space="0" w:color="000000"/>
            </w:tcBorders>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8"/>
                <w:szCs w:val="18"/>
              </w:rPr>
              <w:t>22 </w:t>
            </w:r>
          </w:p>
        </w:tc>
        <w:tc>
          <w:tcPr>
            <w:tcW w:w="0" w:type="auto"/>
            <w:tcBorders>
              <w:top w:val="single" w:sz="4" w:space="0" w:color="000000"/>
            </w:tcBorders>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8"/>
                <w:szCs w:val="18"/>
              </w:rPr>
              <w:t>23 </w:t>
            </w:r>
          </w:p>
        </w:tc>
        <w:tc>
          <w:tcPr>
            <w:tcW w:w="0" w:type="auto"/>
            <w:tcBorders>
              <w:top w:val="single" w:sz="4" w:space="0" w:color="000000"/>
            </w:tcBorders>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1F1FC8">
            <w:pPr>
              <w:jc w:val="right"/>
              <w:rPr>
                <w:rFonts w:eastAsia="Times New Roman"/>
                <w:sz w:val="20"/>
                <w:szCs w:val="20"/>
              </w:rPr>
            </w:pPr>
          </w:p>
        </w:tc>
        <w:tc>
          <w:tcPr>
            <w:tcW w:w="0" w:type="auto"/>
            <w:gridSpan w:val="2"/>
            <w:tcBorders>
              <w:top w:val="single" w:sz="4" w:space="0" w:color="000000"/>
            </w:tcBorders>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8"/>
                <w:szCs w:val="18"/>
              </w:rPr>
              <w:t>(72)</w:t>
            </w:r>
          </w:p>
        </w:tc>
        <w:tc>
          <w:tcPr>
            <w:tcW w:w="0" w:type="auto"/>
            <w:tcBorders>
              <w:top w:val="single" w:sz="4" w:space="0" w:color="000000"/>
            </w:tcBorders>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8"/>
                <w:szCs w:val="18"/>
              </w:rPr>
              <w:t>(15)</w:t>
            </w:r>
          </w:p>
        </w:tc>
        <w:tc>
          <w:tcPr>
            <w:tcW w:w="0" w:type="auto"/>
            <w:tcBorders>
              <w:top w:val="single" w:sz="4" w:space="0" w:color="000000"/>
            </w:tcBorders>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8"/>
                <w:szCs w:val="18"/>
              </w:rPr>
              <w:t>(6)</w:t>
            </w:r>
          </w:p>
        </w:tc>
        <w:tc>
          <w:tcPr>
            <w:tcW w:w="0" w:type="auto"/>
            <w:tcBorders>
              <w:top w:val="single" w:sz="4" w:space="0" w:color="000000"/>
            </w:tcBorders>
            <w:tcMar>
              <w:top w:w="30" w:type="dxa"/>
              <w:left w:w="0" w:type="dxa"/>
              <w:bottom w:w="30" w:type="dxa"/>
              <w:right w:w="20" w:type="dxa"/>
            </w:tcMar>
            <w:vAlign w:val="bottom"/>
            <w:hideMark/>
          </w:tcPr>
          <w:p w:rsidR="00000000" w:rsidRDefault="001F1FC8">
            <w:pPr>
              <w:jc w:val="right"/>
              <w:rPr>
                <w:rFonts w:eastAsia="Times New Roman"/>
              </w:rPr>
            </w:pPr>
          </w:p>
        </w:tc>
      </w:tr>
      <w:tr w:rsidR="00000000">
        <w:trPr>
          <w:divId w:val="730730853"/>
        </w:trPr>
        <w:tc>
          <w:tcPr>
            <w:tcW w:w="0" w:type="auto"/>
            <w:gridSpan w:val="3"/>
            <w:tcBorders>
              <w:top w:val="single" w:sz="4" w:space="0" w:color="000000"/>
              <w:bottom w:val="single" w:sz="8" w:space="0" w:color="000000"/>
            </w:tcBorders>
            <w:tcMar>
              <w:top w:w="30" w:type="dxa"/>
              <w:left w:w="20" w:type="dxa"/>
              <w:bottom w:w="30" w:type="dxa"/>
              <w:right w:w="20" w:type="dxa"/>
            </w:tcMar>
            <w:hideMark/>
          </w:tcPr>
          <w:p w:rsidR="00000000" w:rsidRDefault="001F1FC8">
            <w:pPr>
              <w:rPr>
                <w:rFonts w:eastAsia="Times New Roman"/>
              </w:rPr>
            </w:pPr>
            <w:r>
              <w:rPr>
                <w:rFonts w:ascii="Arial" w:eastAsia="Times New Roman" w:hAnsi="Arial" w:cs="Arial"/>
                <w:color w:val="000000"/>
                <w:sz w:val="18"/>
                <w:szCs w:val="18"/>
              </w:rPr>
              <w:t>Total amount recognized in Comprehensive income</w:t>
            </w:r>
          </w:p>
        </w:tc>
        <w:tc>
          <w:tcPr>
            <w:tcW w:w="0" w:type="auto"/>
            <w:gridSpan w:val="2"/>
            <w:tcBorders>
              <w:top w:val="single" w:sz="4" w:space="0" w:color="000000"/>
              <w:bottom w:val="single" w:sz="8" w:space="0" w:color="000000"/>
            </w:tcBorders>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8"/>
                <w:szCs w:val="18"/>
              </w:rPr>
              <w:t>(37)</w:t>
            </w:r>
          </w:p>
        </w:tc>
        <w:tc>
          <w:tcPr>
            <w:tcW w:w="0" w:type="auto"/>
            <w:tcBorders>
              <w:top w:val="single" w:sz="4" w:space="0" w:color="000000"/>
              <w:bottom w:val="single" w:sz="8" w:space="0" w:color="000000"/>
            </w:tcBorders>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Borders>
              <w:top w:val="single" w:sz="4" w:space="0" w:color="000000"/>
              <w:bottom w:val="single" w:sz="8" w:space="0" w:color="000000"/>
            </w:tcBorders>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8"/>
                <w:szCs w:val="18"/>
              </w:rPr>
              <w:t>34 </w:t>
            </w:r>
          </w:p>
        </w:tc>
        <w:tc>
          <w:tcPr>
            <w:tcW w:w="0" w:type="auto"/>
            <w:tcBorders>
              <w:top w:val="single" w:sz="4" w:space="0" w:color="000000"/>
              <w:bottom w:val="single" w:sz="8" w:space="0" w:color="000000"/>
            </w:tcBorders>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Borders>
              <w:top w:val="single" w:sz="4" w:space="0" w:color="000000"/>
              <w:bottom w:val="single" w:sz="8" w:space="0" w:color="000000"/>
            </w:tcBorders>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8"/>
                <w:szCs w:val="18"/>
              </w:rPr>
              <w:t>30 </w:t>
            </w:r>
          </w:p>
        </w:tc>
        <w:tc>
          <w:tcPr>
            <w:tcW w:w="0" w:type="auto"/>
            <w:tcBorders>
              <w:top w:val="single" w:sz="4" w:space="0" w:color="000000"/>
              <w:bottom w:val="single" w:sz="8" w:space="0" w:color="000000"/>
            </w:tcBorders>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3"/>
            <w:tcBorders>
              <w:top w:val="single" w:sz="4" w:space="0" w:color="000000"/>
              <w:bottom w:val="single" w:sz="8" w:space="0" w:color="000000"/>
            </w:tcBorders>
            <w:tcMar>
              <w:top w:w="0" w:type="dxa"/>
              <w:left w:w="20" w:type="dxa"/>
              <w:bottom w:w="0" w:type="dxa"/>
              <w:right w:w="20" w:type="dxa"/>
            </w:tcMar>
            <w:vAlign w:val="center"/>
            <w:hideMark/>
          </w:tcPr>
          <w:p w:rsidR="00000000" w:rsidRDefault="001F1FC8">
            <w:pPr>
              <w:jc w:val="right"/>
              <w:rPr>
                <w:rFonts w:eastAsia="Times New Roman"/>
                <w:sz w:val="20"/>
                <w:szCs w:val="20"/>
              </w:rPr>
            </w:pPr>
          </w:p>
        </w:tc>
        <w:tc>
          <w:tcPr>
            <w:tcW w:w="0" w:type="auto"/>
            <w:gridSpan w:val="2"/>
            <w:tcBorders>
              <w:top w:val="single" w:sz="4" w:space="0" w:color="000000"/>
              <w:bottom w:val="single" w:sz="8" w:space="0" w:color="000000"/>
            </w:tcBorders>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8"/>
                <w:szCs w:val="18"/>
              </w:rPr>
              <w:t>(86)</w:t>
            </w:r>
          </w:p>
        </w:tc>
        <w:tc>
          <w:tcPr>
            <w:tcW w:w="0" w:type="auto"/>
            <w:tcBorders>
              <w:top w:val="single" w:sz="4" w:space="0" w:color="000000"/>
              <w:bottom w:val="single" w:sz="8" w:space="0" w:color="000000"/>
            </w:tcBorders>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Borders>
              <w:top w:val="single" w:sz="4" w:space="0" w:color="000000"/>
              <w:bottom w:val="single" w:sz="8" w:space="0" w:color="000000"/>
            </w:tcBorders>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8"/>
                <w:szCs w:val="18"/>
              </w:rPr>
              <w:t>(21)</w:t>
            </w:r>
          </w:p>
        </w:tc>
        <w:tc>
          <w:tcPr>
            <w:tcW w:w="0" w:type="auto"/>
            <w:tcBorders>
              <w:top w:val="single" w:sz="4" w:space="0" w:color="000000"/>
              <w:bottom w:val="single" w:sz="8" w:space="0" w:color="000000"/>
            </w:tcBorders>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Borders>
              <w:top w:val="single" w:sz="4" w:space="0" w:color="000000"/>
              <w:bottom w:val="single" w:sz="8" w:space="0" w:color="000000"/>
            </w:tcBorders>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8"/>
                <w:szCs w:val="18"/>
              </w:rPr>
              <w:t>(8)</w:t>
            </w:r>
          </w:p>
        </w:tc>
        <w:tc>
          <w:tcPr>
            <w:tcW w:w="0" w:type="auto"/>
            <w:tcBorders>
              <w:top w:val="single" w:sz="4" w:space="0" w:color="000000"/>
              <w:bottom w:val="single" w:sz="8" w:space="0" w:color="000000"/>
            </w:tcBorders>
            <w:tcMar>
              <w:top w:w="30" w:type="dxa"/>
              <w:left w:w="0" w:type="dxa"/>
              <w:bottom w:w="30" w:type="dxa"/>
              <w:right w:w="20" w:type="dxa"/>
            </w:tcMar>
            <w:vAlign w:val="bottom"/>
            <w:hideMark/>
          </w:tcPr>
          <w:p w:rsidR="00000000" w:rsidRDefault="001F1FC8">
            <w:pPr>
              <w:jc w:val="right"/>
              <w:rPr>
                <w:rFonts w:eastAsia="Times New Roman"/>
              </w:rPr>
            </w:pPr>
          </w:p>
        </w:tc>
      </w:tr>
    </w:tbl>
    <w:p w:rsidR="00000000" w:rsidRDefault="001F1FC8">
      <w:pPr>
        <w:divId w:val="1299870950"/>
        <w:rPr>
          <w:rFonts w:eastAsia="Times New Roman"/>
        </w:rPr>
      </w:pPr>
      <w:r>
        <w:rPr>
          <w:rFonts w:ascii="Arial" w:eastAsia="Times New Roman" w:hAnsi="Arial" w:cs="Arial"/>
          <w:i/>
          <w:iCs/>
          <w:color w:val="000000"/>
          <w:sz w:val="16"/>
          <w:szCs w:val="16"/>
        </w:rPr>
        <w:t>1 Reported within Other income/(expense) in the Consolidated Statements of Earnings.</w:t>
      </w:r>
    </w:p>
    <w:p w:rsidR="00000000" w:rsidRDefault="001F1FC8">
      <w:pPr>
        <w:divId w:val="1023092678"/>
        <w:rPr>
          <w:rFonts w:eastAsia="Times New Roman"/>
        </w:rPr>
      </w:pPr>
    </w:p>
    <w:p w:rsidR="00000000" w:rsidRDefault="001F1FC8">
      <w:pPr>
        <w:jc w:val="center"/>
        <w:divId w:val="1551767497"/>
        <w:rPr>
          <w:rFonts w:eastAsia="Times New Roman"/>
        </w:rPr>
      </w:pPr>
      <w:r>
        <w:rPr>
          <w:rFonts w:ascii="Arial" w:eastAsia="Times New Roman" w:hAnsi="Arial" w:cs="Arial"/>
          <w:color w:val="000000"/>
          <w:sz w:val="20"/>
          <w:szCs w:val="20"/>
        </w:rPr>
        <w:t>169</w:t>
      </w:r>
    </w:p>
    <w:p w:rsidR="00000000" w:rsidRDefault="001F1FC8">
      <w:pPr>
        <w:rPr>
          <w:rFonts w:eastAsia="Times New Roman"/>
        </w:rPr>
      </w:pPr>
      <w:r>
        <w:rPr>
          <w:rFonts w:eastAsia="Times New Roman"/>
        </w:rPr>
        <w:pict>
          <v:rect id="_x0000_i1199" style="width:0;height:1.5pt" o:hralign="center" o:hrstd="t" o:hr="t" fillcolor="#a0a0a0" stroked="f"/>
        </w:pict>
      </w:r>
    </w:p>
    <w:p w:rsidR="00000000" w:rsidRDefault="001F1FC8">
      <w:pPr>
        <w:jc w:val="center"/>
        <w:divId w:val="1546288990"/>
        <w:rPr>
          <w:rFonts w:eastAsia="Times New Roman"/>
        </w:rPr>
      </w:pPr>
    </w:p>
    <w:p w:rsidR="00000000" w:rsidRDefault="001F1FC8">
      <w:pPr>
        <w:divId w:val="1576427720"/>
        <w:rPr>
          <w:rFonts w:eastAsia="Times New Roman"/>
        </w:rPr>
      </w:pPr>
      <w:r>
        <w:rPr>
          <w:rFonts w:ascii="Arial" w:eastAsia="Times New Roman" w:hAnsi="Arial" w:cs="Arial"/>
          <w:b/>
          <w:bCs/>
          <w:color w:val="000000"/>
          <w:sz w:val="20"/>
          <w:szCs w:val="20"/>
        </w:rPr>
        <w:t>Actuarial Assumptions</w:t>
      </w:r>
    </w:p>
    <w:p w:rsidR="00000000" w:rsidRDefault="001F1FC8">
      <w:pPr>
        <w:divId w:val="157422670"/>
        <w:rPr>
          <w:rFonts w:eastAsia="Times New Roman"/>
        </w:rPr>
      </w:pPr>
      <w:r>
        <w:rPr>
          <w:rFonts w:ascii="Arial" w:eastAsia="Times New Roman" w:hAnsi="Arial" w:cs="Arial"/>
          <w:color w:val="000000"/>
          <w:sz w:val="20"/>
          <w:szCs w:val="20"/>
        </w:rPr>
        <w:t>The weighted average assumptions made in the measurement of the accumulated postretirement benefit oblig</w:t>
      </w:r>
      <w:r>
        <w:rPr>
          <w:rFonts w:ascii="Arial" w:eastAsia="Times New Roman" w:hAnsi="Arial" w:cs="Arial"/>
          <w:color w:val="000000"/>
          <w:sz w:val="20"/>
          <w:szCs w:val="20"/>
        </w:rPr>
        <w:t>ation and net periodic benefit cost of our OPEB plans are as follows:</w:t>
      </w:r>
    </w:p>
    <w:tbl>
      <w:tblPr>
        <w:tblW w:w="5000" w:type="pct"/>
        <w:tblCellMar>
          <w:top w:w="15" w:type="dxa"/>
          <w:left w:w="15" w:type="dxa"/>
          <w:bottom w:w="15" w:type="dxa"/>
          <w:right w:w="15" w:type="dxa"/>
        </w:tblCellMar>
        <w:tblLook w:val="04A0" w:firstRow="1" w:lastRow="0" w:firstColumn="1" w:lastColumn="0" w:noHBand="0" w:noVBand="1"/>
      </w:tblPr>
      <w:tblGrid>
        <w:gridCol w:w="44"/>
        <w:gridCol w:w="2515"/>
        <w:gridCol w:w="36"/>
        <w:gridCol w:w="44"/>
        <w:gridCol w:w="702"/>
        <w:gridCol w:w="198"/>
        <w:gridCol w:w="44"/>
        <w:gridCol w:w="703"/>
        <w:gridCol w:w="198"/>
        <w:gridCol w:w="44"/>
        <w:gridCol w:w="703"/>
        <w:gridCol w:w="198"/>
        <w:gridCol w:w="36"/>
        <w:gridCol w:w="36"/>
        <w:gridCol w:w="36"/>
        <w:gridCol w:w="44"/>
        <w:gridCol w:w="636"/>
        <w:gridCol w:w="198"/>
        <w:gridCol w:w="44"/>
        <w:gridCol w:w="703"/>
        <w:gridCol w:w="198"/>
        <w:gridCol w:w="44"/>
        <w:gridCol w:w="704"/>
        <w:gridCol w:w="198"/>
      </w:tblGrid>
      <w:tr w:rsidR="00000000">
        <w:trPr>
          <w:divId w:val="2093697946"/>
        </w:trPr>
        <w:tc>
          <w:tcPr>
            <w:tcW w:w="50" w:type="pct"/>
            <w:vAlign w:val="center"/>
            <w:hideMark/>
          </w:tcPr>
          <w:p w:rsidR="00000000" w:rsidRDefault="001F1FC8">
            <w:pPr>
              <w:rPr>
                <w:rFonts w:eastAsia="Times New Roman"/>
              </w:rPr>
            </w:pPr>
          </w:p>
        </w:tc>
        <w:tc>
          <w:tcPr>
            <w:tcW w:w="1587"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c>
          <w:tcPr>
            <w:tcW w:w="50" w:type="pct"/>
            <w:vAlign w:val="center"/>
            <w:hideMark/>
          </w:tcPr>
          <w:p w:rsidR="00000000" w:rsidRDefault="001F1FC8">
            <w:pPr>
              <w:rPr>
                <w:rFonts w:eastAsia="Times New Roman"/>
                <w:sz w:val="20"/>
                <w:szCs w:val="20"/>
              </w:rPr>
            </w:pPr>
          </w:p>
        </w:tc>
        <w:tc>
          <w:tcPr>
            <w:tcW w:w="497"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c>
          <w:tcPr>
            <w:tcW w:w="50" w:type="pct"/>
            <w:vAlign w:val="center"/>
            <w:hideMark/>
          </w:tcPr>
          <w:p w:rsidR="00000000" w:rsidRDefault="001F1FC8">
            <w:pPr>
              <w:rPr>
                <w:rFonts w:eastAsia="Times New Roman"/>
                <w:sz w:val="20"/>
                <w:szCs w:val="20"/>
              </w:rPr>
            </w:pPr>
          </w:p>
        </w:tc>
        <w:tc>
          <w:tcPr>
            <w:tcW w:w="497"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c>
          <w:tcPr>
            <w:tcW w:w="50" w:type="pct"/>
            <w:vAlign w:val="center"/>
            <w:hideMark/>
          </w:tcPr>
          <w:p w:rsidR="00000000" w:rsidRDefault="001F1FC8">
            <w:pPr>
              <w:rPr>
                <w:rFonts w:eastAsia="Times New Roman"/>
                <w:sz w:val="20"/>
                <w:szCs w:val="20"/>
              </w:rPr>
            </w:pPr>
          </w:p>
        </w:tc>
        <w:tc>
          <w:tcPr>
            <w:tcW w:w="497"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c>
          <w:tcPr>
            <w:tcW w:w="30"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c>
          <w:tcPr>
            <w:tcW w:w="50" w:type="pct"/>
            <w:vAlign w:val="center"/>
            <w:hideMark/>
          </w:tcPr>
          <w:p w:rsidR="00000000" w:rsidRDefault="001F1FC8">
            <w:pPr>
              <w:rPr>
                <w:rFonts w:eastAsia="Times New Roman"/>
                <w:sz w:val="20"/>
                <w:szCs w:val="20"/>
              </w:rPr>
            </w:pPr>
          </w:p>
        </w:tc>
        <w:tc>
          <w:tcPr>
            <w:tcW w:w="497"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c>
          <w:tcPr>
            <w:tcW w:w="50" w:type="pct"/>
            <w:vAlign w:val="center"/>
            <w:hideMark/>
          </w:tcPr>
          <w:p w:rsidR="00000000" w:rsidRDefault="001F1FC8">
            <w:pPr>
              <w:rPr>
                <w:rFonts w:eastAsia="Times New Roman"/>
                <w:sz w:val="20"/>
                <w:szCs w:val="20"/>
              </w:rPr>
            </w:pPr>
          </w:p>
        </w:tc>
        <w:tc>
          <w:tcPr>
            <w:tcW w:w="497"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c>
          <w:tcPr>
            <w:tcW w:w="50" w:type="pct"/>
            <w:vAlign w:val="center"/>
            <w:hideMark/>
          </w:tcPr>
          <w:p w:rsidR="00000000" w:rsidRDefault="001F1FC8">
            <w:pPr>
              <w:rPr>
                <w:rFonts w:eastAsia="Times New Roman"/>
                <w:sz w:val="20"/>
                <w:szCs w:val="20"/>
              </w:rPr>
            </w:pPr>
          </w:p>
        </w:tc>
        <w:tc>
          <w:tcPr>
            <w:tcW w:w="498"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r>
      <w:tr w:rsidR="00000000">
        <w:trPr>
          <w:divId w:val="2093697946"/>
        </w:trPr>
        <w:tc>
          <w:tcPr>
            <w:tcW w:w="0" w:type="auto"/>
            <w:gridSpan w:val="3"/>
            <w:tcMar>
              <w:top w:w="30" w:type="dxa"/>
              <w:left w:w="20" w:type="dxa"/>
              <w:bottom w:w="30" w:type="dxa"/>
              <w:right w:w="20" w:type="dxa"/>
            </w:tcMar>
            <w:vAlign w:val="bottom"/>
            <w:hideMark/>
          </w:tcPr>
          <w:p w:rsidR="00000000" w:rsidRDefault="001F1FC8">
            <w:pPr>
              <w:rPr>
                <w:rFonts w:eastAsia="Times New Roman"/>
              </w:rPr>
            </w:pPr>
            <w:r>
              <w:rPr>
                <w:rFonts w:ascii="Arial" w:eastAsia="Times New Roman" w:hAnsi="Arial" w:cs="Arial"/>
                <w:color w:val="000000"/>
                <w:sz w:val="20"/>
                <w:szCs w:val="20"/>
              </w:rPr>
              <w:t> </w:t>
            </w:r>
          </w:p>
        </w:tc>
        <w:tc>
          <w:tcPr>
            <w:tcW w:w="0" w:type="auto"/>
            <w:gridSpan w:val="9"/>
            <w:tcMar>
              <w:top w:w="30" w:type="dxa"/>
              <w:left w:w="20" w:type="dxa"/>
              <w:bottom w:w="30" w:type="dxa"/>
              <w:right w:w="20" w:type="dxa"/>
            </w:tcMar>
            <w:vAlign w:val="bottom"/>
            <w:hideMark/>
          </w:tcPr>
          <w:p w:rsidR="00000000" w:rsidRDefault="001F1FC8">
            <w:pPr>
              <w:jc w:val="center"/>
              <w:rPr>
                <w:rFonts w:eastAsia="Times New Roman"/>
              </w:rPr>
            </w:pPr>
            <w:r>
              <w:rPr>
                <w:rFonts w:ascii="Arial" w:eastAsia="Times New Roman" w:hAnsi="Arial" w:cs="Arial"/>
                <w:color w:val="000000"/>
                <w:sz w:val="20"/>
                <w:szCs w:val="20"/>
              </w:rPr>
              <w:t>Canada</w:t>
            </w:r>
          </w:p>
        </w:tc>
        <w:tc>
          <w:tcPr>
            <w:tcW w:w="0" w:type="auto"/>
            <w:gridSpan w:val="3"/>
            <w:tcMar>
              <w:top w:w="0" w:type="dxa"/>
              <w:left w:w="20" w:type="dxa"/>
              <w:bottom w:w="0" w:type="dxa"/>
              <w:right w:w="20" w:type="dxa"/>
            </w:tcMar>
            <w:vAlign w:val="center"/>
            <w:hideMark/>
          </w:tcPr>
          <w:p w:rsidR="00000000" w:rsidRDefault="001F1FC8">
            <w:pPr>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1F1FC8">
            <w:pPr>
              <w:jc w:val="center"/>
              <w:rPr>
                <w:rFonts w:eastAsia="Times New Roman"/>
              </w:rPr>
            </w:pPr>
            <w:r>
              <w:rPr>
                <w:rFonts w:ascii="Arial" w:eastAsia="Times New Roman" w:hAnsi="Arial" w:cs="Arial"/>
                <w:color w:val="000000"/>
                <w:sz w:val="20"/>
                <w:szCs w:val="20"/>
              </w:rPr>
              <w:t>US</w:t>
            </w:r>
          </w:p>
        </w:tc>
      </w:tr>
      <w:tr w:rsidR="00000000">
        <w:trPr>
          <w:divId w:val="2093697946"/>
        </w:trPr>
        <w:tc>
          <w:tcPr>
            <w:tcW w:w="0" w:type="auto"/>
            <w:gridSpan w:val="3"/>
            <w:tcMar>
              <w:top w:w="0" w:type="dxa"/>
              <w:left w:w="20" w:type="dxa"/>
              <w:bottom w:w="0" w:type="dxa"/>
              <w:right w:w="20" w:type="dxa"/>
            </w:tcMar>
            <w:vAlign w:val="center"/>
            <w:hideMark/>
          </w:tcPr>
          <w:p w:rsidR="00000000" w:rsidRDefault="001F1FC8">
            <w:pPr>
              <w:jc w:val="center"/>
              <w:rPr>
                <w:rFonts w:eastAsia="Times New Roman"/>
              </w:rPr>
            </w:pPr>
          </w:p>
        </w:tc>
        <w:tc>
          <w:tcPr>
            <w:tcW w:w="0" w:type="auto"/>
            <w:gridSpan w:val="3"/>
            <w:tcBorders>
              <w:top w:val="single" w:sz="4" w:space="0" w:color="000000"/>
            </w:tcBorders>
            <w:tcMar>
              <w:top w:w="30" w:type="dxa"/>
              <w:left w:w="20" w:type="dxa"/>
              <w:bottom w:w="30" w:type="dxa"/>
              <w:right w:w="20" w:type="dxa"/>
            </w:tcMar>
            <w:hideMark/>
          </w:tcPr>
          <w:p w:rsidR="00000000" w:rsidRDefault="001F1FC8">
            <w:pPr>
              <w:jc w:val="right"/>
              <w:rPr>
                <w:rFonts w:eastAsia="Times New Roman"/>
              </w:rPr>
            </w:pPr>
            <w:r>
              <w:rPr>
                <w:rFonts w:ascii="Arial" w:eastAsia="Times New Roman" w:hAnsi="Arial" w:cs="Arial"/>
                <w:b/>
                <w:bCs/>
                <w:color w:val="000000"/>
                <w:sz w:val="20"/>
                <w:szCs w:val="20"/>
              </w:rPr>
              <w:t>2021</w:t>
            </w:r>
          </w:p>
        </w:tc>
        <w:tc>
          <w:tcPr>
            <w:tcW w:w="0" w:type="auto"/>
            <w:gridSpan w:val="3"/>
            <w:tcBorders>
              <w:top w:val="single" w:sz="4" w:space="0" w:color="000000"/>
            </w:tcBorders>
            <w:tcMar>
              <w:top w:w="30" w:type="dxa"/>
              <w:left w:w="20" w:type="dxa"/>
              <w:bottom w:w="30" w:type="dxa"/>
              <w:right w:w="20" w:type="dxa"/>
            </w:tcMar>
            <w:hideMark/>
          </w:tcPr>
          <w:p w:rsidR="00000000" w:rsidRDefault="001F1FC8">
            <w:pPr>
              <w:jc w:val="right"/>
              <w:rPr>
                <w:rFonts w:eastAsia="Times New Roman"/>
              </w:rPr>
            </w:pPr>
            <w:r>
              <w:rPr>
                <w:rFonts w:ascii="Arial" w:eastAsia="Times New Roman" w:hAnsi="Arial" w:cs="Arial"/>
                <w:color w:val="000000"/>
                <w:sz w:val="20"/>
                <w:szCs w:val="20"/>
              </w:rPr>
              <w:t>2020</w:t>
            </w:r>
          </w:p>
        </w:tc>
        <w:tc>
          <w:tcPr>
            <w:tcW w:w="0" w:type="auto"/>
            <w:gridSpan w:val="3"/>
            <w:tcBorders>
              <w:top w:val="single" w:sz="4" w:space="0" w:color="000000"/>
            </w:tcBorders>
            <w:tcMar>
              <w:top w:w="30" w:type="dxa"/>
              <w:left w:w="20" w:type="dxa"/>
              <w:bottom w:w="30" w:type="dxa"/>
              <w:right w:w="20" w:type="dxa"/>
            </w:tcMar>
            <w:hideMark/>
          </w:tcPr>
          <w:p w:rsidR="00000000" w:rsidRDefault="001F1FC8">
            <w:pPr>
              <w:jc w:val="right"/>
              <w:rPr>
                <w:rFonts w:eastAsia="Times New Roman"/>
              </w:rPr>
            </w:pPr>
            <w:r>
              <w:rPr>
                <w:rFonts w:ascii="Arial" w:eastAsia="Times New Roman" w:hAnsi="Arial" w:cs="Arial"/>
                <w:color w:val="000000"/>
                <w:sz w:val="20"/>
                <w:szCs w:val="20"/>
              </w:rPr>
              <w:t>2019</w:t>
            </w:r>
          </w:p>
        </w:tc>
        <w:tc>
          <w:tcPr>
            <w:tcW w:w="0" w:type="auto"/>
            <w:gridSpan w:val="3"/>
            <w:tcMar>
              <w:top w:w="0" w:type="dxa"/>
              <w:left w:w="20" w:type="dxa"/>
              <w:bottom w:w="0" w:type="dxa"/>
              <w:right w:w="20" w:type="dxa"/>
            </w:tcMar>
            <w:vAlign w:val="center"/>
            <w:hideMark/>
          </w:tcPr>
          <w:p w:rsidR="00000000" w:rsidRDefault="001F1FC8">
            <w:pPr>
              <w:jc w:val="right"/>
              <w:rPr>
                <w:rFonts w:eastAsia="Times New Roman"/>
              </w:rPr>
            </w:pPr>
          </w:p>
        </w:tc>
        <w:tc>
          <w:tcPr>
            <w:tcW w:w="0" w:type="auto"/>
            <w:gridSpan w:val="3"/>
            <w:tcBorders>
              <w:top w:val="single" w:sz="4" w:space="0" w:color="000000"/>
            </w:tcBorders>
            <w:tcMar>
              <w:top w:w="30" w:type="dxa"/>
              <w:left w:w="20" w:type="dxa"/>
              <w:bottom w:w="30" w:type="dxa"/>
              <w:right w:w="20" w:type="dxa"/>
            </w:tcMar>
            <w:hideMark/>
          </w:tcPr>
          <w:p w:rsidR="00000000" w:rsidRDefault="001F1FC8">
            <w:pPr>
              <w:jc w:val="right"/>
              <w:rPr>
                <w:rFonts w:eastAsia="Times New Roman"/>
              </w:rPr>
            </w:pPr>
            <w:r>
              <w:rPr>
                <w:rFonts w:ascii="Arial" w:eastAsia="Times New Roman" w:hAnsi="Arial" w:cs="Arial"/>
                <w:b/>
                <w:bCs/>
                <w:color w:val="000000"/>
                <w:sz w:val="20"/>
                <w:szCs w:val="20"/>
              </w:rPr>
              <w:t>2021</w:t>
            </w:r>
          </w:p>
        </w:tc>
        <w:tc>
          <w:tcPr>
            <w:tcW w:w="0" w:type="auto"/>
            <w:gridSpan w:val="3"/>
            <w:tcBorders>
              <w:top w:val="single" w:sz="4" w:space="0" w:color="000000"/>
            </w:tcBorders>
            <w:tcMar>
              <w:top w:w="30" w:type="dxa"/>
              <w:left w:w="20" w:type="dxa"/>
              <w:bottom w:w="30" w:type="dxa"/>
              <w:right w:w="20" w:type="dxa"/>
            </w:tcMar>
            <w:hideMark/>
          </w:tcPr>
          <w:p w:rsidR="00000000" w:rsidRDefault="001F1FC8">
            <w:pPr>
              <w:jc w:val="right"/>
              <w:rPr>
                <w:rFonts w:eastAsia="Times New Roman"/>
              </w:rPr>
            </w:pPr>
            <w:r>
              <w:rPr>
                <w:rFonts w:ascii="Arial" w:eastAsia="Times New Roman" w:hAnsi="Arial" w:cs="Arial"/>
                <w:color w:val="000000"/>
                <w:sz w:val="20"/>
                <w:szCs w:val="20"/>
              </w:rPr>
              <w:t>2020</w:t>
            </w:r>
          </w:p>
        </w:tc>
        <w:tc>
          <w:tcPr>
            <w:tcW w:w="0" w:type="auto"/>
            <w:gridSpan w:val="3"/>
            <w:tcBorders>
              <w:top w:val="single" w:sz="4" w:space="0" w:color="000000"/>
            </w:tcBorders>
            <w:tcMar>
              <w:top w:w="30" w:type="dxa"/>
              <w:left w:w="20" w:type="dxa"/>
              <w:bottom w:w="30" w:type="dxa"/>
              <w:right w:w="20" w:type="dxa"/>
            </w:tcMar>
            <w:hideMark/>
          </w:tcPr>
          <w:p w:rsidR="00000000" w:rsidRDefault="001F1FC8">
            <w:pPr>
              <w:jc w:val="right"/>
              <w:rPr>
                <w:rFonts w:eastAsia="Times New Roman"/>
              </w:rPr>
            </w:pPr>
            <w:r>
              <w:rPr>
                <w:rFonts w:ascii="Arial" w:eastAsia="Times New Roman" w:hAnsi="Arial" w:cs="Arial"/>
                <w:color w:val="000000"/>
                <w:sz w:val="20"/>
                <w:szCs w:val="20"/>
              </w:rPr>
              <w:t>2019</w:t>
            </w:r>
          </w:p>
        </w:tc>
      </w:tr>
      <w:tr w:rsidR="00000000">
        <w:trPr>
          <w:divId w:val="2093697946"/>
        </w:trPr>
        <w:tc>
          <w:tcPr>
            <w:tcW w:w="0" w:type="auto"/>
            <w:gridSpan w:val="3"/>
            <w:tcBorders>
              <w:top w:val="single" w:sz="4" w:space="0" w:color="000000"/>
            </w:tcBorders>
            <w:tcMar>
              <w:top w:w="30" w:type="dxa"/>
              <w:left w:w="20" w:type="dxa"/>
              <w:bottom w:w="30" w:type="dxa"/>
              <w:right w:w="20" w:type="dxa"/>
            </w:tcMar>
            <w:vAlign w:val="bottom"/>
            <w:hideMark/>
          </w:tcPr>
          <w:p w:rsidR="00000000" w:rsidRDefault="001F1FC8">
            <w:pPr>
              <w:ind w:hanging="180"/>
              <w:divId w:val="245648815"/>
              <w:rPr>
                <w:rFonts w:eastAsia="Times New Roman"/>
              </w:rPr>
            </w:pPr>
            <w:r>
              <w:rPr>
                <w:rFonts w:ascii="Arial" w:eastAsia="Times New Roman" w:hAnsi="Arial" w:cs="Arial"/>
                <w:b/>
                <w:bCs/>
                <w:color w:val="000000"/>
                <w:sz w:val="20"/>
                <w:szCs w:val="20"/>
              </w:rPr>
              <w:t>Accumulated postretirement benefit obligation</w:t>
            </w:r>
          </w:p>
        </w:tc>
        <w:tc>
          <w:tcPr>
            <w:tcW w:w="0" w:type="auto"/>
            <w:gridSpan w:val="3"/>
            <w:tcBorders>
              <w:top w:val="single" w:sz="4" w:space="0" w:color="000000"/>
            </w:tcBorders>
            <w:shd w:val="clear" w:color="auto" w:fill="D9D9D9"/>
            <w:tcMar>
              <w:top w:w="0" w:type="dxa"/>
              <w:left w:w="20" w:type="dxa"/>
              <w:bottom w:w="0" w:type="dxa"/>
              <w:right w:w="20" w:type="dxa"/>
            </w:tcMar>
            <w:vAlign w:val="center"/>
            <w:hideMark/>
          </w:tcPr>
          <w:p w:rsidR="00000000" w:rsidRDefault="001F1FC8">
            <w:pPr>
              <w:ind w:hanging="180"/>
              <w:rPr>
                <w:rFonts w:eastAsia="Times New Roman"/>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1F1FC8">
            <w:pPr>
              <w:rPr>
                <w:rFonts w:eastAsia="Times New Roman"/>
                <w:sz w:val="20"/>
                <w:szCs w:val="20"/>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1F1FC8">
            <w:pPr>
              <w:rPr>
                <w:rFonts w:eastAsia="Times New Roman"/>
                <w:sz w:val="20"/>
                <w:szCs w:val="20"/>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1F1FC8">
            <w:pPr>
              <w:rPr>
                <w:rFonts w:eastAsia="Times New Roman"/>
                <w:sz w:val="20"/>
                <w:szCs w:val="20"/>
              </w:rPr>
            </w:pPr>
          </w:p>
        </w:tc>
        <w:tc>
          <w:tcPr>
            <w:tcW w:w="0" w:type="auto"/>
            <w:gridSpan w:val="3"/>
            <w:tcBorders>
              <w:top w:val="single" w:sz="4" w:space="0" w:color="000000"/>
            </w:tcBorders>
            <w:shd w:val="clear" w:color="auto" w:fill="D9D9D9"/>
            <w:tcMar>
              <w:top w:w="0" w:type="dxa"/>
              <w:left w:w="20" w:type="dxa"/>
              <w:bottom w:w="0" w:type="dxa"/>
              <w:right w:w="20" w:type="dxa"/>
            </w:tcMar>
            <w:vAlign w:val="center"/>
            <w:hideMark/>
          </w:tcPr>
          <w:p w:rsidR="00000000" w:rsidRDefault="001F1FC8">
            <w:pPr>
              <w:rPr>
                <w:rFonts w:eastAsia="Times New Roman"/>
                <w:sz w:val="20"/>
                <w:szCs w:val="20"/>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1F1FC8">
            <w:pPr>
              <w:rPr>
                <w:rFonts w:eastAsia="Times New Roman"/>
                <w:sz w:val="20"/>
                <w:szCs w:val="20"/>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1F1FC8">
            <w:pPr>
              <w:rPr>
                <w:rFonts w:eastAsia="Times New Roman"/>
                <w:sz w:val="20"/>
                <w:szCs w:val="20"/>
              </w:rPr>
            </w:pPr>
          </w:p>
        </w:tc>
      </w:tr>
      <w:tr w:rsidR="00000000">
        <w:trPr>
          <w:divId w:val="2093697946"/>
        </w:trPr>
        <w:tc>
          <w:tcPr>
            <w:tcW w:w="0" w:type="auto"/>
            <w:gridSpan w:val="3"/>
            <w:tcMar>
              <w:top w:w="30" w:type="dxa"/>
              <w:left w:w="20" w:type="dxa"/>
              <w:bottom w:w="30" w:type="dxa"/>
              <w:right w:w="20" w:type="dxa"/>
            </w:tcMar>
            <w:vAlign w:val="bottom"/>
            <w:hideMark/>
          </w:tcPr>
          <w:p w:rsidR="00000000" w:rsidRDefault="001F1FC8">
            <w:pPr>
              <w:rPr>
                <w:rFonts w:eastAsia="Times New Roman"/>
              </w:rPr>
            </w:pPr>
            <w:r>
              <w:rPr>
                <w:rFonts w:ascii="Arial" w:eastAsia="Times New Roman" w:hAnsi="Arial" w:cs="Arial"/>
                <w:color w:val="000000"/>
                <w:sz w:val="20"/>
                <w:szCs w:val="20"/>
              </w:rPr>
              <w:t>Discount rate</w:t>
            </w:r>
          </w:p>
        </w:tc>
        <w:tc>
          <w:tcPr>
            <w:tcW w:w="0" w:type="auto"/>
            <w:gridSpan w:val="2"/>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20"/>
                <w:szCs w:val="20"/>
              </w:rPr>
              <w:t>3.2</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bottom"/>
            <w:hideMark/>
          </w:tcPr>
          <w:p w:rsidR="00000000" w:rsidRDefault="001F1FC8">
            <w:pPr>
              <w:jc w:val="right"/>
              <w:rPr>
                <w:rFonts w:eastAsia="Times New Roman"/>
              </w:rPr>
            </w:pPr>
            <w:r>
              <w:rPr>
                <w:rFonts w:ascii="Arial" w:eastAsia="Times New Roman" w:hAnsi="Arial" w:cs="Arial"/>
                <w:b/>
                <w:bCs/>
                <w:color w:val="000000"/>
                <w:sz w:val="20"/>
                <w:szCs w:val="20"/>
              </w:rPr>
              <w:t>%</w:t>
            </w: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2.6 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w:t>
            </w: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3.1 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w:t>
            </w:r>
          </w:p>
        </w:tc>
        <w:tc>
          <w:tcPr>
            <w:tcW w:w="0" w:type="auto"/>
            <w:gridSpan w:val="3"/>
            <w:tcMar>
              <w:top w:w="0" w:type="dxa"/>
              <w:left w:w="20" w:type="dxa"/>
              <w:bottom w:w="0" w:type="dxa"/>
              <w:right w:w="20" w:type="dxa"/>
            </w:tcMar>
            <w:vAlign w:val="center"/>
            <w:hideMark/>
          </w:tcPr>
          <w:p w:rsidR="00000000" w:rsidRDefault="001F1FC8">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20"/>
                <w:szCs w:val="20"/>
              </w:rPr>
              <w:t>2.4</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bottom"/>
            <w:hideMark/>
          </w:tcPr>
          <w:p w:rsidR="00000000" w:rsidRDefault="001F1FC8">
            <w:pPr>
              <w:jc w:val="right"/>
              <w:rPr>
                <w:rFonts w:eastAsia="Times New Roman"/>
              </w:rPr>
            </w:pPr>
            <w:r>
              <w:rPr>
                <w:rFonts w:ascii="Arial" w:eastAsia="Times New Roman" w:hAnsi="Arial" w:cs="Arial"/>
                <w:b/>
                <w:bCs/>
                <w:color w:val="000000"/>
                <w:sz w:val="20"/>
                <w:szCs w:val="20"/>
              </w:rPr>
              <w:t>%</w:t>
            </w: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2.0 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w:t>
            </w: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2.8 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w:t>
            </w:r>
          </w:p>
        </w:tc>
      </w:tr>
      <w:tr w:rsidR="00000000">
        <w:trPr>
          <w:divId w:val="2093697946"/>
        </w:trPr>
        <w:tc>
          <w:tcPr>
            <w:tcW w:w="0" w:type="auto"/>
            <w:gridSpan w:val="3"/>
            <w:tcMar>
              <w:top w:w="30" w:type="dxa"/>
              <w:left w:w="20" w:type="dxa"/>
              <w:bottom w:w="30" w:type="dxa"/>
              <w:right w:w="20" w:type="dxa"/>
            </w:tcMar>
            <w:vAlign w:val="bottom"/>
            <w:hideMark/>
          </w:tcPr>
          <w:p w:rsidR="00000000" w:rsidRDefault="001F1FC8">
            <w:pPr>
              <w:rPr>
                <w:rFonts w:eastAsia="Times New Roman"/>
              </w:rPr>
            </w:pPr>
            <w:r>
              <w:rPr>
                <w:rFonts w:ascii="Arial" w:eastAsia="Times New Roman" w:hAnsi="Arial" w:cs="Arial"/>
                <w:b/>
                <w:bCs/>
                <w:color w:val="000000"/>
                <w:sz w:val="20"/>
                <w:szCs w:val="20"/>
              </w:rPr>
              <w:t>Net periodic benefit cost</w:t>
            </w:r>
          </w:p>
        </w:tc>
        <w:tc>
          <w:tcPr>
            <w:tcW w:w="0" w:type="auto"/>
            <w:gridSpan w:val="3"/>
            <w:shd w:val="clear" w:color="auto" w:fill="D9D9D9"/>
            <w:tcMar>
              <w:top w:w="0" w:type="dxa"/>
              <w:left w:w="20" w:type="dxa"/>
              <w:bottom w:w="0" w:type="dxa"/>
              <w:right w:w="20" w:type="dxa"/>
            </w:tcMar>
            <w:vAlign w:val="center"/>
            <w:hideMark/>
          </w:tcPr>
          <w:p w:rsidR="00000000" w:rsidRDefault="001F1FC8">
            <w:pPr>
              <w:rPr>
                <w:rFonts w:eastAsia="Times New Roman"/>
              </w:rPr>
            </w:pPr>
          </w:p>
        </w:tc>
        <w:tc>
          <w:tcPr>
            <w:tcW w:w="0" w:type="auto"/>
            <w:gridSpan w:val="3"/>
            <w:tcMar>
              <w:top w:w="0" w:type="dxa"/>
              <w:left w:w="20" w:type="dxa"/>
              <w:bottom w:w="0" w:type="dxa"/>
              <w:right w:w="20" w:type="dxa"/>
            </w:tcMar>
            <w:vAlign w:val="center"/>
            <w:hideMark/>
          </w:tcPr>
          <w:p w:rsidR="00000000" w:rsidRDefault="001F1FC8">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1F1FC8">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1F1FC8">
            <w:pPr>
              <w:rPr>
                <w:rFonts w:eastAsia="Times New Roman"/>
                <w:sz w:val="20"/>
                <w:szCs w:val="20"/>
              </w:rPr>
            </w:pPr>
          </w:p>
        </w:tc>
        <w:tc>
          <w:tcPr>
            <w:tcW w:w="0" w:type="auto"/>
            <w:gridSpan w:val="3"/>
            <w:shd w:val="clear" w:color="auto" w:fill="D9D9D9"/>
            <w:tcMar>
              <w:top w:w="0" w:type="dxa"/>
              <w:left w:w="20" w:type="dxa"/>
              <w:bottom w:w="0" w:type="dxa"/>
              <w:right w:w="20" w:type="dxa"/>
            </w:tcMar>
            <w:vAlign w:val="center"/>
            <w:hideMark/>
          </w:tcPr>
          <w:p w:rsidR="00000000" w:rsidRDefault="001F1FC8">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1F1FC8">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1F1FC8">
            <w:pPr>
              <w:rPr>
                <w:rFonts w:eastAsia="Times New Roman"/>
                <w:sz w:val="20"/>
                <w:szCs w:val="20"/>
              </w:rPr>
            </w:pPr>
          </w:p>
        </w:tc>
      </w:tr>
      <w:tr w:rsidR="00000000">
        <w:trPr>
          <w:divId w:val="2093697946"/>
        </w:trPr>
        <w:tc>
          <w:tcPr>
            <w:tcW w:w="0" w:type="auto"/>
            <w:gridSpan w:val="3"/>
            <w:tcMar>
              <w:top w:w="30" w:type="dxa"/>
              <w:left w:w="20" w:type="dxa"/>
              <w:bottom w:w="30" w:type="dxa"/>
              <w:right w:w="20" w:type="dxa"/>
            </w:tcMar>
            <w:vAlign w:val="bottom"/>
            <w:hideMark/>
          </w:tcPr>
          <w:p w:rsidR="00000000" w:rsidRDefault="001F1FC8">
            <w:pPr>
              <w:rPr>
                <w:rFonts w:eastAsia="Times New Roman"/>
              </w:rPr>
            </w:pPr>
            <w:r>
              <w:rPr>
                <w:rFonts w:ascii="Arial" w:eastAsia="Times New Roman" w:hAnsi="Arial" w:cs="Arial"/>
                <w:color w:val="000000"/>
                <w:sz w:val="20"/>
                <w:szCs w:val="20"/>
              </w:rPr>
              <w:t>Discount rate</w:t>
            </w:r>
          </w:p>
        </w:tc>
        <w:tc>
          <w:tcPr>
            <w:tcW w:w="0" w:type="auto"/>
            <w:gridSpan w:val="2"/>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20"/>
                <w:szCs w:val="20"/>
              </w:rPr>
              <w:t>2.6</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bottom"/>
            <w:hideMark/>
          </w:tcPr>
          <w:p w:rsidR="00000000" w:rsidRDefault="001F1FC8">
            <w:pPr>
              <w:jc w:val="right"/>
              <w:rPr>
                <w:rFonts w:eastAsia="Times New Roman"/>
              </w:rPr>
            </w:pPr>
            <w:r>
              <w:rPr>
                <w:rFonts w:ascii="Arial" w:eastAsia="Times New Roman" w:hAnsi="Arial" w:cs="Arial"/>
                <w:b/>
                <w:bCs/>
                <w:color w:val="000000"/>
                <w:sz w:val="20"/>
                <w:szCs w:val="20"/>
              </w:rPr>
              <w:t>%</w:t>
            </w: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3.1 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w:t>
            </w: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3.8 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w:t>
            </w:r>
          </w:p>
        </w:tc>
        <w:tc>
          <w:tcPr>
            <w:tcW w:w="0" w:type="auto"/>
            <w:gridSpan w:val="3"/>
            <w:tcMar>
              <w:top w:w="0" w:type="dxa"/>
              <w:left w:w="20" w:type="dxa"/>
              <w:bottom w:w="0" w:type="dxa"/>
              <w:right w:w="20" w:type="dxa"/>
            </w:tcMar>
            <w:vAlign w:val="center"/>
            <w:hideMark/>
          </w:tcPr>
          <w:p w:rsidR="00000000" w:rsidRDefault="001F1FC8">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20"/>
                <w:szCs w:val="20"/>
              </w:rPr>
              <w:t>2.0</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bottom"/>
            <w:hideMark/>
          </w:tcPr>
          <w:p w:rsidR="00000000" w:rsidRDefault="001F1FC8">
            <w:pPr>
              <w:jc w:val="right"/>
              <w:rPr>
                <w:rFonts w:eastAsia="Times New Roman"/>
              </w:rPr>
            </w:pPr>
            <w:r>
              <w:rPr>
                <w:rFonts w:ascii="Arial" w:eastAsia="Times New Roman" w:hAnsi="Arial" w:cs="Arial"/>
                <w:b/>
                <w:bCs/>
                <w:color w:val="000000"/>
                <w:sz w:val="20"/>
                <w:szCs w:val="20"/>
              </w:rPr>
              <w:t>%</w:t>
            </w: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2.8 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w:t>
            </w: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4.0 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w:t>
            </w:r>
          </w:p>
        </w:tc>
      </w:tr>
      <w:tr w:rsidR="00000000">
        <w:trPr>
          <w:divId w:val="2093697946"/>
        </w:trPr>
        <w:tc>
          <w:tcPr>
            <w:tcW w:w="0" w:type="auto"/>
            <w:gridSpan w:val="3"/>
            <w:tcBorders>
              <w:bottom w:val="single" w:sz="8" w:space="0" w:color="000000"/>
            </w:tcBorders>
            <w:tcMar>
              <w:top w:w="30" w:type="dxa"/>
              <w:left w:w="20" w:type="dxa"/>
              <w:bottom w:w="30" w:type="dxa"/>
              <w:right w:w="20" w:type="dxa"/>
            </w:tcMar>
            <w:vAlign w:val="bottom"/>
            <w:hideMark/>
          </w:tcPr>
          <w:p w:rsidR="00000000" w:rsidRDefault="001F1FC8">
            <w:pPr>
              <w:rPr>
                <w:rFonts w:eastAsia="Times New Roman"/>
              </w:rPr>
            </w:pPr>
            <w:r>
              <w:rPr>
                <w:rFonts w:ascii="Arial" w:eastAsia="Times New Roman" w:hAnsi="Arial" w:cs="Arial"/>
                <w:color w:val="000000"/>
                <w:sz w:val="20"/>
                <w:szCs w:val="20"/>
              </w:rPr>
              <w:t>Rate of return on plan assets</w:t>
            </w:r>
          </w:p>
        </w:tc>
        <w:tc>
          <w:tcPr>
            <w:tcW w:w="0" w:type="auto"/>
            <w:gridSpan w:val="3"/>
            <w:tcBorders>
              <w:bottom w:val="single" w:sz="8" w:space="0" w:color="000000"/>
            </w:tcBorders>
            <w:shd w:val="clear" w:color="auto" w:fill="D9D9D9"/>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b/>
                <w:bCs/>
                <w:color w:val="000000"/>
                <w:sz w:val="20"/>
                <w:szCs w:val="20"/>
              </w:rPr>
              <w:t>N/A</w:t>
            </w: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N/A</w:t>
            </w: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N/A</w:t>
            </w:r>
          </w:p>
        </w:tc>
        <w:tc>
          <w:tcPr>
            <w:tcW w:w="0" w:type="auto"/>
            <w:gridSpan w:val="3"/>
            <w:tcBorders>
              <w:bottom w:val="single" w:sz="8" w:space="0" w:color="000000"/>
            </w:tcBorders>
            <w:tcMar>
              <w:top w:w="0" w:type="dxa"/>
              <w:left w:w="20" w:type="dxa"/>
              <w:bottom w:w="0" w:type="dxa"/>
              <w:right w:w="20" w:type="dxa"/>
            </w:tcMar>
            <w:vAlign w:val="center"/>
            <w:hideMark/>
          </w:tcPr>
          <w:p w:rsidR="00000000" w:rsidRDefault="001F1FC8">
            <w:pPr>
              <w:jc w:val="right"/>
              <w:rPr>
                <w:rFonts w:eastAsia="Times New Roman"/>
              </w:rPr>
            </w:pPr>
          </w:p>
        </w:tc>
        <w:tc>
          <w:tcPr>
            <w:tcW w:w="0" w:type="auto"/>
            <w:gridSpan w:val="2"/>
            <w:tcBorders>
              <w:bottom w:val="single" w:sz="8" w:space="0" w:color="000000"/>
            </w:tcBorders>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20"/>
                <w:szCs w:val="20"/>
              </w:rPr>
              <w:t>6.0</w:t>
            </w:r>
            <w:r>
              <w:rPr>
                <w:rFonts w:ascii="Arial" w:eastAsia="Times New Roman" w:hAnsi="Arial" w:cs="Arial"/>
                <w:color w:val="000000"/>
                <w:sz w:val="20"/>
                <w:szCs w:val="20"/>
              </w:rPr>
              <w:t> </w:t>
            </w:r>
          </w:p>
        </w:tc>
        <w:tc>
          <w:tcPr>
            <w:tcW w:w="0" w:type="auto"/>
            <w:tcBorders>
              <w:bottom w:val="single" w:sz="8" w:space="0" w:color="000000"/>
            </w:tcBorders>
            <w:shd w:val="clear" w:color="auto" w:fill="D9D9D9"/>
            <w:tcMar>
              <w:top w:w="30" w:type="dxa"/>
              <w:left w:w="0" w:type="dxa"/>
              <w:bottom w:w="30" w:type="dxa"/>
              <w:right w:w="20" w:type="dxa"/>
            </w:tcMar>
            <w:vAlign w:val="bottom"/>
            <w:hideMark/>
          </w:tcPr>
          <w:p w:rsidR="00000000" w:rsidRDefault="001F1FC8">
            <w:pPr>
              <w:jc w:val="right"/>
              <w:rPr>
                <w:rFonts w:eastAsia="Times New Roman"/>
              </w:rPr>
            </w:pPr>
            <w:r>
              <w:rPr>
                <w:rFonts w:ascii="Arial" w:eastAsia="Times New Roman" w:hAnsi="Arial" w:cs="Arial"/>
                <w:b/>
                <w:bCs/>
                <w:color w:val="000000"/>
                <w:sz w:val="20"/>
                <w:szCs w:val="20"/>
              </w:rPr>
              <w:t>%</w:t>
            </w:r>
          </w:p>
        </w:tc>
        <w:tc>
          <w:tcPr>
            <w:tcW w:w="0" w:type="auto"/>
            <w:gridSpan w:val="2"/>
            <w:tcBorders>
              <w:bottom w:val="single" w:sz="8" w:space="0" w:color="000000"/>
            </w:tcBorders>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6.7 </w:t>
            </w:r>
          </w:p>
        </w:tc>
        <w:tc>
          <w:tcPr>
            <w:tcW w:w="0" w:type="auto"/>
            <w:tcBorders>
              <w:bottom w:val="single" w:sz="8" w:space="0" w:color="000000"/>
            </w:tcBorders>
            <w:tcMar>
              <w:top w:w="30" w:type="dxa"/>
              <w:left w:w="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w:t>
            </w:r>
          </w:p>
        </w:tc>
        <w:tc>
          <w:tcPr>
            <w:tcW w:w="0" w:type="auto"/>
            <w:gridSpan w:val="2"/>
            <w:tcBorders>
              <w:bottom w:val="single" w:sz="8" w:space="0" w:color="000000"/>
            </w:tcBorders>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6.7 </w:t>
            </w:r>
          </w:p>
        </w:tc>
        <w:tc>
          <w:tcPr>
            <w:tcW w:w="0" w:type="auto"/>
            <w:tcBorders>
              <w:bottom w:val="single" w:sz="8" w:space="0" w:color="000000"/>
            </w:tcBorders>
            <w:tcMar>
              <w:top w:w="30" w:type="dxa"/>
              <w:left w:w="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w:t>
            </w:r>
          </w:p>
        </w:tc>
      </w:tr>
    </w:tbl>
    <w:p w:rsidR="00000000" w:rsidRDefault="001F1FC8">
      <w:pPr>
        <w:divId w:val="1944722245"/>
        <w:rPr>
          <w:rFonts w:eastAsia="Times New Roman"/>
        </w:rPr>
      </w:pPr>
    </w:p>
    <w:p w:rsidR="00000000" w:rsidRDefault="001F1FC8">
      <w:pPr>
        <w:divId w:val="1041516002"/>
        <w:rPr>
          <w:rFonts w:eastAsia="Times New Roman"/>
        </w:rPr>
      </w:pPr>
      <w:r>
        <w:rPr>
          <w:rFonts w:ascii="Arial" w:eastAsia="Times New Roman" w:hAnsi="Arial" w:cs="Arial"/>
          <w:b/>
          <w:bCs/>
          <w:color w:val="000000"/>
          <w:sz w:val="20"/>
          <w:szCs w:val="20"/>
        </w:rPr>
        <w:t>Assumed Health Care Cost Trend Rates</w:t>
      </w:r>
    </w:p>
    <w:p w:rsidR="00000000" w:rsidRDefault="001F1FC8">
      <w:pPr>
        <w:divId w:val="329331313"/>
        <w:rPr>
          <w:rFonts w:eastAsia="Times New Roman"/>
        </w:rPr>
      </w:pPr>
      <w:r>
        <w:rPr>
          <w:rFonts w:ascii="Arial" w:eastAsia="Times New Roman" w:hAnsi="Arial" w:cs="Arial"/>
          <w:color w:val="000000"/>
          <w:sz w:val="20"/>
          <w:szCs w:val="20"/>
        </w:rPr>
        <w:t>The assumed rates for the next year used to measure the expected cost of benefits are as follows:</w:t>
      </w:r>
    </w:p>
    <w:tbl>
      <w:tblPr>
        <w:tblW w:w="5000" w:type="pct"/>
        <w:tblCellMar>
          <w:top w:w="15" w:type="dxa"/>
          <w:left w:w="15" w:type="dxa"/>
          <w:bottom w:w="15" w:type="dxa"/>
          <w:right w:w="15" w:type="dxa"/>
        </w:tblCellMar>
        <w:tblLook w:val="04A0" w:firstRow="1" w:lastRow="0" w:firstColumn="1" w:lastColumn="0" w:noHBand="0" w:noVBand="1"/>
      </w:tblPr>
      <w:tblGrid>
        <w:gridCol w:w="37"/>
        <w:gridCol w:w="4369"/>
        <w:gridCol w:w="36"/>
        <w:gridCol w:w="37"/>
        <w:gridCol w:w="718"/>
        <w:gridCol w:w="199"/>
        <w:gridCol w:w="36"/>
        <w:gridCol w:w="719"/>
        <w:gridCol w:w="198"/>
        <w:gridCol w:w="36"/>
        <w:gridCol w:w="36"/>
        <w:gridCol w:w="36"/>
        <w:gridCol w:w="44"/>
        <w:gridCol w:w="651"/>
        <w:gridCol w:w="198"/>
        <w:gridCol w:w="44"/>
        <w:gridCol w:w="714"/>
        <w:gridCol w:w="198"/>
      </w:tblGrid>
      <w:tr w:rsidR="00000000">
        <w:trPr>
          <w:divId w:val="596522117"/>
        </w:trPr>
        <w:tc>
          <w:tcPr>
            <w:tcW w:w="50" w:type="pct"/>
            <w:vAlign w:val="center"/>
            <w:hideMark/>
          </w:tcPr>
          <w:p w:rsidR="00000000" w:rsidRDefault="001F1FC8">
            <w:pPr>
              <w:rPr>
                <w:rFonts w:eastAsia="Times New Roman"/>
              </w:rPr>
            </w:pPr>
          </w:p>
        </w:tc>
        <w:tc>
          <w:tcPr>
            <w:tcW w:w="2693"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c>
          <w:tcPr>
            <w:tcW w:w="50" w:type="pct"/>
            <w:vAlign w:val="center"/>
            <w:hideMark/>
          </w:tcPr>
          <w:p w:rsidR="00000000" w:rsidRDefault="001F1FC8">
            <w:pPr>
              <w:rPr>
                <w:rFonts w:eastAsia="Times New Roman"/>
                <w:sz w:val="20"/>
                <w:szCs w:val="20"/>
              </w:rPr>
            </w:pPr>
          </w:p>
        </w:tc>
        <w:tc>
          <w:tcPr>
            <w:tcW w:w="497"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c>
          <w:tcPr>
            <w:tcW w:w="50" w:type="pct"/>
            <w:vAlign w:val="center"/>
            <w:hideMark/>
          </w:tcPr>
          <w:p w:rsidR="00000000" w:rsidRDefault="001F1FC8">
            <w:pPr>
              <w:rPr>
                <w:rFonts w:eastAsia="Times New Roman"/>
                <w:sz w:val="20"/>
                <w:szCs w:val="20"/>
              </w:rPr>
            </w:pPr>
          </w:p>
        </w:tc>
        <w:tc>
          <w:tcPr>
            <w:tcW w:w="497"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c>
          <w:tcPr>
            <w:tcW w:w="30"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c>
          <w:tcPr>
            <w:tcW w:w="50" w:type="pct"/>
            <w:vAlign w:val="center"/>
            <w:hideMark/>
          </w:tcPr>
          <w:p w:rsidR="00000000" w:rsidRDefault="001F1FC8">
            <w:pPr>
              <w:rPr>
                <w:rFonts w:eastAsia="Times New Roman"/>
                <w:sz w:val="20"/>
                <w:szCs w:val="20"/>
              </w:rPr>
            </w:pPr>
          </w:p>
        </w:tc>
        <w:tc>
          <w:tcPr>
            <w:tcW w:w="497"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c>
          <w:tcPr>
            <w:tcW w:w="50" w:type="pct"/>
            <w:vAlign w:val="center"/>
            <w:hideMark/>
          </w:tcPr>
          <w:p w:rsidR="00000000" w:rsidRDefault="001F1FC8">
            <w:pPr>
              <w:rPr>
                <w:rFonts w:eastAsia="Times New Roman"/>
                <w:sz w:val="20"/>
                <w:szCs w:val="20"/>
              </w:rPr>
            </w:pPr>
          </w:p>
        </w:tc>
        <w:tc>
          <w:tcPr>
            <w:tcW w:w="498"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r>
      <w:tr w:rsidR="00000000">
        <w:trPr>
          <w:divId w:val="596522117"/>
        </w:trPr>
        <w:tc>
          <w:tcPr>
            <w:tcW w:w="0" w:type="auto"/>
            <w:gridSpan w:val="3"/>
            <w:tcMar>
              <w:top w:w="0" w:type="dxa"/>
              <w:left w:w="20" w:type="dxa"/>
              <w:bottom w:w="0" w:type="dxa"/>
              <w:right w:w="20" w:type="dxa"/>
            </w:tcMar>
            <w:vAlign w:val="center"/>
            <w:hideMark/>
          </w:tcPr>
          <w:p w:rsidR="00000000" w:rsidRDefault="001F1FC8">
            <w:pPr>
              <w:rPr>
                <w:rFonts w:eastAsia="Times New Roman"/>
                <w:sz w:val="20"/>
                <w:szCs w:val="20"/>
              </w:rPr>
            </w:pPr>
          </w:p>
        </w:tc>
        <w:tc>
          <w:tcPr>
            <w:tcW w:w="0" w:type="auto"/>
            <w:gridSpan w:val="6"/>
            <w:tcMar>
              <w:top w:w="30" w:type="dxa"/>
              <w:left w:w="20" w:type="dxa"/>
              <w:bottom w:w="30" w:type="dxa"/>
              <w:right w:w="20" w:type="dxa"/>
            </w:tcMar>
            <w:vAlign w:val="bottom"/>
            <w:hideMark/>
          </w:tcPr>
          <w:p w:rsidR="00000000" w:rsidRDefault="001F1FC8">
            <w:pPr>
              <w:jc w:val="center"/>
              <w:rPr>
                <w:rFonts w:eastAsia="Times New Roman"/>
              </w:rPr>
            </w:pPr>
            <w:r>
              <w:rPr>
                <w:rFonts w:ascii="Arial" w:eastAsia="Times New Roman" w:hAnsi="Arial" w:cs="Arial"/>
                <w:color w:val="000000"/>
                <w:sz w:val="20"/>
                <w:szCs w:val="20"/>
              </w:rPr>
              <w:t>Canada</w:t>
            </w:r>
          </w:p>
        </w:tc>
        <w:tc>
          <w:tcPr>
            <w:tcW w:w="0" w:type="auto"/>
            <w:gridSpan w:val="3"/>
            <w:tcMar>
              <w:top w:w="0" w:type="dxa"/>
              <w:left w:w="20" w:type="dxa"/>
              <w:bottom w:w="0" w:type="dxa"/>
              <w:right w:w="20" w:type="dxa"/>
            </w:tcMar>
            <w:vAlign w:val="center"/>
            <w:hideMark/>
          </w:tcPr>
          <w:p w:rsidR="00000000" w:rsidRDefault="001F1FC8">
            <w:pPr>
              <w:jc w:val="center"/>
              <w:rPr>
                <w:rFonts w:eastAsia="Times New Roman"/>
              </w:rPr>
            </w:pPr>
          </w:p>
        </w:tc>
        <w:tc>
          <w:tcPr>
            <w:tcW w:w="0" w:type="auto"/>
            <w:gridSpan w:val="6"/>
            <w:tcMar>
              <w:top w:w="30" w:type="dxa"/>
              <w:left w:w="20" w:type="dxa"/>
              <w:bottom w:w="30" w:type="dxa"/>
              <w:right w:w="20" w:type="dxa"/>
            </w:tcMar>
            <w:vAlign w:val="bottom"/>
            <w:hideMark/>
          </w:tcPr>
          <w:p w:rsidR="00000000" w:rsidRDefault="001F1FC8">
            <w:pPr>
              <w:jc w:val="center"/>
              <w:rPr>
                <w:rFonts w:eastAsia="Times New Roman"/>
              </w:rPr>
            </w:pPr>
            <w:r>
              <w:rPr>
                <w:rFonts w:ascii="Arial" w:eastAsia="Times New Roman" w:hAnsi="Arial" w:cs="Arial"/>
                <w:color w:val="000000"/>
                <w:sz w:val="20"/>
                <w:szCs w:val="20"/>
              </w:rPr>
              <w:t>US</w:t>
            </w:r>
          </w:p>
        </w:tc>
      </w:tr>
      <w:tr w:rsidR="00000000">
        <w:trPr>
          <w:divId w:val="596522117"/>
        </w:trPr>
        <w:tc>
          <w:tcPr>
            <w:tcW w:w="0" w:type="auto"/>
            <w:gridSpan w:val="3"/>
            <w:tcMar>
              <w:top w:w="0" w:type="dxa"/>
              <w:left w:w="20" w:type="dxa"/>
              <w:bottom w:w="0" w:type="dxa"/>
              <w:right w:w="20" w:type="dxa"/>
            </w:tcMar>
            <w:vAlign w:val="center"/>
            <w:hideMark/>
          </w:tcPr>
          <w:p w:rsidR="00000000" w:rsidRDefault="001F1FC8">
            <w:pPr>
              <w:jc w:val="center"/>
              <w:rPr>
                <w:rFonts w:eastAsia="Times New Roman"/>
              </w:rPr>
            </w:pPr>
          </w:p>
        </w:tc>
        <w:tc>
          <w:tcPr>
            <w:tcW w:w="0" w:type="auto"/>
            <w:gridSpan w:val="3"/>
            <w:tcBorders>
              <w:top w:val="single" w:sz="4" w:space="0" w:color="000000"/>
            </w:tcBorders>
            <w:tcMar>
              <w:top w:w="30" w:type="dxa"/>
              <w:left w:w="20" w:type="dxa"/>
              <w:bottom w:w="30" w:type="dxa"/>
              <w:right w:w="20" w:type="dxa"/>
            </w:tcMar>
            <w:hideMark/>
          </w:tcPr>
          <w:p w:rsidR="00000000" w:rsidRDefault="001F1FC8">
            <w:pPr>
              <w:jc w:val="right"/>
              <w:rPr>
                <w:rFonts w:eastAsia="Times New Roman"/>
              </w:rPr>
            </w:pPr>
            <w:r>
              <w:rPr>
                <w:rFonts w:ascii="Arial" w:eastAsia="Times New Roman" w:hAnsi="Arial" w:cs="Arial"/>
                <w:b/>
                <w:bCs/>
                <w:color w:val="000000"/>
                <w:sz w:val="20"/>
                <w:szCs w:val="20"/>
              </w:rPr>
              <w:t>2021</w:t>
            </w:r>
          </w:p>
        </w:tc>
        <w:tc>
          <w:tcPr>
            <w:tcW w:w="0" w:type="auto"/>
            <w:gridSpan w:val="3"/>
            <w:tcBorders>
              <w:top w:val="single" w:sz="4" w:space="0" w:color="000000"/>
            </w:tcBorders>
            <w:tcMar>
              <w:top w:w="30" w:type="dxa"/>
              <w:left w:w="20" w:type="dxa"/>
              <w:bottom w:w="30" w:type="dxa"/>
              <w:right w:w="20" w:type="dxa"/>
            </w:tcMar>
            <w:hideMark/>
          </w:tcPr>
          <w:p w:rsidR="00000000" w:rsidRDefault="001F1FC8">
            <w:pPr>
              <w:jc w:val="right"/>
              <w:rPr>
                <w:rFonts w:eastAsia="Times New Roman"/>
              </w:rPr>
            </w:pPr>
            <w:r>
              <w:rPr>
                <w:rFonts w:ascii="Arial" w:eastAsia="Times New Roman" w:hAnsi="Arial" w:cs="Arial"/>
                <w:color w:val="000000"/>
                <w:sz w:val="20"/>
                <w:szCs w:val="20"/>
              </w:rPr>
              <w:t>2020</w:t>
            </w:r>
          </w:p>
        </w:tc>
        <w:tc>
          <w:tcPr>
            <w:tcW w:w="0" w:type="auto"/>
            <w:gridSpan w:val="3"/>
            <w:tcMar>
              <w:top w:w="0" w:type="dxa"/>
              <w:left w:w="20" w:type="dxa"/>
              <w:bottom w:w="0" w:type="dxa"/>
              <w:right w:w="20" w:type="dxa"/>
            </w:tcMar>
            <w:vAlign w:val="center"/>
            <w:hideMark/>
          </w:tcPr>
          <w:p w:rsidR="00000000" w:rsidRDefault="001F1FC8">
            <w:pPr>
              <w:jc w:val="right"/>
              <w:rPr>
                <w:rFonts w:eastAsia="Times New Roman"/>
              </w:rPr>
            </w:pPr>
          </w:p>
        </w:tc>
        <w:tc>
          <w:tcPr>
            <w:tcW w:w="0" w:type="auto"/>
            <w:gridSpan w:val="3"/>
            <w:tcBorders>
              <w:top w:val="single" w:sz="4" w:space="0" w:color="000000"/>
            </w:tcBorders>
            <w:tcMar>
              <w:top w:w="30" w:type="dxa"/>
              <w:left w:w="20" w:type="dxa"/>
              <w:bottom w:w="30" w:type="dxa"/>
              <w:right w:w="20" w:type="dxa"/>
            </w:tcMar>
            <w:hideMark/>
          </w:tcPr>
          <w:p w:rsidR="00000000" w:rsidRDefault="001F1FC8">
            <w:pPr>
              <w:jc w:val="right"/>
              <w:rPr>
                <w:rFonts w:eastAsia="Times New Roman"/>
              </w:rPr>
            </w:pPr>
            <w:r>
              <w:rPr>
                <w:rFonts w:ascii="Arial" w:eastAsia="Times New Roman" w:hAnsi="Arial" w:cs="Arial"/>
                <w:b/>
                <w:bCs/>
                <w:color w:val="000000"/>
                <w:sz w:val="20"/>
                <w:szCs w:val="20"/>
              </w:rPr>
              <w:t>2021</w:t>
            </w:r>
          </w:p>
        </w:tc>
        <w:tc>
          <w:tcPr>
            <w:tcW w:w="0" w:type="auto"/>
            <w:gridSpan w:val="3"/>
            <w:tcBorders>
              <w:top w:val="single" w:sz="4" w:space="0" w:color="000000"/>
            </w:tcBorders>
            <w:tcMar>
              <w:top w:w="30" w:type="dxa"/>
              <w:left w:w="20" w:type="dxa"/>
              <w:bottom w:w="30" w:type="dxa"/>
              <w:right w:w="20" w:type="dxa"/>
            </w:tcMar>
            <w:hideMark/>
          </w:tcPr>
          <w:p w:rsidR="00000000" w:rsidRDefault="001F1FC8">
            <w:pPr>
              <w:jc w:val="right"/>
              <w:rPr>
                <w:rFonts w:eastAsia="Times New Roman"/>
              </w:rPr>
            </w:pPr>
            <w:r>
              <w:rPr>
                <w:rFonts w:ascii="Arial" w:eastAsia="Times New Roman" w:hAnsi="Arial" w:cs="Arial"/>
                <w:color w:val="000000"/>
                <w:sz w:val="20"/>
                <w:szCs w:val="20"/>
              </w:rPr>
              <w:t>2020</w:t>
            </w:r>
          </w:p>
        </w:tc>
      </w:tr>
      <w:tr w:rsidR="00000000">
        <w:trPr>
          <w:divId w:val="596522117"/>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1F1FC8">
            <w:pPr>
              <w:rPr>
                <w:rFonts w:eastAsia="Times New Roman"/>
              </w:rPr>
            </w:pPr>
            <w:r>
              <w:rPr>
                <w:rFonts w:ascii="Arial" w:eastAsia="Times New Roman" w:hAnsi="Arial" w:cs="Arial"/>
                <w:color w:val="000000"/>
                <w:sz w:val="20"/>
                <w:szCs w:val="20"/>
              </w:rPr>
              <w:t>Health care cost trend rate assumed for next year</w:t>
            </w:r>
          </w:p>
        </w:tc>
        <w:tc>
          <w:tcPr>
            <w:tcW w:w="0" w:type="auto"/>
            <w:gridSpan w:val="2"/>
            <w:tcBorders>
              <w:top w:val="single" w:sz="4" w:space="0" w:color="000000"/>
            </w:tcBorders>
            <w:shd w:val="clear" w:color="auto" w:fill="D9D9D9"/>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b/>
                <w:bCs/>
                <w:color w:val="000000"/>
                <w:sz w:val="20"/>
                <w:szCs w:val="20"/>
              </w:rPr>
              <w:t>4.0</w:t>
            </w:r>
            <w:r>
              <w:rPr>
                <w:rFonts w:ascii="Arial" w:eastAsia="Times New Roman" w:hAnsi="Arial" w:cs="Arial"/>
                <w:color w:val="000000"/>
                <w:sz w:val="20"/>
                <w:szCs w:val="20"/>
              </w:rPr>
              <w:t> </w:t>
            </w:r>
          </w:p>
        </w:tc>
        <w:tc>
          <w:tcPr>
            <w:tcW w:w="0" w:type="auto"/>
            <w:tcBorders>
              <w:top w:val="single" w:sz="4" w:space="0" w:color="000000"/>
            </w:tcBorders>
            <w:shd w:val="clear" w:color="auto" w:fill="D9D9D9"/>
            <w:tcMar>
              <w:top w:w="30" w:type="dxa"/>
              <w:left w:w="0" w:type="dxa"/>
              <w:bottom w:w="30" w:type="dxa"/>
              <w:right w:w="20" w:type="dxa"/>
            </w:tcMar>
            <w:vAlign w:val="center"/>
            <w:hideMark/>
          </w:tcPr>
          <w:p w:rsidR="00000000" w:rsidRDefault="001F1FC8">
            <w:pPr>
              <w:jc w:val="right"/>
              <w:rPr>
                <w:rFonts w:eastAsia="Times New Roman"/>
              </w:rPr>
            </w:pPr>
            <w:r>
              <w:rPr>
                <w:rFonts w:ascii="Arial" w:eastAsia="Times New Roman" w:hAnsi="Arial" w:cs="Arial"/>
                <w:b/>
                <w:bCs/>
                <w:color w:val="000000"/>
                <w:sz w:val="20"/>
                <w:szCs w:val="20"/>
              </w:rPr>
              <w:t>%</w:t>
            </w: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20"/>
                <w:szCs w:val="20"/>
              </w:rPr>
              <w:t>4.0 </w:t>
            </w:r>
          </w:p>
        </w:tc>
        <w:tc>
          <w:tcPr>
            <w:tcW w:w="0" w:type="auto"/>
            <w:tcBorders>
              <w:top w:val="single" w:sz="4" w:space="0" w:color="000000"/>
            </w:tcBorders>
            <w:tcMar>
              <w:top w:w="30" w:type="dxa"/>
              <w:left w:w="0" w:type="dxa"/>
              <w:bottom w:w="30" w:type="dxa"/>
              <w:right w:w="20" w:type="dxa"/>
            </w:tcMar>
            <w:vAlign w:val="center"/>
            <w:hideMark/>
          </w:tcPr>
          <w:p w:rsidR="00000000" w:rsidRDefault="001F1FC8">
            <w:pPr>
              <w:jc w:val="right"/>
              <w:rPr>
                <w:rFonts w:eastAsia="Times New Roman"/>
              </w:rPr>
            </w:pPr>
            <w:r>
              <w:rPr>
                <w:rFonts w:ascii="Arial" w:eastAsia="Times New Roman" w:hAnsi="Arial" w:cs="Arial"/>
                <w:color w:val="000000"/>
                <w:sz w:val="20"/>
                <w:szCs w:val="20"/>
              </w:rPr>
              <w:t>%</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1F1FC8">
            <w:pPr>
              <w:jc w:val="right"/>
              <w:rPr>
                <w:rFonts w:eastAsia="Times New Roman"/>
              </w:rPr>
            </w:pPr>
          </w:p>
        </w:tc>
        <w:tc>
          <w:tcPr>
            <w:tcW w:w="0" w:type="auto"/>
            <w:gridSpan w:val="2"/>
            <w:tcBorders>
              <w:top w:val="single" w:sz="4" w:space="0" w:color="000000"/>
            </w:tcBorders>
            <w:shd w:val="clear" w:color="auto" w:fill="D9D9D9"/>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b/>
                <w:bCs/>
                <w:color w:val="000000"/>
                <w:sz w:val="20"/>
                <w:szCs w:val="20"/>
              </w:rPr>
              <w:t>7.0</w:t>
            </w:r>
            <w:r>
              <w:rPr>
                <w:rFonts w:ascii="Arial" w:eastAsia="Times New Roman" w:hAnsi="Arial" w:cs="Arial"/>
                <w:color w:val="000000"/>
                <w:sz w:val="20"/>
                <w:szCs w:val="20"/>
              </w:rPr>
              <w:t> </w:t>
            </w:r>
          </w:p>
        </w:tc>
        <w:tc>
          <w:tcPr>
            <w:tcW w:w="0" w:type="auto"/>
            <w:tcBorders>
              <w:top w:val="single" w:sz="4" w:space="0" w:color="000000"/>
            </w:tcBorders>
            <w:shd w:val="clear" w:color="auto" w:fill="D9D9D9"/>
            <w:tcMar>
              <w:top w:w="30" w:type="dxa"/>
              <w:left w:w="0" w:type="dxa"/>
              <w:bottom w:w="30" w:type="dxa"/>
              <w:right w:w="20" w:type="dxa"/>
            </w:tcMar>
            <w:vAlign w:val="center"/>
            <w:hideMark/>
          </w:tcPr>
          <w:p w:rsidR="00000000" w:rsidRDefault="001F1FC8">
            <w:pPr>
              <w:jc w:val="right"/>
              <w:rPr>
                <w:rFonts w:eastAsia="Times New Roman"/>
              </w:rPr>
            </w:pPr>
            <w:r>
              <w:rPr>
                <w:rFonts w:ascii="Arial" w:eastAsia="Times New Roman" w:hAnsi="Arial" w:cs="Arial"/>
                <w:b/>
                <w:bCs/>
                <w:color w:val="000000"/>
                <w:sz w:val="20"/>
                <w:szCs w:val="20"/>
              </w:rPr>
              <w:t>%</w:t>
            </w: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20"/>
                <w:szCs w:val="20"/>
              </w:rPr>
              <w:t>6.8 </w:t>
            </w:r>
          </w:p>
        </w:tc>
        <w:tc>
          <w:tcPr>
            <w:tcW w:w="0" w:type="auto"/>
            <w:tcBorders>
              <w:top w:val="single" w:sz="4" w:space="0" w:color="000000"/>
            </w:tcBorders>
            <w:tcMar>
              <w:top w:w="30" w:type="dxa"/>
              <w:left w:w="0" w:type="dxa"/>
              <w:bottom w:w="30" w:type="dxa"/>
              <w:right w:w="20" w:type="dxa"/>
            </w:tcMar>
            <w:vAlign w:val="center"/>
            <w:hideMark/>
          </w:tcPr>
          <w:p w:rsidR="00000000" w:rsidRDefault="001F1FC8">
            <w:pPr>
              <w:jc w:val="right"/>
              <w:rPr>
                <w:rFonts w:eastAsia="Times New Roman"/>
              </w:rPr>
            </w:pPr>
            <w:r>
              <w:rPr>
                <w:rFonts w:ascii="Arial" w:eastAsia="Times New Roman" w:hAnsi="Arial" w:cs="Arial"/>
                <w:color w:val="000000"/>
                <w:sz w:val="20"/>
                <w:szCs w:val="20"/>
              </w:rPr>
              <w:t>%</w:t>
            </w:r>
          </w:p>
        </w:tc>
      </w:tr>
      <w:tr w:rsidR="00000000">
        <w:trPr>
          <w:divId w:val="596522117"/>
        </w:trPr>
        <w:tc>
          <w:tcPr>
            <w:tcW w:w="0" w:type="auto"/>
            <w:gridSpan w:val="3"/>
            <w:tcMar>
              <w:top w:w="30" w:type="dxa"/>
              <w:left w:w="20" w:type="dxa"/>
              <w:bottom w:w="30" w:type="dxa"/>
              <w:right w:w="20" w:type="dxa"/>
            </w:tcMar>
            <w:vAlign w:val="bottom"/>
            <w:hideMark/>
          </w:tcPr>
          <w:p w:rsidR="00000000" w:rsidRDefault="001F1FC8">
            <w:pPr>
              <w:ind w:hanging="180"/>
              <w:divId w:val="798650015"/>
              <w:rPr>
                <w:rFonts w:eastAsia="Times New Roman"/>
              </w:rPr>
            </w:pPr>
            <w:r>
              <w:rPr>
                <w:rFonts w:ascii="Arial" w:eastAsia="Times New Roman" w:hAnsi="Arial" w:cs="Arial"/>
                <w:color w:val="000000"/>
                <w:sz w:val="20"/>
                <w:szCs w:val="20"/>
              </w:rPr>
              <w:t>Rate to which the cost trend is assumed to decline (ultimate trend rate)</w:t>
            </w:r>
          </w:p>
        </w:tc>
        <w:tc>
          <w:tcPr>
            <w:tcW w:w="0" w:type="auto"/>
            <w:gridSpan w:val="2"/>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20"/>
                <w:szCs w:val="20"/>
              </w:rPr>
              <w:t>4.0</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bottom"/>
            <w:hideMark/>
          </w:tcPr>
          <w:p w:rsidR="00000000" w:rsidRDefault="001F1FC8">
            <w:pPr>
              <w:jc w:val="right"/>
              <w:rPr>
                <w:rFonts w:eastAsia="Times New Roman"/>
              </w:rPr>
            </w:pPr>
            <w:r>
              <w:rPr>
                <w:rFonts w:ascii="Arial" w:eastAsia="Times New Roman" w:hAnsi="Arial" w:cs="Arial"/>
                <w:b/>
                <w:bCs/>
                <w:color w:val="000000"/>
                <w:sz w:val="20"/>
                <w:szCs w:val="20"/>
              </w:rPr>
              <w:t>%</w:t>
            </w: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4.0 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w:t>
            </w:r>
          </w:p>
        </w:tc>
        <w:tc>
          <w:tcPr>
            <w:tcW w:w="0" w:type="auto"/>
            <w:gridSpan w:val="3"/>
            <w:tcMar>
              <w:top w:w="0" w:type="dxa"/>
              <w:left w:w="20" w:type="dxa"/>
              <w:bottom w:w="0" w:type="dxa"/>
              <w:right w:w="20" w:type="dxa"/>
            </w:tcMar>
            <w:vAlign w:val="center"/>
            <w:hideMark/>
          </w:tcPr>
          <w:p w:rsidR="00000000" w:rsidRDefault="001F1FC8">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20"/>
                <w:szCs w:val="20"/>
              </w:rPr>
              <w:t>4.5</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bottom"/>
            <w:hideMark/>
          </w:tcPr>
          <w:p w:rsidR="00000000" w:rsidRDefault="001F1FC8">
            <w:pPr>
              <w:jc w:val="right"/>
              <w:rPr>
                <w:rFonts w:eastAsia="Times New Roman"/>
              </w:rPr>
            </w:pPr>
            <w:r>
              <w:rPr>
                <w:rFonts w:ascii="Arial" w:eastAsia="Times New Roman" w:hAnsi="Arial" w:cs="Arial"/>
                <w:b/>
                <w:bCs/>
                <w:color w:val="000000"/>
                <w:sz w:val="20"/>
                <w:szCs w:val="20"/>
              </w:rPr>
              <w:t>%</w:t>
            </w: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4.5 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w:t>
            </w:r>
          </w:p>
        </w:tc>
      </w:tr>
      <w:tr w:rsidR="00000000">
        <w:trPr>
          <w:divId w:val="596522117"/>
        </w:trPr>
        <w:tc>
          <w:tcPr>
            <w:tcW w:w="0" w:type="auto"/>
            <w:gridSpan w:val="3"/>
            <w:tcBorders>
              <w:bottom w:val="single" w:sz="8" w:space="0" w:color="000000"/>
            </w:tcBorders>
            <w:tcMar>
              <w:top w:w="30" w:type="dxa"/>
              <w:left w:w="20" w:type="dxa"/>
              <w:bottom w:w="30" w:type="dxa"/>
              <w:right w:w="20" w:type="dxa"/>
            </w:tcMar>
            <w:vAlign w:val="bottom"/>
            <w:hideMark/>
          </w:tcPr>
          <w:p w:rsidR="00000000" w:rsidRDefault="001F1FC8">
            <w:pPr>
              <w:rPr>
                <w:rFonts w:eastAsia="Times New Roman"/>
              </w:rPr>
            </w:pPr>
            <w:r>
              <w:rPr>
                <w:rFonts w:ascii="Arial" w:eastAsia="Times New Roman" w:hAnsi="Arial" w:cs="Arial"/>
                <w:color w:val="000000"/>
                <w:sz w:val="20"/>
                <w:szCs w:val="20"/>
              </w:rPr>
              <w:t>Year that the rate reaches the ultimate trend rate</w:t>
            </w:r>
          </w:p>
        </w:tc>
        <w:tc>
          <w:tcPr>
            <w:tcW w:w="0" w:type="auto"/>
            <w:gridSpan w:val="3"/>
            <w:tcBorders>
              <w:bottom w:val="single" w:sz="8" w:space="0" w:color="000000"/>
            </w:tcBorders>
            <w:shd w:val="clear" w:color="auto" w:fill="D9D9D9"/>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b/>
                <w:bCs/>
                <w:color w:val="000000"/>
                <w:sz w:val="20"/>
                <w:szCs w:val="20"/>
              </w:rPr>
              <w:t>N/A</w:t>
            </w: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N/A</w:t>
            </w:r>
          </w:p>
        </w:tc>
        <w:tc>
          <w:tcPr>
            <w:tcW w:w="0" w:type="auto"/>
            <w:gridSpan w:val="3"/>
            <w:tcBorders>
              <w:bottom w:val="single" w:sz="8" w:space="0" w:color="000000"/>
            </w:tcBorders>
            <w:tcMar>
              <w:top w:w="0" w:type="dxa"/>
              <w:left w:w="20" w:type="dxa"/>
              <w:bottom w:w="0" w:type="dxa"/>
              <w:right w:w="20" w:type="dxa"/>
            </w:tcMar>
            <w:vAlign w:val="center"/>
            <w:hideMark/>
          </w:tcPr>
          <w:p w:rsidR="00000000" w:rsidRDefault="001F1FC8">
            <w:pPr>
              <w:jc w:val="right"/>
              <w:rPr>
                <w:rFonts w:eastAsia="Times New Roman"/>
              </w:rPr>
            </w:pPr>
          </w:p>
        </w:tc>
        <w:tc>
          <w:tcPr>
            <w:tcW w:w="0" w:type="auto"/>
            <w:gridSpan w:val="3"/>
            <w:tcBorders>
              <w:bottom w:val="single" w:sz="8" w:space="0" w:color="000000"/>
            </w:tcBorders>
            <w:shd w:val="clear" w:color="auto" w:fill="D9D9D9"/>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b/>
                <w:bCs/>
                <w:color w:val="000000"/>
                <w:sz w:val="20"/>
                <w:szCs w:val="20"/>
              </w:rPr>
              <w:t>2037</w:t>
            </w: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2037</w:t>
            </w:r>
          </w:p>
        </w:tc>
      </w:tr>
    </w:tbl>
    <w:p w:rsidR="00000000" w:rsidRDefault="001F1FC8">
      <w:pPr>
        <w:divId w:val="1466894909"/>
        <w:rPr>
          <w:rFonts w:eastAsia="Times New Roman"/>
        </w:rPr>
      </w:pPr>
    </w:p>
    <w:p w:rsidR="00000000" w:rsidRDefault="001F1FC8">
      <w:pPr>
        <w:divId w:val="1282224581"/>
        <w:rPr>
          <w:rFonts w:eastAsia="Times New Roman"/>
        </w:rPr>
      </w:pPr>
      <w:r>
        <w:rPr>
          <w:rFonts w:ascii="Arial" w:eastAsia="Times New Roman" w:hAnsi="Arial" w:cs="Arial"/>
          <w:b/>
          <w:bCs/>
          <w:color w:val="000000"/>
          <w:sz w:val="20"/>
          <w:szCs w:val="20"/>
        </w:rPr>
        <w:t>PLAN ASSETS</w:t>
      </w:r>
    </w:p>
    <w:p w:rsidR="00000000" w:rsidRDefault="001F1FC8">
      <w:pPr>
        <w:divId w:val="2057044794"/>
        <w:rPr>
          <w:rFonts w:eastAsia="Times New Roman"/>
        </w:rPr>
      </w:pPr>
      <w:r>
        <w:rPr>
          <w:rFonts w:ascii="Arial" w:eastAsia="Times New Roman" w:hAnsi="Arial" w:cs="Arial"/>
          <w:color w:val="000000"/>
          <w:sz w:val="20"/>
          <w:szCs w:val="20"/>
        </w:rPr>
        <w:t>We manage the investment risk of our pension funds by setting a long-term asset mix policy for each plan after consideration of: (i) the nature of pension plan liabilities; (ii) the investment horizon of the plan; (iii) the going concern and so</w:t>
      </w:r>
      <w:r>
        <w:rPr>
          <w:rFonts w:ascii="Arial" w:eastAsia="Times New Roman" w:hAnsi="Arial" w:cs="Arial"/>
          <w:color w:val="000000"/>
          <w:sz w:val="20"/>
          <w:szCs w:val="20"/>
        </w:rPr>
        <w:t xml:space="preserve">lvency funded status and cash flow requirements of the plan; (iv) our operating environment and financial situation and our ability to withstand fluctuations in pension contributions; and (v) the future economic and capital markets outlook with respect to </w:t>
      </w:r>
      <w:r>
        <w:rPr>
          <w:rFonts w:ascii="Arial" w:eastAsia="Times New Roman" w:hAnsi="Arial" w:cs="Arial"/>
          <w:color w:val="000000"/>
          <w:sz w:val="20"/>
          <w:szCs w:val="20"/>
        </w:rPr>
        <w:t xml:space="preserve">investment returns, volatility of returns and correlation between assets. </w:t>
      </w:r>
    </w:p>
    <w:p w:rsidR="00000000" w:rsidRDefault="001F1FC8">
      <w:pPr>
        <w:divId w:val="1450708277"/>
        <w:rPr>
          <w:rFonts w:eastAsia="Times New Roman"/>
        </w:rPr>
      </w:pPr>
    </w:p>
    <w:p w:rsidR="00000000" w:rsidRDefault="001F1FC8">
      <w:pPr>
        <w:divId w:val="723140579"/>
        <w:rPr>
          <w:rFonts w:eastAsia="Times New Roman"/>
        </w:rPr>
      </w:pPr>
      <w:r>
        <w:rPr>
          <w:rFonts w:ascii="Arial" w:eastAsia="Times New Roman" w:hAnsi="Arial" w:cs="Arial"/>
          <w:color w:val="000000"/>
          <w:sz w:val="20"/>
          <w:szCs w:val="20"/>
        </w:rPr>
        <w:t>The overall expected rate of return on plan assets is based on the asset allocation targets with estimates for returns based on long-term expectations.</w:t>
      </w:r>
    </w:p>
    <w:p w:rsidR="00000000" w:rsidRDefault="001F1FC8">
      <w:pPr>
        <w:divId w:val="207688234"/>
        <w:rPr>
          <w:rFonts w:eastAsia="Times New Roman"/>
        </w:rPr>
      </w:pPr>
    </w:p>
    <w:p w:rsidR="00000000" w:rsidRDefault="001F1FC8">
      <w:pPr>
        <w:divId w:val="1591696316"/>
        <w:rPr>
          <w:rFonts w:eastAsia="Times New Roman"/>
        </w:rPr>
      </w:pPr>
      <w:r>
        <w:rPr>
          <w:rFonts w:ascii="Arial" w:eastAsia="Times New Roman" w:hAnsi="Arial" w:cs="Arial"/>
          <w:color w:val="000000"/>
          <w:sz w:val="20"/>
          <w:szCs w:val="20"/>
        </w:rPr>
        <w:t>The asset allocation targ</w:t>
      </w:r>
      <w:r>
        <w:rPr>
          <w:rFonts w:ascii="Arial" w:eastAsia="Times New Roman" w:hAnsi="Arial" w:cs="Arial"/>
          <w:color w:val="000000"/>
          <w:sz w:val="20"/>
          <w:szCs w:val="20"/>
        </w:rPr>
        <w:t>ets and major categories of plan assets are as follows:</w:t>
      </w:r>
    </w:p>
    <w:tbl>
      <w:tblPr>
        <w:tblW w:w="5000" w:type="pct"/>
        <w:tblCellMar>
          <w:top w:w="15" w:type="dxa"/>
          <w:left w:w="15" w:type="dxa"/>
          <w:bottom w:w="15" w:type="dxa"/>
          <w:right w:w="15" w:type="dxa"/>
        </w:tblCellMar>
        <w:tblLook w:val="04A0" w:firstRow="1" w:lastRow="0" w:firstColumn="1" w:lastColumn="0" w:noHBand="0" w:noVBand="1"/>
      </w:tblPr>
      <w:tblGrid>
        <w:gridCol w:w="41"/>
        <w:gridCol w:w="2157"/>
        <w:gridCol w:w="37"/>
        <w:gridCol w:w="72"/>
        <w:gridCol w:w="928"/>
        <w:gridCol w:w="198"/>
        <w:gridCol w:w="44"/>
        <w:gridCol w:w="702"/>
        <w:gridCol w:w="199"/>
        <w:gridCol w:w="43"/>
        <w:gridCol w:w="704"/>
        <w:gridCol w:w="198"/>
        <w:gridCol w:w="36"/>
        <w:gridCol w:w="36"/>
        <w:gridCol w:w="36"/>
        <w:gridCol w:w="82"/>
        <w:gridCol w:w="917"/>
        <w:gridCol w:w="198"/>
        <w:gridCol w:w="44"/>
        <w:gridCol w:w="490"/>
        <w:gridCol w:w="198"/>
        <w:gridCol w:w="43"/>
        <w:gridCol w:w="705"/>
        <w:gridCol w:w="198"/>
      </w:tblGrid>
      <w:tr w:rsidR="00000000">
        <w:trPr>
          <w:divId w:val="924460922"/>
        </w:trPr>
        <w:tc>
          <w:tcPr>
            <w:tcW w:w="50" w:type="pct"/>
            <w:vAlign w:val="center"/>
            <w:hideMark/>
          </w:tcPr>
          <w:p w:rsidR="00000000" w:rsidRDefault="001F1FC8">
            <w:pPr>
              <w:rPr>
                <w:rFonts w:eastAsia="Times New Roman"/>
              </w:rPr>
            </w:pPr>
          </w:p>
        </w:tc>
        <w:tc>
          <w:tcPr>
            <w:tcW w:w="1371"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c>
          <w:tcPr>
            <w:tcW w:w="50" w:type="pct"/>
            <w:vAlign w:val="center"/>
            <w:hideMark/>
          </w:tcPr>
          <w:p w:rsidR="00000000" w:rsidRDefault="001F1FC8">
            <w:pPr>
              <w:rPr>
                <w:rFonts w:eastAsia="Times New Roman"/>
                <w:sz w:val="20"/>
                <w:szCs w:val="20"/>
              </w:rPr>
            </w:pPr>
          </w:p>
        </w:tc>
        <w:tc>
          <w:tcPr>
            <w:tcW w:w="650"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c>
          <w:tcPr>
            <w:tcW w:w="50" w:type="pct"/>
            <w:vAlign w:val="center"/>
            <w:hideMark/>
          </w:tcPr>
          <w:p w:rsidR="00000000" w:rsidRDefault="001F1FC8">
            <w:pPr>
              <w:rPr>
                <w:rFonts w:eastAsia="Times New Roman"/>
                <w:sz w:val="20"/>
                <w:szCs w:val="20"/>
              </w:rPr>
            </w:pPr>
          </w:p>
        </w:tc>
        <w:tc>
          <w:tcPr>
            <w:tcW w:w="497"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c>
          <w:tcPr>
            <w:tcW w:w="50" w:type="pct"/>
            <w:vAlign w:val="center"/>
            <w:hideMark/>
          </w:tcPr>
          <w:p w:rsidR="00000000" w:rsidRDefault="001F1FC8">
            <w:pPr>
              <w:rPr>
                <w:rFonts w:eastAsia="Times New Roman"/>
                <w:sz w:val="20"/>
                <w:szCs w:val="20"/>
              </w:rPr>
            </w:pPr>
          </w:p>
        </w:tc>
        <w:tc>
          <w:tcPr>
            <w:tcW w:w="497"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c>
          <w:tcPr>
            <w:tcW w:w="30"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c>
          <w:tcPr>
            <w:tcW w:w="50" w:type="pct"/>
            <w:vAlign w:val="center"/>
            <w:hideMark/>
          </w:tcPr>
          <w:p w:rsidR="00000000" w:rsidRDefault="001F1FC8">
            <w:pPr>
              <w:rPr>
                <w:rFonts w:eastAsia="Times New Roman"/>
                <w:sz w:val="20"/>
                <w:szCs w:val="20"/>
              </w:rPr>
            </w:pPr>
          </w:p>
        </w:tc>
        <w:tc>
          <w:tcPr>
            <w:tcW w:w="561"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c>
          <w:tcPr>
            <w:tcW w:w="50" w:type="pct"/>
            <w:vAlign w:val="center"/>
            <w:hideMark/>
          </w:tcPr>
          <w:p w:rsidR="00000000" w:rsidRDefault="001F1FC8">
            <w:pPr>
              <w:rPr>
                <w:rFonts w:eastAsia="Times New Roman"/>
                <w:sz w:val="20"/>
                <w:szCs w:val="20"/>
              </w:rPr>
            </w:pPr>
          </w:p>
        </w:tc>
        <w:tc>
          <w:tcPr>
            <w:tcW w:w="497"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c>
          <w:tcPr>
            <w:tcW w:w="50" w:type="pct"/>
            <w:vAlign w:val="center"/>
            <w:hideMark/>
          </w:tcPr>
          <w:p w:rsidR="00000000" w:rsidRDefault="001F1FC8">
            <w:pPr>
              <w:rPr>
                <w:rFonts w:eastAsia="Times New Roman"/>
                <w:sz w:val="20"/>
                <w:szCs w:val="20"/>
              </w:rPr>
            </w:pPr>
          </w:p>
        </w:tc>
        <w:tc>
          <w:tcPr>
            <w:tcW w:w="498"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r>
      <w:tr w:rsidR="00000000">
        <w:trPr>
          <w:divId w:val="924460922"/>
        </w:trPr>
        <w:tc>
          <w:tcPr>
            <w:tcW w:w="0" w:type="auto"/>
            <w:gridSpan w:val="3"/>
            <w:tcMar>
              <w:top w:w="30" w:type="dxa"/>
              <w:left w:w="20" w:type="dxa"/>
              <w:bottom w:w="30" w:type="dxa"/>
              <w:right w:w="20" w:type="dxa"/>
            </w:tcMar>
            <w:hideMark/>
          </w:tcPr>
          <w:p w:rsidR="00000000" w:rsidRDefault="001F1FC8">
            <w:pPr>
              <w:rPr>
                <w:rFonts w:eastAsia="Times New Roman"/>
              </w:rPr>
            </w:pPr>
            <w:r>
              <w:rPr>
                <w:rFonts w:ascii="Arial" w:eastAsia="Times New Roman" w:hAnsi="Arial" w:cs="Arial"/>
                <w:color w:val="000000"/>
                <w:sz w:val="2"/>
                <w:szCs w:val="2"/>
              </w:rPr>
              <w:t> </w:t>
            </w:r>
          </w:p>
        </w:tc>
        <w:tc>
          <w:tcPr>
            <w:tcW w:w="0" w:type="auto"/>
            <w:gridSpan w:val="9"/>
            <w:tcBorders>
              <w:bottom w:val="single" w:sz="4" w:space="0" w:color="000000"/>
            </w:tcBorders>
            <w:tcMar>
              <w:top w:w="30" w:type="dxa"/>
              <w:left w:w="20" w:type="dxa"/>
              <w:bottom w:w="30" w:type="dxa"/>
              <w:right w:w="20" w:type="dxa"/>
            </w:tcMar>
            <w:vAlign w:val="bottom"/>
            <w:hideMark/>
          </w:tcPr>
          <w:p w:rsidR="00000000" w:rsidRDefault="001F1FC8">
            <w:pPr>
              <w:jc w:val="center"/>
              <w:rPr>
                <w:rFonts w:eastAsia="Times New Roman"/>
              </w:rPr>
            </w:pPr>
            <w:r>
              <w:rPr>
                <w:rFonts w:ascii="Arial" w:eastAsia="Times New Roman" w:hAnsi="Arial" w:cs="Arial"/>
                <w:color w:val="000000"/>
                <w:sz w:val="20"/>
                <w:szCs w:val="20"/>
              </w:rPr>
              <w:t>Canada</w:t>
            </w:r>
          </w:p>
        </w:tc>
        <w:tc>
          <w:tcPr>
            <w:tcW w:w="0" w:type="auto"/>
            <w:gridSpan w:val="3"/>
            <w:tcMar>
              <w:top w:w="0" w:type="dxa"/>
              <w:left w:w="20" w:type="dxa"/>
              <w:bottom w:w="0" w:type="dxa"/>
              <w:right w:w="20" w:type="dxa"/>
            </w:tcMar>
            <w:vAlign w:val="center"/>
            <w:hideMark/>
          </w:tcPr>
          <w:p w:rsidR="00000000" w:rsidRDefault="001F1FC8">
            <w:pPr>
              <w:jc w:val="center"/>
              <w:rPr>
                <w:rFonts w:eastAsia="Times New Roman"/>
              </w:rPr>
            </w:pPr>
          </w:p>
        </w:tc>
        <w:tc>
          <w:tcPr>
            <w:tcW w:w="0" w:type="auto"/>
            <w:gridSpan w:val="9"/>
            <w:tcBorders>
              <w:bottom w:val="single" w:sz="4" w:space="0" w:color="000000"/>
            </w:tcBorders>
            <w:tcMar>
              <w:top w:w="30" w:type="dxa"/>
              <w:left w:w="20" w:type="dxa"/>
              <w:bottom w:w="30" w:type="dxa"/>
              <w:right w:w="20" w:type="dxa"/>
            </w:tcMar>
            <w:vAlign w:val="bottom"/>
            <w:hideMark/>
          </w:tcPr>
          <w:p w:rsidR="00000000" w:rsidRDefault="001F1FC8">
            <w:pPr>
              <w:jc w:val="center"/>
              <w:rPr>
                <w:rFonts w:eastAsia="Times New Roman"/>
              </w:rPr>
            </w:pPr>
            <w:r>
              <w:rPr>
                <w:rFonts w:ascii="Arial" w:eastAsia="Times New Roman" w:hAnsi="Arial" w:cs="Arial"/>
                <w:color w:val="000000"/>
                <w:sz w:val="20"/>
                <w:szCs w:val="20"/>
              </w:rPr>
              <w:t>US</w:t>
            </w:r>
          </w:p>
        </w:tc>
      </w:tr>
      <w:tr w:rsidR="00000000">
        <w:trPr>
          <w:divId w:val="924460922"/>
        </w:trPr>
        <w:tc>
          <w:tcPr>
            <w:tcW w:w="0" w:type="auto"/>
            <w:gridSpan w:val="3"/>
            <w:tcMar>
              <w:top w:w="0" w:type="dxa"/>
              <w:left w:w="20" w:type="dxa"/>
              <w:bottom w:w="0" w:type="dxa"/>
              <w:right w:w="20" w:type="dxa"/>
            </w:tcMar>
            <w:vAlign w:val="center"/>
            <w:hideMark/>
          </w:tcPr>
          <w:p w:rsidR="00000000" w:rsidRDefault="001F1FC8">
            <w:pPr>
              <w:jc w:val="center"/>
              <w:rPr>
                <w:rFonts w:eastAsia="Times New Roman"/>
              </w:rPr>
            </w:pP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1F1FC8">
            <w:pPr>
              <w:jc w:val="center"/>
              <w:rPr>
                <w:rFonts w:eastAsia="Times New Roman"/>
              </w:rPr>
            </w:pPr>
            <w:r>
              <w:rPr>
                <w:rFonts w:ascii="Arial" w:eastAsia="Times New Roman" w:hAnsi="Arial" w:cs="Arial"/>
                <w:b/>
                <w:bCs/>
                <w:color w:val="000000"/>
                <w:sz w:val="20"/>
                <w:szCs w:val="20"/>
              </w:rPr>
              <w:t>Target</w:t>
            </w:r>
          </w:p>
        </w:tc>
        <w:tc>
          <w:tcPr>
            <w:tcW w:w="0" w:type="auto"/>
            <w:gridSpan w:val="6"/>
            <w:tcBorders>
              <w:top w:val="single" w:sz="4" w:space="0" w:color="000000"/>
            </w:tcBorders>
            <w:tcMar>
              <w:top w:w="30" w:type="dxa"/>
              <w:left w:w="20" w:type="dxa"/>
              <w:bottom w:w="30" w:type="dxa"/>
              <w:right w:w="20" w:type="dxa"/>
            </w:tcMar>
            <w:vAlign w:val="bottom"/>
            <w:hideMark/>
          </w:tcPr>
          <w:p w:rsidR="00000000" w:rsidRDefault="001F1FC8">
            <w:pPr>
              <w:jc w:val="center"/>
              <w:rPr>
                <w:rFonts w:eastAsia="Times New Roman"/>
              </w:rPr>
            </w:pPr>
            <w:r>
              <w:rPr>
                <w:rFonts w:ascii="Arial" w:eastAsia="Times New Roman" w:hAnsi="Arial" w:cs="Arial"/>
                <w:color w:val="000000"/>
                <w:sz w:val="20"/>
                <w:szCs w:val="20"/>
              </w:rPr>
              <w:t>December 31,</w:t>
            </w:r>
          </w:p>
        </w:tc>
        <w:tc>
          <w:tcPr>
            <w:tcW w:w="0" w:type="auto"/>
            <w:gridSpan w:val="3"/>
            <w:tcMar>
              <w:top w:w="0" w:type="dxa"/>
              <w:left w:w="20" w:type="dxa"/>
              <w:bottom w:w="0" w:type="dxa"/>
              <w:right w:w="20" w:type="dxa"/>
            </w:tcMar>
            <w:vAlign w:val="center"/>
            <w:hideMark/>
          </w:tcPr>
          <w:p w:rsidR="00000000" w:rsidRDefault="001F1FC8">
            <w:pPr>
              <w:jc w:val="center"/>
              <w:rPr>
                <w:rFonts w:eastAsia="Times New Roman"/>
              </w:rPr>
            </w:pP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1F1FC8">
            <w:pPr>
              <w:jc w:val="center"/>
              <w:rPr>
                <w:rFonts w:eastAsia="Times New Roman"/>
              </w:rPr>
            </w:pPr>
            <w:r>
              <w:rPr>
                <w:rFonts w:ascii="Arial" w:eastAsia="Times New Roman" w:hAnsi="Arial" w:cs="Arial"/>
                <w:b/>
                <w:bCs/>
                <w:color w:val="000000"/>
                <w:sz w:val="20"/>
                <w:szCs w:val="20"/>
              </w:rPr>
              <w:t>Target</w:t>
            </w:r>
          </w:p>
        </w:tc>
        <w:tc>
          <w:tcPr>
            <w:tcW w:w="0" w:type="auto"/>
            <w:gridSpan w:val="6"/>
            <w:tcBorders>
              <w:top w:val="single" w:sz="4" w:space="0" w:color="000000"/>
            </w:tcBorders>
            <w:tcMar>
              <w:top w:w="30" w:type="dxa"/>
              <w:left w:w="20" w:type="dxa"/>
              <w:bottom w:w="30" w:type="dxa"/>
              <w:right w:w="20" w:type="dxa"/>
            </w:tcMar>
            <w:vAlign w:val="bottom"/>
            <w:hideMark/>
          </w:tcPr>
          <w:p w:rsidR="00000000" w:rsidRDefault="001F1FC8">
            <w:pPr>
              <w:jc w:val="center"/>
              <w:rPr>
                <w:rFonts w:eastAsia="Times New Roman"/>
              </w:rPr>
            </w:pPr>
            <w:r>
              <w:rPr>
                <w:rFonts w:ascii="Arial" w:eastAsia="Times New Roman" w:hAnsi="Arial" w:cs="Arial"/>
                <w:color w:val="000000"/>
                <w:sz w:val="20"/>
                <w:szCs w:val="20"/>
              </w:rPr>
              <w:t>December 31,</w:t>
            </w:r>
          </w:p>
        </w:tc>
      </w:tr>
      <w:tr w:rsidR="00000000">
        <w:trPr>
          <w:divId w:val="924460922"/>
        </w:trPr>
        <w:tc>
          <w:tcPr>
            <w:tcW w:w="0" w:type="auto"/>
            <w:gridSpan w:val="3"/>
            <w:tcMar>
              <w:top w:w="30" w:type="dxa"/>
              <w:left w:w="20" w:type="dxa"/>
              <w:bottom w:w="30" w:type="dxa"/>
              <w:right w:w="20" w:type="dxa"/>
            </w:tcMar>
            <w:vAlign w:val="bottom"/>
            <w:hideMark/>
          </w:tcPr>
          <w:p w:rsidR="00000000" w:rsidRDefault="001F1FC8">
            <w:pPr>
              <w:rPr>
                <w:rFonts w:eastAsia="Times New Roman"/>
              </w:rPr>
            </w:pPr>
            <w:r>
              <w:rPr>
                <w:rFonts w:ascii="Arial" w:eastAsia="Times New Roman" w:hAnsi="Arial" w:cs="Arial"/>
                <w:b/>
                <w:bCs/>
                <w:color w:val="000000"/>
                <w:sz w:val="20"/>
                <w:szCs w:val="20"/>
              </w:rPr>
              <w:t>Asset Category</w:t>
            </w:r>
          </w:p>
        </w:tc>
        <w:tc>
          <w:tcPr>
            <w:tcW w:w="0" w:type="auto"/>
            <w:gridSpan w:val="3"/>
            <w:tcMar>
              <w:top w:w="30" w:type="dxa"/>
              <w:left w:w="20" w:type="dxa"/>
              <w:bottom w:w="30" w:type="dxa"/>
              <w:right w:w="20" w:type="dxa"/>
            </w:tcMar>
            <w:vAlign w:val="bottom"/>
            <w:hideMark/>
          </w:tcPr>
          <w:p w:rsidR="00000000" w:rsidRDefault="001F1FC8">
            <w:pPr>
              <w:jc w:val="center"/>
              <w:rPr>
                <w:rFonts w:eastAsia="Times New Roman"/>
              </w:rPr>
            </w:pPr>
            <w:r>
              <w:rPr>
                <w:rFonts w:ascii="Arial" w:eastAsia="Times New Roman" w:hAnsi="Arial" w:cs="Arial"/>
                <w:b/>
                <w:bCs/>
                <w:color w:val="000000"/>
                <w:sz w:val="20"/>
                <w:szCs w:val="20"/>
              </w:rPr>
              <w:t>Allocation</w:t>
            </w:r>
          </w:p>
        </w:tc>
        <w:tc>
          <w:tcPr>
            <w:tcW w:w="0" w:type="auto"/>
            <w:gridSpan w:val="3"/>
            <w:tcBorders>
              <w:top w:val="single" w:sz="4" w:space="0" w:color="000000"/>
            </w:tcBorders>
            <w:tcMar>
              <w:top w:w="30" w:type="dxa"/>
              <w:left w:w="20" w:type="dxa"/>
              <w:bottom w:w="30" w:type="dxa"/>
              <w:right w:w="20" w:type="dxa"/>
            </w:tcMar>
            <w:hideMark/>
          </w:tcPr>
          <w:p w:rsidR="00000000" w:rsidRDefault="001F1FC8">
            <w:pPr>
              <w:jc w:val="right"/>
              <w:rPr>
                <w:rFonts w:eastAsia="Times New Roman"/>
              </w:rPr>
            </w:pPr>
            <w:r>
              <w:rPr>
                <w:rFonts w:ascii="Arial" w:eastAsia="Times New Roman" w:hAnsi="Arial" w:cs="Arial"/>
                <w:b/>
                <w:bCs/>
                <w:color w:val="000000"/>
                <w:sz w:val="20"/>
                <w:szCs w:val="20"/>
              </w:rPr>
              <w:t>2021</w:t>
            </w:r>
          </w:p>
        </w:tc>
        <w:tc>
          <w:tcPr>
            <w:tcW w:w="0" w:type="auto"/>
            <w:gridSpan w:val="3"/>
            <w:tcBorders>
              <w:top w:val="single" w:sz="4" w:space="0" w:color="000000"/>
            </w:tcBorders>
            <w:tcMar>
              <w:top w:w="30" w:type="dxa"/>
              <w:left w:w="20" w:type="dxa"/>
              <w:bottom w:w="30" w:type="dxa"/>
              <w:right w:w="20" w:type="dxa"/>
            </w:tcMar>
            <w:hideMark/>
          </w:tcPr>
          <w:p w:rsidR="00000000" w:rsidRDefault="001F1FC8">
            <w:pPr>
              <w:jc w:val="right"/>
              <w:rPr>
                <w:rFonts w:eastAsia="Times New Roman"/>
              </w:rPr>
            </w:pPr>
            <w:r>
              <w:rPr>
                <w:rFonts w:ascii="Arial" w:eastAsia="Times New Roman" w:hAnsi="Arial" w:cs="Arial"/>
                <w:color w:val="000000"/>
                <w:sz w:val="20"/>
                <w:szCs w:val="20"/>
              </w:rPr>
              <w:t>2020</w:t>
            </w:r>
          </w:p>
        </w:tc>
        <w:tc>
          <w:tcPr>
            <w:tcW w:w="0" w:type="auto"/>
            <w:gridSpan w:val="3"/>
            <w:tcMar>
              <w:top w:w="0" w:type="dxa"/>
              <w:left w:w="20" w:type="dxa"/>
              <w:bottom w:w="0" w:type="dxa"/>
              <w:right w:w="20" w:type="dxa"/>
            </w:tcMar>
            <w:vAlign w:val="center"/>
            <w:hideMark/>
          </w:tcPr>
          <w:p w:rsidR="00000000" w:rsidRDefault="001F1FC8">
            <w:pPr>
              <w:jc w:val="right"/>
              <w:rPr>
                <w:rFonts w:eastAsia="Times New Roman"/>
              </w:rPr>
            </w:pPr>
          </w:p>
        </w:tc>
        <w:tc>
          <w:tcPr>
            <w:tcW w:w="0" w:type="auto"/>
            <w:gridSpan w:val="3"/>
            <w:tcMar>
              <w:top w:w="30" w:type="dxa"/>
              <w:left w:w="20" w:type="dxa"/>
              <w:bottom w:w="30" w:type="dxa"/>
              <w:right w:w="20" w:type="dxa"/>
            </w:tcMar>
            <w:vAlign w:val="bottom"/>
            <w:hideMark/>
          </w:tcPr>
          <w:p w:rsidR="00000000" w:rsidRDefault="001F1FC8">
            <w:pPr>
              <w:jc w:val="center"/>
              <w:rPr>
                <w:rFonts w:eastAsia="Times New Roman"/>
              </w:rPr>
            </w:pPr>
            <w:r>
              <w:rPr>
                <w:rFonts w:ascii="Arial" w:eastAsia="Times New Roman" w:hAnsi="Arial" w:cs="Arial"/>
                <w:b/>
                <w:bCs/>
                <w:color w:val="000000"/>
                <w:sz w:val="20"/>
                <w:szCs w:val="20"/>
              </w:rPr>
              <w:t>Allocation</w:t>
            </w:r>
          </w:p>
        </w:tc>
        <w:tc>
          <w:tcPr>
            <w:tcW w:w="0" w:type="auto"/>
            <w:gridSpan w:val="3"/>
            <w:tcBorders>
              <w:top w:val="single" w:sz="4" w:space="0" w:color="000000"/>
            </w:tcBorders>
            <w:tcMar>
              <w:top w:w="30" w:type="dxa"/>
              <w:left w:w="20" w:type="dxa"/>
              <w:bottom w:w="30" w:type="dxa"/>
              <w:right w:w="20" w:type="dxa"/>
            </w:tcMar>
            <w:hideMark/>
          </w:tcPr>
          <w:p w:rsidR="00000000" w:rsidRDefault="001F1FC8">
            <w:pPr>
              <w:jc w:val="right"/>
              <w:rPr>
                <w:rFonts w:eastAsia="Times New Roman"/>
              </w:rPr>
            </w:pPr>
            <w:r>
              <w:rPr>
                <w:rFonts w:ascii="Arial" w:eastAsia="Times New Roman" w:hAnsi="Arial" w:cs="Arial"/>
                <w:b/>
                <w:bCs/>
                <w:color w:val="000000"/>
                <w:sz w:val="20"/>
                <w:szCs w:val="20"/>
              </w:rPr>
              <w:t>2021</w:t>
            </w:r>
          </w:p>
        </w:tc>
        <w:tc>
          <w:tcPr>
            <w:tcW w:w="0" w:type="auto"/>
            <w:gridSpan w:val="3"/>
            <w:tcBorders>
              <w:top w:val="single" w:sz="4" w:space="0" w:color="000000"/>
            </w:tcBorders>
            <w:tcMar>
              <w:top w:w="30" w:type="dxa"/>
              <w:left w:w="20" w:type="dxa"/>
              <w:bottom w:w="30" w:type="dxa"/>
              <w:right w:w="20" w:type="dxa"/>
            </w:tcMar>
            <w:hideMark/>
          </w:tcPr>
          <w:p w:rsidR="00000000" w:rsidRDefault="001F1FC8">
            <w:pPr>
              <w:jc w:val="right"/>
              <w:rPr>
                <w:rFonts w:eastAsia="Times New Roman"/>
              </w:rPr>
            </w:pPr>
            <w:r>
              <w:rPr>
                <w:rFonts w:ascii="Arial" w:eastAsia="Times New Roman" w:hAnsi="Arial" w:cs="Arial"/>
                <w:color w:val="000000"/>
                <w:sz w:val="20"/>
                <w:szCs w:val="20"/>
              </w:rPr>
              <w:t>2020</w:t>
            </w:r>
          </w:p>
        </w:tc>
      </w:tr>
      <w:tr w:rsidR="00000000">
        <w:trPr>
          <w:divId w:val="924460922"/>
        </w:trPr>
        <w:tc>
          <w:tcPr>
            <w:tcW w:w="0" w:type="auto"/>
            <w:gridSpan w:val="3"/>
            <w:tcBorders>
              <w:top w:val="single" w:sz="4" w:space="0" w:color="000000"/>
            </w:tcBorders>
            <w:tcMar>
              <w:top w:w="30" w:type="dxa"/>
              <w:left w:w="20" w:type="dxa"/>
              <w:bottom w:w="30" w:type="dxa"/>
              <w:right w:w="20" w:type="dxa"/>
            </w:tcMar>
            <w:vAlign w:val="bottom"/>
            <w:hideMark/>
          </w:tcPr>
          <w:p w:rsidR="00000000" w:rsidRDefault="001F1FC8">
            <w:pPr>
              <w:rPr>
                <w:rFonts w:eastAsia="Times New Roman"/>
              </w:rPr>
            </w:pPr>
            <w:r>
              <w:rPr>
                <w:rFonts w:ascii="Arial" w:eastAsia="Times New Roman" w:hAnsi="Arial" w:cs="Arial"/>
                <w:color w:val="000000"/>
                <w:sz w:val="20"/>
                <w:szCs w:val="20"/>
              </w:rPr>
              <w:t>Equity securities</w:t>
            </w:r>
          </w:p>
        </w:tc>
        <w:tc>
          <w:tcPr>
            <w:tcW w:w="0" w:type="auto"/>
            <w:gridSpan w:val="2"/>
            <w:tcBorders>
              <w:top w:val="single" w:sz="4" w:space="0" w:color="000000"/>
            </w:tcBorders>
            <w:shd w:val="clear" w:color="auto" w:fill="D9D9D9"/>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b/>
                <w:bCs/>
                <w:color w:val="000000"/>
                <w:sz w:val="20"/>
                <w:szCs w:val="20"/>
              </w:rPr>
              <w:t>43.8</w:t>
            </w:r>
            <w:r>
              <w:rPr>
                <w:rFonts w:ascii="Arial" w:eastAsia="Times New Roman" w:hAnsi="Arial" w:cs="Arial"/>
                <w:color w:val="000000"/>
                <w:sz w:val="20"/>
                <w:szCs w:val="20"/>
              </w:rPr>
              <w:t> </w:t>
            </w:r>
          </w:p>
        </w:tc>
        <w:tc>
          <w:tcPr>
            <w:tcW w:w="0" w:type="auto"/>
            <w:tcBorders>
              <w:top w:val="single" w:sz="4" w:space="0" w:color="000000"/>
            </w:tcBorders>
            <w:shd w:val="clear" w:color="auto" w:fill="D9D9D9"/>
            <w:tcMar>
              <w:top w:w="30" w:type="dxa"/>
              <w:left w:w="0" w:type="dxa"/>
              <w:bottom w:w="30" w:type="dxa"/>
              <w:right w:w="20" w:type="dxa"/>
            </w:tcMar>
            <w:hideMark/>
          </w:tcPr>
          <w:p w:rsidR="00000000" w:rsidRDefault="001F1FC8">
            <w:pPr>
              <w:jc w:val="right"/>
              <w:rPr>
                <w:rFonts w:eastAsia="Times New Roman"/>
              </w:rPr>
            </w:pPr>
            <w:r>
              <w:rPr>
                <w:rFonts w:ascii="Arial" w:eastAsia="Times New Roman" w:hAnsi="Arial" w:cs="Arial"/>
                <w:b/>
                <w:bCs/>
                <w:color w:val="000000"/>
                <w:sz w:val="20"/>
                <w:szCs w:val="20"/>
              </w:rPr>
              <w:t>%</w:t>
            </w:r>
          </w:p>
        </w:tc>
        <w:tc>
          <w:tcPr>
            <w:tcW w:w="0" w:type="auto"/>
            <w:gridSpan w:val="2"/>
            <w:tcBorders>
              <w:top w:val="single" w:sz="4" w:space="0" w:color="000000"/>
            </w:tcBorders>
            <w:shd w:val="clear" w:color="auto" w:fill="D9D9D9"/>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b/>
                <w:bCs/>
                <w:color w:val="000000"/>
                <w:sz w:val="20"/>
                <w:szCs w:val="20"/>
              </w:rPr>
              <w:t>46.7</w:t>
            </w:r>
            <w:r>
              <w:rPr>
                <w:rFonts w:ascii="Arial" w:eastAsia="Times New Roman" w:hAnsi="Arial" w:cs="Arial"/>
                <w:color w:val="000000"/>
                <w:sz w:val="20"/>
                <w:szCs w:val="20"/>
              </w:rPr>
              <w:t> </w:t>
            </w:r>
          </w:p>
        </w:tc>
        <w:tc>
          <w:tcPr>
            <w:tcW w:w="0" w:type="auto"/>
            <w:tcBorders>
              <w:top w:val="single" w:sz="4" w:space="0" w:color="000000"/>
            </w:tcBorders>
            <w:shd w:val="clear" w:color="auto" w:fill="D9D9D9"/>
            <w:tcMar>
              <w:top w:w="30" w:type="dxa"/>
              <w:left w:w="0" w:type="dxa"/>
              <w:bottom w:w="30" w:type="dxa"/>
              <w:right w:w="20" w:type="dxa"/>
            </w:tcMar>
            <w:hideMark/>
          </w:tcPr>
          <w:p w:rsidR="00000000" w:rsidRDefault="001F1FC8">
            <w:pPr>
              <w:jc w:val="right"/>
              <w:rPr>
                <w:rFonts w:eastAsia="Times New Roman"/>
              </w:rPr>
            </w:pPr>
            <w:r>
              <w:rPr>
                <w:rFonts w:ascii="Arial" w:eastAsia="Times New Roman" w:hAnsi="Arial" w:cs="Arial"/>
                <w:b/>
                <w:bCs/>
                <w:color w:val="000000"/>
                <w:sz w:val="20"/>
                <w:szCs w:val="20"/>
              </w:rPr>
              <w:t>%</w:t>
            </w:r>
          </w:p>
        </w:tc>
        <w:tc>
          <w:tcPr>
            <w:tcW w:w="0" w:type="auto"/>
            <w:gridSpan w:val="2"/>
            <w:tcBorders>
              <w:top w:val="single" w:sz="4" w:space="0" w:color="000000"/>
            </w:tcBorders>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color w:val="000000"/>
                <w:sz w:val="20"/>
                <w:szCs w:val="20"/>
              </w:rPr>
              <w:t>47.2 </w:t>
            </w:r>
          </w:p>
        </w:tc>
        <w:tc>
          <w:tcPr>
            <w:tcW w:w="0" w:type="auto"/>
            <w:tcBorders>
              <w:top w:val="single" w:sz="4" w:space="0" w:color="000000"/>
            </w:tcBorders>
            <w:tcMar>
              <w:top w:w="30" w:type="dxa"/>
              <w:left w:w="0" w:type="dxa"/>
              <w:bottom w:w="30" w:type="dxa"/>
              <w:right w:w="20" w:type="dxa"/>
            </w:tcMar>
            <w:hideMark/>
          </w:tcPr>
          <w:p w:rsidR="00000000" w:rsidRDefault="001F1FC8">
            <w:pPr>
              <w:jc w:val="right"/>
              <w:rPr>
                <w:rFonts w:eastAsia="Times New Roman"/>
              </w:rPr>
            </w:pPr>
            <w:r>
              <w:rPr>
                <w:rFonts w:ascii="Arial" w:eastAsia="Times New Roman" w:hAnsi="Arial" w:cs="Arial"/>
                <w:color w:val="000000"/>
                <w:sz w:val="20"/>
                <w:szCs w:val="20"/>
              </w:rPr>
              <w:t>%</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1F1FC8">
            <w:pPr>
              <w:jc w:val="right"/>
              <w:rPr>
                <w:rFonts w:eastAsia="Times New Roman"/>
              </w:rPr>
            </w:pPr>
          </w:p>
        </w:tc>
        <w:tc>
          <w:tcPr>
            <w:tcW w:w="0" w:type="auto"/>
            <w:gridSpan w:val="2"/>
            <w:tcBorders>
              <w:top w:val="single" w:sz="4" w:space="0" w:color="000000"/>
            </w:tcBorders>
            <w:shd w:val="clear" w:color="auto" w:fill="D9D9D9"/>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b/>
                <w:bCs/>
                <w:color w:val="000000"/>
                <w:sz w:val="20"/>
                <w:szCs w:val="20"/>
              </w:rPr>
              <w:t>45.0</w:t>
            </w:r>
            <w:r>
              <w:rPr>
                <w:rFonts w:ascii="Arial" w:eastAsia="Times New Roman" w:hAnsi="Arial" w:cs="Arial"/>
                <w:color w:val="000000"/>
                <w:sz w:val="20"/>
                <w:szCs w:val="20"/>
              </w:rPr>
              <w:t> </w:t>
            </w:r>
          </w:p>
        </w:tc>
        <w:tc>
          <w:tcPr>
            <w:tcW w:w="0" w:type="auto"/>
            <w:tcBorders>
              <w:top w:val="single" w:sz="4" w:space="0" w:color="000000"/>
            </w:tcBorders>
            <w:shd w:val="clear" w:color="auto" w:fill="D9D9D9"/>
            <w:tcMar>
              <w:top w:w="30" w:type="dxa"/>
              <w:left w:w="0" w:type="dxa"/>
              <w:bottom w:w="30" w:type="dxa"/>
              <w:right w:w="20" w:type="dxa"/>
            </w:tcMar>
            <w:hideMark/>
          </w:tcPr>
          <w:p w:rsidR="00000000" w:rsidRDefault="001F1FC8">
            <w:pPr>
              <w:jc w:val="right"/>
              <w:rPr>
                <w:rFonts w:eastAsia="Times New Roman"/>
              </w:rPr>
            </w:pPr>
            <w:r>
              <w:rPr>
                <w:rFonts w:ascii="Arial" w:eastAsia="Times New Roman" w:hAnsi="Arial" w:cs="Arial"/>
                <w:b/>
                <w:bCs/>
                <w:color w:val="000000"/>
                <w:sz w:val="20"/>
                <w:szCs w:val="20"/>
              </w:rPr>
              <w:t>%</w:t>
            </w:r>
          </w:p>
        </w:tc>
        <w:tc>
          <w:tcPr>
            <w:tcW w:w="0" w:type="auto"/>
            <w:gridSpan w:val="2"/>
            <w:tcBorders>
              <w:top w:val="single" w:sz="4" w:space="0" w:color="000000"/>
            </w:tcBorders>
            <w:shd w:val="clear" w:color="auto" w:fill="D9D9D9"/>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b/>
                <w:bCs/>
                <w:color w:val="000000"/>
                <w:sz w:val="20"/>
                <w:szCs w:val="20"/>
              </w:rPr>
              <w:t>52.5</w:t>
            </w:r>
            <w:r>
              <w:rPr>
                <w:rFonts w:ascii="Arial" w:eastAsia="Times New Roman" w:hAnsi="Arial" w:cs="Arial"/>
                <w:color w:val="000000"/>
                <w:sz w:val="20"/>
                <w:szCs w:val="20"/>
              </w:rPr>
              <w:t> </w:t>
            </w:r>
          </w:p>
        </w:tc>
        <w:tc>
          <w:tcPr>
            <w:tcW w:w="0" w:type="auto"/>
            <w:tcBorders>
              <w:top w:val="single" w:sz="4" w:space="0" w:color="000000"/>
            </w:tcBorders>
            <w:shd w:val="clear" w:color="auto" w:fill="D9D9D9"/>
            <w:tcMar>
              <w:top w:w="30" w:type="dxa"/>
              <w:left w:w="0" w:type="dxa"/>
              <w:bottom w:w="30" w:type="dxa"/>
              <w:right w:w="20" w:type="dxa"/>
            </w:tcMar>
            <w:hideMark/>
          </w:tcPr>
          <w:p w:rsidR="00000000" w:rsidRDefault="001F1FC8">
            <w:pPr>
              <w:jc w:val="right"/>
              <w:rPr>
                <w:rFonts w:eastAsia="Times New Roman"/>
              </w:rPr>
            </w:pPr>
            <w:r>
              <w:rPr>
                <w:rFonts w:ascii="Arial" w:eastAsia="Times New Roman" w:hAnsi="Arial" w:cs="Arial"/>
                <w:b/>
                <w:bCs/>
                <w:color w:val="000000"/>
                <w:sz w:val="20"/>
                <w:szCs w:val="20"/>
              </w:rPr>
              <w:t>%</w:t>
            </w:r>
          </w:p>
        </w:tc>
        <w:tc>
          <w:tcPr>
            <w:tcW w:w="0" w:type="auto"/>
            <w:gridSpan w:val="2"/>
            <w:tcBorders>
              <w:top w:val="single" w:sz="4" w:space="0" w:color="000000"/>
            </w:tcBorders>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color w:val="000000"/>
                <w:sz w:val="20"/>
                <w:szCs w:val="20"/>
              </w:rPr>
              <w:t>55.6 </w:t>
            </w:r>
          </w:p>
        </w:tc>
        <w:tc>
          <w:tcPr>
            <w:tcW w:w="0" w:type="auto"/>
            <w:tcBorders>
              <w:top w:val="single" w:sz="4" w:space="0" w:color="000000"/>
            </w:tcBorders>
            <w:tcMar>
              <w:top w:w="30" w:type="dxa"/>
              <w:left w:w="0" w:type="dxa"/>
              <w:bottom w:w="30" w:type="dxa"/>
              <w:right w:w="20" w:type="dxa"/>
            </w:tcMar>
            <w:hideMark/>
          </w:tcPr>
          <w:p w:rsidR="00000000" w:rsidRDefault="001F1FC8">
            <w:pPr>
              <w:jc w:val="right"/>
              <w:rPr>
                <w:rFonts w:eastAsia="Times New Roman"/>
              </w:rPr>
            </w:pPr>
            <w:r>
              <w:rPr>
                <w:rFonts w:ascii="Arial" w:eastAsia="Times New Roman" w:hAnsi="Arial" w:cs="Arial"/>
                <w:color w:val="000000"/>
                <w:sz w:val="20"/>
                <w:szCs w:val="20"/>
              </w:rPr>
              <w:t>%</w:t>
            </w:r>
          </w:p>
        </w:tc>
      </w:tr>
      <w:tr w:rsidR="00000000">
        <w:trPr>
          <w:divId w:val="924460922"/>
        </w:trPr>
        <w:tc>
          <w:tcPr>
            <w:tcW w:w="0" w:type="auto"/>
            <w:gridSpan w:val="3"/>
            <w:tcMar>
              <w:top w:w="30" w:type="dxa"/>
              <w:left w:w="20" w:type="dxa"/>
              <w:bottom w:w="30" w:type="dxa"/>
              <w:right w:w="20" w:type="dxa"/>
            </w:tcMar>
            <w:vAlign w:val="bottom"/>
            <w:hideMark/>
          </w:tcPr>
          <w:p w:rsidR="00000000" w:rsidRDefault="001F1FC8">
            <w:pPr>
              <w:rPr>
                <w:rFonts w:eastAsia="Times New Roman"/>
              </w:rPr>
            </w:pPr>
            <w:r>
              <w:rPr>
                <w:rFonts w:ascii="Arial" w:eastAsia="Times New Roman" w:hAnsi="Arial" w:cs="Arial"/>
                <w:color w:val="000000"/>
                <w:sz w:val="20"/>
                <w:szCs w:val="20"/>
              </w:rPr>
              <w:t>Fixed income securities</w:t>
            </w:r>
          </w:p>
        </w:tc>
        <w:tc>
          <w:tcPr>
            <w:tcW w:w="0" w:type="auto"/>
            <w:gridSpan w:val="2"/>
            <w:shd w:val="clear" w:color="auto" w:fill="D9D9D9"/>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b/>
                <w:bCs/>
                <w:color w:val="000000"/>
                <w:sz w:val="20"/>
                <w:szCs w:val="20"/>
              </w:rPr>
              <w:t>28.9</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hideMark/>
          </w:tcPr>
          <w:p w:rsidR="00000000" w:rsidRDefault="001F1FC8">
            <w:pPr>
              <w:jc w:val="right"/>
              <w:rPr>
                <w:rFonts w:eastAsia="Times New Roman"/>
              </w:rPr>
            </w:pPr>
            <w:r>
              <w:rPr>
                <w:rFonts w:ascii="Arial" w:eastAsia="Times New Roman" w:hAnsi="Arial" w:cs="Arial"/>
                <w:b/>
                <w:bCs/>
                <w:color w:val="000000"/>
                <w:sz w:val="20"/>
                <w:szCs w:val="20"/>
              </w:rPr>
              <w:t>%</w:t>
            </w:r>
          </w:p>
        </w:tc>
        <w:tc>
          <w:tcPr>
            <w:tcW w:w="0" w:type="auto"/>
            <w:gridSpan w:val="2"/>
            <w:shd w:val="clear" w:color="auto" w:fill="D9D9D9"/>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b/>
                <w:bCs/>
                <w:color w:val="000000"/>
                <w:sz w:val="20"/>
                <w:szCs w:val="20"/>
              </w:rPr>
              <w:t>29.8</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hideMark/>
          </w:tcPr>
          <w:p w:rsidR="00000000" w:rsidRDefault="001F1FC8">
            <w:pPr>
              <w:jc w:val="right"/>
              <w:rPr>
                <w:rFonts w:eastAsia="Times New Roman"/>
              </w:rPr>
            </w:pPr>
            <w:r>
              <w:rPr>
                <w:rFonts w:ascii="Arial" w:eastAsia="Times New Roman" w:hAnsi="Arial" w:cs="Arial"/>
                <w:b/>
                <w:bCs/>
                <w:color w:val="000000"/>
                <w:sz w:val="20"/>
                <w:szCs w:val="20"/>
              </w:rPr>
              <w:t>%</w:t>
            </w:r>
          </w:p>
        </w:tc>
        <w:tc>
          <w:tcPr>
            <w:tcW w:w="0" w:type="auto"/>
            <w:gridSpan w:val="2"/>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color w:val="000000"/>
                <w:sz w:val="20"/>
                <w:szCs w:val="20"/>
              </w:rPr>
              <w:t>29.6 </w:t>
            </w:r>
          </w:p>
        </w:tc>
        <w:tc>
          <w:tcPr>
            <w:tcW w:w="0" w:type="auto"/>
            <w:tcMar>
              <w:top w:w="30" w:type="dxa"/>
              <w:left w:w="0" w:type="dxa"/>
              <w:bottom w:w="30" w:type="dxa"/>
              <w:right w:w="20" w:type="dxa"/>
            </w:tcMar>
            <w:hideMark/>
          </w:tcPr>
          <w:p w:rsidR="00000000" w:rsidRDefault="001F1FC8">
            <w:pPr>
              <w:jc w:val="right"/>
              <w:rPr>
                <w:rFonts w:eastAsia="Times New Roman"/>
              </w:rPr>
            </w:pPr>
            <w:r>
              <w:rPr>
                <w:rFonts w:ascii="Arial" w:eastAsia="Times New Roman" w:hAnsi="Arial" w:cs="Arial"/>
                <w:color w:val="000000"/>
                <w:sz w:val="20"/>
                <w:szCs w:val="20"/>
              </w:rPr>
              <w:t>%</w:t>
            </w:r>
          </w:p>
        </w:tc>
        <w:tc>
          <w:tcPr>
            <w:tcW w:w="0" w:type="auto"/>
            <w:gridSpan w:val="3"/>
            <w:tcMar>
              <w:top w:w="0" w:type="dxa"/>
              <w:left w:w="20" w:type="dxa"/>
              <w:bottom w:w="0" w:type="dxa"/>
              <w:right w:w="20" w:type="dxa"/>
            </w:tcMar>
            <w:vAlign w:val="center"/>
            <w:hideMark/>
          </w:tcPr>
          <w:p w:rsidR="00000000" w:rsidRDefault="001F1FC8">
            <w:pPr>
              <w:jc w:val="right"/>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b/>
                <w:bCs/>
                <w:color w:val="000000"/>
                <w:sz w:val="20"/>
                <w:szCs w:val="20"/>
              </w:rPr>
              <w:t>20.1</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hideMark/>
          </w:tcPr>
          <w:p w:rsidR="00000000" w:rsidRDefault="001F1FC8">
            <w:pPr>
              <w:jc w:val="right"/>
              <w:rPr>
                <w:rFonts w:eastAsia="Times New Roman"/>
              </w:rPr>
            </w:pPr>
            <w:r>
              <w:rPr>
                <w:rFonts w:ascii="Arial" w:eastAsia="Times New Roman" w:hAnsi="Arial" w:cs="Arial"/>
                <w:b/>
                <w:bCs/>
                <w:color w:val="000000"/>
                <w:sz w:val="20"/>
                <w:szCs w:val="20"/>
              </w:rPr>
              <w:t>%</w:t>
            </w:r>
          </w:p>
        </w:tc>
        <w:tc>
          <w:tcPr>
            <w:tcW w:w="0" w:type="auto"/>
            <w:gridSpan w:val="2"/>
            <w:shd w:val="clear" w:color="auto" w:fill="D9D9D9"/>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b/>
                <w:bCs/>
                <w:color w:val="000000"/>
                <w:sz w:val="20"/>
                <w:szCs w:val="20"/>
              </w:rPr>
              <w:t>18.4</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hideMark/>
          </w:tcPr>
          <w:p w:rsidR="00000000" w:rsidRDefault="001F1FC8">
            <w:pPr>
              <w:jc w:val="right"/>
              <w:rPr>
                <w:rFonts w:eastAsia="Times New Roman"/>
              </w:rPr>
            </w:pPr>
            <w:r>
              <w:rPr>
                <w:rFonts w:ascii="Arial" w:eastAsia="Times New Roman" w:hAnsi="Arial" w:cs="Arial"/>
                <w:b/>
                <w:bCs/>
                <w:color w:val="000000"/>
                <w:sz w:val="20"/>
                <w:szCs w:val="20"/>
              </w:rPr>
              <w:t>%</w:t>
            </w:r>
          </w:p>
        </w:tc>
        <w:tc>
          <w:tcPr>
            <w:tcW w:w="0" w:type="auto"/>
            <w:gridSpan w:val="2"/>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color w:val="000000"/>
                <w:sz w:val="20"/>
                <w:szCs w:val="20"/>
              </w:rPr>
              <w:t>17.2 </w:t>
            </w:r>
          </w:p>
        </w:tc>
        <w:tc>
          <w:tcPr>
            <w:tcW w:w="0" w:type="auto"/>
            <w:tcMar>
              <w:top w:w="30" w:type="dxa"/>
              <w:left w:w="0" w:type="dxa"/>
              <w:bottom w:w="30" w:type="dxa"/>
              <w:right w:w="20" w:type="dxa"/>
            </w:tcMar>
            <w:hideMark/>
          </w:tcPr>
          <w:p w:rsidR="00000000" w:rsidRDefault="001F1FC8">
            <w:pPr>
              <w:jc w:val="right"/>
              <w:rPr>
                <w:rFonts w:eastAsia="Times New Roman"/>
              </w:rPr>
            </w:pPr>
            <w:r>
              <w:rPr>
                <w:rFonts w:ascii="Arial" w:eastAsia="Times New Roman" w:hAnsi="Arial" w:cs="Arial"/>
                <w:color w:val="000000"/>
                <w:sz w:val="20"/>
                <w:szCs w:val="20"/>
              </w:rPr>
              <w:t>%</w:t>
            </w:r>
          </w:p>
        </w:tc>
      </w:tr>
      <w:tr w:rsidR="00000000">
        <w:trPr>
          <w:divId w:val="924460922"/>
        </w:trPr>
        <w:tc>
          <w:tcPr>
            <w:tcW w:w="0" w:type="auto"/>
            <w:gridSpan w:val="3"/>
            <w:tcBorders>
              <w:bottom w:val="single" w:sz="8" w:space="0" w:color="000000"/>
            </w:tcBorders>
            <w:tcMar>
              <w:top w:w="30" w:type="dxa"/>
              <w:left w:w="20" w:type="dxa"/>
              <w:bottom w:w="30" w:type="dxa"/>
              <w:right w:w="20" w:type="dxa"/>
            </w:tcMar>
            <w:vAlign w:val="bottom"/>
            <w:hideMark/>
          </w:tcPr>
          <w:p w:rsidR="00000000" w:rsidRDefault="001F1FC8">
            <w:pPr>
              <w:divId w:val="1407535604"/>
              <w:rPr>
                <w:rFonts w:eastAsia="Times New Roman"/>
              </w:rPr>
            </w:pPr>
            <w:r>
              <w:rPr>
                <w:rFonts w:ascii="Arial" w:eastAsia="Times New Roman" w:hAnsi="Arial" w:cs="Arial"/>
                <w:color w:val="000000"/>
                <w:sz w:val="20"/>
                <w:szCs w:val="20"/>
              </w:rPr>
              <w:t>Alternative</w:t>
            </w:r>
            <w:r>
              <w:rPr>
                <w:rFonts w:ascii="Arial" w:eastAsia="Times New Roman" w:hAnsi="Arial" w:cs="Arial"/>
                <w:color w:val="000000"/>
                <w:sz w:val="20"/>
                <w:szCs w:val="20"/>
              </w:rPr>
              <w:t>s</w:t>
            </w:r>
            <w:r>
              <w:rPr>
                <w:rFonts w:ascii="Arial" w:eastAsia="Times New Roman" w:hAnsi="Arial" w:cs="Arial"/>
                <w:color w:val="000000"/>
                <w:sz w:val="10"/>
                <w:szCs w:val="10"/>
              </w:rPr>
              <w:t>1</w:t>
            </w:r>
          </w:p>
        </w:tc>
        <w:tc>
          <w:tcPr>
            <w:tcW w:w="0" w:type="auto"/>
            <w:gridSpan w:val="2"/>
            <w:tcBorders>
              <w:bottom w:val="single" w:sz="8" w:space="0" w:color="000000"/>
            </w:tcBorders>
            <w:shd w:val="clear" w:color="auto" w:fill="D9D9D9"/>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b/>
                <w:bCs/>
                <w:color w:val="000000"/>
                <w:sz w:val="20"/>
                <w:szCs w:val="20"/>
              </w:rPr>
              <w:t>27.3</w:t>
            </w:r>
            <w:r>
              <w:rPr>
                <w:rFonts w:ascii="Arial" w:eastAsia="Times New Roman" w:hAnsi="Arial" w:cs="Arial"/>
                <w:color w:val="000000"/>
                <w:sz w:val="20"/>
                <w:szCs w:val="20"/>
              </w:rPr>
              <w:t> </w:t>
            </w:r>
          </w:p>
        </w:tc>
        <w:tc>
          <w:tcPr>
            <w:tcW w:w="0" w:type="auto"/>
            <w:tcBorders>
              <w:bottom w:val="single" w:sz="8" w:space="0" w:color="000000"/>
            </w:tcBorders>
            <w:shd w:val="clear" w:color="auto" w:fill="D9D9D9"/>
            <w:tcMar>
              <w:top w:w="30" w:type="dxa"/>
              <w:left w:w="0" w:type="dxa"/>
              <w:bottom w:w="30" w:type="dxa"/>
              <w:right w:w="20" w:type="dxa"/>
            </w:tcMar>
            <w:hideMark/>
          </w:tcPr>
          <w:p w:rsidR="00000000" w:rsidRDefault="001F1FC8">
            <w:pPr>
              <w:jc w:val="right"/>
              <w:rPr>
                <w:rFonts w:eastAsia="Times New Roman"/>
              </w:rPr>
            </w:pPr>
            <w:r>
              <w:rPr>
                <w:rFonts w:ascii="Arial" w:eastAsia="Times New Roman" w:hAnsi="Arial" w:cs="Arial"/>
                <w:b/>
                <w:bCs/>
                <w:color w:val="000000"/>
                <w:sz w:val="20"/>
                <w:szCs w:val="20"/>
              </w:rPr>
              <w:t>%</w:t>
            </w:r>
          </w:p>
        </w:tc>
        <w:tc>
          <w:tcPr>
            <w:tcW w:w="0" w:type="auto"/>
            <w:gridSpan w:val="2"/>
            <w:tcBorders>
              <w:bottom w:val="single" w:sz="8" w:space="0" w:color="000000"/>
            </w:tcBorders>
            <w:shd w:val="clear" w:color="auto" w:fill="D9D9D9"/>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b/>
                <w:bCs/>
                <w:color w:val="000000"/>
                <w:sz w:val="20"/>
                <w:szCs w:val="20"/>
              </w:rPr>
              <w:t>23.5</w:t>
            </w:r>
            <w:r>
              <w:rPr>
                <w:rFonts w:ascii="Arial" w:eastAsia="Times New Roman" w:hAnsi="Arial" w:cs="Arial"/>
                <w:color w:val="000000"/>
                <w:sz w:val="20"/>
                <w:szCs w:val="20"/>
              </w:rPr>
              <w:t> </w:t>
            </w:r>
          </w:p>
        </w:tc>
        <w:tc>
          <w:tcPr>
            <w:tcW w:w="0" w:type="auto"/>
            <w:tcBorders>
              <w:bottom w:val="single" w:sz="8" w:space="0" w:color="000000"/>
            </w:tcBorders>
            <w:shd w:val="clear" w:color="auto" w:fill="D9D9D9"/>
            <w:tcMar>
              <w:top w:w="30" w:type="dxa"/>
              <w:left w:w="0" w:type="dxa"/>
              <w:bottom w:w="30" w:type="dxa"/>
              <w:right w:w="20" w:type="dxa"/>
            </w:tcMar>
            <w:hideMark/>
          </w:tcPr>
          <w:p w:rsidR="00000000" w:rsidRDefault="001F1FC8">
            <w:pPr>
              <w:jc w:val="right"/>
              <w:rPr>
                <w:rFonts w:eastAsia="Times New Roman"/>
              </w:rPr>
            </w:pPr>
            <w:r>
              <w:rPr>
                <w:rFonts w:ascii="Arial" w:eastAsia="Times New Roman" w:hAnsi="Arial" w:cs="Arial"/>
                <w:b/>
                <w:bCs/>
                <w:color w:val="000000"/>
                <w:sz w:val="20"/>
                <w:szCs w:val="20"/>
              </w:rPr>
              <w:t>%</w:t>
            </w:r>
          </w:p>
        </w:tc>
        <w:tc>
          <w:tcPr>
            <w:tcW w:w="0" w:type="auto"/>
            <w:gridSpan w:val="2"/>
            <w:tcBorders>
              <w:bottom w:val="single" w:sz="8" w:space="0" w:color="000000"/>
            </w:tcBorders>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color w:val="000000"/>
                <w:sz w:val="20"/>
                <w:szCs w:val="20"/>
              </w:rPr>
              <w:t>23.2 </w:t>
            </w:r>
          </w:p>
        </w:tc>
        <w:tc>
          <w:tcPr>
            <w:tcW w:w="0" w:type="auto"/>
            <w:tcBorders>
              <w:bottom w:val="single" w:sz="8" w:space="0" w:color="000000"/>
            </w:tcBorders>
            <w:tcMar>
              <w:top w:w="30" w:type="dxa"/>
              <w:left w:w="0" w:type="dxa"/>
              <w:bottom w:w="30" w:type="dxa"/>
              <w:right w:w="20" w:type="dxa"/>
            </w:tcMar>
            <w:hideMark/>
          </w:tcPr>
          <w:p w:rsidR="00000000" w:rsidRDefault="001F1FC8">
            <w:pPr>
              <w:jc w:val="right"/>
              <w:rPr>
                <w:rFonts w:eastAsia="Times New Roman"/>
              </w:rPr>
            </w:pPr>
            <w:r>
              <w:rPr>
                <w:rFonts w:ascii="Arial" w:eastAsia="Times New Roman" w:hAnsi="Arial" w:cs="Arial"/>
                <w:color w:val="000000"/>
                <w:sz w:val="20"/>
                <w:szCs w:val="20"/>
              </w:rPr>
              <w:t>%</w:t>
            </w:r>
          </w:p>
        </w:tc>
        <w:tc>
          <w:tcPr>
            <w:tcW w:w="0" w:type="auto"/>
            <w:gridSpan w:val="3"/>
            <w:tcBorders>
              <w:bottom w:val="single" w:sz="8" w:space="0" w:color="000000"/>
            </w:tcBorders>
            <w:tcMar>
              <w:top w:w="0" w:type="dxa"/>
              <w:left w:w="20" w:type="dxa"/>
              <w:bottom w:w="0" w:type="dxa"/>
              <w:right w:w="20" w:type="dxa"/>
            </w:tcMar>
            <w:vAlign w:val="center"/>
            <w:hideMark/>
          </w:tcPr>
          <w:p w:rsidR="00000000" w:rsidRDefault="001F1FC8">
            <w:pPr>
              <w:jc w:val="right"/>
              <w:rPr>
                <w:rFonts w:eastAsia="Times New Roman"/>
              </w:rPr>
            </w:pPr>
          </w:p>
        </w:tc>
        <w:tc>
          <w:tcPr>
            <w:tcW w:w="0" w:type="auto"/>
            <w:gridSpan w:val="2"/>
            <w:tcBorders>
              <w:bottom w:val="single" w:sz="8" w:space="0" w:color="000000"/>
            </w:tcBorders>
            <w:shd w:val="clear" w:color="auto" w:fill="D9D9D9"/>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b/>
                <w:bCs/>
                <w:color w:val="000000"/>
                <w:sz w:val="20"/>
                <w:szCs w:val="20"/>
              </w:rPr>
              <w:t>34.9</w:t>
            </w:r>
            <w:r>
              <w:rPr>
                <w:rFonts w:ascii="Arial" w:eastAsia="Times New Roman" w:hAnsi="Arial" w:cs="Arial"/>
                <w:color w:val="000000"/>
                <w:sz w:val="20"/>
                <w:szCs w:val="20"/>
              </w:rPr>
              <w:t> </w:t>
            </w:r>
          </w:p>
        </w:tc>
        <w:tc>
          <w:tcPr>
            <w:tcW w:w="0" w:type="auto"/>
            <w:tcBorders>
              <w:bottom w:val="single" w:sz="8" w:space="0" w:color="000000"/>
            </w:tcBorders>
            <w:shd w:val="clear" w:color="auto" w:fill="D9D9D9"/>
            <w:tcMar>
              <w:top w:w="30" w:type="dxa"/>
              <w:left w:w="0" w:type="dxa"/>
              <w:bottom w:w="30" w:type="dxa"/>
              <w:right w:w="20" w:type="dxa"/>
            </w:tcMar>
            <w:hideMark/>
          </w:tcPr>
          <w:p w:rsidR="00000000" w:rsidRDefault="001F1FC8">
            <w:pPr>
              <w:jc w:val="right"/>
              <w:rPr>
                <w:rFonts w:eastAsia="Times New Roman"/>
              </w:rPr>
            </w:pPr>
            <w:r>
              <w:rPr>
                <w:rFonts w:ascii="Arial" w:eastAsia="Times New Roman" w:hAnsi="Arial" w:cs="Arial"/>
                <w:b/>
                <w:bCs/>
                <w:color w:val="000000"/>
                <w:sz w:val="20"/>
                <w:szCs w:val="20"/>
              </w:rPr>
              <w:t>%</w:t>
            </w:r>
          </w:p>
        </w:tc>
        <w:tc>
          <w:tcPr>
            <w:tcW w:w="0" w:type="auto"/>
            <w:gridSpan w:val="2"/>
            <w:tcBorders>
              <w:bottom w:val="single" w:sz="8" w:space="0" w:color="000000"/>
            </w:tcBorders>
            <w:shd w:val="clear" w:color="auto" w:fill="D9D9D9"/>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b/>
                <w:bCs/>
                <w:color w:val="000000"/>
                <w:sz w:val="20"/>
                <w:szCs w:val="20"/>
              </w:rPr>
              <w:t>29.1</w:t>
            </w:r>
            <w:r>
              <w:rPr>
                <w:rFonts w:ascii="Arial" w:eastAsia="Times New Roman" w:hAnsi="Arial" w:cs="Arial"/>
                <w:color w:val="000000"/>
                <w:sz w:val="20"/>
                <w:szCs w:val="20"/>
              </w:rPr>
              <w:t> </w:t>
            </w:r>
          </w:p>
        </w:tc>
        <w:tc>
          <w:tcPr>
            <w:tcW w:w="0" w:type="auto"/>
            <w:tcBorders>
              <w:bottom w:val="single" w:sz="8" w:space="0" w:color="000000"/>
            </w:tcBorders>
            <w:shd w:val="clear" w:color="auto" w:fill="D9D9D9"/>
            <w:tcMar>
              <w:top w:w="30" w:type="dxa"/>
              <w:left w:w="0" w:type="dxa"/>
              <w:bottom w:w="30" w:type="dxa"/>
              <w:right w:w="20" w:type="dxa"/>
            </w:tcMar>
            <w:hideMark/>
          </w:tcPr>
          <w:p w:rsidR="00000000" w:rsidRDefault="001F1FC8">
            <w:pPr>
              <w:jc w:val="right"/>
              <w:rPr>
                <w:rFonts w:eastAsia="Times New Roman"/>
              </w:rPr>
            </w:pPr>
            <w:r>
              <w:rPr>
                <w:rFonts w:ascii="Arial" w:eastAsia="Times New Roman" w:hAnsi="Arial" w:cs="Arial"/>
                <w:b/>
                <w:bCs/>
                <w:color w:val="000000"/>
                <w:sz w:val="20"/>
                <w:szCs w:val="20"/>
              </w:rPr>
              <w:t>%</w:t>
            </w:r>
          </w:p>
        </w:tc>
        <w:tc>
          <w:tcPr>
            <w:tcW w:w="0" w:type="auto"/>
            <w:gridSpan w:val="2"/>
            <w:tcBorders>
              <w:bottom w:val="single" w:sz="8" w:space="0" w:color="000000"/>
            </w:tcBorders>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color w:val="000000"/>
                <w:sz w:val="20"/>
                <w:szCs w:val="20"/>
              </w:rPr>
              <w:t>27.2 </w:t>
            </w:r>
          </w:p>
        </w:tc>
        <w:tc>
          <w:tcPr>
            <w:tcW w:w="0" w:type="auto"/>
            <w:tcBorders>
              <w:bottom w:val="single" w:sz="8" w:space="0" w:color="000000"/>
            </w:tcBorders>
            <w:tcMar>
              <w:top w:w="30" w:type="dxa"/>
              <w:left w:w="0" w:type="dxa"/>
              <w:bottom w:w="30" w:type="dxa"/>
              <w:right w:w="20" w:type="dxa"/>
            </w:tcMar>
            <w:hideMark/>
          </w:tcPr>
          <w:p w:rsidR="00000000" w:rsidRDefault="001F1FC8">
            <w:pPr>
              <w:jc w:val="right"/>
              <w:rPr>
                <w:rFonts w:eastAsia="Times New Roman"/>
              </w:rPr>
            </w:pPr>
            <w:r>
              <w:rPr>
                <w:rFonts w:ascii="Arial" w:eastAsia="Times New Roman" w:hAnsi="Arial" w:cs="Arial"/>
                <w:color w:val="000000"/>
                <w:sz w:val="20"/>
                <w:szCs w:val="20"/>
              </w:rPr>
              <w:t>%</w:t>
            </w:r>
          </w:p>
        </w:tc>
      </w:tr>
    </w:tbl>
    <w:p w:rsidR="00000000" w:rsidRDefault="001F1FC8">
      <w:pPr>
        <w:ind w:hanging="180"/>
        <w:divId w:val="376973437"/>
        <w:rPr>
          <w:rFonts w:eastAsia="Times New Roman"/>
        </w:rPr>
      </w:pPr>
      <w:r>
        <w:rPr>
          <w:rFonts w:ascii="Calibri" w:eastAsia="Times New Roman" w:hAnsi="Calibri" w:cs="Calibri"/>
          <w:i/>
          <w:iCs/>
          <w:color w:val="000000"/>
          <w:sz w:val="16"/>
          <w:szCs w:val="16"/>
        </w:rPr>
        <w:t>1</w:t>
      </w:r>
      <w:r>
        <w:rPr>
          <w:rFonts w:ascii="Arial" w:eastAsia="Times New Roman" w:hAnsi="Arial" w:cs="Arial"/>
          <w:i/>
          <w:iCs/>
          <w:color w:val="000000"/>
          <w:sz w:val="16"/>
          <w:szCs w:val="16"/>
        </w:rPr>
        <w:t>Alternatives include inves</w:t>
      </w:r>
      <w:r>
        <w:rPr>
          <w:rFonts w:ascii="Arial" w:eastAsia="Times New Roman" w:hAnsi="Arial" w:cs="Arial"/>
          <w:i/>
          <w:iCs/>
          <w:color w:val="000000"/>
          <w:sz w:val="16"/>
          <w:szCs w:val="16"/>
        </w:rPr>
        <w:t>tments in private debt, private equity, infrastructure and real estate funds. Fund values are based on the net asset value of the funds that invest directly in the aforementioned underlying investments. The values of the investments have been estimated usi</w:t>
      </w:r>
      <w:r>
        <w:rPr>
          <w:rFonts w:ascii="Arial" w:eastAsia="Times New Roman" w:hAnsi="Arial" w:cs="Arial"/>
          <w:i/>
          <w:iCs/>
          <w:color w:val="000000"/>
          <w:sz w:val="16"/>
          <w:szCs w:val="16"/>
        </w:rPr>
        <w:t>ng the capital accounts representing the plan's ownership interest in the funds.</w:t>
      </w:r>
    </w:p>
    <w:p w:rsidR="00000000" w:rsidRDefault="001F1FC8">
      <w:pPr>
        <w:divId w:val="1331716176"/>
        <w:rPr>
          <w:rFonts w:eastAsia="Times New Roman"/>
        </w:rPr>
      </w:pPr>
    </w:p>
    <w:p w:rsidR="00000000" w:rsidRDefault="001F1FC8">
      <w:pPr>
        <w:jc w:val="center"/>
        <w:divId w:val="1950623945"/>
        <w:rPr>
          <w:rFonts w:eastAsia="Times New Roman"/>
        </w:rPr>
      </w:pPr>
      <w:r>
        <w:rPr>
          <w:rFonts w:ascii="Arial" w:eastAsia="Times New Roman" w:hAnsi="Arial" w:cs="Arial"/>
          <w:color w:val="000000"/>
          <w:sz w:val="20"/>
          <w:szCs w:val="20"/>
        </w:rPr>
        <w:t>170</w:t>
      </w:r>
    </w:p>
    <w:p w:rsidR="00000000" w:rsidRDefault="001F1FC8">
      <w:pPr>
        <w:rPr>
          <w:rFonts w:eastAsia="Times New Roman"/>
        </w:rPr>
      </w:pPr>
      <w:r>
        <w:rPr>
          <w:rFonts w:eastAsia="Times New Roman"/>
        </w:rPr>
        <w:pict>
          <v:rect id="_x0000_i1200" style="width:0;height:1.5pt" o:hralign="center" o:hrstd="t" o:hr="t" fillcolor="#a0a0a0" stroked="f"/>
        </w:pict>
      </w:r>
    </w:p>
    <w:p w:rsidR="00000000" w:rsidRDefault="001F1FC8">
      <w:pPr>
        <w:jc w:val="center"/>
        <w:divId w:val="1765149923"/>
        <w:rPr>
          <w:rFonts w:eastAsia="Times New Roman"/>
        </w:rPr>
      </w:pPr>
    </w:p>
    <w:p w:rsidR="00000000" w:rsidRDefault="001F1FC8">
      <w:pPr>
        <w:divId w:val="1904217921"/>
        <w:rPr>
          <w:rFonts w:eastAsia="Times New Roman"/>
        </w:rPr>
      </w:pPr>
      <w:r>
        <w:rPr>
          <w:rFonts w:ascii="Arial" w:eastAsia="Times New Roman" w:hAnsi="Arial" w:cs="Arial"/>
          <w:b/>
          <w:bCs/>
          <w:color w:val="000000"/>
          <w:sz w:val="20"/>
          <w:szCs w:val="20"/>
        </w:rPr>
        <w:t>Pension Plans</w:t>
      </w:r>
    </w:p>
    <w:p w:rsidR="00000000" w:rsidRDefault="001F1FC8">
      <w:pPr>
        <w:divId w:val="1278219584"/>
        <w:rPr>
          <w:rFonts w:eastAsia="Times New Roman"/>
        </w:rPr>
      </w:pPr>
      <w:r>
        <w:rPr>
          <w:rFonts w:ascii="Arial" w:eastAsia="Times New Roman" w:hAnsi="Arial" w:cs="Arial"/>
          <w:color w:val="000000"/>
          <w:sz w:val="20"/>
          <w:szCs w:val="20"/>
        </w:rPr>
        <w:t>The following table summarizes the fair value of plan assets for our pension plans recorded at each fair value hiera</w:t>
      </w:r>
      <w:r>
        <w:rPr>
          <w:rFonts w:ascii="Arial" w:eastAsia="Times New Roman" w:hAnsi="Arial" w:cs="Arial"/>
          <w:color w:val="000000"/>
          <w:sz w:val="20"/>
          <w:szCs w:val="20"/>
        </w:rPr>
        <w:t>rchy level:</w:t>
      </w:r>
    </w:p>
    <w:tbl>
      <w:tblPr>
        <w:tblW w:w="5000" w:type="pct"/>
        <w:tblCellMar>
          <w:top w:w="15" w:type="dxa"/>
          <w:left w:w="15" w:type="dxa"/>
          <w:bottom w:w="15" w:type="dxa"/>
          <w:right w:w="15" w:type="dxa"/>
        </w:tblCellMar>
        <w:tblLook w:val="04A0" w:firstRow="1" w:lastRow="0" w:firstColumn="1" w:lastColumn="0" w:noHBand="0" w:noVBand="1"/>
      </w:tblPr>
      <w:tblGrid>
        <w:gridCol w:w="67"/>
        <w:gridCol w:w="2491"/>
        <w:gridCol w:w="38"/>
        <w:gridCol w:w="67"/>
        <w:gridCol w:w="597"/>
        <w:gridCol w:w="37"/>
        <w:gridCol w:w="67"/>
        <w:gridCol w:w="597"/>
        <w:gridCol w:w="37"/>
        <w:gridCol w:w="67"/>
        <w:gridCol w:w="597"/>
        <w:gridCol w:w="37"/>
        <w:gridCol w:w="67"/>
        <w:gridCol w:w="597"/>
        <w:gridCol w:w="36"/>
        <w:gridCol w:w="36"/>
        <w:gridCol w:w="36"/>
        <w:gridCol w:w="36"/>
        <w:gridCol w:w="65"/>
        <w:gridCol w:w="597"/>
        <w:gridCol w:w="36"/>
        <w:gridCol w:w="67"/>
        <w:gridCol w:w="597"/>
        <w:gridCol w:w="36"/>
        <w:gridCol w:w="67"/>
        <w:gridCol w:w="597"/>
        <w:gridCol w:w="36"/>
        <w:gridCol w:w="67"/>
        <w:gridCol w:w="598"/>
        <w:gridCol w:w="36"/>
      </w:tblGrid>
      <w:tr w:rsidR="00000000">
        <w:trPr>
          <w:divId w:val="1284460090"/>
        </w:trPr>
        <w:tc>
          <w:tcPr>
            <w:tcW w:w="50" w:type="pct"/>
            <w:vAlign w:val="center"/>
            <w:hideMark/>
          </w:tcPr>
          <w:p w:rsidR="00000000" w:rsidRDefault="001F1FC8">
            <w:pPr>
              <w:rPr>
                <w:rFonts w:eastAsia="Times New Roman"/>
              </w:rPr>
            </w:pPr>
          </w:p>
        </w:tc>
        <w:tc>
          <w:tcPr>
            <w:tcW w:w="1507"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c>
          <w:tcPr>
            <w:tcW w:w="50" w:type="pct"/>
            <w:vAlign w:val="center"/>
            <w:hideMark/>
          </w:tcPr>
          <w:p w:rsidR="00000000" w:rsidRDefault="001F1FC8">
            <w:pPr>
              <w:rPr>
                <w:rFonts w:eastAsia="Times New Roman"/>
                <w:sz w:val="20"/>
                <w:szCs w:val="20"/>
              </w:rPr>
            </w:pPr>
          </w:p>
        </w:tc>
        <w:tc>
          <w:tcPr>
            <w:tcW w:w="369"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c>
          <w:tcPr>
            <w:tcW w:w="50" w:type="pct"/>
            <w:vAlign w:val="center"/>
            <w:hideMark/>
          </w:tcPr>
          <w:p w:rsidR="00000000" w:rsidRDefault="001F1FC8">
            <w:pPr>
              <w:rPr>
                <w:rFonts w:eastAsia="Times New Roman"/>
                <w:sz w:val="20"/>
                <w:szCs w:val="20"/>
              </w:rPr>
            </w:pPr>
          </w:p>
        </w:tc>
        <w:tc>
          <w:tcPr>
            <w:tcW w:w="369"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c>
          <w:tcPr>
            <w:tcW w:w="50" w:type="pct"/>
            <w:vAlign w:val="center"/>
            <w:hideMark/>
          </w:tcPr>
          <w:p w:rsidR="00000000" w:rsidRDefault="001F1FC8">
            <w:pPr>
              <w:rPr>
                <w:rFonts w:eastAsia="Times New Roman"/>
                <w:sz w:val="20"/>
                <w:szCs w:val="20"/>
              </w:rPr>
            </w:pPr>
          </w:p>
        </w:tc>
        <w:tc>
          <w:tcPr>
            <w:tcW w:w="369"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c>
          <w:tcPr>
            <w:tcW w:w="50" w:type="pct"/>
            <w:vAlign w:val="center"/>
            <w:hideMark/>
          </w:tcPr>
          <w:p w:rsidR="00000000" w:rsidRDefault="001F1FC8">
            <w:pPr>
              <w:rPr>
                <w:rFonts w:eastAsia="Times New Roman"/>
                <w:sz w:val="20"/>
                <w:szCs w:val="20"/>
              </w:rPr>
            </w:pPr>
          </w:p>
        </w:tc>
        <w:tc>
          <w:tcPr>
            <w:tcW w:w="369"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c>
          <w:tcPr>
            <w:tcW w:w="30"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c>
          <w:tcPr>
            <w:tcW w:w="50" w:type="pct"/>
            <w:vAlign w:val="center"/>
            <w:hideMark/>
          </w:tcPr>
          <w:p w:rsidR="00000000" w:rsidRDefault="001F1FC8">
            <w:pPr>
              <w:rPr>
                <w:rFonts w:eastAsia="Times New Roman"/>
                <w:sz w:val="20"/>
                <w:szCs w:val="20"/>
              </w:rPr>
            </w:pPr>
          </w:p>
        </w:tc>
        <w:tc>
          <w:tcPr>
            <w:tcW w:w="369"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c>
          <w:tcPr>
            <w:tcW w:w="50" w:type="pct"/>
            <w:vAlign w:val="center"/>
            <w:hideMark/>
          </w:tcPr>
          <w:p w:rsidR="00000000" w:rsidRDefault="001F1FC8">
            <w:pPr>
              <w:rPr>
                <w:rFonts w:eastAsia="Times New Roman"/>
                <w:sz w:val="20"/>
                <w:szCs w:val="20"/>
              </w:rPr>
            </w:pPr>
          </w:p>
        </w:tc>
        <w:tc>
          <w:tcPr>
            <w:tcW w:w="369"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c>
          <w:tcPr>
            <w:tcW w:w="50" w:type="pct"/>
            <w:vAlign w:val="center"/>
            <w:hideMark/>
          </w:tcPr>
          <w:p w:rsidR="00000000" w:rsidRDefault="001F1FC8">
            <w:pPr>
              <w:rPr>
                <w:rFonts w:eastAsia="Times New Roman"/>
                <w:sz w:val="20"/>
                <w:szCs w:val="20"/>
              </w:rPr>
            </w:pPr>
          </w:p>
        </w:tc>
        <w:tc>
          <w:tcPr>
            <w:tcW w:w="369"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c>
          <w:tcPr>
            <w:tcW w:w="50" w:type="pct"/>
            <w:vAlign w:val="center"/>
            <w:hideMark/>
          </w:tcPr>
          <w:p w:rsidR="00000000" w:rsidRDefault="001F1FC8">
            <w:pPr>
              <w:rPr>
                <w:rFonts w:eastAsia="Times New Roman"/>
                <w:sz w:val="20"/>
                <w:szCs w:val="20"/>
              </w:rPr>
            </w:pPr>
          </w:p>
        </w:tc>
        <w:tc>
          <w:tcPr>
            <w:tcW w:w="369"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r>
      <w:tr w:rsidR="00000000">
        <w:trPr>
          <w:divId w:val="1284460090"/>
        </w:trPr>
        <w:tc>
          <w:tcPr>
            <w:tcW w:w="0" w:type="auto"/>
            <w:gridSpan w:val="3"/>
            <w:tcMar>
              <w:top w:w="30" w:type="dxa"/>
              <w:left w:w="20" w:type="dxa"/>
              <w:bottom w:w="30" w:type="dxa"/>
              <w:right w:w="20" w:type="dxa"/>
            </w:tcMar>
            <w:hideMark/>
          </w:tcPr>
          <w:p w:rsidR="00000000" w:rsidRDefault="001F1FC8">
            <w:pPr>
              <w:rPr>
                <w:rFonts w:eastAsia="Times New Roman"/>
              </w:rPr>
            </w:pPr>
            <w:r>
              <w:rPr>
                <w:rFonts w:ascii="Arial" w:eastAsia="Times New Roman" w:hAnsi="Arial" w:cs="Arial"/>
                <w:color w:val="000000"/>
                <w:sz w:val="16"/>
                <w:szCs w:val="16"/>
              </w:rPr>
              <w:t> </w:t>
            </w:r>
          </w:p>
        </w:tc>
        <w:tc>
          <w:tcPr>
            <w:tcW w:w="0" w:type="auto"/>
            <w:gridSpan w:val="12"/>
            <w:tcMar>
              <w:top w:w="30" w:type="dxa"/>
              <w:left w:w="20" w:type="dxa"/>
              <w:bottom w:w="30" w:type="dxa"/>
              <w:right w:w="20" w:type="dxa"/>
            </w:tcMar>
            <w:vAlign w:val="bottom"/>
            <w:hideMark/>
          </w:tcPr>
          <w:p w:rsidR="00000000" w:rsidRDefault="001F1FC8">
            <w:pPr>
              <w:jc w:val="center"/>
              <w:rPr>
                <w:rFonts w:eastAsia="Times New Roman"/>
              </w:rPr>
            </w:pPr>
            <w:r>
              <w:rPr>
                <w:rFonts w:ascii="Arial" w:eastAsia="Times New Roman" w:hAnsi="Arial" w:cs="Arial"/>
                <w:color w:val="000000"/>
                <w:sz w:val="16"/>
                <w:szCs w:val="16"/>
              </w:rPr>
              <w:t>Canada</w:t>
            </w:r>
          </w:p>
        </w:tc>
        <w:tc>
          <w:tcPr>
            <w:tcW w:w="0" w:type="auto"/>
            <w:gridSpan w:val="3"/>
            <w:tcMar>
              <w:top w:w="0" w:type="dxa"/>
              <w:left w:w="20" w:type="dxa"/>
              <w:bottom w:w="0" w:type="dxa"/>
              <w:right w:w="20" w:type="dxa"/>
            </w:tcMar>
            <w:vAlign w:val="center"/>
            <w:hideMark/>
          </w:tcPr>
          <w:p w:rsidR="00000000" w:rsidRDefault="001F1FC8">
            <w:pPr>
              <w:jc w:val="center"/>
              <w:rPr>
                <w:rFonts w:eastAsia="Times New Roman"/>
              </w:rPr>
            </w:pPr>
          </w:p>
        </w:tc>
        <w:tc>
          <w:tcPr>
            <w:tcW w:w="0" w:type="auto"/>
            <w:gridSpan w:val="12"/>
            <w:tcMar>
              <w:top w:w="30" w:type="dxa"/>
              <w:left w:w="20" w:type="dxa"/>
              <w:bottom w:w="30" w:type="dxa"/>
              <w:right w:w="20" w:type="dxa"/>
            </w:tcMar>
            <w:vAlign w:val="bottom"/>
            <w:hideMark/>
          </w:tcPr>
          <w:p w:rsidR="00000000" w:rsidRDefault="001F1FC8">
            <w:pPr>
              <w:jc w:val="center"/>
              <w:rPr>
                <w:rFonts w:eastAsia="Times New Roman"/>
              </w:rPr>
            </w:pPr>
            <w:r>
              <w:rPr>
                <w:rFonts w:ascii="Arial" w:eastAsia="Times New Roman" w:hAnsi="Arial" w:cs="Arial"/>
                <w:color w:val="000000"/>
                <w:sz w:val="16"/>
                <w:szCs w:val="16"/>
              </w:rPr>
              <w:t>US</w:t>
            </w:r>
          </w:p>
        </w:tc>
      </w:tr>
      <w:tr w:rsidR="00000000">
        <w:trPr>
          <w:divId w:val="1284460090"/>
        </w:trPr>
        <w:tc>
          <w:tcPr>
            <w:tcW w:w="0" w:type="auto"/>
            <w:gridSpan w:val="3"/>
            <w:tcMar>
              <w:top w:w="0" w:type="dxa"/>
              <w:left w:w="20" w:type="dxa"/>
              <w:bottom w:w="0" w:type="dxa"/>
              <w:right w:w="20" w:type="dxa"/>
            </w:tcMar>
            <w:vAlign w:val="center"/>
            <w:hideMark/>
          </w:tcPr>
          <w:p w:rsidR="00000000" w:rsidRDefault="001F1FC8">
            <w:pPr>
              <w:jc w:val="center"/>
              <w:rPr>
                <w:rFonts w:eastAsia="Times New Roman"/>
              </w:rPr>
            </w:pPr>
          </w:p>
        </w:tc>
        <w:tc>
          <w:tcPr>
            <w:tcW w:w="0" w:type="auto"/>
            <w:gridSpan w:val="3"/>
            <w:tcBorders>
              <w:top w:val="single" w:sz="4" w:space="0" w:color="000000"/>
            </w:tcBorders>
            <w:tcMar>
              <w:top w:w="30" w:type="dxa"/>
              <w:left w:w="20" w:type="dxa"/>
              <w:bottom w:w="30" w:type="dxa"/>
              <w:right w:w="20" w:type="dxa"/>
            </w:tcMar>
            <w:hideMark/>
          </w:tcPr>
          <w:p w:rsidR="00000000" w:rsidRDefault="001F1FC8">
            <w:pPr>
              <w:jc w:val="right"/>
              <w:rPr>
                <w:rFonts w:eastAsia="Times New Roman"/>
              </w:rPr>
            </w:pPr>
            <w:r>
              <w:rPr>
                <w:rFonts w:ascii="Arial" w:eastAsia="Times New Roman" w:hAnsi="Arial" w:cs="Arial"/>
                <w:color w:val="000000"/>
                <w:sz w:val="16"/>
                <w:szCs w:val="16"/>
              </w:rPr>
              <w:t xml:space="preserve">Level </w:t>
            </w:r>
            <w:r>
              <w:rPr>
                <w:rFonts w:ascii="Arial" w:eastAsia="Times New Roman" w:hAnsi="Arial" w:cs="Arial"/>
                <w:color w:val="000000"/>
                <w:sz w:val="16"/>
                <w:szCs w:val="16"/>
              </w:rPr>
              <w:t>1</w:t>
            </w:r>
            <w:r>
              <w:rPr>
                <w:rFonts w:ascii="Arial" w:eastAsia="Times New Roman" w:hAnsi="Arial" w:cs="Arial"/>
                <w:color w:val="000000"/>
                <w:sz w:val="10"/>
                <w:szCs w:val="10"/>
              </w:rPr>
              <w:t>1</w:t>
            </w:r>
          </w:p>
        </w:tc>
        <w:tc>
          <w:tcPr>
            <w:tcW w:w="0" w:type="auto"/>
            <w:gridSpan w:val="3"/>
            <w:tcBorders>
              <w:top w:val="single" w:sz="4" w:space="0" w:color="000000"/>
            </w:tcBorders>
            <w:tcMar>
              <w:top w:w="30" w:type="dxa"/>
              <w:left w:w="20" w:type="dxa"/>
              <w:bottom w:w="30" w:type="dxa"/>
              <w:right w:w="20" w:type="dxa"/>
            </w:tcMar>
            <w:hideMark/>
          </w:tcPr>
          <w:p w:rsidR="00000000" w:rsidRDefault="001F1FC8">
            <w:pPr>
              <w:jc w:val="right"/>
              <w:rPr>
                <w:rFonts w:eastAsia="Times New Roman"/>
              </w:rPr>
            </w:pPr>
            <w:r>
              <w:rPr>
                <w:rFonts w:ascii="Arial" w:eastAsia="Times New Roman" w:hAnsi="Arial" w:cs="Arial"/>
                <w:color w:val="000000"/>
                <w:sz w:val="16"/>
                <w:szCs w:val="16"/>
              </w:rPr>
              <w:t xml:space="preserve">Level </w:t>
            </w:r>
            <w:r>
              <w:rPr>
                <w:rFonts w:ascii="Arial" w:eastAsia="Times New Roman" w:hAnsi="Arial" w:cs="Arial"/>
                <w:color w:val="000000"/>
                <w:sz w:val="16"/>
                <w:szCs w:val="16"/>
              </w:rPr>
              <w:t>2</w:t>
            </w:r>
            <w:r>
              <w:rPr>
                <w:rFonts w:ascii="Arial" w:eastAsia="Times New Roman" w:hAnsi="Arial" w:cs="Arial"/>
                <w:color w:val="000000"/>
                <w:sz w:val="10"/>
                <w:szCs w:val="10"/>
              </w:rPr>
              <w:t>2</w:t>
            </w:r>
          </w:p>
        </w:tc>
        <w:tc>
          <w:tcPr>
            <w:tcW w:w="0" w:type="auto"/>
            <w:gridSpan w:val="3"/>
            <w:tcBorders>
              <w:top w:val="single" w:sz="4" w:space="0" w:color="000000"/>
            </w:tcBorders>
            <w:tcMar>
              <w:top w:w="30" w:type="dxa"/>
              <w:left w:w="20" w:type="dxa"/>
              <w:bottom w:w="30" w:type="dxa"/>
              <w:right w:w="20" w:type="dxa"/>
            </w:tcMar>
            <w:hideMark/>
          </w:tcPr>
          <w:p w:rsidR="00000000" w:rsidRDefault="001F1FC8">
            <w:pPr>
              <w:jc w:val="right"/>
              <w:rPr>
                <w:rFonts w:eastAsia="Times New Roman"/>
              </w:rPr>
            </w:pPr>
            <w:r>
              <w:rPr>
                <w:rFonts w:ascii="Arial" w:eastAsia="Times New Roman" w:hAnsi="Arial" w:cs="Arial"/>
                <w:color w:val="000000"/>
                <w:sz w:val="16"/>
                <w:szCs w:val="16"/>
              </w:rPr>
              <w:t xml:space="preserve">Level </w:t>
            </w:r>
            <w:r>
              <w:rPr>
                <w:rFonts w:ascii="Arial" w:eastAsia="Times New Roman" w:hAnsi="Arial" w:cs="Arial"/>
                <w:color w:val="000000"/>
                <w:sz w:val="16"/>
                <w:szCs w:val="16"/>
              </w:rPr>
              <w:t>3</w:t>
            </w:r>
            <w:r>
              <w:rPr>
                <w:rFonts w:ascii="Arial" w:eastAsia="Times New Roman" w:hAnsi="Arial" w:cs="Arial"/>
                <w:color w:val="000000"/>
                <w:sz w:val="10"/>
                <w:szCs w:val="10"/>
              </w:rPr>
              <w:t>3</w:t>
            </w:r>
          </w:p>
        </w:tc>
        <w:tc>
          <w:tcPr>
            <w:tcW w:w="0" w:type="auto"/>
            <w:gridSpan w:val="3"/>
            <w:tcBorders>
              <w:top w:val="single" w:sz="4" w:space="0" w:color="000000"/>
            </w:tcBorders>
            <w:tcMar>
              <w:top w:w="30" w:type="dxa"/>
              <w:left w:w="20" w:type="dxa"/>
              <w:bottom w:w="30" w:type="dxa"/>
              <w:right w:w="20" w:type="dxa"/>
            </w:tcMar>
            <w:hideMark/>
          </w:tcPr>
          <w:p w:rsidR="00000000" w:rsidRDefault="001F1FC8">
            <w:pPr>
              <w:jc w:val="right"/>
              <w:rPr>
                <w:rFonts w:eastAsia="Times New Roman"/>
              </w:rPr>
            </w:pPr>
            <w:r>
              <w:rPr>
                <w:rFonts w:ascii="Arial" w:eastAsia="Times New Roman" w:hAnsi="Arial" w:cs="Arial"/>
                <w:color w:val="000000"/>
                <w:sz w:val="16"/>
                <w:szCs w:val="16"/>
              </w:rPr>
              <w:t>Total</w:t>
            </w:r>
          </w:p>
        </w:tc>
        <w:tc>
          <w:tcPr>
            <w:tcW w:w="0" w:type="auto"/>
            <w:gridSpan w:val="3"/>
            <w:tcMar>
              <w:top w:w="0" w:type="dxa"/>
              <w:left w:w="20" w:type="dxa"/>
              <w:bottom w:w="0" w:type="dxa"/>
              <w:right w:w="20" w:type="dxa"/>
            </w:tcMar>
            <w:vAlign w:val="center"/>
            <w:hideMark/>
          </w:tcPr>
          <w:p w:rsidR="00000000" w:rsidRDefault="001F1FC8">
            <w:pPr>
              <w:jc w:val="right"/>
              <w:rPr>
                <w:rFonts w:eastAsia="Times New Roman"/>
              </w:rPr>
            </w:pPr>
          </w:p>
        </w:tc>
        <w:tc>
          <w:tcPr>
            <w:tcW w:w="0" w:type="auto"/>
            <w:gridSpan w:val="3"/>
            <w:tcBorders>
              <w:top w:val="single" w:sz="4" w:space="0" w:color="000000"/>
            </w:tcBorders>
            <w:tcMar>
              <w:top w:w="30" w:type="dxa"/>
              <w:left w:w="20" w:type="dxa"/>
              <w:bottom w:w="30" w:type="dxa"/>
              <w:right w:w="20" w:type="dxa"/>
            </w:tcMar>
            <w:hideMark/>
          </w:tcPr>
          <w:p w:rsidR="00000000" w:rsidRDefault="001F1FC8">
            <w:pPr>
              <w:jc w:val="right"/>
              <w:rPr>
                <w:rFonts w:eastAsia="Times New Roman"/>
              </w:rPr>
            </w:pPr>
            <w:r>
              <w:rPr>
                <w:rFonts w:ascii="Arial" w:eastAsia="Times New Roman" w:hAnsi="Arial" w:cs="Arial"/>
                <w:color w:val="000000"/>
                <w:sz w:val="16"/>
                <w:szCs w:val="16"/>
              </w:rPr>
              <w:t xml:space="preserve">Level </w:t>
            </w:r>
            <w:r>
              <w:rPr>
                <w:rFonts w:ascii="Arial" w:eastAsia="Times New Roman" w:hAnsi="Arial" w:cs="Arial"/>
                <w:color w:val="000000"/>
                <w:sz w:val="16"/>
                <w:szCs w:val="16"/>
              </w:rPr>
              <w:t>1</w:t>
            </w:r>
            <w:r>
              <w:rPr>
                <w:rFonts w:ascii="Arial" w:eastAsia="Times New Roman" w:hAnsi="Arial" w:cs="Arial"/>
                <w:color w:val="000000"/>
                <w:sz w:val="10"/>
                <w:szCs w:val="10"/>
              </w:rPr>
              <w:t>1</w:t>
            </w:r>
          </w:p>
        </w:tc>
        <w:tc>
          <w:tcPr>
            <w:tcW w:w="0" w:type="auto"/>
            <w:gridSpan w:val="3"/>
            <w:tcBorders>
              <w:top w:val="single" w:sz="4" w:space="0" w:color="000000"/>
            </w:tcBorders>
            <w:tcMar>
              <w:top w:w="30" w:type="dxa"/>
              <w:left w:w="20" w:type="dxa"/>
              <w:bottom w:w="30" w:type="dxa"/>
              <w:right w:w="20" w:type="dxa"/>
            </w:tcMar>
            <w:hideMark/>
          </w:tcPr>
          <w:p w:rsidR="00000000" w:rsidRDefault="001F1FC8">
            <w:pPr>
              <w:jc w:val="right"/>
              <w:rPr>
                <w:rFonts w:eastAsia="Times New Roman"/>
              </w:rPr>
            </w:pPr>
            <w:r>
              <w:rPr>
                <w:rFonts w:ascii="Arial" w:eastAsia="Times New Roman" w:hAnsi="Arial" w:cs="Arial"/>
                <w:color w:val="000000"/>
                <w:sz w:val="16"/>
                <w:szCs w:val="16"/>
              </w:rPr>
              <w:t xml:space="preserve">Level </w:t>
            </w:r>
            <w:r>
              <w:rPr>
                <w:rFonts w:ascii="Arial" w:eastAsia="Times New Roman" w:hAnsi="Arial" w:cs="Arial"/>
                <w:color w:val="000000"/>
                <w:sz w:val="16"/>
                <w:szCs w:val="16"/>
              </w:rPr>
              <w:t>2</w:t>
            </w:r>
            <w:r>
              <w:rPr>
                <w:rFonts w:ascii="Arial" w:eastAsia="Times New Roman" w:hAnsi="Arial" w:cs="Arial"/>
                <w:color w:val="000000"/>
                <w:sz w:val="10"/>
                <w:szCs w:val="10"/>
              </w:rPr>
              <w:t>2</w:t>
            </w:r>
          </w:p>
        </w:tc>
        <w:tc>
          <w:tcPr>
            <w:tcW w:w="0" w:type="auto"/>
            <w:gridSpan w:val="3"/>
            <w:tcBorders>
              <w:top w:val="single" w:sz="4" w:space="0" w:color="000000"/>
            </w:tcBorders>
            <w:tcMar>
              <w:top w:w="30" w:type="dxa"/>
              <w:left w:w="20" w:type="dxa"/>
              <w:bottom w:w="30" w:type="dxa"/>
              <w:right w:w="20" w:type="dxa"/>
            </w:tcMar>
            <w:hideMark/>
          </w:tcPr>
          <w:p w:rsidR="00000000" w:rsidRDefault="001F1FC8">
            <w:pPr>
              <w:jc w:val="right"/>
              <w:rPr>
                <w:rFonts w:eastAsia="Times New Roman"/>
              </w:rPr>
            </w:pPr>
            <w:r>
              <w:rPr>
                <w:rFonts w:ascii="Arial" w:eastAsia="Times New Roman" w:hAnsi="Arial" w:cs="Arial"/>
                <w:color w:val="000000"/>
                <w:sz w:val="16"/>
                <w:szCs w:val="16"/>
              </w:rPr>
              <w:t xml:space="preserve">Level </w:t>
            </w:r>
            <w:r>
              <w:rPr>
                <w:rFonts w:ascii="Arial" w:eastAsia="Times New Roman" w:hAnsi="Arial" w:cs="Arial"/>
                <w:color w:val="000000"/>
                <w:sz w:val="16"/>
                <w:szCs w:val="16"/>
              </w:rPr>
              <w:t>3</w:t>
            </w:r>
            <w:r>
              <w:rPr>
                <w:rFonts w:ascii="Arial" w:eastAsia="Times New Roman" w:hAnsi="Arial" w:cs="Arial"/>
                <w:color w:val="000000"/>
                <w:sz w:val="10"/>
                <w:szCs w:val="10"/>
              </w:rPr>
              <w:t>3</w:t>
            </w:r>
          </w:p>
        </w:tc>
        <w:tc>
          <w:tcPr>
            <w:tcW w:w="0" w:type="auto"/>
            <w:gridSpan w:val="3"/>
            <w:tcBorders>
              <w:top w:val="single" w:sz="4" w:space="0" w:color="000000"/>
            </w:tcBorders>
            <w:tcMar>
              <w:top w:w="30" w:type="dxa"/>
              <w:left w:w="20" w:type="dxa"/>
              <w:bottom w:w="30" w:type="dxa"/>
              <w:right w:w="20" w:type="dxa"/>
            </w:tcMar>
            <w:hideMark/>
          </w:tcPr>
          <w:p w:rsidR="00000000" w:rsidRDefault="001F1FC8">
            <w:pPr>
              <w:jc w:val="right"/>
              <w:rPr>
                <w:rFonts w:eastAsia="Times New Roman"/>
              </w:rPr>
            </w:pPr>
            <w:r>
              <w:rPr>
                <w:rFonts w:ascii="Arial" w:eastAsia="Times New Roman" w:hAnsi="Arial" w:cs="Arial"/>
                <w:color w:val="000000"/>
                <w:sz w:val="16"/>
                <w:szCs w:val="16"/>
              </w:rPr>
              <w:t>Total</w:t>
            </w:r>
          </w:p>
        </w:tc>
      </w:tr>
      <w:tr w:rsidR="00000000">
        <w:trPr>
          <w:divId w:val="1284460090"/>
        </w:trPr>
        <w:tc>
          <w:tcPr>
            <w:tcW w:w="0" w:type="auto"/>
            <w:gridSpan w:val="3"/>
            <w:tcBorders>
              <w:top w:val="single" w:sz="4" w:space="0" w:color="000000"/>
            </w:tcBorders>
            <w:tcMar>
              <w:top w:w="30" w:type="dxa"/>
              <w:left w:w="20" w:type="dxa"/>
              <w:bottom w:w="30" w:type="dxa"/>
              <w:right w:w="20" w:type="dxa"/>
            </w:tcMar>
            <w:hideMark/>
          </w:tcPr>
          <w:p w:rsidR="00000000" w:rsidRDefault="001F1FC8">
            <w:pPr>
              <w:rPr>
                <w:rFonts w:eastAsia="Times New Roman"/>
              </w:rPr>
            </w:pPr>
            <w:r>
              <w:rPr>
                <w:rFonts w:ascii="Arial" w:eastAsia="Times New Roman" w:hAnsi="Arial" w:cs="Arial"/>
                <w:i/>
                <w:iCs/>
                <w:color w:val="000000"/>
                <w:sz w:val="16"/>
                <w:szCs w:val="16"/>
              </w:rPr>
              <w:t>(millions of Canadian dollars)</w:t>
            </w:r>
          </w:p>
        </w:tc>
        <w:tc>
          <w:tcPr>
            <w:tcW w:w="0" w:type="auto"/>
            <w:gridSpan w:val="3"/>
            <w:tcBorders>
              <w:top w:val="single" w:sz="4" w:space="0" w:color="000000"/>
            </w:tcBorders>
            <w:shd w:val="clear" w:color="auto" w:fill="D9D9D9"/>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b/>
                <w:bCs/>
                <w:color w:val="000000"/>
                <w:sz w:val="16"/>
                <w:szCs w:val="16"/>
              </w:rPr>
              <w:t> </w:t>
            </w:r>
          </w:p>
        </w:tc>
        <w:tc>
          <w:tcPr>
            <w:tcW w:w="0" w:type="auto"/>
            <w:gridSpan w:val="3"/>
            <w:tcBorders>
              <w:top w:val="single" w:sz="4" w:space="0" w:color="000000"/>
            </w:tcBorders>
            <w:shd w:val="clear" w:color="auto" w:fill="D9D9D9"/>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b/>
                <w:bCs/>
                <w:color w:val="000000"/>
                <w:sz w:val="16"/>
                <w:szCs w:val="16"/>
              </w:rPr>
              <w:t> </w:t>
            </w:r>
          </w:p>
        </w:tc>
        <w:tc>
          <w:tcPr>
            <w:tcW w:w="0" w:type="auto"/>
            <w:gridSpan w:val="3"/>
            <w:tcBorders>
              <w:top w:val="single" w:sz="4" w:space="0" w:color="000000"/>
            </w:tcBorders>
            <w:shd w:val="clear" w:color="auto" w:fill="D9D9D9"/>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b/>
                <w:bCs/>
                <w:color w:val="000000"/>
                <w:sz w:val="16"/>
                <w:szCs w:val="16"/>
              </w:rPr>
              <w:t> </w:t>
            </w:r>
          </w:p>
        </w:tc>
        <w:tc>
          <w:tcPr>
            <w:tcW w:w="0" w:type="auto"/>
            <w:gridSpan w:val="3"/>
            <w:tcBorders>
              <w:top w:val="single" w:sz="4" w:space="0" w:color="000000"/>
            </w:tcBorders>
            <w:shd w:val="clear" w:color="auto" w:fill="D9D9D9"/>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b/>
                <w:bCs/>
                <w:color w:val="000000"/>
                <w:sz w:val="16"/>
                <w:szCs w:val="16"/>
              </w:rPr>
              <w:t> </w:t>
            </w:r>
          </w:p>
        </w:tc>
        <w:tc>
          <w:tcPr>
            <w:tcW w:w="0" w:type="auto"/>
            <w:gridSpan w:val="3"/>
            <w:tcBorders>
              <w:top w:val="single" w:sz="4" w:space="0" w:color="000000"/>
            </w:tcBorders>
            <w:shd w:val="clear" w:color="auto" w:fill="D9D9D9"/>
            <w:tcMar>
              <w:top w:w="0" w:type="dxa"/>
              <w:left w:w="20" w:type="dxa"/>
              <w:bottom w:w="0" w:type="dxa"/>
              <w:right w:w="20" w:type="dxa"/>
            </w:tcMar>
            <w:vAlign w:val="center"/>
            <w:hideMark/>
          </w:tcPr>
          <w:p w:rsidR="00000000" w:rsidRDefault="001F1FC8">
            <w:pPr>
              <w:jc w:val="right"/>
              <w:rPr>
                <w:rFonts w:eastAsia="Times New Roman"/>
              </w:rPr>
            </w:pPr>
          </w:p>
        </w:tc>
        <w:tc>
          <w:tcPr>
            <w:tcW w:w="0" w:type="auto"/>
            <w:gridSpan w:val="3"/>
            <w:tcBorders>
              <w:top w:val="single" w:sz="4" w:space="0" w:color="000000"/>
            </w:tcBorders>
            <w:shd w:val="clear" w:color="auto" w:fill="D9D9D9"/>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b/>
                <w:bCs/>
                <w:color w:val="000000"/>
                <w:sz w:val="16"/>
                <w:szCs w:val="16"/>
              </w:rPr>
              <w:t> </w:t>
            </w:r>
          </w:p>
        </w:tc>
        <w:tc>
          <w:tcPr>
            <w:tcW w:w="0" w:type="auto"/>
            <w:gridSpan w:val="3"/>
            <w:tcBorders>
              <w:top w:val="single" w:sz="4" w:space="0" w:color="000000"/>
            </w:tcBorders>
            <w:shd w:val="clear" w:color="auto" w:fill="D9D9D9"/>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b/>
                <w:bCs/>
                <w:color w:val="000000"/>
                <w:sz w:val="16"/>
                <w:szCs w:val="16"/>
              </w:rPr>
              <w:t> </w:t>
            </w:r>
          </w:p>
        </w:tc>
        <w:tc>
          <w:tcPr>
            <w:tcW w:w="0" w:type="auto"/>
            <w:gridSpan w:val="3"/>
            <w:tcBorders>
              <w:top w:val="single" w:sz="4" w:space="0" w:color="000000"/>
            </w:tcBorders>
            <w:shd w:val="clear" w:color="auto" w:fill="D9D9D9"/>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b/>
                <w:bCs/>
                <w:color w:val="000000"/>
                <w:sz w:val="16"/>
                <w:szCs w:val="16"/>
              </w:rPr>
              <w:t> </w:t>
            </w:r>
          </w:p>
        </w:tc>
        <w:tc>
          <w:tcPr>
            <w:tcW w:w="0" w:type="auto"/>
            <w:gridSpan w:val="3"/>
            <w:tcBorders>
              <w:top w:val="single" w:sz="4" w:space="0" w:color="000000"/>
            </w:tcBorders>
            <w:shd w:val="clear" w:color="auto" w:fill="D9D9D9"/>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b/>
                <w:bCs/>
                <w:color w:val="000000"/>
                <w:sz w:val="16"/>
                <w:szCs w:val="16"/>
              </w:rPr>
              <w:t> </w:t>
            </w:r>
          </w:p>
        </w:tc>
      </w:tr>
      <w:tr w:rsidR="00000000">
        <w:trPr>
          <w:divId w:val="1284460090"/>
        </w:trPr>
        <w:tc>
          <w:tcPr>
            <w:tcW w:w="0" w:type="auto"/>
            <w:gridSpan w:val="3"/>
            <w:tcMar>
              <w:top w:w="30" w:type="dxa"/>
              <w:left w:w="20" w:type="dxa"/>
              <w:bottom w:w="30" w:type="dxa"/>
              <w:right w:w="20" w:type="dxa"/>
            </w:tcMar>
            <w:vAlign w:val="bottom"/>
            <w:hideMark/>
          </w:tcPr>
          <w:p w:rsidR="00000000" w:rsidRDefault="001F1FC8">
            <w:pPr>
              <w:rPr>
                <w:rFonts w:eastAsia="Times New Roman"/>
              </w:rPr>
            </w:pPr>
            <w:r>
              <w:rPr>
                <w:rFonts w:ascii="Arial" w:eastAsia="Times New Roman" w:hAnsi="Arial" w:cs="Arial"/>
                <w:b/>
                <w:bCs/>
                <w:color w:val="000000"/>
                <w:sz w:val="16"/>
                <w:szCs w:val="16"/>
              </w:rPr>
              <w:t>December 31, 2021</w:t>
            </w:r>
          </w:p>
        </w:tc>
        <w:tc>
          <w:tcPr>
            <w:tcW w:w="0" w:type="auto"/>
            <w:gridSpan w:val="3"/>
            <w:shd w:val="clear" w:color="auto" w:fill="D9D9D9"/>
            <w:tcMar>
              <w:top w:w="0" w:type="dxa"/>
              <w:left w:w="20" w:type="dxa"/>
              <w:bottom w:w="0" w:type="dxa"/>
              <w:right w:w="20" w:type="dxa"/>
            </w:tcMar>
            <w:vAlign w:val="center"/>
            <w:hideMark/>
          </w:tcPr>
          <w:p w:rsidR="00000000" w:rsidRDefault="001F1FC8">
            <w:pPr>
              <w:rPr>
                <w:rFonts w:eastAsia="Times New Roman"/>
              </w:rPr>
            </w:pPr>
          </w:p>
        </w:tc>
        <w:tc>
          <w:tcPr>
            <w:tcW w:w="0" w:type="auto"/>
            <w:gridSpan w:val="3"/>
            <w:shd w:val="clear" w:color="auto" w:fill="D9D9D9"/>
            <w:tcMar>
              <w:top w:w="0" w:type="dxa"/>
              <w:left w:w="20" w:type="dxa"/>
              <w:bottom w:w="0" w:type="dxa"/>
              <w:right w:w="20" w:type="dxa"/>
            </w:tcMar>
            <w:vAlign w:val="center"/>
            <w:hideMark/>
          </w:tcPr>
          <w:p w:rsidR="00000000" w:rsidRDefault="001F1FC8">
            <w:pPr>
              <w:rPr>
                <w:rFonts w:eastAsia="Times New Roman"/>
                <w:sz w:val="20"/>
                <w:szCs w:val="20"/>
              </w:rPr>
            </w:pPr>
          </w:p>
        </w:tc>
        <w:tc>
          <w:tcPr>
            <w:tcW w:w="0" w:type="auto"/>
            <w:gridSpan w:val="3"/>
            <w:shd w:val="clear" w:color="auto" w:fill="D9D9D9"/>
            <w:tcMar>
              <w:top w:w="0" w:type="dxa"/>
              <w:left w:w="20" w:type="dxa"/>
              <w:bottom w:w="0" w:type="dxa"/>
              <w:right w:w="20" w:type="dxa"/>
            </w:tcMar>
            <w:vAlign w:val="center"/>
            <w:hideMark/>
          </w:tcPr>
          <w:p w:rsidR="00000000" w:rsidRDefault="001F1FC8">
            <w:pPr>
              <w:rPr>
                <w:rFonts w:eastAsia="Times New Roman"/>
                <w:sz w:val="20"/>
                <w:szCs w:val="20"/>
              </w:rPr>
            </w:pPr>
          </w:p>
        </w:tc>
        <w:tc>
          <w:tcPr>
            <w:tcW w:w="0" w:type="auto"/>
            <w:gridSpan w:val="3"/>
            <w:shd w:val="clear" w:color="auto" w:fill="D9D9D9"/>
            <w:tcMar>
              <w:top w:w="0" w:type="dxa"/>
              <w:left w:w="20" w:type="dxa"/>
              <w:bottom w:w="0" w:type="dxa"/>
              <w:right w:w="20" w:type="dxa"/>
            </w:tcMar>
            <w:vAlign w:val="center"/>
            <w:hideMark/>
          </w:tcPr>
          <w:p w:rsidR="00000000" w:rsidRDefault="001F1FC8">
            <w:pPr>
              <w:rPr>
                <w:rFonts w:eastAsia="Times New Roman"/>
                <w:sz w:val="20"/>
                <w:szCs w:val="20"/>
              </w:rPr>
            </w:pPr>
          </w:p>
        </w:tc>
        <w:tc>
          <w:tcPr>
            <w:tcW w:w="0" w:type="auto"/>
            <w:gridSpan w:val="3"/>
            <w:shd w:val="clear" w:color="auto" w:fill="D9D9D9"/>
            <w:tcMar>
              <w:top w:w="0" w:type="dxa"/>
              <w:left w:w="20" w:type="dxa"/>
              <w:bottom w:w="0" w:type="dxa"/>
              <w:right w:w="20" w:type="dxa"/>
            </w:tcMar>
            <w:vAlign w:val="center"/>
            <w:hideMark/>
          </w:tcPr>
          <w:p w:rsidR="00000000" w:rsidRDefault="001F1FC8">
            <w:pPr>
              <w:rPr>
                <w:rFonts w:eastAsia="Times New Roman"/>
                <w:sz w:val="20"/>
                <w:szCs w:val="20"/>
              </w:rPr>
            </w:pPr>
          </w:p>
        </w:tc>
        <w:tc>
          <w:tcPr>
            <w:tcW w:w="0" w:type="auto"/>
            <w:gridSpan w:val="3"/>
            <w:shd w:val="clear" w:color="auto" w:fill="D9D9D9"/>
            <w:tcMar>
              <w:top w:w="0" w:type="dxa"/>
              <w:left w:w="20" w:type="dxa"/>
              <w:bottom w:w="0" w:type="dxa"/>
              <w:right w:w="20" w:type="dxa"/>
            </w:tcMar>
            <w:vAlign w:val="center"/>
            <w:hideMark/>
          </w:tcPr>
          <w:p w:rsidR="00000000" w:rsidRDefault="001F1FC8">
            <w:pPr>
              <w:rPr>
                <w:rFonts w:eastAsia="Times New Roman"/>
                <w:sz w:val="20"/>
                <w:szCs w:val="20"/>
              </w:rPr>
            </w:pPr>
          </w:p>
        </w:tc>
        <w:tc>
          <w:tcPr>
            <w:tcW w:w="0" w:type="auto"/>
            <w:gridSpan w:val="3"/>
            <w:shd w:val="clear" w:color="auto" w:fill="D9D9D9"/>
            <w:tcMar>
              <w:top w:w="0" w:type="dxa"/>
              <w:left w:w="20" w:type="dxa"/>
              <w:bottom w:w="0" w:type="dxa"/>
              <w:right w:w="20" w:type="dxa"/>
            </w:tcMar>
            <w:vAlign w:val="center"/>
            <w:hideMark/>
          </w:tcPr>
          <w:p w:rsidR="00000000" w:rsidRDefault="001F1FC8">
            <w:pPr>
              <w:rPr>
                <w:rFonts w:eastAsia="Times New Roman"/>
                <w:sz w:val="20"/>
                <w:szCs w:val="20"/>
              </w:rPr>
            </w:pPr>
          </w:p>
        </w:tc>
        <w:tc>
          <w:tcPr>
            <w:tcW w:w="0" w:type="auto"/>
            <w:gridSpan w:val="3"/>
            <w:shd w:val="clear" w:color="auto" w:fill="D9D9D9"/>
            <w:tcMar>
              <w:top w:w="0" w:type="dxa"/>
              <w:left w:w="20" w:type="dxa"/>
              <w:bottom w:w="0" w:type="dxa"/>
              <w:right w:w="20" w:type="dxa"/>
            </w:tcMar>
            <w:vAlign w:val="center"/>
            <w:hideMark/>
          </w:tcPr>
          <w:p w:rsidR="00000000" w:rsidRDefault="001F1FC8">
            <w:pPr>
              <w:rPr>
                <w:rFonts w:eastAsia="Times New Roman"/>
                <w:sz w:val="20"/>
                <w:szCs w:val="20"/>
              </w:rPr>
            </w:pPr>
          </w:p>
        </w:tc>
        <w:tc>
          <w:tcPr>
            <w:tcW w:w="0" w:type="auto"/>
            <w:gridSpan w:val="3"/>
            <w:shd w:val="clear" w:color="auto" w:fill="D9D9D9"/>
            <w:tcMar>
              <w:top w:w="0" w:type="dxa"/>
              <w:left w:w="20" w:type="dxa"/>
              <w:bottom w:w="0" w:type="dxa"/>
              <w:right w:w="20" w:type="dxa"/>
            </w:tcMar>
            <w:vAlign w:val="center"/>
            <w:hideMark/>
          </w:tcPr>
          <w:p w:rsidR="00000000" w:rsidRDefault="001F1FC8">
            <w:pPr>
              <w:rPr>
                <w:rFonts w:eastAsia="Times New Roman"/>
                <w:sz w:val="20"/>
                <w:szCs w:val="20"/>
              </w:rPr>
            </w:pPr>
          </w:p>
        </w:tc>
      </w:tr>
      <w:tr w:rsidR="00000000">
        <w:trPr>
          <w:divId w:val="1284460090"/>
        </w:trPr>
        <w:tc>
          <w:tcPr>
            <w:tcW w:w="0" w:type="auto"/>
            <w:gridSpan w:val="3"/>
            <w:tcMar>
              <w:top w:w="30" w:type="dxa"/>
              <w:left w:w="20" w:type="dxa"/>
              <w:bottom w:w="30" w:type="dxa"/>
              <w:right w:w="20" w:type="dxa"/>
            </w:tcMar>
            <w:hideMark/>
          </w:tcPr>
          <w:p w:rsidR="00000000" w:rsidRDefault="001F1FC8">
            <w:pPr>
              <w:rPr>
                <w:rFonts w:eastAsia="Times New Roman"/>
              </w:rPr>
            </w:pPr>
            <w:r>
              <w:rPr>
                <w:rFonts w:ascii="Arial" w:eastAsia="Times New Roman" w:hAnsi="Arial" w:cs="Arial"/>
                <w:color w:val="000000"/>
                <w:sz w:val="16"/>
                <w:szCs w:val="16"/>
              </w:rPr>
              <w:t>Cash and cash equivalents</w:t>
            </w:r>
          </w:p>
        </w:tc>
        <w:tc>
          <w:tcPr>
            <w:tcW w:w="0" w:type="auto"/>
            <w:gridSpan w:val="2"/>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6"/>
                <w:szCs w:val="16"/>
              </w:rPr>
              <w:t>180</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6"/>
                <w:szCs w:val="16"/>
              </w:rPr>
              <w:t>180</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3"/>
            <w:shd w:val="clear" w:color="auto" w:fill="D9D9D9"/>
            <w:tcMar>
              <w:top w:w="0" w:type="dxa"/>
              <w:left w:w="20" w:type="dxa"/>
              <w:bottom w:w="0" w:type="dxa"/>
              <w:right w:w="20" w:type="dxa"/>
            </w:tcMar>
            <w:vAlign w:val="center"/>
            <w:hideMark/>
          </w:tcPr>
          <w:p w:rsidR="00000000" w:rsidRDefault="001F1FC8">
            <w:pPr>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6"/>
                <w:szCs w:val="16"/>
              </w:rPr>
              <w:t>10</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6"/>
                <w:szCs w:val="16"/>
              </w:rPr>
              <w:t>10</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r>
      <w:tr w:rsidR="00000000">
        <w:trPr>
          <w:divId w:val="1284460090"/>
        </w:trPr>
        <w:tc>
          <w:tcPr>
            <w:tcW w:w="0" w:type="auto"/>
            <w:gridSpan w:val="3"/>
            <w:tcMar>
              <w:top w:w="30" w:type="dxa"/>
              <w:left w:w="20" w:type="dxa"/>
              <w:bottom w:w="30" w:type="dxa"/>
              <w:right w:w="20" w:type="dxa"/>
            </w:tcMar>
            <w:hideMark/>
          </w:tcPr>
          <w:p w:rsidR="00000000" w:rsidRDefault="001F1FC8">
            <w:pPr>
              <w:rPr>
                <w:rFonts w:eastAsia="Times New Roman"/>
              </w:rPr>
            </w:pPr>
            <w:r>
              <w:rPr>
                <w:rFonts w:ascii="Arial" w:eastAsia="Times New Roman" w:hAnsi="Arial" w:cs="Arial"/>
                <w:color w:val="000000"/>
                <w:sz w:val="16"/>
                <w:szCs w:val="16"/>
              </w:rPr>
              <w:t>Equity securities</w:t>
            </w:r>
          </w:p>
        </w:tc>
        <w:tc>
          <w:tcPr>
            <w:tcW w:w="0" w:type="auto"/>
            <w:gridSpan w:val="3"/>
            <w:shd w:val="clear" w:color="auto" w:fill="D9D9D9"/>
            <w:tcMar>
              <w:top w:w="0" w:type="dxa"/>
              <w:left w:w="20" w:type="dxa"/>
              <w:bottom w:w="0" w:type="dxa"/>
              <w:right w:w="20" w:type="dxa"/>
            </w:tcMar>
            <w:vAlign w:val="center"/>
            <w:hideMark/>
          </w:tcPr>
          <w:p w:rsidR="00000000" w:rsidRDefault="001F1FC8">
            <w:pPr>
              <w:rPr>
                <w:rFonts w:eastAsia="Times New Roman"/>
              </w:rPr>
            </w:pPr>
          </w:p>
        </w:tc>
        <w:tc>
          <w:tcPr>
            <w:tcW w:w="0" w:type="auto"/>
            <w:gridSpan w:val="3"/>
            <w:shd w:val="clear" w:color="auto" w:fill="D9D9D9"/>
            <w:tcMar>
              <w:top w:w="0" w:type="dxa"/>
              <w:left w:w="20" w:type="dxa"/>
              <w:bottom w:w="0" w:type="dxa"/>
              <w:right w:w="20" w:type="dxa"/>
            </w:tcMar>
            <w:vAlign w:val="center"/>
            <w:hideMark/>
          </w:tcPr>
          <w:p w:rsidR="00000000" w:rsidRDefault="001F1FC8">
            <w:pPr>
              <w:rPr>
                <w:rFonts w:eastAsia="Times New Roman"/>
                <w:sz w:val="20"/>
                <w:szCs w:val="20"/>
              </w:rPr>
            </w:pPr>
          </w:p>
        </w:tc>
        <w:tc>
          <w:tcPr>
            <w:tcW w:w="0" w:type="auto"/>
            <w:gridSpan w:val="3"/>
            <w:shd w:val="clear" w:color="auto" w:fill="D9D9D9"/>
            <w:tcMar>
              <w:top w:w="0" w:type="dxa"/>
              <w:left w:w="20" w:type="dxa"/>
              <w:bottom w:w="0" w:type="dxa"/>
              <w:right w:w="20" w:type="dxa"/>
            </w:tcMar>
            <w:vAlign w:val="center"/>
            <w:hideMark/>
          </w:tcPr>
          <w:p w:rsidR="00000000" w:rsidRDefault="001F1FC8">
            <w:pPr>
              <w:rPr>
                <w:rFonts w:eastAsia="Times New Roman"/>
                <w:sz w:val="20"/>
                <w:szCs w:val="20"/>
              </w:rPr>
            </w:pPr>
          </w:p>
        </w:tc>
        <w:tc>
          <w:tcPr>
            <w:tcW w:w="0" w:type="auto"/>
            <w:gridSpan w:val="3"/>
            <w:shd w:val="clear" w:color="auto" w:fill="D9D9D9"/>
            <w:tcMar>
              <w:top w:w="0" w:type="dxa"/>
              <w:left w:w="20" w:type="dxa"/>
              <w:bottom w:w="0" w:type="dxa"/>
              <w:right w:w="20" w:type="dxa"/>
            </w:tcMar>
            <w:vAlign w:val="center"/>
            <w:hideMark/>
          </w:tcPr>
          <w:p w:rsidR="00000000" w:rsidRDefault="001F1FC8">
            <w:pPr>
              <w:rPr>
                <w:rFonts w:eastAsia="Times New Roman"/>
                <w:sz w:val="20"/>
                <w:szCs w:val="20"/>
              </w:rPr>
            </w:pPr>
          </w:p>
        </w:tc>
        <w:tc>
          <w:tcPr>
            <w:tcW w:w="0" w:type="auto"/>
            <w:gridSpan w:val="3"/>
            <w:shd w:val="clear" w:color="auto" w:fill="D9D9D9"/>
            <w:tcMar>
              <w:top w:w="0" w:type="dxa"/>
              <w:left w:w="20" w:type="dxa"/>
              <w:bottom w:w="0" w:type="dxa"/>
              <w:right w:w="20" w:type="dxa"/>
            </w:tcMar>
            <w:vAlign w:val="center"/>
            <w:hideMark/>
          </w:tcPr>
          <w:p w:rsidR="00000000" w:rsidRDefault="001F1FC8">
            <w:pPr>
              <w:rPr>
                <w:rFonts w:eastAsia="Times New Roman"/>
                <w:sz w:val="20"/>
                <w:szCs w:val="20"/>
              </w:rPr>
            </w:pPr>
          </w:p>
        </w:tc>
        <w:tc>
          <w:tcPr>
            <w:tcW w:w="0" w:type="auto"/>
            <w:gridSpan w:val="3"/>
            <w:shd w:val="clear" w:color="auto" w:fill="D9D9D9"/>
            <w:tcMar>
              <w:top w:w="0" w:type="dxa"/>
              <w:left w:w="20" w:type="dxa"/>
              <w:bottom w:w="0" w:type="dxa"/>
              <w:right w:w="20" w:type="dxa"/>
            </w:tcMar>
            <w:vAlign w:val="center"/>
            <w:hideMark/>
          </w:tcPr>
          <w:p w:rsidR="00000000" w:rsidRDefault="001F1FC8">
            <w:pPr>
              <w:rPr>
                <w:rFonts w:eastAsia="Times New Roman"/>
                <w:sz w:val="20"/>
                <w:szCs w:val="20"/>
              </w:rPr>
            </w:pPr>
          </w:p>
        </w:tc>
        <w:tc>
          <w:tcPr>
            <w:tcW w:w="0" w:type="auto"/>
            <w:gridSpan w:val="3"/>
            <w:shd w:val="clear" w:color="auto" w:fill="D9D9D9"/>
            <w:tcMar>
              <w:top w:w="0" w:type="dxa"/>
              <w:left w:w="20" w:type="dxa"/>
              <w:bottom w:w="0" w:type="dxa"/>
              <w:right w:w="20" w:type="dxa"/>
            </w:tcMar>
            <w:vAlign w:val="center"/>
            <w:hideMark/>
          </w:tcPr>
          <w:p w:rsidR="00000000" w:rsidRDefault="001F1FC8">
            <w:pPr>
              <w:rPr>
                <w:rFonts w:eastAsia="Times New Roman"/>
                <w:sz w:val="20"/>
                <w:szCs w:val="20"/>
              </w:rPr>
            </w:pPr>
          </w:p>
        </w:tc>
        <w:tc>
          <w:tcPr>
            <w:tcW w:w="0" w:type="auto"/>
            <w:gridSpan w:val="3"/>
            <w:shd w:val="clear" w:color="auto" w:fill="D9D9D9"/>
            <w:tcMar>
              <w:top w:w="0" w:type="dxa"/>
              <w:left w:w="20" w:type="dxa"/>
              <w:bottom w:w="0" w:type="dxa"/>
              <w:right w:w="20" w:type="dxa"/>
            </w:tcMar>
            <w:vAlign w:val="center"/>
            <w:hideMark/>
          </w:tcPr>
          <w:p w:rsidR="00000000" w:rsidRDefault="001F1FC8">
            <w:pPr>
              <w:rPr>
                <w:rFonts w:eastAsia="Times New Roman"/>
                <w:sz w:val="20"/>
                <w:szCs w:val="20"/>
              </w:rPr>
            </w:pPr>
          </w:p>
        </w:tc>
        <w:tc>
          <w:tcPr>
            <w:tcW w:w="0" w:type="auto"/>
            <w:gridSpan w:val="3"/>
            <w:shd w:val="clear" w:color="auto" w:fill="D9D9D9"/>
            <w:tcMar>
              <w:top w:w="0" w:type="dxa"/>
              <w:left w:w="20" w:type="dxa"/>
              <w:bottom w:w="0" w:type="dxa"/>
              <w:right w:w="20" w:type="dxa"/>
            </w:tcMar>
            <w:vAlign w:val="center"/>
            <w:hideMark/>
          </w:tcPr>
          <w:p w:rsidR="00000000" w:rsidRDefault="001F1FC8">
            <w:pPr>
              <w:rPr>
                <w:rFonts w:eastAsia="Times New Roman"/>
                <w:sz w:val="20"/>
                <w:szCs w:val="20"/>
              </w:rPr>
            </w:pPr>
          </w:p>
        </w:tc>
      </w:tr>
      <w:tr w:rsidR="00000000">
        <w:trPr>
          <w:divId w:val="1284460090"/>
        </w:trPr>
        <w:tc>
          <w:tcPr>
            <w:tcW w:w="0" w:type="auto"/>
            <w:gridSpan w:val="3"/>
            <w:tcMar>
              <w:top w:w="30" w:type="dxa"/>
              <w:left w:w="245" w:type="dxa"/>
              <w:bottom w:w="30" w:type="dxa"/>
              <w:right w:w="20" w:type="dxa"/>
            </w:tcMar>
            <w:hideMark/>
          </w:tcPr>
          <w:p w:rsidR="00000000" w:rsidRDefault="001F1FC8">
            <w:pPr>
              <w:rPr>
                <w:rFonts w:eastAsia="Times New Roman"/>
              </w:rPr>
            </w:pPr>
            <w:r>
              <w:rPr>
                <w:rFonts w:ascii="Arial" w:eastAsia="Times New Roman" w:hAnsi="Arial" w:cs="Arial"/>
                <w:color w:val="000000"/>
                <w:sz w:val="16"/>
                <w:szCs w:val="16"/>
              </w:rPr>
              <w:t>Canada</w:t>
            </w:r>
          </w:p>
        </w:tc>
        <w:tc>
          <w:tcPr>
            <w:tcW w:w="0" w:type="auto"/>
            <w:gridSpan w:val="2"/>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6"/>
                <w:szCs w:val="16"/>
              </w:rPr>
              <w:t>198</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6"/>
                <w:szCs w:val="16"/>
              </w:rPr>
              <w:t>228</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6"/>
                <w:szCs w:val="16"/>
              </w:rPr>
              <w:t>426</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3"/>
            <w:shd w:val="clear" w:color="auto" w:fill="D9D9D9"/>
            <w:tcMar>
              <w:top w:w="0" w:type="dxa"/>
              <w:left w:w="20" w:type="dxa"/>
              <w:bottom w:w="0" w:type="dxa"/>
              <w:right w:w="20" w:type="dxa"/>
            </w:tcMar>
            <w:vAlign w:val="center"/>
            <w:hideMark/>
          </w:tcPr>
          <w:p w:rsidR="00000000" w:rsidRDefault="001F1FC8">
            <w:pPr>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r>
      <w:tr w:rsidR="00000000">
        <w:trPr>
          <w:divId w:val="1284460090"/>
        </w:trPr>
        <w:tc>
          <w:tcPr>
            <w:tcW w:w="0" w:type="auto"/>
            <w:gridSpan w:val="3"/>
            <w:tcMar>
              <w:top w:w="30" w:type="dxa"/>
              <w:left w:w="245" w:type="dxa"/>
              <w:bottom w:w="30" w:type="dxa"/>
              <w:right w:w="20" w:type="dxa"/>
            </w:tcMar>
            <w:hideMark/>
          </w:tcPr>
          <w:p w:rsidR="00000000" w:rsidRDefault="001F1FC8">
            <w:pPr>
              <w:rPr>
                <w:rFonts w:eastAsia="Times New Roman"/>
              </w:rPr>
            </w:pPr>
            <w:r>
              <w:rPr>
                <w:rFonts w:ascii="Arial" w:eastAsia="Times New Roman" w:hAnsi="Arial" w:cs="Arial"/>
                <w:color w:val="000000"/>
                <w:sz w:val="16"/>
                <w:szCs w:val="16"/>
              </w:rPr>
              <w:t>US</w:t>
            </w:r>
          </w:p>
        </w:tc>
        <w:tc>
          <w:tcPr>
            <w:tcW w:w="0" w:type="auto"/>
            <w:gridSpan w:val="2"/>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6"/>
                <w:szCs w:val="16"/>
              </w:rPr>
              <w:t>1</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6"/>
                <w:szCs w:val="16"/>
              </w:rPr>
              <w:t>1</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3"/>
            <w:shd w:val="clear" w:color="auto" w:fill="D9D9D9"/>
            <w:tcMar>
              <w:top w:w="0" w:type="dxa"/>
              <w:left w:w="20" w:type="dxa"/>
              <w:bottom w:w="0" w:type="dxa"/>
              <w:right w:w="20" w:type="dxa"/>
            </w:tcMar>
            <w:vAlign w:val="center"/>
            <w:hideMark/>
          </w:tcPr>
          <w:p w:rsidR="00000000" w:rsidRDefault="001F1FC8">
            <w:pPr>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r>
      <w:tr w:rsidR="00000000">
        <w:trPr>
          <w:divId w:val="1284460090"/>
        </w:trPr>
        <w:tc>
          <w:tcPr>
            <w:tcW w:w="0" w:type="auto"/>
            <w:gridSpan w:val="3"/>
            <w:tcMar>
              <w:top w:w="30" w:type="dxa"/>
              <w:left w:w="245" w:type="dxa"/>
              <w:bottom w:w="30" w:type="dxa"/>
              <w:right w:w="20" w:type="dxa"/>
            </w:tcMar>
            <w:hideMark/>
          </w:tcPr>
          <w:p w:rsidR="00000000" w:rsidRDefault="001F1FC8">
            <w:pPr>
              <w:rPr>
                <w:rFonts w:eastAsia="Times New Roman"/>
              </w:rPr>
            </w:pPr>
            <w:r>
              <w:rPr>
                <w:rFonts w:ascii="Arial" w:eastAsia="Times New Roman" w:hAnsi="Arial" w:cs="Arial"/>
                <w:color w:val="000000"/>
                <w:sz w:val="16"/>
                <w:szCs w:val="16"/>
              </w:rPr>
              <w:t>Global</w:t>
            </w:r>
          </w:p>
        </w:tc>
        <w:tc>
          <w:tcPr>
            <w:tcW w:w="0" w:type="auto"/>
            <w:gridSpan w:val="2"/>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6"/>
                <w:szCs w:val="16"/>
              </w:rPr>
              <w:t>1,693</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6"/>
                <w:szCs w:val="16"/>
              </w:rPr>
              <w:t>1,693</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3"/>
            <w:shd w:val="clear" w:color="auto" w:fill="D9D9D9"/>
            <w:tcMar>
              <w:top w:w="0" w:type="dxa"/>
              <w:left w:w="20" w:type="dxa"/>
              <w:bottom w:w="0" w:type="dxa"/>
              <w:right w:w="20" w:type="dxa"/>
            </w:tcMar>
            <w:vAlign w:val="center"/>
            <w:hideMark/>
          </w:tcPr>
          <w:p w:rsidR="00000000" w:rsidRDefault="001F1FC8">
            <w:pPr>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6"/>
                <w:szCs w:val="16"/>
              </w:rPr>
              <w:t>609</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6"/>
                <w:szCs w:val="16"/>
              </w:rPr>
              <w:t>609</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r>
      <w:tr w:rsidR="00000000">
        <w:trPr>
          <w:divId w:val="1284460090"/>
        </w:trPr>
        <w:tc>
          <w:tcPr>
            <w:tcW w:w="0" w:type="auto"/>
            <w:gridSpan w:val="3"/>
            <w:tcMar>
              <w:top w:w="30" w:type="dxa"/>
              <w:left w:w="20" w:type="dxa"/>
              <w:bottom w:w="30" w:type="dxa"/>
              <w:right w:w="20" w:type="dxa"/>
            </w:tcMar>
            <w:hideMark/>
          </w:tcPr>
          <w:p w:rsidR="00000000" w:rsidRDefault="001F1FC8">
            <w:pPr>
              <w:rPr>
                <w:rFonts w:eastAsia="Times New Roman"/>
              </w:rPr>
            </w:pPr>
            <w:r>
              <w:rPr>
                <w:rFonts w:ascii="Arial" w:eastAsia="Times New Roman" w:hAnsi="Arial" w:cs="Arial"/>
                <w:color w:val="000000"/>
                <w:sz w:val="16"/>
                <w:szCs w:val="16"/>
              </w:rPr>
              <w:t>Fixed income securities</w:t>
            </w:r>
          </w:p>
        </w:tc>
        <w:tc>
          <w:tcPr>
            <w:tcW w:w="0" w:type="auto"/>
            <w:gridSpan w:val="3"/>
            <w:shd w:val="clear" w:color="auto" w:fill="D9D9D9"/>
            <w:tcMar>
              <w:top w:w="0" w:type="dxa"/>
              <w:left w:w="20" w:type="dxa"/>
              <w:bottom w:w="0" w:type="dxa"/>
              <w:right w:w="20" w:type="dxa"/>
            </w:tcMar>
            <w:vAlign w:val="center"/>
            <w:hideMark/>
          </w:tcPr>
          <w:p w:rsidR="00000000" w:rsidRDefault="001F1FC8">
            <w:pPr>
              <w:rPr>
                <w:rFonts w:eastAsia="Times New Roman"/>
              </w:rPr>
            </w:pPr>
          </w:p>
        </w:tc>
        <w:tc>
          <w:tcPr>
            <w:tcW w:w="0" w:type="auto"/>
            <w:gridSpan w:val="3"/>
            <w:shd w:val="clear" w:color="auto" w:fill="D9D9D9"/>
            <w:tcMar>
              <w:top w:w="0" w:type="dxa"/>
              <w:left w:w="20" w:type="dxa"/>
              <w:bottom w:w="0" w:type="dxa"/>
              <w:right w:w="20" w:type="dxa"/>
            </w:tcMar>
            <w:vAlign w:val="center"/>
            <w:hideMark/>
          </w:tcPr>
          <w:p w:rsidR="00000000" w:rsidRDefault="001F1FC8">
            <w:pPr>
              <w:rPr>
                <w:rFonts w:eastAsia="Times New Roman"/>
                <w:sz w:val="20"/>
                <w:szCs w:val="20"/>
              </w:rPr>
            </w:pPr>
          </w:p>
        </w:tc>
        <w:tc>
          <w:tcPr>
            <w:tcW w:w="0" w:type="auto"/>
            <w:gridSpan w:val="3"/>
            <w:shd w:val="clear" w:color="auto" w:fill="D9D9D9"/>
            <w:tcMar>
              <w:top w:w="0" w:type="dxa"/>
              <w:left w:w="20" w:type="dxa"/>
              <w:bottom w:w="0" w:type="dxa"/>
              <w:right w:w="20" w:type="dxa"/>
            </w:tcMar>
            <w:vAlign w:val="center"/>
            <w:hideMark/>
          </w:tcPr>
          <w:p w:rsidR="00000000" w:rsidRDefault="001F1FC8">
            <w:pPr>
              <w:rPr>
                <w:rFonts w:eastAsia="Times New Roman"/>
                <w:sz w:val="20"/>
                <w:szCs w:val="20"/>
              </w:rPr>
            </w:pPr>
          </w:p>
        </w:tc>
        <w:tc>
          <w:tcPr>
            <w:tcW w:w="0" w:type="auto"/>
            <w:gridSpan w:val="3"/>
            <w:shd w:val="clear" w:color="auto" w:fill="D9D9D9"/>
            <w:tcMar>
              <w:top w:w="0" w:type="dxa"/>
              <w:left w:w="20" w:type="dxa"/>
              <w:bottom w:w="0" w:type="dxa"/>
              <w:right w:w="20" w:type="dxa"/>
            </w:tcMar>
            <w:vAlign w:val="center"/>
            <w:hideMark/>
          </w:tcPr>
          <w:p w:rsidR="00000000" w:rsidRDefault="001F1FC8">
            <w:pPr>
              <w:rPr>
                <w:rFonts w:eastAsia="Times New Roman"/>
                <w:sz w:val="20"/>
                <w:szCs w:val="20"/>
              </w:rPr>
            </w:pPr>
          </w:p>
        </w:tc>
        <w:tc>
          <w:tcPr>
            <w:tcW w:w="0" w:type="auto"/>
            <w:gridSpan w:val="3"/>
            <w:shd w:val="clear" w:color="auto" w:fill="D9D9D9"/>
            <w:tcMar>
              <w:top w:w="0" w:type="dxa"/>
              <w:left w:w="20" w:type="dxa"/>
              <w:bottom w:w="0" w:type="dxa"/>
              <w:right w:w="20" w:type="dxa"/>
            </w:tcMar>
            <w:vAlign w:val="center"/>
            <w:hideMark/>
          </w:tcPr>
          <w:p w:rsidR="00000000" w:rsidRDefault="001F1FC8">
            <w:pPr>
              <w:rPr>
                <w:rFonts w:eastAsia="Times New Roman"/>
                <w:sz w:val="20"/>
                <w:szCs w:val="20"/>
              </w:rPr>
            </w:pPr>
          </w:p>
        </w:tc>
        <w:tc>
          <w:tcPr>
            <w:tcW w:w="0" w:type="auto"/>
            <w:gridSpan w:val="3"/>
            <w:shd w:val="clear" w:color="auto" w:fill="D9D9D9"/>
            <w:tcMar>
              <w:top w:w="0" w:type="dxa"/>
              <w:left w:w="20" w:type="dxa"/>
              <w:bottom w:w="0" w:type="dxa"/>
              <w:right w:w="20" w:type="dxa"/>
            </w:tcMar>
            <w:vAlign w:val="center"/>
            <w:hideMark/>
          </w:tcPr>
          <w:p w:rsidR="00000000" w:rsidRDefault="001F1FC8">
            <w:pPr>
              <w:rPr>
                <w:rFonts w:eastAsia="Times New Roman"/>
                <w:sz w:val="20"/>
                <w:szCs w:val="20"/>
              </w:rPr>
            </w:pPr>
          </w:p>
        </w:tc>
        <w:tc>
          <w:tcPr>
            <w:tcW w:w="0" w:type="auto"/>
            <w:gridSpan w:val="3"/>
            <w:shd w:val="clear" w:color="auto" w:fill="D9D9D9"/>
            <w:tcMar>
              <w:top w:w="0" w:type="dxa"/>
              <w:left w:w="20" w:type="dxa"/>
              <w:bottom w:w="0" w:type="dxa"/>
              <w:right w:w="20" w:type="dxa"/>
            </w:tcMar>
            <w:vAlign w:val="center"/>
            <w:hideMark/>
          </w:tcPr>
          <w:p w:rsidR="00000000" w:rsidRDefault="001F1FC8">
            <w:pPr>
              <w:rPr>
                <w:rFonts w:eastAsia="Times New Roman"/>
                <w:sz w:val="20"/>
                <w:szCs w:val="20"/>
              </w:rPr>
            </w:pPr>
          </w:p>
        </w:tc>
        <w:tc>
          <w:tcPr>
            <w:tcW w:w="0" w:type="auto"/>
            <w:gridSpan w:val="3"/>
            <w:shd w:val="clear" w:color="auto" w:fill="D9D9D9"/>
            <w:tcMar>
              <w:top w:w="0" w:type="dxa"/>
              <w:left w:w="20" w:type="dxa"/>
              <w:bottom w:w="0" w:type="dxa"/>
              <w:right w:w="20" w:type="dxa"/>
            </w:tcMar>
            <w:vAlign w:val="center"/>
            <w:hideMark/>
          </w:tcPr>
          <w:p w:rsidR="00000000" w:rsidRDefault="001F1FC8">
            <w:pPr>
              <w:rPr>
                <w:rFonts w:eastAsia="Times New Roman"/>
                <w:sz w:val="20"/>
                <w:szCs w:val="20"/>
              </w:rPr>
            </w:pPr>
          </w:p>
        </w:tc>
        <w:tc>
          <w:tcPr>
            <w:tcW w:w="0" w:type="auto"/>
            <w:gridSpan w:val="3"/>
            <w:shd w:val="clear" w:color="auto" w:fill="D9D9D9"/>
            <w:tcMar>
              <w:top w:w="0" w:type="dxa"/>
              <w:left w:w="20" w:type="dxa"/>
              <w:bottom w:w="0" w:type="dxa"/>
              <w:right w:w="20" w:type="dxa"/>
            </w:tcMar>
            <w:vAlign w:val="center"/>
            <w:hideMark/>
          </w:tcPr>
          <w:p w:rsidR="00000000" w:rsidRDefault="001F1FC8">
            <w:pPr>
              <w:rPr>
                <w:rFonts w:eastAsia="Times New Roman"/>
                <w:sz w:val="20"/>
                <w:szCs w:val="20"/>
              </w:rPr>
            </w:pPr>
          </w:p>
        </w:tc>
      </w:tr>
      <w:tr w:rsidR="00000000">
        <w:trPr>
          <w:divId w:val="1284460090"/>
        </w:trPr>
        <w:tc>
          <w:tcPr>
            <w:tcW w:w="0" w:type="auto"/>
            <w:gridSpan w:val="3"/>
            <w:tcMar>
              <w:top w:w="30" w:type="dxa"/>
              <w:left w:w="245" w:type="dxa"/>
              <w:bottom w:w="30" w:type="dxa"/>
              <w:right w:w="20" w:type="dxa"/>
            </w:tcMar>
            <w:hideMark/>
          </w:tcPr>
          <w:p w:rsidR="00000000" w:rsidRDefault="001F1FC8">
            <w:pPr>
              <w:rPr>
                <w:rFonts w:eastAsia="Times New Roman"/>
              </w:rPr>
            </w:pPr>
            <w:r>
              <w:rPr>
                <w:rFonts w:ascii="Arial" w:eastAsia="Times New Roman" w:hAnsi="Arial" w:cs="Arial"/>
                <w:color w:val="000000"/>
                <w:sz w:val="16"/>
                <w:szCs w:val="16"/>
              </w:rPr>
              <w:t>Government</w:t>
            </w:r>
          </w:p>
        </w:tc>
        <w:tc>
          <w:tcPr>
            <w:tcW w:w="0" w:type="auto"/>
            <w:gridSpan w:val="2"/>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6"/>
                <w:szCs w:val="16"/>
              </w:rPr>
              <w:t>258</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6"/>
                <w:szCs w:val="16"/>
              </w:rPr>
              <w:t>459</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6"/>
                <w:szCs w:val="16"/>
              </w:rPr>
              <w:t>717</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3"/>
            <w:shd w:val="clear" w:color="auto" w:fill="D9D9D9"/>
            <w:tcMar>
              <w:top w:w="0" w:type="dxa"/>
              <w:left w:w="20" w:type="dxa"/>
              <w:bottom w:w="0" w:type="dxa"/>
              <w:right w:w="20" w:type="dxa"/>
            </w:tcMar>
            <w:vAlign w:val="center"/>
            <w:hideMark/>
          </w:tcPr>
          <w:p w:rsidR="00000000" w:rsidRDefault="001F1FC8">
            <w:pPr>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6"/>
                <w:szCs w:val="16"/>
              </w:rPr>
              <w:t>86</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6"/>
                <w:szCs w:val="16"/>
              </w:rPr>
              <w:t>86</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r>
      <w:tr w:rsidR="00000000">
        <w:trPr>
          <w:divId w:val="1284460090"/>
        </w:trPr>
        <w:tc>
          <w:tcPr>
            <w:tcW w:w="0" w:type="auto"/>
            <w:gridSpan w:val="3"/>
            <w:tcMar>
              <w:top w:w="30" w:type="dxa"/>
              <w:left w:w="245" w:type="dxa"/>
              <w:bottom w:w="30" w:type="dxa"/>
              <w:right w:w="20" w:type="dxa"/>
            </w:tcMar>
            <w:hideMark/>
          </w:tcPr>
          <w:p w:rsidR="00000000" w:rsidRDefault="001F1FC8">
            <w:pPr>
              <w:rPr>
                <w:rFonts w:eastAsia="Times New Roman"/>
              </w:rPr>
            </w:pPr>
            <w:r>
              <w:rPr>
                <w:rFonts w:ascii="Arial" w:eastAsia="Times New Roman" w:hAnsi="Arial" w:cs="Arial"/>
                <w:color w:val="000000"/>
                <w:sz w:val="16"/>
                <w:szCs w:val="16"/>
              </w:rPr>
              <w:t>Corporate</w:t>
            </w:r>
          </w:p>
        </w:tc>
        <w:tc>
          <w:tcPr>
            <w:tcW w:w="0" w:type="auto"/>
            <w:gridSpan w:val="2"/>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6"/>
                <w:szCs w:val="16"/>
              </w:rPr>
              <w:t>453</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6"/>
                <w:szCs w:val="16"/>
              </w:rPr>
              <w:t>453</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3"/>
            <w:shd w:val="clear" w:color="auto" w:fill="D9D9D9"/>
            <w:tcMar>
              <w:top w:w="0" w:type="dxa"/>
              <w:left w:w="20" w:type="dxa"/>
              <w:bottom w:w="0" w:type="dxa"/>
              <w:right w:w="20" w:type="dxa"/>
            </w:tcMar>
            <w:vAlign w:val="center"/>
            <w:hideMark/>
          </w:tcPr>
          <w:p w:rsidR="00000000" w:rsidRDefault="001F1FC8">
            <w:pPr>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6"/>
                <w:szCs w:val="16"/>
              </w:rPr>
              <w:t>118</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6"/>
                <w:szCs w:val="16"/>
              </w:rPr>
              <w:t>118</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r>
      <w:tr w:rsidR="00000000">
        <w:trPr>
          <w:divId w:val="1284460090"/>
        </w:trPr>
        <w:tc>
          <w:tcPr>
            <w:tcW w:w="0" w:type="auto"/>
            <w:gridSpan w:val="3"/>
            <w:tcMar>
              <w:top w:w="30" w:type="dxa"/>
              <w:left w:w="20" w:type="dxa"/>
              <w:bottom w:w="30" w:type="dxa"/>
              <w:right w:w="20" w:type="dxa"/>
            </w:tcMar>
            <w:vAlign w:val="bottom"/>
            <w:hideMark/>
          </w:tcPr>
          <w:p w:rsidR="00000000" w:rsidRDefault="001F1FC8">
            <w:pPr>
              <w:divId w:val="957107181"/>
              <w:rPr>
                <w:rFonts w:eastAsia="Times New Roman"/>
              </w:rPr>
            </w:pPr>
            <w:r>
              <w:rPr>
                <w:rFonts w:ascii="Arial" w:eastAsia="Times New Roman" w:hAnsi="Arial" w:cs="Arial"/>
                <w:color w:val="000000"/>
                <w:sz w:val="16"/>
                <w:szCs w:val="16"/>
              </w:rPr>
              <w:t>Alternative</w:t>
            </w:r>
            <w:r>
              <w:rPr>
                <w:rFonts w:ascii="Arial" w:eastAsia="Times New Roman" w:hAnsi="Arial" w:cs="Arial"/>
                <w:color w:val="000000"/>
                <w:sz w:val="16"/>
                <w:szCs w:val="16"/>
              </w:rPr>
              <w:t>s</w:t>
            </w:r>
            <w:r>
              <w:rPr>
                <w:rFonts w:ascii="Arial" w:eastAsia="Times New Roman" w:hAnsi="Arial" w:cs="Arial"/>
                <w:color w:val="000000"/>
                <w:sz w:val="10"/>
                <w:szCs w:val="10"/>
              </w:rPr>
              <w:t>4</w:t>
            </w:r>
          </w:p>
        </w:tc>
        <w:tc>
          <w:tcPr>
            <w:tcW w:w="0" w:type="auto"/>
            <w:gridSpan w:val="2"/>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6"/>
                <w:szCs w:val="16"/>
              </w:rPr>
              <w:t>1,064</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6"/>
                <w:szCs w:val="16"/>
              </w:rPr>
              <w:t>1,064</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3"/>
            <w:shd w:val="clear" w:color="auto" w:fill="D9D9D9"/>
            <w:tcMar>
              <w:top w:w="0" w:type="dxa"/>
              <w:left w:w="20" w:type="dxa"/>
              <w:bottom w:w="0" w:type="dxa"/>
              <w:right w:w="20" w:type="dxa"/>
            </w:tcMar>
            <w:vAlign w:val="center"/>
            <w:hideMark/>
          </w:tcPr>
          <w:p w:rsidR="00000000" w:rsidRDefault="001F1FC8">
            <w:pPr>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6"/>
                <w:szCs w:val="16"/>
              </w:rPr>
              <w:t>337</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6"/>
                <w:szCs w:val="16"/>
              </w:rPr>
              <w:t>337</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r>
      <w:tr w:rsidR="00000000">
        <w:trPr>
          <w:divId w:val="1284460090"/>
        </w:trPr>
        <w:tc>
          <w:tcPr>
            <w:tcW w:w="0" w:type="auto"/>
            <w:gridSpan w:val="3"/>
            <w:tcMar>
              <w:top w:w="30" w:type="dxa"/>
              <w:left w:w="20" w:type="dxa"/>
              <w:bottom w:w="30" w:type="dxa"/>
              <w:right w:w="20" w:type="dxa"/>
            </w:tcMar>
            <w:hideMark/>
          </w:tcPr>
          <w:p w:rsidR="00000000" w:rsidRDefault="001F1FC8">
            <w:pPr>
              <w:rPr>
                <w:rFonts w:eastAsia="Times New Roman"/>
              </w:rPr>
            </w:pPr>
            <w:r>
              <w:rPr>
                <w:rFonts w:ascii="Arial" w:eastAsia="Times New Roman" w:hAnsi="Arial" w:cs="Arial"/>
                <w:color w:val="000000"/>
                <w:sz w:val="16"/>
                <w:szCs w:val="16"/>
              </w:rPr>
              <w:t>Forward currency contracts</w:t>
            </w:r>
          </w:p>
        </w:tc>
        <w:tc>
          <w:tcPr>
            <w:tcW w:w="0" w:type="auto"/>
            <w:gridSpan w:val="2"/>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6"/>
                <w:szCs w:val="16"/>
              </w:rPr>
              <w:t>2</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6"/>
                <w:szCs w:val="16"/>
              </w:rPr>
              <w:t>2</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3"/>
            <w:shd w:val="clear" w:color="auto" w:fill="D9D9D9"/>
            <w:tcMar>
              <w:top w:w="0" w:type="dxa"/>
              <w:left w:w="20" w:type="dxa"/>
              <w:bottom w:w="0" w:type="dxa"/>
              <w:right w:w="20" w:type="dxa"/>
            </w:tcMar>
            <w:vAlign w:val="center"/>
            <w:hideMark/>
          </w:tcPr>
          <w:p w:rsidR="00000000" w:rsidRDefault="001F1FC8">
            <w:pPr>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r>
      <w:tr w:rsidR="00000000">
        <w:trPr>
          <w:divId w:val="1284460090"/>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1F1FC8">
            <w:pPr>
              <w:ind w:hanging="180"/>
              <w:divId w:val="1347564115"/>
              <w:rPr>
                <w:rFonts w:eastAsia="Times New Roman"/>
              </w:rPr>
            </w:pPr>
            <w:r>
              <w:rPr>
                <w:rFonts w:ascii="Arial" w:eastAsia="Times New Roman" w:hAnsi="Arial" w:cs="Arial"/>
                <w:color w:val="000000"/>
                <w:sz w:val="16"/>
                <w:szCs w:val="16"/>
              </w:rPr>
              <w:t>Total pension plan assets at fair value</w:t>
            </w:r>
          </w:p>
        </w:tc>
        <w:tc>
          <w:tcPr>
            <w:tcW w:w="0" w:type="auto"/>
            <w:gridSpan w:val="2"/>
            <w:tcBorders>
              <w:top w:val="single" w:sz="4" w:space="0" w:color="000000"/>
            </w:tcBorders>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6"/>
                <w:szCs w:val="16"/>
              </w:rPr>
              <w:t>637</w:t>
            </w:r>
            <w:r>
              <w:rPr>
                <w:rFonts w:ascii="Arial" w:eastAsia="Times New Roman" w:hAnsi="Arial" w:cs="Arial"/>
                <w:color w:val="000000"/>
                <w:sz w:val="16"/>
                <w:szCs w:val="16"/>
              </w:rPr>
              <w:t> </w:t>
            </w:r>
          </w:p>
        </w:tc>
        <w:tc>
          <w:tcPr>
            <w:tcW w:w="0" w:type="auto"/>
            <w:tcBorders>
              <w:top w:val="single" w:sz="4" w:space="0" w:color="000000"/>
            </w:tcBorders>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Borders>
              <w:top w:val="single" w:sz="4" w:space="0" w:color="000000"/>
            </w:tcBorders>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6"/>
                <w:szCs w:val="16"/>
              </w:rPr>
              <w:t>2,835</w:t>
            </w:r>
            <w:r>
              <w:rPr>
                <w:rFonts w:ascii="Arial" w:eastAsia="Times New Roman" w:hAnsi="Arial" w:cs="Arial"/>
                <w:color w:val="000000"/>
                <w:sz w:val="16"/>
                <w:szCs w:val="16"/>
              </w:rPr>
              <w:t> </w:t>
            </w:r>
          </w:p>
        </w:tc>
        <w:tc>
          <w:tcPr>
            <w:tcW w:w="0" w:type="auto"/>
            <w:tcBorders>
              <w:top w:val="single" w:sz="4" w:space="0" w:color="000000"/>
            </w:tcBorders>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Borders>
              <w:top w:val="single" w:sz="4" w:space="0" w:color="000000"/>
            </w:tcBorders>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6"/>
                <w:szCs w:val="16"/>
              </w:rPr>
              <w:t>1,064</w:t>
            </w:r>
            <w:r>
              <w:rPr>
                <w:rFonts w:ascii="Arial" w:eastAsia="Times New Roman" w:hAnsi="Arial" w:cs="Arial"/>
                <w:color w:val="000000"/>
                <w:sz w:val="16"/>
                <w:szCs w:val="16"/>
              </w:rPr>
              <w:t> </w:t>
            </w:r>
          </w:p>
        </w:tc>
        <w:tc>
          <w:tcPr>
            <w:tcW w:w="0" w:type="auto"/>
            <w:tcBorders>
              <w:top w:val="single" w:sz="4" w:space="0" w:color="000000"/>
            </w:tcBorders>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Borders>
              <w:top w:val="single" w:sz="4" w:space="0" w:color="000000"/>
            </w:tcBorders>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6"/>
                <w:szCs w:val="16"/>
              </w:rPr>
              <w:t>4,536</w:t>
            </w:r>
            <w:r>
              <w:rPr>
                <w:rFonts w:ascii="Arial" w:eastAsia="Times New Roman" w:hAnsi="Arial" w:cs="Arial"/>
                <w:color w:val="000000"/>
                <w:sz w:val="16"/>
                <w:szCs w:val="16"/>
              </w:rPr>
              <w:t> </w:t>
            </w:r>
          </w:p>
        </w:tc>
        <w:tc>
          <w:tcPr>
            <w:tcW w:w="0" w:type="auto"/>
            <w:tcBorders>
              <w:top w:val="single" w:sz="4" w:space="0" w:color="000000"/>
            </w:tcBorders>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3"/>
            <w:tcBorders>
              <w:top w:val="single" w:sz="4" w:space="0" w:color="000000"/>
            </w:tcBorders>
            <w:shd w:val="clear" w:color="auto" w:fill="D9D9D9"/>
            <w:tcMar>
              <w:top w:w="0" w:type="dxa"/>
              <w:left w:w="20" w:type="dxa"/>
              <w:bottom w:w="0" w:type="dxa"/>
              <w:right w:w="20" w:type="dxa"/>
            </w:tcMar>
            <w:vAlign w:val="center"/>
            <w:hideMark/>
          </w:tcPr>
          <w:p w:rsidR="00000000" w:rsidRDefault="001F1FC8">
            <w:pPr>
              <w:jc w:val="right"/>
              <w:rPr>
                <w:rFonts w:eastAsia="Times New Roman"/>
                <w:sz w:val="20"/>
                <w:szCs w:val="20"/>
              </w:rPr>
            </w:pPr>
          </w:p>
        </w:tc>
        <w:tc>
          <w:tcPr>
            <w:tcW w:w="0" w:type="auto"/>
            <w:gridSpan w:val="2"/>
            <w:tcBorders>
              <w:top w:val="single" w:sz="4" w:space="0" w:color="000000"/>
            </w:tcBorders>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6"/>
                <w:szCs w:val="16"/>
              </w:rPr>
              <w:t>10</w:t>
            </w:r>
            <w:r>
              <w:rPr>
                <w:rFonts w:ascii="Arial" w:eastAsia="Times New Roman" w:hAnsi="Arial" w:cs="Arial"/>
                <w:color w:val="000000"/>
                <w:sz w:val="16"/>
                <w:szCs w:val="16"/>
              </w:rPr>
              <w:t> </w:t>
            </w:r>
          </w:p>
        </w:tc>
        <w:tc>
          <w:tcPr>
            <w:tcW w:w="0" w:type="auto"/>
            <w:tcBorders>
              <w:top w:val="single" w:sz="4" w:space="0" w:color="000000"/>
            </w:tcBorders>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Borders>
              <w:top w:val="single" w:sz="4" w:space="0" w:color="000000"/>
            </w:tcBorders>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6"/>
                <w:szCs w:val="16"/>
              </w:rPr>
              <w:t>813</w:t>
            </w:r>
            <w:r>
              <w:rPr>
                <w:rFonts w:ascii="Arial" w:eastAsia="Times New Roman" w:hAnsi="Arial" w:cs="Arial"/>
                <w:color w:val="000000"/>
                <w:sz w:val="16"/>
                <w:szCs w:val="16"/>
              </w:rPr>
              <w:t> </w:t>
            </w:r>
          </w:p>
        </w:tc>
        <w:tc>
          <w:tcPr>
            <w:tcW w:w="0" w:type="auto"/>
            <w:tcBorders>
              <w:top w:val="single" w:sz="4" w:space="0" w:color="000000"/>
            </w:tcBorders>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Borders>
              <w:top w:val="single" w:sz="4" w:space="0" w:color="000000"/>
            </w:tcBorders>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6"/>
                <w:szCs w:val="16"/>
              </w:rPr>
              <w:t>337</w:t>
            </w:r>
            <w:r>
              <w:rPr>
                <w:rFonts w:ascii="Arial" w:eastAsia="Times New Roman" w:hAnsi="Arial" w:cs="Arial"/>
                <w:color w:val="000000"/>
                <w:sz w:val="16"/>
                <w:szCs w:val="16"/>
              </w:rPr>
              <w:t> </w:t>
            </w:r>
          </w:p>
        </w:tc>
        <w:tc>
          <w:tcPr>
            <w:tcW w:w="0" w:type="auto"/>
            <w:tcBorders>
              <w:top w:val="single" w:sz="4" w:space="0" w:color="000000"/>
            </w:tcBorders>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Borders>
              <w:top w:val="single" w:sz="4" w:space="0" w:color="000000"/>
            </w:tcBorders>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16"/>
                <w:szCs w:val="16"/>
              </w:rPr>
              <w:t>1,160</w:t>
            </w:r>
            <w:r>
              <w:rPr>
                <w:rFonts w:ascii="Arial" w:eastAsia="Times New Roman" w:hAnsi="Arial" w:cs="Arial"/>
                <w:color w:val="000000"/>
                <w:sz w:val="16"/>
                <w:szCs w:val="16"/>
              </w:rPr>
              <w:t> </w:t>
            </w:r>
          </w:p>
        </w:tc>
        <w:tc>
          <w:tcPr>
            <w:tcW w:w="0" w:type="auto"/>
            <w:tcBorders>
              <w:top w:val="single" w:sz="4" w:space="0" w:color="000000"/>
            </w:tcBorders>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r>
      <w:tr w:rsidR="00000000">
        <w:trPr>
          <w:divId w:val="1284460090"/>
        </w:trPr>
        <w:tc>
          <w:tcPr>
            <w:tcW w:w="0" w:type="auto"/>
            <w:gridSpan w:val="3"/>
            <w:tcBorders>
              <w:top w:val="single" w:sz="8" w:space="0" w:color="000000"/>
            </w:tcBorders>
            <w:tcMar>
              <w:top w:w="30" w:type="dxa"/>
              <w:left w:w="20" w:type="dxa"/>
              <w:bottom w:w="30" w:type="dxa"/>
              <w:right w:w="20" w:type="dxa"/>
            </w:tcMar>
            <w:vAlign w:val="bottom"/>
            <w:hideMark/>
          </w:tcPr>
          <w:p w:rsidR="00000000" w:rsidRDefault="001F1FC8">
            <w:pPr>
              <w:rPr>
                <w:rFonts w:eastAsia="Times New Roman"/>
              </w:rPr>
            </w:pPr>
            <w:r>
              <w:rPr>
                <w:rFonts w:ascii="Arial" w:eastAsia="Times New Roman" w:hAnsi="Arial" w:cs="Arial"/>
                <w:b/>
                <w:bCs/>
                <w:color w:val="000000"/>
                <w:sz w:val="16"/>
                <w:szCs w:val="16"/>
              </w:rPr>
              <w:t>December 31, 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1F1FC8">
            <w:pP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1F1FC8">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1F1FC8">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1F1FC8">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1F1FC8">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1F1FC8">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1F1FC8">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1F1FC8">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1F1FC8">
            <w:pPr>
              <w:rPr>
                <w:rFonts w:eastAsia="Times New Roman"/>
                <w:sz w:val="20"/>
                <w:szCs w:val="20"/>
              </w:rPr>
            </w:pPr>
          </w:p>
        </w:tc>
      </w:tr>
      <w:tr w:rsidR="00000000">
        <w:trPr>
          <w:divId w:val="1284460090"/>
        </w:trPr>
        <w:tc>
          <w:tcPr>
            <w:tcW w:w="0" w:type="auto"/>
            <w:gridSpan w:val="3"/>
            <w:tcMar>
              <w:top w:w="30" w:type="dxa"/>
              <w:left w:w="20" w:type="dxa"/>
              <w:bottom w:w="30" w:type="dxa"/>
              <w:right w:w="20" w:type="dxa"/>
            </w:tcMar>
            <w:hideMark/>
          </w:tcPr>
          <w:p w:rsidR="00000000" w:rsidRDefault="001F1FC8">
            <w:pPr>
              <w:rPr>
                <w:rFonts w:eastAsia="Times New Roman"/>
              </w:rPr>
            </w:pPr>
            <w:r>
              <w:rPr>
                <w:rFonts w:ascii="Arial" w:eastAsia="Times New Roman" w:hAnsi="Arial" w:cs="Arial"/>
                <w:color w:val="000000"/>
                <w:sz w:val="16"/>
                <w:szCs w:val="16"/>
              </w:rPr>
              <w:t>Cash and cash equivalents</w:t>
            </w: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213 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213 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1F1FC8">
            <w:pPr>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5 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5 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r>
      <w:tr w:rsidR="00000000">
        <w:trPr>
          <w:divId w:val="1284460090"/>
        </w:trPr>
        <w:tc>
          <w:tcPr>
            <w:tcW w:w="0" w:type="auto"/>
            <w:gridSpan w:val="3"/>
            <w:tcMar>
              <w:top w:w="30" w:type="dxa"/>
              <w:left w:w="20" w:type="dxa"/>
              <w:bottom w:w="30" w:type="dxa"/>
              <w:right w:w="20" w:type="dxa"/>
            </w:tcMar>
            <w:hideMark/>
          </w:tcPr>
          <w:p w:rsidR="00000000" w:rsidRDefault="001F1FC8">
            <w:pPr>
              <w:rPr>
                <w:rFonts w:eastAsia="Times New Roman"/>
              </w:rPr>
            </w:pPr>
            <w:r>
              <w:rPr>
                <w:rFonts w:ascii="Arial" w:eastAsia="Times New Roman" w:hAnsi="Arial" w:cs="Arial"/>
                <w:color w:val="000000"/>
                <w:sz w:val="16"/>
                <w:szCs w:val="16"/>
              </w:rPr>
              <w:t>Equity securities</w:t>
            </w:r>
          </w:p>
        </w:tc>
        <w:tc>
          <w:tcPr>
            <w:tcW w:w="0" w:type="auto"/>
            <w:gridSpan w:val="3"/>
            <w:tcMar>
              <w:top w:w="0" w:type="dxa"/>
              <w:left w:w="20" w:type="dxa"/>
              <w:bottom w:w="0" w:type="dxa"/>
              <w:right w:w="20" w:type="dxa"/>
            </w:tcMar>
            <w:vAlign w:val="center"/>
            <w:hideMark/>
          </w:tcPr>
          <w:p w:rsidR="00000000" w:rsidRDefault="001F1FC8">
            <w:pPr>
              <w:rPr>
                <w:rFonts w:eastAsia="Times New Roman"/>
              </w:rPr>
            </w:pPr>
          </w:p>
        </w:tc>
        <w:tc>
          <w:tcPr>
            <w:tcW w:w="0" w:type="auto"/>
            <w:gridSpan w:val="3"/>
            <w:tcMar>
              <w:top w:w="0" w:type="dxa"/>
              <w:left w:w="20" w:type="dxa"/>
              <w:bottom w:w="0" w:type="dxa"/>
              <w:right w:w="20" w:type="dxa"/>
            </w:tcMar>
            <w:vAlign w:val="center"/>
            <w:hideMark/>
          </w:tcPr>
          <w:p w:rsidR="00000000" w:rsidRDefault="001F1FC8">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1F1FC8">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1F1FC8">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1F1FC8">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1F1FC8">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1F1FC8">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1F1FC8">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1F1FC8">
            <w:pPr>
              <w:rPr>
                <w:rFonts w:eastAsia="Times New Roman"/>
                <w:sz w:val="20"/>
                <w:szCs w:val="20"/>
              </w:rPr>
            </w:pPr>
          </w:p>
        </w:tc>
      </w:tr>
      <w:tr w:rsidR="00000000">
        <w:trPr>
          <w:divId w:val="1284460090"/>
        </w:trPr>
        <w:tc>
          <w:tcPr>
            <w:tcW w:w="0" w:type="auto"/>
            <w:gridSpan w:val="3"/>
            <w:tcMar>
              <w:top w:w="30" w:type="dxa"/>
              <w:left w:w="245" w:type="dxa"/>
              <w:bottom w:w="30" w:type="dxa"/>
              <w:right w:w="20" w:type="dxa"/>
            </w:tcMar>
            <w:hideMark/>
          </w:tcPr>
          <w:p w:rsidR="00000000" w:rsidRDefault="001F1FC8">
            <w:pPr>
              <w:rPr>
                <w:rFonts w:eastAsia="Times New Roman"/>
              </w:rPr>
            </w:pPr>
            <w:r>
              <w:rPr>
                <w:rFonts w:ascii="Arial" w:eastAsia="Times New Roman" w:hAnsi="Arial" w:cs="Arial"/>
                <w:color w:val="000000"/>
                <w:sz w:val="16"/>
                <w:szCs w:val="16"/>
              </w:rPr>
              <w:t>Canada</w:t>
            </w: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178 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188 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366 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1F1FC8">
            <w:pPr>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r>
      <w:tr w:rsidR="00000000">
        <w:trPr>
          <w:divId w:val="1284460090"/>
        </w:trPr>
        <w:tc>
          <w:tcPr>
            <w:tcW w:w="0" w:type="auto"/>
            <w:gridSpan w:val="3"/>
            <w:tcMar>
              <w:top w:w="30" w:type="dxa"/>
              <w:left w:w="245" w:type="dxa"/>
              <w:bottom w:w="30" w:type="dxa"/>
              <w:right w:w="20" w:type="dxa"/>
            </w:tcMar>
            <w:hideMark/>
          </w:tcPr>
          <w:p w:rsidR="00000000" w:rsidRDefault="001F1FC8">
            <w:pPr>
              <w:rPr>
                <w:rFonts w:eastAsia="Times New Roman"/>
              </w:rPr>
            </w:pPr>
            <w:r>
              <w:rPr>
                <w:rFonts w:ascii="Arial" w:eastAsia="Times New Roman" w:hAnsi="Arial" w:cs="Arial"/>
                <w:color w:val="000000"/>
                <w:sz w:val="16"/>
                <w:szCs w:val="16"/>
              </w:rPr>
              <w:t>US</w:t>
            </w: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2 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2 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1F1FC8">
            <w:pPr>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r>
      <w:tr w:rsidR="00000000">
        <w:trPr>
          <w:divId w:val="1284460090"/>
        </w:trPr>
        <w:tc>
          <w:tcPr>
            <w:tcW w:w="0" w:type="auto"/>
            <w:gridSpan w:val="3"/>
            <w:tcMar>
              <w:top w:w="30" w:type="dxa"/>
              <w:left w:w="245" w:type="dxa"/>
              <w:bottom w:w="30" w:type="dxa"/>
              <w:right w:w="20" w:type="dxa"/>
            </w:tcMar>
            <w:hideMark/>
          </w:tcPr>
          <w:p w:rsidR="00000000" w:rsidRDefault="001F1FC8">
            <w:pPr>
              <w:rPr>
                <w:rFonts w:eastAsia="Times New Roman"/>
              </w:rPr>
            </w:pPr>
            <w:r>
              <w:rPr>
                <w:rFonts w:ascii="Arial" w:eastAsia="Times New Roman" w:hAnsi="Arial" w:cs="Arial"/>
                <w:color w:val="000000"/>
                <w:sz w:val="16"/>
                <w:szCs w:val="16"/>
              </w:rPr>
              <w:t>Global</w:t>
            </w: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1,556 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1,556 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1F1FC8">
            <w:pPr>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590 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590 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r>
      <w:tr w:rsidR="00000000">
        <w:trPr>
          <w:divId w:val="1284460090"/>
        </w:trPr>
        <w:tc>
          <w:tcPr>
            <w:tcW w:w="0" w:type="auto"/>
            <w:gridSpan w:val="3"/>
            <w:tcMar>
              <w:top w:w="30" w:type="dxa"/>
              <w:left w:w="20" w:type="dxa"/>
              <w:bottom w:w="30" w:type="dxa"/>
              <w:right w:w="20" w:type="dxa"/>
            </w:tcMar>
            <w:hideMark/>
          </w:tcPr>
          <w:p w:rsidR="00000000" w:rsidRDefault="001F1FC8">
            <w:pPr>
              <w:rPr>
                <w:rFonts w:eastAsia="Times New Roman"/>
              </w:rPr>
            </w:pPr>
            <w:r>
              <w:rPr>
                <w:rFonts w:ascii="Arial" w:eastAsia="Times New Roman" w:hAnsi="Arial" w:cs="Arial"/>
                <w:color w:val="000000"/>
                <w:sz w:val="16"/>
                <w:szCs w:val="16"/>
              </w:rPr>
              <w:t>Fixed income securities</w:t>
            </w:r>
          </w:p>
        </w:tc>
        <w:tc>
          <w:tcPr>
            <w:tcW w:w="0" w:type="auto"/>
            <w:gridSpan w:val="3"/>
            <w:tcMar>
              <w:top w:w="0" w:type="dxa"/>
              <w:left w:w="20" w:type="dxa"/>
              <w:bottom w:w="0" w:type="dxa"/>
              <w:right w:w="20" w:type="dxa"/>
            </w:tcMar>
            <w:vAlign w:val="center"/>
            <w:hideMark/>
          </w:tcPr>
          <w:p w:rsidR="00000000" w:rsidRDefault="001F1FC8">
            <w:pPr>
              <w:rPr>
                <w:rFonts w:eastAsia="Times New Roman"/>
              </w:rPr>
            </w:pPr>
          </w:p>
        </w:tc>
        <w:tc>
          <w:tcPr>
            <w:tcW w:w="0" w:type="auto"/>
            <w:gridSpan w:val="3"/>
            <w:tcMar>
              <w:top w:w="0" w:type="dxa"/>
              <w:left w:w="20" w:type="dxa"/>
              <w:bottom w:w="0" w:type="dxa"/>
              <w:right w:w="20" w:type="dxa"/>
            </w:tcMar>
            <w:vAlign w:val="center"/>
            <w:hideMark/>
          </w:tcPr>
          <w:p w:rsidR="00000000" w:rsidRDefault="001F1FC8">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1F1FC8">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1F1FC8">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1F1FC8">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1F1FC8">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1F1FC8">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1F1FC8">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1F1FC8">
            <w:pPr>
              <w:rPr>
                <w:rFonts w:eastAsia="Times New Roman"/>
                <w:sz w:val="20"/>
                <w:szCs w:val="20"/>
              </w:rPr>
            </w:pPr>
          </w:p>
        </w:tc>
      </w:tr>
      <w:tr w:rsidR="00000000">
        <w:trPr>
          <w:divId w:val="1284460090"/>
        </w:trPr>
        <w:tc>
          <w:tcPr>
            <w:tcW w:w="0" w:type="auto"/>
            <w:gridSpan w:val="3"/>
            <w:tcMar>
              <w:top w:w="30" w:type="dxa"/>
              <w:left w:w="245" w:type="dxa"/>
              <w:bottom w:w="30" w:type="dxa"/>
              <w:right w:w="20" w:type="dxa"/>
            </w:tcMar>
            <w:hideMark/>
          </w:tcPr>
          <w:p w:rsidR="00000000" w:rsidRDefault="001F1FC8">
            <w:pPr>
              <w:rPr>
                <w:rFonts w:eastAsia="Times New Roman"/>
              </w:rPr>
            </w:pPr>
            <w:r>
              <w:rPr>
                <w:rFonts w:ascii="Arial" w:eastAsia="Times New Roman" w:hAnsi="Arial" w:cs="Arial"/>
                <w:color w:val="000000"/>
                <w:sz w:val="16"/>
                <w:szCs w:val="16"/>
              </w:rPr>
              <w:t>Government</w:t>
            </w: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207 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378 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585 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1F1FC8">
            <w:pPr>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75 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75 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r>
      <w:tr w:rsidR="00000000">
        <w:trPr>
          <w:divId w:val="1284460090"/>
        </w:trPr>
        <w:tc>
          <w:tcPr>
            <w:tcW w:w="0" w:type="auto"/>
            <w:gridSpan w:val="3"/>
            <w:tcMar>
              <w:top w:w="30" w:type="dxa"/>
              <w:left w:w="245" w:type="dxa"/>
              <w:bottom w:w="30" w:type="dxa"/>
              <w:right w:w="20" w:type="dxa"/>
            </w:tcMar>
            <w:hideMark/>
          </w:tcPr>
          <w:p w:rsidR="00000000" w:rsidRDefault="001F1FC8">
            <w:pPr>
              <w:rPr>
                <w:rFonts w:eastAsia="Times New Roman"/>
              </w:rPr>
            </w:pPr>
            <w:r>
              <w:rPr>
                <w:rFonts w:ascii="Arial" w:eastAsia="Times New Roman" w:hAnsi="Arial" w:cs="Arial"/>
                <w:color w:val="000000"/>
                <w:sz w:val="16"/>
                <w:szCs w:val="16"/>
              </w:rPr>
              <w:t>Corporate</w:t>
            </w: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410 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410 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1F1FC8">
            <w:pPr>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103 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103 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r>
      <w:tr w:rsidR="00000000">
        <w:trPr>
          <w:divId w:val="1284460090"/>
        </w:trPr>
        <w:tc>
          <w:tcPr>
            <w:tcW w:w="0" w:type="auto"/>
            <w:gridSpan w:val="3"/>
            <w:tcMar>
              <w:top w:w="30" w:type="dxa"/>
              <w:left w:w="20" w:type="dxa"/>
              <w:bottom w:w="30" w:type="dxa"/>
              <w:right w:w="20" w:type="dxa"/>
            </w:tcMar>
            <w:vAlign w:val="bottom"/>
            <w:hideMark/>
          </w:tcPr>
          <w:p w:rsidR="00000000" w:rsidRDefault="001F1FC8">
            <w:pPr>
              <w:divId w:val="1130707081"/>
              <w:rPr>
                <w:rFonts w:eastAsia="Times New Roman"/>
              </w:rPr>
            </w:pPr>
            <w:r>
              <w:rPr>
                <w:rFonts w:ascii="Arial" w:eastAsia="Times New Roman" w:hAnsi="Arial" w:cs="Arial"/>
                <w:color w:val="000000"/>
                <w:sz w:val="16"/>
                <w:szCs w:val="16"/>
              </w:rPr>
              <w:t>Alternative</w:t>
            </w:r>
            <w:r>
              <w:rPr>
                <w:rFonts w:ascii="Arial" w:eastAsia="Times New Roman" w:hAnsi="Arial" w:cs="Arial"/>
                <w:color w:val="000000"/>
                <w:sz w:val="16"/>
                <w:szCs w:val="16"/>
              </w:rPr>
              <w:t>s</w:t>
            </w:r>
            <w:r>
              <w:rPr>
                <w:rFonts w:ascii="Arial" w:eastAsia="Times New Roman" w:hAnsi="Arial" w:cs="Arial"/>
                <w:color w:val="000000"/>
                <w:sz w:val="10"/>
                <w:szCs w:val="10"/>
              </w:rPr>
              <w:t>4</w:t>
            </w: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912 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912 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1F1FC8">
            <w:pPr>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289 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289 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r>
      <w:tr w:rsidR="00000000">
        <w:trPr>
          <w:divId w:val="1284460090"/>
        </w:trPr>
        <w:tc>
          <w:tcPr>
            <w:tcW w:w="0" w:type="auto"/>
            <w:gridSpan w:val="3"/>
            <w:tcMar>
              <w:top w:w="30" w:type="dxa"/>
              <w:left w:w="20" w:type="dxa"/>
              <w:bottom w:w="30" w:type="dxa"/>
              <w:right w:w="20" w:type="dxa"/>
            </w:tcMar>
            <w:hideMark/>
          </w:tcPr>
          <w:p w:rsidR="00000000" w:rsidRDefault="001F1FC8">
            <w:pPr>
              <w:rPr>
                <w:rFonts w:eastAsia="Times New Roman"/>
              </w:rPr>
            </w:pPr>
            <w:r>
              <w:rPr>
                <w:rFonts w:ascii="Arial" w:eastAsia="Times New Roman" w:hAnsi="Arial" w:cs="Arial"/>
                <w:color w:val="000000"/>
                <w:sz w:val="16"/>
                <w:szCs w:val="16"/>
              </w:rPr>
              <w:t>Forward currency contracts</w:t>
            </w: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33 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33 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1F1FC8">
            <w:pPr>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r>
      <w:tr w:rsidR="00000000">
        <w:trPr>
          <w:divId w:val="1284460090"/>
        </w:trPr>
        <w:tc>
          <w:tcPr>
            <w:tcW w:w="0" w:type="auto"/>
            <w:gridSpan w:val="3"/>
            <w:tcBorders>
              <w:top w:val="single" w:sz="4" w:space="0" w:color="000000"/>
              <w:bottom w:val="single" w:sz="8" w:space="0" w:color="000000"/>
            </w:tcBorders>
            <w:tcMar>
              <w:top w:w="30" w:type="dxa"/>
              <w:left w:w="20" w:type="dxa"/>
              <w:bottom w:w="30" w:type="dxa"/>
              <w:right w:w="20" w:type="dxa"/>
            </w:tcMar>
            <w:vAlign w:val="center"/>
            <w:hideMark/>
          </w:tcPr>
          <w:p w:rsidR="00000000" w:rsidRDefault="001F1FC8">
            <w:pPr>
              <w:ind w:hanging="180"/>
              <w:divId w:val="1874883752"/>
              <w:rPr>
                <w:rFonts w:eastAsia="Times New Roman"/>
              </w:rPr>
            </w:pPr>
            <w:r>
              <w:rPr>
                <w:rFonts w:ascii="Arial" w:eastAsia="Times New Roman" w:hAnsi="Arial" w:cs="Arial"/>
                <w:color w:val="000000"/>
                <w:sz w:val="16"/>
                <w:szCs w:val="16"/>
              </w:rPr>
              <w:t>Total pension plan assets at fair value</w:t>
            </w:r>
          </w:p>
        </w:tc>
        <w:tc>
          <w:tcPr>
            <w:tcW w:w="0" w:type="auto"/>
            <w:gridSpan w:val="2"/>
            <w:tcBorders>
              <w:top w:val="single" w:sz="4" w:space="0" w:color="000000"/>
              <w:bottom w:val="single" w:sz="8" w:space="0" w:color="000000"/>
            </w:tcBorders>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600 </w:t>
            </w:r>
          </w:p>
        </w:tc>
        <w:tc>
          <w:tcPr>
            <w:tcW w:w="0" w:type="auto"/>
            <w:tcBorders>
              <w:top w:val="single" w:sz="4" w:space="0" w:color="000000"/>
              <w:bottom w:val="single" w:sz="8" w:space="0" w:color="000000"/>
            </w:tcBorders>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Borders>
              <w:top w:val="single" w:sz="4" w:space="0" w:color="000000"/>
              <w:bottom w:val="single" w:sz="8" w:space="0" w:color="000000"/>
            </w:tcBorders>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2,565 </w:t>
            </w:r>
          </w:p>
        </w:tc>
        <w:tc>
          <w:tcPr>
            <w:tcW w:w="0" w:type="auto"/>
            <w:tcBorders>
              <w:top w:val="single" w:sz="4" w:space="0" w:color="000000"/>
              <w:bottom w:val="single" w:sz="8" w:space="0" w:color="000000"/>
            </w:tcBorders>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Borders>
              <w:top w:val="single" w:sz="4" w:space="0" w:color="000000"/>
              <w:bottom w:val="single" w:sz="8" w:space="0" w:color="000000"/>
            </w:tcBorders>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912 </w:t>
            </w:r>
          </w:p>
        </w:tc>
        <w:tc>
          <w:tcPr>
            <w:tcW w:w="0" w:type="auto"/>
            <w:tcBorders>
              <w:top w:val="single" w:sz="4" w:space="0" w:color="000000"/>
              <w:bottom w:val="single" w:sz="8" w:space="0" w:color="000000"/>
            </w:tcBorders>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Borders>
              <w:top w:val="single" w:sz="4" w:space="0" w:color="000000"/>
              <w:bottom w:val="single" w:sz="8" w:space="0" w:color="000000"/>
            </w:tcBorders>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4,077 </w:t>
            </w:r>
          </w:p>
        </w:tc>
        <w:tc>
          <w:tcPr>
            <w:tcW w:w="0" w:type="auto"/>
            <w:tcBorders>
              <w:top w:val="single" w:sz="4" w:space="0" w:color="000000"/>
              <w:bottom w:val="single" w:sz="8" w:space="0" w:color="000000"/>
            </w:tcBorders>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3"/>
            <w:tcBorders>
              <w:top w:val="single" w:sz="4" w:space="0" w:color="000000"/>
              <w:bottom w:val="single" w:sz="8" w:space="0" w:color="000000"/>
            </w:tcBorders>
            <w:tcMar>
              <w:top w:w="0" w:type="dxa"/>
              <w:left w:w="20" w:type="dxa"/>
              <w:bottom w:w="0" w:type="dxa"/>
              <w:right w:w="20" w:type="dxa"/>
            </w:tcMar>
            <w:vAlign w:val="center"/>
            <w:hideMark/>
          </w:tcPr>
          <w:p w:rsidR="00000000" w:rsidRDefault="001F1FC8">
            <w:pPr>
              <w:jc w:val="right"/>
              <w:rPr>
                <w:rFonts w:eastAsia="Times New Roman"/>
                <w:sz w:val="20"/>
                <w:szCs w:val="20"/>
              </w:rPr>
            </w:pPr>
          </w:p>
        </w:tc>
        <w:tc>
          <w:tcPr>
            <w:tcW w:w="0" w:type="auto"/>
            <w:gridSpan w:val="2"/>
            <w:tcBorders>
              <w:top w:val="single" w:sz="4" w:space="0" w:color="000000"/>
              <w:bottom w:val="single" w:sz="8" w:space="0" w:color="000000"/>
            </w:tcBorders>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5 </w:t>
            </w:r>
          </w:p>
        </w:tc>
        <w:tc>
          <w:tcPr>
            <w:tcW w:w="0" w:type="auto"/>
            <w:tcBorders>
              <w:top w:val="single" w:sz="4" w:space="0" w:color="000000"/>
              <w:bottom w:val="single" w:sz="8" w:space="0" w:color="000000"/>
            </w:tcBorders>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Borders>
              <w:top w:val="single" w:sz="4" w:space="0" w:color="000000"/>
              <w:bottom w:val="single" w:sz="8" w:space="0" w:color="000000"/>
            </w:tcBorders>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768 </w:t>
            </w:r>
          </w:p>
        </w:tc>
        <w:tc>
          <w:tcPr>
            <w:tcW w:w="0" w:type="auto"/>
            <w:tcBorders>
              <w:top w:val="single" w:sz="4" w:space="0" w:color="000000"/>
              <w:bottom w:val="single" w:sz="8" w:space="0" w:color="000000"/>
            </w:tcBorders>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Borders>
              <w:top w:val="single" w:sz="4" w:space="0" w:color="000000"/>
              <w:bottom w:val="single" w:sz="8" w:space="0" w:color="000000"/>
            </w:tcBorders>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289 </w:t>
            </w:r>
          </w:p>
        </w:tc>
        <w:tc>
          <w:tcPr>
            <w:tcW w:w="0" w:type="auto"/>
            <w:tcBorders>
              <w:top w:val="single" w:sz="4" w:space="0" w:color="000000"/>
              <w:bottom w:val="single" w:sz="8" w:space="0" w:color="000000"/>
            </w:tcBorders>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Borders>
              <w:top w:val="single" w:sz="4" w:space="0" w:color="000000"/>
              <w:bottom w:val="single" w:sz="8" w:space="0" w:color="000000"/>
            </w:tcBorders>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16"/>
                <w:szCs w:val="16"/>
              </w:rPr>
              <w:t>1,062 </w:t>
            </w:r>
          </w:p>
        </w:tc>
        <w:tc>
          <w:tcPr>
            <w:tcW w:w="0" w:type="auto"/>
            <w:tcBorders>
              <w:top w:val="single" w:sz="4" w:space="0" w:color="000000"/>
              <w:bottom w:val="single" w:sz="8" w:space="0" w:color="000000"/>
            </w:tcBorders>
            <w:tcMar>
              <w:top w:w="30" w:type="dxa"/>
              <w:left w:w="0" w:type="dxa"/>
              <w:bottom w:w="30" w:type="dxa"/>
              <w:right w:w="20" w:type="dxa"/>
            </w:tcMar>
            <w:vAlign w:val="bottom"/>
            <w:hideMark/>
          </w:tcPr>
          <w:p w:rsidR="00000000" w:rsidRDefault="001F1FC8">
            <w:pPr>
              <w:jc w:val="right"/>
              <w:rPr>
                <w:rFonts w:eastAsia="Times New Roman"/>
              </w:rPr>
            </w:pPr>
          </w:p>
        </w:tc>
      </w:tr>
    </w:tbl>
    <w:p w:rsidR="00000000" w:rsidRDefault="001F1FC8">
      <w:pPr>
        <w:ind w:hanging="180"/>
        <w:divId w:val="847402788"/>
        <w:rPr>
          <w:rFonts w:eastAsia="Times New Roman"/>
        </w:rPr>
      </w:pPr>
      <w:r>
        <w:rPr>
          <w:rFonts w:ascii="Arial" w:eastAsia="Times New Roman" w:hAnsi="Arial" w:cs="Arial"/>
          <w:i/>
          <w:iCs/>
          <w:color w:val="000000"/>
          <w:sz w:val="16"/>
          <w:szCs w:val="16"/>
        </w:rPr>
        <w:t>1Le</w:t>
      </w:r>
      <w:r>
        <w:rPr>
          <w:rFonts w:ascii="Arial" w:eastAsia="Times New Roman" w:hAnsi="Arial" w:cs="Arial"/>
          <w:i/>
          <w:iCs/>
          <w:color w:val="000000"/>
          <w:sz w:val="16"/>
          <w:szCs w:val="16"/>
        </w:rPr>
        <w:t>vel 1 assets include assets with quoted prices in active markets for identical assets.</w:t>
      </w:r>
    </w:p>
    <w:p w:rsidR="00000000" w:rsidRDefault="001F1FC8">
      <w:pPr>
        <w:ind w:hanging="180"/>
        <w:divId w:val="476921928"/>
        <w:rPr>
          <w:rFonts w:eastAsia="Times New Roman"/>
        </w:rPr>
      </w:pPr>
      <w:r>
        <w:rPr>
          <w:rFonts w:ascii="Arial" w:eastAsia="Times New Roman" w:hAnsi="Arial" w:cs="Arial"/>
          <w:i/>
          <w:iCs/>
          <w:color w:val="000000"/>
          <w:sz w:val="16"/>
          <w:szCs w:val="16"/>
        </w:rPr>
        <w:t>2Level 2 assets include assets with significant observable inputs.</w:t>
      </w:r>
    </w:p>
    <w:p w:rsidR="00000000" w:rsidRDefault="001F1FC8">
      <w:pPr>
        <w:ind w:hanging="180"/>
        <w:divId w:val="449980635"/>
        <w:rPr>
          <w:rFonts w:eastAsia="Times New Roman"/>
        </w:rPr>
      </w:pPr>
      <w:r>
        <w:rPr>
          <w:rFonts w:ascii="Arial" w:eastAsia="Times New Roman" w:hAnsi="Arial" w:cs="Arial"/>
          <w:i/>
          <w:iCs/>
          <w:color w:val="000000"/>
          <w:sz w:val="16"/>
          <w:szCs w:val="16"/>
        </w:rPr>
        <w:t>3</w:t>
      </w:r>
      <w:r>
        <w:rPr>
          <w:rFonts w:ascii="Arial" w:eastAsia="Times New Roman" w:hAnsi="Arial" w:cs="Arial"/>
          <w:i/>
          <w:iCs/>
          <w:color w:val="000000"/>
          <w:sz w:val="16"/>
          <w:szCs w:val="16"/>
        </w:rPr>
        <w:t>Level 3 assets include assets with significant unobservable inputs.</w:t>
      </w:r>
    </w:p>
    <w:p w:rsidR="00000000" w:rsidRDefault="001F1FC8">
      <w:pPr>
        <w:ind w:hanging="180"/>
        <w:divId w:val="1915504424"/>
        <w:rPr>
          <w:rFonts w:eastAsia="Times New Roman"/>
        </w:rPr>
      </w:pPr>
      <w:r>
        <w:rPr>
          <w:rFonts w:ascii="Arial" w:eastAsia="Times New Roman" w:hAnsi="Arial" w:cs="Arial"/>
          <w:i/>
          <w:iCs/>
          <w:color w:val="000000"/>
          <w:sz w:val="16"/>
          <w:szCs w:val="16"/>
        </w:rPr>
        <w:t xml:space="preserve">4Alternatives include investments in private debt, private equity, infrastructure and real estate funds. </w:t>
      </w:r>
    </w:p>
    <w:p w:rsidR="00000000" w:rsidRDefault="001F1FC8">
      <w:pPr>
        <w:divId w:val="1680306534"/>
        <w:rPr>
          <w:rFonts w:eastAsia="Times New Roman"/>
        </w:rPr>
      </w:pPr>
    </w:p>
    <w:p w:rsidR="00000000" w:rsidRDefault="001F1FC8">
      <w:pPr>
        <w:divId w:val="119887331"/>
        <w:rPr>
          <w:rFonts w:eastAsia="Times New Roman"/>
        </w:rPr>
      </w:pPr>
      <w:r>
        <w:rPr>
          <w:rFonts w:ascii="Arial" w:eastAsia="Times New Roman" w:hAnsi="Arial" w:cs="Arial"/>
          <w:color w:val="000000"/>
          <w:sz w:val="20"/>
          <w:szCs w:val="20"/>
        </w:rPr>
        <w:t>Changes in the net fair value of pension plan assets classified as Level 3 in th</w:t>
      </w:r>
      <w:r>
        <w:rPr>
          <w:rFonts w:ascii="Arial" w:eastAsia="Times New Roman" w:hAnsi="Arial" w:cs="Arial"/>
          <w:color w:val="000000"/>
          <w:sz w:val="20"/>
          <w:szCs w:val="20"/>
        </w:rPr>
        <w:t>e fair value hierarchy were as follows:</w:t>
      </w:r>
    </w:p>
    <w:tbl>
      <w:tblPr>
        <w:tblW w:w="5000" w:type="pct"/>
        <w:jc w:val="center"/>
        <w:tblCellMar>
          <w:top w:w="15" w:type="dxa"/>
          <w:left w:w="15" w:type="dxa"/>
          <w:bottom w:w="15" w:type="dxa"/>
          <w:right w:w="15" w:type="dxa"/>
        </w:tblCellMar>
        <w:tblLook w:val="04A0" w:firstRow="1" w:lastRow="0" w:firstColumn="1" w:lastColumn="0" w:noHBand="0" w:noVBand="1"/>
      </w:tblPr>
      <w:tblGrid>
        <w:gridCol w:w="65"/>
        <w:gridCol w:w="4459"/>
        <w:gridCol w:w="37"/>
        <w:gridCol w:w="65"/>
        <w:gridCol w:w="808"/>
        <w:gridCol w:w="37"/>
        <w:gridCol w:w="65"/>
        <w:gridCol w:w="808"/>
        <w:gridCol w:w="36"/>
        <w:gridCol w:w="36"/>
        <w:gridCol w:w="36"/>
        <w:gridCol w:w="36"/>
        <w:gridCol w:w="61"/>
        <w:gridCol w:w="809"/>
        <w:gridCol w:w="36"/>
        <w:gridCol w:w="66"/>
        <w:gridCol w:w="810"/>
        <w:gridCol w:w="36"/>
      </w:tblGrid>
      <w:tr w:rsidR="00000000">
        <w:trPr>
          <w:divId w:val="1104302024"/>
          <w:jc w:val="center"/>
        </w:trPr>
        <w:tc>
          <w:tcPr>
            <w:tcW w:w="50" w:type="pct"/>
            <w:vAlign w:val="center"/>
            <w:hideMark/>
          </w:tcPr>
          <w:p w:rsidR="00000000" w:rsidRDefault="001F1FC8">
            <w:pPr>
              <w:rPr>
                <w:rFonts w:eastAsia="Times New Roman"/>
              </w:rPr>
            </w:pPr>
          </w:p>
        </w:tc>
        <w:tc>
          <w:tcPr>
            <w:tcW w:w="2693"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c>
          <w:tcPr>
            <w:tcW w:w="50" w:type="pct"/>
            <w:vAlign w:val="center"/>
            <w:hideMark/>
          </w:tcPr>
          <w:p w:rsidR="00000000" w:rsidRDefault="001F1FC8">
            <w:pPr>
              <w:rPr>
                <w:rFonts w:eastAsia="Times New Roman"/>
                <w:sz w:val="20"/>
                <w:szCs w:val="20"/>
              </w:rPr>
            </w:pPr>
          </w:p>
        </w:tc>
        <w:tc>
          <w:tcPr>
            <w:tcW w:w="497"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c>
          <w:tcPr>
            <w:tcW w:w="50" w:type="pct"/>
            <w:vAlign w:val="center"/>
            <w:hideMark/>
          </w:tcPr>
          <w:p w:rsidR="00000000" w:rsidRDefault="001F1FC8">
            <w:pPr>
              <w:rPr>
                <w:rFonts w:eastAsia="Times New Roman"/>
                <w:sz w:val="20"/>
                <w:szCs w:val="20"/>
              </w:rPr>
            </w:pPr>
          </w:p>
        </w:tc>
        <w:tc>
          <w:tcPr>
            <w:tcW w:w="497"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c>
          <w:tcPr>
            <w:tcW w:w="30"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c>
          <w:tcPr>
            <w:tcW w:w="50" w:type="pct"/>
            <w:vAlign w:val="center"/>
            <w:hideMark/>
          </w:tcPr>
          <w:p w:rsidR="00000000" w:rsidRDefault="001F1FC8">
            <w:pPr>
              <w:rPr>
                <w:rFonts w:eastAsia="Times New Roman"/>
                <w:sz w:val="20"/>
                <w:szCs w:val="20"/>
              </w:rPr>
            </w:pPr>
          </w:p>
        </w:tc>
        <w:tc>
          <w:tcPr>
            <w:tcW w:w="497"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c>
          <w:tcPr>
            <w:tcW w:w="50" w:type="pct"/>
            <w:vAlign w:val="center"/>
            <w:hideMark/>
          </w:tcPr>
          <w:p w:rsidR="00000000" w:rsidRDefault="001F1FC8">
            <w:pPr>
              <w:rPr>
                <w:rFonts w:eastAsia="Times New Roman"/>
                <w:sz w:val="20"/>
                <w:szCs w:val="20"/>
              </w:rPr>
            </w:pPr>
          </w:p>
        </w:tc>
        <w:tc>
          <w:tcPr>
            <w:tcW w:w="498"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r>
      <w:tr w:rsidR="00000000">
        <w:trPr>
          <w:divId w:val="1104302024"/>
          <w:jc w:val="center"/>
        </w:trPr>
        <w:tc>
          <w:tcPr>
            <w:tcW w:w="0" w:type="auto"/>
            <w:gridSpan w:val="3"/>
            <w:tcMar>
              <w:top w:w="0" w:type="dxa"/>
              <w:left w:w="20" w:type="dxa"/>
              <w:bottom w:w="0" w:type="dxa"/>
              <w:right w:w="20" w:type="dxa"/>
            </w:tcMar>
            <w:vAlign w:val="center"/>
            <w:hideMark/>
          </w:tcPr>
          <w:p w:rsidR="00000000" w:rsidRDefault="001F1FC8">
            <w:pPr>
              <w:rPr>
                <w:rFonts w:eastAsia="Times New Roman"/>
                <w:sz w:val="20"/>
                <w:szCs w:val="20"/>
              </w:rPr>
            </w:pPr>
          </w:p>
        </w:tc>
        <w:tc>
          <w:tcPr>
            <w:tcW w:w="0" w:type="auto"/>
            <w:gridSpan w:val="6"/>
            <w:tcMar>
              <w:top w:w="30" w:type="dxa"/>
              <w:left w:w="20" w:type="dxa"/>
              <w:bottom w:w="30" w:type="dxa"/>
              <w:right w:w="20" w:type="dxa"/>
            </w:tcMar>
            <w:vAlign w:val="bottom"/>
            <w:hideMark/>
          </w:tcPr>
          <w:p w:rsidR="00000000" w:rsidRDefault="001F1FC8">
            <w:pPr>
              <w:jc w:val="center"/>
              <w:rPr>
                <w:rFonts w:eastAsia="Times New Roman"/>
              </w:rPr>
            </w:pPr>
            <w:r>
              <w:rPr>
                <w:rFonts w:ascii="Arial" w:eastAsia="Times New Roman" w:hAnsi="Arial" w:cs="Arial"/>
                <w:color w:val="000000"/>
                <w:sz w:val="20"/>
                <w:szCs w:val="20"/>
              </w:rPr>
              <w:t>Canada</w:t>
            </w:r>
          </w:p>
        </w:tc>
        <w:tc>
          <w:tcPr>
            <w:tcW w:w="0" w:type="auto"/>
            <w:gridSpan w:val="3"/>
            <w:tcMar>
              <w:top w:w="0" w:type="dxa"/>
              <w:left w:w="20" w:type="dxa"/>
              <w:bottom w:w="0" w:type="dxa"/>
              <w:right w:w="20" w:type="dxa"/>
            </w:tcMar>
            <w:vAlign w:val="center"/>
            <w:hideMark/>
          </w:tcPr>
          <w:p w:rsidR="00000000" w:rsidRDefault="001F1FC8">
            <w:pPr>
              <w:jc w:val="center"/>
              <w:rPr>
                <w:rFonts w:eastAsia="Times New Roman"/>
              </w:rPr>
            </w:pPr>
          </w:p>
        </w:tc>
        <w:tc>
          <w:tcPr>
            <w:tcW w:w="0" w:type="auto"/>
            <w:gridSpan w:val="6"/>
            <w:tcMar>
              <w:top w:w="30" w:type="dxa"/>
              <w:left w:w="20" w:type="dxa"/>
              <w:bottom w:w="30" w:type="dxa"/>
              <w:right w:w="20" w:type="dxa"/>
            </w:tcMar>
            <w:vAlign w:val="bottom"/>
            <w:hideMark/>
          </w:tcPr>
          <w:p w:rsidR="00000000" w:rsidRDefault="001F1FC8">
            <w:pPr>
              <w:jc w:val="center"/>
              <w:rPr>
                <w:rFonts w:eastAsia="Times New Roman"/>
              </w:rPr>
            </w:pPr>
            <w:r>
              <w:rPr>
                <w:rFonts w:ascii="Arial" w:eastAsia="Times New Roman" w:hAnsi="Arial" w:cs="Arial"/>
                <w:color w:val="000000"/>
                <w:sz w:val="20"/>
                <w:szCs w:val="20"/>
              </w:rPr>
              <w:t>US</w:t>
            </w:r>
          </w:p>
        </w:tc>
      </w:tr>
      <w:tr w:rsidR="00000000">
        <w:trPr>
          <w:divId w:val="1104302024"/>
          <w:jc w:val="center"/>
        </w:trPr>
        <w:tc>
          <w:tcPr>
            <w:tcW w:w="0" w:type="auto"/>
            <w:gridSpan w:val="3"/>
            <w:tcMar>
              <w:top w:w="30" w:type="dxa"/>
              <w:left w:w="20" w:type="dxa"/>
              <w:bottom w:w="30" w:type="dxa"/>
              <w:right w:w="20" w:type="dxa"/>
            </w:tcMar>
            <w:hideMark/>
          </w:tcPr>
          <w:p w:rsidR="00000000" w:rsidRDefault="001F1FC8">
            <w:pPr>
              <w:rPr>
                <w:rFonts w:eastAsia="Times New Roman"/>
              </w:rPr>
            </w:pPr>
            <w:r>
              <w:rPr>
                <w:rFonts w:ascii="Arial" w:eastAsia="Times New Roman" w:hAnsi="Arial" w:cs="Arial"/>
                <w:color w:val="000000"/>
                <w:sz w:val="20"/>
                <w:szCs w:val="20"/>
              </w:rPr>
              <w:t>December 31,</w:t>
            </w:r>
          </w:p>
        </w:tc>
        <w:tc>
          <w:tcPr>
            <w:tcW w:w="0" w:type="auto"/>
            <w:gridSpan w:val="3"/>
            <w:tcBorders>
              <w:top w:val="single" w:sz="4" w:space="0" w:color="000000"/>
            </w:tcBorders>
            <w:tcMar>
              <w:top w:w="30" w:type="dxa"/>
              <w:left w:w="20" w:type="dxa"/>
              <w:bottom w:w="30" w:type="dxa"/>
              <w:right w:w="20" w:type="dxa"/>
            </w:tcMar>
            <w:hideMark/>
          </w:tcPr>
          <w:p w:rsidR="00000000" w:rsidRDefault="001F1FC8">
            <w:pPr>
              <w:jc w:val="right"/>
              <w:rPr>
                <w:rFonts w:eastAsia="Times New Roman"/>
              </w:rPr>
            </w:pPr>
            <w:r>
              <w:rPr>
                <w:rFonts w:ascii="Arial" w:eastAsia="Times New Roman" w:hAnsi="Arial" w:cs="Arial"/>
                <w:b/>
                <w:bCs/>
                <w:color w:val="000000"/>
                <w:sz w:val="20"/>
                <w:szCs w:val="20"/>
              </w:rPr>
              <w:t>2021</w:t>
            </w:r>
          </w:p>
        </w:tc>
        <w:tc>
          <w:tcPr>
            <w:tcW w:w="0" w:type="auto"/>
            <w:gridSpan w:val="3"/>
            <w:tcBorders>
              <w:top w:val="single" w:sz="4" w:space="0" w:color="000000"/>
            </w:tcBorders>
            <w:tcMar>
              <w:top w:w="30" w:type="dxa"/>
              <w:left w:w="20" w:type="dxa"/>
              <w:bottom w:w="30" w:type="dxa"/>
              <w:right w:w="20" w:type="dxa"/>
            </w:tcMar>
            <w:hideMark/>
          </w:tcPr>
          <w:p w:rsidR="00000000" w:rsidRDefault="001F1FC8">
            <w:pPr>
              <w:jc w:val="right"/>
              <w:rPr>
                <w:rFonts w:eastAsia="Times New Roman"/>
              </w:rPr>
            </w:pPr>
            <w:r>
              <w:rPr>
                <w:rFonts w:ascii="Arial" w:eastAsia="Times New Roman" w:hAnsi="Arial" w:cs="Arial"/>
                <w:color w:val="000000"/>
                <w:sz w:val="20"/>
                <w:szCs w:val="20"/>
              </w:rPr>
              <w:t>2020</w:t>
            </w:r>
          </w:p>
        </w:tc>
        <w:tc>
          <w:tcPr>
            <w:tcW w:w="0" w:type="auto"/>
            <w:gridSpan w:val="3"/>
            <w:tcMar>
              <w:top w:w="0" w:type="dxa"/>
              <w:left w:w="20" w:type="dxa"/>
              <w:bottom w:w="0" w:type="dxa"/>
              <w:right w:w="20" w:type="dxa"/>
            </w:tcMar>
            <w:vAlign w:val="center"/>
            <w:hideMark/>
          </w:tcPr>
          <w:p w:rsidR="00000000" w:rsidRDefault="001F1FC8">
            <w:pPr>
              <w:jc w:val="right"/>
              <w:rPr>
                <w:rFonts w:eastAsia="Times New Roman"/>
              </w:rPr>
            </w:pPr>
          </w:p>
        </w:tc>
        <w:tc>
          <w:tcPr>
            <w:tcW w:w="0" w:type="auto"/>
            <w:gridSpan w:val="3"/>
            <w:tcBorders>
              <w:top w:val="single" w:sz="4" w:space="0" w:color="000000"/>
            </w:tcBorders>
            <w:tcMar>
              <w:top w:w="30" w:type="dxa"/>
              <w:left w:w="20" w:type="dxa"/>
              <w:bottom w:w="30" w:type="dxa"/>
              <w:right w:w="20" w:type="dxa"/>
            </w:tcMar>
            <w:hideMark/>
          </w:tcPr>
          <w:p w:rsidR="00000000" w:rsidRDefault="001F1FC8">
            <w:pPr>
              <w:jc w:val="right"/>
              <w:rPr>
                <w:rFonts w:eastAsia="Times New Roman"/>
              </w:rPr>
            </w:pPr>
            <w:r>
              <w:rPr>
                <w:rFonts w:ascii="Arial" w:eastAsia="Times New Roman" w:hAnsi="Arial" w:cs="Arial"/>
                <w:b/>
                <w:bCs/>
                <w:color w:val="000000"/>
                <w:sz w:val="20"/>
                <w:szCs w:val="20"/>
              </w:rPr>
              <w:t>2021</w:t>
            </w:r>
          </w:p>
        </w:tc>
        <w:tc>
          <w:tcPr>
            <w:tcW w:w="0" w:type="auto"/>
            <w:gridSpan w:val="3"/>
            <w:tcBorders>
              <w:top w:val="single" w:sz="4" w:space="0" w:color="000000"/>
            </w:tcBorders>
            <w:tcMar>
              <w:top w:w="30" w:type="dxa"/>
              <w:left w:w="20" w:type="dxa"/>
              <w:bottom w:w="30" w:type="dxa"/>
              <w:right w:w="20" w:type="dxa"/>
            </w:tcMar>
            <w:hideMark/>
          </w:tcPr>
          <w:p w:rsidR="00000000" w:rsidRDefault="001F1FC8">
            <w:pPr>
              <w:jc w:val="right"/>
              <w:rPr>
                <w:rFonts w:eastAsia="Times New Roman"/>
              </w:rPr>
            </w:pPr>
            <w:r>
              <w:rPr>
                <w:rFonts w:ascii="Arial" w:eastAsia="Times New Roman" w:hAnsi="Arial" w:cs="Arial"/>
                <w:color w:val="000000"/>
                <w:sz w:val="20"/>
                <w:szCs w:val="20"/>
              </w:rPr>
              <w:t>2020</w:t>
            </w:r>
          </w:p>
        </w:tc>
      </w:tr>
      <w:tr w:rsidR="00000000">
        <w:trPr>
          <w:divId w:val="1104302024"/>
          <w:jc w:val="center"/>
        </w:trPr>
        <w:tc>
          <w:tcPr>
            <w:tcW w:w="0" w:type="auto"/>
            <w:gridSpan w:val="3"/>
            <w:tcBorders>
              <w:top w:val="single" w:sz="4" w:space="0" w:color="000000"/>
            </w:tcBorders>
            <w:tcMar>
              <w:top w:w="30" w:type="dxa"/>
              <w:left w:w="20" w:type="dxa"/>
              <w:bottom w:w="30" w:type="dxa"/>
              <w:right w:w="20" w:type="dxa"/>
            </w:tcMar>
            <w:hideMark/>
          </w:tcPr>
          <w:p w:rsidR="00000000" w:rsidRDefault="001F1FC8">
            <w:pPr>
              <w:rPr>
                <w:rFonts w:eastAsia="Times New Roman"/>
              </w:rPr>
            </w:pPr>
            <w:r>
              <w:rPr>
                <w:rFonts w:ascii="Arial" w:eastAsia="Times New Roman" w:hAnsi="Arial" w:cs="Arial"/>
                <w:i/>
                <w:iCs/>
                <w:color w:val="000000"/>
                <w:sz w:val="16"/>
                <w:szCs w:val="16"/>
              </w:rPr>
              <w:t>(millions of Canadian dollars)</w:t>
            </w:r>
          </w:p>
        </w:tc>
        <w:tc>
          <w:tcPr>
            <w:tcW w:w="0" w:type="auto"/>
            <w:gridSpan w:val="3"/>
            <w:tcBorders>
              <w:top w:val="single" w:sz="4" w:space="0" w:color="000000"/>
            </w:tcBorders>
            <w:shd w:val="clear" w:color="auto" w:fill="D9D9D9"/>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2"/>
                <w:szCs w:val="2"/>
              </w:rPr>
              <w:t> </w:t>
            </w: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2"/>
                <w:szCs w:val="2"/>
              </w:rPr>
              <w:t> </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1F1FC8">
            <w:pPr>
              <w:jc w:val="right"/>
              <w:rPr>
                <w:rFonts w:eastAsia="Times New Roman"/>
              </w:rPr>
            </w:pPr>
          </w:p>
        </w:tc>
        <w:tc>
          <w:tcPr>
            <w:tcW w:w="0" w:type="auto"/>
            <w:gridSpan w:val="3"/>
            <w:tcBorders>
              <w:top w:val="single" w:sz="4" w:space="0" w:color="000000"/>
            </w:tcBorders>
            <w:shd w:val="clear" w:color="auto" w:fill="D9D9D9"/>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2"/>
                <w:szCs w:val="2"/>
              </w:rPr>
              <w:t> </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1F1FC8">
            <w:pPr>
              <w:jc w:val="right"/>
              <w:rPr>
                <w:rFonts w:eastAsia="Times New Roman"/>
              </w:rPr>
            </w:pPr>
          </w:p>
        </w:tc>
      </w:tr>
      <w:tr w:rsidR="00000000">
        <w:trPr>
          <w:divId w:val="1104302024"/>
          <w:jc w:val="center"/>
        </w:trPr>
        <w:tc>
          <w:tcPr>
            <w:tcW w:w="0" w:type="auto"/>
            <w:gridSpan w:val="3"/>
            <w:tcMar>
              <w:top w:w="30" w:type="dxa"/>
              <w:left w:w="20" w:type="dxa"/>
              <w:bottom w:w="30" w:type="dxa"/>
              <w:right w:w="20" w:type="dxa"/>
            </w:tcMar>
            <w:hideMark/>
          </w:tcPr>
          <w:p w:rsidR="00000000" w:rsidRDefault="001F1FC8">
            <w:pPr>
              <w:rPr>
                <w:rFonts w:eastAsia="Times New Roman"/>
              </w:rPr>
            </w:pPr>
            <w:r>
              <w:rPr>
                <w:rFonts w:ascii="Arial" w:eastAsia="Times New Roman" w:hAnsi="Arial" w:cs="Arial"/>
                <w:color w:val="000000"/>
                <w:sz w:val="20"/>
                <w:szCs w:val="20"/>
              </w:rPr>
              <w:t>Balance at beginning of year</w:t>
            </w:r>
          </w:p>
        </w:tc>
        <w:tc>
          <w:tcPr>
            <w:tcW w:w="0" w:type="auto"/>
            <w:gridSpan w:val="2"/>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20"/>
                <w:szCs w:val="20"/>
              </w:rPr>
              <w:t>912</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852 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1F1FC8">
            <w:pPr>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20"/>
                <w:szCs w:val="20"/>
              </w:rPr>
              <w:t>289</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276 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r>
      <w:tr w:rsidR="00000000">
        <w:trPr>
          <w:divId w:val="1104302024"/>
          <w:jc w:val="center"/>
        </w:trPr>
        <w:tc>
          <w:tcPr>
            <w:tcW w:w="0" w:type="auto"/>
            <w:gridSpan w:val="3"/>
            <w:tcMar>
              <w:top w:w="30" w:type="dxa"/>
              <w:left w:w="20" w:type="dxa"/>
              <w:bottom w:w="30" w:type="dxa"/>
              <w:right w:w="20" w:type="dxa"/>
            </w:tcMar>
            <w:hideMark/>
          </w:tcPr>
          <w:p w:rsidR="00000000" w:rsidRDefault="001F1FC8">
            <w:pPr>
              <w:rPr>
                <w:rFonts w:eastAsia="Times New Roman"/>
              </w:rPr>
            </w:pPr>
            <w:r>
              <w:rPr>
                <w:rFonts w:ascii="Arial" w:eastAsia="Times New Roman" w:hAnsi="Arial" w:cs="Arial"/>
                <w:color w:val="000000"/>
                <w:sz w:val="20"/>
                <w:szCs w:val="20"/>
              </w:rPr>
              <w:t>Unrealized and realized gains/(losses)</w:t>
            </w:r>
          </w:p>
        </w:tc>
        <w:tc>
          <w:tcPr>
            <w:tcW w:w="0" w:type="auto"/>
            <w:gridSpan w:val="2"/>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20"/>
                <w:szCs w:val="20"/>
              </w:rPr>
              <w:t>77</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(27)</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1F1FC8">
            <w:pPr>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20"/>
                <w:szCs w:val="20"/>
              </w:rPr>
              <w:t>38</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7 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r>
      <w:tr w:rsidR="00000000">
        <w:trPr>
          <w:divId w:val="1104302024"/>
          <w:jc w:val="center"/>
        </w:trPr>
        <w:tc>
          <w:tcPr>
            <w:tcW w:w="0" w:type="auto"/>
            <w:gridSpan w:val="3"/>
            <w:tcMar>
              <w:top w:w="30" w:type="dxa"/>
              <w:left w:w="20" w:type="dxa"/>
              <w:bottom w:w="30" w:type="dxa"/>
              <w:right w:w="20" w:type="dxa"/>
            </w:tcMar>
            <w:hideMark/>
          </w:tcPr>
          <w:p w:rsidR="00000000" w:rsidRDefault="001F1FC8">
            <w:pPr>
              <w:rPr>
                <w:rFonts w:eastAsia="Times New Roman"/>
              </w:rPr>
            </w:pPr>
            <w:r>
              <w:rPr>
                <w:rFonts w:ascii="Arial" w:eastAsia="Times New Roman" w:hAnsi="Arial" w:cs="Arial"/>
                <w:color w:val="000000"/>
                <w:sz w:val="20"/>
                <w:szCs w:val="20"/>
              </w:rPr>
              <w:t>Purchases and settlements, net</w:t>
            </w:r>
          </w:p>
        </w:tc>
        <w:tc>
          <w:tcPr>
            <w:tcW w:w="0" w:type="auto"/>
            <w:gridSpan w:val="2"/>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20"/>
                <w:szCs w:val="20"/>
              </w:rPr>
              <w:t>75</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87 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1F1FC8">
            <w:pPr>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20"/>
                <w:szCs w:val="20"/>
              </w:rPr>
              <w:t>10</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6 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r>
      <w:tr w:rsidR="00000000">
        <w:trPr>
          <w:divId w:val="1104302024"/>
          <w:jc w:val="center"/>
        </w:trPr>
        <w:tc>
          <w:tcPr>
            <w:tcW w:w="0" w:type="auto"/>
            <w:gridSpan w:val="3"/>
            <w:tcBorders>
              <w:top w:val="single" w:sz="4" w:space="0" w:color="000000"/>
              <w:bottom w:val="single" w:sz="8" w:space="0" w:color="000000"/>
            </w:tcBorders>
            <w:tcMar>
              <w:top w:w="30" w:type="dxa"/>
              <w:left w:w="20" w:type="dxa"/>
              <w:bottom w:w="30" w:type="dxa"/>
              <w:right w:w="20" w:type="dxa"/>
            </w:tcMar>
            <w:hideMark/>
          </w:tcPr>
          <w:p w:rsidR="00000000" w:rsidRDefault="001F1FC8">
            <w:pPr>
              <w:rPr>
                <w:rFonts w:eastAsia="Times New Roman"/>
              </w:rPr>
            </w:pPr>
            <w:r>
              <w:rPr>
                <w:rFonts w:ascii="Arial" w:eastAsia="Times New Roman" w:hAnsi="Arial" w:cs="Arial"/>
                <w:color w:val="000000"/>
                <w:sz w:val="20"/>
                <w:szCs w:val="20"/>
              </w:rPr>
              <w:t>Balance at end of year</w:t>
            </w:r>
          </w:p>
        </w:tc>
        <w:tc>
          <w:tcPr>
            <w:tcW w:w="0" w:type="auto"/>
            <w:gridSpan w:val="2"/>
            <w:tcBorders>
              <w:top w:val="single" w:sz="4" w:space="0" w:color="000000"/>
              <w:bottom w:val="single" w:sz="8" w:space="0" w:color="000000"/>
            </w:tcBorders>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20"/>
                <w:szCs w:val="20"/>
              </w:rPr>
              <w:t>1,064</w:t>
            </w:r>
            <w:r>
              <w:rPr>
                <w:rFonts w:ascii="Arial" w:eastAsia="Times New Roman" w:hAnsi="Arial" w:cs="Arial"/>
                <w:color w:val="000000"/>
                <w:sz w:val="20"/>
                <w:szCs w:val="20"/>
              </w:rPr>
              <w:t> </w:t>
            </w:r>
          </w:p>
        </w:tc>
        <w:tc>
          <w:tcPr>
            <w:tcW w:w="0" w:type="auto"/>
            <w:tcBorders>
              <w:top w:val="single" w:sz="4" w:space="0" w:color="000000"/>
              <w:bottom w:val="single" w:sz="8" w:space="0" w:color="000000"/>
            </w:tcBorders>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Borders>
              <w:top w:val="single" w:sz="4" w:space="0" w:color="000000"/>
              <w:bottom w:val="single" w:sz="8" w:space="0" w:color="000000"/>
            </w:tcBorders>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912 </w:t>
            </w:r>
          </w:p>
        </w:tc>
        <w:tc>
          <w:tcPr>
            <w:tcW w:w="0" w:type="auto"/>
            <w:tcBorders>
              <w:top w:val="single" w:sz="4" w:space="0" w:color="000000"/>
              <w:bottom w:val="single" w:sz="8" w:space="0" w:color="000000"/>
            </w:tcBorders>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3"/>
            <w:tcBorders>
              <w:top w:val="single" w:sz="4" w:space="0" w:color="000000"/>
              <w:bottom w:val="single" w:sz="8" w:space="0" w:color="000000"/>
            </w:tcBorders>
            <w:tcMar>
              <w:top w:w="0" w:type="dxa"/>
              <w:left w:w="20" w:type="dxa"/>
              <w:bottom w:w="0" w:type="dxa"/>
              <w:right w:w="20" w:type="dxa"/>
            </w:tcMar>
            <w:vAlign w:val="center"/>
            <w:hideMark/>
          </w:tcPr>
          <w:p w:rsidR="00000000" w:rsidRDefault="001F1FC8">
            <w:pPr>
              <w:jc w:val="right"/>
              <w:rPr>
                <w:rFonts w:eastAsia="Times New Roman"/>
                <w:sz w:val="20"/>
                <w:szCs w:val="20"/>
              </w:rPr>
            </w:pPr>
          </w:p>
        </w:tc>
        <w:tc>
          <w:tcPr>
            <w:tcW w:w="0" w:type="auto"/>
            <w:gridSpan w:val="2"/>
            <w:tcBorders>
              <w:top w:val="single" w:sz="4" w:space="0" w:color="000000"/>
              <w:bottom w:val="single" w:sz="8" w:space="0" w:color="000000"/>
            </w:tcBorders>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20"/>
                <w:szCs w:val="20"/>
              </w:rPr>
              <w:t>337</w:t>
            </w:r>
            <w:r>
              <w:rPr>
                <w:rFonts w:ascii="Arial" w:eastAsia="Times New Roman" w:hAnsi="Arial" w:cs="Arial"/>
                <w:color w:val="000000"/>
                <w:sz w:val="20"/>
                <w:szCs w:val="20"/>
              </w:rPr>
              <w:t> </w:t>
            </w:r>
          </w:p>
        </w:tc>
        <w:tc>
          <w:tcPr>
            <w:tcW w:w="0" w:type="auto"/>
            <w:tcBorders>
              <w:top w:val="single" w:sz="4" w:space="0" w:color="000000"/>
              <w:bottom w:val="single" w:sz="8" w:space="0" w:color="000000"/>
            </w:tcBorders>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Borders>
              <w:top w:val="single" w:sz="4" w:space="0" w:color="000000"/>
              <w:bottom w:val="single" w:sz="8" w:space="0" w:color="000000"/>
            </w:tcBorders>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289 </w:t>
            </w:r>
          </w:p>
        </w:tc>
        <w:tc>
          <w:tcPr>
            <w:tcW w:w="0" w:type="auto"/>
            <w:tcBorders>
              <w:top w:val="single" w:sz="4" w:space="0" w:color="000000"/>
              <w:bottom w:val="single" w:sz="8" w:space="0" w:color="000000"/>
            </w:tcBorders>
            <w:tcMar>
              <w:top w:w="30" w:type="dxa"/>
              <w:left w:w="0" w:type="dxa"/>
              <w:bottom w:w="30" w:type="dxa"/>
              <w:right w:w="20" w:type="dxa"/>
            </w:tcMar>
            <w:vAlign w:val="bottom"/>
            <w:hideMark/>
          </w:tcPr>
          <w:p w:rsidR="00000000" w:rsidRDefault="001F1FC8">
            <w:pPr>
              <w:jc w:val="right"/>
              <w:rPr>
                <w:rFonts w:eastAsia="Times New Roman"/>
              </w:rPr>
            </w:pPr>
          </w:p>
        </w:tc>
      </w:tr>
    </w:tbl>
    <w:p w:rsidR="00000000" w:rsidRDefault="001F1FC8">
      <w:pPr>
        <w:divId w:val="1413887988"/>
        <w:rPr>
          <w:rFonts w:eastAsia="Times New Roman"/>
        </w:rPr>
      </w:pPr>
    </w:p>
    <w:p w:rsidR="00000000" w:rsidRDefault="001F1FC8">
      <w:pPr>
        <w:jc w:val="center"/>
        <w:divId w:val="565533386"/>
        <w:rPr>
          <w:rFonts w:eastAsia="Times New Roman"/>
        </w:rPr>
      </w:pPr>
      <w:r>
        <w:rPr>
          <w:rFonts w:ascii="Arial" w:eastAsia="Times New Roman" w:hAnsi="Arial" w:cs="Arial"/>
          <w:color w:val="000000"/>
          <w:sz w:val="20"/>
          <w:szCs w:val="20"/>
        </w:rPr>
        <w:t>171</w:t>
      </w:r>
    </w:p>
    <w:p w:rsidR="00000000" w:rsidRDefault="001F1FC8">
      <w:pPr>
        <w:rPr>
          <w:rFonts w:eastAsia="Times New Roman"/>
        </w:rPr>
      </w:pPr>
      <w:r>
        <w:rPr>
          <w:rFonts w:eastAsia="Times New Roman"/>
        </w:rPr>
        <w:pict>
          <v:rect id="_x0000_i1201" style="width:0;height:1.5pt" o:hralign="center" o:hrstd="t" o:hr="t" fillcolor="#a0a0a0" stroked="f"/>
        </w:pict>
      </w:r>
    </w:p>
    <w:p w:rsidR="00000000" w:rsidRDefault="001F1FC8">
      <w:pPr>
        <w:jc w:val="center"/>
        <w:divId w:val="1522620040"/>
        <w:rPr>
          <w:rFonts w:eastAsia="Times New Roman"/>
        </w:rPr>
      </w:pPr>
    </w:p>
    <w:p w:rsidR="00000000" w:rsidRDefault="001F1FC8">
      <w:pPr>
        <w:divId w:val="885606323"/>
        <w:rPr>
          <w:rFonts w:eastAsia="Times New Roman"/>
        </w:rPr>
      </w:pPr>
      <w:r>
        <w:rPr>
          <w:rFonts w:ascii="Arial" w:eastAsia="Times New Roman" w:hAnsi="Arial" w:cs="Arial"/>
          <w:b/>
          <w:bCs/>
          <w:color w:val="000000"/>
          <w:sz w:val="20"/>
          <w:szCs w:val="20"/>
        </w:rPr>
        <w:t>OPEB Plans</w:t>
      </w:r>
    </w:p>
    <w:p w:rsidR="00000000" w:rsidRDefault="001F1FC8">
      <w:pPr>
        <w:divId w:val="803236203"/>
        <w:rPr>
          <w:rFonts w:eastAsia="Times New Roman"/>
        </w:rPr>
      </w:pPr>
      <w:r>
        <w:rPr>
          <w:rFonts w:ascii="Arial" w:eastAsia="Times New Roman" w:hAnsi="Arial" w:cs="Arial"/>
          <w:color w:val="000000"/>
          <w:sz w:val="20"/>
          <w:szCs w:val="20"/>
        </w:rPr>
        <w:t>The following table summarizes the fair value of plan assets for our US funded OPEB plans recorded at each fair value hierarchy level:</w:t>
      </w:r>
    </w:p>
    <w:tbl>
      <w:tblPr>
        <w:tblW w:w="5000" w:type="pct"/>
        <w:tblCellMar>
          <w:top w:w="15" w:type="dxa"/>
          <w:left w:w="15" w:type="dxa"/>
          <w:bottom w:w="15" w:type="dxa"/>
          <w:right w:w="15" w:type="dxa"/>
        </w:tblCellMar>
        <w:tblLook w:val="04A0" w:firstRow="1" w:lastRow="0" w:firstColumn="1" w:lastColumn="0" w:noHBand="0" w:noVBand="1"/>
      </w:tblPr>
      <w:tblGrid>
        <w:gridCol w:w="65"/>
        <w:gridCol w:w="4351"/>
        <w:gridCol w:w="38"/>
        <w:gridCol w:w="36"/>
        <w:gridCol w:w="36"/>
        <w:gridCol w:w="36"/>
        <w:gridCol w:w="36"/>
        <w:gridCol w:w="36"/>
        <w:gridCol w:w="36"/>
        <w:gridCol w:w="36"/>
        <w:gridCol w:w="36"/>
        <w:gridCol w:w="36"/>
        <w:gridCol w:w="65"/>
        <w:gridCol w:w="779"/>
        <w:gridCol w:w="36"/>
        <w:gridCol w:w="66"/>
        <w:gridCol w:w="780"/>
        <w:gridCol w:w="36"/>
        <w:gridCol w:w="66"/>
        <w:gridCol w:w="780"/>
        <w:gridCol w:w="36"/>
        <w:gridCol w:w="66"/>
        <w:gridCol w:w="782"/>
        <w:gridCol w:w="36"/>
      </w:tblGrid>
      <w:tr w:rsidR="00000000">
        <w:trPr>
          <w:divId w:val="1406878704"/>
        </w:trPr>
        <w:tc>
          <w:tcPr>
            <w:tcW w:w="50" w:type="pct"/>
            <w:vAlign w:val="center"/>
            <w:hideMark/>
          </w:tcPr>
          <w:p w:rsidR="00000000" w:rsidRDefault="001F1FC8">
            <w:pPr>
              <w:rPr>
                <w:rFonts w:eastAsia="Times New Roman"/>
              </w:rPr>
            </w:pPr>
          </w:p>
        </w:tc>
        <w:tc>
          <w:tcPr>
            <w:tcW w:w="2733"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c>
          <w:tcPr>
            <w:tcW w:w="0" w:type="auto"/>
            <w:vAlign w:val="center"/>
            <w:hideMark/>
          </w:tcPr>
          <w:p w:rsidR="00000000" w:rsidRDefault="001F1FC8">
            <w:pPr>
              <w:rPr>
                <w:rFonts w:eastAsia="Times New Roman"/>
                <w:sz w:val="20"/>
                <w:szCs w:val="20"/>
              </w:rPr>
            </w:pPr>
          </w:p>
        </w:tc>
        <w:tc>
          <w:tcPr>
            <w:tcW w:w="0" w:type="auto"/>
            <w:vAlign w:val="center"/>
            <w:hideMark/>
          </w:tcPr>
          <w:p w:rsidR="00000000" w:rsidRDefault="001F1FC8">
            <w:pPr>
              <w:rPr>
                <w:rFonts w:eastAsia="Times New Roman"/>
                <w:sz w:val="20"/>
                <w:szCs w:val="20"/>
              </w:rPr>
            </w:pPr>
          </w:p>
        </w:tc>
        <w:tc>
          <w:tcPr>
            <w:tcW w:w="0" w:type="auto"/>
            <w:vAlign w:val="center"/>
            <w:hideMark/>
          </w:tcPr>
          <w:p w:rsidR="00000000" w:rsidRDefault="001F1FC8">
            <w:pPr>
              <w:rPr>
                <w:rFonts w:eastAsia="Times New Roman"/>
                <w:sz w:val="20"/>
                <w:szCs w:val="20"/>
              </w:rPr>
            </w:pPr>
          </w:p>
        </w:tc>
        <w:tc>
          <w:tcPr>
            <w:tcW w:w="0" w:type="auto"/>
            <w:gridSpan w:val="3"/>
            <w:vAlign w:val="center"/>
            <w:hideMark/>
          </w:tcPr>
          <w:p w:rsidR="00000000" w:rsidRDefault="001F1FC8">
            <w:pPr>
              <w:rPr>
                <w:rFonts w:eastAsia="Times New Roman"/>
                <w:sz w:val="20"/>
                <w:szCs w:val="20"/>
              </w:rPr>
            </w:pPr>
          </w:p>
        </w:tc>
        <w:tc>
          <w:tcPr>
            <w:tcW w:w="0" w:type="auto"/>
            <w:gridSpan w:val="3"/>
            <w:vAlign w:val="center"/>
            <w:hideMark/>
          </w:tcPr>
          <w:p w:rsidR="00000000" w:rsidRDefault="001F1FC8">
            <w:pPr>
              <w:rPr>
                <w:rFonts w:eastAsia="Times New Roman"/>
                <w:sz w:val="20"/>
                <w:szCs w:val="20"/>
              </w:rPr>
            </w:pPr>
          </w:p>
        </w:tc>
        <w:tc>
          <w:tcPr>
            <w:tcW w:w="50" w:type="pct"/>
            <w:vAlign w:val="center"/>
            <w:hideMark/>
          </w:tcPr>
          <w:p w:rsidR="00000000" w:rsidRDefault="001F1FC8">
            <w:pPr>
              <w:rPr>
                <w:rFonts w:eastAsia="Times New Roman"/>
                <w:sz w:val="20"/>
                <w:szCs w:val="20"/>
              </w:rPr>
            </w:pPr>
          </w:p>
        </w:tc>
        <w:tc>
          <w:tcPr>
            <w:tcW w:w="497"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c>
          <w:tcPr>
            <w:tcW w:w="50" w:type="pct"/>
            <w:vAlign w:val="center"/>
            <w:hideMark/>
          </w:tcPr>
          <w:p w:rsidR="00000000" w:rsidRDefault="001F1FC8">
            <w:pPr>
              <w:rPr>
                <w:rFonts w:eastAsia="Times New Roman"/>
                <w:sz w:val="20"/>
                <w:szCs w:val="20"/>
              </w:rPr>
            </w:pPr>
          </w:p>
        </w:tc>
        <w:tc>
          <w:tcPr>
            <w:tcW w:w="497"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c>
          <w:tcPr>
            <w:tcW w:w="50" w:type="pct"/>
            <w:vAlign w:val="center"/>
            <w:hideMark/>
          </w:tcPr>
          <w:p w:rsidR="00000000" w:rsidRDefault="001F1FC8">
            <w:pPr>
              <w:rPr>
                <w:rFonts w:eastAsia="Times New Roman"/>
                <w:sz w:val="20"/>
                <w:szCs w:val="20"/>
              </w:rPr>
            </w:pPr>
          </w:p>
        </w:tc>
        <w:tc>
          <w:tcPr>
            <w:tcW w:w="497"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c>
          <w:tcPr>
            <w:tcW w:w="50" w:type="pct"/>
            <w:vAlign w:val="center"/>
            <w:hideMark/>
          </w:tcPr>
          <w:p w:rsidR="00000000" w:rsidRDefault="001F1FC8">
            <w:pPr>
              <w:rPr>
                <w:rFonts w:eastAsia="Times New Roman"/>
                <w:sz w:val="20"/>
                <w:szCs w:val="20"/>
              </w:rPr>
            </w:pPr>
          </w:p>
        </w:tc>
        <w:tc>
          <w:tcPr>
            <w:tcW w:w="498"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r>
      <w:tr w:rsidR="00000000">
        <w:trPr>
          <w:divId w:val="1406878704"/>
        </w:trPr>
        <w:tc>
          <w:tcPr>
            <w:tcW w:w="0" w:type="auto"/>
            <w:gridSpan w:val="3"/>
            <w:vAlign w:val="center"/>
            <w:hideMark/>
          </w:tcPr>
          <w:p w:rsidR="00000000" w:rsidRDefault="001F1FC8">
            <w:pPr>
              <w:rPr>
                <w:rFonts w:eastAsia="Times New Roman"/>
                <w:sz w:val="20"/>
                <w:szCs w:val="20"/>
              </w:rPr>
            </w:pPr>
          </w:p>
        </w:tc>
        <w:tc>
          <w:tcPr>
            <w:tcW w:w="0" w:type="auto"/>
            <w:vAlign w:val="center"/>
            <w:hideMark/>
          </w:tcPr>
          <w:p w:rsidR="00000000" w:rsidRDefault="001F1FC8">
            <w:pPr>
              <w:rPr>
                <w:rFonts w:eastAsia="Times New Roman"/>
                <w:sz w:val="20"/>
                <w:szCs w:val="20"/>
              </w:rPr>
            </w:pPr>
          </w:p>
        </w:tc>
        <w:tc>
          <w:tcPr>
            <w:tcW w:w="0" w:type="auto"/>
            <w:vAlign w:val="center"/>
            <w:hideMark/>
          </w:tcPr>
          <w:p w:rsidR="00000000" w:rsidRDefault="001F1FC8">
            <w:pPr>
              <w:rPr>
                <w:rFonts w:eastAsia="Times New Roman"/>
                <w:sz w:val="20"/>
                <w:szCs w:val="20"/>
              </w:rPr>
            </w:pPr>
          </w:p>
        </w:tc>
        <w:tc>
          <w:tcPr>
            <w:tcW w:w="0" w:type="auto"/>
            <w:vAlign w:val="center"/>
            <w:hideMark/>
          </w:tcPr>
          <w:p w:rsidR="00000000" w:rsidRDefault="001F1FC8">
            <w:pPr>
              <w:rPr>
                <w:rFonts w:eastAsia="Times New Roman"/>
                <w:sz w:val="20"/>
                <w:szCs w:val="20"/>
              </w:rPr>
            </w:pPr>
          </w:p>
        </w:tc>
        <w:tc>
          <w:tcPr>
            <w:tcW w:w="0" w:type="auto"/>
            <w:vAlign w:val="center"/>
            <w:hideMark/>
          </w:tcPr>
          <w:p w:rsidR="00000000" w:rsidRDefault="001F1FC8">
            <w:pPr>
              <w:rPr>
                <w:rFonts w:eastAsia="Times New Roman"/>
                <w:sz w:val="20"/>
                <w:szCs w:val="20"/>
              </w:rPr>
            </w:pPr>
          </w:p>
        </w:tc>
        <w:tc>
          <w:tcPr>
            <w:tcW w:w="0" w:type="auto"/>
            <w:vAlign w:val="center"/>
            <w:hideMark/>
          </w:tcPr>
          <w:p w:rsidR="00000000" w:rsidRDefault="001F1FC8">
            <w:pPr>
              <w:rPr>
                <w:rFonts w:eastAsia="Times New Roman"/>
                <w:sz w:val="20"/>
                <w:szCs w:val="20"/>
              </w:rPr>
            </w:pPr>
          </w:p>
        </w:tc>
        <w:tc>
          <w:tcPr>
            <w:tcW w:w="0" w:type="auto"/>
            <w:vAlign w:val="center"/>
            <w:hideMark/>
          </w:tcPr>
          <w:p w:rsidR="00000000" w:rsidRDefault="001F1FC8">
            <w:pPr>
              <w:rPr>
                <w:rFonts w:eastAsia="Times New Roman"/>
                <w:sz w:val="20"/>
                <w:szCs w:val="20"/>
              </w:rPr>
            </w:pPr>
          </w:p>
        </w:tc>
        <w:tc>
          <w:tcPr>
            <w:tcW w:w="0" w:type="auto"/>
            <w:vAlign w:val="center"/>
            <w:hideMark/>
          </w:tcPr>
          <w:p w:rsidR="00000000" w:rsidRDefault="001F1FC8">
            <w:pPr>
              <w:rPr>
                <w:rFonts w:eastAsia="Times New Roman"/>
                <w:sz w:val="20"/>
                <w:szCs w:val="20"/>
              </w:rPr>
            </w:pPr>
          </w:p>
        </w:tc>
        <w:tc>
          <w:tcPr>
            <w:tcW w:w="0" w:type="auto"/>
            <w:vAlign w:val="center"/>
            <w:hideMark/>
          </w:tcPr>
          <w:p w:rsidR="00000000" w:rsidRDefault="001F1FC8">
            <w:pPr>
              <w:rPr>
                <w:rFonts w:eastAsia="Times New Roman"/>
                <w:sz w:val="20"/>
                <w:szCs w:val="20"/>
              </w:rPr>
            </w:pPr>
          </w:p>
        </w:tc>
        <w:tc>
          <w:tcPr>
            <w:tcW w:w="0" w:type="auto"/>
            <w:vAlign w:val="center"/>
            <w:hideMark/>
          </w:tcPr>
          <w:p w:rsidR="00000000" w:rsidRDefault="001F1FC8">
            <w:pPr>
              <w:rPr>
                <w:rFonts w:eastAsia="Times New Roman"/>
                <w:sz w:val="20"/>
                <w:szCs w:val="20"/>
              </w:rPr>
            </w:pPr>
          </w:p>
        </w:tc>
        <w:tc>
          <w:tcPr>
            <w:tcW w:w="0" w:type="auto"/>
            <w:vAlign w:val="center"/>
            <w:hideMark/>
          </w:tcPr>
          <w:p w:rsidR="00000000" w:rsidRDefault="001F1FC8">
            <w:pPr>
              <w:rPr>
                <w:rFonts w:eastAsia="Times New Roman"/>
                <w:sz w:val="20"/>
                <w:szCs w:val="20"/>
              </w:rPr>
            </w:pPr>
          </w:p>
        </w:tc>
        <w:tc>
          <w:tcPr>
            <w:tcW w:w="0" w:type="auto"/>
            <w:vAlign w:val="center"/>
            <w:hideMark/>
          </w:tcPr>
          <w:p w:rsidR="00000000" w:rsidRDefault="001F1FC8">
            <w:pPr>
              <w:rPr>
                <w:rFonts w:eastAsia="Times New Roman"/>
                <w:sz w:val="20"/>
                <w:szCs w:val="20"/>
              </w:rPr>
            </w:pPr>
          </w:p>
        </w:tc>
        <w:tc>
          <w:tcPr>
            <w:tcW w:w="0" w:type="auto"/>
            <w:vAlign w:val="center"/>
            <w:hideMark/>
          </w:tcPr>
          <w:p w:rsidR="00000000" w:rsidRDefault="001F1FC8">
            <w:pPr>
              <w:rPr>
                <w:rFonts w:eastAsia="Times New Roman"/>
                <w:sz w:val="20"/>
                <w:szCs w:val="20"/>
              </w:rPr>
            </w:pPr>
          </w:p>
        </w:tc>
        <w:tc>
          <w:tcPr>
            <w:tcW w:w="0" w:type="auto"/>
            <w:vAlign w:val="center"/>
            <w:hideMark/>
          </w:tcPr>
          <w:p w:rsidR="00000000" w:rsidRDefault="001F1FC8">
            <w:pPr>
              <w:rPr>
                <w:rFonts w:eastAsia="Times New Roman"/>
                <w:sz w:val="20"/>
                <w:szCs w:val="20"/>
              </w:rPr>
            </w:pPr>
          </w:p>
        </w:tc>
        <w:tc>
          <w:tcPr>
            <w:tcW w:w="0" w:type="auto"/>
            <w:vAlign w:val="center"/>
            <w:hideMark/>
          </w:tcPr>
          <w:p w:rsidR="00000000" w:rsidRDefault="001F1FC8">
            <w:pPr>
              <w:rPr>
                <w:rFonts w:eastAsia="Times New Roman"/>
                <w:sz w:val="20"/>
                <w:szCs w:val="20"/>
              </w:rPr>
            </w:pPr>
          </w:p>
        </w:tc>
        <w:tc>
          <w:tcPr>
            <w:tcW w:w="0" w:type="auto"/>
            <w:vAlign w:val="center"/>
            <w:hideMark/>
          </w:tcPr>
          <w:p w:rsidR="00000000" w:rsidRDefault="001F1FC8">
            <w:pPr>
              <w:rPr>
                <w:rFonts w:eastAsia="Times New Roman"/>
                <w:sz w:val="20"/>
                <w:szCs w:val="20"/>
              </w:rPr>
            </w:pPr>
          </w:p>
        </w:tc>
        <w:tc>
          <w:tcPr>
            <w:tcW w:w="0" w:type="auto"/>
            <w:vAlign w:val="center"/>
            <w:hideMark/>
          </w:tcPr>
          <w:p w:rsidR="00000000" w:rsidRDefault="001F1FC8">
            <w:pPr>
              <w:rPr>
                <w:rFonts w:eastAsia="Times New Roman"/>
                <w:sz w:val="20"/>
                <w:szCs w:val="20"/>
              </w:rPr>
            </w:pPr>
          </w:p>
        </w:tc>
        <w:tc>
          <w:tcPr>
            <w:tcW w:w="0" w:type="auto"/>
            <w:vAlign w:val="center"/>
            <w:hideMark/>
          </w:tcPr>
          <w:p w:rsidR="00000000" w:rsidRDefault="001F1FC8">
            <w:pPr>
              <w:rPr>
                <w:rFonts w:eastAsia="Times New Roman"/>
                <w:sz w:val="20"/>
                <w:szCs w:val="20"/>
              </w:rPr>
            </w:pPr>
          </w:p>
        </w:tc>
        <w:tc>
          <w:tcPr>
            <w:tcW w:w="0" w:type="auto"/>
            <w:vAlign w:val="center"/>
            <w:hideMark/>
          </w:tcPr>
          <w:p w:rsidR="00000000" w:rsidRDefault="001F1FC8">
            <w:pPr>
              <w:rPr>
                <w:rFonts w:eastAsia="Times New Roman"/>
                <w:sz w:val="20"/>
                <w:szCs w:val="20"/>
              </w:rPr>
            </w:pPr>
          </w:p>
        </w:tc>
        <w:tc>
          <w:tcPr>
            <w:tcW w:w="0" w:type="auto"/>
            <w:vAlign w:val="center"/>
            <w:hideMark/>
          </w:tcPr>
          <w:p w:rsidR="00000000" w:rsidRDefault="001F1FC8">
            <w:pPr>
              <w:rPr>
                <w:rFonts w:eastAsia="Times New Roman"/>
                <w:sz w:val="20"/>
                <w:szCs w:val="20"/>
              </w:rPr>
            </w:pPr>
          </w:p>
        </w:tc>
        <w:tc>
          <w:tcPr>
            <w:tcW w:w="0" w:type="auto"/>
            <w:vAlign w:val="center"/>
            <w:hideMark/>
          </w:tcPr>
          <w:p w:rsidR="00000000" w:rsidRDefault="001F1FC8">
            <w:pPr>
              <w:rPr>
                <w:rFonts w:eastAsia="Times New Roman"/>
                <w:sz w:val="20"/>
                <w:szCs w:val="20"/>
              </w:rPr>
            </w:pPr>
          </w:p>
        </w:tc>
        <w:tc>
          <w:tcPr>
            <w:tcW w:w="0" w:type="auto"/>
            <w:vAlign w:val="center"/>
            <w:hideMark/>
          </w:tcPr>
          <w:p w:rsidR="00000000" w:rsidRDefault="001F1FC8">
            <w:pPr>
              <w:rPr>
                <w:rFonts w:eastAsia="Times New Roman"/>
                <w:sz w:val="20"/>
                <w:szCs w:val="20"/>
              </w:rPr>
            </w:pPr>
          </w:p>
        </w:tc>
      </w:tr>
      <w:tr w:rsidR="00000000">
        <w:trPr>
          <w:divId w:val="1406878704"/>
        </w:trPr>
        <w:tc>
          <w:tcPr>
            <w:tcW w:w="0" w:type="auto"/>
            <w:gridSpan w:val="3"/>
            <w:tcMar>
              <w:top w:w="0" w:type="dxa"/>
              <w:left w:w="20" w:type="dxa"/>
              <w:bottom w:w="0" w:type="dxa"/>
              <w:right w:w="20" w:type="dxa"/>
            </w:tcMar>
            <w:vAlign w:val="center"/>
            <w:hideMark/>
          </w:tcPr>
          <w:p w:rsidR="00000000" w:rsidRDefault="001F1FC8">
            <w:pPr>
              <w:rPr>
                <w:rFonts w:eastAsia="Times New Roman"/>
                <w:sz w:val="20"/>
                <w:szCs w:val="20"/>
              </w:rPr>
            </w:pPr>
          </w:p>
        </w:tc>
        <w:tc>
          <w:tcPr>
            <w:tcW w:w="0" w:type="auto"/>
            <w:vAlign w:val="center"/>
            <w:hideMark/>
          </w:tcPr>
          <w:p w:rsidR="00000000" w:rsidRDefault="001F1FC8">
            <w:pPr>
              <w:rPr>
                <w:rFonts w:eastAsia="Times New Roman"/>
                <w:sz w:val="20"/>
                <w:szCs w:val="20"/>
              </w:rPr>
            </w:pPr>
          </w:p>
        </w:tc>
        <w:tc>
          <w:tcPr>
            <w:tcW w:w="0" w:type="auto"/>
            <w:vAlign w:val="center"/>
            <w:hideMark/>
          </w:tcPr>
          <w:p w:rsidR="00000000" w:rsidRDefault="001F1FC8">
            <w:pPr>
              <w:rPr>
                <w:rFonts w:eastAsia="Times New Roman"/>
                <w:sz w:val="20"/>
                <w:szCs w:val="20"/>
              </w:rPr>
            </w:pPr>
          </w:p>
        </w:tc>
        <w:tc>
          <w:tcPr>
            <w:tcW w:w="0" w:type="auto"/>
            <w:vAlign w:val="center"/>
            <w:hideMark/>
          </w:tcPr>
          <w:p w:rsidR="00000000" w:rsidRDefault="001F1FC8">
            <w:pPr>
              <w:rPr>
                <w:rFonts w:eastAsia="Times New Roman"/>
                <w:sz w:val="20"/>
                <w:szCs w:val="20"/>
              </w:rPr>
            </w:pPr>
          </w:p>
        </w:tc>
        <w:tc>
          <w:tcPr>
            <w:tcW w:w="0" w:type="auto"/>
            <w:gridSpan w:val="3"/>
            <w:vAlign w:val="center"/>
            <w:hideMark/>
          </w:tcPr>
          <w:p w:rsidR="00000000" w:rsidRDefault="001F1FC8">
            <w:pPr>
              <w:rPr>
                <w:rFonts w:eastAsia="Times New Roman"/>
                <w:sz w:val="20"/>
                <w:szCs w:val="20"/>
              </w:rPr>
            </w:pPr>
          </w:p>
        </w:tc>
        <w:tc>
          <w:tcPr>
            <w:tcW w:w="0" w:type="auto"/>
            <w:gridSpan w:val="3"/>
            <w:vAlign w:val="center"/>
            <w:hideMark/>
          </w:tcPr>
          <w:p w:rsidR="00000000" w:rsidRDefault="001F1FC8">
            <w:pPr>
              <w:rPr>
                <w:rFonts w:eastAsia="Times New Roman"/>
                <w:sz w:val="20"/>
                <w:szCs w:val="20"/>
              </w:rPr>
            </w:pPr>
          </w:p>
        </w:tc>
        <w:tc>
          <w:tcPr>
            <w:tcW w:w="0" w:type="auto"/>
            <w:gridSpan w:val="3"/>
            <w:tcMar>
              <w:top w:w="30" w:type="dxa"/>
              <w:left w:w="20" w:type="dxa"/>
              <w:bottom w:w="30" w:type="dxa"/>
              <w:right w:w="20" w:type="dxa"/>
            </w:tcMar>
            <w:hideMark/>
          </w:tcPr>
          <w:p w:rsidR="00000000" w:rsidRDefault="001F1FC8">
            <w:pPr>
              <w:jc w:val="right"/>
              <w:rPr>
                <w:rFonts w:eastAsia="Times New Roman"/>
              </w:rPr>
            </w:pPr>
            <w:r>
              <w:rPr>
                <w:rFonts w:ascii="Arial" w:eastAsia="Times New Roman" w:hAnsi="Arial" w:cs="Arial"/>
                <w:color w:val="000000"/>
                <w:sz w:val="20"/>
                <w:szCs w:val="20"/>
              </w:rPr>
              <w:t xml:space="preserve">Level </w:t>
            </w:r>
            <w:r>
              <w:rPr>
                <w:rFonts w:ascii="Arial" w:eastAsia="Times New Roman" w:hAnsi="Arial" w:cs="Arial"/>
                <w:color w:val="000000"/>
                <w:sz w:val="20"/>
                <w:szCs w:val="20"/>
              </w:rPr>
              <w:t>1</w:t>
            </w:r>
            <w:r>
              <w:rPr>
                <w:rFonts w:ascii="Arial" w:eastAsia="Times New Roman" w:hAnsi="Arial" w:cs="Arial"/>
                <w:color w:val="000000"/>
                <w:sz w:val="10"/>
                <w:szCs w:val="10"/>
              </w:rPr>
              <w:t>1</w:t>
            </w:r>
          </w:p>
        </w:tc>
        <w:tc>
          <w:tcPr>
            <w:tcW w:w="0" w:type="auto"/>
            <w:gridSpan w:val="3"/>
            <w:tcMar>
              <w:top w:w="30" w:type="dxa"/>
              <w:left w:w="20" w:type="dxa"/>
              <w:bottom w:w="30" w:type="dxa"/>
              <w:right w:w="20" w:type="dxa"/>
            </w:tcMar>
            <w:hideMark/>
          </w:tcPr>
          <w:p w:rsidR="00000000" w:rsidRDefault="001F1FC8">
            <w:pPr>
              <w:jc w:val="right"/>
              <w:rPr>
                <w:rFonts w:eastAsia="Times New Roman"/>
              </w:rPr>
            </w:pPr>
            <w:r>
              <w:rPr>
                <w:rFonts w:ascii="Arial" w:eastAsia="Times New Roman" w:hAnsi="Arial" w:cs="Arial"/>
                <w:color w:val="000000"/>
                <w:sz w:val="20"/>
                <w:szCs w:val="20"/>
              </w:rPr>
              <w:t xml:space="preserve">Level </w:t>
            </w:r>
            <w:r>
              <w:rPr>
                <w:rFonts w:ascii="Arial" w:eastAsia="Times New Roman" w:hAnsi="Arial" w:cs="Arial"/>
                <w:color w:val="000000"/>
                <w:sz w:val="20"/>
                <w:szCs w:val="20"/>
              </w:rPr>
              <w:t>2</w:t>
            </w:r>
            <w:r>
              <w:rPr>
                <w:rFonts w:ascii="Arial" w:eastAsia="Times New Roman" w:hAnsi="Arial" w:cs="Arial"/>
                <w:color w:val="000000"/>
                <w:sz w:val="10"/>
                <w:szCs w:val="10"/>
              </w:rPr>
              <w:t>2</w:t>
            </w:r>
          </w:p>
        </w:tc>
        <w:tc>
          <w:tcPr>
            <w:tcW w:w="0" w:type="auto"/>
            <w:gridSpan w:val="3"/>
            <w:tcMar>
              <w:top w:w="30" w:type="dxa"/>
              <w:left w:w="20" w:type="dxa"/>
              <w:bottom w:w="30" w:type="dxa"/>
              <w:right w:w="20" w:type="dxa"/>
            </w:tcMar>
            <w:hideMark/>
          </w:tcPr>
          <w:p w:rsidR="00000000" w:rsidRDefault="001F1FC8">
            <w:pPr>
              <w:jc w:val="right"/>
              <w:rPr>
                <w:rFonts w:eastAsia="Times New Roman"/>
              </w:rPr>
            </w:pPr>
            <w:r>
              <w:rPr>
                <w:rFonts w:ascii="Arial" w:eastAsia="Times New Roman" w:hAnsi="Arial" w:cs="Arial"/>
                <w:color w:val="000000"/>
                <w:sz w:val="20"/>
                <w:szCs w:val="20"/>
              </w:rPr>
              <w:t xml:space="preserve">Level </w:t>
            </w:r>
            <w:r>
              <w:rPr>
                <w:rFonts w:ascii="Arial" w:eastAsia="Times New Roman" w:hAnsi="Arial" w:cs="Arial"/>
                <w:color w:val="000000"/>
                <w:sz w:val="20"/>
                <w:szCs w:val="20"/>
              </w:rPr>
              <w:t>3</w:t>
            </w:r>
            <w:r>
              <w:rPr>
                <w:rFonts w:ascii="Arial" w:eastAsia="Times New Roman" w:hAnsi="Arial" w:cs="Arial"/>
                <w:color w:val="000000"/>
                <w:sz w:val="10"/>
                <w:szCs w:val="10"/>
              </w:rPr>
              <w:t>3</w:t>
            </w:r>
          </w:p>
        </w:tc>
        <w:tc>
          <w:tcPr>
            <w:tcW w:w="0" w:type="auto"/>
            <w:gridSpan w:val="3"/>
            <w:tcMar>
              <w:top w:w="30" w:type="dxa"/>
              <w:left w:w="20" w:type="dxa"/>
              <w:bottom w:w="30" w:type="dxa"/>
              <w:right w:w="20" w:type="dxa"/>
            </w:tcMar>
            <w:hideMark/>
          </w:tcPr>
          <w:p w:rsidR="00000000" w:rsidRDefault="001F1FC8">
            <w:pPr>
              <w:jc w:val="right"/>
              <w:rPr>
                <w:rFonts w:eastAsia="Times New Roman"/>
              </w:rPr>
            </w:pPr>
            <w:r>
              <w:rPr>
                <w:rFonts w:ascii="Arial" w:eastAsia="Times New Roman" w:hAnsi="Arial" w:cs="Arial"/>
                <w:color w:val="000000"/>
                <w:sz w:val="20"/>
                <w:szCs w:val="20"/>
              </w:rPr>
              <w:t>Total</w:t>
            </w:r>
          </w:p>
        </w:tc>
      </w:tr>
      <w:tr w:rsidR="00000000">
        <w:trPr>
          <w:divId w:val="1406878704"/>
        </w:trPr>
        <w:tc>
          <w:tcPr>
            <w:tcW w:w="0" w:type="auto"/>
            <w:gridSpan w:val="3"/>
            <w:tcBorders>
              <w:top w:val="single" w:sz="4" w:space="0" w:color="000000"/>
            </w:tcBorders>
            <w:tcMar>
              <w:top w:w="30" w:type="dxa"/>
              <w:left w:w="20" w:type="dxa"/>
              <w:bottom w:w="30" w:type="dxa"/>
              <w:right w:w="20" w:type="dxa"/>
            </w:tcMar>
            <w:hideMark/>
          </w:tcPr>
          <w:p w:rsidR="00000000" w:rsidRDefault="001F1FC8">
            <w:pPr>
              <w:rPr>
                <w:rFonts w:eastAsia="Times New Roman"/>
              </w:rPr>
            </w:pPr>
            <w:r>
              <w:rPr>
                <w:rFonts w:ascii="Arial" w:eastAsia="Times New Roman" w:hAnsi="Arial" w:cs="Arial"/>
                <w:i/>
                <w:iCs/>
                <w:color w:val="000000"/>
                <w:sz w:val="20"/>
                <w:szCs w:val="20"/>
              </w:rPr>
              <w:t>(millions of Canadian dollars)</w:t>
            </w:r>
          </w:p>
        </w:tc>
        <w:tc>
          <w:tcPr>
            <w:tcW w:w="0" w:type="auto"/>
            <w:vAlign w:val="center"/>
            <w:hideMark/>
          </w:tcPr>
          <w:p w:rsidR="00000000" w:rsidRDefault="001F1FC8">
            <w:pPr>
              <w:rPr>
                <w:rFonts w:eastAsia="Times New Roman"/>
              </w:rPr>
            </w:pPr>
          </w:p>
        </w:tc>
        <w:tc>
          <w:tcPr>
            <w:tcW w:w="0" w:type="auto"/>
            <w:vAlign w:val="center"/>
            <w:hideMark/>
          </w:tcPr>
          <w:p w:rsidR="00000000" w:rsidRDefault="001F1FC8">
            <w:pPr>
              <w:rPr>
                <w:rFonts w:eastAsia="Times New Roman"/>
                <w:sz w:val="20"/>
                <w:szCs w:val="20"/>
              </w:rPr>
            </w:pPr>
          </w:p>
        </w:tc>
        <w:tc>
          <w:tcPr>
            <w:tcW w:w="0" w:type="auto"/>
            <w:vAlign w:val="center"/>
            <w:hideMark/>
          </w:tcPr>
          <w:p w:rsidR="00000000" w:rsidRDefault="001F1FC8">
            <w:pPr>
              <w:rPr>
                <w:rFonts w:eastAsia="Times New Roman"/>
                <w:sz w:val="20"/>
                <w:szCs w:val="20"/>
              </w:rPr>
            </w:pPr>
          </w:p>
        </w:tc>
        <w:tc>
          <w:tcPr>
            <w:tcW w:w="0" w:type="auto"/>
            <w:gridSpan w:val="3"/>
            <w:vAlign w:val="center"/>
            <w:hideMark/>
          </w:tcPr>
          <w:p w:rsidR="00000000" w:rsidRDefault="001F1FC8">
            <w:pPr>
              <w:rPr>
                <w:rFonts w:eastAsia="Times New Roman"/>
                <w:sz w:val="20"/>
                <w:szCs w:val="20"/>
              </w:rPr>
            </w:pPr>
          </w:p>
        </w:tc>
        <w:tc>
          <w:tcPr>
            <w:tcW w:w="0" w:type="auto"/>
            <w:gridSpan w:val="3"/>
            <w:vAlign w:val="center"/>
            <w:hideMark/>
          </w:tcPr>
          <w:p w:rsidR="00000000" w:rsidRDefault="001F1FC8">
            <w:pPr>
              <w:rPr>
                <w:rFonts w:eastAsia="Times New Roman"/>
                <w:sz w:val="20"/>
                <w:szCs w:val="20"/>
              </w:rPr>
            </w:pPr>
          </w:p>
        </w:tc>
        <w:tc>
          <w:tcPr>
            <w:tcW w:w="0" w:type="auto"/>
            <w:gridSpan w:val="3"/>
            <w:tcBorders>
              <w:top w:val="single" w:sz="4" w:space="0" w:color="000000"/>
            </w:tcBorders>
            <w:shd w:val="clear" w:color="auto" w:fill="D9D9D9"/>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b/>
                <w:bCs/>
                <w:color w:val="000000"/>
                <w:sz w:val="20"/>
                <w:szCs w:val="20"/>
              </w:rPr>
              <w:t> </w:t>
            </w:r>
          </w:p>
        </w:tc>
        <w:tc>
          <w:tcPr>
            <w:tcW w:w="0" w:type="auto"/>
            <w:gridSpan w:val="3"/>
            <w:tcBorders>
              <w:top w:val="single" w:sz="4" w:space="0" w:color="000000"/>
            </w:tcBorders>
            <w:shd w:val="clear" w:color="auto" w:fill="D9D9D9"/>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b/>
                <w:bCs/>
                <w:color w:val="000000"/>
                <w:sz w:val="20"/>
                <w:szCs w:val="20"/>
              </w:rPr>
              <w:t> </w:t>
            </w:r>
          </w:p>
        </w:tc>
        <w:tc>
          <w:tcPr>
            <w:tcW w:w="0" w:type="auto"/>
            <w:gridSpan w:val="3"/>
            <w:tcBorders>
              <w:top w:val="single" w:sz="4" w:space="0" w:color="000000"/>
            </w:tcBorders>
            <w:shd w:val="clear" w:color="auto" w:fill="D9D9D9"/>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b/>
                <w:bCs/>
                <w:color w:val="000000"/>
                <w:sz w:val="20"/>
                <w:szCs w:val="20"/>
              </w:rPr>
              <w:t> </w:t>
            </w:r>
          </w:p>
        </w:tc>
        <w:tc>
          <w:tcPr>
            <w:tcW w:w="0" w:type="auto"/>
            <w:gridSpan w:val="3"/>
            <w:tcBorders>
              <w:top w:val="single" w:sz="4" w:space="0" w:color="000000"/>
            </w:tcBorders>
            <w:shd w:val="clear" w:color="auto" w:fill="D9D9D9"/>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b/>
                <w:bCs/>
                <w:color w:val="000000"/>
                <w:sz w:val="20"/>
                <w:szCs w:val="20"/>
              </w:rPr>
              <w:t> </w:t>
            </w:r>
          </w:p>
        </w:tc>
      </w:tr>
      <w:tr w:rsidR="00000000">
        <w:trPr>
          <w:divId w:val="1406878704"/>
        </w:trPr>
        <w:tc>
          <w:tcPr>
            <w:tcW w:w="0" w:type="auto"/>
            <w:gridSpan w:val="3"/>
            <w:tcMar>
              <w:top w:w="30" w:type="dxa"/>
              <w:left w:w="20" w:type="dxa"/>
              <w:bottom w:w="30" w:type="dxa"/>
              <w:right w:w="20" w:type="dxa"/>
            </w:tcMar>
            <w:hideMark/>
          </w:tcPr>
          <w:p w:rsidR="00000000" w:rsidRDefault="001F1FC8">
            <w:pPr>
              <w:rPr>
                <w:rFonts w:eastAsia="Times New Roman"/>
              </w:rPr>
            </w:pPr>
            <w:r>
              <w:rPr>
                <w:rFonts w:ascii="Arial" w:eastAsia="Times New Roman" w:hAnsi="Arial" w:cs="Arial"/>
                <w:b/>
                <w:bCs/>
                <w:color w:val="000000"/>
                <w:sz w:val="20"/>
                <w:szCs w:val="20"/>
              </w:rPr>
              <w:t>December 31, 2021</w:t>
            </w:r>
          </w:p>
        </w:tc>
        <w:tc>
          <w:tcPr>
            <w:tcW w:w="0" w:type="auto"/>
            <w:vAlign w:val="center"/>
            <w:hideMark/>
          </w:tcPr>
          <w:p w:rsidR="00000000" w:rsidRDefault="001F1FC8">
            <w:pPr>
              <w:rPr>
                <w:rFonts w:eastAsia="Times New Roman"/>
              </w:rPr>
            </w:pPr>
          </w:p>
        </w:tc>
        <w:tc>
          <w:tcPr>
            <w:tcW w:w="0" w:type="auto"/>
            <w:vAlign w:val="center"/>
            <w:hideMark/>
          </w:tcPr>
          <w:p w:rsidR="00000000" w:rsidRDefault="001F1FC8">
            <w:pPr>
              <w:rPr>
                <w:rFonts w:eastAsia="Times New Roman"/>
                <w:sz w:val="20"/>
                <w:szCs w:val="20"/>
              </w:rPr>
            </w:pPr>
          </w:p>
        </w:tc>
        <w:tc>
          <w:tcPr>
            <w:tcW w:w="0" w:type="auto"/>
            <w:vAlign w:val="center"/>
            <w:hideMark/>
          </w:tcPr>
          <w:p w:rsidR="00000000" w:rsidRDefault="001F1FC8">
            <w:pPr>
              <w:rPr>
                <w:rFonts w:eastAsia="Times New Roman"/>
                <w:sz w:val="20"/>
                <w:szCs w:val="20"/>
              </w:rPr>
            </w:pPr>
          </w:p>
        </w:tc>
        <w:tc>
          <w:tcPr>
            <w:tcW w:w="0" w:type="auto"/>
            <w:gridSpan w:val="3"/>
            <w:vAlign w:val="center"/>
            <w:hideMark/>
          </w:tcPr>
          <w:p w:rsidR="00000000" w:rsidRDefault="001F1FC8">
            <w:pPr>
              <w:rPr>
                <w:rFonts w:eastAsia="Times New Roman"/>
                <w:sz w:val="20"/>
                <w:szCs w:val="20"/>
              </w:rPr>
            </w:pPr>
          </w:p>
        </w:tc>
        <w:tc>
          <w:tcPr>
            <w:tcW w:w="0" w:type="auto"/>
            <w:gridSpan w:val="3"/>
            <w:vAlign w:val="center"/>
            <w:hideMark/>
          </w:tcPr>
          <w:p w:rsidR="00000000" w:rsidRDefault="001F1FC8">
            <w:pPr>
              <w:rPr>
                <w:rFonts w:eastAsia="Times New Roman"/>
                <w:sz w:val="20"/>
                <w:szCs w:val="20"/>
              </w:rPr>
            </w:pPr>
          </w:p>
        </w:tc>
        <w:tc>
          <w:tcPr>
            <w:tcW w:w="0" w:type="auto"/>
            <w:gridSpan w:val="3"/>
            <w:shd w:val="clear" w:color="auto" w:fill="D9D9D9"/>
            <w:tcMar>
              <w:top w:w="0" w:type="dxa"/>
              <w:left w:w="20" w:type="dxa"/>
              <w:bottom w:w="0" w:type="dxa"/>
              <w:right w:w="20" w:type="dxa"/>
            </w:tcMar>
            <w:vAlign w:val="center"/>
            <w:hideMark/>
          </w:tcPr>
          <w:p w:rsidR="00000000" w:rsidRDefault="001F1FC8">
            <w:pPr>
              <w:rPr>
                <w:rFonts w:eastAsia="Times New Roman"/>
                <w:sz w:val="20"/>
                <w:szCs w:val="20"/>
              </w:rPr>
            </w:pPr>
          </w:p>
        </w:tc>
        <w:tc>
          <w:tcPr>
            <w:tcW w:w="0" w:type="auto"/>
            <w:gridSpan w:val="3"/>
            <w:shd w:val="clear" w:color="auto" w:fill="D9D9D9"/>
            <w:tcMar>
              <w:top w:w="0" w:type="dxa"/>
              <w:left w:w="20" w:type="dxa"/>
              <w:bottom w:w="0" w:type="dxa"/>
              <w:right w:w="20" w:type="dxa"/>
            </w:tcMar>
            <w:vAlign w:val="center"/>
            <w:hideMark/>
          </w:tcPr>
          <w:p w:rsidR="00000000" w:rsidRDefault="001F1FC8">
            <w:pPr>
              <w:rPr>
                <w:rFonts w:eastAsia="Times New Roman"/>
                <w:sz w:val="20"/>
                <w:szCs w:val="20"/>
              </w:rPr>
            </w:pPr>
          </w:p>
        </w:tc>
        <w:tc>
          <w:tcPr>
            <w:tcW w:w="0" w:type="auto"/>
            <w:gridSpan w:val="3"/>
            <w:shd w:val="clear" w:color="auto" w:fill="D9D9D9"/>
            <w:tcMar>
              <w:top w:w="0" w:type="dxa"/>
              <w:left w:w="20" w:type="dxa"/>
              <w:bottom w:w="0" w:type="dxa"/>
              <w:right w:w="20" w:type="dxa"/>
            </w:tcMar>
            <w:vAlign w:val="center"/>
            <w:hideMark/>
          </w:tcPr>
          <w:p w:rsidR="00000000" w:rsidRDefault="001F1FC8">
            <w:pPr>
              <w:rPr>
                <w:rFonts w:eastAsia="Times New Roman"/>
                <w:sz w:val="20"/>
                <w:szCs w:val="20"/>
              </w:rPr>
            </w:pPr>
          </w:p>
        </w:tc>
        <w:tc>
          <w:tcPr>
            <w:tcW w:w="0" w:type="auto"/>
            <w:gridSpan w:val="3"/>
            <w:shd w:val="clear" w:color="auto" w:fill="D9D9D9"/>
            <w:tcMar>
              <w:top w:w="0" w:type="dxa"/>
              <w:left w:w="20" w:type="dxa"/>
              <w:bottom w:w="0" w:type="dxa"/>
              <w:right w:w="20" w:type="dxa"/>
            </w:tcMar>
            <w:vAlign w:val="center"/>
            <w:hideMark/>
          </w:tcPr>
          <w:p w:rsidR="00000000" w:rsidRDefault="001F1FC8">
            <w:pPr>
              <w:rPr>
                <w:rFonts w:eastAsia="Times New Roman"/>
                <w:sz w:val="20"/>
                <w:szCs w:val="20"/>
              </w:rPr>
            </w:pPr>
          </w:p>
        </w:tc>
      </w:tr>
      <w:tr w:rsidR="00000000">
        <w:trPr>
          <w:divId w:val="1406878704"/>
        </w:trPr>
        <w:tc>
          <w:tcPr>
            <w:tcW w:w="0" w:type="auto"/>
            <w:gridSpan w:val="3"/>
            <w:tcMar>
              <w:top w:w="30" w:type="dxa"/>
              <w:left w:w="20" w:type="dxa"/>
              <w:bottom w:w="30" w:type="dxa"/>
              <w:right w:w="20" w:type="dxa"/>
            </w:tcMar>
            <w:hideMark/>
          </w:tcPr>
          <w:p w:rsidR="00000000" w:rsidRDefault="001F1FC8">
            <w:pPr>
              <w:rPr>
                <w:rFonts w:eastAsia="Times New Roman"/>
              </w:rPr>
            </w:pPr>
            <w:r>
              <w:rPr>
                <w:rFonts w:ascii="Arial" w:eastAsia="Times New Roman" w:hAnsi="Arial" w:cs="Arial"/>
                <w:color w:val="000000"/>
                <w:sz w:val="20"/>
                <w:szCs w:val="20"/>
              </w:rPr>
              <w:t>Cash and cash equivalents</w:t>
            </w:r>
          </w:p>
        </w:tc>
        <w:tc>
          <w:tcPr>
            <w:tcW w:w="0" w:type="auto"/>
            <w:vAlign w:val="center"/>
            <w:hideMark/>
          </w:tcPr>
          <w:p w:rsidR="00000000" w:rsidRDefault="001F1FC8">
            <w:pPr>
              <w:rPr>
                <w:rFonts w:eastAsia="Times New Roman"/>
              </w:rPr>
            </w:pPr>
          </w:p>
        </w:tc>
        <w:tc>
          <w:tcPr>
            <w:tcW w:w="0" w:type="auto"/>
            <w:vAlign w:val="center"/>
            <w:hideMark/>
          </w:tcPr>
          <w:p w:rsidR="00000000" w:rsidRDefault="001F1FC8">
            <w:pPr>
              <w:rPr>
                <w:rFonts w:eastAsia="Times New Roman"/>
                <w:sz w:val="20"/>
                <w:szCs w:val="20"/>
              </w:rPr>
            </w:pPr>
          </w:p>
        </w:tc>
        <w:tc>
          <w:tcPr>
            <w:tcW w:w="0" w:type="auto"/>
            <w:vAlign w:val="center"/>
            <w:hideMark/>
          </w:tcPr>
          <w:p w:rsidR="00000000" w:rsidRDefault="001F1FC8">
            <w:pPr>
              <w:rPr>
                <w:rFonts w:eastAsia="Times New Roman"/>
                <w:sz w:val="20"/>
                <w:szCs w:val="20"/>
              </w:rPr>
            </w:pPr>
          </w:p>
        </w:tc>
        <w:tc>
          <w:tcPr>
            <w:tcW w:w="0" w:type="auto"/>
            <w:gridSpan w:val="3"/>
            <w:vAlign w:val="center"/>
            <w:hideMark/>
          </w:tcPr>
          <w:p w:rsidR="00000000" w:rsidRDefault="001F1FC8">
            <w:pPr>
              <w:rPr>
                <w:rFonts w:eastAsia="Times New Roman"/>
                <w:sz w:val="20"/>
                <w:szCs w:val="20"/>
              </w:rPr>
            </w:pPr>
          </w:p>
        </w:tc>
        <w:tc>
          <w:tcPr>
            <w:tcW w:w="0" w:type="auto"/>
            <w:gridSpan w:val="3"/>
            <w:vAlign w:val="center"/>
            <w:hideMark/>
          </w:tcPr>
          <w:p w:rsidR="00000000" w:rsidRDefault="001F1FC8">
            <w:pPr>
              <w:rPr>
                <w:rFonts w:eastAsia="Times New Roman"/>
                <w:sz w:val="20"/>
                <w:szCs w:val="20"/>
              </w:rPr>
            </w:pPr>
          </w:p>
        </w:tc>
        <w:tc>
          <w:tcPr>
            <w:tcW w:w="0" w:type="auto"/>
            <w:gridSpan w:val="2"/>
            <w:shd w:val="clear" w:color="auto" w:fill="D9D9D9"/>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b/>
                <w:bCs/>
                <w:color w:val="000000"/>
                <w:sz w:val="20"/>
                <w:szCs w:val="20"/>
              </w:rPr>
              <w:t>4</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hideMark/>
          </w:tcPr>
          <w:p w:rsidR="00000000" w:rsidRDefault="001F1FC8">
            <w:pPr>
              <w:jc w:val="right"/>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b/>
                <w:bCs/>
                <w:color w:val="000000"/>
                <w:sz w:val="20"/>
                <w:szCs w:val="20"/>
              </w:rPr>
              <w:t>—</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hideMark/>
          </w:tcPr>
          <w:p w:rsidR="00000000" w:rsidRDefault="001F1FC8">
            <w:pPr>
              <w:jc w:val="right"/>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b/>
                <w:bCs/>
                <w:color w:val="000000"/>
                <w:sz w:val="20"/>
                <w:szCs w:val="20"/>
              </w:rPr>
              <w:t>—</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hideMark/>
          </w:tcPr>
          <w:p w:rsidR="00000000" w:rsidRDefault="001F1FC8">
            <w:pPr>
              <w:jc w:val="right"/>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b/>
                <w:bCs/>
                <w:color w:val="000000"/>
                <w:sz w:val="20"/>
                <w:szCs w:val="20"/>
              </w:rPr>
              <w:t>4</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hideMark/>
          </w:tcPr>
          <w:p w:rsidR="00000000" w:rsidRDefault="001F1FC8">
            <w:pPr>
              <w:jc w:val="right"/>
              <w:rPr>
                <w:rFonts w:eastAsia="Times New Roman"/>
              </w:rPr>
            </w:pPr>
          </w:p>
        </w:tc>
      </w:tr>
      <w:tr w:rsidR="00000000">
        <w:trPr>
          <w:divId w:val="1406878704"/>
        </w:trPr>
        <w:tc>
          <w:tcPr>
            <w:tcW w:w="0" w:type="auto"/>
            <w:gridSpan w:val="3"/>
            <w:tcMar>
              <w:top w:w="30" w:type="dxa"/>
              <w:left w:w="20" w:type="dxa"/>
              <w:bottom w:w="30" w:type="dxa"/>
              <w:right w:w="20" w:type="dxa"/>
            </w:tcMar>
            <w:hideMark/>
          </w:tcPr>
          <w:p w:rsidR="00000000" w:rsidRDefault="001F1FC8">
            <w:pPr>
              <w:rPr>
                <w:rFonts w:eastAsia="Times New Roman"/>
              </w:rPr>
            </w:pPr>
            <w:r>
              <w:rPr>
                <w:rFonts w:ascii="Arial" w:eastAsia="Times New Roman" w:hAnsi="Arial" w:cs="Arial"/>
                <w:color w:val="000000"/>
                <w:sz w:val="20"/>
                <w:szCs w:val="20"/>
              </w:rPr>
              <w:t>Equity securities</w:t>
            </w:r>
          </w:p>
        </w:tc>
        <w:tc>
          <w:tcPr>
            <w:tcW w:w="0" w:type="auto"/>
            <w:vAlign w:val="center"/>
            <w:hideMark/>
          </w:tcPr>
          <w:p w:rsidR="00000000" w:rsidRDefault="001F1FC8">
            <w:pPr>
              <w:rPr>
                <w:rFonts w:eastAsia="Times New Roman"/>
              </w:rPr>
            </w:pPr>
          </w:p>
        </w:tc>
        <w:tc>
          <w:tcPr>
            <w:tcW w:w="0" w:type="auto"/>
            <w:vAlign w:val="center"/>
            <w:hideMark/>
          </w:tcPr>
          <w:p w:rsidR="00000000" w:rsidRDefault="001F1FC8">
            <w:pPr>
              <w:rPr>
                <w:rFonts w:eastAsia="Times New Roman"/>
                <w:sz w:val="20"/>
                <w:szCs w:val="20"/>
              </w:rPr>
            </w:pPr>
          </w:p>
        </w:tc>
        <w:tc>
          <w:tcPr>
            <w:tcW w:w="0" w:type="auto"/>
            <w:vAlign w:val="center"/>
            <w:hideMark/>
          </w:tcPr>
          <w:p w:rsidR="00000000" w:rsidRDefault="001F1FC8">
            <w:pPr>
              <w:rPr>
                <w:rFonts w:eastAsia="Times New Roman"/>
                <w:sz w:val="20"/>
                <w:szCs w:val="20"/>
              </w:rPr>
            </w:pPr>
          </w:p>
        </w:tc>
        <w:tc>
          <w:tcPr>
            <w:tcW w:w="0" w:type="auto"/>
            <w:gridSpan w:val="3"/>
            <w:vAlign w:val="center"/>
            <w:hideMark/>
          </w:tcPr>
          <w:p w:rsidR="00000000" w:rsidRDefault="001F1FC8">
            <w:pPr>
              <w:rPr>
                <w:rFonts w:eastAsia="Times New Roman"/>
                <w:sz w:val="20"/>
                <w:szCs w:val="20"/>
              </w:rPr>
            </w:pPr>
          </w:p>
        </w:tc>
        <w:tc>
          <w:tcPr>
            <w:tcW w:w="0" w:type="auto"/>
            <w:gridSpan w:val="3"/>
            <w:vAlign w:val="center"/>
            <w:hideMark/>
          </w:tcPr>
          <w:p w:rsidR="00000000" w:rsidRDefault="001F1FC8">
            <w:pPr>
              <w:rPr>
                <w:rFonts w:eastAsia="Times New Roman"/>
                <w:sz w:val="20"/>
                <w:szCs w:val="20"/>
              </w:rPr>
            </w:pPr>
          </w:p>
        </w:tc>
        <w:tc>
          <w:tcPr>
            <w:tcW w:w="0" w:type="auto"/>
            <w:gridSpan w:val="3"/>
            <w:shd w:val="clear" w:color="auto" w:fill="D9D9D9"/>
            <w:tcMar>
              <w:top w:w="0" w:type="dxa"/>
              <w:left w:w="20" w:type="dxa"/>
              <w:bottom w:w="0" w:type="dxa"/>
              <w:right w:w="20" w:type="dxa"/>
            </w:tcMar>
            <w:vAlign w:val="center"/>
            <w:hideMark/>
          </w:tcPr>
          <w:p w:rsidR="00000000" w:rsidRDefault="001F1FC8">
            <w:pPr>
              <w:rPr>
                <w:rFonts w:eastAsia="Times New Roman"/>
                <w:sz w:val="20"/>
                <w:szCs w:val="20"/>
              </w:rPr>
            </w:pPr>
          </w:p>
        </w:tc>
        <w:tc>
          <w:tcPr>
            <w:tcW w:w="0" w:type="auto"/>
            <w:gridSpan w:val="3"/>
            <w:shd w:val="clear" w:color="auto" w:fill="D9D9D9"/>
            <w:tcMar>
              <w:top w:w="0" w:type="dxa"/>
              <w:left w:w="20" w:type="dxa"/>
              <w:bottom w:w="0" w:type="dxa"/>
              <w:right w:w="20" w:type="dxa"/>
            </w:tcMar>
            <w:vAlign w:val="center"/>
            <w:hideMark/>
          </w:tcPr>
          <w:p w:rsidR="00000000" w:rsidRDefault="001F1FC8">
            <w:pPr>
              <w:rPr>
                <w:rFonts w:eastAsia="Times New Roman"/>
                <w:sz w:val="20"/>
                <w:szCs w:val="20"/>
              </w:rPr>
            </w:pPr>
          </w:p>
        </w:tc>
        <w:tc>
          <w:tcPr>
            <w:tcW w:w="0" w:type="auto"/>
            <w:gridSpan w:val="3"/>
            <w:shd w:val="clear" w:color="auto" w:fill="D9D9D9"/>
            <w:tcMar>
              <w:top w:w="0" w:type="dxa"/>
              <w:left w:w="20" w:type="dxa"/>
              <w:bottom w:w="0" w:type="dxa"/>
              <w:right w:w="20" w:type="dxa"/>
            </w:tcMar>
            <w:vAlign w:val="center"/>
            <w:hideMark/>
          </w:tcPr>
          <w:p w:rsidR="00000000" w:rsidRDefault="001F1FC8">
            <w:pPr>
              <w:rPr>
                <w:rFonts w:eastAsia="Times New Roman"/>
                <w:sz w:val="20"/>
                <w:szCs w:val="20"/>
              </w:rPr>
            </w:pPr>
          </w:p>
        </w:tc>
        <w:tc>
          <w:tcPr>
            <w:tcW w:w="0" w:type="auto"/>
            <w:gridSpan w:val="3"/>
            <w:shd w:val="clear" w:color="auto" w:fill="D9D9D9"/>
            <w:tcMar>
              <w:top w:w="0" w:type="dxa"/>
              <w:left w:w="20" w:type="dxa"/>
              <w:bottom w:w="0" w:type="dxa"/>
              <w:right w:w="20" w:type="dxa"/>
            </w:tcMar>
            <w:vAlign w:val="center"/>
            <w:hideMark/>
          </w:tcPr>
          <w:p w:rsidR="00000000" w:rsidRDefault="001F1FC8">
            <w:pPr>
              <w:rPr>
                <w:rFonts w:eastAsia="Times New Roman"/>
                <w:sz w:val="20"/>
                <w:szCs w:val="20"/>
              </w:rPr>
            </w:pPr>
          </w:p>
        </w:tc>
      </w:tr>
      <w:tr w:rsidR="00000000">
        <w:trPr>
          <w:divId w:val="1406878704"/>
        </w:trPr>
        <w:tc>
          <w:tcPr>
            <w:tcW w:w="0" w:type="auto"/>
            <w:gridSpan w:val="3"/>
            <w:tcMar>
              <w:top w:w="30" w:type="dxa"/>
              <w:left w:w="260" w:type="dxa"/>
              <w:bottom w:w="30" w:type="dxa"/>
              <w:right w:w="20" w:type="dxa"/>
            </w:tcMar>
            <w:hideMark/>
          </w:tcPr>
          <w:p w:rsidR="00000000" w:rsidRDefault="001F1FC8">
            <w:pPr>
              <w:rPr>
                <w:rFonts w:eastAsia="Times New Roman"/>
              </w:rPr>
            </w:pPr>
            <w:r>
              <w:rPr>
                <w:rFonts w:ascii="Arial" w:eastAsia="Times New Roman" w:hAnsi="Arial" w:cs="Arial"/>
                <w:color w:val="000000"/>
                <w:sz w:val="20"/>
                <w:szCs w:val="20"/>
              </w:rPr>
              <w:t>US</w:t>
            </w:r>
          </w:p>
        </w:tc>
        <w:tc>
          <w:tcPr>
            <w:tcW w:w="0" w:type="auto"/>
            <w:vAlign w:val="center"/>
            <w:hideMark/>
          </w:tcPr>
          <w:p w:rsidR="00000000" w:rsidRDefault="001F1FC8">
            <w:pPr>
              <w:rPr>
                <w:rFonts w:eastAsia="Times New Roman"/>
              </w:rPr>
            </w:pPr>
          </w:p>
        </w:tc>
        <w:tc>
          <w:tcPr>
            <w:tcW w:w="0" w:type="auto"/>
            <w:vAlign w:val="center"/>
            <w:hideMark/>
          </w:tcPr>
          <w:p w:rsidR="00000000" w:rsidRDefault="001F1FC8">
            <w:pPr>
              <w:rPr>
                <w:rFonts w:eastAsia="Times New Roman"/>
                <w:sz w:val="20"/>
                <w:szCs w:val="20"/>
              </w:rPr>
            </w:pPr>
          </w:p>
        </w:tc>
        <w:tc>
          <w:tcPr>
            <w:tcW w:w="0" w:type="auto"/>
            <w:vAlign w:val="center"/>
            <w:hideMark/>
          </w:tcPr>
          <w:p w:rsidR="00000000" w:rsidRDefault="001F1FC8">
            <w:pPr>
              <w:rPr>
                <w:rFonts w:eastAsia="Times New Roman"/>
                <w:sz w:val="20"/>
                <w:szCs w:val="20"/>
              </w:rPr>
            </w:pPr>
          </w:p>
        </w:tc>
        <w:tc>
          <w:tcPr>
            <w:tcW w:w="0" w:type="auto"/>
            <w:gridSpan w:val="3"/>
            <w:vAlign w:val="center"/>
            <w:hideMark/>
          </w:tcPr>
          <w:p w:rsidR="00000000" w:rsidRDefault="001F1FC8">
            <w:pPr>
              <w:rPr>
                <w:rFonts w:eastAsia="Times New Roman"/>
                <w:sz w:val="20"/>
                <w:szCs w:val="20"/>
              </w:rPr>
            </w:pPr>
          </w:p>
        </w:tc>
        <w:tc>
          <w:tcPr>
            <w:tcW w:w="0" w:type="auto"/>
            <w:gridSpan w:val="3"/>
            <w:vAlign w:val="center"/>
            <w:hideMark/>
          </w:tcPr>
          <w:p w:rsidR="00000000" w:rsidRDefault="001F1FC8">
            <w:pPr>
              <w:rPr>
                <w:rFonts w:eastAsia="Times New Roman"/>
                <w:sz w:val="20"/>
                <w:szCs w:val="20"/>
              </w:rPr>
            </w:pPr>
          </w:p>
        </w:tc>
        <w:tc>
          <w:tcPr>
            <w:tcW w:w="0" w:type="auto"/>
            <w:gridSpan w:val="2"/>
            <w:shd w:val="clear" w:color="auto" w:fill="D9D9D9"/>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b/>
                <w:bCs/>
                <w:color w:val="000000"/>
                <w:sz w:val="20"/>
                <w:szCs w:val="20"/>
              </w:rPr>
              <w:t>—</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hideMark/>
          </w:tcPr>
          <w:p w:rsidR="00000000" w:rsidRDefault="001F1FC8">
            <w:pPr>
              <w:jc w:val="right"/>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b/>
                <w:bCs/>
                <w:color w:val="000000"/>
                <w:sz w:val="20"/>
                <w:szCs w:val="20"/>
              </w:rPr>
              <w:t>39</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hideMark/>
          </w:tcPr>
          <w:p w:rsidR="00000000" w:rsidRDefault="001F1FC8">
            <w:pPr>
              <w:jc w:val="right"/>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b/>
                <w:bCs/>
                <w:color w:val="000000"/>
                <w:sz w:val="20"/>
                <w:szCs w:val="20"/>
              </w:rPr>
              <w:t>—</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hideMark/>
          </w:tcPr>
          <w:p w:rsidR="00000000" w:rsidRDefault="001F1FC8">
            <w:pPr>
              <w:jc w:val="right"/>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b/>
                <w:bCs/>
                <w:color w:val="000000"/>
                <w:sz w:val="20"/>
                <w:szCs w:val="20"/>
              </w:rPr>
              <w:t>39</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hideMark/>
          </w:tcPr>
          <w:p w:rsidR="00000000" w:rsidRDefault="001F1FC8">
            <w:pPr>
              <w:jc w:val="right"/>
              <w:rPr>
                <w:rFonts w:eastAsia="Times New Roman"/>
              </w:rPr>
            </w:pPr>
          </w:p>
        </w:tc>
      </w:tr>
      <w:tr w:rsidR="00000000">
        <w:trPr>
          <w:divId w:val="1406878704"/>
        </w:trPr>
        <w:tc>
          <w:tcPr>
            <w:tcW w:w="0" w:type="auto"/>
            <w:gridSpan w:val="3"/>
            <w:tcMar>
              <w:top w:w="30" w:type="dxa"/>
              <w:left w:w="260" w:type="dxa"/>
              <w:bottom w:w="30" w:type="dxa"/>
              <w:right w:w="20" w:type="dxa"/>
            </w:tcMar>
            <w:hideMark/>
          </w:tcPr>
          <w:p w:rsidR="00000000" w:rsidRDefault="001F1FC8">
            <w:pPr>
              <w:rPr>
                <w:rFonts w:eastAsia="Times New Roman"/>
              </w:rPr>
            </w:pPr>
            <w:r>
              <w:rPr>
                <w:rFonts w:ascii="Arial" w:eastAsia="Times New Roman" w:hAnsi="Arial" w:cs="Arial"/>
                <w:color w:val="000000"/>
                <w:sz w:val="20"/>
                <w:szCs w:val="20"/>
              </w:rPr>
              <w:t>Global</w:t>
            </w:r>
          </w:p>
        </w:tc>
        <w:tc>
          <w:tcPr>
            <w:tcW w:w="0" w:type="auto"/>
            <w:vAlign w:val="center"/>
            <w:hideMark/>
          </w:tcPr>
          <w:p w:rsidR="00000000" w:rsidRDefault="001F1FC8">
            <w:pPr>
              <w:rPr>
                <w:rFonts w:eastAsia="Times New Roman"/>
              </w:rPr>
            </w:pPr>
          </w:p>
        </w:tc>
        <w:tc>
          <w:tcPr>
            <w:tcW w:w="0" w:type="auto"/>
            <w:vAlign w:val="center"/>
            <w:hideMark/>
          </w:tcPr>
          <w:p w:rsidR="00000000" w:rsidRDefault="001F1FC8">
            <w:pPr>
              <w:rPr>
                <w:rFonts w:eastAsia="Times New Roman"/>
                <w:sz w:val="20"/>
                <w:szCs w:val="20"/>
              </w:rPr>
            </w:pPr>
          </w:p>
        </w:tc>
        <w:tc>
          <w:tcPr>
            <w:tcW w:w="0" w:type="auto"/>
            <w:vAlign w:val="center"/>
            <w:hideMark/>
          </w:tcPr>
          <w:p w:rsidR="00000000" w:rsidRDefault="001F1FC8">
            <w:pPr>
              <w:rPr>
                <w:rFonts w:eastAsia="Times New Roman"/>
                <w:sz w:val="20"/>
                <w:szCs w:val="20"/>
              </w:rPr>
            </w:pPr>
          </w:p>
        </w:tc>
        <w:tc>
          <w:tcPr>
            <w:tcW w:w="0" w:type="auto"/>
            <w:gridSpan w:val="3"/>
            <w:vAlign w:val="center"/>
            <w:hideMark/>
          </w:tcPr>
          <w:p w:rsidR="00000000" w:rsidRDefault="001F1FC8">
            <w:pPr>
              <w:rPr>
                <w:rFonts w:eastAsia="Times New Roman"/>
                <w:sz w:val="20"/>
                <w:szCs w:val="20"/>
              </w:rPr>
            </w:pPr>
          </w:p>
        </w:tc>
        <w:tc>
          <w:tcPr>
            <w:tcW w:w="0" w:type="auto"/>
            <w:gridSpan w:val="3"/>
            <w:vAlign w:val="center"/>
            <w:hideMark/>
          </w:tcPr>
          <w:p w:rsidR="00000000" w:rsidRDefault="001F1FC8">
            <w:pPr>
              <w:rPr>
                <w:rFonts w:eastAsia="Times New Roman"/>
                <w:sz w:val="20"/>
                <w:szCs w:val="20"/>
              </w:rPr>
            </w:pPr>
          </w:p>
        </w:tc>
        <w:tc>
          <w:tcPr>
            <w:tcW w:w="0" w:type="auto"/>
            <w:gridSpan w:val="2"/>
            <w:shd w:val="clear" w:color="auto" w:fill="D9D9D9"/>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b/>
                <w:bCs/>
                <w:color w:val="000000"/>
                <w:sz w:val="20"/>
                <w:szCs w:val="20"/>
              </w:rPr>
              <w:t>—</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hideMark/>
          </w:tcPr>
          <w:p w:rsidR="00000000" w:rsidRDefault="001F1FC8">
            <w:pPr>
              <w:jc w:val="right"/>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b/>
                <w:bCs/>
                <w:color w:val="000000"/>
                <w:sz w:val="20"/>
                <w:szCs w:val="20"/>
              </w:rPr>
              <w:t>75</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hideMark/>
          </w:tcPr>
          <w:p w:rsidR="00000000" w:rsidRDefault="001F1FC8">
            <w:pPr>
              <w:jc w:val="right"/>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b/>
                <w:bCs/>
                <w:color w:val="000000"/>
                <w:sz w:val="20"/>
                <w:szCs w:val="20"/>
              </w:rPr>
              <w:t>—</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hideMark/>
          </w:tcPr>
          <w:p w:rsidR="00000000" w:rsidRDefault="001F1FC8">
            <w:pPr>
              <w:jc w:val="right"/>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b/>
                <w:bCs/>
                <w:color w:val="000000"/>
                <w:sz w:val="20"/>
                <w:szCs w:val="20"/>
              </w:rPr>
              <w:t>75</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hideMark/>
          </w:tcPr>
          <w:p w:rsidR="00000000" w:rsidRDefault="001F1FC8">
            <w:pPr>
              <w:jc w:val="right"/>
              <w:rPr>
                <w:rFonts w:eastAsia="Times New Roman"/>
              </w:rPr>
            </w:pPr>
          </w:p>
        </w:tc>
      </w:tr>
      <w:tr w:rsidR="00000000">
        <w:trPr>
          <w:divId w:val="1406878704"/>
        </w:trPr>
        <w:tc>
          <w:tcPr>
            <w:tcW w:w="0" w:type="auto"/>
            <w:gridSpan w:val="3"/>
            <w:tcMar>
              <w:top w:w="30" w:type="dxa"/>
              <w:left w:w="35" w:type="dxa"/>
              <w:bottom w:w="30" w:type="dxa"/>
              <w:right w:w="20" w:type="dxa"/>
            </w:tcMar>
            <w:hideMark/>
          </w:tcPr>
          <w:p w:rsidR="00000000" w:rsidRDefault="001F1FC8">
            <w:pPr>
              <w:rPr>
                <w:rFonts w:eastAsia="Times New Roman"/>
              </w:rPr>
            </w:pPr>
            <w:r>
              <w:rPr>
                <w:rFonts w:ascii="Arial" w:eastAsia="Times New Roman" w:hAnsi="Arial" w:cs="Arial"/>
                <w:color w:val="000000"/>
                <w:sz w:val="20"/>
                <w:szCs w:val="20"/>
              </w:rPr>
              <w:t>Fixed income securities</w:t>
            </w:r>
          </w:p>
        </w:tc>
        <w:tc>
          <w:tcPr>
            <w:tcW w:w="0" w:type="auto"/>
            <w:vAlign w:val="center"/>
            <w:hideMark/>
          </w:tcPr>
          <w:p w:rsidR="00000000" w:rsidRDefault="001F1FC8">
            <w:pPr>
              <w:rPr>
                <w:rFonts w:eastAsia="Times New Roman"/>
              </w:rPr>
            </w:pPr>
          </w:p>
        </w:tc>
        <w:tc>
          <w:tcPr>
            <w:tcW w:w="0" w:type="auto"/>
            <w:vAlign w:val="center"/>
            <w:hideMark/>
          </w:tcPr>
          <w:p w:rsidR="00000000" w:rsidRDefault="001F1FC8">
            <w:pPr>
              <w:rPr>
                <w:rFonts w:eastAsia="Times New Roman"/>
                <w:sz w:val="20"/>
                <w:szCs w:val="20"/>
              </w:rPr>
            </w:pPr>
          </w:p>
        </w:tc>
        <w:tc>
          <w:tcPr>
            <w:tcW w:w="0" w:type="auto"/>
            <w:vAlign w:val="center"/>
            <w:hideMark/>
          </w:tcPr>
          <w:p w:rsidR="00000000" w:rsidRDefault="001F1FC8">
            <w:pPr>
              <w:rPr>
                <w:rFonts w:eastAsia="Times New Roman"/>
                <w:sz w:val="20"/>
                <w:szCs w:val="20"/>
              </w:rPr>
            </w:pPr>
          </w:p>
        </w:tc>
        <w:tc>
          <w:tcPr>
            <w:tcW w:w="0" w:type="auto"/>
            <w:gridSpan w:val="3"/>
            <w:vAlign w:val="center"/>
            <w:hideMark/>
          </w:tcPr>
          <w:p w:rsidR="00000000" w:rsidRDefault="001F1FC8">
            <w:pPr>
              <w:rPr>
                <w:rFonts w:eastAsia="Times New Roman"/>
                <w:sz w:val="20"/>
                <w:szCs w:val="20"/>
              </w:rPr>
            </w:pPr>
          </w:p>
        </w:tc>
        <w:tc>
          <w:tcPr>
            <w:tcW w:w="0" w:type="auto"/>
            <w:gridSpan w:val="3"/>
            <w:vAlign w:val="center"/>
            <w:hideMark/>
          </w:tcPr>
          <w:p w:rsidR="00000000" w:rsidRDefault="001F1FC8">
            <w:pPr>
              <w:rPr>
                <w:rFonts w:eastAsia="Times New Roman"/>
                <w:sz w:val="20"/>
                <w:szCs w:val="20"/>
              </w:rPr>
            </w:pPr>
          </w:p>
        </w:tc>
        <w:tc>
          <w:tcPr>
            <w:tcW w:w="0" w:type="auto"/>
            <w:gridSpan w:val="3"/>
            <w:shd w:val="clear" w:color="auto" w:fill="D9D9D9"/>
            <w:tcMar>
              <w:top w:w="0" w:type="dxa"/>
              <w:left w:w="20" w:type="dxa"/>
              <w:bottom w:w="0" w:type="dxa"/>
              <w:right w:w="20" w:type="dxa"/>
            </w:tcMar>
            <w:vAlign w:val="center"/>
            <w:hideMark/>
          </w:tcPr>
          <w:p w:rsidR="00000000" w:rsidRDefault="001F1FC8">
            <w:pPr>
              <w:rPr>
                <w:rFonts w:eastAsia="Times New Roman"/>
                <w:sz w:val="20"/>
                <w:szCs w:val="20"/>
              </w:rPr>
            </w:pPr>
          </w:p>
        </w:tc>
        <w:tc>
          <w:tcPr>
            <w:tcW w:w="0" w:type="auto"/>
            <w:gridSpan w:val="3"/>
            <w:shd w:val="clear" w:color="auto" w:fill="D9D9D9"/>
            <w:tcMar>
              <w:top w:w="0" w:type="dxa"/>
              <w:left w:w="20" w:type="dxa"/>
              <w:bottom w:w="0" w:type="dxa"/>
              <w:right w:w="20" w:type="dxa"/>
            </w:tcMar>
            <w:vAlign w:val="center"/>
            <w:hideMark/>
          </w:tcPr>
          <w:p w:rsidR="00000000" w:rsidRDefault="001F1FC8">
            <w:pPr>
              <w:rPr>
                <w:rFonts w:eastAsia="Times New Roman"/>
                <w:sz w:val="20"/>
                <w:szCs w:val="20"/>
              </w:rPr>
            </w:pPr>
          </w:p>
        </w:tc>
        <w:tc>
          <w:tcPr>
            <w:tcW w:w="0" w:type="auto"/>
            <w:gridSpan w:val="3"/>
            <w:shd w:val="clear" w:color="auto" w:fill="D9D9D9"/>
            <w:tcMar>
              <w:top w:w="0" w:type="dxa"/>
              <w:left w:w="20" w:type="dxa"/>
              <w:bottom w:w="0" w:type="dxa"/>
              <w:right w:w="20" w:type="dxa"/>
            </w:tcMar>
            <w:vAlign w:val="center"/>
            <w:hideMark/>
          </w:tcPr>
          <w:p w:rsidR="00000000" w:rsidRDefault="001F1FC8">
            <w:pPr>
              <w:rPr>
                <w:rFonts w:eastAsia="Times New Roman"/>
                <w:sz w:val="20"/>
                <w:szCs w:val="20"/>
              </w:rPr>
            </w:pPr>
          </w:p>
        </w:tc>
        <w:tc>
          <w:tcPr>
            <w:tcW w:w="0" w:type="auto"/>
            <w:gridSpan w:val="3"/>
            <w:shd w:val="clear" w:color="auto" w:fill="D9D9D9"/>
            <w:tcMar>
              <w:top w:w="0" w:type="dxa"/>
              <w:left w:w="20" w:type="dxa"/>
              <w:bottom w:w="0" w:type="dxa"/>
              <w:right w:w="20" w:type="dxa"/>
            </w:tcMar>
            <w:vAlign w:val="center"/>
            <w:hideMark/>
          </w:tcPr>
          <w:p w:rsidR="00000000" w:rsidRDefault="001F1FC8">
            <w:pPr>
              <w:rPr>
                <w:rFonts w:eastAsia="Times New Roman"/>
                <w:sz w:val="20"/>
                <w:szCs w:val="20"/>
              </w:rPr>
            </w:pPr>
          </w:p>
        </w:tc>
      </w:tr>
      <w:tr w:rsidR="00000000">
        <w:trPr>
          <w:divId w:val="1406878704"/>
        </w:trPr>
        <w:tc>
          <w:tcPr>
            <w:tcW w:w="0" w:type="auto"/>
            <w:gridSpan w:val="3"/>
            <w:tcMar>
              <w:top w:w="30" w:type="dxa"/>
              <w:left w:w="260" w:type="dxa"/>
              <w:bottom w:w="30" w:type="dxa"/>
              <w:right w:w="20" w:type="dxa"/>
            </w:tcMar>
            <w:hideMark/>
          </w:tcPr>
          <w:p w:rsidR="00000000" w:rsidRDefault="001F1FC8">
            <w:pPr>
              <w:rPr>
                <w:rFonts w:eastAsia="Times New Roman"/>
              </w:rPr>
            </w:pPr>
            <w:r>
              <w:rPr>
                <w:rFonts w:ascii="Arial" w:eastAsia="Times New Roman" w:hAnsi="Arial" w:cs="Arial"/>
                <w:color w:val="000000"/>
                <w:sz w:val="20"/>
                <w:szCs w:val="20"/>
              </w:rPr>
              <w:t>Government</w:t>
            </w:r>
          </w:p>
        </w:tc>
        <w:tc>
          <w:tcPr>
            <w:tcW w:w="0" w:type="auto"/>
            <w:vAlign w:val="center"/>
            <w:hideMark/>
          </w:tcPr>
          <w:p w:rsidR="00000000" w:rsidRDefault="001F1FC8">
            <w:pPr>
              <w:rPr>
                <w:rFonts w:eastAsia="Times New Roman"/>
              </w:rPr>
            </w:pPr>
          </w:p>
        </w:tc>
        <w:tc>
          <w:tcPr>
            <w:tcW w:w="0" w:type="auto"/>
            <w:vAlign w:val="center"/>
            <w:hideMark/>
          </w:tcPr>
          <w:p w:rsidR="00000000" w:rsidRDefault="001F1FC8">
            <w:pPr>
              <w:rPr>
                <w:rFonts w:eastAsia="Times New Roman"/>
                <w:sz w:val="20"/>
                <w:szCs w:val="20"/>
              </w:rPr>
            </w:pPr>
          </w:p>
        </w:tc>
        <w:tc>
          <w:tcPr>
            <w:tcW w:w="0" w:type="auto"/>
            <w:vAlign w:val="center"/>
            <w:hideMark/>
          </w:tcPr>
          <w:p w:rsidR="00000000" w:rsidRDefault="001F1FC8">
            <w:pPr>
              <w:rPr>
                <w:rFonts w:eastAsia="Times New Roman"/>
                <w:sz w:val="20"/>
                <w:szCs w:val="20"/>
              </w:rPr>
            </w:pPr>
          </w:p>
        </w:tc>
        <w:tc>
          <w:tcPr>
            <w:tcW w:w="0" w:type="auto"/>
            <w:gridSpan w:val="3"/>
            <w:vAlign w:val="center"/>
            <w:hideMark/>
          </w:tcPr>
          <w:p w:rsidR="00000000" w:rsidRDefault="001F1FC8">
            <w:pPr>
              <w:rPr>
                <w:rFonts w:eastAsia="Times New Roman"/>
                <w:sz w:val="20"/>
                <w:szCs w:val="20"/>
              </w:rPr>
            </w:pPr>
          </w:p>
        </w:tc>
        <w:tc>
          <w:tcPr>
            <w:tcW w:w="0" w:type="auto"/>
            <w:gridSpan w:val="3"/>
            <w:vAlign w:val="center"/>
            <w:hideMark/>
          </w:tcPr>
          <w:p w:rsidR="00000000" w:rsidRDefault="001F1FC8">
            <w:pPr>
              <w:rPr>
                <w:rFonts w:eastAsia="Times New Roman"/>
                <w:sz w:val="20"/>
                <w:szCs w:val="20"/>
              </w:rPr>
            </w:pPr>
          </w:p>
        </w:tc>
        <w:tc>
          <w:tcPr>
            <w:tcW w:w="0" w:type="auto"/>
            <w:gridSpan w:val="2"/>
            <w:shd w:val="clear" w:color="auto" w:fill="D9D9D9"/>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b/>
                <w:bCs/>
                <w:color w:val="000000"/>
                <w:sz w:val="20"/>
                <w:szCs w:val="20"/>
              </w:rPr>
              <w:t>47</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hideMark/>
          </w:tcPr>
          <w:p w:rsidR="00000000" w:rsidRDefault="001F1FC8">
            <w:pPr>
              <w:jc w:val="right"/>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b/>
                <w:bCs/>
                <w:color w:val="000000"/>
                <w:sz w:val="20"/>
                <w:szCs w:val="20"/>
              </w:rPr>
              <w:t>6</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hideMark/>
          </w:tcPr>
          <w:p w:rsidR="00000000" w:rsidRDefault="001F1FC8">
            <w:pPr>
              <w:jc w:val="right"/>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b/>
                <w:bCs/>
                <w:color w:val="000000"/>
                <w:sz w:val="20"/>
                <w:szCs w:val="20"/>
              </w:rPr>
              <w:t>—</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hideMark/>
          </w:tcPr>
          <w:p w:rsidR="00000000" w:rsidRDefault="001F1FC8">
            <w:pPr>
              <w:jc w:val="right"/>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b/>
                <w:bCs/>
                <w:color w:val="000000"/>
                <w:sz w:val="20"/>
                <w:szCs w:val="20"/>
              </w:rPr>
              <w:t>53</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hideMark/>
          </w:tcPr>
          <w:p w:rsidR="00000000" w:rsidRDefault="001F1FC8">
            <w:pPr>
              <w:jc w:val="right"/>
              <w:rPr>
                <w:rFonts w:eastAsia="Times New Roman"/>
              </w:rPr>
            </w:pPr>
          </w:p>
        </w:tc>
      </w:tr>
      <w:tr w:rsidR="00000000">
        <w:trPr>
          <w:divId w:val="1406878704"/>
        </w:trPr>
        <w:tc>
          <w:tcPr>
            <w:tcW w:w="0" w:type="auto"/>
            <w:gridSpan w:val="3"/>
            <w:tcMar>
              <w:top w:w="30" w:type="dxa"/>
              <w:left w:w="260" w:type="dxa"/>
              <w:bottom w:w="30" w:type="dxa"/>
              <w:right w:w="20" w:type="dxa"/>
            </w:tcMar>
            <w:hideMark/>
          </w:tcPr>
          <w:p w:rsidR="00000000" w:rsidRDefault="001F1FC8">
            <w:pPr>
              <w:rPr>
                <w:rFonts w:eastAsia="Times New Roman"/>
              </w:rPr>
            </w:pPr>
            <w:r>
              <w:rPr>
                <w:rFonts w:ascii="Arial" w:eastAsia="Times New Roman" w:hAnsi="Arial" w:cs="Arial"/>
                <w:color w:val="000000"/>
                <w:sz w:val="20"/>
                <w:szCs w:val="20"/>
              </w:rPr>
              <w:t>Corporate</w:t>
            </w:r>
          </w:p>
        </w:tc>
        <w:tc>
          <w:tcPr>
            <w:tcW w:w="0" w:type="auto"/>
            <w:vAlign w:val="center"/>
            <w:hideMark/>
          </w:tcPr>
          <w:p w:rsidR="00000000" w:rsidRDefault="001F1FC8">
            <w:pPr>
              <w:rPr>
                <w:rFonts w:eastAsia="Times New Roman"/>
              </w:rPr>
            </w:pPr>
          </w:p>
        </w:tc>
        <w:tc>
          <w:tcPr>
            <w:tcW w:w="0" w:type="auto"/>
            <w:vAlign w:val="center"/>
            <w:hideMark/>
          </w:tcPr>
          <w:p w:rsidR="00000000" w:rsidRDefault="001F1FC8">
            <w:pPr>
              <w:rPr>
                <w:rFonts w:eastAsia="Times New Roman"/>
                <w:sz w:val="20"/>
                <w:szCs w:val="20"/>
              </w:rPr>
            </w:pPr>
          </w:p>
        </w:tc>
        <w:tc>
          <w:tcPr>
            <w:tcW w:w="0" w:type="auto"/>
            <w:vAlign w:val="center"/>
            <w:hideMark/>
          </w:tcPr>
          <w:p w:rsidR="00000000" w:rsidRDefault="001F1FC8">
            <w:pPr>
              <w:rPr>
                <w:rFonts w:eastAsia="Times New Roman"/>
                <w:sz w:val="20"/>
                <w:szCs w:val="20"/>
              </w:rPr>
            </w:pPr>
          </w:p>
        </w:tc>
        <w:tc>
          <w:tcPr>
            <w:tcW w:w="0" w:type="auto"/>
            <w:gridSpan w:val="3"/>
            <w:vAlign w:val="center"/>
            <w:hideMark/>
          </w:tcPr>
          <w:p w:rsidR="00000000" w:rsidRDefault="001F1FC8">
            <w:pPr>
              <w:rPr>
                <w:rFonts w:eastAsia="Times New Roman"/>
                <w:sz w:val="20"/>
                <w:szCs w:val="20"/>
              </w:rPr>
            </w:pPr>
          </w:p>
        </w:tc>
        <w:tc>
          <w:tcPr>
            <w:tcW w:w="0" w:type="auto"/>
            <w:gridSpan w:val="3"/>
            <w:vAlign w:val="center"/>
            <w:hideMark/>
          </w:tcPr>
          <w:p w:rsidR="00000000" w:rsidRDefault="001F1FC8">
            <w:pPr>
              <w:rPr>
                <w:rFonts w:eastAsia="Times New Roman"/>
                <w:sz w:val="20"/>
                <w:szCs w:val="20"/>
              </w:rPr>
            </w:pPr>
          </w:p>
        </w:tc>
        <w:tc>
          <w:tcPr>
            <w:tcW w:w="0" w:type="auto"/>
            <w:gridSpan w:val="2"/>
            <w:shd w:val="clear" w:color="auto" w:fill="D9D9D9"/>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b/>
                <w:bCs/>
                <w:color w:val="000000"/>
                <w:sz w:val="20"/>
                <w:szCs w:val="20"/>
              </w:rPr>
              <w:t>—</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hideMark/>
          </w:tcPr>
          <w:p w:rsidR="00000000" w:rsidRDefault="001F1FC8">
            <w:pPr>
              <w:jc w:val="right"/>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b/>
                <w:bCs/>
                <w:color w:val="000000"/>
                <w:sz w:val="20"/>
                <w:szCs w:val="20"/>
              </w:rPr>
              <w:t>8</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hideMark/>
          </w:tcPr>
          <w:p w:rsidR="00000000" w:rsidRDefault="001F1FC8">
            <w:pPr>
              <w:jc w:val="right"/>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b/>
                <w:bCs/>
                <w:color w:val="000000"/>
                <w:sz w:val="20"/>
                <w:szCs w:val="20"/>
              </w:rPr>
              <w:t>—</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hideMark/>
          </w:tcPr>
          <w:p w:rsidR="00000000" w:rsidRDefault="001F1FC8">
            <w:pPr>
              <w:jc w:val="right"/>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b/>
                <w:bCs/>
                <w:color w:val="000000"/>
                <w:sz w:val="20"/>
                <w:szCs w:val="20"/>
              </w:rPr>
              <w:t>8</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hideMark/>
          </w:tcPr>
          <w:p w:rsidR="00000000" w:rsidRDefault="001F1FC8">
            <w:pPr>
              <w:jc w:val="right"/>
              <w:rPr>
                <w:rFonts w:eastAsia="Times New Roman"/>
              </w:rPr>
            </w:pPr>
          </w:p>
        </w:tc>
      </w:tr>
      <w:tr w:rsidR="00000000">
        <w:trPr>
          <w:divId w:val="1406878704"/>
        </w:trPr>
        <w:tc>
          <w:tcPr>
            <w:tcW w:w="0" w:type="auto"/>
            <w:gridSpan w:val="3"/>
            <w:tcMar>
              <w:top w:w="30" w:type="dxa"/>
              <w:left w:w="20" w:type="dxa"/>
              <w:bottom w:w="30" w:type="dxa"/>
              <w:right w:w="20" w:type="dxa"/>
            </w:tcMar>
            <w:hideMark/>
          </w:tcPr>
          <w:p w:rsidR="00000000" w:rsidRDefault="001F1FC8">
            <w:pPr>
              <w:divId w:val="1734042709"/>
              <w:rPr>
                <w:rFonts w:eastAsia="Times New Roman"/>
              </w:rPr>
            </w:pPr>
            <w:r>
              <w:rPr>
                <w:rFonts w:ascii="Arial" w:eastAsia="Times New Roman" w:hAnsi="Arial" w:cs="Arial"/>
                <w:color w:val="000000"/>
                <w:sz w:val="20"/>
                <w:szCs w:val="20"/>
              </w:rPr>
              <w:t>Alternative</w:t>
            </w:r>
            <w:r>
              <w:rPr>
                <w:rFonts w:ascii="Arial" w:eastAsia="Times New Roman" w:hAnsi="Arial" w:cs="Arial"/>
                <w:color w:val="000000"/>
                <w:sz w:val="20"/>
                <w:szCs w:val="20"/>
              </w:rPr>
              <w:t>s</w:t>
            </w:r>
            <w:r>
              <w:rPr>
                <w:rFonts w:ascii="Arial" w:eastAsia="Times New Roman" w:hAnsi="Arial" w:cs="Arial"/>
                <w:color w:val="000000"/>
                <w:sz w:val="10"/>
                <w:szCs w:val="10"/>
              </w:rPr>
              <w:t>4</w:t>
            </w:r>
          </w:p>
        </w:tc>
        <w:tc>
          <w:tcPr>
            <w:tcW w:w="0" w:type="auto"/>
            <w:vAlign w:val="center"/>
            <w:hideMark/>
          </w:tcPr>
          <w:p w:rsidR="00000000" w:rsidRDefault="001F1FC8">
            <w:pPr>
              <w:rPr>
                <w:rFonts w:eastAsia="Times New Roman"/>
              </w:rPr>
            </w:pPr>
          </w:p>
        </w:tc>
        <w:tc>
          <w:tcPr>
            <w:tcW w:w="0" w:type="auto"/>
            <w:vAlign w:val="center"/>
            <w:hideMark/>
          </w:tcPr>
          <w:p w:rsidR="00000000" w:rsidRDefault="001F1FC8">
            <w:pPr>
              <w:rPr>
                <w:rFonts w:eastAsia="Times New Roman"/>
                <w:sz w:val="20"/>
                <w:szCs w:val="20"/>
              </w:rPr>
            </w:pPr>
          </w:p>
        </w:tc>
        <w:tc>
          <w:tcPr>
            <w:tcW w:w="0" w:type="auto"/>
            <w:vAlign w:val="center"/>
            <w:hideMark/>
          </w:tcPr>
          <w:p w:rsidR="00000000" w:rsidRDefault="001F1FC8">
            <w:pPr>
              <w:rPr>
                <w:rFonts w:eastAsia="Times New Roman"/>
                <w:sz w:val="20"/>
                <w:szCs w:val="20"/>
              </w:rPr>
            </w:pPr>
          </w:p>
        </w:tc>
        <w:tc>
          <w:tcPr>
            <w:tcW w:w="0" w:type="auto"/>
            <w:gridSpan w:val="3"/>
            <w:vAlign w:val="center"/>
            <w:hideMark/>
          </w:tcPr>
          <w:p w:rsidR="00000000" w:rsidRDefault="001F1FC8">
            <w:pPr>
              <w:rPr>
                <w:rFonts w:eastAsia="Times New Roman"/>
                <w:sz w:val="20"/>
                <w:szCs w:val="20"/>
              </w:rPr>
            </w:pPr>
          </w:p>
        </w:tc>
        <w:tc>
          <w:tcPr>
            <w:tcW w:w="0" w:type="auto"/>
            <w:gridSpan w:val="3"/>
            <w:vAlign w:val="center"/>
            <w:hideMark/>
          </w:tcPr>
          <w:p w:rsidR="00000000" w:rsidRDefault="001F1FC8">
            <w:pPr>
              <w:rPr>
                <w:rFonts w:eastAsia="Times New Roman"/>
                <w:sz w:val="20"/>
                <w:szCs w:val="20"/>
              </w:rPr>
            </w:pPr>
          </w:p>
        </w:tc>
        <w:tc>
          <w:tcPr>
            <w:tcW w:w="0" w:type="auto"/>
            <w:gridSpan w:val="2"/>
            <w:shd w:val="clear" w:color="auto" w:fill="D9D9D9"/>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b/>
                <w:bCs/>
                <w:color w:val="000000"/>
                <w:sz w:val="20"/>
                <w:szCs w:val="20"/>
              </w:rPr>
              <w:t>—</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hideMark/>
          </w:tcPr>
          <w:p w:rsidR="00000000" w:rsidRDefault="001F1FC8">
            <w:pPr>
              <w:jc w:val="right"/>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b/>
                <w:bCs/>
                <w:color w:val="000000"/>
                <w:sz w:val="20"/>
                <w:szCs w:val="20"/>
              </w:rPr>
              <w:t>—</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hideMark/>
          </w:tcPr>
          <w:p w:rsidR="00000000" w:rsidRDefault="001F1FC8">
            <w:pPr>
              <w:jc w:val="right"/>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b/>
                <w:bCs/>
                <w:color w:val="000000"/>
                <w:sz w:val="20"/>
                <w:szCs w:val="20"/>
              </w:rPr>
              <w:t>22</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hideMark/>
          </w:tcPr>
          <w:p w:rsidR="00000000" w:rsidRDefault="001F1FC8">
            <w:pPr>
              <w:jc w:val="right"/>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b/>
                <w:bCs/>
                <w:color w:val="000000"/>
                <w:sz w:val="20"/>
                <w:szCs w:val="20"/>
              </w:rPr>
              <w:t>22</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hideMark/>
          </w:tcPr>
          <w:p w:rsidR="00000000" w:rsidRDefault="001F1FC8">
            <w:pPr>
              <w:jc w:val="right"/>
              <w:rPr>
                <w:rFonts w:eastAsia="Times New Roman"/>
              </w:rPr>
            </w:pPr>
          </w:p>
        </w:tc>
      </w:tr>
      <w:tr w:rsidR="00000000">
        <w:trPr>
          <w:divId w:val="1406878704"/>
        </w:trPr>
        <w:tc>
          <w:tcPr>
            <w:tcW w:w="0" w:type="auto"/>
            <w:gridSpan w:val="3"/>
            <w:tcBorders>
              <w:top w:val="single" w:sz="4" w:space="0" w:color="000000"/>
            </w:tcBorders>
            <w:tcMar>
              <w:top w:w="30" w:type="dxa"/>
              <w:left w:w="20" w:type="dxa"/>
              <w:bottom w:w="30" w:type="dxa"/>
              <w:right w:w="20" w:type="dxa"/>
            </w:tcMar>
            <w:hideMark/>
          </w:tcPr>
          <w:p w:rsidR="00000000" w:rsidRDefault="001F1FC8">
            <w:pPr>
              <w:rPr>
                <w:rFonts w:eastAsia="Times New Roman"/>
              </w:rPr>
            </w:pPr>
            <w:r>
              <w:rPr>
                <w:rFonts w:ascii="Arial" w:eastAsia="Times New Roman" w:hAnsi="Arial" w:cs="Arial"/>
                <w:color w:val="000000"/>
                <w:sz w:val="20"/>
                <w:szCs w:val="20"/>
              </w:rPr>
              <w:t>Total OPEB plan assets at fair value</w:t>
            </w:r>
          </w:p>
        </w:tc>
        <w:tc>
          <w:tcPr>
            <w:tcW w:w="0" w:type="auto"/>
            <w:vAlign w:val="center"/>
            <w:hideMark/>
          </w:tcPr>
          <w:p w:rsidR="00000000" w:rsidRDefault="001F1FC8">
            <w:pPr>
              <w:rPr>
                <w:rFonts w:eastAsia="Times New Roman"/>
              </w:rPr>
            </w:pPr>
          </w:p>
        </w:tc>
        <w:tc>
          <w:tcPr>
            <w:tcW w:w="0" w:type="auto"/>
            <w:vAlign w:val="center"/>
            <w:hideMark/>
          </w:tcPr>
          <w:p w:rsidR="00000000" w:rsidRDefault="001F1FC8">
            <w:pPr>
              <w:rPr>
                <w:rFonts w:eastAsia="Times New Roman"/>
                <w:sz w:val="20"/>
                <w:szCs w:val="20"/>
              </w:rPr>
            </w:pPr>
          </w:p>
        </w:tc>
        <w:tc>
          <w:tcPr>
            <w:tcW w:w="0" w:type="auto"/>
            <w:vAlign w:val="center"/>
            <w:hideMark/>
          </w:tcPr>
          <w:p w:rsidR="00000000" w:rsidRDefault="001F1FC8">
            <w:pPr>
              <w:rPr>
                <w:rFonts w:eastAsia="Times New Roman"/>
                <w:sz w:val="20"/>
                <w:szCs w:val="20"/>
              </w:rPr>
            </w:pPr>
          </w:p>
        </w:tc>
        <w:tc>
          <w:tcPr>
            <w:tcW w:w="0" w:type="auto"/>
            <w:gridSpan w:val="3"/>
            <w:vAlign w:val="center"/>
            <w:hideMark/>
          </w:tcPr>
          <w:p w:rsidR="00000000" w:rsidRDefault="001F1FC8">
            <w:pPr>
              <w:rPr>
                <w:rFonts w:eastAsia="Times New Roman"/>
                <w:sz w:val="20"/>
                <w:szCs w:val="20"/>
              </w:rPr>
            </w:pPr>
          </w:p>
        </w:tc>
        <w:tc>
          <w:tcPr>
            <w:tcW w:w="0" w:type="auto"/>
            <w:gridSpan w:val="3"/>
            <w:vAlign w:val="center"/>
            <w:hideMark/>
          </w:tcPr>
          <w:p w:rsidR="00000000" w:rsidRDefault="001F1FC8">
            <w:pPr>
              <w:rPr>
                <w:rFonts w:eastAsia="Times New Roman"/>
                <w:sz w:val="20"/>
                <w:szCs w:val="20"/>
              </w:rPr>
            </w:pPr>
          </w:p>
        </w:tc>
        <w:tc>
          <w:tcPr>
            <w:tcW w:w="0" w:type="auto"/>
            <w:gridSpan w:val="2"/>
            <w:tcBorders>
              <w:top w:val="single" w:sz="4" w:space="0" w:color="000000"/>
            </w:tcBorders>
            <w:shd w:val="clear" w:color="auto" w:fill="D9D9D9"/>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b/>
                <w:bCs/>
                <w:color w:val="000000"/>
                <w:sz w:val="20"/>
                <w:szCs w:val="20"/>
              </w:rPr>
              <w:t>51</w:t>
            </w:r>
            <w:r>
              <w:rPr>
                <w:rFonts w:ascii="Arial" w:eastAsia="Times New Roman" w:hAnsi="Arial" w:cs="Arial"/>
                <w:color w:val="000000"/>
                <w:sz w:val="20"/>
                <w:szCs w:val="20"/>
              </w:rPr>
              <w:t> </w:t>
            </w:r>
          </w:p>
        </w:tc>
        <w:tc>
          <w:tcPr>
            <w:tcW w:w="0" w:type="auto"/>
            <w:tcBorders>
              <w:top w:val="single" w:sz="4" w:space="0" w:color="000000"/>
            </w:tcBorders>
            <w:shd w:val="clear" w:color="auto" w:fill="D9D9D9"/>
            <w:tcMar>
              <w:top w:w="30" w:type="dxa"/>
              <w:left w:w="0" w:type="dxa"/>
              <w:bottom w:w="30" w:type="dxa"/>
              <w:right w:w="20" w:type="dxa"/>
            </w:tcMar>
            <w:hideMark/>
          </w:tcPr>
          <w:p w:rsidR="00000000" w:rsidRDefault="001F1FC8">
            <w:pPr>
              <w:jc w:val="right"/>
              <w:rPr>
                <w:rFonts w:eastAsia="Times New Roman"/>
              </w:rPr>
            </w:pPr>
          </w:p>
        </w:tc>
        <w:tc>
          <w:tcPr>
            <w:tcW w:w="0" w:type="auto"/>
            <w:gridSpan w:val="2"/>
            <w:tcBorders>
              <w:top w:val="single" w:sz="4" w:space="0" w:color="000000"/>
            </w:tcBorders>
            <w:shd w:val="clear" w:color="auto" w:fill="D9D9D9"/>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b/>
                <w:bCs/>
                <w:color w:val="000000"/>
                <w:sz w:val="20"/>
                <w:szCs w:val="20"/>
              </w:rPr>
              <w:t>128</w:t>
            </w:r>
            <w:r>
              <w:rPr>
                <w:rFonts w:ascii="Arial" w:eastAsia="Times New Roman" w:hAnsi="Arial" w:cs="Arial"/>
                <w:color w:val="000000"/>
                <w:sz w:val="20"/>
                <w:szCs w:val="20"/>
              </w:rPr>
              <w:t> </w:t>
            </w:r>
          </w:p>
        </w:tc>
        <w:tc>
          <w:tcPr>
            <w:tcW w:w="0" w:type="auto"/>
            <w:tcBorders>
              <w:top w:val="single" w:sz="4" w:space="0" w:color="000000"/>
            </w:tcBorders>
            <w:shd w:val="clear" w:color="auto" w:fill="D9D9D9"/>
            <w:tcMar>
              <w:top w:w="30" w:type="dxa"/>
              <w:left w:w="0" w:type="dxa"/>
              <w:bottom w:w="30" w:type="dxa"/>
              <w:right w:w="20" w:type="dxa"/>
            </w:tcMar>
            <w:hideMark/>
          </w:tcPr>
          <w:p w:rsidR="00000000" w:rsidRDefault="001F1FC8">
            <w:pPr>
              <w:jc w:val="right"/>
              <w:rPr>
                <w:rFonts w:eastAsia="Times New Roman"/>
              </w:rPr>
            </w:pPr>
          </w:p>
        </w:tc>
        <w:tc>
          <w:tcPr>
            <w:tcW w:w="0" w:type="auto"/>
            <w:gridSpan w:val="2"/>
            <w:tcBorders>
              <w:top w:val="single" w:sz="4" w:space="0" w:color="000000"/>
            </w:tcBorders>
            <w:shd w:val="clear" w:color="auto" w:fill="D9D9D9"/>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b/>
                <w:bCs/>
                <w:color w:val="000000"/>
                <w:sz w:val="20"/>
                <w:szCs w:val="20"/>
              </w:rPr>
              <w:t>22</w:t>
            </w:r>
            <w:r>
              <w:rPr>
                <w:rFonts w:ascii="Arial" w:eastAsia="Times New Roman" w:hAnsi="Arial" w:cs="Arial"/>
                <w:color w:val="000000"/>
                <w:sz w:val="20"/>
                <w:szCs w:val="20"/>
              </w:rPr>
              <w:t> </w:t>
            </w:r>
          </w:p>
        </w:tc>
        <w:tc>
          <w:tcPr>
            <w:tcW w:w="0" w:type="auto"/>
            <w:tcBorders>
              <w:top w:val="single" w:sz="4" w:space="0" w:color="000000"/>
            </w:tcBorders>
            <w:shd w:val="clear" w:color="auto" w:fill="D9D9D9"/>
            <w:tcMar>
              <w:top w:w="30" w:type="dxa"/>
              <w:left w:w="0" w:type="dxa"/>
              <w:bottom w:w="30" w:type="dxa"/>
              <w:right w:w="20" w:type="dxa"/>
            </w:tcMar>
            <w:hideMark/>
          </w:tcPr>
          <w:p w:rsidR="00000000" w:rsidRDefault="001F1FC8">
            <w:pPr>
              <w:jc w:val="right"/>
              <w:rPr>
                <w:rFonts w:eastAsia="Times New Roman"/>
              </w:rPr>
            </w:pPr>
          </w:p>
        </w:tc>
        <w:tc>
          <w:tcPr>
            <w:tcW w:w="0" w:type="auto"/>
            <w:gridSpan w:val="2"/>
            <w:tcBorders>
              <w:top w:val="single" w:sz="4" w:space="0" w:color="000000"/>
            </w:tcBorders>
            <w:shd w:val="clear" w:color="auto" w:fill="D9D9D9"/>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b/>
                <w:bCs/>
                <w:color w:val="000000"/>
                <w:sz w:val="20"/>
                <w:szCs w:val="20"/>
              </w:rPr>
              <w:t>201</w:t>
            </w:r>
            <w:r>
              <w:rPr>
                <w:rFonts w:ascii="Arial" w:eastAsia="Times New Roman" w:hAnsi="Arial" w:cs="Arial"/>
                <w:color w:val="000000"/>
                <w:sz w:val="20"/>
                <w:szCs w:val="20"/>
              </w:rPr>
              <w:t> </w:t>
            </w:r>
          </w:p>
        </w:tc>
        <w:tc>
          <w:tcPr>
            <w:tcW w:w="0" w:type="auto"/>
            <w:tcBorders>
              <w:top w:val="single" w:sz="4" w:space="0" w:color="000000"/>
            </w:tcBorders>
            <w:shd w:val="clear" w:color="auto" w:fill="D9D9D9"/>
            <w:tcMar>
              <w:top w:w="30" w:type="dxa"/>
              <w:left w:w="0" w:type="dxa"/>
              <w:bottom w:w="30" w:type="dxa"/>
              <w:right w:w="20" w:type="dxa"/>
            </w:tcMar>
            <w:hideMark/>
          </w:tcPr>
          <w:p w:rsidR="00000000" w:rsidRDefault="001F1FC8">
            <w:pPr>
              <w:jc w:val="right"/>
              <w:rPr>
                <w:rFonts w:eastAsia="Times New Roman"/>
              </w:rPr>
            </w:pPr>
          </w:p>
        </w:tc>
      </w:tr>
      <w:tr w:rsidR="00000000">
        <w:trPr>
          <w:divId w:val="1406878704"/>
        </w:trPr>
        <w:tc>
          <w:tcPr>
            <w:tcW w:w="0" w:type="auto"/>
            <w:gridSpan w:val="3"/>
            <w:tcBorders>
              <w:top w:val="single" w:sz="8" w:space="0" w:color="000000"/>
            </w:tcBorders>
            <w:tcMar>
              <w:top w:w="30" w:type="dxa"/>
              <w:left w:w="20" w:type="dxa"/>
              <w:bottom w:w="30" w:type="dxa"/>
              <w:right w:w="20" w:type="dxa"/>
            </w:tcMar>
            <w:vAlign w:val="center"/>
            <w:hideMark/>
          </w:tcPr>
          <w:p w:rsidR="00000000" w:rsidRDefault="001F1FC8">
            <w:pPr>
              <w:rPr>
                <w:rFonts w:eastAsia="Times New Roman"/>
              </w:rPr>
            </w:pPr>
            <w:r>
              <w:rPr>
                <w:rFonts w:ascii="Arial" w:eastAsia="Times New Roman" w:hAnsi="Arial" w:cs="Arial"/>
                <w:b/>
                <w:bCs/>
                <w:color w:val="000000"/>
                <w:sz w:val="20"/>
                <w:szCs w:val="20"/>
              </w:rPr>
              <w:t>December 31, 2020</w:t>
            </w:r>
          </w:p>
        </w:tc>
        <w:tc>
          <w:tcPr>
            <w:tcW w:w="0" w:type="auto"/>
            <w:vAlign w:val="center"/>
            <w:hideMark/>
          </w:tcPr>
          <w:p w:rsidR="00000000" w:rsidRDefault="001F1FC8">
            <w:pPr>
              <w:rPr>
                <w:rFonts w:eastAsia="Times New Roman"/>
              </w:rPr>
            </w:pPr>
          </w:p>
        </w:tc>
        <w:tc>
          <w:tcPr>
            <w:tcW w:w="0" w:type="auto"/>
            <w:vAlign w:val="center"/>
            <w:hideMark/>
          </w:tcPr>
          <w:p w:rsidR="00000000" w:rsidRDefault="001F1FC8">
            <w:pPr>
              <w:rPr>
                <w:rFonts w:eastAsia="Times New Roman"/>
                <w:sz w:val="20"/>
                <w:szCs w:val="20"/>
              </w:rPr>
            </w:pPr>
          </w:p>
        </w:tc>
        <w:tc>
          <w:tcPr>
            <w:tcW w:w="0" w:type="auto"/>
            <w:vAlign w:val="center"/>
            <w:hideMark/>
          </w:tcPr>
          <w:p w:rsidR="00000000" w:rsidRDefault="001F1FC8">
            <w:pPr>
              <w:rPr>
                <w:rFonts w:eastAsia="Times New Roman"/>
                <w:sz w:val="20"/>
                <w:szCs w:val="20"/>
              </w:rPr>
            </w:pPr>
          </w:p>
        </w:tc>
        <w:tc>
          <w:tcPr>
            <w:tcW w:w="0" w:type="auto"/>
            <w:gridSpan w:val="3"/>
            <w:vAlign w:val="center"/>
            <w:hideMark/>
          </w:tcPr>
          <w:p w:rsidR="00000000" w:rsidRDefault="001F1FC8">
            <w:pPr>
              <w:rPr>
                <w:rFonts w:eastAsia="Times New Roman"/>
                <w:sz w:val="20"/>
                <w:szCs w:val="20"/>
              </w:rPr>
            </w:pPr>
          </w:p>
        </w:tc>
        <w:tc>
          <w:tcPr>
            <w:tcW w:w="0" w:type="auto"/>
            <w:gridSpan w:val="3"/>
            <w:vAlign w:val="center"/>
            <w:hideMark/>
          </w:tcPr>
          <w:p w:rsidR="00000000" w:rsidRDefault="001F1FC8">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1F1FC8">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1F1FC8">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1F1FC8">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1F1FC8">
            <w:pPr>
              <w:rPr>
                <w:rFonts w:eastAsia="Times New Roman"/>
                <w:sz w:val="20"/>
                <w:szCs w:val="20"/>
              </w:rPr>
            </w:pPr>
          </w:p>
        </w:tc>
      </w:tr>
      <w:tr w:rsidR="00000000">
        <w:trPr>
          <w:divId w:val="1406878704"/>
        </w:trPr>
        <w:tc>
          <w:tcPr>
            <w:tcW w:w="0" w:type="auto"/>
            <w:gridSpan w:val="3"/>
            <w:vAlign w:val="center"/>
            <w:hideMark/>
          </w:tcPr>
          <w:p w:rsidR="00000000" w:rsidRDefault="001F1FC8">
            <w:pPr>
              <w:rPr>
                <w:rFonts w:eastAsia="Times New Roman"/>
                <w:sz w:val="20"/>
                <w:szCs w:val="20"/>
              </w:rPr>
            </w:pPr>
          </w:p>
        </w:tc>
        <w:tc>
          <w:tcPr>
            <w:tcW w:w="0" w:type="auto"/>
            <w:vAlign w:val="center"/>
            <w:hideMark/>
          </w:tcPr>
          <w:p w:rsidR="00000000" w:rsidRDefault="001F1FC8">
            <w:pPr>
              <w:rPr>
                <w:rFonts w:eastAsia="Times New Roman"/>
                <w:sz w:val="20"/>
                <w:szCs w:val="20"/>
              </w:rPr>
            </w:pPr>
          </w:p>
        </w:tc>
        <w:tc>
          <w:tcPr>
            <w:tcW w:w="0" w:type="auto"/>
            <w:vAlign w:val="center"/>
            <w:hideMark/>
          </w:tcPr>
          <w:p w:rsidR="00000000" w:rsidRDefault="001F1FC8">
            <w:pPr>
              <w:rPr>
                <w:rFonts w:eastAsia="Times New Roman"/>
                <w:sz w:val="20"/>
                <w:szCs w:val="20"/>
              </w:rPr>
            </w:pPr>
          </w:p>
        </w:tc>
        <w:tc>
          <w:tcPr>
            <w:tcW w:w="0" w:type="auto"/>
            <w:vAlign w:val="center"/>
            <w:hideMark/>
          </w:tcPr>
          <w:p w:rsidR="00000000" w:rsidRDefault="001F1FC8">
            <w:pPr>
              <w:rPr>
                <w:rFonts w:eastAsia="Times New Roman"/>
                <w:sz w:val="20"/>
                <w:szCs w:val="20"/>
              </w:rPr>
            </w:pPr>
          </w:p>
        </w:tc>
        <w:tc>
          <w:tcPr>
            <w:tcW w:w="0" w:type="auto"/>
            <w:gridSpan w:val="3"/>
            <w:vAlign w:val="center"/>
            <w:hideMark/>
          </w:tcPr>
          <w:p w:rsidR="00000000" w:rsidRDefault="001F1FC8">
            <w:pPr>
              <w:rPr>
                <w:rFonts w:eastAsia="Times New Roman"/>
                <w:sz w:val="20"/>
                <w:szCs w:val="20"/>
              </w:rPr>
            </w:pPr>
          </w:p>
        </w:tc>
        <w:tc>
          <w:tcPr>
            <w:tcW w:w="0" w:type="auto"/>
            <w:gridSpan w:val="3"/>
            <w:vAlign w:val="center"/>
            <w:hideMark/>
          </w:tcPr>
          <w:p w:rsidR="00000000" w:rsidRDefault="001F1FC8">
            <w:pPr>
              <w:rPr>
                <w:rFonts w:eastAsia="Times New Roman"/>
                <w:sz w:val="20"/>
                <w:szCs w:val="20"/>
              </w:rPr>
            </w:pPr>
          </w:p>
        </w:tc>
        <w:tc>
          <w:tcPr>
            <w:tcW w:w="0" w:type="auto"/>
            <w:gridSpan w:val="3"/>
            <w:vAlign w:val="center"/>
            <w:hideMark/>
          </w:tcPr>
          <w:p w:rsidR="00000000" w:rsidRDefault="001F1FC8">
            <w:pPr>
              <w:rPr>
                <w:rFonts w:eastAsia="Times New Roman"/>
                <w:sz w:val="20"/>
                <w:szCs w:val="20"/>
              </w:rPr>
            </w:pPr>
          </w:p>
        </w:tc>
        <w:tc>
          <w:tcPr>
            <w:tcW w:w="0" w:type="auto"/>
            <w:gridSpan w:val="3"/>
            <w:vAlign w:val="center"/>
            <w:hideMark/>
          </w:tcPr>
          <w:p w:rsidR="00000000" w:rsidRDefault="001F1FC8">
            <w:pPr>
              <w:rPr>
                <w:rFonts w:eastAsia="Times New Roman"/>
                <w:sz w:val="20"/>
                <w:szCs w:val="20"/>
              </w:rPr>
            </w:pPr>
          </w:p>
        </w:tc>
        <w:tc>
          <w:tcPr>
            <w:tcW w:w="0" w:type="auto"/>
            <w:gridSpan w:val="3"/>
            <w:vAlign w:val="center"/>
            <w:hideMark/>
          </w:tcPr>
          <w:p w:rsidR="00000000" w:rsidRDefault="001F1FC8">
            <w:pPr>
              <w:rPr>
                <w:rFonts w:eastAsia="Times New Roman"/>
                <w:sz w:val="20"/>
                <w:szCs w:val="20"/>
              </w:rPr>
            </w:pPr>
          </w:p>
        </w:tc>
        <w:tc>
          <w:tcPr>
            <w:tcW w:w="0" w:type="auto"/>
            <w:gridSpan w:val="3"/>
            <w:vAlign w:val="center"/>
            <w:hideMark/>
          </w:tcPr>
          <w:p w:rsidR="00000000" w:rsidRDefault="001F1FC8">
            <w:pPr>
              <w:rPr>
                <w:rFonts w:eastAsia="Times New Roman"/>
                <w:sz w:val="20"/>
                <w:szCs w:val="20"/>
              </w:rPr>
            </w:pPr>
          </w:p>
        </w:tc>
      </w:tr>
      <w:tr w:rsidR="00000000">
        <w:trPr>
          <w:divId w:val="1406878704"/>
        </w:trPr>
        <w:tc>
          <w:tcPr>
            <w:tcW w:w="0" w:type="auto"/>
            <w:gridSpan w:val="3"/>
            <w:tcMar>
              <w:top w:w="30" w:type="dxa"/>
              <w:left w:w="35" w:type="dxa"/>
              <w:bottom w:w="30" w:type="dxa"/>
              <w:right w:w="20" w:type="dxa"/>
            </w:tcMar>
            <w:hideMark/>
          </w:tcPr>
          <w:p w:rsidR="00000000" w:rsidRDefault="001F1FC8">
            <w:pPr>
              <w:rPr>
                <w:rFonts w:eastAsia="Times New Roman"/>
              </w:rPr>
            </w:pPr>
            <w:r>
              <w:rPr>
                <w:rFonts w:ascii="Arial" w:eastAsia="Times New Roman" w:hAnsi="Arial" w:cs="Arial"/>
                <w:color w:val="000000"/>
                <w:sz w:val="20"/>
                <w:szCs w:val="20"/>
              </w:rPr>
              <w:t>Equity securities</w:t>
            </w:r>
          </w:p>
        </w:tc>
        <w:tc>
          <w:tcPr>
            <w:tcW w:w="0" w:type="auto"/>
            <w:vAlign w:val="center"/>
            <w:hideMark/>
          </w:tcPr>
          <w:p w:rsidR="00000000" w:rsidRDefault="001F1FC8">
            <w:pPr>
              <w:rPr>
                <w:rFonts w:eastAsia="Times New Roman"/>
              </w:rPr>
            </w:pPr>
          </w:p>
        </w:tc>
        <w:tc>
          <w:tcPr>
            <w:tcW w:w="0" w:type="auto"/>
            <w:vAlign w:val="center"/>
            <w:hideMark/>
          </w:tcPr>
          <w:p w:rsidR="00000000" w:rsidRDefault="001F1FC8">
            <w:pPr>
              <w:rPr>
                <w:rFonts w:eastAsia="Times New Roman"/>
                <w:sz w:val="20"/>
                <w:szCs w:val="20"/>
              </w:rPr>
            </w:pPr>
          </w:p>
        </w:tc>
        <w:tc>
          <w:tcPr>
            <w:tcW w:w="0" w:type="auto"/>
            <w:vAlign w:val="center"/>
            <w:hideMark/>
          </w:tcPr>
          <w:p w:rsidR="00000000" w:rsidRDefault="001F1FC8">
            <w:pPr>
              <w:rPr>
                <w:rFonts w:eastAsia="Times New Roman"/>
                <w:sz w:val="20"/>
                <w:szCs w:val="20"/>
              </w:rPr>
            </w:pPr>
          </w:p>
        </w:tc>
        <w:tc>
          <w:tcPr>
            <w:tcW w:w="0" w:type="auto"/>
            <w:gridSpan w:val="3"/>
            <w:vAlign w:val="center"/>
            <w:hideMark/>
          </w:tcPr>
          <w:p w:rsidR="00000000" w:rsidRDefault="001F1FC8">
            <w:pPr>
              <w:rPr>
                <w:rFonts w:eastAsia="Times New Roman"/>
                <w:sz w:val="20"/>
                <w:szCs w:val="20"/>
              </w:rPr>
            </w:pPr>
          </w:p>
        </w:tc>
        <w:tc>
          <w:tcPr>
            <w:tcW w:w="0" w:type="auto"/>
            <w:gridSpan w:val="3"/>
            <w:vAlign w:val="center"/>
            <w:hideMark/>
          </w:tcPr>
          <w:p w:rsidR="00000000" w:rsidRDefault="001F1FC8">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1F1FC8">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1F1FC8">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1F1FC8">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1F1FC8">
            <w:pPr>
              <w:rPr>
                <w:rFonts w:eastAsia="Times New Roman"/>
                <w:sz w:val="20"/>
                <w:szCs w:val="20"/>
              </w:rPr>
            </w:pPr>
          </w:p>
        </w:tc>
      </w:tr>
      <w:tr w:rsidR="00000000">
        <w:trPr>
          <w:divId w:val="1406878704"/>
        </w:trPr>
        <w:tc>
          <w:tcPr>
            <w:tcW w:w="0" w:type="auto"/>
            <w:gridSpan w:val="3"/>
            <w:tcMar>
              <w:top w:w="30" w:type="dxa"/>
              <w:left w:w="260" w:type="dxa"/>
              <w:bottom w:w="30" w:type="dxa"/>
              <w:right w:w="20" w:type="dxa"/>
            </w:tcMar>
            <w:hideMark/>
          </w:tcPr>
          <w:p w:rsidR="00000000" w:rsidRDefault="001F1FC8">
            <w:pPr>
              <w:rPr>
                <w:rFonts w:eastAsia="Times New Roman"/>
              </w:rPr>
            </w:pPr>
            <w:r>
              <w:rPr>
                <w:rFonts w:ascii="Arial" w:eastAsia="Times New Roman" w:hAnsi="Arial" w:cs="Arial"/>
                <w:color w:val="000000"/>
                <w:sz w:val="20"/>
                <w:szCs w:val="20"/>
              </w:rPr>
              <w:t>US</w:t>
            </w:r>
          </w:p>
        </w:tc>
        <w:tc>
          <w:tcPr>
            <w:tcW w:w="0" w:type="auto"/>
            <w:vAlign w:val="center"/>
            <w:hideMark/>
          </w:tcPr>
          <w:p w:rsidR="00000000" w:rsidRDefault="001F1FC8">
            <w:pPr>
              <w:rPr>
                <w:rFonts w:eastAsia="Times New Roman"/>
              </w:rPr>
            </w:pPr>
          </w:p>
        </w:tc>
        <w:tc>
          <w:tcPr>
            <w:tcW w:w="0" w:type="auto"/>
            <w:vAlign w:val="center"/>
            <w:hideMark/>
          </w:tcPr>
          <w:p w:rsidR="00000000" w:rsidRDefault="001F1FC8">
            <w:pPr>
              <w:rPr>
                <w:rFonts w:eastAsia="Times New Roman"/>
                <w:sz w:val="20"/>
                <w:szCs w:val="20"/>
              </w:rPr>
            </w:pPr>
          </w:p>
        </w:tc>
        <w:tc>
          <w:tcPr>
            <w:tcW w:w="0" w:type="auto"/>
            <w:vAlign w:val="center"/>
            <w:hideMark/>
          </w:tcPr>
          <w:p w:rsidR="00000000" w:rsidRDefault="001F1FC8">
            <w:pPr>
              <w:rPr>
                <w:rFonts w:eastAsia="Times New Roman"/>
                <w:sz w:val="20"/>
                <w:szCs w:val="20"/>
              </w:rPr>
            </w:pPr>
          </w:p>
        </w:tc>
        <w:tc>
          <w:tcPr>
            <w:tcW w:w="0" w:type="auto"/>
            <w:gridSpan w:val="3"/>
            <w:vAlign w:val="center"/>
            <w:hideMark/>
          </w:tcPr>
          <w:p w:rsidR="00000000" w:rsidRDefault="001F1FC8">
            <w:pPr>
              <w:rPr>
                <w:rFonts w:eastAsia="Times New Roman"/>
                <w:sz w:val="20"/>
                <w:szCs w:val="20"/>
              </w:rPr>
            </w:pPr>
          </w:p>
        </w:tc>
        <w:tc>
          <w:tcPr>
            <w:tcW w:w="0" w:type="auto"/>
            <w:gridSpan w:val="3"/>
            <w:vAlign w:val="center"/>
            <w:hideMark/>
          </w:tcPr>
          <w:p w:rsidR="00000000" w:rsidRDefault="001F1FC8">
            <w:pPr>
              <w:rPr>
                <w:rFonts w:eastAsia="Times New Roman"/>
                <w:sz w:val="20"/>
                <w:szCs w:val="20"/>
              </w:rPr>
            </w:pPr>
          </w:p>
        </w:tc>
        <w:tc>
          <w:tcPr>
            <w:tcW w:w="0" w:type="auto"/>
            <w:gridSpan w:val="2"/>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color w:val="000000"/>
                <w:sz w:val="20"/>
                <w:szCs w:val="20"/>
              </w:rPr>
              <w:t>— </w:t>
            </w:r>
          </w:p>
        </w:tc>
        <w:tc>
          <w:tcPr>
            <w:tcW w:w="0" w:type="auto"/>
            <w:tcMar>
              <w:top w:w="30" w:type="dxa"/>
              <w:left w:w="0" w:type="dxa"/>
              <w:bottom w:w="30" w:type="dxa"/>
              <w:right w:w="20" w:type="dxa"/>
            </w:tcMar>
            <w:hideMark/>
          </w:tcPr>
          <w:p w:rsidR="00000000" w:rsidRDefault="001F1FC8">
            <w:pPr>
              <w:jc w:val="right"/>
              <w:rPr>
                <w:rFonts w:eastAsia="Times New Roman"/>
              </w:rPr>
            </w:pPr>
          </w:p>
        </w:tc>
        <w:tc>
          <w:tcPr>
            <w:tcW w:w="0" w:type="auto"/>
            <w:gridSpan w:val="2"/>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color w:val="000000"/>
                <w:sz w:val="20"/>
                <w:szCs w:val="20"/>
              </w:rPr>
              <w:t>35 </w:t>
            </w:r>
          </w:p>
        </w:tc>
        <w:tc>
          <w:tcPr>
            <w:tcW w:w="0" w:type="auto"/>
            <w:tcMar>
              <w:top w:w="30" w:type="dxa"/>
              <w:left w:w="0" w:type="dxa"/>
              <w:bottom w:w="30" w:type="dxa"/>
              <w:right w:w="20" w:type="dxa"/>
            </w:tcMar>
            <w:hideMark/>
          </w:tcPr>
          <w:p w:rsidR="00000000" w:rsidRDefault="001F1FC8">
            <w:pPr>
              <w:jc w:val="right"/>
              <w:rPr>
                <w:rFonts w:eastAsia="Times New Roman"/>
              </w:rPr>
            </w:pPr>
          </w:p>
        </w:tc>
        <w:tc>
          <w:tcPr>
            <w:tcW w:w="0" w:type="auto"/>
            <w:gridSpan w:val="2"/>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color w:val="000000"/>
                <w:sz w:val="20"/>
                <w:szCs w:val="20"/>
              </w:rPr>
              <w:t>— </w:t>
            </w:r>
          </w:p>
        </w:tc>
        <w:tc>
          <w:tcPr>
            <w:tcW w:w="0" w:type="auto"/>
            <w:tcMar>
              <w:top w:w="30" w:type="dxa"/>
              <w:left w:w="0" w:type="dxa"/>
              <w:bottom w:w="30" w:type="dxa"/>
              <w:right w:w="20" w:type="dxa"/>
            </w:tcMar>
            <w:hideMark/>
          </w:tcPr>
          <w:p w:rsidR="00000000" w:rsidRDefault="001F1FC8">
            <w:pPr>
              <w:jc w:val="right"/>
              <w:rPr>
                <w:rFonts w:eastAsia="Times New Roman"/>
              </w:rPr>
            </w:pPr>
          </w:p>
        </w:tc>
        <w:tc>
          <w:tcPr>
            <w:tcW w:w="0" w:type="auto"/>
            <w:gridSpan w:val="2"/>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color w:val="000000"/>
                <w:sz w:val="20"/>
                <w:szCs w:val="20"/>
              </w:rPr>
              <w:t>35 </w:t>
            </w:r>
          </w:p>
        </w:tc>
        <w:tc>
          <w:tcPr>
            <w:tcW w:w="0" w:type="auto"/>
            <w:tcMar>
              <w:top w:w="30" w:type="dxa"/>
              <w:left w:w="0" w:type="dxa"/>
              <w:bottom w:w="30" w:type="dxa"/>
              <w:right w:w="20" w:type="dxa"/>
            </w:tcMar>
            <w:hideMark/>
          </w:tcPr>
          <w:p w:rsidR="00000000" w:rsidRDefault="001F1FC8">
            <w:pPr>
              <w:jc w:val="right"/>
              <w:rPr>
                <w:rFonts w:eastAsia="Times New Roman"/>
              </w:rPr>
            </w:pPr>
          </w:p>
        </w:tc>
      </w:tr>
      <w:tr w:rsidR="00000000">
        <w:trPr>
          <w:divId w:val="1406878704"/>
        </w:trPr>
        <w:tc>
          <w:tcPr>
            <w:tcW w:w="0" w:type="auto"/>
            <w:gridSpan w:val="3"/>
            <w:tcMar>
              <w:top w:w="30" w:type="dxa"/>
              <w:left w:w="260" w:type="dxa"/>
              <w:bottom w:w="30" w:type="dxa"/>
              <w:right w:w="20" w:type="dxa"/>
            </w:tcMar>
            <w:hideMark/>
          </w:tcPr>
          <w:p w:rsidR="00000000" w:rsidRDefault="001F1FC8">
            <w:pPr>
              <w:rPr>
                <w:rFonts w:eastAsia="Times New Roman"/>
              </w:rPr>
            </w:pPr>
            <w:r>
              <w:rPr>
                <w:rFonts w:ascii="Arial" w:eastAsia="Times New Roman" w:hAnsi="Arial" w:cs="Arial"/>
                <w:color w:val="000000"/>
                <w:sz w:val="20"/>
                <w:szCs w:val="20"/>
              </w:rPr>
              <w:t>Global</w:t>
            </w:r>
          </w:p>
        </w:tc>
        <w:tc>
          <w:tcPr>
            <w:tcW w:w="0" w:type="auto"/>
            <w:vAlign w:val="center"/>
            <w:hideMark/>
          </w:tcPr>
          <w:p w:rsidR="00000000" w:rsidRDefault="001F1FC8">
            <w:pPr>
              <w:rPr>
                <w:rFonts w:eastAsia="Times New Roman"/>
              </w:rPr>
            </w:pPr>
          </w:p>
        </w:tc>
        <w:tc>
          <w:tcPr>
            <w:tcW w:w="0" w:type="auto"/>
            <w:vAlign w:val="center"/>
            <w:hideMark/>
          </w:tcPr>
          <w:p w:rsidR="00000000" w:rsidRDefault="001F1FC8">
            <w:pPr>
              <w:rPr>
                <w:rFonts w:eastAsia="Times New Roman"/>
                <w:sz w:val="20"/>
                <w:szCs w:val="20"/>
              </w:rPr>
            </w:pPr>
          </w:p>
        </w:tc>
        <w:tc>
          <w:tcPr>
            <w:tcW w:w="0" w:type="auto"/>
            <w:vAlign w:val="center"/>
            <w:hideMark/>
          </w:tcPr>
          <w:p w:rsidR="00000000" w:rsidRDefault="001F1FC8">
            <w:pPr>
              <w:rPr>
                <w:rFonts w:eastAsia="Times New Roman"/>
                <w:sz w:val="20"/>
                <w:szCs w:val="20"/>
              </w:rPr>
            </w:pPr>
          </w:p>
        </w:tc>
        <w:tc>
          <w:tcPr>
            <w:tcW w:w="0" w:type="auto"/>
            <w:gridSpan w:val="3"/>
            <w:vAlign w:val="center"/>
            <w:hideMark/>
          </w:tcPr>
          <w:p w:rsidR="00000000" w:rsidRDefault="001F1FC8">
            <w:pPr>
              <w:rPr>
                <w:rFonts w:eastAsia="Times New Roman"/>
                <w:sz w:val="20"/>
                <w:szCs w:val="20"/>
              </w:rPr>
            </w:pPr>
          </w:p>
        </w:tc>
        <w:tc>
          <w:tcPr>
            <w:tcW w:w="0" w:type="auto"/>
            <w:gridSpan w:val="3"/>
            <w:vAlign w:val="center"/>
            <w:hideMark/>
          </w:tcPr>
          <w:p w:rsidR="00000000" w:rsidRDefault="001F1FC8">
            <w:pPr>
              <w:rPr>
                <w:rFonts w:eastAsia="Times New Roman"/>
                <w:sz w:val="20"/>
                <w:szCs w:val="20"/>
              </w:rPr>
            </w:pPr>
          </w:p>
        </w:tc>
        <w:tc>
          <w:tcPr>
            <w:tcW w:w="0" w:type="auto"/>
            <w:gridSpan w:val="2"/>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color w:val="000000"/>
                <w:sz w:val="20"/>
                <w:szCs w:val="20"/>
              </w:rPr>
              <w:t>— </w:t>
            </w:r>
          </w:p>
        </w:tc>
        <w:tc>
          <w:tcPr>
            <w:tcW w:w="0" w:type="auto"/>
            <w:tcMar>
              <w:top w:w="30" w:type="dxa"/>
              <w:left w:w="0" w:type="dxa"/>
              <w:bottom w:w="30" w:type="dxa"/>
              <w:right w:w="20" w:type="dxa"/>
            </w:tcMar>
            <w:hideMark/>
          </w:tcPr>
          <w:p w:rsidR="00000000" w:rsidRDefault="001F1FC8">
            <w:pPr>
              <w:jc w:val="right"/>
              <w:rPr>
                <w:rFonts w:eastAsia="Times New Roman"/>
              </w:rPr>
            </w:pPr>
          </w:p>
        </w:tc>
        <w:tc>
          <w:tcPr>
            <w:tcW w:w="0" w:type="auto"/>
            <w:gridSpan w:val="2"/>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color w:val="000000"/>
                <w:sz w:val="20"/>
                <w:szCs w:val="20"/>
              </w:rPr>
              <w:t>79 </w:t>
            </w:r>
          </w:p>
        </w:tc>
        <w:tc>
          <w:tcPr>
            <w:tcW w:w="0" w:type="auto"/>
            <w:tcMar>
              <w:top w:w="30" w:type="dxa"/>
              <w:left w:w="0" w:type="dxa"/>
              <w:bottom w:w="30" w:type="dxa"/>
              <w:right w:w="20" w:type="dxa"/>
            </w:tcMar>
            <w:hideMark/>
          </w:tcPr>
          <w:p w:rsidR="00000000" w:rsidRDefault="001F1FC8">
            <w:pPr>
              <w:jc w:val="right"/>
              <w:rPr>
                <w:rFonts w:eastAsia="Times New Roman"/>
              </w:rPr>
            </w:pPr>
          </w:p>
        </w:tc>
        <w:tc>
          <w:tcPr>
            <w:tcW w:w="0" w:type="auto"/>
            <w:gridSpan w:val="2"/>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color w:val="000000"/>
                <w:sz w:val="20"/>
                <w:szCs w:val="20"/>
              </w:rPr>
              <w:t>— </w:t>
            </w:r>
          </w:p>
        </w:tc>
        <w:tc>
          <w:tcPr>
            <w:tcW w:w="0" w:type="auto"/>
            <w:tcMar>
              <w:top w:w="30" w:type="dxa"/>
              <w:left w:w="0" w:type="dxa"/>
              <w:bottom w:w="30" w:type="dxa"/>
              <w:right w:w="20" w:type="dxa"/>
            </w:tcMar>
            <w:hideMark/>
          </w:tcPr>
          <w:p w:rsidR="00000000" w:rsidRDefault="001F1FC8">
            <w:pPr>
              <w:jc w:val="right"/>
              <w:rPr>
                <w:rFonts w:eastAsia="Times New Roman"/>
              </w:rPr>
            </w:pPr>
          </w:p>
        </w:tc>
        <w:tc>
          <w:tcPr>
            <w:tcW w:w="0" w:type="auto"/>
            <w:gridSpan w:val="2"/>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color w:val="000000"/>
                <w:sz w:val="20"/>
                <w:szCs w:val="20"/>
              </w:rPr>
              <w:t>79 </w:t>
            </w:r>
          </w:p>
        </w:tc>
        <w:tc>
          <w:tcPr>
            <w:tcW w:w="0" w:type="auto"/>
            <w:tcMar>
              <w:top w:w="30" w:type="dxa"/>
              <w:left w:w="0" w:type="dxa"/>
              <w:bottom w:w="30" w:type="dxa"/>
              <w:right w:w="20" w:type="dxa"/>
            </w:tcMar>
            <w:hideMark/>
          </w:tcPr>
          <w:p w:rsidR="00000000" w:rsidRDefault="001F1FC8">
            <w:pPr>
              <w:jc w:val="right"/>
              <w:rPr>
                <w:rFonts w:eastAsia="Times New Roman"/>
              </w:rPr>
            </w:pPr>
          </w:p>
        </w:tc>
      </w:tr>
      <w:tr w:rsidR="00000000">
        <w:trPr>
          <w:divId w:val="1406878704"/>
        </w:trPr>
        <w:tc>
          <w:tcPr>
            <w:tcW w:w="0" w:type="auto"/>
            <w:gridSpan w:val="3"/>
            <w:tcMar>
              <w:top w:w="30" w:type="dxa"/>
              <w:left w:w="35" w:type="dxa"/>
              <w:bottom w:w="30" w:type="dxa"/>
              <w:right w:w="20" w:type="dxa"/>
            </w:tcMar>
            <w:hideMark/>
          </w:tcPr>
          <w:p w:rsidR="00000000" w:rsidRDefault="001F1FC8">
            <w:pPr>
              <w:rPr>
                <w:rFonts w:eastAsia="Times New Roman"/>
              </w:rPr>
            </w:pPr>
            <w:r>
              <w:rPr>
                <w:rFonts w:ascii="Arial" w:eastAsia="Times New Roman" w:hAnsi="Arial" w:cs="Arial"/>
                <w:color w:val="000000"/>
                <w:sz w:val="20"/>
                <w:szCs w:val="20"/>
              </w:rPr>
              <w:t>Fixed income securities</w:t>
            </w:r>
          </w:p>
        </w:tc>
        <w:tc>
          <w:tcPr>
            <w:tcW w:w="0" w:type="auto"/>
            <w:vAlign w:val="center"/>
            <w:hideMark/>
          </w:tcPr>
          <w:p w:rsidR="00000000" w:rsidRDefault="001F1FC8">
            <w:pPr>
              <w:rPr>
                <w:rFonts w:eastAsia="Times New Roman"/>
              </w:rPr>
            </w:pPr>
          </w:p>
        </w:tc>
        <w:tc>
          <w:tcPr>
            <w:tcW w:w="0" w:type="auto"/>
            <w:vAlign w:val="center"/>
            <w:hideMark/>
          </w:tcPr>
          <w:p w:rsidR="00000000" w:rsidRDefault="001F1FC8">
            <w:pPr>
              <w:rPr>
                <w:rFonts w:eastAsia="Times New Roman"/>
                <w:sz w:val="20"/>
                <w:szCs w:val="20"/>
              </w:rPr>
            </w:pPr>
          </w:p>
        </w:tc>
        <w:tc>
          <w:tcPr>
            <w:tcW w:w="0" w:type="auto"/>
            <w:vAlign w:val="center"/>
            <w:hideMark/>
          </w:tcPr>
          <w:p w:rsidR="00000000" w:rsidRDefault="001F1FC8">
            <w:pPr>
              <w:rPr>
                <w:rFonts w:eastAsia="Times New Roman"/>
                <w:sz w:val="20"/>
                <w:szCs w:val="20"/>
              </w:rPr>
            </w:pPr>
          </w:p>
        </w:tc>
        <w:tc>
          <w:tcPr>
            <w:tcW w:w="0" w:type="auto"/>
            <w:gridSpan w:val="3"/>
            <w:vAlign w:val="center"/>
            <w:hideMark/>
          </w:tcPr>
          <w:p w:rsidR="00000000" w:rsidRDefault="001F1FC8">
            <w:pPr>
              <w:rPr>
                <w:rFonts w:eastAsia="Times New Roman"/>
                <w:sz w:val="20"/>
                <w:szCs w:val="20"/>
              </w:rPr>
            </w:pPr>
          </w:p>
        </w:tc>
        <w:tc>
          <w:tcPr>
            <w:tcW w:w="0" w:type="auto"/>
            <w:gridSpan w:val="3"/>
            <w:vAlign w:val="center"/>
            <w:hideMark/>
          </w:tcPr>
          <w:p w:rsidR="00000000" w:rsidRDefault="001F1FC8">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1F1FC8">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1F1FC8">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1F1FC8">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1F1FC8">
            <w:pPr>
              <w:rPr>
                <w:rFonts w:eastAsia="Times New Roman"/>
                <w:sz w:val="20"/>
                <w:szCs w:val="20"/>
              </w:rPr>
            </w:pPr>
          </w:p>
        </w:tc>
      </w:tr>
      <w:tr w:rsidR="00000000">
        <w:trPr>
          <w:divId w:val="1406878704"/>
        </w:trPr>
        <w:tc>
          <w:tcPr>
            <w:tcW w:w="0" w:type="auto"/>
            <w:gridSpan w:val="3"/>
            <w:tcMar>
              <w:top w:w="30" w:type="dxa"/>
              <w:left w:w="260" w:type="dxa"/>
              <w:bottom w:w="30" w:type="dxa"/>
              <w:right w:w="20" w:type="dxa"/>
            </w:tcMar>
            <w:hideMark/>
          </w:tcPr>
          <w:p w:rsidR="00000000" w:rsidRDefault="001F1FC8">
            <w:pPr>
              <w:rPr>
                <w:rFonts w:eastAsia="Times New Roman"/>
              </w:rPr>
            </w:pPr>
            <w:r>
              <w:rPr>
                <w:rFonts w:ascii="Arial" w:eastAsia="Times New Roman" w:hAnsi="Arial" w:cs="Arial"/>
                <w:color w:val="000000"/>
                <w:sz w:val="20"/>
                <w:szCs w:val="20"/>
              </w:rPr>
              <w:t>Government</w:t>
            </w:r>
          </w:p>
        </w:tc>
        <w:tc>
          <w:tcPr>
            <w:tcW w:w="0" w:type="auto"/>
            <w:vAlign w:val="center"/>
            <w:hideMark/>
          </w:tcPr>
          <w:p w:rsidR="00000000" w:rsidRDefault="001F1FC8">
            <w:pPr>
              <w:rPr>
                <w:rFonts w:eastAsia="Times New Roman"/>
              </w:rPr>
            </w:pPr>
          </w:p>
        </w:tc>
        <w:tc>
          <w:tcPr>
            <w:tcW w:w="0" w:type="auto"/>
            <w:vAlign w:val="center"/>
            <w:hideMark/>
          </w:tcPr>
          <w:p w:rsidR="00000000" w:rsidRDefault="001F1FC8">
            <w:pPr>
              <w:rPr>
                <w:rFonts w:eastAsia="Times New Roman"/>
                <w:sz w:val="20"/>
                <w:szCs w:val="20"/>
              </w:rPr>
            </w:pPr>
          </w:p>
        </w:tc>
        <w:tc>
          <w:tcPr>
            <w:tcW w:w="0" w:type="auto"/>
            <w:vAlign w:val="center"/>
            <w:hideMark/>
          </w:tcPr>
          <w:p w:rsidR="00000000" w:rsidRDefault="001F1FC8">
            <w:pPr>
              <w:rPr>
                <w:rFonts w:eastAsia="Times New Roman"/>
                <w:sz w:val="20"/>
                <w:szCs w:val="20"/>
              </w:rPr>
            </w:pPr>
          </w:p>
        </w:tc>
        <w:tc>
          <w:tcPr>
            <w:tcW w:w="0" w:type="auto"/>
            <w:gridSpan w:val="3"/>
            <w:vAlign w:val="center"/>
            <w:hideMark/>
          </w:tcPr>
          <w:p w:rsidR="00000000" w:rsidRDefault="001F1FC8">
            <w:pPr>
              <w:rPr>
                <w:rFonts w:eastAsia="Times New Roman"/>
                <w:sz w:val="20"/>
                <w:szCs w:val="20"/>
              </w:rPr>
            </w:pPr>
          </w:p>
        </w:tc>
        <w:tc>
          <w:tcPr>
            <w:tcW w:w="0" w:type="auto"/>
            <w:gridSpan w:val="3"/>
            <w:vAlign w:val="center"/>
            <w:hideMark/>
          </w:tcPr>
          <w:p w:rsidR="00000000" w:rsidRDefault="001F1FC8">
            <w:pPr>
              <w:rPr>
                <w:rFonts w:eastAsia="Times New Roman"/>
                <w:sz w:val="20"/>
                <w:szCs w:val="20"/>
              </w:rPr>
            </w:pPr>
          </w:p>
        </w:tc>
        <w:tc>
          <w:tcPr>
            <w:tcW w:w="0" w:type="auto"/>
            <w:gridSpan w:val="2"/>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color w:val="000000"/>
                <w:sz w:val="20"/>
                <w:szCs w:val="20"/>
              </w:rPr>
              <w:t>38 </w:t>
            </w:r>
          </w:p>
        </w:tc>
        <w:tc>
          <w:tcPr>
            <w:tcW w:w="0" w:type="auto"/>
            <w:tcMar>
              <w:top w:w="30" w:type="dxa"/>
              <w:left w:w="0" w:type="dxa"/>
              <w:bottom w:w="30" w:type="dxa"/>
              <w:right w:w="20" w:type="dxa"/>
            </w:tcMar>
            <w:hideMark/>
          </w:tcPr>
          <w:p w:rsidR="00000000" w:rsidRDefault="001F1FC8">
            <w:pPr>
              <w:jc w:val="right"/>
              <w:rPr>
                <w:rFonts w:eastAsia="Times New Roman"/>
              </w:rPr>
            </w:pPr>
          </w:p>
        </w:tc>
        <w:tc>
          <w:tcPr>
            <w:tcW w:w="0" w:type="auto"/>
            <w:gridSpan w:val="2"/>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color w:val="000000"/>
                <w:sz w:val="20"/>
                <w:szCs w:val="20"/>
              </w:rPr>
              <w:t>6 </w:t>
            </w:r>
          </w:p>
        </w:tc>
        <w:tc>
          <w:tcPr>
            <w:tcW w:w="0" w:type="auto"/>
            <w:tcMar>
              <w:top w:w="30" w:type="dxa"/>
              <w:left w:w="0" w:type="dxa"/>
              <w:bottom w:w="30" w:type="dxa"/>
              <w:right w:w="20" w:type="dxa"/>
            </w:tcMar>
            <w:hideMark/>
          </w:tcPr>
          <w:p w:rsidR="00000000" w:rsidRDefault="001F1FC8">
            <w:pPr>
              <w:jc w:val="right"/>
              <w:rPr>
                <w:rFonts w:eastAsia="Times New Roman"/>
              </w:rPr>
            </w:pPr>
          </w:p>
        </w:tc>
        <w:tc>
          <w:tcPr>
            <w:tcW w:w="0" w:type="auto"/>
            <w:gridSpan w:val="2"/>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color w:val="000000"/>
                <w:sz w:val="20"/>
                <w:szCs w:val="20"/>
              </w:rPr>
              <w:t>— </w:t>
            </w:r>
          </w:p>
        </w:tc>
        <w:tc>
          <w:tcPr>
            <w:tcW w:w="0" w:type="auto"/>
            <w:tcMar>
              <w:top w:w="30" w:type="dxa"/>
              <w:left w:w="0" w:type="dxa"/>
              <w:bottom w:w="30" w:type="dxa"/>
              <w:right w:w="20" w:type="dxa"/>
            </w:tcMar>
            <w:hideMark/>
          </w:tcPr>
          <w:p w:rsidR="00000000" w:rsidRDefault="001F1FC8">
            <w:pPr>
              <w:jc w:val="right"/>
              <w:rPr>
                <w:rFonts w:eastAsia="Times New Roman"/>
              </w:rPr>
            </w:pPr>
          </w:p>
        </w:tc>
        <w:tc>
          <w:tcPr>
            <w:tcW w:w="0" w:type="auto"/>
            <w:gridSpan w:val="2"/>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color w:val="000000"/>
                <w:sz w:val="20"/>
                <w:szCs w:val="20"/>
              </w:rPr>
              <w:t>44 </w:t>
            </w:r>
          </w:p>
        </w:tc>
        <w:tc>
          <w:tcPr>
            <w:tcW w:w="0" w:type="auto"/>
            <w:tcMar>
              <w:top w:w="30" w:type="dxa"/>
              <w:left w:w="0" w:type="dxa"/>
              <w:bottom w:w="30" w:type="dxa"/>
              <w:right w:w="20" w:type="dxa"/>
            </w:tcMar>
            <w:hideMark/>
          </w:tcPr>
          <w:p w:rsidR="00000000" w:rsidRDefault="001F1FC8">
            <w:pPr>
              <w:jc w:val="right"/>
              <w:rPr>
                <w:rFonts w:eastAsia="Times New Roman"/>
              </w:rPr>
            </w:pPr>
          </w:p>
        </w:tc>
      </w:tr>
      <w:tr w:rsidR="00000000">
        <w:trPr>
          <w:divId w:val="1406878704"/>
        </w:trPr>
        <w:tc>
          <w:tcPr>
            <w:tcW w:w="0" w:type="auto"/>
            <w:gridSpan w:val="3"/>
            <w:tcMar>
              <w:top w:w="30" w:type="dxa"/>
              <w:left w:w="260" w:type="dxa"/>
              <w:bottom w:w="30" w:type="dxa"/>
              <w:right w:w="20" w:type="dxa"/>
            </w:tcMar>
            <w:hideMark/>
          </w:tcPr>
          <w:p w:rsidR="00000000" w:rsidRDefault="001F1FC8">
            <w:pPr>
              <w:rPr>
                <w:rFonts w:eastAsia="Times New Roman"/>
              </w:rPr>
            </w:pPr>
            <w:r>
              <w:rPr>
                <w:rFonts w:ascii="Arial" w:eastAsia="Times New Roman" w:hAnsi="Arial" w:cs="Arial"/>
                <w:color w:val="000000"/>
                <w:sz w:val="20"/>
                <w:szCs w:val="20"/>
              </w:rPr>
              <w:t>Corporate</w:t>
            </w:r>
          </w:p>
        </w:tc>
        <w:tc>
          <w:tcPr>
            <w:tcW w:w="0" w:type="auto"/>
            <w:vAlign w:val="center"/>
            <w:hideMark/>
          </w:tcPr>
          <w:p w:rsidR="00000000" w:rsidRDefault="001F1FC8">
            <w:pPr>
              <w:rPr>
                <w:rFonts w:eastAsia="Times New Roman"/>
              </w:rPr>
            </w:pPr>
          </w:p>
        </w:tc>
        <w:tc>
          <w:tcPr>
            <w:tcW w:w="0" w:type="auto"/>
            <w:vAlign w:val="center"/>
            <w:hideMark/>
          </w:tcPr>
          <w:p w:rsidR="00000000" w:rsidRDefault="001F1FC8">
            <w:pPr>
              <w:rPr>
                <w:rFonts w:eastAsia="Times New Roman"/>
                <w:sz w:val="20"/>
                <w:szCs w:val="20"/>
              </w:rPr>
            </w:pPr>
          </w:p>
        </w:tc>
        <w:tc>
          <w:tcPr>
            <w:tcW w:w="0" w:type="auto"/>
            <w:vAlign w:val="center"/>
            <w:hideMark/>
          </w:tcPr>
          <w:p w:rsidR="00000000" w:rsidRDefault="001F1FC8">
            <w:pPr>
              <w:rPr>
                <w:rFonts w:eastAsia="Times New Roman"/>
                <w:sz w:val="20"/>
                <w:szCs w:val="20"/>
              </w:rPr>
            </w:pPr>
          </w:p>
        </w:tc>
        <w:tc>
          <w:tcPr>
            <w:tcW w:w="0" w:type="auto"/>
            <w:gridSpan w:val="3"/>
            <w:vAlign w:val="center"/>
            <w:hideMark/>
          </w:tcPr>
          <w:p w:rsidR="00000000" w:rsidRDefault="001F1FC8">
            <w:pPr>
              <w:rPr>
                <w:rFonts w:eastAsia="Times New Roman"/>
                <w:sz w:val="20"/>
                <w:szCs w:val="20"/>
              </w:rPr>
            </w:pPr>
          </w:p>
        </w:tc>
        <w:tc>
          <w:tcPr>
            <w:tcW w:w="0" w:type="auto"/>
            <w:gridSpan w:val="3"/>
            <w:vAlign w:val="center"/>
            <w:hideMark/>
          </w:tcPr>
          <w:p w:rsidR="00000000" w:rsidRDefault="001F1FC8">
            <w:pPr>
              <w:rPr>
                <w:rFonts w:eastAsia="Times New Roman"/>
                <w:sz w:val="20"/>
                <w:szCs w:val="20"/>
              </w:rPr>
            </w:pPr>
          </w:p>
        </w:tc>
        <w:tc>
          <w:tcPr>
            <w:tcW w:w="0" w:type="auto"/>
            <w:gridSpan w:val="2"/>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color w:val="000000"/>
                <w:sz w:val="20"/>
                <w:szCs w:val="20"/>
              </w:rPr>
              <w:t>— </w:t>
            </w:r>
          </w:p>
        </w:tc>
        <w:tc>
          <w:tcPr>
            <w:tcW w:w="0" w:type="auto"/>
            <w:tcMar>
              <w:top w:w="30" w:type="dxa"/>
              <w:left w:w="0" w:type="dxa"/>
              <w:bottom w:w="30" w:type="dxa"/>
              <w:right w:w="20" w:type="dxa"/>
            </w:tcMar>
            <w:hideMark/>
          </w:tcPr>
          <w:p w:rsidR="00000000" w:rsidRDefault="001F1FC8">
            <w:pPr>
              <w:jc w:val="right"/>
              <w:rPr>
                <w:rFonts w:eastAsia="Times New Roman"/>
              </w:rPr>
            </w:pPr>
          </w:p>
        </w:tc>
        <w:tc>
          <w:tcPr>
            <w:tcW w:w="0" w:type="auto"/>
            <w:gridSpan w:val="2"/>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color w:val="000000"/>
                <w:sz w:val="20"/>
                <w:szCs w:val="20"/>
              </w:rPr>
              <w:t>8 </w:t>
            </w:r>
          </w:p>
        </w:tc>
        <w:tc>
          <w:tcPr>
            <w:tcW w:w="0" w:type="auto"/>
            <w:tcMar>
              <w:top w:w="30" w:type="dxa"/>
              <w:left w:w="0" w:type="dxa"/>
              <w:bottom w:w="30" w:type="dxa"/>
              <w:right w:w="20" w:type="dxa"/>
            </w:tcMar>
            <w:hideMark/>
          </w:tcPr>
          <w:p w:rsidR="00000000" w:rsidRDefault="001F1FC8">
            <w:pPr>
              <w:jc w:val="right"/>
              <w:rPr>
                <w:rFonts w:eastAsia="Times New Roman"/>
              </w:rPr>
            </w:pPr>
          </w:p>
        </w:tc>
        <w:tc>
          <w:tcPr>
            <w:tcW w:w="0" w:type="auto"/>
            <w:gridSpan w:val="2"/>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color w:val="000000"/>
                <w:sz w:val="20"/>
                <w:szCs w:val="20"/>
              </w:rPr>
              <w:t>— </w:t>
            </w:r>
          </w:p>
        </w:tc>
        <w:tc>
          <w:tcPr>
            <w:tcW w:w="0" w:type="auto"/>
            <w:tcMar>
              <w:top w:w="30" w:type="dxa"/>
              <w:left w:w="0" w:type="dxa"/>
              <w:bottom w:w="30" w:type="dxa"/>
              <w:right w:w="20" w:type="dxa"/>
            </w:tcMar>
            <w:hideMark/>
          </w:tcPr>
          <w:p w:rsidR="00000000" w:rsidRDefault="001F1FC8">
            <w:pPr>
              <w:jc w:val="right"/>
              <w:rPr>
                <w:rFonts w:eastAsia="Times New Roman"/>
              </w:rPr>
            </w:pPr>
          </w:p>
        </w:tc>
        <w:tc>
          <w:tcPr>
            <w:tcW w:w="0" w:type="auto"/>
            <w:gridSpan w:val="2"/>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color w:val="000000"/>
                <w:sz w:val="20"/>
                <w:szCs w:val="20"/>
              </w:rPr>
              <w:t>8 </w:t>
            </w:r>
          </w:p>
        </w:tc>
        <w:tc>
          <w:tcPr>
            <w:tcW w:w="0" w:type="auto"/>
            <w:tcMar>
              <w:top w:w="30" w:type="dxa"/>
              <w:left w:w="0" w:type="dxa"/>
              <w:bottom w:w="30" w:type="dxa"/>
              <w:right w:w="20" w:type="dxa"/>
            </w:tcMar>
            <w:hideMark/>
          </w:tcPr>
          <w:p w:rsidR="00000000" w:rsidRDefault="001F1FC8">
            <w:pPr>
              <w:jc w:val="right"/>
              <w:rPr>
                <w:rFonts w:eastAsia="Times New Roman"/>
              </w:rPr>
            </w:pPr>
          </w:p>
        </w:tc>
      </w:tr>
      <w:tr w:rsidR="00000000">
        <w:trPr>
          <w:divId w:val="1406878704"/>
        </w:trPr>
        <w:tc>
          <w:tcPr>
            <w:tcW w:w="0" w:type="auto"/>
            <w:gridSpan w:val="3"/>
            <w:tcMar>
              <w:top w:w="30" w:type="dxa"/>
              <w:left w:w="20" w:type="dxa"/>
              <w:bottom w:w="30" w:type="dxa"/>
              <w:right w:w="20" w:type="dxa"/>
            </w:tcMar>
            <w:hideMark/>
          </w:tcPr>
          <w:p w:rsidR="00000000" w:rsidRDefault="001F1FC8">
            <w:pPr>
              <w:divId w:val="797381803"/>
              <w:rPr>
                <w:rFonts w:eastAsia="Times New Roman"/>
              </w:rPr>
            </w:pPr>
            <w:r>
              <w:rPr>
                <w:rFonts w:ascii="Arial" w:eastAsia="Times New Roman" w:hAnsi="Arial" w:cs="Arial"/>
                <w:color w:val="000000"/>
                <w:sz w:val="20"/>
                <w:szCs w:val="20"/>
              </w:rPr>
              <w:t>Alternative</w:t>
            </w:r>
            <w:r>
              <w:rPr>
                <w:rFonts w:ascii="Arial" w:eastAsia="Times New Roman" w:hAnsi="Arial" w:cs="Arial"/>
                <w:color w:val="000000"/>
                <w:sz w:val="20"/>
                <w:szCs w:val="20"/>
              </w:rPr>
              <w:t>s</w:t>
            </w:r>
            <w:r>
              <w:rPr>
                <w:rFonts w:ascii="Arial" w:eastAsia="Times New Roman" w:hAnsi="Arial" w:cs="Arial"/>
                <w:color w:val="000000"/>
                <w:sz w:val="10"/>
                <w:szCs w:val="10"/>
              </w:rPr>
              <w:t>4</w:t>
            </w:r>
          </w:p>
        </w:tc>
        <w:tc>
          <w:tcPr>
            <w:tcW w:w="0" w:type="auto"/>
            <w:vAlign w:val="center"/>
            <w:hideMark/>
          </w:tcPr>
          <w:p w:rsidR="00000000" w:rsidRDefault="001F1FC8">
            <w:pPr>
              <w:rPr>
                <w:rFonts w:eastAsia="Times New Roman"/>
              </w:rPr>
            </w:pPr>
          </w:p>
        </w:tc>
        <w:tc>
          <w:tcPr>
            <w:tcW w:w="0" w:type="auto"/>
            <w:vAlign w:val="center"/>
            <w:hideMark/>
          </w:tcPr>
          <w:p w:rsidR="00000000" w:rsidRDefault="001F1FC8">
            <w:pPr>
              <w:rPr>
                <w:rFonts w:eastAsia="Times New Roman"/>
                <w:sz w:val="20"/>
                <w:szCs w:val="20"/>
              </w:rPr>
            </w:pPr>
          </w:p>
        </w:tc>
        <w:tc>
          <w:tcPr>
            <w:tcW w:w="0" w:type="auto"/>
            <w:vAlign w:val="center"/>
            <w:hideMark/>
          </w:tcPr>
          <w:p w:rsidR="00000000" w:rsidRDefault="001F1FC8">
            <w:pPr>
              <w:rPr>
                <w:rFonts w:eastAsia="Times New Roman"/>
                <w:sz w:val="20"/>
                <w:szCs w:val="20"/>
              </w:rPr>
            </w:pPr>
          </w:p>
        </w:tc>
        <w:tc>
          <w:tcPr>
            <w:tcW w:w="0" w:type="auto"/>
            <w:gridSpan w:val="3"/>
            <w:vAlign w:val="center"/>
            <w:hideMark/>
          </w:tcPr>
          <w:p w:rsidR="00000000" w:rsidRDefault="001F1FC8">
            <w:pPr>
              <w:rPr>
                <w:rFonts w:eastAsia="Times New Roman"/>
                <w:sz w:val="20"/>
                <w:szCs w:val="20"/>
              </w:rPr>
            </w:pPr>
          </w:p>
        </w:tc>
        <w:tc>
          <w:tcPr>
            <w:tcW w:w="0" w:type="auto"/>
            <w:gridSpan w:val="3"/>
            <w:vAlign w:val="center"/>
            <w:hideMark/>
          </w:tcPr>
          <w:p w:rsidR="00000000" w:rsidRDefault="001F1FC8">
            <w:pPr>
              <w:rPr>
                <w:rFonts w:eastAsia="Times New Roman"/>
                <w:sz w:val="20"/>
                <w:szCs w:val="20"/>
              </w:rPr>
            </w:pPr>
          </w:p>
        </w:tc>
        <w:tc>
          <w:tcPr>
            <w:tcW w:w="0" w:type="auto"/>
            <w:gridSpan w:val="2"/>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color w:val="000000"/>
                <w:sz w:val="20"/>
                <w:szCs w:val="20"/>
              </w:rPr>
              <w:t>— </w:t>
            </w:r>
          </w:p>
        </w:tc>
        <w:tc>
          <w:tcPr>
            <w:tcW w:w="0" w:type="auto"/>
            <w:tcMar>
              <w:top w:w="30" w:type="dxa"/>
              <w:left w:w="0" w:type="dxa"/>
              <w:bottom w:w="30" w:type="dxa"/>
              <w:right w:w="20" w:type="dxa"/>
            </w:tcMar>
            <w:hideMark/>
          </w:tcPr>
          <w:p w:rsidR="00000000" w:rsidRDefault="001F1FC8">
            <w:pPr>
              <w:jc w:val="right"/>
              <w:rPr>
                <w:rFonts w:eastAsia="Times New Roman"/>
              </w:rPr>
            </w:pPr>
          </w:p>
        </w:tc>
        <w:tc>
          <w:tcPr>
            <w:tcW w:w="0" w:type="auto"/>
            <w:gridSpan w:val="2"/>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color w:val="000000"/>
                <w:sz w:val="20"/>
                <w:szCs w:val="20"/>
              </w:rPr>
              <w:t>— </w:t>
            </w:r>
          </w:p>
        </w:tc>
        <w:tc>
          <w:tcPr>
            <w:tcW w:w="0" w:type="auto"/>
            <w:tcMar>
              <w:top w:w="30" w:type="dxa"/>
              <w:left w:w="0" w:type="dxa"/>
              <w:bottom w:w="30" w:type="dxa"/>
              <w:right w:w="20" w:type="dxa"/>
            </w:tcMar>
            <w:hideMark/>
          </w:tcPr>
          <w:p w:rsidR="00000000" w:rsidRDefault="001F1FC8">
            <w:pPr>
              <w:jc w:val="right"/>
              <w:rPr>
                <w:rFonts w:eastAsia="Times New Roman"/>
              </w:rPr>
            </w:pPr>
          </w:p>
        </w:tc>
        <w:tc>
          <w:tcPr>
            <w:tcW w:w="0" w:type="auto"/>
            <w:gridSpan w:val="2"/>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color w:val="000000"/>
                <w:sz w:val="20"/>
                <w:szCs w:val="20"/>
              </w:rPr>
              <w:t>22 </w:t>
            </w:r>
          </w:p>
        </w:tc>
        <w:tc>
          <w:tcPr>
            <w:tcW w:w="0" w:type="auto"/>
            <w:tcMar>
              <w:top w:w="30" w:type="dxa"/>
              <w:left w:w="0" w:type="dxa"/>
              <w:bottom w:w="30" w:type="dxa"/>
              <w:right w:w="20" w:type="dxa"/>
            </w:tcMar>
            <w:hideMark/>
          </w:tcPr>
          <w:p w:rsidR="00000000" w:rsidRDefault="001F1FC8">
            <w:pPr>
              <w:jc w:val="right"/>
              <w:rPr>
                <w:rFonts w:eastAsia="Times New Roman"/>
              </w:rPr>
            </w:pPr>
          </w:p>
        </w:tc>
        <w:tc>
          <w:tcPr>
            <w:tcW w:w="0" w:type="auto"/>
            <w:gridSpan w:val="2"/>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color w:val="000000"/>
                <w:sz w:val="20"/>
                <w:szCs w:val="20"/>
              </w:rPr>
              <w:t>22 </w:t>
            </w:r>
          </w:p>
        </w:tc>
        <w:tc>
          <w:tcPr>
            <w:tcW w:w="0" w:type="auto"/>
            <w:tcMar>
              <w:top w:w="30" w:type="dxa"/>
              <w:left w:w="0" w:type="dxa"/>
              <w:bottom w:w="30" w:type="dxa"/>
              <w:right w:w="20" w:type="dxa"/>
            </w:tcMar>
            <w:hideMark/>
          </w:tcPr>
          <w:p w:rsidR="00000000" w:rsidRDefault="001F1FC8">
            <w:pPr>
              <w:jc w:val="right"/>
              <w:rPr>
                <w:rFonts w:eastAsia="Times New Roman"/>
              </w:rPr>
            </w:pPr>
          </w:p>
        </w:tc>
      </w:tr>
      <w:tr w:rsidR="00000000">
        <w:trPr>
          <w:divId w:val="1406878704"/>
        </w:trPr>
        <w:tc>
          <w:tcPr>
            <w:tcW w:w="0" w:type="auto"/>
            <w:gridSpan w:val="3"/>
            <w:tcBorders>
              <w:top w:val="single" w:sz="4" w:space="0" w:color="000000"/>
              <w:bottom w:val="single" w:sz="8" w:space="0" w:color="000000"/>
            </w:tcBorders>
            <w:tcMar>
              <w:top w:w="30" w:type="dxa"/>
              <w:left w:w="20" w:type="dxa"/>
              <w:bottom w:w="30" w:type="dxa"/>
              <w:right w:w="20" w:type="dxa"/>
            </w:tcMar>
            <w:vAlign w:val="center"/>
            <w:hideMark/>
          </w:tcPr>
          <w:p w:rsidR="00000000" w:rsidRDefault="001F1FC8">
            <w:pPr>
              <w:rPr>
                <w:rFonts w:eastAsia="Times New Roman"/>
              </w:rPr>
            </w:pPr>
            <w:r>
              <w:rPr>
                <w:rFonts w:ascii="Arial" w:eastAsia="Times New Roman" w:hAnsi="Arial" w:cs="Arial"/>
                <w:color w:val="000000"/>
                <w:sz w:val="20"/>
                <w:szCs w:val="20"/>
              </w:rPr>
              <w:t>Total OPEB plan assets at fair value</w:t>
            </w:r>
          </w:p>
        </w:tc>
        <w:tc>
          <w:tcPr>
            <w:tcW w:w="0" w:type="auto"/>
            <w:vAlign w:val="center"/>
            <w:hideMark/>
          </w:tcPr>
          <w:p w:rsidR="00000000" w:rsidRDefault="001F1FC8">
            <w:pPr>
              <w:rPr>
                <w:rFonts w:eastAsia="Times New Roman"/>
              </w:rPr>
            </w:pPr>
          </w:p>
        </w:tc>
        <w:tc>
          <w:tcPr>
            <w:tcW w:w="0" w:type="auto"/>
            <w:vAlign w:val="center"/>
            <w:hideMark/>
          </w:tcPr>
          <w:p w:rsidR="00000000" w:rsidRDefault="001F1FC8">
            <w:pPr>
              <w:rPr>
                <w:rFonts w:eastAsia="Times New Roman"/>
                <w:sz w:val="20"/>
                <w:szCs w:val="20"/>
              </w:rPr>
            </w:pPr>
          </w:p>
        </w:tc>
        <w:tc>
          <w:tcPr>
            <w:tcW w:w="0" w:type="auto"/>
            <w:vAlign w:val="center"/>
            <w:hideMark/>
          </w:tcPr>
          <w:p w:rsidR="00000000" w:rsidRDefault="001F1FC8">
            <w:pPr>
              <w:rPr>
                <w:rFonts w:eastAsia="Times New Roman"/>
                <w:sz w:val="20"/>
                <w:szCs w:val="20"/>
              </w:rPr>
            </w:pPr>
          </w:p>
        </w:tc>
        <w:tc>
          <w:tcPr>
            <w:tcW w:w="0" w:type="auto"/>
            <w:gridSpan w:val="3"/>
            <w:vAlign w:val="center"/>
            <w:hideMark/>
          </w:tcPr>
          <w:p w:rsidR="00000000" w:rsidRDefault="001F1FC8">
            <w:pPr>
              <w:rPr>
                <w:rFonts w:eastAsia="Times New Roman"/>
                <w:sz w:val="20"/>
                <w:szCs w:val="20"/>
              </w:rPr>
            </w:pPr>
          </w:p>
        </w:tc>
        <w:tc>
          <w:tcPr>
            <w:tcW w:w="0" w:type="auto"/>
            <w:gridSpan w:val="3"/>
            <w:vAlign w:val="center"/>
            <w:hideMark/>
          </w:tcPr>
          <w:p w:rsidR="00000000" w:rsidRDefault="001F1FC8">
            <w:pPr>
              <w:rPr>
                <w:rFonts w:eastAsia="Times New Roman"/>
                <w:sz w:val="20"/>
                <w:szCs w:val="20"/>
              </w:rPr>
            </w:pPr>
          </w:p>
        </w:tc>
        <w:tc>
          <w:tcPr>
            <w:tcW w:w="0" w:type="auto"/>
            <w:gridSpan w:val="2"/>
            <w:tcBorders>
              <w:top w:val="single" w:sz="4" w:space="0" w:color="000000"/>
              <w:bottom w:val="single" w:sz="8" w:space="0" w:color="000000"/>
            </w:tcBorders>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color w:val="000000"/>
                <w:sz w:val="20"/>
                <w:szCs w:val="20"/>
              </w:rPr>
              <w:t>38 </w:t>
            </w:r>
          </w:p>
        </w:tc>
        <w:tc>
          <w:tcPr>
            <w:tcW w:w="0" w:type="auto"/>
            <w:tcBorders>
              <w:top w:val="single" w:sz="4" w:space="0" w:color="000000"/>
              <w:bottom w:val="single" w:sz="8" w:space="0" w:color="000000"/>
            </w:tcBorders>
            <w:tcMar>
              <w:top w:w="30" w:type="dxa"/>
              <w:left w:w="0" w:type="dxa"/>
              <w:bottom w:w="30" w:type="dxa"/>
              <w:right w:w="20" w:type="dxa"/>
            </w:tcMar>
            <w:hideMark/>
          </w:tcPr>
          <w:p w:rsidR="00000000" w:rsidRDefault="001F1FC8">
            <w:pPr>
              <w:jc w:val="right"/>
              <w:rPr>
                <w:rFonts w:eastAsia="Times New Roman"/>
              </w:rPr>
            </w:pPr>
          </w:p>
        </w:tc>
        <w:tc>
          <w:tcPr>
            <w:tcW w:w="0" w:type="auto"/>
            <w:gridSpan w:val="2"/>
            <w:tcBorders>
              <w:top w:val="single" w:sz="4" w:space="0" w:color="000000"/>
              <w:bottom w:val="single" w:sz="8" w:space="0" w:color="000000"/>
            </w:tcBorders>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color w:val="000000"/>
                <w:sz w:val="20"/>
                <w:szCs w:val="20"/>
              </w:rPr>
              <w:t>128 </w:t>
            </w:r>
          </w:p>
        </w:tc>
        <w:tc>
          <w:tcPr>
            <w:tcW w:w="0" w:type="auto"/>
            <w:tcBorders>
              <w:top w:val="single" w:sz="4" w:space="0" w:color="000000"/>
              <w:bottom w:val="single" w:sz="8" w:space="0" w:color="000000"/>
            </w:tcBorders>
            <w:tcMar>
              <w:top w:w="30" w:type="dxa"/>
              <w:left w:w="0" w:type="dxa"/>
              <w:bottom w:w="30" w:type="dxa"/>
              <w:right w:w="20" w:type="dxa"/>
            </w:tcMar>
            <w:hideMark/>
          </w:tcPr>
          <w:p w:rsidR="00000000" w:rsidRDefault="001F1FC8">
            <w:pPr>
              <w:jc w:val="right"/>
              <w:rPr>
                <w:rFonts w:eastAsia="Times New Roman"/>
              </w:rPr>
            </w:pPr>
          </w:p>
        </w:tc>
        <w:tc>
          <w:tcPr>
            <w:tcW w:w="0" w:type="auto"/>
            <w:gridSpan w:val="2"/>
            <w:tcBorders>
              <w:top w:val="single" w:sz="4" w:space="0" w:color="000000"/>
              <w:bottom w:val="single" w:sz="8" w:space="0" w:color="000000"/>
            </w:tcBorders>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color w:val="000000"/>
                <w:sz w:val="20"/>
                <w:szCs w:val="20"/>
              </w:rPr>
              <w:t>22 </w:t>
            </w:r>
          </w:p>
        </w:tc>
        <w:tc>
          <w:tcPr>
            <w:tcW w:w="0" w:type="auto"/>
            <w:tcBorders>
              <w:top w:val="single" w:sz="4" w:space="0" w:color="000000"/>
              <w:bottom w:val="single" w:sz="8" w:space="0" w:color="000000"/>
            </w:tcBorders>
            <w:tcMar>
              <w:top w:w="30" w:type="dxa"/>
              <w:left w:w="0" w:type="dxa"/>
              <w:bottom w:w="30" w:type="dxa"/>
              <w:right w:w="20" w:type="dxa"/>
            </w:tcMar>
            <w:hideMark/>
          </w:tcPr>
          <w:p w:rsidR="00000000" w:rsidRDefault="001F1FC8">
            <w:pPr>
              <w:jc w:val="right"/>
              <w:rPr>
                <w:rFonts w:eastAsia="Times New Roman"/>
              </w:rPr>
            </w:pPr>
          </w:p>
        </w:tc>
        <w:tc>
          <w:tcPr>
            <w:tcW w:w="0" w:type="auto"/>
            <w:gridSpan w:val="2"/>
            <w:tcBorders>
              <w:top w:val="single" w:sz="4" w:space="0" w:color="000000"/>
              <w:bottom w:val="single" w:sz="8" w:space="0" w:color="000000"/>
            </w:tcBorders>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color w:val="000000"/>
                <w:sz w:val="20"/>
                <w:szCs w:val="20"/>
              </w:rPr>
              <w:t>188 </w:t>
            </w:r>
          </w:p>
        </w:tc>
        <w:tc>
          <w:tcPr>
            <w:tcW w:w="0" w:type="auto"/>
            <w:tcBorders>
              <w:top w:val="single" w:sz="4" w:space="0" w:color="000000"/>
              <w:bottom w:val="single" w:sz="8" w:space="0" w:color="000000"/>
            </w:tcBorders>
            <w:tcMar>
              <w:top w:w="30" w:type="dxa"/>
              <w:left w:w="0" w:type="dxa"/>
              <w:bottom w:w="30" w:type="dxa"/>
              <w:right w:w="20" w:type="dxa"/>
            </w:tcMar>
            <w:hideMark/>
          </w:tcPr>
          <w:p w:rsidR="00000000" w:rsidRDefault="001F1FC8">
            <w:pPr>
              <w:jc w:val="right"/>
              <w:rPr>
                <w:rFonts w:eastAsia="Times New Roman"/>
              </w:rPr>
            </w:pPr>
          </w:p>
        </w:tc>
      </w:tr>
    </w:tbl>
    <w:p w:rsidR="00000000" w:rsidRDefault="001F1FC8">
      <w:pPr>
        <w:ind w:hanging="180"/>
        <w:divId w:val="1978991622"/>
        <w:rPr>
          <w:rFonts w:eastAsia="Times New Roman"/>
        </w:rPr>
      </w:pPr>
      <w:r>
        <w:rPr>
          <w:rFonts w:ascii="Arial" w:eastAsia="Times New Roman" w:hAnsi="Arial" w:cs="Arial"/>
          <w:i/>
          <w:iCs/>
          <w:color w:val="000000"/>
          <w:sz w:val="16"/>
          <w:szCs w:val="16"/>
        </w:rPr>
        <w:t>1Level 1 assets include assets with quoted prices in active markets for identical assets.</w:t>
      </w:r>
    </w:p>
    <w:p w:rsidR="00000000" w:rsidRDefault="001F1FC8">
      <w:pPr>
        <w:ind w:hanging="180"/>
        <w:divId w:val="1608929017"/>
        <w:rPr>
          <w:rFonts w:eastAsia="Times New Roman"/>
        </w:rPr>
      </w:pPr>
      <w:r>
        <w:rPr>
          <w:rFonts w:ascii="Arial" w:eastAsia="Times New Roman" w:hAnsi="Arial" w:cs="Arial"/>
          <w:i/>
          <w:iCs/>
          <w:color w:val="000000"/>
          <w:sz w:val="16"/>
          <w:szCs w:val="16"/>
        </w:rPr>
        <w:t>2</w:t>
      </w:r>
      <w:r>
        <w:rPr>
          <w:rFonts w:ascii="Arial" w:eastAsia="Times New Roman" w:hAnsi="Arial" w:cs="Arial"/>
          <w:i/>
          <w:iCs/>
          <w:color w:val="000000"/>
          <w:sz w:val="16"/>
          <w:szCs w:val="16"/>
        </w:rPr>
        <w:t>Level 2 assets include assets with significant observable inputs.</w:t>
      </w:r>
    </w:p>
    <w:p w:rsidR="00000000" w:rsidRDefault="001F1FC8">
      <w:pPr>
        <w:ind w:hanging="180"/>
        <w:divId w:val="1222717949"/>
        <w:rPr>
          <w:rFonts w:eastAsia="Times New Roman"/>
        </w:rPr>
      </w:pPr>
      <w:r>
        <w:rPr>
          <w:rFonts w:ascii="Arial" w:eastAsia="Times New Roman" w:hAnsi="Arial" w:cs="Arial"/>
          <w:i/>
          <w:iCs/>
          <w:color w:val="000000"/>
          <w:sz w:val="16"/>
          <w:szCs w:val="16"/>
        </w:rPr>
        <w:t>3Level 3 assets include assets with significant unobservable inputs.</w:t>
      </w:r>
    </w:p>
    <w:p w:rsidR="00000000" w:rsidRDefault="001F1FC8">
      <w:pPr>
        <w:ind w:hanging="180"/>
        <w:divId w:val="1005792128"/>
        <w:rPr>
          <w:rFonts w:eastAsia="Times New Roman"/>
        </w:rPr>
      </w:pPr>
      <w:r>
        <w:rPr>
          <w:rFonts w:ascii="Arial" w:eastAsia="Times New Roman" w:hAnsi="Arial" w:cs="Arial"/>
          <w:i/>
          <w:iCs/>
          <w:color w:val="000000"/>
          <w:sz w:val="16"/>
          <w:szCs w:val="16"/>
        </w:rPr>
        <w:t>4</w:t>
      </w:r>
      <w:r>
        <w:rPr>
          <w:rFonts w:ascii="Arial" w:eastAsia="Times New Roman" w:hAnsi="Arial" w:cs="Arial"/>
          <w:i/>
          <w:iCs/>
          <w:color w:val="000000"/>
          <w:sz w:val="16"/>
          <w:szCs w:val="16"/>
        </w:rPr>
        <w:t>Alternatives includes investments in private debt, private equity, infrastructure and real estate.</w:t>
      </w:r>
    </w:p>
    <w:p w:rsidR="00000000" w:rsidRDefault="001F1FC8">
      <w:pPr>
        <w:divId w:val="1827547918"/>
        <w:rPr>
          <w:rFonts w:eastAsia="Times New Roman"/>
        </w:rPr>
      </w:pPr>
    </w:p>
    <w:p w:rsidR="00000000" w:rsidRDefault="001F1FC8">
      <w:pPr>
        <w:divId w:val="1171523865"/>
        <w:rPr>
          <w:rFonts w:eastAsia="Times New Roman"/>
        </w:rPr>
      </w:pPr>
      <w:r>
        <w:rPr>
          <w:rFonts w:ascii="Arial" w:eastAsia="Times New Roman" w:hAnsi="Arial" w:cs="Arial"/>
          <w:color w:val="000000"/>
          <w:sz w:val="20"/>
          <w:szCs w:val="20"/>
        </w:rPr>
        <w:t>Changes in the net fair value of US funded OPEB plan assets classified as Level 3 in the fair value hierarchy were as follows:</w:t>
      </w:r>
    </w:p>
    <w:tbl>
      <w:tblPr>
        <w:tblW w:w="5000" w:type="pct"/>
        <w:jc w:val="center"/>
        <w:tblCellMar>
          <w:top w:w="15" w:type="dxa"/>
          <w:left w:w="15" w:type="dxa"/>
          <w:bottom w:w="15" w:type="dxa"/>
          <w:right w:w="15" w:type="dxa"/>
        </w:tblCellMar>
        <w:tblLook w:val="04A0" w:firstRow="1" w:lastRow="0" w:firstColumn="1" w:lastColumn="0" w:noHBand="0" w:noVBand="1"/>
      </w:tblPr>
      <w:tblGrid>
        <w:gridCol w:w="67"/>
        <w:gridCol w:w="6284"/>
        <w:gridCol w:w="37"/>
        <w:gridCol w:w="36"/>
        <w:gridCol w:w="36"/>
        <w:gridCol w:w="36"/>
        <w:gridCol w:w="67"/>
        <w:gridCol w:w="802"/>
        <w:gridCol w:w="36"/>
        <w:gridCol w:w="67"/>
        <w:gridCol w:w="802"/>
        <w:gridCol w:w="36"/>
      </w:tblGrid>
      <w:tr w:rsidR="00000000">
        <w:trPr>
          <w:divId w:val="677582855"/>
          <w:jc w:val="center"/>
        </w:trPr>
        <w:tc>
          <w:tcPr>
            <w:tcW w:w="50" w:type="pct"/>
            <w:vAlign w:val="center"/>
            <w:hideMark/>
          </w:tcPr>
          <w:p w:rsidR="00000000" w:rsidRDefault="001F1FC8">
            <w:pPr>
              <w:rPr>
                <w:rFonts w:eastAsia="Times New Roman"/>
              </w:rPr>
            </w:pPr>
          </w:p>
        </w:tc>
        <w:tc>
          <w:tcPr>
            <w:tcW w:w="3839"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c>
          <w:tcPr>
            <w:tcW w:w="0" w:type="auto"/>
            <w:vAlign w:val="center"/>
            <w:hideMark/>
          </w:tcPr>
          <w:p w:rsidR="00000000" w:rsidRDefault="001F1FC8">
            <w:pPr>
              <w:rPr>
                <w:rFonts w:eastAsia="Times New Roman"/>
                <w:sz w:val="20"/>
                <w:szCs w:val="20"/>
              </w:rPr>
            </w:pPr>
          </w:p>
        </w:tc>
        <w:tc>
          <w:tcPr>
            <w:tcW w:w="0" w:type="auto"/>
            <w:vAlign w:val="center"/>
            <w:hideMark/>
          </w:tcPr>
          <w:p w:rsidR="00000000" w:rsidRDefault="001F1FC8">
            <w:pPr>
              <w:rPr>
                <w:rFonts w:eastAsia="Times New Roman"/>
                <w:sz w:val="20"/>
                <w:szCs w:val="20"/>
              </w:rPr>
            </w:pPr>
          </w:p>
        </w:tc>
        <w:tc>
          <w:tcPr>
            <w:tcW w:w="0" w:type="auto"/>
            <w:vAlign w:val="center"/>
            <w:hideMark/>
          </w:tcPr>
          <w:p w:rsidR="00000000" w:rsidRDefault="001F1FC8">
            <w:pPr>
              <w:rPr>
                <w:rFonts w:eastAsia="Times New Roman"/>
                <w:sz w:val="20"/>
                <w:szCs w:val="20"/>
              </w:rPr>
            </w:pPr>
          </w:p>
        </w:tc>
        <w:tc>
          <w:tcPr>
            <w:tcW w:w="50" w:type="pct"/>
            <w:vAlign w:val="center"/>
            <w:hideMark/>
          </w:tcPr>
          <w:p w:rsidR="00000000" w:rsidRDefault="001F1FC8">
            <w:pPr>
              <w:rPr>
                <w:rFonts w:eastAsia="Times New Roman"/>
                <w:sz w:val="20"/>
                <w:szCs w:val="20"/>
              </w:rPr>
            </w:pPr>
          </w:p>
        </w:tc>
        <w:tc>
          <w:tcPr>
            <w:tcW w:w="497"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c>
          <w:tcPr>
            <w:tcW w:w="50" w:type="pct"/>
            <w:vAlign w:val="center"/>
            <w:hideMark/>
          </w:tcPr>
          <w:p w:rsidR="00000000" w:rsidRDefault="001F1FC8">
            <w:pPr>
              <w:rPr>
                <w:rFonts w:eastAsia="Times New Roman"/>
                <w:sz w:val="20"/>
                <w:szCs w:val="20"/>
              </w:rPr>
            </w:pPr>
          </w:p>
        </w:tc>
        <w:tc>
          <w:tcPr>
            <w:tcW w:w="497"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r>
      <w:tr w:rsidR="00000000">
        <w:trPr>
          <w:divId w:val="677582855"/>
          <w:jc w:val="center"/>
        </w:trPr>
        <w:tc>
          <w:tcPr>
            <w:tcW w:w="0" w:type="auto"/>
            <w:gridSpan w:val="3"/>
            <w:vAlign w:val="center"/>
            <w:hideMark/>
          </w:tcPr>
          <w:p w:rsidR="00000000" w:rsidRDefault="001F1FC8">
            <w:pPr>
              <w:rPr>
                <w:rFonts w:eastAsia="Times New Roman"/>
                <w:sz w:val="20"/>
                <w:szCs w:val="20"/>
              </w:rPr>
            </w:pPr>
          </w:p>
        </w:tc>
        <w:tc>
          <w:tcPr>
            <w:tcW w:w="0" w:type="auto"/>
            <w:vAlign w:val="center"/>
            <w:hideMark/>
          </w:tcPr>
          <w:p w:rsidR="00000000" w:rsidRDefault="001F1FC8">
            <w:pPr>
              <w:rPr>
                <w:rFonts w:eastAsia="Times New Roman"/>
                <w:sz w:val="20"/>
                <w:szCs w:val="20"/>
              </w:rPr>
            </w:pPr>
          </w:p>
        </w:tc>
        <w:tc>
          <w:tcPr>
            <w:tcW w:w="0" w:type="auto"/>
            <w:vAlign w:val="center"/>
            <w:hideMark/>
          </w:tcPr>
          <w:p w:rsidR="00000000" w:rsidRDefault="001F1FC8">
            <w:pPr>
              <w:rPr>
                <w:rFonts w:eastAsia="Times New Roman"/>
                <w:sz w:val="20"/>
                <w:szCs w:val="20"/>
              </w:rPr>
            </w:pPr>
          </w:p>
        </w:tc>
        <w:tc>
          <w:tcPr>
            <w:tcW w:w="0" w:type="auto"/>
            <w:vAlign w:val="center"/>
            <w:hideMark/>
          </w:tcPr>
          <w:p w:rsidR="00000000" w:rsidRDefault="001F1FC8">
            <w:pPr>
              <w:rPr>
                <w:rFonts w:eastAsia="Times New Roman"/>
                <w:sz w:val="20"/>
                <w:szCs w:val="20"/>
              </w:rPr>
            </w:pPr>
          </w:p>
        </w:tc>
        <w:tc>
          <w:tcPr>
            <w:tcW w:w="0" w:type="auto"/>
            <w:vAlign w:val="center"/>
            <w:hideMark/>
          </w:tcPr>
          <w:p w:rsidR="00000000" w:rsidRDefault="001F1FC8">
            <w:pPr>
              <w:rPr>
                <w:rFonts w:eastAsia="Times New Roman"/>
                <w:sz w:val="20"/>
                <w:szCs w:val="20"/>
              </w:rPr>
            </w:pPr>
          </w:p>
        </w:tc>
        <w:tc>
          <w:tcPr>
            <w:tcW w:w="0" w:type="auto"/>
            <w:vAlign w:val="center"/>
            <w:hideMark/>
          </w:tcPr>
          <w:p w:rsidR="00000000" w:rsidRDefault="001F1FC8">
            <w:pPr>
              <w:rPr>
                <w:rFonts w:eastAsia="Times New Roman"/>
                <w:sz w:val="20"/>
                <w:szCs w:val="20"/>
              </w:rPr>
            </w:pPr>
          </w:p>
        </w:tc>
        <w:tc>
          <w:tcPr>
            <w:tcW w:w="0" w:type="auto"/>
            <w:vAlign w:val="center"/>
            <w:hideMark/>
          </w:tcPr>
          <w:p w:rsidR="00000000" w:rsidRDefault="001F1FC8">
            <w:pPr>
              <w:rPr>
                <w:rFonts w:eastAsia="Times New Roman"/>
                <w:sz w:val="20"/>
                <w:szCs w:val="20"/>
              </w:rPr>
            </w:pPr>
          </w:p>
        </w:tc>
        <w:tc>
          <w:tcPr>
            <w:tcW w:w="0" w:type="auto"/>
            <w:vAlign w:val="center"/>
            <w:hideMark/>
          </w:tcPr>
          <w:p w:rsidR="00000000" w:rsidRDefault="001F1FC8">
            <w:pPr>
              <w:rPr>
                <w:rFonts w:eastAsia="Times New Roman"/>
                <w:sz w:val="20"/>
                <w:szCs w:val="20"/>
              </w:rPr>
            </w:pPr>
          </w:p>
        </w:tc>
        <w:tc>
          <w:tcPr>
            <w:tcW w:w="0" w:type="auto"/>
            <w:vAlign w:val="center"/>
            <w:hideMark/>
          </w:tcPr>
          <w:p w:rsidR="00000000" w:rsidRDefault="001F1FC8">
            <w:pPr>
              <w:rPr>
                <w:rFonts w:eastAsia="Times New Roman"/>
                <w:sz w:val="20"/>
                <w:szCs w:val="20"/>
              </w:rPr>
            </w:pPr>
          </w:p>
        </w:tc>
        <w:tc>
          <w:tcPr>
            <w:tcW w:w="0" w:type="auto"/>
            <w:vAlign w:val="center"/>
            <w:hideMark/>
          </w:tcPr>
          <w:p w:rsidR="00000000" w:rsidRDefault="001F1FC8">
            <w:pPr>
              <w:rPr>
                <w:rFonts w:eastAsia="Times New Roman"/>
                <w:sz w:val="20"/>
                <w:szCs w:val="20"/>
              </w:rPr>
            </w:pPr>
          </w:p>
        </w:tc>
      </w:tr>
      <w:tr w:rsidR="00000000">
        <w:trPr>
          <w:divId w:val="677582855"/>
          <w:jc w:val="center"/>
        </w:trPr>
        <w:tc>
          <w:tcPr>
            <w:tcW w:w="0" w:type="auto"/>
            <w:gridSpan w:val="3"/>
            <w:tcMar>
              <w:top w:w="30" w:type="dxa"/>
              <w:left w:w="20" w:type="dxa"/>
              <w:bottom w:w="30" w:type="dxa"/>
              <w:right w:w="20" w:type="dxa"/>
            </w:tcMar>
            <w:hideMark/>
          </w:tcPr>
          <w:p w:rsidR="00000000" w:rsidRDefault="001F1FC8">
            <w:pPr>
              <w:rPr>
                <w:rFonts w:eastAsia="Times New Roman"/>
              </w:rPr>
            </w:pPr>
            <w:r>
              <w:rPr>
                <w:rFonts w:ascii="Arial" w:eastAsia="Times New Roman" w:hAnsi="Arial" w:cs="Arial"/>
                <w:color w:val="000000"/>
                <w:sz w:val="20"/>
                <w:szCs w:val="20"/>
              </w:rPr>
              <w:t>December 31,</w:t>
            </w:r>
          </w:p>
        </w:tc>
        <w:tc>
          <w:tcPr>
            <w:tcW w:w="0" w:type="auto"/>
            <w:vAlign w:val="center"/>
            <w:hideMark/>
          </w:tcPr>
          <w:p w:rsidR="00000000" w:rsidRDefault="001F1FC8">
            <w:pPr>
              <w:rPr>
                <w:rFonts w:eastAsia="Times New Roman"/>
              </w:rPr>
            </w:pPr>
          </w:p>
        </w:tc>
        <w:tc>
          <w:tcPr>
            <w:tcW w:w="0" w:type="auto"/>
            <w:vAlign w:val="center"/>
            <w:hideMark/>
          </w:tcPr>
          <w:p w:rsidR="00000000" w:rsidRDefault="001F1FC8">
            <w:pPr>
              <w:rPr>
                <w:rFonts w:eastAsia="Times New Roman"/>
                <w:sz w:val="20"/>
                <w:szCs w:val="20"/>
              </w:rPr>
            </w:pPr>
          </w:p>
        </w:tc>
        <w:tc>
          <w:tcPr>
            <w:tcW w:w="0" w:type="auto"/>
            <w:vAlign w:val="center"/>
            <w:hideMark/>
          </w:tcPr>
          <w:p w:rsidR="00000000" w:rsidRDefault="001F1FC8">
            <w:pPr>
              <w:rPr>
                <w:rFonts w:eastAsia="Times New Roman"/>
                <w:sz w:val="20"/>
                <w:szCs w:val="20"/>
              </w:rPr>
            </w:pPr>
          </w:p>
        </w:tc>
        <w:tc>
          <w:tcPr>
            <w:tcW w:w="0" w:type="auto"/>
            <w:gridSpan w:val="3"/>
            <w:tcMar>
              <w:top w:w="30" w:type="dxa"/>
              <w:left w:w="20" w:type="dxa"/>
              <w:bottom w:w="30" w:type="dxa"/>
              <w:right w:w="20" w:type="dxa"/>
            </w:tcMar>
            <w:hideMark/>
          </w:tcPr>
          <w:p w:rsidR="00000000" w:rsidRDefault="001F1FC8">
            <w:pPr>
              <w:jc w:val="right"/>
              <w:rPr>
                <w:rFonts w:eastAsia="Times New Roman"/>
              </w:rPr>
            </w:pPr>
            <w:r>
              <w:rPr>
                <w:rFonts w:ascii="Arial" w:eastAsia="Times New Roman" w:hAnsi="Arial" w:cs="Arial"/>
                <w:b/>
                <w:bCs/>
                <w:color w:val="000000"/>
                <w:sz w:val="20"/>
                <w:szCs w:val="20"/>
              </w:rPr>
              <w:t>2021</w:t>
            </w:r>
          </w:p>
        </w:tc>
        <w:tc>
          <w:tcPr>
            <w:tcW w:w="0" w:type="auto"/>
            <w:gridSpan w:val="3"/>
            <w:tcMar>
              <w:top w:w="30" w:type="dxa"/>
              <w:left w:w="20" w:type="dxa"/>
              <w:bottom w:w="30" w:type="dxa"/>
              <w:right w:w="20" w:type="dxa"/>
            </w:tcMar>
            <w:hideMark/>
          </w:tcPr>
          <w:p w:rsidR="00000000" w:rsidRDefault="001F1FC8">
            <w:pPr>
              <w:jc w:val="right"/>
              <w:rPr>
                <w:rFonts w:eastAsia="Times New Roman"/>
              </w:rPr>
            </w:pPr>
            <w:r>
              <w:rPr>
                <w:rFonts w:ascii="Arial" w:eastAsia="Times New Roman" w:hAnsi="Arial" w:cs="Arial"/>
                <w:color w:val="000000"/>
                <w:sz w:val="20"/>
                <w:szCs w:val="20"/>
              </w:rPr>
              <w:t>2020</w:t>
            </w:r>
          </w:p>
        </w:tc>
      </w:tr>
      <w:tr w:rsidR="00000000">
        <w:trPr>
          <w:divId w:val="677582855"/>
          <w:jc w:val="center"/>
        </w:trPr>
        <w:tc>
          <w:tcPr>
            <w:tcW w:w="0" w:type="auto"/>
            <w:gridSpan w:val="3"/>
            <w:tcBorders>
              <w:top w:val="single" w:sz="4" w:space="0" w:color="000000"/>
            </w:tcBorders>
            <w:tcMar>
              <w:top w:w="30" w:type="dxa"/>
              <w:left w:w="20" w:type="dxa"/>
              <w:bottom w:w="30" w:type="dxa"/>
              <w:right w:w="20" w:type="dxa"/>
            </w:tcMar>
            <w:hideMark/>
          </w:tcPr>
          <w:p w:rsidR="00000000" w:rsidRDefault="001F1FC8">
            <w:pPr>
              <w:rPr>
                <w:rFonts w:eastAsia="Times New Roman"/>
              </w:rPr>
            </w:pPr>
            <w:r>
              <w:rPr>
                <w:rFonts w:ascii="Arial" w:eastAsia="Times New Roman" w:hAnsi="Arial" w:cs="Arial"/>
                <w:i/>
                <w:iCs/>
                <w:color w:val="000000"/>
                <w:sz w:val="16"/>
                <w:szCs w:val="16"/>
              </w:rPr>
              <w:t>(millions of Canadian dollars)</w:t>
            </w:r>
          </w:p>
        </w:tc>
        <w:tc>
          <w:tcPr>
            <w:tcW w:w="0" w:type="auto"/>
            <w:vAlign w:val="center"/>
            <w:hideMark/>
          </w:tcPr>
          <w:p w:rsidR="00000000" w:rsidRDefault="001F1FC8">
            <w:pPr>
              <w:rPr>
                <w:rFonts w:eastAsia="Times New Roman"/>
              </w:rPr>
            </w:pPr>
          </w:p>
        </w:tc>
        <w:tc>
          <w:tcPr>
            <w:tcW w:w="0" w:type="auto"/>
            <w:vAlign w:val="center"/>
            <w:hideMark/>
          </w:tcPr>
          <w:p w:rsidR="00000000" w:rsidRDefault="001F1FC8">
            <w:pPr>
              <w:rPr>
                <w:rFonts w:eastAsia="Times New Roman"/>
                <w:sz w:val="20"/>
                <w:szCs w:val="20"/>
              </w:rPr>
            </w:pPr>
          </w:p>
        </w:tc>
        <w:tc>
          <w:tcPr>
            <w:tcW w:w="0" w:type="auto"/>
            <w:vAlign w:val="center"/>
            <w:hideMark/>
          </w:tcPr>
          <w:p w:rsidR="00000000" w:rsidRDefault="001F1FC8">
            <w:pPr>
              <w:rPr>
                <w:rFonts w:eastAsia="Times New Roman"/>
                <w:sz w:val="20"/>
                <w:szCs w:val="20"/>
              </w:rPr>
            </w:pPr>
          </w:p>
        </w:tc>
        <w:tc>
          <w:tcPr>
            <w:tcW w:w="0" w:type="auto"/>
            <w:gridSpan w:val="3"/>
            <w:tcBorders>
              <w:top w:val="single" w:sz="4" w:space="0" w:color="000000"/>
            </w:tcBorders>
            <w:shd w:val="clear" w:color="auto" w:fill="D9D9D9"/>
            <w:tcMar>
              <w:top w:w="0" w:type="dxa"/>
              <w:left w:w="20" w:type="dxa"/>
              <w:bottom w:w="0" w:type="dxa"/>
              <w:right w:w="20" w:type="dxa"/>
            </w:tcMar>
            <w:vAlign w:val="center"/>
            <w:hideMark/>
          </w:tcPr>
          <w:p w:rsidR="00000000" w:rsidRDefault="001F1FC8">
            <w:pPr>
              <w:rPr>
                <w:rFonts w:eastAsia="Times New Roman"/>
                <w:sz w:val="20"/>
                <w:szCs w:val="20"/>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1F1FC8">
            <w:pPr>
              <w:rPr>
                <w:rFonts w:eastAsia="Times New Roman"/>
                <w:sz w:val="20"/>
                <w:szCs w:val="20"/>
              </w:rPr>
            </w:pPr>
          </w:p>
        </w:tc>
      </w:tr>
      <w:tr w:rsidR="00000000">
        <w:trPr>
          <w:divId w:val="677582855"/>
          <w:jc w:val="center"/>
        </w:trPr>
        <w:tc>
          <w:tcPr>
            <w:tcW w:w="0" w:type="auto"/>
            <w:gridSpan w:val="3"/>
            <w:tcMar>
              <w:top w:w="30" w:type="dxa"/>
              <w:left w:w="20" w:type="dxa"/>
              <w:bottom w:w="30" w:type="dxa"/>
              <w:right w:w="20" w:type="dxa"/>
            </w:tcMar>
            <w:hideMark/>
          </w:tcPr>
          <w:p w:rsidR="00000000" w:rsidRDefault="001F1FC8">
            <w:pPr>
              <w:rPr>
                <w:rFonts w:eastAsia="Times New Roman"/>
              </w:rPr>
            </w:pPr>
            <w:r>
              <w:rPr>
                <w:rFonts w:ascii="Arial" w:eastAsia="Times New Roman" w:hAnsi="Arial" w:cs="Arial"/>
                <w:color w:val="000000"/>
                <w:sz w:val="20"/>
                <w:szCs w:val="20"/>
              </w:rPr>
              <w:t>Balance at beginning of year</w:t>
            </w:r>
          </w:p>
        </w:tc>
        <w:tc>
          <w:tcPr>
            <w:tcW w:w="0" w:type="auto"/>
            <w:vAlign w:val="center"/>
            <w:hideMark/>
          </w:tcPr>
          <w:p w:rsidR="00000000" w:rsidRDefault="001F1FC8">
            <w:pPr>
              <w:rPr>
                <w:rFonts w:eastAsia="Times New Roman"/>
              </w:rPr>
            </w:pPr>
          </w:p>
        </w:tc>
        <w:tc>
          <w:tcPr>
            <w:tcW w:w="0" w:type="auto"/>
            <w:vAlign w:val="center"/>
            <w:hideMark/>
          </w:tcPr>
          <w:p w:rsidR="00000000" w:rsidRDefault="001F1FC8">
            <w:pPr>
              <w:rPr>
                <w:rFonts w:eastAsia="Times New Roman"/>
                <w:sz w:val="20"/>
                <w:szCs w:val="20"/>
              </w:rPr>
            </w:pPr>
          </w:p>
        </w:tc>
        <w:tc>
          <w:tcPr>
            <w:tcW w:w="0" w:type="auto"/>
            <w:vAlign w:val="center"/>
            <w:hideMark/>
          </w:tcPr>
          <w:p w:rsidR="00000000" w:rsidRDefault="001F1FC8">
            <w:pPr>
              <w:rPr>
                <w:rFonts w:eastAsia="Times New Roman"/>
                <w:sz w:val="20"/>
                <w:szCs w:val="20"/>
              </w:rPr>
            </w:pPr>
          </w:p>
        </w:tc>
        <w:tc>
          <w:tcPr>
            <w:tcW w:w="0" w:type="auto"/>
            <w:gridSpan w:val="2"/>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20"/>
                <w:szCs w:val="20"/>
              </w:rPr>
              <w:t>22</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18 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r>
      <w:tr w:rsidR="00000000">
        <w:trPr>
          <w:divId w:val="677582855"/>
          <w:jc w:val="center"/>
        </w:trPr>
        <w:tc>
          <w:tcPr>
            <w:tcW w:w="0" w:type="auto"/>
            <w:gridSpan w:val="3"/>
            <w:tcMar>
              <w:top w:w="30" w:type="dxa"/>
              <w:left w:w="20" w:type="dxa"/>
              <w:bottom w:w="30" w:type="dxa"/>
              <w:right w:w="20" w:type="dxa"/>
            </w:tcMar>
            <w:hideMark/>
          </w:tcPr>
          <w:p w:rsidR="00000000" w:rsidRDefault="001F1FC8">
            <w:pPr>
              <w:rPr>
                <w:rFonts w:eastAsia="Times New Roman"/>
              </w:rPr>
            </w:pPr>
            <w:r>
              <w:rPr>
                <w:rFonts w:ascii="Arial" w:eastAsia="Times New Roman" w:hAnsi="Arial" w:cs="Arial"/>
                <w:color w:val="000000"/>
                <w:sz w:val="20"/>
                <w:szCs w:val="20"/>
              </w:rPr>
              <w:t>Unrealized and realized gains</w:t>
            </w:r>
          </w:p>
        </w:tc>
        <w:tc>
          <w:tcPr>
            <w:tcW w:w="0" w:type="auto"/>
            <w:vAlign w:val="center"/>
            <w:hideMark/>
          </w:tcPr>
          <w:p w:rsidR="00000000" w:rsidRDefault="001F1FC8">
            <w:pPr>
              <w:rPr>
                <w:rFonts w:eastAsia="Times New Roman"/>
              </w:rPr>
            </w:pPr>
          </w:p>
        </w:tc>
        <w:tc>
          <w:tcPr>
            <w:tcW w:w="0" w:type="auto"/>
            <w:vAlign w:val="center"/>
            <w:hideMark/>
          </w:tcPr>
          <w:p w:rsidR="00000000" w:rsidRDefault="001F1FC8">
            <w:pPr>
              <w:rPr>
                <w:rFonts w:eastAsia="Times New Roman"/>
                <w:sz w:val="20"/>
                <w:szCs w:val="20"/>
              </w:rPr>
            </w:pPr>
          </w:p>
        </w:tc>
        <w:tc>
          <w:tcPr>
            <w:tcW w:w="0" w:type="auto"/>
            <w:vAlign w:val="center"/>
            <w:hideMark/>
          </w:tcPr>
          <w:p w:rsidR="00000000" w:rsidRDefault="001F1FC8">
            <w:pPr>
              <w:rPr>
                <w:rFonts w:eastAsia="Times New Roman"/>
                <w:sz w:val="20"/>
                <w:szCs w:val="20"/>
              </w:rPr>
            </w:pPr>
          </w:p>
        </w:tc>
        <w:tc>
          <w:tcPr>
            <w:tcW w:w="0" w:type="auto"/>
            <w:gridSpan w:val="2"/>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20"/>
                <w:szCs w:val="20"/>
              </w:rPr>
              <w:t>2</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1 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r>
      <w:tr w:rsidR="00000000">
        <w:trPr>
          <w:divId w:val="677582855"/>
          <w:jc w:val="center"/>
        </w:trPr>
        <w:tc>
          <w:tcPr>
            <w:tcW w:w="0" w:type="auto"/>
            <w:gridSpan w:val="3"/>
            <w:tcMar>
              <w:top w:w="30" w:type="dxa"/>
              <w:left w:w="20" w:type="dxa"/>
              <w:bottom w:w="30" w:type="dxa"/>
              <w:right w:w="20" w:type="dxa"/>
            </w:tcMar>
            <w:hideMark/>
          </w:tcPr>
          <w:p w:rsidR="00000000" w:rsidRDefault="001F1FC8">
            <w:pPr>
              <w:rPr>
                <w:rFonts w:eastAsia="Times New Roman"/>
              </w:rPr>
            </w:pPr>
            <w:r>
              <w:rPr>
                <w:rFonts w:ascii="Arial" w:eastAsia="Times New Roman" w:hAnsi="Arial" w:cs="Arial"/>
                <w:color w:val="000000"/>
                <w:sz w:val="20"/>
                <w:szCs w:val="20"/>
              </w:rPr>
              <w:t>Purchases and settlements, net</w:t>
            </w:r>
          </w:p>
        </w:tc>
        <w:tc>
          <w:tcPr>
            <w:tcW w:w="0" w:type="auto"/>
            <w:vAlign w:val="center"/>
            <w:hideMark/>
          </w:tcPr>
          <w:p w:rsidR="00000000" w:rsidRDefault="001F1FC8">
            <w:pPr>
              <w:rPr>
                <w:rFonts w:eastAsia="Times New Roman"/>
              </w:rPr>
            </w:pPr>
          </w:p>
        </w:tc>
        <w:tc>
          <w:tcPr>
            <w:tcW w:w="0" w:type="auto"/>
            <w:vAlign w:val="center"/>
            <w:hideMark/>
          </w:tcPr>
          <w:p w:rsidR="00000000" w:rsidRDefault="001F1FC8">
            <w:pPr>
              <w:rPr>
                <w:rFonts w:eastAsia="Times New Roman"/>
                <w:sz w:val="20"/>
                <w:szCs w:val="20"/>
              </w:rPr>
            </w:pPr>
          </w:p>
        </w:tc>
        <w:tc>
          <w:tcPr>
            <w:tcW w:w="0" w:type="auto"/>
            <w:vAlign w:val="center"/>
            <w:hideMark/>
          </w:tcPr>
          <w:p w:rsidR="00000000" w:rsidRDefault="001F1FC8">
            <w:pPr>
              <w:rPr>
                <w:rFonts w:eastAsia="Times New Roman"/>
                <w:sz w:val="20"/>
                <w:szCs w:val="20"/>
              </w:rPr>
            </w:pPr>
          </w:p>
        </w:tc>
        <w:tc>
          <w:tcPr>
            <w:tcW w:w="0" w:type="auto"/>
            <w:gridSpan w:val="2"/>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20"/>
                <w:szCs w:val="20"/>
              </w:rPr>
              <w:t>(2)</w:t>
            </w:r>
          </w:p>
        </w:tc>
        <w:tc>
          <w:tcPr>
            <w:tcW w:w="0" w:type="auto"/>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3 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r>
      <w:tr w:rsidR="00000000">
        <w:trPr>
          <w:divId w:val="677582855"/>
          <w:jc w:val="center"/>
        </w:trPr>
        <w:tc>
          <w:tcPr>
            <w:tcW w:w="0" w:type="auto"/>
            <w:gridSpan w:val="3"/>
            <w:tcBorders>
              <w:top w:val="single" w:sz="4" w:space="0" w:color="000000"/>
              <w:bottom w:val="single" w:sz="8" w:space="0" w:color="000000"/>
            </w:tcBorders>
            <w:tcMar>
              <w:top w:w="30" w:type="dxa"/>
              <w:left w:w="20" w:type="dxa"/>
              <w:bottom w:w="30" w:type="dxa"/>
              <w:right w:w="20" w:type="dxa"/>
            </w:tcMar>
            <w:hideMark/>
          </w:tcPr>
          <w:p w:rsidR="00000000" w:rsidRDefault="001F1FC8">
            <w:pPr>
              <w:rPr>
                <w:rFonts w:eastAsia="Times New Roman"/>
              </w:rPr>
            </w:pPr>
            <w:r>
              <w:rPr>
                <w:rFonts w:ascii="Arial" w:eastAsia="Times New Roman" w:hAnsi="Arial" w:cs="Arial"/>
                <w:color w:val="000000"/>
                <w:sz w:val="20"/>
                <w:szCs w:val="20"/>
              </w:rPr>
              <w:t>Balance at end of year</w:t>
            </w:r>
          </w:p>
        </w:tc>
        <w:tc>
          <w:tcPr>
            <w:tcW w:w="0" w:type="auto"/>
            <w:vAlign w:val="center"/>
            <w:hideMark/>
          </w:tcPr>
          <w:p w:rsidR="00000000" w:rsidRDefault="001F1FC8">
            <w:pPr>
              <w:rPr>
                <w:rFonts w:eastAsia="Times New Roman"/>
              </w:rPr>
            </w:pPr>
          </w:p>
        </w:tc>
        <w:tc>
          <w:tcPr>
            <w:tcW w:w="0" w:type="auto"/>
            <w:vAlign w:val="center"/>
            <w:hideMark/>
          </w:tcPr>
          <w:p w:rsidR="00000000" w:rsidRDefault="001F1FC8">
            <w:pPr>
              <w:rPr>
                <w:rFonts w:eastAsia="Times New Roman"/>
                <w:sz w:val="20"/>
                <w:szCs w:val="20"/>
              </w:rPr>
            </w:pPr>
          </w:p>
        </w:tc>
        <w:tc>
          <w:tcPr>
            <w:tcW w:w="0" w:type="auto"/>
            <w:vAlign w:val="center"/>
            <w:hideMark/>
          </w:tcPr>
          <w:p w:rsidR="00000000" w:rsidRDefault="001F1FC8">
            <w:pPr>
              <w:rPr>
                <w:rFonts w:eastAsia="Times New Roman"/>
                <w:sz w:val="20"/>
                <w:szCs w:val="20"/>
              </w:rPr>
            </w:pPr>
          </w:p>
        </w:tc>
        <w:tc>
          <w:tcPr>
            <w:tcW w:w="0" w:type="auto"/>
            <w:gridSpan w:val="2"/>
            <w:tcBorders>
              <w:top w:val="single" w:sz="4" w:space="0" w:color="000000"/>
              <w:bottom w:val="single" w:sz="8" w:space="0" w:color="000000"/>
            </w:tcBorders>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20"/>
                <w:szCs w:val="20"/>
              </w:rPr>
              <w:t>22</w:t>
            </w:r>
            <w:r>
              <w:rPr>
                <w:rFonts w:ascii="Arial" w:eastAsia="Times New Roman" w:hAnsi="Arial" w:cs="Arial"/>
                <w:color w:val="000000"/>
                <w:sz w:val="20"/>
                <w:szCs w:val="20"/>
              </w:rPr>
              <w:t> </w:t>
            </w:r>
          </w:p>
        </w:tc>
        <w:tc>
          <w:tcPr>
            <w:tcW w:w="0" w:type="auto"/>
            <w:tcBorders>
              <w:top w:val="single" w:sz="4" w:space="0" w:color="000000"/>
              <w:bottom w:val="single" w:sz="8" w:space="0" w:color="000000"/>
            </w:tcBorders>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Borders>
              <w:top w:val="single" w:sz="4" w:space="0" w:color="000000"/>
              <w:bottom w:val="single" w:sz="8" w:space="0" w:color="000000"/>
            </w:tcBorders>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22 </w:t>
            </w:r>
          </w:p>
        </w:tc>
        <w:tc>
          <w:tcPr>
            <w:tcW w:w="0" w:type="auto"/>
            <w:tcBorders>
              <w:top w:val="single" w:sz="4" w:space="0" w:color="000000"/>
              <w:bottom w:val="single" w:sz="8" w:space="0" w:color="000000"/>
            </w:tcBorders>
            <w:tcMar>
              <w:top w:w="30" w:type="dxa"/>
              <w:left w:w="0" w:type="dxa"/>
              <w:bottom w:w="30" w:type="dxa"/>
              <w:right w:w="20" w:type="dxa"/>
            </w:tcMar>
            <w:vAlign w:val="bottom"/>
            <w:hideMark/>
          </w:tcPr>
          <w:p w:rsidR="00000000" w:rsidRDefault="001F1FC8">
            <w:pPr>
              <w:jc w:val="right"/>
              <w:rPr>
                <w:rFonts w:eastAsia="Times New Roman"/>
              </w:rPr>
            </w:pPr>
          </w:p>
        </w:tc>
      </w:tr>
    </w:tbl>
    <w:p w:rsidR="00000000" w:rsidRDefault="001F1FC8">
      <w:pPr>
        <w:divId w:val="1101415625"/>
        <w:rPr>
          <w:rFonts w:eastAsia="Times New Roman"/>
        </w:rPr>
      </w:pPr>
    </w:p>
    <w:p w:rsidR="00000000" w:rsidRDefault="001F1FC8">
      <w:pPr>
        <w:divId w:val="1907108890"/>
        <w:rPr>
          <w:rFonts w:eastAsia="Times New Roman"/>
        </w:rPr>
      </w:pPr>
      <w:r>
        <w:rPr>
          <w:rFonts w:ascii="Arial" w:eastAsia="Times New Roman" w:hAnsi="Arial" w:cs="Arial"/>
          <w:b/>
          <w:bCs/>
          <w:color w:val="000000"/>
          <w:sz w:val="20"/>
          <w:szCs w:val="20"/>
        </w:rPr>
        <w:t>EXPECTED BENEFIT PAYMENTS</w:t>
      </w:r>
    </w:p>
    <w:tbl>
      <w:tblPr>
        <w:tblW w:w="5000" w:type="pct"/>
        <w:tblCellMar>
          <w:top w:w="15" w:type="dxa"/>
          <w:left w:w="15" w:type="dxa"/>
          <w:bottom w:w="15" w:type="dxa"/>
          <w:right w:w="15" w:type="dxa"/>
        </w:tblCellMar>
        <w:tblLook w:val="04A0" w:firstRow="1" w:lastRow="0" w:firstColumn="1" w:lastColumn="0" w:noHBand="0" w:noVBand="1"/>
      </w:tblPr>
      <w:tblGrid>
        <w:gridCol w:w="69"/>
        <w:gridCol w:w="2519"/>
        <w:gridCol w:w="36"/>
        <w:gridCol w:w="69"/>
        <w:gridCol w:w="812"/>
        <w:gridCol w:w="36"/>
        <w:gridCol w:w="69"/>
        <w:gridCol w:w="812"/>
        <w:gridCol w:w="36"/>
        <w:gridCol w:w="69"/>
        <w:gridCol w:w="812"/>
        <w:gridCol w:w="36"/>
        <w:gridCol w:w="69"/>
        <w:gridCol w:w="812"/>
        <w:gridCol w:w="36"/>
        <w:gridCol w:w="70"/>
        <w:gridCol w:w="813"/>
        <w:gridCol w:w="36"/>
        <w:gridCol w:w="70"/>
        <w:gridCol w:w="989"/>
        <w:gridCol w:w="36"/>
      </w:tblGrid>
      <w:tr w:rsidR="00000000">
        <w:trPr>
          <w:divId w:val="754980715"/>
        </w:trPr>
        <w:tc>
          <w:tcPr>
            <w:tcW w:w="50" w:type="pct"/>
            <w:vAlign w:val="center"/>
            <w:hideMark/>
          </w:tcPr>
          <w:p w:rsidR="00000000" w:rsidRDefault="001F1FC8">
            <w:pPr>
              <w:rPr>
                <w:rFonts w:eastAsia="Times New Roman"/>
              </w:rPr>
            </w:pPr>
          </w:p>
        </w:tc>
        <w:tc>
          <w:tcPr>
            <w:tcW w:w="1523"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c>
          <w:tcPr>
            <w:tcW w:w="50" w:type="pct"/>
            <w:vAlign w:val="center"/>
            <w:hideMark/>
          </w:tcPr>
          <w:p w:rsidR="00000000" w:rsidRDefault="001F1FC8">
            <w:pPr>
              <w:rPr>
                <w:rFonts w:eastAsia="Times New Roman"/>
                <w:sz w:val="20"/>
                <w:szCs w:val="20"/>
              </w:rPr>
            </w:pPr>
          </w:p>
        </w:tc>
        <w:tc>
          <w:tcPr>
            <w:tcW w:w="497"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c>
          <w:tcPr>
            <w:tcW w:w="50" w:type="pct"/>
            <w:vAlign w:val="center"/>
            <w:hideMark/>
          </w:tcPr>
          <w:p w:rsidR="00000000" w:rsidRDefault="001F1FC8">
            <w:pPr>
              <w:rPr>
                <w:rFonts w:eastAsia="Times New Roman"/>
                <w:sz w:val="20"/>
                <w:szCs w:val="20"/>
              </w:rPr>
            </w:pPr>
          </w:p>
        </w:tc>
        <w:tc>
          <w:tcPr>
            <w:tcW w:w="497"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c>
          <w:tcPr>
            <w:tcW w:w="50" w:type="pct"/>
            <w:vAlign w:val="center"/>
            <w:hideMark/>
          </w:tcPr>
          <w:p w:rsidR="00000000" w:rsidRDefault="001F1FC8">
            <w:pPr>
              <w:rPr>
                <w:rFonts w:eastAsia="Times New Roman"/>
                <w:sz w:val="20"/>
                <w:szCs w:val="20"/>
              </w:rPr>
            </w:pPr>
          </w:p>
        </w:tc>
        <w:tc>
          <w:tcPr>
            <w:tcW w:w="497"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c>
          <w:tcPr>
            <w:tcW w:w="50" w:type="pct"/>
            <w:vAlign w:val="center"/>
            <w:hideMark/>
          </w:tcPr>
          <w:p w:rsidR="00000000" w:rsidRDefault="001F1FC8">
            <w:pPr>
              <w:rPr>
                <w:rFonts w:eastAsia="Times New Roman"/>
                <w:sz w:val="20"/>
                <w:szCs w:val="20"/>
              </w:rPr>
            </w:pPr>
          </w:p>
        </w:tc>
        <w:tc>
          <w:tcPr>
            <w:tcW w:w="497"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c>
          <w:tcPr>
            <w:tcW w:w="50" w:type="pct"/>
            <w:vAlign w:val="center"/>
            <w:hideMark/>
          </w:tcPr>
          <w:p w:rsidR="00000000" w:rsidRDefault="001F1FC8">
            <w:pPr>
              <w:rPr>
                <w:rFonts w:eastAsia="Times New Roman"/>
                <w:sz w:val="20"/>
                <w:szCs w:val="20"/>
              </w:rPr>
            </w:pPr>
          </w:p>
        </w:tc>
        <w:tc>
          <w:tcPr>
            <w:tcW w:w="497"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c>
          <w:tcPr>
            <w:tcW w:w="50" w:type="pct"/>
            <w:vAlign w:val="center"/>
            <w:hideMark/>
          </w:tcPr>
          <w:p w:rsidR="00000000" w:rsidRDefault="001F1FC8">
            <w:pPr>
              <w:rPr>
                <w:rFonts w:eastAsia="Times New Roman"/>
                <w:sz w:val="20"/>
                <w:szCs w:val="20"/>
              </w:rPr>
            </w:pPr>
          </w:p>
        </w:tc>
        <w:tc>
          <w:tcPr>
            <w:tcW w:w="602"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r>
      <w:tr w:rsidR="00000000">
        <w:trPr>
          <w:divId w:val="754980715"/>
        </w:trPr>
        <w:tc>
          <w:tcPr>
            <w:tcW w:w="0" w:type="auto"/>
            <w:gridSpan w:val="3"/>
            <w:tcMar>
              <w:top w:w="30" w:type="dxa"/>
              <w:left w:w="20" w:type="dxa"/>
              <w:bottom w:w="30" w:type="dxa"/>
              <w:right w:w="20" w:type="dxa"/>
            </w:tcMar>
            <w:hideMark/>
          </w:tcPr>
          <w:p w:rsidR="00000000" w:rsidRDefault="001F1FC8">
            <w:pPr>
              <w:rPr>
                <w:rFonts w:eastAsia="Times New Roman"/>
              </w:rPr>
            </w:pPr>
            <w:r>
              <w:rPr>
                <w:rFonts w:ascii="Arial" w:eastAsia="Times New Roman" w:hAnsi="Arial" w:cs="Arial"/>
                <w:color w:val="000000"/>
                <w:sz w:val="20"/>
                <w:szCs w:val="20"/>
              </w:rPr>
              <w:t>Year ending December 31,</w:t>
            </w:r>
          </w:p>
        </w:tc>
        <w:tc>
          <w:tcPr>
            <w:tcW w:w="0" w:type="auto"/>
            <w:gridSpan w:val="3"/>
            <w:tcMar>
              <w:top w:w="30" w:type="dxa"/>
              <w:left w:w="20" w:type="dxa"/>
              <w:bottom w:w="30" w:type="dxa"/>
              <w:right w:w="20" w:type="dxa"/>
            </w:tcMar>
            <w:hideMark/>
          </w:tcPr>
          <w:p w:rsidR="00000000" w:rsidRDefault="001F1FC8">
            <w:pPr>
              <w:jc w:val="right"/>
              <w:rPr>
                <w:rFonts w:eastAsia="Times New Roman"/>
              </w:rPr>
            </w:pPr>
            <w:r>
              <w:rPr>
                <w:rFonts w:ascii="Arial" w:eastAsia="Times New Roman" w:hAnsi="Arial" w:cs="Arial"/>
                <w:color w:val="000000"/>
                <w:sz w:val="20"/>
                <w:szCs w:val="20"/>
              </w:rPr>
              <w:t>2022</w:t>
            </w:r>
          </w:p>
        </w:tc>
        <w:tc>
          <w:tcPr>
            <w:tcW w:w="0" w:type="auto"/>
            <w:gridSpan w:val="3"/>
            <w:tcMar>
              <w:top w:w="30" w:type="dxa"/>
              <w:left w:w="20" w:type="dxa"/>
              <w:bottom w:w="30" w:type="dxa"/>
              <w:right w:w="20" w:type="dxa"/>
            </w:tcMar>
            <w:hideMark/>
          </w:tcPr>
          <w:p w:rsidR="00000000" w:rsidRDefault="001F1FC8">
            <w:pPr>
              <w:jc w:val="right"/>
              <w:rPr>
                <w:rFonts w:eastAsia="Times New Roman"/>
              </w:rPr>
            </w:pPr>
            <w:r>
              <w:rPr>
                <w:rFonts w:ascii="Arial" w:eastAsia="Times New Roman" w:hAnsi="Arial" w:cs="Arial"/>
                <w:color w:val="000000"/>
                <w:sz w:val="20"/>
                <w:szCs w:val="20"/>
              </w:rPr>
              <w:t>2023</w:t>
            </w:r>
          </w:p>
        </w:tc>
        <w:tc>
          <w:tcPr>
            <w:tcW w:w="0" w:type="auto"/>
            <w:gridSpan w:val="3"/>
            <w:tcMar>
              <w:top w:w="30" w:type="dxa"/>
              <w:left w:w="20" w:type="dxa"/>
              <w:bottom w:w="30" w:type="dxa"/>
              <w:right w:w="20" w:type="dxa"/>
            </w:tcMar>
            <w:hideMark/>
          </w:tcPr>
          <w:p w:rsidR="00000000" w:rsidRDefault="001F1FC8">
            <w:pPr>
              <w:jc w:val="right"/>
              <w:rPr>
                <w:rFonts w:eastAsia="Times New Roman"/>
              </w:rPr>
            </w:pPr>
            <w:r>
              <w:rPr>
                <w:rFonts w:ascii="Arial" w:eastAsia="Times New Roman" w:hAnsi="Arial" w:cs="Arial"/>
                <w:color w:val="000000"/>
                <w:sz w:val="20"/>
                <w:szCs w:val="20"/>
              </w:rPr>
              <w:t>2024</w:t>
            </w:r>
          </w:p>
        </w:tc>
        <w:tc>
          <w:tcPr>
            <w:tcW w:w="0" w:type="auto"/>
            <w:gridSpan w:val="3"/>
            <w:tcMar>
              <w:top w:w="30" w:type="dxa"/>
              <w:left w:w="20" w:type="dxa"/>
              <w:bottom w:w="30" w:type="dxa"/>
              <w:right w:w="20" w:type="dxa"/>
            </w:tcMar>
            <w:hideMark/>
          </w:tcPr>
          <w:p w:rsidR="00000000" w:rsidRDefault="001F1FC8">
            <w:pPr>
              <w:jc w:val="right"/>
              <w:rPr>
                <w:rFonts w:eastAsia="Times New Roman"/>
              </w:rPr>
            </w:pPr>
            <w:r>
              <w:rPr>
                <w:rFonts w:ascii="Arial" w:eastAsia="Times New Roman" w:hAnsi="Arial" w:cs="Arial"/>
                <w:color w:val="000000"/>
                <w:sz w:val="20"/>
                <w:szCs w:val="20"/>
              </w:rPr>
              <w:t>2025</w:t>
            </w:r>
          </w:p>
        </w:tc>
        <w:tc>
          <w:tcPr>
            <w:tcW w:w="0" w:type="auto"/>
            <w:gridSpan w:val="3"/>
            <w:tcMar>
              <w:top w:w="30" w:type="dxa"/>
              <w:left w:w="20" w:type="dxa"/>
              <w:bottom w:w="30" w:type="dxa"/>
              <w:right w:w="20" w:type="dxa"/>
            </w:tcMar>
            <w:hideMark/>
          </w:tcPr>
          <w:p w:rsidR="00000000" w:rsidRDefault="001F1FC8">
            <w:pPr>
              <w:jc w:val="right"/>
              <w:rPr>
                <w:rFonts w:eastAsia="Times New Roman"/>
              </w:rPr>
            </w:pPr>
            <w:r>
              <w:rPr>
                <w:rFonts w:ascii="Arial" w:eastAsia="Times New Roman" w:hAnsi="Arial" w:cs="Arial"/>
                <w:color w:val="000000"/>
                <w:sz w:val="20"/>
                <w:szCs w:val="20"/>
              </w:rPr>
              <w:t>2026</w:t>
            </w:r>
          </w:p>
        </w:tc>
        <w:tc>
          <w:tcPr>
            <w:tcW w:w="0" w:type="auto"/>
            <w:gridSpan w:val="3"/>
            <w:tcMar>
              <w:top w:w="30" w:type="dxa"/>
              <w:left w:w="20" w:type="dxa"/>
              <w:bottom w:w="30" w:type="dxa"/>
              <w:right w:w="20" w:type="dxa"/>
            </w:tcMar>
            <w:hideMark/>
          </w:tcPr>
          <w:p w:rsidR="00000000" w:rsidRDefault="001F1FC8">
            <w:pPr>
              <w:jc w:val="right"/>
              <w:rPr>
                <w:rFonts w:eastAsia="Times New Roman"/>
              </w:rPr>
            </w:pPr>
            <w:r>
              <w:rPr>
                <w:rFonts w:ascii="Arial" w:eastAsia="Times New Roman" w:hAnsi="Arial" w:cs="Arial"/>
                <w:color w:val="000000"/>
                <w:sz w:val="20"/>
                <w:szCs w:val="20"/>
              </w:rPr>
              <w:t>2027-2031</w:t>
            </w:r>
          </w:p>
        </w:tc>
      </w:tr>
      <w:tr w:rsidR="00000000">
        <w:trPr>
          <w:divId w:val="754980715"/>
        </w:trPr>
        <w:tc>
          <w:tcPr>
            <w:tcW w:w="0" w:type="auto"/>
            <w:gridSpan w:val="3"/>
            <w:tcBorders>
              <w:top w:val="single" w:sz="4" w:space="0" w:color="000000"/>
            </w:tcBorders>
            <w:tcMar>
              <w:top w:w="30" w:type="dxa"/>
              <w:left w:w="20" w:type="dxa"/>
              <w:bottom w:w="30" w:type="dxa"/>
              <w:right w:w="20" w:type="dxa"/>
            </w:tcMar>
            <w:hideMark/>
          </w:tcPr>
          <w:p w:rsidR="00000000" w:rsidRDefault="001F1FC8">
            <w:pPr>
              <w:rPr>
                <w:rFonts w:eastAsia="Times New Roman"/>
              </w:rPr>
            </w:pPr>
            <w:r>
              <w:rPr>
                <w:rFonts w:ascii="Arial" w:eastAsia="Times New Roman" w:hAnsi="Arial" w:cs="Arial"/>
                <w:i/>
                <w:iCs/>
                <w:color w:val="000000"/>
                <w:sz w:val="16"/>
                <w:szCs w:val="16"/>
              </w:rPr>
              <w:t>(millions of Canadian dollars)</w:t>
            </w: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2"/>
                <w:szCs w:val="2"/>
              </w:rPr>
              <w:t> </w:t>
            </w: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2"/>
                <w:szCs w:val="2"/>
              </w:rPr>
              <w:t> </w:t>
            </w: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2"/>
                <w:szCs w:val="2"/>
              </w:rPr>
              <w:t> </w:t>
            </w: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2"/>
                <w:szCs w:val="2"/>
              </w:rPr>
              <w:t> </w:t>
            </w: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2"/>
                <w:szCs w:val="2"/>
              </w:rPr>
              <w:t> </w:t>
            </w: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2"/>
                <w:szCs w:val="2"/>
              </w:rPr>
              <w:t> </w:t>
            </w:r>
          </w:p>
        </w:tc>
      </w:tr>
      <w:tr w:rsidR="00000000">
        <w:trPr>
          <w:divId w:val="754980715"/>
        </w:trPr>
        <w:tc>
          <w:tcPr>
            <w:tcW w:w="0" w:type="auto"/>
            <w:gridSpan w:val="3"/>
            <w:tcMar>
              <w:top w:w="30" w:type="dxa"/>
              <w:left w:w="20" w:type="dxa"/>
              <w:bottom w:w="30" w:type="dxa"/>
              <w:right w:w="20" w:type="dxa"/>
            </w:tcMar>
            <w:hideMark/>
          </w:tcPr>
          <w:p w:rsidR="00000000" w:rsidRDefault="001F1FC8">
            <w:pPr>
              <w:rPr>
                <w:rFonts w:eastAsia="Times New Roman"/>
              </w:rPr>
            </w:pPr>
            <w:r>
              <w:rPr>
                <w:rFonts w:ascii="Arial" w:eastAsia="Times New Roman" w:hAnsi="Arial" w:cs="Arial"/>
                <w:b/>
                <w:bCs/>
                <w:color w:val="000000"/>
                <w:sz w:val="20"/>
                <w:szCs w:val="20"/>
              </w:rPr>
              <w:t>Pension</w:t>
            </w:r>
          </w:p>
        </w:tc>
        <w:tc>
          <w:tcPr>
            <w:tcW w:w="0" w:type="auto"/>
            <w:gridSpan w:val="3"/>
            <w:tcMar>
              <w:top w:w="0" w:type="dxa"/>
              <w:left w:w="20" w:type="dxa"/>
              <w:bottom w:w="0" w:type="dxa"/>
              <w:right w:w="20" w:type="dxa"/>
            </w:tcMar>
            <w:vAlign w:val="center"/>
            <w:hideMark/>
          </w:tcPr>
          <w:p w:rsidR="00000000" w:rsidRDefault="001F1FC8">
            <w:pPr>
              <w:rPr>
                <w:rFonts w:eastAsia="Times New Roman"/>
              </w:rPr>
            </w:pPr>
          </w:p>
        </w:tc>
        <w:tc>
          <w:tcPr>
            <w:tcW w:w="0" w:type="auto"/>
            <w:gridSpan w:val="3"/>
            <w:tcMar>
              <w:top w:w="0" w:type="dxa"/>
              <w:left w:w="20" w:type="dxa"/>
              <w:bottom w:w="0" w:type="dxa"/>
              <w:right w:w="20" w:type="dxa"/>
            </w:tcMar>
            <w:vAlign w:val="center"/>
            <w:hideMark/>
          </w:tcPr>
          <w:p w:rsidR="00000000" w:rsidRDefault="001F1FC8">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1F1FC8">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1F1FC8">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1F1FC8">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1F1FC8">
            <w:pPr>
              <w:rPr>
                <w:rFonts w:eastAsia="Times New Roman"/>
                <w:sz w:val="20"/>
                <w:szCs w:val="20"/>
              </w:rPr>
            </w:pPr>
          </w:p>
        </w:tc>
      </w:tr>
      <w:tr w:rsidR="00000000">
        <w:trPr>
          <w:divId w:val="754980715"/>
        </w:trPr>
        <w:tc>
          <w:tcPr>
            <w:tcW w:w="0" w:type="auto"/>
            <w:gridSpan w:val="3"/>
            <w:tcMar>
              <w:top w:w="30" w:type="dxa"/>
              <w:left w:w="20" w:type="dxa"/>
              <w:bottom w:w="30" w:type="dxa"/>
              <w:right w:w="20" w:type="dxa"/>
            </w:tcMar>
            <w:hideMark/>
          </w:tcPr>
          <w:p w:rsidR="00000000" w:rsidRDefault="001F1FC8">
            <w:pPr>
              <w:divId w:val="86192624"/>
              <w:rPr>
                <w:rFonts w:eastAsia="Times New Roman"/>
              </w:rPr>
            </w:pPr>
            <w:r>
              <w:rPr>
                <w:rFonts w:ascii="Arial" w:eastAsia="Times New Roman" w:hAnsi="Arial" w:cs="Arial"/>
                <w:color w:val="000000"/>
                <w:sz w:val="20"/>
                <w:szCs w:val="20"/>
              </w:rPr>
              <w:t>Canada</w:t>
            </w: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197 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203 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208 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212 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217 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1,163 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r>
      <w:tr w:rsidR="00000000">
        <w:trPr>
          <w:divId w:val="754980715"/>
        </w:trPr>
        <w:tc>
          <w:tcPr>
            <w:tcW w:w="0" w:type="auto"/>
            <w:gridSpan w:val="3"/>
            <w:tcMar>
              <w:top w:w="30" w:type="dxa"/>
              <w:left w:w="200" w:type="dxa"/>
              <w:bottom w:w="30" w:type="dxa"/>
              <w:right w:w="20" w:type="dxa"/>
            </w:tcMar>
            <w:hideMark/>
          </w:tcPr>
          <w:p w:rsidR="00000000" w:rsidRDefault="001F1FC8">
            <w:pPr>
              <w:rPr>
                <w:rFonts w:eastAsia="Times New Roman"/>
              </w:rPr>
            </w:pPr>
            <w:r>
              <w:rPr>
                <w:rFonts w:ascii="Arial" w:eastAsia="Times New Roman" w:hAnsi="Arial" w:cs="Arial"/>
                <w:color w:val="000000"/>
                <w:sz w:val="20"/>
                <w:szCs w:val="20"/>
              </w:rPr>
              <w:t>US</w:t>
            </w: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80 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78 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78 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76 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77 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374 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r>
      <w:tr w:rsidR="00000000">
        <w:trPr>
          <w:divId w:val="754980715"/>
        </w:trPr>
        <w:tc>
          <w:tcPr>
            <w:tcW w:w="0" w:type="auto"/>
            <w:gridSpan w:val="3"/>
            <w:tcMar>
              <w:top w:w="30" w:type="dxa"/>
              <w:left w:w="20" w:type="dxa"/>
              <w:bottom w:w="30" w:type="dxa"/>
              <w:right w:w="20" w:type="dxa"/>
            </w:tcMar>
            <w:hideMark/>
          </w:tcPr>
          <w:p w:rsidR="00000000" w:rsidRDefault="001F1FC8">
            <w:pPr>
              <w:rPr>
                <w:rFonts w:eastAsia="Times New Roman"/>
              </w:rPr>
            </w:pPr>
            <w:r>
              <w:rPr>
                <w:rFonts w:ascii="Arial" w:eastAsia="Times New Roman" w:hAnsi="Arial" w:cs="Arial"/>
                <w:b/>
                <w:bCs/>
                <w:color w:val="000000"/>
                <w:sz w:val="20"/>
                <w:szCs w:val="20"/>
              </w:rPr>
              <w:t>OPEB</w:t>
            </w:r>
          </w:p>
        </w:tc>
        <w:tc>
          <w:tcPr>
            <w:tcW w:w="0" w:type="auto"/>
            <w:gridSpan w:val="3"/>
            <w:tcMar>
              <w:top w:w="0" w:type="dxa"/>
              <w:left w:w="20" w:type="dxa"/>
              <w:bottom w:w="0" w:type="dxa"/>
              <w:right w:w="20" w:type="dxa"/>
            </w:tcMar>
            <w:vAlign w:val="center"/>
            <w:hideMark/>
          </w:tcPr>
          <w:p w:rsidR="00000000" w:rsidRDefault="001F1FC8">
            <w:pPr>
              <w:rPr>
                <w:rFonts w:eastAsia="Times New Roman"/>
              </w:rPr>
            </w:pPr>
          </w:p>
        </w:tc>
        <w:tc>
          <w:tcPr>
            <w:tcW w:w="0" w:type="auto"/>
            <w:gridSpan w:val="3"/>
            <w:tcMar>
              <w:top w:w="0" w:type="dxa"/>
              <w:left w:w="20" w:type="dxa"/>
              <w:bottom w:w="0" w:type="dxa"/>
              <w:right w:w="20" w:type="dxa"/>
            </w:tcMar>
            <w:vAlign w:val="center"/>
            <w:hideMark/>
          </w:tcPr>
          <w:p w:rsidR="00000000" w:rsidRDefault="001F1FC8">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1F1FC8">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1F1FC8">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1F1FC8">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1F1FC8">
            <w:pPr>
              <w:rPr>
                <w:rFonts w:eastAsia="Times New Roman"/>
                <w:sz w:val="20"/>
                <w:szCs w:val="20"/>
              </w:rPr>
            </w:pPr>
          </w:p>
        </w:tc>
      </w:tr>
      <w:tr w:rsidR="00000000">
        <w:trPr>
          <w:divId w:val="754980715"/>
        </w:trPr>
        <w:tc>
          <w:tcPr>
            <w:tcW w:w="0" w:type="auto"/>
            <w:gridSpan w:val="3"/>
            <w:tcMar>
              <w:top w:w="30" w:type="dxa"/>
              <w:left w:w="20" w:type="dxa"/>
              <w:bottom w:w="30" w:type="dxa"/>
              <w:right w:w="20" w:type="dxa"/>
            </w:tcMar>
            <w:hideMark/>
          </w:tcPr>
          <w:p w:rsidR="00000000" w:rsidRDefault="001F1FC8">
            <w:pPr>
              <w:divId w:val="1526092003"/>
              <w:rPr>
                <w:rFonts w:eastAsia="Times New Roman"/>
              </w:rPr>
            </w:pPr>
            <w:r>
              <w:rPr>
                <w:rFonts w:ascii="Arial" w:eastAsia="Times New Roman" w:hAnsi="Arial" w:cs="Arial"/>
                <w:color w:val="000000"/>
                <w:sz w:val="20"/>
                <w:szCs w:val="20"/>
              </w:rPr>
              <w:t>Canada</w:t>
            </w: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12 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12 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12 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13 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13 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67 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r>
      <w:tr w:rsidR="00000000">
        <w:trPr>
          <w:divId w:val="754980715"/>
        </w:trPr>
        <w:tc>
          <w:tcPr>
            <w:tcW w:w="0" w:type="auto"/>
            <w:gridSpan w:val="3"/>
            <w:tcBorders>
              <w:bottom w:val="single" w:sz="8" w:space="0" w:color="000000"/>
            </w:tcBorders>
            <w:tcMar>
              <w:top w:w="30" w:type="dxa"/>
              <w:left w:w="200" w:type="dxa"/>
              <w:bottom w:w="30" w:type="dxa"/>
              <w:right w:w="20" w:type="dxa"/>
            </w:tcMar>
            <w:hideMark/>
          </w:tcPr>
          <w:p w:rsidR="00000000" w:rsidRDefault="001F1FC8">
            <w:pPr>
              <w:rPr>
                <w:rFonts w:eastAsia="Times New Roman"/>
              </w:rPr>
            </w:pPr>
            <w:r>
              <w:rPr>
                <w:rFonts w:ascii="Arial" w:eastAsia="Times New Roman" w:hAnsi="Arial" w:cs="Arial"/>
                <w:color w:val="000000"/>
                <w:sz w:val="20"/>
                <w:szCs w:val="20"/>
              </w:rPr>
              <w:t>US</w:t>
            </w:r>
          </w:p>
        </w:tc>
        <w:tc>
          <w:tcPr>
            <w:tcW w:w="0" w:type="auto"/>
            <w:gridSpan w:val="2"/>
            <w:tcBorders>
              <w:bottom w:val="single" w:sz="8" w:space="0" w:color="000000"/>
            </w:tcBorders>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17 </w:t>
            </w:r>
          </w:p>
        </w:tc>
        <w:tc>
          <w:tcPr>
            <w:tcW w:w="0" w:type="auto"/>
            <w:tcBorders>
              <w:bottom w:val="single" w:sz="8" w:space="0" w:color="000000"/>
            </w:tcBorders>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Borders>
              <w:bottom w:val="single" w:sz="8" w:space="0" w:color="000000"/>
            </w:tcBorders>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15 </w:t>
            </w:r>
          </w:p>
        </w:tc>
        <w:tc>
          <w:tcPr>
            <w:tcW w:w="0" w:type="auto"/>
            <w:tcBorders>
              <w:bottom w:val="single" w:sz="8" w:space="0" w:color="000000"/>
            </w:tcBorders>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Borders>
              <w:bottom w:val="single" w:sz="8" w:space="0" w:color="000000"/>
            </w:tcBorders>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14 </w:t>
            </w:r>
          </w:p>
        </w:tc>
        <w:tc>
          <w:tcPr>
            <w:tcW w:w="0" w:type="auto"/>
            <w:tcBorders>
              <w:bottom w:val="single" w:sz="8" w:space="0" w:color="000000"/>
            </w:tcBorders>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Borders>
              <w:bottom w:val="single" w:sz="8" w:space="0" w:color="000000"/>
            </w:tcBorders>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13 </w:t>
            </w:r>
          </w:p>
        </w:tc>
        <w:tc>
          <w:tcPr>
            <w:tcW w:w="0" w:type="auto"/>
            <w:tcBorders>
              <w:bottom w:val="single" w:sz="8" w:space="0" w:color="000000"/>
            </w:tcBorders>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Borders>
              <w:bottom w:val="single" w:sz="8" w:space="0" w:color="000000"/>
            </w:tcBorders>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12 </w:t>
            </w:r>
          </w:p>
        </w:tc>
        <w:tc>
          <w:tcPr>
            <w:tcW w:w="0" w:type="auto"/>
            <w:tcBorders>
              <w:bottom w:val="single" w:sz="8" w:space="0" w:color="000000"/>
            </w:tcBorders>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Borders>
              <w:bottom w:val="single" w:sz="8" w:space="0" w:color="000000"/>
            </w:tcBorders>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51 </w:t>
            </w:r>
          </w:p>
        </w:tc>
        <w:tc>
          <w:tcPr>
            <w:tcW w:w="0" w:type="auto"/>
            <w:tcBorders>
              <w:bottom w:val="single" w:sz="8" w:space="0" w:color="000000"/>
            </w:tcBorders>
            <w:tcMar>
              <w:top w:w="30" w:type="dxa"/>
              <w:left w:w="0" w:type="dxa"/>
              <w:bottom w:w="30" w:type="dxa"/>
              <w:right w:w="20" w:type="dxa"/>
            </w:tcMar>
            <w:vAlign w:val="bottom"/>
            <w:hideMark/>
          </w:tcPr>
          <w:p w:rsidR="00000000" w:rsidRDefault="001F1FC8">
            <w:pPr>
              <w:jc w:val="right"/>
              <w:rPr>
                <w:rFonts w:eastAsia="Times New Roman"/>
              </w:rPr>
            </w:pPr>
          </w:p>
        </w:tc>
      </w:tr>
    </w:tbl>
    <w:p w:rsidR="00000000" w:rsidRDefault="001F1FC8">
      <w:pPr>
        <w:divId w:val="1698505793"/>
        <w:rPr>
          <w:rFonts w:eastAsia="Times New Roman"/>
        </w:rPr>
      </w:pPr>
      <w:r>
        <w:rPr>
          <w:rFonts w:ascii="Arial" w:eastAsia="Times New Roman" w:hAnsi="Arial" w:cs="Arial"/>
          <w:color w:val="000000"/>
          <w:sz w:val="20"/>
          <w:szCs w:val="20"/>
        </w:rPr>
        <w:t> </w:t>
      </w:r>
    </w:p>
    <w:p w:rsidR="00000000" w:rsidRDefault="001F1FC8">
      <w:pPr>
        <w:jc w:val="center"/>
        <w:divId w:val="1865246822"/>
        <w:rPr>
          <w:rFonts w:eastAsia="Times New Roman"/>
        </w:rPr>
      </w:pPr>
      <w:r>
        <w:rPr>
          <w:rFonts w:ascii="Arial" w:eastAsia="Times New Roman" w:hAnsi="Arial" w:cs="Arial"/>
          <w:color w:val="000000"/>
          <w:sz w:val="20"/>
          <w:szCs w:val="20"/>
        </w:rPr>
        <w:t>172</w:t>
      </w:r>
    </w:p>
    <w:p w:rsidR="00000000" w:rsidRDefault="001F1FC8">
      <w:pPr>
        <w:rPr>
          <w:rFonts w:eastAsia="Times New Roman"/>
        </w:rPr>
      </w:pPr>
      <w:r>
        <w:rPr>
          <w:rFonts w:eastAsia="Times New Roman"/>
        </w:rPr>
        <w:pict>
          <v:rect id="_x0000_i1202" style="width:0;height:1.5pt" o:hralign="center" o:hrstd="t" o:hr="t" fillcolor="#a0a0a0" stroked="f"/>
        </w:pict>
      </w:r>
    </w:p>
    <w:p w:rsidR="00000000" w:rsidRDefault="001F1FC8">
      <w:pPr>
        <w:jc w:val="center"/>
        <w:divId w:val="1533767382"/>
        <w:rPr>
          <w:rFonts w:eastAsia="Times New Roman"/>
        </w:rPr>
      </w:pPr>
    </w:p>
    <w:p w:rsidR="00000000" w:rsidRDefault="001F1FC8">
      <w:pPr>
        <w:divId w:val="1078479466"/>
        <w:rPr>
          <w:rFonts w:eastAsia="Times New Roman"/>
        </w:rPr>
      </w:pPr>
      <w:r>
        <w:rPr>
          <w:rFonts w:ascii="Arial" w:eastAsia="Times New Roman" w:hAnsi="Arial" w:cs="Arial"/>
          <w:b/>
          <w:bCs/>
          <w:color w:val="000000"/>
          <w:sz w:val="20"/>
          <w:szCs w:val="20"/>
        </w:rPr>
        <w:t>EXPECTED EMPLOYER CONTRIBUTIONS</w:t>
      </w:r>
    </w:p>
    <w:p w:rsidR="00000000" w:rsidRDefault="001F1FC8">
      <w:pPr>
        <w:divId w:val="1619794650"/>
        <w:rPr>
          <w:rFonts w:eastAsia="Times New Roman"/>
        </w:rPr>
      </w:pPr>
      <w:r>
        <w:rPr>
          <w:rFonts w:ascii="Arial" w:eastAsia="Times New Roman" w:hAnsi="Arial" w:cs="Arial"/>
          <w:color w:val="000000"/>
          <w:sz w:val="20"/>
          <w:szCs w:val="20"/>
        </w:rPr>
        <w:t xml:space="preserve">In 2022, we expect to contribute approximately $110 million and $4 million to the Canadian and US pension plans, respectively, and $12 million and $6 million to the Canadian </w:t>
      </w:r>
      <w:r>
        <w:rPr>
          <w:rFonts w:ascii="Arial" w:eastAsia="Times New Roman" w:hAnsi="Arial" w:cs="Arial"/>
          <w:color w:val="000000"/>
          <w:sz w:val="20"/>
          <w:szCs w:val="20"/>
        </w:rPr>
        <w:t>and US OPEB plans, respectively.</w:t>
      </w:r>
    </w:p>
    <w:p w:rsidR="00000000" w:rsidRDefault="001F1FC8">
      <w:pPr>
        <w:divId w:val="556866673"/>
        <w:rPr>
          <w:rFonts w:eastAsia="Times New Roman"/>
        </w:rPr>
      </w:pPr>
    </w:p>
    <w:p w:rsidR="00000000" w:rsidRDefault="001F1FC8">
      <w:pPr>
        <w:divId w:val="461116701"/>
        <w:rPr>
          <w:rFonts w:eastAsia="Times New Roman"/>
        </w:rPr>
      </w:pPr>
      <w:r>
        <w:rPr>
          <w:rFonts w:ascii="Arial" w:eastAsia="Times New Roman" w:hAnsi="Arial" w:cs="Arial"/>
          <w:b/>
          <w:bCs/>
          <w:color w:val="000000"/>
          <w:sz w:val="20"/>
          <w:szCs w:val="20"/>
        </w:rPr>
        <w:t>RETIREMENT SAVINGS PLANS</w:t>
      </w:r>
    </w:p>
    <w:p w:rsidR="00000000" w:rsidRDefault="001F1FC8">
      <w:pPr>
        <w:divId w:val="1964799806"/>
        <w:rPr>
          <w:rFonts w:eastAsia="Times New Roman"/>
        </w:rPr>
      </w:pPr>
      <w:r>
        <w:rPr>
          <w:rFonts w:ascii="Arial" w:eastAsia="Times New Roman" w:hAnsi="Arial" w:cs="Arial"/>
          <w:color w:val="000000"/>
          <w:sz w:val="20"/>
          <w:szCs w:val="20"/>
        </w:rPr>
        <w:t xml:space="preserve">In addition to the pension and OPEB plans discussed above, we also have defined contribution employee savings plans available to US employees. Employees may participate in a matching contribution </w:t>
      </w:r>
      <w:r>
        <w:rPr>
          <w:rFonts w:ascii="Arial" w:eastAsia="Times New Roman" w:hAnsi="Arial" w:cs="Arial"/>
          <w:color w:val="000000"/>
          <w:sz w:val="20"/>
          <w:szCs w:val="20"/>
        </w:rPr>
        <w:t>where we match a certain percentage of before-tax employee contributions of up to 6.0% of eligible pay per pay period. For the years ended December 31, 2021, 2020 and 2019, pre-tax employer matching contribution costs were $27 million each year, respective</w:t>
      </w:r>
      <w:r>
        <w:rPr>
          <w:rFonts w:ascii="Arial" w:eastAsia="Times New Roman" w:hAnsi="Arial" w:cs="Arial"/>
          <w:color w:val="000000"/>
          <w:sz w:val="20"/>
          <w:szCs w:val="20"/>
        </w:rPr>
        <w:t>ly.</w:t>
      </w:r>
    </w:p>
    <w:p w:rsidR="00000000" w:rsidRDefault="001F1FC8">
      <w:pPr>
        <w:divId w:val="683289510"/>
        <w:rPr>
          <w:rFonts w:eastAsia="Times New Roman"/>
        </w:rPr>
      </w:pPr>
    </w:p>
    <w:p w:rsidR="00000000" w:rsidRDefault="001F1FC8">
      <w:pPr>
        <w:divId w:val="194466759"/>
        <w:rPr>
          <w:rFonts w:eastAsia="Times New Roman"/>
        </w:rPr>
      </w:pPr>
      <w:r>
        <w:rPr>
          <w:rFonts w:ascii="Arial" w:eastAsia="Times New Roman" w:hAnsi="Arial" w:cs="Arial"/>
          <w:b/>
          <w:bCs/>
          <w:color w:val="000000"/>
          <w:sz w:val="26"/>
          <w:szCs w:val="26"/>
        </w:rPr>
        <w:t>27. LEASES</w:t>
      </w:r>
    </w:p>
    <w:p w:rsidR="00000000" w:rsidRDefault="001F1FC8">
      <w:pPr>
        <w:divId w:val="264848954"/>
        <w:rPr>
          <w:rFonts w:eastAsia="Times New Roman"/>
        </w:rPr>
      </w:pPr>
    </w:p>
    <w:p w:rsidR="00000000" w:rsidRDefault="001F1FC8">
      <w:pPr>
        <w:divId w:val="712925589"/>
        <w:rPr>
          <w:rFonts w:eastAsia="Times New Roman"/>
        </w:rPr>
      </w:pPr>
      <w:r>
        <w:rPr>
          <w:rFonts w:ascii="Arial" w:eastAsia="Times New Roman" w:hAnsi="Arial" w:cs="Arial"/>
          <w:b/>
          <w:bCs/>
          <w:color w:val="000000"/>
          <w:sz w:val="20"/>
          <w:szCs w:val="20"/>
        </w:rPr>
        <w:t>LESSEE</w:t>
      </w:r>
    </w:p>
    <w:p w:rsidR="00000000" w:rsidRDefault="001F1FC8">
      <w:pPr>
        <w:divId w:val="986589829"/>
        <w:rPr>
          <w:rFonts w:eastAsia="Times New Roman"/>
        </w:rPr>
      </w:pPr>
      <w:r>
        <w:rPr>
          <w:rFonts w:ascii="Arial" w:eastAsia="Times New Roman" w:hAnsi="Arial" w:cs="Arial"/>
          <w:color w:val="000000"/>
          <w:sz w:val="20"/>
          <w:szCs w:val="20"/>
        </w:rPr>
        <w:t>We incur operating lease expenses related primarily to real estate, pipelines, storage and equipment. Our operating leases have remaining lease terms of 5 months to 25 years as at December 31, 2021.</w:t>
      </w:r>
    </w:p>
    <w:p w:rsidR="00000000" w:rsidRDefault="001F1FC8">
      <w:pPr>
        <w:divId w:val="931858252"/>
        <w:rPr>
          <w:rFonts w:eastAsia="Times New Roman"/>
        </w:rPr>
      </w:pPr>
    </w:p>
    <w:p w:rsidR="00000000" w:rsidRDefault="001F1FC8">
      <w:pPr>
        <w:divId w:val="78797029"/>
        <w:rPr>
          <w:rFonts w:eastAsia="Times New Roman"/>
        </w:rPr>
      </w:pPr>
      <w:r>
        <w:rPr>
          <w:rFonts w:ascii="Arial" w:eastAsia="Times New Roman" w:hAnsi="Arial" w:cs="Arial"/>
          <w:color w:val="000000"/>
          <w:sz w:val="20"/>
          <w:szCs w:val="20"/>
        </w:rPr>
        <w:t>For the years ended December </w:t>
      </w:r>
      <w:r>
        <w:rPr>
          <w:rFonts w:ascii="Arial" w:eastAsia="Times New Roman" w:hAnsi="Arial" w:cs="Arial"/>
          <w:color w:val="000000"/>
          <w:sz w:val="20"/>
          <w:szCs w:val="20"/>
        </w:rPr>
        <w:t>31, 2021 and 2020, we incurred operating lease expenses of $95 million and $107 million, respectively. Operating lease expenses are reported under Operating and administrative expense in the Consolidated Statements of Earnings.</w:t>
      </w:r>
    </w:p>
    <w:p w:rsidR="00000000" w:rsidRDefault="001F1FC8">
      <w:pPr>
        <w:divId w:val="1627083938"/>
        <w:rPr>
          <w:rFonts w:eastAsia="Times New Roman"/>
        </w:rPr>
      </w:pPr>
    </w:p>
    <w:p w:rsidR="00000000" w:rsidRDefault="001F1FC8">
      <w:pPr>
        <w:divId w:val="1533616014"/>
        <w:rPr>
          <w:rFonts w:eastAsia="Times New Roman"/>
        </w:rPr>
      </w:pPr>
      <w:r>
        <w:rPr>
          <w:rFonts w:ascii="Arial" w:eastAsia="Times New Roman" w:hAnsi="Arial" w:cs="Arial"/>
          <w:color w:val="000000"/>
          <w:sz w:val="20"/>
          <w:szCs w:val="20"/>
        </w:rPr>
        <w:t>For the years ended Decemb</w:t>
      </w:r>
      <w:r>
        <w:rPr>
          <w:rFonts w:ascii="Arial" w:eastAsia="Times New Roman" w:hAnsi="Arial" w:cs="Arial"/>
          <w:color w:val="000000"/>
          <w:sz w:val="20"/>
          <w:szCs w:val="20"/>
        </w:rPr>
        <w:t>er 31, 2021 and 2020, operating lease payments to settle lease liabilities were $118 million and $133 million, respectively. Operating lease payments are reported under Operating activities in the Consolidated Statements of Cash Flows.</w:t>
      </w:r>
    </w:p>
    <w:p w:rsidR="00000000" w:rsidRDefault="001F1FC8">
      <w:pPr>
        <w:divId w:val="265041515"/>
        <w:rPr>
          <w:rFonts w:eastAsia="Times New Roman"/>
        </w:rPr>
      </w:pPr>
    </w:p>
    <w:p w:rsidR="00000000" w:rsidRDefault="001F1FC8">
      <w:pPr>
        <w:jc w:val="center"/>
        <w:divId w:val="962031077"/>
        <w:rPr>
          <w:rFonts w:eastAsia="Times New Roman"/>
        </w:rPr>
      </w:pPr>
      <w:r>
        <w:rPr>
          <w:rFonts w:ascii="Arial" w:eastAsia="Times New Roman" w:hAnsi="Arial" w:cs="Arial"/>
          <w:color w:val="000000"/>
          <w:sz w:val="20"/>
          <w:szCs w:val="20"/>
        </w:rPr>
        <w:t>173</w:t>
      </w:r>
    </w:p>
    <w:p w:rsidR="00000000" w:rsidRDefault="001F1FC8">
      <w:pPr>
        <w:rPr>
          <w:rFonts w:eastAsia="Times New Roman"/>
        </w:rPr>
      </w:pPr>
      <w:r>
        <w:rPr>
          <w:rFonts w:eastAsia="Times New Roman"/>
        </w:rPr>
        <w:pict>
          <v:rect id="_x0000_i1203" style="width:0;height:1.5pt" o:hralign="center" o:hrstd="t" o:hr="t" fillcolor="#a0a0a0" stroked="f"/>
        </w:pict>
      </w:r>
    </w:p>
    <w:p w:rsidR="00000000" w:rsidRDefault="001F1FC8">
      <w:pPr>
        <w:jc w:val="center"/>
        <w:divId w:val="277026003"/>
        <w:rPr>
          <w:rFonts w:eastAsia="Times New Roman"/>
        </w:rPr>
      </w:pPr>
    </w:p>
    <w:p w:rsidR="00000000" w:rsidRDefault="001F1FC8">
      <w:pPr>
        <w:divId w:val="2120685631"/>
        <w:rPr>
          <w:rFonts w:eastAsia="Times New Roman"/>
        </w:rPr>
      </w:pPr>
      <w:r>
        <w:rPr>
          <w:rFonts w:ascii="Arial" w:eastAsia="Times New Roman" w:hAnsi="Arial" w:cs="Arial"/>
          <w:b/>
          <w:bCs/>
          <w:color w:val="000000"/>
          <w:sz w:val="20"/>
          <w:szCs w:val="20"/>
        </w:rPr>
        <w:t>Supplemental Statements of Financial Position Information</w:t>
      </w:r>
    </w:p>
    <w:tbl>
      <w:tblPr>
        <w:tblW w:w="5000" w:type="pct"/>
        <w:jc w:val="center"/>
        <w:tblCellMar>
          <w:top w:w="15" w:type="dxa"/>
          <w:left w:w="15" w:type="dxa"/>
          <w:bottom w:w="15" w:type="dxa"/>
          <w:right w:w="15" w:type="dxa"/>
        </w:tblCellMar>
        <w:tblLook w:val="04A0" w:firstRow="1" w:lastRow="0" w:firstColumn="1" w:lastColumn="0" w:noHBand="0" w:noVBand="1"/>
      </w:tblPr>
      <w:tblGrid>
        <w:gridCol w:w="38"/>
        <w:gridCol w:w="5462"/>
        <w:gridCol w:w="37"/>
        <w:gridCol w:w="63"/>
        <w:gridCol w:w="1123"/>
        <w:gridCol w:w="198"/>
        <w:gridCol w:w="61"/>
        <w:gridCol w:w="1126"/>
        <w:gridCol w:w="198"/>
      </w:tblGrid>
      <w:tr w:rsidR="00000000">
        <w:trPr>
          <w:divId w:val="1009598734"/>
          <w:jc w:val="center"/>
        </w:trPr>
        <w:tc>
          <w:tcPr>
            <w:tcW w:w="50" w:type="pct"/>
            <w:vAlign w:val="center"/>
            <w:hideMark/>
          </w:tcPr>
          <w:p w:rsidR="00000000" w:rsidRDefault="001F1FC8">
            <w:pPr>
              <w:rPr>
                <w:rFonts w:eastAsia="Times New Roman"/>
              </w:rPr>
            </w:pPr>
          </w:p>
        </w:tc>
        <w:tc>
          <w:tcPr>
            <w:tcW w:w="3342"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c>
          <w:tcPr>
            <w:tcW w:w="50" w:type="pct"/>
            <w:vAlign w:val="center"/>
            <w:hideMark/>
          </w:tcPr>
          <w:p w:rsidR="00000000" w:rsidRDefault="001F1FC8">
            <w:pPr>
              <w:rPr>
                <w:rFonts w:eastAsia="Times New Roman"/>
                <w:sz w:val="20"/>
                <w:szCs w:val="20"/>
              </w:rPr>
            </w:pPr>
          </w:p>
        </w:tc>
        <w:tc>
          <w:tcPr>
            <w:tcW w:w="746"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c>
          <w:tcPr>
            <w:tcW w:w="50" w:type="pct"/>
            <w:vAlign w:val="center"/>
            <w:hideMark/>
          </w:tcPr>
          <w:p w:rsidR="00000000" w:rsidRDefault="001F1FC8">
            <w:pPr>
              <w:rPr>
                <w:rFonts w:eastAsia="Times New Roman"/>
                <w:sz w:val="20"/>
                <w:szCs w:val="20"/>
              </w:rPr>
            </w:pPr>
          </w:p>
        </w:tc>
        <w:tc>
          <w:tcPr>
            <w:tcW w:w="746"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r>
      <w:tr w:rsidR="00000000">
        <w:trPr>
          <w:divId w:val="1009598734"/>
          <w:jc w:val="center"/>
        </w:trPr>
        <w:tc>
          <w:tcPr>
            <w:tcW w:w="0" w:type="auto"/>
            <w:gridSpan w:val="3"/>
            <w:tcMar>
              <w:top w:w="0" w:type="dxa"/>
              <w:left w:w="20" w:type="dxa"/>
              <w:bottom w:w="0" w:type="dxa"/>
              <w:right w:w="20" w:type="dxa"/>
            </w:tcMar>
            <w:vAlign w:val="center"/>
            <w:hideMark/>
          </w:tcPr>
          <w:p w:rsidR="00000000" w:rsidRDefault="001F1FC8">
            <w:pPr>
              <w:rPr>
                <w:rFonts w:eastAsia="Times New Roman"/>
                <w:sz w:val="20"/>
                <w:szCs w:val="20"/>
              </w:rPr>
            </w:pPr>
          </w:p>
        </w:tc>
        <w:tc>
          <w:tcPr>
            <w:tcW w:w="0" w:type="auto"/>
            <w:gridSpan w:val="3"/>
            <w:tcMar>
              <w:top w:w="30" w:type="dxa"/>
              <w:left w:w="20" w:type="dxa"/>
              <w:bottom w:w="30" w:type="dxa"/>
              <w:right w:w="20" w:type="dxa"/>
            </w:tcMar>
            <w:vAlign w:val="center"/>
            <w:hideMark/>
          </w:tcPr>
          <w:p w:rsidR="00000000" w:rsidRDefault="001F1FC8">
            <w:pPr>
              <w:jc w:val="right"/>
              <w:rPr>
                <w:rFonts w:eastAsia="Times New Roman"/>
              </w:rPr>
            </w:pPr>
            <w:r>
              <w:rPr>
                <w:rFonts w:ascii="Arial" w:eastAsia="Times New Roman" w:hAnsi="Arial" w:cs="Arial"/>
                <w:b/>
                <w:bCs/>
                <w:color w:val="000000"/>
                <w:sz w:val="20"/>
                <w:szCs w:val="20"/>
              </w:rPr>
              <w:t>December 31, 2021</w:t>
            </w:r>
          </w:p>
        </w:tc>
        <w:tc>
          <w:tcPr>
            <w:tcW w:w="0" w:type="auto"/>
            <w:gridSpan w:val="3"/>
            <w:tcMar>
              <w:top w:w="30" w:type="dxa"/>
              <w:left w:w="20" w:type="dxa"/>
              <w:bottom w:w="30" w:type="dxa"/>
              <w:right w:w="20" w:type="dxa"/>
            </w:tcMar>
            <w:vAlign w:val="center"/>
            <w:hideMark/>
          </w:tcPr>
          <w:p w:rsidR="00000000" w:rsidRDefault="001F1FC8">
            <w:pPr>
              <w:jc w:val="right"/>
              <w:rPr>
                <w:rFonts w:eastAsia="Times New Roman"/>
              </w:rPr>
            </w:pPr>
            <w:r>
              <w:rPr>
                <w:rFonts w:ascii="Arial" w:eastAsia="Times New Roman" w:hAnsi="Arial" w:cs="Arial"/>
                <w:color w:val="000000"/>
                <w:sz w:val="20"/>
                <w:szCs w:val="20"/>
              </w:rPr>
              <w:t xml:space="preserve">December 31, </w:t>
            </w:r>
            <w:r>
              <w:rPr>
                <w:rFonts w:ascii="Arial" w:eastAsia="Times New Roman" w:hAnsi="Arial" w:cs="Arial"/>
                <w:color w:val="000000"/>
                <w:sz w:val="20"/>
                <w:szCs w:val="20"/>
              </w:rPr>
              <w:br/>
              <w:t>2020</w:t>
            </w:r>
          </w:p>
        </w:tc>
      </w:tr>
      <w:tr w:rsidR="00000000">
        <w:trPr>
          <w:divId w:val="1009598734"/>
          <w:jc w:val="center"/>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1F1FC8">
            <w:pPr>
              <w:rPr>
                <w:rFonts w:eastAsia="Times New Roman"/>
              </w:rPr>
            </w:pPr>
            <w:r>
              <w:rPr>
                <w:rFonts w:ascii="Arial" w:eastAsia="Times New Roman" w:hAnsi="Arial" w:cs="Arial"/>
                <w:i/>
                <w:iCs/>
                <w:color w:val="000000"/>
                <w:sz w:val="16"/>
                <w:szCs w:val="16"/>
              </w:rPr>
              <w:t>(millions of Canadian dollars, except lease term and discount rate)</w:t>
            </w:r>
          </w:p>
        </w:tc>
        <w:tc>
          <w:tcPr>
            <w:tcW w:w="0" w:type="auto"/>
            <w:gridSpan w:val="3"/>
            <w:tcBorders>
              <w:top w:val="single" w:sz="4" w:space="0" w:color="000000"/>
            </w:tcBorders>
            <w:shd w:val="clear" w:color="auto" w:fill="D9D9D9"/>
            <w:tcMar>
              <w:top w:w="0" w:type="dxa"/>
              <w:left w:w="20" w:type="dxa"/>
              <w:bottom w:w="0" w:type="dxa"/>
              <w:right w:w="20" w:type="dxa"/>
            </w:tcMar>
            <w:vAlign w:val="center"/>
            <w:hideMark/>
          </w:tcPr>
          <w:p w:rsidR="00000000" w:rsidRDefault="001F1FC8">
            <w:pPr>
              <w:rPr>
                <w:rFonts w:eastAsia="Times New Roman"/>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1F1FC8">
            <w:pPr>
              <w:rPr>
                <w:rFonts w:eastAsia="Times New Roman"/>
                <w:sz w:val="20"/>
                <w:szCs w:val="20"/>
              </w:rPr>
            </w:pPr>
          </w:p>
        </w:tc>
      </w:tr>
      <w:tr w:rsidR="00000000">
        <w:trPr>
          <w:divId w:val="1009598734"/>
          <w:jc w:val="center"/>
        </w:trPr>
        <w:tc>
          <w:tcPr>
            <w:tcW w:w="0" w:type="auto"/>
            <w:gridSpan w:val="3"/>
            <w:tcMar>
              <w:top w:w="30" w:type="dxa"/>
              <w:left w:w="20" w:type="dxa"/>
              <w:bottom w:w="30" w:type="dxa"/>
              <w:right w:w="20" w:type="dxa"/>
            </w:tcMar>
            <w:vAlign w:val="center"/>
            <w:hideMark/>
          </w:tcPr>
          <w:p w:rsidR="00000000" w:rsidRDefault="001F1FC8">
            <w:pPr>
              <w:divId w:val="692803111"/>
              <w:rPr>
                <w:rFonts w:eastAsia="Times New Roman"/>
              </w:rPr>
            </w:pPr>
            <w:r>
              <w:rPr>
                <w:rFonts w:ascii="Arial" w:eastAsia="Times New Roman" w:hAnsi="Arial" w:cs="Arial"/>
                <w:b/>
                <w:bCs/>
                <w:color w:val="000000"/>
                <w:sz w:val="20"/>
                <w:szCs w:val="20"/>
              </w:rPr>
              <w:t>Operating lease</w:t>
            </w:r>
            <w:r>
              <w:rPr>
                <w:rFonts w:ascii="Arial" w:eastAsia="Times New Roman" w:hAnsi="Arial" w:cs="Arial"/>
                <w:b/>
                <w:bCs/>
                <w:color w:val="000000"/>
                <w:sz w:val="20"/>
                <w:szCs w:val="20"/>
              </w:rPr>
              <w:t>s</w:t>
            </w:r>
            <w:r>
              <w:rPr>
                <w:rFonts w:ascii="Arial" w:eastAsia="Times New Roman" w:hAnsi="Arial" w:cs="Arial"/>
                <w:b/>
                <w:bCs/>
                <w:color w:val="000000"/>
                <w:sz w:val="10"/>
                <w:szCs w:val="10"/>
              </w:rPr>
              <w:t>1</w:t>
            </w:r>
          </w:p>
        </w:tc>
        <w:tc>
          <w:tcPr>
            <w:tcW w:w="0" w:type="auto"/>
            <w:gridSpan w:val="3"/>
            <w:shd w:val="clear" w:color="auto" w:fill="D9D9D9"/>
            <w:tcMar>
              <w:top w:w="0" w:type="dxa"/>
              <w:left w:w="20" w:type="dxa"/>
              <w:bottom w:w="0" w:type="dxa"/>
              <w:right w:w="20" w:type="dxa"/>
            </w:tcMar>
            <w:vAlign w:val="center"/>
            <w:hideMark/>
          </w:tcPr>
          <w:p w:rsidR="00000000" w:rsidRDefault="001F1FC8">
            <w:pPr>
              <w:rPr>
                <w:rFonts w:eastAsia="Times New Roman"/>
              </w:rPr>
            </w:pPr>
          </w:p>
        </w:tc>
        <w:tc>
          <w:tcPr>
            <w:tcW w:w="0" w:type="auto"/>
            <w:gridSpan w:val="3"/>
            <w:tcMar>
              <w:top w:w="0" w:type="dxa"/>
              <w:left w:w="20" w:type="dxa"/>
              <w:bottom w:w="0" w:type="dxa"/>
              <w:right w:w="20" w:type="dxa"/>
            </w:tcMar>
            <w:vAlign w:val="center"/>
            <w:hideMark/>
          </w:tcPr>
          <w:p w:rsidR="00000000" w:rsidRDefault="001F1FC8">
            <w:pPr>
              <w:rPr>
                <w:rFonts w:eastAsia="Times New Roman"/>
                <w:sz w:val="20"/>
                <w:szCs w:val="20"/>
              </w:rPr>
            </w:pPr>
          </w:p>
        </w:tc>
      </w:tr>
      <w:tr w:rsidR="00000000">
        <w:trPr>
          <w:divId w:val="1009598734"/>
          <w:jc w:val="center"/>
        </w:trPr>
        <w:tc>
          <w:tcPr>
            <w:tcW w:w="0" w:type="auto"/>
            <w:gridSpan w:val="3"/>
            <w:tcMar>
              <w:top w:w="30" w:type="dxa"/>
              <w:left w:w="20" w:type="dxa"/>
              <w:bottom w:w="30" w:type="dxa"/>
              <w:right w:w="20" w:type="dxa"/>
            </w:tcMar>
            <w:vAlign w:val="center"/>
            <w:hideMark/>
          </w:tcPr>
          <w:p w:rsidR="00000000" w:rsidRDefault="001F1FC8">
            <w:pPr>
              <w:divId w:val="831263107"/>
              <w:rPr>
                <w:rFonts w:eastAsia="Times New Roman"/>
              </w:rPr>
            </w:pPr>
            <w:r>
              <w:rPr>
                <w:rFonts w:ascii="Arial" w:eastAsia="Times New Roman" w:hAnsi="Arial" w:cs="Arial"/>
                <w:color w:val="000000"/>
                <w:sz w:val="20"/>
                <w:szCs w:val="20"/>
              </w:rPr>
              <w:t>Operating lease right-of-use assets, ne</w:t>
            </w:r>
            <w:r>
              <w:rPr>
                <w:rFonts w:ascii="Arial" w:eastAsia="Times New Roman" w:hAnsi="Arial" w:cs="Arial"/>
                <w:color w:val="000000"/>
                <w:sz w:val="20"/>
                <w:szCs w:val="20"/>
              </w:rPr>
              <w:t>t</w:t>
            </w:r>
            <w:r>
              <w:rPr>
                <w:rFonts w:ascii="Arial" w:eastAsia="Times New Roman" w:hAnsi="Arial" w:cs="Arial"/>
                <w:color w:val="000000"/>
                <w:sz w:val="10"/>
                <w:szCs w:val="10"/>
              </w:rPr>
              <w:t>2</w:t>
            </w:r>
          </w:p>
        </w:tc>
        <w:tc>
          <w:tcPr>
            <w:tcW w:w="0" w:type="auto"/>
            <w:gridSpan w:val="3"/>
            <w:shd w:val="clear" w:color="auto" w:fill="DBDBDB"/>
            <w:tcMar>
              <w:top w:w="30" w:type="dxa"/>
              <w:left w:w="20" w:type="dxa"/>
              <w:bottom w:w="30" w:type="dxa"/>
              <w:right w:w="20" w:type="dxa"/>
            </w:tcMar>
            <w:vAlign w:val="center"/>
            <w:hideMark/>
          </w:tcPr>
          <w:p w:rsidR="00000000" w:rsidRDefault="001F1FC8">
            <w:pPr>
              <w:jc w:val="right"/>
              <w:rPr>
                <w:rFonts w:eastAsia="Times New Roman"/>
              </w:rPr>
            </w:pPr>
            <w:r>
              <w:rPr>
                <w:rFonts w:ascii="Arial" w:eastAsia="Times New Roman" w:hAnsi="Arial" w:cs="Arial"/>
                <w:b/>
                <w:bCs/>
                <w:color w:val="000000"/>
                <w:sz w:val="20"/>
                <w:szCs w:val="20"/>
              </w:rPr>
              <w:t>645</w:t>
            </w:r>
          </w:p>
        </w:tc>
        <w:tc>
          <w:tcPr>
            <w:tcW w:w="0" w:type="auto"/>
            <w:gridSpan w:val="3"/>
            <w:tcMar>
              <w:top w:w="30" w:type="dxa"/>
              <w:left w:w="20" w:type="dxa"/>
              <w:bottom w:w="30" w:type="dxa"/>
              <w:right w:w="20" w:type="dxa"/>
            </w:tcMar>
            <w:vAlign w:val="center"/>
            <w:hideMark/>
          </w:tcPr>
          <w:p w:rsidR="00000000" w:rsidRDefault="001F1FC8">
            <w:pPr>
              <w:jc w:val="right"/>
              <w:rPr>
                <w:rFonts w:eastAsia="Times New Roman"/>
              </w:rPr>
            </w:pPr>
            <w:r>
              <w:rPr>
                <w:rFonts w:ascii="Arial" w:eastAsia="Times New Roman" w:hAnsi="Arial" w:cs="Arial"/>
                <w:b/>
                <w:bCs/>
                <w:color w:val="000000"/>
                <w:sz w:val="20"/>
                <w:szCs w:val="20"/>
              </w:rPr>
              <w:t>708</w:t>
            </w:r>
          </w:p>
        </w:tc>
      </w:tr>
      <w:tr w:rsidR="00000000">
        <w:trPr>
          <w:divId w:val="1009598734"/>
          <w:trHeight w:val="240"/>
          <w:jc w:val="center"/>
        </w:trPr>
        <w:tc>
          <w:tcPr>
            <w:tcW w:w="0" w:type="auto"/>
            <w:gridSpan w:val="3"/>
            <w:tcMar>
              <w:top w:w="0" w:type="dxa"/>
              <w:left w:w="20" w:type="dxa"/>
              <w:bottom w:w="0" w:type="dxa"/>
              <w:right w:w="20" w:type="dxa"/>
            </w:tcMar>
            <w:vAlign w:val="center"/>
            <w:hideMark/>
          </w:tcPr>
          <w:p w:rsidR="00000000" w:rsidRDefault="001F1FC8">
            <w:pPr>
              <w:jc w:val="right"/>
              <w:rPr>
                <w:rFonts w:eastAsia="Times New Roman"/>
              </w:rPr>
            </w:pPr>
          </w:p>
        </w:tc>
        <w:tc>
          <w:tcPr>
            <w:tcW w:w="0" w:type="auto"/>
            <w:gridSpan w:val="3"/>
            <w:shd w:val="clear" w:color="auto" w:fill="D9D9D9"/>
            <w:tcMar>
              <w:top w:w="0" w:type="dxa"/>
              <w:left w:w="20" w:type="dxa"/>
              <w:bottom w:w="0" w:type="dxa"/>
              <w:right w:w="20" w:type="dxa"/>
            </w:tcMar>
            <w:vAlign w:val="center"/>
            <w:hideMark/>
          </w:tcPr>
          <w:p w:rsidR="00000000" w:rsidRDefault="001F1FC8">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1F1FC8">
            <w:pPr>
              <w:rPr>
                <w:rFonts w:eastAsia="Times New Roman"/>
                <w:sz w:val="20"/>
                <w:szCs w:val="20"/>
              </w:rPr>
            </w:pPr>
          </w:p>
        </w:tc>
      </w:tr>
      <w:tr w:rsidR="00000000">
        <w:trPr>
          <w:divId w:val="1009598734"/>
          <w:jc w:val="center"/>
        </w:trPr>
        <w:tc>
          <w:tcPr>
            <w:tcW w:w="0" w:type="auto"/>
            <w:gridSpan w:val="3"/>
            <w:tcMar>
              <w:top w:w="30" w:type="dxa"/>
              <w:left w:w="20" w:type="dxa"/>
              <w:bottom w:w="30" w:type="dxa"/>
              <w:right w:w="20" w:type="dxa"/>
            </w:tcMar>
            <w:vAlign w:val="center"/>
            <w:hideMark/>
          </w:tcPr>
          <w:p w:rsidR="00000000" w:rsidRDefault="001F1FC8">
            <w:pPr>
              <w:divId w:val="1632403038"/>
              <w:rPr>
                <w:rFonts w:eastAsia="Times New Roman"/>
              </w:rPr>
            </w:pPr>
            <w:r>
              <w:rPr>
                <w:rFonts w:ascii="Arial" w:eastAsia="Times New Roman" w:hAnsi="Arial" w:cs="Arial"/>
                <w:color w:val="000000"/>
                <w:sz w:val="20"/>
                <w:szCs w:val="20"/>
              </w:rPr>
              <w:t>Operating lease liabilities - curren</w:t>
            </w:r>
            <w:r>
              <w:rPr>
                <w:rFonts w:ascii="Arial" w:eastAsia="Times New Roman" w:hAnsi="Arial" w:cs="Arial"/>
                <w:color w:val="000000"/>
                <w:sz w:val="20"/>
                <w:szCs w:val="20"/>
              </w:rPr>
              <w:t>t</w:t>
            </w:r>
            <w:r>
              <w:rPr>
                <w:rFonts w:ascii="Arial" w:eastAsia="Times New Roman" w:hAnsi="Arial" w:cs="Arial"/>
                <w:color w:val="000000"/>
                <w:sz w:val="10"/>
                <w:szCs w:val="10"/>
              </w:rPr>
              <w:t>3</w:t>
            </w:r>
          </w:p>
        </w:tc>
        <w:tc>
          <w:tcPr>
            <w:tcW w:w="0" w:type="auto"/>
            <w:gridSpan w:val="3"/>
            <w:shd w:val="clear" w:color="auto" w:fill="DBDBDB"/>
            <w:tcMar>
              <w:top w:w="30" w:type="dxa"/>
              <w:left w:w="20" w:type="dxa"/>
              <w:bottom w:w="30" w:type="dxa"/>
              <w:right w:w="20" w:type="dxa"/>
            </w:tcMar>
            <w:vAlign w:val="center"/>
            <w:hideMark/>
          </w:tcPr>
          <w:p w:rsidR="00000000" w:rsidRDefault="001F1FC8">
            <w:pPr>
              <w:jc w:val="right"/>
              <w:rPr>
                <w:rFonts w:eastAsia="Times New Roman"/>
              </w:rPr>
            </w:pPr>
            <w:r>
              <w:rPr>
                <w:rFonts w:ascii="Arial" w:eastAsia="Times New Roman" w:hAnsi="Arial" w:cs="Arial"/>
                <w:b/>
                <w:bCs/>
                <w:color w:val="000000"/>
                <w:sz w:val="20"/>
                <w:szCs w:val="20"/>
              </w:rPr>
              <w:t>92</w:t>
            </w:r>
          </w:p>
        </w:tc>
        <w:tc>
          <w:tcPr>
            <w:tcW w:w="0" w:type="auto"/>
            <w:gridSpan w:val="3"/>
            <w:tcMar>
              <w:top w:w="30" w:type="dxa"/>
              <w:left w:w="20" w:type="dxa"/>
              <w:bottom w:w="30" w:type="dxa"/>
              <w:right w:w="20" w:type="dxa"/>
            </w:tcMar>
            <w:vAlign w:val="center"/>
            <w:hideMark/>
          </w:tcPr>
          <w:p w:rsidR="00000000" w:rsidRDefault="001F1FC8">
            <w:pPr>
              <w:jc w:val="right"/>
              <w:rPr>
                <w:rFonts w:eastAsia="Times New Roman"/>
              </w:rPr>
            </w:pPr>
            <w:r>
              <w:rPr>
                <w:rFonts w:ascii="Arial" w:eastAsia="Times New Roman" w:hAnsi="Arial" w:cs="Arial"/>
                <w:b/>
                <w:bCs/>
                <w:color w:val="000000"/>
                <w:sz w:val="20"/>
                <w:szCs w:val="20"/>
              </w:rPr>
              <w:t>80</w:t>
            </w:r>
          </w:p>
        </w:tc>
      </w:tr>
      <w:tr w:rsidR="00000000">
        <w:trPr>
          <w:divId w:val="1009598734"/>
          <w:jc w:val="center"/>
        </w:trPr>
        <w:tc>
          <w:tcPr>
            <w:tcW w:w="0" w:type="auto"/>
            <w:gridSpan w:val="3"/>
            <w:tcMar>
              <w:top w:w="30" w:type="dxa"/>
              <w:left w:w="20" w:type="dxa"/>
              <w:bottom w:w="30" w:type="dxa"/>
              <w:right w:w="20" w:type="dxa"/>
            </w:tcMar>
            <w:vAlign w:val="center"/>
            <w:hideMark/>
          </w:tcPr>
          <w:p w:rsidR="00000000" w:rsidRDefault="001F1FC8">
            <w:pPr>
              <w:divId w:val="69624017"/>
              <w:rPr>
                <w:rFonts w:eastAsia="Times New Roman"/>
              </w:rPr>
            </w:pPr>
            <w:r>
              <w:rPr>
                <w:rFonts w:ascii="Arial" w:eastAsia="Times New Roman" w:hAnsi="Arial" w:cs="Arial"/>
                <w:color w:val="000000"/>
                <w:sz w:val="20"/>
                <w:szCs w:val="20"/>
              </w:rPr>
              <w:t>Operating lease liabilities - long-ter</w:t>
            </w:r>
            <w:r>
              <w:rPr>
                <w:rFonts w:ascii="Arial" w:eastAsia="Times New Roman" w:hAnsi="Arial" w:cs="Arial"/>
                <w:color w:val="000000"/>
                <w:sz w:val="20"/>
                <w:szCs w:val="20"/>
              </w:rPr>
              <w:t>m</w:t>
            </w:r>
            <w:r>
              <w:rPr>
                <w:rFonts w:ascii="Arial" w:eastAsia="Times New Roman" w:hAnsi="Arial" w:cs="Arial"/>
                <w:color w:val="000000"/>
                <w:sz w:val="10"/>
                <w:szCs w:val="10"/>
              </w:rPr>
              <w:t>3</w:t>
            </w:r>
          </w:p>
        </w:tc>
        <w:tc>
          <w:tcPr>
            <w:tcW w:w="0" w:type="auto"/>
            <w:gridSpan w:val="3"/>
            <w:shd w:val="clear" w:color="auto" w:fill="DBDBDB"/>
            <w:tcMar>
              <w:top w:w="30" w:type="dxa"/>
              <w:left w:w="20" w:type="dxa"/>
              <w:bottom w:w="30" w:type="dxa"/>
              <w:right w:w="20" w:type="dxa"/>
            </w:tcMar>
            <w:vAlign w:val="center"/>
            <w:hideMark/>
          </w:tcPr>
          <w:p w:rsidR="00000000" w:rsidRDefault="001F1FC8">
            <w:pPr>
              <w:jc w:val="right"/>
              <w:rPr>
                <w:rFonts w:eastAsia="Times New Roman"/>
              </w:rPr>
            </w:pPr>
            <w:r>
              <w:rPr>
                <w:rFonts w:ascii="Arial" w:eastAsia="Times New Roman" w:hAnsi="Arial" w:cs="Arial"/>
                <w:b/>
                <w:bCs/>
                <w:color w:val="000000"/>
                <w:sz w:val="20"/>
                <w:szCs w:val="20"/>
              </w:rPr>
              <w:t>612</w:t>
            </w:r>
          </w:p>
        </w:tc>
        <w:tc>
          <w:tcPr>
            <w:tcW w:w="0" w:type="auto"/>
            <w:gridSpan w:val="3"/>
            <w:tcMar>
              <w:top w:w="30" w:type="dxa"/>
              <w:left w:w="20" w:type="dxa"/>
              <w:bottom w:w="30" w:type="dxa"/>
              <w:right w:w="20" w:type="dxa"/>
            </w:tcMar>
            <w:vAlign w:val="center"/>
            <w:hideMark/>
          </w:tcPr>
          <w:p w:rsidR="00000000" w:rsidRDefault="001F1FC8">
            <w:pPr>
              <w:jc w:val="right"/>
              <w:rPr>
                <w:rFonts w:eastAsia="Times New Roman"/>
              </w:rPr>
            </w:pPr>
            <w:r>
              <w:rPr>
                <w:rFonts w:ascii="Arial" w:eastAsia="Times New Roman" w:hAnsi="Arial" w:cs="Arial"/>
                <w:b/>
                <w:bCs/>
                <w:color w:val="000000"/>
                <w:sz w:val="20"/>
                <w:szCs w:val="20"/>
              </w:rPr>
              <w:t>681</w:t>
            </w:r>
          </w:p>
        </w:tc>
      </w:tr>
      <w:tr w:rsidR="00000000">
        <w:trPr>
          <w:divId w:val="1009598734"/>
          <w:jc w:val="center"/>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1F1FC8">
            <w:pPr>
              <w:rPr>
                <w:rFonts w:eastAsia="Times New Roman"/>
              </w:rPr>
            </w:pPr>
            <w:r>
              <w:rPr>
                <w:rFonts w:ascii="Arial" w:eastAsia="Times New Roman" w:hAnsi="Arial" w:cs="Arial"/>
                <w:color w:val="000000"/>
                <w:sz w:val="20"/>
                <w:szCs w:val="20"/>
              </w:rPr>
              <w:t>Total operating lease liabilities</w:t>
            </w:r>
          </w:p>
        </w:tc>
        <w:tc>
          <w:tcPr>
            <w:tcW w:w="0" w:type="auto"/>
            <w:gridSpan w:val="3"/>
            <w:tcBorders>
              <w:top w:val="single" w:sz="4" w:space="0" w:color="000000"/>
            </w:tcBorders>
            <w:shd w:val="clear" w:color="auto" w:fill="DBDBDB"/>
            <w:tcMar>
              <w:top w:w="30" w:type="dxa"/>
              <w:left w:w="20" w:type="dxa"/>
              <w:bottom w:w="30" w:type="dxa"/>
              <w:right w:w="20" w:type="dxa"/>
            </w:tcMar>
            <w:vAlign w:val="center"/>
            <w:hideMark/>
          </w:tcPr>
          <w:p w:rsidR="00000000" w:rsidRDefault="001F1FC8">
            <w:pPr>
              <w:jc w:val="right"/>
              <w:rPr>
                <w:rFonts w:eastAsia="Times New Roman"/>
              </w:rPr>
            </w:pPr>
            <w:r>
              <w:rPr>
                <w:rFonts w:ascii="Arial" w:eastAsia="Times New Roman" w:hAnsi="Arial" w:cs="Arial"/>
                <w:b/>
                <w:bCs/>
                <w:color w:val="000000"/>
                <w:sz w:val="20"/>
                <w:szCs w:val="20"/>
              </w:rPr>
              <w:t>704</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1F1FC8">
            <w:pPr>
              <w:jc w:val="right"/>
              <w:rPr>
                <w:rFonts w:eastAsia="Times New Roman"/>
              </w:rPr>
            </w:pPr>
            <w:r>
              <w:rPr>
                <w:rFonts w:ascii="Arial" w:eastAsia="Times New Roman" w:hAnsi="Arial" w:cs="Arial"/>
                <w:b/>
                <w:bCs/>
                <w:color w:val="000000"/>
                <w:sz w:val="20"/>
                <w:szCs w:val="20"/>
              </w:rPr>
              <w:t>761</w:t>
            </w:r>
          </w:p>
        </w:tc>
      </w:tr>
      <w:tr w:rsidR="00000000">
        <w:trPr>
          <w:divId w:val="1009598734"/>
          <w:trHeight w:val="240"/>
          <w:jc w:val="center"/>
        </w:trPr>
        <w:tc>
          <w:tcPr>
            <w:tcW w:w="0" w:type="auto"/>
            <w:gridSpan w:val="3"/>
            <w:tcMar>
              <w:top w:w="0" w:type="dxa"/>
              <w:left w:w="20" w:type="dxa"/>
              <w:bottom w:w="0" w:type="dxa"/>
              <w:right w:w="20" w:type="dxa"/>
            </w:tcMar>
            <w:vAlign w:val="center"/>
            <w:hideMark/>
          </w:tcPr>
          <w:p w:rsidR="00000000" w:rsidRDefault="001F1FC8">
            <w:pPr>
              <w:jc w:val="right"/>
              <w:rPr>
                <w:rFonts w:eastAsia="Times New Roman"/>
              </w:rPr>
            </w:pPr>
          </w:p>
        </w:tc>
        <w:tc>
          <w:tcPr>
            <w:tcW w:w="0" w:type="auto"/>
            <w:gridSpan w:val="3"/>
            <w:shd w:val="clear" w:color="auto" w:fill="D9D9D9"/>
            <w:tcMar>
              <w:top w:w="0" w:type="dxa"/>
              <w:left w:w="20" w:type="dxa"/>
              <w:bottom w:w="0" w:type="dxa"/>
              <w:right w:w="20" w:type="dxa"/>
            </w:tcMar>
            <w:vAlign w:val="center"/>
            <w:hideMark/>
          </w:tcPr>
          <w:p w:rsidR="00000000" w:rsidRDefault="001F1FC8">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1F1FC8">
            <w:pPr>
              <w:rPr>
                <w:rFonts w:eastAsia="Times New Roman"/>
                <w:sz w:val="20"/>
                <w:szCs w:val="20"/>
              </w:rPr>
            </w:pPr>
          </w:p>
        </w:tc>
      </w:tr>
      <w:tr w:rsidR="00000000">
        <w:trPr>
          <w:divId w:val="1009598734"/>
          <w:jc w:val="center"/>
        </w:trPr>
        <w:tc>
          <w:tcPr>
            <w:tcW w:w="0" w:type="auto"/>
            <w:gridSpan w:val="3"/>
            <w:tcMar>
              <w:top w:w="30" w:type="dxa"/>
              <w:left w:w="20" w:type="dxa"/>
              <w:bottom w:w="30" w:type="dxa"/>
              <w:right w:w="20" w:type="dxa"/>
            </w:tcMar>
            <w:vAlign w:val="center"/>
            <w:hideMark/>
          </w:tcPr>
          <w:p w:rsidR="00000000" w:rsidRDefault="001F1FC8">
            <w:pPr>
              <w:rPr>
                <w:rFonts w:eastAsia="Times New Roman"/>
              </w:rPr>
            </w:pPr>
            <w:r>
              <w:rPr>
                <w:rFonts w:ascii="Arial" w:eastAsia="Times New Roman" w:hAnsi="Arial" w:cs="Arial"/>
                <w:b/>
                <w:bCs/>
                <w:color w:val="000000"/>
                <w:sz w:val="20"/>
                <w:szCs w:val="20"/>
              </w:rPr>
              <w:t>Finance leases</w:t>
            </w:r>
          </w:p>
        </w:tc>
        <w:tc>
          <w:tcPr>
            <w:tcW w:w="0" w:type="auto"/>
            <w:gridSpan w:val="3"/>
            <w:shd w:val="clear" w:color="auto" w:fill="D9D9D9"/>
            <w:tcMar>
              <w:top w:w="0" w:type="dxa"/>
              <w:left w:w="20" w:type="dxa"/>
              <w:bottom w:w="0" w:type="dxa"/>
              <w:right w:w="20" w:type="dxa"/>
            </w:tcMar>
            <w:vAlign w:val="center"/>
            <w:hideMark/>
          </w:tcPr>
          <w:p w:rsidR="00000000" w:rsidRDefault="001F1FC8">
            <w:pPr>
              <w:rPr>
                <w:rFonts w:eastAsia="Times New Roman"/>
              </w:rPr>
            </w:pPr>
          </w:p>
        </w:tc>
        <w:tc>
          <w:tcPr>
            <w:tcW w:w="0" w:type="auto"/>
            <w:gridSpan w:val="3"/>
            <w:tcMar>
              <w:top w:w="0" w:type="dxa"/>
              <w:left w:w="20" w:type="dxa"/>
              <w:bottom w:w="0" w:type="dxa"/>
              <w:right w:w="20" w:type="dxa"/>
            </w:tcMar>
            <w:vAlign w:val="center"/>
            <w:hideMark/>
          </w:tcPr>
          <w:p w:rsidR="00000000" w:rsidRDefault="001F1FC8">
            <w:pPr>
              <w:rPr>
                <w:rFonts w:eastAsia="Times New Roman"/>
                <w:sz w:val="20"/>
                <w:szCs w:val="20"/>
              </w:rPr>
            </w:pPr>
          </w:p>
        </w:tc>
      </w:tr>
      <w:tr w:rsidR="00000000">
        <w:trPr>
          <w:divId w:val="1009598734"/>
          <w:jc w:val="center"/>
        </w:trPr>
        <w:tc>
          <w:tcPr>
            <w:tcW w:w="0" w:type="auto"/>
            <w:gridSpan w:val="3"/>
            <w:tcMar>
              <w:top w:w="30" w:type="dxa"/>
              <w:left w:w="20" w:type="dxa"/>
              <w:bottom w:w="30" w:type="dxa"/>
              <w:right w:w="20" w:type="dxa"/>
            </w:tcMar>
            <w:vAlign w:val="center"/>
            <w:hideMark/>
          </w:tcPr>
          <w:p w:rsidR="00000000" w:rsidRDefault="001F1FC8">
            <w:pPr>
              <w:divId w:val="1452748078"/>
              <w:rPr>
                <w:rFonts w:eastAsia="Times New Roman"/>
              </w:rPr>
            </w:pPr>
            <w:r>
              <w:rPr>
                <w:rFonts w:ascii="Arial" w:eastAsia="Times New Roman" w:hAnsi="Arial" w:cs="Arial"/>
                <w:color w:val="000000"/>
                <w:sz w:val="20"/>
                <w:szCs w:val="20"/>
              </w:rPr>
              <w:t>Finance lease right-of-use assets, ne</w:t>
            </w:r>
            <w:r>
              <w:rPr>
                <w:rFonts w:ascii="Arial" w:eastAsia="Times New Roman" w:hAnsi="Arial" w:cs="Arial"/>
                <w:color w:val="000000"/>
                <w:sz w:val="20"/>
                <w:szCs w:val="20"/>
              </w:rPr>
              <w:t>t</w:t>
            </w:r>
            <w:r>
              <w:rPr>
                <w:rFonts w:ascii="Arial" w:eastAsia="Times New Roman" w:hAnsi="Arial" w:cs="Arial"/>
                <w:color w:val="000000"/>
                <w:sz w:val="10"/>
                <w:szCs w:val="10"/>
              </w:rPr>
              <w:t>4</w:t>
            </w:r>
          </w:p>
        </w:tc>
        <w:tc>
          <w:tcPr>
            <w:tcW w:w="0" w:type="auto"/>
            <w:gridSpan w:val="3"/>
            <w:shd w:val="clear" w:color="auto" w:fill="DBDBDB"/>
            <w:tcMar>
              <w:top w:w="30" w:type="dxa"/>
              <w:left w:w="20" w:type="dxa"/>
              <w:bottom w:w="30" w:type="dxa"/>
              <w:right w:w="20" w:type="dxa"/>
            </w:tcMar>
            <w:vAlign w:val="center"/>
            <w:hideMark/>
          </w:tcPr>
          <w:p w:rsidR="00000000" w:rsidRDefault="001F1FC8">
            <w:pPr>
              <w:jc w:val="right"/>
              <w:rPr>
                <w:rFonts w:eastAsia="Times New Roman"/>
              </w:rPr>
            </w:pPr>
            <w:r>
              <w:rPr>
                <w:rFonts w:ascii="Arial" w:eastAsia="Times New Roman" w:hAnsi="Arial" w:cs="Arial"/>
                <w:b/>
                <w:bCs/>
                <w:color w:val="000000"/>
                <w:sz w:val="20"/>
                <w:szCs w:val="20"/>
              </w:rPr>
              <w:t>49</w:t>
            </w:r>
          </w:p>
        </w:tc>
        <w:tc>
          <w:tcPr>
            <w:tcW w:w="0" w:type="auto"/>
            <w:gridSpan w:val="3"/>
            <w:tcMar>
              <w:top w:w="30" w:type="dxa"/>
              <w:left w:w="20" w:type="dxa"/>
              <w:bottom w:w="30" w:type="dxa"/>
              <w:right w:w="20" w:type="dxa"/>
            </w:tcMar>
            <w:vAlign w:val="center"/>
            <w:hideMark/>
          </w:tcPr>
          <w:p w:rsidR="00000000" w:rsidRDefault="001F1FC8">
            <w:pPr>
              <w:jc w:val="right"/>
              <w:rPr>
                <w:rFonts w:eastAsia="Times New Roman"/>
              </w:rPr>
            </w:pPr>
            <w:r>
              <w:rPr>
                <w:rFonts w:ascii="Arial" w:eastAsia="Times New Roman" w:hAnsi="Arial" w:cs="Arial"/>
                <w:b/>
                <w:bCs/>
                <w:color w:val="000000"/>
                <w:sz w:val="20"/>
                <w:szCs w:val="20"/>
              </w:rPr>
              <w:t>57</w:t>
            </w:r>
          </w:p>
        </w:tc>
      </w:tr>
      <w:tr w:rsidR="00000000">
        <w:trPr>
          <w:divId w:val="1009598734"/>
          <w:trHeight w:val="240"/>
          <w:jc w:val="center"/>
        </w:trPr>
        <w:tc>
          <w:tcPr>
            <w:tcW w:w="0" w:type="auto"/>
            <w:gridSpan w:val="3"/>
            <w:tcMar>
              <w:top w:w="0" w:type="dxa"/>
              <w:left w:w="20" w:type="dxa"/>
              <w:bottom w:w="0" w:type="dxa"/>
              <w:right w:w="20" w:type="dxa"/>
            </w:tcMar>
            <w:vAlign w:val="center"/>
            <w:hideMark/>
          </w:tcPr>
          <w:p w:rsidR="00000000" w:rsidRDefault="001F1FC8">
            <w:pPr>
              <w:jc w:val="right"/>
              <w:rPr>
                <w:rFonts w:eastAsia="Times New Roman"/>
              </w:rPr>
            </w:pPr>
          </w:p>
        </w:tc>
        <w:tc>
          <w:tcPr>
            <w:tcW w:w="0" w:type="auto"/>
            <w:gridSpan w:val="3"/>
            <w:shd w:val="clear" w:color="auto" w:fill="DBDBDB"/>
            <w:tcMar>
              <w:top w:w="0" w:type="dxa"/>
              <w:left w:w="20" w:type="dxa"/>
              <w:bottom w:w="0" w:type="dxa"/>
              <w:right w:w="20" w:type="dxa"/>
            </w:tcMar>
            <w:vAlign w:val="center"/>
            <w:hideMark/>
          </w:tcPr>
          <w:p w:rsidR="00000000" w:rsidRDefault="001F1FC8">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1F1FC8">
            <w:pPr>
              <w:rPr>
                <w:rFonts w:eastAsia="Times New Roman"/>
                <w:sz w:val="20"/>
                <w:szCs w:val="20"/>
              </w:rPr>
            </w:pPr>
          </w:p>
        </w:tc>
      </w:tr>
      <w:tr w:rsidR="00000000">
        <w:trPr>
          <w:divId w:val="1009598734"/>
          <w:jc w:val="center"/>
        </w:trPr>
        <w:tc>
          <w:tcPr>
            <w:tcW w:w="0" w:type="auto"/>
            <w:gridSpan w:val="3"/>
            <w:tcMar>
              <w:top w:w="30" w:type="dxa"/>
              <w:left w:w="20" w:type="dxa"/>
              <w:bottom w:w="30" w:type="dxa"/>
              <w:right w:w="20" w:type="dxa"/>
            </w:tcMar>
            <w:vAlign w:val="center"/>
            <w:hideMark/>
          </w:tcPr>
          <w:p w:rsidR="00000000" w:rsidRDefault="001F1FC8">
            <w:pPr>
              <w:divId w:val="1171603381"/>
              <w:rPr>
                <w:rFonts w:eastAsia="Times New Roman"/>
              </w:rPr>
            </w:pPr>
            <w:r>
              <w:rPr>
                <w:rFonts w:ascii="Arial" w:eastAsia="Times New Roman" w:hAnsi="Arial" w:cs="Arial"/>
                <w:color w:val="000000"/>
                <w:sz w:val="20"/>
                <w:szCs w:val="20"/>
              </w:rPr>
              <w:t>Finance lease liabilities - curren</w:t>
            </w:r>
            <w:r>
              <w:rPr>
                <w:rFonts w:ascii="Arial" w:eastAsia="Times New Roman" w:hAnsi="Arial" w:cs="Arial"/>
                <w:color w:val="000000"/>
                <w:sz w:val="20"/>
                <w:szCs w:val="20"/>
              </w:rPr>
              <w:t>t</w:t>
            </w:r>
            <w:r>
              <w:rPr>
                <w:rFonts w:ascii="Arial" w:eastAsia="Times New Roman" w:hAnsi="Arial" w:cs="Arial"/>
                <w:color w:val="000000"/>
                <w:sz w:val="10"/>
                <w:szCs w:val="10"/>
              </w:rPr>
              <w:t>5</w:t>
            </w:r>
          </w:p>
        </w:tc>
        <w:tc>
          <w:tcPr>
            <w:tcW w:w="0" w:type="auto"/>
            <w:gridSpan w:val="3"/>
            <w:shd w:val="clear" w:color="auto" w:fill="DBDBDB"/>
            <w:tcMar>
              <w:top w:w="30" w:type="dxa"/>
              <w:left w:w="20" w:type="dxa"/>
              <w:bottom w:w="30" w:type="dxa"/>
              <w:right w:w="20" w:type="dxa"/>
            </w:tcMar>
            <w:vAlign w:val="center"/>
            <w:hideMark/>
          </w:tcPr>
          <w:p w:rsidR="00000000" w:rsidRDefault="001F1FC8">
            <w:pPr>
              <w:jc w:val="right"/>
              <w:rPr>
                <w:rFonts w:eastAsia="Times New Roman"/>
              </w:rPr>
            </w:pPr>
            <w:r>
              <w:rPr>
                <w:rFonts w:ascii="Arial" w:eastAsia="Times New Roman" w:hAnsi="Arial" w:cs="Arial"/>
                <w:b/>
                <w:bCs/>
                <w:color w:val="000000"/>
                <w:sz w:val="20"/>
                <w:szCs w:val="20"/>
              </w:rPr>
              <w:t>13</w:t>
            </w:r>
          </w:p>
        </w:tc>
        <w:tc>
          <w:tcPr>
            <w:tcW w:w="0" w:type="auto"/>
            <w:gridSpan w:val="3"/>
            <w:tcMar>
              <w:top w:w="30" w:type="dxa"/>
              <w:left w:w="20" w:type="dxa"/>
              <w:bottom w:w="30" w:type="dxa"/>
              <w:right w:w="20" w:type="dxa"/>
            </w:tcMar>
            <w:vAlign w:val="center"/>
            <w:hideMark/>
          </w:tcPr>
          <w:p w:rsidR="00000000" w:rsidRDefault="001F1FC8">
            <w:pPr>
              <w:jc w:val="right"/>
              <w:rPr>
                <w:rFonts w:eastAsia="Times New Roman"/>
              </w:rPr>
            </w:pPr>
            <w:r>
              <w:rPr>
                <w:rFonts w:ascii="Arial" w:eastAsia="Times New Roman" w:hAnsi="Arial" w:cs="Arial"/>
                <w:b/>
                <w:bCs/>
                <w:color w:val="000000"/>
                <w:sz w:val="20"/>
                <w:szCs w:val="20"/>
              </w:rPr>
              <w:t>11</w:t>
            </w:r>
          </w:p>
        </w:tc>
      </w:tr>
      <w:tr w:rsidR="00000000">
        <w:trPr>
          <w:divId w:val="1009598734"/>
          <w:jc w:val="center"/>
        </w:trPr>
        <w:tc>
          <w:tcPr>
            <w:tcW w:w="0" w:type="auto"/>
            <w:gridSpan w:val="3"/>
            <w:tcMar>
              <w:top w:w="30" w:type="dxa"/>
              <w:left w:w="20" w:type="dxa"/>
              <w:bottom w:w="30" w:type="dxa"/>
              <w:right w:w="20" w:type="dxa"/>
            </w:tcMar>
            <w:vAlign w:val="center"/>
            <w:hideMark/>
          </w:tcPr>
          <w:p w:rsidR="00000000" w:rsidRDefault="001F1FC8">
            <w:pPr>
              <w:divId w:val="242029264"/>
              <w:rPr>
                <w:rFonts w:eastAsia="Times New Roman"/>
              </w:rPr>
            </w:pPr>
            <w:r>
              <w:rPr>
                <w:rFonts w:ascii="Arial" w:eastAsia="Times New Roman" w:hAnsi="Arial" w:cs="Arial"/>
                <w:color w:val="000000"/>
                <w:sz w:val="20"/>
                <w:szCs w:val="20"/>
              </w:rPr>
              <w:t>Finance lease liabilities - long-ter</w:t>
            </w:r>
            <w:r>
              <w:rPr>
                <w:rFonts w:ascii="Arial" w:eastAsia="Times New Roman" w:hAnsi="Arial" w:cs="Arial"/>
                <w:color w:val="000000"/>
                <w:sz w:val="20"/>
                <w:szCs w:val="20"/>
              </w:rPr>
              <w:t>m</w:t>
            </w:r>
            <w:r>
              <w:rPr>
                <w:rFonts w:ascii="Arial" w:eastAsia="Times New Roman" w:hAnsi="Arial" w:cs="Arial"/>
                <w:color w:val="000000"/>
                <w:sz w:val="10"/>
                <w:szCs w:val="10"/>
              </w:rPr>
              <w:t>3</w:t>
            </w:r>
          </w:p>
        </w:tc>
        <w:tc>
          <w:tcPr>
            <w:tcW w:w="0" w:type="auto"/>
            <w:gridSpan w:val="3"/>
            <w:shd w:val="clear" w:color="auto" w:fill="DBDBDB"/>
            <w:tcMar>
              <w:top w:w="30" w:type="dxa"/>
              <w:left w:w="20" w:type="dxa"/>
              <w:bottom w:w="30" w:type="dxa"/>
              <w:right w:w="20" w:type="dxa"/>
            </w:tcMar>
            <w:vAlign w:val="center"/>
            <w:hideMark/>
          </w:tcPr>
          <w:p w:rsidR="00000000" w:rsidRDefault="001F1FC8">
            <w:pPr>
              <w:jc w:val="right"/>
              <w:rPr>
                <w:rFonts w:eastAsia="Times New Roman"/>
              </w:rPr>
            </w:pPr>
            <w:r>
              <w:rPr>
                <w:rFonts w:ascii="Arial" w:eastAsia="Times New Roman" w:hAnsi="Arial" w:cs="Arial"/>
                <w:b/>
                <w:bCs/>
                <w:color w:val="000000"/>
                <w:sz w:val="20"/>
                <w:szCs w:val="20"/>
              </w:rPr>
              <w:t>33</w:t>
            </w:r>
          </w:p>
        </w:tc>
        <w:tc>
          <w:tcPr>
            <w:tcW w:w="0" w:type="auto"/>
            <w:gridSpan w:val="3"/>
            <w:tcMar>
              <w:top w:w="30" w:type="dxa"/>
              <w:left w:w="20" w:type="dxa"/>
              <w:bottom w:w="30" w:type="dxa"/>
              <w:right w:w="20" w:type="dxa"/>
            </w:tcMar>
            <w:vAlign w:val="center"/>
            <w:hideMark/>
          </w:tcPr>
          <w:p w:rsidR="00000000" w:rsidRDefault="001F1FC8">
            <w:pPr>
              <w:jc w:val="right"/>
              <w:rPr>
                <w:rFonts w:eastAsia="Times New Roman"/>
              </w:rPr>
            </w:pPr>
            <w:r>
              <w:rPr>
                <w:rFonts w:ascii="Arial" w:eastAsia="Times New Roman" w:hAnsi="Arial" w:cs="Arial"/>
                <w:b/>
                <w:bCs/>
                <w:color w:val="000000"/>
                <w:sz w:val="20"/>
                <w:szCs w:val="20"/>
              </w:rPr>
              <w:t>42</w:t>
            </w:r>
          </w:p>
        </w:tc>
      </w:tr>
      <w:tr w:rsidR="00000000">
        <w:trPr>
          <w:divId w:val="1009598734"/>
          <w:jc w:val="center"/>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1F1FC8">
            <w:pPr>
              <w:rPr>
                <w:rFonts w:eastAsia="Times New Roman"/>
              </w:rPr>
            </w:pPr>
            <w:r>
              <w:rPr>
                <w:rFonts w:ascii="Arial" w:eastAsia="Times New Roman" w:hAnsi="Arial" w:cs="Arial"/>
                <w:color w:val="000000"/>
                <w:sz w:val="20"/>
                <w:szCs w:val="20"/>
              </w:rPr>
              <w:t>Total finance lease liabilities</w:t>
            </w:r>
          </w:p>
        </w:tc>
        <w:tc>
          <w:tcPr>
            <w:tcW w:w="0" w:type="auto"/>
            <w:gridSpan w:val="3"/>
            <w:tcBorders>
              <w:top w:val="single" w:sz="4" w:space="0" w:color="000000"/>
            </w:tcBorders>
            <w:shd w:val="clear" w:color="auto" w:fill="DBDBDB"/>
            <w:tcMar>
              <w:top w:w="30" w:type="dxa"/>
              <w:left w:w="20" w:type="dxa"/>
              <w:bottom w:w="30" w:type="dxa"/>
              <w:right w:w="20" w:type="dxa"/>
            </w:tcMar>
            <w:vAlign w:val="center"/>
            <w:hideMark/>
          </w:tcPr>
          <w:p w:rsidR="00000000" w:rsidRDefault="001F1FC8">
            <w:pPr>
              <w:jc w:val="right"/>
              <w:rPr>
                <w:rFonts w:eastAsia="Times New Roman"/>
              </w:rPr>
            </w:pPr>
            <w:r>
              <w:rPr>
                <w:rFonts w:ascii="Arial" w:eastAsia="Times New Roman" w:hAnsi="Arial" w:cs="Arial"/>
                <w:b/>
                <w:bCs/>
                <w:color w:val="000000"/>
                <w:sz w:val="20"/>
                <w:szCs w:val="20"/>
              </w:rPr>
              <w:t>46</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1F1FC8">
            <w:pPr>
              <w:jc w:val="right"/>
              <w:rPr>
                <w:rFonts w:eastAsia="Times New Roman"/>
              </w:rPr>
            </w:pPr>
            <w:r>
              <w:rPr>
                <w:rFonts w:ascii="Arial" w:eastAsia="Times New Roman" w:hAnsi="Arial" w:cs="Arial"/>
                <w:b/>
                <w:bCs/>
                <w:color w:val="000000"/>
                <w:sz w:val="20"/>
                <w:szCs w:val="20"/>
              </w:rPr>
              <w:t>53</w:t>
            </w:r>
          </w:p>
        </w:tc>
      </w:tr>
      <w:tr w:rsidR="00000000">
        <w:trPr>
          <w:divId w:val="1009598734"/>
          <w:trHeight w:val="240"/>
          <w:jc w:val="center"/>
        </w:trPr>
        <w:tc>
          <w:tcPr>
            <w:tcW w:w="0" w:type="auto"/>
            <w:gridSpan w:val="3"/>
            <w:tcMar>
              <w:top w:w="0" w:type="dxa"/>
              <w:left w:w="20" w:type="dxa"/>
              <w:bottom w:w="0" w:type="dxa"/>
              <w:right w:w="20" w:type="dxa"/>
            </w:tcMar>
            <w:vAlign w:val="center"/>
            <w:hideMark/>
          </w:tcPr>
          <w:p w:rsidR="00000000" w:rsidRDefault="001F1FC8">
            <w:pPr>
              <w:jc w:val="right"/>
              <w:rPr>
                <w:rFonts w:eastAsia="Times New Roman"/>
              </w:rPr>
            </w:pPr>
          </w:p>
        </w:tc>
        <w:tc>
          <w:tcPr>
            <w:tcW w:w="0" w:type="auto"/>
            <w:gridSpan w:val="3"/>
            <w:shd w:val="clear" w:color="auto" w:fill="D9D9D9"/>
            <w:tcMar>
              <w:top w:w="0" w:type="dxa"/>
              <w:left w:w="20" w:type="dxa"/>
              <w:bottom w:w="0" w:type="dxa"/>
              <w:right w:w="20" w:type="dxa"/>
            </w:tcMar>
            <w:vAlign w:val="center"/>
            <w:hideMark/>
          </w:tcPr>
          <w:p w:rsidR="00000000" w:rsidRDefault="001F1FC8">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1F1FC8">
            <w:pPr>
              <w:rPr>
                <w:rFonts w:eastAsia="Times New Roman"/>
                <w:sz w:val="20"/>
                <w:szCs w:val="20"/>
              </w:rPr>
            </w:pPr>
          </w:p>
        </w:tc>
      </w:tr>
      <w:tr w:rsidR="00000000">
        <w:trPr>
          <w:divId w:val="1009598734"/>
          <w:jc w:val="center"/>
        </w:trPr>
        <w:tc>
          <w:tcPr>
            <w:tcW w:w="0" w:type="auto"/>
            <w:gridSpan w:val="3"/>
            <w:tcMar>
              <w:top w:w="30" w:type="dxa"/>
              <w:left w:w="20" w:type="dxa"/>
              <w:bottom w:w="30" w:type="dxa"/>
              <w:right w:w="20" w:type="dxa"/>
            </w:tcMar>
            <w:vAlign w:val="center"/>
            <w:hideMark/>
          </w:tcPr>
          <w:p w:rsidR="00000000" w:rsidRDefault="001F1FC8">
            <w:pPr>
              <w:rPr>
                <w:rFonts w:eastAsia="Times New Roman"/>
              </w:rPr>
            </w:pPr>
            <w:r>
              <w:rPr>
                <w:rFonts w:ascii="Arial" w:eastAsia="Times New Roman" w:hAnsi="Arial" w:cs="Arial"/>
                <w:b/>
                <w:bCs/>
                <w:color w:val="000000"/>
                <w:sz w:val="20"/>
                <w:szCs w:val="20"/>
              </w:rPr>
              <w:t>Weighted average remaining lease term</w:t>
            </w:r>
          </w:p>
        </w:tc>
        <w:tc>
          <w:tcPr>
            <w:tcW w:w="0" w:type="auto"/>
            <w:gridSpan w:val="3"/>
            <w:shd w:val="clear" w:color="auto" w:fill="D9D9D9"/>
            <w:tcMar>
              <w:top w:w="0" w:type="dxa"/>
              <w:left w:w="20" w:type="dxa"/>
              <w:bottom w:w="0" w:type="dxa"/>
              <w:right w:w="20" w:type="dxa"/>
            </w:tcMar>
            <w:vAlign w:val="center"/>
            <w:hideMark/>
          </w:tcPr>
          <w:p w:rsidR="00000000" w:rsidRDefault="001F1FC8">
            <w:pPr>
              <w:rPr>
                <w:rFonts w:eastAsia="Times New Roman"/>
              </w:rPr>
            </w:pPr>
          </w:p>
        </w:tc>
        <w:tc>
          <w:tcPr>
            <w:tcW w:w="0" w:type="auto"/>
            <w:gridSpan w:val="3"/>
            <w:tcMar>
              <w:top w:w="0" w:type="dxa"/>
              <w:left w:w="20" w:type="dxa"/>
              <w:bottom w:w="0" w:type="dxa"/>
              <w:right w:w="20" w:type="dxa"/>
            </w:tcMar>
            <w:vAlign w:val="center"/>
            <w:hideMark/>
          </w:tcPr>
          <w:p w:rsidR="00000000" w:rsidRDefault="001F1FC8">
            <w:pPr>
              <w:rPr>
                <w:rFonts w:eastAsia="Times New Roman"/>
                <w:sz w:val="20"/>
                <w:szCs w:val="20"/>
              </w:rPr>
            </w:pPr>
          </w:p>
        </w:tc>
      </w:tr>
      <w:tr w:rsidR="00000000">
        <w:trPr>
          <w:divId w:val="1009598734"/>
          <w:jc w:val="center"/>
        </w:trPr>
        <w:tc>
          <w:tcPr>
            <w:tcW w:w="0" w:type="auto"/>
            <w:gridSpan w:val="3"/>
            <w:tcMar>
              <w:top w:w="30" w:type="dxa"/>
              <w:left w:w="20" w:type="dxa"/>
              <w:bottom w:w="30" w:type="dxa"/>
              <w:right w:w="20" w:type="dxa"/>
            </w:tcMar>
            <w:vAlign w:val="center"/>
            <w:hideMark/>
          </w:tcPr>
          <w:p w:rsidR="00000000" w:rsidRDefault="001F1FC8">
            <w:pPr>
              <w:rPr>
                <w:rFonts w:eastAsia="Times New Roman"/>
              </w:rPr>
            </w:pPr>
            <w:r>
              <w:rPr>
                <w:rFonts w:ascii="Arial" w:eastAsia="Times New Roman" w:hAnsi="Arial" w:cs="Arial"/>
                <w:color w:val="000000"/>
                <w:sz w:val="20"/>
                <w:szCs w:val="20"/>
              </w:rPr>
              <w:t>Operating leases</w:t>
            </w:r>
          </w:p>
        </w:tc>
        <w:tc>
          <w:tcPr>
            <w:tcW w:w="0" w:type="auto"/>
            <w:gridSpan w:val="3"/>
            <w:shd w:val="clear" w:color="auto" w:fill="D9D9D9"/>
            <w:tcMar>
              <w:top w:w="30" w:type="dxa"/>
              <w:left w:w="20" w:type="dxa"/>
              <w:bottom w:w="30" w:type="dxa"/>
              <w:right w:w="20" w:type="dxa"/>
            </w:tcMar>
            <w:vAlign w:val="center"/>
            <w:hideMark/>
          </w:tcPr>
          <w:p w:rsidR="00000000" w:rsidRDefault="001F1FC8">
            <w:pPr>
              <w:jc w:val="right"/>
              <w:rPr>
                <w:rFonts w:eastAsia="Times New Roman"/>
              </w:rPr>
            </w:pPr>
            <w:r>
              <w:rPr>
                <w:rFonts w:ascii="Arial" w:eastAsia="Times New Roman" w:hAnsi="Arial" w:cs="Arial"/>
                <w:b/>
                <w:bCs/>
                <w:color w:val="000000"/>
                <w:sz w:val="20"/>
                <w:szCs w:val="20"/>
              </w:rPr>
              <w:t>12 years</w:t>
            </w:r>
          </w:p>
        </w:tc>
        <w:tc>
          <w:tcPr>
            <w:tcW w:w="0" w:type="auto"/>
            <w:gridSpan w:val="3"/>
            <w:tcMar>
              <w:top w:w="30" w:type="dxa"/>
              <w:left w:w="20" w:type="dxa"/>
              <w:bottom w:w="30" w:type="dxa"/>
              <w:right w:w="20" w:type="dxa"/>
            </w:tcMar>
            <w:vAlign w:val="center"/>
            <w:hideMark/>
          </w:tcPr>
          <w:p w:rsidR="00000000" w:rsidRDefault="001F1FC8">
            <w:pPr>
              <w:jc w:val="right"/>
              <w:rPr>
                <w:rFonts w:eastAsia="Times New Roman"/>
              </w:rPr>
            </w:pPr>
            <w:r>
              <w:rPr>
                <w:rFonts w:ascii="Arial" w:eastAsia="Times New Roman" w:hAnsi="Arial" w:cs="Arial"/>
                <w:color w:val="000000"/>
                <w:sz w:val="20"/>
                <w:szCs w:val="20"/>
              </w:rPr>
              <w:t>13 years</w:t>
            </w:r>
          </w:p>
        </w:tc>
      </w:tr>
      <w:tr w:rsidR="00000000">
        <w:trPr>
          <w:divId w:val="1009598734"/>
          <w:jc w:val="center"/>
        </w:trPr>
        <w:tc>
          <w:tcPr>
            <w:tcW w:w="0" w:type="auto"/>
            <w:gridSpan w:val="3"/>
            <w:tcMar>
              <w:top w:w="30" w:type="dxa"/>
              <w:left w:w="20" w:type="dxa"/>
              <w:bottom w:w="30" w:type="dxa"/>
              <w:right w:w="20" w:type="dxa"/>
            </w:tcMar>
            <w:vAlign w:val="center"/>
            <w:hideMark/>
          </w:tcPr>
          <w:p w:rsidR="00000000" w:rsidRDefault="001F1FC8">
            <w:pPr>
              <w:rPr>
                <w:rFonts w:eastAsia="Times New Roman"/>
              </w:rPr>
            </w:pPr>
            <w:r>
              <w:rPr>
                <w:rFonts w:ascii="Arial" w:eastAsia="Times New Roman" w:hAnsi="Arial" w:cs="Arial"/>
                <w:color w:val="000000"/>
                <w:sz w:val="20"/>
                <w:szCs w:val="20"/>
              </w:rPr>
              <w:t>Finance leases</w:t>
            </w:r>
          </w:p>
        </w:tc>
        <w:tc>
          <w:tcPr>
            <w:tcW w:w="0" w:type="auto"/>
            <w:gridSpan w:val="3"/>
            <w:shd w:val="clear" w:color="auto" w:fill="D9D9D9"/>
            <w:tcMar>
              <w:top w:w="30" w:type="dxa"/>
              <w:left w:w="20" w:type="dxa"/>
              <w:bottom w:w="30" w:type="dxa"/>
              <w:right w:w="20" w:type="dxa"/>
            </w:tcMar>
            <w:vAlign w:val="center"/>
            <w:hideMark/>
          </w:tcPr>
          <w:p w:rsidR="00000000" w:rsidRDefault="001F1FC8">
            <w:pPr>
              <w:jc w:val="right"/>
              <w:rPr>
                <w:rFonts w:eastAsia="Times New Roman"/>
              </w:rPr>
            </w:pPr>
            <w:r>
              <w:rPr>
                <w:rFonts w:ascii="Arial" w:eastAsia="Times New Roman" w:hAnsi="Arial" w:cs="Arial"/>
                <w:b/>
                <w:bCs/>
                <w:color w:val="000000"/>
                <w:sz w:val="20"/>
                <w:szCs w:val="20"/>
              </w:rPr>
              <w:t>7 years</w:t>
            </w:r>
          </w:p>
        </w:tc>
        <w:tc>
          <w:tcPr>
            <w:tcW w:w="0" w:type="auto"/>
            <w:gridSpan w:val="3"/>
            <w:tcMar>
              <w:top w:w="30" w:type="dxa"/>
              <w:left w:w="20" w:type="dxa"/>
              <w:bottom w:w="30" w:type="dxa"/>
              <w:right w:w="20" w:type="dxa"/>
            </w:tcMar>
            <w:vAlign w:val="center"/>
            <w:hideMark/>
          </w:tcPr>
          <w:p w:rsidR="00000000" w:rsidRDefault="001F1FC8">
            <w:pPr>
              <w:jc w:val="right"/>
              <w:rPr>
                <w:rFonts w:eastAsia="Times New Roman"/>
              </w:rPr>
            </w:pPr>
            <w:r>
              <w:rPr>
                <w:rFonts w:ascii="Arial" w:eastAsia="Times New Roman" w:hAnsi="Arial" w:cs="Arial"/>
                <w:color w:val="000000"/>
                <w:sz w:val="20"/>
                <w:szCs w:val="20"/>
              </w:rPr>
              <w:t>7 years</w:t>
            </w:r>
          </w:p>
        </w:tc>
      </w:tr>
      <w:tr w:rsidR="00000000">
        <w:trPr>
          <w:divId w:val="1009598734"/>
          <w:trHeight w:val="240"/>
          <w:jc w:val="center"/>
        </w:trPr>
        <w:tc>
          <w:tcPr>
            <w:tcW w:w="0" w:type="auto"/>
            <w:gridSpan w:val="3"/>
            <w:tcMar>
              <w:top w:w="0" w:type="dxa"/>
              <w:left w:w="20" w:type="dxa"/>
              <w:bottom w:w="0" w:type="dxa"/>
              <w:right w:w="20" w:type="dxa"/>
            </w:tcMar>
            <w:vAlign w:val="center"/>
            <w:hideMark/>
          </w:tcPr>
          <w:p w:rsidR="00000000" w:rsidRDefault="001F1FC8">
            <w:pPr>
              <w:jc w:val="right"/>
              <w:rPr>
                <w:rFonts w:eastAsia="Times New Roman"/>
              </w:rPr>
            </w:pPr>
          </w:p>
        </w:tc>
        <w:tc>
          <w:tcPr>
            <w:tcW w:w="0" w:type="auto"/>
            <w:gridSpan w:val="3"/>
            <w:shd w:val="clear" w:color="auto" w:fill="D9D9D9"/>
            <w:tcMar>
              <w:top w:w="0" w:type="dxa"/>
              <w:left w:w="20" w:type="dxa"/>
              <w:bottom w:w="0" w:type="dxa"/>
              <w:right w:w="20" w:type="dxa"/>
            </w:tcMar>
            <w:vAlign w:val="center"/>
            <w:hideMark/>
          </w:tcPr>
          <w:p w:rsidR="00000000" w:rsidRDefault="001F1FC8">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1F1FC8">
            <w:pPr>
              <w:rPr>
                <w:rFonts w:eastAsia="Times New Roman"/>
                <w:sz w:val="20"/>
                <w:szCs w:val="20"/>
              </w:rPr>
            </w:pPr>
          </w:p>
        </w:tc>
      </w:tr>
      <w:tr w:rsidR="00000000">
        <w:trPr>
          <w:divId w:val="1009598734"/>
          <w:jc w:val="center"/>
        </w:trPr>
        <w:tc>
          <w:tcPr>
            <w:tcW w:w="0" w:type="auto"/>
            <w:gridSpan w:val="3"/>
            <w:tcMar>
              <w:top w:w="30" w:type="dxa"/>
              <w:left w:w="20" w:type="dxa"/>
              <w:bottom w:w="30" w:type="dxa"/>
              <w:right w:w="20" w:type="dxa"/>
            </w:tcMar>
            <w:vAlign w:val="center"/>
            <w:hideMark/>
          </w:tcPr>
          <w:p w:rsidR="00000000" w:rsidRDefault="001F1FC8">
            <w:pPr>
              <w:rPr>
                <w:rFonts w:eastAsia="Times New Roman"/>
              </w:rPr>
            </w:pPr>
            <w:r>
              <w:rPr>
                <w:rFonts w:ascii="Arial" w:eastAsia="Times New Roman" w:hAnsi="Arial" w:cs="Arial"/>
                <w:b/>
                <w:bCs/>
                <w:color w:val="000000"/>
                <w:sz w:val="20"/>
                <w:szCs w:val="20"/>
              </w:rPr>
              <w:t>Weighted average discount rate</w:t>
            </w:r>
          </w:p>
        </w:tc>
        <w:tc>
          <w:tcPr>
            <w:tcW w:w="0" w:type="auto"/>
            <w:gridSpan w:val="3"/>
            <w:shd w:val="clear" w:color="auto" w:fill="D9D9D9"/>
            <w:tcMar>
              <w:top w:w="0" w:type="dxa"/>
              <w:left w:w="20" w:type="dxa"/>
              <w:bottom w:w="0" w:type="dxa"/>
              <w:right w:w="20" w:type="dxa"/>
            </w:tcMar>
            <w:vAlign w:val="center"/>
            <w:hideMark/>
          </w:tcPr>
          <w:p w:rsidR="00000000" w:rsidRDefault="001F1FC8">
            <w:pPr>
              <w:rPr>
                <w:rFonts w:eastAsia="Times New Roman"/>
              </w:rPr>
            </w:pPr>
          </w:p>
        </w:tc>
        <w:tc>
          <w:tcPr>
            <w:tcW w:w="0" w:type="auto"/>
            <w:gridSpan w:val="3"/>
            <w:tcMar>
              <w:top w:w="0" w:type="dxa"/>
              <w:left w:w="20" w:type="dxa"/>
              <w:bottom w:w="0" w:type="dxa"/>
              <w:right w:w="20" w:type="dxa"/>
            </w:tcMar>
            <w:vAlign w:val="center"/>
            <w:hideMark/>
          </w:tcPr>
          <w:p w:rsidR="00000000" w:rsidRDefault="001F1FC8">
            <w:pPr>
              <w:rPr>
                <w:rFonts w:eastAsia="Times New Roman"/>
                <w:sz w:val="20"/>
                <w:szCs w:val="20"/>
              </w:rPr>
            </w:pPr>
          </w:p>
        </w:tc>
      </w:tr>
      <w:tr w:rsidR="00000000">
        <w:trPr>
          <w:divId w:val="1009598734"/>
          <w:jc w:val="center"/>
        </w:trPr>
        <w:tc>
          <w:tcPr>
            <w:tcW w:w="0" w:type="auto"/>
            <w:gridSpan w:val="3"/>
            <w:tcMar>
              <w:top w:w="30" w:type="dxa"/>
              <w:left w:w="20" w:type="dxa"/>
              <w:bottom w:w="30" w:type="dxa"/>
              <w:right w:w="20" w:type="dxa"/>
            </w:tcMar>
            <w:vAlign w:val="center"/>
            <w:hideMark/>
          </w:tcPr>
          <w:p w:rsidR="00000000" w:rsidRDefault="001F1FC8">
            <w:pPr>
              <w:rPr>
                <w:rFonts w:eastAsia="Times New Roman"/>
              </w:rPr>
            </w:pPr>
            <w:r>
              <w:rPr>
                <w:rFonts w:ascii="Arial" w:eastAsia="Times New Roman" w:hAnsi="Arial" w:cs="Arial"/>
                <w:color w:val="000000"/>
                <w:sz w:val="20"/>
                <w:szCs w:val="20"/>
              </w:rPr>
              <w:t>Operating leases</w:t>
            </w:r>
          </w:p>
        </w:tc>
        <w:tc>
          <w:tcPr>
            <w:tcW w:w="0" w:type="auto"/>
            <w:gridSpan w:val="2"/>
            <w:shd w:val="clear" w:color="auto" w:fill="D9D9D9"/>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b/>
                <w:bCs/>
                <w:color w:val="000000"/>
                <w:sz w:val="20"/>
                <w:szCs w:val="20"/>
              </w:rPr>
              <w:t>4.1</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1F1FC8">
            <w:pPr>
              <w:jc w:val="right"/>
              <w:rPr>
                <w:rFonts w:eastAsia="Times New Roman"/>
              </w:rPr>
            </w:pPr>
            <w:r>
              <w:rPr>
                <w:rFonts w:ascii="Arial" w:eastAsia="Times New Roman" w:hAnsi="Arial" w:cs="Arial"/>
                <w:b/>
                <w:bCs/>
                <w:color w:val="000000"/>
                <w:sz w:val="20"/>
                <w:szCs w:val="20"/>
              </w:rPr>
              <w:t>%</w:t>
            </w:r>
          </w:p>
        </w:tc>
        <w:tc>
          <w:tcPr>
            <w:tcW w:w="0" w:type="auto"/>
            <w:gridSpan w:val="2"/>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20"/>
                <w:szCs w:val="20"/>
              </w:rPr>
              <w:t>4.1 </w:t>
            </w:r>
          </w:p>
        </w:tc>
        <w:tc>
          <w:tcPr>
            <w:tcW w:w="0" w:type="auto"/>
            <w:tcMar>
              <w:top w:w="30" w:type="dxa"/>
              <w:left w:w="0" w:type="dxa"/>
              <w:bottom w:w="30" w:type="dxa"/>
              <w:right w:w="20" w:type="dxa"/>
            </w:tcMar>
            <w:vAlign w:val="center"/>
            <w:hideMark/>
          </w:tcPr>
          <w:p w:rsidR="00000000" w:rsidRDefault="001F1FC8">
            <w:pPr>
              <w:jc w:val="right"/>
              <w:rPr>
                <w:rFonts w:eastAsia="Times New Roman"/>
              </w:rPr>
            </w:pPr>
            <w:r>
              <w:rPr>
                <w:rFonts w:ascii="Arial" w:eastAsia="Times New Roman" w:hAnsi="Arial" w:cs="Arial"/>
                <w:color w:val="000000"/>
                <w:sz w:val="20"/>
                <w:szCs w:val="20"/>
              </w:rPr>
              <w:t>%</w:t>
            </w:r>
          </w:p>
        </w:tc>
      </w:tr>
      <w:tr w:rsidR="00000000">
        <w:trPr>
          <w:divId w:val="1009598734"/>
          <w:jc w:val="center"/>
        </w:trPr>
        <w:tc>
          <w:tcPr>
            <w:tcW w:w="0" w:type="auto"/>
            <w:gridSpan w:val="3"/>
            <w:tcBorders>
              <w:bottom w:val="single" w:sz="8" w:space="0" w:color="000000"/>
            </w:tcBorders>
            <w:tcMar>
              <w:top w:w="30" w:type="dxa"/>
              <w:left w:w="20" w:type="dxa"/>
              <w:bottom w:w="30" w:type="dxa"/>
              <w:right w:w="20" w:type="dxa"/>
            </w:tcMar>
            <w:vAlign w:val="center"/>
            <w:hideMark/>
          </w:tcPr>
          <w:p w:rsidR="00000000" w:rsidRDefault="001F1FC8">
            <w:pPr>
              <w:rPr>
                <w:rFonts w:eastAsia="Times New Roman"/>
              </w:rPr>
            </w:pPr>
            <w:r>
              <w:rPr>
                <w:rFonts w:ascii="Arial" w:eastAsia="Times New Roman" w:hAnsi="Arial" w:cs="Arial"/>
                <w:color w:val="000000"/>
                <w:sz w:val="20"/>
                <w:szCs w:val="20"/>
              </w:rPr>
              <w:t>Finance leases</w:t>
            </w:r>
          </w:p>
        </w:tc>
        <w:tc>
          <w:tcPr>
            <w:tcW w:w="0" w:type="auto"/>
            <w:gridSpan w:val="2"/>
            <w:tcBorders>
              <w:bottom w:val="single" w:sz="8" w:space="0" w:color="000000"/>
            </w:tcBorders>
            <w:shd w:val="clear" w:color="auto" w:fill="D9D9D9"/>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b/>
                <w:bCs/>
                <w:color w:val="000000"/>
                <w:sz w:val="20"/>
                <w:szCs w:val="20"/>
              </w:rPr>
              <w:t>3.8</w:t>
            </w:r>
            <w:r>
              <w:rPr>
                <w:rFonts w:ascii="Arial" w:eastAsia="Times New Roman" w:hAnsi="Arial" w:cs="Arial"/>
                <w:color w:val="000000"/>
                <w:sz w:val="20"/>
                <w:szCs w:val="20"/>
              </w:rPr>
              <w:t> </w:t>
            </w:r>
          </w:p>
        </w:tc>
        <w:tc>
          <w:tcPr>
            <w:tcW w:w="0" w:type="auto"/>
            <w:tcBorders>
              <w:bottom w:val="single" w:sz="8" w:space="0" w:color="000000"/>
            </w:tcBorders>
            <w:shd w:val="clear" w:color="auto" w:fill="D9D9D9"/>
            <w:tcMar>
              <w:top w:w="30" w:type="dxa"/>
              <w:left w:w="0" w:type="dxa"/>
              <w:bottom w:w="30" w:type="dxa"/>
              <w:right w:w="20" w:type="dxa"/>
            </w:tcMar>
            <w:vAlign w:val="center"/>
            <w:hideMark/>
          </w:tcPr>
          <w:p w:rsidR="00000000" w:rsidRDefault="001F1FC8">
            <w:pPr>
              <w:jc w:val="right"/>
              <w:rPr>
                <w:rFonts w:eastAsia="Times New Roman"/>
              </w:rPr>
            </w:pPr>
            <w:r>
              <w:rPr>
                <w:rFonts w:ascii="Arial" w:eastAsia="Times New Roman" w:hAnsi="Arial" w:cs="Arial"/>
                <w:b/>
                <w:bCs/>
                <w:color w:val="000000"/>
                <w:sz w:val="20"/>
                <w:szCs w:val="20"/>
              </w:rPr>
              <w:t>%</w:t>
            </w:r>
          </w:p>
        </w:tc>
        <w:tc>
          <w:tcPr>
            <w:tcW w:w="0" w:type="auto"/>
            <w:gridSpan w:val="2"/>
            <w:tcBorders>
              <w:bottom w:val="single" w:sz="8" w:space="0" w:color="000000"/>
            </w:tcBorders>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20"/>
                <w:szCs w:val="20"/>
              </w:rPr>
              <w:t>3.8 </w:t>
            </w:r>
          </w:p>
        </w:tc>
        <w:tc>
          <w:tcPr>
            <w:tcW w:w="0" w:type="auto"/>
            <w:tcBorders>
              <w:bottom w:val="single" w:sz="8" w:space="0" w:color="000000"/>
            </w:tcBorders>
            <w:tcMar>
              <w:top w:w="30" w:type="dxa"/>
              <w:left w:w="0" w:type="dxa"/>
              <w:bottom w:w="30" w:type="dxa"/>
              <w:right w:w="20" w:type="dxa"/>
            </w:tcMar>
            <w:vAlign w:val="center"/>
            <w:hideMark/>
          </w:tcPr>
          <w:p w:rsidR="00000000" w:rsidRDefault="001F1FC8">
            <w:pPr>
              <w:jc w:val="right"/>
              <w:rPr>
                <w:rFonts w:eastAsia="Times New Roman"/>
              </w:rPr>
            </w:pPr>
            <w:r>
              <w:rPr>
                <w:rFonts w:ascii="Arial" w:eastAsia="Times New Roman" w:hAnsi="Arial" w:cs="Arial"/>
                <w:color w:val="000000"/>
                <w:sz w:val="20"/>
                <w:szCs w:val="20"/>
              </w:rPr>
              <w:t>%</w:t>
            </w:r>
          </w:p>
        </w:tc>
      </w:tr>
    </w:tbl>
    <w:p w:rsidR="00000000" w:rsidRDefault="001F1FC8">
      <w:pPr>
        <w:ind w:hanging="180"/>
        <w:divId w:val="1143498372"/>
        <w:rPr>
          <w:rFonts w:eastAsia="Times New Roman"/>
        </w:rPr>
      </w:pPr>
      <w:r>
        <w:rPr>
          <w:rFonts w:ascii="Arial" w:eastAsia="Times New Roman" w:hAnsi="Arial" w:cs="Arial"/>
          <w:i/>
          <w:iCs/>
          <w:color w:val="000000"/>
          <w:sz w:val="16"/>
          <w:szCs w:val="16"/>
        </w:rPr>
        <w:t>1</w:t>
      </w:r>
      <w:r>
        <w:rPr>
          <w:rFonts w:ascii="Arial" w:eastAsia="Times New Roman" w:hAnsi="Arial" w:cs="Arial"/>
          <w:i/>
          <w:iCs/>
          <w:color w:val="000000"/>
          <w:sz w:val="16"/>
          <w:szCs w:val="16"/>
        </w:rPr>
        <w:t>Affiliate right-of-use assets, current lease liabilities and long-term lease liabilities as at December 31, 2021 were $51 million (December 31, 2020 - $65 million), $5 million (December 31, 2020 - $5 million) and $47 million (December 31, 2020 - $52 millio</w:t>
      </w:r>
      <w:r>
        <w:rPr>
          <w:rFonts w:ascii="Arial" w:eastAsia="Times New Roman" w:hAnsi="Arial" w:cs="Arial"/>
          <w:i/>
          <w:iCs/>
          <w:color w:val="000000"/>
          <w:sz w:val="16"/>
          <w:szCs w:val="16"/>
        </w:rPr>
        <w:t>n), respectively.</w:t>
      </w:r>
    </w:p>
    <w:p w:rsidR="00000000" w:rsidRDefault="001F1FC8">
      <w:pPr>
        <w:ind w:hanging="180"/>
        <w:divId w:val="1959219509"/>
        <w:rPr>
          <w:rFonts w:eastAsia="Times New Roman"/>
        </w:rPr>
      </w:pPr>
      <w:r>
        <w:rPr>
          <w:rFonts w:ascii="Arial" w:eastAsia="Times New Roman" w:hAnsi="Arial" w:cs="Arial"/>
          <w:i/>
          <w:iCs/>
          <w:color w:val="000000"/>
          <w:sz w:val="16"/>
          <w:szCs w:val="16"/>
        </w:rPr>
        <w:t>2Operating lease right-of-use assets are reported under Deferred amounts and other assets in the Consolidated Statements of Financial Position.</w:t>
      </w:r>
    </w:p>
    <w:p w:rsidR="00000000" w:rsidRDefault="001F1FC8">
      <w:pPr>
        <w:ind w:hanging="180"/>
        <w:divId w:val="82728939"/>
        <w:rPr>
          <w:rFonts w:eastAsia="Times New Roman"/>
        </w:rPr>
      </w:pPr>
      <w:r>
        <w:rPr>
          <w:rFonts w:ascii="Arial" w:eastAsia="Times New Roman" w:hAnsi="Arial" w:cs="Arial"/>
          <w:i/>
          <w:iCs/>
          <w:color w:val="000000"/>
          <w:sz w:val="16"/>
          <w:szCs w:val="16"/>
        </w:rPr>
        <w:t>3</w:t>
      </w:r>
      <w:r>
        <w:rPr>
          <w:rFonts w:ascii="Arial" w:eastAsia="Times New Roman" w:hAnsi="Arial" w:cs="Arial"/>
          <w:i/>
          <w:iCs/>
          <w:color w:val="000000"/>
          <w:sz w:val="16"/>
          <w:szCs w:val="16"/>
        </w:rPr>
        <w:t>Current operating lease liabilities and long-term operating and finance lease liabilities are reported under Accounts payable and other and Other long-term liabilities, respectively, in the Consolidated Statements of Financial Position.</w:t>
      </w:r>
    </w:p>
    <w:p w:rsidR="00000000" w:rsidRDefault="001F1FC8">
      <w:pPr>
        <w:ind w:hanging="180"/>
        <w:divId w:val="1953393643"/>
        <w:rPr>
          <w:rFonts w:eastAsia="Times New Roman"/>
        </w:rPr>
      </w:pPr>
      <w:r>
        <w:rPr>
          <w:rFonts w:ascii="Arial" w:eastAsia="Times New Roman" w:hAnsi="Arial" w:cs="Arial"/>
          <w:i/>
          <w:iCs/>
          <w:color w:val="000000"/>
          <w:sz w:val="16"/>
          <w:szCs w:val="16"/>
        </w:rPr>
        <w:t>4Finance lease righ</w:t>
      </w:r>
      <w:r>
        <w:rPr>
          <w:rFonts w:ascii="Arial" w:eastAsia="Times New Roman" w:hAnsi="Arial" w:cs="Arial"/>
          <w:i/>
          <w:iCs/>
          <w:color w:val="000000"/>
          <w:sz w:val="16"/>
          <w:szCs w:val="16"/>
        </w:rPr>
        <w:t>t-of-use assets are reported under Property, plant and equipment, net in the Consolidated Statements of Financial Position.</w:t>
      </w:r>
    </w:p>
    <w:p w:rsidR="00000000" w:rsidRDefault="001F1FC8">
      <w:pPr>
        <w:ind w:hanging="180"/>
        <w:divId w:val="975180040"/>
        <w:rPr>
          <w:rFonts w:eastAsia="Times New Roman"/>
        </w:rPr>
      </w:pPr>
      <w:r>
        <w:rPr>
          <w:rFonts w:ascii="Arial" w:eastAsia="Times New Roman" w:hAnsi="Arial" w:cs="Arial"/>
          <w:i/>
          <w:iCs/>
          <w:color w:val="000000"/>
          <w:sz w:val="16"/>
          <w:szCs w:val="16"/>
        </w:rPr>
        <w:t xml:space="preserve">5Current finance lease liabilities are reported under Current portion of long-term debt in the Consolidated Statements of Financial </w:t>
      </w:r>
      <w:r>
        <w:rPr>
          <w:rFonts w:ascii="Arial" w:eastAsia="Times New Roman" w:hAnsi="Arial" w:cs="Arial"/>
          <w:i/>
          <w:iCs/>
          <w:color w:val="000000"/>
          <w:sz w:val="16"/>
          <w:szCs w:val="16"/>
        </w:rPr>
        <w:t>Position.</w:t>
      </w:r>
    </w:p>
    <w:p w:rsidR="00000000" w:rsidRDefault="001F1FC8">
      <w:pPr>
        <w:divId w:val="2062707648"/>
        <w:rPr>
          <w:rFonts w:eastAsia="Times New Roman"/>
        </w:rPr>
      </w:pPr>
    </w:p>
    <w:p w:rsidR="00000000" w:rsidRDefault="001F1FC8">
      <w:pPr>
        <w:divId w:val="1244798318"/>
        <w:rPr>
          <w:rFonts w:eastAsia="Times New Roman"/>
        </w:rPr>
      </w:pPr>
      <w:r>
        <w:rPr>
          <w:rFonts w:ascii="Arial" w:eastAsia="Times New Roman" w:hAnsi="Arial" w:cs="Arial"/>
          <w:color w:val="000000"/>
          <w:sz w:val="20"/>
          <w:szCs w:val="20"/>
        </w:rPr>
        <w:t>As at December 31, 2021, our operating and finance lease liabilities are expected to mature as follows:</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4661"/>
        <w:gridCol w:w="38"/>
        <w:gridCol w:w="69"/>
        <w:gridCol w:w="1664"/>
        <w:gridCol w:w="36"/>
        <w:gridCol w:w="69"/>
        <w:gridCol w:w="1664"/>
        <w:gridCol w:w="36"/>
      </w:tblGrid>
      <w:tr w:rsidR="00000000">
        <w:trPr>
          <w:jc w:val="center"/>
        </w:trPr>
        <w:tc>
          <w:tcPr>
            <w:tcW w:w="50" w:type="pct"/>
            <w:vAlign w:val="center"/>
            <w:hideMark/>
          </w:tcPr>
          <w:p w:rsidR="00000000" w:rsidRDefault="001F1FC8">
            <w:pPr>
              <w:rPr>
                <w:rFonts w:eastAsia="Times New Roman"/>
              </w:rPr>
            </w:pPr>
          </w:p>
        </w:tc>
        <w:tc>
          <w:tcPr>
            <w:tcW w:w="2813"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c>
          <w:tcPr>
            <w:tcW w:w="50" w:type="pct"/>
            <w:vAlign w:val="center"/>
            <w:hideMark/>
          </w:tcPr>
          <w:p w:rsidR="00000000" w:rsidRDefault="001F1FC8">
            <w:pPr>
              <w:rPr>
                <w:rFonts w:eastAsia="Times New Roman"/>
                <w:sz w:val="20"/>
                <w:szCs w:val="20"/>
              </w:rPr>
            </w:pPr>
          </w:p>
        </w:tc>
        <w:tc>
          <w:tcPr>
            <w:tcW w:w="1010"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c>
          <w:tcPr>
            <w:tcW w:w="50" w:type="pct"/>
            <w:vAlign w:val="center"/>
            <w:hideMark/>
          </w:tcPr>
          <w:p w:rsidR="00000000" w:rsidRDefault="001F1FC8">
            <w:pPr>
              <w:rPr>
                <w:rFonts w:eastAsia="Times New Roman"/>
                <w:sz w:val="20"/>
                <w:szCs w:val="20"/>
              </w:rPr>
            </w:pPr>
          </w:p>
        </w:tc>
        <w:tc>
          <w:tcPr>
            <w:tcW w:w="1010"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1F1FC8">
            <w:pPr>
              <w:rPr>
                <w:rFonts w:eastAsia="Times New Roman"/>
                <w:sz w:val="20"/>
                <w:szCs w:val="20"/>
              </w:rPr>
            </w:pPr>
          </w:p>
        </w:tc>
        <w:tc>
          <w:tcPr>
            <w:tcW w:w="0" w:type="auto"/>
            <w:gridSpan w:val="3"/>
            <w:tcMar>
              <w:top w:w="30" w:type="dxa"/>
              <w:left w:w="20" w:type="dxa"/>
              <w:bottom w:w="30" w:type="dxa"/>
              <w:right w:w="20" w:type="dxa"/>
            </w:tcMar>
            <w:vAlign w:val="center"/>
            <w:hideMark/>
          </w:tcPr>
          <w:p w:rsidR="00000000" w:rsidRDefault="001F1FC8">
            <w:pPr>
              <w:jc w:val="right"/>
              <w:rPr>
                <w:rFonts w:eastAsia="Times New Roman"/>
              </w:rPr>
            </w:pPr>
            <w:r>
              <w:rPr>
                <w:rFonts w:ascii="Arial" w:eastAsia="Times New Roman" w:hAnsi="Arial" w:cs="Arial"/>
                <w:color w:val="000000"/>
                <w:sz w:val="20"/>
                <w:szCs w:val="20"/>
              </w:rPr>
              <w:t>Operating leases</w:t>
            </w:r>
          </w:p>
        </w:tc>
        <w:tc>
          <w:tcPr>
            <w:tcW w:w="0" w:type="auto"/>
            <w:gridSpan w:val="3"/>
            <w:tcMar>
              <w:top w:w="30" w:type="dxa"/>
              <w:left w:w="20" w:type="dxa"/>
              <w:bottom w:w="30" w:type="dxa"/>
              <w:right w:w="20" w:type="dxa"/>
            </w:tcMar>
            <w:vAlign w:val="center"/>
            <w:hideMark/>
          </w:tcPr>
          <w:p w:rsidR="00000000" w:rsidRDefault="001F1FC8">
            <w:pPr>
              <w:jc w:val="right"/>
              <w:rPr>
                <w:rFonts w:eastAsia="Times New Roman"/>
              </w:rPr>
            </w:pPr>
            <w:r>
              <w:rPr>
                <w:rFonts w:ascii="Arial" w:eastAsia="Times New Roman" w:hAnsi="Arial" w:cs="Arial"/>
                <w:color w:val="000000"/>
                <w:sz w:val="20"/>
                <w:szCs w:val="20"/>
              </w:rPr>
              <w:t>Finance leases</w:t>
            </w:r>
          </w:p>
        </w:tc>
      </w:tr>
      <w:tr w:rsidR="00000000">
        <w:trPr>
          <w:jc w:val="center"/>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1F1FC8">
            <w:pPr>
              <w:rPr>
                <w:rFonts w:eastAsia="Times New Roman"/>
              </w:rPr>
            </w:pPr>
            <w:r>
              <w:rPr>
                <w:rFonts w:ascii="Arial" w:eastAsia="Times New Roman" w:hAnsi="Arial" w:cs="Arial"/>
                <w:i/>
                <w:iCs/>
                <w:color w:val="000000"/>
                <w:sz w:val="16"/>
                <w:szCs w:val="16"/>
              </w:rPr>
              <w:t>(millions of Canadian dollars)</w:t>
            </w:r>
          </w:p>
        </w:tc>
        <w:tc>
          <w:tcPr>
            <w:tcW w:w="0" w:type="auto"/>
            <w:gridSpan w:val="3"/>
            <w:tcBorders>
              <w:top w:val="single" w:sz="4" w:space="0" w:color="000000"/>
            </w:tcBorders>
            <w:shd w:val="clear" w:color="auto" w:fill="DBDBDB"/>
            <w:tcMar>
              <w:top w:w="0" w:type="dxa"/>
              <w:left w:w="20" w:type="dxa"/>
              <w:bottom w:w="0" w:type="dxa"/>
              <w:right w:w="20" w:type="dxa"/>
            </w:tcMar>
            <w:vAlign w:val="center"/>
            <w:hideMark/>
          </w:tcPr>
          <w:p w:rsidR="00000000" w:rsidRDefault="001F1FC8">
            <w:pPr>
              <w:rPr>
                <w:rFonts w:eastAsia="Times New Roman"/>
              </w:rPr>
            </w:pPr>
          </w:p>
        </w:tc>
        <w:tc>
          <w:tcPr>
            <w:tcW w:w="0" w:type="auto"/>
            <w:gridSpan w:val="3"/>
            <w:tcBorders>
              <w:top w:val="single" w:sz="4" w:space="0" w:color="000000"/>
            </w:tcBorders>
            <w:shd w:val="clear" w:color="auto" w:fill="DBDBDB"/>
            <w:tcMar>
              <w:top w:w="0" w:type="dxa"/>
              <w:left w:w="20" w:type="dxa"/>
              <w:bottom w:w="0" w:type="dxa"/>
              <w:right w:w="20" w:type="dxa"/>
            </w:tcMar>
            <w:vAlign w:val="center"/>
            <w:hideMark/>
          </w:tcPr>
          <w:p w:rsidR="00000000" w:rsidRDefault="001F1FC8">
            <w:pPr>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center"/>
            <w:hideMark/>
          </w:tcPr>
          <w:p w:rsidR="00000000" w:rsidRDefault="001F1FC8">
            <w:pPr>
              <w:rPr>
                <w:rFonts w:eastAsia="Times New Roman"/>
              </w:rPr>
            </w:pPr>
            <w:r>
              <w:rPr>
                <w:rFonts w:ascii="Arial" w:eastAsia="Times New Roman" w:hAnsi="Arial" w:cs="Arial"/>
                <w:color w:val="000000"/>
                <w:sz w:val="20"/>
                <w:szCs w:val="20"/>
              </w:rPr>
              <w:t>2022</w:t>
            </w:r>
          </w:p>
        </w:tc>
        <w:tc>
          <w:tcPr>
            <w:tcW w:w="0" w:type="auto"/>
            <w:gridSpan w:val="2"/>
            <w:shd w:val="clear" w:color="auto" w:fill="DBDBDB"/>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b/>
                <w:bCs/>
                <w:color w:val="000000"/>
                <w:sz w:val="20"/>
                <w:szCs w:val="20"/>
              </w:rPr>
              <w:t>117</w:t>
            </w:r>
            <w:r>
              <w:rPr>
                <w:rFonts w:ascii="Arial" w:eastAsia="Times New Roman" w:hAnsi="Arial" w:cs="Arial"/>
                <w:color w:val="000000"/>
                <w:sz w:val="20"/>
                <w:szCs w:val="20"/>
              </w:rPr>
              <w:t> </w:t>
            </w:r>
          </w:p>
        </w:tc>
        <w:tc>
          <w:tcPr>
            <w:tcW w:w="0" w:type="auto"/>
            <w:shd w:val="clear" w:color="auto" w:fill="DBDBDB"/>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shd w:val="clear" w:color="auto" w:fill="DBDBDB"/>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b/>
                <w:bCs/>
                <w:color w:val="000000"/>
                <w:sz w:val="20"/>
                <w:szCs w:val="20"/>
              </w:rPr>
              <w:t>15</w:t>
            </w:r>
            <w:r>
              <w:rPr>
                <w:rFonts w:ascii="Arial" w:eastAsia="Times New Roman" w:hAnsi="Arial" w:cs="Arial"/>
                <w:color w:val="000000"/>
                <w:sz w:val="20"/>
                <w:szCs w:val="20"/>
              </w:rPr>
              <w:t> </w:t>
            </w:r>
          </w:p>
        </w:tc>
        <w:tc>
          <w:tcPr>
            <w:tcW w:w="0" w:type="auto"/>
            <w:shd w:val="clear" w:color="auto" w:fill="DBDBDB"/>
            <w:tcMar>
              <w:top w:w="30" w:type="dxa"/>
              <w:left w:w="0" w:type="dxa"/>
              <w:bottom w:w="30" w:type="dxa"/>
              <w:right w:w="20" w:type="dxa"/>
            </w:tcMar>
            <w:vAlign w:val="center"/>
            <w:hideMark/>
          </w:tcPr>
          <w:p w:rsidR="00000000" w:rsidRDefault="001F1FC8">
            <w:pPr>
              <w:jc w:val="right"/>
              <w:rPr>
                <w:rFonts w:eastAsia="Times New Roman"/>
              </w:rPr>
            </w:pPr>
          </w:p>
        </w:tc>
      </w:tr>
      <w:tr w:rsidR="00000000">
        <w:trPr>
          <w:jc w:val="center"/>
        </w:trPr>
        <w:tc>
          <w:tcPr>
            <w:tcW w:w="0" w:type="auto"/>
            <w:gridSpan w:val="3"/>
            <w:tcMar>
              <w:top w:w="30" w:type="dxa"/>
              <w:left w:w="20" w:type="dxa"/>
              <w:bottom w:w="30" w:type="dxa"/>
              <w:right w:w="20" w:type="dxa"/>
            </w:tcMar>
            <w:vAlign w:val="center"/>
            <w:hideMark/>
          </w:tcPr>
          <w:p w:rsidR="00000000" w:rsidRDefault="001F1FC8">
            <w:pPr>
              <w:rPr>
                <w:rFonts w:eastAsia="Times New Roman"/>
              </w:rPr>
            </w:pPr>
            <w:r>
              <w:rPr>
                <w:rFonts w:ascii="Arial" w:eastAsia="Times New Roman" w:hAnsi="Arial" w:cs="Arial"/>
                <w:color w:val="000000"/>
                <w:sz w:val="20"/>
                <w:szCs w:val="20"/>
              </w:rPr>
              <w:t>2023</w:t>
            </w:r>
          </w:p>
        </w:tc>
        <w:tc>
          <w:tcPr>
            <w:tcW w:w="0" w:type="auto"/>
            <w:gridSpan w:val="2"/>
            <w:shd w:val="clear" w:color="auto" w:fill="DBDBDB"/>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b/>
                <w:bCs/>
                <w:color w:val="000000"/>
                <w:sz w:val="20"/>
                <w:szCs w:val="20"/>
              </w:rPr>
              <w:t>98</w:t>
            </w:r>
            <w:r>
              <w:rPr>
                <w:rFonts w:ascii="Arial" w:eastAsia="Times New Roman" w:hAnsi="Arial" w:cs="Arial"/>
                <w:color w:val="000000"/>
                <w:sz w:val="20"/>
                <w:szCs w:val="20"/>
              </w:rPr>
              <w:t> </w:t>
            </w:r>
          </w:p>
        </w:tc>
        <w:tc>
          <w:tcPr>
            <w:tcW w:w="0" w:type="auto"/>
            <w:shd w:val="clear" w:color="auto" w:fill="DBDBDB"/>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shd w:val="clear" w:color="auto" w:fill="DBDBDB"/>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b/>
                <w:bCs/>
                <w:color w:val="000000"/>
                <w:sz w:val="20"/>
                <w:szCs w:val="20"/>
              </w:rPr>
              <w:t>13</w:t>
            </w:r>
            <w:r>
              <w:rPr>
                <w:rFonts w:ascii="Arial" w:eastAsia="Times New Roman" w:hAnsi="Arial" w:cs="Arial"/>
                <w:color w:val="000000"/>
                <w:sz w:val="20"/>
                <w:szCs w:val="20"/>
              </w:rPr>
              <w:t> </w:t>
            </w:r>
          </w:p>
        </w:tc>
        <w:tc>
          <w:tcPr>
            <w:tcW w:w="0" w:type="auto"/>
            <w:shd w:val="clear" w:color="auto" w:fill="DBDBDB"/>
            <w:tcMar>
              <w:top w:w="30" w:type="dxa"/>
              <w:left w:w="0" w:type="dxa"/>
              <w:bottom w:w="30" w:type="dxa"/>
              <w:right w:w="20" w:type="dxa"/>
            </w:tcMar>
            <w:vAlign w:val="center"/>
            <w:hideMark/>
          </w:tcPr>
          <w:p w:rsidR="00000000" w:rsidRDefault="001F1FC8">
            <w:pPr>
              <w:jc w:val="right"/>
              <w:rPr>
                <w:rFonts w:eastAsia="Times New Roman"/>
              </w:rPr>
            </w:pPr>
          </w:p>
        </w:tc>
      </w:tr>
      <w:tr w:rsidR="00000000">
        <w:trPr>
          <w:jc w:val="center"/>
        </w:trPr>
        <w:tc>
          <w:tcPr>
            <w:tcW w:w="0" w:type="auto"/>
            <w:gridSpan w:val="3"/>
            <w:tcMar>
              <w:top w:w="30" w:type="dxa"/>
              <w:left w:w="20" w:type="dxa"/>
              <w:bottom w:w="30" w:type="dxa"/>
              <w:right w:w="20" w:type="dxa"/>
            </w:tcMar>
            <w:vAlign w:val="center"/>
            <w:hideMark/>
          </w:tcPr>
          <w:p w:rsidR="00000000" w:rsidRDefault="001F1FC8">
            <w:pPr>
              <w:rPr>
                <w:rFonts w:eastAsia="Times New Roman"/>
              </w:rPr>
            </w:pPr>
            <w:r>
              <w:rPr>
                <w:rFonts w:ascii="Arial" w:eastAsia="Times New Roman" w:hAnsi="Arial" w:cs="Arial"/>
                <w:color w:val="000000"/>
                <w:sz w:val="20"/>
                <w:szCs w:val="20"/>
              </w:rPr>
              <w:t>2024</w:t>
            </w:r>
          </w:p>
        </w:tc>
        <w:tc>
          <w:tcPr>
            <w:tcW w:w="0" w:type="auto"/>
            <w:gridSpan w:val="2"/>
            <w:shd w:val="clear" w:color="auto" w:fill="DBDBDB"/>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b/>
                <w:bCs/>
                <w:color w:val="000000"/>
                <w:sz w:val="20"/>
                <w:szCs w:val="20"/>
              </w:rPr>
              <w:t>91</w:t>
            </w:r>
            <w:r>
              <w:rPr>
                <w:rFonts w:ascii="Arial" w:eastAsia="Times New Roman" w:hAnsi="Arial" w:cs="Arial"/>
                <w:color w:val="000000"/>
                <w:sz w:val="20"/>
                <w:szCs w:val="20"/>
              </w:rPr>
              <w:t> </w:t>
            </w:r>
          </w:p>
        </w:tc>
        <w:tc>
          <w:tcPr>
            <w:tcW w:w="0" w:type="auto"/>
            <w:shd w:val="clear" w:color="auto" w:fill="DBDBDB"/>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shd w:val="clear" w:color="auto" w:fill="DBDBDB"/>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b/>
                <w:bCs/>
                <w:color w:val="000000"/>
                <w:sz w:val="20"/>
                <w:szCs w:val="20"/>
              </w:rPr>
              <w:t>9</w:t>
            </w:r>
            <w:r>
              <w:rPr>
                <w:rFonts w:ascii="Arial" w:eastAsia="Times New Roman" w:hAnsi="Arial" w:cs="Arial"/>
                <w:color w:val="000000"/>
                <w:sz w:val="20"/>
                <w:szCs w:val="20"/>
              </w:rPr>
              <w:t> </w:t>
            </w:r>
          </w:p>
        </w:tc>
        <w:tc>
          <w:tcPr>
            <w:tcW w:w="0" w:type="auto"/>
            <w:shd w:val="clear" w:color="auto" w:fill="DBDBDB"/>
            <w:tcMar>
              <w:top w:w="30" w:type="dxa"/>
              <w:left w:w="0" w:type="dxa"/>
              <w:bottom w:w="30" w:type="dxa"/>
              <w:right w:w="20" w:type="dxa"/>
            </w:tcMar>
            <w:vAlign w:val="center"/>
            <w:hideMark/>
          </w:tcPr>
          <w:p w:rsidR="00000000" w:rsidRDefault="001F1FC8">
            <w:pPr>
              <w:jc w:val="right"/>
              <w:rPr>
                <w:rFonts w:eastAsia="Times New Roman"/>
              </w:rPr>
            </w:pPr>
          </w:p>
        </w:tc>
      </w:tr>
      <w:tr w:rsidR="00000000">
        <w:trPr>
          <w:jc w:val="center"/>
        </w:trPr>
        <w:tc>
          <w:tcPr>
            <w:tcW w:w="0" w:type="auto"/>
            <w:gridSpan w:val="3"/>
            <w:tcMar>
              <w:top w:w="30" w:type="dxa"/>
              <w:left w:w="20" w:type="dxa"/>
              <w:bottom w:w="30" w:type="dxa"/>
              <w:right w:w="20" w:type="dxa"/>
            </w:tcMar>
            <w:vAlign w:val="center"/>
            <w:hideMark/>
          </w:tcPr>
          <w:p w:rsidR="00000000" w:rsidRDefault="001F1FC8">
            <w:pPr>
              <w:rPr>
                <w:rFonts w:eastAsia="Times New Roman"/>
              </w:rPr>
            </w:pPr>
            <w:r>
              <w:rPr>
                <w:rFonts w:ascii="Arial" w:eastAsia="Times New Roman" w:hAnsi="Arial" w:cs="Arial"/>
                <w:color w:val="000000"/>
                <w:sz w:val="20"/>
                <w:szCs w:val="20"/>
              </w:rPr>
              <w:t>2025</w:t>
            </w:r>
          </w:p>
        </w:tc>
        <w:tc>
          <w:tcPr>
            <w:tcW w:w="0" w:type="auto"/>
            <w:gridSpan w:val="2"/>
            <w:shd w:val="clear" w:color="auto" w:fill="DBDBDB"/>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b/>
                <w:bCs/>
                <w:color w:val="000000"/>
                <w:sz w:val="20"/>
                <w:szCs w:val="20"/>
              </w:rPr>
              <w:t>84</w:t>
            </w:r>
            <w:r>
              <w:rPr>
                <w:rFonts w:ascii="Arial" w:eastAsia="Times New Roman" w:hAnsi="Arial" w:cs="Arial"/>
                <w:color w:val="000000"/>
                <w:sz w:val="20"/>
                <w:szCs w:val="20"/>
              </w:rPr>
              <w:t> </w:t>
            </w:r>
          </w:p>
        </w:tc>
        <w:tc>
          <w:tcPr>
            <w:tcW w:w="0" w:type="auto"/>
            <w:shd w:val="clear" w:color="auto" w:fill="DBDBDB"/>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shd w:val="clear" w:color="auto" w:fill="DBDBDB"/>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b/>
                <w:bCs/>
                <w:color w:val="000000"/>
                <w:sz w:val="20"/>
                <w:szCs w:val="20"/>
              </w:rPr>
              <w:t>2</w:t>
            </w:r>
            <w:r>
              <w:rPr>
                <w:rFonts w:ascii="Arial" w:eastAsia="Times New Roman" w:hAnsi="Arial" w:cs="Arial"/>
                <w:color w:val="000000"/>
                <w:sz w:val="20"/>
                <w:szCs w:val="20"/>
              </w:rPr>
              <w:t> </w:t>
            </w:r>
          </w:p>
        </w:tc>
        <w:tc>
          <w:tcPr>
            <w:tcW w:w="0" w:type="auto"/>
            <w:shd w:val="clear" w:color="auto" w:fill="DBDBDB"/>
            <w:tcMar>
              <w:top w:w="30" w:type="dxa"/>
              <w:left w:w="0" w:type="dxa"/>
              <w:bottom w:w="30" w:type="dxa"/>
              <w:right w:w="20" w:type="dxa"/>
            </w:tcMar>
            <w:vAlign w:val="center"/>
            <w:hideMark/>
          </w:tcPr>
          <w:p w:rsidR="00000000" w:rsidRDefault="001F1FC8">
            <w:pPr>
              <w:jc w:val="right"/>
              <w:rPr>
                <w:rFonts w:eastAsia="Times New Roman"/>
              </w:rPr>
            </w:pPr>
          </w:p>
        </w:tc>
      </w:tr>
      <w:tr w:rsidR="00000000">
        <w:trPr>
          <w:jc w:val="center"/>
        </w:trPr>
        <w:tc>
          <w:tcPr>
            <w:tcW w:w="0" w:type="auto"/>
            <w:gridSpan w:val="3"/>
            <w:tcMar>
              <w:top w:w="30" w:type="dxa"/>
              <w:left w:w="20" w:type="dxa"/>
              <w:bottom w:w="30" w:type="dxa"/>
              <w:right w:w="20" w:type="dxa"/>
            </w:tcMar>
            <w:vAlign w:val="center"/>
            <w:hideMark/>
          </w:tcPr>
          <w:p w:rsidR="00000000" w:rsidRDefault="001F1FC8">
            <w:pPr>
              <w:rPr>
                <w:rFonts w:eastAsia="Times New Roman"/>
              </w:rPr>
            </w:pPr>
            <w:r>
              <w:rPr>
                <w:rFonts w:ascii="Arial" w:eastAsia="Times New Roman" w:hAnsi="Arial" w:cs="Arial"/>
                <w:color w:val="000000"/>
                <w:sz w:val="20"/>
                <w:szCs w:val="20"/>
              </w:rPr>
              <w:t>2026</w:t>
            </w:r>
          </w:p>
        </w:tc>
        <w:tc>
          <w:tcPr>
            <w:tcW w:w="0" w:type="auto"/>
            <w:gridSpan w:val="2"/>
            <w:shd w:val="clear" w:color="auto" w:fill="DBDBDB"/>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b/>
                <w:bCs/>
                <w:color w:val="000000"/>
                <w:sz w:val="20"/>
                <w:szCs w:val="20"/>
              </w:rPr>
              <w:t>72</w:t>
            </w:r>
            <w:r>
              <w:rPr>
                <w:rFonts w:ascii="Arial" w:eastAsia="Times New Roman" w:hAnsi="Arial" w:cs="Arial"/>
                <w:color w:val="000000"/>
                <w:sz w:val="20"/>
                <w:szCs w:val="20"/>
              </w:rPr>
              <w:t> </w:t>
            </w:r>
          </w:p>
        </w:tc>
        <w:tc>
          <w:tcPr>
            <w:tcW w:w="0" w:type="auto"/>
            <w:shd w:val="clear" w:color="auto" w:fill="DBDBDB"/>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shd w:val="clear" w:color="auto" w:fill="DBDBDB"/>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b/>
                <w:bCs/>
                <w:color w:val="000000"/>
                <w:sz w:val="20"/>
                <w:szCs w:val="20"/>
              </w:rPr>
              <w:t>1</w:t>
            </w:r>
            <w:r>
              <w:rPr>
                <w:rFonts w:ascii="Arial" w:eastAsia="Times New Roman" w:hAnsi="Arial" w:cs="Arial"/>
                <w:color w:val="000000"/>
                <w:sz w:val="20"/>
                <w:szCs w:val="20"/>
              </w:rPr>
              <w:t> </w:t>
            </w:r>
          </w:p>
        </w:tc>
        <w:tc>
          <w:tcPr>
            <w:tcW w:w="0" w:type="auto"/>
            <w:shd w:val="clear" w:color="auto" w:fill="DBDBDB"/>
            <w:tcMar>
              <w:top w:w="30" w:type="dxa"/>
              <w:left w:w="0" w:type="dxa"/>
              <w:bottom w:w="30" w:type="dxa"/>
              <w:right w:w="20" w:type="dxa"/>
            </w:tcMar>
            <w:vAlign w:val="center"/>
            <w:hideMark/>
          </w:tcPr>
          <w:p w:rsidR="00000000" w:rsidRDefault="001F1FC8">
            <w:pPr>
              <w:jc w:val="right"/>
              <w:rPr>
                <w:rFonts w:eastAsia="Times New Roman"/>
              </w:rPr>
            </w:pPr>
          </w:p>
        </w:tc>
      </w:tr>
      <w:tr w:rsidR="00000000">
        <w:trPr>
          <w:jc w:val="center"/>
        </w:trPr>
        <w:tc>
          <w:tcPr>
            <w:tcW w:w="0" w:type="auto"/>
            <w:gridSpan w:val="3"/>
            <w:tcMar>
              <w:top w:w="30" w:type="dxa"/>
              <w:left w:w="20" w:type="dxa"/>
              <w:bottom w:w="30" w:type="dxa"/>
              <w:right w:w="20" w:type="dxa"/>
            </w:tcMar>
            <w:vAlign w:val="center"/>
            <w:hideMark/>
          </w:tcPr>
          <w:p w:rsidR="00000000" w:rsidRDefault="001F1FC8">
            <w:pPr>
              <w:rPr>
                <w:rFonts w:eastAsia="Times New Roman"/>
              </w:rPr>
            </w:pPr>
            <w:r>
              <w:rPr>
                <w:rFonts w:ascii="Arial" w:eastAsia="Times New Roman" w:hAnsi="Arial" w:cs="Arial"/>
                <w:color w:val="000000"/>
                <w:sz w:val="20"/>
                <w:szCs w:val="20"/>
              </w:rPr>
              <w:t>Thereafter</w:t>
            </w:r>
          </w:p>
        </w:tc>
        <w:tc>
          <w:tcPr>
            <w:tcW w:w="0" w:type="auto"/>
            <w:gridSpan w:val="2"/>
            <w:shd w:val="clear" w:color="auto" w:fill="DBDBDB"/>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b/>
                <w:bCs/>
                <w:color w:val="000000"/>
                <w:sz w:val="20"/>
                <w:szCs w:val="20"/>
              </w:rPr>
              <w:t>455</w:t>
            </w:r>
            <w:r>
              <w:rPr>
                <w:rFonts w:ascii="Arial" w:eastAsia="Times New Roman" w:hAnsi="Arial" w:cs="Arial"/>
                <w:color w:val="000000"/>
                <w:sz w:val="20"/>
                <w:szCs w:val="20"/>
              </w:rPr>
              <w:t> </w:t>
            </w:r>
          </w:p>
        </w:tc>
        <w:tc>
          <w:tcPr>
            <w:tcW w:w="0" w:type="auto"/>
            <w:shd w:val="clear" w:color="auto" w:fill="DBDBDB"/>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shd w:val="clear" w:color="auto" w:fill="DBDBDB"/>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b/>
                <w:bCs/>
                <w:color w:val="000000"/>
                <w:sz w:val="20"/>
                <w:szCs w:val="20"/>
              </w:rPr>
              <w:t>11</w:t>
            </w:r>
            <w:r>
              <w:rPr>
                <w:rFonts w:ascii="Arial" w:eastAsia="Times New Roman" w:hAnsi="Arial" w:cs="Arial"/>
                <w:color w:val="000000"/>
                <w:sz w:val="20"/>
                <w:szCs w:val="20"/>
              </w:rPr>
              <w:t> </w:t>
            </w:r>
          </w:p>
        </w:tc>
        <w:tc>
          <w:tcPr>
            <w:tcW w:w="0" w:type="auto"/>
            <w:shd w:val="clear" w:color="auto" w:fill="DBDBDB"/>
            <w:tcMar>
              <w:top w:w="30" w:type="dxa"/>
              <w:left w:w="0" w:type="dxa"/>
              <w:bottom w:w="30" w:type="dxa"/>
              <w:right w:w="20" w:type="dxa"/>
            </w:tcMar>
            <w:vAlign w:val="center"/>
            <w:hideMark/>
          </w:tcPr>
          <w:p w:rsidR="00000000" w:rsidRDefault="001F1FC8">
            <w:pPr>
              <w:jc w:val="right"/>
              <w:rPr>
                <w:rFonts w:eastAsia="Times New Roman"/>
              </w:rPr>
            </w:pPr>
          </w:p>
        </w:tc>
      </w:tr>
      <w:tr w:rsidR="00000000">
        <w:trPr>
          <w:jc w:val="center"/>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1F1FC8">
            <w:pPr>
              <w:rPr>
                <w:rFonts w:eastAsia="Times New Roman"/>
              </w:rPr>
            </w:pPr>
            <w:r>
              <w:rPr>
                <w:rFonts w:ascii="Arial" w:eastAsia="Times New Roman" w:hAnsi="Arial" w:cs="Arial"/>
                <w:color w:val="000000"/>
                <w:sz w:val="20"/>
                <w:szCs w:val="20"/>
              </w:rPr>
              <w:t>Total undiscounted lease payments</w:t>
            </w:r>
          </w:p>
        </w:tc>
        <w:tc>
          <w:tcPr>
            <w:tcW w:w="0" w:type="auto"/>
            <w:gridSpan w:val="2"/>
            <w:tcBorders>
              <w:top w:val="single" w:sz="4" w:space="0" w:color="000000"/>
            </w:tcBorders>
            <w:shd w:val="clear" w:color="auto" w:fill="DBDBDB"/>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b/>
                <w:bCs/>
                <w:color w:val="000000"/>
                <w:sz w:val="20"/>
                <w:szCs w:val="20"/>
              </w:rPr>
              <w:t>917</w:t>
            </w:r>
            <w:r>
              <w:rPr>
                <w:rFonts w:ascii="Arial" w:eastAsia="Times New Roman" w:hAnsi="Arial" w:cs="Arial"/>
                <w:color w:val="000000"/>
                <w:sz w:val="20"/>
                <w:szCs w:val="20"/>
              </w:rPr>
              <w:t> </w:t>
            </w:r>
          </w:p>
        </w:tc>
        <w:tc>
          <w:tcPr>
            <w:tcW w:w="0" w:type="auto"/>
            <w:tcBorders>
              <w:top w:val="single" w:sz="4" w:space="0" w:color="000000"/>
            </w:tcBorders>
            <w:shd w:val="clear" w:color="auto" w:fill="DBDBDB"/>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Borders>
              <w:top w:val="single" w:sz="4" w:space="0" w:color="000000"/>
            </w:tcBorders>
            <w:shd w:val="clear" w:color="auto" w:fill="DBDBDB"/>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b/>
                <w:bCs/>
                <w:color w:val="000000"/>
                <w:sz w:val="20"/>
                <w:szCs w:val="20"/>
              </w:rPr>
              <w:t>51</w:t>
            </w:r>
            <w:r>
              <w:rPr>
                <w:rFonts w:ascii="Arial" w:eastAsia="Times New Roman" w:hAnsi="Arial" w:cs="Arial"/>
                <w:color w:val="000000"/>
                <w:sz w:val="20"/>
                <w:szCs w:val="20"/>
              </w:rPr>
              <w:t> </w:t>
            </w:r>
          </w:p>
        </w:tc>
        <w:tc>
          <w:tcPr>
            <w:tcW w:w="0" w:type="auto"/>
            <w:tcBorders>
              <w:top w:val="single" w:sz="4" w:space="0" w:color="000000"/>
            </w:tcBorders>
            <w:shd w:val="clear" w:color="auto" w:fill="DBDBDB"/>
            <w:tcMar>
              <w:top w:w="30" w:type="dxa"/>
              <w:left w:w="0" w:type="dxa"/>
              <w:bottom w:w="30" w:type="dxa"/>
              <w:right w:w="20" w:type="dxa"/>
            </w:tcMar>
            <w:vAlign w:val="center"/>
            <w:hideMark/>
          </w:tcPr>
          <w:p w:rsidR="00000000" w:rsidRDefault="001F1FC8">
            <w:pPr>
              <w:jc w:val="right"/>
              <w:rPr>
                <w:rFonts w:eastAsia="Times New Roman"/>
              </w:rPr>
            </w:pPr>
          </w:p>
        </w:tc>
      </w:tr>
      <w:tr w:rsidR="00000000">
        <w:trPr>
          <w:jc w:val="center"/>
        </w:trPr>
        <w:tc>
          <w:tcPr>
            <w:tcW w:w="0" w:type="auto"/>
            <w:gridSpan w:val="3"/>
            <w:tcMar>
              <w:top w:w="30" w:type="dxa"/>
              <w:left w:w="20" w:type="dxa"/>
              <w:bottom w:w="30" w:type="dxa"/>
              <w:right w:w="20" w:type="dxa"/>
            </w:tcMar>
            <w:vAlign w:val="center"/>
            <w:hideMark/>
          </w:tcPr>
          <w:p w:rsidR="00000000" w:rsidRDefault="001F1FC8">
            <w:pPr>
              <w:rPr>
                <w:rFonts w:eastAsia="Times New Roman"/>
              </w:rPr>
            </w:pPr>
            <w:r>
              <w:rPr>
                <w:rFonts w:ascii="Arial" w:eastAsia="Times New Roman" w:hAnsi="Arial" w:cs="Arial"/>
                <w:color w:val="000000"/>
                <w:sz w:val="20"/>
                <w:szCs w:val="20"/>
              </w:rPr>
              <w:t>Less imputed interest</w:t>
            </w:r>
          </w:p>
        </w:tc>
        <w:tc>
          <w:tcPr>
            <w:tcW w:w="0" w:type="auto"/>
            <w:gridSpan w:val="2"/>
            <w:shd w:val="clear" w:color="auto" w:fill="DBDBDB"/>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b/>
                <w:bCs/>
                <w:color w:val="000000"/>
                <w:sz w:val="20"/>
                <w:szCs w:val="20"/>
              </w:rPr>
              <w:t>(213)</w:t>
            </w:r>
          </w:p>
        </w:tc>
        <w:tc>
          <w:tcPr>
            <w:tcW w:w="0" w:type="auto"/>
            <w:shd w:val="clear" w:color="auto" w:fill="DBDBDB"/>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shd w:val="clear" w:color="auto" w:fill="DBDBDB"/>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b/>
                <w:bCs/>
                <w:color w:val="000000"/>
                <w:sz w:val="20"/>
                <w:szCs w:val="20"/>
              </w:rPr>
              <w:t>(5)</w:t>
            </w:r>
          </w:p>
        </w:tc>
        <w:tc>
          <w:tcPr>
            <w:tcW w:w="0" w:type="auto"/>
            <w:shd w:val="clear" w:color="auto" w:fill="DBDBDB"/>
            <w:tcMar>
              <w:top w:w="30" w:type="dxa"/>
              <w:left w:w="0" w:type="dxa"/>
              <w:bottom w:w="30" w:type="dxa"/>
              <w:right w:w="20" w:type="dxa"/>
            </w:tcMar>
            <w:vAlign w:val="center"/>
            <w:hideMark/>
          </w:tcPr>
          <w:p w:rsidR="00000000" w:rsidRDefault="001F1FC8">
            <w:pPr>
              <w:jc w:val="right"/>
              <w:rPr>
                <w:rFonts w:eastAsia="Times New Roman"/>
              </w:rPr>
            </w:pPr>
          </w:p>
        </w:tc>
      </w:tr>
      <w:tr w:rsidR="00000000">
        <w:trPr>
          <w:jc w:val="center"/>
        </w:trPr>
        <w:tc>
          <w:tcPr>
            <w:tcW w:w="0" w:type="auto"/>
            <w:gridSpan w:val="3"/>
            <w:tcBorders>
              <w:top w:val="single" w:sz="4" w:space="0" w:color="000000"/>
              <w:bottom w:val="single" w:sz="8" w:space="0" w:color="000000"/>
            </w:tcBorders>
            <w:tcMar>
              <w:top w:w="30" w:type="dxa"/>
              <w:left w:w="20" w:type="dxa"/>
              <w:bottom w:w="30" w:type="dxa"/>
              <w:right w:w="20" w:type="dxa"/>
            </w:tcMar>
            <w:vAlign w:val="center"/>
            <w:hideMark/>
          </w:tcPr>
          <w:p w:rsidR="00000000" w:rsidRDefault="001F1FC8">
            <w:pPr>
              <w:rPr>
                <w:rFonts w:eastAsia="Times New Roman"/>
              </w:rPr>
            </w:pPr>
            <w:r>
              <w:rPr>
                <w:rFonts w:ascii="Arial" w:eastAsia="Times New Roman" w:hAnsi="Arial" w:cs="Arial"/>
                <w:color w:val="000000"/>
                <w:sz w:val="20"/>
                <w:szCs w:val="20"/>
              </w:rPr>
              <w:t xml:space="preserve">Total </w:t>
            </w:r>
          </w:p>
        </w:tc>
        <w:tc>
          <w:tcPr>
            <w:tcW w:w="0" w:type="auto"/>
            <w:gridSpan w:val="2"/>
            <w:tcBorders>
              <w:top w:val="single" w:sz="4" w:space="0" w:color="000000"/>
              <w:bottom w:val="single" w:sz="8" w:space="0" w:color="000000"/>
            </w:tcBorders>
            <w:shd w:val="clear" w:color="auto" w:fill="DBDBDB"/>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b/>
                <w:bCs/>
                <w:color w:val="000000"/>
                <w:sz w:val="20"/>
                <w:szCs w:val="20"/>
              </w:rPr>
              <w:t>704</w:t>
            </w:r>
            <w:r>
              <w:rPr>
                <w:rFonts w:ascii="Arial" w:eastAsia="Times New Roman" w:hAnsi="Arial" w:cs="Arial"/>
                <w:color w:val="000000"/>
                <w:sz w:val="20"/>
                <w:szCs w:val="20"/>
              </w:rPr>
              <w:t> </w:t>
            </w:r>
          </w:p>
        </w:tc>
        <w:tc>
          <w:tcPr>
            <w:tcW w:w="0" w:type="auto"/>
            <w:tcBorders>
              <w:top w:val="single" w:sz="4" w:space="0" w:color="000000"/>
              <w:bottom w:val="single" w:sz="8" w:space="0" w:color="000000"/>
            </w:tcBorders>
            <w:shd w:val="clear" w:color="auto" w:fill="DBDBDB"/>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Borders>
              <w:top w:val="single" w:sz="4" w:space="0" w:color="000000"/>
              <w:bottom w:val="single" w:sz="8" w:space="0" w:color="000000"/>
            </w:tcBorders>
            <w:shd w:val="clear" w:color="auto" w:fill="DBDBDB"/>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b/>
                <w:bCs/>
                <w:color w:val="000000"/>
                <w:sz w:val="20"/>
                <w:szCs w:val="20"/>
              </w:rPr>
              <w:t>46</w:t>
            </w:r>
            <w:r>
              <w:rPr>
                <w:rFonts w:ascii="Arial" w:eastAsia="Times New Roman" w:hAnsi="Arial" w:cs="Arial"/>
                <w:color w:val="000000"/>
                <w:sz w:val="20"/>
                <w:szCs w:val="20"/>
              </w:rPr>
              <w:t> </w:t>
            </w:r>
          </w:p>
        </w:tc>
        <w:tc>
          <w:tcPr>
            <w:tcW w:w="0" w:type="auto"/>
            <w:tcBorders>
              <w:top w:val="single" w:sz="4" w:space="0" w:color="000000"/>
              <w:bottom w:val="single" w:sz="8" w:space="0" w:color="000000"/>
            </w:tcBorders>
            <w:shd w:val="clear" w:color="auto" w:fill="DBDBDB"/>
            <w:tcMar>
              <w:top w:w="30" w:type="dxa"/>
              <w:left w:w="0" w:type="dxa"/>
              <w:bottom w:w="30" w:type="dxa"/>
              <w:right w:w="20" w:type="dxa"/>
            </w:tcMar>
            <w:vAlign w:val="center"/>
            <w:hideMark/>
          </w:tcPr>
          <w:p w:rsidR="00000000" w:rsidRDefault="001F1FC8">
            <w:pPr>
              <w:jc w:val="right"/>
              <w:rPr>
                <w:rFonts w:eastAsia="Times New Roman"/>
              </w:rPr>
            </w:pPr>
          </w:p>
        </w:tc>
      </w:tr>
    </w:tbl>
    <w:p w:rsidR="00000000" w:rsidRDefault="001F1FC8">
      <w:pPr>
        <w:divId w:val="1106461799"/>
        <w:rPr>
          <w:rFonts w:eastAsia="Times New Roman"/>
        </w:rPr>
      </w:pPr>
    </w:p>
    <w:p w:rsidR="00000000" w:rsidRDefault="001F1FC8">
      <w:pPr>
        <w:jc w:val="center"/>
        <w:divId w:val="1366905178"/>
        <w:rPr>
          <w:rFonts w:eastAsia="Times New Roman"/>
        </w:rPr>
      </w:pPr>
      <w:r>
        <w:rPr>
          <w:rFonts w:ascii="Arial" w:eastAsia="Times New Roman" w:hAnsi="Arial" w:cs="Arial"/>
          <w:color w:val="000000"/>
          <w:sz w:val="20"/>
          <w:szCs w:val="20"/>
        </w:rPr>
        <w:t>174</w:t>
      </w:r>
    </w:p>
    <w:p w:rsidR="00000000" w:rsidRDefault="001F1FC8">
      <w:pPr>
        <w:rPr>
          <w:rFonts w:eastAsia="Times New Roman"/>
        </w:rPr>
      </w:pPr>
      <w:r>
        <w:rPr>
          <w:rFonts w:eastAsia="Times New Roman"/>
        </w:rPr>
        <w:pict>
          <v:rect id="_x0000_i1204" style="width:0;height:1.5pt" o:hralign="center" o:hrstd="t" o:hr="t" fillcolor="#a0a0a0" stroked="f"/>
        </w:pict>
      </w:r>
    </w:p>
    <w:p w:rsidR="00000000" w:rsidRDefault="001F1FC8">
      <w:pPr>
        <w:jc w:val="center"/>
        <w:divId w:val="1824155313"/>
        <w:rPr>
          <w:rFonts w:eastAsia="Times New Roman"/>
        </w:rPr>
      </w:pPr>
    </w:p>
    <w:p w:rsidR="00000000" w:rsidRDefault="001F1FC8">
      <w:pPr>
        <w:divId w:val="894774258"/>
        <w:rPr>
          <w:rFonts w:eastAsia="Times New Roman"/>
        </w:rPr>
      </w:pPr>
      <w:r>
        <w:rPr>
          <w:rFonts w:ascii="Arial" w:eastAsia="Times New Roman" w:hAnsi="Arial" w:cs="Arial"/>
          <w:b/>
          <w:bCs/>
          <w:color w:val="000000"/>
          <w:sz w:val="20"/>
          <w:szCs w:val="20"/>
        </w:rPr>
        <w:t>LESSOR</w:t>
      </w:r>
    </w:p>
    <w:p w:rsidR="00000000" w:rsidRDefault="001F1FC8">
      <w:pPr>
        <w:divId w:val="2118719411"/>
        <w:rPr>
          <w:rFonts w:eastAsia="Times New Roman"/>
        </w:rPr>
      </w:pPr>
      <w:r>
        <w:rPr>
          <w:rFonts w:ascii="Arial" w:eastAsia="Times New Roman" w:hAnsi="Arial" w:cs="Arial"/>
          <w:color w:val="000000"/>
          <w:sz w:val="20"/>
          <w:szCs w:val="20"/>
        </w:rPr>
        <w:t xml:space="preserve">We receive revenues from operating leases primarily related to natural gas and crude oil storage and processing facilities, rail cars, and wind power generation assets. Our operating leases have remaining lease </w:t>
      </w:r>
      <w:r>
        <w:rPr>
          <w:rFonts w:ascii="Arial" w:eastAsia="Times New Roman" w:hAnsi="Arial" w:cs="Arial"/>
          <w:color w:val="000000"/>
          <w:sz w:val="20"/>
          <w:szCs w:val="20"/>
        </w:rPr>
        <w:t>terms of 1 month to 30 years as at December 31, 2021.</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5539"/>
        <w:gridCol w:w="36"/>
        <w:gridCol w:w="69"/>
        <w:gridCol w:w="1225"/>
        <w:gridCol w:w="36"/>
        <w:gridCol w:w="70"/>
        <w:gridCol w:w="1226"/>
        <w:gridCol w:w="36"/>
      </w:tblGrid>
      <w:tr w:rsidR="00000000">
        <w:trPr>
          <w:divId w:val="1770345944"/>
          <w:jc w:val="center"/>
        </w:trPr>
        <w:tc>
          <w:tcPr>
            <w:tcW w:w="50" w:type="pct"/>
            <w:vAlign w:val="center"/>
            <w:hideMark/>
          </w:tcPr>
          <w:p w:rsidR="00000000" w:rsidRDefault="001F1FC8">
            <w:pPr>
              <w:rPr>
                <w:rFonts w:eastAsia="Times New Roman"/>
              </w:rPr>
            </w:pPr>
          </w:p>
        </w:tc>
        <w:tc>
          <w:tcPr>
            <w:tcW w:w="3342"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c>
          <w:tcPr>
            <w:tcW w:w="50" w:type="pct"/>
            <w:vAlign w:val="center"/>
            <w:hideMark/>
          </w:tcPr>
          <w:p w:rsidR="00000000" w:rsidRDefault="001F1FC8">
            <w:pPr>
              <w:rPr>
                <w:rFonts w:eastAsia="Times New Roman"/>
                <w:sz w:val="20"/>
                <w:szCs w:val="20"/>
              </w:rPr>
            </w:pPr>
          </w:p>
        </w:tc>
        <w:tc>
          <w:tcPr>
            <w:tcW w:w="746"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c>
          <w:tcPr>
            <w:tcW w:w="50" w:type="pct"/>
            <w:vAlign w:val="center"/>
            <w:hideMark/>
          </w:tcPr>
          <w:p w:rsidR="00000000" w:rsidRDefault="001F1FC8">
            <w:pPr>
              <w:rPr>
                <w:rFonts w:eastAsia="Times New Roman"/>
                <w:sz w:val="20"/>
                <w:szCs w:val="20"/>
              </w:rPr>
            </w:pPr>
          </w:p>
        </w:tc>
        <w:tc>
          <w:tcPr>
            <w:tcW w:w="746"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r>
      <w:tr w:rsidR="00000000">
        <w:trPr>
          <w:divId w:val="1770345944"/>
          <w:jc w:val="center"/>
        </w:trPr>
        <w:tc>
          <w:tcPr>
            <w:tcW w:w="0" w:type="auto"/>
            <w:gridSpan w:val="3"/>
            <w:tcMar>
              <w:top w:w="30" w:type="dxa"/>
              <w:left w:w="20" w:type="dxa"/>
              <w:bottom w:w="30" w:type="dxa"/>
              <w:right w:w="20" w:type="dxa"/>
            </w:tcMar>
            <w:vAlign w:val="center"/>
            <w:hideMark/>
          </w:tcPr>
          <w:p w:rsidR="00000000" w:rsidRDefault="001F1FC8">
            <w:pPr>
              <w:rPr>
                <w:rFonts w:eastAsia="Times New Roman"/>
              </w:rPr>
            </w:pPr>
            <w:r>
              <w:rPr>
                <w:rFonts w:ascii="Arial" w:eastAsia="Times New Roman" w:hAnsi="Arial" w:cs="Arial"/>
                <w:color w:val="000000"/>
                <w:sz w:val="20"/>
                <w:szCs w:val="20"/>
              </w:rPr>
              <w:t>Year ended December 31,</w:t>
            </w:r>
          </w:p>
        </w:tc>
        <w:tc>
          <w:tcPr>
            <w:tcW w:w="0" w:type="auto"/>
            <w:gridSpan w:val="3"/>
            <w:tcMar>
              <w:top w:w="30" w:type="dxa"/>
              <w:left w:w="20" w:type="dxa"/>
              <w:bottom w:w="30" w:type="dxa"/>
              <w:right w:w="20" w:type="dxa"/>
            </w:tcMar>
            <w:vAlign w:val="center"/>
            <w:hideMark/>
          </w:tcPr>
          <w:p w:rsidR="00000000" w:rsidRDefault="001F1FC8">
            <w:pPr>
              <w:jc w:val="right"/>
              <w:rPr>
                <w:rFonts w:eastAsia="Times New Roman"/>
              </w:rPr>
            </w:pPr>
            <w:r>
              <w:rPr>
                <w:rFonts w:ascii="Arial" w:eastAsia="Times New Roman" w:hAnsi="Arial" w:cs="Arial"/>
                <w:b/>
                <w:bCs/>
                <w:color w:val="000000"/>
                <w:sz w:val="20"/>
                <w:szCs w:val="20"/>
              </w:rPr>
              <w:t>2021</w:t>
            </w:r>
          </w:p>
        </w:tc>
        <w:tc>
          <w:tcPr>
            <w:tcW w:w="0" w:type="auto"/>
            <w:gridSpan w:val="3"/>
            <w:tcMar>
              <w:top w:w="30" w:type="dxa"/>
              <w:left w:w="20" w:type="dxa"/>
              <w:bottom w:w="30" w:type="dxa"/>
              <w:right w:w="20" w:type="dxa"/>
            </w:tcMar>
            <w:vAlign w:val="center"/>
            <w:hideMark/>
          </w:tcPr>
          <w:p w:rsidR="00000000" w:rsidRDefault="001F1FC8">
            <w:pPr>
              <w:jc w:val="right"/>
              <w:rPr>
                <w:rFonts w:eastAsia="Times New Roman"/>
              </w:rPr>
            </w:pPr>
            <w:r>
              <w:rPr>
                <w:rFonts w:ascii="Arial" w:eastAsia="Times New Roman" w:hAnsi="Arial" w:cs="Arial"/>
                <w:color w:val="000000"/>
                <w:sz w:val="20"/>
                <w:szCs w:val="20"/>
              </w:rPr>
              <w:t>2020</w:t>
            </w:r>
          </w:p>
        </w:tc>
      </w:tr>
      <w:tr w:rsidR="00000000">
        <w:trPr>
          <w:divId w:val="1770345944"/>
          <w:jc w:val="center"/>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1F1FC8">
            <w:pPr>
              <w:rPr>
                <w:rFonts w:eastAsia="Times New Roman"/>
              </w:rPr>
            </w:pPr>
            <w:r>
              <w:rPr>
                <w:rFonts w:ascii="Arial" w:eastAsia="Times New Roman" w:hAnsi="Arial" w:cs="Arial"/>
                <w:i/>
                <w:iCs/>
                <w:color w:val="000000"/>
                <w:sz w:val="16"/>
                <w:szCs w:val="16"/>
              </w:rPr>
              <w:t>(millions of Canadian dollars)</w:t>
            </w:r>
          </w:p>
        </w:tc>
        <w:tc>
          <w:tcPr>
            <w:tcW w:w="0" w:type="auto"/>
            <w:gridSpan w:val="3"/>
            <w:tcBorders>
              <w:top w:val="single" w:sz="4" w:space="0" w:color="000000"/>
            </w:tcBorders>
            <w:shd w:val="clear" w:color="auto" w:fill="D9D9D9"/>
            <w:tcMar>
              <w:top w:w="0" w:type="dxa"/>
              <w:left w:w="20" w:type="dxa"/>
              <w:bottom w:w="0" w:type="dxa"/>
              <w:right w:w="20" w:type="dxa"/>
            </w:tcMar>
            <w:vAlign w:val="center"/>
            <w:hideMark/>
          </w:tcPr>
          <w:p w:rsidR="00000000" w:rsidRDefault="001F1FC8">
            <w:pPr>
              <w:rPr>
                <w:rFonts w:eastAsia="Times New Roman"/>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1F1FC8">
            <w:pPr>
              <w:rPr>
                <w:rFonts w:eastAsia="Times New Roman"/>
                <w:sz w:val="20"/>
                <w:szCs w:val="20"/>
              </w:rPr>
            </w:pPr>
          </w:p>
        </w:tc>
      </w:tr>
      <w:tr w:rsidR="00000000">
        <w:trPr>
          <w:divId w:val="1770345944"/>
          <w:jc w:val="center"/>
        </w:trPr>
        <w:tc>
          <w:tcPr>
            <w:tcW w:w="0" w:type="auto"/>
            <w:gridSpan w:val="3"/>
            <w:tcMar>
              <w:top w:w="30" w:type="dxa"/>
              <w:left w:w="20" w:type="dxa"/>
              <w:bottom w:w="30" w:type="dxa"/>
              <w:right w:w="20" w:type="dxa"/>
            </w:tcMar>
            <w:vAlign w:val="center"/>
            <w:hideMark/>
          </w:tcPr>
          <w:p w:rsidR="00000000" w:rsidRDefault="001F1FC8">
            <w:pPr>
              <w:rPr>
                <w:rFonts w:eastAsia="Times New Roman"/>
              </w:rPr>
            </w:pPr>
            <w:r>
              <w:rPr>
                <w:rFonts w:ascii="Arial" w:eastAsia="Times New Roman" w:hAnsi="Arial" w:cs="Arial"/>
                <w:color w:val="000000"/>
                <w:sz w:val="20"/>
                <w:szCs w:val="20"/>
              </w:rPr>
              <w:t>Operating lease income</w:t>
            </w:r>
          </w:p>
        </w:tc>
        <w:tc>
          <w:tcPr>
            <w:tcW w:w="0" w:type="auto"/>
            <w:gridSpan w:val="2"/>
            <w:shd w:val="clear" w:color="auto" w:fill="D9D9D9"/>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b/>
                <w:bCs/>
                <w:color w:val="000000"/>
                <w:sz w:val="20"/>
                <w:szCs w:val="20"/>
              </w:rPr>
              <w:t>263</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20"/>
                <w:szCs w:val="20"/>
              </w:rPr>
              <w:t>265 </w:t>
            </w:r>
          </w:p>
        </w:tc>
        <w:tc>
          <w:tcPr>
            <w:tcW w:w="0" w:type="auto"/>
            <w:tcMar>
              <w:top w:w="30" w:type="dxa"/>
              <w:left w:w="0" w:type="dxa"/>
              <w:bottom w:w="30" w:type="dxa"/>
              <w:right w:w="20" w:type="dxa"/>
            </w:tcMar>
            <w:vAlign w:val="center"/>
            <w:hideMark/>
          </w:tcPr>
          <w:p w:rsidR="00000000" w:rsidRDefault="001F1FC8">
            <w:pPr>
              <w:jc w:val="right"/>
              <w:rPr>
                <w:rFonts w:eastAsia="Times New Roman"/>
              </w:rPr>
            </w:pPr>
          </w:p>
        </w:tc>
      </w:tr>
      <w:tr w:rsidR="00000000">
        <w:trPr>
          <w:divId w:val="1770345944"/>
          <w:jc w:val="center"/>
        </w:trPr>
        <w:tc>
          <w:tcPr>
            <w:tcW w:w="0" w:type="auto"/>
            <w:gridSpan w:val="3"/>
            <w:tcMar>
              <w:top w:w="30" w:type="dxa"/>
              <w:left w:w="20" w:type="dxa"/>
              <w:bottom w:w="30" w:type="dxa"/>
              <w:right w:w="20" w:type="dxa"/>
            </w:tcMar>
            <w:vAlign w:val="center"/>
            <w:hideMark/>
          </w:tcPr>
          <w:p w:rsidR="00000000" w:rsidRDefault="001F1FC8">
            <w:pPr>
              <w:rPr>
                <w:rFonts w:eastAsia="Times New Roman"/>
              </w:rPr>
            </w:pPr>
            <w:r>
              <w:rPr>
                <w:rFonts w:ascii="Arial" w:eastAsia="Times New Roman" w:hAnsi="Arial" w:cs="Arial"/>
                <w:color w:val="000000"/>
                <w:sz w:val="20"/>
                <w:szCs w:val="20"/>
              </w:rPr>
              <w:t>Variable lease income</w:t>
            </w:r>
          </w:p>
        </w:tc>
        <w:tc>
          <w:tcPr>
            <w:tcW w:w="0" w:type="auto"/>
            <w:gridSpan w:val="2"/>
            <w:shd w:val="clear" w:color="auto" w:fill="D9D9D9"/>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b/>
                <w:bCs/>
                <w:color w:val="000000"/>
                <w:sz w:val="20"/>
                <w:szCs w:val="20"/>
              </w:rPr>
              <w:t>333</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20"/>
                <w:szCs w:val="20"/>
              </w:rPr>
              <w:t>361 </w:t>
            </w:r>
          </w:p>
        </w:tc>
        <w:tc>
          <w:tcPr>
            <w:tcW w:w="0" w:type="auto"/>
            <w:tcMar>
              <w:top w:w="30" w:type="dxa"/>
              <w:left w:w="0" w:type="dxa"/>
              <w:bottom w:w="30" w:type="dxa"/>
              <w:right w:w="20" w:type="dxa"/>
            </w:tcMar>
            <w:vAlign w:val="center"/>
            <w:hideMark/>
          </w:tcPr>
          <w:p w:rsidR="00000000" w:rsidRDefault="001F1FC8">
            <w:pPr>
              <w:jc w:val="right"/>
              <w:rPr>
                <w:rFonts w:eastAsia="Times New Roman"/>
              </w:rPr>
            </w:pPr>
          </w:p>
        </w:tc>
      </w:tr>
      <w:tr w:rsidR="00000000">
        <w:trPr>
          <w:divId w:val="1770345944"/>
          <w:jc w:val="center"/>
        </w:trPr>
        <w:tc>
          <w:tcPr>
            <w:tcW w:w="0" w:type="auto"/>
            <w:gridSpan w:val="3"/>
            <w:tcBorders>
              <w:top w:val="single" w:sz="4" w:space="0" w:color="000000"/>
              <w:bottom w:val="single" w:sz="8" w:space="0" w:color="000000"/>
            </w:tcBorders>
            <w:tcMar>
              <w:top w:w="30" w:type="dxa"/>
              <w:left w:w="20" w:type="dxa"/>
              <w:bottom w:w="30" w:type="dxa"/>
              <w:right w:w="20" w:type="dxa"/>
            </w:tcMar>
            <w:vAlign w:val="center"/>
            <w:hideMark/>
          </w:tcPr>
          <w:p w:rsidR="00000000" w:rsidRDefault="001F1FC8">
            <w:pPr>
              <w:divId w:val="856697787"/>
              <w:rPr>
                <w:rFonts w:eastAsia="Times New Roman"/>
              </w:rPr>
            </w:pPr>
            <w:r>
              <w:rPr>
                <w:rFonts w:ascii="Arial" w:eastAsia="Times New Roman" w:hAnsi="Arial" w:cs="Arial"/>
                <w:color w:val="000000"/>
                <w:sz w:val="20"/>
                <w:szCs w:val="20"/>
              </w:rPr>
              <w:t>Total lease incom</w:t>
            </w:r>
            <w:r>
              <w:rPr>
                <w:rFonts w:ascii="Arial" w:eastAsia="Times New Roman" w:hAnsi="Arial" w:cs="Arial"/>
                <w:color w:val="000000"/>
                <w:sz w:val="20"/>
                <w:szCs w:val="20"/>
              </w:rPr>
              <w:t>e</w:t>
            </w:r>
            <w:r>
              <w:rPr>
                <w:rFonts w:ascii="Arial" w:eastAsia="Times New Roman" w:hAnsi="Arial" w:cs="Arial"/>
                <w:color w:val="000000"/>
                <w:sz w:val="10"/>
                <w:szCs w:val="10"/>
              </w:rPr>
              <w:t>1</w:t>
            </w:r>
          </w:p>
        </w:tc>
        <w:tc>
          <w:tcPr>
            <w:tcW w:w="0" w:type="auto"/>
            <w:gridSpan w:val="2"/>
            <w:tcBorders>
              <w:top w:val="single" w:sz="4" w:space="0" w:color="000000"/>
              <w:bottom w:val="single" w:sz="8" w:space="0" w:color="000000"/>
            </w:tcBorders>
            <w:shd w:val="clear" w:color="auto" w:fill="D9D9D9"/>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b/>
                <w:bCs/>
                <w:color w:val="000000"/>
                <w:sz w:val="20"/>
                <w:szCs w:val="20"/>
              </w:rPr>
              <w:t>596</w:t>
            </w:r>
            <w:r>
              <w:rPr>
                <w:rFonts w:ascii="Arial" w:eastAsia="Times New Roman" w:hAnsi="Arial" w:cs="Arial"/>
                <w:color w:val="000000"/>
                <w:sz w:val="20"/>
                <w:szCs w:val="20"/>
              </w:rPr>
              <w:t> </w:t>
            </w:r>
          </w:p>
        </w:tc>
        <w:tc>
          <w:tcPr>
            <w:tcW w:w="0" w:type="auto"/>
            <w:tcBorders>
              <w:top w:val="single" w:sz="4" w:space="0" w:color="000000"/>
              <w:bottom w:val="single" w:sz="8" w:space="0" w:color="000000"/>
            </w:tcBorders>
            <w:shd w:val="clear" w:color="auto" w:fill="D9D9D9"/>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Borders>
              <w:top w:val="single" w:sz="4" w:space="0" w:color="000000"/>
              <w:bottom w:val="single" w:sz="8" w:space="0" w:color="000000"/>
            </w:tcBorders>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20"/>
                <w:szCs w:val="20"/>
              </w:rPr>
              <w:t>626 </w:t>
            </w:r>
          </w:p>
        </w:tc>
        <w:tc>
          <w:tcPr>
            <w:tcW w:w="0" w:type="auto"/>
            <w:tcBorders>
              <w:top w:val="single" w:sz="4" w:space="0" w:color="000000"/>
              <w:bottom w:val="single" w:sz="8" w:space="0" w:color="000000"/>
            </w:tcBorders>
            <w:tcMar>
              <w:top w:w="30" w:type="dxa"/>
              <w:left w:w="0" w:type="dxa"/>
              <w:bottom w:w="30" w:type="dxa"/>
              <w:right w:w="20" w:type="dxa"/>
            </w:tcMar>
            <w:vAlign w:val="center"/>
            <w:hideMark/>
          </w:tcPr>
          <w:p w:rsidR="00000000" w:rsidRDefault="001F1FC8">
            <w:pPr>
              <w:jc w:val="right"/>
              <w:rPr>
                <w:rFonts w:eastAsia="Times New Roman"/>
              </w:rPr>
            </w:pPr>
          </w:p>
        </w:tc>
      </w:tr>
    </w:tbl>
    <w:p w:rsidR="00000000" w:rsidRDefault="001F1FC8">
      <w:pPr>
        <w:ind w:hanging="180"/>
        <w:divId w:val="1912423117"/>
        <w:rPr>
          <w:rFonts w:eastAsia="Times New Roman"/>
        </w:rPr>
      </w:pPr>
      <w:r>
        <w:rPr>
          <w:rFonts w:ascii="Arial" w:eastAsia="Times New Roman" w:hAnsi="Arial" w:cs="Arial"/>
          <w:i/>
          <w:iCs/>
          <w:color w:val="000000"/>
          <w:sz w:val="16"/>
          <w:szCs w:val="16"/>
        </w:rPr>
        <w:t>1</w:t>
      </w:r>
      <w:r>
        <w:rPr>
          <w:rFonts w:ascii="Arial" w:eastAsia="Times New Roman" w:hAnsi="Arial" w:cs="Arial"/>
          <w:i/>
          <w:iCs/>
          <w:color w:val="000000"/>
          <w:sz w:val="16"/>
          <w:szCs w:val="16"/>
        </w:rPr>
        <w:t>Lease income is recorded under Transportation and other services in the Consolidated Statements of Earnings.</w:t>
      </w:r>
    </w:p>
    <w:p w:rsidR="00000000" w:rsidRDefault="001F1FC8">
      <w:pPr>
        <w:divId w:val="1548759619"/>
        <w:rPr>
          <w:rFonts w:eastAsia="Times New Roman"/>
        </w:rPr>
      </w:pPr>
    </w:p>
    <w:p w:rsidR="00000000" w:rsidRDefault="001F1FC8">
      <w:pPr>
        <w:divId w:val="957640517"/>
        <w:rPr>
          <w:rFonts w:eastAsia="Times New Roman"/>
        </w:rPr>
      </w:pPr>
      <w:r>
        <w:rPr>
          <w:rFonts w:ascii="Arial" w:eastAsia="Times New Roman" w:hAnsi="Arial" w:cs="Arial"/>
          <w:color w:val="000000"/>
          <w:sz w:val="20"/>
          <w:szCs w:val="20"/>
        </w:rPr>
        <w:t>As at December 31, 2021, the following table sets out future lease payments to be received under operating lease contracts where we are the lesso</w:t>
      </w:r>
      <w:r>
        <w:rPr>
          <w:rFonts w:ascii="Arial" w:eastAsia="Times New Roman" w:hAnsi="Arial" w:cs="Arial"/>
          <w:color w:val="000000"/>
          <w:sz w:val="20"/>
          <w:szCs w:val="20"/>
        </w:rPr>
        <w:t>r:</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6431"/>
        <w:gridCol w:w="37"/>
        <w:gridCol w:w="69"/>
        <w:gridCol w:w="1664"/>
        <w:gridCol w:w="36"/>
      </w:tblGrid>
      <w:tr w:rsidR="00000000">
        <w:trPr>
          <w:jc w:val="center"/>
        </w:trPr>
        <w:tc>
          <w:tcPr>
            <w:tcW w:w="50" w:type="pct"/>
            <w:vAlign w:val="center"/>
            <w:hideMark/>
          </w:tcPr>
          <w:p w:rsidR="00000000" w:rsidRDefault="001F1FC8">
            <w:pPr>
              <w:rPr>
                <w:rFonts w:eastAsia="Times New Roman"/>
              </w:rPr>
            </w:pPr>
          </w:p>
        </w:tc>
        <w:tc>
          <w:tcPr>
            <w:tcW w:w="3879"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c>
          <w:tcPr>
            <w:tcW w:w="50" w:type="pct"/>
            <w:vAlign w:val="center"/>
            <w:hideMark/>
          </w:tcPr>
          <w:p w:rsidR="00000000" w:rsidRDefault="001F1FC8">
            <w:pPr>
              <w:rPr>
                <w:rFonts w:eastAsia="Times New Roman"/>
                <w:sz w:val="20"/>
                <w:szCs w:val="20"/>
              </w:rPr>
            </w:pPr>
          </w:p>
        </w:tc>
        <w:tc>
          <w:tcPr>
            <w:tcW w:w="1010"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1F1FC8">
            <w:pPr>
              <w:rPr>
                <w:rFonts w:eastAsia="Times New Roman"/>
                <w:sz w:val="20"/>
                <w:szCs w:val="20"/>
              </w:rPr>
            </w:pPr>
          </w:p>
        </w:tc>
        <w:tc>
          <w:tcPr>
            <w:tcW w:w="0" w:type="auto"/>
            <w:gridSpan w:val="3"/>
            <w:tcMar>
              <w:top w:w="30" w:type="dxa"/>
              <w:left w:w="20" w:type="dxa"/>
              <w:bottom w:w="30" w:type="dxa"/>
              <w:right w:w="20" w:type="dxa"/>
            </w:tcMar>
            <w:vAlign w:val="center"/>
            <w:hideMark/>
          </w:tcPr>
          <w:p w:rsidR="00000000" w:rsidRDefault="001F1FC8">
            <w:pPr>
              <w:jc w:val="right"/>
              <w:rPr>
                <w:rFonts w:eastAsia="Times New Roman"/>
              </w:rPr>
            </w:pPr>
            <w:r>
              <w:rPr>
                <w:rFonts w:ascii="Arial" w:eastAsia="Times New Roman" w:hAnsi="Arial" w:cs="Arial"/>
                <w:color w:val="000000"/>
                <w:sz w:val="20"/>
                <w:szCs w:val="20"/>
              </w:rPr>
              <w:t>Operating leases</w:t>
            </w:r>
          </w:p>
        </w:tc>
      </w:tr>
      <w:tr w:rsidR="00000000">
        <w:trPr>
          <w:jc w:val="center"/>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1F1FC8">
            <w:pPr>
              <w:rPr>
                <w:rFonts w:eastAsia="Times New Roman"/>
              </w:rPr>
            </w:pPr>
            <w:r>
              <w:rPr>
                <w:rFonts w:ascii="Arial" w:eastAsia="Times New Roman" w:hAnsi="Arial" w:cs="Arial"/>
                <w:i/>
                <w:iCs/>
                <w:color w:val="000000"/>
                <w:sz w:val="16"/>
                <w:szCs w:val="16"/>
              </w:rPr>
              <w:t>(millions of Canadian dollars)</w:t>
            </w:r>
          </w:p>
        </w:tc>
        <w:tc>
          <w:tcPr>
            <w:tcW w:w="0" w:type="auto"/>
            <w:gridSpan w:val="3"/>
            <w:tcBorders>
              <w:top w:val="single" w:sz="4" w:space="0" w:color="000000"/>
            </w:tcBorders>
            <w:shd w:val="clear" w:color="auto" w:fill="DBDBDB"/>
            <w:tcMar>
              <w:top w:w="0" w:type="dxa"/>
              <w:left w:w="20" w:type="dxa"/>
              <w:bottom w:w="0" w:type="dxa"/>
              <w:right w:w="20" w:type="dxa"/>
            </w:tcMar>
            <w:vAlign w:val="center"/>
            <w:hideMark/>
          </w:tcPr>
          <w:p w:rsidR="00000000" w:rsidRDefault="001F1FC8">
            <w:pPr>
              <w:rPr>
                <w:rFonts w:eastAsia="Times New Roman"/>
              </w:rPr>
            </w:pPr>
          </w:p>
        </w:tc>
      </w:tr>
      <w:tr w:rsidR="00000000">
        <w:trPr>
          <w:jc w:val="center"/>
        </w:trPr>
        <w:tc>
          <w:tcPr>
            <w:tcW w:w="0" w:type="auto"/>
            <w:gridSpan w:val="3"/>
            <w:tcMar>
              <w:top w:w="30" w:type="dxa"/>
              <w:left w:w="20" w:type="dxa"/>
              <w:bottom w:w="30" w:type="dxa"/>
              <w:right w:w="20" w:type="dxa"/>
            </w:tcMar>
            <w:vAlign w:val="center"/>
            <w:hideMark/>
          </w:tcPr>
          <w:p w:rsidR="00000000" w:rsidRDefault="001F1FC8">
            <w:pPr>
              <w:rPr>
                <w:rFonts w:eastAsia="Times New Roman"/>
              </w:rPr>
            </w:pPr>
            <w:r>
              <w:rPr>
                <w:rFonts w:ascii="Arial" w:eastAsia="Times New Roman" w:hAnsi="Arial" w:cs="Arial"/>
                <w:color w:val="000000"/>
                <w:sz w:val="20"/>
                <w:szCs w:val="20"/>
              </w:rPr>
              <w:t>2022</w:t>
            </w:r>
          </w:p>
        </w:tc>
        <w:tc>
          <w:tcPr>
            <w:tcW w:w="0" w:type="auto"/>
            <w:gridSpan w:val="2"/>
            <w:shd w:val="clear" w:color="auto" w:fill="DBDBDB"/>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b/>
                <w:bCs/>
                <w:color w:val="000000"/>
                <w:sz w:val="20"/>
                <w:szCs w:val="20"/>
              </w:rPr>
              <w:t>235</w:t>
            </w:r>
            <w:r>
              <w:rPr>
                <w:rFonts w:ascii="Arial" w:eastAsia="Times New Roman" w:hAnsi="Arial" w:cs="Arial"/>
                <w:color w:val="000000"/>
                <w:sz w:val="20"/>
                <w:szCs w:val="20"/>
              </w:rPr>
              <w:t> </w:t>
            </w:r>
          </w:p>
        </w:tc>
        <w:tc>
          <w:tcPr>
            <w:tcW w:w="0" w:type="auto"/>
            <w:shd w:val="clear" w:color="auto" w:fill="DBDBDB"/>
            <w:tcMar>
              <w:top w:w="30" w:type="dxa"/>
              <w:left w:w="0" w:type="dxa"/>
              <w:bottom w:w="30" w:type="dxa"/>
              <w:right w:w="20" w:type="dxa"/>
            </w:tcMar>
            <w:vAlign w:val="center"/>
            <w:hideMark/>
          </w:tcPr>
          <w:p w:rsidR="00000000" w:rsidRDefault="001F1FC8">
            <w:pPr>
              <w:jc w:val="right"/>
              <w:rPr>
                <w:rFonts w:eastAsia="Times New Roman"/>
              </w:rPr>
            </w:pPr>
          </w:p>
        </w:tc>
      </w:tr>
      <w:tr w:rsidR="00000000">
        <w:trPr>
          <w:jc w:val="center"/>
        </w:trPr>
        <w:tc>
          <w:tcPr>
            <w:tcW w:w="0" w:type="auto"/>
            <w:gridSpan w:val="3"/>
            <w:tcMar>
              <w:top w:w="30" w:type="dxa"/>
              <w:left w:w="20" w:type="dxa"/>
              <w:bottom w:w="30" w:type="dxa"/>
              <w:right w:w="20" w:type="dxa"/>
            </w:tcMar>
            <w:vAlign w:val="center"/>
            <w:hideMark/>
          </w:tcPr>
          <w:p w:rsidR="00000000" w:rsidRDefault="001F1FC8">
            <w:pPr>
              <w:rPr>
                <w:rFonts w:eastAsia="Times New Roman"/>
              </w:rPr>
            </w:pPr>
            <w:r>
              <w:rPr>
                <w:rFonts w:ascii="Arial" w:eastAsia="Times New Roman" w:hAnsi="Arial" w:cs="Arial"/>
                <w:color w:val="000000"/>
                <w:sz w:val="20"/>
                <w:szCs w:val="20"/>
              </w:rPr>
              <w:t>2023</w:t>
            </w:r>
          </w:p>
        </w:tc>
        <w:tc>
          <w:tcPr>
            <w:tcW w:w="0" w:type="auto"/>
            <w:gridSpan w:val="2"/>
            <w:shd w:val="clear" w:color="auto" w:fill="DBDBDB"/>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b/>
                <w:bCs/>
                <w:color w:val="000000"/>
                <w:sz w:val="20"/>
                <w:szCs w:val="20"/>
              </w:rPr>
              <w:t>215</w:t>
            </w:r>
            <w:r>
              <w:rPr>
                <w:rFonts w:ascii="Arial" w:eastAsia="Times New Roman" w:hAnsi="Arial" w:cs="Arial"/>
                <w:color w:val="000000"/>
                <w:sz w:val="20"/>
                <w:szCs w:val="20"/>
              </w:rPr>
              <w:t> </w:t>
            </w:r>
          </w:p>
        </w:tc>
        <w:tc>
          <w:tcPr>
            <w:tcW w:w="0" w:type="auto"/>
            <w:shd w:val="clear" w:color="auto" w:fill="DBDBDB"/>
            <w:tcMar>
              <w:top w:w="30" w:type="dxa"/>
              <w:left w:w="0" w:type="dxa"/>
              <w:bottom w:w="30" w:type="dxa"/>
              <w:right w:w="20" w:type="dxa"/>
            </w:tcMar>
            <w:vAlign w:val="center"/>
            <w:hideMark/>
          </w:tcPr>
          <w:p w:rsidR="00000000" w:rsidRDefault="001F1FC8">
            <w:pPr>
              <w:jc w:val="right"/>
              <w:rPr>
                <w:rFonts w:eastAsia="Times New Roman"/>
              </w:rPr>
            </w:pPr>
          </w:p>
        </w:tc>
      </w:tr>
      <w:tr w:rsidR="00000000">
        <w:trPr>
          <w:jc w:val="center"/>
        </w:trPr>
        <w:tc>
          <w:tcPr>
            <w:tcW w:w="0" w:type="auto"/>
            <w:gridSpan w:val="3"/>
            <w:tcMar>
              <w:top w:w="30" w:type="dxa"/>
              <w:left w:w="20" w:type="dxa"/>
              <w:bottom w:w="30" w:type="dxa"/>
              <w:right w:w="20" w:type="dxa"/>
            </w:tcMar>
            <w:vAlign w:val="center"/>
            <w:hideMark/>
          </w:tcPr>
          <w:p w:rsidR="00000000" w:rsidRDefault="001F1FC8">
            <w:pPr>
              <w:rPr>
                <w:rFonts w:eastAsia="Times New Roman"/>
              </w:rPr>
            </w:pPr>
            <w:r>
              <w:rPr>
                <w:rFonts w:ascii="Arial" w:eastAsia="Times New Roman" w:hAnsi="Arial" w:cs="Arial"/>
                <w:color w:val="000000"/>
                <w:sz w:val="20"/>
                <w:szCs w:val="20"/>
              </w:rPr>
              <w:t>2024</w:t>
            </w:r>
          </w:p>
        </w:tc>
        <w:tc>
          <w:tcPr>
            <w:tcW w:w="0" w:type="auto"/>
            <w:gridSpan w:val="2"/>
            <w:shd w:val="clear" w:color="auto" w:fill="DBDBDB"/>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b/>
                <w:bCs/>
                <w:color w:val="000000"/>
                <w:sz w:val="20"/>
                <w:szCs w:val="20"/>
              </w:rPr>
              <w:t>205</w:t>
            </w:r>
            <w:r>
              <w:rPr>
                <w:rFonts w:ascii="Arial" w:eastAsia="Times New Roman" w:hAnsi="Arial" w:cs="Arial"/>
                <w:color w:val="000000"/>
                <w:sz w:val="20"/>
                <w:szCs w:val="20"/>
              </w:rPr>
              <w:t> </w:t>
            </w:r>
          </w:p>
        </w:tc>
        <w:tc>
          <w:tcPr>
            <w:tcW w:w="0" w:type="auto"/>
            <w:shd w:val="clear" w:color="auto" w:fill="DBDBDB"/>
            <w:tcMar>
              <w:top w:w="30" w:type="dxa"/>
              <w:left w:w="0" w:type="dxa"/>
              <w:bottom w:w="30" w:type="dxa"/>
              <w:right w:w="20" w:type="dxa"/>
            </w:tcMar>
            <w:vAlign w:val="center"/>
            <w:hideMark/>
          </w:tcPr>
          <w:p w:rsidR="00000000" w:rsidRDefault="001F1FC8">
            <w:pPr>
              <w:jc w:val="right"/>
              <w:rPr>
                <w:rFonts w:eastAsia="Times New Roman"/>
              </w:rPr>
            </w:pPr>
          </w:p>
        </w:tc>
      </w:tr>
      <w:tr w:rsidR="00000000">
        <w:trPr>
          <w:jc w:val="center"/>
        </w:trPr>
        <w:tc>
          <w:tcPr>
            <w:tcW w:w="0" w:type="auto"/>
            <w:gridSpan w:val="3"/>
            <w:tcMar>
              <w:top w:w="30" w:type="dxa"/>
              <w:left w:w="20" w:type="dxa"/>
              <w:bottom w:w="30" w:type="dxa"/>
              <w:right w:w="20" w:type="dxa"/>
            </w:tcMar>
            <w:vAlign w:val="center"/>
            <w:hideMark/>
          </w:tcPr>
          <w:p w:rsidR="00000000" w:rsidRDefault="001F1FC8">
            <w:pPr>
              <w:rPr>
                <w:rFonts w:eastAsia="Times New Roman"/>
              </w:rPr>
            </w:pPr>
            <w:r>
              <w:rPr>
                <w:rFonts w:ascii="Arial" w:eastAsia="Times New Roman" w:hAnsi="Arial" w:cs="Arial"/>
                <w:color w:val="000000"/>
                <w:sz w:val="20"/>
                <w:szCs w:val="20"/>
              </w:rPr>
              <w:t>2025</w:t>
            </w:r>
          </w:p>
        </w:tc>
        <w:tc>
          <w:tcPr>
            <w:tcW w:w="0" w:type="auto"/>
            <w:gridSpan w:val="2"/>
            <w:shd w:val="clear" w:color="auto" w:fill="DBDBDB"/>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b/>
                <w:bCs/>
                <w:color w:val="000000"/>
                <w:sz w:val="20"/>
                <w:szCs w:val="20"/>
              </w:rPr>
              <w:t>196</w:t>
            </w:r>
            <w:r>
              <w:rPr>
                <w:rFonts w:ascii="Arial" w:eastAsia="Times New Roman" w:hAnsi="Arial" w:cs="Arial"/>
                <w:color w:val="000000"/>
                <w:sz w:val="20"/>
                <w:szCs w:val="20"/>
              </w:rPr>
              <w:t> </w:t>
            </w:r>
          </w:p>
        </w:tc>
        <w:tc>
          <w:tcPr>
            <w:tcW w:w="0" w:type="auto"/>
            <w:shd w:val="clear" w:color="auto" w:fill="DBDBDB"/>
            <w:tcMar>
              <w:top w:w="30" w:type="dxa"/>
              <w:left w:w="0" w:type="dxa"/>
              <w:bottom w:w="30" w:type="dxa"/>
              <w:right w:w="20" w:type="dxa"/>
            </w:tcMar>
            <w:vAlign w:val="center"/>
            <w:hideMark/>
          </w:tcPr>
          <w:p w:rsidR="00000000" w:rsidRDefault="001F1FC8">
            <w:pPr>
              <w:jc w:val="right"/>
              <w:rPr>
                <w:rFonts w:eastAsia="Times New Roman"/>
              </w:rPr>
            </w:pPr>
          </w:p>
        </w:tc>
      </w:tr>
      <w:tr w:rsidR="00000000">
        <w:trPr>
          <w:jc w:val="center"/>
        </w:trPr>
        <w:tc>
          <w:tcPr>
            <w:tcW w:w="0" w:type="auto"/>
            <w:gridSpan w:val="3"/>
            <w:tcMar>
              <w:top w:w="30" w:type="dxa"/>
              <w:left w:w="20" w:type="dxa"/>
              <w:bottom w:w="30" w:type="dxa"/>
              <w:right w:w="20" w:type="dxa"/>
            </w:tcMar>
            <w:vAlign w:val="center"/>
            <w:hideMark/>
          </w:tcPr>
          <w:p w:rsidR="00000000" w:rsidRDefault="001F1FC8">
            <w:pPr>
              <w:rPr>
                <w:rFonts w:eastAsia="Times New Roman"/>
              </w:rPr>
            </w:pPr>
            <w:r>
              <w:rPr>
                <w:rFonts w:ascii="Arial" w:eastAsia="Times New Roman" w:hAnsi="Arial" w:cs="Arial"/>
                <w:color w:val="000000"/>
                <w:sz w:val="20"/>
                <w:szCs w:val="20"/>
              </w:rPr>
              <w:t>2026</w:t>
            </w:r>
          </w:p>
        </w:tc>
        <w:tc>
          <w:tcPr>
            <w:tcW w:w="0" w:type="auto"/>
            <w:gridSpan w:val="2"/>
            <w:shd w:val="clear" w:color="auto" w:fill="DBDBDB"/>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b/>
                <w:bCs/>
                <w:color w:val="000000"/>
                <w:sz w:val="20"/>
                <w:szCs w:val="20"/>
              </w:rPr>
              <w:t>191</w:t>
            </w:r>
            <w:r>
              <w:rPr>
                <w:rFonts w:ascii="Arial" w:eastAsia="Times New Roman" w:hAnsi="Arial" w:cs="Arial"/>
                <w:color w:val="000000"/>
                <w:sz w:val="20"/>
                <w:szCs w:val="20"/>
              </w:rPr>
              <w:t> </w:t>
            </w:r>
          </w:p>
        </w:tc>
        <w:tc>
          <w:tcPr>
            <w:tcW w:w="0" w:type="auto"/>
            <w:shd w:val="clear" w:color="auto" w:fill="DBDBDB"/>
            <w:tcMar>
              <w:top w:w="30" w:type="dxa"/>
              <w:left w:w="0" w:type="dxa"/>
              <w:bottom w:w="30" w:type="dxa"/>
              <w:right w:w="20" w:type="dxa"/>
            </w:tcMar>
            <w:vAlign w:val="center"/>
            <w:hideMark/>
          </w:tcPr>
          <w:p w:rsidR="00000000" w:rsidRDefault="001F1FC8">
            <w:pPr>
              <w:jc w:val="right"/>
              <w:rPr>
                <w:rFonts w:eastAsia="Times New Roman"/>
              </w:rPr>
            </w:pPr>
          </w:p>
        </w:tc>
      </w:tr>
      <w:tr w:rsidR="00000000">
        <w:trPr>
          <w:jc w:val="center"/>
        </w:trPr>
        <w:tc>
          <w:tcPr>
            <w:tcW w:w="0" w:type="auto"/>
            <w:gridSpan w:val="3"/>
            <w:tcMar>
              <w:top w:w="30" w:type="dxa"/>
              <w:left w:w="20" w:type="dxa"/>
              <w:bottom w:w="30" w:type="dxa"/>
              <w:right w:w="20" w:type="dxa"/>
            </w:tcMar>
            <w:vAlign w:val="center"/>
            <w:hideMark/>
          </w:tcPr>
          <w:p w:rsidR="00000000" w:rsidRDefault="001F1FC8">
            <w:pPr>
              <w:rPr>
                <w:rFonts w:eastAsia="Times New Roman"/>
              </w:rPr>
            </w:pPr>
            <w:r>
              <w:rPr>
                <w:rFonts w:ascii="Arial" w:eastAsia="Times New Roman" w:hAnsi="Arial" w:cs="Arial"/>
                <w:color w:val="000000"/>
                <w:sz w:val="20"/>
                <w:szCs w:val="20"/>
              </w:rPr>
              <w:t>Thereafter</w:t>
            </w:r>
          </w:p>
        </w:tc>
        <w:tc>
          <w:tcPr>
            <w:tcW w:w="0" w:type="auto"/>
            <w:gridSpan w:val="2"/>
            <w:shd w:val="clear" w:color="auto" w:fill="DBDBDB"/>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b/>
                <w:bCs/>
                <w:color w:val="000000"/>
                <w:sz w:val="20"/>
                <w:szCs w:val="20"/>
              </w:rPr>
              <w:t>1,938</w:t>
            </w:r>
            <w:r>
              <w:rPr>
                <w:rFonts w:ascii="Arial" w:eastAsia="Times New Roman" w:hAnsi="Arial" w:cs="Arial"/>
                <w:color w:val="000000"/>
                <w:sz w:val="20"/>
                <w:szCs w:val="20"/>
              </w:rPr>
              <w:t> </w:t>
            </w:r>
          </w:p>
        </w:tc>
        <w:tc>
          <w:tcPr>
            <w:tcW w:w="0" w:type="auto"/>
            <w:shd w:val="clear" w:color="auto" w:fill="DBDBDB"/>
            <w:tcMar>
              <w:top w:w="30" w:type="dxa"/>
              <w:left w:w="0" w:type="dxa"/>
              <w:bottom w:w="30" w:type="dxa"/>
              <w:right w:w="20" w:type="dxa"/>
            </w:tcMar>
            <w:vAlign w:val="center"/>
            <w:hideMark/>
          </w:tcPr>
          <w:p w:rsidR="00000000" w:rsidRDefault="001F1FC8">
            <w:pPr>
              <w:jc w:val="right"/>
              <w:rPr>
                <w:rFonts w:eastAsia="Times New Roman"/>
              </w:rPr>
            </w:pPr>
          </w:p>
        </w:tc>
      </w:tr>
      <w:tr w:rsidR="00000000">
        <w:trPr>
          <w:jc w:val="center"/>
        </w:trPr>
        <w:tc>
          <w:tcPr>
            <w:tcW w:w="0" w:type="auto"/>
            <w:gridSpan w:val="3"/>
            <w:tcBorders>
              <w:top w:val="single" w:sz="4" w:space="0" w:color="000000"/>
              <w:bottom w:val="single" w:sz="8" w:space="0" w:color="000000"/>
            </w:tcBorders>
            <w:tcMar>
              <w:top w:w="30" w:type="dxa"/>
              <w:left w:w="20" w:type="dxa"/>
              <w:bottom w:w="30" w:type="dxa"/>
              <w:right w:w="20" w:type="dxa"/>
            </w:tcMar>
            <w:vAlign w:val="center"/>
            <w:hideMark/>
          </w:tcPr>
          <w:p w:rsidR="00000000" w:rsidRDefault="001F1FC8">
            <w:pPr>
              <w:rPr>
                <w:rFonts w:eastAsia="Times New Roman"/>
              </w:rPr>
            </w:pPr>
            <w:r>
              <w:rPr>
                <w:rFonts w:ascii="Arial" w:eastAsia="Times New Roman" w:hAnsi="Arial" w:cs="Arial"/>
                <w:color w:val="000000"/>
                <w:sz w:val="20"/>
                <w:szCs w:val="20"/>
              </w:rPr>
              <w:t>Future lease payments</w:t>
            </w:r>
          </w:p>
        </w:tc>
        <w:tc>
          <w:tcPr>
            <w:tcW w:w="0" w:type="auto"/>
            <w:gridSpan w:val="2"/>
            <w:tcBorders>
              <w:top w:val="single" w:sz="4" w:space="0" w:color="000000"/>
              <w:bottom w:val="single" w:sz="8" w:space="0" w:color="000000"/>
            </w:tcBorders>
            <w:shd w:val="clear" w:color="auto" w:fill="DBDBDB"/>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b/>
                <w:bCs/>
                <w:color w:val="000000"/>
                <w:sz w:val="20"/>
                <w:szCs w:val="20"/>
              </w:rPr>
              <w:t>2,980</w:t>
            </w:r>
            <w:r>
              <w:rPr>
                <w:rFonts w:ascii="Arial" w:eastAsia="Times New Roman" w:hAnsi="Arial" w:cs="Arial"/>
                <w:color w:val="000000"/>
                <w:sz w:val="20"/>
                <w:szCs w:val="20"/>
              </w:rPr>
              <w:t> </w:t>
            </w:r>
          </w:p>
        </w:tc>
        <w:tc>
          <w:tcPr>
            <w:tcW w:w="0" w:type="auto"/>
            <w:tcBorders>
              <w:top w:val="single" w:sz="4" w:space="0" w:color="000000"/>
              <w:bottom w:val="single" w:sz="8" w:space="0" w:color="000000"/>
            </w:tcBorders>
            <w:shd w:val="clear" w:color="auto" w:fill="DBDBDB"/>
            <w:tcMar>
              <w:top w:w="30" w:type="dxa"/>
              <w:left w:w="0" w:type="dxa"/>
              <w:bottom w:w="30" w:type="dxa"/>
              <w:right w:w="20" w:type="dxa"/>
            </w:tcMar>
            <w:vAlign w:val="center"/>
            <w:hideMark/>
          </w:tcPr>
          <w:p w:rsidR="00000000" w:rsidRDefault="001F1FC8">
            <w:pPr>
              <w:jc w:val="right"/>
              <w:rPr>
                <w:rFonts w:eastAsia="Times New Roman"/>
              </w:rPr>
            </w:pPr>
          </w:p>
        </w:tc>
      </w:tr>
    </w:tbl>
    <w:p w:rsidR="00000000" w:rsidRDefault="001F1FC8">
      <w:pPr>
        <w:divId w:val="1631401018"/>
        <w:rPr>
          <w:rFonts w:eastAsia="Times New Roman"/>
        </w:rPr>
      </w:pPr>
    </w:p>
    <w:p w:rsidR="00000000" w:rsidRDefault="001F1FC8">
      <w:pPr>
        <w:divId w:val="702708417"/>
        <w:rPr>
          <w:rFonts w:eastAsia="Times New Roman"/>
        </w:rPr>
      </w:pPr>
      <w:r>
        <w:rPr>
          <w:rFonts w:ascii="Arial" w:eastAsia="Times New Roman" w:hAnsi="Arial" w:cs="Arial"/>
          <w:b/>
          <w:bCs/>
          <w:color w:val="000000"/>
          <w:sz w:val="26"/>
          <w:szCs w:val="26"/>
        </w:rPr>
        <w:t xml:space="preserve">28. </w:t>
      </w:r>
      <w:r>
        <w:rPr>
          <w:rFonts w:ascii="Arial" w:eastAsia="Times New Roman" w:hAnsi="Arial" w:cs="Arial"/>
          <w:b/>
          <w:bCs/>
          <w:color w:val="000000"/>
          <w:sz w:val="26"/>
          <w:szCs w:val="26"/>
        </w:rPr>
        <w:t>CHANGES IN OPERATING ASSETS AND LIABILITIES</w:t>
      </w:r>
    </w:p>
    <w:p w:rsidR="00000000" w:rsidRDefault="001F1FC8">
      <w:pPr>
        <w:divId w:val="1811556023"/>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5446"/>
        <w:gridCol w:w="36"/>
        <w:gridCol w:w="69"/>
        <w:gridCol w:w="812"/>
        <w:gridCol w:w="36"/>
        <w:gridCol w:w="69"/>
        <w:gridCol w:w="813"/>
        <w:gridCol w:w="36"/>
        <w:gridCol w:w="70"/>
        <w:gridCol w:w="814"/>
        <w:gridCol w:w="36"/>
      </w:tblGrid>
      <w:tr w:rsidR="00000000">
        <w:trPr>
          <w:divId w:val="1558324126"/>
        </w:trPr>
        <w:tc>
          <w:tcPr>
            <w:tcW w:w="50" w:type="pct"/>
            <w:vAlign w:val="center"/>
            <w:hideMark/>
          </w:tcPr>
          <w:p w:rsidR="00000000" w:rsidRDefault="001F1FC8">
            <w:pPr>
              <w:rPr>
                <w:rFonts w:eastAsia="Times New Roman"/>
              </w:rPr>
            </w:pPr>
          </w:p>
        </w:tc>
        <w:tc>
          <w:tcPr>
            <w:tcW w:w="3286"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c>
          <w:tcPr>
            <w:tcW w:w="50" w:type="pct"/>
            <w:vAlign w:val="center"/>
            <w:hideMark/>
          </w:tcPr>
          <w:p w:rsidR="00000000" w:rsidRDefault="001F1FC8">
            <w:pPr>
              <w:rPr>
                <w:rFonts w:eastAsia="Times New Roman"/>
                <w:sz w:val="20"/>
                <w:szCs w:val="20"/>
              </w:rPr>
            </w:pPr>
          </w:p>
        </w:tc>
        <w:tc>
          <w:tcPr>
            <w:tcW w:w="497"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c>
          <w:tcPr>
            <w:tcW w:w="50" w:type="pct"/>
            <w:vAlign w:val="center"/>
            <w:hideMark/>
          </w:tcPr>
          <w:p w:rsidR="00000000" w:rsidRDefault="001F1FC8">
            <w:pPr>
              <w:rPr>
                <w:rFonts w:eastAsia="Times New Roman"/>
                <w:sz w:val="20"/>
                <w:szCs w:val="20"/>
              </w:rPr>
            </w:pPr>
          </w:p>
        </w:tc>
        <w:tc>
          <w:tcPr>
            <w:tcW w:w="497"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c>
          <w:tcPr>
            <w:tcW w:w="50" w:type="pct"/>
            <w:vAlign w:val="center"/>
            <w:hideMark/>
          </w:tcPr>
          <w:p w:rsidR="00000000" w:rsidRDefault="001F1FC8">
            <w:pPr>
              <w:rPr>
                <w:rFonts w:eastAsia="Times New Roman"/>
                <w:sz w:val="20"/>
                <w:szCs w:val="20"/>
              </w:rPr>
            </w:pPr>
          </w:p>
        </w:tc>
        <w:tc>
          <w:tcPr>
            <w:tcW w:w="498"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r>
      <w:tr w:rsidR="00000000">
        <w:trPr>
          <w:divId w:val="1558324126"/>
        </w:trPr>
        <w:tc>
          <w:tcPr>
            <w:tcW w:w="0" w:type="auto"/>
            <w:gridSpan w:val="3"/>
            <w:tcMar>
              <w:top w:w="30" w:type="dxa"/>
              <w:left w:w="20" w:type="dxa"/>
              <w:bottom w:w="30" w:type="dxa"/>
              <w:right w:w="20" w:type="dxa"/>
            </w:tcMar>
            <w:vAlign w:val="center"/>
            <w:hideMark/>
          </w:tcPr>
          <w:p w:rsidR="00000000" w:rsidRDefault="001F1FC8">
            <w:pPr>
              <w:rPr>
                <w:rFonts w:eastAsia="Times New Roman"/>
              </w:rPr>
            </w:pPr>
            <w:r>
              <w:rPr>
                <w:rFonts w:ascii="Arial" w:eastAsia="Times New Roman" w:hAnsi="Arial" w:cs="Arial"/>
                <w:color w:val="000000"/>
                <w:sz w:val="20"/>
                <w:szCs w:val="20"/>
              </w:rPr>
              <w:t>Year ended December 31,</w:t>
            </w:r>
          </w:p>
        </w:tc>
        <w:tc>
          <w:tcPr>
            <w:tcW w:w="0" w:type="auto"/>
            <w:gridSpan w:val="3"/>
            <w:tcMar>
              <w:top w:w="30" w:type="dxa"/>
              <w:left w:w="20" w:type="dxa"/>
              <w:bottom w:w="30" w:type="dxa"/>
              <w:right w:w="20" w:type="dxa"/>
            </w:tcMar>
            <w:vAlign w:val="center"/>
            <w:hideMark/>
          </w:tcPr>
          <w:p w:rsidR="00000000" w:rsidRDefault="001F1FC8">
            <w:pPr>
              <w:jc w:val="right"/>
              <w:rPr>
                <w:rFonts w:eastAsia="Times New Roman"/>
              </w:rPr>
            </w:pPr>
            <w:r>
              <w:rPr>
                <w:rFonts w:ascii="Arial" w:eastAsia="Times New Roman" w:hAnsi="Arial" w:cs="Arial"/>
                <w:b/>
                <w:bCs/>
                <w:color w:val="000000"/>
                <w:sz w:val="20"/>
                <w:szCs w:val="20"/>
              </w:rPr>
              <w:t>2021</w:t>
            </w:r>
          </w:p>
        </w:tc>
        <w:tc>
          <w:tcPr>
            <w:tcW w:w="0" w:type="auto"/>
            <w:gridSpan w:val="3"/>
            <w:tcMar>
              <w:top w:w="30" w:type="dxa"/>
              <w:left w:w="20" w:type="dxa"/>
              <w:bottom w:w="30" w:type="dxa"/>
              <w:right w:w="20" w:type="dxa"/>
            </w:tcMar>
            <w:vAlign w:val="center"/>
            <w:hideMark/>
          </w:tcPr>
          <w:p w:rsidR="00000000" w:rsidRDefault="001F1FC8">
            <w:pPr>
              <w:jc w:val="right"/>
              <w:rPr>
                <w:rFonts w:eastAsia="Times New Roman"/>
              </w:rPr>
            </w:pPr>
            <w:r>
              <w:rPr>
                <w:rFonts w:ascii="Arial" w:eastAsia="Times New Roman" w:hAnsi="Arial" w:cs="Arial"/>
                <w:color w:val="000000"/>
                <w:sz w:val="20"/>
                <w:szCs w:val="20"/>
              </w:rPr>
              <w:t>2020</w:t>
            </w:r>
          </w:p>
        </w:tc>
        <w:tc>
          <w:tcPr>
            <w:tcW w:w="0" w:type="auto"/>
            <w:gridSpan w:val="3"/>
            <w:tcMar>
              <w:top w:w="30" w:type="dxa"/>
              <w:left w:w="20" w:type="dxa"/>
              <w:bottom w:w="30" w:type="dxa"/>
              <w:right w:w="20" w:type="dxa"/>
            </w:tcMar>
            <w:vAlign w:val="center"/>
            <w:hideMark/>
          </w:tcPr>
          <w:p w:rsidR="00000000" w:rsidRDefault="001F1FC8">
            <w:pPr>
              <w:jc w:val="right"/>
              <w:rPr>
                <w:rFonts w:eastAsia="Times New Roman"/>
              </w:rPr>
            </w:pPr>
            <w:r>
              <w:rPr>
                <w:rFonts w:ascii="Arial" w:eastAsia="Times New Roman" w:hAnsi="Arial" w:cs="Arial"/>
                <w:color w:val="000000"/>
                <w:sz w:val="20"/>
                <w:szCs w:val="20"/>
              </w:rPr>
              <w:t>2019</w:t>
            </w:r>
          </w:p>
        </w:tc>
      </w:tr>
      <w:tr w:rsidR="00000000">
        <w:trPr>
          <w:divId w:val="1558324126"/>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1F1FC8">
            <w:pPr>
              <w:rPr>
                <w:rFonts w:eastAsia="Times New Roman"/>
              </w:rPr>
            </w:pPr>
            <w:r>
              <w:rPr>
                <w:rFonts w:ascii="Arial" w:eastAsia="Times New Roman" w:hAnsi="Arial" w:cs="Arial"/>
                <w:i/>
                <w:iCs/>
                <w:color w:val="000000"/>
                <w:sz w:val="16"/>
                <w:szCs w:val="16"/>
              </w:rPr>
              <w:t>(millions of Canadian dollars)</w:t>
            </w:r>
          </w:p>
        </w:tc>
        <w:tc>
          <w:tcPr>
            <w:tcW w:w="0" w:type="auto"/>
            <w:gridSpan w:val="3"/>
            <w:tcBorders>
              <w:top w:val="single" w:sz="4" w:space="0" w:color="000000"/>
            </w:tcBorders>
            <w:shd w:val="clear" w:color="auto" w:fill="D9D9D9"/>
            <w:tcMar>
              <w:top w:w="30" w:type="dxa"/>
              <w:left w:w="20" w:type="dxa"/>
              <w:bottom w:w="30" w:type="dxa"/>
              <w:right w:w="20" w:type="dxa"/>
            </w:tcMar>
            <w:vAlign w:val="center"/>
            <w:hideMark/>
          </w:tcPr>
          <w:p w:rsidR="00000000" w:rsidRDefault="001F1FC8">
            <w:pPr>
              <w:jc w:val="right"/>
              <w:rPr>
                <w:rFonts w:eastAsia="Times New Roman"/>
              </w:rPr>
            </w:pPr>
            <w:r>
              <w:rPr>
                <w:rFonts w:ascii="Arial" w:eastAsia="Times New Roman" w:hAnsi="Arial" w:cs="Arial"/>
                <w:color w:val="000000"/>
                <w:sz w:val="2"/>
                <w:szCs w:val="2"/>
              </w:rPr>
              <w:t> </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1F1FC8">
            <w:pPr>
              <w:jc w:val="right"/>
              <w:rPr>
                <w:rFonts w:eastAsia="Times New Roman"/>
              </w:rPr>
            </w:pPr>
            <w:r>
              <w:rPr>
                <w:rFonts w:ascii="Arial" w:eastAsia="Times New Roman" w:hAnsi="Arial" w:cs="Arial"/>
                <w:color w:val="000000"/>
                <w:sz w:val="2"/>
                <w:szCs w:val="2"/>
              </w:rPr>
              <w:t> </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1F1FC8">
            <w:pPr>
              <w:jc w:val="right"/>
              <w:rPr>
                <w:rFonts w:eastAsia="Times New Roman"/>
              </w:rPr>
            </w:pPr>
            <w:r>
              <w:rPr>
                <w:rFonts w:ascii="Arial" w:eastAsia="Times New Roman" w:hAnsi="Arial" w:cs="Arial"/>
                <w:color w:val="000000"/>
                <w:sz w:val="2"/>
                <w:szCs w:val="2"/>
              </w:rPr>
              <w:t> </w:t>
            </w:r>
          </w:p>
        </w:tc>
      </w:tr>
      <w:tr w:rsidR="00000000">
        <w:trPr>
          <w:divId w:val="1558324126"/>
        </w:trPr>
        <w:tc>
          <w:tcPr>
            <w:tcW w:w="0" w:type="auto"/>
            <w:gridSpan w:val="3"/>
            <w:tcMar>
              <w:top w:w="30" w:type="dxa"/>
              <w:left w:w="20" w:type="dxa"/>
              <w:bottom w:w="30" w:type="dxa"/>
              <w:right w:w="20" w:type="dxa"/>
            </w:tcMar>
            <w:vAlign w:val="center"/>
            <w:hideMark/>
          </w:tcPr>
          <w:p w:rsidR="00000000" w:rsidRDefault="001F1FC8">
            <w:pPr>
              <w:rPr>
                <w:rFonts w:eastAsia="Times New Roman"/>
              </w:rPr>
            </w:pPr>
            <w:r>
              <w:rPr>
                <w:rFonts w:ascii="Arial" w:eastAsia="Times New Roman" w:hAnsi="Arial" w:cs="Arial"/>
                <w:color w:val="000000"/>
                <w:sz w:val="20"/>
                <w:szCs w:val="20"/>
              </w:rPr>
              <w:t>Accounts receivable and other</w:t>
            </w:r>
          </w:p>
        </w:tc>
        <w:tc>
          <w:tcPr>
            <w:tcW w:w="0" w:type="auto"/>
            <w:gridSpan w:val="2"/>
            <w:shd w:val="clear" w:color="auto" w:fill="D9D9D9"/>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b/>
                <w:bCs/>
                <w:color w:val="000000"/>
                <w:sz w:val="20"/>
                <w:szCs w:val="20"/>
              </w:rPr>
              <w:t>(1,228)</w:t>
            </w:r>
          </w:p>
        </w:tc>
        <w:tc>
          <w:tcPr>
            <w:tcW w:w="0" w:type="auto"/>
            <w:shd w:val="clear" w:color="auto" w:fill="D9D9D9"/>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20"/>
                <w:szCs w:val="20"/>
              </w:rPr>
              <w:t>1,546 </w:t>
            </w:r>
          </w:p>
        </w:tc>
        <w:tc>
          <w:tcPr>
            <w:tcW w:w="0" w:type="auto"/>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20"/>
                <w:szCs w:val="20"/>
              </w:rPr>
              <w:t>(547)</w:t>
            </w:r>
          </w:p>
        </w:tc>
        <w:tc>
          <w:tcPr>
            <w:tcW w:w="0" w:type="auto"/>
            <w:tcMar>
              <w:top w:w="30" w:type="dxa"/>
              <w:left w:w="0" w:type="dxa"/>
              <w:bottom w:w="30" w:type="dxa"/>
              <w:right w:w="20" w:type="dxa"/>
            </w:tcMar>
            <w:vAlign w:val="center"/>
            <w:hideMark/>
          </w:tcPr>
          <w:p w:rsidR="00000000" w:rsidRDefault="001F1FC8">
            <w:pPr>
              <w:jc w:val="right"/>
              <w:rPr>
                <w:rFonts w:eastAsia="Times New Roman"/>
              </w:rPr>
            </w:pPr>
          </w:p>
        </w:tc>
      </w:tr>
      <w:tr w:rsidR="00000000">
        <w:trPr>
          <w:divId w:val="1558324126"/>
        </w:trPr>
        <w:tc>
          <w:tcPr>
            <w:tcW w:w="0" w:type="auto"/>
            <w:gridSpan w:val="3"/>
            <w:tcMar>
              <w:top w:w="30" w:type="dxa"/>
              <w:left w:w="20" w:type="dxa"/>
              <w:bottom w:w="30" w:type="dxa"/>
              <w:right w:w="20" w:type="dxa"/>
            </w:tcMar>
            <w:vAlign w:val="center"/>
            <w:hideMark/>
          </w:tcPr>
          <w:p w:rsidR="00000000" w:rsidRDefault="001F1FC8">
            <w:pPr>
              <w:rPr>
                <w:rFonts w:eastAsia="Times New Roman"/>
              </w:rPr>
            </w:pPr>
            <w:r>
              <w:rPr>
                <w:rFonts w:ascii="Arial" w:eastAsia="Times New Roman" w:hAnsi="Arial" w:cs="Arial"/>
                <w:color w:val="000000"/>
                <w:sz w:val="20"/>
                <w:szCs w:val="20"/>
              </w:rPr>
              <w:t>Accounts receivable from affiliates</w:t>
            </w:r>
          </w:p>
        </w:tc>
        <w:tc>
          <w:tcPr>
            <w:tcW w:w="0" w:type="auto"/>
            <w:gridSpan w:val="2"/>
            <w:shd w:val="clear" w:color="auto" w:fill="D9D9D9"/>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b/>
                <w:bCs/>
                <w:color w:val="000000"/>
                <w:sz w:val="20"/>
                <w:szCs w:val="20"/>
              </w:rPr>
              <w:t>(38)</w:t>
            </w:r>
          </w:p>
        </w:tc>
        <w:tc>
          <w:tcPr>
            <w:tcW w:w="0" w:type="auto"/>
            <w:shd w:val="clear" w:color="auto" w:fill="D9D9D9"/>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20"/>
                <w:szCs w:val="20"/>
              </w:rPr>
              <w:t>8 </w:t>
            </w:r>
          </w:p>
        </w:tc>
        <w:tc>
          <w:tcPr>
            <w:tcW w:w="0" w:type="auto"/>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20"/>
                <w:szCs w:val="20"/>
              </w:rPr>
              <w:t>6 </w:t>
            </w:r>
          </w:p>
        </w:tc>
        <w:tc>
          <w:tcPr>
            <w:tcW w:w="0" w:type="auto"/>
            <w:tcMar>
              <w:top w:w="30" w:type="dxa"/>
              <w:left w:w="0" w:type="dxa"/>
              <w:bottom w:w="30" w:type="dxa"/>
              <w:right w:w="20" w:type="dxa"/>
            </w:tcMar>
            <w:vAlign w:val="center"/>
            <w:hideMark/>
          </w:tcPr>
          <w:p w:rsidR="00000000" w:rsidRDefault="001F1FC8">
            <w:pPr>
              <w:jc w:val="right"/>
              <w:rPr>
                <w:rFonts w:eastAsia="Times New Roman"/>
              </w:rPr>
            </w:pPr>
          </w:p>
        </w:tc>
      </w:tr>
      <w:tr w:rsidR="00000000">
        <w:trPr>
          <w:divId w:val="1558324126"/>
        </w:trPr>
        <w:tc>
          <w:tcPr>
            <w:tcW w:w="0" w:type="auto"/>
            <w:gridSpan w:val="3"/>
            <w:tcMar>
              <w:top w:w="30" w:type="dxa"/>
              <w:left w:w="20" w:type="dxa"/>
              <w:bottom w:w="30" w:type="dxa"/>
              <w:right w:w="20" w:type="dxa"/>
            </w:tcMar>
            <w:vAlign w:val="center"/>
            <w:hideMark/>
          </w:tcPr>
          <w:p w:rsidR="00000000" w:rsidRDefault="001F1FC8">
            <w:pPr>
              <w:rPr>
                <w:rFonts w:eastAsia="Times New Roman"/>
              </w:rPr>
            </w:pPr>
            <w:r>
              <w:rPr>
                <w:rFonts w:ascii="Arial" w:eastAsia="Times New Roman" w:hAnsi="Arial" w:cs="Arial"/>
                <w:color w:val="000000"/>
                <w:sz w:val="20"/>
                <w:szCs w:val="20"/>
              </w:rPr>
              <w:t>Inventory</w:t>
            </w:r>
          </w:p>
        </w:tc>
        <w:tc>
          <w:tcPr>
            <w:tcW w:w="0" w:type="auto"/>
            <w:gridSpan w:val="2"/>
            <w:shd w:val="clear" w:color="auto" w:fill="D9D9D9"/>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b/>
                <w:bCs/>
                <w:color w:val="000000"/>
                <w:sz w:val="20"/>
                <w:szCs w:val="20"/>
              </w:rPr>
              <w:t>(118)</w:t>
            </w:r>
          </w:p>
        </w:tc>
        <w:tc>
          <w:tcPr>
            <w:tcW w:w="0" w:type="auto"/>
            <w:shd w:val="clear" w:color="auto" w:fill="D9D9D9"/>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20"/>
                <w:szCs w:val="20"/>
              </w:rPr>
              <w:t>(254)</w:t>
            </w:r>
          </w:p>
        </w:tc>
        <w:tc>
          <w:tcPr>
            <w:tcW w:w="0" w:type="auto"/>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20"/>
                <w:szCs w:val="20"/>
              </w:rPr>
              <w:t>(24)</w:t>
            </w:r>
          </w:p>
        </w:tc>
        <w:tc>
          <w:tcPr>
            <w:tcW w:w="0" w:type="auto"/>
            <w:tcMar>
              <w:top w:w="30" w:type="dxa"/>
              <w:left w:w="0" w:type="dxa"/>
              <w:bottom w:w="30" w:type="dxa"/>
              <w:right w:w="20" w:type="dxa"/>
            </w:tcMar>
            <w:vAlign w:val="center"/>
            <w:hideMark/>
          </w:tcPr>
          <w:p w:rsidR="00000000" w:rsidRDefault="001F1FC8">
            <w:pPr>
              <w:jc w:val="right"/>
              <w:rPr>
                <w:rFonts w:eastAsia="Times New Roman"/>
              </w:rPr>
            </w:pPr>
          </w:p>
        </w:tc>
      </w:tr>
      <w:tr w:rsidR="00000000">
        <w:trPr>
          <w:divId w:val="1558324126"/>
        </w:trPr>
        <w:tc>
          <w:tcPr>
            <w:tcW w:w="0" w:type="auto"/>
            <w:gridSpan w:val="3"/>
            <w:tcMar>
              <w:top w:w="30" w:type="dxa"/>
              <w:left w:w="20" w:type="dxa"/>
              <w:bottom w:w="30" w:type="dxa"/>
              <w:right w:w="20" w:type="dxa"/>
            </w:tcMar>
            <w:vAlign w:val="center"/>
            <w:hideMark/>
          </w:tcPr>
          <w:p w:rsidR="00000000" w:rsidRDefault="001F1FC8">
            <w:pPr>
              <w:rPr>
                <w:rFonts w:eastAsia="Times New Roman"/>
              </w:rPr>
            </w:pPr>
            <w:r>
              <w:rPr>
                <w:rFonts w:ascii="Arial" w:eastAsia="Times New Roman" w:hAnsi="Arial" w:cs="Arial"/>
                <w:color w:val="000000"/>
                <w:sz w:val="20"/>
                <w:szCs w:val="20"/>
              </w:rPr>
              <w:t>Deferred amounts and other assets</w:t>
            </w:r>
          </w:p>
        </w:tc>
        <w:tc>
          <w:tcPr>
            <w:tcW w:w="0" w:type="auto"/>
            <w:gridSpan w:val="2"/>
            <w:shd w:val="clear" w:color="auto" w:fill="D9D9D9"/>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b/>
                <w:bCs/>
                <w:color w:val="000000"/>
                <w:sz w:val="20"/>
                <w:szCs w:val="20"/>
              </w:rPr>
              <w:t>(195)</w:t>
            </w:r>
          </w:p>
        </w:tc>
        <w:tc>
          <w:tcPr>
            <w:tcW w:w="0" w:type="auto"/>
            <w:shd w:val="clear" w:color="auto" w:fill="D9D9D9"/>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20"/>
                <w:szCs w:val="20"/>
              </w:rPr>
              <w:t>(586)</w:t>
            </w:r>
          </w:p>
        </w:tc>
        <w:tc>
          <w:tcPr>
            <w:tcW w:w="0" w:type="auto"/>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20"/>
                <w:szCs w:val="20"/>
              </w:rPr>
              <w:t>133 </w:t>
            </w:r>
          </w:p>
        </w:tc>
        <w:tc>
          <w:tcPr>
            <w:tcW w:w="0" w:type="auto"/>
            <w:tcMar>
              <w:top w:w="30" w:type="dxa"/>
              <w:left w:w="0" w:type="dxa"/>
              <w:bottom w:w="30" w:type="dxa"/>
              <w:right w:w="20" w:type="dxa"/>
            </w:tcMar>
            <w:vAlign w:val="center"/>
            <w:hideMark/>
          </w:tcPr>
          <w:p w:rsidR="00000000" w:rsidRDefault="001F1FC8">
            <w:pPr>
              <w:jc w:val="right"/>
              <w:rPr>
                <w:rFonts w:eastAsia="Times New Roman"/>
              </w:rPr>
            </w:pPr>
          </w:p>
        </w:tc>
      </w:tr>
      <w:tr w:rsidR="00000000">
        <w:trPr>
          <w:divId w:val="1558324126"/>
        </w:trPr>
        <w:tc>
          <w:tcPr>
            <w:tcW w:w="0" w:type="auto"/>
            <w:gridSpan w:val="3"/>
            <w:tcMar>
              <w:top w:w="30" w:type="dxa"/>
              <w:left w:w="20" w:type="dxa"/>
              <w:bottom w:w="30" w:type="dxa"/>
              <w:right w:w="20" w:type="dxa"/>
            </w:tcMar>
            <w:vAlign w:val="center"/>
            <w:hideMark/>
          </w:tcPr>
          <w:p w:rsidR="00000000" w:rsidRDefault="001F1FC8">
            <w:pPr>
              <w:rPr>
                <w:rFonts w:eastAsia="Times New Roman"/>
              </w:rPr>
            </w:pPr>
            <w:r>
              <w:rPr>
                <w:rFonts w:ascii="Arial" w:eastAsia="Times New Roman" w:hAnsi="Arial" w:cs="Arial"/>
                <w:color w:val="000000"/>
                <w:sz w:val="20"/>
                <w:szCs w:val="20"/>
              </w:rPr>
              <w:t>Accounts payable and other</w:t>
            </w:r>
          </w:p>
        </w:tc>
        <w:tc>
          <w:tcPr>
            <w:tcW w:w="0" w:type="auto"/>
            <w:gridSpan w:val="2"/>
            <w:shd w:val="clear" w:color="auto" w:fill="D9D9D9"/>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b/>
                <w:bCs/>
                <w:color w:val="000000"/>
                <w:sz w:val="20"/>
                <w:szCs w:val="20"/>
              </w:rPr>
              <w:t>(63)</w:t>
            </w:r>
          </w:p>
        </w:tc>
        <w:tc>
          <w:tcPr>
            <w:tcW w:w="0" w:type="auto"/>
            <w:shd w:val="clear" w:color="auto" w:fill="D9D9D9"/>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20"/>
                <w:szCs w:val="20"/>
              </w:rPr>
              <w:t>(770)</w:t>
            </w:r>
          </w:p>
        </w:tc>
        <w:tc>
          <w:tcPr>
            <w:tcW w:w="0" w:type="auto"/>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20"/>
                <w:szCs w:val="20"/>
              </w:rPr>
              <w:t>63 </w:t>
            </w:r>
          </w:p>
        </w:tc>
        <w:tc>
          <w:tcPr>
            <w:tcW w:w="0" w:type="auto"/>
            <w:tcMar>
              <w:top w:w="30" w:type="dxa"/>
              <w:left w:w="0" w:type="dxa"/>
              <w:bottom w:w="30" w:type="dxa"/>
              <w:right w:w="20" w:type="dxa"/>
            </w:tcMar>
            <w:vAlign w:val="center"/>
            <w:hideMark/>
          </w:tcPr>
          <w:p w:rsidR="00000000" w:rsidRDefault="001F1FC8">
            <w:pPr>
              <w:jc w:val="right"/>
              <w:rPr>
                <w:rFonts w:eastAsia="Times New Roman"/>
              </w:rPr>
            </w:pPr>
          </w:p>
        </w:tc>
      </w:tr>
      <w:tr w:rsidR="00000000">
        <w:trPr>
          <w:divId w:val="1558324126"/>
        </w:trPr>
        <w:tc>
          <w:tcPr>
            <w:tcW w:w="0" w:type="auto"/>
            <w:gridSpan w:val="3"/>
            <w:tcMar>
              <w:top w:w="30" w:type="dxa"/>
              <w:left w:w="20" w:type="dxa"/>
              <w:bottom w:w="30" w:type="dxa"/>
              <w:right w:w="20" w:type="dxa"/>
            </w:tcMar>
            <w:vAlign w:val="center"/>
            <w:hideMark/>
          </w:tcPr>
          <w:p w:rsidR="00000000" w:rsidRDefault="001F1FC8">
            <w:pPr>
              <w:rPr>
                <w:rFonts w:eastAsia="Times New Roman"/>
              </w:rPr>
            </w:pPr>
            <w:r>
              <w:rPr>
                <w:rFonts w:ascii="Arial" w:eastAsia="Times New Roman" w:hAnsi="Arial" w:cs="Arial"/>
                <w:color w:val="000000"/>
                <w:sz w:val="20"/>
                <w:szCs w:val="20"/>
              </w:rPr>
              <w:t>Accounts payable to affiliates</w:t>
            </w:r>
          </w:p>
        </w:tc>
        <w:tc>
          <w:tcPr>
            <w:tcW w:w="0" w:type="auto"/>
            <w:gridSpan w:val="2"/>
            <w:shd w:val="clear" w:color="auto" w:fill="D9D9D9"/>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b/>
                <w:bCs/>
                <w:color w:val="000000"/>
                <w:sz w:val="20"/>
                <w:szCs w:val="20"/>
              </w:rPr>
              <w:t>52</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20"/>
                <w:szCs w:val="20"/>
              </w:rPr>
              <w:t>1 </w:t>
            </w:r>
          </w:p>
        </w:tc>
        <w:tc>
          <w:tcPr>
            <w:tcW w:w="0" w:type="auto"/>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20"/>
                <w:szCs w:val="20"/>
              </w:rPr>
              <w:t>(24)</w:t>
            </w:r>
          </w:p>
        </w:tc>
        <w:tc>
          <w:tcPr>
            <w:tcW w:w="0" w:type="auto"/>
            <w:tcMar>
              <w:top w:w="30" w:type="dxa"/>
              <w:left w:w="0" w:type="dxa"/>
              <w:bottom w:w="30" w:type="dxa"/>
              <w:right w:w="20" w:type="dxa"/>
            </w:tcMar>
            <w:vAlign w:val="center"/>
            <w:hideMark/>
          </w:tcPr>
          <w:p w:rsidR="00000000" w:rsidRDefault="001F1FC8">
            <w:pPr>
              <w:jc w:val="right"/>
              <w:rPr>
                <w:rFonts w:eastAsia="Times New Roman"/>
              </w:rPr>
            </w:pPr>
          </w:p>
        </w:tc>
      </w:tr>
      <w:tr w:rsidR="00000000">
        <w:trPr>
          <w:divId w:val="1558324126"/>
        </w:trPr>
        <w:tc>
          <w:tcPr>
            <w:tcW w:w="0" w:type="auto"/>
            <w:gridSpan w:val="3"/>
            <w:tcMar>
              <w:top w:w="30" w:type="dxa"/>
              <w:left w:w="20" w:type="dxa"/>
              <w:bottom w:w="30" w:type="dxa"/>
              <w:right w:w="20" w:type="dxa"/>
            </w:tcMar>
            <w:vAlign w:val="center"/>
            <w:hideMark/>
          </w:tcPr>
          <w:p w:rsidR="00000000" w:rsidRDefault="001F1FC8">
            <w:pPr>
              <w:rPr>
                <w:rFonts w:eastAsia="Times New Roman"/>
              </w:rPr>
            </w:pPr>
            <w:r>
              <w:rPr>
                <w:rFonts w:ascii="Arial" w:eastAsia="Times New Roman" w:hAnsi="Arial" w:cs="Arial"/>
                <w:color w:val="000000"/>
                <w:sz w:val="20"/>
                <w:szCs w:val="20"/>
              </w:rPr>
              <w:t>Interest payable</w:t>
            </w:r>
          </w:p>
        </w:tc>
        <w:tc>
          <w:tcPr>
            <w:tcW w:w="0" w:type="auto"/>
            <w:gridSpan w:val="2"/>
            <w:shd w:val="clear" w:color="auto" w:fill="D9D9D9"/>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b/>
                <w:bCs/>
                <w:color w:val="000000"/>
                <w:sz w:val="20"/>
                <w:szCs w:val="20"/>
              </w:rPr>
              <w:t>43</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20"/>
                <w:szCs w:val="20"/>
              </w:rPr>
              <w:t>31 </w:t>
            </w:r>
          </w:p>
        </w:tc>
        <w:tc>
          <w:tcPr>
            <w:tcW w:w="0" w:type="auto"/>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20"/>
                <w:szCs w:val="20"/>
              </w:rPr>
              <w:t>(41)</w:t>
            </w:r>
          </w:p>
        </w:tc>
        <w:tc>
          <w:tcPr>
            <w:tcW w:w="0" w:type="auto"/>
            <w:tcMar>
              <w:top w:w="30" w:type="dxa"/>
              <w:left w:w="0" w:type="dxa"/>
              <w:bottom w:w="30" w:type="dxa"/>
              <w:right w:w="20" w:type="dxa"/>
            </w:tcMar>
            <w:vAlign w:val="center"/>
            <w:hideMark/>
          </w:tcPr>
          <w:p w:rsidR="00000000" w:rsidRDefault="001F1FC8">
            <w:pPr>
              <w:jc w:val="right"/>
              <w:rPr>
                <w:rFonts w:eastAsia="Times New Roman"/>
              </w:rPr>
            </w:pPr>
          </w:p>
        </w:tc>
      </w:tr>
      <w:tr w:rsidR="00000000">
        <w:trPr>
          <w:divId w:val="1558324126"/>
        </w:trPr>
        <w:tc>
          <w:tcPr>
            <w:tcW w:w="0" w:type="auto"/>
            <w:gridSpan w:val="3"/>
            <w:tcMar>
              <w:top w:w="30" w:type="dxa"/>
              <w:left w:w="20" w:type="dxa"/>
              <w:bottom w:w="30" w:type="dxa"/>
              <w:right w:w="20" w:type="dxa"/>
            </w:tcMar>
            <w:vAlign w:val="center"/>
            <w:hideMark/>
          </w:tcPr>
          <w:p w:rsidR="00000000" w:rsidRDefault="001F1FC8">
            <w:pPr>
              <w:rPr>
                <w:rFonts w:eastAsia="Times New Roman"/>
              </w:rPr>
            </w:pPr>
            <w:r>
              <w:rPr>
                <w:rFonts w:ascii="Arial" w:eastAsia="Times New Roman" w:hAnsi="Arial" w:cs="Arial"/>
                <w:color w:val="000000"/>
                <w:sz w:val="20"/>
                <w:szCs w:val="20"/>
              </w:rPr>
              <w:t>Other long-term liabilities</w:t>
            </w:r>
          </w:p>
        </w:tc>
        <w:tc>
          <w:tcPr>
            <w:tcW w:w="0" w:type="auto"/>
            <w:gridSpan w:val="2"/>
            <w:shd w:val="clear" w:color="auto" w:fill="DBDBDB"/>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b/>
                <w:bCs/>
                <w:color w:val="000000"/>
                <w:sz w:val="20"/>
                <w:szCs w:val="20"/>
              </w:rPr>
              <w:t>(69)</w:t>
            </w:r>
          </w:p>
        </w:tc>
        <w:tc>
          <w:tcPr>
            <w:tcW w:w="0" w:type="auto"/>
            <w:shd w:val="clear" w:color="auto" w:fill="DBDBDB"/>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20"/>
                <w:szCs w:val="20"/>
              </w:rPr>
              <w:t>117 </w:t>
            </w:r>
          </w:p>
        </w:tc>
        <w:tc>
          <w:tcPr>
            <w:tcW w:w="0" w:type="auto"/>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20"/>
                <w:szCs w:val="20"/>
              </w:rPr>
              <w:t>175 </w:t>
            </w:r>
          </w:p>
        </w:tc>
        <w:tc>
          <w:tcPr>
            <w:tcW w:w="0" w:type="auto"/>
            <w:tcMar>
              <w:top w:w="30" w:type="dxa"/>
              <w:left w:w="0" w:type="dxa"/>
              <w:bottom w:w="30" w:type="dxa"/>
              <w:right w:w="20" w:type="dxa"/>
            </w:tcMar>
            <w:vAlign w:val="center"/>
            <w:hideMark/>
          </w:tcPr>
          <w:p w:rsidR="00000000" w:rsidRDefault="001F1FC8">
            <w:pPr>
              <w:jc w:val="right"/>
              <w:rPr>
                <w:rFonts w:eastAsia="Times New Roman"/>
              </w:rPr>
            </w:pPr>
          </w:p>
        </w:tc>
      </w:tr>
      <w:tr w:rsidR="00000000">
        <w:trPr>
          <w:divId w:val="1558324126"/>
        </w:trPr>
        <w:tc>
          <w:tcPr>
            <w:tcW w:w="0" w:type="auto"/>
            <w:gridSpan w:val="3"/>
            <w:tcBorders>
              <w:top w:val="single" w:sz="4" w:space="0" w:color="000000"/>
              <w:bottom w:val="single" w:sz="8" w:space="0" w:color="000000"/>
            </w:tcBorders>
            <w:tcMar>
              <w:top w:w="30" w:type="dxa"/>
              <w:left w:w="20" w:type="dxa"/>
              <w:bottom w:w="30" w:type="dxa"/>
              <w:right w:w="20" w:type="dxa"/>
            </w:tcMar>
            <w:vAlign w:val="center"/>
            <w:hideMark/>
          </w:tcPr>
          <w:p w:rsidR="00000000" w:rsidRDefault="001F1FC8">
            <w:pPr>
              <w:rPr>
                <w:rFonts w:eastAsia="Times New Roman"/>
              </w:rPr>
            </w:pPr>
            <w:r>
              <w:rPr>
                <w:rFonts w:ascii="Arial" w:eastAsia="Times New Roman" w:hAnsi="Arial" w:cs="Arial"/>
                <w:color w:val="000000"/>
                <w:sz w:val="2"/>
                <w:szCs w:val="2"/>
              </w:rPr>
              <w:t> </w:t>
            </w:r>
          </w:p>
        </w:tc>
        <w:tc>
          <w:tcPr>
            <w:tcW w:w="0" w:type="auto"/>
            <w:gridSpan w:val="2"/>
            <w:tcBorders>
              <w:top w:val="single" w:sz="4" w:space="0" w:color="000000"/>
              <w:bottom w:val="single" w:sz="8" w:space="0" w:color="000000"/>
            </w:tcBorders>
            <w:shd w:val="clear" w:color="auto" w:fill="D9D9D9"/>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b/>
                <w:bCs/>
                <w:color w:val="000000"/>
                <w:sz w:val="20"/>
                <w:szCs w:val="20"/>
              </w:rPr>
              <w:t>(1,616)</w:t>
            </w:r>
          </w:p>
        </w:tc>
        <w:tc>
          <w:tcPr>
            <w:tcW w:w="0" w:type="auto"/>
            <w:tcBorders>
              <w:top w:val="single" w:sz="4" w:space="0" w:color="000000"/>
              <w:bottom w:val="single" w:sz="8" w:space="0" w:color="000000"/>
            </w:tcBorders>
            <w:shd w:val="clear" w:color="auto" w:fill="D9D9D9"/>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Borders>
              <w:top w:val="single" w:sz="4" w:space="0" w:color="000000"/>
              <w:bottom w:val="single" w:sz="8" w:space="0" w:color="000000"/>
            </w:tcBorders>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20"/>
                <w:szCs w:val="20"/>
              </w:rPr>
              <w:t>93 </w:t>
            </w:r>
          </w:p>
        </w:tc>
        <w:tc>
          <w:tcPr>
            <w:tcW w:w="0" w:type="auto"/>
            <w:tcBorders>
              <w:top w:val="single" w:sz="4" w:space="0" w:color="000000"/>
              <w:bottom w:val="single" w:sz="8" w:space="0" w:color="000000"/>
            </w:tcBorders>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Borders>
              <w:top w:val="single" w:sz="4" w:space="0" w:color="000000"/>
              <w:bottom w:val="single" w:sz="8" w:space="0" w:color="000000"/>
            </w:tcBorders>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20"/>
                <w:szCs w:val="20"/>
              </w:rPr>
              <w:t>(259)</w:t>
            </w:r>
          </w:p>
        </w:tc>
        <w:tc>
          <w:tcPr>
            <w:tcW w:w="0" w:type="auto"/>
            <w:tcBorders>
              <w:top w:val="single" w:sz="4" w:space="0" w:color="000000"/>
              <w:bottom w:val="single" w:sz="8" w:space="0" w:color="000000"/>
            </w:tcBorders>
            <w:tcMar>
              <w:top w:w="30" w:type="dxa"/>
              <w:left w:w="0" w:type="dxa"/>
              <w:bottom w:w="30" w:type="dxa"/>
              <w:right w:w="20" w:type="dxa"/>
            </w:tcMar>
            <w:vAlign w:val="center"/>
            <w:hideMark/>
          </w:tcPr>
          <w:p w:rsidR="00000000" w:rsidRDefault="001F1FC8">
            <w:pPr>
              <w:jc w:val="right"/>
              <w:rPr>
                <w:rFonts w:eastAsia="Times New Roman"/>
              </w:rPr>
            </w:pPr>
          </w:p>
        </w:tc>
      </w:tr>
    </w:tbl>
    <w:p w:rsidR="00000000" w:rsidRDefault="001F1FC8">
      <w:pPr>
        <w:divId w:val="56367616"/>
        <w:rPr>
          <w:rFonts w:eastAsia="Times New Roman"/>
        </w:rPr>
      </w:pPr>
    </w:p>
    <w:p w:rsidR="00000000" w:rsidRDefault="001F1FC8">
      <w:pPr>
        <w:jc w:val="both"/>
        <w:rPr>
          <w:rFonts w:eastAsia="Times New Roman"/>
        </w:rPr>
      </w:pPr>
      <w:r>
        <w:rPr>
          <w:rFonts w:ascii="Arial" w:eastAsia="Times New Roman" w:hAnsi="Arial" w:cs="Arial"/>
          <w:b/>
          <w:bCs/>
          <w:color w:val="000000"/>
          <w:sz w:val="26"/>
          <w:szCs w:val="26"/>
        </w:rPr>
        <w:t>29. RELATED PARTY TRANSACTIONS</w:t>
      </w:r>
    </w:p>
    <w:p w:rsidR="00000000" w:rsidRDefault="001F1FC8">
      <w:pPr>
        <w:divId w:val="150144520"/>
        <w:rPr>
          <w:rFonts w:eastAsia="Times New Roman"/>
        </w:rPr>
      </w:pPr>
      <w:r>
        <w:rPr>
          <w:rFonts w:ascii="Arial" w:eastAsia="Times New Roman" w:hAnsi="Arial" w:cs="Arial"/>
          <w:color w:val="000000"/>
          <w:sz w:val="20"/>
          <w:szCs w:val="20"/>
        </w:rPr>
        <w:t> </w:t>
      </w:r>
    </w:p>
    <w:p w:rsidR="00000000" w:rsidRDefault="001F1FC8">
      <w:pPr>
        <w:divId w:val="2029065678"/>
        <w:rPr>
          <w:rFonts w:eastAsia="Times New Roman"/>
        </w:rPr>
      </w:pPr>
      <w:r>
        <w:rPr>
          <w:rFonts w:ascii="Arial" w:eastAsia="Times New Roman" w:hAnsi="Arial" w:cs="Arial"/>
          <w:color w:val="000000"/>
          <w:sz w:val="20"/>
          <w:szCs w:val="20"/>
        </w:rPr>
        <w:t xml:space="preserve">Related party transactions are conducted in the normal course of business and, unless otherwise noted, are measured at the exchange amount, which is the amount of consideration established and agreed to by the related parties. </w:t>
      </w:r>
    </w:p>
    <w:p w:rsidR="00000000" w:rsidRDefault="001F1FC8">
      <w:pPr>
        <w:divId w:val="349845100"/>
        <w:rPr>
          <w:rFonts w:eastAsia="Times New Roman"/>
        </w:rPr>
      </w:pPr>
    </w:p>
    <w:p w:rsidR="00000000" w:rsidRDefault="001F1FC8">
      <w:pPr>
        <w:divId w:val="1613240611"/>
        <w:rPr>
          <w:rFonts w:eastAsia="Times New Roman"/>
        </w:rPr>
      </w:pPr>
      <w:r>
        <w:rPr>
          <w:rFonts w:ascii="Arial" w:eastAsia="Times New Roman" w:hAnsi="Arial" w:cs="Arial"/>
          <w:color w:val="000000"/>
          <w:sz w:val="20"/>
          <w:szCs w:val="20"/>
          <w:shd w:val="clear" w:color="auto" w:fill="FFFFFF"/>
        </w:rPr>
        <w:t xml:space="preserve">We provide transportation </w:t>
      </w:r>
      <w:r>
        <w:rPr>
          <w:rFonts w:ascii="Arial" w:eastAsia="Times New Roman" w:hAnsi="Arial" w:cs="Arial"/>
          <w:color w:val="000000"/>
          <w:sz w:val="20"/>
          <w:szCs w:val="20"/>
          <w:shd w:val="clear" w:color="auto" w:fill="FFFFFF"/>
        </w:rPr>
        <w:t>services to several significantly influenced investees which we record as transportation and other servic</w:t>
      </w:r>
      <w:r>
        <w:rPr>
          <w:rFonts w:ascii="Arial" w:eastAsia="Times New Roman" w:hAnsi="Arial" w:cs="Arial"/>
          <w:color w:val="000000"/>
          <w:sz w:val="20"/>
          <w:szCs w:val="20"/>
        </w:rPr>
        <w:t>es revenue. We also purchase and sell natural gas and crude oil with several of our significantly influenced investees. Thes</w:t>
      </w:r>
      <w:r>
        <w:rPr>
          <w:rFonts w:ascii="Arial" w:eastAsia="Times New Roman" w:hAnsi="Arial" w:cs="Arial"/>
          <w:color w:val="000000"/>
          <w:sz w:val="20"/>
          <w:szCs w:val="20"/>
          <w:shd w:val="clear" w:color="auto" w:fill="FFFFFF"/>
        </w:rPr>
        <w:t>e revenues and costs are re</w:t>
      </w:r>
      <w:r>
        <w:rPr>
          <w:rFonts w:ascii="Arial" w:eastAsia="Times New Roman" w:hAnsi="Arial" w:cs="Arial"/>
          <w:color w:val="000000"/>
          <w:sz w:val="20"/>
          <w:szCs w:val="20"/>
          <w:shd w:val="clear" w:color="auto" w:fill="FFFFFF"/>
        </w:rPr>
        <w:t>corded as commodity sales and commodity costs. We contract for firm transportation services to meet our annual natural gas supply requirements which we record as gas distribution costs.</w:t>
      </w:r>
    </w:p>
    <w:p w:rsidR="00000000" w:rsidRDefault="001F1FC8">
      <w:pPr>
        <w:divId w:val="1368872789"/>
        <w:rPr>
          <w:rFonts w:eastAsia="Times New Roman"/>
        </w:rPr>
      </w:pPr>
    </w:p>
    <w:p w:rsidR="00000000" w:rsidRDefault="001F1FC8">
      <w:pPr>
        <w:jc w:val="center"/>
        <w:divId w:val="1917283937"/>
        <w:rPr>
          <w:rFonts w:eastAsia="Times New Roman"/>
        </w:rPr>
      </w:pPr>
      <w:r>
        <w:rPr>
          <w:rFonts w:ascii="Arial" w:eastAsia="Times New Roman" w:hAnsi="Arial" w:cs="Arial"/>
          <w:color w:val="000000"/>
          <w:sz w:val="20"/>
          <w:szCs w:val="20"/>
        </w:rPr>
        <w:t>175</w:t>
      </w:r>
    </w:p>
    <w:p w:rsidR="00000000" w:rsidRDefault="001F1FC8">
      <w:pPr>
        <w:rPr>
          <w:rFonts w:eastAsia="Times New Roman"/>
        </w:rPr>
      </w:pPr>
      <w:r>
        <w:rPr>
          <w:rFonts w:eastAsia="Times New Roman"/>
        </w:rPr>
        <w:pict>
          <v:rect id="_x0000_i1205" style="width:0;height:1.5pt" o:hralign="center" o:hrstd="t" o:hr="t" fillcolor="#a0a0a0" stroked="f"/>
        </w:pict>
      </w:r>
    </w:p>
    <w:p w:rsidR="00000000" w:rsidRDefault="001F1FC8">
      <w:pPr>
        <w:jc w:val="center"/>
        <w:divId w:val="1640184404"/>
        <w:rPr>
          <w:rFonts w:eastAsia="Times New Roman"/>
        </w:rPr>
      </w:pPr>
    </w:p>
    <w:p w:rsidR="00000000" w:rsidRDefault="001F1FC8">
      <w:pPr>
        <w:divId w:val="912811448"/>
        <w:rPr>
          <w:rFonts w:eastAsia="Times New Roman"/>
        </w:rPr>
      </w:pPr>
      <w:r>
        <w:rPr>
          <w:rFonts w:ascii="Arial" w:eastAsia="Times New Roman" w:hAnsi="Arial" w:cs="Arial"/>
          <w:color w:val="000000"/>
          <w:sz w:val="20"/>
          <w:szCs w:val="20"/>
        </w:rPr>
        <w:t>Our transactions with significantly influenced investees are as follows:</w:t>
      </w:r>
    </w:p>
    <w:p w:rsidR="00000000" w:rsidRDefault="001F1FC8">
      <w:pPr>
        <w:divId w:val="1486773940"/>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5647"/>
        <w:gridCol w:w="37"/>
        <w:gridCol w:w="69"/>
        <w:gridCol w:w="745"/>
        <w:gridCol w:w="36"/>
        <w:gridCol w:w="69"/>
        <w:gridCol w:w="746"/>
        <w:gridCol w:w="36"/>
        <w:gridCol w:w="70"/>
        <w:gridCol w:w="746"/>
        <w:gridCol w:w="36"/>
      </w:tblGrid>
      <w:tr w:rsidR="00000000">
        <w:trPr>
          <w:divId w:val="406657240"/>
        </w:trPr>
        <w:tc>
          <w:tcPr>
            <w:tcW w:w="50" w:type="pct"/>
            <w:vAlign w:val="center"/>
            <w:hideMark/>
          </w:tcPr>
          <w:p w:rsidR="00000000" w:rsidRDefault="001F1FC8">
            <w:pPr>
              <w:rPr>
                <w:rFonts w:eastAsia="Times New Roman"/>
              </w:rPr>
            </w:pPr>
          </w:p>
        </w:tc>
        <w:tc>
          <w:tcPr>
            <w:tcW w:w="3406"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c>
          <w:tcPr>
            <w:tcW w:w="50" w:type="pct"/>
            <w:vAlign w:val="center"/>
            <w:hideMark/>
          </w:tcPr>
          <w:p w:rsidR="00000000" w:rsidRDefault="001F1FC8">
            <w:pPr>
              <w:rPr>
                <w:rFonts w:eastAsia="Times New Roman"/>
                <w:sz w:val="20"/>
                <w:szCs w:val="20"/>
              </w:rPr>
            </w:pPr>
          </w:p>
        </w:tc>
        <w:tc>
          <w:tcPr>
            <w:tcW w:w="457"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c>
          <w:tcPr>
            <w:tcW w:w="50" w:type="pct"/>
            <w:vAlign w:val="center"/>
            <w:hideMark/>
          </w:tcPr>
          <w:p w:rsidR="00000000" w:rsidRDefault="001F1FC8">
            <w:pPr>
              <w:rPr>
                <w:rFonts w:eastAsia="Times New Roman"/>
                <w:sz w:val="20"/>
                <w:szCs w:val="20"/>
              </w:rPr>
            </w:pPr>
          </w:p>
        </w:tc>
        <w:tc>
          <w:tcPr>
            <w:tcW w:w="457"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c>
          <w:tcPr>
            <w:tcW w:w="50" w:type="pct"/>
            <w:vAlign w:val="center"/>
            <w:hideMark/>
          </w:tcPr>
          <w:p w:rsidR="00000000" w:rsidRDefault="001F1FC8">
            <w:pPr>
              <w:rPr>
                <w:rFonts w:eastAsia="Times New Roman"/>
                <w:sz w:val="20"/>
                <w:szCs w:val="20"/>
              </w:rPr>
            </w:pPr>
          </w:p>
        </w:tc>
        <w:tc>
          <w:tcPr>
            <w:tcW w:w="457"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r>
      <w:tr w:rsidR="00000000">
        <w:trPr>
          <w:divId w:val="406657240"/>
        </w:trPr>
        <w:tc>
          <w:tcPr>
            <w:tcW w:w="0" w:type="auto"/>
            <w:gridSpan w:val="3"/>
            <w:tcMar>
              <w:top w:w="30" w:type="dxa"/>
              <w:left w:w="20" w:type="dxa"/>
              <w:bottom w:w="30" w:type="dxa"/>
              <w:right w:w="20" w:type="dxa"/>
            </w:tcMar>
            <w:vAlign w:val="bottom"/>
            <w:hideMark/>
          </w:tcPr>
          <w:p w:rsidR="00000000" w:rsidRDefault="001F1FC8">
            <w:pPr>
              <w:rPr>
                <w:rFonts w:eastAsia="Times New Roman"/>
              </w:rPr>
            </w:pPr>
            <w:r>
              <w:rPr>
                <w:rFonts w:ascii="Arial" w:eastAsia="Times New Roman" w:hAnsi="Arial" w:cs="Arial"/>
                <w:b/>
                <w:bCs/>
                <w:color w:val="000000"/>
                <w:sz w:val="20"/>
                <w:szCs w:val="20"/>
              </w:rPr>
              <w:t>Year ended December 31,</w:t>
            </w:r>
          </w:p>
        </w:tc>
        <w:tc>
          <w:tcPr>
            <w:tcW w:w="0" w:type="auto"/>
            <w:gridSpan w:val="3"/>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b/>
                <w:bCs/>
                <w:color w:val="000000"/>
                <w:sz w:val="20"/>
                <w:szCs w:val="20"/>
              </w:rPr>
              <w:t>2021</w:t>
            </w:r>
          </w:p>
        </w:tc>
        <w:tc>
          <w:tcPr>
            <w:tcW w:w="0" w:type="auto"/>
            <w:gridSpan w:val="3"/>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2020</w:t>
            </w:r>
          </w:p>
        </w:tc>
        <w:tc>
          <w:tcPr>
            <w:tcW w:w="0" w:type="auto"/>
            <w:gridSpan w:val="3"/>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2019</w:t>
            </w:r>
          </w:p>
        </w:tc>
      </w:tr>
      <w:tr w:rsidR="00000000">
        <w:trPr>
          <w:divId w:val="406657240"/>
        </w:trPr>
        <w:tc>
          <w:tcPr>
            <w:tcW w:w="0" w:type="auto"/>
            <w:gridSpan w:val="3"/>
            <w:tcBorders>
              <w:top w:val="single" w:sz="4" w:space="0" w:color="000000"/>
            </w:tcBorders>
            <w:tcMar>
              <w:top w:w="30" w:type="dxa"/>
              <w:left w:w="20" w:type="dxa"/>
              <w:bottom w:w="30" w:type="dxa"/>
              <w:right w:w="20" w:type="dxa"/>
            </w:tcMar>
            <w:hideMark/>
          </w:tcPr>
          <w:p w:rsidR="00000000" w:rsidRDefault="001F1FC8">
            <w:pPr>
              <w:rPr>
                <w:rFonts w:eastAsia="Times New Roman"/>
              </w:rPr>
            </w:pPr>
            <w:r>
              <w:rPr>
                <w:rFonts w:ascii="Arial" w:eastAsia="Times New Roman" w:hAnsi="Arial" w:cs="Arial"/>
                <w:i/>
                <w:iCs/>
                <w:color w:val="000000"/>
                <w:sz w:val="16"/>
                <w:szCs w:val="16"/>
              </w:rPr>
              <w:t>(millions of Canadian dollars)</w:t>
            </w:r>
          </w:p>
        </w:tc>
        <w:tc>
          <w:tcPr>
            <w:tcW w:w="0" w:type="auto"/>
            <w:gridSpan w:val="3"/>
            <w:tcBorders>
              <w:top w:val="single" w:sz="4" w:space="0" w:color="000000"/>
            </w:tcBorders>
            <w:shd w:val="clear" w:color="auto" w:fill="D9D9D9"/>
            <w:tcMar>
              <w:top w:w="0" w:type="dxa"/>
              <w:left w:w="20" w:type="dxa"/>
              <w:bottom w:w="0" w:type="dxa"/>
              <w:right w:w="20" w:type="dxa"/>
            </w:tcMar>
            <w:vAlign w:val="center"/>
            <w:hideMark/>
          </w:tcPr>
          <w:p w:rsidR="00000000" w:rsidRDefault="001F1FC8">
            <w:pPr>
              <w:rPr>
                <w:rFonts w:eastAsia="Times New Roman"/>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1F1FC8">
            <w:pPr>
              <w:rPr>
                <w:rFonts w:eastAsia="Times New Roman"/>
                <w:sz w:val="20"/>
                <w:szCs w:val="20"/>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1F1FC8">
            <w:pPr>
              <w:rPr>
                <w:rFonts w:eastAsia="Times New Roman"/>
                <w:sz w:val="20"/>
                <w:szCs w:val="20"/>
              </w:rPr>
            </w:pPr>
          </w:p>
        </w:tc>
      </w:tr>
      <w:tr w:rsidR="00000000">
        <w:trPr>
          <w:divId w:val="406657240"/>
        </w:trPr>
        <w:tc>
          <w:tcPr>
            <w:tcW w:w="0" w:type="auto"/>
            <w:gridSpan w:val="3"/>
            <w:tcMar>
              <w:top w:w="30" w:type="dxa"/>
              <w:left w:w="20" w:type="dxa"/>
              <w:bottom w:w="30" w:type="dxa"/>
              <w:right w:w="20" w:type="dxa"/>
            </w:tcMar>
            <w:hideMark/>
          </w:tcPr>
          <w:p w:rsidR="00000000" w:rsidRDefault="001F1FC8">
            <w:pPr>
              <w:rPr>
                <w:rFonts w:eastAsia="Times New Roman"/>
              </w:rPr>
            </w:pPr>
            <w:r>
              <w:rPr>
                <w:rFonts w:ascii="Arial" w:eastAsia="Times New Roman" w:hAnsi="Arial" w:cs="Arial"/>
                <w:color w:val="000000"/>
                <w:sz w:val="20"/>
                <w:szCs w:val="20"/>
              </w:rPr>
              <w:t>Transportation and other services</w:t>
            </w:r>
          </w:p>
        </w:tc>
        <w:tc>
          <w:tcPr>
            <w:tcW w:w="0" w:type="auto"/>
            <w:gridSpan w:val="2"/>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20"/>
                <w:szCs w:val="20"/>
              </w:rPr>
              <w:t>149</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133 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140 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r>
      <w:tr w:rsidR="00000000">
        <w:trPr>
          <w:divId w:val="406657240"/>
        </w:trPr>
        <w:tc>
          <w:tcPr>
            <w:tcW w:w="0" w:type="auto"/>
            <w:gridSpan w:val="3"/>
            <w:tcMar>
              <w:top w:w="30" w:type="dxa"/>
              <w:left w:w="20" w:type="dxa"/>
              <w:bottom w:w="30" w:type="dxa"/>
              <w:right w:w="20" w:type="dxa"/>
            </w:tcMar>
            <w:hideMark/>
          </w:tcPr>
          <w:p w:rsidR="00000000" w:rsidRDefault="001F1FC8">
            <w:pPr>
              <w:rPr>
                <w:rFonts w:eastAsia="Times New Roman"/>
              </w:rPr>
            </w:pPr>
            <w:r>
              <w:rPr>
                <w:rFonts w:ascii="Arial" w:eastAsia="Times New Roman" w:hAnsi="Arial" w:cs="Arial"/>
                <w:color w:val="000000"/>
                <w:sz w:val="20"/>
                <w:szCs w:val="20"/>
              </w:rPr>
              <w:t>Commodity sales</w:t>
            </w:r>
          </w:p>
        </w:tc>
        <w:tc>
          <w:tcPr>
            <w:tcW w:w="0" w:type="auto"/>
            <w:gridSpan w:val="2"/>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20"/>
                <w:szCs w:val="20"/>
              </w:rPr>
              <w:t>20</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21 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107 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r>
      <w:tr w:rsidR="00000000">
        <w:trPr>
          <w:divId w:val="406657240"/>
        </w:trPr>
        <w:tc>
          <w:tcPr>
            <w:tcW w:w="0" w:type="auto"/>
            <w:gridSpan w:val="3"/>
            <w:tcMar>
              <w:top w:w="30" w:type="dxa"/>
              <w:left w:w="20" w:type="dxa"/>
              <w:bottom w:w="30" w:type="dxa"/>
              <w:right w:w="20" w:type="dxa"/>
            </w:tcMar>
            <w:hideMark/>
          </w:tcPr>
          <w:p w:rsidR="00000000" w:rsidRDefault="001F1FC8">
            <w:pPr>
              <w:divId w:val="1013414543"/>
              <w:rPr>
                <w:rFonts w:eastAsia="Times New Roman"/>
              </w:rPr>
            </w:pPr>
            <w:r>
              <w:rPr>
                <w:rFonts w:ascii="Arial" w:eastAsia="Times New Roman" w:hAnsi="Arial" w:cs="Arial"/>
                <w:color w:val="000000"/>
                <w:sz w:val="20"/>
                <w:szCs w:val="20"/>
              </w:rPr>
              <w:t>Operating and administrativ</w:t>
            </w:r>
            <w:r>
              <w:rPr>
                <w:rFonts w:ascii="Arial" w:eastAsia="Times New Roman" w:hAnsi="Arial" w:cs="Arial"/>
                <w:color w:val="000000"/>
                <w:sz w:val="20"/>
                <w:szCs w:val="20"/>
              </w:rPr>
              <w:t>e</w:t>
            </w:r>
            <w:r>
              <w:rPr>
                <w:rFonts w:ascii="Arial" w:eastAsia="Times New Roman" w:hAnsi="Arial" w:cs="Arial"/>
                <w:color w:val="000000"/>
                <w:sz w:val="10"/>
                <w:szCs w:val="10"/>
              </w:rPr>
              <w:t>1</w:t>
            </w:r>
          </w:p>
        </w:tc>
        <w:tc>
          <w:tcPr>
            <w:tcW w:w="0" w:type="auto"/>
            <w:gridSpan w:val="2"/>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20"/>
                <w:szCs w:val="20"/>
              </w:rPr>
              <w:t>292</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252 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241 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r>
      <w:tr w:rsidR="00000000">
        <w:trPr>
          <w:divId w:val="406657240"/>
        </w:trPr>
        <w:tc>
          <w:tcPr>
            <w:tcW w:w="0" w:type="auto"/>
            <w:gridSpan w:val="3"/>
            <w:tcMar>
              <w:top w:w="30" w:type="dxa"/>
              <w:left w:w="20" w:type="dxa"/>
              <w:bottom w:w="30" w:type="dxa"/>
              <w:right w:w="20" w:type="dxa"/>
            </w:tcMar>
            <w:hideMark/>
          </w:tcPr>
          <w:p w:rsidR="00000000" w:rsidRDefault="001F1FC8">
            <w:pPr>
              <w:divId w:val="1793402107"/>
              <w:rPr>
                <w:rFonts w:eastAsia="Times New Roman"/>
              </w:rPr>
            </w:pPr>
            <w:r>
              <w:rPr>
                <w:rFonts w:ascii="Arial" w:eastAsia="Times New Roman" w:hAnsi="Arial" w:cs="Arial"/>
                <w:color w:val="000000"/>
                <w:sz w:val="20"/>
                <w:szCs w:val="20"/>
              </w:rPr>
              <w:t>Commodity cost</w:t>
            </w:r>
            <w:r>
              <w:rPr>
                <w:rFonts w:ascii="Arial" w:eastAsia="Times New Roman" w:hAnsi="Arial" w:cs="Arial"/>
                <w:color w:val="000000"/>
                <w:sz w:val="20"/>
                <w:szCs w:val="20"/>
              </w:rPr>
              <w:t>s</w:t>
            </w:r>
            <w:r>
              <w:rPr>
                <w:rFonts w:ascii="Arial" w:eastAsia="Times New Roman" w:hAnsi="Arial" w:cs="Arial"/>
                <w:color w:val="000000"/>
                <w:sz w:val="10"/>
                <w:szCs w:val="10"/>
              </w:rPr>
              <w:t>2</w:t>
            </w:r>
          </w:p>
        </w:tc>
        <w:tc>
          <w:tcPr>
            <w:tcW w:w="0" w:type="auto"/>
            <w:gridSpan w:val="2"/>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20"/>
                <w:szCs w:val="20"/>
              </w:rPr>
              <w:t>790</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518 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773 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r>
      <w:tr w:rsidR="00000000">
        <w:trPr>
          <w:divId w:val="406657240"/>
        </w:trPr>
        <w:tc>
          <w:tcPr>
            <w:tcW w:w="0" w:type="auto"/>
            <w:gridSpan w:val="3"/>
            <w:tcBorders>
              <w:bottom w:val="single" w:sz="8" w:space="0" w:color="000000"/>
            </w:tcBorders>
            <w:tcMar>
              <w:top w:w="30" w:type="dxa"/>
              <w:left w:w="20" w:type="dxa"/>
              <w:bottom w:w="30" w:type="dxa"/>
              <w:right w:w="20" w:type="dxa"/>
            </w:tcMar>
            <w:hideMark/>
          </w:tcPr>
          <w:p w:rsidR="00000000" w:rsidRDefault="001F1FC8">
            <w:pPr>
              <w:rPr>
                <w:rFonts w:eastAsia="Times New Roman"/>
              </w:rPr>
            </w:pPr>
            <w:r>
              <w:rPr>
                <w:rFonts w:ascii="Arial" w:eastAsia="Times New Roman" w:hAnsi="Arial" w:cs="Arial"/>
                <w:color w:val="000000"/>
                <w:sz w:val="20"/>
                <w:szCs w:val="20"/>
              </w:rPr>
              <w:t>Gas distribution costs</w:t>
            </w:r>
          </w:p>
        </w:tc>
        <w:tc>
          <w:tcPr>
            <w:tcW w:w="0" w:type="auto"/>
            <w:gridSpan w:val="2"/>
            <w:tcBorders>
              <w:bottom w:val="single" w:sz="8" w:space="0" w:color="000000"/>
            </w:tcBorders>
            <w:shd w:val="clear" w:color="auto" w:fill="D9D9D9"/>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b/>
                <w:bCs/>
                <w:color w:val="000000"/>
                <w:sz w:val="20"/>
                <w:szCs w:val="20"/>
              </w:rPr>
              <w:t>131</w:t>
            </w:r>
            <w:r>
              <w:rPr>
                <w:rFonts w:ascii="Arial" w:eastAsia="Times New Roman" w:hAnsi="Arial" w:cs="Arial"/>
                <w:color w:val="000000"/>
                <w:sz w:val="20"/>
                <w:szCs w:val="20"/>
              </w:rPr>
              <w:t> </w:t>
            </w:r>
          </w:p>
        </w:tc>
        <w:tc>
          <w:tcPr>
            <w:tcW w:w="0" w:type="auto"/>
            <w:tcBorders>
              <w:bottom w:val="single" w:sz="8" w:space="0" w:color="000000"/>
            </w:tcBorders>
            <w:shd w:val="clear" w:color="auto" w:fill="D9D9D9"/>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Borders>
              <w:bottom w:val="single" w:sz="8" w:space="0" w:color="000000"/>
            </w:tcBorders>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135 </w:t>
            </w:r>
          </w:p>
        </w:tc>
        <w:tc>
          <w:tcPr>
            <w:tcW w:w="0" w:type="auto"/>
            <w:tcBorders>
              <w:bottom w:val="single" w:sz="8" w:space="0" w:color="000000"/>
            </w:tcBorders>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Borders>
              <w:bottom w:val="single" w:sz="8" w:space="0" w:color="000000"/>
            </w:tcBorders>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133 </w:t>
            </w:r>
          </w:p>
        </w:tc>
        <w:tc>
          <w:tcPr>
            <w:tcW w:w="0" w:type="auto"/>
            <w:tcBorders>
              <w:bottom w:val="single" w:sz="8" w:space="0" w:color="000000"/>
            </w:tcBorders>
            <w:tcMar>
              <w:top w:w="30" w:type="dxa"/>
              <w:left w:w="0" w:type="dxa"/>
              <w:bottom w:w="30" w:type="dxa"/>
              <w:right w:w="20" w:type="dxa"/>
            </w:tcMar>
            <w:vAlign w:val="bottom"/>
            <w:hideMark/>
          </w:tcPr>
          <w:p w:rsidR="00000000" w:rsidRDefault="001F1FC8">
            <w:pPr>
              <w:jc w:val="right"/>
              <w:rPr>
                <w:rFonts w:eastAsia="Times New Roman"/>
              </w:rPr>
            </w:pPr>
          </w:p>
        </w:tc>
      </w:tr>
    </w:tbl>
    <w:p w:rsidR="00000000" w:rsidRDefault="001F1FC8">
      <w:pPr>
        <w:ind w:hanging="180"/>
        <w:divId w:val="825626686"/>
        <w:rPr>
          <w:rFonts w:eastAsia="Times New Roman"/>
        </w:rPr>
      </w:pPr>
      <w:r>
        <w:rPr>
          <w:rFonts w:ascii="Arial" w:eastAsia="Times New Roman" w:hAnsi="Arial" w:cs="Arial"/>
          <w:i/>
          <w:iCs/>
          <w:color w:val="000000"/>
          <w:sz w:val="16"/>
          <w:szCs w:val="16"/>
          <w:shd w:val="clear" w:color="auto" w:fill="FFFFFF"/>
        </w:rPr>
        <w:t>1</w:t>
      </w:r>
      <w:r>
        <w:rPr>
          <w:rFonts w:ascii="Arial" w:eastAsia="Times New Roman" w:hAnsi="Arial" w:cs="Arial"/>
          <w:i/>
          <w:iCs/>
          <w:color w:val="000000"/>
          <w:sz w:val="16"/>
          <w:szCs w:val="16"/>
        </w:rPr>
        <w:t>During the years December 31, 2021, 2020 and 2019, we had Operating and administrative costs from the Seaway Crude Pipeline System of $389 million, $342 million and $327 million, respectively. These costs are a result of an operational contract where we ut</w:t>
      </w:r>
      <w:r>
        <w:rPr>
          <w:rFonts w:ascii="Arial" w:eastAsia="Times New Roman" w:hAnsi="Arial" w:cs="Arial"/>
          <w:i/>
          <w:iCs/>
          <w:color w:val="000000"/>
          <w:sz w:val="16"/>
          <w:szCs w:val="16"/>
        </w:rPr>
        <w:t>ilize capacity on Seaway Crude Pipeline System assets for use in our Liquids Pipelines business. The costs are offset by recoveries recorded on expenses incurred by us on behalf of our significantly influenced investees of $104 million, $94 million and $86</w:t>
      </w:r>
      <w:r>
        <w:rPr>
          <w:rFonts w:ascii="Arial" w:eastAsia="Times New Roman" w:hAnsi="Arial" w:cs="Arial"/>
          <w:i/>
          <w:iCs/>
          <w:color w:val="000000"/>
          <w:sz w:val="16"/>
          <w:szCs w:val="16"/>
        </w:rPr>
        <w:t> million for the years ended December 31, 2021, 2020 and 2019.</w:t>
      </w:r>
    </w:p>
    <w:p w:rsidR="00000000" w:rsidRDefault="001F1FC8">
      <w:pPr>
        <w:ind w:hanging="180"/>
        <w:divId w:val="880048575"/>
        <w:rPr>
          <w:rFonts w:eastAsia="Times New Roman"/>
        </w:rPr>
      </w:pPr>
      <w:r>
        <w:rPr>
          <w:rFonts w:ascii="Arial" w:eastAsia="Times New Roman" w:hAnsi="Arial" w:cs="Arial"/>
          <w:i/>
          <w:iCs/>
          <w:color w:val="000000"/>
          <w:sz w:val="16"/>
          <w:szCs w:val="16"/>
        </w:rPr>
        <w:t xml:space="preserve">2During the years December 31, 2021, 2020 and 2019, we had Commodity costs from the Aux Sable Canada LP. of $447 million, $91 million and $272 million, respectively. </w:t>
      </w:r>
    </w:p>
    <w:p w:rsidR="00000000" w:rsidRDefault="001F1FC8">
      <w:pPr>
        <w:divId w:val="1033186090"/>
        <w:rPr>
          <w:rFonts w:eastAsia="Times New Roman"/>
        </w:rPr>
      </w:pPr>
    </w:p>
    <w:p w:rsidR="00000000" w:rsidRDefault="001F1FC8">
      <w:pPr>
        <w:divId w:val="204876313"/>
        <w:rPr>
          <w:rFonts w:eastAsia="Times New Roman"/>
        </w:rPr>
      </w:pPr>
      <w:r>
        <w:rPr>
          <w:rFonts w:ascii="Arial" w:eastAsia="Times New Roman" w:hAnsi="Arial" w:cs="Arial"/>
          <w:b/>
          <w:bCs/>
          <w:color w:val="000000"/>
          <w:sz w:val="20"/>
          <w:szCs w:val="20"/>
        </w:rPr>
        <w:t>LONG-TERM NOTES RECEIVAB</w:t>
      </w:r>
      <w:r>
        <w:rPr>
          <w:rFonts w:ascii="Arial" w:eastAsia="Times New Roman" w:hAnsi="Arial" w:cs="Arial"/>
          <w:b/>
          <w:bCs/>
          <w:color w:val="000000"/>
          <w:sz w:val="20"/>
          <w:szCs w:val="20"/>
        </w:rPr>
        <w:t>LE FROM AFFILIATES</w:t>
      </w:r>
    </w:p>
    <w:p w:rsidR="00000000" w:rsidRDefault="001F1FC8">
      <w:pPr>
        <w:divId w:val="420562991"/>
        <w:rPr>
          <w:rFonts w:eastAsia="Times New Roman"/>
        </w:rPr>
      </w:pPr>
      <w:r>
        <w:rPr>
          <w:rFonts w:ascii="Arial" w:eastAsia="Times New Roman" w:hAnsi="Arial" w:cs="Arial"/>
          <w:color w:val="000000"/>
          <w:sz w:val="20"/>
          <w:szCs w:val="20"/>
        </w:rPr>
        <w:t>As at December 31, 2021, amounts receivable from affiliates include a series of loans totaling $954 million ($1,108 million as at December 31, 2020), which require quarterly or semi-annual interest payments at annual interest rates rangi</w:t>
      </w:r>
      <w:r>
        <w:rPr>
          <w:rFonts w:ascii="Arial" w:eastAsia="Times New Roman" w:hAnsi="Arial" w:cs="Arial"/>
          <w:color w:val="000000"/>
          <w:sz w:val="20"/>
          <w:szCs w:val="20"/>
        </w:rPr>
        <w:t>ng from 3% to 8%. Interest income recognized from these notes totaled $39 million, $44 million and $40 million for the years ended December 31, 2021, 2020 and 2019, respectively. The amounts receivable from affiliates are included in Deferred amounts and o</w:t>
      </w:r>
      <w:r>
        <w:rPr>
          <w:rFonts w:ascii="Arial" w:eastAsia="Times New Roman" w:hAnsi="Arial" w:cs="Arial"/>
          <w:color w:val="000000"/>
          <w:sz w:val="20"/>
          <w:szCs w:val="20"/>
        </w:rPr>
        <w:t>ther assets in the Consolidated Statements of Financial position.</w:t>
      </w:r>
    </w:p>
    <w:p w:rsidR="00000000" w:rsidRDefault="001F1FC8">
      <w:pPr>
        <w:divId w:val="1379014970"/>
        <w:rPr>
          <w:rFonts w:eastAsia="Times New Roman"/>
        </w:rPr>
      </w:pPr>
    </w:p>
    <w:p w:rsidR="00000000" w:rsidRDefault="001F1FC8">
      <w:pPr>
        <w:divId w:val="1353144502"/>
        <w:rPr>
          <w:rFonts w:eastAsia="Times New Roman"/>
        </w:rPr>
      </w:pPr>
      <w:r>
        <w:rPr>
          <w:rFonts w:ascii="Arial" w:eastAsia="Times New Roman" w:hAnsi="Arial" w:cs="Arial"/>
          <w:b/>
          <w:bCs/>
          <w:color w:val="000000"/>
          <w:sz w:val="26"/>
          <w:szCs w:val="26"/>
        </w:rPr>
        <w:t>30.  COMMITMENTS AND CONTINGENCIES</w:t>
      </w:r>
    </w:p>
    <w:p w:rsidR="00000000" w:rsidRDefault="001F1FC8">
      <w:pPr>
        <w:divId w:val="1676029892"/>
        <w:rPr>
          <w:rFonts w:eastAsia="Times New Roman"/>
        </w:rPr>
      </w:pPr>
    </w:p>
    <w:p w:rsidR="00000000" w:rsidRDefault="001F1FC8">
      <w:pPr>
        <w:divId w:val="197788449"/>
        <w:rPr>
          <w:rFonts w:eastAsia="Times New Roman"/>
        </w:rPr>
      </w:pPr>
      <w:r>
        <w:rPr>
          <w:rFonts w:ascii="Arial" w:eastAsia="Times New Roman" w:hAnsi="Arial" w:cs="Arial"/>
          <w:b/>
          <w:bCs/>
          <w:color w:val="000000"/>
          <w:sz w:val="20"/>
          <w:szCs w:val="20"/>
        </w:rPr>
        <w:t>COMMITMENTS</w:t>
      </w:r>
    </w:p>
    <w:p w:rsidR="00000000" w:rsidRDefault="001F1FC8">
      <w:pPr>
        <w:divId w:val="205725593"/>
        <w:rPr>
          <w:rFonts w:eastAsia="Times New Roman"/>
        </w:rPr>
      </w:pPr>
      <w:r>
        <w:rPr>
          <w:rFonts w:ascii="Arial" w:eastAsia="Times New Roman" w:hAnsi="Arial" w:cs="Arial"/>
          <w:color w:val="000000"/>
          <w:sz w:val="20"/>
          <w:szCs w:val="20"/>
        </w:rPr>
        <w:t>As at December 31, 2021, we have commitments as detailed below:</w:t>
      </w:r>
    </w:p>
    <w:tbl>
      <w:tblPr>
        <w:tblW w:w="5000" w:type="pct"/>
        <w:tblCellMar>
          <w:top w:w="15" w:type="dxa"/>
          <w:left w:w="15" w:type="dxa"/>
          <w:bottom w:w="15" w:type="dxa"/>
          <w:right w:w="15" w:type="dxa"/>
        </w:tblCellMar>
        <w:tblLook w:val="04A0" w:firstRow="1" w:lastRow="0" w:firstColumn="1" w:lastColumn="0" w:noHBand="0" w:noVBand="1"/>
      </w:tblPr>
      <w:tblGrid>
        <w:gridCol w:w="40"/>
        <w:gridCol w:w="3001"/>
        <w:gridCol w:w="39"/>
        <w:gridCol w:w="96"/>
        <w:gridCol w:w="703"/>
        <w:gridCol w:w="36"/>
        <w:gridCol w:w="83"/>
        <w:gridCol w:w="605"/>
        <w:gridCol w:w="36"/>
        <w:gridCol w:w="83"/>
        <w:gridCol w:w="605"/>
        <w:gridCol w:w="36"/>
        <w:gridCol w:w="69"/>
        <w:gridCol w:w="509"/>
        <w:gridCol w:w="36"/>
        <w:gridCol w:w="69"/>
        <w:gridCol w:w="509"/>
        <w:gridCol w:w="36"/>
        <w:gridCol w:w="83"/>
        <w:gridCol w:w="605"/>
        <w:gridCol w:w="36"/>
        <w:gridCol w:w="88"/>
        <w:gridCol w:w="867"/>
        <w:gridCol w:w="36"/>
      </w:tblGrid>
      <w:tr w:rsidR="00000000">
        <w:trPr>
          <w:divId w:val="29654536"/>
        </w:trPr>
        <w:tc>
          <w:tcPr>
            <w:tcW w:w="50" w:type="pct"/>
            <w:vAlign w:val="center"/>
            <w:hideMark/>
          </w:tcPr>
          <w:p w:rsidR="00000000" w:rsidRDefault="001F1FC8">
            <w:pPr>
              <w:rPr>
                <w:rFonts w:eastAsia="Times New Roman"/>
              </w:rPr>
            </w:pPr>
          </w:p>
        </w:tc>
        <w:tc>
          <w:tcPr>
            <w:tcW w:w="1844"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c>
          <w:tcPr>
            <w:tcW w:w="50" w:type="pct"/>
            <w:vAlign w:val="center"/>
            <w:hideMark/>
          </w:tcPr>
          <w:p w:rsidR="00000000" w:rsidRDefault="001F1FC8">
            <w:pPr>
              <w:rPr>
                <w:rFonts w:eastAsia="Times New Roman"/>
                <w:sz w:val="20"/>
                <w:szCs w:val="20"/>
              </w:rPr>
            </w:pPr>
          </w:p>
        </w:tc>
        <w:tc>
          <w:tcPr>
            <w:tcW w:w="369"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c>
          <w:tcPr>
            <w:tcW w:w="50" w:type="pct"/>
            <w:vAlign w:val="center"/>
            <w:hideMark/>
          </w:tcPr>
          <w:p w:rsidR="00000000" w:rsidRDefault="001F1FC8">
            <w:pPr>
              <w:rPr>
                <w:rFonts w:eastAsia="Times New Roman"/>
                <w:sz w:val="20"/>
                <w:szCs w:val="20"/>
              </w:rPr>
            </w:pPr>
          </w:p>
        </w:tc>
        <w:tc>
          <w:tcPr>
            <w:tcW w:w="369"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c>
          <w:tcPr>
            <w:tcW w:w="50" w:type="pct"/>
            <w:vAlign w:val="center"/>
            <w:hideMark/>
          </w:tcPr>
          <w:p w:rsidR="00000000" w:rsidRDefault="001F1FC8">
            <w:pPr>
              <w:rPr>
                <w:rFonts w:eastAsia="Times New Roman"/>
                <w:sz w:val="20"/>
                <w:szCs w:val="20"/>
              </w:rPr>
            </w:pPr>
          </w:p>
        </w:tc>
        <w:tc>
          <w:tcPr>
            <w:tcW w:w="369"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c>
          <w:tcPr>
            <w:tcW w:w="50" w:type="pct"/>
            <w:vAlign w:val="center"/>
            <w:hideMark/>
          </w:tcPr>
          <w:p w:rsidR="00000000" w:rsidRDefault="001F1FC8">
            <w:pPr>
              <w:rPr>
                <w:rFonts w:eastAsia="Times New Roman"/>
                <w:sz w:val="20"/>
                <w:szCs w:val="20"/>
              </w:rPr>
            </w:pPr>
          </w:p>
        </w:tc>
        <w:tc>
          <w:tcPr>
            <w:tcW w:w="369"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c>
          <w:tcPr>
            <w:tcW w:w="50" w:type="pct"/>
            <w:vAlign w:val="center"/>
            <w:hideMark/>
          </w:tcPr>
          <w:p w:rsidR="00000000" w:rsidRDefault="001F1FC8">
            <w:pPr>
              <w:rPr>
                <w:rFonts w:eastAsia="Times New Roman"/>
                <w:sz w:val="20"/>
                <w:szCs w:val="20"/>
              </w:rPr>
            </w:pPr>
          </w:p>
        </w:tc>
        <w:tc>
          <w:tcPr>
            <w:tcW w:w="369"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c>
          <w:tcPr>
            <w:tcW w:w="50" w:type="pct"/>
            <w:vAlign w:val="center"/>
            <w:hideMark/>
          </w:tcPr>
          <w:p w:rsidR="00000000" w:rsidRDefault="001F1FC8">
            <w:pPr>
              <w:rPr>
                <w:rFonts w:eastAsia="Times New Roman"/>
                <w:sz w:val="20"/>
                <w:szCs w:val="20"/>
              </w:rPr>
            </w:pPr>
          </w:p>
        </w:tc>
        <w:tc>
          <w:tcPr>
            <w:tcW w:w="369"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c>
          <w:tcPr>
            <w:tcW w:w="50" w:type="pct"/>
            <w:vAlign w:val="center"/>
            <w:hideMark/>
          </w:tcPr>
          <w:p w:rsidR="00000000" w:rsidRDefault="001F1FC8">
            <w:pPr>
              <w:rPr>
                <w:rFonts w:eastAsia="Times New Roman"/>
                <w:sz w:val="20"/>
                <w:szCs w:val="20"/>
              </w:rPr>
            </w:pPr>
          </w:p>
        </w:tc>
        <w:tc>
          <w:tcPr>
            <w:tcW w:w="498"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r>
      <w:tr w:rsidR="00000000">
        <w:trPr>
          <w:divId w:val="29654536"/>
        </w:trPr>
        <w:tc>
          <w:tcPr>
            <w:tcW w:w="0" w:type="auto"/>
            <w:gridSpan w:val="3"/>
            <w:tcMar>
              <w:top w:w="0" w:type="dxa"/>
              <w:left w:w="20" w:type="dxa"/>
              <w:bottom w:w="0" w:type="dxa"/>
              <w:right w:w="20" w:type="dxa"/>
            </w:tcMar>
            <w:vAlign w:val="center"/>
            <w:hideMark/>
          </w:tcPr>
          <w:p w:rsidR="00000000" w:rsidRDefault="001F1FC8">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Total</w:t>
            </w:r>
          </w:p>
        </w:tc>
        <w:tc>
          <w:tcPr>
            <w:tcW w:w="0" w:type="auto"/>
            <w:gridSpan w:val="3"/>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Less</w:t>
            </w:r>
          </w:p>
          <w:p w:rsidR="00000000" w:rsidRDefault="001F1FC8">
            <w:pPr>
              <w:jc w:val="right"/>
              <w:rPr>
                <w:rFonts w:eastAsia="Times New Roman"/>
              </w:rPr>
            </w:pPr>
            <w:r>
              <w:rPr>
                <w:rFonts w:ascii="Arial" w:eastAsia="Times New Roman" w:hAnsi="Arial" w:cs="Arial"/>
                <w:color w:val="000000"/>
                <w:sz w:val="20"/>
                <w:szCs w:val="20"/>
              </w:rPr>
              <w:t>than</w:t>
            </w:r>
          </w:p>
          <w:p w:rsidR="00000000" w:rsidRDefault="001F1FC8">
            <w:pPr>
              <w:jc w:val="right"/>
              <w:rPr>
                <w:rFonts w:eastAsia="Times New Roman"/>
              </w:rPr>
            </w:pPr>
            <w:r>
              <w:rPr>
                <w:rFonts w:ascii="Arial" w:eastAsia="Times New Roman" w:hAnsi="Arial" w:cs="Arial"/>
                <w:color w:val="000000"/>
                <w:sz w:val="20"/>
                <w:szCs w:val="20"/>
              </w:rPr>
              <w:t>1 year</w:t>
            </w:r>
          </w:p>
        </w:tc>
        <w:tc>
          <w:tcPr>
            <w:tcW w:w="0" w:type="auto"/>
            <w:gridSpan w:val="3"/>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2 years</w:t>
            </w:r>
          </w:p>
        </w:tc>
        <w:tc>
          <w:tcPr>
            <w:tcW w:w="0" w:type="auto"/>
            <w:gridSpan w:val="3"/>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3 years</w:t>
            </w:r>
          </w:p>
        </w:tc>
        <w:tc>
          <w:tcPr>
            <w:tcW w:w="0" w:type="auto"/>
            <w:gridSpan w:val="3"/>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4 years</w:t>
            </w:r>
          </w:p>
        </w:tc>
        <w:tc>
          <w:tcPr>
            <w:tcW w:w="0" w:type="auto"/>
            <w:gridSpan w:val="3"/>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5 years</w:t>
            </w:r>
          </w:p>
        </w:tc>
        <w:tc>
          <w:tcPr>
            <w:tcW w:w="0" w:type="auto"/>
            <w:gridSpan w:val="3"/>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Thereafter</w:t>
            </w:r>
          </w:p>
        </w:tc>
      </w:tr>
      <w:tr w:rsidR="00000000">
        <w:trPr>
          <w:divId w:val="29654536"/>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1F1FC8">
            <w:pPr>
              <w:rPr>
                <w:rFonts w:eastAsia="Times New Roman"/>
              </w:rPr>
            </w:pPr>
            <w:r>
              <w:rPr>
                <w:rFonts w:ascii="Arial" w:eastAsia="Times New Roman" w:hAnsi="Arial" w:cs="Arial"/>
                <w:i/>
                <w:iCs/>
                <w:color w:val="000000"/>
                <w:sz w:val="16"/>
                <w:szCs w:val="16"/>
              </w:rPr>
              <w:t>(millions of Canadian dollars)</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1F1FC8">
            <w:pPr>
              <w:jc w:val="right"/>
              <w:rPr>
                <w:rFonts w:eastAsia="Times New Roman"/>
              </w:rPr>
            </w:pPr>
            <w:r>
              <w:rPr>
                <w:rFonts w:ascii="Arial" w:eastAsia="Times New Roman" w:hAnsi="Arial" w:cs="Arial"/>
                <w:color w:val="000000"/>
                <w:sz w:val="2"/>
                <w:szCs w:val="2"/>
              </w:rPr>
              <w:t> </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1F1FC8">
            <w:pPr>
              <w:jc w:val="right"/>
              <w:rPr>
                <w:rFonts w:eastAsia="Times New Roman"/>
              </w:rPr>
            </w:pPr>
            <w:r>
              <w:rPr>
                <w:rFonts w:ascii="Arial" w:eastAsia="Times New Roman" w:hAnsi="Arial" w:cs="Arial"/>
                <w:color w:val="000000"/>
                <w:sz w:val="2"/>
                <w:szCs w:val="2"/>
              </w:rPr>
              <w:t> </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1F1FC8">
            <w:pPr>
              <w:jc w:val="right"/>
              <w:rPr>
                <w:rFonts w:eastAsia="Times New Roman"/>
              </w:rPr>
            </w:pPr>
            <w:r>
              <w:rPr>
                <w:rFonts w:ascii="Arial" w:eastAsia="Times New Roman" w:hAnsi="Arial" w:cs="Arial"/>
                <w:color w:val="000000"/>
                <w:sz w:val="2"/>
                <w:szCs w:val="2"/>
              </w:rPr>
              <w:t> </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1F1FC8">
            <w:pPr>
              <w:jc w:val="right"/>
              <w:rPr>
                <w:rFonts w:eastAsia="Times New Roman"/>
              </w:rPr>
            </w:pPr>
            <w:r>
              <w:rPr>
                <w:rFonts w:ascii="Arial" w:eastAsia="Times New Roman" w:hAnsi="Arial" w:cs="Arial"/>
                <w:color w:val="000000"/>
                <w:sz w:val="2"/>
                <w:szCs w:val="2"/>
              </w:rPr>
              <w:t> </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1F1FC8">
            <w:pPr>
              <w:jc w:val="right"/>
              <w:rPr>
                <w:rFonts w:eastAsia="Times New Roman"/>
              </w:rPr>
            </w:pPr>
            <w:r>
              <w:rPr>
                <w:rFonts w:ascii="Arial" w:eastAsia="Times New Roman" w:hAnsi="Arial" w:cs="Arial"/>
                <w:color w:val="000000"/>
                <w:sz w:val="2"/>
                <w:szCs w:val="2"/>
              </w:rPr>
              <w:t> </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1F1FC8">
            <w:pPr>
              <w:jc w:val="right"/>
              <w:rPr>
                <w:rFonts w:eastAsia="Times New Roman"/>
              </w:rPr>
            </w:pPr>
            <w:r>
              <w:rPr>
                <w:rFonts w:ascii="Arial" w:eastAsia="Times New Roman" w:hAnsi="Arial" w:cs="Arial"/>
                <w:color w:val="000000"/>
                <w:sz w:val="2"/>
                <w:szCs w:val="2"/>
              </w:rPr>
              <w:t> </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1F1FC8">
            <w:pPr>
              <w:jc w:val="right"/>
              <w:rPr>
                <w:rFonts w:eastAsia="Times New Roman"/>
              </w:rPr>
            </w:pPr>
            <w:r>
              <w:rPr>
                <w:rFonts w:ascii="Arial" w:eastAsia="Times New Roman" w:hAnsi="Arial" w:cs="Arial"/>
                <w:color w:val="000000"/>
                <w:sz w:val="2"/>
                <w:szCs w:val="2"/>
              </w:rPr>
              <w:t> </w:t>
            </w:r>
          </w:p>
        </w:tc>
      </w:tr>
      <w:tr w:rsidR="00000000">
        <w:trPr>
          <w:divId w:val="29654536"/>
        </w:trPr>
        <w:tc>
          <w:tcPr>
            <w:tcW w:w="0" w:type="auto"/>
            <w:gridSpan w:val="3"/>
            <w:tcMar>
              <w:top w:w="30" w:type="dxa"/>
              <w:left w:w="20" w:type="dxa"/>
              <w:bottom w:w="30" w:type="dxa"/>
              <w:right w:w="20" w:type="dxa"/>
            </w:tcMar>
            <w:vAlign w:val="center"/>
            <w:hideMark/>
          </w:tcPr>
          <w:p w:rsidR="00000000" w:rsidRDefault="001F1FC8">
            <w:pPr>
              <w:divId w:val="794178061"/>
              <w:rPr>
                <w:rFonts w:eastAsia="Times New Roman"/>
              </w:rPr>
            </w:pPr>
            <w:r>
              <w:rPr>
                <w:rFonts w:ascii="Arial" w:eastAsia="Times New Roman" w:hAnsi="Arial" w:cs="Arial"/>
                <w:color w:val="000000"/>
                <w:sz w:val="20"/>
                <w:szCs w:val="20"/>
              </w:rPr>
              <w:t>Annual debt maturitie</w:t>
            </w:r>
            <w:r>
              <w:rPr>
                <w:rFonts w:ascii="Arial" w:eastAsia="Times New Roman" w:hAnsi="Arial" w:cs="Arial"/>
                <w:color w:val="000000"/>
                <w:sz w:val="20"/>
                <w:szCs w:val="20"/>
              </w:rPr>
              <w:t>s</w:t>
            </w:r>
            <w:r>
              <w:rPr>
                <w:rFonts w:ascii="Arial" w:eastAsia="Times New Roman" w:hAnsi="Arial" w:cs="Arial"/>
                <w:color w:val="000000"/>
                <w:sz w:val="10"/>
                <w:szCs w:val="10"/>
              </w:rPr>
              <w:t>1</w:t>
            </w:r>
          </w:p>
        </w:tc>
        <w:tc>
          <w:tcPr>
            <w:tcW w:w="0" w:type="auto"/>
            <w:gridSpan w:val="2"/>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20"/>
                <w:szCs w:val="20"/>
              </w:rPr>
              <w:t>73,809 </w:t>
            </w:r>
          </w:p>
        </w:tc>
        <w:tc>
          <w:tcPr>
            <w:tcW w:w="0" w:type="auto"/>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20"/>
                <w:szCs w:val="20"/>
              </w:rPr>
              <w:t>6,164 </w:t>
            </w:r>
          </w:p>
        </w:tc>
        <w:tc>
          <w:tcPr>
            <w:tcW w:w="0" w:type="auto"/>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20"/>
                <w:szCs w:val="20"/>
              </w:rPr>
              <w:t>7,910 </w:t>
            </w:r>
          </w:p>
        </w:tc>
        <w:tc>
          <w:tcPr>
            <w:tcW w:w="0" w:type="auto"/>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20"/>
                <w:szCs w:val="20"/>
              </w:rPr>
              <w:t>4,559 </w:t>
            </w:r>
          </w:p>
        </w:tc>
        <w:tc>
          <w:tcPr>
            <w:tcW w:w="0" w:type="auto"/>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20"/>
                <w:szCs w:val="20"/>
              </w:rPr>
              <w:t>4,357 </w:t>
            </w:r>
          </w:p>
        </w:tc>
        <w:tc>
          <w:tcPr>
            <w:tcW w:w="0" w:type="auto"/>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20"/>
                <w:szCs w:val="20"/>
              </w:rPr>
              <w:t>11,007 </w:t>
            </w:r>
          </w:p>
        </w:tc>
        <w:tc>
          <w:tcPr>
            <w:tcW w:w="0" w:type="auto"/>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20"/>
                <w:szCs w:val="20"/>
              </w:rPr>
              <w:t>39,812 </w:t>
            </w:r>
          </w:p>
        </w:tc>
        <w:tc>
          <w:tcPr>
            <w:tcW w:w="0" w:type="auto"/>
            <w:tcMar>
              <w:top w:w="30" w:type="dxa"/>
              <w:left w:w="0" w:type="dxa"/>
              <w:bottom w:w="30" w:type="dxa"/>
              <w:right w:w="20" w:type="dxa"/>
            </w:tcMar>
            <w:vAlign w:val="center"/>
            <w:hideMark/>
          </w:tcPr>
          <w:p w:rsidR="00000000" w:rsidRDefault="001F1FC8">
            <w:pPr>
              <w:jc w:val="right"/>
              <w:rPr>
                <w:rFonts w:eastAsia="Times New Roman"/>
              </w:rPr>
            </w:pPr>
          </w:p>
        </w:tc>
      </w:tr>
      <w:tr w:rsidR="00000000">
        <w:trPr>
          <w:divId w:val="29654536"/>
        </w:trPr>
        <w:tc>
          <w:tcPr>
            <w:tcW w:w="0" w:type="auto"/>
            <w:gridSpan w:val="3"/>
            <w:tcMar>
              <w:top w:w="30" w:type="dxa"/>
              <w:left w:w="20" w:type="dxa"/>
              <w:bottom w:w="30" w:type="dxa"/>
              <w:right w:w="20" w:type="dxa"/>
            </w:tcMar>
            <w:vAlign w:val="center"/>
            <w:hideMark/>
          </w:tcPr>
          <w:p w:rsidR="00000000" w:rsidRDefault="001F1FC8">
            <w:pPr>
              <w:divId w:val="1025638985"/>
              <w:rPr>
                <w:rFonts w:eastAsia="Times New Roman"/>
              </w:rPr>
            </w:pPr>
            <w:r>
              <w:rPr>
                <w:rFonts w:ascii="Arial" w:eastAsia="Times New Roman" w:hAnsi="Arial" w:cs="Arial"/>
                <w:color w:val="000000"/>
                <w:sz w:val="20"/>
                <w:szCs w:val="20"/>
              </w:rPr>
              <w:t>Interest obligation</w:t>
            </w:r>
            <w:r>
              <w:rPr>
                <w:rFonts w:ascii="Arial" w:eastAsia="Times New Roman" w:hAnsi="Arial" w:cs="Arial"/>
                <w:color w:val="000000"/>
                <w:sz w:val="20"/>
                <w:szCs w:val="20"/>
              </w:rPr>
              <w:t>s</w:t>
            </w:r>
            <w:r>
              <w:rPr>
                <w:rFonts w:ascii="Arial" w:eastAsia="Times New Roman" w:hAnsi="Arial" w:cs="Arial"/>
                <w:color w:val="000000"/>
                <w:sz w:val="10"/>
                <w:szCs w:val="10"/>
              </w:rPr>
              <w:t>2</w:t>
            </w:r>
          </w:p>
        </w:tc>
        <w:tc>
          <w:tcPr>
            <w:tcW w:w="0" w:type="auto"/>
            <w:gridSpan w:val="2"/>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20"/>
                <w:szCs w:val="20"/>
              </w:rPr>
              <w:t>36,044 </w:t>
            </w:r>
          </w:p>
        </w:tc>
        <w:tc>
          <w:tcPr>
            <w:tcW w:w="0" w:type="auto"/>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20"/>
                <w:szCs w:val="20"/>
              </w:rPr>
              <w:t>2,531 </w:t>
            </w:r>
          </w:p>
        </w:tc>
        <w:tc>
          <w:tcPr>
            <w:tcW w:w="0" w:type="auto"/>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20"/>
                <w:szCs w:val="20"/>
              </w:rPr>
              <w:t>2,389 </w:t>
            </w:r>
          </w:p>
        </w:tc>
        <w:tc>
          <w:tcPr>
            <w:tcW w:w="0" w:type="auto"/>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20"/>
                <w:szCs w:val="20"/>
              </w:rPr>
              <w:t>2,229 </w:t>
            </w:r>
          </w:p>
        </w:tc>
        <w:tc>
          <w:tcPr>
            <w:tcW w:w="0" w:type="auto"/>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20"/>
                <w:szCs w:val="20"/>
              </w:rPr>
              <w:t>2,073 </w:t>
            </w:r>
          </w:p>
        </w:tc>
        <w:tc>
          <w:tcPr>
            <w:tcW w:w="0" w:type="auto"/>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20"/>
                <w:szCs w:val="20"/>
              </w:rPr>
              <w:t>1,925 </w:t>
            </w:r>
          </w:p>
        </w:tc>
        <w:tc>
          <w:tcPr>
            <w:tcW w:w="0" w:type="auto"/>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20"/>
                <w:szCs w:val="20"/>
              </w:rPr>
              <w:t>24,897 </w:t>
            </w:r>
          </w:p>
        </w:tc>
        <w:tc>
          <w:tcPr>
            <w:tcW w:w="0" w:type="auto"/>
            <w:tcMar>
              <w:top w:w="30" w:type="dxa"/>
              <w:left w:w="0" w:type="dxa"/>
              <w:bottom w:w="30" w:type="dxa"/>
              <w:right w:w="20" w:type="dxa"/>
            </w:tcMar>
            <w:vAlign w:val="center"/>
            <w:hideMark/>
          </w:tcPr>
          <w:p w:rsidR="00000000" w:rsidRDefault="001F1FC8">
            <w:pPr>
              <w:jc w:val="right"/>
              <w:rPr>
                <w:rFonts w:eastAsia="Times New Roman"/>
              </w:rPr>
            </w:pPr>
          </w:p>
        </w:tc>
      </w:tr>
      <w:tr w:rsidR="00000000">
        <w:trPr>
          <w:divId w:val="29654536"/>
        </w:trPr>
        <w:tc>
          <w:tcPr>
            <w:tcW w:w="0" w:type="auto"/>
            <w:gridSpan w:val="3"/>
            <w:tcMar>
              <w:top w:w="30" w:type="dxa"/>
              <w:left w:w="20" w:type="dxa"/>
              <w:bottom w:w="30" w:type="dxa"/>
              <w:right w:w="20" w:type="dxa"/>
            </w:tcMar>
            <w:vAlign w:val="center"/>
            <w:hideMark/>
          </w:tcPr>
          <w:p w:rsidR="00000000" w:rsidRDefault="001F1FC8">
            <w:pPr>
              <w:ind w:hanging="180"/>
              <w:divId w:val="543251731"/>
              <w:rPr>
                <w:rFonts w:eastAsia="Times New Roman"/>
              </w:rPr>
            </w:pPr>
            <w:r>
              <w:rPr>
                <w:rFonts w:ascii="Arial" w:eastAsia="Times New Roman" w:hAnsi="Arial" w:cs="Arial"/>
                <w:color w:val="000000"/>
                <w:sz w:val="20"/>
                <w:szCs w:val="20"/>
              </w:rPr>
              <w:t>Purchase of services, pipe and other materials, including transportatio</w:t>
            </w:r>
            <w:r>
              <w:rPr>
                <w:rFonts w:ascii="Arial" w:eastAsia="Times New Roman" w:hAnsi="Arial" w:cs="Arial"/>
                <w:color w:val="000000"/>
                <w:sz w:val="20"/>
                <w:szCs w:val="20"/>
              </w:rPr>
              <w:t>n</w:t>
            </w:r>
            <w:r>
              <w:rPr>
                <w:rFonts w:ascii="Arial" w:eastAsia="Times New Roman" w:hAnsi="Arial" w:cs="Arial"/>
                <w:color w:val="000000"/>
                <w:sz w:val="10"/>
                <w:szCs w:val="10"/>
              </w:rPr>
              <w:t>3</w:t>
            </w: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7,876 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2,945 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1,010 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736 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561 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607 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2,017 </w:t>
            </w:r>
          </w:p>
        </w:tc>
        <w:tc>
          <w:tcPr>
            <w:tcW w:w="0" w:type="auto"/>
            <w:tcMar>
              <w:top w:w="30" w:type="dxa"/>
              <w:left w:w="0" w:type="dxa"/>
              <w:bottom w:w="30" w:type="dxa"/>
              <w:right w:w="20" w:type="dxa"/>
            </w:tcMar>
            <w:vAlign w:val="bottom"/>
            <w:hideMark/>
          </w:tcPr>
          <w:p w:rsidR="00000000" w:rsidRDefault="001F1FC8">
            <w:pPr>
              <w:jc w:val="right"/>
              <w:rPr>
                <w:rFonts w:eastAsia="Times New Roman"/>
              </w:rPr>
            </w:pPr>
          </w:p>
        </w:tc>
      </w:tr>
      <w:tr w:rsidR="00000000">
        <w:trPr>
          <w:divId w:val="29654536"/>
        </w:trPr>
        <w:tc>
          <w:tcPr>
            <w:tcW w:w="0" w:type="auto"/>
            <w:gridSpan w:val="3"/>
            <w:tcMar>
              <w:top w:w="30" w:type="dxa"/>
              <w:left w:w="20" w:type="dxa"/>
              <w:bottom w:w="30" w:type="dxa"/>
              <w:right w:w="20" w:type="dxa"/>
            </w:tcMar>
            <w:vAlign w:val="center"/>
            <w:hideMark/>
          </w:tcPr>
          <w:p w:rsidR="00000000" w:rsidRDefault="001F1FC8">
            <w:pPr>
              <w:rPr>
                <w:rFonts w:eastAsia="Times New Roman"/>
              </w:rPr>
            </w:pPr>
            <w:r>
              <w:rPr>
                <w:rFonts w:ascii="Arial" w:eastAsia="Times New Roman" w:hAnsi="Arial" w:cs="Arial"/>
                <w:color w:val="000000"/>
                <w:sz w:val="20"/>
                <w:szCs w:val="20"/>
              </w:rPr>
              <w:t>Maintenance agreements</w:t>
            </w:r>
          </w:p>
        </w:tc>
        <w:tc>
          <w:tcPr>
            <w:tcW w:w="0" w:type="auto"/>
            <w:gridSpan w:val="2"/>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20"/>
                <w:szCs w:val="20"/>
              </w:rPr>
              <w:t>346 </w:t>
            </w:r>
          </w:p>
        </w:tc>
        <w:tc>
          <w:tcPr>
            <w:tcW w:w="0" w:type="auto"/>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20"/>
                <w:szCs w:val="20"/>
              </w:rPr>
              <w:t>41 </w:t>
            </w:r>
          </w:p>
        </w:tc>
        <w:tc>
          <w:tcPr>
            <w:tcW w:w="0" w:type="auto"/>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20"/>
                <w:szCs w:val="20"/>
              </w:rPr>
              <w:t>20 </w:t>
            </w:r>
          </w:p>
        </w:tc>
        <w:tc>
          <w:tcPr>
            <w:tcW w:w="0" w:type="auto"/>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20"/>
                <w:szCs w:val="20"/>
              </w:rPr>
              <w:t>20 </w:t>
            </w:r>
          </w:p>
        </w:tc>
        <w:tc>
          <w:tcPr>
            <w:tcW w:w="0" w:type="auto"/>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20"/>
                <w:szCs w:val="20"/>
              </w:rPr>
              <w:t>21 </w:t>
            </w:r>
          </w:p>
        </w:tc>
        <w:tc>
          <w:tcPr>
            <w:tcW w:w="0" w:type="auto"/>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20"/>
                <w:szCs w:val="20"/>
              </w:rPr>
              <w:t>21 </w:t>
            </w:r>
          </w:p>
        </w:tc>
        <w:tc>
          <w:tcPr>
            <w:tcW w:w="0" w:type="auto"/>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20"/>
                <w:szCs w:val="20"/>
              </w:rPr>
              <w:t>223 </w:t>
            </w:r>
          </w:p>
        </w:tc>
        <w:tc>
          <w:tcPr>
            <w:tcW w:w="0" w:type="auto"/>
            <w:tcMar>
              <w:top w:w="30" w:type="dxa"/>
              <w:left w:w="0" w:type="dxa"/>
              <w:bottom w:w="30" w:type="dxa"/>
              <w:right w:w="20" w:type="dxa"/>
            </w:tcMar>
            <w:vAlign w:val="center"/>
            <w:hideMark/>
          </w:tcPr>
          <w:p w:rsidR="00000000" w:rsidRDefault="001F1FC8">
            <w:pPr>
              <w:jc w:val="right"/>
              <w:rPr>
                <w:rFonts w:eastAsia="Times New Roman"/>
              </w:rPr>
            </w:pPr>
          </w:p>
        </w:tc>
      </w:tr>
      <w:tr w:rsidR="00000000">
        <w:trPr>
          <w:divId w:val="29654536"/>
        </w:trPr>
        <w:tc>
          <w:tcPr>
            <w:tcW w:w="0" w:type="auto"/>
            <w:gridSpan w:val="3"/>
            <w:tcMar>
              <w:top w:w="30" w:type="dxa"/>
              <w:left w:w="20" w:type="dxa"/>
              <w:bottom w:w="30" w:type="dxa"/>
              <w:right w:w="20" w:type="dxa"/>
            </w:tcMar>
            <w:vAlign w:val="center"/>
            <w:hideMark/>
          </w:tcPr>
          <w:p w:rsidR="00000000" w:rsidRDefault="001F1FC8">
            <w:pPr>
              <w:rPr>
                <w:rFonts w:eastAsia="Times New Roman"/>
              </w:rPr>
            </w:pPr>
            <w:r>
              <w:rPr>
                <w:rFonts w:ascii="Arial" w:eastAsia="Times New Roman" w:hAnsi="Arial" w:cs="Arial"/>
                <w:color w:val="000000"/>
                <w:sz w:val="20"/>
                <w:szCs w:val="20"/>
              </w:rPr>
              <w:t>Right-of-ways commitments</w:t>
            </w:r>
          </w:p>
        </w:tc>
        <w:tc>
          <w:tcPr>
            <w:tcW w:w="0" w:type="auto"/>
            <w:gridSpan w:val="2"/>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20"/>
                <w:szCs w:val="20"/>
              </w:rPr>
              <w:t>1,249 </w:t>
            </w:r>
          </w:p>
        </w:tc>
        <w:tc>
          <w:tcPr>
            <w:tcW w:w="0" w:type="auto"/>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20"/>
                <w:szCs w:val="20"/>
              </w:rPr>
              <w:t>35 </w:t>
            </w:r>
          </w:p>
        </w:tc>
        <w:tc>
          <w:tcPr>
            <w:tcW w:w="0" w:type="auto"/>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20"/>
                <w:szCs w:val="20"/>
              </w:rPr>
              <w:t>35 </w:t>
            </w:r>
          </w:p>
        </w:tc>
        <w:tc>
          <w:tcPr>
            <w:tcW w:w="0" w:type="auto"/>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20"/>
                <w:szCs w:val="20"/>
              </w:rPr>
              <w:t>35 </w:t>
            </w:r>
          </w:p>
        </w:tc>
        <w:tc>
          <w:tcPr>
            <w:tcW w:w="0" w:type="auto"/>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20"/>
                <w:szCs w:val="20"/>
              </w:rPr>
              <w:t>36 </w:t>
            </w:r>
          </w:p>
        </w:tc>
        <w:tc>
          <w:tcPr>
            <w:tcW w:w="0" w:type="auto"/>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20"/>
                <w:szCs w:val="20"/>
              </w:rPr>
              <w:t>37 </w:t>
            </w:r>
          </w:p>
        </w:tc>
        <w:tc>
          <w:tcPr>
            <w:tcW w:w="0" w:type="auto"/>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20"/>
                <w:szCs w:val="20"/>
              </w:rPr>
              <w:t>1,071 </w:t>
            </w:r>
          </w:p>
        </w:tc>
        <w:tc>
          <w:tcPr>
            <w:tcW w:w="0" w:type="auto"/>
            <w:tcMar>
              <w:top w:w="30" w:type="dxa"/>
              <w:left w:w="0" w:type="dxa"/>
              <w:bottom w:w="30" w:type="dxa"/>
              <w:right w:w="20" w:type="dxa"/>
            </w:tcMar>
            <w:vAlign w:val="center"/>
            <w:hideMark/>
          </w:tcPr>
          <w:p w:rsidR="00000000" w:rsidRDefault="001F1FC8">
            <w:pPr>
              <w:jc w:val="right"/>
              <w:rPr>
                <w:rFonts w:eastAsia="Times New Roman"/>
              </w:rPr>
            </w:pPr>
          </w:p>
        </w:tc>
      </w:tr>
      <w:tr w:rsidR="00000000">
        <w:trPr>
          <w:divId w:val="29654536"/>
        </w:trPr>
        <w:tc>
          <w:tcPr>
            <w:tcW w:w="0" w:type="auto"/>
            <w:gridSpan w:val="3"/>
            <w:tcBorders>
              <w:top w:val="single" w:sz="4" w:space="0" w:color="000000"/>
              <w:bottom w:val="single" w:sz="12" w:space="0" w:color="000000"/>
            </w:tcBorders>
            <w:tcMar>
              <w:top w:w="30" w:type="dxa"/>
              <w:left w:w="20" w:type="dxa"/>
              <w:bottom w:w="30" w:type="dxa"/>
              <w:right w:w="20" w:type="dxa"/>
            </w:tcMar>
            <w:vAlign w:val="center"/>
            <w:hideMark/>
          </w:tcPr>
          <w:p w:rsidR="00000000" w:rsidRDefault="001F1FC8">
            <w:pPr>
              <w:rPr>
                <w:rFonts w:eastAsia="Times New Roman"/>
              </w:rPr>
            </w:pPr>
            <w:r>
              <w:rPr>
                <w:rFonts w:ascii="Arial" w:eastAsia="Times New Roman" w:hAnsi="Arial" w:cs="Arial"/>
                <w:color w:val="000000"/>
                <w:sz w:val="20"/>
                <w:szCs w:val="20"/>
              </w:rPr>
              <w:t>Total</w:t>
            </w:r>
          </w:p>
        </w:tc>
        <w:tc>
          <w:tcPr>
            <w:tcW w:w="0" w:type="auto"/>
            <w:gridSpan w:val="2"/>
            <w:tcBorders>
              <w:top w:val="single" w:sz="4" w:space="0" w:color="000000"/>
              <w:bottom w:val="single" w:sz="12" w:space="0" w:color="000000"/>
            </w:tcBorders>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20"/>
                <w:szCs w:val="20"/>
              </w:rPr>
              <w:t>119,324 </w:t>
            </w:r>
          </w:p>
        </w:tc>
        <w:tc>
          <w:tcPr>
            <w:tcW w:w="0" w:type="auto"/>
            <w:tcBorders>
              <w:top w:val="single" w:sz="4" w:space="0" w:color="000000"/>
              <w:bottom w:val="single" w:sz="12" w:space="0" w:color="000000"/>
            </w:tcBorders>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Borders>
              <w:top w:val="single" w:sz="4" w:space="0" w:color="000000"/>
              <w:bottom w:val="single" w:sz="12" w:space="0" w:color="000000"/>
            </w:tcBorders>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20"/>
                <w:szCs w:val="20"/>
              </w:rPr>
              <w:t>11,716 </w:t>
            </w:r>
          </w:p>
        </w:tc>
        <w:tc>
          <w:tcPr>
            <w:tcW w:w="0" w:type="auto"/>
            <w:tcBorders>
              <w:top w:val="single" w:sz="4" w:space="0" w:color="000000"/>
              <w:bottom w:val="single" w:sz="12" w:space="0" w:color="000000"/>
            </w:tcBorders>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Borders>
              <w:top w:val="single" w:sz="4" w:space="0" w:color="000000"/>
              <w:bottom w:val="single" w:sz="12" w:space="0" w:color="000000"/>
            </w:tcBorders>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20"/>
                <w:szCs w:val="20"/>
              </w:rPr>
              <w:t>11,364 </w:t>
            </w:r>
          </w:p>
        </w:tc>
        <w:tc>
          <w:tcPr>
            <w:tcW w:w="0" w:type="auto"/>
            <w:tcBorders>
              <w:top w:val="single" w:sz="4" w:space="0" w:color="000000"/>
              <w:bottom w:val="single" w:sz="12" w:space="0" w:color="000000"/>
            </w:tcBorders>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Borders>
              <w:top w:val="single" w:sz="4" w:space="0" w:color="000000"/>
              <w:bottom w:val="single" w:sz="12" w:space="0" w:color="000000"/>
            </w:tcBorders>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20"/>
                <w:szCs w:val="20"/>
              </w:rPr>
              <w:t>7,579 </w:t>
            </w:r>
          </w:p>
        </w:tc>
        <w:tc>
          <w:tcPr>
            <w:tcW w:w="0" w:type="auto"/>
            <w:tcBorders>
              <w:top w:val="single" w:sz="4" w:space="0" w:color="000000"/>
              <w:bottom w:val="single" w:sz="12" w:space="0" w:color="000000"/>
            </w:tcBorders>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Borders>
              <w:top w:val="single" w:sz="4" w:space="0" w:color="000000"/>
              <w:bottom w:val="single" w:sz="12" w:space="0" w:color="000000"/>
            </w:tcBorders>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20"/>
                <w:szCs w:val="20"/>
              </w:rPr>
              <w:t>7,048 </w:t>
            </w:r>
          </w:p>
        </w:tc>
        <w:tc>
          <w:tcPr>
            <w:tcW w:w="0" w:type="auto"/>
            <w:tcBorders>
              <w:top w:val="single" w:sz="4" w:space="0" w:color="000000"/>
              <w:bottom w:val="single" w:sz="12" w:space="0" w:color="000000"/>
            </w:tcBorders>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Borders>
              <w:top w:val="single" w:sz="4" w:space="0" w:color="000000"/>
              <w:bottom w:val="single" w:sz="12" w:space="0" w:color="000000"/>
            </w:tcBorders>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20"/>
                <w:szCs w:val="20"/>
              </w:rPr>
              <w:t>13,597 </w:t>
            </w:r>
          </w:p>
        </w:tc>
        <w:tc>
          <w:tcPr>
            <w:tcW w:w="0" w:type="auto"/>
            <w:tcBorders>
              <w:top w:val="single" w:sz="4" w:space="0" w:color="000000"/>
              <w:bottom w:val="single" w:sz="12" w:space="0" w:color="000000"/>
            </w:tcBorders>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Borders>
              <w:top w:val="single" w:sz="4" w:space="0" w:color="000000"/>
              <w:bottom w:val="single" w:sz="12" w:space="0" w:color="000000"/>
            </w:tcBorders>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20"/>
                <w:szCs w:val="20"/>
              </w:rPr>
              <w:t>68,020 </w:t>
            </w:r>
          </w:p>
        </w:tc>
        <w:tc>
          <w:tcPr>
            <w:tcW w:w="0" w:type="auto"/>
            <w:tcBorders>
              <w:top w:val="single" w:sz="4" w:space="0" w:color="000000"/>
              <w:bottom w:val="single" w:sz="12" w:space="0" w:color="000000"/>
            </w:tcBorders>
            <w:tcMar>
              <w:top w:w="30" w:type="dxa"/>
              <w:left w:w="0" w:type="dxa"/>
              <w:bottom w:w="30" w:type="dxa"/>
              <w:right w:w="20" w:type="dxa"/>
            </w:tcMar>
            <w:vAlign w:val="center"/>
            <w:hideMark/>
          </w:tcPr>
          <w:p w:rsidR="00000000" w:rsidRDefault="001F1FC8">
            <w:pPr>
              <w:jc w:val="right"/>
              <w:rPr>
                <w:rFonts w:eastAsia="Times New Roman"/>
              </w:rPr>
            </w:pPr>
          </w:p>
        </w:tc>
      </w:tr>
    </w:tbl>
    <w:p w:rsidR="00000000" w:rsidRDefault="001F1FC8">
      <w:pPr>
        <w:ind w:hanging="180"/>
        <w:divId w:val="498470738"/>
        <w:rPr>
          <w:rFonts w:eastAsia="Times New Roman"/>
        </w:rPr>
      </w:pPr>
      <w:r>
        <w:rPr>
          <w:rFonts w:ascii="Arial" w:eastAsia="Times New Roman" w:hAnsi="Arial" w:cs="Arial"/>
          <w:i/>
          <w:iCs/>
          <w:color w:val="000000"/>
          <w:sz w:val="16"/>
          <w:szCs w:val="16"/>
        </w:rPr>
        <w:t xml:space="preserve">1Includes debentures, term notes, commercial paper and credit facility draws based on the facility's maturity date and excludes </w:t>
      </w:r>
      <w:r>
        <w:rPr>
          <w:rFonts w:ascii="Arial" w:eastAsia="Times New Roman" w:hAnsi="Arial" w:cs="Arial"/>
          <w:i/>
          <w:iCs/>
          <w:color w:val="000000"/>
          <w:sz w:val="16"/>
          <w:szCs w:val="16"/>
        </w:rPr>
        <w:t>short-term borrowings, debt discounts, debt issuance costs, finance lease obligations and fair value adjustment. We have the ability under certain debt facilities to call and repay the obligations prior to scheduled maturities. Therefore, the actual timing</w:t>
      </w:r>
      <w:r>
        <w:rPr>
          <w:rFonts w:ascii="Arial" w:eastAsia="Times New Roman" w:hAnsi="Arial" w:cs="Arial"/>
          <w:i/>
          <w:iCs/>
          <w:color w:val="000000"/>
          <w:sz w:val="16"/>
          <w:szCs w:val="16"/>
        </w:rPr>
        <w:t xml:space="preserve"> of future cash repayments could be materially different than presented above.</w:t>
      </w:r>
    </w:p>
    <w:p w:rsidR="00000000" w:rsidRDefault="001F1FC8">
      <w:pPr>
        <w:ind w:hanging="180"/>
        <w:divId w:val="1213812191"/>
        <w:rPr>
          <w:rFonts w:eastAsia="Times New Roman"/>
        </w:rPr>
      </w:pPr>
      <w:r>
        <w:rPr>
          <w:rFonts w:ascii="Arial" w:eastAsia="Times New Roman" w:hAnsi="Arial" w:cs="Arial"/>
          <w:i/>
          <w:iCs/>
          <w:color w:val="000000"/>
          <w:sz w:val="16"/>
          <w:szCs w:val="16"/>
        </w:rPr>
        <w:t>2</w:t>
      </w:r>
      <w:r>
        <w:rPr>
          <w:rFonts w:ascii="Arial" w:eastAsia="Times New Roman" w:hAnsi="Arial" w:cs="Arial"/>
          <w:i/>
          <w:iCs/>
          <w:color w:val="000000"/>
          <w:sz w:val="16"/>
          <w:szCs w:val="16"/>
        </w:rPr>
        <w:t>Includes debentures and term notes bearing interest at fixed, floating and fixed-to-floating rates.</w:t>
      </w:r>
    </w:p>
    <w:p w:rsidR="00000000" w:rsidRDefault="001F1FC8">
      <w:pPr>
        <w:ind w:hanging="180"/>
        <w:divId w:val="96103619"/>
        <w:rPr>
          <w:rFonts w:eastAsia="Times New Roman"/>
        </w:rPr>
      </w:pPr>
      <w:r>
        <w:rPr>
          <w:rFonts w:ascii="Arial" w:eastAsia="Times New Roman" w:hAnsi="Arial" w:cs="Arial"/>
          <w:i/>
          <w:iCs/>
          <w:color w:val="000000"/>
          <w:sz w:val="16"/>
          <w:szCs w:val="16"/>
        </w:rPr>
        <w:t>3Includes capital and operating commitments. Consists primarily of gas transportation and storage contracts, firm capacity payments and gas purchase commitm</w:t>
      </w:r>
      <w:r>
        <w:rPr>
          <w:rFonts w:ascii="Arial" w:eastAsia="Times New Roman" w:hAnsi="Arial" w:cs="Arial"/>
          <w:i/>
          <w:iCs/>
          <w:color w:val="000000"/>
          <w:sz w:val="16"/>
          <w:szCs w:val="16"/>
        </w:rPr>
        <w:t>ents, transportation, service and product purchase obligations, and power commitments.</w:t>
      </w:r>
    </w:p>
    <w:p w:rsidR="00000000" w:rsidRDefault="001F1FC8">
      <w:pPr>
        <w:divId w:val="233666821"/>
        <w:rPr>
          <w:rFonts w:eastAsia="Times New Roman"/>
        </w:rPr>
      </w:pPr>
    </w:p>
    <w:p w:rsidR="00000000" w:rsidRDefault="001F1FC8">
      <w:pPr>
        <w:jc w:val="center"/>
        <w:divId w:val="1619918964"/>
        <w:rPr>
          <w:rFonts w:eastAsia="Times New Roman"/>
        </w:rPr>
      </w:pPr>
      <w:r>
        <w:rPr>
          <w:rFonts w:ascii="Arial" w:eastAsia="Times New Roman" w:hAnsi="Arial" w:cs="Arial"/>
          <w:color w:val="000000"/>
          <w:sz w:val="20"/>
          <w:szCs w:val="20"/>
        </w:rPr>
        <w:t>176</w:t>
      </w:r>
    </w:p>
    <w:p w:rsidR="00000000" w:rsidRDefault="001F1FC8">
      <w:pPr>
        <w:rPr>
          <w:rFonts w:eastAsia="Times New Roman"/>
        </w:rPr>
      </w:pPr>
      <w:r>
        <w:rPr>
          <w:rFonts w:eastAsia="Times New Roman"/>
        </w:rPr>
        <w:pict>
          <v:rect id="_x0000_i1206" style="width:0;height:1.5pt" o:hralign="center" o:hrstd="t" o:hr="t" fillcolor="#a0a0a0" stroked="f"/>
        </w:pict>
      </w:r>
    </w:p>
    <w:p w:rsidR="00000000" w:rsidRDefault="001F1FC8">
      <w:pPr>
        <w:jc w:val="center"/>
        <w:divId w:val="824973337"/>
        <w:rPr>
          <w:rFonts w:eastAsia="Times New Roman"/>
        </w:rPr>
      </w:pPr>
    </w:p>
    <w:p w:rsidR="00000000" w:rsidRDefault="001F1FC8">
      <w:pPr>
        <w:jc w:val="both"/>
        <w:rPr>
          <w:rFonts w:eastAsia="Times New Roman"/>
        </w:rPr>
      </w:pPr>
      <w:r>
        <w:rPr>
          <w:rFonts w:ascii="Arial" w:eastAsia="Times New Roman" w:hAnsi="Arial" w:cs="Arial"/>
          <w:b/>
          <w:bCs/>
          <w:color w:val="000000"/>
          <w:sz w:val="20"/>
          <w:szCs w:val="20"/>
        </w:rPr>
        <w:t>ENVIRONMENTAL</w:t>
      </w:r>
    </w:p>
    <w:p w:rsidR="00000000" w:rsidRDefault="001F1FC8">
      <w:pPr>
        <w:divId w:val="2033719781"/>
        <w:rPr>
          <w:rFonts w:eastAsia="Times New Roman"/>
        </w:rPr>
      </w:pPr>
      <w:r>
        <w:rPr>
          <w:rFonts w:ascii="Arial" w:eastAsia="Times New Roman" w:hAnsi="Arial" w:cs="Arial"/>
          <w:color w:val="000000"/>
          <w:sz w:val="20"/>
          <w:szCs w:val="20"/>
        </w:rPr>
        <w:t>We are subject to various Canadian and US federal, state and local laws relating to the protection of the envi</w:t>
      </w:r>
      <w:r>
        <w:rPr>
          <w:rFonts w:ascii="Arial" w:eastAsia="Times New Roman" w:hAnsi="Arial" w:cs="Arial"/>
          <w:color w:val="000000"/>
          <w:sz w:val="20"/>
          <w:szCs w:val="20"/>
        </w:rPr>
        <w:t>ronment. These laws and regulations can change from time to time, imposing new obligations on us.</w:t>
      </w:r>
    </w:p>
    <w:p w:rsidR="00000000" w:rsidRDefault="001F1FC8">
      <w:pPr>
        <w:divId w:val="2054886604"/>
        <w:rPr>
          <w:rFonts w:eastAsia="Times New Roman"/>
        </w:rPr>
      </w:pPr>
    </w:p>
    <w:p w:rsidR="00000000" w:rsidRDefault="001F1FC8">
      <w:pPr>
        <w:divId w:val="1733385457"/>
        <w:rPr>
          <w:rFonts w:eastAsia="Times New Roman"/>
        </w:rPr>
      </w:pPr>
      <w:r>
        <w:rPr>
          <w:rFonts w:ascii="Arial" w:eastAsia="Times New Roman" w:hAnsi="Arial" w:cs="Arial"/>
          <w:color w:val="000000"/>
          <w:sz w:val="20"/>
          <w:szCs w:val="20"/>
        </w:rPr>
        <w:t>Environmental risk is inherent to liquid hydrocarbon and natural gas pipeline operations, and Enbridge and its affiliates are, at times, subject to environm</w:t>
      </w:r>
      <w:r>
        <w:rPr>
          <w:rFonts w:ascii="Arial" w:eastAsia="Times New Roman" w:hAnsi="Arial" w:cs="Arial"/>
          <w:color w:val="000000"/>
          <w:sz w:val="20"/>
          <w:szCs w:val="20"/>
        </w:rPr>
        <w:t>ental remediation at various sites where we operate. We manage this environmental risk through appropriate environmental policies, programs and practices to minimize any impact our operations may have on the environment. To the extent that we are unable to</w:t>
      </w:r>
      <w:r>
        <w:rPr>
          <w:rFonts w:ascii="Arial" w:eastAsia="Times New Roman" w:hAnsi="Arial" w:cs="Arial"/>
          <w:color w:val="000000"/>
          <w:sz w:val="20"/>
          <w:szCs w:val="20"/>
        </w:rPr>
        <w:t xml:space="preserve"> recover payment for environmental liabilities from insurance or other potentially responsible parties, we will be responsible for payment of liabilities arising from environmental incidents associated with our operating activities.</w:t>
      </w:r>
    </w:p>
    <w:p w:rsidR="00000000" w:rsidRDefault="001F1FC8">
      <w:pPr>
        <w:divId w:val="810681274"/>
        <w:rPr>
          <w:rFonts w:eastAsia="Times New Roman"/>
        </w:rPr>
      </w:pPr>
    </w:p>
    <w:p w:rsidR="00000000" w:rsidRDefault="001F1FC8">
      <w:pPr>
        <w:divId w:val="145978244"/>
        <w:rPr>
          <w:rFonts w:eastAsia="Times New Roman"/>
        </w:rPr>
      </w:pPr>
      <w:r>
        <w:rPr>
          <w:rFonts w:ascii="Arial" w:eastAsia="Times New Roman" w:hAnsi="Arial" w:cs="Arial"/>
          <w:b/>
          <w:bCs/>
          <w:color w:val="000000"/>
          <w:sz w:val="20"/>
          <w:szCs w:val="20"/>
        </w:rPr>
        <w:t>AUX SABLE</w:t>
      </w:r>
    </w:p>
    <w:p w:rsidR="00000000" w:rsidRDefault="001F1FC8">
      <w:pPr>
        <w:divId w:val="1001784215"/>
        <w:rPr>
          <w:rFonts w:eastAsia="Times New Roman"/>
        </w:rPr>
      </w:pPr>
      <w:r>
        <w:rPr>
          <w:rFonts w:ascii="Arial" w:eastAsia="Times New Roman" w:hAnsi="Arial" w:cs="Arial"/>
          <w:color w:val="000000"/>
          <w:sz w:val="20"/>
          <w:szCs w:val="20"/>
        </w:rPr>
        <w:t xml:space="preserve">On October </w:t>
      </w:r>
      <w:r>
        <w:rPr>
          <w:rFonts w:ascii="Arial" w:eastAsia="Times New Roman" w:hAnsi="Arial" w:cs="Arial"/>
          <w:color w:val="000000"/>
          <w:sz w:val="20"/>
          <w:szCs w:val="20"/>
        </w:rPr>
        <w:t>14, 2016, an amended claim was filed against Aux Sable by a counterparty to an NGL supply agreement. On January 5, 2017, Aux Sable filed a Statement of Defence with respect to this claim.</w:t>
      </w:r>
    </w:p>
    <w:p w:rsidR="00000000" w:rsidRDefault="001F1FC8">
      <w:pPr>
        <w:divId w:val="820072910"/>
        <w:rPr>
          <w:rFonts w:eastAsia="Times New Roman"/>
        </w:rPr>
      </w:pPr>
    </w:p>
    <w:p w:rsidR="00000000" w:rsidRDefault="001F1FC8">
      <w:pPr>
        <w:divId w:val="1698770560"/>
        <w:rPr>
          <w:rFonts w:eastAsia="Times New Roman"/>
        </w:rPr>
      </w:pPr>
      <w:r>
        <w:rPr>
          <w:rFonts w:ascii="Arial" w:eastAsia="Times New Roman" w:hAnsi="Arial" w:cs="Arial"/>
          <w:color w:val="000000"/>
          <w:sz w:val="20"/>
          <w:szCs w:val="20"/>
        </w:rPr>
        <w:t>On November 27, 2019, the counterparty filed an amended amended cl</w:t>
      </w:r>
      <w:r>
        <w:rPr>
          <w:rFonts w:ascii="Arial" w:eastAsia="Times New Roman" w:hAnsi="Arial" w:cs="Arial"/>
          <w:color w:val="000000"/>
          <w:sz w:val="20"/>
          <w:szCs w:val="20"/>
        </w:rPr>
        <w:t>aim providing further particulars of its claim against Aux Sable, increasing its damages claimed, and adding defendants Aux Sable Liquid Products Inc. and Aux Sable Extraction LLC (general partners of the previously existing defendants). Aux Sable filed an</w:t>
      </w:r>
      <w:r>
        <w:rPr>
          <w:rFonts w:ascii="Arial" w:eastAsia="Times New Roman" w:hAnsi="Arial" w:cs="Arial"/>
          <w:color w:val="000000"/>
          <w:sz w:val="20"/>
          <w:szCs w:val="20"/>
        </w:rPr>
        <w:t xml:space="preserve"> amended Statement of Defence responding to the amended amended claim on January 31, 2020.</w:t>
      </w:r>
    </w:p>
    <w:p w:rsidR="00000000" w:rsidRDefault="001F1FC8">
      <w:pPr>
        <w:divId w:val="22480712"/>
        <w:rPr>
          <w:rFonts w:eastAsia="Times New Roman"/>
        </w:rPr>
      </w:pPr>
    </w:p>
    <w:p w:rsidR="00000000" w:rsidRDefault="001F1FC8">
      <w:pPr>
        <w:divId w:val="1386294347"/>
        <w:rPr>
          <w:rFonts w:eastAsia="Times New Roman"/>
        </w:rPr>
      </w:pPr>
      <w:r>
        <w:rPr>
          <w:rFonts w:ascii="Arial" w:eastAsia="Times New Roman" w:hAnsi="Arial" w:cs="Arial"/>
          <w:color w:val="000000"/>
          <w:sz w:val="20"/>
          <w:szCs w:val="20"/>
        </w:rPr>
        <w:t>While the final outcome of this action cannot be predicted with certainty, at this time management believes that the ultimate resolution of this action will not ha</w:t>
      </w:r>
      <w:r>
        <w:rPr>
          <w:rFonts w:ascii="Arial" w:eastAsia="Times New Roman" w:hAnsi="Arial" w:cs="Arial"/>
          <w:color w:val="000000"/>
          <w:sz w:val="20"/>
          <w:szCs w:val="20"/>
        </w:rPr>
        <w:t>ve a material impact on our consolidated financial position or results of operations.</w:t>
      </w:r>
    </w:p>
    <w:p w:rsidR="00000000" w:rsidRDefault="001F1FC8">
      <w:pPr>
        <w:divId w:val="1591694916"/>
        <w:rPr>
          <w:rFonts w:eastAsia="Times New Roman"/>
        </w:rPr>
      </w:pPr>
    </w:p>
    <w:p w:rsidR="00000000" w:rsidRDefault="001F1FC8">
      <w:pPr>
        <w:divId w:val="47655607"/>
        <w:rPr>
          <w:rFonts w:eastAsia="Times New Roman"/>
        </w:rPr>
      </w:pPr>
      <w:r>
        <w:rPr>
          <w:rFonts w:ascii="Arial" w:eastAsia="Times New Roman" w:hAnsi="Arial" w:cs="Arial"/>
          <w:b/>
          <w:bCs/>
          <w:color w:val="000000"/>
          <w:sz w:val="20"/>
          <w:szCs w:val="20"/>
        </w:rPr>
        <w:t>TAX MATTERS</w:t>
      </w:r>
    </w:p>
    <w:p w:rsidR="00000000" w:rsidRDefault="001F1FC8">
      <w:pPr>
        <w:divId w:val="860170590"/>
        <w:rPr>
          <w:rFonts w:eastAsia="Times New Roman"/>
        </w:rPr>
      </w:pPr>
      <w:r>
        <w:rPr>
          <w:rFonts w:ascii="Arial" w:eastAsia="Times New Roman" w:hAnsi="Arial" w:cs="Arial"/>
          <w:color w:val="000000"/>
          <w:sz w:val="20"/>
          <w:szCs w:val="20"/>
        </w:rPr>
        <w:t>We and our subsidiaries maintain tax liabilities related to uncertain tax positions. While fully supportable in our view, these tax positions, if challenged by tax authorities, may not be fully sustained on review.</w:t>
      </w:r>
    </w:p>
    <w:p w:rsidR="00000000" w:rsidRDefault="001F1FC8">
      <w:pPr>
        <w:divId w:val="278612874"/>
        <w:rPr>
          <w:rFonts w:eastAsia="Times New Roman"/>
        </w:rPr>
      </w:pPr>
    </w:p>
    <w:p w:rsidR="00000000" w:rsidRDefault="001F1FC8">
      <w:pPr>
        <w:divId w:val="311297358"/>
        <w:rPr>
          <w:rFonts w:eastAsia="Times New Roman"/>
        </w:rPr>
      </w:pPr>
      <w:r>
        <w:rPr>
          <w:rFonts w:ascii="Arial" w:eastAsia="Times New Roman" w:hAnsi="Arial" w:cs="Arial"/>
          <w:b/>
          <w:bCs/>
          <w:color w:val="000000"/>
          <w:sz w:val="20"/>
          <w:szCs w:val="20"/>
        </w:rPr>
        <w:t>OTHER LITIGATION</w:t>
      </w:r>
    </w:p>
    <w:p w:rsidR="00000000" w:rsidRDefault="001F1FC8">
      <w:pPr>
        <w:divId w:val="145098852"/>
        <w:rPr>
          <w:rFonts w:eastAsia="Times New Roman"/>
        </w:rPr>
      </w:pPr>
      <w:r>
        <w:rPr>
          <w:rFonts w:ascii="Arial" w:eastAsia="Times New Roman" w:hAnsi="Arial" w:cs="Arial"/>
          <w:color w:val="000000"/>
          <w:sz w:val="20"/>
          <w:szCs w:val="20"/>
        </w:rPr>
        <w:t>We and our subsidiarie</w:t>
      </w:r>
      <w:r>
        <w:rPr>
          <w:rFonts w:ascii="Arial" w:eastAsia="Times New Roman" w:hAnsi="Arial" w:cs="Arial"/>
          <w:color w:val="000000"/>
          <w:sz w:val="20"/>
          <w:szCs w:val="20"/>
        </w:rPr>
        <w:t>s are involved in various other legal and regulatory actions and proceedings which arise in the normal course of business, including interventions in regulatory proceedings and challenges to regulatory approvals and permits. While the final outcome of such</w:t>
      </w:r>
      <w:r>
        <w:rPr>
          <w:rFonts w:ascii="Arial" w:eastAsia="Times New Roman" w:hAnsi="Arial" w:cs="Arial"/>
          <w:color w:val="000000"/>
          <w:sz w:val="20"/>
          <w:szCs w:val="20"/>
        </w:rPr>
        <w:t xml:space="preserve"> actions and proceedings cannot be predicted with certainty, management believes that the resolution of such actions and proceedings will not have a material impact on our consolidated financial position or results of operations.</w:t>
      </w:r>
    </w:p>
    <w:p w:rsidR="00000000" w:rsidRDefault="001F1FC8">
      <w:pPr>
        <w:divId w:val="1912419734"/>
        <w:rPr>
          <w:rFonts w:eastAsia="Times New Roman"/>
        </w:rPr>
      </w:pPr>
    </w:p>
    <w:p w:rsidR="00000000" w:rsidRDefault="001F1FC8">
      <w:pPr>
        <w:jc w:val="both"/>
        <w:rPr>
          <w:rFonts w:eastAsia="Times New Roman"/>
        </w:rPr>
      </w:pPr>
      <w:r>
        <w:rPr>
          <w:rFonts w:ascii="Arial" w:eastAsia="Times New Roman" w:hAnsi="Arial" w:cs="Arial"/>
          <w:b/>
          <w:bCs/>
          <w:color w:val="000000"/>
          <w:sz w:val="26"/>
          <w:szCs w:val="26"/>
        </w:rPr>
        <w:t>31.  GUARANTEES</w:t>
      </w:r>
    </w:p>
    <w:p w:rsidR="00000000" w:rsidRDefault="001F1FC8">
      <w:pPr>
        <w:divId w:val="1273047648"/>
        <w:rPr>
          <w:rFonts w:eastAsia="Times New Roman"/>
        </w:rPr>
      </w:pPr>
      <w:r>
        <w:rPr>
          <w:rFonts w:ascii="Arial" w:eastAsia="Times New Roman" w:hAnsi="Arial" w:cs="Arial"/>
          <w:color w:val="000000"/>
          <w:sz w:val="20"/>
          <w:szCs w:val="20"/>
        </w:rPr>
        <w:t> </w:t>
      </w:r>
    </w:p>
    <w:p w:rsidR="00000000" w:rsidRDefault="001F1FC8">
      <w:pPr>
        <w:divId w:val="1055667015"/>
        <w:rPr>
          <w:rFonts w:eastAsia="Times New Roman"/>
        </w:rPr>
      </w:pPr>
      <w:r>
        <w:rPr>
          <w:rFonts w:ascii="Arial" w:eastAsia="Times New Roman" w:hAnsi="Arial" w:cs="Arial"/>
          <w:color w:val="000000"/>
          <w:sz w:val="20"/>
          <w:szCs w:val="20"/>
        </w:rPr>
        <w:t>In the</w:t>
      </w:r>
      <w:r>
        <w:rPr>
          <w:rFonts w:ascii="Arial" w:eastAsia="Times New Roman" w:hAnsi="Arial" w:cs="Arial"/>
          <w:color w:val="000000"/>
          <w:sz w:val="20"/>
          <w:szCs w:val="20"/>
        </w:rPr>
        <w:t xml:space="preserve"> normal course of conducting business, we may enter into agreements which indemnify third parties and affiliates. We may also be a party to agreements with subsidiaries, jointly owned entities, unconsolidated entities such as equity method investees, or en</w:t>
      </w:r>
      <w:r>
        <w:rPr>
          <w:rFonts w:ascii="Arial" w:eastAsia="Times New Roman" w:hAnsi="Arial" w:cs="Arial"/>
          <w:color w:val="000000"/>
          <w:sz w:val="20"/>
          <w:szCs w:val="20"/>
        </w:rPr>
        <w:t>tities with other ownership arrangements that require us to provide financial and performance guarantees. Financial guarantees include stand-by letters of credit, debt guarantees, surety bonds and indemnifications. To varying degrees, these guarantees invo</w:t>
      </w:r>
      <w:r>
        <w:rPr>
          <w:rFonts w:ascii="Arial" w:eastAsia="Times New Roman" w:hAnsi="Arial" w:cs="Arial"/>
          <w:color w:val="000000"/>
          <w:sz w:val="20"/>
          <w:szCs w:val="20"/>
        </w:rPr>
        <w:t>lve elements of performance and credit risk, which are not included on our Consolidated Statements of Financial Position. Performance guarantees require us to make payments to a third party if the guaranteed entity does not perform on its contractual oblig</w:t>
      </w:r>
      <w:r>
        <w:rPr>
          <w:rFonts w:ascii="Arial" w:eastAsia="Times New Roman" w:hAnsi="Arial" w:cs="Arial"/>
          <w:color w:val="000000"/>
          <w:sz w:val="20"/>
          <w:szCs w:val="20"/>
        </w:rPr>
        <w:t xml:space="preserve">ations, such as debt agreements, purchase or sale agreements, and construction contracts and leases. </w:t>
      </w:r>
    </w:p>
    <w:p w:rsidR="00000000" w:rsidRDefault="001F1FC8">
      <w:pPr>
        <w:divId w:val="1224490271"/>
        <w:rPr>
          <w:rFonts w:eastAsia="Times New Roman"/>
        </w:rPr>
      </w:pPr>
    </w:p>
    <w:p w:rsidR="00000000" w:rsidRDefault="001F1FC8">
      <w:pPr>
        <w:jc w:val="center"/>
        <w:divId w:val="2062551727"/>
        <w:rPr>
          <w:rFonts w:eastAsia="Times New Roman"/>
        </w:rPr>
      </w:pPr>
      <w:r>
        <w:rPr>
          <w:rFonts w:ascii="Arial" w:eastAsia="Times New Roman" w:hAnsi="Arial" w:cs="Arial"/>
          <w:color w:val="000000"/>
          <w:sz w:val="20"/>
          <w:szCs w:val="20"/>
        </w:rPr>
        <w:t>177</w:t>
      </w:r>
    </w:p>
    <w:p w:rsidR="00000000" w:rsidRDefault="001F1FC8">
      <w:pPr>
        <w:rPr>
          <w:rFonts w:eastAsia="Times New Roman"/>
        </w:rPr>
      </w:pPr>
      <w:r>
        <w:rPr>
          <w:rFonts w:eastAsia="Times New Roman"/>
        </w:rPr>
        <w:pict>
          <v:rect id="_x0000_i1207" style="width:0;height:1.5pt" o:hralign="center" o:hrstd="t" o:hr="t" fillcolor="#a0a0a0" stroked="f"/>
        </w:pict>
      </w:r>
    </w:p>
    <w:p w:rsidR="00000000" w:rsidRDefault="001F1FC8">
      <w:pPr>
        <w:jc w:val="center"/>
        <w:divId w:val="1038042602"/>
        <w:rPr>
          <w:rFonts w:eastAsia="Times New Roman"/>
        </w:rPr>
      </w:pPr>
    </w:p>
    <w:p w:rsidR="00000000" w:rsidRDefault="001F1FC8">
      <w:pPr>
        <w:divId w:val="1188175153"/>
        <w:rPr>
          <w:rFonts w:eastAsia="Times New Roman"/>
        </w:rPr>
      </w:pPr>
      <w:r>
        <w:rPr>
          <w:rFonts w:ascii="Arial" w:eastAsia="Times New Roman" w:hAnsi="Arial" w:cs="Arial"/>
          <w:color w:val="000000"/>
          <w:sz w:val="20"/>
          <w:szCs w:val="20"/>
        </w:rPr>
        <w:t xml:space="preserve">We typically enter into these arrangements to facilitate commercial transactions with third parties. Examples </w:t>
      </w:r>
      <w:r>
        <w:rPr>
          <w:rFonts w:ascii="Arial" w:eastAsia="Times New Roman" w:hAnsi="Arial" w:cs="Arial"/>
          <w:color w:val="000000"/>
          <w:sz w:val="20"/>
          <w:szCs w:val="20"/>
        </w:rPr>
        <w:t>include indemnifying counterparties pursuant to sale agreements for assets or businesses in matters such as breaches of representations, warranties or covenants, loss or damages to property, environmental liabilities, and litigation and contingent liabilit</w:t>
      </w:r>
      <w:r>
        <w:rPr>
          <w:rFonts w:ascii="Arial" w:eastAsia="Times New Roman" w:hAnsi="Arial" w:cs="Arial"/>
          <w:color w:val="000000"/>
          <w:sz w:val="20"/>
          <w:szCs w:val="20"/>
        </w:rPr>
        <w:t>ies. We may indemnify third parties for certain liabilities relating to environmental matters arising from operations prior to the purchase or transfer of certain assets and interests. Similarly, we may indemnify the purchaser of assets for certain tax lia</w:t>
      </w:r>
      <w:r>
        <w:rPr>
          <w:rFonts w:ascii="Arial" w:eastAsia="Times New Roman" w:hAnsi="Arial" w:cs="Arial"/>
          <w:color w:val="000000"/>
          <w:sz w:val="20"/>
          <w:szCs w:val="20"/>
        </w:rPr>
        <w:t>bilities incurred while we owned the assets, a misrepresentation related to taxes that result in a loss to the purchaser or other certain tax liabilities related to those assets.</w:t>
      </w:r>
    </w:p>
    <w:p w:rsidR="00000000" w:rsidRDefault="001F1FC8">
      <w:pPr>
        <w:divId w:val="1979653055"/>
        <w:rPr>
          <w:rFonts w:eastAsia="Times New Roman"/>
        </w:rPr>
      </w:pPr>
    </w:p>
    <w:p w:rsidR="00000000" w:rsidRDefault="001F1FC8">
      <w:pPr>
        <w:divId w:val="218128151"/>
        <w:rPr>
          <w:rFonts w:eastAsia="Times New Roman"/>
        </w:rPr>
      </w:pPr>
      <w:r>
        <w:rPr>
          <w:rFonts w:ascii="Arial" w:eastAsia="Times New Roman" w:hAnsi="Arial" w:cs="Arial"/>
          <w:color w:val="000000"/>
          <w:sz w:val="20"/>
          <w:szCs w:val="20"/>
        </w:rPr>
        <w:t>The likelihood of having to perform under these guarantees and indemnificat</w:t>
      </w:r>
      <w:r>
        <w:rPr>
          <w:rFonts w:ascii="Arial" w:eastAsia="Times New Roman" w:hAnsi="Arial" w:cs="Arial"/>
          <w:color w:val="000000"/>
          <w:sz w:val="20"/>
          <w:szCs w:val="20"/>
        </w:rPr>
        <w:t>ions is largely dependent upon future operations of various subsidiaries, investees and other third parties, or the occurrence of certain future events. We cannot reasonably estimate the total maximum potential amounts that could become payable to third pa</w:t>
      </w:r>
      <w:r>
        <w:rPr>
          <w:rFonts w:ascii="Arial" w:eastAsia="Times New Roman" w:hAnsi="Arial" w:cs="Arial"/>
          <w:color w:val="000000"/>
          <w:sz w:val="20"/>
          <w:szCs w:val="20"/>
        </w:rPr>
        <w:t>rties and affiliates under such agreements described above; however, historically, we have not made any significant payments under guarantee or indemnification provisions. While these agreements may specify a maximum potential exposure, or a specified dura</w:t>
      </w:r>
      <w:r>
        <w:rPr>
          <w:rFonts w:ascii="Arial" w:eastAsia="Times New Roman" w:hAnsi="Arial" w:cs="Arial"/>
          <w:color w:val="000000"/>
          <w:sz w:val="20"/>
          <w:szCs w:val="20"/>
        </w:rPr>
        <w:t xml:space="preserve">tion to the guarantee or indemnification obligation, there are circumstances where the amount and duration are unlimited. As at December 31, 2021 guarantees and indemnifications have not had, and are not reasonably likely to have, a material effect on our </w:t>
      </w:r>
      <w:r>
        <w:rPr>
          <w:rFonts w:ascii="Arial" w:eastAsia="Times New Roman" w:hAnsi="Arial" w:cs="Arial"/>
          <w:color w:val="000000"/>
          <w:sz w:val="20"/>
          <w:szCs w:val="20"/>
        </w:rPr>
        <w:t>financial condition, changes in financial condition, earnings, liquidity, capital expenditures or capital resources.</w:t>
      </w:r>
    </w:p>
    <w:p w:rsidR="00000000" w:rsidRDefault="001F1FC8">
      <w:pPr>
        <w:divId w:val="280692349"/>
        <w:rPr>
          <w:rFonts w:eastAsia="Times New Roman"/>
        </w:rPr>
      </w:pPr>
    </w:p>
    <w:p w:rsidR="00000000" w:rsidRDefault="001F1FC8">
      <w:pPr>
        <w:divId w:val="1667434868"/>
        <w:rPr>
          <w:rFonts w:eastAsia="Times New Roman"/>
        </w:rPr>
      </w:pPr>
      <w:r>
        <w:rPr>
          <w:rFonts w:ascii="Arial" w:eastAsia="Times New Roman" w:hAnsi="Arial" w:cs="Arial"/>
          <w:b/>
          <w:bCs/>
          <w:color w:val="000000"/>
          <w:sz w:val="26"/>
          <w:szCs w:val="26"/>
        </w:rPr>
        <w:t>32.  QUARTERLY FINANCIAL DATA (UNAUDITED)</w:t>
      </w:r>
    </w:p>
    <w:tbl>
      <w:tblPr>
        <w:tblW w:w="4983" w:type="pct"/>
        <w:tblCellMar>
          <w:top w:w="15" w:type="dxa"/>
          <w:left w:w="15" w:type="dxa"/>
          <w:bottom w:w="15" w:type="dxa"/>
          <w:right w:w="15" w:type="dxa"/>
        </w:tblCellMar>
        <w:tblLook w:val="04A0" w:firstRow="1" w:lastRow="0" w:firstColumn="1" w:lastColumn="0" w:noHBand="0" w:noVBand="1"/>
      </w:tblPr>
      <w:tblGrid>
        <w:gridCol w:w="69"/>
        <w:gridCol w:w="3584"/>
        <w:gridCol w:w="39"/>
        <w:gridCol w:w="69"/>
        <w:gridCol w:w="812"/>
        <w:gridCol w:w="36"/>
        <w:gridCol w:w="69"/>
        <w:gridCol w:w="812"/>
        <w:gridCol w:w="36"/>
        <w:gridCol w:w="69"/>
        <w:gridCol w:w="812"/>
        <w:gridCol w:w="36"/>
        <w:gridCol w:w="69"/>
        <w:gridCol w:w="812"/>
        <w:gridCol w:w="36"/>
        <w:gridCol w:w="69"/>
        <w:gridCol w:w="813"/>
        <w:gridCol w:w="36"/>
      </w:tblGrid>
      <w:tr w:rsidR="00000000">
        <w:trPr>
          <w:divId w:val="1061945393"/>
        </w:trPr>
        <w:tc>
          <w:tcPr>
            <w:tcW w:w="50" w:type="pct"/>
            <w:vAlign w:val="center"/>
            <w:hideMark/>
          </w:tcPr>
          <w:p w:rsidR="00000000" w:rsidRDefault="001F1FC8">
            <w:pPr>
              <w:rPr>
                <w:rFonts w:eastAsia="Times New Roman"/>
              </w:rPr>
            </w:pPr>
          </w:p>
        </w:tc>
        <w:tc>
          <w:tcPr>
            <w:tcW w:w="2171"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c>
          <w:tcPr>
            <w:tcW w:w="50" w:type="pct"/>
            <w:vAlign w:val="center"/>
            <w:hideMark/>
          </w:tcPr>
          <w:p w:rsidR="00000000" w:rsidRDefault="001F1FC8">
            <w:pPr>
              <w:rPr>
                <w:rFonts w:eastAsia="Times New Roman"/>
                <w:sz w:val="20"/>
                <w:szCs w:val="20"/>
              </w:rPr>
            </w:pPr>
          </w:p>
        </w:tc>
        <w:tc>
          <w:tcPr>
            <w:tcW w:w="499"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c>
          <w:tcPr>
            <w:tcW w:w="50" w:type="pct"/>
            <w:vAlign w:val="center"/>
            <w:hideMark/>
          </w:tcPr>
          <w:p w:rsidR="00000000" w:rsidRDefault="001F1FC8">
            <w:pPr>
              <w:rPr>
                <w:rFonts w:eastAsia="Times New Roman"/>
                <w:sz w:val="20"/>
                <w:szCs w:val="20"/>
              </w:rPr>
            </w:pPr>
          </w:p>
        </w:tc>
        <w:tc>
          <w:tcPr>
            <w:tcW w:w="499"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c>
          <w:tcPr>
            <w:tcW w:w="50" w:type="pct"/>
            <w:vAlign w:val="center"/>
            <w:hideMark/>
          </w:tcPr>
          <w:p w:rsidR="00000000" w:rsidRDefault="001F1FC8">
            <w:pPr>
              <w:rPr>
                <w:rFonts w:eastAsia="Times New Roman"/>
                <w:sz w:val="20"/>
                <w:szCs w:val="20"/>
              </w:rPr>
            </w:pPr>
          </w:p>
        </w:tc>
        <w:tc>
          <w:tcPr>
            <w:tcW w:w="499"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c>
          <w:tcPr>
            <w:tcW w:w="50" w:type="pct"/>
            <w:vAlign w:val="center"/>
            <w:hideMark/>
          </w:tcPr>
          <w:p w:rsidR="00000000" w:rsidRDefault="001F1FC8">
            <w:pPr>
              <w:rPr>
                <w:rFonts w:eastAsia="Times New Roman"/>
                <w:sz w:val="20"/>
                <w:szCs w:val="20"/>
              </w:rPr>
            </w:pPr>
          </w:p>
        </w:tc>
        <w:tc>
          <w:tcPr>
            <w:tcW w:w="499"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c>
          <w:tcPr>
            <w:tcW w:w="50" w:type="pct"/>
            <w:vAlign w:val="center"/>
            <w:hideMark/>
          </w:tcPr>
          <w:p w:rsidR="00000000" w:rsidRDefault="001F1FC8">
            <w:pPr>
              <w:rPr>
                <w:rFonts w:eastAsia="Times New Roman"/>
                <w:sz w:val="20"/>
                <w:szCs w:val="20"/>
              </w:rPr>
            </w:pPr>
          </w:p>
        </w:tc>
        <w:tc>
          <w:tcPr>
            <w:tcW w:w="499"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r>
      <w:tr w:rsidR="00000000">
        <w:trPr>
          <w:divId w:val="1061945393"/>
        </w:trPr>
        <w:tc>
          <w:tcPr>
            <w:tcW w:w="0" w:type="auto"/>
            <w:gridSpan w:val="3"/>
            <w:tcMar>
              <w:top w:w="0" w:type="dxa"/>
              <w:left w:w="20" w:type="dxa"/>
              <w:bottom w:w="0" w:type="dxa"/>
              <w:right w:w="20" w:type="dxa"/>
            </w:tcMar>
            <w:vAlign w:val="center"/>
            <w:hideMark/>
          </w:tcPr>
          <w:p w:rsidR="00000000" w:rsidRDefault="001F1FC8">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b/>
                <w:bCs/>
                <w:color w:val="000000"/>
                <w:sz w:val="20"/>
                <w:szCs w:val="20"/>
              </w:rPr>
              <w:t>Q1</w:t>
            </w:r>
          </w:p>
        </w:tc>
        <w:tc>
          <w:tcPr>
            <w:tcW w:w="0" w:type="auto"/>
            <w:gridSpan w:val="3"/>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b/>
                <w:bCs/>
                <w:color w:val="000000"/>
                <w:sz w:val="20"/>
                <w:szCs w:val="20"/>
              </w:rPr>
              <w:t>Q2</w:t>
            </w:r>
          </w:p>
        </w:tc>
        <w:tc>
          <w:tcPr>
            <w:tcW w:w="0" w:type="auto"/>
            <w:gridSpan w:val="3"/>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b/>
                <w:bCs/>
                <w:color w:val="000000"/>
                <w:sz w:val="20"/>
                <w:szCs w:val="20"/>
              </w:rPr>
              <w:t>Q3</w:t>
            </w:r>
          </w:p>
        </w:tc>
        <w:tc>
          <w:tcPr>
            <w:tcW w:w="0" w:type="auto"/>
            <w:gridSpan w:val="3"/>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b/>
                <w:bCs/>
                <w:color w:val="000000"/>
                <w:sz w:val="20"/>
                <w:szCs w:val="20"/>
              </w:rPr>
              <w:t>Q4</w:t>
            </w:r>
          </w:p>
        </w:tc>
        <w:tc>
          <w:tcPr>
            <w:tcW w:w="0" w:type="auto"/>
            <w:gridSpan w:val="3"/>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b/>
                <w:bCs/>
                <w:color w:val="000000"/>
                <w:sz w:val="20"/>
                <w:szCs w:val="20"/>
              </w:rPr>
              <w:t>Total</w:t>
            </w:r>
          </w:p>
        </w:tc>
      </w:tr>
      <w:tr w:rsidR="00000000">
        <w:trPr>
          <w:divId w:val="1061945393"/>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1F1FC8">
            <w:pPr>
              <w:rPr>
                <w:rFonts w:eastAsia="Times New Roman"/>
              </w:rPr>
            </w:pPr>
            <w:r>
              <w:rPr>
                <w:rFonts w:ascii="Arial" w:eastAsia="Times New Roman" w:hAnsi="Arial" w:cs="Arial"/>
                <w:i/>
                <w:iCs/>
                <w:color w:val="000000"/>
                <w:sz w:val="16"/>
                <w:szCs w:val="16"/>
              </w:rPr>
              <w:t>(unaudited; millions of Canadian dollars, except per share amounts)</w:t>
            </w:r>
          </w:p>
        </w:tc>
        <w:tc>
          <w:tcPr>
            <w:tcW w:w="0" w:type="auto"/>
            <w:gridSpan w:val="3"/>
            <w:tcBorders>
              <w:top w:val="single" w:sz="4" w:space="0" w:color="000000"/>
            </w:tcBorders>
            <w:shd w:val="clear" w:color="auto" w:fill="D9D9D9"/>
            <w:tcMar>
              <w:top w:w="0" w:type="dxa"/>
              <w:left w:w="20" w:type="dxa"/>
              <w:bottom w:w="0" w:type="dxa"/>
              <w:right w:w="20" w:type="dxa"/>
            </w:tcMar>
            <w:vAlign w:val="center"/>
            <w:hideMark/>
          </w:tcPr>
          <w:p w:rsidR="00000000" w:rsidRDefault="001F1FC8">
            <w:pPr>
              <w:rPr>
                <w:rFonts w:eastAsia="Times New Roman"/>
              </w:rPr>
            </w:pPr>
          </w:p>
        </w:tc>
        <w:tc>
          <w:tcPr>
            <w:tcW w:w="0" w:type="auto"/>
            <w:gridSpan w:val="3"/>
            <w:tcBorders>
              <w:top w:val="single" w:sz="4" w:space="0" w:color="000000"/>
            </w:tcBorders>
            <w:shd w:val="clear" w:color="auto" w:fill="D9D9D9"/>
            <w:tcMar>
              <w:top w:w="0" w:type="dxa"/>
              <w:left w:w="20" w:type="dxa"/>
              <w:bottom w:w="0" w:type="dxa"/>
              <w:right w:w="20" w:type="dxa"/>
            </w:tcMar>
            <w:vAlign w:val="center"/>
            <w:hideMark/>
          </w:tcPr>
          <w:p w:rsidR="00000000" w:rsidRDefault="001F1FC8">
            <w:pPr>
              <w:rPr>
                <w:rFonts w:eastAsia="Times New Roman"/>
                <w:sz w:val="20"/>
                <w:szCs w:val="20"/>
              </w:rPr>
            </w:pPr>
          </w:p>
        </w:tc>
        <w:tc>
          <w:tcPr>
            <w:tcW w:w="0" w:type="auto"/>
            <w:gridSpan w:val="3"/>
            <w:tcBorders>
              <w:top w:val="single" w:sz="4" w:space="0" w:color="000000"/>
            </w:tcBorders>
            <w:shd w:val="clear" w:color="auto" w:fill="D9D9D9"/>
            <w:tcMar>
              <w:top w:w="0" w:type="dxa"/>
              <w:left w:w="20" w:type="dxa"/>
              <w:bottom w:w="0" w:type="dxa"/>
              <w:right w:w="20" w:type="dxa"/>
            </w:tcMar>
            <w:vAlign w:val="center"/>
            <w:hideMark/>
          </w:tcPr>
          <w:p w:rsidR="00000000" w:rsidRDefault="001F1FC8">
            <w:pPr>
              <w:rPr>
                <w:rFonts w:eastAsia="Times New Roman"/>
                <w:sz w:val="20"/>
                <w:szCs w:val="20"/>
              </w:rPr>
            </w:pPr>
          </w:p>
        </w:tc>
        <w:tc>
          <w:tcPr>
            <w:tcW w:w="0" w:type="auto"/>
            <w:gridSpan w:val="3"/>
            <w:tcBorders>
              <w:top w:val="single" w:sz="4" w:space="0" w:color="000000"/>
            </w:tcBorders>
            <w:shd w:val="clear" w:color="auto" w:fill="D9D9D9"/>
            <w:tcMar>
              <w:top w:w="0" w:type="dxa"/>
              <w:left w:w="20" w:type="dxa"/>
              <w:bottom w:w="0" w:type="dxa"/>
              <w:right w:w="20" w:type="dxa"/>
            </w:tcMar>
            <w:vAlign w:val="center"/>
            <w:hideMark/>
          </w:tcPr>
          <w:p w:rsidR="00000000" w:rsidRDefault="001F1FC8">
            <w:pPr>
              <w:rPr>
                <w:rFonts w:eastAsia="Times New Roman"/>
                <w:sz w:val="20"/>
                <w:szCs w:val="20"/>
              </w:rPr>
            </w:pPr>
          </w:p>
        </w:tc>
        <w:tc>
          <w:tcPr>
            <w:tcW w:w="0" w:type="auto"/>
            <w:gridSpan w:val="3"/>
            <w:tcBorders>
              <w:top w:val="single" w:sz="4" w:space="0" w:color="000000"/>
            </w:tcBorders>
            <w:shd w:val="clear" w:color="auto" w:fill="D9D9D9"/>
            <w:tcMar>
              <w:top w:w="0" w:type="dxa"/>
              <w:left w:w="20" w:type="dxa"/>
              <w:bottom w:w="0" w:type="dxa"/>
              <w:right w:w="20" w:type="dxa"/>
            </w:tcMar>
            <w:vAlign w:val="center"/>
            <w:hideMark/>
          </w:tcPr>
          <w:p w:rsidR="00000000" w:rsidRDefault="001F1FC8">
            <w:pPr>
              <w:rPr>
                <w:rFonts w:eastAsia="Times New Roman"/>
                <w:sz w:val="20"/>
                <w:szCs w:val="20"/>
              </w:rPr>
            </w:pPr>
          </w:p>
        </w:tc>
      </w:tr>
      <w:tr w:rsidR="00000000">
        <w:trPr>
          <w:divId w:val="1061945393"/>
        </w:trPr>
        <w:tc>
          <w:tcPr>
            <w:tcW w:w="0" w:type="auto"/>
            <w:gridSpan w:val="3"/>
            <w:tcMar>
              <w:top w:w="30" w:type="dxa"/>
              <w:left w:w="20" w:type="dxa"/>
              <w:bottom w:w="30" w:type="dxa"/>
              <w:right w:w="20" w:type="dxa"/>
            </w:tcMar>
            <w:vAlign w:val="center"/>
            <w:hideMark/>
          </w:tcPr>
          <w:p w:rsidR="00000000" w:rsidRDefault="001F1FC8">
            <w:pPr>
              <w:rPr>
                <w:rFonts w:eastAsia="Times New Roman"/>
              </w:rPr>
            </w:pPr>
            <w:r>
              <w:rPr>
                <w:rFonts w:ascii="Arial" w:eastAsia="Times New Roman" w:hAnsi="Arial" w:cs="Arial"/>
                <w:color w:val="000000"/>
                <w:sz w:val="20"/>
                <w:szCs w:val="20"/>
              </w:rPr>
              <w:t>2021</w:t>
            </w:r>
          </w:p>
        </w:tc>
        <w:tc>
          <w:tcPr>
            <w:tcW w:w="0" w:type="auto"/>
            <w:gridSpan w:val="3"/>
            <w:shd w:val="clear" w:color="auto" w:fill="D9D9D9"/>
            <w:tcMar>
              <w:top w:w="0" w:type="dxa"/>
              <w:left w:w="20" w:type="dxa"/>
              <w:bottom w:w="0" w:type="dxa"/>
              <w:right w:w="20" w:type="dxa"/>
            </w:tcMar>
            <w:vAlign w:val="center"/>
            <w:hideMark/>
          </w:tcPr>
          <w:p w:rsidR="00000000" w:rsidRDefault="001F1FC8">
            <w:pPr>
              <w:rPr>
                <w:rFonts w:eastAsia="Times New Roman"/>
              </w:rPr>
            </w:pPr>
          </w:p>
        </w:tc>
        <w:tc>
          <w:tcPr>
            <w:tcW w:w="0" w:type="auto"/>
            <w:gridSpan w:val="3"/>
            <w:shd w:val="clear" w:color="auto" w:fill="D9D9D9"/>
            <w:tcMar>
              <w:top w:w="0" w:type="dxa"/>
              <w:left w:w="20" w:type="dxa"/>
              <w:bottom w:w="0" w:type="dxa"/>
              <w:right w:w="20" w:type="dxa"/>
            </w:tcMar>
            <w:vAlign w:val="center"/>
            <w:hideMark/>
          </w:tcPr>
          <w:p w:rsidR="00000000" w:rsidRDefault="001F1FC8">
            <w:pPr>
              <w:rPr>
                <w:rFonts w:eastAsia="Times New Roman"/>
                <w:sz w:val="20"/>
                <w:szCs w:val="20"/>
              </w:rPr>
            </w:pPr>
          </w:p>
        </w:tc>
        <w:tc>
          <w:tcPr>
            <w:tcW w:w="0" w:type="auto"/>
            <w:gridSpan w:val="3"/>
            <w:shd w:val="clear" w:color="auto" w:fill="D9D9D9"/>
            <w:tcMar>
              <w:top w:w="0" w:type="dxa"/>
              <w:left w:w="20" w:type="dxa"/>
              <w:bottom w:w="0" w:type="dxa"/>
              <w:right w:w="20" w:type="dxa"/>
            </w:tcMar>
            <w:vAlign w:val="center"/>
            <w:hideMark/>
          </w:tcPr>
          <w:p w:rsidR="00000000" w:rsidRDefault="001F1FC8">
            <w:pPr>
              <w:rPr>
                <w:rFonts w:eastAsia="Times New Roman"/>
                <w:sz w:val="20"/>
                <w:szCs w:val="20"/>
              </w:rPr>
            </w:pPr>
          </w:p>
        </w:tc>
        <w:tc>
          <w:tcPr>
            <w:tcW w:w="0" w:type="auto"/>
            <w:gridSpan w:val="3"/>
            <w:shd w:val="clear" w:color="auto" w:fill="D9D9D9"/>
            <w:tcMar>
              <w:top w:w="0" w:type="dxa"/>
              <w:left w:w="20" w:type="dxa"/>
              <w:bottom w:w="0" w:type="dxa"/>
              <w:right w:w="20" w:type="dxa"/>
            </w:tcMar>
            <w:vAlign w:val="center"/>
            <w:hideMark/>
          </w:tcPr>
          <w:p w:rsidR="00000000" w:rsidRDefault="001F1FC8">
            <w:pPr>
              <w:rPr>
                <w:rFonts w:eastAsia="Times New Roman"/>
                <w:sz w:val="20"/>
                <w:szCs w:val="20"/>
              </w:rPr>
            </w:pPr>
          </w:p>
        </w:tc>
        <w:tc>
          <w:tcPr>
            <w:tcW w:w="0" w:type="auto"/>
            <w:gridSpan w:val="3"/>
            <w:shd w:val="clear" w:color="auto" w:fill="D9D9D9"/>
            <w:tcMar>
              <w:top w:w="0" w:type="dxa"/>
              <w:left w:w="20" w:type="dxa"/>
              <w:bottom w:w="0" w:type="dxa"/>
              <w:right w:w="20" w:type="dxa"/>
            </w:tcMar>
            <w:vAlign w:val="center"/>
            <w:hideMark/>
          </w:tcPr>
          <w:p w:rsidR="00000000" w:rsidRDefault="001F1FC8">
            <w:pPr>
              <w:rPr>
                <w:rFonts w:eastAsia="Times New Roman"/>
                <w:sz w:val="20"/>
                <w:szCs w:val="20"/>
              </w:rPr>
            </w:pPr>
          </w:p>
        </w:tc>
      </w:tr>
      <w:tr w:rsidR="00000000">
        <w:trPr>
          <w:divId w:val="1061945393"/>
        </w:trPr>
        <w:tc>
          <w:tcPr>
            <w:tcW w:w="0" w:type="auto"/>
            <w:gridSpan w:val="3"/>
            <w:tcMar>
              <w:top w:w="30" w:type="dxa"/>
              <w:left w:w="20" w:type="dxa"/>
              <w:bottom w:w="30" w:type="dxa"/>
              <w:right w:w="20" w:type="dxa"/>
            </w:tcMar>
            <w:vAlign w:val="center"/>
            <w:hideMark/>
          </w:tcPr>
          <w:p w:rsidR="00000000" w:rsidRDefault="001F1FC8">
            <w:pPr>
              <w:rPr>
                <w:rFonts w:eastAsia="Times New Roman"/>
              </w:rPr>
            </w:pPr>
            <w:r>
              <w:rPr>
                <w:rFonts w:ascii="Arial" w:eastAsia="Times New Roman" w:hAnsi="Arial" w:cs="Arial"/>
                <w:color w:val="000000"/>
                <w:sz w:val="20"/>
                <w:szCs w:val="20"/>
              </w:rPr>
              <w:t>Operating revenues</w:t>
            </w:r>
          </w:p>
        </w:tc>
        <w:tc>
          <w:tcPr>
            <w:tcW w:w="0" w:type="auto"/>
            <w:gridSpan w:val="2"/>
            <w:shd w:val="clear" w:color="auto" w:fill="D9D9D9"/>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b/>
                <w:bCs/>
                <w:color w:val="000000"/>
                <w:sz w:val="20"/>
                <w:szCs w:val="20"/>
              </w:rPr>
              <w:t>12,187</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b/>
                <w:bCs/>
                <w:color w:val="000000"/>
                <w:sz w:val="20"/>
                <w:szCs w:val="20"/>
              </w:rPr>
              <w:t>10,948</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b/>
                <w:bCs/>
                <w:color w:val="000000"/>
                <w:sz w:val="20"/>
                <w:szCs w:val="20"/>
              </w:rPr>
              <w:t>11,466</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b/>
                <w:bCs/>
                <w:color w:val="000000"/>
                <w:sz w:val="20"/>
                <w:szCs w:val="20"/>
              </w:rPr>
              <w:t>12,470</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b/>
                <w:bCs/>
                <w:color w:val="000000"/>
                <w:sz w:val="20"/>
                <w:szCs w:val="20"/>
              </w:rPr>
              <w:t>47,071</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1F1FC8">
            <w:pPr>
              <w:jc w:val="right"/>
              <w:rPr>
                <w:rFonts w:eastAsia="Times New Roman"/>
              </w:rPr>
            </w:pPr>
          </w:p>
        </w:tc>
      </w:tr>
      <w:tr w:rsidR="00000000">
        <w:trPr>
          <w:divId w:val="1061945393"/>
        </w:trPr>
        <w:tc>
          <w:tcPr>
            <w:tcW w:w="0" w:type="auto"/>
            <w:gridSpan w:val="3"/>
            <w:tcMar>
              <w:top w:w="30" w:type="dxa"/>
              <w:left w:w="20" w:type="dxa"/>
              <w:bottom w:w="30" w:type="dxa"/>
              <w:right w:w="20" w:type="dxa"/>
            </w:tcMar>
            <w:vAlign w:val="center"/>
            <w:hideMark/>
          </w:tcPr>
          <w:p w:rsidR="00000000" w:rsidRDefault="001F1FC8">
            <w:pPr>
              <w:rPr>
                <w:rFonts w:eastAsia="Times New Roman"/>
              </w:rPr>
            </w:pPr>
            <w:r>
              <w:rPr>
                <w:rFonts w:ascii="Arial" w:eastAsia="Times New Roman" w:hAnsi="Arial" w:cs="Arial"/>
                <w:color w:val="000000"/>
                <w:sz w:val="20"/>
                <w:szCs w:val="20"/>
              </w:rPr>
              <w:t>Operating income</w:t>
            </w:r>
          </w:p>
        </w:tc>
        <w:tc>
          <w:tcPr>
            <w:tcW w:w="0" w:type="auto"/>
            <w:gridSpan w:val="2"/>
            <w:shd w:val="clear" w:color="auto" w:fill="D9D9D9"/>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b/>
                <w:bCs/>
                <w:color w:val="000000"/>
                <w:sz w:val="20"/>
                <w:szCs w:val="20"/>
              </w:rPr>
              <w:t>2,548</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b/>
                <w:bCs/>
                <w:color w:val="000000"/>
                <w:sz w:val="20"/>
                <w:szCs w:val="20"/>
              </w:rPr>
              <w:t>1,816</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b/>
                <w:bCs/>
                <w:color w:val="000000"/>
                <w:sz w:val="20"/>
                <w:szCs w:val="20"/>
              </w:rPr>
              <w:t>1,388</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b/>
                <w:bCs/>
                <w:color w:val="000000"/>
                <w:sz w:val="20"/>
                <w:szCs w:val="20"/>
              </w:rPr>
              <w:t>2,053</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b/>
                <w:bCs/>
                <w:color w:val="000000"/>
                <w:sz w:val="20"/>
                <w:szCs w:val="20"/>
              </w:rPr>
              <w:t>7,805</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1F1FC8">
            <w:pPr>
              <w:jc w:val="right"/>
              <w:rPr>
                <w:rFonts w:eastAsia="Times New Roman"/>
              </w:rPr>
            </w:pPr>
          </w:p>
        </w:tc>
      </w:tr>
      <w:tr w:rsidR="00000000">
        <w:trPr>
          <w:divId w:val="1061945393"/>
        </w:trPr>
        <w:tc>
          <w:tcPr>
            <w:tcW w:w="0" w:type="auto"/>
            <w:gridSpan w:val="3"/>
            <w:tcMar>
              <w:top w:w="30" w:type="dxa"/>
              <w:left w:w="20" w:type="dxa"/>
              <w:bottom w:w="30" w:type="dxa"/>
              <w:right w:w="20" w:type="dxa"/>
            </w:tcMar>
            <w:vAlign w:val="center"/>
            <w:hideMark/>
          </w:tcPr>
          <w:p w:rsidR="00000000" w:rsidRDefault="001F1FC8">
            <w:pPr>
              <w:rPr>
                <w:rFonts w:eastAsia="Times New Roman"/>
              </w:rPr>
            </w:pPr>
            <w:r>
              <w:rPr>
                <w:rFonts w:ascii="Arial" w:eastAsia="Times New Roman" w:hAnsi="Arial" w:cs="Arial"/>
                <w:color w:val="000000"/>
                <w:sz w:val="20"/>
                <w:szCs w:val="20"/>
              </w:rPr>
              <w:t>Earnings</w:t>
            </w:r>
          </w:p>
        </w:tc>
        <w:tc>
          <w:tcPr>
            <w:tcW w:w="0" w:type="auto"/>
            <w:gridSpan w:val="2"/>
            <w:shd w:val="clear" w:color="auto" w:fill="D9D9D9"/>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b/>
                <w:bCs/>
                <w:color w:val="000000"/>
                <w:sz w:val="20"/>
                <w:szCs w:val="20"/>
              </w:rPr>
              <w:t>2,014</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b/>
                <w:bCs/>
                <w:color w:val="000000"/>
                <w:sz w:val="20"/>
                <w:szCs w:val="20"/>
              </w:rPr>
              <w:t>1,521</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b/>
                <w:bCs/>
                <w:color w:val="000000"/>
                <w:sz w:val="20"/>
                <w:szCs w:val="20"/>
              </w:rPr>
              <w:t>814</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b/>
                <w:bCs/>
                <w:color w:val="000000"/>
                <w:sz w:val="20"/>
                <w:szCs w:val="20"/>
              </w:rPr>
              <w:t>1,965</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b/>
                <w:bCs/>
                <w:color w:val="000000"/>
                <w:sz w:val="20"/>
                <w:szCs w:val="20"/>
              </w:rPr>
              <w:t>6,314</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1F1FC8">
            <w:pPr>
              <w:jc w:val="right"/>
              <w:rPr>
                <w:rFonts w:eastAsia="Times New Roman"/>
              </w:rPr>
            </w:pPr>
          </w:p>
        </w:tc>
      </w:tr>
      <w:tr w:rsidR="00000000">
        <w:trPr>
          <w:divId w:val="1061945393"/>
        </w:trPr>
        <w:tc>
          <w:tcPr>
            <w:tcW w:w="0" w:type="auto"/>
            <w:gridSpan w:val="3"/>
            <w:tcMar>
              <w:top w:w="30" w:type="dxa"/>
              <w:left w:w="200" w:type="dxa"/>
              <w:bottom w:w="30" w:type="dxa"/>
              <w:right w:w="20" w:type="dxa"/>
            </w:tcMar>
            <w:vAlign w:val="center"/>
            <w:hideMark/>
          </w:tcPr>
          <w:p w:rsidR="00000000" w:rsidRDefault="001F1FC8">
            <w:pPr>
              <w:ind w:hanging="180"/>
              <w:rPr>
                <w:rFonts w:eastAsia="Times New Roman"/>
              </w:rPr>
            </w:pPr>
            <w:r>
              <w:rPr>
                <w:rFonts w:ascii="Arial" w:eastAsia="Times New Roman" w:hAnsi="Arial" w:cs="Arial"/>
                <w:color w:val="000000"/>
                <w:sz w:val="20"/>
                <w:szCs w:val="20"/>
              </w:rPr>
              <w:t>Earnings attributable to controlling interests</w:t>
            </w:r>
          </w:p>
        </w:tc>
        <w:tc>
          <w:tcPr>
            <w:tcW w:w="0" w:type="auto"/>
            <w:gridSpan w:val="2"/>
            <w:shd w:val="clear" w:color="auto" w:fill="D9D9D9"/>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b/>
                <w:bCs/>
                <w:color w:val="000000"/>
                <w:sz w:val="20"/>
                <w:szCs w:val="20"/>
              </w:rPr>
              <w:t>1,992</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b/>
                <w:bCs/>
                <w:color w:val="000000"/>
                <w:sz w:val="20"/>
                <w:szCs w:val="20"/>
              </w:rPr>
              <w:t>1,484</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b/>
                <w:bCs/>
                <w:color w:val="000000"/>
                <w:sz w:val="20"/>
                <w:szCs w:val="20"/>
              </w:rPr>
              <w:t>780</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b/>
                <w:bCs/>
                <w:color w:val="000000"/>
                <w:sz w:val="20"/>
                <w:szCs w:val="20"/>
              </w:rPr>
              <w:t>1,933</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b/>
                <w:bCs/>
                <w:color w:val="000000"/>
                <w:sz w:val="20"/>
                <w:szCs w:val="20"/>
              </w:rPr>
              <w:t>6,189</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1F1FC8">
            <w:pPr>
              <w:jc w:val="right"/>
              <w:rPr>
                <w:rFonts w:eastAsia="Times New Roman"/>
              </w:rPr>
            </w:pPr>
          </w:p>
        </w:tc>
      </w:tr>
      <w:tr w:rsidR="00000000">
        <w:trPr>
          <w:divId w:val="1061945393"/>
        </w:trPr>
        <w:tc>
          <w:tcPr>
            <w:tcW w:w="0" w:type="auto"/>
            <w:gridSpan w:val="3"/>
            <w:tcMar>
              <w:top w:w="30" w:type="dxa"/>
              <w:left w:w="200" w:type="dxa"/>
              <w:bottom w:w="30" w:type="dxa"/>
              <w:right w:w="20" w:type="dxa"/>
            </w:tcMar>
            <w:vAlign w:val="center"/>
            <w:hideMark/>
          </w:tcPr>
          <w:p w:rsidR="00000000" w:rsidRDefault="001F1FC8">
            <w:pPr>
              <w:ind w:hanging="180"/>
              <w:rPr>
                <w:rFonts w:eastAsia="Times New Roman"/>
              </w:rPr>
            </w:pPr>
            <w:r>
              <w:rPr>
                <w:rFonts w:ascii="Arial" w:eastAsia="Times New Roman" w:hAnsi="Arial" w:cs="Arial"/>
                <w:color w:val="000000"/>
                <w:sz w:val="20"/>
                <w:szCs w:val="20"/>
              </w:rPr>
              <w:t>Earnings attributable to common shareholders</w:t>
            </w:r>
          </w:p>
        </w:tc>
        <w:tc>
          <w:tcPr>
            <w:tcW w:w="0" w:type="auto"/>
            <w:gridSpan w:val="2"/>
            <w:shd w:val="clear" w:color="auto" w:fill="D9D9D9"/>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b/>
                <w:bCs/>
                <w:color w:val="000000"/>
                <w:sz w:val="20"/>
                <w:szCs w:val="20"/>
              </w:rPr>
              <w:t>1,900</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b/>
                <w:bCs/>
                <w:color w:val="000000"/>
                <w:sz w:val="20"/>
                <w:szCs w:val="20"/>
              </w:rPr>
              <w:t>1,394</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b/>
                <w:bCs/>
                <w:color w:val="000000"/>
                <w:sz w:val="20"/>
                <w:szCs w:val="20"/>
              </w:rPr>
              <w:t>682</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b/>
                <w:bCs/>
                <w:color w:val="000000"/>
                <w:sz w:val="20"/>
                <w:szCs w:val="20"/>
              </w:rPr>
              <w:t>1,840</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b/>
                <w:bCs/>
                <w:color w:val="000000"/>
                <w:sz w:val="20"/>
                <w:szCs w:val="20"/>
              </w:rPr>
              <w:t>5,816</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1F1FC8">
            <w:pPr>
              <w:jc w:val="right"/>
              <w:rPr>
                <w:rFonts w:eastAsia="Times New Roman"/>
              </w:rPr>
            </w:pPr>
          </w:p>
        </w:tc>
      </w:tr>
      <w:tr w:rsidR="00000000">
        <w:trPr>
          <w:divId w:val="1061945393"/>
        </w:trPr>
        <w:tc>
          <w:tcPr>
            <w:tcW w:w="0" w:type="auto"/>
            <w:gridSpan w:val="3"/>
            <w:tcMar>
              <w:top w:w="30" w:type="dxa"/>
              <w:left w:w="20" w:type="dxa"/>
              <w:bottom w:w="30" w:type="dxa"/>
              <w:right w:w="20" w:type="dxa"/>
            </w:tcMar>
            <w:vAlign w:val="center"/>
            <w:hideMark/>
          </w:tcPr>
          <w:p w:rsidR="00000000" w:rsidRDefault="001F1FC8">
            <w:pPr>
              <w:rPr>
                <w:rFonts w:eastAsia="Times New Roman"/>
              </w:rPr>
            </w:pPr>
            <w:r>
              <w:rPr>
                <w:rFonts w:ascii="Arial" w:eastAsia="Times New Roman" w:hAnsi="Arial" w:cs="Arial"/>
                <w:color w:val="000000"/>
                <w:sz w:val="20"/>
                <w:szCs w:val="20"/>
              </w:rPr>
              <w:t>Earnings per common share</w:t>
            </w:r>
          </w:p>
        </w:tc>
        <w:tc>
          <w:tcPr>
            <w:tcW w:w="0" w:type="auto"/>
            <w:gridSpan w:val="3"/>
            <w:shd w:val="clear" w:color="auto" w:fill="D9D9D9"/>
            <w:tcMar>
              <w:top w:w="0" w:type="dxa"/>
              <w:left w:w="20" w:type="dxa"/>
              <w:bottom w:w="0" w:type="dxa"/>
              <w:right w:w="20" w:type="dxa"/>
            </w:tcMar>
            <w:vAlign w:val="center"/>
            <w:hideMark/>
          </w:tcPr>
          <w:p w:rsidR="00000000" w:rsidRDefault="001F1FC8">
            <w:pPr>
              <w:rPr>
                <w:rFonts w:eastAsia="Times New Roman"/>
              </w:rPr>
            </w:pPr>
          </w:p>
        </w:tc>
        <w:tc>
          <w:tcPr>
            <w:tcW w:w="0" w:type="auto"/>
            <w:gridSpan w:val="3"/>
            <w:shd w:val="clear" w:color="auto" w:fill="D9D9D9"/>
            <w:tcMar>
              <w:top w:w="0" w:type="dxa"/>
              <w:left w:w="20" w:type="dxa"/>
              <w:bottom w:w="0" w:type="dxa"/>
              <w:right w:w="20" w:type="dxa"/>
            </w:tcMar>
            <w:vAlign w:val="center"/>
            <w:hideMark/>
          </w:tcPr>
          <w:p w:rsidR="00000000" w:rsidRDefault="001F1FC8">
            <w:pPr>
              <w:rPr>
                <w:rFonts w:eastAsia="Times New Roman"/>
                <w:sz w:val="20"/>
                <w:szCs w:val="20"/>
              </w:rPr>
            </w:pPr>
          </w:p>
        </w:tc>
        <w:tc>
          <w:tcPr>
            <w:tcW w:w="0" w:type="auto"/>
            <w:gridSpan w:val="3"/>
            <w:shd w:val="clear" w:color="auto" w:fill="D9D9D9"/>
            <w:tcMar>
              <w:top w:w="0" w:type="dxa"/>
              <w:left w:w="20" w:type="dxa"/>
              <w:bottom w:w="0" w:type="dxa"/>
              <w:right w:w="20" w:type="dxa"/>
            </w:tcMar>
            <w:vAlign w:val="center"/>
            <w:hideMark/>
          </w:tcPr>
          <w:p w:rsidR="00000000" w:rsidRDefault="001F1FC8">
            <w:pPr>
              <w:rPr>
                <w:rFonts w:eastAsia="Times New Roman"/>
                <w:sz w:val="20"/>
                <w:szCs w:val="20"/>
              </w:rPr>
            </w:pPr>
          </w:p>
        </w:tc>
        <w:tc>
          <w:tcPr>
            <w:tcW w:w="0" w:type="auto"/>
            <w:gridSpan w:val="3"/>
            <w:shd w:val="clear" w:color="auto" w:fill="D9D9D9"/>
            <w:tcMar>
              <w:top w:w="0" w:type="dxa"/>
              <w:left w:w="20" w:type="dxa"/>
              <w:bottom w:w="0" w:type="dxa"/>
              <w:right w:w="20" w:type="dxa"/>
            </w:tcMar>
            <w:vAlign w:val="center"/>
            <w:hideMark/>
          </w:tcPr>
          <w:p w:rsidR="00000000" w:rsidRDefault="001F1FC8">
            <w:pPr>
              <w:rPr>
                <w:rFonts w:eastAsia="Times New Roman"/>
                <w:sz w:val="20"/>
                <w:szCs w:val="20"/>
              </w:rPr>
            </w:pPr>
          </w:p>
        </w:tc>
        <w:tc>
          <w:tcPr>
            <w:tcW w:w="0" w:type="auto"/>
            <w:gridSpan w:val="3"/>
            <w:shd w:val="clear" w:color="auto" w:fill="D9D9D9"/>
            <w:tcMar>
              <w:top w:w="0" w:type="dxa"/>
              <w:left w:w="20" w:type="dxa"/>
              <w:bottom w:w="0" w:type="dxa"/>
              <w:right w:w="20" w:type="dxa"/>
            </w:tcMar>
            <w:vAlign w:val="center"/>
            <w:hideMark/>
          </w:tcPr>
          <w:p w:rsidR="00000000" w:rsidRDefault="001F1FC8">
            <w:pPr>
              <w:rPr>
                <w:rFonts w:eastAsia="Times New Roman"/>
                <w:sz w:val="20"/>
                <w:szCs w:val="20"/>
              </w:rPr>
            </w:pPr>
          </w:p>
        </w:tc>
      </w:tr>
      <w:tr w:rsidR="00000000">
        <w:trPr>
          <w:divId w:val="1061945393"/>
        </w:trPr>
        <w:tc>
          <w:tcPr>
            <w:tcW w:w="0" w:type="auto"/>
            <w:gridSpan w:val="3"/>
            <w:tcMar>
              <w:top w:w="30" w:type="dxa"/>
              <w:left w:w="155" w:type="dxa"/>
              <w:bottom w:w="30" w:type="dxa"/>
              <w:right w:w="20" w:type="dxa"/>
            </w:tcMar>
            <w:vAlign w:val="center"/>
            <w:hideMark/>
          </w:tcPr>
          <w:p w:rsidR="00000000" w:rsidRDefault="001F1FC8">
            <w:pPr>
              <w:rPr>
                <w:rFonts w:eastAsia="Times New Roman"/>
              </w:rPr>
            </w:pPr>
            <w:r>
              <w:rPr>
                <w:rFonts w:ascii="Arial" w:eastAsia="Times New Roman" w:hAnsi="Arial" w:cs="Arial"/>
                <w:color w:val="000000"/>
                <w:sz w:val="20"/>
                <w:szCs w:val="20"/>
              </w:rPr>
              <w:t>Basic</w:t>
            </w:r>
          </w:p>
        </w:tc>
        <w:tc>
          <w:tcPr>
            <w:tcW w:w="0" w:type="auto"/>
            <w:gridSpan w:val="2"/>
            <w:shd w:val="clear" w:color="auto" w:fill="D9D9D9"/>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b/>
                <w:bCs/>
                <w:color w:val="000000"/>
                <w:sz w:val="20"/>
                <w:szCs w:val="20"/>
              </w:rPr>
              <w:t>0.94</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b/>
                <w:bCs/>
                <w:color w:val="000000"/>
                <w:sz w:val="20"/>
                <w:szCs w:val="20"/>
              </w:rPr>
              <w:t>0.69</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b/>
                <w:bCs/>
                <w:color w:val="000000"/>
                <w:sz w:val="20"/>
                <w:szCs w:val="20"/>
              </w:rPr>
              <w:t>0.34</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b/>
                <w:bCs/>
                <w:color w:val="000000"/>
                <w:sz w:val="20"/>
                <w:szCs w:val="20"/>
              </w:rPr>
              <w:t>0.91</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b/>
                <w:bCs/>
                <w:color w:val="000000"/>
                <w:sz w:val="20"/>
                <w:szCs w:val="20"/>
              </w:rPr>
              <w:t>2.87</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1F1FC8">
            <w:pPr>
              <w:jc w:val="right"/>
              <w:rPr>
                <w:rFonts w:eastAsia="Times New Roman"/>
              </w:rPr>
            </w:pPr>
          </w:p>
        </w:tc>
      </w:tr>
      <w:tr w:rsidR="00000000">
        <w:trPr>
          <w:divId w:val="1061945393"/>
        </w:trPr>
        <w:tc>
          <w:tcPr>
            <w:tcW w:w="0" w:type="auto"/>
            <w:gridSpan w:val="3"/>
            <w:tcMar>
              <w:top w:w="30" w:type="dxa"/>
              <w:left w:w="155" w:type="dxa"/>
              <w:bottom w:w="30" w:type="dxa"/>
              <w:right w:w="20" w:type="dxa"/>
            </w:tcMar>
            <w:vAlign w:val="center"/>
            <w:hideMark/>
          </w:tcPr>
          <w:p w:rsidR="00000000" w:rsidRDefault="001F1FC8">
            <w:pPr>
              <w:rPr>
                <w:rFonts w:eastAsia="Times New Roman"/>
              </w:rPr>
            </w:pPr>
            <w:r>
              <w:rPr>
                <w:rFonts w:ascii="Arial" w:eastAsia="Times New Roman" w:hAnsi="Arial" w:cs="Arial"/>
                <w:color w:val="000000"/>
                <w:sz w:val="20"/>
                <w:szCs w:val="20"/>
              </w:rPr>
              <w:t>Diluted</w:t>
            </w:r>
          </w:p>
        </w:tc>
        <w:tc>
          <w:tcPr>
            <w:tcW w:w="0" w:type="auto"/>
            <w:gridSpan w:val="2"/>
            <w:shd w:val="clear" w:color="auto" w:fill="D9D9D9"/>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b/>
                <w:bCs/>
                <w:color w:val="000000"/>
                <w:sz w:val="20"/>
                <w:szCs w:val="20"/>
              </w:rPr>
              <w:t>0.94</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b/>
                <w:bCs/>
                <w:color w:val="000000"/>
                <w:sz w:val="20"/>
                <w:szCs w:val="20"/>
              </w:rPr>
              <w:t>0.69</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b/>
                <w:bCs/>
                <w:color w:val="000000"/>
                <w:sz w:val="20"/>
                <w:szCs w:val="20"/>
              </w:rPr>
              <w:t>0.34</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b/>
                <w:bCs/>
                <w:color w:val="000000"/>
                <w:sz w:val="20"/>
                <w:szCs w:val="20"/>
              </w:rPr>
              <w:t>0.91</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b/>
                <w:bCs/>
                <w:color w:val="000000"/>
                <w:sz w:val="20"/>
                <w:szCs w:val="20"/>
              </w:rPr>
              <w:t>2.87</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1F1FC8">
            <w:pPr>
              <w:jc w:val="right"/>
              <w:rPr>
                <w:rFonts w:eastAsia="Times New Roman"/>
              </w:rPr>
            </w:pPr>
          </w:p>
        </w:tc>
      </w:tr>
      <w:tr w:rsidR="00000000">
        <w:trPr>
          <w:divId w:val="1061945393"/>
        </w:trPr>
        <w:tc>
          <w:tcPr>
            <w:tcW w:w="0" w:type="auto"/>
            <w:gridSpan w:val="3"/>
            <w:tcBorders>
              <w:top w:val="single" w:sz="12" w:space="0" w:color="000000"/>
            </w:tcBorders>
            <w:tcMar>
              <w:top w:w="30" w:type="dxa"/>
              <w:left w:w="20" w:type="dxa"/>
              <w:bottom w:w="30" w:type="dxa"/>
              <w:right w:w="20" w:type="dxa"/>
            </w:tcMar>
            <w:vAlign w:val="center"/>
            <w:hideMark/>
          </w:tcPr>
          <w:p w:rsidR="00000000" w:rsidRDefault="001F1FC8">
            <w:pPr>
              <w:rPr>
                <w:rFonts w:eastAsia="Times New Roman"/>
              </w:rPr>
            </w:pPr>
            <w:r>
              <w:rPr>
                <w:rFonts w:ascii="Arial" w:eastAsia="Times New Roman" w:hAnsi="Arial" w:cs="Arial"/>
                <w:color w:val="000000"/>
                <w:sz w:val="20"/>
                <w:szCs w:val="20"/>
              </w:rPr>
              <w:t>2020</w:t>
            </w:r>
          </w:p>
        </w:tc>
        <w:tc>
          <w:tcPr>
            <w:tcW w:w="0" w:type="auto"/>
            <w:gridSpan w:val="3"/>
            <w:tcBorders>
              <w:top w:val="single" w:sz="12" w:space="0" w:color="000000"/>
            </w:tcBorders>
            <w:tcMar>
              <w:top w:w="0" w:type="dxa"/>
              <w:left w:w="20" w:type="dxa"/>
              <w:bottom w:w="0" w:type="dxa"/>
              <w:right w:w="20" w:type="dxa"/>
            </w:tcMar>
            <w:vAlign w:val="center"/>
            <w:hideMark/>
          </w:tcPr>
          <w:p w:rsidR="00000000" w:rsidRDefault="001F1FC8">
            <w:pPr>
              <w:rPr>
                <w:rFonts w:eastAsia="Times New Roman"/>
              </w:rPr>
            </w:pPr>
          </w:p>
        </w:tc>
        <w:tc>
          <w:tcPr>
            <w:tcW w:w="0" w:type="auto"/>
            <w:gridSpan w:val="3"/>
            <w:tcBorders>
              <w:top w:val="single" w:sz="12" w:space="0" w:color="000000"/>
            </w:tcBorders>
            <w:tcMar>
              <w:top w:w="0" w:type="dxa"/>
              <w:left w:w="20" w:type="dxa"/>
              <w:bottom w:w="0" w:type="dxa"/>
              <w:right w:w="20" w:type="dxa"/>
            </w:tcMar>
            <w:vAlign w:val="center"/>
            <w:hideMark/>
          </w:tcPr>
          <w:p w:rsidR="00000000" w:rsidRDefault="001F1FC8">
            <w:pPr>
              <w:rPr>
                <w:rFonts w:eastAsia="Times New Roman"/>
                <w:sz w:val="20"/>
                <w:szCs w:val="20"/>
              </w:rPr>
            </w:pPr>
          </w:p>
        </w:tc>
        <w:tc>
          <w:tcPr>
            <w:tcW w:w="0" w:type="auto"/>
            <w:gridSpan w:val="3"/>
            <w:tcBorders>
              <w:top w:val="single" w:sz="12" w:space="0" w:color="000000"/>
            </w:tcBorders>
            <w:tcMar>
              <w:top w:w="0" w:type="dxa"/>
              <w:left w:w="20" w:type="dxa"/>
              <w:bottom w:w="0" w:type="dxa"/>
              <w:right w:w="20" w:type="dxa"/>
            </w:tcMar>
            <w:vAlign w:val="center"/>
            <w:hideMark/>
          </w:tcPr>
          <w:p w:rsidR="00000000" w:rsidRDefault="001F1FC8">
            <w:pPr>
              <w:rPr>
                <w:rFonts w:eastAsia="Times New Roman"/>
                <w:sz w:val="20"/>
                <w:szCs w:val="20"/>
              </w:rPr>
            </w:pPr>
          </w:p>
        </w:tc>
        <w:tc>
          <w:tcPr>
            <w:tcW w:w="0" w:type="auto"/>
            <w:gridSpan w:val="3"/>
            <w:tcBorders>
              <w:top w:val="single" w:sz="12" w:space="0" w:color="000000"/>
            </w:tcBorders>
            <w:tcMar>
              <w:top w:w="0" w:type="dxa"/>
              <w:left w:w="20" w:type="dxa"/>
              <w:bottom w:w="0" w:type="dxa"/>
              <w:right w:w="20" w:type="dxa"/>
            </w:tcMar>
            <w:vAlign w:val="center"/>
            <w:hideMark/>
          </w:tcPr>
          <w:p w:rsidR="00000000" w:rsidRDefault="001F1FC8">
            <w:pPr>
              <w:rPr>
                <w:rFonts w:eastAsia="Times New Roman"/>
                <w:sz w:val="20"/>
                <w:szCs w:val="20"/>
              </w:rPr>
            </w:pPr>
          </w:p>
        </w:tc>
        <w:tc>
          <w:tcPr>
            <w:tcW w:w="0" w:type="auto"/>
            <w:gridSpan w:val="3"/>
            <w:tcBorders>
              <w:top w:val="single" w:sz="12" w:space="0" w:color="000000"/>
            </w:tcBorders>
            <w:tcMar>
              <w:top w:w="0" w:type="dxa"/>
              <w:left w:w="20" w:type="dxa"/>
              <w:bottom w:w="0" w:type="dxa"/>
              <w:right w:w="20" w:type="dxa"/>
            </w:tcMar>
            <w:vAlign w:val="center"/>
            <w:hideMark/>
          </w:tcPr>
          <w:p w:rsidR="00000000" w:rsidRDefault="001F1FC8">
            <w:pPr>
              <w:rPr>
                <w:rFonts w:eastAsia="Times New Roman"/>
                <w:sz w:val="20"/>
                <w:szCs w:val="20"/>
              </w:rPr>
            </w:pPr>
          </w:p>
        </w:tc>
      </w:tr>
      <w:tr w:rsidR="00000000">
        <w:trPr>
          <w:divId w:val="1061945393"/>
        </w:trPr>
        <w:tc>
          <w:tcPr>
            <w:tcW w:w="0" w:type="auto"/>
            <w:gridSpan w:val="3"/>
            <w:tcMar>
              <w:top w:w="30" w:type="dxa"/>
              <w:left w:w="20" w:type="dxa"/>
              <w:bottom w:w="30" w:type="dxa"/>
              <w:right w:w="20" w:type="dxa"/>
            </w:tcMar>
            <w:vAlign w:val="center"/>
            <w:hideMark/>
          </w:tcPr>
          <w:p w:rsidR="00000000" w:rsidRDefault="001F1FC8">
            <w:pPr>
              <w:rPr>
                <w:rFonts w:eastAsia="Times New Roman"/>
              </w:rPr>
            </w:pPr>
            <w:r>
              <w:rPr>
                <w:rFonts w:ascii="Arial" w:eastAsia="Times New Roman" w:hAnsi="Arial" w:cs="Arial"/>
                <w:color w:val="000000"/>
                <w:sz w:val="20"/>
                <w:szCs w:val="20"/>
              </w:rPr>
              <w:t>Operating revenues</w:t>
            </w:r>
          </w:p>
        </w:tc>
        <w:tc>
          <w:tcPr>
            <w:tcW w:w="0" w:type="auto"/>
            <w:gridSpan w:val="2"/>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20"/>
                <w:szCs w:val="20"/>
              </w:rPr>
              <w:t>12,013 </w:t>
            </w:r>
          </w:p>
        </w:tc>
        <w:tc>
          <w:tcPr>
            <w:tcW w:w="0" w:type="auto"/>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20"/>
                <w:szCs w:val="20"/>
              </w:rPr>
              <w:t>7,956 </w:t>
            </w:r>
          </w:p>
        </w:tc>
        <w:tc>
          <w:tcPr>
            <w:tcW w:w="0" w:type="auto"/>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20"/>
                <w:szCs w:val="20"/>
              </w:rPr>
              <w:t>9,110 </w:t>
            </w:r>
          </w:p>
        </w:tc>
        <w:tc>
          <w:tcPr>
            <w:tcW w:w="0" w:type="auto"/>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20"/>
                <w:szCs w:val="20"/>
              </w:rPr>
              <w:t>10,008 </w:t>
            </w:r>
          </w:p>
        </w:tc>
        <w:tc>
          <w:tcPr>
            <w:tcW w:w="0" w:type="auto"/>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20"/>
                <w:szCs w:val="20"/>
              </w:rPr>
              <w:t>39,087 </w:t>
            </w:r>
          </w:p>
        </w:tc>
        <w:tc>
          <w:tcPr>
            <w:tcW w:w="0" w:type="auto"/>
            <w:tcMar>
              <w:top w:w="30" w:type="dxa"/>
              <w:left w:w="0" w:type="dxa"/>
              <w:bottom w:w="30" w:type="dxa"/>
              <w:right w:w="20" w:type="dxa"/>
            </w:tcMar>
            <w:vAlign w:val="center"/>
            <w:hideMark/>
          </w:tcPr>
          <w:p w:rsidR="00000000" w:rsidRDefault="001F1FC8">
            <w:pPr>
              <w:jc w:val="right"/>
              <w:rPr>
                <w:rFonts w:eastAsia="Times New Roman"/>
              </w:rPr>
            </w:pPr>
          </w:p>
        </w:tc>
      </w:tr>
      <w:tr w:rsidR="00000000">
        <w:trPr>
          <w:divId w:val="1061945393"/>
        </w:trPr>
        <w:tc>
          <w:tcPr>
            <w:tcW w:w="0" w:type="auto"/>
            <w:gridSpan w:val="3"/>
            <w:tcMar>
              <w:top w:w="30" w:type="dxa"/>
              <w:left w:w="20" w:type="dxa"/>
              <w:bottom w:w="30" w:type="dxa"/>
              <w:right w:w="20" w:type="dxa"/>
            </w:tcMar>
            <w:vAlign w:val="center"/>
            <w:hideMark/>
          </w:tcPr>
          <w:p w:rsidR="00000000" w:rsidRDefault="001F1FC8">
            <w:pPr>
              <w:rPr>
                <w:rFonts w:eastAsia="Times New Roman"/>
              </w:rPr>
            </w:pPr>
            <w:r>
              <w:rPr>
                <w:rFonts w:ascii="Arial" w:eastAsia="Times New Roman" w:hAnsi="Arial" w:cs="Arial"/>
                <w:color w:val="000000"/>
                <w:sz w:val="20"/>
                <w:szCs w:val="20"/>
              </w:rPr>
              <w:t>Operating income</w:t>
            </w:r>
          </w:p>
        </w:tc>
        <w:tc>
          <w:tcPr>
            <w:tcW w:w="0" w:type="auto"/>
            <w:gridSpan w:val="2"/>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20"/>
                <w:szCs w:val="20"/>
              </w:rPr>
              <w:t>1,513 </w:t>
            </w:r>
          </w:p>
        </w:tc>
        <w:tc>
          <w:tcPr>
            <w:tcW w:w="0" w:type="auto"/>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20"/>
                <w:szCs w:val="20"/>
              </w:rPr>
              <w:t>2,098 </w:t>
            </w:r>
          </w:p>
        </w:tc>
        <w:tc>
          <w:tcPr>
            <w:tcW w:w="0" w:type="auto"/>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20"/>
                <w:szCs w:val="20"/>
              </w:rPr>
              <w:t>2,095 </w:t>
            </w:r>
          </w:p>
        </w:tc>
        <w:tc>
          <w:tcPr>
            <w:tcW w:w="0" w:type="auto"/>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20"/>
                <w:szCs w:val="20"/>
              </w:rPr>
              <w:t>2,251 </w:t>
            </w:r>
          </w:p>
        </w:tc>
        <w:tc>
          <w:tcPr>
            <w:tcW w:w="0" w:type="auto"/>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20"/>
                <w:szCs w:val="20"/>
              </w:rPr>
              <w:t>7,957 </w:t>
            </w:r>
          </w:p>
        </w:tc>
        <w:tc>
          <w:tcPr>
            <w:tcW w:w="0" w:type="auto"/>
            <w:tcMar>
              <w:top w:w="30" w:type="dxa"/>
              <w:left w:w="0" w:type="dxa"/>
              <w:bottom w:w="30" w:type="dxa"/>
              <w:right w:w="20" w:type="dxa"/>
            </w:tcMar>
            <w:vAlign w:val="center"/>
            <w:hideMark/>
          </w:tcPr>
          <w:p w:rsidR="00000000" w:rsidRDefault="001F1FC8">
            <w:pPr>
              <w:jc w:val="right"/>
              <w:rPr>
                <w:rFonts w:eastAsia="Times New Roman"/>
              </w:rPr>
            </w:pPr>
          </w:p>
        </w:tc>
      </w:tr>
      <w:tr w:rsidR="00000000">
        <w:trPr>
          <w:divId w:val="1061945393"/>
        </w:trPr>
        <w:tc>
          <w:tcPr>
            <w:tcW w:w="0" w:type="auto"/>
            <w:gridSpan w:val="3"/>
            <w:tcMar>
              <w:top w:w="30" w:type="dxa"/>
              <w:left w:w="20" w:type="dxa"/>
              <w:bottom w:w="30" w:type="dxa"/>
              <w:right w:w="20" w:type="dxa"/>
            </w:tcMar>
            <w:vAlign w:val="center"/>
            <w:hideMark/>
          </w:tcPr>
          <w:p w:rsidR="00000000" w:rsidRDefault="001F1FC8">
            <w:pPr>
              <w:rPr>
                <w:rFonts w:eastAsia="Times New Roman"/>
              </w:rPr>
            </w:pPr>
            <w:r>
              <w:rPr>
                <w:rFonts w:ascii="Arial" w:eastAsia="Times New Roman" w:hAnsi="Arial" w:cs="Arial"/>
                <w:color w:val="000000"/>
                <w:sz w:val="20"/>
                <w:szCs w:val="20"/>
              </w:rPr>
              <w:t>Earnings/(loss)</w:t>
            </w:r>
          </w:p>
        </w:tc>
        <w:tc>
          <w:tcPr>
            <w:tcW w:w="0" w:type="auto"/>
            <w:gridSpan w:val="2"/>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20"/>
                <w:szCs w:val="20"/>
              </w:rPr>
              <w:t>(1,364)</w:t>
            </w:r>
          </w:p>
        </w:tc>
        <w:tc>
          <w:tcPr>
            <w:tcW w:w="0" w:type="auto"/>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20"/>
                <w:szCs w:val="20"/>
              </w:rPr>
              <w:t>1,777 </w:t>
            </w:r>
          </w:p>
        </w:tc>
        <w:tc>
          <w:tcPr>
            <w:tcW w:w="0" w:type="auto"/>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20"/>
                <w:szCs w:val="20"/>
              </w:rPr>
              <w:t>1,104 </w:t>
            </w:r>
          </w:p>
        </w:tc>
        <w:tc>
          <w:tcPr>
            <w:tcW w:w="0" w:type="auto"/>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20"/>
                <w:szCs w:val="20"/>
              </w:rPr>
              <w:t>1,899 </w:t>
            </w:r>
          </w:p>
        </w:tc>
        <w:tc>
          <w:tcPr>
            <w:tcW w:w="0" w:type="auto"/>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20"/>
                <w:szCs w:val="20"/>
              </w:rPr>
              <w:t>3,416 </w:t>
            </w:r>
          </w:p>
        </w:tc>
        <w:tc>
          <w:tcPr>
            <w:tcW w:w="0" w:type="auto"/>
            <w:tcMar>
              <w:top w:w="30" w:type="dxa"/>
              <w:left w:w="0" w:type="dxa"/>
              <w:bottom w:w="30" w:type="dxa"/>
              <w:right w:w="20" w:type="dxa"/>
            </w:tcMar>
            <w:vAlign w:val="center"/>
            <w:hideMark/>
          </w:tcPr>
          <w:p w:rsidR="00000000" w:rsidRDefault="001F1FC8">
            <w:pPr>
              <w:jc w:val="right"/>
              <w:rPr>
                <w:rFonts w:eastAsia="Times New Roman"/>
              </w:rPr>
            </w:pPr>
          </w:p>
        </w:tc>
      </w:tr>
      <w:tr w:rsidR="00000000">
        <w:trPr>
          <w:divId w:val="1061945393"/>
        </w:trPr>
        <w:tc>
          <w:tcPr>
            <w:tcW w:w="0" w:type="auto"/>
            <w:gridSpan w:val="3"/>
            <w:tcMar>
              <w:top w:w="30" w:type="dxa"/>
              <w:left w:w="200" w:type="dxa"/>
              <w:bottom w:w="30" w:type="dxa"/>
              <w:right w:w="20" w:type="dxa"/>
            </w:tcMar>
            <w:vAlign w:val="center"/>
            <w:hideMark/>
          </w:tcPr>
          <w:p w:rsidR="00000000" w:rsidRDefault="001F1FC8">
            <w:pPr>
              <w:ind w:hanging="180"/>
              <w:rPr>
                <w:rFonts w:eastAsia="Times New Roman"/>
              </w:rPr>
            </w:pPr>
            <w:r>
              <w:rPr>
                <w:rFonts w:ascii="Arial" w:eastAsia="Times New Roman" w:hAnsi="Arial" w:cs="Arial"/>
                <w:color w:val="000000"/>
                <w:sz w:val="20"/>
                <w:szCs w:val="20"/>
              </w:rPr>
              <w:t xml:space="preserve">Earnings/(loss) attributable to controlling interests </w:t>
            </w:r>
          </w:p>
        </w:tc>
        <w:tc>
          <w:tcPr>
            <w:tcW w:w="0" w:type="auto"/>
            <w:gridSpan w:val="2"/>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20"/>
                <w:szCs w:val="20"/>
              </w:rPr>
              <w:t>(1,333)</w:t>
            </w:r>
          </w:p>
        </w:tc>
        <w:tc>
          <w:tcPr>
            <w:tcW w:w="0" w:type="auto"/>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20"/>
                <w:szCs w:val="20"/>
              </w:rPr>
              <w:t>1,741 </w:t>
            </w:r>
          </w:p>
        </w:tc>
        <w:tc>
          <w:tcPr>
            <w:tcW w:w="0" w:type="auto"/>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20"/>
                <w:szCs w:val="20"/>
              </w:rPr>
              <w:t>1,084 </w:t>
            </w:r>
          </w:p>
        </w:tc>
        <w:tc>
          <w:tcPr>
            <w:tcW w:w="0" w:type="auto"/>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20"/>
                <w:szCs w:val="20"/>
              </w:rPr>
              <w:t>1,871 </w:t>
            </w:r>
          </w:p>
        </w:tc>
        <w:tc>
          <w:tcPr>
            <w:tcW w:w="0" w:type="auto"/>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20"/>
                <w:szCs w:val="20"/>
              </w:rPr>
              <w:t>3,363 </w:t>
            </w:r>
          </w:p>
        </w:tc>
        <w:tc>
          <w:tcPr>
            <w:tcW w:w="0" w:type="auto"/>
            <w:tcMar>
              <w:top w:w="30" w:type="dxa"/>
              <w:left w:w="0" w:type="dxa"/>
              <w:bottom w:w="30" w:type="dxa"/>
              <w:right w:w="20" w:type="dxa"/>
            </w:tcMar>
            <w:vAlign w:val="center"/>
            <w:hideMark/>
          </w:tcPr>
          <w:p w:rsidR="00000000" w:rsidRDefault="001F1FC8">
            <w:pPr>
              <w:jc w:val="right"/>
              <w:rPr>
                <w:rFonts w:eastAsia="Times New Roman"/>
              </w:rPr>
            </w:pPr>
          </w:p>
        </w:tc>
      </w:tr>
      <w:tr w:rsidR="00000000">
        <w:trPr>
          <w:divId w:val="1061945393"/>
        </w:trPr>
        <w:tc>
          <w:tcPr>
            <w:tcW w:w="0" w:type="auto"/>
            <w:gridSpan w:val="3"/>
            <w:tcMar>
              <w:top w:w="30" w:type="dxa"/>
              <w:left w:w="200" w:type="dxa"/>
              <w:bottom w:w="30" w:type="dxa"/>
              <w:right w:w="20" w:type="dxa"/>
            </w:tcMar>
            <w:vAlign w:val="center"/>
            <w:hideMark/>
          </w:tcPr>
          <w:p w:rsidR="00000000" w:rsidRDefault="001F1FC8">
            <w:pPr>
              <w:ind w:hanging="180"/>
              <w:rPr>
                <w:rFonts w:eastAsia="Times New Roman"/>
              </w:rPr>
            </w:pPr>
            <w:r>
              <w:rPr>
                <w:rFonts w:ascii="Arial" w:eastAsia="Times New Roman" w:hAnsi="Arial" w:cs="Arial"/>
                <w:color w:val="000000"/>
                <w:sz w:val="20"/>
                <w:szCs w:val="20"/>
              </w:rPr>
              <w:t>Earnings/(loss) attributable to common shareholders</w:t>
            </w:r>
          </w:p>
        </w:tc>
        <w:tc>
          <w:tcPr>
            <w:tcW w:w="0" w:type="auto"/>
            <w:gridSpan w:val="2"/>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20"/>
                <w:szCs w:val="20"/>
              </w:rPr>
              <w:t>(1,429)</w:t>
            </w:r>
          </w:p>
        </w:tc>
        <w:tc>
          <w:tcPr>
            <w:tcW w:w="0" w:type="auto"/>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20"/>
                <w:szCs w:val="20"/>
              </w:rPr>
              <w:t>1,647 </w:t>
            </w:r>
          </w:p>
        </w:tc>
        <w:tc>
          <w:tcPr>
            <w:tcW w:w="0" w:type="auto"/>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20"/>
                <w:szCs w:val="20"/>
              </w:rPr>
              <w:t>990 </w:t>
            </w:r>
          </w:p>
        </w:tc>
        <w:tc>
          <w:tcPr>
            <w:tcW w:w="0" w:type="auto"/>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20"/>
                <w:szCs w:val="20"/>
              </w:rPr>
              <w:t>1,775 </w:t>
            </w:r>
          </w:p>
        </w:tc>
        <w:tc>
          <w:tcPr>
            <w:tcW w:w="0" w:type="auto"/>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20"/>
                <w:szCs w:val="20"/>
              </w:rPr>
              <w:t>2,983 </w:t>
            </w:r>
          </w:p>
        </w:tc>
        <w:tc>
          <w:tcPr>
            <w:tcW w:w="0" w:type="auto"/>
            <w:tcMar>
              <w:top w:w="30" w:type="dxa"/>
              <w:left w:w="0" w:type="dxa"/>
              <w:bottom w:w="30" w:type="dxa"/>
              <w:right w:w="20" w:type="dxa"/>
            </w:tcMar>
            <w:vAlign w:val="center"/>
            <w:hideMark/>
          </w:tcPr>
          <w:p w:rsidR="00000000" w:rsidRDefault="001F1FC8">
            <w:pPr>
              <w:jc w:val="right"/>
              <w:rPr>
                <w:rFonts w:eastAsia="Times New Roman"/>
              </w:rPr>
            </w:pPr>
          </w:p>
        </w:tc>
      </w:tr>
      <w:tr w:rsidR="00000000">
        <w:trPr>
          <w:divId w:val="1061945393"/>
        </w:trPr>
        <w:tc>
          <w:tcPr>
            <w:tcW w:w="0" w:type="auto"/>
            <w:gridSpan w:val="3"/>
            <w:tcMar>
              <w:top w:w="30" w:type="dxa"/>
              <w:left w:w="20" w:type="dxa"/>
              <w:bottom w:w="30" w:type="dxa"/>
              <w:right w:w="20" w:type="dxa"/>
            </w:tcMar>
            <w:vAlign w:val="center"/>
            <w:hideMark/>
          </w:tcPr>
          <w:p w:rsidR="00000000" w:rsidRDefault="001F1FC8">
            <w:pPr>
              <w:rPr>
                <w:rFonts w:eastAsia="Times New Roman"/>
              </w:rPr>
            </w:pPr>
            <w:r>
              <w:rPr>
                <w:rFonts w:ascii="Arial" w:eastAsia="Times New Roman" w:hAnsi="Arial" w:cs="Arial"/>
                <w:color w:val="000000"/>
                <w:sz w:val="20"/>
                <w:szCs w:val="20"/>
              </w:rPr>
              <w:t>Earnings/(loss) per common share</w:t>
            </w:r>
          </w:p>
        </w:tc>
        <w:tc>
          <w:tcPr>
            <w:tcW w:w="0" w:type="auto"/>
            <w:gridSpan w:val="3"/>
            <w:tcMar>
              <w:top w:w="0" w:type="dxa"/>
              <w:left w:w="20" w:type="dxa"/>
              <w:bottom w:w="0" w:type="dxa"/>
              <w:right w:w="20" w:type="dxa"/>
            </w:tcMar>
            <w:vAlign w:val="center"/>
            <w:hideMark/>
          </w:tcPr>
          <w:p w:rsidR="00000000" w:rsidRDefault="001F1FC8">
            <w:pPr>
              <w:rPr>
                <w:rFonts w:eastAsia="Times New Roman"/>
              </w:rPr>
            </w:pPr>
          </w:p>
        </w:tc>
        <w:tc>
          <w:tcPr>
            <w:tcW w:w="0" w:type="auto"/>
            <w:gridSpan w:val="3"/>
            <w:tcMar>
              <w:top w:w="0" w:type="dxa"/>
              <w:left w:w="20" w:type="dxa"/>
              <w:bottom w:w="0" w:type="dxa"/>
              <w:right w:w="20" w:type="dxa"/>
            </w:tcMar>
            <w:vAlign w:val="center"/>
            <w:hideMark/>
          </w:tcPr>
          <w:p w:rsidR="00000000" w:rsidRDefault="001F1FC8">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1F1FC8">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1F1FC8">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1F1FC8">
            <w:pPr>
              <w:rPr>
                <w:rFonts w:eastAsia="Times New Roman"/>
                <w:sz w:val="20"/>
                <w:szCs w:val="20"/>
              </w:rPr>
            </w:pPr>
          </w:p>
        </w:tc>
      </w:tr>
      <w:tr w:rsidR="00000000">
        <w:trPr>
          <w:divId w:val="1061945393"/>
        </w:trPr>
        <w:tc>
          <w:tcPr>
            <w:tcW w:w="0" w:type="auto"/>
            <w:gridSpan w:val="3"/>
            <w:tcMar>
              <w:top w:w="30" w:type="dxa"/>
              <w:left w:w="155" w:type="dxa"/>
              <w:bottom w:w="30" w:type="dxa"/>
              <w:right w:w="20" w:type="dxa"/>
            </w:tcMar>
            <w:vAlign w:val="center"/>
            <w:hideMark/>
          </w:tcPr>
          <w:p w:rsidR="00000000" w:rsidRDefault="001F1FC8">
            <w:pPr>
              <w:rPr>
                <w:rFonts w:eastAsia="Times New Roman"/>
              </w:rPr>
            </w:pPr>
            <w:r>
              <w:rPr>
                <w:rFonts w:ascii="Arial" w:eastAsia="Times New Roman" w:hAnsi="Arial" w:cs="Arial"/>
                <w:color w:val="000000"/>
                <w:sz w:val="20"/>
                <w:szCs w:val="20"/>
              </w:rPr>
              <w:t>Basic</w:t>
            </w:r>
          </w:p>
        </w:tc>
        <w:tc>
          <w:tcPr>
            <w:tcW w:w="0" w:type="auto"/>
            <w:gridSpan w:val="2"/>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20"/>
                <w:szCs w:val="20"/>
              </w:rPr>
              <w:t>(0.71)</w:t>
            </w:r>
          </w:p>
        </w:tc>
        <w:tc>
          <w:tcPr>
            <w:tcW w:w="0" w:type="auto"/>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20"/>
                <w:szCs w:val="20"/>
              </w:rPr>
              <w:t>0.82 </w:t>
            </w:r>
          </w:p>
        </w:tc>
        <w:tc>
          <w:tcPr>
            <w:tcW w:w="0" w:type="auto"/>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20"/>
                <w:szCs w:val="20"/>
              </w:rPr>
              <w:t>0.49 </w:t>
            </w:r>
          </w:p>
        </w:tc>
        <w:tc>
          <w:tcPr>
            <w:tcW w:w="0" w:type="auto"/>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20"/>
                <w:szCs w:val="20"/>
              </w:rPr>
              <w:t>0.88 </w:t>
            </w:r>
          </w:p>
        </w:tc>
        <w:tc>
          <w:tcPr>
            <w:tcW w:w="0" w:type="auto"/>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20"/>
                <w:szCs w:val="20"/>
              </w:rPr>
              <w:t>1.48 </w:t>
            </w:r>
          </w:p>
        </w:tc>
        <w:tc>
          <w:tcPr>
            <w:tcW w:w="0" w:type="auto"/>
            <w:tcMar>
              <w:top w:w="30" w:type="dxa"/>
              <w:left w:w="0" w:type="dxa"/>
              <w:bottom w:w="30" w:type="dxa"/>
              <w:right w:w="20" w:type="dxa"/>
            </w:tcMar>
            <w:vAlign w:val="center"/>
            <w:hideMark/>
          </w:tcPr>
          <w:p w:rsidR="00000000" w:rsidRDefault="001F1FC8">
            <w:pPr>
              <w:jc w:val="right"/>
              <w:rPr>
                <w:rFonts w:eastAsia="Times New Roman"/>
              </w:rPr>
            </w:pPr>
          </w:p>
        </w:tc>
      </w:tr>
      <w:tr w:rsidR="00000000">
        <w:trPr>
          <w:divId w:val="1061945393"/>
        </w:trPr>
        <w:tc>
          <w:tcPr>
            <w:tcW w:w="0" w:type="auto"/>
            <w:gridSpan w:val="3"/>
            <w:tcBorders>
              <w:bottom w:val="single" w:sz="12" w:space="0" w:color="000000"/>
            </w:tcBorders>
            <w:tcMar>
              <w:top w:w="30" w:type="dxa"/>
              <w:left w:w="155" w:type="dxa"/>
              <w:bottom w:w="30" w:type="dxa"/>
              <w:right w:w="20" w:type="dxa"/>
            </w:tcMar>
            <w:vAlign w:val="center"/>
            <w:hideMark/>
          </w:tcPr>
          <w:p w:rsidR="00000000" w:rsidRDefault="001F1FC8">
            <w:pPr>
              <w:rPr>
                <w:rFonts w:eastAsia="Times New Roman"/>
              </w:rPr>
            </w:pPr>
            <w:r>
              <w:rPr>
                <w:rFonts w:ascii="Arial" w:eastAsia="Times New Roman" w:hAnsi="Arial" w:cs="Arial"/>
                <w:color w:val="000000"/>
                <w:sz w:val="20"/>
                <w:szCs w:val="20"/>
              </w:rPr>
              <w:t>Diluted</w:t>
            </w:r>
          </w:p>
        </w:tc>
        <w:tc>
          <w:tcPr>
            <w:tcW w:w="0" w:type="auto"/>
            <w:gridSpan w:val="2"/>
            <w:tcBorders>
              <w:bottom w:val="single" w:sz="12" w:space="0" w:color="000000"/>
            </w:tcBorders>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20"/>
                <w:szCs w:val="20"/>
              </w:rPr>
              <w:t>(0.71)</w:t>
            </w:r>
          </w:p>
        </w:tc>
        <w:tc>
          <w:tcPr>
            <w:tcW w:w="0" w:type="auto"/>
            <w:tcBorders>
              <w:bottom w:val="single" w:sz="12" w:space="0" w:color="000000"/>
            </w:tcBorders>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Borders>
              <w:bottom w:val="single" w:sz="12" w:space="0" w:color="000000"/>
            </w:tcBorders>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20"/>
                <w:szCs w:val="20"/>
              </w:rPr>
              <w:t>0.82 </w:t>
            </w:r>
          </w:p>
        </w:tc>
        <w:tc>
          <w:tcPr>
            <w:tcW w:w="0" w:type="auto"/>
            <w:tcBorders>
              <w:bottom w:val="single" w:sz="12" w:space="0" w:color="000000"/>
            </w:tcBorders>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Borders>
              <w:bottom w:val="single" w:sz="12" w:space="0" w:color="000000"/>
            </w:tcBorders>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20"/>
                <w:szCs w:val="20"/>
              </w:rPr>
              <w:t>0.49 </w:t>
            </w:r>
          </w:p>
        </w:tc>
        <w:tc>
          <w:tcPr>
            <w:tcW w:w="0" w:type="auto"/>
            <w:tcBorders>
              <w:bottom w:val="single" w:sz="12" w:space="0" w:color="000000"/>
            </w:tcBorders>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Borders>
              <w:bottom w:val="single" w:sz="12" w:space="0" w:color="000000"/>
            </w:tcBorders>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20"/>
                <w:szCs w:val="20"/>
              </w:rPr>
              <w:t>0.88 </w:t>
            </w:r>
          </w:p>
        </w:tc>
        <w:tc>
          <w:tcPr>
            <w:tcW w:w="0" w:type="auto"/>
            <w:tcBorders>
              <w:bottom w:val="single" w:sz="12" w:space="0" w:color="000000"/>
            </w:tcBorders>
            <w:tcMar>
              <w:top w:w="30" w:type="dxa"/>
              <w:left w:w="0" w:type="dxa"/>
              <w:bottom w:w="30" w:type="dxa"/>
              <w:right w:w="20" w:type="dxa"/>
            </w:tcMar>
            <w:vAlign w:val="center"/>
            <w:hideMark/>
          </w:tcPr>
          <w:p w:rsidR="00000000" w:rsidRDefault="001F1FC8">
            <w:pPr>
              <w:jc w:val="right"/>
              <w:rPr>
                <w:rFonts w:eastAsia="Times New Roman"/>
              </w:rPr>
            </w:pPr>
          </w:p>
        </w:tc>
        <w:tc>
          <w:tcPr>
            <w:tcW w:w="0" w:type="auto"/>
            <w:gridSpan w:val="2"/>
            <w:tcBorders>
              <w:bottom w:val="single" w:sz="12" w:space="0" w:color="000000"/>
            </w:tcBorders>
            <w:tcMar>
              <w:top w:w="30" w:type="dxa"/>
              <w:left w:w="20" w:type="dxa"/>
              <w:bottom w:w="30" w:type="dxa"/>
              <w:right w:w="0" w:type="dxa"/>
            </w:tcMar>
            <w:vAlign w:val="center"/>
            <w:hideMark/>
          </w:tcPr>
          <w:p w:rsidR="00000000" w:rsidRDefault="001F1FC8">
            <w:pPr>
              <w:jc w:val="right"/>
              <w:rPr>
                <w:rFonts w:eastAsia="Times New Roman"/>
              </w:rPr>
            </w:pPr>
            <w:r>
              <w:rPr>
                <w:rFonts w:ascii="Arial" w:eastAsia="Times New Roman" w:hAnsi="Arial" w:cs="Arial"/>
                <w:color w:val="000000"/>
                <w:sz w:val="20"/>
                <w:szCs w:val="20"/>
              </w:rPr>
              <w:t>1.48 </w:t>
            </w:r>
          </w:p>
        </w:tc>
        <w:tc>
          <w:tcPr>
            <w:tcW w:w="0" w:type="auto"/>
            <w:tcBorders>
              <w:bottom w:val="single" w:sz="12" w:space="0" w:color="000000"/>
            </w:tcBorders>
            <w:tcMar>
              <w:top w:w="30" w:type="dxa"/>
              <w:left w:w="0" w:type="dxa"/>
              <w:bottom w:w="30" w:type="dxa"/>
              <w:right w:w="20" w:type="dxa"/>
            </w:tcMar>
            <w:vAlign w:val="center"/>
            <w:hideMark/>
          </w:tcPr>
          <w:p w:rsidR="00000000" w:rsidRDefault="001F1FC8">
            <w:pPr>
              <w:jc w:val="right"/>
              <w:rPr>
                <w:rFonts w:eastAsia="Times New Roman"/>
              </w:rPr>
            </w:pPr>
          </w:p>
        </w:tc>
      </w:tr>
    </w:tbl>
    <w:p w:rsidR="00000000" w:rsidRDefault="001F1FC8">
      <w:pPr>
        <w:divId w:val="1769739412"/>
        <w:rPr>
          <w:rFonts w:eastAsia="Times New Roman"/>
        </w:rPr>
      </w:pPr>
    </w:p>
    <w:p w:rsidR="00000000" w:rsidRDefault="001F1FC8">
      <w:pPr>
        <w:jc w:val="center"/>
        <w:divId w:val="1923950934"/>
        <w:rPr>
          <w:rFonts w:eastAsia="Times New Roman"/>
        </w:rPr>
      </w:pPr>
      <w:r>
        <w:rPr>
          <w:rFonts w:ascii="Arial" w:eastAsia="Times New Roman" w:hAnsi="Arial" w:cs="Arial"/>
          <w:color w:val="000000"/>
          <w:sz w:val="20"/>
          <w:szCs w:val="20"/>
        </w:rPr>
        <w:t>178</w:t>
      </w:r>
    </w:p>
    <w:p w:rsidR="00000000" w:rsidRDefault="001F1FC8">
      <w:pPr>
        <w:rPr>
          <w:rFonts w:eastAsia="Times New Roman"/>
        </w:rPr>
      </w:pPr>
      <w:r>
        <w:rPr>
          <w:rFonts w:eastAsia="Times New Roman"/>
        </w:rPr>
        <w:pict>
          <v:rect id="_x0000_i1208" style="width:0;height:1.5pt" o:hralign="center" o:hrstd="t" o:hr="t" fillcolor="#a0a0a0" stroked="f"/>
        </w:pict>
      </w:r>
    </w:p>
    <w:p w:rsidR="00000000" w:rsidRDefault="001F1FC8">
      <w:pPr>
        <w:jc w:val="center"/>
        <w:divId w:val="1799108555"/>
        <w:rPr>
          <w:rFonts w:eastAsia="Times New Roman"/>
        </w:rPr>
      </w:pPr>
    </w:p>
    <w:p w:rsidR="00000000" w:rsidRDefault="001F1FC8">
      <w:pPr>
        <w:divId w:val="1974863892"/>
        <w:rPr>
          <w:rFonts w:eastAsia="Times New Roman"/>
        </w:rPr>
      </w:pPr>
      <w:r>
        <w:rPr>
          <w:rFonts w:ascii="Arial" w:eastAsia="Times New Roman" w:hAnsi="Arial" w:cs="Arial"/>
          <w:b/>
          <w:bCs/>
          <w:color w:val="000000"/>
          <w:sz w:val="26"/>
          <w:szCs w:val="26"/>
        </w:rPr>
        <w:t>ITEM 9. CHANGES IN AND DISAGREEMENTS WITH ACCOUNTANTS ON ACCOUNTING AND FINANCIAL DISCLOSURE</w:t>
      </w:r>
    </w:p>
    <w:p w:rsidR="00000000" w:rsidRDefault="001F1FC8">
      <w:pPr>
        <w:divId w:val="1952515311"/>
        <w:rPr>
          <w:rFonts w:eastAsia="Times New Roman"/>
        </w:rPr>
      </w:pPr>
    </w:p>
    <w:p w:rsidR="00000000" w:rsidRDefault="001F1FC8">
      <w:pPr>
        <w:divId w:val="1116607851"/>
        <w:rPr>
          <w:rFonts w:eastAsia="Times New Roman"/>
        </w:rPr>
      </w:pPr>
      <w:r>
        <w:rPr>
          <w:rFonts w:ascii="Arial" w:eastAsia="Times New Roman" w:hAnsi="Arial" w:cs="Arial"/>
          <w:color w:val="000000"/>
          <w:sz w:val="20"/>
          <w:szCs w:val="20"/>
        </w:rPr>
        <w:t>None.</w:t>
      </w:r>
    </w:p>
    <w:p w:rsidR="00000000" w:rsidRDefault="001F1FC8">
      <w:pPr>
        <w:divId w:val="1078478570"/>
        <w:rPr>
          <w:rFonts w:eastAsia="Times New Roman"/>
        </w:rPr>
      </w:pPr>
    </w:p>
    <w:p w:rsidR="00000000" w:rsidRDefault="001F1FC8">
      <w:pPr>
        <w:divId w:val="327051861"/>
        <w:rPr>
          <w:rFonts w:eastAsia="Times New Roman"/>
        </w:rPr>
      </w:pPr>
      <w:r>
        <w:rPr>
          <w:rFonts w:ascii="Arial" w:eastAsia="Times New Roman" w:hAnsi="Arial" w:cs="Arial"/>
          <w:b/>
          <w:bCs/>
          <w:color w:val="000000"/>
          <w:sz w:val="26"/>
          <w:szCs w:val="26"/>
        </w:rPr>
        <w:t>ITEM 9A. CONTROLS AND PROCEDURES</w:t>
      </w:r>
    </w:p>
    <w:p w:rsidR="00000000" w:rsidRDefault="001F1FC8">
      <w:pPr>
        <w:divId w:val="1970894637"/>
        <w:rPr>
          <w:rFonts w:eastAsia="Times New Roman"/>
        </w:rPr>
      </w:pPr>
      <w:r>
        <w:rPr>
          <w:rFonts w:ascii="Arial" w:eastAsia="Times New Roman" w:hAnsi="Arial" w:cs="Arial"/>
          <w:color w:val="000000"/>
          <w:sz w:val="20"/>
          <w:szCs w:val="20"/>
        </w:rPr>
        <w:t> </w:t>
      </w:r>
    </w:p>
    <w:p w:rsidR="00000000" w:rsidRDefault="001F1FC8">
      <w:pPr>
        <w:divId w:val="855653309"/>
        <w:rPr>
          <w:rFonts w:eastAsia="Times New Roman"/>
        </w:rPr>
      </w:pPr>
      <w:r>
        <w:rPr>
          <w:rFonts w:ascii="Arial" w:eastAsia="Times New Roman" w:hAnsi="Arial" w:cs="Arial"/>
          <w:b/>
          <w:bCs/>
          <w:color w:val="000000"/>
          <w:sz w:val="20"/>
          <w:szCs w:val="20"/>
        </w:rPr>
        <w:t>DISCLOSURE CONTROLS AND PROCEDURES</w:t>
      </w:r>
    </w:p>
    <w:p w:rsidR="00000000" w:rsidRDefault="001F1FC8">
      <w:pPr>
        <w:divId w:val="1240140235"/>
        <w:rPr>
          <w:rFonts w:eastAsia="Times New Roman"/>
        </w:rPr>
      </w:pPr>
      <w:r>
        <w:rPr>
          <w:rFonts w:ascii="Arial" w:eastAsia="Times New Roman" w:hAnsi="Arial" w:cs="Arial"/>
          <w:color w:val="000000"/>
          <w:sz w:val="20"/>
          <w:szCs w:val="20"/>
        </w:rPr>
        <w:t>Disclosure controls and procedures are designed to provide reasonable assurance that information required to be disclosed in reports filed with, or submitted to, securities regulatory authorities is recorded, processed, summarized and reported within the t</w:t>
      </w:r>
      <w:r>
        <w:rPr>
          <w:rFonts w:ascii="Arial" w:eastAsia="Times New Roman" w:hAnsi="Arial" w:cs="Arial"/>
          <w:color w:val="000000"/>
          <w:sz w:val="20"/>
          <w:szCs w:val="20"/>
        </w:rPr>
        <w:t xml:space="preserve">ime periods specified under Canadian and US securities law. As at December 31, 2021, an evaluation was carried out under the supervision of and with the participation of our management, including the Chief Executive Officer and Chief Financial Officer, of </w:t>
      </w:r>
      <w:r>
        <w:rPr>
          <w:rFonts w:ascii="Arial" w:eastAsia="Times New Roman" w:hAnsi="Arial" w:cs="Arial"/>
          <w:color w:val="000000"/>
          <w:sz w:val="20"/>
          <w:szCs w:val="20"/>
        </w:rPr>
        <w:t>the effectiveness of the design and operations of our disclosure controls and procedures (as defined in Rule 13a-15(e) and 15d-15(e) under the Exchange Act). Based on that evaluation, the Chief Executive Officer and Chief Financial Officer concluded that t</w:t>
      </w:r>
      <w:r>
        <w:rPr>
          <w:rFonts w:ascii="Arial" w:eastAsia="Times New Roman" w:hAnsi="Arial" w:cs="Arial"/>
          <w:color w:val="000000"/>
          <w:sz w:val="20"/>
          <w:szCs w:val="20"/>
        </w:rPr>
        <w:t>he design and operation of these disclosure controls and procedures were effective in ensuring that information required to be disclosed by us in reports that we file with or submit to the SEC and the Canadian Securities Administrators is recorded, process</w:t>
      </w:r>
      <w:r>
        <w:rPr>
          <w:rFonts w:ascii="Arial" w:eastAsia="Times New Roman" w:hAnsi="Arial" w:cs="Arial"/>
          <w:color w:val="000000"/>
          <w:sz w:val="20"/>
          <w:szCs w:val="20"/>
        </w:rPr>
        <w:t>ed, summarized and reported within the time periods required.</w:t>
      </w:r>
    </w:p>
    <w:p w:rsidR="00000000" w:rsidRDefault="001F1FC8">
      <w:pPr>
        <w:divId w:val="1101146496"/>
        <w:rPr>
          <w:rFonts w:eastAsia="Times New Roman"/>
        </w:rPr>
      </w:pPr>
    </w:p>
    <w:p w:rsidR="00000000" w:rsidRDefault="001F1FC8">
      <w:pPr>
        <w:divId w:val="852497601"/>
        <w:rPr>
          <w:rFonts w:eastAsia="Times New Roman"/>
        </w:rPr>
      </w:pPr>
      <w:r>
        <w:rPr>
          <w:rFonts w:ascii="Arial" w:eastAsia="Times New Roman" w:hAnsi="Arial" w:cs="Arial"/>
          <w:b/>
          <w:bCs/>
          <w:color w:val="000000"/>
          <w:sz w:val="20"/>
          <w:szCs w:val="20"/>
        </w:rPr>
        <w:t>INTERNAL CONTROL OVER FINANCIAL REPORTING</w:t>
      </w:r>
    </w:p>
    <w:p w:rsidR="00000000" w:rsidRDefault="001F1FC8">
      <w:pPr>
        <w:divId w:val="1293825070"/>
        <w:rPr>
          <w:rFonts w:eastAsia="Times New Roman"/>
        </w:rPr>
      </w:pPr>
      <w:r>
        <w:rPr>
          <w:rFonts w:ascii="Arial" w:eastAsia="Times New Roman" w:hAnsi="Arial" w:cs="Arial"/>
          <w:b/>
          <w:bCs/>
          <w:color w:val="000000"/>
          <w:sz w:val="20"/>
          <w:szCs w:val="20"/>
        </w:rPr>
        <w:t>Management’s Annual Report on Internal Control over Financial Reporting</w:t>
      </w:r>
    </w:p>
    <w:p w:rsidR="00000000" w:rsidRDefault="001F1FC8">
      <w:pPr>
        <w:divId w:val="1670524843"/>
        <w:rPr>
          <w:rFonts w:eastAsia="Times New Roman"/>
        </w:rPr>
      </w:pPr>
      <w:r>
        <w:rPr>
          <w:rFonts w:ascii="Arial" w:eastAsia="Times New Roman" w:hAnsi="Arial" w:cs="Arial"/>
          <w:color w:val="000000"/>
          <w:sz w:val="20"/>
          <w:szCs w:val="20"/>
        </w:rPr>
        <w:t>Our management is responsible for establishing and maintaining adequate intern</w:t>
      </w:r>
      <w:r>
        <w:rPr>
          <w:rFonts w:ascii="Arial" w:eastAsia="Times New Roman" w:hAnsi="Arial" w:cs="Arial"/>
          <w:color w:val="000000"/>
          <w:sz w:val="20"/>
          <w:szCs w:val="20"/>
        </w:rPr>
        <w:t>al control over financial reporting as such term is defined in the rules of the SEC and the Canadian Securities Administrators. Our internal control over financial reporting is a process designed under the supervision and with the participation of executiv</w:t>
      </w:r>
      <w:r>
        <w:rPr>
          <w:rFonts w:ascii="Arial" w:eastAsia="Times New Roman" w:hAnsi="Arial" w:cs="Arial"/>
          <w:color w:val="000000"/>
          <w:sz w:val="20"/>
          <w:szCs w:val="20"/>
        </w:rPr>
        <w:t>e and financial officers to provide reasonable assurance regarding the reliability of financial reporting and the preparation of our financial statements for external reporting purposes in accordance with US GAAP.</w:t>
      </w:r>
    </w:p>
    <w:p w:rsidR="00000000" w:rsidRDefault="001F1FC8">
      <w:pPr>
        <w:divId w:val="1366909629"/>
        <w:rPr>
          <w:rFonts w:eastAsia="Times New Roman"/>
        </w:rPr>
      </w:pPr>
    </w:p>
    <w:p w:rsidR="00000000" w:rsidRDefault="001F1FC8">
      <w:pPr>
        <w:divId w:val="109710267"/>
        <w:rPr>
          <w:rFonts w:eastAsia="Times New Roman"/>
        </w:rPr>
      </w:pPr>
      <w:r>
        <w:rPr>
          <w:rFonts w:ascii="Arial" w:eastAsia="Times New Roman" w:hAnsi="Arial" w:cs="Arial"/>
          <w:color w:val="000000"/>
          <w:sz w:val="20"/>
          <w:szCs w:val="20"/>
        </w:rPr>
        <w:t>Our internal control over financial repo</w:t>
      </w:r>
      <w:r>
        <w:rPr>
          <w:rFonts w:ascii="Arial" w:eastAsia="Times New Roman" w:hAnsi="Arial" w:cs="Arial"/>
          <w:color w:val="000000"/>
          <w:sz w:val="20"/>
          <w:szCs w:val="20"/>
        </w:rPr>
        <w:t>rting includes policies and procedures that:</w:t>
      </w:r>
    </w:p>
    <w:p w:rsidR="00000000" w:rsidRDefault="001F1FC8">
      <w:pPr>
        <w:ind w:hanging="360"/>
        <w:divId w:val="286936082"/>
        <w:rPr>
          <w:rFonts w:eastAsia="Times New Roman"/>
        </w:rPr>
      </w:pPr>
      <w:r>
        <w:rPr>
          <w:rFonts w:ascii="Arial" w:eastAsia="Times New Roman" w:hAnsi="Arial" w:cs="Arial"/>
          <w:color w:val="000000"/>
          <w:sz w:val="20"/>
          <w:szCs w:val="20"/>
        </w:rPr>
        <w:t>•pertain to the maintenance of records that, in reasonable detail, accurately and fairly reflect transactions and dispositions of our assets;</w:t>
      </w:r>
    </w:p>
    <w:p w:rsidR="00000000" w:rsidRDefault="001F1FC8">
      <w:pPr>
        <w:ind w:hanging="360"/>
        <w:divId w:val="1870869830"/>
        <w:rPr>
          <w:rFonts w:eastAsia="Times New Roman"/>
        </w:rPr>
      </w:pPr>
      <w:r>
        <w:rPr>
          <w:rFonts w:ascii="Arial" w:eastAsia="Times New Roman" w:hAnsi="Arial" w:cs="Arial"/>
          <w:color w:val="000000"/>
          <w:sz w:val="20"/>
          <w:szCs w:val="20"/>
        </w:rPr>
        <w:t>•provide reasonable assurance that transactions are recorded as neces</w:t>
      </w:r>
      <w:r>
        <w:rPr>
          <w:rFonts w:ascii="Arial" w:eastAsia="Times New Roman" w:hAnsi="Arial" w:cs="Arial"/>
          <w:color w:val="000000"/>
          <w:sz w:val="20"/>
          <w:szCs w:val="20"/>
        </w:rPr>
        <w:t>sary to permit preparation of financial statements in accordance with US GAAP; and</w:t>
      </w:r>
    </w:p>
    <w:p w:rsidR="00000000" w:rsidRDefault="001F1FC8">
      <w:pPr>
        <w:ind w:hanging="360"/>
        <w:divId w:val="1459912417"/>
        <w:rPr>
          <w:rFonts w:eastAsia="Times New Roman"/>
        </w:rPr>
      </w:pPr>
      <w:r>
        <w:rPr>
          <w:rFonts w:ascii="Arial" w:eastAsia="Times New Roman" w:hAnsi="Arial" w:cs="Arial"/>
          <w:color w:val="000000"/>
          <w:sz w:val="20"/>
          <w:szCs w:val="20"/>
        </w:rPr>
        <w:t>•provide reasonable assurance regarding prevention or timely detection of unauthorized acquisition, use or disposition of our assets that could have a material effect on the</w:t>
      </w:r>
      <w:r>
        <w:rPr>
          <w:rFonts w:ascii="Arial" w:eastAsia="Times New Roman" w:hAnsi="Arial" w:cs="Arial"/>
          <w:color w:val="000000"/>
          <w:sz w:val="20"/>
          <w:szCs w:val="20"/>
        </w:rPr>
        <w:t xml:space="preserve"> financial statements.</w:t>
      </w:r>
    </w:p>
    <w:p w:rsidR="00000000" w:rsidRDefault="001F1FC8">
      <w:pPr>
        <w:divId w:val="952830960"/>
        <w:rPr>
          <w:rFonts w:eastAsia="Times New Roman"/>
        </w:rPr>
      </w:pPr>
      <w:r>
        <w:rPr>
          <w:rFonts w:ascii="Arial" w:eastAsia="Times New Roman" w:hAnsi="Arial" w:cs="Arial"/>
          <w:color w:val="000000"/>
          <w:sz w:val="20"/>
          <w:szCs w:val="20"/>
        </w:rPr>
        <w:t> </w:t>
      </w:r>
    </w:p>
    <w:p w:rsidR="00000000" w:rsidRDefault="001F1FC8">
      <w:pPr>
        <w:divId w:val="2116555805"/>
        <w:rPr>
          <w:rFonts w:eastAsia="Times New Roman"/>
        </w:rPr>
      </w:pPr>
      <w:r>
        <w:rPr>
          <w:rFonts w:ascii="Arial" w:eastAsia="Times New Roman" w:hAnsi="Arial" w:cs="Arial"/>
          <w:color w:val="000000"/>
          <w:sz w:val="20"/>
          <w:szCs w:val="20"/>
        </w:rPr>
        <w:t xml:space="preserve">Our internal control over financial reporting may not prevent or detect all misstatements because of inherent limitations. Additionally, projections of any evaluation of effectiveness to future periods are subject to the risk that </w:t>
      </w:r>
      <w:r>
        <w:rPr>
          <w:rFonts w:ascii="Arial" w:eastAsia="Times New Roman" w:hAnsi="Arial" w:cs="Arial"/>
          <w:color w:val="000000"/>
          <w:sz w:val="20"/>
          <w:szCs w:val="20"/>
        </w:rPr>
        <w:t>controls may become inadequate because of changes in conditions or deterioration in the degree of compliance with our policies and procedures.</w:t>
      </w:r>
    </w:p>
    <w:p w:rsidR="00000000" w:rsidRDefault="001F1FC8">
      <w:pPr>
        <w:divId w:val="843474345"/>
        <w:rPr>
          <w:rFonts w:eastAsia="Times New Roman"/>
        </w:rPr>
      </w:pPr>
      <w:r>
        <w:rPr>
          <w:rFonts w:ascii="Arial" w:eastAsia="Times New Roman" w:hAnsi="Arial" w:cs="Arial"/>
          <w:color w:val="000000"/>
          <w:sz w:val="20"/>
          <w:szCs w:val="20"/>
        </w:rPr>
        <w:t> </w:t>
      </w:r>
    </w:p>
    <w:p w:rsidR="00000000" w:rsidRDefault="001F1FC8">
      <w:pPr>
        <w:divId w:val="613631861"/>
        <w:rPr>
          <w:rFonts w:eastAsia="Times New Roman"/>
        </w:rPr>
      </w:pPr>
      <w:r>
        <w:rPr>
          <w:rFonts w:ascii="Arial" w:eastAsia="Times New Roman" w:hAnsi="Arial" w:cs="Arial"/>
          <w:color w:val="000000"/>
          <w:sz w:val="20"/>
          <w:szCs w:val="20"/>
        </w:rPr>
        <w:t>Our management assessed the effectiveness of our internal control over financial reporting as at December 31, 2</w:t>
      </w:r>
      <w:r>
        <w:rPr>
          <w:rFonts w:ascii="Arial" w:eastAsia="Times New Roman" w:hAnsi="Arial" w:cs="Arial"/>
          <w:color w:val="000000"/>
          <w:sz w:val="20"/>
          <w:szCs w:val="20"/>
        </w:rPr>
        <w:t xml:space="preserve">021, based on the framework established in </w:t>
      </w:r>
      <w:r>
        <w:rPr>
          <w:rFonts w:ascii="Arial" w:eastAsia="Times New Roman" w:hAnsi="Arial" w:cs="Arial"/>
          <w:i/>
          <w:iCs/>
          <w:color w:val="000000"/>
          <w:sz w:val="20"/>
          <w:szCs w:val="20"/>
        </w:rPr>
        <w:t>Internal Control – Integrated Framework (2013)</w:t>
      </w:r>
      <w:r>
        <w:rPr>
          <w:rFonts w:ascii="Arial" w:eastAsia="Times New Roman" w:hAnsi="Arial" w:cs="Arial"/>
          <w:color w:val="000000"/>
          <w:sz w:val="20"/>
          <w:szCs w:val="20"/>
        </w:rPr>
        <w:t xml:space="preserve"> issued by the Committee of Sponsoring Organizations of the Treadway Commission. Based on this assessment, our management concluded that we maintained effective intern</w:t>
      </w:r>
      <w:r>
        <w:rPr>
          <w:rFonts w:ascii="Arial" w:eastAsia="Times New Roman" w:hAnsi="Arial" w:cs="Arial"/>
          <w:color w:val="000000"/>
          <w:sz w:val="20"/>
          <w:szCs w:val="20"/>
        </w:rPr>
        <w:t>al control over financial reporting as at December 31, 2021.</w:t>
      </w:r>
    </w:p>
    <w:p w:rsidR="00000000" w:rsidRDefault="001F1FC8">
      <w:pPr>
        <w:divId w:val="1929384745"/>
        <w:rPr>
          <w:rFonts w:eastAsia="Times New Roman"/>
        </w:rPr>
      </w:pPr>
    </w:p>
    <w:p w:rsidR="00000000" w:rsidRDefault="001F1FC8">
      <w:pPr>
        <w:jc w:val="center"/>
        <w:divId w:val="312829493"/>
        <w:rPr>
          <w:rFonts w:eastAsia="Times New Roman"/>
        </w:rPr>
      </w:pPr>
      <w:r>
        <w:rPr>
          <w:rFonts w:ascii="Arial" w:eastAsia="Times New Roman" w:hAnsi="Arial" w:cs="Arial"/>
          <w:color w:val="000000"/>
          <w:sz w:val="20"/>
          <w:szCs w:val="20"/>
        </w:rPr>
        <w:t>179</w:t>
      </w:r>
    </w:p>
    <w:p w:rsidR="00000000" w:rsidRDefault="001F1FC8">
      <w:pPr>
        <w:rPr>
          <w:rFonts w:eastAsia="Times New Roman"/>
        </w:rPr>
      </w:pPr>
      <w:r>
        <w:rPr>
          <w:rFonts w:eastAsia="Times New Roman"/>
        </w:rPr>
        <w:pict>
          <v:rect id="_x0000_i1209" style="width:0;height:1.5pt" o:hralign="center" o:hrstd="t" o:hr="t" fillcolor="#a0a0a0" stroked="f"/>
        </w:pict>
      </w:r>
    </w:p>
    <w:p w:rsidR="00000000" w:rsidRDefault="001F1FC8">
      <w:pPr>
        <w:jc w:val="center"/>
        <w:divId w:val="878014012"/>
        <w:rPr>
          <w:rFonts w:eastAsia="Times New Roman"/>
        </w:rPr>
      </w:pPr>
    </w:p>
    <w:p w:rsidR="00000000" w:rsidRDefault="001F1FC8">
      <w:pPr>
        <w:divId w:val="164367494"/>
        <w:rPr>
          <w:rFonts w:eastAsia="Times New Roman"/>
        </w:rPr>
      </w:pPr>
      <w:r>
        <w:rPr>
          <w:rFonts w:ascii="Arial" w:eastAsia="Times New Roman" w:hAnsi="Arial" w:cs="Arial"/>
          <w:color w:val="000000"/>
          <w:sz w:val="20"/>
          <w:szCs w:val="20"/>
        </w:rPr>
        <w:t>The effectiveness of our internal control over financial reporting as at December 31, 2021 has been audited by PricewaterhouseCoopers LLP, Independent</w:t>
      </w:r>
      <w:r>
        <w:rPr>
          <w:rFonts w:ascii="Arial" w:eastAsia="Times New Roman" w:hAnsi="Arial" w:cs="Arial"/>
          <w:color w:val="000000"/>
          <w:sz w:val="20"/>
          <w:szCs w:val="20"/>
        </w:rPr>
        <w:t xml:space="preserve"> Registered Public Accounting Firm appointed by our shareholders. As stated in their </w:t>
      </w:r>
      <w:r>
        <w:rPr>
          <w:rFonts w:ascii="Arial" w:eastAsia="Times New Roman" w:hAnsi="Arial" w:cs="Arial"/>
          <w:i/>
          <w:iCs/>
          <w:color w:val="000000"/>
          <w:sz w:val="20"/>
          <w:szCs w:val="20"/>
        </w:rPr>
        <w:t>Report of Independent Registered Public Accounting Firm</w:t>
      </w:r>
      <w:r>
        <w:rPr>
          <w:rFonts w:ascii="Arial" w:eastAsia="Times New Roman" w:hAnsi="Arial" w:cs="Arial"/>
          <w:color w:val="000000"/>
          <w:sz w:val="20"/>
          <w:szCs w:val="20"/>
        </w:rPr>
        <w:t xml:space="preserve"> which appears in </w:t>
      </w:r>
      <w:r>
        <w:rPr>
          <w:rFonts w:ascii="Arial" w:eastAsia="Times New Roman" w:hAnsi="Arial" w:cs="Arial"/>
          <w:i/>
          <w:iCs/>
          <w:color w:val="000000"/>
          <w:sz w:val="20"/>
          <w:szCs w:val="20"/>
        </w:rPr>
        <w:t>Item 8.</w:t>
      </w:r>
      <w:r>
        <w:rPr>
          <w:rFonts w:ascii="Arial" w:eastAsia="Times New Roman" w:hAnsi="Arial" w:cs="Arial"/>
          <w:color w:val="000000"/>
          <w:sz w:val="20"/>
          <w:szCs w:val="20"/>
        </w:rPr>
        <w:t xml:space="preserve"> </w:t>
      </w:r>
      <w:r>
        <w:rPr>
          <w:rFonts w:ascii="Arial" w:eastAsia="Times New Roman" w:hAnsi="Arial" w:cs="Arial"/>
          <w:i/>
          <w:iCs/>
          <w:color w:val="000000"/>
          <w:sz w:val="20"/>
          <w:szCs w:val="20"/>
        </w:rPr>
        <w:t>Financial Statements and Supplementary Data</w:t>
      </w:r>
      <w:r>
        <w:rPr>
          <w:rFonts w:ascii="Arial" w:eastAsia="Times New Roman" w:hAnsi="Arial" w:cs="Arial"/>
          <w:color w:val="000000"/>
          <w:sz w:val="20"/>
          <w:szCs w:val="20"/>
        </w:rPr>
        <w:t xml:space="preserve">, they expressed an unqualified opinion on the </w:t>
      </w:r>
      <w:r>
        <w:rPr>
          <w:rFonts w:ascii="Arial" w:eastAsia="Times New Roman" w:hAnsi="Arial" w:cs="Arial"/>
          <w:color w:val="000000"/>
          <w:sz w:val="20"/>
          <w:szCs w:val="20"/>
        </w:rPr>
        <w:t>effectiveness of our internal control over financial reporting as at December 31, 2021.</w:t>
      </w:r>
    </w:p>
    <w:p w:rsidR="00000000" w:rsidRDefault="001F1FC8">
      <w:pPr>
        <w:divId w:val="205608230"/>
        <w:rPr>
          <w:rFonts w:eastAsia="Times New Roman"/>
        </w:rPr>
      </w:pPr>
    </w:p>
    <w:p w:rsidR="00000000" w:rsidRDefault="001F1FC8">
      <w:pPr>
        <w:divId w:val="1086537583"/>
        <w:rPr>
          <w:rFonts w:eastAsia="Times New Roman"/>
        </w:rPr>
      </w:pPr>
      <w:r>
        <w:rPr>
          <w:rFonts w:ascii="Arial" w:eastAsia="Times New Roman" w:hAnsi="Arial" w:cs="Arial"/>
          <w:b/>
          <w:bCs/>
          <w:color w:val="000000"/>
          <w:sz w:val="20"/>
          <w:szCs w:val="20"/>
        </w:rPr>
        <w:t>Changes in Internal Control Over Financial Reporting</w:t>
      </w:r>
    </w:p>
    <w:p w:rsidR="00000000" w:rsidRDefault="001F1FC8">
      <w:pPr>
        <w:divId w:val="679240052"/>
        <w:rPr>
          <w:rFonts w:eastAsia="Times New Roman"/>
        </w:rPr>
      </w:pPr>
      <w:r>
        <w:rPr>
          <w:rFonts w:ascii="Arial" w:eastAsia="Times New Roman" w:hAnsi="Arial" w:cs="Arial"/>
          <w:color w:val="000000"/>
          <w:sz w:val="20"/>
          <w:szCs w:val="20"/>
        </w:rPr>
        <w:t>During the three months ended December </w:t>
      </w:r>
      <w:r>
        <w:rPr>
          <w:rFonts w:ascii="Arial" w:eastAsia="Times New Roman" w:hAnsi="Arial" w:cs="Arial"/>
          <w:color w:val="000000"/>
          <w:sz w:val="20"/>
          <w:szCs w:val="20"/>
        </w:rPr>
        <w:t>31, 2021, there has been no material change in our internal control over financial reporting.</w:t>
      </w:r>
    </w:p>
    <w:p w:rsidR="00000000" w:rsidRDefault="001F1FC8">
      <w:pPr>
        <w:divId w:val="1433747200"/>
        <w:rPr>
          <w:rFonts w:eastAsia="Times New Roman"/>
        </w:rPr>
      </w:pPr>
    </w:p>
    <w:p w:rsidR="00000000" w:rsidRDefault="001F1FC8">
      <w:pPr>
        <w:divId w:val="231816069"/>
        <w:rPr>
          <w:rFonts w:eastAsia="Times New Roman"/>
        </w:rPr>
      </w:pPr>
      <w:r>
        <w:rPr>
          <w:rFonts w:ascii="Arial" w:eastAsia="Times New Roman" w:hAnsi="Arial" w:cs="Arial"/>
          <w:b/>
          <w:bCs/>
          <w:color w:val="000000"/>
          <w:sz w:val="26"/>
          <w:szCs w:val="26"/>
        </w:rPr>
        <w:t>ITEM 9B. OTHER INFORMATION</w:t>
      </w:r>
    </w:p>
    <w:p w:rsidR="00000000" w:rsidRDefault="001F1FC8">
      <w:pPr>
        <w:divId w:val="2116898524"/>
        <w:rPr>
          <w:rFonts w:eastAsia="Times New Roman"/>
        </w:rPr>
      </w:pPr>
    </w:p>
    <w:p w:rsidR="00000000" w:rsidRDefault="001F1FC8">
      <w:pPr>
        <w:divId w:val="1952517038"/>
        <w:rPr>
          <w:rFonts w:eastAsia="Times New Roman"/>
        </w:rPr>
      </w:pPr>
      <w:r>
        <w:rPr>
          <w:rFonts w:ascii="Arial" w:eastAsia="Times New Roman" w:hAnsi="Arial" w:cs="Arial"/>
          <w:b/>
          <w:bCs/>
          <w:color w:val="000000"/>
          <w:sz w:val="20"/>
          <w:szCs w:val="20"/>
        </w:rPr>
        <w:t>NORMAL COURSE ISSUER BID</w:t>
      </w:r>
    </w:p>
    <w:p w:rsidR="00000000" w:rsidRDefault="001F1FC8">
      <w:pPr>
        <w:divId w:val="549925114"/>
        <w:rPr>
          <w:rFonts w:eastAsia="Times New Roman"/>
        </w:rPr>
      </w:pPr>
    </w:p>
    <w:p w:rsidR="00000000" w:rsidRDefault="001F1FC8">
      <w:pPr>
        <w:divId w:val="2044134496"/>
        <w:rPr>
          <w:rFonts w:eastAsia="Times New Roman"/>
        </w:rPr>
      </w:pPr>
      <w:r>
        <w:rPr>
          <w:rFonts w:ascii="Arial" w:eastAsia="Times New Roman" w:hAnsi="Arial" w:cs="Arial"/>
          <w:color w:val="000000"/>
          <w:sz w:val="20"/>
          <w:szCs w:val="20"/>
        </w:rPr>
        <w:t xml:space="preserve">On December 31, 2021, we announced that the TSX had approved our NCIB to purchase, for cancellation, up </w:t>
      </w:r>
      <w:r>
        <w:rPr>
          <w:rFonts w:ascii="Arial" w:eastAsia="Times New Roman" w:hAnsi="Arial" w:cs="Arial"/>
          <w:color w:val="000000"/>
          <w:sz w:val="20"/>
          <w:szCs w:val="20"/>
        </w:rPr>
        <w:t>to 31,062,331 of the outstanding common shares of Enbridge to an aggregate amount of up to $1.5 billion, subject to certain restrictions on the number of common shares that may be purchased on a single day.</w:t>
      </w:r>
    </w:p>
    <w:p w:rsidR="00000000" w:rsidRDefault="001F1FC8">
      <w:pPr>
        <w:divId w:val="1782601322"/>
        <w:rPr>
          <w:rFonts w:eastAsia="Times New Roman"/>
        </w:rPr>
      </w:pPr>
    </w:p>
    <w:p w:rsidR="00000000" w:rsidRDefault="001F1FC8">
      <w:pPr>
        <w:divId w:val="1423182287"/>
        <w:rPr>
          <w:rFonts w:eastAsia="Times New Roman"/>
        </w:rPr>
      </w:pPr>
      <w:r>
        <w:rPr>
          <w:rFonts w:ascii="Arial" w:eastAsia="Times New Roman" w:hAnsi="Arial" w:cs="Arial"/>
          <w:color w:val="000000"/>
          <w:sz w:val="20"/>
          <w:szCs w:val="20"/>
        </w:rPr>
        <w:t>Purchases under the NCIB may be made through th</w:t>
      </w:r>
      <w:r>
        <w:rPr>
          <w:rFonts w:ascii="Arial" w:eastAsia="Times New Roman" w:hAnsi="Arial" w:cs="Arial"/>
          <w:color w:val="000000"/>
          <w:sz w:val="20"/>
          <w:szCs w:val="20"/>
        </w:rPr>
        <w:t>e facilities of the TSX, the NYSE and other designated exchanges and alternative trading systems, commencing on January 5, 2022 and continuing until January 4, 2023, when the bid expires, or such earlier date on which Enbridge has either acquired the maxim</w:t>
      </w:r>
      <w:r>
        <w:rPr>
          <w:rFonts w:ascii="Arial" w:eastAsia="Times New Roman" w:hAnsi="Arial" w:cs="Arial"/>
          <w:color w:val="000000"/>
          <w:sz w:val="20"/>
          <w:szCs w:val="20"/>
        </w:rPr>
        <w:t>um number of common shares allowable under the NCIB or otherwise decide not to make any further repurchases under the NCIB. The maximum number of common shares that Enbridge may repurchase for cancellation represents approximately 1.53% of the 2,026,085,17</w:t>
      </w:r>
      <w:r>
        <w:rPr>
          <w:rFonts w:ascii="Arial" w:eastAsia="Times New Roman" w:hAnsi="Arial" w:cs="Arial"/>
          <w:color w:val="000000"/>
          <w:sz w:val="20"/>
          <w:szCs w:val="20"/>
        </w:rPr>
        <w:t>9 common shares issued and outstanding as at December 22, 2021.</w:t>
      </w:r>
    </w:p>
    <w:p w:rsidR="00000000" w:rsidRDefault="001F1FC8">
      <w:pPr>
        <w:divId w:val="1184588298"/>
        <w:rPr>
          <w:rFonts w:eastAsia="Times New Roman"/>
        </w:rPr>
      </w:pPr>
    </w:p>
    <w:p w:rsidR="00000000" w:rsidRDefault="001F1FC8">
      <w:pPr>
        <w:divId w:val="990593698"/>
        <w:rPr>
          <w:rFonts w:eastAsia="Times New Roman"/>
        </w:rPr>
      </w:pPr>
      <w:r>
        <w:rPr>
          <w:rFonts w:ascii="Arial" w:eastAsia="Times New Roman" w:hAnsi="Arial" w:cs="Arial"/>
          <w:color w:val="000000"/>
          <w:sz w:val="20"/>
          <w:szCs w:val="20"/>
        </w:rPr>
        <w:t>A copy of our notice of intention to make a normal course issuer bid may be obtained, free of charge, by contacting Investor Relations by email, phone or mail at</w:t>
      </w:r>
      <w:r>
        <w:rPr>
          <w:rFonts w:ascii="Calibri" w:eastAsia="Times New Roman" w:hAnsi="Calibri" w:cs="Calibri"/>
          <w:color w:val="000000"/>
          <w:sz w:val="22"/>
          <w:szCs w:val="22"/>
        </w:rPr>
        <w:t>:</w:t>
      </w:r>
    </w:p>
    <w:p w:rsidR="00000000" w:rsidRDefault="001F1FC8">
      <w:pPr>
        <w:divId w:val="1610234868"/>
        <w:rPr>
          <w:rFonts w:eastAsia="Times New Roman"/>
        </w:rPr>
      </w:pPr>
    </w:p>
    <w:p w:rsidR="00000000" w:rsidRDefault="001F1FC8">
      <w:pPr>
        <w:divId w:val="217086139"/>
        <w:rPr>
          <w:rFonts w:eastAsia="Times New Roman"/>
        </w:rPr>
      </w:pPr>
      <w:r>
        <w:rPr>
          <w:rFonts w:ascii="Arial" w:eastAsia="Times New Roman" w:hAnsi="Arial" w:cs="Arial"/>
          <w:color w:val="000000"/>
          <w:sz w:val="20"/>
          <w:szCs w:val="20"/>
        </w:rPr>
        <w:t>Email:</w:t>
      </w:r>
      <w:r>
        <w:rPr>
          <w:rFonts w:ascii="Calibri" w:eastAsia="Times New Roman" w:hAnsi="Calibri" w:cs="Calibri"/>
          <w:color w:val="000000"/>
          <w:sz w:val="22"/>
          <w:szCs w:val="22"/>
        </w:rPr>
        <w:t xml:space="preserve"> </w:t>
      </w:r>
      <w:r>
        <w:rPr>
          <w:rFonts w:ascii="Arial" w:eastAsia="Times New Roman" w:hAnsi="Arial" w:cs="Arial"/>
          <w:color w:val="000000"/>
          <w:sz w:val="20"/>
          <w:szCs w:val="20"/>
        </w:rPr>
        <w:t>investor.relations</w:t>
      </w:r>
      <w:r>
        <w:rPr>
          <w:rFonts w:ascii="Arial" w:eastAsia="Times New Roman" w:hAnsi="Arial" w:cs="Arial"/>
          <w:color w:val="000000"/>
          <w:sz w:val="20"/>
          <w:szCs w:val="20"/>
        </w:rPr>
        <w:t>@enbridge.com</w:t>
      </w:r>
      <w:r>
        <w:rPr>
          <w:rFonts w:ascii="Calibri" w:eastAsia="Times New Roman" w:hAnsi="Calibri" w:cs="Calibri"/>
          <w:color w:val="000000"/>
          <w:sz w:val="22"/>
          <w:szCs w:val="22"/>
        </w:rPr>
        <w:t xml:space="preserve"> </w:t>
      </w:r>
    </w:p>
    <w:p w:rsidR="00000000" w:rsidRDefault="001F1FC8">
      <w:pPr>
        <w:divId w:val="1033457322"/>
        <w:rPr>
          <w:rFonts w:eastAsia="Times New Roman"/>
        </w:rPr>
      </w:pPr>
      <w:r>
        <w:rPr>
          <w:rFonts w:ascii="Arial" w:eastAsia="Times New Roman" w:hAnsi="Arial" w:cs="Arial"/>
          <w:color w:val="000000"/>
          <w:sz w:val="20"/>
          <w:szCs w:val="20"/>
        </w:rPr>
        <w:t xml:space="preserve">Phone Within North America: 1-800-481-2804 </w:t>
      </w:r>
    </w:p>
    <w:p w:rsidR="00000000" w:rsidRDefault="001F1FC8">
      <w:pPr>
        <w:divId w:val="2053531780"/>
        <w:rPr>
          <w:rFonts w:eastAsia="Times New Roman"/>
        </w:rPr>
      </w:pPr>
      <w:r>
        <w:rPr>
          <w:rFonts w:ascii="Arial" w:eastAsia="Times New Roman" w:hAnsi="Arial" w:cs="Arial"/>
          <w:color w:val="000000"/>
          <w:sz w:val="20"/>
          <w:szCs w:val="20"/>
        </w:rPr>
        <w:t xml:space="preserve">Phone Outside North America: 1-403-231-3960 </w:t>
      </w:r>
    </w:p>
    <w:p w:rsidR="00000000" w:rsidRDefault="001F1FC8">
      <w:pPr>
        <w:divId w:val="1057709383"/>
        <w:rPr>
          <w:rFonts w:eastAsia="Times New Roman"/>
        </w:rPr>
      </w:pPr>
      <w:r>
        <w:rPr>
          <w:rFonts w:ascii="Arial" w:eastAsia="Times New Roman" w:hAnsi="Arial" w:cs="Arial"/>
          <w:color w:val="000000"/>
          <w:sz w:val="20"/>
          <w:szCs w:val="20"/>
        </w:rPr>
        <w:t>Mail: Enbridge Inc. Investor Relations, 200, 425 – 1st Street S.W., Calgary, Alberta, Canada T2P 3L8</w:t>
      </w:r>
    </w:p>
    <w:p w:rsidR="00000000" w:rsidRDefault="001F1FC8">
      <w:pPr>
        <w:divId w:val="87888395"/>
        <w:rPr>
          <w:rFonts w:eastAsia="Times New Roman"/>
        </w:rPr>
      </w:pPr>
    </w:p>
    <w:p w:rsidR="00000000" w:rsidRDefault="001F1FC8">
      <w:pPr>
        <w:divId w:val="1110589212"/>
        <w:rPr>
          <w:rFonts w:eastAsia="Times New Roman"/>
        </w:rPr>
      </w:pPr>
      <w:r>
        <w:rPr>
          <w:rFonts w:ascii="Arial" w:eastAsia="Times New Roman" w:hAnsi="Arial" w:cs="Arial"/>
          <w:b/>
          <w:bCs/>
          <w:color w:val="000000"/>
          <w:sz w:val="26"/>
          <w:szCs w:val="26"/>
        </w:rPr>
        <w:t>ITEM 9C. DISCLOSURE REGARDING FOREIGN JURISDICTIONS THAT PREVENT INSPECTIONS</w:t>
      </w:r>
    </w:p>
    <w:p w:rsidR="00000000" w:rsidRDefault="001F1FC8">
      <w:pPr>
        <w:divId w:val="483011878"/>
        <w:rPr>
          <w:rFonts w:eastAsia="Times New Roman"/>
        </w:rPr>
      </w:pPr>
    </w:p>
    <w:p w:rsidR="00000000" w:rsidRDefault="001F1FC8">
      <w:pPr>
        <w:divId w:val="292561366"/>
        <w:rPr>
          <w:rFonts w:eastAsia="Times New Roman"/>
        </w:rPr>
      </w:pPr>
      <w:r>
        <w:rPr>
          <w:rFonts w:ascii="Arial" w:eastAsia="Times New Roman" w:hAnsi="Arial" w:cs="Arial"/>
          <w:color w:val="000000"/>
          <w:sz w:val="20"/>
          <w:szCs w:val="20"/>
        </w:rPr>
        <w:t>Not applicable.</w:t>
      </w:r>
    </w:p>
    <w:p w:rsidR="00000000" w:rsidRDefault="001F1FC8">
      <w:pPr>
        <w:jc w:val="center"/>
        <w:divId w:val="618224473"/>
        <w:rPr>
          <w:rFonts w:eastAsia="Times New Roman"/>
        </w:rPr>
      </w:pPr>
      <w:r>
        <w:rPr>
          <w:rFonts w:ascii="Arial" w:eastAsia="Times New Roman" w:hAnsi="Arial" w:cs="Arial"/>
          <w:color w:val="000000"/>
          <w:sz w:val="20"/>
          <w:szCs w:val="20"/>
        </w:rPr>
        <w:t>180</w:t>
      </w:r>
    </w:p>
    <w:p w:rsidR="00000000" w:rsidRDefault="001F1FC8">
      <w:pPr>
        <w:rPr>
          <w:rFonts w:eastAsia="Times New Roman"/>
        </w:rPr>
      </w:pPr>
      <w:r>
        <w:rPr>
          <w:rFonts w:eastAsia="Times New Roman"/>
        </w:rPr>
        <w:pict>
          <v:rect id="_x0000_i1210" style="width:0;height:1.5pt" o:hralign="center" o:hrstd="t" o:hr="t" fillcolor="#a0a0a0" stroked="f"/>
        </w:pict>
      </w:r>
    </w:p>
    <w:p w:rsidR="00000000" w:rsidRDefault="001F1FC8">
      <w:pPr>
        <w:jc w:val="center"/>
        <w:divId w:val="1269966050"/>
        <w:rPr>
          <w:rFonts w:eastAsia="Times New Roman"/>
        </w:rPr>
      </w:pPr>
    </w:p>
    <w:p w:rsidR="00000000" w:rsidRDefault="001F1FC8">
      <w:pPr>
        <w:jc w:val="center"/>
        <w:rPr>
          <w:rFonts w:eastAsia="Times New Roman"/>
        </w:rPr>
      </w:pPr>
      <w:r>
        <w:rPr>
          <w:rFonts w:ascii="Arial" w:eastAsia="Times New Roman" w:hAnsi="Arial" w:cs="Arial"/>
          <w:b/>
          <w:bCs/>
          <w:color w:val="000000"/>
          <w:sz w:val="28"/>
          <w:szCs w:val="28"/>
        </w:rPr>
        <w:t>PART III</w:t>
      </w:r>
    </w:p>
    <w:p w:rsidR="00000000" w:rsidRDefault="001F1FC8">
      <w:pPr>
        <w:jc w:val="center"/>
        <w:rPr>
          <w:rFonts w:eastAsia="Times New Roman"/>
        </w:rPr>
      </w:pPr>
    </w:p>
    <w:p w:rsidR="00000000" w:rsidRDefault="001F1FC8">
      <w:pPr>
        <w:divId w:val="2064599636"/>
        <w:rPr>
          <w:rFonts w:eastAsia="Times New Roman"/>
        </w:rPr>
      </w:pPr>
      <w:r>
        <w:rPr>
          <w:rFonts w:ascii="Arial" w:eastAsia="Times New Roman" w:hAnsi="Arial" w:cs="Arial"/>
          <w:b/>
          <w:bCs/>
          <w:color w:val="000000"/>
          <w:sz w:val="26"/>
          <w:szCs w:val="26"/>
        </w:rPr>
        <w:t>ITEM 10. DIRECTORS, EXECUTIVE OFFICERS AND CORPORATE GOVERNANCE</w:t>
      </w:r>
    </w:p>
    <w:p w:rsidR="00000000" w:rsidRDefault="001F1FC8">
      <w:pPr>
        <w:divId w:val="171604285"/>
        <w:rPr>
          <w:rFonts w:eastAsia="Times New Roman"/>
        </w:rPr>
      </w:pPr>
    </w:p>
    <w:p w:rsidR="00000000" w:rsidRDefault="001F1FC8">
      <w:pPr>
        <w:divId w:val="855002381"/>
        <w:rPr>
          <w:rFonts w:eastAsia="Times New Roman"/>
        </w:rPr>
      </w:pPr>
      <w:r>
        <w:rPr>
          <w:rFonts w:ascii="Arial" w:eastAsia="Times New Roman" w:hAnsi="Arial" w:cs="Arial"/>
          <w:b/>
          <w:bCs/>
          <w:color w:val="000000"/>
          <w:sz w:val="20"/>
          <w:szCs w:val="20"/>
        </w:rPr>
        <w:t>Directors of Registrant</w:t>
      </w:r>
    </w:p>
    <w:p w:rsidR="00000000" w:rsidRDefault="001F1FC8">
      <w:pPr>
        <w:divId w:val="2108889733"/>
        <w:rPr>
          <w:rFonts w:eastAsia="Times New Roman"/>
        </w:rPr>
      </w:pPr>
      <w:r>
        <w:rPr>
          <w:rFonts w:ascii="Arial" w:eastAsia="Times New Roman" w:hAnsi="Arial" w:cs="Arial"/>
          <w:color w:val="000000"/>
          <w:sz w:val="20"/>
          <w:szCs w:val="20"/>
        </w:rPr>
        <w:t>The information required by this Item will be disclosed in our Form 10-K/A, which will be filed no later than 120 days after December 31, 2021. This information will also be disclosed in the management proxy information that we prep</w:t>
      </w:r>
      <w:r>
        <w:rPr>
          <w:rFonts w:ascii="Arial" w:eastAsia="Times New Roman" w:hAnsi="Arial" w:cs="Arial"/>
          <w:color w:val="000000"/>
          <w:sz w:val="20"/>
          <w:szCs w:val="20"/>
        </w:rPr>
        <w:t>are in accordance with Canadian corporate and securities law requirements.</w:t>
      </w:r>
    </w:p>
    <w:p w:rsidR="00000000" w:rsidRDefault="001F1FC8">
      <w:pPr>
        <w:divId w:val="2031564891"/>
        <w:rPr>
          <w:rFonts w:eastAsia="Times New Roman"/>
        </w:rPr>
      </w:pPr>
    </w:p>
    <w:p w:rsidR="00000000" w:rsidRDefault="001F1FC8">
      <w:pPr>
        <w:divId w:val="332883222"/>
        <w:rPr>
          <w:rFonts w:eastAsia="Times New Roman"/>
        </w:rPr>
      </w:pPr>
      <w:r>
        <w:rPr>
          <w:rFonts w:ascii="Arial" w:eastAsia="Times New Roman" w:hAnsi="Arial" w:cs="Arial"/>
          <w:b/>
          <w:bCs/>
          <w:color w:val="000000"/>
          <w:sz w:val="20"/>
          <w:szCs w:val="20"/>
        </w:rPr>
        <w:t>Executive Officers of Registrant</w:t>
      </w:r>
    </w:p>
    <w:p w:rsidR="00000000" w:rsidRDefault="001F1FC8">
      <w:pPr>
        <w:divId w:val="715276096"/>
        <w:rPr>
          <w:rFonts w:eastAsia="Times New Roman"/>
        </w:rPr>
      </w:pPr>
      <w:r>
        <w:rPr>
          <w:rFonts w:ascii="Arial" w:eastAsia="Times New Roman" w:hAnsi="Arial" w:cs="Arial"/>
          <w:color w:val="000000"/>
          <w:sz w:val="20"/>
          <w:szCs w:val="20"/>
        </w:rPr>
        <w:t xml:space="preserve">The information regarding executive officers is included in Part I. </w:t>
      </w:r>
      <w:r>
        <w:rPr>
          <w:rFonts w:ascii="Arial" w:eastAsia="Times New Roman" w:hAnsi="Arial" w:cs="Arial"/>
          <w:i/>
          <w:iCs/>
          <w:color w:val="000000"/>
          <w:sz w:val="20"/>
          <w:szCs w:val="20"/>
        </w:rPr>
        <w:t>Item 1. Business - Executive Officers.</w:t>
      </w:r>
    </w:p>
    <w:p w:rsidR="00000000" w:rsidRDefault="001F1FC8">
      <w:pPr>
        <w:divId w:val="435029039"/>
        <w:rPr>
          <w:rFonts w:eastAsia="Times New Roman"/>
        </w:rPr>
      </w:pPr>
    </w:p>
    <w:p w:rsidR="00000000" w:rsidRDefault="001F1FC8">
      <w:pPr>
        <w:divId w:val="395518286"/>
        <w:rPr>
          <w:rFonts w:eastAsia="Times New Roman"/>
        </w:rPr>
      </w:pPr>
      <w:r>
        <w:rPr>
          <w:rFonts w:ascii="Arial" w:eastAsia="Times New Roman" w:hAnsi="Arial" w:cs="Arial"/>
          <w:b/>
          <w:bCs/>
          <w:color w:val="000000"/>
          <w:sz w:val="20"/>
          <w:szCs w:val="20"/>
        </w:rPr>
        <w:t>Code of Ethics for Chief Executive Of</w:t>
      </w:r>
      <w:r>
        <w:rPr>
          <w:rFonts w:ascii="Arial" w:eastAsia="Times New Roman" w:hAnsi="Arial" w:cs="Arial"/>
          <w:b/>
          <w:bCs/>
          <w:color w:val="000000"/>
          <w:sz w:val="20"/>
          <w:szCs w:val="20"/>
        </w:rPr>
        <w:t>ficer and Senior Financial Officers</w:t>
      </w:r>
    </w:p>
    <w:p w:rsidR="00000000" w:rsidRDefault="001F1FC8">
      <w:pPr>
        <w:divId w:val="779951722"/>
        <w:rPr>
          <w:rFonts w:eastAsia="Times New Roman"/>
        </w:rPr>
      </w:pPr>
      <w:r>
        <w:rPr>
          <w:rFonts w:ascii="Arial" w:eastAsia="Times New Roman" w:hAnsi="Arial" w:cs="Arial"/>
          <w:color w:val="000000"/>
          <w:sz w:val="20"/>
          <w:szCs w:val="20"/>
        </w:rPr>
        <w:t xml:space="preserve">The information required by this Item will be disclosed in our Form 10-K/A, which will be filed no later than 120 days after December 31, 2021. This information will also be disclosed in the management proxy information </w:t>
      </w:r>
      <w:r>
        <w:rPr>
          <w:rFonts w:ascii="Arial" w:eastAsia="Times New Roman" w:hAnsi="Arial" w:cs="Arial"/>
          <w:color w:val="000000"/>
          <w:sz w:val="20"/>
          <w:szCs w:val="20"/>
        </w:rPr>
        <w:t>that we prepare in accordance with Canadian corporate and securities law requirements.</w:t>
      </w:r>
    </w:p>
    <w:p w:rsidR="00000000" w:rsidRDefault="001F1FC8">
      <w:pPr>
        <w:divId w:val="1769424654"/>
        <w:rPr>
          <w:rFonts w:eastAsia="Times New Roman"/>
        </w:rPr>
      </w:pPr>
    </w:p>
    <w:p w:rsidR="00000000" w:rsidRDefault="001F1FC8">
      <w:pPr>
        <w:divId w:val="254901796"/>
        <w:rPr>
          <w:rFonts w:eastAsia="Times New Roman"/>
        </w:rPr>
      </w:pPr>
      <w:r>
        <w:rPr>
          <w:rFonts w:ascii="Arial" w:eastAsia="Times New Roman" w:hAnsi="Arial" w:cs="Arial"/>
          <w:b/>
          <w:bCs/>
          <w:color w:val="000000"/>
          <w:sz w:val="26"/>
          <w:szCs w:val="26"/>
        </w:rPr>
        <w:t>ITEM 11. EXECUTIVE COMPENSATION</w:t>
      </w:r>
    </w:p>
    <w:p w:rsidR="00000000" w:rsidRDefault="001F1FC8">
      <w:pPr>
        <w:divId w:val="1291937804"/>
        <w:rPr>
          <w:rFonts w:eastAsia="Times New Roman"/>
        </w:rPr>
      </w:pPr>
    </w:p>
    <w:p w:rsidR="00000000" w:rsidRDefault="001F1FC8">
      <w:pPr>
        <w:divId w:val="832917363"/>
        <w:rPr>
          <w:rFonts w:eastAsia="Times New Roman"/>
        </w:rPr>
      </w:pPr>
      <w:r>
        <w:rPr>
          <w:rFonts w:ascii="Arial" w:eastAsia="Times New Roman" w:hAnsi="Arial" w:cs="Arial"/>
          <w:color w:val="000000"/>
          <w:sz w:val="20"/>
          <w:szCs w:val="20"/>
        </w:rPr>
        <w:t>The information required by this Item will be disclosed in our Form 10-K/A, which will be filed no later than 120 days after December</w:t>
      </w:r>
      <w:r>
        <w:rPr>
          <w:rFonts w:ascii="Arial" w:eastAsia="Times New Roman" w:hAnsi="Arial" w:cs="Arial"/>
          <w:color w:val="000000"/>
          <w:sz w:val="20"/>
          <w:szCs w:val="20"/>
        </w:rPr>
        <w:t> 31, 2021. This information will also be disclosed in the management proxy information that we prepare in accordance with Canadian corporate and securities law requirements.</w:t>
      </w:r>
    </w:p>
    <w:p w:rsidR="00000000" w:rsidRDefault="001F1FC8">
      <w:pPr>
        <w:divId w:val="2102138968"/>
        <w:rPr>
          <w:rFonts w:eastAsia="Times New Roman"/>
        </w:rPr>
      </w:pPr>
    </w:p>
    <w:p w:rsidR="00000000" w:rsidRDefault="001F1FC8">
      <w:pPr>
        <w:divId w:val="1902403803"/>
        <w:rPr>
          <w:rFonts w:eastAsia="Times New Roman"/>
        </w:rPr>
      </w:pPr>
      <w:r>
        <w:rPr>
          <w:rFonts w:ascii="Arial" w:eastAsia="Times New Roman" w:hAnsi="Arial" w:cs="Arial"/>
          <w:b/>
          <w:bCs/>
          <w:color w:val="000000"/>
          <w:sz w:val="26"/>
          <w:szCs w:val="26"/>
        </w:rPr>
        <w:t>ITEM 12. SECURITY OWNERSHIP OF CERTAIN BENEFICIAL OWNERS AND MANAGEMENT AND RELA</w:t>
      </w:r>
      <w:r>
        <w:rPr>
          <w:rFonts w:ascii="Arial" w:eastAsia="Times New Roman" w:hAnsi="Arial" w:cs="Arial"/>
          <w:b/>
          <w:bCs/>
          <w:color w:val="000000"/>
          <w:sz w:val="26"/>
          <w:szCs w:val="26"/>
        </w:rPr>
        <w:t>TED STOCKHOLDER MATTERS</w:t>
      </w:r>
    </w:p>
    <w:p w:rsidR="00000000" w:rsidRDefault="001F1FC8">
      <w:pPr>
        <w:divId w:val="1323120315"/>
        <w:rPr>
          <w:rFonts w:eastAsia="Times New Roman"/>
        </w:rPr>
      </w:pPr>
    </w:p>
    <w:p w:rsidR="00000000" w:rsidRDefault="001F1FC8">
      <w:pPr>
        <w:divId w:val="697049802"/>
        <w:rPr>
          <w:rFonts w:eastAsia="Times New Roman"/>
        </w:rPr>
      </w:pPr>
      <w:r>
        <w:rPr>
          <w:rFonts w:ascii="Arial" w:eastAsia="Times New Roman" w:hAnsi="Arial" w:cs="Arial"/>
          <w:color w:val="000000"/>
          <w:sz w:val="20"/>
          <w:szCs w:val="20"/>
        </w:rPr>
        <w:t>The information required by this Item will be disclosed in our Form 10-K/A, which will be filed no later than 120 days after December 31, 2021. This information will also be disclosed in the management proxy information that we pr</w:t>
      </w:r>
      <w:r>
        <w:rPr>
          <w:rFonts w:ascii="Arial" w:eastAsia="Times New Roman" w:hAnsi="Arial" w:cs="Arial"/>
          <w:color w:val="000000"/>
          <w:sz w:val="20"/>
          <w:szCs w:val="20"/>
        </w:rPr>
        <w:t>epare in accordance with Canadian corporate and securities law requirements.</w:t>
      </w:r>
    </w:p>
    <w:p w:rsidR="00000000" w:rsidRDefault="001F1FC8">
      <w:pPr>
        <w:divId w:val="549807436"/>
        <w:rPr>
          <w:rFonts w:eastAsia="Times New Roman"/>
        </w:rPr>
      </w:pPr>
    </w:p>
    <w:p w:rsidR="00000000" w:rsidRDefault="001F1FC8">
      <w:pPr>
        <w:divId w:val="1283415956"/>
        <w:rPr>
          <w:rFonts w:eastAsia="Times New Roman"/>
        </w:rPr>
      </w:pPr>
      <w:r>
        <w:rPr>
          <w:rFonts w:ascii="Arial" w:eastAsia="Times New Roman" w:hAnsi="Arial" w:cs="Arial"/>
          <w:b/>
          <w:bCs/>
          <w:color w:val="000000"/>
          <w:sz w:val="26"/>
          <w:szCs w:val="26"/>
        </w:rPr>
        <w:t>ITEM 13. CERTAIN RELATIONSHIPS AND RELATED TRANSACTIONS, AND DIRECTOR INDEPENDENCE</w:t>
      </w:r>
    </w:p>
    <w:p w:rsidR="00000000" w:rsidRDefault="001F1FC8">
      <w:pPr>
        <w:divId w:val="1663311085"/>
        <w:rPr>
          <w:rFonts w:eastAsia="Times New Roman"/>
        </w:rPr>
      </w:pPr>
    </w:p>
    <w:p w:rsidR="00000000" w:rsidRDefault="001F1FC8">
      <w:pPr>
        <w:divId w:val="935361933"/>
        <w:rPr>
          <w:rFonts w:eastAsia="Times New Roman"/>
        </w:rPr>
      </w:pPr>
      <w:r>
        <w:rPr>
          <w:rFonts w:ascii="Arial" w:eastAsia="Times New Roman" w:hAnsi="Arial" w:cs="Arial"/>
          <w:color w:val="000000"/>
          <w:sz w:val="20"/>
          <w:szCs w:val="20"/>
        </w:rPr>
        <w:t>The information required by this Item will be disclosed in our Form 10-K/A, which will be fi</w:t>
      </w:r>
      <w:r>
        <w:rPr>
          <w:rFonts w:ascii="Arial" w:eastAsia="Times New Roman" w:hAnsi="Arial" w:cs="Arial"/>
          <w:color w:val="000000"/>
          <w:sz w:val="20"/>
          <w:szCs w:val="20"/>
        </w:rPr>
        <w:t>led no later than 120 days after December 31, 2021. This information will also be disclosed in the management proxy information that we prepare in accordance with Canadian corporate and securities law requirements.</w:t>
      </w:r>
    </w:p>
    <w:p w:rsidR="00000000" w:rsidRDefault="001F1FC8">
      <w:pPr>
        <w:divId w:val="1035348078"/>
        <w:rPr>
          <w:rFonts w:eastAsia="Times New Roman"/>
        </w:rPr>
      </w:pPr>
    </w:p>
    <w:p w:rsidR="00000000" w:rsidRDefault="001F1FC8">
      <w:pPr>
        <w:divId w:val="150221601"/>
        <w:rPr>
          <w:rFonts w:eastAsia="Times New Roman"/>
        </w:rPr>
      </w:pPr>
      <w:r>
        <w:rPr>
          <w:rFonts w:ascii="Arial" w:eastAsia="Times New Roman" w:hAnsi="Arial" w:cs="Arial"/>
          <w:b/>
          <w:bCs/>
          <w:color w:val="000000"/>
          <w:sz w:val="26"/>
          <w:szCs w:val="26"/>
        </w:rPr>
        <w:t xml:space="preserve">ITEM 14. PRINCIPAL ACCOUNTING FEES AND </w:t>
      </w:r>
      <w:r>
        <w:rPr>
          <w:rFonts w:ascii="Arial" w:eastAsia="Times New Roman" w:hAnsi="Arial" w:cs="Arial"/>
          <w:b/>
          <w:bCs/>
          <w:color w:val="000000"/>
          <w:sz w:val="26"/>
          <w:szCs w:val="26"/>
        </w:rPr>
        <w:t>SERVICES</w:t>
      </w:r>
    </w:p>
    <w:p w:rsidR="00000000" w:rsidRDefault="001F1FC8">
      <w:pPr>
        <w:divId w:val="348415327"/>
        <w:rPr>
          <w:rFonts w:eastAsia="Times New Roman"/>
        </w:rPr>
      </w:pPr>
    </w:p>
    <w:p w:rsidR="00000000" w:rsidRDefault="001F1FC8">
      <w:pPr>
        <w:divId w:val="589503560"/>
        <w:rPr>
          <w:rFonts w:eastAsia="Times New Roman"/>
        </w:rPr>
      </w:pPr>
      <w:r>
        <w:rPr>
          <w:rFonts w:ascii="Arial" w:eastAsia="Times New Roman" w:hAnsi="Arial" w:cs="Arial"/>
          <w:color w:val="000000"/>
          <w:sz w:val="20"/>
          <w:szCs w:val="20"/>
        </w:rPr>
        <w:t>The information required by this Item will be disclosed in our Form 10-K/A, which will be filed no later than 120 days after December 31, 2021. This information will also be disclosed in the management proxy information that we prepare in accord</w:t>
      </w:r>
      <w:r>
        <w:rPr>
          <w:rFonts w:ascii="Arial" w:eastAsia="Times New Roman" w:hAnsi="Arial" w:cs="Arial"/>
          <w:color w:val="000000"/>
          <w:sz w:val="20"/>
          <w:szCs w:val="20"/>
        </w:rPr>
        <w:t>ance with Canadian corporate and securities law requirements.</w:t>
      </w:r>
    </w:p>
    <w:p w:rsidR="00000000" w:rsidRDefault="001F1FC8">
      <w:pPr>
        <w:divId w:val="143010727"/>
        <w:rPr>
          <w:rFonts w:eastAsia="Times New Roman"/>
        </w:rPr>
      </w:pPr>
    </w:p>
    <w:p w:rsidR="00000000" w:rsidRDefault="001F1FC8">
      <w:pPr>
        <w:jc w:val="center"/>
        <w:divId w:val="1072384868"/>
        <w:rPr>
          <w:rFonts w:eastAsia="Times New Roman"/>
        </w:rPr>
      </w:pPr>
      <w:r>
        <w:rPr>
          <w:rFonts w:ascii="Arial" w:eastAsia="Times New Roman" w:hAnsi="Arial" w:cs="Arial"/>
          <w:color w:val="000000"/>
          <w:sz w:val="20"/>
          <w:szCs w:val="20"/>
        </w:rPr>
        <w:t>181</w:t>
      </w:r>
    </w:p>
    <w:p w:rsidR="00000000" w:rsidRDefault="001F1FC8">
      <w:pPr>
        <w:rPr>
          <w:rFonts w:eastAsia="Times New Roman"/>
        </w:rPr>
      </w:pPr>
      <w:r>
        <w:rPr>
          <w:rFonts w:eastAsia="Times New Roman"/>
        </w:rPr>
        <w:pict>
          <v:rect id="_x0000_i1211" style="width:0;height:1.5pt" o:hralign="center" o:hrstd="t" o:hr="t" fillcolor="#a0a0a0" stroked="f"/>
        </w:pict>
      </w:r>
    </w:p>
    <w:p w:rsidR="00000000" w:rsidRDefault="001F1FC8">
      <w:pPr>
        <w:jc w:val="center"/>
        <w:divId w:val="1865752034"/>
        <w:rPr>
          <w:rFonts w:eastAsia="Times New Roman"/>
        </w:rPr>
      </w:pPr>
    </w:p>
    <w:p w:rsidR="00000000" w:rsidRDefault="001F1FC8">
      <w:pPr>
        <w:jc w:val="center"/>
        <w:rPr>
          <w:rFonts w:eastAsia="Times New Roman"/>
        </w:rPr>
      </w:pPr>
      <w:r>
        <w:rPr>
          <w:rFonts w:ascii="Arial" w:eastAsia="Times New Roman" w:hAnsi="Arial" w:cs="Arial"/>
          <w:b/>
          <w:bCs/>
          <w:color w:val="000000"/>
          <w:sz w:val="28"/>
          <w:szCs w:val="28"/>
        </w:rPr>
        <w:t>PART IV</w:t>
      </w:r>
    </w:p>
    <w:p w:rsidR="00000000" w:rsidRDefault="001F1FC8">
      <w:pPr>
        <w:jc w:val="center"/>
        <w:rPr>
          <w:rFonts w:eastAsia="Times New Roman"/>
        </w:rPr>
      </w:pPr>
    </w:p>
    <w:p w:rsidR="00000000" w:rsidRDefault="001F1FC8">
      <w:pPr>
        <w:divId w:val="1711806399"/>
        <w:rPr>
          <w:rFonts w:eastAsia="Times New Roman"/>
        </w:rPr>
      </w:pPr>
      <w:r>
        <w:rPr>
          <w:rFonts w:ascii="Arial" w:eastAsia="Times New Roman" w:hAnsi="Arial" w:cs="Arial"/>
          <w:b/>
          <w:bCs/>
          <w:color w:val="000000"/>
          <w:sz w:val="26"/>
          <w:szCs w:val="26"/>
        </w:rPr>
        <w:t>ITEM 15. EXHIBITS AND FINANCIAL STATEMENT SCHEDULES</w:t>
      </w:r>
    </w:p>
    <w:p w:rsidR="00000000" w:rsidRDefault="001F1FC8">
      <w:pPr>
        <w:divId w:val="2097283284"/>
        <w:rPr>
          <w:rFonts w:eastAsia="Times New Roman"/>
        </w:rPr>
      </w:pPr>
    </w:p>
    <w:p w:rsidR="00000000" w:rsidRDefault="001F1FC8">
      <w:pPr>
        <w:divId w:val="1338655603"/>
        <w:rPr>
          <w:rFonts w:eastAsia="Times New Roman"/>
        </w:rPr>
      </w:pPr>
      <w:r>
        <w:rPr>
          <w:rFonts w:ascii="Arial" w:eastAsia="Times New Roman" w:hAnsi="Arial" w:cs="Arial"/>
          <w:color w:val="000000"/>
          <w:sz w:val="20"/>
          <w:szCs w:val="20"/>
        </w:rPr>
        <w:t>(a) </w:t>
      </w:r>
      <w:r>
        <w:rPr>
          <w:rFonts w:ascii="Arial" w:eastAsia="Times New Roman" w:hAnsi="Arial" w:cs="Arial"/>
          <w:color w:val="000000"/>
          <w:sz w:val="20"/>
          <w:szCs w:val="20"/>
        </w:rPr>
        <w:t>Consolidated Financial Statements, Supplemental Financial Data and Supplemental Schedules included in Part II of this annual report are as follows:</w:t>
      </w:r>
    </w:p>
    <w:p w:rsidR="00000000" w:rsidRDefault="001F1FC8">
      <w:pPr>
        <w:divId w:val="881551486"/>
        <w:rPr>
          <w:rFonts w:eastAsia="Times New Roman"/>
        </w:rPr>
      </w:pPr>
    </w:p>
    <w:p w:rsidR="00000000" w:rsidRDefault="001F1FC8">
      <w:pPr>
        <w:divId w:val="1675574648"/>
        <w:rPr>
          <w:rFonts w:eastAsia="Times New Roman"/>
        </w:rPr>
      </w:pPr>
      <w:r>
        <w:rPr>
          <w:rFonts w:ascii="Arial" w:eastAsia="Times New Roman" w:hAnsi="Arial" w:cs="Arial"/>
          <w:color w:val="000000"/>
          <w:sz w:val="20"/>
          <w:szCs w:val="20"/>
        </w:rPr>
        <w:t>Enbridge Inc.:</w:t>
      </w:r>
    </w:p>
    <w:p w:rsidR="00000000" w:rsidRDefault="001F1FC8">
      <w:pPr>
        <w:divId w:val="1311902691"/>
        <w:rPr>
          <w:rFonts w:eastAsia="Times New Roman"/>
        </w:rPr>
      </w:pPr>
    </w:p>
    <w:p w:rsidR="00000000" w:rsidRDefault="001F1FC8">
      <w:pPr>
        <w:divId w:val="264458079"/>
        <w:rPr>
          <w:rFonts w:eastAsia="Times New Roman"/>
        </w:rPr>
      </w:pPr>
      <w:r>
        <w:rPr>
          <w:rFonts w:ascii="Arial" w:eastAsia="Times New Roman" w:hAnsi="Arial" w:cs="Arial"/>
          <w:color w:val="000000"/>
          <w:sz w:val="20"/>
          <w:szCs w:val="20"/>
        </w:rPr>
        <w:t>    </w:t>
      </w:r>
      <w:r>
        <w:rPr>
          <w:rFonts w:ascii="Arial" w:eastAsia="Times New Roman" w:hAnsi="Arial" w:cs="Arial"/>
          <w:color w:val="000000"/>
          <w:sz w:val="20"/>
          <w:szCs w:val="20"/>
        </w:rPr>
        <w:t>Report of Independent Registered Public Accounting Firm (PCAOB ID 271)</w:t>
      </w:r>
    </w:p>
    <w:p w:rsidR="00000000" w:rsidRDefault="001F1FC8">
      <w:pPr>
        <w:divId w:val="2125537617"/>
        <w:rPr>
          <w:rFonts w:eastAsia="Times New Roman"/>
        </w:rPr>
      </w:pPr>
      <w:r>
        <w:rPr>
          <w:rFonts w:ascii="Arial" w:eastAsia="Times New Roman" w:hAnsi="Arial" w:cs="Arial"/>
          <w:color w:val="000000"/>
          <w:sz w:val="20"/>
          <w:szCs w:val="20"/>
        </w:rPr>
        <w:t>    Consolidated Statements of Earnings</w:t>
      </w:r>
    </w:p>
    <w:p w:rsidR="00000000" w:rsidRDefault="001F1FC8">
      <w:pPr>
        <w:divId w:val="630865611"/>
        <w:rPr>
          <w:rFonts w:eastAsia="Times New Roman"/>
        </w:rPr>
      </w:pPr>
      <w:r>
        <w:rPr>
          <w:rFonts w:ascii="Arial" w:eastAsia="Times New Roman" w:hAnsi="Arial" w:cs="Arial"/>
          <w:color w:val="000000"/>
          <w:sz w:val="20"/>
          <w:szCs w:val="20"/>
        </w:rPr>
        <w:t>    Consolidated Statements of Comprehensive Income</w:t>
      </w:r>
    </w:p>
    <w:p w:rsidR="00000000" w:rsidRDefault="001F1FC8">
      <w:pPr>
        <w:divId w:val="2073262185"/>
        <w:rPr>
          <w:rFonts w:eastAsia="Times New Roman"/>
        </w:rPr>
      </w:pPr>
      <w:r>
        <w:rPr>
          <w:rFonts w:ascii="Arial" w:eastAsia="Times New Roman" w:hAnsi="Arial" w:cs="Arial"/>
          <w:color w:val="000000"/>
          <w:sz w:val="20"/>
          <w:szCs w:val="20"/>
        </w:rPr>
        <w:t>    Consolidated Statements of Changes in Equity</w:t>
      </w:r>
    </w:p>
    <w:p w:rsidR="00000000" w:rsidRDefault="001F1FC8">
      <w:pPr>
        <w:divId w:val="2041474235"/>
        <w:rPr>
          <w:rFonts w:eastAsia="Times New Roman"/>
        </w:rPr>
      </w:pPr>
      <w:r>
        <w:rPr>
          <w:rFonts w:ascii="Arial" w:eastAsia="Times New Roman" w:hAnsi="Arial" w:cs="Arial"/>
          <w:color w:val="000000"/>
          <w:sz w:val="20"/>
          <w:szCs w:val="20"/>
        </w:rPr>
        <w:t>    Consolidated Statements of Cash Flows</w:t>
      </w:r>
    </w:p>
    <w:p w:rsidR="00000000" w:rsidRDefault="001F1FC8">
      <w:pPr>
        <w:divId w:val="2033798527"/>
        <w:rPr>
          <w:rFonts w:eastAsia="Times New Roman"/>
        </w:rPr>
      </w:pPr>
      <w:r>
        <w:rPr>
          <w:rFonts w:ascii="Arial" w:eastAsia="Times New Roman" w:hAnsi="Arial" w:cs="Arial"/>
          <w:color w:val="000000"/>
          <w:sz w:val="20"/>
          <w:szCs w:val="20"/>
        </w:rPr>
        <w:t>  </w:t>
      </w:r>
      <w:r>
        <w:rPr>
          <w:rFonts w:ascii="Arial" w:eastAsia="Times New Roman" w:hAnsi="Arial" w:cs="Arial"/>
          <w:color w:val="000000"/>
          <w:sz w:val="20"/>
          <w:szCs w:val="20"/>
        </w:rPr>
        <w:t>  Consolidated Statements of Financial Position</w:t>
      </w:r>
    </w:p>
    <w:p w:rsidR="00000000" w:rsidRDefault="001F1FC8">
      <w:pPr>
        <w:divId w:val="543834818"/>
        <w:rPr>
          <w:rFonts w:eastAsia="Times New Roman"/>
        </w:rPr>
      </w:pPr>
      <w:r>
        <w:rPr>
          <w:rFonts w:ascii="Arial" w:eastAsia="Times New Roman" w:hAnsi="Arial" w:cs="Arial"/>
          <w:color w:val="000000"/>
          <w:sz w:val="20"/>
          <w:szCs w:val="20"/>
        </w:rPr>
        <w:t>    Notes to the Consolidated Financial Statements</w:t>
      </w:r>
    </w:p>
    <w:p w:rsidR="00000000" w:rsidRDefault="001F1FC8">
      <w:pPr>
        <w:divId w:val="928465189"/>
        <w:rPr>
          <w:rFonts w:eastAsia="Times New Roman"/>
        </w:rPr>
      </w:pPr>
    </w:p>
    <w:p w:rsidR="00000000" w:rsidRDefault="001F1FC8">
      <w:pPr>
        <w:divId w:val="1149785644"/>
        <w:rPr>
          <w:rFonts w:eastAsia="Times New Roman"/>
        </w:rPr>
      </w:pPr>
      <w:r>
        <w:rPr>
          <w:rFonts w:ascii="Arial" w:eastAsia="Times New Roman" w:hAnsi="Arial" w:cs="Arial"/>
          <w:color w:val="000000"/>
          <w:sz w:val="20"/>
          <w:szCs w:val="20"/>
        </w:rPr>
        <w:t>All schedules are omitted because they are not required or because the required information is included in the Consolidated Financial Statements or Notes.</w:t>
      </w:r>
    </w:p>
    <w:p w:rsidR="00000000" w:rsidRDefault="001F1FC8">
      <w:pPr>
        <w:divId w:val="2090230792"/>
        <w:rPr>
          <w:rFonts w:eastAsia="Times New Roman"/>
        </w:rPr>
      </w:pPr>
    </w:p>
    <w:p w:rsidR="00000000" w:rsidRDefault="001F1FC8">
      <w:pPr>
        <w:divId w:val="636186439"/>
        <w:rPr>
          <w:rFonts w:eastAsia="Times New Roman"/>
        </w:rPr>
      </w:pPr>
      <w:r>
        <w:rPr>
          <w:rFonts w:ascii="Arial" w:eastAsia="Times New Roman" w:hAnsi="Arial" w:cs="Arial"/>
          <w:color w:val="000000"/>
          <w:sz w:val="20"/>
          <w:szCs w:val="20"/>
        </w:rPr>
        <w:t>(b) Exhibits:</w:t>
      </w:r>
    </w:p>
    <w:p w:rsidR="00000000" w:rsidRDefault="001F1FC8">
      <w:pPr>
        <w:divId w:val="608585157"/>
        <w:rPr>
          <w:rFonts w:eastAsia="Times New Roman"/>
        </w:rPr>
      </w:pPr>
    </w:p>
    <w:p w:rsidR="00000000" w:rsidRDefault="001F1FC8">
      <w:pPr>
        <w:divId w:val="819228398"/>
        <w:rPr>
          <w:rFonts w:eastAsia="Times New Roman"/>
        </w:rPr>
      </w:pPr>
      <w:r>
        <w:rPr>
          <w:rFonts w:ascii="Arial" w:eastAsia="Times New Roman" w:hAnsi="Arial" w:cs="Arial"/>
          <w:color w:val="000000"/>
          <w:sz w:val="20"/>
          <w:szCs w:val="20"/>
        </w:rPr>
        <w:t>Reference is made to the “Index of Exhibits” following Item 16.</w:t>
      </w:r>
      <w:r>
        <w:rPr>
          <w:rFonts w:ascii="Arial" w:eastAsia="Times New Roman" w:hAnsi="Arial" w:cs="Arial"/>
          <w:i/>
          <w:iCs/>
          <w:color w:val="000000"/>
          <w:sz w:val="20"/>
          <w:szCs w:val="20"/>
        </w:rPr>
        <w:t xml:space="preserve"> Form 10-K Summary</w:t>
      </w:r>
      <w:r>
        <w:rPr>
          <w:rFonts w:ascii="Arial" w:eastAsia="Times New Roman" w:hAnsi="Arial" w:cs="Arial"/>
          <w:color w:val="000000"/>
          <w:sz w:val="20"/>
          <w:szCs w:val="20"/>
        </w:rPr>
        <w:t>, which is hereby incorporated into this Item.</w:t>
      </w:r>
    </w:p>
    <w:p w:rsidR="00000000" w:rsidRDefault="001F1FC8">
      <w:pPr>
        <w:divId w:val="1481267477"/>
        <w:rPr>
          <w:rFonts w:eastAsia="Times New Roman"/>
        </w:rPr>
      </w:pPr>
    </w:p>
    <w:p w:rsidR="00000000" w:rsidRDefault="001F1FC8">
      <w:pPr>
        <w:divId w:val="176894507"/>
        <w:rPr>
          <w:rFonts w:eastAsia="Times New Roman"/>
        </w:rPr>
      </w:pPr>
      <w:r>
        <w:rPr>
          <w:rFonts w:ascii="Arial" w:eastAsia="Times New Roman" w:hAnsi="Arial" w:cs="Arial"/>
          <w:b/>
          <w:bCs/>
          <w:color w:val="000000"/>
          <w:sz w:val="26"/>
          <w:szCs w:val="26"/>
        </w:rPr>
        <w:t>ITEM 16. FORM 10-K SUMMARY</w:t>
      </w:r>
    </w:p>
    <w:p w:rsidR="00000000" w:rsidRDefault="001F1FC8">
      <w:pPr>
        <w:divId w:val="970553516"/>
        <w:rPr>
          <w:rFonts w:eastAsia="Times New Roman"/>
        </w:rPr>
      </w:pPr>
    </w:p>
    <w:p w:rsidR="00000000" w:rsidRDefault="001F1FC8">
      <w:pPr>
        <w:divId w:val="305596118"/>
        <w:rPr>
          <w:rFonts w:eastAsia="Times New Roman"/>
        </w:rPr>
      </w:pPr>
      <w:r>
        <w:rPr>
          <w:rFonts w:ascii="Arial" w:eastAsia="Times New Roman" w:hAnsi="Arial" w:cs="Arial"/>
          <w:color w:val="000000"/>
          <w:sz w:val="20"/>
          <w:szCs w:val="20"/>
        </w:rPr>
        <w:t>Not applicable.</w:t>
      </w:r>
    </w:p>
    <w:p w:rsidR="00000000" w:rsidRDefault="001F1FC8">
      <w:pPr>
        <w:divId w:val="1387529458"/>
        <w:rPr>
          <w:rFonts w:eastAsia="Times New Roman"/>
        </w:rPr>
      </w:pPr>
    </w:p>
    <w:p w:rsidR="00000000" w:rsidRDefault="001F1FC8">
      <w:pPr>
        <w:jc w:val="center"/>
        <w:divId w:val="1097091133"/>
        <w:rPr>
          <w:rFonts w:eastAsia="Times New Roman"/>
        </w:rPr>
      </w:pPr>
      <w:r>
        <w:rPr>
          <w:rFonts w:ascii="Arial" w:eastAsia="Times New Roman" w:hAnsi="Arial" w:cs="Arial"/>
          <w:color w:val="000000"/>
          <w:sz w:val="20"/>
          <w:szCs w:val="20"/>
        </w:rPr>
        <w:t>182</w:t>
      </w:r>
    </w:p>
    <w:p w:rsidR="00000000" w:rsidRDefault="001F1FC8">
      <w:pPr>
        <w:rPr>
          <w:rFonts w:eastAsia="Times New Roman"/>
        </w:rPr>
      </w:pPr>
      <w:r>
        <w:rPr>
          <w:rFonts w:eastAsia="Times New Roman"/>
        </w:rPr>
        <w:pict>
          <v:rect id="_x0000_i1212" style="width:0;height:1.5pt" o:hralign="center" o:hrstd="t" o:hr="t" fillcolor="#a0a0a0" stroked="f"/>
        </w:pict>
      </w:r>
    </w:p>
    <w:p w:rsidR="00000000" w:rsidRDefault="001F1FC8">
      <w:pPr>
        <w:jc w:val="center"/>
        <w:divId w:val="432821217"/>
        <w:rPr>
          <w:rFonts w:eastAsia="Times New Roman"/>
        </w:rPr>
      </w:pPr>
    </w:p>
    <w:p w:rsidR="00000000" w:rsidRDefault="001F1FC8">
      <w:pPr>
        <w:jc w:val="center"/>
        <w:rPr>
          <w:rFonts w:eastAsia="Times New Roman"/>
        </w:rPr>
      </w:pPr>
      <w:r>
        <w:rPr>
          <w:rFonts w:ascii="Arial" w:eastAsia="Times New Roman" w:hAnsi="Arial" w:cs="Arial"/>
          <w:b/>
          <w:bCs/>
          <w:color w:val="000000"/>
          <w:sz w:val="20"/>
          <w:szCs w:val="20"/>
        </w:rPr>
        <w:t>INDEX OF EXHIBITS</w:t>
      </w:r>
    </w:p>
    <w:p w:rsidR="00000000" w:rsidRDefault="001F1FC8">
      <w:pPr>
        <w:divId w:val="2086032010"/>
        <w:rPr>
          <w:rFonts w:eastAsia="Times New Roman"/>
        </w:rPr>
      </w:pPr>
    </w:p>
    <w:p w:rsidR="00000000" w:rsidRDefault="001F1FC8">
      <w:pPr>
        <w:divId w:val="411002946"/>
        <w:rPr>
          <w:rFonts w:eastAsia="Times New Roman"/>
        </w:rPr>
      </w:pPr>
      <w:r>
        <w:rPr>
          <w:rFonts w:ascii="Arial" w:eastAsia="Times New Roman" w:hAnsi="Arial" w:cs="Arial"/>
          <w:color w:val="000000"/>
          <w:sz w:val="20"/>
          <w:szCs w:val="20"/>
        </w:rPr>
        <w:t>Each exhibit identified below is included as a part of this annual report. Exhibits included in this filing are designated by an asterisk (“*”); all exhibits not so designated are incorporated by re</w:t>
      </w:r>
      <w:r>
        <w:rPr>
          <w:rFonts w:ascii="Arial" w:eastAsia="Times New Roman" w:hAnsi="Arial" w:cs="Arial"/>
          <w:color w:val="000000"/>
          <w:sz w:val="20"/>
          <w:szCs w:val="20"/>
        </w:rPr>
        <w:t>ference to a prior filing as indicated. Exhibits designated with a “+” constitute a management contract or compensatory plan arrangement.</w:t>
      </w:r>
    </w:p>
    <w:tbl>
      <w:tblPr>
        <w:tblW w:w="4991" w:type="pct"/>
        <w:jc w:val="center"/>
        <w:tblCellMar>
          <w:top w:w="15" w:type="dxa"/>
          <w:left w:w="15" w:type="dxa"/>
          <w:bottom w:w="15" w:type="dxa"/>
          <w:right w:w="15" w:type="dxa"/>
        </w:tblCellMar>
        <w:tblLook w:val="04A0" w:firstRow="1" w:lastRow="0" w:firstColumn="1" w:lastColumn="0" w:noHBand="0" w:noVBand="1"/>
      </w:tblPr>
      <w:tblGrid>
        <w:gridCol w:w="69"/>
        <w:gridCol w:w="999"/>
        <w:gridCol w:w="36"/>
        <w:gridCol w:w="69"/>
        <w:gridCol w:w="173"/>
        <w:gridCol w:w="36"/>
        <w:gridCol w:w="69"/>
        <w:gridCol w:w="6803"/>
        <w:gridCol w:w="37"/>
      </w:tblGrid>
      <w:tr w:rsidR="00000000">
        <w:trPr>
          <w:divId w:val="539978035"/>
          <w:jc w:val="center"/>
        </w:trPr>
        <w:tc>
          <w:tcPr>
            <w:tcW w:w="50" w:type="pct"/>
            <w:vAlign w:val="center"/>
            <w:hideMark/>
          </w:tcPr>
          <w:p w:rsidR="00000000" w:rsidRDefault="001F1FC8">
            <w:pPr>
              <w:rPr>
                <w:rFonts w:eastAsia="Times New Roman"/>
              </w:rPr>
            </w:pPr>
          </w:p>
        </w:tc>
        <w:tc>
          <w:tcPr>
            <w:tcW w:w="611"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c>
          <w:tcPr>
            <w:tcW w:w="50" w:type="pct"/>
            <w:vAlign w:val="center"/>
            <w:hideMark/>
          </w:tcPr>
          <w:p w:rsidR="00000000" w:rsidRDefault="001F1FC8">
            <w:pPr>
              <w:rPr>
                <w:rFonts w:eastAsia="Times New Roman"/>
                <w:sz w:val="20"/>
                <w:szCs w:val="20"/>
              </w:rPr>
            </w:pPr>
          </w:p>
        </w:tc>
        <w:tc>
          <w:tcPr>
            <w:tcW w:w="113"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c>
          <w:tcPr>
            <w:tcW w:w="50" w:type="pct"/>
            <w:vAlign w:val="center"/>
            <w:hideMark/>
          </w:tcPr>
          <w:p w:rsidR="00000000" w:rsidRDefault="001F1FC8">
            <w:pPr>
              <w:rPr>
                <w:rFonts w:eastAsia="Times New Roman"/>
                <w:sz w:val="20"/>
                <w:szCs w:val="20"/>
              </w:rPr>
            </w:pPr>
          </w:p>
        </w:tc>
        <w:tc>
          <w:tcPr>
            <w:tcW w:w="4110"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r>
      <w:tr w:rsidR="00000000">
        <w:trPr>
          <w:divId w:val="539978035"/>
          <w:jc w:val="center"/>
        </w:trPr>
        <w:tc>
          <w:tcPr>
            <w:tcW w:w="0" w:type="auto"/>
            <w:gridSpan w:val="3"/>
            <w:tcBorders>
              <w:top w:val="single" w:sz="8" w:space="0" w:color="000000"/>
              <w:left w:val="single" w:sz="8" w:space="0" w:color="000000"/>
            </w:tcBorders>
            <w:tcMar>
              <w:top w:w="30" w:type="dxa"/>
              <w:left w:w="20" w:type="dxa"/>
              <w:bottom w:w="30" w:type="dxa"/>
              <w:right w:w="20" w:type="dxa"/>
            </w:tcMar>
            <w:hideMark/>
          </w:tcPr>
          <w:p w:rsidR="00000000" w:rsidRDefault="001F1FC8">
            <w:pPr>
              <w:rPr>
                <w:rFonts w:eastAsia="Times New Roman"/>
              </w:rPr>
            </w:pPr>
            <w:r>
              <w:rPr>
                <w:rFonts w:ascii="Arial" w:eastAsia="Times New Roman" w:hAnsi="Arial" w:cs="Arial"/>
                <w:b/>
                <w:bCs/>
                <w:color w:val="000000"/>
                <w:sz w:val="20"/>
                <w:szCs w:val="20"/>
              </w:rPr>
              <w:t>Exhibit No.</w:t>
            </w:r>
          </w:p>
        </w:tc>
        <w:tc>
          <w:tcPr>
            <w:tcW w:w="0" w:type="auto"/>
            <w:gridSpan w:val="3"/>
            <w:tcBorders>
              <w:top w:val="single" w:sz="8" w:space="0" w:color="000000"/>
              <w:left w:val="single" w:sz="8" w:space="0" w:color="000000"/>
            </w:tcBorders>
            <w:tcMar>
              <w:top w:w="0" w:type="dxa"/>
              <w:left w:w="20" w:type="dxa"/>
              <w:bottom w:w="0" w:type="dxa"/>
              <w:right w:w="20" w:type="dxa"/>
            </w:tcMar>
            <w:vAlign w:val="center"/>
            <w:hideMark/>
          </w:tcPr>
          <w:p w:rsidR="00000000" w:rsidRDefault="001F1FC8">
            <w:pPr>
              <w:rPr>
                <w:rFonts w:eastAsia="Times New Roman"/>
              </w:rPr>
            </w:pPr>
          </w:p>
        </w:tc>
        <w:tc>
          <w:tcPr>
            <w:tcW w:w="0" w:type="auto"/>
            <w:gridSpan w:val="3"/>
            <w:tcBorders>
              <w:top w:val="single" w:sz="8" w:space="0" w:color="000000"/>
              <w:left w:val="single" w:sz="8" w:space="0" w:color="000000"/>
              <w:right w:val="single" w:sz="8" w:space="0" w:color="000000"/>
            </w:tcBorders>
            <w:tcMar>
              <w:top w:w="30" w:type="dxa"/>
              <w:left w:w="20" w:type="dxa"/>
              <w:bottom w:w="30" w:type="dxa"/>
              <w:right w:w="20" w:type="dxa"/>
            </w:tcMar>
            <w:hideMark/>
          </w:tcPr>
          <w:p w:rsidR="00000000" w:rsidRDefault="001F1FC8">
            <w:pPr>
              <w:rPr>
                <w:rFonts w:eastAsia="Times New Roman"/>
              </w:rPr>
            </w:pPr>
            <w:r>
              <w:rPr>
                <w:rFonts w:ascii="Arial" w:eastAsia="Times New Roman" w:hAnsi="Arial" w:cs="Arial"/>
                <w:b/>
                <w:bCs/>
                <w:color w:val="000000"/>
                <w:sz w:val="20"/>
                <w:szCs w:val="20"/>
              </w:rPr>
              <w:t>Name of Exhibit</w:t>
            </w:r>
          </w:p>
        </w:tc>
      </w:tr>
      <w:tr w:rsidR="00000000">
        <w:trPr>
          <w:divId w:val="539978035"/>
          <w:trHeight w:val="280"/>
          <w:jc w:val="center"/>
        </w:trPr>
        <w:tc>
          <w:tcPr>
            <w:tcW w:w="0" w:type="auto"/>
            <w:gridSpan w:val="3"/>
            <w:tcBorders>
              <w:top w:val="single" w:sz="8" w:space="0" w:color="000000"/>
              <w:left w:val="single" w:sz="8" w:space="0" w:color="000000"/>
            </w:tcBorders>
            <w:tcMar>
              <w:top w:w="0" w:type="dxa"/>
              <w:left w:w="20" w:type="dxa"/>
              <w:bottom w:w="0" w:type="dxa"/>
              <w:right w:w="20" w:type="dxa"/>
            </w:tcMar>
            <w:vAlign w:val="center"/>
            <w:hideMark/>
          </w:tcPr>
          <w:p w:rsidR="00000000" w:rsidRDefault="001F1FC8">
            <w:pPr>
              <w:rPr>
                <w:rFonts w:eastAsia="Times New Roman"/>
              </w:rPr>
            </w:pPr>
          </w:p>
        </w:tc>
        <w:tc>
          <w:tcPr>
            <w:tcW w:w="0" w:type="auto"/>
            <w:gridSpan w:val="3"/>
            <w:tcBorders>
              <w:top w:val="single" w:sz="8" w:space="0" w:color="000000"/>
              <w:left w:val="single" w:sz="8" w:space="0" w:color="000000"/>
            </w:tcBorders>
            <w:tcMar>
              <w:top w:w="0" w:type="dxa"/>
              <w:left w:w="20" w:type="dxa"/>
              <w:bottom w:w="0" w:type="dxa"/>
              <w:right w:w="20" w:type="dxa"/>
            </w:tcMar>
            <w:vAlign w:val="center"/>
            <w:hideMark/>
          </w:tcPr>
          <w:p w:rsidR="00000000" w:rsidRDefault="001F1FC8">
            <w:pPr>
              <w:rPr>
                <w:rFonts w:eastAsia="Times New Roman"/>
                <w:sz w:val="20"/>
                <w:szCs w:val="20"/>
              </w:rPr>
            </w:pPr>
          </w:p>
        </w:tc>
        <w:tc>
          <w:tcPr>
            <w:tcW w:w="0" w:type="auto"/>
            <w:gridSpan w:val="3"/>
            <w:tcBorders>
              <w:top w:val="single" w:sz="8" w:space="0" w:color="000000"/>
              <w:left w:val="single" w:sz="8" w:space="0" w:color="000000"/>
              <w:right w:val="single" w:sz="8" w:space="0" w:color="000000"/>
            </w:tcBorders>
            <w:tcMar>
              <w:top w:w="0" w:type="dxa"/>
              <w:left w:w="20" w:type="dxa"/>
              <w:bottom w:w="0" w:type="dxa"/>
              <w:right w:w="20" w:type="dxa"/>
            </w:tcMar>
            <w:vAlign w:val="center"/>
            <w:hideMark/>
          </w:tcPr>
          <w:p w:rsidR="00000000" w:rsidRDefault="001F1FC8">
            <w:pPr>
              <w:rPr>
                <w:rFonts w:eastAsia="Times New Roman"/>
                <w:sz w:val="20"/>
                <w:szCs w:val="20"/>
              </w:rPr>
            </w:pPr>
          </w:p>
        </w:tc>
      </w:tr>
      <w:tr w:rsidR="00000000">
        <w:trPr>
          <w:divId w:val="539978035"/>
          <w:jc w:val="center"/>
        </w:trPr>
        <w:tc>
          <w:tcPr>
            <w:tcW w:w="0" w:type="auto"/>
            <w:gridSpan w:val="2"/>
            <w:tcBorders>
              <w:top w:val="single" w:sz="8" w:space="0" w:color="000000"/>
              <w:left w:val="single" w:sz="8" w:space="0" w:color="000000"/>
            </w:tcBorders>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color w:val="000000"/>
                <w:sz w:val="20"/>
                <w:szCs w:val="20"/>
              </w:rPr>
              <w:t>3.1 </w:t>
            </w:r>
          </w:p>
        </w:tc>
        <w:tc>
          <w:tcPr>
            <w:tcW w:w="0" w:type="auto"/>
            <w:tcBorders>
              <w:top w:val="single" w:sz="8" w:space="0" w:color="000000"/>
            </w:tcBorders>
            <w:tcMar>
              <w:top w:w="30" w:type="dxa"/>
              <w:left w:w="0" w:type="dxa"/>
              <w:bottom w:w="30" w:type="dxa"/>
              <w:right w:w="20" w:type="dxa"/>
            </w:tcMar>
            <w:hideMark/>
          </w:tcPr>
          <w:p w:rsidR="00000000" w:rsidRDefault="001F1FC8">
            <w:pPr>
              <w:jc w:val="right"/>
              <w:rPr>
                <w:rFonts w:eastAsia="Times New Roman"/>
              </w:rPr>
            </w:pPr>
          </w:p>
        </w:tc>
        <w:tc>
          <w:tcPr>
            <w:tcW w:w="0" w:type="auto"/>
            <w:gridSpan w:val="3"/>
            <w:tcBorders>
              <w:top w:val="single" w:sz="8" w:space="0" w:color="000000"/>
              <w:left w:val="single" w:sz="8" w:space="0" w:color="000000"/>
            </w:tcBorders>
            <w:tcMar>
              <w:top w:w="0" w:type="dxa"/>
              <w:left w:w="20" w:type="dxa"/>
              <w:bottom w:w="0" w:type="dxa"/>
              <w:right w:w="20" w:type="dxa"/>
            </w:tcMar>
            <w:vAlign w:val="center"/>
            <w:hideMark/>
          </w:tcPr>
          <w:p w:rsidR="00000000" w:rsidRDefault="001F1FC8">
            <w:pPr>
              <w:jc w:val="right"/>
              <w:rPr>
                <w:rFonts w:eastAsia="Times New Roman"/>
                <w:sz w:val="20"/>
                <w:szCs w:val="20"/>
              </w:rPr>
            </w:pPr>
          </w:p>
        </w:tc>
        <w:tc>
          <w:tcPr>
            <w:tcW w:w="0" w:type="auto"/>
            <w:gridSpan w:val="3"/>
            <w:tcBorders>
              <w:top w:val="single" w:sz="8" w:space="0" w:color="000000"/>
              <w:left w:val="single" w:sz="8" w:space="0" w:color="000000"/>
              <w:right w:val="single" w:sz="8" w:space="0" w:color="000000"/>
            </w:tcBorders>
            <w:tcMar>
              <w:top w:w="30" w:type="dxa"/>
              <w:left w:w="20" w:type="dxa"/>
              <w:bottom w:w="30" w:type="dxa"/>
              <w:right w:w="20" w:type="dxa"/>
            </w:tcMar>
            <w:hideMark/>
          </w:tcPr>
          <w:p w:rsidR="00000000" w:rsidRDefault="001F1FC8">
            <w:pPr>
              <w:rPr>
                <w:rFonts w:eastAsia="Times New Roman"/>
              </w:rPr>
            </w:pPr>
            <w:r>
              <w:rPr>
                <w:rFonts w:ascii="Arial" w:eastAsia="Times New Roman" w:hAnsi="Arial" w:cs="Arial"/>
                <w:color w:val="000000"/>
                <w:sz w:val="20"/>
                <w:szCs w:val="20"/>
              </w:rPr>
              <w:t>Articles of Continuance of the Corporation, dated December 15, 1987 (incorporated by reference to Exhibit 2.1(a) to Enbridge’s Registration Statement on Form S-8 filed May 7, 2001)</w:t>
            </w:r>
          </w:p>
        </w:tc>
      </w:tr>
      <w:tr w:rsidR="00000000">
        <w:trPr>
          <w:divId w:val="539978035"/>
          <w:jc w:val="center"/>
        </w:trPr>
        <w:tc>
          <w:tcPr>
            <w:tcW w:w="0" w:type="auto"/>
            <w:gridSpan w:val="2"/>
            <w:tcBorders>
              <w:top w:val="single" w:sz="8" w:space="0" w:color="000000"/>
              <w:left w:val="single" w:sz="8" w:space="0" w:color="000000"/>
            </w:tcBorders>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color w:val="000000"/>
                <w:sz w:val="20"/>
                <w:szCs w:val="20"/>
              </w:rPr>
              <w:t>3.2 </w:t>
            </w:r>
          </w:p>
        </w:tc>
        <w:tc>
          <w:tcPr>
            <w:tcW w:w="0" w:type="auto"/>
            <w:tcBorders>
              <w:top w:val="single" w:sz="8" w:space="0" w:color="000000"/>
            </w:tcBorders>
            <w:tcMar>
              <w:top w:w="30" w:type="dxa"/>
              <w:left w:w="0" w:type="dxa"/>
              <w:bottom w:w="30" w:type="dxa"/>
              <w:right w:w="20" w:type="dxa"/>
            </w:tcMar>
            <w:hideMark/>
          </w:tcPr>
          <w:p w:rsidR="00000000" w:rsidRDefault="001F1FC8">
            <w:pPr>
              <w:jc w:val="right"/>
              <w:rPr>
                <w:rFonts w:eastAsia="Times New Roman"/>
              </w:rPr>
            </w:pPr>
          </w:p>
        </w:tc>
        <w:tc>
          <w:tcPr>
            <w:tcW w:w="0" w:type="auto"/>
            <w:gridSpan w:val="3"/>
            <w:tcBorders>
              <w:top w:val="single" w:sz="8" w:space="0" w:color="000000"/>
              <w:left w:val="single" w:sz="8" w:space="0" w:color="000000"/>
            </w:tcBorders>
            <w:tcMar>
              <w:top w:w="0" w:type="dxa"/>
              <w:left w:w="20" w:type="dxa"/>
              <w:bottom w:w="0" w:type="dxa"/>
              <w:right w:w="20" w:type="dxa"/>
            </w:tcMar>
            <w:vAlign w:val="center"/>
            <w:hideMark/>
          </w:tcPr>
          <w:p w:rsidR="00000000" w:rsidRDefault="001F1FC8">
            <w:pPr>
              <w:jc w:val="right"/>
              <w:rPr>
                <w:rFonts w:eastAsia="Times New Roman"/>
                <w:sz w:val="20"/>
                <w:szCs w:val="20"/>
              </w:rPr>
            </w:pPr>
          </w:p>
        </w:tc>
        <w:tc>
          <w:tcPr>
            <w:tcW w:w="0" w:type="auto"/>
            <w:gridSpan w:val="3"/>
            <w:tcBorders>
              <w:top w:val="single" w:sz="8" w:space="0" w:color="000000"/>
              <w:left w:val="single" w:sz="8" w:space="0" w:color="000000"/>
              <w:right w:val="single" w:sz="8" w:space="0" w:color="000000"/>
            </w:tcBorders>
            <w:tcMar>
              <w:top w:w="30" w:type="dxa"/>
              <w:left w:w="20" w:type="dxa"/>
              <w:bottom w:w="30" w:type="dxa"/>
              <w:right w:w="20" w:type="dxa"/>
            </w:tcMar>
            <w:hideMark/>
          </w:tcPr>
          <w:p w:rsidR="00000000" w:rsidRDefault="001F1FC8">
            <w:pPr>
              <w:rPr>
                <w:rFonts w:eastAsia="Times New Roman"/>
              </w:rPr>
            </w:pPr>
            <w:r>
              <w:rPr>
                <w:rFonts w:ascii="Arial" w:eastAsia="Times New Roman" w:hAnsi="Arial" w:cs="Arial"/>
                <w:color w:val="000000"/>
                <w:sz w:val="20"/>
                <w:szCs w:val="20"/>
              </w:rPr>
              <w:t>Certificate of Amendment, dated August 2, 1989, to the Articles of the Corporation (incorporated by reference to Exhibit 2.1(b) to Enbridge’s Registration Statement on Form S-8 filed May 7, 2001)</w:t>
            </w:r>
          </w:p>
        </w:tc>
      </w:tr>
      <w:tr w:rsidR="00000000">
        <w:trPr>
          <w:divId w:val="539978035"/>
          <w:jc w:val="center"/>
        </w:trPr>
        <w:tc>
          <w:tcPr>
            <w:tcW w:w="0" w:type="auto"/>
            <w:gridSpan w:val="2"/>
            <w:tcBorders>
              <w:top w:val="single" w:sz="8" w:space="0" w:color="000000"/>
              <w:left w:val="single" w:sz="8" w:space="0" w:color="000000"/>
            </w:tcBorders>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color w:val="000000"/>
                <w:sz w:val="20"/>
                <w:szCs w:val="20"/>
              </w:rPr>
              <w:t>3.3 </w:t>
            </w:r>
          </w:p>
        </w:tc>
        <w:tc>
          <w:tcPr>
            <w:tcW w:w="0" w:type="auto"/>
            <w:tcBorders>
              <w:top w:val="single" w:sz="8" w:space="0" w:color="000000"/>
            </w:tcBorders>
            <w:tcMar>
              <w:top w:w="30" w:type="dxa"/>
              <w:left w:w="0" w:type="dxa"/>
              <w:bottom w:w="30" w:type="dxa"/>
              <w:right w:w="20" w:type="dxa"/>
            </w:tcMar>
            <w:hideMark/>
          </w:tcPr>
          <w:p w:rsidR="00000000" w:rsidRDefault="001F1FC8">
            <w:pPr>
              <w:jc w:val="right"/>
              <w:rPr>
                <w:rFonts w:eastAsia="Times New Roman"/>
              </w:rPr>
            </w:pPr>
          </w:p>
        </w:tc>
        <w:tc>
          <w:tcPr>
            <w:tcW w:w="0" w:type="auto"/>
            <w:gridSpan w:val="3"/>
            <w:tcBorders>
              <w:top w:val="single" w:sz="8" w:space="0" w:color="000000"/>
              <w:left w:val="single" w:sz="8" w:space="0" w:color="000000"/>
            </w:tcBorders>
            <w:tcMar>
              <w:top w:w="0" w:type="dxa"/>
              <w:left w:w="20" w:type="dxa"/>
              <w:bottom w:w="0" w:type="dxa"/>
              <w:right w:w="20" w:type="dxa"/>
            </w:tcMar>
            <w:vAlign w:val="center"/>
            <w:hideMark/>
          </w:tcPr>
          <w:p w:rsidR="00000000" w:rsidRDefault="001F1FC8">
            <w:pPr>
              <w:jc w:val="right"/>
              <w:rPr>
                <w:rFonts w:eastAsia="Times New Roman"/>
                <w:sz w:val="20"/>
                <w:szCs w:val="20"/>
              </w:rPr>
            </w:pPr>
          </w:p>
        </w:tc>
        <w:tc>
          <w:tcPr>
            <w:tcW w:w="0" w:type="auto"/>
            <w:gridSpan w:val="3"/>
            <w:tcBorders>
              <w:top w:val="single" w:sz="8" w:space="0" w:color="000000"/>
              <w:left w:val="single" w:sz="8" w:space="0" w:color="000000"/>
              <w:right w:val="single" w:sz="8" w:space="0" w:color="000000"/>
            </w:tcBorders>
            <w:tcMar>
              <w:top w:w="30" w:type="dxa"/>
              <w:left w:w="20" w:type="dxa"/>
              <w:bottom w:w="30" w:type="dxa"/>
              <w:right w:w="20" w:type="dxa"/>
            </w:tcMar>
            <w:hideMark/>
          </w:tcPr>
          <w:p w:rsidR="00000000" w:rsidRDefault="001F1FC8">
            <w:pPr>
              <w:rPr>
                <w:rFonts w:eastAsia="Times New Roman"/>
              </w:rPr>
            </w:pPr>
            <w:r>
              <w:rPr>
                <w:rFonts w:ascii="Arial" w:eastAsia="Times New Roman" w:hAnsi="Arial" w:cs="Arial"/>
                <w:color w:val="000000"/>
                <w:sz w:val="20"/>
                <w:szCs w:val="20"/>
              </w:rPr>
              <w:t>Articles of Amendment of the Corporation, dated</w:t>
            </w:r>
            <w:r>
              <w:rPr>
                <w:rFonts w:ascii="Arial" w:eastAsia="Times New Roman" w:hAnsi="Arial" w:cs="Arial"/>
                <w:color w:val="000000"/>
                <w:sz w:val="20"/>
                <w:szCs w:val="20"/>
              </w:rPr>
              <w:t xml:space="preserve"> April 30, 1992 (incorporated by reference to Exhibit 2.1(c) to Enbridge’s Registration Statement on Form S-8 filed May 7, 2001)</w:t>
            </w:r>
          </w:p>
        </w:tc>
      </w:tr>
      <w:tr w:rsidR="00000000">
        <w:trPr>
          <w:divId w:val="539978035"/>
          <w:jc w:val="center"/>
        </w:trPr>
        <w:tc>
          <w:tcPr>
            <w:tcW w:w="0" w:type="auto"/>
            <w:gridSpan w:val="2"/>
            <w:tcBorders>
              <w:top w:val="single" w:sz="8" w:space="0" w:color="000000"/>
              <w:left w:val="single" w:sz="8" w:space="0" w:color="000000"/>
            </w:tcBorders>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color w:val="000000"/>
                <w:sz w:val="20"/>
                <w:szCs w:val="20"/>
              </w:rPr>
              <w:t>3.4 </w:t>
            </w:r>
          </w:p>
        </w:tc>
        <w:tc>
          <w:tcPr>
            <w:tcW w:w="0" w:type="auto"/>
            <w:tcBorders>
              <w:top w:val="single" w:sz="8" w:space="0" w:color="000000"/>
            </w:tcBorders>
            <w:tcMar>
              <w:top w:w="30" w:type="dxa"/>
              <w:left w:w="0" w:type="dxa"/>
              <w:bottom w:w="30" w:type="dxa"/>
              <w:right w:w="20" w:type="dxa"/>
            </w:tcMar>
            <w:hideMark/>
          </w:tcPr>
          <w:p w:rsidR="00000000" w:rsidRDefault="001F1FC8">
            <w:pPr>
              <w:jc w:val="right"/>
              <w:rPr>
                <w:rFonts w:eastAsia="Times New Roman"/>
              </w:rPr>
            </w:pPr>
          </w:p>
        </w:tc>
        <w:tc>
          <w:tcPr>
            <w:tcW w:w="0" w:type="auto"/>
            <w:gridSpan w:val="3"/>
            <w:tcBorders>
              <w:top w:val="single" w:sz="8" w:space="0" w:color="000000"/>
              <w:left w:val="single" w:sz="8" w:space="0" w:color="000000"/>
            </w:tcBorders>
            <w:tcMar>
              <w:top w:w="0" w:type="dxa"/>
              <w:left w:w="20" w:type="dxa"/>
              <w:bottom w:w="0" w:type="dxa"/>
              <w:right w:w="20" w:type="dxa"/>
            </w:tcMar>
            <w:vAlign w:val="center"/>
            <w:hideMark/>
          </w:tcPr>
          <w:p w:rsidR="00000000" w:rsidRDefault="001F1FC8">
            <w:pPr>
              <w:jc w:val="right"/>
              <w:rPr>
                <w:rFonts w:eastAsia="Times New Roman"/>
                <w:sz w:val="20"/>
                <w:szCs w:val="20"/>
              </w:rPr>
            </w:pPr>
          </w:p>
        </w:tc>
        <w:tc>
          <w:tcPr>
            <w:tcW w:w="0" w:type="auto"/>
            <w:gridSpan w:val="3"/>
            <w:tcBorders>
              <w:top w:val="single" w:sz="8" w:space="0" w:color="000000"/>
              <w:left w:val="single" w:sz="8" w:space="0" w:color="000000"/>
              <w:right w:val="single" w:sz="8" w:space="0" w:color="000000"/>
            </w:tcBorders>
            <w:tcMar>
              <w:top w:w="30" w:type="dxa"/>
              <w:left w:w="20" w:type="dxa"/>
              <w:bottom w:w="30" w:type="dxa"/>
              <w:right w:w="20" w:type="dxa"/>
            </w:tcMar>
            <w:hideMark/>
          </w:tcPr>
          <w:p w:rsidR="00000000" w:rsidRDefault="001F1FC8">
            <w:pPr>
              <w:rPr>
                <w:rFonts w:eastAsia="Times New Roman"/>
              </w:rPr>
            </w:pPr>
            <w:r>
              <w:rPr>
                <w:rFonts w:ascii="Arial" w:eastAsia="Times New Roman" w:hAnsi="Arial" w:cs="Arial"/>
                <w:color w:val="000000"/>
                <w:sz w:val="20"/>
                <w:szCs w:val="20"/>
              </w:rPr>
              <w:t>Articles of Amendment of the Corporation, dated July 2, 1992 (incorporated by reference to Exhibit 2.1(d) to Enbridge’s Registration Statement on Form S-8 filed May 7, 2001)</w:t>
            </w:r>
          </w:p>
        </w:tc>
      </w:tr>
      <w:tr w:rsidR="00000000">
        <w:trPr>
          <w:divId w:val="539978035"/>
          <w:jc w:val="center"/>
        </w:trPr>
        <w:tc>
          <w:tcPr>
            <w:tcW w:w="0" w:type="auto"/>
            <w:gridSpan w:val="2"/>
            <w:tcBorders>
              <w:top w:val="single" w:sz="8" w:space="0" w:color="000000"/>
              <w:left w:val="single" w:sz="8" w:space="0" w:color="000000"/>
            </w:tcBorders>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color w:val="000000"/>
                <w:sz w:val="20"/>
                <w:szCs w:val="20"/>
              </w:rPr>
              <w:t>3.5 </w:t>
            </w:r>
          </w:p>
        </w:tc>
        <w:tc>
          <w:tcPr>
            <w:tcW w:w="0" w:type="auto"/>
            <w:tcBorders>
              <w:top w:val="single" w:sz="8" w:space="0" w:color="000000"/>
            </w:tcBorders>
            <w:tcMar>
              <w:top w:w="30" w:type="dxa"/>
              <w:left w:w="0" w:type="dxa"/>
              <w:bottom w:w="30" w:type="dxa"/>
              <w:right w:w="20" w:type="dxa"/>
            </w:tcMar>
            <w:hideMark/>
          </w:tcPr>
          <w:p w:rsidR="00000000" w:rsidRDefault="001F1FC8">
            <w:pPr>
              <w:jc w:val="right"/>
              <w:rPr>
                <w:rFonts w:eastAsia="Times New Roman"/>
              </w:rPr>
            </w:pPr>
          </w:p>
        </w:tc>
        <w:tc>
          <w:tcPr>
            <w:tcW w:w="0" w:type="auto"/>
            <w:gridSpan w:val="3"/>
            <w:tcBorders>
              <w:top w:val="single" w:sz="8" w:space="0" w:color="000000"/>
              <w:left w:val="single" w:sz="8" w:space="0" w:color="000000"/>
            </w:tcBorders>
            <w:tcMar>
              <w:top w:w="0" w:type="dxa"/>
              <w:left w:w="20" w:type="dxa"/>
              <w:bottom w:w="0" w:type="dxa"/>
              <w:right w:w="20" w:type="dxa"/>
            </w:tcMar>
            <w:vAlign w:val="center"/>
            <w:hideMark/>
          </w:tcPr>
          <w:p w:rsidR="00000000" w:rsidRDefault="001F1FC8">
            <w:pPr>
              <w:jc w:val="right"/>
              <w:rPr>
                <w:rFonts w:eastAsia="Times New Roman"/>
                <w:sz w:val="20"/>
                <w:szCs w:val="20"/>
              </w:rPr>
            </w:pPr>
          </w:p>
        </w:tc>
        <w:tc>
          <w:tcPr>
            <w:tcW w:w="0" w:type="auto"/>
            <w:gridSpan w:val="3"/>
            <w:tcBorders>
              <w:top w:val="single" w:sz="8" w:space="0" w:color="000000"/>
              <w:left w:val="single" w:sz="8" w:space="0" w:color="000000"/>
              <w:right w:val="single" w:sz="8" w:space="0" w:color="000000"/>
            </w:tcBorders>
            <w:tcMar>
              <w:top w:w="30" w:type="dxa"/>
              <w:left w:w="20" w:type="dxa"/>
              <w:bottom w:w="30" w:type="dxa"/>
              <w:right w:w="20" w:type="dxa"/>
            </w:tcMar>
            <w:hideMark/>
          </w:tcPr>
          <w:p w:rsidR="00000000" w:rsidRDefault="001F1FC8">
            <w:pPr>
              <w:rPr>
                <w:rFonts w:eastAsia="Times New Roman"/>
              </w:rPr>
            </w:pPr>
            <w:r>
              <w:rPr>
                <w:rFonts w:ascii="Arial" w:eastAsia="Times New Roman" w:hAnsi="Arial" w:cs="Arial"/>
                <w:color w:val="000000"/>
                <w:sz w:val="20"/>
                <w:szCs w:val="20"/>
              </w:rPr>
              <w:t>Articles of Amendment of the Corporation, dated August 6, 1992 (incorporated by reference to Exhibit 2.1(e) to Enbridge’s Registration Statement on Form S-8 filed May 7, 2001)</w:t>
            </w:r>
          </w:p>
        </w:tc>
      </w:tr>
      <w:tr w:rsidR="00000000">
        <w:trPr>
          <w:divId w:val="539978035"/>
          <w:jc w:val="center"/>
        </w:trPr>
        <w:tc>
          <w:tcPr>
            <w:tcW w:w="0" w:type="auto"/>
            <w:gridSpan w:val="2"/>
            <w:tcBorders>
              <w:top w:val="single" w:sz="8" w:space="0" w:color="000000"/>
              <w:left w:val="single" w:sz="8" w:space="0" w:color="000000"/>
            </w:tcBorders>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color w:val="000000"/>
                <w:sz w:val="20"/>
                <w:szCs w:val="20"/>
              </w:rPr>
              <w:t>3.6 </w:t>
            </w:r>
          </w:p>
        </w:tc>
        <w:tc>
          <w:tcPr>
            <w:tcW w:w="0" w:type="auto"/>
            <w:tcBorders>
              <w:top w:val="single" w:sz="8" w:space="0" w:color="000000"/>
            </w:tcBorders>
            <w:tcMar>
              <w:top w:w="30" w:type="dxa"/>
              <w:left w:w="0" w:type="dxa"/>
              <w:bottom w:w="30" w:type="dxa"/>
              <w:right w:w="20" w:type="dxa"/>
            </w:tcMar>
            <w:hideMark/>
          </w:tcPr>
          <w:p w:rsidR="00000000" w:rsidRDefault="001F1FC8">
            <w:pPr>
              <w:jc w:val="right"/>
              <w:rPr>
                <w:rFonts w:eastAsia="Times New Roman"/>
              </w:rPr>
            </w:pPr>
          </w:p>
        </w:tc>
        <w:tc>
          <w:tcPr>
            <w:tcW w:w="0" w:type="auto"/>
            <w:gridSpan w:val="3"/>
            <w:tcBorders>
              <w:top w:val="single" w:sz="8" w:space="0" w:color="000000"/>
              <w:left w:val="single" w:sz="8" w:space="0" w:color="000000"/>
            </w:tcBorders>
            <w:tcMar>
              <w:top w:w="0" w:type="dxa"/>
              <w:left w:w="20" w:type="dxa"/>
              <w:bottom w:w="0" w:type="dxa"/>
              <w:right w:w="20" w:type="dxa"/>
            </w:tcMar>
            <w:vAlign w:val="center"/>
            <w:hideMark/>
          </w:tcPr>
          <w:p w:rsidR="00000000" w:rsidRDefault="001F1FC8">
            <w:pPr>
              <w:jc w:val="right"/>
              <w:rPr>
                <w:rFonts w:eastAsia="Times New Roman"/>
                <w:sz w:val="20"/>
                <w:szCs w:val="20"/>
              </w:rPr>
            </w:pPr>
          </w:p>
        </w:tc>
        <w:tc>
          <w:tcPr>
            <w:tcW w:w="0" w:type="auto"/>
            <w:gridSpan w:val="3"/>
            <w:tcBorders>
              <w:top w:val="single" w:sz="8" w:space="0" w:color="000000"/>
              <w:left w:val="single" w:sz="8" w:space="0" w:color="000000"/>
              <w:right w:val="single" w:sz="8" w:space="0" w:color="000000"/>
            </w:tcBorders>
            <w:tcMar>
              <w:top w:w="30" w:type="dxa"/>
              <w:left w:w="20" w:type="dxa"/>
              <w:bottom w:w="30" w:type="dxa"/>
              <w:right w:w="20" w:type="dxa"/>
            </w:tcMar>
            <w:hideMark/>
          </w:tcPr>
          <w:p w:rsidR="00000000" w:rsidRDefault="001F1FC8">
            <w:pPr>
              <w:rPr>
                <w:rFonts w:eastAsia="Times New Roman"/>
              </w:rPr>
            </w:pPr>
            <w:r>
              <w:rPr>
                <w:rFonts w:ascii="Arial" w:eastAsia="Times New Roman" w:hAnsi="Arial" w:cs="Arial"/>
                <w:color w:val="000000"/>
                <w:sz w:val="20"/>
                <w:szCs w:val="20"/>
              </w:rPr>
              <w:t>Articles of Arrangement of the Corporation dated December 18, 1992,</w:t>
            </w:r>
            <w:r>
              <w:rPr>
                <w:rFonts w:ascii="Arial" w:eastAsia="Times New Roman" w:hAnsi="Arial" w:cs="Arial"/>
                <w:color w:val="000000"/>
                <w:sz w:val="20"/>
                <w:szCs w:val="20"/>
              </w:rPr>
              <w:t xml:space="preserve"> attaching the Arrangement Agreement, dated December 15, 1992 (incorporated by reference to Exhibit 2.1(f) to Enbridge’s Registration Statement on Form S-8 filed May 7, 2001)</w:t>
            </w:r>
          </w:p>
        </w:tc>
      </w:tr>
      <w:tr w:rsidR="00000000">
        <w:trPr>
          <w:divId w:val="539978035"/>
          <w:jc w:val="center"/>
        </w:trPr>
        <w:tc>
          <w:tcPr>
            <w:tcW w:w="0" w:type="auto"/>
            <w:gridSpan w:val="2"/>
            <w:tcBorders>
              <w:top w:val="single" w:sz="8" w:space="0" w:color="000000"/>
              <w:left w:val="single" w:sz="8" w:space="0" w:color="000000"/>
            </w:tcBorders>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color w:val="000000"/>
                <w:sz w:val="20"/>
                <w:szCs w:val="20"/>
              </w:rPr>
              <w:t>3.7 </w:t>
            </w:r>
          </w:p>
        </w:tc>
        <w:tc>
          <w:tcPr>
            <w:tcW w:w="0" w:type="auto"/>
            <w:tcBorders>
              <w:top w:val="single" w:sz="8" w:space="0" w:color="000000"/>
            </w:tcBorders>
            <w:tcMar>
              <w:top w:w="30" w:type="dxa"/>
              <w:left w:w="0" w:type="dxa"/>
              <w:bottom w:w="30" w:type="dxa"/>
              <w:right w:w="20" w:type="dxa"/>
            </w:tcMar>
            <w:hideMark/>
          </w:tcPr>
          <w:p w:rsidR="00000000" w:rsidRDefault="001F1FC8">
            <w:pPr>
              <w:jc w:val="right"/>
              <w:rPr>
                <w:rFonts w:eastAsia="Times New Roman"/>
              </w:rPr>
            </w:pPr>
          </w:p>
        </w:tc>
        <w:tc>
          <w:tcPr>
            <w:tcW w:w="0" w:type="auto"/>
            <w:gridSpan w:val="3"/>
            <w:tcBorders>
              <w:top w:val="single" w:sz="8" w:space="0" w:color="000000"/>
              <w:left w:val="single" w:sz="8" w:space="0" w:color="000000"/>
            </w:tcBorders>
            <w:tcMar>
              <w:top w:w="0" w:type="dxa"/>
              <w:left w:w="20" w:type="dxa"/>
              <w:bottom w:w="0" w:type="dxa"/>
              <w:right w:w="20" w:type="dxa"/>
            </w:tcMar>
            <w:vAlign w:val="center"/>
            <w:hideMark/>
          </w:tcPr>
          <w:p w:rsidR="00000000" w:rsidRDefault="001F1FC8">
            <w:pPr>
              <w:jc w:val="right"/>
              <w:rPr>
                <w:rFonts w:eastAsia="Times New Roman"/>
                <w:sz w:val="20"/>
                <w:szCs w:val="20"/>
              </w:rPr>
            </w:pPr>
          </w:p>
        </w:tc>
        <w:tc>
          <w:tcPr>
            <w:tcW w:w="0" w:type="auto"/>
            <w:gridSpan w:val="3"/>
            <w:tcBorders>
              <w:top w:val="single" w:sz="8" w:space="0" w:color="000000"/>
              <w:left w:val="single" w:sz="8" w:space="0" w:color="000000"/>
              <w:right w:val="single" w:sz="8" w:space="0" w:color="000000"/>
            </w:tcBorders>
            <w:tcMar>
              <w:top w:w="30" w:type="dxa"/>
              <w:left w:w="20" w:type="dxa"/>
              <w:bottom w:w="30" w:type="dxa"/>
              <w:right w:w="20" w:type="dxa"/>
            </w:tcMar>
            <w:hideMark/>
          </w:tcPr>
          <w:p w:rsidR="00000000" w:rsidRDefault="001F1FC8">
            <w:pPr>
              <w:rPr>
                <w:rFonts w:eastAsia="Times New Roman"/>
              </w:rPr>
            </w:pPr>
            <w:r>
              <w:rPr>
                <w:rFonts w:ascii="Arial" w:eastAsia="Times New Roman" w:hAnsi="Arial" w:cs="Arial"/>
                <w:color w:val="000000"/>
                <w:sz w:val="20"/>
                <w:szCs w:val="20"/>
              </w:rPr>
              <w:t>Certificate of Amendment of the Corporation (notarial certified copy), dated December 18, 1992 (incorporated by reference to Exhibit 2.1(g) to Enbridge’s Registration Statement on Form S-8 filed May 7, 2001)</w:t>
            </w:r>
          </w:p>
        </w:tc>
      </w:tr>
      <w:tr w:rsidR="00000000">
        <w:trPr>
          <w:divId w:val="539978035"/>
          <w:jc w:val="center"/>
        </w:trPr>
        <w:tc>
          <w:tcPr>
            <w:tcW w:w="0" w:type="auto"/>
            <w:gridSpan w:val="2"/>
            <w:tcBorders>
              <w:top w:val="single" w:sz="8" w:space="0" w:color="000000"/>
              <w:left w:val="single" w:sz="8" w:space="0" w:color="000000"/>
            </w:tcBorders>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color w:val="000000"/>
                <w:sz w:val="20"/>
                <w:szCs w:val="20"/>
              </w:rPr>
              <w:t>3.8 </w:t>
            </w:r>
          </w:p>
        </w:tc>
        <w:tc>
          <w:tcPr>
            <w:tcW w:w="0" w:type="auto"/>
            <w:tcBorders>
              <w:top w:val="single" w:sz="8" w:space="0" w:color="000000"/>
            </w:tcBorders>
            <w:tcMar>
              <w:top w:w="30" w:type="dxa"/>
              <w:left w:w="0" w:type="dxa"/>
              <w:bottom w:w="30" w:type="dxa"/>
              <w:right w:w="20" w:type="dxa"/>
            </w:tcMar>
            <w:hideMark/>
          </w:tcPr>
          <w:p w:rsidR="00000000" w:rsidRDefault="001F1FC8">
            <w:pPr>
              <w:jc w:val="right"/>
              <w:rPr>
                <w:rFonts w:eastAsia="Times New Roman"/>
              </w:rPr>
            </w:pPr>
          </w:p>
        </w:tc>
        <w:tc>
          <w:tcPr>
            <w:tcW w:w="0" w:type="auto"/>
            <w:gridSpan w:val="3"/>
            <w:tcBorders>
              <w:top w:val="single" w:sz="8" w:space="0" w:color="000000"/>
              <w:left w:val="single" w:sz="8" w:space="0" w:color="000000"/>
            </w:tcBorders>
            <w:tcMar>
              <w:top w:w="0" w:type="dxa"/>
              <w:left w:w="20" w:type="dxa"/>
              <w:bottom w:w="0" w:type="dxa"/>
              <w:right w:w="20" w:type="dxa"/>
            </w:tcMar>
            <w:vAlign w:val="center"/>
            <w:hideMark/>
          </w:tcPr>
          <w:p w:rsidR="00000000" w:rsidRDefault="001F1FC8">
            <w:pPr>
              <w:jc w:val="right"/>
              <w:rPr>
                <w:rFonts w:eastAsia="Times New Roman"/>
                <w:sz w:val="20"/>
                <w:szCs w:val="20"/>
              </w:rPr>
            </w:pPr>
          </w:p>
        </w:tc>
        <w:tc>
          <w:tcPr>
            <w:tcW w:w="0" w:type="auto"/>
            <w:gridSpan w:val="3"/>
            <w:tcBorders>
              <w:top w:val="single" w:sz="8" w:space="0" w:color="000000"/>
              <w:left w:val="single" w:sz="8" w:space="0" w:color="000000"/>
              <w:right w:val="single" w:sz="8" w:space="0" w:color="000000"/>
            </w:tcBorders>
            <w:tcMar>
              <w:top w:w="30" w:type="dxa"/>
              <w:left w:w="20" w:type="dxa"/>
              <w:bottom w:w="30" w:type="dxa"/>
              <w:right w:w="20" w:type="dxa"/>
            </w:tcMar>
            <w:hideMark/>
          </w:tcPr>
          <w:p w:rsidR="00000000" w:rsidRDefault="001F1FC8">
            <w:pPr>
              <w:rPr>
                <w:rFonts w:eastAsia="Times New Roman"/>
              </w:rPr>
            </w:pPr>
            <w:r>
              <w:rPr>
                <w:rFonts w:ascii="Arial" w:eastAsia="Times New Roman" w:hAnsi="Arial" w:cs="Arial"/>
                <w:color w:val="000000"/>
                <w:sz w:val="20"/>
                <w:szCs w:val="20"/>
              </w:rPr>
              <w:t>Articles of Amendment of the Corpor</w:t>
            </w:r>
            <w:r>
              <w:rPr>
                <w:rFonts w:ascii="Arial" w:eastAsia="Times New Roman" w:hAnsi="Arial" w:cs="Arial"/>
                <w:color w:val="000000"/>
                <w:sz w:val="20"/>
                <w:szCs w:val="20"/>
              </w:rPr>
              <w:t>ation, dated May 5, 1994 (incorporated by reference to Exhibit 2.1(h) to Enbridge’s Registration Statement on Form S-8 filed May 7, 2001)</w:t>
            </w:r>
          </w:p>
        </w:tc>
      </w:tr>
      <w:tr w:rsidR="00000000">
        <w:trPr>
          <w:divId w:val="539978035"/>
          <w:jc w:val="center"/>
        </w:trPr>
        <w:tc>
          <w:tcPr>
            <w:tcW w:w="0" w:type="auto"/>
            <w:gridSpan w:val="2"/>
            <w:tcBorders>
              <w:top w:val="single" w:sz="8" w:space="0" w:color="000000"/>
              <w:left w:val="single" w:sz="8" w:space="0" w:color="000000"/>
            </w:tcBorders>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color w:val="000000"/>
                <w:sz w:val="20"/>
                <w:szCs w:val="20"/>
              </w:rPr>
              <w:t>3.9 </w:t>
            </w:r>
          </w:p>
        </w:tc>
        <w:tc>
          <w:tcPr>
            <w:tcW w:w="0" w:type="auto"/>
            <w:tcBorders>
              <w:top w:val="single" w:sz="8" w:space="0" w:color="000000"/>
            </w:tcBorders>
            <w:tcMar>
              <w:top w:w="30" w:type="dxa"/>
              <w:left w:w="0" w:type="dxa"/>
              <w:bottom w:w="30" w:type="dxa"/>
              <w:right w:w="20" w:type="dxa"/>
            </w:tcMar>
            <w:hideMark/>
          </w:tcPr>
          <w:p w:rsidR="00000000" w:rsidRDefault="001F1FC8">
            <w:pPr>
              <w:jc w:val="right"/>
              <w:rPr>
                <w:rFonts w:eastAsia="Times New Roman"/>
              </w:rPr>
            </w:pPr>
          </w:p>
        </w:tc>
        <w:tc>
          <w:tcPr>
            <w:tcW w:w="0" w:type="auto"/>
            <w:gridSpan w:val="3"/>
            <w:tcBorders>
              <w:top w:val="single" w:sz="8" w:space="0" w:color="000000"/>
              <w:left w:val="single" w:sz="8" w:space="0" w:color="000000"/>
            </w:tcBorders>
            <w:tcMar>
              <w:top w:w="0" w:type="dxa"/>
              <w:left w:w="20" w:type="dxa"/>
              <w:bottom w:w="0" w:type="dxa"/>
              <w:right w:w="20" w:type="dxa"/>
            </w:tcMar>
            <w:vAlign w:val="center"/>
            <w:hideMark/>
          </w:tcPr>
          <w:p w:rsidR="00000000" w:rsidRDefault="001F1FC8">
            <w:pPr>
              <w:jc w:val="right"/>
              <w:rPr>
                <w:rFonts w:eastAsia="Times New Roman"/>
                <w:sz w:val="20"/>
                <w:szCs w:val="20"/>
              </w:rPr>
            </w:pPr>
          </w:p>
        </w:tc>
        <w:tc>
          <w:tcPr>
            <w:tcW w:w="0" w:type="auto"/>
            <w:gridSpan w:val="3"/>
            <w:tcBorders>
              <w:top w:val="single" w:sz="8" w:space="0" w:color="000000"/>
              <w:left w:val="single" w:sz="8" w:space="0" w:color="000000"/>
              <w:right w:val="single" w:sz="8" w:space="0" w:color="000000"/>
            </w:tcBorders>
            <w:tcMar>
              <w:top w:w="30" w:type="dxa"/>
              <w:left w:w="20" w:type="dxa"/>
              <w:bottom w:w="30" w:type="dxa"/>
              <w:right w:w="20" w:type="dxa"/>
            </w:tcMar>
            <w:hideMark/>
          </w:tcPr>
          <w:p w:rsidR="00000000" w:rsidRDefault="001F1FC8">
            <w:pPr>
              <w:rPr>
                <w:rFonts w:eastAsia="Times New Roman"/>
              </w:rPr>
            </w:pPr>
            <w:r>
              <w:rPr>
                <w:rFonts w:ascii="Arial" w:eastAsia="Times New Roman" w:hAnsi="Arial" w:cs="Arial"/>
                <w:color w:val="000000"/>
                <w:sz w:val="20"/>
                <w:szCs w:val="20"/>
              </w:rPr>
              <w:t>Certificate of Amendment, dated October 7, 1998 (incorporated by reference to Exhibit 2.1(i) to Enbridge’</w:t>
            </w:r>
            <w:r>
              <w:rPr>
                <w:rFonts w:ascii="Arial" w:eastAsia="Times New Roman" w:hAnsi="Arial" w:cs="Arial"/>
                <w:color w:val="000000"/>
                <w:sz w:val="20"/>
                <w:szCs w:val="20"/>
              </w:rPr>
              <w:t>s Registration Statement on Form S-8 filed May 7, 2001)</w:t>
            </w:r>
          </w:p>
        </w:tc>
      </w:tr>
      <w:tr w:rsidR="00000000">
        <w:trPr>
          <w:divId w:val="539978035"/>
          <w:jc w:val="center"/>
        </w:trPr>
        <w:tc>
          <w:tcPr>
            <w:tcW w:w="0" w:type="auto"/>
            <w:gridSpan w:val="2"/>
            <w:tcBorders>
              <w:top w:val="single" w:sz="8" w:space="0" w:color="000000"/>
              <w:left w:val="single" w:sz="8" w:space="0" w:color="000000"/>
            </w:tcBorders>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color w:val="000000"/>
                <w:sz w:val="20"/>
                <w:szCs w:val="20"/>
              </w:rPr>
              <w:t>3.10 </w:t>
            </w:r>
          </w:p>
        </w:tc>
        <w:tc>
          <w:tcPr>
            <w:tcW w:w="0" w:type="auto"/>
            <w:tcBorders>
              <w:top w:val="single" w:sz="8" w:space="0" w:color="000000"/>
            </w:tcBorders>
            <w:tcMar>
              <w:top w:w="30" w:type="dxa"/>
              <w:left w:w="0" w:type="dxa"/>
              <w:bottom w:w="30" w:type="dxa"/>
              <w:right w:w="20" w:type="dxa"/>
            </w:tcMar>
            <w:hideMark/>
          </w:tcPr>
          <w:p w:rsidR="00000000" w:rsidRDefault="001F1FC8">
            <w:pPr>
              <w:jc w:val="right"/>
              <w:rPr>
                <w:rFonts w:eastAsia="Times New Roman"/>
              </w:rPr>
            </w:pPr>
          </w:p>
        </w:tc>
        <w:tc>
          <w:tcPr>
            <w:tcW w:w="0" w:type="auto"/>
            <w:gridSpan w:val="3"/>
            <w:tcBorders>
              <w:top w:val="single" w:sz="8" w:space="0" w:color="000000"/>
              <w:left w:val="single" w:sz="8" w:space="0" w:color="000000"/>
            </w:tcBorders>
            <w:tcMar>
              <w:top w:w="0" w:type="dxa"/>
              <w:left w:w="20" w:type="dxa"/>
              <w:bottom w:w="0" w:type="dxa"/>
              <w:right w:w="20" w:type="dxa"/>
            </w:tcMar>
            <w:vAlign w:val="center"/>
            <w:hideMark/>
          </w:tcPr>
          <w:p w:rsidR="00000000" w:rsidRDefault="001F1FC8">
            <w:pPr>
              <w:jc w:val="right"/>
              <w:rPr>
                <w:rFonts w:eastAsia="Times New Roman"/>
                <w:sz w:val="20"/>
                <w:szCs w:val="20"/>
              </w:rPr>
            </w:pPr>
          </w:p>
        </w:tc>
        <w:tc>
          <w:tcPr>
            <w:tcW w:w="0" w:type="auto"/>
            <w:gridSpan w:val="3"/>
            <w:tcBorders>
              <w:top w:val="single" w:sz="8" w:space="0" w:color="000000"/>
              <w:left w:val="single" w:sz="8" w:space="0" w:color="000000"/>
              <w:right w:val="single" w:sz="8" w:space="0" w:color="000000"/>
            </w:tcBorders>
            <w:tcMar>
              <w:top w:w="30" w:type="dxa"/>
              <w:left w:w="20" w:type="dxa"/>
              <w:bottom w:w="30" w:type="dxa"/>
              <w:right w:w="20" w:type="dxa"/>
            </w:tcMar>
            <w:hideMark/>
          </w:tcPr>
          <w:p w:rsidR="00000000" w:rsidRDefault="001F1FC8">
            <w:pPr>
              <w:rPr>
                <w:rFonts w:eastAsia="Times New Roman"/>
              </w:rPr>
            </w:pPr>
            <w:r>
              <w:rPr>
                <w:rFonts w:ascii="Arial" w:eastAsia="Times New Roman" w:hAnsi="Arial" w:cs="Arial"/>
                <w:color w:val="000000"/>
                <w:sz w:val="20"/>
                <w:szCs w:val="20"/>
              </w:rPr>
              <w:t>Certificate of Amendment, dated November 24, 1998 (incorporated by reference to Exhibit 2.1(j) to Enbridge’s Registration Statement on Form S-8 filed May 7, 2001)</w:t>
            </w:r>
          </w:p>
        </w:tc>
      </w:tr>
      <w:tr w:rsidR="00000000">
        <w:trPr>
          <w:divId w:val="539978035"/>
          <w:jc w:val="center"/>
        </w:trPr>
        <w:tc>
          <w:tcPr>
            <w:tcW w:w="0" w:type="auto"/>
            <w:gridSpan w:val="2"/>
            <w:tcBorders>
              <w:top w:val="single" w:sz="8" w:space="0" w:color="000000"/>
              <w:left w:val="single" w:sz="8" w:space="0" w:color="000000"/>
            </w:tcBorders>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color w:val="000000"/>
                <w:sz w:val="20"/>
                <w:szCs w:val="20"/>
              </w:rPr>
              <w:t>3.11 </w:t>
            </w:r>
          </w:p>
        </w:tc>
        <w:tc>
          <w:tcPr>
            <w:tcW w:w="0" w:type="auto"/>
            <w:tcBorders>
              <w:top w:val="single" w:sz="8" w:space="0" w:color="000000"/>
            </w:tcBorders>
            <w:tcMar>
              <w:top w:w="30" w:type="dxa"/>
              <w:left w:w="0" w:type="dxa"/>
              <w:bottom w:w="30" w:type="dxa"/>
              <w:right w:w="20" w:type="dxa"/>
            </w:tcMar>
            <w:hideMark/>
          </w:tcPr>
          <w:p w:rsidR="00000000" w:rsidRDefault="001F1FC8">
            <w:pPr>
              <w:jc w:val="right"/>
              <w:rPr>
                <w:rFonts w:eastAsia="Times New Roman"/>
              </w:rPr>
            </w:pPr>
          </w:p>
        </w:tc>
        <w:tc>
          <w:tcPr>
            <w:tcW w:w="0" w:type="auto"/>
            <w:gridSpan w:val="3"/>
            <w:tcBorders>
              <w:top w:val="single" w:sz="8" w:space="0" w:color="000000"/>
              <w:left w:val="single" w:sz="8" w:space="0" w:color="000000"/>
            </w:tcBorders>
            <w:tcMar>
              <w:top w:w="0" w:type="dxa"/>
              <w:left w:w="20" w:type="dxa"/>
              <w:bottom w:w="0" w:type="dxa"/>
              <w:right w:w="20" w:type="dxa"/>
            </w:tcMar>
            <w:vAlign w:val="center"/>
            <w:hideMark/>
          </w:tcPr>
          <w:p w:rsidR="00000000" w:rsidRDefault="001F1FC8">
            <w:pPr>
              <w:jc w:val="right"/>
              <w:rPr>
                <w:rFonts w:eastAsia="Times New Roman"/>
                <w:sz w:val="20"/>
                <w:szCs w:val="20"/>
              </w:rPr>
            </w:pPr>
          </w:p>
        </w:tc>
        <w:tc>
          <w:tcPr>
            <w:tcW w:w="0" w:type="auto"/>
            <w:gridSpan w:val="3"/>
            <w:tcBorders>
              <w:top w:val="single" w:sz="8" w:space="0" w:color="000000"/>
              <w:left w:val="single" w:sz="8" w:space="0" w:color="000000"/>
              <w:right w:val="single" w:sz="8" w:space="0" w:color="000000"/>
            </w:tcBorders>
            <w:tcMar>
              <w:top w:w="30" w:type="dxa"/>
              <w:left w:w="20" w:type="dxa"/>
              <w:bottom w:w="30" w:type="dxa"/>
              <w:right w:w="20" w:type="dxa"/>
            </w:tcMar>
            <w:hideMark/>
          </w:tcPr>
          <w:p w:rsidR="00000000" w:rsidRDefault="001F1FC8">
            <w:pPr>
              <w:rPr>
                <w:rFonts w:eastAsia="Times New Roman"/>
              </w:rPr>
            </w:pPr>
            <w:r>
              <w:rPr>
                <w:rFonts w:ascii="Arial" w:eastAsia="Times New Roman" w:hAnsi="Arial" w:cs="Arial"/>
                <w:color w:val="000000"/>
                <w:sz w:val="20"/>
                <w:szCs w:val="20"/>
              </w:rPr>
              <w:t>Certificate of Amendment, dated April 29, 1999 (incorporated by reference to Ex</w:t>
            </w:r>
            <w:r>
              <w:rPr>
                <w:rFonts w:ascii="Arial" w:eastAsia="Times New Roman" w:hAnsi="Arial" w:cs="Arial"/>
                <w:color w:val="000000"/>
                <w:sz w:val="20"/>
                <w:szCs w:val="20"/>
              </w:rPr>
              <w:t>hibit 2.1(k) to Enbridge’s Registration Statement on Form S-8 filed May 7, 2001)</w:t>
            </w:r>
          </w:p>
        </w:tc>
      </w:tr>
      <w:tr w:rsidR="00000000">
        <w:trPr>
          <w:divId w:val="539978035"/>
          <w:jc w:val="center"/>
        </w:trPr>
        <w:tc>
          <w:tcPr>
            <w:tcW w:w="0" w:type="auto"/>
            <w:gridSpan w:val="3"/>
            <w:tcBorders>
              <w:top w:val="single" w:sz="8" w:space="0" w:color="000000"/>
              <w:left w:val="single" w:sz="8" w:space="0" w:color="000000"/>
            </w:tcBorders>
            <w:tcMar>
              <w:top w:w="30" w:type="dxa"/>
              <w:left w:w="20" w:type="dxa"/>
              <w:bottom w:w="30" w:type="dxa"/>
              <w:right w:w="20" w:type="dxa"/>
            </w:tcMar>
            <w:hideMark/>
          </w:tcPr>
          <w:p w:rsidR="00000000" w:rsidRDefault="001F1FC8">
            <w:pPr>
              <w:jc w:val="right"/>
              <w:rPr>
                <w:rFonts w:eastAsia="Times New Roman"/>
              </w:rPr>
            </w:pPr>
            <w:hyperlink r:id="rId10" w:history="1">
              <w:r>
                <w:rPr>
                  <w:rStyle w:val="a3"/>
                  <w:rFonts w:ascii="Arial" w:eastAsia="Times New Roman" w:hAnsi="Arial" w:cs="Arial"/>
                  <w:sz w:val="20"/>
                  <w:szCs w:val="20"/>
                </w:rPr>
                <w:t>3.12</w:t>
              </w:r>
            </w:hyperlink>
          </w:p>
        </w:tc>
        <w:tc>
          <w:tcPr>
            <w:tcW w:w="0" w:type="auto"/>
            <w:gridSpan w:val="3"/>
            <w:tcBorders>
              <w:top w:val="single" w:sz="8" w:space="0" w:color="000000"/>
              <w:left w:val="single" w:sz="8" w:space="0" w:color="000000"/>
            </w:tcBorders>
            <w:tcMar>
              <w:top w:w="0" w:type="dxa"/>
              <w:left w:w="20" w:type="dxa"/>
              <w:bottom w:w="0" w:type="dxa"/>
              <w:right w:w="20" w:type="dxa"/>
            </w:tcMar>
            <w:vAlign w:val="center"/>
            <w:hideMark/>
          </w:tcPr>
          <w:p w:rsidR="00000000" w:rsidRDefault="001F1FC8">
            <w:pPr>
              <w:jc w:val="right"/>
              <w:rPr>
                <w:rFonts w:eastAsia="Times New Roman"/>
              </w:rPr>
            </w:pPr>
          </w:p>
        </w:tc>
        <w:tc>
          <w:tcPr>
            <w:tcW w:w="0" w:type="auto"/>
            <w:gridSpan w:val="3"/>
            <w:tcBorders>
              <w:top w:val="single" w:sz="8" w:space="0" w:color="000000"/>
              <w:left w:val="single" w:sz="8" w:space="0" w:color="000000"/>
              <w:right w:val="single" w:sz="8" w:space="0" w:color="000000"/>
            </w:tcBorders>
            <w:tcMar>
              <w:top w:w="30" w:type="dxa"/>
              <w:left w:w="20" w:type="dxa"/>
              <w:bottom w:w="30" w:type="dxa"/>
              <w:right w:w="20" w:type="dxa"/>
            </w:tcMar>
            <w:hideMark/>
          </w:tcPr>
          <w:p w:rsidR="00000000" w:rsidRDefault="001F1FC8">
            <w:pPr>
              <w:divId w:val="1462649912"/>
              <w:rPr>
                <w:rFonts w:eastAsia="Times New Roman"/>
              </w:rPr>
            </w:pPr>
            <w:hyperlink r:id="rId11" w:history="1">
              <w:r>
                <w:rPr>
                  <w:rStyle w:val="a3"/>
                  <w:rFonts w:ascii="Arial" w:eastAsia="Times New Roman" w:hAnsi="Arial" w:cs="Arial"/>
                  <w:sz w:val="20"/>
                  <w:szCs w:val="20"/>
                </w:rPr>
                <w:t>Certificate of Amendment, dated May 5, 2005 (incorporated by reference to Exhibit 2.1(l) to Enbridge’s Registration Statement on Form S-8 filed August 5, 2005</w:t>
              </w:r>
              <w:r>
                <w:rPr>
                  <w:rStyle w:val="a3"/>
                  <w:rFonts w:ascii="Arial" w:eastAsia="Times New Roman" w:hAnsi="Arial" w:cs="Arial"/>
                  <w:sz w:val="20"/>
                  <w:szCs w:val="20"/>
                </w:rPr>
                <w:t>)</w:t>
              </w:r>
            </w:hyperlink>
          </w:p>
        </w:tc>
      </w:tr>
      <w:tr w:rsidR="00000000">
        <w:trPr>
          <w:divId w:val="539978035"/>
          <w:jc w:val="center"/>
        </w:trPr>
        <w:tc>
          <w:tcPr>
            <w:tcW w:w="0" w:type="auto"/>
            <w:gridSpan w:val="3"/>
            <w:tcBorders>
              <w:top w:val="single" w:sz="8" w:space="0" w:color="000000"/>
              <w:left w:val="single" w:sz="8" w:space="0" w:color="000000"/>
            </w:tcBorders>
            <w:tcMar>
              <w:top w:w="30" w:type="dxa"/>
              <w:left w:w="20" w:type="dxa"/>
              <w:bottom w:w="30" w:type="dxa"/>
              <w:right w:w="20" w:type="dxa"/>
            </w:tcMar>
            <w:hideMark/>
          </w:tcPr>
          <w:p w:rsidR="00000000" w:rsidRDefault="001F1FC8">
            <w:pPr>
              <w:jc w:val="right"/>
              <w:rPr>
                <w:rFonts w:eastAsia="Times New Roman"/>
              </w:rPr>
            </w:pPr>
            <w:hyperlink r:id="rId12" w:history="1">
              <w:r>
                <w:rPr>
                  <w:rStyle w:val="a3"/>
                  <w:rFonts w:ascii="Arial" w:eastAsia="Times New Roman" w:hAnsi="Arial" w:cs="Arial"/>
                  <w:sz w:val="20"/>
                  <w:szCs w:val="20"/>
                </w:rPr>
                <w:t>3.13</w:t>
              </w:r>
            </w:hyperlink>
          </w:p>
        </w:tc>
        <w:tc>
          <w:tcPr>
            <w:tcW w:w="0" w:type="auto"/>
            <w:gridSpan w:val="3"/>
            <w:tcBorders>
              <w:top w:val="single" w:sz="8" w:space="0" w:color="000000"/>
              <w:left w:val="single" w:sz="8" w:space="0" w:color="000000"/>
            </w:tcBorders>
            <w:tcMar>
              <w:top w:w="0" w:type="dxa"/>
              <w:left w:w="20" w:type="dxa"/>
              <w:bottom w:w="0" w:type="dxa"/>
              <w:right w:w="20" w:type="dxa"/>
            </w:tcMar>
            <w:vAlign w:val="center"/>
            <w:hideMark/>
          </w:tcPr>
          <w:p w:rsidR="00000000" w:rsidRDefault="001F1FC8">
            <w:pPr>
              <w:jc w:val="right"/>
              <w:rPr>
                <w:rFonts w:eastAsia="Times New Roman"/>
              </w:rPr>
            </w:pPr>
          </w:p>
        </w:tc>
        <w:tc>
          <w:tcPr>
            <w:tcW w:w="0" w:type="auto"/>
            <w:gridSpan w:val="3"/>
            <w:tcBorders>
              <w:top w:val="single" w:sz="8" w:space="0" w:color="000000"/>
              <w:left w:val="single" w:sz="8" w:space="0" w:color="000000"/>
              <w:right w:val="single" w:sz="8" w:space="0" w:color="000000"/>
            </w:tcBorders>
            <w:tcMar>
              <w:top w:w="30" w:type="dxa"/>
              <w:left w:w="20" w:type="dxa"/>
              <w:bottom w:w="30" w:type="dxa"/>
              <w:right w:w="20" w:type="dxa"/>
            </w:tcMar>
            <w:hideMark/>
          </w:tcPr>
          <w:p w:rsidR="00000000" w:rsidRDefault="001F1FC8">
            <w:pPr>
              <w:divId w:val="1027607911"/>
              <w:rPr>
                <w:rFonts w:eastAsia="Times New Roman"/>
              </w:rPr>
            </w:pPr>
            <w:hyperlink r:id="rId13" w:history="1">
              <w:r>
                <w:rPr>
                  <w:rStyle w:val="a3"/>
                  <w:rFonts w:ascii="Arial" w:eastAsia="Times New Roman" w:hAnsi="Arial" w:cs="Arial"/>
                  <w:sz w:val="20"/>
                  <w:szCs w:val="20"/>
                </w:rPr>
                <w:t xml:space="preserve">Certificate of Amendment, dated May 11, 2011 (incorporated by reference to Exhibit 3.13 to Enbridge’s Registration Statement on Form F-4 filed September 23, </w:t>
              </w:r>
              <w:r>
                <w:rPr>
                  <w:rStyle w:val="a3"/>
                  <w:rFonts w:ascii="Arial" w:eastAsia="Times New Roman" w:hAnsi="Arial" w:cs="Arial"/>
                  <w:sz w:val="20"/>
                  <w:szCs w:val="20"/>
                </w:rPr>
                <w:t>2017)</w:t>
              </w:r>
            </w:hyperlink>
          </w:p>
        </w:tc>
      </w:tr>
      <w:tr w:rsidR="00000000">
        <w:trPr>
          <w:divId w:val="539978035"/>
          <w:jc w:val="center"/>
        </w:trPr>
        <w:tc>
          <w:tcPr>
            <w:tcW w:w="0" w:type="auto"/>
            <w:gridSpan w:val="3"/>
            <w:tcBorders>
              <w:top w:val="single" w:sz="8" w:space="0" w:color="000000"/>
              <w:left w:val="single" w:sz="8" w:space="0" w:color="000000"/>
            </w:tcBorders>
            <w:tcMar>
              <w:top w:w="30" w:type="dxa"/>
              <w:left w:w="20" w:type="dxa"/>
              <w:bottom w:w="30" w:type="dxa"/>
              <w:right w:w="20" w:type="dxa"/>
            </w:tcMar>
            <w:hideMark/>
          </w:tcPr>
          <w:p w:rsidR="00000000" w:rsidRDefault="001F1FC8">
            <w:pPr>
              <w:jc w:val="right"/>
              <w:rPr>
                <w:rFonts w:eastAsia="Times New Roman"/>
              </w:rPr>
            </w:pPr>
            <w:hyperlink r:id="rId14" w:history="1">
              <w:r>
                <w:rPr>
                  <w:rStyle w:val="a3"/>
                  <w:rFonts w:ascii="Arial" w:eastAsia="Times New Roman" w:hAnsi="Arial" w:cs="Arial"/>
                  <w:sz w:val="20"/>
                  <w:szCs w:val="20"/>
                </w:rPr>
                <w:t>3.14</w:t>
              </w:r>
            </w:hyperlink>
          </w:p>
        </w:tc>
        <w:tc>
          <w:tcPr>
            <w:tcW w:w="0" w:type="auto"/>
            <w:gridSpan w:val="3"/>
            <w:tcBorders>
              <w:top w:val="single" w:sz="8" w:space="0" w:color="000000"/>
              <w:left w:val="single" w:sz="8" w:space="0" w:color="000000"/>
            </w:tcBorders>
            <w:tcMar>
              <w:top w:w="0" w:type="dxa"/>
              <w:left w:w="20" w:type="dxa"/>
              <w:bottom w:w="0" w:type="dxa"/>
              <w:right w:w="20" w:type="dxa"/>
            </w:tcMar>
            <w:vAlign w:val="center"/>
            <w:hideMark/>
          </w:tcPr>
          <w:p w:rsidR="00000000" w:rsidRDefault="001F1FC8">
            <w:pPr>
              <w:jc w:val="right"/>
              <w:rPr>
                <w:rFonts w:eastAsia="Times New Roman"/>
              </w:rPr>
            </w:pPr>
          </w:p>
        </w:tc>
        <w:tc>
          <w:tcPr>
            <w:tcW w:w="0" w:type="auto"/>
            <w:gridSpan w:val="3"/>
            <w:tcBorders>
              <w:top w:val="single" w:sz="8" w:space="0" w:color="000000"/>
              <w:left w:val="single" w:sz="8" w:space="0" w:color="000000"/>
              <w:right w:val="single" w:sz="8" w:space="0" w:color="000000"/>
            </w:tcBorders>
            <w:tcMar>
              <w:top w:w="30" w:type="dxa"/>
              <w:left w:w="20" w:type="dxa"/>
              <w:bottom w:w="30" w:type="dxa"/>
              <w:right w:w="20" w:type="dxa"/>
            </w:tcMar>
            <w:hideMark/>
          </w:tcPr>
          <w:p w:rsidR="00000000" w:rsidRDefault="001F1FC8">
            <w:pPr>
              <w:divId w:val="1082067396"/>
              <w:rPr>
                <w:rFonts w:eastAsia="Times New Roman"/>
              </w:rPr>
            </w:pPr>
            <w:hyperlink r:id="rId15" w:history="1">
              <w:r>
                <w:rPr>
                  <w:rStyle w:val="a3"/>
                  <w:rFonts w:ascii="Arial" w:eastAsia="Times New Roman" w:hAnsi="Arial" w:cs="Arial"/>
                  <w:sz w:val="20"/>
                  <w:szCs w:val="20"/>
                </w:rPr>
                <w:t>Certificate of Amendment, dated Septemb</w:t>
              </w:r>
              <w:r>
                <w:rPr>
                  <w:rStyle w:val="a3"/>
                  <w:rFonts w:ascii="Arial" w:eastAsia="Times New Roman" w:hAnsi="Arial" w:cs="Arial"/>
                  <w:sz w:val="20"/>
                  <w:szCs w:val="20"/>
                </w:rPr>
                <w:t>er 28, 2011 (incorporated by reference to Exhibit 3.14 to Enbridge’s Registration Statement on Form F-4 filed September 23, 2017)</w:t>
              </w:r>
            </w:hyperlink>
          </w:p>
        </w:tc>
      </w:tr>
      <w:tr w:rsidR="00000000">
        <w:trPr>
          <w:divId w:val="539978035"/>
          <w:jc w:val="center"/>
        </w:trPr>
        <w:tc>
          <w:tcPr>
            <w:tcW w:w="0" w:type="auto"/>
            <w:gridSpan w:val="3"/>
            <w:tcBorders>
              <w:top w:val="single" w:sz="8" w:space="0" w:color="000000"/>
              <w:left w:val="single" w:sz="8" w:space="0" w:color="000000"/>
            </w:tcBorders>
            <w:tcMar>
              <w:top w:w="30" w:type="dxa"/>
              <w:left w:w="20" w:type="dxa"/>
              <w:bottom w:w="30" w:type="dxa"/>
              <w:right w:w="20" w:type="dxa"/>
            </w:tcMar>
            <w:hideMark/>
          </w:tcPr>
          <w:p w:rsidR="00000000" w:rsidRDefault="001F1FC8">
            <w:pPr>
              <w:jc w:val="right"/>
              <w:rPr>
                <w:rFonts w:eastAsia="Times New Roman"/>
              </w:rPr>
            </w:pPr>
            <w:hyperlink r:id="rId16" w:history="1">
              <w:r>
                <w:rPr>
                  <w:rStyle w:val="a3"/>
                  <w:rFonts w:ascii="Arial" w:eastAsia="Times New Roman" w:hAnsi="Arial" w:cs="Arial"/>
                  <w:sz w:val="20"/>
                  <w:szCs w:val="20"/>
                </w:rPr>
                <w:t>3.15</w:t>
              </w:r>
            </w:hyperlink>
          </w:p>
        </w:tc>
        <w:tc>
          <w:tcPr>
            <w:tcW w:w="0" w:type="auto"/>
            <w:gridSpan w:val="3"/>
            <w:tcBorders>
              <w:top w:val="single" w:sz="8" w:space="0" w:color="000000"/>
              <w:left w:val="single" w:sz="8" w:space="0" w:color="000000"/>
            </w:tcBorders>
            <w:tcMar>
              <w:top w:w="0" w:type="dxa"/>
              <w:left w:w="20" w:type="dxa"/>
              <w:bottom w:w="0" w:type="dxa"/>
              <w:right w:w="20" w:type="dxa"/>
            </w:tcMar>
            <w:vAlign w:val="center"/>
            <w:hideMark/>
          </w:tcPr>
          <w:p w:rsidR="00000000" w:rsidRDefault="001F1FC8">
            <w:pPr>
              <w:jc w:val="right"/>
              <w:rPr>
                <w:rFonts w:eastAsia="Times New Roman"/>
              </w:rPr>
            </w:pPr>
          </w:p>
        </w:tc>
        <w:tc>
          <w:tcPr>
            <w:tcW w:w="0" w:type="auto"/>
            <w:gridSpan w:val="3"/>
            <w:tcBorders>
              <w:top w:val="single" w:sz="8" w:space="0" w:color="000000"/>
              <w:left w:val="single" w:sz="8" w:space="0" w:color="000000"/>
              <w:right w:val="single" w:sz="8" w:space="0" w:color="000000"/>
            </w:tcBorders>
            <w:tcMar>
              <w:top w:w="30" w:type="dxa"/>
              <w:left w:w="20" w:type="dxa"/>
              <w:bottom w:w="30" w:type="dxa"/>
              <w:right w:w="20" w:type="dxa"/>
            </w:tcMar>
            <w:hideMark/>
          </w:tcPr>
          <w:p w:rsidR="00000000" w:rsidRDefault="001F1FC8">
            <w:pPr>
              <w:divId w:val="649166643"/>
              <w:rPr>
                <w:rFonts w:eastAsia="Times New Roman"/>
              </w:rPr>
            </w:pPr>
            <w:hyperlink r:id="rId17" w:history="1">
              <w:r>
                <w:rPr>
                  <w:rStyle w:val="a3"/>
                  <w:rFonts w:ascii="Arial" w:eastAsia="Times New Roman" w:hAnsi="Arial" w:cs="Arial"/>
                  <w:sz w:val="20"/>
                  <w:szCs w:val="20"/>
                </w:rPr>
                <w:t>Certificate of Amendment, dated November 21, 201</w:t>
              </w:r>
              <w:r>
                <w:rPr>
                  <w:rStyle w:val="a3"/>
                  <w:rFonts w:ascii="Arial" w:eastAsia="Times New Roman" w:hAnsi="Arial" w:cs="Arial"/>
                  <w:sz w:val="20"/>
                  <w:szCs w:val="20"/>
                </w:rPr>
                <w:t>1 (incorporated by reference to Exhibit 3.15 to Enbridge’s Registration Statement on Form F-4 filed September 23, 2017)</w:t>
              </w:r>
            </w:hyperlink>
          </w:p>
        </w:tc>
      </w:tr>
      <w:tr w:rsidR="00000000">
        <w:trPr>
          <w:divId w:val="539978035"/>
          <w:jc w:val="center"/>
        </w:trPr>
        <w:tc>
          <w:tcPr>
            <w:tcW w:w="0" w:type="auto"/>
            <w:gridSpan w:val="3"/>
            <w:tcBorders>
              <w:top w:val="single" w:sz="8" w:space="0" w:color="000000"/>
              <w:left w:val="single" w:sz="8" w:space="0" w:color="000000"/>
            </w:tcBorders>
            <w:tcMar>
              <w:top w:w="30" w:type="dxa"/>
              <w:left w:w="20" w:type="dxa"/>
              <w:bottom w:w="30" w:type="dxa"/>
              <w:right w:w="20" w:type="dxa"/>
            </w:tcMar>
            <w:hideMark/>
          </w:tcPr>
          <w:p w:rsidR="00000000" w:rsidRDefault="001F1FC8">
            <w:pPr>
              <w:jc w:val="right"/>
              <w:rPr>
                <w:rFonts w:eastAsia="Times New Roman"/>
              </w:rPr>
            </w:pPr>
            <w:hyperlink r:id="rId18" w:history="1">
              <w:r>
                <w:rPr>
                  <w:rStyle w:val="a3"/>
                  <w:rFonts w:ascii="Arial" w:eastAsia="Times New Roman" w:hAnsi="Arial" w:cs="Arial"/>
                  <w:sz w:val="20"/>
                  <w:szCs w:val="20"/>
                </w:rPr>
                <w:t>3.16</w:t>
              </w:r>
            </w:hyperlink>
          </w:p>
        </w:tc>
        <w:tc>
          <w:tcPr>
            <w:tcW w:w="0" w:type="auto"/>
            <w:gridSpan w:val="3"/>
            <w:tcBorders>
              <w:top w:val="single" w:sz="8" w:space="0" w:color="000000"/>
              <w:left w:val="single" w:sz="8" w:space="0" w:color="000000"/>
            </w:tcBorders>
            <w:tcMar>
              <w:top w:w="0" w:type="dxa"/>
              <w:left w:w="20" w:type="dxa"/>
              <w:bottom w:w="0" w:type="dxa"/>
              <w:right w:w="20" w:type="dxa"/>
            </w:tcMar>
            <w:vAlign w:val="center"/>
            <w:hideMark/>
          </w:tcPr>
          <w:p w:rsidR="00000000" w:rsidRDefault="001F1FC8">
            <w:pPr>
              <w:jc w:val="right"/>
              <w:rPr>
                <w:rFonts w:eastAsia="Times New Roman"/>
              </w:rPr>
            </w:pPr>
          </w:p>
        </w:tc>
        <w:tc>
          <w:tcPr>
            <w:tcW w:w="0" w:type="auto"/>
            <w:gridSpan w:val="3"/>
            <w:tcBorders>
              <w:top w:val="single" w:sz="8" w:space="0" w:color="000000"/>
              <w:left w:val="single" w:sz="8" w:space="0" w:color="000000"/>
              <w:right w:val="single" w:sz="8" w:space="0" w:color="000000"/>
            </w:tcBorders>
            <w:tcMar>
              <w:top w:w="30" w:type="dxa"/>
              <w:left w:w="20" w:type="dxa"/>
              <w:bottom w:w="30" w:type="dxa"/>
              <w:right w:w="20" w:type="dxa"/>
            </w:tcMar>
            <w:hideMark/>
          </w:tcPr>
          <w:p w:rsidR="00000000" w:rsidRDefault="001F1FC8">
            <w:pPr>
              <w:divId w:val="2109692220"/>
              <w:rPr>
                <w:rFonts w:eastAsia="Times New Roman"/>
              </w:rPr>
            </w:pPr>
            <w:hyperlink r:id="rId19" w:history="1">
              <w:r>
                <w:rPr>
                  <w:rStyle w:val="a3"/>
                  <w:rFonts w:ascii="Arial" w:eastAsia="Times New Roman" w:hAnsi="Arial" w:cs="Arial"/>
                  <w:sz w:val="20"/>
                  <w:szCs w:val="20"/>
                </w:rPr>
                <w:t>Certificate of Amendment, dated January 16, 2012 (incorporated by reference to Exhibit 3.16 to Enbridge’s Registration Statement on Form F-4 filed September 23, 2017)</w:t>
              </w:r>
            </w:hyperlink>
          </w:p>
        </w:tc>
      </w:tr>
      <w:tr w:rsidR="00000000">
        <w:trPr>
          <w:divId w:val="539978035"/>
          <w:jc w:val="center"/>
        </w:trPr>
        <w:tc>
          <w:tcPr>
            <w:tcW w:w="0" w:type="auto"/>
            <w:gridSpan w:val="3"/>
            <w:tcBorders>
              <w:top w:val="single" w:sz="8" w:space="0" w:color="000000"/>
              <w:left w:val="single" w:sz="8" w:space="0" w:color="000000"/>
              <w:bottom w:val="single" w:sz="8" w:space="0" w:color="000000"/>
            </w:tcBorders>
            <w:tcMar>
              <w:top w:w="30" w:type="dxa"/>
              <w:left w:w="20" w:type="dxa"/>
              <w:bottom w:w="30" w:type="dxa"/>
              <w:right w:w="20" w:type="dxa"/>
            </w:tcMar>
            <w:hideMark/>
          </w:tcPr>
          <w:p w:rsidR="00000000" w:rsidRDefault="001F1FC8">
            <w:pPr>
              <w:jc w:val="right"/>
              <w:rPr>
                <w:rFonts w:eastAsia="Times New Roman"/>
              </w:rPr>
            </w:pPr>
            <w:hyperlink r:id="rId20" w:history="1">
              <w:r>
                <w:rPr>
                  <w:rStyle w:val="a3"/>
                  <w:rFonts w:ascii="Arial" w:eastAsia="Times New Roman" w:hAnsi="Arial" w:cs="Arial"/>
                  <w:sz w:val="20"/>
                  <w:szCs w:val="20"/>
                </w:rPr>
                <w:t>3.17</w:t>
              </w:r>
            </w:hyperlink>
          </w:p>
        </w:tc>
        <w:tc>
          <w:tcPr>
            <w:tcW w:w="0" w:type="auto"/>
            <w:gridSpan w:val="3"/>
            <w:tcBorders>
              <w:top w:val="single" w:sz="8" w:space="0" w:color="000000"/>
              <w:left w:val="single" w:sz="8" w:space="0" w:color="000000"/>
              <w:bottom w:val="single" w:sz="8" w:space="0" w:color="000000"/>
            </w:tcBorders>
            <w:tcMar>
              <w:top w:w="0" w:type="dxa"/>
              <w:left w:w="20" w:type="dxa"/>
              <w:bottom w:w="0" w:type="dxa"/>
              <w:right w:w="20" w:type="dxa"/>
            </w:tcMar>
            <w:vAlign w:val="center"/>
            <w:hideMark/>
          </w:tcPr>
          <w:p w:rsidR="00000000" w:rsidRDefault="001F1FC8">
            <w:pPr>
              <w:jc w:val="right"/>
              <w:rPr>
                <w:rFonts w:eastAsia="Times New Roman"/>
              </w:rPr>
            </w:pPr>
          </w:p>
        </w:tc>
        <w:tc>
          <w:tcPr>
            <w:tcW w:w="0" w:type="auto"/>
            <w:gridSpan w:val="3"/>
            <w:tcBorders>
              <w:top w:val="single" w:sz="8" w:space="0" w:color="000000"/>
              <w:left w:val="single" w:sz="8" w:space="0" w:color="000000"/>
              <w:bottom w:val="single" w:sz="8" w:space="0" w:color="000000"/>
              <w:right w:val="single" w:sz="8" w:space="0" w:color="000000"/>
            </w:tcBorders>
            <w:tcMar>
              <w:top w:w="30" w:type="dxa"/>
              <w:left w:w="20" w:type="dxa"/>
              <w:bottom w:w="30" w:type="dxa"/>
              <w:right w:w="20" w:type="dxa"/>
            </w:tcMar>
            <w:hideMark/>
          </w:tcPr>
          <w:p w:rsidR="00000000" w:rsidRDefault="001F1FC8">
            <w:pPr>
              <w:divId w:val="2097285944"/>
              <w:rPr>
                <w:rFonts w:eastAsia="Times New Roman"/>
              </w:rPr>
            </w:pPr>
            <w:hyperlink r:id="rId21" w:history="1">
              <w:r>
                <w:rPr>
                  <w:rStyle w:val="a3"/>
                  <w:rFonts w:ascii="Arial" w:eastAsia="Times New Roman" w:hAnsi="Arial" w:cs="Arial"/>
                  <w:sz w:val="20"/>
                  <w:szCs w:val="20"/>
                </w:rPr>
                <w:t>Certificate of Amendment, dated March 27, 2012 (incorporated by reference to Exhibit 3.17 to Enbridge’s Registration Statement on Form F-4 filed September 23</w:t>
              </w:r>
              <w:r>
                <w:rPr>
                  <w:rStyle w:val="a3"/>
                  <w:rFonts w:ascii="Arial" w:eastAsia="Times New Roman" w:hAnsi="Arial" w:cs="Arial"/>
                  <w:sz w:val="20"/>
                  <w:szCs w:val="20"/>
                </w:rPr>
                <w:t>, 2017)</w:t>
              </w:r>
            </w:hyperlink>
          </w:p>
        </w:tc>
      </w:tr>
    </w:tbl>
    <w:p w:rsidR="00000000" w:rsidRDefault="001F1FC8">
      <w:pPr>
        <w:jc w:val="center"/>
        <w:divId w:val="1896309562"/>
        <w:rPr>
          <w:rFonts w:eastAsia="Times New Roman"/>
        </w:rPr>
      </w:pPr>
      <w:r>
        <w:rPr>
          <w:rFonts w:ascii="Arial" w:eastAsia="Times New Roman" w:hAnsi="Arial" w:cs="Arial"/>
          <w:color w:val="000000"/>
          <w:sz w:val="20"/>
          <w:szCs w:val="20"/>
        </w:rPr>
        <w:t>183</w:t>
      </w:r>
    </w:p>
    <w:p w:rsidR="00000000" w:rsidRDefault="001F1FC8">
      <w:pPr>
        <w:rPr>
          <w:rFonts w:eastAsia="Times New Roman"/>
        </w:rPr>
      </w:pPr>
      <w:r>
        <w:rPr>
          <w:rFonts w:eastAsia="Times New Roman"/>
        </w:rPr>
        <w:pict>
          <v:rect id="_x0000_i1213" style="width:0;height:1.5pt" o:hralign="center" o:hrstd="t" o:hr="t" fillcolor="#a0a0a0" stroked="f"/>
        </w:pict>
      </w:r>
    </w:p>
    <w:p w:rsidR="00000000" w:rsidRDefault="001F1FC8">
      <w:pPr>
        <w:jc w:val="center"/>
        <w:divId w:val="774329194"/>
        <w:rPr>
          <w:rFonts w:eastAsia="Times New Roman"/>
        </w:rPr>
      </w:pPr>
    </w:p>
    <w:tbl>
      <w:tblPr>
        <w:tblW w:w="4991" w:type="pct"/>
        <w:jc w:val="center"/>
        <w:tblCellMar>
          <w:top w:w="15" w:type="dxa"/>
          <w:left w:w="15" w:type="dxa"/>
          <w:bottom w:w="15" w:type="dxa"/>
          <w:right w:w="15" w:type="dxa"/>
        </w:tblCellMar>
        <w:tblLook w:val="04A0" w:firstRow="1" w:lastRow="0" w:firstColumn="1" w:lastColumn="0" w:noHBand="0" w:noVBand="1"/>
      </w:tblPr>
      <w:tblGrid>
        <w:gridCol w:w="69"/>
        <w:gridCol w:w="999"/>
        <w:gridCol w:w="36"/>
        <w:gridCol w:w="69"/>
        <w:gridCol w:w="173"/>
        <w:gridCol w:w="36"/>
        <w:gridCol w:w="69"/>
        <w:gridCol w:w="6804"/>
        <w:gridCol w:w="36"/>
      </w:tblGrid>
      <w:tr w:rsidR="00000000">
        <w:trPr>
          <w:divId w:val="1209145869"/>
          <w:jc w:val="center"/>
        </w:trPr>
        <w:tc>
          <w:tcPr>
            <w:tcW w:w="50" w:type="pct"/>
            <w:vAlign w:val="center"/>
            <w:hideMark/>
          </w:tcPr>
          <w:p w:rsidR="00000000" w:rsidRDefault="001F1FC8">
            <w:pPr>
              <w:jc w:val="center"/>
              <w:rPr>
                <w:rFonts w:eastAsia="Times New Roman"/>
              </w:rPr>
            </w:pPr>
          </w:p>
        </w:tc>
        <w:tc>
          <w:tcPr>
            <w:tcW w:w="611"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c>
          <w:tcPr>
            <w:tcW w:w="50" w:type="pct"/>
            <w:vAlign w:val="center"/>
            <w:hideMark/>
          </w:tcPr>
          <w:p w:rsidR="00000000" w:rsidRDefault="001F1FC8">
            <w:pPr>
              <w:rPr>
                <w:rFonts w:eastAsia="Times New Roman"/>
                <w:sz w:val="20"/>
                <w:szCs w:val="20"/>
              </w:rPr>
            </w:pPr>
          </w:p>
        </w:tc>
        <w:tc>
          <w:tcPr>
            <w:tcW w:w="113"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c>
          <w:tcPr>
            <w:tcW w:w="50" w:type="pct"/>
            <w:vAlign w:val="center"/>
            <w:hideMark/>
          </w:tcPr>
          <w:p w:rsidR="00000000" w:rsidRDefault="001F1FC8">
            <w:pPr>
              <w:rPr>
                <w:rFonts w:eastAsia="Times New Roman"/>
                <w:sz w:val="20"/>
                <w:szCs w:val="20"/>
              </w:rPr>
            </w:pPr>
          </w:p>
        </w:tc>
        <w:tc>
          <w:tcPr>
            <w:tcW w:w="4110"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r>
      <w:tr w:rsidR="00000000">
        <w:trPr>
          <w:divId w:val="1209145869"/>
          <w:jc w:val="center"/>
        </w:trPr>
        <w:tc>
          <w:tcPr>
            <w:tcW w:w="0" w:type="auto"/>
            <w:gridSpan w:val="3"/>
            <w:tcBorders>
              <w:top w:val="single" w:sz="8" w:space="0" w:color="000000"/>
              <w:left w:val="single" w:sz="8" w:space="0" w:color="000000"/>
            </w:tcBorders>
            <w:tcMar>
              <w:top w:w="30" w:type="dxa"/>
              <w:left w:w="20" w:type="dxa"/>
              <w:bottom w:w="30" w:type="dxa"/>
              <w:right w:w="20" w:type="dxa"/>
            </w:tcMar>
            <w:hideMark/>
          </w:tcPr>
          <w:p w:rsidR="00000000" w:rsidRDefault="001F1FC8">
            <w:pPr>
              <w:jc w:val="right"/>
              <w:rPr>
                <w:rFonts w:eastAsia="Times New Roman"/>
              </w:rPr>
            </w:pPr>
            <w:hyperlink r:id="rId22" w:history="1">
              <w:r>
                <w:rPr>
                  <w:rStyle w:val="a3"/>
                  <w:rFonts w:ascii="Arial" w:eastAsia="Times New Roman" w:hAnsi="Arial" w:cs="Arial"/>
                  <w:sz w:val="20"/>
                  <w:szCs w:val="20"/>
                </w:rPr>
                <w:t>3.18</w:t>
              </w:r>
            </w:hyperlink>
          </w:p>
        </w:tc>
        <w:tc>
          <w:tcPr>
            <w:tcW w:w="0" w:type="auto"/>
            <w:gridSpan w:val="3"/>
            <w:tcBorders>
              <w:top w:val="single" w:sz="8" w:space="0" w:color="000000"/>
              <w:left w:val="single" w:sz="8" w:space="0" w:color="000000"/>
            </w:tcBorders>
            <w:tcMar>
              <w:top w:w="0" w:type="dxa"/>
              <w:left w:w="20" w:type="dxa"/>
              <w:bottom w:w="0" w:type="dxa"/>
              <w:right w:w="20" w:type="dxa"/>
            </w:tcMar>
            <w:vAlign w:val="center"/>
            <w:hideMark/>
          </w:tcPr>
          <w:p w:rsidR="00000000" w:rsidRDefault="001F1FC8">
            <w:pPr>
              <w:jc w:val="right"/>
              <w:rPr>
                <w:rFonts w:eastAsia="Times New Roman"/>
              </w:rPr>
            </w:pPr>
          </w:p>
        </w:tc>
        <w:tc>
          <w:tcPr>
            <w:tcW w:w="0" w:type="auto"/>
            <w:gridSpan w:val="3"/>
            <w:tcBorders>
              <w:top w:val="single" w:sz="8" w:space="0" w:color="000000"/>
              <w:left w:val="single" w:sz="8" w:space="0" w:color="000000"/>
              <w:right w:val="single" w:sz="8" w:space="0" w:color="000000"/>
            </w:tcBorders>
            <w:tcMar>
              <w:top w:w="30" w:type="dxa"/>
              <w:left w:w="20" w:type="dxa"/>
              <w:bottom w:w="30" w:type="dxa"/>
              <w:right w:w="20" w:type="dxa"/>
            </w:tcMar>
            <w:hideMark/>
          </w:tcPr>
          <w:p w:rsidR="00000000" w:rsidRDefault="001F1FC8">
            <w:pPr>
              <w:divId w:val="1030496277"/>
              <w:rPr>
                <w:rFonts w:eastAsia="Times New Roman"/>
              </w:rPr>
            </w:pPr>
            <w:hyperlink r:id="rId23" w:history="1">
              <w:r>
                <w:rPr>
                  <w:rStyle w:val="a3"/>
                  <w:rFonts w:ascii="Arial" w:eastAsia="Times New Roman" w:hAnsi="Arial" w:cs="Arial"/>
                  <w:sz w:val="20"/>
                  <w:szCs w:val="20"/>
                </w:rPr>
                <w:t>Certificate of Amendment, dated April 16, 2012 (incorporated by reference to Exhibit 3.18 to Enbridge’s Registration Statement on Form F-4 filed September 23</w:t>
              </w:r>
              <w:r>
                <w:rPr>
                  <w:rStyle w:val="a3"/>
                  <w:rFonts w:ascii="Arial" w:eastAsia="Times New Roman" w:hAnsi="Arial" w:cs="Arial"/>
                  <w:sz w:val="20"/>
                  <w:szCs w:val="20"/>
                </w:rPr>
                <w:t>, 2017)</w:t>
              </w:r>
            </w:hyperlink>
          </w:p>
        </w:tc>
      </w:tr>
      <w:tr w:rsidR="00000000">
        <w:trPr>
          <w:divId w:val="1209145869"/>
          <w:jc w:val="center"/>
        </w:trPr>
        <w:tc>
          <w:tcPr>
            <w:tcW w:w="0" w:type="auto"/>
            <w:gridSpan w:val="3"/>
            <w:tcBorders>
              <w:top w:val="single" w:sz="8" w:space="0" w:color="000000"/>
              <w:left w:val="single" w:sz="8" w:space="0" w:color="000000"/>
            </w:tcBorders>
            <w:tcMar>
              <w:top w:w="30" w:type="dxa"/>
              <w:left w:w="20" w:type="dxa"/>
              <w:bottom w:w="30" w:type="dxa"/>
              <w:right w:w="20" w:type="dxa"/>
            </w:tcMar>
            <w:hideMark/>
          </w:tcPr>
          <w:p w:rsidR="00000000" w:rsidRDefault="001F1FC8">
            <w:pPr>
              <w:jc w:val="right"/>
              <w:rPr>
                <w:rFonts w:eastAsia="Times New Roman"/>
              </w:rPr>
            </w:pPr>
            <w:hyperlink r:id="rId24" w:history="1">
              <w:r>
                <w:rPr>
                  <w:rStyle w:val="a3"/>
                  <w:rFonts w:ascii="Arial" w:eastAsia="Times New Roman" w:hAnsi="Arial" w:cs="Arial"/>
                  <w:sz w:val="20"/>
                  <w:szCs w:val="20"/>
                </w:rPr>
                <w:t>3.19</w:t>
              </w:r>
            </w:hyperlink>
          </w:p>
        </w:tc>
        <w:tc>
          <w:tcPr>
            <w:tcW w:w="0" w:type="auto"/>
            <w:gridSpan w:val="3"/>
            <w:tcBorders>
              <w:top w:val="single" w:sz="8" w:space="0" w:color="000000"/>
              <w:left w:val="single" w:sz="8" w:space="0" w:color="000000"/>
            </w:tcBorders>
            <w:tcMar>
              <w:top w:w="0" w:type="dxa"/>
              <w:left w:w="20" w:type="dxa"/>
              <w:bottom w:w="0" w:type="dxa"/>
              <w:right w:w="20" w:type="dxa"/>
            </w:tcMar>
            <w:vAlign w:val="center"/>
            <w:hideMark/>
          </w:tcPr>
          <w:p w:rsidR="00000000" w:rsidRDefault="001F1FC8">
            <w:pPr>
              <w:jc w:val="right"/>
              <w:rPr>
                <w:rFonts w:eastAsia="Times New Roman"/>
              </w:rPr>
            </w:pPr>
          </w:p>
        </w:tc>
        <w:tc>
          <w:tcPr>
            <w:tcW w:w="0" w:type="auto"/>
            <w:gridSpan w:val="3"/>
            <w:tcBorders>
              <w:top w:val="single" w:sz="8" w:space="0" w:color="000000"/>
              <w:left w:val="single" w:sz="8" w:space="0" w:color="000000"/>
              <w:right w:val="single" w:sz="8" w:space="0" w:color="000000"/>
            </w:tcBorders>
            <w:tcMar>
              <w:top w:w="30" w:type="dxa"/>
              <w:left w:w="20" w:type="dxa"/>
              <w:bottom w:w="30" w:type="dxa"/>
              <w:right w:w="20" w:type="dxa"/>
            </w:tcMar>
            <w:hideMark/>
          </w:tcPr>
          <w:p w:rsidR="00000000" w:rsidRDefault="001F1FC8">
            <w:pPr>
              <w:divId w:val="1388530174"/>
              <w:rPr>
                <w:rFonts w:eastAsia="Times New Roman"/>
              </w:rPr>
            </w:pPr>
            <w:hyperlink r:id="rId25" w:history="1">
              <w:r>
                <w:rPr>
                  <w:rStyle w:val="a3"/>
                  <w:rFonts w:ascii="Arial" w:eastAsia="Times New Roman" w:hAnsi="Arial" w:cs="Arial"/>
                  <w:sz w:val="20"/>
                  <w:szCs w:val="20"/>
                </w:rPr>
                <w:t>Certificate of Amendment, dated May 1</w:t>
              </w:r>
              <w:r>
                <w:rPr>
                  <w:rStyle w:val="a3"/>
                  <w:rFonts w:ascii="Arial" w:eastAsia="Times New Roman" w:hAnsi="Arial" w:cs="Arial"/>
                  <w:sz w:val="20"/>
                  <w:szCs w:val="20"/>
                </w:rPr>
                <w:t>7, 2012 (incorporated by reference to Exhibit 3.19 to Enbridge’s Registration Statement on Form F-4 filed September 23, 2017)</w:t>
              </w:r>
            </w:hyperlink>
          </w:p>
        </w:tc>
      </w:tr>
      <w:tr w:rsidR="00000000">
        <w:trPr>
          <w:divId w:val="1209145869"/>
          <w:jc w:val="center"/>
        </w:trPr>
        <w:tc>
          <w:tcPr>
            <w:tcW w:w="0" w:type="auto"/>
            <w:gridSpan w:val="3"/>
            <w:tcBorders>
              <w:top w:val="single" w:sz="8" w:space="0" w:color="000000"/>
              <w:left w:val="single" w:sz="8" w:space="0" w:color="000000"/>
            </w:tcBorders>
            <w:tcMar>
              <w:top w:w="30" w:type="dxa"/>
              <w:left w:w="20" w:type="dxa"/>
              <w:bottom w:w="30" w:type="dxa"/>
              <w:right w:w="20" w:type="dxa"/>
            </w:tcMar>
            <w:hideMark/>
          </w:tcPr>
          <w:p w:rsidR="00000000" w:rsidRDefault="001F1FC8">
            <w:pPr>
              <w:jc w:val="right"/>
              <w:rPr>
                <w:rFonts w:eastAsia="Times New Roman"/>
              </w:rPr>
            </w:pPr>
            <w:hyperlink r:id="rId26" w:history="1">
              <w:r>
                <w:rPr>
                  <w:rStyle w:val="a3"/>
                  <w:rFonts w:ascii="Arial" w:eastAsia="Times New Roman" w:hAnsi="Arial" w:cs="Arial"/>
                  <w:sz w:val="20"/>
                  <w:szCs w:val="20"/>
                </w:rPr>
                <w:t>3.20</w:t>
              </w:r>
            </w:hyperlink>
          </w:p>
        </w:tc>
        <w:tc>
          <w:tcPr>
            <w:tcW w:w="0" w:type="auto"/>
            <w:gridSpan w:val="3"/>
            <w:tcBorders>
              <w:top w:val="single" w:sz="8" w:space="0" w:color="000000"/>
              <w:left w:val="single" w:sz="8" w:space="0" w:color="000000"/>
            </w:tcBorders>
            <w:tcMar>
              <w:top w:w="0" w:type="dxa"/>
              <w:left w:w="20" w:type="dxa"/>
              <w:bottom w:w="0" w:type="dxa"/>
              <w:right w:w="20" w:type="dxa"/>
            </w:tcMar>
            <w:vAlign w:val="center"/>
            <w:hideMark/>
          </w:tcPr>
          <w:p w:rsidR="00000000" w:rsidRDefault="001F1FC8">
            <w:pPr>
              <w:jc w:val="right"/>
              <w:rPr>
                <w:rFonts w:eastAsia="Times New Roman"/>
              </w:rPr>
            </w:pPr>
          </w:p>
        </w:tc>
        <w:tc>
          <w:tcPr>
            <w:tcW w:w="0" w:type="auto"/>
            <w:gridSpan w:val="3"/>
            <w:tcBorders>
              <w:top w:val="single" w:sz="8" w:space="0" w:color="000000"/>
              <w:left w:val="single" w:sz="8" w:space="0" w:color="000000"/>
              <w:right w:val="single" w:sz="8" w:space="0" w:color="000000"/>
            </w:tcBorders>
            <w:tcMar>
              <w:top w:w="30" w:type="dxa"/>
              <w:left w:w="20" w:type="dxa"/>
              <w:bottom w:w="30" w:type="dxa"/>
              <w:right w:w="20" w:type="dxa"/>
            </w:tcMar>
            <w:hideMark/>
          </w:tcPr>
          <w:p w:rsidR="00000000" w:rsidRDefault="001F1FC8">
            <w:pPr>
              <w:divId w:val="875049097"/>
              <w:rPr>
                <w:rFonts w:eastAsia="Times New Roman"/>
              </w:rPr>
            </w:pPr>
            <w:hyperlink r:id="rId27" w:history="1">
              <w:r>
                <w:rPr>
                  <w:rStyle w:val="a3"/>
                  <w:rFonts w:ascii="Arial" w:eastAsia="Times New Roman" w:hAnsi="Arial" w:cs="Arial"/>
                  <w:sz w:val="20"/>
                  <w:szCs w:val="20"/>
                </w:rPr>
                <w:t>Certificate of Amendment, dated July 12, 2012 (i</w:t>
              </w:r>
              <w:r>
                <w:rPr>
                  <w:rStyle w:val="a3"/>
                  <w:rFonts w:ascii="Arial" w:eastAsia="Times New Roman" w:hAnsi="Arial" w:cs="Arial"/>
                  <w:sz w:val="20"/>
                  <w:szCs w:val="20"/>
                </w:rPr>
                <w:t>ncorporated by reference to Exhibit 3.20 to Enbridge’s Registration Statement on Form F-4 filed September 23, 2017)</w:t>
              </w:r>
            </w:hyperlink>
          </w:p>
        </w:tc>
      </w:tr>
      <w:tr w:rsidR="00000000">
        <w:trPr>
          <w:divId w:val="1209145869"/>
          <w:jc w:val="center"/>
        </w:trPr>
        <w:tc>
          <w:tcPr>
            <w:tcW w:w="0" w:type="auto"/>
            <w:gridSpan w:val="3"/>
            <w:tcBorders>
              <w:top w:val="single" w:sz="8" w:space="0" w:color="000000"/>
              <w:left w:val="single" w:sz="8" w:space="0" w:color="000000"/>
            </w:tcBorders>
            <w:tcMar>
              <w:top w:w="30" w:type="dxa"/>
              <w:left w:w="20" w:type="dxa"/>
              <w:bottom w:w="30" w:type="dxa"/>
              <w:right w:w="20" w:type="dxa"/>
            </w:tcMar>
            <w:hideMark/>
          </w:tcPr>
          <w:p w:rsidR="00000000" w:rsidRDefault="001F1FC8">
            <w:pPr>
              <w:jc w:val="right"/>
              <w:rPr>
                <w:rFonts w:eastAsia="Times New Roman"/>
              </w:rPr>
            </w:pPr>
            <w:hyperlink r:id="rId28" w:history="1">
              <w:r>
                <w:rPr>
                  <w:rStyle w:val="a3"/>
                  <w:rFonts w:ascii="Arial" w:eastAsia="Times New Roman" w:hAnsi="Arial" w:cs="Arial"/>
                  <w:sz w:val="20"/>
                  <w:szCs w:val="20"/>
                </w:rPr>
                <w:t>3.21</w:t>
              </w:r>
            </w:hyperlink>
          </w:p>
        </w:tc>
        <w:tc>
          <w:tcPr>
            <w:tcW w:w="0" w:type="auto"/>
            <w:gridSpan w:val="3"/>
            <w:tcBorders>
              <w:top w:val="single" w:sz="8" w:space="0" w:color="000000"/>
              <w:left w:val="single" w:sz="8" w:space="0" w:color="000000"/>
            </w:tcBorders>
            <w:tcMar>
              <w:top w:w="0" w:type="dxa"/>
              <w:left w:w="20" w:type="dxa"/>
              <w:bottom w:w="0" w:type="dxa"/>
              <w:right w:w="20" w:type="dxa"/>
            </w:tcMar>
            <w:vAlign w:val="center"/>
            <w:hideMark/>
          </w:tcPr>
          <w:p w:rsidR="00000000" w:rsidRDefault="001F1FC8">
            <w:pPr>
              <w:jc w:val="right"/>
              <w:rPr>
                <w:rFonts w:eastAsia="Times New Roman"/>
              </w:rPr>
            </w:pPr>
          </w:p>
        </w:tc>
        <w:tc>
          <w:tcPr>
            <w:tcW w:w="0" w:type="auto"/>
            <w:gridSpan w:val="3"/>
            <w:tcBorders>
              <w:top w:val="single" w:sz="8" w:space="0" w:color="000000"/>
              <w:left w:val="single" w:sz="8" w:space="0" w:color="000000"/>
              <w:right w:val="single" w:sz="8" w:space="0" w:color="000000"/>
            </w:tcBorders>
            <w:tcMar>
              <w:top w:w="30" w:type="dxa"/>
              <w:left w:w="20" w:type="dxa"/>
              <w:bottom w:w="30" w:type="dxa"/>
              <w:right w:w="20" w:type="dxa"/>
            </w:tcMar>
            <w:hideMark/>
          </w:tcPr>
          <w:p w:rsidR="00000000" w:rsidRDefault="001F1FC8">
            <w:pPr>
              <w:divId w:val="70587382"/>
              <w:rPr>
                <w:rFonts w:eastAsia="Times New Roman"/>
              </w:rPr>
            </w:pPr>
            <w:hyperlink r:id="rId29" w:history="1">
              <w:r>
                <w:rPr>
                  <w:rStyle w:val="a3"/>
                  <w:rFonts w:ascii="Arial" w:eastAsia="Times New Roman" w:hAnsi="Arial" w:cs="Arial"/>
                  <w:sz w:val="20"/>
                  <w:szCs w:val="20"/>
                </w:rPr>
                <w:t>Certificate of Amendment, dated September 11, 2012 (incorporated by reference to Exhibit 3.21 to Enbridge’s Registration Statement on Form F-4 filed September 23, 2017)</w:t>
              </w:r>
            </w:hyperlink>
          </w:p>
        </w:tc>
      </w:tr>
      <w:tr w:rsidR="00000000">
        <w:trPr>
          <w:divId w:val="1209145869"/>
          <w:jc w:val="center"/>
        </w:trPr>
        <w:tc>
          <w:tcPr>
            <w:tcW w:w="0" w:type="auto"/>
            <w:gridSpan w:val="3"/>
            <w:tcBorders>
              <w:top w:val="single" w:sz="8" w:space="0" w:color="000000"/>
              <w:left w:val="single" w:sz="8" w:space="0" w:color="000000"/>
            </w:tcBorders>
            <w:tcMar>
              <w:top w:w="30" w:type="dxa"/>
              <w:left w:w="20" w:type="dxa"/>
              <w:bottom w:w="30" w:type="dxa"/>
              <w:right w:w="20" w:type="dxa"/>
            </w:tcMar>
            <w:hideMark/>
          </w:tcPr>
          <w:p w:rsidR="00000000" w:rsidRDefault="001F1FC8">
            <w:pPr>
              <w:jc w:val="right"/>
              <w:rPr>
                <w:rFonts w:eastAsia="Times New Roman"/>
              </w:rPr>
            </w:pPr>
            <w:hyperlink r:id="rId30" w:history="1">
              <w:r>
                <w:rPr>
                  <w:rStyle w:val="a3"/>
                  <w:rFonts w:ascii="Arial" w:eastAsia="Times New Roman" w:hAnsi="Arial" w:cs="Arial"/>
                  <w:sz w:val="20"/>
                  <w:szCs w:val="20"/>
                </w:rPr>
                <w:t>3.22</w:t>
              </w:r>
            </w:hyperlink>
          </w:p>
        </w:tc>
        <w:tc>
          <w:tcPr>
            <w:tcW w:w="0" w:type="auto"/>
            <w:gridSpan w:val="3"/>
            <w:tcBorders>
              <w:top w:val="single" w:sz="8" w:space="0" w:color="000000"/>
              <w:left w:val="single" w:sz="8" w:space="0" w:color="000000"/>
            </w:tcBorders>
            <w:tcMar>
              <w:top w:w="0" w:type="dxa"/>
              <w:left w:w="20" w:type="dxa"/>
              <w:bottom w:w="0" w:type="dxa"/>
              <w:right w:w="20" w:type="dxa"/>
            </w:tcMar>
            <w:vAlign w:val="center"/>
            <w:hideMark/>
          </w:tcPr>
          <w:p w:rsidR="00000000" w:rsidRDefault="001F1FC8">
            <w:pPr>
              <w:jc w:val="right"/>
              <w:rPr>
                <w:rFonts w:eastAsia="Times New Roman"/>
              </w:rPr>
            </w:pPr>
          </w:p>
        </w:tc>
        <w:tc>
          <w:tcPr>
            <w:tcW w:w="0" w:type="auto"/>
            <w:gridSpan w:val="3"/>
            <w:tcBorders>
              <w:top w:val="single" w:sz="8" w:space="0" w:color="000000"/>
              <w:left w:val="single" w:sz="8" w:space="0" w:color="000000"/>
              <w:right w:val="single" w:sz="8" w:space="0" w:color="000000"/>
            </w:tcBorders>
            <w:tcMar>
              <w:top w:w="30" w:type="dxa"/>
              <w:left w:w="20" w:type="dxa"/>
              <w:bottom w:w="30" w:type="dxa"/>
              <w:right w:w="20" w:type="dxa"/>
            </w:tcMar>
            <w:hideMark/>
          </w:tcPr>
          <w:p w:rsidR="00000000" w:rsidRDefault="001F1FC8">
            <w:pPr>
              <w:divId w:val="1553810432"/>
              <w:rPr>
                <w:rFonts w:eastAsia="Times New Roman"/>
              </w:rPr>
            </w:pPr>
            <w:hyperlink r:id="rId31" w:history="1">
              <w:r>
                <w:rPr>
                  <w:rStyle w:val="a3"/>
                  <w:rFonts w:ascii="Arial" w:eastAsia="Times New Roman" w:hAnsi="Arial" w:cs="Arial"/>
                  <w:sz w:val="20"/>
                  <w:szCs w:val="20"/>
                </w:rPr>
                <w:t xml:space="preserve">Certificate of Amendment, dated December 3, 2012 (incorporated by reference to Exhibit 3.22 to Enbridge’s Registration Statement on Form F-4 filed September </w:t>
              </w:r>
              <w:r>
                <w:rPr>
                  <w:rStyle w:val="a3"/>
                  <w:rFonts w:ascii="Arial" w:eastAsia="Times New Roman" w:hAnsi="Arial" w:cs="Arial"/>
                  <w:sz w:val="20"/>
                  <w:szCs w:val="20"/>
                </w:rPr>
                <w:t>23, 2017)</w:t>
              </w:r>
            </w:hyperlink>
          </w:p>
        </w:tc>
      </w:tr>
      <w:tr w:rsidR="00000000">
        <w:trPr>
          <w:divId w:val="1209145869"/>
          <w:jc w:val="center"/>
        </w:trPr>
        <w:tc>
          <w:tcPr>
            <w:tcW w:w="0" w:type="auto"/>
            <w:gridSpan w:val="3"/>
            <w:tcBorders>
              <w:top w:val="single" w:sz="8" w:space="0" w:color="000000"/>
              <w:left w:val="single" w:sz="8" w:space="0" w:color="000000"/>
            </w:tcBorders>
            <w:tcMar>
              <w:top w:w="30" w:type="dxa"/>
              <w:left w:w="20" w:type="dxa"/>
              <w:bottom w:w="30" w:type="dxa"/>
              <w:right w:w="20" w:type="dxa"/>
            </w:tcMar>
            <w:hideMark/>
          </w:tcPr>
          <w:p w:rsidR="00000000" w:rsidRDefault="001F1FC8">
            <w:pPr>
              <w:jc w:val="right"/>
              <w:rPr>
                <w:rFonts w:eastAsia="Times New Roman"/>
              </w:rPr>
            </w:pPr>
            <w:hyperlink r:id="rId32" w:history="1">
              <w:r>
                <w:rPr>
                  <w:rStyle w:val="a3"/>
                  <w:rFonts w:ascii="Arial" w:eastAsia="Times New Roman" w:hAnsi="Arial" w:cs="Arial"/>
                  <w:sz w:val="20"/>
                  <w:szCs w:val="20"/>
                </w:rPr>
                <w:t>3.23</w:t>
              </w:r>
            </w:hyperlink>
          </w:p>
        </w:tc>
        <w:tc>
          <w:tcPr>
            <w:tcW w:w="0" w:type="auto"/>
            <w:gridSpan w:val="3"/>
            <w:tcBorders>
              <w:top w:val="single" w:sz="8" w:space="0" w:color="000000"/>
              <w:left w:val="single" w:sz="8" w:space="0" w:color="000000"/>
            </w:tcBorders>
            <w:tcMar>
              <w:top w:w="0" w:type="dxa"/>
              <w:left w:w="20" w:type="dxa"/>
              <w:bottom w:w="0" w:type="dxa"/>
              <w:right w:w="20" w:type="dxa"/>
            </w:tcMar>
            <w:vAlign w:val="center"/>
            <w:hideMark/>
          </w:tcPr>
          <w:p w:rsidR="00000000" w:rsidRDefault="001F1FC8">
            <w:pPr>
              <w:jc w:val="right"/>
              <w:rPr>
                <w:rFonts w:eastAsia="Times New Roman"/>
              </w:rPr>
            </w:pPr>
          </w:p>
        </w:tc>
        <w:tc>
          <w:tcPr>
            <w:tcW w:w="0" w:type="auto"/>
            <w:gridSpan w:val="3"/>
            <w:tcBorders>
              <w:top w:val="single" w:sz="8" w:space="0" w:color="000000"/>
              <w:left w:val="single" w:sz="8" w:space="0" w:color="000000"/>
              <w:right w:val="single" w:sz="8" w:space="0" w:color="000000"/>
            </w:tcBorders>
            <w:tcMar>
              <w:top w:w="30" w:type="dxa"/>
              <w:left w:w="20" w:type="dxa"/>
              <w:bottom w:w="30" w:type="dxa"/>
              <w:right w:w="20" w:type="dxa"/>
            </w:tcMar>
            <w:hideMark/>
          </w:tcPr>
          <w:p w:rsidR="00000000" w:rsidRDefault="001F1FC8">
            <w:pPr>
              <w:divId w:val="1616983306"/>
              <w:rPr>
                <w:rFonts w:eastAsia="Times New Roman"/>
              </w:rPr>
            </w:pPr>
            <w:hyperlink r:id="rId33" w:history="1">
              <w:r>
                <w:rPr>
                  <w:rStyle w:val="a3"/>
                  <w:rFonts w:ascii="Arial" w:eastAsia="Times New Roman" w:hAnsi="Arial" w:cs="Arial"/>
                  <w:sz w:val="20"/>
                  <w:szCs w:val="20"/>
                </w:rPr>
                <w:t>Certificate of Amendment, dated March 25, 2013 (incorporated by reference to Exhibit 3.23 to Enbridge’s Registration Statement on Form F-4 filed September 23</w:t>
              </w:r>
              <w:r>
                <w:rPr>
                  <w:rStyle w:val="a3"/>
                  <w:rFonts w:ascii="Arial" w:eastAsia="Times New Roman" w:hAnsi="Arial" w:cs="Arial"/>
                  <w:sz w:val="20"/>
                  <w:szCs w:val="20"/>
                </w:rPr>
                <w:t>, 2017)</w:t>
              </w:r>
            </w:hyperlink>
          </w:p>
        </w:tc>
      </w:tr>
      <w:tr w:rsidR="00000000">
        <w:trPr>
          <w:divId w:val="1209145869"/>
          <w:jc w:val="center"/>
        </w:trPr>
        <w:tc>
          <w:tcPr>
            <w:tcW w:w="0" w:type="auto"/>
            <w:gridSpan w:val="3"/>
            <w:tcBorders>
              <w:top w:val="single" w:sz="8" w:space="0" w:color="000000"/>
              <w:left w:val="single" w:sz="8" w:space="0" w:color="000000"/>
            </w:tcBorders>
            <w:tcMar>
              <w:top w:w="30" w:type="dxa"/>
              <w:left w:w="20" w:type="dxa"/>
              <w:bottom w:w="30" w:type="dxa"/>
              <w:right w:w="20" w:type="dxa"/>
            </w:tcMar>
            <w:hideMark/>
          </w:tcPr>
          <w:p w:rsidR="00000000" w:rsidRDefault="001F1FC8">
            <w:pPr>
              <w:jc w:val="right"/>
              <w:rPr>
                <w:rFonts w:eastAsia="Times New Roman"/>
              </w:rPr>
            </w:pPr>
            <w:hyperlink r:id="rId34" w:history="1">
              <w:r>
                <w:rPr>
                  <w:rStyle w:val="a3"/>
                  <w:rFonts w:ascii="Arial" w:eastAsia="Times New Roman" w:hAnsi="Arial" w:cs="Arial"/>
                  <w:sz w:val="20"/>
                  <w:szCs w:val="20"/>
                </w:rPr>
                <w:t>3.24</w:t>
              </w:r>
            </w:hyperlink>
          </w:p>
        </w:tc>
        <w:tc>
          <w:tcPr>
            <w:tcW w:w="0" w:type="auto"/>
            <w:gridSpan w:val="3"/>
            <w:tcBorders>
              <w:top w:val="single" w:sz="8" w:space="0" w:color="000000"/>
              <w:left w:val="single" w:sz="8" w:space="0" w:color="000000"/>
            </w:tcBorders>
            <w:tcMar>
              <w:top w:w="0" w:type="dxa"/>
              <w:left w:w="20" w:type="dxa"/>
              <w:bottom w:w="0" w:type="dxa"/>
              <w:right w:w="20" w:type="dxa"/>
            </w:tcMar>
            <w:vAlign w:val="center"/>
            <w:hideMark/>
          </w:tcPr>
          <w:p w:rsidR="00000000" w:rsidRDefault="001F1FC8">
            <w:pPr>
              <w:jc w:val="right"/>
              <w:rPr>
                <w:rFonts w:eastAsia="Times New Roman"/>
              </w:rPr>
            </w:pPr>
          </w:p>
        </w:tc>
        <w:tc>
          <w:tcPr>
            <w:tcW w:w="0" w:type="auto"/>
            <w:gridSpan w:val="3"/>
            <w:tcBorders>
              <w:top w:val="single" w:sz="8" w:space="0" w:color="000000"/>
              <w:left w:val="single" w:sz="8" w:space="0" w:color="000000"/>
              <w:right w:val="single" w:sz="8" w:space="0" w:color="000000"/>
            </w:tcBorders>
            <w:tcMar>
              <w:top w:w="30" w:type="dxa"/>
              <w:left w:w="20" w:type="dxa"/>
              <w:bottom w:w="30" w:type="dxa"/>
              <w:right w:w="20" w:type="dxa"/>
            </w:tcMar>
            <w:hideMark/>
          </w:tcPr>
          <w:p w:rsidR="00000000" w:rsidRDefault="001F1FC8">
            <w:pPr>
              <w:divId w:val="1315720421"/>
              <w:rPr>
                <w:rFonts w:eastAsia="Times New Roman"/>
              </w:rPr>
            </w:pPr>
            <w:hyperlink r:id="rId35" w:history="1">
              <w:r>
                <w:rPr>
                  <w:rStyle w:val="a3"/>
                  <w:rFonts w:ascii="Arial" w:eastAsia="Times New Roman" w:hAnsi="Arial" w:cs="Arial"/>
                  <w:sz w:val="20"/>
                  <w:szCs w:val="20"/>
                </w:rPr>
                <w:t xml:space="preserve">Certificate of Amendment, dated June </w:t>
              </w:r>
              <w:r>
                <w:rPr>
                  <w:rStyle w:val="a3"/>
                  <w:rFonts w:ascii="Arial" w:eastAsia="Times New Roman" w:hAnsi="Arial" w:cs="Arial"/>
                  <w:sz w:val="20"/>
                  <w:szCs w:val="20"/>
                </w:rPr>
                <w:t>4, 2013 (incorporated by reference to Exhibit 3.24 to Enbridge’s Registration Statement on Form F-4 filed September 23, 2017)</w:t>
              </w:r>
            </w:hyperlink>
          </w:p>
        </w:tc>
      </w:tr>
      <w:tr w:rsidR="00000000">
        <w:trPr>
          <w:divId w:val="1209145869"/>
          <w:jc w:val="center"/>
        </w:trPr>
        <w:tc>
          <w:tcPr>
            <w:tcW w:w="0" w:type="auto"/>
            <w:gridSpan w:val="3"/>
            <w:tcBorders>
              <w:top w:val="single" w:sz="8" w:space="0" w:color="000000"/>
              <w:left w:val="single" w:sz="8" w:space="0" w:color="000000"/>
            </w:tcBorders>
            <w:tcMar>
              <w:top w:w="30" w:type="dxa"/>
              <w:left w:w="20" w:type="dxa"/>
              <w:bottom w:w="30" w:type="dxa"/>
              <w:right w:w="20" w:type="dxa"/>
            </w:tcMar>
            <w:hideMark/>
          </w:tcPr>
          <w:p w:rsidR="00000000" w:rsidRDefault="001F1FC8">
            <w:pPr>
              <w:jc w:val="right"/>
              <w:rPr>
                <w:rFonts w:eastAsia="Times New Roman"/>
              </w:rPr>
            </w:pPr>
            <w:hyperlink r:id="rId36" w:history="1">
              <w:r>
                <w:rPr>
                  <w:rStyle w:val="a3"/>
                  <w:rFonts w:ascii="Arial" w:eastAsia="Times New Roman" w:hAnsi="Arial" w:cs="Arial"/>
                  <w:sz w:val="20"/>
                  <w:szCs w:val="20"/>
                </w:rPr>
                <w:t>3.25</w:t>
              </w:r>
            </w:hyperlink>
          </w:p>
        </w:tc>
        <w:tc>
          <w:tcPr>
            <w:tcW w:w="0" w:type="auto"/>
            <w:gridSpan w:val="3"/>
            <w:tcBorders>
              <w:top w:val="single" w:sz="8" w:space="0" w:color="000000"/>
              <w:left w:val="single" w:sz="8" w:space="0" w:color="000000"/>
            </w:tcBorders>
            <w:tcMar>
              <w:top w:w="0" w:type="dxa"/>
              <w:left w:w="20" w:type="dxa"/>
              <w:bottom w:w="0" w:type="dxa"/>
              <w:right w:w="20" w:type="dxa"/>
            </w:tcMar>
            <w:vAlign w:val="center"/>
            <w:hideMark/>
          </w:tcPr>
          <w:p w:rsidR="00000000" w:rsidRDefault="001F1FC8">
            <w:pPr>
              <w:jc w:val="right"/>
              <w:rPr>
                <w:rFonts w:eastAsia="Times New Roman"/>
              </w:rPr>
            </w:pPr>
          </w:p>
        </w:tc>
        <w:tc>
          <w:tcPr>
            <w:tcW w:w="0" w:type="auto"/>
            <w:gridSpan w:val="3"/>
            <w:tcBorders>
              <w:top w:val="single" w:sz="8" w:space="0" w:color="000000"/>
              <w:left w:val="single" w:sz="8" w:space="0" w:color="000000"/>
              <w:right w:val="single" w:sz="8" w:space="0" w:color="000000"/>
            </w:tcBorders>
            <w:tcMar>
              <w:top w:w="30" w:type="dxa"/>
              <w:left w:w="20" w:type="dxa"/>
              <w:bottom w:w="30" w:type="dxa"/>
              <w:right w:w="20" w:type="dxa"/>
            </w:tcMar>
            <w:hideMark/>
          </w:tcPr>
          <w:p w:rsidR="00000000" w:rsidRDefault="001F1FC8">
            <w:pPr>
              <w:divId w:val="48186470"/>
              <w:rPr>
                <w:rFonts w:eastAsia="Times New Roman"/>
              </w:rPr>
            </w:pPr>
            <w:hyperlink r:id="rId37" w:history="1">
              <w:r>
                <w:rPr>
                  <w:rStyle w:val="a3"/>
                  <w:rFonts w:ascii="Arial" w:eastAsia="Times New Roman" w:hAnsi="Arial" w:cs="Arial"/>
                  <w:sz w:val="20"/>
                  <w:szCs w:val="20"/>
                </w:rPr>
                <w:t>Certificate of Amendment, dated September 25, 20</w:t>
              </w:r>
              <w:r>
                <w:rPr>
                  <w:rStyle w:val="a3"/>
                  <w:rFonts w:ascii="Arial" w:eastAsia="Times New Roman" w:hAnsi="Arial" w:cs="Arial"/>
                  <w:sz w:val="20"/>
                  <w:szCs w:val="20"/>
                </w:rPr>
                <w:t>13 (incorporated by reference to Exhibit 3.25 to Enbridge’s Registration Statement on Form F-4 filed September 23, 2017)</w:t>
              </w:r>
            </w:hyperlink>
          </w:p>
        </w:tc>
      </w:tr>
      <w:tr w:rsidR="00000000">
        <w:trPr>
          <w:divId w:val="1209145869"/>
          <w:jc w:val="center"/>
        </w:trPr>
        <w:tc>
          <w:tcPr>
            <w:tcW w:w="0" w:type="auto"/>
            <w:gridSpan w:val="3"/>
            <w:tcBorders>
              <w:top w:val="single" w:sz="8" w:space="0" w:color="000000"/>
              <w:left w:val="single" w:sz="8" w:space="0" w:color="000000"/>
            </w:tcBorders>
            <w:tcMar>
              <w:top w:w="30" w:type="dxa"/>
              <w:left w:w="20" w:type="dxa"/>
              <w:bottom w:w="30" w:type="dxa"/>
              <w:right w:w="20" w:type="dxa"/>
            </w:tcMar>
            <w:hideMark/>
          </w:tcPr>
          <w:p w:rsidR="00000000" w:rsidRDefault="001F1FC8">
            <w:pPr>
              <w:jc w:val="right"/>
              <w:rPr>
                <w:rFonts w:eastAsia="Times New Roman"/>
              </w:rPr>
            </w:pPr>
            <w:hyperlink r:id="rId38" w:history="1">
              <w:r>
                <w:rPr>
                  <w:rStyle w:val="a3"/>
                  <w:rFonts w:ascii="Arial" w:eastAsia="Times New Roman" w:hAnsi="Arial" w:cs="Arial"/>
                  <w:sz w:val="20"/>
                  <w:szCs w:val="20"/>
                </w:rPr>
                <w:t>3.26</w:t>
              </w:r>
            </w:hyperlink>
          </w:p>
        </w:tc>
        <w:tc>
          <w:tcPr>
            <w:tcW w:w="0" w:type="auto"/>
            <w:gridSpan w:val="3"/>
            <w:tcBorders>
              <w:top w:val="single" w:sz="8" w:space="0" w:color="000000"/>
              <w:left w:val="single" w:sz="8" w:space="0" w:color="000000"/>
            </w:tcBorders>
            <w:tcMar>
              <w:top w:w="0" w:type="dxa"/>
              <w:left w:w="20" w:type="dxa"/>
              <w:bottom w:w="0" w:type="dxa"/>
              <w:right w:w="20" w:type="dxa"/>
            </w:tcMar>
            <w:vAlign w:val="center"/>
            <w:hideMark/>
          </w:tcPr>
          <w:p w:rsidR="00000000" w:rsidRDefault="001F1FC8">
            <w:pPr>
              <w:jc w:val="right"/>
              <w:rPr>
                <w:rFonts w:eastAsia="Times New Roman"/>
              </w:rPr>
            </w:pPr>
          </w:p>
        </w:tc>
        <w:tc>
          <w:tcPr>
            <w:tcW w:w="0" w:type="auto"/>
            <w:gridSpan w:val="3"/>
            <w:tcBorders>
              <w:top w:val="single" w:sz="8" w:space="0" w:color="000000"/>
              <w:left w:val="single" w:sz="8" w:space="0" w:color="000000"/>
              <w:right w:val="single" w:sz="8" w:space="0" w:color="000000"/>
            </w:tcBorders>
            <w:tcMar>
              <w:top w:w="30" w:type="dxa"/>
              <w:left w:w="20" w:type="dxa"/>
              <w:bottom w:w="30" w:type="dxa"/>
              <w:right w:w="20" w:type="dxa"/>
            </w:tcMar>
            <w:hideMark/>
          </w:tcPr>
          <w:p w:rsidR="00000000" w:rsidRDefault="001F1FC8">
            <w:pPr>
              <w:divId w:val="347371160"/>
              <w:rPr>
                <w:rFonts w:eastAsia="Times New Roman"/>
              </w:rPr>
            </w:pPr>
            <w:hyperlink r:id="rId39" w:history="1">
              <w:r>
                <w:rPr>
                  <w:rStyle w:val="a3"/>
                  <w:rFonts w:ascii="Arial" w:eastAsia="Times New Roman" w:hAnsi="Arial" w:cs="Arial"/>
                  <w:sz w:val="20"/>
                  <w:szCs w:val="20"/>
                </w:rPr>
                <w:t>Certificate of Amendment, dated December 10, 2013 (incorporated by reference to Exhibit 3.26 to Enbridge’s Registration Statement on Form F-4 filed September 23, 2017)</w:t>
              </w:r>
            </w:hyperlink>
          </w:p>
        </w:tc>
      </w:tr>
      <w:tr w:rsidR="00000000">
        <w:trPr>
          <w:divId w:val="1209145869"/>
          <w:jc w:val="center"/>
        </w:trPr>
        <w:tc>
          <w:tcPr>
            <w:tcW w:w="0" w:type="auto"/>
            <w:gridSpan w:val="3"/>
            <w:tcBorders>
              <w:top w:val="single" w:sz="8" w:space="0" w:color="000000"/>
              <w:left w:val="single" w:sz="8" w:space="0" w:color="000000"/>
            </w:tcBorders>
            <w:tcMar>
              <w:top w:w="30" w:type="dxa"/>
              <w:left w:w="20" w:type="dxa"/>
              <w:bottom w:w="30" w:type="dxa"/>
              <w:right w:w="20" w:type="dxa"/>
            </w:tcMar>
            <w:hideMark/>
          </w:tcPr>
          <w:p w:rsidR="00000000" w:rsidRDefault="001F1FC8">
            <w:pPr>
              <w:jc w:val="right"/>
              <w:rPr>
                <w:rFonts w:eastAsia="Times New Roman"/>
              </w:rPr>
            </w:pPr>
            <w:hyperlink r:id="rId40" w:history="1">
              <w:r>
                <w:rPr>
                  <w:rStyle w:val="a3"/>
                  <w:rFonts w:ascii="Arial" w:eastAsia="Times New Roman" w:hAnsi="Arial" w:cs="Arial"/>
                  <w:sz w:val="20"/>
                  <w:szCs w:val="20"/>
                </w:rPr>
                <w:t>3.27</w:t>
              </w:r>
            </w:hyperlink>
          </w:p>
        </w:tc>
        <w:tc>
          <w:tcPr>
            <w:tcW w:w="0" w:type="auto"/>
            <w:gridSpan w:val="3"/>
            <w:tcBorders>
              <w:top w:val="single" w:sz="8" w:space="0" w:color="000000"/>
              <w:left w:val="single" w:sz="8" w:space="0" w:color="000000"/>
            </w:tcBorders>
            <w:tcMar>
              <w:top w:w="0" w:type="dxa"/>
              <w:left w:w="20" w:type="dxa"/>
              <w:bottom w:w="0" w:type="dxa"/>
              <w:right w:w="20" w:type="dxa"/>
            </w:tcMar>
            <w:vAlign w:val="center"/>
            <w:hideMark/>
          </w:tcPr>
          <w:p w:rsidR="00000000" w:rsidRDefault="001F1FC8">
            <w:pPr>
              <w:jc w:val="right"/>
              <w:rPr>
                <w:rFonts w:eastAsia="Times New Roman"/>
              </w:rPr>
            </w:pPr>
          </w:p>
        </w:tc>
        <w:tc>
          <w:tcPr>
            <w:tcW w:w="0" w:type="auto"/>
            <w:gridSpan w:val="3"/>
            <w:tcBorders>
              <w:top w:val="single" w:sz="8" w:space="0" w:color="000000"/>
              <w:left w:val="single" w:sz="8" w:space="0" w:color="000000"/>
              <w:right w:val="single" w:sz="8" w:space="0" w:color="000000"/>
            </w:tcBorders>
            <w:tcMar>
              <w:top w:w="30" w:type="dxa"/>
              <w:left w:w="20" w:type="dxa"/>
              <w:bottom w:w="30" w:type="dxa"/>
              <w:right w:w="20" w:type="dxa"/>
            </w:tcMar>
            <w:hideMark/>
          </w:tcPr>
          <w:p w:rsidR="00000000" w:rsidRDefault="001F1FC8">
            <w:pPr>
              <w:divId w:val="1521040377"/>
              <w:rPr>
                <w:rFonts w:eastAsia="Times New Roman"/>
              </w:rPr>
            </w:pPr>
            <w:hyperlink r:id="rId41" w:history="1">
              <w:r>
                <w:rPr>
                  <w:rStyle w:val="a3"/>
                  <w:rFonts w:ascii="Arial" w:eastAsia="Times New Roman" w:hAnsi="Arial" w:cs="Arial"/>
                  <w:sz w:val="20"/>
                  <w:szCs w:val="20"/>
                </w:rPr>
                <w:t>Certificate of Amendment, dated March 10, 2014 (incorporated by reference to Exhibit 3.27 to Enbridge’s Registration Statement on Form F-4 filed September 23</w:t>
              </w:r>
              <w:r>
                <w:rPr>
                  <w:rStyle w:val="a3"/>
                  <w:rFonts w:ascii="Arial" w:eastAsia="Times New Roman" w:hAnsi="Arial" w:cs="Arial"/>
                  <w:sz w:val="20"/>
                  <w:szCs w:val="20"/>
                </w:rPr>
                <w:t>, 2017)</w:t>
              </w:r>
            </w:hyperlink>
          </w:p>
        </w:tc>
      </w:tr>
      <w:tr w:rsidR="00000000">
        <w:trPr>
          <w:divId w:val="1209145869"/>
          <w:jc w:val="center"/>
        </w:trPr>
        <w:tc>
          <w:tcPr>
            <w:tcW w:w="0" w:type="auto"/>
            <w:gridSpan w:val="3"/>
            <w:tcBorders>
              <w:top w:val="single" w:sz="8" w:space="0" w:color="000000"/>
              <w:left w:val="single" w:sz="8" w:space="0" w:color="000000"/>
            </w:tcBorders>
            <w:tcMar>
              <w:top w:w="30" w:type="dxa"/>
              <w:left w:w="20" w:type="dxa"/>
              <w:bottom w:w="30" w:type="dxa"/>
              <w:right w:w="20" w:type="dxa"/>
            </w:tcMar>
            <w:hideMark/>
          </w:tcPr>
          <w:p w:rsidR="00000000" w:rsidRDefault="001F1FC8">
            <w:pPr>
              <w:jc w:val="right"/>
              <w:rPr>
                <w:rFonts w:eastAsia="Times New Roman"/>
              </w:rPr>
            </w:pPr>
            <w:hyperlink r:id="rId42" w:history="1">
              <w:r>
                <w:rPr>
                  <w:rStyle w:val="a3"/>
                  <w:rFonts w:ascii="Arial" w:eastAsia="Times New Roman" w:hAnsi="Arial" w:cs="Arial"/>
                  <w:sz w:val="20"/>
                  <w:szCs w:val="20"/>
                </w:rPr>
                <w:t>3.28</w:t>
              </w:r>
            </w:hyperlink>
          </w:p>
        </w:tc>
        <w:tc>
          <w:tcPr>
            <w:tcW w:w="0" w:type="auto"/>
            <w:gridSpan w:val="3"/>
            <w:tcBorders>
              <w:top w:val="single" w:sz="8" w:space="0" w:color="000000"/>
              <w:left w:val="single" w:sz="8" w:space="0" w:color="000000"/>
            </w:tcBorders>
            <w:tcMar>
              <w:top w:w="0" w:type="dxa"/>
              <w:left w:w="20" w:type="dxa"/>
              <w:bottom w:w="0" w:type="dxa"/>
              <w:right w:w="20" w:type="dxa"/>
            </w:tcMar>
            <w:vAlign w:val="center"/>
            <w:hideMark/>
          </w:tcPr>
          <w:p w:rsidR="00000000" w:rsidRDefault="001F1FC8">
            <w:pPr>
              <w:jc w:val="right"/>
              <w:rPr>
                <w:rFonts w:eastAsia="Times New Roman"/>
              </w:rPr>
            </w:pPr>
          </w:p>
        </w:tc>
        <w:tc>
          <w:tcPr>
            <w:tcW w:w="0" w:type="auto"/>
            <w:gridSpan w:val="3"/>
            <w:tcBorders>
              <w:top w:val="single" w:sz="8" w:space="0" w:color="000000"/>
              <w:left w:val="single" w:sz="8" w:space="0" w:color="000000"/>
              <w:right w:val="single" w:sz="8" w:space="0" w:color="000000"/>
            </w:tcBorders>
            <w:tcMar>
              <w:top w:w="30" w:type="dxa"/>
              <w:left w:w="20" w:type="dxa"/>
              <w:bottom w:w="30" w:type="dxa"/>
              <w:right w:w="20" w:type="dxa"/>
            </w:tcMar>
            <w:hideMark/>
          </w:tcPr>
          <w:p w:rsidR="00000000" w:rsidRDefault="001F1FC8">
            <w:pPr>
              <w:divId w:val="1791901842"/>
              <w:rPr>
                <w:rFonts w:eastAsia="Times New Roman"/>
              </w:rPr>
            </w:pPr>
            <w:hyperlink r:id="rId43" w:history="1">
              <w:r>
                <w:rPr>
                  <w:rStyle w:val="a3"/>
                  <w:rFonts w:ascii="Arial" w:eastAsia="Times New Roman" w:hAnsi="Arial" w:cs="Arial"/>
                  <w:sz w:val="20"/>
                  <w:szCs w:val="20"/>
                </w:rPr>
                <w:t xml:space="preserve">Certificate of Amendment, dated May 20, 2014 (incorporated by reference to Exhibit 3.28 to Enbridge’s Registration Statement on Form F-4 filed September 23, </w:t>
              </w:r>
              <w:r>
                <w:rPr>
                  <w:rStyle w:val="a3"/>
                  <w:rFonts w:ascii="Arial" w:eastAsia="Times New Roman" w:hAnsi="Arial" w:cs="Arial"/>
                  <w:sz w:val="20"/>
                  <w:szCs w:val="20"/>
                </w:rPr>
                <w:t>2017)</w:t>
              </w:r>
            </w:hyperlink>
          </w:p>
        </w:tc>
      </w:tr>
      <w:tr w:rsidR="00000000">
        <w:trPr>
          <w:divId w:val="1209145869"/>
          <w:jc w:val="center"/>
        </w:trPr>
        <w:tc>
          <w:tcPr>
            <w:tcW w:w="0" w:type="auto"/>
            <w:gridSpan w:val="3"/>
            <w:tcBorders>
              <w:top w:val="single" w:sz="8" w:space="0" w:color="000000"/>
              <w:left w:val="single" w:sz="8" w:space="0" w:color="000000"/>
            </w:tcBorders>
            <w:tcMar>
              <w:top w:w="30" w:type="dxa"/>
              <w:left w:w="20" w:type="dxa"/>
              <w:bottom w:w="30" w:type="dxa"/>
              <w:right w:w="20" w:type="dxa"/>
            </w:tcMar>
            <w:hideMark/>
          </w:tcPr>
          <w:p w:rsidR="00000000" w:rsidRDefault="001F1FC8">
            <w:pPr>
              <w:jc w:val="right"/>
              <w:rPr>
                <w:rFonts w:eastAsia="Times New Roman"/>
              </w:rPr>
            </w:pPr>
            <w:hyperlink r:id="rId44" w:history="1">
              <w:r>
                <w:rPr>
                  <w:rStyle w:val="a3"/>
                  <w:rFonts w:ascii="Arial" w:eastAsia="Times New Roman" w:hAnsi="Arial" w:cs="Arial"/>
                  <w:sz w:val="20"/>
                  <w:szCs w:val="20"/>
                </w:rPr>
                <w:t>3.29</w:t>
              </w:r>
            </w:hyperlink>
          </w:p>
        </w:tc>
        <w:tc>
          <w:tcPr>
            <w:tcW w:w="0" w:type="auto"/>
            <w:gridSpan w:val="3"/>
            <w:tcBorders>
              <w:top w:val="single" w:sz="8" w:space="0" w:color="000000"/>
              <w:left w:val="single" w:sz="8" w:space="0" w:color="000000"/>
            </w:tcBorders>
            <w:tcMar>
              <w:top w:w="0" w:type="dxa"/>
              <w:left w:w="20" w:type="dxa"/>
              <w:bottom w:w="0" w:type="dxa"/>
              <w:right w:w="20" w:type="dxa"/>
            </w:tcMar>
            <w:vAlign w:val="center"/>
            <w:hideMark/>
          </w:tcPr>
          <w:p w:rsidR="00000000" w:rsidRDefault="001F1FC8">
            <w:pPr>
              <w:jc w:val="right"/>
              <w:rPr>
                <w:rFonts w:eastAsia="Times New Roman"/>
              </w:rPr>
            </w:pPr>
          </w:p>
        </w:tc>
        <w:tc>
          <w:tcPr>
            <w:tcW w:w="0" w:type="auto"/>
            <w:gridSpan w:val="3"/>
            <w:tcBorders>
              <w:top w:val="single" w:sz="8" w:space="0" w:color="000000"/>
              <w:left w:val="single" w:sz="8" w:space="0" w:color="000000"/>
              <w:right w:val="single" w:sz="8" w:space="0" w:color="000000"/>
            </w:tcBorders>
            <w:tcMar>
              <w:top w:w="30" w:type="dxa"/>
              <w:left w:w="20" w:type="dxa"/>
              <w:bottom w:w="30" w:type="dxa"/>
              <w:right w:w="20" w:type="dxa"/>
            </w:tcMar>
            <w:hideMark/>
          </w:tcPr>
          <w:p w:rsidR="00000000" w:rsidRDefault="001F1FC8">
            <w:pPr>
              <w:divId w:val="1198154385"/>
              <w:rPr>
                <w:rFonts w:eastAsia="Times New Roman"/>
              </w:rPr>
            </w:pPr>
            <w:hyperlink r:id="rId45" w:history="1">
              <w:r>
                <w:rPr>
                  <w:rStyle w:val="a3"/>
                  <w:rFonts w:ascii="Arial" w:eastAsia="Times New Roman" w:hAnsi="Arial" w:cs="Arial"/>
                  <w:sz w:val="20"/>
                  <w:szCs w:val="20"/>
                </w:rPr>
                <w:t>Certificate of Amendment, dated July 15</w:t>
              </w:r>
              <w:r>
                <w:rPr>
                  <w:rStyle w:val="a3"/>
                  <w:rFonts w:ascii="Arial" w:eastAsia="Times New Roman" w:hAnsi="Arial" w:cs="Arial"/>
                  <w:sz w:val="20"/>
                  <w:szCs w:val="20"/>
                </w:rPr>
                <w:t>, 2014 (incorporated by reference to Exhibit 3.29 to Enbridge’s Registration Statement on Form F-4 filed September 23, 2017)</w:t>
              </w:r>
            </w:hyperlink>
          </w:p>
        </w:tc>
      </w:tr>
      <w:tr w:rsidR="00000000">
        <w:trPr>
          <w:divId w:val="1209145869"/>
          <w:jc w:val="center"/>
        </w:trPr>
        <w:tc>
          <w:tcPr>
            <w:tcW w:w="0" w:type="auto"/>
            <w:gridSpan w:val="3"/>
            <w:tcBorders>
              <w:top w:val="single" w:sz="8" w:space="0" w:color="000000"/>
              <w:left w:val="single" w:sz="8" w:space="0" w:color="000000"/>
            </w:tcBorders>
            <w:tcMar>
              <w:top w:w="30" w:type="dxa"/>
              <w:left w:w="20" w:type="dxa"/>
              <w:bottom w:w="30" w:type="dxa"/>
              <w:right w:w="20" w:type="dxa"/>
            </w:tcMar>
            <w:hideMark/>
          </w:tcPr>
          <w:p w:rsidR="00000000" w:rsidRDefault="001F1FC8">
            <w:pPr>
              <w:jc w:val="right"/>
              <w:rPr>
                <w:rFonts w:eastAsia="Times New Roman"/>
              </w:rPr>
            </w:pPr>
            <w:hyperlink r:id="rId46" w:history="1">
              <w:r>
                <w:rPr>
                  <w:rStyle w:val="a3"/>
                  <w:rFonts w:ascii="Arial" w:eastAsia="Times New Roman" w:hAnsi="Arial" w:cs="Arial"/>
                  <w:sz w:val="20"/>
                  <w:szCs w:val="20"/>
                </w:rPr>
                <w:t>3.30</w:t>
              </w:r>
            </w:hyperlink>
          </w:p>
        </w:tc>
        <w:tc>
          <w:tcPr>
            <w:tcW w:w="0" w:type="auto"/>
            <w:gridSpan w:val="3"/>
            <w:tcBorders>
              <w:top w:val="single" w:sz="8" w:space="0" w:color="000000"/>
              <w:left w:val="single" w:sz="8" w:space="0" w:color="000000"/>
            </w:tcBorders>
            <w:tcMar>
              <w:top w:w="0" w:type="dxa"/>
              <w:left w:w="20" w:type="dxa"/>
              <w:bottom w:w="0" w:type="dxa"/>
              <w:right w:w="20" w:type="dxa"/>
            </w:tcMar>
            <w:vAlign w:val="center"/>
            <w:hideMark/>
          </w:tcPr>
          <w:p w:rsidR="00000000" w:rsidRDefault="001F1FC8">
            <w:pPr>
              <w:jc w:val="right"/>
              <w:rPr>
                <w:rFonts w:eastAsia="Times New Roman"/>
              </w:rPr>
            </w:pPr>
          </w:p>
        </w:tc>
        <w:tc>
          <w:tcPr>
            <w:tcW w:w="0" w:type="auto"/>
            <w:gridSpan w:val="3"/>
            <w:tcBorders>
              <w:top w:val="single" w:sz="8" w:space="0" w:color="000000"/>
              <w:left w:val="single" w:sz="8" w:space="0" w:color="000000"/>
              <w:right w:val="single" w:sz="8" w:space="0" w:color="000000"/>
            </w:tcBorders>
            <w:tcMar>
              <w:top w:w="30" w:type="dxa"/>
              <w:left w:w="20" w:type="dxa"/>
              <w:bottom w:w="30" w:type="dxa"/>
              <w:right w:w="20" w:type="dxa"/>
            </w:tcMar>
            <w:hideMark/>
          </w:tcPr>
          <w:p w:rsidR="00000000" w:rsidRDefault="001F1FC8">
            <w:pPr>
              <w:divId w:val="1895197633"/>
              <w:rPr>
                <w:rFonts w:eastAsia="Times New Roman"/>
              </w:rPr>
            </w:pPr>
            <w:hyperlink r:id="rId47" w:history="1">
              <w:r>
                <w:rPr>
                  <w:rStyle w:val="a3"/>
                  <w:rFonts w:ascii="Arial" w:eastAsia="Times New Roman" w:hAnsi="Arial" w:cs="Arial"/>
                  <w:sz w:val="20"/>
                  <w:szCs w:val="20"/>
                </w:rPr>
                <w:t>Certificate of Amendment, dated September 19, 20</w:t>
              </w:r>
              <w:r>
                <w:rPr>
                  <w:rStyle w:val="a3"/>
                  <w:rFonts w:ascii="Arial" w:eastAsia="Times New Roman" w:hAnsi="Arial" w:cs="Arial"/>
                  <w:sz w:val="20"/>
                  <w:szCs w:val="20"/>
                </w:rPr>
                <w:t>14 (incorporated by reference to Exhibit 3.30 to Enbridge’s Registration Statement on Form F-4 filed September 23, 2017)</w:t>
              </w:r>
            </w:hyperlink>
          </w:p>
        </w:tc>
      </w:tr>
      <w:tr w:rsidR="00000000">
        <w:trPr>
          <w:divId w:val="1209145869"/>
          <w:jc w:val="center"/>
        </w:trPr>
        <w:tc>
          <w:tcPr>
            <w:tcW w:w="0" w:type="auto"/>
            <w:gridSpan w:val="3"/>
            <w:tcBorders>
              <w:top w:val="single" w:sz="8" w:space="0" w:color="000000"/>
              <w:left w:val="single" w:sz="8" w:space="0" w:color="000000"/>
            </w:tcBorders>
            <w:tcMar>
              <w:top w:w="30" w:type="dxa"/>
              <w:left w:w="20" w:type="dxa"/>
              <w:bottom w:w="30" w:type="dxa"/>
              <w:right w:w="20" w:type="dxa"/>
            </w:tcMar>
            <w:hideMark/>
          </w:tcPr>
          <w:p w:rsidR="00000000" w:rsidRDefault="001F1FC8">
            <w:pPr>
              <w:jc w:val="right"/>
              <w:rPr>
                <w:rFonts w:eastAsia="Times New Roman"/>
              </w:rPr>
            </w:pPr>
            <w:hyperlink r:id="rId48" w:history="1">
              <w:r>
                <w:rPr>
                  <w:rStyle w:val="a3"/>
                  <w:rFonts w:ascii="Arial" w:eastAsia="Times New Roman" w:hAnsi="Arial" w:cs="Arial"/>
                  <w:sz w:val="20"/>
                  <w:szCs w:val="20"/>
                </w:rPr>
                <w:t>3.31</w:t>
              </w:r>
            </w:hyperlink>
          </w:p>
        </w:tc>
        <w:tc>
          <w:tcPr>
            <w:tcW w:w="0" w:type="auto"/>
            <w:gridSpan w:val="3"/>
            <w:tcBorders>
              <w:top w:val="single" w:sz="8" w:space="0" w:color="000000"/>
              <w:left w:val="single" w:sz="8" w:space="0" w:color="000000"/>
            </w:tcBorders>
            <w:tcMar>
              <w:top w:w="0" w:type="dxa"/>
              <w:left w:w="20" w:type="dxa"/>
              <w:bottom w:w="0" w:type="dxa"/>
              <w:right w:w="20" w:type="dxa"/>
            </w:tcMar>
            <w:vAlign w:val="center"/>
            <w:hideMark/>
          </w:tcPr>
          <w:p w:rsidR="00000000" w:rsidRDefault="001F1FC8">
            <w:pPr>
              <w:jc w:val="right"/>
              <w:rPr>
                <w:rFonts w:eastAsia="Times New Roman"/>
              </w:rPr>
            </w:pPr>
          </w:p>
        </w:tc>
        <w:tc>
          <w:tcPr>
            <w:tcW w:w="0" w:type="auto"/>
            <w:gridSpan w:val="3"/>
            <w:tcBorders>
              <w:top w:val="single" w:sz="8" w:space="0" w:color="000000"/>
              <w:left w:val="single" w:sz="8" w:space="0" w:color="000000"/>
              <w:right w:val="single" w:sz="8" w:space="0" w:color="000000"/>
            </w:tcBorders>
            <w:tcMar>
              <w:top w:w="30" w:type="dxa"/>
              <w:left w:w="20" w:type="dxa"/>
              <w:bottom w:w="30" w:type="dxa"/>
              <w:right w:w="20" w:type="dxa"/>
            </w:tcMar>
            <w:hideMark/>
          </w:tcPr>
          <w:p w:rsidR="00000000" w:rsidRDefault="001F1FC8">
            <w:pPr>
              <w:divId w:val="1822651348"/>
              <w:rPr>
                <w:rFonts w:eastAsia="Times New Roman"/>
              </w:rPr>
            </w:pPr>
            <w:hyperlink r:id="rId49" w:history="1">
              <w:r>
                <w:rPr>
                  <w:rStyle w:val="a3"/>
                  <w:rFonts w:ascii="Arial" w:eastAsia="Times New Roman" w:hAnsi="Arial" w:cs="Arial"/>
                  <w:sz w:val="20"/>
                  <w:szCs w:val="20"/>
                </w:rPr>
                <w:t>Certificate of Amendment, dated November 22, 2016 (incorporated by reference to Enbridge’s Report of Foreign Issuer on Form 6-K filed December 1, 2016)</w:t>
              </w:r>
            </w:hyperlink>
          </w:p>
        </w:tc>
      </w:tr>
      <w:tr w:rsidR="00000000">
        <w:trPr>
          <w:divId w:val="1209145869"/>
          <w:jc w:val="center"/>
        </w:trPr>
        <w:tc>
          <w:tcPr>
            <w:tcW w:w="0" w:type="auto"/>
            <w:gridSpan w:val="3"/>
            <w:tcBorders>
              <w:top w:val="single" w:sz="8" w:space="0" w:color="000000"/>
              <w:left w:val="single" w:sz="8" w:space="0" w:color="000000"/>
            </w:tcBorders>
            <w:tcMar>
              <w:top w:w="30" w:type="dxa"/>
              <w:left w:w="20" w:type="dxa"/>
              <w:bottom w:w="30" w:type="dxa"/>
              <w:right w:w="20" w:type="dxa"/>
            </w:tcMar>
            <w:hideMark/>
          </w:tcPr>
          <w:p w:rsidR="00000000" w:rsidRDefault="001F1FC8">
            <w:pPr>
              <w:jc w:val="right"/>
              <w:rPr>
                <w:rFonts w:eastAsia="Times New Roman"/>
              </w:rPr>
            </w:pPr>
            <w:hyperlink r:id="rId50" w:history="1">
              <w:r>
                <w:rPr>
                  <w:rStyle w:val="a3"/>
                  <w:rFonts w:ascii="Arial" w:eastAsia="Times New Roman" w:hAnsi="Arial" w:cs="Arial"/>
                  <w:sz w:val="20"/>
                  <w:szCs w:val="20"/>
                </w:rPr>
                <w:t>3.32</w:t>
              </w:r>
            </w:hyperlink>
          </w:p>
        </w:tc>
        <w:tc>
          <w:tcPr>
            <w:tcW w:w="0" w:type="auto"/>
            <w:gridSpan w:val="3"/>
            <w:tcBorders>
              <w:top w:val="single" w:sz="8" w:space="0" w:color="000000"/>
              <w:left w:val="single" w:sz="8" w:space="0" w:color="000000"/>
            </w:tcBorders>
            <w:tcMar>
              <w:top w:w="0" w:type="dxa"/>
              <w:left w:w="20" w:type="dxa"/>
              <w:bottom w:w="0" w:type="dxa"/>
              <w:right w:w="20" w:type="dxa"/>
            </w:tcMar>
            <w:vAlign w:val="center"/>
            <w:hideMark/>
          </w:tcPr>
          <w:p w:rsidR="00000000" w:rsidRDefault="001F1FC8">
            <w:pPr>
              <w:jc w:val="right"/>
              <w:rPr>
                <w:rFonts w:eastAsia="Times New Roman"/>
              </w:rPr>
            </w:pPr>
          </w:p>
        </w:tc>
        <w:tc>
          <w:tcPr>
            <w:tcW w:w="0" w:type="auto"/>
            <w:gridSpan w:val="3"/>
            <w:tcBorders>
              <w:top w:val="single" w:sz="8" w:space="0" w:color="000000"/>
              <w:left w:val="single" w:sz="8" w:space="0" w:color="000000"/>
              <w:right w:val="single" w:sz="8" w:space="0" w:color="000000"/>
            </w:tcBorders>
            <w:tcMar>
              <w:top w:w="30" w:type="dxa"/>
              <w:left w:w="20" w:type="dxa"/>
              <w:bottom w:w="30" w:type="dxa"/>
              <w:right w:w="20" w:type="dxa"/>
            </w:tcMar>
            <w:hideMark/>
          </w:tcPr>
          <w:p w:rsidR="00000000" w:rsidRDefault="001F1FC8">
            <w:pPr>
              <w:divId w:val="654800117"/>
              <w:rPr>
                <w:rFonts w:eastAsia="Times New Roman"/>
              </w:rPr>
            </w:pPr>
            <w:hyperlink r:id="rId51" w:history="1">
              <w:r>
                <w:rPr>
                  <w:rStyle w:val="a3"/>
                  <w:rFonts w:ascii="Arial" w:eastAsia="Times New Roman" w:hAnsi="Arial" w:cs="Arial"/>
                  <w:sz w:val="20"/>
                  <w:szCs w:val="20"/>
                </w:rPr>
                <w:t>Certificate of Amendment, dated December 15, 2016 (incorporated by reference to Enbridge’s Report of Foreign Issuer on Form 6-K filed December 16, 2016)</w:t>
              </w:r>
            </w:hyperlink>
          </w:p>
        </w:tc>
      </w:tr>
      <w:tr w:rsidR="00000000">
        <w:trPr>
          <w:divId w:val="1209145869"/>
          <w:jc w:val="center"/>
        </w:trPr>
        <w:tc>
          <w:tcPr>
            <w:tcW w:w="0" w:type="auto"/>
            <w:gridSpan w:val="3"/>
            <w:tcBorders>
              <w:top w:val="single" w:sz="8" w:space="0" w:color="000000"/>
              <w:left w:val="single" w:sz="8" w:space="0" w:color="000000"/>
            </w:tcBorders>
            <w:tcMar>
              <w:top w:w="30" w:type="dxa"/>
              <w:left w:w="20" w:type="dxa"/>
              <w:bottom w:w="30" w:type="dxa"/>
              <w:right w:w="20" w:type="dxa"/>
            </w:tcMar>
            <w:hideMark/>
          </w:tcPr>
          <w:p w:rsidR="00000000" w:rsidRDefault="001F1FC8">
            <w:pPr>
              <w:jc w:val="right"/>
              <w:rPr>
                <w:rFonts w:eastAsia="Times New Roman"/>
              </w:rPr>
            </w:pPr>
            <w:hyperlink r:id="rId52" w:history="1">
              <w:r>
                <w:rPr>
                  <w:rStyle w:val="a3"/>
                  <w:rFonts w:ascii="Arial" w:eastAsia="Times New Roman" w:hAnsi="Arial" w:cs="Arial"/>
                  <w:sz w:val="20"/>
                  <w:szCs w:val="20"/>
                </w:rPr>
                <w:t>3.33</w:t>
              </w:r>
            </w:hyperlink>
          </w:p>
        </w:tc>
        <w:tc>
          <w:tcPr>
            <w:tcW w:w="0" w:type="auto"/>
            <w:gridSpan w:val="3"/>
            <w:tcBorders>
              <w:top w:val="single" w:sz="8" w:space="0" w:color="000000"/>
              <w:left w:val="single" w:sz="8" w:space="0" w:color="000000"/>
            </w:tcBorders>
            <w:tcMar>
              <w:top w:w="0" w:type="dxa"/>
              <w:left w:w="20" w:type="dxa"/>
              <w:bottom w:w="0" w:type="dxa"/>
              <w:right w:w="20" w:type="dxa"/>
            </w:tcMar>
            <w:vAlign w:val="center"/>
            <w:hideMark/>
          </w:tcPr>
          <w:p w:rsidR="00000000" w:rsidRDefault="001F1FC8">
            <w:pPr>
              <w:jc w:val="right"/>
              <w:rPr>
                <w:rFonts w:eastAsia="Times New Roman"/>
              </w:rPr>
            </w:pPr>
          </w:p>
        </w:tc>
        <w:tc>
          <w:tcPr>
            <w:tcW w:w="0" w:type="auto"/>
            <w:gridSpan w:val="3"/>
            <w:tcBorders>
              <w:top w:val="single" w:sz="8" w:space="0" w:color="000000"/>
              <w:left w:val="single" w:sz="8" w:space="0" w:color="000000"/>
              <w:right w:val="single" w:sz="8" w:space="0" w:color="000000"/>
            </w:tcBorders>
            <w:tcMar>
              <w:top w:w="30" w:type="dxa"/>
              <w:left w:w="20" w:type="dxa"/>
              <w:bottom w:w="30" w:type="dxa"/>
              <w:right w:w="20" w:type="dxa"/>
            </w:tcMar>
            <w:hideMark/>
          </w:tcPr>
          <w:p w:rsidR="00000000" w:rsidRDefault="001F1FC8">
            <w:pPr>
              <w:divId w:val="365372812"/>
              <w:rPr>
                <w:rFonts w:eastAsia="Times New Roman"/>
              </w:rPr>
            </w:pPr>
            <w:hyperlink r:id="rId53" w:history="1">
              <w:r>
                <w:rPr>
                  <w:rStyle w:val="a3"/>
                  <w:rFonts w:ascii="Arial" w:eastAsia="Times New Roman" w:hAnsi="Arial" w:cs="Arial"/>
                  <w:sz w:val="20"/>
                  <w:szCs w:val="20"/>
                </w:rPr>
                <w:t>Certificate of Amendment, dated July 13, 2017 (incorporated by reference to Enbridge’s Report of Foreign Issuer on Form 6-K filed July 13, 2017)</w:t>
              </w:r>
            </w:hyperlink>
          </w:p>
        </w:tc>
      </w:tr>
      <w:tr w:rsidR="00000000">
        <w:trPr>
          <w:divId w:val="1209145869"/>
          <w:jc w:val="center"/>
        </w:trPr>
        <w:tc>
          <w:tcPr>
            <w:tcW w:w="0" w:type="auto"/>
            <w:gridSpan w:val="3"/>
            <w:tcBorders>
              <w:top w:val="single" w:sz="8" w:space="0" w:color="000000"/>
              <w:left w:val="single" w:sz="8" w:space="0" w:color="000000"/>
            </w:tcBorders>
            <w:tcMar>
              <w:top w:w="30" w:type="dxa"/>
              <w:left w:w="20" w:type="dxa"/>
              <w:bottom w:w="30" w:type="dxa"/>
              <w:right w:w="20" w:type="dxa"/>
            </w:tcMar>
            <w:hideMark/>
          </w:tcPr>
          <w:p w:rsidR="00000000" w:rsidRDefault="001F1FC8">
            <w:pPr>
              <w:jc w:val="right"/>
              <w:rPr>
                <w:rFonts w:eastAsia="Times New Roman"/>
              </w:rPr>
            </w:pPr>
            <w:hyperlink r:id="rId54" w:history="1">
              <w:r>
                <w:rPr>
                  <w:rStyle w:val="a3"/>
                  <w:rFonts w:ascii="Arial" w:eastAsia="Times New Roman" w:hAnsi="Arial" w:cs="Arial"/>
                  <w:sz w:val="20"/>
                  <w:szCs w:val="20"/>
                </w:rPr>
                <w:t>3.34</w:t>
              </w:r>
            </w:hyperlink>
          </w:p>
        </w:tc>
        <w:tc>
          <w:tcPr>
            <w:tcW w:w="0" w:type="auto"/>
            <w:gridSpan w:val="3"/>
            <w:tcBorders>
              <w:top w:val="single" w:sz="8" w:space="0" w:color="000000"/>
              <w:left w:val="single" w:sz="8" w:space="0" w:color="000000"/>
            </w:tcBorders>
            <w:tcMar>
              <w:top w:w="0" w:type="dxa"/>
              <w:left w:w="20" w:type="dxa"/>
              <w:bottom w:w="0" w:type="dxa"/>
              <w:right w:w="20" w:type="dxa"/>
            </w:tcMar>
            <w:vAlign w:val="center"/>
            <w:hideMark/>
          </w:tcPr>
          <w:p w:rsidR="00000000" w:rsidRDefault="001F1FC8">
            <w:pPr>
              <w:jc w:val="right"/>
              <w:rPr>
                <w:rFonts w:eastAsia="Times New Roman"/>
              </w:rPr>
            </w:pPr>
          </w:p>
        </w:tc>
        <w:tc>
          <w:tcPr>
            <w:tcW w:w="0" w:type="auto"/>
            <w:gridSpan w:val="3"/>
            <w:tcBorders>
              <w:top w:val="single" w:sz="8" w:space="0" w:color="000000"/>
              <w:left w:val="single" w:sz="8" w:space="0" w:color="000000"/>
              <w:right w:val="single" w:sz="8" w:space="0" w:color="000000"/>
            </w:tcBorders>
            <w:tcMar>
              <w:top w:w="30" w:type="dxa"/>
              <w:left w:w="20" w:type="dxa"/>
              <w:bottom w:w="30" w:type="dxa"/>
              <w:right w:w="20" w:type="dxa"/>
            </w:tcMar>
            <w:hideMark/>
          </w:tcPr>
          <w:p w:rsidR="00000000" w:rsidRDefault="001F1FC8">
            <w:pPr>
              <w:divId w:val="1868567659"/>
              <w:rPr>
                <w:rFonts w:eastAsia="Times New Roman"/>
              </w:rPr>
            </w:pPr>
            <w:hyperlink r:id="rId55" w:history="1">
              <w:r>
                <w:rPr>
                  <w:rStyle w:val="a3"/>
                  <w:rFonts w:ascii="Arial" w:eastAsia="Times New Roman" w:hAnsi="Arial" w:cs="Arial"/>
                  <w:sz w:val="20"/>
                  <w:szCs w:val="20"/>
                </w:rPr>
                <w:t xml:space="preserve">Certificate of Amendment, dated September 25, 2017 (incorporated by reference to Exhibit 3.34 to Enbridge’s Annual Report on Form </w:t>
              </w:r>
              <w:r>
                <w:rPr>
                  <w:rStyle w:val="a3"/>
                  <w:rFonts w:ascii="Arial" w:eastAsia="Times New Roman" w:hAnsi="Arial" w:cs="Arial"/>
                  <w:sz w:val="20"/>
                  <w:szCs w:val="20"/>
                </w:rPr>
                <w:t>10-K filed February 16, 2018)</w:t>
              </w:r>
            </w:hyperlink>
          </w:p>
        </w:tc>
      </w:tr>
      <w:tr w:rsidR="00000000">
        <w:trPr>
          <w:divId w:val="1209145869"/>
          <w:jc w:val="center"/>
        </w:trPr>
        <w:tc>
          <w:tcPr>
            <w:tcW w:w="0" w:type="auto"/>
            <w:gridSpan w:val="3"/>
            <w:tcBorders>
              <w:top w:val="single" w:sz="8" w:space="0" w:color="000000"/>
              <w:left w:val="single" w:sz="8" w:space="0" w:color="000000"/>
            </w:tcBorders>
            <w:tcMar>
              <w:top w:w="30" w:type="dxa"/>
              <w:left w:w="20" w:type="dxa"/>
              <w:bottom w:w="30" w:type="dxa"/>
              <w:right w:w="20" w:type="dxa"/>
            </w:tcMar>
            <w:hideMark/>
          </w:tcPr>
          <w:p w:rsidR="00000000" w:rsidRDefault="001F1FC8">
            <w:pPr>
              <w:jc w:val="right"/>
              <w:rPr>
                <w:rFonts w:eastAsia="Times New Roman"/>
              </w:rPr>
            </w:pPr>
            <w:hyperlink r:id="rId56" w:history="1">
              <w:r>
                <w:rPr>
                  <w:rStyle w:val="a3"/>
                  <w:rFonts w:ascii="Arial" w:eastAsia="Times New Roman" w:hAnsi="Arial" w:cs="Arial"/>
                  <w:sz w:val="20"/>
                  <w:szCs w:val="20"/>
                </w:rPr>
                <w:t>3.35</w:t>
              </w:r>
            </w:hyperlink>
          </w:p>
        </w:tc>
        <w:tc>
          <w:tcPr>
            <w:tcW w:w="0" w:type="auto"/>
            <w:gridSpan w:val="3"/>
            <w:tcBorders>
              <w:top w:val="single" w:sz="8" w:space="0" w:color="000000"/>
              <w:left w:val="single" w:sz="8" w:space="0" w:color="000000"/>
            </w:tcBorders>
            <w:tcMar>
              <w:top w:w="0" w:type="dxa"/>
              <w:left w:w="20" w:type="dxa"/>
              <w:bottom w:w="0" w:type="dxa"/>
              <w:right w:w="20" w:type="dxa"/>
            </w:tcMar>
            <w:vAlign w:val="center"/>
            <w:hideMark/>
          </w:tcPr>
          <w:p w:rsidR="00000000" w:rsidRDefault="001F1FC8">
            <w:pPr>
              <w:jc w:val="right"/>
              <w:rPr>
                <w:rFonts w:eastAsia="Times New Roman"/>
              </w:rPr>
            </w:pPr>
          </w:p>
        </w:tc>
        <w:tc>
          <w:tcPr>
            <w:tcW w:w="0" w:type="auto"/>
            <w:gridSpan w:val="3"/>
            <w:tcBorders>
              <w:top w:val="single" w:sz="8" w:space="0" w:color="000000"/>
              <w:left w:val="single" w:sz="8" w:space="0" w:color="000000"/>
              <w:right w:val="single" w:sz="8" w:space="0" w:color="000000"/>
            </w:tcBorders>
            <w:tcMar>
              <w:top w:w="30" w:type="dxa"/>
              <w:left w:w="20" w:type="dxa"/>
              <w:bottom w:w="30" w:type="dxa"/>
              <w:right w:w="20" w:type="dxa"/>
            </w:tcMar>
            <w:hideMark/>
          </w:tcPr>
          <w:p w:rsidR="00000000" w:rsidRDefault="001F1FC8">
            <w:pPr>
              <w:divId w:val="1629628142"/>
              <w:rPr>
                <w:rFonts w:eastAsia="Times New Roman"/>
              </w:rPr>
            </w:pPr>
            <w:hyperlink r:id="rId57" w:history="1">
              <w:r>
                <w:rPr>
                  <w:rStyle w:val="a3"/>
                  <w:rFonts w:ascii="Arial" w:eastAsia="Times New Roman" w:hAnsi="Arial" w:cs="Arial"/>
                  <w:sz w:val="20"/>
                  <w:szCs w:val="20"/>
                </w:rPr>
                <w:t>Certificate of Amendment, dated December 7, 2017 (incorporated by reference to Exhibit 3.35 to Enbridge’s Annual Report on Form 10-K filed Febru</w:t>
              </w:r>
              <w:r>
                <w:rPr>
                  <w:rStyle w:val="a3"/>
                  <w:rFonts w:ascii="Arial" w:eastAsia="Times New Roman" w:hAnsi="Arial" w:cs="Arial"/>
                  <w:sz w:val="20"/>
                  <w:szCs w:val="20"/>
                </w:rPr>
                <w:t>ary 16, 2018)</w:t>
              </w:r>
            </w:hyperlink>
          </w:p>
        </w:tc>
      </w:tr>
      <w:tr w:rsidR="00000000">
        <w:trPr>
          <w:divId w:val="1209145869"/>
          <w:jc w:val="center"/>
        </w:trPr>
        <w:tc>
          <w:tcPr>
            <w:tcW w:w="0" w:type="auto"/>
            <w:gridSpan w:val="3"/>
            <w:tcBorders>
              <w:top w:val="single" w:sz="8" w:space="0" w:color="000000"/>
              <w:left w:val="single" w:sz="8" w:space="0" w:color="000000"/>
            </w:tcBorders>
            <w:tcMar>
              <w:top w:w="30" w:type="dxa"/>
              <w:left w:w="20" w:type="dxa"/>
              <w:bottom w:w="30" w:type="dxa"/>
              <w:right w:w="20" w:type="dxa"/>
            </w:tcMar>
            <w:hideMark/>
          </w:tcPr>
          <w:p w:rsidR="00000000" w:rsidRDefault="001F1FC8">
            <w:pPr>
              <w:jc w:val="right"/>
              <w:rPr>
                <w:rFonts w:eastAsia="Times New Roman"/>
              </w:rPr>
            </w:pPr>
            <w:hyperlink r:id="rId58" w:anchor="Exhibit3_1_102828" w:history="1">
              <w:r>
                <w:rPr>
                  <w:rStyle w:val="a3"/>
                  <w:rFonts w:ascii="Arial" w:eastAsia="Times New Roman" w:hAnsi="Arial" w:cs="Arial"/>
                  <w:sz w:val="20"/>
                  <w:szCs w:val="20"/>
                </w:rPr>
                <w:t>3.36</w:t>
              </w:r>
            </w:hyperlink>
          </w:p>
        </w:tc>
        <w:tc>
          <w:tcPr>
            <w:tcW w:w="0" w:type="auto"/>
            <w:gridSpan w:val="3"/>
            <w:tcBorders>
              <w:top w:val="single" w:sz="8" w:space="0" w:color="000000"/>
              <w:left w:val="single" w:sz="8" w:space="0" w:color="000000"/>
            </w:tcBorders>
            <w:tcMar>
              <w:top w:w="0" w:type="dxa"/>
              <w:left w:w="20" w:type="dxa"/>
              <w:bottom w:w="0" w:type="dxa"/>
              <w:right w:w="20" w:type="dxa"/>
            </w:tcMar>
            <w:vAlign w:val="center"/>
            <w:hideMark/>
          </w:tcPr>
          <w:p w:rsidR="00000000" w:rsidRDefault="001F1FC8">
            <w:pPr>
              <w:jc w:val="right"/>
              <w:rPr>
                <w:rFonts w:eastAsia="Times New Roman"/>
              </w:rPr>
            </w:pPr>
          </w:p>
        </w:tc>
        <w:tc>
          <w:tcPr>
            <w:tcW w:w="0" w:type="auto"/>
            <w:gridSpan w:val="3"/>
            <w:tcBorders>
              <w:top w:val="single" w:sz="8" w:space="0" w:color="000000"/>
              <w:left w:val="single" w:sz="8" w:space="0" w:color="000000"/>
              <w:right w:val="single" w:sz="8" w:space="0" w:color="000000"/>
            </w:tcBorders>
            <w:tcMar>
              <w:top w:w="30" w:type="dxa"/>
              <w:left w:w="20" w:type="dxa"/>
              <w:bottom w:w="30" w:type="dxa"/>
              <w:right w:w="20" w:type="dxa"/>
            </w:tcMar>
            <w:hideMark/>
          </w:tcPr>
          <w:p w:rsidR="00000000" w:rsidRDefault="001F1FC8">
            <w:pPr>
              <w:divId w:val="127551390"/>
              <w:rPr>
                <w:rFonts w:eastAsia="Times New Roman"/>
              </w:rPr>
            </w:pPr>
            <w:hyperlink r:id="rId59" w:anchor="Exhibit3_1_102828" w:history="1">
              <w:r>
                <w:rPr>
                  <w:rStyle w:val="a3"/>
                  <w:rFonts w:ascii="Arial" w:eastAsia="Times New Roman" w:hAnsi="Arial" w:cs="Arial"/>
                  <w:sz w:val="20"/>
                  <w:szCs w:val="20"/>
                </w:rPr>
                <w:t>Certificate of Amendment, dated February 27, 2018 (incorporated by reference to Exhibit 3.1 to Enbridge’s Current Report on Form 8-K filed March 1, 2018)</w:t>
              </w:r>
            </w:hyperlink>
          </w:p>
        </w:tc>
      </w:tr>
      <w:tr w:rsidR="00000000">
        <w:trPr>
          <w:divId w:val="1209145869"/>
          <w:jc w:val="center"/>
        </w:trPr>
        <w:tc>
          <w:tcPr>
            <w:tcW w:w="0" w:type="auto"/>
            <w:gridSpan w:val="3"/>
            <w:tcBorders>
              <w:top w:val="single" w:sz="8" w:space="0" w:color="000000"/>
              <w:left w:val="single" w:sz="8" w:space="0" w:color="000000"/>
            </w:tcBorders>
            <w:tcMar>
              <w:top w:w="30" w:type="dxa"/>
              <w:left w:w="20" w:type="dxa"/>
              <w:bottom w:w="30" w:type="dxa"/>
              <w:right w:w="20" w:type="dxa"/>
            </w:tcMar>
            <w:hideMark/>
          </w:tcPr>
          <w:p w:rsidR="00000000" w:rsidRDefault="001F1FC8">
            <w:pPr>
              <w:jc w:val="right"/>
              <w:rPr>
                <w:rFonts w:eastAsia="Times New Roman"/>
              </w:rPr>
            </w:pPr>
            <w:hyperlink r:id="rId60" w:anchor="Exhibit3_1_073038" w:history="1">
              <w:r>
                <w:rPr>
                  <w:rStyle w:val="a3"/>
                  <w:rFonts w:ascii="Arial" w:eastAsia="Times New Roman" w:hAnsi="Arial" w:cs="Arial"/>
                  <w:sz w:val="20"/>
                  <w:szCs w:val="20"/>
                </w:rPr>
                <w:t>3.37</w:t>
              </w:r>
            </w:hyperlink>
          </w:p>
        </w:tc>
        <w:tc>
          <w:tcPr>
            <w:tcW w:w="0" w:type="auto"/>
            <w:gridSpan w:val="3"/>
            <w:tcBorders>
              <w:top w:val="single" w:sz="8" w:space="0" w:color="000000"/>
              <w:left w:val="single" w:sz="8" w:space="0" w:color="000000"/>
            </w:tcBorders>
            <w:tcMar>
              <w:top w:w="0" w:type="dxa"/>
              <w:left w:w="20" w:type="dxa"/>
              <w:bottom w:w="0" w:type="dxa"/>
              <w:right w:w="20" w:type="dxa"/>
            </w:tcMar>
            <w:vAlign w:val="center"/>
            <w:hideMark/>
          </w:tcPr>
          <w:p w:rsidR="00000000" w:rsidRDefault="001F1FC8">
            <w:pPr>
              <w:jc w:val="right"/>
              <w:rPr>
                <w:rFonts w:eastAsia="Times New Roman"/>
              </w:rPr>
            </w:pPr>
          </w:p>
        </w:tc>
        <w:tc>
          <w:tcPr>
            <w:tcW w:w="0" w:type="auto"/>
            <w:gridSpan w:val="3"/>
            <w:tcBorders>
              <w:top w:val="single" w:sz="8" w:space="0" w:color="000000"/>
              <w:left w:val="single" w:sz="8" w:space="0" w:color="000000"/>
              <w:right w:val="single" w:sz="8" w:space="0" w:color="000000"/>
            </w:tcBorders>
            <w:tcMar>
              <w:top w:w="30" w:type="dxa"/>
              <w:left w:w="20" w:type="dxa"/>
              <w:bottom w:w="30" w:type="dxa"/>
              <w:right w:w="20" w:type="dxa"/>
            </w:tcMar>
            <w:hideMark/>
          </w:tcPr>
          <w:p w:rsidR="00000000" w:rsidRDefault="001F1FC8">
            <w:pPr>
              <w:divId w:val="364722302"/>
              <w:rPr>
                <w:rFonts w:eastAsia="Times New Roman"/>
              </w:rPr>
            </w:pPr>
            <w:hyperlink r:id="rId61" w:anchor="Exhibit3_1_073038" w:history="1">
              <w:r>
                <w:rPr>
                  <w:rStyle w:val="a3"/>
                  <w:rFonts w:ascii="Arial" w:eastAsia="Times New Roman" w:hAnsi="Arial" w:cs="Arial"/>
                  <w:sz w:val="20"/>
                  <w:szCs w:val="20"/>
                </w:rPr>
                <w:t>Certificate of Amendment, dated April 9, 2018 (incorporated by reference to Exhibit 3.1 to Enbridge’s Current Report on Form 8-K fil</w:t>
              </w:r>
              <w:r>
                <w:rPr>
                  <w:rStyle w:val="a3"/>
                  <w:rFonts w:ascii="Arial" w:eastAsia="Times New Roman" w:hAnsi="Arial" w:cs="Arial"/>
                  <w:sz w:val="20"/>
                  <w:szCs w:val="20"/>
                </w:rPr>
                <w:t>ed April 12, 2018)</w:t>
              </w:r>
            </w:hyperlink>
          </w:p>
        </w:tc>
      </w:tr>
      <w:tr w:rsidR="00000000">
        <w:trPr>
          <w:divId w:val="1209145869"/>
          <w:jc w:val="center"/>
        </w:trPr>
        <w:tc>
          <w:tcPr>
            <w:tcW w:w="0" w:type="auto"/>
            <w:gridSpan w:val="3"/>
            <w:tcBorders>
              <w:top w:val="single" w:sz="8" w:space="0" w:color="000000"/>
              <w:left w:val="single" w:sz="8" w:space="0" w:color="000000"/>
            </w:tcBorders>
            <w:tcMar>
              <w:top w:w="30" w:type="dxa"/>
              <w:left w:w="20" w:type="dxa"/>
              <w:bottom w:w="30" w:type="dxa"/>
              <w:right w:w="20" w:type="dxa"/>
            </w:tcMar>
            <w:hideMark/>
          </w:tcPr>
          <w:p w:rsidR="00000000" w:rsidRDefault="001F1FC8">
            <w:pPr>
              <w:jc w:val="right"/>
              <w:rPr>
                <w:rFonts w:eastAsia="Times New Roman"/>
              </w:rPr>
            </w:pPr>
            <w:hyperlink r:id="rId62" w:anchor="Exhibit3_1_121213" w:history="1">
              <w:r>
                <w:rPr>
                  <w:rStyle w:val="a3"/>
                  <w:rFonts w:ascii="Arial" w:eastAsia="Times New Roman" w:hAnsi="Arial" w:cs="Arial"/>
                  <w:sz w:val="20"/>
                  <w:szCs w:val="20"/>
                </w:rPr>
                <w:t>3.38</w:t>
              </w:r>
            </w:hyperlink>
          </w:p>
        </w:tc>
        <w:tc>
          <w:tcPr>
            <w:tcW w:w="0" w:type="auto"/>
            <w:gridSpan w:val="3"/>
            <w:tcBorders>
              <w:top w:val="single" w:sz="8" w:space="0" w:color="000000"/>
              <w:left w:val="single" w:sz="8" w:space="0" w:color="000000"/>
            </w:tcBorders>
            <w:tcMar>
              <w:top w:w="0" w:type="dxa"/>
              <w:left w:w="20" w:type="dxa"/>
              <w:bottom w:w="0" w:type="dxa"/>
              <w:right w:w="20" w:type="dxa"/>
            </w:tcMar>
            <w:vAlign w:val="center"/>
            <w:hideMark/>
          </w:tcPr>
          <w:p w:rsidR="00000000" w:rsidRDefault="001F1FC8">
            <w:pPr>
              <w:jc w:val="right"/>
              <w:rPr>
                <w:rFonts w:eastAsia="Times New Roman"/>
              </w:rPr>
            </w:pPr>
          </w:p>
        </w:tc>
        <w:tc>
          <w:tcPr>
            <w:tcW w:w="0" w:type="auto"/>
            <w:gridSpan w:val="3"/>
            <w:tcBorders>
              <w:top w:val="single" w:sz="8" w:space="0" w:color="000000"/>
              <w:left w:val="single" w:sz="8" w:space="0" w:color="000000"/>
              <w:right w:val="single" w:sz="8" w:space="0" w:color="000000"/>
            </w:tcBorders>
            <w:tcMar>
              <w:top w:w="30" w:type="dxa"/>
              <w:left w:w="20" w:type="dxa"/>
              <w:bottom w:w="30" w:type="dxa"/>
              <w:right w:w="20" w:type="dxa"/>
            </w:tcMar>
            <w:hideMark/>
          </w:tcPr>
          <w:p w:rsidR="00000000" w:rsidRDefault="001F1FC8">
            <w:pPr>
              <w:divId w:val="1133404344"/>
              <w:rPr>
                <w:rFonts w:eastAsia="Times New Roman"/>
              </w:rPr>
            </w:pPr>
            <w:hyperlink r:id="rId63" w:anchor="Exhibit3_1_121213" w:history="1">
              <w:r>
                <w:rPr>
                  <w:rStyle w:val="a3"/>
                  <w:rFonts w:ascii="Arial" w:eastAsia="Times New Roman" w:hAnsi="Arial" w:cs="Arial"/>
                  <w:sz w:val="20"/>
                  <w:szCs w:val="20"/>
                </w:rPr>
                <w:t>Certificate of Amendment, dated April 10, 2018 (incorporated by reference to Exhibit 3.1 to Enbridge’s Current Report on Form 8-K filed April 12, 2018)</w:t>
              </w:r>
            </w:hyperlink>
          </w:p>
        </w:tc>
      </w:tr>
      <w:tr w:rsidR="00000000">
        <w:trPr>
          <w:divId w:val="1209145869"/>
          <w:jc w:val="center"/>
        </w:trPr>
        <w:tc>
          <w:tcPr>
            <w:tcW w:w="0" w:type="auto"/>
            <w:gridSpan w:val="3"/>
            <w:tcBorders>
              <w:top w:val="single" w:sz="8" w:space="0" w:color="000000"/>
              <w:left w:val="single" w:sz="8" w:space="0" w:color="000000"/>
            </w:tcBorders>
            <w:tcMar>
              <w:top w:w="30" w:type="dxa"/>
              <w:left w:w="20" w:type="dxa"/>
              <w:bottom w:w="30" w:type="dxa"/>
              <w:right w:w="20" w:type="dxa"/>
            </w:tcMar>
            <w:hideMark/>
          </w:tcPr>
          <w:p w:rsidR="00000000" w:rsidRDefault="001F1FC8">
            <w:pPr>
              <w:jc w:val="right"/>
              <w:rPr>
                <w:rFonts w:eastAsia="Times New Roman"/>
              </w:rPr>
            </w:pPr>
            <w:hyperlink r:id="rId64" w:history="1">
              <w:r>
                <w:rPr>
                  <w:rStyle w:val="a3"/>
                  <w:rFonts w:ascii="Arial" w:eastAsia="Times New Roman" w:hAnsi="Arial" w:cs="Arial"/>
                  <w:sz w:val="20"/>
                  <w:szCs w:val="20"/>
                </w:rPr>
                <w:t>3.39</w:t>
              </w:r>
            </w:hyperlink>
          </w:p>
        </w:tc>
        <w:tc>
          <w:tcPr>
            <w:tcW w:w="0" w:type="auto"/>
            <w:gridSpan w:val="3"/>
            <w:tcBorders>
              <w:top w:val="single" w:sz="8" w:space="0" w:color="000000"/>
              <w:left w:val="single" w:sz="8" w:space="0" w:color="000000"/>
            </w:tcBorders>
            <w:tcMar>
              <w:top w:w="0" w:type="dxa"/>
              <w:left w:w="20" w:type="dxa"/>
              <w:bottom w:w="0" w:type="dxa"/>
              <w:right w:w="20" w:type="dxa"/>
            </w:tcMar>
            <w:vAlign w:val="center"/>
            <w:hideMark/>
          </w:tcPr>
          <w:p w:rsidR="00000000" w:rsidRDefault="001F1FC8">
            <w:pPr>
              <w:jc w:val="right"/>
              <w:rPr>
                <w:rFonts w:eastAsia="Times New Roman"/>
              </w:rPr>
            </w:pPr>
          </w:p>
        </w:tc>
        <w:tc>
          <w:tcPr>
            <w:tcW w:w="0" w:type="auto"/>
            <w:gridSpan w:val="3"/>
            <w:tcBorders>
              <w:top w:val="single" w:sz="8" w:space="0" w:color="000000"/>
              <w:left w:val="single" w:sz="8" w:space="0" w:color="000000"/>
              <w:right w:val="single" w:sz="8" w:space="0" w:color="000000"/>
            </w:tcBorders>
            <w:tcMar>
              <w:top w:w="30" w:type="dxa"/>
              <w:left w:w="20" w:type="dxa"/>
              <w:bottom w:w="30" w:type="dxa"/>
              <w:right w:w="20" w:type="dxa"/>
            </w:tcMar>
            <w:hideMark/>
          </w:tcPr>
          <w:p w:rsidR="00000000" w:rsidRDefault="001F1FC8">
            <w:pPr>
              <w:divId w:val="541867616"/>
              <w:rPr>
                <w:rFonts w:eastAsia="Times New Roman"/>
              </w:rPr>
            </w:pPr>
            <w:hyperlink r:id="rId65" w:history="1">
              <w:r>
                <w:rPr>
                  <w:rStyle w:val="a3"/>
                  <w:rFonts w:ascii="Arial" w:eastAsia="Times New Roman" w:hAnsi="Arial" w:cs="Arial"/>
                  <w:sz w:val="20"/>
                  <w:szCs w:val="20"/>
                </w:rPr>
                <w:t>Certificate and Articles of Amendment, d</w:t>
              </w:r>
              <w:r>
                <w:rPr>
                  <w:rStyle w:val="a3"/>
                  <w:rFonts w:ascii="Arial" w:eastAsia="Times New Roman" w:hAnsi="Arial" w:cs="Arial"/>
                  <w:sz w:val="20"/>
                  <w:szCs w:val="20"/>
                </w:rPr>
                <w:t>ated July 6, 2020 (incorporated by reference to Exhibit 3.1 to Enbridge’s Current Report on Form 8-K filed July 8, 2020)</w:t>
              </w:r>
            </w:hyperlink>
          </w:p>
        </w:tc>
      </w:tr>
      <w:tr w:rsidR="00000000">
        <w:trPr>
          <w:divId w:val="1209145869"/>
          <w:jc w:val="center"/>
        </w:trPr>
        <w:tc>
          <w:tcPr>
            <w:tcW w:w="0" w:type="auto"/>
            <w:gridSpan w:val="3"/>
            <w:tcBorders>
              <w:top w:val="single" w:sz="8" w:space="0" w:color="000000"/>
              <w:left w:val="single" w:sz="8" w:space="0" w:color="000000"/>
            </w:tcBorders>
            <w:tcMar>
              <w:top w:w="30" w:type="dxa"/>
              <w:left w:w="20" w:type="dxa"/>
              <w:bottom w:w="30" w:type="dxa"/>
              <w:right w:w="20" w:type="dxa"/>
            </w:tcMar>
            <w:hideMark/>
          </w:tcPr>
          <w:p w:rsidR="00000000" w:rsidRDefault="001F1FC8">
            <w:pPr>
              <w:jc w:val="right"/>
              <w:rPr>
                <w:rFonts w:eastAsia="Times New Roman"/>
              </w:rPr>
            </w:pPr>
            <w:hyperlink r:id="rId66" w:history="1">
              <w:r>
                <w:rPr>
                  <w:rStyle w:val="a3"/>
                  <w:rFonts w:ascii="Arial" w:eastAsia="Times New Roman" w:hAnsi="Arial" w:cs="Arial"/>
                  <w:sz w:val="20"/>
                  <w:szCs w:val="20"/>
                </w:rPr>
                <w:t>3.40</w:t>
              </w:r>
            </w:hyperlink>
          </w:p>
        </w:tc>
        <w:tc>
          <w:tcPr>
            <w:tcW w:w="0" w:type="auto"/>
            <w:gridSpan w:val="3"/>
            <w:tcBorders>
              <w:top w:val="single" w:sz="8" w:space="0" w:color="000000"/>
              <w:left w:val="single" w:sz="8" w:space="0" w:color="000000"/>
            </w:tcBorders>
            <w:tcMar>
              <w:top w:w="30" w:type="dxa"/>
              <w:left w:w="20" w:type="dxa"/>
              <w:bottom w:w="30" w:type="dxa"/>
              <w:right w:w="20" w:type="dxa"/>
            </w:tcMar>
            <w:vAlign w:val="bottom"/>
            <w:hideMark/>
          </w:tcPr>
          <w:p w:rsidR="00000000" w:rsidRDefault="001F1FC8">
            <w:pPr>
              <w:jc w:val="right"/>
              <w:rPr>
                <w:rFonts w:eastAsia="Times New Roman"/>
              </w:rPr>
            </w:pPr>
            <w:r>
              <w:rPr>
                <w:rFonts w:ascii="Arial" w:eastAsia="Times New Roman" w:hAnsi="Arial" w:cs="Arial"/>
                <w:color w:val="000000"/>
                <w:sz w:val="20"/>
                <w:szCs w:val="20"/>
              </w:rPr>
              <w:t>*</w:t>
            </w:r>
          </w:p>
        </w:tc>
        <w:tc>
          <w:tcPr>
            <w:tcW w:w="0" w:type="auto"/>
            <w:gridSpan w:val="3"/>
            <w:tcBorders>
              <w:top w:val="single" w:sz="8" w:space="0" w:color="000000"/>
              <w:left w:val="single" w:sz="8" w:space="0" w:color="000000"/>
              <w:right w:val="single" w:sz="8" w:space="0" w:color="000000"/>
            </w:tcBorders>
            <w:tcMar>
              <w:top w:w="30" w:type="dxa"/>
              <w:left w:w="20" w:type="dxa"/>
              <w:bottom w:w="30" w:type="dxa"/>
              <w:right w:w="20" w:type="dxa"/>
            </w:tcMar>
            <w:hideMark/>
          </w:tcPr>
          <w:p w:rsidR="00000000" w:rsidRDefault="001F1FC8">
            <w:pPr>
              <w:divId w:val="2066634264"/>
              <w:rPr>
                <w:rFonts w:eastAsia="Times New Roman"/>
              </w:rPr>
            </w:pPr>
            <w:hyperlink r:id="rId67" w:history="1">
              <w:r>
                <w:rPr>
                  <w:rStyle w:val="a3"/>
                  <w:rFonts w:ascii="Arial" w:eastAsia="Times New Roman" w:hAnsi="Arial" w:cs="Arial"/>
                  <w:sz w:val="20"/>
                  <w:szCs w:val="20"/>
                </w:rPr>
                <w:t>General By-Law No. 1 of Enbridge Inc.</w:t>
              </w:r>
            </w:hyperlink>
          </w:p>
        </w:tc>
      </w:tr>
      <w:tr w:rsidR="00000000">
        <w:trPr>
          <w:divId w:val="1209145869"/>
          <w:jc w:val="center"/>
        </w:trPr>
        <w:tc>
          <w:tcPr>
            <w:tcW w:w="0" w:type="auto"/>
            <w:gridSpan w:val="3"/>
            <w:tcBorders>
              <w:top w:val="single" w:sz="8" w:space="0" w:color="000000"/>
              <w:left w:val="single" w:sz="8" w:space="0" w:color="000000"/>
              <w:bottom w:val="single" w:sz="8" w:space="0" w:color="000000"/>
            </w:tcBorders>
            <w:tcMar>
              <w:top w:w="30" w:type="dxa"/>
              <w:left w:w="20" w:type="dxa"/>
              <w:bottom w:w="30" w:type="dxa"/>
              <w:right w:w="20" w:type="dxa"/>
            </w:tcMar>
            <w:hideMark/>
          </w:tcPr>
          <w:p w:rsidR="00000000" w:rsidRDefault="001F1FC8">
            <w:pPr>
              <w:jc w:val="right"/>
              <w:rPr>
                <w:rFonts w:eastAsia="Times New Roman"/>
              </w:rPr>
            </w:pPr>
            <w:hyperlink r:id="rId68" w:history="1">
              <w:r>
                <w:rPr>
                  <w:rStyle w:val="a3"/>
                  <w:rFonts w:ascii="Arial" w:eastAsia="Times New Roman" w:hAnsi="Arial" w:cs="Arial"/>
                  <w:sz w:val="20"/>
                  <w:szCs w:val="20"/>
                </w:rPr>
                <w:t>3.41</w:t>
              </w:r>
            </w:hyperlink>
          </w:p>
        </w:tc>
        <w:tc>
          <w:tcPr>
            <w:tcW w:w="0" w:type="auto"/>
            <w:gridSpan w:val="3"/>
            <w:tcBorders>
              <w:top w:val="single" w:sz="8" w:space="0" w:color="000000"/>
              <w:left w:val="single" w:sz="8" w:space="0" w:color="000000"/>
              <w:bottom w:val="single" w:sz="8" w:space="0" w:color="000000"/>
            </w:tcBorders>
            <w:tcMar>
              <w:top w:w="0" w:type="dxa"/>
              <w:left w:w="20" w:type="dxa"/>
              <w:bottom w:w="0" w:type="dxa"/>
              <w:right w:w="20" w:type="dxa"/>
            </w:tcMar>
            <w:vAlign w:val="center"/>
            <w:hideMark/>
          </w:tcPr>
          <w:p w:rsidR="00000000" w:rsidRDefault="001F1FC8">
            <w:pPr>
              <w:jc w:val="right"/>
              <w:rPr>
                <w:rFonts w:eastAsia="Times New Roman"/>
              </w:rPr>
            </w:pPr>
          </w:p>
        </w:tc>
        <w:tc>
          <w:tcPr>
            <w:tcW w:w="0" w:type="auto"/>
            <w:gridSpan w:val="3"/>
            <w:tcBorders>
              <w:top w:val="single" w:sz="8" w:space="0" w:color="000000"/>
              <w:left w:val="single" w:sz="8" w:space="0" w:color="000000"/>
              <w:bottom w:val="single" w:sz="8" w:space="0" w:color="000000"/>
              <w:right w:val="single" w:sz="8" w:space="0" w:color="000000"/>
            </w:tcBorders>
            <w:tcMar>
              <w:top w:w="30" w:type="dxa"/>
              <w:left w:w="20" w:type="dxa"/>
              <w:bottom w:w="30" w:type="dxa"/>
              <w:right w:w="20" w:type="dxa"/>
            </w:tcMar>
            <w:hideMark/>
          </w:tcPr>
          <w:p w:rsidR="00000000" w:rsidRDefault="001F1FC8">
            <w:pPr>
              <w:divId w:val="1810123150"/>
              <w:rPr>
                <w:rFonts w:eastAsia="Times New Roman"/>
              </w:rPr>
            </w:pPr>
            <w:hyperlink r:id="rId69" w:history="1">
              <w:r>
                <w:rPr>
                  <w:rStyle w:val="a3"/>
                  <w:rFonts w:ascii="Arial" w:eastAsia="Times New Roman" w:hAnsi="Arial" w:cs="Arial"/>
                  <w:sz w:val="20"/>
                  <w:szCs w:val="20"/>
                </w:rPr>
                <w:t xml:space="preserve">By-Law No. 2 </w:t>
              </w:r>
              <w:r>
                <w:rPr>
                  <w:rStyle w:val="a3"/>
                  <w:rFonts w:ascii="Arial" w:eastAsia="Times New Roman" w:hAnsi="Arial" w:cs="Arial"/>
                  <w:sz w:val="20"/>
                  <w:szCs w:val="20"/>
                </w:rPr>
                <w:t>of Enbridge Inc. (incorporated by reference to Enbridge’s Current Report on Form 6-K filed December 5, 2014)</w:t>
              </w:r>
            </w:hyperlink>
          </w:p>
        </w:tc>
      </w:tr>
    </w:tbl>
    <w:p w:rsidR="00000000" w:rsidRDefault="001F1FC8">
      <w:pPr>
        <w:jc w:val="center"/>
        <w:divId w:val="1931310034"/>
        <w:rPr>
          <w:rFonts w:eastAsia="Times New Roman"/>
        </w:rPr>
      </w:pPr>
      <w:r>
        <w:rPr>
          <w:rFonts w:ascii="Arial" w:eastAsia="Times New Roman" w:hAnsi="Arial" w:cs="Arial"/>
          <w:color w:val="000000"/>
          <w:sz w:val="20"/>
          <w:szCs w:val="20"/>
        </w:rPr>
        <w:t>184</w:t>
      </w:r>
    </w:p>
    <w:p w:rsidR="00000000" w:rsidRDefault="001F1FC8">
      <w:pPr>
        <w:rPr>
          <w:rFonts w:eastAsia="Times New Roman"/>
        </w:rPr>
      </w:pPr>
      <w:r>
        <w:rPr>
          <w:rFonts w:eastAsia="Times New Roman"/>
        </w:rPr>
        <w:pict>
          <v:rect id="_x0000_i1214" style="width:0;height:1.5pt" o:hralign="center" o:hrstd="t" o:hr="t" fillcolor="#a0a0a0" stroked="f"/>
        </w:pict>
      </w:r>
    </w:p>
    <w:p w:rsidR="00000000" w:rsidRDefault="001F1FC8">
      <w:pPr>
        <w:jc w:val="center"/>
        <w:divId w:val="1949122635"/>
        <w:rPr>
          <w:rFonts w:eastAsia="Times New Roman"/>
        </w:rPr>
      </w:pPr>
    </w:p>
    <w:tbl>
      <w:tblPr>
        <w:tblW w:w="4991" w:type="pct"/>
        <w:jc w:val="center"/>
        <w:tblCellMar>
          <w:top w:w="15" w:type="dxa"/>
          <w:left w:w="15" w:type="dxa"/>
          <w:bottom w:w="15" w:type="dxa"/>
          <w:right w:w="15" w:type="dxa"/>
        </w:tblCellMar>
        <w:tblLook w:val="04A0" w:firstRow="1" w:lastRow="0" w:firstColumn="1" w:lastColumn="0" w:noHBand="0" w:noVBand="1"/>
      </w:tblPr>
      <w:tblGrid>
        <w:gridCol w:w="69"/>
        <w:gridCol w:w="999"/>
        <w:gridCol w:w="36"/>
        <w:gridCol w:w="69"/>
        <w:gridCol w:w="173"/>
        <w:gridCol w:w="36"/>
        <w:gridCol w:w="69"/>
        <w:gridCol w:w="6803"/>
        <w:gridCol w:w="37"/>
      </w:tblGrid>
      <w:tr w:rsidR="00000000">
        <w:trPr>
          <w:divId w:val="1822307659"/>
          <w:jc w:val="center"/>
        </w:trPr>
        <w:tc>
          <w:tcPr>
            <w:tcW w:w="50" w:type="pct"/>
            <w:vAlign w:val="center"/>
            <w:hideMark/>
          </w:tcPr>
          <w:p w:rsidR="00000000" w:rsidRDefault="001F1FC8">
            <w:pPr>
              <w:jc w:val="center"/>
              <w:rPr>
                <w:rFonts w:eastAsia="Times New Roman"/>
              </w:rPr>
            </w:pPr>
          </w:p>
        </w:tc>
        <w:tc>
          <w:tcPr>
            <w:tcW w:w="611"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c>
          <w:tcPr>
            <w:tcW w:w="50" w:type="pct"/>
            <w:vAlign w:val="center"/>
            <w:hideMark/>
          </w:tcPr>
          <w:p w:rsidR="00000000" w:rsidRDefault="001F1FC8">
            <w:pPr>
              <w:rPr>
                <w:rFonts w:eastAsia="Times New Roman"/>
                <w:sz w:val="20"/>
                <w:szCs w:val="20"/>
              </w:rPr>
            </w:pPr>
          </w:p>
        </w:tc>
        <w:tc>
          <w:tcPr>
            <w:tcW w:w="113"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c>
          <w:tcPr>
            <w:tcW w:w="50" w:type="pct"/>
            <w:vAlign w:val="center"/>
            <w:hideMark/>
          </w:tcPr>
          <w:p w:rsidR="00000000" w:rsidRDefault="001F1FC8">
            <w:pPr>
              <w:rPr>
                <w:rFonts w:eastAsia="Times New Roman"/>
                <w:sz w:val="20"/>
                <w:szCs w:val="20"/>
              </w:rPr>
            </w:pPr>
          </w:p>
        </w:tc>
        <w:tc>
          <w:tcPr>
            <w:tcW w:w="4110"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r>
      <w:tr w:rsidR="00000000">
        <w:trPr>
          <w:divId w:val="1822307659"/>
          <w:jc w:val="center"/>
        </w:trPr>
        <w:tc>
          <w:tcPr>
            <w:tcW w:w="0" w:type="auto"/>
            <w:gridSpan w:val="3"/>
            <w:tcBorders>
              <w:top w:val="single" w:sz="8" w:space="0" w:color="000000"/>
              <w:left w:val="single" w:sz="8" w:space="0" w:color="000000"/>
            </w:tcBorders>
            <w:tcMar>
              <w:top w:w="30" w:type="dxa"/>
              <w:left w:w="20" w:type="dxa"/>
              <w:bottom w:w="30" w:type="dxa"/>
              <w:right w:w="20" w:type="dxa"/>
            </w:tcMar>
            <w:hideMark/>
          </w:tcPr>
          <w:p w:rsidR="00000000" w:rsidRDefault="001F1FC8">
            <w:pPr>
              <w:jc w:val="right"/>
              <w:rPr>
                <w:rFonts w:eastAsia="Times New Roman"/>
              </w:rPr>
            </w:pPr>
            <w:hyperlink r:id="rId70" w:history="1">
              <w:r>
                <w:rPr>
                  <w:rStyle w:val="a3"/>
                  <w:rFonts w:ascii="Arial" w:eastAsia="Times New Roman" w:hAnsi="Arial" w:cs="Arial"/>
                  <w:sz w:val="20"/>
                  <w:szCs w:val="20"/>
                </w:rPr>
                <w:t>4.1</w:t>
              </w:r>
            </w:hyperlink>
          </w:p>
        </w:tc>
        <w:tc>
          <w:tcPr>
            <w:tcW w:w="0" w:type="auto"/>
            <w:gridSpan w:val="3"/>
            <w:tcBorders>
              <w:top w:val="single" w:sz="8" w:space="0" w:color="000000"/>
              <w:left w:val="single" w:sz="8" w:space="0" w:color="000000"/>
            </w:tcBorders>
            <w:tcMar>
              <w:top w:w="0" w:type="dxa"/>
              <w:left w:w="20" w:type="dxa"/>
              <w:bottom w:w="0" w:type="dxa"/>
              <w:right w:w="20" w:type="dxa"/>
            </w:tcMar>
            <w:vAlign w:val="center"/>
            <w:hideMark/>
          </w:tcPr>
          <w:p w:rsidR="00000000" w:rsidRDefault="001F1FC8">
            <w:pPr>
              <w:jc w:val="right"/>
              <w:rPr>
                <w:rFonts w:eastAsia="Times New Roman"/>
              </w:rPr>
            </w:pPr>
          </w:p>
        </w:tc>
        <w:tc>
          <w:tcPr>
            <w:tcW w:w="0" w:type="auto"/>
            <w:gridSpan w:val="3"/>
            <w:tcBorders>
              <w:top w:val="single" w:sz="8" w:space="0" w:color="000000"/>
              <w:left w:val="single" w:sz="8" w:space="0" w:color="000000"/>
              <w:right w:val="single" w:sz="8" w:space="0" w:color="000000"/>
            </w:tcBorders>
            <w:tcMar>
              <w:top w:w="30" w:type="dxa"/>
              <w:left w:w="20" w:type="dxa"/>
              <w:bottom w:w="30" w:type="dxa"/>
              <w:right w:w="20" w:type="dxa"/>
            </w:tcMar>
            <w:hideMark/>
          </w:tcPr>
          <w:p w:rsidR="00000000" w:rsidRDefault="001F1FC8">
            <w:pPr>
              <w:divId w:val="372922508"/>
              <w:rPr>
                <w:rFonts w:eastAsia="Times New Roman"/>
              </w:rPr>
            </w:pPr>
            <w:hyperlink r:id="rId71" w:history="1">
              <w:r>
                <w:rPr>
                  <w:rStyle w:val="a3"/>
                  <w:rFonts w:ascii="Arial" w:eastAsia="Times New Roman" w:hAnsi="Arial" w:cs="Arial"/>
                  <w:sz w:val="20"/>
                  <w:szCs w:val="20"/>
                </w:rPr>
                <w:t>Form of Indenture between Enbridge Inc. and Deutsche Bank Trust Company Americas to be dated February 25, 2005 (incorporated by reference to Exhibit 7.1 to Enbridge’s Registration Statement on Form F-10 filed February 4, 2005)</w:t>
              </w:r>
            </w:hyperlink>
          </w:p>
        </w:tc>
      </w:tr>
      <w:tr w:rsidR="00000000">
        <w:trPr>
          <w:divId w:val="1822307659"/>
          <w:jc w:val="center"/>
        </w:trPr>
        <w:tc>
          <w:tcPr>
            <w:tcW w:w="0" w:type="auto"/>
            <w:gridSpan w:val="3"/>
            <w:tcBorders>
              <w:top w:val="single" w:sz="8" w:space="0" w:color="000000"/>
              <w:left w:val="single" w:sz="8" w:space="0" w:color="000000"/>
            </w:tcBorders>
            <w:tcMar>
              <w:top w:w="30" w:type="dxa"/>
              <w:left w:w="20" w:type="dxa"/>
              <w:bottom w:w="30" w:type="dxa"/>
              <w:right w:w="20" w:type="dxa"/>
            </w:tcMar>
            <w:hideMark/>
          </w:tcPr>
          <w:p w:rsidR="00000000" w:rsidRDefault="001F1FC8">
            <w:pPr>
              <w:jc w:val="right"/>
              <w:rPr>
                <w:rFonts w:eastAsia="Times New Roman"/>
              </w:rPr>
            </w:pPr>
            <w:hyperlink r:id="rId72" w:history="1">
              <w:r>
                <w:rPr>
                  <w:rStyle w:val="a3"/>
                  <w:rFonts w:ascii="Arial" w:eastAsia="Times New Roman" w:hAnsi="Arial" w:cs="Arial"/>
                  <w:sz w:val="20"/>
                  <w:szCs w:val="20"/>
                </w:rPr>
                <w:t>4.2</w:t>
              </w:r>
            </w:hyperlink>
          </w:p>
        </w:tc>
        <w:tc>
          <w:tcPr>
            <w:tcW w:w="0" w:type="auto"/>
            <w:gridSpan w:val="3"/>
            <w:tcBorders>
              <w:top w:val="single" w:sz="8" w:space="0" w:color="000000"/>
              <w:left w:val="single" w:sz="8" w:space="0" w:color="000000"/>
            </w:tcBorders>
            <w:tcMar>
              <w:top w:w="0" w:type="dxa"/>
              <w:left w:w="20" w:type="dxa"/>
              <w:bottom w:w="0" w:type="dxa"/>
              <w:right w:w="20" w:type="dxa"/>
            </w:tcMar>
            <w:vAlign w:val="center"/>
            <w:hideMark/>
          </w:tcPr>
          <w:p w:rsidR="00000000" w:rsidRDefault="001F1FC8">
            <w:pPr>
              <w:jc w:val="right"/>
              <w:rPr>
                <w:rFonts w:eastAsia="Times New Roman"/>
              </w:rPr>
            </w:pPr>
          </w:p>
        </w:tc>
        <w:tc>
          <w:tcPr>
            <w:tcW w:w="0" w:type="auto"/>
            <w:gridSpan w:val="3"/>
            <w:tcBorders>
              <w:top w:val="single" w:sz="8" w:space="0" w:color="000000"/>
              <w:left w:val="single" w:sz="8" w:space="0" w:color="000000"/>
              <w:right w:val="single" w:sz="8" w:space="0" w:color="000000"/>
            </w:tcBorders>
            <w:tcMar>
              <w:top w:w="30" w:type="dxa"/>
              <w:left w:w="20" w:type="dxa"/>
              <w:bottom w:w="30" w:type="dxa"/>
              <w:right w:w="20" w:type="dxa"/>
            </w:tcMar>
            <w:hideMark/>
          </w:tcPr>
          <w:p w:rsidR="00000000" w:rsidRDefault="001F1FC8">
            <w:pPr>
              <w:divId w:val="388722722"/>
              <w:rPr>
                <w:rFonts w:eastAsia="Times New Roman"/>
              </w:rPr>
            </w:pPr>
            <w:hyperlink r:id="rId73" w:history="1">
              <w:r>
                <w:rPr>
                  <w:rStyle w:val="a3"/>
                  <w:rFonts w:ascii="Arial" w:eastAsia="Times New Roman" w:hAnsi="Arial" w:cs="Arial"/>
                  <w:sz w:val="20"/>
                  <w:szCs w:val="20"/>
                </w:rPr>
                <w:t>First Supplemental Indenture between Enbridge Inc. and Deutsche Bank Tr</w:t>
              </w:r>
              <w:r>
                <w:rPr>
                  <w:rStyle w:val="a3"/>
                  <w:rFonts w:ascii="Arial" w:eastAsia="Times New Roman" w:hAnsi="Arial" w:cs="Arial"/>
                  <w:sz w:val="20"/>
                  <w:szCs w:val="20"/>
                </w:rPr>
                <w:t>ust Company Americas, dated March 1, 2012 (incorporated by reference to Exhibit 7.3 to Enbridge’s Registration Statement on Form F-10 filed May 11, 2012)</w:t>
              </w:r>
            </w:hyperlink>
          </w:p>
        </w:tc>
      </w:tr>
      <w:tr w:rsidR="00000000">
        <w:trPr>
          <w:divId w:val="1822307659"/>
          <w:jc w:val="center"/>
        </w:trPr>
        <w:tc>
          <w:tcPr>
            <w:tcW w:w="0" w:type="auto"/>
            <w:gridSpan w:val="3"/>
            <w:tcBorders>
              <w:top w:val="single" w:sz="8" w:space="0" w:color="000000"/>
              <w:left w:val="single" w:sz="8" w:space="0" w:color="000000"/>
            </w:tcBorders>
            <w:tcMar>
              <w:top w:w="30" w:type="dxa"/>
              <w:left w:w="20" w:type="dxa"/>
              <w:bottom w:w="30" w:type="dxa"/>
              <w:right w:w="20" w:type="dxa"/>
            </w:tcMar>
            <w:hideMark/>
          </w:tcPr>
          <w:p w:rsidR="00000000" w:rsidRDefault="001F1FC8">
            <w:pPr>
              <w:jc w:val="right"/>
              <w:rPr>
                <w:rFonts w:eastAsia="Times New Roman"/>
              </w:rPr>
            </w:pPr>
            <w:hyperlink r:id="rId74" w:history="1">
              <w:r>
                <w:rPr>
                  <w:rStyle w:val="a3"/>
                  <w:rFonts w:ascii="Arial" w:eastAsia="Times New Roman" w:hAnsi="Arial" w:cs="Arial"/>
                  <w:sz w:val="20"/>
                  <w:szCs w:val="20"/>
                </w:rPr>
                <w:t>4.3</w:t>
              </w:r>
            </w:hyperlink>
          </w:p>
        </w:tc>
        <w:tc>
          <w:tcPr>
            <w:tcW w:w="0" w:type="auto"/>
            <w:gridSpan w:val="3"/>
            <w:tcBorders>
              <w:top w:val="single" w:sz="8" w:space="0" w:color="000000"/>
              <w:left w:val="single" w:sz="8" w:space="0" w:color="000000"/>
            </w:tcBorders>
            <w:tcMar>
              <w:top w:w="0" w:type="dxa"/>
              <w:left w:w="20" w:type="dxa"/>
              <w:bottom w:w="0" w:type="dxa"/>
              <w:right w:w="20" w:type="dxa"/>
            </w:tcMar>
            <w:vAlign w:val="center"/>
            <w:hideMark/>
          </w:tcPr>
          <w:p w:rsidR="00000000" w:rsidRDefault="001F1FC8">
            <w:pPr>
              <w:jc w:val="right"/>
              <w:rPr>
                <w:rFonts w:eastAsia="Times New Roman"/>
              </w:rPr>
            </w:pPr>
          </w:p>
        </w:tc>
        <w:tc>
          <w:tcPr>
            <w:tcW w:w="0" w:type="auto"/>
            <w:gridSpan w:val="3"/>
            <w:tcBorders>
              <w:top w:val="single" w:sz="8" w:space="0" w:color="000000"/>
              <w:left w:val="single" w:sz="8" w:space="0" w:color="000000"/>
              <w:right w:val="single" w:sz="8" w:space="0" w:color="000000"/>
            </w:tcBorders>
            <w:tcMar>
              <w:top w:w="30" w:type="dxa"/>
              <w:left w:w="20" w:type="dxa"/>
              <w:bottom w:w="30" w:type="dxa"/>
              <w:right w:w="20" w:type="dxa"/>
            </w:tcMar>
            <w:hideMark/>
          </w:tcPr>
          <w:p w:rsidR="00000000" w:rsidRDefault="001F1FC8">
            <w:pPr>
              <w:divId w:val="82188500"/>
              <w:rPr>
                <w:rFonts w:eastAsia="Times New Roman"/>
              </w:rPr>
            </w:pPr>
            <w:hyperlink r:id="rId75" w:history="1">
              <w:r>
                <w:rPr>
                  <w:rStyle w:val="a3"/>
                  <w:rFonts w:ascii="Arial" w:eastAsia="Times New Roman" w:hAnsi="Arial" w:cs="Arial"/>
                  <w:sz w:val="20"/>
                  <w:szCs w:val="20"/>
                </w:rPr>
                <w:t>Second Supplemental Indenture between Enbri</w:t>
              </w:r>
              <w:r>
                <w:rPr>
                  <w:rStyle w:val="a3"/>
                  <w:rFonts w:ascii="Arial" w:eastAsia="Times New Roman" w:hAnsi="Arial" w:cs="Arial"/>
                  <w:sz w:val="20"/>
                  <w:szCs w:val="20"/>
                </w:rPr>
                <w:t>dge Inc. and Deutsche Bank Trust Company Americas, dated December 19, 2016 (incorporated by reference to Enbridge’s Report of Foreign Issuer on Form 6-K filed December 20, 2016)</w:t>
              </w:r>
            </w:hyperlink>
          </w:p>
        </w:tc>
      </w:tr>
      <w:tr w:rsidR="00000000">
        <w:trPr>
          <w:divId w:val="1822307659"/>
          <w:jc w:val="center"/>
        </w:trPr>
        <w:tc>
          <w:tcPr>
            <w:tcW w:w="0" w:type="auto"/>
            <w:gridSpan w:val="3"/>
            <w:tcBorders>
              <w:top w:val="single" w:sz="8" w:space="0" w:color="000000"/>
              <w:left w:val="single" w:sz="8" w:space="0" w:color="000000"/>
            </w:tcBorders>
            <w:tcMar>
              <w:top w:w="30" w:type="dxa"/>
              <w:left w:w="20" w:type="dxa"/>
              <w:bottom w:w="30" w:type="dxa"/>
              <w:right w:w="20" w:type="dxa"/>
            </w:tcMar>
            <w:hideMark/>
          </w:tcPr>
          <w:p w:rsidR="00000000" w:rsidRDefault="001F1FC8">
            <w:pPr>
              <w:jc w:val="right"/>
              <w:rPr>
                <w:rFonts w:eastAsia="Times New Roman"/>
              </w:rPr>
            </w:pPr>
            <w:hyperlink r:id="rId76" w:history="1">
              <w:r>
                <w:rPr>
                  <w:rStyle w:val="a3"/>
                  <w:rFonts w:ascii="Arial" w:eastAsia="Times New Roman" w:hAnsi="Arial" w:cs="Arial"/>
                  <w:sz w:val="20"/>
                  <w:szCs w:val="20"/>
                </w:rPr>
                <w:t>4.4</w:t>
              </w:r>
            </w:hyperlink>
          </w:p>
        </w:tc>
        <w:tc>
          <w:tcPr>
            <w:tcW w:w="0" w:type="auto"/>
            <w:gridSpan w:val="3"/>
            <w:tcBorders>
              <w:top w:val="single" w:sz="8" w:space="0" w:color="000000"/>
              <w:left w:val="single" w:sz="8" w:space="0" w:color="000000"/>
            </w:tcBorders>
            <w:tcMar>
              <w:top w:w="0" w:type="dxa"/>
              <w:left w:w="20" w:type="dxa"/>
              <w:bottom w:w="0" w:type="dxa"/>
              <w:right w:w="20" w:type="dxa"/>
            </w:tcMar>
            <w:vAlign w:val="center"/>
            <w:hideMark/>
          </w:tcPr>
          <w:p w:rsidR="00000000" w:rsidRDefault="001F1FC8">
            <w:pPr>
              <w:jc w:val="right"/>
              <w:rPr>
                <w:rFonts w:eastAsia="Times New Roman"/>
              </w:rPr>
            </w:pPr>
          </w:p>
        </w:tc>
        <w:tc>
          <w:tcPr>
            <w:tcW w:w="0" w:type="auto"/>
            <w:gridSpan w:val="3"/>
            <w:tcBorders>
              <w:top w:val="single" w:sz="8" w:space="0" w:color="000000"/>
              <w:left w:val="single" w:sz="8" w:space="0" w:color="000000"/>
              <w:right w:val="single" w:sz="8" w:space="0" w:color="000000"/>
            </w:tcBorders>
            <w:tcMar>
              <w:top w:w="30" w:type="dxa"/>
              <w:left w:w="20" w:type="dxa"/>
              <w:bottom w:w="30" w:type="dxa"/>
              <w:right w:w="20" w:type="dxa"/>
            </w:tcMar>
            <w:hideMark/>
          </w:tcPr>
          <w:p w:rsidR="00000000" w:rsidRDefault="001F1FC8">
            <w:pPr>
              <w:divId w:val="7025561"/>
              <w:rPr>
                <w:rFonts w:eastAsia="Times New Roman"/>
              </w:rPr>
            </w:pPr>
            <w:hyperlink r:id="rId77" w:history="1">
              <w:r>
                <w:rPr>
                  <w:rStyle w:val="a3"/>
                  <w:rFonts w:ascii="Arial" w:eastAsia="Times New Roman" w:hAnsi="Arial" w:cs="Arial"/>
                  <w:sz w:val="20"/>
                  <w:szCs w:val="20"/>
                </w:rPr>
                <w:t>Third Supplemental Indenture between Enbridge Inc. and Deutsche Bank Trust Company Americas, dated July 14, 2017 (inco</w:t>
              </w:r>
              <w:r>
                <w:rPr>
                  <w:rStyle w:val="a3"/>
                  <w:rFonts w:ascii="Arial" w:eastAsia="Times New Roman" w:hAnsi="Arial" w:cs="Arial"/>
                  <w:sz w:val="20"/>
                  <w:szCs w:val="20"/>
                </w:rPr>
                <w:t>rporated by reference to Enbridge’s Report of Foreign Issuer on Form 6-K filed July 14, 2017)</w:t>
              </w:r>
            </w:hyperlink>
          </w:p>
        </w:tc>
      </w:tr>
      <w:tr w:rsidR="00000000">
        <w:trPr>
          <w:divId w:val="1822307659"/>
          <w:jc w:val="center"/>
        </w:trPr>
        <w:tc>
          <w:tcPr>
            <w:tcW w:w="0" w:type="auto"/>
            <w:gridSpan w:val="3"/>
            <w:tcBorders>
              <w:top w:val="single" w:sz="8" w:space="0" w:color="000000"/>
              <w:left w:val="single" w:sz="8" w:space="0" w:color="000000"/>
            </w:tcBorders>
            <w:tcMar>
              <w:top w:w="30" w:type="dxa"/>
              <w:left w:w="20" w:type="dxa"/>
              <w:bottom w:w="30" w:type="dxa"/>
              <w:right w:w="20" w:type="dxa"/>
            </w:tcMar>
            <w:hideMark/>
          </w:tcPr>
          <w:p w:rsidR="00000000" w:rsidRDefault="001F1FC8">
            <w:pPr>
              <w:jc w:val="right"/>
              <w:rPr>
                <w:rFonts w:eastAsia="Times New Roman"/>
              </w:rPr>
            </w:pPr>
            <w:hyperlink r:id="rId78" w:anchor="Exhibit4_1_103241" w:history="1">
              <w:r>
                <w:rPr>
                  <w:rStyle w:val="a3"/>
                  <w:rFonts w:ascii="Arial" w:eastAsia="Times New Roman" w:hAnsi="Arial" w:cs="Arial"/>
                  <w:sz w:val="20"/>
                  <w:szCs w:val="20"/>
                </w:rPr>
                <w:t>4.5</w:t>
              </w:r>
            </w:hyperlink>
          </w:p>
        </w:tc>
        <w:tc>
          <w:tcPr>
            <w:tcW w:w="0" w:type="auto"/>
            <w:gridSpan w:val="3"/>
            <w:tcBorders>
              <w:top w:val="single" w:sz="8" w:space="0" w:color="000000"/>
              <w:left w:val="single" w:sz="8" w:space="0" w:color="000000"/>
            </w:tcBorders>
            <w:tcMar>
              <w:top w:w="0" w:type="dxa"/>
              <w:left w:w="20" w:type="dxa"/>
              <w:bottom w:w="0" w:type="dxa"/>
              <w:right w:w="20" w:type="dxa"/>
            </w:tcMar>
            <w:vAlign w:val="center"/>
            <w:hideMark/>
          </w:tcPr>
          <w:p w:rsidR="00000000" w:rsidRDefault="001F1FC8">
            <w:pPr>
              <w:jc w:val="right"/>
              <w:rPr>
                <w:rFonts w:eastAsia="Times New Roman"/>
              </w:rPr>
            </w:pPr>
          </w:p>
        </w:tc>
        <w:tc>
          <w:tcPr>
            <w:tcW w:w="0" w:type="auto"/>
            <w:gridSpan w:val="3"/>
            <w:tcBorders>
              <w:top w:val="single" w:sz="8" w:space="0" w:color="000000"/>
              <w:left w:val="single" w:sz="8" w:space="0" w:color="000000"/>
              <w:right w:val="single" w:sz="8" w:space="0" w:color="000000"/>
            </w:tcBorders>
            <w:tcMar>
              <w:top w:w="30" w:type="dxa"/>
              <w:left w:w="20" w:type="dxa"/>
              <w:bottom w:w="30" w:type="dxa"/>
              <w:right w:w="20" w:type="dxa"/>
            </w:tcMar>
            <w:hideMark/>
          </w:tcPr>
          <w:p w:rsidR="00000000" w:rsidRDefault="001F1FC8">
            <w:pPr>
              <w:divId w:val="396250380"/>
              <w:rPr>
                <w:rFonts w:eastAsia="Times New Roman"/>
              </w:rPr>
            </w:pPr>
            <w:hyperlink r:id="rId79" w:anchor="Exhibit4_1_103241" w:history="1">
              <w:r>
                <w:rPr>
                  <w:rStyle w:val="a3"/>
                  <w:rFonts w:ascii="Arial" w:eastAsia="Times New Roman" w:hAnsi="Arial" w:cs="Arial"/>
                  <w:sz w:val="20"/>
                  <w:szCs w:val="20"/>
                </w:rPr>
                <w:t>Fourth Supplemental Indenture between Enbridge Inc. and Deutsche Bank Trust Company Americas, dated March 1, 2018 (incorporated by r</w:t>
              </w:r>
              <w:r>
                <w:rPr>
                  <w:rStyle w:val="a3"/>
                  <w:rFonts w:ascii="Arial" w:eastAsia="Times New Roman" w:hAnsi="Arial" w:cs="Arial"/>
                  <w:sz w:val="20"/>
                  <w:szCs w:val="20"/>
                </w:rPr>
                <w:t>eference to Enbridge’s Current Report on Form 8-K filed March 1, 2018)</w:t>
              </w:r>
            </w:hyperlink>
          </w:p>
        </w:tc>
      </w:tr>
      <w:tr w:rsidR="00000000">
        <w:trPr>
          <w:divId w:val="1822307659"/>
          <w:jc w:val="center"/>
        </w:trPr>
        <w:tc>
          <w:tcPr>
            <w:tcW w:w="0" w:type="auto"/>
            <w:gridSpan w:val="3"/>
            <w:tcBorders>
              <w:top w:val="single" w:sz="8" w:space="0" w:color="000000"/>
              <w:left w:val="single" w:sz="8" w:space="0" w:color="000000"/>
            </w:tcBorders>
            <w:tcMar>
              <w:top w:w="30" w:type="dxa"/>
              <w:left w:w="20" w:type="dxa"/>
              <w:bottom w:w="30" w:type="dxa"/>
              <w:right w:w="20" w:type="dxa"/>
            </w:tcMar>
            <w:hideMark/>
          </w:tcPr>
          <w:p w:rsidR="00000000" w:rsidRDefault="001F1FC8">
            <w:pPr>
              <w:jc w:val="right"/>
              <w:rPr>
                <w:rFonts w:eastAsia="Times New Roman"/>
              </w:rPr>
            </w:pPr>
            <w:hyperlink r:id="rId80" w:anchor="Exhibit4_1_100603" w:history="1">
              <w:r>
                <w:rPr>
                  <w:rStyle w:val="a3"/>
                  <w:rFonts w:ascii="Arial" w:eastAsia="Times New Roman" w:hAnsi="Arial" w:cs="Arial"/>
                  <w:sz w:val="20"/>
                  <w:szCs w:val="20"/>
                </w:rPr>
                <w:t>4.6</w:t>
              </w:r>
            </w:hyperlink>
          </w:p>
        </w:tc>
        <w:tc>
          <w:tcPr>
            <w:tcW w:w="0" w:type="auto"/>
            <w:gridSpan w:val="3"/>
            <w:tcBorders>
              <w:top w:val="single" w:sz="8" w:space="0" w:color="000000"/>
              <w:left w:val="single" w:sz="8" w:space="0" w:color="000000"/>
            </w:tcBorders>
            <w:tcMar>
              <w:top w:w="0" w:type="dxa"/>
              <w:left w:w="20" w:type="dxa"/>
              <w:bottom w:w="0" w:type="dxa"/>
              <w:right w:w="20" w:type="dxa"/>
            </w:tcMar>
            <w:vAlign w:val="center"/>
            <w:hideMark/>
          </w:tcPr>
          <w:p w:rsidR="00000000" w:rsidRDefault="001F1FC8">
            <w:pPr>
              <w:jc w:val="right"/>
              <w:rPr>
                <w:rFonts w:eastAsia="Times New Roman"/>
              </w:rPr>
            </w:pPr>
          </w:p>
        </w:tc>
        <w:tc>
          <w:tcPr>
            <w:tcW w:w="0" w:type="auto"/>
            <w:gridSpan w:val="3"/>
            <w:tcBorders>
              <w:top w:val="single" w:sz="8" w:space="0" w:color="000000"/>
              <w:left w:val="single" w:sz="8" w:space="0" w:color="000000"/>
              <w:right w:val="single" w:sz="8" w:space="0" w:color="000000"/>
            </w:tcBorders>
            <w:tcMar>
              <w:top w:w="30" w:type="dxa"/>
              <w:left w:w="20" w:type="dxa"/>
              <w:bottom w:w="30" w:type="dxa"/>
              <w:right w:w="20" w:type="dxa"/>
            </w:tcMar>
            <w:hideMark/>
          </w:tcPr>
          <w:p w:rsidR="00000000" w:rsidRDefault="001F1FC8">
            <w:pPr>
              <w:divId w:val="1441683285"/>
              <w:rPr>
                <w:rFonts w:eastAsia="Times New Roman"/>
              </w:rPr>
            </w:pPr>
            <w:hyperlink r:id="rId81" w:anchor="Exhibit4_1_100603" w:history="1">
              <w:r>
                <w:rPr>
                  <w:rStyle w:val="a3"/>
                  <w:rFonts w:ascii="Arial" w:eastAsia="Times New Roman" w:hAnsi="Arial" w:cs="Arial"/>
                  <w:sz w:val="20"/>
                  <w:szCs w:val="20"/>
                </w:rPr>
                <w:t>Fifth Supplemental Indenture between Enbridge Inc. and Deutsche Bank Trust Company Americas, dated April 12, 2018 (incorporated by reference to Enbridge’s Current Report on Form 8-K</w:t>
              </w:r>
              <w:r>
                <w:rPr>
                  <w:rStyle w:val="a3"/>
                  <w:rFonts w:ascii="Arial" w:eastAsia="Times New Roman" w:hAnsi="Arial" w:cs="Arial"/>
                  <w:sz w:val="20"/>
                  <w:szCs w:val="20"/>
                </w:rPr>
                <w:t xml:space="preserve"> filed April 12, 2018)</w:t>
              </w:r>
            </w:hyperlink>
          </w:p>
        </w:tc>
      </w:tr>
      <w:tr w:rsidR="00000000">
        <w:trPr>
          <w:divId w:val="1822307659"/>
          <w:jc w:val="center"/>
        </w:trPr>
        <w:tc>
          <w:tcPr>
            <w:tcW w:w="0" w:type="auto"/>
            <w:gridSpan w:val="3"/>
            <w:tcBorders>
              <w:top w:val="single" w:sz="8" w:space="0" w:color="000000"/>
              <w:left w:val="single" w:sz="8" w:space="0" w:color="000000"/>
            </w:tcBorders>
            <w:tcMar>
              <w:top w:w="30" w:type="dxa"/>
              <w:left w:w="20" w:type="dxa"/>
              <w:bottom w:w="30" w:type="dxa"/>
              <w:right w:w="20" w:type="dxa"/>
            </w:tcMar>
            <w:hideMark/>
          </w:tcPr>
          <w:p w:rsidR="00000000" w:rsidRDefault="001F1FC8">
            <w:pPr>
              <w:jc w:val="right"/>
              <w:rPr>
                <w:rFonts w:eastAsia="Times New Roman"/>
              </w:rPr>
            </w:pPr>
            <w:hyperlink r:id="rId82" w:history="1">
              <w:r>
                <w:rPr>
                  <w:rStyle w:val="a3"/>
                  <w:rFonts w:ascii="Arial" w:eastAsia="Times New Roman" w:hAnsi="Arial" w:cs="Arial"/>
                  <w:sz w:val="20"/>
                  <w:szCs w:val="20"/>
                </w:rPr>
                <w:t>4.7</w:t>
              </w:r>
            </w:hyperlink>
          </w:p>
        </w:tc>
        <w:tc>
          <w:tcPr>
            <w:tcW w:w="0" w:type="auto"/>
            <w:gridSpan w:val="3"/>
            <w:tcBorders>
              <w:top w:val="single" w:sz="8" w:space="0" w:color="000000"/>
              <w:left w:val="single" w:sz="8" w:space="0" w:color="000000"/>
            </w:tcBorders>
            <w:tcMar>
              <w:top w:w="0" w:type="dxa"/>
              <w:left w:w="20" w:type="dxa"/>
              <w:bottom w:w="0" w:type="dxa"/>
              <w:right w:w="20" w:type="dxa"/>
            </w:tcMar>
            <w:vAlign w:val="center"/>
            <w:hideMark/>
          </w:tcPr>
          <w:p w:rsidR="00000000" w:rsidRDefault="001F1FC8">
            <w:pPr>
              <w:jc w:val="right"/>
              <w:rPr>
                <w:rFonts w:eastAsia="Times New Roman"/>
              </w:rPr>
            </w:pPr>
          </w:p>
        </w:tc>
        <w:tc>
          <w:tcPr>
            <w:tcW w:w="0" w:type="auto"/>
            <w:gridSpan w:val="3"/>
            <w:tcBorders>
              <w:top w:val="single" w:sz="8" w:space="0" w:color="000000"/>
              <w:left w:val="single" w:sz="8" w:space="0" w:color="000000"/>
              <w:right w:val="single" w:sz="8" w:space="0" w:color="000000"/>
            </w:tcBorders>
            <w:tcMar>
              <w:top w:w="30" w:type="dxa"/>
              <w:left w:w="20" w:type="dxa"/>
              <w:bottom w:w="30" w:type="dxa"/>
              <w:right w:w="20" w:type="dxa"/>
            </w:tcMar>
            <w:hideMark/>
          </w:tcPr>
          <w:p w:rsidR="00000000" w:rsidRDefault="001F1FC8">
            <w:pPr>
              <w:divId w:val="1895462176"/>
              <w:rPr>
                <w:rFonts w:eastAsia="Times New Roman"/>
              </w:rPr>
            </w:pPr>
            <w:hyperlink r:id="rId83" w:history="1">
              <w:r>
                <w:rPr>
                  <w:rStyle w:val="a3"/>
                  <w:rFonts w:ascii="Arial" w:eastAsia="Times New Roman" w:hAnsi="Arial" w:cs="Arial"/>
                  <w:sz w:val="20"/>
                  <w:szCs w:val="20"/>
                </w:rPr>
                <w:t xml:space="preserve">Sixth Supplemental Indenture between Enbridge Inc., Spectra Energy Partners, LP (as guarantor), Enbridge Energy Partners, L.P. (as guarantor) and Deutsche </w:t>
              </w:r>
              <w:r>
                <w:rPr>
                  <w:rStyle w:val="a3"/>
                  <w:rFonts w:ascii="Arial" w:eastAsia="Times New Roman" w:hAnsi="Arial" w:cs="Arial"/>
                  <w:sz w:val="20"/>
                  <w:szCs w:val="20"/>
                </w:rPr>
                <w:t>Bank Trust Company Americas, dated May 13, 2019 (incorporated by reference to Enbridge’s Registration Statement on Form S-3 filed May 17, 2019)</w:t>
              </w:r>
            </w:hyperlink>
          </w:p>
          <w:p w:rsidR="00000000" w:rsidRDefault="001F1FC8">
            <w:pPr>
              <w:divId w:val="2096170905"/>
              <w:rPr>
                <w:rFonts w:eastAsia="Times New Roman"/>
              </w:rPr>
            </w:pPr>
          </w:p>
        </w:tc>
      </w:tr>
      <w:tr w:rsidR="00000000">
        <w:trPr>
          <w:divId w:val="1822307659"/>
          <w:jc w:val="center"/>
        </w:trPr>
        <w:tc>
          <w:tcPr>
            <w:tcW w:w="0" w:type="auto"/>
            <w:gridSpan w:val="3"/>
            <w:tcBorders>
              <w:top w:val="single" w:sz="8" w:space="0" w:color="000000"/>
              <w:left w:val="single" w:sz="8" w:space="0" w:color="000000"/>
            </w:tcBorders>
            <w:tcMar>
              <w:top w:w="30" w:type="dxa"/>
              <w:left w:w="20" w:type="dxa"/>
              <w:bottom w:w="30" w:type="dxa"/>
              <w:right w:w="20" w:type="dxa"/>
            </w:tcMar>
            <w:hideMark/>
          </w:tcPr>
          <w:p w:rsidR="00000000" w:rsidRDefault="001F1FC8">
            <w:pPr>
              <w:jc w:val="right"/>
              <w:rPr>
                <w:rFonts w:eastAsia="Times New Roman"/>
              </w:rPr>
            </w:pPr>
            <w:hyperlink r:id="rId84" w:history="1">
              <w:r>
                <w:rPr>
                  <w:rStyle w:val="a3"/>
                  <w:rFonts w:ascii="Arial" w:eastAsia="Times New Roman" w:hAnsi="Arial" w:cs="Arial"/>
                  <w:sz w:val="20"/>
                  <w:szCs w:val="20"/>
                </w:rPr>
                <w:t>4.8</w:t>
              </w:r>
            </w:hyperlink>
          </w:p>
        </w:tc>
        <w:tc>
          <w:tcPr>
            <w:tcW w:w="0" w:type="auto"/>
            <w:gridSpan w:val="3"/>
            <w:tcBorders>
              <w:top w:val="single" w:sz="8" w:space="0" w:color="000000"/>
              <w:left w:val="single" w:sz="8" w:space="0" w:color="000000"/>
            </w:tcBorders>
            <w:tcMar>
              <w:top w:w="0" w:type="dxa"/>
              <w:left w:w="20" w:type="dxa"/>
              <w:bottom w:w="0" w:type="dxa"/>
              <w:right w:w="20" w:type="dxa"/>
            </w:tcMar>
            <w:vAlign w:val="center"/>
            <w:hideMark/>
          </w:tcPr>
          <w:p w:rsidR="00000000" w:rsidRDefault="001F1FC8">
            <w:pPr>
              <w:jc w:val="right"/>
              <w:rPr>
                <w:rFonts w:eastAsia="Times New Roman"/>
              </w:rPr>
            </w:pPr>
          </w:p>
        </w:tc>
        <w:tc>
          <w:tcPr>
            <w:tcW w:w="0" w:type="auto"/>
            <w:gridSpan w:val="3"/>
            <w:tcBorders>
              <w:top w:val="single" w:sz="8" w:space="0" w:color="000000"/>
              <w:left w:val="single" w:sz="8" w:space="0" w:color="000000"/>
              <w:right w:val="single" w:sz="8" w:space="0" w:color="000000"/>
            </w:tcBorders>
            <w:tcMar>
              <w:top w:w="30" w:type="dxa"/>
              <w:left w:w="20" w:type="dxa"/>
              <w:bottom w:w="30" w:type="dxa"/>
              <w:right w:w="20" w:type="dxa"/>
            </w:tcMar>
            <w:hideMark/>
          </w:tcPr>
          <w:p w:rsidR="00000000" w:rsidRDefault="001F1FC8">
            <w:pPr>
              <w:divId w:val="2013725953"/>
              <w:rPr>
                <w:rFonts w:eastAsia="Times New Roman"/>
              </w:rPr>
            </w:pPr>
            <w:hyperlink r:id="rId85" w:history="1">
              <w:r>
                <w:rPr>
                  <w:rStyle w:val="a3"/>
                  <w:rFonts w:ascii="Arial" w:eastAsia="Times New Roman" w:hAnsi="Arial" w:cs="Arial"/>
                  <w:sz w:val="20"/>
                  <w:szCs w:val="20"/>
                </w:rPr>
                <w:t>Seventh Supplemental Indenture to the Ind</w:t>
              </w:r>
              <w:r>
                <w:rPr>
                  <w:rStyle w:val="a3"/>
                  <w:rFonts w:ascii="Arial" w:eastAsia="Times New Roman" w:hAnsi="Arial" w:cs="Arial"/>
                  <w:sz w:val="20"/>
                  <w:szCs w:val="20"/>
                </w:rPr>
                <w:t>enture between Enbridge Inc. and Deutsche Bank Trust Company Americas, dated July 8, 2020 (incorporated by reference to Exhibit 4.1 to Enbridge’s Current Report on Form 8-K filed July 8, 2020)</w:t>
              </w:r>
            </w:hyperlink>
          </w:p>
        </w:tc>
      </w:tr>
      <w:tr w:rsidR="00000000">
        <w:trPr>
          <w:divId w:val="1822307659"/>
          <w:jc w:val="center"/>
        </w:trPr>
        <w:tc>
          <w:tcPr>
            <w:tcW w:w="0" w:type="auto"/>
            <w:gridSpan w:val="3"/>
            <w:tcBorders>
              <w:top w:val="single" w:sz="8" w:space="0" w:color="000000"/>
              <w:left w:val="single" w:sz="8" w:space="0" w:color="000000"/>
            </w:tcBorders>
            <w:tcMar>
              <w:top w:w="30" w:type="dxa"/>
              <w:left w:w="20" w:type="dxa"/>
              <w:bottom w:w="30" w:type="dxa"/>
              <w:right w:w="20" w:type="dxa"/>
            </w:tcMar>
            <w:hideMark/>
          </w:tcPr>
          <w:p w:rsidR="00000000" w:rsidRDefault="001F1FC8">
            <w:pPr>
              <w:jc w:val="right"/>
              <w:rPr>
                <w:rFonts w:eastAsia="Times New Roman"/>
              </w:rPr>
            </w:pPr>
            <w:hyperlink r:id="rId86" w:history="1">
              <w:r>
                <w:rPr>
                  <w:rStyle w:val="a3"/>
                  <w:rFonts w:ascii="Arial" w:eastAsia="Times New Roman" w:hAnsi="Arial" w:cs="Arial"/>
                  <w:sz w:val="20"/>
                  <w:szCs w:val="20"/>
                </w:rPr>
                <w:t>4.9</w:t>
              </w:r>
            </w:hyperlink>
          </w:p>
        </w:tc>
        <w:tc>
          <w:tcPr>
            <w:tcW w:w="0" w:type="auto"/>
            <w:gridSpan w:val="3"/>
            <w:tcBorders>
              <w:top w:val="single" w:sz="8" w:space="0" w:color="000000"/>
              <w:left w:val="single" w:sz="8" w:space="0" w:color="000000"/>
            </w:tcBorders>
            <w:tcMar>
              <w:top w:w="0" w:type="dxa"/>
              <w:left w:w="20" w:type="dxa"/>
              <w:bottom w:w="0" w:type="dxa"/>
              <w:right w:w="20" w:type="dxa"/>
            </w:tcMar>
            <w:vAlign w:val="center"/>
            <w:hideMark/>
          </w:tcPr>
          <w:p w:rsidR="00000000" w:rsidRDefault="001F1FC8">
            <w:pPr>
              <w:jc w:val="right"/>
              <w:rPr>
                <w:rFonts w:eastAsia="Times New Roman"/>
              </w:rPr>
            </w:pPr>
          </w:p>
        </w:tc>
        <w:tc>
          <w:tcPr>
            <w:tcW w:w="0" w:type="auto"/>
            <w:gridSpan w:val="3"/>
            <w:tcBorders>
              <w:top w:val="single" w:sz="8" w:space="0" w:color="000000"/>
              <w:left w:val="single" w:sz="8" w:space="0" w:color="000000"/>
              <w:right w:val="single" w:sz="8" w:space="0" w:color="000000"/>
            </w:tcBorders>
            <w:tcMar>
              <w:top w:w="30" w:type="dxa"/>
              <w:left w:w="20" w:type="dxa"/>
              <w:bottom w:w="30" w:type="dxa"/>
              <w:right w:w="20" w:type="dxa"/>
            </w:tcMar>
            <w:hideMark/>
          </w:tcPr>
          <w:p w:rsidR="00000000" w:rsidRDefault="001F1FC8">
            <w:pPr>
              <w:divId w:val="1876504473"/>
              <w:rPr>
                <w:rFonts w:eastAsia="Times New Roman"/>
              </w:rPr>
            </w:pPr>
            <w:hyperlink r:id="rId87" w:history="1">
              <w:r>
                <w:rPr>
                  <w:rStyle w:val="a3"/>
                  <w:rFonts w:ascii="Arial" w:eastAsia="Times New Roman" w:hAnsi="Arial" w:cs="Arial"/>
                  <w:sz w:val="20"/>
                  <w:szCs w:val="20"/>
                </w:rPr>
                <w:t xml:space="preserve">Eighth Supplemental Indenture to the Indenture between Enbridge Inc. and Deutsche Bank Trust Company </w:t>
              </w:r>
              <w:r>
                <w:rPr>
                  <w:rStyle w:val="a3"/>
                  <w:rFonts w:ascii="Arial" w:eastAsia="Times New Roman" w:hAnsi="Arial" w:cs="Arial"/>
                  <w:sz w:val="20"/>
                  <w:szCs w:val="20"/>
                </w:rPr>
                <w:t>Americas, dated June 28, 2021 (incorporated by reference to Exhibit 4.4 to Enbridge’s Current Report on Form 8-K filed June 28, 2021)</w:t>
              </w:r>
            </w:hyperlink>
          </w:p>
        </w:tc>
      </w:tr>
      <w:tr w:rsidR="00000000">
        <w:trPr>
          <w:divId w:val="1822307659"/>
          <w:jc w:val="center"/>
        </w:trPr>
        <w:tc>
          <w:tcPr>
            <w:tcW w:w="0" w:type="auto"/>
            <w:gridSpan w:val="3"/>
            <w:tcBorders>
              <w:top w:val="single" w:sz="8" w:space="0" w:color="000000"/>
              <w:left w:val="single" w:sz="8" w:space="0" w:color="000000"/>
            </w:tcBorders>
            <w:tcMar>
              <w:top w:w="30" w:type="dxa"/>
              <w:left w:w="20" w:type="dxa"/>
              <w:bottom w:w="30" w:type="dxa"/>
              <w:right w:w="20" w:type="dxa"/>
            </w:tcMar>
            <w:hideMark/>
          </w:tcPr>
          <w:p w:rsidR="00000000" w:rsidRDefault="001F1FC8">
            <w:pPr>
              <w:jc w:val="right"/>
              <w:rPr>
                <w:rFonts w:eastAsia="Times New Roman"/>
              </w:rPr>
            </w:pPr>
            <w:hyperlink r:id="rId88" w:history="1">
              <w:r>
                <w:rPr>
                  <w:rStyle w:val="a3"/>
                  <w:rFonts w:ascii="Arial" w:eastAsia="Times New Roman" w:hAnsi="Arial" w:cs="Arial"/>
                  <w:sz w:val="20"/>
                  <w:szCs w:val="20"/>
                </w:rPr>
                <w:t>4.</w:t>
              </w:r>
            </w:hyperlink>
            <w:hyperlink r:id="rId89" w:history="1">
              <w:r>
                <w:rPr>
                  <w:rStyle w:val="a3"/>
                  <w:rFonts w:ascii="Arial" w:eastAsia="Times New Roman" w:hAnsi="Arial" w:cs="Arial"/>
                  <w:sz w:val="20"/>
                  <w:szCs w:val="20"/>
                </w:rPr>
                <w:t>10</w:t>
              </w:r>
            </w:hyperlink>
          </w:p>
        </w:tc>
        <w:tc>
          <w:tcPr>
            <w:tcW w:w="0" w:type="auto"/>
            <w:gridSpan w:val="3"/>
            <w:tcBorders>
              <w:top w:val="single" w:sz="8" w:space="0" w:color="000000"/>
              <w:left w:val="single" w:sz="8" w:space="0" w:color="000000"/>
            </w:tcBorders>
            <w:tcMar>
              <w:top w:w="0" w:type="dxa"/>
              <w:left w:w="20" w:type="dxa"/>
              <w:bottom w:w="0" w:type="dxa"/>
              <w:right w:w="20" w:type="dxa"/>
            </w:tcMar>
            <w:vAlign w:val="center"/>
            <w:hideMark/>
          </w:tcPr>
          <w:p w:rsidR="00000000" w:rsidRDefault="001F1FC8">
            <w:pPr>
              <w:jc w:val="right"/>
              <w:rPr>
                <w:rFonts w:eastAsia="Times New Roman"/>
              </w:rPr>
            </w:pPr>
          </w:p>
        </w:tc>
        <w:tc>
          <w:tcPr>
            <w:tcW w:w="0" w:type="auto"/>
            <w:gridSpan w:val="3"/>
            <w:tcBorders>
              <w:top w:val="single" w:sz="8" w:space="0" w:color="000000"/>
              <w:left w:val="single" w:sz="8" w:space="0" w:color="000000"/>
              <w:right w:val="single" w:sz="8" w:space="0" w:color="000000"/>
            </w:tcBorders>
            <w:tcMar>
              <w:top w:w="30" w:type="dxa"/>
              <w:left w:w="20" w:type="dxa"/>
              <w:bottom w:w="30" w:type="dxa"/>
              <w:right w:w="20" w:type="dxa"/>
            </w:tcMar>
            <w:hideMark/>
          </w:tcPr>
          <w:p w:rsidR="00000000" w:rsidRDefault="001F1FC8">
            <w:pPr>
              <w:divId w:val="279386989"/>
              <w:rPr>
                <w:rFonts w:eastAsia="Times New Roman"/>
              </w:rPr>
            </w:pPr>
            <w:hyperlink r:id="rId90" w:history="1">
              <w:r>
                <w:rPr>
                  <w:rStyle w:val="a3"/>
                  <w:rFonts w:ascii="Arial" w:eastAsia="Times New Roman" w:hAnsi="Arial" w:cs="Arial"/>
                  <w:sz w:val="20"/>
                  <w:szCs w:val="20"/>
                </w:rPr>
                <w:t>Shareholder Rights Plan Agreement between Enbridge Inc. and Computershare Trust Company of Canada dated as of November 9, 1995 and Amended and Restated a</w:t>
              </w:r>
              <w:r>
                <w:rPr>
                  <w:rStyle w:val="a3"/>
                  <w:rFonts w:ascii="Arial" w:eastAsia="Times New Roman" w:hAnsi="Arial" w:cs="Arial"/>
                  <w:sz w:val="20"/>
                  <w:szCs w:val="20"/>
                </w:rPr>
                <w:t>s of May 5, 2020 (incorporated by reference to Exhibit 4.1 to Enbridge’s Current Report on Form 8-K filed May 6, 2020).</w:t>
              </w:r>
            </w:hyperlink>
          </w:p>
        </w:tc>
      </w:tr>
      <w:tr w:rsidR="00000000">
        <w:trPr>
          <w:divId w:val="1822307659"/>
          <w:jc w:val="center"/>
        </w:trPr>
        <w:tc>
          <w:tcPr>
            <w:tcW w:w="0" w:type="auto"/>
            <w:gridSpan w:val="3"/>
            <w:tcBorders>
              <w:top w:val="single" w:sz="8" w:space="0" w:color="000000"/>
              <w:left w:val="single" w:sz="8" w:space="0" w:color="000000"/>
            </w:tcBorders>
            <w:tcMar>
              <w:top w:w="30" w:type="dxa"/>
              <w:left w:w="20" w:type="dxa"/>
              <w:bottom w:w="30" w:type="dxa"/>
              <w:right w:w="20" w:type="dxa"/>
            </w:tcMar>
            <w:hideMark/>
          </w:tcPr>
          <w:p w:rsidR="00000000" w:rsidRDefault="001F1FC8">
            <w:pPr>
              <w:jc w:val="right"/>
              <w:rPr>
                <w:rFonts w:eastAsia="Times New Roman"/>
              </w:rPr>
            </w:pPr>
            <w:hyperlink r:id="rId91" w:history="1">
              <w:r>
                <w:rPr>
                  <w:rStyle w:val="a3"/>
                  <w:rFonts w:ascii="Arial" w:eastAsia="Times New Roman" w:hAnsi="Arial" w:cs="Arial"/>
                  <w:sz w:val="20"/>
                  <w:szCs w:val="20"/>
                </w:rPr>
                <w:t>4.1</w:t>
              </w:r>
            </w:hyperlink>
            <w:hyperlink r:id="rId92" w:history="1">
              <w:r>
                <w:rPr>
                  <w:rStyle w:val="a3"/>
                  <w:rFonts w:ascii="Arial" w:eastAsia="Times New Roman" w:hAnsi="Arial" w:cs="Arial"/>
                  <w:sz w:val="20"/>
                  <w:szCs w:val="20"/>
                </w:rPr>
                <w:t>1</w:t>
              </w:r>
            </w:hyperlink>
          </w:p>
        </w:tc>
        <w:tc>
          <w:tcPr>
            <w:tcW w:w="0" w:type="auto"/>
            <w:gridSpan w:val="3"/>
            <w:tcBorders>
              <w:top w:val="single" w:sz="8" w:space="0" w:color="000000"/>
              <w:left w:val="single" w:sz="8" w:space="0" w:color="000000"/>
            </w:tcBorders>
            <w:tcMar>
              <w:top w:w="0" w:type="dxa"/>
              <w:left w:w="20" w:type="dxa"/>
              <w:bottom w:w="0" w:type="dxa"/>
              <w:right w:w="20" w:type="dxa"/>
            </w:tcMar>
            <w:vAlign w:val="center"/>
            <w:hideMark/>
          </w:tcPr>
          <w:p w:rsidR="00000000" w:rsidRDefault="001F1FC8">
            <w:pPr>
              <w:jc w:val="right"/>
              <w:rPr>
                <w:rFonts w:eastAsia="Times New Roman"/>
              </w:rPr>
            </w:pPr>
          </w:p>
        </w:tc>
        <w:tc>
          <w:tcPr>
            <w:tcW w:w="0" w:type="auto"/>
            <w:gridSpan w:val="3"/>
            <w:tcBorders>
              <w:top w:val="single" w:sz="8" w:space="0" w:color="000000"/>
              <w:left w:val="single" w:sz="8" w:space="0" w:color="000000"/>
              <w:right w:val="single" w:sz="8" w:space="0" w:color="000000"/>
            </w:tcBorders>
            <w:tcMar>
              <w:top w:w="30" w:type="dxa"/>
              <w:left w:w="20" w:type="dxa"/>
              <w:bottom w:w="30" w:type="dxa"/>
              <w:right w:w="20" w:type="dxa"/>
            </w:tcMar>
            <w:hideMark/>
          </w:tcPr>
          <w:p w:rsidR="00000000" w:rsidRDefault="001F1FC8">
            <w:pPr>
              <w:divId w:val="752045562"/>
              <w:rPr>
                <w:rFonts w:eastAsia="Times New Roman"/>
              </w:rPr>
            </w:pPr>
            <w:hyperlink r:id="rId93" w:history="1">
              <w:r>
                <w:rPr>
                  <w:rStyle w:val="a3"/>
                  <w:rFonts w:ascii="Arial" w:eastAsia="Times New Roman" w:hAnsi="Arial" w:cs="Arial"/>
                  <w:sz w:val="20"/>
                  <w:szCs w:val="20"/>
                </w:rPr>
                <w:t>Description of Securities Registered Under Section 12 of the Securities Exchange Act, as amended (incorporated by reference to Exhibit 4.9 to Enbridge’s Form 10-K filed February 14, 2020)</w:t>
              </w:r>
            </w:hyperlink>
          </w:p>
        </w:tc>
      </w:tr>
      <w:tr w:rsidR="00000000">
        <w:trPr>
          <w:divId w:val="1822307659"/>
          <w:jc w:val="center"/>
        </w:trPr>
        <w:tc>
          <w:tcPr>
            <w:tcW w:w="0" w:type="auto"/>
            <w:gridSpan w:val="3"/>
            <w:tcBorders>
              <w:top w:val="single" w:sz="8" w:space="0" w:color="000000"/>
              <w:left w:val="single" w:sz="8" w:space="0" w:color="000000"/>
            </w:tcBorders>
            <w:tcMar>
              <w:top w:w="0" w:type="dxa"/>
              <w:left w:w="20" w:type="dxa"/>
              <w:bottom w:w="0" w:type="dxa"/>
              <w:right w:w="20" w:type="dxa"/>
            </w:tcMar>
            <w:vAlign w:val="center"/>
            <w:hideMark/>
          </w:tcPr>
          <w:p w:rsidR="00000000" w:rsidRDefault="001F1FC8">
            <w:pPr>
              <w:rPr>
                <w:rFonts w:eastAsia="Times New Roman"/>
              </w:rPr>
            </w:pPr>
          </w:p>
        </w:tc>
        <w:tc>
          <w:tcPr>
            <w:tcW w:w="0" w:type="auto"/>
            <w:gridSpan w:val="3"/>
            <w:tcBorders>
              <w:top w:val="single" w:sz="8" w:space="0" w:color="000000"/>
              <w:left w:val="single" w:sz="8" w:space="0" w:color="000000"/>
            </w:tcBorders>
            <w:tcMar>
              <w:top w:w="0" w:type="dxa"/>
              <w:left w:w="20" w:type="dxa"/>
              <w:bottom w:w="0" w:type="dxa"/>
              <w:right w:w="20" w:type="dxa"/>
            </w:tcMar>
            <w:vAlign w:val="center"/>
            <w:hideMark/>
          </w:tcPr>
          <w:p w:rsidR="00000000" w:rsidRDefault="001F1FC8">
            <w:pPr>
              <w:rPr>
                <w:rFonts w:eastAsia="Times New Roman"/>
                <w:sz w:val="20"/>
                <w:szCs w:val="20"/>
              </w:rPr>
            </w:pPr>
          </w:p>
        </w:tc>
        <w:tc>
          <w:tcPr>
            <w:tcW w:w="0" w:type="auto"/>
            <w:gridSpan w:val="3"/>
            <w:tcBorders>
              <w:top w:val="single" w:sz="8" w:space="0" w:color="000000"/>
              <w:left w:val="single" w:sz="8" w:space="0" w:color="000000"/>
              <w:right w:val="single" w:sz="8" w:space="0" w:color="000000"/>
            </w:tcBorders>
            <w:tcMar>
              <w:top w:w="30" w:type="dxa"/>
              <w:left w:w="20" w:type="dxa"/>
              <w:bottom w:w="30" w:type="dxa"/>
              <w:right w:w="20" w:type="dxa"/>
            </w:tcMar>
            <w:hideMark/>
          </w:tcPr>
          <w:p w:rsidR="00000000" w:rsidRDefault="001F1FC8">
            <w:pPr>
              <w:rPr>
                <w:rFonts w:eastAsia="Times New Roman"/>
              </w:rPr>
            </w:pPr>
            <w:r>
              <w:rPr>
                <w:rFonts w:ascii="Arial" w:eastAsia="Times New Roman" w:hAnsi="Arial" w:cs="Arial"/>
                <w:color w:val="000000"/>
                <w:sz w:val="20"/>
                <w:szCs w:val="20"/>
              </w:rPr>
              <w:t>Certain instruments defining the rights of holders of long-</w:t>
            </w:r>
            <w:r>
              <w:rPr>
                <w:rFonts w:ascii="Arial" w:eastAsia="Times New Roman" w:hAnsi="Arial" w:cs="Arial"/>
                <w:color w:val="000000"/>
                <w:sz w:val="20"/>
                <w:szCs w:val="20"/>
              </w:rPr>
              <w:t>term debt securities of the Registrant and its subsidiaries are omitted pursuant to Item 601(b)(4)(iii) of Regulation S-K. The Registrant hereby undertakes to furnish to the SEC, upon request, copies of any such instruments.</w:t>
            </w:r>
          </w:p>
        </w:tc>
      </w:tr>
      <w:tr w:rsidR="00000000">
        <w:trPr>
          <w:divId w:val="1822307659"/>
          <w:jc w:val="center"/>
        </w:trPr>
        <w:tc>
          <w:tcPr>
            <w:tcW w:w="0" w:type="auto"/>
            <w:gridSpan w:val="3"/>
            <w:tcBorders>
              <w:top w:val="single" w:sz="8" w:space="0" w:color="000000"/>
              <w:left w:val="single" w:sz="8" w:space="0" w:color="000000"/>
            </w:tcBorders>
            <w:tcMar>
              <w:top w:w="30" w:type="dxa"/>
              <w:left w:w="20" w:type="dxa"/>
              <w:bottom w:w="30" w:type="dxa"/>
              <w:right w:w="20" w:type="dxa"/>
            </w:tcMar>
            <w:hideMark/>
          </w:tcPr>
          <w:p w:rsidR="00000000" w:rsidRDefault="001F1FC8">
            <w:pPr>
              <w:jc w:val="right"/>
              <w:rPr>
                <w:rFonts w:eastAsia="Times New Roman"/>
              </w:rPr>
            </w:pPr>
            <w:hyperlink r:id="rId94" w:history="1">
              <w:r>
                <w:rPr>
                  <w:rStyle w:val="a3"/>
                  <w:rFonts w:ascii="Arial" w:eastAsia="Times New Roman" w:hAnsi="Arial" w:cs="Arial"/>
                  <w:sz w:val="20"/>
                  <w:szCs w:val="20"/>
                </w:rPr>
                <w:t>10.1</w:t>
              </w:r>
            </w:hyperlink>
          </w:p>
        </w:tc>
        <w:tc>
          <w:tcPr>
            <w:tcW w:w="0" w:type="auto"/>
            <w:gridSpan w:val="3"/>
            <w:tcBorders>
              <w:top w:val="single" w:sz="8" w:space="0" w:color="000000"/>
              <w:left w:val="single" w:sz="8" w:space="0" w:color="000000"/>
            </w:tcBorders>
            <w:tcMar>
              <w:top w:w="0" w:type="dxa"/>
              <w:left w:w="20" w:type="dxa"/>
              <w:bottom w:w="0" w:type="dxa"/>
              <w:right w:w="20" w:type="dxa"/>
            </w:tcMar>
            <w:vAlign w:val="center"/>
            <w:hideMark/>
          </w:tcPr>
          <w:p w:rsidR="00000000" w:rsidRDefault="001F1FC8">
            <w:pPr>
              <w:jc w:val="right"/>
              <w:rPr>
                <w:rFonts w:eastAsia="Times New Roman"/>
              </w:rPr>
            </w:pPr>
          </w:p>
        </w:tc>
        <w:tc>
          <w:tcPr>
            <w:tcW w:w="0" w:type="auto"/>
            <w:gridSpan w:val="3"/>
            <w:tcBorders>
              <w:top w:val="single" w:sz="8" w:space="0" w:color="000000"/>
              <w:left w:val="single" w:sz="8" w:space="0" w:color="000000"/>
              <w:right w:val="single" w:sz="8" w:space="0" w:color="000000"/>
            </w:tcBorders>
            <w:tcMar>
              <w:top w:w="30" w:type="dxa"/>
              <w:left w:w="20" w:type="dxa"/>
              <w:bottom w:w="30" w:type="dxa"/>
              <w:right w:w="20" w:type="dxa"/>
            </w:tcMar>
            <w:hideMark/>
          </w:tcPr>
          <w:p w:rsidR="00000000" w:rsidRDefault="001F1FC8">
            <w:pPr>
              <w:divId w:val="80807033"/>
              <w:rPr>
                <w:rFonts w:eastAsia="Times New Roman"/>
              </w:rPr>
            </w:pPr>
            <w:hyperlink r:id="rId95" w:history="1">
              <w:r>
                <w:rPr>
                  <w:rStyle w:val="a3"/>
                  <w:rFonts w:ascii="Arial" w:eastAsia="Times New Roman" w:hAnsi="Arial" w:cs="Arial"/>
                  <w:sz w:val="20"/>
                  <w:szCs w:val="20"/>
                </w:rPr>
                <w:t>Enbridge Pipelines Inc</w:t>
              </w:r>
              <w:r>
                <w:rPr>
                  <w:rStyle w:val="a3"/>
                  <w:rFonts w:ascii="Arial" w:eastAsia="Times New Roman" w:hAnsi="Arial" w:cs="Arial"/>
                  <w:sz w:val="20"/>
                  <w:szCs w:val="20"/>
                </w:rPr>
                <w:t>. Competitive Toll Settlement dated July 1, 2011 (incorporated by reference to Exhibit 10.1 to Enbridge’s Annual Report on Form 10-K filed February 16, 2018)</w:t>
              </w:r>
            </w:hyperlink>
          </w:p>
        </w:tc>
      </w:tr>
      <w:tr w:rsidR="00000000">
        <w:trPr>
          <w:divId w:val="1822307659"/>
          <w:jc w:val="center"/>
        </w:trPr>
        <w:tc>
          <w:tcPr>
            <w:tcW w:w="0" w:type="auto"/>
            <w:gridSpan w:val="3"/>
            <w:tcBorders>
              <w:top w:val="single" w:sz="8" w:space="0" w:color="000000"/>
              <w:left w:val="single" w:sz="8" w:space="0" w:color="000000"/>
            </w:tcBorders>
            <w:tcMar>
              <w:top w:w="30" w:type="dxa"/>
              <w:left w:w="20" w:type="dxa"/>
              <w:bottom w:w="30" w:type="dxa"/>
              <w:right w:w="20" w:type="dxa"/>
            </w:tcMar>
            <w:hideMark/>
          </w:tcPr>
          <w:p w:rsidR="00000000" w:rsidRDefault="001F1FC8">
            <w:pPr>
              <w:jc w:val="right"/>
              <w:rPr>
                <w:rFonts w:eastAsia="Times New Roman"/>
              </w:rPr>
            </w:pPr>
            <w:hyperlink r:id="rId96" w:history="1">
              <w:r>
                <w:rPr>
                  <w:rStyle w:val="a3"/>
                  <w:rFonts w:ascii="Arial" w:eastAsia="Times New Roman" w:hAnsi="Arial" w:cs="Arial"/>
                  <w:sz w:val="20"/>
                  <w:szCs w:val="20"/>
                </w:rPr>
                <w:t>10.2</w:t>
              </w:r>
            </w:hyperlink>
          </w:p>
        </w:tc>
        <w:tc>
          <w:tcPr>
            <w:tcW w:w="0" w:type="auto"/>
            <w:gridSpan w:val="3"/>
            <w:tcBorders>
              <w:top w:val="single" w:sz="8" w:space="0" w:color="000000"/>
              <w:left w:val="single" w:sz="8" w:space="0" w:color="000000"/>
            </w:tcBorders>
            <w:tcMar>
              <w:top w:w="0" w:type="dxa"/>
              <w:left w:w="20" w:type="dxa"/>
              <w:bottom w:w="0" w:type="dxa"/>
              <w:right w:w="20" w:type="dxa"/>
            </w:tcMar>
            <w:vAlign w:val="center"/>
            <w:hideMark/>
          </w:tcPr>
          <w:p w:rsidR="00000000" w:rsidRDefault="001F1FC8">
            <w:pPr>
              <w:jc w:val="right"/>
              <w:rPr>
                <w:rFonts w:eastAsia="Times New Roman"/>
              </w:rPr>
            </w:pPr>
          </w:p>
        </w:tc>
        <w:tc>
          <w:tcPr>
            <w:tcW w:w="0" w:type="auto"/>
            <w:gridSpan w:val="3"/>
            <w:tcBorders>
              <w:top w:val="single" w:sz="8" w:space="0" w:color="000000"/>
              <w:left w:val="single" w:sz="8" w:space="0" w:color="000000"/>
              <w:right w:val="single" w:sz="8" w:space="0" w:color="000000"/>
            </w:tcBorders>
            <w:tcMar>
              <w:top w:w="30" w:type="dxa"/>
              <w:left w:w="20" w:type="dxa"/>
              <w:bottom w:w="30" w:type="dxa"/>
              <w:right w:w="20" w:type="dxa"/>
            </w:tcMar>
            <w:hideMark/>
          </w:tcPr>
          <w:p w:rsidR="00000000" w:rsidRDefault="001F1FC8">
            <w:pPr>
              <w:divId w:val="699014708"/>
              <w:rPr>
                <w:rFonts w:eastAsia="Times New Roman"/>
              </w:rPr>
            </w:pPr>
            <w:hyperlink r:id="rId97" w:history="1">
              <w:r>
                <w:rPr>
                  <w:rStyle w:val="a3"/>
                  <w:rFonts w:ascii="Arial" w:eastAsia="Times New Roman" w:hAnsi="Arial" w:cs="Arial"/>
                  <w:sz w:val="20"/>
                  <w:szCs w:val="20"/>
                </w:rPr>
                <w:t>Sixteenth Supplemental Indenture dated as of January 22, 2019 between Enbridge Energy Partners, L.P. and US Bank National Association, as t</w:t>
              </w:r>
              <w:r>
                <w:rPr>
                  <w:rStyle w:val="a3"/>
                  <w:rFonts w:ascii="Arial" w:eastAsia="Times New Roman" w:hAnsi="Arial" w:cs="Arial"/>
                  <w:sz w:val="20"/>
                  <w:szCs w:val="20"/>
                </w:rPr>
                <w:t>rustee (incorporated by reference as Exhibit 4.1 to Enbridge’s Current Report on Form 8-K filed January 24, 2019)</w:t>
              </w:r>
            </w:hyperlink>
          </w:p>
        </w:tc>
      </w:tr>
      <w:tr w:rsidR="00000000">
        <w:trPr>
          <w:divId w:val="1822307659"/>
          <w:jc w:val="center"/>
        </w:trPr>
        <w:tc>
          <w:tcPr>
            <w:tcW w:w="0" w:type="auto"/>
            <w:gridSpan w:val="3"/>
            <w:tcBorders>
              <w:top w:val="single" w:sz="8" w:space="0" w:color="000000"/>
              <w:left w:val="single" w:sz="8" w:space="0" w:color="000000"/>
            </w:tcBorders>
            <w:tcMar>
              <w:top w:w="30" w:type="dxa"/>
              <w:left w:w="20" w:type="dxa"/>
              <w:bottom w:w="30" w:type="dxa"/>
              <w:right w:w="20" w:type="dxa"/>
            </w:tcMar>
            <w:hideMark/>
          </w:tcPr>
          <w:p w:rsidR="00000000" w:rsidRDefault="001F1FC8">
            <w:pPr>
              <w:jc w:val="right"/>
              <w:rPr>
                <w:rFonts w:eastAsia="Times New Roman"/>
              </w:rPr>
            </w:pPr>
            <w:hyperlink r:id="rId98" w:history="1">
              <w:r>
                <w:rPr>
                  <w:rStyle w:val="a3"/>
                  <w:rFonts w:ascii="Arial" w:eastAsia="Times New Roman" w:hAnsi="Arial" w:cs="Arial"/>
                  <w:sz w:val="20"/>
                  <w:szCs w:val="20"/>
                </w:rPr>
                <w:t>10.3</w:t>
              </w:r>
            </w:hyperlink>
          </w:p>
        </w:tc>
        <w:tc>
          <w:tcPr>
            <w:tcW w:w="0" w:type="auto"/>
            <w:gridSpan w:val="3"/>
            <w:tcBorders>
              <w:top w:val="single" w:sz="8" w:space="0" w:color="000000"/>
              <w:left w:val="single" w:sz="8" w:space="0" w:color="000000"/>
            </w:tcBorders>
            <w:tcMar>
              <w:top w:w="0" w:type="dxa"/>
              <w:left w:w="20" w:type="dxa"/>
              <w:bottom w:w="0" w:type="dxa"/>
              <w:right w:w="20" w:type="dxa"/>
            </w:tcMar>
            <w:vAlign w:val="center"/>
            <w:hideMark/>
          </w:tcPr>
          <w:p w:rsidR="00000000" w:rsidRDefault="001F1FC8">
            <w:pPr>
              <w:jc w:val="right"/>
              <w:rPr>
                <w:rFonts w:eastAsia="Times New Roman"/>
              </w:rPr>
            </w:pPr>
          </w:p>
        </w:tc>
        <w:tc>
          <w:tcPr>
            <w:tcW w:w="0" w:type="auto"/>
            <w:gridSpan w:val="3"/>
            <w:tcBorders>
              <w:top w:val="single" w:sz="8" w:space="0" w:color="000000"/>
              <w:left w:val="single" w:sz="8" w:space="0" w:color="000000"/>
              <w:right w:val="single" w:sz="8" w:space="0" w:color="000000"/>
            </w:tcBorders>
            <w:tcMar>
              <w:top w:w="30" w:type="dxa"/>
              <w:left w:w="20" w:type="dxa"/>
              <w:bottom w:w="30" w:type="dxa"/>
              <w:right w:w="20" w:type="dxa"/>
            </w:tcMar>
            <w:hideMark/>
          </w:tcPr>
          <w:p w:rsidR="00000000" w:rsidRDefault="001F1FC8">
            <w:pPr>
              <w:divId w:val="1336227558"/>
              <w:rPr>
                <w:rFonts w:eastAsia="Times New Roman"/>
              </w:rPr>
            </w:pPr>
            <w:hyperlink r:id="rId99" w:history="1">
              <w:r>
                <w:rPr>
                  <w:rStyle w:val="a3"/>
                  <w:rFonts w:ascii="Arial" w:eastAsia="Times New Roman" w:hAnsi="Arial" w:cs="Arial"/>
                  <w:sz w:val="20"/>
                  <w:szCs w:val="20"/>
                </w:rPr>
                <w:t xml:space="preserve">Seventeenth Supplemental Indenture dated as of January 22, 2019 between Enbridge Energy Partners, L.P., Enbridge Inc. and US Bank National Association, as </w:t>
              </w:r>
              <w:r>
                <w:rPr>
                  <w:rStyle w:val="a3"/>
                  <w:rFonts w:ascii="Arial" w:eastAsia="Times New Roman" w:hAnsi="Arial" w:cs="Arial"/>
                  <w:sz w:val="20"/>
                  <w:szCs w:val="20"/>
                </w:rPr>
                <w:t>trustee (incorporated by reference as Exhibit 4.2 to Enbridge’s Current Report on Form 8-K filed January 24, 2019)</w:t>
              </w:r>
            </w:hyperlink>
          </w:p>
        </w:tc>
      </w:tr>
      <w:tr w:rsidR="00000000">
        <w:trPr>
          <w:divId w:val="1822307659"/>
          <w:jc w:val="center"/>
        </w:trPr>
        <w:tc>
          <w:tcPr>
            <w:tcW w:w="0" w:type="auto"/>
            <w:gridSpan w:val="3"/>
            <w:tcBorders>
              <w:top w:val="single" w:sz="8" w:space="0" w:color="000000"/>
              <w:left w:val="single" w:sz="8" w:space="0" w:color="000000"/>
              <w:bottom w:val="single" w:sz="8" w:space="0" w:color="000000"/>
            </w:tcBorders>
            <w:tcMar>
              <w:top w:w="30" w:type="dxa"/>
              <w:left w:w="20" w:type="dxa"/>
              <w:bottom w:w="30" w:type="dxa"/>
              <w:right w:w="20" w:type="dxa"/>
            </w:tcMar>
            <w:hideMark/>
          </w:tcPr>
          <w:p w:rsidR="00000000" w:rsidRDefault="001F1FC8">
            <w:pPr>
              <w:jc w:val="right"/>
              <w:rPr>
                <w:rFonts w:eastAsia="Times New Roman"/>
              </w:rPr>
            </w:pPr>
            <w:hyperlink r:id="rId100" w:history="1">
              <w:r>
                <w:rPr>
                  <w:rStyle w:val="a3"/>
                  <w:rFonts w:ascii="Arial" w:eastAsia="Times New Roman" w:hAnsi="Arial" w:cs="Arial"/>
                  <w:sz w:val="20"/>
                  <w:szCs w:val="20"/>
                </w:rPr>
                <w:t>10.4</w:t>
              </w:r>
            </w:hyperlink>
          </w:p>
        </w:tc>
        <w:tc>
          <w:tcPr>
            <w:tcW w:w="0" w:type="auto"/>
            <w:gridSpan w:val="3"/>
            <w:tcBorders>
              <w:top w:val="single" w:sz="8" w:space="0" w:color="000000"/>
              <w:left w:val="single" w:sz="8" w:space="0" w:color="000000"/>
              <w:bottom w:val="single" w:sz="8" w:space="0" w:color="000000"/>
            </w:tcBorders>
            <w:tcMar>
              <w:top w:w="0" w:type="dxa"/>
              <w:left w:w="20" w:type="dxa"/>
              <w:bottom w:w="0" w:type="dxa"/>
              <w:right w:w="20" w:type="dxa"/>
            </w:tcMar>
            <w:vAlign w:val="center"/>
            <w:hideMark/>
          </w:tcPr>
          <w:p w:rsidR="00000000" w:rsidRDefault="001F1FC8">
            <w:pPr>
              <w:jc w:val="right"/>
              <w:rPr>
                <w:rFonts w:eastAsia="Times New Roman"/>
              </w:rPr>
            </w:pPr>
          </w:p>
        </w:tc>
        <w:tc>
          <w:tcPr>
            <w:tcW w:w="0" w:type="auto"/>
            <w:gridSpan w:val="3"/>
            <w:tcBorders>
              <w:top w:val="single" w:sz="8" w:space="0" w:color="000000"/>
              <w:left w:val="single" w:sz="8" w:space="0" w:color="000000"/>
              <w:bottom w:val="single" w:sz="8" w:space="0" w:color="000000"/>
              <w:right w:val="single" w:sz="8" w:space="0" w:color="000000"/>
            </w:tcBorders>
            <w:tcMar>
              <w:top w:w="30" w:type="dxa"/>
              <w:left w:w="20" w:type="dxa"/>
              <w:bottom w:w="30" w:type="dxa"/>
              <w:right w:w="20" w:type="dxa"/>
            </w:tcMar>
            <w:hideMark/>
          </w:tcPr>
          <w:p w:rsidR="00000000" w:rsidRDefault="001F1FC8">
            <w:pPr>
              <w:divId w:val="982080688"/>
              <w:rPr>
                <w:rFonts w:eastAsia="Times New Roman"/>
              </w:rPr>
            </w:pPr>
            <w:hyperlink r:id="rId101" w:history="1">
              <w:r>
                <w:rPr>
                  <w:rStyle w:val="a3"/>
                  <w:rFonts w:ascii="Arial" w:eastAsia="Times New Roman" w:hAnsi="Arial" w:cs="Arial"/>
                  <w:sz w:val="20"/>
                  <w:szCs w:val="20"/>
                </w:rPr>
                <w:t>Seventh Supplemental Indenture dated as of January 22, 2019 between Spectra Energy Partners, LP, Enbridge Inc. and Wells Fargo Bank, National Association, as trustee (incorporated by</w:t>
              </w:r>
              <w:r>
                <w:rPr>
                  <w:rStyle w:val="a3"/>
                  <w:rFonts w:ascii="Arial" w:eastAsia="Times New Roman" w:hAnsi="Arial" w:cs="Arial"/>
                  <w:sz w:val="20"/>
                  <w:szCs w:val="20"/>
                </w:rPr>
                <w:t xml:space="preserve"> reference as Exhibit 4.3 to Enbridge’s Current Report on Form 8-K filed January 24, 2019)</w:t>
              </w:r>
            </w:hyperlink>
          </w:p>
        </w:tc>
      </w:tr>
    </w:tbl>
    <w:p w:rsidR="00000000" w:rsidRDefault="001F1FC8">
      <w:pPr>
        <w:jc w:val="center"/>
        <w:divId w:val="233197968"/>
        <w:rPr>
          <w:rFonts w:eastAsia="Times New Roman"/>
        </w:rPr>
      </w:pPr>
      <w:r>
        <w:rPr>
          <w:rFonts w:ascii="Arial" w:eastAsia="Times New Roman" w:hAnsi="Arial" w:cs="Arial"/>
          <w:color w:val="000000"/>
          <w:sz w:val="20"/>
          <w:szCs w:val="20"/>
        </w:rPr>
        <w:t>185</w:t>
      </w:r>
    </w:p>
    <w:p w:rsidR="00000000" w:rsidRDefault="001F1FC8">
      <w:pPr>
        <w:rPr>
          <w:rFonts w:eastAsia="Times New Roman"/>
        </w:rPr>
      </w:pPr>
      <w:r>
        <w:rPr>
          <w:rFonts w:eastAsia="Times New Roman"/>
        </w:rPr>
        <w:pict>
          <v:rect id="_x0000_i1215" style="width:0;height:1.5pt" o:hralign="center" o:hrstd="t" o:hr="t" fillcolor="#a0a0a0" stroked="f"/>
        </w:pict>
      </w:r>
    </w:p>
    <w:p w:rsidR="00000000" w:rsidRDefault="001F1FC8">
      <w:pPr>
        <w:jc w:val="center"/>
        <w:divId w:val="734202515"/>
        <w:rPr>
          <w:rFonts w:eastAsia="Times New Roman"/>
        </w:rPr>
      </w:pPr>
    </w:p>
    <w:tbl>
      <w:tblPr>
        <w:tblW w:w="4991" w:type="pct"/>
        <w:jc w:val="center"/>
        <w:tblCellMar>
          <w:top w:w="15" w:type="dxa"/>
          <w:left w:w="15" w:type="dxa"/>
          <w:bottom w:w="15" w:type="dxa"/>
          <w:right w:w="15" w:type="dxa"/>
        </w:tblCellMar>
        <w:tblLook w:val="04A0" w:firstRow="1" w:lastRow="0" w:firstColumn="1" w:lastColumn="0" w:noHBand="0" w:noVBand="1"/>
      </w:tblPr>
      <w:tblGrid>
        <w:gridCol w:w="69"/>
        <w:gridCol w:w="999"/>
        <w:gridCol w:w="36"/>
        <w:gridCol w:w="69"/>
        <w:gridCol w:w="173"/>
        <w:gridCol w:w="36"/>
        <w:gridCol w:w="69"/>
        <w:gridCol w:w="6804"/>
        <w:gridCol w:w="36"/>
      </w:tblGrid>
      <w:tr w:rsidR="00000000">
        <w:trPr>
          <w:divId w:val="396780131"/>
          <w:jc w:val="center"/>
        </w:trPr>
        <w:tc>
          <w:tcPr>
            <w:tcW w:w="50" w:type="pct"/>
            <w:vAlign w:val="center"/>
            <w:hideMark/>
          </w:tcPr>
          <w:p w:rsidR="00000000" w:rsidRDefault="001F1FC8">
            <w:pPr>
              <w:jc w:val="center"/>
              <w:rPr>
                <w:rFonts w:eastAsia="Times New Roman"/>
              </w:rPr>
            </w:pPr>
          </w:p>
        </w:tc>
        <w:tc>
          <w:tcPr>
            <w:tcW w:w="611"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c>
          <w:tcPr>
            <w:tcW w:w="50" w:type="pct"/>
            <w:vAlign w:val="center"/>
            <w:hideMark/>
          </w:tcPr>
          <w:p w:rsidR="00000000" w:rsidRDefault="001F1FC8">
            <w:pPr>
              <w:rPr>
                <w:rFonts w:eastAsia="Times New Roman"/>
                <w:sz w:val="20"/>
                <w:szCs w:val="20"/>
              </w:rPr>
            </w:pPr>
          </w:p>
        </w:tc>
        <w:tc>
          <w:tcPr>
            <w:tcW w:w="113"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c>
          <w:tcPr>
            <w:tcW w:w="50" w:type="pct"/>
            <w:vAlign w:val="center"/>
            <w:hideMark/>
          </w:tcPr>
          <w:p w:rsidR="00000000" w:rsidRDefault="001F1FC8">
            <w:pPr>
              <w:rPr>
                <w:rFonts w:eastAsia="Times New Roman"/>
                <w:sz w:val="20"/>
                <w:szCs w:val="20"/>
              </w:rPr>
            </w:pPr>
          </w:p>
        </w:tc>
        <w:tc>
          <w:tcPr>
            <w:tcW w:w="4110"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r>
      <w:tr w:rsidR="00000000">
        <w:trPr>
          <w:divId w:val="396780131"/>
          <w:jc w:val="center"/>
        </w:trPr>
        <w:tc>
          <w:tcPr>
            <w:tcW w:w="0" w:type="auto"/>
            <w:gridSpan w:val="3"/>
            <w:tcBorders>
              <w:top w:val="single" w:sz="8" w:space="0" w:color="000000"/>
              <w:left w:val="single" w:sz="8" w:space="0" w:color="000000"/>
            </w:tcBorders>
            <w:tcMar>
              <w:top w:w="30" w:type="dxa"/>
              <w:left w:w="20" w:type="dxa"/>
              <w:bottom w:w="30" w:type="dxa"/>
              <w:right w:w="20" w:type="dxa"/>
            </w:tcMar>
            <w:hideMark/>
          </w:tcPr>
          <w:p w:rsidR="00000000" w:rsidRDefault="001F1FC8">
            <w:pPr>
              <w:jc w:val="right"/>
              <w:rPr>
                <w:rFonts w:eastAsia="Times New Roman"/>
              </w:rPr>
            </w:pPr>
            <w:hyperlink r:id="rId102" w:history="1">
              <w:r>
                <w:rPr>
                  <w:rStyle w:val="a3"/>
                  <w:rFonts w:ascii="Arial" w:eastAsia="Times New Roman" w:hAnsi="Arial" w:cs="Arial"/>
                  <w:sz w:val="20"/>
                  <w:szCs w:val="20"/>
                </w:rPr>
                <w:t>10.5</w:t>
              </w:r>
            </w:hyperlink>
          </w:p>
        </w:tc>
        <w:tc>
          <w:tcPr>
            <w:tcW w:w="0" w:type="auto"/>
            <w:gridSpan w:val="3"/>
            <w:tcBorders>
              <w:top w:val="single" w:sz="8" w:space="0" w:color="000000"/>
              <w:left w:val="single" w:sz="8" w:space="0" w:color="000000"/>
            </w:tcBorders>
            <w:tcMar>
              <w:top w:w="0" w:type="dxa"/>
              <w:left w:w="20" w:type="dxa"/>
              <w:bottom w:w="0" w:type="dxa"/>
              <w:right w:w="20" w:type="dxa"/>
            </w:tcMar>
            <w:vAlign w:val="center"/>
            <w:hideMark/>
          </w:tcPr>
          <w:p w:rsidR="00000000" w:rsidRDefault="001F1FC8">
            <w:pPr>
              <w:jc w:val="right"/>
              <w:rPr>
                <w:rFonts w:eastAsia="Times New Roman"/>
              </w:rPr>
            </w:pPr>
          </w:p>
        </w:tc>
        <w:tc>
          <w:tcPr>
            <w:tcW w:w="0" w:type="auto"/>
            <w:gridSpan w:val="3"/>
            <w:tcBorders>
              <w:top w:val="single" w:sz="8" w:space="0" w:color="000000"/>
              <w:left w:val="single" w:sz="8" w:space="0" w:color="000000"/>
              <w:right w:val="single" w:sz="8" w:space="0" w:color="000000"/>
            </w:tcBorders>
            <w:tcMar>
              <w:top w:w="30" w:type="dxa"/>
              <w:left w:w="20" w:type="dxa"/>
              <w:bottom w:w="30" w:type="dxa"/>
              <w:right w:w="20" w:type="dxa"/>
            </w:tcMar>
            <w:hideMark/>
          </w:tcPr>
          <w:p w:rsidR="00000000" w:rsidRDefault="001F1FC8">
            <w:pPr>
              <w:divId w:val="615253788"/>
              <w:rPr>
                <w:rFonts w:eastAsia="Times New Roman"/>
              </w:rPr>
            </w:pPr>
            <w:hyperlink r:id="rId103" w:history="1">
              <w:r>
                <w:rPr>
                  <w:rStyle w:val="a3"/>
                  <w:rFonts w:ascii="Arial" w:eastAsia="Times New Roman" w:hAnsi="Arial" w:cs="Arial"/>
                  <w:sz w:val="20"/>
                  <w:szCs w:val="20"/>
                </w:rPr>
                <w:t>Eighth Supplemental Indenture dated as of January 22, 2019 between Spectra Energy Partners, LP, Enbridge Inc. and Wells Fargo Bank, National Association, a</w:t>
              </w:r>
              <w:r>
                <w:rPr>
                  <w:rStyle w:val="a3"/>
                  <w:rFonts w:ascii="Arial" w:eastAsia="Times New Roman" w:hAnsi="Arial" w:cs="Arial"/>
                  <w:sz w:val="20"/>
                  <w:szCs w:val="20"/>
                </w:rPr>
                <w:t>s trustee (incorporated by reference as Exhibit 4.4 to Enbridge’s Current Report on Form 8-K filed January 24, 2019)</w:t>
              </w:r>
            </w:hyperlink>
          </w:p>
        </w:tc>
      </w:tr>
      <w:tr w:rsidR="00000000">
        <w:trPr>
          <w:divId w:val="396780131"/>
          <w:jc w:val="center"/>
        </w:trPr>
        <w:tc>
          <w:tcPr>
            <w:tcW w:w="0" w:type="auto"/>
            <w:gridSpan w:val="3"/>
            <w:tcBorders>
              <w:top w:val="single" w:sz="8" w:space="0" w:color="000000"/>
              <w:left w:val="single" w:sz="8" w:space="0" w:color="000000"/>
            </w:tcBorders>
            <w:tcMar>
              <w:top w:w="30" w:type="dxa"/>
              <w:left w:w="20" w:type="dxa"/>
              <w:bottom w:w="30" w:type="dxa"/>
              <w:right w:w="20" w:type="dxa"/>
            </w:tcMar>
            <w:hideMark/>
          </w:tcPr>
          <w:p w:rsidR="00000000" w:rsidRDefault="001F1FC8">
            <w:pPr>
              <w:jc w:val="right"/>
              <w:rPr>
                <w:rFonts w:eastAsia="Times New Roman"/>
              </w:rPr>
            </w:pPr>
            <w:hyperlink r:id="rId104" w:history="1">
              <w:r>
                <w:rPr>
                  <w:rStyle w:val="a3"/>
                  <w:rFonts w:ascii="Arial" w:eastAsia="Times New Roman" w:hAnsi="Arial" w:cs="Arial"/>
                  <w:sz w:val="20"/>
                  <w:szCs w:val="20"/>
                </w:rPr>
                <w:t>10.6</w:t>
              </w:r>
            </w:hyperlink>
          </w:p>
        </w:tc>
        <w:tc>
          <w:tcPr>
            <w:tcW w:w="0" w:type="auto"/>
            <w:gridSpan w:val="3"/>
            <w:tcBorders>
              <w:top w:val="single" w:sz="8" w:space="0" w:color="000000"/>
              <w:left w:val="single" w:sz="8" w:space="0" w:color="000000"/>
            </w:tcBorders>
            <w:tcMar>
              <w:top w:w="0" w:type="dxa"/>
              <w:left w:w="20" w:type="dxa"/>
              <w:bottom w:w="0" w:type="dxa"/>
              <w:right w:w="20" w:type="dxa"/>
            </w:tcMar>
            <w:vAlign w:val="center"/>
            <w:hideMark/>
          </w:tcPr>
          <w:p w:rsidR="00000000" w:rsidRDefault="001F1FC8">
            <w:pPr>
              <w:jc w:val="right"/>
              <w:rPr>
                <w:rFonts w:eastAsia="Times New Roman"/>
              </w:rPr>
            </w:pPr>
          </w:p>
        </w:tc>
        <w:tc>
          <w:tcPr>
            <w:tcW w:w="0" w:type="auto"/>
            <w:gridSpan w:val="3"/>
            <w:tcBorders>
              <w:top w:val="single" w:sz="8" w:space="0" w:color="000000"/>
              <w:left w:val="single" w:sz="8" w:space="0" w:color="000000"/>
              <w:right w:val="single" w:sz="8" w:space="0" w:color="000000"/>
            </w:tcBorders>
            <w:tcMar>
              <w:top w:w="30" w:type="dxa"/>
              <w:left w:w="20" w:type="dxa"/>
              <w:bottom w:w="30" w:type="dxa"/>
              <w:right w:w="20" w:type="dxa"/>
            </w:tcMar>
            <w:hideMark/>
          </w:tcPr>
          <w:p w:rsidR="00000000" w:rsidRDefault="001F1FC8">
            <w:pPr>
              <w:divId w:val="1332172212"/>
              <w:rPr>
                <w:rFonts w:eastAsia="Times New Roman"/>
              </w:rPr>
            </w:pPr>
            <w:hyperlink r:id="rId105" w:history="1">
              <w:r>
                <w:rPr>
                  <w:rStyle w:val="a3"/>
                  <w:rFonts w:ascii="Arial" w:eastAsia="Times New Roman" w:hAnsi="Arial" w:cs="Arial"/>
                  <w:sz w:val="20"/>
                  <w:szCs w:val="20"/>
                </w:rPr>
                <w:t>Subsidiary Guarantee Agreement dated as of January 22, 2019 between Spectra Energy Partners, LP and Enbridge Energy Partners, L.P. (incorporated by reference as Exhibit 4.5 to Enbr</w:t>
              </w:r>
              <w:r>
                <w:rPr>
                  <w:rStyle w:val="a3"/>
                  <w:rFonts w:ascii="Arial" w:eastAsia="Times New Roman" w:hAnsi="Arial" w:cs="Arial"/>
                  <w:sz w:val="20"/>
                  <w:szCs w:val="20"/>
                </w:rPr>
                <w:t>idge’s Current Report on Form 8-K filed January 24, 2019)</w:t>
              </w:r>
            </w:hyperlink>
          </w:p>
        </w:tc>
      </w:tr>
      <w:tr w:rsidR="00000000">
        <w:trPr>
          <w:divId w:val="396780131"/>
          <w:jc w:val="center"/>
        </w:trPr>
        <w:tc>
          <w:tcPr>
            <w:tcW w:w="0" w:type="auto"/>
            <w:gridSpan w:val="3"/>
            <w:tcBorders>
              <w:top w:val="single" w:sz="8" w:space="0" w:color="000000"/>
              <w:left w:val="single" w:sz="8" w:space="0" w:color="000000"/>
            </w:tcBorders>
            <w:tcMar>
              <w:top w:w="30" w:type="dxa"/>
              <w:left w:w="20" w:type="dxa"/>
              <w:bottom w:w="30" w:type="dxa"/>
              <w:right w:w="20" w:type="dxa"/>
            </w:tcMar>
            <w:hideMark/>
          </w:tcPr>
          <w:p w:rsidR="00000000" w:rsidRDefault="001F1FC8">
            <w:pPr>
              <w:jc w:val="right"/>
              <w:rPr>
                <w:rFonts w:eastAsia="Times New Roman"/>
              </w:rPr>
            </w:pPr>
            <w:hyperlink r:id="rId106" w:history="1">
              <w:r>
                <w:rPr>
                  <w:rStyle w:val="a3"/>
                  <w:rFonts w:ascii="Arial" w:eastAsia="Times New Roman" w:hAnsi="Arial" w:cs="Arial"/>
                  <w:sz w:val="20"/>
                  <w:szCs w:val="20"/>
                </w:rPr>
                <w:t>10.7</w:t>
              </w:r>
            </w:hyperlink>
          </w:p>
        </w:tc>
        <w:tc>
          <w:tcPr>
            <w:tcW w:w="0" w:type="auto"/>
            <w:gridSpan w:val="3"/>
            <w:tcBorders>
              <w:top w:val="single" w:sz="8" w:space="0" w:color="000000"/>
              <w:left w:val="single" w:sz="8" w:space="0" w:color="000000"/>
            </w:tcBorders>
            <w:tcMar>
              <w:top w:w="30" w:type="dxa"/>
              <w:left w:w="20" w:type="dxa"/>
              <w:bottom w:w="30" w:type="dxa"/>
              <w:right w:w="20" w:type="dxa"/>
            </w:tcMar>
            <w:hideMark/>
          </w:tcPr>
          <w:p w:rsidR="00000000" w:rsidRDefault="001F1FC8">
            <w:pPr>
              <w:jc w:val="right"/>
              <w:rPr>
                <w:rFonts w:eastAsia="Times New Roman"/>
              </w:rPr>
            </w:pPr>
            <w:r>
              <w:rPr>
                <w:rFonts w:ascii="Arial" w:eastAsia="Times New Roman" w:hAnsi="Arial" w:cs="Arial"/>
                <w:color w:val="000000"/>
                <w:sz w:val="20"/>
                <w:szCs w:val="20"/>
              </w:rPr>
              <w:t>+</w:t>
            </w:r>
          </w:p>
        </w:tc>
        <w:tc>
          <w:tcPr>
            <w:tcW w:w="0" w:type="auto"/>
            <w:gridSpan w:val="3"/>
            <w:tcBorders>
              <w:top w:val="single" w:sz="8" w:space="0" w:color="000000"/>
              <w:left w:val="single" w:sz="8" w:space="0" w:color="000000"/>
              <w:right w:val="single" w:sz="8" w:space="0" w:color="000000"/>
            </w:tcBorders>
            <w:tcMar>
              <w:top w:w="30" w:type="dxa"/>
              <w:left w:w="20" w:type="dxa"/>
              <w:bottom w:w="30" w:type="dxa"/>
              <w:right w:w="20" w:type="dxa"/>
            </w:tcMar>
            <w:hideMark/>
          </w:tcPr>
          <w:p w:rsidR="00000000" w:rsidRDefault="001F1FC8">
            <w:pPr>
              <w:divId w:val="1854417661"/>
              <w:rPr>
                <w:rFonts w:eastAsia="Times New Roman"/>
              </w:rPr>
            </w:pPr>
            <w:hyperlink r:id="rId107" w:history="1">
              <w:r>
                <w:rPr>
                  <w:rStyle w:val="a3"/>
                  <w:rFonts w:ascii="Arial" w:eastAsia="Times New Roman" w:hAnsi="Arial" w:cs="Arial"/>
                  <w:sz w:val="20"/>
                  <w:szCs w:val="20"/>
                </w:rPr>
                <w:t>Form of Executive Emp</w:t>
              </w:r>
              <w:r>
                <w:rPr>
                  <w:rStyle w:val="a3"/>
                  <w:rFonts w:ascii="Arial" w:eastAsia="Times New Roman" w:hAnsi="Arial" w:cs="Arial"/>
                  <w:sz w:val="20"/>
                  <w:szCs w:val="20"/>
                </w:rPr>
                <w:t>loyment Agreement (pre-2014) (incorporated by reference to Exhibit 10.2 to Enbridge’s Annual Report on Form 10-K filed February 16, 2018)</w:t>
              </w:r>
            </w:hyperlink>
          </w:p>
        </w:tc>
      </w:tr>
      <w:tr w:rsidR="00000000">
        <w:trPr>
          <w:divId w:val="396780131"/>
          <w:jc w:val="center"/>
        </w:trPr>
        <w:tc>
          <w:tcPr>
            <w:tcW w:w="0" w:type="auto"/>
            <w:gridSpan w:val="3"/>
            <w:tcBorders>
              <w:top w:val="single" w:sz="8" w:space="0" w:color="000000"/>
              <w:left w:val="single" w:sz="8" w:space="0" w:color="000000"/>
            </w:tcBorders>
            <w:tcMar>
              <w:top w:w="30" w:type="dxa"/>
              <w:left w:w="20" w:type="dxa"/>
              <w:bottom w:w="30" w:type="dxa"/>
              <w:right w:w="20" w:type="dxa"/>
            </w:tcMar>
            <w:hideMark/>
          </w:tcPr>
          <w:p w:rsidR="00000000" w:rsidRDefault="001F1FC8">
            <w:pPr>
              <w:jc w:val="right"/>
              <w:rPr>
                <w:rFonts w:eastAsia="Times New Roman"/>
              </w:rPr>
            </w:pPr>
            <w:hyperlink r:id="rId108" w:history="1">
              <w:r>
                <w:rPr>
                  <w:rStyle w:val="a3"/>
                  <w:rFonts w:ascii="Arial" w:eastAsia="Times New Roman" w:hAnsi="Arial" w:cs="Arial"/>
                  <w:sz w:val="20"/>
                  <w:szCs w:val="20"/>
                </w:rPr>
                <w:t>10.</w:t>
              </w:r>
              <w:r>
                <w:rPr>
                  <w:rStyle w:val="a3"/>
                  <w:rFonts w:ascii="Arial" w:eastAsia="Times New Roman" w:hAnsi="Arial" w:cs="Arial"/>
                  <w:sz w:val="20"/>
                  <w:szCs w:val="20"/>
                </w:rPr>
                <w:t>8</w:t>
              </w:r>
            </w:hyperlink>
          </w:p>
        </w:tc>
        <w:tc>
          <w:tcPr>
            <w:tcW w:w="0" w:type="auto"/>
            <w:gridSpan w:val="3"/>
            <w:tcBorders>
              <w:top w:val="single" w:sz="8" w:space="0" w:color="000000"/>
              <w:left w:val="single" w:sz="8" w:space="0" w:color="000000"/>
            </w:tcBorders>
            <w:tcMar>
              <w:top w:w="30" w:type="dxa"/>
              <w:left w:w="20" w:type="dxa"/>
              <w:bottom w:w="30" w:type="dxa"/>
              <w:right w:w="20" w:type="dxa"/>
            </w:tcMar>
            <w:hideMark/>
          </w:tcPr>
          <w:p w:rsidR="00000000" w:rsidRDefault="001F1FC8">
            <w:pPr>
              <w:jc w:val="right"/>
              <w:rPr>
                <w:rFonts w:eastAsia="Times New Roman"/>
              </w:rPr>
            </w:pPr>
            <w:r>
              <w:rPr>
                <w:rFonts w:ascii="Arial" w:eastAsia="Times New Roman" w:hAnsi="Arial" w:cs="Arial"/>
                <w:color w:val="000000"/>
                <w:sz w:val="20"/>
                <w:szCs w:val="20"/>
              </w:rPr>
              <w:t>+</w:t>
            </w:r>
          </w:p>
        </w:tc>
        <w:tc>
          <w:tcPr>
            <w:tcW w:w="0" w:type="auto"/>
            <w:gridSpan w:val="3"/>
            <w:tcBorders>
              <w:top w:val="single" w:sz="8" w:space="0" w:color="000000"/>
              <w:left w:val="single" w:sz="8" w:space="0" w:color="000000"/>
              <w:right w:val="single" w:sz="8" w:space="0" w:color="000000"/>
            </w:tcBorders>
            <w:tcMar>
              <w:top w:w="30" w:type="dxa"/>
              <w:left w:w="20" w:type="dxa"/>
              <w:bottom w:w="30" w:type="dxa"/>
              <w:right w:w="20" w:type="dxa"/>
            </w:tcMar>
            <w:hideMark/>
          </w:tcPr>
          <w:p w:rsidR="00000000" w:rsidRDefault="001F1FC8">
            <w:pPr>
              <w:divId w:val="1258175345"/>
              <w:rPr>
                <w:rFonts w:eastAsia="Times New Roman"/>
              </w:rPr>
            </w:pPr>
            <w:hyperlink r:id="rId109" w:history="1">
              <w:r>
                <w:rPr>
                  <w:rStyle w:val="a3"/>
                  <w:rFonts w:ascii="Arial" w:eastAsia="Times New Roman" w:hAnsi="Arial" w:cs="Arial"/>
                  <w:sz w:val="20"/>
                  <w:szCs w:val="20"/>
                </w:rPr>
                <w:t>Form of Executive Employment Agreement (2014-2016) (incorporated by reference to Exhibit 10.3 to Enbridge’s Annual Report on Form 10-K f</w:t>
              </w:r>
              <w:r>
                <w:rPr>
                  <w:rStyle w:val="a3"/>
                  <w:rFonts w:ascii="Arial" w:eastAsia="Times New Roman" w:hAnsi="Arial" w:cs="Arial"/>
                  <w:sz w:val="20"/>
                  <w:szCs w:val="20"/>
                </w:rPr>
                <w:t>iled February 16, 2018)</w:t>
              </w:r>
            </w:hyperlink>
          </w:p>
        </w:tc>
      </w:tr>
      <w:tr w:rsidR="00000000">
        <w:trPr>
          <w:divId w:val="396780131"/>
          <w:jc w:val="center"/>
        </w:trPr>
        <w:tc>
          <w:tcPr>
            <w:tcW w:w="0" w:type="auto"/>
            <w:gridSpan w:val="3"/>
            <w:tcBorders>
              <w:top w:val="single" w:sz="8" w:space="0" w:color="000000"/>
              <w:left w:val="single" w:sz="8" w:space="0" w:color="000000"/>
            </w:tcBorders>
            <w:tcMar>
              <w:top w:w="30" w:type="dxa"/>
              <w:left w:w="20" w:type="dxa"/>
              <w:bottom w:w="30" w:type="dxa"/>
              <w:right w:w="20" w:type="dxa"/>
            </w:tcMar>
            <w:hideMark/>
          </w:tcPr>
          <w:p w:rsidR="00000000" w:rsidRDefault="001F1FC8">
            <w:pPr>
              <w:jc w:val="right"/>
              <w:rPr>
                <w:rFonts w:eastAsia="Times New Roman"/>
              </w:rPr>
            </w:pPr>
            <w:hyperlink r:id="rId110" w:history="1">
              <w:r>
                <w:rPr>
                  <w:rStyle w:val="a3"/>
                  <w:rFonts w:ascii="Arial" w:eastAsia="Times New Roman" w:hAnsi="Arial" w:cs="Arial"/>
                  <w:sz w:val="20"/>
                  <w:szCs w:val="20"/>
                </w:rPr>
                <w:t>10.9</w:t>
              </w:r>
            </w:hyperlink>
          </w:p>
        </w:tc>
        <w:tc>
          <w:tcPr>
            <w:tcW w:w="0" w:type="auto"/>
            <w:gridSpan w:val="3"/>
            <w:tcBorders>
              <w:top w:val="single" w:sz="8" w:space="0" w:color="000000"/>
              <w:left w:val="single" w:sz="8" w:space="0" w:color="000000"/>
            </w:tcBorders>
            <w:tcMar>
              <w:top w:w="30" w:type="dxa"/>
              <w:left w:w="20" w:type="dxa"/>
              <w:bottom w:w="30" w:type="dxa"/>
              <w:right w:w="20" w:type="dxa"/>
            </w:tcMar>
            <w:hideMark/>
          </w:tcPr>
          <w:p w:rsidR="00000000" w:rsidRDefault="001F1FC8">
            <w:pPr>
              <w:jc w:val="right"/>
              <w:rPr>
                <w:rFonts w:eastAsia="Times New Roman"/>
              </w:rPr>
            </w:pPr>
            <w:r>
              <w:rPr>
                <w:rFonts w:ascii="Arial" w:eastAsia="Times New Roman" w:hAnsi="Arial" w:cs="Arial"/>
                <w:color w:val="000000"/>
                <w:sz w:val="20"/>
                <w:szCs w:val="20"/>
              </w:rPr>
              <w:t>+</w:t>
            </w:r>
          </w:p>
        </w:tc>
        <w:tc>
          <w:tcPr>
            <w:tcW w:w="0" w:type="auto"/>
            <w:gridSpan w:val="3"/>
            <w:tcBorders>
              <w:top w:val="single" w:sz="8" w:space="0" w:color="000000"/>
              <w:left w:val="single" w:sz="8" w:space="0" w:color="000000"/>
              <w:right w:val="single" w:sz="8" w:space="0" w:color="000000"/>
            </w:tcBorders>
            <w:tcMar>
              <w:top w:w="30" w:type="dxa"/>
              <w:left w:w="20" w:type="dxa"/>
              <w:bottom w:w="30" w:type="dxa"/>
              <w:right w:w="20" w:type="dxa"/>
            </w:tcMar>
            <w:hideMark/>
          </w:tcPr>
          <w:p w:rsidR="00000000" w:rsidRDefault="001F1FC8">
            <w:pPr>
              <w:divId w:val="1909992316"/>
              <w:rPr>
                <w:rFonts w:eastAsia="Times New Roman"/>
              </w:rPr>
            </w:pPr>
            <w:hyperlink r:id="rId111" w:history="1">
              <w:r>
                <w:rPr>
                  <w:rStyle w:val="a3"/>
                  <w:rFonts w:ascii="Arial" w:eastAsia="Times New Roman" w:hAnsi="Arial" w:cs="Arial"/>
                  <w:sz w:val="20"/>
                  <w:szCs w:val="20"/>
                </w:rPr>
                <w:t>Form of Executive Employment Agreement (2017) (incorporated by reference to Exhibit 10.4 to Enbridge’s Annual Report on Form 10-K filed February</w:t>
              </w:r>
              <w:r>
                <w:rPr>
                  <w:rStyle w:val="a3"/>
                  <w:rFonts w:ascii="Arial" w:eastAsia="Times New Roman" w:hAnsi="Arial" w:cs="Arial"/>
                  <w:sz w:val="20"/>
                  <w:szCs w:val="20"/>
                </w:rPr>
                <w:t xml:space="preserve"> 16, 2018)</w:t>
              </w:r>
            </w:hyperlink>
          </w:p>
        </w:tc>
      </w:tr>
      <w:tr w:rsidR="00000000">
        <w:trPr>
          <w:divId w:val="396780131"/>
          <w:jc w:val="center"/>
        </w:trPr>
        <w:tc>
          <w:tcPr>
            <w:tcW w:w="0" w:type="auto"/>
            <w:gridSpan w:val="3"/>
            <w:tcBorders>
              <w:top w:val="single" w:sz="8" w:space="0" w:color="000000"/>
              <w:left w:val="single" w:sz="8" w:space="0" w:color="000000"/>
            </w:tcBorders>
            <w:tcMar>
              <w:top w:w="30" w:type="dxa"/>
              <w:left w:w="20" w:type="dxa"/>
              <w:bottom w:w="30" w:type="dxa"/>
              <w:right w:w="20" w:type="dxa"/>
            </w:tcMar>
            <w:hideMark/>
          </w:tcPr>
          <w:p w:rsidR="00000000" w:rsidRDefault="001F1FC8">
            <w:pPr>
              <w:jc w:val="right"/>
              <w:rPr>
                <w:rFonts w:eastAsia="Times New Roman"/>
              </w:rPr>
            </w:pPr>
            <w:hyperlink r:id="rId112" w:anchor="Exhibit10_1_092217" w:history="1">
              <w:r>
                <w:rPr>
                  <w:rStyle w:val="a3"/>
                  <w:rFonts w:ascii="Arial" w:eastAsia="Times New Roman" w:hAnsi="Arial" w:cs="Arial"/>
                  <w:sz w:val="20"/>
                  <w:szCs w:val="20"/>
                </w:rPr>
                <w:t>10.10</w:t>
              </w:r>
            </w:hyperlink>
          </w:p>
        </w:tc>
        <w:tc>
          <w:tcPr>
            <w:tcW w:w="0" w:type="auto"/>
            <w:gridSpan w:val="3"/>
            <w:tcBorders>
              <w:top w:val="single" w:sz="8" w:space="0" w:color="000000"/>
              <w:left w:val="single" w:sz="8" w:space="0" w:color="000000"/>
            </w:tcBorders>
            <w:tcMar>
              <w:top w:w="30" w:type="dxa"/>
              <w:left w:w="20" w:type="dxa"/>
              <w:bottom w:w="30" w:type="dxa"/>
              <w:right w:w="20" w:type="dxa"/>
            </w:tcMar>
            <w:hideMark/>
          </w:tcPr>
          <w:p w:rsidR="00000000" w:rsidRDefault="001F1FC8">
            <w:pPr>
              <w:jc w:val="right"/>
              <w:rPr>
                <w:rFonts w:eastAsia="Times New Roman"/>
              </w:rPr>
            </w:pPr>
            <w:r>
              <w:rPr>
                <w:rFonts w:ascii="Arial" w:eastAsia="Times New Roman" w:hAnsi="Arial" w:cs="Arial"/>
                <w:color w:val="000000"/>
                <w:sz w:val="20"/>
                <w:szCs w:val="20"/>
              </w:rPr>
              <w:t>+</w:t>
            </w:r>
          </w:p>
        </w:tc>
        <w:tc>
          <w:tcPr>
            <w:tcW w:w="0" w:type="auto"/>
            <w:gridSpan w:val="3"/>
            <w:tcBorders>
              <w:top w:val="single" w:sz="8" w:space="0" w:color="000000"/>
              <w:left w:val="single" w:sz="8" w:space="0" w:color="000000"/>
              <w:right w:val="single" w:sz="8" w:space="0" w:color="000000"/>
            </w:tcBorders>
            <w:tcMar>
              <w:top w:w="30" w:type="dxa"/>
              <w:left w:w="20" w:type="dxa"/>
              <w:bottom w:w="30" w:type="dxa"/>
              <w:right w:w="20" w:type="dxa"/>
            </w:tcMar>
            <w:hideMark/>
          </w:tcPr>
          <w:p w:rsidR="00000000" w:rsidRDefault="001F1FC8">
            <w:pPr>
              <w:divId w:val="1390765355"/>
              <w:rPr>
                <w:rFonts w:eastAsia="Times New Roman"/>
              </w:rPr>
            </w:pPr>
            <w:hyperlink r:id="rId113" w:anchor="Exhibit10_1_092217" w:history="1">
              <w:r>
                <w:rPr>
                  <w:rStyle w:val="a3"/>
                  <w:rFonts w:ascii="Arial" w:eastAsia="Times New Roman" w:hAnsi="Arial" w:cs="Arial"/>
                  <w:sz w:val="20"/>
                  <w:szCs w:val="20"/>
                </w:rPr>
                <w:t>Executive Employment Agreement between Enbridge Employee Services, Inc. and William T. Yardley, dated July 25, 2018 (incorporated by reference to Exhibit 10.1 to Enbridge’s Form 8-K filed July 27, 2018)</w:t>
              </w:r>
            </w:hyperlink>
          </w:p>
        </w:tc>
      </w:tr>
      <w:tr w:rsidR="00000000">
        <w:trPr>
          <w:divId w:val="396780131"/>
          <w:jc w:val="center"/>
        </w:trPr>
        <w:tc>
          <w:tcPr>
            <w:tcW w:w="0" w:type="auto"/>
            <w:gridSpan w:val="3"/>
            <w:tcBorders>
              <w:top w:val="single" w:sz="8" w:space="0" w:color="000000"/>
              <w:left w:val="single" w:sz="8" w:space="0" w:color="000000"/>
            </w:tcBorders>
            <w:tcMar>
              <w:top w:w="30" w:type="dxa"/>
              <w:left w:w="20" w:type="dxa"/>
              <w:bottom w:w="30" w:type="dxa"/>
              <w:right w:w="20" w:type="dxa"/>
            </w:tcMar>
            <w:hideMark/>
          </w:tcPr>
          <w:p w:rsidR="00000000" w:rsidRDefault="001F1FC8">
            <w:pPr>
              <w:jc w:val="right"/>
              <w:rPr>
                <w:rFonts w:eastAsia="Times New Roman"/>
              </w:rPr>
            </w:pPr>
            <w:hyperlink r:id="rId114" w:history="1">
              <w:r>
                <w:rPr>
                  <w:rStyle w:val="a3"/>
                  <w:rFonts w:ascii="Arial" w:eastAsia="Times New Roman" w:hAnsi="Arial" w:cs="Arial"/>
                  <w:sz w:val="20"/>
                  <w:szCs w:val="20"/>
                </w:rPr>
                <w:t>10.11</w:t>
              </w:r>
            </w:hyperlink>
          </w:p>
        </w:tc>
        <w:tc>
          <w:tcPr>
            <w:tcW w:w="0" w:type="auto"/>
            <w:gridSpan w:val="3"/>
            <w:tcBorders>
              <w:top w:val="single" w:sz="8" w:space="0" w:color="000000"/>
              <w:left w:val="single" w:sz="8" w:space="0" w:color="000000"/>
            </w:tcBorders>
            <w:tcMar>
              <w:top w:w="30" w:type="dxa"/>
              <w:left w:w="20" w:type="dxa"/>
              <w:bottom w:w="30" w:type="dxa"/>
              <w:right w:w="20" w:type="dxa"/>
            </w:tcMar>
            <w:hideMark/>
          </w:tcPr>
          <w:p w:rsidR="00000000" w:rsidRDefault="001F1FC8">
            <w:pPr>
              <w:jc w:val="right"/>
              <w:rPr>
                <w:rFonts w:eastAsia="Times New Roman"/>
              </w:rPr>
            </w:pPr>
            <w:r>
              <w:rPr>
                <w:rFonts w:ascii="Arial" w:eastAsia="Times New Roman" w:hAnsi="Arial" w:cs="Arial"/>
                <w:color w:val="000000"/>
                <w:sz w:val="20"/>
                <w:szCs w:val="20"/>
              </w:rPr>
              <w:t>+</w:t>
            </w:r>
          </w:p>
        </w:tc>
        <w:tc>
          <w:tcPr>
            <w:tcW w:w="0" w:type="auto"/>
            <w:gridSpan w:val="3"/>
            <w:tcBorders>
              <w:top w:val="single" w:sz="8" w:space="0" w:color="000000"/>
              <w:left w:val="single" w:sz="8" w:space="0" w:color="000000"/>
              <w:right w:val="single" w:sz="8" w:space="0" w:color="000000"/>
            </w:tcBorders>
            <w:tcMar>
              <w:top w:w="30" w:type="dxa"/>
              <w:left w:w="20" w:type="dxa"/>
              <w:bottom w:w="30" w:type="dxa"/>
              <w:right w:w="20" w:type="dxa"/>
            </w:tcMar>
            <w:hideMark/>
          </w:tcPr>
          <w:p w:rsidR="00000000" w:rsidRDefault="001F1FC8">
            <w:pPr>
              <w:divId w:val="927930514"/>
              <w:rPr>
                <w:rFonts w:eastAsia="Times New Roman"/>
              </w:rPr>
            </w:pPr>
            <w:hyperlink r:id="rId115" w:history="1">
              <w:r>
                <w:rPr>
                  <w:rStyle w:val="a3"/>
                  <w:rFonts w:ascii="Arial" w:eastAsia="Times New Roman" w:hAnsi="Arial" w:cs="Arial"/>
                  <w:sz w:val="20"/>
                  <w:szCs w:val="20"/>
                </w:rPr>
                <w:t>Form of Director Indemnity Agreement (2015) (i</w:t>
              </w:r>
              <w:r>
                <w:rPr>
                  <w:rStyle w:val="a3"/>
                  <w:rFonts w:ascii="Arial" w:eastAsia="Times New Roman" w:hAnsi="Arial" w:cs="Arial"/>
                  <w:sz w:val="20"/>
                  <w:szCs w:val="20"/>
                </w:rPr>
                <w:t>ncorporated by reference to Exhibit 10.11 to Enbridge’s Annual Report on Form 10-K filed February 15, 2019)</w:t>
              </w:r>
            </w:hyperlink>
          </w:p>
        </w:tc>
      </w:tr>
      <w:tr w:rsidR="00000000">
        <w:trPr>
          <w:divId w:val="396780131"/>
          <w:jc w:val="center"/>
        </w:trPr>
        <w:tc>
          <w:tcPr>
            <w:tcW w:w="0" w:type="auto"/>
            <w:gridSpan w:val="3"/>
            <w:tcBorders>
              <w:top w:val="single" w:sz="8" w:space="0" w:color="000000"/>
              <w:left w:val="single" w:sz="8" w:space="0" w:color="000000"/>
            </w:tcBorders>
            <w:tcMar>
              <w:top w:w="30" w:type="dxa"/>
              <w:left w:w="20" w:type="dxa"/>
              <w:bottom w:w="30" w:type="dxa"/>
              <w:right w:w="20" w:type="dxa"/>
            </w:tcMar>
            <w:hideMark/>
          </w:tcPr>
          <w:p w:rsidR="00000000" w:rsidRDefault="001F1FC8">
            <w:pPr>
              <w:jc w:val="right"/>
              <w:rPr>
                <w:rFonts w:eastAsia="Times New Roman"/>
              </w:rPr>
            </w:pPr>
            <w:hyperlink r:id="rId116" w:anchor="toc696360_43" w:history="1">
              <w:r>
                <w:rPr>
                  <w:rStyle w:val="a3"/>
                  <w:rFonts w:ascii="Arial" w:eastAsia="Times New Roman" w:hAnsi="Arial" w:cs="Arial"/>
                  <w:sz w:val="20"/>
                  <w:szCs w:val="20"/>
                </w:rPr>
                <w:t>10.12</w:t>
              </w:r>
            </w:hyperlink>
          </w:p>
        </w:tc>
        <w:tc>
          <w:tcPr>
            <w:tcW w:w="0" w:type="auto"/>
            <w:gridSpan w:val="3"/>
            <w:tcBorders>
              <w:top w:val="single" w:sz="8" w:space="0" w:color="000000"/>
              <w:left w:val="single" w:sz="8" w:space="0" w:color="000000"/>
            </w:tcBorders>
            <w:tcMar>
              <w:top w:w="30" w:type="dxa"/>
              <w:left w:w="20" w:type="dxa"/>
              <w:bottom w:w="30" w:type="dxa"/>
              <w:right w:w="20" w:type="dxa"/>
            </w:tcMar>
            <w:hideMark/>
          </w:tcPr>
          <w:p w:rsidR="00000000" w:rsidRDefault="001F1FC8">
            <w:pPr>
              <w:jc w:val="right"/>
              <w:rPr>
                <w:rFonts w:eastAsia="Times New Roman"/>
              </w:rPr>
            </w:pPr>
            <w:r>
              <w:rPr>
                <w:rFonts w:ascii="Arial" w:eastAsia="Times New Roman" w:hAnsi="Arial" w:cs="Arial"/>
                <w:color w:val="000000"/>
                <w:sz w:val="20"/>
                <w:szCs w:val="20"/>
              </w:rPr>
              <w:t>+</w:t>
            </w:r>
          </w:p>
        </w:tc>
        <w:tc>
          <w:tcPr>
            <w:tcW w:w="0" w:type="auto"/>
            <w:gridSpan w:val="3"/>
            <w:tcBorders>
              <w:top w:val="single" w:sz="8" w:space="0" w:color="000000"/>
              <w:left w:val="single" w:sz="8" w:space="0" w:color="000000"/>
              <w:right w:val="single" w:sz="8" w:space="0" w:color="000000"/>
            </w:tcBorders>
            <w:tcMar>
              <w:top w:w="30" w:type="dxa"/>
              <w:left w:w="20" w:type="dxa"/>
              <w:bottom w:w="30" w:type="dxa"/>
              <w:right w:w="20" w:type="dxa"/>
            </w:tcMar>
            <w:hideMark/>
          </w:tcPr>
          <w:p w:rsidR="00000000" w:rsidRDefault="001F1FC8">
            <w:pPr>
              <w:divId w:val="898203380"/>
              <w:rPr>
                <w:rFonts w:eastAsia="Times New Roman"/>
              </w:rPr>
            </w:pPr>
            <w:hyperlink r:id="rId117" w:anchor="toc696360_43" w:history="1">
              <w:r>
                <w:rPr>
                  <w:rStyle w:val="a3"/>
                  <w:rFonts w:ascii="Arial" w:eastAsia="Times New Roman" w:hAnsi="Arial" w:cs="Arial"/>
                  <w:sz w:val="20"/>
                  <w:szCs w:val="20"/>
                </w:rPr>
                <w:t>Enbridge</w:t>
              </w:r>
              <w:r>
                <w:rPr>
                  <w:rStyle w:val="a3"/>
                  <w:rFonts w:ascii="Arial" w:eastAsia="Times New Roman" w:hAnsi="Arial" w:cs="Arial"/>
                  <w:sz w:val="20"/>
                  <w:szCs w:val="20"/>
                </w:rPr>
                <w:t xml:space="preserve"> Inc. 2019 Long Term Incentive Plan (incorporated by reference to Appendix A to Enbridge’s Proxy Statement on Schedule 14A for Enbridge’s Annual Meeting of Shareholders (File No. 001-15254) filed March 27, 2019)</w:t>
              </w:r>
            </w:hyperlink>
          </w:p>
          <w:p w:rsidR="00000000" w:rsidRDefault="001F1FC8">
            <w:pPr>
              <w:divId w:val="2083600503"/>
              <w:rPr>
                <w:rFonts w:eastAsia="Times New Roman"/>
              </w:rPr>
            </w:pPr>
          </w:p>
        </w:tc>
      </w:tr>
      <w:tr w:rsidR="00000000">
        <w:trPr>
          <w:divId w:val="396780131"/>
          <w:jc w:val="center"/>
        </w:trPr>
        <w:tc>
          <w:tcPr>
            <w:tcW w:w="0" w:type="auto"/>
            <w:gridSpan w:val="3"/>
            <w:tcBorders>
              <w:top w:val="single" w:sz="8" w:space="0" w:color="000000"/>
              <w:left w:val="single" w:sz="8" w:space="0" w:color="000000"/>
            </w:tcBorders>
            <w:tcMar>
              <w:top w:w="30" w:type="dxa"/>
              <w:left w:w="20" w:type="dxa"/>
              <w:bottom w:w="30" w:type="dxa"/>
              <w:right w:w="20" w:type="dxa"/>
            </w:tcMar>
            <w:hideMark/>
          </w:tcPr>
          <w:p w:rsidR="00000000" w:rsidRDefault="001F1FC8">
            <w:pPr>
              <w:jc w:val="right"/>
              <w:rPr>
                <w:rFonts w:eastAsia="Times New Roman"/>
              </w:rPr>
            </w:pPr>
            <w:hyperlink r:id="rId118" w:history="1">
              <w:r>
                <w:rPr>
                  <w:rStyle w:val="a3"/>
                  <w:rFonts w:ascii="Arial" w:eastAsia="Times New Roman" w:hAnsi="Arial" w:cs="Arial"/>
                  <w:sz w:val="20"/>
                  <w:szCs w:val="20"/>
                </w:rPr>
                <w:t>10.13</w:t>
              </w:r>
            </w:hyperlink>
          </w:p>
        </w:tc>
        <w:tc>
          <w:tcPr>
            <w:tcW w:w="0" w:type="auto"/>
            <w:gridSpan w:val="3"/>
            <w:tcBorders>
              <w:top w:val="single" w:sz="8" w:space="0" w:color="000000"/>
              <w:left w:val="single" w:sz="8" w:space="0" w:color="000000"/>
            </w:tcBorders>
            <w:tcMar>
              <w:top w:w="0" w:type="dxa"/>
              <w:left w:w="20" w:type="dxa"/>
              <w:bottom w:w="0" w:type="dxa"/>
              <w:right w:w="20" w:type="dxa"/>
            </w:tcMar>
            <w:vAlign w:val="center"/>
            <w:hideMark/>
          </w:tcPr>
          <w:p w:rsidR="00000000" w:rsidRDefault="001F1FC8">
            <w:pPr>
              <w:jc w:val="right"/>
              <w:rPr>
                <w:rFonts w:eastAsia="Times New Roman"/>
              </w:rPr>
            </w:pPr>
          </w:p>
        </w:tc>
        <w:tc>
          <w:tcPr>
            <w:tcW w:w="0" w:type="auto"/>
            <w:gridSpan w:val="3"/>
            <w:tcBorders>
              <w:top w:val="single" w:sz="8" w:space="0" w:color="000000"/>
              <w:left w:val="single" w:sz="8" w:space="0" w:color="000000"/>
              <w:right w:val="single" w:sz="8" w:space="0" w:color="000000"/>
            </w:tcBorders>
            <w:tcMar>
              <w:top w:w="30" w:type="dxa"/>
              <w:left w:w="20" w:type="dxa"/>
              <w:bottom w:w="30" w:type="dxa"/>
              <w:right w:w="20" w:type="dxa"/>
            </w:tcMar>
            <w:hideMark/>
          </w:tcPr>
          <w:p w:rsidR="00000000" w:rsidRDefault="001F1FC8">
            <w:pPr>
              <w:divId w:val="1081176289"/>
              <w:rPr>
                <w:rFonts w:eastAsia="Times New Roman"/>
              </w:rPr>
            </w:pPr>
            <w:hyperlink r:id="rId119" w:history="1">
              <w:r>
                <w:rPr>
                  <w:rStyle w:val="a3"/>
                  <w:rFonts w:ascii="Arial" w:eastAsia="Times New Roman" w:hAnsi="Arial" w:cs="Arial"/>
                  <w:sz w:val="20"/>
                  <w:szCs w:val="20"/>
                </w:rPr>
                <w:t>Form of Enbridge Inc.</w:t>
              </w:r>
              <w:r>
                <w:rPr>
                  <w:rStyle w:val="a3"/>
                  <w:rFonts w:ascii="Arial" w:eastAsia="Times New Roman" w:hAnsi="Arial" w:cs="Arial"/>
                  <w:sz w:val="20"/>
                  <w:szCs w:val="20"/>
                </w:rPr>
                <w:t xml:space="preserve"> 2019 Long Term Incentive Plan Stock Option Grant Notice and Stock Option Award Agreement (2021) (incorporated by reference to Exhibit 10.1 to Enbridge’s Form 10-Q filed May 7, 2021)</w:t>
              </w:r>
            </w:hyperlink>
          </w:p>
        </w:tc>
      </w:tr>
      <w:tr w:rsidR="00000000">
        <w:trPr>
          <w:divId w:val="396780131"/>
          <w:jc w:val="center"/>
        </w:trPr>
        <w:tc>
          <w:tcPr>
            <w:tcW w:w="0" w:type="auto"/>
            <w:gridSpan w:val="3"/>
            <w:tcBorders>
              <w:top w:val="single" w:sz="8" w:space="0" w:color="000000"/>
              <w:left w:val="single" w:sz="8" w:space="0" w:color="000000"/>
            </w:tcBorders>
            <w:tcMar>
              <w:top w:w="30" w:type="dxa"/>
              <w:left w:w="20" w:type="dxa"/>
              <w:bottom w:w="30" w:type="dxa"/>
              <w:right w:w="20" w:type="dxa"/>
            </w:tcMar>
            <w:hideMark/>
          </w:tcPr>
          <w:p w:rsidR="00000000" w:rsidRDefault="001F1FC8">
            <w:pPr>
              <w:jc w:val="right"/>
              <w:rPr>
                <w:rFonts w:eastAsia="Times New Roman"/>
              </w:rPr>
            </w:pPr>
            <w:hyperlink r:id="rId120" w:history="1">
              <w:r>
                <w:rPr>
                  <w:rStyle w:val="a3"/>
                  <w:rFonts w:ascii="Arial" w:eastAsia="Times New Roman" w:hAnsi="Arial" w:cs="Arial"/>
                  <w:sz w:val="20"/>
                  <w:szCs w:val="20"/>
                </w:rPr>
                <w:t>10.14</w:t>
              </w:r>
            </w:hyperlink>
          </w:p>
        </w:tc>
        <w:tc>
          <w:tcPr>
            <w:tcW w:w="0" w:type="auto"/>
            <w:gridSpan w:val="3"/>
            <w:tcBorders>
              <w:top w:val="single" w:sz="8" w:space="0" w:color="000000"/>
              <w:left w:val="single" w:sz="8" w:space="0" w:color="000000"/>
            </w:tcBorders>
            <w:tcMar>
              <w:top w:w="0" w:type="dxa"/>
              <w:left w:w="20" w:type="dxa"/>
              <w:bottom w:w="0" w:type="dxa"/>
              <w:right w:w="20" w:type="dxa"/>
            </w:tcMar>
            <w:vAlign w:val="center"/>
            <w:hideMark/>
          </w:tcPr>
          <w:p w:rsidR="00000000" w:rsidRDefault="001F1FC8">
            <w:pPr>
              <w:jc w:val="right"/>
              <w:rPr>
                <w:rFonts w:eastAsia="Times New Roman"/>
              </w:rPr>
            </w:pPr>
          </w:p>
        </w:tc>
        <w:tc>
          <w:tcPr>
            <w:tcW w:w="0" w:type="auto"/>
            <w:gridSpan w:val="3"/>
            <w:tcBorders>
              <w:top w:val="single" w:sz="8" w:space="0" w:color="000000"/>
              <w:left w:val="single" w:sz="8" w:space="0" w:color="000000"/>
              <w:right w:val="single" w:sz="8" w:space="0" w:color="000000"/>
            </w:tcBorders>
            <w:tcMar>
              <w:top w:w="30" w:type="dxa"/>
              <w:left w:w="20" w:type="dxa"/>
              <w:bottom w:w="30" w:type="dxa"/>
              <w:right w:w="20" w:type="dxa"/>
            </w:tcMar>
            <w:hideMark/>
          </w:tcPr>
          <w:p w:rsidR="00000000" w:rsidRDefault="001F1FC8">
            <w:pPr>
              <w:divId w:val="169637634"/>
              <w:rPr>
                <w:rFonts w:eastAsia="Times New Roman"/>
              </w:rPr>
            </w:pPr>
            <w:hyperlink r:id="rId121" w:history="1">
              <w:r>
                <w:rPr>
                  <w:rStyle w:val="a3"/>
                  <w:rFonts w:ascii="Arial" w:eastAsia="Times New Roman" w:hAnsi="Arial" w:cs="Arial"/>
                  <w:sz w:val="20"/>
                  <w:szCs w:val="20"/>
                </w:rPr>
                <w:t>Form of Enbridge Inc. 2019 Long Term Incentive Plan Performance Stock Unit Grant Notice and Performance Stock Unit Award Agreement (2021) (incor</w:t>
              </w:r>
              <w:r>
                <w:rPr>
                  <w:rStyle w:val="a3"/>
                  <w:rFonts w:ascii="Arial" w:eastAsia="Times New Roman" w:hAnsi="Arial" w:cs="Arial"/>
                  <w:sz w:val="20"/>
                  <w:szCs w:val="20"/>
                </w:rPr>
                <w:t>porated by reference to Exhibit 10.2 to Enbridge’s Form 10-Q filed May 7, 2021)</w:t>
              </w:r>
            </w:hyperlink>
          </w:p>
        </w:tc>
      </w:tr>
      <w:tr w:rsidR="00000000">
        <w:trPr>
          <w:divId w:val="396780131"/>
          <w:jc w:val="center"/>
        </w:trPr>
        <w:tc>
          <w:tcPr>
            <w:tcW w:w="0" w:type="auto"/>
            <w:gridSpan w:val="3"/>
            <w:tcBorders>
              <w:top w:val="single" w:sz="8" w:space="0" w:color="000000"/>
              <w:left w:val="single" w:sz="8" w:space="0" w:color="000000"/>
            </w:tcBorders>
            <w:tcMar>
              <w:top w:w="30" w:type="dxa"/>
              <w:left w:w="20" w:type="dxa"/>
              <w:bottom w:w="30" w:type="dxa"/>
              <w:right w:w="20" w:type="dxa"/>
            </w:tcMar>
            <w:hideMark/>
          </w:tcPr>
          <w:p w:rsidR="00000000" w:rsidRDefault="001F1FC8">
            <w:pPr>
              <w:jc w:val="right"/>
              <w:rPr>
                <w:rFonts w:eastAsia="Times New Roman"/>
              </w:rPr>
            </w:pPr>
            <w:hyperlink r:id="rId122" w:history="1">
              <w:r>
                <w:rPr>
                  <w:rStyle w:val="a3"/>
                  <w:rFonts w:ascii="Arial" w:eastAsia="Times New Roman" w:hAnsi="Arial" w:cs="Arial"/>
                  <w:sz w:val="20"/>
                  <w:szCs w:val="20"/>
                </w:rPr>
                <w:t>10.15</w:t>
              </w:r>
            </w:hyperlink>
          </w:p>
        </w:tc>
        <w:tc>
          <w:tcPr>
            <w:tcW w:w="0" w:type="auto"/>
            <w:gridSpan w:val="3"/>
            <w:tcBorders>
              <w:top w:val="single" w:sz="8" w:space="0" w:color="000000"/>
              <w:left w:val="single" w:sz="8" w:space="0" w:color="000000"/>
            </w:tcBorders>
            <w:tcMar>
              <w:top w:w="0" w:type="dxa"/>
              <w:left w:w="20" w:type="dxa"/>
              <w:bottom w:w="0" w:type="dxa"/>
              <w:right w:w="20" w:type="dxa"/>
            </w:tcMar>
            <w:vAlign w:val="center"/>
            <w:hideMark/>
          </w:tcPr>
          <w:p w:rsidR="00000000" w:rsidRDefault="001F1FC8">
            <w:pPr>
              <w:jc w:val="right"/>
              <w:rPr>
                <w:rFonts w:eastAsia="Times New Roman"/>
              </w:rPr>
            </w:pPr>
          </w:p>
        </w:tc>
        <w:tc>
          <w:tcPr>
            <w:tcW w:w="0" w:type="auto"/>
            <w:gridSpan w:val="3"/>
            <w:tcBorders>
              <w:top w:val="single" w:sz="8" w:space="0" w:color="000000"/>
              <w:left w:val="single" w:sz="8" w:space="0" w:color="000000"/>
              <w:right w:val="single" w:sz="8" w:space="0" w:color="000000"/>
            </w:tcBorders>
            <w:tcMar>
              <w:top w:w="30" w:type="dxa"/>
              <w:left w:w="20" w:type="dxa"/>
              <w:bottom w:w="30" w:type="dxa"/>
              <w:right w:w="20" w:type="dxa"/>
            </w:tcMar>
            <w:hideMark/>
          </w:tcPr>
          <w:p w:rsidR="00000000" w:rsidRDefault="001F1FC8">
            <w:pPr>
              <w:divId w:val="1064567617"/>
              <w:rPr>
                <w:rFonts w:eastAsia="Times New Roman"/>
              </w:rPr>
            </w:pPr>
            <w:hyperlink r:id="rId123" w:history="1">
              <w:r>
                <w:rPr>
                  <w:rStyle w:val="a3"/>
                  <w:rFonts w:ascii="Arial" w:eastAsia="Times New Roman" w:hAnsi="Arial" w:cs="Arial"/>
                  <w:sz w:val="20"/>
                  <w:szCs w:val="20"/>
                </w:rPr>
                <w:t>Form of Enbridge Inc. 2019 Long Term Incentive Plan Restricted Stock Unit Grant Notice and Restricted Stock Unit Award Agreement (2021 Share-settled) (incorporated by reference to Exhibit 10.3 t</w:t>
              </w:r>
              <w:r>
                <w:rPr>
                  <w:rStyle w:val="a3"/>
                  <w:rFonts w:ascii="Arial" w:eastAsia="Times New Roman" w:hAnsi="Arial" w:cs="Arial"/>
                  <w:sz w:val="20"/>
                  <w:szCs w:val="20"/>
                </w:rPr>
                <w:t>o Enbridge’s Form 10-Q filed May 7, 2021)</w:t>
              </w:r>
            </w:hyperlink>
          </w:p>
        </w:tc>
      </w:tr>
      <w:tr w:rsidR="00000000">
        <w:trPr>
          <w:divId w:val="396780131"/>
          <w:jc w:val="center"/>
        </w:trPr>
        <w:tc>
          <w:tcPr>
            <w:tcW w:w="0" w:type="auto"/>
            <w:gridSpan w:val="3"/>
            <w:tcBorders>
              <w:top w:val="single" w:sz="8" w:space="0" w:color="000000"/>
              <w:left w:val="single" w:sz="8" w:space="0" w:color="000000"/>
            </w:tcBorders>
            <w:tcMar>
              <w:top w:w="30" w:type="dxa"/>
              <w:left w:w="20" w:type="dxa"/>
              <w:bottom w:w="30" w:type="dxa"/>
              <w:right w:w="20" w:type="dxa"/>
            </w:tcMar>
            <w:hideMark/>
          </w:tcPr>
          <w:p w:rsidR="00000000" w:rsidRDefault="001F1FC8">
            <w:pPr>
              <w:jc w:val="right"/>
              <w:rPr>
                <w:rFonts w:eastAsia="Times New Roman"/>
              </w:rPr>
            </w:pPr>
            <w:hyperlink r:id="rId124" w:history="1">
              <w:r>
                <w:rPr>
                  <w:rStyle w:val="a3"/>
                  <w:rFonts w:ascii="Arial" w:eastAsia="Times New Roman" w:hAnsi="Arial" w:cs="Arial"/>
                  <w:sz w:val="20"/>
                  <w:szCs w:val="20"/>
                </w:rPr>
                <w:t>10.16</w:t>
              </w:r>
            </w:hyperlink>
          </w:p>
        </w:tc>
        <w:tc>
          <w:tcPr>
            <w:tcW w:w="0" w:type="auto"/>
            <w:gridSpan w:val="3"/>
            <w:tcBorders>
              <w:top w:val="single" w:sz="8" w:space="0" w:color="000000"/>
              <w:left w:val="single" w:sz="8" w:space="0" w:color="000000"/>
            </w:tcBorders>
            <w:tcMar>
              <w:top w:w="0" w:type="dxa"/>
              <w:left w:w="20" w:type="dxa"/>
              <w:bottom w:w="0" w:type="dxa"/>
              <w:right w:w="20" w:type="dxa"/>
            </w:tcMar>
            <w:vAlign w:val="center"/>
            <w:hideMark/>
          </w:tcPr>
          <w:p w:rsidR="00000000" w:rsidRDefault="001F1FC8">
            <w:pPr>
              <w:jc w:val="right"/>
              <w:rPr>
                <w:rFonts w:eastAsia="Times New Roman"/>
              </w:rPr>
            </w:pPr>
          </w:p>
        </w:tc>
        <w:tc>
          <w:tcPr>
            <w:tcW w:w="0" w:type="auto"/>
            <w:gridSpan w:val="3"/>
            <w:tcBorders>
              <w:top w:val="single" w:sz="8" w:space="0" w:color="000000"/>
              <w:left w:val="single" w:sz="8" w:space="0" w:color="000000"/>
              <w:right w:val="single" w:sz="8" w:space="0" w:color="000000"/>
            </w:tcBorders>
            <w:tcMar>
              <w:top w:w="30" w:type="dxa"/>
              <w:left w:w="20" w:type="dxa"/>
              <w:bottom w:w="30" w:type="dxa"/>
              <w:right w:w="20" w:type="dxa"/>
            </w:tcMar>
            <w:hideMark/>
          </w:tcPr>
          <w:p w:rsidR="00000000" w:rsidRDefault="001F1FC8">
            <w:pPr>
              <w:divId w:val="1634797832"/>
              <w:rPr>
                <w:rFonts w:eastAsia="Times New Roman"/>
              </w:rPr>
            </w:pPr>
            <w:hyperlink r:id="rId125" w:history="1">
              <w:r>
                <w:rPr>
                  <w:rStyle w:val="a3"/>
                  <w:rFonts w:ascii="Arial" w:eastAsia="Times New Roman" w:hAnsi="Arial" w:cs="Arial"/>
                  <w:sz w:val="20"/>
                  <w:szCs w:val="20"/>
                </w:rPr>
                <w:t>Form of Enbridge Inc. 2019 Long Term Incentive Plan Restricted Stock Unit Grant Notice and Restricted Stock Unit Award Agreement (2021 Cash-settled) (incorporated by reference to Exhibit 10.4 to Enbridge’s Form 10-Q filed May 7, 202</w:t>
              </w:r>
              <w:r>
                <w:rPr>
                  <w:rStyle w:val="a3"/>
                  <w:rFonts w:ascii="Arial" w:eastAsia="Times New Roman" w:hAnsi="Arial" w:cs="Arial"/>
                  <w:sz w:val="20"/>
                  <w:szCs w:val="20"/>
                </w:rPr>
                <w:t>1)</w:t>
              </w:r>
            </w:hyperlink>
          </w:p>
        </w:tc>
      </w:tr>
      <w:tr w:rsidR="00000000">
        <w:trPr>
          <w:divId w:val="396780131"/>
          <w:jc w:val="center"/>
        </w:trPr>
        <w:tc>
          <w:tcPr>
            <w:tcW w:w="0" w:type="auto"/>
            <w:gridSpan w:val="3"/>
            <w:tcBorders>
              <w:top w:val="single" w:sz="8" w:space="0" w:color="000000"/>
              <w:left w:val="single" w:sz="8" w:space="0" w:color="000000"/>
            </w:tcBorders>
            <w:tcMar>
              <w:top w:w="30" w:type="dxa"/>
              <w:left w:w="20" w:type="dxa"/>
              <w:bottom w:w="30" w:type="dxa"/>
              <w:right w:w="20" w:type="dxa"/>
            </w:tcMar>
            <w:hideMark/>
          </w:tcPr>
          <w:p w:rsidR="00000000" w:rsidRDefault="001F1FC8">
            <w:pPr>
              <w:jc w:val="right"/>
              <w:rPr>
                <w:rFonts w:eastAsia="Times New Roman"/>
              </w:rPr>
            </w:pPr>
            <w:hyperlink r:id="rId126" w:history="1">
              <w:r>
                <w:rPr>
                  <w:rStyle w:val="a3"/>
                  <w:rFonts w:ascii="Arial" w:eastAsia="Times New Roman" w:hAnsi="Arial" w:cs="Arial"/>
                  <w:sz w:val="20"/>
                  <w:szCs w:val="20"/>
                </w:rPr>
                <w:t>10.17</w:t>
              </w:r>
            </w:hyperlink>
          </w:p>
        </w:tc>
        <w:tc>
          <w:tcPr>
            <w:tcW w:w="0" w:type="auto"/>
            <w:gridSpan w:val="3"/>
            <w:tcBorders>
              <w:top w:val="single" w:sz="8" w:space="0" w:color="000000"/>
              <w:left w:val="single" w:sz="8" w:space="0" w:color="000000"/>
            </w:tcBorders>
            <w:tcMar>
              <w:top w:w="0" w:type="dxa"/>
              <w:left w:w="20" w:type="dxa"/>
              <w:bottom w:w="0" w:type="dxa"/>
              <w:right w:w="20" w:type="dxa"/>
            </w:tcMar>
            <w:vAlign w:val="center"/>
            <w:hideMark/>
          </w:tcPr>
          <w:p w:rsidR="00000000" w:rsidRDefault="001F1FC8">
            <w:pPr>
              <w:jc w:val="right"/>
              <w:rPr>
                <w:rFonts w:eastAsia="Times New Roman"/>
              </w:rPr>
            </w:pPr>
          </w:p>
        </w:tc>
        <w:tc>
          <w:tcPr>
            <w:tcW w:w="0" w:type="auto"/>
            <w:gridSpan w:val="3"/>
            <w:tcBorders>
              <w:top w:val="single" w:sz="8" w:space="0" w:color="000000"/>
              <w:left w:val="single" w:sz="8" w:space="0" w:color="000000"/>
              <w:right w:val="single" w:sz="8" w:space="0" w:color="000000"/>
            </w:tcBorders>
            <w:tcMar>
              <w:top w:w="30" w:type="dxa"/>
              <w:left w:w="20" w:type="dxa"/>
              <w:bottom w:w="30" w:type="dxa"/>
              <w:right w:w="20" w:type="dxa"/>
            </w:tcMar>
            <w:hideMark/>
          </w:tcPr>
          <w:p w:rsidR="00000000" w:rsidRDefault="001F1FC8">
            <w:pPr>
              <w:divId w:val="73866130"/>
              <w:rPr>
                <w:rFonts w:eastAsia="Times New Roman"/>
              </w:rPr>
            </w:pPr>
            <w:hyperlink r:id="rId127" w:history="1">
              <w:r>
                <w:rPr>
                  <w:rStyle w:val="a3"/>
                  <w:rFonts w:ascii="Arial" w:eastAsia="Times New Roman" w:hAnsi="Arial" w:cs="Arial"/>
                  <w:sz w:val="20"/>
                  <w:szCs w:val="20"/>
                </w:rPr>
                <w:t>Form of Enbridge Inc. 2019 Long Term Incentive Plan Restricted Stock Unit - Energy Marketers Grant Notice and Restricted Stock Unit Award Agreem</w:t>
              </w:r>
              <w:r>
                <w:rPr>
                  <w:rStyle w:val="a3"/>
                  <w:rFonts w:ascii="Arial" w:eastAsia="Times New Roman" w:hAnsi="Arial" w:cs="Arial"/>
                  <w:sz w:val="20"/>
                  <w:szCs w:val="20"/>
                </w:rPr>
                <w:t>ent (2021) (incorporated by reference to Exhibit 10.5 to Enbridge’s Form 10-Q filed May 7, 2021)</w:t>
              </w:r>
            </w:hyperlink>
          </w:p>
        </w:tc>
      </w:tr>
      <w:tr w:rsidR="00000000">
        <w:trPr>
          <w:divId w:val="396780131"/>
          <w:jc w:val="center"/>
        </w:trPr>
        <w:tc>
          <w:tcPr>
            <w:tcW w:w="0" w:type="auto"/>
            <w:gridSpan w:val="3"/>
            <w:tcBorders>
              <w:top w:val="single" w:sz="8" w:space="0" w:color="000000"/>
              <w:left w:val="single" w:sz="8" w:space="0" w:color="000000"/>
            </w:tcBorders>
            <w:tcMar>
              <w:top w:w="30" w:type="dxa"/>
              <w:left w:w="20" w:type="dxa"/>
              <w:bottom w:w="30" w:type="dxa"/>
              <w:right w:w="20" w:type="dxa"/>
            </w:tcMar>
            <w:hideMark/>
          </w:tcPr>
          <w:p w:rsidR="00000000" w:rsidRDefault="001F1FC8">
            <w:pPr>
              <w:jc w:val="right"/>
              <w:rPr>
                <w:rFonts w:eastAsia="Times New Roman"/>
              </w:rPr>
            </w:pPr>
            <w:hyperlink r:id="rId128" w:history="1">
              <w:r>
                <w:rPr>
                  <w:rStyle w:val="a3"/>
                  <w:rFonts w:ascii="Arial" w:eastAsia="Times New Roman" w:hAnsi="Arial" w:cs="Arial"/>
                  <w:sz w:val="20"/>
                  <w:szCs w:val="20"/>
                </w:rPr>
                <w:t>10.1</w:t>
              </w:r>
            </w:hyperlink>
            <w:hyperlink r:id="rId129" w:history="1">
              <w:r>
                <w:rPr>
                  <w:rStyle w:val="a3"/>
                  <w:rFonts w:ascii="Arial" w:eastAsia="Times New Roman" w:hAnsi="Arial" w:cs="Arial"/>
                  <w:sz w:val="20"/>
                  <w:szCs w:val="20"/>
                </w:rPr>
                <w:t>8</w:t>
              </w:r>
            </w:hyperlink>
          </w:p>
        </w:tc>
        <w:tc>
          <w:tcPr>
            <w:tcW w:w="0" w:type="auto"/>
            <w:gridSpan w:val="3"/>
            <w:tcBorders>
              <w:top w:val="single" w:sz="8" w:space="0" w:color="000000"/>
              <w:left w:val="single" w:sz="8" w:space="0" w:color="000000"/>
            </w:tcBorders>
            <w:tcMar>
              <w:top w:w="30" w:type="dxa"/>
              <w:left w:w="20" w:type="dxa"/>
              <w:bottom w:w="30" w:type="dxa"/>
              <w:right w:w="20" w:type="dxa"/>
            </w:tcMar>
            <w:hideMark/>
          </w:tcPr>
          <w:p w:rsidR="00000000" w:rsidRDefault="001F1FC8">
            <w:pPr>
              <w:jc w:val="right"/>
              <w:rPr>
                <w:rFonts w:eastAsia="Times New Roman"/>
              </w:rPr>
            </w:pPr>
            <w:r>
              <w:rPr>
                <w:rFonts w:ascii="Arial" w:eastAsia="Times New Roman" w:hAnsi="Arial" w:cs="Arial"/>
                <w:color w:val="000000"/>
                <w:sz w:val="20"/>
                <w:szCs w:val="20"/>
              </w:rPr>
              <w:t>+</w:t>
            </w:r>
          </w:p>
        </w:tc>
        <w:tc>
          <w:tcPr>
            <w:tcW w:w="0" w:type="auto"/>
            <w:gridSpan w:val="3"/>
            <w:tcBorders>
              <w:top w:val="single" w:sz="8" w:space="0" w:color="000000"/>
              <w:left w:val="single" w:sz="8" w:space="0" w:color="000000"/>
              <w:right w:val="single" w:sz="8" w:space="0" w:color="000000"/>
            </w:tcBorders>
            <w:tcMar>
              <w:top w:w="30" w:type="dxa"/>
              <w:left w:w="20" w:type="dxa"/>
              <w:bottom w:w="30" w:type="dxa"/>
              <w:right w:w="20" w:type="dxa"/>
            </w:tcMar>
            <w:hideMark/>
          </w:tcPr>
          <w:p w:rsidR="00000000" w:rsidRDefault="001F1FC8">
            <w:pPr>
              <w:divId w:val="849293991"/>
              <w:rPr>
                <w:rFonts w:eastAsia="Times New Roman"/>
              </w:rPr>
            </w:pPr>
            <w:hyperlink r:id="rId130" w:history="1">
              <w:r>
                <w:rPr>
                  <w:rStyle w:val="a3"/>
                  <w:rFonts w:ascii="Arial" w:eastAsia="Times New Roman" w:hAnsi="Arial" w:cs="Arial"/>
                  <w:sz w:val="20"/>
                  <w:szCs w:val="20"/>
                </w:rPr>
                <w:t xml:space="preserve">Form of Enbridge Inc. 2019 Long </w:t>
              </w:r>
              <w:r>
                <w:rPr>
                  <w:rStyle w:val="a3"/>
                  <w:rFonts w:ascii="Arial" w:eastAsia="Times New Roman" w:hAnsi="Arial" w:cs="Arial"/>
                  <w:sz w:val="20"/>
                  <w:szCs w:val="20"/>
                </w:rPr>
                <w:t xml:space="preserve">Term Incentive Plan Stock Option Grant Notice and Stock Option Award Agreement (2020) (incorporated by reference to Exhibit 10.1 to Enbridge’s Form 10-Q filed May 7, 2020) </w:t>
              </w:r>
            </w:hyperlink>
          </w:p>
        </w:tc>
      </w:tr>
      <w:tr w:rsidR="00000000">
        <w:trPr>
          <w:divId w:val="396780131"/>
          <w:jc w:val="center"/>
        </w:trPr>
        <w:tc>
          <w:tcPr>
            <w:tcW w:w="0" w:type="auto"/>
            <w:gridSpan w:val="3"/>
            <w:tcBorders>
              <w:top w:val="single" w:sz="8" w:space="0" w:color="000000"/>
              <w:left w:val="single" w:sz="8" w:space="0" w:color="000000"/>
            </w:tcBorders>
            <w:tcMar>
              <w:top w:w="30" w:type="dxa"/>
              <w:left w:w="20" w:type="dxa"/>
              <w:bottom w:w="30" w:type="dxa"/>
              <w:right w:w="20" w:type="dxa"/>
            </w:tcMar>
            <w:hideMark/>
          </w:tcPr>
          <w:p w:rsidR="00000000" w:rsidRDefault="001F1FC8">
            <w:pPr>
              <w:jc w:val="right"/>
              <w:rPr>
                <w:rFonts w:eastAsia="Times New Roman"/>
              </w:rPr>
            </w:pPr>
            <w:hyperlink r:id="rId131" w:history="1">
              <w:r>
                <w:rPr>
                  <w:rStyle w:val="a3"/>
                  <w:rFonts w:ascii="Arial" w:eastAsia="Times New Roman" w:hAnsi="Arial" w:cs="Arial"/>
                  <w:sz w:val="20"/>
                  <w:szCs w:val="20"/>
                </w:rPr>
                <w:t>10.1</w:t>
              </w:r>
            </w:hyperlink>
            <w:hyperlink r:id="rId132" w:history="1">
              <w:r>
                <w:rPr>
                  <w:rStyle w:val="a3"/>
                  <w:rFonts w:ascii="Arial" w:eastAsia="Times New Roman" w:hAnsi="Arial" w:cs="Arial"/>
                  <w:sz w:val="20"/>
                  <w:szCs w:val="20"/>
                </w:rPr>
                <w:t>9</w:t>
              </w:r>
            </w:hyperlink>
          </w:p>
        </w:tc>
        <w:tc>
          <w:tcPr>
            <w:tcW w:w="0" w:type="auto"/>
            <w:gridSpan w:val="3"/>
            <w:tcBorders>
              <w:top w:val="single" w:sz="8" w:space="0" w:color="000000"/>
              <w:left w:val="single" w:sz="8" w:space="0" w:color="000000"/>
            </w:tcBorders>
            <w:tcMar>
              <w:top w:w="30" w:type="dxa"/>
              <w:left w:w="20" w:type="dxa"/>
              <w:bottom w:w="30" w:type="dxa"/>
              <w:right w:w="20" w:type="dxa"/>
            </w:tcMar>
            <w:hideMark/>
          </w:tcPr>
          <w:p w:rsidR="00000000" w:rsidRDefault="001F1FC8">
            <w:pPr>
              <w:jc w:val="right"/>
              <w:rPr>
                <w:rFonts w:eastAsia="Times New Roman"/>
              </w:rPr>
            </w:pPr>
            <w:r>
              <w:rPr>
                <w:rFonts w:ascii="Arial" w:eastAsia="Times New Roman" w:hAnsi="Arial" w:cs="Arial"/>
                <w:color w:val="000000"/>
                <w:sz w:val="20"/>
                <w:szCs w:val="20"/>
              </w:rPr>
              <w:t>+</w:t>
            </w:r>
          </w:p>
        </w:tc>
        <w:tc>
          <w:tcPr>
            <w:tcW w:w="0" w:type="auto"/>
            <w:gridSpan w:val="3"/>
            <w:tcBorders>
              <w:left w:val="single" w:sz="8" w:space="0" w:color="000000"/>
              <w:right w:val="single" w:sz="8" w:space="0" w:color="000000"/>
            </w:tcBorders>
            <w:tcMar>
              <w:top w:w="30" w:type="dxa"/>
              <w:left w:w="20" w:type="dxa"/>
              <w:bottom w:w="30" w:type="dxa"/>
              <w:right w:w="20" w:type="dxa"/>
            </w:tcMar>
            <w:hideMark/>
          </w:tcPr>
          <w:p w:rsidR="00000000" w:rsidRDefault="001F1FC8">
            <w:pPr>
              <w:divId w:val="1164124475"/>
              <w:rPr>
                <w:rFonts w:eastAsia="Times New Roman"/>
              </w:rPr>
            </w:pPr>
            <w:hyperlink r:id="rId133" w:history="1">
              <w:r>
                <w:rPr>
                  <w:rStyle w:val="a3"/>
                  <w:rFonts w:ascii="Arial" w:eastAsia="Times New Roman" w:hAnsi="Arial" w:cs="Arial"/>
                  <w:sz w:val="20"/>
                  <w:szCs w:val="20"/>
                </w:rPr>
                <w:t>Form of Enbridge Inc. 2019 Long Term Incentive Plan Performance Stock Unit Grant Notice and Performance Stock Unit Award Agreement (2020) (incorpora</w:t>
              </w:r>
              <w:r>
                <w:rPr>
                  <w:rStyle w:val="a3"/>
                  <w:rFonts w:ascii="Arial" w:eastAsia="Times New Roman" w:hAnsi="Arial" w:cs="Arial"/>
                  <w:sz w:val="20"/>
                  <w:szCs w:val="20"/>
                </w:rPr>
                <w:t>ted by reference to Exhibit 10.2 to Enbridge’s Form 10-Q filed May 7, 2020)</w:t>
              </w:r>
            </w:hyperlink>
          </w:p>
        </w:tc>
      </w:tr>
      <w:tr w:rsidR="00000000">
        <w:trPr>
          <w:divId w:val="396780131"/>
          <w:jc w:val="center"/>
        </w:trPr>
        <w:tc>
          <w:tcPr>
            <w:tcW w:w="0" w:type="auto"/>
            <w:gridSpan w:val="3"/>
            <w:tcBorders>
              <w:top w:val="single" w:sz="8" w:space="0" w:color="000000"/>
              <w:left w:val="single" w:sz="8" w:space="0" w:color="000000"/>
            </w:tcBorders>
            <w:tcMar>
              <w:top w:w="30" w:type="dxa"/>
              <w:left w:w="20" w:type="dxa"/>
              <w:bottom w:w="30" w:type="dxa"/>
              <w:right w:w="20" w:type="dxa"/>
            </w:tcMar>
            <w:hideMark/>
          </w:tcPr>
          <w:p w:rsidR="00000000" w:rsidRDefault="001F1FC8">
            <w:pPr>
              <w:jc w:val="right"/>
              <w:rPr>
                <w:rFonts w:eastAsia="Times New Roman"/>
              </w:rPr>
            </w:pPr>
            <w:hyperlink r:id="rId134" w:history="1">
              <w:r>
                <w:rPr>
                  <w:rStyle w:val="a3"/>
                  <w:rFonts w:ascii="Arial" w:eastAsia="Times New Roman" w:hAnsi="Arial" w:cs="Arial"/>
                  <w:sz w:val="20"/>
                  <w:szCs w:val="20"/>
                </w:rPr>
                <w:t>10.</w:t>
              </w:r>
            </w:hyperlink>
            <w:hyperlink r:id="rId135" w:history="1">
              <w:r>
                <w:rPr>
                  <w:rStyle w:val="a3"/>
                  <w:rFonts w:ascii="Arial" w:eastAsia="Times New Roman" w:hAnsi="Arial" w:cs="Arial"/>
                  <w:sz w:val="20"/>
                  <w:szCs w:val="20"/>
                </w:rPr>
                <w:t>20</w:t>
              </w:r>
            </w:hyperlink>
          </w:p>
        </w:tc>
        <w:tc>
          <w:tcPr>
            <w:tcW w:w="0" w:type="auto"/>
            <w:gridSpan w:val="3"/>
            <w:tcBorders>
              <w:top w:val="single" w:sz="8" w:space="0" w:color="000000"/>
              <w:left w:val="single" w:sz="8" w:space="0" w:color="000000"/>
            </w:tcBorders>
            <w:tcMar>
              <w:top w:w="30" w:type="dxa"/>
              <w:left w:w="20" w:type="dxa"/>
              <w:bottom w:w="30" w:type="dxa"/>
              <w:right w:w="20" w:type="dxa"/>
            </w:tcMar>
            <w:hideMark/>
          </w:tcPr>
          <w:p w:rsidR="00000000" w:rsidRDefault="001F1FC8">
            <w:pPr>
              <w:jc w:val="right"/>
              <w:rPr>
                <w:rFonts w:eastAsia="Times New Roman"/>
              </w:rPr>
            </w:pPr>
            <w:r>
              <w:rPr>
                <w:rFonts w:ascii="Arial" w:eastAsia="Times New Roman" w:hAnsi="Arial" w:cs="Arial"/>
                <w:color w:val="000000"/>
                <w:sz w:val="20"/>
                <w:szCs w:val="20"/>
              </w:rPr>
              <w:t>+</w:t>
            </w:r>
          </w:p>
        </w:tc>
        <w:tc>
          <w:tcPr>
            <w:tcW w:w="0" w:type="auto"/>
            <w:gridSpan w:val="3"/>
            <w:tcBorders>
              <w:left w:val="single" w:sz="8" w:space="0" w:color="000000"/>
              <w:right w:val="single" w:sz="8" w:space="0" w:color="000000"/>
            </w:tcBorders>
            <w:tcMar>
              <w:top w:w="30" w:type="dxa"/>
              <w:left w:w="20" w:type="dxa"/>
              <w:bottom w:w="30" w:type="dxa"/>
              <w:right w:w="20" w:type="dxa"/>
            </w:tcMar>
            <w:hideMark/>
          </w:tcPr>
          <w:p w:rsidR="00000000" w:rsidRDefault="001F1FC8">
            <w:pPr>
              <w:divId w:val="1578782812"/>
              <w:rPr>
                <w:rFonts w:eastAsia="Times New Roman"/>
              </w:rPr>
            </w:pPr>
            <w:hyperlink r:id="rId136" w:history="1">
              <w:r>
                <w:rPr>
                  <w:rStyle w:val="a3"/>
                  <w:rFonts w:ascii="Arial" w:eastAsia="Times New Roman" w:hAnsi="Arial" w:cs="Arial"/>
                  <w:sz w:val="20"/>
                  <w:szCs w:val="20"/>
                </w:rPr>
                <w:t>Form of Enbridge Inc. 2019 Long Term Incentive Plan Restricted Stock Unit Grant Notice and Restri</w:t>
              </w:r>
              <w:r>
                <w:rPr>
                  <w:rStyle w:val="a3"/>
                  <w:rFonts w:ascii="Arial" w:eastAsia="Times New Roman" w:hAnsi="Arial" w:cs="Arial"/>
                  <w:sz w:val="20"/>
                  <w:szCs w:val="20"/>
                </w:rPr>
                <w:t>cted Stock Unit Award Agreement (2020 Share-settled) (incorporated by reference to Exhibit 10.3 to Enbridge’s Form 10-Q filed May 7, 2020)</w:t>
              </w:r>
            </w:hyperlink>
          </w:p>
        </w:tc>
      </w:tr>
      <w:tr w:rsidR="00000000">
        <w:trPr>
          <w:divId w:val="396780131"/>
          <w:jc w:val="center"/>
        </w:trPr>
        <w:tc>
          <w:tcPr>
            <w:tcW w:w="0" w:type="auto"/>
            <w:gridSpan w:val="3"/>
            <w:tcBorders>
              <w:top w:val="single" w:sz="8" w:space="0" w:color="000000"/>
              <w:left w:val="single" w:sz="8" w:space="0" w:color="000000"/>
            </w:tcBorders>
            <w:tcMar>
              <w:top w:w="30" w:type="dxa"/>
              <w:left w:w="20" w:type="dxa"/>
              <w:bottom w:w="30" w:type="dxa"/>
              <w:right w:w="20" w:type="dxa"/>
            </w:tcMar>
            <w:hideMark/>
          </w:tcPr>
          <w:p w:rsidR="00000000" w:rsidRDefault="001F1FC8">
            <w:pPr>
              <w:jc w:val="right"/>
              <w:rPr>
                <w:rFonts w:eastAsia="Times New Roman"/>
              </w:rPr>
            </w:pPr>
            <w:hyperlink r:id="rId137" w:history="1">
              <w:r>
                <w:rPr>
                  <w:rStyle w:val="a3"/>
                  <w:rFonts w:ascii="Arial" w:eastAsia="Times New Roman" w:hAnsi="Arial" w:cs="Arial"/>
                  <w:sz w:val="20"/>
                  <w:szCs w:val="20"/>
                </w:rPr>
                <w:t>10.</w:t>
              </w:r>
            </w:hyperlink>
            <w:hyperlink r:id="rId138" w:history="1">
              <w:r>
                <w:rPr>
                  <w:rStyle w:val="a3"/>
                  <w:rFonts w:ascii="Arial" w:eastAsia="Times New Roman" w:hAnsi="Arial" w:cs="Arial"/>
                  <w:sz w:val="20"/>
                  <w:szCs w:val="20"/>
                </w:rPr>
                <w:t>21</w:t>
              </w:r>
            </w:hyperlink>
          </w:p>
        </w:tc>
        <w:tc>
          <w:tcPr>
            <w:tcW w:w="0" w:type="auto"/>
            <w:gridSpan w:val="3"/>
            <w:tcBorders>
              <w:top w:val="single" w:sz="8" w:space="0" w:color="000000"/>
              <w:left w:val="single" w:sz="8" w:space="0" w:color="000000"/>
            </w:tcBorders>
            <w:tcMar>
              <w:top w:w="30" w:type="dxa"/>
              <w:left w:w="20" w:type="dxa"/>
              <w:bottom w:w="30" w:type="dxa"/>
              <w:right w:w="20" w:type="dxa"/>
            </w:tcMar>
            <w:hideMark/>
          </w:tcPr>
          <w:p w:rsidR="00000000" w:rsidRDefault="001F1FC8">
            <w:pPr>
              <w:jc w:val="right"/>
              <w:rPr>
                <w:rFonts w:eastAsia="Times New Roman"/>
              </w:rPr>
            </w:pPr>
            <w:r>
              <w:rPr>
                <w:rFonts w:ascii="Arial" w:eastAsia="Times New Roman" w:hAnsi="Arial" w:cs="Arial"/>
                <w:color w:val="000000"/>
                <w:sz w:val="20"/>
                <w:szCs w:val="20"/>
              </w:rPr>
              <w:t>+</w:t>
            </w:r>
          </w:p>
        </w:tc>
        <w:tc>
          <w:tcPr>
            <w:tcW w:w="0" w:type="auto"/>
            <w:gridSpan w:val="3"/>
            <w:tcBorders>
              <w:left w:val="single" w:sz="8" w:space="0" w:color="000000"/>
              <w:right w:val="single" w:sz="8" w:space="0" w:color="000000"/>
            </w:tcBorders>
            <w:tcMar>
              <w:top w:w="30" w:type="dxa"/>
              <w:left w:w="20" w:type="dxa"/>
              <w:bottom w:w="30" w:type="dxa"/>
              <w:right w:w="20" w:type="dxa"/>
            </w:tcMar>
            <w:hideMark/>
          </w:tcPr>
          <w:p w:rsidR="00000000" w:rsidRDefault="001F1FC8">
            <w:pPr>
              <w:divId w:val="1734311776"/>
              <w:rPr>
                <w:rFonts w:eastAsia="Times New Roman"/>
              </w:rPr>
            </w:pPr>
            <w:hyperlink r:id="rId139" w:history="1">
              <w:r>
                <w:rPr>
                  <w:rStyle w:val="a3"/>
                  <w:rFonts w:ascii="Arial" w:eastAsia="Times New Roman" w:hAnsi="Arial" w:cs="Arial"/>
                  <w:sz w:val="20"/>
                  <w:szCs w:val="20"/>
                </w:rPr>
                <w:t>Form of Enbridge Inc. 2019 Long</w:t>
              </w:r>
              <w:r>
                <w:rPr>
                  <w:rStyle w:val="a3"/>
                  <w:rFonts w:ascii="Arial" w:eastAsia="Times New Roman" w:hAnsi="Arial" w:cs="Arial"/>
                  <w:sz w:val="20"/>
                  <w:szCs w:val="20"/>
                </w:rPr>
                <w:t xml:space="preserve"> Term Incentive Plan Restricted Stock Unit Grant Notice and Restricted Stock Unit Award Agreement (2020 Cash-settled) (incorporated by reference to Exhibit 10.4 to Enbridge’s Form 10-Q filed May 7, 2020)</w:t>
              </w:r>
            </w:hyperlink>
          </w:p>
        </w:tc>
      </w:tr>
      <w:tr w:rsidR="00000000">
        <w:trPr>
          <w:divId w:val="396780131"/>
          <w:jc w:val="center"/>
        </w:trPr>
        <w:tc>
          <w:tcPr>
            <w:tcW w:w="0" w:type="auto"/>
            <w:gridSpan w:val="3"/>
            <w:tcBorders>
              <w:top w:val="single" w:sz="8" w:space="0" w:color="000000"/>
              <w:left w:val="single" w:sz="8" w:space="0" w:color="000000"/>
            </w:tcBorders>
            <w:tcMar>
              <w:top w:w="30" w:type="dxa"/>
              <w:left w:w="20" w:type="dxa"/>
              <w:bottom w:w="30" w:type="dxa"/>
              <w:right w:w="20" w:type="dxa"/>
            </w:tcMar>
            <w:hideMark/>
          </w:tcPr>
          <w:p w:rsidR="00000000" w:rsidRDefault="001F1FC8">
            <w:pPr>
              <w:jc w:val="right"/>
              <w:rPr>
                <w:rFonts w:eastAsia="Times New Roman"/>
              </w:rPr>
            </w:pPr>
            <w:hyperlink r:id="rId140" w:history="1">
              <w:r>
                <w:rPr>
                  <w:rStyle w:val="a3"/>
                  <w:rFonts w:ascii="Arial" w:eastAsia="Times New Roman" w:hAnsi="Arial" w:cs="Arial"/>
                  <w:sz w:val="20"/>
                  <w:szCs w:val="20"/>
                </w:rPr>
                <w:t>10.</w:t>
              </w:r>
            </w:hyperlink>
            <w:hyperlink r:id="rId141" w:history="1">
              <w:r>
                <w:rPr>
                  <w:rStyle w:val="a3"/>
                  <w:rFonts w:ascii="Arial" w:eastAsia="Times New Roman" w:hAnsi="Arial" w:cs="Arial"/>
                  <w:sz w:val="20"/>
                  <w:szCs w:val="20"/>
                </w:rPr>
                <w:t>22</w:t>
              </w:r>
            </w:hyperlink>
          </w:p>
        </w:tc>
        <w:tc>
          <w:tcPr>
            <w:tcW w:w="0" w:type="auto"/>
            <w:gridSpan w:val="3"/>
            <w:tcBorders>
              <w:top w:val="single" w:sz="8" w:space="0" w:color="000000"/>
              <w:left w:val="single" w:sz="8" w:space="0" w:color="000000"/>
            </w:tcBorders>
            <w:tcMar>
              <w:top w:w="30" w:type="dxa"/>
              <w:left w:w="20" w:type="dxa"/>
              <w:bottom w:w="30" w:type="dxa"/>
              <w:right w:w="20" w:type="dxa"/>
            </w:tcMar>
            <w:hideMark/>
          </w:tcPr>
          <w:p w:rsidR="00000000" w:rsidRDefault="001F1FC8">
            <w:pPr>
              <w:jc w:val="right"/>
              <w:rPr>
                <w:rFonts w:eastAsia="Times New Roman"/>
              </w:rPr>
            </w:pPr>
            <w:r>
              <w:rPr>
                <w:rFonts w:ascii="Arial" w:eastAsia="Times New Roman" w:hAnsi="Arial" w:cs="Arial"/>
                <w:color w:val="000000"/>
                <w:sz w:val="20"/>
                <w:szCs w:val="20"/>
              </w:rPr>
              <w:t>+</w:t>
            </w:r>
          </w:p>
        </w:tc>
        <w:tc>
          <w:tcPr>
            <w:tcW w:w="0" w:type="auto"/>
            <w:gridSpan w:val="3"/>
            <w:tcBorders>
              <w:top w:val="single" w:sz="8" w:space="0" w:color="000000"/>
              <w:left w:val="single" w:sz="8" w:space="0" w:color="000000"/>
              <w:right w:val="single" w:sz="8" w:space="0" w:color="000000"/>
            </w:tcBorders>
            <w:tcMar>
              <w:top w:w="30" w:type="dxa"/>
              <w:left w:w="20" w:type="dxa"/>
              <w:bottom w:w="30" w:type="dxa"/>
              <w:right w:w="20" w:type="dxa"/>
            </w:tcMar>
            <w:hideMark/>
          </w:tcPr>
          <w:p w:rsidR="00000000" w:rsidRDefault="001F1FC8">
            <w:pPr>
              <w:divId w:val="1109088378"/>
              <w:rPr>
                <w:rFonts w:eastAsia="Times New Roman"/>
              </w:rPr>
            </w:pPr>
            <w:hyperlink r:id="rId142" w:history="1">
              <w:r>
                <w:rPr>
                  <w:rStyle w:val="a3"/>
                  <w:rFonts w:ascii="Arial" w:eastAsia="Times New Roman" w:hAnsi="Arial" w:cs="Arial"/>
                  <w:sz w:val="20"/>
                  <w:szCs w:val="20"/>
                </w:rPr>
                <w:t>Form of Enbridge Inc. 2019 Long Term Incentive Plan Stock Option Grant Notice and Stock Option Award Agreement (incorporated by reference to Exhibit 10.4 to Enbridge’s Form 10-</w:t>
              </w:r>
              <w:r>
                <w:rPr>
                  <w:rStyle w:val="a3"/>
                  <w:rFonts w:ascii="Arial" w:eastAsia="Times New Roman" w:hAnsi="Arial" w:cs="Arial"/>
                  <w:sz w:val="20"/>
                  <w:szCs w:val="20"/>
                </w:rPr>
                <w:t>Q filed May 10, 2019)</w:t>
              </w:r>
            </w:hyperlink>
          </w:p>
          <w:p w:rsidR="00000000" w:rsidRDefault="001F1FC8">
            <w:pPr>
              <w:divId w:val="1698047189"/>
              <w:rPr>
                <w:rFonts w:eastAsia="Times New Roman"/>
              </w:rPr>
            </w:pPr>
          </w:p>
        </w:tc>
      </w:tr>
      <w:tr w:rsidR="00000000">
        <w:trPr>
          <w:divId w:val="396780131"/>
          <w:jc w:val="center"/>
        </w:trPr>
        <w:tc>
          <w:tcPr>
            <w:tcW w:w="0" w:type="auto"/>
            <w:gridSpan w:val="3"/>
            <w:tcBorders>
              <w:top w:val="single" w:sz="8" w:space="0" w:color="000000"/>
              <w:left w:val="single" w:sz="8" w:space="0" w:color="000000"/>
              <w:bottom w:val="single" w:sz="8" w:space="0" w:color="000000"/>
            </w:tcBorders>
            <w:tcMar>
              <w:top w:w="30" w:type="dxa"/>
              <w:left w:w="20" w:type="dxa"/>
              <w:bottom w:w="30" w:type="dxa"/>
              <w:right w:w="20" w:type="dxa"/>
            </w:tcMar>
            <w:hideMark/>
          </w:tcPr>
          <w:p w:rsidR="00000000" w:rsidRDefault="001F1FC8">
            <w:pPr>
              <w:jc w:val="right"/>
              <w:rPr>
                <w:rFonts w:eastAsia="Times New Roman"/>
              </w:rPr>
            </w:pPr>
            <w:hyperlink r:id="rId143" w:history="1">
              <w:r>
                <w:rPr>
                  <w:rStyle w:val="a3"/>
                  <w:rFonts w:ascii="Arial" w:eastAsia="Times New Roman" w:hAnsi="Arial" w:cs="Arial"/>
                  <w:sz w:val="20"/>
                  <w:szCs w:val="20"/>
                </w:rPr>
                <w:t>10.</w:t>
              </w:r>
            </w:hyperlink>
            <w:hyperlink r:id="rId144" w:history="1">
              <w:r>
                <w:rPr>
                  <w:rStyle w:val="a3"/>
                  <w:rFonts w:ascii="Arial" w:eastAsia="Times New Roman" w:hAnsi="Arial" w:cs="Arial"/>
                  <w:sz w:val="20"/>
                  <w:szCs w:val="20"/>
                </w:rPr>
                <w:t>23</w:t>
              </w:r>
            </w:hyperlink>
          </w:p>
        </w:tc>
        <w:tc>
          <w:tcPr>
            <w:tcW w:w="0" w:type="auto"/>
            <w:gridSpan w:val="3"/>
            <w:tcBorders>
              <w:top w:val="single" w:sz="8" w:space="0" w:color="000000"/>
              <w:left w:val="single" w:sz="8" w:space="0" w:color="000000"/>
              <w:bottom w:val="single" w:sz="8" w:space="0" w:color="000000"/>
            </w:tcBorders>
            <w:tcMar>
              <w:top w:w="30" w:type="dxa"/>
              <w:left w:w="20" w:type="dxa"/>
              <w:bottom w:w="30" w:type="dxa"/>
              <w:right w:w="20" w:type="dxa"/>
            </w:tcMar>
            <w:hideMark/>
          </w:tcPr>
          <w:p w:rsidR="00000000" w:rsidRDefault="001F1FC8">
            <w:pPr>
              <w:jc w:val="right"/>
              <w:rPr>
                <w:rFonts w:eastAsia="Times New Roman"/>
              </w:rPr>
            </w:pPr>
            <w:r>
              <w:rPr>
                <w:rFonts w:ascii="Arial" w:eastAsia="Times New Roman" w:hAnsi="Arial" w:cs="Arial"/>
                <w:color w:val="000000"/>
                <w:sz w:val="20"/>
                <w:szCs w:val="20"/>
              </w:rPr>
              <w:t>+</w:t>
            </w:r>
          </w:p>
        </w:tc>
        <w:tc>
          <w:tcPr>
            <w:tcW w:w="0" w:type="auto"/>
            <w:gridSpan w:val="3"/>
            <w:tcBorders>
              <w:top w:val="single" w:sz="8" w:space="0" w:color="000000"/>
              <w:left w:val="single" w:sz="8" w:space="0" w:color="000000"/>
              <w:bottom w:val="single" w:sz="8" w:space="0" w:color="000000"/>
              <w:right w:val="single" w:sz="8" w:space="0" w:color="000000"/>
            </w:tcBorders>
            <w:tcMar>
              <w:top w:w="30" w:type="dxa"/>
              <w:left w:w="20" w:type="dxa"/>
              <w:bottom w:w="30" w:type="dxa"/>
              <w:right w:w="20" w:type="dxa"/>
            </w:tcMar>
            <w:hideMark/>
          </w:tcPr>
          <w:p w:rsidR="00000000" w:rsidRDefault="001F1FC8">
            <w:pPr>
              <w:divId w:val="297883796"/>
              <w:rPr>
                <w:rFonts w:eastAsia="Times New Roman"/>
              </w:rPr>
            </w:pPr>
            <w:hyperlink r:id="rId145" w:history="1">
              <w:r>
                <w:rPr>
                  <w:rStyle w:val="a3"/>
                  <w:rFonts w:ascii="Arial" w:eastAsia="Times New Roman" w:hAnsi="Arial" w:cs="Arial"/>
                  <w:sz w:val="20"/>
                  <w:szCs w:val="20"/>
                </w:rPr>
                <w:t>Form of Enbridge Inc. 2019 Long Term Incentive Plan Performance Stock Unit Grant Notice and Performance Stock Unit Award Agreement (incorporated by r</w:t>
              </w:r>
              <w:r>
                <w:rPr>
                  <w:rStyle w:val="a3"/>
                  <w:rFonts w:ascii="Arial" w:eastAsia="Times New Roman" w:hAnsi="Arial" w:cs="Arial"/>
                  <w:sz w:val="20"/>
                  <w:szCs w:val="20"/>
                </w:rPr>
                <w:t>eference to Exhibit 10.5 to Enbridge’s Form 10-Q filed May 10, 2019)</w:t>
              </w:r>
            </w:hyperlink>
          </w:p>
          <w:p w:rsidR="00000000" w:rsidRDefault="001F1FC8">
            <w:pPr>
              <w:divId w:val="1110079058"/>
              <w:rPr>
                <w:rFonts w:eastAsia="Times New Roman"/>
              </w:rPr>
            </w:pPr>
          </w:p>
        </w:tc>
      </w:tr>
    </w:tbl>
    <w:p w:rsidR="00000000" w:rsidRDefault="001F1FC8">
      <w:pPr>
        <w:jc w:val="center"/>
        <w:divId w:val="58133642"/>
        <w:rPr>
          <w:rFonts w:eastAsia="Times New Roman"/>
        </w:rPr>
      </w:pPr>
      <w:r>
        <w:rPr>
          <w:rFonts w:ascii="Arial" w:eastAsia="Times New Roman" w:hAnsi="Arial" w:cs="Arial"/>
          <w:color w:val="000000"/>
          <w:sz w:val="20"/>
          <w:szCs w:val="20"/>
        </w:rPr>
        <w:t>186</w:t>
      </w:r>
    </w:p>
    <w:p w:rsidR="00000000" w:rsidRDefault="001F1FC8">
      <w:pPr>
        <w:rPr>
          <w:rFonts w:eastAsia="Times New Roman"/>
        </w:rPr>
      </w:pPr>
      <w:r>
        <w:rPr>
          <w:rFonts w:eastAsia="Times New Roman"/>
        </w:rPr>
        <w:pict>
          <v:rect id="_x0000_i1216" style="width:0;height:1.5pt" o:hralign="center" o:hrstd="t" o:hr="t" fillcolor="#a0a0a0" stroked="f"/>
        </w:pict>
      </w:r>
    </w:p>
    <w:p w:rsidR="00000000" w:rsidRDefault="001F1FC8">
      <w:pPr>
        <w:jc w:val="center"/>
        <w:divId w:val="1037704938"/>
        <w:rPr>
          <w:rFonts w:eastAsia="Times New Roman"/>
        </w:rPr>
      </w:pPr>
    </w:p>
    <w:tbl>
      <w:tblPr>
        <w:tblW w:w="4991" w:type="pct"/>
        <w:jc w:val="center"/>
        <w:tblCellMar>
          <w:top w:w="15" w:type="dxa"/>
          <w:left w:w="15" w:type="dxa"/>
          <w:bottom w:w="15" w:type="dxa"/>
          <w:right w:w="15" w:type="dxa"/>
        </w:tblCellMar>
        <w:tblLook w:val="04A0" w:firstRow="1" w:lastRow="0" w:firstColumn="1" w:lastColumn="0" w:noHBand="0" w:noVBand="1"/>
      </w:tblPr>
      <w:tblGrid>
        <w:gridCol w:w="69"/>
        <w:gridCol w:w="999"/>
        <w:gridCol w:w="36"/>
        <w:gridCol w:w="69"/>
        <w:gridCol w:w="173"/>
        <w:gridCol w:w="36"/>
        <w:gridCol w:w="69"/>
        <w:gridCol w:w="6803"/>
        <w:gridCol w:w="37"/>
      </w:tblGrid>
      <w:tr w:rsidR="00000000">
        <w:trPr>
          <w:divId w:val="1285577526"/>
          <w:jc w:val="center"/>
        </w:trPr>
        <w:tc>
          <w:tcPr>
            <w:tcW w:w="50" w:type="pct"/>
            <w:vAlign w:val="center"/>
            <w:hideMark/>
          </w:tcPr>
          <w:p w:rsidR="00000000" w:rsidRDefault="001F1FC8">
            <w:pPr>
              <w:jc w:val="center"/>
              <w:rPr>
                <w:rFonts w:eastAsia="Times New Roman"/>
              </w:rPr>
            </w:pPr>
          </w:p>
        </w:tc>
        <w:tc>
          <w:tcPr>
            <w:tcW w:w="611"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c>
          <w:tcPr>
            <w:tcW w:w="50" w:type="pct"/>
            <w:vAlign w:val="center"/>
            <w:hideMark/>
          </w:tcPr>
          <w:p w:rsidR="00000000" w:rsidRDefault="001F1FC8">
            <w:pPr>
              <w:rPr>
                <w:rFonts w:eastAsia="Times New Roman"/>
                <w:sz w:val="20"/>
                <w:szCs w:val="20"/>
              </w:rPr>
            </w:pPr>
          </w:p>
        </w:tc>
        <w:tc>
          <w:tcPr>
            <w:tcW w:w="113"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c>
          <w:tcPr>
            <w:tcW w:w="50" w:type="pct"/>
            <w:vAlign w:val="center"/>
            <w:hideMark/>
          </w:tcPr>
          <w:p w:rsidR="00000000" w:rsidRDefault="001F1FC8">
            <w:pPr>
              <w:rPr>
                <w:rFonts w:eastAsia="Times New Roman"/>
                <w:sz w:val="20"/>
                <w:szCs w:val="20"/>
              </w:rPr>
            </w:pPr>
          </w:p>
        </w:tc>
        <w:tc>
          <w:tcPr>
            <w:tcW w:w="4110"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r>
      <w:tr w:rsidR="00000000">
        <w:trPr>
          <w:divId w:val="1285577526"/>
          <w:jc w:val="center"/>
        </w:trPr>
        <w:tc>
          <w:tcPr>
            <w:tcW w:w="0" w:type="auto"/>
            <w:gridSpan w:val="3"/>
            <w:tcBorders>
              <w:top w:val="single" w:sz="8" w:space="0" w:color="000000"/>
              <w:left w:val="single" w:sz="8" w:space="0" w:color="000000"/>
            </w:tcBorders>
            <w:tcMar>
              <w:top w:w="30" w:type="dxa"/>
              <w:left w:w="20" w:type="dxa"/>
              <w:bottom w:w="30" w:type="dxa"/>
              <w:right w:w="20" w:type="dxa"/>
            </w:tcMar>
            <w:hideMark/>
          </w:tcPr>
          <w:p w:rsidR="00000000" w:rsidRDefault="001F1FC8">
            <w:pPr>
              <w:jc w:val="right"/>
              <w:rPr>
                <w:rFonts w:eastAsia="Times New Roman"/>
              </w:rPr>
            </w:pPr>
            <w:hyperlink r:id="rId146" w:history="1">
              <w:r>
                <w:rPr>
                  <w:rStyle w:val="a3"/>
                  <w:rFonts w:ascii="Arial" w:eastAsia="Times New Roman" w:hAnsi="Arial" w:cs="Arial"/>
                  <w:sz w:val="20"/>
                  <w:szCs w:val="20"/>
                </w:rPr>
                <w:t>10.</w:t>
              </w:r>
            </w:hyperlink>
            <w:hyperlink r:id="rId147" w:history="1">
              <w:r>
                <w:rPr>
                  <w:rStyle w:val="a3"/>
                  <w:rFonts w:ascii="Arial" w:eastAsia="Times New Roman" w:hAnsi="Arial" w:cs="Arial"/>
                  <w:sz w:val="20"/>
                  <w:szCs w:val="20"/>
                </w:rPr>
                <w:t>24</w:t>
              </w:r>
            </w:hyperlink>
          </w:p>
        </w:tc>
        <w:tc>
          <w:tcPr>
            <w:tcW w:w="0" w:type="auto"/>
            <w:gridSpan w:val="3"/>
            <w:tcBorders>
              <w:top w:val="single" w:sz="8" w:space="0" w:color="000000"/>
              <w:left w:val="single" w:sz="8" w:space="0" w:color="000000"/>
            </w:tcBorders>
            <w:tcMar>
              <w:top w:w="30" w:type="dxa"/>
              <w:left w:w="20" w:type="dxa"/>
              <w:bottom w:w="30" w:type="dxa"/>
              <w:right w:w="20" w:type="dxa"/>
            </w:tcMar>
            <w:hideMark/>
          </w:tcPr>
          <w:p w:rsidR="00000000" w:rsidRDefault="001F1FC8">
            <w:pPr>
              <w:jc w:val="right"/>
              <w:rPr>
                <w:rFonts w:eastAsia="Times New Roman"/>
              </w:rPr>
            </w:pPr>
            <w:r>
              <w:rPr>
                <w:rFonts w:ascii="Arial" w:eastAsia="Times New Roman" w:hAnsi="Arial" w:cs="Arial"/>
                <w:color w:val="000000"/>
                <w:sz w:val="20"/>
                <w:szCs w:val="20"/>
              </w:rPr>
              <w:t>+</w:t>
            </w:r>
          </w:p>
        </w:tc>
        <w:tc>
          <w:tcPr>
            <w:tcW w:w="0" w:type="auto"/>
            <w:gridSpan w:val="3"/>
            <w:tcBorders>
              <w:top w:val="single" w:sz="8" w:space="0" w:color="000000"/>
              <w:left w:val="single" w:sz="8" w:space="0" w:color="000000"/>
              <w:right w:val="single" w:sz="8" w:space="0" w:color="000000"/>
            </w:tcBorders>
            <w:tcMar>
              <w:top w:w="30" w:type="dxa"/>
              <w:left w:w="20" w:type="dxa"/>
              <w:bottom w:w="30" w:type="dxa"/>
              <w:right w:w="20" w:type="dxa"/>
            </w:tcMar>
            <w:hideMark/>
          </w:tcPr>
          <w:p w:rsidR="00000000" w:rsidRDefault="001F1FC8">
            <w:pPr>
              <w:divId w:val="2130974399"/>
              <w:rPr>
                <w:rFonts w:eastAsia="Times New Roman"/>
              </w:rPr>
            </w:pPr>
            <w:hyperlink r:id="rId148" w:history="1">
              <w:r>
                <w:rPr>
                  <w:rStyle w:val="a3"/>
                  <w:rFonts w:ascii="Arial" w:eastAsia="Times New Roman" w:hAnsi="Arial" w:cs="Arial"/>
                  <w:sz w:val="20"/>
                  <w:szCs w:val="20"/>
                </w:rPr>
                <w:t>Form of Enbridge Inc. 2019 Long</w:t>
              </w:r>
              <w:r>
                <w:rPr>
                  <w:rStyle w:val="a3"/>
                  <w:rFonts w:ascii="Arial" w:eastAsia="Times New Roman" w:hAnsi="Arial" w:cs="Arial"/>
                  <w:sz w:val="20"/>
                  <w:szCs w:val="20"/>
                </w:rPr>
                <w:t xml:space="preserve"> Term Incentive Plan Restricted Stock Unit Grant Notice and Restricted Stock Unit Award Agreement (incorporated by reference to Exhibit 10.6 to Enbridge’s Form 10-Q filed May 10, 2019)</w:t>
              </w:r>
            </w:hyperlink>
          </w:p>
          <w:p w:rsidR="00000000" w:rsidRDefault="001F1FC8">
            <w:pPr>
              <w:divId w:val="1023897342"/>
              <w:rPr>
                <w:rFonts w:eastAsia="Times New Roman"/>
              </w:rPr>
            </w:pPr>
          </w:p>
        </w:tc>
      </w:tr>
      <w:tr w:rsidR="00000000">
        <w:trPr>
          <w:divId w:val="1285577526"/>
          <w:jc w:val="center"/>
        </w:trPr>
        <w:tc>
          <w:tcPr>
            <w:tcW w:w="0" w:type="auto"/>
            <w:gridSpan w:val="3"/>
            <w:tcBorders>
              <w:top w:val="single" w:sz="8" w:space="0" w:color="000000"/>
              <w:left w:val="single" w:sz="8" w:space="0" w:color="000000"/>
            </w:tcBorders>
            <w:tcMar>
              <w:top w:w="30" w:type="dxa"/>
              <w:left w:w="20" w:type="dxa"/>
              <w:bottom w:w="30" w:type="dxa"/>
              <w:right w:w="20" w:type="dxa"/>
            </w:tcMar>
            <w:hideMark/>
          </w:tcPr>
          <w:p w:rsidR="00000000" w:rsidRDefault="001F1FC8">
            <w:pPr>
              <w:jc w:val="right"/>
              <w:rPr>
                <w:rFonts w:eastAsia="Times New Roman"/>
              </w:rPr>
            </w:pPr>
            <w:hyperlink r:id="rId149" w:history="1">
              <w:r>
                <w:rPr>
                  <w:rStyle w:val="a3"/>
                  <w:rFonts w:ascii="Arial" w:eastAsia="Times New Roman" w:hAnsi="Arial" w:cs="Arial"/>
                  <w:sz w:val="20"/>
                  <w:szCs w:val="20"/>
                </w:rPr>
                <w:t>10.</w:t>
              </w:r>
            </w:hyperlink>
            <w:hyperlink r:id="rId150" w:history="1">
              <w:r>
                <w:rPr>
                  <w:rStyle w:val="a3"/>
                  <w:rFonts w:ascii="Arial" w:eastAsia="Times New Roman" w:hAnsi="Arial" w:cs="Arial"/>
                  <w:sz w:val="20"/>
                  <w:szCs w:val="20"/>
                </w:rPr>
                <w:t>25</w:t>
              </w:r>
            </w:hyperlink>
          </w:p>
        </w:tc>
        <w:tc>
          <w:tcPr>
            <w:tcW w:w="0" w:type="auto"/>
            <w:gridSpan w:val="3"/>
            <w:tcBorders>
              <w:top w:val="single" w:sz="8" w:space="0" w:color="000000"/>
              <w:left w:val="single" w:sz="8" w:space="0" w:color="000000"/>
            </w:tcBorders>
            <w:tcMar>
              <w:top w:w="30" w:type="dxa"/>
              <w:left w:w="20" w:type="dxa"/>
              <w:bottom w:w="30" w:type="dxa"/>
              <w:right w:w="20" w:type="dxa"/>
            </w:tcMar>
            <w:hideMark/>
          </w:tcPr>
          <w:p w:rsidR="00000000" w:rsidRDefault="001F1FC8">
            <w:pPr>
              <w:jc w:val="right"/>
              <w:rPr>
                <w:rFonts w:eastAsia="Times New Roman"/>
              </w:rPr>
            </w:pPr>
            <w:r>
              <w:rPr>
                <w:rFonts w:ascii="Arial" w:eastAsia="Times New Roman" w:hAnsi="Arial" w:cs="Arial"/>
                <w:color w:val="000000"/>
                <w:sz w:val="20"/>
                <w:szCs w:val="20"/>
              </w:rPr>
              <w:t>+</w:t>
            </w:r>
          </w:p>
        </w:tc>
        <w:tc>
          <w:tcPr>
            <w:tcW w:w="0" w:type="auto"/>
            <w:gridSpan w:val="3"/>
            <w:tcBorders>
              <w:top w:val="single" w:sz="8" w:space="0" w:color="000000"/>
              <w:left w:val="single" w:sz="8" w:space="0" w:color="000000"/>
              <w:right w:val="single" w:sz="8" w:space="0" w:color="000000"/>
            </w:tcBorders>
            <w:tcMar>
              <w:top w:w="30" w:type="dxa"/>
              <w:left w:w="20" w:type="dxa"/>
              <w:bottom w:w="30" w:type="dxa"/>
              <w:right w:w="20" w:type="dxa"/>
            </w:tcMar>
            <w:hideMark/>
          </w:tcPr>
          <w:p w:rsidR="00000000" w:rsidRDefault="001F1FC8">
            <w:pPr>
              <w:divId w:val="527371994"/>
              <w:rPr>
                <w:rFonts w:eastAsia="Times New Roman"/>
              </w:rPr>
            </w:pPr>
            <w:hyperlink r:id="rId151" w:history="1">
              <w:r>
                <w:rPr>
                  <w:rStyle w:val="a3"/>
                  <w:rFonts w:ascii="Arial" w:eastAsia="Times New Roman" w:hAnsi="Arial" w:cs="Arial"/>
                  <w:sz w:val="20"/>
                  <w:szCs w:val="20"/>
                </w:rPr>
                <w:t>Form of Enbridge Inc. 2019 Long Term Incentive Plan Restricted Stock Unit - Energy Marketers Grant Notice and Restricted Stock Unit Award Agreement (incorporated by reference to Exhibit 10.7 to Enbridge’s Form 10-Q filed May 10, 2019)</w:t>
              </w:r>
            </w:hyperlink>
          </w:p>
        </w:tc>
      </w:tr>
      <w:tr w:rsidR="00000000">
        <w:trPr>
          <w:divId w:val="1285577526"/>
          <w:jc w:val="center"/>
        </w:trPr>
        <w:tc>
          <w:tcPr>
            <w:tcW w:w="0" w:type="auto"/>
            <w:gridSpan w:val="3"/>
            <w:tcBorders>
              <w:top w:val="single" w:sz="8" w:space="0" w:color="000000"/>
              <w:left w:val="single" w:sz="8" w:space="0" w:color="000000"/>
            </w:tcBorders>
            <w:tcMar>
              <w:top w:w="30" w:type="dxa"/>
              <w:left w:w="20" w:type="dxa"/>
              <w:bottom w:w="30" w:type="dxa"/>
              <w:right w:w="20" w:type="dxa"/>
            </w:tcMar>
            <w:hideMark/>
          </w:tcPr>
          <w:p w:rsidR="00000000" w:rsidRDefault="001F1FC8">
            <w:pPr>
              <w:jc w:val="right"/>
              <w:rPr>
                <w:rFonts w:eastAsia="Times New Roman"/>
              </w:rPr>
            </w:pPr>
            <w:hyperlink r:id="rId152" w:history="1">
              <w:r>
                <w:rPr>
                  <w:rStyle w:val="a3"/>
                  <w:rFonts w:ascii="Arial" w:eastAsia="Times New Roman" w:hAnsi="Arial" w:cs="Arial"/>
                  <w:sz w:val="20"/>
                  <w:szCs w:val="20"/>
                </w:rPr>
                <w:t>10.</w:t>
              </w:r>
            </w:hyperlink>
            <w:hyperlink r:id="rId153" w:history="1">
              <w:r>
                <w:rPr>
                  <w:rStyle w:val="a3"/>
                  <w:rFonts w:ascii="Arial" w:eastAsia="Times New Roman" w:hAnsi="Arial" w:cs="Arial"/>
                  <w:sz w:val="20"/>
                  <w:szCs w:val="20"/>
                </w:rPr>
                <w:t>26</w:t>
              </w:r>
            </w:hyperlink>
          </w:p>
        </w:tc>
        <w:tc>
          <w:tcPr>
            <w:tcW w:w="0" w:type="auto"/>
            <w:gridSpan w:val="3"/>
            <w:tcBorders>
              <w:top w:val="single" w:sz="8" w:space="0" w:color="000000"/>
              <w:left w:val="single" w:sz="8" w:space="0" w:color="000000"/>
            </w:tcBorders>
            <w:tcMar>
              <w:top w:w="30" w:type="dxa"/>
              <w:left w:w="20" w:type="dxa"/>
              <w:bottom w:w="30" w:type="dxa"/>
              <w:right w:w="20" w:type="dxa"/>
            </w:tcMar>
            <w:hideMark/>
          </w:tcPr>
          <w:p w:rsidR="00000000" w:rsidRDefault="001F1FC8">
            <w:pPr>
              <w:jc w:val="right"/>
              <w:rPr>
                <w:rFonts w:eastAsia="Times New Roman"/>
              </w:rPr>
            </w:pPr>
            <w:r>
              <w:rPr>
                <w:rFonts w:ascii="Arial" w:eastAsia="Times New Roman" w:hAnsi="Arial" w:cs="Arial"/>
                <w:color w:val="000000"/>
                <w:sz w:val="20"/>
                <w:szCs w:val="20"/>
              </w:rPr>
              <w:t>+</w:t>
            </w:r>
          </w:p>
        </w:tc>
        <w:tc>
          <w:tcPr>
            <w:tcW w:w="0" w:type="auto"/>
            <w:gridSpan w:val="3"/>
            <w:tcBorders>
              <w:top w:val="single" w:sz="8" w:space="0" w:color="000000"/>
              <w:left w:val="single" w:sz="8" w:space="0" w:color="000000"/>
              <w:right w:val="single" w:sz="8" w:space="0" w:color="000000"/>
            </w:tcBorders>
            <w:tcMar>
              <w:top w:w="30" w:type="dxa"/>
              <w:left w:w="20" w:type="dxa"/>
              <w:bottom w:w="30" w:type="dxa"/>
              <w:right w:w="20" w:type="dxa"/>
            </w:tcMar>
            <w:hideMark/>
          </w:tcPr>
          <w:p w:rsidR="00000000" w:rsidRDefault="001F1FC8">
            <w:pPr>
              <w:divId w:val="1446926116"/>
              <w:rPr>
                <w:rFonts w:eastAsia="Times New Roman"/>
              </w:rPr>
            </w:pPr>
            <w:hyperlink r:id="rId154" w:history="1">
              <w:r>
                <w:rPr>
                  <w:rStyle w:val="a3"/>
                  <w:rFonts w:ascii="Arial" w:eastAsia="Times New Roman" w:hAnsi="Arial" w:cs="Arial"/>
                  <w:sz w:val="20"/>
                  <w:szCs w:val="20"/>
                </w:rPr>
                <w:t>Form of Enbridge Inc. 2019 Long Term Incentive Plan Restricted Stock Unit Grant Notice and Restricted Stock Unit Award Agreement - Retention Award Version (incorporated by refe</w:t>
              </w:r>
              <w:r>
                <w:rPr>
                  <w:rStyle w:val="a3"/>
                  <w:rFonts w:ascii="Arial" w:eastAsia="Times New Roman" w:hAnsi="Arial" w:cs="Arial"/>
                  <w:sz w:val="20"/>
                  <w:szCs w:val="20"/>
                </w:rPr>
                <w:t>rence to Exhibit 10.8 to Enbridge’s Form 10-Q filed August 2, 2019)</w:t>
              </w:r>
            </w:hyperlink>
          </w:p>
        </w:tc>
      </w:tr>
      <w:tr w:rsidR="00000000">
        <w:trPr>
          <w:divId w:val="1285577526"/>
          <w:jc w:val="center"/>
        </w:trPr>
        <w:tc>
          <w:tcPr>
            <w:tcW w:w="0" w:type="auto"/>
            <w:gridSpan w:val="3"/>
            <w:tcBorders>
              <w:top w:val="single" w:sz="8" w:space="0" w:color="000000"/>
              <w:left w:val="single" w:sz="8" w:space="0" w:color="000000"/>
            </w:tcBorders>
            <w:tcMar>
              <w:top w:w="30" w:type="dxa"/>
              <w:left w:w="20" w:type="dxa"/>
              <w:bottom w:w="30" w:type="dxa"/>
              <w:right w:w="20" w:type="dxa"/>
            </w:tcMar>
            <w:hideMark/>
          </w:tcPr>
          <w:p w:rsidR="00000000" w:rsidRDefault="001F1FC8">
            <w:pPr>
              <w:jc w:val="right"/>
              <w:rPr>
                <w:rFonts w:eastAsia="Times New Roman"/>
              </w:rPr>
            </w:pPr>
            <w:hyperlink r:id="rId155" w:history="1">
              <w:r>
                <w:rPr>
                  <w:rStyle w:val="a3"/>
                  <w:rFonts w:ascii="Arial" w:eastAsia="Times New Roman" w:hAnsi="Arial" w:cs="Arial"/>
                  <w:sz w:val="20"/>
                  <w:szCs w:val="20"/>
                </w:rPr>
                <w:t>10.</w:t>
              </w:r>
            </w:hyperlink>
            <w:hyperlink r:id="rId156" w:history="1">
              <w:r>
                <w:rPr>
                  <w:rStyle w:val="a3"/>
                  <w:rFonts w:ascii="Arial" w:eastAsia="Times New Roman" w:hAnsi="Arial" w:cs="Arial"/>
                  <w:sz w:val="20"/>
                  <w:szCs w:val="20"/>
                </w:rPr>
                <w:t>27</w:t>
              </w:r>
            </w:hyperlink>
          </w:p>
        </w:tc>
        <w:tc>
          <w:tcPr>
            <w:tcW w:w="0" w:type="auto"/>
            <w:gridSpan w:val="3"/>
            <w:tcBorders>
              <w:top w:val="single" w:sz="8" w:space="0" w:color="000000"/>
              <w:left w:val="single" w:sz="8" w:space="0" w:color="000000"/>
            </w:tcBorders>
            <w:tcMar>
              <w:top w:w="30" w:type="dxa"/>
              <w:left w:w="20" w:type="dxa"/>
              <w:bottom w:w="30" w:type="dxa"/>
              <w:right w:w="20" w:type="dxa"/>
            </w:tcMar>
            <w:hideMark/>
          </w:tcPr>
          <w:p w:rsidR="00000000" w:rsidRDefault="001F1FC8">
            <w:pPr>
              <w:jc w:val="right"/>
              <w:rPr>
                <w:rFonts w:eastAsia="Times New Roman"/>
              </w:rPr>
            </w:pPr>
            <w:r>
              <w:rPr>
                <w:rFonts w:ascii="Arial" w:eastAsia="Times New Roman" w:hAnsi="Arial" w:cs="Arial"/>
                <w:color w:val="000000"/>
                <w:sz w:val="20"/>
                <w:szCs w:val="20"/>
              </w:rPr>
              <w:t>+</w:t>
            </w:r>
          </w:p>
        </w:tc>
        <w:tc>
          <w:tcPr>
            <w:tcW w:w="0" w:type="auto"/>
            <w:gridSpan w:val="3"/>
            <w:tcBorders>
              <w:top w:val="single" w:sz="8" w:space="0" w:color="000000"/>
              <w:left w:val="single" w:sz="8" w:space="0" w:color="000000"/>
              <w:right w:val="single" w:sz="8" w:space="0" w:color="000000"/>
            </w:tcBorders>
            <w:tcMar>
              <w:top w:w="30" w:type="dxa"/>
              <w:left w:w="20" w:type="dxa"/>
              <w:bottom w:w="30" w:type="dxa"/>
              <w:right w:w="20" w:type="dxa"/>
            </w:tcMar>
            <w:vAlign w:val="bottom"/>
            <w:hideMark/>
          </w:tcPr>
          <w:p w:rsidR="00000000" w:rsidRDefault="001F1FC8">
            <w:pPr>
              <w:divId w:val="308829443"/>
              <w:rPr>
                <w:rFonts w:eastAsia="Times New Roman"/>
              </w:rPr>
            </w:pPr>
            <w:hyperlink r:id="rId157" w:history="1">
              <w:r>
                <w:rPr>
                  <w:rStyle w:val="a3"/>
                  <w:rFonts w:ascii="Arial" w:eastAsia="Times New Roman" w:hAnsi="Arial" w:cs="Arial"/>
                  <w:sz w:val="20"/>
                  <w:szCs w:val="20"/>
                </w:rPr>
                <w:t>Enbridge Inc. Incentive</w:t>
              </w:r>
              <w:r>
                <w:rPr>
                  <w:rStyle w:val="a3"/>
                  <w:rFonts w:ascii="Arial" w:eastAsia="Times New Roman" w:hAnsi="Arial" w:cs="Arial"/>
                  <w:sz w:val="20"/>
                  <w:szCs w:val="20"/>
                </w:rPr>
                <w:t xml:space="preserve"> Stock Option Plan (2007), as amended and restated (2011) (incorporated by reference to Exhibit 10.13 to Enbridge’s Annual Report on Form 10-K filed February 16, 2018)</w:t>
              </w:r>
            </w:hyperlink>
          </w:p>
        </w:tc>
      </w:tr>
      <w:tr w:rsidR="00000000">
        <w:trPr>
          <w:divId w:val="1285577526"/>
          <w:jc w:val="center"/>
        </w:trPr>
        <w:tc>
          <w:tcPr>
            <w:tcW w:w="0" w:type="auto"/>
            <w:gridSpan w:val="3"/>
            <w:tcBorders>
              <w:top w:val="single" w:sz="8" w:space="0" w:color="000000"/>
              <w:left w:val="single" w:sz="8" w:space="0" w:color="000000"/>
            </w:tcBorders>
            <w:tcMar>
              <w:top w:w="30" w:type="dxa"/>
              <w:left w:w="20" w:type="dxa"/>
              <w:bottom w:w="30" w:type="dxa"/>
              <w:right w:w="20" w:type="dxa"/>
            </w:tcMar>
            <w:hideMark/>
          </w:tcPr>
          <w:p w:rsidR="00000000" w:rsidRDefault="001F1FC8">
            <w:pPr>
              <w:jc w:val="right"/>
              <w:rPr>
                <w:rFonts w:eastAsia="Times New Roman"/>
              </w:rPr>
            </w:pPr>
            <w:hyperlink r:id="rId158" w:history="1">
              <w:r>
                <w:rPr>
                  <w:rStyle w:val="a3"/>
                  <w:rFonts w:ascii="Arial" w:eastAsia="Times New Roman" w:hAnsi="Arial" w:cs="Arial"/>
                  <w:sz w:val="20"/>
                  <w:szCs w:val="20"/>
                </w:rPr>
                <w:t>10.</w:t>
              </w:r>
            </w:hyperlink>
            <w:hyperlink r:id="rId159" w:history="1">
              <w:r>
                <w:rPr>
                  <w:rStyle w:val="a3"/>
                  <w:rFonts w:ascii="Arial" w:eastAsia="Times New Roman" w:hAnsi="Arial" w:cs="Arial"/>
                  <w:sz w:val="20"/>
                  <w:szCs w:val="20"/>
                </w:rPr>
                <w:t>28</w:t>
              </w:r>
            </w:hyperlink>
          </w:p>
        </w:tc>
        <w:tc>
          <w:tcPr>
            <w:tcW w:w="0" w:type="auto"/>
            <w:gridSpan w:val="3"/>
            <w:tcBorders>
              <w:top w:val="single" w:sz="8" w:space="0" w:color="000000"/>
              <w:left w:val="single" w:sz="8" w:space="0" w:color="000000"/>
            </w:tcBorders>
            <w:tcMar>
              <w:top w:w="30" w:type="dxa"/>
              <w:left w:w="20" w:type="dxa"/>
              <w:bottom w:w="30" w:type="dxa"/>
              <w:right w:w="20" w:type="dxa"/>
            </w:tcMar>
            <w:hideMark/>
          </w:tcPr>
          <w:p w:rsidR="00000000" w:rsidRDefault="001F1FC8">
            <w:pPr>
              <w:jc w:val="right"/>
              <w:rPr>
                <w:rFonts w:eastAsia="Times New Roman"/>
              </w:rPr>
            </w:pPr>
            <w:r>
              <w:rPr>
                <w:rFonts w:ascii="Arial" w:eastAsia="Times New Roman" w:hAnsi="Arial" w:cs="Arial"/>
                <w:color w:val="000000"/>
                <w:sz w:val="20"/>
                <w:szCs w:val="20"/>
              </w:rPr>
              <w:t>+</w:t>
            </w:r>
          </w:p>
        </w:tc>
        <w:tc>
          <w:tcPr>
            <w:tcW w:w="0" w:type="auto"/>
            <w:gridSpan w:val="3"/>
            <w:tcBorders>
              <w:top w:val="single" w:sz="8" w:space="0" w:color="000000"/>
              <w:left w:val="single" w:sz="8" w:space="0" w:color="000000"/>
              <w:right w:val="single" w:sz="8" w:space="0" w:color="000000"/>
            </w:tcBorders>
            <w:tcMar>
              <w:top w:w="30" w:type="dxa"/>
              <w:left w:w="20" w:type="dxa"/>
              <w:bottom w:w="30" w:type="dxa"/>
              <w:right w:w="20" w:type="dxa"/>
            </w:tcMar>
            <w:vAlign w:val="bottom"/>
            <w:hideMark/>
          </w:tcPr>
          <w:p w:rsidR="00000000" w:rsidRDefault="001F1FC8">
            <w:pPr>
              <w:divId w:val="1846480575"/>
              <w:rPr>
                <w:rFonts w:eastAsia="Times New Roman"/>
              </w:rPr>
            </w:pPr>
            <w:hyperlink r:id="rId160" w:history="1">
              <w:r>
                <w:rPr>
                  <w:rStyle w:val="a3"/>
                  <w:rFonts w:ascii="Arial" w:eastAsia="Times New Roman" w:hAnsi="Arial" w:cs="Arial"/>
                  <w:sz w:val="20"/>
                  <w:szCs w:val="20"/>
                </w:rPr>
                <w:t>Enbridge Inc. Incentive Stock Option Plan (2007), as amended and restated (2011 and 2014) (incorporated by reference to Exhibit 10.14 to Enbridg</w:t>
              </w:r>
              <w:r>
                <w:rPr>
                  <w:rStyle w:val="a3"/>
                  <w:rFonts w:ascii="Arial" w:eastAsia="Times New Roman" w:hAnsi="Arial" w:cs="Arial"/>
                  <w:sz w:val="20"/>
                  <w:szCs w:val="20"/>
                </w:rPr>
                <w:t>e’s Annual Report on Form 10-K filed February 16, 2018)</w:t>
              </w:r>
            </w:hyperlink>
          </w:p>
        </w:tc>
      </w:tr>
      <w:tr w:rsidR="00000000">
        <w:trPr>
          <w:divId w:val="1285577526"/>
          <w:jc w:val="center"/>
        </w:trPr>
        <w:tc>
          <w:tcPr>
            <w:tcW w:w="0" w:type="auto"/>
            <w:gridSpan w:val="3"/>
            <w:tcBorders>
              <w:top w:val="single" w:sz="8" w:space="0" w:color="000000"/>
              <w:left w:val="single" w:sz="8" w:space="0" w:color="000000"/>
            </w:tcBorders>
            <w:tcMar>
              <w:top w:w="30" w:type="dxa"/>
              <w:left w:w="20" w:type="dxa"/>
              <w:bottom w:w="30" w:type="dxa"/>
              <w:right w:w="20" w:type="dxa"/>
            </w:tcMar>
            <w:hideMark/>
          </w:tcPr>
          <w:p w:rsidR="00000000" w:rsidRDefault="001F1FC8">
            <w:pPr>
              <w:jc w:val="right"/>
              <w:rPr>
                <w:rFonts w:eastAsia="Times New Roman"/>
              </w:rPr>
            </w:pPr>
            <w:hyperlink r:id="rId161" w:history="1">
              <w:r>
                <w:rPr>
                  <w:rStyle w:val="a3"/>
                  <w:rFonts w:ascii="Arial" w:eastAsia="Times New Roman" w:hAnsi="Arial" w:cs="Arial"/>
                  <w:sz w:val="20"/>
                  <w:szCs w:val="20"/>
                </w:rPr>
                <w:t>10.</w:t>
              </w:r>
            </w:hyperlink>
            <w:hyperlink r:id="rId162" w:history="1">
              <w:r>
                <w:rPr>
                  <w:rStyle w:val="a3"/>
                  <w:rFonts w:ascii="Arial" w:eastAsia="Times New Roman" w:hAnsi="Arial" w:cs="Arial"/>
                  <w:sz w:val="20"/>
                  <w:szCs w:val="20"/>
                </w:rPr>
                <w:t>29</w:t>
              </w:r>
            </w:hyperlink>
          </w:p>
        </w:tc>
        <w:tc>
          <w:tcPr>
            <w:tcW w:w="0" w:type="auto"/>
            <w:gridSpan w:val="3"/>
            <w:tcBorders>
              <w:top w:val="single" w:sz="8" w:space="0" w:color="000000"/>
              <w:left w:val="single" w:sz="8" w:space="0" w:color="000000"/>
            </w:tcBorders>
            <w:tcMar>
              <w:top w:w="30" w:type="dxa"/>
              <w:left w:w="20" w:type="dxa"/>
              <w:bottom w:w="30" w:type="dxa"/>
              <w:right w:w="20" w:type="dxa"/>
            </w:tcMar>
            <w:hideMark/>
          </w:tcPr>
          <w:p w:rsidR="00000000" w:rsidRDefault="001F1FC8">
            <w:pPr>
              <w:jc w:val="right"/>
              <w:rPr>
                <w:rFonts w:eastAsia="Times New Roman"/>
              </w:rPr>
            </w:pPr>
            <w:r>
              <w:rPr>
                <w:rFonts w:ascii="Arial" w:eastAsia="Times New Roman" w:hAnsi="Arial" w:cs="Arial"/>
                <w:color w:val="000000"/>
                <w:sz w:val="20"/>
                <w:szCs w:val="20"/>
              </w:rPr>
              <w:t>+</w:t>
            </w:r>
          </w:p>
        </w:tc>
        <w:tc>
          <w:tcPr>
            <w:tcW w:w="0" w:type="auto"/>
            <w:gridSpan w:val="3"/>
            <w:tcBorders>
              <w:top w:val="single" w:sz="8" w:space="0" w:color="000000"/>
              <w:left w:val="single" w:sz="8" w:space="0" w:color="000000"/>
              <w:right w:val="single" w:sz="8" w:space="0" w:color="000000"/>
            </w:tcBorders>
            <w:tcMar>
              <w:top w:w="30" w:type="dxa"/>
              <w:left w:w="20" w:type="dxa"/>
              <w:bottom w:w="30" w:type="dxa"/>
              <w:right w:w="20" w:type="dxa"/>
            </w:tcMar>
            <w:vAlign w:val="bottom"/>
            <w:hideMark/>
          </w:tcPr>
          <w:p w:rsidR="00000000" w:rsidRDefault="001F1FC8">
            <w:pPr>
              <w:divId w:val="1042439653"/>
              <w:rPr>
                <w:rFonts w:eastAsia="Times New Roman"/>
              </w:rPr>
            </w:pPr>
            <w:hyperlink r:id="rId163" w:history="1">
              <w:r>
                <w:rPr>
                  <w:rStyle w:val="a3"/>
                  <w:rFonts w:ascii="Arial" w:eastAsia="Times New Roman" w:hAnsi="Arial" w:cs="Arial"/>
                  <w:sz w:val="20"/>
                  <w:szCs w:val="20"/>
                </w:rPr>
                <w:t xml:space="preserve">Enbridge Inc. Incentive Stock Option Plan (2007), as revised (incorporated by reference to Exhibit 10.15 </w:t>
              </w:r>
              <w:r>
                <w:rPr>
                  <w:rStyle w:val="a3"/>
                  <w:rFonts w:ascii="Arial" w:eastAsia="Times New Roman" w:hAnsi="Arial" w:cs="Arial"/>
                  <w:sz w:val="20"/>
                  <w:szCs w:val="20"/>
                </w:rPr>
                <w:t>to Enbridge’s Annual Report on Form 10-K filed February 16, 2018)</w:t>
              </w:r>
            </w:hyperlink>
          </w:p>
        </w:tc>
      </w:tr>
      <w:tr w:rsidR="00000000">
        <w:trPr>
          <w:divId w:val="1285577526"/>
          <w:jc w:val="center"/>
        </w:trPr>
        <w:tc>
          <w:tcPr>
            <w:tcW w:w="0" w:type="auto"/>
            <w:gridSpan w:val="3"/>
            <w:tcBorders>
              <w:top w:val="single" w:sz="8" w:space="0" w:color="000000"/>
              <w:left w:val="single" w:sz="8" w:space="0" w:color="000000"/>
            </w:tcBorders>
            <w:tcMar>
              <w:top w:w="30" w:type="dxa"/>
              <w:left w:w="20" w:type="dxa"/>
              <w:bottom w:w="30" w:type="dxa"/>
              <w:right w:w="20" w:type="dxa"/>
            </w:tcMar>
            <w:hideMark/>
          </w:tcPr>
          <w:p w:rsidR="00000000" w:rsidRDefault="001F1FC8">
            <w:pPr>
              <w:jc w:val="right"/>
              <w:rPr>
                <w:rFonts w:eastAsia="Times New Roman"/>
              </w:rPr>
            </w:pPr>
            <w:hyperlink r:id="rId164" w:history="1">
              <w:r>
                <w:rPr>
                  <w:rStyle w:val="a3"/>
                  <w:rFonts w:ascii="Arial" w:eastAsia="Times New Roman" w:hAnsi="Arial" w:cs="Arial"/>
                  <w:sz w:val="20"/>
                  <w:szCs w:val="20"/>
                </w:rPr>
                <w:t>10.30</w:t>
              </w:r>
            </w:hyperlink>
          </w:p>
        </w:tc>
        <w:tc>
          <w:tcPr>
            <w:tcW w:w="0" w:type="auto"/>
            <w:gridSpan w:val="3"/>
            <w:tcBorders>
              <w:top w:val="single" w:sz="8" w:space="0" w:color="000000"/>
              <w:left w:val="single" w:sz="8" w:space="0" w:color="000000"/>
            </w:tcBorders>
            <w:tcMar>
              <w:top w:w="0" w:type="dxa"/>
              <w:left w:w="20" w:type="dxa"/>
              <w:bottom w:w="0" w:type="dxa"/>
              <w:right w:w="20" w:type="dxa"/>
            </w:tcMar>
            <w:vAlign w:val="center"/>
            <w:hideMark/>
          </w:tcPr>
          <w:p w:rsidR="00000000" w:rsidRDefault="001F1FC8">
            <w:pPr>
              <w:jc w:val="right"/>
              <w:rPr>
                <w:rFonts w:eastAsia="Times New Roman"/>
              </w:rPr>
            </w:pPr>
          </w:p>
        </w:tc>
        <w:tc>
          <w:tcPr>
            <w:tcW w:w="0" w:type="auto"/>
            <w:gridSpan w:val="3"/>
            <w:tcBorders>
              <w:top w:val="single" w:sz="8" w:space="0" w:color="000000"/>
              <w:left w:val="single" w:sz="8" w:space="0" w:color="000000"/>
              <w:right w:val="single" w:sz="8" w:space="0" w:color="000000"/>
            </w:tcBorders>
            <w:tcMar>
              <w:top w:w="30" w:type="dxa"/>
              <w:left w:w="20" w:type="dxa"/>
              <w:bottom w:w="30" w:type="dxa"/>
              <w:right w:w="20" w:type="dxa"/>
            </w:tcMar>
            <w:vAlign w:val="bottom"/>
            <w:hideMark/>
          </w:tcPr>
          <w:p w:rsidR="00000000" w:rsidRDefault="001F1FC8">
            <w:pPr>
              <w:divId w:val="722757434"/>
              <w:rPr>
                <w:rFonts w:eastAsia="Times New Roman"/>
              </w:rPr>
            </w:pPr>
            <w:hyperlink r:id="rId165" w:history="1">
              <w:r>
                <w:rPr>
                  <w:rStyle w:val="a3"/>
                  <w:rFonts w:ascii="Arial" w:eastAsia="Times New Roman" w:hAnsi="Arial" w:cs="Arial"/>
                  <w:sz w:val="20"/>
                  <w:szCs w:val="20"/>
                </w:rPr>
                <w:t>Enbridge Inc. Directors’ Compensation Plan dated February 9, 2021, effective April 1, 2021 (incorporated by reference to Exhibit 10.6 to Enbridg</w:t>
              </w:r>
              <w:r>
                <w:rPr>
                  <w:rStyle w:val="a3"/>
                  <w:rFonts w:ascii="Arial" w:eastAsia="Times New Roman" w:hAnsi="Arial" w:cs="Arial"/>
                  <w:sz w:val="20"/>
                  <w:szCs w:val="20"/>
                </w:rPr>
                <w:t>e’s Form 10-Q filed May 7, 2021)</w:t>
              </w:r>
            </w:hyperlink>
          </w:p>
        </w:tc>
      </w:tr>
      <w:tr w:rsidR="00000000">
        <w:trPr>
          <w:divId w:val="1285577526"/>
          <w:jc w:val="center"/>
        </w:trPr>
        <w:tc>
          <w:tcPr>
            <w:tcW w:w="0" w:type="auto"/>
            <w:gridSpan w:val="3"/>
            <w:tcBorders>
              <w:top w:val="single" w:sz="8" w:space="0" w:color="000000"/>
              <w:left w:val="single" w:sz="8" w:space="0" w:color="000000"/>
            </w:tcBorders>
            <w:tcMar>
              <w:top w:w="30" w:type="dxa"/>
              <w:left w:w="20" w:type="dxa"/>
              <w:bottom w:w="30" w:type="dxa"/>
              <w:right w:w="20" w:type="dxa"/>
            </w:tcMar>
            <w:hideMark/>
          </w:tcPr>
          <w:p w:rsidR="00000000" w:rsidRDefault="001F1FC8">
            <w:pPr>
              <w:jc w:val="right"/>
              <w:rPr>
                <w:rFonts w:eastAsia="Times New Roman"/>
              </w:rPr>
            </w:pPr>
            <w:hyperlink r:id="rId166" w:history="1">
              <w:r>
                <w:rPr>
                  <w:rStyle w:val="a3"/>
                  <w:rFonts w:ascii="Arial" w:eastAsia="Times New Roman" w:hAnsi="Arial" w:cs="Arial"/>
                  <w:sz w:val="20"/>
                  <w:szCs w:val="20"/>
                </w:rPr>
                <w:t>10.</w:t>
              </w:r>
            </w:hyperlink>
            <w:hyperlink r:id="rId167" w:history="1">
              <w:r>
                <w:rPr>
                  <w:rStyle w:val="a3"/>
                  <w:rFonts w:ascii="Arial" w:eastAsia="Times New Roman" w:hAnsi="Arial" w:cs="Arial"/>
                  <w:sz w:val="20"/>
                  <w:szCs w:val="20"/>
                </w:rPr>
                <w:t>3</w:t>
              </w:r>
            </w:hyperlink>
            <w:hyperlink r:id="rId168" w:history="1">
              <w:r>
                <w:rPr>
                  <w:rStyle w:val="a3"/>
                  <w:rFonts w:ascii="Arial" w:eastAsia="Times New Roman" w:hAnsi="Arial" w:cs="Arial"/>
                  <w:sz w:val="20"/>
                  <w:szCs w:val="20"/>
                </w:rPr>
                <w:t>1</w:t>
              </w:r>
            </w:hyperlink>
          </w:p>
        </w:tc>
        <w:tc>
          <w:tcPr>
            <w:tcW w:w="0" w:type="auto"/>
            <w:gridSpan w:val="3"/>
            <w:tcBorders>
              <w:top w:val="single" w:sz="8" w:space="0" w:color="000000"/>
              <w:left w:val="single" w:sz="8" w:space="0" w:color="000000"/>
            </w:tcBorders>
            <w:tcMar>
              <w:top w:w="30" w:type="dxa"/>
              <w:left w:w="20" w:type="dxa"/>
              <w:bottom w:w="30" w:type="dxa"/>
              <w:right w:w="20" w:type="dxa"/>
            </w:tcMar>
            <w:hideMark/>
          </w:tcPr>
          <w:p w:rsidR="00000000" w:rsidRDefault="001F1FC8">
            <w:pPr>
              <w:jc w:val="right"/>
              <w:rPr>
                <w:rFonts w:eastAsia="Times New Roman"/>
              </w:rPr>
            </w:pPr>
            <w:r>
              <w:rPr>
                <w:rFonts w:ascii="Arial" w:eastAsia="Times New Roman" w:hAnsi="Arial" w:cs="Arial"/>
                <w:color w:val="000000"/>
                <w:sz w:val="20"/>
                <w:szCs w:val="20"/>
              </w:rPr>
              <w:t>+</w:t>
            </w:r>
          </w:p>
        </w:tc>
        <w:tc>
          <w:tcPr>
            <w:tcW w:w="0" w:type="auto"/>
            <w:gridSpan w:val="3"/>
            <w:tcBorders>
              <w:top w:val="single" w:sz="8" w:space="0" w:color="000000"/>
              <w:left w:val="single" w:sz="8" w:space="0" w:color="000000"/>
              <w:right w:val="single" w:sz="8" w:space="0" w:color="000000"/>
            </w:tcBorders>
            <w:tcMar>
              <w:top w:w="30" w:type="dxa"/>
              <w:left w:w="20" w:type="dxa"/>
              <w:bottom w:w="30" w:type="dxa"/>
              <w:right w:w="20" w:type="dxa"/>
            </w:tcMar>
            <w:vAlign w:val="bottom"/>
            <w:hideMark/>
          </w:tcPr>
          <w:p w:rsidR="00000000" w:rsidRDefault="001F1FC8">
            <w:pPr>
              <w:divId w:val="980812012"/>
              <w:rPr>
                <w:rFonts w:eastAsia="Times New Roman"/>
              </w:rPr>
            </w:pPr>
            <w:hyperlink r:id="rId169" w:history="1">
              <w:r>
                <w:rPr>
                  <w:rStyle w:val="a3"/>
                  <w:rFonts w:ascii="Arial" w:eastAsia="Times New Roman" w:hAnsi="Arial" w:cs="Arial"/>
                  <w:sz w:val="20"/>
                  <w:szCs w:val="20"/>
                </w:rPr>
                <w:t>Enbridge Inc. Directors’ Compensation Plan dated February 11, 2020, effective January 1, 2020 (incorporated by reference to Exhibit 10.1 to Enbridge’s Form 10-Q filed July 29, 202</w:t>
              </w:r>
              <w:r>
                <w:rPr>
                  <w:rStyle w:val="a3"/>
                  <w:rFonts w:ascii="Arial" w:eastAsia="Times New Roman" w:hAnsi="Arial" w:cs="Arial"/>
                  <w:sz w:val="20"/>
                  <w:szCs w:val="20"/>
                </w:rPr>
                <w:t xml:space="preserve">0), </w:t>
              </w:r>
            </w:hyperlink>
          </w:p>
        </w:tc>
      </w:tr>
      <w:tr w:rsidR="00000000">
        <w:trPr>
          <w:divId w:val="1285577526"/>
          <w:jc w:val="center"/>
        </w:trPr>
        <w:tc>
          <w:tcPr>
            <w:tcW w:w="0" w:type="auto"/>
            <w:gridSpan w:val="3"/>
            <w:tcBorders>
              <w:top w:val="single" w:sz="8" w:space="0" w:color="000000"/>
              <w:left w:val="single" w:sz="8" w:space="0" w:color="000000"/>
            </w:tcBorders>
            <w:tcMar>
              <w:top w:w="30" w:type="dxa"/>
              <w:left w:w="20" w:type="dxa"/>
              <w:bottom w:w="30" w:type="dxa"/>
              <w:right w:w="20" w:type="dxa"/>
            </w:tcMar>
            <w:hideMark/>
          </w:tcPr>
          <w:p w:rsidR="00000000" w:rsidRDefault="001F1FC8">
            <w:pPr>
              <w:jc w:val="right"/>
              <w:rPr>
                <w:rFonts w:eastAsia="Times New Roman"/>
              </w:rPr>
            </w:pPr>
            <w:hyperlink r:id="rId170" w:history="1">
              <w:r>
                <w:rPr>
                  <w:rStyle w:val="a3"/>
                  <w:rFonts w:ascii="Arial" w:eastAsia="Times New Roman" w:hAnsi="Arial" w:cs="Arial"/>
                  <w:sz w:val="20"/>
                  <w:szCs w:val="20"/>
                </w:rPr>
                <w:t>10.</w:t>
              </w:r>
            </w:hyperlink>
            <w:hyperlink r:id="rId171" w:history="1">
              <w:r>
                <w:rPr>
                  <w:rStyle w:val="a3"/>
                  <w:rFonts w:ascii="Arial" w:eastAsia="Times New Roman" w:hAnsi="Arial" w:cs="Arial"/>
                  <w:sz w:val="20"/>
                  <w:szCs w:val="20"/>
                </w:rPr>
                <w:t>3</w:t>
              </w:r>
            </w:hyperlink>
            <w:hyperlink r:id="rId172" w:history="1">
              <w:r>
                <w:rPr>
                  <w:rStyle w:val="a3"/>
                  <w:rFonts w:ascii="Arial" w:eastAsia="Times New Roman" w:hAnsi="Arial" w:cs="Arial"/>
                  <w:sz w:val="20"/>
                  <w:szCs w:val="20"/>
                </w:rPr>
                <w:t>2</w:t>
              </w:r>
            </w:hyperlink>
          </w:p>
        </w:tc>
        <w:tc>
          <w:tcPr>
            <w:tcW w:w="0" w:type="auto"/>
            <w:gridSpan w:val="3"/>
            <w:tcBorders>
              <w:top w:val="single" w:sz="8" w:space="0" w:color="000000"/>
              <w:left w:val="single" w:sz="8" w:space="0" w:color="000000"/>
            </w:tcBorders>
            <w:tcMar>
              <w:top w:w="30" w:type="dxa"/>
              <w:left w:w="20" w:type="dxa"/>
              <w:bottom w:w="30" w:type="dxa"/>
              <w:right w:w="20" w:type="dxa"/>
            </w:tcMar>
            <w:hideMark/>
          </w:tcPr>
          <w:p w:rsidR="00000000" w:rsidRDefault="001F1FC8">
            <w:pPr>
              <w:jc w:val="right"/>
              <w:rPr>
                <w:rFonts w:eastAsia="Times New Roman"/>
              </w:rPr>
            </w:pPr>
            <w:r>
              <w:rPr>
                <w:rFonts w:ascii="Arial" w:eastAsia="Times New Roman" w:hAnsi="Arial" w:cs="Arial"/>
                <w:color w:val="000000"/>
                <w:sz w:val="20"/>
                <w:szCs w:val="20"/>
              </w:rPr>
              <w:t>+</w:t>
            </w:r>
          </w:p>
        </w:tc>
        <w:tc>
          <w:tcPr>
            <w:tcW w:w="0" w:type="auto"/>
            <w:gridSpan w:val="3"/>
            <w:tcBorders>
              <w:left w:val="single" w:sz="8" w:space="0" w:color="000000"/>
              <w:right w:val="single" w:sz="8" w:space="0" w:color="000000"/>
            </w:tcBorders>
            <w:tcMar>
              <w:top w:w="30" w:type="dxa"/>
              <w:left w:w="20" w:type="dxa"/>
              <w:bottom w:w="30" w:type="dxa"/>
              <w:right w:w="20" w:type="dxa"/>
            </w:tcMar>
            <w:vAlign w:val="bottom"/>
            <w:hideMark/>
          </w:tcPr>
          <w:p w:rsidR="00000000" w:rsidRDefault="001F1FC8">
            <w:pPr>
              <w:divId w:val="1686665359"/>
              <w:rPr>
                <w:rFonts w:eastAsia="Times New Roman"/>
              </w:rPr>
            </w:pPr>
            <w:hyperlink r:id="rId173" w:history="1">
              <w:r>
                <w:rPr>
                  <w:rStyle w:val="a3"/>
                  <w:rFonts w:ascii="Arial" w:eastAsia="Times New Roman" w:hAnsi="Arial" w:cs="Arial"/>
                  <w:sz w:val="20"/>
                  <w:szCs w:val="20"/>
                </w:rPr>
                <w:t>Enbridge Inc. Directors’ Compensation Plan dated February 14</w:t>
              </w:r>
              <w:r>
                <w:rPr>
                  <w:rStyle w:val="a3"/>
                  <w:rFonts w:ascii="Arial" w:eastAsia="Times New Roman" w:hAnsi="Arial" w:cs="Arial"/>
                  <w:sz w:val="20"/>
                  <w:szCs w:val="20"/>
                </w:rPr>
                <w:t>, 2018 Amended Effective February 12, 2019 (incorporated by reference to Exhibit 10.2 to Enbridge’s Form 10-Q filed May 10, 2019)</w:t>
              </w:r>
            </w:hyperlink>
          </w:p>
        </w:tc>
      </w:tr>
      <w:tr w:rsidR="00000000">
        <w:trPr>
          <w:divId w:val="1285577526"/>
          <w:jc w:val="center"/>
        </w:trPr>
        <w:tc>
          <w:tcPr>
            <w:tcW w:w="0" w:type="auto"/>
            <w:gridSpan w:val="3"/>
            <w:tcBorders>
              <w:top w:val="single" w:sz="8" w:space="0" w:color="000000"/>
              <w:left w:val="single" w:sz="8" w:space="0" w:color="000000"/>
            </w:tcBorders>
            <w:tcMar>
              <w:top w:w="30" w:type="dxa"/>
              <w:left w:w="20" w:type="dxa"/>
              <w:bottom w:w="30" w:type="dxa"/>
              <w:right w:w="20" w:type="dxa"/>
            </w:tcMar>
            <w:hideMark/>
          </w:tcPr>
          <w:p w:rsidR="00000000" w:rsidRDefault="001F1FC8">
            <w:pPr>
              <w:jc w:val="right"/>
              <w:rPr>
                <w:rFonts w:eastAsia="Times New Roman"/>
              </w:rPr>
            </w:pPr>
            <w:hyperlink r:id="rId174" w:history="1">
              <w:r>
                <w:rPr>
                  <w:rStyle w:val="a3"/>
                  <w:rFonts w:ascii="Arial" w:eastAsia="Times New Roman" w:hAnsi="Arial" w:cs="Arial"/>
                  <w:sz w:val="20"/>
                  <w:szCs w:val="20"/>
                </w:rPr>
                <w:t>10.</w:t>
              </w:r>
            </w:hyperlink>
            <w:hyperlink r:id="rId175" w:history="1">
              <w:r>
                <w:rPr>
                  <w:rStyle w:val="a3"/>
                  <w:rFonts w:ascii="Arial" w:eastAsia="Times New Roman" w:hAnsi="Arial" w:cs="Arial"/>
                  <w:sz w:val="20"/>
                  <w:szCs w:val="20"/>
                </w:rPr>
                <w:t>3</w:t>
              </w:r>
            </w:hyperlink>
            <w:hyperlink r:id="rId176" w:history="1">
              <w:r>
                <w:rPr>
                  <w:rStyle w:val="a3"/>
                  <w:rFonts w:ascii="Arial" w:eastAsia="Times New Roman" w:hAnsi="Arial" w:cs="Arial"/>
                  <w:sz w:val="20"/>
                  <w:szCs w:val="20"/>
                </w:rPr>
                <w:t>3</w:t>
              </w:r>
            </w:hyperlink>
          </w:p>
        </w:tc>
        <w:tc>
          <w:tcPr>
            <w:tcW w:w="0" w:type="auto"/>
            <w:gridSpan w:val="3"/>
            <w:tcBorders>
              <w:top w:val="single" w:sz="8" w:space="0" w:color="000000"/>
              <w:left w:val="single" w:sz="8" w:space="0" w:color="000000"/>
            </w:tcBorders>
            <w:tcMar>
              <w:top w:w="30" w:type="dxa"/>
              <w:left w:w="20" w:type="dxa"/>
              <w:bottom w:w="30" w:type="dxa"/>
              <w:right w:w="20" w:type="dxa"/>
            </w:tcMar>
            <w:hideMark/>
          </w:tcPr>
          <w:p w:rsidR="00000000" w:rsidRDefault="001F1FC8">
            <w:pPr>
              <w:jc w:val="right"/>
              <w:rPr>
                <w:rFonts w:eastAsia="Times New Roman"/>
              </w:rPr>
            </w:pPr>
            <w:r>
              <w:rPr>
                <w:rFonts w:ascii="Arial" w:eastAsia="Times New Roman" w:hAnsi="Arial" w:cs="Arial"/>
                <w:color w:val="000000"/>
                <w:sz w:val="20"/>
                <w:szCs w:val="20"/>
              </w:rPr>
              <w:t>+</w:t>
            </w:r>
          </w:p>
        </w:tc>
        <w:tc>
          <w:tcPr>
            <w:tcW w:w="0" w:type="auto"/>
            <w:gridSpan w:val="3"/>
            <w:tcBorders>
              <w:top w:val="single" w:sz="8" w:space="0" w:color="000000"/>
              <w:left w:val="single" w:sz="8" w:space="0" w:color="000000"/>
              <w:right w:val="single" w:sz="8" w:space="0" w:color="000000"/>
            </w:tcBorders>
            <w:tcMar>
              <w:top w:w="30" w:type="dxa"/>
              <w:left w:w="20" w:type="dxa"/>
              <w:bottom w:w="30" w:type="dxa"/>
              <w:right w:w="20" w:type="dxa"/>
            </w:tcMar>
            <w:vAlign w:val="bottom"/>
            <w:hideMark/>
          </w:tcPr>
          <w:p w:rsidR="00000000" w:rsidRDefault="001F1FC8">
            <w:pPr>
              <w:divId w:val="614335694"/>
              <w:rPr>
                <w:rFonts w:eastAsia="Times New Roman"/>
              </w:rPr>
            </w:pPr>
            <w:hyperlink r:id="rId177" w:history="1">
              <w:r>
                <w:rPr>
                  <w:rStyle w:val="a3"/>
                  <w:rFonts w:ascii="Arial" w:eastAsia="Times New Roman" w:hAnsi="Arial" w:cs="Arial"/>
                  <w:sz w:val="20"/>
                  <w:szCs w:val="20"/>
                </w:rPr>
                <w:t>Enbridge Inc. Directors’ Compensation Plan dated February 14, 2018, effective January 1, 2018 (incorporated by reference as Exhibit 10.3 to Enbr</w:t>
              </w:r>
              <w:r>
                <w:rPr>
                  <w:rStyle w:val="a3"/>
                  <w:rFonts w:ascii="Arial" w:eastAsia="Times New Roman" w:hAnsi="Arial" w:cs="Arial"/>
                  <w:sz w:val="20"/>
                  <w:szCs w:val="20"/>
                </w:rPr>
                <w:t>idge’s Form 10-Q filed May 10, 2018)</w:t>
              </w:r>
            </w:hyperlink>
          </w:p>
        </w:tc>
      </w:tr>
      <w:tr w:rsidR="00000000">
        <w:trPr>
          <w:divId w:val="1285577526"/>
          <w:jc w:val="center"/>
        </w:trPr>
        <w:tc>
          <w:tcPr>
            <w:tcW w:w="0" w:type="auto"/>
            <w:gridSpan w:val="3"/>
            <w:tcBorders>
              <w:top w:val="single" w:sz="8" w:space="0" w:color="000000"/>
              <w:left w:val="single" w:sz="8" w:space="0" w:color="000000"/>
            </w:tcBorders>
            <w:tcMar>
              <w:top w:w="30" w:type="dxa"/>
              <w:left w:w="20" w:type="dxa"/>
              <w:bottom w:w="30" w:type="dxa"/>
              <w:right w:w="20" w:type="dxa"/>
            </w:tcMar>
            <w:hideMark/>
          </w:tcPr>
          <w:p w:rsidR="00000000" w:rsidRDefault="001F1FC8">
            <w:pPr>
              <w:jc w:val="right"/>
              <w:rPr>
                <w:rFonts w:eastAsia="Times New Roman"/>
              </w:rPr>
            </w:pPr>
            <w:hyperlink r:id="rId178" w:history="1">
              <w:r>
                <w:rPr>
                  <w:rStyle w:val="a3"/>
                  <w:rFonts w:ascii="Arial" w:eastAsia="Times New Roman" w:hAnsi="Arial" w:cs="Arial"/>
                  <w:sz w:val="20"/>
                  <w:szCs w:val="20"/>
                </w:rPr>
                <w:t>10.34</w:t>
              </w:r>
            </w:hyperlink>
          </w:p>
        </w:tc>
        <w:tc>
          <w:tcPr>
            <w:tcW w:w="0" w:type="auto"/>
            <w:gridSpan w:val="3"/>
            <w:tcBorders>
              <w:top w:val="single" w:sz="8" w:space="0" w:color="000000"/>
              <w:left w:val="single" w:sz="8" w:space="0" w:color="000000"/>
            </w:tcBorders>
            <w:tcMar>
              <w:top w:w="0" w:type="dxa"/>
              <w:left w:w="20" w:type="dxa"/>
              <w:bottom w:w="0" w:type="dxa"/>
              <w:right w:w="20" w:type="dxa"/>
            </w:tcMar>
            <w:vAlign w:val="center"/>
            <w:hideMark/>
          </w:tcPr>
          <w:p w:rsidR="00000000" w:rsidRDefault="001F1FC8">
            <w:pPr>
              <w:jc w:val="right"/>
              <w:rPr>
                <w:rFonts w:eastAsia="Times New Roman"/>
              </w:rPr>
            </w:pPr>
          </w:p>
        </w:tc>
        <w:tc>
          <w:tcPr>
            <w:tcW w:w="0" w:type="auto"/>
            <w:gridSpan w:val="3"/>
            <w:tcBorders>
              <w:top w:val="single" w:sz="8" w:space="0" w:color="000000"/>
              <w:left w:val="single" w:sz="8" w:space="0" w:color="000000"/>
              <w:right w:val="single" w:sz="8" w:space="0" w:color="000000"/>
            </w:tcBorders>
            <w:tcMar>
              <w:top w:w="30" w:type="dxa"/>
              <w:left w:w="20" w:type="dxa"/>
              <w:bottom w:w="30" w:type="dxa"/>
              <w:right w:w="20" w:type="dxa"/>
            </w:tcMar>
            <w:vAlign w:val="bottom"/>
            <w:hideMark/>
          </w:tcPr>
          <w:p w:rsidR="00000000" w:rsidRDefault="001F1FC8">
            <w:pPr>
              <w:divId w:val="1297299160"/>
              <w:rPr>
                <w:rFonts w:eastAsia="Times New Roman"/>
              </w:rPr>
            </w:pPr>
            <w:hyperlink r:id="rId179" w:history="1">
              <w:r>
                <w:rPr>
                  <w:rStyle w:val="a3"/>
                  <w:rFonts w:ascii="Arial" w:eastAsia="Times New Roman" w:hAnsi="Arial" w:cs="Arial"/>
                  <w:sz w:val="20"/>
                  <w:szCs w:val="20"/>
                </w:rPr>
                <w:t>Enbridge Inc. Directors’ Compensation Plan, November 3, 2015, effective January 1, 2016 (incorporated by reference as Exhibit 10.16 to Enbridge’s Form 10-K filed February 16, 2018)</w:t>
              </w:r>
            </w:hyperlink>
          </w:p>
        </w:tc>
      </w:tr>
      <w:tr w:rsidR="00000000">
        <w:trPr>
          <w:divId w:val="1285577526"/>
          <w:jc w:val="center"/>
        </w:trPr>
        <w:tc>
          <w:tcPr>
            <w:tcW w:w="0" w:type="auto"/>
            <w:gridSpan w:val="3"/>
            <w:tcBorders>
              <w:top w:val="single" w:sz="8" w:space="0" w:color="000000"/>
              <w:left w:val="single" w:sz="8" w:space="0" w:color="000000"/>
            </w:tcBorders>
            <w:tcMar>
              <w:top w:w="30" w:type="dxa"/>
              <w:left w:w="20" w:type="dxa"/>
              <w:bottom w:w="30" w:type="dxa"/>
              <w:right w:w="20" w:type="dxa"/>
            </w:tcMar>
            <w:hideMark/>
          </w:tcPr>
          <w:p w:rsidR="00000000" w:rsidRDefault="001F1FC8">
            <w:pPr>
              <w:jc w:val="right"/>
              <w:rPr>
                <w:rFonts w:eastAsia="Times New Roman"/>
              </w:rPr>
            </w:pPr>
            <w:hyperlink r:id="rId180" w:history="1">
              <w:r>
                <w:rPr>
                  <w:rStyle w:val="a3"/>
                  <w:rFonts w:ascii="Arial" w:eastAsia="Times New Roman" w:hAnsi="Arial" w:cs="Arial"/>
                  <w:sz w:val="20"/>
                  <w:szCs w:val="20"/>
                </w:rPr>
                <w:t>10.</w:t>
              </w:r>
            </w:hyperlink>
            <w:hyperlink r:id="rId181" w:history="1">
              <w:r>
                <w:rPr>
                  <w:rStyle w:val="a3"/>
                  <w:rFonts w:ascii="Arial" w:eastAsia="Times New Roman" w:hAnsi="Arial" w:cs="Arial"/>
                  <w:sz w:val="20"/>
                  <w:szCs w:val="20"/>
                </w:rPr>
                <w:t>3</w:t>
              </w:r>
            </w:hyperlink>
            <w:hyperlink r:id="rId182" w:history="1">
              <w:r>
                <w:rPr>
                  <w:rStyle w:val="a3"/>
                  <w:rFonts w:ascii="Arial" w:eastAsia="Times New Roman" w:hAnsi="Arial" w:cs="Arial"/>
                  <w:sz w:val="20"/>
                  <w:szCs w:val="20"/>
                </w:rPr>
                <w:t>5</w:t>
              </w:r>
            </w:hyperlink>
          </w:p>
        </w:tc>
        <w:tc>
          <w:tcPr>
            <w:tcW w:w="0" w:type="auto"/>
            <w:gridSpan w:val="3"/>
            <w:tcBorders>
              <w:top w:val="single" w:sz="8" w:space="0" w:color="000000"/>
              <w:left w:val="single" w:sz="8" w:space="0" w:color="000000"/>
            </w:tcBorders>
            <w:tcMar>
              <w:top w:w="30" w:type="dxa"/>
              <w:left w:w="20" w:type="dxa"/>
              <w:bottom w:w="30" w:type="dxa"/>
              <w:right w:w="20" w:type="dxa"/>
            </w:tcMar>
            <w:hideMark/>
          </w:tcPr>
          <w:p w:rsidR="00000000" w:rsidRDefault="001F1FC8">
            <w:pPr>
              <w:jc w:val="right"/>
              <w:rPr>
                <w:rFonts w:eastAsia="Times New Roman"/>
              </w:rPr>
            </w:pPr>
            <w:r>
              <w:rPr>
                <w:rFonts w:ascii="Arial" w:eastAsia="Times New Roman" w:hAnsi="Arial" w:cs="Arial"/>
                <w:color w:val="000000"/>
                <w:sz w:val="20"/>
                <w:szCs w:val="20"/>
              </w:rPr>
              <w:t>+</w:t>
            </w:r>
          </w:p>
        </w:tc>
        <w:tc>
          <w:tcPr>
            <w:tcW w:w="0" w:type="auto"/>
            <w:gridSpan w:val="3"/>
            <w:tcBorders>
              <w:top w:val="single" w:sz="8" w:space="0" w:color="000000"/>
              <w:left w:val="single" w:sz="8" w:space="0" w:color="000000"/>
              <w:right w:val="single" w:sz="8" w:space="0" w:color="000000"/>
            </w:tcBorders>
            <w:tcMar>
              <w:top w:w="30" w:type="dxa"/>
              <w:left w:w="20" w:type="dxa"/>
              <w:bottom w:w="30" w:type="dxa"/>
              <w:right w:w="20" w:type="dxa"/>
            </w:tcMar>
            <w:vAlign w:val="bottom"/>
            <w:hideMark/>
          </w:tcPr>
          <w:p w:rsidR="00000000" w:rsidRDefault="001F1FC8">
            <w:pPr>
              <w:divId w:val="623998182"/>
              <w:rPr>
                <w:rFonts w:eastAsia="Times New Roman"/>
              </w:rPr>
            </w:pPr>
            <w:hyperlink r:id="rId183" w:history="1">
              <w:r>
                <w:rPr>
                  <w:rStyle w:val="a3"/>
                  <w:rFonts w:ascii="Arial" w:eastAsia="Times New Roman" w:hAnsi="Arial" w:cs="Arial"/>
                  <w:sz w:val="20"/>
                  <w:szCs w:val="20"/>
                </w:rPr>
                <w:t>Enbridge Inc. Short Term Incentive Plan (As Amended and Restated Effective January 1, 2019) (incorporated by refe</w:t>
              </w:r>
              <w:r>
                <w:rPr>
                  <w:rStyle w:val="a3"/>
                  <w:rFonts w:ascii="Arial" w:eastAsia="Times New Roman" w:hAnsi="Arial" w:cs="Arial"/>
                  <w:sz w:val="20"/>
                  <w:szCs w:val="20"/>
                </w:rPr>
                <w:t>rence to Exhibit 10.1 to Enbridge’s Form 10-Q filed May 10, 2019)</w:t>
              </w:r>
            </w:hyperlink>
          </w:p>
        </w:tc>
      </w:tr>
      <w:tr w:rsidR="00000000">
        <w:trPr>
          <w:divId w:val="1285577526"/>
          <w:jc w:val="center"/>
        </w:trPr>
        <w:tc>
          <w:tcPr>
            <w:tcW w:w="0" w:type="auto"/>
            <w:gridSpan w:val="3"/>
            <w:tcBorders>
              <w:top w:val="single" w:sz="8" w:space="0" w:color="000000"/>
              <w:left w:val="single" w:sz="8" w:space="0" w:color="000000"/>
            </w:tcBorders>
            <w:tcMar>
              <w:top w:w="30" w:type="dxa"/>
              <w:left w:w="20" w:type="dxa"/>
              <w:bottom w:w="30" w:type="dxa"/>
              <w:right w:w="20" w:type="dxa"/>
            </w:tcMar>
            <w:hideMark/>
          </w:tcPr>
          <w:p w:rsidR="00000000" w:rsidRDefault="001F1FC8">
            <w:pPr>
              <w:jc w:val="right"/>
              <w:rPr>
                <w:rFonts w:eastAsia="Times New Roman"/>
              </w:rPr>
            </w:pPr>
            <w:hyperlink r:id="rId184" w:history="1">
              <w:r>
                <w:rPr>
                  <w:rStyle w:val="a3"/>
                  <w:rFonts w:ascii="Arial" w:eastAsia="Times New Roman" w:hAnsi="Arial" w:cs="Arial"/>
                  <w:sz w:val="20"/>
                  <w:szCs w:val="20"/>
                </w:rPr>
                <w:t>10.</w:t>
              </w:r>
            </w:hyperlink>
            <w:hyperlink r:id="rId185" w:history="1">
              <w:r>
                <w:rPr>
                  <w:rStyle w:val="a3"/>
                  <w:rFonts w:ascii="Arial" w:eastAsia="Times New Roman" w:hAnsi="Arial" w:cs="Arial"/>
                  <w:sz w:val="20"/>
                  <w:szCs w:val="20"/>
                </w:rPr>
                <w:t>36</w:t>
              </w:r>
            </w:hyperlink>
          </w:p>
        </w:tc>
        <w:tc>
          <w:tcPr>
            <w:tcW w:w="0" w:type="auto"/>
            <w:gridSpan w:val="3"/>
            <w:tcBorders>
              <w:top w:val="single" w:sz="8" w:space="0" w:color="000000"/>
              <w:left w:val="single" w:sz="8" w:space="0" w:color="000000"/>
            </w:tcBorders>
            <w:tcMar>
              <w:top w:w="30" w:type="dxa"/>
              <w:left w:w="20" w:type="dxa"/>
              <w:bottom w:w="30" w:type="dxa"/>
              <w:right w:w="20" w:type="dxa"/>
            </w:tcMar>
            <w:hideMark/>
          </w:tcPr>
          <w:p w:rsidR="00000000" w:rsidRDefault="001F1FC8">
            <w:pPr>
              <w:jc w:val="right"/>
              <w:rPr>
                <w:rFonts w:eastAsia="Times New Roman"/>
              </w:rPr>
            </w:pPr>
            <w:r>
              <w:rPr>
                <w:rFonts w:ascii="Arial" w:eastAsia="Times New Roman" w:hAnsi="Arial" w:cs="Arial"/>
                <w:color w:val="000000"/>
                <w:sz w:val="20"/>
                <w:szCs w:val="20"/>
              </w:rPr>
              <w:t>+</w:t>
            </w:r>
          </w:p>
        </w:tc>
        <w:tc>
          <w:tcPr>
            <w:tcW w:w="0" w:type="auto"/>
            <w:gridSpan w:val="3"/>
            <w:tcBorders>
              <w:top w:val="single" w:sz="8" w:space="0" w:color="000000"/>
              <w:left w:val="single" w:sz="8" w:space="0" w:color="000000"/>
              <w:right w:val="single" w:sz="8" w:space="0" w:color="000000"/>
            </w:tcBorders>
            <w:tcMar>
              <w:top w:w="30" w:type="dxa"/>
              <w:left w:w="20" w:type="dxa"/>
              <w:bottom w:w="30" w:type="dxa"/>
              <w:right w:w="20" w:type="dxa"/>
            </w:tcMar>
            <w:vAlign w:val="bottom"/>
            <w:hideMark/>
          </w:tcPr>
          <w:p w:rsidR="00000000" w:rsidRDefault="001F1FC8">
            <w:pPr>
              <w:divId w:val="1390570812"/>
              <w:rPr>
                <w:rFonts w:eastAsia="Times New Roman"/>
              </w:rPr>
            </w:pPr>
            <w:hyperlink r:id="rId186" w:history="1">
              <w:r>
                <w:rPr>
                  <w:rStyle w:val="a3"/>
                  <w:rFonts w:ascii="Arial" w:eastAsia="Times New Roman" w:hAnsi="Arial" w:cs="Arial"/>
                  <w:sz w:val="20"/>
                  <w:szCs w:val="20"/>
                </w:rPr>
                <w:t>The Enbridge Supplement</w:t>
              </w:r>
              <w:r>
                <w:rPr>
                  <w:rStyle w:val="a3"/>
                  <w:rFonts w:ascii="Arial" w:eastAsia="Times New Roman" w:hAnsi="Arial" w:cs="Arial"/>
                  <w:sz w:val="20"/>
                  <w:szCs w:val="20"/>
                </w:rPr>
                <w:t>al Pension Plan, As Amended and Restated Effective January 1, 2018 (incorporated by reference as Exhibit 10.1 to Enbridge’s Quarterly Report on Form 10-Q filed May 10, 2018)</w:t>
              </w:r>
            </w:hyperlink>
          </w:p>
        </w:tc>
      </w:tr>
      <w:tr w:rsidR="00000000">
        <w:trPr>
          <w:divId w:val="1285577526"/>
          <w:jc w:val="center"/>
        </w:trPr>
        <w:tc>
          <w:tcPr>
            <w:tcW w:w="0" w:type="auto"/>
            <w:gridSpan w:val="3"/>
            <w:tcBorders>
              <w:top w:val="single" w:sz="8" w:space="0" w:color="000000"/>
              <w:left w:val="single" w:sz="8" w:space="0" w:color="000000"/>
            </w:tcBorders>
            <w:tcMar>
              <w:top w:w="30" w:type="dxa"/>
              <w:left w:w="20" w:type="dxa"/>
              <w:bottom w:w="30" w:type="dxa"/>
              <w:right w:w="20" w:type="dxa"/>
            </w:tcMar>
            <w:hideMark/>
          </w:tcPr>
          <w:p w:rsidR="00000000" w:rsidRDefault="001F1FC8">
            <w:pPr>
              <w:jc w:val="right"/>
              <w:rPr>
                <w:rFonts w:eastAsia="Times New Roman"/>
              </w:rPr>
            </w:pPr>
            <w:hyperlink r:id="rId187" w:history="1">
              <w:r>
                <w:rPr>
                  <w:rStyle w:val="a3"/>
                  <w:rFonts w:ascii="Arial" w:eastAsia="Times New Roman" w:hAnsi="Arial" w:cs="Arial"/>
                  <w:sz w:val="20"/>
                  <w:szCs w:val="20"/>
                </w:rPr>
                <w:t>10.</w:t>
              </w:r>
            </w:hyperlink>
            <w:hyperlink r:id="rId188" w:history="1">
              <w:r>
                <w:rPr>
                  <w:rStyle w:val="a3"/>
                  <w:rFonts w:ascii="Arial" w:eastAsia="Times New Roman" w:hAnsi="Arial" w:cs="Arial"/>
                  <w:sz w:val="20"/>
                  <w:szCs w:val="20"/>
                </w:rPr>
                <w:t>37</w:t>
              </w:r>
            </w:hyperlink>
          </w:p>
        </w:tc>
        <w:tc>
          <w:tcPr>
            <w:tcW w:w="0" w:type="auto"/>
            <w:gridSpan w:val="3"/>
            <w:tcBorders>
              <w:top w:val="single" w:sz="8" w:space="0" w:color="000000"/>
              <w:left w:val="single" w:sz="8" w:space="0" w:color="000000"/>
            </w:tcBorders>
            <w:tcMar>
              <w:top w:w="30" w:type="dxa"/>
              <w:left w:w="20" w:type="dxa"/>
              <w:bottom w:w="30" w:type="dxa"/>
              <w:right w:w="20" w:type="dxa"/>
            </w:tcMar>
            <w:hideMark/>
          </w:tcPr>
          <w:p w:rsidR="00000000" w:rsidRDefault="001F1FC8">
            <w:pPr>
              <w:jc w:val="right"/>
              <w:rPr>
                <w:rFonts w:eastAsia="Times New Roman"/>
              </w:rPr>
            </w:pPr>
            <w:r>
              <w:rPr>
                <w:rFonts w:ascii="Arial" w:eastAsia="Times New Roman" w:hAnsi="Arial" w:cs="Arial"/>
                <w:color w:val="000000"/>
                <w:sz w:val="20"/>
                <w:szCs w:val="20"/>
              </w:rPr>
              <w:t>+</w:t>
            </w:r>
          </w:p>
        </w:tc>
        <w:tc>
          <w:tcPr>
            <w:tcW w:w="0" w:type="auto"/>
            <w:gridSpan w:val="3"/>
            <w:tcBorders>
              <w:top w:val="single" w:sz="8" w:space="0" w:color="000000"/>
              <w:left w:val="single" w:sz="8" w:space="0" w:color="000000"/>
              <w:right w:val="single" w:sz="8" w:space="0" w:color="000000"/>
            </w:tcBorders>
            <w:tcMar>
              <w:top w:w="30" w:type="dxa"/>
              <w:left w:w="20" w:type="dxa"/>
              <w:bottom w:w="30" w:type="dxa"/>
              <w:right w:w="20" w:type="dxa"/>
            </w:tcMar>
            <w:vAlign w:val="bottom"/>
            <w:hideMark/>
          </w:tcPr>
          <w:p w:rsidR="00000000" w:rsidRDefault="001F1FC8">
            <w:pPr>
              <w:divId w:val="749430051"/>
              <w:rPr>
                <w:rFonts w:eastAsia="Times New Roman"/>
              </w:rPr>
            </w:pPr>
            <w:hyperlink r:id="rId189" w:history="1">
              <w:r>
                <w:rPr>
                  <w:rStyle w:val="a3"/>
                  <w:rFonts w:ascii="Arial" w:eastAsia="Times New Roman" w:hAnsi="Arial" w:cs="Arial"/>
                  <w:sz w:val="20"/>
                  <w:szCs w:val="20"/>
                </w:rPr>
                <w:t>Enbridge Supplemental Pension Plan for United States Employees (As Amended and Restated Effective January 1, 2005) (incorporated by reference to Exhibit 10.20 to Enbridge’s Annual Report on Form 10-K filed February 16, 2018)</w:t>
              </w:r>
            </w:hyperlink>
          </w:p>
        </w:tc>
      </w:tr>
      <w:tr w:rsidR="00000000">
        <w:trPr>
          <w:divId w:val="1285577526"/>
          <w:jc w:val="center"/>
        </w:trPr>
        <w:tc>
          <w:tcPr>
            <w:tcW w:w="0" w:type="auto"/>
            <w:gridSpan w:val="3"/>
            <w:tcBorders>
              <w:top w:val="single" w:sz="8" w:space="0" w:color="000000"/>
              <w:left w:val="single" w:sz="8" w:space="0" w:color="000000"/>
            </w:tcBorders>
            <w:tcMar>
              <w:top w:w="30" w:type="dxa"/>
              <w:left w:w="20" w:type="dxa"/>
              <w:bottom w:w="30" w:type="dxa"/>
              <w:right w:w="20" w:type="dxa"/>
            </w:tcMar>
            <w:hideMark/>
          </w:tcPr>
          <w:p w:rsidR="00000000" w:rsidRDefault="001F1FC8">
            <w:pPr>
              <w:jc w:val="right"/>
              <w:rPr>
                <w:rFonts w:eastAsia="Times New Roman"/>
              </w:rPr>
            </w:pPr>
            <w:hyperlink r:id="rId190" w:history="1">
              <w:r>
                <w:rPr>
                  <w:rStyle w:val="a3"/>
                  <w:rFonts w:ascii="Arial" w:eastAsia="Times New Roman" w:hAnsi="Arial" w:cs="Arial"/>
                  <w:sz w:val="20"/>
                  <w:szCs w:val="20"/>
                </w:rPr>
                <w:t>10.</w:t>
              </w:r>
            </w:hyperlink>
            <w:hyperlink r:id="rId191" w:history="1">
              <w:r>
                <w:rPr>
                  <w:rStyle w:val="a3"/>
                  <w:rFonts w:ascii="Arial" w:eastAsia="Times New Roman" w:hAnsi="Arial" w:cs="Arial"/>
                  <w:sz w:val="20"/>
                  <w:szCs w:val="20"/>
                </w:rPr>
                <w:t>38</w:t>
              </w:r>
            </w:hyperlink>
          </w:p>
        </w:tc>
        <w:tc>
          <w:tcPr>
            <w:tcW w:w="0" w:type="auto"/>
            <w:gridSpan w:val="3"/>
            <w:tcBorders>
              <w:top w:val="single" w:sz="8" w:space="0" w:color="000000"/>
              <w:left w:val="single" w:sz="8" w:space="0" w:color="000000"/>
            </w:tcBorders>
            <w:tcMar>
              <w:top w:w="30" w:type="dxa"/>
              <w:left w:w="20" w:type="dxa"/>
              <w:bottom w:w="30" w:type="dxa"/>
              <w:right w:w="20" w:type="dxa"/>
            </w:tcMar>
            <w:hideMark/>
          </w:tcPr>
          <w:p w:rsidR="00000000" w:rsidRDefault="001F1FC8">
            <w:pPr>
              <w:jc w:val="right"/>
              <w:rPr>
                <w:rFonts w:eastAsia="Times New Roman"/>
              </w:rPr>
            </w:pPr>
            <w:r>
              <w:rPr>
                <w:rFonts w:ascii="Arial" w:eastAsia="Times New Roman" w:hAnsi="Arial" w:cs="Arial"/>
                <w:color w:val="000000"/>
                <w:sz w:val="20"/>
                <w:szCs w:val="20"/>
              </w:rPr>
              <w:t>+</w:t>
            </w:r>
          </w:p>
        </w:tc>
        <w:tc>
          <w:tcPr>
            <w:tcW w:w="0" w:type="auto"/>
            <w:gridSpan w:val="3"/>
            <w:tcBorders>
              <w:top w:val="single" w:sz="8" w:space="0" w:color="000000"/>
              <w:left w:val="single" w:sz="8" w:space="0" w:color="000000"/>
              <w:right w:val="single" w:sz="8" w:space="0" w:color="000000"/>
            </w:tcBorders>
            <w:tcMar>
              <w:top w:w="30" w:type="dxa"/>
              <w:left w:w="20" w:type="dxa"/>
              <w:bottom w:w="30" w:type="dxa"/>
              <w:right w:w="20" w:type="dxa"/>
            </w:tcMar>
            <w:vAlign w:val="bottom"/>
            <w:hideMark/>
          </w:tcPr>
          <w:p w:rsidR="00000000" w:rsidRDefault="001F1FC8">
            <w:pPr>
              <w:divId w:val="399593763"/>
              <w:rPr>
                <w:rFonts w:eastAsia="Times New Roman"/>
              </w:rPr>
            </w:pPr>
            <w:hyperlink r:id="rId192" w:history="1">
              <w:r>
                <w:rPr>
                  <w:rStyle w:val="a3"/>
                  <w:rFonts w:ascii="Arial" w:eastAsia="Times New Roman" w:hAnsi="Arial" w:cs="Arial"/>
                  <w:sz w:val="20"/>
                  <w:szCs w:val="20"/>
                </w:rPr>
                <w:t xml:space="preserve">Amendment 1 and Amendment 2 to the Enbridge Supplemental Pension Plan for United States Employees (As Amended and Restated Effective January 1, </w:t>
              </w:r>
              <w:r>
                <w:rPr>
                  <w:rStyle w:val="a3"/>
                  <w:rFonts w:ascii="Arial" w:eastAsia="Times New Roman" w:hAnsi="Arial" w:cs="Arial"/>
                  <w:sz w:val="20"/>
                  <w:szCs w:val="20"/>
                </w:rPr>
                <w:t>2005) (incorporated by reference to Exhibit 10.21 to Enbridge’s Annual Report on Form 10-K filed February 16, 2018)</w:t>
              </w:r>
            </w:hyperlink>
          </w:p>
        </w:tc>
      </w:tr>
      <w:tr w:rsidR="00000000">
        <w:trPr>
          <w:divId w:val="1285577526"/>
          <w:jc w:val="center"/>
        </w:trPr>
        <w:tc>
          <w:tcPr>
            <w:tcW w:w="0" w:type="auto"/>
            <w:gridSpan w:val="3"/>
            <w:tcBorders>
              <w:top w:val="single" w:sz="8" w:space="0" w:color="000000"/>
              <w:left w:val="single" w:sz="8" w:space="0" w:color="000000"/>
            </w:tcBorders>
            <w:tcMar>
              <w:top w:w="30" w:type="dxa"/>
              <w:left w:w="20" w:type="dxa"/>
              <w:bottom w:w="30" w:type="dxa"/>
              <w:right w:w="20" w:type="dxa"/>
            </w:tcMar>
            <w:hideMark/>
          </w:tcPr>
          <w:p w:rsidR="00000000" w:rsidRDefault="001F1FC8">
            <w:pPr>
              <w:jc w:val="right"/>
              <w:rPr>
                <w:rFonts w:eastAsia="Times New Roman"/>
              </w:rPr>
            </w:pPr>
            <w:hyperlink r:id="rId193" w:history="1">
              <w:r>
                <w:rPr>
                  <w:rStyle w:val="a3"/>
                  <w:rFonts w:ascii="Arial" w:eastAsia="Times New Roman" w:hAnsi="Arial" w:cs="Arial"/>
                  <w:sz w:val="20"/>
                  <w:szCs w:val="20"/>
                </w:rPr>
                <w:t>10.</w:t>
              </w:r>
            </w:hyperlink>
            <w:hyperlink r:id="rId194" w:history="1">
              <w:r>
                <w:rPr>
                  <w:rStyle w:val="a3"/>
                  <w:rFonts w:ascii="Arial" w:eastAsia="Times New Roman" w:hAnsi="Arial" w:cs="Arial"/>
                  <w:sz w:val="20"/>
                  <w:szCs w:val="20"/>
                </w:rPr>
                <w:t>39</w:t>
              </w:r>
            </w:hyperlink>
          </w:p>
        </w:tc>
        <w:tc>
          <w:tcPr>
            <w:tcW w:w="0" w:type="auto"/>
            <w:gridSpan w:val="3"/>
            <w:tcBorders>
              <w:top w:val="single" w:sz="8" w:space="0" w:color="000000"/>
              <w:left w:val="single" w:sz="8" w:space="0" w:color="000000"/>
            </w:tcBorders>
            <w:tcMar>
              <w:top w:w="30" w:type="dxa"/>
              <w:left w:w="20" w:type="dxa"/>
              <w:bottom w:w="30" w:type="dxa"/>
              <w:right w:w="20" w:type="dxa"/>
            </w:tcMar>
            <w:hideMark/>
          </w:tcPr>
          <w:p w:rsidR="00000000" w:rsidRDefault="001F1FC8">
            <w:pPr>
              <w:jc w:val="right"/>
              <w:rPr>
                <w:rFonts w:eastAsia="Times New Roman"/>
              </w:rPr>
            </w:pPr>
            <w:r>
              <w:rPr>
                <w:rFonts w:ascii="Arial" w:eastAsia="Times New Roman" w:hAnsi="Arial" w:cs="Arial"/>
                <w:color w:val="000000"/>
                <w:sz w:val="20"/>
                <w:szCs w:val="20"/>
              </w:rPr>
              <w:t>+</w:t>
            </w:r>
          </w:p>
        </w:tc>
        <w:tc>
          <w:tcPr>
            <w:tcW w:w="0" w:type="auto"/>
            <w:gridSpan w:val="3"/>
            <w:tcBorders>
              <w:top w:val="single" w:sz="8" w:space="0" w:color="000000"/>
              <w:left w:val="single" w:sz="8" w:space="0" w:color="000000"/>
              <w:right w:val="single" w:sz="8" w:space="0" w:color="000000"/>
            </w:tcBorders>
            <w:tcMar>
              <w:top w:w="30" w:type="dxa"/>
              <w:left w:w="20" w:type="dxa"/>
              <w:bottom w:w="30" w:type="dxa"/>
              <w:right w:w="20" w:type="dxa"/>
            </w:tcMar>
            <w:vAlign w:val="bottom"/>
            <w:hideMark/>
          </w:tcPr>
          <w:p w:rsidR="00000000" w:rsidRDefault="001F1FC8">
            <w:pPr>
              <w:divId w:val="1364406018"/>
              <w:rPr>
                <w:rFonts w:eastAsia="Times New Roman"/>
              </w:rPr>
            </w:pPr>
            <w:hyperlink r:id="rId195" w:history="1">
              <w:r>
                <w:rPr>
                  <w:rStyle w:val="a3"/>
                  <w:rFonts w:ascii="Arial" w:eastAsia="Times New Roman" w:hAnsi="Arial" w:cs="Arial"/>
                  <w:sz w:val="20"/>
                  <w:szCs w:val="20"/>
                </w:rPr>
                <w:t>Third Amendment to The En</w:t>
              </w:r>
              <w:r>
                <w:rPr>
                  <w:rStyle w:val="a3"/>
                  <w:rFonts w:ascii="Arial" w:eastAsia="Times New Roman" w:hAnsi="Arial" w:cs="Arial"/>
                  <w:sz w:val="20"/>
                  <w:szCs w:val="20"/>
                </w:rPr>
                <w:t>bridge Supplemental Pension Plan for United States Employees (As Amended and Restated Effective January 1, 2005) (incorporated by reference as Exhibit 10.2 to Enbridge’s Quarterly Report on Form 10-Q filed May 10, 2018)</w:t>
              </w:r>
            </w:hyperlink>
          </w:p>
        </w:tc>
      </w:tr>
      <w:tr w:rsidR="00000000">
        <w:trPr>
          <w:divId w:val="1285577526"/>
          <w:jc w:val="center"/>
        </w:trPr>
        <w:tc>
          <w:tcPr>
            <w:tcW w:w="0" w:type="auto"/>
            <w:gridSpan w:val="3"/>
            <w:tcBorders>
              <w:top w:val="single" w:sz="8" w:space="0" w:color="000000"/>
              <w:left w:val="single" w:sz="8" w:space="0" w:color="000000"/>
              <w:bottom w:val="single" w:sz="8" w:space="0" w:color="000000"/>
            </w:tcBorders>
            <w:tcMar>
              <w:top w:w="30" w:type="dxa"/>
              <w:left w:w="20" w:type="dxa"/>
              <w:bottom w:w="30" w:type="dxa"/>
              <w:right w:w="20" w:type="dxa"/>
            </w:tcMar>
            <w:hideMark/>
          </w:tcPr>
          <w:p w:rsidR="00000000" w:rsidRDefault="001F1FC8">
            <w:pPr>
              <w:jc w:val="right"/>
              <w:rPr>
                <w:rFonts w:eastAsia="Times New Roman"/>
              </w:rPr>
            </w:pPr>
            <w:hyperlink r:id="rId196" w:history="1">
              <w:r>
                <w:rPr>
                  <w:rStyle w:val="a3"/>
                  <w:rFonts w:ascii="Arial" w:eastAsia="Times New Roman" w:hAnsi="Arial" w:cs="Arial"/>
                  <w:sz w:val="20"/>
                  <w:szCs w:val="20"/>
                </w:rPr>
                <w:t>10.40</w:t>
              </w:r>
            </w:hyperlink>
          </w:p>
        </w:tc>
        <w:tc>
          <w:tcPr>
            <w:tcW w:w="0" w:type="auto"/>
            <w:gridSpan w:val="3"/>
            <w:tcBorders>
              <w:top w:val="single" w:sz="8" w:space="0" w:color="000000"/>
              <w:left w:val="single" w:sz="8" w:space="0" w:color="000000"/>
              <w:bottom w:val="single" w:sz="8" w:space="0" w:color="000000"/>
            </w:tcBorders>
            <w:tcMar>
              <w:top w:w="30" w:type="dxa"/>
              <w:left w:w="20" w:type="dxa"/>
              <w:bottom w:w="30" w:type="dxa"/>
              <w:right w:w="20" w:type="dxa"/>
            </w:tcMar>
            <w:hideMark/>
          </w:tcPr>
          <w:p w:rsidR="00000000" w:rsidRDefault="001F1FC8">
            <w:pPr>
              <w:jc w:val="right"/>
              <w:rPr>
                <w:rFonts w:eastAsia="Times New Roman"/>
              </w:rPr>
            </w:pPr>
            <w:r>
              <w:rPr>
                <w:rFonts w:ascii="Arial" w:eastAsia="Times New Roman" w:hAnsi="Arial" w:cs="Arial"/>
                <w:color w:val="000000"/>
                <w:sz w:val="20"/>
                <w:szCs w:val="20"/>
              </w:rPr>
              <w:t>+</w:t>
            </w:r>
          </w:p>
        </w:tc>
        <w:tc>
          <w:tcPr>
            <w:tcW w:w="0" w:type="auto"/>
            <w:gridSpan w:val="3"/>
            <w:tcBorders>
              <w:top w:val="single" w:sz="8" w:space="0" w:color="000000"/>
              <w:left w:val="single" w:sz="8" w:space="0" w:color="000000"/>
              <w:bottom w:val="single" w:sz="8" w:space="0" w:color="000000"/>
              <w:right w:val="single" w:sz="8" w:space="0" w:color="000000"/>
            </w:tcBorders>
            <w:tcMar>
              <w:top w:w="30" w:type="dxa"/>
              <w:left w:w="20" w:type="dxa"/>
              <w:bottom w:w="30" w:type="dxa"/>
              <w:right w:w="20" w:type="dxa"/>
            </w:tcMar>
            <w:vAlign w:val="bottom"/>
            <w:hideMark/>
          </w:tcPr>
          <w:p w:rsidR="00000000" w:rsidRDefault="001F1FC8">
            <w:pPr>
              <w:divId w:val="13306805"/>
              <w:rPr>
                <w:rFonts w:eastAsia="Times New Roman"/>
              </w:rPr>
            </w:pPr>
            <w:hyperlink r:id="rId197" w:history="1">
              <w:r>
                <w:rPr>
                  <w:rStyle w:val="a3"/>
                  <w:rFonts w:ascii="Arial" w:eastAsia="Times New Roman" w:hAnsi="Arial" w:cs="Arial"/>
                  <w:sz w:val="20"/>
                  <w:szCs w:val="20"/>
                </w:rPr>
                <w:t>Spectra Energy Corp Directors’ Savings Plan, as amend</w:t>
              </w:r>
              <w:r>
                <w:rPr>
                  <w:rStyle w:val="a3"/>
                  <w:rFonts w:ascii="Arial" w:eastAsia="Times New Roman" w:hAnsi="Arial" w:cs="Arial"/>
                  <w:sz w:val="20"/>
                  <w:szCs w:val="20"/>
                </w:rPr>
                <w:t>ed and restated (incorporated by reference to Exhibit 10.22 to Enbridge’s Annual Report on Form 10-K filed February 16, 2018)</w:t>
              </w:r>
            </w:hyperlink>
          </w:p>
        </w:tc>
      </w:tr>
    </w:tbl>
    <w:p w:rsidR="00000000" w:rsidRDefault="001F1FC8">
      <w:pPr>
        <w:jc w:val="center"/>
        <w:divId w:val="1037122406"/>
        <w:rPr>
          <w:rFonts w:eastAsia="Times New Roman"/>
        </w:rPr>
      </w:pPr>
      <w:r>
        <w:rPr>
          <w:rFonts w:ascii="Arial" w:eastAsia="Times New Roman" w:hAnsi="Arial" w:cs="Arial"/>
          <w:color w:val="000000"/>
          <w:sz w:val="20"/>
          <w:szCs w:val="20"/>
        </w:rPr>
        <w:t>187</w:t>
      </w:r>
    </w:p>
    <w:p w:rsidR="00000000" w:rsidRDefault="001F1FC8">
      <w:pPr>
        <w:rPr>
          <w:rFonts w:eastAsia="Times New Roman"/>
        </w:rPr>
      </w:pPr>
      <w:r>
        <w:rPr>
          <w:rFonts w:eastAsia="Times New Roman"/>
        </w:rPr>
        <w:pict>
          <v:rect id="_x0000_i1217" style="width:0;height:1.5pt" o:hralign="center" o:hrstd="t" o:hr="t" fillcolor="#a0a0a0" stroked="f"/>
        </w:pict>
      </w:r>
    </w:p>
    <w:p w:rsidR="00000000" w:rsidRDefault="001F1FC8">
      <w:pPr>
        <w:jc w:val="center"/>
        <w:divId w:val="2080785317"/>
        <w:rPr>
          <w:rFonts w:eastAsia="Times New Roman"/>
        </w:rPr>
      </w:pPr>
    </w:p>
    <w:tbl>
      <w:tblPr>
        <w:tblW w:w="4991" w:type="pct"/>
        <w:jc w:val="center"/>
        <w:tblCellMar>
          <w:top w:w="15" w:type="dxa"/>
          <w:left w:w="15" w:type="dxa"/>
          <w:bottom w:w="15" w:type="dxa"/>
          <w:right w:w="15" w:type="dxa"/>
        </w:tblCellMar>
        <w:tblLook w:val="04A0" w:firstRow="1" w:lastRow="0" w:firstColumn="1" w:lastColumn="0" w:noHBand="0" w:noVBand="1"/>
      </w:tblPr>
      <w:tblGrid>
        <w:gridCol w:w="69"/>
        <w:gridCol w:w="999"/>
        <w:gridCol w:w="36"/>
        <w:gridCol w:w="69"/>
        <w:gridCol w:w="173"/>
        <w:gridCol w:w="36"/>
        <w:gridCol w:w="69"/>
        <w:gridCol w:w="6803"/>
        <w:gridCol w:w="37"/>
      </w:tblGrid>
      <w:tr w:rsidR="00000000">
        <w:trPr>
          <w:divId w:val="1416589857"/>
          <w:jc w:val="center"/>
        </w:trPr>
        <w:tc>
          <w:tcPr>
            <w:tcW w:w="50" w:type="pct"/>
            <w:vAlign w:val="center"/>
            <w:hideMark/>
          </w:tcPr>
          <w:p w:rsidR="00000000" w:rsidRDefault="001F1FC8">
            <w:pPr>
              <w:jc w:val="center"/>
              <w:rPr>
                <w:rFonts w:eastAsia="Times New Roman"/>
              </w:rPr>
            </w:pPr>
          </w:p>
        </w:tc>
        <w:tc>
          <w:tcPr>
            <w:tcW w:w="611"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c>
          <w:tcPr>
            <w:tcW w:w="50" w:type="pct"/>
            <w:vAlign w:val="center"/>
            <w:hideMark/>
          </w:tcPr>
          <w:p w:rsidR="00000000" w:rsidRDefault="001F1FC8">
            <w:pPr>
              <w:rPr>
                <w:rFonts w:eastAsia="Times New Roman"/>
                <w:sz w:val="20"/>
                <w:szCs w:val="20"/>
              </w:rPr>
            </w:pPr>
          </w:p>
        </w:tc>
        <w:tc>
          <w:tcPr>
            <w:tcW w:w="113"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c>
          <w:tcPr>
            <w:tcW w:w="50" w:type="pct"/>
            <w:vAlign w:val="center"/>
            <w:hideMark/>
          </w:tcPr>
          <w:p w:rsidR="00000000" w:rsidRDefault="001F1FC8">
            <w:pPr>
              <w:rPr>
                <w:rFonts w:eastAsia="Times New Roman"/>
                <w:sz w:val="20"/>
                <w:szCs w:val="20"/>
              </w:rPr>
            </w:pPr>
          </w:p>
        </w:tc>
        <w:tc>
          <w:tcPr>
            <w:tcW w:w="4110"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r>
      <w:tr w:rsidR="00000000">
        <w:trPr>
          <w:divId w:val="1416589857"/>
          <w:jc w:val="center"/>
        </w:trPr>
        <w:tc>
          <w:tcPr>
            <w:tcW w:w="0" w:type="auto"/>
            <w:gridSpan w:val="3"/>
            <w:tcBorders>
              <w:top w:val="single" w:sz="8" w:space="0" w:color="000000"/>
              <w:left w:val="single" w:sz="8" w:space="0" w:color="000000"/>
            </w:tcBorders>
            <w:tcMar>
              <w:top w:w="30" w:type="dxa"/>
              <w:left w:w="20" w:type="dxa"/>
              <w:bottom w:w="30" w:type="dxa"/>
              <w:right w:w="20" w:type="dxa"/>
            </w:tcMar>
            <w:hideMark/>
          </w:tcPr>
          <w:p w:rsidR="00000000" w:rsidRDefault="001F1FC8">
            <w:pPr>
              <w:jc w:val="right"/>
              <w:rPr>
                <w:rFonts w:eastAsia="Times New Roman"/>
              </w:rPr>
            </w:pPr>
            <w:hyperlink r:id="rId198" w:history="1">
              <w:r>
                <w:rPr>
                  <w:rStyle w:val="a3"/>
                  <w:rFonts w:ascii="Arial" w:eastAsia="Times New Roman" w:hAnsi="Arial" w:cs="Arial"/>
                  <w:sz w:val="20"/>
                  <w:szCs w:val="20"/>
                </w:rPr>
                <w:t>10.41</w:t>
              </w:r>
            </w:hyperlink>
          </w:p>
        </w:tc>
        <w:tc>
          <w:tcPr>
            <w:tcW w:w="0" w:type="auto"/>
            <w:gridSpan w:val="3"/>
            <w:tcBorders>
              <w:top w:val="single" w:sz="8" w:space="0" w:color="000000"/>
              <w:left w:val="single" w:sz="8" w:space="0" w:color="000000"/>
            </w:tcBorders>
            <w:tcMar>
              <w:top w:w="30" w:type="dxa"/>
              <w:left w:w="20" w:type="dxa"/>
              <w:bottom w:w="30" w:type="dxa"/>
              <w:right w:w="20" w:type="dxa"/>
            </w:tcMar>
            <w:hideMark/>
          </w:tcPr>
          <w:p w:rsidR="00000000" w:rsidRDefault="001F1FC8">
            <w:pPr>
              <w:jc w:val="right"/>
              <w:rPr>
                <w:rFonts w:eastAsia="Times New Roman"/>
              </w:rPr>
            </w:pPr>
            <w:r>
              <w:rPr>
                <w:rFonts w:ascii="Arial" w:eastAsia="Times New Roman" w:hAnsi="Arial" w:cs="Arial"/>
                <w:color w:val="000000"/>
                <w:sz w:val="20"/>
                <w:szCs w:val="20"/>
              </w:rPr>
              <w:t>+</w:t>
            </w:r>
          </w:p>
        </w:tc>
        <w:tc>
          <w:tcPr>
            <w:tcW w:w="0" w:type="auto"/>
            <w:gridSpan w:val="3"/>
            <w:tcBorders>
              <w:top w:val="single" w:sz="8" w:space="0" w:color="000000"/>
              <w:left w:val="single" w:sz="8" w:space="0" w:color="000000"/>
              <w:right w:val="single" w:sz="8" w:space="0" w:color="000000"/>
            </w:tcBorders>
            <w:tcMar>
              <w:top w:w="30" w:type="dxa"/>
              <w:left w:w="20" w:type="dxa"/>
              <w:bottom w:w="30" w:type="dxa"/>
              <w:right w:w="20" w:type="dxa"/>
            </w:tcMar>
            <w:vAlign w:val="bottom"/>
            <w:hideMark/>
          </w:tcPr>
          <w:p w:rsidR="00000000" w:rsidRDefault="001F1FC8">
            <w:pPr>
              <w:divId w:val="775834716"/>
              <w:rPr>
                <w:rFonts w:eastAsia="Times New Roman"/>
              </w:rPr>
            </w:pPr>
            <w:hyperlink r:id="rId199" w:history="1">
              <w:r>
                <w:rPr>
                  <w:rStyle w:val="a3"/>
                  <w:rFonts w:ascii="Arial" w:eastAsia="Times New Roman" w:hAnsi="Arial" w:cs="Arial"/>
                  <w:sz w:val="20"/>
                  <w:szCs w:val="20"/>
                </w:rPr>
                <w:t xml:space="preserve">Spectra Energy Corp </w:t>
              </w:r>
              <w:r>
                <w:rPr>
                  <w:rStyle w:val="a3"/>
                  <w:rFonts w:ascii="Arial" w:eastAsia="Times New Roman" w:hAnsi="Arial" w:cs="Arial"/>
                  <w:sz w:val="20"/>
                  <w:szCs w:val="20"/>
                </w:rPr>
                <w:t>Executive Savings Plan, as amended and restated (incorporated by reference to Exhibit 10.23 to Enbridge’s Annual Report on Form 10-K filed February 16, 2018)</w:t>
              </w:r>
            </w:hyperlink>
          </w:p>
        </w:tc>
      </w:tr>
      <w:tr w:rsidR="00000000">
        <w:trPr>
          <w:divId w:val="1416589857"/>
          <w:jc w:val="center"/>
        </w:trPr>
        <w:tc>
          <w:tcPr>
            <w:tcW w:w="0" w:type="auto"/>
            <w:gridSpan w:val="3"/>
            <w:tcBorders>
              <w:top w:val="single" w:sz="8" w:space="0" w:color="000000"/>
              <w:left w:val="single" w:sz="8" w:space="0" w:color="000000"/>
            </w:tcBorders>
            <w:tcMar>
              <w:top w:w="30" w:type="dxa"/>
              <w:left w:w="20" w:type="dxa"/>
              <w:bottom w:w="30" w:type="dxa"/>
              <w:right w:w="20" w:type="dxa"/>
            </w:tcMar>
            <w:hideMark/>
          </w:tcPr>
          <w:p w:rsidR="00000000" w:rsidRDefault="001F1FC8">
            <w:pPr>
              <w:jc w:val="right"/>
              <w:rPr>
                <w:rFonts w:eastAsia="Times New Roman"/>
              </w:rPr>
            </w:pPr>
            <w:hyperlink r:id="rId200" w:history="1">
              <w:r>
                <w:rPr>
                  <w:rStyle w:val="a3"/>
                  <w:rFonts w:ascii="Arial" w:eastAsia="Times New Roman" w:hAnsi="Arial" w:cs="Arial"/>
                  <w:sz w:val="20"/>
                  <w:szCs w:val="20"/>
                </w:rPr>
                <w:t>10.42</w:t>
              </w:r>
            </w:hyperlink>
          </w:p>
        </w:tc>
        <w:tc>
          <w:tcPr>
            <w:tcW w:w="0" w:type="auto"/>
            <w:gridSpan w:val="3"/>
            <w:tcBorders>
              <w:top w:val="single" w:sz="8" w:space="0" w:color="000000"/>
              <w:left w:val="single" w:sz="8" w:space="0" w:color="000000"/>
            </w:tcBorders>
            <w:tcMar>
              <w:top w:w="30" w:type="dxa"/>
              <w:left w:w="20" w:type="dxa"/>
              <w:bottom w:w="30" w:type="dxa"/>
              <w:right w:w="20" w:type="dxa"/>
            </w:tcMar>
            <w:hideMark/>
          </w:tcPr>
          <w:p w:rsidR="00000000" w:rsidRDefault="001F1FC8">
            <w:pPr>
              <w:jc w:val="right"/>
              <w:rPr>
                <w:rFonts w:eastAsia="Times New Roman"/>
              </w:rPr>
            </w:pPr>
            <w:r>
              <w:rPr>
                <w:rFonts w:ascii="Arial" w:eastAsia="Times New Roman" w:hAnsi="Arial" w:cs="Arial"/>
                <w:color w:val="000000"/>
                <w:sz w:val="20"/>
                <w:szCs w:val="20"/>
              </w:rPr>
              <w:t>+</w:t>
            </w:r>
          </w:p>
        </w:tc>
        <w:tc>
          <w:tcPr>
            <w:tcW w:w="0" w:type="auto"/>
            <w:gridSpan w:val="3"/>
            <w:tcBorders>
              <w:top w:val="single" w:sz="8" w:space="0" w:color="000000"/>
              <w:left w:val="single" w:sz="8" w:space="0" w:color="000000"/>
              <w:right w:val="single" w:sz="8" w:space="0" w:color="000000"/>
            </w:tcBorders>
            <w:tcMar>
              <w:top w:w="30" w:type="dxa"/>
              <w:left w:w="20" w:type="dxa"/>
              <w:bottom w:w="30" w:type="dxa"/>
              <w:right w:w="20" w:type="dxa"/>
            </w:tcMar>
            <w:vAlign w:val="bottom"/>
            <w:hideMark/>
          </w:tcPr>
          <w:p w:rsidR="00000000" w:rsidRDefault="001F1FC8">
            <w:pPr>
              <w:divId w:val="165368475"/>
              <w:rPr>
                <w:rFonts w:eastAsia="Times New Roman"/>
              </w:rPr>
            </w:pPr>
            <w:hyperlink r:id="rId201" w:history="1">
              <w:r>
                <w:rPr>
                  <w:rStyle w:val="a3"/>
                  <w:rFonts w:ascii="Arial" w:eastAsia="Times New Roman" w:hAnsi="Arial" w:cs="Arial"/>
                  <w:sz w:val="20"/>
                  <w:szCs w:val="20"/>
                </w:rPr>
                <w:t>Spectra Energy Executive Cash Balance Plan, as amended and restated (incorporated by reference to Exhibit 10.24 to Enbridge’s Annual Report on Form 10-K filed February 16, 2018)</w:t>
              </w:r>
            </w:hyperlink>
          </w:p>
        </w:tc>
      </w:tr>
      <w:tr w:rsidR="00000000">
        <w:trPr>
          <w:divId w:val="1416589857"/>
          <w:jc w:val="center"/>
        </w:trPr>
        <w:tc>
          <w:tcPr>
            <w:tcW w:w="0" w:type="auto"/>
            <w:gridSpan w:val="3"/>
            <w:tcBorders>
              <w:top w:val="single" w:sz="8" w:space="0" w:color="000000"/>
              <w:left w:val="single" w:sz="8" w:space="0" w:color="000000"/>
            </w:tcBorders>
            <w:tcMar>
              <w:top w:w="30" w:type="dxa"/>
              <w:left w:w="20" w:type="dxa"/>
              <w:bottom w:w="30" w:type="dxa"/>
              <w:right w:w="20" w:type="dxa"/>
            </w:tcMar>
            <w:hideMark/>
          </w:tcPr>
          <w:p w:rsidR="00000000" w:rsidRDefault="001F1FC8">
            <w:pPr>
              <w:jc w:val="right"/>
              <w:rPr>
                <w:rFonts w:eastAsia="Times New Roman"/>
              </w:rPr>
            </w:pPr>
            <w:hyperlink r:id="rId202" w:history="1">
              <w:r>
                <w:rPr>
                  <w:rStyle w:val="a3"/>
                  <w:rFonts w:ascii="Arial" w:eastAsia="Times New Roman" w:hAnsi="Arial" w:cs="Arial"/>
                  <w:sz w:val="20"/>
                  <w:szCs w:val="20"/>
                </w:rPr>
                <w:t>10.43</w:t>
              </w:r>
            </w:hyperlink>
          </w:p>
        </w:tc>
        <w:tc>
          <w:tcPr>
            <w:tcW w:w="0" w:type="auto"/>
            <w:gridSpan w:val="3"/>
            <w:tcBorders>
              <w:top w:val="single" w:sz="8" w:space="0" w:color="000000"/>
              <w:left w:val="single" w:sz="8" w:space="0" w:color="000000"/>
            </w:tcBorders>
            <w:tcMar>
              <w:top w:w="30" w:type="dxa"/>
              <w:left w:w="20" w:type="dxa"/>
              <w:bottom w:w="30" w:type="dxa"/>
              <w:right w:w="20" w:type="dxa"/>
            </w:tcMar>
            <w:hideMark/>
          </w:tcPr>
          <w:p w:rsidR="00000000" w:rsidRDefault="001F1FC8">
            <w:pPr>
              <w:jc w:val="right"/>
              <w:rPr>
                <w:rFonts w:eastAsia="Times New Roman"/>
              </w:rPr>
            </w:pPr>
            <w:r>
              <w:rPr>
                <w:rFonts w:ascii="Arial" w:eastAsia="Times New Roman" w:hAnsi="Arial" w:cs="Arial"/>
                <w:color w:val="000000"/>
                <w:sz w:val="20"/>
                <w:szCs w:val="20"/>
              </w:rPr>
              <w:t>+</w:t>
            </w:r>
          </w:p>
        </w:tc>
        <w:tc>
          <w:tcPr>
            <w:tcW w:w="0" w:type="auto"/>
            <w:gridSpan w:val="3"/>
            <w:tcBorders>
              <w:top w:val="single" w:sz="8" w:space="0" w:color="000000"/>
              <w:left w:val="single" w:sz="8" w:space="0" w:color="000000"/>
              <w:right w:val="single" w:sz="8" w:space="0" w:color="000000"/>
            </w:tcBorders>
            <w:tcMar>
              <w:top w:w="30" w:type="dxa"/>
              <w:left w:w="20" w:type="dxa"/>
              <w:bottom w:w="30" w:type="dxa"/>
              <w:right w:w="20" w:type="dxa"/>
            </w:tcMar>
            <w:vAlign w:val="bottom"/>
            <w:hideMark/>
          </w:tcPr>
          <w:p w:rsidR="00000000" w:rsidRDefault="001F1FC8">
            <w:pPr>
              <w:divId w:val="550306925"/>
              <w:rPr>
                <w:rFonts w:eastAsia="Times New Roman"/>
              </w:rPr>
            </w:pPr>
            <w:hyperlink r:id="rId203" w:history="1">
              <w:r>
                <w:rPr>
                  <w:rStyle w:val="a3"/>
                  <w:rFonts w:ascii="Arial" w:eastAsia="Times New Roman" w:hAnsi="Arial" w:cs="Arial"/>
                  <w:sz w:val="20"/>
                  <w:szCs w:val="20"/>
                </w:rPr>
                <w:t>Omnibus Amendment, d</w:t>
              </w:r>
              <w:r>
                <w:rPr>
                  <w:rStyle w:val="a3"/>
                  <w:rFonts w:ascii="Arial" w:eastAsia="Times New Roman" w:hAnsi="Arial" w:cs="Arial"/>
                  <w:sz w:val="20"/>
                  <w:szCs w:val="20"/>
                </w:rPr>
                <w:t>ated June 20, 2014, to Spectra Energy Corp Executive Savings Plan, Spectra Energy Corp Executive Cash Balance Plan and Spectra Energy Corp 2007 Long-Term Incentive Plan (incorporated by reference to Exhibit 10.25 to Enbridge’s Annual Report on Form 10-K fi</w:t>
              </w:r>
              <w:r>
                <w:rPr>
                  <w:rStyle w:val="a3"/>
                  <w:rFonts w:ascii="Arial" w:eastAsia="Times New Roman" w:hAnsi="Arial" w:cs="Arial"/>
                  <w:sz w:val="20"/>
                  <w:szCs w:val="20"/>
                </w:rPr>
                <w:t>led February 16, 2018)</w:t>
              </w:r>
            </w:hyperlink>
          </w:p>
        </w:tc>
      </w:tr>
      <w:tr w:rsidR="00000000">
        <w:trPr>
          <w:divId w:val="1416589857"/>
          <w:jc w:val="center"/>
        </w:trPr>
        <w:tc>
          <w:tcPr>
            <w:tcW w:w="0" w:type="auto"/>
            <w:gridSpan w:val="3"/>
            <w:tcBorders>
              <w:top w:val="single" w:sz="8" w:space="0" w:color="000000"/>
              <w:left w:val="single" w:sz="8" w:space="0" w:color="000000"/>
            </w:tcBorders>
            <w:tcMar>
              <w:top w:w="30" w:type="dxa"/>
              <w:left w:w="20" w:type="dxa"/>
              <w:bottom w:w="30" w:type="dxa"/>
              <w:right w:w="20" w:type="dxa"/>
            </w:tcMar>
            <w:hideMark/>
          </w:tcPr>
          <w:p w:rsidR="00000000" w:rsidRDefault="001F1FC8">
            <w:pPr>
              <w:jc w:val="right"/>
              <w:rPr>
                <w:rFonts w:eastAsia="Times New Roman"/>
              </w:rPr>
            </w:pPr>
            <w:hyperlink r:id="rId204" w:history="1">
              <w:r>
                <w:rPr>
                  <w:rStyle w:val="a3"/>
                  <w:rFonts w:ascii="Arial" w:eastAsia="Times New Roman" w:hAnsi="Arial" w:cs="Arial"/>
                  <w:sz w:val="20"/>
                  <w:szCs w:val="20"/>
                </w:rPr>
                <w:t>10.44</w:t>
              </w:r>
            </w:hyperlink>
          </w:p>
        </w:tc>
        <w:tc>
          <w:tcPr>
            <w:tcW w:w="0" w:type="auto"/>
            <w:gridSpan w:val="3"/>
            <w:tcBorders>
              <w:top w:val="single" w:sz="8" w:space="0" w:color="000000"/>
              <w:left w:val="single" w:sz="8" w:space="0" w:color="000000"/>
            </w:tcBorders>
            <w:tcMar>
              <w:top w:w="30" w:type="dxa"/>
              <w:left w:w="20" w:type="dxa"/>
              <w:bottom w:w="30" w:type="dxa"/>
              <w:right w:w="20" w:type="dxa"/>
            </w:tcMar>
            <w:hideMark/>
          </w:tcPr>
          <w:p w:rsidR="00000000" w:rsidRDefault="001F1FC8">
            <w:pPr>
              <w:jc w:val="right"/>
              <w:rPr>
                <w:rFonts w:eastAsia="Times New Roman"/>
              </w:rPr>
            </w:pPr>
            <w:r>
              <w:rPr>
                <w:rFonts w:ascii="Arial" w:eastAsia="Times New Roman" w:hAnsi="Arial" w:cs="Arial"/>
                <w:color w:val="000000"/>
                <w:sz w:val="20"/>
                <w:szCs w:val="20"/>
              </w:rPr>
              <w:t>+</w:t>
            </w:r>
          </w:p>
        </w:tc>
        <w:tc>
          <w:tcPr>
            <w:tcW w:w="0" w:type="auto"/>
            <w:gridSpan w:val="3"/>
            <w:tcBorders>
              <w:top w:val="single" w:sz="8" w:space="0" w:color="000000"/>
              <w:left w:val="single" w:sz="8" w:space="0" w:color="000000"/>
              <w:right w:val="single" w:sz="8" w:space="0" w:color="000000"/>
            </w:tcBorders>
            <w:tcMar>
              <w:top w:w="30" w:type="dxa"/>
              <w:left w:w="20" w:type="dxa"/>
              <w:bottom w:w="30" w:type="dxa"/>
              <w:right w:w="20" w:type="dxa"/>
            </w:tcMar>
            <w:vAlign w:val="bottom"/>
            <w:hideMark/>
          </w:tcPr>
          <w:p w:rsidR="00000000" w:rsidRDefault="001F1FC8">
            <w:pPr>
              <w:divId w:val="1341159075"/>
              <w:rPr>
                <w:rFonts w:eastAsia="Times New Roman"/>
              </w:rPr>
            </w:pPr>
            <w:hyperlink r:id="rId205" w:history="1">
              <w:r>
                <w:rPr>
                  <w:rStyle w:val="a3"/>
                  <w:rFonts w:ascii="Arial" w:eastAsia="Times New Roman" w:hAnsi="Arial" w:cs="Arial"/>
                  <w:sz w:val="20"/>
                  <w:szCs w:val="20"/>
                </w:rPr>
                <w:t>Form of Spectra Energy Corp Stock Option Agreement (Nonqualified Stock Options) (2016) pursuant to the Spectra Energy Corp 2007 Long-Term Incentive Plan (incorporated by reference to Exhibit 10.28 to Enbridge’s Annual Report on Form 10-K filed Februa</w:t>
              </w:r>
              <w:r>
                <w:rPr>
                  <w:rStyle w:val="a3"/>
                  <w:rFonts w:ascii="Arial" w:eastAsia="Times New Roman" w:hAnsi="Arial" w:cs="Arial"/>
                  <w:sz w:val="20"/>
                  <w:szCs w:val="20"/>
                </w:rPr>
                <w:t>ry 16, 2018)</w:t>
              </w:r>
            </w:hyperlink>
          </w:p>
        </w:tc>
      </w:tr>
      <w:tr w:rsidR="00000000">
        <w:trPr>
          <w:divId w:val="1416589857"/>
          <w:jc w:val="center"/>
        </w:trPr>
        <w:tc>
          <w:tcPr>
            <w:tcW w:w="0" w:type="auto"/>
            <w:gridSpan w:val="3"/>
            <w:tcBorders>
              <w:top w:val="single" w:sz="8" w:space="0" w:color="000000"/>
              <w:left w:val="single" w:sz="8" w:space="0" w:color="000000"/>
            </w:tcBorders>
            <w:tcMar>
              <w:top w:w="30" w:type="dxa"/>
              <w:left w:w="20" w:type="dxa"/>
              <w:bottom w:w="30" w:type="dxa"/>
              <w:right w:w="20" w:type="dxa"/>
            </w:tcMar>
            <w:hideMark/>
          </w:tcPr>
          <w:p w:rsidR="00000000" w:rsidRDefault="001F1FC8">
            <w:pPr>
              <w:jc w:val="right"/>
              <w:rPr>
                <w:rFonts w:eastAsia="Times New Roman"/>
              </w:rPr>
            </w:pPr>
            <w:hyperlink r:id="rId206" w:history="1">
              <w:r>
                <w:rPr>
                  <w:rStyle w:val="a3"/>
                  <w:rFonts w:ascii="Arial" w:eastAsia="Times New Roman" w:hAnsi="Arial" w:cs="Arial"/>
                  <w:sz w:val="20"/>
                  <w:szCs w:val="20"/>
                </w:rPr>
                <w:t>10.45</w:t>
              </w:r>
            </w:hyperlink>
          </w:p>
        </w:tc>
        <w:tc>
          <w:tcPr>
            <w:tcW w:w="0" w:type="auto"/>
            <w:gridSpan w:val="3"/>
            <w:tcBorders>
              <w:top w:val="single" w:sz="8" w:space="0" w:color="000000"/>
              <w:left w:val="single" w:sz="8" w:space="0" w:color="000000"/>
            </w:tcBorders>
            <w:tcMar>
              <w:top w:w="30" w:type="dxa"/>
              <w:left w:w="20" w:type="dxa"/>
              <w:bottom w:w="30" w:type="dxa"/>
              <w:right w:w="20" w:type="dxa"/>
            </w:tcMar>
            <w:hideMark/>
          </w:tcPr>
          <w:p w:rsidR="00000000" w:rsidRDefault="001F1FC8">
            <w:pPr>
              <w:jc w:val="right"/>
              <w:rPr>
                <w:rFonts w:eastAsia="Times New Roman"/>
              </w:rPr>
            </w:pPr>
            <w:r>
              <w:rPr>
                <w:rFonts w:ascii="Arial" w:eastAsia="Times New Roman" w:hAnsi="Arial" w:cs="Arial"/>
                <w:color w:val="000000"/>
                <w:sz w:val="20"/>
                <w:szCs w:val="20"/>
              </w:rPr>
              <w:t>+</w:t>
            </w:r>
          </w:p>
        </w:tc>
        <w:tc>
          <w:tcPr>
            <w:tcW w:w="0" w:type="auto"/>
            <w:gridSpan w:val="3"/>
            <w:tcBorders>
              <w:top w:val="single" w:sz="8" w:space="0" w:color="000000"/>
              <w:left w:val="single" w:sz="8" w:space="0" w:color="000000"/>
              <w:right w:val="single" w:sz="8" w:space="0" w:color="000000"/>
            </w:tcBorders>
            <w:tcMar>
              <w:top w:w="30" w:type="dxa"/>
              <w:left w:w="20" w:type="dxa"/>
              <w:bottom w:w="30" w:type="dxa"/>
              <w:right w:w="20" w:type="dxa"/>
            </w:tcMar>
            <w:vAlign w:val="bottom"/>
            <w:hideMark/>
          </w:tcPr>
          <w:p w:rsidR="00000000" w:rsidRDefault="001F1FC8">
            <w:pPr>
              <w:divId w:val="126516381"/>
              <w:rPr>
                <w:rFonts w:eastAsia="Times New Roman"/>
              </w:rPr>
            </w:pPr>
            <w:hyperlink r:id="rId207" w:history="1">
              <w:r>
                <w:rPr>
                  <w:rStyle w:val="a3"/>
                  <w:rFonts w:ascii="Arial" w:eastAsia="Times New Roman" w:hAnsi="Arial" w:cs="Arial"/>
                  <w:sz w:val="20"/>
                  <w:szCs w:val="20"/>
                </w:rPr>
                <w:t>Spectra Energy Corp 2007 Long-Term Incentive Plan (as amended and restated) (incorporated by reference to Exhibit 10.32 to Enbridge’s Annual Rep</w:t>
              </w:r>
              <w:r>
                <w:rPr>
                  <w:rStyle w:val="a3"/>
                  <w:rFonts w:ascii="Arial" w:eastAsia="Times New Roman" w:hAnsi="Arial" w:cs="Arial"/>
                  <w:sz w:val="20"/>
                  <w:szCs w:val="20"/>
                </w:rPr>
                <w:t>ort on Form 10-K filed February 16, 2018)</w:t>
              </w:r>
            </w:hyperlink>
          </w:p>
        </w:tc>
      </w:tr>
      <w:tr w:rsidR="00000000">
        <w:trPr>
          <w:divId w:val="1416589857"/>
          <w:jc w:val="center"/>
        </w:trPr>
        <w:tc>
          <w:tcPr>
            <w:tcW w:w="0" w:type="auto"/>
            <w:gridSpan w:val="3"/>
            <w:tcBorders>
              <w:top w:val="single" w:sz="8" w:space="0" w:color="000000"/>
              <w:left w:val="single" w:sz="8" w:space="0" w:color="000000"/>
            </w:tcBorders>
            <w:tcMar>
              <w:top w:w="30" w:type="dxa"/>
              <w:left w:w="20" w:type="dxa"/>
              <w:bottom w:w="30" w:type="dxa"/>
              <w:right w:w="20" w:type="dxa"/>
            </w:tcMar>
            <w:hideMark/>
          </w:tcPr>
          <w:p w:rsidR="00000000" w:rsidRDefault="001F1FC8">
            <w:pPr>
              <w:jc w:val="right"/>
              <w:rPr>
                <w:rFonts w:eastAsia="Times New Roman"/>
              </w:rPr>
            </w:pPr>
            <w:hyperlink r:id="rId208" w:history="1">
              <w:r>
                <w:rPr>
                  <w:rStyle w:val="a3"/>
                  <w:rFonts w:ascii="Arial" w:eastAsia="Times New Roman" w:hAnsi="Arial" w:cs="Arial"/>
                  <w:sz w:val="20"/>
                  <w:szCs w:val="20"/>
                </w:rPr>
                <w:t>10.46</w:t>
              </w:r>
            </w:hyperlink>
          </w:p>
        </w:tc>
        <w:tc>
          <w:tcPr>
            <w:tcW w:w="0" w:type="auto"/>
            <w:gridSpan w:val="3"/>
            <w:tcBorders>
              <w:top w:val="single" w:sz="8" w:space="0" w:color="000000"/>
              <w:left w:val="single" w:sz="8" w:space="0" w:color="000000"/>
            </w:tcBorders>
            <w:tcMar>
              <w:top w:w="30" w:type="dxa"/>
              <w:left w:w="20" w:type="dxa"/>
              <w:bottom w:w="30" w:type="dxa"/>
              <w:right w:w="20" w:type="dxa"/>
            </w:tcMar>
            <w:hideMark/>
          </w:tcPr>
          <w:p w:rsidR="00000000" w:rsidRDefault="001F1FC8">
            <w:pPr>
              <w:jc w:val="right"/>
              <w:rPr>
                <w:rFonts w:eastAsia="Times New Roman"/>
              </w:rPr>
            </w:pPr>
            <w:r>
              <w:rPr>
                <w:rFonts w:ascii="Arial" w:eastAsia="Times New Roman" w:hAnsi="Arial" w:cs="Arial"/>
                <w:color w:val="000000"/>
                <w:sz w:val="20"/>
                <w:szCs w:val="20"/>
              </w:rPr>
              <w:t>+</w:t>
            </w:r>
          </w:p>
        </w:tc>
        <w:tc>
          <w:tcPr>
            <w:tcW w:w="0" w:type="auto"/>
            <w:gridSpan w:val="3"/>
            <w:tcBorders>
              <w:top w:val="single" w:sz="8" w:space="0" w:color="000000"/>
              <w:left w:val="single" w:sz="8" w:space="0" w:color="000000"/>
              <w:right w:val="single" w:sz="8" w:space="0" w:color="000000"/>
            </w:tcBorders>
            <w:tcMar>
              <w:top w:w="30" w:type="dxa"/>
              <w:left w:w="20" w:type="dxa"/>
              <w:bottom w:w="30" w:type="dxa"/>
              <w:right w:w="20" w:type="dxa"/>
            </w:tcMar>
            <w:vAlign w:val="bottom"/>
            <w:hideMark/>
          </w:tcPr>
          <w:p w:rsidR="00000000" w:rsidRDefault="001F1FC8">
            <w:pPr>
              <w:divId w:val="1266184705"/>
              <w:rPr>
                <w:rFonts w:eastAsia="Times New Roman"/>
              </w:rPr>
            </w:pPr>
            <w:hyperlink r:id="rId209" w:history="1">
              <w:r>
                <w:rPr>
                  <w:rStyle w:val="a3"/>
                  <w:rFonts w:ascii="Arial" w:eastAsia="Times New Roman" w:hAnsi="Arial" w:cs="Arial"/>
                  <w:sz w:val="20"/>
                  <w:szCs w:val="20"/>
                </w:rPr>
                <w:t>Second Amendment to the Spectra Energy Corp Executive Savings Plan (As Amended and Restated Effective May 1, 2012) (incorporated by reference to</w:t>
              </w:r>
              <w:r>
                <w:rPr>
                  <w:rStyle w:val="a3"/>
                  <w:rFonts w:ascii="Arial" w:eastAsia="Times New Roman" w:hAnsi="Arial" w:cs="Arial"/>
                  <w:sz w:val="20"/>
                  <w:szCs w:val="20"/>
                </w:rPr>
                <w:t xml:space="preserve"> Exhibit 10.36 to Enbridge’s Annual Report on Form 10-K filed February 16, 2018)</w:t>
              </w:r>
            </w:hyperlink>
          </w:p>
        </w:tc>
      </w:tr>
      <w:tr w:rsidR="00000000">
        <w:trPr>
          <w:divId w:val="1416589857"/>
          <w:jc w:val="center"/>
        </w:trPr>
        <w:tc>
          <w:tcPr>
            <w:tcW w:w="0" w:type="auto"/>
            <w:gridSpan w:val="3"/>
            <w:tcBorders>
              <w:top w:val="single" w:sz="8" w:space="0" w:color="000000"/>
              <w:left w:val="single" w:sz="8" w:space="0" w:color="000000"/>
            </w:tcBorders>
            <w:tcMar>
              <w:top w:w="30" w:type="dxa"/>
              <w:left w:w="20" w:type="dxa"/>
              <w:bottom w:w="30" w:type="dxa"/>
              <w:right w:w="20" w:type="dxa"/>
            </w:tcMar>
            <w:hideMark/>
          </w:tcPr>
          <w:p w:rsidR="00000000" w:rsidRDefault="001F1FC8">
            <w:pPr>
              <w:jc w:val="right"/>
              <w:rPr>
                <w:rFonts w:eastAsia="Times New Roman"/>
              </w:rPr>
            </w:pPr>
            <w:hyperlink r:id="rId210" w:history="1">
              <w:r>
                <w:rPr>
                  <w:rStyle w:val="a3"/>
                  <w:rFonts w:ascii="Arial" w:eastAsia="Times New Roman" w:hAnsi="Arial" w:cs="Arial"/>
                  <w:sz w:val="20"/>
                  <w:szCs w:val="20"/>
                </w:rPr>
                <w:t>10.47</w:t>
              </w:r>
            </w:hyperlink>
          </w:p>
        </w:tc>
        <w:tc>
          <w:tcPr>
            <w:tcW w:w="0" w:type="auto"/>
            <w:gridSpan w:val="3"/>
            <w:tcBorders>
              <w:top w:val="single" w:sz="8" w:space="0" w:color="000000"/>
              <w:left w:val="single" w:sz="8" w:space="0" w:color="000000"/>
            </w:tcBorders>
            <w:tcMar>
              <w:top w:w="30" w:type="dxa"/>
              <w:left w:w="20" w:type="dxa"/>
              <w:bottom w:w="30" w:type="dxa"/>
              <w:right w:w="20" w:type="dxa"/>
            </w:tcMar>
            <w:hideMark/>
          </w:tcPr>
          <w:p w:rsidR="00000000" w:rsidRDefault="001F1FC8">
            <w:pPr>
              <w:jc w:val="right"/>
              <w:rPr>
                <w:rFonts w:eastAsia="Times New Roman"/>
              </w:rPr>
            </w:pPr>
            <w:r>
              <w:rPr>
                <w:rFonts w:ascii="Arial" w:eastAsia="Times New Roman" w:hAnsi="Arial" w:cs="Arial"/>
                <w:color w:val="000000"/>
                <w:sz w:val="20"/>
                <w:szCs w:val="20"/>
              </w:rPr>
              <w:t>+</w:t>
            </w:r>
          </w:p>
        </w:tc>
        <w:tc>
          <w:tcPr>
            <w:tcW w:w="0" w:type="auto"/>
            <w:gridSpan w:val="3"/>
            <w:tcBorders>
              <w:top w:val="single" w:sz="8" w:space="0" w:color="000000"/>
              <w:left w:val="single" w:sz="8" w:space="0" w:color="000000"/>
              <w:right w:val="single" w:sz="8" w:space="0" w:color="000000"/>
            </w:tcBorders>
            <w:tcMar>
              <w:top w:w="30" w:type="dxa"/>
              <w:left w:w="20" w:type="dxa"/>
              <w:bottom w:w="30" w:type="dxa"/>
              <w:right w:w="20" w:type="dxa"/>
            </w:tcMar>
            <w:vAlign w:val="bottom"/>
            <w:hideMark/>
          </w:tcPr>
          <w:p w:rsidR="00000000" w:rsidRDefault="001F1FC8">
            <w:pPr>
              <w:divId w:val="1066684773"/>
              <w:rPr>
                <w:rFonts w:eastAsia="Times New Roman"/>
              </w:rPr>
            </w:pPr>
            <w:hyperlink r:id="rId211" w:history="1">
              <w:r>
                <w:rPr>
                  <w:rStyle w:val="a3"/>
                  <w:rFonts w:ascii="Arial" w:eastAsia="Times New Roman" w:hAnsi="Arial" w:cs="Arial"/>
                  <w:sz w:val="20"/>
                  <w:szCs w:val="20"/>
                </w:rPr>
                <w:t xml:space="preserve">Second Amendment to the Spectra Energy Corp Executive Cash Balance Plan (As Amended and Restated Effective May 1, 2012) (incorporated by reference to Exhibit 10.37 to Enbridge’s Annual Report </w:t>
              </w:r>
              <w:r>
                <w:rPr>
                  <w:rStyle w:val="a3"/>
                  <w:rFonts w:ascii="Arial" w:eastAsia="Times New Roman" w:hAnsi="Arial" w:cs="Arial"/>
                  <w:sz w:val="20"/>
                  <w:szCs w:val="20"/>
                </w:rPr>
                <w:t>on Form 10-K filed February 16, 2018)</w:t>
              </w:r>
            </w:hyperlink>
          </w:p>
        </w:tc>
      </w:tr>
      <w:tr w:rsidR="00000000">
        <w:trPr>
          <w:divId w:val="1416589857"/>
          <w:jc w:val="center"/>
        </w:trPr>
        <w:tc>
          <w:tcPr>
            <w:tcW w:w="0" w:type="auto"/>
            <w:gridSpan w:val="3"/>
            <w:tcBorders>
              <w:top w:val="single" w:sz="8" w:space="0" w:color="000000"/>
              <w:left w:val="single" w:sz="8" w:space="0" w:color="000000"/>
            </w:tcBorders>
            <w:tcMar>
              <w:top w:w="30" w:type="dxa"/>
              <w:left w:w="20" w:type="dxa"/>
              <w:bottom w:w="30" w:type="dxa"/>
              <w:right w:w="20" w:type="dxa"/>
            </w:tcMar>
            <w:hideMark/>
          </w:tcPr>
          <w:p w:rsidR="00000000" w:rsidRDefault="001F1FC8">
            <w:pPr>
              <w:jc w:val="right"/>
              <w:rPr>
                <w:rFonts w:eastAsia="Times New Roman"/>
              </w:rPr>
            </w:pPr>
            <w:hyperlink r:id="rId212" w:history="1">
              <w:r>
                <w:rPr>
                  <w:rStyle w:val="a3"/>
                  <w:rFonts w:ascii="Arial" w:eastAsia="Times New Roman" w:hAnsi="Arial" w:cs="Arial"/>
                  <w:sz w:val="20"/>
                  <w:szCs w:val="20"/>
                </w:rPr>
                <w:t>21.1</w:t>
              </w:r>
            </w:hyperlink>
          </w:p>
        </w:tc>
        <w:tc>
          <w:tcPr>
            <w:tcW w:w="0" w:type="auto"/>
            <w:gridSpan w:val="3"/>
            <w:tcBorders>
              <w:top w:val="single" w:sz="8" w:space="0" w:color="000000"/>
              <w:left w:val="single" w:sz="8" w:space="0" w:color="000000"/>
            </w:tcBorders>
            <w:tcMar>
              <w:top w:w="30" w:type="dxa"/>
              <w:left w:w="20" w:type="dxa"/>
              <w:bottom w:w="30" w:type="dxa"/>
              <w:right w:w="20" w:type="dxa"/>
            </w:tcMar>
            <w:hideMark/>
          </w:tcPr>
          <w:p w:rsidR="00000000" w:rsidRDefault="001F1FC8">
            <w:pPr>
              <w:jc w:val="right"/>
              <w:rPr>
                <w:rFonts w:eastAsia="Times New Roman"/>
              </w:rPr>
            </w:pPr>
            <w:r>
              <w:rPr>
                <w:rFonts w:ascii="Arial" w:eastAsia="Times New Roman" w:hAnsi="Arial" w:cs="Arial"/>
                <w:color w:val="000000"/>
                <w:sz w:val="20"/>
                <w:szCs w:val="20"/>
              </w:rPr>
              <w:t>*</w:t>
            </w:r>
          </w:p>
        </w:tc>
        <w:tc>
          <w:tcPr>
            <w:tcW w:w="0" w:type="auto"/>
            <w:gridSpan w:val="3"/>
            <w:tcBorders>
              <w:top w:val="single" w:sz="8" w:space="0" w:color="000000"/>
              <w:left w:val="single" w:sz="8" w:space="0" w:color="000000"/>
              <w:right w:val="single" w:sz="8" w:space="0" w:color="000000"/>
            </w:tcBorders>
            <w:tcMar>
              <w:top w:w="30" w:type="dxa"/>
              <w:left w:w="20" w:type="dxa"/>
              <w:bottom w:w="30" w:type="dxa"/>
              <w:right w:w="20" w:type="dxa"/>
            </w:tcMar>
            <w:vAlign w:val="bottom"/>
            <w:hideMark/>
          </w:tcPr>
          <w:p w:rsidR="00000000" w:rsidRDefault="001F1FC8">
            <w:pPr>
              <w:divId w:val="691303784"/>
              <w:rPr>
                <w:rFonts w:eastAsia="Times New Roman"/>
              </w:rPr>
            </w:pPr>
            <w:hyperlink r:id="rId213" w:history="1">
              <w:r>
                <w:rPr>
                  <w:rStyle w:val="a3"/>
                  <w:rFonts w:ascii="Arial" w:eastAsia="Times New Roman" w:hAnsi="Arial" w:cs="Arial"/>
                  <w:sz w:val="20"/>
                  <w:szCs w:val="20"/>
                </w:rPr>
                <w:t>Subsidiaries of the Registrant</w:t>
              </w:r>
            </w:hyperlink>
          </w:p>
        </w:tc>
      </w:tr>
      <w:tr w:rsidR="00000000">
        <w:trPr>
          <w:divId w:val="1416589857"/>
          <w:jc w:val="center"/>
        </w:trPr>
        <w:tc>
          <w:tcPr>
            <w:tcW w:w="0" w:type="auto"/>
            <w:gridSpan w:val="3"/>
            <w:tcBorders>
              <w:top w:val="single" w:sz="8" w:space="0" w:color="000000"/>
              <w:left w:val="single" w:sz="8" w:space="0" w:color="000000"/>
            </w:tcBorders>
            <w:tcMar>
              <w:top w:w="30" w:type="dxa"/>
              <w:left w:w="20" w:type="dxa"/>
              <w:bottom w:w="30" w:type="dxa"/>
              <w:right w:w="20" w:type="dxa"/>
            </w:tcMar>
            <w:hideMark/>
          </w:tcPr>
          <w:p w:rsidR="00000000" w:rsidRDefault="001F1FC8">
            <w:pPr>
              <w:jc w:val="right"/>
              <w:rPr>
                <w:rFonts w:eastAsia="Times New Roman"/>
              </w:rPr>
            </w:pPr>
            <w:hyperlink r:id="rId214" w:history="1">
              <w:r>
                <w:rPr>
                  <w:rStyle w:val="a3"/>
                  <w:rFonts w:ascii="Arial" w:eastAsia="Times New Roman" w:hAnsi="Arial" w:cs="Arial"/>
                  <w:sz w:val="20"/>
                  <w:szCs w:val="20"/>
                </w:rPr>
                <w:t>22.1</w:t>
              </w:r>
            </w:hyperlink>
          </w:p>
        </w:tc>
        <w:tc>
          <w:tcPr>
            <w:tcW w:w="0" w:type="auto"/>
            <w:gridSpan w:val="3"/>
            <w:tcBorders>
              <w:top w:val="single" w:sz="8" w:space="0" w:color="000000"/>
              <w:left w:val="single" w:sz="8" w:space="0" w:color="000000"/>
            </w:tcBorders>
            <w:tcMar>
              <w:top w:w="30" w:type="dxa"/>
              <w:left w:w="20" w:type="dxa"/>
              <w:bottom w:w="30" w:type="dxa"/>
              <w:right w:w="20" w:type="dxa"/>
            </w:tcMar>
            <w:hideMark/>
          </w:tcPr>
          <w:p w:rsidR="00000000" w:rsidRDefault="001F1FC8">
            <w:pPr>
              <w:jc w:val="right"/>
              <w:rPr>
                <w:rFonts w:eastAsia="Times New Roman"/>
              </w:rPr>
            </w:pPr>
            <w:r>
              <w:rPr>
                <w:rFonts w:ascii="Arial" w:eastAsia="Times New Roman" w:hAnsi="Arial" w:cs="Arial"/>
                <w:color w:val="000000"/>
                <w:sz w:val="20"/>
                <w:szCs w:val="20"/>
              </w:rPr>
              <w:t>*</w:t>
            </w:r>
          </w:p>
        </w:tc>
        <w:tc>
          <w:tcPr>
            <w:tcW w:w="0" w:type="auto"/>
            <w:gridSpan w:val="3"/>
            <w:tcBorders>
              <w:top w:val="single" w:sz="8" w:space="0" w:color="000000"/>
              <w:left w:val="single" w:sz="8" w:space="0" w:color="000000"/>
              <w:right w:val="single" w:sz="8" w:space="0" w:color="000000"/>
            </w:tcBorders>
            <w:tcMar>
              <w:top w:w="30" w:type="dxa"/>
              <w:left w:w="20" w:type="dxa"/>
              <w:bottom w:w="30" w:type="dxa"/>
              <w:right w:w="20" w:type="dxa"/>
            </w:tcMar>
            <w:hideMark/>
          </w:tcPr>
          <w:p w:rsidR="00000000" w:rsidRDefault="001F1FC8">
            <w:pPr>
              <w:divId w:val="1395543989"/>
              <w:rPr>
                <w:rFonts w:eastAsia="Times New Roman"/>
              </w:rPr>
            </w:pPr>
            <w:hyperlink r:id="rId215" w:history="1">
              <w:r>
                <w:rPr>
                  <w:rStyle w:val="a3"/>
                  <w:rFonts w:ascii="Arial" w:eastAsia="Times New Roman" w:hAnsi="Arial" w:cs="Arial"/>
                  <w:sz w:val="20"/>
                  <w:szCs w:val="20"/>
                </w:rPr>
                <w:t>Subsidiary Guarantors</w:t>
              </w:r>
            </w:hyperlink>
          </w:p>
        </w:tc>
      </w:tr>
      <w:tr w:rsidR="00000000">
        <w:trPr>
          <w:divId w:val="1416589857"/>
          <w:jc w:val="center"/>
        </w:trPr>
        <w:tc>
          <w:tcPr>
            <w:tcW w:w="0" w:type="auto"/>
            <w:gridSpan w:val="3"/>
            <w:tcBorders>
              <w:top w:val="single" w:sz="8" w:space="0" w:color="000000"/>
              <w:left w:val="single" w:sz="8" w:space="0" w:color="000000"/>
            </w:tcBorders>
            <w:tcMar>
              <w:top w:w="30" w:type="dxa"/>
              <w:left w:w="20" w:type="dxa"/>
              <w:bottom w:w="30" w:type="dxa"/>
              <w:right w:w="20" w:type="dxa"/>
            </w:tcMar>
            <w:hideMark/>
          </w:tcPr>
          <w:p w:rsidR="00000000" w:rsidRDefault="001F1FC8">
            <w:pPr>
              <w:jc w:val="right"/>
              <w:rPr>
                <w:rFonts w:eastAsia="Times New Roman"/>
              </w:rPr>
            </w:pPr>
            <w:hyperlink r:id="rId216" w:history="1">
              <w:r>
                <w:rPr>
                  <w:rStyle w:val="a3"/>
                  <w:rFonts w:ascii="Arial" w:eastAsia="Times New Roman" w:hAnsi="Arial" w:cs="Arial"/>
                  <w:sz w:val="20"/>
                  <w:szCs w:val="20"/>
                </w:rPr>
                <w:t>23.1</w:t>
              </w:r>
            </w:hyperlink>
          </w:p>
        </w:tc>
        <w:tc>
          <w:tcPr>
            <w:tcW w:w="0" w:type="auto"/>
            <w:gridSpan w:val="3"/>
            <w:tcBorders>
              <w:top w:val="single" w:sz="8" w:space="0" w:color="000000"/>
              <w:left w:val="single" w:sz="8" w:space="0" w:color="000000"/>
            </w:tcBorders>
            <w:tcMar>
              <w:top w:w="30" w:type="dxa"/>
              <w:left w:w="20" w:type="dxa"/>
              <w:bottom w:w="30" w:type="dxa"/>
              <w:right w:w="20" w:type="dxa"/>
            </w:tcMar>
            <w:hideMark/>
          </w:tcPr>
          <w:p w:rsidR="00000000" w:rsidRDefault="001F1FC8">
            <w:pPr>
              <w:jc w:val="right"/>
              <w:rPr>
                <w:rFonts w:eastAsia="Times New Roman"/>
              </w:rPr>
            </w:pPr>
            <w:r>
              <w:rPr>
                <w:rFonts w:ascii="Arial" w:eastAsia="Times New Roman" w:hAnsi="Arial" w:cs="Arial"/>
                <w:color w:val="000000"/>
                <w:sz w:val="20"/>
                <w:szCs w:val="20"/>
              </w:rPr>
              <w:t>*</w:t>
            </w:r>
          </w:p>
        </w:tc>
        <w:tc>
          <w:tcPr>
            <w:tcW w:w="0" w:type="auto"/>
            <w:gridSpan w:val="3"/>
            <w:tcBorders>
              <w:top w:val="single" w:sz="8" w:space="0" w:color="000000"/>
              <w:left w:val="single" w:sz="8" w:space="0" w:color="000000"/>
              <w:right w:val="single" w:sz="8" w:space="0" w:color="000000"/>
            </w:tcBorders>
            <w:tcMar>
              <w:top w:w="30" w:type="dxa"/>
              <w:left w:w="20" w:type="dxa"/>
              <w:bottom w:w="30" w:type="dxa"/>
              <w:right w:w="20" w:type="dxa"/>
            </w:tcMar>
            <w:hideMark/>
          </w:tcPr>
          <w:p w:rsidR="00000000" w:rsidRDefault="001F1FC8">
            <w:pPr>
              <w:divId w:val="1728720220"/>
              <w:rPr>
                <w:rFonts w:eastAsia="Times New Roman"/>
              </w:rPr>
            </w:pPr>
            <w:hyperlink r:id="rId217" w:history="1">
              <w:r>
                <w:rPr>
                  <w:rStyle w:val="a3"/>
                  <w:rFonts w:ascii="Arial" w:eastAsia="Times New Roman" w:hAnsi="Arial" w:cs="Arial"/>
                  <w:sz w:val="20"/>
                  <w:szCs w:val="20"/>
                </w:rPr>
                <w:t>Consent of PricewaterhouseCoopers LLP</w:t>
              </w:r>
            </w:hyperlink>
          </w:p>
        </w:tc>
      </w:tr>
      <w:tr w:rsidR="00000000">
        <w:trPr>
          <w:divId w:val="1416589857"/>
          <w:jc w:val="center"/>
        </w:trPr>
        <w:tc>
          <w:tcPr>
            <w:tcW w:w="0" w:type="auto"/>
            <w:gridSpan w:val="3"/>
            <w:tcBorders>
              <w:top w:val="single" w:sz="8" w:space="0" w:color="000000"/>
              <w:left w:val="single" w:sz="8" w:space="0" w:color="000000"/>
            </w:tcBorders>
            <w:tcMar>
              <w:top w:w="30" w:type="dxa"/>
              <w:left w:w="20" w:type="dxa"/>
              <w:bottom w:w="30" w:type="dxa"/>
              <w:right w:w="20" w:type="dxa"/>
            </w:tcMar>
            <w:hideMark/>
          </w:tcPr>
          <w:p w:rsidR="00000000" w:rsidRDefault="001F1FC8">
            <w:pPr>
              <w:jc w:val="right"/>
              <w:rPr>
                <w:rFonts w:eastAsia="Times New Roman"/>
              </w:rPr>
            </w:pPr>
            <w:hyperlink w:anchor="iec242c2d4e1d466fad82d89d469f78fa_430" w:history="1">
              <w:r>
                <w:rPr>
                  <w:rStyle w:val="a3"/>
                  <w:rFonts w:ascii="Arial" w:eastAsia="Times New Roman" w:hAnsi="Arial" w:cs="Arial"/>
                  <w:sz w:val="20"/>
                  <w:szCs w:val="20"/>
                </w:rPr>
                <w:t>24.1</w:t>
              </w:r>
            </w:hyperlink>
          </w:p>
        </w:tc>
        <w:tc>
          <w:tcPr>
            <w:tcW w:w="0" w:type="auto"/>
            <w:gridSpan w:val="3"/>
            <w:tcBorders>
              <w:top w:val="single" w:sz="8" w:space="0" w:color="000000"/>
              <w:left w:val="single" w:sz="8" w:space="0" w:color="000000"/>
            </w:tcBorders>
            <w:tcMar>
              <w:top w:w="0" w:type="dxa"/>
              <w:left w:w="20" w:type="dxa"/>
              <w:bottom w:w="0" w:type="dxa"/>
              <w:right w:w="20" w:type="dxa"/>
            </w:tcMar>
            <w:vAlign w:val="center"/>
            <w:hideMark/>
          </w:tcPr>
          <w:p w:rsidR="00000000" w:rsidRDefault="001F1FC8">
            <w:pPr>
              <w:jc w:val="right"/>
              <w:rPr>
                <w:rFonts w:eastAsia="Times New Roman"/>
              </w:rPr>
            </w:pPr>
          </w:p>
        </w:tc>
        <w:tc>
          <w:tcPr>
            <w:tcW w:w="0" w:type="auto"/>
            <w:gridSpan w:val="3"/>
            <w:tcBorders>
              <w:top w:val="single" w:sz="8" w:space="0" w:color="000000"/>
              <w:left w:val="single" w:sz="8" w:space="0" w:color="000000"/>
              <w:right w:val="single" w:sz="8" w:space="0" w:color="000000"/>
            </w:tcBorders>
            <w:tcMar>
              <w:top w:w="30" w:type="dxa"/>
              <w:left w:w="20" w:type="dxa"/>
              <w:bottom w:w="30" w:type="dxa"/>
              <w:right w:w="20" w:type="dxa"/>
            </w:tcMar>
            <w:hideMark/>
          </w:tcPr>
          <w:p w:rsidR="00000000" w:rsidRDefault="001F1FC8">
            <w:pPr>
              <w:divId w:val="951977133"/>
              <w:rPr>
                <w:rFonts w:eastAsia="Times New Roman"/>
              </w:rPr>
            </w:pPr>
            <w:hyperlink w:anchor="iec242c2d4e1d466fad82d89d469f78fa_430" w:history="1">
              <w:r>
                <w:rPr>
                  <w:rStyle w:val="a3"/>
                  <w:rFonts w:ascii="Arial" w:eastAsia="Times New Roman" w:hAnsi="Arial" w:cs="Arial"/>
                  <w:sz w:val="20"/>
                  <w:szCs w:val="20"/>
                </w:rPr>
                <w:t>Powers of Attorney (included on the signature page of the Annual Report)</w:t>
              </w:r>
            </w:hyperlink>
          </w:p>
        </w:tc>
      </w:tr>
      <w:tr w:rsidR="00000000">
        <w:trPr>
          <w:divId w:val="1416589857"/>
          <w:jc w:val="center"/>
        </w:trPr>
        <w:tc>
          <w:tcPr>
            <w:tcW w:w="0" w:type="auto"/>
            <w:gridSpan w:val="3"/>
            <w:tcBorders>
              <w:top w:val="single" w:sz="8" w:space="0" w:color="000000"/>
              <w:left w:val="single" w:sz="8" w:space="0" w:color="000000"/>
            </w:tcBorders>
            <w:tcMar>
              <w:top w:w="30" w:type="dxa"/>
              <w:left w:w="20" w:type="dxa"/>
              <w:bottom w:w="30" w:type="dxa"/>
              <w:right w:w="20" w:type="dxa"/>
            </w:tcMar>
            <w:hideMark/>
          </w:tcPr>
          <w:p w:rsidR="00000000" w:rsidRDefault="001F1FC8">
            <w:pPr>
              <w:jc w:val="right"/>
              <w:rPr>
                <w:rFonts w:eastAsia="Times New Roman"/>
              </w:rPr>
            </w:pPr>
            <w:hyperlink r:id="rId218" w:history="1">
              <w:r>
                <w:rPr>
                  <w:rStyle w:val="a3"/>
                  <w:rFonts w:ascii="Arial" w:eastAsia="Times New Roman" w:hAnsi="Arial" w:cs="Arial"/>
                  <w:sz w:val="20"/>
                  <w:szCs w:val="20"/>
                </w:rPr>
                <w:t>31.</w:t>
              </w:r>
              <w:r>
                <w:rPr>
                  <w:rStyle w:val="a3"/>
                  <w:rFonts w:ascii="Arial" w:eastAsia="Times New Roman" w:hAnsi="Arial" w:cs="Arial"/>
                  <w:sz w:val="20"/>
                  <w:szCs w:val="20"/>
                </w:rPr>
                <w:t>1</w:t>
              </w:r>
            </w:hyperlink>
          </w:p>
        </w:tc>
        <w:tc>
          <w:tcPr>
            <w:tcW w:w="0" w:type="auto"/>
            <w:gridSpan w:val="3"/>
            <w:tcBorders>
              <w:top w:val="single" w:sz="8" w:space="0" w:color="000000"/>
              <w:left w:val="single" w:sz="8" w:space="0" w:color="000000"/>
            </w:tcBorders>
            <w:tcMar>
              <w:top w:w="30" w:type="dxa"/>
              <w:left w:w="20" w:type="dxa"/>
              <w:bottom w:w="30" w:type="dxa"/>
              <w:right w:w="20" w:type="dxa"/>
            </w:tcMar>
            <w:hideMark/>
          </w:tcPr>
          <w:p w:rsidR="00000000" w:rsidRDefault="001F1FC8">
            <w:pPr>
              <w:jc w:val="right"/>
              <w:rPr>
                <w:rFonts w:eastAsia="Times New Roman"/>
              </w:rPr>
            </w:pPr>
            <w:r>
              <w:rPr>
                <w:rFonts w:ascii="Arial" w:eastAsia="Times New Roman" w:hAnsi="Arial" w:cs="Arial"/>
                <w:color w:val="000000"/>
                <w:sz w:val="20"/>
                <w:szCs w:val="20"/>
              </w:rPr>
              <w:t>*</w:t>
            </w:r>
          </w:p>
        </w:tc>
        <w:tc>
          <w:tcPr>
            <w:tcW w:w="0" w:type="auto"/>
            <w:gridSpan w:val="3"/>
            <w:tcBorders>
              <w:top w:val="single" w:sz="8" w:space="0" w:color="000000"/>
              <w:left w:val="single" w:sz="8" w:space="0" w:color="000000"/>
              <w:right w:val="single" w:sz="8" w:space="0" w:color="000000"/>
            </w:tcBorders>
            <w:tcMar>
              <w:top w:w="30" w:type="dxa"/>
              <w:left w:w="20" w:type="dxa"/>
              <w:bottom w:w="30" w:type="dxa"/>
              <w:right w:w="20" w:type="dxa"/>
            </w:tcMar>
            <w:hideMark/>
          </w:tcPr>
          <w:p w:rsidR="00000000" w:rsidRDefault="001F1FC8">
            <w:pPr>
              <w:divId w:val="1474565922"/>
              <w:rPr>
                <w:rFonts w:eastAsia="Times New Roman"/>
              </w:rPr>
            </w:pPr>
            <w:hyperlink r:id="rId219" w:history="1">
              <w:r>
                <w:rPr>
                  <w:rStyle w:val="a3"/>
                  <w:rFonts w:ascii="Arial" w:eastAsia="Times New Roman" w:hAnsi="Arial" w:cs="Arial"/>
                  <w:sz w:val="20"/>
                  <w:szCs w:val="20"/>
                </w:rPr>
                <w:t>Certification Pursuant to Section 302 of the Sarbanes-Oxley Act of 2002.</w:t>
              </w:r>
            </w:hyperlink>
          </w:p>
        </w:tc>
      </w:tr>
      <w:tr w:rsidR="00000000">
        <w:trPr>
          <w:divId w:val="1416589857"/>
          <w:jc w:val="center"/>
        </w:trPr>
        <w:tc>
          <w:tcPr>
            <w:tcW w:w="0" w:type="auto"/>
            <w:gridSpan w:val="3"/>
            <w:tcBorders>
              <w:top w:val="single" w:sz="8" w:space="0" w:color="000000"/>
              <w:left w:val="single" w:sz="8" w:space="0" w:color="000000"/>
            </w:tcBorders>
            <w:tcMar>
              <w:top w:w="30" w:type="dxa"/>
              <w:left w:w="20" w:type="dxa"/>
              <w:bottom w:w="30" w:type="dxa"/>
              <w:right w:w="20" w:type="dxa"/>
            </w:tcMar>
            <w:hideMark/>
          </w:tcPr>
          <w:p w:rsidR="00000000" w:rsidRDefault="001F1FC8">
            <w:pPr>
              <w:jc w:val="right"/>
              <w:rPr>
                <w:rFonts w:eastAsia="Times New Roman"/>
              </w:rPr>
            </w:pPr>
            <w:hyperlink r:id="rId220" w:history="1">
              <w:r>
                <w:rPr>
                  <w:rStyle w:val="a3"/>
                  <w:rFonts w:ascii="Arial" w:eastAsia="Times New Roman" w:hAnsi="Arial" w:cs="Arial"/>
                  <w:sz w:val="20"/>
                  <w:szCs w:val="20"/>
                </w:rPr>
                <w:t>31.2</w:t>
              </w:r>
            </w:hyperlink>
          </w:p>
        </w:tc>
        <w:tc>
          <w:tcPr>
            <w:tcW w:w="0" w:type="auto"/>
            <w:gridSpan w:val="3"/>
            <w:tcBorders>
              <w:top w:val="single" w:sz="8" w:space="0" w:color="000000"/>
              <w:left w:val="single" w:sz="8" w:space="0" w:color="000000"/>
            </w:tcBorders>
            <w:tcMar>
              <w:top w:w="30" w:type="dxa"/>
              <w:left w:w="20" w:type="dxa"/>
              <w:bottom w:w="30" w:type="dxa"/>
              <w:right w:w="20" w:type="dxa"/>
            </w:tcMar>
            <w:hideMark/>
          </w:tcPr>
          <w:p w:rsidR="00000000" w:rsidRDefault="001F1FC8">
            <w:pPr>
              <w:jc w:val="right"/>
              <w:rPr>
                <w:rFonts w:eastAsia="Times New Roman"/>
              </w:rPr>
            </w:pPr>
            <w:r>
              <w:rPr>
                <w:rFonts w:ascii="Arial" w:eastAsia="Times New Roman" w:hAnsi="Arial" w:cs="Arial"/>
                <w:color w:val="000000"/>
                <w:sz w:val="20"/>
                <w:szCs w:val="20"/>
              </w:rPr>
              <w:t>*</w:t>
            </w:r>
          </w:p>
        </w:tc>
        <w:tc>
          <w:tcPr>
            <w:tcW w:w="0" w:type="auto"/>
            <w:gridSpan w:val="3"/>
            <w:tcBorders>
              <w:top w:val="single" w:sz="8" w:space="0" w:color="000000"/>
              <w:left w:val="single" w:sz="8" w:space="0" w:color="000000"/>
              <w:right w:val="single" w:sz="8" w:space="0" w:color="000000"/>
            </w:tcBorders>
            <w:tcMar>
              <w:top w:w="30" w:type="dxa"/>
              <w:left w:w="20" w:type="dxa"/>
              <w:bottom w:w="30" w:type="dxa"/>
              <w:right w:w="20" w:type="dxa"/>
            </w:tcMar>
            <w:hideMark/>
          </w:tcPr>
          <w:p w:rsidR="00000000" w:rsidRDefault="001F1FC8">
            <w:pPr>
              <w:divId w:val="2081321859"/>
              <w:rPr>
                <w:rFonts w:eastAsia="Times New Roman"/>
              </w:rPr>
            </w:pPr>
            <w:hyperlink r:id="rId221" w:history="1">
              <w:r>
                <w:rPr>
                  <w:rStyle w:val="a3"/>
                  <w:rFonts w:ascii="Arial" w:eastAsia="Times New Roman" w:hAnsi="Arial" w:cs="Arial"/>
                  <w:sz w:val="20"/>
                  <w:szCs w:val="20"/>
                </w:rPr>
                <w:t>Certification Pursuant to Section 302 of the Sarbanes-Oxley Act of 2002.</w:t>
              </w:r>
            </w:hyperlink>
          </w:p>
        </w:tc>
      </w:tr>
      <w:tr w:rsidR="00000000">
        <w:trPr>
          <w:divId w:val="1416589857"/>
          <w:jc w:val="center"/>
        </w:trPr>
        <w:tc>
          <w:tcPr>
            <w:tcW w:w="0" w:type="auto"/>
            <w:gridSpan w:val="3"/>
            <w:tcBorders>
              <w:top w:val="single" w:sz="8" w:space="0" w:color="000000"/>
              <w:left w:val="single" w:sz="8" w:space="0" w:color="000000"/>
            </w:tcBorders>
            <w:tcMar>
              <w:top w:w="30" w:type="dxa"/>
              <w:left w:w="20" w:type="dxa"/>
              <w:bottom w:w="30" w:type="dxa"/>
              <w:right w:w="20" w:type="dxa"/>
            </w:tcMar>
            <w:hideMark/>
          </w:tcPr>
          <w:p w:rsidR="00000000" w:rsidRDefault="001F1FC8">
            <w:pPr>
              <w:jc w:val="right"/>
              <w:rPr>
                <w:rFonts w:eastAsia="Times New Roman"/>
              </w:rPr>
            </w:pPr>
            <w:hyperlink r:id="rId222" w:history="1">
              <w:r>
                <w:rPr>
                  <w:rStyle w:val="a3"/>
                  <w:rFonts w:ascii="Arial" w:eastAsia="Times New Roman" w:hAnsi="Arial" w:cs="Arial"/>
                  <w:sz w:val="20"/>
                  <w:szCs w:val="20"/>
                </w:rPr>
                <w:t>32.1</w:t>
              </w:r>
            </w:hyperlink>
          </w:p>
        </w:tc>
        <w:tc>
          <w:tcPr>
            <w:tcW w:w="0" w:type="auto"/>
            <w:gridSpan w:val="3"/>
            <w:tcBorders>
              <w:top w:val="single" w:sz="8" w:space="0" w:color="000000"/>
              <w:left w:val="single" w:sz="8" w:space="0" w:color="000000"/>
            </w:tcBorders>
            <w:tcMar>
              <w:top w:w="30" w:type="dxa"/>
              <w:left w:w="20" w:type="dxa"/>
              <w:bottom w:w="30" w:type="dxa"/>
              <w:right w:w="20" w:type="dxa"/>
            </w:tcMar>
            <w:hideMark/>
          </w:tcPr>
          <w:p w:rsidR="00000000" w:rsidRDefault="001F1FC8">
            <w:pPr>
              <w:jc w:val="right"/>
              <w:rPr>
                <w:rFonts w:eastAsia="Times New Roman"/>
              </w:rPr>
            </w:pPr>
            <w:r>
              <w:rPr>
                <w:rFonts w:ascii="Arial" w:eastAsia="Times New Roman" w:hAnsi="Arial" w:cs="Arial"/>
                <w:color w:val="000000"/>
                <w:sz w:val="20"/>
                <w:szCs w:val="20"/>
              </w:rPr>
              <w:t>*</w:t>
            </w:r>
          </w:p>
        </w:tc>
        <w:tc>
          <w:tcPr>
            <w:tcW w:w="0" w:type="auto"/>
            <w:gridSpan w:val="3"/>
            <w:tcBorders>
              <w:top w:val="single" w:sz="8" w:space="0" w:color="000000"/>
              <w:left w:val="single" w:sz="8" w:space="0" w:color="000000"/>
              <w:right w:val="single" w:sz="8" w:space="0" w:color="000000"/>
            </w:tcBorders>
            <w:tcMar>
              <w:top w:w="30" w:type="dxa"/>
              <w:left w:w="20" w:type="dxa"/>
              <w:bottom w:w="30" w:type="dxa"/>
              <w:right w:w="20" w:type="dxa"/>
            </w:tcMar>
            <w:hideMark/>
          </w:tcPr>
          <w:p w:rsidR="00000000" w:rsidRDefault="001F1FC8">
            <w:pPr>
              <w:divId w:val="174619108"/>
              <w:rPr>
                <w:rFonts w:eastAsia="Times New Roman"/>
              </w:rPr>
            </w:pPr>
            <w:hyperlink r:id="rId223" w:history="1">
              <w:r>
                <w:rPr>
                  <w:rStyle w:val="a3"/>
                  <w:rFonts w:ascii="Arial" w:eastAsia="Times New Roman" w:hAnsi="Arial" w:cs="Arial"/>
                  <w:sz w:val="20"/>
                  <w:szCs w:val="20"/>
                </w:rPr>
                <w:t>Certification Pursuant to 18 U.S.C. Section 1350, as Adopted Pursuant to Section 906 of the Sarbanes-Oxley Act of 2002.</w:t>
              </w:r>
            </w:hyperlink>
          </w:p>
        </w:tc>
      </w:tr>
      <w:tr w:rsidR="00000000">
        <w:trPr>
          <w:divId w:val="1416589857"/>
          <w:jc w:val="center"/>
        </w:trPr>
        <w:tc>
          <w:tcPr>
            <w:tcW w:w="0" w:type="auto"/>
            <w:gridSpan w:val="3"/>
            <w:tcBorders>
              <w:top w:val="single" w:sz="8" w:space="0" w:color="000000"/>
              <w:left w:val="single" w:sz="8" w:space="0" w:color="000000"/>
            </w:tcBorders>
            <w:tcMar>
              <w:top w:w="30" w:type="dxa"/>
              <w:left w:w="20" w:type="dxa"/>
              <w:bottom w:w="30" w:type="dxa"/>
              <w:right w:w="20" w:type="dxa"/>
            </w:tcMar>
            <w:hideMark/>
          </w:tcPr>
          <w:p w:rsidR="00000000" w:rsidRDefault="001F1FC8">
            <w:pPr>
              <w:jc w:val="right"/>
              <w:rPr>
                <w:rFonts w:eastAsia="Times New Roman"/>
              </w:rPr>
            </w:pPr>
            <w:hyperlink r:id="rId224" w:history="1">
              <w:r>
                <w:rPr>
                  <w:rStyle w:val="a3"/>
                  <w:rFonts w:ascii="Arial" w:eastAsia="Times New Roman" w:hAnsi="Arial" w:cs="Arial"/>
                  <w:sz w:val="20"/>
                  <w:szCs w:val="20"/>
                </w:rPr>
                <w:t>32.2</w:t>
              </w:r>
            </w:hyperlink>
          </w:p>
        </w:tc>
        <w:tc>
          <w:tcPr>
            <w:tcW w:w="0" w:type="auto"/>
            <w:gridSpan w:val="3"/>
            <w:tcBorders>
              <w:top w:val="single" w:sz="8" w:space="0" w:color="000000"/>
              <w:left w:val="single" w:sz="8" w:space="0" w:color="000000"/>
            </w:tcBorders>
            <w:tcMar>
              <w:top w:w="30" w:type="dxa"/>
              <w:left w:w="20" w:type="dxa"/>
              <w:bottom w:w="30" w:type="dxa"/>
              <w:right w:w="20" w:type="dxa"/>
            </w:tcMar>
            <w:hideMark/>
          </w:tcPr>
          <w:p w:rsidR="00000000" w:rsidRDefault="001F1FC8">
            <w:pPr>
              <w:jc w:val="right"/>
              <w:rPr>
                <w:rFonts w:eastAsia="Times New Roman"/>
              </w:rPr>
            </w:pPr>
            <w:r>
              <w:rPr>
                <w:rFonts w:ascii="Arial" w:eastAsia="Times New Roman" w:hAnsi="Arial" w:cs="Arial"/>
                <w:color w:val="000000"/>
                <w:sz w:val="20"/>
                <w:szCs w:val="20"/>
              </w:rPr>
              <w:t>*</w:t>
            </w:r>
          </w:p>
        </w:tc>
        <w:tc>
          <w:tcPr>
            <w:tcW w:w="0" w:type="auto"/>
            <w:gridSpan w:val="3"/>
            <w:tcBorders>
              <w:top w:val="single" w:sz="8" w:space="0" w:color="000000"/>
              <w:left w:val="single" w:sz="8" w:space="0" w:color="000000"/>
              <w:right w:val="single" w:sz="8" w:space="0" w:color="000000"/>
            </w:tcBorders>
            <w:tcMar>
              <w:top w:w="30" w:type="dxa"/>
              <w:left w:w="20" w:type="dxa"/>
              <w:bottom w:w="30" w:type="dxa"/>
              <w:right w:w="20" w:type="dxa"/>
            </w:tcMar>
            <w:hideMark/>
          </w:tcPr>
          <w:p w:rsidR="00000000" w:rsidRDefault="001F1FC8">
            <w:pPr>
              <w:divId w:val="1587566847"/>
              <w:rPr>
                <w:rFonts w:eastAsia="Times New Roman"/>
              </w:rPr>
            </w:pPr>
            <w:hyperlink r:id="rId225" w:history="1">
              <w:r>
                <w:rPr>
                  <w:rStyle w:val="a3"/>
                  <w:rFonts w:ascii="Arial" w:eastAsia="Times New Roman" w:hAnsi="Arial" w:cs="Arial"/>
                  <w:sz w:val="20"/>
                  <w:szCs w:val="20"/>
                </w:rPr>
                <w:t>Certification Pursuant to 18 U.S.C. Section 1350, as Adopted Pursuant to Section 906 of the Sarbanes-Oxley Act of 2002.</w:t>
              </w:r>
            </w:hyperlink>
          </w:p>
        </w:tc>
      </w:tr>
      <w:tr w:rsidR="00000000">
        <w:trPr>
          <w:divId w:val="1416589857"/>
          <w:jc w:val="center"/>
        </w:trPr>
        <w:tc>
          <w:tcPr>
            <w:tcW w:w="0" w:type="auto"/>
            <w:gridSpan w:val="2"/>
            <w:tcBorders>
              <w:top w:val="single" w:sz="8" w:space="0" w:color="000000"/>
              <w:left w:val="single" w:sz="8" w:space="0" w:color="000000"/>
            </w:tcBorders>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color w:val="000000"/>
                <w:sz w:val="20"/>
                <w:szCs w:val="20"/>
              </w:rPr>
              <w:t>101 </w:t>
            </w:r>
          </w:p>
        </w:tc>
        <w:tc>
          <w:tcPr>
            <w:tcW w:w="0" w:type="auto"/>
            <w:tcBorders>
              <w:top w:val="single" w:sz="8" w:space="0" w:color="000000"/>
            </w:tcBorders>
            <w:tcMar>
              <w:top w:w="30" w:type="dxa"/>
              <w:left w:w="0" w:type="dxa"/>
              <w:bottom w:w="30" w:type="dxa"/>
              <w:right w:w="20" w:type="dxa"/>
            </w:tcMar>
            <w:hideMark/>
          </w:tcPr>
          <w:p w:rsidR="00000000" w:rsidRDefault="001F1FC8">
            <w:pPr>
              <w:jc w:val="right"/>
              <w:rPr>
                <w:rFonts w:eastAsia="Times New Roman"/>
              </w:rPr>
            </w:pPr>
          </w:p>
        </w:tc>
        <w:tc>
          <w:tcPr>
            <w:tcW w:w="0" w:type="auto"/>
            <w:gridSpan w:val="3"/>
            <w:tcBorders>
              <w:top w:val="single" w:sz="8" w:space="0" w:color="000000"/>
              <w:left w:val="single" w:sz="8" w:space="0" w:color="000000"/>
            </w:tcBorders>
            <w:tcMar>
              <w:top w:w="30" w:type="dxa"/>
              <w:left w:w="20" w:type="dxa"/>
              <w:bottom w:w="30" w:type="dxa"/>
              <w:right w:w="20" w:type="dxa"/>
            </w:tcMar>
            <w:hideMark/>
          </w:tcPr>
          <w:p w:rsidR="00000000" w:rsidRDefault="001F1FC8">
            <w:pPr>
              <w:jc w:val="right"/>
              <w:rPr>
                <w:rFonts w:eastAsia="Times New Roman"/>
              </w:rPr>
            </w:pPr>
            <w:r>
              <w:rPr>
                <w:rFonts w:ascii="Arial" w:eastAsia="Times New Roman" w:hAnsi="Arial" w:cs="Arial"/>
                <w:color w:val="000000"/>
                <w:sz w:val="20"/>
                <w:szCs w:val="20"/>
              </w:rPr>
              <w:t>*</w:t>
            </w:r>
          </w:p>
        </w:tc>
        <w:tc>
          <w:tcPr>
            <w:tcW w:w="0" w:type="auto"/>
            <w:gridSpan w:val="3"/>
            <w:tcBorders>
              <w:top w:val="single" w:sz="8" w:space="0" w:color="000000"/>
              <w:left w:val="single" w:sz="8" w:space="0" w:color="000000"/>
              <w:right w:val="single" w:sz="8" w:space="0" w:color="000000"/>
            </w:tcBorders>
            <w:tcMar>
              <w:top w:w="30" w:type="dxa"/>
              <w:left w:w="20" w:type="dxa"/>
              <w:bottom w:w="30" w:type="dxa"/>
              <w:right w:w="20" w:type="dxa"/>
            </w:tcMar>
            <w:hideMark/>
          </w:tcPr>
          <w:p w:rsidR="00000000" w:rsidRDefault="001F1FC8">
            <w:pPr>
              <w:divId w:val="1438063436"/>
              <w:rPr>
                <w:rFonts w:eastAsia="Times New Roman"/>
              </w:rPr>
            </w:pPr>
            <w:r>
              <w:rPr>
                <w:rFonts w:ascii="Arial" w:eastAsia="Times New Roman" w:hAnsi="Arial" w:cs="Arial"/>
                <w:color w:val="000000"/>
                <w:sz w:val="20"/>
                <w:szCs w:val="20"/>
              </w:rPr>
              <w:t>Inline XBRL Document Set for the consolidated financial statements and acco</w:t>
            </w:r>
            <w:r>
              <w:rPr>
                <w:rFonts w:ascii="Arial" w:eastAsia="Times New Roman" w:hAnsi="Arial" w:cs="Arial"/>
                <w:color w:val="000000"/>
                <w:sz w:val="20"/>
                <w:szCs w:val="20"/>
              </w:rPr>
              <w:t>mpanying notes in Part II. Item 8 “Financial Statements and Supplementary Data” of this Annual Report on Form 10-K</w:t>
            </w:r>
          </w:p>
        </w:tc>
      </w:tr>
      <w:tr w:rsidR="00000000">
        <w:trPr>
          <w:divId w:val="1416589857"/>
          <w:jc w:val="center"/>
        </w:trPr>
        <w:tc>
          <w:tcPr>
            <w:tcW w:w="0" w:type="auto"/>
            <w:gridSpan w:val="2"/>
            <w:tcBorders>
              <w:top w:val="single" w:sz="8" w:space="0" w:color="000000"/>
              <w:left w:val="single" w:sz="8" w:space="0" w:color="000000"/>
              <w:bottom w:val="single" w:sz="8" w:space="0" w:color="000000"/>
            </w:tcBorders>
            <w:tcMar>
              <w:top w:w="30" w:type="dxa"/>
              <w:left w:w="20" w:type="dxa"/>
              <w:bottom w:w="30" w:type="dxa"/>
              <w:right w:w="0" w:type="dxa"/>
            </w:tcMar>
            <w:hideMark/>
          </w:tcPr>
          <w:p w:rsidR="00000000" w:rsidRDefault="001F1FC8">
            <w:pPr>
              <w:jc w:val="right"/>
              <w:rPr>
                <w:rFonts w:eastAsia="Times New Roman"/>
              </w:rPr>
            </w:pPr>
            <w:r>
              <w:rPr>
                <w:rFonts w:ascii="Arial" w:eastAsia="Times New Roman" w:hAnsi="Arial" w:cs="Arial"/>
                <w:color w:val="000000"/>
                <w:sz w:val="20"/>
                <w:szCs w:val="20"/>
              </w:rPr>
              <w:t>104 </w:t>
            </w:r>
          </w:p>
        </w:tc>
        <w:tc>
          <w:tcPr>
            <w:tcW w:w="0" w:type="auto"/>
            <w:tcBorders>
              <w:top w:val="single" w:sz="8" w:space="0" w:color="000000"/>
              <w:bottom w:val="single" w:sz="8" w:space="0" w:color="000000"/>
            </w:tcBorders>
            <w:tcMar>
              <w:top w:w="30" w:type="dxa"/>
              <w:left w:w="0" w:type="dxa"/>
              <w:bottom w:w="30" w:type="dxa"/>
              <w:right w:w="20" w:type="dxa"/>
            </w:tcMar>
            <w:hideMark/>
          </w:tcPr>
          <w:p w:rsidR="00000000" w:rsidRDefault="001F1FC8">
            <w:pPr>
              <w:jc w:val="right"/>
              <w:rPr>
                <w:rFonts w:eastAsia="Times New Roman"/>
              </w:rPr>
            </w:pPr>
          </w:p>
        </w:tc>
        <w:tc>
          <w:tcPr>
            <w:tcW w:w="0" w:type="auto"/>
            <w:gridSpan w:val="3"/>
            <w:tcBorders>
              <w:top w:val="single" w:sz="8" w:space="0" w:color="000000"/>
              <w:left w:val="single" w:sz="8" w:space="0" w:color="000000"/>
              <w:bottom w:val="single" w:sz="8" w:space="0" w:color="000000"/>
            </w:tcBorders>
            <w:tcMar>
              <w:top w:w="30" w:type="dxa"/>
              <w:left w:w="20" w:type="dxa"/>
              <w:bottom w:w="30" w:type="dxa"/>
              <w:right w:w="20" w:type="dxa"/>
            </w:tcMar>
            <w:hideMark/>
          </w:tcPr>
          <w:p w:rsidR="00000000" w:rsidRDefault="001F1FC8">
            <w:pPr>
              <w:jc w:val="right"/>
              <w:rPr>
                <w:rFonts w:eastAsia="Times New Roman"/>
              </w:rPr>
            </w:pPr>
            <w:r>
              <w:rPr>
                <w:rFonts w:ascii="Arial" w:eastAsia="Times New Roman" w:hAnsi="Arial" w:cs="Arial"/>
                <w:color w:val="000000"/>
                <w:sz w:val="20"/>
                <w:szCs w:val="20"/>
              </w:rPr>
              <w:t>*</w:t>
            </w:r>
          </w:p>
        </w:tc>
        <w:tc>
          <w:tcPr>
            <w:tcW w:w="0" w:type="auto"/>
            <w:gridSpan w:val="3"/>
            <w:tcBorders>
              <w:top w:val="single" w:sz="8" w:space="0" w:color="000000"/>
              <w:left w:val="single" w:sz="8" w:space="0" w:color="000000"/>
              <w:bottom w:val="single" w:sz="8" w:space="0" w:color="000000"/>
              <w:right w:val="single" w:sz="8" w:space="0" w:color="000000"/>
            </w:tcBorders>
            <w:tcMar>
              <w:top w:w="30" w:type="dxa"/>
              <w:left w:w="20" w:type="dxa"/>
              <w:bottom w:w="30" w:type="dxa"/>
              <w:right w:w="20" w:type="dxa"/>
            </w:tcMar>
            <w:hideMark/>
          </w:tcPr>
          <w:p w:rsidR="00000000" w:rsidRDefault="001F1FC8">
            <w:pPr>
              <w:divId w:val="1376396092"/>
              <w:rPr>
                <w:rFonts w:eastAsia="Times New Roman"/>
              </w:rPr>
            </w:pPr>
            <w:r>
              <w:rPr>
                <w:rFonts w:ascii="Arial" w:eastAsia="Times New Roman" w:hAnsi="Arial" w:cs="Arial"/>
                <w:color w:val="000000"/>
                <w:sz w:val="20"/>
                <w:szCs w:val="20"/>
              </w:rPr>
              <w:t>Cover Page Interactive Date File – the cover page XBRL tags are embedded within the Inline XBRL document (included in Exhibit 1</w:t>
            </w:r>
            <w:r>
              <w:rPr>
                <w:rFonts w:ascii="Arial" w:eastAsia="Times New Roman" w:hAnsi="Arial" w:cs="Arial"/>
                <w:color w:val="000000"/>
                <w:sz w:val="20"/>
                <w:szCs w:val="20"/>
              </w:rPr>
              <w:t>01).</w:t>
            </w:r>
          </w:p>
        </w:tc>
      </w:tr>
    </w:tbl>
    <w:p w:rsidR="00000000" w:rsidRDefault="001F1FC8">
      <w:pPr>
        <w:divId w:val="221992286"/>
        <w:rPr>
          <w:rFonts w:eastAsia="Times New Roman"/>
        </w:rPr>
      </w:pPr>
    </w:p>
    <w:p w:rsidR="00000000" w:rsidRDefault="001F1FC8">
      <w:pPr>
        <w:jc w:val="center"/>
        <w:divId w:val="369304061"/>
        <w:rPr>
          <w:rFonts w:eastAsia="Times New Roman"/>
        </w:rPr>
      </w:pPr>
      <w:r>
        <w:rPr>
          <w:rFonts w:ascii="Arial" w:eastAsia="Times New Roman" w:hAnsi="Arial" w:cs="Arial"/>
          <w:color w:val="000000"/>
          <w:sz w:val="20"/>
          <w:szCs w:val="20"/>
        </w:rPr>
        <w:t>188</w:t>
      </w:r>
    </w:p>
    <w:p w:rsidR="00000000" w:rsidRDefault="001F1FC8">
      <w:pPr>
        <w:rPr>
          <w:rFonts w:eastAsia="Times New Roman"/>
        </w:rPr>
      </w:pPr>
      <w:r>
        <w:rPr>
          <w:rFonts w:eastAsia="Times New Roman"/>
        </w:rPr>
        <w:pict>
          <v:rect id="_x0000_i1218" style="width:0;height:1.5pt" o:hralign="center" o:hrstd="t" o:hr="t" fillcolor="#a0a0a0" stroked="f"/>
        </w:pict>
      </w:r>
    </w:p>
    <w:p w:rsidR="00000000" w:rsidRDefault="001F1FC8">
      <w:pPr>
        <w:jc w:val="center"/>
        <w:divId w:val="2029327628"/>
        <w:rPr>
          <w:rFonts w:eastAsia="Times New Roman"/>
        </w:rPr>
      </w:pPr>
    </w:p>
    <w:p w:rsidR="00000000" w:rsidRDefault="001F1FC8">
      <w:pPr>
        <w:jc w:val="center"/>
        <w:rPr>
          <w:rFonts w:eastAsia="Times New Roman"/>
        </w:rPr>
      </w:pPr>
      <w:r>
        <w:rPr>
          <w:rFonts w:ascii="Arial" w:eastAsia="Times New Roman" w:hAnsi="Arial" w:cs="Arial"/>
          <w:b/>
          <w:bCs/>
          <w:color w:val="000000"/>
          <w:sz w:val="20"/>
          <w:szCs w:val="20"/>
        </w:rPr>
        <w:t>SIGNATURES</w:t>
      </w:r>
    </w:p>
    <w:p w:rsidR="00000000" w:rsidRDefault="001F1FC8">
      <w:pPr>
        <w:divId w:val="1773864301"/>
        <w:rPr>
          <w:rFonts w:eastAsia="Times New Roman"/>
        </w:rPr>
      </w:pPr>
      <w:r>
        <w:rPr>
          <w:rFonts w:ascii="Arial" w:eastAsia="Times New Roman" w:hAnsi="Arial" w:cs="Arial"/>
          <w:color w:val="000000"/>
          <w:sz w:val="20"/>
          <w:szCs w:val="20"/>
        </w:rPr>
        <w:t> </w:t>
      </w:r>
    </w:p>
    <w:p w:rsidR="00000000" w:rsidRDefault="001F1FC8">
      <w:pPr>
        <w:divId w:val="603154879"/>
        <w:rPr>
          <w:rFonts w:eastAsia="Times New Roman"/>
        </w:rPr>
      </w:pPr>
      <w:r>
        <w:rPr>
          <w:rFonts w:ascii="Arial" w:eastAsia="Times New Roman" w:hAnsi="Arial" w:cs="Arial"/>
          <w:b/>
          <w:bCs/>
          <w:color w:val="000000"/>
          <w:sz w:val="20"/>
          <w:szCs w:val="20"/>
        </w:rPr>
        <w:t>POWER OF ATTORNEY</w:t>
      </w:r>
    </w:p>
    <w:p w:rsidR="00000000" w:rsidRDefault="001F1FC8">
      <w:pPr>
        <w:divId w:val="1962686255"/>
        <w:rPr>
          <w:rFonts w:eastAsia="Times New Roman"/>
        </w:rPr>
      </w:pPr>
      <w:r>
        <w:rPr>
          <w:rFonts w:ascii="Arial" w:eastAsia="Times New Roman" w:hAnsi="Arial" w:cs="Arial"/>
          <w:color w:val="000000"/>
          <w:sz w:val="20"/>
          <w:szCs w:val="20"/>
        </w:rPr>
        <w:t>Each person whose signature appears below appoints Robert R. Rooney, Vern D. Yu and Karen K. L. Uehara, and each of them, any of whom may act without the joinder of the other, as their tr</w:t>
      </w:r>
      <w:r>
        <w:rPr>
          <w:rFonts w:ascii="Arial" w:eastAsia="Times New Roman" w:hAnsi="Arial" w:cs="Arial"/>
          <w:color w:val="000000"/>
          <w:sz w:val="20"/>
          <w:szCs w:val="20"/>
        </w:rPr>
        <w:t>ue and lawful attorneys-in-fact and agents, with full power of substitution, for him or her and in his or her name, place and stead, in any and all capacities, to sign any and all amendments to this Annual Report of Enbridge on Form 10-K, and to file the s</w:t>
      </w:r>
      <w:r>
        <w:rPr>
          <w:rFonts w:ascii="Arial" w:eastAsia="Times New Roman" w:hAnsi="Arial" w:cs="Arial"/>
          <w:color w:val="000000"/>
          <w:sz w:val="20"/>
          <w:szCs w:val="20"/>
        </w:rPr>
        <w:t>ame, with all exhibits thereto, and all other documents in connection therewith, with the Securities and Exchange Commission, granting unto said attorneys-in-fact and agents, and each of them, full power and authority to do and perform each and every act a</w:t>
      </w:r>
      <w:r>
        <w:rPr>
          <w:rFonts w:ascii="Arial" w:eastAsia="Times New Roman" w:hAnsi="Arial" w:cs="Arial"/>
          <w:color w:val="000000"/>
          <w:sz w:val="20"/>
          <w:szCs w:val="20"/>
        </w:rPr>
        <w:t>nd thing requisite and necessary to be done, as fully to all intents and purposes as he or she might or would do in person, hereby ratifying and confirming all that said attorneys-in-fact and agents or any of them or their or his or her substitute and subs</w:t>
      </w:r>
      <w:r>
        <w:rPr>
          <w:rFonts w:ascii="Arial" w:eastAsia="Times New Roman" w:hAnsi="Arial" w:cs="Arial"/>
          <w:color w:val="000000"/>
          <w:sz w:val="20"/>
          <w:szCs w:val="20"/>
        </w:rPr>
        <w:t>titutes, may lawfully do or cause to be done by virtue hereof.</w:t>
      </w:r>
    </w:p>
    <w:p w:rsidR="00000000" w:rsidRDefault="001F1FC8">
      <w:pPr>
        <w:jc w:val="both"/>
        <w:rPr>
          <w:rFonts w:eastAsia="Times New Roman"/>
        </w:rPr>
      </w:pPr>
    </w:p>
    <w:p w:rsidR="00000000" w:rsidRDefault="001F1FC8">
      <w:pPr>
        <w:jc w:val="both"/>
        <w:divId w:val="334918117"/>
        <w:rPr>
          <w:rFonts w:eastAsia="Times New Roman"/>
        </w:rPr>
      </w:pPr>
      <w:r>
        <w:rPr>
          <w:rFonts w:ascii="Arial" w:eastAsia="Times New Roman" w:hAnsi="Arial" w:cs="Arial"/>
          <w:color w:val="000000"/>
          <w:sz w:val="20"/>
          <w:szCs w:val="20"/>
        </w:rPr>
        <w:t>Pursuant to the requirements of Section 13 or 15(d) of the Securities Exchange Act of 1934, the registrant has duly caused this report to be signed on its behalf by the undersigned, thereunto</w:t>
      </w:r>
      <w:r>
        <w:rPr>
          <w:rFonts w:ascii="Arial" w:eastAsia="Times New Roman" w:hAnsi="Arial" w:cs="Arial"/>
          <w:color w:val="000000"/>
          <w:sz w:val="20"/>
          <w:szCs w:val="20"/>
        </w:rPr>
        <w:t xml:space="preserve"> duly authorized.</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758"/>
        <w:gridCol w:w="36"/>
        <w:gridCol w:w="69"/>
        <w:gridCol w:w="2398"/>
        <w:gridCol w:w="36"/>
        <w:gridCol w:w="69"/>
        <w:gridCol w:w="426"/>
        <w:gridCol w:w="37"/>
        <w:gridCol w:w="69"/>
        <w:gridCol w:w="4303"/>
        <w:gridCol w:w="36"/>
      </w:tblGrid>
      <w:tr w:rsidR="00000000">
        <w:trPr>
          <w:divId w:val="1388071019"/>
          <w:jc w:val="center"/>
        </w:trPr>
        <w:tc>
          <w:tcPr>
            <w:tcW w:w="50" w:type="pct"/>
            <w:vAlign w:val="center"/>
            <w:hideMark/>
          </w:tcPr>
          <w:p w:rsidR="00000000" w:rsidRDefault="001F1FC8">
            <w:pPr>
              <w:jc w:val="both"/>
              <w:rPr>
                <w:rFonts w:eastAsia="Times New Roman"/>
              </w:rPr>
            </w:pPr>
          </w:p>
        </w:tc>
        <w:tc>
          <w:tcPr>
            <w:tcW w:w="465"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c>
          <w:tcPr>
            <w:tcW w:w="50" w:type="pct"/>
            <w:vAlign w:val="center"/>
            <w:hideMark/>
          </w:tcPr>
          <w:p w:rsidR="00000000" w:rsidRDefault="001F1FC8">
            <w:pPr>
              <w:rPr>
                <w:rFonts w:eastAsia="Times New Roman"/>
                <w:sz w:val="20"/>
                <w:szCs w:val="20"/>
              </w:rPr>
            </w:pPr>
          </w:p>
        </w:tc>
        <w:tc>
          <w:tcPr>
            <w:tcW w:w="1451"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c>
          <w:tcPr>
            <w:tcW w:w="50" w:type="pct"/>
            <w:vAlign w:val="center"/>
            <w:hideMark/>
          </w:tcPr>
          <w:p w:rsidR="00000000" w:rsidRDefault="001F1FC8">
            <w:pPr>
              <w:rPr>
                <w:rFonts w:eastAsia="Times New Roman"/>
                <w:sz w:val="20"/>
                <w:szCs w:val="20"/>
              </w:rPr>
            </w:pPr>
          </w:p>
        </w:tc>
        <w:tc>
          <w:tcPr>
            <w:tcW w:w="265"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c>
          <w:tcPr>
            <w:tcW w:w="50" w:type="pct"/>
            <w:vAlign w:val="center"/>
            <w:hideMark/>
          </w:tcPr>
          <w:p w:rsidR="00000000" w:rsidRDefault="001F1FC8">
            <w:pPr>
              <w:rPr>
                <w:rFonts w:eastAsia="Times New Roman"/>
                <w:sz w:val="20"/>
                <w:szCs w:val="20"/>
              </w:rPr>
            </w:pPr>
          </w:p>
        </w:tc>
        <w:tc>
          <w:tcPr>
            <w:tcW w:w="2597"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r>
      <w:tr w:rsidR="00000000">
        <w:trPr>
          <w:divId w:val="1388071019"/>
          <w:jc w:val="center"/>
        </w:trPr>
        <w:tc>
          <w:tcPr>
            <w:tcW w:w="0" w:type="auto"/>
            <w:gridSpan w:val="3"/>
            <w:tcMar>
              <w:top w:w="30" w:type="dxa"/>
              <w:left w:w="20" w:type="dxa"/>
              <w:bottom w:w="30" w:type="dxa"/>
              <w:right w:w="20" w:type="dxa"/>
            </w:tcMar>
            <w:hideMark/>
          </w:tcPr>
          <w:p w:rsidR="00000000" w:rsidRDefault="001F1FC8">
            <w:pPr>
              <w:rPr>
                <w:rFonts w:eastAsia="Times New Roman"/>
              </w:rPr>
            </w:pPr>
            <w:r>
              <w:rPr>
                <w:rFonts w:ascii="Arial" w:eastAsia="Times New Roman" w:hAnsi="Arial" w:cs="Arial"/>
                <w:b/>
                <w:bCs/>
                <w:color w:val="000000"/>
                <w:sz w:val="2"/>
                <w:szCs w:val="2"/>
              </w:rPr>
              <w:t> </w:t>
            </w:r>
          </w:p>
        </w:tc>
        <w:tc>
          <w:tcPr>
            <w:tcW w:w="0" w:type="auto"/>
            <w:gridSpan w:val="3"/>
            <w:tcMar>
              <w:top w:w="30" w:type="dxa"/>
              <w:left w:w="20" w:type="dxa"/>
              <w:bottom w:w="30" w:type="dxa"/>
              <w:right w:w="20" w:type="dxa"/>
            </w:tcMar>
            <w:hideMark/>
          </w:tcPr>
          <w:p w:rsidR="00000000" w:rsidRDefault="001F1FC8">
            <w:pPr>
              <w:rPr>
                <w:rFonts w:eastAsia="Times New Roman"/>
              </w:rPr>
            </w:pPr>
            <w:r>
              <w:rPr>
                <w:rFonts w:ascii="Arial" w:eastAsia="Times New Roman" w:hAnsi="Arial" w:cs="Arial"/>
                <w:b/>
                <w:bCs/>
                <w:color w:val="000000"/>
                <w:sz w:val="2"/>
                <w:szCs w:val="2"/>
              </w:rPr>
              <w:t> </w:t>
            </w:r>
          </w:p>
        </w:tc>
        <w:tc>
          <w:tcPr>
            <w:tcW w:w="0" w:type="auto"/>
            <w:gridSpan w:val="6"/>
            <w:tcMar>
              <w:top w:w="30" w:type="dxa"/>
              <w:left w:w="20" w:type="dxa"/>
              <w:bottom w:w="30" w:type="dxa"/>
              <w:right w:w="20" w:type="dxa"/>
            </w:tcMar>
            <w:hideMark/>
          </w:tcPr>
          <w:p w:rsidR="00000000" w:rsidRDefault="001F1FC8">
            <w:pPr>
              <w:rPr>
                <w:rFonts w:eastAsia="Times New Roman"/>
              </w:rPr>
            </w:pPr>
            <w:r>
              <w:rPr>
                <w:rFonts w:ascii="Arial" w:eastAsia="Times New Roman" w:hAnsi="Arial" w:cs="Arial"/>
                <w:b/>
                <w:bCs/>
                <w:color w:val="000000"/>
                <w:sz w:val="20"/>
                <w:szCs w:val="20"/>
              </w:rPr>
              <w:t>ENBRIDGE INC.</w:t>
            </w:r>
          </w:p>
        </w:tc>
      </w:tr>
      <w:tr w:rsidR="00000000">
        <w:trPr>
          <w:divId w:val="1388071019"/>
          <w:jc w:val="center"/>
        </w:trPr>
        <w:tc>
          <w:tcPr>
            <w:tcW w:w="0" w:type="auto"/>
            <w:gridSpan w:val="3"/>
            <w:tcMar>
              <w:top w:w="30" w:type="dxa"/>
              <w:left w:w="20" w:type="dxa"/>
              <w:bottom w:w="30" w:type="dxa"/>
              <w:right w:w="20" w:type="dxa"/>
            </w:tcMar>
            <w:hideMark/>
          </w:tcPr>
          <w:p w:rsidR="00000000" w:rsidRDefault="001F1FC8">
            <w:pPr>
              <w:rPr>
                <w:rFonts w:eastAsia="Times New Roman"/>
              </w:rPr>
            </w:pPr>
            <w:r>
              <w:rPr>
                <w:rFonts w:ascii="Arial" w:eastAsia="Times New Roman" w:hAnsi="Arial" w:cs="Arial"/>
                <w:color w:val="000000"/>
                <w:sz w:val="22"/>
                <w:szCs w:val="22"/>
              </w:rPr>
              <w:t> </w:t>
            </w:r>
          </w:p>
        </w:tc>
        <w:tc>
          <w:tcPr>
            <w:tcW w:w="0" w:type="auto"/>
            <w:gridSpan w:val="3"/>
            <w:tcMar>
              <w:top w:w="30" w:type="dxa"/>
              <w:left w:w="20" w:type="dxa"/>
              <w:bottom w:w="30" w:type="dxa"/>
              <w:right w:w="20" w:type="dxa"/>
            </w:tcMar>
            <w:hideMark/>
          </w:tcPr>
          <w:p w:rsidR="00000000" w:rsidRDefault="001F1FC8">
            <w:pPr>
              <w:rPr>
                <w:rFonts w:eastAsia="Times New Roman"/>
              </w:rPr>
            </w:pPr>
            <w:r>
              <w:rPr>
                <w:rFonts w:ascii="Arial" w:eastAsia="Times New Roman" w:hAnsi="Arial" w:cs="Arial"/>
                <w:color w:val="000000"/>
                <w:sz w:val="22"/>
                <w:szCs w:val="22"/>
              </w:rPr>
              <w:t> </w:t>
            </w:r>
          </w:p>
        </w:tc>
        <w:tc>
          <w:tcPr>
            <w:tcW w:w="0" w:type="auto"/>
            <w:gridSpan w:val="6"/>
            <w:tcMar>
              <w:top w:w="30" w:type="dxa"/>
              <w:left w:w="20" w:type="dxa"/>
              <w:bottom w:w="30" w:type="dxa"/>
              <w:right w:w="20" w:type="dxa"/>
            </w:tcMar>
            <w:hideMark/>
          </w:tcPr>
          <w:p w:rsidR="00000000" w:rsidRDefault="001F1FC8">
            <w:pPr>
              <w:rPr>
                <w:rFonts w:eastAsia="Times New Roman"/>
              </w:rPr>
            </w:pPr>
            <w:r>
              <w:rPr>
                <w:rFonts w:ascii="Arial" w:eastAsia="Times New Roman" w:hAnsi="Arial" w:cs="Arial"/>
                <w:color w:val="000000"/>
                <w:sz w:val="20"/>
                <w:szCs w:val="20"/>
              </w:rPr>
              <w:t>(Registrant)</w:t>
            </w:r>
          </w:p>
        </w:tc>
      </w:tr>
      <w:tr w:rsidR="00000000">
        <w:trPr>
          <w:divId w:val="1388071019"/>
          <w:jc w:val="center"/>
        </w:trPr>
        <w:tc>
          <w:tcPr>
            <w:tcW w:w="0" w:type="auto"/>
            <w:gridSpan w:val="3"/>
            <w:tcMar>
              <w:top w:w="30" w:type="dxa"/>
              <w:left w:w="20" w:type="dxa"/>
              <w:bottom w:w="30" w:type="dxa"/>
              <w:right w:w="20" w:type="dxa"/>
            </w:tcMar>
            <w:hideMark/>
          </w:tcPr>
          <w:p w:rsidR="00000000" w:rsidRDefault="001F1FC8">
            <w:pPr>
              <w:rPr>
                <w:rFonts w:eastAsia="Times New Roman"/>
              </w:rPr>
            </w:pPr>
            <w:r>
              <w:rPr>
                <w:rFonts w:ascii="Arial" w:eastAsia="Times New Roman" w:hAnsi="Arial" w:cs="Arial"/>
                <w:color w:val="000000"/>
                <w:sz w:val="22"/>
                <w:szCs w:val="22"/>
              </w:rPr>
              <w:t> </w:t>
            </w:r>
          </w:p>
        </w:tc>
        <w:tc>
          <w:tcPr>
            <w:tcW w:w="0" w:type="auto"/>
            <w:gridSpan w:val="3"/>
            <w:tcMar>
              <w:top w:w="30" w:type="dxa"/>
              <w:left w:w="20" w:type="dxa"/>
              <w:bottom w:w="30" w:type="dxa"/>
              <w:right w:w="20" w:type="dxa"/>
            </w:tcMar>
            <w:hideMark/>
          </w:tcPr>
          <w:p w:rsidR="00000000" w:rsidRDefault="001F1FC8">
            <w:pPr>
              <w:rPr>
                <w:rFonts w:eastAsia="Times New Roman"/>
              </w:rPr>
            </w:pPr>
            <w:r>
              <w:rPr>
                <w:rFonts w:ascii="Arial" w:eastAsia="Times New Roman" w:hAnsi="Arial" w:cs="Arial"/>
                <w:color w:val="000000"/>
                <w:sz w:val="22"/>
                <w:szCs w:val="22"/>
              </w:rPr>
              <w:t> </w:t>
            </w:r>
          </w:p>
        </w:tc>
        <w:tc>
          <w:tcPr>
            <w:tcW w:w="0" w:type="auto"/>
            <w:gridSpan w:val="3"/>
            <w:tcMar>
              <w:top w:w="30" w:type="dxa"/>
              <w:left w:w="20" w:type="dxa"/>
              <w:bottom w:w="30" w:type="dxa"/>
              <w:right w:w="20" w:type="dxa"/>
            </w:tcMar>
            <w:hideMark/>
          </w:tcPr>
          <w:p w:rsidR="00000000" w:rsidRDefault="001F1FC8">
            <w:pPr>
              <w:rPr>
                <w:rFonts w:eastAsia="Times New Roman"/>
              </w:rPr>
            </w:pPr>
            <w:r>
              <w:rPr>
                <w:rFonts w:ascii="Arial" w:eastAsia="Times New Roman" w:hAnsi="Arial" w:cs="Arial"/>
                <w:color w:val="000000"/>
                <w:sz w:val="22"/>
                <w:szCs w:val="22"/>
              </w:rPr>
              <w:t> </w:t>
            </w:r>
          </w:p>
        </w:tc>
        <w:tc>
          <w:tcPr>
            <w:tcW w:w="0" w:type="auto"/>
            <w:gridSpan w:val="3"/>
            <w:tcMar>
              <w:top w:w="30" w:type="dxa"/>
              <w:left w:w="20" w:type="dxa"/>
              <w:bottom w:w="30" w:type="dxa"/>
              <w:right w:w="20" w:type="dxa"/>
            </w:tcMar>
            <w:hideMark/>
          </w:tcPr>
          <w:p w:rsidR="00000000" w:rsidRDefault="001F1FC8">
            <w:pPr>
              <w:rPr>
                <w:rFonts w:eastAsia="Times New Roman"/>
              </w:rPr>
            </w:pPr>
            <w:r>
              <w:rPr>
                <w:rFonts w:ascii="Arial" w:eastAsia="Times New Roman" w:hAnsi="Arial" w:cs="Arial"/>
                <w:color w:val="000000"/>
                <w:sz w:val="22"/>
                <w:szCs w:val="22"/>
              </w:rPr>
              <w:t> </w:t>
            </w:r>
          </w:p>
        </w:tc>
      </w:tr>
      <w:tr w:rsidR="00000000">
        <w:trPr>
          <w:divId w:val="1388071019"/>
          <w:jc w:val="center"/>
        </w:trPr>
        <w:tc>
          <w:tcPr>
            <w:tcW w:w="0" w:type="auto"/>
            <w:gridSpan w:val="3"/>
            <w:tcMar>
              <w:top w:w="30" w:type="dxa"/>
              <w:left w:w="20" w:type="dxa"/>
              <w:bottom w:w="30" w:type="dxa"/>
              <w:right w:w="20" w:type="dxa"/>
            </w:tcMar>
            <w:hideMark/>
          </w:tcPr>
          <w:p w:rsidR="00000000" w:rsidRDefault="001F1FC8">
            <w:pPr>
              <w:rPr>
                <w:rFonts w:eastAsia="Times New Roman"/>
              </w:rPr>
            </w:pPr>
            <w:r>
              <w:rPr>
                <w:rFonts w:ascii="Arial" w:eastAsia="Times New Roman" w:hAnsi="Arial" w:cs="Arial"/>
                <w:color w:val="000000"/>
                <w:sz w:val="20"/>
                <w:szCs w:val="20"/>
              </w:rPr>
              <w:t>Date:</w:t>
            </w:r>
          </w:p>
        </w:tc>
        <w:tc>
          <w:tcPr>
            <w:tcW w:w="0" w:type="auto"/>
            <w:gridSpan w:val="3"/>
            <w:tcMar>
              <w:top w:w="30" w:type="dxa"/>
              <w:left w:w="20" w:type="dxa"/>
              <w:bottom w:w="30" w:type="dxa"/>
              <w:right w:w="20" w:type="dxa"/>
            </w:tcMar>
            <w:vAlign w:val="center"/>
            <w:hideMark/>
          </w:tcPr>
          <w:p w:rsidR="00000000" w:rsidRDefault="001F1FC8">
            <w:pPr>
              <w:rPr>
                <w:rFonts w:eastAsia="Times New Roman"/>
              </w:rPr>
            </w:pPr>
            <w:r>
              <w:rPr>
                <w:rFonts w:ascii="Arial" w:eastAsia="Times New Roman" w:hAnsi="Arial" w:cs="Arial"/>
                <w:color w:val="000000"/>
                <w:sz w:val="20"/>
                <w:szCs w:val="20"/>
              </w:rPr>
              <w:t>February 11, 2022</w:t>
            </w:r>
          </w:p>
        </w:tc>
        <w:tc>
          <w:tcPr>
            <w:tcW w:w="0" w:type="auto"/>
            <w:gridSpan w:val="3"/>
            <w:tcMar>
              <w:top w:w="30" w:type="dxa"/>
              <w:left w:w="20" w:type="dxa"/>
              <w:bottom w:w="30" w:type="dxa"/>
              <w:right w:w="20" w:type="dxa"/>
            </w:tcMar>
            <w:hideMark/>
          </w:tcPr>
          <w:p w:rsidR="00000000" w:rsidRDefault="001F1FC8">
            <w:pPr>
              <w:rPr>
                <w:rFonts w:eastAsia="Times New Roman"/>
              </w:rPr>
            </w:pPr>
            <w:r>
              <w:rPr>
                <w:rFonts w:ascii="Arial" w:eastAsia="Times New Roman" w:hAnsi="Arial" w:cs="Arial"/>
                <w:color w:val="000000"/>
                <w:sz w:val="20"/>
                <w:szCs w:val="20"/>
              </w:rPr>
              <w:t>By:</w:t>
            </w:r>
          </w:p>
        </w:tc>
        <w:tc>
          <w:tcPr>
            <w:tcW w:w="0" w:type="auto"/>
            <w:gridSpan w:val="3"/>
            <w:shd w:val="clear" w:color="auto" w:fill="FFFFFF"/>
            <w:tcMar>
              <w:top w:w="30" w:type="dxa"/>
              <w:left w:w="20" w:type="dxa"/>
              <w:bottom w:w="30" w:type="dxa"/>
              <w:right w:w="20" w:type="dxa"/>
            </w:tcMar>
            <w:hideMark/>
          </w:tcPr>
          <w:p w:rsidR="00000000" w:rsidRDefault="001F1FC8">
            <w:pPr>
              <w:rPr>
                <w:rFonts w:eastAsia="Times New Roman"/>
              </w:rPr>
            </w:pPr>
            <w:r>
              <w:rPr>
                <w:rFonts w:ascii="Arial" w:eastAsia="Times New Roman" w:hAnsi="Arial" w:cs="Arial"/>
                <w:b/>
                <w:bCs/>
                <w:color w:val="000000"/>
                <w:sz w:val="20"/>
                <w:szCs w:val="20"/>
              </w:rPr>
              <w:t>/s/ Al Monaco</w:t>
            </w:r>
          </w:p>
        </w:tc>
      </w:tr>
      <w:tr w:rsidR="00000000">
        <w:trPr>
          <w:divId w:val="1388071019"/>
          <w:jc w:val="center"/>
        </w:trPr>
        <w:tc>
          <w:tcPr>
            <w:tcW w:w="0" w:type="auto"/>
            <w:gridSpan w:val="3"/>
            <w:tcMar>
              <w:top w:w="30" w:type="dxa"/>
              <w:left w:w="20" w:type="dxa"/>
              <w:bottom w:w="30" w:type="dxa"/>
              <w:right w:w="20" w:type="dxa"/>
            </w:tcMar>
            <w:hideMark/>
          </w:tcPr>
          <w:p w:rsidR="00000000" w:rsidRDefault="001F1FC8">
            <w:pPr>
              <w:rPr>
                <w:rFonts w:eastAsia="Times New Roman"/>
              </w:rPr>
            </w:pPr>
            <w:r>
              <w:rPr>
                <w:rFonts w:ascii="Arial" w:eastAsia="Times New Roman" w:hAnsi="Arial" w:cs="Arial"/>
                <w:color w:val="000000"/>
                <w:sz w:val="2"/>
                <w:szCs w:val="2"/>
              </w:rPr>
              <w:t> </w:t>
            </w:r>
          </w:p>
        </w:tc>
        <w:tc>
          <w:tcPr>
            <w:tcW w:w="0" w:type="auto"/>
            <w:gridSpan w:val="3"/>
            <w:tcBorders>
              <w:top w:val="single" w:sz="12" w:space="0" w:color="000000"/>
            </w:tcBorders>
            <w:tcMar>
              <w:top w:w="30" w:type="dxa"/>
              <w:left w:w="20" w:type="dxa"/>
              <w:bottom w:w="30" w:type="dxa"/>
              <w:right w:w="20" w:type="dxa"/>
            </w:tcMar>
            <w:hideMark/>
          </w:tcPr>
          <w:p w:rsidR="00000000" w:rsidRDefault="001F1FC8">
            <w:pPr>
              <w:rPr>
                <w:rFonts w:eastAsia="Times New Roman"/>
              </w:rPr>
            </w:pPr>
            <w:r>
              <w:rPr>
                <w:rFonts w:ascii="Arial" w:eastAsia="Times New Roman" w:hAnsi="Arial" w:cs="Arial"/>
                <w:color w:val="000000"/>
                <w:sz w:val="2"/>
                <w:szCs w:val="2"/>
              </w:rPr>
              <w:t> </w:t>
            </w:r>
          </w:p>
        </w:tc>
        <w:tc>
          <w:tcPr>
            <w:tcW w:w="0" w:type="auto"/>
            <w:gridSpan w:val="3"/>
            <w:tcMar>
              <w:top w:w="30" w:type="dxa"/>
              <w:left w:w="20" w:type="dxa"/>
              <w:bottom w:w="30" w:type="dxa"/>
              <w:right w:w="20" w:type="dxa"/>
            </w:tcMar>
            <w:hideMark/>
          </w:tcPr>
          <w:p w:rsidR="00000000" w:rsidRDefault="001F1FC8">
            <w:pPr>
              <w:rPr>
                <w:rFonts w:eastAsia="Times New Roman"/>
              </w:rPr>
            </w:pPr>
            <w:r>
              <w:rPr>
                <w:rFonts w:ascii="Arial" w:eastAsia="Times New Roman" w:hAnsi="Arial" w:cs="Arial"/>
                <w:color w:val="000000"/>
                <w:sz w:val="2"/>
                <w:szCs w:val="2"/>
              </w:rPr>
              <w:t> </w:t>
            </w:r>
          </w:p>
        </w:tc>
        <w:tc>
          <w:tcPr>
            <w:tcW w:w="0" w:type="auto"/>
            <w:gridSpan w:val="3"/>
            <w:tcBorders>
              <w:top w:val="single" w:sz="8" w:space="0" w:color="000000"/>
            </w:tcBorders>
            <w:tcMar>
              <w:top w:w="30" w:type="dxa"/>
              <w:left w:w="20" w:type="dxa"/>
              <w:bottom w:w="30" w:type="dxa"/>
              <w:right w:w="20" w:type="dxa"/>
            </w:tcMar>
            <w:hideMark/>
          </w:tcPr>
          <w:p w:rsidR="00000000" w:rsidRDefault="001F1FC8">
            <w:pPr>
              <w:rPr>
                <w:rFonts w:eastAsia="Times New Roman"/>
              </w:rPr>
            </w:pPr>
            <w:r>
              <w:rPr>
                <w:rFonts w:ascii="Arial" w:eastAsia="Times New Roman" w:hAnsi="Arial" w:cs="Arial"/>
                <w:color w:val="000000"/>
                <w:sz w:val="20"/>
                <w:szCs w:val="20"/>
              </w:rPr>
              <w:t>Al Monaco</w:t>
            </w:r>
          </w:p>
        </w:tc>
      </w:tr>
      <w:tr w:rsidR="00000000">
        <w:trPr>
          <w:divId w:val="1388071019"/>
          <w:jc w:val="center"/>
        </w:trPr>
        <w:tc>
          <w:tcPr>
            <w:tcW w:w="0" w:type="auto"/>
            <w:gridSpan w:val="3"/>
            <w:tcMar>
              <w:top w:w="30" w:type="dxa"/>
              <w:left w:w="20" w:type="dxa"/>
              <w:bottom w:w="30" w:type="dxa"/>
              <w:right w:w="20" w:type="dxa"/>
            </w:tcMar>
            <w:hideMark/>
          </w:tcPr>
          <w:p w:rsidR="00000000" w:rsidRDefault="001F1FC8">
            <w:pPr>
              <w:rPr>
                <w:rFonts w:eastAsia="Times New Roman"/>
              </w:rPr>
            </w:pPr>
            <w:r>
              <w:rPr>
                <w:rFonts w:ascii="Arial" w:eastAsia="Times New Roman" w:hAnsi="Arial" w:cs="Arial"/>
                <w:color w:val="000000"/>
                <w:sz w:val="2"/>
                <w:szCs w:val="2"/>
              </w:rPr>
              <w:t> </w:t>
            </w:r>
          </w:p>
        </w:tc>
        <w:tc>
          <w:tcPr>
            <w:tcW w:w="0" w:type="auto"/>
            <w:gridSpan w:val="3"/>
            <w:tcMar>
              <w:top w:w="30" w:type="dxa"/>
              <w:left w:w="20" w:type="dxa"/>
              <w:bottom w:w="30" w:type="dxa"/>
              <w:right w:w="20" w:type="dxa"/>
            </w:tcMar>
            <w:hideMark/>
          </w:tcPr>
          <w:p w:rsidR="00000000" w:rsidRDefault="001F1FC8">
            <w:pPr>
              <w:rPr>
                <w:rFonts w:eastAsia="Times New Roman"/>
              </w:rPr>
            </w:pPr>
            <w:r>
              <w:rPr>
                <w:rFonts w:ascii="Arial" w:eastAsia="Times New Roman" w:hAnsi="Arial" w:cs="Arial"/>
                <w:color w:val="000000"/>
                <w:sz w:val="2"/>
                <w:szCs w:val="2"/>
              </w:rPr>
              <w:t> </w:t>
            </w:r>
          </w:p>
        </w:tc>
        <w:tc>
          <w:tcPr>
            <w:tcW w:w="0" w:type="auto"/>
            <w:gridSpan w:val="3"/>
            <w:tcMar>
              <w:top w:w="30" w:type="dxa"/>
              <w:left w:w="20" w:type="dxa"/>
              <w:bottom w:w="30" w:type="dxa"/>
              <w:right w:w="20" w:type="dxa"/>
            </w:tcMar>
            <w:hideMark/>
          </w:tcPr>
          <w:p w:rsidR="00000000" w:rsidRDefault="001F1FC8">
            <w:pPr>
              <w:rPr>
                <w:rFonts w:eastAsia="Times New Roman"/>
              </w:rPr>
            </w:pPr>
            <w:r>
              <w:rPr>
                <w:rFonts w:ascii="Arial" w:eastAsia="Times New Roman" w:hAnsi="Arial" w:cs="Arial"/>
                <w:color w:val="000000"/>
                <w:sz w:val="2"/>
                <w:szCs w:val="2"/>
              </w:rPr>
              <w:t> </w:t>
            </w:r>
          </w:p>
        </w:tc>
        <w:tc>
          <w:tcPr>
            <w:tcW w:w="0" w:type="auto"/>
            <w:gridSpan w:val="3"/>
            <w:tcMar>
              <w:top w:w="30" w:type="dxa"/>
              <w:left w:w="20" w:type="dxa"/>
              <w:bottom w:w="30" w:type="dxa"/>
              <w:right w:w="20" w:type="dxa"/>
            </w:tcMar>
            <w:hideMark/>
          </w:tcPr>
          <w:p w:rsidR="00000000" w:rsidRDefault="001F1FC8">
            <w:pPr>
              <w:rPr>
                <w:rFonts w:eastAsia="Times New Roman"/>
              </w:rPr>
            </w:pPr>
            <w:r>
              <w:rPr>
                <w:rFonts w:ascii="Arial" w:eastAsia="Times New Roman" w:hAnsi="Arial" w:cs="Arial"/>
                <w:color w:val="000000"/>
                <w:sz w:val="16"/>
                <w:szCs w:val="16"/>
              </w:rPr>
              <w:t>President and Chief Executive Officer</w:t>
            </w:r>
          </w:p>
        </w:tc>
      </w:tr>
    </w:tbl>
    <w:p w:rsidR="00000000" w:rsidRDefault="001F1FC8">
      <w:pPr>
        <w:divId w:val="1259946521"/>
        <w:rPr>
          <w:rFonts w:eastAsia="Times New Roman"/>
        </w:rPr>
      </w:pPr>
    </w:p>
    <w:p w:rsidR="00000000" w:rsidRDefault="001F1FC8">
      <w:pPr>
        <w:jc w:val="center"/>
        <w:divId w:val="1462844507"/>
        <w:rPr>
          <w:rFonts w:eastAsia="Times New Roman"/>
        </w:rPr>
      </w:pPr>
      <w:r>
        <w:rPr>
          <w:rFonts w:ascii="Arial" w:eastAsia="Times New Roman" w:hAnsi="Arial" w:cs="Arial"/>
          <w:color w:val="000000"/>
          <w:sz w:val="20"/>
          <w:szCs w:val="20"/>
        </w:rPr>
        <w:t>189</w:t>
      </w:r>
    </w:p>
    <w:p w:rsidR="00000000" w:rsidRDefault="001F1FC8">
      <w:pPr>
        <w:rPr>
          <w:rFonts w:eastAsia="Times New Roman"/>
        </w:rPr>
      </w:pPr>
      <w:r>
        <w:rPr>
          <w:rFonts w:eastAsia="Times New Roman"/>
        </w:rPr>
        <w:pict>
          <v:rect id="_x0000_i1219" style="width:0;height:1.5pt" o:hralign="center" o:hrstd="t" o:hr="t" fillcolor="#a0a0a0" stroked="f"/>
        </w:pict>
      </w:r>
    </w:p>
    <w:p w:rsidR="00000000" w:rsidRDefault="001F1FC8">
      <w:pPr>
        <w:jc w:val="center"/>
        <w:divId w:val="860972040"/>
        <w:rPr>
          <w:rFonts w:eastAsia="Times New Roman"/>
        </w:rPr>
      </w:pPr>
    </w:p>
    <w:p w:rsidR="00000000" w:rsidRDefault="001F1FC8">
      <w:pPr>
        <w:divId w:val="477498851"/>
        <w:rPr>
          <w:rFonts w:eastAsia="Times New Roman"/>
        </w:rPr>
      </w:pPr>
      <w:r>
        <w:rPr>
          <w:rFonts w:ascii="Arial" w:eastAsia="Times New Roman" w:hAnsi="Arial" w:cs="Arial"/>
          <w:color w:val="000000"/>
          <w:sz w:val="20"/>
          <w:szCs w:val="20"/>
        </w:rPr>
        <w:t>Pursuant to the requirements of the Securities Exchange Act of 1934, this report has been signed below on February 11, 2022 by the following persons on behalf of the registrant and in the capacities indicated.</w:t>
      </w:r>
    </w:p>
    <w:p w:rsidR="00000000" w:rsidRDefault="001F1FC8">
      <w:pPr>
        <w:divId w:val="928345038"/>
        <w:rPr>
          <w:rFonts w:eastAsia="Times New Roman"/>
        </w:rPr>
      </w:pPr>
    </w:p>
    <w:tbl>
      <w:tblPr>
        <w:tblW w:w="4991" w:type="pct"/>
        <w:jc w:val="center"/>
        <w:tblCellMar>
          <w:top w:w="15" w:type="dxa"/>
          <w:left w:w="15" w:type="dxa"/>
          <w:bottom w:w="15" w:type="dxa"/>
          <w:right w:w="15" w:type="dxa"/>
        </w:tblCellMar>
        <w:tblLook w:val="04A0" w:firstRow="1" w:lastRow="0" w:firstColumn="1" w:lastColumn="0" w:noHBand="0" w:noVBand="1"/>
      </w:tblPr>
      <w:tblGrid>
        <w:gridCol w:w="60"/>
        <w:gridCol w:w="3996"/>
        <w:gridCol w:w="37"/>
        <w:gridCol w:w="36"/>
        <w:gridCol w:w="36"/>
        <w:gridCol w:w="36"/>
        <w:gridCol w:w="52"/>
        <w:gridCol w:w="3999"/>
        <w:gridCol w:w="39"/>
      </w:tblGrid>
      <w:tr w:rsidR="00000000">
        <w:trPr>
          <w:divId w:val="1397901797"/>
          <w:jc w:val="center"/>
        </w:trPr>
        <w:tc>
          <w:tcPr>
            <w:tcW w:w="50" w:type="pct"/>
            <w:vAlign w:val="center"/>
            <w:hideMark/>
          </w:tcPr>
          <w:p w:rsidR="00000000" w:rsidRDefault="001F1FC8">
            <w:pPr>
              <w:rPr>
                <w:rFonts w:eastAsia="Times New Roman"/>
              </w:rPr>
            </w:pPr>
          </w:p>
        </w:tc>
        <w:tc>
          <w:tcPr>
            <w:tcW w:w="2424"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c>
          <w:tcPr>
            <w:tcW w:w="30"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c>
          <w:tcPr>
            <w:tcW w:w="50" w:type="pct"/>
            <w:vAlign w:val="center"/>
            <w:hideMark/>
          </w:tcPr>
          <w:p w:rsidR="00000000" w:rsidRDefault="001F1FC8">
            <w:pPr>
              <w:rPr>
                <w:rFonts w:eastAsia="Times New Roman"/>
                <w:sz w:val="20"/>
                <w:szCs w:val="20"/>
              </w:rPr>
            </w:pPr>
          </w:p>
        </w:tc>
        <w:tc>
          <w:tcPr>
            <w:tcW w:w="2425" w:type="pct"/>
            <w:vAlign w:val="center"/>
            <w:hideMark/>
          </w:tcPr>
          <w:p w:rsidR="00000000" w:rsidRDefault="001F1FC8">
            <w:pPr>
              <w:rPr>
                <w:rFonts w:eastAsia="Times New Roman"/>
                <w:sz w:val="20"/>
                <w:szCs w:val="20"/>
              </w:rPr>
            </w:pPr>
          </w:p>
        </w:tc>
        <w:tc>
          <w:tcPr>
            <w:tcW w:w="5" w:type="pct"/>
            <w:vAlign w:val="center"/>
            <w:hideMark/>
          </w:tcPr>
          <w:p w:rsidR="00000000" w:rsidRDefault="001F1FC8">
            <w:pPr>
              <w:rPr>
                <w:rFonts w:eastAsia="Times New Roman"/>
                <w:sz w:val="20"/>
                <w:szCs w:val="20"/>
              </w:rPr>
            </w:pPr>
          </w:p>
        </w:tc>
      </w:tr>
      <w:tr w:rsidR="00000000">
        <w:trPr>
          <w:divId w:val="1397901797"/>
          <w:jc w:val="center"/>
        </w:trPr>
        <w:tc>
          <w:tcPr>
            <w:tcW w:w="0" w:type="auto"/>
            <w:gridSpan w:val="3"/>
            <w:shd w:val="clear" w:color="auto" w:fill="FFFFFF"/>
            <w:tcMar>
              <w:top w:w="30" w:type="dxa"/>
              <w:left w:w="20" w:type="dxa"/>
              <w:bottom w:w="30" w:type="dxa"/>
              <w:right w:w="20" w:type="dxa"/>
            </w:tcMar>
            <w:vAlign w:val="bottom"/>
            <w:hideMark/>
          </w:tcPr>
          <w:p w:rsidR="00000000" w:rsidRDefault="001F1FC8">
            <w:pPr>
              <w:rPr>
                <w:rFonts w:eastAsia="Times New Roman"/>
              </w:rPr>
            </w:pPr>
            <w:r>
              <w:rPr>
                <w:rFonts w:ascii="Arial" w:eastAsia="Times New Roman" w:hAnsi="Arial" w:cs="Arial"/>
                <w:b/>
                <w:bCs/>
                <w:color w:val="000000"/>
                <w:sz w:val="20"/>
                <w:szCs w:val="20"/>
              </w:rPr>
              <w:t>/s/ Al Monaco</w:t>
            </w:r>
          </w:p>
        </w:tc>
        <w:tc>
          <w:tcPr>
            <w:tcW w:w="0" w:type="auto"/>
            <w:gridSpan w:val="3"/>
            <w:shd w:val="clear" w:color="auto" w:fill="FFFFFF"/>
            <w:tcMar>
              <w:top w:w="30" w:type="dxa"/>
              <w:left w:w="20" w:type="dxa"/>
              <w:bottom w:w="30" w:type="dxa"/>
              <w:right w:w="20" w:type="dxa"/>
            </w:tcMar>
            <w:vAlign w:val="bottom"/>
            <w:hideMark/>
          </w:tcPr>
          <w:p w:rsidR="00000000" w:rsidRDefault="001F1FC8">
            <w:pPr>
              <w:rPr>
                <w:rFonts w:eastAsia="Times New Roman"/>
              </w:rPr>
            </w:pPr>
            <w:r>
              <w:rPr>
                <w:rFonts w:ascii="Arial" w:eastAsia="Times New Roman" w:hAnsi="Arial" w:cs="Arial"/>
                <w:color w:val="000000"/>
                <w:sz w:val="20"/>
                <w:szCs w:val="20"/>
              </w:rPr>
              <w:t> </w:t>
            </w:r>
          </w:p>
        </w:tc>
        <w:tc>
          <w:tcPr>
            <w:tcW w:w="0" w:type="auto"/>
            <w:gridSpan w:val="3"/>
            <w:shd w:val="clear" w:color="auto" w:fill="FFFFFF"/>
            <w:tcMar>
              <w:top w:w="30" w:type="dxa"/>
              <w:left w:w="20" w:type="dxa"/>
              <w:bottom w:w="30" w:type="dxa"/>
              <w:right w:w="20" w:type="dxa"/>
            </w:tcMar>
            <w:vAlign w:val="bottom"/>
            <w:hideMark/>
          </w:tcPr>
          <w:p w:rsidR="00000000" w:rsidRDefault="001F1FC8">
            <w:pPr>
              <w:rPr>
                <w:rFonts w:eastAsia="Times New Roman"/>
              </w:rPr>
            </w:pPr>
            <w:r>
              <w:rPr>
                <w:rFonts w:ascii="Arial" w:eastAsia="Times New Roman" w:hAnsi="Arial" w:cs="Arial"/>
                <w:b/>
                <w:bCs/>
                <w:color w:val="000000"/>
                <w:sz w:val="20"/>
                <w:szCs w:val="20"/>
              </w:rPr>
              <w:t>/s/ Vern D. Yu</w:t>
            </w:r>
          </w:p>
        </w:tc>
      </w:tr>
      <w:tr w:rsidR="00000000">
        <w:trPr>
          <w:divId w:val="1397901797"/>
          <w:jc w:val="center"/>
        </w:trPr>
        <w:tc>
          <w:tcPr>
            <w:tcW w:w="0" w:type="auto"/>
            <w:gridSpan w:val="3"/>
            <w:tcBorders>
              <w:top w:val="single" w:sz="8" w:space="0" w:color="000000"/>
            </w:tcBorders>
            <w:shd w:val="clear" w:color="auto" w:fill="FFFFFF"/>
            <w:tcMar>
              <w:top w:w="30" w:type="dxa"/>
              <w:left w:w="20" w:type="dxa"/>
              <w:bottom w:w="30" w:type="dxa"/>
              <w:right w:w="20" w:type="dxa"/>
            </w:tcMar>
            <w:hideMark/>
          </w:tcPr>
          <w:p w:rsidR="00000000" w:rsidRDefault="001F1FC8">
            <w:pPr>
              <w:divId w:val="1940986117"/>
              <w:rPr>
                <w:rFonts w:eastAsia="Times New Roman"/>
              </w:rPr>
            </w:pPr>
            <w:r>
              <w:rPr>
                <w:rFonts w:ascii="Arial" w:eastAsia="Times New Roman" w:hAnsi="Arial" w:cs="Arial"/>
                <w:color w:val="000000"/>
                <w:sz w:val="20"/>
                <w:szCs w:val="20"/>
              </w:rPr>
              <w:t>Al Monaco</w:t>
            </w:r>
          </w:p>
          <w:p w:rsidR="00000000" w:rsidRDefault="001F1FC8">
            <w:pPr>
              <w:divId w:val="1406340788"/>
              <w:rPr>
                <w:rFonts w:eastAsia="Times New Roman"/>
              </w:rPr>
            </w:pPr>
            <w:r>
              <w:rPr>
                <w:rFonts w:ascii="Arial" w:eastAsia="Times New Roman" w:hAnsi="Arial" w:cs="Arial"/>
                <w:color w:val="000000"/>
                <w:sz w:val="16"/>
                <w:szCs w:val="16"/>
              </w:rPr>
              <w:t>President, Chief Executive Officer and Director</w:t>
            </w:r>
          </w:p>
          <w:p w:rsidR="00000000" w:rsidRDefault="001F1FC8">
            <w:pPr>
              <w:divId w:val="366878982"/>
              <w:rPr>
                <w:rFonts w:eastAsia="Times New Roman"/>
              </w:rPr>
            </w:pPr>
            <w:r>
              <w:rPr>
                <w:rFonts w:ascii="Arial" w:eastAsia="Times New Roman" w:hAnsi="Arial" w:cs="Arial"/>
                <w:color w:val="000000"/>
                <w:sz w:val="16"/>
                <w:szCs w:val="16"/>
              </w:rPr>
              <w:t>(Principal Executive Officer)</w:t>
            </w:r>
          </w:p>
        </w:tc>
        <w:tc>
          <w:tcPr>
            <w:tcW w:w="0" w:type="auto"/>
            <w:gridSpan w:val="3"/>
            <w:shd w:val="clear" w:color="auto" w:fill="FFFFFF"/>
            <w:tcMar>
              <w:top w:w="0" w:type="dxa"/>
              <w:left w:w="20" w:type="dxa"/>
              <w:bottom w:w="0" w:type="dxa"/>
              <w:right w:w="20" w:type="dxa"/>
            </w:tcMar>
            <w:vAlign w:val="center"/>
            <w:hideMark/>
          </w:tcPr>
          <w:p w:rsidR="00000000" w:rsidRDefault="001F1FC8">
            <w:pP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hideMark/>
          </w:tcPr>
          <w:p w:rsidR="00000000" w:rsidRDefault="001F1FC8">
            <w:pPr>
              <w:divId w:val="1941335840"/>
              <w:rPr>
                <w:rFonts w:eastAsia="Times New Roman"/>
              </w:rPr>
            </w:pPr>
            <w:r>
              <w:rPr>
                <w:rFonts w:ascii="Arial" w:eastAsia="Times New Roman" w:hAnsi="Arial" w:cs="Arial"/>
                <w:color w:val="000000"/>
                <w:sz w:val="20"/>
                <w:szCs w:val="20"/>
              </w:rPr>
              <w:t>Vern D. Yu</w:t>
            </w:r>
          </w:p>
          <w:p w:rsidR="00000000" w:rsidRDefault="001F1FC8">
            <w:pPr>
              <w:divId w:val="984239295"/>
              <w:rPr>
                <w:rFonts w:eastAsia="Times New Roman"/>
              </w:rPr>
            </w:pPr>
            <w:r>
              <w:rPr>
                <w:rFonts w:ascii="Arial" w:eastAsia="Times New Roman" w:hAnsi="Arial" w:cs="Arial"/>
                <w:color w:val="000000"/>
                <w:sz w:val="16"/>
                <w:szCs w:val="16"/>
              </w:rPr>
              <w:t>Executive Vice President and Chief Financial Officer</w:t>
            </w:r>
          </w:p>
          <w:p w:rsidR="00000000" w:rsidRDefault="001F1FC8">
            <w:pPr>
              <w:divId w:val="1597858516"/>
              <w:rPr>
                <w:rFonts w:eastAsia="Times New Roman"/>
              </w:rPr>
            </w:pPr>
            <w:r>
              <w:rPr>
                <w:rFonts w:ascii="Arial" w:eastAsia="Times New Roman" w:hAnsi="Arial" w:cs="Arial"/>
                <w:color w:val="000000"/>
                <w:sz w:val="16"/>
                <w:szCs w:val="16"/>
              </w:rPr>
              <w:t>(Principal Financial Officer)</w:t>
            </w:r>
          </w:p>
        </w:tc>
      </w:tr>
      <w:tr w:rsidR="00000000">
        <w:trPr>
          <w:divId w:val="1397901797"/>
          <w:trHeight w:val="60"/>
          <w:jc w:val="center"/>
        </w:trPr>
        <w:tc>
          <w:tcPr>
            <w:tcW w:w="0" w:type="auto"/>
            <w:gridSpan w:val="3"/>
            <w:shd w:val="clear" w:color="auto" w:fill="FFFFFF"/>
            <w:tcMar>
              <w:top w:w="0" w:type="dxa"/>
              <w:left w:w="20" w:type="dxa"/>
              <w:bottom w:w="0" w:type="dxa"/>
              <w:right w:w="20" w:type="dxa"/>
            </w:tcMar>
            <w:vAlign w:val="center"/>
            <w:hideMark/>
          </w:tcPr>
          <w:p w:rsidR="00000000" w:rsidRDefault="001F1FC8">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F1FC8">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1F1FC8">
            <w:pPr>
              <w:rPr>
                <w:rFonts w:eastAsia="Times New Roman"/>
                <w:sz w:val="20"/>
                <w:szCs w:val="20"/>
              </w:rPr>
            </w:pPr>
          </w:p>
        </w:tc>
      </w:tr>
      <w:tr w:rsidR="00000000">
        <w:trPr>
          <w:divId w:val="1397901797"/>
          <w:jc w:val="center"/>
        </w:trPr>
        <w:tc>
          <w:tcPr>
            <w:tcW w:w="0" w:type="auto"/>
            <w:gridSpan w:val="3"/>
            <w:shd w:val="clear" w:color="auto" w:fill="FFFFFF"/>
            <w:tcMar>
              <w:top w:w="30" w:type="dxa"/>
              <w:left w:w="20" w:type="dxa"/>
              <w:bottom w:w="30" w:type="dxa"/>
              <w:right w:w="20" w:type="dxa"/>
            </w:tcMar>
            <w:vAlign w:val="bottom"/>
            <w:hideMark/>
          </w:tcPr>
          <w:p w:rsidR="00000000" w:rsidRDefault="001F1FC8">
            <w:pPr>
              <w:rPr>
                <w:rFonts w:eastAsia="Times New Roman"/>
              </w:rPr>
            </w:pPr>
            <w:r>
              <w:rPr>
                <w:rFonts w:ascii="Arial" w:eastAsia="Times New Roman" w:hAnsi="Arial" w:cs="Arial"/>
                <w:b/>
                <w:bCs/>
                <w:color w:val="000000"/>
                <w:sz w:val="20"/>
                <w:szCs w:val="20"/>
              </w:rPr>
              <w:t>/s/ Patrick R. Murray</w:t>
            </w:r>
          </w:p>
        </w:tc>
        <w:tc>
          <w:tcPr>
            <w:tcW w:w="0" w:type="auto"/>
            <w:gridSpan w:val="3"/>
            <w:shd w:val="clear" w:color="auto" w:fill="FFFFFF"/>
            <w:tcMar>
              <w:top w:w="0" w:type="dxa"/>
              <w:left w:w="20" w:type="dxa"/>
              <w:bottom w:w="0" w:type="dxa"/>
              <w:right w:w="20" w:type="dxa"/>
            </w:tcMar>
            <w:vAlign w:val="center"/>
            <w:hideMark/>
          </w:tcPr>
          <w:p w:rsidR="00000000" w:rsidRDefault="001F1FC8">
            <w:pP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1F1FC8">
            <w:pPr>
              <w:rPr>
                <w:rFonts w:eastAsia="Times New Roman"/>
              </w:rPr>
            </w:pPr>
            <w:r>
              <w:rPr>
                <w:rFonts w:ascii="Arial" w:eastAsia="Times New Roman" w:hAnsi="Arial" w:cs="Arial"/>
                <w:b/>
                <w:bCs/>
                <w:color w:val="000000"/>
                <w:sz w:val="20"/>
                <w:szCs w:val="20"/>
              </w:rPr>
              <w:t>/s/ Gregory L. Ebel</w:t>
            </w:r>
          </w:p>
        </w:tc>
      </w:tr>
      <w:tr w:rsidR="00000000">
        <w:trPr>
          <w:divId w:val="1397901797"/>
          <w:jc w:val="center"/>
        </w:trPr>
        <w:tc>
          <w:tcPr>
            <w:tcW w:w="0" w:type="auto"/>
            <w:gridSpan w:val="3"/>
            <w:tcBorders>
              <w:top w:val="single" w:sz="8" w:space="0" w:color="000000"/>
            </w:tcBorders>
            <w:shd w:val="clear" w:color="auto" w:fill="FFFFFF"/>
            <w:tcMar>
              <w:top w:w="30" w:type="dxa"/>
              <w:left w:w="20" w:type="dxa"/>
              <w:bottom w:w="30" w:type="dxa"/>
              <w:right w:w="20" w:type="dxa"/>
            </w:tcMar>
            <w:hideMark/>
          </w:tcPr>
          <w:p w:rsidR="00000000" w:rsidRDefault="001F1FC8">
            <w:pPr>
              <w:divId w:val="288439568"/>
              <w:rPr>
                <w:rFonts w:eastAsia="Times New Roman"/>
              </w:rPr>
            </w:pPr>
            <w:r>
              <w:rPr>
                <w:rFonts w:ascii="Arial" w:eastAsia="Times New Roman" w:hAnsi="Arial" w:cs="Arial"/>
                <w:color w:val="000000"/>
                <w:sz w:val="20"/>
                <w:szCs w:val="20"/>
              </w:rPr>
              <w:t>Patrick R. Murray</w:t>
            </w:r>
            <w:r>
              <w:rPr>
                <w:rFonts w:ascii="Arial" w:eastAsia="Times New Roman" w:hAnsi="Arial" w:cs="Arial"/>
                <w:color w:val="000000"/>
                <w:sz w:val="20"/>
                <w:szCs w:val="20"/>
              </w:rPr>
              <w:br/>
            </w:r>
            <w:r>
              <w:rPr>
                <w:rFonts w:ascii="Arial" w:eastAsia="Times New Roman" w:hAnsi="Arial" w:cs="Arial"/>
                <w:color w:val="000000"/>
                <w:sz w:val="16"/>
                <w:szCs w:val="16"/>
              </w:rPr>
              <w:t>Senior Vice President and Chief Accounting Officer</w:t>
            </w:r>
            <w:r>
              <w:rPr>
                <w:rFonts w:ascii="Arial" w:eastAsia="Times New Roman" w:hAnsi="Arial" w:cs="Arial"/>
                <w:color w:val="000000"/>
                <w:sz w:val="16"/>
                <w:szCs w:val="16"/>
              </w:rPr>
              <w:br/>
              <w:t>(Principal Accounting Officer)</w:t>
            </w:r>
          </w:p>
        </w:tc>
        <w:tc>
          <w:tcPr>
            <w:tcW w:w="0" w:type="auto"/>
            <w:gridSpan w:val="3"/>
            <w:shd w:val="clear" w:color="auto" w:fill="FFFFFF"/>
            <w:tcMar>
              <w:top w:w="0" w:type="dxa"/>
              <w:left w:w="20" w:type="dxa"/>
              <w:bottom w:w="0" w:type="dxa"/>
              <w:right w:w="20" w:type="dxa"/>
            </w:tcMar>
            <w:vAlign w:val="center"/>
            <w:hideMark/>
          </w:tcPr>
          <w:p w:rsidR="00000000" w:rsidRDefault="001F1FC8">
            <w:pP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hideMark/>
          </w:tcPr>
          <w:p w:rsidR="00000000" w:rsidRDefault="001F1FC8">
            <w:pPr>
              <w:divId w:val="883372348"/>
              <w:rPr>
                <w:rFonts w:eastAsia="Times New Roman"/>
              </w:rPr>
            </w:pPr>
            <w:r>
              <w:rPr>
                <w:rFonts w:ascii="Arial" w:eastAsia="Times New Roman" w:hAnsi="Arial" w:cs="Arial"/>
                <w:color w:val="000000"/>
                <w:sz w:val="20"/>
                <w:szCs w:val="20"/>
              </w:rPr>
              <w:t>Gregory L. Ebel</w:t>
            </w:r>
          </w:p>
          <w:p w:rsidR="00000000" w:rsidRDefault="001F1FC8">
            <w:pPr>
              <w:divId w:val="1760758800"/>
              <w:rPr>
                <w:rFonts w:eastAsia="Times New Roman"/>
              </w:rPr>
            </w:pPr>
            <w:r>
              <w:rPr>
                <w:rFonts w:ascii="Arial" w:eastAsia="Times New Roman" w:hAnsi="Arial" w:cs="Arial"/>
                <w:color w:val="000000"/>
                <w:sz w:val="16"/>
                <w:szCs w:val="16"/>
              </w:rPr>
              <w:t>Chairman of the Board of Directors</w:t>
            </w:r>
          </w:p>
        </w:tc>
      </w:tr>
      <w:tr w:rsidR="00000000">
        <w:trPr>
          <w:divId w:val="1397901797"/>
          <w:trHeight w:val="60"/>
          <w:jc w:val="center"/>
        </w:trPr>
        <w:tc>
          <w:tcPr>
            <w:tcW w:w="0" w:type="auto"/>
            <w:gridSpan w:val="3"/>
            <w:shd w:val="clear" w:color="auto" w:fill="FFFFFF"/>
            <w:tcMar>
              <w:top w:w="0" w:type="dxa"/>
              <w:left w:w="20" w:type="dxa"/>
              <w:bottom w:w="0" w:type="dxa"/>
              <w:right w:w="20" w:type="dxa"/>
            </w:tcMar>
            <w:vAlign w:val="center"/>
            <w:hideMark/>
          </w:tcPr>
          <w:p w:rsidR="00000000" w:rsidRDefault="001F1FC8">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F1FC8">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1F1FC8">
            <w:pPr>
              <w:rPr>
                <w:rFonts w:eastAsia="Times New Roman"/>
                <w:sz w:val="20"/>
                <w:szCs w:val="20"/>
              </w:rPr>
            </w:pPr>
          </w:p>
        </w:tc>
      </w:tr>
      <w:tr w:rsidR="00000000">
        <w:trPr>
          <w:divId w:val="1397901797"/>
          <w:jc w:val="center"/>
        </w:trPr>
        <w:tc>
          <w:tcPr>
            <w:tcW w:w="0" w:type="auto"/>
            <w:gridSpan w:val="3"/>
            <w:shd w:val="clear" w:color="auto" w:fill="FFFFFF"/>
            <w:tcMar>
              <w:top w:w="30" w:type="dxa"/>
              <w:left w:w="20" w:type="dxa"/>
              <w:bottom w:w="30" w:type="dxa"/>
              <w:right w:w="20" w:type="dxa"/>
            </w:tcMar>
            <w:vAlign w:val="bottom"/>
            <w:hideMark/>
          </w:tcPr>
          <w:p w:rsidR="00000000" w:rsidRDefault="001F1FC8">
            <w:pPr>
              <w:rPr>
                <w:rFonts w:eastAsia="Times New Roman"/>
              </w:rPr>
            </w:pPr>
            <w:r>
              <w:rPr>
                <w:rFonts w:ascii="Arial" w:eastAsia="Times New Roman" w:hAnsi="Arial" w:cs="Arial"/>
                <w:b/>
                <w:bCs/>
                <w:color w:val="000000"/>
                <w:sz w:val="20"/>
                <w:szCs w:val="20"/>
              </w:rPr>
              <w:t>/s/ Mayank (Mike) M. Ashar</w:t>
            </w:r>
          </w:p>
        </w:tc>
        <w:tc>
          <w:tcPr>
            <w:tcW w:w="0" w:type="auto"/>
            <w:gridSpan w:val="3"/>
            <w:shd w:val="clear" w:color="auto" w:fill="FFFFFF"/>
            <w:tcMar>
              <w:top w:w="30" w:type="dxa"/>
              <w:left w:w="20" w:type="dxa"/>
              <w:bottom w:w="30" w:type="dxa"/>
              <w:right w:w="20" w:type="dxa"/>
            </w:tcMar>
            <w:vAlign w:val="bottom"/>
            <w:hideMark/>
          </w:tcPr>
          <w:p w:rsidR="00000000" w:rsidRDefault="001F1FC8">
            <w:pPr>
              <w:rPr>
                <w:rFonts w:eastAsia="Times New Roman"/>
              </w:rPr>
            </w:pPr>
            <w:r>
              <w:rPr>
                <w:rFonts w:ascii="Arial" w:eastAsia="Times New Roman" w:hAnsi="Arial" w:cs="Arial"/>
                <w:color w:val="000000"/>
                <w:sz w:val="20"/>
                <w:szCs w:val="20"/>
              </w:rPr>
              <w:t> </w:t>
            </w:r>
          </w:p>
        </w:tc>
        <w:tc>
          <w:tcPr>
            <w:tcW w:w="0" w:type="auto"/>
            <w:gridSpan w:val="3"/>
            <w:shd w:val="clear" w:color="auto" w:fill="FFFFFF"/>
            <w:tcMar>
              <w:top w:w="30" w:type="dxa"/>
              <w:left w:w="20" w:type="dxa"/>
              <w:bottom w:w="30" w:type="dxa"/>
              <w:right w:w="20" w:type="dxa"/>
            </w:tcMar>
            <w:vAlign w:val="bottom"/>
            <w:hideMark/>
          </w:tcPr>
          <w:p w:rsidR="00000000" w:rsidRDefault="001F1FC8">
            <w:pPr>
              <w:rPr>
                <w:rFonts w:eastAsia="Times New Roman"/>
              </w:rPr>
            </w:pPr>
            <w:r>
              <w:rPr>
                <w:rFonts w:ascii="Arial" w:eastAsia="Times New Roman" w:hAnsi="Arial" w:cs="Arial"/>
                <w:b/>
                <w:bCs/>
                <w:color w:val="000000"/>
                <w:sz w:val="20"/>
                <w:szCs w:val="20"/>
              </w:rPr>
              <w:t>/s/ Gaurdie E. Banister</w:t>
            </w:r>
          </w:p>
        </w:tc>
      </w:tr>
      <w:tr w:rsidR="00000000">
        <w:trPr>
          <w:divId w:val="1397901797"/>
          <w:jc w:val="center"/>
        </w:trPr>
        <w:tc>
          <w:tcPr>
            <w:tcW w:w="0" w:type="auto"/>
            <w:gridSpan w:val="3"/>
            <w:tcBorders>
              <w:top w:val="single" w:sz="8" w:space="0" w:color="000000"/>
            </w:tcBorders>
            <w:shd w:val="clear" w:color="auto" w:fill="FFFFFF"/>
            <w:tcMar>
              <w:top w:w="30" w:type="dxa"/>
              <w:left w:w="20" w:type="dxa"/>
              <w:bottom w:w="30" w:type="dxa"/>
              <w:right w:w="20" w:type="dxa"/>
            </w:tcMar>
            <w:hideMark/>
          </w:tcPr>
          <w:p w:rsidR="00000000" w:rsidRDefault="001F1FC8">
            <w:pPr>
              <w:divId w:val="1381053125"/>
              <w:rPr>
                <w:rFonts w:eastAsia="Times New Roman"/>
              </w:rPr>
            </w:pPr>
            <w:r>
              <w:rPr>
                <w:rFonts w:ascii="Arial" w:eastAsia="Times New Roman" w:hAnsi="Arial" w:cs="Arial"/>
                <w:color w:val="000000"/>
                <w:sz w:val="20"/>
                <w:szCs w:val="20"/>
              </w:rPr>
              <w:t>Mayank (Mike) M. Ashar</w:t>
            </w:r>
          </w:p>
          <w:p w:rsidR="00000000" w:rsidRDefault="001F1FC8">
            <w:pPr>
              <w:divId w:val="1266234499"/>
              <w:rPr>
                <w:rFonts w:eastAsia="Times New Roman"/>
              </w:rPr>
            </w:pPr>
            <w:r>
              <w:rPr>
                <w:rFonts w:ascii="Arial" w:eastAsia="Times New Roman" w:hAnsi="Arial" w:cs="Arial"/>
                <w:color w:val="000000"/>
                <w:sz w:val="16"/>
                <w:szCs w:val="16"/>
              </w:rPr>
              <w:t>Director</w:t>
            </w:r>
          </w:p>
        </w:tc>
        <w:tc>
          <w:tcPr>
            <w:tcW w:w="0" w:type="auto"/>
            <w:gridSpan w:val="3"/>
            <w:shd w:val="clear" w:color="auto" w:fill="FFFFFF"/>
            <w:tcMar>
              <w:top w:w="0" w:type="dxa"/>
              <w:left w:w="20" w:type="dxa"/>
              <w:bottom w:w="0" w:type="dxa"/>
              <w:right w:w="20" w:type="dxa"/>
            </w:tcMar>
            <w:vAlign w:val="center"/>
            <w:hideMark/>
          </w:tcPr>
          <w:p w:rsidR="00000000" w:rsidRDefault="001F1FC8">
            <w:pP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hideMark/>
          </w:tcPr>
          <w:p w:rsidR="00000000" w:rsidRDefault="001F1FC8">
            <w:pPr>
              <w:divId w:val="517164204"/>
              <w:rPr>
                <w:rFonts w:eastAsia="Times New Roman"/>
              </w:rPr>
            </w:pPr>
            <w:r>
              <w:rPr>
                <w:rFonts w:ascii="Arial" w:eastAsia="Times New Roman" w:hAnsi="Arial" w:cs="Arial"/>
                <w:color w:val="000000"/>
                <w:sz w:val="20"/>
                <w:szCs w:val="20"/>
              </w:rPr>
              <w:t>Gaurdie E. Banister</w:t>
            </w:r>
          </w:p>
          <w:p w:rsidR="00000000" w:rsidRDefault="001F1FC8">
            <w:pPr>
              <w:divId w:val="1979022122"/>
              <w:rPr>
                <w:rFonts w:eastAsia="Times New Roman"/>
              </w:rPr>
            </w:pPr>
            <w:r>
              <w:rPr>
                <w:rFonts w:ascii="Arial" w:eastAsia="Times New Roman" w:hAnsi="Arial" w:cs="Arial"/>
                <w:color w:val="000000"/>
                <w:sz w:val="16"/>
                <w:szCs w:val="16"/>
              </w:rPr>
              <w:t>Director</w:t>
            </w:r>
          </w:p>
        </w:tc>
      </w:tr>
      <w:tr w:rsidR="00000000">
        <w:trPr>
          <w:divId w:val="1397901797"/>
          <w:trHeight w:val="60"/>
          <w:jc w:val="center"/>
        </w:trPr>
        <w:tc>
          <w:tcPr>
            <w:tcW w:w="0" w:type="auto"/>
            <w:gridSpan w:val="3"/>
            <w:shd w:val="clear" w:color="auto" w:fill="FFFFFF"/>
            <w:tcMar>
              <w:top w:w="0" w:type="dxa"/>
              <w:left w:w="20" w:type="dxa"/>
              <w:bottom w:w="0" w:type="dxa"/>
              <w:right w:w="20" w:type="dxa"/>
            </w:tcMar>
            <w:vAlign w:val="center"/>
            <w:hideMark/>
          </w:tcPr>
          <w:p w:rsidR="00000000" w:rsidRDefault="001F1FC8">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F1FC8">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1F1FC8">
            <w:pPr>
              <w:rPr>
                <w:rFonts w:eastAsia="Times New Roman"/>
                <w:sz w:val="20"/>
                <w:szCs w:val="20"/>
              </w:rPr>
            </w:pPr>
          </w:p>
        </w:tc>
      </w:tr>
      <w:tr w:rsidR="00000000">
        <w:trPr>
          <w:divId w:val="1397901797"/>
          <w:jc w:val="center"/>
        </w:trPr>
        <w:tc>
          <w:tcPr>
            <w:tcW w:w="0" w:type="auto"/>
            <w:gridSpan w:val="3"/>
            <w:shd w:val="clear" w:color="auto" w:fill="FFFFFF"/>
            <w:tcMar>
              <w:top w:w="30" w:type="dxa"/>
              <w:left w:w="20" w:type="dxa"/>
              <w:bottom w:w="30" w:type="dxa"/>
              <w:right w:w="20" w:type="dxa"/>
            </w:tcMar>
            <w:vAlign w:val="bottom"/>
            <w:hideMark/>
          </w:tcPr>
          <w:p w:rsidR="00000000" w:rsidRDefault="001F1FC8">
            <w:pPr>
              <w:rPr>
                <w:rFonts w:eastAsia="Times New Roman"/>
              </w:rPr>
            </w:pPr>
            <w:r>
              <w:rPr>
                <w:rFonts w:ascii="Arial" w:eastAsia="Times New Roman" w:hAnsi="Arial" w:cs="Arial"/>
                <w:b/>
                <w:bCs/>
                <w:color w:val="000000"/>
                <w:sz w:val="20"/>
                <w:szCs w:val="20"/>
              </w:rPr>
              <w:t>/s/ Pamela L. Carter</w:t>
            </w:r>
          </w:p>
        </w:tc>
        <w:tc>
          <w:tcPr>
            <w:tcW w:w="0" w:type="auto"/>
            <w:gridSpan w:val="3"/>
            <w:shd w:val="clear" w:color="auto" w:fill="FFFFFF"/>
            <w:tcMar>
              <w:top w:w="30" w:type="dxa"/>
              <w:left w:w="20" w:type="dxa"/>
              <w:bottom w:w="30" w:type="dxa"/>
              <w:right w:w="20" w:type="dxa"/>
            </w:tcMar>
            <w:vAlign w:val="bottom"/>
            <w:hideMark/>
          </w:tcPr>
          <w:p w:rsidR="00000000" w:rsidRDefault="001F1FC8">
            <w:pPr>
              <w:rPr>
                <w:rFonts w:eastAsia="Times New Roman"/>
              </w:rPr>
            </w:pPr>
            <w:r>
              <w:rPr>
                <w:rFonts w:ascii="Arial" w:eastAsia="Times New Roman" w:hAnsi="Arial" w:cs="Arial"/>
                <w:color w:val="000000"/>
                <w:sz w:val="20"/>
                <w:szCs w:val="20"/>
              </w:rPr>
              <w:t> </w:t>
            </w:r>
          </w:p>
        </w:tc>
        <w:tc>
          <w:tcPr>
            <w:tcW w:w="0" w:type="auto"/>
            <w:gridSpan w:val="3"/>
            <w:shd w:val="clear" w:color="auto" w:fill="FFFFFF"/>
            <w:tcMar>
              <w:top w:w="30" w:type="dxa"/>
              <w:left w:w="20" w:type="dxa"/>
              <w:bottom w:w="30" w:type="dxa"/>
              <w:right w:w="20" w:type="dxa"/>
            </w:tcMar>
            <w:vAlign w:val="bottom"/>
            <w:hideMark/>
          </w:tcPr>
          <w:p w:rsidR="00000000" w:rsidRDefault="001F1FC8">
            <w:pPr>
              <w:rPr>
                <w:rFonts w:eastAsia="Times New Roman"/>
              </w:rPr>
            </w:pPr>
            <w:r>
              <w:rPr>
                <w:rFonts w:ascii="Arial" w:eastAsia="Times New Roman" w:hAnsi="Arial" w:cs="Arial"/>
                <w:b/>
                <w:bCs/>
                <w:color w:val="000000"/>
                <w:sz w:val="20"/>
                <w:szCs w:val="20"/>
              </w:rPr>
              <w:t>/s/ Susan M. Cunningham</w:t>
            </w:r>
          </w:p>
        </w:tc>
      </w:tr>
      <w:tr w:rsidR="00000000">
        <w:trPr>
          <w:divId w:val="1397901797"/>
          <w:jc w:val="center"/>
        </w:trPr>
        <w:tc>
          <w:tcPr>
            <w:tcW w:w="0" w:type="auto"/>
            <w:gridSpan w:val="3"/>
            <w:tcBorders>
              <w:top w:val="single" w:sz="8" w:space="0" w:color="000000"/>
            </w:tcBorders>
            <w:shd w:val="clear" w:color="auto" w:fill="FFFFFF"/>
            <w:tcMar>
              <w:top w:w="30" w:type="dxa"/>
              <w:left w:w="20" w:type="dxa"/>
              <w:bottom w:w="30" w:type="dxa"/>
              <w:right w:w="20" w:type="dxa"/>
            </w:tcMar>
            <w:hideMark/>
          </w:tcPr>
          <w:p w:rsidR="00000000" w:rsidRDefault="001F1FC8">
            <w:pPr>
              <w:divId w:val="752775208"/>
              <w:rPr>
                <w:rFonts w:eastAsia="Times New Roman"/>
              </w:rPr>
            </w:pPr>
            <w:r>
              <w:rPr>
                <w:rFonts w:ascii="Arial" w:eastAsia="Times New Roman" w:hAnsi="Arial" w:cs="Arial"/>
                <w:color w:val="000000"/>
                <w:sz w:val="20"/>
                <w:szCs w:val="20"/>
              </w:rPr>
              <w:t>Pamela L. Carter</w:t>
            </w:r>
          </w:p>
          <w:p w:rsidR="00000000" w:rsidRDefault="001F1FC8">
            <w:pPr>
              <w:divId w:val="1372874774"/>
              <w:rPr>
                <w:rFonts w:eastAsia="Times New Roman"/>
              </w:rPr>
            </w:pPr>
            <w:r>
              <w:rPr>
                <w:rFonts w:ascii="Arial" w:eastAsia="Times New Roman" w:hAnsi="Arial" w:cs="Arial"/>
                <w:color w:val="000000"/>
                <w:sz w:val="16"/>
                <w:szCs w:val="16"/>
              </w:rPr>
              <w:t>Director</w:t>
            </w:r>
          </w:p>
        </w:tc>
        <w:tc>
          <w:tcPr>
            <w:tcW w:w="0" w:type="auto"/>
            <w:gridSpan w:val="3"/>
            <w:shd w:val="clear" w:color="auto" w:fill="FFFFFF"/>
            <w:tcMar>
              <w:top w:w="0" w:type="dxa"/>
              <w:left w:w="20" w:type="dxa"/>
              <w:bottom w:w="0" w:type="dxa"/>
              <w:right w:w="20" w:type="dxa"/>
            </w:tcMar>
            <w:vAlign w:val="center"/>
            <w:hideMark/>
          </w:tcPr>
          <w:p w:rsidR="00000000" w:rsidRDefault="001F1FC8">
            <w:pP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hideMark/>
          </w:tcPr>
          <w:p w:rsidR="00000000" w:rsidRDefault="001F1FC8">
            <w:pPr>
              <w:divId w:val="754938846"/>
              <w:rPr>
                <w:rFonts w:eastAsia="Times New Roman"/>
              </w:rPr>
            </w:pPr>
            <w:r>
              <w:rPr>
                <w:rFonts w:ascii="Arial" w:eastAsia="Times New Roman" w:hAnsi="Arial" w:cs="Arial"/>
                <w:color w:val="000000"/>
                <w:sz w:val="20"/>
                <w:szCs w:val="20"/>
              </w:rPr>
              <w:t>Susan M. Cunningham</w:t>
            </w:r>
          </w:p>
          <w:p w:rsidR="00000000" w:rsidRDefault="001F1FC8">
            <w:pPr>
              <w:divId w:val="611742815"/>
              <w:rPr>
                <w:rFonts w:eastAsia="Times New Roman"/>
              </w:rPr>
            </w:pPr>
            <w:r>
              <w:rPr>
                <w:rFonts w:ascii="Arial" w:eastAsia="Times New Roman" w:hAnsi="Arial" w:cs="Arial"/>
                <w:color w:val="000000"/>
                <w:sz w:val="16"/>
                <w:szCs w:val="16"/>
              </w:rPr>
              <w:t>Director</w:t>
            </w:r>
          </w:p>
        </w:tc>
      </w:tr>
      <w:tr w:rsidR="00000000">
        <w:trPr>
          <w:divId w:val="1397901797"/>
          <w:trHeight w:val="60"/>
          <w:jc w:val="center"/>
        </w:trPr>
        <w:tc>
          <w:tcPr>
            <w:tcW w:w="0" w:type="auto"/>
            <w:gridSpan w:val="3"/>
            <w:shd w:val="clear" w:color="auto" w:fill="FFFFFF"/>
            <w:tcMar>
              <w:top w:w="0" w:type="dxa"/>
              <w:left w:w="20" w:type="dxa"/>
              <w:bottom w:w="0" w:type="dxa"/>
              <w:right w:w="20" w:type="dxa"/>
            </w:tcMar>
            <w:vAlign w:val="center"/>
            <w:hideMark/>
          </w:tcPr>
          <w:p w:rsidR="00000000" w:rsidRDefault="001F1FC8">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F1FC8">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1F1FC8">
            <w:pPr>
              <w:rPr>
                <w:rFonts w:eastAsia="Times New Roman"/>
                <w:sz w:val="20"/>
                <w:szCs w:val="20"/>
              </w:rPr>
            </w:pPr>
          </w:p>
        </w:tc>
      </w:tr>
      <w:tr w:rsidR="00000000">
        <w:trPr>
          <w:divId w:val="1397901797"/>
          <w:jc w:val="center"/>
        </w:trPr>
        <w:tc>
          <w:tcPr>
            <w:tcW w:w="0" w:type="auto"/>
            <w:gridSpan w:val="3"/>
            <w:shd w:val="clear" w:color="auto" w:fill="FFFFFF"/>
            <w:tcMar>
              <w:top w:w="30" w:type="dxa"/>
              <w:left w:w="20" w:type="dxa"/>
              <w:bottom w:w="30" w:type="dxa"/>
              <w:right w:w="20" w:type="dxa"/>
            </w:tcMar>
            <w:vAlign w:val="bottom"/>
            <w:hideMark/>
          </w:tcPr>
          <w:p w:rsidR="00000000" w:rsidRDefault="001F1FC8">
            <w:pPr>
              <w:rPr>
                <w:rFonts w:eastAsia="Times New Roman"/>
              </w:rPr>
            </w:pPr>
            <w:r>
              <w:rPr>
                <w:rFonts w:ascii="Arial" w:eastAsia="Times New Roman" w:hAnsi="Arial" w:cs="Arial"/>
                <w:b/>
                <w:bCs/>
                <w:color w:val="000000"/>
                <w:sz w:val="20"/>
                <w:szCs w:val="20"/>
              </w:rPr>
              <w:t>/s/ J. Herb England</w:t>
            </w:r>
          </w:p>
        </w:tc>
        <w:tc>
          <w:tcPr>
            <w:tcW w:w="0" w:type="auto"/>
            <w:gridSpan w:val="3"/>
            <w:shd w:val="clear" w:color="auto" w:fill="FFFFFF"/>
            <w:tcMar>
              <w:top w:w="30" w:type="dxa"/>
              <w:left w:w="20" w:type="dxa"/>
              <w:bottom w:w="30" w:type="dxa"/>
              <w:right w:w="20" w:type="dxa"/>
            </w:tcMar>
            <w:vAlign w:val="bottom"/>
            <w:hideMark/>
          </w:tcPr>
          <w:p w:rsidR="00000000" w:rsidRDefault="001F1FC8">
            <w:pPr>
              <w:rPr>
                <w:rFonts w:eastAsia="Times New Roman"/>
              </w:rPr>
            </w:pPr>
            <w:r>
              <w:rPr>
                <w:rFonts w:ascii="Arial" w:eastAsia="Times New Roman" w:hAnsi="Arial" w:cs="Arial"/>
                <w:color w:val="000000"/>
                <w:sz w:val="20"/>
                <w:szCs w:val="20"/>
              </w:rPr>
              <w:t> </w:t>
            </w:r>
          </w:p>
        </w:tc>
        <w:tc>
          <w:tcPr>
            <w:tcW w:w="0" w:type="auto"/>
            <w:gridSpan w:val="3"/>
            <w:shd w:val="clear" w:color="auto" w:fill="FFFFFF"/>
            <w:tcMar>
              <w:top w:w="30" w:type="dxa"/>
              <w:left w:w="20" w:type="dxa"/>
              <w:bottom w:w="30" w:type="dxa"/>
              <w:right w:w="20" w:type="dxa"/>
            </w:tcMar>
            <w:vAlign w:val="bottom"/>
            <w:hideMark/>
          </w:tcPr>
          <w:p w:rsidR="00000000" w:rsidRDefault="001F1FC8">
            <w:pPr>
              <w:rPr>
                <w:rFonts w:eastAsia="Times New Roman"/>
              </w:rPr>
            </w:pPr>
            <w:r>
              <w:rPr>
                <w:rFonts w:ascii="Arial" w:eastAsia="Times New Roman" w:hAnsi="Arial" w:cs="Arial"/>
                <w:b/>
                <w:bCs/>
                <w:color w:val="000000"/>
                <w:sz w:val="20"/>
                <w:szCs w:val="20"/>
              </w:rPr>
              <w:t>/s/ Teresa S. Madden</w:t>
            </w:r>
          </w:p>
        </w:tc>
      </w:tr>
      <w:tr w:rsidR="00000000">
        <w:trPr>
          <w:divId w:val="1397901797"/>
          <w:jc w:val="center"/>
        </w:trPr>
        <w:tc>
          <w:tcPr>
            <w:tcW w:w="0" w:type="auto"/>
            <w:gridSpan w:val="3"/>
            <w:tcBorders>
              <w:top w:val="single" w:sz="8" w:space="0" w:color="000000"/>
            </w:tcBorders>
            <w:shd w:val="clear" w:color="auto" w:fill="FFFFFF"/>
            <w:tcMar>
              <w:top w:w="30" w:type="dxa"/>
              <w:left w:w="20" w:type="dxa"/>
              <w:bottom w:w="30" w:type="dxa"/>
              <w:right w:w="20" w:type="dxa"/>
            </w:tcMar>
            <w:hideMark/>
          </w:tcPr>
          <w:p w:rsidR="00000000" w:rsidRDefault="001F1FC8">
            <w:pPr>
              <w:divId w:val="2055613799"/>
              <w:rPr>
                <w:rFonts w:eastAsia="Times New Roman"/>
              </w:rPr>
            </w:pPr>
            <w:r>
              <w:rPr>
                <w:rFonts w:ascii="Arial" w:eastAsia="Times New Roman" w:hAnsi="Arial" w:cs="Arial"/>
                <w:color w:val="000000"/>
                <w:sz w:val="20"/>
                <w:szCs w:val="20"/>
              </w:rPr>
              <w:t>J. Herb England</w:t>
            </w:r>
          </w:p>
          <w:p w:rsidR="00000000" w:rsidRDefault="001F1FC8">
            <w:pPr>
              <w:divId w:val="1596937810"/>
              <w:rPr>
                <w:rFonts w:eastAsia="Times New Roman"/>
              </w:rPr>
            </w:pPr>
            <w:r>
              <w:rPr>
                <w:rFonts w:ascii="Arial" w:eastAsia="Times New Roman" w:hAnsi="Arial" w:cs="Arial"/>
                <w:color w:val="000000"/>
                <w:sz w:val="16"/>
                <w:szCs w:val="16"/>
              </w:rPr>
              <w:t>Director</w:t>
            </w:r>
          </w:p>
        </w:tc>
        <w:tc>
          <w:tcPr>
            <w:tcW w:w="0" w:type="auto"/>
            <w:gridSpan w:val="3"/>
            <w:shd w:val="clear" w:color="auto" w:fill="FFFFFF"/>
            <w:tcMar>
              <w:top w:w="0" w:type="dxa"/>
              <w:left w:w="20" w:type="dxa"/>
              <w:bottom w:w="0" w:type="dxa"/>
              <w:right w:w="20" w:type="dxa"/>
            </w:tcMar>
            <w:vAlign w:val="center"/>
            <w:hideMark/>
          </w:tcPr>
          <w:p w:rsidR="00000000" w:rsidRDefault="001F1FC8">
            <w:pP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hideMark/>
          </w:tcPr>
          <w:p w:rsidR="00000000" w:rsidRDefault="001F1FC8">
            <w:pPr>
              <w:divId w:val="903878712"/>
              <w:rPr>
                <w:rFonts w:eastAsia="Times New Roman"/>
              </w:rPr>
            </w:pPr>
            <w:r>
              <w:rPr>
                <w:rFonts w:ascii="Arial" w:eastAsia="Times New Roman" w:hAnsi="Arial" w:cs="Arial"/>
                <w:color w:val="000000"/>
                <w:sz w:val="20"/>
                <w:szCs w:val="20"/>
              </w:rPr>
              <w:t>Teresa S. Madden</w:t>
            </w:r>
          </w:p>
          <w:p w:rsidR="00000000" w:rsidRDefault="001F1FC8">
            <w:pPr>
              <w:divId w:val="1033845619"/>
              <w:rPr>
                <w:rFonts w:eastAsia="Times New Roman"/>
              </w:rPr>
            </w:pPr>
            <w:r>
              <w:rPr>
                <w:rFonts w:ascii="Arial" w:eastAsia="Times New Roman" w:hAnsi="Arial" w:cs="Arial"/>
                <w:color w:val="000000"/>
                <w:sz w:val="16"/>
                <w:szCs w:val="16"/>
              </w:rPr>
              <w:t>Director</w:t>
            </w:r>
          </w:p>
        </w:tc>
      </w:tr>
      <w:tr w:rsidR="00000000">
        <w:trPr>
          <w:divId w:val="1397901797"/>
          <w:trHeight w:val="60"/>
          <w:jc w:val="center"/>
        </w:trPr>
        <w:tc>
          <w:tcPr>
            <w:tcW w:w="0" w:type="auto"/>
            <w:gridSpan w:val="3"/>
            <w:shd w:val="clear" w:color="auto" w:fill="FFFFFF"/>
            <w:tcMar>
              <w:top w:w="0" w:type="dxa"/>
              <w:left w:w="20" w:type="dxa"/>
              <w:bottom w:w="0" w:type="dxa"/>
              <w:right w:w="20" w:type="dxa"/>
            </w:tcMar>
            <w:vAlign w:val="center"/>
            <w:hideMark/>
          </w:tcPr>
          <w:p w:rsidR="00000000" w:rsidRDefault="001F1FC8">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F1FC8">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1F1FC8">
            <w:pPr>
              <w:rPr>
                <w:rFonts w:eastAsia="Times New Roman"/>
                <w:sz w:val="20"/>
                <w:szCs w:val="20"/>
              </w:rPr>
            </w:pPr>
          </w:p>
        </w:tc>
      </w:tr>
      <w:tr w:rsidR="00000000">
        <w:trPr>
          <w:divId w:val="1397901797"/>
          <w:jc w:val="center"/>
        </w:trPr>
        <w:tc>
          <w:tcPr>
            <w:tcW w:w="0" w:type="auto"/>
            <w:gridSpan w:val="3"/>
            <w:shd w:val="clear" w:color="auto" w:fill="FFFFFF"/>
            <w:tcMar>
              <w:top w:w="30" w:type="dxa"/>
              <w:left w:w="20" w:type="dxa"/>
              <w:bottom w:w="30" w:type="dxa"/>
              <w:right w:w="20" w:type="dxa"/>
            </w:tcMar>
            <w:vAlign w:val="bottom"/>
            <w:hideMark/>
          </w:tcPr>
          <w:p w:rsidR="00000000" w:rsidRDefault="001F1FC8">
            <w:pPr>
              <w:rPr>
                <w:rFonts w:eastAsia="Times New Roman"/>
              </w:rPr>
            </w:pPr>
            <w:r>
              <w:rPr>
                <w:rFonts w:ascii="Arial" w:eastAsia="Times New Roman" w:hAnsi="Arial" w:cs="Arial"/>
                <w:b/>
                <w:bCs/>
                <w:color w:val="000000"/>
                <w:sz w:val="20"/>
                <w:szCs w:val="20"/>
              </w:rPr>
              <w:t>/s/ Stephen S. Poloz</w:t>
            </w:r>
          </w:p>
        </w:tc>
        <w:tc>
          <w:tcPr>
            <w:tcW w:w="0" w:type="auto"/>
            <w:gridSpan w:val="3"/>
            <w:shd w:val="clear" w:color="auto" w:fill="FFFFFF"/>
            <w:tcMar>
              <w:top w:w="30" w:type="dxa"/>
              <w:left w:w="20" w:type="dxa"/>
              <w:bottom w:w="30" w:type="dxa"/>
              <w:right w:w="20" w:type="dxa"/>
            </w:tcMar>
            <w:vAlign w:val="bottom"/>
            <w:hideMark/>
          </w:tcPr>
          <w:p w:rsidR="00000000" w:rsidRDefault="001F1FC8">
            <w:pPr>
              <w:rPr>
                <w:rFonts w:eastAsia="Times New Roman"/>
              </w:rPr>
            </w:pPr>
            <w:r>
              <w:rPr>
                <w:rFonts w:ascii="Arial" w:eastAsia="Times New Roman" w:hAnsi="Arial" w:cs="Arial"/>
                <w:color w:val="000000"/>
                <w:sz w:val="20"/>
                <w:szCs w:val="20"/>
              </w:rPr>
              <w:t> </w:t>
            </w:r>
          </w:p>
        </w:tc>
        <w:tc>
          <w:tcPr>
            <w:tcW w:w="0" w:type="auto"/>
            <w:gridSpan w:val="3"/>
            <w:shd w:val="clear" w:color="auto" w:fill="FFFFFF"/>
            <w:tcMar>
              <w:top w:w="30" w:type="dxa"/>
              <w:left w:w="20" w:type="dxa"/>
              <w:bottom w:w="30" w:type="dxa"/>
              <w:right w:w="20" w:type="dxa"/>
            </w:tcMar>
            <w:vAlign w:val="bottom"/>
            <w:hideMark/>
          </w:tcPr>
          <w:p w:rsidR="00000000" w:rsidRDefault="001F1FC8">
            <w:pPr>
              <w:rPr>
                <w:rFonts w:eastAsia="Times New Roman"/>
              </w:rPr>
            </w:pPr>
            <w:r>
              <w:rPr>
                <w:rFonts w:ascii="Arial" w:eastAsia="Times New Roman" w:hAnsi="Arial" w:cs="Arial"/>
                <w:b/>
                <w:bCs/>
                <w:color w:val="000000"/>
                <w:sz w:val="20"/>
                <w:szCs w:val="20"/>
              </w:rPr>
              <w:t>/s/ S. Jane Rowe</w:t>
            </w:r>
          </w:p>
        </w:tc>
      </w:tr>
      <w:tr w:rsidR="00000000">
        <w:trPr>
          <w:divId w:val="1397901797"/>
          <w:jc w:val="center"/>
        </w:trPr>
        <w:tc>
          <w:tcPr>
            <w:tcW w:w="0" w:type="auto"/>
            <w:gridSpan w:val="3"/>
            <w:tcBorders>
              <w:top w:val="single" w:sz="8" w:space="0" w:color="000000"/>
            </w:tcBorders>
            <w:shd w:val="clear" w:color="auto" w:fill="FFFFFF"/>
            <w:tcMar>
              <w:top w:w="30" w:type="dxa"/>
              <w:left w:w="20" w:type="dxa"/>
              <w:bottom w:w="30" w:type="dxa"/>
              <w:right w:w="20" w:type="dxa"/>
            </w:tcMar>
            <w:hideMark/>
          </w:tcPr>
          <w:p w:rsidR="00000000" w:rsidRDefault="001F1FC8">
            <w:pPr>
              <w:divId w:val="1025406892"/>
              <w:rPr>
                <w:rFonts w:eastAsia="Times New Roman"/>
              </w:rPr>
            </w:pPr>
            <w:r>
              <w:rPr>
                <w:rFonts w:ascii="Arial" w:eastAsia="Times New Roman" w:hAnsi="Arial" w:cs="Arial"/>
                <w:color w:val="000000"/>
                <w:sz w:val="20"/>
                <w:szCs w:val="20"/>
              </w:rPr>
              <w:t>Stephen S. Poloz</w:t>
            </w:r>
          </w:p>
          <w:p w:rsidR="00000000" w:rsidRDefault="001F1FC8">
            <w:pPr>
              <w:divId w:val="453250794"/>
              <w:rPr>
                <w:rFonts w:eastAsia="Times New Roman"/>
              </w:rPr>
            </w:pPr>
            <w:r>
              <w:rPr>
                <w:rFonts w:ascii="Arial" w:eastAsia="Times New Roman" w:hAnsi="Arial" w:cs="Arial"/>
                <w:color w:val="000000"/>
                <w:sz w:val="16"/>
                <w:szCs w:val="16"/>
              </w:rPr>
              <w:t>Director</w:t>
            </w:r>
          </w:p>
        </w:tc>
        <w:tc>
          <w:tcPr>
            <w:tcW w:w="0" w:type="auto"/>
            <w:gridSpan w:val="3"/>
            <w:shd w:val="clear" w:color="auto" w:fill="FFFFFF"/>
            <w:tcMar>
              <w:top w:w="0" w:type="dxa"/>
              <w:left w:w="20" w:type="dxa"/>
              <w:bottom w:w="0" w:type="dxa"/>
              <w:right w:w="20" w:type="dxa"/>
            </w:tcMar>
            <w:vAlign w:val="center"/>
            <w:hideMark/>
          </w:tcPr>
          <w:p w:rsidR="00000000" w:rsidRDefault="001F1FC8">
            <w:pP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hideMark/>
          </w:tcPr>
          <w:p w:rsidR="00000000" w:rsidRDefault="001F1FC8">
            <w:pPr>
              <w:divId w:val="1115947476"/>
              <w:rPr>
                <w:rFonts w:eastAsia="Times New Roman"/>
              </w:rPr>
            </w:pPr>
            <w:r>
              <w:rPr>
                <w:rFonts w:ascii="Arial" w:eastAsia="Times New Roman" w:hAnsi="Arial" w:cs="Arial"/>
                <w:color w:val="000000"/>
                <w:sz w:val="20"/>
                <w:szCs w:val="20"/>
              </w:rPr>
              <w:t>S. Jane Rowe</w:t>
            </w:r>
          </w:p>
          <w:p w:rsidR="00000000" w:rsidRDefault="001F1FC8">
            <w:pPr>
              <w:divId w:val="792600568"/>
              <w:rPr>
                <w:rFonts w:eastAsia="Times New Roman"/>
              </w:rPr>
            </w:pPr>
            <w:r>
              <w:rPr>
                <w:rFonts w:ascii="Arial" w:eastAsia="Times New Roman" w:hAnsi="Arial" w:cs="Arial"/>
                <w:color w:val="000000"/>
                <w:sz w:val="16"/>
                <w:szCs w:val="16"/>
              </w:rPr>
              <w:t>Director</w:t>
            </w:r>
          </w:p>
        </w:tc>
      </w:tr>
      <w:tr w:rsidR="00000000">
        <w:trPr>
          <w:divId w:val="1397901797"/>
          <w:trHeight w:val="60"/>
          <w:jc w:val="center"/>
        </w:trPr>
        <w:tc>
          <w:tcPr>
            <w:tcW w:w="0" w:type="auto"/>
            <w:gridSpan w:val="3"/>
            <w:shd w:val="clear" w:color="auto" w:fill="FFFFFF"/>
            <w:tcMar>
              <w:top w:w="0" w:type="dxa"/>
              <w:left w:w="20" w:type="dxa"/>
              <w:bottom w:w="0" w:type="dxa"/>
              <w:right w:w="20" w:type="dxa"/>
            </w:tcMar>
            <w:vAlign w:val="center"/>
            <w:hideMark/>
          </w:tcPr>
          <w:p w:rsidR="00000000" w:rsidRDefault="001F1FC8">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F1FC8">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1F1FC8">
            <w:pPr>
              <w:rPr>
                <w:rFonts w:eastAsia="Times New Roman"/>
                <w:sz w:val="20"/>
                <w:szCs w:val="20"/>
              </w:rPr>
            </w:pPr>
          </w:p>
        </w:tc>
      </w:tr>
      <w:tr w:rsidR="00000000">
        <w:trPr>
          <w:divId w:val="1397901797"/>
          <w:jc w:val="center"/>
        </w:trPr>
        <w:tc>
          <w:tcPr>
            <w:tcW w:w="0" w:type="auto"/>
            <w:gridSpan w:val="3"/>
            <w:shd w:val="clear" w:color="auto" w:fill="FFFFFF"/>
            <w:tcMar>
              <w:top w:w="30" w:type="dxa"/>
              <w:left w:w="20" w:type="dxa"/>
              <w:bottom w:w="30" w:type="dxa"/>
              <w:right w:w="20" w:type="dxa"/>
            </w:tcMar>
            <w:vAlign w:val="bottom"/>
            <w:hideMark/>
          </w:tcPr>
          <w:p w:rsidR="00000000" w:rsidRDefault="001F1FC8">
            <w:pPr>
              <w:rPr>
                <w:rFonts w:eastAsia="Times New Roman"/>
              </w:rPr>
            </w:pPr>
            <w:r>
              <w:rPr>
                <w:rFonts w:ascii="Arial" w:eastAsia="Times New Roman" w:hAnsi="Arial" w:cs="Arial"/>
                <w:b/>
                <w:bCs/>
                <w:color w:val="000000"/>
                <w:sz w:val="20"/>
                <w:szCs w:val="20"/>
              </w:rPr>
              <w:t>/s/ Dan C. Tutcher</w:t>
            </w:r>
          </w:p>
        </w:tc>
        <w:tc>
          <w:tcPr>
            <w:tcW w:w="0" w:type="auto"/>
            <w:gridSpan w:val="3"/>
            <w:shd w:val="clear" w:color="auto" w:fill="FFFFFF"/>
            <w:tcMar>
              <w:top w:w="0" w:type="dxa"/>
              <w:left w:w="20" w:type="dxa"/>
              <w:bottom w:w="0" w:type="dxa"/>
              <w:right w:w="20" w:type="dxa"/>
            </w:tcMar>
            <w:vAlign w:val="center"/>
            <w:hideMark/>
          </w:tcPr>
          <w:p w:rsidR="00000000" w:rsidRDefault="001F1FC8">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F1FC8">
            <w:pPr>
              <w:rPr>
                <w:rFonts w:eastAsia="Times New Roman"/>
                <w:sz w:val="20"/>
                <w:szCs w:val="20"/>
              </w:rPr>
            </w:pPr>
          </w:p>
        </w:tc>
      </w:tr>
      <w:tr w:rsidR="00000000">
        <w:trPr>
          <w:divId w:val="1397901797"/>
          <w:jc w:val="center"/>
        </w:trPr>
        <w:tc>
          <w:tcPr>
            <w:tcW w:w="0" w:type="auto"/>
            <w:gridSpan w:val="3"/>
            <w:tcBorders>
              <w:top w:val="single" w:sz="8" w:space="0" w:color="000000"/>
            </w:tcBorders>
            <w:shd w:val="clear" w:color="auto" w:fill="FFFFFF"/>
            <w:tcMar>
              <w:top w:w="30" w:type="dxa"/>
              <w:left w:w="20" w:type="dxa"/>
              <w:bottom w:w="30" w:type="dxa"/>
              <w:right w:w="20" w:type="dxa"/>
            </w:tcMar>
            <w:hideMark/>
          </w:tcPr>
          <w:p w:rsidR="00000000" w:rsidRDefault="001F1FC8">
            <w:pPr>
              <w:divId w:val="1970624900"/>
              <w:rPr>
                <w:rFonts w:eastAsia="Times New Roman"/>
              </w:rPr>
            </w:pPr>
            <w:r>
              <w:rPr>
                <w:rFonts w:ascii="Arial" w:eastAsia="Times New Roman" w:hAnsi="Arial" w:cs="Arial"/>
                <w:color w:val="000000"/>
                <w:sz w:val="20"/>
                <w:szCs w:val="20"/>
              </w:rPr>
              <w:t>Dan C. Tutcher</w:t>
            </w:r>
          </w:p>
          <w:p w:rsidR="00000000" w:rsidRDefault="001F1FC8">
            <w:pPr>
              <w:divId w:val="1030760332"/>
              <w:rPr>
                <w:rFonts w:eastAsia="Times New Roman"/>
              </w:rPr>
            </w:pPr>
            <w:r>
              <w:rPr>
                <w:rFonts w:ascii="Arial" w:eastAsia="Times New Roman" w:hAnsi="Arial" w:cs="Arial"/>
                <w:color w:val="000000"/>
                <w:sz w:val="16"/>
                <w:szCs w:val="16"/>
              </w:rPr>
              <w:t>Director</w:t>
            </w:r>
          </w:p>
        </w:tc>
        <w:tc>
          <w:tcPr>
            <w:tcW w:w="0" w:type="auto"/>
            <w:gridSpan w:val="3"/>
            <w:shd w:val="clear" w:color="auto" w:fill="FFFFFF"/>
            <w:tcMar>
              <w:top w:w="0" w:type="dxa"/>
              <w:left w:w="20" w:type="dxa"/>
              <w:bottom w:w="0" w:type="dxa"/>
              <w:right w:w="20" w:type="dxa"/>
            </w:tcMar>
            <w:vAlign w:val="center"/>
            <w:hideMark/>
          </w:tcPr>
          <w:p w:rsidR="00000000" w:rsidRDefault="001F1FC8">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F1FC8">
            <w:pPr>
              <w:rPr>
                <w:rFonts w:eastAsia="Times New Roman"/>
                <w:sz w:val="20"/>
                <w:szCs w:val="20"/>
              </w:rPr>
            </w:pPr>
          </w:p>
        </w:tc>
      </w:tr>
    </w:tbl>
    <w:p w:rsidR="00000000" w:rsidRDefault="001F1FC8">
      <w:pPr>
        <w:divId w:val="1911228298"/>
        <w:rPr>
          <w:rFonts w:eastAsia="Times New Roman"/>
        </w:rPr>
      </w:pPr>
    </w:p>
    <w:p w:rsidR="001F1FC8" w:rsidRDefault="001F1FC8">
      <w:pPr>
        <w:jc w:val="center"/>
        <w:divId w:val="1387101048"/>
        <w:rPr>
          <w:rFonts w:eastAsia="Times New Roman"/>
        </w:rPr>
      </w:pPr>
      <w:r>
        <w:rPr>
          <w:rFonts w:ascii="Arial" w:eastAsia="Times New Roman" w:hAnsi="Arial" w:cs="Arial"/>
          <w:color w:val="000000"/>
          <w:sz w:val="20"/>
          <w:szCs w:val="20"/>
        </w:rPr>
        <w:t>190</w:t>
      </w:r>
    </w:p>
    <w:sectPr w:rsidR="001F1FC8">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1F1FC8"/>
    <w:rsid w:val="001F1FC8"/>
  </w:rsids>
  <m:mathPr>
    <m:mathFont m:val="Cambria Math"/>
    <m:brkBin m:val="before"/>
    <m:brkBinSub m:val="--"/>
    <m:smallFrac m:val="0"/>
    <m:dispDef/>
    <m:lMargin m:val="0"/>
    <m:rMargin m:val="0"/>
    <m:defJc m:val="centerGroup"/>
    <m:wrapIndent m:val="1440"/>
    <m:intLim m:val="subSup"/>
    <m:naryLim m:val="undOvr"/>
  </m:mathPr>
  <w:attachedSchema w:val="http://www.sec.gov/inlineXBRL/transformation/2015-08-31"/>
  <w:attachedSchema w:val="http://fasb.org/srt/2021-01-31"/>
  <w:attachedSchema w:val="http://fasb.org/us-gaap/2021-01-31"/>
  <w:attachedSchema w:val="http://www.xbrl.org/2003/iso4217"/>
  <w:attachedSchema w:val="http://www.w3.org/1999/xlink"/>
  <w:attachedSchema w:val="http://xbrl.sec.gov/dei/2021q4"/>
  <w:attachedSchema w:val="http://www.xbrl.org/inlineXBRL/transformation/2020-02-12"/>
  <w:attachedSchema w:val="http://www.enbridge.com/20211231"/>
  <w:attachedSchema w:val="http://xbrl.sec.gov/country/2021"/>
  <w:attachedSchema w:val="http://www.xbrl.org/2009/utr"/>
  <w:attachedSchema w:val="http://www.xbrl.org/2003/linkbase"/>
  <w:attachedSchema w:val="http://www.xbrl.org/2013/inlineXBRL"/>
  <w:attachedSchema w:val="http://xbrl.org/2006/xbrldi"/>
  <w:attachedSchema w:val="http://www.xbrl.org/2003/instance"/>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2E3833A-4AF8-42B1-9172-2C7602F7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character" w:styleId="a3">
    <w:name w:val="Hyperlink"/>
    <w:basedOn w:val="a0"/>
    <w:uiPriority w:val="99"/>
    <w:semiHidden/>
    <w:unhideWhenUsed/>
    <w:rPr>
      <w:color w:val="0000FF"/>
      <w:u w:val="single"/>
    </w:rPr>
  </w:style>
  <w:style w:type="character" w:styleId="a4">
    <w:name w:val="FollowedHyperlink"/>
    <w:basedOn w:val="a0"/>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065">
      <w:marLeft w:val="0"/>
      <w:marRight w:val="0"/>
      <w:marTop w:val="0"/>
      <w:marBottom w:val="0"/>
      <w:divBdr>
        <w:top w:val="none" w:sz="0" w:space="0" w:color="auto"/>
        <w:left w:val="none" w:sz="0" w:space="0" w:color="auto"/>
        <w:bottom w:val="none" w:sz="0" w:space="0" w:color="auto"/>
        <w:right w:val="none" w:sz="0" w:space="0" w:color="auto"/>
      </w:divBdr>
    </w:div>
    <w:div w:id="667589">
      <w:marLeft w:val="0"/>
      <w:marRight w:val="0"/>
      <w:marTop w:val="0"/>
      <w:marBottom w:val="0"/>
      <w:divBdr>
        <w:top w:val="none" w:sz="0" w:space="0" w:color="auto"/>
        <w:left w:val="none" w:sz="0" w:space="0" w:color="auto"/>
        <w:bottom w:val="none" w:sz="0" w:space="0" w:color="auto"/>
        <w:right w:val="none" w:sz="0" w:space="0" w:color="auto"/>
      </w:divBdr>
    </w:div>
    <w:div w:id="1661551">
      <w:marLeft w:val="0"/>
      <w:marRight w:val="0"/>
      <w:marTop w:val="0"/>
      <w:marBottom w:val="0"/>
      <w:divBdr>
        <w:top w:val="none" w:sz="0" w:space="0" w:color="auto"/>
        <w:left w:val="none" w:sz="0" w:space="0" w:color="auto"/>
        <w:bottom w:val="none" w:sz="0" w:space="0" w:color="auto"/>
        <w:right w:val="none" w:sz="0" w:space="0" w:color="auto"/>
      </w:divBdr>
    </w:div>
    <w:div w:id="2902041">
      <w:marLeft w:val="0"/>
      <w:marRight w:val="0"/>
      <w:marTop w:val="0"/>
      <w:marBottom w:val="0"/>
      <w:divBdr>
        <w:top w:val="none" w:sz="0" w:space="0" w:color="auto"/>
        <w:left w:val="none" w:sz="0" w:space="0" w:color="auto"/>
        <w:bottom w:val="none" w:sz="0" w:space="0" w:color="auto"/>
        <w:right w:val="none" w:sz="0" w:space="0" w:color="auto"/>
      </w:divBdr>
    </w:div>
    <w:div w:id="3827681">
      <w:marLeft w:val="0"/>
      <w:marRight w:val="0"/>
      <w:marTop w:val="0"/>
      <w:marBottom w:val="0"/>
      <w:divBdr>
        <w:top w:val="none" w:sz="0" w:space="0" w:color="auto"/>
        <w:left w:val="none" w:sz="0" w:space="0" w:color="auto"/>
        <w:bottom w:val="none" w:sz="0" w:space="0" w:color="auto"/>
        <w:right w:val="none" w:sz="0" w:space="0" w:color="auto"/>
      </w:divBdr>
    </w:div>
    <w:div w:id="4404978">
      <w:marLeft w:val="0"/>
      <w:marRight w:val="0"/>
      <w:marTop w:val="0"/>
      <w:marBottom w:val="0"/>
      <w:divBdr>
        <w:top w:val="none" w:sz="0" w:space="0" w:color="auto"/>
        <w:left w:val="none" w:sz="0" w:space="0" w:color="auto"/>
        <w:bottom w:val="none" w:sz="0" w:space="0" w:color="auto"/>
        <w:right w:val="none" w:sz="0" w:space="0" w:color="auto"/>
      </w:divBdr>
    </w:div>
    <w:div w:id="5334136">
      <w:marLeft w:val="0"/>
      <w:marRight w:val="0"/>
      <w:marTop w:val="0"/>
      <w:marBottom w:val="0"/>
      <w:divBdr>
        <w:top w:val="none" w:sz="0" w:space="0" w:color="auto"/>
        <w:left w:val="none" w:sz="0" w:space="0" w:color="auto"/>
        <w:bottom w:val="none" w:sz="0" w:space="0" w:color="auto"/>
        <w:right w:val="none" w:sz="0" w:space="0" w:color="auto"/>
      </w:divBdr>
    </w:div>
    <w:div w:id="6446443">
      <w:marLeft w:val="0"/>
      <w:marRight w:val="0"/>
      <w:marTop w:val="0"/>
      <w:marBottom w:val="0"/>
      <w:divBdr>
        <w:top w:val="none" w:sz="0" w:space="0" w:color="auto"/>
        <w:left w:val="none" w:sz="0" w:space="0" w:color="auto"/>
        <w:bottom w:val="none" w:sz="0" w:space="0" w:color="auto"/>
        <w:right w:val="none" w:sz="0" w:space="0" w:color="auto"/>
      </w:divBdr>
    </w:div>
    <w:div w:id="6448802">
      <w:marLeft w:val="0"/>
      <w:marRight w:val="0"/>
      <w:marTop w:val="0"/>
      <w:marBottom w:val="0"/>
      <w:divBdr>
        <w:top w:val="none" w:sz="0" w:space="0" w:color="auto"/>
        <w:left w:val="none" w:sz="0" w:space="0" w:color="auto"/>
        <w:bottom w:val="none" w:sz="0" w:space="0" w:color="auto"/>
        <w:right w:val="none" w:sz="0" w:space="0" w:color="auto"/>
      </w:divBdr>
    </w:div>
    <w:div w:id="7101495">
      <w:marLeft w:val="0"/>
      <w:marRight w:val="0"/>
      <w:marTop w:val="0"/>
      <w:marBottom w:val="0"/>
      <w:divBdr>
        <w:top w:val="none" w:sz="0" w:space="0" w:color="auto"/>
        <w:left w:val="none" w:sz="0" w:space="0" w:color="auto"/>
        <w:bottom w:val="none" w:sz="0" w:space="0" w:color="auto"/>
        <w:right w:val="none" w:sz="0" w:space="0" w:color="auto"/>
      </w:divBdr>
    </w:div>
    <w:div w:id="7412989">
      <w:marLeft w:val="0"/>
      <w:marRight w:val="0"/>
      <w:marTop w:val="0"/>
      <w:marBottom w:val="0"/>
      <w:divBdr>
        <w:top w:val="none" w:sz="0" w:space="0" w:color="auto"/>
        <w:left w:val="none" w:sz="0" w:space="0" w:color="auto"/>
        <w:bottom w:val="none" w:sz="0" w:space="0" w:color="auto"/>
        <w:right w:val="none" w:sz="0" w:space="0" w:color="auto"/>
      </w:divBdr>
    </w:div>
    <w:div w:id="7755626">
      <w:marLeft w:val="0"/>
      <w:marRight w:val="0"/>
      <w:marTop w:val="0"/>
      <w:marBottom w:val="0"/>
      <w:divBdr>
        <w:top w:val="none" w:sz="0" w:space="0" w:color="auto"/>
        <w:left w:val="none" w:sz="0" w:space="0" w:color="auto"/>
        <w:bottom w:val="none" w:sz="0" w:space="0" w:color="auto"/>
        <w:right w:val="none" w:sz="0" w:space="0" w:color="auto"/>
      </w:divBdr>
    </w:div>
    <w:div w:id="8679016">
      <w:marLeft w:val="0"/>
      <w:marRight w:val="0"/>
      <w:marTop w:val="0"/>
      <w:marBottom w:val="0"/>
      <w:divBdr>
        <w:top w:val="none" w:sz="0" w:space="0" w:color="auto"/>
        <w:left w:val="none" w:sz="0" w:space="0" w:color="auto"/>
        <w:bottom w:val="none" w:sz="0" w:space="0" w:color="auto"/>
        <w:right w:val="none" w:sz="0" w:space="0" w:color="auto"/>
      </w:divBdr>
    </w:div>
    <w:div w:id="10497011">
      <w:marLeft w:val="0"/>
      <w:marRight w:val="0"/>
      <w:marTop w:val="0"/>
      <w:marBottom w:val="0"/>
      <w:divBdr>
        <w:top w:val="none" w:sz="0" w:space="0" w:color="auto"/>
        <w:left w:val="none" w:sz="0" w:space="0" w:color="auto"/>
        <w:bottom w:val="none" w:sz="0" w:space="0" w:color="auto"/>
        <w:right w:val="none" w:sz="0" w:space="0" w:color="auto"/>
      </w:divBdr>
    </w:div>
    <w:div w:id="10499063">
      <w:marLeft w:val="0"/>
      <w:marRight w:val="0"/>
      <w:marTop w:val="0"/>
      <w:marBottom w:val="0"/>
      <w:divBdr>
        <w:top w:val="none" w:sz="0" w:space="0" w:color="auto"/>
        <w:left w:val="none" w:sz="0" w:space="0" w:color="auto"/>
        <w:bottom w:val="none" w:sz="0" w:space="0" w:color="auto"/>
        <w:right w:val="none" w:sz="0" w:space="0" w:color="auto"/>
      </w:divBdr>
    </w:div>
    <w:div w:id="10642893">
      <w:marLeft w:val="0"/>
      <w:marRight w:val="0"/>
      <w:marTop w:val="0"/>
      <w:marBottom w:val="0"/>
      <w:divBdr>
        <w:top w:val="none" w:sz="0" w:space="0" w:color="auto"/>
        <w:left w:val="none" w:sz="0" w:space="0" w:color="auto"/>
        <w:bottom w:val="none" w:sz="0" w:space="0" w:color="auto"/>
        <w:right w:val="none" w:sz="0" w:space="0" w:color="auto"/>
      </w:divBdr>
    </w:div>
    <w:div w:id="11499612">
      <w:marLeft w:val="0"/>
      <w:marRight w:val="0"/>
      <w:marTop w:val="0"/>
      <w:marBottom w:val="0"/>
      <w:divBdr>
        <w:top w:val="none" w:sz="0" w:space="0" w:color="auto"/>
        <w:left w:val="none" w:sz="0" w:space="0" w:color="auto"/>
        <w:bottom w:val="none" w:sz="0" w:space="0" w:color="auto"/>
        <w:right w:val="none" w:sz="0" w:space="0" w:color="auto"/>
      </w:divBdr>
    </w:div>
    <w:div w:id="12927472">
      <w:marLeft w:val="0"/>
      <w:marRight w:val="0"/>
      <w:marTop w:val="0"/>
      <w:marBottom w:val="0"/>
      <w:divBdr>
        <w:top w:val="none" w:sz="0" w:space="0" w:color="auto"/>
        <w:left w:val="none" w:sz="0" w:space="0" w:color="auto"/>
        <w:bottom w:val="none" w:sz="0" w:space="0" w:color="auto"/>
        <w:right w:val="none" w:sz="0" w:space="0" w:color="auto"/>
      </w:divBdr>
    </w:div>
    <w:div w:id="12999222">
      <w:marLeft w:val="0"/>
      <w:marRight w:val="0"/>
      <w:marTop w:val="0"/>
      <w:marBottom w:val="0"/>
      <w:divBdr>
        <w:top w:val="none" w:sz="0" w:space="0" w:color="auto"/>
        <w:left w:val="none" w:sz="0" w:space="0" w:color="auto"/>
        <w:bottom w:val="none" w:sz="0" w:space="0" w:color="auto"/>
        <w:right w:val="none" w:sz="0" w:space="0" w:color="auto"/>
      </w:divBdr>
    </w:div>
    <w:div w:id="13700451">
      <w:marLeft w:val="0"/>
      <w:marRight w:val="0"/>
      <w:marTop w:val="0"/>
      <w:marBottom w:val="0"/>
      <w:divBdr>
        <w:top w:val="none" w:sz="0" w:space="0" w:color="auto"/>
        <w:left w:val="none" w:sz="0" w:space="0" w:color="auto"/>
        <w:bottom w:val="none" w:sz="0" w:space="0" w:color="auto"/>
        <w:right w:val="none" w:sz="0" w:space="0" w:color="auto"/>
      </w:divBdr>
      <w:divsChild>
        <w:div w:id="1414665681">
          <w:marLeft w:val="0"/>
          <w:marRight w:val="0"/>
          <w:marTop w:val="0"/>
          <w:marBottom w:val="0"/>
          <w:divBdr>
            <w:top w:val="none" w:sz="0" w:space="0" w:color="auto"/>
            <w:left w:val="none" w:sz="0" w:space="0" w:color="auto"/>
            <w:bottom w:val="none" w:sz="0" w:space="0" w:color="auto"/>
            <w:right w:val="none" w:sz="0" w:space="0" w:color="auto"/>
          </w:divBdr>
        </w:div>
      </w:divsChild>
    </w:div>
    <w:div w:id="14772512">
      <w:marLeft w:val="0"/>
      <w:marRight w:val="0"/>
      <w:marTop w:val="0"/>
      <w:marBottom w:val="0"/>
      <w:divBdr>
        <w:top w:val="none" w:sz="0" w:space="0" w:color="auto"/>
        <w:left w:val="none" w:sz="0" w:space="0" w:color="auto"/>
        <w:bottom w:val="none" w:sz="0" w:space="0" w:color="auto"/>
        <w:right w:val="none" w:sz="0" w:space="0" w:color="auto"/>
      </w:divBdr>
    </w:div>
    <w:div w:id="15886737">
      <w:marLeft w:val="0"/>
      <w:marRight w:val="0"/>
      <w:marTop w:val="0"/>
      <w:marBottom w:val="0"/>
      <w:divBdr>
        <w:top w:val="none" w:sz="0" w:space="0" w:color="auto"/>
        <w:left w:val="none" w:sz="0" w:space="0" w:color="auto"/>
        <w:bottom w:val="none" w:sz="0" w:space="0" w:color="auto"/>
        <w:right w:val="none" w:sz="0" w:space="0" w:color="auto"/>
      </w:divBdr>
    </w:div>
    <w:div w:id="16279389">
      <w:marLeft w:val="0"/>
      <w:marRight w:val="0"/>
      <w:marTop w:val="0"/>
      <w:marBottom w:val="0"/>
      <w:divBdr>
        <w:top w:val="none" w:sz="0" w:space="0" w:color="auto"/>
        <w:left w:val="none" w:sz="0" w:space="0" w:color="auto"/>
        <w:bottom w:val="none" w:sz="0" w:space="0" w:color="auto"/>
        <w:right w:val="none" w:sz="0" w:space="0" w:color="auto"/>
      </w:divBdr>
    </w:div>
    <w:div w:id="17391870">
      <w:marLeft w:val="0"/>
      <w:marRight w:val="0"/>
      <w:marTop w:val="0"/>
      <w:marBottom w:val="0"/>
      <w:divBdr>
        <w:top w:val="none" w:sz="0" w:space="0" w:color="auto"/>
        <w:left w:val="none" w:sz="0" w:space="0" w:color="auto"/>
        <w:bottom w:val="none" w:sz="0" w:space="0" w:color="auto"/>
        <w:right w:val="none" w:sz="0" w:space="0" w:color="auto"/>
      </w:divBdr>
    </w:div>
    <w:div w:id="17701409">
      <w:marLeft w:val="0"/>
      <w:marRight w:val="0"/>
      <w:marTop w:val="0"/>
      <w:marBottom w:val="0"/>
      <w:divBdr>
        <w:top w:val="none" w:sz="0" w:space="0" w:color="auto"/>
        <w:left w:val="none" w:sz="0" w:space="0" w:color="auto"/>
        <w:bottom w:val="none" w:sz="0" w:space="0" w:color="auto"/>
        <w:right w:val="none" w:sz="0" w:space="0" w:color="auto"/>
      </w:divBdr>
    </w:div>
    <w:div w:id="17851377">
      <w:marLeft w:val="0"/>
      <w:marRight w:val="0"/>
      <w:marTop w:val="0"/>
      <w:marBottom w:val="0"/>
      <w:divBdr>
        <w:top w:val="none" w:sz="0" w:space="0" w:color="auto"/>
        <w:left w:val="none" w:sz="0" w:space="0" w:color="auto"/>
        <w:bottom w:val="none" w:sz="0" w:space="0" w:color="auto"/>
        <w:right w:val="none" w:sz="0" w:space="0" w:color="auto"/>
      </w:divBdr>
    </w:div>
    <w:div w:id="18245298">
      <w:marLeft w:val="0"/>
      <w:marRight w:val="0"/>
      <w:marTop w:val="0"/>
      <w:marBottom w:val="0"/>
      <w:divBdr>
        <w:top w:val="none" w:sz="0" w:space="0" w:color="auto"/>
        <w:left w:val="none" w:sz="0" w:space="0" w:color="auto"/>
        <w:bottom w:val="none" w:sz="0" w:space="0" w:color="auto"/>
        <w:right w:val="none" w:sz="0" w:space="0" w:color="auto"/>
      </w:divBdr>
    </w:div>
    <w:div w:id="19166589">
      <w:marLeft w:val="0"/>
      <w:marRight w:val="0"/>
      <w:marTop w:val="0"/>
      <w:marBottom w:val="0"/>
      <w:divBdr>
        <w:top w:val="none" w:sz="0" w:space="0" w:color="auto"/>
        <w:left w:val="none" w:sz="0" w:space="0" w:color="auto"/>
        <w:bottom w:val="none" w:sz="0" w:space="0" w:color="auto"/>
        <w:right w:val="none" w:sz="0" w:space="0" w:color="auto"/>
      </w:divBdr>
      <w:divsChild>
        <w:div w:id="1231968132">
          <w:marLeft w:val="0"/>
          <w:marRight w:val="0"/>
          <w:marTop w:val="0"/>
          <w:marBottom w:val="0"/>
          <w:divBdr>
            <w:top w:val="none" w:sz="0" w:space="0" w:color="auto"/>
            <w:left w:val="none" w:sz="0" w:space="0" w:color="auto"/>
            <w:bottom w:val="none" w:sz="0" w:space="0" w:color="auto"/>
            <w:right w:val="none" w:sz="0" w:space="0" w:color="auto"/>
          </w:divBdr>
        </w:div>
      </w:divsChild>
    </w:div>
    <w:div w:id="21369545">
      <w:marLeft w:val="0"/>
      <w:marRight w:val="0"/>
      <w:marTop w:val="0"/>
      <w:marBottom w:val="0"/>
      <w:divBdr>
        <w:top w:val="none" w:sz="0" w:space="0" w:color="auto"/>
        <w:left w:val="none" w:sz="0" w:space="0" w:color="auto"/>
        <w:bottom w:val="none" w:sz="0" w:space="0" w:color="auto"/>
        <w:right w:val="none" w:sz="0" w:space="0" w:color="auto"/>
      </w:divBdr>
    </w:div>
    <w:div w:id="22480712">
      <w:marLeft w:val="0"/>
      <w:marRight w:val="0"/>
      <w:marTop w:val="0"/>
      <w:marBottom w:val="0"/>
      <w:divBdr>
        <w:top w:val="none" w:sz="0" w:space="0" w:color="auto"/>
        <w:left w:val="none" w:sz="0" w:space="0" w:color="auto"/>
        <w:bottom w:val="none" w:sz="0" w:space="0" w:color="auto"/>
        <w:right w:val="none" w:sz="0" w:space="0" w:color="auto"/>
      </w:divBdr>
    </w:div>
    <w:div w:id="23136417">
      <w:marLeft w:val="0"/>
      <w:marRight w:val="0"/>
      <w:marTop w:val="0"/>
      <w:marBottom w:val="0"/>
      <w:divBdr>
        <w:top w:val="none" w:sz="0" w:space="0" w:color="auto"/>
        <w:left w:val="none" w:sz="0" w:space="0" w:color="auto"/>
        <w:bottom w:val="none" w:sz="0" w:space="0" w:color="auto"/>
        <w:right w:val="none" w:sz="0" w:space="0" w:color="auto"/>
      </w:divBdr>
    </w:div>
    <w:div w:id="24522804">
      <w:marLeft w:val="0"/>
      <w:marRight w:val="0"/>
      <w:marTop w:val="0"/>
      <w:marBottom w:val="0"/>
      <w:divBdr>
        <w:top w:val="none" w:sz="0" w:space="0" w:color="auto"/>
        <w:left w:val="none" w:sz="0" w:space="0" w:color="auto"/>
        <w:bottom w:val="none" w:sz="0" w:space="0" w:color="auto"/>
        <w:right w:val="none" w:sz="0" w:space="0" w:color="auto"/>
      </w:divBdr>
    </w:div>
    <w:div w:id="25182272">
      <w:marLeft w:val="0"/>
      <w:marRight w:val="0"/>
      <w:marTop w:val="0"/>
      <w:marBottom w:val="0"/>
      <w:divBdr>
        <w:top w:val="none" w:sz="0" w:space="0" w:color="auto"/>
        <w:left w:val="none" w:sz="0" w:space="0" w:color="auto"/>
        <w:bottom w:val="none" w:sz="0" w:space="0" w:color="auto"/>
        <w:right w:val="none" w:sz="0" w:space="0" w:color="auto"/>
      </w:divBdr>
    </w:div>
    <w:div w:id="25185242">
      <w:marLeft w:val="0"/>
      <w:marRight w:val="0"/>
      <w:marTop w:val="0"/>
      <w:marBottom w:val="0"/>
      <w:divBdr>
        <w:top w:val="none" w:sz="0" w:space="0" w:color="auto"/>
        <w:left w:val="none" w:sz="0" w:space="0" w:color="auto"/>
        <w:bottom w:val="none" w:sz="0" w:space="0" w:color="auto"/>
        <w:right w:val="none" w:sz="0" w:space="0" w:color="auto"/>
      </w:divBdr>
    </w:div>
    <w:div w:id="26372779">
      <w:marLeft w:val="0"/>
      <w:marRight w:val="0"/>
      <w:marTop w:val="0"/>
      <w:marBottom w:val="0"/>
      <w:divBdr>
        <w:top w:val="none" w:sz="0" w:space="0" w:color="auto"/>
        <w:left w:val="none" w:sz="0" w:space="0" w:color="auto"/>
        <w:bottom w:val="none" w:sz="0" w:space="0" w:color="auto"/>
        <w:right w:val="none" w:sz="0" w:space="0" w:color="auto"/>
      </w:divBdr>
    </w:div>
    <w:div w:id="26486432">
      <w:marLeft w:val="0"/>
      <w:marRight w:val="0"/>
      <w:marTop w:val="0"/>
      <w:marBottom w:val="0"/>
      <w:divBdr>
        <w:top w:val="none" w:sz="0" w:space="0" w:color="auto"/>
        <w:left w:val="none" w:sz="0" w:space="0" w:color="auto"/>
        <w:bottom w:val="none" w:sz="0" w:space="0" w:color="auto"/>
        <w:right w:val="none" w:sz="0" w:space="0" w:color="auto"/>
      </w:divBdr>
    </w:div>
    <w:div w:id="27149443">
      <w:marLeft w:val="0"/>
      <w:marRight w:val="0"/>
      <w:marTop w:val="0"/>
      <w:marBottom w:val="0"/>
      <w:divBdr>
        <w:top w:val="none" w:sz="0" w:space="0" w:color="auto"/>
        <w:left w:val="none" w:sz="0" w:space="0" w:color="auto"/>
        <w:bottom w:val="none" w:sz="0" w:space="0" w:color="auto"/>
        <w:right w:val="none" w:sz="0" w:space="0" w:color="auto"/>
      </w:divBdr>
    </w:div>
    <w:div w:id="27880350">
      <w:marLeft w:val="0"/>
      <w:marRight w:val="0"/>
      <w:marTop w:val="0"/>
      <w:marBottom w:val="0"/>
      <w:divBdr>
        <w:top w:val="none" w:sz="0" w:space="0" w:color="auto"/>
        <w:left w:val="none" w:sz="0" w:space="0" w:color="auto"/>
        <w:bottom w:val="none" w:sz="0" w:space="0" w:color="auto"/>
        <w:right w:val="none" w:sz="0" w:space="0" w:color="auto"/>
      </w:divBdr>
    </w:div>
    <w:div w:id="27919724">
      <w:marLeft w:val="0"/>
      <w:marRight w:val="0"/>
      <w:marTop w:val="0"/>
      <w:marBottom w:val="0"/>
      <w:divBdr>
        <w:top w:val="none" w:sz="0" w:space="0" w:color="auto"/>
        <w:left w:val="none" w:sz="0" w:space="0" w:color="auto"/>
        <w:bottom w:val="none" w:sz="0" w:space="0" w:color="auto"/>
        <w:right w:val="none" w:sz="0" w:space="0" w:color="auto"/>
      </w:divBdr>
    </w:div>
    <w:div w:id="28726145">
      <w:marLeft w:val="0"/>
      <w:marRight w:val="0"/>
      <w:marTop w:val="0"/>
      <w:marBottom w:val="0"/>
      <w:divBdr>
        <w:top w:val="none" w:sz="0" w:space="0" w:color="auto"/>
        <w:left w:val="none" w:sz="0" w:space="0" w:color="auto"/>
        <w:bottom w:val="none" w:sz="0" w:space="0" w:color="auto"/>
        <w:right w:val="none" w:sz="0" w:space="0" w:color="auto"/>
      </w:divBdr>
    </w:div>
    <w:div w:id="28922918">
      <w:marLeft w:val="0"/>
      <w:marRight w:val="0"/>
      <w:marTop w:val="0"/>
      <w:marBottom w:val="0"/>
      <w:divBdr>
        <w:top w:val="none" w:sz="0" w:space="0" w:color="auto"/>
        <w:left w:val="none" w:sz="0" w:space="0" w:color="auto"/>
        <w:bottom w:val="none" w:sz="0" w:space="0" w:color="auto"/>
        <w:right w:val="none" w:sz="0" w:space="0" w:color="auto"/>
      </w:divBdr>
    </w:div>
    <w:div w:id="28991452">
      <w:marLeft w:val="0"/>
      <w:marRight w:val="0"/>
      <w:marTop w:val="0"/>
      <w:marBottom w:val="0"/>
      <w:divBdr>
        <w:top w:val="none" w:sz="0" w:space="0" w:color="auto"/>
        <w:left w:val="none" w:sz="0" w:space="0" w:color="auto"/>
        <w:bottom w:val="none" w:sz="0" w:space="0" w:color="auto"/>
        <w:right w:val="none" w:sz="0" w:space="0" w:color="auto"/>
      </w:divBdr>
    </w:div>
    <w:div w:id="29654536">
      <w:marLeft w:val="0"/>
      <w:marRight w:val="0"/>
      <w:marTop w:val="100"/>
      <w:marBottom w:val="100"/>
      <w:divBdr>
        <w:top w:val="none" w:sz="0" w:space="0" w:color="auto"/>
        <w:left w:val="none" w:sz="0" w:space="0" w:color="auto"/>
        <w:bottom w:val="none" w:sz="0" w:space="0" w:color="auto"/>
        <w:right w:val="none" w:sz="0" w:space="0" w:color="auto"/>
      </w:divBdr>
      <w:divsChild>
        <w:div w:id="794178061">
          <w:marLeft w:val="0"/>
          <w:marRight w:val="0"/>
          <w:marTop w:val="0"/>
          <w:marBottom w:val="0"/>
          <w:divBdr>
            <w:top w:val="none" w:sz="0" w:space="0" w:color="auto"/>
            <w:left w:val="none" w:sz="0" w:space="0" w:color="auto"/>
            <w:bottom w:val="none" w:sz="0" w:space="0" w:color="auto"/>
            <w:right w:val="none" w:sz="0" w:space="0" w:color="auto"/>
          </w:divBdr>
        </w:div>
        <w:div w:id="1025638985">
          <w:marLeft w:val="0"/>
          <w:marRight w:val="0"/>
          <w:marTop w:val="0"/>
          <w:marBottom w:val="0"/>
          <w:divBdr>
            <w:top w:val="none" w:sz="0" w:space="0" w:color="auto"/>
            <w:left w:val="none" w:sz="0" w:space="0" w:color="auto"/>
            <w:bottom w:val="none" w:sz="0" w:space="0" w:color="auto"/>
            <w:right w:val="none" w:sz="0" w:space="0" w:color="auto"/>
          </w:divBdr>
        </w:div>
        <w:div w:id="543251731">
          <w:marLeft w:val="0"/>
          <w:marRight w:val="0"/>
          <w:marTop w:val="0"/>
          <w:marBottom w:val="0"/>
          <w:divBdr>
            <w:top w:val="none" w:sz="0" w:space="0" w:color="auto"/>
            <w:left w:val="none" w:sz="0" w:space="0" w:color="auto"/>
            <w:bottom w:val="none" w:sz="0" w:space="0" w:color="auto"/>
            <w:right w:val="none" w:sz="0" w:space="0" w:color="auto"/>
          </w:divBdr>
        </w:div>
      </w:divsChild>
    </w:div>
    <w:div w:id="30036365">
      <w:marLeft w:val="0"/>
      <w:marRight w:val="0"/>
      <w:marTop w:val="0"/>
      <w:marBottom w:val="0"/>
      <w:divBdr>
        <w:top w:val="none" w:sz="0" w:space="0" w:color="auto"/>
        <w:left w:val="none" w:sz="0" w:space="0" w:color="auto"/>
        <w:bottom w:val="none" w:sz="0" w:space="0" w:color="auto"/>
        <w:right w:val="none" w:sz="0" w:space="0" w:color="auto"/>
      </w:divBdr>
    </w:div>
    <w:div w:id="30769130">
      <w:marLeft w:val="0"/>
      <w:marRight w:val="0"/>
      <w:marTop w:val="0"/>
      <w:marBottom w:val="0"/>
      <w:divBdr>
        <w:top w:val="none" w:sz="0" w:space="0" w:color="auto"/>
        <w:left w:val="none" w:sz="0" w:space="0" w:color="auto"/>
        <w:bottom w:val="none" w:sz="0" w:space="0" w:color="auto"/>
        <w:right w:val="none" w:sz="0" w:space="0" w:color="auto"/>
      </w:divBdr>
    </w:div>
    <w:div w:id="31199570">
      <w:marLeft w:val="0"/>
      <w:marRight w:val="0"/>
      <w:marTop w:val="0"/>
      <w:marBottom w:val="0"/>
      <w:divBdr>
        <w:top w:val="none" w:sz="0" w:space="0" w:color="auto"/>
        <w:left w:val="none" w:sz="0" w:space="0" w:color="auto"/>
        <w:bottom w:val="none" w:sz="0" w:space="0" w:color="auto"/>
        <w:right w:val="none" w:sz="0" w:space="0" w:color="auto"/>
      </w:divBdr>
    </w:div>
    <w:div w:id="32853673">
      <w:marLeft w:val="0"/>
      <w:marRight w:val="0"/>
      <w:marTop w:val="0"/>
      <w:marBottom w:val="0"/>
      <w:divBdr>
        <w:top w:val="none" w:sz="0" w:space="0" w:color="auto"/>
        <w:left w:val="none" w:sz="0" w:space="0" w:color="auto"/>
        <w:bottom w:val="none" w:sz="0" w:space="0" w:color="auto"/>
        <w:right w:val="none" w:sz="0" w:space="0" w:color="auto"/>
      </w:divBdr>
    </w:div>
    <w:div w:id="35550097">
      <w:marLeft w:val="0"/>
      <w:marRight w:val="0"/>
      <w:marTop w:val="0"/>
      <w:marBottom w:val="0"/>
      <w:divBdr>
        <w:top w:val="none" w:sz="0" w:space="0" w:color="auto"/>
        <w:left w:val="none" w:sz="0" w:space="0" w:color="auto"/>
        <w:bottom w:val="none" w:sz="0" w:space="0" w:color="auto"/>
        <w:right w:val="none" w:sz="0" w:space="0" w:color="auto"/>
      </w:divBdr>
    </w:div>
    <w:div w:id="35586499">
      <w:marLeft w:val="0"/>
      <w:marRight w:val="0"/>
      <w:marTop w:val="0"/>
      <w:marBottom w:val="0"/>
      <w:divBdr>
        <w:top w:val="none" w:sz="0" w:space="0" w:color="auto"/>
        <w:left w:val="none" w:sz="0" w:space="0" w:color="auto"/>
        <w:bottom w:val="none" w:sz="0" w:space="0" w:color="auto"/>
        <w:right w:val="none" w:sz="0" w:space="0" w:color="auto"/>
      </w:divBdr>
    </w:div>
    <w:div w:id="35783446">
      <w:marLeft w:val="0"/>
      <w:marRight w:val="0"/>
      <w:marTop w:val="0"/>
      <w:marBottom w:val="0"/>
      <w:divBdr>
        <w:top w:val="none" w:sz="0" w:space="0" w:color="auto"/>
        <w:left w:val="none" w:sz="0" w:space="0" w:color="auto"/>
        <w:bottom w:val="none" w:sz="0" w:space="0" w:color="auto"/>
        <w:right w:val="none" w:sz="0" w:space="0" w:color="auto"/>
      </w:divBdr>
    </w:div>
    <w:div w:id="36782164">
      <w:marLeft w:val="0"/>
      <w:marRight w:val="0"/>
      <w:marTop w:val="0"/>
      <w:marBottom w:val="0"/>
      <w:divBdr>
        <w:top w:val="none" w:sz="0" w:space="0" w:color="auto"/>
        <w:left w:val="none" w:sz="0" w:space="0" w:color="auto"/>
        <w:bottom w:val="none" w:sz="0" w:space="0" w:color="auto"/>
        <w:right w:val="none" w:sz="0" w:space="0" w:color="auto"/>
      </w:divBdr>
      <w:divsChild>
        <w:div w:id="648435138">
          <w:marLeft w:val="0"/>
          <w:marRight w:val="0"/>
          <w:marTop w:val="0"/>
          <w:marBottom w:val="0"/>
          <w:divBdr>
            <w:top w:val="none" w:sz="0" w:space="0" w:color="auto"/>
            <w:left w:val="none" w:sz="0" w:space="0" w:color="auto"/>
            <w:bottom w:val="none" w:sz="0" w:space="0" w:color="auto"/>
            <w:right w:val="none" w:sz="0" w:space="0" w:color="auto"/>
          </w:divBdr>
        </w:div>
      </w:divsChild>
    </w:div>
    <w:div w:id="36785577">
      <w:marLeft w:val="0"/>
      <w:marRight w:val="0"/>
      <w:marTop w:val="0"/>
      <w:marBottom w:val="0"/>
      <w:divBdr>
        <w:top w:val="none" w:sz="0" w:space="0" w:color="auto"/>
        <w:left w:val="none" w:sz="0" w:space="0" w:color="auto"/>
        <w:bottom w:val="none" w:sz="0" w:space="0" w:color="auto"/>
        <w:right w:val="none" w:sz="0" w:space="0" w:color="auto"/>
      </w:divBdr>
    </w:div>
    <w:div w:id="38211214">
      <w:marLeft w:val="0"/>
      <w:marRight w:val="0"/>
      <w:marTop w:val="0"/>
      <w:marBottom w:val="0"/>
      <w:divBdr>
        <w:top w:val="none" w:sz="0" w:space="0" w:color="auto"/>
        <w:left w:val="none" w:sz="0" w:space="0" w:color="auto"/>
        <w:bottom w:val="none" w:sz="0" w:space="0" w:color="auto"/>
        <w:right w:val="none" w:sz="0" w:space="0" w:color="auto"/>
      </w:divBdr>
    </w:div>
    <w:div w:id="39864720">
      <w:marLeft w:val="0"/>
      <w:marRight w:val="0"/>
      <w:marTop w:val="0"/>
      <w:marBottom w:val="0"/>
      <w:divBdr>
        <w:top w:val="none" w:sz="0" w:space="0" w:color="auto"/>
        <w:left w:val="none" w:sz="0" w:space="0" w:color="auto"/>
        <w:bottom w:val="none" w:sz="0" w:space="0" w:color="auto"/>
        <w:right w:val="none" w:sz="0" w:space="0" w:color="auto"/>
      </w:divBdr>
    </w:div>
    <w:div w:id="40831702">
      <w:marLeft w:val="0"/>
      <w:marRight w:val="0"/>
      <w:marTop w:val="0"/>
      <w:marBottom w:val="0"/>
      <w:divBdr>
        <w:top w:val="none" w:sz="0" w:space="0" w:color="auto"/>
        <w:left w:val="none" w:sz="0" w:space="0" w:color="auto"/>
        <w:bottom w:val="none" w:sz="0" w:space="0" w:color="auto"/>
        <w:right w:val="none" w:sz="0" w:space="0" w:color="auto"/>
      </w:divBdr>
    </w:div>
    <w:div w:id="41636451">
      <w:marLeft w:val="0"/>
      <w:marRight w:val="0"/>
      <w:marTop w:val="0"/>
      <w:marBottom w:val="0"/>
      <w:divBdr>
        <w:top w:val="none" w:sz="0" w:space="0" w:color="auto"/>
        <w:left w:val="none" w:sz="0" w:space="0" w:color="auto"/>
        <w:bottom w:val="none" w:sz="0" w:space="0" w:color="auto"/>
        <w:right w:val="none" w:sz="0" w:space="0" w:color="auto"/>
      </w:divBdr>
      <w:divsChild>
        <w:div w:id="1868369664">
          <w:marLeft w:val="0"/>
          <w:marRight w:val="0"/>
          <w:marTop w:val="0"/>
          <w:marBottom w:val="0"/>
          <w:divBdr>
            <w:top w:val="none" w:sz="0" w:space="0" w:color="auto"/>
            <w:left w:val="none" w:sz="0" w:space="0" w:color="auto"/>
            <w:bottom w:val="none" w:sz="0" w:space="0" w:color="auto"/>
            <w:right w:val="none" w:sz="0" w:space="0" w:color="auto"/>
          </w:divBdr>
        </w:div>
      </w:divsChild>
    </w:div>
    <w:div w:id="41758478">
      <w:marLeft w:val="0"/>
      <w:marRight w:val="0"/>
      <w:marTop w:val="0"/>
      <w:marBottom w:val="0"/>
      <w:divBdr>
        <w:top w:val="none" w:sz="0" w:space="0" w:color="auto"/>
        <w:left w:val="none" w:sz="0" w:space="0" w:color="auto"/>
        <w:bottom w:val="none" w:sz="0" w:space="0" w:color="auto"/>
        <w:right w:val="none" w:sz="0" w:space="0" w:color="auto"/>
      </w:divBdr>
    </w:div>
    <w:div w:id="42020058">
      <w:marLeft w:val="0"/>
      <w:marRight w:val="0"/>
      <w:marTop w:val="0"/>
      <w:marBottom w:val="0"/>
      <w:divBdr>
        <w:top w:val="none" w:sz="0" w:space="0" w:color="auto"/>
        <w:left w:val="none" w:sz="0" w:space="0" w:color="auto"/>
        <w:bottom w:val="none" w:sz="0" w:space="0" w:color="auto"/>
        <w:right w:val="none" w:sz="0" w:space="0" w:color="auto"/>
      </w:divBdr>
    </w:div>
    <w:div w:id="42797842">
      <w:marLeft w:val="0"/>
      <w:marRight w:val="0"/>
      <w:marTop w:val="0"/>
      <w:marBottom w:val="0"/>
      <w:divBdr>
        <w:top w:val="none" w:sz="0" w:space="0" w:color="auto"/>
        <w:left w:val="none" w:sz="0" w:space="0" w:color="auto"/>
        <w:bottom w:val="none" w:sz="0" w:space="0" w:color="auto"/>
        <w:right w:val="none" w:sz="0" w:space="0" w:color="auto"/>
      </w:divBdr>
    </w:div>
    <w:div w:id="43450507">
      <w:marLeft w:val="0"/>
      <w:marRight w:val="0"/>
      <w:marTop w:val="0"/>
      <w:marBottom w:val="0"/>
      <w:divBdr>
        <w:top w:val="none" w:sz="0" w:space="0" w:color="auto"/>
        <w:left w:val="none" w:sz="0" w:space="0" w:color="auto"/>
        <w:bottom w:val="none" w:sz="0" w:space="0" w:color="auto"/>
        <w:right w:val="none" w:sz="0" w:space="0" w:color="auto"/>
      </w:divBdr>
    </w:div>
    <w:div w:id="43677208">
      <w:marLeft w:val="0"/>
      <w:marRight w:val="0"/>
      <w:marTop w:val="0"/>
      <w:marBottom w:val="0"/>
      <w:divBdr>
        <w:top w:val="none" w:sz="0" w:space="0" w:color="auto"/>
        <w:left w:val="none" w:sz="0" w:space="0" w:color="auto"/>
        <w:bottom w:val="none" w:sz="0" w:space="0" w:color="auto"/>
        <w:right w:val="none" w:sz="0" w:space="0" w:color="auto"/>
      </w:divBdr>
    </w:div>
    <w:div w:id="45839041">
      <w:marLeft w:val="0"/>
      <w:marRight w:val="0"/>
      <w:marTop w:val="0"/>
      <w:marBottom w:val="0"/>
      <w:divBdr>
        <w:top w:val="none" w:sz="0" w:space="0" w:color="auto"/>
        <w:left w:val="none" w:sz="0" w:space="0" w:color="auto"/>
        <w:bottom w:val="none" w:sz="0" w:space="0" w:color="auto"/>
        <w:right w:val="none" w:sz="0" w:space="0" w:color="auto"/>
      </w:divBdr>
    </w:div>
    <w:div w:id="46415812">
      <w:marLeft w:val="0"/>
      <w:marRight w:val="0"/>
      <w:marTop w:val="0"/>
      <w:marBottom w:val="0"/>
      <w:divBdr>
        <w:top w:val="none" w:sz="0" w:space="0" w:color="auto"/>
        <w:left w:val="none" w:sz="0" w:space="0" w:color="auto"/>
        <w:bottom w:val="none" w:sz="0" w:space="0" w:color="auto"/>
        <w:right w:val="none" w:sz="0" w:space="0" w:color="auto"/>
      </w:divBdr>
    </w:div>
    <w:div w:id="47651768">
      <w:marLeft w:val="0"/>
      <w:marRight w:val="0"/>
      <w:marTop w:val="0"/>
      <w:marBottom w:val="0"/>
      <w:divBdr>
        <w:top w:val="none" w:sz="0" w:space="0" w:color="auto"/>
        <w:left w:val="none" w:sz="0" w:space="0" w:color="auto"/>
        <w:bottom w:val="none" w:sz="0" w:space="0" w:color="auto"/>
        <w:right w:val="none" w:sz="0" w:space="0" w:color="auto"/>
      </w:divBdr>
    </w:div>
    <w:div w:id="47655607">
      <w:marLeft w:val="0"/>
      <w:marRight w:val="0"/>
      <w:marTop w:val="0"/>
      <w:marBottom w:val="0"/>
      <w:divBdr>
        <w:top w:val="none" w:sz="0" w:space="0" w:color="auto"/>
        <w:left w:val="none" w:sz="0" w:space="0" w:color="auto"/>
        <w:bottom w:val="none" w:sz="0" w:space="0" w:color="auto"/>
        <w:right w:val="none" w:sz="0" w:space="0" w:color="auto"/>
      </w:divBdr>
    </w:div>
    <w:div w:id="49035282">
      <w:marLeft w:val="0"/>
      <w:marRight w:val="0"/>
      <w:marTop w:val="0"/>
      <w:marBottom w:val="0"/>
      <w:divBdr>
        <w:top w:val="none" w:sz="0" w:space="0" w:color="auto"/>
        <w:left w:val="none" w:sz="0" w:space="0" w:color="auto"/>
        <w:bottom w:val="none" w:sz="0" w:space="0" w:color="auto"/>
        <w:right w:val="none" w:sz="0" w:space="0" w:color="auto"/>
      </w:divBdr>
    </w:div>
    <w:div w:id="49692951">
      <w:marLeft w:val="0"/>
      <w:marRight w:val="0"/>
      <w:marTop w:val="0"/>
      <w:marBottom w:val="0"/>
      <w:divBdr>
        <w:top w:val="none" w:sz="0" w:space="0" w:color="auto"/>
        <w:left w:val="none" w:sz="0" w:space="0" w:color="auto"/>
        <w:bottom w:val="none" w:sz="0" w:space="0" w:color="auto"/>
        <w:right w:val="none" w:sz="0" w:space="0" w:color="auto"/>
      </w:divBdr>
    </w:div>
    <w:div w:id="50077068">
      <w:marLeft w:val="0"/>
      <w:marRight w:val="0"/>
      <w:marTop w:val="0"/>
      <w:marBottom w:val="0"/>
      <w:divBdr>
        <w:top w:val="none" w:sz="0" w:space="0" w:color="auto"/>
        <w:left w:val="none" w:sz="0" w:space="0" w:color="auto"/>
        <w:bottom w:val="none" w:sz="0" w:space="0" w:color="auto"/>
        <w:right w:val="none" w:sz="0" w:space="0" w:color="auto"/>
      </w:divBdr>
    </w:div>
    <w:div w:id="50426832">
      <w:marLeft w:val="0"/>
      <w:marRight w:val="0"/>
      <w:marTop w:val="0"/>
      <w:marBottom w:val="0"/>
      <w:divBdr>
        <w:top w:val="none" w:sz="0" w:space="0" w:color="auto"/>
        <w:left w:val="none" w:sz="0" w:space="0" w:color="auto"/>
        <w:bottom w:val="none" w:sz="0" w:space="0" w:color="auto"/>
        <w:right w:val="none" w:sz="0" w:space="0" w:color="auto"/>
      </w:divBdr>
    </w:div>
    <w:div w:id="50547064">
      <w:marLeft w:val="0"/>
      <w:marRight w:val="0"/>
      <w:marTop w:val="0"/>
      <w:marBottom w:val="0"/>
      <w:divBdr>
        <w:top w:val="none" w:sz="0" w:space="0" w:color="auto"/>
        <w:left w:val="none" w:sz="0" w:space="0" w:color="auto"/>
        <w:bottom w:val="none" w:sz="0" w:space="0" w:color="auto"/>
        <w:right w:val="none" w:sz="0" w:space="0" w:color="auto"/>
      </w:divBdr>
    </w:div>
    <w:div w:id="50661015">
      <w:marLeft w:val="0"/>
      <w:marRight w:val="0"/>
      <w:marTop w:val="0"/>
      <w:marBottom w:val="0"/>
      <w:divBdr>
        <w:top w:val="none" w:sz="0" w:space="0" w:color="auto"/>
        <w:left w:val="none" w:sz="0" w:space="0" w:color="auto"/>
        <w:bottom w:val="none" w:sz="0" w:space="0" w:color="auto"/>
        <w:right w:val="none" w:sz="0" w:space="0" w:color="auto"/>
      </w:divBdr>
    </w:div>
    <w:div w:id="50929305">
      <w:marLeft w:val="0"/>
      <w:marRight w:val="0"/>
      <w:marTop w:val="0"/>
      <w:marBottom w:val="0"/>
      <w:divBdr>
        <w:top w:val="none" w:sz="0" w:space="0" w:color="auto"/>
        <w:left w:val="none" w:sz="0" w:space="0" w:color="auto"/>
        <w:bottom w:val="none" w:sz="0" w:space="0" w:color="auto"/>
        <w:right w:val="none" w:sz="0" w:space="0" w:color="auto"/>
      </w:divBdr>
    </w:div>
    <w:div w:id="51392483">
      <w:marLeft w:val="0"/>
      <w:marRight w:val="0"/>
      <w:marTop w:val="0"/>
      <w:marBottom w:val="0"/>
      <w:divBdr>
        <w:top w:val="none" w:sz="0" w:space="0" w:color="auto"/>
        <w:left w:val="none" w:sz="0" w:space="0" w:color="auto"/>
        <w:bottom w:val="none" w:sz="0" w:space="0" w:color="auto"/>
        <w:right w:val="none" w:sz="0" w:space="0" w:color="auto"/>
      </w:divBdr>
    </w:div>
    <w:div w:id="53238996">
      <w:marLeft w:val="0"/>
      <w:marRight w:val="0"/>
      <w:marTop w:val="0"/>
      <w:marBottom w:val="0"/>
      <w:divBdr>
        <w:top w:val="none" w:sz="0" w:space="0" w:color="auto"/>
        <w:left w:val="none" w:sz="0" w:space="0" w:color="auto"/>
        <w:bottom w:val="none" w:sz="0" w:space="0" w:color="auto"/>
        <w:right w:val="none" w:sz="0" w:space="0" w:color="auto"/>
      </w:divBdr>
    </w:div>
    <w:div w:id="53698583">
      <w:marLeft w:val="0"/>
      <w:marRight w:val="0"/>
      <w:marTop w:val="0"/>
      <w:marBottom w:val="0"/>
      <w:divBdr>
        <w:top w:val="none" w:sz="0" w:space="0" w:color="auto"/>
        <w:left w:val="none" w:sz="0" w:space="0" w:color="auto"/>
        <w:bottom w:val="none" w:sz="0" w:space="0" w:color="auto"/>
        <w:right w:val="none" w:sz="0" w:space="0" w:color="auto"/>
      </w:divBdr>
    </w:div>
    <w:div w:id="54931586">
      <w:marLeft w:val="0"/>
      <w:marRight w:val="0"/>
      <w:marTop w:val="0"/>
      <w:marBottom w:val="0"/>
      <w:divBdr>
        <w:top w:val="none" w:sz="0" w:space="0" w:color="auto"/>
        <w:left w:val="none" w:sz="0" w:space="0" w:color="auto"/>
        <w:bottom w:val="none" w:sz="0" w:space="0" w:color="auto"/>
        <w:right w:val="none" w:sz="0" w:space="0" w:color="auto"/>
      </w:divBdr>
    </w:div>
    <w:div w:id="55014463">
      <w:marLeft w:val="0"/>
      <w:marRight w:val="0"/>
      <w:marTop w:val="0"/>
      <w:marBottom w:val="0"/>
      <w:divBdr>
        <w:top w:val="none" w:sz="0" w:space="0" w:color="auto"/>
        <w:left w:val="none" w:sz="0" w:space="0" w:color="auto"/>
        <w:bottom w:val="none" w:sz="0" w:space="0" w:color="auto"/>
        <w:right w:val="none" w:sz="0" w:space="0" w:color="auto"/>
      </w:divBdr>
    </w:div>
    <w:div w:id="55443705">
      <w:marLeft w:val="0"/>
      <w:marRight w:val="0"/>
      <w:marTop w:val="0"/>
      <w:marBottom w:val="0"/>
      <w:divBdr>
        <w:top w:val="none" w:sz="0" w:space="0" w:color="auto"/>
        <w:left w:val="none" w:sz="0" w:space="0" w:color="auto"/>
        <w:bottom w:val="none" w:sz="0" w:space="0" w:color="auto"/>
        <w:right w:val="none" w:sz="0" w:space="0" w:color="auto"/>
      </w:divBdr>
    </w:div>
    <w:div w:id="55783110">
      <w:marLeft w:val="0"/>
      <w:marRight w:val="0"/>
      <w:marTop w:val="0"/>
      <w:marBottom w:val="0"/>
      <w:divBdr>
        <w:top w:val="none" w:sz="0" w:space="0" w:color="auto"/>
        <w:left w:val="none" w:sz="0" w:space="0" w:color="auto"/>
        <w:bottom w:val="none" w:sz="0" w:space="0" w:color="auto"/>
        <w:right w:val="none" w:sz="0" w:space="0" w:color="auto"/>
      </w:divBdr>
    </w:div>
    <w:div w:id="56367616">
      <w:marLeft w:val="0"/>
      <w:marRight w:val="0"/>
      <w:marTop w:val="0"/>
      <w:marBottom w:val="0"/>
      <w:divBdr>
        <w:top w:val="none" w:sz="0" w:space="0" w:color="auto"/>
        <w:left w:val="none" w:sz="0" w:space="0" w:color="auto"/>
        <w:bottom w:val="none" w:sz="0" w:space="0" w:color="auto"/>
        <w:right w:val="none" w:sz="0" w:space="0" w:color="auto"/>
      </w:divBdr>
    </w:div>
    <w:div w:id="57360740">
      <w:marLeft w:val="0"/>
      <w:marRight w:val="0"/>
      <w:marTop w:val="0"/>
      <w:marBottom w:val="0"/>
      <w:divBdr>
        <w:top w:val="none" w:sz="0" w:space="0" w:color="auto"/>
        <w:left w:val="none" w:sz="0" w:space="0" w:color="auto"/>
        <w:bottom w:val="none" w:sz="0" w:space="0" w:color="auto"/>
        <w:right w:val="none" w:sz="0" w:space="0" w:color="auto"/>
      </w:divBdr>
    </w:div>
    <w:div w:id="57628119">
      <w:marLeft w:val="0"/>
      <w:marRight w:val="0"/>
      <w:marTop w:val="0"/>
      <w:marBottom w:val="0"/>
      <w:divBdr>
        <w:top w:val="none" w:sz="0" w:space="0" w:color="auto"/>
        <w:left w:val="none" w:sz="0" w:space="0" w:color="auto"/>
        <w:bottom w:val="none" w:sz="0" w:space="0" w:color="auto"/>
        <w:right w:val="none" w:sz="0" w:space="0" w:color="auto"/>
      </w:divBdr>
    </w:div>
    <w:div w:id="60300991">
      <w:marLeft w:val="0"/>
      <w:marRight w:val="0"/>
      <w:marTop w:val="0"/>
      <w:marBottom w:val="0"/>
      <w:divBdr>
        <w:top w:val="none" w:sz="0" w:space="0" w:color="auto"/>
        <w:left w:val="none" w:sz="0" w:space="0" w:color="auto"/>
        <w:bottom w:val="none" w:sz="0" w:space="0" w:color="auto"/>
        <w:right w:val="none" w:sz="0" w:space="0" w:color="auto"/>
      </w:divBdr>
    </w:div>
    <w:div w:id="61805181">
      <w:marLeft w:val="0"/>
      <w:marRight w:val="0"/>
      <w:marTop w:val="0"/>
      <w:marBottom w:val="0"/>
      <w:divBdr>
        <w:top w:val="none" w:sz="0" w:space="0" w:color="auto"/>
        <w:left w:val="none" w:sz="0" w:space="0" w:color="auto"/>
        <w:bottom w:val="none" w:sz="0" w:space="0" w:color="auto"/>
        <w:right w:val="none" w:sz="0" w:space="0" w:color="auto"/>
      </w:divBdr>
    </w:div>
    <w:div w:id="61949349">
      <w:marLeft w:val="0"/>
      <w:marRight w:val="0"/>
      <w:marTop w:val="0"/>
      <w:marBottom w:val="0"/>
      <w:divBdr>
        <w:top w:val="none" w:sz="0" w:space="0" w:color="auto"/>
        <w:left w:val="none" w:sz="0" w:space="0" w:color="auto"/>
        <w:bottom w:val="none" w:sz="0" w:space="0" w:color="auto"/>
        <w:right w:val="none" w:sz="0" w:space="0" w:color="auto"/>
      </w:divBdr>
    </w:div>
    <w:div w:id="62023069">
      <w:marLeft w:val="0"/>
      <w:marRight w:val="0"/>
      <w:marTop w:val="0"/>
      <w:marBottom w:val="0"/>
      <w:divBdr>
        <w:top w:val="none" w:sz="0" w:space="0" w:color="auto"/>
        <w:left w:val="none" w:sz="0" w:space="0" w:color="auto"/>
        <w:bottom w:val="none" w:sz="0" w:space="0" w:color="auto"/>
        <w:right w:val="none" w:sz="0" w:space="0" w:color="auto"/>
      </w:divBdr>
    </w:div>
    <w:div w:id="62601829">
      <w:marLeft w:val="0"/>
      <w:marRight w:val="0"/>
      <w:marTop w:val="0"/>
      <w:marBottom w:val="0"/>
      <w:divBdr>
        <w:top w:val="none" w:sz="0" w:space="0" w:color="auto"/>
        <w:left w:val="none" w:sz="0" w:space="0" w:color="auto"/>
        <w:bottom w:val="none" w:sz="0" w:space="0" w:color="auto"/>
        <w:right w:val="none" w:sz="0" w:space="0" w:color="auto"/>
      </w:divBdr>
    </w:div>
    <w:div w:id="62876742">
      <w:marLeft w:val="0"/>
      <w:marRight w:val="0"/>
      <w:marTop w:val="0"/>
      <w:marBottom w:val="0"/>
      <w:divBdr>
        <w:top w:val="none" w:sz="0" w:space="0" w:color="auto"/>
        <w:left w:val="none" w:sz="0" w:space="0" w:color="auto"/>
        <w:bottom w:val="none" w:sz="0" w:space="0" w:color="auto"/>
        <w:right w:val="none" w:sz="0" w:space="0" w:color="auto"/>
      </w:divBdr>
    </w:div>
    <w:div w:id="63071256">
      <w:marLeft w:val="0"/>
      <w:marRight w:val="0"/>
      <w:marTop w:val="0"/>
      <w:marBottom w:val="0"/>
      <w:divBdr>
        <w:top w:val="none" w:sz="0" w:space="0" w:color="auto"/>
        <w:left w:val="none" w:sz="0" w:space="0" w:color="auto"/>
        <w:bottom w:val="none" w:sz="0" w:space="0" w:color="auto"/>
        <w:right w:val="none" w:sz="0" w:space="0" w:color="auto"/>
      </w:divBdr>
    </w:div>
    <w:div w:id="63185040">
      <w:marLeft w:val="0"/>
      <w:marRight w:val="0"/>
      <w:marTop w:val="0"/>
      <w:marBottom w:val="0"/>
      <w:divBdr>
        <w:top w:val="none" w:sz="0" w:space="0" w:color="auto"/>
        <w:left w:val="none" w:sz="0" w:space="0" w:color="auto"/>
        <w:bottom w:val="none" w:sz="0" w:space="0" w:color="auto"/>
        <w:right w:val="none" w:sz="0" w:space="0" w:color="auto"/>
      </w:divBdr>
    </w:div>
    <w:div w:id="63258232">
      <w:marLeft w:val="0"/>
      <w:marRight w:val="0"/>
      <w:marTop w:val="100"/>
      <w:marBottom w:val="100"/>
      <w:divBdr>
        <w:top w:val="none" w:sz="0" w:space="0" w:color="auto"/>
        <w:left w:val="none" w:sz="0" w:space="0" w:color="auto"/>
        <w:bottom w:val="none" w:sz="0" w:space="0" w:color="auto"/>
        <w:right w:val="none" w:sz="0" w:space="0" w:color="auto"/>
      </w:divBdr>
    </w:div>
    <w:div w:id="64109180">
      <w:marLeft w:val="0"/>
      <w:marRight w:val="0"/>
      <w:marTop w:val="0"/>
      <w:marBottom w:val="0"/>
      <w:divBdr>
        <w:top w:val="none" w:sz="0" w:space="0" w:color="auto"/>
        <w:left w:val="none" w:sz="0" w:space="0" w:color="auto"/>
        <w:bottom w:val="none" w:sz="0" w:space="0" w:color="auto"/>
        <w:right w:val="none" w:sz="0" w:space="0" w:color="auto"/>
      </w:divBdr>
    </w:div>
    <w:div w:id="66848981">
      <w:marLeft w:val="0"/>
      <w:marRight w:val="0"/>
      <w:marTop w:val="0"/>
      <w:marBottom w:val="0"/>
      <w:divBdr>
        <w:top w:val="none" w:sz="0" w:space="0" w:color="auto"/>
        <w:left w:val="none" w:sz="0" w:space="0" w:color="auto"/>
        <w:bottom w:val="none" w:sz="0" w:space="0" w:color="auto"/>
        <w:right w:val="none" w:sz="0" w:space="0" w:color="auto"/>
      </w:divBdr>
    </w:div>
    <w:div w:id="68383723">
      <w:marLeft w:val="0"/>
      <w:marRight w:val="0"/>
      <w:marTop w:val="0"/>
      <w:marBottom w:val="0"/>
      <w:divBdr>
        <w:top w:val="none" w:sz="0" w:space="0" w:color="auto"/>
        <w:left w:val="none" w:sz="0" w:space="0" w:color="auto"/>
        <w:bottom w:val="none" w:sz="0" w:space="0" w:color="auto"/>
        <w:right w:val="none" w:sz="0" w:space="0" w:color="auto"/>
      </w:divBdr>
    </w:div>
    <w:div w:id="69086572">
      <w:marLeft w:val="0"/>
      <w:marRight w:val="0"/>
      <w:marTop w:val="100"/>
      <w:marBottom w:val="100"/>
      <w:divBdr>
        <w:top w:val="none" w:sz="0" w:space="0" w:color="auto"/>
        <w:left w:val="none" w:sz="0" w:space="0" w:color="auto"/>
        <w:bottom w:val="none" w:sz="0" w:space="0" w:color="auto"/>
        <w:right w:val="none" w:sz="0" w:space="0" w:color="auto"/>
      </w:divBdr>
      <w:divsChild>
        <w:div w:id="2027562287">
          <w:marLeft w:val="0"/>
          <w:marRight w:val="0"/>
          <w:marTop w:val="0"/>
          <w:marBottom w:val="0"/>
          <w:divBdr>
            <w:top w:val="none" w:sz="0" w:space="0" w:color="auto"/>
            <w:left w:val="none" w:sz="0" w:space="0" w:color="auto"/>
            <w:bottom w:val="none" w:sz="0" w:space="0" w:color="auto"/>
            <w:right w:val="none" w:sz="0" w:space="0" w:color="auto"/>
          </w:divBdr>
        </w:div>
      </w:divsChild>
    </w:div>
    <w:div w:id="69156230">
      <w:marLeft w:val="0"/>
      <w:marRight w:val="0"/>
      <w:marTop w:val="0"/>
      <w:marBottom w:val="0"/>
      <w:divBdr>
        <w:top w:val="none" w:sz="0" w:space="0" w:color="auto"/>
        <w:left w:val="none" w:sz="0" w:space="0" w:color="auto"/>
        <w:bottom w:val="none" w:sz="0" w:space="0" w:color="auto"/>
        <w:right w:val="none" w:sz="0" w:space="0" w:color="auto"/>
      </w:divBdr>
    </w:div>
    <w:div w:id="69229905">
      <w:marLeft w:val="0"/>
      <w:marRight w:val="0"/>
      <w:marTop w:val="0"/>
      <w:marBottom w:val="0"/>
      <w:divBdr>
        <w:top w:val="none" w:sz="0" w:space="0" w:color="auto"/>
        <w:left w:val="none" w:sz="0" w:space="0" w:color="auto"/>
        <w:bottom w:val="none" w:sz="0" w:space="0" w:color="auto"/>
        <w:right w:val="none" w:sz="0" w:space="0" w:color="auto"/>
      </w:divBdr>
    </w:div>
    <w:div w:id="72968603">
      <w:marLeft w:val="0"/>
      <w:marRight w:val="0"/>
      <w:marTop w:val="0"/>
      <w:marBottom w:val="0"/>
      <w:divBdr>
        <w:top w:val="none" w:sz="0" w:space="0" w:color="auto"/>
        <w:left w:val="none" w:sz="0" w:space="0" w:color="auto"/>
        <w:bottom w:val="none" w:sz="0" w:space="0" w:color="auto"/>
        <w:right w:val="none" w:sz="0" w:space="0" w:color="auto"/>
      </w:divBdr>
    </w:div>
    <w:div w:id="73205692">
      <w:marLeft w:val="0"/>
      <w:marRight w:val="0"/>
      <w:marTop w:val="0"/>
      <w:marBottom w:val="0"/>
      <w:divBdr>
        <w:top w:val="none" w:sz="0" w:space="0" w:color="auto"/>
        <w:left w:val="none" w:sz="0" w:space="0" w:color="auto"/>
        <w:bottom w:val="none" w:sz="0" w:space="0" w:color="auto"/>
        <w:right w:val="none" w:sz="0" w:space="0" w:color="auto"/>
      </w:divBdr>
    </w:div>
    <w:div w:id="74591193">
      <w:marLeft w:val="0"/>
      <w:marRight w:val="0"/>
      <w:marTop w:val="100"/>
      <w:marBottom w:val="100"/>
      <w:divBdr>
        <w:top w:val="none" w:sz="0" w:space="0" w:color="auto"/>
        <w:left w:val="none" w:sz="0" w:space="0" w:color="auto"/>
        <w:bottom w:val="none" w:sz="0" w:space="0" w:color="auto"/>
        <w:right w:val="none" w:sz="0" w:space="0" w:color="auto"/>
      </w:divBdr>
    </w:div>
    <w:div w:id="74861905">
      <w:marLeft w:val="0"/>
      <w:marRight w:val="0"/>
      <w:marTop w:val="0"/>
      <w:marBottom w:val="0"/>
      <w:divBdr>
        <w:top w:val="none" w:sz="0" w:space="0" w:color="auto"/>
        <w:left w:val="none" w:sz="0" w:space="0" w:color="auto"/>
        <w:bottom w:val="none" w:sz="0" w:space="0" w:color="auto"/>
        <w:right w:val="none" w:sz="0" w:space="0" w:color="auto"/>
      </w:divBdr>
    </w:div>
    <w:div w:id="74981581">
      <w:marLeft w:val="0"/>
      <w:marRight w:val="0"/>
      <w:marTop w:val="0"/>
      <w:marBottom w:val="0"/>
      <w:divBdr>
        <w:top w:val="none" w:sz="0" w:space="0" w:color="auto"/>
        <w:left w:val="none" w:sz="0" w:space="0" w:color="auto"/>
        <w:bottom w:val="none" w:sz="0" w:space="0" w:color="auto"/>
        <w:right w:val="none" w:sz="0" w:space="0" w:color="auto"/>
      </w:divBdr>
    </w:div>
    <w:div w:id="75984739">
      <w:marLeft w:val="0"/>
      <w:marRight w:val="0"/>
      <w:marTop w:val="0"/>
      <w:marBottom w:val="0"/>
      <w:divBdr>
        <w:top w:val="none" w:sz="0" w:space="0" w:color="auto"/>
        <w:left w:val="none" w:sz="0" w:space="0" w:color="auto"/>
        <w:bottom w:val="none" w:sz="0" w:space="0" w:color="auto"/>
        <w:right w:val="none" w:sz="0" w:space="0" w:color="auto"/>
      </w:divBdr>
    </w:div>
    <w:div w:id="76677508">
      <w:marLeft w:val="0"/>
      <w:marRight w:val="0"/>
      <w:marTop w:val="0"/>
      <w:marBottom w:val="0"/>
      <w:divBdr>
        <w:top w:val="none" w:sz="0" w:space="0" w:color="auto"/>
        <w:left w:val="none" w:sz="0" w:space="0" w:color="auto"/>
        <w:bottom w:val="none" w:sz="0" w:space="0" w:color="auto"/>
        <w:right w:val="none" w:sz="0" w:space="0" w:color="auto"/>
      </w:divBdr>
    </w:div>
    <w:div w:id="78797029">
      <w:marLeft w:val="0"/>
      <w:marRight w:val="0"/>
      <w:marTop w:val="0"/>
      <w:marBottom w:val="0"/>
      <w:divBdr>
        <w:top w:val="none" w:sz="0" w:space="0" w:color="auto"/>
        <w:left w:val="none" w:sz="0" w:space="0" w:color="auto"/>
        <w:bottom w:val="none" w:sz="0" w:space="0" w:color="auto"/>
        <w:right w:val="none" w:sz="0" w:space="0" w:color="auto"/>
      </w:divBdr>
    </w:div>
    <w:div w:id="80151815">
      <w:marLeft w:val="0"/>
      <w:marRight w:val="0"/>
      <w:marTop w:val="0"/>
      <w:marBottom w:val="0"/>
      <w:divBdr>
        <w:top w:val="none" w:sz="0" w:space="0" w:color="auto"/>
        <w:left w:val="none" w:sz="0" w:space="0" w:color="auto"/>
        <w:bottom w:val="none" w:sz="0" w:space="0" w:color="auto"/>
        <w:right w:val="none" w:sz="0" w:space="0" w:color="auto"/>
      </w:divBdr>
      <w:divsChild>
        <w:div w:id="1551767497">
          <w:marLeft w:val="0"/>
          <w:marRight w:val="0"/>
          <w:marTop w:val="0"/>
          <w:marBottom w:val="0"/>
          <w:divBdr>
            <w:top w:val="none" w:sz="0" w:space="0" w:color="auto"/>
            <w:left w:val="none" w:sz="0" w:space="0" w:color="auto"/>
            <w:bottom w:val="none" w:sz="0" w:space="0" w:color="auto"/>
            <w:right w:val="none" w:sz="0" w:space="0" w:color="auto"/>
          </w:divBdr>
        </w:div>
      </w:divsChild>
    </w:div>
    <w:div w:id="80614040">
      <w:marLeft w:val="0"/>
      <w:marRight w:val="0"/>
      <w:marTop w:val="0"/>
      <w:marBottom w:val="0"/>
      <w:divBdr>
        <w:top w:val="none" w:sz="0" w:space="0" w:color="auto"/>
        <w:left w:val="none" w:sz="0" w:space="0" w:color="auto"/>
        <w:bottom w:val="none" w:sz="0" w:space="0" w:color="auto"/>
        <w:right w:val="none" w:sz="0" w:space="0" w:color="auto"/>
      </w:divBdr>
    </w:div>
    <w:div w:id="81296854">
      <w:marLeft w:val="0"/>
      <w:marRight w:val="0"/>
      <w:marTop w:val="0"/>
      <w:marBottom w:val="0"/>
      <w:divBdr>
        <w:top w:val="none" w:sz="0" w:space="0" w:color="auto"/>
        <w:left w:val="none" w:sz="0" w:space="0" w:color="auto"/>
        <w:bottom w:val="none" w:sz="0" w:space="0" w:color="auto"/>
        <w:right w:val="none" w:sz="0" w:space="0" w:color="auto"/>
      </w:divBdr>
    </w:div>
    <w:div w:id="81685400">
      <w:marLeft w:val="0"/>
      <w:marRight w:val="0"/>
      <w:marTop w:val="0"/>
      <w:marBottom w:val="0"/>
      <w:divBdr>
        <w:top w:val="none" w:sz="0" w:space="0" w:color="auto"/>
        <w:left w:val="none" w:sz="0" w:space="0" w:color="auto"/>
        <w:bottom w:val="none" w:sz="0" w:space="0" w:color="auto"/>
        <w:right w:val="none" w:sz="0" w:space="0" w:color="auto"/>
      </w:divBdr>
    </w:div>
    <w:div w:id="82607782">
      <w:marLeft w:val="0"/>
      <w:marRight w:val="0"/>
      <w:marTop w:val="0"/>
      <w:marBottom w:val="0"/>
      <w:divBdr>
        <w:top w:val="none" w:sz="0" w:space="0" w:color="auto"/>
        <w:left w:val="none" w:sz="0" w:space="0" w:color="auto"/>
        <w:bottom w:val="none" w:sz="0" w:space="0" w:color="auto"/>
        <w:right w:val="none" w:sz="0" w:space="0" w:color="auto"/>
      </w:divBdr>
    </w:div>
    <w:div w:id="82728939">
      <w:marLeft w:val="0"/>
      <w:marRight w:val="0"/>
      <w:marTop w:val="20"/>
      <w:marBottom w:val="20"/>
      <w:divBdr>
        <w:top w:val="none" w:sz="0" w:space="0" w:color="auto"/>
        <w:left w:val="none" w:sz="0" w:space="0" w:color="auto"/>
        <w:bottom w:val="none" w:sz="0" w:space="0" w:color="auto"/>
        <w:right w:val="none" w:sz="0" w:space="0" w:color="auto"/>
      </w:divBdr>
    </w:div>
    <w:div w:id="84033428">
      <w:marLeft w:val="0"/>
      <w:marRight w:val="0"/>
      <w:marTop w:val="0"/>
      <w:marBottom w:val="0"/>
      <w:divBdr>
        <w:top w:val="none" w:sz="0" w:space="0" w:color="auto"/>
        <w:left w:val="none" w:sz="0" w:space="0" w:color="auto"/>
        <w:bottom w:val="none" w:sz="0" w:space="0" w:color="auto"/>
        <w:right w:val="none" w:sz="0" w:space="0" w:color="auto"/>
      </w:divBdr>
      <w:divsChild>
        <w:div w:id="906038480">
          <w:marLeft w:val="0"/>
          <w:marRight w:val="0"/>
          <w:marTop w:val="0"/>
          <w:marBottom w:val="0"/>
          <w:divBdr>
            <w:top w:val="none" w:sz="0" w:space="0" w:color="auto"/>
            <w:left w:val="none" w:sz="0" w:space="0" w:color="auto"/>
            <w:bottom w:val="none" w:sz="0" w:space="0" w:color="auto"/>
            <w:right w:val="none" w:sz="0" w:space="0" w:color="auto"/>
          </w:divBdr>
        </w:div>
      </w:divsChild>
    </w:div>
    <w:div w:id="85150384">
      <w:marLeft w:val="0"/>
      <w:marRight w:val="0"/>
      <w:marTop w:val="0"/>
      <w:marBottom w:val="0"/>
      <w:divBdr>
        <w:top w:val="none" w:sz="0" w:space="0" w:color="auto"/>
        <w:left w:val="none" w:sz="0" w:space="0" w:color="auto"/>
        <w:bottom w:val="none" w:sz="0" w:space="0" w:color="auto"/>
        <w:right w:val="none" w:sz="0" w:space="0" w:color="auto"/>
      </w:divBdr>
    </w:div>
    <w:div w:id="85805989">
      <w:marLeft w:val="0"/>
      <w:marRight w:val="0"/>
      <w:marTop w:val="0"/>
      <w:marBottom w:val="0"/>
      <w:divBdr>
        <w:top w:val="none" w:sz="0" w:space="0" w:color="auto"/>
        <w:left w:val="none" w:sz="0" w:space="0" w:color="auto"/>
        <w:bottom w:val="none" w:sz="0" w:space="0" w:color="auto"/>
        <w:right w:val="none" w:sz="0" w:space="0" w:color="auto"/>
      </w:divBdr>
    </w:div>
    <w:div w:id="86463918">
      <w:marLeft w:val="0"/>
      <w:marRight w:val="0"/>
      <w:marTop w:val="0"/>
      <w:marBottom w:val="0"/>
      <w:divBdr>
        <w:top w:val="none" w:sz="0" w:space="0" w:color="auto"/>
        <w:left w:val="none" w:sz="0" w:space="0" w:color="auto"/>
        <w:bottom w:val="none" w:sz="0" w:space="0" w:color="auto"/>
        <w:right w:val="none" w:sz="0" w:space="0" w:color="auto"/>
      </w:divBdr>
    </w:div>
    <w:div w:id="87704262">
      <w:marLeft w:val="0"/>
      <w:marRight w:val="0"/>
      <w:marTop w:val="0"/>
      <w:marBottom w:val="0"/>
      <w:divBdr>
        <w:top w:val="none" w:sz="0" w:space="0" w:color="auto"/>
        <w:left w:val="none" w:sz="0" w:space="0" w:color="auto"/>
        <w:bottom w:val="none" w:sz="0" w:space="0" w:color="auto"/>
        <w:right w:val="none" w:sz="0" w:space="0" w:color="auto"/>
      </w:divBdr>
    </w:div>
    <w:div w:id="87888395">
      <w:marLeft w:val="0"/>
      <w:marRight w:val="0"/>
      <w:marTop w:val="0"/>
      <w:marBottom w:val="0"/>
      <w:divBdr>
        <w:top w:val="none" w:sz="0" w:space="0" w:color="auto"/>
        <w:left w:val="none" w:sz="0" w:space="0" w:color="auto"/>
        <w:bottom w:val="none" w:sz="0" w:space="0" w:color="auto"/>
        <w:right w:val="none" w:sz="0" w:space="0" w:color="auto"/>
      </w:divBdr>
    </w:div>
    <w:div w:id="88089939">
      <w:marLeft w:val="0"/>
      <w:marRight w:val="0"/>
      <w:marTop w:val="0"/>
      <w:marBottom w:val="0"/>
      <w:divBdr>
        <w:top w:val="none" w:sz="0" w:space="0" w:color="auto"/>
        <w:left w:val="none" w:sz="0" w:space="0" w:color="auto"/>
        <w:bottom w:val="none" w:sz="0" w:space="0" w:color="auto"/>
        <w:right w:val="none" w:sz="0" w:space="0" w:color="auto"/>
      </w:divBdr>
    </w:div>
    <w:div w:id="88166632">
      <w:marLeft w:val="0"/>
      <w:marRight w:val="0"/>
      <w:marTop w:val="0"/>
      <w:marBottom w:val="0"/>
      <w:divBdr>
        <w:top w:val="none" w:sz="0" w:space="0" w:color="auto"/>
        <w:left w:val="none" w:sz="0" w:space="0" w:color="auto"/>
        <w:bottom w:val="none" w:sz="0" w:space="0" w:color="auto"/>
        <w:right w:val="none" w:sz="0" w:space="0" w:color="auto"/>
      </w:divBdr>
    </w:div>
    <w:div w:id="92481805">
      <w:marLeft w:val="0"/>
      <w:marRight w:val="0"/>
      <w:marTop w:val="0"/>
      <w:marBottom w:val="0"/>
      <w:divBdr>
        <w:top w:val="none" w:sz="0" w:space="0" w:color="auto"/>
        <w:left w:val="none" w:sz="0" w:space="0" w:color="auto"/>
        <w:bottom w:val="none" w:sz="0" w:space="0" w:color="auto"/>
        <w:right w:val="none" w:sz="0" w:space="0" w:color="auto"/>
      </w:divBdr>
    </w:div>
    <w:div w:id="96103619">
      <w:marLeft w:val="0"/>
      <w:marRight w:val="0"/>
      <w:marTop w:val="0"/>
      <w:marBottom w:val="0"/>
      <w:divBdr>
        <w:top w:val="none" w:sz="0" w:space="0" w:color="auto"/>
        <w:left w:val="none" w:sz="0" w:space="0" w:color="auto"/>
        <w:bottom w:val="none" w:sz="0" w:space="0" w:color="auto"/>
        <w:right w:val="none" w:sz="0" w:space="0" w:color="auto"/>
      </w:divBdr>
    </w:div>
    <w:div w:id="97142970">
      <w:marLeft w:val="0"/>
      <w:marRight w:val="0"/>
      <w:marTop w:val="0"/>
      <w:marBottom w:val="0"/>
      <w:divBdr>
        <w:top w:val="none" w:sz="0" w:space="0" w:color="auto"/>
        <w:left w:val="none" w:sz="0" w:space="0" w:color="auto"/>
        <w:bottom w:val="none" w:sz="0" w:space="0" w:color="auto"/>
        <w:right w:val="none" w:sz="0" w:space="0" w:color="auto"/>
      </w:divBdr>
    </w:div>
    <w:div w:id="98181395">
      <w:marLeft w:val="0"/>
      <w:marRight w:val="0"/>
      <w:marTop w:val="0"/>
      <w:marBottom w:val="0"/>
      <w:divBdr>
        <w:top w:val="none" w:sz="0" w:space="0" w:color="auto"/>
        <w:left w:val="none" w:sz="0" w:space="0" w:color="auto"/>
        <w:bottom w:val="none" w:sz="0" w:space="0" w:color="auto"/>
        <w:right w:val="none" w:sz="0" w:space="0" w:color="auto"/>
      </w:divBdr>
    </w:div>
    <w:div w:id="98766727">
      <w:marLeft w:val="0"/>
      <w:marRight w:val="0"/>
      <w:marTop w:val="0"/>
      <w:marBottom w:val="0"/>
      <w:divBdr>
        <w:top w:val="none" w:sz="0" w:space="0" w:color="auto"/>
        <w:left w:val="none" w:sz="0" w:space="0" w:color="auto"/>
        <w:bottom w:val="none" w:sz="0" w:space="0" w:color="auto"/>
        <w:right w:val="none" w:sz="0" w:space="0" w:color="auto"/>
      </w:divBdr>
    </w:div>
    <w:div w:id="99691398">
      <w:marLeft w:val="0"/>
      <w:marRight w:val="0"/>
      <w:marTop w:val="0"/>
      <w:marBottom w:val="0"/>
      <w:divBdr>
        <w:top w:val="none" w:sz="0" w:space="0" w:color="auto"/>
        <w:left w:val="none" w:sz="0" w:space="0" w:color="auto"/>
        <w:bottom w:val="none" w:sz="0" w:space="0" w:color="auto"/>
        <w:right w:val="none" w:sz="0" w:space="0" w:color="auto"/>
      </w:divBdr>
    </w:div>
    <w:div w:id="102312063">
      <w:marLeft w:val="0"/>
      <w:marRight w:val="0"/>
      <w:marTop w:val="0"/>
      <w:marBottom w:val="0"/>
      <w:divBdr>
        <w:top w:val="none" w:sz="0" w:space="0" w:color="auto"/>
        <w:left w:val="none" w:sz="0" w:space="0" w:color="auto"/>
        <w:bottom w:val="none" w:sz="0" w:space="0" w:color="auto"/>
        <w:right w:val="none" w:sz="0" w:space="0" w:color="auto"/>
      </w:divBdr>
      <w:divsChild>
        <w:div w:id="477847175">
          <w:marLeft w:val="0"/>
          <w:marRight w:val="0"/>
          <w:marTop w:val="0"/>
          <w:marBottom w:val="0"/>
          <w:divBdr>
            <w:top w:val="none" w:sz="0" w:space="0" w:color="auto"/>
            <w:left w:val="none" w:sz="0" w:space="0" w:color="auto"/>
            <w:bottom w:val="none" w:sz="0" w:space="0" w:color="auto"/>
            <w:right w:val="none" w:sz="0" w:space="0" w:color="auto"/>
          </w:divBdr>
        </w:div>
      </w:divsChild>
    </w:div>
    <w:div w:id="102312589">
      <w:marLeft w:val="0"/>
      <w:marRight w:val="0"/>
      <w:marTop w:val="0"/>
      <w:marBottom w:val="0"/>
      <w:divBdr>
        <w:top w:val="none" w:sz="0" w:space="0" w:color="auto"/>
        <w:left w:val="none" w:sz="0" w:space="0" w:color="auto"/>
        <w:bottom w:val="none" w:sz="0" w:space="0" w:color="auto"/>
        <w:right w:val="none" w:sz="0" w:space="0" w:color="auto"/>
      </w:divBdr>
    </w:div>
    <w:div w:id="102771859">
      <w:marLeft w:val="0"/>
      <w:marRight w:val="0"/>
      <w:marTop w:val="0"/>
      <w:marBottom w:val="0"/>
      <w:divBdr>
        <w:top w:val="none" w:sz="0" w:space="0" w:color="auto"/>
        <w:left w:val="none" w:sz="0" w:space="0" w:color="auto"/>
        <w:bottom w:val="none" w:sz="0" w:space="0" w:color="auto"/>
        <w:right w:val="none" w:sz="0" w:space="0" w:color="auto"/>
      </w:divBdr>
    </w:div>
    <w:div w:id="103159432">
      <w:marLeft w:val="0"/>
      <w:marRight w:val="0"/>
      <w:marTop w:val="0"/>
      <w:marBottom w:val="0"/>
      <w:divBdr>
        <w:top w:val="none" w:sz="0" w:space="0" w:color="auto"/>
        <w:left w:val="none" w:sz="0" w:space="0" w:color="auto"/>
        <w:bottom w:val="none" w:sz="0" w:space="0" w:color="auto"/>
        <w:right w:val="none" w:sz="0" w:space="0" w:color="auto"/>
      </w:divBdr>
    </w:div>
    <w:div w:id="103809331">
      <w:marLeft w:val="0"/>
      <w:marRight w:val="0"/>
      <w:marTop w:val="0"/>
      <w:marBottom w:val="0"/>
      <w:divBdr>
        <w:top w:val="none" w:sz="0" w:space="0" w:color="auto"/>
        <w:left w:val="none" w:sz="0" w:space="0" w:color="auto"/>
        <w:bottom w:val="none" w:sz="0" w:space="0" w:color="auto"/>
        <w:right w:val="none" w:sz="0" w:space="0" w:color="auto"/>
      </w:divBdr>
    </w:div>
    <w:div w:id="104083478">
      <w:marLeft w:val="0"/>
      <w:marRight w:val="0"/>
      <w:marTop w:val="0"/>
      <w:marBottom w:val="0"/>
      <w:divBdr>
        <w:top w:val="none" w:sz="0" w:space="0" w:color="auto"/>
        <w:left w:val="none" w:sz="0" w:space="0" w:color="auto"/>
        <w:bottom w:val="none" w:sz="0" w:space="0" w:color="auto"/>
        <w:right w:val="none" w:sz="0" w:space="0" w:color="auto"/>
      </w:divBdr>
    </w:div>
    <w:div w:id="104617016">
      <w:marLeft w:val="0"/>
      <w:marRight w:val="0"/>
      <w:marTop w:val="0"/>
      <w:marBottom w:val="0"/>
      <w:divBdr>
        <w:top w:val="none" w:sz="0" w:space="0" w:color="auto"/>
        <w:left w:val="none" w:sz="0" w:space="0" w:color="auto"/>
        <w:bottom w:val="none" w:sz="0" w:space="0" w:color="auto"/>
        <w:right w:val="none" w:sz="0" w:space="0" w:color="auto"/>
      </w:divBdr>
      <w:divsChild>
        <w:div w:id="98070596">
          <w:marLeft w:val="0"/>
          <w:marRight w:val="0"/>
          <w:marTop w:val="0"/>
          <w:marBottom w:val="0"/>
          <w:divBdr>
            <w:top w:val="none" w:sz="0" w:space="0" w:color="auto"/>
            <w:left w:val="none" w:sz="0" w:space="0" w:color="auto"/>
            <w:bottom w:val="none" w:sz="0" w:space="0" w:color="auto"/>
            <w:right w:val="none" w:sz="0" w:space="0" w:color="auto"/>
          </w:divBdr>
        </w:div>
      </w:divsChild>
    </w:div>
    <w:div w:id="105008850">
      <w:marLeft w:val="0"/>
      <w:marRight w:val="0"/>
      <w:marTop w:val="0"/>
      <w:marBottom w:val="0"/>
      <w:divBdr>
        <w:top w:val="none" w:sz="0" w:space="0" w:color="auto"/>
        <w:left w:val="none" w:sz="0" w:space="0" w:color="auto"/>
        <w:bottom w:val="none" w:sz="0" w:space="0" w:color="auto"/>
        <w:right w:val="none" w:sz="0" w:space="0" w:color="auto"/>
      </w:divBdr>
    </w:div>
    <w:div w:id="105123768">
      <w:marLeft w:val="0"/>
      <w:marRight w:val="0"/>
      <w:marTop w:val="0"/>
      <w:marBottom w:val="0"/>
      <w:divBdr>
        <w:top w:val="none" w:sz="0" w:space="0" w:color="auto"/>
        <w:left w:val="none" w:sz="0" w:space="0" w:color="auto"/>
        <w:bottom w:val="none" w:sz="0" w:space="0" w:color="auto"/>
        <w:right w:val="none" w:sz="0" w:space="0" w:color="auto"/>
      </w:divBdr>
    </w:div>
    <w:div w:id="105513167">
      <w:marLeft w:val="0"/>
      <w:marRight w:val="0"/>
      <w:marTop w:val="0"/>
      <w:marBottom w:val="0"/>
      <w:divBdr>
        <w:top w:val="none" w:sz="0" w:space="0" w:color="auto"/>
        <w:left w:val="none" w:sz="0" w:space="0" w:color="auto"/>
        <w:bottom w:val="none" w:sz="0" w:space="0" w:color="auto"/>
        <w:right w:val="none" w:sz="0" w:space="0" w:color="auto"/>
      </w:divBdr>
    </w:div>
    <w:div w:id="106124481">
      <w:marLeft w:val="0"/>
      <w:marRight w:val="0"/>
      <w:marTop w:val="0"/>
      <w:marBottom w:val="0"/>
      <w:divBdr>
        <w:top w:val="none" w:sz="0" w:space="0" w:color="auto"/>
        <w:left w:val="none" w:sz="0" w:space="0" w:color="auto"/>
        <w:bottom w:val="none" w:sz="0" w:space="0" w:color="auto"/>
        <w:right w:val="none" w:sz="0" w:space="0" w:color="auto"/>
      </w:divBdr>
    </w:div>
    <w:div w:id="107549221">
      <w:marLeft w:val="0"/>
      <w:marRight w:val="0"/>
      <w:marTop w:val="0"/>
      <w:marBottom w:val="0"/>
      <w:divBdr>
        <w:top w:val="none" w:sz="0" w:space="0" w:color="auto"/>
        <w:left w:val="none" w:sz="0" w:space="0" w:color="auto"/>
        <w:bottom w:val="none" w:sz="0" w:space="0" w:color="auto"/>
        <w:right w:val="none" w:sz="0" w:space="0" w:color="auto"/>
      </w:divBdr>
      <w:divsChild>
        <w:div w:id="519398097">
          <w:marLeft w:val="0"/>
          <w:marRight w:val="0"/>
          <w:marTop w:val="0"/>
          <w:marBottom w:val="0"/>
          <w:divBdr>
            <w:top w:val="none" w:sz="0" w:space="0" w:color="auto"/>
            <w:left w:val="none" w:sz="0" w:space="0" w:color="auto"/>
            <w:bottom w:val="none" w:sz="0" w:space="0" w:color="auto"/>
            <w:right w:val="none" w:sz="0" w:space="0" w:color="auto"/>
          </w:divBdr>
        </w:div>
      </w:divsChild>
    </w:div>
    <w:div w:id="107625491">
      <w:marLeft w:val="0"/>
      <w:marRight w:val="0"/>
      <w:marTop w:val="0"/>
      <w:marBottom w:val="0"/>
      <w:divBdr>
        <w:top w:val="none" w:sz="0" w:space="0" w:color="auto"/>
        <w:left w:val="none" w:sz="0" w:space="0" w:color="auto"/>
        <w:bottom w:val="none" w:sz="0" w:space="0" w:color="auto"/>
        <w:right w:val="none" w:sz="0" w:space="0" w:color="auto"/>
      </w:divBdr>
    </w:div>
    <w:div w:id="107631216">
      <w:marLeft w:val="0"/>
      <w:marRight w:val="0"/>
      <w:marTop w:val="0"/>
      <w:marBottom w:val="0"/>
      <w:divBdr>
        <w:top w:val="none" w:sz="0" w:space="0" w:color="auto"/>
        <w:left w:val="none" w:sz="0" w:space="0" w:color="auto"/>
        <w:bottom w:val="none" w:sz="0" w:space="0" w:color="auto"/>
        <w:right w:val="none" w:sz="0" w:space="0" w:color="auto"/>
      </w:divBdr>
    </w:div>
    <w:div w:id="109708557">
      <w:marLeft w:val="0"/>
      <w:marRight w:val="0"/>
      <w:marTop w:val="0"/>
      <w:marBottom w:val="200"/>
      <w:divBdr>
        <w:top w:val="none" w:sz="0" w:space="0" w:color="auto"/>
        <w:left w:val="none" w:sz="0" w:space="0" w:color="auto"/>
        <w:bottom w:val="none" w:sz="0" w:space="0" w:color="auto"/>
        <w:right w:val="none" w:sz="0" w:space="0" w:color="auto"/>
      </w:divBdr>
    </w:div>
    <w:div w:id="109710267">
      <w:marLeft w:val="0"/>
      <w:marRight w:val="0"/>
      <w:marTop w:val="0"/>
      <w:marBottom w:val="0"/>
      <w:divBdr>
        <w:top w:val="none" w:sz="0" w:space="0" w:color="auto"/>
        <w:left w:val="none" w:sz="0" w:space="0" w:color="auto"/>
        <w:bottom w:val="none" w:sz="0" w:space="0" w:color="auto"/>
        <w:right w:val="none" w:sz="0" w:space="0" w:color="auto"/>
      </w:divBdr>
    </w:div>
    <w:div w:id="109933512">
      <w:marLeft w:val="0"/>
      <w:marRight w:val="0"/>
      <w:marTop w:val="0"/>
      <w:marBottom w:val="0"/>
      <w:divBdr>
        <w:top w:val="none" w:sz="0" w:space="0" w:color="auto"/>
        <w:left w:val="none" w:sz="0" w:space="0" w:color="auto"/>
        <w:bottom w:val="none" w:sz="0" w:space="0" w:color="auto"/>
        <w:right w:val="none" w:sz="0" w:space="0" w:color="auto"/>
      </w:divBdr>
    </w:div>
    <w:div w:id="111049716">
      <w:marLeft w:val="0"/>
      <w:marRight w:val="0"/>
      <w:marTop w:val="0"/>
      <w:marBottom w:val="0"/>
      <w:divBdr>
        <w:top w:val="none" w:sz="0" w:space="0" w:color="auto"/>
        <w:left w:val="none" w:sz="0" w:space="0" w:color="auto"/>
        <w:bottom w:val="none" w:sz="0" w:space="0" w:color="auto"/>
        <w:right w:val="none" w:sz="0" w:space="0" w:color="auto"/>
      </w:divBdr>
    </w:div>
    <w:div w:id="111216458">
      <w:marLeft w:val="0"/>
      <w:marRight w:val="0"/>
      <w:marTop w:val="0"/>
      <w:marBottom w:val="0"/>
      <w:divBdr>
        <w:top w:val="none" w:sz="0" w:space="0" w:color="auto"/>
        <w:left w:val="none" w:sz="0" w:space="0" w:color="auto"/>
        <w:bottom w:val="none" w:sz="0" w:space="0" w:color="auto"/>
        <w:right w:val="none" w:sz="0" w:space="0" w:color="auto"/>
      </w:divBdr>
    </w:div>
    <w:div w:id="111630425">
      <w:marLeft w:val="0"/>
      <w:marRight w:val="0"/>
      <w:marTop w:val="0"/>
      <w:marBottom w:val="0"/>
      <w:divBdr>
        <w:top w:val="none" w:sz="0" w:space="0" w:color="auto"/>
        <w:left w:val="none" w:sz="0" w:space="0" w:color="auto"/>
        <w:bottom w:val="none" w:sz="0" w:space="0" w:color="auto"/>
        <w:right w:val="none" w:sz="0" w:space="0" w:color="auto"/>
      </w:divBdr>
    </w:div>
    <w:div w:id="112796469">
      <w:marLeft w:val="0"/>
      <w:marRight w:val="0"/>
      <w:marTop w:val="0"/>
      <w:marBottom w:val="0"/>
      <w:divBdr>
        <w:top w:val="none" w:sz="0" w:space="0" w:color="auto"/>
        <w:left w:val="none" w:sz="0" w:space="0" w:color="auto"/>
        <w:bottom w:val="none" w:sz="0" w:space="0" w:color="auto"/>
        <w:right w:val="none" w:sz="0" w:space="0" w:color="auto"/>
      </w:divBdr>
    </w:div>
    <w:div w:id="114104567">
      <w:marLeft w:val="0"/>
      <w:marRight w:val="0"/>
      <w:marTop w:val="0"/>
      <w:marBottom w:val="0"/>
      <w:divBdr>
        <w:top w:val="none" w:sz="0" w:space="0" w:color="auto"/>
        <w:left w:val="none" w:sz="0" w:space="0" w:color="auto"/>
        <w:bottom w:val="none" w:sz="0" w:space="0" w:color="auto"/>
        <w:right w:val="none" w:sz="0" w:space="0" w:color="auto"/>
      </w:divBdr>
    </w:div>
    <w:div w:id="114107337">
      <w:marLeft w:val="0"/>
      <w:marRight w:val="0"/>
      <w:marTop w:val="0"/>
      <w:marBottom w:val="0"/>
      <w:divBdr>
        <w:top w:val="none" w:sz="0" w:space="0" w:color="auto"/>
        <w:left w:val="none" w:sz="0" w:space="0" w:color="auto"/>
        <w:bottom w:val="none" w:sz="0" w:space="0" w:color="auto"/>
        <w:right w:val="none" w:sz="0" w:space="0" w:color="auto"/>
      </w:divBdr>
    </w:div>
    <w:div w:id="114370419">
      <w:marLeft w:val="0"/>
      <w:marRight w:val="0"/>
      <w:marTop w:val="0"/>
      <w:marBottom w:val="0"/>
      <w:divBdr>
        <w:top w:val="none" w:sz="0" w:space="0" w:color="auto"/>
        <w:left w:val="none" w:sz="0" w:space="0" w:color="auto"/>
        <w:bottom w:val="none" w:sz="0" w:space="0" w:color="auto"/>
        <w:right w:val="none" w:sz="0" w:space="0" w:color="auto"/>
      </w:divBdr>
    </w:div>
    <w:div w:id="116262586">
      <w:marLeft w:val="0"/>
      <w:marRight w:val="0"/>
      <w:marTop w:val="0"/>
      <w:marBottom w:val="0"/>
      <w:divBdr>
        <w:top w:val="none" w:sz="0" w:space="0" w:color="auto"/>
        <w:left w:val="none" w:sz="0" w:space="0" w:color="auto"/>
        <w:bottom w:val="none" w:sz="0" w:space="0" w:color="auto"/>
        <w:right w:val="none" w:sz="0" w:space="0" w:color="auto"/>
      </w:divBdr>
    </w:div>
    <w:div w:id="117459123">
      <w:marLeft w:val="0"/>
      <w:marRight w:val="0"/>
      <w:marTop w:val="0"/>
      <w:marBottom w:val="0"/>
      <w:divBdr>
        <w:top w:val="none" w:sz="0" w:space="0" w:color="auto"/>
        <w:left w:val="none" w:sz="0" w:space="0" w:color="auto"/>
        <w:bottom w:val="none" w:sz="0" w:space="0" w:color="auto"/>
        <w:right w:val="none" w:sz="0" w:space="0" w:color="auto"/>
      </w:divBdr>
    </w:div>
    <w:div w:id="117840419">
      <w:marLeft w:val="0"/>
      <w:marRight w:val="0"/>
      <w:marTop w:val="0"/>
      <w:marBottom w:val="0"/>
      <w:divBdr>
        <w:top w:val="none" w:sz="0" w:space="0" w:color="auto"/>
        <w:left w:val="none" w:sz="0" w:space="0" w:color="auto"/>
        <w:bottom w:val="none" w:sz="0" w:space="0" w:color="auto"/>
        <w:right w:val="none" w:sz="0" w:space="0" w:color="auto"/>
      </w:divBdr>
    </w:div>
    <w:div w:id="118107852">
      <w:marLeft w:val="0"/>
      <w:marRight w:val="0"/>
      <w:marTop w:val="0"/>
      <w:marBottom w:val="0"/>
      <w:divBdr>
        <w:top w:val="none" w:sz="0" w:space="0" w:color="auto"/>
        <w:left w:val="none" w:sz="0" w:space="0" w:color="auto"/>
        <w:bottom w:val="none" w:sz="0" w:space="0" w:color="auto"/>
        <w:right w:val="none" w:sz="0" w:space="0" w:color="auto"/>
      </w:divBdr>
    </w:div>
    <w:div w:id="118112094">
      <w:marLeft w:val="0"/>
      <w:marRight w:val="0"/>
      <w:marTop w:val="0"/>
      <w:marBottom w:val="0"/>
      <w:divBdr>
        <w:top w:val="none" w:sz="0" w:space="0" w:color="auto"/>
        <w:left w:val="none" w:sz="0" w:space="0" w:color="auto"/>
        <w:bottom w:val="none" w:sz="0" w:space="0" w:color="auto"/>
        <w:right w:val="none" w:sz="0" w:space="0" w:color="auto"/>
      </w:divBdr>
    </w:div>
    <w:div w:id="118693858">
      <w:marLeft w:val="0"/>
      <w:marRight w:val="0"/>
      <w:marTop w:val="0"/>
      <w:marBottom w:val="0"/>
      <w:divBdr>
        <w:top w:val="none" w:sz="0" w:space="0" w:color="auto"/>
        <w:left w:val="none" w:sz="0" w:space="0" w:color="auto"/>
        <w:bottom w:val="none" w:sz="0" w:space="0" w:color="auto"/>
        <w:right w:val="none" w:sz="0" w:space="0" w:color="auto"/>
      </w:divBdr>
    </w:div>
    <w:div w:id="118962582">
      <w:marLeft w:val="0"/>
      <w:marRight w:val="0"/>
      <w:marTop w:val="0"/>
      <w:marBottom w:val="0"/>
      <w:divBdr>
        <w:top w:val="none" w:sz="0" w:space="0" w:color="auto"/>
        <w:left w:val="none" w:sz="0" w:space="0" w:color="auto"/>
        <w:bottom w:val="none" w:sz="0" w:space="0" w:color="auto"/>
        <w:right w:val="none" w:sz="0" w:space="0" w:color="auto"/>
      </w:divBdr>
    </w:div>
    <w:div w:id="119887331">
      <w:marLeft w:val="0"/>
      <w:marRight w:val="0"/>
      <w:marTop w:val="0"/>
      <w:marBottom w:val="180"/>
      <w:divBdr>
        <w:top w:val="none" w:sz="0" w:space="0" w:color="auto"/>
        <w:left w:val="none" w:sz="0" w:space="0" w:color="auto"/>
        <w:bottom w:val="none" w:sz="0" w:space="0" w:color="auto"/>
        <w:right w:val="none" w:sz="0" w:space="0" w:color="auto"/>
      </w:divBdr>
    </w:div>
    <w:div w:id="120078882">
      <w:marLeft w:val="0"/>
      <w:marRight w:val="0"/>
      <w:marTop w:val="0"/>
      <w:marBottom w:val="0"/>
      <w:divBdr>
        <w:top w:val="none" w:sz="0" w:space="0" w:color="auto"/>
        <w:left w:val="none" w:sz="0" w:space="0" w:color="auto"/>
        <w:bottom w:val="none" w:sz="0" w:space="0" w:color="auto"/>
        <w:right w:val="none" w:sz="0" w:space="0" w:color="auto"/>
      </w:divBdr>
    </w:div>
    <w:div w:id="120422279">
      <w:marLeft w:val="0"/>
      <w:marRight w:val="0"/>
      <w:marTop w:val="0"/>
      <w:marBottom w:val="0"/>
      <w:divBdr>
        <w:top w:val="none" w:sz="0" w:space="0" w:color="auto"/>
        <w:left w:val="none" w:sz="0" w:space="0" w:color="auto"/>
        <w:bottom w:val="none" w:sz="0" w:space="0" w:color="auto"/>
        <w:right w:val="none" w:sz="0" w:space="0" w:color="auto"/>
      </w:divBdr>
    </w:div>
    <w:div w:id="120609828">
      <w:marLeft w:val="0"/>
      <w:marRight w:val="0"/>
      <w:marTop w:val="0"/>
      <w:marBottom w:val="0"/>
      <w:divBdr>
        <w:top w:val="none" w:sz="0" w:space="0" w:color="auto"/>
        <w:left w:val="none" w:sz="0" w:space="0" w:color="auto"/>
        <w:bottom w:val="none" w:sz="0" w:space="0" w:color="auto"/>
        <w:right w:val="none" w:sz="0" w:space="0" w:color="auto"/>
      </w:divBdr>
    </w:div>
    <w:div w:id="121072603">
      <w:marLeft w:val="0"/>
      <w:marRight w:val="0"/>
      <w:marTop w:val="0"/>
      <w:marBottom w:val="0"/>
      <w:divBdr>
        <w:top w:val="none" w:sz="0" w:space="0" w:color="auto"/>
        <w:left w:val="none" w:sz="0" w:space="0" w:color="auto"/>
        <w:bottom w:val="none" w:sz="0" w:space="0" w:color="auto"/>
        <w:right w:val="none" w:sz="0" w:space="0" w:color="auto"/>
      </w:divBdr>
    </w:div>
    <w:div w:id="121730662">
      <w:marLeft w:val="0"/>
      <w:marRight w:val="0"/>
      <w:marTop w:val="0"/>
      <w:marBottom w:val="0"/>
      <w:divBdr>
        <w:top w:val="none" w:sz="0" w:space="0" w:color="auto"/>
        <w:left w:val="none" w:sz="0" w:space="0" w:color="auto"/>
        <w:bottom w:val="none" w:sz="0" w:space="0" w:color="auto"/>
        <w:right w:val="none" w:sz="0" w:space="0" w:color="auto"/>
      </w:divBdr>
    </w:div>
    <w:div w:id="121730988">
      <w:marLeft w:val="0"/>
      <w:marRight w:val="0"/>
      <w:marTop w:val="0"/>
      <w:marBottom w:val="0"/>
      <w:divBdr>
        <w:top w:val="none" w:sz="0" w:space="0" w:color="auto"/>
        <w:left w:val="none" w:sz="0" w:space="0" w:color="auto"/>
        <w:bottom w:val="none" w:sz="0" w:space="0" w:color="auto"/>
        <w:right w:val="none" w:sz="0" w:space="0" w:color="auto"/>
      </w:divBdr>
    </w:div>
    <w:div w:id="124348099">
      <w:marLeft w:val="0"/>
      <w:marRight w:val="0"/>
      <w:marTop w:val="0"/>
      <w:marBottom w:val="0"/>
      <w:divBdr>
        <w:top w:val="none" w:sz="0" w:space="0" w:color="auto"/>
        <w:left w:val="none" w:sz="0" w:space="0" w:color="auto"/>
        <w:bottom w:val="none" w:sz="0" w:space="0" w:color="auto"/>
        <w:right w:val="none" w:sz="0" w:space="0" w:color="auto"/>
      </w:divBdr>
    </w:div>
    <w:div w:id="124352774">
      <w:marLeft w:val="0"/>
      <w:marRight w:val="0"/>
      <w:marTop w:val="0"/>
      <w:marBottom w:val="0"/>
      <w:divBdr>
        <w:top w:val="none" w:sz="0" w:space="0" w:color="auto"/>
        <w:left w:val="none" w:sz="0" w:space="0" w:color="auto"/>
        <w:bottom w:val="none" w:sz="0" w:space="0" w:color="auto"/>
        <w:right w:val="none" w:sz="0" w:space="0" w:color="auto"/>
      </w:divBdr>
      <w:divsChild>
        <w:div w:id="1531870444">
          <w:marLeft w:val="0"/>
          <w:marRight w:val="0"/>
          <w:marTop w:val="0"/>
          <w:marBottom w:val="0"/>
          <w:divBdr>
            <w:top w:val="none" w:sz="0" w:space="0" w:color="auto"/>
            <w:left w:val="none" w:sz="0" w:space="0" w:color="auto"/>
            <w:bottom w:val="none" w:sz="0" w:space="0" w:color="auto"/>
            <w:right w:val="none" w:sz="0" w:space="0" w:color="auto"/>
          </w:divBdr>
        </w:div>
      </w:divsChild>
    </w:div>
    <w:div w:id="124854402">
      <w:marLeft w:val="0"/>
      <w:marRight w:val="0"/>
      <w:marTop w:val="0"/>
      <w:marBottom w:val="0"/>
      <w:divBdr>
        <w:top w:val="none" w:sz="0" w:space="0" w:color="auto"/>
        <w:left w:val="none" w:sz="0" w:space="0" w:color="auto"/>
        <w:bottom w:val="none" w:sz="0" w:space="0" w:color="auto"/>
        <w:right w:val="none" w:sz="0" w:space="0" w:color="auto"/>
      </w:divBdr>
    </w:div>
    <w:div w:id="125465851">
      <w:marLeft w:val="0"/>
      <w:marRight w:val="0"/>
      <w:marTop w:val="0"/>
      <w:marBottom w:val="0"/>
      <w:divBdr>
        <w:top w:val="none" w:sz="0" w:space="0" w:color="auto"/>
        <w:left w:val="none" w:sz="0" w:space="0" w:color="auto"/>
        <w:bottom w:val="none" w:sz="0" w:space="0" w:color="auto"/>
        <w:right w:val="none" w:sz="0" w:space="0" w:color="auto"/>
      </w:divBdr>
    </w:div>
    <w:div w:id="125900700">
      <w:marLeft w:val="0"/>
      <w:marRight w:val="0"/>
      <w:marTop w:val="0"/>
      <w:marBottom w:val="0"/>
      <w:divBdr>
        <w:top w:val="none" w:sz="0" w:space="0" w:color="auto"/>
        <w:left w:val="none" w:sz="0" w:space="0" w:color="auto"/>
        <w:bottom w:val="none" w:sz="0" w:space="0" w:color="auto"/>
        <w:right w:val="none" w:sz="0" w:space="0" w:color="auto"/>
      </w:divBdr>
    </w:div>
    <w:div w:id="126314630">
      <w:marLeft w:val="0"/>
      <w:marRight w:val="0"/>
      <w:marTop w:val="0"/>
      <w:marBottom w:val="0"/>
      <w:divBdr>
        <w:top w:val="none" w:sz="0" w:space="0" w:color="auto"/>
        <w:left w:val="none" w:sz="0" w:space="0" w:color="auto"/>
        <w:bottom w:val="none" w:sz="0" w:space="0" w:color="auto"/>
        <w:right w:val="none" w:sz="0" w:space="0" w:color="auto"/>
      </w:divBdr>
    </w:div>
    <w:div w:id="126821744">
      <w:marLeft w:val="0"/>
      <w:marRight w:val="0"/>
      <w:marTop w:val="0"/>
      <w:marBottom w:val="0"/>
      <w:divBdr>
        <w:top w:val="none" w:sz="0" w:space="0" w:color="auto"/>
        <w:left w:val="none" w:sz="0" w:space="0" w:color="auto"/>
        <w:bottom w:val="none" w:sz="0" w:space="0" w:color="auto"/>
        <w:right w:val="none" w:sz="0" w:space="0" w:color="auto"/>
      </w:divBdr>
    </w:div>
    <w:div w:id="127942734">
      <w:marLeft w:val="0"/>
      <w:marRight w:val="0"/>
      <w:marTop w:val="0"/>
      <w:marBottom w:val="0"/>
      <w:divBdr>
        <w:top w:val="none" w:sz="0" w:space="0" w:color="auto"/>
        <w:left w:val="none" w:sz="0" w:space="0" w:color="auto"/>
        <w:bottom w:val="none" w:sz="0" w:space="0" w:color="auto"/>
        <w:right w:val="none" w:sz="0" w:space="0" w:color="auto"/>
      </w:divBdr>
    </w:div>
    <w:div w:id="128016814">
      <w:marLeft w:val="0"/>
      <w:marRight w:val="0"/>
      <w:marTop w:val="0"/>
      <w:marBottom w:val="0"/>
      <w:divBdr>
        <w:top w:val="none" w:sz="0" w:space="0" w:color="auto"/>
        <w:left w:val="none" w:sz="0" w:space="0" w:color="auto"/>
        <w:bottom w:val="none" w:sz="0" w:space="0" w:color="auto"/>
        <w:right w:val="none" w:sz="0" w:space="0" w:color="auto"/>
      </w:divBdr>
      <w:divsChild>
        <w:div w:id="1878548350">
          <w:marLeft w:val="0"/>
          <w:marRight w:val="0"/>
          <w:marTop w:val="0"/>
          <w:marBottom w:val="0"/>
          <w:divBdr>
            <w:top w:val="none" w:sz="0" w:space="0" w:color="auto"/>
            <w:left w:val="none" w:sz="0" w:space="0" w:color="auto"/>
            <w:bottom w:val="none" w:sz="0" w:space="0" w:color="auto"/>
            <w:right w:val="none" w:sz="0" w:space="0" w:color="auto"/>
          </w:divBdr>
        </w:div>
      </w:divsChild>
    </w:div>
    <w:div w:id="128206328">
      <w:marLeft w:val="0"/>
      <w:marRight w:val="0"/>
      <w:marTop w:val="0"/>
      <w:marBottom w:val="0"/>
      <w:divBdr>
        <w:top w:val="none" w:sz="0" w:space="0" w:color="auto"/>
        <w:left w:val="none" w:sz="0" w:space="0" w:color="auto"/>
        <w:bottom w:val="none" w:sz="0" w:space="0" w:color="auto"/>
        <w:right w:val="none" w:sz="0" w:space="0" w:color="auto"/>
      </w:divBdr>
    </w:div>
    <w:div w:id="128983584">
      <w:marLeft w:val="0"/>
      <w:marRight w:val="0"/>
      <w:marTop w:val="100"/>
      <w:marBottom w:val="100"/>
      <w:divBdr>
        <w:top w:val="none" w:sz="0" w:space="0" w:color="auto"/>
        <w:left w:val="none" w:sz="0" w:space="0" w:color="auto"/>
        <w:bottom w:val="none" w:sz="0" w:space="0" w:color="auto"/>
        <w:right w:val="none" w:sz="0" w:space="0" w:color="auto"/>
      </w:divBdr>
    </w:div>
    <w:div w:id="130706955">
      <w:marLeft w:val="0"/>
      <w:marRight w:val="0"/>
      <w:marTop w:val="0"/>
      <w:marBottom w:val="0"/>
      <w:divBdr>
        <w:top w:val="none" w:sz="0" w:space="0" w:color="auto"/>
        <w:left w:val="none" w:sz="0" w:space="0" w:color="auto"/>
        <w:bottom w:val="none" w:sz="0" w:space="0" w:color="auto"/>
        <w:right w:val="none" w:sz="0" w:space="0" w:color="auto"/>
      </w:divBdr>
    </w:div>
    <w:div w:id="130900191">
      <w:marLeft w:val="0"/>
      <w:marRight w:val="0"/>
      <w:marTop w:val="0"/>
      <w:marBottom w:val="0"/>
      <w:divBdr>
        <w:top w:val="none" w:sz="0" w:space="0" w:color="auto"/>
        <w:left w:val="none" w:sz="0" w:space="0" w:color="auto"/>
        <w:bottom w:val="none" w:sz="0" w:space="0" w:color="auto"/>
        <w:right w:val="none" w:sz="0" w:space="0" w:color="auto"/>
      </w:divBdr>
    </w:div>
    <w:div w:id="131798015">
      <w:marLeft w:val="0"/>
      <w:marRight w:val="0"/>
      <w:marTop w:val="0"/>
      <w:marBottom w:val="0"/>
      <w:divBdr>
        <w:top w:val="none" w:sz="0" w:space="0" w:color="auto"/>
        <w:left w:val="none" w:sz="0" w:space="0" w:color="auto"/>
        <w:bottom w:val="none" w:sz="0" w:space="0" w:color="auto"/>
        <w:right w:val="none" w:sz="0" w:space="0" w:color="auto"/>
      </w:divBdr>
      <w:divsChild>
        <w:div w:id="1462844507">
          <w:marLeft w:val="0"/>
          <w:marRight w:val="0"/>
          <w:marTop w:val="0"/>
          <w:marBottom w:val="0"/>
          <w:divBdr>
            <w:top w:val="none" w:sz="0" w:space="0" w:color="auto"/>
            <w:left w:val="none" w:sz="0" w:space="0" w:color="auto"/>
            <w:bottom w:val="none" w:sz="0" w:space="0" w:color="auto"/>
            <w:right w:val="none" w:sz="0" w:space="0" w:color="auto"/>
          </w:divBdr>
        </w:div>
      </w:divsChild>
    </w:div>
    <w:div w:id="131872569">
      <w:marLeft w:val="0"/>
      <w:marRight w:val="0"/>
      <w:marTop w:val="0"/>
      <w:marBottom w:val="0"/>
      <w:divBdr>
        <w:top w:val="none" w:sz="0" w:space="0" w:color="auto"/>
        <w:left w:val="none" w:sz="0" w:space="0" w:color="auto"/>
        <w:bottom w:val="none" w:sz="0" w:space="0" w:color="auto"/>
        <w:right w:val="none" w:sz="0" w:space="0" w:color="auto"/>
      </w:divBdr>
    </w:div>
    <w:div w:id="132799733">
      <w:marLeft w:val="0"/>
      <w:marRight w:val="0"/>
      <w:marTop w:val="0"/>
      <w:marBottom w:val="0"/>
      <w:divBdr>
        <w:top w:val="none" w:sz="0" w:space="0" w:color="auto"/>
        <w:left w:val="none" w:sz="0" w:space="0" w:color="auto"/>
        <w:bottom w:val="none" w:sz="0" w:space="0" w:color="auto"/>
        <w:right w:val="none" w:sz="0" w:space="0" w:color="auto"/>
      </w:divBdr>
    </w:div>
    <w:div w:id="133525393">
      <w:marLeft w:val="0"/>
      <w:marRight w:val="0"/>
      <w:marTop w:val="0"/>
      <w:marBottom w:val="0"/>
      <w:divBdr>
        <w:top w:val="none" w:sz="0" w:space="0" w:color="auto"/>
        <w:left w:val="none" w:sz="0" w:space="0" w:color="auto"/>
        <w:bottom w:val="none" w:sz="0" w:space="0" w:color="auto"/>
        <w:right w:val="none" w:sz="0" w:space="0" w:color="auto"/>
      </w:divBdr>
    </w:div>
    <w:div w:id="133570117">
      <w:marLeft w:val="0"/>
      <w:marRight w:val="0"/>
      <w:marTop w:val="0"/>
      <w:marBottom w:val="0"/>
      <w:divBdr>
        <w:top w:val="none" w:sz="0" w:space="0" w:color="auto"/>
        <w:left w:val="none" w:sz="0" w:space="0" w:color="auto"/>
        <w:bottom w:val="none" w:sz="0" w:space="0" w:color="auto"/>
        <w:right w:val="none" w:sz="0" w:space="0" w:color="auto"/>
      </w:divBdr>
    </w:div>
    <w:div w:id="135033039">
      <w:marLeft w:val="0"/>
      <w:marRight w:val="0"/>
      <w:marTop w:val="0"/>
      <w:marBottom w:val="0"/>
      <w:divBdr>
        <w:top w:val="none" w:sz="0" w:space="0" w:color="auto"/>
        <w:left w:val="none" w:sz="0" w:space="0" w:color="auto"/>
        <w:bottom w:val="none" w:sz="0" w:space="0" w:color="auto"/>
        <w:right w:val="none" w:sz="0" w:space="0" w:color="auto"/>
      </w:divBdr>
    </w:div>
    <w:div w:id="135034697">
      <w:marLeft w:val="0"/>
      <w:marRight w:val="0"/>
      <w:marTop w:val="0"/>
      <w:marBottom w:val="0"/>
      <w:divBdr>
        <w:top w:val="none" w:sz="0" w:space="0" w:color="auto"/>
        <w:left w:val="none" w:sz="0" w:space="0" w:color="auto"/>
        <w:bottom w:val="none" w:sz="0" w:space="0" w:color="auto"/>
        <w:right w:val="none" w:sz="0" w:space="0" w:color="auto"/>
      </w:divBdr>
    </w:div>
    <w:div w:id="136651077">
      <w:marLeft w:val="0"/>
      <w:marRight w:val="0"/>
      <w:marTop w:val="0"/>
      <w:marBottom w:val="0"/>
      <w:divBdr>
        <w:top w:val="none" w:sz="0" w:space="0" w:color="auto"/>
        <w:left w:val="none" w:sz="0" w:space="0" w:color="auto"/>
        <w:bottom w:val="none" w:sz="0" w:space="0" w:color="auto"/>
        <w:right w:val="none" w:sz="0" w:space="0" w:color="auto"/>
      </w:divBdr>
    </w:div>
    <w:div w:id="136800322">
      <w:marLeft w:val="0"/>
      <w:marRight w:val="0"/>
      <w:marTop w:val="0"/>
      <w:marBottom w:val="0"/>
      <w:divBdr>
        <w:top w:val="none" w:sz="0" w:space="0" w:color="auto"/>
        <w:left w:val="none" w:sz="0" w:space="0" w:color="auto"/>
        <w:bottom w:val="none" w:sz="0" w:space="0" w:color="auto"/>
        <w:right w:val="none" w:sz="0" w:space="0" w:color="auto"/>
      </w:divBdr>
    </w:div>
    <w:div w:id="139613883">
      <w:marLeft w:val="0"/>
      <w:marRight w:val="0"/>
      <w:marTop w:val="0"/>
      <w:marBottom w:val="0"/>
      <w:divBdr>
        <w:top w:val="none" w:sz="0" w:space="0" w:color="auto"/>
        <w:left w:val="none" w:sz="0" w:space="0" w:color="auto"/>
        <w:bottom w:val="none" w:sz="0" w:space="0" w:color="auto"/>
        <w:right w:val="none" w:sz="0" w:space="0" w:color="auto"/>
      </w:divBdr>
    </w:div>
    <w:div w:id="139614125">
      <w:marLeft w:val="0"/>
      <w:marRight w:val="0"/>
      <w:marTop w:val="0"/>
      <w:marBottom w:val="0"/>
      <w:divBdr>
        <w:top w:val="none" w:sz="0" w:space="0" w:color="auto"/>
        <w:left w:val="none" w:sz="0" w:space="0" w:color="auto"/>
        <w:bottom w:val="none" w:sz="0" w:space="0" w:color="auto"/>
        <w:right w:val="none" w:sz="0" w:space="0" w:color="auto"/>
      </w:divBdr>
    </w:div>
    <w:div w:id="139930086">
      <w:marLeft w:val="0"/>
      <w:marRight w:val="0"/>
      <w:marTop w:val="0"/>
      <w:marBottom w:val="0"/>
      <w:divBdr>
        <w:top w:val="none" w:sz="0" w:space="0" w:color="auto"/>
        <w:left w:val="none" w:sz="0" w:space="0" w:color="auto"/>
        <w:bottom w:val="none" w:sz="0" w:space="0" w:color="auto"/>
        <w:right w:val="none" w:sz="0" w:space="0" w:color="auto"/>
      </w:divBdr>
    </w:div>
    <w:div w:id="141040924">
      <w:marLeft w:val="0"/>
      <w:marRight w:val="0"/>
      <w:marTop w:val="0"/>
      <w:marBottom w:val="0"/>
      <w:divBdr>
        <w:top w:val="none" w:sz="0" w:space="0" w:color="auto"/>
        <w:left w:val="none" w:sz="0" w:space="0" w:color="auto"/>
        <w:bottom w:val="none" w:sz="0" w:space="0" w:color="auto"/>
        <w:right w:val="none" w:sz="0" w:space="0" w:color="auto"/>
      </w:divBdr>
    </w:div>
    <w:div w:id="141237221">
      <w:marLeft w:val="0"/>
      <w:marRight w:val="0"/>
      <w:marTop w:val="0"/>
      <w:marBottom w:val="0"/>
      <w:divBdr>
        <w:top w:val="none" w:sz="0" w:space="0" w:color="auto"/>
        <w:left w:val="none" w:sz="0" w:space="0" w:color="auto"/>
        <w:bottom w:val="none" w:sz="0" w:space="0" w:color="auto"/>
        <w:right w:val="none" w:sz="0" w:space="0" w:color="auto"/>
      </w:divBdr>
    </w:div>
    <w:div w:id="142040584">
      <w:marLeft w:val="0"/>
      <w:marRight w:val="0"/>
      <w:marTop w:val="0"/>
      <w:marBottom w:val="0"/>
      <w:divBdr>
        <w:top w:val="none" w:sz="0" w:space="0" w:color="auto"/>
        <w:left w:val="none" w:sz="0" w:space="0" w:color="auto"/>
        <w:bottom w:val="none" w:sz="0" w:space="0" w:color="auto"/>
        <w:right w:val="none" w:sz="0" w:space="0" w:color="auto"/>
      </w:divBdr>
    </w:div>
    <w:div w:id="142737933">
      <w:marLeft w:val="0"/>
      <w:marRight w:val="0"/>
      <w:marTop w:val="0"/>
      <w:marBottom w:val="0"/>
      <w:divBdr>
        <w:top w:val="none" w:sz="0" w:space="0" w:color="auto"/>
        <w:left w:val="none" w:sz="0" w:space="0" w:color="auto"/>
        <w:bottom w:val="none" w:sz="0" w:space="0" w:color="auto"/>
        <w:right w:val="none" w:sz="0" w:space="0" w:color="auto"/>
      </w:divBdr>
    </w:div>
    <w:div w:id="143010727">
      <w:marLeft w:val="0"/>
      <w:marRight w:val="0"/>
      <w:marTop w:val="0"/>
      <w:marBottom w:val="0"/>
      <w:divBdr>
        <w:top w:val="none" w:sz="0" w:space="0" w:color="auto"/>
        <w:left w:val="none" w:sz="0" w:space="0" w:color="auto"/>
        <w:bottom w:val="none" w:sz="0" w:space="0" w:color="auto"/>
        <w:right w:val="none" w:sz="0" w:space="0" w:color="auto"/>
      </w:divBdr>
    </w:div>
    <w:div w:id="143549392">
      <w:marLeft w:val="0"/>
      <w:marRight w:val="0"/>
      <w:marTop w:val="0"/>
      <w:marBottom w:val="0"/>
      <w:divBdr>
        <w:top w:val="none" w:sz="0" w:space="0" w:color="auto"/>
        <w:left w:val="none" w:sz="0" w:space="0" w:color="auto"/>
        <w:bottom w:val="none" w:sz="0" w:space="0" w:color="auto"/>
        <w:right w:val="none" w:sz="0" w:space="0" w:color="auto"/>
      </w:divBdr>
    </w:div>
    <w:div w:id="143788232">
      <w:marLeft w:val="0"/>
      <w:marRight w:val="0"/>
      <w:marTop w:val="0"/>
      <w:marBottom w:val="0"/>
      <w:divBdr>
        <w:top w:val="none" w:sz="0" w:space="0" w:color="auto"/>
        <w:left w:val="none" w:sz="0" w:space="0" w:color="auto"/>
        <w:bottom w:val="none" w:sz="0" w:space="0" w:color="auto"/>
        <w:right w:val="none" w:sz="0" w:space="0" w:color="auto"/>
      </w:divBdr>
    </w:div>
    <w:div w:id="145098852">
      <w:marLeft w:val="0"/>
      <w:marRight w:val="0"/>
      <w:marTop w:val="0"/>
      <w:marBottom w:val="0"/>
      <w:divBdr>
        <w:top w:val="none" w:sz="0" w:space="0" w:color="auto"/>
        <w:left w:val="none" w:sz="0" w:space="0" w:color="auto"/>
        <w:bottom w:val="none" w:sz="0" w:space="0" w:color="auto"/>
        <w:right w:val="none" w:sz="0" w:space="0" w:color="auto"/>
      </w:divBdr>
    </w:div>
    <w:div w:id="145443192">
      <w:marLeft w:val="0"/>
      <w:marRight w:val="0"/>
      <w:marTop w:val="0"/>
      <w:marBottom w:val="0"/>
      <w:divBdr>
        <w:top w:val="none" w:sz="0" w:space="0" w:color="auto"/>
        <w:left w:val="none" w:sz="0" w:space="0" w:color="auto"/>
        <w:bottom w:val="none" w:sz="0" w:space="0" w:color="auto"/>
        <w:right w:val="none" w:sz="0" w:space="0" w:color="auto"/>
      </w:divBdr>
    </w:div>
    <w:div w:id="145978244">
      <w:marLeft w:val="0"/>
      <w:marRight w:val="0"/>
      <w:marTop w:val="0"/>
      <w:marBottom w:val="0"/>
      <w:divBdr>
        <w:top w:val="none" w:sz="0" w:space="0" w:color="auto"/>
        <w:left w:val="none" w:sz="0" w:space="0" w:color="auto"/>
        <w:bottom w:val="none" w:sz="0" w:space="0" w:color="auto"/>
        <w:right w:val="none" w:sz="0" w:space="0" w:color="auto"/>
      </w:divBdr>
    </w:div>
    <w:div w:id="147862481">
      <w:marLeft w:val="0"/>
      <w:marRight w:val="0"/>
      <w:marTop w:val="0"/>
      <w:marBottom w:val="0"/>
      <w:divBdr>
        <w:top w:val="none" w:sz="0" w:space="0" w:color="auto"/>
        <w:left w:val="none" w:sz="0" w:space="0" w:color="auto"/>
        <w:bottom w:val="none" w:sz="0" w:space="0" w:color="auto"/>
        <w:right w:val="none" w:sz="0" w:space="0" w:color="auto"/>
      </w:divBdr>
    </w:div>
    <w:div w:id="148793835">
      <w:marLeft w:val="0"/>
      <w:marRight w:val="0"/>
      <w:marTop w:val="0"/>
      <w:marBottom w:val="0"/>
      <w:divBdr>
        <w:top w:val="none" w:sz="0" w:space="0" w:color="auto"/>
        <w:left w:val="none" w:sz="0" w:space="0" w:color="auto"/>
        <w:bottom w:val="none" w:sz="0" w:space="0" w:color="auto"/>
        <w:right w:val="none" w:sz="0" w:space="0" w:color="auto"/>
      </w:divBdr>
    </w:div>
    <w:div w:id="148838047">
      <w:marLeft w:val="0"/>
      <w:marRight w:val="0"/>
      <w:marTop w:val="0"/>
      <w:marBottom w:val="0"/>
      <w:divBdr>
        <w:top w:val="none" w:sz="0" w:space="0" w:color="auto"/>
        <w:left w:val="none" w:sz="0" w:space="0" w:color="auto"/>
        <w:bottom w:val="none" w:sz="0" w:space="0" w:color="auto"/>
        <w:right w:val="none" w:sz="0" w:space="0" w:color="auto"/>
      </w:divBdr>
    </w:div>
    <w:div w:id="149056628">
      <w:marLeft w:val="0"/>
      <w:marRight w:val="0"/>
      <w:marTop w:val="0"/>
      <w:marBottom w:val="0"/>
      <w:divBdr>
        <w:top w:val="none" w:sz="0" w:space="0" w:color="auto"/>
        <w:left w:val="none" w:sz="0" w:space="0" w:color="auto"/>
        <w:bottom w:val="none" w:sz="0" w:space="0" w:color="auto"/>
        <w:right w:val="none" w:sz="0" w:space="0" w:color="auto"/>
      </w:divBdr>
    </w:div>
    <w:div w:id="149562461">
      <w:marLeft w:val="0"/>
      <w:marRight w:val="0"/>
      <w:marTop w:val="0"/>
      <w:marBottom w:val="0"/>
      <w:divBdr>
        <w:top w:val="none" w:sz="0" w:space="0" w:color="auto"/>
        <w:left w:val="none" w:sz="0" w:space="0" w:color="auto"/>
        <w:bottom w:val="none" w:sz="0" w:space="0" w:color="auto"/>
        <w:right w:val="none" w:sz="0" w:space="0" w:color="auto"/>
      </w:divBdr>
    </w:div>
    <w:div w:id="149564250">
      <w:marLeft w:val="0"/>
      <w:marRight w:val="0"/>
      <w:marTop w:val="0"/>
      <w:marBottom w:val="0"/>
      <w:divBdr>
        <w:top w:val="none" w:sz="0" w:space="0" w:color="auto"/>
        <w:left w:val="none" w:sz="0" w:space="0" w:color="auto"/>
        <w:bottom w:val="none" w:sz="0" w:space="0" w:color="auto"/>
        <w:right w:val="none" w:sz="0" w:space="0" w:color="auto"/>
      </w:divBdr>
    </w:div>
    <w:div w:id="150144520">
      <w:marLeft w:val="0"/>
      <w:marRight w:val="0"/>
      <w:marTop w:val="0"/>
      <w:marBottom w:val="0"/>
      <w:divBdr>
        <w:top w:val="none" w:sz="0" w:space="0" w:color="auto"/>
        <w:left w:val="none" w:sz="0" w:space="0" w:color="auto"/>
        <w:bottom w:val="none" w:sz="0" w:space="0" w:color="auto"/>
        <w:right w:val="none" w:sz="0" w:space="0" w:color="auto"/>
      </w:divBdr>
    </w:div>
    <w:div w:id="150221601">
      <w:marLeft w:val="0"/>
      <w:marRight w:val="0"/>
      <w:marTop w:val="0"/>
      <w:marBottom w:val="0"/>
      <w:divBdr>
        <w:top w:val="none" w:sz="0" w:space="0" w:color="auto"/>
        <w:left w:val="none" w:sz="0" w:space="0" w:color="auto"/>
        <w:bottom w:val="none" w:sz="0" w:space="0" w:color="auto"/>
        <w:right w:val="none" w:sz="0" w:space="0" w:color="auto"/>
      </w:divBdr>
    </w:div>
    <w:div w:id="150949297">
      <w:marLeft w:val="0"/>
      <w:marRight w:val="0"/>
      <w:marTop w:val="0"/>
      <w:marBottom w:val="0"/>
      <w:divBdr>
        <w:top w:val="none" w:sz="0" w:space="0" w:color="auto"/>
        <w:left w:val="none" w:sz="0" w:space="0" w:color="auto"/>
        <w:bottom w:val="none" w:sz="0" w:space="0" w:color="auto"/>
        <w:right w:val="none" w:sz="0" w:space="0" w:color="auto"/>
      </w:divBdr>
    </w:div>
    <w:div w:id="151145634">
      <w:marLeft w:val="0"/>
      <w:marRight w:val="0"/>
      <w:marTop w:val="0"/>
      <w:marBottom w:val="0"/>
      <w:divBdr>
        <w:top w:val="none" w:sz="0" w:space="0" w:color="auto"/>
        <w:left w:val="none" w:sz="0" w:space="0" w:color="auto"/>
        <w:bottom w:val="none" w:sz="0" w:space="0" w:color="auto"/>
        <w:right w:val="none" w:sz="0" w:space="0" w:color="auto"/>
      </w:divBdr>
    </w:div>
    <w:div w:id="151408935">
      <w:marLeft w:val="0"/>
      <w:marRight w:val="0"/>
      <w:marTop w:val="0"/>
      <w:marBottom w:val="0"/>
      <w:divBdr>
        <w:top w:val="none" w:sz="0" w:space="0" w:color="auto"/>
        <w:left w:val="none" w:sz="0" w:space="0" w:color="auto"/>
        <w:bottom w:val="none" w:sz="0" w:space="0" w:color="auto"/>
        <w:right w:val="none" w:sz="0" w:space="0" w:color="auto"/>
      </w:divBdr>
    </w:div>
    <w:div w:id="152261167">
      <w:marLeft w:val="0"/>
      <w:marRight w:val="0"/>
      <w:marTop w:val="0"/>
      <w:marBottom w:val="0"/>
      <w:divBdr>
        <w:top w:val="none" w:sz="0" w:space="0" w:color="auto"/>
        <w:left w:val="none" w:sz="0" w:space="0" w:color="auto"/>
        <w:bottom w:val="none" w:sz="0" w:space="0" w:color="auto"/>
        <w:right w:val="none" w:sz="0" w:space="0" w:color="auto"/>
      </w:divBdr>
    </w:div>
    <w:div w:id="153032918">
      <w:marLeft w:val="0"/>
      <w:marRight w:val="0"/>
      <w:marTop w:val="0"/>
      <w:marBottom w:val="0"/>
      <w:divBdr>
        <w:top w:val="none" w:sz="0" w:space="0" w:color="auto"/>
        <w:left w:val="none" w:sz="0" w:space="0" w:color="auto"/>
        <w:bottom w:val="none" w:sz="0" w:space="0" w:color="auto"/>
        <w:right w:val="none" w:sz="0" w:space="0" w:color="auto"/>
      </w:divBdr>
    </w:div>
    <w:div w:id="153304288">
      <w:marLeft w:val="0"/>
      <w:marRight w:val="0"/>
      <w:marTop w:val="0"/>
      <w:marBottom w:val="0"/>
      <w:divBdr>
        <w:top w:val="none" w:sz="0" w:space="0" w:color="auto"/>
        <w:left w:val="none" w:sz="0" w:space="0" w:color="auto"/>
        <w:bottom w:val="none" w:sz="0" w:space="0" w:color="auto"/>
        <w:right w:val="none" w:sz="0" w:space="0" w:color="auto"/>
      </w:divBdr>
    </w:div>
    <w:div w:id="153419797">
      <w:marLeft w:val="0"/>
      <w:marRight w:val="0"/>
      <w:marTop w:val="0"/>
      <w:marBottom w:val="0"/>
      <w:divBdr>
        <w:top w:val="none" w:sz="0" w:space="0" w:color="auto"/>
        <w:left w:val="none" w:sz="0" w:space="0" w:color="auto"/>
        <w:bottom w:val="none" w:sz="0" w:space="0" w:color="auto"/>
        <w:right w:val="none" w:sz="0" w:space="0" w:color="auto"/>
      </w:divBdr>
    </w:div>
    <w:div w:id="153496184">
      <w:marLeft w:val="0"/>
      <w:marRight w:val="0"/>
      <w:marTop w:val="0"/>
      <w:marBottom w:val="0"/>
      <w:divBdr>
        <w:top w:val="none" w:sz="0" w:space="0" w:color="auto"/>
        <w:left w:val="none" w:sz="0" w:space="0" w:color="auto"/>
        <w:bottom w:val="none" w:sz="0" w:space="0" w:color="auto"/>
        <w:right w:val="none" w:sz="0" w:space="0" w:color="auto"/>
      </w:divBdr>
    </w:div>
    <w:div w:id="153767236">
      <w:marLeft w:val="0"/>
      <w:marRight w:val="0"/>
      <w:marTop w:val="0"/>
      <w:marBottom w:val="0"/>
      <w:divBdr>
        <w:top w:val="none" w:sz="0" w:space="0" w:color="auto"/>
        <w:left w:val="none" w:sz="0" w:space="0" w:color="auto"/>
        <w:bottom w:val="none" w:sz="0" w:space="0" w:color="auto"/>
        <w:right w:val="none" w:sz="0" w:space="0" w:color="auto"/>
      </w:divBdr>
    </w:div>
    <w:div w:id="155000622">
      <w:marLeft w:val="0"/>
      <w:marRight w:val="0"/>
      <w:marTop w:val="0"/>
      <w:marBottom w:val="0"/>
      <w:divBdr>
        <w:top w:val="none" w:sz="0" w:space="0" w:color="auto"/>
        <w:left w:val="none" w:sz="0" w:space="0" w:color="auto"/>
        <w:bottom w:val="none" w:sz="0" w:space="0" w:color="auto"/>
        <w:right w:val="none" w:sz="0" w:space="0" w:color="auto"/>
      </w:divBdr>
    </w:div>
    <w:div w:id="157422670">
      <w:marLeft w:val="0"/>
      <w:marRight w:val="0"/>
      <w:marTop w:val="0"/>
      <w:marBottom w:val="0"/>
      <w:divBdr>
        <w:top w:val="none" w:sz="0" w:space="0" w:color="auto"/>
        <w:left w:val="none" w:sz="0" w:space="0" w:color="auto"/>
        <w:bottom w:val="none" w:sz="0" w:space="0" w:color="auto"/>
        <w:right w:val="none" w:sz="0" w:space="0" w:color="auto"/>
      </w:divBdr>
    </w:div>
    <w:div w:id="157766631">
      <w:marLeft w:val="0"/>
      <w:marRight w:val="0"/>
      <w:marTop w:val="0"/>
      <w:marBottom w:val="0"/>
      <w:divBdr>
        <w:top w:val="none" w:sz="0" w:space="0" w:color="auto"/>
        <w:left w:val="none" w:sz="0" w:space="0" w:color="auto"/>
        <w:bottom w:val="none" w:sz="0" w:space="0" w:color="auto"/>
        <w:right w:val="none" w:sz="0" w:space="0" w:color="auto"/>
      </w:divBdr>
    </w:div>
    <w:div w:id="157769386">
      <w:marLeft w:val="0"/>
      <w:marRight w:val="0"/>
      <w:marTop w:val="0"/>
      <w:marBottom w:val="0"/>
      <w:divBdr>
        <w:top w:val="none" w:sz="0" w:space="0" w:color="auto"/>
        <w:left w:val="none" w:sz="0" w:space="0" w:color="auto"/>
        <w:bottom w:val="none" w:sz="0" w:space="0" w:color="auto"/>
        <w:right w:val="none" w:sz="0" w:space="0" w:color="auto"/>
      </w:divBdr>
    </w:div>
    <w:div w:id="158274251">
      <w:marLeft w:val="0"/>
      <w:marRight w:val="0"/>
      <w:marTop w:val="0"/>
      <w:marBottom w:val="0"/>
      <w:divBdr>
        <w:top w:val="none" w:sz="0" w:space="0" w:color="auto"/>
        <w:left w:val="none" w:sz="0" w:space="0" w:color="auto"/>
        <w:bottom w:val="none" w:sz="0" w:space="0" w:color="auto"/>
        <w:right w:val="none" w:sz="0" w:space="0" w:color="auto"/>
      </w:divBdr>
    </w:div>
    <w:div w:id="160005686">
      <w:marLeft w:val="0"/>
      <w:marRight w:val="0"/>
      <w:marTop w:val="0"/>
      <w:marBottom w:val="0"/>
      <w:divBdr>
        <w:top w:val="none" w:sz="0" w:space="0" w:color="auto"/>
        <w:left w:val="none" w:sz="0" w:space="0" w:color="auto"/>
        <w:bottom w:val="none" w:sz="0" w:space="0" w:color="auto"/>
        <w:right w:val="none" w:sz="0" w:space="0" w:color="auto"/>
      </w:divBdr>
    </w:div>
    <w:div w:id="160170590">
      <w:marLeft w:val="0"/>
      <w:marRight w:val="0"/>
      <w:marTop w:val="0"/>
      <w:marBottom w:val="0"/>
      <w:divBdr>
        <w:top w:val="none" w:sz="0" w:space="0" w:color="auto"/>
        <w:left w:val="none" w:sz="0" w:space="0" w:color="auto"/>
        <w:bottom w:val="none" w:sz="0" w:space="0" w:color="auto"/>
        <w:right w:val="none" w:sz="0" w:space="0" w:color="auto"/>
      </w:divBdr>
    </w:div>
    <w:div w:id="160396836">
      <w:marLeft w:val="0"/>
      <w:marRight w:val="0"/>
      <w:marTop w:val="0"/>
      <w:marBottom w:val="0"/>
      <w:divBdr>
        <w:top w:val="none" w:sz="0" w:space="0" w:color="auto"/>
        <w:left w:val="none" w:sz="0" w:space="0" w:color="auto"/>
        <w:bottom w:val="none" w:sz="0" w:space="0" w:color="auto"/>
        <w:right w:val="none" w:sz="0" w:space="0" w:color="auto"/>
      </w:divBdr>
      <w:divsChild>
        <w:div w:id="1366905178">
          <w:marLeft w:val="0"/>
          <w:marRight w:val="0"/>
          <w:marTop w:val="0"/>
          <w:marBottom w:val="0"/>
          <w:divBdr>
            <w:top w:val="none" w:sz="0" w:space="0" w:color="auto"/>
            <w:left w:val="none" w:sz="0" w:space="0" w:color="auto"/>
            <w:bottom w:val="none" w:sz="0" w:space="0" w:color="auto"/>
            <w:right w:val="none" w:sz="0" w:space="0" w:color="auto"/>
          </w:divBdr>
        </w:div>
      </w:divsChild>
    </w:div>
    <w:div w:id="160900029">
      <w:marLeft w:val="0"/>
      <w:marRight w:val="0"/>
      <w:marTop w:val="0"/>
      <w:marBottom w:val="0"/>
      <w:divBdr>
        <w:top w:val="none" w:sz="0" w:space="0" w:color="auto"/>
        <w:left w:val="none" w:sz="0" w:space="0" w:color="auto"/>
        <w:bottom w:val="none" w:sz="0" w:space="0" w:color="auto"/>
        <w:right w:val="none" w:sz="0" w:space="0" w:color="auto"/>
      </w:divBdr>
    </w:div>
    <w:div w:id="162285884">
      <w:marLeft w:val="0"/>
      <w:marRight w:val="0"/>
      <w:marTop w:val="0"/>
      <w:marBottom w:val="0"/>
      <w:divBdr>
        <w:top w:val="none" w:sz="0" w:space="0" w:color="auto"/>
        <w:left w:val="none" w:sz="0" w:space="0" w:color="auto"/>
        <w:bottom w:val="none" w:sz="0" w:space="0" w:color="auto"/>
        <w:right w:val="none" w:sz="0" w:space="0" w:color="auto"/>
      </w:divBdr>
    </w:div>
    <w:div w:id="163596132">
      <w:marLeft w:val="0"/>
      <w:marRight w:val="0"/>
      <w:marTop w:val="0"/>
      <w:marBottom w:val="0"/>
      <w:divBdr>
        <w:top w:val="none" w:sz="0" w:space="0" w:color="auto"/>
        <w:left w:val="none" w:sz="0" w:space="0" w:color="auto"/>
        <w:bottom w:val="none" w:sz="0" w:space="0" w:color="auto"/>
        <w:right w:val="none" w:sz="0" w:space="0" w:color="auto"/>
      </w:divBdr>
    </w:div>
    <w:div w:id="163670438">
      <w:marLeft w:val="0"/>
      <w:marRight w:val="0"/>
      <w:marTop w:val="0"/>
      <w:marBottom w:val="0"/>
      <w:divBdr>
        <w:top w:val="none" w:sz="0" w:space="0" w:color="auto"/>
        <w:left w:val="none" w:sz="0" w:space="0" w:color="auto"/>
        <w:bottom w:val="none" w:sz="0" w:space="0" w:color="auto"/>
        <w:right w:val="none" w:sz="0" w:space="0" w:color="auto"/>
      </w:divBdr>
    </w:div>
    <w:div w:id="164367494">
      <w:marLeft w:val="0"/>
      <w:marRight w:val="0"/>
      <w:marTop w:val="0"/>
      <w:marBottom w:val="0"/>
      <w:divBdr>
        <w:top w:val="none" w:sz="0" w:space="0" w:color="auto"/>
        <w:left w:val="none" w:sz="0" w:space="0" w:color="auto"/>
        <w:bottom w:val="none" w:sz="0" w:space="0" w:color="auto"/>
        <w:right w:val="none" w:sz="0" w:space="0" w:color="auto"/>
      </w:divBdr>
    </w:div>
    <w:div w:id="165024140">
      <w:marLeft w:val="0"/>
      <w:marRight w:val="0"/>
      <w:marTop w:val="0"/>
      <w:marBottom w:val="0"/>
      <w:divBdr>
        <w:top w:val="none" w:sz="0" w:space="0" w:color="auto"/>
        <w:left w:val="none" w:sz="0" w:space="0" w:color="auto"/>
        <w:bottom w:val="none" w:sz="0" w:space="0" w:color="auto"/>
        <w:right w:val="none" w:sz="0" w:space="0" w:color="auto"/>
      </w:divBdr>
      <w:divsChild>
        <w:div w:id="1727954329">
          <w:marLeft w:val="0"/>
          <w:marRight w:val="0"/>
          <w:marTop w:val="0"/>
          <w:marBottom w:val="0"/>
          <w:divBdr>
            <w:top w:val="none" w:sz="0" w:space="0" w:color="auto"/>
            <w:left w:val="none" w:sz="0" w:space="0" w:color="auto"/>
            <w:bottom w:val="none" w:sz="0" w:space="0" w:color="auto"/>
            <w:right w:val="none" w:sz="0" w:space="0" w:color="auto"/>
          </w:divBdr>
        </w:div>
      </w:divsChild>
    </w:div>
    <w:div w:id="168493128">
      <w:marLeft w:val="0"/>
      <w:marRight w:val="0"/>
      <w:marTop w:val="0"/>
      <w:marBottom w:val="0"/>
      <w:divBdr>
        <w:top w:val="none" w:sz="0" w:space="0" w:color="auto"/>
        <w:left w:val="none" w:sz="0" w:space="0" w:color="auto"/>
        <w:bottom w:val="none" w:sz="0" w:space="0" w:color="auto"/>
        <w:right w:val="none" w:sz="0" w:space="0" w:color="auto"/>
      </w:divBdr>
    </w:div>
    <w:div w:id="169104902">
      <w:marLeft w:val="0"/>
      <w:marRight w:val="0"/>
      <w:marTop w:val="0"/>
      <w:marBottom w:val="0"/>
      <w:divBdr>
        <w:top w:val="none" w:sz="0" w:space="0" w:color="auto"/>
        <w:left w:val="none" w:sz="0" w:space="0" w:color="auto"/>
        <w:bottom w:val="none" w:sz="0" w:space="0" w:color="auto"/>
        <w:right w:val="none" w:sz="0" w:space="0" w:color="auto"/>
      </w:divBdr>
    </w:div>
    <w:div w:id="170459373">
      <w:marLeft w:val="0"/>
      <w:marRight w:val="0"/>
      <w:marTop w:val="0"/>
      <w:marBottom w:val="0"/>
      <w:divBdr>
        <w:top w:val="none" w:sz="0" w:space="0" w:color="auto"/>
        <w:left w:val="none" w:sz="0" w:space="0" w:color="auto"/>
        <w:bottom w:val="none" w:sz="0" w:space="0" w:color="auto"/>
        <w:right w:val="none" w:sz="0" w:space="0" w:color="auto"/>
      </w:divBdr>
    </w:div>
    <w:div w:id="170994004">
      <w:marLeft w:val="0"/>
      <w:marRight w:val="0"/>
      <w:marTop w:val="0"/>
      <w:marBottom w:val="0"/>
      <w:divBdr>
        <w:top w:val="none" w:sz="0" w:space="0" w:color="auto"/>
        <w:left w:val="none" w:sz="0" w:space="0" w:color="auto"/>
        <w:bottom w:val="none" w:sz="0" w:space="0" w:color="auto"/>
        <w:right w:val="none" w:sz="0" w:space="0" w:color="auto"/>
      </w:divBdr>
      <w:divsChild>
        <w:div w:id="959071460">
          <w:marLeft w:val="0"/>
          <w:marRight w:val="0"/>
          <w:marTop w:val="0"/>
          <w:marBottom w:val="0"/>
          <w:divBdr>
            <w:top w:val="none" w:sz="0" w:space="0" w:color="auto"/>
            <w:left w:val="none" w:sz="0" w:space="0" w:color="auto"/>
            <w:bottom w:val="none" w:sz="0" w:space="0" w:color="auto"/>
            <w:right w:val="none" w:sz="0" w:space="0" w:color="auto"/>
          </w:divBdr>
        </w:div>
      </w:divsChild>
    </w:div>
    <w:div w:id="171604285">
      <w:marLeft w:val="0"/>
      <w:marRight w:val="0"/>
      <w:marTop w:val="0"/>
      <w:marBottom w:val="0"/>
      <w:divBdr>
        <w:top w:val="none" w:sz="0" w:space="0" w:color="auto"/>
        <w:left w:val="none" w:sz="0" w:space="0" w:color="auto"/>
        <w:bottom w:val="none" w:sz="0" w:space="0" w:color="auto"/>
        <w:right w:val="none" w:sz="0" w:space="0" w:color="auto"/>
      </w:divBdr>
    </w:div>
    <w:div w:id="171771804">
      <w:marLeft w:val="0"/>
      <w:marRight w:val="0"/>
      <w:marTop w:val="0"/>
      <w:marBottom w:val="0"/>
      <w:divBdr>
        <w:top w:val="none" w:sz="0" w:space="0" w:color="auto"/>
        <w:left w:val="none" w:sz="0" w:space="0" w:color="auto"/>
        <w:bottom w:val="none" w:sz="0" w:space="0" w:color="auto"/>
        <w:right w:val="none" w:sz="0" w:space="0" w:color="auto"/>
      </w:divBdr>
    </w:div>
    <w:div w:id="173302959">
      <w:marLeft w:val="0"/>
      <w:marRight w:val="0"/>
      <w:marTop w:val="0"/>
      <w:marBottom w:val="0"/>
      <w:divBdr>
        <w:top w:val="none" w:sz="0" w:space="0" w:color="auto"/>
        <w:left w:val="none" w:sz="0" w:space="0" w:color="auto"/>
        <w:bottom w:val="none" w:sz="0" w:space="0" w:color="auto"/>
        <w:right w:val="none" w:sz="0" w:space="0" w:color="auto"/>
      </w:divBdr>
    </w:div>
    <w:div w:id="175505718">
      <w:marLeft w:val="0"/>
      <w:marRight w:val="0"/>
      <w:marTop w:val="0"/>
      <w:marBottom w:val="0"/>
      <w:divBdr>
        <w:top w:val="none" w:sz="0" w:space="0" w:color="auto"/>
        <w:left w:val="none" w:sz="0" w:space="0" w:color="auto"/>
        <w:bottom w:val="none" w:sz="0" w:space="0" w:color="auto"/>
        <w:right w:val="none" w:sz="0" w:space="0" w:color="auto"/>
      </w:divBdr>
    </w:div>
    <w:div w:id="175583525">
      <w:marLeft w:val="0"/>
      <w:marRight w:val="0"/>
      <w:marTop w:val="0"/>
      <w:marBottom w:val="0"/>
      <w:divBdr>
        <w:top w:val="none" w:sz="0" w:space="0" w:color="auto"/>
        <w:left w:val="none" w:sz="0" w:space="0" w:color="auto"/>
        <w:bottom w:val="none" w:sz="0" w:space="0" w:color="auto"/>
        <w:right w:val="none" w:sz="0" w:space="0" w:color="auto"/>
      </w:divBdr>
    </w:div>
    <w:div w:id="176894507">
      <w:marLeft w:val="0"/>
      <w:marRight w:val="0"/>
      <w:marTop w:val="0"/>
      <w:marBottom w:val="0"/>
      <w:divBdr>
        <w:top w:val="none" w:sz="0" w:space="0" w:color="auto"/>
        <w:left w:val="none" w:sz="0" w:space="0" w:color="auto"/>
        <w:bottom w:val="none" w:sz="0" w:space="0" w:color="auto"/>
        <w:right w:val="none" w:sz="0" w:space="0" w:color="auto"/>
      </w:divBdr>
    </w:div>
    <w:div w:id="178396584">
      <w:marLeft w:val="0"/>
      <w:marRight w:val="0"/>
      <w:marTop w:val="0"/>
      <w:marBottom w:val="0"/>
      <w:divBdr>
        <w:top w:val="none" w:sz="0" w:space="0" w:color="auto"/>
        <w:left w:val="none" w:sz="0" w:space="0" w:color="auto"/>
        <w:bottom w:val="none" w:sz="0" w:space="0" w:color="auto"/>
        <w:right w:val="none" w:sz="0" w:space="0" w:color="auto"/>
      </w:divBdr>
    </w:div>
    <w:div w:id="180440575">
      <w:marLeft w:val="0"/>
      <w:marRight w:val="0"/>
      <w:marTop w:val="0"/>
      <w:marBottom w:val="0"/>
      <w:divBdr>
        <w:top w:val="none" w:sz="0" w:space="0" w:color="auto"/>
        <w:left w:val="none" w:sz="0" w:space="0" w:color="auto"/>
        <w:bottom w:val="none" w:sz="0" w:space="0" w:color="auto"/>
        <w:right w:val="none" w:sz="0" w:space="0" w:color="auto"/>
      </w:divBdr>
    </w:div>
    <w:div w:id="180552828">
      <w:marLeft w:val="0"/>
      <w:marRight w:val="0"/>
      <w:marTop w:val="0"/>
      <w:marBottom w:val="0"/>
      <w:divBdr>
        <w:top w:val="none" w:sz="0" w:space="0" w:color="auto"/>
        <w:left w:val="none" w:sz="0" w:space="0" w:color="auto"/>
        <w:bottom w:val="none" w:sz="0" w:space="0" w:color="auto"/>
        <w:right w:val="none" w:sz="0" w:space="0" w:color="auto"/>
      </w:divBdr>
    </w:div>
    <w:div w:id="180704799">
      <w:marLeft w:val="0"/>
      <w:marRight w:val="0"/>
      <w:marTop w:val="0"/>
      <w:marBottom w:val="0"/>
      <w:divBdr>
        <w:top w:val="none" w:sz="0" w:space="0" w:color="auto"/>
        <w:left w:val="none" w:sz="0" w:space="0" w:color="auto"/>
        <w:bottom w:val="none" w:sz="0" w:space="0" w:color="auto"/>
        <w:right w:val="none" w:sz="0" w:space="0" w:color="auto"/>
      </w:divBdr>
    </w:div>
    <w:div w:id="181552774">
      <w:marLeft w:val="0"/>
      <w:marRight w:val="0"/>
      <w:marTop w:val="0"/>
      <w:marBottom w:val="0"/>
      <w:divBdr>
        <w:top w:val="none" w:sz="0" w:space="0" w:color="auto"/>
        <w:left w:val="none" w:sz="0" w:space="0" w:color="auto"/>
        <w:bottom w:val="none" w:sz="0" w:space="0" w:color="auto"/>
        <w:right w:val="none" w:sz="0" w:space="0" w:color="auto"/>
      </w:divBdr>
    </w:div>
    <w:div w:id="181747233">
      <w:marLeft w:val="0"/>
      <w:marRight w:val="0"/>
      <w:marTop w:val="0"/>
      <w:marBottom w:val="0"/>
      <w:divBdr>
        <w:top w:val="none" w:sz="0" w:space="0" w:color="auto"/>
        <w:left w:val="none" w:sz="0" w:space="0" w:color="auto"/>
        <w:bottom w:val="none" w:sz="0" w:space="0" w:color="auto"/>
        <w:right w:val="none" w:sz="0" w:space="0" w:color="auto"/>
      </w:divBdr>
    </w:div>
    <w:div w:id="182323725">
      <w:marLeft w:val="0"/>
      <w:marRight w:val="0"/>
      <w:marTop w:val="0"/>
      <w:marBottom w:val="0"/>
      <w:divBdr>
        <w:top w:val="none" w:sz="0" w:space="0" w:color="auto"/>
        <w:left w:val="none" w:sz="0" w:space="0" w:color="auto"/>
        <w:bottom w:val="none" w:sz="0" w:space="0" w:color="auto"/>
        <w:right w:val="none" w:sz="0" w:space="0" w:color="auto"/>
      </w:divBdr>
    </w:div>
    <w:div w:id="182521489">
      <w:marLeft w:val="0"/>
      <w:marRight w:val="0"/>
      <w:marTop w:val="0"/>
      <w:marBottom w:val="0"/>
      <w:divBdr>
        <w:top w:val="none" w:sz="0" w:space="0" w:color="auto"/>
        <w:left w:val="none" w:sz="0" w:space="0" w:color="auto"/>
        <w:bottom w:val="none" w:sz="0" w:space="0" w:color="auto"/>
        <w:right w:val="none" w:sz="0" w:space="0" w:color="auto"/>
      </w:divBdr>
    </w:div>
    <w:div w:id="182983498">
      <w:marLeft w:val="0"/>
      <w:marRight w:val="0"/>
      <w:marTop w:val="0"/>
      <w:marBottom w:val="0"/>
      <w:divBdr>
        <w:top w:val="none" w:sz="0" w:space="0" w:color="auto"/>
        <w:left w:val="none" w:sz="0" w:space="0" w:color="auto"/>
        <w:bottom w:val="none" w:sz="0" w:space="0" w:color="auto"/>
        <w:right w:val="none" w:sz="0" w:space="0" w:color="auto"/>
      </w:divBdr>
    </w:div>
    <w:div w:id="183137675">
      <w:marLeft w:val="0"/>
      <w:marRight w:val="0"/>
      <w:marTop w:val="0"/>
      <w:marBottom w:val="0"/>
      <w:divBdr>
        <w:top w:val="none" w:sz="0" w:space="0" w:color="auto"/>
        <w:left w:val="none" w:sz="0" w:space="0" w:color="auto"/>
        <w:bottom w:val="none" w:sz="0" w:space="0" w:color="auto"/>
        <w:right w:val="none" w:sz="0" w:space="0" w:color="auto"/>
      </w:divBdr>
    </w:div>
    <w:div w:id="184295227">
      <w:marLeft w:val="0"/>
      <w:marRight w:val="0"/>
      <w:marTop w:val="0"/>
      <w:marBottom w:val="0"/>
      <w:divBdr>
        <w:top w:val="none" w:sz="0" w:space="0" w:color="auto"/>
        <w:left w:val="none" w:sz="0" w:space="0" w:color="auto"/>
        <w:bottom w:val="none" w:sz="0" w:space="0" w:color="auto"/>
        <w:right w:val="none" w:sz="0" w:space="0" w:color="auto"/>
      </w:divBdr>
    </w:div>
    <w:div w:id="184557420">
      <w:marLeft w:val="0"/>
      <w:marRight w:val="0"/>
      <w:marTop w:val="0"/>
      <w:marBottom w:val="0"/>
      <w:divBdr>
        <w:top w:val="none" w:sz="0" w:space="0" w:color="auto"/>
        <w:left w:val="none" w:sz="0" w:space="0" w:color="auto"/>
        <w:bottom w:val="none" w:sz="0" w:space="0" w:color="auto"/>
        <w:right w:val="none" w:sz="0" w:space="0" w:color="auto"/>
      </w:divBdr>
    </w:div>
    <w:div w:id="184908880">
      <w:marLeft w:val="0"/>
      <w:marRight w:val="0"/>
      <w:marTop w:val="0"/>
      <w:marBottom w:val="0"/>
      <w:divBdr>
        <w:top w:val="none" w:sz="0" w:space="0" w:color="auto"/>
        <w:left w:val="none" w:sz="0" w:space="0" w:color="auto"/>
        <w:bottom w:val="none" w:sz="0" w:space="0" w:color="auto"/>
        <w:right w:val="none" w:sz="0" w:space="0" w:color="auto"/>
      </w:divBdr>
    </w:div>
    <w:div w:id="185486031">
      <w:marLeft w:val="0"/>
      <w:marRight w:val="0"/>
      <w:marTop w:val="0"/>
      <w:marBottom w:val="0"/>
      <w:divBdr>
        <w:top w:val="none" w:sz="0" w:space="0" w:color="auto"/>
        <w:left w:val="none" w:sz="0" w:space="0" w:color="auto"/>
        <w:bottom w:val="none" w:sz="0" w:space="0" w:color="auto"/>
        <w:right w:val="none" w:sz="0" w:space="0" w:color="auto"/>
      </w:divBdr>
    </w:div>
    <w:div w:id="187068960">
      <w:marLeft w:val="0"/>
      <w:marRight w:val="0"/>
      <w:marTop w:val="0"/>
      <w:marBottom w:val="0"/>
      <w:divBdr>
        <w:top w:val="none" w:sz="0" w:space="0" w:color="auto"/>
        <w:left w:val="none" w:sz="0" w:space="0" w:color="auto"/>
        <w:bottom w:val="none" w:sz="0" w:space="0" w:color="auto"/>
        <w:right w:val="none" w:sz="0" w:space="0" w:color="auto"/>
      </w:divBdr>
      <w:divsChild>
        <w:div w:id="1484003140">
          <w:marLeft w:val="0"/>
          <w:marRight w:val="0"/>
          <w:marTop w:val="0"/>
          <w:marBottom w:val="0"/>
          <w:divBdr>
            <w:top w:val="none" w:sz="0" w:space="0" w:color="auto"/>
            <w:left w:val="none" w:sz="0" w:space="0" w:color="auto"/>
            <w:bottom w:val="none" w:sz="0" w:space="0" w:color="auto"/>
            <w:right w:val="none" w:sz="0" w:space="0" w:color="auto"/>
          </w:divBdr>
        </w:div>
      </w:divsChild>
    </w:div>
    <w:div w:id="187642105">
      <w:marLeft w:val="0"/>
      <w:marRight w:val="0"/>
      <w:marTop w:val="0"/>
      <w:marBottom w:val="0"/>
      <w:divBdr>
        <w:top w:val="none" w:sz="0" w:space="0" w:color="auto"/>
        <w:left w:val="none" w:sz="0" w:space="0" w:color="auto"/>
        <w:bottom w:val="none" w:sz="0" w:space="0" w:color="auto"/>
        <w:right w:val="none" w:sz="0" w:space="0" w:color="auto"/>
      </w:divBdr>
    </w:div>
    <w:div w:id="189533003">
      <w:marLeft w:val="0"/>
      <w:marRight w:val="0"/>
      <w:marTop w:val="0"/>
      <w:marBottom w:val="0"/>
      <w:divBdr>
        <w:top w:val="none" w:sz="0" w:space="0" w:color="auto"/>
        <w:left w:val="none" w:sz="0" w:space="0" w:color="auto"/>
        <w:bottom w:val="none" w:sz="0" w:space="0" w:color="auto"/>
        <w:right w:val="none" w:sz="0" w:space="0" w:color="auto"/>
      </w:divBdr>
    </w:div>
    <w:div w:id="189802323">
      <w:marLeft w:val="0"/>
      <w:marRight w:val="0"/>
      <w:marTop w:val="0"/>
      <w:marBottom w:val="0"/>
      <w:divBdr>
        <w:top w:val="none" w:sz="0" w:space="0" w:color="auto"/>
        <w:left w:val="none" w:sz="0" w:space="0" w:color="auto"/>
        <w:bottom w:val="none" w:sz="0" w:space="0" w:color="auto"/>
        <w:right w:val="none" w:sz="0" w:space="0" w:color="auto"/>
      </w:divBdr>
    </w:div>
    <w:div w:id="190647758">
      <w:marLeft w:val="0"/>
      <w:marRight w:val="0"/>
      <w:marTop w:val="0"/>
      <w:marBottom w:val="0"/>
      <w:divBdr>
        <w:top w:val="none" w:sz="0" w:space="0" w:color="auto"/>
        <w:left w:val="none" w:sz="0" w:space="0" w:color="auto"/>
        <w:bottom w:val="none" w:sz="0" w:space="0" w:color="auto"/>
        <w:right w:val="none" w:sz="0" w:space="0" w:color="auto"/>
      </w:divBdr>
    </w:div>
    <w:div w:id="190806629">
      <w:marLeft w:val="0"/>
      <w:marRight w:val="0"/>
      <w:marTop w:val="0"/>
      <w:marBottom w:val="0"/>
      <w:divBdr>
        <w:top w:val="none" w:sz="0" w:space="0" w:color="auto"/>
        <w:left w:val="none" w:sz="0" w:space="0" w:color="auto"/>
        <w:bottom w:val="none" w:sz="0" w:space="0" w:color="auto"/>
        <w:right w:val="none" w:sz="0" w:space="0" w:color="auto"/>
      </w:divBdr>
    </w:div>
    <w:div w:id="193273867">
      <w:marLeft w:val="0"/>
      <w:marRight w:val="0"/>
      <w:marTop w:val="0"/>
      <w:marBottom w:val="0"/>
      <w:divBdr>
        <w:top w:val="none" w:sz="0" w:space="0" w:color="auto"/>
        <w:left w:val="none" w:sz="0" w:space="0" w:color="auto"/>
        <w:bottom w:val="none" w:sz="0" w:space="0" w:color="auto"/>
        <w:right w:val="none" w:sz="0" w:space="0" w:color="auto"/>
      </w:divBdr>
    </w:div>
    <w:div w:id="193347761">
      <w:marLeft w:val="0"/>
      <w:marRight w:val="0"/>
      <w:marTop w:val="0"/>
      <w:marBottom w:val="0"/>
      <w:divBdr>
        <w:top w:val="none" w:sz="0" w:space="0" w:color="auto"/>
        <w:left w:val="none" w:sz="0" w:space="0" w:color="auto"/>
        <w:bottom w:val="none" w:sz="0" w:space="0" w:color="auto"/>
        <w:right w:val="none" w:sz="0" w:space="0" w:color="auto"/>
      </w:divBdr>
    </w:div>
    <w:div w:id="194466759">
      <w:marLeft w:val="0"/>
      <w:marRight w:val="0"/>
      <w:marTop w:val="0"/>
      <w:marBottom w:val="0"/>
      <w:divBdr>
        <w:top w:val="none" w:sz="0" w:space="0" w:color="auto"/>
        <w:left w:val="none" w:sz="0" w:space="0" w:color="auto"/>
        <w:bottom w:val="none" w:sz="0" w:space="0" w:color="auto"/>
        <w:right w:val="none" w:sz="0" w:space="0" w:color="auto"/>
      </w:divBdr>
    </w:div>
    <w:div w:id="196815386">
      <w:marLeft w:val="0"/>
      <w:marRight w:val="0"/>
      <w:marTop w:val="0"/>
      <w:marBottom w:val="0"/>
      <w:divBdr>
        <w:top w:val="none" w:sz="0" w:space="0" w:color="auto"/>
        <w:left w:val="none" w:sz="0" w:space="0" w:color="auto"/>
        <w:bottom w:val="none" w:sz="0" w:space="0" w:color="auto"/>
        <w:right w:val="none" w:sz="0" w:space="0" w:color="auto"/>
      </w:divBdr>
    </w:div>
    <w:div w:id="197083937">
      <w:marLeft w:val="0"/>
      <w:marRight w:val="0"/>
      <w:marTop w:val="0"/>
      <w:marBottom w:val="0"/>
      <w:divBdr>
        <w:top w:val="none" w:sz="0" w:space="0" w:color="auto"/>
        <w:left w:val="none" w:sz="0" w:space="0" w:color="auto"/>
        <w:bottom w:val="none" w:sz="0" w:space="0" w:color="auto"/>
        <w:right w:val="none" w:sz="0" w:space="0" w:color="auto"/>
      </w:divBdr>
    </w:div>
    <w:div w:id="197133125">
      <w:marLeft w:val="0"/>
      <w:marRight w:val="0"/>
      <w:marTop w:val="0"/>
      <w:marBottom w:val="0"/>
      <w:divBdr>
        <w:top w:val="none" w:sz="0" w:space="0" w:color="auto"/>
        <w:left w:val="none" w:sz="0" w:space="0" w:color="auto"/>
        <w:bottom w:val="none" w:sz="0" w:space="0" w:color="auto"/>
        <w:right w:val="none" w:sz="0" w:space="0" w:color="auto"/>
      </w:divBdr>
    </w:div>
    <w:div w:id="197620930">
      <w:marLeft w:val="0"/>
      <w:marRight w:val="0"/>
      <w:marTop w:val="0"/>
      <w:marBottom w:val="0"/>
      <w:divBdr>
        <w:top w:val="none" w:sz="0" w:space="0" w:color="auto"/>
        <w:left w:val="none" w:sz="0" w:space="0" w:color="auto"/>
        <w:bottom w:val="none" w:sz="0" w:space="0" w:color="auto"/>
        <w:right w:val="none" w:sz="0" w:space="0" w:color="auto"/>
      </w:divBdr>
    </w:div>
    <w:div w:id="197788449">
      <w:marLeft w:val="0"/>
      <w:marRight w:val="0"/>
      <w:marTop w:val="0"/>
      <w:marBottom w:val="0"/>
      <w:divBdr>
        <w:top w:val="none" w:sz="0" w:space="0" w:color="auto"/>
        <w:left w:val="none" w:sz="0" w:space="0" w:color="auto"/>
        <w:bottom w:val="none" w:sz="0" w:space="0" w:color="auto"/>
        <w:right w:val="none" w:sz="0" w:space="0" w:color="auto"/>
      </w:divBdr>
    </w:div>
    <w:div w:id="197789602">
      <w:marLeft w:val="0"/>
      <w:marRight w:val="0"/>
      <w:marTop w:val="0"/>
      <w:marBottom w:val="0"/>
      <w:divBdr>
        <w:top w:val="none" w:sz="0" w:space="0" w:color="auto"/>
        <w:left w:val="none" w:sz="0" w:space="0" w:color="auto"/>
        <w:bottom w:val="none" w:sz="0" w:space="0" w:color="auto"/>
        <w:right w:val="none" w:sz="0" w:space="0" w:color="auto"/>
      </w:divBdr>
    </w:div>
    <w:div w:id="197819072">
      <w:marLeft w:val="0"/>
      <w:marRight w:val="0"/>
      <w:marTop w:val="0"/>
      <w:marBottom w:val="0"/>
      <w:divBdr>
        <w:top w:val="none" w:sz="0" w:space="0" w:color="auto"/>
        <w:left w:val="none" w:sz="0" w:space="0" w:color="auto"/>
        <w:bottom w:val="none" w:sz="0" w:space="0" w:color="auto"/>
        <w:right w:val="none" w:sz="0" w:space="0" w:color="auto"/>
      </w:divBdr>
    </w:div>
    <w:div w:id="197931256">
      <w:marLeft w:val="0"/>
      <w:marRight w:val="0"/>
      <w:marTop w:val="0"/>
      <w:marBottom w:val="0"/>
      <w:divBdr>
        <w:top w:val="none" w:sz="0" w:space="0" w:color="auto"/>
        <w:left w:val="none" w:sz="0" w:space="0" w:color="auto"/>
        <w:bottom w:val="none" w:sz="0" w:space="0" w:color="auto"/>
        <w:right w:val="none" w:sz="0" w:space="0" w:color="auto"/>
      </w:divBdr>
    </w:div>
    <w:div w:id="198130515">
      <w:marLeft w:val="0"/>
      <w:marRight w:val="0"/>
      <w:marTop w:val="100"/>
      <w:marBottom w:val="100"/>
      <w:divBdr>
        <w:top w:val="none" w:sz="0" w:space="0" w:color="auto"/>
        <w:left w:val="none" w:sz="0" w:space="0" w:color="auto"/>
        <w:bottom w:val="none" w:sz="0" w:space="0" w:color="auto"/>
        <w:right w:val="none" w:sz="0" w:space="0" w:color="auto"/>
      </w:divBdr>
    </w:div>
    <w:div w:id="199057045">
      <w:marLeft w:val="0"/>
      <w:marRight w:val="0"/>
      <w:marTop w:val="0"/>
      <w:marBottom w:val="0"/>
      <w:divBdr>
        <w:top w:val="none" w:sz="0" w:space="0" w:color="auto"/>
        <w:left w:val="none" w:sz="0" w:space="0" w:color="auto"/>
        <w:bottom w:val="none" w:sz="0" w:space="0" w:color="auto"/>
        <w:right w:val="none" w:sz="0" w:space="0" w:color="auto"/>
      </w:divBdr>
    </w:div>
    <w:div w:id="199324197">
      <w:marLeft w:val="0"/>
      <w:marRight w:val="0"/>
      <w:marTop w:val="0"/>
      <w:marBottom w:val="0"/>
      <w:divBdr>
        <w:top w:val="none" w:sz="0" w:space="0" w:color="auto"/>
        <w:left w:val="none" w:sz="0" w:space="0" w:color="auto"/>
        <w:bottom w:val="none" w:sz="0" w:space="0" w:color="auto"/>
        <w:right w:val="none" w:sz="0" w:space="0" w:color="auto"/>
      </w:divBdr>
    </w:div>
    <w:div w:id="199703839">
      <w:marLeft w:val="0"/>
      <w:marRight w:val="0"/>
      <w:marTop w:val="100"/>
      <w:marBottom w:val="100"/>
      <w:divBdr>
        <w:top w:val="none" w:sz="0" w:space="0" w:color="auto"/>
        <w:left w:val="none" w:sz="0" w:space="0" w:color="auto"/>
        <w:bottom w:val="none" w:sz="0" w:space="0" w:color="auto"/>
        <w:right w:val="none" w:sz="0" w:space="0" w:color="auto"/>
      </w:divBdr>
    </w:div>
    <w:div w:id="204369922">
      <w:marLeft w:val="0"/>
      <w:marRight w:val="0"/>
      <w:marTop w:val="0"/>
      <w:marBottom w:val="0"/>
      <w:divBdr>
        <w:top w:val="none" w:sz="0" w:space="0" w:color="auto"/>
        <w:left w:val="none" w:sz="0" w:space="0" w:color="auto"/>
        <w:bottom w:val="none" w:sz="0" w:space="0" w:color="auto"/>
        <w:right w:val="none" w:sz="0" w:space="0" w:color="auto"/>
      </w:divBdr>
    </w:div>
    <w:div w:id="204373180">
      <w:marLeft w:val="0"/>
      <w:marRight w:val="0"/>
      <w:marTop w:val="0"/>
      <w:marBottom w:val="0"/>
      <w:divBdr>
        <w:top w:val="none" w:sz="0" w:space="0" w:color="auto"/>
        <w:left w:val="none" w:sz="0" w:space="0" w:color="auto"/>
        <w:bottom w:val="none" w:sz="0" w:space="0" w:color="auto"/>
        <w:right w:val="none" w:sz="0" w:space="0" w:color="auto"/>
      </w:divBdr>
    </w:div>
    <w:div w:id="204487996">
      <w:marLeft w:val="0"/>
      <w:marRight w:val="0"/>
      <w:marTop w:val="0"/>
      <w:marBottom w:val="0"/>
      <w:divBdr>
        <w:top w:val="none" w:sz="0" w:space="0" w:color="auto"/>
        <w:left w:val="none" w:sz="0" w:space="0" w:color="auto"/>
        <w:bottom w:val="none" w:sz="0" w:space="0" w:color="auto"/>
        <w:right w:val="none" w:sz="0" w:space="0" w:color="auto"/>
      </w:divBdr>
    </w:div>
    <w:div w:id="204876313">
      <w:marLeft w:val="0"/>
      <w:marRight w:val="0"/>
      <w:marTop w:val="0"/>
      <w:marBottom w:val="0"/>
      <w:divBdr>
        <w:top w:val="none" w:sz="0" w:space="0" w:color="auto"/>
        <w:left w:val="none" w:sz="0" w:space="0" w:color="auto"/>
        <w:bottom w:val="none" w:sz="0" w:space="0" w:color="auto"/>
        <w:right w:val="none" w:sz="0" w:space="0" w:color="auto"/>
      </w:divBdr>
    </w:div>
    <w:div w:id="205602705">
      <w:marLeft w:val="0"/>
      <w:marRight w:val="0"/>
      <w:marTop w:val="0"/>
      <w:marBottom w:val="0"/>
      <w:divBdr>
        <w:top w:val="none" w:sz="0" w:space="0" w:color="auto"/>
        <w:left w:val="none" w:sz="0" w:space="0" w:color="auto"/>
        <w:bottom w:val="none" w:sz="0" w:space="0" w:color="auto"/>
        <w:right w:val="none" w:sz="0" w:space="0" w:color="auto"/>
      </w:divBdr>
    </w:div>
    <w:div w:id="205608230">
      <w:marLeft w:val="0"/>
      <w:marRight w:val="0"/>
      <w:marTop w:val="0"/>
      <w:marBottom w:val="0"/>
      <w:divBdr>
        <w:top w:val="none" w:sz="0" w:space="0" w:color="auto"/>
        <w:left w:val="none" w:sz="0" w:space="0" w:color="auto"/>
        <w:bottom w:val="none" w:sz="0" w:space="0" w:color="auto"/>
        <w:right w:val="none" w:sz="0" w:space="0" w:color="auto"/>
      </w:divBdr>
    </w:div>
    <w:div w:id="205725593">
      <w:marLeft w:val="0"/>
      <w:marRight w:val="0"/>
      <w:marTop w:val="0"/>
      <w:marBottom w:val="120"/>
      <w:divBdr>
        <w:top w:val="none" w:sz="0" w:space="0" w:color="auto"/>
        <w:left w:val="none" w:sz="0" w:space="0" w:color="auto"/>
        <w:bottom w:val="none" w:sz="0" w:space="0" w:color="auto"/>
        <w:right w:val="none" w:sz="0" w:space="0" w:color="auto"/>
      </w:divBdr>
    </w:div>
    <w:div w:id="207183522">
      <w:marLeft w:val="0"/>
      <w:marRight w:val="0"/>
      <w:marTop w:val="0"/>
      <w:marBottom w:val="0"/>
      <w:divBdr>
        <w:top w:val="none" w:sz="0" w:space="0" w:color="auto"/>
        <w:left w:val="none" w:sz="0" w:space="0" w:color="auto"/>
        <w:bottom w:val="none" w:sz="0" w:space="0" w:color="auto"/>
        <w:right w:val="none" w:sz="0" w:space="0" w:color="auto"/>
      </w:divBdr>
    </w:div>
    <w:div w:id="207688234">
      <w:marLeft w:val="0"/>
      <w:marRight w:val="0"/>
      <w:marTop w:val="0"/>
      <w:marBottom w:val="0"/>
      <w:divBdr>
        <w:top w:val="none" w:sz="0" w:space="0" w:color="auto"/>
        <w:left w:val="none" w:sz="0" w:space="0" w:color="auto"/>
        <w:bottom w:val="none" w:sz="0" w:space="0" w:color="auto"/>
        <w:right w:val="none" w:sz="0" w:space="0" w:color="auto"/>
      </w:divBdr>
    </w:div>
    <w:div w:id="208031228">
      <w:marLeft w:val="0"/>
      <w:marRight w:val="0"/>
      <w:marTop w:val="0"/>
      <w:marBottom w:val="0"/>
      <w:divBdr>
        <w:top w:val="none" w:sz="0" w:space="0" w:color="auto"/>
        <w:left w:val="none" w:sz="0" w:space="0" w:color="auto"/>
        <w:bottom w:val="none" w:sz="0" w:space="0" w:color="auto"/>
        <w:right w:val="none" w:sz="0" w:space="0" w:color="auto"/>
      </w:divBdr>
      <w:divsChild>
        <w:div w:id="1508907751">
          <w:marLeft w:val="0"/>
          <w:marRight w:val="0"/>
          <w:marTop w:val="0"/>
          <w:marBottom w:val="0"/>
          <w:divBdr>
            <w:top w:val="none" w:sz="0" w:space="0" w:color="auto"/>
            <w:left w:val="none" w:sz="0" w:space="0" w:color="auto"/>
            <w:bottom w:val="none" w:sz="0" w:space="0" w:color="auto"/>
            <w:right w:val="none" w:sz="0" w:space="0" w:color="auto"/>
          </w:divBdr>
        </w:div>
        <w:div w:id="310258500">
          <w:marLeft w:val="0"/>
          <w:marRight w:val="0"/>
          <w:marTop w:val="0"/>
          <w:marBottom w:val="0"/>
          <w:divBdr>
            <w:top w:val="none" w:sz="0" w:space="0" w:color="auto"/>
            <w:left w:val="none" w:sz="0" w:space="0" w:color="auto"/>
            <w:bottom w:val="none" w:sz="0" w:space="0" w:color="auto"/>
            <w:right w:val="none" w:sz="0" w:space="0" w:color="auto"/>
          </w:divBdr>
        </w:div>
        <w:div w:id="1749183006">
          <w:marLeft w:val="0"/>
          <w:marRight w:val="0"/>
          <w:marTop w:val="0"/>
          <w:marBottom w:val="0"/>
          <w:divBdr>
            <w:top w:val="none" w:sz="0" w:space="0" w:color="auto"/>
            <w:left w:val="none" w:sz="0" w:space="0" w:color="auto"/>
            <w:bottom w:val="none" w:sz="0" w:space="0" w:color="auto"/>
            <w:right w:val="none" w:sz="0" w:space="0" w:color="auto"/>
          </w:divBdr>
        </w:div>
        <w:div w:id="835802943">
          <w:marLeft w:val="0"/>
          <w:marRight w:val="0"/>
          <w:marTop w:val="0"/>
          <w:marBottom w:val="0"/>
          <w:divBdr>
            <w:top w:val="none" w:sz="0" w:space="0" w:color="auto"/>
            <w:left w:val="none" w:sz="0" w:space="0" w:color="auto"/>
            <w:bottom w:val="none" w:sz="0" w:space="0" w:color="auto"/>
            <w:right w:val="none" w:sz="0" w:space="0" w:color="auto"/>
          </w:divBdr>
        </w:div>
        <w:div w:id="1006639165">
          <w:marLeft w:val="0"/>
          <w:marRight w:val="0"/>
          <w:marTop w:val="0"/>
          <w:marBottom w:val="0"/>
          <w:divBdr>
            <w:top w:val="none" w:sz="0" w:space="0" w:color="auto"/>
            <w:left w:val="none" w:sz="0" w:space="0" w:color="auto"/>
            <w:bottom w:val="none" w:sz="0" w:space="0" w:color="auto"/>
            <w:right w:val="none" w:sz="0" w:space="0" w:color="auto"/>
          </w:divBdr>
        </w:div>
        <w:div w:id="1973050908">
          <w:marLeft w:val="0"/>
          <w:marRight w:val="0"/>
          <w:marTop w:val="0"/>
          <w:marBottom w:val="0"/>
          <w:divBdr>
            <w:top w:val="none" w:sz="0" w:space="0" w:color="auto"/>
            <w:left w:val="none" w:sz="0" w:space="0" w:color="auto"/>
            <w:bottom w:val="none" w:sz="0" w:space="0" w:color="auto"/>
            <w:right w:val="none" w:sz="0" w:space="0" w:color="auto"/>
          </w:divBdr>
        </w:div>
        <w:div w:id="122384426">
          <w:marLeft w:val="0"/>
          <w:marRight w:val="0"/>
          <w:marTop w:val="0"/>
          <w:marBottom w:val="0"/>
          <w:divBdr>
            <w:top w:val="none" w:sz="0" w:space="0" w:color="auto"/>
            <w:left w:val="none" w:sz="0" w:space="0" w:color="auto"/>
            <w:bottom w:val="none" w:sz="0" w:space="0" w:color="auto"/>
            <w:right w:val="none" w:sz="0" w:space="0" w:color="auto"/>
          </w:divBdr>
        </w:div>
        <w:div w:id="612398920">
          <w:marLeft w:val="0"/>
          <w:marRight w:val="0"/>
          <w:marTop w:val="0"/>
          <w:marBottom w:val="0"/>
          <w:divBdr>
            <w:top w:val="none" w:sz="0" w:space="0" w:color="auto"/>
            <w:left w:val="none" w:sz="0" w:space="0" w:color="auto"/>
            <w:bottom w:val="none" w:sz="0" w:space="0" w:color="auto"/>
            <w:right w:val="none" w:sz="0" w:space="0" w:color="auto"/>
          </w:divBdr>
        </w:div>
        <w:div w:id="646206813">
          <w:marLeft w:val="0"/>
          <w:marRight w:val="0"/>
          <w:marTop w:val="0"/>
          <w:marBottom w:val="0"/>
          <w:divBdr>
            <w:top w:val="none" w:sz="0" w:space="0" w:color="auto"/>
            <w:left w:val="none" w:sz="0" w:space="0" w:color="auto"/>
            <w:bottom w:val="none" w:sz="0" w:space="0" w:color="auto"/>
            <w:right w:val="none" w:sz="0" w:space="0" w:color="auto"/>
          </w:divBdr>
        </w:div>
      </w:divsChild>
    </w:div>
    <w:div w:id="209195268">
      <w:marLeft w:val="0"/>
      <w:marRight w:val="0"/>
      <w:marTop w:val="0"/>
      <w:marBottom w:val="0"/>
      <w:divBdr>
        <w:top w:val="none" w:sz="0" w:space="0" w:color="auto"/>
        <w:left w:val="none" w:sz="0" w:space="0" w:color="auto"/>
        <w:bottom w:val="none" w:sz="0" w:space="0" w:color="auto"/>
        <w:right w:val="none" w:sz="0" w:space="0" w:color="auto"/>
      </w:divBdr>
    </w:div>
    <w:div w:id="210580436">
      <w:marLeft w:val="0"/>
      <w:marRight w:val="0"/>
      <w:marTop w:val="0"/>
      <w:marBottom w:val="0"/>
      <w:divBdr>
        <w:top w:val="none" w:sz="0" w:space="0" w:color="auto"/>
        <w:left w:val="none" w:sz="0" w:space="0" w:color="auto"/>
        <w:bottom w:val="none" w:sz="0" w:space="0" w:color="auto"/>
        <w:right w:val="none" w:sz="0" w:space="0" w:color="auto"/>
      </w:divBdr>
    </w:div>
    <w:div w:id="210769308">
      <w:marLeft w:val="0"/>
      <w:marRight w:val="0"/>
      <w:marTop w:val="0"/>
      <w:marBottom w:val="0"/>
      <w:divBdr>
        <w:top w:val="none" w:sz="0" w:space="0" w:color="auto"/>
        <w:left w:val="none" w:sz="0" w:space="0" w:color="auto"/>
        <w:bottom w:val="none" w:sz="0" w:space="0" w:color="auto"/>
        <w:right w:val="none" w:sz="0" w:space="0" w:color="auto"/>
      </w:divBdr>
    </w:div>
    <w:div w:id="211115863">
      <w:marLeft w:val="0"/>
      <w:marRight w:val="0"/>
      <w:marTop w:val="0"/>
      <w:marBottom w:val="0"/>
      <w:divBdr>
        <w:top w:val="none" w:sz="0" w:space="0" w:color="auto"/>
        <w:left w:val="none" w:sz="0" w:space="0" w:color="auto"/>
        <w:bottom w:val="none" w:sz="0" w:space="0" w:color="auto"/>
        <w:right w:val="none" w:sz="0" w:space="0" w:color="auto"/>
      </w:divBdr>
    </w:div>
    <w:div w:id="212739983">
      <w:marLeft w:val="0"/>
      <w:marRight w:val="0"/>
      <w:marTop w:val="0"/>
      <w:marBottom w:val="0"/>
      <w:divBdr>
        <w:top w:val="none" w:sz="0" w:space="0" w:color="auto"/>
        <w:left w:val="none" w:sz="0" w:space="0" w:color="auto"/>
        <w:bottom w:val="none" w:sz="0" w:space="0" w:color="auto"/>
        <w:right w:val="none" w:sz="0" w:space="0" w:color="auto"/>
      </w:divBdr>
    </w:div>
    <w:div w:id="213125634">
      <w:marLeft w:val="0"/>
      <w:marRight w:val="0"/>
      <w:marTop w:val="0"/>
      <w:marBottom w:val="0"/>
      <w:divBdr>
        <w:top w:val="none" w:sz="0" w:space="0" w:color="auto"/>
        <w:left w:val="none" w:sz="0" w:space="0" w:color="auto"/>
        <w:bottom w:val="none" w:sz="0" w:space="0" w:color="auto"/>
        <w:right w:val="none" w:sz="0" w:space="0" w:color="auto"/>
      </w:divBdr>
    </w:div>
    <w:div w:id="213351016">
      <w:marLeft w:val="0"/>
      <w:marRight w:val="0"/>
      <w:marTop w:val="0"/>
      <w:marBottom w:val="0"/>
      <w:divBdr>
        <w:top w:val="none" w:sz="0" w:space="0" w:color="auto"/>
        <w:left w:val="none" w:sz="0" w:space="0" w:color="auto"/>
        <w:bottom w:val="none" w:sz="0" w:space="0" w:color="auto"/>
        <w:right w:val="none" w:sz="0" w:space="0" w:color="auto"/>
      </w:divBdr>
    </w:div>
    <w:div w:id="214051357">
      <w:marLeft w:val="0"/>
      <w:marRight w:val="0"/>
      <w:marTop w:val="0"/>
      <w:marBottom w:val="0"/>
      <w:divBdr>
        <w:top w:val="none" w:sz="0" w:space="0" w:color="auto"/>
        <w:left w:val="none" w:sz="0" w:space="0" w:color="auto"/>
        <w:bottom w:val="none" w:sz="0" w:space="0" w:color="auto"/>
        <w:right w:val="none" w:sz="0" w:space="0" w:color="auto"/>
      </w:divBdr>
    </w:div>
    <w:div w:id="214242151">
      <w:marLeft w:val="0"/>
      <w:marRight w:val="0"/>
      <w:marTop w:val="0"/>
      <w:marBottom w:val="0"/>
      <w:divBdr>
        <w:top w:val="none" w:sz="0" w:space="0" w:color="auto"/>
        <w:left w:val="none" w:sz="0" w:space="0" w:color="auto"/>
        <w:bottom w:val="none" w:sz="0" w:space="0" w:color="auto"/>
        <w:right w:val="none" w:sz="0" w:space="0" w:color="auto"/>
      </w:divBdr>
      <w:divsChild>
        <w:div w:id="1198472880">
          <w:marLeft w:val="0"/>
          <w:marRight w:val="0"/>
          <w:marTop w:val="0"/>
          <w:marBottom w:val="0"/>
          <w:divBdr>
            <w:top w:val="none" w:sz="0" w:space="0" w:color="auto"/>
            <w:left w:val="none" w:sz="0" w:space="0" w:color="auto"/>
            <w:bottom w:val="none" w:sz="0" w:space="0" w:color="auto"/>
            <w:right w:val="none" w:sz="0" w:space="0" w:color="auto"/>
          </w:divBdr>
        </w:div>
      </w:divsChild>
    </w:div>
    <w:div w:id="214896380">
      <w:marLeft w:val="0"/>
      <w:marRight w:val="0"/>
      <w:marTop w:val="0"/>
      <w:marBottom w:val="0"/>
      <w:divBdr>
        <w:top w:val="none" w:sz="0" w:space="0" w:color="auto"/>
        <w:left w:val="none" w:sz="0" w:space="0" w:color="auto"/>
        <w:bottom w:val="none" w:sz="0" w:space="0" w:color="auto"/>
        <w:right w:val="none" w:sz="0" w:space="0" w:color="auto"/>
      </w:divBdr>
    </w:div>
    <w:div w:id="217086139">
      <w:marLeft w:val="0"/>
      <w:marRight w:val="0"/>
      <w:marTop w:val="0"/>
      <w:marBottom w:val="0"/>
      <w:divBdr>
        <w:top w:val="none" w:sz="0" w:space="0" w:color="auto"/>
        <w:left w:val="none" w:sz="0" w:space="0" w:color="auto"/>
        <w:bottom w:val="none" w:sz="0" w:space="0" w:color="auto"/>
        <w:right w:val="none" w:sz="0" w:space="0" w:color="auto"/>
      </w:divBdr>
    </w:div>
    <w:div w:id="217400246">
      <w:marLeft w:val="0"/>
      <w:marRight w:val="0"/>
      <w:marTop w:val="0"/>
      <w:marBottom w:val="0"/>
      <w:divBdr>
        <w:top w:val="none" w:sz="0" w:space="0" w:color="auto"/>
        <w:left w:val="none" w:sz="0" w:space="0" w:color="auto"/>
        <w:bottom w:val="none" w:sz="0" w:space="0" w:color="auto"/>
        <w:right w:val="none" w:sz="0" w:space="0" w:color="auto"/>
      </w:divBdr>
    </w:div>
    <w:div w:id="217665101">
      <w:marLeft w:val="0"/>
      <w:marRight w:val="0"/>
      <w:marTop w:val="0"/>
      <w:marBottom w:val="0"/>
      <w:divBdr>
        <w:top w:val="none" w:sz="0" w:space="0" w:color="auto"/>
        <w:left w:val="none" w:sz="0" w:space="0" w:color="auto"/>
        <w:bottom w:val="none" w:sz="0" w:space="0" w:color="auto"/>
        <w:right w:val="none" w:sz="0" w:space="0" w:color="auto"/>
      </w:divBdr>
      <w:divsChild>
        <w:div w:id="1635795693">
          <w:marLeft w:val="0"/>
          <w:marRight w:val="0"/>
          <w:marTop w:val="0"/>
          <w:marBottom w:val="0"/>
          <w:divBdr>
            <w:top w:val="none" w:sz="0" w:space="0" w:color="auto"/>
            <w:left w:val="none" w:sz="0" w:space="0" w:color="auto"/>
            <w:bottom w:val="none" w:sz="0" w:space="0" w:color="auto"/>
            <w:right w:val="none" w:sz="0" w:space="0" w:color="auto"/>
          </w:divBdr>
        </w:div>
      </w:divsChild>
    </w:div>
    <w:div w:id="218128151">
      <w:marLeft w:val="0"/>
      <w:marRight w:val="0"/>
      <w:marTop w:val="0"/>
      <w:marBottom w:val="0"/>
      <w:divBdr>
        <w:top w:val="none" w:sz="0" w:space="0" w:color="auto"/>
        <w:left w:val="none" w:sz="0" w:space="0" w:color="auto"/>
        <w:bottom w:val="none" w:sz="0" w:space="0" w:color="auto"/>
        <w:right w:val="none" w:sz="0" w:space="0" w:color="auto"/>
      </w:divBdr>
    </w:div>
    <w:div w:id="218707435">
      <w:marLeft w:val="0"/>
      <w:marRight w:val="0"/>
      <w:marTop w:val="0"/>
      <w:marBottom w:val="0"/>
      <w:divBdr>
        <w:top w:val="none" w:sz="0" w:space="0" w:color="auto"/>
        <w:left w:val="none" w:sz="0" w:space="0" w:color="auto"/>
        <w:bottom w:val="none" w:sz="0" w:space="0" w:color="auto"/>
        <w:right w:val="none" w:sz="0" w:space="0" w:color="auto"/>
      </w:divBdr>
    </w:div>
    <w:div w:id="218905192">
      <w:marLeft w:val="0"/>
      <w:marRight w:val="0"/>
      <w:marTop w:val="0"/>
      <w:marBottom w:val="0"/>
      <w:divBdr>
        <w:top w:val="none" w:sz="0" w:space="0" w:color="auto"/>
        <w:left w:val="none" w:sz="0" w:space="0" w:color="auto"/>
        <w:bottom w:val="none" w:sz="0" w:space="0" w:color="auto"/>
        <w:right w:val="none" w:sz="0" w:space="0" w:color="auto"/>
      </w:divBdr>
    </w:div>
    <w:div w:id="219638040">
      <w:marLeft w:val="0"/>
      <w:marRight w:val="0"/>
      <w:marTop w:val="0"/>
      <w:marBottom w:val="0"/>
      <w:divBdr>
        <w:top w:val="none" w:sz="0" w:space="0" w:color="auto"/>
        <w:left w:val="none" w:sz="0" w:space="0" w:color="auto"/>
        <w:bottom w:val="none" w:sz="0" w:space="0" w:color="auto"/>
        <w:right w:val="none" w:sz="0" w:space="0" w:color="auto"/>
      </w:divBdr>
    </w:div>
    <w:div w:id="219941831">
      <w:marLeft w:val="0"/>
      <w:marRight w:val="0"/>
      <w:marTop w:val="0"/>
      <w:marBottom w:val="0"/>
      <w:divBdr>
        <w:top w:val="none" w:sz="0" w:space="0" w:color="auto"/>
        <w:left w:val="none" w:sz="0" w:space="0" w:color="auto"/>
        <w:bottom w:val="none" w:sz="0" w:space="0" w:color="auto"/>
        <w:right w:val="none" w:sz="0" w:space="0" w:color="auto"/>
      </w:divBdr>
    </w:div>
    <w:div w:id="220872099">
      <w:marLeft w:val="0"/>
      <w:marRight w:val="0"/>
      <w:marTop w:val="0"/>
      <w:marBottom w:val="0"/>
      <w:divBdr>
        <w:top w:val="none" w:sz="0" w:space="0" w:color="auto"/>
        <w:left w:val="none" w:sz="0" w:space="0" w:color="auto"/>
        <w:bottom w:val="none" w:sz="0" w:space="0" w:color="auto"/>
        <w:right w:val="none" w:sz="0" w:space="0" w:color="auto"/>
      </w:divBdr>
    </w:div>
    <w:div w:id="221992286">
      <w:marLeft w:val="0"/>
      <w:marRight w:val="0"/>
      <w:marTop w:val="0"/>
      <w:marBottom w:val="0"/>
      <w:divBdr>
        <w:top w:val="none" w:sz="0" w:space="0" w:color="auto"/>
        <w:left w:val="none" w:sz="0" w:space="0" w:color="auto"/>
        <w:bottom w:val="none" w:sz="0" w:space="0" w:color="auto"/>
        <w:right w:val="none" w:sz="0" w:space="0" w:color="auto"/>
      </w:divBdr>
    </w:div>
    <w:div w:id="224881147">
      <w:marLeft w:val="0"/>
      <w:marRight w:val="0"/>
      <w:marTop w:val="0"/>
      <w:marBottom w:val="0"/>
      <w:divBdr>
        <w:top w:val="none" w:sz="0" w:space="0" w:color="auto"/>
        <w:left w:val="none" w:sz="0" w:space="0" w:color="auto"/>
        <w:bottom w:val="none" w:sz="0" w:space="0" w:color="auto"/>
        <w:right w:val="none" w:sz="0" w:space="0" w:color="auto"/>
      </w:divBdr>
    </w:div>
    <w:div w:id="225074442">
      <w:marLeft w:val="0"/>
      <w:marRight w:val="0"/>
      <w:marTop w:val="0"/>
      <w:marBottom w:val="0"/>
      <w:divBdr>
        <w:top w:val="none" w:sz="0" w:space="0" w:color="auto"/>
        <w:left w:val="none" w:sz="0" w:space="0" w:color="auto"/>
        <w:bottom w:val="none" w:sz="0" w:space="0" w:color="auto"/>
        <w:right w:val="none" w:sz="0" w:space="0" w:color="auto"/>
      </w:divBdr>
    </w:div>
    <w:div w:id="228424070">
      <w:marLeft w:val="0"/>
      <w:marRight w:val="0"/>
      <w:marTop w:val="0"/>
      <w:marBottom w:val="0"/>
      <w:divBdr>
        <w:top w:val="none" w:sz="0" w:space="0" w:color="auto"/>
        <w:left w:val="none" w:sz="0" w:space="0" w:color="auto"/>
        <w:bottom w:val="none" w:sz="0" w:space="0" w:color="auto"/>
        <w:right w:val="none" w:sz="0" w:space="0" w:color="auto"/>
      </w:divBdr>
    </w:div>
    <w:div w:id="228930379">
      <w:marLeft w:val="0"/>
      <w:marRight w:val="0"/>
      <w:marTop w:val="0"/>
      <w:marBottom w:val="0"/>
      <w:divBdr>
        <w:top w:val="none" w:sz="0" w:space="0" w:color="auto"/>
        <w:left w:val="none" w:sz="0" w:space="0" w:color="auto"/>
        <w:bottom w:val="none" w:sz="0" w:space="0" w:color="auto"/>
        <w:right w:val="none" w:sz="0" w:space="0" w:color="auto"/>
      </w:divBdr>
    </w:div>
    <w:div w:id="229511242">
      <w:marLeft w:val="0"/>
      <w:marRight w:val="0"/>
      <w:marTop w:val="0"/>
      <w:marBottom w:val="0"/>
      <w:divBdr>
        <w:top w:val="none" w:sz="0" w:space="0" w:color="auto"/>
        <w:left w:val="none" w:sz="0" w:space="0" w:color="auto"/>
        <w:bottom w:val="none" w:sz="0" w:space="0" w:color="auto"/>
        <w:right w:val="none" w:sz="0" w:space="0" w:color="auto"/>
      </w:divBdr>
    </w:div>
    <w:div w:id="229921353">
      <w:marLeft w:val="0"/>
      <w:marRight w:val="0"/>
      <w:marTop w:val="0"/>
      <w:marBottom w:val="0"/>
      <w:divBdr>
        <w:top w:val="none" w:sz="0" w:space="0" w:color="auto"/>
        <w:left w:val="none" w:sz="0" w:space="0" w:color="auto"/>
        <w:bottom w:val="none" w:sz="0" w:space="0" w:color="auto"/>
        <w:right w:val="none" w:sz="0" w:space="0" w:color="auto"/>
      </w:divBdr>
    </w:div>
    <w:div w:id="230313068">
      <w:marLeft w:val="0"/>
      <w:marRight w:val="0"/>
      <w:marTop w:val="0"/>
      <w:marBottom w:val="0"/>
      <w:divBdr>
        <w:top w:val="none" w:sz="0" w:space="0" w:color="auto"/>
        <w:left w:val="none" w:sz="0" w:space="0" w:color="auto"/>
        <w:bottom w:val="none" w:sz="0" w:space="0" w:color="auto"/>
        <w:right w:val="none" w:sz="0" w:space="0" w:color="auto"/>
      </w:divBdr>
    </w:div>
    <w:div w:id="231816069">
      <w:marLeft w:val="0"/>
      <w:marRight w:val="0"/>
      <w:marTop w:val="0"/>
      <w:marBottom w:val="0"/>
      <w:divBdr>
        <w:top w:val="none" w:sz="0" w:space="0" w:color="auto"/>
        <w:left w:val="none" w:sz="0" w:space="0" w:color="auto"/>
        <w:bottom w:val="none" w:sz="0" w:space="0" w:color="auto"/>
        <w:right w:val="none" w:sz="0" w:space="0" w:color="auto"/>
      </w:divBdr>
    </w:div>
    <w:div w:id="231817023">
      <w:marLeft w:val="0"/>
      <w:marRight w:val="0"/>
      <w:marTop w:val="100"/>
      <w:marBottom w:val="100"/>
      <w:divBdr>
        <w:top w:val="none" w:sz="0" w:space="0" w:color="auto"/>
        <w:left w:val="none" w:sz="0" w:space="0" w:color="auto"/>
        <w:bottom w:val="none" w:sz="0" w:space="0" w:color="auto"/>
        <w:right w:val="none" w:sz="0" w:space="0" w:color="auto"/>
      </w:divBdr>
    </w:div>
    <w:div w:id="232549087">
      <w:marLeft w:val="0"/>
      <w:marRight w:val="0"/>
      <w:marTop w:val="0"/>
      <w:marBottom w:val="0"/>
      <w:divBdr>
        <w:top w:val="none" w:sz="0" w:space="0" w:color="auto"/>
        <w:left w:val="none" w:sz="0" w:space="0" w:color="auto"/>
        <w:bottom w:val="none" w:sz="0" w:space="0" w:color="auto"/>
        <w:right w:val="none" w:sz="0" w:space="0" w:color="auto"/>
      </w:divBdr>
    </w:div>
    <w:div w:id="233666821">
      <w:marLeft w:val="0"/>
      <w:marRight w:val="0"/>
      <w:marTop w:val="0"/>
      <w:marBottom w:val="0"/>
      <w:divBdr>
        <w:top w:val="none" w:sz="0" w:space="0" w:color="auto"/>
        <w:left w:val="none" w:sz="0" w:space="0" w:color="auto"/>
        <w:bottom w:val="none" w:sz="0" w:space="0" w:color="auto"/>
        <w:right w:val="none" w:sz="0" w:space="0" w:color="auto"/>
      </w:divBdr>
    </w:div>
    <w:div w:id="233899610">
      <w:marLeft w:val="0"/>
      <w:marRight w:val="0"/>
      <w:marTop w:val="0"/>
      <w:marBottom w:val="0"/>
      <w:divBdr>
        <w:top w:val="none" w:sz="0" w:space="0" w:color="auto"/>
        <w:left w:val="none" w:sz="0" w:space="0" w:color="auto"/>
        <w:bottom w:val="none" w:sz="0" w:space="0" w:color="auto"/>
        <w:right w:val="none" w:sz="0" w:space="0" w:color="auto"/>
      </w:divBdr>
    </w:div>
    <w:div w:id="233901090">
      <w:marLeft w:val="0"/>
      <w:marRight w:val="0"/>
      <w:marTop w:val="0"/>
      <w:marBottom w:val="0"/>
      <w:divBdr>
        <w:top w:val="none" w:sz="0" w:space="0" w:color="auto"/>
        <w:left w:val="none" w:sz="0" w:space="0" w:color="auto"/>
        <w:bottom w:val="none" w:sz="0" w:space="0" w:color="auto"/>
        <w:right w:val="none" w:sz="0" w:space="0" w:color="auto"/>
      </w:divBdr>
    </w:div>
    <w:div w:id="233971085">
      <w:marLeft w:val="0"/>
      <w:marRight w:val="0"/>
      <w:marTop w:val="0"/>
      <w:marBottom w:val="0"/>
      <w:divBdr>
        <w:top w:val="none" w:sz="0" w:space="0" w:color="auto"/>
        <w:left w:val="none" w:sz="0" w:space="0" w:color="auto"/>
        <w:bottom w:val="none" w:sz="0" w:space="0" w:color="auto"/>
        <w:right w:val="none" w:sz="0" w:space="0" w:color="auto"/>
      </w:divBdr>
    </w:div>
    <w:div w:id="236087758">
      <w:marLeft w:val="0"/>
      <w:marRight w:val="0"/>
      <w:marTop w:val="0"/>
      <w:marBottom w:val="0"/>
      <w:divBdr>
        <w:top w:val="none" w:sz="0" w:space="0" w:color="auto"/>
        <w:left w:val="none" w:sz="0" w:space="0" w:color="auto"/>
        <w:bottom w:val="none" w:sz="0" w:space="0" w:color="auto"/>
        <w:right w:val="none" w:sz="0" w:space="0" w:color="auto"/>
      </w:divBdr>
    </w:div>
    <w:div w:id="236865160">
      <w:marLeft w:val="0"/>
      <w:marRight w:val="0"/>
      <w:marTop w:val="0"/>
      <w:marBottom w:val="0"/>
      <w:divBdr>
        <w:top w:val="none" w:sz="0" w:space="0" w:color="auto"/>
        <w:left w:val="none" w:sz="0" w:space="0" w:color="auto"/>
        <w:bottom w:val="none" w:sz="0" w:space="0" w:color="auto"/>
        <w:right w:val="none" w:sz="0" w:space="0" w:color="auto"/>
      </w:divBdr>
    </w:div>
    <w:div w:id="237252868">
      <w:marLeft w:val="0"/>
      <w:marRight w:val="0"/>
      <w:marTop w:val="0"/>
      <w:marBottom w:val="0"/>
      <w:divBdr>
        <w:top w:val="none" w:sz="0" w:space="0" w:color="auto"/>
        <w:left w:val="none" w:sz="0" w:space="0" w:color="auto"/>
        <w:bottom w:val="none" w:sz="0" w:space="0" w:color="auto"/>
        <w:right w:val="none" w:sz="0" w:space="0" w:color="auto"/>
      </w:divBdr>
    </w:div>
    <w:div w:id="239483114">
      <w:marLeft w:val="0"/>
      <w:marRight w:val="0"/>
      <w:marTop w:val="0"/>
      <w:marBottom w:val="0"/>
      <w:divBdr>
        <w:top w:val="none" w:sz="0" w:space="0" w:color="auto"/>
        <w:left w:val="none" w:sz="0" w:space="0" w:color="auto"/>
        <w:bottom w:val="none" w:sz="0" w:space="0" w:color="auto"/>
        <w:right w:val="none" w:sz="0" w:space="0" w:color="auto"/>
      </w:divBdr>
    </w:div>
    <w:div w:id="239491248">
      <w:marLeft w:val="0"/>
      <w:marRight w:val="0"/>
      <w:marTop w:val="0"/>
      <w:marBottom w:val="0"/>
      <w:divBdr>
        <w:top w:val="none" w:sz="0" w:space="0" w:color="auto"/>
        <w:left w:val="none" w:sz="0" w:space="0" w:color="auto"/>
        <w:bottom w:val="none" w:sz="0" w:space="0" w:color="auto"/>
        <w:right w:val="none" w:sz="0" w:space="0" w:color="auto"/>
      </w:divBdr>
    </w:div>
    <w:div w:id="240717857">
      <w:marLeft w:val="0"/>
      <w:marRight w:val="0"/>
      <w:marTop w:val="0"/>
      <w:marBottom w:val="0"/>
      <w:divBdr>
        <w:top w:val="none" w:sz="0" w:space="0" w:color="auto"/>
        <w:left w:val="none" w:sz="0" w:space="0" w:color="auto"/>
        <w:bottom w:val="none" w:sz="0" w:space="0" w:color="auto"/>
        <w:right w:val="none" w:sz="0" w:space="0" w:color="auto"/>
      </w:divBdr>
    </w:div>
    <w:div w:id="242615311">
      <w:marLeft w:val="0"/>
      <w:marRight w:val="0"/>
      <w:marTop w:val="0"/>
      <w:marBottom w:val="0"/>
      <w:divBdr>
        <w:top w:val="none" w:sz="0" w:space="0" w:color="auto"/>
        <w:left w:val="none" w:sz="0" w:space="0" w:color="auto"/>
        <w:bottom w:val="none" w:sz="0" w:space="0" w:color="auto"/>
        <w:right w:val="none" w:sz="0" w:space="0" w:color="auto"/>
      </w:divBdr>
    </w:div>
    <w:div w:id="243104027">
      <w:marLeft w:val="0"/>
      <w:marRight w:val="0"/>
      <w:marTop w:val="0"/>
      <w:marBottom w:val="0"/>
      <w:divBdr>
        <w:top w:val="none" w:sz="0" w:space="0" w:color="auto"/>
        <w:left w:val="none" w:sz="0" w:space="0" w:color="auto"/>
        <w:bottom w:val="none" w:sz="0" w:space="0" w:color="auto"/>
        <w:right w:val="none" w:sz="0" w:space="0" w:color="auto"/>
      </w:divBdr>
    </w:div>
    <w:div w:id="244464006">
      <w:marLeft w:val="0"/>
      <w:marRight w:val="0"/>
      <w:marTop w:val="0"/>
      <w:marBottom w:val="0"/>
      <w:divBdr>
        <w:top w:val="none" w:sz="0" w:space="0" w:color="auto"/>
        <w:left w:val="none" w:sz="0" w:space="0" w:color="auto"/>
        <w:bottom w:val="none" w:sz="0" w:space="0" w:color="auto"/>
        <w:right w:val="none" w:sz="0" w:space="0" w:color="auto"/>
      </w:divBdr>
    </w:div>
    <w:div w:id="245382158">
      <w:marLeft w:val="0"/>
      <w:marRight w:val="0"/>
      <w:marTop w:val="0"/>
      <w:marBottom w:val="0"/>
      <w:divBdr>
        <w:top w:val="none" w:sz="0" w:space="0" w:color="auto"/>
        <w:left w:val="none" w:sz="0" w:space="0" w:color="auto"/>
        <w:bottom w:val="none" w:sz="0" w:space="0" w:color="auto"/>
        <w:right w:val="none" w:sz="0" w:space="0" w:color="auto"/>
      </w:divBdr>
    </w:div>
    <w:div w:id="246690184">
      <w:marLeft w:val="0"/>
      <w:marRight w:val="0"/>
      <w:marTop w:val="0"/>
      <w:marBottom w:val="0"/>
      <w:divBdr>
        <w:top w:val="none" w:sz="0" w:space="0" w:color="auto"/>
        <w:left w:val="none" w:sz="0" w:space="0" w:color="auto"/>
        <w:bottom w:val="none" w:sz="0" w:space="0" w:color="auto"/>
        <w:right w:val="none" w:sz="0" w:space="0" w:color="auto"/>
      </w:divBdr>
      <w:divsChild>
        <w:div w:id="621418992">
          <w:marLeft w:val="0"/>
          <w:marRight w:val="0"/>
          <w:marTop w:val="0"/>
          <w:marBottom w:val="0"/>
          <w:divBdr>
            <w:top w:val="none" w:sz="0" w:space="0" w:color="auto"/>
            <w:left w:val="none" w:sz="0" w:space="0" w:color="auto"/>
            <w:bottom w:val="none" w:sz="0" w:space="0" w:color="auto"/>
            <w:right w:val="none" w:sz="0" w:space="0" w:color="auto"/>
          </w:divBdr>
        </w:div>
      </w:divsChild>
    </w:div>
    <w:div w:id="248660314">
      <w:marLeft w:val="0"/>
      <w:marRight w:val="0"/>
      <w:marTop w:val="0"/>
      <w:marBottom w:val="0"/>
      <w:divBdr>
        <w:top w:val="none" w:sz="0" w:space="0" w:color="auto"/>
        <w:left w:val="none" w:sz="0" w:space="0" w:color="auto"/>
        <w:bottom w:val="none" w:sz="0" w:space="0" w:color="auto"/>
        <w:right w:val="none" w:sz="0" w:space="0" w:color="auto"/>
      </w:divBdr>
    </w:div>
    <w:div w:id="248924504">
      <w:marLeft w:val="0"/>
      <w:marRight w:val="0"/>
      <w:marTop w:val="0"/>
      <w:marBottom w:val="0"/>
      <w:divBdr>
        <w:top w:val="none" w:sz="0" w:space="0" w:color="auto"/>
        <w:left w:val="none" w:sz="0" w:space="0" w:color="auto"/>
        <w:bottom w:val="none" w:sz="0" w:space="0" w:color="auto"/>
        <w:right w:val="none" w:sz="0" w:space="0" w:color="auto"/>
      </w:divBdr>
    </w:div>
    <w:div w:id="250816991">
      <w:marLeft w:val="0"/>
      <w:marRight w:val="0"/>
      <w:marTop w:val="0"/>
      <w:marBottom w:val="0"/>
      <w:divBdr>
        <w:top w:val="none" w:sz="0" w:space="0" w:color="auto"/>
        <w:left w:val="none" w:sz="0" w:space="0" w:color="auto"/>
        <w:bottom w:val="none" w:sz="0" w:space="0" w:color="auto"/>
        <w:right w:val="none" w:sz="0" w:space="0" w:color="auto"/>
      </w:divBdr>
    </w:div>
    <w:div w:id="252249939">
      <w:marLeft w:val="0"/>
      <w:marRight w:val="0"/>
      <w:marTop w:val="0"/>
      <w:marBottom w:val="0"/>
      <w:divBdr>
        <w:top w:val="none" w:sz="0" w:space="0" w:color="auto"/>
        <w:left w:val="none" w:sz="0" w:space="0" w:color="auto"/>
        <w:bottom w:val="none" w:sz="0" w:space="0" w:color="auto"/>
        <w:right w:val="none" w:sz="0" w:space="0" w:color="auto"/>
      </w:divBdr>
    </w:div>
    <w:div w:id="252511842">
      <w:marLeft w:val="0"/>
      <w:marRight w:val="0"/>
      <w:marTop w:val="0"/>
      <w:marBottom w:val="0"/>
      <w:divBdr>
        <w:top w:val="none" w:sz="0" w:space="0" w:color="auto"/>
        <w:left w:val="none" w:sz="0" w:space="0" w:color="auto"/>
        <w:bottom w:val="none" w:sz="0" w:space="0" w:color="auto"/>
        <w:right w:val="none" w:sz="0" w:space="0" w:color="auto"/>
      </w:divBdr>
      <w:divsChild>
        <w:div w:id="1661536557">
          <w:marLeft w:val="0"/>
          <w:marRight w:val="0"/>
          <w:marTop w:val="0"/>
          <w:marBottom w:val="0"/>
          <w:divBdr>
            <w:top w:val="none" w:sz="0" w:space="0" w:color="auto"/>
            <w:left w:val="none" w:sz="0" w:space="0" w:color="auto"/>
            <w:bottom w:val="none" w:sz="0" w:space="0" w:color="auto"/>
            <w:right w:val="none" w:sz="0" w:space="0" w:color="auto"/>
          </w:divBdr>
        </w:div>
      </w:divsChild>
    </w:div>
    <w:div w:id="253171474">
      <w:marLeft w:val="0"/>
      <w:marRight w:val="0"/>
      <w:marTop w:val="0"/>
      <w:marBottom w:val="0"/>
      <w:divBdr>
        <w:top w:val="none" w:sz="0" w:space="0" w:color="auto"/>
        <w:left w:val="none" w:sz="0" w:space="0" w:color="auto"/>
        <w:bottom w:val="none" w:sz="0" w:space="0" w:color="auto"/>
        <w:right w:val="none" w:sz="0" w:space="0" w:color="auto"/>
      </w:divBdr>
    </w:div>
    <w:div w:id="253517632">
      <w:marLeft w:val="0"/>
      <w:marRight w:val="0"/>
      <w:marTop w:val="100"/>
      <w:marBottom w:val="100"/>
      <w:divBdr>
        <w:top w:val="none" w:sz="0" w:space="0" w:color="auto"/>
        <w:left w:val="none" w:sz="0" w:space="0" w:color="auto"/>
        <w:bottom w:val="none" w:sz="0" w:space="0" w:color="auto"/>
        <w:right w:val="none" w:sz="0" w:space="0" w:color="auto"/>
      </w:divBdr>
      <w:divsChild>
        <w:div w:id="1006010035">
          <w:marLeft w:val="0"/>
          <w:marRight w:val="0"/>
          <w:marTop w:val="0"/>
          <w:marBottom w:val="0"/>
          <w:divBdr>
            <w:top w:val="none" w:sz="0" w:space="0" w:color="auto"/>
            <w:left w:val="none" w:sz="0" w:space="0" w:color="auto"/>
            <w:bottom w:val="none" w:sz="0" w:space="0" w:color="auto"/>
            <w:right w:val="none" w:sz="0" w:space="0" w:color="auto"/>
          </w:divBdr>
        </w:div>
      </w:divsChild>
    </w:div>
    <w:div w:id="253827322">
      <w:marLeft w:val="0"/>
      <w:marRight w:val="0"/>
      <w:marTop w:val="0"/>
      <w:marBottom w:val="0"/>
      <w:divBdr>
        <w:top w:val="none" w:sz="0" w:space="0" w:color="auto"/>
        <w:left w:val="none" w:sz="0" w:space="0" w:color="auto"/>
        <w:bottom w:val="none" w:sz="0" w:space="0" w:color="auto"/>
        <w:right w:val="none" w:sz="0" w:space="0" w:color="auto"/>
      </w:divBdr>
    </w:div>
    <w:div w:id="254901796">
      <w:marLeft w:val="0"/>
      <w:marRight w:val="0"/>
      <w:marTop w:val="0"/>
      <w:marBottom w:val="0"/>
      <w:divBdr>
        <w:top w:val="none" w:sz="0" w:space="0" w:color="auto"/>
        <w:left w:val="none" w:sz="0" w:space="0" w:color="auto"/>
        <w:bottom w:val="none" w:sz="0" w:space="0" w:color="auto"/>
        <w:right w:val="none" w:sz="0" w:space="0" w:color="auto"/>
      </w:divBdr>
    </w:div>
    <w:div w:id="257057819">
      <w:marLeft w:val="0"/>
      <w:marRight w:val="0"/>
      <w:marTop w:val="0"/>
      <w:marBottom w:val="0"/>
      <w:divBdr>
        <w:top w:val="none" w:sz="0" w:space="0" w:color="auto"/>
        <w:left w:val="none" w:sz="0" w:space="0" w:color="auto"/>
        <w:bottom w:val="none" w:sz="0" w:space="0" w:color="auto"/>
        <w:right w:val="none" w:sz="0" w:space="0" w:color="auto"/>
      </w:divBdr>
    </w:div>
    <w:div w:id="257182508">
      <w:marLeft w:val="0"/>
      <w:marRight w:val="0"/>
      <w:marTop w:val="0"/>
      <w:marBottom w:val="0"/>
      <w:divBdr>
        <w:top w:val="none" w:sz="0" w:space="0" w:color="auto"/>
        <w:left w:val="none" w:sz="0" w:space="0" w:color="auto"/>
        <w:bottom w:val="none" w:sz="0" w:space="0" w:color="auto"/>
        <w:right w:val="none" w:sz="0" w:space="0" w:color="auto"/>
      </w:divBdr>
    </w:div>
    <w:div w:id="257718541">
      <w:marLeft w:val="0"/>
      <w:marRight w:val="0"/>
      <w:marTop w:val="0"/>
      <w:marBottom w:val="0"/>
      <w:divBdr>
        <w:top w:val="none" w:sz="0" w:space="0" w:color="auto"/>
        <w:left w:val="none" w:sz="0" w:space="0" w:color="auto"/>
        <w:bottom w:val="none" w:sz="0" w:space="0" w:color="auto"/>
        <w:right w:val="none" w:sz="0" w:space="0" w:color="auto"/>
      </w:divBdr>
    </w:div>
    <w:div w:id="258292343">
      <w:marLeft w:val="0"/>
      <w:marRight w:val="0"/>
      <w:marTop w:val="0"/>
      <w:marBottom w:val="0"/>
      <w:divBdr>
        <w:top w:val="none" w:sz="0" w:space="0" w:color="auto"/>
        <w:left w:val="none" w:sz="0" w:space="0" w:color="auto"/>
        <w:bottom w:val="none" w:sz="0" w:space="0" w:color="auto"/>
        <w:right w:val="none" w:sz="0" w:space="0" w:color="auto"/>
      </w:divBdr>
    </w:div>
    <w:div w:id="259799013">
      <w:marLeft w:val="0"/>
      <w:marRight w:val="0"/>
      <w:marTop w:val="0"/>
      <w:marBottom w:val="0"/>
      <w:divBdr>
        <w:top w:val="none" w:sz="0" w:space="0" w:color="auto"/>
        <w:left w:val="none" w:sz="0" w:space="0" w:color="auto"/>
        <w:bottom w:val="none" w:sz="0" w:space="0" w:color="auto"/>
        <w:right w:val="none" w:sz="0" w:space="0" w:color="auto"/>
      </w:divBdr>
    </w:div>
    <w:div w:id="260259787">
      <w:marLeft w:val="0"/>
      <w:marRight w:val="0"/>
      <w:marTop w:val="0"/>
      <w:marBottom w:val="0"/>
      <w:divBdr>
        <w:top w:val="none" w:sz="0" w:space="0" w:color="auto"/>
        <w:left w:val="none" w:sz="0" w:space="0" w:color="auto"/>
        <w:bottom w:val="none" w:sz="0" w:space="0" w:color="auto"/>
        <w:right w:val="none" w:sz="0" w:space="0" w:color="auto"/>
      </w:divBdr>
    </w:div>
    <w:div w:id="260601890">
      <w:marLeft w:val="0"/>
      <w:marRight w:val="0"/>
      <w:marTop w:val="0"/>
      <w:marBottom w:val="0"/>
      <w:divBdr>
        <w:top w:val="none" w:sz="0" w:space="0" w:color="auto"/>
        <w:left w:val="none" w:sz="0" w:space="0" w:color="auto"/>
        <w:bottom w:val="none" w:sz="0" w:space="0" w:color="auto"/>
        <w:right w:val="none" w:sz="0" w:space="0" w:color="auto"/>
      </w:divBdr>
    </w:div>
    <w:div w:id="262686000">
      <w:marLeft w:val="0"/>
      <w:marRight w:val="0"/>
      <w:marTop w:val="0"/>
      <w:marBottom w:val="0"/>
      <w:divBdr>
        <w:top w:val="none" w:sz="0" w:space="0" w:color="auto"/>
        <w:left w:val="none" w:sz="0" w:space="0" w:color="auto"/>
        <w:bottom w:val="none" w:sz="0" w:space="0" w:color="auto"/>
        <w:right w:val="none" w:sz="0" w:space="0" w:color="auto"/>
      </w:divBdr>
    </w:div>
    <w:div w:id="262734542">
      <w:marLeft w:val="0"/>
      <w:marRight w:val="0"/>
      <w:marTop w:val="0"/>
      <w:marBottom w:val="0"/>
      <w:divBdr>
        <w:top w:val="none" w:sz="0" w:space="0" w:color="auto"/>
        <w:left w:val="none" w:sz="0" w:space="0" w:color="auto"/>
        <w:bottom w:val="none" w:sz="0" w:space="0" w:color="auto"/>
        <w:right w:val="none" w:sz="0" w:space="0" w:color="auto"/>
      </w:divBdr>
    </w:div>
    <w:div w:id="262961973">
      <w:marLeft w:val="0"/>
      <w:marRight w:val="0"/>
      <w:marTop w:val="0"/>
      <w:marBottom w:val="0"/>
      <w:divBdr>
        <w:top w:val="none" w:sz="0" w:space="0" w:color="auto"/>
        <w:left w:val="none" w:sz="0" w:space="0" w:color="auto"/>
        <w:bottom w:val="none" w:sz="0" w:space="0" w:color="auto"/>
        <w:right w:val="none" w:sz="0" w:space="0" w:color="auto"/>
      </w:divBdr>
    </w:div>
    <w:div w:id="263732254">
      <w:marLeft w:val="0"/>
      <w:marRight w:val="0"/>
      <w:marTop w:val="0"/>
      <w:marBottom w:val="0"/>
      <w:divBdr>
        <w:top w:val="none" w:sz="0" w:space="0" w:color="auto"/>
        <w:left w:val="none" w:sz="0" w:space="0" w:color="auto"/>
        <w:bottom w:val="none" w:sz="0" w:space="0" w:color="auto"/>
        <w:right w:val="none" w:sz="0" w:space="0" w:color="auto"/>
      </w:divBdr>
    </w:div>
    <w:div w:id="264001648">
      <w:marLeft w:val="0"/>
      <w:marRight w:val="0"/>
      <w:marTop w:val="0"/>
      <w:marBottom w:val="0"/>
      <w:divBdr>
        <w:top w:val="none" w:sz="0" w:space="0" w:color="auto"/>
        <w:left w:val="none" w:sz="0" w:space="0" w:color="auto"/>
        <w:bottom w:val="none" w:sz="0" w:space="0" w:color="auto"/>
        <w:right w:val="none" w:sz="0" w:space="0" w:color="auto"/>
      </w:divBdr>
    </w:div>
    <w:div w:id="264458079">
      <w:marLeft w:val="0"/>
      <w:marRight w:val="0"/>
      <w:marTop w:val="0"/>
      <w:marBottom w:val="0"/>
      <w:divBdr>
        <w:top w:val="none" w:sz="0" w:space="0" w:color="auto"/>
        <w:left w:val="none" w:sz="0" w:space="0" w:color="auto"/>
        <w:bottom w:val="none" w:sz="0" w:space="0" w:color="auto"/>
        <w:right w:val="none" w:sz="0" w:space="0" w:color="auto"/>
      </w:divBdr>
    </w:div>
    <w:div w:id="264578200">
      <w:marLeft w:val="0"/>
      <w:marRight w:val="0"/>
      <w:marTop w:val="0"/>
      <w:marBottom w:val="0"/>
      <w:divBdr>
        <w:top w:val="none" w:sz="0" w:space="0" w:color="auto"/>
        <w:left w:val="none" w:sz="0" w:space="0" w:color="auto"/>
        <w:bottom w:val="none" w:sz="0" w:space="0" w:color="auto"/>
        <w:right w:val="none" w:sz="0" w:space="0" w:color="auto"/>
      </w:divBdr>
    </w:div>
    <w:div w:id="264581534">
      <w:marLeft w:val="0"/>
      <w:marRight w:val="0"/>
      <w:marTop w:val="0"/>
      <w:marBottom w:val="0"/>
      <w:divBdr>
        <w:top w:val="none" w:sz="0" w:space="0" w:color="auto"/>
        <w:left w:val="none" w:sz="0" w:space="0" w:color="auto"/>
        <w:bottom w:val="none" w:sz="0" w:space="0" w:color="auto"/>
        <w:right w:val="none" w:sz="0" w:space="0" w:color="auto"/>
      </w:divBdr>
    </w:div>
    <w:div w:id="264848954">
      <w:marLeft w:val="0"/>
      <w:marRight w:val="0"/>
      <w:marTop w:val="0"/>
      <w:marBottom w:val="0"/>
      <w:divBdr>
        <w:top w:val="none" w:sz="0" w:space="0" w:color="auto"/>
        <w:left w:val="none" w:sz="0" w:space="0" w:color="auto"/>
        <w:bottom w:val="none" w:sz="0" w:space="0" w:color="auto"/>
        <w:right w:val="none" w:sz="0" w:space="0" w:color="auto"/>
      </w:divBdr>
    </w:div>
    <w:div w:id="265041515">
      <w:marLeft w:val="0"/>
      <w:marRight w:val="0"/>
      <w:marTop w:val="0"/>
      <w:marBottom w:val="0"/>
      <w:divBdr>
        <w:top w:val="none" w:sz="0" w:space="0" w:color="auto"/>
        <w:left w:val="none" w:sz="0" w:space="0" w:color="auto"/>
        <w:bottom w:val="none" w:sz="0" w:space="0" w:color="auto"/>
        <w:right w:val="none" w:sz="0" w:space="0" w:color="auto"/>
      </w:divBdr>
    </w:div>
    <w:div w:id="265116633">
      <w:marLeft w:val="0"/>
      <w:marRight w:val="0"/>
      <w:marTop w:val="0"/>
      <w:marBottom w:val="0"/>
      <w:divBdr>
        <w:top w:val="none" w:sz="0" w:space="0" w:color="auto"/>
        <w:left w:val="none" w:sz="0" w:space="0" w:color="auto"/>
        <w:bottom w:val="none" w:sz="0" w:space="0" w:color="auto"/>
        <w:right w:val="none" w:sz="0" w:space="0" w:color="auto"/>
      </w:divBdr>
    </w:div>
    <w:div w:id="265508756">
      <w:marLeft w:val="0"/>
      <w:marRight w:val="0"/>
      <w:marTop w:val="0"/>
      <w:marBottom w:val="0"/>
      <w:divBdr>
        <w:top w:val="none" w:sz="0" w:space="0" w:color="auto"/>
        <w:left w:val="none" w:sz="0" w:space="0" w:color="auto"/>
        <w:bottom w:val="none" w:sz="0" w:space="0" w:color="auto"/>
        <w:right w:val="none" w:sz="0" w:space="0" w:color="auto"/>
      </w:divBdr>
    </w:div>
    <w:div w:id="265966267">
      <w:marLeft w:val="0"/>
      <w:marRight w:val="0"/>
      <w:marTop w:val="0"/>
      <w:marBottom w:val="0"/>
      <w:divBdr>
        <w:top w:val="none" w:sz="0" w:space="0" w:color="auto"/>
        <w:left w:val="none" w:sz="0" w:space="0" w:color="auto"/>
        <w:bottom w:val="none" w:sz="0" w:space="0" w:color="auto"/>
        <w:right w:val="none" w:sz="0" w:space="0" w:color="auto"/>
      </w:divBdr>
    </w:div>
    <w:div w:id="266039289">
      <w:marLeft w:val="0"/>
      <w:marRight w:val="0"/>
      <w:marTop w:val="100"/>
      <w:marBottom w:val="100"/>
      <w:divBdr>
        <w:top w:val="none" w:sz="0" w:space="0" w:color="auto"/>
        <w:left w:val="none" w:sz="0" w:space="0" w:color="auto"/>
        <w:bottom w:val="none" w:sz="0" w:space="0" w:color="auto"/>
        <w:right w:val="none" w:sz="0" w:space="0" w:color="auto"/>
      </w:divBdr>
    </w:div>
    <w:div w:id="266498633">
      <w:marLeft w:val="0"/>
      <w:marRight w:val="0"/>
      <w:marTop w:val="0"/>
      <w:marBottom w:val="0"/>
      <w:divBdr>
        <w:top w:val="none" w:sz="0" w:space="0" w:color="auto"/>
        <w:left w:val="none" w:sz="0" w:space="0" w:color="auto"/>
        <w:bottom w:val="none" w:sz="0" w:space="0" w:color="auto"/>
        <w:right w:val="none" w:sz="0" w:space="0" w:color="auto"/>
      </w:divBdr>
      <w:divsChild>
        <w:div w:id="1160269820">
          <w:marLeft w:val="0"/>
          <w:marRight w:val="0"/>
          <w:marTop w:val="0"/>
          <w:marBottom w:val="0"/>
          <w:divBdr>
            <w:top w:val="none" w:sz="0" w:space="0" w:color="auto"/>
            <w:left w:val="none" w:sz="0" w:space="0" w:color="auto"/>
            <w:bottom w:val="none" w:sz="0" w:space="0" w:color="auto"/>
            <w:right w:val="none" w:sz="0" w:space="0" w:color="auto"/>
          </w:divBdr>
        </w:div>
      </w:divsChild>
    </w:div>
    <w:div w:id="267205124">
      <w:marLeft w:val="0"/>
      <w:marRight w:val="0"/>
      <w:marTop w:val="0"/>
      <w:marBottom w:val="0"/>
      <w:divBdr>
        <w:top w:val="none" w:sz="0" w:space="0" w:color="auto"/>
        <w:left w:val="none" w:sz="0" w:space="0" w:color="auto"/>
        <w:bottom w:val="none" w:sz="0" w:space="0" w:color="auto"/>
        <w:right w:val="none" w:sz="0" w:space="0" w:color="auto"/>
      </w:divBdr>
    </w:div>
    <w:div w:id="269093371">
      <w:marLeft w:val="0"/>
      <w:marRight w:val="0"/>
      <w:marTop w:val="0"/>
      <w:marBottom w:val="0"/>
      <w:divBdr>
        <w:top w:val="none" w:sz="0" w:space="0" w:color="auto"/>
        <w:left w:val="none" w:sz="0" w:space="0" w:color="auto"/>
        <w:bottom w:val="none" w:sz="0" w:space="0" w:color="auto"/>
        <w:right w:val="none" w:sz="0" w:space="0" w:color="auto"/>
      </w:divBdr>
    </w:div>
    <w:div w:id="269360796">
      <w:marLeft w:val="0"/>
      <w:marRight w:val="0"/>
      <w:marTop w:val="0"/>
      <w:marBottom w:val="0"/>
      <w:divBdr>
        <w:top w:val="none" w:sz="0" w:space="0" w:color="auto"/>
        <w:left w:val="none" w:sz="0" w:space="0" w:color="auto"/>
        <w:bottom w:val="none" w:sz="0" w:space="0" w:color="auto"/>
        <w:right w:val="none" w:sz="0" w:space="0" w:color="auto"/>
      </w:divBdr>
      <w:divsChild>
        <w:div w:id="1045638174">
          <w:marLeft w:val="0"/>
          <w:marRight w:val="0"/>
          <w:marTop w:val="0"/>
          <w:marBottom w:val="0"/>
          <w:divBdr>
            <w:top w:val="none" w:sz="0" w:space="0" w:color="auto"/>
            <w:left w:val="none" w:sz="0" w:space="0" w:color="auto"/>
            <w:bottom w:val="none" w:sz="0" w:space="0" w:color="auto"/>
            <w:right w:val="none" w:sz="0" w:space="0" w:color="auto"/>
          </w:divBdr>
        </w:div>
      </w:divsChild>
    </w:div>
    <w:div w:id="269510560">
      <w:marLeft w:val="0"/>
      <w:marRight w:val="0"/>
      <w:marTop w:val="0"/>
      <w:marBottom w:val="0"/>
      <w:divBdr>
        <w:top w:val="none" w:sz="0" w:space="0" w:color="auto"/>
        <w:left w:val="none" w:sz="0" w:space="0" w:color="auto"/>
        <w:bottom w:val="none" w:sz="0" w:space="0" w:color="auto"/>
        <w:right w:val="none" w:sz="0" w:space="0" w:color="auto"/>
      </w:divBdr>
    </w:div>
    <w:div w:id="269751087">
      <w:marLeft w:val="0"/>
      <w:marRight w:val="0"/>
      <w:marTop w:val="0"/>
      <w:marBottom w:val="0"/>
      <w:divBdr>
        <w:top w:val="none" w:sz="0" w:space="0" w:color="auto"/>
        <w:left w:val="none" w:sz="0" w:space="0" w:color="auto"/>
        <w:bottom w:val="none" w:sz="0" w:space="0" w:color="auto"/>
        <w:right w:val="none" w:sz="0" w:space="0" w:color="auto"/>
      </w:divBdr>
    </w:div>
    <w:div w:id="270820566">
      <w:marLeft w:val="0"/>
      <w:marRight w:val="0"/>
      <w:marTop w:val="0"/>
      <w:marBottom w:val="0"/>
      <w:divBdr>
        <w:top w:val="none" w:sz="0" w:space="0" w:color="auto"/>
        <w:left w:val="none" w:sz="0" w:space="0" w:color="auto"/>
        <w:bottom w:val="none" w:sz="0" w:space="0" w:color="auto"/>
        <w:right w:val="none" w:sz="0" w:space="0" w:color="auto"/>
      </w:divBdr>
    </w:div>
    <w:div w:id="271135426">
      <w:marLeft w:val="0"/>
      <w:marRight w:val="0"/>
      <w:marTop w:val="100"/>
      <w:marBottom w:val="100"/>
      <w:divBdr>
        <w:top w:val="none" w:sz="0" w:space="0" w:color="auto"/>
        <w:left w:val="none" w:sz="0" w:space="0" w:color="auto"/>
        <w:bottom w:val="none" w:sz="0" w:space="0" w:color="auto"/>
        <w:right w:val="none" w:sz="0" w:space="0" w:color="auto"/>
      </w:divBdr>
      <w:divsChild>
        <w:div w:id="243996247">
          <w:marLeft w:val="0"/>
          <w:marRight w:val="0"/>
          <w:marTop w:val="0"/>
          <w:marBottom w:val="0"/>
          <w:divBdr>
            <w:top w:val="none" w:sz="0" w:space="0" w:color="auto"/>
            <w:left w:val="none" w:sz="0" w:space="0" w:color="auto"/>
            <w:bottom w:val="none" w:sz="0" w:space="0" w:color="auto"/>
            <w:right w:val="none" w:sz="0" w:space="0" w:color="auto"/>
          </w:divBdr>
        </w:div>
      </w:divsChild>
    </w:div>
    <w:div w:id="273947486">
      <w:marLeft w:val="0"/>
      <w:marRight w:val="0"/>
      <w:marTop w:val="0"/>
      <w:marBottom w:val="0"/>
      <w:divBdr>
        <w:top w:val="none" w:sz="0" w:space="0" w:color="auto"/>
        <w:left w:val="none" w:sz="0" w:space="0" w:color="auto"/>
        <w:bottom w:val="none" w:sz="0" w:space="0" w:color="auto"/>
        <w:right w:val="none" w:sz="0" w:space="0" w:color="auto"/>
      </w:divBdr>
    </w:div>
    <w:div w:id="275522447">
      <w:marLeft w:val="0"/>
      <w:marRight w:val="0"/>
      <w:marTop w:val="0"/>
      <w:marBottom w:val="0"/>
      <w:divBdr>
        <w:top w:val="none" w:sz="0" w:space="0" w:color="auto"/>
        <w:left w:val="none" w:sz="0" w:space="0" w:color="auto"/>
        <w:bottom w:val="none" w:sz="0" w:space="0" w:color="auto"/>
        <w:right w:val="none" w:sz="0" w:space="0" w:color="auto"/>
      </w:divBdr>
    </w:div>
    <w:div w:id="275720111">
      <w:marLeft w:val="0"/>
      <w:marRight w:val="0"/>
      <w:marTop w:val="0"/>
      <w:marBottom w:val="0"/>
      <w:divBdr>
        <w:top w:val="none" w:sz="0" w:space="0" w:color="auto"/>
        <w:left w:val="none" w:sz="0" w:space="0" w:color="auto"/>
        <w:bottom w:val="none" w:sz="0" w:space="0" w:color="auto"/>
        <w:right w:val="none" w:sz="0" w:space="0" w:color="auto"/>
      </w:divBdr>
    </w:div>
    <w:div w:id="276455008">
      <w:marLeft w:val="0"/>
      <w:marRight w:val="0"/>
      <w:marTop w:val="0"/>
      <w:marBottom w:val="0"/>
      <w:divBdr>
        <w:top w:val="none" w:sz="0" w:space="0" w:color="auto"/>
        <w:left w:val="none" w:sz="0" w:space="0" w:color="auto"/>
        <w:bottom w:val="none" w:sz="0" w:space="0" w:color="auto"/>
        <w:right w:val="none" w:sz="0" w:space="0" w:color="auto"/>
      </w:divBdr>
    </w:div>
    <w:div w:id="276915363">
      <w:marLeft w:val="0"/>
      <w:marRight w:val="0"/>
      <w:marTop w:val="100"/>
      <w:marBottom w:val="180"/>
      <w:divBdr>
        <w:top w:val="none" w:sz="0" w:space="0" w:color="auto"/>
        <w:left w:val="none" w:sz="0" w:space="0" w:color="auto"/>
        <w:bottom w:val="none" w:sz="0" w:space="0" w:color="auto"/>
        <w:right w:val="none" w:sz="0" w:space="0" w:color="auto"/>
      </w:divBdr>
    </w:div>
    <w:div w:id="277026003">
      <w:marLeft w:val="0"/>
      <w:marRight w:val="0"/>
      <w:marTop w:val="0"/>
      <w:marBottom w:val="0"/>
      <w:divBdr>
        <w:top w:val="none" w:sz="0" w:space="0" w:color="auto"/>
        <w:left w:val="none" w:sz="0" w:space="0" w:color="auto"/>
        <w:bottom w:val="none" w:sz="0" w:space="0" w:color="auto"/>
        <w:right w:val="none" w:sz="0" w:space="0" w:color="auto"/>
      </w:divBdr>
    </w:div>
    <w:div w:id="277421270">
      <w:marLeft w:val="0"/>
      <w:marRight w:val="0"/>
      <w:marTop w:val="0"/>
      <w:marBottom w:val="0"/>
      <w:divBdr>
        <w:top w:val="none" w:sz="0" w:space="0" w:color="auto"/>
        <w:left w:val="none" w:sz="0" w:space="0" w:color="auto"/>
        <w:bottom w:val="none" w:sz="0" w:space="0" w:color="auto"/>
        <w:right w:val="none" w:sz="0" w:space="0" w:color="auto"/>
      </w:divBdr>
    </w:div>
    <w:div w:id="277641089">
      <w:marLeft w:val="0"/>
      <w:marRight w:val="0"/>
      <w:marTop w:val="0"/>
      <w:marBottom w:val="0"/>
      <w:divBdr>
        <w:top w:val="none" w:sz="0" w:space="0" w:color="auto"/>
        <w:left w:val="none" w:sz="0" w:space="0" w:color="auto"/>
        <w:bottom w:val="none" w:sz="0" w:space="0" w:color="auto"/>
        <w:right w:val="none" w:sz="0" w:space="0" w:color="auto"/>
      </w:divBdr>
    </w:div>
    <w:div w:id="278075468">
      <w:marLeft w:val="0"/>
      <w:marRight w:val="0"/>
      <w:marTop w:val="0"/>
      <w:marBottom w:val="0"/>
      <w:divBdr>
        <w:top w:val="none" w:sz="0" w:space="0" w:color="auto"/>
        <w:left w:val="none" w:sz="0" w:space="0" w:color="auto"/>
        <w:bottom w:val="none" w:sz="0" w:space="0" w:color="auto"/>
        <w:right w:val="none" w:sz="0" w:space="0" w:color="auto"/>
      </w:divBdr>
    </w:div>
    <w:div w:id="278486854">
      <w:marLeft w:val="0"/>
      <w:marRight w:val="0"/>
      <w:marTop w:val="0"/>
      <w:marBottom w:val="0"/>
      <w:divBdr>
        <w:top w:val="none" w:sz="0" w:space="0" w:color="auto"/>
        <w:left w:val="none" w:sz="0" w:space="0" w:color="auto"/>
        <w:bottom w:val="none" w:sz="0" w:space="0" w:color="auto"/>
        <w:right w:val="none" w:sz="0" w:space="0" w:color="auto"/>
      </w:divBdr>
    </w:div>
    <w:div w:id="278612874">
      <w:marLeft w:val="0"/>
      <w:marRight w:val="0"/>
      <w:marTop w:val="0"/>
      <w:marBottom w:val="0"/>
      <w:divBdr>
        <w:top w:val="none" w:sz="0" w:space="0" w:color="auto"/>
        <w:left w:val="none" w:sz="0" w:space="0" w:color="auto"/>
        <w:bottom w:val="none" w:sz="0" w:space="0" w:color="auto"/>
        <w:right w:val="none" w:sz="0" w:space="0" w:color="auto"/>
      </w:divBdr>
    </w:div>
    <w:div w:id="278874934">
      <w:marLeft w:val="0"/>
      <w:marRight w:val="0"/>
      <w:marTop w:val="0"/>
      <w:marBottom w:val="0"/>
      <w:divBdr>
        <w:top w:val="none" w:sz="0" w:space="0" w:color="auto"/>
        <w:left w:val="none" w:sz="0" w:space="0" w:color="auto"/>
        <w:bottom w:val="none" w:sz="0" w:space="0" w:color="auto"/>
        <w:right w:val="none" w:sz="0" w:space="0" w:color="auto"/>
      </w:divBdr>
    </w:div>
    <w:div w:id="279067262">
      <w:marLeft w:val="0"/>
      <w:marRight w:val="0"/>
      <w:marTop w:val="0"/>
      <w:marBottom w:val="0"/>
      <w:divBdr>
        <w:top w:val="none" w:sz="0" w:space="0" w:color="auto"/>
        <w:left w:val="none" w:sz="0" w:space="0" w:color="auto"/>
        <w:bottom w:val="none" w:sz="0" w:space="0" w:color="auto"/>
        <w:right w:val="none" w:sz="0" w:space="0" w:color="auto"/>
      </w:divBdr>
    </w:div>
    <w:div w:id="279070260">
      <w:marLeft w:val="0"/>
      <w:marRight w:val="0"/>
      <w:marTop w:val="0"/>
      <w:marBottom w:val="0"/>
      <w:divBdr>
        <w:top w:val="none" w:sz="0" w:space="0" w:color="auto"/>
        <w:left w:val="none" w:sz="0" w:space="0" w:color="auto"/>
        <w:bottom w:val="none" w:sz="0" w:space="0" w:color="auto"/>
        <w:right w:val="none" w:sz="0" w:space="0" w:color="auto"/>
      </w:divBdr>
    </w:div>
    <w:div w:id="279729846">
      <w:marLeft w:val="0"/>
      <w:marRight w:val="0"/>
      <w:marTop w:val="0"/>
      <w:marBottom w:val="0"/>
      <w:divBdr>
        <w:top w:val="none" w:sz="0" w:space="0" w:color="auto"/>
        <w:left w:val="none" w:sz="0" w:space="0" w:color="auto"/>
        <w:bottom w:val="none" w:sz="0" w:space="0" w:color="auto"/>
        <w:right w:val="none" w:sz="0" w:space="0" w:color="auto"/>
      </w:divBdr>
    </w:div>
    <w:div w:id="280692349">
      <w:marLeft w:val="0"/>
      <w:marRight w:val="0"/>
      <w:marTop w:val="0"/>
      <w:marBottom w:val="0"/>
      <w:divBdr>
        <w:top w:val="none" w:sz="0" w:space="0" w:color="auto"/>
        <w:left w:val="none" w:sz="0" w:space="0" w:color="auto"/>
        <w:bottom w:val="none" w:sz="0" w:space="0" w:color="auto"/>
        <w:right w:val="none" w:sz="0" w:space="0" w:color="auto"/>
      </w:divBdr>
    </w:div>
    <w:div w:id="280919765">
      <w:marLeft w:val="0"/>
      <w:marRight w:val="0"/>
      <w:marTop w:val="0"/>
      <w:marBottom w:val="0"/>
      <w:divBdr>
        <w:top w:val="none" w:sz="0" w:space="0" w:color="auto"/>
        <w:left w:val="none" w:sz="0" w:space="0" w:color="auto"/>
        <w:bottom w:val="none" w:sz="0" w:space="0" w:color="auto"/>
        <w:right w:val="none" w:sz="0" w:space="0" w:color="auto"/>
      </w:divBdr>
    </w:div>
    <w:div w:id="281150435">
      <w:marLeft w:val="0"/>
      <w:marRight w:val="0"/>
      <w:marTop w:val="0"/>
      <w:marBottom w:val="0"/>
      <w:divBdr>
        <w:top w:val="none" w:sz="0" w:space="0" w:color="auto"/>
        <w:left w:val="none" w:sz="0" w:space="0" w:color="auto"/>
        <w:bottom w:val="none" w:sz="0" w:space="0" w:color="auto"/>
        <w:right w:val="none" w:sz="0" w:space="0" w:color="auto"/>
      </w:divBdr>
    </w:div>
    <w:div w:id="281545703">
      <w:marLeft w:val="0"/>
      <w:marRight w:val="0"/>
      <w:marTop w:val="0"/>
      <w:marBottom w:val="0"/>
      <w:divBdr>
        <w:top w:val="none" w:sz="0" w:space="0" w:color="auto"/>
        <w:left w:val="none" w:sz="0" w:space="0" w:color="auto"/>
        <w:bottom w:val="none" w:sz="0" w:space="0" w:color="auto"/>
        <w:right w:val="none" w:sz="0" w:space="0" w:color="auto"/>
      </w:divBdr>
    </w:div>
    <w:div w:id="283510248">
      <w:marLeft w:val="0"/>
      <w:marRight w:val="0"/>
      <w:marTop w:val="0"/>
      <w:marBottom w:val="0"/>
      <w:divBdr>
        <w:top w:val="none" w:sz="0" w:space="0" w:color="auto"/>
        <w:left w:val="none" w:sz="0" w:space="0" w:color="auto"/>
        <w:bottom w:val="none" w:sz="0" w:space="0" w:color="auto"/>
        <w:right w:val="none" w:sz="0" w:space="0" w:color="auto"/>
      </w:divBdr>
      <w:divsChild>
        <w:div w:id="322853621">
          <w:marLeft w:val="0"/>
          <w:marRight w:val="0"/>
          <w:marTop w:val="0"/>
          <w:marBottom w:val="0"/>
          <w:divBdr>
            <w:top w:val="none" w:sz="0" w:space="0" w:color="auto"/>
            <w:left w:val="none" w:sz="0" w:space="0" w:color="auto"/>
            <w:bottom w:val="none" w:sz="0" w:space="0" w:color="auto"/>
            <w:right w:val="none" w:sz="0" w:space="0" w:color="auto"/>
          </w:divBdr>
        </w:div>
      </w:divsChild>
    </w:div>
    <w:div w:id="283659120">
      <w:marLeft w:val="0"/>
      <w:marRight w:val="0"/>
      <w:marTop w:val="0"/>
      <w:marBottom w:val="0"/>
      <w:divBdr>
        <w:top w:val="none" w:sz="0" w:space="0" w:color="auto"/>
        <w:left w:val="none" w:sz="0" w:space="0" w:color="auto"/>
        <w:bottom w:val="none" w:sz="0" w:space="0" w:color="auto"/>
        <w:right w:val="none" w:sz="0" w:space="0" w:color="auto"/>
      </w:divBdr>
    </w:div>
    <w:div w:id="283925294">
      <w:marLeft w:val="0"/>
      <w:marRight w:val="0"/>
      <w:marTop w:val="0"/>
      <w:marBottom w:val="0"/>
      <w:divBdr>
        <w:top w:val="none" w:sz="0" w:space="0" w:color="auto"/>
        <w:left w:val="none" w:sz="0" w:space="0" w:color="auto"/>
        <w:bottom w:val="none" w:sz="0" w:space="0" w:color="auto"/>
        <w:right w:val="none" w:sz="0" w:space="0" w:color="auto"/>
      </w:divBdr>
    </w:div>
    <w:div w:id="284239510">
      <w:marLeft w:val="0"/>
      <w:marRight w:val="0"/>
      <w:marTop w:val="0"/>
      <w:marBottom w:val="0"/>
      <w:divBdr>
        <w:top w:val="none" w:sz="0" w:space="0" w:color="auto"/>
        <w:left w:val="none" w:sz="0" w:space="0" w:color="auto"/>
        <w:bottom w:val="none" w:sz="0" w:space="0" w:color="auto"/>
        <w:right w:val="none" w:sz="0" w:space="0" w:color="auto"/>
      </w:divBdr>
    </w:div>
    <w:div w:id="284821045">
      <w:marLeft w:val="0"/>
      <w:marRight w:val="0"/>
      <w:marTop w:val="0"/>
      <w:marBottom w:val="0"/>
      <w:divBdr>
        <w:top w:val="none" w:sz="0" w:space="0" w:color="auto"/>
        <w:left w:val="none" w:sz="0" w:space="0" w:color="auto"/>
        <w:bottom w:val="none" w:sz="0" w:space="0" w:color="auto"/>
        <w:right w:val="none" w:sz="0" w:space="0" w:color="auto"/>
      </w:divBdr>
    </w:div>
    <w:div w:id="286788478">
      <w:marLeft w:val="0"/>
      <w:marRight w:val="0"/>
      <w:marTop w:val="0"/>
      <w:marBottom w:val="0"/>
      <w:divBdr>
        <w:top w:val="none" w:sz="0" w:space="0" w:color="auto"/>
        <w:left w:val="none" w:sz="0" w:space="0" w:color="auto"/>
        <w:bottom w:val="none" w:sz="0" w:space="0" w:color="auto"/>
        <w:right w:val="none" w:sz="0" w:space="0" w:color="auto"/>
      </w:divBdr>
    </w:div>
    <w:div w:id="286936082">
      <w:marLeft w:val="0"/>
      <w:marRight w:val="0"/>
      <w:marTop w:val="0"/>
      <w:marBottom w:val="0"/>
      <w:divBdr>
        <w:top w:val="none" w:sz="0" w:space="0" w:color="auto"/>
        <w:left w:val="none" w:sz="0" w:space="0" w:color="auto"/>
        <w:bottom w:val="none" w:sz="0" w:space="0" w:color="auto"/>
        <w:right w:val="none" w:sz="0" w:space="0" w:color="auto"/>
      </w:divBdr>
    </w:div>
    <w:div w:id="289289225">
      <w:marLeft w:val="0"/>
      <w:marRight w:val="0"/>
      <w:marTop w:val="0"/>
      <w:marBottom w:val="0"/>
      <w:divBdr>
        <w:top w:val="none" w:sz="0" w:space="0" w:color="auto"/>
        <w:left w:val="none" w:sz="0" w:space="0" w:color="auto"/>
        <w:bottom w:val="none" w:sz="0" w:space="0" w:color="auto"/>
        <w:right w:val="none" w:sz="0" w:space="0" w:color="auto"/>
      </w:divBdr>
    </w:div>
    <w:div w:id="292561366">
      <w:marLeft w:val="0"/>
      <w:marRight w:val="0"/>
      <w:marTop w:val="0"/>
      <w:marBottom w:val="0"/>
      <w:divBdr>
        <w:top w:val="none" w:sz="0" w:space="0" w:color="auto"/>
        <w:left w:val="none" w:sz="0" w:space="0" w:color="auto"/>
        <w:bottom w:val="none" w:sz="0" w:space="0" w:color="auto"/>
        <w:right w:val="none" w:sz="0" w:space="0" w:color="auto"/>
      </w:divBdr>
    </w:div>
    <w:div w:id="292637321">
      <w:marLeft w:val="0"/>
      <w:marRight w:val="0"/>
      <w:marTop w:val="0"/>
      <w:marBottom w:val="0"/>
      <w:divBdr>
        <w:top w:val="none" w:sz="0" w:space="0" w:color="auto"/>
        <w:left w:val="none" w:sz="0" w:space="0" w:color="auto"/>
        <w:bottom w:val="none" w:sz="0" w:space="0" w:color="auto"/>
        <w:right w:val="none" w:sz="0" w:space="0" w:color="auto"/>
      </w:divBdr>
    </w:div>
    <w:div w:id="292954666">
      <w:marLeft w:val="0"/>
      <w:marRight w:val="0"/>
      <w:marTop w:val="0"/>
      <w:marBottom w:val="0"/>
      <w:divBdr>
        <w:top w:val="none" w:sz="0" w:space="0" w:color="auto"/>
        <w:left w:val="none" w:sz="0" w:space="0" w:color="auto"/>
        <w:bottom w:val="none" w:sz="0" w:space="0" w:color="auto"/>
        <w:right w:val="none" w:sz="0" w:space="0" w:color="auto"/>
      </w:divBdr>
    </w:div>
    <w:div w:id="293680322">
      <w:marLeft w:val="0"/>
      <w:marRight w:val="0"/>
      <w:marTop w:val="0"/>
      <w:marBottom w:val="0"/>
      <w:divBdr>
        <w:top w:val="none" w:sz="0" w:space="0" w:color="auto"/>
        <w:left w:val="none" w:sz="0" w:space="0" w:color="auto"/>
        <w:bottom w:val="none" w:sz="0" w:space="0" w:color="auto"/>
        <w:right w:val="none" w:sz="0" w:space="0" w:color="auto"/>
      </w:divBdr>
    </w:div>
    <w:div w:id="294527179">
      <w:marLeft w:val="0"/>
      <w:marRight w:val="0"/>
      <w:marTop w:val="0"/>
      <w:marBottom w:val="0"/>
      <w:divBdr>
        <w:top w:val="none" w:sz="0" w:space="0" w:color="auto"/>
        <w:left w:val="none" w:sz="0" w:space="0" w:color="auto"/>
        <w:bottom w:val="none" w:sz="0" w:space="0" w:color="auto"/>
        <w:right w:val="none" w:sz="0" w:space="0" w:color="auto"/>
      </w:divBdr>
    </w:div>
    <w:div w:id="294725471">
      <w:marLeft w:val="0"/>
      <w:marRight w:val="0"/>
      <w:marTop w:val="0"/>
      <w:marBottom w:val="0"/>
      <w:divBdr>
        <w:top w:val="none" w:sz="0" w:space="0" w:color="auto"/>
        <w:left w:val="none" w:sz="0" w:space="0" w:color="auto"/>
        <w:bottom w:val="none" w:sz="0" w:space="0" w:color="auto"/>
        <w:right w:val="none" w:sz="0" w:space="0" w:color="auto"/>
      </w:divBdr>
    </w:div>
    <w:div w:id="294801362">
      <w:marLeft w:val="0"/>
      <w:marRight w:val="0"/>
      <w:marTop w:val="0"/>
      <w:marBottom w:val="0"/>
      <w:divBdr>
        <w:top w:val="none" w:sz="0" w:space="0" w:color="auto"/>
        <w:left w:val="none" w:sz="0" w:space="0" w:color="auto"/>
        <w:bottom w:val="none" w:sz="0" w:space="0" w:color="auto"/>
        <w:right w:val="none" w:sz="0" w:space="0" w:color="auto"/>
      </w:divBdr>
    </w:div>
    <w:div w:id="295843146">
      <w:marLeft w:val="0"/>
      <w:marRight w:val="0"/>
      <w:marTop w:val="0"/>
      <w:marBottom w:val="0"/>
      <w:divBdr>
        <w:top w:val="none" w:sz="0" w:space="0" w:color="auto"/>
        <w:left w:val="none" w:sz="0" w:space="0" w:color="auto"/>
        <w:bottom w:val="none" w:sz="0" w:space="0" w:color="auto"/>
        <w:right w:val="none" w:sz="0" w:space="0" w:color="auto"/>
      </w:divBdr>
    </w:div>
    <w:div w:id="296105440">
      <w:marLeft w:val="0"/>
      <w:marRight w:val="0"/>
      <w:marTop w:val="0"/>
      <w:marBottom w:val="0"/>
      <w:divBdr>
        <w:top w:val="none" w:sz="0" w:space="0" w:color="auto"/>
        <w:left w:val="none" w:sz="0" w:space="0" w:color="auto"/>
        <w:bottom w:val="none" w:sz="0" w:space="0" w:color="auto"/>
        <w:right w:val="none" w:sz="0" w:space="0" w:color="auto"/>
      </w:divBdr>
    </w:div>
    <w:div w:id="297150292">
      <w:marLeft w:val="0"/>
      <w:marRight w:val="0"/>
      <w:marTop w:val="0"/>
      <w:marBottom w:val="0"/>
      <w:divBdr>
        <w:top w:val="none" w:sz="0" w:space="0" w:color="auto"/>
        <w:left w:val="none" w:sz="0" w:space="0" w:color="auto"/>
        <w:bottom w:val="none" w:sz="0" w:space="0" w:color="auto"/>
        <w:right w:val="none" w:sz="0" w:space="0" w:color="auto"/>
      </w:divBdr>
    </w:div>
    <w:div w:id="298389271">
      <w:marLeft w:val="0"/>
      <w:marRight w:val="0"/>
      <w:marTop w:val="0"/>
      <w:marBottom w:val="0"/>
      <w:divBdr>
        <w:top w:val="none" w:sz="0" w:space="0" w:color="auto"/>
        <w:left w:val="none" w:sz="0" w:space="0" w:color="auto"/>
        <w:bottom w:val="none" w:sz="0" w:space="0" w:color="auto"/>
        <w:right w:val="none" w:sz="0" w:space="0" w:color="auto"/>
      </w:divBdr>
    </w:div>
    <w:div w:id="298540588">
      <w:marLeft w:val="0"/>
      <w:marRight w:val="0"/>
      <w:marTop w:val="0"/>
      <w:marBottom w:val="0"/>
      <w:divBdr>
        <w:top w:val="none" w:sz="0" w:space="0" w:color="auto"/>
        <w:left w:val="none" w:sz="0" w:space="0" w:color="auto"/>
        <w:bottom w:val="none" w:sz="0" w:space="0" w:color="auto"/>
        <w:right w:val="none" w:sz="0" w:space="0" w:color="auto"/>
      </w:divBdr>
    </w:div>
    <w:div w:id="299652241">
      <w:marLeft w:val="0"/>
      <w:marRight w:val="0"/>
      <w:marTop w:val="0"/>
      <w:marBottom w:val="0"/>
      <w:divBdr>
        <w:top w:val="none" w:sz="0" w:space="0" w:color="auto"/>
        <w:left w:val="none" w:sz="0" w:space="0" w:color="auto"/>
        <w:bottom w:val="none" w:sz="0" w:space="0" w:color="auto"/>
        <w:right w:val="none" w:sz="0" w:space="0" w:color="auto"/>
      </w:divBdr>
    </w:div>
    <w:div w:id="299656888">
      <w:marLeft w:val="0"/>
      <w:marRight w:val="0"/>
      <w:marTop w:val="0"/>
      <w:marBottom w:val="0"/>
      <w:divBdr>
        <w:top w:val="none" w:sz="0" w:space="0" w:color="auto"/>
        <w:left w:val="none" w:sz="0" w:space="0" w:color="auto"/>
        <w:bottom w:val="none" w:sz="0" w:space="0" w:color="auto"/>
        <w:right w:val="none" w:sz="0" w:space="0" w:color="auto"/>
      </w:divBdr>
    </w:div>
    <w:div w:id="299965531">
      <w:marLeft w:val="0"/>
      <w:marRight w:val="0"/>
      <w:marTop w:val="0"/>
      <w:marBottom w:val="0"/>
      <w:divBdr>
        <w:top w:val="none" w:sz="0" w:space="0" w:color="auto"/>
        <w:left w:val="none" w:sz="0" w:space="0" w:color="auto"/>
        <w:bottom w:val="none" w:sz="0" w:space="0" w:color="auto"/>
        <w:right w:val="none" w:sz="0" w:space="0" w:color="auto"/>
      </w:divBdr>
    </w:div>
    <w:div w:id="300158195">
      <w:marLeft w:val="0"/>
      <w:marRight w:val="0"/>
      <w:marTop w:val="0"/>
      <w:marBottom w:val="0"/>
      <w:divBdr>
        <w:top w:val="none" w:sz="0" w:space="0" w:color="auto"/>
        <w:left w:val="none" w:sz="0" w:space="0" w:color="auto"/>
        <w:bottom w:val="none" w:sz="0" w:space="0" w:color="auto"/>
        <w:right w:val="none" w:sz="0" w:space="0" w:color="auto"/>
      </w:divBdr>
    </w:div>
    <w:div w:id="300886125">
      <w:marLeft w:val="0"/>
      <w:marRight w:val="0"/>
      <w:marTop w:val="0"/>
      <w:marBottom w:val="0"/>
      <w:divBdr>
        <w:top w:val="none" w:sz="0" w:space="0" w:color="auto"/>
        <w:left w:val="none" w:sz="0" w:space="0" w:color="auto"/>
        <w:bottom w:val="none" w:sz="0" w:space="0" w:color="auto"/>
        <w:right w:val="none" w:sz="0" w:space="0" w:color="auto"/>
      </w:divBdr>
    </w:div>
    <w:div w:id="301081742">
      <w:marLeft w:val="0"/>
      <w:marRight w:val="0"/>
      <w:marTop w:val="0"/>
      <w:marBottom w:val="0"/>
      <w:divBdr>
        <w:top w:val="none" w:sz="0" w:space="0" w:color="auto"/>
        <w:left w:val="none" w:sz="0" w:space="0" w:color="auto"/>
        <w:bottom w:val="none" w:sz="0" w:space="0" w:color="auto"/>
        <w:right w:val="none" w:sz="0" w:space="0" w:color="auto"/>
      </w:divBdr>
    </w:div>
    <w:div w:id="301694713">
      <w:marLeft w:val="0"/>
      <w:marRight w:val="0"/>
      <w:marTop w:val="0"/>
      <w:marBottom w:val="0"/>
      <w:divBdr>
        <w:top w:val="none" w:sz="0" w:space="0" w:color="auto"/>
        <w:left w:val="none" w:sz="0" w:space="0" w:color="auto"/>
        <w:bottom w:val="none" w:sz="0" w:space="0" w:color="auto"/>
        <w:right w:val="none" w:sz="0" w:space="0" w:color="auto"/>
      </w:divBdr>
    </w:div>
    <w:div w:id="301810819">
      <w:marLeft w:val="0"/>
      <w:marRight w:val="0"/>
      <w:marTop w:val="0"/>
      <w:marBottom w:val="0"/>
      <w:divBdr>
        <w:top w:val="none" w:sz="0" w:space="0" w:color="auto"/>
        <w:left w:val="none" w:sz="0" w:space="0" w:color="auto"/>
        <w:bottom w:val="none" w:sz="0" w:space="0" w:color="auto"/>
        <w:right w:val="none" w:sz="0" w:space="0" w:color="auto"/>
      </w:divBdr>
    </w:div>
    <w:div w:id="302656687">
      <w:marLeft w:val="0"/>
      <w:marRight w:val="0"/>
      <w:marTop w:val="0"/>
      <w:marBottom w:val="0"/>
      <w:divBdr>
        <w:top w:val="none" w:sz="0" w:space="0" w:color="auto"/>
        <w:left w:val="none" w:sz="0" w:space="0" w:color="auto"/>
        <w:bottom w:val="none" w:sz="0" w:space="0" w:color="auto"/>
        <w:right w:val="none" w:sz="0" w:space="0" w:color="auto"/>
      </w:divBdr>
    </w:div>
    <w:div w:id="304118458">
      <w:marLeft w:val="0"/>
      <w:marRight w:val="0"/>
      <w:marTop w:val="100"/>
      <w:marBottom w:val="100"/>
      <w:divBdr>
        <w:top w:val="none" w:sz="0" w:space="0" w:color="auto"/>
        <w:left w:val="none" w:sz="0" w:space="0" w:color="auto"/>
        <w:bottom w:val="none" w:sz="0" w:space="0" w:color="auto"/>
        <w:right w:val="none" w:sz="0" w:space="0" w:color="auto"/>
      </w:divBdr>
      <w:divsChild>
        <w:div w:id="1917475906">
          <w:marLeft w:val="0"/>
          <w:marRight w:val="0"/>
          <w:marTop w:val="0"/>
          <w:marBottom w:val="0"/>
          <w:divBdr>
            <w:top w:val="none" w:sz="0" w:space="0" w:color="auto"/>
            <w:left w:val="none" w:sz="0" w:space="0" w:color="auto"/>
            <w:bottom w:val="none" w:sz="0" w:space="0" w:color="auto"/>
            <w:right w:val="none" w:sz="0" w:space="0" w:color="auto"/>
          </w:divBdr>
        </w:div>
      </w:divsChild>
    </w:div>
    <w:div w:id="304358122">
      <w:marLeft w:val="0"/>
      <w:marRight w:val="0"/>
      <w:marTop w:val="100"/>
      <w:marBottom w:val="100"/>
      <w:divBdr>
        <w:top w:val="none" w:sz="0" w:space="0" w:color="auto"/>
        <w:left w:val="none" w:sz="0" w:space="0" w:color="auto"/>
        <w:bottom w:val="none" w:sz="0" w:space="0" w:color="auto"/>
        <w:right w:val="none" w:sz="0" w:space="0" w:color="auto"/>
      </w:divBdr>
    </w:div>
    <w:div w:id="304361943">
      <w:marLeft w:val="0"/>
      <w:marRight w:val="0"/>
      <w:marTop w:val="0"/>
      <w:marBottom w:val="0"/>
      <w:divBdr>
        <w:top w:val="none" w:sz="0" w:space="0" w:color="auto"/>
        <w:left w:val="none" w:sz="0" w:space="0" w:color="auto"/>
        <w:bottom w:val="none" w:sz="0" w:space="0" w:color="auto"/>
        <w:right w:val="none" w:sz="0" w:space="0" w:color="auto"/>
      </w:divBdr>
    </w:div>
    <w:div w:id="305596118">
      <w:marLeft w:val="0"/>
      <w:marRight w:val="0"/>
      <w:marTop w:val="0"/>
      <w:marBottom w:val="0"/>
      <w:divBdr>
        <w:top w:val="none" w:sz="0" w:space="0" w:color="auto"/>
        <w:left w:val="none" w:sz="0" w:space="0" w:color="auto"/>
        <w:bottom w:val="none" w:sz="0" w:space="0" w:color="auto"/>
        <w:right w:val="none" w:sz="0" w:space="0" w:color="auto"/>
      </w:divBdr>
    </w:div>
    <w:div w:id="305934765">
      <w:marLeft w:val="0"/>
      <w:marRight w:val="0"/>
      <w:marTop w:val="0"/>
      <w:marBottom w:val="0"/>
      <w:divBdr>
        <w:top w:val="none" w:sz="0" w:space="0" w:color="auto"/>
        <w:left w:val="none" w:sz="0" w:space="0" w:color="auto"/>
        <w:bottom w:val="none" w:sz="0" w:space="0" w:color="auto"/>
        <w:right w:val="none" w:sz="0" w:space="0" w:color="auto"/>
      </w:divBdr>
    </w:div>
    <w:div w:id="306328156">
      <w:marLeft w:val="0"/>
      <w:marRight w:val="0"/>
      <w:marTop w:val="0"/>
      <w:marBottom w:val="0"/>
      <w:divBdr>
        <w:top w:val="none" w:sz="0" w:space="0" w:color="auto"/>
        <w:left w:val="none" w:sz="0" w:space="0" w:color="auto"/>
        <w:bottom w:val="none" w:sz="0" w:space="0" w:color="auto"/>
        <w:right w:val="none" w:sz="0" w:space="0" w:color="auto"/>
      </w:divBdr>
    </w:div>
    <w:div w:id="307167949">
      <w:marLeft w:val="0"/>
      <w:marRight w:val="0"/>
      <w:marTop w:val="0"/>
      <w:marBottom w:val="0"/>
      <w:divBdr>
        <w:top w:val="none" w:sz="0" w:space="0" w:color="auto"/>
        <w:left w:val="none" w:sz="0" w:space="0" w:color="auto"/>
        <w:bottom w:val="none" w:sz="0" w:space="0" w:color="auto"/>
        <w:right w:val="none" w:sz="0" w:space="0" w:color="auto"/>
      </w:divBdr>
    </w:div>
    <w:div w:id="307904796">
      <w:marLeft w:val="0"/>
      <w:marRight w:val="0"/>
      <w:marTop w:val="0"/>
      <w:marBottom w:val="0"/>
      <w:divBdr>
        <w:top w:val="none" w:sz="0" w:space="0" w:color="auto"/>
        <w:left w:val="none" w:sz="0" w:space="0" w:color="auto"/>
        <w:bottom w:val="none" w:sz="0" w:space="0" w:color="auto"/>
        <w:right w:val="none" w:sz="0" w:space="0" w:color="auto"/>
      </w:divBdr>
    </w:div>
    <w:div w:id="310522769">
      <w:marLeft w:val="0"/>
      <w:marRight w:val="0"/>
      <w:marTop w:val="0"/>
      <w:marBottom w:val="0"/>
      <w:divBdr>
        <w:top w:val="none" w:sz="0" w:space="0" w:color="auto"/>
        <w:left w:val="none" w:sz="0" w:space="0" w:color="auto"/>
        <w:bottom w:val="none" w:sz="0" w:space="0" w:color="auto"/>
        <w:right w:val="none" w:sz="0" w:space="0" w:color="auto"/>
      </w:divBdr>
    </w:div>
    <w:div w:id="310910044">
      <w:marLeft w:val="0"/>
      <w:marRight w:val="0"/>
      <w:marTop w:val="0"/>
      <w:marBottom w:val="0"/>
      <w:divBdr>
        <w:top w:val="none" w:sz="0" w:space="0" w:color="auto"/>
        <w:left w:val="none" w:sz="0" w:space="0" w:color="auto"/>
        <w:bottom w:val="none" w:sz="0" w:space="0" w:color="auto"/>
        <w:right w:val="none" w:sz="0" w:space="0" w:color="auto"/>
      </w:divBdr>
    </w:div>
    <w:div w:id="311297358">
      <w:marLeft w:val="0"/>
      <w:marRight w:val="0"/>
      <w:marTop w:val="0"/>
      <w:marBottom w:val="0"/>
      <w:divBdr>
        <w:top w:val="none" w:sz="0" w:space="0" w:color="auto"/>
        <w:left w:val="none" w:sz="0" w:space="0" w:color="auto"/>
        <w:bottom w:val="none" w:sz="0" w:space="0" w:color="auto"/>
        <w:right w:val="none" w:sz="0" w:space="0" w:color="auto"/>
      </w:divBdr>
    </w:div>
    <w:div w:id="311714583">
      <w:marLeft w:val="0"/>
      <w:marRight w:val="0"/>
      <w:marTop w:val="0"/>
      <w:marBottom w:val="0"/>
      <w:divBdr>
        <w:top w:val="none" w:sz="0" w:space="0" w:color="auto"/>
        <w:left w:val="none" w:sz="0" w:space="0" w:color="auto"/>
        <w:bottom w:val="none" w:sz="0" w:space="0" w:color="auto"/>
        <w:right w:val="none" w:sz="0" w:space="0" w:color="auto"/>
      </w:divBdr>
    </w:div>
    <w:div w:id="312804602">
      <w:marLeft w:val="0"/>
      <w:marRight w:val="0"/>
      <w:marTop w:val="0"/>
      <w:marBottom w:val="240"/>
      <w:divBdr>
        <w:top w:val="none" w:sz="0" w:space="0" w:color="auto"/>
        <w:left w:val="none" w:sz="0" w:space="0" w:color="auto"/>
        <w:bottom w:val="none" w:sz="0" w:space="0" w:color="auto"/>
        <w:right w:val="none" w:sz="0" w:space="0" w:color="auto"/>
      </w:divBdr>
    </w:div>
    <w:div w:id="316812153">
      <w:marLeft w:val="0"/>
      <w:marRight w:val="0"/>
      <w:marTop w:val="0"/>
      <w:marBottom w:val="0"/>
      <w:divBdr>
        <w:top w:val="none" w:sz="0" w:space="0" w:color="auto"/>
        <w:left w:val="none" w:sz="0" w:space="0" w:color="auto"/>
        <w:bottom w:val="none" w:sz="0" w:space="0" w:color="auto"/>
        <w:right w:val="none" w:sz="0" w:space="0" w:color="auto"/>
      </w:divBdr>
    </w:div>
    <w:div w:id="317196322">
      <w:marLeft w:val="0"/>
      <w:marRight w:val="0"/>
      <w:marTop w:val="0"/>
      <w:marBottom w:val="0"/>
      <w:divBdr>
        <w:top w:val="none" w:sz="0" w:space="0" w:color="auto"/>
        <w:left w:val="none" w:sz="0" w:space="0" w:color="auto"/>
        <w:bottom w:val="none" w:sz="0" w:space="0" w:color="auto"/>
        <w:right w:val="none" w:sz="0" w:space="0" w:color="auto"/>
      </w:divBdr>
    </w:div>
    <w:div w:id="317807400">
      <w:marLeft w:val="0"/>
      <w:marRight w:val="0"/>
      <w:marTop w:val="0"/>
      <w:marBottom w:val="0"/>
      <w:divBdr>
        <w:top w:val="none" w:sz="0" w:space="0" w:color="auto"/>
        <w:left w:val="none" w:sz="0" w:space="0" w:color="auto"/>
        <w:bottom w:val="none" w:sz="0" w:space="0" w:color="auto"/>
        <w:right w:val="none" w:sz="0" w:space="0" w:color="auto"/>
      </w:divBdr>
    </w:div>
    <w:div w:id="318075631">
      <w:marLeft w:val="0"/>
      <w:marRight w:val="0"/>
      <w:marTop w:val="0"/>
      <w:marBottom w:val="0"/>
      <w:divBdr>
        <w:top w:val="none" w:sz="0" w:space="0" w:color="auto"/>
        <w:left w:val="none" w:sz="0" w:space="0" w:color="auto"/>
        <w:bottom w:val="none" w:sz="0" w:space="0" w:color="auto"/>
        <w:right w:val="none" w:sz="0" w:space="0" w:color="auto"/>
      </w:divBdr>
    </w:div>
    <w:div w:id="319190541">
      <w:marLeft w:val="0"/>
      <w:marRight w:val="0"/>
      <w:marTop w:val="0"/>
      <w:marBottom w:val="0"/>
      <w:divBdr>
        <w:top w:val="none" w:sz="0" w:space="0" w:color="auto"/>
        <w:left w:val="none" w:sz="0" w:space="0" w:color="auto"/>
        <w:bottom w:val="none" w:sz="0" w:space="0" w:color="auto"/>
        <w:right w:val="none" w:sz="0" w:space="0" w:color="auto"/>
      </w:divBdr>
    </w:div>
    <w:div w:id="321278744">
      <w:marLeft w:val="0"/>
      <w:marRight w:val="0"/>
      <w:marTop w:val="0"/>
      <w:marBottom w:val="0"/>
      <w:divBdr>
        <w:top w:val="none" w:sz="0" w:space="0" w:color="auto"/>
        <w:left w:val="none" w:sz="0" w:space="0" w:color="auto"/>
        <w:bottom w:val="none" w:sz="0" w:space="0" w:color="auto"/>
        <w:right w:val="none" w:sz="0" w:space="0" w:color="auto"/>
      </w:divBdr>
    </w:div>
    <w:div w:id="321354485">
      <w:marLeft w:val="0"/>
      <w:marRight w:val="0"/>
      <w:marTop w:val="0"/>
      <w:marBottom w:val="0"/>
      <w:divBdr>
        <w:top w:val="none" w:sz="0" w:space="0" w:color="auto"/>
        <w:left w:val="none" w:sz="0" w:space="0" w:color="auto"/>
        <w:bottom w:val="none" w:sz="0" w:space="0" w:color="auto"/>
        <w:right w:val="none" w:sz="0" w:space="0" w:color="auto"/>
      </w:divBdr>
    </w:div>
    <w:div w:id="323897227">
      <w:marLeft w:val="0"/>
      <w:marRight w:val="0"/>
      <w:marTop w:val="0"/>
      <w:marBottom w:val="0"/>
      <w:divBdr>
        <w:top w:val="none" w:sz="0" w:space="0" w:color="auto"/>
        <w:left w:val="none" w:sz="0" w:space="0" w:color="auto"/>
        <w:bottom w:val="none" w:sz="0" w:space="0" w:color="auto"/>
        <w:right w:val="none" w:sz="0" w:space="0" w:color="auto"/>
      </w:divBdr>
    </w:div>
    <w:div w:id="323900980">
      <w:marLeft w:val="0"/>
      <w:marRight w:val="0"/>
      <w:marTop w:val="0"/>
      <w:marBottom w:val="0"/>
      <w:divBdr>
        <w:top w:val="none" w:sz="0" w:space="0" w:color="auto"/>
        <w:left w:val="none" w:sz="0" w:space="0" w:color="auto"/>
        <w:bottom w:val="none" w:sz="0" w:space="0" w:color="auto"/>
        <w:right w:val="none" w:sz="0" w:space="0" w:color="auto"/>
      </w:divBdr>
    </w:div>
    <w:div w:id="324432393">
      <w:marLeft w:val="0"/>
      <w:marRight w:val="0"/>
      <w:marTop w:val="0"/>
      <w:marBottom w:val="0"/>
      <w:divBdr>
        <w:top w:val="none" w:sz="0" w:space="0" w:color="auto"/>
        <w:left w:val="none" w:sz="0" w:space="0" w:color="auto"/>
        <w:bottom w:val="none" w:sz="0" w:space="0" w:color="auto"/>
        <w:right w:val="none" w:sz="0" w:space="0" w:color="auto"/>
      </w:divBdr>
    </w:div>
    <w:div w:id="326713994">
      <w:marLeft w:val="0"/>
      <w:marRight w:val="0"/>
      <w:marTop w:val="0"/>
      <w:marBottom w:val="0"/>
      <w:divBdr>
        <w:top w:val="none" w:sz="0" w:space="0" w:color="auto"/>
        <w:left w:val="none" w:sz="0" w:space="0" w:color="auto"/>
        <w:bottom w:val="none" w:sz="0" w:space="0" w:color="auto"/>
        <w:right w:val="none" w:sz="0" w:space="0" w:color="auto"/>
      </w:divBdr>
    </w:div>
    <w:div w:id="327051861">
      <w:marLeft w:val="0"/>
      <w:marRight w:val="0"/>
      <w:marTop w:val="0"/>
      <w:marBottom w:val="0"/>
      <w:divBdr>
        <w:top w:val="none" w:sz="0" w:space="0" w:color="auto"/>
        <w:left w:val="none" w:sz="0" w:space="0" w:color="auto"/>
        <w:bottom w:val="none" w:sz="0" w:space="0" w:color="auto"/>
        <w:right w:val="none" w:sz="0" w:space="0" w:color="auto"/>
      </w:divBdr>
    </w:div>
    <w:div w:id="327440737">
      <w:marLeft w:val="0"/>
      <w:marRight w:val="0"/>
      <w:marTop w:val="0"/>
      <w:marBottom w:val="0"/>
      <w:divBdr>
        <w:top w:val="none" w:sz="0" w:space="0" w:color="auto"/>
        <w:left w:val="none" w:sz="0" w:space="0" w:color="auto"/>
        <w:bottom w:val="none" w:sz="0" w:space="0" w:color="auto"/>
        <w:right w:val="none" w:sz="0" w:space="0" w:color="auto"/>
      </w:divBdr>
    </w:div>
    <w:div w:id="328558764">
      <w:marLeft w:val="0"/>
      <w:marRight w:val="0"/>
      <w:marTop w:val="0"/>
      <w:marBottom w:val="0"/>
      <w:divBdr>
        <w:top w:val="none" w:sz="0" w:space="0" w:color="auto"/>
        <w:left w:val="none" w:sz="0" w:space="0" w:color="auto"/>
        <w:bottom w:val="none" w:sz="0" w:space="0" w:color="auto"/>
        <w:right w:val="none" w:sz="0" w:space="0" w:color="auto"/>
      </w:divBdr>
    </w:div>
    <w:div w:id="328798816">
      <w:marLeft w:val="0"/>
      <w:marRight w:val="0"/>
      <w:marTop w:val="0"/>
      <w:marBottom w:val="0"/>
      <w:divBdr>
        <w:top w:val="none" w:sz="0" w:space="0" w:color="auto"/>
        <w:left w:val="none" w:sz="0" w:space="0" w:color="auto"/>
        <w:bottom w:val="none" w:sz="0" w:space="0" w:color="auto"/>
        <w:right w:val="none" w:sz="0" w:space="0" w:color="auto"/>
      </w:divBdr>
    </w:div>
    <w:div w:id="329140878">
      <w:marLeft w:val="0"/>
      <w:marRight w:val="0"/>
      <w:marTop w:val="0"/>
      <w:marBottom w:val="0"/>
      <w:divBdr>
        <w:top w:val="none" w:sz="0" w:space="0" w:color="auto"/>
        <w:left w:val="none" w:sz="0" w:space="0" w:color="auto"/>
        <w:bottom w:val="none" w:sz="0" w:space="0" w:color="auto"/>
        <w:right w:val="none" w:sz="0" w:space="0" w:color="auto"/>
      </w:divBdr>
    </w:div>
    <w:div w:id="329331313">
      <w:marLeft w:val="0"/>
      <w:marRight w:val="0"/>
      <w:marTop w:val="0"/>
      <w:marBottom w:val="180"/>
      <w:divBdr>
        <w:top w:val="none" w:sz="0" w:space="0" w:color="auto"/>
        <w:left w:val="none" w:sz="0" w:space="0" w:color="auto"/>
        <w:bottom w:val="none" w:sz="0" w:space="0" w:color="auto"/>
        <w:right w:val="none" w:sz="0" w:space="0" w:color="auto"/>
      </w:divBdr>
    </w:div>
    <w:div w:id="329677306">
      <w:marLeft w:val="0"/>
      <w:marRight w:val="0"/>
      <w:marTop w:val="0"/>
      <w:marBottom w:val="0"/>
      <w:divBdr>
        <w:top w:val="none" w:sz="0" w:space="0" w:color="auto"/>
        <w:left w:val="none" w:sz="0" w:space="0" w:color="auto"/>
        <w:bottom w:val="none" w:sz="0" w:space="0" w:color="auto"/>
        <w:right w:val="none" w:sz="0" w:space="0" w:color="auto"/>
      </w:divBdr>
    </w:div>
    <w:div w:id="330377755">
      <w:marLeft w:val="0"/>
      <w:marRight w:val="0"/>
      <w:marTop w:val="0"/>
      <w:marBottom w:val="0"/>
      <w:divBdr>
        <w:top w:val="none" w:sz="0" w:space="0" w:color="auto"/>
        <w:left w:val="none" w:sz="0" w:space="0" w:color="auto"/>
        <w:bottom w:val="none" w:sz="0" w:space="0" w:color="auto"/>
        <w:right w:val="none" w:sz="0" w:space="0" w:color="auto"/>
      </w:divBdr>
    </w:div>
    <w:div w:id="330837788">
      <w:marLeft w:val="0"/>
      <w:marRight w:val="0"/>
      <w:marTop w:val="0"/>
      <w:marBottom w:val="0"/>
      <w:divBdr>
        <w:top w:val="none" w:sz="0" w:space="0" w:color="auto"/>
        <w:left w:val="none" w:sz="0" w:space="0" w:color="auto"/>
        <w:bottom w:val="none" w:sz="0" w:space="0" w:color="auto"/>
        <w:right w:val="none" w:sz="0" w:space="0" w:color="auto"/>
      </w:divBdr>
    </w:div>
    <w:div w:id="331102588">
      <w:marLeft w:val="0"/>
      <w:marRight w:val="0"/>
      <w:marTop w:val="0"/>
      <w:marBottom w:val="0"/>
      <w:divBdr>
        <w:top w:val="none" w:sz="0" w:space="0" w:color="auto"/>
        <w:left w:val="none" w:sz="0" w:space="0" w:color="auto"/>
        <w:bottom w:val="none" w:sz="0" w:space="0" w:color="auto"/>
        <w:right w:val="none" w:sz="0" w:space="0" w:color="auto"/>
      </w:divBdr>
      <w:divsChild>
        <w:div w:id="565533386">
          <w:marLeft w:val="0"/>
          <w:marRight w:val="0"/>
          <w:marTop w:val="0"/>
          <w:marBottom w:val="0"/>
          <w:divBdr>
            <w:top w:val="none" w:sz="0" w:space="0" w:color="auto"/>
            <w:left w:val="none" w:sz="0" w:space="0" w:color="auto"/>
            <w:bottom w:val="none" w:sz="0" w:space="0" w:color="auto"/>
            <w:right w:val="none" w:sz="0" w:space="0" w:color="auto"/>
          </w:divBdr>
        </w:div>
      </w:divsChild>
    </w:div>
    <w:div w:id="331881067">
      <w:marLeft w:val="0"/>
      <w:marRight w:val="0"/>
      <w:marTop w:val="100"/>
      <w:marBottom w:val="100"/>
      <w:divBdr>
        <w:top w:val="none" w:sz="0" w:space="0" w:color="auto"/>
        <w:left w:val="none" w:sz="0" w:space="0" w:color="auto"/>
        <w:bottom w:val="none" w:sz="0" w:space="0" w:color="auto"/>
        <w:right w:val="none" w:sz="0" w:space="0" w:color="auto"/>
      </w:divBdr>
      <w:divsChild>
        <w:div w:id="166017508">
          <w:marLeft w:val="0"/>
          <w:marRight w:val="0"/>
          <w:marTop w:val="0"/>
          <w:marBottom w:val="0"/>
          <w:divBdr>
            <w:top w:val="none" w:sz="0" w:space="0" w:color="auto"/>
            <w:left w:val="none" w:sz="0" w:space="0" w:color="auto"/>
            <w:bottom w:val="none" w:sz="0" w:space="0" w:color="auto"/>
            <w:right w:val="none" w:sz="0" w:space="0" w:color="auto"/>
          </w:divBdr>
        </w:div>
      </w:divsChild>
    </w:div>
    <w:div w:id="332608822">
      <w:marLeft w:val="0"/>
      <w:marRight w:val="0"/>
      <w:marTop w:val="0"/>
      <w:marBottom w:val="0"/>
      <w:divBdr>
        <w:top w:val="none" w:sz="0" w:space="0" w:color="auto"/>
        <w:left w:val="none" w:sz="0" w:space="0" w:color="auto"/>
        <w:bottom w:val="none" w:sz="0" w:space="0" w:color="auto"/>
        <w:right w:val="none" w:sz="0" w:space="0" w:color="auto"/>
      </w:divBdr>
    </w:div>
    <w:div w:id="332883222">
      <w:marLeft w:val="0"/>
      <w:marRight w:val="0"/>
      <w:marTop w:val="0"/>
      <w:marBottom w:val="0"/>
      <w:divBdr>
        <w:top w:val="none" w:sz="0" w:space="0" w:color="auto"/>
        <w:left w:val="none" w:sz="0" w:space="0" w:color="auto"/>
        <w:bottom w:val="none" w:sz="0" w:space="0" w:color="auto"/>
        <w:right w:val="none" w:sz="0" w:space="0" w:color="auto"/>
      </w:divBdr>
    </w:div>
    <w:div w:id="332924221">
      <w:marLeft w:val="0"/>
      <w:marRight w:val="0"/>
      <w:marTop w:val="0"/>
      <w:marBottom w:val="0"/>
      <w:divBdr>
        <w:top w:val="none" w:sz="0" w:space="0" w:color="auto"/>
        <w:left w:val="none" w:sz="0" w:space="0" w:color="auto"/>
        <w:bottom w:val="none" w:sz="0" w:space="0" w:color="auto"/>
        <w:right w:val="none" w:sz="0" w:space="0" w:color="auto"/>
      </w:divBdr>
    </w:div>
    <w:div w:id="333151029">
      <w:marLeft w:val="0"/>
      <w:marRight w:val="0"/>
      <w:marTop w:val="0"/>
      <w:marBottom w:val="0"/>
      <w:divBdr>
        <w:top w:val="none" w:sz="0" w:space="0" w:color="auto"/>
        <w:left w:val="none" w:sz="0" w:space="0" w:color="auto"/>
        <w:bottom w:val="none" w:sz="0" w:space="0" w:color="auto"/>
        <w:right w:val="none" w:sz="0" w:space="0" w:color="auto"/>
      </w:divBdr>
    </w:div>
    <w:div w:id="333187019">
      <w:marLeft w:val="0"/>
      <w:marRight w:val="0"/>
      <w:marTop w:val="0"/>
      <w:marBottom w:val="0"/>
      <w:divBdr>
        <w:top w:val="none" w:sz="0" w:space="0" w:color="auto"/>
        <w:left w:val="none" w:sz="0" w:space="0" w:color="auto"/>
        <w:bottom w:val="none" w:sz="0" w:space="0" w:color="auto"/>
        <w:right w:val="none" w:sz="0" w:space="0" w:color="auto"/>
      </w:divBdr>
    </w:div>
    <w:div w:id="334918117">
      <w:marLeft w:val="0"/>
      <w:marRight w:val="0"/>
      <w:marTop w:val="0"/>
      <w:marBottom w:val="120"/>
      <w:divBdr>
        <w:top w:val="none" w:sz="0" w:space="0" w:color="auto"/>
        <w:left w:val="none" w:sz="0" w:space="0" w:color="auto"/>
        <w:bottom w:val="none" w:sz="0" w:space="0" w:color="auto"/>
        <w:right w:val="none" w:sz="0" w:space="0" w:color="auto"/>
      </w:divBdr>
    </w:div>
    <w:div w:id="336885885">
      <w:marLeft w:val="0"/>
      <w:marRight w:val="0"/>
      <w:marTop w:val="0"/>
      <w:marBottom w:val="0"/>
      <w:divBdr>
        <w:top w:val="none" w:sz="0" w:space="0" w:color="auto"/>
        <w:left w:val="none" w:sz="0" w:space="0" w:color="auto"/>
        <w:bottom w:val="none" w:sz="0" w:space="0" w:color="auto"/>
        <w:right w:val="none" w:sz="0" w:space="0" w:color="auto"/>
      </w:divBdr>
    </w:div>
    <w:div w:id="336925355">
      <w:marLeft w:val="0"/>
      <w:marRight w:val="0"/>
      <w:marTop w:val="0"/>
      <w:marBottom w:val="0"/>
      <w:divBdr>
        <w:top w:val="none" w:sz="0" w:space="0" w:color="auto"/>
        <w:left w:val="none" w:sz="0" w:space="0" w:color="auto"/>
        <w:bottom w:val="none" w:sz="0" w:space="0" w:color="auto"/>
        <w:right w:val="none" w:sz="0" w:space="0" w:color="auto"/>
      </w:divBdr>
    </w:div>
    <w:div w:id="337315708">
      <w:marLeft w:val="0"/>
      <w:marRight w:val="0"/>
      <w:marTop w:val="0"/>
      <w:marBottom w:val="0"/>
      <w:divBdr>
        <w:top w:val="none" w:sz="0" w:space="0" w:color="auto"/>
        <w:left w:val="none" w:sz="0" w:space="0" w:color="auto"/>
        <w:bottom w:val="none" w:sz="0" w:space="0" w:color="auto"/>
        <w:right w:val="none" w:sz="0" w:space="0" w:color="auto"/>
      </w:divBdr>
    </w:div>
    <w:div w:id="338042948">
      <w:marLeft w:val="0"/>
      <w:marRight w:val="0"/>
      <w:marTop w:val="0"/>
      <w:marBottom w:val="0"/>
      <w:divBdr>
        <w:top w:val="none" w:sz="0" w:space="0" w:color="auto"/>
        <w:left w:val="none" w:sz="0" w:space="0" w:color="auto"/>
        <w:bottom w:val="none" w:sz="0" w:space="0" w:color="auto"/>
        <w:right w:val="none" w:sz="0" w:space="0" w:color="auto"/>
      </w:divBdr>
    </w:div>
    <w:div w:id="338237538">
      <w:marLeft w:val="0"/>
      <w:marRight w:val="0"/>
      <w:marTop w:val="0"/>
      <w:marBottom w:val="0"/>
      <w:divBdr>
        <w:top w:val="none" w:sz="0" w:space="0" w:color="auto"/>
        <w:left w:val="none" w:sz="0" w:space="0" w:color="auto"/>
        <w:bottom w:val="none" w:sz="0" w:space="0" w:color="auto"/>
        <w:right w:val="none" w:sz="0" w:space="0" w:color="auto"/>
      </w:divBdr>
    </w:div>
    <w:div w:id="339045424">
      <w:marLeft w:val="0"/>
      <w:marRight w:val="0"/>
      <w:marTop w:val="0"/>
      <w:marBottom w:val="0"/>
      <w:divBdr>
        <w:top w:val="none" w:sz="0" w:space="0" w:color="auto"/>
        <w:left w:val="none" w:sz="0" w:space="0" w:color="auto"/>
        <w:bottom w:val="none" w:sz="0" w:space="0" w:color="auto"/>
        <w:right w:val="none" w:sz="0" w:space="0" w:color="auto"/>
      </w:divBdr>
    </w:div>
    <w:div w:id="340742408">
      <w:marLeft w:val="0"/>
      <w:marRight w:val="0"/>
      <w:marTop w:val="100"/>
      <w:marBottom w:val="100"/>
      <w:divBdr>
        <w:top w:val="none" w:sz="0" w:space="0" w:color="auto"/>
        <w:left w:val="none" w:sz="0" w:space="0" w:color="auto"/>
        <w:bottom w:val="none" w:sz="0" w:space="0" w:color="auto"/>
        <w:right w:val="none" w:sz="0" w:space="0" w:color="auto"/>
      </w:divBdr>
      <w:divsChild>
        <w:div w:id="555549983">
          <w:marLeft w:val="0"/>
          <w:marRight w:val="0"/>
          <w:marTop w:val="0"/>
          <w:marBottom w:val="0"/>
          <w:divBdr>
            <w:top w:val="none" w:sz="0" w:space="0" w:color="auto"/>
            <w:left w:val="none" w:sz="0" w:space="0" w:color="auto"/>
            <w:bottom w:val="none" w:sz="0" w:space="0" w:color="auto"/>
            <w:right w:val="none" w:sz="0" w:space="0" w:color="auto"/>
          </w:divBdr>
        </w:div>
      </w:divsChild>
    </w:div>
    <w:div w:id="341203233">
      <w:marLeft w:val="0"/>
      <w:marRight w:val="0"/>
      <w:marTop w:val="0"/>
      <w:marBottom w:val="0"/>
      <w:divBdr>
        <w:top w:val="none" w:sz="0" w:space="0" w:color="auto"/>
        <w:left w:val="none" w:sz="0" w:space="0" w:color="auto"/>
        <w:bottom w:val="none" w:sz="0" w:space="0" w:color="auto"/>
        <w:right w:val="none" w:sz="0" w:space="0" w:color="auto"/>
      </w:divBdr>
    </w:div>
    <w:div w:id="341394396">
      <w:marLeft w:val="0"/>
      <w:marRight w:val="0"/>
      <w:marTop w:val="0"/>
      <w:marBottom w:val="0"/>
      <w:divBdr>
        <w:top w:val="none" w:sz="0" w:space="0" w:color="auto"/>
        <w:left w:val="none" w:sz="0" w:space="0" w:color="auto"/>
        <w:bottom w:val="none" w:sz="0" w:space="0" w:color="auto"/>
        <w:right w:val="none" w:sz="0" w:space="0" w:color="auto"/>
      </w:divBdr>
    </w:div>
    <w:div w:id="341972282">
      <w:marLeft w:val="0"/>
      <w:marRight w:val="0"/>
      <w:marTop w:val="0"/>
      <w:marBottom w:val="0"/>
      <w:divBdr>
        <w:top w:val="none" w:sz="0" w:space="0" w:color="auto"/>
        <w:left w:val="none" w:sz="0" w:space="0" w:color="auto"/>
        <w:bottom w:val="none" w:sz="0" w:space="0" w:color="auto"/>
        <w:right w:val="none" w:sz="0" w:space="0" w:color="auto"/>
      </w:divBdr>
    </w:div>
    <w:div w:id="342753592">
      <w:marLeft w:val="0"/>
      <w:marRight w:val="0"/>
      <w:marTop w:val="0"/>
      <w:marBottom w:val="0"/>
      <w:divBdr>
        <w:top w:val="none" w:sz="0" w:space="0" w:color="auto"/>
        <w:left w:val="none" w:sz="0" w:space="0" w:color="auto"/>
        <w:bottom w:val="none" w:sz="0" w:space="0" w:color="auto"/>
        <w:right w:val="none" w:sz="0" w:space="0" w:color="auto"/>
      </w:divBdr>
    </w:div>
    <w:div w:id="342896242">
      <w:marLeft w:val="0"/>
      <w:marRight w:val="0"/>
      <w:marTop w:val="0"/>
      <w:marBottom w:val="0"/>
      <w:divBdr>
        <w:top w:val="none" w:sz="0" w:space="0" w:color="auto"/>
        <w:left w:val="none" w:sz="0" w:space="0" w:color="auto"/>
        <w:bottom w:val="none" w:sz="0" w:space="0" w:color="auto"/>
        <w:right w:val="none" w:sz="0" w:space="0" w:color="auto"/>
      </w:divBdr>
    </w:div>
    <w:div w:id="343096565">
      <w:marLeft w:val="0"/>
      <w:marRight w:val="0"/>
      <w:marTop w:val="0"/>
      <w:marBottom w:val="0"/>
      <w:divBdr>
        <w:top w:val="none" w:sz="0" w:space="0" w:color="auto"/>
        <w:left w:val="none" w:sz="0" w:space="0" w:color="auto"/>
        <w:bottom w:val="none" w:sz="0" w:space="0" w:color="auto"/>
        <w:right w:val="none" w:sz="0" w:space="0" w:color="auto"/>
      </w:divBdr>
    </w:div>
    <w:div w:id="343476150">
      <w:marLeft w:val="0"/>
      <w:marRight w:val="0"/>
      <w:marTop w:val="0"/>
      <w:marBottom w:val="0"/>
      <w:divBdr>
        <w:top w:val="none" w:sz="0" w:space="0" w:color="auto"/>
        <w:left w:val="none" w:sz="0" w:space="0" w:color="auto"/>
        <w:bottom w:val="none" w:sz="0" w:space="0" w:color="auto"/>
        <w:right w:val="none" w:sz="0" w:space="0" w:color="auto"/>
      </w:divBdr>
    </w:div>
    <w:div w:id="343676192">
      <w:marLeft w:val="0"/>
      <w:marRight w:val="0"/>
      <w:marTop w:val="0"/>
      <w:marBottom w:val="0"/>
      <w:divBdr>
        <w:top w:val="none" w:sz="0" w:space="0" w:color="auto"/>
        <w:left w:val="none" w:sz="0" w:space="0" w:color="auto"/>
        <w:bottom w:val="none" w:sz="0" w:space="0" w:color="auto"/>
        <w:right w:val="none" w:sz="0" w:space="0" w:color="auto"/>
      </w:divBdr>
    </w:div>
    <w:div w:id="344211294">
      <w:marLeft w:val="0"/>
      <w:marRight w:val="0"/>
      <w:marTop w:val="0"/>
      <w:marBottom w:val="0"/>
      <w:divBdr>
        <w:top w:val="none" w:sz="0" w:space="0" w:color="auto"/>
        <w:left w:val="none" w:sz="0" w:space="0" w:color="auto"/>
        <w:bottom w:val="none" w:sz="0" w:space="0" w:color="auto"/>
        <w:right w:val="none" w:sz="0" w:space="0" w:color="auto"/>
      </w:divBdr>
    </w:div>
    <w:div w:id="344327313">
      <w:marLeft w:val="0"/>
      <w:marRight w:val="0"/>
      <w:marTop w:val="0"/>
      <w:marBottom w:val="0"/>
      <w:divBdr>
        <w:top w:val="none" w:sz="0" w:space="0" w:color="auto"/>
        <w:left w:val="none" w:sz="0" w:space="0" w:color="auto"/>
        <w:bottom w:val="none" w:sz="0" w:space="0" w:color="auto"/>
        <w:right w:val="none" w:sz="0" w:space="0" w:color="auto"/>
      </w:divBdr>
    </w:div>
    <w:div w:id="344524436">
      <w:marLeft w:val="0"/>
      <w:marRight w:val="0"/>
      <w:marTop w:val="0"/>
      <w:marBottom w:val="0"/>
      <w:divBdr>
        <w:top w:val="none" w:sz="0" w:space="0" w:color="auto"/>
        <w:left w:val="none" w:sz="0" w:space="0" w:color="auto"/>
        <w:bottom w:val="none" w:sz="0" w:space="0" w:color="auto"/>
        <w:right w:val="none" w:sz="0" w:space="0" w:color="auto"/>
      </w:divBdr>
    </w:div>
    <w:div w:id="345134519">
      <w:marLeft w:val="0"/>
      <w:marRight w:val="0"/>
      <w:marTop w:val="0"/>
      <w:marBottom w:val="0"/>
      <w:divBdr>
        <w:top w:val="none" w:sz="0" w:space="0" w:color="auto"/>
        <w:left w:val="none" w:sz="0" w:space="0" w:color="auto"/>
        <w:bottom w:val="none" w:sz="0" w:space="0" w:color="auto"/>
        <w:right w:val="none" w:sz="0" w:space="0" w:color="auto"/>
      </w:divBdr>
    </w:div>
    <w:div w:id="346637154">
      <w:marLeft w:val="0"/>
      <w:marRight w:val="0"/>
      <w:marTop w:val="0"/>
      <w:marBottom w:val="0"/>
      <w:divBdr>
        <w:top w:val="none" w:sz="0" w:space="0" w:color="auto"/>
        <w:left w:val="none" w:sz="0" w:space="0" w:color="auto"/>
        <w:bottom w:val="none" w:sz="0" w:space="0" w:color="auto"/>
        <w:right w:val="none" w:sz="0" w:space="0" w:color="auto"/>
      </w:divBdr>
      <w:divsChild>
        <w:div w:id="233197968">
          <w:marLeft w:val="0"/>
          <w:marRight w:val="0"/>
          <w:marTop w:val="0"/>
          <w:marBottom w:val="0"/>
          <w:divBdr>
            <w:top w:val="none" w:sz="0" w:space="0" w:color="auto"/>
            <w:left w:val="none" w:sz="0" w:space="0" w:color="auto"/>
            <w:bottom w:val="none" w:sz="0" w:space="0" w:color="auto"/>
            <w:right w:val="none" w:sz="0" w:space="0" w:color="auto"/>
          </w:divBdr>
        </w:div>
      </w:divsChild>
    </w:div>
    <w:div w:id="346836813">
      <w:marLeft w:val="0"/>
      <w:marRight w:val="0"/>
      <w:marTop w:val="0"/>
      <w:marBottom w:val="0"/>
      <w:divBdr>
        <w:top w:val="none" w:sz="0" w:space="0" w:color="auto"/>
        <w:left w:val="none" w:sz="0" w:space="0" w:color="auto"/>
        <w:bottom w:val="none" w:sz="0" w:space="0" w:color="auto"/>
        <w:right w:val="none" w:sz="0" w:space="0" w:color="auto"/>
      </w:divBdr>
    </w:div>
    <w:div w:id="347146318">
      <w:marLeft w:val="0"/>
      <w:marRight w:val="0"/>
      <w:marTop w:val="0"/>
      <w:marBottom w:val="0"/>
      <w:divBdr>
        <w:top w:val="none" w:sz="0" w:space="0" w:color="auto"/>
        <w:left w:val="none" w:sz="0" w:space="0" w:color="auto"/>
        <w:bottom w:val="none" w:sz="0" w:space="0" w:color="auto"/>
        <w:right w:val="none" w:sz="0" w:space="0" w:color="auto"/>
      </w:divBdr>
    </w:div>
    <w:div w:id="348415327">
      <w:marLeft w:val="0"/>
      <w:marRight w:val="0"/>
      <w:marTop w:val="0"/>
      <w:marBottom w:val="0"/>
      <w:divBdr>
        <w:top w:val="none" w:sz="0" w:space="0" w:color="auto"/>
        <w:left w:val="none" w:sz="0" w:space="0" w:color="auto"/>
        <w:bottom w:val="none" w:sz="0" w:space="0" w:color="auto"/>
        <w:right w:val="none" w:sz="0" w:space="0" w:color="auto"/>
      </w:divBdr>
    </w:div>
    <w:div w:id="349374366">
      <w:marLeft w:val="0"/>
      <w:marRight w:val="0"/>
      <w:marTop w:val="0"/>
      <w:marBottom w:val="0"/>
      <w:divBdr>
        <w:top w:val="none" w:sz="0" w:space="0" w:color="auto"/>
        <w:left w:val="none" w:sz="0" w:space="0" w:color="auto"/>
        <w:bottom w:val="none" w:sz="0" w:space="0" w:color="auto"/>
        <w:right w:val="none" w:sz="0" w:space="0" w:color="auto"/>
      </w:divBdr>
    </w:div>
    <w:div w:id="349845100">
      <w:marLeft w:val="0"/>
      <w:marRight w:val="0"/>
      <w:marTop w:val="0"/>
      <w:marBottom w:val="0"/>
      <w:divBdr>
        <w:top w:val="none" w:sz="0" w:space="0" w:color="auto"/>
        <w:left w:val="none" w:sz="0" w:space="0" w:color="auto"/>
        <w:bottom w:val="none" w:sz="0" w:space="0" w:color="auto"/>
        <w:right w:val="none" w:sz="0" w:space="0" w:color="auto"/>
      </w:divBdr>
    </w:div>
    <w:div w:id="350650328">
      <w:marLeft w:val="0"/>
      <w:marRight w:val="0"/>
      <w:marTop w:val="0"/>
      <w:marBottom w:val="0"/>
      <w:divBdr>
        <w:top w:val="none" w:sz="0" w:space="0" w:color="auto"/>
        <w:left w:val="none" w:sz="0" w:space="0" w:color="auto"/>
        <w:bottom w:val="none" w:sz="0" w:space="0" w:color="auto"/>
        <w:right w:val="none" w:sz="0" w:space="0" w:color="auto"/>
      </w:divBdr>
    </w:div>
    <w:div w:id="352801570">
      <w:marLeft w:val="0"/>
      <w:marRight w:val="0"/>
      <w:marTop w:val="0"/>
      <w:marBottom w:val="0"/>
      <w:divBdr>
        <w:top w:val="none" w:sz="0" w:space="0" w:color="auto"/>
        <w:left w:val="none" w:sz="0" w:space="0" w:color="auto"/>
        <w:bottom w:val="none" w:sz="0" w:space="0" w:color="auto"/>
        <w:right w:val="none" w:sz="0" w:space="0" w:color="auto"/>
      </w:divBdr>
    </w:div>
    <w:div w:id="353462094">
      <w:marLeft w:val="0"/>
      <w:marRight w:val="0"/>
      <w:marTop w:val="0"/>
      <w:marBottom w:val="0"/>
      <w:divBdr>
        <w:top w:val="none" w:sz="0" w:space="0" w:color="auto"/>
        <w:left w:val="none" w:sz="0" w:space="0" w:color="auto"/>
        <w:bottom w:val="none" w:sz="0" w:space="0" w:color="auto"/>
        <w:right w:val="none" w:sz="0" w:space="0" w:color="auto"/>
      </w:divBdr>
    </w:div>
    <w:div w:id="353917791">
      <w:marLeft w:val="0"/>
      <w:marRight w:val="0"/>
      <w:marTop w:val="0"/>
      <w:marBottom w:val="0"/>
      <w:divBdr>
        <w:top w:val="none" w:sz="0" w:space="0" w:color="auto"/>
        <w:left w:val="none" w:sz="0" w:space="0" w:color="auto"/>
        <w:bottom w:val="none" w:sz="0" w:space="0" w:color="auto"/>
        <w:right w:val="none" w:sz="0" w:space="0" w:color="auto"/>
      </w:divBdr>
    </w:div>
    <w:div w:id="354305445">
      <w:marLeft w:val="0"/>
      <w:marRight w:val="0"/>
      <w:marTop w:val="0"/>
      <w:marBottom w:val="0"/>
      <w:divBdr>
        <w:top w:val="none" w:sz="0" w:space="0" w:color="auto"/>
        <w:left w:val="none" w:sz="0" w:space="0" w:color="auto"/>
        <w:bottom w:val="none" w:sz="0" w:space="0" w:color="auto"/>
        <w:right w:val="none" w:sz="0" w:space="0" w:color="auto"/>
      </w:divBdr>
    </w:div>
    <w:div w:id="355159754">
      <w:marLeft w:val="0"/>
      <w:marRight w:val="0"/>
      <w:marTop w:val="0"/>
      <w:marBottom w:val="0"/>
      <w:divBdr>
        <w:top w:val="none" w:sz="0" w:space="0" w:color="auto"/>
        <w:left w:val="none" w:sz="0" w:space="0" w:color="auto"/>
        <w:bottom w:val="none" w:sz="0" w:space="0" w:color="auto"/>
        <w:right w:val="none" w:sz="0" w:space="0" w:color="auto"/>
      </w:divBdr>
    </w:div>
    <w:div w:id="356197689">
      <w:marLeft w:val="0"/>
      <w:marRight w:val="0"/>
      <w:marTop w:val="0"/>
      <w:marBottom w:val="0"/>
      <w:divBdr>
        <w:top w:val="none" w:sz="0" w:space="0" w:color="auto"/>
        <w:left w:val="none" w:sz="0" w:space="0" w:color="auto"/>
        <w:bottom w:val="none" w:sz="0" w:space="0" w:color="auto"/>
        <w:right w:val="none" w:sz="0" w:space="0" w:color="auto"/>
      </w:divBdr>
    </w:div>
    <w:div w:id="357853803">
      <w:marLeft w:val="0"/>
      <w:marRight w:val="0"/>
      <w:marTop w:val="0"/>
      <w:marBottom w:val="0"/>
      <w:divBdr>
        <w:top w:val="none" w:sz="0" w:space="0" w:color="auto"/>
        <w:left w:val="none" w:sz="0" w:space="0" w:color="auto"/>
        <w:bottom w:val="none" w:sz="0" w:space="0" w:color="auto"/>
        <w:right w:val="none" w:sz="0" w:space="0" w:color="auto"/>
      </w:divBdr>
    </w:div>
    <w:div w:id="357857139">
      <w:marLeft w:val="0"/>
      <w:marRight w:val="0"/>
      <w:marTop w:val="0"/>
      <w:marBottom w:val="0"/>
      <w:divBdr>
        <w:top w:val="none" w:sz="0" w:space="0" w:color="auto"/>
        <w:left w:val="none" w:sz="0" w:space="0" w:color="auto"/>
        <w:bottom w:val="none" w:sz="0" w:space="0" w:color="auto"/>
        <w:right w:val="none" w:sz="0" w:space="0" w:color="auto"/>
      </w:divBdr>
    </w:div>
    <w:div w:id="359017617">
      <w:marLeft w:val="0"/>
      <w:marRight w:val="0"/>
      <w:marTop w:val="0"/>
      <w:marBottom w:val="0"/>
      <w:divBdr>
        <w:top w:val="none" w:sz="0" w:space="0" w:color="auto"/>
        <w:left w:val="none" w:sz="0" w:space="0" w:color="auto"/>
        <w:bottom w:val="none" w:sz="0" w:space="0" w:color="auto"/>
        <w:right w:val="none" w:sz="0" w:space="0" w:color="auto"/>
      </w:divBdr>
    </w:div>
    <w:div w:id="359211942">
      <w:marLeft w:val="0"/>
      <w:marRight w:val="0"/>
      <w:marTop w:val="0"/>
      <w:marBottom w:val="0"/>
      <w:divBdr>
        <w:top w:val="none" w:sz="0" w:space="0" w:color="auto"/>
        <w:left w:val="none" w:sz="0" w:space="0" w:color="auto"/>
        <w:bottom w:val="none" w:sz="0" w:space="0" w:color="auto"/>
        <w:right w:val="none" w:sz="0" w:space="0" w:color="auto"/>
      </w:divBdr>
    </w:div>
    <w:div w:id="359283388">
      <w:marLeft w:val="0"/>
      <w:marRight w:val="0"/>
      <w:marTop w:val="0"/>
      <w:marBottom w:val="0"/>
      <w:divBdr>
        <w:top w:val="none" w:sz="0" w:space="0" w:color="auto"/>
        <w:left w:val="none" w:sz="0" w:space="0" w:color="auto"/>
        <w:bottom w:val="none" w:sz="0" w:space="0" w:color="auto"/>
        <w:right w:val="none" w:sz="0" w:space="0" w:color="auto"/>
      </w:divBdr>
    </w:div>
    <w:div w:id="360130409">
      <w:marLeft w:val="0"/>
      <w:marRight w:val="0"/>
      <w:marTop w:val="0"/>
      <w:marBottom w:val="0"/>
      <w:divBdr>
        <w:top w:val="none" w:sz="0" w:space="0" w:color="auto"/>
        <w:left w:val="none" w:sz="0" w:space="0" w:color="auto"/>
        <w:bottom w:val="none" w:sz="0" w:space="0" w:color="auto"/>
        <w:right w:val="none" w:sz="0" w:space="0" w:color="auto"/>
      </w:divBdr>
    </w:div>
    <w:div w:id="360939317">
      <w:marLeft w:val="0"/>
      <w:marRight w:val="0"/>
      <w:marTop w:val="0"/>
      <w:marBottom w:val="0"/>
      <w:divBdr>
        <w:top w:val="none" w:sz="0" w:space="0" w:color="auto"/>
        <w:left w:val="none" w:sz="0" w:space="0" w:color="auto"/>
        <w:bottom w:val="none" w:sz="0" w:space="0" w:color="auto"/>
        <w:right w:val="none" w:sz="0" w:space="0" w:color="auto"/>
      </w:divBdr>
    </w:div>
    <w:div w:id="361321414">
      <w:marLeft w:val="0"/>
      <w:marRight w:val="0"/>
      <w:marTop w:val="0"/>
      <w:marBottom w:val="0"/>
      <w:divBdr>
        <w:top w:val="none" w:sz="0" w:space="0" w:color="auto"/>
        <w:left w:val="none" w:sz="0" w:space="0" w:color="auto"/>
        <w:bottom w:val="none" w:sz="0" w:space="0" w:color="auto"/>
        <w:right w:val="none" w:sz="0" w:space="0" w:color="auto"/>
      </w:divBdr>
      <w:divsChild>
        <w:div w:id="1081295303">
          <w:marLeft w:val="0"/>
          <w:marRight w:val="0"/>
          <w:marTop w:val="0"/>
          <w:marBottom w:val="0"/>
          <w:divBdr>
            <w:top w:val="none" w:sz="0" w:space="0" w:color="auto"/>
            <w:left w:val="none" w:sz="0" w:space="0" w:color="auto"/>
            <w:bottom w:val="none" w:sz="0" w:space="0" w:color="auto"/>
            <w:right w:val="none" w:sz="0" w:space="0" w:color="auto"/>
          </w:divBdr>
        </w:div>
      </w:divsChild>
    </w:div>
    <w:div w:id="361521681">
      <w:marLeft w:val="0"/>
      <w:marRight w:val="0"/>
      <w:marTop w:val="0"/>
      <w:marBottom w:val="0"/>
      <w:divBdr>
        <w:top w:val="none" w:sz="0" w:space="0" w:color="auto"/>
        <w:left w:val="none" w:sz="0" w:space="0" w:color="auto"/>
        <w:bottom w:val="none" w:sz="0" w:space="0" w:color="auto"/>
        <w:right w:val="none" w:sz="0" w:space="0" w:color="auto"/>
      </w:divBdr>
    </w:div>
    <w:div w:id="362101814">
      <w:marLeft w:val="0"/>
      <w:marRight w:val="0"/>
      <w:marTop w:val="100"/>
      <w:marBottom w:val="100"/>
      <w:divBdr>
        <w:top w:val="none" w:sz="0" w:space="0" w:color="auto"/>
        <w:left w:val="none" w:sz="0" w:space="0" w:color="auto"/>
        <w:bottom w:val="none" w:sz="0" w:space="0" w:color="auto"/>
        <w:right w:val="none" w:sz="0" w:space="0" w:color="auto"/>
      </w:divBdr>
      <w:divsChild>
        <w:div w:id="1194687828">
          <w:marLeft w:val="0"/>
          <w:marRight w:val="0"/>
          <w:marTop w:val="0"/>
          <w:marBottom w:val="0"/>
          <w:divBdr>
            <w:top w:val="none" w:sz="0" w:space="0" w:color="auto"/>
            <w:left w:val="none" w:sz="0" w:space="0" w:color="auto"/>
            <w:bottom w:val="none" w:sz="0" w:space="0" w:color="auto"/>
            <w:right w:val="none" w:sz="0" w:space="0" w:color="auto"/>
          </w:divBdr>
        </w:div>
        <w:div w:id="746465163">
          <w:marLeft w:val="0"/>
          <w:marRight w:val="0"/>
          <w:marTop w:val="0"/>
          <w:marBottom w:val="0"/>
          <w:divBdr>
            <w:top w:val="none" w:sz="0" w:space="0" w:color="auto"/>
            <w:left w:val="none" w:sz="0" w:space="0" w:color="auto"/>
            <w:bottom w:val="none" w:sz="0" w:space="0" w:color="auto"/>
            <w:right w:val="none" w:sz="0" w:space="0" w:color="auto"/>
          </w:divBdr>
        </w:div>
        <w:div w:id="312418735">
          <w:marLeft w:val="0"/>
          <w:marRight w:val="0"/>
          <w:marTop w:val="0"/>
          <w:marBottom w:val="0"/>
          <w:divBdr>
            <w:top w:val="none" w:sz="0" w:space="0" w:color="auto"/>
            <w:left w:val="none" w:sz="0" w:space="0" w:color="auto"/>
            <w:bottom w:val="none" w:sz="0" w:space="0" w:color="auto"/>
            <w:right w:val="none" w:sz="0" w:space="0" w:color="auto"/>
          </w:divBdr>
        </w:div>
      </w:divsChild>
    </w:div>
    <w:div w:id="362368341">
      <w:marLeft w:val="0"/>
      <w:marRight w:val="0"/>
      <w:marTop w:val="0"/>
      <w:marBottom w:val="0"/>
      <w:divBdr>
        <w:top w:val="none" w:sz="0" w:space="0" w:color="auto"/>
        <w:left w:val="none" w:sz="0" w:space="0" w:color="auto"/>
        <w:bottom w:val="none" w:sz="0" w:space="0" w:color="auto"/>
        <w:right w:val="none" w:sz="0" w:space="0" w:color="auto"/>
      </w:divBdr>
    </w:div>
    <w:div w:id="364674111">
      <w:marLeft w:val="0"/>
      <w:marRight w:val="0"/>
      <w:marTop w:val="0"/>
      <w:marBottom w:val="0"/>
      <w:divBdr>
        <w:top w:val="none" w:sz="0" w:space="0" w:color="auto"/>
        <w:left w:val="none" w:sz="0" w:space="0" w:color="auto"/>
        <w:bottom w:val="none" w:sz="0" w:space="0" w:color="auto"/>
        <w:right w:val="none" w:sz="0" w:space="0" w:color="auto"/>
      </w:divBdr>
    </w:div>
    <w:div w:id="365133632">
      <w:marLeft w:val="0"/>
      <w:marRight w:val="0"/>
      <w:marTop w:val="0"/>
      <w:marBottom w:val="0"/>
      <w:divBdr>
        <w:top w:val="none" w:sz="0" w:space="0" w:color="auto"/>
        <w:left w:val="none" w:sz="0" w:space="0" w:color="auto"/>
        <w:bottom w:val="none" w:sz="0" w:space="0" w:color="auto"/>
        <w:right w:val="none" w:sz="0" w:space="0" w:color="auto"/>
      </w:divBdr>
      <w:divsChild>
        <w:div w:id="735320326">
          <w:marLeft w:val="0"/>
          <w:marRight w:val="0"/>
          <w:marTop w:val="0"/>
          <w:marBottom w:val="0"/>
          <w:divBdr>
            <w:top w:val="none" w:sz="0" w:space="0" w:color="auto"/>
            <w:left w:val="none" w:sz="0" w:space="0" w:color="auto"/>
            <w:bottom w:val="none" w:sz="0" w:space="0" w:color="auto"/>
            <w:right w:val="none" w:sz="0" w:space="0" w:color="auto"/>
          </w:divBdr>
          <w:divsChild>
            <w:div w:id="1217859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637566">
      <w:marLeft w:val="0"/>
      <w:marRight w:val="0"/>
      <w:marTop w:val="0"/>
      <w:marBottom w:val="0"/>
      <w:divBdr>
        <w:top w:val="none" w:sz="0" w:space="0" w:color="auto"/>
        <w:left w:val="none" w:sz="0" w:space="0" w:color="auto"/>
        <w:bottom w:val="none" w:sz="0" w:space="0" w:color="auto"/>
        <w:right w:val="none" w:sz="0" w:space="0" w:color="auto"/>
      </w:divBdr>
    </w:div>
    <w:div w:id="365911380">
      <w:marLeft w:val="0"/>
      <w:marRight w:val="0"/>
      <w:marTop w:val="0"/>
      <w:marBottom w:val="0"/>
      <w:divBdr>
        <w:top w:val="none" w:sz="0" w:space="0" w:color="auto"/>
        <w:left w:val="none" w:sz="0" w:space="0" w:color="auto"/>
        <w:bottom w:val="none" w:sz="0" w:space="0" w:color="auto"/>
        <w:right w:val="none" w:sz="0" w:space="0" w:color="auto"/>
      </w:divBdr>
    </w:div>
    <w:div w:id="365956825">
      <w:marLeft w:val="0"/>
      <w:marRight w:val="0"/>
      <w:marTop w:val="0"/>
      <w:marBottom w:val="0"/>
      <w:divBdr>
        <w:top w:val="none" w:sz="0" w:space="0" w:color="auto"/>
        <w:left w:val="none" w:sz="0" w:space="0" w:color="auto"/>
        <w:bottom w:val="none" w:sz="0" w:space="0" w:color="auto"/>
        <w:right w:val="none" w:sz="0" w:space="0" w:color="auto"/>
      </w:divBdr>
    </w:div>
    <w:div w:id="366372141">
      <w:marLeft w:val="0"/>
      <w:marRight w:val="0"/>
      <w:marTop w:val="0"/>
      <w:marBottom w:val="0"/>
      <w:divBdr>
        <w:top w:val="none" w:sz="0" w:space="0" w:color="auto"/>
        <w:left w:val="none" w:sz="0" w:space="0" w:color="auto"/>
        <w:bottom w:val="none" w:sz="0" w:space="0" w:color="auto"/>
        <w:right w:val="none" w:sz="0" w:space="0" w:color="auto"/>
      </w:divBdr>
      <w:divsChild>
        <w:div w:id="1046297942">
          <w:marLeft w:val="0"/>
          <w:marRight w:val="0"/>
          <w:marTop w:val="0"/>
          <w:marBottom w:val="0"/>
          <w:divBdr>
            <w:top w:val="none" w:sz="0" w:space="0" w:color="auto"/>
            <w:left w:val="none" w:sz="0" w:space="0" w:color="auto"/>
            <w:bottom w:val="none" w:sz="0" w:space="0" w:color="auto"/>
            <w:right w:val="none" w:sz="0" w:space="0" w:color="auto"/>
          </w:divBdr>
        </w:div>
      </w:divsChild>
    </w:div>
    <w:div w:id="366570388">
      <w:marLeft w:val="0"/>
      <w:marRight w:val="0"/>
      <w:marTop w:val="0"/>
      <w:marBottom w:val="0"/>
      <w:divBdr>
        <w:top w:val="none" w:sz="0" w:space="0" w:color="auto"/>
        <w:left w:val="none" w:sz="0" w:space="0" w:color="auto"/>
        <w:bottom w:val="none" w:sz="0" w:space="0" w:color="auto"/>
        <w:right w:val="none" w:sz="0" w:space="0" w:color="auto"/>
      </w:divBdr>
      <w:divsChild>
        <w:div w:id="58133642">
          <w:marLeft w:val="0"/>
          <w:marRight w:val="0"/>
          <w:marTop w:val="0"/>
          <w:marBottom w:val="0"/>
          <w:divBdr>
            <w:top w:val="none" w:sz="0" w:space="0" w:color="auto"/>
            <w:left w:val="none" w:sz="0" w:space="0" w:color="auto"/>
            <w:bottom w:val="none" w:sz="0" w:space="0" w:color="auto"/>
            <w:right w:val="none" w:sz="0" w:space="0" w:color="auto"/>
          </w:divBdr>
        </w:div>
      </w:divsChild>
    </w:div>
    <w:div w:id="367339008">
      <w:marLeft w:val="0"/>
      <w:marRight w:val="0"/>
      <w:marTop w:val="0"/>
      <w:marBottom w:val="0"/>
      <w:divBdr>
        <w:top w:val="none" w:sz="0" w:space="0" w:color="auto"/>
        <w:left w:val="none" w:sz="0" w:space="0" w:color="auto"/>
        <w:bottom w:val="none" w:sz="0" w:space="0" w:color="auto"/>
        <w:right w:val="none" w:sz="0" w:space="0" w:color="auto"/>
      </w:divBdr>
      <w:divsChild>
        <w:div w:id="132022024">
          <w:marLeft w:val="0"/>
          <w:marRight w:val="0"/>
          <w:marTop w:val="0"/>
          <w:marBottom w:val="0"/>
          <w:divBdr>
            <w:top w:val="none" w:sz="0" w:space="0" w:color="auto"/>
            <w:left w:val="none" w:sz="0" w:space="0" w:color="auto"/>
            <w:bottom w:val="none" w:sz="0" w:space="0" w:color="auto"/>
            <w:right w:val="none" w:sz="0" w:space="0" w:color="auto"/>
          </w:divBdr>
        </w:div>
      </w:divsChild>
    </w:div>
    <w:div w:id="367461521">
      <w:marLeft w:val="0"/>
      <w:marRight w:val="0"/>
      <w:marTop w:val="0"/>
      <w:marBottom w:val="0"/>
      <w:divBdr>
        <w:top w:val="none" w:sz="0" w:space="0" w:color="auto"/>
        <w:left w:val="none" w:sz="0" w:space="0" w:color="auto"/>
        <w:bottom w:val="none" w:sz="0" w:space="0" w:color="auto"/>
        <w:right w:val="none" w:sz="0" w:space="0" w:color="auto"/>
      </w:divBdr>
    </w:div>
    <w:div w:id="367923659">
      <w:marLeft w:val="0"/>
      <w:marRight w:val="0"/>
      <w:marTop w:val="0"/>
      <w:marBottom w:val="0"/>
      <w:divBdr>
        <w:top w:val="none" w:sz="0" w:space="0" w:color="auto"/>
        <w:left w:val="none" w:sz="0" w:space="0" w:color="auto"/>
        <w:bottom w:val="none" w:sz="0" w:space="0" w:color="auto"/>
        <w:right w:val="none" w:sz="0" w:space="0" w:color="auto"/>
      </w:divBdr>
    </w:div>
    <w:div w:id="367948692">
      <w:marLeft w:val="0"/>
      <w:marRight w:val="0"/>
      <w:marTop w:val="0"/>
      <w:marBottom w:val="0"/>
      <w:divBdr>
        <w:top w:val="none" w:sz="0" w:space="0" w:color="auto"/>
        <w:left w:val="none" w:sz="0" w:space="0" w:color="auto"/>
        <w:bottom w:val="none" w:sz="0" w:space="0" w:color="auto"/>
        <w:right w:val="none" w:sz="0" w:space="0" w:color="auto"/>
      </w:divBdr>
    </w:div>
    <w:div w:id="369115095">
      <w:marLeft w:val="0"/>
      <w:marRight w:val="0"/>
      <w:marTop w:val="0"/>
      <w:marBottom w:val="0"/>
      <w:divBdr>
        <w:top w:val="none" w:sz="0" w:space="0" w:color="auto"/>
        <w:left w:val="none" w:sz="0" w:space="0" w:color="auto"/>
        <w:bottom w:val="none" w:sz="0" w:space="0" w:color="auto"/>
        <w:right w:val="none" w:sz="0" w:space="0" w:color="auto"/>
      </w:divBdr>
    </w:div>
    <w:div w:id="371881842">
      <w:marLeft w:val="0"/>
      <w:marRight w:val="0"/>
      <w:marTop w:val="0"/>
      <w:marBottom w:val="0"/>
      <w:divBdr>
        <w:top w:val="none" w:sz="0" w:space="0" w:color="auto"/>
        <w:left w:val="none" w:sz="0" w:space="0" w:color="auto"/>
        <w:bottom w:val="none" w:sz="0" w:space="0" w:color="auto"/>
        <w:right w:val="none" w:sz="0" w:space="0" w:color="auto"/>
      </w:divBdr>
    </w:div>
    <w:div w:id="373628010">
      <w:marLeft w:val="0"/>
      <w:marRight w:val="0"/>
      <w:marTop w:val="0"/>
      <w:marBottom w:val="0"/>
      <w:divBdr>
        <w:top w:val="none" w:sz="0" w:space="0" w:color="auto"/>
        <w:left w:val="none" w:sz="0" w:space="0" w:color="auto"/>
        <w:bottom w:val="none" w:sz="0" w:space="0" w:color="auto"/>
        <w:right w:val="none" w:sz="0" w:space="0" w:color="auto"/>
      </w:divBdr>
    </w:div>
    <w:div w:id="374281534">
      <w:marLeft w:val="0"/>
      <w:marRight w:val="0"/>
      <w:marTop w:val="0"/>
      <w:marBottom w:val="0"/>
      <w:divBdr>
        <w:top w:val="none" w:sz="0" w:space="0" w:color="auto"/>
        <w:left w:val="none" w:sz="0" w:space="0" w:color="auto"/>
        <w:bottom w:val="none" w:sz="0" w:space="0" w:color="auto"/>
        <w:right w:val="none" w:sz="0" w:space="0" w:color="auto"/>
      </w:divBdr>
    </w:div>
    <w:div w:id="374738307">
      <w:marLeft w:val="0"/>
      <w:marRight w:val="0"/>
      <w:marTop w:val="0"/>
      <w:marBottom w:val="0"/>
      <w:divBdr>
        <w:top w:val="none" w:sz="0" w:space="0" w:color="auto"/>
        <w:left w:val="none" w:sz="0" w:space="0" w:color="auto"/>
        <w:bottom w:val="none" w:sz="0" w:space="0" w:color="auto"/>
        <w:right w:val="none" w:sz="0" w:space="0" w:color="auto"/>
      </w:divBdr>
    </w:div>
    <w:div w:id="375352580">
      <w:marLeft w:val="0"/>
      <w:marRight w:val="0"/>
      <w:marTop w:val="0"/>
      <w:marBottom w:val="0"/>
      <w:divBdr>
        <w:top w:val="none" w:sz="0" w:space="0" w:color="auto"/>
        <w:left w:val="none" w:sz="0" w:space="0" w:color="auto"/>
        <w:bottom w:val="none" w:sz="0" w:space="0" w:color="auto"/>
        <w:right w:val="none" w:sz="0" w:space="0" w:color="auto"/>
      </w:divBdr>
    </w:div>
    <w:div w:id="375546745">
      <w:marLeft w:val="0"/>
      <w:marRight w:val="0"/>
      <w:marTop w:val="0"/>
      <w:marBottom w:val="0"/>
      <w:divBdr>
        <w:top w:val="none" w:sz="0" w:space="0" w:color="auto"/>
        <w:left w:val="none" w:sz="0" w:space="0" w:color="auto"/>
        <w:bottom w:val="none" w:sz="0" w:space="0" w:color="auto"/>
        <w:right w:val="none" w:sz="0" w:space="0" w:color="auto"/>
      </w:divBdr>
    </w:div>
    <w:div w:id="376274381">
      <w:marLeft w:val="0"/>
      <w:marRight w:val="0"/>
      <w:marTop w:val="100"/>
      <w:marBottom w:val="100"/>
      <w:divBdr>
        <w:top w:val="none" w:sz="0" w:space="0" w:color="auto"/>
        <w:left w:val="none" w:sz="0" w:space="0" w:color="auto"/>
        <w:bottom w:val="none" w:sz="0" w:space="0" w:color="auto"/>
        <w:right w:val="none" w:sz="0" w:space="0" w:color="auto"/>
      </w:divBdr>
    </w:div>
    <w:div w:id="376390496">
      <w:marLeft w:val="0"/>
      <w:marRight w:val="0"/>
      <w:marTop w:val="0"/>
      <w:marBottom w:val="0"/>
      <w:divBdr>
        <w:top w:val="none" w:sz="0" w:space="0" w:color="auto"/>
        <w:left w:val="none" w:sz="0" w:space="0" w:color="auto"/>
        <w:bottom w:val="none" w:sz="0" w:space="0" w:color="auto"/>
        <w:right w:val="none" w:sz="0" w:space="0" w:color="auto"/>
      </w:divBdr>
    </w:div>
    <w:div w:id="376468938">
      <w:marLeft w:val="0"/>
      <w:marRight w:val="0"/>
      <w:marTop w:val="0"/>
      <w:marBottom w:val="0"/>
      <w:divBdr>
        <w:top w:val="none" w:sz="0" w:space="0" w:color="auto"/>
        <w:left w:val="none" w:sz="0" w:space="0" w:color="auto"/>
        <w:bottom w:val="none" w:sz="0" w:space="0" w:color="auto"/>
        <w:right w:val="none" w:sz="0" w:space="0" w:color="auto"/>
      </w:divBdr>
    </w:div>
    <w:div w:id="376853174">
      <w:marLeft w:val="0"/>
      <w:marRight w:val="0"/>
      <w:marTop w:val="0"/>
      <w:marBottom w:val="0"/>
      <w:divBdr>
        <w:top w:val="none" w:sz="0" w:space="0" w:color="auto"/>
        <w:left w:val="none" w:sz="0" w:space="0" w:color="auto"/>
        <w:bottom w:val="none" w:sz="0" w:space="0" w:color="auto"/>
        <w:right w:val="none" w:sz="0" w:space="0" w:color="auto"/>
      </w:divBdr>
    </w:div>
    <w:div w:id="376973437">
      <w:marLeft w:val="0"/>
      <w:marRight w:val="0"/>
      <w:marTop w:val="0"/>
      <w:marBottom w:val="0"/>
      <w:divBdr>
        <w:top w:val="none" w:sz="0" w:space="0" w:color="auto"/>
        <w:left w:val="none" w:sz="0" w:space="0" w:color="auto"/>
        <w:bottom w:val="none" w:sz="0" w:space="0" w:color="auto"/>
        <w:right w:val="none" w:sz="0" w:space="0" w:color="auto"/>
      </w:divBdr>
    </w:div>
    <w:div w:id="376979138">
      <w:marLeft w:val="0"/>
      <w:marRight w:val="0"/>
      <w:marTop w:val="0"/>
      <w:marBottom w:val="0"/>
      <w:divBdr>
        <w:top w:val="none" w:sz="0" w:space="0" w:color="auto"/>
        <w:left w:val="none" w:sz="0" w:space="0" w:color="auto"/>
        <w:bottom w:val="none" w:sz="0" w:space="0" w:color="auto"/>
        <w:right w:val="none" w:sz="0" w:space="0" w:color="auto"/>
      </w:divBdr>
    </w:div>
    <w:div w:id="378433851">
      <w:marLeft w:val="0"/>
      <w:marRight w:val="0"/>
      <w:marTop w:val="0"/>
      <w:marBottom w:val="0"/>
      <w:divBdr>
        <w:top w:val="none" w:sz="0" w:space="0" w:color="auto"/>
        <w:left w:val="none" w:sz="0" w:space="0" w:color="auto"/>
        <w:bottom w:val="none" w:sz="0" w:space="0" w:color="auto"/>
        <w:right w:val="none" w:sz="0" w:space="0" w:color="auto"/>
      </w:divBdr>
    </w:div>
    <w:div w:id="381490011">
      <w:marLeft w:val="0"/>
      <w:marRight w:val="0"/>
      <w:marTop w:val="0"/>
      <w:marBottom w:val="0"/>
      <w:divBdr>
        <w:top w:val="none" w:sz="0" w:space="0" w:color="auto"/>
        <w:left w:val="none" w:sz="0" w:space="0" w:color="auto"/>
        <w:bottom w:val="none" w:sz="0" w:space="0" w:color="auto"/>
        <w:right w:val="none" w:sz="0" w:space="0" w:color="auto"/>
      </w:divBdr>
    </w:div>
    <w:div w:id="383257178">
      <w:marLeft w:val="0"/>
      <w:marRight w:val="0"/>
      <w:marTop w:val="0"/>
      <w:marBottom w:val="0"/>
      <w:divBdr>
        <w:top w:val="none" w:sz="0" w:space="0" w:color="auto"/>
        <w:left w:val="none" w:sz="0" w:space="0" w:color="auto"/>
        <w:bottom w:val="none" w:sz="0" w:space="0" w:color="auto"/>
        <w:right w:val="none" w:sz="0" w:space="0" w:color="auto"/>
      </w:divBdr>
    </w:div>
    <w:div w:id="384110142">
      <w:marLeft w:val="0"/>
      <w:marRight w:val="0"/>
      <w:marTop w:val="0"/>
      <w:marBottom w:val="0"/>
      <w:divBdr>
        <w:top w:val="none" w:sz="0" w:space="0" w:color="auto"/>
        <w:left w:val="none" w:sz="0" w:space="0" w:color="auto"/>
        <w:bottom w:val="none" w:sz="0" w:space="0" w:color="auto"/>
        <w:right w:val="none" w:sz="0" w:space="0" w:color="auto"/>
      </w:divBdr>
    </w:div>
    <w:div w:id="385182208">
      <w:marLeft w:val="0"/>
      <w:marRight w:val="0"/>
      <w:marTop w:val="0"/>
      <w:marBottom w:val="0"/>
      <w:divBdr>
        <w:top w:val="none" w:sz="0" w:space="0" w:color="auto"/>
        <w:left w:val="none" w:sz="0" w:space="0" w:color="auto"/>
        <w:bottom w:val="none" w:sz="0" w:space="0" w:color="auto"/>
        <w:right w:val="none" w:sz="0" w:space="0" w:color="auto"/>
      </w:divBdr>
    </w:div>
    <w:div w:id="386416210">
      <w:marLeft w:val="0"/>
      <w:marRight w:val="0"/>
      <w:marTop w:val="0"/>
      <w:marBottom w:val="0"/>
      <w:divBdr>
        <w:top w:val="none" w:sz="0" w:space="0" w:color="auto"/>
        <w:left w:val="none" w:sz="0" w:space="0" w:color="auto"/>
        <w:bottom w:val="none" w:sz="0" w:space="0" w:color="auto"/>
        <w:right w:val="none" w:sz="0" w:space="0" w:color="auto"/>
      </w:divBdr>
    </w:div>
    <w:div w:id="387262886">
      <w:marLeft w:val="0"/>
      <w:marRight w:val="0"/>
      <w:marTop w:val="0"/>
      <w:marBottom w:val="0"/>
      <w:divBdr>
        <w:top w:val="none" w:sz="0" w:space="0" w:color="auto"/>
        <w:left w:val="none" w:sz="0" w:space="0" w:color="auto"/>
        <w:bottom w:val="none" w:sz="0" w:space="0" w:color="auto"/>
        <w:right w:val="none" w:sz="0" w:space="0" w:color="auto"/>
      </w:divBdr>
    </w:div>
    <w:div w:id="388263856">
      <w:marLeft w:val="0"/>
      <w:marRight w:val="0"/>
      <w:marTop w:val="0"/>
      <w:marBottom w:val="0"/>
      <w:divBdr>
        <w:top w:val="none" w:sz="0" w:space="0" w:color="auto"/>
        <w:left w:val="none" w:sz="0" w:space="0" w:color="auto"/>
        <w:bottom w:val="none" w:sz="0" w:space="0" w:color="auto"/>
        <w:right w:val="none" w:sz="0" w:space="0" w:color="auto"/>
      </w:divBdr>
    </w:div>
    <w:div w:id="388312762">
      <w:marLeft w:val="0"/>
      <w:marRight w:val="0"/>
      <w:marTop w:val="0"/>
      <w:marBottom w:val="0"/>
      <w:divBdr>
        <w:top w:val="none" w:sz="0" w:space="0" w:color="auto"/>
        <w:left w:val="none" w:sz="0" w:space="0" w:color="auto"/>
        <w:bottom w:val="none" w:sz="0" w:space="0" w:color="auto"/>
        <w:right w:val="none" w:sz="0" w:space="0" w:color="auto"/>
      </w:divBdr>
    </w:div>
    <w:div w:id="388960003">
      <w:marLeft w:val="0"/>
      <w:marRight w:val="0"/>
      <w:marTop w:val="0"/>
      <w:marBottom w:val="0"/>
      <w:divBdr>
        <w:top w:val="none" w:sz="0" w:space="0" w:color="auto"/>
        <w:left w:val="none" w:sz="0" w:space="0" w:color="auto"/>
        <w:bottom w:val="none" w:sz="0" w:space="0" w:color="auto"/>
        <w:right w:val="none" w:sz="0" w:space="0" w:color="auto"/>
      </w:divBdr>
    </w:div>
    <w:div w:id="390078322">
      <w:marLeft w:val="0"/>
      <w:marRight w:val="0"/>
      <w:marTop w:val="0"/>
      <w:marBottom w:val="0"/>
      <w:divBdr>
        <w:top w:val="none" w:sz="0" w:space="0" w:color="auto"/>
        <w:left w:val="none" w:sz="0" w:space="0" w:color="auto"/>
        <w:bottom w:val="none" w:sz="0" w:space="0" w:color="auto"/>
        <w:right w:val="none" w:sz="0" w:space="0" w:color="auto"/>
      </w:divBdr>
    </w:div>
    <w:div w:id="391273621">
      <w:marLeft w:val="0"/>
      <w:marRight w:val="0"/>
      <w:marTop w:val="0"/>
      <w:marBottom w:val="0"/>
      <w:divBdr>
        <w:top w:val="none" w:sz="0" w:space="0" w:color="auto"/>
        <w:left w:val="none" w:sz="0" w:space="0" w:color="auto"/>
        <w:bottom w:val="none" w:sz="0" w:space="0" w:color="auto"/>
        <w:right w:val="none" w:sz="0" w:space="0" w:color="auto"/>
      </w:divBdr>
    </w:div>
    <w:div w:id="391660318">
      <w:marLeft w:val="0"/>
      <w:marRight w:val="0"/>
      <w:marTop w:val="0"/>
      <w:marBottom w:val="0"/>
      <w:divBdr>
        <w:top w:val="none" w:sz="0" w:space="0" w:color="auto"/>
        <w:left w:val="none" w:sz="0" w:space="0" w:color="auto"/>
        <w:bottom w:val="none" w:sz="0" w:space="0" w:color="auto"/>
        <w:right w:val="none" w:sz="0" w:space="0" w:color="auto"/>
      </w:divBdr>
    </w:div>
    <w:div w:id="392704715">
      <w:marLeft w:val="0"/>
      <w:marRight w:val="0"/>
      <w:marTop w:val="0"/>
      <w:marBottom w:val="0"/>
      <w:divBdr>
        <w:top w:val="none" w:sz="0" w:space="0" w:color="auto"/>
        <w:left w:val="none" w:sz="0" w:space="0" w:color="auto"/>
        <w:bottom w:val="none" w:sz="0" w:space="0" w:color="auto"/>
        <w:right w:val="none" w:sz="0" w:space="0" w:color="auto"/>
      </w:divBdr>
    </w:div>
    <w:div w:id="393891773">
      <w:marLeft w:val="0"/>
      <w:marRight w:val="0"/>
      <w:marTop w:val="0"/>
      <w:marBottom w:val="0"/>
      <w:divBdr>
        <w:top w:val="none" w:sz="0" w:space="0" w:color="auto"/>
        <w:left w:val="none" w:sz="0" w:space="0" w:color="auto"/>
        <w:bottom w:val="none" w:sz="0" w:space="0" w:color="auto"/>
        <w:right w:val="none" w:sz="0" w:space="0" w:color="auto"/>
      </w:divBdr>
    </w:div>
    <w:div w:id="395012078">
      <w:marLeft w:val="0"/>
      <w:marRight w:val="0"/>
      <w:marTop w:val="0"/>
      <w:marBottom w:val="0"/>
      <w:divBdr>
        <w:top w:val="none" w:sz="0" w:space="0" w:color="auto"/>
        <w:left w:val="none" w:sz="0" w:space="0" w:color="auto"/>
        <w:bottom w:val="none" w:sz="0" w:space="0" w:color="auto"/>
        <w:right w:val="none" w:sz="0" w:space="0" w:color="auto"/>
      </w:divBdr>
    </w:div>
    <w:div w:id="395518286">
      <w:marLeft w:val="0"/>
      <w:marRight w:val="0"/>
      <w:marTop w:val="0"/>
      <w:marBottom w:val="0"/>
      <w:divBdr>
        <w:top w:val="none" w:sz="0" w:space="0" w:color="auto"/>
        <w:left w:val="none" w:sz="0" w:space="0" w:color="auto"/>
        <w:bottom w:val="none" w:sz="0" w:space="0" w:color="auto"/>
        <w:right w:val="none" w:sz="0" w:space="0" w:color="auto"/>
      </w:divBdr>
    </w:div>
    <w:div w:id="396780131">
      <w:marLeft w:val="0"/>
      <w:marRight w:val="0"/>
      <w:marTop w:val="100"/>
      <w:marBottom w:val="100"/>
      <w:divBdr>
        <w:top w:val="none" w:sz="0" w:space="0" w:color="auto"/>
        <w:left w:val="none" w:sz="0" w:space="0" w:color="auto"/>
        <w:bottom w:val="none" w:sz="0" w:space="0" w:color="auto"/>
        <w:right w:val="none" w:sz="0" w:space="0" w:color="auto"/>
      </w:divBdr>
      <w:divsChild>
        <w:div w:id="615253788">
          <w:marLeft w:val="0"/>
          <w:marRight w:val="0"/>
          <w:marTop w:val="0"/>
          <w:marBottom w:val="0"/>
          <w:divBdr>
            <w:top w:val="none" w:sz="0" w:space="0" w:color="auto"/>
            <w:left w:val="none" w:sz="0" w:space="0" w:color="auto"/>
            <w:bottom w:val="none" w:sz="0" w:space="0" w:color="auto"/>
            <w:right w:val="none" w:sz="0" w:space="0" w:color="auto"/>
          </w:divBdr>
        </w:div>
        <w:div w:id="1332172212">
          <w:marLeft w:val="0"/>
          <w:marRight w:val="0"/>
          <w:marTop w:val="0"/>
          <w:marBottom w:val="0"/>
          <w:divBdr>
            <w:top w:val="none" w:sz="0" w:space="0" w:color="auto"/>
            <w:left w:val="none" w:sz="0" w:space="0" w:color="auto"/>
            <w:bottom w:val="none" w:sz="0" w:space="0" w:color="auto"/>
            <w:right w:val="none" w:sz="0" w:space="0" w:color="auto"/>
          </w:divBdr>
        </w:div>
        <w:div w:id="1854417661">
          <w:marLeft w:val="0"/>
          <w:marRight w:val="0"/>
          <w:marTop w:val="0"/>
          <w:marBottom w:val="0"/>
          <w:divBdr>
            <w:top w:val="none" w:sz="0" w:space="0" w:color="auto"/>
            <w:left w:val="none" w:sz="0" w:space="0" w:color="auto"/>
            <w:bottom w:val="none" w:sz="0" w:space="0" w:color="auto"/>
            <w:right w:val="none" w:sz="0" w:space="0" w:color="auto"/>
          </w:divBdr>
        </w:div>
        <w:div w:id="1258175345">
          <w:marLeft w:val="0"/>
          <w:marRight w:val="0"/>
          <w:marTop w:val="0"/>
          <w:marBottom w:val="0"/>
          <w:divBdr>
            <w:top w:val="none" w:sz="0" w:space="0" w:color="auto"/>
            <w:left w:val="none" w:sz="0" w:space="0" w:color="auto"/>
            <w:bottom w:val="none" w:sz="0" w:space="0" w:color="auto"/>
            <w:right w:val="none" w:sz="0" w:space="0" w:color="auto"/>
          </w:divBdr>
        </w:div>
        <w:div w:id="1909992316">
          <w:marLeft w:val="0"/>
          <w:marRight w:val="0"/>
          <w:marTop w:val="0"/>
          <w:marBottom w:val="0"/>
          <w:divBdr>
            <w:top w:val="none" w:sz="0" w:space="0" w:color="auto"/>
            <w:left w:val="none" w:sz="0" w:space="0" w:color="auto"/>
            <w:bottom w:val="none" w:sz="0" w:space="0" w:color="auto"/>
            <w:right w:val="none" w:sz="0" w:space="0" w:color="auto"/>
          </w:divBdr>
        </w:div>
        <w:div w:id="1390765355">
          <w:marLeft w:val="0"/>
          <w:marRight w:val="0"/>
          <w:marTop w:val="0"/>
          <w:marBottom w:val="0"/>
          <w:divBdr>
            <w:top w:val="none" w:sz="0" w:space="0" w:color="auto"/>
            <w:left w:val="none" w:sz="0" w:space="0" w:color="auto"/>
            <w:bottom w:val="none" w:sz="0" w:space="0" w:color="auto"/>
            <w:right w:val="none" w:sz="0" w:space="0" w:color="auto"/>
          </w:divBdr>
        </w:div>
        <w:div w:id="927930514">
          <w:marLeft w:val="0"/>
          <w:marRight w:val="0"/>
          <w:marTop w:val="0"/>
          <w:marBottom w:val="0"/>
          <w:divBdr>
            <w:top w:val="none" w:sz="0" w:space="0" w:color="auto"/>
            <w:left w:val="none" w:sz="0" w:space="0" w:color="auto"/>
            <w:bottom w:val="none" w:sz="0" w:space="0" w:color="auto"/>
            <w:right w:val="none" w:sz="0" w:space="0" w:color="auto"/>
          </w:divBdr>
        </w:div>
        <w:div w:id="898203380">
          <w:marLeft w:val="0"/>
          <w:marRight w:val="0"/>
          <w:marTop w:val="0"/>
          <w:marBottom w:val="0"/>
          <w:divBdr>
            <w:top w:val="none" w:sz="0" w:space="0" w:color="auto"/>
            <w:left w:val="none" w:sz="0" w:space="0" w:color="auto"/>
            <w:bottom w:val="none" w:sz="0" w:space="0" w:color="auto"/>
            <w:right w:val="none" w:sz="0" w:space="0" w:color="auto"/>
          </w:divBdr>
        </w:div>
        <w:div w:id="2083600503">
          <w:marLeft w:val="0"/>
          <w:marRight w:val="0"/>
          <w:marTop w:val="0"/>
          <w:marBottom w:val="0"/>
          <w:divBdr>
            <w:top w:val="none" w:sz="0" w:space="0" w:color="auto"/>
            <w:left w:val="none" w:sz="0" w:space="0" w:color="auto"/>
            <w:bottom w:val="none" w:sz="0" w:space="0" w:color="auto"/>
            <w:right w:val="none" w:sz="0" w:space="0" w:color="auto"/>
          </w:divBdr>
        </w:div>
        <w:div w:id="1081176289">
          <w:marLeft w:val="0"/>
          <w:marRight w:val="0"/>
          <w:marTop w:val="0"/>
          <w:marBottom w:val="0"/>
          <w:divBdr>
            <w:top w:val="none" w:sz="0" w:space="0" w:color="auto"/>
            <w:left w:val="none" w:sz="0" w:space="0" w:color="auto"/>
            <w:bottom w:val="none" w:sz="0" w:space="0" w:color="auto"/>
            <w:right w:val="none" w:sz="0" w:space="0" w:color="auto"/>
          </w:divBdr>
        </w:div>
        <w:div w:id="169637634">
          <w:marLeft w:val="0"/>
          <w:marRight w:val="0"/>
          <w:marTop w:val="0"/>
          <w:marBottom w:val="0"/>
          <w:divBdr>
            <w:top w:val="none" w:sz="0" w:space="0" w:color="auto"/>
            <w:left w:val="none" w:sz="0" w:space="0" w:color="auto"/>
            <w:bottom w:val="none" w:sz="0" w:space="0" w:color="auto"/>
            <w:right w:val="none" w:sz="0" w:space="0" w:color="auto"/>
          </w:divBdr>
        </w:div>
        <w:div w:id="1064567617">
          <w:marLeft w:val="0"/>
          <w:marRight w:val="0"/>
          <w:marTop w:val="0"/>
          <w:marBottom w:val="0"/>
          <w:divBdr>
            <w:top w:val="none" w:sz="0" w:space="0" w:color="auto"/>
            <w:left w:val="none" w:sz="0" w:space="0" w:color="auto"/>
            <w:bottom w:val="none" w:sz="0" w:space="0" w:color="auto"/>
            <w:right w:val="none" w:sz="0" w:space="0" w:color="auto"/>
          </w:divBdr>
        </w:div>
        <w:div w:id="1634797832">
          <w:marLeft w:val="0"/>
          <w:marRight w:val="0"/>
          <w:marTop w:val="0"/>
          <w:marBottom w:val="0"/>
          <w:divBdr>
            <w:top w:val="none" w:sz="0" w:space="0" w:color="auto"/>
            <w:left w:val="none" w:sz="0" w:space="0" w:color="auto"/>
            <w:bottom w:val="none" w:sz="0" w:space="0" w:color="auto"/>
            <w:right w:val="none" w:sz="0" w:space="0" w:color="auto"/>
          </w:divBdr>
        </w:div>
        <w:div w:id="73866130">
          <w:marLeft w:val="0"/>
          <w:marRight w:val="0"/>
          <w:marTop w:val="0"/>
          <w:marBottom w:val="0"/>
          <w:divBdr>
            <w:top w:val="none" w:sz="0" w:space="0" w:color="auto"/>
            <w:left w:val="none" w:sz="0" w:space="0" w:color="auto"/>
            <w:bottom w:val="none" w:sz="0" w:space="0" w:color="auto"/>
            <w:right w:val="none" w:sz="0" w:space="0" w:color="auto"/>
          </w:divBdr>
        </w:div>
        <w:div w:id="849293991">
          <w:marLeft w:val="0"/>
          <w:marRight w:val="0"/>
          <w:marTop w:val="0"/>
          <w:marBottom w:val="0"/>
          <w:divBdr>
            <w:top w:val="none" w:sz="0" w:space="0" w:color="auto"/>
            <w:left w:val="none" w:sz="0" w:space="0" w:color="auto"/>
            <w:bottom w:val="none" w:sz="0" w:space="0" w:color="auto"/>
            <w:right w:val="none" w:sz="0" w:space="0" w:color="auto"/>
          </w:divBdr>
        </w:div>
        <w:div w:id="1164124475">
          <w:marLeft w:val="0"/>
          <w:marRight w:val="0"/>
          <w:marTop w:val="0"/>
          <w:marBottom w:val="0"/>
          <w:divBdr>
            <w:top w:val="none" w:sz="0" w:space="0" w:color="auto"/>
            <w:left w:val="none" w:sz="0" w:space="0" w:color="auto"/>
            <w:bottom w:val="none" w:sz="0" w:space="0" w:color="auto"/>
            <w:right w:val="none" w:sz="0" w:space="0" w:color="auto"/>
          </w:divBdr>
        </w:div>
        <w:div w:id="1578782812">
          <w:marLeft w:val="0"/>
          <w:marRight w:val="0"/>
          <w:marTop w:val="0"/>
          <w:marBottom w:val="0"/>
          <w:divBdr>
            <w:top w:val="none" w:sz="0" w:space="0" w:color="auto"/>
            <w:left w:val="none" w:sz="0" w:space="0" w:color="auto"/>
            <w:bottom w:val="none" w:sz="0" w:space="0" w:color="auto"/>
            <w:right w:val="none" w:sz="0" w:space="0" w:color="auto"/>
          </w:divBdr>
        </w:div>
        <w:div w:id="1734311776">
          <w:marLeft w:val="0"/>
          <w:marRight w:val="0"/>
          <w:marTop w:val="0"/>
          <w:marBottom w:val="0"/>
          <w:divBdr>
            <w:top w:val="none" w:sz="0" w:space="0" w:color="auto"/>
            <w:left w:val="none" w:sz="0" w:space="0" w:color="auto"/>
            <w:bottom w:val="none" w:sz="0" w:space="0" w:color="auto"/>
            <w:right w:val="none" w:sz="0" w:space="0" w:color="auto"/>
          </w:divBdr>
        </w:div>
        <w:div w:id="1109088378">
          <w:marLeft w:val="0"/>
          <w:marRight w:val="0"/>
          <w:marTop w:val="0"/>
          <w:marBottom w:val="0"/>
          <w:divBdr>
            <w:top w:val="none" w:sz="0" w:space="0" w:color="auto"/>
            <w:left w:val="none" w:sz="0" w:space="0" w:color="auto"/>
            <w:bottom w:val="none" w:sz="0" w:space="0" w:color="auto"/>
            <w:right w:val="none" w:sz="0" w:space="0" w:color="auto"/>
          </w:divBdr>
        </w:div>
        <w:div w:id="1698047189">
          <w:marLeft w:val="0"/>
          <w:marRight w:val="0"/>
          <w:marTop w:val="0"/>
          <w:marBottom w:val="0"/>
          <w:divBdr>
            <w:top w:val="none" w:sz="0" w:space="0" w:color="auto"/>
            <w:left w:val="none" w:sz="0" w:space="0" w:color="auto"/>
            <w:bottom w:val="none" w:sz="0" w:space="0" w:color="auto"/>
            <w:right w:val="none" w:sz="0" w:space="0" w:color="auto"/>
          </w:divBdr>
        </w:div>
        <w:div w:id="297883796">
          <w:marLeft w:val="0"/>
          <w:marRight w:val="0"/>
          <w:marTop w:val="0"/>
          <w:marBottom w:val="0"/>
          <w:divBdr>
            <w:top w:val="none" w:sz="0" w:space="0" w:color="auto"/>
            <w:left w:val="none" w:sz="0" w:space="0" w:color="auto"/>
            <w:bottom w:val="none" w:sz="0" w:space="0" w:color="auto"/>
            <w:right w:val="none" w:sz="0" w:space="0" w:color="auto"/>
          </w:divBdr>
        </w:div>
        <w:div w:id="1110079058">
          <w:marLeft w:val="0"/>
          <w:marRight w:val="0"/>
          <w:marTop w:val="0"/>
          <w:marBottom w:val="0"/>
          <w:divBdr>
            <w:top w:val="none" w:sz="0" w:space="0" w:color="auto"/>
            <w:left w:val="none" w:sz="0" w:space="0" w:color="auto"/>
            <w:bottom w:val="none" w:sz="0" w:space="0" w:color="auto"/>
            <w:right w:val="none" w:sz="0" w:space="0" w:color="auto"/>
          </w:divBdr>
        </w:div>
      </w:divsChild>
    </w:div>
    <w:div w:id="397285359">
      <w:marLeft w:val="0"/>
      <w:marRight w:val="0"/>
      <w:marTop w:val="0"/>
      <w:marBottom w:val="0"/>
      <w:divBdr>
        <w:top w:val="none" w:sz="0" w:space="0" w:color="auto"/>
        <w:left w:val="none" w:sz="0" w:space="0" w:color="auto"/>
        <w:bottom w:val="none" w:sz="0" w:space="0" w:color="auto"/>
        <w:right w:val="none" w:sz="0" w:space="0" w:color="auto"/>
      </w:divBdr>
    </w:div>
    <w:div w:id="398672938">
      <w:marLeft w:val="0"/>
      <w:marRight w:val="0"/>
      <w:marTop w:val="0"/>
      <w:marBottom w:val="0"/>
      <w:divBdr>
        <w:top w:val="none" w:sz="0" w:space="0" w:color="auto"/>
        <w:left w:val="none" w:sz="0" w:space="0" w:color="auto"/>
        <w:bottom w:val="none" w:sz="0" w:space="0" w:color="auto"/>
        <w:right w:val="none" w:sz="0" w:space="0" w:color="auto"/>
      </w:divBdr>
    </w:div>
    <w:div w:id="398673385">
      <w:marLeft w:val="0"/>
      <w:marRight w:val="0"/>
      <w:marTop w:val="0"/>
      <w:marBottom w:val="0"/>
      <w:divBdr>
        <w:top w:val="none" w:sz="0" w:space="0" w:color="auto"/>
        <w:left w:val="none" w:sz="0" w:space="0" w:color="auto"/>
        <w:bottom w:val="none" w:sz="0" w:space="0" w:color="auto"/>
        <w:right w:val="none" w:sz="0" w:space="0" w:color="auto"/>
      </w:divBdr>
    </w:div>
    <w:div w:id="399328388">
      <w:marLeft w:val="0"/>
      <w:marRight w:val="0"/>
      <w:marTop w:val="0"/>
      <w:marBottom w:val="0"/>
      <w:divBdr>
        <w:top w:val="none" w:sz="0" w:space="0" w:color="auto"/>
        <w:left w:val="none" w:sz="0" w:space="0" w:color="auto"/>
        <w:bottom w:val="none" w:sz="0" w:space="0" w:color="auto"/>
        <w:right w:val="none" w:sz="0" w:space="0" w:color="auto"/>
      </w:divBdr>
    </w:div>
    <w:div w:id="400098588">
      <w:marLeft w:val="0"/>
      <w:marRight w:val="0"/>
      <w:marTop w:val="0"/>
      <w:marBottom w:val="0"/>
      <w:divBdr>
        <w:top w:val="none" w:sz="0" w:space="0" w:color="auto"/>
        <w:left w:val="none" w:sz="0" w:space="0" w:color="auto"/>
        <w:bottom w:val="none" w:sz="0" w:space="0" w:color="auto"/>
        <w:right w:val="none" w:sz="0" w:space="0" w:color="auto"/>
      </w:divBdr>
    </w:div>
    <w:div w:id="400102081">
      <w:marLeft w:val="0"/>
      <w:marRight w:val="0"/>
      <w:marTop w:val="0"/>
      <w:marBottom w:val="0"/>
      <w:divBdr>
        <w:top w:val="none" w:sz="0" w:space="0" w:color="auto"/>
        <w:left w:val="none" w:sz="0" w:space="0" w:color="auto"/>
        <w:bottom w:val="none" w:sz="0" w:space="0" w:color="auto"/>
        <w:right w:val="none" w:sz="0" w:space="0" w:color="auto"/>
      </w:divBdr>
    </w:div>
    <w:div w:id="401804221">
      <w:marLeft w:val="0"/>
      <w:marRight w:val="0"/>
      <w:marTop w:val="0"/>
      <w:marBottom w:val="0"/>
      <w:divBdr>
        <w:top w:val="none" w:sz="0" w:space="0" w:color="auto"/>
        <w:left w:val="none" w:sz="0" w:space="0" w:color="auto"/>
        <w:bottom w:val="none" w:sz="0" w:space="0" w:color="auto"/>
        <w:right w:val="none" w:sz="0" w:space="0" w:color="auto"/>
      </w:divBdr>
    </w:div>
    <w:div w:id="402071979">
      <w:marLeft w:val="0"/>
      <w:marRight w:val="0"/>
      <w:marTop w:val="0"/>
      <w:marBottom w:val="0"/>
      <w:divBdr>
        <w:top w:val="none" w:sz="0" w:space="0" w:color="auto"/>
        <w:left w:val="none" w:sz="0" w:space="0" w:color="auto"/>
        <w:bottom w:val="none" w:sz="0" w:space="0" w:color="auto"/>
        <w:right w:val="none" w:sz="0" w:space="0" w:color="auto"/>
      </w:divBdr>
    </w:div>
    <w:div w:id="402266392">
      <w:marLeft w:val="0"/>
      <w:marRight w:val="0"/>
      <w:marTop w:val="0"/>
      <w:marBottom w:val="0"/>
      <w:divBdr>
        <w:top w:val="none" w:sz="0" w:space="0" w:color="auto"/>
        <w:left w:val="none" w:sz="0" w:space="0" w:color="auto"/>
        <w:bottom w:val="none" w:sz="0" w:space="0" w:color="auto"/>
        <w:right w:val="none" w:sz="0" w:space="0" w:color="auto"/>
      </w:divBdr>
    </w:div>
    <w:div w:id="402410239">
      <w:marLeft w:val="0"/>
      <w:marRight w:val="0"/>
      <w:marTop w:val="0"/>
      <w:marBottom w:val="0"/>
      <w:divBdr>
        <w:top w:val="none" w:sz="0" w:space="0" w:color="auto"/>
        <w:left w:val="none" w:sz="0" w:space="0" w:color="auto"/>
        <w:bottom w:val="none" w:sz="0" w:space="0" w:color="auto"/>
        <w:right w:val="none" w:sz="0" w:space="0" w:color="auto"/>
      </w:divBdr>
    </w:div>
    <w:div w:id="403143973">
      <w:marLeft w:val="0"/>
      <w:marRight w:val="0"/>
      <w:marTop w:val="0"/>
      <w:marBottom w:val="0"/>
      <w:divBdr>
        <w:top w:val="none" w:sz="0" w:space="0" w:color="auto"/>
        <w:left w:val="none" w:sz="0" w:space="0" w:color="auto"/>
        <w:bottom w:val="none" w:sz="0" w:space="0" w:color="auto"/>
        <w:right w:val="none" w:sz="0" w:space="0" w:color="auto"/>
      </w:divBdr>
    </w:div>
    <w:div w:id="403264980">
      <w:marLeft w:val="0"/>
      <w:marRight w:val="0"/>
      <w:marTop w:val="0"/>
      <w:marBottom w:val="0"/>
      <w:divBdr>
        <w:top w:val="none" w:sz="0" w:space="0" w:color="auto"/>
        <w:left w:val="none" w:sz="0" w:space="0" w:color="auto"/>
        <w:bottom w:val="none" w:sz="0" w:space="0" w:color="auto"/>
        <w:right w:val="none" w:sz="0" w:space="0" w:color="auto"/>
      </w:divBdr>
    </w:div>
    <w:div w:id="403650682">
      <w:marLeft w:val="0"/>
      <w:marRight w:val="0"/>
      <w:marTop w:val="0"/>
      <w:marBottom w:val="0"/>
      <w:divBdr>
        <w:top w:val="none" w:sz="0" w:space="0" w:color="auto"/>
        <w:left w:val="none" w:sz="0" w:space="0" w:color="auto"/>
        <w:bottom w:val="none" w:sz="0" w:space="0" w:color="auto"/>
        <w:right w:val="none" w:sz="0" w:space="0" w:color="auto"/>
      </w:divBdr>
    </w:div>
    <w:div w:id="404037634">
      <w:marLeft w:val="0"/>
      <w:marRight w:val="0"/>
      <w:marTop w:val="0"/>
      <w:marBottom w:val="0"/>
      <w:divBdr>
        <w:top w:val="none" w:sz="0" w:space="0" w:color="auto"/>
        <w:left w:val="none" w:sz="0" w:space="0" w:color="auto"/>
        <w:bottom w:val="none" w:sz="0" w:space="0" w:color="auto"/>
        <w:right w:val="none" w:sz="0" w:space="0" w:color="auto"/>
      </w:divBdr>
    </w:div>
    <w:div w:id="404185063">
      <w:marLeft w:val="0"/>
      <w:marRight w:val="0"/>
      <w:marTop w:val="0"/>
      <w:marBottom w:val="0"/>
      <w:divBdr>
        <w:top w:val="none" w:sz="0" w:space="0" w:color="auto"/>
        <w:left w:val="none" w:sz="0" w:space="0" w:color="auto"/>
        <w:bottom w:val="none" w:sz="0" w:space="0" w:color="auto"/>
        <w:right w:val="none" w:sz="0" w:space="0" w:color="auto"/>
      </w:divBdr>
    </w:div>
    <w:div w:id="406657240">
      <w:marLeft w:val="0"/>
      <w:marRight w:val="0"/>
      <w:marTop w:val="0"/>
      <w:marBottom w:val="120"/>
      <w:divBdr>
        <w:top w:val="none" w:sz="0" w:space="0" w:color="auto"/>
        <w:left w:val="none" w:sz="0" w:space="0" w:color="auto"/>
        <w:bottom w:val="none" w:sz="0" w:space="0" w:color="auto"/>
        <w:right w:val="none" w:sz="0" w:space="0" w:color="auto"/>
      </w:divBdr>
      <w:divsChild>
        <w:div w:id="1013414543">
          <w:marLeft w:val="0"/>
          <w:marRight w:val="0"/>
          <w:marTop w:val="0"/>
          <w:marBottom w:val="0"/>
          <w:divBdr>
            <w:top w:val="none" w:sz="0" w:space="0" w:color="auto"/>
            <w:left w:val="none" w:sz="0" w:space="0" w:color="auto"/>
            <w:bottom w:val="none" w:sz="0" w:space="0" w:color="auto"/>
            <w:right w:val="none" w:sz="0" w:space="0" w:color="auto"/>
          </w:divBdr>
        </w:div>
        <w:div w:id="1793402107">
          <w:marLeft w:val="0"/>
          <w:marRight w:val="0"/>
          <w:marTop w:val="0"/>
          <w:marBottom w:val="0"/>
          <w:divBdr>
            <w:top w:val="none" w:sz="0" w:space="0" w:color="auto"/>
            <w:left w:val="none" w:sz="0" w:space="0" w:color="auto"/>
            <w:bottom w:val="none" w:sz="0" w:space="0" w:color="auto"/>
            <w:right w:val="none" w:sz="0" w:space="0" w:color="auto"/>
          </w:divBdr>
        </w:div>
      </w:divsChild>
    </w:div>
    <w:div w:id="406995957">
      <w:marLeft w:val="0"/>
      <w:marRight w:val="0"/>
      <w:marTop w:val="0"/>
      <w:marBottom w:val="0"/>
      <w:divBdr>
        <w:top w:val="none" w:sz="0" w:space="0" w:color="auto"/>
        <w:left w:val="none" w:sz="0" w:space="0" w:color="auto"/>
        <w:bottom w:val="none" w:sz="0" w:space="0" w:color="auto"/>
        <w:right w:val="none" w:sz="0" w:space="0" w:color="auto"/>
      </w:divBdr>
    </w:div>
    <w:div w:id="407188890">
      <w:marLeft w:val="0"/>
      <w:marRight w:val="0"/>
      <w:marTop w:val="0"/>
      <w:marBottom w:val="0"/>
      <w:divBdr>
        <w:top w:val="none" w:sz="0" w:space="0" w:color="auto"/>
        <w:left w:val="none" w:sz="0" w:space="0" w:color="auto"/>
        <w:bottom w:val="none" w:sz="0" w:space="0" w:color="auto"/>
        <w:right w:val="none" w:sz="0" w:space="0" w:color="auto"/>
      </w:divBdr>
    </w:div>
    <w:div w:id="407311412">
      <w:marLeft w:val="0"/>
      <w:marRight w:val="0"/>
      <w:marTop w:val="0"/>
      <w:marBottom w:val="0"/>
      <w:divBdr>
        <w:top w:val="none" w:sz="0" w:space="0" w:color="auto"/>
        <w:left w:val="none" w:sz="0" w:space="0" w:color="auto"/>
        <w:bottom w:val="none" w:sz="0" w:space="0" w:color="auto"/>
        <w:right w:val="none" w:sz="0" w:space="0" w:color="auto"/>
      </w:divBdr>
    </w:div>
    <w:div w:id="407578419">
      <w:marLeft w:val="0"/>
      <w:marRight w:val="0"/>
      <w:marTop w:val="0"/>
      <w:marBottom w:val="0"/>
      <w:divBdr>
        <w:top w:val="none" w:sz="0" w:space="0" w:color="auto"/>
        <w:left w:val="none" w:sz="0" w:space="0" w:color="auto"/>
        <w:bottom w:val="none" w:sz="0" w:space="0" w:color="auto"/>
        <w:right w:val="none" w:sz="0" w:space="0" w:color="auto"/>
      </w:divBdr>
    </w:div>
    <w:div w:id="408695017">
      <w:marLeft w:val="0"/>
      <w:marRight w:val="0"/>
      <w:marTop w:val="0"/>
      <w:marBottom w:val="0"/>
      <w:divBdr>
        <w:top w:val="none" w:sz="0" w:space="0" w:color="auto"/>
        <w:left w:val="none" w:sz="0" w:space="0" w:color="auto"/>
        <w:bottom w:val="none" w:sz="0" w:space="0" w:color="auto"/>
        <w:right w:val="none" w:sz="0" w:space="0" w:color="auto"/>
      </w:divBdr>
    </w:div>
    <w:div w:id="409697191">
      <w:marLeft w:val="0"/>
      <w:marRight w:val="0"/>
      <w:marTop w:val="0"/>
      <w:marBottom w:val="0"/>
      <w:divBdr>
        <w:top w:val="none" w:sz="0" w:space="0" w:color="auto"/>
        <w:left w:val="none" w:sz="0" w:space="0" w:color="auto"/>
        <w:bottom w:val="none" w:sz="0" w:space="0" w:color="auto"/>
        <w:right w:val="none" w:sz="0" w:space="0" w:color="auto"/>
      </w:divBdr>
    </w:div>
    <w:div w:id="409815405">
      <w:marLeft w:val="0"/>
      <w:marRight w:val="0"/>
      <w:marTop w:val="100"/>
      <w:marBottom w:val="100"/>
      <w:divBdr>
        <w:top w:val="none" w:sz="0" w:space="0" w:color="auto"/>
        <w:left w:val="none" w:sz="0" w:space="0" w:color="auto"/>
        <w:bottom w:val="none" w:sz="0" w:space="0" w:color="auto"/>
        <w:right w:val="none" w:sz="0" w:space="0" w:color="auto"/>
      </w:divBdr>
    </w:div>
    <w:div w:id="410931137">
      <w:marLeft w:val="0"/>
      <w:marRight w:val="0"/>
      <w:marTop w:val="0"/>
      <w:marBottom w:val="0"/>
      <w:divBdr>
        <w:top w:val="none" w:sz="0" w:space="0" w:color="auto"/>
        <w:left w:val="none" w:sz="0" w:space="0" w:color="auto"/>
        <w:bottom w:val="none" w:sz="0" w:space="0" w:color="auto"/>
        <w:right w:val="none" w:sz="0" w:space="0" w:color="auto"/>
      </w:divBdr>
    </w:div>
    <w:div w:id="411002946">
      <w:marLeft w:val="0"/>
      <w:marRight w:val="0"/>
      <w:marTop w:val="0"/>
      <w:marBottom w:val="120"/>
      <w:divBdr>
        <w:top w:val="none" w:sz="0" w:space="0" w:color="auto"/>
        <w:left w:val="none" w:sz="0" w:space="0" w:color="auto"/>
        <w:bottom w:val="none" w:sz="0" w:space="0" w:color="auto"/>
        <w:right w:val="none" w:sz="0" w:space="0" w:color="auto"/>
      </w:divBdr>
    </w:div>
    <w:div w:id="411046688">
      <w:marLeft w:val="0"/>
      <w:marRight w:val="0"/>
      <w:marTop w:val="0"/>
      <w:marBottom w:val="0"/>
      <w:divBdr>
        <w:top w:val="none" w:sz="0" w:space="0" w:color="auto"/>
        <w:left w:val="none" w:sz="0" w:space="0" w:color="auto"/>
        <w:bottom w:val="none" w:sz="0" w:space="0" w:color="auto"/>
        <w:right w:val="none" w:sz="0" w:space="0" w:color="auto"/>
      </w:divBdr>
    </w:div>
    <w:div w:id="411321100">
      <w:marLeft w:val="0"/>
      <w:marRight w:val="0"/>
      <w:marTop w:val="0"/>
      <w:marBottom w:val="0"/>
      <w:divBdr>
        <w:top w:val="none" w:sz="0" w:space="0" w:color="auto"/>
        <w:left w:val="none" w:sz="0" w:space="0" w:color="auto"/>
        <w:bottom w:val="none" w:sz="0" w:space="0" w:color="auto"/>
        <w:right w:val="none" w:sz="0" w:space="0" w:color="auto"/>
      </w:divBdr>
    </w:div>
    <w:div w:id="412708381">
      <w:marLeft w:val="0"/>
      <w:marRight w:val="0"/>
      <w:marTop w:val="0"/>
      <w:marBottom w:val="0"/>
      <w:divBdr>
        <w:top w:val="none" w:sz="0" w:space="0" w:color="auto"/>
        <w:left w:val="none" w:sz="0" w:space="0" w:color="auto"/>
        <w:bottom w:val="none" w:sz="0" w:space="0" w:color="auto"/>
        <w:right w:val="none" w:sz="0" w:space="0" w:color="auto"/>
      </w:divBdr>
      <w:divsChild>
        <w:div w:id="1249077353">
          <w:marLeft w:val="0"/>
          <w:marRight w:val="0"/>
          <w:marTop w:val="0"/>
          <w:marBottom w:val="0"/>
          <w:divBdr>
            <w:top w:val="none" w:sz="0" w:space="0" w:color="auto"/>
            <w:left w:val="none" w:sz="0" w:space="0" w:color="auto"/>
            <w:bottom w:val="none" w:sz="0" w:space="0" w:color="auto"/>
            <w:right w:val="none" w:sz="0" w:space="0" w:color="auto"/>
          </w:divBdr>
        </w:div>
      </w:divsChild>
    </w:div>
    <w:div w:id="412777983">
      <w:marLeft w:val="0"/>
      <w:marRight w:val="0"/>
      <w:marTop w:val="0"/>
      <w:marBottom w:val="0"/>
      <w:divBdr>
        <w:top w:val="none" w:sz="0" w:space="0" w:color="auto"/>
        <w:left w:val="none" w:sz="0" w:space="0" w:color="auto"/>
        <w:bottom w:val="none" w:sz="0" w:space="0" w:color="auto"/>
        <w:right w:val="none" w:sz="0" w:space="0" w:color="auto"/>
      </w:divBdr>
    </w:div>
    <w:div w:id="414328558">
      <w:marLeft w:val="0"/>
      <w:marRight w:val="0"/>
      <w:marTop w:val="0"/>
      <w:marBottom w:val="0"/>
      <w:divBdr>
        <w:top w:val="none" w:sz="0" w:space="0" w:color="auto"/>
        <w:left w:val="none" w:sz="0" w:space="0" w:color="auto"/>
        <w:bottom w:val="none" w:sz="0" w:space="0" w:color="auto"/>
        <w:right w:val="none" w:sz="0" w:space="0" w:color="auto"/>
      </w:divBdr>
    </w:div>
    <w:div w:id="414982381">
      <w:marLeft w:val="0"/>
      <w:marRight w:val="0"/>
      <w:marTop w:val="0"/>
      <w:marBottom w:val="0"/>
      <w:divBdr>
        <w:top w:val="none" w:sz="0" w:space="0" w:color="auto"/>
        <w:left w:val="none" w:sz="0" w:space="0" w:color="auto"/>
        <w:bottom w:val="none" w:sz="0" w:space="0" w:color="auto"/>
        <w:right w:val="none" w:sz="0" w:space="0" w:color="auto"/>
      </w:divBdr>
    </w:div>
    <w:div w:id="415711545">
      <w:marLeft w:val="0"/>
      <w:marRight w:val="0"/>
      <w:marTop w:val="0"/>
      <w:marBottom w:val="0"/>
      <w:divBdr>
        <w:top w:val="none" w:sz="0" w:space="0" w:color="auto"/>
        <w:left w:val="none" w:sz="0" w:space="0" w:color="auto"/>
        <w:bottom w:val="none" w:sz="0" w:space="0" w:color="auto"/>
        <w:right w:val="none" w:sz="0" w:space="0" w:color="auto"/>
      </w:divBdr>
    </w:div>
    <w:div w:id="417025932">
      <w:marLeft w:val="0"/>
      <w:marRight w:val="0"/>
      <w:marTop w:val="0"/>
      <w:marBottom w:val="0"/>
      <w:divBdr>
        <w:top w:val="none" w:sz="0" w:space="0" w:color="auto"/>
        <w:left w:val="none" w:sz="0" w:space="0" w:color="auto"/>
        <w:bottom w:val="none" w:sz="0" w:space="0" w:color="auto"/>
        <w:right w:val="none" w:sz="0" w:space="0" w:color="auto"/>
      </w:divBdr>
    </w:div>
    <w:div w:id="417603711">
      <w:marLeft w:val="0"/>
      <w:marRight w:val="0"/>
      <w:marTop w:val="0"/>
      <w:marBottom w:val="0"/>
      <w:divBdr>
        <w:top w:val="none" w:sz="0" w:space="0" w:color="auto"/>
        <w:left w:val="none" w:sz="0" w:space="0" w:color="auto"/>
        <w:bottom w:val="none" w:sz="0" w:space="0" w:color="auto"/>
        <w:right w:val="none" w:sz="0" w:space="0" w:color="auto"/>
      </w:divBdr>
    </w:div>
    <w:div w:id="417752977">
      <w:marLeft w:val="0"/>
      <w:marRight w:val="0"/>
      <w:marTop w:val="0"/>
      <w:marBottom w:val="0"/>
      <w:divBdr>
        <w:top w:val="none" w:sz="0" w:space="0" w:color="auto"/>
        <w:left w:val="none" w:sz="0" w:space="0" w:color="auto"/>
        <w:bottom w:val="none" w:sz="0" w:space="0" w:color="auto"/>
        <w:right w:val="none" w:sz="0" w:space="0" w:color="auto"/>
      </w:divBdr>
    </w:div>
    <w:div w:id="420419024">
      <w:marLeft w:val="0"/>
      <w:marRight w:val="0"/>
      <w:marTop w:val="0"/>
      <w:marBottom w:val="0"/>
      <w:divBdr>
        <w:top w:val="none" w:sz="0" w:space="0" w:color="auto"/>
        <w:left w:val="none" w:sz="0" w:space="0" w:color="auto"/>
        <w:bottom w:val="none" w:sz="0" w:space="0" w:color="auto"/>
        <w:right w:val="none" w:sz="0" w:space="0" w:color="auto"/>
      </w:divBdr>
    </w:div>
    <w:div w:id="420419585">
      <w:marLeft w:val="0"/>
      <w:marRight w:val="0"/>
      <w:marTop w:val="0"/>
      <w:marBottom w:val="0"/>
      <w:divBdr>
        <w:top w:val="none" w:sz="0" w:space="0" w:color="auto"/>
        <w:left w:val="none" w:sz="0" w:space="0" w:color="auto"/>
        <w:bottom w:val="none" w:sz="0" w:space="0" w:color="auto"/>
        <w:right w:val="none" w:sz="0" w:space="0" w:color="auto"/>
      </w:divBdr>
      <w:divsChild>
        <w:div w:id="1564752040">
          <w:marLeft w:val="0"/>
          <w:marRight w:val="0"/>
          <w:marTop w:val="0"/>
          <w:marBottom w:val="0"/>
          <w:divBdr>
            <w:top w:val="none" w:sz="0" w:space="0" w:color="auto"/>
            <w:left w:val="none" w:sz="0" w:space="0" w:color="auto"/>
            <w:bottom w:val="none" w:sz="0" w:space="0" w:color="auto"/>
            <w:right w:val="none" w:sz="0" w:space="0" w:color="auto"/>
          </w:divBdr>
        </w:div>
      </w:divsChild>
    </w:div>
    <w:div w:id="420562991">
      <w:marLeft w:val="0"/>
      <w:marRight w:val="0"/>
      <w:marTop w:val="0"/>
      <w:marBottom w:val="0"/>
      <w:divBdr>
        <w:top w:val="none" w:sz="0" w:space="0" w:color="auto"/>
        <w:left w:val="none" w:sz="0" w:space="0" w:color="auto"/>
        <w:bottom w:val="none" w:sz="0" w:space="0" w:color="auto"/>
        <w:right w:val="none" w:sz="0" w:space="0" w:color="auto"/>
      </w:divBdr>
    </w:div>
    <w:div w:id="420639298">
      <w:marLeft w:val="0"/>
      <w:marRight w:val="0"/>
      <w:marTop w:val="0"/>
      <w:marBottom w:val="0"/>
      <w:divBdr>
        <w:top w:val="none" w:sz="0" w:space="0" w:color="auto"/>
        <w:left w:val="none" w:sz="0" w:space="0" w:color="auto"/>
        <w:bottom w:val="none" w:sz="0" w:space="0" w:color="auto"/>
        <w:right w:val="none" w:sz="0" w:space="0" w:color="auto"/>
      </w:divBdr>
    </w:div>
    <w:div w:id="421146231">
      <w:marLeft w:val="0"/>
      <w:marRight w:val="0"/>
      <w:marTop w:val="0"/>
      <w:marBottom w:val="0"/>
      <w:divBdr>
        <w:top w:val="none" w:sz="0" w:space="0" w:color="auto"/>
        <w:left w:val="none" w:sz="0" w:space="0" w:color="auto"/>
        <w:bottom w:val="none" w:sz="0" w:space="0" w:color="auto"/>
        <w:right w:val="none" w:sz="0" w:space="0" w:color="auto"/>
      </w:divBdr>
    </w:div>
    <w:div w:id="422721264">
      <w:marLeft w:val="0"/>
      <w:marRight w:val="0"/>
      <w:marTop w:val="0"/>
      <w:marBottom w:val="0"/>
      <w:divBdr>
        <w:top w:val="none" w:sz="0" w:space="0" w:color="auto"/>
        <w:left w:val="none" w:sz="0" w:space="0" w:color="auto"/>
        <w:bottom w:val="none" w:sz="0" w:space="0" w:color="auto"/>
        <w:right w:val="none" w:sz="0" w:space="0" w:color="auto"/>
      </w:divBdr>
    </w:div>
    <w:div w:id="422724481">
      <w:marLeft w:val="0"/>
      <w:marRight w:val="0"/>
      <w:marTop w:val="0"/>
      <w:marBottom w:val="0"/>
      <w:divBdr>
        <w:top w:val="none" w:sz="0" w:space="0" w:color="auto"/>
        <w:left w:val="none" w:sz="0" w:space="0" w:color="auto"/>
        <w:bottom w:val="none" w:sz="0" w:space="0" w:color="auto"/>
        <w:right w:val="none" w:sz="0" w:space="0" w:color="auto"/>
      </w:divBdr>
    </w:div>
    <w:div w:id="425804156">
      <w:marLeft w:val="0"/>
      <w:marRight w:val="0"/>
      <w:marTop w:val="0"/>
      <w:marBottom w:val="0"/>
      <w:divBdr>
        <w:top w:val="none" w:sz="0" w:space="0" w:color="auto"/>
        <w:left w:val="none" w:sz="0" w:space="0" w:color="auto"/>
        <w:bottom w:val="none" w:sz="0" w:space="0" w:color="auto"/>
        <w:right w:val="none" w:sz="0" w:space="0" w:color="auto"/>
      </w:divBdr>
      <w:divsChild>
        <w:div w:id="41449197">
          <w:marLeft w:val="0"/>
          <w:marRight w:val="0"/>
          <w:marTop w:val="0"/>
          <w:marBottom w:val="0"/>
          <w:divBdr>
            <w:top w:val="none" w:sz="0" w:space="0" w:color="auto"/>
            <w:left w:val="none" w:sz="0" w:space="0" w:color="auto"/>
            <w:bottom w:val="none" w:sz="0" w:space="0" w:color="auto"/>
            <w:right w:val="none" w:sz="0" w:space="0" w:color="auto"/>
          </w:divBdr>
        </w:div>
      </w:divsChild>
    </w:div>
    <w:div w:id="425854960">
      <w:marLeft w:val="0"/>
      <w:marRight w:val="0"/>
      <w:marTop w:val="0"/>
      <w:marBottom w:val="0"/>
      <w:divBdr>
        <w:top w:val="none" w:sz="0" w:space="0" w:color="auto"/>
        <w:left w:val="none" w:sz="0" w:space="0" w:color="auto"/>
        <w:bottom w:val="none" w:sz="0" w:space="0" w:color="auto"/>
        <w:right w:val="none" w:sz="0" w:space="0" w:color="auto"/>
      </w:divBdr>
    </w:div>
    <w:div w:id="427234972">
      <w:marLeft w:val="0"/>
      <w:marRight w:val="0"/>
      <w:marTop w:val="0"/>
      <w:marBottom w:val="0"/>
      <w:divBdr>
        <w:top w:val="none" w:sz="0" w:space="0" w:color="auto"/>
        <w:left w:val="none" w:sz="0" w:space="0" w:color="auto"/>
        <w:bottom w:val="none" w:sz="0" w:space="0" w:color="auto"/>
        <w:right w:val="none" w:sz="0" w:space="0" w:color="auto"/>
      </w:divBdr>
      <w:divsChild>
        <w:div w:id="19624985">
          <w:marLeft w:val="0"/>
          <w:marRight w:val="0"/>
          <w:marTop w:val="0"/>
          <w:marBottom w:val="0"/>
          <w:divBdr>
            <w:top w:val="none" w:sz="0" w:space="0" w:color="auto"/>
            <w:left w:val="none" w:sz="0" w:space="0" w:color="auto"/>
            <w:bottom w:val="none" w:sz="0" w:space="0" w:color="auto"/>
            <w:right w:val="none" w:sz="0" w:space="0" w:color="auto"/>
          </w:divBdr>
        </w:div>
      </w:divsChild>
    </w:div>
    <w:div w:id="429081754">
      <w:marLeft w:val="0"/>
      <w:marRight w:val="0"/>
      <w:marTop w:val="0"/>
      <w:marBottom w:val="0"/>
      <w:divBdr>
        <w:top w:val="none" w:sz="0" w:space="0" w:color="auto"/>
        <w:left w:val="none" w:sz="0" w:space="0" w:color="auto"/>
        <w:bottom w:val="none" w:sz="0" w:space="0" w:color="auto"/>
        <w:right w:val="none" w:sz="0" w:space="0" w:color="auto"/>
      </w:divBdr>
    </w:div>
    <w:div w:id="430971523">
      <w:marLeft w:val="0"/>
      <w:marRight w:val="0"/>
      <w:marTop w:val="0"/>
      <w:marBottom w:val="0"/>
      <w:divBdr>
        <w:top w:val="none" w:sz="0" w:space="0" w:color="auto"/>
        <w:left w:val="none" w:sz="0" w:space="0" w:color="auto"/>
        <w:bottom w:val="none" w:sz="0" w:space="0" w:color="auto"/>
        <w:right w:val="none" w:sz="0" w:space="0" w:color="auto"/>
      </w:divBdr>
    </w:div>
    <w:div w:id="431439954">
      <w:marLeft w:val="0"/>
      <w:marRight w:val="0"/>
      <w:marTop w:val="0"/>
      <w:marBottom w:val="0"/>
      <w:divBdr>
        <w:top w:val="none" w:sz="0" w:space="0" w:color="auto"/>
        <w:left w:val="none" w:sz="0" w:space="0" w:color="auto"/>
        <w:bottom w:val="none" w:sz="0" w:space="0" w:color="auto"/>
        <w:right w:val="none" w:sz="0" w:space="0" w:color="auto"/>
      </w:divBdr>
    </w:div>
    <w:div w:id="432433719">
      <w:marLeft w:val="0"/>
      <w:marRight w:val="0"/>
      <w:marTop w:val="0"/>
      <w:marBottom w:val="0"/>
      <w:divBdr>
        <w:top w:val="none" w:sz="0" w:space="0" w:color="auto"/>
        <w:left w:val="none" w:sz="0" w:space="0" w:color="auto"/>
        <w:bottom w:val="none" w:sz="0" w:space="0" w:color="auto"/>
        <w:right w:val="none" w:sz="0" w:space="0" w:color="auto"/>
      </w:divBdr>
    </w:div>
    <w:div w:id="432821217">
      <w:marLeft w:val="0"/>
      <w:marRight w:val="0"/>
      <w:marTop w:val="0"/>
      <w:marBottom w:val="0"/>
      <w:divBdr>
        <w:top w:val="none" w:sz="0" w:space="0" w:color="auto"/>
        <w:left w:val="none" w:sz="0" w:space="0" w:color="auto"/>
        <w:bottom w:val="none" w:sz="0" w:space="0" w:color="auto"/>
        <w:right w:val="none" w:sz="0" w:space="0" w:color="auto"/>
      </w:divBdr>
    </w:div>
    <w:div w:id="433130485">
      <w:marLeft w:val="0"/>
      <w:marRight w:val="0"/>
      <w:marTop w:val="0"/>
      <w:marBottom w:val="0"/>
      <w:divBdr>
        <w:top w:val="none" w:sz="0" w:space="0" w:color="auto"/>
        <w:left w:val="none" w:sz="0" w:space="0" w:color="auto"/>
        <w:bottom w:val="none" w:sz="0" w:space="0" w:color="auto"/>
        <w:right w:val="none" w:sz="0" w:space="0" w:color="auto"/>
      </w:divBdr>
    </w:div>
    <w:div w:id="433985552">
      <w:marLeft w:val="0"/>
      <w:marRight w:val="0"/>
      <w:marTop w:val="0"/>
      <w:marBottom w:val="0"/>
      <w:divBdr>
        <w:top w:val="none" w:sz="0" w:space="0" w:color="auto"/>
        <w:left w:val="none" w:sz="0" w:space="0" w:color="auto"/>
        <w:bottom w:val="none" w:sz="0" w:space="0" w:color="auto"/>
        <w:right w:val="none" w:sz="0" w:space="0" w:color="auto"/>
      </w:divBdr>
    </w:div>
    <w:div w:id="434710334">
      <w:marLeft w:val="0"/>
      <w:marRight w:val="0"/>
      <w:marTop w:val="0"/>
      <w:marBottom w:val="0"/>
      <w:divBdr>
        <w:top w:val="none" w:sz="0" w:space="0" w:color="auto"/>
        <w:left w:val="none" w:sz="0" w:space="0" w:color="auto"/>
        <w:bottom w:val="none" w:sz="0" w:space="0" w:color="auto"/>
        <w:right w:val="none" w:sz="0" w:space="0" w:color="auto"/>
      </w:divBdr>
    </w:div>
    <w:div w:id="434902727">
      <w:marLeft w:val="0"/>
      <w:marRight w:val="0"/>
      <w:marTop w:val="0"/>
      <w:marBottom w:val="0"/>
      <w:divBdr>
        <w:top w:val="none" w:sz="0" w:space="0" w:color="auto"/>
        <w:left w:val="none" w:sz="0" w:space="0" w:color="auto"/>
        <w:bottom w:val="none" w:sz="0" w:space="0" w:color="auto"/>
        <w:right w:val="none" w:sz="0" w:space="0" w:color="auto"/>
      </w:divBdr>
    </w:div>
    <w:div w:id="435029039">
      <w:marLeft w:val="0"/>
      <w:marRight w:val="0"/>
      <w:marTop w:val="0"/>
      <w:marBottom w:val="0"/>
      <w:divBdr>
        <w:top w:val="none" w:sz="0" w:space="0" w:color="auto"/>
        <w:left w:val="none" w:sz="0" w:space="0" w:color="auto"/>
        <w:bottom w:val="none" w:sz="0" w:space="0" w:color="auto"/>
        <w:right w:val="none" w:sz="0" w:space="0" w:color="auto"/>
      </w:divBdr>
    </w:div>
    <w:div w:id="435290521">
      <w:marLeft w:val="0"/>
      <w:marRight w:val="0"/>
      <w:marTop w:val="0"/>
      <w:marBottom w:val="0"/>
      <w:divBdr>
        <w:top w:val="none" w:sz="0" w:space="0" w:color="auto"/>
        <w:left w:val="none" w:sz="0" w:space="0" w:color="auto"/>
        <w:bottom w:val="none" w:sz="0" w:space="0" w:color="auto"/>
        <w:right w:val="none" w:sz="0" w:space="0" w:color="auto"/>
      </w:divBdr>
    </w:div>
    <w:div w:id="437024411">
      <w:marLeft w:val="0"/>
      <w:marRight w:val="0"/>
      <w:marTop w:val="0"/>
      <w:marBottom w:val="0"/>
      <w:divBdr>
        <w:top w:val="none" w:sz="0" w:space="0" w:color="auto"/>
        <w:left w:val="none" w:sz="0" w:space="0" w:color="auto"/>
        <w:bottom w:val="none" w:sz="0" w:space="0" w:color="auto"/>
        <w:right w:val="none" w:sz="0" w:space="0" w:color="auto"/>
      </w:divBdr>
    </w:div>
    <w:div w:id="437602731">
      <w:marLeft w:val="0"/>
      <w:marRight w:val="0"/>
      <w:marTop w:val="0"/>
      <w:marBottom w:val="0"/>
      <w:divBdr>
        <w:top w:val="none" w:sz="0" w:space="0" w:color="auto"/>
        <w:left w:val="none" w:sz="0" w:space="0" w:color="auto"/>
        <w:bottom w:val="none" w:sz="0" w:space="0" w:color="auto"/>
        <w:right w:val="none" w:sz="0" w:space="0" w:color="auto"/>
      </w:divBdr>
    </w:div>
    <w:div w:id="437718363">
      <w:marLeft w:val="0"/>
      <w:marRight w:val="0"/>
      <w:marTop w:val="0"/>
      <w:marBottom w:val="0"/>
      <w:divBdr>
        <w:top w:val="none" w:sz="0" w:space="0" w:color="auto"/>
        <w:left w:val="none" w:sz="0" w:space="0" w:color="auto"/>
        <w:bottom w:val="none" w:sz="0" w:space="0" w:color="auto"/>
        <w:right w:val="none" w:sz="0" w:space="0" w:color="auto"/>
      </w:divBdr>
    </w:div>
    <w:div w:id="438987094">
      <w:marLeft w:val="0"/>
      <w:marRight w:val="0"/>
      <w:marTop w:val="0"/>
      <w:marBottom w:val="0"/>
      <w:divBdr>
        <w:top w:val="none" w:sz="0" w:space="0" w:color="auto"/>
        <w:left w:val="none" w:sz="0" w:space="0" w:color="auto"/>
        <w:bottom w:val="none" w:sz="0" w:space="0" w:color="auto"/>
        <w:right w:val="none" w:sz="0" w:space="0" w:color="auto"/>
      </w:divBdr>
    </w:div>
    <w:div w:id="440150066">
      <w:marLeft w:val="0"/>
      <w:marRight w:val="0"/>
      <w:marTop w:val="0"/>
      <w:marBottom w:val="0"/>
      <w:divBdr>
        <w:top w:val="none" w:sz="0" w:space="0" w:color="auto"/>
        <w:left w:val="none" w:sz="0" w:space="0" w:color="auto"/>
        <w:bottom w:val="none" w:sz="0" w:space="0" w:color="auto"/>
        <w:right w:val="none" w:sz="0" w:space="0" w:color="auto"/>
      </w:divBdr>
    </w:div>
    <w:div w:id="441340257">
      <w:marLeft w:val="0"/>
      <w:marRight w:val="0"/>
      <w:marTop w:val="0"/>
      <w:marBottom w:val="0"/>
      <w:divBdr>
        <w:top w:val="none" w:sz="0" w:space="0" w:color="auto"/>
        <w:left w:val="none" w:sz="0" w:space="0" w:color="auto"/>
        <w:bottom w:val="none" w:sz="0" w:space="0" w:color="auto"/>
        <w:right w:val="none" w:sz="0" w:space="0" w:color="auto"/>
      </w:divBdr>
    </w:div>
    <w:div w:id="442193076">
      <w:marLeft w:val="0"/>
      <w:marRight w:val="0"/>
      <w:marTop w:val="0"/>
      <w:marBottom w:val="0"/>
      <w:divBdr>
        <w:top w:val="none" w:sz="0" w:space="0" w:color="auto"/>
        <w:left w:val="none" w:sz="0" w:space="0" w:color="auto"/>
        <w:bottom w:val="none" w:sz="0" w:space="0" w:color="auto"/>
        <w:right w:val="none" w:sz="0" w:space="0" w:color="auto"/>
      </w:divBdr>
    </w:div>
    <w:div w:id="443841895">
      <w:marLeft w:val="0"/>
      <w:marRight w:val="0"/>
      <w:marTop w:val="0"/>
      <w:marBottom w:val="0"/>
      <w:divBdr>
        <w:top w:val="none" w:sz="0" w:space="0" w:color="auto"/>
        <w:left w:val="none" w:sz="0" w:space="0" w:color="auto"/>
        <w:bottom w:val="none" w:sz="0" w:space="0" w:color="auto"/>
        <w:right w:val="none" w:sz="0" w:space="0" w:color="auto"/>
      </w:divBdr>
    </w:div>
    <w:div w:id="443966452">
      <w:marLeft w:val="0"/>
      <w:marRight w:val="0"/>
      <w:marTop w:val="0"/>
      <w:marBottom w:val="0"/>
      <w:divBdr>
        <w:top w:val="none" w:sz="0" w:space="0" w:color="auto"/>
        <w:left w:val="none" w:sz="0" w:space="0" w:color="auto"/>
        <w:bottom w:val="none" w:sz="0" w:space="0" w:color="auto"/>
        <w:right w:val="none" w:sz="0" w:space="0" w:color="auto"/>
      </w:divBdr>
    </w:div>
    <w:div w:id="446046874">
      <w:marLeft w:val="0"/>
      <w:marRight w:val="0"/>
      <w:marTop w:val="0"/>
      <w:marBottom w:val="0"/>
      <w:divBdr>
        <w:top w:val="none" w:sz="0" w:space="0" w:color="auto"/>
        <w:left w:val="none" w:sz="0" w:space="0" w:color="auto"/>
        <w:bottom w:val="none" w:sz="0" w:space="0" w:color="auto"/>
        <w:right w:val="none" w:sz="0" w:space="0" w:color="auto"/>
      </w:divBdr>
    </w:div>
    <w:div w:id="446237256">
      <w:marLeft w:val="0"/>
      <w:marRight w:val="0"/>
      <w:marTop w:val="0"/>
      <w:marBottom w:val="0"/>
      <w:divBdr>
        <w:top w:val="none" w:sz="0" w:space="0" w:color="auto"/>
        <w:left w:val="none" w:sz="0" w:space="0" w:color="auto"/>
        <w:bottom w:val="none" w:sz="0" w:space="0" w:color="auto"/>
        <w:right w:val="none" w:sz="0" w:space="0" w:color="auto"/>
      </w:divBdr>
      <w:divsChild>
        <w:div w:id="1524175498">
          <w:marLeft w:val="0"/>
          <w:marRight w:val="0"/>
          <w:marTop w:val="0"/>
          <w:marBottom w:val="0"/>
          <w:divBdr>
            <w:top w:val="none" w:sz="0" w:space="0" w:color="auto"/>
            <w:left w:val="none" w:sz="0" w:space="0" w:color="auto"/>
            <w:bottom w:val="none" w:sz="0" w:space="0" w:color="auto"/>
            <w:right w:val="none" w:sz="0" w:space="0" w:color="auto"/>
          </w:divBdr>
        </w:div>
        <w:div w:id="1433355080">
          <w:marLeft w:val="0"/>
          <w:marRight w:val="0"/>
          <w:marTop w:val="0"/>
          <w:marBottom w:val="0"/>
          <w:divBdr>
            <w:top w:val="none" w:sz="0" w:space="0" w:color="auto"/>
            <w:left w:val="none" w:sz="0" w:space="0" w:color="auto"/>
            <w:bottom w:val="none" w:sz="0" w:space="0" w:color="auto"/>
            <w:right w:val="none" w:sz="0" w:space="0" w:color="auto"/>
          </w:divBdr>
        </w:div>
        <w:div w:id="1028799789">
          <w:marLeft w:val="0"/>
          <w:marRight w:val="0"/>
          <w:marTop w:val="0"/>
          <w:marBottom w:val="0"/>
          <w:divBdr>
            <w:top w:val="none" w:sz="0" w:space="0" w:color="auto"/>
            <w:left w:val="none" w:sz="0" w:space="0" w:color="auto"/>
            <w:bottom w:val="none" w:sz="0" w:space="0" w:color="auto"/>
            <w:right w:val="none" w:sz="0" w:space="0" w:color="auto"/>
          </w:divBdr>
        </w:div>
        <w:div w:id="1913852457">
          <w:marLeft w:val="0"/>
          <w:marRight w:val="0"/>
          <w:marTop w:val="0"/>
          <w:marBottom w:val="0"/>
          <w:divBdr>
            <w:top w:val="none" w:sz="0" w:space="0" w:color="auto"/>
            <w:left w:val="none" w:sz="0" w:space="0" w:color="auto"/>
            <w:bottom w:val="none" w:sz="0" w:space="0" w:color="auto"/>
            <w:right w:val="none" w:sz="0" w:space="0" w:color="auto"/>
          </w:divBdr>
        </w:div>
        <w:div w:id="1207375329">
          <w:marLeft w:val="0"/>
          <w:marRight w:val="0"/>
          <w:marTop w:val="0"/>
          <w:marBottom w:val="0"/>
          <w:divBdr>
            <w:top w:val="none" w:sz="0" w:space="0" w:color="auto"/>
            <w:left w:val="none" w:sz="0" w:space="0" w:color="auto"/>
            <w:bottom w:val="none" w:sz="0" w:space="0" w:color="auto"/>
            <w:right w:val="none" w:sz="0" w:space="0" w:color="auto"/>
          </w:divBdr>
        </w:div>
        <w:div w:id="1433208104">
          <w:marLeft w:val="0"/>
          <w:marRight w:val="0"/>
          <w:marTop w:val="0"/>
          <w:marBottom w:val="0"/>
          <w:divBdr>
            <w:top w:val="none" w:sz="0" w:space="0" w:color="auto"/>
            <w:left w:val="none" w:sz="0" w:space="0" w:color="auto"/>
            <w:bottom w:val="none" w:sz="0" w:space="0" w:color="auto"/>
            <w:right w:val="none" w:sz="0" w:space="0" w:color="auto"/>
          </w:divBdr>
        </w:div>
        <w:div w:id="1599632669">
          <w:marLeft w:val="0"/>
          <w:marRight w:val="0"/>
          <w:marTop w:val="0"/>
          <w:marBottom w:val="0"/>
          <w:divBdr>
            <w:top w:val="none" w:sz="0" w:space="0" w:color="auto"/>
            <w:left w:val="none" w:sz="0" w:space="0" w:color="auto"/>
            <w:bottom w:val="none" w:sz="0" w:space="0" w:color="auto"/>
            <w:right w:val="none" w:sz="0" w:space="0" w:color="auto"/>
          </w:divBdr>
        </w:div>
        <w:div w:id="157620090">
          <w:marLeft w:val="0"/>
          <w:marRight w:val="0"/>
          <w:marTop w:val="0"/>
          <w:marBottom w:val="0"/>
          <w:divBdr>
            <w:top w:val="none" w:sz="0" w:space="0" w:color="auto"/>
            <w:left w:val="none" w:sz="0" w:space="0" w:color="auto"/>
            <w:bottom w:val="none" w:sz="0" w:space="0" w:color="auto"/>
            <w:right w:val="none" w:sz="0" w:space="0" w:color="auto"/>
          </w:divBdr>
        </w:div>
        <w:div w:id="1080640707">
          <w:marLeft w:val="0"/>
          <w:marRight w:val="0"/>
          <w:marTop w:val="0"/>
          <w:marBottom w:val="0"/>
          <w:divBdr>
            <w:top w:val="none" w:sz="0" w:space="0" w:color="auto"/>
            <w:left w:val="none" w:sz="0" w:space="0" w:color="auto"/>
            <w:bottom w:val="none" w:sz="0" w:space="0" w:color="auto"/>
            <w:right w:val="none" w:sz="0" w:space="0" w:color="auto"/>
          </w:divBdr>
        </w:div>
        <w:div w:id="433675753">
          <w:marLeft w:val="0"/>
          <w:marRight w:val="0"/>
          <w:marTop w:val="0"/>
          <w:marBottom w:val="0"/>
          <w:divBdr>
            <w:top w:val="none" w:sz="0" w:space="0" w:color="auto"/>
            <w:left w:val="none" w:sz="0" w:space="0" w:color="auto"/>
            <w:bottom w:val="none" w:sz="0" w:space="0" w:color="auto"/>
            <w:right w:val="none" w:sz="0" w:space="0" w:color="auto"/>
          </w:divBdr>
        </w:div>
        <w:div w:id="1314797338">
          <w:marLeft w:val="0"/>
          <w:marRight w:val="0"/>
          <w:marTop w:val="0"/>
          <w:marBottom w:val="0"/>
          <w:divBdr>
            <w:top w:val="none" w:sz="0" w:space="0" w:color="auto"/>
            <w:left w:val="none" w:sz="0" w:space="0" w:color="auto"/>
            <w:bottom w:val="none" w:sz="0" w:space="0" w:color="auto"/>
            <w:right w:val="none" w:sz="0" w:space="0" w:color="auto"/>
          </w:divBdr>
        </w:div>
        <w:div w:id="1953632231">
          <w:marLeft w:val="0"/>
          <w:marRight w:val="0"/>
          <w:marTop w:val="0"/>
          <w:marBottom w:val="0"/>
          <w:divBdr>
            <w:top w:val="none" w:sz="0" w:space="0" w:color="auto"/>
            <w:left w:val="none" w:sz="0" w:space="0" w:color="auto"/>
            <w:bottom w:val="none" w:sz="0" w:space="0" w:color="auto"/>
            <w:right w:val="none" w:sz="0" w:space="0" w:color="auto"/>
          </w:divBdr>
        </w:div>
      </w:divsChild>
    </w:div>
    <w:div w:id="447434153">
      <w:marLeft w:val="0"/>
      <w:marRight w:val="0"/>
      <w:marTop w:val="0"/>
      <w:marBottom w:val="0"/>
      <w:divBdr>
        <w:top w:val="none" w:sz="0" w:space="0" w:color="auto"/>
        <w:left w:val="none" w:sz="0" w:space="0" w:color="auto"/>
        <w:bottom w:val="none" w:sz="0" w:space="0" w:color="auto"/>
        <w:right w:val="none" w:sz="0" w:space="0" w:color="auto"/>
      </w:divBdr>
    </w:div>
    <w:div w:id="448865471">
      <w:marLeft w:val="0"/>
      <w:marRight w:val="0"/>
      <w:marTop w:val="0"/>
      <w:marBottom w:val="0"/>
      <w:divBdr>
        <w:top w:val="none" w:sz="0" w:space="0" w:color="auto"/>
        <w:left w:val="none" w:sz="0" w:space="0" w:color="auto"/>
        <w:bottom w:val="none" w:sz="0" w:space="0" w:color="auto"/>
        <w:right w:val="none" w:sz="0" w:space="0" w:color="auto"/>
      </w:divBdr>
    </w:div>
    <w:div w:id="449281157">
      <w:marLeft w:val="0"/>
      <w:marRight w:val="0"/>
      <w:marTop w:val="0"/>
      <w:marBottom w:val="0"/>
      <w:divBdr>
        <w:top w:val="none" w:sz="0" w:space="0" w:color="auto"/>
        <w:left w:val="none" w:sz="0" w:space="0" w:color="auto"/>
        <w:bottom w:val="none" w:sz="0" w:space="0" w:color="auto"/>
        <w:right w:val="none" w:sz="0" w:space="0" w:color="auto"/>
      </w:divBdr>
      <w:divsChild>
        <w:div w:id="1338118262">
          <w:marLeft w:val="0"/>
          <w:marRight w:val="0"/>
          <w:marTop w:val="0"/>
          <w:marBottom w:val="0"/>
          <w:divBdr>
            <w:top w:val="none" w:sz="0" w:space="0" w:color="auto"/>
            <w:left w:val="none" w:sz="0" w:space="0" w:color="auto"/>
            <w:bottom w:val="none" w:sz="0" w:space="0" w:color="auto"/>
            <w:right w:val="none" w:sz="0" w:space="0" w:color="auto"/>
          </w:divBdr>
        </w:div>
      </w:divsChild>
    </w:div>
    <w:div w:id="449980635">
      <w:marLeft w:val="0"/>
      <w:marRight w:val="0"/>
      <w:marTop w:val="0"/>
      <w:marBottom w:val="0"/>
      <w:divBdr>
        <w:top w:val="none" w:sz="0" w:space="0" w:color="auto"/>
        <w:left w:val="none" w:sz="0" w:space="0" w:color="auto"/>
        <w:bottom w:val="none" w:sz="0" w:space="0" w:color="auto"/>
        <w:right w:val="none" w:sz="0" w:space="0" w:color="auto"/>
      </w:divBdr>
    </w:div>
    <w:div w:id="452484974">
      <w:marLeft w:val="0"/>
      <w:marRight w:val="0"/>
      <w:marTop w:val="0"/>
      <w:marBottom w:val="0"/>
      <w:divBdr>
        <w:top w:val="none" w:sz="0" w:space="0" w:color="auto"/>
        <w:left w:val="none" w:sz="0" w:space="0" w:color="auto"/>
        <w:bottom w:val="none" w:sz="0" w:space="0" w:color="auto"/>
        <w:right w:val="none" w:sz="0" w:space="0" w:color="auto"/>
      </w:divBdr>
    </w:div>
    <w:div w:id="452555438">
      <w:marLeft w:val="0"/>
      <w:marRight w:val="0"/>
      <w:marTop w:val="0"/>
      <w:marBottom w:val="0"/>
      <w:divBdr>
        <w:top w:val="none" w:sz="0" w:space="0" w:color="auto"/>
        <w:left w:val="none" w:sz="0" w:space="0" w:color="auto"/>
        <w:bottom w:val="none" w:sz="0" w:space="0" w:color="auto"/>
        <w:right w:val="none" w:sz="0" w:space="0" w:color="auto"/>
      </w:divBdr>
      <w:divsChild>
        <w:div w:id="595209109">
          <w:marLeft w:val="0"/>
          <w:marRight w:val="0"/>
          <w:marTop w:val="0"/>
          <w:marBottom w:val="0"/>
          <w:divBdr>
            <w:top w:val="none" w:sz="0" w:space="0" w:color="auto"/>
            <w:left w:val="none" w:sz="0" w:space="0" w:color="auto"/>
            <w:bottom w:val="none" w:sz="0" w:space="0" w:color="auto"/>
            <w:right w:val="none" w:sz="0" w:space="0" w:color="auto"/>
          </w:divBdr>
        </w:div>
      </w:divsChild>
    </w:div>
    <w:div w:id="453257873">
      <w:marLeft w:val="0"/>
      <w:marRight w:val="0"/>
      <w:marTop w:val="0"/>
      <w:marBottom w:val="0"/>
      <w:divBdr>
        <w:top w:val="none" w:sz="0" w:space="0" w:color="auto"/>
        <w:left w:val="none" w:sz="0" w:space="0" w:color="auto"/>
        <w:bottom w:val="none" w:sz="0" w:space="0" w:color="auto"/>
        <w:right w:val="none" w:sz="0" w:space="0" w:color="auto"/>
      </w:divBdr>
    </w:div>
    <w:div w:id="453602735">
      <w:marLeft w:val="0"/>
      <w:marRight w:val="0"/>
      <w:marTop w:val="0"/>
      <w:marBottom w:val="0"/>
      <w:divBdr>
        <w:top w:val="none" w:sz="0" w:space="0" w:color="auto"/>
        <w:left w:val="none" w:sz="0" w:space="0" w:color="auto"/>
        <w:bottom w:val="none" w:sz="0" w:space="0" w:color="auto"/>
        <w:right w:val="none" w:sz="0" w:space="0" w:color="auto"/>
      </w:divBdr>
    </w:div>
    <w:div w:id="455029259">
      <w:marLeft w:val="0"/>
      <w:marRight w:val="0"/>
      <w:marTop w:val="0"/>
      <w:marBottom w:val="0"/>
      <w:divBdr>
        <w:top w:val="none" w:sz="0" w:space="0" w:color="auto"/>
        <w:left w:val="none" w:sz="0" w:space="0" w:color="auto"/>
        <w:bottom w:val="none" w:sz="0" w:space="0" w:color="auto"/>
        <w:right w:val="none" w:sz="0" w:space="0" w:color="auto"/>
      </w:divBdr>
    </w:div>
    <w:div w:id="455954521">
      <w:marLeft w:val="0"/>
      <w:marRight w:val="0"/>
      <w:marTop w:val="0"/>
      <w:marBottom w:val="0"/>
      <w:divBdr>
        <w:top w:val="none" w:sz="0" w:space="0" w:color="auto"/>
        <w:left w:val="none" w:sz="0" w:space="0" w:color="auto"/>
        <w:bottom w:val="none" w:sz="0" w:space="0" w:color="auto"/>
        <w:right w:val="none" w:sz="0" w:space="0" w:color="auto"/>
      </w:divBdr>
    </w:div>
    <w:div w:id="456294071">
      <w:marLeft w:val="0"/>
      <w:marRight w:val="0"/>
      <w:marTop w:val="0"/>
      <w:marBottom w:val="0"/>
      <w:divBdr>
        <w:top w:val="none" w:sz="0" w:space="0" w:color="auto"/>
        <w:left w:val="none" w:sz="0" w:space="0" w:color="auto"/>
        <w:bottom w:val="none" w:sz="0" w:space="0" w:color="auto"/>
        <w:right w:val="none" w:sz="0" w:space="0" w:color="auto"/>
      </w:divBdr>
    </w:div>
    <w:div w:id="457651966">
      <w:marLeft w:val="0"/>
      <w:marRight w:val="0"/>
      <w:marTop w:val="0"/>
      <w:marBottom w:val="0"/>
      <w:divBdr>
        <w:top w:val="none" w:sz="0" w:space="0" w:color="auto"/>
        <w:left w:val="none" w:sz="0" w:space="0" w:color="auto"/>
        <w:bottom w:val="none" w:sz="0" w:space="0" w:color="auto"/>
        <w:right w:val="none" w:sz="0" w:space="0" w:color="auto"/>
      </w:divBdr>
    </w:div>
    <w:div w:id="458184815">
      <w:marLeft w:val="0"/>
      <w:marRight w:val="0"/>
      <w:marTop w:val="0"/>
      <w:marBottom w:val="0"/>
      <w:divBdr>
        <w:top w:val="none" w:sz="0" w:space="0" w:color="auto"/>
        <w:left w:val="none" w:sz="0" w:space="0" w:color="auto"/>
        <w:bottom w:val="none" w:sz="0" w:space="0" w:color="auto"/>
        <w:right w:val="none" w:sz="0" w:space="0" w:color="auto"/>
      </w:divBdr>
    </w:div>
    <w:div w:id="459109448">
      <w:marLeft w:val="0"/>
      <w:marRight w:val="0"/>
      <w:marTop w:val="0"/>
      <w:marBottom w:val="0"/>
      <w:divBdr>
        <w:top w:val="none" w:sz="0" w:space="0" w:color="auto"/>
        <w:left w:val="none" w:sz="0" w:space="0" w:color="auto"/>
        <w:bottom w:val="none" w:sz="0" w:space="0" w:color="auto"/>
        <w:right w:val="none" w:sz="0" w:space="0" w:color="auto"/>
      </w:divBdr>
    </w:div>
    <w:div w:id="459223436">
      <w:marLeft w:val="0"/>
      <w:marRight w:val="0"/>
      <w:marTop w:val="0"/>
      <w:marBottom w:val="0"/>
      <w:divBdr>
        <w:top w:val="none" w:sz="0" w:space="0" w:color="auto"/>
        <w:left w:val="none" w:sz="0" w:space="0" w:color="auto"/>
        <w:bottom w:val="none" w:sz="0" w:space="0" w:color="auto"/>
        <w:right w:val="none" w:sz="0" w:space="0" w:color="auto"/>
      </w:divBdr>
    </w:div>
    <w:div w:id="460923820">
      <w:marLeft w:val="0"/>
      <w:marRight w:val="0"/>
      <w:marTop w:val="0"/>
      <w:marBottom w:val="0"/>
      <w:divBdr>
        <w:top w:val="none" w:sz="0" w:space="0" w:color="auto"/>
        <w:left w:val="none" w:sz="0" w:space="0" w:color="auto"/>
        <w:bottom w:val="none" w:sz="0" w:space="0" w:color="auto"/>
        <w:right w:val="none" w:sz="0" w:space="0" w:color="auto"/>
      </w:divBdr>
    </w:div>
    <w:div w:id="461116701">
      <w:marLeft w:val="0"/>
      <w:marRight w:val="0"/>
      <w:marTop w:val="0"/>
      <w:marBottom w:val="0"/>
      <w:divBdr>
        <w:top w:val="none" w:sz="0" w:space="0" w:color="auto"/>
        <w:left w:val="none" w:sz="0" w:space="0" w:color="auto"/>
        <w:bottom w:val="none" w:sz="0" w:space="0" w:color="auto"/>
        <w:right w:val="none" w:sz="0" w:space="0" w:color="auto"/>
      </w:divBdr>
    </w:div>
    <w:div w:id="462045970">
      <w:marLeft w:val="0"/>
      <w:marRight w:val="0"/>
      <w:marTop w:val="0"/>
      <w:marBottom w:val="0"/>
      <w:divBdr>
        <w:top w:val="none" w:sz="0" w:space="0" w:color="auto"/>
        <w:left w:val="none" w:sz="0" w:space="0" w:color="auto"/>
        <w:bottom w:val="none" w:sz="0" w:space="0" w:color="auto"/>
        <w:right w:val="none" w:sz="0" w:space="0" w:color="auto"/>
      </w:divBdr>
    </w:div>
    <w:div w:id="462426353">
      <w:marLeft w:val="0"/>
      <w:marRight w:val="0"/>
      <w:marTop w:val="0"/>
      <w:marBottom w:val="0"/>
      <w:divBdr>
        <w:top w:val="none" w:sz="0" w:space="0" w:color="auto"/>
        <w:left w:val="none" w:sz="0" w:space="0" w:color="auto"/>
        <w:bottom w:val="none" w:sz="0" w:space="0" w:color="auto"/>
        <w:right w:val="none" w:sz="0" w:space="0" w:color="auto"/>
      </w:divBdr>
    </w:div>
    <w:div w:id="463275030">
      <w:marLeft w:val="0"/>
      <w:marRight w:val="0"/>
      <w:marTop w:val="0"/>
      <w:marBottom w:val="0"/>
      <w:divBdr>
        <w:top w:val="none" w:sz="0" w:space="0" w:color="auto"/>
        <w:left w:val="none" w:sz="0" w:space="0" w:color="auto"/>
        <w:bottom w:val="none" w:sz="0" w:space="0" w:color="auto"/>
        <w:right w:val="none" w:sz="0" w:space="0" w:color="auto"/>
      </w:divBdr>
    </w:div>
    <w:div w:id="463743291">
      <w:marLeft w:val="0"/>
      <w:marRight w:val="0"/>
      <w:marTop w:val="0"/>
      <w:marBottom w:val="0"/>
      <w:divBdr>
        <w:top w:val="none" w:sz="0" w:space="0" w:color="auto"/>
        <w:left w:val="none" w:sz="0" w:space="0" w:color="auto"/>
        <w:bottom w:val="none" w:sz="0" w:space="0" w:color="auto"/>
        <w:right w:val="none" w:sz="0" w:space="0" w:color="auto"/>
      </w:divBdr>
    </w:div>
    <w:div w:id="464664425">
      <w:marLeft w:val="0"/>
      <w:marRight w:val="0"/>
      <w:marTop w:val="0"/>
      <w:marBottom w:val="0"/>
      <w:divBdr>
        <w:top w:val="none" w:sz="0" w:space="0" w:color="auto"/>
        <w:left w:val="none" w:sz="0" w:space="0" w:color="auto"/>
        <w:bottom w:val="none" w:sz="0" w:space="0" w:color="auto"/>
        <w:right w:val="none" w:sz="0" w:space="0" w:color="auto"/>
      </w:divBdr>
    </w:div>
    <w:div w:id="464851500">
      <w:marLeft w:val="0"/>
      <w:marRight w:val="0"/>
      <w:marTop w:val="0"/>
      <w:marBottom w:val="0"/>
      <w:divBdr>
        <w:top w:val="none" w:sz="0" w:space="0" w:color="auto"/>
        <w:left w:val="none" w:sz="0" w:space="0" w:color="auto"/>
        <w:bottom w:val="none" w:sz="0" w:space="0" w:color="auto"/>
        <w:right w:val="none" w:sz="0" w:space="0" w:color="auto"/>
      </w:divBdr>
    </w:div>
    <w:div w:id="465390553">
      <w:marLeft w:val="0"/>
      <w:marRight w:val="0"/>
      <w:marTop w:val="0"/>
      <w:marBottom w:val="0"/>
      <w:divBdr>
        <w:top w:val="none" w:sz="0" w:space="0" w:color="auto"/>
        <w:left w:val="none" w:sz="0" w:space="0" w:color="auto"/>
        <w:bottom w:val="none" w:sz="0" w:space="0" w:color="auto"/>
        <w:right w:val="none" w:sz="0" w:space="0" w:color="auto"/>
      </w:divBdr>
    </w:div>
    <w:div w:id="465513643">
      <w:marLeft w:val="0"/>
      <w:marRight w:val="0"/>
      <w:marTop w:val="0"/>
      <w:marBottom w:val="0"/>
      <w:divBdr>
        <w:top w:val="none" w:sz="0" w:space="0" w:color="auto"/>
        <w:left w:val="none" w:sz="0" w:space="0" w:color="auto"/>
        <w:bottom w:val="none" w:sz="0" w:space="0" w:color="auto"/>
        <w:right w:val="none" w:sz="0" w:space="0" w:color="auto"/>
      </w:divBdr>
    </w:div>
    <w:div w:id="465662852">
      <w:marLeft w:val="0"/>
      <w:marRight w:val="0"/>
      <w:marTop w:val="0"/>
      <w:marBottom w:val="0"/>
      <w:divBdr>
        <w:top w:val="none" w:sz="0" w:space="0" w:color="auto"/>
        <w:left w:val="none" w:sz="0" w:space="0" w:color="auto"/>
        <w:bottom w:val="none" w:sz="0" w:space="0" w:color="auto"/>
        <w:right w:val="none" w:sz="0" w:space="0" w:color="auto"/>
      </w:divBdr>
    </w:div>
    <w:div w:id="465779962">
      <w:marLeft w:val="0"/>
      <w:marRight w:val="0"/>
      <w:marTop w:val="0"/>
      <w:marBottom w:val="0"/>
      <w:divBdr>
        <w:top w:val="none" w:sz="0" w:space="0" w:color="auto"/>
        <w:left w:val="none" w:sz="0" w:space="0" w:color="auto"/>
        <w:bottom w:val="none" w:sz="0" w:space="0" w:color="auto"/>
        <w:right w:val="none" w:sz="0" w:space="0" w:color="auto"/>
      </w:divBdr>
    </w:div>
    <w:div w:id="466703481">
      <w:marLeft w:val="0"/>
      <w:marRight w:val="0"/>
      <w:marTop w:val="0"/>
      <w:marBottom w:val="0"/>
      <w:divBdr>
        <w:top w:val="none" w:sz="0" w:space="0" w:color="auto"/>
        <w:left w:val="none" w:sz="0" w:space="0" w:color="auto"/>
        <w:bottom w:val="none" w:sz="0" w:space="0" w:color="auto"/>
        <w:right w:val="none" w:sz="0" w:space="0" w:color="auto"/>
      </w:divBdr>
    </w:div>
    <w:div w:id="466945031">
      <w:marLeft w:val="0"/>
      <w:marRight w:val="0"/>
      <w:marTop w:val="0"/>
      <w:marBottom w:val="0"/>
      <w:divBdr>
        <w:top w:val="none" w:sz="0" w:space="0" w:color="auto"/>
        <w:left w:val="none" w:sz="0" w:space="0" w:color="auto"/>
        <w:bottom w:val="none" w:sz="0" w:space="0" w:color="auto"/>
        <w:right w:val="none" w:sz="0" w:space="0" w:color="auto"/>
      </w:divBdr>
      <w:divsChild>
        <w:div w:id="962031077">
          <w:marLeft w:val="0"/>
          <w:marRight w:val="0"/>
          <w:marTop w:val="0"/>
          <w:marBottom w:val="0"/>
          <w:divBdr>
            <w:top w:val="none" w:sz="0" w:space="0" w:color="auto"/>
            <w:left w:val="none" w:sz="0" w:space="0" w:color="auto"/>
            <w:bottom w:val="none" w:sz="0" w:space="0" w:color="auto"/>
            <w:right w:val="none" w:sz="0" w:space="0" w:color="auto"/>
          </w:divBdr>
        </w:div>
      </w:divsChild>
    </w:div>
    <w:div w:id="468330176">
      <w:marLeft w:val="0"/>
      <w:marRight w:val="0"/>
      <w:marTop w:val="0"/>
      <w:marBottom w:val="0"/>
      <w:divBdr>
        <w:top w:val="none" w:sz="0" w:space="0" w:color="auto"/>
        <w:left w:val="none" w:sz="0" w:space="0" w:color="auto"/>
        <w:bottom w:val="none" w:sz="0" w:space="0" w:color="auto"/>
        <w:right w:val="none" w:sz="0" w:space="0" w:color="auto"/>
      </w:divBdr>
    </w:div>
    <w:div w:id="469980988">
      <w:marLeft w:val="0"/>
      <w:marRight w:val="0"/>
      <w:marTop w:val="0"/>
      <w:marBottom w:val="0"/>
      <w:divBdr>
        <w:top w:val="none" w:sz="0" w:space="0" w:color="auto"/>
        <w:left w:val="none" w:sz="0" w:space="0" w:color="auto"/>
        <w:bottom w:val="none" w:sz="0" w:space="0" w:color="auto"/>
        <w:right w:val="none" w:sz="0" w:space="0" w:color="auto"/>
      </w:divBdr>
    </w:div>
    <w:div w:id="470828763">
      <w:marLeft w:val="0"/>
      <w:marRight w:val="0"/>
      <w:marTop w:val="0"/>
      <w:marBottom w:val="0"/>
      <w:divBdr>
        <w:top w:val="none" w:sz="0" w:space="0" w:color="auto"/>
        <w:left w:val="none" w:sz="0" w:space="0" w:color="auto"/>
        <w:bottom w:val="none" w:sz="0" w:space="0" w:color="auto"/>
        <w:right w:val="none" w:sz="0" w:space="0" w:color="auto"/>
      </w:divBdr>
    </w:div>
    <w:div w:id="470944746">
      <w:marLeft w:val="0"/>
      <w:marRight w:val="0"/>
      <w:marTop w:val="0"/>
      <w:marBottom w:val="0"/>
      <w:divBdr>
        <w:top w:val="none" w:sz="0" w:space="0" w:color="auto"/>
        <w:left w:val="none" w:sz="0" w:space="0" w:color="auto"/>
        <w:bottom w:val="none" w:sz="0" w:space="0" w:color="auto"/>
        <w:right w:val="none" w:sz="0" w:space="0" w:color="auto"/>
      </w:divBdr>
    </w:div>
    <w:div w:id="471410310">
      <w:marLeft w:val="0"/>
      <w:marRight w:val="0"/>
      <w:marTop w:val="0"/>
      <w:marBottom w:val="0"/>
      <w:divBdr>
        <w:top w:val="none" w:sz="0" w:space="0" w:color="auto"/>
        <w:left w:val="none" w:sz="0" w:space="0" w:color="auto"/>
        <w:bottom w:val="none" w:sz="0" w:space="0" w:color="auto"/>
        <w:right w:val="none" w:sz="0" w:space="0" w:color="auto"/>
      </w:divBdr>
      <w:divsChild>
        <w:div w:id="356547013">
          <w:marLeft w:val="0"/>
          <w:marRight w:val="0"/>
          <w:marTop w:val="0"/>
          <w:marBottom w:val="0"/>
          <w:divBdr>
            <w:top w:val="none" w:sz="0" w:space="0" w:color="auto"/>
            <w:left w:val="none" w:sz="0" w:space="0" w:color="auto"/>
            <w:bottom w:val="none" w:sz="0" w:space="0" w:color="auto"/>
            <w:right w:val="none" w:sz="0" w:space="0" w:color="auto"/>
          </w:divBdr>
        </w:div>
      </w:divsChild>
    </w:div>
    <w:div w:id="472255286">
      <w:marLeft w:val="0"/>
      <w:marRight w:val="0"/>
      <w:marTop w:val="0"/>
      <w:marBottom w:val="0"/>
      <w:divBdr>
        <w:top w:val="none" w:sz="0" w:space="0" w:color="auto"/>
        <w:left w:val="none" w:sz="0" w:space="0" w:color="auto"/>
        <w:bottom w:val="none" w:sz="0" w:space="0" w:color="auto"/>
        <w:right w:val="none" w:sz="0" w:space="0" w:color="auto"/>
      </w:divBdr>
    </w:div>
    <w:div w:id="473715837">
      <w:marLeft w:val="0"/>
      <w:marRight w:val="0"/>
      <w:marTop w:val="100"/>
      <w:marBottom w:val="100"/>
      <w:divBdr>
        <w:top w:val="none" w:sz="0" w:space="0" w:color="auto"/>
        <w:left w:val="none" w:sz="0" w:space="0" w:color="auto"/>
        <w:bottom w:val="none" w:sz="0" w:space="0" w:color="auto"/>
        <w:right w:val="none" w:sz="0" w:space="0" w:color="auto"/>
      </w:divBdr>
      <w:divsChild>
        <w:div w:id="830288956">
          <w:marLeft w:val="0"/>
          <w:marRight w:val="0"/>
          <w:marTop w:val="0"/>
          <w:marBottom w:val="0"/>
          <w:divBdr>
            <w:top w:val="none" w:sz="0" w:space="0" w:color="auto"/>
            <w:left w:val="none" w:sz="0" w:space="0" w:color="auto"/>
            <w:bottom w:val="none" w:sz="0" w:space="0" w:color="auto"/>
            <w:right w:val="none" w:sz="0" w:space="0" w:color="auto"/>
          </w:divBdr>
        </w:div>
        <w:div w:id="1873880444">
          <w:marLeft w:val="0"/>
          <w:marRight w:val="0"/>
          <w:marTop w:val="0"/>
          <w:marBottom w:val="0"/>
          <w:divBdr>
            <w:top w:val="none" w:sz="0" w:space="0" w:color="auto"/>
            <w:left w:val="none" w:sz="0" w:space="0" w:color="auto"/>
            <w:bottom w:val="none" w:sz="0" w:space="0" w:color="auto"/>
            <w:right w:val="none" w:sz="0" w:space="0" w:color="auto"/>
          </w:divBdr>
        </w:div>
        <w:div w:id="349068897">
          <w:marLeft w:val="0"/>
          <w:marRight w:val="0"/>
          <w:marTop w:val="0"/>
          <w:marBottom w:val="0"/>
          <w:divBdr>
            <w:top w:val="none" w:sz="0" w:space="0" w:color="auto"/>
            <w:left w:val="none" w:sz="0" w:space="0" w:color="auto"/>
            <w:bottom w:val="none" w:sz="0" w:space="0" w:color="auto"/>
            <w:right w:val="none" w:sz="0" w:space="0" w:color="auto"/>
          </w:divBdr>
        </w:div>
        <w:div w:id="1637756928">
          <w:marLeft w:val="0"/>
          <w:marRight w:val="0"/>
          <w:marTop w:val="0"/>
          <w:marBottom w:val="0"/>
          <w:divBdr>
            <w:top w:val="none" w:sz="0" w:space="0" w:color="auto"/>
            <w:left w:val="none" w:sz="0" w:space="0" w:color="auto"/>
            <w:bottom w:val="none" w:sz="0" w:space="0" w:color="auto"/>
            <w:right w:val="none" w:sz="0" w:space="0" w:color="auto"/>
          </w:divBdr>
        </w:div>
      </w:divsChild>
    </w:div>
    <w:div w:id="474108433">
      <w:marLeft w:val="0"/>
      <w:marRight w:val="0"/>
      <w:marTop w:val="0"/>
      <w:marBottom w:val="0"/>
      <w:divBdr>
        <w:top w:val="none" w:sz="0" w:space="0" w:color="auto"/>
        <w:left w:val="none" w:sz="0" w:space="0" w:color="auto"/>
        <w:bottom w:val="none" w:sz="0" w:space="0" w:color="auto"/>
        <w:right w:val="none" w:sz="0" w:space="0" w:color="auto"/>
      </w:divBdr>
    </w:div>
    <w:div w:id="476000644">
      <w:marLeft w:val="0"/>
      <w:marRight w:val="0"/>
      <w:marTop w:val="0"/>
      <w:marBottom w:val="0"/>
      <w:divBdr>
        <w:top w:val="none" w:sz="0" w:space="0" w:color="auto"/>
        <w:left w:val="none" w:sz="0" w:space="0" w:color="auto"/>
        <w:bottom w:val="none" w:sz="0" w:space="0" w:color="auto"/>
        <w:right w:val="none" w:sz="0" w:space="0" w:color="auto"/>
      </w:divBdr>
      <w:divsChild>
        <w:div w:id="362174547">
          <w:marLeft w:val="0"/>
          <w:marRight w:val="0"/>
          <w:marTop w:val="0"/>
          <w:marBottom w:val="0"/>
          <w:divBdr>
            <w:top w:val="none" w:sz="0" w:space="0" w:color="auto"/>
            <w:left w:val="none" w:sz="0" w:space="0" w:color="auto"/>
            <w:bottom w:val="none" w:sz="0" w:space="0" w:color="auto"/>
            <w:right w:val="none" w:sz="0" w:space="0" w:color="auto"/>
          </w:divBdr>
        </w:div>
      </w:divsChild>
    </w:div>
    <w:div w:id="476263425">
      <w:marLeft w:val="0"/>
      <w:marRight w:val="0"/>
      <w:marTop w:val="0"/>
      <w:marBottom w:val="0"/>
      <w:divBdr>
        <w:top w:val="none" w:sz="0" w:space="0" w:color="auto"/>
        <w:left w:val="none" w:sz="0" w:space="0" w:color="auto"/>
        <w:bottom w:val="none" w:sz="0" w:space="0" w:color="auto"/>
        <w:right w:val="none" w:sz="0" w:space="0" w:color="auto"/>
      </w:divBdr>
    </w:div>
    <w:div w:id="476919828">
      <w:marLeft w:val="0"/>
      <w:marRight w:val="0"/>
      <w:marTop w:val="0"/>
      <w:marBottom w:val="0"/>
      <w:divBdr>
        <w:top w:val="none" w:sz="0" w:space="0" w:color="auto"/>
        <w:left w:val="none" w:sz="0" w:space="0" w:color="auto"/>
        <w:bottom w:val="none" w:sz="0" w:space="0" w:color="auto"/>
        <w:right w:val="none" w:sz="0" w:space="0" w:color="auto"/>
      </w:divBdr>
    </w:div>
    <w:div w:id="476921928">
      <w:marLeft w:val="0"/>
      <w:marRight w:val="0"/>
      <w:marTop w:val="0"/>
      <w:marBottom w:val="0"/>
      <w:divBdr>
        <w:top w:val="none" w:sz="0" w:space="0" w:color="auto"/>
        <w:left w:val="none" w:sz="0" w:space="0" w:color="auto"/>
        <w:bottom w:val="none" w:sz="0" w:space="0" w:color="auto"/>
        <w:right w:val="none" w:sz="0" w:space="0" w:color="auto"/>
      </w:divBdr>
    </w:div>
    <w:div w:id="477190054">
      <w:marLeft w:val="0"/>
      <w:marRight w:val="0"/>
      <w:marTop w:val="0"/>
      <w:marBottom w:val="0"/>
      <w:divBdr>
        <w:top w:val="none" w:sz="0" w:space="0" w:color="auto"/>
        <w:left w:val="none" w:sz="0" w:space="0" w:color="auto"/>
        <w:bottom w:val="none" w:sz="0" w:space="0" w:color="auto"/>
        <w:right w:val="none" w:sz="0" w:space="0" w:color="auto"/>
      </w:divBdr>
    </w:div>
    <w:div w:id="477453865">
      <w:marLeft w:val="0"/>
      <w:marRight w:val="0"/>
      <w:marTop w:val="0"/>
      <w:marBottom w:val="0"/>
      <w:divBdr>
        <w:top w:val="none" w:sz="0" w:space="0" w:color="auto"/>
        <w:left w:val="none" w:sz="0" w:space="0" w:color="auto"/>
        <w:bottom w:val="none" w:sz="0" w:space="0" w:color="auto"/>
        <w:right w:val="none" w:sz="0" w:space="0" w:color="auto"/>
      </w:divBdr>
    </w:div>
    <w:div w:id="477498851">
      <w:marLeft w:val="0"/>
      <w:marRight w:val="0"/>
      <w:marTop w:val="0"/>
      <w:marBottom w:val="0"/>
      <w:divBdr>
        <w:top w:val="none" w:sz="0" w:space="0" w:color="auto"/>
        <w:left w:val="none" w:sz="0" w:space="0" w:color="auto"/>
        <w:bottom w:val="none" w:sz="0" w:space="0" w:color="auto"/>
        <w:right w:val="none" w:sz="0" w:space="0" w:color="auto"/>
      </w:divBdr>
    </w:div>
    <w:div w:id="477768903">
      <w:marLeft w:val="0"/>
      <w:marRight w:val="0"/>
      <w:marTop w:val="0"/>
      <w:marBottom w:val="0"/>
      <w:divBdr>
        <w:top w:val="none" w:sz="0" w:space="0" w:color="auto"/>
        <w:left w:val="none" w:sz="0" w:space="0" w:color="auto"/>
        <w:bottom w:val="none" w:sz="0" w:space="0" w:color="auto"/>
        <w:right w:val="none" w:sz="0" w:space="0" w:color="auto"/>
      </w:divBdr>
    </w:div>
    <w:div w:id="478348632">
      <w:marLeft w:val="0"/>
      <w:marRight w:val="0"/>
      <w:marTop w:val="0"/>
      <w:marBottom w:val="0"/>
      <w:divBdr>
        <w:top w:val="none" w:sz="0" w:space="0" w:color="auto"/>
        <w:left w:val="none" w:sz="0" w:space="0" w:color="auto"/>
        <w:bottom w:val="none" w:sz="0" w:space="0" w:color="auto"/>
        <w:right w:val="none" w:sz="0" w:space="0" w:color="auto"/>
      </w:divBdr>
    </w:div>
    <w:div w:id="478890175">
      <w:marLeft w:val="0"/>
      <w:marRight w:val="0"/>
      <w:marTop w:val="0"/>
      <w:marBottom w:val="0"/>
      <w:divBdr>
        <w:top w:val="none" w:sz="0" w:space="0" w:color="auto"/>
        <w:left w:val="none" w:sz="0" w:space="0" w:color="auto"/>
        <w:bottom w:val="none" w:sz="0" w:space="0" w:color="auto"/>
        <w:right w:val="none" w:sz="0" w:space="0" w:color="auto"/>
      </w:divBdr>
    </w:div>
    <w:div w:id="479274239">
      <w:marLeft w:val="0"/>
      <w:marRight w:val="0"/>
      <w:marTop w:val="0"/>
      <w:marBottom w:val="0"/>
      <w:divBdr>
        <w:top w:val="none" w:sz="0" w:space="0" w:color="auto"/>
        <w:left w:val="none" w:sz="0" w:space="0" w:color="auto"/>
        <w:bottom w:val="none" w:sz="0" w:space="0" w:color="auto"/>
        <w:right w:val="none" w:sz="0" w:space="0" w:color="auto"/>
      </w:divBdr>
    </w:div>
    <w:div w:id="480073505">
      <w:marLeft w:val="0"/>
      <w:marRight w:val="0"/>
      <w:marTop w:val="0"/>
      <w:marBottom w:val="0"/>
      <w:divBdr>
        <w:top w:val="none" w:sz="0" w:space="0" w:color="auto"/>
        <w:left w:val="none" w:sz="0" w:space="0" w:color="auto"/>
        <w:bottom w:val="none" w:sz="0" w:space="0" w:color="auto"/>
        <w:right w:val="none" w:sz="0" w:space="0" w:color="auto"/>
      </w:divBdr>
    </w:div>
    <w:div w:id="481117961">
      <w:marLeft w:val="0"/>
      <w:marRight w:val="0"/>
      <w:marTop w:val="0"/>
      <w:marBottom w:val="0"/>
      <w:divBdr>
        <w:top w:val="none" w:sz="0" w:space="0" w:color="auto"/>
        <w:left w:val="none" w:sz="0" w:space="0" w:color="auto"/>
        <w:bottom w:val="none" w:sz="0" w:space="0" w:color="auto"/>
        <w:right w:val="none" w:sz="0" w:space="0" w:color="auto"/>
      </w:divBdr>
      <w:divsChild>
        <w:div w:id="1507818585">
          <w:marLeft w:val="0"/>
          <w:marRight w:val="0"/>
          <w:marTop w:val="0"/>
          <w:marBottom w:val="0"/>
          <w:divBdr>
            <w:top w:val="none" w:sz="0" w:space="0" w:color="auto"/>
            <w:left w:val="none" w:sz="0" w:space="0" w:color="auto"/>
            <w:bottom w:val="none" w:sz="0" w:space="0" w:color="auto"/>
            <w:right w:val="none" w:sz="0" w:space="0" w:color="auto"/>
          </w:divBdr>
        </w:div>
      </w:divsChild>
    </w:div>
    <w:div w:id="481653052">
      <w:marLeft w:val="0"/>
      <w:marRight w:val="0"/>
      <w:marTop w:val="0"/>
      <w:marBottom w:val="0"/>
      <w:divBdr>
        <w:top w:val="none" w:sz="0" w:space="0" w:color="auto"/>
        <w:left w:val="none" w:sz="0" w:space="0" w:color="auto"/>
        <w:bottom w:val="none" w:sz="0" w:space="0" w:color="auto"/>
        <w:right w:val="none" w:sz="0" w:space="0" w:color="auto"/>
      </w:divBdr>
    </w:div>
    <w:div w:id="483011878">
      <w:marLeft w:val="0"/>
      <w:marRight w:val="0"/>
      <w:marTop w:val="0"/>
      <w:marBottom w:val="0"/>
      <w:divBdr>
        <w:top w:val="none" w:sz="0" w:space="0" w:color="auto"/>
        <w:left w:val="none" w:sz="0" w:space="0" w:color="auto"/>
        <w:bottom w:val="none" w:sz="0" w:space="0" w:color="auto"/>
        <w:right w:val="none" w:sz="0" w:space="0" w:color="auto"/>
      </w:divBdr>
    </w:div>
    <w:div w:id="484857990">
      <w:marLeft w:val="0"/>
      <w:marRight w:val="0"/>
      <w:marTop w:val="0"/>
      <w:marBottom w:val="0"/>
      <w:divBdr>
        <w:top w:val="none" w:sz="0" w:space="0" w:color="auto"/>
        <w:left w:val="none" w:sz="0" w:space="0" w:color="auto"/>
        <w:bottom w:val="none" w:sz="0" w:space="0" w:color="auto"/>
        <w:right w:val="none" w:sz="0" w:space="0" w:color="auto"/>
      </w:divBdr>
    </w:div>
    <w:div w:id="485173440">
      <w:marLeft w:val="0"/>
      <w:marRight w:val="0"/>
      <w:marTop w:val="0"/>
      <w:marBottom w:val="0"/>
      <w:divBdr>
        <w:top w:val="none" w:sz="0" w:space="0" w:color="auto"/>
        <w:left w:val="none" w:sz="0" w:space="0" w:color="auto"/>
        <w:bottom w:val="none" w:sz="0" w:space="0" w:color="auto"/>
        <w:right w:val="none" w:sz="0" w:space="0" w:color="auto"/>
      </w:divBdr>
    </w:div>
    <w:div w:id="485319086">
      <w:marLeft w:val="0"/>
      <w:marRight w:val="0"/>
      <w:marTop w:val="0"/>
      <w:marBottom w:val="0"/>
      <w:divBdr>
        <w:top w:val="none" w:sz="0" w:space="0" w:color="auto"/>
        <w:left w:val="none" w:sz="0" w:space="0" w:color="auto"/>
        <w:bottom w:val="none" w:sz="0" w:space="0" w:color="auto"/>
        <w:right w:val="none" w:sz="0" w:space="0" w:color="auto"/>
      </w:divBdr>
    </w:div>
    <w:div w:id="486172426">
      <w:marLeft w:val="0"/>
      <w:marRight w:val="0"/>
      <w:marTop w:val="0"/>
      <w:marBottom w:val="0"/>
      <w:divBdr>
        <w:top w:val="none" w:sz="0" w:space="0" w:color="auto"/>
        <w:left w:val="none" w:sz="0" w:space="0" w:color="auto"/>
        <w:bottom w:val="none" w:sz="0" w:space="0" w:color="auto"/>
        <w:right w:val="none" w:sz="0" w:space="0" w:color="auto"/>
      </w:divBdr>
    </w:div>
    <w:div w:id="486477250">
      <w:marLeft w:val="0"/>
      <w:marRight w:val="0"/>
      <w:marTop w:val="0"/>
      <w:marBottom w:val="0"/>
      <w:divBdr>
        <w:top w:val="none" w:sz="0" w:space="0" w:color="auto"/>
        <w:left w:val="none" w:sz="0" w:space="0" w:color="auto"/>
        <w:bottom w:val="none" w:sz="0" w:space="0" w:color="auto"/>
        <w:right w:val="none" w:sz="0" w:space="0" w:color="auto"/>
      </w:divBdr>
    </w:div>
    <w:div w:id="486824112">
      <w:marLeft w:val="0"/>
      <w:marRight w:val="0"/>
      <w:marTop w:val="0"/>
      <w:marBottom w:val="0"/>
      <w:divBdr>
        <w:top w:val="none" w:sz="0" w:space="0" w:color="auto"/>
        <w:left w:val="none" w:sz="0" w:space="0" w:color="auto"/>
        <w:bottom w:val="none" w:sz="0" w:space="0" w:color="auto"/>
        <w:right w:val="none" w:sz="0" w:space="0" w:color="auto"/>
      </w:divBdr>
    </w:div>
    <w:div w:id="487090483">
      <w:marLeft w:val="0"/>
      <w:marRight w:val="0"/>
      <w:marTop w:val="0"/>
      <w:marBottom w:val="0"/>
      <w:divBdr>
        <w:top w:val="none" w:sz="0" w:space="0" w:color="auto"/>
        <w:left w:val="none" w:sz="0" w:space="0" w:color="auto"/>
        <w:bottom w:val="none" w:sz="0" w:space="0" w:color="auto"/>
        <w:right w:val="none" w:sz="0" w:space="0" w:color="auto"/>
      </w:divBdr>
    </w:div>
    <w:div w:id="488401129">
      <w:marLeft w:val="0"/>
      <w:marRight w:val="0"/>
      <w:marTop w:val="0"/>
      <w:marBottom w:val="0"/>
      <w:divBdr>
        <w:top w:val="none" w:sz="0" w:space="0" w:color="auto"/>
        <w:left w:val="none" w:sz="0" w:space="0" w:color="auto"/>
        <w:bottom w:val="none" w:sz="0" w:space="0" w:color="auto"/>
        <w:right w:val="none" w:sz="0" w:space="0" w:color="auto"/>
      </w:divBdr>
    </w:div>
    <w:div w:id="488717256">
      <w:marLeft w:val="0"/>
      <w:marRight w:val="0"/>
      <w:marTop w:val="0"/>
      <w:marBottom w:val="0"/>
      <w:divBdr>
        <w:top w:val="none" w:sz="0" w:space="0" w:color="auto"/>
        <w:left w:val="none" w:sz="0" w:space="0" w:color="auto"/>
        <w:bottom w:val="none" w:sz="0" w:space="0" w:color="auto"/>
        <w:right w:val="none" w:sz="0" w:space="0" w:color="auto"/>
      </w:divBdr>
    </w:div>
    <w:div w:id="489178202">
      <w:marLeft w:val="0"/>
      <w:marRight w:val="0"/>
      <w:marTop w:val="0"/>
      <w:marBottom w:val="0"/>
      <w:divBdr>
        <w:top w:val="none" w:sz="0" w:space="0" w:color="auto"/>
        <w:left w:val="none" w:sz="0" w:space="0" w:color="auto"/>
        <w:bottom w:val="none" w:sz="0" w:space="0" w:color="auto"/>
        <w:right w:val="none" w:sz="0" w:space="0" w:color="auto"/>
      </w:divBdr>
    </w:div>
    <w:div w:id="489830329">
      <w:marLeft w:val="0"/>
      <w:marRight w:val="0"/>
      <w:marTop w:val="0"/>
      <w:marBottom w:val="0"/>
      <w:divBdr>
        <w:top w:val="none" w:sz="0" w:space="0" w:color="auto"/>
        <w:left w:val="none" w:sz="0" w:space="0" w:color="auto"/>
        <w:bottom w:val="none" w:sz="0" w:space="0" w:color="auto"/>
        <w:right w:val="none" w:sz="0" w:space="0" w:color="auto"/>
      </w:divBdr>
      <w:divsChild>
        <w:div w:id="1996755793">
          <w:marLeft w:val="0"/>
          <w:marRight w:val="0"/>
          <w:marTop w:val="0"/>
          <w:marBottom w:val="0"/>
          <w:divBdr>
            <w:top w:val="none" w:sz="0" w:space="0" w:color="auto"/>
            <w:left w:val="none" w:sz="0" w:space="0" w:color="auto"/>
            <w:bottom w:val="none" w:sz="0" w:space="0" w:color="auto"/>
            <w:right w:val="none" w:sz="0" w:space="0" w:color="auto"/>
          </w:divBdr>
        </w:div>
      </w:divsChild>
    </w:div>
    <w:div w:id="490754393">
      <w:marLeft w:val="0"/>
      <w:marRight w:val="0"/>
      <w:marTop w:val="100"/>
      <w:marBottom w:val="100"/>
      <w:divBdr>
        <w:top w:val="none" w:sz="0" w:space="0" w:color="auto"/>
        <w:left w:val="none" w:sz="0" w:space="0" w:color="auto"/>
        <w:bottom w:val="none" w:sz="0" w:space="0" w:color="auto"/>
        <w:right w:val="none" w:sz="0" w:space="0" w:color="auto"/>
      </w:divBdr>
      <w:divsChild>
        <w:div w:id="1689477449">
          <w:marLeft w:val="0"/>
          <w:marRight w:val="0"/>
          <w:marTop w:val="0"/>
          <w:marBottom w:val="0"/>
          <w:divBdr>
            <w:top w:val="none" w:sz="0" w:space="0" w:color="auto"/>
            <w:left w:val="none" w:sz="0" w:space="0" w:color="auto"/>
            <w:bottom w:val="none" w:sz="0" w:space="0" w:color="auto"/>
            <w:right w:val="none" w:sz="0" w:space="0" w:color="auto"/>
          </w:divBdr>
        </w:div>
      </w:divsChild>
    </w:div>
    <w:div w:id="490877597">
      <w:marLeft w:val="0"/>
      <w:marRight w:val="0"/>
      <w:marTop w:val="0"/>
      <w:marBottom w:val="0"/>
      <w:divBdr>
        <w:top w:val="none" w:sz="0" w:space="0" w:color="auto"/>
        <w:left w:val="none" w:sz="0" w:space="0" w:color="auto"/>
        <w:bottom w:val="none" w:sz="0" w:space="0" w:color="auto"/>
        <w:right w:val="none" w:sz="0" w:space="0" w:color="auto"/>
      </w:divBdr>
    </w:div>
    <w:div w:id="492525469">
      <w:marLeft w:val="0"/>
      <w:marRight w:val="0"/>
      <w:marTop w:val="0"/>
      <w:marBottom w:val="0"/>
      <w:divBdr>
        <w:top w:val="none" w:sz="0" w:space="0" w:color="auto"/>
        <w:left w:val="none" w:sz="0" w:space="0" w:color="auto"/>
        <w:bottom w:val="none" w:sz="0" w:space="0" w:color="auto"/>
        <w:right w:val="none" w:sz="0" w:space="0" w:color="auto"/>
      </w:divBdr>
    </w:div>
    <w:div w:id="493187732">
      <w:marLeft w:val="0"/>
      <w:marRight w:val="0"/>
      <w:marTop w:val="100"/>
      <w:marBottom w:val="100"/>
      <w:divBdr>
        <w:top w:val="none" w:sz="0" w:space="0" w:color="auto"/>
        <w:left w:val="none" w:sz="0" w:space="0" w:color="auto"/>
        <w:bottom w:val="none" w:sz="0" w:space="0" w:color="auto"/>
        <w:right w:val="none" w:sz="0" w:space="0" w:color="auto"/>
      </w:divBdr>
      <w:divsChild>
        <w:div w:id="833683635">
          <w:marLeft w:val="0"/>
          <w:marRight w:val="0"/>
          <w:marTop w:val="0"/>
          <w:marBottom w:val="0"/>
          <w:divBdr>
            <w:top w:val="none" w:sz="0" w:space="0" w:color="auto"/>
            <w:left w:val="none" w:sz="0" w:space="0" w:color="auto"/>
            <w:bottom w:val="none" w:sz="0" w:space="0" w:color="auto"/>
            <w:right w:val="none" w:sz="0" w:space="0" w:color="auto"/>
          </w:divBdr>
        </w:div>
      </w:divsChild>
    </w:div>
    <w:div w:id="493372858">
      <w:marLeft w:val="0"/>
      <w:marRight w:val="0"/>
      <w:marTop w:val="0"/>
      <w:marBottom w:val="0"/>
      <w:divBdr>
        <w:top w:val="none" w:sz="0" w:space="0" w:color="auto"/>
        <w:left w:val="none" w:sz="0" w:space="0" w:color="auto"/>
        <w:bottom w:val="none" w:sz="0" w:space="0" w:color="auto"/>
        <w:right w:val="none" w:sz="0" w:space="0" w:color="auto"/>
      </w:divBdr>
    </w:div>
    <w:div w:id="493841588">
      <w:marLeft w:val="0"/>
      <w:marRight w:val="0"/>
      <w:marTop w:val="0"/>
      <w:marBottom w:val="0"/>
      <w:divBdr>
        <w:top w:val="none" w:sz="0" w:space="0" w:color="auto"/>
        <w:left w:val="none" w:sz="0" w:space="0" w:color="auto"/>
        <w:bottom w:val="none" w:sz="0" w:space="0" w:color="auto"/>
        <w:right w:val="none" w:sz="0" w:space="0" w:color="auto"/>
      </w:divBdr>
    </w:div>
    <w:div w:id="494953815">
      <w:marLeft w:val="0"/>
      <w:marRight w:val="0"/>
      <w:marTop w:val="0"/>
      <w:marBottom w:val="0"/>
      <w:divBdr>
        <w:top w:val="none" w:sz="0" w:space="0" w:color="auto"/>
        <w:left w:val="none" w:sz="0" w:space="0" w:color="auto"/>
        <w:bottom w:val="none" w:sz="0" w:space="0" w:color="auto"/>
        <w:right w:val="none" w:sz="0" w:space="0" w:color="auto"/>
      </w:divBdr>
    </w:div>
    <w:div w:id="496964142">
      <w:marLeft w:val="0"/>
      <w:marRight w:val="0"/>
      <w:marTop w:val="0"/>
      <w:marBottom w:val="0"/>
      <w:divBdr>
        <w:top w:val="none" w:sz="0" w:space="0" w:color="auto"/>
        <w:left w:val="none" w:sz="0" w:space="0" w:color="auto"/>
        <w:bottom w:val="none" w:sz="0" w:space="0" w:color="auto"/>
        <w:right w:val="none" w:sz="0" w:space="0" w:color="auto"/>
      </w:divBdr>
    </w:div>
    <w:div w:id="497502959">
      <w:marLeft w:val="0"/>
      <w:marRight w:val="0"/>
      <w:marTop w:val="0"/>
      <w:marBottom w:val="0"/>
      <w:divBdr>
        <w:top w:val="none" w:sz="0" w:space="0" w:color="auto"/>
        <w:left w:val="none" w:sz="0" w:space="0" w:color="auto"/>
        <w:bottom w:val="none" w:sz="0" w:space="0" w:color="auto"/>
        <w:right w:val="none" w:sz="0" w:space="0" w:color="auto"/>
      </w:divBdr>
    </w:div>
    <w:div w:id="498470738">
      <w:marLeft w:val="0"/>
      <w:marRight w:val="0"/>
      <w:marTop w:val="0"/>
      <w:marBottom w:val="0"/>
      <w:divBdr>
        <w:top w:val="none" w:sz="0" w:space="0" w:color="auto"/>
        <w:left w:val="none" w:sz="0" w:space="0" w:color="auto"/>
        <w:bottom w:val="none" w:sz="0" w:space="0" w:color="auto"/>
        <w:right w:val="none" w:sz="0" w:space="0" w:color="auto"/>
      </w:divBdr>
    </w:div>
    <w:div w:id="499350501">
      <w:marLeft w:val="0"/>
      <w:marRight w:val="0"/>
      <w:marTop w:val="0"/>
      <w:marBottom w:val="0"/>
      <w:divBdr>
        <w:top w:val="none" w:sz="0" w:space="0" w:color="auto"/>
        <w:left w:val="none" w:sz="0" w:space="0" w:color="auto"/>
        <w:bottom w:val="none" w:sz="0" w:space="0" w:color="auto"/>
        <w:right w:val="none" w:sz="0" w:space="0" w:color="auto"/>
      </w:divBdr>
    </w:div>
    <w:div w:id="500850449">
      <w:marLeft w:val="0"/>
      <w:marRight w:val="0"/>
      <w:marTop w:val="0"/>
      <w:marBottom w:val="0"/>
      <w:divBdr>
        <w:top w:val="none" w:sz="0" w:space="0" w:color="auto"/>
        <w:left w:val="none" w:sz="0" w:space="0" w:color="auto"/>
        <w:bottom w:val="none" w:sz="0" w:space="0" w:color="auto"/>
        <w:right w:val="none" w:sz="0" w:space="0" w:color="auto"/>
      </w:divBdr>
    </w:div>
    <w:div w:id="501287054">
      <w:marLeft w:val="0"/>
      <w:marRight w:val="0"/>
      <w:marTop w:val="0"/>
      <w:marBottom w:val="0"/>
      <w:divBdr>
        <w:top w:val="none" w:sz="0" w:space="0" w:color="auto"/>
        <w:left w:val="none" w:sz="0" w:space="0" w:color="auto"/>
        <w:bottom w:val="none" w:sz="0" w:space="0" w:color="auto"/>
        <w:right w:val="none" w:sz="0" w:space="0" w:color="auto"/>
      </w:divBdr>
    </w:div>
    <w:div w:id="502664613">
      <w:marLeft w:val="0"/>
      <w:marRight w:val="0"/>
      <w:marTop w:val="0"/>
      <w:marBottom w:val="240"/>
      <w:divBdr>
        <w:top w:val="none" w:sz="0" w:space="0" w:color="auto"/>
        <w:left w:val="none" w:sz="0" w:space="0" w:color="auto"/>
        <w:bottom w:val="none" w:sz="0" w:space="0" w:color="auto"/>
        <w:right w:val="none" w:sz="0" w:space="0" w:color="auto"/>
      </w:divBdr>
    </w:div>
    <w:div w:id="503981058">
      <w:marLeft w:val="0"/>
      <w:marRight w:val="0"/>
      <w:marTop w:val="240"/>
      <w:marBottom w:val="240"/>
      <w:divBdr>
        <w:top w:val="none" w:sz="0" w:space="0" w:color="auto"/>
        <w:left w:val="none" w:sz="0" w:space="0" w:color="auto"/>
        <w:bottom w:val="none" w:sz="0" w:space="0" w:color="auto"/>
        <w:right w:val="none" w:sz="0" w:space="0" w:color="auto"/>
      </w:divBdr>
    </w:div>
    <w:div w:id="504055383">
      <w:marLeft w:val="0"/>
      <w:marRight w:val="0"/>
      <w:marTop w:val="0"/>
      <w:marBottom w:val="0"/>
      <w:divBdr>
        <w:top w:val="none" w:sz="0" w:space="0" w:color="auto"/>
        <w:left w:val="none" w:sz="0" w:space="0" w:color="auto"/>
        <w:bottom w:val="none" w:sz="0" w:space="0" w:color="auto"/>
        <w:right w:val="none" w:sz="0" w:space="0" w:color="auto"/>
      </w:divBdr>
      <w:divsChild>
        <w:div w:id="308438678">
          <w:marLeft w:val="0"/>
          <w:marRight w:val="0"/>
          <w:marTop w:val="0"/>
          <w:marBottom w:val="0"/>
          <w:divBdr>
            <w:top w:val="none" w:sz="0" w:space="0" w:color="auto"/>
            <w:left w:val="none" w:sz="0" w:space="0" w:color="auto"/>
            <w:bottom w:val="none" w:sz="0" w:space="0" w:color="auto"/>
            <w:right w:val="none" w:sz="0" w:space="0" w:color="auto"/>
          </w:divBdr>
        </w:div>
      </w:divsChild>
    </w:div>
    <w:div w:id="504367216">
      <w:marLeft w:val="0"/>
      <w:marRight w:val="0"/>
      <w:marTop w:val="0"/>
      <w:marBottom w:val="0"/>
      <w:divBdr>
        <w:top w:val="none" w:sz="0" w:space="0" w:color="auto"/>
        <w:left w:val="none" w:sz="0" w:space="0" w:color="auto"/>
        <w:bottom w:val="none" w:sz="0" w:space="0" w:color="auto"/>
        <w:right w:val="none" w:sz="0" w:space="0" w:color="auto"/>
      </w:divBdr>
    </w:div>
    <w:div w:id="505023652">
      <w:marLeft w:val="0"/>
      <w:marRight w:val="0"/>
      <w:marTop w:val="0"/>
      <w:marBottom w:val="0"/>
      <w:divBdr>
        <w:top w:val="none" w:sz="0" w:space="0" w:color="auto"/>
        <w:left w:val="none" w:sz="0" w:space="0" w:color="auto"/>
        <w:bottom w:val="none" w:sz="0" w:space="0" w:color="auto"/>
        <w:right w:val="none" w:sz="0" w:space="0" w:color="auto"/>
      </w:divBdr>
    </w:div>
    <w:div w:id="505092422">
      <w:marLeft w:val="0"/>
      <w:marRight w:val="0"/>
      <w:marTop w:val="0"/>
      <w:marBottom w:val="0"/>
      <w:divBdr>
        <w:top w:val="none" w:sz="0" w:space="0" w:color="auto"/>
        <w:left w:val="none" w:sz="0" w:space="0" w:color="auto"/>
        <w:bottom w:val="none" w:sz="0" w:space="0" w:color="auto"/>
        <w:right w:val="none" w:sz="0" w:space="0" w:color="auto"/>
      </w:divBdr>
    </w:div>
    <w:div w:id="506331978">
      <w:marLeft w:val="0"/>
      <w:marRight w:val="0"/>
      <w:marTop w:val="0"/>
      <w:marBottom w:val="0"/>
      <w:divBdr>
        <w:top w:val="none" w:sz="0" w:space="0" w:color="auto"/>
        <w:left w:val="none" w:sz="0" w:space="0" w:color="auto"/>
        <w:bottom w:val="none" w:sz="0" w:space="0" w:color="auto"/>
        <w:right w:val="none" w:sz="0" w:space="0" w:color="auto"/>
      </w:divBdr>
    </w:div>
    <w:div w:id="506557123">
      <w:marLeft w:val="0"/>
      <w:marRight w:val="0"/>
      <w:marTop w:val="0"/>
      <w:marBottom w:val="0"/>
      <w:divBdr>
        <w:top w:val="none" w:sz="0" w:space="0" w:color="auto"/>
        <w:left w:val="none" w:sz="0" w:space="0" w:color="auto"/>
        <w:bottom w:val="none" w:sz="0" w:space="0" w:color="auto"/>
        <w:right w:val="none" w:sz="0" w:space="0" w:color="auto"/>
      </w:divBdr>
    </w:div>
    <w:div w:id="506798113">
      <w:marLeft w:val="0"/>
      <w:marRight w:val="0"/>
      <w:marTop w:val="0"/>
      <w:marBottom w:val="0"/>
      <w:divBdr>
        <w:top w:val="none" w:sz="0" w:space="0" w:color="auto"/>
        <w:left w:val="none" w:sz="0" w:space="0" w:color="auto"/>
        <w:bottom w:val="none" w:sz="0" w:space="0" w:color="auto"/>
        <w:right w:val="none" w:sz="0" w:space="0" w:color="auto"/>
      </w:divBdr>
    </w:div>
    <w:div w:id="507870304">
      <w:marLeft w:val="0"/>
      <w:marRight w:val="0"/>
      <w:marTop w:val="0"/>
      <w:marBottom w:val="0"/>
      <w:divBdr>
        <w:top w:val="none" w:sz="0" w:space="0" w:color="auto"/>
        <w:left w:val="none" w:sz="0" w:space="0" w:color="auto"/>
        <w:bottom w:val="none" w:sz="0" w:space="0" w:color="auto"/>
        <w:right w:val="none" w:sz="0" w:space="0" w:color="auto"/>
      </w:divBdr>
    </w:div>
    <w:div w:id="508299052">
      <w:marLeft w:val="0"/>
      <w:marRight w:val="0"/>
      <w:marTop w:val="0"/>
      <w:marBottom w:val="0"/>
      <w:divBdr>
        <w:top w:val="none" w:sz="0" w:space="0" w:color="auto"/>
        <w:left w:val="none" w:sz="0" w:space="0" w:color="auto"/>
        <w:bottom w:val="none" w:sz="0" w:space="0" w:color="auto"/>
        <w:right w:val="none" w:sz="0" w:space="0" w:color="auto"/>
      </w:divBdr>
    </w:div>
    <w:div w:id="509180798">
      <w:marLeft w:val="0"/>
      <w:marRight w:val="0"/>
      <w:marTop w:val="0"/>
      <w:marBottom w:val="0"/>
      <w:divBdr>
        <w:top w:val="none" w:sz="0" w:space="0" w:color="auto"/>
        <w:left w:val="none" w:sz="0" w:space="0" w:color="auto"/>
        <w:bottom w:val="none" w:sz="0" w:space="0" w:color="auto"/>
        <w:right w:val="none" w:sz="0" w:space="0" w:color="auto"/>
      </w:divBdr>
    </w:div>
    <w:div w:id="509805936">
      <w:marLeft w:val="0"/>
      <w:marRight w:val="0"/>
      <w:marTop w:val="0"/>
      <w:marBottom w:val="0"/>
      <w:divBdr>
        <w:top w:val="none" w:sz="0" w:space="0" w:color="auto"/>
        <w:left w:val="none" w:sz="0" w:space="0" w:color="auto"/>
        <w:bottom w:val="none" w:sz="0" w:space="0" w:color="auto"/>
        <w:right w:val="none" w:sz="0" w:space="0" w:color="auto"/>
      </w:divBdr>
    </w:div>
    <w:div w:id="510027544">
      <w:marLeft w:val="0"/>
      <w:marRight w:val="0"/>
      <w:marTop w:val="0"/>
      <w:marBottom w:val="0"/>
      <w:divBdr>
        <w:top w:val="none" w:sz="0" w:space="0" w:color="auto"/>
        <w:left w:val="none" w:sz="0" w:space="0" w:color="auto"/>
        <w:bottom w:val="none" w:sz="0" w:space="0" w:color="auto"/>
        <w:right w:val="none" w:sz="0" w:space="0" w:color="auto"/>
      </w:divBdr>
    </w:div>
    <w:div w:id="510921718">
      <w:marLeft w:val="0"/>
      <w:marRight w:val="0"/>
      <w:marTop w:val="0"/>
      <w:marBottom w:val="0"/>
      <w:divBdr>
        <w:top w:val="none" w:sz="0" w:space="0" w:color="auto"/>
        <w:left w:val="none" w:sz="0" w:space="0" w:color="auto"/>
        <w:bottom w:val="none" w:sz="0" w:space="0" w:color="auto"/>
        <w:right w:val="none" w:sz="0" w:space="0" w:color="auto"/>
      </w:divBdr>
      <w:divsChild>
        <w:div w:id="66652565">
          <w:marLeft w:val="0"/>
          <w:marRight w:val="0"/>
          <w:marTop w:val="0"/>
          <w:marBottom w:val="0"/>
          <w:divBdr>
            <w:top w:val="none" w:sz="0" w:space="0" w:color="auto"/>
            <w:left w:val="none" w:sz="0" w:space="0" w:color="auto"/>
            <w:bottom w:val="none" w:sz="0" w:space="0" w:color="auto"/>
            <w:right w:val="none" w:sz="0" w:space="0" w:color="auto"/>
          </w:divBdr>
        </w:div>
      </w:divsChild>
    </w:div>
    <w:div w:id="510946500">
      <w:marLeft w:val="0"/>
      <w:marRight w:val="0"/>
      <w:marTop w:val="0"/>
      <w:marBottom w:val="0"/>
      <w:divBdr>
        <w:top w:val="none" w:sz="0" w:space="0" w:color="auto"/>
        <w:left w:val="none" w:sz="0" w:space="0" w:color="auto"/>
        <w:bottom w:val="none" w:sz="0" w:space="0" w:color="auto"/>
        <w:right w:val="none" w:sz="0" w:space="0" w:color="auto"/>
      </w:divBdr>
    </w:div>
    <w:div w:id="511534951">
      <w:marLeft w:val="0"/>
      <w:marRight w:val="0"/>
      <w:marTop w:val="0"/>
      <w:marBottom w:val="0"/>
      <w:divBdr>
        <w:top w:val="none" w:sz="0" w:space="0" w:color="auto"/>
        <w:left w:val="none" w:sz="0" w:space="0" w:color="auto"/>
        <w:bottom w:val="none" w:sz="0" w:space="0" w:color="auto"/>
        <w:right w:val="none" w:sz="0" w:space="0" w:color="auto"/>
      </w:divBdr>
    </w:div>
    <w:div w:id="514854149">
      <w:marLeft w:val="0"/>
      <w:marRight w:val="0"/>
      <w:marTop w:val="0"/>
      <w:marBottom w:val="0"/>
      <w:divBdr>
        <w:top w:val="none" w:sz="0" w:space="0" w:color="auto"/>
        <w:left w:val="none" w:sz="0" w:space="0" w:color="auto"/>
        <w:bottom w:val="none" w:sz="0" w:space="0" w:color="auto"/>
        <w:right w:val="none" w:sz="0" w:space="0" w:color="auto"/>
      </w:divBdr>
    </w:div>
    <w:div w:id="516045449">
      <w:marLeft w:val="0"/>
      <w:marRight w:val="0"/>
      <w:marTop w:val="0"/>
      <w:marBottom w:val="0"/>
      <w:divBdr>
        <w:top w:val="none" w:sz="0" w:space="0" w:color="auto"/>
        <w:left w:val="none" w:sz="0" w:space="0" w:color="auto"/>
        <w:bottom w:val="none" w:sz="0" w:space="0" w:color="auto"/>
        <w:right w:val="none" w:sz="0" w:space="0" w:color="auto"/>
      </w:divBdr>
      <w:divsChild>
        <w:div w:id="110831976">
          <w:marLeft w:val="0"/>
          <w:marRight w:val="0"/>
          <w:marTop w:val="0"/>
          <w:marBottom w:val="0"/>
          <w:divBdr>
            <w:top w:val="none" w:sz="0" w:space="0" w:color="auto"/>
            <w:left w:val="none" w:sz="0" w:space="0" w:color="auto"/>
            <w:bottom w:val="none" w:sz="0" w:space="0" w:color="auto"/>
            <w:right w:val="none" w:sz="0" w:space="0" w:color="auto"/>
          </w:divBdr>
        </w:div>
      </w:divsChild>
    </w:div>
    <w:div w:id="518008610">
      <w:marLeft w:val="0"/>
      <w:marRight w:val="0"/>
      <w:marTop w:val="0"/>
      <w:marBottom w:val="0"/>
      <w:divBdr>
        <w:top w:val="none" w:sz="0" w:space="0" w:color="auto"/>
        <w:left w:val="none" w:sz="0" w:space="0" w:color="auto"/>
        <w:bottom w:val="none" w:sz="0" w:space="0" w:color="auto"/>
        <w:right w:val="none" w:sz="0" w:space="0" w:color="auto"/>
      </w:divBdr>
    </w:div>
    <w:div w:id="518472183">
      <w:marLeft w:val="0"/>
      <w:marRight w:val="0"/>
      <w:marTop w:val="0"/>
      <w:marBottom w:val="0"/>
      <w:divBdr>
        <w:top w:val="none" w:sz="0" w:space="0" w:color="auto"/>
        <w:left w:val="none" w:sz="0" w:space="0" w:color="auto"/>
        <w:bottom w:val="none" w:sz="0" w:space="0" w:color="auto"/>
        <w:right w:val="none" w:sz="0" w:space="0" w:color="auto"/>
      </w:divBdr>
    </w:div>
    <w:div w:id="518548520">
      <w:marLeft w:val="0"/>
      <w:marRight w:val="0"/>
      <w:marTop w:val="0"/>
      <w:marBottom w:val="0"/>
      <w:divBdr>
        <w:top w:val="none" w:sz="0" w:space="0" w:color="auto"/>
        <w:left w:val="none" w:sz="0" w:space="0" w:color="auto"/>
        <w:bottom w:val="none" w:sz="0" w:space="0" w:color="auto"/>
        <w:right w:val="none" w:sz="0" w:space="0" w:color="auto"/>
      </w:divBdr>
    </w:div>
    <w:div w:id="520045264">
      <w:marLeft w:val="0"/>
      <w:marRight w:val="0"/>
      <w:marTop w:val="0"/>
      <w:marBottom w:val="0"/>
      <w:divBdr>
        <w:top w:val="none" w:sz="0" w:space="0" w:color="auto"/>
        <w:left w:val="none" w:sz="0" w:space="0" w:color="auto"/>
        <w:bottom w:val="none" w:sz="0" w:space="0" w:color="auto"/>
        <w:right w:val="none" w:sz="0" w:space="0" w:color="auto"/>
      </w:divBdr>
    </w:div>
    <w:div w:id="520512117">
      <w:marLeft w:val="0"/>
      <w:marRight w:val="0"/>
      <w:marTop w:val="0"/>
      <w:marBottom w:val="0"/>
      <w:divBdr>
        <w:top w:val="none" w:sz="0" w:space="0" w:color="auto"/>
        <w:left w:val="none" w:sz="0" w:space="0" w:color="auto"/>
        <w:bottom w:val="none" w:sz="0" w:space="0" w:color="auto"/>
        <w:right w:val="none" w:sz="0" w:space="0" w:color="auto"/>
      </w:divBdr>
    </w:div>
    <w:div w:id="520824691">
      <w:marLeft w:val="0"/>
      <w:marRight w:val="0"/>
      <w:marTop w:val="0"/>
      <w:marBottom w:val="0"/>
      <w:divBdr>
        <w:top w:val="none" w:sz="0" w:space="0" w:color="auto"/>
        <w:left w:val="none" w:sz="0" w:space="0" w:color="auto"/>
        <w:bottom w:val="none" w:sz="0" w:space="0" w:color="auto"/>
        <w:right w:val="none" w:sz="0" w:space="0" w:color="auto"/>
      </w:divBdr>
    </w:div>
    <w:div w:id="521549300">
      <w:marLeft w:val="0"/>
      <w:marRight w:val="0"/>
      <w:marTop w:val="0"/>
      <w:marBottom w:val="0"/>
      <w:divBdr>
        <w:top w:val="none" w:sz="0" w:space="0" w:color="auto"/>
        <w:left w:val="none" w:sz="0" w:space="0" w:color="auto"/>
        <w:bottom w:val="none" w:sz="0" w:space="0" w:color="auto"/>
        <w:right w:val="none" w:sz="0" w:space="0" w:color="auto"/>
      </w:divBdr>
    </w:div>
    <w:div w:id="522789042">
      <w:marLeft w:val="0"/>
      <w:marRight w:val="0"/>
      <w:marTop w:val="0"/>
      <w:marBottom w:val="0"/>
      <w:divBdr>
        <w:top w:val="none" w:sz="0" w:space="0" w:color="auto"/>
        <w:left w:val="none" w:sz="0" w:space="0" w:color="auto"/>
        <w:bottom w:val="none" w:sz="0" w:space="0" w:color="auto"/>
        <w:right w:val="none" w:sz="0" w:space="0" w:color="auto"/>
      </w:divBdr>
    </w:div>
    <w:div w:id="522868471">
      <w:marLeft w:val="0"/>
      <w:marRight w:val="0"/>
      <w:marTop w:val="0"/>
      <w:marBottom w:val="0"/>
      <w:divBdr>
        <w:top w:val="none" w:sz="0" w:space="0" w:color="auto"/>
        <w:left w:val="none" w:sz="0" w:space="0" w:color="auto"/>
        <w:bottom w:val="none" w:sz="0" w:space="0" w:color="auto"/>
        <w:right w:val="none" w:sz="0" w:space="0" w:color="auto"/>
      </w:divBdr>
    </w:div>
    <w:div w:id="523399689">
      <w:marLeft w:val="0"/>
      <w:marRight w:val="0"/>
      <w:marTop w:val="0"/>
      <w:marBottom w:val="0"/>
      <w:divBdr>
        <w:top w:val="none" w:sz="0" w:space="0" w:color="auto"/>
        <w:left w:val="none" w:sz="0" w:space="0" w:color="auto"/>
        <w:bottom w:val="none" w:sz="0" w:space="0" w:color="auto"/>
        <w:right w:val="none" w:sz="0" w:space="0" w:color="auto"/>
      </w:divBdr>
    </w:div>
    <w:div w:id="523708698">
      <w:marLeft w:val="0"/>
      <w:marRight w:val="0"/>
      <w:marTop w:val="0"/>
      <w:marBottom w:val="0"/>
      <w:divBdr>
        <w:top w:val="none" w:sz="0" w:space="0" w:color="auto"/>
        <w:left w:val="none" w:sz="0" w:space="0" w:color="auto"/>
        <w:bottom w:val="none" w:sz="0" w:space="0" w:color="auto"/>
        <w:right w:val="none" w:sz="0" w:space="0" w:color="auto"/>
      </w:divBdr>
    </w:div>
    <w:div w:id="524639716">
      <w:marLeft w:val="0"/>
      <w:marRight w:val="0"/>
      <w:marTop w:val="0"/>
      <w:marBottom w:val="0"/>
      <w:divBdr>
        <w:top w:val="none" w:sz="0" w:space="0" w:color="auto"/>
        <w:left w:val="none" w:sz="0" w:space="0" w:color="auto"/>
        <w:bottom w:val="none" w:sz="0" w:space="0" w:color="auto"/>
        <w:right w:val="none" w:sz="0" w:space="0" w:color="auto"/>
      </w:divBdr>
      <w:divsChild>
        <w:div w:id="211118345">
          <w:marLeft w:val="0"/>
          <w:marRight w:val="0"/>
          <w:marTop w:val="0"/>
          <w:marBottom w:val="0"/>
          <w:divBdr>
            <w:top w:val="none" w:sz="0" w:space="0" w:color="auto"/>
            <w:left w:val="none" w:sz="0" w:space="0" w:color="auto"/>
            <w:bottom w:val="none" w:sz="0" w:space="0" w:color="auto"/>
            <w:right w:val="none" w:sz="0" w:space="0" w:color="auto"/>
          </w:divBdr>
        </w:div>
      </w:divsChild>
    </w:div>
    <w:div w:id="526022025">
      <w:marLeft w:val="0"/>
      <w:marRight w:val="0"/>
      <w:marTop w:val="0"/>
      <w:marBottom w:val="0"/>
      <w:divBdr>
        <w:top w:val="none" w:sz="0" w:space="0" w:color="auto"/>
        <w:left w:val="none" w:sz="0" w:space="0" w:color="auto"/>
        <w:bottom w:val="none" w:sz="0" w:space="0" w:color="auto"/>
        <w:right w:val="none" w:sz="0" w:space="0" w:color="auto"/>
      </w:divBdr>
      <w:divsChild>
        <w:div w:id="315378941">
          <w:marLeft w:val="0"/>
          <w:marRight w:val="0"/>
          <w:marTop w:val="0"/>
          <w:marBottom w:val="0"/>
          <w:divBdr>
            <w:top w:val="none" w:sz="0" w:space="0" w:color="auto"/>
            <w:left w:val="none" w:sz="0" w:space="0" w:color="auto"/>
            <w:bottom w:val="none" w:sz="0" w:space="0" w:color="auto"/>
            <w:right w:val="none" w:sz="0" w:space="0" w:color="auto"/>
          </w:divBdr>
        </w:div>
      </w:divsChild>
    </w:div>
    <w:div w:id="526065933">
      <w:marLeft w:val="0"/>
      <w:marRight w:val="0"/>
      <w:marTop w:val="0"/>
      <w:marBottom w:val="0"/>
      <w:divBdr>
        <w:top w:val="none" w:sz="0" w:space="0" w:color="auto"/>
        <w:left w:val="none" w:sz="0" w:space="0" w:color="auto"/>
        <w:bottom w:val="none" w:sz="0" w:space="0" w:color="auto"/>
        <w:right w:val="none" w:sz="0" w:space="0" w:color="auto"/>
      </w:divBdr>
    </w:div>
    <w:div w:id="527255964">
      <w:marLeft w:val="0"/>
      <w:marRight w:val="0"/>
      <w:marTop w:val="0"/>
      <w:marBottom w:val="0"/>
      <w:divBdr>
        <w:top w:val="none" w:sz="0" w:space="0" w:color="auto"/>
        <w:left w:val="none" w:sz="0" w:space="0" w:color="auto"/>
        <w:bottom w:val="none" w:sz="0" w:space="0" w:color="auto"/>
        <w:right w:val="none" w:sz="0" w:space="0" w:color="auto"/>
      </w:divBdr>
    </w:div>
    <w:div w:id="528299758">
      <w:marLeft w:val="0"/>
      <w:marRight w:val="0"/>
      <w:marTop w:val="0"/>
      <w:marBottom w:val="0"/>
      <w:divBdr>
        <w:top w:val="none" w:sz="0" w:space="0" w:color="auto"/>
        <w:left w:val="none" w:sz="0" w:space="0" w:color="auto"/>
        <w:bottom w:val="none" w:sz="0" w:space="0" w:color="auto"/>
        <w:right w:val="none" w:sz="0" w:space="0" w:color="auto"/>
      </w:divBdr>
    </w:div>
    <w:div w:id="528448144">
      <w:marLeft w:val="0"/>
      <w:marRight w:val="0"/>
      <w:marTop w:val="0"/>
      <w:marBottom w:val="0"/>
      <w:divBdr>
        <w:top w:val="none" w:sz="0" w:space="0" w:color="auto"/>
        <w:left w:val="none" w:sz="0" w:space="0" w:color="auto"/>
        <w:bottom w:val="none" w:sz="0" w:space="0" w:color="auto"/>
        <w:right w:val="none" w:sz="0" w:space="0" w:color="auto"/>
      </w:divBdr>
    </w:div>
    <w:div w:id="531385489">
      <w:marLeft w:val="0"/>
      <w:marRight w:val="0"/>
      <w:marTop w:val="0"/>
      <w:marBottom w:val="0"/>
      <w:divBdr>
        <w:top w:val="none" w:sz="0" w:space="0" w:color="auto"/>
        <w:left w:val="none" w:sz="0" w:space="0" w:color="auto"/>
        <w:bottom w:val="none" w:sz="0" w:space="0" w:color="auto"/>
        <w:right w:val="none" w:sz="0" w:space="0" w:color="auto"/>
      </w:divBdr>
    </w:div>
    <w:div w:id="532574516">
      <w:marLeft w:val="0"/>
      <w:marRight w:val="0"/>
      <w:marTop w:val="0"/>
      <w:marBottom w:val="0"/>
      <w:divBdr>
        <w:top w:val="none" w:sz="0" w:space="0" w:color="auto"/>
        <w:left w:val="none" w:sz="0" w:space="0" w:color="auto"/>
        <w:bottom w:val="none" w:sz="0" w:space="0" w:color="auto"/>
        <w:right w:val="none" w:sz="0" w:space="0" w:color="auto"/>
      </w:divBdr>
    </w:div>
    <w:div w:id="534654932">
      <w:marLeft w:val="0"/>
      <w:marRight w:val="0"/>
      <w:marTop w:val="0"/>
      <w:marBottom w:val="0"/>
      <w:divBdr>
        <w:top w:val="none" w:sz="0" w:space="0" w:color="auto"/>
        <w:left w:val="none" w:sz="0" w:space="0" w:color="auto"/>
        <w:bottom w:val="none" w:sz="0" w:space="0" w:color="auto"/>
        <w:right w:val="none" w:sz="0" w:space="0" w:color="auto"/>
      </w:divBdr>
    </w:div>
    <w:div w:id="535849289">
      <w:marLeft w:val="0"/>
      <w:marRight w:val="0"/>
      <w:marTop w:val="0"/>
      <w:marBottom w:val="0"/>
      <w:divBdr>
        <w:top w:val="none" w:sz="0" w:space="0" w:color="auto"/>
        <w:left w:val="none" w:sz="0" w:space="0" w:color="auto"/>
        <w:bottom w:val="none" w:sz="0" w:space="0" w:color="auto"/>
        <w:right w:val="none" w:sz="0" w:space="0" w:color="auto"/>
      </w:divBdr>
    </w:div>
    <w:div w:id="535895949">
      <w:marLeft w:val="0"/>
      <w:marRight w:val="0"/>
      <w:marTop w:val="0"/>
      <w:marBottom w:val="120"/>
      <w:divBdr>
        <w:top w:val="none" w:sz="0" w:space="0" w:color="auto"/>
        <w:left w:val="none" w:sz="0" w:space="0" w:color="auto"/>
        <w:bottom w:val="none" w:sz="0" w:space="0" w:color="auto"/>
        <w:right w:val="none" w:sz="0" w:space="0" w:color="auto"/>
      </w:divBdr>
      <w:divsChild>
        <w:div w:id="39985068">
          <w:marLeft w:val="0"/>
          <w:marRight w:val="0"/>
          <w:marTop w:val="0"/>
          <w:marBottom w:val="0"/>
          <w:divBdr>
            <w:top w:val="none" w:sz="0" w:space="0" w:color="auto"/>
            <w:left w:val="none" w:sz="0" w:space="0" w:color="auto"/>
            <w:bottom w:val="none" w:sz="0" w:space="0" w:color="auto"/>
            <w:right w:val="none" w:sz="0" w:space="0" w:color="auto"/>
          </w:divBdr>
        </w:div>
        <w:div w:id="345059731">
          <w:marLeft w:val="0"/>
          <w:marRight w:val="0"/>
          <w:marTop w:val="0"/>
          <w:marBottom w:val="0"/>
          <w:divBdr>
            <w:top w:val="none" w:sz="0" w:space="0" w:color="auto"/>
            <w:left w:val="none" w:sz="0" w:space="0" w:color="auto"/>
            <w:bottom w:val="none" w:sz="0" w:space="0" w:color="auto"/>
            <w:right w:val="none" w:sz="0" w:space="0" w:color="auto"/>
          </w:divBdr>
        </w:div>
        <w:div w:id="1949389619">
          <w:marLeft w:val="0"/>
          <w:marRight w:val="0"/>
          <w:marTop w:val="0"/>
          <w:marBottom w:val="0"/>
          <w:divBdr>
            <w:top w:val="none" w:sz="0" w:space="0" w:color="auto"/>
            <w:left w:val="none" w:sz="0" w:space="0" w:color="auto"/>
            <w:bottom w:val="none" w:sz="0" w:space="0" w:color="auto"/>
            <w:right w:val="none" w:sz="0" w:space="0" w:color="auto"/>
          </w:divBdr>
        </w:div>
        <w:div w:id="1569997170">
          <w:marLeft w:val="0"/>
          <w:marRight w:val="0"/>
          <w:marTop w:val="0"/>
          <w:marBottom w:val="0"/>
          <w:divBdr>
            <w:top w:val="none" w:sz="0" w:space="0" w:color="auto"/>
            <w:left w:val="none" w:sz="0" w:space="0" w:color="auto"/>
            <w:bottom w:val="none" w:sz="0" w:space="0" w:color="auto"/>
            <w:right w:val="none" w:sz="0" w:space="0" w:color="auto"/>
          </w:divBdr>
        </w:div>
      </w:divsChild>
    </w:div>
    <w:div w:id="535970887">
      <w:marLeft w:val="0"/>
      <w:marRight w:val="0"/>
      <w:marTop w:val="0"/>
      <w:marBottom w:val="0"/>
      <w:divBdr>
        <w:top w:val="none" w:sz="0" w:space="0" w:color="auto"/>
        <w:left w:val="none" w:sz="0" w:space="0" w:color="auto"/>
        <w:bottom w:val="none" w:sz="0" w:space="0" w:color="auto"/>
        <w:right w:val="none" w:sz="0" w:space="0" w:color="auto"/>
      </w:divBdr>
    </w:div>
    <w:div w:id="537357607">
      <w:marLeft w:val="0"/>
      <w:marRight w:val="0"/>
      <w:marTop w:val="0"/>
      <w:marBottom w:val="0"/>
      <w:divBdr>
        <w:top w:val="none" w:sz="0" w:space="0" w:color="auto"/>
        <w:left w:val="none" w:sz="0" w:space="0" w:color="auto"/>
        <w:bottom w:val="none" w:sz="0" w:space="0" w:color="auto"/>
        <w:right w:val="none" w:sz="0" w:space="0" w:color="auto"/>
      </w:divBdr>
    </w:div>
    <w:div w:id="537548291">
      <w:marLeft w:val="0"/>
      <w:marRight w:val="0"/>
      <w:marTop w:val="0"/>
      <w:marBottom w:val="0"/>
      <w:divBdr>
        <w:top w:val="none" w:sz="0" w:space="0" w:color="auto"/>
        <w:left w:val="none" w:sz="0" w:space="0" w:color="auto"/>
        <w:bottom w:val="none" w:sz="0" w:space="0" w:color="auto"/>
        <w:right w:val="none" w:sz="0" w:space="0" w:color="auto"/>
      </w:divBdr>
    </w:div>
    <w:div w:id="538736562">
      <w:marLeft w:val="0"/>
      <w:marRight w:val="0"/>
      <w:marTop w:val="0"/>
      <w:marBottom w:val="0"/>
      <w:divBdr>
        <w:top w:val="none" w:sz="0" w:space="0" w:color="auto"/>
        <w:left w:val="none" w:sz="0" w:space="0" w:color="auto"/>
        <w:bottom w:val="none" w:sz="0" w:space="0" w:color="auto"/>
        <w:right w:val="none" w:sz="0" w:space="0" w:color="auto"/>
      </w:divBdr>
    </w:div>
    <w:div w:id="539977196">
      <w:marLeft w:val="0"/>
      <w:marRight w:val="0"/>
      <w:marTop w:val="0"/>
      <w:marBottom w:val="0"/>
      <w:divBdr>
        <w:top w:val="none" w:sz="0" w:space="0" w:color="auto"/>
        <w:left w:val="none" w:sz="0" w:space="0" w:color="auto"/>
        <w:bottom w:val="none" w:sz="0" w:space="0" w:color="auto"/>
        <w:right w:val="none" w:sz="0" w:space="0" w:color="auto"/>
      </w:divBdr>
    </w:div>
    <w:div w:id="539978035">
      <w:marLeft w:val="0"/>
      <w:marRight w:val="0"/>
      <w:marTop w:val="100"/>
      <w:marBottom w:val="100"/>
      <w:divBdr>
        <w:top w:val="none" w:sz="0" w:space="0" w:color="auto"/>
        <w:left w:val="none" w:sz="0" w:space="0" w:color="auto"/>
        <w:bottom w:val="none" w:sz="0" w:space="0" w:color="auto"/>
        <w:right w:val="none" w:sz="0" w:space="0" w:color="auto"/>
      </w:divBdr>
      <w:divsChild>
        <w:div w:id="1462649912">
          <w:marLeft w:val="0"/>
          <w:marRight w:val="0"/>
          <w:marTop w:val="0"/>
          <w:marBottom w:val="0"/>
          <w:divBdr>
            <w:top w:val="none" w:sz="0" w:space="0" w:color="auto"/>
            <w:left w:val="none" w:sz="0" w:space="0" w:color="auto"/>
            <w:bottom w:val="none" w:sz="0" w:space="0" w:color="auto"/>
            <w:right w:val="none" w:sz="0" w:space="0" w:color="auto"/>
          </w:divBdr>
        </w:div>
        <w:div w:id="1027607911">
          <w:marLeft w:val="0"/>
          <w:marRight w:val="0"/>
          <w:marTop w:val="0"/>
          <w:marBottom w:val="0"/>
          <w:divBdr>
            <w:top w:val="none" w:sz="0" w:space="0" w:color="auto"/>
            <w:left w:val="none" w:sz="0" w:space="0" w:color="auto"/>
            <w:bottom w:val="none" w:sz="0" w:space="0" w:color="auto"/>
            <w:right w:val="none" w:sz="0" w:space="0" w:color="auto"/>
          </w:divBdr>
        </w:div>
        <w:div w:id="1082067396">
          <w:marLeft w:val="0"/>
          <w:marRight w:val="0"/>
          <w:marTop w:val="0"/>
          <w:marBottom w:val="0"/>
          <w:divBdr>
            <w:top w:val="none" w:sz="0" w:space="0" w:color="auto"/>
            <w:left w:val="none" w:sz="0" w:space="0" w:color="auto"/>
            <w:bottom w:val="none" w:sz="0" w:space="0" w:color="auto"/>
            <w:right w:val="none" w:sz="0" w:space="0" w:color="auto"/>
          </w:divBdr>
        </w:div>
        <w:div w:id="649166643">
          <w:marLeft w:val="0"/>
          <w:marRight w:val="0"/>
          <w:marTop w:val="0"/>
          <w:marBottom w:val="0"/>
          <w:divBdr>
            <w:top w:val="none" w:sz="0" w:space="0" w:color="auto"/>
            <w:left w:val="none" w:sz="0" w:space="0" w:color="auto"/>
            <w:bottom w:val="none" w:sz="0" w:space="0" w:color="auto"/>
            <w:right w:val="none" w:sz="0" w:space="0" w:color="auto"/>
          </w:divBdr>
        </w:div>
        <w:div w:id="2109692220">
          <w:marLeft w:val="0"/>
          <w:marRight w:val="0"/>
          <w:marTop w:val="0"/>
          <w:marBottom w:val="0"/>
          <w:divBdr>
            <w:top w:val="none" w:sz="0" w:space="0" w:color="auto"/>
            <w:left w:val="none" w:sz="0" w:space="0" w:color="auto"/>
            <w:bottom w:val="none" w:sz="0" w:space="0" w:color="auto"/>
            <w:right w:val="none" w:sz="0" w:space="0" w:color="auto"/>
          </w:divBdr>
        </w:div>
        <w:div w:id="2097285944">
          <w:marLeft w:val="0"/>
          <w:marRight w:val="0"/>
          <w:marTop w:val="0"/>
          <w:marBottom w:val="0"/>
          <w:divBdr>
            <w:top w:val="none" w:sz="0" w:space="0" w:color="auto"/>
            <w:left w:val="none" w:sz="0" w:space="0" w:color="auto"/>
            <w:bottom w:val="none" w:sz="0" w:space="0" w:color="auto"/>
            <w:right w:val="none" w:sz="0" w:space="0" w:color="auto"/>
          </w:divBdr>
        </w:div>
      </w:divsChild>
    </w:div>
    <w:div w:id="542134120">
      <w:marLeft w:val="0"/>
      <w:marRight w:val="0"/>
      <w:marTop w:val="0"/>
      <w:marBottom w:val="0"/>
      <w:divBdr>
        <w:top w:val="none" w:sz="0" w:space="0" w:color="auto"/>
        <w:left w:val="none" w:sz="0" w:space="0" w:color="auto"/>
        <w:bottom w:val="none" w:sz="0" w:space="0" w:color="auto"/>
        <w:right w:val="none" w:sz="0" w:space="0" w:color="auto"/>
      </w:divBdr>
      <w:divsChild>
        <w:div w:id="2080788263">
          <w:marLeft w:val="0"/>
          <w:marRight w:val="0"/>
          <w:marTop w:val="0"/>
          <w:marBottom w:val="0"/>
          <w:divBdr>
            <w:top w:val="none" w:sz="0" w:space="0" w:color="auto"/>
            <w:left w:val="none" w:sz="0" w:space="0" w:color="auto"/>
            <w:bottom w:val="none" w:sz="0" w:space="0" w:color="auto"/>
            <w:right w:val="none" w:sz="0" w:space="0" w:color="auto"/>
          </w:divBdr>
        </w:div>
      </w:divsChild>
    </w:div>
    <w:div w:id="542446960">
      <w:marLeft w:val="0"/>
      <w:marRight w:val="0"/>
      <w:marTop w:val="0"/>
      <w:marBottom w:val="0"/>
      <w:divBdr>
        <w:top w:val="none" w:sz="0" w:space="0" w:color="auto"/>
        <w:left w:val="none" w:sz="0" w:space="0" w:color="auto"/>
        <w:bottom w:val="none" w:sz="0" w:space="0" w:color="auto"/>
        <w:right w:val="none" w:sz="0" w:space="0" w:color="auto"/>
      </w:divBdr>
    </w:div>
    <w:div w:id="542712497">
      <w:marLeft w:val="0"/>
      <w:marRight w:val="0"/>
      <w:marTop w:val="0"/>
      <w:marBottom w:val="240"/>
      <w:divBdr>
        <w:top w:val="none" w:sz="0" w:space="0" w:color="auto"/>
        <w:left w:val="none" w:sz="0" w:space="0" w:color="auto"/>
        <w:bottom w:val="none" w:sz="0" w:space="0" w:color="auto"/>
        <w:right w:val="none" w:sz="0" w:space="0" w:color="auto"/>
      </w:divBdr>
    </w:div>
    <w:div w:id="543834818">
      <w:marLeft w:val="0"/>
      <w:marRight w:val="0"/>
      <w:marTop w:val="0"/>
      <w:marBottom w:val="0"/>
      <w:divBdr>
        <w:top w:val="none" w:sz="0" w:space="0" w:color="auto"/>
        <w:left w:val="none" w:sz="0" w:space="0" w:color="auto"/>
        <w:bottom w:val="none" w:sz="0" w:space="0" w:color="auto"/>
        <w:right w:val="none" w:sz="0" w:space="0" w:color="auto"/>
      </w:divBdr>
    </w:div>
    <w:div w:id="544290203">
      <w:marLeft w:val="0"/>
      <w:marRight w:val="0"/>
      <w:marTop w:val="0"/>
      <w:marBottom w:val="0"/>
      <w:divBdr>
        <w:top w:val="none" w:sz="0" w:space="0" w:color="auto"/>
        <w:left w:val="none" w:sz="0" w:space="0" w:color="auto"/>
        <w:bottom w:val="none" w:sz="0" w:space="0" w:color="auto"/>
        <w:right w:val="none" w:sz="0" w:space="0" w:color="auto"/>
      </w:divBdr>
    </w:div>
    <w:div w:id="544410361">
      <w:marLeft w:val="0"/>
      <w:marRight w:val="0"/>
      <w:marTop w:val="0"/>
      <w:marBottom w:val="0"/>
      <w:divBdr>
        <w:top w:val="none" w:sz="0" w:space="0" w:color="auto"/>
        <w:left w:val="none" w:sz="0" w:space="0" w:color="auto"/>
        <w:bottom w:val="none" w:sz="0" w:space="0" w:color="auto"/>
        <w:right w:val="none" w:sz="0" w:space="0" w:color="auto"/>
      </w:divBdr>
    </w:div>
    <w:div w:id="545683422">
      <w:marLeft w:val="0"/>
      <w:marRight w:val="0"/>
      <w:marTop w:val="0"/>
      <w:marBottom w:val="0"/>
      <w:divBdr>
        <w:top w:val="none" w:sz="0" w:space="0" w:color="auto"/>
        <w:left w:val="none" w:sz="0" w:space="0" w:color="auto"/>
        <w:bottom w:val="none" w:sz="0" w:space="0" w:color="auto"/>
        <w:right w:val="none" w:sz="0" w:space="0" w:color="auto"/>
      </w:divBdr>
    </w:div>
    <w:div w:id="548104606">
      <w:marLeft w:val="0"/>
      <w:marRight w:val="0"/>
      <w:marTop w:val="0"/>
      <w:marBottom w:val="0"/>
      <w:divBdr>
        <w:top w:val="none" w:sz="0" w:space="0" w:color="auto"/>
        <w:left w:val="none" w:sz="0" w:space="0" w:color="auto"/>
        <w:bottom w:val="none" w:sz="0" w:space="0" w:color="auto"/>
        <w:right w:val="none" w:sz="0" w:space="0" w:color="auto"/>
      </w:divBdr>
    </w:div>
    <w:div w:id="548496845">
      <w:marLeft w:val="0"/>
      <w:marRight w:val="0"/>
      <w:marTop w:val="0"/>
      <w:marBottom w:val="0"/>
      <w:divBdr>
        <w:top w:val="none" w:sz="0" w:space="0" w:color="auto"/>
        <w:left w:val="none" w:sz="0" w:space="0" w:color="auto"/>
        <w:bottom w:val="none" w:sz="0" w:space="0" w:color="auto"/>
        <w:right w:val="none" w:sz="0" w:space="0" w:color="auto"/>
      </w:divBdr>
    </w:div>
    <w:div w:id="548691269">
      <w:marLeft w:val="0"/>
      <w:marRight w:val="0"/>
      <w:marTop w:val="0"/>
      <w:marBottom w:val="0"/>
      <w:divBdr>
        <w:top w:val="none" w:sz="0" w:space="0" w:color="auto"/>
        <w:left w:val="none" w:sz="0" w:space="0" w:color="auto"/>
        <w:bottom w:val="none" w:sz="0" w:space="0" w:color="auto"/>
        <w:right w:val="none" w:sz="0" w:space="0" w:color="auto"/>
      </w:divBdr>
      <w:divsChild>
        <w:div w:id="1290093560">
          <w:marLeft w:val="0"/>
          <w:marRight w:val="0"/>
          <w:marTop w:val="0"/>
          <w:marBottom w:val="0"/>
          <w:divBdr>
            <w:top w:val="none" w:sz="0" w:space="0" w:color="auto"/>
            <w:left w:val="none" w:sz="0" w:space="0" w:color="auto"/>
            <w:bottom w:val="none" w:sz="0" w:space="0" w:color="auto"/>
            <w:right w:val="none" w:sz="0" w:space="0" w:color="auto"/>
          </w:divBdr>
        </w:div>
      </w:divsChild>
    </w:div>
    <w:div w:id="548881880">
      <w:marLeft w:val="0"/>
      <w:marRight w:val="0"/>
      <w:marTop w:val="0"/>
      <w:marBottom w:val="0"/>
      <w:divBdr>
        <w:top w:val="none" w:sz="0" w:space="0" w:color="auto"/>
        <w:left w:val="none" w:sz="0" w:space="0" w:color="auto"/>
        <w:bottom w:val="none" w:sz="0" w:space="0" w:color="auto"/>
        <w:right w:val="none" w:sz="0" w:space="0" w:color="auto"/>
      </w:divBdr>
    </w:div>
    <w:div w:id="549341142">
      <w:marLeft w:val="0"/>
      <w:marRight w:val="0"/>
      <w:marTop w:val="0"/>
      <w:marBottom w:val="0"/>
      <w:divBdr>
        <w:top w:val="none" w:sz="0" w:space="0" w:color="auto"/>
        <w:left w:val="none" w:sz="0" w:space="0" w:color="auto"/>
        <w:bottom w:val="none" w:sz="0" w:space="0" w:color="auto"/>
        <w:right w:val="none" w:sz="0" w:space="0" w:color="auto"/>
      </w:divBdr>
    </w:div>
    <w:div w:id="549807436">
      <w:marLeft w:val="0"/>
      <w:marRight w:val="0"/>
      <w:marTop w:val="0"/>
      <w:marBottom w:val="0"/>
      <w:divBdr>
        <w:top w:val="none" w:sz="0" w:space="0" w:color="auto"/>
        <w:left w:val="none" w:sz="0" w:space="0" w:color="auto"/>
        <w:bottom w:val="none" w:sz="0" w:space="0" w:color="auto"/>
        <w:right w:val="none" w:sz="0" w:space="0" w:color="auto"/>
      </w:divBdr>
    </w:div>
    <w:div w:id="549925114">
      <w:marLeft w:val="0"/>
      <w:marRight w:val="0"/>
      <w:marTop w:val="0"/>
      <w:marBottom w:val="0"/>
      <w:divBdr>
        <w:top w:val="none" w:sz="0" w:space="0" w:color="auto"/>
        <w:left w:val="none" w:sz="0" w:space="0" w:color="auto"/>
        <w:bottom w:val="none" w:sz="0" w:space="0" w:color="auto"/>
        <w:right w:val="none" w:sz="0" w:space="0" w:color="auto"/>
      </w:divBdr>
    </w:div>
    <w:div w:id="550768543">
      <w:marLeft w:val="0"/>
      <w:marRight w:val="0"/>
      <w:marTop w:val="0"/>
      <w:marBottom w:val="0"/>
      <w:divBdr>
        <w:top w:val="none" w:sz="0" w:space="0" w:color="auto"/>
        <w:left w:val="none" w:sz="0" w:space="0" w:color="auto"/>
        <w:bottom w:val="none" w:sz="0" w:space="0" w:color="auto"/>
        <w:right w:val="none" w:sz="0" w:space="0" w:color="auto"/>
      </w:divBdr>
    </w:div>
    <w:div w:id="550965611">
      <w:marLeft w:val="0"/>
      <w:marRight w:val="0"/>
      <w:marTop w:val="0"/>
      <w:marBottom w:val="0"/>
      <w:divBdr>
        <w:top w:val="none" w:sz="0" w:space="0" w:color="auto"/>
        <w:left w:val="none" w:sz="0" w:space="0" w:color="auto"/>
        <w:bottom w:val="none" w:sz="0" w:space="0" w:color="auto"/>
        <w:right w:val="none" w:sz="0" w:space="0" w:color="auto"/>
      </w:divBdr>
    </w:div>
    <w:div w:id="554438877">
      <w:marLeft w:val="0"/>
      <w:marRight w:val="0"/>
      <w:marTop w:val="0"/>
      <w:marBottom w:val="0"/>
      <w:divBdr>
        <w:top w:val="none" w:sz="0" w:space="0" w:color="auto"/>
        <w:left w:val="none" w:sz="0" w:space="0" w:color="auto"/>
        <w:bottom w:val="none" w:sz="0" w:space="0" w:color="auto"/>
        <w:right w:val="none" w:sz="0" w:space="0" w:color="auto"/>
      </w:divBdr>
    </w:div>
    <w:div w:id="555162592">
      <w:marLeft w:val="0"/>
      <w:marRight w:val="0"/>
      <w:marTop w:val="0"/>
      <w:marBottom w:val="0"/>
      <w:divBdr>
        <w:top w:val="none" w:sz="0" w:space="0" w:color="auto"/>
        <w:left w:val="none" w:sz="0" w:space="0" w:color="auto"/>
        <w:bottom w:val="none" w:sz="0" w:space="0" w:color="auto"/>
        <w:right w:val="none" w:sz="0" w:space="0" w:color="auto"/>
      </w:divBdr>
    </w:div>
    <w:div w:id="556862856">
      <w:marLeft w:val="0"/>
      <w:marRight w:val="0"/>
      <w:marTop w:val="0"/>
      <w:marBottom w:val="0"/>
      <w:divBdr>
        <w:top w:val="none" w:sz="0" w:space="0" w:color="auto"/>
        <w:left w:val="none" w:sz="0" w:space="0" w:color="auto"/>
        <w:bottom w:val="none" w:sz="0" w:space="0" w:color="auto"/>
        <w:right w:val="none" w:sz="0" w:space="0" w:color="auto"/>
      </w:divBdr>
    </w:div>
    <w:div w:id="556866673">
      <w:marLeft w:val="0"/>
      <w:marRight w:val="0"/>
      <w:marTop w:val="0"/>
      <w:marBottom w:val="0"/>
      <w:divBdr>
        <w:top w:val="none" w:sz="0" w:space="0" w:color="auto"/>
        <w:left w:val="none" w:sz="0" w:space="0" w:color="auto"/>
        <w:bottom w:val="none" w:sz="0" w:space="0" w:color="auto"/>
        <w:right w:val="none" w:sz="0" w:space="0" w:color="auto"/>
      </w:divBdr>
    </w:div>
    <w:div w:id="557011020">
      <w:marLeft w:val="0"/>
      <w:marRight w:val="0"/>
      <w:marTop w:val="0"/>
      <w:marBottom w:val="0"/>
      <w:divBdr>
        <w:top w:val="none" w:sz="0" w:space="0" w:color="auto"/>
        <w:left w:val="none" w:sz="0" w:space="0" w:color="auto"/>
        <w:bottom w:val="none" w:sz="0" w:space="0" w:color="auto"/>
        <w:right w:val="none" w:sz="0" w:space="0" w:color="auto"/>
      </w:divBdr>
    </w:div>
    <w:div w:id="557592494">
      <w:marLeft w:val="0"/>
      <w:marRight w:val="0"/>
      <w:marTop w:val="0"/>
      <w:marBottom w:val="0"/>
      <w:divBdr>
        <w:top w:val="none" w:sz="0" w:space="0" w:color="auto"/>
        <w:left w:val="none" w:sz="0" w:space="0" w:color="auto"/>
        <w:bottom w:val="none" w:sz="0" w:space="0" w:color="auto"/>
        <w:right w:val="none" w:sz="0" w:space="0" w:color="auto"/>
      </w:divBdr>
    </w:div>
    <w:div w:id="558131053">
      <w:marLeft w:val="0"/>
      <w:marRight w:val="0"/>
      <w:marTop w:val="0"/>
      <w:marBottom w:val="0"/>
      <w:divBdr>
        <w:top w:val="none" w:sz="0" w:space="0" w:color="auto"/>
        <w:left w:val="none" w:sz="0" w:space="0" w:color="auto"/>
        <w:bottom w:val="none" w:sz="0" w:space="0" w:color="auto"/>
        <w:right w:val="none" w:sz="0" w:space="0" w:color="auto"/>
      </w:divBdr>
    </w:div>
    <w:div w:id="559754407">
      <w:marLeft w:val="0"/>
      <w:marRight w:val="0"/>
      <w:marTop w:val="0"/>
      <w:marBottom w:val="0"/>
      <w:divBdr>
        <w:top w:val="none" w:sz="0" w:space="0" w:color="auto"/>
        <w:left w:val="none" w:sz="0" w:space="0" w:color="auto"/>
        <w:bottom w:val="none" w:sz="0" w:space="0" w:color="auto"/>
        <w:right w:val="none" w:sz="0" w:space="0" w:color="auto"/>
      </w:divBdr>
    </w:div>
    <w:div w:id="559831891">
      <w:marLeft w:val="0"/>
      <w:marRight w:val="0"/>
      <w:marTop w:val="0"/>
      <w:marBottom w:val="0"/>
      <w:divBdr>
        <w:top w:val="none" w:sz="0" w:space="0" w:color="auto"/>
        <w:left w:val="none" w:sz="0" w:space="0" w:color="auto"/>
        <w:bottom w:val="none" w:sz="0" w:space="0" w:color="auto"/>
        <w:right w:val="none" w:sz="0" w:space="0" w:color="auto"/>
      </w:divBdr>
    </w:div>
    <w:div w:id="560023115">
      <w:marLeft w:val="0"/>
      <w:marRight w:val="0"/>
      <w:marTop w:val="0"/>
      <w:marBottom w:val="0"/>
      <w:divBdr>
        <w:top w:val="none" w:sz="0" w:space="0" w:color="auto"/>
        <w:left w:val="none" w:sz="0" w:space="0" w:color="auto"/>
        <w:bottom w:val="none" w:sz="0" w:space="0" w:color="auto"/>
        <w:right w:val="none" w:sz="0" w:space="0" w:color="auto"/>
      </w:divBdr>
    </w:div>
    <w:div w:id="560333834">
      <w:marLeft w:val="0"/>
      <w:marRight w:val="0"/>
      <w:marTop w:val="0"/>
      <w:marBottom w:val="0"/>
      <w:divBdr>
        <w:top w:val="none" w:sz="0" w:space="0" w:color="auto"/>
        <w:left w:val="none" w:sz="0" w:space="0" w:color="auto"/>
        <w:bottom w:val="none" w:sz="0" w:space="0" w:color="auto"/>
        <w:right w:val="none" w:sz="0" w:space="0" w:color="auto"/>
      </w:divBdr>
    </w:div>
    <w:div w:id="560940684">
      <w:marLeft w:val="0"/>
      <w:marRight w:val="0"/>
      <w:marTop w:val="0"/>
      <w:marBottom w:val="0"/>
      <w:divBdr>
        <w:top w:val="none" w:sz="0" w:space="0" w:color="auto"/>
        <w:left w:val="none" w:sz="0" w:space="0" w:color="auto"/>
        <w:bottom w:val="none" w:sz="0" w:space="0" w:color="auto"/>
        <w:right w:val="none" w:sz="0" w:space="0" w:color="auto"/>
      </w:divBdr>
      <w:divsChild>
        <w:div w:id="116917976">
          <w:marLeft w:val="0"/>
          <w:marRight w:val="0"/>
          <w:marTop w:val="0"/>
          <w:marBottom w:val="0"/>
          <w:divBdr>
            <w:top w:val="none" w:sz="0" w:space="0" w:color="auto"/>
            <w:left w:val="none" w:sz="0" w:space="0" w:color="auto"/>
            <w:bottom w:val="none" w:sz="0" w:space="0" w:color="auto"/>
            <w:right w:val="none" w:sz="0" w:space="0" w:color="auto"/>
          </w:divBdr>
        </w:div>
      </w:divsChild>
    </w:div>
    <w:div w:id="561988645">
      <w:marLeft w:val="0"/>
      <w:marRight w:val="0"/>
      <w:marTop w:val="0"/>
      <w:marBottom w:val="0"/>
      <w:divBdr>
        <w:top w:val="none" w:sz="0" w:space="0" w:color="auto"/>
        <w:left w:val="none" w:sz="0" w:space="0" w:color="auto"/>
        <w:bottom w:val="none" w:sz="0" w:space="0" w:color="auto"/>
        <w:right w:val="none" w:sz="0" w:space="0" w:color="auto"/>
      </w:divBdr>
    </w:div>
    <w:div w:id="562104019">
      <w:marLeft w:val="0"/>
      <w:marRight w:val="0"/>
      <w:marTop w:val="0"/>
      <w:marBottom w:val="0"/>
      <w:divBdr>
        <w:top w:val="none" w:sz="0" w:space="0" w:color="auto"/>
        <w:left w:val="none" w:sz="0" w:space="0" w:color="auto"/>
        <w:bottom w:val="none" w:sz="0" w:space="0" w:color="auto"/>
        <w:right w:val="none" w:sz="0" w:space="0" w:color="auto"/>
      </w:divBdr>
    </w:div>
    <w:div w:id="562179971">
      <w:marLeft w:val="0"/>
      <w:marRight w:val="0"/>
      <w:marTop w:val="0"/>
      <w:marBottom w:val="0"/>
      <w:divBdr>
        <w:top w:val="none" w:sz="0" w:space="0" w:color="auto"/>
        <w:left w:val="none" w:sz="0" w:space="0" w:color="auto"/>
        <w:bottom w:val="none" w:sz="0" w:space="0" w:color="auto"/>
        <w:right w:val="none" w:sz="0" w:space="0" w:color="auto"/>
      </w:divBdr>
      <w:divsChild>
        <w:div w:id="584612773">
          <w:marLeft w:val="0"/>
          <w:marRight w:val="0"/>
          <w:marTop w:val="0"/>
          <w:marBottom w:val="0"/>
          <w:divBdr>
            <w:top w:val="none" w:sz="0" w:space="0" w:color="auto"/>
            <w:left w:val="none" w:sz="0" w:space="0" w:color="auto"/>
            <w:bottom w:val="none" w:sz="0" w:space="0" w:color="auto"/>
            <w:right w:val="none" w:sz="0" w:space="0" w:color="auto"/>
          </w:divBdr>
        </w:div>
      </w:divsChild>
    </w:div>
    <w:div w:id="562907280">
      <w:marLeft w:val="0"/>
      <w:marRight w:val="0"/>
      <w:marTop w:val="0"/>
      <w:marBottom w:val="0"/>
      <w:divBdr>
        <w:top w:val="none" w:sz="0" w:space="0" w:color="auto"/>
        <w:left w:val="none" w:sz="0" w:space="0" w:color="auto"/>
        <w:bottom w:val="none" w:sz="0" w:space="0" w:color="auto"/>
        <w:right w:val="none" w:sz="0" w:space="0" w:color="auto"/>
      </w:divBdr>
    </w:div>
    <w:div w:id="564031005">
      <w:marLeft w:val="0"/>
      <w:marRight w:val="0"/>
      <w:marTop w:val="0"/>
      <w:marBottom w:val="0"/>
      <w:divBdr>
        <w:top w:val="none" w:sz="0" w:space="0" w:color="auto"/>
        <w:left w:val="none" w:sz="0" w:space="0" w:color="auto"/>
        <w:bottom w:val="none" w:sz="0" w:space="0" w:color="auto"/>
        <w:right w:val="none" w:sz="0" w:space="0" w:color="auto"/>
      </w:divBdr>
    </w:div>
    <w:div w:id="565147470">
      <w:marLeft w:val="0"/>
      <w:marRight w:val="0"/>
      <w:marTop w:val="0"/>
      <w:marBottom w:val="0"/>
      <w:divBdr>
        <w:top w:val="none" w:sz="0" w:space="0" w:color="auto"/>
        <w:left w:val="none" w:sz="0" w:space="0" w:color="auto"/>
        <w:bottom w:val="none" w:sz="0" w:space="0" w:color="auto"/>
        <w:right w:val="none" w:sz="0" w:space="0" w:color="auto"/>
      </w:divBdr>
    </w:div>
    <w:div w:id="565263143">
      <w:marLeft w:val="0"/>
      <w:marRight w:val="0"/>
      <w:marTop w:val="0"/>
      <w:marBottom w:val="0"/>
      <w:divBdr>
        <w:top w:val="none" w:sz="0" w:space="0" w:color="auto"/>
        <w:left w:val="none" w:sz="0" w:space="0" w:color="auto"/>
        <w:bottom w:val="none" w:sz="0" w:space="0" w:color="auto"/>
        <w:right w:val="none" w:sz="0" w:space="0" w:color="auto"/>
      </w:divBdr>
    </w:div>
    <w:div w:id="565266715">
      <w:marLeft w:val="0"/>
      <w:marRight w:val="0"/>
      <w:marTop w:val="0"/>
      <w:marBottom w:val="0"/>
      <w:divBdr>
        <w:top w:val="none" w:sz="0" w:space="0" w:color="auto"/>
        <w:left w:val="none" w:sz="0" w:space="0" w:color="auto"/>
        <w:bottom w:val="none" w:sz="0" w:space="0" w:color="auto"/>
        <w:right w:val="none" w:sz="0" w:space="0" w:color="auto"/>
      </w:divBdr>
    </w:div>
    <w:div w:id="566917529">
      <w:marLeft w:val="0"/>
      <w:marRight w:val="0"/>
      <w:marTop w:val="0"/>
      <w:marBottom w:val="0"/>
      <w:divBdr>
        <w:top w:val="none" w:sz="0" w:space="0" w:color="auto"/>
        <w:left w:val="none" w:sz="0" w:space="0" w:color="auto"/>
        <w:bottom w:val="none" w:sz="0" w:space="0" w:color="auto"/>
        <w:right w:val="none" w:sz="0" w:space="0" w:color="auto"/>
      </w:divBdr>
    </w:div>
    <w:div w:id="566958445">
      <w:marLeft w:val="0"/>
      <w:marRight w:val="0"/>
      <w:marTop w:val="0"/>
      <w:marBottom w:val="0"/>
      <w:divBdr>
        <w:top w:val="none" w:sz="0" w:space="0" w:color="auto"/>
        <w:left w:val="none" w:sz="0" w:space="0" w:color="auto"/>
        <w:bottom w:val="none" w:sz="0" w:space="0" w:color="auto"/>
        <w:right w:val="none" w:sz="0" w:space="0" w:color="auto"/>
      </w:divBdr>
    </w:div>
    <w:div w:id="567114537">
      <w:marLeft w:val="0"/>
      <w:marRight w:val="0"/>
      <w:marTop w:val="0"/>
      <w:marBottom w:val="0"/>
      <w:divBdr>
        <w:top w:val="none" w:sz="0" w:space="0" w:color="auto"/>
        <w:left w:val="none" w:sz="0" w:space="0" w:color="auto"/>
        <w:bottom w:val="none" w:sz="0" w:space="0" w:color="auto"/>
        <w:right w:val="none" w:sz="0" w:space="0" w:color="auto"/>
      </w:divBdr>
    </w:div>
    <w:div w:id="567376797">
      <w:marLeft w:val="0"/>
      <w:marRight w:val="0"/>
      <w:marTop w:val="0"/>
      <w:marBottom w:val="0"/>
      <w:divBdr>
        <w:top w:val="none" w:sz="0" w:space="0" w:color="auto"/>
        <w:left w:val="none" w:sz="0" w:space="0" w:color="auto"/>
        <w:bottom w:val="none" w:sz="0" w:space="0" w:color="auto"/>
        <w:right w:val="none" w:sz="0" w:space="0" w:color="auto"/>
      </w:divBdr>
    </w:div>
    <w:div w:id="567569141">
      <w:marLeft w:val="0"/>
      <w:marRight w:val="0"/>
      <w:marTop w:val="0"/>
      <w:marBottom w:val="0"/>
      <w:divBdr>
        <w:top w:val="none" w:sz="0" w:space="0" w:color="auto"/>
        <w:left w:val="none" w:sz="0" w:space="0" w:color="auto"/>
        <w:bottom w:val="none" w:sz="0" w:space="0" w:color="auto"/>
        <w:right w:val="none" w:sz="0" w:space="0" w:color="auto"/>
      </w:divBdr>
    </w:div>
    <w:div w:id="567889024">
      <w:marLeft w:val="0"/>
      <w:marRight w:val="0"/>
      <w:marTop w:val="0"/>
      <w:marBottom w:val="0"/>
      <w:divBdr>
        <w:top w:val="none" w:sz="0" w:space="0" w:color="auto"/>
        <w:left w:val="none" w:sz="0" w:space="0" w:color="auto"/>
        <w:bottom w:val="none" w:sz="0" w:space="0" w:color="auto"/>
        <w:right w:val="none" w:sz="0" w:space="0" w:color="auto"/>
      </w:divBdr>
    </w:div>
    <w:div w:id="568155696">
      <w:marLeft w:val="0"/>
      <w:marRight w:val="0"/>
      <w:marTop w:val="0"/>
      <w:marBottom w:val="0"/>
      <w:divBdr>
        <w:top w:val="none" w:sz="0" w:space="0" w:color="auto"/>
        <w:left w:val="none" w:sz="0" w:space="0" w:color="auto"/>
        <w:bottom w:val="none" w:sz="0" w:space="0" w:color="auto"/>
        <w:right w:val="none" w:sz="0" w:space="0" w:color="auto"/>
      </w:divBdr>
    </w:div>
    <w:div w:id="568661435">
      <w:marLeft w:val="0"/>
      <w:marRight w:val="0"/>
      <w:marTop w:val="0"/>
      <w:marBottom w:val="0"/>
      <w:divBdr>
        <w:top w:val="none" w:sz="0" w:space="0" w:color="auto"/>
        <w:left w:val="none" w:sz="0" w:space="0" w:color="auto"/>
        <w:bottom w:val="none" w:sz="0" w:space="0" w:color="auto"/>
        <w:right w:val="none" w:sz="0" w:space="0" w:color="auto"/>
      </w:divBdr>
    </w:div>
    <w:div w:id="568922500">
      <w:marLeft w:val="0"/>
      <w:marRight w:val="0"/>
      <w:marTop w:val="0"/>
      <w:marBottom w:val="0"/>
      <w:divBdr>
        <w:top w:val="none" w:sz="0" w:space="0" w:color="auto"/>
        <w:left w:val="none" w:sz="0" w:space="0" w:color="auto"/>
        <w:bottom w:val="none" w:sz="0" w:space="0" w:color="auto"/>
        <w:right w:val="none" w:sz="0" w:space="0" w:color="auto"/>
      </w:divBdr>
    </w:div>
    <w:div w:id="569733750">
      <w:marLeft w:val="0"/>
      <w:marRight w:val="0"/>
      <w:marTop w:val="0"/>
      <w:marBottom w:val="0"/>
      <w:divBdr>
        <w:top w:val="none" w:sz="0" w:space="0" w:color="auto"/>
        <w:left w:val="none" w:sz="0" w:space="0" w:color="auto"/>
        <w:bottom w:val="none" w:sz="0" w:space="0" w:color="auto"/>
        <w:right w:val="none" w:sz="0" w:space="0" w:color="auto"/>
      </w:divBdr>
    </w:div>
    <w:div w:id="570047224">
      <w:marLeft w:val="0"/>
      <w:marRight w:val="0"/>
      <w:marTop w:val="0"/>
      <w:marBottom w:val="0"/>
      <w:divBdr>
        <w:top w:val="none" w:sz="0" w:space="0" w:color="auto"/>
        <w:left w:val="none" w:sz="0" w:space="0" w:color="auto"/>
        <w:bottom w:val="none" w:sz="0" w:space="0" w:color="auto"/>
        <w:right w:val="none" w:sz="0" w:space="0" w:color="auto"/>
      </w:divBdr>
    </w:div>
    <w:div w:id="571543027">
      <w:marLeft w:val="0"/>
      <w:marRight w:val="0"/>
      <w:marTop w:val="0"/>
      <w:marBottom w:val="0"/>
      <w:divBdr>
        <w:top w:val="none" w:sz="0" w:space="0" w:color="auto"/>
        <w:left w:val="none" w:sz="0" w:space="0" w:color="auto"/>
        <w:bottom w:val="none" w:sz="0" w:space="0" w:color="auto"/>
        <w:right w:val="none" w:sz="0" w:space="0" w:color="auto"/>
      </w:divBdr>
    </w:div>
    <w:div w:id="572617904">
      <w:marLeft w:val="0"/>
      <w:marRight w:val="0"/>
      <w:marTop w:val="0"/>
      <w:marBottom w:val="0"/>
      <w:divBdr>
        <w:top w:val="none" w:sz="0" w:space="0" w:color="auto"/>
        <w:left w:val="none" w:sz="0" w:space="0" w:color="auto"/>
        <w:bottom w:val="none" w:sz="0" w:space="0" w:color="auto"/>
        <w:right w:val="none" w:sz="0" w:space="0" w:color="auto"/>
      </w:divBdr>
    </w:div>
    <w:div w:id="575170994">
      <w:marLeft w:val="0"/>
      <w:marRight w:val="0"/>
      <w:marTop w:val="0"/>
      <w:marBottom w:val="0"/>
      <w:divBdr>
        <w:top w:val="none" w:sz="0" w:space="0" w:color="auto"/>
        <w:left w:val="none" w:sz="0" w:space="0" w:color="auto"/>
        <w:bottom w:val="none" w:sz="0" w:space="0" w:color="auto"/>
        <w:right w:val="none" w:sz="0" w:space="0" w:color="auto"/>
      </w:divBdr>
    </w:div>
    <w:div w:id="576670597">
      <w:marLeft w:val="0"/>
      <w:marRight w:val="0"/>
      <w:marTop w:val="0"/>
      <w:marBottom w:val="0"/>
      <w:divBdr>
        <w:top w:val="none" w:sz="0" w:space="0" w:color="auto"/>
        <w:left w:val="none" w:sz="0" w:space="0" w:color="auto"/>
        <w:bottom w:val="none" w:sz="0" w:space="0" w:color="auto"/>
        <w:right w:val="none" w:sz="0" w:space="0" w:color="auto"/>
      </w:divBdr>
    </w:div>
    <w:div w:id="577254840">
      <w:marLeft w:val="0"/>
      <w:marRight w:val="0"/>
      <w:marTop w:val="0"/>
      <w:marBottom w:val="0"/>
      <w:divBdr>
        <w:top w:val="none" w:sz="0" w:space="0" w:color="auto"/>
        <w:left w:val="none" w:sz="0" w:space="0" w:color="auto"/>
        <w:bottom w:val="none" w:sz="0" w:space="0" w:color="auto"/>
        <w:right w:val="none" w:sz="0" w:space="0" w:color="auto"/>
      </w:divBdr>
    </w:div>
    <w:div w:id="577790053">
      <w:marLeft w:val="0"/>
      <w:marRight w:val="0"/>
      <w:marTop w:val="0"/>
      <w:marBottom w:val="0"/>
      <w:divBdr>
        <w:top w:val="none" w:sz="0" w:space="0" w:color="auto"/>
        <w:left w:val="none" w:sz="0" w:space="0" w:color="auto"/>
        <w:bottom w:val="none" w:sz="0" w:space="0" w:color="auto"/>
        <w:right w:val="none" w:sz="0" w:space="0" w:color="auto"/>
      </w:divBdr>
    </w:div>
    <w:div w:id="577906647">
      <w:marLeft w:val="0"/>
      <w:marRight w:val="0"/>
      <w:marTop w:val="0"/>
      <w:marBottom w:val="0"/>
      <w:divBdr>
        <w:top w:val="none" w:sz="0" w:space="0" w:color="auto"/>
        <w:left w:val="none" w:sz="0" w:space="0" w:color="auto"/>
        <w:bottom w:val="none" w:sz="0" w:space="0" w:color="auto"/>
        <w:right w:val="none" w:sz="0" w:space="0" w:color="auto"/>
      </w:divBdr>
    </w:div>
    <w:div w:id="579098974">
      <w:marLeft w:val="0"/>
      <w:marRight w:val="0"/>
      <w:marTop w:val="0"/>
      <w:marBottom w:val="0"/>
      <w:divBdr>
        <w:top w:val="none" w:sz="0" w:space="0" w:color="auto"/>
        <w:left w:val="none" w:sz="0" w:space="0" w:color="auto"/>
        <w:bottom w:val="none" w:sz="0" w:space="0" w:color="auto"/>
        <w:right w:val="none" w:sz="0" w:space="0" w:color="auto"/>
      </w:divBdr>
    </w:div>
    <w:div w:id="581330864">
      <w:marLeft w:val="0"/>
      <w:marRight w:val="0"/>
      <w:marTop w:val="0"/>
      <w:marBottom w:val="0"/>
      <w:divBdr>
        <w:top w:val="none" w:sz="0" w:space="0" w:color="auto"/>
        <w:left w:val="none" w:sz="0" w:space="0" w:color="auto"/>
        <w:bottom w:val="none" w:sz="0" w:space="0" w:color="auto"/>
        <w:right w:val="none" w:sz="0" w:space="0" w:color="auto"/>
      </w:divBdr>
    </w:div>
    <w:div w:id="582879367">
      <w:marLeft w:val="0"/>
      <w:marRight w:val="0"/>
      <w:marTop w:val="100"/>
      <w:marBottom w:val="100"/>
      <w:divBdr>
        <w:top w:val="none" w:sz="0" w:space="0" w:color="auto"/>
        <w:left w:val="none" w:sz="0" w:space="0" w:color="auto"/>
        <w:bottom w:val="none" w:sz="0" w:space="0" w:color="auto"/>
        <w:right w:val="none" w:sz="0" w:space="0" w:color="auto"/>
      </w:divBdr>
    </w:div>
    <w:div w:id="583346146">
      <w:marLeft w:val="0"/>
      <w:marRight w:val="0"/>
      <w:marTop w:val="0"/>
      <w:marBottom w:val="0"/>
      <w:divBdr>
        <w:top w:val="none" w:sz="0" w:space="0" w:color="auto"/>
        <w:left w:val="none" w:sz="0" w:space="0" w:color="auto"/>
        <w:bottom w:val="none" w:sz="0" w:space="0" w:color="auto"/>
        <w:right w:val="none" w:sz="0" w:space="0" w:color="auto"/>
      </w:divBdr>
    </w:div>
    <w:div w:id="584384689">
      <w:marLeft w:val="0"/>
      <w:marRight w:val="0"/>
      <w:marTop w:val="0"/>
      <w:marBottom w:val="0"/>
      <w:divBdr>
        <w:top w:val="none" w:sz="0" w:space="0" w:color="auto"/>
        <w:left w:val="none" w:sz="0" w:space="0" w:color="auto"/>
        <w:bottom w:val="none" w:sz="0" w:space="0" w:color="auto"/>
        <w:right w:val="none" w:sz="0" w:space="0" w:color="auto"/>
      </w:divBdr>
    </w:div>
    <w:div w:id="587158380">
      <w:marLeft w:val="0"/>
      <w:marRight w:val="0"/>
      <w:marTop w:val="0"/>
      <w:marBottom w:val="0"/>
      <w:divBdr>
        <w:top w:val="none" w:sz="0" w:space="0" w:color="auto"/>
        <w:left w:val="none" w:sz="0" w:space="0" w:color="auto"/>
        <w:bottom w:val="none" w:sz="0" w:space="0" w:color="auto"/>
        <w:right w:val="none" w:sz="0" w:space="0" w:color="auto"/>
      </w:divBdr>
    </w:div>
    <w:div w:id="587273606">
      <w:marLeft w:val="0"/>
      <w:marRight w:val="0"/>
      <w:marTop w:val="0"/>
      <w:marBottom w:val="0"/>
      <w:divBdr>
        <w:top w:val="none" w:sz="0" w:space="0" w:color="auto"/>
        <w:left w:val="none" w:sz="0" w:space="0" w:color="auto"/>
        <w:bottom w:val="none" w:sz="0" w:space="0" w:color="auto"/>
        <w:right w:val="none" w:sz="0" w:space="0" w:color="auto"/>
      </w:divBdr>
    </w:div>
    <w:div w:id="587349646">
      <w:marLeft w:val="0"/>
      <w:marRight w:val="0"/>
      <w:marTop w:val="0"/>
      <w:marBottom w:val="0"/>
      <w:divBdr>
        <w:top w:val="none" w:sz="0" w:space="0" w:color="auto"/>
        <w:left w:val="none" w:sz="0" w:space="0" w:color="auto"/>
        <w:bottom w:val="none" w:sz="0" w:space="0" w:color="auto"/>
        <w:right w:val="none" w:sz="0" w:space="0" w:color="auto"/>
      </w:divBdr>
    </w:div>
    <w:div w:id="587353561">
      <w:marLeft w:val="0"/>
      <w:marRight w:val="0"/>
      <w:marTop w:val="0"/>
      <w:marBottom w:val="0"/>
      <w:divBdr>
        <w:top w:val="none" w:sz="0" w:space="0" w:color="auto"/>
        <w:left w:val="none" w:sz="0" w:space="0" w:color="auto"/>
        <w:bottom w:val="none" w:sz="0" w:space="0" w:color="auto"/>
        <w:right w:val="none" w:sz="0" w:space="0" w:color="auto"/>
      </w:divBdr>
    </w:div>
    <w:div w:id="588513809">
      <w:marLeft w:val="0"/>
      <w:marRight w:val="0"/>
      <w:marTop w:val="0"/>
      <w:marBottom w:val="0"/>
      <w:divBdr>
        <w:top w:val="none" w:sz="0" w:space="0" w:color="auto"/>
        <w:left w:val="none" w:sz="0" w:space="0" w:color="auto"/>
        <w:bottom w:val="none" w:sz="0" w:space="0" w:color="auto"/>
        <w:right w:val="none" w:sz="0" w:space="0" w:color="auto"/>
      </w:divBdr>
    </w:div>
    <w:div w:id="588924764">
      <w:marLeft w:val="0"/>
      <w:marRight w:val="0"/>
      <w:marTop w:val="0"/>
      <w:marBottom w:val="0"/>
      <w:divBdr>
        <w:top w:val="none" w:sz="0" w:space="0" w:color="auto"/>
        <w:left w:val="none" w:sz="0" w:space="0" w:color="auto"/>
        <w:bottom w:val="none" w:sz="0" w:space="0" w:color="auto"/>
        <w:right w:val="none" w:sz="0" w:space="0" w:color="auto"/>
      </w:divBdr>
    </w:div>
    <w:div w:id="589503560">
      <w:marLeft w:val="0"/>
      <w:marRight w:val="0"/>
      <w:marTop w:val="0"/>
      <w:marBottom w:val="0"/>
      <w:divBdr>
        <w:top w:val="none" w:sz="0" w:space="0" w:color="auto"/>
        <w:left w:val="none" w:sz="0" w:space="0" w:color="auto"/>
        <w:bottom w:val="none" w:sz="0" w:space="0" w:color="auto"/>
        <w:right w:val="none" w:sz="0" w:space="0" w:color="auto"/>
      </w:divBdr>
    </w:div>
    <w:div w:id="589968763">
      <w:marLeft w:val="0"/>
      <w:marRight w:val="0"/>
      <w:marTop w:val="0"/>
      <w:marBottom w:val="0"/>
      <w:divBdr>
        <w:top w:val="none" w:sz="0" w:space="0" w:color="auto"/>
        <w:left w:val="none" w:sz="0" w:space="0" w:color="auto"/>
        <w:bottom w:val="none" w:sz="0" w:space="0" w:color="auto"/>
        <w:right w:val="none" w:sz="0" w:space="0" w:color="auto"/>
      </w:divBdr>
    </w:div>
    <w:div w:id="589970326">
      <w:marLeft w:val="0"/>
      <w:marRight w:val="0"/>
      <w:marTop w:val="0"/>
      <w:marBottom w:val="0"/>
      <w:divBdr>
        <w:top w:val="none" w:sz="0" w:space="0" w:color="auto"/>
        <w:left w:val="none" w:sz="0" w:space="0" w:color="auto"/>
        <w:bottom w:val="none" w:sz="0" w:space="0" w:color="auto"/>
        <w:right w:val="none" w:sz="0" w:space="0" w:color="auto"/>
      </w:divBdr>
    </w:div>
    <w:div w:id="591351763">
      <w:marLeft w:val="0"/>
      <w:marRight w:val="0"/>
      <w:marTop w:val="0"/>
      <w:marBottom w:val="0"/>
      <w:divBdr>
        <w:top w:val="none" w:sz="0" w:space="0" w:color="auto"/>
        <w:left w:val="none" w:sz="0" w:space="0" w:color="auto"/>
        <w:bottom w:val="none" w:sz="0" w:space="0" w:color="auto"/>
        <w:right w:val="none" w:sz="0" w:space="0" w:color="auto"/>
      </w:divBdr>
      <w:divsChild>
        <w:div w:id="1774353334">
          <w:marLeft w:val="0"/>
          <w:marRight w:val="0"/>
          <w:marTop w:val="0"/>
          <w:marBottom w:val="0"/>
          <w:divBdr>
            <w:top w:val="none" w:sz="0" w:space="0" w:color="auto"/>
            <w:left w:val="none" w:sz="0" w:space="0" w:color="auto"/>
            <w:bottom w:val="none" w:sz="0" w:space="0" w:color="auto"/>
            <w:right w:val="none" w:sz="0" w:space="0" w:color="auto"/>
          </w:divBdr>
        </w:div>
      </w:divsChild>
    </w:div>
    <w:div w:id="591739372">
      <w:marLeft w:val="0"/>
      <w:marRight w:val="0"/>
      <w:marTop w:val="0"/>
      <w:marBottom w:val="0"/>
      <w:divBdr>
        <w:top w:val="none" w:sz="0" w:space="0" w:color="auto"/>
        <w:left w:val="none" w:sz="0" w:space="0" w:color="auto"/>
        <w:bottom w:val="none" w:sz="0" w:space="0" w:color="auto"/>
        <w:right w:val="none" w:sz="0" w:space="0" w:color="auto"/>
      </w:divBdr>
    </w:div>
    <w:div w:id="593559904">
      <w:marLeft w:val="0"/>
      <w:marRight w:val="0"/>
      <w:marTop w:val="0"/>
      <w:marBottom w:val="0"/>
      <w:divBdr>
        <w:top w:val="none" w:sz="0" w:space="0" w:color="auto"/>
        <w:left w:val="none" w:sz="0" w:space="0" w:color="auto"/>
        <w:bottom w:val="none" w:sz="0" w:space="0" w:color="auto"/>
        <w:right w:val="none" w:sz="0" w:space="0" w:color="auto"/>
      </w:divBdr>
    </w:div>
    <w:div w:id="594285611">
      <w:marLeft w:val="0"/>
      <w:marRight w:val="0"/>
      <w:marTop w:val="0"/>
      <w:marBottom w:val="0"/>
      <w:divBdr>
        <w:top w:val="none" w:sz="0" w:space="0" w:color="auto"/>
        <w:left w:val="none" w:sz="0" w:space="0" w:color="auto"/>
        <w:bottom w:val="none" w:sz="0" w:space="0" w:color="auto"/>
        <w:right w:val="none" w:sz="0" w:space="0" w:color="auto"/>
      </w:divBdr>
    </w:div>
    <w:div w:id="594872168">
      <w:marLeft w:val="0"/>
      <w:marRight w:val="0"/>
      <w:marTop w:val="0"/>
      <w:marBottom w:val="0"/>
      <w:divBdr>
        <w:top w:val="none" w:sz="0" w:space="0" w:color="auto"/>
        <w:left w:val="none" w:sz="0" w:space="0" w:color="auto"/>
        <w:bottom w:val="none" w:sz="0" w:space="0" w:color="auto"/>
        <w:right w:val="none" w:sz="0" w:space="0" w:color="auto"/>
      </w:divBdr>
    </w:div>
    <w:div w:id="595213500">
      <w:marLeft w:val="0"/>
      <w:marRight w:val="0"/>
      <w:marTop w:val="0"/>
      <w:marBottom w:val="0"/>
      <w:divBdr>
        <w:top w:val="none" w:sz="0" w:space="0" w:color="auto"/>
        <w:left w:val="none" w:sz="0" w:space="0" w:color="auto"/>
        <w:bottom w:val="none" w:sz="0" w:space="0" w:color="auto"/>
        <w:right w:val="none" w:sz="0" w:space="0" w:color="auto"/>
      </w:divBdr>
    </w:div>
    <w:div w:id="595797034">
      <w:marLeft w:val="0"/>
      <w:marRight w:val="0"/>
      <w:marTop w:val="0"/>
      <w:marBottom w:val="0"/>
      <w:divBdr>
        <w:top w:val="none" w:sz="0" w:space="0" w:color="auto"/>
        <w:left w:val="none" w:sz="0" w:space="0" w:color="auto"/>
        <w:bottom w:val="none" w:sz="0" w:space="0" w:color="auto"/>
        <w:right w:val="none" w:sz="0" w:space="0" w:color="auto"/>
      </w:divBdr>
      <w:divsChild>
        <w:div w:id="673651671">
          <w:marLeft w:val="0"/>
          <w:marRight w:val="0"/>
          <w:marTop w:val="0"/>
          <w:marBottom w:val="0"/>
          <w:divBdr>
            <w:top w:val="none" w:sz="0" w:space="0" w:color="auto"/>
            <w:left w:val="none" w:sz="0" w:space="0" w:color="auto"/>
            <w:bottom w:val="none" w:sz="0" w:space="0" w:color="auto"/>
            <w:right w:val="none" w:sz="0" w:space="0" w:color="auto"/>
          </w:divBdr>
        </w:div>
      </w:divsChild>
    </w:div>
    <w:div w:id="596016521">
      <w:marLeft w:val="0"/>
      <w:marRight w:val="0"/>
      <w:marTop w:val="0"/>
      <w:marBottom w:val="0"/>
      <w:divBdr>
        <w:top w:val="none" w:sz="0" w:space="0" w:color="auto"/>
        <w:left w:val="none" w:sz="0" w:space="0" w:color="auto"/>
        <w:bottom w:val="none" w:sz="0" w:space="0" w:color="auto"/>
        <w:right w:val="none" w:sz="0" w:space="0" w:color="auto"/>
      </w:divBdr>
    </w:div>
    <w:div w:id="596522117">
      <w:marLeft w:val="0"/>
      <w:marRight w:val="0"/>
      <w:marTop w:val="100"/>
      <w:marBottom w:val="180"/>
      <w:divBdr>
        <w:top w:val="none" w:sz="0" w:space="0" w:color="auto"/>
        <w:left w:val="none" w:sz="0" w:space="0" w:color="auto"/>
        <w:bottom w:val="none" w:sz="0" w:space="0" w:color="auto"/>
        <w:right w:val="none" w:sz="0" w:space="0" w:color="auto"/>
      </w:divBdr>
      <w:divsChild>
        <w:div w:id="798650015">
          <w:marLeft w:val="0"/>
          <w:marRight w:val="0"/>
          <w:marTop w:val="0"/>
          <w:marBottom w:val="0"/>
          <w:divBdr>
            <w:top w:val="none" w:sz="0" w:space="0" w:color="auto"/>
            <w:left w:val="none" w:sz="0" w:space="0" w:color="auto"/>
            <w:bottom w:val="none" w:sz="0" w:space="0" w:color="auto"/>
            <w:right w:val="none" w:sz="0" w:space="0" w:color="auto"/>
          </w:divBdr>
        </w:div>
      </w:divsChild>
    </w:div>
    <w:div w:id="597252526">
      <w:marLeft w:val="0"/>
      <w:marRight w:val="0"/>
      <w:marTop w:val="0"/>
      <w:marBottom w:val="0"/>
      <w:divBdr>
        <w:top w:val="none" w:sz="0" w:space="0" w:color="auto"/>
        <w:left w:val="none" w:sz="0" w:space="0" w:color="auto"/>
        <w:bottom w:val="none" w:sz="0" w:space="0" w:color="auto"/>
        <w:right w:val="none" w:sz="0" w:space="0" w:color="auto"/>
      </w:divBdr>
    </w:div>
    <w:div w:id="597720072">
      <w:marLeft w:val="0"/>
      <w:marRight w:val="0"/>
      <w:marTop w:val="0"/>
      <w:marBottom w:val="0"/>
      <w:divBdr>
        <w:top w:val="none" w:sz="0" w:space="0" w:color="auto"/>
        <w:left w:val="none" w:sz="0" w:space="0" w:color="auto"/>
        <w:bottom w:val="none" w:sz="0" w:space="0" w:color="auto"/>
        <w:right w:val="none" w:sz="0" w:space="0" w:color="auto"/>
      </w:divBdr>
    </w:div>
    <w:div w:id="597829455">
      <w:marLeft w:val="0"/>
      <w:marRight w:val="0"/>
      <w:marTop w:val="100"/>
      <w:marBottom w:val="100"/>
      <w:divBdr>
        <w:top w:val="none" w:sz="0" w:space="0" w:color="auto"/>
        <w:left w:val="none" w:sz="0" w:space="0" w:color="auto"/>
        <w:bottom w:val="none" w:sz="0" w:space="0" w:color="auto"/>
        <w:right w:val="none" w:sz="0" w:space="0" w:color="auto"/>
      </w:divBdr>
      <w:divsChild>
        <w:div w:id="863518271">
          <w:marLeft w:val="0"/>
          <w:marRight w:val="0"/>
          <w:marTop w:val="0"/>
          <w:marBottom w:val="0"/>
          <w:divBdr>
            <w:top w:val="none" w:sz="0" w:space="0" w:color="auto"/>
            <w:left w:val="none" w:sz="0" w:space="0" w:color="auto"/>
            <w:bottom w:val="none" w:sz="0" w:space="0" w:color="auto"/>
            <w:right w:val="none" w:sz="0" w:space="0" w:color="auto"/>
          </w:divBdr>
        </w:div>
        <w:div w:id="379131104">
          <w:marLeft w:val="0"/>
          <w:marRight w:val="0"/>
          <w:marTop w:val="0"/>
          <w:marBottom w:val="0"/>
          <w:divBdr>
            <w:top w:val="none" w:sz="0" w:space="0" w:color="auto"/>
            <w:left w:val="none" w:sz="0" w:space="0" w:color="auto"/>
            <w:bottom w:val="none" w:sz="0" w:space="0" w:color="auto"/>
            <w:right w:val="none" w:sz="0" w:space="0" w:color="auto"/>
          </w:divBdr>
        </w:div>
        <w:div w:id="1956713003">
          <w:marLeft w:val="0"/>
          <w:marRight w:val="0"/>
          <w:marTop w:val="0"/>
          <w:marBottom w:val="0"/>
          <w:divBdr>
            <w:top w:val="none" w:sz="0" w:space="0" w:color="auto"/>
            <w:left w:val="none" w:sz="0" w:space="0" w:color="auto"/>
            <w:bottom w:val="none" w:sz="0" w:space="0" w:color="auto"/>
            <w:right w:val="none" w:sz="0" w:space="0" w:color="auto"/>
          </w:divBdr>
        </w:div>
        <w:div w:id="1989893084">
          <w:marLeft w:val="0"/>
          <w:marRight w:val="0"/>
          <w:marTop w:val="0"/>
          <w:marBottom w:val="0"/>
          <w:divBdr>
            <w:top w:val="none" w:sz="0" w:space="0" w:color="auto"/>
            <w:left w:val="none" w:sz="0" w:space="0" w:color="auto"/>
            <w:bottom w:val="none" w:sz="0" w:space="0" w:color="auto"/>
            <w:right w:val="none" w:sz="0" w:space="0" w:color="auto"/>
          </w:divBdr>
        </w:div>
      </w:divsChild>
    </w:div>
    <w:div w:id="598366386">
      <w:marLeft w:val="0"/>
      <w:marRight w:val="0"/>
      <w:marTop w:val="0"/>
      <w:marBottom w:val="0"/>
      <w:divBdr>
        <w:top w:val="none" w:sz="0" w:space="0" w:color="auto"/>
        <w:left w:val="none" w:sz="0" w:space="0" w:color="auto"/>
        <w:bottom w:val="none" w:sz="0" w:space="0" w:color="auto"/>
        <w:right w:val="none" w:sz="0" w:space="0" w:color="auto"/>
      </w:divBdr>
    </w:div>
    <w:div w:id="599601893">
      <w:marLeft w:val="0"/>
      <w:marRight w:val="0"/>
      <w:marTop w:val="0"/>
      <w:marBottom w:val="0"/>
      <w:divBdr>
        <w:top w:val="none" w:sz="0" w:space="0" w:color="auto"/>
        <w:left w:val="none" w:sz="0" w:space="0" w:color="auto"/>
        <w:bottom w:val="none" w:sz="0" w:space="0" w:color="auto"/>
        <w:right w:val="none" w:sz="0" w:space="0" w:color="auto"/>
      </w:divBdr>
    </w:div>
    <w:div w:id="600407960">
      <w:marLeft w:val="0"/>
      <w:marRight w:val="0"/>
      <w:marTop w:val="0"/>
      <w:marBottom w:val="0"/>
      <w:divBdr>
        <w:top w:val="none" w:sz="0" w:space="0" w:color="auto"/>
        <w:left w:val="none" w:sz="0" w:space="0" w:color="auto"/>
        <w:bottom w:val="none" w:sz="0" w:space="0" w:color="auto"/>
        <w:right w:val="none" w:sz="0" w:space="0" w:color="auto"/>
      </w:divBdr>
    </w:div>
    <w:div w:id="601106156">
      <w:marLeft w:val="0"/>
      <w:marRight w:val="0"/>
      <w:marTop w:val="0"/>
      <w:marBottom w:val="0"/>
      <w:divBdr>
        <w:top w:val="none" w:sz="0" w:space="0" w:color="auto"/>
        <w:left w:val="none" w:sz="0" w:space="0" w:color="auto"/>
        <w:bottom w:val="none" w:sz="0" w:space="0" w:color="auto"/>
        <w:right w:val="none" w:sz="0" w:space="0" w:color="auto"/>
      </w:divBdr>
    </w:div>
    <w:div w:id="601375601">
      <w:marLeft w:val="0"/>
      <w:marRight w:val="0"/>
      <w:marTop w:val="0"/>
      <w:marBottom w:val="0"/>
      <w:divBdr>
        <w:top w:val="none" w:sz="0" w:space="0" w:color="auto"/>
        <w:left w:val="none" w:sz="0" w:space="0" w:color="auto"/>
        <w:bottom w:val="none" w:sz="0" w:space="0" w:color="auto"/>
        <w:right w:val="none" w:sz="0" w:space="0" w:color="auto"/>
      </w:divBdr>
    </w:div>
    <w:div w:id="602035627">
      <w:marLeft w:val="0"/>
      <w:marRight w:val="0"/>
      <w:marTop w:val="0"/>
      <w:marBottom w:val="0"/>
      <w:divBdr>
        <w:top w:val="none" w:sz="0" w:space="0" w:color="auto"/>
        <w:left w:val="none" w:sz="0" w:space="0" w:color="auto"/>
        <w:bottom w:val="none" w:sz="0" w:space="0" w:color="auto"/>
        <w:right w:val="none" w:sz="0" w:space="0" w:color="auto"/>
      </w:divBdr>
    </w:div>
    <w:div w:id="602301030">
      <w:marLeft w:val="0"/>
      <w:marRight w:val="0"/>
      <w:marTop w:val="0"/>
      <w:marBottom w:val="0"/>
      <w:divBdr>
        <w:top w:val="none" w:sz="0" w:space="0" w:color="auto"/>
        <w:left w:val="none" w:sz="0" w:space="0" w:color="auto"/>
        <w:bottom w:val="none" w:sz="0" w:space="0" w:color="auto"/>
        <w:right w:val="none" w:sz="0" w:space="0" w:color="auto"/>
      </w:divBdr>
    </w:div>
    <w:div w:id="602878281">
      <w:marLeft w:val="0"/>
      <w:marRight w:val="0"/>
      <w:marTop w:val="0"/>
      <w:marBottom w:val="0"/>
      <w:divBdr>
        <w:top w:val="none" w:sz="0" w:space="0" w:color="auto"/>
        <w:left w:val="none" w:sz="0" w:space="0" w:color="auto"/>
        <w:bottom w:val="none" w:sz="0" w:space="0" w:color="auto"/>
        <w:right w:val="none" w:sz="0" w:space="0" w:color="auto"/>
      </w:divBdr>
    </w:div>
    <w:div w:id="603000581">
      <w:marLeft w:val="0"/>
      <w:marRight w:val="0"/>
      <w:marTop w:val="0"/>
      <w:marBottom w:val="0"/>
      <w:divBdr>
        <w:top w:val="none" w:sz="0" w:space="0" w:color="auto"/>
        <w:left w:val="none" w:sz="0" w:space="0" w:color="auto"/>
        <w:bottom w:val="none" w:sz="0" w:space="0" w:color="auto"/>
        <w:right w:val="none" w:sz="0" w:space="0" w:color="auto"/>
      </w:divBdr>
    </w:div>
    <w:div w:id="603074996">
      <w:marLeft w:val="0"/>
      <w:marRight w:val="0"/>
      <w:marTop w:val="0"/>
      <w:marBottom w:val="0"/>
      <w:divBdr>
        <w:top w:val="none" w:sz="0" w:space="0" w:color="auto"/>
        <w:left w:val="none" w:sz="0" w:space="0" w:color="auto"/>
        <w:bottom w:val="none" w:sz="0" w:space="0" w:color="auto"/>
        <w:right w:val="none" w:sz="0" w:space="0" w:color="auto"/>
      </w:divBdr>
    </w:div>
    <w:div w:id="603154879">
      <w:marLeft w:val="0"/>
      <w:marRight w:val="0"/>
      <w:marTop w:val="0"/>
      <w:marBottom w:val="0"/>
      <w:divBdr>
        <w:top w:val="none" w:sz="0" w:space="0" w:color="auto"/>
        <w:left w:val="none" w:sz="0" w:space="0" w:color="auto"/>
        <w:bottom w:val="none" w:sz="0" w:space="0" w:color="auto"/>
        <w:right w:val="none" w:sz="0" w:space="0" w:color="auto"/>
      </w:divBdr>
    </w:div>
    <w:div w:id="603422656">
      <w:marLeft w:val="0"/>
      <w:marRight w:val="0"/>
      <w:marTop w:val="0"/>
      <w:marBottom w:val="0"/>
      <w:divBdr>
        <w:top w:val="none" w:sz="0" w:space="0" w:color="auto"/>
        <w:left w:val="none" w:sz="0" w:space="0" w:color="auto"/>
        <w:bottom w:val="none" w:sz="0" w:space="0" w:color="auto"/>
        <w:right w:val="none" w:sz="0" w:space="0" w:color="auto"/>
      </w:divBdr>
    </w:div>
    <w:div w:id="604077695">
      <w:marLeft w:val="0"/>
      <w:marRight w:val="0"/>
      <w:marTop w:val="0"/>
      <w:marBottom w:val="0"/>
      <w:divBdr>
        <w:top w:val="none" w:sz="0" w:space="0" w:color="auto"/>
        <w:left w:val="none" w:sz="0" w:space="0" w:color="auto"/>
        <w:bottom w:val="none" w:sz="0" w:space="0" w:color="auto"/>
        <w:right w:val="none" w:sz="0" w:space="0" w:color="auto"/>
      </w:divBdr>
    </w:div>
    <w:div w:id="604270952">
      <w:marLeft w:val="0"/>
      <w:marRight w:val="0"/>
      <w:marTop w:val="0"/>
      <w:marBottom w:val="0"/>
      <w:divBdr>
        <w:top w:val="none" w:sz="0" w:space="0" w:color="auto"/>
        <w:left w:val="none" w:sz="0" w:space="0" w:color="auto"/>
        <w:bottom w:val="none" w:sz="0" w:space="0" w:color="auto"/>
        <w:right w:val="none" w:sz="0" w:space="0" w:color="auto"/>
      </w:divBdr>
    </w:div>
    <w:div w:id="605388006">
      <w:marLeft w:val="0"/>
      <w:marRight w:val="0"/>
      <w:marTop w:val="0"/>
      <w:marBottom w:val="0"/>
      <w:divBdr>
        <w:top w:val="none" w:sz="0" w:space="0" w:color="auto"/>
        <w:left w:val="none" w:sz="0" w:space="0" w:color="auto"/>
        <w:bottom w:val="none" w:sz="0" w:space="0" w:color="auto"/>
        <w:right w:val="none" w:sz="0" w:space="0" w:color="auto"/>
      </w:divBdr>
    </w:div>
    <w:div w:id="605624450">
      <w:marLeft w:val="0"/>
      <w:marRight w:val="0"/>
      <w:marTop w:val="0"/>
      <w:marBottom w:val="0"/>
      <w:divBdr>
        <w:top w:val="none" w:sz="0" w:space="0" w:color="auto"/>
        <w:left w:val="none" w:sz="0" w:space="0" w:color="auto"/>
        <w:bottom w:val="none" w:sz="0" w:space="0" w:color="auto"/>
        <w:right w:val="none" w:sz="0" w:space="0" w:color="auto"/>
      </w:divBdr>
    </w:div>
    <w:div w:id="606275229">
      <w:marLeft w:val="0"/>
      <w:marRight w:val="0"/>
      <w:marTop w:val="0"/>
      <w:marBottom w:val="0"/>
      <w:divBdr>
        <w:top w:val="none" w:sz="0" w:space="0" w:color="auto"/>
        <w:left w:val="none" w:sz="0" w:space="0" w:color="auto"/>
        <w:bottom w:val="none" w:sz="0" w:space="0" w:color="auto"/>
        <w:right w:val="none" w:sz="0" w:space="0" w:color="auto"/>
      </w:divBdr>
    </w:div>
    <w:div w:id="606736443">
      <w:marLeft w:val="0"/>
      <w:marRight w:val="0"/>
      <w:marTop w:val="0"/>
      <w:marBottom w:val="0"/>
      <w:divBdr>
        <w:top w:val="none" w:sz="0" w:space="0" w:color="auto"/>
        <w:left w:val="none" w:sz="0" w:space="0" w:color="auto"/>
        <w:bottom w:val="none" w:sz="0" w:space="0" w:color="auto"/>
        <w:right w:val="none" w:sz="0" w:space="0" w:color="auto"/>
      </w:divBdr>
    </w:div>
    <w:div w:id="607352984">
      <w:marLeft w:val="0"/>
      <w:marRight w:val="0"/>
      <w:marTop w:val="0"/>
      <w:marBottom w:val="0"/>
      <w:divBdr>
        <w:top w:val="none" w:sz="0" w:space="0" w:color="auto"/>
        <w:left w:val="none" w:sz="0" w:space="0" w:color="auto"/>
        <w:bottom w:val="none" w:sz="0" w:space="0" w:color="auto"/>
        <w:right w:val="none" w:sz="0" w:space="0" w:color="auto"/>
      </w:divBdr>
    </w:div>
    <w:div w:id="608316985">
      <w:marLeft w:val="0"/>
      <w:marRight w:val="0"/>
      <w:marTop w:val="0"/>
      <w:marBottom w:val="0"/>
      <w:divBdr>
        <w:top w:val="none" w:sz="0" w:space="0" w:color="auto"/>
        <w:left w:val="none" w:sz="0" w:space="0" w:color="auto"/>
        <w:bottom w:val="none" w:sz="0" w:space="0" w:color="auto"/>
        <w:right w:val="none" w:sz="0" w:space="0" w:color="auto"/>
      </w:divBdr>
    </w:div>
    <w:div w:id="608585157">
      <w:marLeft w:val="0"/>
      <w:marRight w:val="0"/>
      <w:marTop w:val="0"/>
      <w:marBottom w:val="0"/>
      <w:divBdr>
        <w:top w:val="none" w:sz="0" w:space="0" w:color="auto"/>
        <w:left w:val="none" w:sz="0" w:space="0" w:color="auto"/>
        <w:bottom w:val="none" w:sz="0" w:space="0" w:color="auto"/>
        <w:right w:val="none" w:sz="0" w:space="0" w:color="auto"/>
      </w:divBdr>
    </w:div>
    <w:div w:id="609707492">
      <w:marLeft w:val="0"/>
      <w:marRight w:val="0"/>
      <w:marTop w:val="0"/>
      <w:marBottom w:val="0"/>
      <w:divBdr>
        <w:top w:val="none" w:sz="0" w:space="0" w:color="auto"/>
        <w:left w:val="none" w:sz="0" w:space="0" w:color="auto"/>
        <w:bottom w:val="none" w:sz="0" w:space="0" w:color="auto"/>
        <w:right w:val="none" w:sz="0" w:space="0" w:color="auto"/>
      </w:divBdr>
    </w:div>
    <w:div w:id="610824778">
      <w:marLeft w:val="0"/>
      <w:marRight w:val="0"/>
      <w:marTop w:val="0"/>
      <w:marBottom w:val="0"/>
      <w:divBdr>
        <w:top w:val="none" w:sz="0" w:space="0" w:color="auto"/>
        <w:left w:val="none" w:sz="0" w:space="0" w:color="auto"/>
        <w:bottom w:val="none" w:sz="0" w:space="0" w:color="auto"/>
        <w:right w:val="none" w:sz="0" w:space="0" w:color="auto"/>
      </w:divBdr>
    </w:div>
    <w:div w:id="611134632">
      <w:marLeft w:val="0"/>
      <w:marRight w:val="0"/>
      <w:marTop w:val="0"/>
      <w:marBottom w:val="0"/>
      <w:divBdr>
        <w:top w:val="none" w:sz="0" w:space="0" w:color="auto"/>
        <w:left w:val="none" w:sz="0" w:space="0" w:color="auto"/>
        <w:bottom w:val="none" w:sz="0" w:space="0" w:color="auto"/>
        <w:right w:val="none" w:sz="0" w:space="0" w:color="auto"/>
      </w:divBdr>
    </w:div>
    <w:div w:id="611134645">
      <w:marLeft w:val="0"/>
      <w:marRight w:val="0"/>
      <w:marTop w:val="0"/>
      <w:marBottom w:val="0"/>
      <w:divBdr>
        <w:top w:val="none" w:sz="0" w:space="0" w:color="auto"/>
        <w:left w:val="none" w:sz="0" w:space="0" w:color="auto"/>
        <w:bottom w:val="none" w:sz="0" w:space="0" w:color="auto"/>
        <w:right w:val="none" w:sz="0" w:space="0" w:color="auto"/>
      </w:divBdr>
      <w:divsChild>
        <w:div w:id="1356033016">
          <w:marLeft w:val="0"/>
          <w:marRight w:val="0"/>
          <w:marTop w:val="0"/>
          <w:marBottom w:val="0"/>
          <w:divBdr>
            <w:top w:val="none" w:sz="0" w:space="0" w:color="auto"/>
            <w:left w:val="none" w:sz="0" w:space="0" w:color="auto"/>
            <w:bottom w:val="none" w:sz="0" w:space="0" w:color="auto"/>
            <w:right w:val="none" w:sz="0" w:space="0" w:color="auto"/>
          </w:divBdr>
        </w:div>
      </w:divsChild>
    </w:div>
    <w:div w:id="611475463">
      <w:marLeft w:val="0"/>
      <w:marRight w:val="0"/>
      <w:marTop w:val="0"/>
      <w:marBottom w:val="0"/>
      <w:divBdr>
        <w:top w:val="none" w:sz="0" w:space="0" w:color="auto"/>
        <w:left w:val="none" w:sz="0" w:space="0" w:color="auto"/>
        <w:bottom w:val="none" w:sz="0" w:space="0" w:color="auto"/>
        <w:right w:val="none" w:sz="0" w:space="0" w:color="auto"/>
      </w:divBdr>
    </w:div>
    <w:div w:id="612785729">
      <w:marLeft w:val="0"/>
      <w:marRight w:val="0"/>
      <w:marTop w:val="0"/>
      <w:marBottom w:val="0"/>
      <w:divBdr>
        <w:top w:val="none" w:sz="0" w:space="0" w:color="auto"/>
        <w:left w:val="none" w:sz="0" w:space="0" w:color="auto"/>
        <w:bottom w:val="none" w:sz="0" w:space="0" w:color="auto"/>
        <w:right w:val="none" w:sz="0" w:space="0" w:color="auto"/>
      </w:divBdr>
    </w:div>
    <w:div w:id="612908839">
      <w:marLeft w:val="0"/>
      <w:marRight w:val="0"/>
      <w:marTop w:val="0"/>
      <w:marBottom w:val="0"/>
      <w:divBdr>
        <w:top w:val="none" w:sz="0" w:space="0" w:color="auto"/>
        <w:left w:val="none" w:sz="0" w:space="0" w:color="auto"/>
        <w:bottom w:val="none" w:sz="0" w:space="0" w:color="auto"/>
        <w:right w:val="none" w:sz="0" w:space="0" w:color="auto"/>
      </w:divBdr>
    </w:div>
    <w:div w:id="613440845">
      <w:marLeft w:val="0"/>
      <w:marRight w:val="0"/>
      <w:marTop w:val="0"/>
      <w:marBottom w:val="0"/>
      <w:divBdr>
        <w:top w:val="none" w:sz="0" w:space="0" w:color="auto"/>
        <w:left w:val="none" w:sz="0" w:space="0" w:color="auto"/>
        <w:bottom w:val="none" w:sz="0" w:space="0" w:color="auto"/>
        <w:right w:val="none" w:sz="0" w:space="0" w:color="auto"/>
      </w:divBdr>
    </w:div>
    <w:div w:id="613631861">
      <w:marLeft w:val="0"/>
      <w:marRight w:val="0"/>
      <w:marTop w:val="0"/>
      <w:marBottom w:val="0"/>
      <w:divBdr>
        <w:top w:val="none" w:sz="0" w:space="0" w:color="auto"/>
        <w:left w:val="none" w:sz="0" w:space="0" w:color="auto"/>
        <w:bottom w:val="none" w:sz="0" w:space="0" w:color="auto"/>
        <w:right w:val="none" w:sz="0" w:space="0" w:color="auto"/>
      </w:divBdr>
    </w:div>
    <w:div w:id="614559995">
      <w:marLeft w:val="0"/>
      <w:marRight w:val="0"/>
      <w:marTop w:val="0"/>
      <w:marBottom w:val="0"/>
      <w:divBdr>
        <w:top w:val="none" w:sz="0" w:space="0" w:color="auto"/>
        <w:left w:val="none" w:sz="0" w:space="0" w:color="auto"/>
        <w:bottom w:val="none" w:sz="0" w:space="0" w:color="auto"/>
        <w:right w:val="none" w:sz="0" w:space="0" w:color="auto"/>
      </w:divBdr>
    </w:div>
    <w:div w:id="614948757">
      <w:marLeft w:val="0"/>
      <w:marRight w:val="0"/>
      <w:marTop w:val="0"/>
      <w:marBottom w:val="0"/>
      <w:divBdr>
        <w:top w:val="none" w:sz="0" w:space="0" w:color="auto"/>
        <w:left w:val="none" w:sz="0" w:space="0" w:color="auto"/>
        <w:bottom w:val="none" w:sz="0" w:space="0" w:color="auto"/>
        <w:right w:val="none" w:sz="0" w:space="0" w:color="auto"/>
      </w:divBdr>
    </w:div>
    <w:div w:id="615527371">
      <w:marLeft w:val="0"/>
      <w:marRight w:val="0"/>
      <w:marTop w:val="0"/>
      <w:marBottom w:val="0"/>
      <w:divBdr>
        <w:top w:val="none" w:sz="0" w:space="0" w:color="auto"/>
        <w:left w:val="none" w:sz="0" w:space="0" w:color="auto"/>
        <w:bottom w:val="none" w:sz="0" w:space="0" w:color="auto"/>
        <w:right w:val="none" w:sz="0" w:space="0" w:color="auto"/>
      </w:divBdr>
    </w:div>
    <w:div w:id="615671842">
      <w:marLeft w:val="0"/>
      <w:marRight w:val="0"/>
      <w:marTop w:val="0"/>
      <w:marBottom w:val="0"/>
      <w:divBdr>
        <w:top w:val="none" w:sz="0" w:space="0" w:color="auto"/>
        <w:left w:val="none" w:sz="0" w:space="0" w:color="auto"/>
        <w:bottom w:val="none" w:sz="0" w:space="0" w:color="auto"/>
        <w:right w:val="none" w:sz="0" w:space="0" w:color="auto"/>
      </w:divBdr>
    </w:div>
    <w:div w:id="616523937">
      <w:marLeft w:val="0"/>
      <w:marRight w:val="0"/>
      <w:marTop w:val="0"/>
      <w:marBottom w:val="0"/>
      <w:divBdr>
        <w:top w:val="none" w:sz="0" w:space="0" w:color="auto"/>
        <w:left w:val="none" w:sz="0" w:space="0" w:color="auto"/>
        <w:bottom w:val="none" w:sz="0" w:space="0" w:color="auto"/>
        <w:right w:val="none" w:sz="0" w:space="0" w:color="auto"/>
      </w:divBdr>
    </w:div>
    <w:div w:id="618217240">
      <w:marLeft w:val="0"/>
      <w:marRight w:val="0"/>
      <w:marTop w:val="0"/>
      <w:marBottom w:val="0"/>
      <w:divBdr>
        <w:top w:val="none" w:sz="0" w:space="0" w:color="auto"/>
        <w:left w:val="none" w:sz="0" w:space="0" w:color="auto"/>
        <w:bottom w:val="none" w:sz="0" w:space="0" w:color="auto"/>
        <w:right w:val="none" w:sz="0" w:space="0" w:color="auto"/>
      </w:divBdr>
    </w:div>
    <w:div w:id="618876635">
      <w:marLeft w:val="0"/>
      <w:marRight w:val="0"/>
      <w:marTop w:val="0"/>
      <w:marBottom w:val="0"/>
      <w:divBdr>
        <w:top w:val="none" w:sz="0" w:space="0" w:color="auto"/>
        <w:left w:val="none" w:sz="0" w:space="0" w:color="auto"/>
        <w:bottom w:val="none" w:sz="0" w:space="0" w:color="auto"/>
        <w:right w:val="none" w:sz="0" w:space="0" w:color="auto"/>
      </w:divBdr>
    </w:div>
    <w:div w:id="620259166">
      <w:marLeft w:val="0"/>
      <w:marRight w:val="0"/>
      <w:marTop w:val="0"/>
      <w:marBottom w:val="0"/>
      <w:divBdr>
        <w:top w:val="none" w:sz="0" w:space="0" w:color="auto"/>
        <w:left w:val="none" w:sz="0" w:space="0" w:color="auto"/>
        <w:bottom w:val="none" w:sz="0" w:space="0" w:color="auto"/>
        <w:right w:val="none" w:sz="0" w:space="0" w:color="auto"/>
      </w:divBdr>
    </w:div>
    <w:div w:id="620382112">
      <w:marLeft w:val="0"/>
      <w:marRight w:val="0"/>
      <w:marTop w:val="0"/>
      <w:marBottom w:val="0"/>
      <w:divBdr>
        <w:top w:val="none" w:sz="0" w:space="0" w:color="auto"/>
        <w:left w:val="none" w:sz="0" w:space="0" w:color="auto"/>
        <w:bottom w:val="none" w:sz="0" w:space="0" w:color="auto"/>
        <w:right w:val="none" w:sz="0" w:space="0" w:color="auto"/>
      </w:divBdr>
    </w:div>
    <w:div w:id="621421768">
      <w:marLeft w:val="0"/>
      <w:marRight w:val="0"/>
      <w:marTop w:val="0"/>
      <w:marBottom w:val="0"/>
      <w:divBdr>
        <w:top w:val="none" w:sz="0" w:space="0" w:color="auto"/>
        <w:left w:val="none" w:sz="0" w:space="0" w:color="auto"/>
        <w:bottom w:val="none" w:sz="0" w:space="0" w:color="auto"/>
        <w:right w:val="none" w:sz="0" w:space="0" w:color="auto"/>
      </w:divBdr>
    </w:div>
    <w:div w:id="621769790">
      <w:marLeft w:val="0"/>
      <w:marRight w:val="0"/>
      <w:marTop w:val="0"/>
      <w:marBottom w:val="0"/>
      <w:divBdr>
        <w:top w:val="none" w:sz="0" w:space="0" w:color="auto"/>
        <w:left w:val="none" w:sz="0" w:space="0" w:color="auto"/>
        <w:bottom w:val="none" w:sz="0" w:space="0" w:color="auto"/>
        <w:right w:val="none" w:sz="0" w:space="0" w:color="auto"/>
      </w:divBdr>
    </w:div>
    <w:div w:id="622151889">
      <w:marLeft w:val="0"/>
      <w:marRight w:val="0"/>
      <w:marTop w:val="0"/>
      <w:marBottom w:val="0"/>
      <w:divBdr>
        <w:top w:val="none" w:sz="0" w:space="0" w:color="auto"/>
        <w:left w:val="none" w:sz="0" w:space="0" w:color="auto"/>
        <w:bottom w:val="none" w:sz="0" w:space="0" w:color="auto"/>
        <w:right w:val="none" w:sz="0" w:space="0" w:color="auto"/>
      </w:divBdr>
    </w:div>
    <w:div w:id="622923183">
      <w:marLeft w:val="0"/>
      <w:marRight w:val="0"/>
      <w:marTop w:val="0"/>
      <w:marBottom w:val="0"/>
      <w:divBdr>
        <w:top w:val="none" w:sz="0" w:space="0" w:color="auto"/>
        <w:left w:val="none" w:sz="0" w:space="0" w:color="auto"/>
        <w:bottom w:val="none" w:sz="0" w:space="0" w:color="auto"/>
        <w:right w:val="none" w:sz="0" w:space="0" w:color="auto"/>
      </w:divBdr>
    </w:div>
    <w:div w:id="622927291">
      <w:marLeft w:val="0"/>
      <w:marRight w:val="0"/>
      <w:marTop w:val="0"/>
      <w:marBottom w:val="0"/>
      <w:divBdr>
        <w:top w:val="none" w:sz="0" w:space="0" w:color="auto"/>
        <w:left w:val="none" w:sz="0" w:space="0" w:color="auto"/>
        <w:bottom w:val="none" w:sz="0" w:space="0" w:color="auto"/>
        <w:right w:val="none" w:sz="0" w:space="0" w:color="auto"/>
      </w:divBdr>
    </w:div>
    <w:div w:id="623389364">
      <w:marLeft w:val="0"/>
      <w:marRight w:val="0"/>
      <w:marTop w:val="0"/>
      <w:marBottom w:val="0"/>
      <w:divBdr>
        <w:top w:val="none" w:sz="0" w:space="0" w:color="auto"/>
        <w:left w:val="none" w:sz="0" w:space="0" w:color="auto"/>
        <w:bottom w:val="none" w:sz="0" w:space="0" w:color="auto"/>
        <w:right w:val="none" w:sz="0" w:space="0" w:color="auto"/>
      </w:divBdr>
    </w:div>
    <w:div w:id="624241340">
      <w:marLeft w:val="0"/>
      <w:marRight w:val="0"/>
      <w:marTop w:val="0"/>
      <w:marBottom w:val="0"/>
      <w:divBdr>
        <w:top w:val="none" w:sz="0" w:space="0" w:color="auto"/>
        <w:left w:val="none" w:sz="0" w:space="0" w:color="auto"/>
        <w:bottom w:val="none" w:sz="0" w:space="0" w:color="auto"/>
        <w:right w:val="none" w:sz="0" w:space="0" w:color="auto"/>
      </w:divBdr>
      <w:divsChild>
        <w:div w:id="1805661015">
          <w:marLeft w:val="0"/>
          <w:marRight w:val="0"/>
          <w:marTop w:val="0"/>
          <w:marBottom w:val="0"/>
          <w:divBdr>
            <w:top w:val="none" w:sz="0" w:space="0" w:color="auto"/>
            <w:left w:val="none" w:sz="0" w:space="0" w:color="auto"/>
            <w:bottom w:val="none" w:sz="0" w:space="0" w:color="auto"/>
            <w:right w:val="none" w:sz="0" w:space="0" w:color="auto"/>
          </w:divBdr>
        </w:div>
      </w:divsChild>
    </w:div>
    <w:div w:id="625162023">
      <w:marLeft w:val="0"/>
      <w:marRight w:val="0"/>
      <w:marTop w:val="0"/>
      <w:marBottom w:val="0"/>
      <w:divBdr>
        <w:top w:val="none" w:sz="0" w:space="0" w:color="auto"/>
        <w:left w:val="none" w:sz="0" w:space="0" w:color="auto"/>
        <w:bottom w:val="none" w:sz="0" w:space="0" w:color="auto"/>
        <w:right w:val="none" w:sz="0" w:space="0" w:color="auto"/>
      </w:divBdr>
    </w:div>
    <w:div w:id="625279745">
      <w:marLeft w:val="0"/>
      <w:marRight w:val="0"/>
      <w:marTop w:val="0"/>
      <w:marBottom w:val="0"/>
      <w:divBdr>
        <w:top w:val="none" w:sz="0" w:space="0" w:color="auto"/>
        <w:left w:val="none" w:sz="0" w:space="0" w:color="auto"/>
        <w:bottom w:val="none" w:sz="0" w:space="0" w:color="auto"/>
        <w:right w:val="none" w:sz="0" w:space="0" w:color="auto"/>
      </w:divBdr>
      <w:divsChild>
        <w:div w:id="312829493">
          <w:marLeft w:val="0"/>
          <w:marRight w:val="0"/>
          <w:marTop w:val="0"/>
          <w:marBottom w:val="0"/>
          <w:divBdr>
            <w:top w:val="none" w:sz="0" w:space="0" w:color="auto"/>
            <w:left w:val="none" w:sz="0" w:space="0" w:color="auto"/>
            <w:bottom w:val="none" w:sz="0" w:space="0" w:color="auto"/>
            <w:right w:val="none" w:sz="0" w:space="0" w:color="auto"/>
          </w:divBdr>
        </w:div>
      </w:divsChild>
    </w:div>
    <w:div w:id="625500806">
      <w:marLeft w:val="0"/>
      <w:marRight w:val="0"/>
      <w:marTop w:val="0"/>
      <w:marBottom w:val="0"/>
      <w:divBdr>
        <w:top w:val="none" w:sz="0" w:space="0" w:color="auto"/>
        <w:left w:val="none" w:sz="0" w:space="0" w:color="auto"/>
        <w:bottom w:val="none" w:sz="0" w:space="0" w:color="auto"/>
        <w:right w:val="none" w:sz="0" w:space="0" w:color="auto"/>
      </w:divBdr>
    </w:div>
    <w:div w:id="626277781">
      <w:marLeft w:val="0"/>
      <w:marRight w:val="0"/>
      <w:marTop w:val="0"/>
      <w:marBottom w:val="0"/>
      <w:divBdr>
        <w:top w:val="none" w:sz="0" w:space="0" w:color="auto"/>
        <w:left w:val="none" w:sz="0" w:space="0" w:color="auto"/>
        <w:bottom w:val="none" w:sz="0" w:space="0" w:color="auto"/>
        <w:right w:val="none" w:sz="0" w:space="0" w:color="auto"/>
      </w:divBdr>
    </w:div>
    <w:div w:id="627782540">
      <w:marLeft w:val="0"/>
      <w:marRight w:val="0"/>
      <w:marTop w:val="0"/>
      <w:marBottom w:val="0"/>
      <w:divBdr>
        <w:top w:val="none" w:sz="0" w:space="0" w:color="auto"/>
        <w:left w:val="none" w:sz="0" w:space="0" w:color="auto"/>
        <w:bottom w:val="none" w:sz="0" w:space="0" w:color="auto"/>
        <w:right w:val="none" w:sz="0" w:space="0" w:color="auto"/>
      </w:divBdr>
    </w:div>
    <w:div w:id="627905212">
      <w:marLeft w:val="0"/>
      <w:marRight w:val="0"/>
      <w:marTop w:val="0"/>
      <w:marBottom w:val="0"/>
      <w:divBdr>
        <w:top w:val="none" w:sz="0" w:space="0" w:color="auto"/>
        <w:left w:val="none" w:sz="0" w:space="0" w:color="auto"/>
        <w:bottom w:val="none" w:sz="0" w:space="0" w:color="auto"/>
        <w:right w:val="none" w:sz="0" w:space="0" w:color="auto"/>
      </w:divBdr>
    </w:div>
    <w:div w:id="629283602">
      <w:marLeft w:val="0"/>
      <w:marRight w:val="0"/>
      <w:marTop w:val="0"/>
      <w:marBottom w:val="0"/>
      <w:divBdr>
        <w:top w:val="none" w:sz="0" w:space="0" w:color="auto"/>
        <w:left w:val="none" w:sz="0" w:space="0" w:color="auto"/>
        <w:bottom w:val="none" w:sz="0" w:space="0" w:color="auto"/>
        <w:right w:val="none" w:sz="0" w:space="0" w:color="auto"/>
      </w:divBdr>
    </w:div>
    <w:div w:id="630284235">
      <w:marLeft w:val="0"/>
      <w:marRight w:val="0"/>
      <w:marTop w:val="0"/>
      <w:marBottom w:val="0"/>
      <w:divBdr>
        <w:top w:val="none" w:sz="0" w:space="0" w:color="auto"/>
        <w:left w:val="none" w:sz="0" w:space="0" w:color="auto"/>
        <w:bottom w:val="none" w:sz="0" w:space="0" w:color="auto"/>
        <w:right w:val="none" w:sz="0" w:space="0" w:color="auto"/>
      </w:divBdr>
    </w:div>
    <w:div w:id="630865611">
      <w:marLeft w:val="0"/>
      <w:marRight w:val="0"/>
      <w:marTop w:val="0"/>
      <w:marBottom w:val="0"/>
      <w:divBdr>
        <w:top w:val="none" w:sz="0" w:space="0" w:color="auto"/>
        <w:left w:val="none" w:sz="0" w:space="0" w:color="auto"/>
        <w:bottom w:val="none" w:sz="0" w:space="0" w:color="auto"/>
        <w:right w:val="none" w:sz="0" w:space="0" w:color="auto"/>
      </w:divBdr>
    </w:div>
    <w:div w:id="632951880">
      <w:marLeft w:val="0"/>
      <w:marRight w:val="0"/>
      <w:marTop w:val="0"/>
      <w:marBottom w:val="0"/>
      <w:divBdr>
        <w:top w:val="none" w:sz="0" w:space="0" w:color="auto"/>
        <w:left w:val="none" w:sz="0" w:space="0" w:color="auto"/>
        <w:bottom w:val="none" w:sz="0" w:space="0" w:color="auto"/>
        <w:right w:val="none" w:sz="0" w:space="0" w:color="auto"/>
      </w:divBdr>
    </w:div>
    <w:div w:id="634332323">
      <w:marLeft w:val="0"/>
      <w:marRight w:val="0"/>
      <w:marTop w:val="0"/>
      <w:marBottom w:val="0"/>
      <w:divBdr>
        <w:top w:val="none" w:sz="0" w:space="0" w:color="auto"/>
        <w:left w:val="none" w:sz="0" w:space="0" w:color="auto"/>
        <w:bottom w:val="none" w:sz="0" w:space="0" w:color="auto"/>
        <w:right w:val="none" w:sz="0" w:space="0" w:color="auto"/>
      </w:divBdr>
    </w:div>
    <w:div w:id="634332762">
      <w:marLeft w:val="0"/>
      <w:marRight w:val="0"/>
      <w:marTop w:val="0"/>
      <w:marBottom w:val="0"/>
      <w:divBdr>
        <w:top w:val="none" w:sz="0" w:space="0" w:color="auto"/>
        <w:left w:val="none" w:sz="0" w:space="0" w:color="auto"/>
        <w:bottom w:val="none" w:sz="0" w:space="0" w:color="auto"/>
        <w:right w:val="none" w:sz="0" w:space="0" w:color="auto"/>
      </w:divBdr>
    </w:div>
    <w:div w:id="635182174">
      <w:marLeft w:val="0"/>
      <w:marRight w:val="0"/>
      <w:marTop w:val="0"/>
      <w:marBottom w:val="0"/>
      <w:divBdr>
        <w:top w:val="none" w:sz="0" w:space="0" w:color="auto"/>
        <w:left w:val="none" w:sz="0" w:space="0" w:color="auto"/>
        <w:bottom w:val="none" w:sz="0" w:space="0" w:color="auto"/>
        <w:right w:val="none" w:sz="0" w:space="0" w:color="auto"/>
      </w:divBdr>
    </w:div>
    <w:div w:id="636186439">
      <w:marLeft w:val="0"/>
      <w:marRight w:val="0"/>
      <w:marTop w:val="0"/>
      <w:marBottom w:val="0"/>
      <w:divBdr>
        <w:top w:val="none" w:sz="0" w:space="0" w:color="auto"/>
        <w:left w:val="none" w:sz="0" w:space="0" w:color="auto"/>
        <w:bottom w:val="none" w:sz="0" w:space="0" w:color="auto"/>
        <w:right w:val="none" w:sz="0" w:space="0" w:color="auto"/>
      </w:divBdr>
    </w:div>
    <w:div w:id="636566970">
      <w:marLeft w:val="0"/>
      <w:marRight w:val="0"/>
      <w:marTop w:val="0"/>
      <w:marBottom w:val="0"/>
      <w:divBdr>
        <w:top w:val="none" w:sz="0" w:space="0" w:color="auto"/>
        <w:left w:val="none" w:sz="0" w:space="0" w:color="auto"/>
        <w:bottom w:val="none" w:sz="0" w:space="0" w:color="auto"/>
        <w:right w:val="none" w:sz="0" w:space="0" w:color="auto"/>
      </w:divBdr>
    </w:div>
    <w:div w:id="638153310">
      <w:marLeft w:val="0"/>
      <w:marRight w:val="0"/>
      <w:marTop w:val="0"/>
      <w:marBottom w:val="0"/>
      <w:divBdr>
        <w:top w:val="none" w:sz="0" w:space="0" w:color="auto"/>
        <w:left w:val="none" w:sz="0" w:space="0" w:color="auto"/>
        <w:bottom w:val="none" w:sz="0" w:space="0" w:color="auto"/>
        <w:right w:val="none" w:sz="0" w:space="0" w:color="auto"/>
      </w:divBdr>
    </w:div>
    <w:div w:id="639187302">
      <w:marLeft w:val="0"/>
      <w:marRight w:val="0"/>
      <w:marTop w:val="0"/>
      <w:marBottom w:val="0"/>
      <w:divBdr>
        <w:top w:val="none" w:sz="0" w:space="0" w:color="auto"/>
        <w:left w:val="none" w:sz="0" w:space="0" w:color="auto"/>
        <w:bottom w:val="none" w:sz="0" w:space="0" w:color="auto"/>
        <w:right w:val="none" w:sz="0" w:space="0" w:color="auto"/>
      </w:divBdr>
    </w:div>
    <w:div w:id="640041825">
      <w:marLeft w:val="0"/>
      <w:marRight w:val="0"/>
      <w:marTop w:val="0"/>
      <w:marBottom w:val="0"/>
      <w:divBdr>
        <w:top w:val="none" w:sz="0" w:space="0" w:color="auto"/>
        <w:left w:val="none" w:sz="0" w:space="0" w:color="auto"/>
        <w:bottom w:val="none" w:sz="0" w:space="0" w:color="auto"/>
        <w:right w:val="none" w:sz="0" w:space="0" w:color="auto"/>
      </w:divBdr>
    </w:div>
    <w:div w:id="640116632">
      <w:marLeft w:val="0"/>
      <w:marRight w:val="0"/>
      <w:marTop w:val="0"/>
      <w:marBottom w:val="0"/>
      <w:divBdr>
        <w:top w:val="none" w:sz="0" w:space="0" w:color="auto"/>
        <w:left w:val="none" w:sz="0" w:space="0" w:color="auto"/>
        <w:bottom w:val="none" w:sz="0" w:space="0" w:color="auto"/>
        <w:right w:val="none" w:sz="0" w:space="0" w:color="auto"/>
      </w:divBdr>
    </w:div>
    <w:div w:id="640964370">
      <w:marLeft w:val="0"/>
      <w:marRight w:val="0"/>
      <w:marTop w:val="0"/>
      <w:marBottom w:val="0"/>
      <w:divBdr>
        <w:top w:val="none" w:sz="0" w:space="0" w:color="auto"/>
        <w:left w:val="none" w:sz="0" w:space="0" w:color="auto"/>
        <w:bottom w:val="none" w:sz="0" w:space="0" w:color="auto"/>
        <w:right w:val="none" w:sz="0" w:space="0" w:color="auto"/>
      </w:divBdr>
    </w:div>
    <w:div w:id="640964901">
      <w:marLeft w:val="0"/>
      <w:marRight w:val="0"/>
      <w:marTop w:val="0"/>
      <w:marBottom w:val="200"/>
      <w:divBdr>
        <w:top w:val="none" w:sz="0" w:space="0" w:color="auto"/>
        <w:left w:val="none" w:sz="0" w:space="0" w:color="auto"/>
        <w:bottom w:val="none" w:sz="0" w:space="0" w:color="auto"/>
        <w:right w:val="none" w:sz="0" w:space="0" w:color="auto"/>
      </w:divBdr>
    </w:div>
    <w:div w:id="641348142">
      <w:marLeft w:val="0"/>
      <w:marRight w:val="0"/>
      <w:marTop w:val="0"/>
      <w:marBottom w:val="0"/>
      <w:divBdr>
        <w:top w:val="none" w:sz="0" w:space="0" w:color="auto"/>
        <w:left w:val="none" w:sz="0" w:space="0" w:color="auto"/>
        <w:bottom w:val="none" w:sz="0" w:space="0" w:color="auto"/>
        <w:right w:val="none" w:sz="0" w:space="0" w:color="auto"/>
      </w:divBdr>
    </w:div>
    <w:div w:id="642929421">
      <w:marLeft w:val="0"/>
      <w:marRight w:val="0"/>
      <w:marTop w:val="0"/>
      <w:marBottom w:val="0"/>
      <w:divBdr>
        <w:top w:val="none" w:sz="0" w:space="0" w:color="auto"/>
        <w:left w:val="none" w:sz="0" w:space="0" w:color="auto"/>
        <w:bottom w:val="none" w:sz="0" w:space="0" w:color="auto"/>
        <w:right w:val="none" w:sz="0" w:space="0" w:color="auto"/>
      </w:divBdr>
      <w:divsChild>
        <w:div w:id="443769153">
          <w:marLeft w:val="0"/>
          <w:marRight w:val="0"/>
          <w:marTop w:val="0"/>
          <w:marBottom w:val="0"/>
          <w:divBdr>
            <w:top w:val="none" w:sz="0" w:space="0" w:color="auto"/>
            <w:left w:val="none" w:sz="0" w:space="0" w:color="auto"/>
            <w:bottom w:val="none" w:sz="0" w:space="0" w:color="auto"/>
            <w:right w:val="none" w:sz="0" w:space="0" w:color="auto"/>
          </w:divBdr>
        </w:div>
      </w:divsChild>
    </w:div>
    <w:div w:id="645666526">
      <w:marLeft w:val="0"/>
      <w:marRight w:val="0"/>
      <w:marTop w:val="0"/>
      <w:marBottom w:val="0"/>
      <w:divBdr>
        <w:top w:val="none" w:sz="0" w:space="0" w:color="auto"/>
        <w:left w:val="none" w:sz="0" w:space="0" w:color="auto"/>
        <w:bottom w:val="none" w:sz="0" w:space="0" w:color="auto"/>
        <w:right w:val="none" w:sz="0" w:space="0" w:color="auto"/>
      </w:divBdr>
    </w:div>
    <w:div w:id="646012511">
      <w:marLeft w:val="0"/>
      <w:marRight w:val="0"/>
      <w:marTop w:val="0"/>
      <w:marBottom w:val="0"/>
      <w:divBdr>
        <w:top w:val="none" w:sz="0" w:space="0" w:color="auto"/>
        <w:left w:val="none" w:sz="0" w:space="0" w:color="auto"/>
        <w:bottom w:val="none" w:sz="0" w:space="0" w:color="auto"/>
        <w:right w:val="none" w:sz="0" w:space="0" w:color="auto"/>
      </w:divBdr>
    </w:div>
    <w:div w:id="646471399">
      <w:marLeft w:val="0"/>
      <w:marRight w:val="0"/>
      <w:marTop w:val="0"/>
      <w:marBottom w:val="0"/>
      <w:divBdr>
        <w:top w:val="none" w:sz="0" w:space="0" w:color="auto"/>
        <w:left w:val="none" w:sz="0" w:space="0" w:color="auto"/>
        <w:bottom w:val="none" w:sz="0" w:space="0" w:color="auto"/>
        <w:right w:val="none" w:sz="0" w:space="0" w:color="auto"/>
      </w:divBdr>
    </w:div>
    <w:div w:id="647445286">
      <w:marLeft w:val="0"/>
      <w:marRight w:val="0"/>
      <w:marTop w:val="0"/>
      <w:marBottom w:val="0"/>
      <w:divBdr>
        <w:top w:val="none" w:sz="0" w:space="0" w:color="auto"/>
        <w:left w:val="none" w:sz="0" w:space="0" w:color="auto"/>
        <w:bottom w:val="none" w:sz="0" w:space="0" w:color="auto"/>
        <w:right w:val="none" w:sz="0" w:space="0" w:color="auto"/>
      </w:divBdr>
    </w:div>
    <w:div w:id="647586616">
      <w:marLeft w:val="0"/>
      <w:marRight w:val="0"/>
      <w:marTop w:val="0"/>
      <w:marBottom w:val="0"/>
      <w:divBdr>
        <w:top w:val="none" w:sz="0" w:space="0" w:color="auto"/>
        <w:left w:val="none" w:sz="0" w:space="0" w:color="auto"/>
        <w:bottom w:val="none" w:sz="0" w:space="0" w:color="auto"/>
        <w:right w:val="none" w:sz="0" w:space="0" w:color="auto"/>
      </w:divBdr>
    </w:div>
    <w:div w:id="647588419">
      <w:marLeft w:val="0"/>
      <w:marRight w:val="0"/>
      <w:marTop w:val="0"/>
      <w:marBottom w:val="0"/>
      <w:divBdr>
        <w:top w:val="none" w:sz="0" w:space="0" w:color="auto"/>
        <w:left w:val="none" w:sz="0" w:space="0" w:color="auto"/>
        <w:bottom w:val="none" w:sz="0" w:space="0" w:color="auto"/>
        <w:right w:val="none" w:sz="0" w:space="0" w:color="auto"/>
      </w:divBdr>
    </w:div>
    <w:div w:id="647711846">
      <w:marLeft w:val="0"/>
      <w:marRight w:val="0"/>
      <w:marTop w:val="0"/>
      <w:marBottom w:val="0"/>
      <w:divBdr>
        <w:top w:val="none" w:sz="0" w:space="0" w:color="auto"/>
        <w:left w:val="none" w:sz="0" w:space="0" w:color="auto"/>
        <w:bottom w:val="none" w:sz="0" w:space="0" w:color="auto"/>
        <w:right w:val="none" w:sz="0" w:space="0" w:color="auto"/>
      </w:divBdr>
    </w:div>
    <w:div w:id="648556815">
      <w:marLeft w:val="0"/>
      <w:marRight w:val="0"/>
      <w:marTop w:val="0"/>
      <w:marBottom w:val="0"/>
      <w:divBdr>
        <w:top w:val="none" w:sz="0" w:space="0" w:color="auto"/>
        <w:left w:val="none" w:sz="0" w:space="0" w:color="auto"/>
        <w:bottom w:val="none" w:sz="0" w:space="0" w:color="auto"/>
        <w:right w:val="none" w:sz="0" w:space="0" w:color="auto"/>
      </w:divBdr>
    </w:div>
    <w:div w:id="649486257">
      <w:marLeft w:val="0"/>
      <w:marRight w:val="0"/>
      <w:marTop w:val="0"/>
      <w:marBottom w:val="0"/>
      <w:divBdr>
        <w:top w:val="none" w:sz="0" w:space="0" w:color="auto"/>
        <w:left w:val="none" w:sz="0" w:space="0" w:color="auto"/>
        <w:bottom w:val="none" w:sz="0" w:space="0" w:color="auto"/>
        <w:right w:val="none" w:sz="0" w:space="0" w:color="auto"/>
      </w:divBdr>
    </w:div>
    <w:div w:id="650252559">
      <w:marLeft w:val="0"/>
      <w:marRight w:val="0"/>
      <w:marTop w:val="0"/>
      <w:marBottom w:val="0"/>
      <w:divBdr>
        <w:top w:val="none" w:sz="0" w:space="0" w:color="auto"/>
        <w:left w:val="none" w:sz="0" w:space="0" w:color="auto"/>
        <w:bottom w:val="none" w:sz="0" w:space="0" w:color="auto"/>
        <w:right w:val="none" w:sz="0" w:space="0" w:color="auto"/>
      </w:divBdr>
    </w:div>
    <w:div w:id="650787601">
      <w:marLeft w:val="0"/>
      <w:marRight w:val="0"/>
      <w:marTop w:val="0"/>
      <w:marBottom w:val="0"/>
      <w:divBdr>
        <w:top w:val="none" w:sz="0" w:space="0" w:color="auto"/>
        <w:left w:val="none" w:sz="0" w:space="0" w:color="auto"/>
        <w:bottom w:val="none" w:sz="0" w:space="0" w:color="auto"/>
        <w:right w:val="none" w:sz="0" w:space="0" w:color="auto"/>
      </w:divBdr>
    </w:div>
    <w:div w:id="652029946">
      <w:marLeft w:val="0"/>
      <w:marRight w:val="0"/>
      <w:marTop w:val="0"/>
      <w:marBottom w:val="0"/>
      <w:divBdr>
        <w:top w:val="none" w:sz="0" w:space="0" w:color="auto"/>
        <w:left w:val="none" w:sz="0" w:space="0" w:color="auto"/>
        <w:bottom w:val="none" w:sz="0" w:space="0" w:color="auto"/>
        <w:right w:val="none" w:sz="0" w:space="0" w:color="auto"/>
      </w:divBdr>
    </w:div>
    <w:div w:id="654073221">
      <w:marLeft w:val="0"/>
      <w:marRight w:val="0"/>
      <w:marTop w:val="0"/>
      <w:marBottom w:val="0"/>
      <w:divBdr>
        <w:top w:val="none" w:sz="0" w:space="0" w:color="auto"/>
        <w:left w:val="none" w:sz="0" w:space="0" w:color="auto"/>
        <w:bottom w:val="none" w:sz="0" w:space="0" w:color="auto"/>
        <w:right w:val="none" w:sz="0" w:space="0" w:color="auto"/>
      </w:divBdr>
    </w:div>
    <w:div w:id="655256646">
      <w:marLeft w:val="0"/>
      <w:marRight w:val="0"/>
      <w:marTop w:val="0"/>
      <w:marBottom w:val="0"/>
      <w:divBdr>
        <w:top w:val="none" w:sz="0" w:space="0" w:color="auto"/>
        <w:left w:val="none" w:sz="0" w:space="0" w:color="auto"/>
        <w:bottom w:val="none" w:sz="0" w:space="0" w:color="auto"/>
        <w:right w:val="none" w:sz="0" w:space="0" w:color="auto"/>
      </w:divBdr>
      <w:divsChild>
        <w:div w:id="607085552">
          <w:marLeft w:val="0"/>
          <w:marRight w:val="0"/>
          <w:marTop w:val="0"/>
          <w:marBottom w:val="0"/>
          <w:divBdr>
            <w:top w:val="none" w:sz="0" w:space="0" w:color="auto"/>
            <w:left w:val="none" w:sz="0" w:space="0" w:color="auto"/>
            <w:bottom w:val="none" w:sz="0" w:space="0" w:color="auto"/>
            <w:right w:val="none" w:sz="0" w:space="0" w:color="auto"/>
          </w:divBdr>
        </w:div>
      </w:divsChild>
    </w:div>
    <w:div w:id="655912280">
      <w:marLeft w:val="0"/>
      <w:marRight w:val="0"/>
      <w:marTop w:val="0"/>
      <w:marBottom w:val="0"/>
      <w:divBdr>
        <w:top w:val="none" w:sz="0" w:space="0" w:color="auto"/>
        <w:left w:val="none" w:sz="0" w:space="0" w:color="auto"/>
        <w:bottom w:val="none" w:sz="0" w:space="0" w:color="auto"/>
        <w:right w:val="none" w:sz="0" w:space="0" w:color="auto"/>
      </w:divBdr>
    </w:div>
    <w:div w:id="656424091">
      <w:marLeft w:val="0"/>
      <w:marRight w:val="0"/>
      <w:marTop w:val="0"/>
      <w:marBottom w:val="0"/>
      <w:divBdr>
        <w:top w:val="none" w:sz="0" w:space="0" w:color="auto"/>
        <w:left w:val="none" w:sz="0" w:space="0" w:color="auto"/>
        <w:bottom w:val="none" w:sz="0" w:space="0" w:color="auto"/>
        <w:right w:val="none" w:sz="0" w:space="0" w:color="auto"/>
      </w:divBdr>
    </w:div>
    <w:div w:id="656542215">
      <w:marLeft w:val="0"/>
      <w:marRight w:val="0"/>
      <w:marTop w:val="0"/>
      <w:marBottom w:val="0"/>
      <w:divBdr>
        <w:top w:val="none" w:sz="0" w:space="0" w:color="auto"/>
        <w:left w:val="none" w:sz="0" w:space="0" w:color="auto"/>
        <w:bottom w:val="none" w:sz="0" w:space="0" w:color="auto"/>
        <w:right w:val="none" w:sz="0" w:space="0" w:color="auto"/>
      </w:divBdr>
    </w:div>
    <w:div w:id="656691099">
      <w:marLeft w:val="0"/>
      <w:marRight w:val="0"/>
      <w:marTop w:val="0"/>
      <w:marBottom w:val="0"/>
      <w:divBdr>
        <w:top w:val="none" w:sz="0" w:space="0" w:color="auto"/>
        <w:left w:val="none" w:sz="0" w:space="0" w:color="auto"/>
        <w:bottom w:val="none" w:sz="0" w:space="0" w:color="auto"/>
        <w:right w:val="none" w:sz="0" w:space="0" w:color="auto"/>
      </w:divBdr>
    </w:div>
    <w:div w:id="656886690">
      <w:marLeft w:val="0"/>
      <w:marRight w:val="0"/>
      <w:marTop w:val="0"/>
      <w:marBottom w:val="0"/>
      <w:divBdr>
        <w:top w:val="none" w:sz="0" w:space="0" w:color="auto"/>
        <w:left w:val="none" w:sz="0" w:space="0" w:color="auto"/>
        <w:bottom w:val="none" w:sz="0" w:space="0" w:color="auto"/>
        <w:right w:val="none" w:sz="0" w:space="0" w:color="auto"/>
      </w:divBdr>
    </w:div>
    <w:div w:id="657346699">
      <w:marLeft w:val="0"/>
      <w:marRight w:val="0"/>
      <w:marTop w:val="0"/>
      <w:marBottom w:val="0"/>
      <w:divBdr>
        <w:top w:val="none" w:sz="0" w:space="0" w:color="auto"/>
        <w:left w:val="none" w:sz="0" w:space="0" w:color="auto"/>
        <w:bottom w:val="none" w:sz="0" w:space="0" w:color="auto"/>
        <w:right w:val="none" w:sz="0" w:space="0" w:color="auto"/>
      </w:divBdr>
      <w:divsChild>
        <w:div w:id="1881437243">
          <w:marLeft w:val="0"/>
          <w:marRight w:val="0"/>
          <w:marTop w:val="0"/>
          <w:marBottom w:val="0"/>
          <w:divBdr>
            <w:top w:val="none" w:sz="0" w:space="0" w:color="auto"/>
            <w:left w:val="none" w:sz="0" w:space="0" w:color="auto"/>
            <w:bottom w:val="none" w:sz="0" w:space="0" w:color="auto"/>
            <w:right w:val="none" w:sz="0" w:space="0" w:color="auto"/>
          </w:divBdr>
        </w:div>
      </w:divsChild>
    </w:div>
    <w:div w:id="659313983">
      <w:marLeft w:val="0"/>
      <w:marRight w:val="0"/>
      <w:marTop w:val="0"/>
      <w:marBottom w:val="0"/>
      <w:divBdr>
        <w:top w:val="none" w:sz="0" w:space="0" w:color="auto"/>
        <w:left w:val="none" w:sz="0" w:space="0" w:color="auto"/>
        <w:bottom w:val="none" w:sz="0" w:space="0" w:color="auto"/>
        <w:right w:val="none" w:sz="0" w:space="0" w:color="auto"/>
      </w:divBdr>
    </w:div>
    <w:div w:id="660039611">
      <w:marLeft w:val="0"/>
      <w:marRight w:val="0"/>
      <w:marTop w:val="0"/>
      <w:marBottom w:val="0"/>
      <w:divBdr>
        <w:top w:val="none" w:sz="0" w:space="0" w:color="auto"/>
        <w:left w:val="none" w:sz="0" w:space="0" w:color="auto"/>
        <w:bottom w:val="none" w:sz="0" w:space="0" w:color="auto"/>
        <w:right w:val="none" w:sz="0" w:space="0" w:color="auto"/>
      </w:divBdr>
    </w:div>
    <w:div w:id="661354197">
      <w:marLeft w:val="0"/>
      <w:marRight w:val="0"/>
      <w:marTop w:val="0"/>
      <w:marBottom w:val="0"/>
      <w:divBdr>
        <w:top w:val="none" w:sz="0" w:space="0" w:color="auto"/>
        <w:left w:val="none" w:sz="0" w:space="0" w:color="auto"/>
        <w:bottom w:val="none" w:sz="0" w:space="0" w:color="auto"/>
        <w:right w:val="none" w:sz="0" w:space="0" w:color="auto"/>
      </w:divBdr>
    </w:div>
    <w:div w:id="662129093">
      <w:marLeft w:val="0"/>
      <w:marRight w:val="0"/>
      <w:marTop w:val="0"/>
      <w:marBottom w:val="0"/>
      <w:divBdr>
        <w:top w:val="none" w:sz="0" w:space="0" w:color="auto"/>
        <w:left w:val="none" w:sz="0" w:space="0" w:color="auto"/>
        <w:bottom w:val="none" w:sz="0" w:space="0" w:color="auto"/>
        <w:right w:val="none" w:sz="0" w:space="0" w:color="auto"/>
      </w:divBdr>
    </w:div>
    <w:div w:id="662394215">
      <w:marLeft w:val="0"/>
      <w:marRight w:val="0"/>
      <w:marTop w:val="0"/>
      <w:marBottom w:val="0"/>
      <w:divBdr>
        <w:top w:val="none" w:sz="0" w:space="0" w:color="auto"/>
        <w:left w:val="none" w:sz="0" w:space="0" w:color="auto"/>
        <w:bottom w:val="none" w:sz="0" w:space="0" w:color="auto"/>
        <w:right w:val="none" w:sz="0" w:space="0" w:color="auto"/>
      </w:divBdr>
    </w:div>
    <w:div w:id="663511359">
      <w:marLeft w:val="0"/>
      <w:marRight w:val="0"/>
      <w:marTop w:val="100"/>
      <w:marBottom w:val="100"/>
      <w:divBdr>
        <w:top w:val="none" w:sz="0" w:space="0" w:color="auto"/>
        <w:left w:val="none" w:sz="0" w:space="0" w:color="auto"/>
        <w:bottom w:val="none" w:sz="0" w:space="0" w:color="auto"/>
        <w:right w:val="none" w:sz="0" w:space="0" w:color="auto"/>
      </w:divBdr>
    </w:div>
    <w:div w:id="663626585">
      <w:marLeft w:val="0"/>
      <w:marRight w:val="0"/>
      <w:marTop w:val="0"/>
      <w:marBottom w:val="0"/>
      <w:divBdr>
        <w:top w:val="none" w:sz="0" w:space="0" w:color="auto"/>
        <w:left w:val="none" w:sz="0" w:space="0" w:color="auto"/>
        <w:bottom w:val="none" w:sz="0" w:space="0" w:color="auto"/>
        <w:right w:val="none" w:sz="0" w:space="0" w:color="auto"/>
      </w:divBdr>
    </w:div>
    <w:div w:id="663822750">
      <w:marLeft w:val="0"/>
      <w:marRight w:val="0"/>
      <w:marTop w:val="0"/>
      <w:marBottom w:val="0"/>
      <w:divBdr>
        <w:top w:val="none" w:sz="0" w:space="0" w:color="auto"/>
        <w:left w:val="none" w:sz="0" w:space="0" w:color="auto"/>
        <w:bottom w:val="none" w:sz="0" w:space="0" w:color="auto"/>
        <w:right w:val="none" w:sz="0" w:space="0" w:color="auto"/>
      </w:divBdr>
    </w:div>
    <w:div w:id="664166880">
      <w:marLeft w:val="0"/>
      <w:marRight w:val="0"/>
      <w:marTop w:val="0"/>
      <w:marBottom w:val="0"/>
      <w:divBdr>
        <w:top w:val="none" w:sz="0" w:space="0" w:color="auto"/>
        <w:left w:val="none" w:sz="0" w:space="0" w:color="auto"/>
        <w:bottom w:val="none" w:sz="0" w:space="0" w:color="auto"/>
        <w:right w:val="none" w:sz="0" w:space="0" w:color="auto"/>
      </w:divBdr>
    </w:div>
    <w:div w:id="664821212">
      <w:marLeft w:val="0"/>
      <w:marRight w:val="0"/>
      <w:marTop w:val="0"/>
      <w:marBottom w:val="0"/>
      <w:divBdr>
        <w:top w:val="none" w:sz="0" w:space="0" w:color="auto"/>
        <w:left w:val="none" w:sz="0" w:space="0" w:color="auto"/>
        <w:bottom w:val="none" w:sz="0" w:space="0" w:color="auto"/>
        <w:right w:val="none" w:sz="0" w:space="0" w:color="auto"/>
      </w:divBdr>
    </w:div>
    <w:div w:id="665985236">
      <w:marLeft w:val="0"/>
      <w:marRight w:val="0"/>
      <w:marTop w:val="0"/>
      <w:marBottom w:val="0"/>
      <w:divBdr>
        <w:top w:val="none" w:sz="0" w:space="0" w:color="auto"/>
        <w:left w:val="none" w:sz="0" w:space="0" w:color="auto"/>
        <w:bottom w:val="none" w:sz="0" w:space="0" w:color="auto"/>
        <w:right w:val="none" w:sz="0" w:space="0" w:color="auto"/>
      </w:divBdr>
    </w:div>
    <w:div w:id="666132969">
      <w:marLeft w:val="0"/>
      <w:marRight w:val="0"/>
      <w:marTop w:val="0"/>
      <w:marBottom w:val="0"/>
      <w:divBdr>
        <w:top w:val="none" w:sz="0" w:space="0" w:color="auto"/>
        <w:left w:val="none" w:sz="0" w:space="0" w:color="auto"/>
        <w:bottom w:val="none" w:sz="0" w:space="0" w:color="auto"/>
        <w:right w:val="none" w:sz="0" w:space="0" w:color="auto"/>
      </w:divBdr>
      <w:divsChild>
        <w:div w:id="1587575587">
          <w:marLeft w:val="0"/>
          <w:marRight w:val="0"/>
          <w:marTop w:val="0"/>
          <w:marBottom w:val="0"/>
          <w:divBdr>
            <w:top w:val="none" w:sz="0" w:space="0" w:color="auto"/>
            <w:left w:val="none" w:sz="0" w:space="0" w:color="auto"/>
            <w:bottom w:val="none" w:sz="0" w:space="0" w:color="auto"/>
            <w:right w:val="none" w:sz="0" w:space="0" w:color="auto"/>
          </w:divBdr>
        </w:div>
      </w:divsChild>
    </w:div>
    <w:div w:id="666251803">
      <w:marLeft w:val="0"/>
      <w:marRight w:val="0"/>
      <w:marTop w:val="0"/>
      <w:marBottom w:val="0"/>
      <w:divBdr>
        <w:top w:val="none" w:sz="0" w:space="0" w:color="auto"/>
        <w:left w:val="none" w:sz="0" w:space="0" w:color="auto"/>
        <w:bottom w:val="none" w:sz="0" w:space="0" w:color="auto"/>
        <w:right w:val="none" w:sz="0" w:space="0" w:color="auto"/>
      </w:divBdr>
    </w:div>
    <w:div w:id="667758101">
      <w:marLeft w:val="0"/>
      <w:marRight w:val="0"/>
      <w:marTop w:val="0"/>
      <w:marBottom w:val="0"/>
      <w:divBdr>
        <w:top w:val="none" w:sz="0" w:space="0" w:color="auto"/>
        <w:left w:val="none" w:sz="0" w:space="0" w:color="auto"/>
        <w:bottom w:val="none" w:sz="0" w:space="0" w:color="auto"/>
        <w:right w:val="none" w:sz="0" w:space="0" w:color="auto"/>
      </w:divBdr>
    </w:div>
    <w:div w:id="668675048">
      <w:marLeft w:val="0"/>
      <w:marRight w:val="0"/>
      <w:marTop w:val="0"/>
      <w:marBottom w:val="0"/>
      <w:divBdr>
        <w:top w:val="none" w:sz="0" w:space="0" w:color="auto"/>
        <w:left w:val="none" w:sz="0" w:space="0" w:color="auto"/>
        <w:bottom w:val="none" w:sz="0" w:space="0" w:color="auto"/>
        <w:right w:val="none" w:sz="0" w:space="0" w:color="auto"/>
      </w:divBdr>
    </w:div>
    <w:div w:id="669481215">
      <w:marLeft w:val="0"/>
      <w:marRight w:val="0"/>
      <w:marTop w:val="0"/>
      <w:marBottom w:val="0"/>
      <w:divBdr>
        <w:top w:val="none" w:sz="0" w:space="0" w:color="auto"/>
        <w:left w:val="none" w:sz="0" w:space="0" w:color="auto"/>
        <w:bottom w:val="none" w:sz="0" w:space="0" w:color="auto"/>
        <w:right w:val="none" w:sz="0" w:space="0" w:color="auto"/>
      </w:divBdr>
    </w:div>
    <w:div w:id="669868044">
      <w:marLeft w:val="0"/>
      <w:marRight w:val="0"/>
      <w:marTop w:val="0"/>
      <w:marBottom w:val="0"/>
      <w:divBdr>
        <w:top w:val="none" w:sz="0" w:space="0" w:color="auto"/>
        <w:left w:val="none" w:sz="0" w:space="0" w:color="auto"/>
        <w:bottom w:val="none" w:sz="0" w:space="0" w:color="auto"/>
        <w:right w:val="none" w:sz="0" w:space="0" w:color="auto"/>
      </w:divBdr>
    </w:div>
    <w:div w:id="669869596">
      <w:marLeft w:val="0"/>
      <w:marRight w:val="0"/>
      <w:marTop w:val="0"/>
      <w:marBottom w:val="0"/>
      <w:divBdr>
        <w:top w:val="none" w:sz="0" w:space="0" w:color="auto"/>
        <w:left w:val="none" w:sz="0" w:space="0" w:color="auto"/>
        <w:bottom w:val="none" w:sz="0" w:space="0" w:color="auto"/>
        <w:right w:val="none" w:sz="0" w:space="0" w:color="auto"/>
      </w:divBdr>
    </w:div>
    <w:div w:id="669871036">
      <w:marLeft w:val="0"/>
      <w:marRight w:val="0"/>
      <w:marTop w:val="0"/>
      <w:marBottom w:val="0"/>
      <w:divBdr>
        <w:top w:val="none" w:sz="0" w:space="0" w:color="auto"/>
        <w:left w:val="none" w:sz="0" w:space="0" w:color="auto"/>
        <w:bottom w:val="none" w:sz="0" w:space="0" w:color="auto"/>
        <w:right w:val="none" w:sz="0" w:space="0" w:color="auto"/>
      </w:divBdr>
    </w:div>
    <w:div w:id="670378154">
      <w:marLeft w:val="0"/>
      <w:marRight w:val="0"/>
      <w:marTop w:val="0"/>
      <w:marBottom w:val="0"/>
      <w:divBdr>
        <w:top w:val="none" w:sz="0" w:space="0" w:color="auto"/>
        <w:left w:val="none" w:sz="0" w:space="0" w:color="auto"/>
        <w:bottom w:val="none" w:sz="0" w:space="0" w:color="auto"/>
        <w:right w:val="none" w:sz="0" w:space="0" w:color="auto"/>
      </w:divBdr>
      <w:divsChild>
        <w:div w:id="1294677827">
          <w:marLeft w:val="0"/>
          <w:marRight w:val="0"/>
          <w:marTop w:val="0"/>
          <w:marBottom w:val="0"/>
          <w:divBdr>
            <w:top w:val="none" w:sz="0" w:space="0" w:color="auto"/>
            <w:left w:val="none" w:sz="0" w:space="0" w:color="auto"/>
            <w:bottom w:val="none" w:sz="0" w:space="0" w:color="auto"/>
            <w:right w:val="none" w:sz="0" w:space="0" w:color="auto"/>
          </w:divBdr>
        </w:div>
      </w:divsChild>
    </w:div>
    <w:div w:id="670528081">
      <w:marLeft w:val="0"/>
      <w:marRight w:val="0"/>
      <w:marTop w:val="0"/>
      <w:marBottom w:val="0"/>
      <w:divBdr>
        <w:top w:val="none" w:sz="0" w:space="0" w:color="auto"/>
        <w:left w:val="none" w:sz="0" w:space="0" w:color="auto"/>
        <w:bottom w:val="none" w:sz="0" w:space="0" w:color="auto"/>
        <w:right w:val="none" w:sz="0" w:space="0" w:color="auto"/>
      </w:divBdr>
    </w:div>
    <w:div w:id="674068703">
      <w:marLeft w:val="0"/>
      <w:marRight w:val="0"/>
      <w:marTop w:val="0"/>
      <w:marBottom w:val="0"/>
      <w:divBdr>
        <w:top w:val="none" w:sz="0" w:space="0" w:color="auto"/>
        <w:left w:val="none" w:sz="0" w:space="0" w:color="auto"/>
        <w:bottom w:val="none" w:sz="0" w:space="0" w:color="auto"/>
        <w:right w:val="none" w:sz="0" w:space="0" w:color="auto"/>
      </w:divBdr>
    </w:div>
    <w:div w:id="674377404">
      <w:marLeft w:val="0"/>
      <w:marRight w:val="0"/>
      <w:marTop w:val="0"/>
      <w:marBottom w:val="0"/>
      <w:divBdr>
        <w:top w:val="none" w:sz="0" w:space="0" w:color="auto"/>
        <w:left w:val="none" w:sz="0" w:space="0" w:color="auto"/>
        <w:bottom w:val="none" w:sz="0" w:space="0" w:color="auto"/>
        <w:right w:val="none" w:sz="0" w:space="0" w:color="auto"/>
      </w:divBdr>
    </w:div>
    <w:div w:id="674767847">
      <w:marLeft w:val="0"/>
      <w:marRight w:val="0"/>
      <w:marTop w:val="0"/>
      <w:marBottom w:val="0"/>
      <w:divBdr>
        <w:top w:val="none" w:sz="0" w:space="0" w:color="auto"/>
        <w:left w:val="none" w:sz="0" w:space="0" w:color="auto"/>
        <w:bottom w:val="none" w:sz="0" w:space="0" w:color="auto"/>
        <w:right w:val="none" w:sz="0" w:space="0" w:color="auto"/>
      </w:divBdr>
    </w:div>
    <w:div w:id="675962734">
      <w:marLeft w:val="0"/>
      <w:marRight w:val="0"/>
      <w:marTop w:val="0"/>
      <w:marBottom w:val="0"/>
      <w:divBdr>
        <w:top w:val="none" w:sz="0" w:space="0" w:color="auto"/>
        <w:left w:val="none" w:sz="0" w:space="0" w:color="auto"/>
        <w:bottom w:val="none" w:sz="0" w:space="0" w:color="auto"/>
        <w:right w:val="none" w:sz="0" w:space="0" w:color="auto"/>
      </w:divBdr>
    </w:div>
    <w:div w:id="675965841">
      <w:marLeft w:val="0"/>
      <w:marRight w:val="0"/>
      <w:marTop w:val="100"/>
      <w:marBottom w:val="100"/>
      <w:divBdr>
        <w:top w:val="none" w:sz="0" w:space="0" w:color="auto"/>
        <w:left w:val="none" w:sz="0" w:space="0" w:color="auto"/>
        <w:bottom w:val="none" w:sz="0" w:space="0" w:color="auto"/>
        <w:right w:val="none" w:sz="0" w:space="0" w:color="auto"/>
      </w:divBdr>
    </w:div>
    <w:div w:id="676153746">
      <w:marLeft w:val="0"/>
      <w:marRight w:val="0"/>
      <w:marTop w:val="0"/>
      <w:marBottom w:val="0"/>
      <w:divBdr>
        <w:top w:val="none" w:sz="0" w:space="0" w:color="auto"/>
        <w:left w:val="none" w:sz="0" w:space="0" w:color="auto"/>
        <w:bottom w:val="none" w:sz="0" w:space="0" w:color="auto"/>
        <w:right w:val="none" w:sz="0" w:space="0" w:color="auto"/>
      </w:divBdr>
    </w:div>
    <w:div w:id="677582855">
      <w:marLeft w:val="0"/>
      <w:marRight w:val="0"/>
      <w:marTop w:val="100"/>
      <w:marBottom w:val="100"/>
      <w:divBdr>
        <w:top w:val="none" w:sz="0" w:space="0" w:color="auto"/>
        <w:left w:val="none" w:sz="0" w:space="0" w:color="auto"/>
        <w:bottom w:val="none" w:sz="0" w:space="0" w:color="auto"/>
        <w:right w:val="none" w:sz="0" w:space="0" w:color="auto"/>
      </w:divBdr>
    </w:div>
    <w:div w:id="678045307">
      <w:marLeft w:val="0"/>
      <w:marRight w:val="0"/>
      <w:marTop w:val="0"/>
      <w:marBottom w:val="0"/>
      <w:divBdr>
        <w:top w:val="none" w:sz="0" w:space="0" w:color="auto"/>
        <w:left w:val="none" w:sz="0" w:space="0" w:color="auto"/>
        <w:bottom w:val="none" w:sz="0" w:space="0" w:color="auto"/>
        <w:right w:val="none" w:sz="0" w:space="0" w:color="auto"/>
      </w:divBdr>
    </w:div>
    <w:div w:id="678700417">
      <w:marLeft w:val="0"/>
      <w:marRight w:val="0"/>
      <w:marTop w:val="0"/>
      <w:marBottom w:val="0"/>
      <w:divBdr>
        <w:top w:val="none" w:sz="0" w:space="0" w:color="auto"/>
        <w:left w:val="none" w:sz="0" w:space="0" w:color="auto"/>
        <w:bottom w:val="none" w:sz="0" w:space="0" w:color="auto"/>
        <w:right w:val="none" w:sz="0" w:space="0" w:color="auto"/>
      </w:divBdr>
    </w:div>
    <w:div w:id="679048595">
      <w:marLeft w:val="0"/>
      <w:marRight w:val="0"/>
      <w:marTop w:val="0"/>
      <w:marBottom w:val="0"/>
      <w:divBdr>
        <w:top w:val="none" w:sz="0" w:space="0" w:color="auto"/>
        <w:left w:val="none" w:sz="0" w:space="0" w:color="auto"/>
        <w:bottom w:val="none" w:sz="0" w:space="0" w:color="auto"/>
        <w:right w:val="none" w:sz="0" w:space="0" w:color="auto"/>
      </w:divBdr>
    </w:div>
    <w:div w:id="679240052">
      <w:marLeft w:val="0"/>
      <w:marRight w:val="0"/>
      <w:marTop w:val="0"/>
      <w:marBottom w:val="0"/>
      <w:divBdr>
        <w:top w:val="none" w:sz="0" w:space="0" w:color="auto"/>
        <w:left w:val="none" w:sz="0" w:space="0" w:color="auto"/>
        <w:bottom w:val="none" w:sz="0" w:space="0" w:color="auto"/>
        <w:right w:val="none" w:sz="0" w:space="0" w:color="auto"/>
      </w:divBdr>
    </w:div>
    <w:div w:id="679310741">
      <w:marLeft w:val="0"/>
      <w:marRight w:val="0"/>
      <w:marTop w:val="0"/>
      <w:marBottom w:val="0"/>
      <w:divBdr>
        <w:top w:val="none" w:sz="0" w:space="0" w:color="auto"/>
        <w:left w:val="none" w:sz="0" w:space="0" w:color="auto"/>
        <w:bottom w:val="none" w:sz="0" w:space="0" w:color="auto"/>
        <w:right w:val="none" w:sz="0" w:space="0" w:color="auto"/>
      </w:divBdr>
    </w:div>
    <w:div w:id="679740435">
      <w:marLeft w:val="0"/>
      <w:marRight w:val="0"/>
      <w:marTop w:val="0"/>
      <w:marBottom w:val="0"/>
      <w:divBdr>
        <w:top w:val="none" w:sz="0" w:space="0" w:color="auto"/>
        <w:left w:val="none" w:sz="0" w:space="0" w:color="auto"/>
        <w:bottom w:val="none" w:sz="0" w:space="0" w:color="auto"/>
        <w:right w:val="none" w:sz="0" w:space="0" w:color="auto"/>
      </w:divBdr>
      <w:divsChild>
        <w:div w:id="1271862818">
          <w:marLeft w:val="0"/>
          <w:marRight w:val="0"/>
          <w:marTop w:val="0"/>
          <w:marBottom w:val="0"/>
          <w:divBdr>
            <w:top w:val="none" w:sz="0" w:space="0" w:color="auto"/>
            <w:left w:val="none" w:sz="0" w:space="0" w:color="auto"/>
            <w:bottom w:val="none" w:sz="0" w:space="0" w:color="auto"/>
            <w:right w:val="none" w:sz="0" w:space="0" w:color="auto"/>
          </w:divBdr>
        </w:div>
      </w:divsChild>
    </w:div>
    <w:div w:id="680814729">
      <w:marLeft w:val="0"/>
      <w:marRight w:val="0"/>
      <w:marTop w:val="0"/>
      <w:marBottom w:val="0"/>
      <w:divBdr>
        <w:top w:val="none" w:sz="0" w:space="0" w:color="auto"/>
        <w:left w:val="none" w:sz="0" w:space="0" w:color="auto"/>
        <w:bottom w:val="none" w:sz="0" w:space="0" w:color="auto"/>
        <w:right w:val="none" w:sz="0" w:space="0" w:color="auto"/>
      </w:divBdr>
    </w:div>
    <w:div w:id="681712156">
      <w:marLeft w:val="0"/>
      <w:marRight w:val="0"/>
      <w:marTop w:val="0"/>
      <w:marBottom w:val="0"/>
      <w:divBdr>
        <w:top w:val="none" w:sz="0" w:space="0" w:color="auto"/>
        <w:left w:val="none" w:sz="0" w:space="0" w:color="auto"/>
        <w:bottom w:val="none" w:sz="0" w:space="0" w:color="auto"/>
        <w:right w:val="none" w:sz="0" w:space="0" w:color="auto"/>
      </w:divBdr>
    </w:div>
    <w:div w:id="682823362">
      <w:marLeft w:val="0"/>
      <w:marRight w:val="0"/>
      <w:marTop w:val="0"/>
      <w:marBottom w:val="0"/>
      <w:divBdr>
        <w:top w:val="none" w:sz="0" w:space="0" w:color="auto"/>
        <w:left w:val="none" w:sz="0" w:space="0" w:color="auto"/>
        <w:bottom w:val="none" w:sz="0" w:space="0" w:color="auto"/>
        <w:right w:val="none" w:sz="0" w:space="0" w:color="auto"/>
      </w:divBdr>
    </w:div>
    <w:div w:id="683289510">
      <w:marLeft w:val="0"/>
      <w:marRight w:val="0"/>
      <w:marTop w:val="0"/>
      <w:marBottom w:val="0"/>
      <w:divBdr>
        <w:top w:val="none" w:sz="0" w:space="0" w:color="auto"/>
        <w:left w:val="none" w:sz="0" w:space="0" w:color="auto"/>
        <w:bottom w:val="none" w:sz="0" w:space="0" w:color="auto"/>
        <w:right w:val="none" w:sz="0" w:space="0" w:color="auto"/>
      </w:divBdr>
    </w:div>
    <w:div w:id="684356980">
      <w:marLeft w:val="0"/>
      <w:marRight w:val="0"/>
      <w:marTop w:val="0"/>
      <w:marBottom w:val="0"/>
      <w:divBdr>
        <w:top w:val="none" w:sz="0" w:space="0" w:color="auto"/>
        <w:left w:val="none" w:sz="0" w:space="0" w:color="auto"/>
        <w:bottom w:val="none" w:sz="0" w:space="0" w:color="auto"/>
        <w:right w:val="none" w:sz="0" w:space="0" w:color="auto"/>
      </w:divBdr>
    </w:div>
    <w:div w:id="684554674">
      <w:marLeft w:val="0"/>
      <w:marRight w:val="0"/>
      <w:marTop w:val="0"/>
      <w:marBottom w:val="0"/>
      <w:divBdr>
        <w:top w:val="none" w:sz="0" w:space="0" w:color="auto"/>
        <w:left w:val="none" w:sz="0" w:space="0" w:color="auto"/>
        <w:bottom w:val="none" w:sz="0" w:space="0" w:color="auto"/>
        <w:right w:val="none" w:sz="0" w:space="0" w:color="auto"/>
      </w:divBdr>
    </w:div>
    <w:div w:id="684592676">
      <w:marLeft w:val="0"/>
      <w:marRight w:val="0"/>
      <w:marTop w:val="0"/>
      <w:marBottom w:val="0"/>
      <w:divBdr>
        <w:top w:val="none" w:sz="0" w:space="0" w:color="auto"/>
        <w:left w:val="none" w:sz="0" w:space="0" w:color="auto"/>
        <w:bottom w:val="none" w:sz="0" w:space="0" w:color="auto"/>
        <w:right w:val="none" w:sz="0" w:space="0" w:color="auto"/>
      </w:divBdr>
    </w:div>
    <w:div w:id="685911245">
      <w:marLeft w:val="0"/>
      <w:marRight w:val="0"/>
      <w:marTop w:val="0"/>
      <w:marBottom w:val="0"/>
      <w:divBdr>
        <w:top w:val="none" w:sz="0" w:space="0" w:color="auto"/>
        <w:left w:val="none" w:sz="0" w:space="0" w:color="auto"/>
        <w:bottom w:val="none" w:sz="0" w:space="0" w:color="auto"/>
        <w:right w:val="none" w:sz="0" w:space="0" w:color="auto"/>
      </w:divBdr>
    </w:div>
    <w:div w:id="686322632">
      <w:marLeft w:val="0"/>
      <w:marRight w:val="0"/>
      <w:marTop w:val="0"/>
      <w:marBottom w:val="0"/>
      <w:divBdr>
        <w:top w:val="none" w:sz="0" w:space="0" w:color="auto"/>
        <w:left w:val="none" w:sz="0" w:space="0" w:color="auto"/>
        <w:bottom w:val="none" w:sz="0" w:space="0" w:color="auto"/>
        <w:right w:val="none" w:sz="0" w:space="0" w:color="auto"/>
      </w:divBdr>
      <w:divsChild>
        <w:div w:id="864754471">
          <w:marLeft w:val="0"/>
          <w:marRight w:val="0"/>
          <w:marTop w:val="0"/>
          <w:marBottom w:val="0"/>
          <w:divBdr>
            <w:top w:val="none" w:sz="0" w:space="0" w:color="auto"/>
            <w:left w:val="none" w:sz="0" w:space="0" w:color="auto"/>
            <w:bottom w:val="none" w:sz="0" w:space="0" w:color="auto"/>
            <w:right w:val="none" w:sz="0" w:space="0" w:color="auto"/>
          </w:divBdr>
        </w:div>
      </w:divsChild>
    </w:div>
    <w:div w:id="686712373">
      <w:marLeft w:val="0"/>
      <w:marRight w:val="0"/>
      <w:marTop w:val="0"/>
      <w:marBottom w:val="0"/>
      <w:divBdr>
        <w:top w:val="none" w:sz="0" w:space="0" w:color="auto"/>
        <w:left w:val="none" w:sz="0" w:space="0" w:color="auto"/>
        <w:bottom w:val="none" w:sz="0" w:space="0" w:color="auto"/>
        <w:right w:val="none" w:sz="0" w:space="0" w:color="auto"/>
      </w:divBdr>
    </w:div>
    <w:div w:id="687756752">
      <w:marLeft w:val="0"/>
      <w:marRight w:val="0"/>
      <w:marTop w:val="0"/>
      <w:marBottom w:val="0"/>
      <w:divBdr>
        <w:top w:val="none" w:sz="0" w:space="0" w:color="auto"/>
        <w:left w:val="none" w:sz="0" w:space="0" w:color="auto"/>
        <w:bottom w:val="none" w:sz="0" w:space="0" w:color="auto"/>
        <w:right w:val="none" w:sz="0" w:space="0" w:color="auto"/>
      </w:divBdr>
    </w:div>
    <w:div w:id="688334751">
      <w:marLeft w:val="0"/>
      <w:marRight w:val="0"/>
      <w:marTop w:val="0"/>
      <w:marBottom w:val="0"/>
      <w:divBdr>
        <w:top w:val="none" w:sz="0" w:space="0" w:color="auto"/>
        <w:left w:val="none" w:sz="0" w:space="0" w:color="auto"/>
        <w:bottom w:val="none" w:sz="0" w:space="0" w:color="auto"/>
        <w:right w:val="none" w:sz="0" w:space="0" w:color="auto"/>
      </w:divBdr>
    </w:div>
    <w:div w:id="688945440">
      <w:marLeft w:val="0"/>
      <w:marRight w:val="0"/>
      <w:marTop w:val="0"/>
      <w:marBottom w:val="0"/>
      <w:divBdr>
        <w:top w:val="none" w:sz="0" w:space="0" w:color="auto"/>
        <w:left w:val="none" w:sz="0" w:space="0" w:color="auto"/>
        <w:bottom w:val="none" w:sz="0" w:space="0" w:color="auto"/>
        <w:right w:val="none" w:sz="0" w:space="0" w:color="auto"/>
      </w:divBdr>
    </w:div>
    <w:div w:id="688995648">
      <w:marLeft w:val="0"/>
      <w:marRight w:val="0"/>
      <w:marTop w:val="0"/>
      <w:marBottom w:val="0"/>
      <w:divBdr>
        <w:top w:val="none" w:sz="0" w:space="0" w:color="auto"/>
        <w:left w:val="none" w:sz="0" w:space="0" w:color="auto"/>
        <w:bottom w:val="none" w:sz="0" w:space="0" w:color="auto"/>
        <w:right w:val="none" w:sz="0" w:space="0" w:color="auto"/>
      </w:divBdr>
    </w:div>
    <w:div w:id="691615153">
      <w:marLeft w:val="0"/>
      <w:marRight w:val="0"/>
      <w:marTop w:val="0"/>
      <w:marBottom w:val="0"/>
      <w:divBdr>
        <w:top w:val="none" w:sz="0" w:space="0" w:color="auto"/>
        <w:left w:val="none" w:sz="0" w:space="0" w:color="auto"/>
        <w:bottom w:val="none" w:sz="0" w:space="0" w:color="auto"/>
        <w:right w:val="none" w:sz="0" w:space="0" w:color="auto"/>
      </w:divBdr>
    </w:div>
    <w:div w:id="691684735">
      <w:marLeft w:val="0"/>
      <w:marRight w:val="0"/>
      <w:marTop w:val="0"/>
      <w:marBottom w:val="0"/>
      <w:divBdr>
        <w:top w:val="none" w:sz="0" w:space="0" w:color="auto"/>
        <w:left w:val="none" w:sz="0" w:space="0" w:color="auto"/>
        <w:bottom w:val="none" w:sz="0" w:space="0" w:color="auto"/>
        <w:right w:val="none" w:sz="0" w:space="0" w:color="auto"/>
      </w:divBdr>
    </w:div>
    <w:div w:id="692002355">
      <w:marLeft w:val="0"/>
      <w:marRight w:val="0"/>
      <w:marTop w:val="0"/>
      <w:marBottom w:val="0"/>
      <w:divBdr>
        <w:top w:val="none" w:sz="0" w:space="0" w:color="auto"/>
        <w:left w:val="none" w:sz="0" w:space="0" w:color="auto"/>
        <w:bottom w:val="none" w:sz="0" w:space="0" w:color="auto"/>
        <w:right w:val="none" w:sz="0" w:space="0" w:color="auto"/>
      </w:divBdr>
    </w:div>
    <w:div w:id="692152583">
      <w:marLeft w:val="0"/>
      <w:marRight w:val="0"/>
      <w:marTop w:val="0"/>
      <w:marBottom w:val="0"/>
      <w:divBdr>
        <w:top w:val="none" w:sz="0" w:space="0" w:color="auto"/>
        <w:left w:val="none" w:sz="0" w:space="0" w:color="auto"/>
        <w:bottom w:val="none" w:sz="0" w:space="0" w:color="auto"/>
        <w:right w:val="none" w:sz="0" w:space="0" w:color="auto"/>
      </w:divBdr>
    </w:div>
    <w:div w:id="692220388">
      <w:marLeft w:val="0"/>
      <w:marRight w:val="0"/>
      <w:marTop w:val="0"/>
      <w:marBottom w:val="0"/>
      <w:divBdr>
        <w:top w:val="none" w:sz="0" w:space="0" w:color="auto"/>
        <w:left w:val="none" w:sz="0" w:space="0" w:color="auto"/>
        <w:bottom w:val="none" w:sz="0" w:space="0" w:color="auto"/>
        <w:right w:val="none" w:sz="0" w:space="0" w:color="auto"/>
      </w:divBdr>
    </w:div>
    <w:div w:id="692658879">
      <w:marLeft w:val="0"/>
      <w:marRight w:val="0"/>
      <w:marTop w:val="0"/>
      <w:marBottom w:val="0"/>
      <w:divBdr>
        <w:top w:val="none" w:sz="0" w:space="0" w:color="auto"/>
        <w:left w:val="none" w:sz="0" w:space="0" w:color="auto"/>
        <w:bottom w:val="none" w:sz="0" w:space="0" w:color="auto"/>
        <w:right w:val="none" w:sz="0" w:space="0" w:color="auto"/>
      </w:divBdr>
    </w:div>
    <w:div w:id="693265353">
      <w:marLeft w:val="0"/>
      <w:marRight w:val="0"/>
      <w:marTop w:val="0"/>
      <w:marBottom w:val="0"/>
      <w:divBdr>
        <w:top w:val="none" w:sz="0" w:space="0" w:color="auto"/>
        <w:left w:val="none" w:sz="0" w:space="0" w:color="auto"/>
        <w:bottom w:val="none" w:sz="0" w:space="0" w:color="auto"/>
        <w:right w:val="none" w:sz="0" w:space="0" w:color="auto"/>
      </w:divBdr>
    </w:div>
    <w:div w:id="693381232">
      <w:marLeft w:val="0"/>
      <w:marRight w:val="0"/>
      <w:marTop w:val="0"/>
      <w:marBottom w:val="0"/>
      <w:divBdr>
        <w:top w:val="none" w:sz="0" w:space="0" w:color="auto"/>
        <w:left w:val="none" w:sz="0" w:space="0" w:color="auto"/>
        <w:bottom w:val="none" w:sz="0" w:space="0" w:color="auto"/>
        <w:right w:val="none" w:sz="0" w:space="0" w:color="auto"/>
      </w:divBdr>
      <w:divsChild>
        <w:div w:id="2111660790">
          <w:marLeft w:val="0"/>
          <w:marRight w:val="0"/>
          <w:marTop w:val="0"/>
          <w:marBottom w:val="0"/>
          <w:divBdr>
            <w:top w:val="none" w:sz="0" w:space="0" w:color="auto"/>
            <w:left w:val="none" w:sz="0" w:space="0" w:color="auto"/>
            <w:bottom w:val="none" w:sz="0" w:space="0" w:color="auto"/>
            <w:right w:val="none" w:sz="0" w:space="0" w:color="auto"/>
          </w:divBdr>
        </w:div>
      </w:divsChild>
    </w:div>
    <w:div w:id="694040733">
      <w:marLeft w:val="0"/>
      <w:marRight w:val="0"/>
      <w:marTop w:val="0"/>
      <w:marBottom w:val="0"/>
      <w:divBdr>
        <w:top w:val="none" w:sz="0" w:space="0" w:color="auto"/>
        <w:left w:val="none" w:sz="0" w:space="0" w:color="auto"/>
        <w:bottom w:val="none" w:sz="0" w:space="0" w:color="auto"/>
        <w:right w:val="none" w:sz="0" w:space="0" w:color="auto"/>
      </w:divBdr>
    </w:div>
    <w:div w:id="694579017">
      <w:marLeft w:val="0"/>
      <w:marRight w:val="0"/>
      <w:marTop w:val="0"/>
      <w:marBottom w:val="0"/>
      <w:divBdr>
        <w:top w:val="none" w:sz="0" w:space="0" w:color="auto"/>
        <w:left w:val="none" w:sz="0" w:space="0" w:color="auto"/>
        <w:bottom w:val="none" w:sz="0" w:space="0" w:color="auto"/>
        <w:right w:val="none" w:sz="0" w:space="0" w:color="auto"/>
      </w:divBdr>
    </w:div>
    <w:div w:id="694815802">
      <w:marLeft w:val="0"/>
      <w:marRight w:val="0"/>
      <w:marTop w:val="0"/>
      <w:marBottom w:val="0"/>
      <w:divBdr>
        <w:top w:val="none" w:sz="0" w:space="0" w:color="auto"/>
        <w:left w:val="none" w:sz="0" w:space="0" w:color="auto"/>
        <w:bottom w:val="none" w:sz="0" w:space="0" w:color="auto"/>
        <w:right w:val="none" w:sz="0" w:space="0" w:color="auto"/>
      </w:divBdr>
    </w:div>
    <w:div w:id="695429510">
      <w:marLeft w:val="0"/>
      <w:marRight w:val="0"/>
      <w:marTop w:val="0"/>
      <w:marBottom w:val="0"/>
      <w:divBdr>
        <w:top w:val="none" w:sz="0" w:space="0" w:color="auto"/>
        <w:left w:val="none" w:sz="0" w:space="0" w:color="auto"/>
        <w:bottom w:val="none" w:sz="0" w:space="0" w:color="auto"/>
        <w:right w:val="none" w:sz="0" w:space="0" w:color="auto"/>
      </w:divBdr>
    </w:div>
    <w:div w:id="695739482">
      <w:marLeft w:val="0"/>
      <w:marRight w:val="0"/>
      <w:marTop w:val="0"/>
      <w:marBottom w:val="0"/>
      <w:divBdr>
        <w:top w:val="none" w:sz="0" w:space="0" w:color="auto"/>
        <w:left w:val="none" w:sz="0" w:space="0" w:color="auto"/>
        <w:bottom w:val="none" w:sz="0" w:space="0" w:color="auto"/>
        <w:right w:val="none" w:sz="0" w:space="0" w:color="auto"/>
      </w:divBdr>
    </w:div>
    <w:div w:id="696078335">
      <w:marLeft w:val="0"/>
      <w:marRight w:val="0"/>
      <w:marTop w:val="0"/>
      <w:marBottom w:val="0"/>
      <w:divBdr>
        <w:top w:val="none" w:sz="0" w:space="0" w:color="auto"/>
        <w:left w:val="none" w:sz="0" w:space="0" w:color="auto"/>
        <w:bottom w:val="none" w:sz="0" w:space="0" w:color="auto"/>
        <w:right w:val="none" w:sz="0" w:space="0" w:color="auto"/>
      </w:divBdr>
    </w:div>
    <w:div w:id="696202912">
      <w:marLeft w:val="0"/>
      <w:marRight w:val="0"/>
      <w:marTop w:val="0"/>
      <w:marBottom w:val="0"/>
      <w:divBdr>
        <w:top w:val="none" w:sz="0" w:space="0" w:color="auto"/>
        <w:left w:val="none" w:sz="0" w:space="0" w:color="auto"/>
        <w:bottom w:val="none" w:sz="0" w:space="0" w:color="auto"/>
        <w:right w:val="none" w:sz="0" w:space="0" w:color="auto"/>
      </w:divBdr>
    </w:div>
    <w:div w:id="697002292">
      <w:marLeft w:val="0"/>
      <w:marRight w:val="0"/>
      <w:marTop w:val="0"/>
      <w:marBottom w:val="0"/>
      <w:divBdr>
        <w:top w:val="none" w:sz="0" w:space="0" w:color="auto"/>
        <w:left w:val="none" w:sz="0" w:space="0" w:color="auto"/>
        <w:bottom w:val="none" w:sz="0" w:space="0" w:color="auto"/>
        <w:right w:val="none" w:sz="0" w:space="0" w:color="auto"/>
      </w:divBdr>
      <w:divsChild>
        <w:div w:id="1905751743">
          <w:marLeft w:val="0"/>
          <w:marRight w:val="0"/>
          <w:marTop w:val="0"/>
          <w:marBottom w:val="0"/>
          <w:divBdr>
            <w:top w:val="none" w:sz="0" w:space="0" w:color="auto"/>
            <w:left w:val="none" w:sz="0" w:space="0" w:color="auto"/>
            <w:bottom w:val="none" w:sz="0" w:space="0" w:color="auto"/>
            <w:right w:val="none" w:sz="0" w:space="0" w:color="auto"/>
          </w:divBdr>
        </w:div>
      </w:divsChild>
    </w:div>
    <w:div w:id="697049802">
      <w:marLeft w:val="0"/>
      <w:marRight w:val="0"/>
      <w:marTop w:val="0"/>
      <w:marBottom w:val="0"/>
      <w:divBdr>
        <w:top w:val="none" w:sz="0" w:space="0" w:color="auto"/>
        <w:left w:val="none" w:sz="0" w:space="0" w:color="auto"/>
        <w:bottom w:val="none" w:sz="0" w:space="0" w:color="auto"/>
        <w:right w:val="none" w:sz="0" w:space="0" w:color="auto"/>
      </w:divBdr>
    </w:div>
    <w:div w:id="697437188">
      <w:marLeft w:val="0"/>
      <w:marRight w:val="0"/>
      <w:marTop w:val="0"/>
      <w:marBottom w:val="0"/>
      <w:divBdr>
        <w:top w:val="none" w:sz="0" w:space="0" w:color="auto"/>
        <w:left w:val="none" w:sz="0" w:space="0" w:color="auto"/>
        <w:bottom w:val="none" w:sz="0" w:space="0" w:color="auto"/>
        <w:right w:val="none" w:sz="0" w:space="0" w:color="auto"/>
      </w:divBdr>
    </w:div>
    <w:div w:id="697776531">
      <w:marLeft w:val="0"/>
      <w:marRight w:val="0"/>
      <w:marTop w:val="0"/>
      <w:marBottom w:val="0"/>
      <w:divBdr>
        <w:top w:val="none" w:sz="0" w:space="0" w:color="auto"/>
        <w:left w:val="none" w:sz="0" w:space="0" w:color="auto"/>
        <w:bottom w:val="none" w:sz="0" w:space="0" w:color="auto"/>
        <w:right w:val="none" w:sz="0" w:space="0" w:color="auto"/>
      </w:divBdr>
      <w:divsChild>
        <w:div w:id="430668209">
          <w:marLeft w:val="0"/>
          <w:marRight w:val="0"/>
          <w:marTop w:val="0"/>
          <w:marBottom w:val="0"/>
          <w:divBdr>
            <w:top w:val="none" w:sz="0" w:space="0" w:color="auto"/>
            <w:left w:val="none" w:sz="0" w:space="0" w:color="auto"/>
            <w:bottom w:val="none" w:sz="0" w:space="0" w:color="auto"/>
            <w:right w:val="none" w:sz="0" w:space="0" w:color="auto"/>
          </w:divBdr>
        </w:div>
      </w:divsChild>
    </w:div>
    <w:div w:id="698093531">
      <w:marLeft w:val="0"/>
      <w:marRight w:val="0"/>
      <w:marTop w:val="0"/>
      <w:marBottom w:val="0"/>
      <w:divBdr>
        <w:top w:val="none" w:sz="0" w:space="0" w:color="auto"/>
        <w:left w:val="none" w:sz="0" w:space="0" w:color="auto"/>
        <w:bottom w:val="none" w:sz="0" w:space="0" w:color="auto"/>
        <w:right w:val="none" w:sz="0" w:space="0" w:color="auto"/>
      </w:divBdr>
    </w:div>
    <w:div w:id="698433002">
      <w:marLeft w:val="0"/>
      <w:marRight w:val="0"/>
      <w:marTop w:val="0"/>
      <w:marBottom w:val="0"/>
      <w:divBdr>
        <w:top w:val="none" w:sz="0" w:space="0" w:color="auto"/>
        <w:left w:val="none" w:sz="0" w:space="0" w:color="auto"/>
        <w:bottom w:val="none" w:sz="0" w:space="0" w:color="auto"/>
        <w:right w:val="none" w:sz="0" w:space="0" w:color="auto"/>
      </w:divBdr>
    </w:div>
    <w:div w:id="699282263">
      <w:marLeft w:val="0"/>
      <w:marRight w:val="0"/>
      <w:marTop w:val="0"/>
      <w:marBottom w:val="0"/>
      <w:divBdr>
        <w:top w:val="none" w:sz="0" w:space="0" w:color="auto"/>
        <w:left w:val="none" w:sz="0" w:space="0" w:color="auto"/>
        <w:bottom w:val="none" w:sz="0" w:space="0" w:color="auto"/>
        <w:right w:val="none" w:sz="0" w:space="0" w:color="auto"/>
      </w:divBdr>
    </w:div>
    <w:div w:id="699665564">
      <w:marLeft w:val="0"/>
      <w:marRight w:val="0"/>
      <w:marTop w:val="0"/>
      <w:marBottom w:val="0"/>
      <w:divBdr>
        <w:top w:val="none" w:sz="0" w:space="0" w:color="auto"/>
        <w:left w:val="none" w:sz="0" w:space="0" w:color="auto"/>
        <w:bottom w:val="none" w:sz="0" w:space="0" w:color="auto"/>
        <w:right w:val="none" w:sz="0" w:space="0" w:color="auto"/>
      </w:divBdr>
    </w:div>
    <w:div w:id="701325018">
      <w:marLeft w:val="0"/>
      <w:marRight w:val="0"/>
      <w:marTop w:val="0"/>
      <w:marBottom w:val="0"/>
      <w:divBdr>
        <w:top w:val="none" w:sz="0" w:space="0" w:color="auto"/>
        <w:left w:val="none" w:sz="0" w:space="0" w:color="auto"/>
        <w:bottom w:val="none" w:sz="0" w:space="0" w:color="auto"/>
        <w:right w:val="none" w:sz="0" w:space="0" w:color="auto"/>
      </w:divBdr>
    </w:div>
    <w:div w:id="702708417">
      <w:marLeft w:val="0"/>
      <w:marRight w:val="0"/>
      <w:marTop w:val="0"/>
      <w:marBottom w:val="0"/>
      <w:divBdr>
        <w:top w:val="none" w:sz="0" w:space="0" w:color="auto"/>
        <w:left w:val="none" w:sz="0" w:space="0" w:color="auto"/>
        <w:bottom w:val="none" w:sz="0" w:space="0" w:color="auto"/>
        <w:right w:val="none" w:sz="0" w:space="0" w:color="auto"/>
      </w:divBdr>
    </w:div>
    <w:div w:id="703404159">
      <w:marLeft w:val="0"/>
      <w:marRight w:val="0"/>
      <w:marTop w:val="0"/>
      <w:marBottom w:val="0"/>
      <w:divBdr>
        <w:top w:val="none" w:sz="0" w:space="0" w:color="auto"/>
        <w:left w:val="none" w:sz="0" w:space="0" w:color="auto"/>
        <w:bottom w:val="none" w:sz="0" w:space="0" w:color="auto"/>
        <w:right w:val="none" w:sz="0" w:space="0" w:color="auto"/>
      </w:divBdr>
      <w:divsChild>
        <w:div w:id="1552766302">
          <w:marLeft w:val="0"/>
          <w:marRight w:val="0"/>
          <w:marTop w:val="0"/>
          <w:marBottom w:val="0"/>
          <w:divBdr>
            <w:top w:val="none" w:sz="0" w:space="0" w:color="auto"/>
            <w:left w:val="none" w:sz="0" w:space="0" w:color="auto"/>
            <w:bottom w:val="none" w:sz="0" w:space="0" w:color="auto"/>
            <w:right w:val="none" w:sz="0" w:space="0" w:color="auto"/>
          </w:divBdr>
        </w:div>
      </w:divsChild>
    </w:div>
    <w:div w:id="703485989">
      <w:marLeft w:val="0"/>
      <w:marRight w:val="0"/>
      <w:marTop w:val="0"/>
      <w:marBottom w:val="0"/>
      <w:divBdr>
        <w:top w:val="none" w:sz="0" w:space="0" w:color="auto"/>
        <w:left w:val="none" w:sz="0" w:space="0" w:color="auto"/>
        <w:bottom w:val="none" w:sz="0" w:space="0" w:color="auto"/>
        <w:right w:val="none" w:sz="0" w:space="0" w:color="auto"/>
      </w:divBdr>
    </w:div>
    <w:div w:id="705451909">
      <w:marLeft w:val="0"/>
      <w:marRight w:val="0"/>
      <w:marTop w:val="0"/>
      <w:marBottom w:val="0"/>
      <w:divBdr>
        <w:top w:val="none" w:sz="0" w:space="0" w:color="auto"/>
        <w:left w:val="none" w:sz="0" w:space="0" w:color="auto"/>
        <w:bottom w:val="none" w:sz="0" w:space="0" w:color="auto"/>
        <w:right w:val="none" w:sz="0" w:space="0" w:color="auto"/>
      </w:divBdr>
    </w:div>
    <w:div w:id="706026445">
      <w:marLeft w:val="0"/>
      <w:marRight w:val="0"/>
      <w:marTop w:val="0"/>
      <w:marBottom w:val="0"/>
      <w:divBdr>
        <w:top w:val="none" w:sz="0" w:space="0" w:color="auto"/>
        <w:left w:val="none" w:sz="0" w:space="0" w:color="auto"/>
        <w:bottom w:val="none" w:sz="0" w:space="0" w:color="auto"/>
        <w:right w:val="none" w:sz="0" w:space="0" w:color="auto"/>
      </w:divBdr>
    </w:div>
    <w:div w:id="706874092">
      <w:marLeft w:val="0"/>
      <w:marRight w:val="0"/>
      <w:marTop w:val="0"/>
      <w:marBottom w:val="0"/>
      <w:divBdr>
        <w:top w:val="none" w:sz="0" w:space="0" w:color="auto"/>
        <w:left w:val="none" w:sz="0" w:space="0" w:color="auto"/>
        <w:bottom w:val="none" w:sz="0" w:space="0" w:color="auto"/>
        <w:right w:val="none" w:sz="0" w:space="0" w:color="auto"/>
      </w:divBdr>
    </w:div>
    <w:div w:id="707491803">
      <w:marLeft w:val="0"/>
      <w:marRight w:val="0"/>
      <w:marTop w:val="0"/>
      <w:marBottom w:val="0"/>
      <w:divBdr>
        <w:top w:val="none" w:sz="0" w:space="0" w:color="auto"/>
        <w:left w:val="none" w:sz="0" w:space="0" w:color="auto"/>
        <w:bottom w:val="none" w:sz="0" w:space="0" w:color="auto"/>
        <w:right w:val="none" w:sz="0" w:space="0" w:color="auto"/>
      </w:divBdr>
    </w:div>
    <w:div w:id="708457704">
      <w:marLeft w:val="0"/>
      <w:marRight w:val="0"/>
      <w:marTop w:val="0"/>
      <w:marBottom w:val="0"/>
      <w:divBdr>
        <w:top w:val="none" w:sz="0" w:space="0" w:color="auto"/>
        <w:left w:val="none" w:sz="0" w:space="0" w:color="auto"/>
        <w:bottom w:val="none" w:sz="0" w:space="0" w:color="auto"/>
        <w:right w:val="none" w:sz="0" w:space="0" w:color="auto"/>
      </w:divBdr>
    </w:div>
    <w:div w:id="709036958">
      <w:marLeft w:val="0"/>
      <w:marRight w:val="0"/>
      <w:marTop w:val="0"/>
      <w:marBottom w:val="0"/>
      <w:divBdr>
        <w:top w:val="none" w:sz="0" w:space="0" w:color="auto"/>
        <w:left w:val="none" w:sz="0" w:space="0" w:color="auto"/>
        <w:bottom w:val="none" w:sz="0" w:space="0" w:color="auto"/>
        <w:right w:val="none" w:sz="0" w:space="0" w:color="auto"/>
      </w:divBdr>
      <w:divsChild>
        <w:div w:id="1474910769">
          <w:marLeft w:val="0"/>
          <w:marRight w:val="0"/>
          <w:marTop w:val="0"/>
          <w:marBottom w:val="0"/>
          <w:divBdr>
            <w:top w:val="none" w:sz="0" w:space="0" w:color="auto"/>
            <w:left w:val="none" w:sz="0" w:space="0" w:color="auto"/>
            <w:bottom w:val="none" w:sz="0" w:space="0" w:color="auto"/>
            <w:right w:val="none" w:sz="0" w:space="0" w:color="auto"/>
          </w:divBdr>
        </w:div>
      </w:divsChild>
    </w:div>
    <w:div w:id="710304535">
      <w:marLeft w:val="0"/>
      <w:marRight w:val="0"/>
      <w:marTop w:val="0"/>
      <w:marBottom w:val="120"/>
      <w:divBdr>
        <w:top w:val="none" w:sz="0" w:space="0" w:color="auto"/>
        <w:left w:val="none" w:sz="0" w:space="0" w:color="auto"/>
        <w:bottom w:val="none" w:sz="0" w:space="0" w:color="auto"/>
        <w:right w:val="none" w:sz="0" w:space="0" w:color="auto"/>
      </w:divBdr>
      <w:divsChild>
        <w:div w:id="1226378246">
          <w:marLeft w:val="0"/>
          <w:marRight w:val="0"/>
          <w:marTop w:val="0"/>
          <w:marBottom w:val="0"/>
          <w:divBdr>
            <w:top w:val="none" w:sz="0" w:space="0" w:color="auto"/>
            <w:left w:val="none" w:sz="0" w:space="0" w:color="auto"/>
            <w:bottom w:val="none" w:sz="0" w:space="0" w:color="auto"/>
            <w:right w:val="none" w:sz="0" w:space="0" w:color="auto"/>
          </w:divBdr>
        </w:div>
        <w:div w:id="1157842935">
          <w:marLeft w:val="0"/>
          <w:marRight w:val="0"/>
          <w:marTop w:val="0"/>
          <w:marBottom w:val="0"/>
          <w:divBdr>
            <w:top w:val="none" w:sz="0" w:space="0" w:color="auto"/>
            <w:left w:val="none" w:sz="0" w:space="0" w:color="auto"/>
            <w:bottom w:val="none" w:sz="0" w:space="0" w:color="auto"/>
            <w:right w:val="none" w:sz="0" w:space="0" w:color="auto"/>
          </w:divBdr>
        </w:div>
        <w:div w:id="1821073350">
          <w:marLeft w:val="0"/>
          <w:marRight w:val="0"/>
          <w:marTop w:val="0"/>
          <w:marBottom w:val="0"/>
          <w:divBdr>
            <w:top w:val="none" w:sz="0" w:space="0" w:color="auto"/>
            <w:left w:val="none" w:sz="0" w:space="0" w:color="auto"/>
            <w:bottom w:val="none" w:sz="0" w:space="0" w:color="auto"/>
            <w:right w:val="none" w:sz="0" w:space="0" w:color="auto"/>
          </w:divBdr>
        </w:div>
        <w:div w:id="1150712665">
          <w:marLeft w:val="0"/>
          <w:marRight w:val="0"/>
          <w:marTop w:val="0"/>
          <w:marBottom w:val="0"/>
          <w:divBdr>
            <w:top w:val="none" w:sz="0" w:space="0" w:color="auto"/>
            <w:left w:val="none" w:sz="0" w:space="0" w:color="auto"/>
            <w:bottom w:val="none" w:sz="0" w:space="0" w:color="auto"/>
            <w:right w:val="none" w:sz="0" w:space="0" w:color="auto"/>
          </w:divBdr>
        </w:div>
        <w:div w:id="846821775">
          <w:marLeft w:val="0"/>
          <w:marRight w:val="0"/>
          <w:marTop w:val="0"/>
          <w:marBottom w:val="0"/>
          <w:divBdr>
            <w:top w:val="none" w:sz="0" w:space="0" w:color="auto"/>
            <w:left w:val="none" w:sz="0" w:space="0" w:color="auto"/>
            <w:bottom w:val="none" w:sz="0" w:space="0" w:color="auto"/>
            <w:right w:val="none" w:sz="0" w:space="0" w:color="auto"/>
          </w:divBdr>
        </w:div>
        <w:div w:id="574052528">
          <w:marLeft w:val="0"/>
          <w:marRight w:val="0"/>
          <w:marTop w:val="0"/>
          <w:marBottom w:val="0"/>
          <w:divBdr>
            <w:top w:val="none" w:sz="0" w:space="0" w:color="auto"/>
            <w:left w:val="none" w:sz="0" w:space="0" w:color="auto"/>
            <w:bottom w:val="none" w:sz="0" w:space="0" w:color="auto"/>
            <w:right w:val="none" w:sz="0" w:space="0" w:color="auto"/>
          </w:divBdr>
        </w:div>
        <w:div w:id="162088588">
          <w:marLeft w:val="0"/>
          <w:marRight w:val="0"/>
          <w:marTop w:val="0"/>
          <w:marBottom w:val="0"/>
          <w:divBdr>
            <w:top w:val="none" w:sz="0" w:space="0" w:color="auto"/>
            <w:left w:val="none" w:sz="0" w:space="0" w:color="auto"/>
            <w:bottom w:val="none" w:sz="0" w:space="0" w:color="auto"/>
            <w:right w:val="none" w:sz="0" w:space="0" w:color="auto"/>
          </w:divBdr>
        </w:div>
        <w:div w:id="195388224">
          <w:marLeft w:val="0"/>
          <w:marRight w:val="0"/>
          <w:marTop w:val="0"/>
          <w:marBottom w:val="0"/>
          <w:divBdr>
            <w:top w:val="none" w:sz="0" w:space="0" w:color="auto"/>
            <w:left w:val="none" w:sz="0" w:space="0" w:color="auto"/>
            <w:bottom w:val="none" w:sz="0" w:space="0" w:color="auto"/>
            <w:right w:val="none" w:sz="0" w:space="0" w:color="auto"/>
          </w:divBdr>
        </w:div>
        <w:div w:id="905653064">
          <w:marLeft w:val="0"/>
          <w:marRight w:val="0"/>
          <w:marTop w:val="0"/>
          <w:marBottom w:val="0"/>
          <w:divBdr>
            <w:top w:val="none" w:sz="0" w:space="0" w:color="auto"/>
            <w:left w:val="none" w:sz="0" w:space="0" w:color="auto"/>
            <w:bottom w:val="none" w:sz="0" w:space="0" w:color="auto"/>
            <w:right w:val="none" w:sz="0" w:space="0" w:color="auto"/>
          </w:divBdr>
        </w:div>
        <w:div w:id="1835409677">
          <w:marLeft w:val="0"/>
          <w:marRight w:val="0"/>
          <w:marTop w:val="0"/>
          <w:marBottom w:val="0"/>
          <w:divBdr>
            <w:top w:val="none" w:sz="0" w:space="0" w:color="auto"/>
            <w:left w:val="none" w:sz="0" w:space="0" w:color="auto"/>
            <w:bottom w:val="none" w:sz="0" w:space="0" w:color="auto"/>
            <w:right w:val="none" w:sz="0" w:space="0" w:color="auto"/>
          </w:divBdr>
        </w:div>
      </w:divsChild>
    </w:div>
    <w:div w:id="711001688">
      <w:marLeft w:val="0"/>
      <w:marRight w:val="0"/>
      <w:marTop w:val="0"/>
      <w:marBottom w:val="0"/>
      <w:divBdr>
        <w:top w:val="none" w:sz="0" w:space="0" w:color="auto"/>
        <w:left w:val="none" w:sz="0" w:space="0" w:color="auto"/>
        <w:bottom w:val="none" w:sz="0" w:space="0" w:color="auto"/>
        <w:right w:val="none" w:sz="0" w:space="0" w:color="auto"/>
      </w:divBdr>
    </w:div>
    <w:div w:id="712925589">
      <w:marLeft w:val="0"/>
      <w:marRight w:val="0"/>
      <w:marTop w:val="0"/>
      <w:marBottom w:val="0"/>
      <w:divBdr>
        <w:top w:val="none" w:sz="0" w:space="0" w:color="auto"/>
        <w:left w:val="none" w:sz="0" w:space="0" w:color="auto"/>
        <w:bottom w:val="none" w:sz="0" w:space="0" w:color="auto"/>
        <w:right w:val="none" w:sz="0" w:space="0" w:color="auto"/>
      </w:divBdr>
    </w:div>
    <w:div w:id="714623062">
      <w:marLeft w:val="0"/>
      <w:marRight w:val="0"/>
      <w:marTop w:val="0"/>
      <w:marBottom w:val="0"/>
      <w:divBdr>
        <w:top w:val="none" w:sz="0" w:space="0" w:color="auto"/>
        <w:left w:val="none" w:sz="0" w:space="0" w:color="auto"/>
        <w:bottom w:val="none" w:sz="0" w:space="0" w:color="auto"/>
        <w:right w:val="none" w:sz="0" w:space="0" w:color="auto"/>
      </w:divBdr>
    </w:div>
    <w:div w:id="715276096">
      <w:marLeft w:val="0"/>
      <w:marRight w:val="0"/>
      <w:marTop w:val="0"/>
      <w:marBottom w:val="0"/>
      <w:divBdr>
        <w:top w:val="none" w:sz="0" w:space="0" w:color="auto"/>
        <w:left w:val="none" w:sz="0" w:space="0" w:color="auto"/>
        <w:bottom w:val="none" w:sz="0" w:space="0" w:color="auto"/>
        <w:right w:val="none" w:sz="0" w:space="0" w:color="auto"/>
      </w:divBdr>
    </w:div>
    <w:div w:id="716469343">
      <w:marLeft w:val="0"/>
      <w:marRight w:val="0"/>
      <w:marTop w:val="0"/>
      <w:marBottom w:val="0"/>
      <w:divBdr>
        <w:top w:val="none" w:sz="0" w:space="0" w:color="auto"/>
        <w:left w:val="none" w:sz="0" w:space="0" w:color="auto"/>
        <w:bottom w:val="none" w:sz="0" w:space="0" w:color="auto"/>
        <w:right w:val="none" w:sz="0" w:space="0" w:color="auto"/>
      </w:divBdr>
      <w:divsChild>
        <w:div w:id="357389292">
          <w:marLeft w:val="0"/>
          <w:marRight w:val="0"/>
          <w:marTop w:val="0"/>
          <w:marBottom w:val="0"/>
          <w:divBdr>
            <w:top w:val="none" w:sz="0" w:space="0" w:color="auto"/>
            <w:left w:val="none" w:sz="0" w:space="0" w:color="auto"/>
            <w:bottom w:val="none" w:sz="0" w:space="0" w:color="auto"/>
            <w:right w:val="none" w:sz="0" w:space="0" w:color="auto"/>
          </w:divBdr>
        </w:div>
      </w:divsChild>
    </w:div>
    <w:div w:id="717239085">
      <w:marLeft w:val="0"/>
      <w:marRight w:val="0"/>
      <w:marTop w:val="0"/>
      <w:marBottom w:val="0"/>
      <w:divBdr>
        <w:top w:val="none" w:sz="0" w:space="0" w:color="auto"/>
        <w:left w:val="none" w:sz="0" w:space="0" w:color="auto"/>
        <w:bottom w:val="none" w:sz="0" w:space="0" w:color="auto"/>
        <w:right w:val="none" w:sz="0" w:space="0" w:color="auto"/>
      </w:divBdr>
    </w:div>
    <w:div w:id="717707975">
      <w:marLeft w:val="0"/>
      <w:marRight w:val="0"/>
      <w:marTop w:val="0"/>
      <w:marBottom w:val="0"/>
      <w:divBdr>
        <w:top w:val="none" w:sz="0" w:space="0" w:color="auto"/>
        <w:left w:val="none" w:sz="0" w:space="0" w:color="auto"/>
        <w:bottom w:val="none" w:sz="0" w:space="0" w:color="auto"/>
        <w:right w:val="none" w:sz="0" w:space="0" w:color="auto"/>
      </w:divBdr>
    </w:div>
    <w:div w:id="719016090">
      <w:marLeft w:val="0"/>
      <w:marRight w:val="0"/>
      <w:marTop w:val="0"/>
      <w:marBottom w:val="0"/>
      <w:divBdr>
        <w:top w:val="none" w:sz="0" w:space="0" w:color="auto"/>
        <w:left w:val="none" w:sz="0" w:space="0" w:color="auto"/>
        <w:bottom w:val="none" w:sz="0" w:space="0" w:color="auto"/>
        <w:right w:val="none" w:sz="0" w:space="0" w:color="auto"/>
      </w:divBdr>
    </w:div>
    <w:div w:id="719524973">
      <w:marLeft w:val="0"/>
      <w:marRight w:val="0"/>
      <w:marTop w:val="0"/>
      <w:marBottom w:val="0"/>
      <w:divBdr>
        <w:top w:val="none" w:sz="0" w:space="0" w:color="auto"/>
        <w:left w:val="none" w:sz="0" w:space="0" w:color="auto"/>
        <w:bottom w:val="none" w:sz="0" w:space="0" w:color="auto"/>
        <w:right w:val="none" w:sz="0" w:space="0" w:color="auto"/>
      </w:divBdr>
    </w:div>
    <w:div w:id="719791305">
      <w:marLeft w:val="0"/>
      <w:marRight w:val="0"/>
      <w:marTop w:val="0"/>
      <w:marBottom w:val="0"/>
      <w:divBdr>
        <w:top w:val="none" w:sz="0" w:space="0" w:color="auto"/>
        <w:left w:val="none" w:sz="0" w:space="0" w:color="auto"/>
        <w:bottom w:val="none" w:sz="0" w:space="0" w:color="auto"/>
        <w:right w:val="none" w:sz="0" w:space="0" w:color="auto"/>
      </w:divBdr>
    </w:div>
    <w:div w:id="720835131">
      <w:marLeft w:val="0"/>
      <w:marRight w:val="0"/>
      <w:marTop w:val="0"/>
      <w:marBottom w:val="0"/>
      <w:divBdr>
        <w:top w:val="none" w:sz="0" w:space="0" w:color="auto"/>
        <w:left w:val="none" w:sz="0" w:space="0" w:color="auto"/>
        <w:bottom w:val="none" w:sz="0" w:space="0" w:color="auto"/>
        <w:right w:val="none" w:sz="0" w:space="0" w:color="auto"/>
      </w:divBdr>
    </w:div>
    <w:div w:id="722101790">
      <w:marLeft w:val="0"/>
      <w:marRight w:val="0"/>
      <w:marTop w:val="0"/>
      <w:marBottom w:val="0"/>
      <w:divBdr>
        <w:top w:val="none" w:sz="0" w:space="0" w:color="auto"/>
        <w:left w:val="none" w:sz="0" w:space="0" w:color="auto"/>
        <w:bottom w:val="none" w:sz="0" w:space="0" w:color="auto"/>
        <w:right w:val="none" w:sz="0" w:space="0" w:color="auto"/>
      </w:divBdr>
    </w:div>
    <w:div w:id="723140579">
      <w:marLeft w:val="0"/>
      <w:marRight w:val="0"/>
      <w:marTop w:val="0"/>
      <w:marBottom w:val="0"/>
      <w:divBdr>
        <w:top w:val="none" w:sz="0" w:space="0" w:color="auto"/>
        <w:left w:val="none" w:sz="0" w:space="0" w:color="auto"/>
        <w:bottom w:val="none" w:sz="0" w:space="0" w:color="auto"/>
        <w:right w:val="none" w:sz="0" w:space="0" w:color="auto"/>
      </w:divBdr>
    </w:div>
    <w:div w:id="723648667">
      <w:marLeft w:val="0"/>
      <w:marRight w:val="0"/>
      <w:marTop w:val="0"/>
      <w:marBottom w:val="0"/>
      <w:divBdr>
        <w:top w:val="none" w:sz="0" w:space="0" w:color="auto"/>
        <w:left w:val="none" w:sz="0" w:space="0" w:color="auto"/>
        <w:bottom w:val="none" w:sz="0" w:space="0" w:color="auto"/>
        <w:right w:val="none" w:sz="0" w:space="0" w:color="auto"/>
      </w:divBdr>
    </w:div>
    <w:div w:id="723724831">
      <w:marLeft w:val="0"/>
      <w:marRight w:val="0"/>
      <w:marTop w:val="0"/>
      <w:marBottom w:val="0"/>
      <w:divBdr>
        <w:top w:val="none" w:sz="0" w:space="0" w:color="auto"/>
        <w:left w:val="none" w:sz="0" w:space="0" w:color="auto"/>
        <w:bottom w:val="none" w:sz="0" w:space="0" w:color="auto"/>
        <w:right w:val="none" w:sz="0" w:space="0" w:color="auto"/>
      </w:divBdr>
    </w:div>
    <w:div w:id="723913678">
      <w:marLeft w:val="0"/>
      <w:marRight w:val="0"/>
      <w:marTop w:val="100"/>
      <w:marBottom w:val="100"/>
      <w:divBdr>
        <w:top w:val="none" w:sz="0" w:space="0" w:color="auto"/>
        <w:left w:val="none" w:sz="0" w:space="0" w:color="auto"/>
        <w:bottom w:val="none" w:sz="0" w:space="0" w:color="auto"/>
        <w:right w:val="none" w:sz="0" w:space="0" w:color="auto"/>
      </w:divBdr>
      <w:divsChild>
        <w:div w:id="2100056270">
          <w:marLeft w:val="0"/>
          <w:marRight w:val="0"/>
          <w:marTop w:val="0"/>
          <w:marBottom w:val="0"/>
          <w:divBdr>
            <w:top w:val="none" w:sz="0" w:space="0" w:color="auto"/>
            <w:left w:val="none" w:sz="0" w:space="0" w:color="auto"/>
            <w:bottom w:val="none" w:sz="0" w:space="0" w:color="auto"/>
            <w:right w:val="none" w:sz="0" w:space="0" w:color="auto"/>
          </w:divBdr>
        </w:div>
        <w:div w:id="424036438">
          <w:marLeft w:val="0"/>
          <w:marRight w:val="0"/>
          <w:marTop w:val="0"/>
          <w:marBottom w:val="0"/>
          <w:divBdr>
            <w:top w:val="none" w:sz="0" w:space="0" w:color="auto"/>
            <w:left w:val="none" w:sz="0" w:space="0" w:color="auto"/>
            <w:bottom w:val="none" w:sz="0" w:space="0" w:color="auto"/>
            <w:right w:val="none" w:sz="0" w:space="0" w:color="auto"/>
          </w:divBdr>
        </w:div>
        <w:div w:id="937833246">
          <w:marLeft w:val="0"/>
          <w:marRight w:val="0"/>
          <w:marTop w:val="0"/>
          <w:marBottom w:val="0"/>
          <w:divBdr>
            <w:top w:val="none" w:sz="0" w:space="0" w:color="auto"/>
            <w:left w:val="none" w:sz="0" w:space="0" w:color="auto"/>
            <w:bottom w:val="none" w:sz="0" w:space="0" w:color="auto"/>
            <w:right w:val="none" w:sz="0" w:space="0" w:color="auto"/>
          </w:divBdr>
        </w:div>
        <w:div w:id="787234103">
          <w:marLeft w:val="0"/>
          <w:marRight w:val="0"/>
          <w:marTop w:val="0"/>
          <w:marBottom w:val="0"/>
          <w:divBdr>
            <w:top w:val="none" w:sz="0" w:space="0" w:color="auto"/>
            <w:left w:val="none" w:sz="0" w:space="0" w:color="auto"/>
            <w:bottom w:val="none" w:sz="0" w:space="0" w:color="auto"/>
            <w:right w:val="none" w:sz="0" w:space="0" w:color="auto"/>
          </w:divBdr>
        </w:div>
        <w:div w:id="245388585">
          <w:marLeft w:val="0"/>
          <w:marRight w:val="0"/>
          <w:marTop w:val="0"/>
          <w:marBottom w:val="0"/>
          <w:divBdr>
            <w:top w:val="none" w:sz="0" w:space="0" w:color="auto"/>
            <w:left w:val="none" w:sz="0" w:space="0" w:color="auto"/>
            <w:bottom w:val="none" w:sz="0" w:space="0" w:color="auto"/>
            <w:right w:val="none" w:sz="0" w:space="0" w:color="auto"/>
          </w:divBdr>
        </w:div>
        <w:div w:id="626743058">
          <w:marLeft w:val="0"/>
          <w:marRight w:val="0"/>
          <w:marTop w:val="0"/>
          <w:marBottom w:val="0"/>
          <w:divBdr>
            <w:top w:val="none" w:sz="0" w:space="0" w:color="auto"/>
            <w:left w:val="none" w:sz="0" w:space="0" w:color="auto"/>
            <w:bottom w:val="none" w:sz="0" w:space="0" w:color="auto"/>
            <w:right w:val="none" w:sz="0" w:space="0" w:color="auto"/>
          </w:divBdr>
        </w:div>
      </w:divsChild>
    </w:div>
    <w:div w:id="724110118">
      <w:marLeft w:val="0"/>
      <w:marRight w:val="0"/>
      <w:marTop w:val="0"/>
      <w:marBottom w:val="0"/>
      <w:divBdr>
        <w:top w:val="none" w:sz="0" w:space="0" w:color="auto"/>
        <w:left w:val="none" w:sz="0" w:space="0" w:color="auto"/>
        <w:bottom w:val="none" w:sz="0" w:space="0" w:color="auto"/>
        <w:right w:val="none" w:sz="0" w:space="0" w:color="auto"/>
      </w:divBdr>
    </w:div>
    <w:div w:id="724723610">
      <w:marLeft w:val="0"/>
      <w:marRight w:val="0"/>
      <w:marTop w:val="0"/>
      <w:marBottom w:val="120"/>
      <w:divBdr>
        <w:top w:val="none" w:sz="0" w:space="0" w:color="auto"/>
        <w:left w:val="none" w:sz="0" w:space="0" w:color="auto"/>
        <w:bottom w:val="none" w:sz="0" w:space="0" w:color="auto"/>
        <w:right w:val="none" w:sz="0" w:space="0" w:color="auto"/>
      </w:divBdr>
    </w:div>
    <w:div w:id="724910194">
      <w:marLeft w:val="0"/>
      <w:marRight w:val="0"/>
      <w:marTop w:val="0"/>
      <w:marBottom w:val="0"/>
      <w:divBdr>
        <w:top w:val="none" w:sz="0" w:space="0" w:color="auto"/>
        <w:left w:val="none" w:sz="0" w:space="0" w:color="auto"/>
        <w:bottom w:val="none" w:sz="0" w:space="0" w:color="auto"/>
        <w:right w:val="none" w:sz="0" w:space="0" w:color="auto"/>
      </w:divBdr>
    </w:div>
    <w:div w:id="726759624">
      <w:marLeft w:val="0"/>
      <w:marRight w:val="0"/>
      <w:marTop w:val="0"/>
      <w:marBottom w:val="0"/>
      <w:divBdr>
        <w:top w:val="none" w:sz="0" w:space="0" w:color="auto"/>
        <w:left w:val="none" w:sz="0" w:space="0" w:color="auto"/>
        <w:bottom w:val="none" w:sz="0" w:space="0" w:color="auto"/>
        <w:right w:val="none" w:sz="0" w:space="0" w:color="auto"/>
      </w:divBdr>
    </w:div>
    <w:div w:id="728648239">
      <w:marLeft w:val="0"/>
      <w:marRight w:val="0"/>
      <w:marTop w:val="0"/>
      <w:marBottom w:val="0"/>
      <w:divBdr>
        <w:top w:val="none" w:sz="0" w:space="0" w:color="auto"/>
        <w:left w:val="none" w:sz="0" w:space="0" w:color="auto"/>
        <w:bottom w:val="none" w:sz="0" w:space="0" w:color="auto"/>
        <w:right w:val="none" w:sz="0" w:space="0" w:color="auto"/>
      </w:divBdr>
    </w:div>
    <w:div w:id="729109786">
      <w:marLeft w:val="0"/>
      <w:marRight w:val="0"/>
      <w:marTop w:val="0"/>
      <w:marBottom w:val="0"/>
      <w:divBdr>
        <w:top w:val="none" w:sz="0" w:space="0" w:color="auto"/>
        <w:left w:val="none" w:sz="0" w:space="0" w:color="auto"/>
        <w:bottom w:val="none" w:sz="0" w:space="0" w:color="auto"/>
        <w:right w:val="none" w:sz="0" w:space="0" w:color="auto"/>
      </w:divBdr>
    </w:div>
    <w:div w:id="729382806">
      <w:marLeft w:val="0"/>
      <w:marRight w:val="0"/>
      <w:marTop w:val="0"/>
      <w:marBottom w:val="0"/>
      <w:divBdr>
        <w:top w:val="none" w:sz="0" w:space="0" w:color="auto"/>
        <w:left w:val="none" w:sz="0" w:space="0" w:color="auto"/>
        <w:bottom w:val="none" w:sz="0" w:space="0" w:color="auto"/>
        <w:right w:val="none" w:sz="0" w:space="0" w:color="auto"/>
      </w:divBdr>
    </w:div>
    <w:div w:id="730083732">
      <w:marLeft w:val="0"/>
      <w:marRight w:val="0"/>
      <w:marTop w:val="0"/>
      <w:marBottom w:val="0"/>
      <w:divBdr>
        <w:top w:val="none" w:sz="0" w:space="0" w:color="auto"/>
        <w:left w:val="none" w:sz="0" w:space="0" w:color="auto"/>
        <w:bottom w:val="none" w:sz="0" w:space="0" w:color="auto"/>
        <w:right w:val="none" w:sz="0" w:space="0" w:color="auto"/>
      </w:divBdr>
    </w:div>
    <w:div w:id="730730853">
      <w:marLeft w:val="0"/>
      <w:marRight w:val="0"/>
      <w:marTop w:val="100"/>
      <w:marBottom w:val="100"/>
      <w:divBdr>
        <w:top w:val="none" w:sz="0" w:space="0" w:color="auto"/>
        <w:left w:val="none" w:sz="0" w:space="0" w:color="auto"/>
        <w:bottom w:val="none" w:sz="0" w:space="0" w:color="auto"/>
        <w:right w:val="none" w:sz="0" w:space="0" w:color="auto"/>
      </w:divBdr>
      <w:divsChild>
        <w:div w:id="123349283">
          <w:marLeft w:val="0"/>
          <w:marRight w:val="0"/>
          <w:marTop w:val="0"/>
          <w:marBottom w:val="0"/>
          <w:divBdr>
            <w:top w:val="none" w:sz="0" w:space="0" w:color="auto"/>
            <w:left w:val="none" w:sz="0" w:space="0" w:color="auto"/>
            <w:bottom w:val="none" w:sz="0" w:space="0" w:color="auto"/>
            <w:right w:val="none" w:sz="0" w:space="0" w:color="auto"/>
          </w:divBdr>
        </w:div>
        <w:div w:id="1112434176">
          <w:marLeft w:val="0"/>
          <w:marRight w:val="0"/>
          <w:marTop w:val="0"/>
          <w:marBottom w:val="0"/>
          <w:divBdr>
            <w:top w:val="none" w:sz="0" w:space="0" w:color="auto"/>
            <w:left w:val="none" w:sz="0" w:space="0" w:color="auto"/>
            <w:bottom w:val="none" w:sz="0" w:space="0" w:color="auto"/>
            <w:right w:val="none" w:sz="0" w:space="0" w:color="auto"/>
          </w:divBdr>
        </w:div>
        <w:div w:id="1102993676">
          <w:marLeft w:val="0"/>
          <w:marRight w:val="0"/>
          <w:marTop w:val="0"/>
          <w:marBottom w:val="0"/>
          <w:divBdr>
            <w:top w:val="none" w:sz="0" w:space="0" w:color="auto"/>
            <w:left w:val="none" w:sz="0" w:space="0" w:color="auto"/>
            <w:bottom w:val="none" w:sz="0" w:space="0" w:color="auto"/>
            <w:right w:val="none" w:sz="0" w:space="0" w:color="auto"/>
          </w:divBdr>
        </w:div>
        <w:div w:id="883559189">
          <w:marLeft w:val="0"/>
          <w:marRight w:val="0"/>
          <w:marTop w:val="0"/>
          <w:marBottom w:val="0"/>
          <w:divBdr>
            <w:top w:val="none" w:sz="0" w:space="0" w:color="auto"/>
            <w:left w:val="none" w:sz="0" w:space="0" w:color="auto"/>
            <w:bottom w:val="none" w:sz="0" w:space="0" w:color="auto"/>
            <w:right w:val="none" w:sz="0" w:space="0" w:color="auto"/>
          </w:divBdr>
        </w:div>
      </w:divsChild>
    </w:div>
    <w:div w:id="730806499">
      <w:marLeft w:val="0"/>
      <w:marRight w:val="0"/>
      <w:marTop w:val="0"/>
      <w:marBottom w:val="0"/>
      <w:divBdr>
        <w:top w:val="none" w:sz="0" w:space="0" w:color="auto"/>
        <w:left w:val="none" w:sz="0" w:space="0" w:color="auto"/>
        <w:bottom w:val="none" w:sz="0" w:space="0" w:color="auto"/>
        <w:right w:val="none" w:sz="0" w:space="0" w:color="auto"/>
      </w:divBdr>
    </w:div>
    <w:div w:id="732241012">
      <w:marLeft w:val="0"/>
      <w:marRight w:val="0"/>
      <w:marTop w:val="0"/>
      <w:marBottom w:val="0"/>
      <w:divBdr>
        <w:top w:val="none" w:sz="0" w:space="0" w:color="auto"/>
        <w:left w:val="none" w:sz="0" w:space="0" w:color="auto"/>
        <w:bottom w:val="none" w:sz="0" w:space="0" w:color="auto"/>
        <w:right w:val="none" w:sz="0" w:space="0" w:color="auto"/>
      </w:divBdr>
    </w:div>
    <w:div w:id="732506933">
      <w:marLeft w:val="0"/>
      <w:marRight w:val="0"/>
      <w:marTop w:val="0"/>
      <w:marBottom w:val="0"/>
      <w:divBdr>
        <w:top w:val="none" w:sz="0" w:space="0" w:color="auto"/>
        <w:left w:val="none" w:sz="0" w:space="0" w:color="auto"/>
        <w:bottom w:val="none" w:sz="0" w:space="0" w:color="auto"/>
        <w:right w:val="none" w:sz="0" w:space="0" w:color="auto"/>
      </w:divBdr>
    </w:div>
    <w:div w:id="733627767">
      <w:marLeft w:val="0"/>
      <w:marRight w:val="0"/>
      <w:marTop w:val="0"/>
      <w:marBottom w:val="0"/>
      <w:divBdr>
        <w:top w:val="none" w:sz="0" w:space="0" w:color="auto"/>
        <w:left w:val="none" w:sz="0" w:space="0" w:color="auto"/>
        <w:bottom w:val="none" w:sz="0" w:space="0" w:color="auto"/>
        <w:right w:val="none" w:sz="0" w:space="0" w:color="auto"/>
      </w:divBdr>
    </w:div>
    <w:div w:id="733697672">
      <w:marLeft w:val="0"/>
      <w:marRight w:val="0"/>
      <w:marTop w:val="0"/>
      <w:marBottom w:val="0"/>
      <w:divBdr>
        <w:top w:val="none" w:sz="0" w:space="0" w:color="auto"/>
        <w:left w:val="none" w:sz="0" w:space="0" w:color="auto"/>
        <w:bottom w:val="none" w:sz="0" w:space="0" w:color="auto"/>
        <w:right w:val="none" w:sz="0" w:space="0" w:color="auto"/>
      </w:divBdr>
      <w:divsChild>
        <w:div w:id="1770155270">
          <w:marLeft w:val="0"/>
          <w:marRight w:val="0"/>
          <w:marTop w:val="0"/>
          <w:marBottom w:val="0"/>
          <w:divBdr>
            <w:top w:val="none" w:sz="0" w:space="0" w:color="auto"/>
            <w:left w:val="none" w:sz="0" w:space="0" w:color="auto"/>
            <w:bottom w:val="none" w:sz="0" w:space="0" w:color="auto"/>
            <w:right w:val="none" w:sz="0" w:space="0" w:color="auto"/>
          </w:divBdr>
        </w:div>
      </w:divsChild>
    </w:div>
    <w:div w:id="734202515">
      <w:marLeft w:val="0"/>
      <w:marRight w:val="0"/>
      <w:marTop w:val="0"/>
      <w:marBottom w:val="0"/>
      <w:divBdr>
        <w:top w:val="none" w:sz="0" w:space="0" w:color="auto"/>
        <w:left w:val="none" w:sz="0" w:space="0" w:color="auto"/>
        <w:bottom w:val="none" w:sz="0" w:space="0" w:color="auto"/>
        <w:right w:val="none" w:sz="0" w:space="0" w:color="auto"/>
      </w:divBdr>
    </w:div>
    <w:div w:id="734669553">
      <w:marLeft w:val="0"/>
      <w:marRight w:val="0"/>
      <w:marTop w:val="0"/>
      <w:marBottom w:val="0"/>
      <w:divBdr>
        <w:top w:val="none" w:sz="0" w:space="0" w:color="auto"/>
        <w:left w:val="none" w:sz="0" w:space="0" w:color="auto"/>
        <w:bottom w:val="none" w:sz="0" w:space="0" w:color="auto"/>
        <w:right w:val="none" w:sz="0" w:space="0" w:color="auto"/>
      </w:divBdr>
    </w:div>
    <w:div w:id="735325018">
      <w:marLeft w:val="0"/>
      <w:marRight w:val="0"/>
      <w:marTop w:val="0"/>
      <w:marBottom w:val="0"/>
      <w:divBdr>
        <w:top w:val="none" w:sz="0" w:space="0" w:color="auto"/>
        <w:left w:val="none" w:sz="0" w:space="0" w:color="auto"/>
        <w:bottom w:val="none" w:sz="0" w:space="0" w:color="auto"/>
        <w:right w:val="none" w:sz="0" w:space="0" w:color="auto"/>
      </w:divBdr>
    </w:div>
    <w:div w:id="735468020">
      <w:marLeft w:val="0"/>
      <w:marRight w:val="0"/>
      <w:marTop w:val="0"/>
      <w:marBottom w:val="0"/>
      <w:divBdr>
        <w:top w:val="none" w:sz="0" w:space="0" w:color="auto"/>
        <w:left w:val="none" w:sz="0" w:space="0" w:color="auto"/>
        <w:bottom w:val="none" w:sz="0" w:space="0" w:color="auto"/>
        <w:right w:val="none" w:sz="0" w:space="0" w:color="auto"/>
      </w:divBdr>
    </w:div>
    <w:div w:id="735979530">
      <w:marLeft w:val="0"/>
      <w:marRight w:val="0"/>
      <w:marTop w:val="0"/>
      <w:marBottom w:val="0"/>
      <w:divBdr>
        <w:top w:val="none" w:sz="0" w:space="0" w:color="auto"/>
        <w:left w:val="none" w:sz="0" w:space="0" w:color="auto"/>
        <w:bottom w:val="none" w:sz="0" w:space="0" w:color="auto"/>
        <w:right w:val="none" w:sz="0" w:space="0" w:color="auto"/>
      </w:divBdr>
    </w:div>
    <w:div w:id="736242416">
      <w:marLeft w:val="0"/>
      <w:marRight w:val="0"/>
      <w:marTop w:val="0"/>
      <w:marBottom w:val="0"/>
      <w:divBdr>
        <w:top w:val="none" w:sz="0" w:space="0" w:color="auto"/>
        <w:left w:val="none" w:sz="0" w:space="0" w:color="auto"/>
        <w:bottom w:val="none" w:sz="0" w:space="0" w:color="auto"/>
        <w:right w:val="none" w:sz="0" w:space="0" w:color="auto"/>
      </w:divBdr>
    </w:div>
    <w:div w:id="736630631">
      <w:marLeft w:val="0"/>
      <w:marRight w:val="0"/>
      <w:marTop w:val="0"/>
      <w:marBottom w:val="0"/>
      <w:divBdr>
        <w:top w:val="none" w:sz="0" w:space="0" w:color="auto"/>
        <w:left w:val="none" w:sz="0" w:space="0" w:color="auto"/>
        <w:bottom w:val="none" w:sz="0" w:space="0" w:color="auto"/>
        <w:right w:val="none" w:sz="0" w:space="0" w:color="auto"/>
      </w:divBdr>
    </w:div>
    <w:div w:id="737821462">
      <w:marLeft w:val="0"/>
      <w:marRight w:val="0"/>
      <w:marTop w:val="0"/>
      <w:marBottom w:val="0"/>
      <w:divBdr>
        <w:top w:val="none" w:sz="0" w:space="0" w:color="auto"/>
        <w:left w:val="none" w:sz="0" w:space="0" w:color="auto"/>
        <w:bottom w:val="none" w:sz="0" w:space="0" w:color="auto"/>
        <w:right w:val="none" w:sz="0" w:space="0" w:color="auto"/>
      </w:divBdr>
    </w:div>
    <w:div w:id="738597104">
      <w:marLeft w:val="0"/>
      <w:marRight w:val="0"/>
      <w:marTop w:val="100"/>
      <w:marBottom w:val="100"/>
      <w:divBdr>
        <w:top w:val="none" w:sz="0" w:space="0" w:color="auto"/>
        <w:left w:val="none" w:sz="0" w:space="0" w:color="auto"/>
        <w:bottom w:val="none" w:sz="0" w:space="0" w:color="auto"/>
        <w:right w:val="none" w:sz="0" w:space="0" w:color="auto"/>
      </w:divBdr>
      <w:divsChild>
        <w:div w:id="632560943">
          <w:marLeft w:val="0"/>
          <w:marRight w:val="0"/>
          <w:marTop w:val="0"/>
          <w:marBottom w:val="0"/>
          <w:divBdr>
            <w:top w:val="none" w:sz="0" w:space="0" w:color="auto"/>
            <w:left w:val="none" w:sz="0" w:space="0" w:color="auto"/>
            <w:bottom w:val="none" w:sz="0" w:space="0" w:color="auto"/>
            <w:right w:val="none" w:sz="0" w:space="0" w:color="auto"/>
          </w:divBdr>
        </w:div>
        <w:div w:id="392697986">
          <w:marLeft w:val="0"/>
          <w:marRight w:val="0"/>
          <w:marTop w:val="0"/>
          <w:marBottom w:val="0"/>
          <w:divBdr>
            <w:top w:val="none" w:sz="0" w:space="0" w:color="auto"/>
            <w:left w:val="none" w:sz="0" w:space="0" w:color="auto"/>
            <w:bottom w:val="none" w:sz="0" w:space="0" w:color="auto"/>
            <w:right w:val="none" w:sz="0" w:space="0" w:color="auto"/>
          </w:divBdr>
        </w:div>
        <w:div w:id="1416903160">
          <w:marLeft w:val="0"/>
          <w:marRight w:val="0"/>
          <w:marTop w:val="0"/>
          <w:marBottom w:val="0"/>
          <w:divBdr>
            <w:top w:val="none" w:sz="0" w:space="0" w:color="auto"/>
            <w:left w:val="none" w:sz="0" w:space="0" w:color="auto"/>
            <w:bottom w:val="none" w:sz="0" w:space="0" w:color="auto"/>
            <w:right w:val="none" w:sz="0" w:space="0" w:color="auto"/>
          </w:divBdr>
        </w:div>
        <w:div w:id="1975059469">
          <w:marLeft w:val="0"/>
          <w:marRight w:val="0"/>
          <w:marTop w:val="0"/>
          <w:marBottom w:val="0"/>
          <w:divBdr>
            <w:top w:val="none" w:sz="0" w:space="0" w:color="auto"/>
            <w:left w:val="none" w:sz="0" w:space="0" w:color="auto"/>
            <w:bottom w:val="none" w:sz="0" w:space="0" w:color="auto"/>
            <w:right w:val="none" w:sz="0" w:space="0" w:color="auto"/>
          </w:divBdr>
        </w:div>
        <w:div w:id="1990094844">
          <w:marLeft w:val="0"/>
          <w:marRight w:val="0"/>
          <w:marTop w:val="0"/>
          <w:marBottom w:val="0"/>
          <w:divBdr>
            <w:top w:val="none" w:sz="0" w:space="0" w:color="auto"/>
            <w:left w:val="none" w:sz="0" w:space="0" w:color="auto"/>
            <w:bottom w:val="none" w:sz="0" w:space="0" w:color="auto"/>
            <w:right w:val="none" w:sz="0" w:space="0" w:color="auto"/>
          </w:divBdr>
        </w:div>
        <w:div w:id="1312829956">
          <w:marLeft w:val="0"/>
          <w:marRight w:val="0"/>
          <w:marTop w:val="0"/>
          <w:marBottom w:val="0"/>
          <w:divBdr>
            <w:top w:val="none" w:sz="0" w:space="0" w:color="auto"/>
            <w:left w:val="none" w:sz="0" w:space="0" w:color="auto"/>
            <w:bottom w:val="none" w:sz="0" w:space="0" w:color="auto"/>
            <w:right w:val="none" w:sz="0" w:space="0" w:color="auto"/>
          </w:divBdr>
        </w:div>
        <w:div w:id="1624538522">
          <w:marLeft w:val="0"/>
          <w:marRight w:val="0"/>
          <w:marTop w:val="0"/>
          <w:marBottom w:val="0"/>
          <w:divBdr>
            <w:top w:val="none" w:sz="0" w:space="0" w:color="auto"/>
            <w:left w:val="none" w:sz="0" w:space="0" w:color="auto"/>
            <w:bottom w:val="none" w:sz="0" w:space="0" w:color="auto"/>
            <w:right w:val="none" w:sz="0" w:space="0" w:color="auto"/>
          </w:divBdr>
        </w:div>
        <w:div w:id="725686756">
          <w:marLeft w:val="0"/>
          <w:marRight w:val="0"/>
          <w:marTop w:val="0"/>
          <w:marBottom w:val="0"/>
          <w:divBdr>
            <w:top w:val="none" w:sz="0" w:space="0" w:color="auto"/>
            <w:left w:val="none" w:sz="0" w:space="0" w:color="auto"/>
            <w:bottom w:val="none" w:sz="0" w:space="0" w:color="auto"/>
            <w:right w:val="none" w:sz="0" w:space="0" w:color="auto"/>
          </w:divBdr>
        </w:div>
        <w:div w:id="1068459092">
          <w:marLeft w:val="0"/>
          <w:marRight w:val="0"/>
          <w:marTop w:val="0"/>
          <w:marBottom w:val="0"/>
          <w:divBdr>
            <w:top w:val="none" w:sz="0" w:space="0" w:color="auto"/>
            <w:left w:val="none" w:sz="0" w:space="0" w:color="auto"/>
            <w:bottom w:val="none" w:sz="0" w:space="0" w:color="auto"/>
            <w:right w:val="none" w:sz="0" w:space="0" w:color="auto"/>
          </w:divBdr>
        </w:div>
        <w:div w:id="161625560">
          <w:marLeft w:val="0"/>
          <w:marRight w:val="0"/>
          <w:marTop w:val="0"/>
          <w:marBottom w:val="0"/>
          <w:divBdr>
            <w:top w:val="none" w:sz="0" w:space="0" w:color="auto"/>
            <w:left w:val="none" w:sz="0" w:space="0" w:color="auto"/>
            <w:bottom w:val="none" w:sz="0" w:space="0" w:color="auto"/>
            <w:right w:val="none" w:sz="0" w:space="0" w:color="auto"/>
          </w:divBdr>
        </w:div>
        <w:div w:id="1016880699">
          <w:marLeft w:val="0"/>
          <w:marRight w:val="0"/>
          <w:marTop w:val="0"/>
          <w:marBottom w:val="0"/>
          <w:divBdr>
            <w:top w:val="none" w:sz="0" w:space="0" w:color="auto"/>
            <w:left w:val="none" w:sz="0" w:space="0" w:color="auto"/>
            <w:bottom w:val="none" w:sz="0" w:space="0" w:color="auto"/>
            <w:right w:val="none" w:sz="0" w:space="0" w:color="auto"/>
          </w:divBdr>
        </w:div>
        <w:div w:id="293485751">
          <w:marLeft w:val="0"/>
          <w:marRight w:val="0"/>
          <w:marTop w:val="0"/>
          <w:marBottom w:val="0"/>
          <w:divBdr>
            <w:top w:val="none" w:sz="0" w:space="0" w:color="auto"/>
            <w:left w:val="none" w:sz="0" w:space="0" w:color="auto"/>
            <w:bottom w:val="none" w:sz="0" w:space="0" w:color="auto"/>
            <w:right w:val="none" w:sz="0" w:space="0" w:color="auto"/>
          </w:divBdr>
        </w:div>
        <w:div w:id="1188788259">
          <w:marLeft w:val="0"/>
          <w:marRight w:val="0"/>
          <w:marTop w:val="0"/>
          <w:marBottom w:val="0"/>
          <w:divBdr>
            <w:top w:val="none" w:sz="0" w:space="0" w:color="auto"/>
            <w:left w:val="none" w:sz="0" w:space="0" w:color="auto"/>
            <w:bottom w:val="none" w:sz="0" w:space="0" w:color="auto"/>
            <w:right w:val="none" w:sz="0" w:space="0" w:color="auto"/>
          </w:divBdr>
        </w:div>
        <w:div w:id="2078628081">
          <w:marLeft w:val="0"/>
          <w:marRight w:val="0"/>
          <w:marTop w:val="0"/>
          <w:marBottom w:val="0"/>
          <w:divBdr>
            <w:top w:val="none" w:sz="0" w:space="0" w:color="auto"/>
            <w:left w:val="none" w:sz="0" w:space="0" w:color="auto"/>
            <w:bottom w:val="none" w:sz="0" w:space="0" w:color="auto"/>
            <w:right w:val="none" w:sz="0" w:space="0" w:color="auto"/>
          </w:divBdr>
        </w:div>
        <w:div w:id="948008056">
          <w:marLeft w:val="0"/>
          <w:marRight w:val="0"/>
          <w:marTop w:val="0"/>
          <w:marBottom w:val="0"/>
          <w:divBdr>
            <w:top w:val="none" w:sz="0" w:space="0" w:color="auto"/>
            <w:left w:val="none" w:sz="0" w:space="0" w:color="auto"/>
            <w:bottom w:val="none" w:sz="0" w:space="0" w:color="auto"/>
            <w:right w:val="none" w:sz="0" w:space="0" w:color="auto"/>
          </w:divBdr>
        </w:div>
        <w:div w:id="1253976157">
          <w:marLeft w:val="0"/>
          <w:marRight w:val="0"/>
          <w:marTop w:val="0"/>
          <w:marBottom w:val="0"/>
          <w:divBdr>
            <w:top w:val="none" w:sz="0" w:space="0" w:color="auto"/>
            <w:left w:val="none" w:sz="0" w:space="0" w:color="auto"/>
            <w:bottom w:val="none" w:sz="0" w:space="0" w:color="auto"/>
            <w:right w:val="none" w:sz="0" w:space="0" w:color="auto"/>
          </w:divBdr>
        </w:div>
        <w:div w:id="170529641">
          <w:marLeft w:val="0"/>
          <w:marRight w:val="0"/>
          <w:marTop w:val="0"/>
          <w:marBottom w:val="0"/>
          <w:divBdr>
            <w:top w:val="none" w:sz="0" w:space="0" w:color="auto"/>
            <w:left w:val="none" w:sz="0" w:space="0" w:color="auto"/>
            <w:bottom w:val="none" w:sz="0" w:space="0" w:color="auto"/>
            <w:right w:val="none" w:sz="0" w:space="0" w:color="auto"/>
          </w:divBdr>
        </w:div>
        <w:div w:id="527304895">
          <w:marLeft w:val="0"/>
          <w:marRight w:val="0"/>
          <w:marTop w:val="0"/>
          <w:marBottom w:val="0"/>
          <w:divBdr>
            <w:top w:val="none" w:sz="0" w:space="0" w:color="auto"/>
            <w:left w:val="none" w:sz="0" w:space="0" w:color="auto"/>
            <w:bottom w:val="none" w:sz="0" w:space="0" w:color="auto"/>
            <w:right w:val="none" w:sz="0" w:space="0" w:color="auto"/>
          </w:divBdr>
        </w:div>
      </w:divsChild>
    </w:div>
    <w:div w:id="739057729">
      <w:marLeft w:val="0"/>
      <w:marRight w:val="0"/>
      <w:marTop w:val="100"/>
      <w:marBottom w:val="100"/>
      <w:divBdr>
        <w:top w:val="none" w:sz="0" w:space="0" w:color="auto"/>
        <w:left w:val="none" w:sz="0" w:space="0" w:color="auto"/>
        <w:bottom w:val="none" w:sz="0" w:space="0" w:color="auto"/>
        <w:right w:val="none" w:sz="0" w:space="0" w:color="auto"/>
      </w:divBdr>
      <w:divsChild>
        <w:div w:id="878586437">
          <w:marLeft w:val="0"/>
          <w:marRight w:val="0"/>
          <w:marTop w:val="0"/>
          <w:marBottom w:val="0"/>
          <w:divBdr>
            <w:top w:val="none" w:sz="0" w:space="0" w:color="auto"/>
            <w:left w:val="none" w:sz="0" w:space="0" w:color="auto"/>
            <w:bottom w:val="none" w:sz="0" w:space="0" w:color="auto"/>
            <w:right w:val="none" w:sz="0" w:space="0" w:color="auto"/>
          </w:divBdr>
        </w:div>
      </w:divsChild>
    </w:div>
    <w:div w:id="739523539">
      <w:marLeft w:val="0"/>
      <w:marRight w:val="0"/>
      <w:marTop w:val="0"/>
      <w:marBottom w:val="240"/>
      <w:divBdr>
        <w:top w:val="none" w:sz="0" w:space="0" w:color="auto"/>
        <w:left w:val="none" w:sz="0" w:space="0" w:color="auto"/>
        <w:bottom w:val="none" w:sz="0" w:space="0" w:color="auto"/>
        <w:right w:val="none" w:sz="0" w:space="0" w:color="auto"/>
      </w:divBdr>
    </w:div>
    <w:div w:id="740254820">
      <w:marLeft w:val="0"/>
      <w:marRight w:val="0"/>
      <w:marTop w:val="0"/>
      <w:marBottom w:val="0"/>
      <w:divBdr>
        <w:top w:val="none" w:sz="0" w:space="0" w:color="auto"/>
        <w:left w:val="none" w:sz="0" w:space="0" w:color="auto"/>
        <w:bottom w:val="none" w:sz="0" w:space="0" w:color="auto"/>
        <w:right w:val="none" w:sz="0" w:space="0" w:color="auto"/>
      </w:divBdr>
      <w:divsChild>
        <w:div w:id="1333029333">
          <w:marLeft w:val="0"/>
          <w:marRight w:val="0"/>
          <w:marTop w:val="0"/>
          <w:marBottom w:val="0"/>
          <w:divBdr>
            <w:top w:val="none" w:sz="0" w:space="0" w:color="auto"/>
            <w:left w:val="none" w:sz="0" w:space="0" w:color="auto"/>
            <w:bottom w:val="none" w:sz="0" w:space="0" w:color="auto"/>
            <w:right w:val="none" w:sz="0" w:space="0" w:color="auto"/>
          </w:divBdr>
        </w:div>
      </w:divsChild>
    </w:div>
    <w:div w:id="741028751">
      <w:marLeft w:val="0"/>
      <w:marRight w:val="0"/>
      <w:marTop w:val="0"/>
      <w:marBottom w:val="0"/>
      <w:divBdr>
        <w:top w:val="none" w:sz="0" w:space="0" w:color="auto"/>
        <w:left w:val="none" w:sz="0" w:space="0" w:color="auto"/>
        <w:bottom w:val="none" w:sz="0" w:space="0" w:color="auto"/>
        <w:right w:val="none" w:sz="0" w:space="0" w:color="auto"/>
      </w:divBdr>
    </w:div>
    <w:div w:id="742144844">
      <w:marLeft w:val="0"/>
      <w:marRight w:val="0"/>
      <w:marTop w:val="0"/>
      <w:marBottom w:val="0"/>
      <w:divBdr>
        <w:top w:val="none" w:sz="0" w:space="0" w:color="auto"/>
        <w:left w:val="none" w:sz="0" w:space="0" w:color="auto"/>
        <w:bottom w:val="none" w:sz="0" w:space="0" w:color="auto"/>
        <w:right w:val="none" w:sz="0" w:space="0" w:color="auto"/>
      </w:divBdr>
    </w:div>
    <w:div w:id="744109273">
      <w:marLeft w:val="0"/>
      <w:marRight w:val="0"/>
      <w:marTop w:val="0"/>
      <w:marBottom w:val="0"/>
      <w:divBdr>
        <w:top w:val="none" w:sz="0" w:space="0" w:color="auto"/>
        <w:left w:val="none" w:sz="0" w:space="0" w:color="auto"/>
        <w:bottom w:val="none" w:sz="0" w:space="0" w:color="auto"/>
        <w:right w:val="none" w:sz="0" w:space="0" w:color="auto"/>
      </w:divBdr>
      <w:divsChild>
        <w:div w:id="788165781">
          <w:marLeft w:val="0"/>
          <w:marRight w:val="0"/>
          <w:marTop w:val="0"/>
          <w:marBottom w:val="0"/>
          <w:divBdr>
            <w:top w:val="none" w:sz="0" w:space="0" w:color="auto"/>
            <w:left w:val="none" w:sz="0" w:space="0" w:color="auto"/>
            <w:bottom w:val="none" w:sz="0" w:space="0" w:color="auto"/>
            <w:right w:val="none" w:sz="0" w:space="0" w:color="auto"/>
          </w:divBdr>
        </w:div>
      </w:divsChild>
    </w:div>
    <w:div w:id="744688019">
      <w:marLeft w:val="0"/>
      <w:marRight w:val="0"/>
      <w:marTop w:val="0"/>
      <w:marBottom w:val="0"/>
      <w:divBdr>
        <w:top w:val="none" w:sz="0" w:space="0" w:color="auto"/>
        <w:left w:val="none" w:sz="0" w:space="0" w:color="auto"/>
        <w:bottom w:val="none" w:sz="0" w:space="0" w:color="auto"/>
        <w:right w:val="none" w:sz="0" w:space="0" w:color="auto"/>
      </w:divBdr>
    </w:div>
    <w:div w:id="745810961">
      <w:marLeft w:val="0"/>
      <w:marRight w:val="0"/>
      <w:marTop w:val="0"/>
      <w:marBottom w:val="0"/>
      <w:divBdr>
        <w:top w:val="none" w:sz="0" w:space="0" w:color="auto"/>
        <w:left w:val="none" w:sz="0" w:space="0" w:color="auto"/>
        <w:bottom w:val="none" w:sz="0" w:space="0" w:color="auto"/>
        <w:right w:val="none" w:sz="0" w:space="0" w:color="auto"/>
      </w:divBdr>
    </w:div>
    <w:div w:id="746078678">
      <w:marLeft w:val="0"/>
      <w:marRight w:val="0"/>
      <w:marTop w:val="0"/>
      <w:marBottom w:val="0"/>
      <w:divBdr>
        <w:top w:val="none" w:sz="0" w:space="0" w:color="auto"/>
        <w:left w:val="none" w:sz="0" w:space="0" w:color="auto"/>
        <w:bottom w:val="none" w:sz="0" w:space="0" w:color="auto"/>
        <w:right w:val="none" w:sz="0" w:space="0" w:color="auto"/>
      </w:divBdr>
    </w:div>
    <w:div w:id="746222794">
      <w:marLeft w:val="0"/>
      <w:marRight w:val="0"/>
      <w:marTop w:val="0"/>
      <w:marBottom w:val="0"/>
      <w:divBdr>
        <w:top w:val="none" w:sz="0" w:space="0" w:color="auto"/>
        <w:left w:val="none" w:sz="0" w:space="0" w:color="auto"/>
        <w:bottom w:val="none" w:sz="0" w:space="0" w:color="auto"/>
        <w:right w:val="none" w:sz="0" w:space="0" w:color="auto"/>
      </w:divBdr>
    </w:div>
    <w:div w:id="746389655">
      <w:marLeft w:val="0"/>
      <w:marRight w:val="0"/>
      <w:marTop w:val="0"/>
      <w:marBottom w:val="0"/>
      <w:divBdr>
        <w:top w:val="none" w:sz="0" w:space="0" w:color="auto"/>
        <w:left w:val="none" w:sz="0" w:space="0" w:color="auto"/>
        <w:bottom w:val="none" w:sz="0" w:space="0" w:color="auto"/>
        <w:right w:val="none" w:sz="0" w:space="0" w:color="auto"/>
      </w:divBdr>
    </w:div>
    <w:div w:id="746465410">
      <w:marLeft w:val="0"/>
      <w:marRight w:val="0"/>
      <w:marTop w:val="0"/>
      <w:marBottom w:val="0"/>
      <w:divBdr>
        <w:top w:val="none" w:sz="0" w:space="0" w:color="auto"/>
        <w:left w:val="none" w:sz="0" w:space="0" w:color="auto"/>
        <w:bottom w:val="none" w:sz="0" w:space="0" w:color="auto"/>
        <w:right w:val="none" w:sz="0" w:space="0" w:color="auto"/>
      </w:divBdr>
    </w:div>
    <w:div w:id="747115584">
      <w:marLeft w:val="0"/>
      <w:marRight w:val="0"/>
      <w:marTop w:val="0"/>
      <w:marBottom w:val="0"/>
      <w:divBdr>
        <w:top w:val="none" w:sz="0" w:space="0" w:color="auto"/>
        <w:left w:val="none" w:sz="0" w:space="0" w:color="auto"/>
        <w:bottom w:val="none" w:sz="0" w:space="0" w:color="auto"/>
        <w:right w:val="none" w:sz="0" w:space="0" w:color="auto"/>
      </w:divBdr>
      <w:divsChild>
        <w:div w:id="1917283937">
          <w:marLeft w:val="0"/>
          <w:marRight w:val="0"/>
          <w:marTop w:val="0"/>
          <w:marBottom w:val="0"/>
          <w:divBdr>
            <w:top w:val="none" w:sz="0" w:space="0" w:color="auto"/>
            <w:left w:val="none" w:sz="0" w:space="0" w:color="auto"/>
            <w:bottom w:val="none" w:sz="0" w:space="0" w:color="auto"/>
            <w:right w:val="none" w:sz="0" w:space="0" w:color="auto"/>
          </w:divBdr>
        </w:div>
      </w:divsChild>
    </w:div>
    <w:div w:id="747918341">
      <w:marLeft w:val="0"/>
      <w:marRight w:val="0"/>
      <w:marTop w:val="0"/>
      <w:marBottom w:val="0"/>
      <w:divBdr>
        <w:top w:val="none" w:sz="0" w:space="0" w:color="auto"/>
        <w:left w:val="none" w:sz="0" w:space="0" w:color="auto"/>
        <w:bottom w:val="none" w:sz="0" w:space="0" w:color="auto"/>
        <w:right w:val="none" w:sz="0" w:space="0" w:color="auto"/>
      </w:divBdr>
    </w:div>
    <w:div w:id="748044571">
      <w:marLeft w:val="0"/>
      <w:marRight w:val="0"/>
      <w:marTop w:val="0"/>
      <w:marBottom w:val="0"/>
      <w:divBdr>
        <w:top w:val="none" w:sz="0" w:space="0" w:color="auto"/>
        <w:left w:val="none" w:sz="0" w:space="0" w:color="auto"/>
        <w:bottom w:val="none" w:sz="0" w:space="0" w:color="auto"/>
        <w:right w:val="none" w:sz="0" w:space="0" w:color="auto"/>
      </w:divBdr>
    </w:div>
    <w:div w:id="748619763">
      <w:marLeft w:val="0"/>
      <w:marRight w:val="0"/>
      <w:marTop w:val="0"/>
      <w:marBottom w:val="0"/>
      <w:divBdr>
        <w:top w:val="none" w:sz="0" w:space="0" w:color="auto"/>
        <w:left w:val="none" w:sz="0" w:space="0" w:color="auto"/>
        <w:bottom w:val="none" w:sz="0" w:space="0" w:color="auto"/>
        <w:right w:val="none" w:sz="0" w:space="0" w:color="auto"/>
      </w:divBdr>
    </w:div>
    <w:div w:id="749156350">
      <w:marLeft w:val="0"/>
      <w:marRight w:val="0"/>
      <w:marTop w:val="0"/>
      <w:marBottom w:val="0"/>
      <w:divBdr>
        <w:top w:val="none" w:sz="0" w:space="0" w:color="auto"/>
        <w:left w:val="none" w:sz="0" w:space="0" w:color="auto"/>
        <w:bottom w:val="none" w:sz="0" w:space="0" w:color="auto"/>
        <w:right w:val="none" w:sz="0" w:space="0" w:color="auto"/>
      </w:divBdr>
    </w:div>
    <w:div w:id="749430882">
      <w:marLeft w:val="0"/>
      <w:marRight w:val="0"/>
      <w:marTop w:val="0"/>
      <w:marBottom w:val="0"/>
      <w:divBdr>
        <w:top w:val="none" w:sz="0" w:space="0" w:color="auto"/>
        <w:left w:val="none" w:sz="0" w:space="0" w:color="auto"/>
        <w:bottom w:val="none" w:sz="0" w:space="0" w:color="auto"/>
        <w:right w:val="none" w:sz="0" w:space="0" w:color="auto"/>
      </w:divBdr>
    </w:div>
    <w:div w:id="749471127">
      <w:marLeft w:val="0"/>
      <w:marRight w:val="0"/>
      <w:marTop w:val="0"/>
      <w:marBottom w:val="0"/>
      <w:divBdr>
        <w:top w:val="none" w:sz="0" w:space="0" w:color="auto"/>
        <w:left w:val="none" w:sz="0" w:space="0" w:color="auto"/>
        <w:bottom w:val="none" w:sz="0" w:space="0" w:color="auto"/>
        <w:right w:val="none" w:sz="0" w:space="0" w:color="auto"/>
      </w:divBdr>
    </w:div>
    <w:div w:id="750929102">
      <w:marLeft w:val="0"/>
      <w:marRight w:val="0"/>
      <w:marTop w:val="0"/>
      <w:marBottom w:val="0"/>
      <w:divBdr>
        <w:top w:val="none" w:sz="0" w:space="0" w:color="auto"/>
        <w:left w:val="none" w:sz="0" w:space="0" w:color="auto"/>
        <w:bottom w:val="none" w:sz="0" w:space="0" w:color="auto"/>
        <w:right w:val="none" w:sz="0" w:space="0" w:color="auto"/>
      </w:divBdr>
    </w:div>
    <w:div w:id="751314767">
      <w:marLeft w:val="0"/>
      <w:marRight w:val="0"/>
      <w:marTop w:val="0"/>
      <w:marBottom w:val="0"/>
      <w:divBdr>
        <w:top w:val="none" w:sz="0" w:space="0" w:color="auto"/>
        <w:left w:val="none" w:sz="0" w:space="0" w:color="auto"/>
        <w:bottom w:val="none" w:sz="0" w:space="0" w:color="auto"/>
        <w:right w:val="none" w:sz="0" w:space="0" w:color="auto"/>
      </w:divBdr>
    </w:div>
    <w:div w:id="751586062">
      <w:marLeft w:val="0"/>
      <w:marRight w:val="0"/>
      <w:marTop w:val="0"/>
      <w:marBottom w:val="0"/>
      <w:divBdr>
        <w:top w:val="none" w:sz="0" w:space="0" w:color="auto"/>
        <w:left w:val="none" w:sz="0" w:space="0" w:color="auto"/>
        <w:bottom w:val="none" w:sz="0" w:space="0" w:color="auto"/>
        <w:right w:val="none" w:sz="0" w:space="0" w:color="auto"/>
      </w:divBdr>
    </w:div>
    <w:div w:id="751777088">
      <w:marLeft w:val="0"/>
      <w:marRight w:val="0"/>
      <w:marTop w:val="0"/>
      <w:marBottom w:val="0"/>
      <w:divBdr>
        <w:top w:val="none" w:sz="0" w:space="0" w:color="auto"/>
        <w:left w:val="none" w:sz="0" w:space="0" w:color="auto"/>
        <w:bottom w:val="none" w:sz="0" w:space="0" w:color="auto"/>
        <w:right w:val="none" w:sz="0" w:space="0" w:color="auto"/>
      </w:divBdr>
    </w:div>
    <w:div w:id="752240371">
      <w:marLeft w:val="0"/>
      <w:marRight w:val="0"/>
      <w:marTop w:val="0"/>
      <w:marBottom w:val="0"/>
      <w:divBdr>
        <w:top w:val="none" w:sz="0" w:space="0" w:color="auto"/>
        <w:left w:val="none" w:sz="0" w:space="0" w:color="auto"/>
        <w:bottom w:val="none" w:sz="0" w:space="0" w:color="auto"/>
        <w:right w:val="none" w:sz="0" w:space="0" w:color="auto"/>
      </w:divBdr>
    </w:div>
    <w:div w:id="753208927">
      <w:marLeft w:val="0"/>
      <w:marRight w:val="0"/>
      <w:marTop w:val="0"/>
      <w:marBottom w:val="0"/>
      <w:divBdr>
        <w:top w:val="none" w:sz="0" w:space="0" w:color="auto"/>
        <w:left w:val="none" w:sz="0" w:space="0" w:color="auto"/>
        <w:bottom w:val="none" w:sz="0" w:space="0" w:color="auto"/>
        <w:right w:val="none" w:sz="0" w:space="0" w:color="auto"/>
      </w:divBdr>
    </w:div>
    <w:div w:id="753357172">
      <w:marLeft w:val="0"/>
      <w:marRight w:val="0"/>
      <w:marTop w:val="100"/>
      <w:marBottom w:val="100"/>
      <w:divBdr>
        <w:top w:val="none" w:sz="0" w:space="0" w:color="auto"/>
        <w:left w:val="none" w:sz="0" w:space="0" w:color="auto"/>
        <w:bottom w:val="none" w:sz="0" w:space="0" w:color="auto"/>
        <w:right w:val="none" w:sz="0" w:space="0" w:color="auto"/>
      </w:divBdr>
      <w:divsChild>
        <w:div w:id="923799615">
          <w:marLeft w:val="0"/>
          <w:marRight w:val="0"/>
          <w:marTop w:val="0"/>
          <w:marBottom w:val="0"/>
          <w:divBdr>
            <w:top w:val="none" w:sz="0" w:space="0" w:color="auto"/>
            <w:left w:val="none" w:sz="0" w:space="0" w:color="auto"/>
            <w:bottom w:val="none" w:sz="0" w:space="0" w:color="auto"/>
            <w:right w:val="none" w:sz="0" w:space="0" w:color="auto"/>
          </w:divBdr>
        </w:div>
        <w:div w:id="1141922061">
          <w:marLeft w:val="0"/>
          <w:marRight w:val="0"/>
          <w:marTop w:val="0"/>
          <w:marBottom w:val="0"/>
          <w:divBdr>
            <w:top w:val="none" w:sz="0" w:space="0" w:color="auto"/>
            <w:left w:val="none" w:sz="0" w:space="0" w:color="auto"/>
            <w:bottom w:val="none" w:sz="0" w:space="0" w:color="auto"/>
            <w:right w:val="none" w:sz="0" w:space="0" w:color="auto"/>
          </w:divBdr>
        </w:div>
      </w:divsChild>
    </w:div>
    <w:div w:id="754322461">
      <w:marLeft w:val="0"/>
      <w:marRight w:val="0"/>
      <w:marTop w:val="0"/>
      <w:marBottom w:val="0"/>
      <w:divBdr>
        <w:top w:val="none" w:sz="0" w:space="0" w:color="auto"/>
        <w:left w:val="none" w:sz="0" w:space="0" w:color="auto"/>
        <w:bottom w:val="none" w:sz="0" w:space="0" w:color="auto"/>
        <w:right w:val="none" w:sz="0" w:space="0" w:color="auto"/>
      </w:divBdr>
    </w:div>
    <w:div w:id="754980715">
      <w:marLeft w:val="0"/>
      <w:marRight w:val="0"/>
      <w:marTop w:val="100"/>
      <w:marBottom w:val="100"/>
      <w:divBdr>
        <w:top w:val="none" w:sz="0" w:space="0" w:color="auto"/>
        <w:left w:val="none" w:sz="0" w:space="0" w:color="auto"/>
        <w:bottom w:val="none" w:sz="0" w:space="0" w:color="auto"/>
        <w:right w:val="none" w:sz="0" w:space="0" w:color="auto"/>
      </w:divBdr>
      <w:divsChild>
        <w:div w:id="86192624">
          <w:marLeft w:val="0"/>
          <w:marRight w:val="0"/>
          <w:marTop w:val="0"/>
          <w:marBottom w:val="0"/>
          <w:divBdr>
            <w:top w:val="none" w:sz="0" w:space="0" w:color="auto"/>
            <w:left w:val="none" w:sz="0" w:space="0" w:color="auto"/>
            <w:bottom w:val="none" w:sz="0" w:space="0" w:color="auto"/>
            <w:right w:val="none" w:sz="0" w:space="0" w:color="auto"/>
          </w:divBdr>
        </w:div>
        <w:div w:id="1526092003">
          <w:marLeft w:val="0"/>
          <w:marRight w:val="0"/>
          <w:marTop w:val="0"/>
          <w:marBottom w:val="0"/>
          <w:divBdr>
            <w:top w:val="none" w:sz="0" w:space="0" w:color="auto"/>
            <w:left w:val="none" w:sz="0" w:space="0" w:color="auto"/>
            <w:bottom w:val="none" w:sz="0" w:space="0" w:color="auto"/>
            <w:right w:val="none" w:sz="0" w:space="0" w:color="auto"/>
          </w:divBdr>
        </w:div>
      </w:divsChild>
    </w:div>
    <w:div w:id="757025179">
      <w:marLeft w:val="0"/>
      <w:marRight w:val="0"/>
      <w:marTop w:val="0"/>
      <w:marBottom w:val="0"/>
      <w:divBdr>
        <w:top w:val="none" w:sz="0" w:space="0" w:color="auto"/>
        <w:left w:val="none" w:sz="0" w:space="0" w:color="auto"/>
        <w:bottom w:val="none" w:sz="0" w:space="0" w:color="auto"/>
        <w:right w:val="none" w:sz="0" w:space="0" w:color="auto"/>
      </w:divBdr>
    </w:div>
    <w:div w:id="758135480">
      <w:marLeft w:val="0"/>
      <w:marRight w:val="0"/>
      <w:marTop w:val="0"/>
      <w:marBottom w:val="0"/>
      <w:divBdr>
        <w:top w:val="none" w:sz="0" w:space="0" w:color="auto"/>
        <w:left w:val="none" w:sz="0" w:space="0" w:color="auto"/>
        <w:bottom w:val="none" w:sz="0" w:space="0" w:color="auto"/>
        <w:right w:val="none" w:sz="0" w:space="0" w:color="auto"/>
      </w:divBdr>
    </w:div>
    <w:div w:id="758215071">
      <w:marLeft w:val="0"/>
      <w:marRight w:val="0"/>
      <w:marTop w:val="0"/>
      <w:marBottom w:val="0"/>
      <w:divBdr>
        <w:top w:val="none" w:sz="0" w:space="0" w:color="auto"/>
        <w:left w:val="none" w:sz="0" w:space="0" w:color="auto"/>
        <w:bottom w:val="none" w:sz="0" w:space="0" w:color="auto"/>
        <w:right w:val="none" w:sz="0" w:space="0" w:color="auto"/>
      </w:divBdr>
    </w:div>
    <w:div w:id="758795762">
      <w:marLeft w:val="0"/>
      <w:marRight w:val="0"/>
      <w:marTop w:val="0"/>
      <w:marBottom w:val="0"/>
      <w:divBdr>
        <w:top w:val="none" w:sz="0" w:space="0" w:color="auto"/>
        <w:left w:val="none" w:sz="0" w:space="0" w:color="auto"/>
        <w:bottom w:val="none" w:sz="0" w:space="0" w:color="auto"/>
        <w:right w:val="none" w:sz="0" w:space="0" w:color="auto"/>
      </w:divBdr>
    </w:div>
    <w:div w:id="759179746">
      <w:marLeft w:val="0"/>
      <w:marRight w:val="0"/>
      <w:marTop w:val="0"/>
      <w:marBottom w:val="0"/>
      <w:divBdr>
        <w:top w:val="none" w:sz="0" w:space="0" w:color="auto"/>
        <w:left w:val="none" w:sz="0" w:space="0" w:color="auto"/>
        <w:bottom w:val="none" w:sz="0" w:space="0" w:color="auto"/>
        <w:right w:val="none" w:sz="0" w:space="0" w:color="auto"/>
      </w:divBdr>
    </w:div>
    <w:div w:id="759370629">
      <w:marLeft w:val="0"/>
      <w:marRight w:val="0"/>
      <w:marTop w:val="0"/>
      <w:marBottom w:val="0"/>
      <w:divBdr>
        <w:top w:val="none" w:sz="0" w:space="0" w:color="auto"/>
        <w:left w:val="none" w:sz="0" w:space="0" w:color="auto"/>
        <w:bottom w:val="none" w:sz="0" w:space="0" w:color="auto"/>
        <w:right w:val="none" w:sz="0" w:space="0" w:color="auto"/>
      </w:divBdr>
    </w:div>
    <w:div w:id="761414844">
      <w:marLeft w:val="0"/>
      <w:marRight w:val="0"/>
      <w:marTop w:val="0"/>
      <w:marBottom w:val="0"/>
      <w:divBdr>
        <w:top w:val="none" w:sz="0" w:space="0" w:color="auto"/>
        <w:left w:val="none" w:sz="0" w:space="0" w:color="auto"/>
        <w:bottom w:val="none" w:sz="0" w:space="0" w:color="auto"/>
        <w:right w:val="none" w:sz="0" w:space="0" w:color="auto"/>
      </w:divBdr>
    </w:div>
    <w:div w:id="761485551">
      <w:marLeft w:val="0"/>
      <w:marRight w:val="0"/>
      <w:marTop w:val="0"/>
      <w:marBottom w:val="0"/>
      <w:divBdr>
        <w:top w:val="none" w:sz="0" w:space="0" w:color="auto"/>
        <w:left w:val="none" w:sz="0" w:space="0" w:color="auto"/>
        <w:bottom w:val="none" w:sz="0" w:space="0" w:color="auto"/>
        <w:right w:val="none" w:sz="0" w:space="0" w:color="auto"/>
      </w:divBdr>
    </w:div>
    <w:div w:id="761798485">
      <w:marLeft w:val="0"/>
      <w:marRight w:val="0"/>
      <w:marTop w:val="0"/>
      <w:marBottom w:val="0"/>
      <w:divBdr>
        <w:top w:val="none" w:sz="0" w:space="0" w:color="auto"/>
        <w:left w:val="none" w:sz="0" w:space="0" w:color="auto"/>
        <w:bottom w:val="none" w:sz="0" w:space="0" w:color="auto"/>
        <w:right w:val="none" w:sz="0" w:space="0" w:color="auto"/>
      </w:divBdr>
    </w:div>
    <w:div w:id="765156974">
      <w:marLeft w:val="0"/>
      <w:marRight w:val="0"/>
      <w:marTop w:val="0"/>
      <w:marBottom w:val="0"/>
      <w:divBdr>
        <w:top w:val="none" w:sz="0" w:space="0" w:color="auto"/>
        <w:left w:val="none" w:sz="0" w:space="0" w:color="auto"/>
        <w:bottom w:val="none" w:sz="0" w:space="0" w:color="auto"/>
        <w:right w:val="none" w:sz="0" w:space="0" w:color="auto"/>
      </w:divBdr>
    </w:div>
    <w:div w:id="765731930">
      <w:marLeft w:val="0"/>
      <w:marRight w:val="0"/>
      <w:marTop w:val="0"/>
      <w:marBottom w:val="0"/>
      <w:divBdr>
        <w:top w:val="none" w:sz="0" w:space="0" w:color="auto"/>
        <w:left w:val="none" w:sz="0" w:space="0" w:color="auto"/>
        <w:bottom w:val="none" w:sz="0" w:space="0" w:color="auto"/>
        <w:right w:val="none" w:sz="0" w:space="0" w:color="auto"/>
      </w:divBdr>
    </w:div>
    <w:div w:id="765804708">
      <w:marLeft w:val="0"/>
      <w:marRight w:val="0"/>
      <w:marTop w:val="0"/>
      <w:marBottom w:val="0"/>
      <w:divBdr>
        <w:top w:val="none" w:sz="0" w:space="0" w:color="auto"/>
        <w:left w:val="none" w:sz="0" w:space="0" w:color="auto"/>
        <w:bottom w:val="none" w:sz="0" w:space="0" w:color="auto"/>
        <w:right w:val="none" w:sz="0" w:space="0" w:color="auto"/>
      </w:divBdr>
    </w:div>
    <w:div w:id="766731732">
      <w:marLeft w:val="0"/>
      <w:marRight w:val="0"/>
      <w:marTop w:val="0"/>
      <w:marBottom w:val="0"/>
      <w:divBdr>
        <w:top w:val="none" w:sz="0" w:space="0" w:color="auto"/>
        <w:left w:val="none" w:sz="0" w:space="0" w:color="auto"/>
        <w:bottom w:val="none" w:sz="0" w:space="0" w:color="auto"/>
        <w:right w:val="none" w:sz="0" w:space="0" w:color="auto"/>
      </w:divBdr>
    </w:div>
    <w:div w:id="766772486">
      <w:marLeft w:val="0"/>
      <w:marRight w:val="0"/>
      <w:marTop w:val="0"/>
      <w:marBottom w:val="0"/>
      <w:divBdr>
        <w:top w:val="none" w:sz="0" w:space="0" w:color="auto"/>
        <w:left w:val="none" w:sz="0" w:space="0" w:color="auto"/>
        <w:bottom w:val="none" w:sz="0" w:space="0" w:color="auto"/>
        <w:right w:val="none" w:sz="0" w:space="0" w:color="auto"/>
      </w:divBdr>
    </w:div>
    <w:div w:id="767236875">
      <w:marLeft w:val="0"/>
      <w:marRight w:val="0"/>
      <w:marTop w:val="0"/>
      <w:marBottom w:val="0"/>
      <w:divBdr>
        <w:top w:val="none" w:sz="0" w:space="0" w:color="auto"/>
        <w:left w:val="none" w:sz="0" w:space="0" w:color="auto"/>
        <w:bottom w:val="none" w:sz="0" w:space="0" w:color="auto"/>
        <w:right w:val="none" w:sz="0" w:space="0" w:color="auto"/>
      </w:divBdr>
    </w:div>
    <w:div w:id="767240851">
      <w:marLeft w:val="0"/>
      <w:marRight w:val="0"/>
      <w:marTop w:val="0"/>
      <w:marBottom w:val="0"/>
      <w:divBdr>
        <w:top w:val="none" w:sz="0" w:space="0" w:color="auto"/>
        <w:left w:val="none" w:sz="0" w:space="0" w:color="auto"/>
        <w:bottom w:val="none" w:sz="0" w:space="0" w:color="auto"/>
        <w:right w:val="none" w:sz="0" w:space="0" w:color="auto"/>
      </w:divBdr>
    </w:div>
    <w:div w:id="767583942">
      <w:marLeft w:val="0"/>
      <w:marRight w:val="0"/>
      <w:marTop w:val="0"/>
      <w:marBottom w:val="0"/>
      <w:divBdr>
        <w:top w:val="none" w:sz="0" w:space="0" w:color="auto"/>
        <w:left w:val="none" w:sz="0" w:space="0" w:color="auto"/>
        <w:bottom w:val="none" w:sz="0" w:space="0" w:color="auto"/>
        <w:right w:val="none" w:sz="0" w:space="0" w:color="auto"/>
      </w:divBdr>
    </w:div>
    <w:div w:id="768740714">
      <w:marLeft w:val="0"/>
      <w:marRight w:val="0"/>
      <w:marTop w:val="0"/>
      <w:marBottom w:val="0"/>
      <w:divBdr>
        <w:top w:val="none" w:sz="0" w:space="0" w:color="auto"/>
        <w:left w:val="none" w:sz="0" w:space="0" w:color="auto"/>
        <w:bottom w:val="none" w:sz="0" w:space="0" w:color="auto"/>
        <w:right w:val="none" w:sz="0" w:space="0" w:color="auto"/>
      </w:divBdr>
    </w:div>
    <w:div w:id="768934045">
      <w:marLeft w:val="0"/>
      <w:marRight w:val="0"/>
      <w:marTop w:val="0"/>
      <w:marBottom w:val="0"/>
      <w:divBdr>
        <w:top w:val="none" w:sz="0" w:space="0" w:color="auto"/>
        <w:left w:val="none" w:sz="0" w:space="0" w:color="auto"/>
        <w:bottom w:val="none" w:sz="0" w:space="0" w:color="auto"/>
        <w:right w:val="none" w:sz="0" w:space="0" w:color="auto"/>
      </w:divBdr>
    </w:div>
    <w:div w:id="769161412">
      <w:marLeft w:val="0"/>
      <w:marRight w:val="0"/>
      <w:marTop w:val="0"/>
      <w:marBottom w:val="0"/>
      <w:divBdr>
        <w:top w:val="none" w:sz="0" w:space="0" w:color="auto"/>
        <w:left w:val="none" w:sz="0" w:space="0" w:color="auto"/>
        <w:bottom w:val="none" w:sz="0" w:space="0" w:color="auto"/>
        <w:right w:val="none" w:sz="0" w:space="0" w:color="auto"/>
      </w:divBdr>
    </w:div>
    <w:div w:id="770013296">
      <w:marLeft w:val="0"/>
      <w:marRight w:val="0"/>
      <w:marTop w:val="0"/>
      <w:marBottom w:val="0"/>
      <w:divBdr>
        <w:top w:val="none" w:sz="0" w:space="0" w:color="auto"/>
        <w:left w:val="none" w:sz="0" w:space="0" w:color="auto"/>
        <w:bottom w:val="none" w:sz="0" w:space="0" w:color="auto"/>
        <w:right w:val="none" w:sz="0" w:space="0" w:color="auto"/>
      </w:divBdr>
    </w:div>
    <w:div w:id="770395966">
      <w:marLeft w:val="0"/>
      <w:marRight w:val="0"/>
      <w:marTop w:val="0"/>
      <w:marBottom w:val="0"/>
      <w:divBdr>
        <w:top w:val="none" w:sz="0" w:space="0" w:color="auto"/>
        <w:left w:val="none" w:sz="0" w:space="0" w:color="auto"/>
        <w:bottom w:val="none" w:sz="0" w:space="0" w:color="auto"/>
        <w:right w:val="none" w:sz="0" w:space="0" w:color="auto"/>
      </w:divBdr>
    </w:div>
    <w:div w:id="771821572">
      <w:marLeft w:val="0"/>
      <w:marRight w:val="0"/>
      <w:marTop w:val="0"/>
      <w:marBottom w:val="0"/>
      <w:divBdr>
        <w:top w:val="none" w:sz="0" w:space="0" w:color="auto"/>
        <w:left w:val="none" w:sz="0" w:space="0" w:color="auto"/>
        <w:bottom w:val="none" w:sz="0" w:space="0" w:color="auto"/>
        <w:right w:val="none" w:sz="0" w:space="0" w:color="auto"/>
      </w:divBdr>
    </w:div>
    <w:div w:id="773209306">
      <w:marLeft w:val="0"/>
      <w:marRight w:val="0"/>
      <w:marTop w:val="0"/>
      <w:marBottom w:val="0"/>
      <w:divBdr>
        <w:top w:val="none" w:sz="0" w:space="0" w:color="auto"/>
        <w:left w:val="none" w:sz="0" w:space="0" w:color="auto"/>
        <w:bottom w:val="none" w:sz="0" w:space="0" w:color="auto"/>
        <w:right w:val="none" w:sz="0" w:space="0" w:color="auto"/>
      </w:divBdr>
      <w:divsChild>
        <w:div w:id="480583506">
          <w:marLeft w:val="0"/>
          <w:marRight w:val="0"/>
          <w:marTop w:val="0"/>
          <w:marBottom w:val="0"/>
          <w:divBdr>
            <w:top w:val="none" w:sz="0" w:space="0" w:color="auto"/>
            <w:left w:val="none" w:sz="0" w:space="0" w:color="auto"/>
            <w:bottom w:val="none" w:sz="0" w:space="0" w:color="auto"/>
            <w:right w:val="none" w:sz="0" w:space="0" w:color="auto"/>
          </w:divBdr>
        </w:div>
      </w:divsChild>
    </w:div>
    <w:div w:id="774329194">
      <w:marLeft w:val="0"/>
      <w:marRight w:val="0"/>
      <w:marTop w:val="0"/>
      <w:marBottom w:val="0"/>
      <w:divBdr>
        <w:top w:val="none" w:sz="0" w:space="0" w:color="auto"/>
        <w:left w:val="none" w:sz="0" w:space="0" w:color="auto"/>
        <w:bottom w:val="none" w:sz="0" w:space="0" w:color="auto"/>
        <w:right w:val="none" w:sz="0" w:space="0" w:color="auto"/>
      </w:divBdr>
    </w:div>
    <w:div w:id="775295319">
      <w:marLeft w:val="0"/>
      <w:marRight w:val="0"/>
      <w:marTop w:val="0"/>
      <w:marBottom w:val="0"/>
      <w:divBdr>
        <w:top w:val="none" w:sz="0" w:space="0" w:color="auto"/>
        <w:left w:val="none" w:sz="0" w:space="0" w:color="auto"/>
        <w:bottom w:val="none" w:sz="0" w:space="0" w:color="auto"/>
        <w:right w:val="none" w:sz="0" w:space="0" w:color="auto"/>
      </w:divBdr>
    </w:div>
    <w:div w:id="775684703">
      <w:marLeft w:val="0"/>
      <w:marRight w:val="0"/>
      <w:marTop w:val="0"/>
      <w:marBottom w:val="0"/>
      <w:divBdr>
        <w:top w:val="none" w:sz="0" w:space="0" w:color="auto"/>
        <w:left w:val="none" w:sz="0" w:space="0" w:color="auto"/>
        <w:bottom w:val="none" w:sz="0" w:space="0" w:color="auto"/>
        <w:right w:val="none" w:sz="0" w:space="0" w:color="auto"/>
      </w:divBdr>
      <w:divsChild>
        <w:div w:id="825825246">
          <w:marLeft w:val="0"/>
          <w:marRight w:val="0"/>
          <w:marTop w:val="0"/>
          <w:marBottom w:val="0"/>
          <w:divBdr>
            <w:top w:val="none" w:sz="0" w:space="0" w:color="auto"/>
            <w:left w:val="none" w:sz="0" w:space="0" w:color="auto"/>
            <w:bottom w:val="none" w:sz="0" w:space="0" w:color="auto"/>
            <w:right w:val="none" w:sz="0" w:space="0" w:color="auto"/>
          </w:divBdr>
        </w:div>
      </w:divsChild>
    </w:div>
    <w:div w:id="777260641">
      <w:marLeft w:val="0"/>
      <w:marRight w:val="0"/>
      <w:marTop w:val="0"/>
      <w:marBottom w:val="0"/>
      <w:divBdr>
        <w:top w:val="none" w:sz="0" w:space="0" w:color="auto"/>
        <w:left w:val="none" w:sz="0" w:space="0" w:color="auto"/>
        <w:bottom w:val="none" w:sz="0" w:space="0" w:color="auto"/>
        <w:right w:val="none" w:sz="0" w:space="0" w:color="auto"/>
      </w:divBdr>
    </w:div>
    <w:div w:id="778716707">
      <w:marLeft w:val="0"/>
      <w:marRight w:val="0"/>
      <w:marTop w:val="0"/>
      <w:marBottom w:val="0"/>
      <w:divBdr>
        <w:top w:val="none" w:sz="0" w:space="0" w:color="auto"/>
        <w:left w:val="none" w:sz="0" w:space="0" w:color="auto"/>
        <w:bottom w:val="none" w:sz="0" w:space="0" w:color="auto"/>
        <w:right w:val="none" w:sz="0" w:space="0" w:color="auto"/>
      </w:divBdr>
    </w:div>
    <w:div w:id="778990855">
      <w:marLeft w:val="0"/>
      <w:marRight w:val="0"/>
      <w:marTop w:val="0"/>
      <w:marBottom w:val="0"/>
      <w:divBdr>
        <w:top w:val="none" w:sz="0" w:space="0" w:color="auto"/>
        <w:left w:val="none" w:sz="0" w:space="0" w:color="auto"/>
        <w:bottom w:val="none" w:sz="0" w:space="0" w:color="auto"/>
        <w:right w:val="none" w:sz="0" w:space="0" w:color="auto"/>
      </w:divBdr>
    </w:div>
    <w:div w:id="779951722">
      <w:marLeft w:val="0"/>
      <w:marRight w:val="0"/>
      <w:marTop w:val="0"/>
      <w:marBottom w:val="0"/>
      <w:divBdr>
        <w:top w:val="none" w:sz="0" w:space="0" w:color="auto"/>
        <w:left w:val="none" w:sz="0" w:space="0" w:color="auto"/>
        <w:bottom w:val="none" w:sz="0" w:space="0" w:color="auto"/>
        <w:right w:val="none" w:sz="0" w:space="0" w:color="auto"/>
      </w:divBdr>
    </w:div>
    <w:div w:id="780955899">
      <w:marLeft w:val="0"/>
      <w:marRight w:val="0"/>
      <w:marTop w:val="0"/>
      <w:marBottom w:val="0"/>
      <w:divBdr>
        <w:top w:val="none" w:sz="0" w:space="0" w:color="auto"/>
        <w:left w:val="none" w:sz="0" w:space="0" w:color="auto"/>
        <w:bottom w:val="none" w:sz="0" w:space="0" w:color="auto"/>
        <w:right w:val="none" w:sz="0" w:space="0" w:color="auto"/>
      </w:divBdr>
    </w:div>
    <w:div w:id="781459870">
      <w:marLeft w:val="0"/>
      <w:marRight w:val="0"/>
      <w:marTop w:val="100"/>
      <w:marBottom w:val="100"/>
      <w:divBdr>
        <w:top w:val="none" w:sz="0" w:space="0" w:color="auto"/>
        <w:left w:val="none" w:sz="0" w:space="0" w:color="auto"/>
        <w:bottom w:val="none" w:sz="0" w:space="0" w:color="auto"/>
        <w:right w:val="none" w:sz="0" w:space="0" w:color="auto"/>
      </w:divBdr>
      <w:divsChild>
        <w:div w:id="1595086639">
          <w:marLeft w:val="0"/>
          <w:marRight w:val="0"/>
          <w:marTop w:val="0"/>
          <w:marBottom w:val="0"/>
          <w:divBdr>
            <w:top w:val="none" w:sz="0" w:space="0" w:color="auto"/>
            <w:left w:val="none" w:sz="0" w:space="0" w:color="auto"/>
            <w:bottom w:val="none" w:sz="0" w:space="0" w:color="auto"/>
            <w:right w:val="none" w:sz="0" w:space="0" w:color="auto"/>
          </w:divBdr>
        </w:div>
      </w:divsChild>
    </w:div>
    <w:div w:id="783501650">
      <w:marLeft w:val="0"/>
      <w:marRight w:val="0"/>
      <w:marTop w:val="100"/>
      <w:marBottom w:val="180"/>
      <w:divBdr>
        <w:top w:val="none" w:sz="0" w:space="0" w:color="auto"/>
        <w:left w:val="none" w:sz="0" w:space="0" w:color="auto"/>
        <w:bottom w:val="none" w:sz="0" w:space="0" w:color="auto"/>
        <w:right w:val="none" w:sz="0" w:space="0" w:color="auto"/>
      </w:divBdr>
      <w:divsChild>
        <w:div w:id="1590189546">
          <w:marLeft w:val="0"/>
          <w:marRight w:val="0"/>
          <w:marTop w:val="0"/>
          <w:marBottom w:val="0"/>
          <w:divBdr>
            <w:top w:val="none" w:sz="0" w:space="0" w:color="auto"/>
            <w:left w:val="none" w:sz="0" w:space="0" w:color="auto"/>
            <w:bottom w:val="none" w:sz="0" w:space="0" w:color="auto"/>
            <w:right w:val="none" w:sz="0" w:space="0" w:color="auto"/>
          </w:divBdr>
        </w:div>
        <w:div w:id="2143380463">
          <w:marLeft w:val="0"/>
          <w:marRight w:val="0"/>
          <w:marTop w:val="0"/>
          <w:marBottom w:val="0"/>
          <w:divBdr>
            <w:top w:val="none" w:sz="0" w:space="0" w:color="auto"/>
            <w:left w:val="none" w:sz="0" w:space="0" w:color="auto"/>
            <w:bottom w:val="none" w:sz="0" w:space="0" w:color="auto"/>
            <w:right w:val="none" w:sz="0" w:space="0" w:color="auto"/>
          </w:divBdr>
        </w:div>
        <w:div w:id="1651443666">
          <w:marLeft w:val="0"/>
          <w:marRight w:val="0"/>
          <w:marTop w:val="0"/>
          <w:marBottom w:val="0"/>
          <w:divBdr>
            <w:top w:val="none" w:sz="0" w:space="0" w:color="auto"/>
            <w:left w:val="none" w:sz="0" w:space="0" w:color="auto"/>
            <w:bottom w:val="none" w:sz="0" w:space="0" w:color="auto"/>
            <w:right w:val="none" w:sz="0" w:space="0" w:color="auto"/>
          </w:divBdr>
        </w:div>
        <w:div w:id="490145839">
          <w:marLeft w:val="0"/>
          <w:marRight w:val="0"/>
          <w:marTop w:val="0"/>
          <w:marBottom w:val="0"/>
          <w:divBdr>
            <w:top w:val="none" w:sz="0" w:space="0" w:color="auto"/>
            <w:left w:val="none" w:sz="0" w:space="0" w:color="auto"/>
            <w:bottom w:val="none" w:sz="0" w:space="0" w:color="auto"/>
            <w:right w:val="none" w:sz="0" w:space="0" w:color="auto"/>
          </w:divBdr>
        </w:div>
        <w:div w:id="1890872163">
          <w:marLeft w:val="0"/>
          <w:marRight w:val="0"/>
          <w:marTop w:val="0"/>
          <w:marBottom w:val="0"/>
          <w:divBdr>
            <w:top w:val="none" w:sz="0" w:space="0" w:color="auto"/>
            <w:left w:val="none" w:sz="0" w:space="0" w:color="auto"/>
            <w:bottom w:val="none" w:sz="0" w:space="0" w:color="auto"/>
            <w:right w:val="none" w:sz="0" w:space="0" w:color="auto"/>
          </w:divBdr>
        </w:div>
        <w:div w:id="1379354648">
          <w:marLeft w:val="0"/>
          <w:marRight w:val="0"/>
          <w:marTop w:val="0"/>
          <w:marBottom w:val="0"/>
          <w:divBdr>
            <w:top w:val="none" w:sz="0" w:space="0" w:color="auto"/>
            <w:left w:val="none" w:sz="0" w:space="0" w:color="auto"/>
            <w:bottom w:val="none" w:sz="0" w:space="0" w:color="auto"/>
            <w:right w:val="none" w:sz="0" w:space="0" w:color="auto"/>
          </w:divBdr>
        </w:div>
        <w:div w:id="1353218413">
          <w:marLeft w:val="0"/>
          <w:marRight w:val="0"/>
          <w:marTop w:val="0"/>
          <w:marBottom w:val="0"/>
          <w:divBdr>
            <w:top w:val="none" w:sz="0" w:space="0" w:color="auto"/>
            <w:left w:val="none" w:sz="0" w:space="0" w:color="auto"/>
            <w:bottom w:val="none" w:sz="0" w:space="0" w:color="auto"/>
            <w:right w:val="none" w:sz="0" w:space="0" w:color="auto"/>
          </w:divBdr>
        </w:div>
        <w:div w:id="1830436154">
          <w:marLeft w:val="0"/>
          <w:marRight w:val="0"/>
          <w:marTop w:val="0"/>
          <w:marBottom w:val="0"/>
          <w:divBdr>
            <w:top w:val="none" w:sz="0" w:space="0" w:color="auto"/>
            <w:left w:val="none" w:sz="0" w:space="0" w:color="auto"/>
            <w:bottom w:val="none" w:sz="0" w:space="0" w:color="auto"/>
            <w:right w:val="none" w:sz="0" w:space="0" w:color="auto"/>
          </w:divBdr>
        </w:div>
        <w:div w:id="2081555611">
          <w:marLeft w:val="0"/>
          <w:marRight w:val="0"/>
          <w:marTop w:val="0"/>
          <w:marBottom w:val="0"/>
          <w:divBdr>
            <w:top w:val="none" w:sz="0" w:space="0" w:color="auto"/>
            <w:left w:val="none" w:sz="0" w:space="0" w:color="auto"/>
            <w:bottom w:val="none" w:sz="0" w:space="0" w:color="auto"/>
            <w:right w:val="none" w:sz="0" w:space="0" w:color="auto"/>
          </w:divBdr>
        </w:div>
        <w:div w:id="672074697">
          <w:marLeft w:val="0"/>
          <w:marRight w:val="0"/>
          <w:marTop w:val="0"/>
          <w:marBottom w:val="0"/>
          <w:divBdr>
            <w:top w:val="none" w:sz="0" w:space="0" w:color="auto"/>
            <w:left w:val="none" w:sz="0" w:space="0" w:color="auto"/>
            <w:bottom w:val="none" w:sz="0" w:space="0" w:color="auto"/>
            <w:right w:val="none" w:sz="0" w:space="0" w:color="auto"/>
          </w:divBdr>
        </w:div>
        <w:div w:id="549150522">
          <w:marLeft w:val="0"/>
          <w:marRight w:val="0"/>
          <w:marTop w:val="0"/>
          <w:marBottom w:val="0"/>
          <w:divBdr>
            <w:top w:val="none" w:sz="0" w:space="0" w:color="auto"/>
            <w:left w:val="none" w:sz="0" w:space="0" w:color="auto"/>
            <w:bottom w:val="none" w:sz="0" w:space="0" w:color="auto"/>
            <w:right w:val="none" w:sz="0" w:space="0" w:color="auto"/>
          </w:divBdr>
        </w:div>
      </w:divsChild>
    </w:div>
    <w:div w:id="783619923">
      <w:marLeft w:val="0"/>
      <w:marRight w:val="0"/>
      <w:marTop w:val="0"/>
      <w:marBottom w:val="0"/>
      <w:divBdr>
        <w:top w:val="none" w:sz="0" w:space="0" w:color="auto"/>
        <w:left w:val="none" w:sz="0" w:space="0" w:color="auto"/>
        <w:bottom w:val="none" w:sz="0" w:space="0" w:color="auto"/>
        <w:right w:val="none" w:sz="0" w:space="0" w:color="auto"/>
      </w:divBdr>
    </w:div>
    <w:div w:id="783689855">
      <w:marLeft w:val="0"/>
      <w:marRight w:val="0"/>
      <w:marTop w:val="0"/>
      <w:marBottom w:val="0"/>
      <w:divBdr>
        <w:top w:val="none" w:sz="0" w:space="0" w:color="auto"/>
        <w:left w:val="none" w:sz="0" w:space="0" w:color="auto"/>
        <w:bottom w:val="none" w:sz="0" w:space="0" w:color="auto"/>
        <w:right w:val="none" w:sz="0" w:space="0" w:color="auto"/>
      </w:divBdr>
      <w:divsChild>
        <w:div w:id="390928577">
          <w:marLeft w:val="0"/>
          <w:marRight w:val="0"/>
          <w:marTop w:val="0"/>
          <w:marBottom w:val="0"/>
          <w:divBdr>
            <w:top w:val="none" w:sz="0" w:space="0" w:color="auto"/>
            <w:left w:val="none" w:sz="0" w:space="0" w:color="auto"/>
            <w:bottom w:val="none" w:sz="0" w:space="0" w:color="auto"/>
            <w:right w:val="none" w:sz="0" w:space="0" w:color="auto"/>
          </w:divBdr>
        </w:div>
      </w:divsChild>
    </w:div>
    <w:div w:id="783815947">
      <w:marLeft w:val="0"/>
      <w:marRight w:val="0"/>
      <w:marTop w:val="0"/>
      <w:marBottom w:val="0"/>
      <w:divBdr>
        <w:top w:val="none" w:sz="0" w:space="0" w:color="auto"/>
        <w:left w:val="none" w:sz="0" w:space="0" w:color="auto"/>
        <w:bottom w:val="none" w:sz="0" w:space="0" w:color="auto"/>
        <w:right w:val="none" w:sz="0" w:space="0" w:color="auto"/>
      </w:divBdr>
    </w:div>
    <w:div w:id="785004626">
      <w:marLeft w:val="0"/>
      <w:marRight w:val="0"/>
      <w:marTop w:val="0"/>
      <w:marBottom w:val="0"/>
      <w:divBdr>
        <w:top w:val="none" w:sz="0" w:space="0" w:color="auto"/>
        <w:left w:val="none" w:sz="0" w:space="0" w:color="auto"/>
        <w:bottom w:val="none" w:sz="0" w:space="0" w:color="auto"/>
        <w:right w:val="none" w:sz="0" w:space="0" w:color="auto"/>
      </w:divBdr>
      <w:divsChild>
        <w:div w:id="229577567">
          <w:marLeft w:val="0"/>
          <w:marRight w:val="0"/>
          <w:marTop w:val="0"/>
          <w:marBottom w:val="0"/>
          <w:divBdr>
            <w:top w:val="none" w:sz="0" w:space="0" w:color="auto"/>
            <w:left w:val="none" w:sz="0" w:space="0" w:color="auto"/>
            <w:bottom w:val="none" w:sz="0" w:space="0" w:color="auto"/>
            <w:right w:val="none" w:sz="0" w:space="0" w:color="auto"/>
          </w:divBdr>
        </w:div>
      </w:divsChild>
    </w:div>
    <w:div w:id="785127309">
      <w:marLeft w:val="0"/>
      <w:marRight w:val="0"/>
      <w:marTop w:val="0"/>
      <w:marBottom w:val="0"/>
      <w:divBdr>
        <w:top w:val="none" w:sz="0" w:space="0" w:color="auto"/>
        <w:left w:val="none" w:sz="0" w:space="0" w:color="auto"/>
        <w:bottom w:val="none" w:sz="0" w:space="0" w:color="auto"/>
        <w:right w:val="none" w:sz="0" w:space="0" w:color="auto"/>
      </w:divBdr>
    </w:div>
    <w:div w:id="785198911">
      <w:marLeft w:val="0"/>
      <w:marRight w:val="0"/>
      <w:marTop w:val="0"/>
      <w:marBottom w:val="0"/>
      <w:divBdr>
        <w:top w:val="none" w:sz="0" w:space="0" w:color="auto"/>
        <w:left w:val="none" w:sz="0" w:space="0" w:color="auto"/>
        <w:bottom w:val="none" w:sz="0" w:space="0" w:color="auto"/>
        <w:right w:val="none" w:sz="0" w:space="0" w:color="auto"/>
      </w:divBdr>
    </w:div>
    <w:div w:id="785390523">
      <w:marLeft w:val="0"/>
      <w:marRight w:val="0"/>
      <w:marTop w:val="0"/>
      <w:marBottom w:val="0"/>
      <w:divBdr>
        <w:top w:val="none" w:sz="0" w:space="0" w:color="auto"/>
        <w:left w:val="none" w:sz="0" w:space="0" w:color="auto"/>
        <w:bottom w:val="none" w:sz="0" w:space="0" w:color="auto"/>
        <w:right w:val="none" w:sz="0" w:space="0" w:color="auto"/>
      </w:divBdr>
    </w:div>
    <w:div w:id="786237823">
      <w:marLeft w:val="0"/>
      <w:marRight w:val="0"/>
      <w:marTop w:val="0"/>
      <w:marBottom w:val="0"/>
      <w:divBdr>
        <w:top w:val="none" w:sz="0" w:space="0" w:color="auto"/>
        <w:left w:val="none" w:sz="0" w:space="0" w:color="auto"/>
        <w:bottom w:val="none" w:sz="0" w:space="0" w:color="auto"/>
        <w:right w:val="none" w:sz="0" w:space="0" w:color="auto"/>
      </w:divBdr>
    </w:div>
    <w:div w:id="788091916">
      <w:marLeft w:val="0"/>
      <w:marRight w:val="0"/>
      <w:marTop w:val="0"/>
      <w:marBottom w:val="0"/>
      <w:divBdr>
        <w:top w:val="none" w:sz="0" w:space="0" w:color="auto"/>
        <w:left w:val="none" w:sz="0" w:space="0" w:color="auto"/>
        <w:bottom w:val="none" w:sz="0" w:space="0" w:color="auto"/>
        <w:right w:val="none" w:sz="0" w:space="0" w:color="auto"/>
      </w:divBdr>
    </w:div>
    <w:div w:id="788233741">
      <w:marLeft w:val="0"/>
      <w:marRight w:val="0"/>
      <w:marTop w:val="0"/>
      <w:marBottom w:val="0"/>
      <w:divBdr>
        <w:top w:val="none" w:sz="0" w:space="0" w:color="auto"/>
        <w:left w:val="none" w:sz="0" w:space="0" w:color="auto"/>
        <w:bottom w:val="none" w:sz="0" w:space="0" w:color="auto"/>
        <w:right w:val="none" w:sz="0" w:space="0" w:color="auto"/>
      </w:divBdr>
    </w:div>
    <w:div w:id="788745680">
      <w:marLeft w:val="0"/>
      <w:marRight w:val="0"/>
      <w:marTop w:val="0"/>
      <w:marBottom w:val="0"/>
      <w:divBdr>
        <w:top w:val="none" w:sz="0" w:space="0" w:color="auto"/>
        <w:left w:val="none" w:sz="0" w:space="0" w:color="auto"/>
        <w:bottom w:val="none" w:sz="0" w:space="0" w:color="auto"/>
        <w:right w:val="none" w:sz="0" w:space="0" w:color="auto"/>
      </w:divBdr>
    </w:div>
    <w:div w:id="790825281">
      <w:marLeft w:val="0"/>
      <w:marRight w:val="0"/>
      <w:marTop w:val="0"/>
      <w:marBottom w:val="0"/>
      <w:divBdr>
        <w:top w:val="none" w:sz="0" w:space="0" w:color="auto"/>
        <w:left w:val="none" w:sz="0" w:space="0" w:color="auto"/>
        <w:bottom w:val="none" w:sz="0" w:space="0" w:color="auto"/>
        <w:right w:val="none" w:sz="0" w:space="0" w:color="auto"/>
      </w:divBdr>
    </w:div>
    <w:div w:id="791434999">
      <w:marLeft w:val="0"/>
      <w:marRight w:val="0"/>
      <w:marTop w:val="0"/>
      <w:marBottom w:val="0"/>
      <w:divBdr>
        <w:top w:val="none" w:sz="0" w:space="0" w:color="auto"/>
        <w:left w:val="none" w:sz="0" w:space="0" w:color="auto"/>
        <w:bottom w:val="none" w:sz="0" w:space="0" w:color="auto"/>
        <w:right w:val="none" w:sz="0" w:space="0" w:color="auto"/>
      </w:divBdr>
    </w:div>
    <w:div w:id="791630179">
      <w:marLeft w:val="0"/>
      <w:marRight w:val="0"/>
      <w:marTop w:val="0"/>
      <w:marBottom w:val="0"/>
      <w:divBdr>
        <w:top w:val="none" w:sz="0" w:space="0" w:color="auto"/>
        <w:left w:val="none" w:sz="0" w:space="0" w:color="auto"/>
        <w:bottom w:val="none" w:sz="0" w:space="0" w:color="auto"/>
        <w:right w:val="none" w:sz="0" w:space="0" w:color="auto"/>
      </w:divBdr>
    </w:div>
    <w:div w:id="791900404">
      <w:marLeft w:val="0"/>
      <w:marRight w:val="0"/>
      <w:marTop w:val="0"/>
      <w:marBottom w:val="0"/>
      <w:divBdr>
        <w:top w:val="none" w:sz="0" w:space="0" w:color="auto"/>
        <w:left w:val="none" w:sz="0" w:space="0" w:color="auto"/>
        <w:bottom w:val="none" w:sz="0" w:space="0" w:color="auto"/>
        <w:right w:val="none" w:sz="0" w:space="0" w:color="auto"/>
      </w:divBdr>
    </w:div>
    <w:div w:id="792021952">
      <w:marLeft w:val="0"/>
      <w:marRight w:val="0"/>
      <w:marTop w:val="0"/>
      <w:marBottom w:val="0"/>
      <w:divBdr>
        <w:top w:val="none" w:sz="0" w:space="0" w:color="auto"/>
        <w:left w:val="none" w:sz="0" w:space="0" w:color="auto"/>
        <w:bottom w:val="none" w:sz="0" w:space="0" w:color="auto"/>
        <w:right w:val="none" w:sz="0" w:space="0" w:color="auto"/>
      </w:divBdr>
    </w:div>
    <w:div w:id="792750741">
      <w:marLeft w:val="0"/>
      <w:marRight w:val="0"/>
      <w:marTop w:val="0"/>
      <w:marBottom w:val="0"/>
      <w:divBdr>
        <w:top w:val="none" w:sz="0" w:space="0" w:color="auto"/>
        <w:left w:val="none" w:sz="0" w:space="0" w:color="auto"/>
        <w:bottom w:val="none" w:sz="0" w:space="0" w:color="auto"/>
        <w:right w:val="none" w:sz="0" w:space="0" w:color="auto"/>
      </w:divBdr>
    </w:div>
    <w:div w:id="794762882">
      <w:marLeft w:val="0"/>
      <w:marRight w:val="0"/>
      <w:marTop w:val="0"/>
      <w:marBottom w:val="0"/>
      <w:divBdr>
        <w:top w:val="none" w:sz="0" w:space="0" w:color="auto"/>
        <w:left w:val="none" w:sz="0" w:space="0" w:color="auto"/>
        <w:bottom w:val="none" w:sz="0" w:space="0" w:color="auto"/>
        <w:right w:val="none" w:sz="0" w:space="0" w:color="auto"/>
      </w:divBdr>
    </w:div>
    <w:div w:id="796029911">
      <w:marLeft w:val="0"/>
      <w:marRight w:val="0"/>
      <w:marTop w:val="0"/>
      <w:marBottom w:val="0"/>
      <w:divBdr>
        <w:top w:val="none" w:sz="0" w:space="0" w:color="auto"/>
        <w:left w:val="none" w:sz="0" w:space="0" w:color="auto"/>
        <w:bottom w:val="none" w:sz="0" w:space="0" w:color="auto"/>
        <w:right w:val="none" w:sz="0" w:space="0" w:color="auto"/>
      </w:divBdr>
    </w:div>
    <w:div w:id="797381006">
      <w:marLeft w:val="0"/>
      <w:marRight w:val="0"/>
      <w:marTop w:val="0"/>
      <w:marBottom w:val="0"/>
      <w:divBdr>
        <w:top w:val="none" w:sz="0" w:space="0" w:color="auto"/>
        <w:left w:val="none" w:sz="0" w:space="0" w:color="auto"/>
        <w:bottom w:val="none" w:sz="0" w:space="0" w:color="auto"/>
        <w:right w:val="none" w:sz="0" w:space="0" w:color="auto"/>
      </w:divBdr>
    </w:div>
    <w:div w:id="797840453">
      <w:marLeft w:val="0"/>
      <w:marRight w:val="0"/>
      <w:marTop w:val="0"/>
      <w:marBottom w:val="0"/>
      <w:divBdr>
        <w:top w:val="none" w:sz="0" w:space="0" w:color="auto"/>
        <w:left w:val="none" w:sz="0" w:space="0" w:color="auto"/>
        <w:bottom w:val="none" w:sz="0" w:space="0" w:color="auto"/>
        <w:right w:val="none" w:sz="0" w:space="0" w:color="auto"/>
      </w:divBdr>
    </w:div>
    <w:div w:id="799153712">
      <w:marLeft w:val="0"/>
      <w:marRight w:val="0"/>
      <w:marTop w:val="0"/>
      <w:marBottom w:val="0"/>
      <w:divBdr>
        <w:top w:val="none" w:sz="0" w:space="0" w:color="auto"/>
        <w:left w:val="none" w:sz="0" w:space="0" w:color="auto"/>
        <w:bottom w:val="none" w:sz="0" w:space="0" w:color="auto"/>
        <w:right w:val="none" w:sz="0" w:space="0" w:color="auto"/>
      </w:divBdr>
    </w:div>
    <w:div w:id="800803541">
      <w:marLeft w:val="0"/>
      <w:marRight w:val="0"/>
      <w:marTop w:val="0"/>
      <w:marBottom w:val="0"/>
      <w:divBdr>
        <w:top w:val="none" w:sz="0" w:space="0" w:color="auto"/>
        <w:left w:val="none" w:sz="0" w:space="0" w:color="auto"/>
        <w:bottom w:val="none" w:sz="0" w:space="0" w:color="auto"/>
        <w:right w:val="none" w:sz="0" w:space="0" w:color="auto"/>
      </w:divBdr>
    </w:div>
    <w:div w:id="801463811">
      <w:marLeft w:val="0"/>
      <w:marRight w:val="0"/>
      <w:marTop w:val="0"/>
      <w:marBottom w:val="0"/>
      <w:divBdr>
        <w:top w:val="none" w:sz="0" w:space="0" w:color="auto"/>
        <w:left w:val="none" w:sz="0" w:space="0" w:color="auto"/>
        <w:bottom w:val="none" w:sz="0" w:space="0" w:color="auto"/>
        <w:right w:val="none" w:sz="0" w:space="0" w:color="auto"/>
      </w:divBdr>
    </w:div>
    <w:div w:id="802887518">
      <w:marLeft w:val="0"/>
      <w:marRight w:val="0"/>
      <w:marTop w:val="0"/>
      <w:marBottom w:val="0"/>
      <w:divBdr>
        <w:top w:val="none" w:sz="0" w:space="0" w:color="auto"/>
        <w:left w:val="none" w:sz="0" w:space="0" w:color="auto"/>
        <w:bottom w:val="none" w:sz="0" w:space="0" w:color="auto"/>
        <w:right w:val="none" w:sz="0" w:space="0" w:color="auto"/>
      </w:divBdr>
    </w:div>
    <w:div w:id="803233956">
      <w:marLeft w:val="0"/>
      <w:marRight w:val="0"/>
      <w:marTop w:val="0"/>
      <w:marBottom w:val="0"/>
      <w:divBdr>
        <w:top w:val="none" w:sz="0" w:space="0" w:color="auto"/>
        <w:left w:val="none" w:sz="0" w:space="0" w:color="auto"/>
        <w:bottom w:val="none" w:sz="0" w:space="0" w:color="auto"/>
        <w:right w:val="none" w:sz="0" w:space="0" w:color="auto"/>
      </w:divBdr>
    </w:div>
    <w:div w:id="803236203">
      <w:marLeft w:val="0"/>
      <w:marRight w:val="0"/>
      <w:marTop w:val="0"/>
      <w:marBottom w:val="0"/>
      <w:divBdr>
        <w:top w:val="none" w:sz="0" w:space="0" w:color="auto"/>
        <w:left w:val="none" w:sz="0" w:space="0" w:color="auto"/>
        <w:bottom w:val="none" w:sz="0" w:space="0" w:color="auto"/>
        <w:right w:val="none" w:sz="0" w:space="0" w:color="auto"/>
      </w:divBdr>
    </w:div>
    <w:div w:id="804201309">
      <w:marLeft w:val="0"/>
      <w:marRight w:val="0"/>
      <w:marTop w:val="0"/>
      <w:marBottom w:val="0"/>
      <w:divBdr>
        <w:top w:val="none" w:sz="0" w:space="0" w:color="auto"/>
        <w:left w:val="none" w:sz="0" w:space="0" w:color="auto"/>
        <w:bottom w:val="none" w:sz="0" w:space="0" w:color="auto"/>
        <w:right w:val="none" w:sz="0" w:space="0" w:color="auto"/>
      </w:divBdr>
    </w:div>
    <w:div w:id="804346582">
      <w:marLeft w:val="0"/>
      <w:marRight w:val="0"/>
      <w:marTop w:val="0"/>
      <w:marBottom w:val="0"/>
      <w:divBdr>
        <w:top w:val="none" w:sz="0" w:space="0" w:color="auto"/>
        <w:left w:val="none" w:sz="0" w:space="0" w:color="auto"/>
        <w:bottom w:val="none" w:sz="0" w:space="0" w:color="auto"/>
        <w:right w:val="none" w:sz="0" w:space="0" w:color="auto"/>
      </w:divBdr>
      <w:divsChild>
        <w:div w:id="1950623945">
          <w:marLeft w:val="0"/>
          <w:marRight w:val="0"/>
          <w:marTop w:val="0"/>
          <w:marBottom w:val="0"/>
          <w:divBdr>
            <w:top w:val="none" w:sz="0" w:space="0" w:color="auto"/>
            <w:left w:val="none" w:sz="0" w:space="0" w:color="auto"/>
            <w:bottom w:val="none" w:sz="0" w:space="0" w:color="auto"/>
            <w:right w:val="none" w:sz="0" w:space="0" w:color="auto"/>
          </w:divBdr>
        </w:div>
      </w:divsChild>
    </w:div>
    <w:div w:id="804542889">
      <w:marLeft w:val="0"/>
      <w:marRight w:val="0"/>
      <w:marTop w:val="0"/>
      <w:marBottom w:val="0"/>
      <w:divBdr>
        <w:top w:val="none" w:sz="0" w:space="0" w:color="auto"/>
        <w:left w:val="none" w:sz="0" w:space="0" w:color="auto"/>
        <w:bottom w:val="none" w:sz="0" w:space="0" w:color="auto"/>
        <w:right w:val="none" w:sz="0" w:space="0" w:color="auto"/>
      </w:divBdr>
    </w:div>
    <w:div w:id="805393189">
      <w:marLeft w:val="0"/>
      <w:marRight w:val="0"/>
      <w:marTop w:val="0"/>
      <w:marBottom w:val="0"/>
      <w:divBdr>
        <w:top w:val="none" w:sz="0" w:space="0" w:color="auto"/>
        <w:left w:val="none" w:sz="0" w:space="0" w:color="auto"/>
        <w:bottom w:val="none" w:sz="0" w:space="0" w:color="auto"/>
        <w:right w:val="none" w:sz="0" w:space="0" w:color="auto"/>
      </w:divBdr>
    </w:div>
    <w:div w:id="806048624">
      <w:marLeft w:val="0"/>
      <w:marRight w:val="0"/>
      <w:marTop w:val="0"/>
      <w:marBottom w:val="0"/>
      <w:divBdr>
        <w:top w:val="none" w:sz="0" w:space="0" w:color="auto"/>
        <w:left w:val="none" w:sz="0" w:space="0" w:color="auto"/>
        <w:bottom w:val="none" w:sz="0" w:space="0" w:color="auto"/>
        <w:right w:val="none" w:sz="0" w:space="0" w:color="auto"/>
      </w:divBdr>
    </w:div>
    <w:div w:id="807625590">
      <w:marLeft w:val="0"/>
      <w:marRight w:val="0"/>
      <w:marTop w:val="0"/>
      <w:marBottom w:val="0"/>
      <w:divBdr>
        <w:top w:val="none" w:sz="0" w:space="0" w:color="auto"/>
        <w:left w:val="none" w:sz="0" w:space="0" w:color="auto"/>
        <w:bottom w:val="none" w:sz="0" w:space="0" w:color="auto"/>
        <w:right w:val="none" w:sz="0" w:space="0" w:color="auto"/>
      </w:divBdr>
    </w:div>
    <w:div w:id="807631823">
      <w:marLeft w:val="0"/>
      <w:marRight w:val="0"/>
      <w:marTop w:val="0"/>
      <w:marBottom w:val="0"/>
      <w:divBdr>
        <w:top w:val="none" w:sz="0" w:space="0" w:color="auto"/>
        <w:left w:val="none" w:sz="0" w:space="0" w:color="auto"/>
        <w:bottom w:val="none" w:sz="0" w:space="0" w:color="auto"/>
        <w:right w:val="none" w:sz="0" w:space="0" w:color="auto"/>
      </w:divBdr>
    </w:div>
    <w:div w:id="807746404">
      <w:marLeft w:val="0"/>
      <w:marRight w:val="0"/>
      <w:marTop w:val="0"/>
      <w:marBottom w:val="0"/>
      <w:divBdr>
        <w:top w:val="none" w:sz="0" w:space="0" w:color="auto"/>
        <w:left w:val="none" w:sz="0" w:space="0" w:color="auto"/>
        <w:bottom w:val="none" w:sz="0" w:space="0" w:color="auto"/>
        <w:right w:val="none" w:sz="0" w:space="0" w:color="auto"/>
      </w:divBdr>
    </w:div>
    <w:div w:id="808939285">
      <w:marLeft w:val="0"/>
      <w:marRight w:val="0"/>
      <w:marTop w:val="0"/>
      <w:marBottom w:val="0"/>
      <w:divBdr>
        <w:top w:val="none" w:sz="0" w:space="0" w:color="auto"/>
        <w:left w:val="none" w:sz="0" w:space="0" w:color="auto"/>
        <w:bottom w:val="none" w:sz="0" w:space="0" w:color="auto"/>
        <w:right w:val="none" w:sz="0" w:space="0" w:color="auto"/>
      </w:divBdr>
    </w:div>
    <w:div w:id="810173162">
      <w:marLeft w:val="0"/>
      <w:marRight w:val="0"/>
      <w:marTop w:val="0"/>
      <w:marBottom w:val="0"/>
      <w:divBdr>
        <w:top w:val="none" w:sz="0" w:space="0" w:color="auto"/>
        <w:left w:val="none" w:sz="0" w:space="0" w:color="auto"/>
        <w:bottom w:val="none" w:sz="0" w:space="0" w:color="auto"/>
        <w:right w:val="none" w:sz="0" w:space="0" w:color="auto"/>
      </w:divBdr>
    </w:div>
    <w:div w:id="810681274">
      <w:marLeft w:val="0"/>
      <w:marRight w:val="0"/>
      <w:marTop w:val="0"/>
      <w:marBottom w:val="0"/>
      <w:divBdr>
        <w:top w:val="none" w:sz="0" w:space="0" w:color="auto"/>
        <w:left w:val="none" w:sz="0" w:space="0" w:color="auto"/>
        <w:bottom w:val="none" w:sz="0" w:space="0" w:color="auto"/>
        <w:right w:val="none" w:sz="0" w:space="0" w:color="auto"/>
      </w:divBdr>
    </w:div>
    <w:div w:id="812992597">
      <w:marLeft w:val="0"/>
      <w:marRight w:val="0"/>
      <w:marTop w:val="0"/>
      <w:marBottom w:val="0"/>
      <w:divBdr>
        <w:top w:val="none" w:sz="0" w:space="0" w:color="auto"/>
        <w:left w:val="none" w:sz="0" w:space="0" w:color="auto"/>
        <w:bottom w:val="none" w:sz="0" w:space="0" w:color="auto"/>
        <w:right w:val="none" w:sz="0" w:space="0" w:color="auto"/>
      </w:divBdr>
    </w:div>
    <w:div w:id="813646928">
      <w:marLeft w:val="0"/>
      <w:marRight w:val="0"/>
      <w:marTop w:val="0"/>
      <w:marBottom w:val="0"/>
      <w:divBdr>
        <w:top w:val="none" w:sz="0" w:space="0" w:color="auto"/>
        <w:left w:val="none" w:sz="0" w:space="0" w:color="auto"/>
        <w:bottom w:val="none" w:sz="0" w:space="0" w:color="auto"/>
        <w:right w:val="none" w:sz="0" w:space="0" w:color="auto"/>
      </w:divBdr>
    </w:div>
    <w:div w:id="814106817">
      <w:marLeft w:val="0"/>
      <w:marRight w:val="0"/>
      <w:marTop w:val="0"/>
      <w:marBottom w:val="0"/>
      <w:divBdr>
        <w:top w:val="none" w:sz="0" w:space="0" w:color="auto"/>
        <w:left w:val="none" w:sz="0" w:space="0" w:color="auto"/>
        <w:bottom w:val="none" w:sz="0" w:space="0" w:color="auto"/>
        <w:right w:val="none" w:sz="0" w:space="0" w:color="auto"/>
      </w:divBdr>
    </w:div>
    <w:div w:id="815679773">
      <w:marLeft w:val="0"/>
      <w:marRight w:val="0"/>
      <w:marTop w:val="0"/>
      <w:marBottom w:val="0"/>
      <w:divBdr>
        <w:top w:val="none" w:sz="0" w:space="0" w:color="auto"/>
        <w:left w:val="none" w:sz="0" w:space="0" w:color="auto"/>
        <w:bottom w:val="none" w:sz="0" w:space="0" w:color="auto"/>
        <w:right w:val="none" w:sz="0" w:space="0" w:color="auto"/>
      </w:divBdr>
    </w:div>
    <w:div w:id="815806792">
      <w:marLeft w:val="0"/>
      <w:marRight w:val="0"/>
      <w:marTop w:val="0"/>
      <w:marBottom w:val="0"/>
      <w:divBdr>
        <w:top w:val="none" w:sz="0" w:space="0" w:color="auto"/>
        <w:left w:val="none" w:sz="0" w:space="0" w:color="auto"/>
        <w:bottom w:val="none" w:sz="0" w:space="0" w:color="auto"/>
        <w:right w:val="none" w:sz="0" w:space="0" w:color="auto"/>
      </w:divBdr>
    </w:div>
    <w:div w:id="816458122">
      <w:marLeft w:val="0"/>
      <w:marRight w:val="0"/>
      <w:marTop w:val="0"/>
      <w:marBottom w:val="0"/>
      <w:divBdr>
        <w:top w:val="none" w:sz="0" w:space="0" w:color="auto"/>
        <w:left w:val="none" w:sz="0" w:space="0" w:color="auto"/>
        <w:bottom w:val="none" w:sz="0" w:space="0" w:color="auto"/>
        <w:right w:val="none" w:sz="0" w:space="0" w:color="auto"/>
      </w:divBdr>
    </w:div>
    <w:div w:id="816871882">
      <w:marLeft w:val="0"/>
      <w:marRight w:val="0"/>
      <w:marTop w:val="0"/>
      <w:marBottom w:val="0"/>
      <w:divBdr>
        <w:top w:val="none" w:sz="0" w:space="0" w:color="auto"/>
        <w:left w:val="none" w:sz="0" w:space="0" w:color="auto"/>
        <w:bottom w:val="none" w:sz="0" w:space="0" w:color="auto"/>
        <w:right w:val="none" w:sz="0" w:space="0" w:color="auto"/>
      </w:divBdr>
      <w:divsChild>
        <w:div w:id="1886524182">
          <w:marLeft w:val="0"/>
          <w:marRight w:val="0"/>
          <w:marTop w:val="0"/>
          <w:marBottom w:val="0"/>
          <w:divBdr>
            <w:top w:val="none" w:sz="0" w:space="0" w:color="auto"/>
            <w:left w:val="none" w:sz="0" w:space="0" w:color="auto"/>
            <w:bottom w:val="none" w:sz="0" w:space="0" w:color="auto"/>
            <w:right w:val="none" w:sz="0" w:space="0" w:color="auto"/>
          </w:divBdr>
        </w:div>
      </w:divsChild>
    </w:div>
    <w:div w:id="818032201">
      <w:marLeft w:val="0"/>
      <w:marRight w:val="0"/>
      <w:marTop w:val="0"/>
      <w:marBottom w:val="0"/>
      <w:divBdr>
        <w:top w:val="none" w:sz="0" w:space="0" w:color="auto"/>
        <w:left w:val="none" w:sz="0" w:space="0" w:color="auto"/>
        <w:bottom w:val="none" w:sz="0" w:space="0" w:color="auto"/>
        <w:right w:val="none" w:sz="0" w:space="0" w:color="auto"/>
      </w:divBdr>
    </w:div>
    <w:div w:id="818691270">
      <w:marLeft w:val="0"/>
      <w:marRight w:val="0"/>
      <w:marTop w:val="0"/>
      <w:marBottom w:val="0"/>
      <w:divBdr>
        <w:top w:val="none" w:sz="0" w:space="0" w:color="auto"/>
        <w:left w:val="none" w:sz="0" w:space="0" w:color="auto"/>
        <w:bottom w:val="none" w:sz="0" w:space="0" w:color="auto"/>
        <w:right w:val="none" w:sz="0" w:space="0" w:color="auto"/>
      </w:divBdr>
    </w:div>
    <w:div w:id="819228398">
      <w:marLeft w:val="0"/>
      <w:marRight w:val="0"/>
      <w:marTop w:val="0"/>
      <w:marBottom w:val="0"/>
      <w:divBdr>
        <w:top w:val="none" w:sz="0" w:space="0" w:color="auto"/>
        <w:left w:val="none" w:sz="0" w:space="0" w:color="auto"/>
        <w:bottom w:val="none" w:sz="0" w:space="0" w:color="auto"/>
        <w:right w:val="none" w:sz="0" w:space="0" w:color="auto"/>
      </w:divBdr>
    </w:div>
    <w:div w:id="819419361">
      <w:marLeft w:val="0"/>
      <w:marRight w:val="0"/>
      <w:marTop w:val="0"/>
      <w:marBottom w:val="0"/>
      <w:divBdr>
        <w:top w:val="none" w:sz="0" w:space="0" w:color="auto"/>
        <w:left w:val="none" w:sz="0" w:space="0" w:color="auto"/>
        <w:bottom w:val="none" w:sz="0" w:space="0" w:color="auto"/>
        <w:right w:val="none" w:sz="0" w:space="0" w:color="auto"/>
      </w:divBdr>
    </w:div>
    <w:div w:id="819620288">
      <w:marLeft w:val="0"/>
      <w:marRight w:val="0"/>
      <w:marTop w:val="0"/>
      <w:marBottom w:val="0"/>
      <w:divBdr>
        <w:top w:val="none" w:sz="0" w:space="0" w:color="auto"/>
        <w:left w:val="none" w:sz="0" w:space="0" w:color="auto"/>
        <w:bottom w:val="none" w:sz="0" w:space="0" w:color="auto"/>
        <w:right w:val="none" w:sz="0" w:space="0" w:color="auto"/>
      </w:divBdr>
    </w:div>
    <w:div w:id="820072910">
      <w:marLeft w:val="0"/>
      <w:marRight w:val="0"/>
      <w:marTop w:val="0"/>
      <w:marBottom w:val="0"/>
      <w:divBdr>
        <w:top w:val="none" w:sz="0" w:space="0" w:color="auto"/>
        <w:left w:val="none" w:sz="0" w:space="0" w:color="auto"/>
        <w:bottom w:val="none" w:sz="0" w:space="0" w:color="auto"/>
        <w:right w:val="none" w:sz="0" w:space="0" w:color="auto"/>
      </w:divBdr>
    </w:div>
    <w:div w:id="821115552">
      <w:marLeft w:val="0"/>
      <w:marRight w:val="0"/>
      <w:marTop w:val="100"/>
      <w:marBottom w:val="100"/>
      <w:divBdr>
        <w:top w:val="none" w:sz="0" w:space="0" w:color="auto"/>
        <w:left w:val="none" w:sz="0" w:space="0" w:color="auto"/>
        <w:bottom w:val="none" w:sz="0" w:space="0" w:color="auto"/>
        <w:right w:val="none" w:sz="0" w:space="0" w:color="auto"/>
      </w:divBdr>
    </w:div>
    <w:div w:id="821627400">
      <w:marLeft w:val="0"/>
      <w:marRight w:val="0"/>
      <w:marTop w:val="0"/>
      <w:marBottom w:val="0"/>
      <w:divBdr>
        <w:top w:val="none" w:sz="0" w:space="0" w:color="auto"/>
        <w:left w:val="none" w:sz="0" w:space="0" w:color="auto"/>
        <w:bottom w:val="none" w:sz="0" w:space="0" w:color="auto"/>
        <w:right w:val="none" w:sz="0" w:space="0" w:color="auto"/>
      </w:divBdr>
    </w:div>
    <w:div w:id="821851328">
      <w:marLeft w:val="0"/>
      <w:marRight w:val="0"/>
      <w:marTop w:val="0"/>
      <w:marBottom w:val="0"/>
      <w:divBdr>
        <w:top w:val="none" w:sz="0" w:space="0" w:color="auto"/>
        <w:left w:val="none" w:sz="0" w:space="0" w:color="auto"/>
        <w:bottom w:val="none" w:sz="0" w:space="0" w:color="auto"/>
        <w:right w:val="none" w:sz="0" w:space="0" w:color="auto"/>
      </w:divBdr>
    </w:div>
    <w:div w:id="822350421">
      <w:marLeft w:val="0"/>
      <w:marRight w:val="0"/>
      <w:marTop w:val="0"/>
      <w:marBottom w:val="0"/>
      <w:divBdr>
        <w:top w:val="none" w:sz="0" w:space="0" w:color="auto"/>
        <w:left w:val="none" w:sz="0" w:space="0" w:color="auto"/>
        <w:bottom w:val="none" w:sz="0" w:space="0" w:color="auto"/>
        <w:right w:val="none" w:sz="0" w:space="0" w:color="auto"/>
      </w:divBdr>
    </w:div>
    <w:div w:id="823660723">
      <w:marLeft w:val="0"/>
      <w:marRight w:val="0"/>
      <w:marTop w:val="0"/>
      <w:marBottom w:val="0"/>
      <w:divBdr>
        <w:top w:val="none" w:sz="0" w:space="0" w:color="auto"/>
        <w:left w:val="none" w:sz="0" w:space="0" w:color="auto"/>
        <w:bottom w:val="none" w:sz="0" w:space="0" w:color="auto"/>
        <w:right w:val="none" w:sz="0" w:space="0" w:color="auto"/>
      </w:divBdr>
    </w:div>
    <w:div w:id="823936515">
      <w:marLeft w:val="0"/>
      <w:marRight w:val="0"/>
      <w:marTop w:val="0"/>
      <w:marBottom w:val="0"/>
      <w:divBdr>
        <w:top w:val="none" w:sz="0" w:space="0" w:color="auto"/>
        <w:left w:val="none" w:sz="0" w:space="0" w:color="auto"/>
        <w:bottom w:val="none" w:sz="0" w:space="0" w:color="auto"/>
        <w:right w:val="none" w:sz="0" w:space="0" w:color="auto"/>
      </w:divBdr>
    </w:div>
    <w:div w:id="824973337">
      <w:marLeft w:val="0"/>
      <w:marRight w:val="0"/>
      <w:marTop w:val="0"/>
      <w:marBottom w:val="0"/>
      <w:divBdr>
        <w:top w:val="none" w:sz="0" w:space="0" w:color="auto"/>
        <w:left w:val="none" w:sz="0" w:space="0" w:color="auto"/>
        <w:bottom w:val="none" w:sz="0" w:space="0" w:color="auto"/>
        <w:right w:val="none" w:sz="0" w:space="0" w:color="auto"/>
      </w:divBdr>
    </w:div>
    <w:div w:id="825626686">
      <w:marLeft w:val="0"/>
      <w:marRight w:val="0"/>
      <w:marTop w:val="0"/>
      <w:marBottom w:val="0"/>
      <w:divBdr>
        <w:top w:val="none" w:sz="0" w:space="0" w:color="auto"/>
        <w:left w:val="none" w:sz="0" w:space="0" w:color="auto"/>
        <w:bottom w:val="none" w:sz="0" w:space="0" w:color="auto"/>
        <w:right w:val="none" w:sz="0" w:space="0" w:color="auto"/>
      </w:divBdr>
    </w:div>
    <w:div w:id="825824075">
      <w:marLeft w:val="0"/>
      <w:marRight w:val="0"/>
      <w:marTop w:val="0"/>
      <w:marBottom w:val="0"/>
      <w:divBdr>
        <w:top w:val="none" w:sz="0" w:space="0" w:color="auto"/>
        <w:left w:val="none" w:sz="0" w:space="0" w:color="auto"/>
        <w:bottom w:val="none" w:sz="0" w:space="0" w:color="auto"/>
        <w:right w:val="none" w:sz="0" w:space="0" w:color="auto"/>
      </w:divBdr>
    </w:div>
    <w:div w:id="826284506">
      <w:marLeft w:val="0"/>
      <w:marRight w:val="0"/>
      <w:marTop w:val="0"/>
      <w:marBottom w:val="0"/>
      <w:divBdr>
        <w:top w:val="none" w:sz="0" w:space="0" w:color="auto"/>
        <w:left w:val="none" w:sz="0" w:space="0" w:color="auto"/>
        <w:bottom w:val="none" w:sz="0" w:space="0" w:color="auto"/>
        <w:right w:val="none" w:sz="0" w:space="0" w:color="auto"/>
      </w:divBdr>
    </w:div>
    <w:div w:id="826750743">
      <w:marLeft w:val="0"/>
      <w:marRight w:val="0"/>
      <w:marTop w:val="0"/>
      <w:marBottom w:val="0"/>
      <w:divBdr>
        <w:top w:val="none" w:sz="0" w:space="0" w:color="auto"/>
        <w:left w:val="none" w:sz="0" w:space="0" w:color="auto"/>
        <w:bottom w:val="none" w:sz="0" w:space="0" w:color="auto"/>
        <w:right w:val="none" w:sz="0" w:space="0" w:color="auto"/>
      </w:divBdr>
    </w:div>
    <w:div w:id="826824400">
      <w:marLeft w:val="0"/>
      <w:marRight w:val="0"/>
      <w:marTop w:val="0"/>
      <w:marBottom w:val="0"/>
      <w:divBdr>
        <w:top w:val="none" w:sz="0" w:space="0" w:color="auto"/>
        <w:left w:val="none" w:sz="0" w:space="0" w:color="auto"/>
        <w:bottom w:val="none" w:sz="0" w:space="0" w:color="auto"/>
        <w:right w:val="none" w:sz="0" w:space="0" w:color="auto"/>
      </w:divBdr>
    </w:div>
    <w:div w:id="828054140">
      <w:marLeft w:val="0"/>
      <w:marRight w:val="0"/>
      <w:marTop w:val="0"/>
      <w:marBottom w:val="0"/>
      <w:divBdr>
        <w:top w:val="none" w:sz="0" w:space="0" w:color="auto"/>
        <w:left w:val="none" w:sz="0" w:space="0" w:color="auto"/>
        <w:bottom w:val="none" w:sz="0" w:space="0" w:color="auto"/>
        <w:right w:val="none" w:sz="0" w:space="0" w:color="auto"/>
      </w:divBdr>
    </w:div>
    <w:div w:id="829712590">
      <w:marLeft w:val="0"/>
      <w:marRight w:val="0"/>
      <w:marTop w:val="0"/>
      <w:marBottom w:val="0"/>
      <w:divBdr>
        <w:top w:val="none" w:sz="0" w:space="0" w:color="auto"/>
        <w:left w:val="none" w:sz="0" w:space="0" w:color="auto"/>
        <w:bottom w:val="none" w:sz="0" w:space="0" w:color="auto"/>
        <w:right w:val="none" w:sz="0" w:space="0" w:color="auto"/>
      </w:divBdr>
    </w:div>
    <w:div w:id="830146482">
      <w:marLeft w:val="0"/>
      <w:marRight w:val="0"/>
      <w:marTop w:val="0"/>
      <w:marBottom w:val="0"/>
      <w:divBdr>
        <w:top w:val="none" w:sz="0" w:space="0" w:color="auto"/>
        <w:left w:val="none" w:sz="0" w:space="0" w:color="auto"/>
        <w:bottom w:val="none" w:sz="0" w:space="0" w:color="auto"/>
        <w:right w:val="none" w:sz="0" w:space="0" w:color="auto"/>
      </w:divBdr>
    </w:div>
    <w:div w:id="830951212">
      <w:marLeft w:val="0"/>
      <w:marRight w:val="0"/>
      <w:marTop w:val="0"/>
      <w:marBottom w:val="0"/>
      <w:divBdr>
        <w:top w:val="none" w:sz="0" w:space="0" w:color="auto"/>
        <w:left w:val="none" w:sz="0" w:space="0" w:color="auto"/>
        <w:bottom w:val="none" w:sz="0" w:space="0" w:color="auto"/>
        <w:right w:val="none" w:sz="0" w:space="0" w:color="auto"/>
      </w:divBdr>
    </w:div>
    <w:div w:id="831333371">
      <w:marLeft w:val="0"/>
      <w:marRight w:val="0"/>
      <w:marTop w:val="0"/>
      <w:marBottom w:val="0"/>
      <w:divBdr>
        <w:top w:val="none" w:sz="0" w:space="0" w:color="auto"/>
        <w:left w:val="none" w:sz="0" w:space="0" w:color="auto"/>
        <w:bottom w:val="none" w:sz="0" w:space="0" w:color="auto"/>
        <w:right w:val="none" w:sz="0" w:space="0" w:color="auto"/>
      </w:divBdr>
    </w:div>
    <w:div w:id="832330947">
      <w:marLeft w:val="0"/>
      <w:marRight w:val="0"/>
      <w:marTop w:val="0"/>
      <w:marBottom w:val="0"/>
      <w:divBdr>
        <w:top w:val="none" w:sz="0" w:space="0" w:color="auto"/>
        <w:left w:val="none" w:sz="0" w:space="0" w:color="auto"/>
        <w:bottom w:val="none" w:sz="0" w:space="0" w:color="auto"/>
        <w:right w:val="none" w:sz="0" w:space="0" w:color="auto"/>
      </w:divBdr>
    </w:div>
    <w:div w:id="832334059">
      <w:marLeft w:val="0"/>
      <w:marRight w:val="0"/>
      <w:marTop w:val="0"/>
      <w:marBottom w:val="0"/>
      <w:divBdr>
        <w:top w:val="none" w:sz="0" w:space="0" w:color="auto"/>
        <w:left w:val="none" w:sz="0" w:space="0" w:color="auto"/>
        <w:bottom w:val="none" w:sz="0" w:space="0" w:color="auto"/>
        <w:right w:val="none" w:sz="0" w:space="0" w:color="auto"/>
      </w:divBdr>
    </w:div>
    <w:div w:id="832793530">
      <w:marLeft w:val="0"/>
      <w:marRight w:val="0"/>
      <w:marTop w:val="0"/>
      <w:marBottom w:val="0"/>
      <w:divBdr>
        <w:top w:val="none" w:sz="0" w:space="0" w:color="auto"/>
        <w:left w:val="none" w:sz="0" w:space="0" w:color="auto"/>
        <w:bottom w:val="none" w:sz="0" w:space="0" w:color="auto"/>
        <w:right w:val="none" w:sz="0" w:space="0" w:color="auto"/>
      </w:divBdr>
    </w:div>
    <w:div w:id="832842277">
      <w:marLeft w:val="0"/>
      <w:marRight w:val="0"/>
      <w:marTop w:val="0"/>
      <w:marBottom w:val="0"/>
      <w:divBdr>
        <w:top w:val="none" w:sz="0" w:space="0" w:color="auto"/>
        <w:left w:val="none" w:sz="0" w:space="0" w:color="auto"/>
        <w:bottom w:val="none" w:sz="0" w:space="0" w:color="auto"/>
        <w:right w:val="none" w:sz="0" w:space="0" w:color="auto"/>
      </w:divBdr>
    </w:div>
    <w:div w:id="832917363">
      <w:marLeft w:val="0"/>
      <w:marRight w:val="0"/>
      <w:marTop w:val="0"/>
      <w:marBottom w:val="0"/>
      <w:divBdr>
        <w:top w:val="none" w:sz="0" w:space="0" w:color="auto"/>
        <w:left w:val="none" w:sz="0" w:space="0" w:color="auto"/>
        <w:bottom w:val="none" w:sz="0" w:space="0" w:color="auto"/>
        <w:right w:val="none" w:sz="0" w:space="0" w:color="auto"/>
      </w:divBdr>
    </w:div>
    <w:div w:id="833030512">
      <w:marLeft w:val="0"/>
      <w:marRight w:val="0"/>
      <w:marTop w:val="0"/>
      <w:marBottom w:val="0"/>
      <w:divBdr>
        <w:top w:val="none" w:sz="0" w:space="0" w:color="auto"/>
        <w:left w:val="none" w:sz="0" w:space="0" w:color="auto"/>
        <w:bottom w:val="none" w:sz="0" w:space="0" w:color="auto"/>
        <w:right w:val="none" w:sz="0" w:space="0" w:color="auto"/>
      </w:divBdr>
      <w:divsChild>
        <w:div w:id="1849445169">
          <w:marLeft w:val="0"/>
          <w:marRight w:val="0"/>
          <w:marTop w:val="0"/>
          <w:marBottom w:val="0"/>
          <w:divBdr>
            <w:top w:val="none" w:sz="0" w:space="0" w:color="auto"/>
            <w:left w:val="none" w:sz="0" w:space="0" w:color="auto"/>
            <w:bottom w:val="none" w:sz="0" w:space="0" w:color="auto"/>
            <w:right w:val="none" w:sz="0" w:space="0" w:color="auto"/>
          </w:divBdr>
        </w:div>
      </w:divsChild>
    </w:div>
    <w:div w:id="833423022">
      <w:marLeft w:val="0"/>
      <w:marRight w:val="0"/>
      <w:marTop w:val="0"/>
      <w:marBottom w:val="0"/>
      <w:divBdr>
        <w:top w:val="none" w:sz="0" w:space="0" w:color="auto"/>
        <w:left w:val="none" w:sz="0" w:space="0" w:color="auto"/>
        <w:bottom w:val="none" w:sz="0" w:space="0" w:color="auto"/>
        <w:right w:val="none" w:sz="0" w:space="0" w:color="auto"/>
      </w:divBdr>
    </w:div>
    <w:div w:id="833567677">
      <w:marLeft w:val="0"/>
      <w:marRight w:val="0"/>
      <w:marTop w:val="0"/>
      <w:marBottom w:val="0"/>
      <w:divBdr>
        <w:top w:val="none" w:sz="0" w:space="0" w:color="auto"/>
        <w:left w:val="none" w:sz="0" w:space="0" w:color="auto"/>
        <w:bottom w:val="none" w:sz="0" w:space="0" w:color="auto"/>
        <w:right w:val="none" w:sz="0" w:space="0" w:color="auto"/>
      </w:divBdr>
    </w:div>
    <w:div w:id="836383592">
      <w:marLeft w:val="0"/>
      <w:marRight w:val="0"/>
      <w:marTop w:val="0"/>
      <w:marBottom w:val="0"/>
      <w:divBdr>
        <w:top w:val="none" w:sz="0" w:space="0" w:color="auto"/>
        <w:left w:val="none" w:sz="0" w:space="0" w:color="auto"/>
        <w:bottom w:val="none" w:sz="0" w:space="0" w:color="auto"/>
        <w:right w:val="none" w:sz="0" w:space="0" w:color="auto"/>
      </w:divBdr>
    </w:div>
    <w:div w:id="836967999">
      <w:marLeft w:val="0"/>
      <w:marRight w:val="0"/>
      <w:marTop w:val="0"/>
      <w:marBottom w:val="0"/>
      <w:divBdr>
        <w:top w:val="none" w:sz="0" w:space="0" w:color="auto"/>
        <w:left w:val="none" w:sz="0" w:space="0" w:color="auto"/>
        <w:bottom w:val="none" w:sz="0" w:space="0" w:color="auto"/>
        <w:right w:val="none" w:sz="0" w:space="0" w:color="auto"/>
      </w:divBdr>
    </w:div>
    <w:div w:id="837842478">
      <w:marLeft w:val="0"/>
      <w:marRight w:val="0"/>
      <w:marTop w:val="0"/>
      <w:marBottom w:val="0"/>
      <w:divBdr>
        <w:top w:val="none" w:sz="0" w:space="0" w:color="auto"/>
        <w:left w:val="none" w:sz="0" w:space="0" w:color="auto"/>
        <w:bottom w:val="none" w:sz="0" w:space="0" w:color="auto"/>
        <w:right w:val="none" w:sz="0" w:space="0" w:color="auto"/>
      </w:divBdr>
    </w:div>
    <w:div w:id="839851250">
      <w:marLeft w:val="0"/>
      <w:marRight w:val="0"/>
      <w:marTop w:val="0"/>
      <w:marBottom w:val="0"/>
      <w:divBdr>
        <w:top w:val="none" w:sz="0" w:space="0" w:color="auto"/>
        <w:left w:val="none" w:sz="0" w:space="0" w:color="auto"/>
        <w:bottom w:val="none" w:sz="0" w:space="0" w:color="auto"/>
        <w:right w:val="none" w:sz="0" w:space="0" w:color="auto"/>
      </w:divBdr>
    </w:div>
    <w:div w:id="840661873">
      <w:marLeft w:val="0"/>
      <w:marRight w:val="0"/>
      <w:marTop w:val="0"/>
      <w:marBottom w:val="0"/>
      <w:divBdr>
        <w:top w:val="none" w:sz="0" w:space="0" w:color="auto"/>
        <w:left w:val="none" w:sz="0" w:space="0" w:color="auto"/>
        <w:bottom w:val="none" w:sz="0" w:space="0" w:color="auto"/>
        <w:right w:val="none" w:sz="0" w:space="0" w:color="auto"/>
      </w:divBdr>
    </w:div>
    <w:div w:id="841819451">
      <w:marLeft w:val="0"/>
      <w:marRight w:val="0"/>
      <w:marTop w:val="0"/>
      <w:marBottom w:val="0"/>
      <w:divBdr>
        <w:top w:val="none" w:sz="0" w:space="0" w:color="auto"/>
        <w:left w:val="none" w:sz="0" w:space="0" w:color="auto"/>
        <w:bottom w:val="none" w:sz="0" w:space="0" w:color="auto"/>
        <w:right w:val="none" w:sz="0" w:space="0" w:color="auto"/>
      </w:divBdr>
    </w:div>
    <w:div w:id="843281459">
      <w:marLeft w:val="0"/>
      <w:marRight w:val="0"/>
      <w:marTop w:val="0"/>
      <w:marBottom w:val="0"/>
      <w:divBdr>
        <w:top w:val="none" w:sz="0" w:space="0" w:color="auto"/>
        <w:left w:val="none" w:sz="0" w:space="0" w:color="auto"/>
        <w:bottom w:val="none" w:sz="0" w:space="0" w:color="auto"/>
        <w:right w:val="none" w:sz="0" w:space="0" w:color="auto"/>
      </w:divBdr>
    </w:div>
    <w:div w:id="843283802">
      <w:marLeft w:val="0"/>
      <w:marRight w:val="0"/>
      <w:marTop w:val="0"/>
      <w:marBottom w:val="0"/>
      <w:divBdr>
        <w:top w:val="none" w:sz="0" w:space="0" w:color="auto"/>
        <w:left w:val="none" w:sz="0" w:space="0" w:color="auto"/>
        <w:bottom w:val="none" w:sz="0" w:space="0" w:color="auto"/>
        <w:right w:val="none" w:sz="0" w:space="0" w:color="auto"/>
      </w:divBdr>
    </w:div>
    <w:div w:id="843474345">
      <w:marLeft w:val="0"/>
      <w:marRight w:val="0"/>
      <w:marTop w:val="0"/>
      <w:marBottom w:val="0"/>
      <w:divBdr>
        <w:top w:val="none" w:sz="0" w:space="0" w:color="auto"/>
        <w:left w:val="none" w:sz="0" w:space="0" w:color="auto"/>
        <w:bottom w:val="none" w:sz="0" w:space="0" w:color="auto"/>
        <w:right w:val="none" w:sz="0" w:space="0" w:color="auto"/>
      </w:divBdr>
    </w:div>
    <w:div w:id="844323410">
      <w:marLeft w:val="0"/>
      <w:marRight w:val="0"/>
      <w:marTop w:val="0"/>
      <w:marBottom w:val="0"/>
      <w:divBdr>
        <w:top w:val="none" w:sz="0" w:space="0" w:color="auto"/>
        <w:left w:val="none" w:sz="0" w:space="0" w:color="auto"/>
        <w:bottom w:val="none" w:sz="0" w:space="0" w:color="auto"/>
        <w:right w:val="none" w:sz="0" w:space="0" w:color="auto"/>
      </w:divBdr>
    </w:div>
    <w:div w:id="844832128">
      <w:marLeft w:val="0"/>
      <w:marRight w:val="0"/>
      <w:marTop w:val="0"/>
      <w:marBottom w:val="0"/>
      <w:divBdr>
        <w:top w:val="none" w:sz="0" w:space="0" w:color="auto"/>
        <w:left w:val="none" w:sz="0" w:space="0" w:color="auto"/>
        <w:bottom w:val="none" w:sz="0" w:space="0" w:color="auto"/>
        <w:right w:val="none" w:sz="0" w:space="0" w:color="auto"/>
      </w:divBdr>
    </w:div>
    <w:div w:id="844904310">
      <w:marLeft w:val="0"/>
      <w:marRight w:val="0"/>
      <w:marTop w:val="0"/>
      <w:marBottom w:val="0"/>
      <w:divBdr>
        <w:top w:val="none" w:sz="0" w:space="0" w:color="auto"/>
        <w:left w:val="none" w:sz="0" w:space="0" w:color="auto"/>
        <w:bottom w:val="none" w:sz="0" w:space="0" w:color="auto"/>
        <w:right w:val="none" w:sz="0" w:space="0" w:color="auto"/>
      </w:divBdr>
    </w:div>
    <w:div w:id="845440420">
      <w:marLeft w:val="0"/>
      <w:marRight w:val="0"/>
      <w:marTop w:val="0"/>
      <w:marBottom w:val="0"/>
      <w:divBdr>
        <w:top w:val="none" w:sz="0" w:space="0" w:color="auto"/>
        <w:left w:val="none" w:sz="0" w:space="0" w:color="auto"/>
        <w:bottom w:val="none" w:sz="0" w:space="0" w:color="auto"/>
        <w:right w:val="none" w:sz="0" w:space="0" w:color="auto"/>
      </w:divBdr>
    </w:div>
    <w:div w:id="847402788">
      <w:marLeft w:val="0"/>
      <w:marRight w:val="0"/>
      <w:marTop w:val="0"/>
      <w:marBottom w:val="0"/>
      <w:divBdr>
        <w:top w:val="none" w:sz="0" w:space="0" w:color="auto"/>
        <w:left w:val="none" w:sz="0" w:space="0" w:color="auto"/>
        <w:bottom w:val="none" w:sz="0" w:space="0" w:color="auto"/>
        <w:right w:val="none" w:sz="0" w:space="0" w:color="auto"/>
      </w:divBdr>
    </w:div>
    <w:div w:id="847671563">
      <w:marLeft w:val="0"/>
      <w:marRight w:val="0"/>
      <w:marTop w:val="0"/>
      <w:marBottom w:val="0"/>
      <w:divBdr>
        <w:top w:val="none" w:sz="0" w:space="0" w:color="auto"/>
        <w:left w:val="none" w:sz="0" w:space="0" w:color="auto"/>
        <w:bottom w:val="none" w:sz="0" w:space="0" w:color="auto"/>
        <w:right w:val="none" w:sz="0" w:space="0" w:color="auto"/>
      </w:divBdr>
    </w:div>
    <w:div w:id="847869914">
      <w:marLeft w:val="0"/>
      <w:marRight w:val="0"/>
      <w:marTop w:val="0"/>
      <w:marBottom w:val="0"/>
      <w:divBdr>
        <w:top w:val="none" w:sz="0" w:space="0" w:color="auto"/>
        <w:left w:val="none" w:sz="0" w:space="0" w:color="auto"/>
        <w:bottom w:val="none" w:sz="0" w:space="0" w:color="auto"/>
        <w:right w:val="none" w:sz="0" w:space="0" w:color="auto"/>
      </w:divBdr>
    </w:div>
    <w:div w:id="848837676">
      <w:marLeft w:val="0"/>
      <w:marRight w:val="0"/>
      <w:marTop w:val="0"/>
      <w:marBottom w:val="0"/>
      <w:divBdr>
        <w:top w:val="none" w:sz="0" w:space="0" w:color="auto"/>
        <w:left w:val="none" w:sz="0" w:space="0" w:color="auto"/>
        <w:bottom w:val="none" w:sz="0" w:space="0" w:color="auto"/>
        <w:right w:val="none" w:sz="0" w:space="0" w:color="auto"/>
      </w:divBdr>
    </w:div>
    <w:div w:id="849948484">
      <w:marLeft w:val="0"/>
      <w:marRight w:val="0"/>
      <w:marTop w:val="0"/>
      <w:marBottom w:val="0"/>
      <w:divBdr>
        <w:top w:val="none" w:sz="0" w:space="0" w:color="auto"/>
        <w:left w:val="none" w:sz="0" w:space="0" w:color="auto"/>
        <w:bottom w:val="none" w:sz="0" w:space="0" w:color="auto"/>
        <w:right w:val="none" w:sz="0" w:space="0" w:color="auto"/>
      </w:divBdr>
    </w:div>
    <w:div w:id="851527073">
      <w:marLeft w:val="0"/>
      <w:marRight w:val="0"/>
      <w:marTop w:val="0"/>
      <w:marBottom w:val="0"/>
      <w:divBdr>
        <w:top w:val="none" w:sz="0" w:space="0" w:color="auto"/>
        <w:left w:val="none" w:sz="0" w:space="0" w:color="auto"/>
        <w:bottom w:val="none" w:sz="0" w:space="0" w:color="auto"/>
        <w:right w:val="none" w:sz="0" w:space="0" w:color="auto"/>
      </w:divBdr>
    </w:div>
    <w:div w:id="852497601">
      <w:marLeft w:val="0"/>
      <w:marRight w:val="0"/>
      <w:marTop w:val="0"/>
      <w:marBottom w:val="0"/>
      <w:divBdr>
        <w:top w:val="none" w:sz="0" w:space="0" w:color="auto"/>
        <w:left w:val="none" w:sz="0" w:space="0" w:color="auto"/>
        <w:bottom w:val="none" w:sz="0" w:space="0" w:color="auto"/>
        <w:right w:val="none" w:sz="0" w:space="0" w:color="auto"/>
      </w:divBdr>
    </w:div>
    <w:div w:id="852917128">
      <w:marLeft w:val="0"/>
      <w:marRight w:val="0"/>
      <w:marTop w:val="0"/>
      <w:marBottom w:val="0"/>
      <w:divBdr>
        <w:top w:val="none" w:sz="0" w:space="0" w:color="auto"/>
        <w:left w:val="none" w:sz="0" w:space="0" w:color="auto"/>
        <w:bottom w:val="none" w:sz="0" w:space="0" w:color="auto"/>
        <w:right w:val="none" w:sz="0" w:space="0" w:color="auto"/>
      </w:divBdr>
    </w:div>
    <w:div w:id="853227692">
      <w:marLeft w:val="0"/>
      <w:marRight w:val="0"/>
      <w:marTop w:val="0"/>
      <w:marBottom w:val="0"/>
      <w:divBdr>
        <w:top w:val="none" w:sz="0" w:space="0" w:color="auto"/>
        <w:left w:val="none" w:sz="0" w:space="0" w:color="auto"/>
        <w:bottom w:val="none" w:sz="0" w:space="0" w:color="auto"/>
        <w:right w:val="none" w:sz="0" w:space="0" w:color="auto"/>
      </w:divBdr>
      <w:divsChild>
        <w:div w:id="897009593">
          <w:marLeft w:val="0"/>
          <w:marRight w:val="0"/>
          <w:marTop w:val="0"/>
          <w:marBottom w:val="0"/>
          <w:divBdr>
            <w:top w:val="none" w:sz="0" w:space="0" w:color="auto"/>
            <w:left w:val="none" w:sz="0" w:space="0" w:color="auto"/>
            <w:bottom w:val="none" w:sz="0" w:space="0" w:color="auto"/>
            <w:right w:val="none" w:sz="0" w:space="0" w:color="auto"/>
          </w:divBdr>
        </w:div>
      </w:divsChild>
    </w:div>
    <w:div w:id="854685685">
      <w:marLeft w:val="0"/>
      <w:marRight w:val="0"/>
      <w:marTop w:val="0"/>
      <w:marBottom w:val="0"/>
      <w:divBdr>
        <w:top w:val="none" w:sz="0" w:space="0" w:color="auto"/>
        <w:left w:val="none" w:sz="0" w:space="0" w:color="auto"/>
        <w:bottom w:val="none" w:sz="0" w:space="0" w:color="auto"/>
        <w:right w:val="none" w:sz="0" w:space="0" w:color="auto"/>
      </w:divBdr>
    </w:div>
    <w:div w:id="855002381">
      <w:marLeft w:val="0"/>
      <w:marRight w:val="0"/>
      <w:marTop w:val="0"/>
      <w:marBottom w:val="0"/>
      <w:divBdr>
        <w:top w:val="none" w:sz="0" w:space="0" w:color="auto"/>
        <w:left w:val="none" w:sz="0" w:space="0" w:color="auto"/>
        <w:bottom w:val="none" w:sz="0" w:space="0" w:color="auto"/>
        <w:right w:val="none" w:sz="0" w:space="0" w:color="auto"/>
      </w:divBdr>
    </w:div>
    <w:div w:id="855653309">
      <w:marLeft w:val="0"/>
      <w:marRight w:val="0"/>
      <w:marTop w:val="0"/>
      <w:marBottom w:val="0"/>
      <w:divBdr>
        <w:top w:val="none" w:sz="0" w:space="0" w:color="auto"/>
        <w:left w:val="none" w:sz="0" w:space="0" w:color="auto"/>
        <w:bottom w:val="none" w:sz="0" w:space="0" w:color="auto"/>
        <w:right w:val="none" w:sz="0" w:space="0" w:color="auto"/>
      </w:divBdr>
    </w:div>
    <w:div w:id="855924971">
      <w:marLeft w:val="0"/>
      <w:marRight w:val="0"/>
      <w:marTop w:val="0"/>
      <w:marBottom w:val="0"/>
      <w:divBdr>
        <w:top w:val="none" w:sz="0" w:space="0" w:color="auto"/>
        <w:left w:val="none" w:sz="0" w:space="0" w:color="auto"/>
        <w:bottom w:val="none" w:sz="0" w:space="0" w:color="auto"/>
        <w:right w:val="none" w:sz="0" w:space="0" w:color="auto"/>
      </w:divBdr>
    </w:div>
    <w:div w:id="856309347">
      <w:marLeft w:val="0"/>
      <w:marRight w:val="0"/>
      <w:marTop w:val="0"/>
      <w:marBottom w:val="0"/>
      <w:divBdr>
        <w:top w:val="none" w:sz="0" w:space="0" w:color="auto"/>
        <w:left w:val="none" w:sz="0" w:space="0" w:color="auto"/>
        <w:bottom w:val="none" w:sz="0" w:space="0" w:color="auto"/>
        <w:right w:val="none" w:sz="0" w:space="0" w:color="auto"/>
      </w:divBdr>
    </w:div>
    <w:div w:id="856818875">
      <w:marLeft w:val="0"/>
      <w:marRight w:val="0"/>
      <w:marTop w:val="0"/>
      <w:marBottom w:val="0"/>
      <w:divBdr>
        <w:top w:val="none" w:sz="0" w:space="0" w:color="auto"/>
        <w:left w:val="none" w:sz="0" w:space="0" w:color="auto"/>
        <w:bottom w:val="none" w:sz="0" w:space="0" w:color="auto"/>
        <w:right w:val="none" w:sz="0" w:space="0" w:color="auto"/>
      </w:divBdr>
    </w:div>
    <w:div w:id="860170590">
      <w:marLeft w:val="0"/>
      <w:marRight w:val="0"/>
      <w:marTop w:val="0"/>
      <w:marBottom w:val="0"/>
      <w:divBdr>
        <w:top w:val="none" w:sz="0" w:space="0" w:color="auto"/>
        <w:left w:val="none" w:sz="0" w:space="0" w:color="auto"/>
        <w:bottom w:val="none" w:sz="0" w:space="0" w:color="auto"/>
        <w:right w:val="none" w:sz="0" w:space="0" w:color="auto"/>
      </w:divBdr>
    </w:div>
    <w:div w:id="860972040">
      <w:marLeft w:val="0"/>
      <w:marRight w:val="0"/>
      <w:marTop w:val="0"/>
      <w:marBottom w:val="0"/>
      <w:divBdr>
        <w:top w:val="none" w:sz="0" w:space="0" w:color="auto"/>
        <w:left w:val="none" w:sz="0" w:space="0" w:color="auto"/>
        <w:bottom w:val="none" w:sz="0" w:space="0" w:color="auto"/>
        <w:right w:val="none" w:sz="0" w:space="0" w:color="auto"/>
      </w:divBdr>
    </w:div>
    <w:div w:id="861625185">
      <w:marLeft w:val="0"/>
      <w:marRight w:val="0"/>
      <w:marTop w:val="0"/>
      <w:marBottom w:val="0"/>
      <w:divBdr>
        <w:top w:val="none" w:sz="0" w:space="0" w:color="auto"/>
        <w:left w:val="none" w:sz="0" w:space="0" w:color="auto"/>
        <w:bottom w:val="none" w:sz="0" w:space="0" w:color="auto"/>
        <w:right w:val="none" w:sz="0" w:space="0" w:color="auto"/>
      </w:divBdr>
    </w:div>
    <w:div w:id="863058325">
      <w:marLeft w:val="0"/>
      <w:marRight w:val="0"/>
      <w:marTop w:val="0"/>
      <w:marBottom w:val="0"/>
      <w:divBdr>
        <w:top w:val="none" w:sz="0" w:space="0" w:color="auto"/>
        <w:left w:val="none" w:sz="0" w:space="0" w:color="auto"/>
        <w:bottom w:val="none" w:sz="0" w:space="0" w:color="auto"/>
        <w:right w:val="none" w:sz="0" w:space="0" w:color="auto"/>
      </w:divBdr>
    </w:div>
    <w:div w:id="863174675">
      <w:marLeft w:val="0"/>
      <w:marRight w:val="0"/>
      <w:marTop w:val="0"/>
      <w:marBottom w:val="0"/>
      <w:divBdr>
        <w:top w:val="none" w:sz="0" w:space="0" w:color="auto"/>
        <w:left w:val="none" w:sz="0" w:space="0" w:color="auto"/>
        <w:bottom w:val="none" w:sz="0" w:space="0" w:color="auto"/>
        <w:right w:val="none" w:sz="0" w:space="0" w:color="auto"/>
      </w:divBdr>
    </w:div>
    <w:div w:id="863788019">
      <w:marLeft w:val="0"/>
      <w:marRight w:val="0"/>
      <w:marTop w:val="0"/>
      <w:marBottom w:val="0"/>
      <w:divBdr>
        <w:top w:val="none" w:sz="0" w:space="0" w:color="auto"/>
        <w:left w:val="none" w:sz="0" w:space="0" w:color="auto"/>
        <w:bottom w:val="none" w:sz="0" w:space="0" w:color="auto"/>
        <w:right w:val="none" w:sz="0" w:space="0" w:color="auto"/>
      </w:divBdr>
    </w:div>
    <w:div w:id="864944757">
      <w:marLeft w:val="0"/>
      <w:marRight w:val="0"/>
      <w:marTop w:val="0"/>
      <w:marBottom w:val="0"/>
      <w:divBdr>
        <w:top w:val="none" w:sz="0" w:space="0" w:color="auto"/>
        <w:left w:val="none" w:sz="0" w:space="0" w:color="auto"/>
        <w:bottom w:val="none" w:sz="0" w:space="0" w:color="auto"/>
        <w:right w:val="none" w:sz="0" w:space="0" w:color="auto"/>
      </w:divBdr>
    </w:div>
    <w:div w:id="865749673">
      <w:marLeft w:val="0"/>
      <w:marRight w:val="0"/>
      <w:marTop w:val="0"/>
      <w:marBottom w:val="0"/>
      <w:divBdr>
        <w:top w:val="none" w:sz="0" w:space="0" w:color="auto"/>
        <w:left w:val="none" w:sz="0" w:space="0" w:color="auto"/>
        <w:bottom w:val="none" w:sz="0" w:space="0" w:color="auto"/>
        <w:right w:val="none" w:sz="0" w:space="0" w:color="auto"/>
      </w:divBdr>
    </w:div>
    <w:div w:id="866480824">
      <w:marLeft w:val="0"/>
      <w:marRight w:val="0"/>
      <w:marTop w:val="0"/>
      <w:marBottom w:val="0"/>
      <w:divBdr>
        <w:top w:val="none" w:sz="0" w:space="0" w:color="auto"/>
        <w:left w:val="none" w:sz="0" w:space="0" w:color="auto"/>
        <w:bottom w:val="none" w:sz="0" w:space="0" w:color="auto"/>
        <w:right w:val="none" w:sz="0" w:space="0" w:color="auto"/>
      </w:divBdr>
    </w:div>
    <w:div w:id="867447437">
      <w:marLeft w:val="0"/>
      <w:marRight w:val="0"/>
      <w:marTop w:val="0"/>
      <w:marBottom w:val="0"/>
      <w:divBdr>
        <w:top w:val="none" w:sz="0" w:space="0" w:color="auto"/>
        <w:left w:val="none" w:sz="0" w:space="0" w:color="auto"/>
        <w:bottom w:val="none" w:sz="0" w:space="0" w:color="auto"/>
        <w:right w:val="none" w:sz="0" w:space="0" w:color="auto"/>
      </w:divBdr>
    </w:div>
    <w:div w:id="868105233">
      <w:marLeft w:val="0"/>
      <w:marRight w:val="0"/>
      <w:marTop w:val="0"/>
      <w:marBottom w:val="0"/>
      <w:divBdr>
        <w:top w:val="none" w:sz="0" w:space="0" w:color="auto"/>
        <w:left w:val="none" w:sz="0" w:space="0" w:color="auto"/>
        <w:bottom w:val="none" w:sz="0" w:space="0" w:color="auto"/>
        <w:right w:val="none" w:sz="0" w:space="0" w:color="auto"/>
      </w:divBdr>
    </w:div>
    <w:div w:id="868878647">
      <w:marLeft w:val="0"/>
      <w:marRight w:val="0"/>
      <w:marTop w:val="0"/>
      <w:marBottom w:val="0"/>
      <w:divBdr>
        <w:top w:val="none" w:sz="0" w:space="0" w:color="auto"/>
        <w:left w:val="none" w:sz="0" w:space="0" w:color="auto"/>
        <w:bottom w:val="none" w:sz="0" w:space="0" w:color="auto"/>
        <w:right w:val="none" w:sz="0" w:space="0" w:color="auto"/>
      </w:divBdr>
    </w:div>
    <w:div w:id="868951190">
      <w:marLeft w:val="0"/>
      <w:marRight w:val="0"/>
      <w:marTop w:val="100"/>
      <w:marBottom w:val="100"/>
      <w:divBdr>
        <w:top w:val="none" w:sz="0" w:space="0" w:color="auto"/>
        <w:left w:val="none" w:sz="0" w:space="0" w:color="auto"/>
        <w:bottom w:val="none" w:sz="0" w:space="0" w:color="auto"/>
        <w:right w:val="none" w:sz="0" w:space="0" w:color="auto"/>
      </w:divBdr>
    </w:div>
    <w:div w:id="869218421">
      <w:marLeft w:val="0"/>
      <w:marRight w:val="0"/>
      <w:marTop w:val="0"/>
      <w:marBottom w:val="0"/>
      <w:divBdr>
        <w:top w:val="none" w:sz="0" w:space="0" w:color="auto"/>
        <w:left w:val="none" w:sz="0" w:space="0" w:color="auto"/>
        <w:bottom w:val="none" w:sz="0" w:space="0" w:color="auto"/>
        <w:right w:val="none" w:sz="0" w:space="0" w:color="auto"/>
      </w:divBdr>
    </w:div>
    <w:div w:id="869684164">
      <w:marLeft w:val="0"/>
      <w:marRight w:val="0"/>
      <w:marTop w:val="0"/>
      <w:marBottom w:val="0"/>
      <w:divBdr>
        <w:top w:val="none" w:sz="0" w:space="0" w:color="auto"/>
        <w:left w:val="none" w:sz="0" w:space="0" w:color="auto"/>
        <w:bottom w:val="none" w:sz="0" w:space="0" w:color="auto"/>
        <w:right w:val="none" w:sz="0" w:space="0" w:color="auto"/>
      </w:divBdr>
    </w:div>
    <w:div w:id="870218449">
      <w:marLeft w:val="0"/>
      <w:marRight w:val="0"/>
      <w:marTop w:val="0"/>
      <w:marBottom w:val="0"/>
      <w:divBdr>
        <w:top w:val="none" w:sz="0" w:space="0" w:color="auto"/>
        <w:left w:val="none" w:sz="0" w:space="0" w:color="auto"/>
        <w:bottom w:val="none" w:sz="0" w:space="0" w:color="auto"/>
        <w:right w:val="none" w:sz="0" w:space="0" w:color="auto"/>
      </w:divBdr>
    </w:div>
    <w:div w:id="870609594">
      <w:marLeft w:val="0"/>
      <w:marRight w:val="0"/>
      <w:marTop w:val="0"/>
      <w:marBottom w:val="0"/>
      <w:divBdr>
        <w:top w:val="none" w:sz="0" w:space="0" w:color="auto"/>
        <w:left w:val="none" w:sz="0" w:space="0" w:color="auto"/>
        <w:bottom w:val="none" w:sz="0" w:space="0" w:color="auto"/>
        <w:right w:val="none" w:sz="0" w:space="0" w:color="auto"/>
      </w:divBdr>
      <w:divsChild>
        <w:div w:id="1426729651">
          <w:marLeft w:val="0"/>
          <w:marRight w:val="0"/>
          <w:marTop w:val="0"/>
          <w:marBottom w:val="0"/>
          <w:divBdr>
            <w:top w:val="none" w:sz="0" w:space="0" w:color="auto"/>
            <w:left w:val="none" w:sz="0" w:space="0" w:color="auto"/>
            <w:bottom w:val="none" w:sz="0" w:space="0" w:color="auto"/>
            <w:right w:val="none" w:sz="0" w:space="0" w:color="auto"/>
          </w:divBdr>
        </w:div>
      </w:divsChild>
    </w:div>
    <w:div w:id="871916641">
      <w:marLeft w:val="0"/>
      <w:marRight w:val="0"/>
      <w:marTop w:val="0"/>
      <w:marBottom w:val="0"/>
      <w:divBdr>
        <w:top w:val="none" w:sz="0" w:space="0" w:color="auto"/>
        <w:left w:val="none" w:sz="0" w:space="0" w:color="auto"/>
        <w:bottom w:val="none" w:sz="0" w:space="0" w:color="auto"/>
        <w:right w:val="none" w:sz="0" w:space="0" w:color="auto"/>
      </w:divBdr>
    </w:div>
    <w:div w:id="872035221">
      <w:marLeft w:val="0"/>
      <w:marRight w:val="0"/>
      <w:marTop w:val="0"/>
      <w:marBottom w:val="0"/>
      <w:divBdr>
        <w:top w:val="none" w:sz="0" w:space="0" w:color="auto"/>
        <w:left w:val="none" w:sz="0" w:space="0" w:color="auto"/>
        <w:bottom w:val="none" w:sz="0" w:space="0" w:color="auto"/>
        <w:right w:val="none" w:sz="0" w:space="0" w:color="auto"/>
      </w:divBdr>
    </w:div>
    <w:div w:id="872578635">
      <w:marLeft w:val="0"/>
      <w:marRight w:val="0"/>
      <w:marTop w:val="0"/>
      <w:marBottom w:val="0"/>
      <w:divBdr>
        <w:top w:val="none" w:sz="0" w:space="0" w:color="auto"/>
        <w:left w:val="none" w:sz="0" w:space="0" w:color="auto"/>
        <w:bottom w:val="none" w:sz="0" w:space="0" w:color="auto"/>
        <w:right w:val="none" w:sz="0" w:space="0" w:color="auto"/>
      </w:divBdr>
    </w:div>
    <w:div w:id="873081361">
      <w:marLeft w:val="0"/>
      <w:marRight w:val="0"/>
      <w:marTop w:val="0"/>
      <w:marBottom w:val="0"/>
      <w:divBdr>
        <w:top w:val="none" w:sz="0" w:space="0" w:color="auto"/>
        <w:left w:val="none" w:sz="0" w:space="0" w:color="auto"/>
        <w:bottom w:val="none" w:sz="0" w:space="0" w:color="auto"/>
        <w:right w:val="none" w:sz="0" w:space="0" w:color="auto"/>
      </w:divBdr>
    </w:div>
    <w:div w:id="873930631">
      <w:marLeft w:val="0"/>
      <w:marRight w:val="0"/>
      <w:marTop w:val="0"/>
      <w:marBottom w:val="0"/>
      <w:divBdr>
        <w:top w:val="none" w:sz="0" w:space="0" w:color="auto"/>
        <w:left w:val="none" w:sz="0" w:space="0" w:color="auto"/>
        <w:bottom w:val="none" w:sz="0" w:space="0" w:color="auto"/>
        <w:right w:val="none" w:sz="0" w:space="0" w:color="auto"/>
      </w:divBdr>
    </w:div>
    <w:div w:id="875889262">
      <w:marLeft w:val="0"/>
      <w:marRight w:val="0"/>
      <w:marTop w:val="0"/>
      <w:marBottom w:val="0"/>
      <w:divBdr>
        <w:top w:val="none" w:sz="0" w:space="0" w:color="auto"/>
        <w:left w:val="none" w:sz="0" w:space="0" w:color="auto"/>
        <w:bottom w:val="none" w:sz="0" w:space="0" w:color="auto"/>
        <w:right w:val="none" w:sz="0" w:space="0" w:color="auto"/>
      </w:divBdr>
    </w:div>
    <w:div w:id="876694656">
      <w:marLeft w:val="0"/>
      <w:marRight w:val="0"/>
      <w:marTop w:val="0"/>
      <w:marBottom w:val="0"/>
      <w:divBdr>
        <w:top w:val="none" w:sz="0" w:space="0" w:color="auto"/>
        <w:left w:val="none" w:sz="0" w:space="0" w:color="auto"/>
        <w:bottom w:val="none" w:sz="0" w:space="0" w:color="auto"/>
        <w:right w:val="none" w:sz="0" w:space="0" w:color="auto"/>
      </w:divBdr>
    </w:div>
    <w:div w:id="876814997">
      <w:marLeft w:val="0"/>
      <w:marRight w:val="0"/>
      <w:marTop w:val="0"/>
      <w:marBottom w:val="0"/>
      <w:divBdr>
        <w:top w:val="none" w:sz="0" w:space="0" w:color="auto"/>
        <w:left w:val="none" w:sz="0" w:space="0" w:color="auto"/>
        <w:bottom w:val="none" w:sz="0" w:space="0" w:color="auto"/>
        <w:right w:val="none" w:sz="0" w:space="0" w:color="auto"/>
      </w:divBdr>
    </w:div>
    <w:div w:id="876890582">
      <w:marLeft w:val="0"/>
      <w:marRight w:val="0"/>
      <w:marTop w:val="0"/>
      <w:marBottom w:val="0"/>
      <w:divBdr>
        <w:top w:val="none" w:sz="0" w:space="0" w:color="auto"/>
        <w:left w:val="none" w:sz="0" w:space="0" w:color="auto"/>
        <w:bottom w:val="none" w:sz="0" w:space="0" w:color="auto"/>
        <w:right w:val="none" w:sz="0" w:space="0" w:color="auto"/>
      </w:divBdr>
      <w:divsChild>
        <w:div w:id="2095278826">
          <w:marLeft w:val="0"/>
          <w:marRight w:val="0"/>
          <w:marTop w:val="0"/>
          <w:marBottom w:val="0"/>
          <w:divBdr>
            <w:top w:val="none" w:sz="0" w:space="0" w:color="auto"/>
            <w:left w:val="none" w:sz="0" w:space="0" w:color="auto"/>
            <w:bottom w:val="none" w:sz="0" w:space="0" w:color="auto"/>
            <w:right w:val="none" w:sz="0" w:space="0" w:color="auto"/>
          </w:divBdr>
        </w:div>
      </w:divsChild>
    </w:div>
    <w:div w:id="877477069">
      <w:marLeft w:val="0"/>
      <w:marRight w:val="0"/>
      <w:marTop w:val="0"/>
      <w:marBottom w:val="0"/>
      <w:divBdr>
        <w:top w:val="none" w:sz="0" w:space="0" w:color="auto"/>
        <w:left w:val="none" w:sz="0" w:space="0" w:color="auto"/>
        <w:bottom w:val="none" w:sz="0" w:space="0" w:color="auto"/>
        <w:right w:val="none" w:sz="0" w:space="0" w:color="auto"/>
      </w:divBdr>
    </w:div>
    <w:div w:id="877814499">
      <w:marLeft w:val="0"/>
      <w:marRight w:val="0"/>
      <w:marTop w:val="0"/>
      <w:marBottom w:val="0"/>
      <w:divBdr>
        <w:top w:val="none" w:sz="0" w:space="0" w:color="auto"/>
        <w:left w:val="none" w:sz="0" w:space="0" w:color="auto"/>
        <w:bottom w:val="none" w:sz="0" w:space="0" w:color="auto"/>
        <w:right w:val="none" w:sz="0" w:space="0" w:color="auto"/>
      </w:divBdr>
    </w:div>
    <w:div w:id="878014012">
      <w:marLeft w:val="0"/>
      <w:marRight w:val="0"/>
      <w:marTop w:val="0"/>
      <w:marBottom w:val="0"/>
      <w:divBdr>
        <w:top w:val="none" w:sz="0" w:space="0" w:color="auto"/>
        <w:left w:val="none" w:sz="0" w:space="0" w:color="auto"/>
        <w:bottom w:val="none" w:sz="0" w:space="0" w:color="auto"/>
        <w:right w:val="none" w:sz="0" w:space="0" w:color="auto"/>
      </w:divBdr>
    </w:div>
    <w:div w:id="878511422">
      <w:marLeft w:val="0"/>
      <w:marRight w:val="0"/>
      <w:marTop w:val="0"/>
      <w:marBottom w:val="0"/>
      <w:divBdr>
        <w:top w:val="none" w:sz="0" w:space="0" w:color="auto"/>
        <w:left w:val="none" w:sz="0" w:space="0" w:color="auto"/>
        <w:bottom w:val="none" w:sz="0" w:space="0" w:color="auto"/>
        <w:right w:val="none" w:sz="0" w:space="0" w:color="auto"/>
      </w:divBdr>
    </w:div>
    <w:div w:id="878517407">
      <w:marLeft w:val="0"/>
      <w:marRight w:val="0"/>
      <w:marTop w:val="100"/>
      <w:marBottom w:val="100"/>
      <w:divBdr>
        <w:top w:val="none" w:sz="0" w:space="0" w:color="auto"/>
        <w:left w:val="none" w:sz="0" w:space="0" w:color="auto"/>
        <w:bottom w:val="none" w:sz="0" w:space="0" w:color="auto"/>
        <w:right w:val="none" w:sz="0" w:space="0" w:color="auto"/>
      </w:divBdr>
      <w:divsChild>
        <w:div w:id="1481270898">
          <w:marLeft w:val="0"/>
          <w:marRight w:val="0"/>
          <w:marTop w:val="0"/>
          <w:marBottom w:val="0"/>
          <w:divBdr>
            <w:top w:val="none" w:sz="0" w:space="0" w:color="auto"/>
            <w:left w:val="none" w:sz="0" w:space="0" w:color="auto"/>
            <w:bottom w:val="none" w:sz="0" w:space="0" w:color="auto"/>
            <w:right w:val="none" w:sz="0" w:space="0" w:color="auto"/>
          </w:divBdr>
        </w:div>
        <w:div w:id="1562136177">
          <w:marLeft w:val="0"/>
          <w:marRight w:val="0"/>
          <w:marTop w:val="0"/>
          <w:marBottom w:val="0"/>
          <w:divBdr>
            <w:top w:val="none" w:sz="0" w:space="0" w:color="auto"/>
            <w:left w:val="none" w:sz="0" w:space="0" w:color="auto"/>
            <w:bottom w:val="none" w:sz="0" w:space="0" w:color="auto"/>
            <w:right w:val="none" w:sz="0" w:space="0" w:color="auto"/>
          </w:divBdr>
        </w:div>
      </w:divsChild>
    </w:div>
    <w:div w:id="878786450">
      <w:marLeft w:val="0"/>
      <w:marRight w:val="0"/>
      <w:marTop w:val="0"/>
      <w:marBottom w:val="0"/>
      <w:divBdr>
        <w:top w:val="none" w:sz="0" w:space="0" w:color="auto"/>
        <w:left w:val="none" w:sz="0" w:space="0" w:color="auto"/>
        <w:bottom w:val="none" w:sz="0" w:space="0" w:color="auto"/>
        <w:right w:val="none" w:sz="0" w:space="0" w:color="auto"/>
      </w:divBdr>
    </w:div>
    <w:div w:id="880048575">
      <w:marLeft w:val="0"/>
      <w:marRight w:val="0"/>
      <w:marTop w:val="0"/>
      <w:marBottom w:val="0"/>
      <w:divBdr>
        <w:top w:val="none" w:sz="0" w:space="0" w:color="auto"/>
        <w:left w:val="none" w:sz="0" w:space="0" w:color="auto"/>
        <w:bottom w:val="none" w:sz="0" w:space="0" w:color="auto"/>
        <w:right w:val="none" w:sz="0" w:space="0" w:color="auto"/>
      </w:divBdr>
    </w:div>
    <w:div w:id="880634268">
      <w:marLeft w:val="0"/>
      <w:marRight w:val="0"/>
      <w:marTop w:val="0"/>
      <w:marBottom w:val="0"/>
      <w:divBdr>
        <w:top w:val="none" w:sz="0" w:space="0" w:color="auto"/>
        <w:left w:val="none" w:sz="0" w:space="0" w:color="auto"/>
        <w:bottom w:val="none" w:sz="0" w:space="0" w:color="auto"/>
        <w:right w:val="none" w:sz="0" w:space="0" w:color="auto"/>
      </w:divBdr>
    </w:div>
    <w:div w:id="880744919">
      <w:marLeft w:val="0"/>
      <w:marRight w:val="0"/>
      <w:marTop w:val="0"/>
      <w:marBottom w:val="240"/>
      <w:divBdr>
        <w:top w:val="none" w:sz="0" w:space="0" w:color="auto"/>
        <w:left w:val="none" w:sz="0" w:space="0" w:color="auto"/>
        <w:bottom w:val="none" w:sz="0" w:space="0" w:color="auto"/>
        <w:right w:val="none" w:sz="0" w:space="0" w:color="auto"/>
      </w:divBdr>
    </w:div>
    <w:div w:id="880828302">
      <w:marLeft w:val="0"/>
      <w:marRight w:val="0"/>
      <w:marTop w:val="0"/>
      <w:marBottom w:val="0"/>
      <w:divBdr>
        <w:top w:val="none" w:sz="0" w:space="0" w:color="auto"/>
        <w:left w:val="none" w:sz="0" w:space="0" w:color="auto"/>
        <w:bottom w:val="none" w:sz="0" w:space="0" w:color="auto"/>
        <w:right w:val="none" w:sz="0" w:space="0" w:color="auto"/>
      </w:divBdr>
    </w:div>
    <w:div w:id="881551486">
      <w:marLeft w:val="0"/>
      <w:marRight w:val="0"/>
      <w:marTop w:val="0"/>
      <w:marBottom w:val="0"/>
      <w:divBdr>
        <w:top w:val="none" w:sz="0" w:space="0" w:color="auto"/>
        <w:left w:val="none" w:sz="0" w:space="0" w:color="auto"/>
        <w:bottom w:val="none" w:sz="0" w:space="0" w:color="auto"/>
        <w:right w:val="none" w:sz="0" w:space="0" w:color="auto"/>
      </w:divBdr>
    </w:div>
    <w:div w:id="883716907">
      <w:marLeft w:val="0"/>
      <w:marRight w:val="0"/>
      <w:marTop w:val="0"/>
      <w:marBottom w:val="0"/>
      <w:divBdr>
        <w:top w:val="none" w:sz="0" w:space="0" w:color="auto"/>
        <w:left w:val="none" w:sz="0" w:space="0" w:color="auto"/>
        <w:bottom w:val="none" w:sz="0" w:space="0" w:color="auto"/>
        <w:right w:val="none" w:sz="0" w:space="0" w:color="auto"/>
      </w:divBdr>
      <w:divsChild>
        <w:div w:id="1865246822">
          <w:marLeft w:val="0"/>
          <w:marRight w:val="0"/>
          <w:marTop w:val="0"/>
          <w:marBottom w:val="0"/>
          <w:divBdr>
            <w:top w:val="none" w:sz="0" w:space="0" w:color="auto"/>
            <w:left w:val="none" w:sz="0" w:space="0" w:color="auto"/>
            <w:bottom w:val="none" w:sz="0" w:space="0" w:color="auto"/>
            <w:right w:val="none" w:sz="0" w:space="0" w:color="auto"/>
          </w:divBdr>
        </w:div>
      </w:divsChild>
    </w:div>
    <w:div w:id="883752978">
      <w:marLeft w:val="0"/>
      <w:marRight w:val="0"/>
      <w:marTop w:val="0"/>
      <w:marBottom w:val="0"/>
      <w:divBdr>
        <w:top w:val="none" w:sz="0" w:space="0" w:color="auto"/>
        <w:left w:val="none" w:sz="0" w:space="0" w:color="auto"/>
        <w:bottom w:val="none" w:sz="0" w:space="0" w:color="auto"/>
        <w:right w:val="none" w:sz="0" w:space="0" w:color="auto"/>
      </w:divBdr>
    </w:div>
    <w:div w:id="885606323">
      <w:marLeft w:val="0"/>
      <w:marRight w:val="0"/>
      <w:marTop w:val="0"/>
      <w:marBottom w:val="0"/>
      <w:divBdr>
        <w:top w:val="none" w:sz="0" w:space="0" w:color="auto"/>
        <w:left w:val="none" w:sz="0" w:space="0" w:color="auto"/>
        <w:bottom w:val="none" w:sz="0" w:space="0" w:color="auto"/>
        <w:right w:val="none" w:sz="0" w:space="0" w:color="auto"/>
      </w:divBdr>
    </w:div>
    <w:div w:id="886602285">
      <w:marLeft w:val="0"/>
      <w:marRight w:val="0"/>
      <w:marTop w:val="0"/>
      <w:marBottom w:val="0"/>
      <w:divBdr>
        <w:top w:val="none" w:sz="0" w:space="0" w:color="auto"/>
        <w:left w:val="none" w:sz="0" w:space="0" w:color="auto"/>
        <w:bottom w:val="none" w:sz="0" w:space="0" w:color="auto"/>
        <w:right w:val="none" w:sz="0" w:space="0" w:color="auto"/>
      </w:divBdr>
    </w:div>
    <w:div w:id="886721116">
      <w:marLeft w:val="0"/>
      <w:marRight w:val="0"/>
      <w:marTop w:val="100"/>
      <w:marBottom w:val="60"/>
      <w:divBdr>
        <w:top w:val="none" w:sz="0" w:space="0" w:color="auto"/>
        <w:left w:val="none" w:sz="0" w:space="0" w:color="auto"/>
        <w:bottom w:val="none" w:sz="0" w:space="0" w:color="auto"/>
        <w:right w:val="none" w:sz="0" w:space="0" w:color="auto"/>
      </w:divBdr>
      <w:divsChild>
        <w:div w:id="704134571">
          <w:marLeft w:val="0"/>
          <w:marRight w:val="0"/>
          <w:marTop w:val="0"/>
          <w:marBottom w:val="0"/>
          <w:divBdr>
            <w:top w:val="none" w:sz="0" w:space="0" w:color="auto"/>
            <w:left w:val="none" w:sz="0" w:space="0" w:color="auto"/>
            <w:bottom w:val="none" w:sz="0" w:space="0" w:color="auto"/>
            <w:right w:val="none" w:sz="0" w:space="0" w:color="auto"/>
          </w:divBdr>
        </w:div>
        <w:div w:id="1830900609">
          <w:marLeft w:val="0"/>
          <w:marRight w:val="0"/>
          <w:marTop w:val="0"/>
          <w:marBottom w:val="0"/>
          <w:divBdr>
            <w:top w:val="none" w:sz="0" w:space="0" w:color="auto"/>
            <w:left w:val="none" w:sz="0" w:space="0" w:color="auto"/>
            <w:bottom w:val="none" w:sz="0" w:space="0" w:color="auto"/>
            <w:right w:val="none" w:sz="0" w:space="0" w:color="auto"/>
          </w:divBdr>
        </w:div>
        <w:div w:id="374819365">
          <w:marLeft w:val="0"/>
          <w:marRight w:val="0"/>
          <w:marTop w:val="0"/>
          <w:marBottom w:val="0"/>
          <w:divBdr>
            <w:top w:val="none" w:sz="0" w:space="0" w:color="auto"/>
            <w:left w:val="none" w:sz="0" w:space="0" w:color="auto"/>
            <w:bottom w:val="none" w:sz="0" w:space="0" w:color="auto"/>
            <w:right w:val="none" w:sz="0" w:space="0" w:color="auto"/>
          </w:divBdr>
        </w:div>
        <w:div w:id="340395045">
          <w:marLeft w:val="0"/>
          <w:marRight w:val="0"/>
          <w:marTop w:val="0"/>
          <w:marBottom w:val="0"/>
          <w:divBdr>
            <w:top w:val="none" w:sz="0" w:space="0" w:color="auto"/>
            <w:left w:val="none" w:sz="0" w:space="0" w:color="auto"/>
            <w:bottom w:val="none" w:sz="0" w:space="0" w:color="auto"/>
            <w:right w:val="none" w:sz="0" w:space="0" w:color="auto"/>
          </w:divBdr>
        </w:div>
        <w:div w:id="423649072">
          <w:marLeft w:val="0"/>
          <w:marRight w:val="0"/>
          <w:marTop w:val="0"/>
          <w:marBottom w:val="0"/>
          <w:divBdr>
            <w:top w:val="none" w:sz="0" w:space="0" w:color="auto"/>
            <w:left w:val="none" w:sz="0" w:space="0" w:color="auto"/>
            <w:bottom w:val="none" w:sz="0" w:space="0" w:color="auto"/>
            <w:right w:val="none" w:sz="0" w:space="0" w:color="auto"/>
          </w:divBdr>
        </w:div>
        <w:div w:id="1754886920">
          <w:marLeft w:val="0"/>
          <w:marRight w:val="0"/>
          <w:marTop w:val="0"/>
          <w:marBottom w:val="0"/>
          <w:divBdr>
            <w:top w:val="none" w:sz="0" w:space="0" w:color="auto"/>
            <w:left w:val="none" w:sz="0" w:space="0" w:color="auto"/>
            <w:bottom w:val="none" w:sz="0" w:space="0" w:color="auto"/>
            <w:right w:val="none" w:sz="0" w:space="0" w:color="auto"/>
          </w:divBdr>
        </w:div>
        <w:div w:id="588001581">
          <w:marLeft w:val="0"/>
          <w:marRight w:val="0"/>
          <w:marTop w:val="0"/>
          <w:marBottom w:val="0"/>
          <w:divBdr>
            <w:top w:val="none" w:sz="0" w:space="0" w:color="auto"/>
            <w:left w:val="none" w:sz="0" w:space="0" w:color="auto"/>
            <w:bottom w:val="none" w:sz="0" w:space="0" w:color="auto"/>
            <w:right w:val="none" w:sz="0" w:space="0" w:color="auto"/>
          </w:divBdr>
        </w:div>
        <w:div w:id="550113555">
          <w:marLeft w:val="0"/>
          <w:marRight w:val="0"/>
          <w:marTop w:val="0"/>
          <w:marBottom w:val="0"/>
          <w:divBdr>
            <w:top w:val="none" w:sz="0" w:space="0" w:color="auto"/>
            <w:left w:val="none" w:sz="0" w:space="0" w:color="auto"/>
            <w:bottom w:val="none" w:sz="0" w:space="0" w:color="auto"/>
            <w:right w:val="none" w:sz="0" w:space="0" w:color="auto"/>
          </w:divBdr>
        </w:div>
        <w:div w:id="82142574">
          <w:marLeft w:val="0"/>
          <w:marRight w:val="0"/>
          <w:marTop w:val="0"/>
          <w:marBottom w:val="0"/>
          <w:divBdr>
            <w:top w:val="none" w:sz="0" w:space="0" w:color="auto"/>
            <w:left w:val="none" w:sz="0" w:space="0" w:color="auto"/>
            <w:bottom w:val="none" w:sz="0" w:space="0" w:color="auto"/>
            <w:right w:val="none" w:sz="0" w:space="0" w:color="auto"/>
          </w:divBdr>
        </w:div>
        <w:div w:id="1098015243">
          <w:marLeft w:val="0"/>
          <w:marRight w:val="0"/>
          <w:marTop w:val="0"/>
          <w:marBottom w:val="0"/>
          <w:divBdr>
            <w:top w:val="none" w:sz="0" w:space="0" w:color="auto"/>
            <w:left w:val="none" w:sz="0" w:space="0" w:color="auto"/>
            <w:bottom w:val="none" w:sz="0" w:space="0" w:color="auto"/>
            <w:right w:val="none" w:sz="0" w:space="0" w:color="auto"/>
          </w:divBdr>
        </w:div>
      </w:divsChild>
    </w:div>
    <w:div w:id="887494851">
      <w:marLeft w:val="0"/>
      <w:marRight w:val="0"/>
      <w:marTop w:val="0"/>
      <w:marBottom w:val="0"/>
      <w:divBdr>
        <w:top w:val="none" w:sz="0" w:space="0" w:color="auto"/>
        <w:left w:val="none" w:sz="0" w:space="0" w:color="auto"/>
        <w:bottom w:val="none" w:sz="0" w:space="0" w:color="auto"/>
        <w:right w:val="none" w:sz="0" w:space="0" w:color="auto"/>
      </w:divBdr>
    </w:div>
    <w:div w:id="887884316">
      <w:marLeft w:val="0"/>
      <w:marRight w:val="0"/>
      <w:marTop w:val="0"/>
      <w:marBottom w:val="0"/>
      <w:divBdr>
        <w:top w:val="none" w:sz="0" w:space="0" w:color="auto"/>
        <w:left w:val="none" w:sz="0" w:space="0" w:color="auto"/>
        <w:bottom w:val="none" w:sz="0" w:space="0" w:color="auto"/>
        <w:right w:val="none" w:sz="0" w:space="0" w:color="auto"/>
      </w:divBdr>
    </w:div>
    <w:div w:id="889073424">
      <w:marLeft w:val="0"/>
      <w:marRight w:val="0"/>
      <w:marTop w:val="0"/>
      <w:marBottom w:val="0"/>
      <w:divBdr>
        <w:top w:val="none" w:sz="0" w:space="0" w:color="auto"/>
        <w:left w:val="none" w:sz="0" w:space="0" w:color="auto"/>
        <w:bottom w:val="none" w:sz="0" w:space="0" w:color="auto"/>
        <w:right w:val="none" w:sz="0" w:space="0" w:color="auto"/>
      </w:divBdr>
    </w:div>
    <w:div w:id="891035798">
      <w:marLeft w:val="0"/>
      <w:marRight w:val="0"/>
      <w:marTop w:val="100"/>
      <w:marBottom w:val="100"/>
      <w:divBdr>
        <w:top w:val="none" w:sz="0" w:space="0" w:color="auto"/>
        <w:left w:val="none" w:sz="0" w:space="0" w:color="auto"/>
        <w:bottom w:val="none" w:sz="0" w:space="0" w:color="auto"/>
        <w:right w:val="none" w:sz="0" w:space="0" w:color="auto"/>
      </w:divBdr>
      <w:divsChild>
        <w:div w:id="266618613">
          <w:marLeft w:val="0"/>
          <w:marRight w:val="0"/>
          <w:marTop w:val="0"/>
          <w:marBottom w:val="0"/>
          <w:divBdr>
            <w:top w:val="none" w:sz="0" w:space="0" w:color="auto"/>
            <w:left w:val="none" w:sz="0" w:space="0" w:color="auto"/>
            <w:bottom w:val="none" w:sz="0" w:space="0" w:color="auto"/>
            <w:right w:val="none" w:sz="0" w:space="0" w:color="auto"/>
          </w:divBdr>
        </w:div>
      </w:divsChild>
    </w:div>
    <w:div w:id="891891278">
      <w:marLeft w:val="0"/>
      <w:marRight w:val="0"/>
      <w:marTop w:val="0"/>
      <w:marBottom w:val="0"/>
      <w:divBdr>
        <w:top w:val="none" w:sz="0" w:space="0" w:color="auto"/>
        <w:left w:val="none" w:sz="0" w:space="0" w:color="auto"/>
        <w:bottom w:val="none" w:sz="0" w:space="0" w:color="auto"/>
        <w:right w:val="none" w:sz="0" w:space="0" w:color="auto"/>
      </w:divBdr>
    </w:div>
    <w:div w:id="892929856">
      <w:marLeft w:val="0"/>
      <w:marRight w:val="0"/>
      <w:marTop w:val="100"/>
      <w:marBottom w:val="60"/>
      <w:divBdr>
        <w:top w:val="none" w:sz="0" w:space="0" w:color="auto"/>
        <w:left w:val="none" w:sz="0" w:space="0" w:color="auto"/>
        <w:bottom w:val="none" w:sz="0" w:space="0" w:color="auto"/>
        <w:right w:val="none" w:sz="0" w:space="0" w:color="auto"/>
      </w:divBdr>
    </w:div>
    <w:div w:id="893270648">
      <w:marLeft w:val="0"/>
      <w:marRight w:val="0"/>
      <w:marTop w:val="100"/>
      <w:marBottom w:val="100"/>
      <w:divBdr>
        <w:top w:val="none" w:sz="0" w:space="0" w:color="auto"/>
        <w:left w:val="none" w:sz="0" w:space="0" w:color="auto"/>
        <w:bottom w:val="none" w:sz="0" w:space="0" w:color="auto"/>
        <w:right w:val="none" w:sz="0" w:space="0" w:color="auto"/>
      </w:divBdr>
      <w:divsChild>
        <w:div w:id="970743269">
          <w:marLeft w:val="0"/>
          <w:marRight w:val="0"/>
          <w:marTop w:val="0"/>
          <w:marBottom w:val="0"/>
          <w:divBdr>
            <w:top w:val="none" w:sz="0" w:space="0" w:color="auto"/>
            <w:left w:val="none" w:sz="0" w:space="0" w:color="auto"/>
            <w:bottom w:val="none" w:sz="0" w:space="0" w:color="auto"/>
            <w:right w:val="none" w:sz="0" w:space="0" w:color="auto"/>
          </w:divBdr>
        </w:div>
        <w:div w:id="951866833">
          <w:marLeft w:val="0"/>
          <w:marRight w:val="0"/>
          <w:marTop w:val="0"/>
          <w:marBottom w:val="0"/>
          <w:divBdr>
            <w:top w:val="none" w:sz="0" w:space="0" w:color="auto"/>
            <w:left w:val="none" w:sz="0" w:space="0" w:color="auto"/>
            <w:bottom w:val="none" w:sz="0" w:space="0" w:color="auto"/>
            <w:right w:val="none" w:sz="0" w:space="0" w:color="auto"/>
          </w:divBdr>
        </w:div>
        <w:div w:id="1306548423">
          <w:marLeft w:val="0"/>
          <w:marRight w:val="0"/>
          <w:marTop w:val="0"/>
          <w:marBottom w:val="0"/>
          <w:divBdr>
            <w:top w:val="none" w:sz="0" w:space="0" w:color="auto"/>
            <w:left w:val="none" w:sz="0" w:space="0" w:color="auto"/>
            <w:bottom w:val="none" w:sz="0" w:space="0" w:color="auto"/>
            <w:right w:val="none" w:sz="0" w:space="0" w:color="auto"/>
          </w:divBdr>
        </w:div>
      </w:divsChild>
    </w:div>
    <w:div w:id="894314928">
      <w:marLeft w:val="0"/>
      <w:marRight w:val="0"/>
      <w:marTop w:val="0"/>
      <w:marBottom w:val="0"/>
      <w:divBdr>
        <w:top w:val="none" w:sz="0" w:space="0" w:color="auto"/>
        <w:left w:val="none" w:sz="0" w:space="0" w:color="auto"/>
        <w:bottom w:val="none" w:sz="0" w:space="0" w:color="auto"/>
        <w:right w:val="none" w:sz="0" w:space="0" w:color="auto"/>
      </w:divBdr>
    </w:div>
    <w:div w:id="894701745">
      <w:marLeft w:val="0"/>
      <w:marRight w:val="0"/>
      <w:marTop w:val="0"/>
      <w:marBottom w:val="0"/>
      <w:divBdr>
        <w:top w:val="none" w:sz="0" w:space="0" w:color="auto"/>
        <w:left w:val="none" w:sz="0" w:space="0" w:color="auto"/>
        <w:bottom w:val="none" w:sz="0" w:space="0" w:color="auto"/>
        <w:right w:val="none" w:sz="0" w:space="0" w:color="auto"/>
      </w:divBdr>
    </w:div>
    <w:div w:id="894774258">
      <w:marLeft w:val="0"/>
      <w:marRight w:val="0"/>
      <w:marTop w:val="0"/>
      <w:marBottom w:val="0"/>
      <w:divBdr>
        <w:top w:val="none" w:sz="0" w:space="0" w:color="auto"/>
        <w:left w:val="none" w:sz="0" w:space="0" w:color="auto"/>
        <w:bottom w:val="none" w:sz="0" w:space="0" w:color="auto"/>
        <w:right w:val="none" w:sz="0" w:space="0" w:color="auto"/>
      </w:divBdr>
    </w:div>
    <w:div w:id="895119099">
      <w:marLeft w:val="0"/>
      <w:marRight w:val="0"/>
      <w:marTop w:val="0"/>
      <w:marBottom w:val="0"/>
      <w:divBdr>
        <w:top w:val="none" w:sz="0" w:space="0" w:color="auto"/>
        <w:left w:val="none" w:sz="0" w:space="0" w:color="auto"/>
        <w:bottom w:val="none" w:sz="0" w:space="0" w:color="auto"/>
        <w:right w:val="none" w:sz="0" w:space="0" w:color="auto"/>
      </w:divBdr>
    </w:div>
    <w:div w:id="896744704">
      <w:marLeft w:val="0"/>
      <w:marRight w:val="0"/>
      <w:marTop w:val="0"/>
      <w:marBottom w:val="0"/>
      <w:divBdr>
        <w:top w:val="none" w:sz="0" w:space="0" w:color="auto"/>
        <w:left w:val="none" w:sz="0" w:space="0" w:color="auto"/>
        <w:bottom w:val="none" w:sz="0" w:space="0" w:color="auto"/>
        <w:right w:val="none" w:sz="0" w:space="0" w:color="auto"/>
      </w:divBdr>
    </w:div>
    <w:div w:id="901063092">
      <w:marLeft w:val="0"/>
      <w:marRight w:val="0"/>
      <w:marTop w:val="0"/>
      <w:marBottom w:val="0"/>
      <w:divBdr>
        <w:top w:val="none" w:sz="0" w:space="0" w:color="auto"/>
        <w:left w:val="none" w:sz="0" w:space="0" w:color="auto"/>
        <w:bottom w:val="none" w:sz="0" w:space="0" w:color="auto"/>
        <w:right w:val="none" w:sz="0" w:space="0" w:color="auto"/>
      </w:divBdr>
    </w:div>
    <w:div w:id="903443675">
      <w:marLeft w:val="0"/>
      <w:marRight w:val="0"/>
      <w:marTop w:val="0"/>
      <w:marBottom w:val="0"/>
      <w:divBdr>
        <w:top w:val="none" w:sz="0" w:space="0" w:color="auto"/>
        <w:left w:val="none" w:sz="0" w:space="0" w:color="auto"/>
        <w:bottom w:val="none" w:sz="0" w:space="0" w:color="auto"/>
        <w:right w:val="none" w:sz="0" w:space="0" w:color="auto"/>
      </w:divBdr>
      <w:divsChild>
        <w:div w:id="1764454896">
          <w:marLeft w:val="0"/>
          <w:marRight w:val="0"/>
          <w:marTop w:val="0"/>
          <w:marBottom w:val="0"/>
          <w:divBdr>
            <w:top w:val="none" w:sz="0" w:space="0" w:color="auto"/>
            <w:left w:val="none" w:sz="0" w:space="0" w:color="auto"/>
            <w:bottom w:val="none" w:sz="0" w:space="0" w:color="auto"/>
            <w:right w:val="none" w:sz="0" w:space="0" w:color="auto"/>
          </w:divBdr>
        </w:div>
      </w:divsChild>
    </w:div>
    <w:div w:id="903563647">
      <w:marLeft w:val="0"/>
      <w:marRight w:val="0"/>
      <w:marTop w:val="0"/>
      <w:marBottom w:val="0"/>
      <w:divBdr>
        <w:top w:val="none" w:sz="0" w:space="0" w:color="auto"/>
        <w:left w:val="none" w:sz="0" w:space="0" w:color="auto"/>
        <w:bottom w:val="none" w:sz="0" w:space="0" w:color="auto"/>
        <w:right w:val="none" w:sz="0" w:space="0" w:color="auto"/>
      </w:divBdr>
    </w:div>
    <w:div w:id="904023939">
      <w:marLeft w:val="0"/>
      <w:marRight w:val="0"/>
      <w:marTop w:val="0"/>
      <w:marBottom w:val="0"/>
      <w:divBdr>
        <w:top w:val="none" w:sz="0" w:space="0" w:color="auto"/>
        <w:left w:val="none" w:sz="0" w:space="0" w:color="auto"/>
        <w:bottom w:val="none" w:sz="0" w:space="0" w:color="auto"/>
        <w:right w:val="none" w:sz="0" w:space="0" w:color="auto"/>
      </w:divBdr>
    </w:div>
    <w:div w:id="904268083">
      <w:marLeft w:val="0"/>
      <w:marRight w:val="0"/>
      <w:marTop w:val="0"/>
      <w:marBottom w:val="0"/>
      <w:divBdr>
        <w:top w:val="none" w:sz="0" w:space="0" w:color="auto"/>
        <w:left w:val="none" w:sz="0" w:space="0" w:color="auto"/>
        <w:bottom w:val="none" w:sz="0" w:space="0" w:color="auto"/>
        <w:right w:val="none" w:sz="0" w:space="0" w:color="auto"/>
      </w:divBdr>
    </w:div>
    <w:div w:id="904532827">
      <w:marLeft w:val="0"/>
      <w:marRight w:val="0"/>
      <w:marTop w:val="0"/>
      <w:marBottom w:val="0"/>
      <w:divBdr>
        <w:top w:val="none" w:sz="0" w:space="0" w:color="auto"/>
        <w:left w:val="none" w:sz="0" w:space="0" w:color="auto"/>
        <w:bottom w:val="none" w:sz="0" w:space="0" w:color="auto"/>
        <w:right w:val="none" w:sz="0" w:space="0" w:color="auto"/>
      </w:divBdr>
    </w:div>
    <w:div w:id="904801552">
      <w:marLeft w:val="0"/>
      <w:marRight w:val="0"/>
      <w:marTop w:val="0"/>
      <w:marBottom w:val="0"/>
      <w:divBdr>
        <w:top w:val="none" w:sz="0" w:space="0" w:color="auto"/>
        <w:left w:val="none" w:sz="0" w:space="0" w:color="auto"/>
        <w:bottom w:val="none" w:sz="0" w:space="0" w:color="auto"/>
        <w:right w:val="none" w:sz="0" w:space="0" w:color="auto"/>
      </w:divBdr>
    </w:div>
    <w:div w:id="904989471">
      <w:marLeft w:val="0"/>
      <w:marRight w:val="0"/>
      <w:marTop w:val="0"/>
      <w:marBottom w:val="0"/>
      <w:divBdr>
        <w:top w:val="none" w:sz="0" w:space="0" w:color="auto"/>
        <w:left w:val="none" w:sz="0" w:space="0" w:color="auto"/>
        <w:bottom w:val="none" w:sz="0" w:space="0" w:color="auto"/>
        <w:right w:val="none" w:sz="0" w:space="0" w:color="auto"/>
      </w:divBdr>
    </w:div>
    <w:div w:id="906383628">
      <w:marLeft w:val="0"/>
      <w:marRight w:val="0"/>
      <w:marTop w:val="0"/>
      <w:marBottom w:val="0"/>
      <w:divBdr>
        <w:top w:val="none" w:sz="0" w:space="0" w:color="auto"/>
        <w:left w:val="none" w:sz="0" w:space="0" w:color="auto"/>
        <w:bottom w:val="none" w:sz="0" w:space="0" w:color="auto"/>
        <w:right w:val="none" w:sz="0" w:space="0" w:color="auto"/>
      </w:divBdr>
    </w:div>
    <w:div w:id="907181012">
      <w:marLeft w:val="0"/>
      <w:marRight w:val="0"/>
      <w:marTop w:val="0"/>
      <w:marBottom w:val="0"/>
      <w:divBdr>
        <w:top w:val="none" w:sz="0" w:space="0" w:color="auto"/>
        <w:left w:val="none" w:sz="0" w:space="0" w:color="auto"/>
        <w:bottom w:val="none" w:sz="0" w:space="0" w:color="auto"/>
        <w:right w:val="none" w:sz="0" w:space="0" w:color="auto"/>
      </w:divBdr>
    </w:div>
    <w:div w:id="908807175">
      <w:marLeft w:val="0"/>
      <w:marRight w:val="0"/>
      <w:marTop w:val="0"/>
      <w:marBottom w:val="0"/>
      <w:divBdr>
        <w:top w:val="none" w:sz="0" w:space="0" w:color="auto"/>
        <w:left w:val="none" w:sz="0" w:space="0" w:color="auto"/>
        <w:bottom w:val="none" w:sz="0" w:space="0" w:color="auto"/>
        <w:right w:val="none" w:sz="0" w:space="0" w:color="auto"/>
      </w:divBdr>
    </w:div>
    <w:div w:id="909271909">
      <w:marLeft w:val="0"/>
      <w:marRight w:val="0"/>
      <w:marTop w:val="0"/>
      <w:marBottom w:val="0"/>
      <w:divBdr>
        <w:top w:val="none" w:sz="0" w:space="0" w:color="auto"/>
        <w:left w:val="none" w:sz="0" w:space="0" w:color="auto"/>
        <w:bottom w:val="none" w:sz="0" w:space="0" w:color="auto"/>
        <w:right w:val="none" w:sz="0" w:space="0" w:color="auto"/>
      </w:divBdr>
    </w:div>
    <w:div w:id="910625106">
      <w:marLeft w:val="0"/>
      <w:marRight w:val="0"/>
      <w:marTop w:val="0"/>
      <w:marBottom w:val="0"/>
      <w:divBdr>
        <w:top w:val="none" w:sz="0" w:space="0" w:color="auto"/>
        <w:left w:val="none" w:sz="0" w:space="0" w:color="auto"/>
        <w:bottom w:val="none" w:sz="0" w:space="0" w:color="auto"/>
        <w:right w:val="none" w:sz="0" w:space="0" w:color="auto"/>
      </w:divBdr>
    </w:div>
    <w:div w:id="911309588">
      <w:marLeft w:val="0"/>
      <w:marRight w:val="0"/>
      <w:marTop w:val="0"/>
      <w:marBottom w:val="0"/>
      <w:divBdr>
        <w:top w:val="none" w:sz="0" w:space="0" w:color="auto"/>
        <w:left w:val="none" w:sz="0" w:space="0" w:color="auto"/>
        <w:bottom w:val="none" w:sz="0" w:space="0" w:color="auto"/>
        <w:right w:val="none" w:sz="0" w:space="0" w:color="auto"/>
      </w:divBdr>
    </w:div>
    <w:div w:id="912811448">
      <w:marLeft w:val="0"/>
      <w:marRight w:val="0"/>
      <w:marTop w:val="0"/>
      <w:marBottom w:val="0"/>
      <w:divBdr>
        <w:top w:val="none" w:sz="0" w:space="0" w:color="auto"/>
        <w:left w:val="none" w:sz="0" w:space="0" w:color="auto"/>
        <w:bottom w:val="none" w:sz="0" w:space="0" w:color="auto"/>
        <w:right w:val="none" w:sz="0" w:space="0" w:color="auto"/>
      </w:divBdr>
    </w:div>
    <w:div w:id="913704321">
      <w:marLeft w:val="0"/>
      <w:marRight w:val="0"/>
      <w:marTop w:val="0"/>
      <w:marBottom w:val="0"/>
      <w:divBdr>
        <w:top w:val="none" w:sz="0" w:space="0" w:color="auto"/>
        <w:left w:val="none" w:sz="0" w:space="0" w:color="auto"/>
        <w:bottom w:val="none" w:sz="0" w:space="0" w:color="auto"/>
        <w:right w:val="none" w:sz="0" w:space="0" w:color="auto"/>
      </w:divBdr>
    </w:div>
    <w:div w:id="913971866">
      <w:marLeft w:val="0"/>
      <w:marRight w:val="0"/>
      <w:marTop w:val="0"/>
      <w:marBottom w:val="0"/>
      <w:divBdr>
        <w:top w:val="none" w:sz="0" w:space="0" w:color="auto"/>
        <w:left w:val="none" w:sz="0" w:space="0" w:color="auto"/>
        <w:bottom w:val="none" w:sz="0" w:space="0" w:color="auto"/>
        <w:right w:val="none" w:sz="0" w:space="0" w:color="auto"/>
      </w:divBdr>
    </w:div>
    <w:div w:id="914515524">
      <w:marLeft w:val="0"/>
      <w:marRight w:val="0"/>
      <w:marTop w:val="0"/>
      <w:marBottom w:val="0"/>
      <w:divBdr>
        <w:top w:val="none" w:sz="0" w:space="0" w:color="auto"/>
        <w:left w:val="none" w:sz="0" w:space="0" w:color="auto"/>
        <w:bottom w:val="none" w:sz="0" w:space="0" w:color="auto"/>
        <w:right w:val="none" w:sz="0" w:space="0" w:color="auto"/>
      </w:divBdr>
    </w:div>
    <w:div w:id="915167491">
      <w:marLeft w:val="0"/>
      <w:marRight w:val="0"/>
      <w:marTop w:val="0"/>
      <w:marBottom w:val="0"/>
      <w:divBdr>
        <w:top w:val="none" w:sz="0" w:space="0" w:color="auto"/>
        <w:left w:val="none" w:sz="0" w:space="0" w:color="auto"/>
        <w:bottom w:val="none" w:sz="0" w:space="0" w:color="auto"/>
        <w:right w:val="none" w:sz="0" w:space="0" w:color="auto"/>
      </w:divBdr>
    </w:div>
    <w:div w:id="915211800">
      <w:marLeft w:val="0"/>
      <w:marRight w:val="0"/>
      <w:marTop w:val="0"/>
      <w:marBottom w:val="0"/>
      <w:divBdr>
        <w:top w:val="none" w:sz="0" w:space="0" w:color="auto"/>
        <w:left w:val="none" w:sz="0" w:space="0" w:color="auto"/>
        <w:bottom w:val="none" w:sz="0" w:space="0" w:color="auto"/>
        <w:right w:val="none" w:sz="0" w:space="0" w:color="auto"/>
      </w:divBdr>
    </w:div>
    <w:div w:id="915281719">
      <w:marLeft w:val="0"/>
      <w:marRight w:val="0"/>
      <w:marTop w:val="0"/>
      <w:marBottom w:val="0"/>
      <w:divBdr>
        <w:top w:val="none" w:sz="0" w:space="0" w:color="auto"/>
        <w:left w:val="none" w:sz="0" w:space="0" w:color="auto"/>
        <w:bottom w:val="none" w:sz="0" w:space="0" w:color="auto"/>
        <w:right w:val="none" w:sz="0" w:space="0" w:color="auto"/>
      </w:divBdr>
    </w:div>
    <w:div w:id="915364264">
      <w:marLeft w:val="0"/>
      <w:marRight w:val="0"/>
      <w:marTop w:val="100"/>
      <w:marBottom w:val="100"/>
      <w:divBdr>
        <w:top w:val="none" w:sz="0" w:space="0" w:color="auto"/>
        <w:left w:val="none" w:sz="0" w:space="0" w:color="auto"/>
        <w:bottom w:val="none" w:sz="0" w:space="0" w:color="auto"/>
        <w:right w:val="none" w:sz="0" w:space="0" w:color="auto"/>
      </w:divBdr>
      <w:divsChild>
        <w:div w:id="1788429005">
          <w:marLeft w:val="0"/>
          <w:marRight w:val="0"/>
          <w:marTop w:val="0"/>
          <w:marBottom w:val="0"/>
          <w:divBdr>
            <w:top w:val="none" w:sz="0" w:space="0" w:color="auto"/>
            <w:left w:val="none" w:sz="0" w:space="0" w:color="auto"/>
            <w:bottom w:val="none" w:sz="0" w:space="0" w:color="auto"/>
            <w:right w:val="none" w:sz="0" w:space="0" w:color="auto"/>
          </w:divBdr>
        </w:div>
      </w:divsChild>
    </w:div>
    <w:div w:id="915630038">
      <w:marLeft w:val="0"/>
      <w:marRight w:val="0"/>
      <w:marTop w:val="0"/>
      <w:marBottom w:val="0"/>
      <w:divBdr>
        <w:top w:val="none" w:sz="0" w:space="0" w:color="auto"/>
        <w:left w:val="none" w:sz="0" w:space="0" w:color="auto"/>
        <w:bottom w:val="none" w:sz="0" w:space="0" w:color="auto"/>
        <w:right w:val="none" w:sz="0" w:space="0" w:color="auto"/>
      </w:divBdr>
      <w:divsChild>
        <w:div w:id="391538957">
          <w:marLeft w:val="0"/>
          <w:marRight w:val="0"/>
          <w:marTop w:val="0"/>
          <w:marBottom w:val="0"/>
          <w:divBdr>
            <w:top w:val="none" w:sz="0" w:space="0" w:color="auto"/>
            <w:left w:val="none" w:sz="0" w:space="0" w:color="auto"/>
            <w:bottom w:val="none" w:sz="0" w:space="0" w:color="auto"/>
            <w:right w:val="none" w:sz="0" w:space="0" w:color="auto"/>
          </w:divBdr>
        </w:div>
      </w:divsChild>
    </w:div>
    <w:div w:id="917322328">
      <w:marLeft w:val="0"/>
      <w:marRight w:val="0"/>
      <w:marTop w:val="0"/>
      <w:marBottom w:val="0"/>
      <w:divBdr>
        <w:top w:val="none" w:sz="0" w:space="0" w:color="auto"/>
        <w:left w:val="none" w:sz="0" w:space="0" w:color="auto"/>
        <w:bottom w:val="none" w:sz="0" w:space="0" w:color="auto"/>
        <w:right w:val="none" w:sz="0" w:space="0" w:color="auto"/>
      </w:divBdr>
    </w:div>
    <w:div w:id="917403217">
      <w:marLeft w:val="0"/>
      <w:marRight w:val="0"/>
      <w:marTop w:val="0"/>
      <w:marBottom w:val="0"/>
      <w:divBdr>
        <w:top w:val="none" w:sz="0" w:space="0" w:color="auto"/>
        <w:left w:val="none" w:sz="0" w:space="0" w:color="auto"/>
        <w:bottom w:val="none" w:sz="0" w:space="0" w:color="auto"/>
        <w:right w:val="none" w:sz="0" w:space="0" w:color="auto"/>
      </w:divBdr>
    </w:div>
    <w:div w:id="917403472">
      <w:marLeft w:val="0"/>
      <w:marRight w:val="0"/>
      <w:marTop w:val="0"/>
      <w:marBottom w:val="0"/>
      <w:divBdr>
        <w:top w:val="none" w:sz="0" w:space="0" w:color="auto"/>
        <w:left w:val="none" w:sz="0" w:space="0" w:color="auto"/>
        <w:bottom w:val="none" w:sz="0" w:space="0" w:color="auto"/>
        <w:right w:val="none" w:sz="0" w:space="0" w:color="auto"/>
      </w:divBdr>
    </w:div>
    <w:div w:id="918292499">
      <w:marLeft w:val="0"/>
      <w:marRight w:val="0"/>
      <w:marTop w:val="0"/>
      <w:marBottom w:val="0"/>
      <w:divBdr>
        <w:top w:val="none" w:sz="0" w:space="0" w:color="auto"/>
        <w:left w:val="none" w:sz="0" w:space="0" w:color="auto"/>
        <w:bottom w:val="none" w:sz="0" w:space="0" w:color="auto"/>
        <w:right w:val="none" w:sz="0" w:space="0" w:color="auto"/>
      </w:divBdr>
    </w:div>
    <w:div w:id="918370338">
      <w:marLeft w:val="0"/>
      <w:marRight w:val="0"/>
      <w:marTop w:val="0"/>
      <w:marBottom w:val="0"/>
      <w:divBdr>
        <w:top w:val="none" w:sz="0" w:space="0" w:color="auto"/>
        <w:left w:val="none" w:sz="0" w:space="0" w:color="auto"/>
        <w:bottom w:val="none" w:sz="0" w:space="0" w:color="auto"/>
        <w:right w:val="none" w:sz="0" w:space="0" w:color="auto"/>
      </w:divBdr>
    </w:div>
    <w:div w:id="918758204">
      <w:marLeft w:val="0"/>
      <w:marRight w:val="0"/>
      <w:marTop w:val="0"/>
      <w:marBottom w:val="0"/>
      <w:divBdr>
        <w:top w:val="none" w:sz="0" w:space="0" w:color="auto"/>
        <w:left w:val="none" w:sz="0" w:space="0" w:color="auto"/>
        <w:bottom w:val="none" w:sz="0" w:space="0" w:color="auto"/>
        <w:right w:val="none" w:sz="0" w:space="0" w:color="auto"/>
      </w:divBdr>
    </w:div>
    <w:div w:id="919562956">
      <w:marLeft w:val="0"/>
      <w:marRight w:val="0"/>
      <w:marTop w:val="0"/>
      <w:marBottom w:val="0"/>
      <w:divBdr>
        <w:top w:val="none" w:sz="0" w:space="0" w:color="auto"/>
        <w:left w:val="none" w:sz="0" w:space="0" w:color="auto"/>
        <w:bottom w:val="none" w:sz="0" w:space="0" w:color="auto"/>
        <w:right w:val="none" w:sz="0" w:space="0" w:color="auto"/>
      </w:divBdr>
      <w:divsChild>
        <w:div w:id="785733923">
          <w:marLeft w:val="0"/>
          <w:marRight w:val="0"/>
          <w:marTop w:val="0"/>
          <w:marBottom w:val="0"/>
          <w:divBdr>
            <w:top w:val="none" w:sz="0" w:space="0" w:color="auto"/>
            <w:left w:val="none" w:sz="0" w:space="0" w:color="auto"/>
            <w:bottom w:val="none" w:sz="0" w:space="0" w:color="auto"/>
            <w:right w:val="none" w:sz="0" w:space="0" w:color="auto"/>
          </w:divBdr>
        </w:div>
      </w:divsChild>
    </w:div>
    <w:div w:id="919754983">
      <w:marLeft w:val="0"/>
      <w:marRight w:val="0"/>
      <w:marTop w:val="0"/>
      <w:marBottom w:val="0"/>
      <w:divBdr>
        <w:top w:val="none" w:sz="0" w:space="0" w:color="auto"/>
        <w:left w:val="none" w:sz="0" w:space="0" w:color="auto"/>
        <w:bottom w:val="none" w:sz="0" w:space="0" w:color="auto"/>
        <w:right w:val="none" w:sz="0" w:space="0" w:color="auto"/>
      </w:divBdr>
    </w:div>
    <w:div w:id="921373068">
      <w:marLeft w:val="0"/>
      <w:marRight w:val="0"/>
      <w:marTop w:val="0"/>
      <w:marBottom w:val="0"/>
      <w:divBdr>
        <w:top w:val="none" w:sz="0" w:space="0" w:color="auto"/>
        <w:left w:val="none" w:sz="0" w:space="0" w:color="auto"/>
        <w:bottom w:val="none" w:sz="0" w:space="0" w:color="auto"/>
        <w:right w:val="none" w:sz="0" w:space="0" w:color="auto"/>
      </w:divBdr>
    </w:div>
    <w:div w:id="922496896">
      <w:marLeft w:val="0"/>
      <w:marRight w:val="0"/>
      <w:marTop w:val="0"/>
      <w:marBottom w:val="0"/>
      <w:divBdr>
        <w:top w:val="none" w:sz="0" w:space="0" w:color="auto"/>
        <w:left w:val="none" w:sz="0" w:space="0" w:color="auto"/>
        <w:bottom w:val="none" w:sz="0" w:space="0" w:color="auto"/>
        <w:right w:val="none" w:sz="0" w:space="0" w:color="auto"/>
      </w:divBdr>
    </w:div>
    <w:div w:id="922758279">
      <w:marLeft w:val="0"/>
      <w:marRight w:val="0"/>
      <w:marTop w:val="0"/>
      <w:marBottom w:val="0"/>
      <w:divBdr>
        <w:top w:val="none" w:sz="0" w:space="0" w:color="auto"/>
        <w:left w:val="none" w:sz="0" w:space="0" w:color="auto"/>
        <w:bottom w:val="none" w:sz="0" w:space="0" w:color="auto"/>
        <w:right w:val="none" w:sz="0" w:space="0" w:color="auto"/>
      </w:divBdr>
    </w:div>
    <w:div w:id="922909100">
      <w:marLeft w:val="0"/>
      <w:marRight w:val="0"/>
      <w:marTop w:val="0"/>
      <w:marBottom w:val="0"/>
      <w:divBdr>
        <w:top w:val="none" w:sz="0" w:space="0" w:color="auto"/>
        <w:left w:val="none" w:sz="0" w:space="0" w:color="auto"/>
        <w:bottom w:val="none" w:sz="0" w:space="0" w:color="auto"/>
        <w:right w:val="none" w:sz="0" w:space="0" w:color="auto"/>
      </w:divBdr>
    </w:div>
    <w:div w:id="923956762">
      <w:marLeft w:val="0"/>
      <w:marRight w:val="0"/>
      <w:marTop w:val="0"/>
      <w:marBottom w:val="0"/>
      <w:divBdr>
        <w:top w:val="none" w:sz="0" w:space="0" w:color="auto"/>
        <w:left w:val="none" w:sz="0" w:space="0" w:color="auto"/>
        <w:bottom w:val="none" w:sz="0" w:space="0" w:color="auto"/>
        <w:right w:val="none" w:sz="0" w:space="0" w:color="auto"/>
      </w:divBdr>
    </w:div>
    <w:div w:id="924000300">
      <w:marLeft w:val="0"/>
      <w:marRight w:val="0"/>
      <w:marTop w:val="0"/>
      <w:marBottom w:val="0"/>
      <w:divBdr>
        <w:top w:val="none" w:sz="0" w:space="0" w:color="auto"/>
        <w:left w:val="none" w:sz="0" w:space="0" w:color="auto"/>
        <w:bottom w:val="none" w:sz="0" w:space="0" w:color="auto"/>
        <w:right w:val="none" w:sz="0" w:space="0" w:color="auto"/>
      </w:divBdr>
    </w:div>
    <w:div w:id="924460922">
      <w:marLeft w:val="0"/>
      <w:marRight w:val="0"/>
      <w:marTop w:val="100"/>
      <w:marBottom w:val="100"/>
      <w:divBdr>
        <w:top w:val="none" w:sz="0" w:space="0" w:color="auto"/>
        <w:left w:val="none" w:sz="0" w:space="0" w:color="auto"/>
        <w:bottom w:val="none" w:sz="0" w:space="0" w:color="auto"/>
        <w:right w:val="none" w:sz="0" w:space="0" w:color="auto"/>
      </w:divBdr>
      <w:divsChild>
        <w:div w:id="1407535604">
          <w:marLeft w:val="0"/>
          <w:marRight w:val="0"/>
          <w:marTop w:val="0"/>
          <w:marBottom w:val="0"/>
          <w:divBdr>
            <w:top w:val="none" w:sz="0" w:space="0" w:color="auto"/>
            <w:left w:val="none" w:sz="0" w:space="0" w:color="auto"/>
            <w:bottom w:val="none" w:sz="0" w:space="0" w:color="auto"/>
            <w:right w:val="none" w:sz="0" w:space="0" w:color="auto"/>
          </w:divBdr>
        </w:div>
      </w:divsChild>
    </w:div>
    <w:div w:id="926693281">
      <w:marLeft w:val="0"/>
      <w:marRight w:val="0"/>
      <w:marTop w:val="100"/>
      <w:marBottom w:val="100"/>
      <w:divBdr>
        <w:top w:val="none" w:sz="0" w:space="0" w:color="auto"/>
        <w:left w:val="none" w:sz="0" w:space="0" w:color="auto"/>
        <w:bottom w:val="none" w:sz="0" w:space="0" w:color="auto"/>
        <w:right w:val="none" w:sz="0" w:space="0" w:color="auto"/>
      </w:divBdr>
      <w:divsChild>
        <w:div w:id="853152862">
          <w:marLeft w:val="0"/>
          <w:marRight w:val="0"/>
          <w:marTop w:val="0"/>
          <w:marBottom w:val="0"/>
          <w:divBdr>
            <w:top w:val="none" w:sz="0" w:space="0" w:color="auto"/>
            <w:left w:val="none" w:sz="0" w:space="0" w:color="auto"/>
            <w:bottom w:val="none" w:sz="0" w:space="0" w:color="auto"/>
            <w:right w:val="none" w:sz="0" w:space="0" w:color="auto"/>
          </w:divBdr>
        </w:div>
        <w:div w:id="1936477266">
          <w:marLeft w:val="0"/>
          <w:marRight w:val="0"/>
          <w:marTop w:val="0"/>
          <w:marBottom w:val="0"/>
          <w:divBdr>
            <w:top w:val="none" w:sz="0" w:space="0" w:color="auto"/>
            <w:left w:val="none" w:sz="0" w:space="0" w:color="auto"/>
            <w:bottom w:val="none" w:sz="0" w:space="0" w:color="auto"/>
            <w:right w:val="none" w:sz="0" w:space="0" w:color="auto"/>
          </w:divBdr>
        </w:div>
        <w:div w:id="358164818">
          <w:marLeft w:val="0"/>
          <w:marRight w:val="0"/>
          <w:marTop w:val="0"/>
          <w:marBottom w:val="0"/>
          <w:divBdr>
            <w:top w:val="none" w:sz="0" w:space="0" w:color="auto"/>
            <w:left w:val="none" w:sz="0" w:space="0" w:color="auto"/>
            <w:bottom w:val="none" w:sz="0" w:space="0" w:color="auto"/>
            <w:right w:val="none" w:sz="0" w:space="0" w:color="auto"/>
          </w:divBdr>
        </w:div>
        <w:div w:id="1306663156">
          <w:marLeft w:val="0"/>
          <w:marRight w:val="0"/>
          <w:marTop w:val="0"/>
          <w:marBottom w:val="0"/>
          <w:divBdr>
            <w:top w:val="none" w:sz="0" w:space="0" w:color="auto"/>
            <w:left w:val="none" w:sz="0" w:space="0" w:color="auto"/>
            <w:bottom w:val="none" w:sz="0" w:space="0" w:color="auto"/>
            <w:right w:val="none" w:sz="0" w:space="0" w:color="auto"/>
          </w:divBdr>
        </w:div>
      </w:divsChild>
    </w:div>
    <w:div w:id="927228016">
      <w:marLeft w:val="0"/>
      <w:marRight w:val="0"/>
      <w:marTop w:val="0"/>
      <w:marBottom w:val="0"/>
      <w:divBdr>
        <w:top w:val="none" w:sz="0" w:space="0" w:color="auto"/>
        <w:left w:val="none" w:sz="0" w:space="0" w:color="auto"/>
        <w:bottom w:val="none" w:sz="0" w:space="0" w:color="auto"/>
        <w:right w:val="none" w:sz="0" w:space="0" w:color="auto"/>
      </w:divBdr>
    </w:div>
    <w:div w:id="927234258">
      <w:marLeft w:val="0"/>
      <w:marRight w:val="0"/>
      <w:marTop w:val="0"/>
      <w:marBottom w:val="0"/>
      <w:divBdr>
        <w:top w:val="none" w:sz="0" w:space="0" w:color="auto"/>
        <w:left w:val="none" w:sz="0" w:space="0" w:color="auto"/>
        <w:bottom w:val="none" w:sz="0" w:space="0" w:color="auto"/>
        <w:right w:val="none" w:sz="0" w:space="0" w:color="auto"/>
      </w:divBdr>
    </w:div>
    <w:div w:id="928345038">
      <w:marLeft w:val="0"/>
      <w:marRight w:val="0"/>
      <w:marTop w:val="0"/>
      <w:marBottom w:val="0"/>
      <w:divBdr>
        <w:top w:val="none" w:sz="0" w:space="0" w:color="auto"/>
        <w:left w:val="none" w:sz="0" w:space="0" w:color="auto"/>
        <w:bottom w:val="none" w:sz="0" w:space="0" w:color="auto"/>
        <w:right w:val="none" w:sz="0" w:space="0" w:color="auto"/>
      </w:divBdr>
    </w:div>
    <w:div w:id="928465189">
      <w:marLeft w:val="0"/>
      <w:marRight w:val="0"/>
      <w:marTop w:val="0"/>
      <w:marBottom w:val="0"/>
      <w:divBdr>
        <w:top w:val="none" w:sz="0" w:space="0" w:color="auto"/>
        <w:left w:val="none" w:sz="0" w:space="0" w:color="auto"/>
        <w:bottom w:val="none" w:sz="0" w:space="0" w:color="auto"/>
        <w:right w:val="none" w:sz="0" w:space="0" w:color="auto"/>
      </w:divBdr>
    </w:div>
    <w:div w:id="929003601">
      <w:marLeft w:val="0"/>
      <w:marRight w:val="0"/>
      <w:marTop w:val="0"/>
      <w:marBottom w:val="0"/>
      <w:divBdr>
        <w:top w:val="none" w:sz="0" w:space="0" w:color="auto"/>
        <w:left w:val="none" w:sz="0" w:space="0" w:color="auto"/>
        <w:bottom w:val="none" w:sz="0" w:space="0" w:color="auto"/>
        <w:right w:val="none" w:sz="0" w:space="0" w:color="auto"/>
      </w:divBdr>
      <w:divsChild>
        <w:div w:id="2088726357">
          <w:marLeft w:val="0"/>
          <w:marRight w:val="0"/>
          <w:marTop w:val="0"/>
          <w:marBottom w:val="0"/>
          <w:divBdr>
            <w:top w:val="none" w:sz="0" w:space="0" w:color="auto"/>
            <w:left w:val="none" w:sz="0" w:space="0" w:color="auto"/>
            <w:bottom w:val="none" w:sz="0" w:space="0" w:color="auto"/>
            <w:right w:val="none" w:sz="0" w:space="0" w:color="auto"/>
          </w:divBdr>
        </w:div>
      </w:divsChild>
    </w:div>
    <w:div w:id="929433408">
      <w:marLeft w:val="0"/>
      <w:marRight w:val="0"/>
      <w:marTop w:val="0"/>
      <w:marBottom w:val="0"/>
      <w:divBdr>
        <w:top w:val="none" w:sz="0" w:space="0" w:color="auto"/>
        <w:left w:val="none" w:sz="0" w:space="0" w:color="auto"/>
        <w:bottom w:val="none" w:sz="0" w:space="0" w:color="auto"/>
        <w:right w:val="none" w:sz="0" w:space="0" w:color="auto"/>
      </w:divBdr>
    </w:div>
    <w:div w:id="930167506">
      <w:marLeft w:val="0"/>
      <w:marRight w:val="0"/>
      <w:marTop w:val="100"/>
      <w:marBottom w:val="100"/>
      <w:divBdr>
        <w:top w:val="none" w:sz="0" w:space="0" w:color="auto"/>
        <w:left w:val="none" w:sz="0" w:space="0" w:color="auto"/>
        <w:bottom w:val="none" w:sz="0" w:space="0" w:color="auto"/>
        <w:right w:val="none" w:sz="0" w:space="0" w:color="auto"/>
      </w:divBdr>
      <w:divsChild>
        <w:div w:id="1926457894">
          <w:marLeft w:val="0"/>
          <w:marRight w:val="0"/>
          <w:marTop w:val="0"/>
          <w:marBottom w:val="0"/>
          <w:divBdr>
            <w:top w:val="none" w:sz="0" w:space="0" w:color="auto"/>
            <w:left w:val="none" w:sz="0" w:space="0" w:color="auto"/>
            <w:bottom w:val="none" w:sz="0" w:space="0" w:color="auto"/>
            <w:right w:val="none" w:sz="0" w:space="0" w:color="auto"/>
          </w:divBdr>
        </w:div>
        <w:div w:id="1547451135">
          <w:marLeft w:val="0"/>
          <w:marRight w:val="0"/>
          <w:marTop w:val="0"/>
          <w:marBottom w:val="0"/>
          <w:divBdr>
            <w:top w:val="none" w:sz="0" w:space="0" w:color="auto"/>
            <w:left w:val="none" w:sz="0" w:space="0" w:color="auto"/>
            <w:bottom w:val="none" w:sz="0" w:space="0" w:color="auto"/>
            <w:right w:val="none" w:sz="0" w:space="0" w:color="auto"/>
          </w:divBdr>
        </w:div>
        <w:div w:id="1764229506">
          <w:marLeft w:val="0"/>
          <w:marRight w:val="0"/>
          <w:marTop w:val="0"/>
          <w:marBottom w:val="0"/>
          <w:divBdr>
            <w:top w:val="none" w:sz="0" w:space="0" w:color="auto"/>
            <w:left w:val="none" w:sz="0" w:space="0" w:color="auto"/>
            <w:bottom w:val="none" w:sz="0" w:space="0" w:color="auto"/>
            <w:right w:val="none" w:sz="0" w:space="0" w:color="auto"/>
          </w:divBdr>
        </w:div>
      </w:divsChild>
    </w:div>
    <w:div w:id="931083555">
      <w:marLeft w:val="0"/>
      <w:marRight w:val="0"/>
      <w:marTop w:val="0"/>
      <w:marBottom w:val="0"/>
      <w:divBdr>
        <w:top w:val="none" w:sz="0" w:space="0" w:color="auto"/>
        <w:left w:val="none" w:sz="0" w:space="0" w:color="auto"/>
        <w:bottom w:val="none" w:sz="0" w:space="0" w:color="auto"/>
        <w:right w:val="none" w:sz="0" w:space="0" w:color="auto"/>
      </w:divBdr>
    </w:div>
    <w:div w:id="931356946">
      <w:marLeft w:val="0"/>
      <w:marRight w:val="0"/>
      <w:marTop w:val="0"/>
      <w:marBottom w:val="0"/>
      <w:divBdr>
        <w:top w:val="none" w:sz="0" w:space="0" w:color="auto"/>
        <w:left w:val="none" w:sz="0" w:space="0" w:color="auto"/>
        <w:bottom w:val="none" w:sz="0" w:space="0" w:color="auto"/>
        <w:right w:val="none" w:sz="0" w:space="0" w:color="auto"/>
      </w:divBdr>
    </w:div>
    <w:div w:id="931858252">
      <w:marLeft w:val="0"/>
      <w:marRight w:val="0"/>
      <w:marTop w:val="0"/>
      <w:marBottom w:val="0"/>
      <w:divBdr>
        <w:top w:val="none" w:sz="0" w:space="0" w:color="auto"/>
        <w:left w:val="none" w:sz="0" w:space="0" w:color="auto"/>
        <w:bottom w:val="none" w:sz="0" w:space="0" w:color="auto"/>
        <w:right w:val="none" w:sz="0" w:space="0" w:color="auto"/>
      </w:divBdr>
    </w:div>
    <w:div w:id="932318441">
      <w:marLeft w:val="0"/>
      <w:marRight w:val="0"/>
      <w:marTop w:val="0"/>
      <w:marBottom w:val="0"/>
      <w:divBdr>
        <w:top w:val="none" w:sz="0" w:space="0" w:color="auto"/>
        <w:left w:val="none" w:sz="0" w:space="0" w:color="auto"/>
        <w:bottom w:val="none" w:sz="0" w:space="0" w:color="auto"/>
        <w:right w:val="none" w:sz="0" w:space="0" w:color="auto"/>
      </w:divBdr>
    </w:div>
    <w:div w:id="932468539">
      <w:marLeft w:val="0"/>
      <w:marRight w:val="0"/>
      <w:marTop w:val="0"/>
      <w:marBottom w:val="0"/>
      <w:divBdr>
        <w:top w:val="none" w:sz="0" w:space="0" w:color="auto"/>
        <w:left w:val="none" w:sz="0" w:space="0" w:color="auto"/>
        <w:bottom w:val="none" w:sz="0" w:space="0" w:color="auto"/>
        <w:right w:val="none" w:sz="0" w:space="0" w:color="auto"/>
      </w:divBdr>
    </w:div>
    <w:div w:id="932788544">
      <w:marLeft w:val="0"/>
      <w:marRight w:val="0"/>
      <w:marTop w:val="0"/>
      <w:marBottom w:val="0"/>
      <w:divBdr>
        <w:top w:val="none" w:sz="0" w:space="0" w:color="auto"/>
        <w:left w:val="none" w:sz="0" w:space="0" w:color="auto"/>
        <w:bottom w:val="none" w:sz="0" w:space="0" w:color="auto"/>
        <w:right w:val="none" w:sz="0" w:space="0" w:color="auto"/>
      </w:divBdr>
    </w:div>
    <w:div w:id="932859029">
      <w:marLeft w:val="0"/>
      <w:marRight w:val="0"/>
      <w:marTop w:val="0"/>
      <w:marBottom w:val="0"/>
      <w:divBdr>
        <w:top w:val="none" w:sz="0" w:space="0" w:color="auto"/>
        <w:left w:val="none" w:sz="0" w:space="0" w:color="auto"/>
        <w:bottom w:val="none" w:sz="0" w:space="0" w:color="auto"/>
        <w:right w:val="none" w:sz="0" w:space="0" w:color="auto"/>
      </w:divBdr>
      <w:divsChild>
        <w:div w:id="1390807993">
          <w:marLeft w:val="0"/>
          <w:marRight w:val="0"/>
          <w:marTop w:val="0"/>
          <w:marBottom w:val="0"/>
          <w:divBdr>
            <w:top w:val="none" w:sz="0" w:space="0" w:color="auto"/>
            <w:left w:val="none" w:sz="0" w:space="0" w:color="auto"/>
            <w:bottom w:val="none" w:sz="0" w:space="0" w:color="auto"/>
            <w:right w:val="none" w:sz="0" w:space="0" w:color="auto"/>
          </w:divBdr>
        </w:div>
      </w:divsChild>
    </w:div>
    <w:div w:id="933241735">
      <w:marLeft w:val="0"/>
      <w:marRight w:val="0"/>
      <w:marTop w:val="0"/>
      <w:marBottom w:val="0"/>
      <w:divBdr>
        <w:top w:val="none" w:sz="0" w:space="0" w:color="auto"/>
        <w:left w:val="none" w:sz="0" w:space="0" w:color="auto"/>
        <w:bottom w:val="none" w:sz="0" w:space="0" w:color="auto"/>
        <w:right w:val="none" w:sz="0" w:space="0" w:color="auto"/>
      </w:divBdr>
    </w:div>
    <w:div w:id="933436056">
      <w:marLeft w:val="0"/>
      <w:marRight w:val="0"/>
      <w:marTop w:val="0"/>
      <w:marBottom w:val="0"/>
      <w:divBdr>
        <w:top w:val="none" w:sz="0" w:space="0" w:color="auto"/>
        <w:left w:val="none" w:sz="0" w:space="0" w:color="auto"/>
        <w:bottom w:val="none" w:sz="0" w:space="0" w:color="auto"/>
        <w:right w:val="none" w:sz="0" w:space="0" w:color="auto"/>
      </w:divBdr>
    </w:div>
    <w:div w:id="934089953">
      <w:marLeft w:val="0"/>
      <w:marRight w:val="0"/>
      <w:marTop w:val="0"/>
      <w:marBottom w:val="0"/>
      <w:divBdr>
        <w:top w:val="none" w:sz="0" w:space="0" w:color="auto"/>
        <w:left w:val="none" w:sz="0" w:space="0" w:color="auto"/>
        <w:bottom w:val="none" w:sz="0" w:space="0" w:color="auto"/>
        <w:right w:val="none" w:sz="0" w:space="0" w:color="auto"/>
      </w:divBdr>
    </w:div>
    <w:div w:id="934243159">
      <w:marLeft w:val="0"/>
      <w:marRight w:val="0"/>
      <w:marTop w:val="0"/>
      <w:marBottom w:val="0"/>
      <w:divBdr>
        <w:top w:val="none" w:sz="0" w:space="0" w:color="auto"/>
        <w:left w:val="none" w:sz="0" w:space="0" w:color="auto"/>
        <w:bottom w:val="none" w:sz="0" w:space="0" w:color="auto"/>
        <w:right w:val="none" w:sz="0" w:space="0" w:color="auto"/>
      </w:divBdr>
    </w:div>
    <w:div w:id="934751936">
      <w:marLeft w:val="0"/>
      <w:marRight w:val="0"/>
      <w:marTop w:val="0"/>
      <w:marBottom w:val="0"/>
      <w:divBdr>
        <w:top w:val="none" w:sz="0" w:space="0" w:color="auto"/>
        <w:left w:val="none" w:sz="0" w:space="0" w:color="auto"/>
        <w:bottom w:val="none" w:sz="0" w:space="0" w:color="auto"/>
        <w:right w:val="none" w:sz="0" w:space="0" w:color="auto"/>
      </w:divBdr>
      <w:divsChild>
        <w:div w:id="179583762">
          <w:marLeft w:val="0"/>
          <w:marRight w:val="0"/>
          <w:marTop w:val="0"/>
          <w:marBottom w:val="0"/>
          <w:divBdr>
            <w:top w:val="none" w:sz="0" w:space="0" w:color="auto"/>
            <w:left w:val="none" w:sz="0" w:space="0" w:color="auto"/>
            <w:bottom w:val="none" w:sz="0" w:space="0" w:color="auto"/>
            <w:right w:val="none" w:sz="0" w:space="0" w:color="auto"/>
          </w:divBdr>
        </w:div>
      </w:divsChild>
    </w:div>
    <w:div w:id="934899366">
      <w:marLeft w:val="0"/>
      <w:marRight w:val="0"/>
      <w:marTop w:val="0"/>
      <w:marBottom w:val="0"/>
      <w:divBdr>
        <w:top w:val="none" w:sz="0" w:space="0" w:color="auto"/>
        <w:left w:val="none" w:sz="0" w:space="0" w:color="auto"/>
        <w:bottom w:val="none" w:sz="0" w:space="0" w:color="auto"/>
        <w:right w:val="none" w:sz="0" w:space="0" w:color="auto"/>
      </w:divBdr>
    </w:div>
    <w:div w:id="935022665">
      <w:marLeft w:val="0"/>
      <w:marRight w:val="0"/>
      <w:marTop w:val="0"/>
      <w:marBottom w:val="0"/>
      <w:divBdr>
        <w:top w:val="none" w:sz="0" w:space="0" w:color="auto"/>
        <w:left w:val="none" w:sz="0" w:space="0" w:color="auto"/>
        <w:bottom w:val="none" w:sz="0" w:space="0" w:color="auto"/>
        <w:right w:val="none" w:sz="0" w:space="0" w:color="auto"/>
      </w:divBdr>
    </w:div>
    <w:div w:id="935134988">
      <w:marLeft w:val="0"/>
      <w:marRight w:val="0"/>
      <w:marTop w:val="0"/>
      <w:marBottom w:val="0"/>
      <w:divBdr>
        <w:top w:val="none" w:sz="0" w:space="0" w:color="auto"/>
        <w:left w:val="none" w:sz="0" w:space="0" w:color="auto"/>
        <w:bottom w:val="none" w:sz="0" w:space="0" w:color="auto"/>
        <w:right w:val="none" w:sz="0" w:space="0" w:color="auto"/>
      </w:divBdr>
    </w:div>
    <w:div w:id="935287072">
      <w:marLeft w:val="0"/>
      <w:marRight w:val="0"/>
      <w:marTop w:val="0"/>
      <w:marBottom w:val="0"/>
      <w:divBdr>
        <w:top w:val="none" w:sz="0" w:space="0" w:color="auto"/>
        <w:left w:val="none" w:sz="0" w:space="0" w:color="auto"/>
        <w:bottom w:val="none" w:sz="0" w:space="0" w:color="auto"/>
        <w:right w:val="none" w:sz="0" w:space="0" w:color="auto"/>
      </w:divBdr>
    </w:div>
    <w:div w:id="935361933">
      <w:marLeft w:val="0"/>
      <w:marRight w:val="0"/>
      <w:marTop w:val="0"/>
      <w:marBottom w:val="0"/>
      <w:divBdr>
        <w:top w:val="none" w:sz="0" w:space="0" w:color="auto"/>
        <w:left w:val="none" w:sz="0" w:space="0" w:color="auto"/>
        <w:bottom w:val="none" w:sz="0" w:space="0" w:color="auto"/>
        <w:right w:val="none" w:sz="0" w:space="0" w:color="auto"/>
      </w:divBdr>
    </w:div>
    <w:div w:id="935407048">
      <w:marLeft w:val="0"/>
      <w:marRight w:val="0"/>
      <w:marTop w:val="0"/>
      <w:marBottom w:val="0"/>
      <w:divBdr>
        <w:top w:val="none" w:sz="0" w:space="0" w:color="auto"/>
        <w:left w:val="none" w:sz="0" w:space="0" w:color="auto"/>
        <w:bottom w:val="none" w:sz="0" w:space="0" w:color="auto"/>
        <w:right w:val="none" w:sz="0" w:space="0" w:color="auto"/>
      </w:divBdr>
    </w:div>
    <w:div w:id="935677312">
      <w:marLeft w:val="0"/>
      <w:marRight w:val="0"/>
      <w:marTop w:val="0"/>
      <w:marBottom w:val="0"/>
      <w:divBdr>
        <w:top w:val="none" w:sz="0" w:space="0" w:color="auto"/>
        <w:left w:val="none" w:sz="0" w:space="0" w:color="auto"/>
        <w:bottom w:val="none" w:sz="0" w:space="0" w:color="auto"/>
        <w:right w:val="none" w:sz="0" w:space="0" w:color="auto"/>
      </w:divBdr>
    </w:div>
    <w:div w:id="936253562">
      <w:marLeft w:val="0"/>
      <w:marRight w:val="0"/>
      <w:marTop w:val="0"/>
      <w:marBottom w:val="0"/>
      <w:divBdr>
        <w:top w:val="none" w:sz="0" w:space="0" w:color="auto"/>
        <w:left w:val="none" w:sz="0" w:space="0" w:color="auto"/>
        <w:bottom w:val="none" w:sz="0" w:space="0" w:color="auto"/>
        <w:right w:val="none" w:sz="0" w:space="0" w:color="auto"/>
      </w:divBdr>
    </w:div>
    <w:div w:id="937830480">
      <w:marLeft w:val="0"/>
      <w:marRight w:val="0"/>
      <w:marTop w:val="0"/>
      <w:marBottom w:val="0"/>
      <w:divBdr>
        <w:top w:val="none" w:sz="0" w:space="0" w:color="auto"/>
        <w:left w:val="none" w:sz="0" w:space="0" w:color="auto"/>
        <w:bottom w:val="none" w:sz="0" w:space="0" w:color="auto"/>
        <w:right w:val="none" w:sz="0" w:space="0" w:color="auto"/>
      </w:divBdr>
    </w:div>
    <w:div w:id="938945986">
      <w:marLeft w:val="0"/>
      <w:marRight w:val="0"/>
      <w:marTop w:val="0"/>
      <w:marBottom w:val="0"/>
      <w:divBdr>
        <w:top w:val="none" w:sz="0" w:space="0" w:color="auto"/>
        <w:left w:val="none" w:sz="0" w:space="0" w:color="auto"/>
        <w:bottom w:val="none" w:sz="0" w:space="0" w:color="auto"/>
        <w:right w:val="none" w:sz="0" w:space="0" w:color="auto"/>
      </w:divBdr>
    </w:div>
    <w:div w:id="939604339">
      <w:marLeft w:val="0"/>
      <w:marRight w:val="0"/>
      <w:marTop w:val="0"/>
      <w:marBottom w:val="0"/>
      <w:divBdr>
        <w:top w:val="none" w:sz="0" w:space="0" w:color="auto"/>
        <w:left w:val="none" w:sz="0" w:space="0" w:color="auto"/>
        <w:bottom w:val="none" w:sz="0" w:space="0" w:color="auto"/>
        <w:right w:val="none" w:sz="0" w:space="0" w:color="auto"/>
      </w:divBdr>
      <w:divsChild>
        <w:div w:id="390692721">
          <w:marLeft w:val="0"/>
          <w:marRight w:val="0"/>
          <w:marTop w:val="0"/>
          <w:marBottom w:val="0"/>
          <w:divBdr>
            <w:top w:val="none" w:sz="0" w:space="0" w:color="auto"/>
            <w:left w:val="none" w:sz="0" w:space="0" w:color="auto"/>
            <w:bottom w:val="none" w:sz="0" w:space="0" w:color="auto"/>
            <w:right w:val="none" w:sz="0" w:space="0" w:color="auto"/>
          </w:divBdr>
        </w:div>
      </w:divsChild>
    </w:div>
    <w:div w:id="941693231">
      <w:marLeft w:val="0"/>
      <w:marRight w:val="0"/>
      <w:marTop w:val="0"/>
      <w:marBottom w:val="0"/>
      <w:divBdr>
        <w:top w:val="none" w:sz="0" w:space="0" w:color="auto"/>
        <w:left w:val="none" w:sz="0" w:space="0" w:color="auto"/>
        <w:bottom w:val="none" w:sz="0" w:space="0" w:color="auto"/>
        <w:right w:val="none" w:sz="0" w:space="0" w:color="auto"/>
      </w:divBdr>
    </w:div>
    <w:div w:id="942613827">
      <w:marLeft w:val="0"/>
      <w:marRight w:val="0"/>
      <w:marTop w:val="0"/>
      <w:marBottom w:val="0"/>
      <w:divBdr>
        <w:top w:val="none" w:sz="0" w:space="0" w:color="auto"/>
        <w:left w:val="none" w:sz="0" w:space="0" w:color="auto"/>
        <w:bottom w:val="none" w:sz="0" w:space="0" w:color="auto"/>
        <w:right w:val="none" w:sz="0" w:space="0" w:color="auto"/>
      </w:divBdr>
    </w:div>
    <w:div w:id="944189529">
      <w:marLeft w:val="0"/>
      <w:marRight w:val="0"/>
      <w:marTop w:val="0"/>
      <w:marBottom w:val="0"/>
      <w:divBdr>
        <w:top w:val="none" w:sz="0" w:space="0" w:color="auto"/>
        <w:left w:val="none" w:sz="0" w:space="0" w:color="auto"/>
        <w:bottom w:val="none" w:sz="0" w:space="0" w:color="auto"/>
        <w:right w:val="none" w:sz="0" w:space="0" w:color="auto"/>
      </w:divBdr>
    </w:div>
    <w:div w:id="948657772">
      <w:marLeft w:val="0"/>
      <w:marRight w:val="0"/>
      <w:marTop w:val="0"/>
      <w:marBottom w:val="0"/>
      <w:divBdr>
        <w:top w:val="none" w:sz="0" w:space="0" w:color="auto"/>
        <w:left w:val="none" w:sz="0" w:space="0" w:color="auto"/>
        <w:bottom w:val="none" w:sz="0" w:space="0" w:color="auto"/>
        <w:right w:val="none" w:sz="0" w:space="0" w:color="auto"/>
      </w:divBdr>
    </w:div>
    <w:div w:id="948853132">
      <w:marLeft w:val="0"/>
      <w:marRight w:val="0"/>
      <w:marTop w:val="0"/>
      <w:marBottom w:val="0"/>
      <w:divBdr>
        <w:top w:val="none" w:sz="0" w:space="0" w:color="auto"/>
        <w:left w:val="none" w:sz="0" w:space="0" w:color="auto"/>
        <w:bottom w:val="none" w:sz="0" w:space="0" w:color="auto"/>
        <w:right w:val="none" w:sz="0" w:space="0" w:color="auto"/>
      </w:divBdr>
    </w:div>
    <w:div w:id="948857517">
      <w:marLeft w:val="0"/>
      <w:marRight w:val="0"/>
      <w:marTop w:val="0"/>
      <w:marBottom w:val="0"/>
      <w:divBdr>
        <w:top w:val="none" w:sz="0" w:space="0" w:color="auto"/>
        <w:left w:val="none" w:sz="0" w:space="0" w:color="auto"/>
        <w:bottom w:val="none" w:sz="0" w:space="0" w:color="auto"/>
        <w:right w:val="none" w:sz="0" w:space="0" w:color="auto"/>
      </w:divBdr>
    </w:div>
    <w:div w:id="949237062">
      <w:marLeft w:val="0"/>
      <w:marRight w:val="0"/>
      <w:marTop w:val="0"/>
      <w:marBottom w:val="0"/>
      <w:divBdr>
        <w:top w:val="none" w:sz="0" w:space="0" w:color="auto"/>
        <w:left w:val="none" w:sz="0" w:space="0" w:color="auto"/>
        <w:bottom w:val="none" w:sz="0" w:space="0" w:color="auto"/>
        <w:right w:val="none" w:sz="0" w:space="0" w:color="auto"/>
      </w:divBdr>
    </w:div>
    <w:div w:id="949973762">
      <w:marLeft w:val="0"/>
      <w:marRight w:val="0"/>
      <w:marTop w:val="0"/>
      <w:marBottom w:val="0"/>
      <w:divBdr>
        <w:top w:val="none" w:sz="0" w:space="0" w:color="auto"/>
        <w:left w:val="none" w:sz="0" w:space="0" w:color="auto"/>
        <w:bottom w:val="none" w:sz="0" w:space="0" w:color="auto"/>
        <w:right w:val="none" w:sz="0" w:space="0" w:color="auto"/>
      </w:divBdr>
    </w:div>
    <w:div w:id="950862585">
      <w:marLeft w:val="0"/>
      <w:marRight w:val="0"/>
      <w:marTop w:val="0"/>
      <w:marBottom w:val="0"/>
      <w:divBdr>
        <w:top w:val="none" w:sz="0" w:space="0" w:color="auto"/>
        <w:left w:val="none" w:sz="0" w:space="0" w:color="auto"/>
        <w:bottom w:val="none" w:sz="0" w:space="0" w:color="auto"/>
        <w:right w:val="none" w:sz="0" w:space="0" w:color="auto"/>
      </w:divBdr>
    </w:div>
    <w:div w:id="950935620">
      <w:marLeft w:val="0"/>
      <w:marRight w:val="0"/>
      <w:marTop w:val="0"/>
      <w:marBottom w:val="0"/>
      <w:divBdr>
        <w:top w:val="none" w:sz="0" w:space="0" w:color="auto"/>
        <w:left w:val="none" w:sz="0" w:space="0" w:color="auto"/>
        <w:bottom w:val="none" w:sz="0" w:space="0" w:color="auto"/>
        <w:right w:val="none" w:sz="0" w:space="0" w:color="auto"/>
      </w:divBdr>
    </w:div>
    <w:div w:id="951979634">
      <w:marLeft w:val="0"/>
      <w:marRight w:val="0"/>
      <w:marTop w:val="0"/>
      <w:marBottom w:val="0"/>
      <w:divBdr>
        <w:top w:val="none" w:sz="0" w:space="0" w:color="auto"/>
        <w:left w:val="none" w:sz="0" w:space="0" w:color="auto"/>
        <w:bottom w:val="none" w:sz="0" w:space="0" w:color="auto"/>
        <w:right w:val="none" w:sz="0" w:space="0" w:color="auto"/>
      </w:divBdr>
    </w:div>
    <w:div w:id="952437523">
      <w:marLeft w:val="0"/>
      <w:marRight w:val="0"/>
      <w:marTop w:val="0"/>
      <w:marBottom w:val="0"/>
      <w:divBdr>
        <w:top w:val="none" w:sz="0" w:space="0" w:color="auto"/>
        <w:left w:val="none" w:sz="0" w:space="0" w:color="auto"/>
        <w:bottom w:val="none" w:sz="0" w:space="0" w:color="auto"/>
        <w:right w:val="none" w:sz="0" w:space="0" w:color="auto"/>
      </w:divBdr>
    </w:div>
    <w:div w:id="952830960">
      <w:marLeft w:val="0"/>
      <w:marRight w:val="0"/>
      <w:marTop w:val="0"/>
      <w:marBottom w:val="0"/>
      <w:divBdr>
        <w:top w:val="none" w:sz="0" w:space="0" w:color="auto"/>
        <w:left w:val="none" w:sz="0" w:space="0" w:color="auto"/>
        <w:bottom w:val="none" w:sz="0" w:space="0" w:color="auto"/>
        <w:right w:val="none" w:sz="0" w:space="0" w:color="auto"/>
      </w:divBdr>
    </w:div>
    <w:div w:id="952981479">
      <w:marLeft w:val="0"/>
      <w:marRight w:val="0"/>
      <w:marTop w:val="0"/>
      <w:marBottom w:val="0"/>
      <w:divBdr>
        <w:top w:val="none" w:sz="0" w:space="0" w:color="auto"/>
        <w:left w:val="none" w:sz="0" w:space="0" w:color="auto"/>
        <w:bottom w:val="none" w:sz="0" w:space="0" w:color="auto"/>
        <w:right w:val="none" w:sz="0" w:space="0" w:color="auto"/>
      </w:divBdr>
    </w:div>
    <w:div w:id="954141080">
      <w:marLeft w:val="0"/>
      <w:marRight w:val="0"/>
      <w:marTop w:val="0"/>
      <w:marBottom w:val="0"/>
      <w:divBdr>
        <w:top w:val="none" w:sz="0" w:space="0" w:color="auto"/>
        <w:left w:val="none" w:sz="0" w:space="0" w:color="auto"/>
        <w:bottom w:val="none" w:sz="0" w:space="0" w:color="auto"/>
        <w:right w:val="none" w:sz="0" w:space="0" w:color="auto"/>
      </w:divBdr>
    </w:div>
    <w:div w:id="954796627">
      <w:marLeft w:val="0"/>
      <w:marRight w:val="0"/>
      <w:marTop w:val="0"/>
      <w:marBottom w:val="0"/>
      <w:divBdr>
        <w:top w:val="none" w:sz="0" w:space="0" w:color="auto"/>
        <w:left w:val="none" w:sz="0" w:space="0" w:color="auto"/>
        <w:bottom w:val="none" w:sz="0" w:space="0" w:color="auto"/>
        <w:right w:val="none" w:sz="0" w:space="0" w:color="auto"/>
      </w:divBdr>
    </w:div>
    <w:div w:id="955908260">
      <w:marLeft w:val="0"/>
      <w:marRight w:val="0"/>
      <w:marTop w:val="0"/>
      <w:marBottom w:val="0"/>
      <w:divBdr>
        <w:top w:val="none" w:sz="0" w:space="0" w:color="auto"/>
        <w:left w:val="none" w:sz="0" w:space="0" w:color="auto"/>
        <w:bottom w:val="none" w:sz="0" w:space="0" w:color="auto"/>
        <w:right w:val="none" w:sz="0" w:space="0" w:color="auto"/>
      </w:divBdr>
    </w:div>
    <w:div w:id="956255115">
      <w:marLeft w:val="0"/>
      <w:marRight w:val="0"/>
      <w:marTop w:val="0"/>
      <w:marBottom w:val="0"/>
      <w:divBdr>
        <w:top w:val="none" w:sz="0" w:space="0" w:color="auto"/>
        <w:left w:val="none" w:sz="0" w:space="0" w:color="auto"/>
        <w:bottom w:val="none" w:sz="0" w:space="0" w:color="auto"/>
        <w:right w:val="none" w:sz="0" w:space="0" w:color="auto"/>
      </w:divBdr>
    </w:div>
    <w:div w:id="956446102">
      <w:marLeft w:val="0"/>
      <w:marRight w:val="0"/>
      <w:marTop w:val="0"/>
      <w:marBottom w:val="0"/>
      <w:divBdr>
        <w:top w:val="none" w:sz="0" w:space="0" w:color="auto"/>
        <w:left w:val="none" w:sz="0" w:space="0" w:color="auto"/>
        <w:bottom w:val="none" w:sz="0" w:space="0" w:color="auto"/>
        <w:right w:val="none" w:sz="0" w:space="0" w:color="auto"/>
      </w:divBdr>
    </w:div>
    <w:div w:id="957640517">
      <w:marLeft w:val="0"/>
      <w:marRight w:val="0"/>
      <w:marTop w:val="0"/>
      <w:marBottom w:val="0"/>
      <w:divBdr>
        <w:top w:val="none" w:sz="0" w:space="0" w:color="auto"/>
        <w:left w:val="none" w:sz="0" w:space="0" w:color="auto"/>
        <w:bottom w:val="none" w:sz="0" w:space="0" w:color="auto"/>
        <w:right w:val="none" w:sz="0" w:space="0" w:color="auto"/>
      </w:divBdr>
    </w:div>
    <w:div w:id="957834163">
      <w:marLeft w:val="0"/>
      <w:marRight w:val="0"/>
      <w:marTop w:val="0"/>
      <w:marBottom w:val="0"/>
      <w:divBdr>
        <w:top w:val="none" w:sz="0" w:space="0" w:color="auto"/>
        <w:left w:val="none" w:sz="0" w:space="0" w:color="auto"/>
        <w:bottom w:val="none" w:sz="0" w:space="0" w:color="auto"/>
        <w:right w:val="none" w:sz="0" w:space="0" w:color="auto"/>
      </w:divBdr>
    </w:div>
    <w:div w:id="959144979">
      <w:marLeft w:val="0"/>
      <w:marRight w:val="0"/>
      <w:marTop w:val="0"/>
      <w:marBottom w:val="0"/>
      <w:divBdr>
        <w:top w:val="none" w:sz="0" w:space="0" w:color="auto"/>
        <w:left w:val="none" w:sz="0" w:space="0" w:color="auto"/>
        <w:bottom w:val="none" w:sz="0" w:space="0" w:color="auto"/>
        <w:right w:val="none" w:sz="0" w:space="0" w:color="auto"/>
      </w:divBdr>
    </w:div>
    <w:div w:id="962153520">
      <w:marLeft w:val="0"/>
      <w:marRight w:val="0"/>
      <w:marTop w:val="0"/>
      <w:marBottom w:val="0"/>
      <w:divBdr>
        <w:top w:val="none" w:sz="0" w:space="0" w:color="auto"/>
        <w:left w:val="none" w:sz="0" w:space="0" w:color="auto"/>
        <w:bottom w:val="none" w:sz="0" w:space="0" w:color="auto"/>
        <w:right w:val="none" w:sz="0" w:space="0" w:color="auto"/>
      </w:divBdr>
    </w:div>
    <w:div w:id="962929789">
      <w:marLeft w:val="0"/>
      <w:marRight w:val="0"/>
      <w:marTop w:val="0"/>
      <w:marBottom w:val="0"/>
      <w:divBdr>
        <w:top w:val="none" w:sz="0" w:space="0" w:color="auto"/>
        <w:left w:val="none" w:sz="0" w:space="0" w:color="auto"/>
        <w:bottom w:val="none" w:sz="0" w:space="0" w:color="auto"/>
        <w:right w:val="none" w:sz="0" w:space="0" w:color="auto"/>
      </w:divBdr>
    </w:div>
    <w:div w:id="963075982">
      <w:marLeft w:val="0"/>
      <w:marRight w:val="0"/>
      <w:marTop w:val="0"/>
      <w:marBottom w:val="0"/>
      <w:divBdr>
        <w:top w:val="none" w:sz="0" w:space="0" w:color="auto"/>
        <w:left w:val="none" w:sz="0" w:space="0" w:color="auto"/>
        <w:bottom w:val="none" w:sz="0" w:space="0" w:color="auto"/>
        <w:right w:val="none" w:sz="0" w:space="0" w:color="auto"/>
      </w:divBdr>
    </w:div>
    <w:div w:id="963584847">
      <w:marLeft w:val="0"/>
      <w:marRight w:val="0"/>
      <w:marTop w:val="0"/>
      <w:marBottom w:val="0"/>
      <w:divBdr>
        <w:top w:val="none" w:sz="0" w:space="0" w:color="auto"/>
        <w:left w:val="none" w:sz="0" w:space="0" w:color="auto"/>
        <w:bottom w:val="none" w:sz="0" w:space="0" w:color="auto"/>
        <w:right w:val="none" w:sz="0" w:space="0" w:color="auto"/>
      </w:divBdr>
    </w:div>
    <w:div w:id="963652222">
      <w:marLeft w:val="0"/>
      <w:marRight w:val="0"/>
      <w:marTop w:val="0"/>
      <w:marBottom w:val="0"/>
      <w:divBdr>
        <w:top w:val="none" w:sz="0" w:space="0" w:color="auto"/>
        <w:left w:val="none" w:sz="0" w:space="0" w:color="auto"/>
        <w:bottom w:val="none" w:sz="0" w:space="0" w:color="auto"/>
        <w:right w:val="none" w:sz="0" w:space="0" w:color="auto"/>
      </w:divBdr>
    </w:div>
    <w:div w:id="963849950">
      <w:marLeft w:val="0"/>
      <w:marRight w:val="0"/>
      <w:marTop w:val="0"/>
      <w:marBottom w:val="0"/>
      <w:divBdr>
        <w:top w:val="none" w:sz="0" w:space="0" w:color="auto"/>
        <w:left w:val="none" w:sz="0" w:space="0" w:color="auto"/>
        <w:bottom w:val="none" w:sz="0" w:space="0" w:color="auto"/>
        <w:right w:val="none" w:sz="0" w:space="0" w:color="auto"/>
      </w:divBdr>
    </w:div>
    <w:div w:id="965046397">
      <w:marLeft w:val="0"/>
      <w:marRight w:val="0"/>
      <w:marTop w:val="0"/>
      <w:marBottom w:val="0"/>
      <w:divBdr>
        <w:top w:val="none" w:sz="0" w:space="0" w:color="auto"/>
        <w:left w:val="none" w:sz="0" w:space="0" w:color="auto"/>
        <w:bottom w:val="none" w:sz="0" w:space="0" w:color="auto"/>
        <w:right w:val="none" w:sz="0" w:space="0" w:color="auto"/>
      </w:divBdr>
    </w:div>
    <w:div w:id="965114230">
      <w:marLeft w:val="0"/>
      <w:marRight w:val="0"/>
      <w:marTop w:val="0"/>
      <w:marBottom w:val="0"/>
      <w:divBdr>
        <w:top w:val="none" w:sz="0" w:space="0" w:color="auto"/>
        <w:left w:val="none" w:sz="0" w:space="0" w:color="auto"/>
        <w:bottom w:val="none" w:sz="0" w:space="0" w:color="auto"/>
        <w:right w:val="none" w:sz="0" w:space="0" w:color="auto"/>
      </w:divBdr>
    </w:div>
    <w:div w:id="966198163">
      <w:marLeft w:val="0"/>
      <w:marRight w:val="0"/>
      <w:marTop w:val="0"/>
      <w:marBottom w:val="0"/>
      <w:divBdr>
        <w:top w:val="none" w:sz="0" w:space="0" w:color="auto"/>
        <w:left w:val="none" w:sz="0" w:space="0" w:color="auto"/>
        <w:bottom w:val="none" w:sz="0" w:space="0" w:color="auto"/>
        <w:right w:val="none" w:sz="0" w:space="0" w:color="auto"/>
      </w:divBdr>
    </w:div>
    <w:div w:id="966397355">
      <w:marLeft w:val="0"/>
      <w:marRight w:val="0"/>
      <w:marTop w:val="0"/>
      <w:marBottom w:val="0"/>
      <w:divBdr>
        <w:top w:val="none" w:sz="0" w:space="0" w:color="auto"/>
        <w:left w:val="none" w:sz="0" w:space="0" w:color="auto"/>
        <w:bottom w:val="none" w:sz="0" w:space="0" w:color="auto"/>
        <w:right w:val="none" w:sz="0" w:space="0" w:color="auto"/>
      </w:divBdr>
    </w:div>
    <w:div w:id="968977701">
      <w:marLeft w:val="0"/>
      <w:marRight w:val="0"/>
      <w:marTop w:val="0"/>
      <w:marBottom w:val="0"/>
      <w:divBdr>
        <w:top w:val="none" w:sz="0" w:space="0" w:color="auto"/>
        <w:left w:val="none" w:sz="0" w:space="0" w:color="auto"/>
        <w:bottom w:val="none" w:sz="0" w:space="0" w:color="auto"/>
        <w:right w:val="none" w:sz="0" w:space="0" w:color="auto"/>
      </w:divBdr>
    </w:div>
    <w:div w:id="969283636">
      <w:marLeft w:val="0"/>
      <w:marRight w:val="0"/>
      <w:marTop w:val="0"/>
      <w:marBottom w:val="0"/>
      <w:divBdr>
        <w:top w:val="none" w:sz="0" w:space="0" w:color="auto"/>
        <w:left w:val="none" w:sz="0" w:space="0" w:color="auto"/>
        <w:bottom w:val="none" w:sz="0" w:space="0" w:color="auto"/>
        <w:right w:val="none" w:sz="0" w:space="0" w:color="auto"/>
      </w:divBdr>
    </w:div>
    <w:div w:id="969440801">
      <w:marLeft w:val="0"/>
      <w:marRight w:val="0"/>
      <w:marTop w:val="0"/>
      <w:marBottom w:val="0"/>
      <w:divBdr>
        <w:top w:val="none" w:sz="0" w:space="0" w:color="auto"/>
        <w:left w:val="none" w:sz="0" w:space="0" w:color="auto"/>
        <w:bottom w:val="none" w:sz="0" w:space="0" w:color="auto"/>
        <w:right w:val="none" w:sz="0" w:space="0" w:color="auto"/>
      </w:divBdr>
    </w:div>
    <w:div w:id="970553516">
      <w:marLeft w:val="0"/>
      <w:marRight w:val="0"/>
      <w:marTop w:val="0"/>
      <w:marBottom w:val="0"/>
      <w:divBdr>
        <w:top w:val="none" w:sz="0" w:space="0" w:color="auto"/>
        <w:left w:val="none" w:sz="0" w:space="0" w:color="auto"/>
        <w:bottom w:val="none" w:sz="0" w:space="0" w:color="auto"/>
        <w:right w:val="none" w:sz="0" w:space="0" w:color="auto"/>
      </w:divBdr>
    </w:div>
    <w:div w:id="970667064">
      <w:marLeft w:val="0"/>
      <w:marRight w:val="0"/>
      <w:marTop w:val="0"/>
      <w:marBottom w:val="0"/>
      <w:divBdr>
        <w:top w:val="none" w:sz="0" w:space="0" w:color="auto"/>
        <w:left w:val="none" w:sz="0" w:space="0" w:color="auto"/>
        <w:bottom w:val="none" w:sz="0" w:space="0" w:color="auto"/>
        <w:right w:val="none" w:sz="0" w:space="0" w:color="auto"/>
      </w:divBdr>
    </w:div>
    <w:div w:id="972292909">
      <w:marLeft w:val="0"/>
      <w:marRight w:val="0"/>
      <w:marTop w:val="0"/>
      <w:marBottom w:val="0"/>
      <w:divBdr>
        <w:top w:val="none" w:sz="0" w:space="0" w:color="auto"/>
        <w:left w:val="none" w:sz="0" w:space="0" w:color="auto"/>
        <w:bottom w:val="none" w:sz="0" w:space="0" w:color="auto"/>
        <w:right w:val="none" w:sz="0" w:space="0" w:color="auto"/>
      </w:divBdr>
    </w:div>
    <w:div w:id="972635728">
      <w:marLeft w:val="0"/>
      <w:marRight w:val="0"/>
      <w:marTop w:val="0"/>
      <w:marBottom w:val="0"/>
      <w:divBdr>
        <w:top w:val="none" w:sz="0" w:space="0" w:color="auto"/>
        <w:left w:val="none" w:sz="0" w:space="0" w:color="auto"/>
        <w:bottom w:val="none" w:sz="0" w:space="0" w:color="auto"/>
        <w:right w:val="none" w:sz="0" w:space="0" w:color="auto"/>
      </w:divBdr>
    </w:div>
    <w:div w:id="975180040">
      <w:marLeft w:val="0"/>
      <w:marRight w:val="0"/>
      <w:marTop w:val="20"/>
      <w:marBottom w:val="20"/>
      <w:divBdr>
        <w:top w:val="none" w:sz="0" w:space="0" w:color="auto"/>
        <w:left w:val="none" w:sz="0" w:space="0" w:color="auto"/>
        <w:bottom w:val="none" w:sz="0" w:space="0" w:color="auto"/>
        <w:right w:val="none" w:sz="0" w:space="0" w:color="auto"/>
      </w:divBdr>
    </w:div>
    <w:div w:id="975528646">
      <w:marLeft w:val="0"/>
      <w:marRight w:val="0"/>
      <w:marTop w:val="0"/>
      <w:marBottom w:val="0"/>
      <w:divBdr>
        <w:top w:val="none" w:sz="0" w:space="0" w:color="auto"/>
        <w:left w:val="none" w:sz="0" w:space="0" w:color="auto"/>
        <w:bottom w:val="none" w:sz="0" w:space="0" w:color="auto"/>
        <w:right w:val="none" w:sz="0" w:space="0" w:color="auto"/>
      </w:divBdr>
    </w:div>
    <w:div w:id="975987889">
      <w:marLeft w:val="0"/>
      <w:marRight w:val="0"/>
      <w:marTop w:val="0"/>
      <w:marBottom w:val="0"/>
      <w:divBdr>
        <w:top w:val="none" w:sz="0" w:space="0" w:color="auto"/>
        <w:left w:val="none" w:sz="0" w:space="0" w:color="auto"/>
        <w:bottom w:val="none" w:sz="0" w:space="0" w:color="auto"/>
        <w:right w:val="none" w:sz="0" w:space="0" w:color="auto"/>
      </w:divBdr>
    </w:div>
    <w:div w:id="977298653">
      <w:marLeft w:val="0"/>
      <w:marRight w:val="0"/>
      <w:marTop w:val="0"/>
      <w:marBottom w:val="0"/>
      <w:divBdr>
        <w:top w:val="none" w:sz="0" w:space="0" w:color="auto"/>
        <w:left w:val="none" w:sz="0" w:space="0" w:color="auto"/>
        <w:bottom w:val="none" w:sz="0" w:space="0" w:color="auto"/>
        <w:right w:val="none" w:sz="0" w:space="0" w:color="auto"/>
      </w:divBdr>
    </w:div>
    <w:div w:id="979265198">
      <w:marLeft w:val="0"/>
      <w:marRight w:val="0"/>
      <w:marTop w:val="0"/>
      <w:marBottom w:val="0"/>
      <w:divBdr>
        <w:top w:val="none" w:sz="0" w:space="0" w:color="auto"/>
        <w:left w:val="none" w:sz="0" w:space="0" w:color="auto"/>
        <w:bottom w:val="none" w:sz="0" w:space="0" w:color="auto"/>
        <w:right w:val="none" w:sz="0" w:space="0" w:color="auto"/>
      </w:divBdr>
      <w:divsChild>
        <w:div w:id="1487437377">
          <w:marLeft w:val="0"/>
          <w:marRight w:val="0"/>
          <w:marTop w:val="0"/>
          <w:marBottom w:val="0"/>
          <w:divBdr>
            <w:top w:val="none" w:sz="0" w:space="0" w:color="auto"/>
            <w:left w:val="none" w:sz="0" w:space="0" w:color="auto"/>
            <w:bottom w:val="none" w:sz="0" w:space="0" w:color="auto"/>
            <w:right w:val="none" w:sz="0" w:space="0" w:color="auto"/>
          </w:divBdr>
        </w:div>
      </w:divsChild>
    </w:div>
    <w:div w:id="979459087">
      <w:marLeft w:val="0"/>
      <w:marRight w:val="0"/>
      <w:marTop w:val="0"/>
      <w:marBottom w:val="0"/>
      <w:divBdr>
        <w:top w:val="none" w:sz="0" w:space="0" w:color="auto"/>
        <w:left w:val="none" w:sz="0" w:space="0" w:color="auto"/>
        <w:bottom w:val="none" w:sz="0" w:space="0" w:color="auto"/>
        <w:right w:val="none" w:sz="0" w:space="0" w:color="auto"/>
      </w:divBdr>
    </w:div>
    <w:div w:id="983702402">
      <w:marLeft w:val="0"/>
      <w:marRight w:val="0"/>
      <w:marTop w:val="0"/>
      <w:marBottom w:val="0"/>
      <w:divBdr>
        <w:top w:val="none" w:sz="0" w:space="0" w:color="auto"/>
        <w:left w:val="none" w:sz="0" w:space="0" w:color="auto"/>
        <w:bottom w:val="none" w:sz="0" w:space="0" w:color="auto"/>
        <w:right w:val="none" w:sz="0" w:space="0" w:color="auto"/>
      </w:divBdr>
      <w:divsChild>
        <w:div w:id="1020349420">
          <w:marLeft w:val="0"/>
          <w:marRight w:val="0"/>
          <w:marTop w:val="0"/>
          <w:marBottom w:val="0"/>
          <w:divBdr>
            <w:top w:val="none" w:sz="0" w:space="0" w:color="auto"/>
            <w:left w:val="none" w:sz="0" w:space="0" w:color="auto"/>
            <w:bottom w:val="none" w:sz="0" w:space="0" w:color="auto"/>
            <w:right w:val="none" w:sz="0" w:space="0" w:color="auto"/>
          </w:divBdr>
        </w:div>
      </w:divsChild>
    </w:div>
    <w:div w:id="984504829">
      <w:marLeft w:val="0"/>
      <w:marRight w:val="0"/>
      <w:marTop w:val="0"/>
      <w:marBottom w:val="0"/>
      <w:divBdr>
        <w:top w:val="none" w:sz="0" w:space="0" w:color="auto"/>
        <w:left w:val="none" w:sz="0" w:space="0" w:color="auto"/>
        <w:bottom w:val="none" w:sz="0" w:space="0" w:color="auto"/>
        <w:right w:val="none" w:sz="0" w:space="0" w:color="auto"/>
      </w:divBdr>
    </w:div>
    <w:div w:id="986014668">
      <w:marLeft w:val="0"/>
      <w:marRight w:val="0"/>
      <w:marTop w:val="0"/>
      <w:marBottom w:val="0"/>
      <w:divBdr>
        <w:top w:val="none" w:sz="0" w:space="0" w:color="auto"/>
        <w:left w:val="none" w:sz="0" w:space="0" w:color="auto"/>
        <w:bottom w:val="none" w:sz="0" w:space="0" w:color="auto"/>
        <w:right w:val="none" w:sz="0" w:space="0" w:color="auto"/>
      </w:divBdr>
    </w:div>
    <w:div w:id="986282224">
      <w:marLeft w:val="0"/>
      <w:marRight w:val="0"/>
      <w:marTop w:val="0"/>
      <w:marBottom w:val="0"/>
      <w:divBdr>
        <w:top w:val="none" w:sz="0" w:space="0" w:color="auto"/>
        <w:left w:val="none" w:sz="0" w:space="0" w:color="auto"/>
        <w:bottom w:val="none" w:sz="0" w:space="0" w:color="auto"/>
        <w:right w:val="none" w:sz="0" w:space="0" w:color="auto"/>
      </w:divBdr>
    </w:div>
    <w:div w:id="986589829">
      <w:marLeft w:val="0"/>
      <w:marRight w:val="0"/>
      <w:marTop w:val="0"/>
      <w:marBottom w:val="0"/>
      <w:divBdr>
        <w:top w:val="none" w:sz="0" w:space="0" w:color="auto"/>
        <w:left w:val="none" w:sz="0" w:space="0" w:color="auto"/>
        <w:bottom w:val="none" w:sz="0" w:space="0" w:color="auto"/>
        <w:right w:val="none" w:sz="0" w:space="0" w:color="auto"/>
      </w:divBdr>
    </w:div>
    <w:div w:id="987132294">
      <w:marLeft w:val="0"/>
      <w:marRight w:val="0"/>
      <w:marTop w:val="0"/>
      <w:marBottom w:val="0"/>
      <w:divBdr>
        <w:top w:val="none" w:sz="0" w:space="0" w:color="auto"/>
        <w:left w:val="none" w:sz="0" w:space="0" w:color="auto"/>
        <w:bottom w:val="none" w:sz="0" w:space="0" w:color="auto"/>
        <w:right w:val="none" w:sz="0" w:space="0" w:color="auto"/>
      </w:divBdr>
    </w:div>
    <w:div w:id="988829756">
      <w:marLeft w:val="0"/>
      <w:marRight w:val="0"/>
      <w:marTop w:val="0"/>
      <w:marBottom w:val="0"/>
      <w:divBdr>
        <w:top w:val="none" w:sz="0" w:space="0" w:color="auto"/>
        <w:left w:val="none" w:sz="0" w:space="0" w:color="auto"/>
        <w:bottom w:val="none" w:sz="0" w:space="0" w:color="auto"/>
        <w:right w:val="none" w:sz="0" w:space="0" w:color="auto"/>
      </w:divBdr>
    </w:div>
    <w:div w:id="989015953">
      <w:marLeft w:val="0"/>
      <w:marRight w:val="0"/>
      <w:marTop w:val="0"/>
      <w:marBottom w:val="0"/>
      <w:divBdr>
        <w:top w:val="none" w:sz="0" w:space="0" w:color="auto"/>
        <w:left w:val="none" w:sz="0" w:space="0" w:color="auto"/>
        <w:bottom w:val="none" w:sz="0" w:space="0" w:color="auto"/>
        <w:right w:val="none" w:sz="0" w:space="0" w:color="auto"/>
      </w:divBdr>
    </w:div>
    <w:div w:id="990593698">
      <w:marLeft w:val="0"/>
      <w:marRight w:val="0"/>
      <w:marTop w:val="0"/>
      <w:marBottom w:val="0"/>
      <w:divBdr>
        <w:top w:val="none" w:sz="0" w:space="0" w:color="auto"/>
        <w:left w:val="none" w:sz="0" w:space="0" w:color="auto"/>
        <w:bottom w:val="none" w:sz="0" w:space="0" w:color="auto"/>
        <w:right w:val="none" w:sz="0" w:space="0" w:color="auto"/>
      </w:divBdr>
    </w:div>
    <w:div w:id="991641565">
      <w:marLeft w:val="0"/>
      <w:marRight w:val="0"/>
      <w:marTop w:val="0"/>
      <w:marBottom w:val="0"/>
      <w:divBdr>
        <w:top w:val="none" w:sz="0" w:space="0" w:color="auto"/>
        <w:left w:val="none" w:sz="0" w:space="0" w:color="auto"/>
        <w:bottom w:val="none" w:sz="0" w:space="0" w:color="auto"/>
        <w:right w:val="none" w:sz="0" w:space="0" w:color="auto"/>
      </w:divBdr>
    </w:div>
    <w:div w:id="993601653">
      <w:marLeft w:val="0"/>
      <w:marRight w:val="0"/>
      <w:marTop w:val="0"/>
      <w:marBottom w:val="0"/>
      <w:divBdr>
        <w:top w:val="none" w:sz="0" w:space="0" w:color="auto"/>
        <w:left w:val="none" w:sz="0" w:space="0" w:color="auto"/>
        <w:bottom w:val="none" w:sz="0" w:space="0" w:color="auto"/>
        <w:right w:val="none" w:sz="0" w:space="0" w:color="auto"/>
      </w:divBdr>
    </w:div>
    <w:div w:id="993684378">
      <w:marLeft w:val="0"/>
      <w:marRight w:val="0"/>
      <w:marTop w:val="0"/>
      <w:marBottom w:val="0"/>
      <w:divBdr>
        <w:top w:val="none" w:sz="0" w:space="0" w:color="auto"/>
        <w:left w:val="none" w:sz="0" w:space="0" w:color="auto"/>
        <w:bottom w:val="none" w:sz="0" w:space="0" w:color="auto"/>
        <w:right w:val="none" w:sz="0" w:space="0" w:color="auto"/>
      </w:divBdr>
      <w:divsChild>
        <w:div w:id="2101556513">
          <w:marLeft w:val="0"/>
          <w:marRight w:val="0"/>
          <w:marTop w:val="0"/>
          <w:marBottom w:val="0"/>
          <w:divBdr>
            <w:top w:val="none" w:sz="0" w:space="0" w:color="auto"/>
            <w:left w:val="none" w:sz="0" w:space="0" w:color="auto"/>
            <w:bottom w:val="none" w:sz="0" w:space="0" w:color="auto"/>
            <w:right w:val="none" w:sz="0" w:space="0" w:color="auto"/>
          </w:divBdr>
        </w:div>
      </w:divsChild>
    </w:div>
    <w:div w:id="993796266">
      <w:marLeft w:val="0"/>
      <w:marRight w:val="0"/>
      <w:marTop w:val="100"/>
      <w:marBottom w:val="100"/>
      <w:divBdr>
        <w:top w:val="none" w:sz="0" w:space="0" w:color="auto"/>
        <w:left w:val="none" w:sz="0" w:space="0" w:color="auto"/>
        <w:bottom w:val="none" w:sz="0" w:space="0" w:color="auto"/>
        <w:right w:val="none" w:sz="0" w:space="0" w:color="auto"/>
      </w:divBdr>
      <w:divsChild>
        <w:div w:id="746272368">
          <w:marLeft w:val="0"/>
          <w:marRight w:val="0"/>
          <w:marTop w:val="0"/>
          <w:marBottom w:val="0"/>
          <w:divBdr>
            <w:top w:val="none" w:sz="0" w:space="0" w:color="auto"/>
            <w:left w:val="none" w:sz="0" w:space="0" w:color="auto"/>
            <w:bottom w:val="none" w:sz="0" w:space="0" w:color="auto"/>
            <w:right w:val="none" w:sz="0" w:space="0" w:color="auto"/>
          </w:divBdr>
        </w:div>
        <w:div w:id="1860772369">
          <w:marLeft w:val="0"/>
          <w:marRight w:val="0"/>
          <w:marTop w:val="0"/>
          <w:marBottom w:val="0"/>
          <w:divBdr>
            <w:top w:val="none" w:sz="0" w:space="0" w:color="auto"/>
            <w:left w:val="none" w:sz="0" w:space="0" w:color="auto"/>
            <w:bottom w:val="none" w:sz="0" w:space="0" w:color="auto"/>
            <w:right w:val="none" w:sz="0" w:space="0" w:color="auto"/>
          </w:divBdr>
        </w:div>
        <w:div w:id="58552253">
          <w:marLeft w:val="0"/>
          <w:marRight w:val="0"/>
          <w:marTop w:val="0"/>
          <w:marBottom w:val="0"/>
          <w:divBdr>
            <w:top w:val="none" w:sz="0" w:space="0" w:color="auto"/>
            <w:left w:val="none" w:sz="0" w:space="0" w:color="auto"/>
            <w:bottom w:val="none" w:sz="0" w:space="0" w:color="auto"/>
            <w:right w:val="none" w:sz="0" w:space="0" w:color="auto"/>
          </w:divBdr>
        </w:div>
        <w:div w:id="1509756305">
          <w:marLeft w:val="0"/>
          <w:marRight w:val="0"/>
          <w:marTop w:val="0"/>
          <w:marBottom w:val="0"/>
          <w:divBdr>
            <w:top w:val="none" w:sz="0" w:space="0" w:color="auto"/>
            <w:left w:val="none" w:sz="0" w:space="0" w:color="auto"/>
            <w:bottom w:val="none" w:sz="0" w:space="0" w:color="auto"/>
            <w:right w:val="none" w:sz="0" w:space="0" w:color="auto"/>
          </w:divBdr>
        </w:div>
      </w:divsChild>
    </w:div>
    <w:div w:id="995575633">
      <w:marLeft w:val="0"/>
      <w:marRight w:val="0"/>
      <w:marTop w:val="0"/>
      <w:marBottom w:val="0"/>
      <w:divBdr>
        <w:top w:val="none" w:sz="0" w:space="0" w:color="auto"/>
        <w:left w:val="none" w:sz="0" w:space="0" w:color="auto"/>
        <w:bottom w:val="none" w:sz="0" w:space="0" w:color="auto"/>
        <w:right w:val="none" w:sz="0" w:space="0" w:color="auto"/>
      </w:divBdr>
    </w:div>
    <w:div w:id="996498951">
      <w:marLeft w:val="0"/>
      <w:marRight w:val="0"/>
      <w:marTop w:val="0"/>
      <w:marBottom w:val="0"/>
      <w:divBdr>
        <w:top w:val="none" w:sz="0" w:space="0" w:color="auto"/>
        <w:left w:val="none" w:sz="0" w:space="0" w:color="auto"/>
        <w:bottom w:val="none" w:sz="0" w:space="0" w:color="auto"/>
        <w:right w:val="none" w:sz="0" w:space="0" w:color="auto"/>
      </w:divBdr>
    </w:div>
    <w:div w:id="997155173">
      <w:marLeft w:val="0"/>
      <w:marRight w:val="0"/>
      <w:marTop w:val="0"/>
      <w:marBottom w:val="0"/>
      <w:divBdr>
        <w:top w:val="none" w:sz="0" w:space="0" w:color="auto"/>
        <w:left w:val="none" w:sz="0" w:space="0" w:color="auto"/>
        <w:bottom w:val="none" w:sz="0" w:space="0" w:color="auto"/>
        <w:right w:val="none" w:sz="0" w:space="0" w:color="auto"/>
      </w:divBdr>
    </w:div>
    <w:div w:id="997735713">
      <w:marLeft w:val="0"/>
      <w:marRight w:val="0"/>
      <w:marTop w:val="0"/>
      <w:marBottom w:val="0"/>
      <w:divBdr>
        <w:top w:val="none" w:sz="0" w:space="0" w:color="auto"/>
        <w:left w:val="none" w:sz="0" w:space="0" w:color="auto"/>
        <w:bottom w:val="none" w:sz="0" w:space="0" w:color="auto"/>
        <w:right w:val="none" w:sz="0" w:space="0" w:color="auto"/>
      </w:divBdr>
    </w:div>
    <w:div w:id="998463706">
      <w:marLeft w:val="0"/>
      <w:marRight w:val="0"/>
      <w:marTop w:val="0"/>
      <w:marBottom w:val="0"/>
      <w:divBdr>
        <w:top w:val="none" w:sz="0" w:space="0" w:color="auto"/>
        <w:left w:val="none" w:sz="0" w:space="0" w:color="auto"/>
        <w:bottom w:val="none" w:sz="0" w:space="0" w:color="auto"/>
        <w:right w:val="none" w:sz="0" w:space="0" w:color="auto"/>
      </w:divBdr>
      <w:divsChild>
        <w:div w:id="275060936">
          <w:marLeft w:val="0"/>
          <w:marRight w:val="0"/>
          <w:marTop w:val="0"/>
          <w:marBottom w:val="0"/>
          <w:divBdr>
            <w:top w:val="none" w:sz="0" w:space="0" w:color="auto"/>
            <w:left w:val="none" w:sz="0" w:space="0" w:color="auto"/>
            <w:bottom w:val="none" w:sz="0" w:space="0" w:color="auto"/>
            <w:right w:val="none" w:sz="0" w:space="0" w:color="auto"/>
          </w:divBdr>
        </w:div>
      </w:divsChild>
    </w:div>
    <w:div w:id="998532072">
      <w:marLeft w:val="0"/>
      <w:marRight w:val="0"/>
      <w:marTop w:val="0"/>
      <w:marBottom w:val="0"/>
      <w:divBdr>
        <w:top w:val="none" w:sz="0" w:space="0" w:color="auto"/>
        <w:left w:val="none" w:sz="0" w:space="0" w:color="auto"/>
        <w:bottom w:val="none" w:sz="0" w:space="0" w:color="auto"/>
        <w:right w:val="none" w:sz="0" w:space="0" w:color="auto"/>
      </w:divBdr>
    </w:div>
    <w:div w:id="999694637">
      <w:marLeft w:val="0"/>
      <w:marRight w:val="0"/>
      <w:marTop w:val="0"/>
      <w:marBottom w:val="0"/>
      <w:divBdr>
        <w:top w:val="none" w:sz="0" w:space="0" w:color="auto"/>
        <w:left w:val="none" w:sz="0" w:space="0" w:color="auto"/>
        <w:bottom w:val="none" w:sz="0" w:space="0" w:color="auto"/>
        <w:right w:val="none" w:sz="0" w:space="0" w:color="auto"/>
      </w:divBdr>
    </w:div>
    <w:div w:id="1000814461">
      <w:marLeft w:val="0"/>
      <w:marRight w:val="0"/>
      <w:marTop w:val="0"/>
      <w:marBottom w:val="0"/>
      <w:divBdr>
        <w:top w:val="none" w:sz="0" w:space="0" w:color="auto"/>
        <w:left w:val="none" w:sz="0" w:space="0" w:color="auto"/>
        <w:bottom w:val="none" w:sz="0" w:space="0" w:color="auto"/>
        <w:right w:val="none" w:sz="0" w:space="0" w:color="auto"/>
      </w:divBdr>
    </w:div>
    <w:div w:id="1001784215">
      <w:marLeft w:val="0"/>
      <w:marRight w:val="0"/>
      <w:marTop w:val="0"/>
      <w:marBottom w:val="0"/>
      <w:divBdr>
        <w:top w:val="none" w:sz="0" w:space="0" w:color="auto"/>
        <w:left w:val="none" w:sz="0" w:space="0" w:color="auto"/>
        <w:bottom w:val="none" w:sz="0" w:space="0" w:color="auto"/>
        <w:right w:val="none" w:sz="0" w:space="0" w:color="auto"/>
      </w:divBdr>
    </w:div>
    <w:div w:id="1002471031">
      <w:marLeft w:val="0"/>
      <w:marRight w:val="0"/>
      <w:marTop w:val="100"/>
      <w:marBottom w:val="100"/>
      <w:divBdr>
        <w:top w:val="none" w:sz="0" w:space="0" w:color="auto"/>
        <w:left w:val="none" w:sz="0" w:space="0" w:color="auto"/>
        <w:bottom w:val="none" w:sz="0" w:space="0" w:color="auto"/>
        <w:right w:val="none" w:sz="0" w:space="0" w:color="auto"/>
      </w:divBdr>
      <w:divsChild>
        <w:div w:id="1558857200">
          <w:marLeft w:val="0"/>
          <w:marRight w:val="0"/>
          <w:marTop w:val="0"/>
          <w:marBottom w:val="0"/>
          <w:divBdr>
            <w:top w:val="none" w:sz="0" w:space="0" w:color="auto"/>
            <w:left w:val="none" w:sz="0" w:space="0" w:color="auto"/>
            <w:bottom w:val="none" w:sz="0" w:space="0" w:color="auto"/>
            <w:right w:val="none" w:sz="0" w:space="0" w:color="auto"/>
          </w:divBdr>
        </w:div>
        <w:div w:id="624972189">
          <w:marLeft w:val="0"/>
          <w:marRight w:val="0"/>
          <w:marTop w:val="0"/>
          <w:marBottom w:val="0"/>
          <w:divBdr>
            <w:top w:val="none" w:sz="0" w:space="0" w:color="auto"/>
            <w:left w:val="none" w:sz="0" w:space="0" w:color="auto"/>
            <w:bottom w:val="none" w:sz="0" w:space="0" w:color="auto"/>
            <w:right w:val="none" w:sz="0" w:space="0" w:color="auto"/>
          </w:divBdr>
        </w:div>
        <w:div w:id="102892183">
          <w:marLeft w:val="0"/>
          <w:marRight w:val="0"/>
          <w:marTop w:val="0"/>
          <w:marBottom w:val="0"/>
          <w:divBdr>
            <w:top w:val="none" w:sz="0" w:space="0" w:color="auto"/>
            <w:left w:val="none" w:sz="0" w:space="0" w:color="auto"/>
            <w:bottom w:val="none" w:sz="0" w:space="0" w:color="auto"/>
            <w:right w:val="none" w:sz="0" w:space="0" w:color="auto"/>
          </w:divBdr>
        </w:div>
        <w:div w:id="1962613131">
          <w:marLeft w:val="0"/>
          <w:marRight w:val="0"/>
          <w:marTop w:val="0"/>
          <w:marBottom w:val="0"/>
          <w:divBdr>
            <w:top w:val="none" w:sz="0" w:space="0" w:color="auto"/>
            <w:left w:val="none" w:sz="0" w:space="0" w:color="auto"/>
            <w:bottom w:val="none" w:sz="0" w:space="0" w:color="auto"/>
            <w:right w:val="none" w:sz="0" w:space="0" w:color="auto"/>
          </w:divBdr>
        </w:div>
        <w:div w:id="1927960875">
          <w:marLeft w:val="0"/>
          <w:marRight w:val="0"/>
          <w:marTop w:val="0"/>
          <w:marBottom w:val="0"/>
          <w:divBdr>
            <w:top w:val="none" w:sz="0" w:space="0" w:color="auto"/>
            <w:left w:val="none" w:sz="0" w:space="0" w:color="auto"/>
            <w:bottom w:val="none" w:sz="0" w:space="0" w:color="auto"/>
            <w:right w:val="none" w:sz="0" w:space="0" w:color="auto"/>
          </w:divBdr>
        </w:div>
        <w:div w:id="1469009398">
          <w:marLeft w:val="0"/>
          <w:marRight w:val="0"/>
          <w:marTop w:val="0"/>
          <w:marBottom w:val="0"/>
          <w:divBdr>
            <w:top w:val="none" w:sz="0" w:space="0" w:color="auto"/>
            <w:left w:val="none" w:sz="0" w:space="0" w:color="auto"/>
            <w:bottom w:val="none" w:sz="0" w:space="0" w:color="auto"/>
            <w:right w:val="none" w:sz="0" w:space="0" w:color="auto"/>
          </w:divBdr>
        </w:div>
        <w:div w:id="1791393406">
          <w:marLeft w:val="0"/>
          <w:marRight w:val="0"/>
          <w:marTop w:val="0"/>
          <w:marBottom w:val="0"/>
          <w:divBdr>
            <w:top w:val="none" w:sz="0" w:space="0" w:color="auto"/>
            <w:left w:val="none" w:sz="0" w:space="0" w:color="auto"/>
            <w:bottom w:val="none" w:sz="0" w:space="0" w:color="auto"/>
            <w:right w:val="none" w:sz="0" w:space="0" w:color="auto"/>
          </w:divBdr>
        </w:div>
        <w:div w:id="1361323042">
          <w:marLeft w:val="0"/>
          <w:marRight w:val="0"/>
          <w:marTop w:val="0"/>
          <w:marBottom w:val="0"/>
          <w:divBdr>
            <w:top w:val="none" w:sz="0" w:space="0" w:color="auto"/>
            <w:left w:val="none" w:sz="0" w:space="0" w:color="auto"/>
            <w:bottom w:val="none" w:sz="0" w:space="0" w:color="auto"/>
            <w:right w:val="none" w:sz="0" w:space="0" w:color="auto"/>
          </w:divBdr>
        </w:div>
        <w:div w:id="789738118">
          <w:marLeft w:val="0"/>
          <w:marRight w:val="0"/>
          <w:marTop w:val="0"/>
          <w:marBottom w:val="0"/>
          <w:divBdr>
            <w:top w:val="none" w:sz="0" w:space="0" w:color="auto"/>
            <w:left w:val="none" w:sz="0" w:space="0" w:color="auto"/>
            <w:bottom w:val="none" w:sz="0" w:space="0" w:color="auto"/>
            <w:right w:val="none" w:sz="0" w:space="0" w:color="auto"/>
          </w:divBdr>
        </w:div>
        <w:div w:id="531960546">
          <w:marLeft w:val="0"/>
          <w:marRight w:val="0"/>
          <w:marTop w:val="0"/>
          <w:marBottom w:val="0"/>
          <w:divBdr>
            <w:top w:val="none" w:sz="0" w:space="0" w:color="auto"/>
            <w:left w:val="none" w:sz="0" w:space="0" w:color="auto"/>
            <w:bottom w:val="none" w:sz="0" w:space="0" w:color="auto"/>
            <w:right w:val="none" w:sz="0" w:space="0" w:color="auto"/>
          </w:divBdr>
        </w:div>
        <w:div w:id="2050182358">
          <w:marLeft w:val="0"/>
          <w:marRight w:val="0"/>
          <w:marTop w:val="0"/>
          <w:marBottom w:val="0"/>
          <w:divBdr>
            <w:top w:val="none" w:sz="0" w:space="0" w:color="auto"/>
            <w:left w:val="none" w:sz="0" w:space="0" w:color="auto"/>
            <w:bottom w:val="none" w:sz="0" w:space="0" w:color="auto"/>
            <w:right w:val="none" w:sz="0" w:space="0" w:color="auto"/>
          </w:divBdr>
        </w:div>
        <w:div w:id="1577127954">
          <w:marLeft w:val="0"/>
          <w:marRight w:val="0"/>
          <w:marTop w:val="0"/>
          <w:marBottom w:val="0"/>
          <w:divBdr>
            <w:top w:val="none" w:sz="0" w:space="0" w:color="auto"/>
            <w:left w:val="none" w:sz="0" w:space="0" w:color="auto"/>
            <w:bottom w:val="none" w:sz="0" w:space="0" w:color="auto"/>
            <w:right w:val="none" w:sz="0" w:space="0" w:color="auto"/>
          </w:divBdr>
        </w:div>
        <w:div w:id="418674764">
          <w:marLeft w:val="0"/>
          <w:marRight w:val="0"/>
          <w:marTop w:val="0"/>
          <w:marBottom w:val="0"/>
          <w:divBdr>
            <w:top w:val="none" w:sz="0" w:space="0" w:color="auto"/>
            <w:left w:val="none" w:sz="0" w:space="0" w:color="auto"/>
            <w:bottom w:val="none" w:sz="0" w:space="0" w:color="auto"/>
            <w:right w:val="none" w:sz="0" w:space="0" w:color="auto"/>
          </w:divBdr>
        </w:div>
        <w:div w:id="664746598">
          <w:marLeft w:val="0"/>
          <w:marRight w:val="0"/>
          <w:marTop w:val="0"/>
          <w:marBottom w:val="0"/>
          <w:divBdr>
            <w:top w:val="none" w:sz="0" w:space="0" w:color="auto"/>
            <w:left w:val="none" w:sz="0" w:space="0" w:color="auto"/>
            <w:bottom w:val="none" w:sz="0" w:space="0" w:color="auto"/>
            <w:right w:val="none" w:sz="0" w:space="0" w:color="auto"/>
          </w:divBdr>
        </w:div>
        <w:div w:id="1740399243">
          <w:marLeft w:val="0"/>
          <w:marRight w:val="0"/>
          <w:marTop w:val="0"/>
          <w:marBottom w:val="0"/>
          <w:divBdr>
            <w:top w:val="none" w:sz="0" w:space="0" w:color="auto"/>
            <w:left w:val="none" w:sz="0" w:space="0" w:color="auto"/>
            <w:bottom w:val="none" w:sz="0" w:space="0" w:color="auto"/>
            <w:right w:val="none" w:sz="0" w:space="0" w:color="auto"/>
          </w:divBdr>
        </w:div>
        <w:div w:id="325059883">
          <w:marLeft w:val="0"/>
          <w:marRight w:val="0"/>
          <w:marTop w:val="0"/>
          <w:marBottom w:val="0"/>
          <w:divBdr>
            <w:top w:val="none" w:sz="0" w:space="0" w:color="auto"/>
            <w:left w:val="none" w:sz="0" w:space="0" w:color="auto"/>
            <w:bottom w:val="none" w:sz="0" w:space="0" w:color="auto"/>
            <w:right w:val="none" w:sz="0" w:space="0" w:color="auto"/>
          </w:divBdr>
        </w:div>
        <w:div w:id="1045763052">
          <w:marLeft w:val="0"/>
          <w:marRight w:val="0"/>
          <w:marTop w:val="0"/>
          <w:marBottom w:val="0"/>
          <w:divBdr>
            <w:top w:val="none" w:sz="0" w:space="0" w:color="auto"/>
            <w:left w:val="none" w:sz="0" w:space="0" w:color="auto"/>
            <w:bottom w:val="none" w:sz="0" w:space="0" w:color="auto"/>
            <w:right w:val="none" w:sz="0" w:space="0" w:color="auto"/>
          </w:divBdr>
        </w:div>
        <w:div w:id="1104494674">
          <w:marLeft w:val="0"/>
          <w:marRight w:val="0"/>
          <w:marTop w:val="0"/>
          <w:marBottom w:val="0"/>
          <w:divBdr>
            <w:top w:val="none" w:sz="0" w:space="0" w:color="auto"/>
            <w:left w:val="none" w:sz="0" w:space="0" w:color="auto"/>
            <w:bottom w:val="none" w:sz="0" w:space="0" w:color="auto"/>
            <w:right w:val="none" w:sz="0" w:space="0" w:color="auto"/>
          </w:divBdr>
        </w:div>
        <w:div w:id="856234133">
          <w:marLeft w:val="0"/>
          <w:marRight w:val="0"/>
          <w:marTop w:val="0"/>
          <w:marBottom w:val="0"/>
          <w:divBdr>
            <w:top w:val="none" w:sz="0" w:space="0" w:color="auto"/>
            <w:left w:val="none" w:sz="0" w:space="0" w:color="auto"/>
            <w:bottom w:val="none" w:sz="0" w:space="0" w:color="auto"/>
            <w:right w:val="none" w:sz="0" w:space="0" w:color="auto"/>
          </w:divBdr>
        </w:div>
        <w:div w:id="595788020">
          <w:marLeft w:val="0"/>
          <w:marRight w:val="0"/>
          <w:marTop w:val="0"/>
          <w:marBottom w:val="0"/>
          <w:divBdr>
            <w:top w:val="none" w:sz="0" w:space="0" w:color="auto"/>
            <w:left w:val="none" w:sz="0" w:space="0" w:color="auto"/>
            <w:bottom w:val="none" w:sz="0" w:space="0" w:color="auto"/>
            <w:right w:val="none" w:sz="0" w:space="0" w:color="auto"/>
          </w:divBdr>
        </w:div>
        <w:div w:id="313797059">
          <w:marLeft w:val="0"/>
          <w:marRight w:val="0"/>
          <w:marTop w:val="0"/>
          <w:marBottom w:val="0"/>
          <w:divBdr>
            <w:top w:val="none" w:sz="0" w:space="0" w:color="auto"/>
            <w:left w:val="none" w:sz="0" w:space="0" w:color="auto"/>
            <w:bottom w:val="none" w:sz="0" w:space="0" w:color="auto"/>
            <w:right w:val="none" w:sz="0" w:space="0" w:color="auto"/>
          </w:divBdr>
        </w:div>
        <w:div w:id="742486794">
          <w:marLeft w:val="0"/>
          <w:marRight w:val="0"/>
          <w:marTop w:val="0"/>
          <w:marBottom w:val="0"/>
          <w:divBdr>
            <w:top w:val="none" w:sz="0" w:space="0" w:color="auto"/>
            <w:left w:val="none" w:sz="0" w:space="0" w:color="auto"/>
            <w:bottom w:val="none" w:sz="0" w:space="0" w:color="auto"/>
            <w:right w:val="none" w:sz="0" w:space="0" w:color="auto"/>
          </w:divBdr>
        </w:div>
        <w:div w:id="1818105751">
          <w:marLeft w:val="0"/>
          <w:marRight w:val="0"/>
          <w:marTop w:val="0"/>
          <w:marBottom w:val="0"/>
          <w:divBdr>
            <w:top w:val="none" w:sz="0" w:space="0" w:color="auto"/>
            <w:left w:val="none" w:sz="0" w:space="0" w:color="auto"/>
            <w:bottom w:val="none" w:sz="0" w:space="0" w:color="auto"/>
            <w:right w:val="none" w:sz="0" w:space="0" w:color="auto"/>
          </w:divBdr>
        </w:div>
        <w:div w:id="253127637">
          <w:marLeft w:val="0"/>
          <w:marRight w:val="0"/>
          <w:marTop w:val="0"/>
          <w:marBottom w:val="0"/>
          <w:divBdr>
            <w:top w:val="none" w:sz="0" w:space="0" w:color="auto"/>
            <w:left w:val="none" w:sz="0" w:space="0" w:color="auto"/>
            <w:bottom w:val="none" w:sz="0" w:space="0" w:color="auto"/>
            <w:right w:val="none" w:sz="0" w:space="0" w:color="auto"/>
          </w:divBdr>
        </w:div>
      </w:divsChild>
    </w:div>
    <w:div w:id="1003976189">
      <w:marLeft w:val="0"/>
      <w:marRight w:val="0"/>
      <w:marTop w:val="0"/>
      <w:marBottom w:val="0"/>
      <w:divBdr>
        <w:top w:val="none" w:sz="0" w:space="0" w:color="auto"/>
        <w:left w:val="none" w:sz="0" w:space="0" w:color="auto"/>
        <w:bottom w:val="none" w:sz="0" w:space="0" w:color="auto"/>
        <w:right w:val="none" w:sz="0" w:space="0" w:color="auto"/>
      </w:divBdr>
    </w:div>
    <w:div w:id="1004016466">
      <w:marLeft w:val="0"/>
      <w:marRight w:val="0"/>
      <w:marTop w:val="100"/>
      <w:marBottom w:val="100"/>
      <w:divBdr>
        <w:top w:val="none" w:sz="0" w:space="0" w:color="auto"/>
        <w:left w:val="none" w:sz="0" w:space="0" w:color="auto"/>
        <w:bottom w:val="none" w:sz="0" w:space="0" w:color="auto"/>
        <w:right w:val="none" w:sz="0" w:space="0" w:color="auto"/>
      </w:divBdr>
    </w:div>
    <w:div w:id="1004552967">
      <w:marLeft w:val="0"/>
      <w:marRight w:val="0"/>
      <w:marTop w:val="0"/>
      <w:marBottom w:val="0"/>
      <w:divBdr>
        <w:top w:val="none" w:sz="0" w:space="0" w:color="auto"/>
        <w:left w:val="none" w:sz="0" w:space="0" w:color="auto"/>
        <w:bottom w:val="none" w:sz="0" w:space="0" w:color="auto"/>
        <w:right w:val="none" w:sz="0" w:space="0" w:color="auto"/>
      </w:divBdr>
    </w:div>
    <w:div w:id="1005322885">
      <w:marLeft w:val="0"/>
      <w:marRight w:val="0"/>
      <w:marTop w:val="0"/>
      <w:marBottom w:val="0"/>
      <w:divBdr>
        <w:top w:val="none" w:sz="0" w:space="0" w:color="auto"/>
        <w:left w:val="none" w:sz="0" w:space="0" w:color="auto"/>
        <w:bottom w:val="none" w:sz="0" w:space="0" w:color="auto"/>
        <w:right w:val="none" w:sz="0" w:space="0" w:color="auto"/>
      </w:divBdr>
    </w:div>
    <w:div w:id="1005792128">
      <w:marLeft w:val="0"/>
      <w:marRight w:val="0"/>
      <w:marTop w:val="0"/>
      <w:marBottom w:val="0"/>
      <w:divBdr>
        <w:top w:val="none" w:sz="0" w:space="0" w:color="auto"/>
        <w:left w:val="none" w:sz="0" w:space="0" w:color="auto"/>
        <w:bottom w:val="none" w:sz="0" w:space="0" w:color="auto"/>
        <w:right w:val="none" w:sz="0" w:space="0" w:color="auto"/>
      </w:divBdr>
    </w:div>
    <w:div w:id="1006175056">
      <w:marLeft w:val="0"/>
      <w:marRight w:val="0"/>
      <w:marTop w:val="0"/>
      <w:marBottom w:val="0"/>
      <w:divBdr>
        <w:top w:val="none" w:sz="0" w:space="0" w:color="auto"/>
        <w:left w:val="none" w:sz="0" w:space="0" w:color="auto"/>
        <w:bottom w:val="none" w:sz="0" w:space="0" w:color="auto"/>
        <w:right w:val="none" w:sz="0" w:space="0" w:color="auto"/>
      </w:divBdr>
    </w:div>
    <w:div w:id="1007051550">
      <w:marLeft w:val="0"/>
      <w:marRight w:val="0"/>
      <w:marTop w:val="0"/>
      <w:marBottom w:val="0"/>
      <w:divBdr>
        <w:top w:val="none" w:sz="0" w:space="0" w:color="auto"/>
        <w:left w:val="none" w:sz="0" w:space="0" w:color="auto"/>
        <w:bottom w:val="none" w:sz="0" w:space="0" w:color="auto"/>
        <w:right w:val="none" w:sz="0" w:space="0" w:color="auto"/>
      </w:divBdr>
    </w:div>
    <w:div w:id="1007899739">
      <w:marLeft w:val="0"/>
      <w:marRight w:val="0"/>
      <w:marTop w:val="0"/>
      <w:marBottom w:val="0"/>
      <w:divBdr>
        <w:top w:val="none" w:sz="0" w:space="0" w:color="auto"/>
        <w:left w:val="none" w:sz="0" w:space="0" w:color="auto"/>
        <w:bottom w:val="none" w:sz="0" w:space="0" w:color="auto"/>
        <w:right w:val="none" w:sz="0" w:space="0" w:color="auto"/>
      </w:divBdr>
    </w:div>
    <w:div w:id="1009598734">
      <w:marLeft w:val="0"/>
      <w:marRight w:val="0"/>
      <w:marTop w:val="60"/>
      <w:marBottom w:val="0"/>
      <w:divBdr>
        <w:top w:val="none" w:sz="0" w:space="0" w:color="auto"/>
        <w:left w:val="none" w:sz="0" w:space="0" w:color="auto"/>
        <w:bottom w:val="none" w:sz="0" w:space="0" w:color="auto"/>
        <w:right w:val="none" w:sz="0" w:space="0" w:color="auto"/>
      </w:divBdr>
      <w:divsChild>
        <w:div w:id="692803111">
          <w:marLeft w:val="0"/>
          <w:marRight w:val="0"/>
          <w:marTop w:val="0"/>
          <w:marBottom w:val="0"/>
          <w:divBdr>
            <w:top w:val="none" w:sz="0" w:space="0" w:color="auto"/>
            <w:left w:val="none" w:sz="0" w:space="0" w:color="auto"/>
            <w:bottom w:val="none" w:sz="0" w:space="0" w:color="auto"/>
            <w:right w:val="none" w:sz="0" w:space="0" w:color="auto"/>
          </w:divBdr>
        </w:div>
        <w:div w:id="831263107">
          <w:marLeft w:val="0"/>
          <w:marRight w:val="0"/>
          <w:marTop w:val="0"/>
          <w:marBottom w:val="0"/>
          <w:divBdr>
            <w:top w:val="none" w:sz="0" w:space="0" w:color="auto"/>
            <w:left w:val="none" w:sz="0" w:space="0" w:color="auto"/>
            <w:bottom w:val="none" w:sz="0" w:space="0" w:color="auto"/>
            <w:right w:val="none" w:sz="0" w:space="0" w:color="auto"/>
          </w:divBdr>
        </w:div>
        <w:div w:id="1632403038">
          <w:marLeft w:val="0"/>
          <w:marRight w:val="0"/>
          <w:marTop w:val="0"/>
          <w:marBottom w:val="0"/>
          <w:divBdr>
            <w:top w:val="none" w:sz="0" w:space="0" w:color="auto"/>
            <w:left w:val="none" w:sz="0" w:space="0" w:color="auto"/>
            <w:bottom w:val="none" w:sz="0" w:space="0" w:color="auto"/>
            <w:right w:val="none" w:sz="0" w:space="0" w:color="auto"/>
          </w:divBdr>
        </w:div>
        <w:div w:id="69624017">
          <w:marLeft w:val="0"/>
          <w:marRight w:val="0"/>
          <w:marTop w:val="0"/>
          <w:marBottom w:val="0"/>
          <w:divBdr>
            <w:top w:val="none" w:sz="0" w:space="0" w:color="auto"/>
            <w:left w:val="none" w:sz="0" w:space="0" w:color="auto"/>
            <w:bottom w:val="none" w:sz="0" w:space="0" w:color="auto"/>
            <w:right w:val="none" w:sz="0" w:space="0" w:color="auto"/>
          </w:divBdr>
        </w:div>
        <w:div w:id="1452748078">
          <w:marLeft w:val="0"/>
          <w:marRight w:val="0"/>
          <w:marTop w:val="0"/>
          <w:marBottom w:val="0"/>
          <w:divBdr>
            <w:top w:val="none" w:sz="0" w:space="0" w:color="auto"/>
            <w:left w:val="none" w:sz="0" w:space="0" w:color="auto"/>
            <w:bottom w:val="none" w:sz="0" w:space="0" w:color="auto"/>
            <w:right w:val="none" w:sz="0" w:space="0" w:color="auto"/>
          </w:divBdr>
        </w:div>
        <w:div w:id="1171603381">
          <w:marLeft w:val="0"/>
          <w:marRight w:val="0"/>
          <w:marTop w:val="0"/>
          <w:marBottom w:val="0"/>
          <w:divBdr>
            <w:top w:val="none" w:sz="0" w:space="0" w:color="auto"/>
            <w:left w:val="none" w:sz="0" w:space="0" w:color="auto"/>
            <w:bottom w:val="none" w:sz="0" w:space="0" w:color="auto"/>
            <w:right w:val="none" w:sz="0" w:space="0" w:color="auto"/>
          </w:divBdr>
        </w:div>
        <w:div w:id="242029264">
          <w:marLeft w:val="0"/>
          <w:marRight w:val="0"/>
          <w:marTop w:val="0"/>
          <w:marBottom w:val="0"/>
          <w:divBdr>
            <w:top w:val="none" w:sz="0" w:space="0" w:color="auto"/>
            <w:left w:val="none" w:sz="0" w:space="0" w:color="auto"/>
            <w:bottom w:val="none" w:sz="0" w:space="0" w:color="auto"/>
            <w:right w:val="none" w:sz="0" w:space="0" w:color="auto"/>
          </w:divBdr>
        </w:div>
      </w:divsChild>
    </w:div>
    <w:div w:id="1010567514">
      <w:marLeft w:val="0"/>
      <w:marRight w:val="0"/>
      <w:marTop w:val="0"/>
      <w:marBottom w:val="0"/>
      <w:divBdr>
        <w:top w:val="none" w:sz="0" w:space="0" w:color="auto"/>
        <w:left w:val="none" w:sz="0" w:space="0" w:color="auto"/>
        <w:bottom w:val="none" w:sz="0" w:space="0" w:color="auto"/>
        <w:right w:val="none" w:sz="0" w:space="0" w:color="auto"/>
      </w:divBdr>
    </w:div>
    <w:div w:id="1011563845">
      <w:marLeft w:val="0"/>
      <w:marRight w:val="0"/>
      <w:marTop w:val="0"/>
      <w:marBottom w:val="0"/>
      <w:divBdr>
        <w:top w:val="none" w:sz="0" w:space="0" w:color="auto"/>
        <w:left w:val="none" w:sz="0" w:space="0" w:color="auto"/>
        <w:bottom w:val="none" w:sz="0" w:space="0" w:color="auto"/>
        <w:right w:val="none" w:sz="0" w:space="0" w:color="auto"/>
      </w:divBdr>
    </w:div>
    <w:div w:id="1011643153">
      <w:marLeft w:val="0"/>
      <w:marRight w:val="0"/>
      <w:marTop w:val="0"/>
      <w:marBottom w:val="0"/>
      <w:divBdr>
        <w:top w:val="none" w:sz="0" w:space="0" w:color="auto"/>
        <w:left w:val="none" w:sz="0" w:space="0" w:color="auto"/>
        <w:bottom w:val="none" w:sz="0" w:space="0" w:color="auto"/>
        <w:right w:val="none" w:sz="0" w:space="0" w:color="auto"/>
      </w:divBdr>
    </w:div>
    <w:div w:id="1012101378">
      <w:marLeft w:val="0"/>
      <w:marRight w:val="0"/>
      <w:marTop w:val="0"/>
      <w:marBottom w:val="0"/>
      <w:divBdr>
        <w:top w:val="none" w:sz="0" w:space="0" w:color="auto"/>
        <w:left w:val="none" w:sz="0" w:space="0" w:color="auto"/>
        <w:bottom w:val="none" w:sz="0" w:space="0" w:color="auto"/>
        <w:right w:val="none" w:sz="0" w:space="0" w:color="auto"/>
      </w:divBdr>
    </w:div>
    <w:div w:id="1015769760">
      <w:marLeft w:val="0"/>
      <w:marRight w:val="0"/>
      <w:marTop w:val="0"/>
      <w:marBottom w:val="0"/>
      <w:divBdr>
        <w:top w:val="none" w:sz="0" w:space="0" w:color="auto"/>
        <w:left w:val="none" w:sz="0" w:space="0" w:color="auto"/>
        <w:bottom w:val="none" w:sz="0" w:space="0" w:color="auto"/>
        <w:right w:val="none" w:sz="0" w:space="0" w:color="auto"/>
      </w:divBdr>
    </w:div>
    <w:div w:id="1016155023">
      <w:marLeft w:val="0"/>
      <w:marRight w:val="0"/>
      <w:marTop w:val="0"/>
      <w:marBottom w:val="0"/>
      <w:divBdr>
        <w:top w:val="none" w:sz="0" w:space="0" w:color="auto"/>
        <w:left w:val="none" w:sz="0" w:space="0" w:color="auto"/>
        <w:bottom w:val="none" w:sz="0" w:space="0" w:color="auto"/>
        <w:right w:val="none" w:sz="0" w:space="0" w:color="auto"/>
      </w:divBdr>
    </w:div>
    <w:div w:id="1016616926">
      <w:marLeft w:val="0"/>
      <w:marRight w:val="0"/>
      <w:marTop w:val="0"/>
      <w:marBottom w:val="0"/>
      <w:divBdr>
        <w:top w:val="none" w:sz="0" w:space="0" w:color="auto"/>
        <w:left w:val="none" w:sz="0" w:space="0" w:color="auto"/>
        <w:bottom w:val="none" w:sz="0" w:space="0" w:color="auto"/>
        <w:right w:val="none" w:sz="0" w:space="0" w:color="auto"/>
      </w:divBdr>
    </w:div>
    <w:div w:id="1017342551">
      <w:marLeft w:val="0"/>
      <w:marRight w:val="0"/>
      <w:marTop w:val="100"/>
      <w:marBottom w:val="100"/>
      <w:divBdr>
        <w:top w:val="none" w:sz="0" w:space="0" w:color="auto"/>
        <w:left w:val="none" w:sz="0" w:space="0" w:color="auto"/>
        <w:bottom w:val="none" w:sz="0" w:space="0" w:color="auto"/>
        <w:right w:val="none" w:sz="0" w:space="0" w:color="auto"/>
      </w:divBdr>
    </w:div>
    <w:div w:id="1017653132">
      <w:marLeft w:val="0"/>
      <w:marRight w:val="0"/>
      <w:marTop w:val="0"/>
      <w:marBottom w:val="0"/>
      <w:divBdr>
        <w:top w:val="none" w:sz="0" w:space="0" w:color="auto"/>
        <w:left w:val="none" w:sz="0" w:space="0" w:color="auto"/>
        <w:bottom w:val="none" w:sz="0" w:space="0" w:color="auto"/>
        <w:right w:val="none" w:sz="0" w:space="0" w:color="auto"/>
      </w:divBdr>
      <w:divsChild>
        <w:div w:id="477192384">
          <w:marLeft w:val="0"/>
          <w:marRight w:val="0"/>
          <w:marTop w:val="0"/>
          <w:marBottom w:val="0"/>
          <w:divBdr>
            <w:top w:val="none" w:sz="0" w:space="0" w:color="auto"/>
            <w:left w:val="none" w:sz="0" w:space="0" w:color="auto"/>
            <w:bottom w:val="none" w:sz="0" w:space="0" w:color="auto"/>
            <w:right w:val="none" w:sz="0" w:space="0" w:color="auto"/>
          </w:divBdr>
        </w:div>
      </w:divsChild>
    </w:div>
    <w:div w:id="1017661083">
      <w:marLeft w:val="0"/>
      <w:marRight w:val="0"/>
      <w:marTop w:val="0"/>
      <w:marBottom w:val="0"/>
      <w:divBdr>
        <w:top w:val="none" w:sz="0" w:space="0" w:color="auto"/>
        <w:left w:val="none" w:sz="0" w:space="0" w:color="auto"/>
        <w:bottom w:val="none" w:sz="0" w:space="0" w:color="auto"/>
        <w:right w:val="none" w:sz="0" w:space="0" w:color="auto"/>
      </w:divBdr>
    </w:div>
    <w:div w:id="1018511037">
      <w:marLeft w:val="0"/>
      <w:marRight w:val="0"/>
      <w:marTop w:val="0"/>
      <w:marBottom w:val="0"/>
      <w:divBdr>
        <w:top w:val="none" w:sz="0" w:space="0" w:color="auto"/>
        <w:left w:val="none" w:sz="0" w:space="0" w:color="auto"/>
        <w:bottom w:val="none" w:sz="0" w:space="0" w:color="auto"/>
        <w:right w:val="none" w:sz="0" w:space="0" w:color="auto"/>
      </w:divBdr>
    </w:div>
    <w:div w:id="1018775060">
      <w:marLeft w:val="0"/>
      <w:marRight w:val="0"/>
      <w:marTop w:val="0"/>
      <w:marBottom w:val="0"/>
      <w:divBdr>
        <w:top w:val="none" w:sz="0" w:space="0" w:color="auto"/>
        <w:left w:val="none" w:sz="0" w:space="0" w:color="auto"/>
        <w:bottom w:val="none" w:sz="0" w:space="0" w:color="auto"/>
        <w:right w:val="none" w:sz="0" w:space="0" w:color="auto"/>
      </w:divBdr>
    </w:div>
    <w:div w:id="1019047379">
      <w:marLeft w:val="0"/>
      <w:marRight w:val="0"/>
      <w:marTop w:val="0"/>
      <w:marBottom w:val="0"/>
      <w:divBdr>
        <w:top w:val="none" w:sz="0" w:space="0" w:color="auto"/>
        <w:left w:val="none" w:sz="0" w:space="0" w:color="auto"/>
        <w:bottom w:val="none" w:sz="0" w:space="0" w:color="auto"/>
        <w:right w:val="none" w:sz="0" w:space="0" w:color="auto"/>
      </w:divBdr>
    </w:div>
    <w:div w:id="1019358215">
      <w:marLeft w:val="0"/>
      <w:marRight w:val="0"/>
      <w:marTop w:val="0"/>
      <w:marBottom w:val="0"/>
      <w:divBdr>
        <w:top w:val="none" w:sz="0" w:space="0" w:color="auto"/>
        <w:left w:val="none" w:sz="0" w:space="0" w:color="auto"/>
        <w:bottom w:val="none" w:sz="0" w:space="0" w:color="auto"/>
        <w:right w:val="none" w:sz="0" w:space="0" w:color="auto"/>
      </w:divBdr>
    </w:div>
    <w:div w:id="1020860301">
      <w:marLeft w:val="0"/>
      <w:marRight w:val="0"/>
      <w:marTop w:val="0"/>
      <w:marBottom w:val="0"/>
      <w:divBdr>
        <w:top w:val="none" w:sz="0" w:space="0" w:color="auto"/>
        <w:left w:val="none" w:sz="0" w:space="0" w:color="auto"/>
        <w:bottom w:val="none" w:sz="0" w:space="0" w:color="auto"/>
        <w:right w:val="none" w:sz="0" w:space="0" w:color="auto"/>
      </w:divBdr>
    </w:div>
    <w:div w:id="1020934210">
      <w:marLeft w:val="0"/>
      <w:marRight w:val="0"/>
      <w:marTop w:val="0"/>
      <w:marBottom w:val="0"/>
      <w:divBdr>
        <w:top w:val="none" w:sz="0" w:space="0" w:color="auto"/>
        <w:left w:val="none" w:sz="0" w:space="0" w:color="auto"/>
        <w:bottom w:val="none" w:sz="0" w:space="0" w:color="auto"/>
        <w:right w:val="none" w:sz="0" w:space="0" w:color="auto"/>
      </w:divBdr>
    </w:div>
    <w:div w:id="1021664426">
      <w:marLeft w:val="0"/>
      <w:marRight w:val="0"/>
      <w:marTop w:val="0"/>
      <w:marBottom w:val="0"/>
      <w:divBdr>
        <w:top w:val="none" w:sz="0" w:space="0" w:color="auto"/>
        <w:left w:val="none" w:sz="0" w:space="0" w:color="auto"/>
        <w:bottom w:val="none" w:sz="0" w:space="0" w:color="auto"/>
        <w:right w:val="none" w:sz="0" w:space="0" w:color="auto"/>
      </w:divBdr>
    </w:div>
    <w:div w:id="1023092678">
      <w:marLeft w:val="0"/>
      <w:marRight w:val="0"/>
      <w:marTop w:val="0"/>
      <w:marBottom w:val="0"/>
      <w:divBdr>
        <w:top w:val="none" w:sz="0" w:space="0" w:color="auto"/>
        <w:left w:val="none" w:sz="0" w:space="0" w:color="auto"/>
        <w:bottom w:val="none" w:sz="0" w:space="0" w:color="auto"/>
        <w:right w:val="none" w:sz="0" w:space="0" w:color="auto"/>
      </w:divBdr>
    </w:div>
    <w:div w:id="1023214251">
      <w:marLeft w:val="0"/>
      <w:marRight w:val="0"/>
      <w:marTop w:val="0"/>
      <w:marBottom w:val="0"/>
      <w:divBdr>
        <w:top w:val="none" w:sz="0" w:space="0" w:color="auto"/>
        <w:left w:val="none" w:sz="0" w:space="0" w:color="auto"/>
        <w:bottom w:val="none" w:sz="0" w:space="0" w:color="auto"/>
        <w:right w:val="none" w:sz="0" w:space="0" w:color="auto"/>
      </w:divBdr>
    </w:div>
    <w:div w:id="1023478175">
      <w:marLeft w:val="0"/>
      <w:marRight w:val="0"/>
      <w:marTop w:val="0"/>
      <w:marBottom w:val="0"/>
      <w:divBdr>
        <w:top w:val="none" w:sz="0" w:space="0" w:color="auto"/>
        <w:left w:val="none" w:sz="0" w:space="0" w:color="auto"/>
        <w:bottom w:val="none" w:sz="0" w:space="0" w:color="auto"/>
        <w:right w:val="none" w:sz="0" w:space="0" w:color="auto"/>
      </w:divBdr>
    </w:div>
    <w:div w:id="1024401015">
      <w:marLeft w:val="0"/>
      <w:marRight w:val="0"/>
      <w:marTop w:val="0"/>
      <w:marBottom w:val="0"/>
      <w:divBdr>
        <w:top w:val="none" w:sz="0" w:space="0" w:color="auto"/>
        <w:left w:val="none" w:sz="0" w:space="0" w:color="auto"/>
        <w:bottom w:val="none" w:sz="0" w:space="0" w:color="auto"/>
        <w:right w:val="none" w:sz="0" w:space="0" w:color="auto"/>
      </w:divBdr>
    </w:div>
    <w:div w:id="1025015101">
      <w:marLeft w:val="0"/>
      <w:marRight w:val="0"/>
      <w:marTop w:val="0"/>
      <w:marBottom w:val="0"/>
      <w:divBdr>
        <w:top w:val="none" w:sz="0" w:space="0" w:color="auto"/>
        <w:left w:val="none" w:sz="0" w:space="0" w:color="auto"/>
        <w:bottom w:val="none" w:sz="0" w:space="0" w:color="auto"/>
        <w:right w:val="none" w:sz="0" w:space="0" w:color="auto"/>
      </w:divBdr>
    </w:div>
    <w:div w:id="1025836997">
      <w:marLeft w:val="0"/>
      <w:marRight w:val="0"/>
      <w:marTop w:val="0"/>
      <w:marBottom w:val="0"/>
      <w:divBdr>
        <w:top w:val="none" w:sz="0" w:space="0" w:color="auto"/>
        <w:left w:val="none" w:sz="0" w:space="0" w:color="auto"/>
        <w:bottom w:val="none" w:sz="0" w:space="0" w:color="auto"/>
        <w:right w:val="none" w:sz="0" w:space="0" w:color="auto"/>
      </w:divBdr>
    </w:div>
    <w:div w:id="1027633848">
      <w:marLeft w:val="0"/>
      <w:marRight w:val="0"/>
      <w:marTop w:val="0"/>
      <w:marBottom w:val="0"/>
      <w:divBdr>
        <w:top w:val="none" w:sz="0" w:space="0" w:color="auto"/>
        <w:left w:val="none" w:sz="0" w:space="0" w:color="auto"/>
        <w:bottom w:val="none" w:sz="0" w:space="0" w:color="auto"/>
        <w:right w:val="none" w:sz="0" w:space="0" w:color="auto"/>
      </w:divBdr>
    </w:div>
    <w:div w:id="1028339402">
      <w:marLeft w:val="0"/>
      <w:marRight w:val="0"/>
      <w:marTop w:val="0"/>
      <w:marBottom w:val="0"/>
      <w:divBdr>
        <w:top w:val="none" w:sz="0" w:space="0" w:color="auto"/>
        <w:left w:val="none" w:sz="0" w:space="0" w:color="auto"/>
        <w:bottom w:val="none" w:sz="0" w:space="0" w:color="auto"/>
        <w:right w:val="none" w:sz="0" w:space="0" w:color="auto"/>
      </w:divBdr>
    </w:div>
    <w:div w:id="1029376442">
      <w:marLeft w:val="0"/>
      <w:marRight w:val="0"/>
      <w:marTop w:val="0"/>
      <w:marBottom w:val="0"/>
      <w:divBdr>
        <w:top w:val="none" w:sz="0" w:space="0" w:color="auto"/>
        <w:left w:val="none" w:sz="0" w:space="0" w:color="auto"/>
        <w:bottom w:val="none" w:sz="0" w:space="0" w:color="auto"/>
        <w:right w:val="none" w:sz="0" w:space="0" w:color="auto"/>
      </w:divBdr>
    </w:div>
    <w:div w:id="1031494084">
      <w:marLeft w:val="0"/>
      <w:marRight w:val="0"/>
      <w:marTop w:val="0"/>
      <w:marBottom w:val="0"/>
      <w:divBdr>
        <w:top w:val="none" w:sz="0" w:space="0" w:color="auto"/>
        <w:left w:val="none" w:sz="0" w:space="0" w:color="auto"/>
        <w:bottom w:val="none" w:sz="0" w:space="0" w:color="auto"/>
        <w:right w:val="none" w:sz="0" w:space="0" w:color="auto"/>
      </w:divBdr>
    </w:div>
    <w:div w:id="1031807472">
      <w:marLeft w:val="0"/>
      <w:marRight w:val="0"/>
      <w:marTop w:val="0"/>
      <w:marBottom w:val="0"/>
      <w:divBdr>
        <w:top w:val="none" w:sz="0" w:space="0" w:color="auto"/>
        <w:left w:val="none" w:sz="0" w:space="0" w:color="auto"/>
        <w:bottom w:val="none" w:sz="0" w:space="0" w:color="auto"/>
        <w:right w:val="none" w:sz="0" w:space="0" w:color="auto"/>
      </w:divBdr>
    </w:div>
    <w:div w:id="1032875744">
      <w:marLeft w:val="0"/>
      <w:marRight w:val="0"/>
      <w:marTop w:val="0"/>
      <w:marBottom w:val="0"/>
      <w:divBdr>
        <w:top w:val="none" w:sz="0" w:space="0" w:color="auto"/>
        <w:left w:val="none" w:sz="0" w:space="0" w:color="auto"/>
        <w:bottom w:val="none" w:sz="0" w:space="0" w:color="auto"/>
        <w:right w:val="none" w:sz="0" w:space="0" w:color="auto"/>
      </w:divBdr>
    </w:div>
    <w:div w:id="1033186090">
      <w:marLeft w:val="0"/>
      <w:marRight w:val="0"/>
      <w:marTop w:val="0"/>
      <w:marBottom w:val="0"/>
      <w:divBdr>
        <w:top w:val="none" w:sz="0" w:space="0" w:color="auto"/>
        <w:left w:val="none" w:sz="0" w:space="0" w:color="auto"/>
        <w:bottom w:val="none" w:sz="0" w:space="0" w:color="auto"/>
        <w:right w:val="none" w:sz="0" w:space="0" w:color="auto"/>
      </w:divBdr>
    </w:div>
    <w:div w:id="1033195294">
      <w:marLeft w:val="0"/>
      <w:marRight w:val="0"/>
      <w:marTop w:val="0"/>
      <w:marBottom w:val="0"/>
      <w:divBdr>
        <w:top w:val="none" w:sz="0" w:space="0" w:color="auto"/>
        <w:left w:val="none" w:sz="0" w:space="0" w:color="auto"/>
        <w:bottom w:val="none" w:sz="0" w:space="0" w:color="auto"/>
        <w:right w:val="none" w:sz="0" w:space="0" w:color="auto"/>
      </w:divBdr>
    </w:div>
    <w:div w:id="1033268115">
      <w:marLeft w:val="0"/>
      <w:marRight w:val="0"/>
      <w:marTop w:val="0"/>
      <w:marBottom w:val="0"/>
      <w:divBdr>
        <w:top w:val="none" w:sz="0" w:space="0" w:color="auto"/>
        <w:left w:val="none" w:sz="0" w:space="0" w:color="auto"/>
        <w:bottom w:val="none" w:sz="0" w:space="0" w:color="auto"/>
        <w:right w:val="none" w:sz="0" w:space="0" w:color="auto"/>
      </w:divBdr>
    </w:div>
    <w:div w:id="1033457322">
      <w:marLeft w:val="0"/>
      <w:marRight w:val="0"/>
      <w:marTop w:val="0"/>
      <w:marBottom w:val="0"/>
      <w:divBdr>
        <w:top w:val="none" w:sz="0" w:space="0" w:color="auto"/>
        <w:left w:val="none" w:sz="0" w:space="0" w:color="auto"/>
        <w:bottom w:val="none" w:sz="0" w:space="0" w:color="auto"/>
        <w:right w:val="none" w:sz="0" w:space="0" w:color="auto"/>
      </w:divBdr>
    </w:div>
    <w:div w:id="1033572663">
      <w:marLeft w:val="0"/>
      <w:marRight w:val="0"/>
      <w:marTop w:val="0"/>
      <w:marBottom w:val="0"/>
      <w:divBdr>
        <w:top w:val="none" w:sz="0" w:space="0" w:color="auto"/>
        <w:left w:val="none" w:sz="0" w:space="0" w:color="auto"/>
        <w:bottom w:val="none" w:sz="0" w:space="0" w:color="auto"/>
        <w:right w:val="none" w:sz="0" w:space="0" w:color="auto"/>
      </w:divBdr>
    </w:div>
    <w:div w:id="1034426888">
      <w:marLeft w:val="0"/>
      <w:marRight w:val="0"/>
      <w:marTop w:val="0"/>
      <w:marBottom w:val="0"/>
      <w:divBdr>
        <w:top w:val="none" w:sz="0" w:space="0" w:color="auto"/>
        <w:left w:val="none" w:sz="0" w:space="0" w:color="auto"/>
        <w:bottom w:val="none" w:sz="0" w:space="0" w:color="auto"/>
        <w:right w:val="none" w:sz="0" w:space="0" w:color="auto"/>
      </w:divBdr>
    </w:div>
    <w:div w:id="1035041786">
      <w:marLeft w:val="0"/>
      <w:marRight w:val="0"/>
      <w:marTop w:val="0"/>
      <w:marBottom w:val="0"/>
      <w:divBdr>
        <w:top w:val="none" w:sz="0" w:space="0" w:color="auto"/>
        <w:left w:val="none" w:sz="0" w:space="0" w:color="auto"/>
        <w:bottom w:val="none" w:sz="0" w:space="0" w:color="auto"/>
        <w:right w:val="none" w:sz="0" w:space="0" w:color="auto"/>
      </w:divBdr>
    </w:div>
    <w:div w:id="1035348078">
      <w:marLeft w:val="0"/>
      <w:marRight w:val="0"/>
      <w:marTop w:val="0"/>
      <w:marBottom w:val="0"/>
      <w:divBdr>
        <w:top w:val="none" w:sz="0" w:space="0" w:color="auto"/>
        <w:left w:val="none" w:sz="0" w:space="0" w:color="auto"/>
        <w:bottom w:val="none" w:sz="0" w:space="0" w:color="auto"/>
        <w:right w:val="none" w:sz="0" w:space="0" w:color="auto"/>
      </w:divBdr>
    </w:div>
    <w:div w:id="1035885840">
      <w:marLeft w:val="0"/>
      <w:marRight w:val="0"/>
      <w:marTop w:val="0"/>
      <w:marBottom w:val="0"/>
      <w:divBdr>
        <w:top w:val="none" w:sz="0" w:space="0" w:color="auto"/>
        <w:left w:val="none" w:sz="0" w:space="0" w:color="auto"/>
        <w:bottom w:val="none" w:sz="0" w:space="0" w:color="auto"/>
        <w:right w:val="none" w:sz="0" w:space="0" w:color="auto"/>
      </w:divBdr>
    </w:div>
    <w:div w:id="1036854911">
      <w:marLeft w:val="0"/>
      <w:marRight w:val="0"/>
      <w:marTop w:val="0"/>
      <w:marBottom w:val="0"/>
      <w:divBdr>
        <w:top w:val="none" w:sz="0" w:space="0" w:color="auto"/>
        <w:left w:val="none" w:sz="0" w:space="0" w:color="auto"/>
        <w:bottom w:val="none" w:sz="0" w:space="0" w:color="auto"/>
        <w:right w:val="none" w:sz="0" w:space="0" w:color="auto"/>
      </w:divBdr>
    </w:div>
    <w:div w:id="1037704938">
      <w:marLeft w:val="0"/>
      <w:marRight w:val="0"/>
      <w:marTop w:val="0"/>
      <w:marBottom w:val="0"/>
      <w:divBdr>
        <w:top w:val="none" w:sz="0" w:space="0" w:color="auto"/>
        <w:left w:val="none" w:sz="0" w:space="0" w:color="auto"/>
        <w:bottom w:val="none" w:sz="0" w:space="0" w:color="auto"/>
        <w:right w:val="none" w:sz="0" w:space="0" w:color="auto"/>
      </w:divBdr>
    </w:div>
    <w:div w:id="1037926328">
      <w:marLeft w:val="0"/>
      <w:marRight w:val="0"/>
      <w:marTop w:val="0"/>
      <w:marBottom w:val="0"/>
      <w:divBdr>
        <w:top w:val="none" w:sz="0" w:space="0" w:color="auto"/>
        <w:left w:val="none" w:sz="0" w:space="0" w:color="auto"/>
        <w:bottom w:val="none" w:sz="0" w:space="0" w:color="auto"/>
        <w:right w:val="none" w:sz="0" w:space="0" w:color="auto"/>
      </w:divBdr>
    </w:div>
    <w:div w:id="1038042602">
      <w:marLeft w:val="0"/>
      <w:marRight w:val="0"/>
      <w:marTop w:val="0"/>
      <w:marBottom w:val="0"/>
      <w:divBdr>
        <w:top w:val="none" w:sz="0" w:space="0" w:color="auto"/>
        <w:left w:val="none" w:sz="0" w:space="0" w:color="auto"/>
        <w:bottom w:val="none" w:sz="0" w:space="0" w:color="auto"/>
        <w:right w:val="none" w:sz="0" w:space="0" w:color="auto"/>
      </w:divBdr>
    </w:div>
    <w:div w:id="1040516530">
      <w:marLeft w:val="0"/>
      <w:marRight w:val="0"/>
      <w:marTop w:val="0"/>
      <w:marBottom w:val="0"/>
      <w:divBdr>
        <w:top w:val="none" w:sz="0" w:space="0" w:color="auto"/>
        <w:left w:val="none" w:sz="0" w:space="0" w:color="auto"/>
        <w:bottom w:val="none" w:sz="0" w:space="0" w:color="auto"/>
        <w:right w:val="none" w:sz="0" w:space="0" w:color="auto"/>
      </w:divBdr>
    </w:div>
    <w:div w:id="1040592741">
      <w:marLeft w:val="0"/>
      <w:marRight w:val="0"/>
      <w:marTop w:val="0"/>
      <w:marBottom w:val="0"/>
      <w:divBdr>
        <w:top w:val="none" w:sz="0" w:space="0" w:color="auto"/>
        <w:left w:val="none" w:sz="0" w:space="0" w:color="auto"/>
        <w:bottom w:val="none" w:sz="0" w:space="0" w:color="auto"/>
        <w:right w:val="none" w:sz="0" w:space="0" w:color="auto"/>
      </w:divBdr>
    </w:div>
    <w:div w:id="1040860098">
      <w:marLeft w:val="0"/>
      <w:marRight w:val="0"/>
      <w:marTop w:val="0"/>
      <w:marBottom w:val="0"/>
      <w:divBdr>
        <w:top w:val="none" w:sz="0" w:space="0" w:color="auto"/>
        <w:left w:val="none" w:sz="0" w:space="0" w:color="auto"/>
        <w:bottom w:val="none" w:sz="0" w:space="0" w:color="auto"/>
        <w:right w:val="none" w:sz="0" w:space="0" w:color="auto"/>
      </w:divBdr>
    </w:div>
    <w:div w:id="1041127158">
      <w:marLeft w:val="0"/>
      <w:marRight w:val="0"/>
      <w:marTop w:val="0"/>
      <w:marBottom w:val="0"/>
      <w:divBdr>
        <w:top w:val="none" w:sz="0" w:space="0" w:color="auto"/>
        <w:left w:val="none" w:sz="0" w:space="0" w:color="auto"/>
        <w:bottom w:val="none" w:sz="0" w:space="0" w:color="auto"/>
        <w:right w:val="none" w:sz="0" w:space="0" w:color="auto"/>
      </w:divBdr>
      <w:divsChild>
        <w:div w:id="1796100483">
          <w:marLeft w:val="0"/>
          <w:marRight w:val="0"/>
          <w:marTop w:val="0"/>
          <w:marBottom w:val="0"/>
          <w:divBdr>
            <w:top w:val="none" w:sz="0" w:space="0" w:color="auto"/>
            <w:left w:val="none" w:sz="0" w:space="0" w:color="auto"/>
            <w:bottom w:val="none" w:sz="0" w:space="0" w:color="auto"/>
            <w:right w:val="none" w:sz="0" w:space="0" w:color="auto"/>
          </w:divBdr>
        </w:div>
      </w:divsChild>
    </w:div>
    <w:div w:id="1041516002">
      <w:marLeft w:val="0"/>
      <w:marRight w:val="0"/>
      <w:marTop w:val="0"/>
      <w:marBottom w:val="0"/>
      <w:divBdr>
        <w:top w:val="none" w:sz="0" w:space="0" w:color="auto"/>
        <w:left w:val="none" w:sz="0" w:space="0" w:color="auto"/>
        <w:bottom w:val="none" w:sz="0" w:space="0" w:color="auto"/>
        <w:right w:val="none" w:sz="0" w:space="0" w:color="auto"/>
      </w:divBdr>
    </w:div>
    <w:div w:id="1041976722">
      <w:marLeft w:val="0"/>
      <w:marRight w:val="0"/>
      <w:marTop w:val="0"/>
      <w:marBottom w:val="0"/>
      <w:divBdr>
        <w:top w:val="none" w:sz="0" w:space="0" w:color="auto"/>
        <w:left w:val="none" w:sz="0" w:space="0" w:color="auto"/>
        <w:bottom w:val="none" w:sz="0" w:space="0" w:color="auto"/>
        <w:right w:val="none" w:sz="0" w:space="0" w:color="auto"/>
      </w:divBdr>
    </w:div>
    <w:div w:id="1043090903">
      <w:marLeft w:val="0"/>
      <w:marRight w:val="0"/>
      <w:marTop w:val="0"/>
      <w:marBottom w:val="0"/>
      <w:divBdr>
        <w:top w:val="none" w:sz="0" w:space="0" w:color="auto"/>
        <w:left w:val="none" w:sz="0" w:space="0" w:color="auto"/>
        <w:bottom w:val="none" w:sz="0" w:space="0" w:color="auto"/>
        <w:right w:val="none" w:sz="0" w:space="0" w:color="auto"/>
      </w:divBdr>
    </w:div>
    <w:div w:id="1044402173">
      <w:marLeft w:val="0"/>
      <w:marRight w:val="0"/>
      <w:marTop w:val="0"/>
      <w:marBottom w:val="0"/>
      <w:divBdr>
        <w:top w:val="none" w:sz="0" w:space="0" w:color="auto"/>
        <w:left w:val="none" w:sz="0" w:space="0" w:color="auto"/>
        <w:bottom w:val="none" w:sz="0" w:space="0" w:color="auto"/>
        <w:right w:val="none" w:sz="0" w:space="0" w:color="auto"/>
      </w:divBdr>
    </w:div>
    <w:div w:id="1045064935">
      <w:marLeft w:val="0"/>
      <w:marRight w:val="0"/>
      <w:marTop w:val="0"/>
      <w:marBottom w:val="0"/>
      <w:divBdr>
        <w:top w:val="none" w:sz="0" w:space="0" w:color="auto"/>
        <w:left w:val="none" w:sz="0" w:space="0" w:color="auto"/>
        <w:bottom w:val="none" w:sz="0" w:space="0" w:color="auto"/>
        <w:right w:val="none" w:sz="0" w:space="0" w:color="auto"/>
      </w:divBdr>
    </w:div>
    <w:div w:id="1045565754">
      <w:marLeft w:val="0"/>
      <w:marRight w:val="0"/>
      <w:marTop w:val="0"/>
      <w:marBottom w:val="0"/>
      <w:divBdr>
        <w:top w:val="none" w:sz="0" w:space="0" w:color="auto"/>
        <w:left w:val="none" w:sz="0" w:space="0" w:color="auto"/>
        <w:bottom w:val="none" w:sz="0" w:space="0" w:color="auto"/>
        <w:right w:val="none" w:sz="0" w:space="0" w:color="auto"/>
      </w:divBdr>
    </w:div>
    <w:div w:id="1045718286">
      <w:marLeft w:val="0"/>
      <w:marRight w:val="0"/>
      <w:marTop w:val="0"/>
      <w:marBottom w:val="0"/>
      <w:divBdr>
        <w:top w:val="none" w:sz="0" w:space="0" w:color="auto"/>
        <w:left w:val="none" w:sz="0" w:space="0" w:color="auto"/>
        <w:bottom w:val="none" w:sz="0" w:space="0" w:color="auto"/>
        <w:right w:val="none" w:sz="0" w:space="0" w:color="auto"/>
      </w:divBdr>
    </w:div>
    <w:div w:id="1045718435">
      <w:marLeft w:val="0"/>
      <w:marRight w:val="0"/>
      <w:marTop w:val="0"/>
      <w:marBottom w:val="0"/>
      <w:divBdr>
        <w:top w:val="none" w:sz="0" w:space="0" w:color="auto"/>
        <w:left w:val="none" w:sz="0" w:space="0" w:color="auto"/>
        <w:bottom w:val="none" w:sz="0" w:space="0" w:color="auto"/>
        <w:right w:val="none" w:sz="0" w:space="0" w:color="auto"/>
      </w:divBdr>
    </w:div>
    <w:div w:id="1048188280">
      <w:marLeft w:val="0"/>
      <w:marRight w:val="0"/>
      <w:marTop w:val="0"/>
      <w:marBottom w:val="0"/>
      <w:divBdr>
        <w:top w:val="none" w:sz="0" w:space="0" w:color="auto"/>
        <w:left w:val="none" w:sz="0" w:space="0" w:color="auto"/>
        <w:bottom w:val="none" w:sz="0" w:space="0" w:color="auto"/>
        <w:right w:val="none" w:sz="0" w:space="0" w:color="auto"/>
      </w:divBdr>
    </w:div>
    <w:div w:id="1051659017">
      <w:marLeft w:val="0"/>
      <w:marRight w:val="0"/>
      <w:marTop w:val="0"/>
      <w:marBottom w:val="0"/>
      <w:divBdr>
        <w:top w:val="none" w:sz="0" w:space="0" w:color="auto"/>
        <w:left w:val="none" w:sz="0" w:space="0" w:color="auto"/>
        <w:bottom w:val="none" w:sz="0" w:space="0" w:color="auto"/>
        <w:right w:val="none" w:sz="0" w:space="0" w:color="auto"/>
      </w:divBdr>
    </w:div>
    <w:div w:id="1053433557">
      <w:marLeft w:val="0"/>
      <w:marRight w:val="0"/>
      <w:marTop w:val="0"/>
      <w:marBottom w:val="0"/>
      <w:divBdr>
        <w:top w:val="none" w:sz="0" w:space="0" w:color="auto"/>
        <w:left w:val="none" w:sz="0" w:space="0" w:color="auto"/>
        <w:bottom w:val="none" w:sz="0" w:space="0" w:color="auto"/>
        <w:right w:val="none" w:sz="0" w:space="0" w:color="auto"/>
      </w:divBdr>
    </w:div>
    <w:div w:id="1053584284">
      <w:marLeft w:val="0"/>
      <w:marRight w:val="0"/>
      <w:marTop w:val="0"/>
      <w:marBottom w:val="0"/>
      <w:divBdr>
        <w:top w:val="none" w:sz="0" w:space="0" w:color="auto"/>
        <w:left w:val="none" w:sz="0" w:space="0" w:color="auto"/>
        <w:bottom w:val="none" w:sz="0" w:space="0" w:color="auto"/>
        <w:right w:val="none" w:sz="0" w:space="0" w:color="auto"/>
      </w:divBdr>
    </w:div>
    <w:div w:id="1054237264">
      <w:marLeft w:val="0"/>
      <w:marRight w:val="0"/>
      <w:marTop w:val="0"/>
      <w:marBottom w:val="0"/>
      <w:divBdr>
        <w:top w:val="none" w:sz="0" w:space="0" w:color="auto"/>
        <w:left w:val="none" w:sz="0" w:space="0" w:color="auto"/>
        <w:bottom w:val="none" w:sz="0" w:space="0" w:color="auto"/>
        <w:right w:val="none" w:sz="0" w:space="0" w:color="auto"/>
      </w:divBdr>
    </w:div>
    <w:div w:id="1054351480">
      <w:marLeft w:val="0"/>
      <w:marRight w:val="0"/>
      <w:marTop w:val="0"/>
      <w:marBottom w:val="0"/>
      <w:divBdr>
        <w:top w:val="none" w:sz="0" w:space="0" w:color="auto"/>
        <w:left w:val="none" w:sz="0" w:space="0" w:color="auto"/>
        <w:bottom w:val="none" w:sz="0" w:space="0" w:color="auto"/>
        <w:right w:val="none" w:sz="0" w:space="0" w:color="auto"/>
      </w:divBdr>
    </w:div>
    <w:div w:id="1055465451">
      <w:marLeft w:val="0"/>
      <w:marRight w:val="0"/>
      <w:marTop w:val="0"/>
      <w:marBottom w:val="0"/>
      <w:divBdr>
        <w:top w:val="none" w:sz="0" w:space="0" w:color="auto"/>
        <w:left w:val="none" w:sz="0" w:space="0" w:color="auto"/>
        <w:bottom w:val="none" w:sz="0" w:space="0" w:color="auto"/>
        <w:right w:val="none" w:sz="0" w:space="0" w:color="auto"/>
      </w:divBdr>
    </w:div>
    <w:div w:id="1055667015">
      <w:marLeft w:val="0"/>
      <w:marRight w:val="0"/>
      <w:marTop w:val="0"/>
      <w:marBottom w:val="0"/>
      <w:divBdr>
        <w:top w:val="none" w:sz="0" w:space="0" w:color="auto"/>
        <w:left w:val="none" w:sz="0" w:space="0" w:color="auto"/>
        <w:bottom w:val="none" w:sz="0" w:space="0" w:color="auto"/>
        <w:right w:val="none" w:sz="0" w:space="0" w:color="auto"/>
      </w:divBdr>
    </w:div>
    <w:div w:id="1056859943">
      <w:marLeft w:val="0"/>
      <w:marRight w:val="0"/>
      <w:marTop w:val="0"/>
      <w:marBottom w:val="0"/>
      <w:divBdr>
        <w:top w:val="none" w:sz="0" w:space="0" w:color="auto"/>
        <w:left w:val="none" w:sz="0" w:space="0" w:color="auto"/>
        <w:bottom w:val="none" w:sz="0" w:space="0" w:color="auto"/>
        <w:right w:val="none" w:sz="0" w:space="0" w:color="auto"/>
      </w:divBdr>
    </w:div>
    <w:div w:id="1056931806">
      <w:marLeft w:val="0"/>
      <w:marRight w:val="0"/>
      <w:marTop w:val="100"/>
      <w:marBottom w:val="100"/>
      <w:divBdr>
        <w:top w:val="none" w:sz="0" w:space="0" w:color="auto"/>
        <w:left w:val="none" w:sz="0" w:space="0" w:color="auto"/>
        <w:bottom w:val="none" w:sz="0" w:space="0" w:color="auto"/>
        <w:right w:val="none" w:sz="0" w:space="0" w:color="auto"/>
      </w:divBdr>
      <w:divsChild>
        <w:div w:id="1762795792">
          <w:marLeft w:val="0"/>
          <w:marRight w:val="0"/>
          <w:marTop w:val="0"/>
          <w:marBottom w:val="0"/>
          <w:divBdr>
            <w:top w:val="none" w:sz="0" w:space="0" w:color="auto"/>
            <w:left w:val="none" w:sz="0" w:space="0" w:color="auto"/>
            <w:bottom w:val="none" w:sz="0" w:space="0" w:color="auto"/>
            <w:right w:val="none" w:sz="0" w:space="0" w:color="auto"/>
          </w:divBdr>
        </w:div>
      </w:divsChild>
    </w:div>
    <w:div w:id="1057585045">
      <w:marLeft w:val="0"/>
      <w:marRight w:val="0"/>
      <w:marTop w:val="0"/>
      <w:marBottom w:val="0"/>
      <w:divBdr>
        <w:top w:val="none" w:sz="0" w:space="0" w:color="auto"/>
        <w:left w:val="none" w:sz="0" w:space="0" w:color="auto"/>
        <w:bottom w:val="none" w:sz="0" w:space="0" w:color="auto"/>
        <w:right w:val="none" w:sz="0" w:space="0" w:color="auto"/>
      </w:divBdr>
    </w:div>
    <w:div w:id="1057709383">
      <w:marLeft w:val="0"/>
      <w:marRight w:val="0"/>
      <w:marTop w:val="0"/>
      <w:marBottom w:val="0"/>
      <w:divBdr>
        <w:top w:val="none" w:sz="0" w:space="0" w:color="auto"/>
        <w:left w:val="none" w:sz="0" w:space="0" w:color="auto"/>
        <w:bottom w:val="none" w:sz="0" w:space="0" w:color="auto"/>
        <w:right w:val="none" w:sz="0" w:space="0" w:color="auto"/>
      </w:divBdr>
    </w:div>
    <w:div w:id="1058896796">
      <w:marLeft w:val="0"/>
      <w:marRight w:val="0"/>
      <w:marTop w:val="0"/>
      <w:marBottom w:val="0"/>
      <w:divBdr>
        <w:top w:val="none" w:sz="0" w:space="0" w:color="auto"/>
        <w:left w:val="none" w:sz="0" w:space="0" w:color="auto"/>
        <w:bottom w:val="none" w:sz="0" w:space="0" w:color="auto"/>
        <w:right w:val="none" w:sz="0" w:space="0" w:color="auto"/>
      </w:divBdr>
    </w:div>
    <w:div w:id="1059980402">
      <w:marLeft w:val="0"/>
      <w:marRight w:val="0"/>
      <w:marTop w:val="0"/>
      <w:marBottom w:val="0"/>
      <w:divBdr>
        <w:top w:val="none" w:sz="0" w:space="0" w:color="auto"/>
        <w:left w:val="none" w:sz="0" w:space="0" w:color="auto"/>
        <w:bottom w:val="none" w:sz="0" w:space="0" w:color="auto"/>
        <w:right w:val="none" w:sz="0" w:space="0" w:color="auto"/>
      </w:divBdr>
    </w:div>
    <w:div w:id="1060128481">
      <w:marLeft w:val="0"/>
      <w:marRight w:val="0"/>
      <w:marTop w:val="0"/>
      <w:marBottom w:val="0"/>
      <w:divBdr>
        <w:top w:val="none" w:sz="0" w:space="0" w:color="auto"/>
        <w:left w:val="none" w:sz="0" w:space="0" w:color="auto"/>
        <w:bottom w:val="none" w:sz="0" w:space="0" w:color="auto"/>
        <w:right w:val="none" w:sz="0" w:space="0" w:color="auto"/>
      </w:divBdr>
    </w:div>
    <w:div w:id="1060252667">
      <w:marLeft w:val="0"/>
      <w:marRight w:val="0"/>
      <w:marTop w:val="0"/>
      <w:marBottom w:val="0"/>
      <w:divBdr>
        <w:top w:val="none" w:sz="0" w:space="0" w:color="auto"/>
        <w:left w:val="none" w:sz="0" w:space="0" w:color="auto"/>
        <w:bottom w:val="none" w:sz="0" w:space="0" w:color="auto"/>
        <w:right w:val="none" w:sz="0" w:space="0" w:color="auto"/>
      </w:divBdr>
    </w:div>
    <w:div w:id="1060716726">
      <w:marLeft w:val="0"/>
      <w:marRight w:val="0"/>
      <w:marTop w:val="0"/>
      <w:marBottom w:val="0"/>
      <w:divBdr>
        <w:top w:val="none" w:sz="0" w:space="0" w:color="auto"/>
        <w:left w:val="none" w:sz="0" w:space="0" w:color="auto"/>
        <w:bottom w:val="none" w:sz="0" w:space="0" w:color="auto"/>
        <w:right w:val="none" w:sz="0" w:space="0" w:color="auto"/>
      </w:divBdr>
    </w:div>
    <w:div w:id="1061102624">
      <w:marLeft w:val="0"/>
      <w:marRight w:val="0"/>
      <w:marTop w:val="0"/>
      <w:marBottom w:val="0"/>
      <w:divBdr>
        <w:top w:val="none" w:sz="0" w:space="0" w:color="auto"/>
        <w:left w:val="none" w:sz="0" w:space="0" w:color="auto"/>
        <w:bottom w:val="none" w:sz="0" w:space="0" w:color="auto"/>
        <w:right w:val="none" w:sz="0" w:space="0" w:color="auto"/>
      </w:divBdr>
      <w:divsChild>
        <w:div w:id="606624796">
          <w:marLeft w:val="0"/>
          <w:marRight w:val="0"/>
          <w:marTop w:val="0"/>
          <w:marBottom w:val="0"/>
          <w:divBdr>
            <w:top w:val="none" w:sz="0" w:space="0" w:color="auto"/>
            <w:left w:val="none" w:sz="0" w:space="0" w:color="auto"/>
            <w:bottom w:val="none" w:sz="0" w:space="0" w:color="auto"/>
            <w:right w:val="none" w:sz="0" w:space="0" w:color="auto"/>
          </w:divBdr>
        </w:div>
      </w:divsChild>
    </w:div>
    <w:div w:id="1061292891">
      <w:marLeft w:val="0"/>
      <w:marRight w:val="0"/>
      <w:marTop w:val="0"/>
      <w:marBottom w:val="0"/>
      <w:divBdr>
        <w:top w:val="none" w:sz="0" w:space="0" w:color="auto"/>
        <w:left w:val="none" w:sz="0" w:space="0" w:color="auto"/>
        <w:bottom w:val="none" w:sz="0" w:space="0" w:color="auto"/>
        <w:right w:val="none" w:sz="0" w:space="0" w:color="auto"/>
      </w:divBdr>
    </w:div>
    <w:div w:id="1061900637">
      <w:marLeft w:val="0"/>
      <w:marRight w:val="0"/>
      <w:marTop w:val="0"/>
      <w:marBottom w:val="0"/>
      <w:divBdr>
        <w:top w:val="none" w:sz="0" w:space="0" w:color="auto"/>
        <w:left w:val="none" w:sz="0" w:space="0" w:color="auto"/>
        <w:bottom w:val="none" w:sz="0" w:space="0" w:color="auto"/>
        <w:right w:val="none" w:sz="0" w:space="0" w:color="auto"/>
      </w:divBdr>
    </w:div>
    <w:div w:id="1061945393">
      <w:marLeft w:val="0"/>
      <w:marRight w:val="0"/>
      <w:marTop w:val="100"/>
      <w:marBottom w:val="100"/>
      <w:divBdr>
        <w:top w:val="none" w:sz="0" w:space="0" w:color="auto"/>
        <w:left w:val="none" w:sz="0" w:space="0" w:color="auto"/>
        <w:bottom w:val="none" w:sz="0" w:space="0" w:color="auto"/>
        <w:right w:val="none" w:sz="0" w:space="0" w:color="auto"/>
      </w:divBdr>
    </w:div>
    <w:div w:id="1062412685">
      <w:marLeft w:val="0"/>
      <w:marRight w:val="0"/>
      <w:marTop w:val="0"/>
      <w:marBottom w:val="0"/>
      <w:divBdr>
        <w:top w:val="none" w:sz="0" w:space="0" w:color="auto"/>
        <w:left w:val="none" w:sz="0" w:space="0" w:color="auto"/>
        <w:bottom w:val="none" w:sz="0" w:space="0" w:color="auto"/>
        <w:right w:val="none" w:sz="0" w:space="0" w:color="auto"/>
      </w:divBdr>
    </w:div>
    <w:div w:id="1063328840">
      <w:marLeft w:val="0"/>
      <w:marRight w:val="0"/>
      <w:marTop w:val="0"/>
      <w:marBottom w:val="0"/>
      <w:divBdr>
        <w:top w:val="none" w:sz="0" w:space="0" w:color="auto"/>
        <w:left w:val="none" w:sz="0" w:space="0" w:color="auto"/>
        <w:bottom w:val="none" w:sz="0" w:space="0" w:color="auto"/>
        <w:right w:val="none" w:sz="0" w:space="0" w:color="auto"/>
      </w:divBdr>
    </w:div>
    <w:div w:id="1063601051">
      <w:marLeft w:val="0"/>
      <w:marRight w:val="0"/>
      <w:marTop w:val="0"/>
      <w:marBottom w:val="0"/>
      <w:divBdr>
        <w:top w:val="none" w:sz="0" w:space="0" w:color="auto"/>
        <w:left w:val="none" w:sz="0" w:space="0" w:color="auto"/>
        <w:bottom w:val="none" w:sz="0" w:space="0" w:color="auto"/>
        <w:right w:val="none" w:sz="0" w:space="0" w:color="auto"/>
      </w:divBdr>
    </w:div>
    <w:div w:id="1064257943">
      <w:marLeft w:val="0"/>
      <w:marRight w:val="0"/>
      <w:marTop w:val="0"/>
      <w:marBottom w:val="0"/>
      <w:divBdr>
        <w:top w:val="none" w:sz="0" w:space="0" w:color="auto"/>
        <w:left w:val="none" w:sz="0" w:space="0" w:color="auto"/>
        <w:bottom w:val="none" w:sz="0" w:space="0" w:color="auto"/>
        <w:right w:val="none" w:sz="0" w:space="0" w:color="auto"/>
      </w:divBdr>
    </w:div>
    <w:div w:id="1064370769">
      <w:marLeft w:val="0"/>
      <w:marRight w:val="0"/>
      <w:marTop w:val="0"/>
      <w:marBottom w:val="0"/>
      <w:divBdr>
        <w:top w:val="none" w:sz="0" w:space="0" w:color="auto"/>
        <w:left w:val="none" w:sz="0" w:space="0" w:color="auto"/>
        <w:bottom w:val="none" w:sz="0" w:space="0" w:color="auto"/>
        <w:right w:val="none" w:sz="0" w:space="0" w:color="auto"/>
      </w:divBdr>
    </w:div>
    <w:div w:id="1065105723">
      <w:marLeft w:val="0"/>
      <w:marRight w:val="0"/>
      <w:marTop w:val="0"/>
      <w:marBottom w:val="0"/>
      <w:divBdr>
        <w:top w:val="none" w:sz="0" w:space="0" w:color="auto"/>
        <w:left w:val="none" w:sz="0" w:space="0" w:color="auto"/>
        <w:bottom w:val="none" w:sz="0" w:space="0" w:color="auto"/>
        <w:right w:val="none" w:sz="0" w:space="0" w:color="auto"/>
      </w:divBdr>
    </w:div>
    <w:div w:id="1067217668">
      <w:marLeft w:val="0"/>
      <w:marRight w:val="0"/>
      <w:marTop w:val="0"/>
      <w:marBottom w:val="0"/>
      <w:divBdr>
        <w:top w:val="none" w:sz="0" w:space="0" w:color="auto"/>
        <w:left w:val="none" w:sz="0" w:space="0" w:color="auto"/>
        <w:bottom w:val="none" w:sz="0" w:space="0" w:color="auto"/>
        <w:right w:val="none" w:sz="0" w:space="0" w:color="auto"/>
      </w:divBdr>
    </w:div>
    <w:div w:id="1068385937">
      <w:marLeft w:val="0"/>
      <w:marRight w:val="0"/>
      <w:marTop w:val="0"/>
      <w:marBottom w:val="0"/>
      <w:divBdr>
        <w:top w:val="none" w:sz="0" w:space="0" w:color="auto"/>
        <w:left w:val="none" w:sz="0" w:space="0" w:color="auto"/>
        <w:bottom w:val="none" w:sz="0" w:space="0" w:color="auto"/>
        <w:right w:val="none" w:sz="0" w:space="0" w:color="auto"/>
      </w:divBdr>
    </w:div>
    <w:div w:id="1069810022">
      <w:marLeft w:val="0"/>
      <w:marRight w:val="0"/>
      <w:marTop w:val="0"/>
      <w:marBottom w:val="0"/>
      <w:divBdr>
        <w:top w:val="none" w:sz="0" w:space="0" w:color="auto"/>
        <w:left w:val="none" w:sz="0" w:space="0" w:color="auto"/>
        <w:bottom w:val="none" w:sz="0" w:space="0" w:color="auto"/>
        <w:right w:val="none" w:sz="0" w:space="0" w:color="auto"/>
      </w:divBdr>
      <w:divsChild>
        <w:div w:id="1818452967">
          <w:marLeft w:val="0"/>
          <w:marRight w:val="0"/>
          <w:marTop w:val="0"/>
          <w:marBottom w:val="0"/>
          <w:divBdr>
            <w:top w:val="none" w:sz="0" w:space="0" w:color="auto"/>
            <w:left w:val="none" w:sz="0" w:space="0" w:color="auto"/>
            <w:bottom w:val="none" w:sz="0" w:space="0" w:color="auto"/>
            <w:right w:val="none" w:sz="0" w:space="0" w:color="auto"/>
          </w:divBdr>
        </w:div>
      </w:divsChild>
    </w:div>
    <w:div w:id="1070271040">
      <w:marLeft w:val="0"/>
      <w:marRight w:val="0"/>
      <w:marTop w:val="0"/>
      <w:marBottom w:val="0"/>
      <w:divBdr>
        <w:top w:val="none" w:sz="0" w:space="0" w:color="auto"/>
        <w:left w:val="none" w:sz="0" w:space="0" w:color="auto"/>
        <w:bottom w:val="none" w:sz="0" w:space="0" w:color="auto"/>
        <w:right w:val="none" w:sz="0" w:space="0" w:color="auto"/>
      </w:divBdr>
    </w:div>
    <w:div w:id="1071196193">
      <w:marLeft w:val="0"/>
      <w:marRight w:val="0"/>
      <w:marTop w:val="0"/>
      <w:marBottom w:val="0"/>
      <w:divBdr>
        <w:top w:val="none" w:sz="0" w:space="0" w:color="auto"/>
        <w:left w:val="none" w:sz="0" w:space="0" w:color="auto"/>
        <w:bottom w:val="none" w:sz="0" w:space="0" w:color="auto"/>
        <w:right w:val="none" w:sz="0" w:space="0" w:color="auto"/>
      </w:divBdr>
    </w:div>
    <w:div w:id="1071349361">
      <w:marLeft w:val="0"/>
      <w:marRight w:val="0"/>
      <w:marTop w:val="0"/>
      <w:marBottom w:val="0"/>
      <w:divBdr>
        <w:top w:val="none" w:sz="0" w:space="0" w:color="auto"/>
        <w:left w:val="none" w:sz="0" w:space="0" w:color="auto"/>
        <w:bottom w:val="none" w:sz="0" w:space="0" w:color="auto"/>
        <w:right w:val="none" w:sz="0" w:space="0" w:color="auto"/>
      </w:divBdr>
    </w:div>
    <w:div w:id="1071780968">
      <w:marLeft w:val="0"/>
      <w:marRight w:val="0"/>
      <w:marTop w:val="0"/>
      <w:marBottom w:val="0"/>
      <w:divBdr>
        <w:top w:val="none" w:sz="0" w:space="0" w:color="auto"/>
        <w:left w:val="none" w:sz="0" w:space="0" w:color="auto"/>
        <w:bottom w:val="none" w:sz="0" w:space="0" w:color="auto"/>
        <w:right w:val="none" w:sz="0" w:space="0" w:color="auto"/>
      </w:divBdr>
    </w:div>
    <w:div w:id="1074738301">
      <w:marLeft w:val="0"/>
      <w:marRight w:val="0"/>
      <w:marTop w:val="0"/>
      <w:marBottom w:val="0"/>
      <w:divBdr>
        <w:top w:val="none" w:sz="0" w:space="0" w:color="auto"/>
        <w:left w:val="none" w:sz="0" w:space="0" w:color="auto"/>
        <w:bottom w:val="none" w:sz="0" w:space="0" w:color="auto"/>
        <w:right w:val="none" w:sz="0" w:space="0" w:color="auto"/>
      </w:divBdr>
    </w:div>
    <w:div w:id="1074888218">
      <w:marLeft w:val="0"/>
      <w:marRight w:val="0"/>
      <w:marTop w:val="0"/>
      <w:marBottom w:val="0"/>
      <w:divBdr>
        <w:top w:val="none" w:sz="0" w:space="0" w:color="auto"/>
        <w:left w:val="none" w:sz="0" w:space="0" w:color="auto"/>
        <w:bottom w:val="none" w:sz="0" w:space="0" w:color="auto"/>
        <w:right w:val="none" w:sz="0" w:space="0" w:color="auto"/>
      </w:divBdr>
    </w:div>
    <w:div w:id="1076706647">
      <w:marLeft w:val="0"/>
      <w:marRight w:val="0"/>
      <w:marTop w:val="0"/>
      <w:marBottom w:val="0"/>
      <w:divBdr>
        <w:top w:val="none" w:sz="0" w:space="0" w:color="auto"/>
        <w:left w:val="none" w:sz="0" w:space="0" w:color="auto"/>
        <w:bottom w:val="none" w:sz="0" w:space="0" w:color="auto"/>
        <w:right w:val="none" w:sz="0" w:space="0" w:color="auto"/>
      </w:divBdr>
    </w:div>
    <w:div w:id="1076822495">
      <w:marLeft w:val="0"/>
      <w:marRight w:val="0"/>
      <w:marTop w:val="0"/>
      <w:marBottom w:val="0"/>
      <w:divBdr>
        <w:top w:val="none" w:sz="0" w:space="0" w:color="auto"/>
        <w:left w:val="none" w:sz="0" w:space="0" w:color="auto"/>
        <w:bottom w:val="none" w:sz="0" w:space="0" w:color="auto"/>
        <w:right w:val="none" w:sz="0" w:space="0" w:color="auto"/>
      </w:divBdr>
    </w:div>
    <w:div w:id="1077674967">
      <w:marLeft w:val="0"/>
      <w:marRight w:val="0"/>
      <w:marTop w:val="0"/>
      <w:marBottom w:val="0"/>
      <w:divBdr>
        <w:top w:val="none" w:sz="0" w:space="0" w:color="auto"/>
        <w:left w:val="none" w:sz="0" w:space="0" w:color="auto"/>
        <w:bottom w:val="none" w:sz="0" w:space="0" w:color="auto"/>
        <w:right w:val="none" w:sz="0" w:space="0" w:color="auto"/>
      </w:divBdr>
    </w:div>
    <w:div w:id="1078478570">
      <w:marLeft w:val="0"/>
      <w:marRight w:val="0"/>
      <w:marTop w:val="0"/>
      <w:marBottom w:val="0"/>
      <w:divBdr>
        <w:top w:val="none" w:sz="0" w:space="0" w:color="auto"/>
        <w:left w:val="none" w:sz="0" w:space="0" w:color="auto"/>
        <w:bottom w:val="none" w:sz="0" w:space="0" w:color="auto"/>
        <w:right w:val="none" w:sz="0" w:space="0" w:color="auto"/>
      </w:divBdr>
    </w:div>
    <w:div w:id="1078479466">
      <w:marLeft w:val="0"/>
      <w:marRight w:val="0"/>
      <w:marTop w:val="0"/>
      <w:marBottom w:val="0"/>
      <w:divBdr>
        <w:top w:val="none" w:sz="0" w:space="0" w:color="auto"/>
        <w:left w:val="none" w:sz="0" w:space="0" w:color="auto"/>
        <w:bottom w:val="none" w:sz="0" w:space="0" w:color="auto"/>
        <w:right w:val="none" w:sz="0" w:space="0" w:color="auto"/>
      </w:divBdr>
    </w:div>
    <w:div w:id="1079326340">
      <w:marLeft w:val="0"/>
      <w:marRight w:val="0"/>
      <w:marTop w:val="0"/>
      <w:marBottom w:val="0"/>
      <w:divBdr>
        <w:top w:val="none" w:sz="0" w:space="0" w:color="auto"/>
        <w:left w:val="none" w:sz="0" w:space="0" w:color="auto"/>
        <w:bottom w:val="none" w:sz="0" w:space="0" w:color="auto"/>
        <w:right w:val="none" w:sz="0" w:space="0" w:color="auto"/>
      </w:divBdr>
      <w:divsChild>
        <w:div w:id="1037122406">
          <w:marLeft w:val="0"/>
          <w:marRight w:val="0"/>
          <w:marTop w:val="0"/>
          <w:marBottom w:val="0"/>
          <w:divBdr>
            <w:top w:val="none" w:sz="0" w:space="0" w:color="auto"/>
            <w:left w:val="none" w:sz="0" w:space="0" w:color="auto"/>
            <w:bottom w:val="none" w:sz="0" w:space="0" w:color="auto"/>
            <w:right w:val="none" w:sz="0" w:space="0" w:color="auto"/>
          </w:divBdr>
        </w:div>
      </w:divsChild>
    </w:div>
    <w:div w:id="1079474502">
      <w:marLeft w:val="0"/>
      <w:marRight w:val="0"/>
      <w:marTop w:val="0"/>
      <w:marBottom w:val="0"/>
      <w:divBdr>
        <w:top w:val="none" w:sz="0" w:space="0" w:color="auto"/>
        <w:left w:val="none" w:sz="0" w:space="0" w:color="auto"/>
        <w:bottom w:val="none" w:sz="0" w:space="0" w:color="auto"/>
        <w:right w:val="none" w:sz="0" w:space="0" w:color="auto"/>
      </w:divBdr>
    </w:div>
    <w:div w:id="1080979067">
      <w:marLeft w:val="0"/>
      <w:marRight w:val="0"/>
      <w:marTop w:val="0"/>
      <w:marBottom w:val="0"/>
      <w:divBdr>
        <w:top w:val="none" w:sz="0" w:space="0" w:color="auto"/>
        <w:left w:val="none" w:sz="0" w:space="0" w:color="auto"/>
        <w:bottom w:val="none" w:sz="0" w:space="0" w:color="auto"/>
        <w:right w:val="none" w:sz="0" w:space="0" w:color="auto"/>
      </w:divBdr>
    </w:div>
    <w:div w:id="1086537583">
      <w:marLeft w:val="0"/>
      <w:marRight w:val="0"/>
      <w:marTop w:val="0"/>
      <w:marBottom w:val="0"/>
      <w:divBdr>
        <w:top w:val="none" w:sz="0" w:space="0" w:color="auto"/>
        <w:left w:val="none" w:sz="0" w:space="0" w:color="auto"/>
        <w:bottom w:val="none" w:sz="0" w:space="0" w:color="auto"/>
        <w:right w:val="none" w:sz="0" w:space="0" w:color="auto"/>
      </w:divBdr>
    </w:div>
    <w:div w:id="1088037125">
      <w:marLeft w:val="0"/>
      <w:marRight w:val="0"/>
      <w:marTop w:val="0"/>
      <w:marBottom w:val="0"/>
      <w:divBdr>
        <w:top w:val="none" w:sz="0" w:space="0" w:color="auto"/>
        <w:left w:val="none" w:sz="0" w:space="0" w:color="auto"/>
        <w:bottom w:val="none" w:sz="0" w:space="0" w:color="auto"/>
        <w:right w:val="none" w:sz="0" w:space="0" w:color="auto"/>
      </w:divBdr>
    </w:div>
    <w:div w:id="1088041008">
      <w:marLeft w:val="0"/>
      <w:marRight w:val="0"/>
      <w:marTop w:val="0"/>
      <w:marBottom w:val="0"/>
      <w:divBdr>
        <w:top w:val="none" w:sz="0" w:space="0" w:color="auto"/>
        <w:left w:val="none" w:sz="0" w:space="0" w:color="auto"/>
        <w:bottom w:val="none" w:sz="0" w:space="0" w:color="auto"/>
        <w:right w:val="none" w:sz="0" w:space="0" w:color="auto"/>
      </w:divBdr>
    </w:div>
    <w:div w:id="1088771314">
      <w:marLeft w:val="0"/>
      <w:marRight w:val="0"/>
      <w:marTop w:val="0"/>
      <w:marBottom w:val="0"/>
      <w:divBdr>
        <w:top w:val="none" w:sz="0" w:space="0" w:color="auto"/>
        <w:left w:val="none" w:sz="0" w:space="0" w:color="auto"/>
        <w:bottom w:val="none" w:sz="0" w:space="0" w:color="auto"/>
        <w:right w:val="none" w:sz="0" w:space="0" w:color="auto"/>
      </w:divBdr>
    </w:div>
    <w:div w:id="1089500602">
      <w:marLeft w:val="0"/>
      <w:marRight w:val="0"/>
      <w:marTop w:val="0"/>
      <w:marBottom w:val="0"/>
      <w:divBdr>
        <w:top w:val="none" w:sz="0" w:space="0" w:color="auto"/>
        <w:left w:val="none" w:sz="0" w:space="0" w:color="auto"/>
        <w:bottom w:val="none" w:sz="0" w:space="0" w:color="auto"/>
        <w:right w:val="none" w:sz="0" w:space="0" w:color="auto"/>
      </w:divBdr>
    </w:div>
    <w:div w:id="1090003165">
      <w:marLeft w:val="0"/>
      <w:marRight w:val="0"/>
      <w:marTop w:val="0"/>
      <w:marBottom w:val="0"/>
      <w:divBdr>
        <w:top w:val="none" w:sz="0" w:space="0" w:color="auto"/>
        <w:left w:val="none" w:sz="0" w:space="0" w:color="auto"/>
        <w:bottom w:val="none" w:sz="0" w:space="0" w:color="auto"/>
        <w:right w:val="none" w:sz="0" w:space="0" w:color="auto"/>
      </w:divBdr>
    </w:div>
    <w:div w:id="1090156492">
      <w:marLeft w:val="0"/>
      <w:marRight w:val="0"/>
      <w:marTop w:val="0"/>
      <w:marBottom w:val="0"/>
      <w:divBdr>
        <w:top w:val="none" w:sz="0" w:space="0" w:color="auto"/>
        <w:left w:val="none" w:sz="0" w:space="0" w:color="auto"/>
        <w:bottom w:val="none" w:sz="0" w:space="0" w:color="auto"/>
        <w:right w:val="none" w:sz="0" w:space="0" w:color="auto"/>
      </w:divBdr>
    </w:div>
    <w:div w:id="1090272038">
      <w:marLeft w:val="0"/>
      <w:marRight w:val="0"/>
      <w:marTop w:val="0"/>
      <w:marBottom w:val="0"/>
      <w:divBdr>
        <w:top w:val="none" w:sz="0" w:space="0" w:color="auto"/>
        <w:left w:val="none" w:sz="0" w:space="0" w:color="auto"/>
        <w:bottom w:val="none" w:sz="0" w:space="0" w:color="auto"/>
        <w:right w:val="none" w:sz="0" w:space="0" w:color="auto"/>
      </w:divBdr>
    </w:div>
    <w:div w:id="1090808120">
      <w:marLeft w:val="0"/>
      <w:marRight w:val="0"/>
      <w:marTop w:val="0"/>
      <w:marBottom w:val="0"/>
      <w:divBdr>
        <w:top w:val="none" w:sz="0" w:space="0" w:color="auto"/>
        <w:left w:val="none" w:sz="0" w:space="0" w:color="auto"/>
        <w:bottom w:val="none" w:sz="0" w:space="0" w:color="auto"/>
        <w:right w:val="none" w:sz="0" w:space="0" w:color="auto"/>
      </w:divBdr>
    </w:div>
    <w:div w:id="1091513324">
      <w:marLeft w:val="0"/>
      <w:marRight w:val="0"/>
      <w:marTop w:val="0"/>
      <w:marBottom w:val="0"/>
      <w:divBdr>
        <w:top w:val="none" w:sz="0" w:space="0" w:color="auto"/>
        <w:left w:val="none" w:sz="0" w:space="0" w:color="auto"/>
        <w:bottom w:val="none" w:sz="0" w:space="0" w:color="auto"/>
        <w:right w:val="none" w:sz="0" w:space="0" w:color="auto"/>
      </w:divBdr>
    </w:div>
    <w:div w:id="1092556064">
      <w:marLeft w:val="0"/>
      <w:marRight w:val="0"/>
      <w:marTop w:val="100"/>
      <w:marBottom w:val="100"/>
      <w:divBdr>
        <w:top w:val="none" w:sz="0" w:space="0" w:color="auto"/>
        <w:left w:val="none" w:sz="0" w:space="0" w:color="auto"/>
        <w:bottom w:val="none" w:sz="0" w:space="0" w:color="auto"/>
        <w:right w:val="none" w:sz="0" w:space="0" w:color="auto"/>
      </w:divBdr>
      <w:divsChild>
        <w:div w:id="899440542">
          <w:marLeft w:val="0"/>
          <w:marRight w:val="0"/>
          <w:marTop w:val="0"/>
          <w:marBottom w:val="0"/>
          <w:divBdr>
            <w:top w:val="none" w:sz="0" w:space="0" w:color="auto"/>
            <w:left w:val="none" w:sz="0" w:space="0" w:color="auto"/>
            <w:bottom w:val="none" w:sz="0" w:space="0" w:color="auto"/>
            <w:right w:val="none" w:sz="0" w:space="0" w:color="auto"/>
          </w:divBdr>
        </w:div>
        <w:div w:id="1118379971">
          <w:marLeft w:val="0"/>
          <w:marRight w:val="0"/>
          <w:marTop w:val="0"/>
          <w:marBottom w:val="0"/>
          <w:divBdr>
            <w:top w:val="none" w:sz="0" w:space="0" w:color="auto"/>
            <w:left w:val="none" w:sz="0" w:space="0" w:color="auto"/>
            <w:bottom w:val="none" w:sz="0" w:space="0" w:color="auto"/>
            <w:right w:val="none" w:sz="0" w:space="0" w:color="auto"/>
          </w:divBdr>
        </w:div>
      </w:divsChild>
    </w:div>
    <w:div w:id="1095202937">
      <w:marLeft w:val="0"/>
      <w:marRight w:val="0"/>
      <w:marTop w:val="0"/>
      <w:marBottom w:val="0"/>
      <w:divBdr>
        <w:top w:val="none" w:sz="0" w:space="0" w:color="auto"/>
        <w:left w:val="none" w:sz="0" w:space="0" w:color="auto"/>
        <w:bottom w:val="none" w:sz="0" w:space="0" w:color="auto"/>
        <w:right w:val="none" w:sz="0" w:space="0" w:color="auto"/>
      </w:divBdr>
    </w:div>
    <w:div w:id="1096947501">
      <w:marLeft w:val="0"/>
      <w:marRight w:val="0"/>
      <w:marTop w:val="100"/>
      <w:marBottom w:val="100"/>
      <w:divBdr>
        <w:top w:val="none" w:sz="0" w:space="0" w:color="auto"/>
        <w:left w:val="none" w:sz="0" w:space="0" w:color="auto"/>
        <w:bottom w:val="none" w:sz="0" w:space="0" w:color="auto"/>
        <w:right w:val="none" w:sz="0" w:space="0" w:color="auto"/>
      </w:divBdr>
      <w:divsChild>
        <w:div w:id="1264001086">
          <w:marLeft w:val="0"/>
          <w:marRight w:val="0"/>
          <w:marTop w:val="0"/>
          <w:marBottom w:val="0"/>
          <w:divBdr>
            <w:top w:val="none" w:sz="0" w:space="0" w:color="auto"/>
            <w:left w:val="none" w:sz="0" w:space="0" w:color="auto"/>
            <w:bottom w:val="none" w:sz="0" w:space="0" w:color="auto"/>
            <w:right w:val="none" w:sz="0" w:space="0" w:color="auto"/>
          </w:divBdr>
        </w:div>
      </w:divsChild>
    </w:div>
    <w:div w:id="1097017397">
      <w:marLeft w:val="0"/>
      <w:marRight w:val="0"/>
      <w:marTop w:val="0"/>
      <w:marBottom w:val="0"/>
      <w:divBdr>
        <w:top w:val="none" w:sz="0" w:space="0" w:color="auto"/>
        <w:left w:val="none" w:sz="0" w:space="0" w:color="auto"/>
        <w:bottom w:val="none" w:sz="0" w:space="0" w:color="auto"/>
        <w:right w:val="none" w:sz="0" w:space="0" w:color="auto"/>
      </w:divBdr>
    </w:div>
    <w:div w:id="1100370353">
      <w:marLeft w:val="0"/>
      <w:marRight w:val="0"/>
      <w:marTop w:val="0"/>
      <w:marBottom w:val="0"/>
      <w:divBdr>
        <w:top w:val="none" w:sz="0" w:space="0" w:color="auto"/>
        <w:left w:val="none" w:sz="0" w:space="0" w:color="auto"/>
        <w:bottom w:val="none" w:sz="0" w:space="0" w:color="auto"/>
        <w:right w:val="none" w:sz="0" w:space="0" w:color="auto"/>
      </w:divBdr>
      <w:divsChild>
        <w:div w:id="686564256">
          <w:marLeft w:val="0"/>
          <w:marRight w:val="0"/>
          <w:marTop w:val="0"/>
          <w:marBottom w:val="0"/>
          <w:divBdr>
            <w:top w:val="none" w:sz="0" w:space="0" w:color="auto"/>
            <w:left w:val="none" w:sz="0" w:space="0" w:color="auto"/>
            <w:bottom w:val="none" w:sz="0" w:space="0" w:color="auto"/>
            <w:right w:val="none" w:sz="0" w:space="0" w:color="auto"/>
          </w:divBdr>
        </w:div>
      </w:divsChild>
    </w:div>
    <w:div w:id="1100949972">
      <w:marLeft w:val="0"/>
      <w:marRight w:val="0"/>
      <w:marTop w:val="0"/>
      <w:marBottom w:val="0"/>
      <w:divBdr>
        <w:top w:val="none" w:sz="0" w:space="0" w:color="auto"/>
        <w:left w:val="none" w:sz="0" w:space="0" w:color="auto"/>
        <w:bottom w:val="none" w:sz="0" w:space="0" w:color="auto"/>
        <w:right w:val="none" w:sz="0" w:space="0" w:color="auto"/>
      </w:divBdr>
    </w:div>
    <w:div w:id="1101146496">
      <w:marLeft w:val="0"/>
      <w:marRight w:val="0"/>
      <w:marTop w:val="0"/>
      <w:marBottom w:val="0"/>
      <w:divBdr>
        <w:top w:val="none" w:sz="0" w:space="0" w:color="auto"/>
        <w:left w:val="none" w:sz="0" w:space="0" w:color="auto"/>
        <w:bottom w:val="none" w:sz="0" w:space="0" w:color="auto"/>
        <w:right w:val="none" w:sz="0" w:space="0" w:color="auto"/>
      </w:divBdr>
    </w:div>
    <w:div w:id="1101410031">
      <w:marLeft w:val="0"/>
      <w:marRight w:val="0"/>
      <w:marTop w:val="0"/>
      <w:marBottom w:val="0"/>
      <w:divBdr>
        <w:top w:val="none" w:sz="0" w:space="0" w:color="auto"/>
        <w:left w:val="none" w:sz="0" w:space="0" w:color="auto"/>
        <w:bottom w:val="none" w:sz="0" w:space="0" w:color="auto"/>
        <w:right w:val="none" w:sz="0" w:space="0" w:color="auto"/>
      </w:divBdr>
    </w:div>
    <w:div w:id="1101415625">
      <w:marLeft w:val="0"/>
      <w:marRight w:val="0"/>
      <w:marTop w:val="0"/>
      <w:marBottom w:val="0"/>
      <w:divBdr>
        <w:top w:val="none" w:sz="0" w:space="0" w:color="auto"/>
        <w:left w:val="none" w:sz="0" w:space="0" w:color="auto"/>
        <w:bottom w:val="none" w:sz="0" w:space="0" w:color="auto"/>
        <w:right w:val="none" w:sz="0" w:space="0" w:color="auto"/>
      </w:divBdr>
    </w:div>
    <w:div w:id="1101604900">
      <w:marLeft w:val="0"/>
      <w:marRight w:val="0"/>
      <w:marTop w:val="0"/>
      <w:marBottom w:val="0"/>
      <w:divBdr>
        <w:top w:val="none" w:sz="0" w:space="0" w:color="auto"/>
        <w:left w:val="none" w:sz="0" w:space="0" w:color="auto"/>
        <w:bottom w:val="none" w:sz="0" w:space="0" w:color="auto"/>
        <w:right w:val="none" w:sz="0" w:space="0" w:color="auto"/>
      </w:divBdr>
    </w:div>
    <w:div w:id="1102185175">
      <w:marLeft w:val="0"/>
      <w:marRight w:val="0"/>
      <w:marTop w:val="0"/>
      <w:marBottom w:val="0"/>
      <w:divBdr>
        <w:top w:val="none" w:sz="0" w:space="0" w:color="auto"/>
        <w:left w:val="none" w:sz="0" w:space="0" w:color="auto"/>
        <w:bottom w:val="none" w:sz="0" w:space="0" w:color="auto"/>
        <w:right w:val="none" w:sz="0" w:space="0" w:color="auto"/>
      </w:divBdr>
    </w:div>
    <w:div w:id="1102334215">
      <w:marLeft w:val="0"/>
      <w:marRight w:val="0"/>
      <w:marTop w:val="0"/>
      <w:marBottom w:val="0"/>
      <w:divBdr>
        <w:top w:val="none" w:sz="0" w:space="0" w:color="auto"/>
        <w:left w:val="none" w:sz="0" w:space="0" w:color="auto"/>
        <w:bottom w:val="none" w:sz="0" w:space="0" w:color="auto"/>
        <w:right w:val="none" w:sz="0" w:space="0" w:color="auto"/>
      </w:divBdr>
    </w:div>
    <w:div w:id="1103108081">
      <w:marLeft w:val="0"/>
      <w:marRight w:val="0"/>
      <w:marTop w:val="0"/>
      <w:marBottom w:val="0"/>
      <w:divBdr>
        <w:top w:val="none" w:sz="0" w:space="0" w:color="auto"/>
        <w:left w:val="none" w:sz="0" w:space="0" w:color="auto"/>
        <w:bottom w:val="none" w:sz="0" w:space="0" w:color="auto"/>
        <w:right w:val="none" w:sz="0" w:space="0" w:color="auto"/>
      </w:divBdr>
    </w:div>
    <w:div w:id="1103456381">
      <w:marLeft w:val="0"/>
      <w:marRight w:val="0"/>
      <w:marTop w:val="0"/>
      <w:marBottom w:val="0"/>
      <w:divBdr>
        <w:top w:val="none" w:sz="0" w:space="0" w:color="auto"/>
        <w:left w:val="none" w:sz="0" w:space="0" w:color="auto"/>
        <w:bottom w:val="none" w:sz="0" w:space="0" w:color="auto"/>
        <w:right w:val="none" w:sz="0" w:space="0" w:color="auto"/>
      </w:divBdr>
    </w:div>
    <w:div w:id="1103914659">
      <w:marLeft w:val="0"/>
      <w:marRight w:val="0"/>
      <w:marTop w:val="0"/>
      <w:marBottom w:val="0"/>
      <w:divBdr>
        <w:top w:val="none" w:sz="0" w:space="0" w:color="auto"/>
        <w:left w:val="none" w:sz="0" w:space="0" w:color="auto"/>
        <w:bottom w:val="none" w:sz="0" w:space="0" w:color="auto"/>
        <w:right w:val="none" w:sz="0" w:space="0" w:color="auto"/>
      </w:divBdr>
    </w:div>
    <w:div w:id="1104039374">
      <w:marLeft w:val="0"/>
      <w:marRight w:val="0"/>
      <w:marTop w:val="0"/>
      <w:marBottom w:val="0"/>
      <w:divBdr>
        <w:top w:val="none" w:sz="0" w:space="0" w:color="auto"/>
        <w:left w:val="none" w:sz="0" w:space="0" w:color="auto"/>
        <w:bottom w:val="none" w:sz="0" w:space="0" w:color="auto"/>
        <w:right w:val="none" w:sz="0" w:space="0" w:color="auto"/>
      </w:divBdr>
    </w:div>
    <w:div w:id="1104302024">
      <w:marLeft w:val="0"/>
      <w:marRight w:val="0"/>
      <w:marTop w:val="100"/>
      <w:marBottom w:val="180"/>
      <w:divBdr>
        <w:top w:val="none" w:sz="0" w:space="0" w:color="auto"/>
        <w:left w:val="none" w:sz="0" w:space="0" w:color="auto"/>
        <w:bottom w:val="none" w:sz="0" w:space="0" w:color="auto"/>
        <w:right w:val="none" w:sz="0" w:space="0" w:color="auto"/>
      </w:divBdr>
    </w:div>
    <w:div w:id="1104417459">
      <w:marLeft w:val="0"/>
      <w:marRight w:val="0"/>
      <w:marTop w:val="0"/>
      <w:marBottom w:val="0"/>
      <w:divBdr>
        <w:top w:val="none" w:sz="0" w:space="0" w:color="auto"/>
        <w:left w:val="none" w:sz="0" w:space="0" w:color="auto"/>
        <w:bottom w:val="none" w:sz="0" w:space="0" w:color="auto"/>
        <w:right w:val="none" w:sz="0" w:space="0" w:color="auto"/>
      </w:divBdr>
    </w:div>
    <w:div w:id="1105422277">
      <w:marLeft w:val="0"/>
      <w:marRight w:val="0"/>
      <w:marTop w:val="0"/>
      <w:marBottom w:val="0"/>
      <w:divBdr>
        <w:top w:val="none" w:sz="0" w:space="0" w:color="auto"/>
        <w:left w:val="none" w:sz="0" w:space="0" w:color="auto"/>
        <w:bottom w:val="none" w:sz="0" w:space="0" w:color="auto"/>
        <w:right w:val="none" w:sz="0" w:space="0" w:color="auto"/>
      </w:divBdr>
    </w:div>
    <w:div w:id="1106147774">
      <w:marLeft w:val="0"/>
      <w:marRight w:val="0"/>
      <w:marTop w:val="0"/>
      <w:marBottom w:val="0"/>
      <w:divBdr>
        <w:top w:val="none" w:sz="0" w:space="0" w:color="auto"/>
        <w:left w:val="none" w:sz="0" w:space="0" w:color="auto"/>
        <w:bottom w:val="none" w:sz="0" w:space="0" w:color="auto"/>
        <w:right w:val="none" w:sz="0" w:space="0" w:color="auto"/>
      </w:divBdr>
    </w:div>
    <w:div w:id="1106461799">
      <w:marLeft w:val="0"/>
      <w:marRight w:val="0"/>
      <w:marTop w:val="0"/>
      <w:marBottom w:val="0"/>
      <w:divBdr>
        <w:top w:val="none" w:sz="0" w:space="0" w:color="auto"/>
        <w:left w:val="none" w:sz="0" w:space="0" w:color="auto"/>
        <w:bottom w:val="none" w:sz="0" w:space="0" w:color="auto"/>
        <w:right w:val="none" w:sz="0" w:space="0" w:color="auto"/>
      </w:divBdr>
    </w:div>
    <w:div w:id="1108427630">
      <w:marLeft w:val="0"/>
      <w:marRight w:val="0"/>
      <w:marTop w:val="0"/>
      <w:marBottom w:val="0"/>
      <w:divBdr>
        <w:top w:val="none" w:sz="0" w:space="0" w:color="auto"/>
        <w:left w:val="none" w:sz="0" w:space="0" w:color="auto"/>
        <w:bottom w:val="none" w:sz="0" w:space="0" w:color="auto"/>
        <w:right w:val="none" w:sz="0" w:space="0" w:color="auto"/>
      </w:divBdr>
    </w:div>
    <w:div w:id="1108542364">
      <w:marLeft w:val="0"/>
      <w:marRight w:val="0"/>
      <w:marTop w:val="0"/>
      <w:marBottom w:val="0"/>
      <w:divBdr>
        <w:top w:val="none" w:sz="0" w:space="0" w:color="auto"/>
        <w:left w:val="none" w:sz="0" w:space="0" w:color="auto"/>
        <w:bottom w:val="none" w:sz="0" w:space="0" w:color="auto"/>
        <w:right w:val="none" w:sz="0" w:space="0" w:color="auto"/>
      </w:divBdr>
    </w:div>
    <w:div w:id="1110514719">
      <w:marLeft w:val="0"/>
      <w:marRight w:val="0"/>
      <w:marTop w:val="0"/>
      <w:marBottom w:val="0"/>
      <w:divBdr>
        <w:top w:val="none" w:sz="0" w:space="0" w:color="auto"/>
        <w:left w:val="none" w:sz="0" w:space="0" w:color="auto"/>
        <w:bottom w:val="none" w:sz="0" w:space="0" w:color="auto"/>
        <w:right w:val="none" w:sz="0" w:space="0" w:color="auto"/>
      </w:divBdr>
    </w:div>
    <w:div w:id="1110585353">
      <w:marLeft w:val="0"/>
      <w:marRight w:val="0"/>
      <w:marTop w:val="0"/>
      <w:marBottom w:val="0"/>
      <w:divBdr>
        <w:top w:val="none" w:sz="0" w:space="0" w:color="auto"/>
        <w:left w:val="none" w:sz="0" w:space="0" w:color="auto"/>
        <w:bottom w:val="none" w:sz="0" w:space="0" w:color="auto"/>
        <w:right w:val="none" w:sz="0" w:space="0" w:color="auto"/>
      </w:divBdr>
    </w:div>
    <w:div w:id="1110589212">
      <w:marLeft w:val="0"/>
      <w:marRight w:val="0"/>
      <w:marTop w:val="0"/>
      <w:marBottom w:val="0"/>
      <w:divBdr>
        <w:top w:val="none" w:sz="0" w:space="0" w:color="auto"/>
        <w:left w:val="none" w:sz="0" w:space="0" w:color="auto"/>
        <w:bottom w:val="none" w:sz="0" w:space="0" w:color="auto"/>
        <w:right w:val="none" w:sz="0" w:space="0" w:color="auto"/>
      </w:divBdr>
    </w:div>
    <w:div w:id="1111125619">
      <w:marLeft w:val="0"/>
      <w:marRight w:val="0"/>
      <w:marTop w:val="0"/>
      <w:marBottom w:val="0"/>
      <w:divBdr>
        <w:top w:val="none" w:sz="0" w:space="0" w:color="auto"/>
        <w:left w:val="none" w:sz="0" w:space="0" w:color="auto"/>
        <w:bottom w:val="none" w:sz="0" w:space="0" w:color="auto"/>
        <w:right w:val="none" w:sz="0" w:space="0" w:color="auto"/>
      </w:divBdr>
    </w:div>
    <w:div w:id="1111586171">
      <w:marLeft w:val="0"/>
      <w:marRight w:val="0"/>
      <w:marTop w:val="0"/>
      <w:marBottom w:val="0"/>
      <w:divBdr>
        <w:top w:val="none" w:sz="0" w:space="0" w:color="auto"/>
        <w:left w:val="none" w:sz="0" w:space="0" w:color="auto"/>
        <w:bottom w:val="none" w:sz="0" w:space="0" w:color="auto"/>
        <w:right w:val="none" w:sz="0" w:space="0" w:color="auto"/>
      </w:divBdr>
    </w:div>
    <w:div w:id="1112283062">
      <w:marLeft w:val="0"/>
      <w:marRight w:val="0"/>
      <w:marTop w:val="0"/>
      <w:marBottom w:val="0"/>
      <w:divBdr>
        <w:top w:val="none" w:sz="0" w:space="0" w:color="auto"/>
        <w:left w:val="none" w:sz="0" w:space="0" w:color="auto"/>
        <w:bottom w:val="none" w:sz="0" w:space="0" w:color="auto"/>
        <w:right w:val="none" w:sz="0" w:space="0" w:color="auto"/>
      </w:divBdr>
    </w:div>
    <w:div w:id="1114404198">
      <w:marLeft w:val="0"/>
      <w:marRight w:val="0"/>
      <w:marTop w:val="0"/>
      <w:marBottom w:val="0"/>
      <w:divBdr>
        <w:top w:val="none" w:sz="0" w:space="0" w:color="auto"/>
        <w:left w:val="none" w:sz="0" w:space="0" w:color="auto"/>
        <w:bottom w:val="none" w:sz="0" w:space="0" w:color="auto"/>
        <w:right w:val="none" w:sz="0" w:space="0" w:color="auto"/>
      </w:divBdr>
    </w:div>
    <w:div w:id="1114981532">
      <w:marLeft w:val="0"/>
      <w:marRight w:val="0"/>
      <w:marTop w:val="0"/>
      <w:marBottom w:val="0"/>
      <w:divBdr>
        <w:top w:val="none" w:sz="0" w:space="0" w:color="auto"/>
        <w:left w:val="none" w:sz="0" w:space="0" w:color="auto"/>
        <w:bottom w:val="none" w:sz="0" w:space="0" w:color="auto"/>
        <w:right w:val="none" w:sz="0" w:space="0" w:color="auto"/>
      </w:divBdr>
    </w:div>
    <w:div w:id="1115832989">
      <w:marLeft w:val="0"/>
      <w:marRight w:val="0"/>
      <w:marTop w:val="0"/>
      <w:marBottom w:val="0"/>
      <w:divBdr>
        <w:top w:val="none" w:sz="0" w:space="0" w:color="auto"/>
        <w:left w:val="none" w:sz="0" w:space="0" w:color="auto"/>
        <w:bottom w:val="none" w:sz="0" w:space="0" w:color="auto"/>
        <w:right w:val="none" w:sz="0" w:space="0" w:color="auto"/>
      </w:divBdr>
    </w:div>
    <w:div w:id="1116607851">
      <w:marLeft w:val="0"/>
      <w:marRight w:val="0"/>
      <w:marTop w:val="0"/>
      <w:marBottom w:val="0"/>
      <w:divBdr>
        <w:top w:val="none" w:sz="0" w:space="0" w:color="auto"/>
        <w:left w:val="none" w:sz="0" w:space="0" w:color="auto"/>
        <w:bottom w:val="none" w:sz="0" w:space="0" w:color="auto"/>
        <w:right w:val="none" w:sz="0" w:space="0" w:color="auto"/>
      </w:divBdr>
    </w:div>
    <w:div w:id="1118835196">
      <w:marLeft w:val="0"/>
      <w:marRight w:val="0"/>
      <w:marTop w:val="0"/>
      <w:marBottom w:val="0"/>
      <w:divBdr>
        <w:top w:val="none" w:sz="0" w:space="0" w:color="auto"/>
        <w:left w:val="none" w:sz="0" w:space="0" w:color="auto"/>
        <w:bottom w:val="none" w:sz="0" w:space="0" w:color="auto"/>
        <w:right w:val="none" w:sz="0" w:space="0" w:color="auto"/>
      </w:divBdr>
    </w:div>
    <w:div w:id="1119373146">
      <w:marLeft w:val="0"/>
      <w:marRight w:val="0"/>
      <w:marTop w:val="0"/>
      <w:marBottom w:val="0"/>
      <w:divBdr>
        <w:top w:val="none" w:sz="0" w:space="0" w:color="auto"/>
        <w:left w:val="none" w:sz="0" w:space="0" w:color="auto"/>
        <w:bottom w:val="none" w:sz="0" w:space="0" w:color="auto"/>
        <w:right w:val="none" w:sz="0" w:space="0" w:color="auto"/>
      </w:divBdr>
    </w:div>
    <w:div w:id="1120227201">
      <w:marLeft w:val="0"/>
      <w:marRight w:val="0"/>
      <w:marTop w:val="0"/>
      <w:marBottom w:val="0"/>
      <w:divBdr>
        <w:top w:val="none" w:sz="0" w:space="0" w:color="auto"/>
        <w:left w:val="none" w:sz="0" w:space="0" w:color="auto"/>
        <w:bottom w:val="none" w:sz="0" w:space="0" w:color="auto"/>
        <w:right w:val="none" w:sz="0" w:space="0" w:color="auto"/>
      </w:divBdr>
    </w:div>
    <w:div w:id="1120606014">
      <w:marLeft w:val="0"/>
      <w:marRight w:val="0"/>
      <w:marTop w:val="0"/>
      <w:marBottom w:val="0"/>
      <w:divBdr>
        <w:top w:val="none" w:sz="0" w:space="0" w:color="auto"/>
        <w:left w:val="none" w:sz="0" w:space="0" w:color="auto"/>
        <w:bottom w:val="none" w:sz="0" w:space="0" w:color="auto"/>
        <w:right w:val="none" w:sz="0" w:space="0" w:color="auto"/>
      </w:divBdr>
    </w:div>
    <w:div w:id="1122843989">
      <w:marLeft w:val="0"/>
      <w:marRight w:val="0"/>
      <w:marTop w:val="0"/>
      <w:marBottom w:val="0"/>
      <w:divBdr>
        <w:top w:val="none" w:sz="0" w:space="0" w:color="auto"/>
        <w:left w:val="none" w:sz="0" w:space="0" w:color="auto"/>
        <w:bottom w:val="none" w:sz="0" w:space="0" w:color="auto"/>
        <w:right w:val="none" w:sz="0" w:space="0" w:color="auto"/>
      </w:divBdr>
    </w:div>
    <w:div w:id="1123186631">
      <w:marLeft w:val="0"/>
      <w:marRight w:val="0"/>
      <w:marTop w:val="0"/>
      <w:marBottom w:val="0"/>
      <w:divBdr>
        <w:top w:val="none" w:sz="0" w:space="0" w:color="auto"/>
        <w:left w:val="none" w:sz="0" w:space="0" w:color="auto"/>
        <w:bottom w:val="none" w:sz="0" w:space="0" w:color="auto"/>
        <w:right w:val="none" w:sz="0" w:space="0" w:color="auto"/>
      </w:divBdr>
    </w:div>
    <w:div w:id="1123888837">
      <w:marLeft w:val="0"/>
      <w:marRight w:val="0"/>
      <w:marTop w:val="0"/>
      <w:marBottom w:val="0"/>
      <w:divBdr>
        <w:top w:val="none" w:sz="0" w:space="0" w:color="auto"/>
        <w:left w:val="none" w:sz="0" w:space="0" w:color="auto"/>
        <w:bottom w:val="none" w:sz="0" w:space="0" w:color="auto"/>
        <w:right w:val="none" w:sz="0" w:space="0" w:color="auto"/>
      </w:divBdr>
    </w:div>
    <w:div w:id="1126043171">
      <w:marLeft w:val="0"/>
      <w:marRight w:val="0"/>
      <w:marTop w:val="0"/>
      <w:marBottom w:val="0"/>
      <w:divBdr>
        <w:top w:val="none" w:sz="0" w:space="0" w:color="auto"/>
        <w:left w:val="none" w:sz="0" w:space="0" w:color="auto"/>
        <w:bottom w:val="none" w:sz="0" w:space="0" w:color="auto"/>
        <w:right w:val="none" w:sz="0" w:space="0" w:color="auto"/>
      </w:divBdr>
    </w:div>
    <w:div w:id="1126122040">
      <w:marLeft w:val="0"/>
      <w:marRight w:val="0"/>
      <w:marTop w:val="0"/>
      <w:marBottom w:val="0"/>
      <w:divBdr>
        <w:top w:val="none" w:sz="0" w:space="0" w:color="auto"/>
        <w:left w:val="none" w:sz="0" w:space="0" w:color="auto"/>
        <w:bottom w:val="none" w:sz="0" w:space="0" w:color="auto"/>
        <w:right w:val="none" w:sz="0" w:space="0" w:color="auto"/>
      </w:divBdr>
    </w:div>
    <w:div w:id="1126437249">
      <w:marLeft w:val="0"/>
      <w:marRight w:val="0"/>
      <w:marTop w:val="0"/>
      <w:marBottom w:val="0"/>
      <w:divBdr>
        <w:top w:val="none" w:sz="0" w:space="0" w:color="auto"/>
        <w:left w:val="none" w:sz="0" w:space="0" w:color="auto"/>
        <w:bottom w:val="none" w:sz="0" w:space="0" w:color="auto"/>
        <w:right w:val="none" w:sz="0" w:space="0" w:color="auto"/>
      </w:divBdr>
    </w:div>
    <w:div w:id="1126893063">
      <w:marLeft w:val="0"/>
      <w:marRight w:val="0"/>
      <w:marTop w:val="0"/>
      <w:marBottom w:val="0"/>
      <w:divBdr>
        <w:top w:val="none" w:sz="0" w:space="0" w:color="auto"/>
        <w:left w:val="none" w:sz="0" w:space="0" w:color="auto"/>
        <w:bottom w:val="none" w:sz="0" w:space="0" w:color="auto"/>
        <w:right w:val="none" w:sz="0" w:space="0" w:color="auto"/>
      </w:divBdr>
    </w:div>
    <w:div w:id="1128160510">
      <w:marLeft w:val="0"/>
      <w:marRight w:val="0"/>
      <w:marTop w:val="0"/>
      <w:marBottom w:val="0"/>
      <w:divBdr>
        <w:top w:val="none" w:sz="0" w:space="0" w:color="auto"/>
        <w:left w:val="none" w:sz="0" w:space="0" w:color="auto"/>
        <w:bottom w:val="none" w:sz="0" w:space="0" w:color="auto"/>
        <w:right w:val="none" w:sz="0" w:space="0" w:color="auto"/>
      </w:divBdr>
    </w:div>
    <w:div w:id="1128821761">
      <w:marLeft w:val="0"/>
      <w:marRight w:val="0"/>
      <w:marTop w:val="0"/>
      <w:marBottom w:val="0"/>
      <w:divBdr>
        <w:top w:val="none" w:sz="0" w:space="0" w:color="auto"/>
        <w:left w:val="none" w:sz="0" w:space="0" w:color="auto"/>
        <w:bottom w:val="none" w:sz="0" w:space="0" w:color="auto"/>
        <w:right w:val="none" w:sz="0" w:space="0" w:color="auto"/>
      </w:divBdr>
    </w:div>
    <w:div w:id="1129544426">
      <w:marLeft w:val="0"/>
      <w:marRight w:val="0"/>
      <w:marTop w:val="0"/>
      <w:marBottom w:val="0"/>
      <w:divBdr>
        <w:top w:val="none" w:sz="0" w:space="0" w:color="auto"/>
        <w:left w:val="none" w:sz="0" w:space="0" w:color="auto"/>
        <w:bottom w:val="none" w:sz="0" w:space="0" w:color="auto"/>
        <w:right w:val="none" w:sz="0" w:space="0" w:color="auto"/>
      </w:divBdr>
    </w:div>
    <w:div w:id="1130636816">
      <w:marLeft w:val="0"/>
      <w:marRight w:val="0"/>
      <w:marTop w:val="0"/>
      <w:marBottom w:val="0"/>
      <w:divBdr>
        <w:top w:val="none" w:sz="0" w:space="0" w:color="auto"/>
        <w:left w:val="none" w:sz="0" w:space="0" w:color="auto"/>
        <w:bottom w:val="none" w:sz="0" w:space="0" w:color="auto"/>
        <w:right w:val="none" w:sz="0" w:space="0" w:color="auto"/>
      </w:divBdr>
    </w:div>
    <w:div w:id="1131094689">
      <w:marLeft w:val="0"/>
      <w:marRight w:val="0"/>
      <w:marTop w:val="0"/>
      <w:marBottom w:val="0"/>
      <w:divBdr>
        <w:top w:val="none" w:sz="0" w:space="0" w:color="auto"/>
        <w:left w:val="none" w:sz="0" w:space="0" w:color="auto"/>
        <w:bottom w:val="none" w:sz="0" w:space="0" w:color="auto"/>
        <w:right w:val="none" w:sz="0" w:space="0" w:color="auto"/>
      </w:divBdr>
    </w:div>
    <w:div w:id="1132022220">
      <w:marLeft w:val="0"/>
      <w:marRight w:val="0"/>
      <w:marTop w:val="0"/>
      <w:marBottom w:val="0"/>
      <w:divBdr>
        <w:top w:val="none" w:sz="0" w:space="0" w:color="auto"/>
        <w:left w:val="none" w:sz="0" w:space="0" w:color="auto"/>
        <w:bottom w:val="none" w:sz="0" w:space="0" w:color="auto"/>
        <w:right w:val="none" w:sz="0" w:space="0" w:color="auto"/>
      </w:divBdr>
    </w:div>
    <w:div w:id="1133061556">
      <w:marLeft w:val="0"/>
      <w:marRight w:val="0"/>
      <w:marTop w:val="0"/>
      <w:marBottom w:val="0"/>
      <w:divBdr>
        <w:top w:val="none" w:sz="0" w:space="0" w:color="auto"/>
        <w:left w:val="none" w:sz="0" w:space="0" w:color="auto"/>
        <w:bottom w:val="none" w:sz="0" w:space="0" w:color="auto"/>
        <w:right w:val="none" w:sz="0" w:space="0" w:color="auto"/>
      </w:divBdr>
    </w:div>
    <w:div w:id="1134255158">
      <w:marLeft w:val="0"/>
      <w:marRight w:val="0"/>
      <w:marTop w:val="0"/>
      <w:marBottom w:val="0"/>
      <w:divBdr>
        <w:top w:val="none" w:sz="0" w:space="0" w:color="auto"/>
        <w:left w:val="none" w:sz="0" w:space="0" w:color="auto"/>
        <w:bottom w:val="none" w:sz="0" w:space="0" w:color="auto"/>
        <w:right w:val="none" w:sz="0" w:space="0" w:color="auto"/>
      </w:divBdr>
    </w:div>
    <w:div w:id="1134446270">
      <w:marLeft w:val="0"/>
      <w:marRight w:val="0"/>
      <w:marTop w:val="0"/>
      <w:marBottom w:val="0"/>
      <w:divBdr>
        <w:top w:val="none" w:sz="0" w:space="0" w:color="auto"/>
        <w:left w:val="none" w:sz="0" w:space="0" w:color="auto"/>
        <w:bottom w:val="none" w:sz="0" w:space="0" w:color="auto"/>
        <w:right w:val="none" w:sz="0" w:space="0" w:color="auto"/>
      </w:divBdr>
    </w:div>
    <w:div w:id="1135561631">
      <w:marLeft w:val="0"/>
      <w:marRight w:val="0"/>
      <w:marTop w:val="0"/>
      <w:marBottom w:val="0"/>
      <w:divBdr>
        <w:top w:val="none" w:sz="0" w:space="0" w:color="auto"/>
        <w:left w:val="none" w:sz="0" w:space="0" w:color="auto"/>
        <w:bottom w:val="none" w:sz="0" w:space="0" w:color="auto"/>
        <w:right w:val="none" w:sz="0" w:space="0" w:color="auto"/>
      </w:divBdr>
    </w:div>
    <w:div w:id="1135683941">
      <w:marLeft w:val="0"/>
      <w:marRight w:val="0"/>
      <w:marTop w:val="0"/>
      <w:marBottom w:val="0"/>
      <w:divBdr>
        <w:top w:val="none" w:sz="0" w:space="0" w:color="auto"/>
        <w:left w:val="none" w:sz="0" w:space="0" w:color="auto"/>
        <w:bottom w:val="none" w:sz="0" w:space="0" w:color="auto"/>
        <w:right w:val="none" w:sz="0" w:space="0" w:color="auto"/>
      </w:divBdr>
    </w:div>
    <w:div w:id="1135832381">
      <w:marLeft w:val="0"/>
      <w:marRight w:val="0"/>
      <w:marTop w:val="0"/>
      <w:marBottom w:val="0"/>
      <w:divBdr>
        <w:top w:val="none" w:sz="0" w:space="0" w:color="auto"/>
        <w:left w:val="none" w:sz="0" w:space="0" w:color="auto"/>
        <w:bottom w:val="none" w:sz="0" w:space="0" w:color="auto"/>
        <w:right w:val="none" w:sz="0" w:space="0" w:color="auto"/>
      </w:divBdr>
    </w:div>
    <w:div w:id="1137062806">
      <w:marLeft w:val="0"/>
      <w:marRight w:val="0"/>
      <w:marTop w:val="0"/>
      <w:marBottom w:val="0"/>
      <w:divBdr>
        <w:top w:val="none" w:sz="0" w:space="0" w:color="auto"/>
        <w:left w:val="none" w:sz="0" w:space="0" w:color="auto"/>
        <w:bottom w:val="none" w:sz="0" w:space="0" w:color="auto"/>
        <w:right w:val="none" w:sz="0" w:space="0" w:color="auto"/>
      </w:divBdr>
    </w:div>
    <w:div w:id="1137146872">
      <w:marLeft w:val="0"/>
      <w:marRight w:val="0"/>
      <w:marTop w:val="0"/>
      <w:marBottom w:val="0"/>
      <w:divBdr>
        <w:top w:val="none" w:sz="0" w:space="0" w:color="auto"/>
        <w:left w:val="none" w:sz="0" w:space="0" w:color="auto"/>
        <w:bottom w:val="none" w:sz="0" w:space="0" w:color="auto"/>
        <w:right w:val="none" w:sz="0" w:space="0" w:color="auto"/>
      </w:divBdr>
    </w:div>
    <w:div w:id="1137182811">
      <w:marLeft w:val="0"/>
      <w:marRight w:val="0"/>
      <w:marTop w:val="0"/>
      <w:marBottom w:val="0"/>
      <w:divBdr>
        <w:top w:val="none" w:sz="0" w:space="0" w:color="auto"/>
        <w:left w:val="none" w:sz="0" w:space="0" w:color="auto"/>
        <w:bottom w:val="none" w:sz="0" w:space="0" w:color="auto"/>
        <w:right w:val="none" w:sz="0" w:space="0" w:color="auto"/>
      </w:divBdr>
    </w:div>
    <w:div w:id="1137455162">
      <w:marLeft w:val="0"/>
      <w:marRight w:val="0"/>
      <w:marTop w:val="0"/>
      <w:marBottom w:val="0"/>
      <w:divBdr>
        <w:top w:val="none" w:sz="0" w:space="0" w:color="auto"/>
        <w:left w:val="none" w:sz="0" w:space="0" w:color="auto"/>
        <w:bottom w:val="none" w:sz="0" w:space="0" w:color="auto"/>
        <w:right w:val="none" w:sz="0" w:space="0" w:color="auto"/>
      </w:divBdr>
    </w:div>
    <w:div w:id="1140926070">
      <w:marLeft w:val="0"/>
      <w:marRight w:val="0"/>
      <w:marTop w:val="0"/>
      <w:marBottom w:val="0"/>
      <w:divBdr>
        <w:top w:val="none" w:sz="0" w:space="0" w:color="auto"/>
        <w:left w:val="none" w:sz="0" w:space="0" w:color="auto"/>
        <w:bottom w:val="none" w:sz="0" w:space="0" w:color="auto"/>
        <w:right w:val="none" w:sz="0" w:space="0" w:color="auto"/>
      </w:divBdr>
    </w:div>
    <w:div w:id="1142036957">
      <w:marLeft w:val="0"/>
      <w:marRight w:val="0"/>
      <w:marTop w:val="0"/>
      <w:marBottom w:val="0"/>
      <w:divBdr>
        <w:top w:val="none" w:sz="0" w:space="0" w:color="auto"/>
        <w:left w:val="none" w:sz="0" w:space="0" w:color="auto"/>
        <w:bottom w:val="none" w:sz="0" w:space="0" w:color="auto"/>
        <w:right w:val="none" w:sz="0" w:space="0" w:color="auto"/>
      </w:divBdr>
    </w:div>
    <w:div w:id="1143498372">
      <w:marLeft w:val="0"/>
      <w:marRight w:val="0"/>
      <w:marTop w:val="60"/>
      <w:marBottom w:val="0"/>
      <w:divBdr>
        <w:top w:val="none" w:sz="0" w:space="0" w:color="auto"/>
        <w:left w:val="none" w:sz="0" w:space="0" w:color="auto"/>
        <w:bottom w:val="none" w:sz="0" w:space="0" w:color="auto"/>
        <w:right w:val="none" w:sz="0" w:space="0" w:color="auto"/>
      </w:divBdr>
    </w:div>
    <w:div w:id="1145120264">
      <w:marLeft w:val="0"/>
      <w:marRight w:val="0"/>
      <w:marTop w:val="0"/>
      <w:marBottom w:val="0"/>
      <w:divBdr>
        <w:top w:val="none" w:sz="0" w:space="0" w:color="auto"/>
        <w:left w:val="none" w:sz="0" w:space="0" w:color="auto"/>
        <w:bottom w:val="none" w:sz="0" w:space="0" w:color="auto"/>
        <w:right w:val="none" w:sz="0" w:space="0" w:color="auto"/>
      </w:divBdr>
    </w:div>
    <w:div w:id="1145588504">
      <w:marLeft w:val="0"/>
      <w:marRight w:val="0"/>
      <w:marTop w:val="100"/>
      <w:marBottom w:val="100"/>
      <w:divBdr>
        <w:top w:val="none" w:sz="0" w:space="0" w:color="auto"/>
        <w:left w:val="none" w:sz="0" w:space="0" w:color="auto"/>
        <w:bottom w:val="none" w:sz="0" w:space="0" w:color="auto"/>
        <w:right w:val="none" w:sz="0" w:space="0" w:color="auto"/>
      </w:divBdr>
    </w:div>
    <w:div w:id="1146047738">
      <w:marLeft w:val="0"/>
      <w:marRight w:val="0"/>
      <w:marTop w:val="0"/>
      <w:marBottom w:val="0"/>
      <w:divBdr>
        <w:top w:val="none" w:sz="0" w:space="0" w:color="auto"/>
        <w:left w:val="none" w:sz="0" w:space="0" w:color="auto"/>
        <w:bottom w:val="none" w:sz="0" w:space="0" w:color="auto"/>
        <w:right w:val="none" w:sz="0" w:space="0" w:color="auto"/>
      </w:divBdr>
    </w:div>
    <w:div w:id="1146320234">
      <w:marLeft w:val="0"/>
      <w:marRight w:val="0"/>
      <w:marTop w:val="0"/>
      <w:marBottom w:val="0"/>
      <w:divBdr>
        <w:top w:val="none" w:sz="0" w:space="0" w:color="auto"/>
        <w:left w:val="none" w:sz="0" w:space="0" w:color="auto"/>
        <w:bottom w:val="none" w:sz="0" w:space="0" w:color="auto"/>
        <w:right w:val="none" w:sz="0" w:space="0" w:color="auto"/>
      </w:divBdr>
    </w:div>
    <w:div w:id="1146706763">
      <w:marLeft w:val="0"/>
      <w:marRight w:val="0"/>
      <w:marTop w:val="0"/>
      <w:marBottom w:val="0"/>
      <w:divBdr>
        <w:top w:val="none" w:sz="0" w:space="0" w:color="auto"/>
        <w:left w:val="none" w:sz="0" w:space="0" w:color="auto"/>
        <w:bottom w:val="none" w:sz="0" w:space="0" w:color="auto"/>
        <w:right w:val="none" w:sz="0" w:space="0" w:color="auto"/>
      </w:divBdr>
    </w:div>
    <w:div w:id="1146749825">
      <w:marLeft w:val="0"/>
      <w:marRight w:val="0"/>
      <w:marTop w:val="0"/>
      <w:marBottom w:val="0"/>
      <w:divBdr>
        <w:top w:val="none" w:sz="0" w:space="0" w:color="auto"/>
        <w:left w:val="none" w:sz="0" w:space="0" w:color="auto"/>
        <w:bottom w:val="none" w:sz="0" w:space="0" w:color="auto"/>
        <w:right w:val="none" w:sz="0" w:space="0" w:color="auto"/>
      </w:divBdr>
    </w:div>
    <w:div w:id="1147434681">
      <w:marLeft w:val="0"/>
      <w:marRight w:val="0"/>
      <w:marTop w:val="0"/>
      <w:marBottom w:val="0"/>
      <w:divBdr>
        <w:top w:val="none" w:sz="0" w:space="0" w:color="auto"/>
        <w:left w:val="none" w:sz="0" w:space="0" w:color="auto"/>
        <w:bottom w:val="none" w:sz="0" w:space="0" w:color="auto"/>
        <w:right w:val="none" w:sz="0" w:space="0" w:color="auto"/>
      </w:divBdr>
    </w:div>
    <w:div w:id="1148090385">
      <w:marLeft w:val="0"/>
      <w:marRight w:val="0"/>
      <w:marTop w:val="0"/>
      <w:marBottom w:val="0"/>
      <w:divBdr>
        <w:top w:val="none" w:sz="0" w:space="0" w:color="auto"/>
        <w:left w:val="none" w:sz="0" w:space="0" w:color="auto"/>
        <w:bottom w:val="none" w:sz="0" w:space="0" w:color="auto"/>
        <w:right w:val="none" w:sz="0" w:space="0" w:color="auto"/>
      </w:divBdr>
    </w:div>
    <w:div w:id="1148396769">
      <w:marLeft w:val="0"/>
      <w:marRight w:val="0"/>
      <w:marTop w:val="0"/>
      <w:marBottom w:val="0"/>
      <w:divBdr>
        <w:top w:val="none" w:sz="0" w:space="0" w:color="auto"/>
        <w:left w:val="none" w:sz="0" w:space="0" w:color="auto"/>
        <w:bottom w:val="none" w:sz="0" w:space="0" w:color="auto"/>
        <w:right w:val="none" w:sz="0" w:space="0" w:color="auto"/>
      </w:divBdr>
    </w:div>
    <w:div w:id="1149785644">
      <w:marLeft w:val="0"/>
      <w:marRight w:val="0"/>
      <w:marTop w:val="0"/>
      <w:marBottom w:val="0"/>
      <w:divBdr>
        <w:top w:val="none" w:sz="0" w:space="0" w:color="auto"/>
        <w:left w:val="none" w:sz="0" w:space="0" w:color="auto"/>
        <w:bottom w:val="none" w:sz="0" w:space="0" w:color="auto"/>
        <w:right w:val="none" w:sz="0" w:space="0" w:color="auto"/>
      </w:divBdr>
    </w:div>
    <w:div w:id="1150710470">
      <w:marLeft w:val="0"/>
      <w:marRight w:val="0"/>
      <w:marTop w:val="0"/>
      <w:marBottom w:val="0"/>
      <w:divBdr>
        <w:top w:val="none" w:sz="0" w:space="0" w:color="auto"/>
        <w:left w:val="none" w:sz="0" w:space="0" w:color="auto"/>
        <w:bottom w:val="none" w:sz="0" w:space="0" w:color="auto"/>
        <w:right w:val="none" w:sz="0" w:space="0" w:color="auto"/>
      </w:divBdr>
    </w:div>
    <w:div w:id="1151286802">
      <w:marLeft w:val="0"/>
      <w:marRight w:val="0"/>
      <w:marTop w:val="0"/>
      <w:marBottom w:val="0"/>
      <w:divBdr>
        <w:top w:val="none" w:sz="0" w:space="0" w:color="auto"/>
        <w:left w:val="none" w:sz="0" w:space="0" w:color="auto"/>
        <w:bottom w:val="none" w:sz="0" w:space="0" w:color="auto"/>
        <w:right w:val="none" w:sz="0" w:space="0" w:color="auto"/>
      </w:divBdr>
    </w:div>
    <w:div w:id="1151366446">
      <w:marLeft w:val="0"/>
      <w:marRight w:val="0"/>
      <w:marTop w:val="0"/>
      <w:marBottom w:val="0"/>
      <w:divBdr>
        <w:top w:val="none" w:sz="0" w:space="0" w:color="auto"/>
        <w:left w:val="none" w:sz="0" w:space="0" w:color="auto"/>
        <w:bottom w:val="none" w:sz="0" w:space="0" w:color="auto"/>
        <w:right w:val="none" w:sz="0" w:space="0" w:color="auto"/>
      </w:divBdr>
    </w:div>
    <w:div w:id="1151866452">
      <w:marLeft w:val="0"/>
      <w:marRight w:val="0"/>
      <w:marTop w:val="0"/>
      <w:marBottom w:val="0"/>
      <w:divBdr>
        <w:top w:val="none" w:sz="0" w:space="0" w:color="auto"/>
        <w:left w:val="none" w:sz="0" w:space="0" w:color="auto"/>
        <w:bottom w:val="none" w:sz="0" w:space="0" w:color="auto"/>
        <w:right w:val="none" w:sz="0" w:space="0" w:color="auto"/>
      </w:divBdr>
    </w:div>
    <w:div w:id="1151867570">
      <w:marLeft w:val="0"/>
      <w:marRight w:val="0"/>
      <w:marTop w:val="0"/>
      <w:marBottom w:val="0"/>
      <w:divBdr>
        <w:top w:val="none" w:sz="0" w:space="0" w:color="auto"/>
        <w:left w:val="none" w:sz="0" w:space="0" w:color="auto"/>
        <w:bottom w:val="none" w:sz="0" w:space="0" w:color="auto"/>
        <w:right w:val="none" w:sz="0" w:space="0" w:color="auto"/>
      </w:divBdr>
    </w:div>
    <w:div w:id="1152068018">
      <w:marLeft w:val="0"/>
      <w:marRight w:val="0"/>
      <w:marTop w:val="0"/>
      <w:marBottom w:val="0"/>
      <w:divBdr>
        <w:top w:val="none" w:sz="0" w:space="0" w:color="auto"/>
        <w:left w:val="none" w:sz="0" w:space="0" w:color="auto"/>
        <w:bottom w:val="none" w:sz="0" w:space="0" w:color="auto"/>
        <w:right w:val="none" w:sz="0" w:space="0" w:color="auto"/>
      </w:divBdr>
    </w:div>
    <w:div w:id="1152405000">
      <w:marLeft w:val="0"/>
      <w:marRight w:val="0"/>
      <w:marTop w:val="0"/>
      <w:marBottom w:val="0"/>
      <w:divBdr>
        <w:top w:val="none" w:sz="0" w:space="0" w:color="auto"/>
        <w:left w:val="none" w:sz="0" w:space="0" w:color="auto"/>
        <w:bottom w:val="none" w:sz="0" w:space="0" w:color="auto"/>
        <w:right w:val="none" w:sz="0" w:space="0" w:color="auto"/>
      </w:divBdr>
    </w:div>
    <w:div w:id="1152597518">
      <w:marLeft w:val="0"/>
      <w:marRight w:val="0"/>
      <w:marTop w:val="0"/>
      <w:marBottom w:val="0"/>
      <w:divBdr>
        <w:top w:val="none" w:sz="0" w:space="0" w:color="auto"/>
        <w:left w:val="none" w:sz="0" w:space="0" w:color="auto"/>
        <w:bottom w:val="none" w:sz="0" w:space="0" w:color="auto"/>
        <w:right w:val="none" w:sz="0" w:space="0" w:color="auto"/>
      </w:divBdr>
    </w:div>
    <w:div w:id="1152597551">
      <w:marLeft w:val="0"/>
      <w:marRight w:val="0"/>
      <w:marTop w:val="0"/>
      <w:marBottom w:val="0"/>
      <w:divBdr>
        <w:top w:val="none" w:sz="0" w:space="0" w:color="auto"/>
        <w:left w:val="none" w:sz="0" w:space="0" w:color="auto"/>
        <w:bottom w:val="none" w:sz="0" w:space="0" w:color="auto"/>
        <w:right w:val="none" w:sz="0" w:space="0" w:color="auto"/>
      </w:divBdr>
    </w:div>
    <w:div w:id="1152671554">
      <w:marLeft w:val="0"/>
      <w:marRight w:val="0"/>
      <w:marTop w:val="0"/>
      <w:marBottom w:val="0"/>
      <w:divBdr>
        <w:top w:val="none" w:sz="0" w:space="0" w:color="auto"/>
        <w:left w:val="none" w:sz="0" w:space="0" w:color="auto"/>
        <w:bottom w:val="none" w:sz="0" w:space="0" w:color="auto"/>
        <w:right w:val="none" w:sz="0" w:space="0" w:color="auto"/>
      </w:divBdr>
    </w:div>
    <w:div w:id="1152677541">
      <w:marLeft w:val="0"/>
      <w:marRight w:val="0"/>
      <w:marTop w:val="0"/>
      <w:marBottom w:val="0"/>
      <w:divBdr>
        <w:top w:val="none" w:sz="0" w:space="0" w:color="auto"/>
        <w:left w:val="none" w:sz="0" w:space="0" w:color="auto"/>
        <w:bottom w:val="none" w:sz="0" w:space="0" w:color="auto"/>
        <w:right w:val="none" w:sz="0" w:space="0" w:color="auto"/>
      </w:divBdr>
    </w:div>
    <w:div w:id="1152910038">
      <w:marLeft w:val="0"/>
      <w:marRight w:val="0"/>
      <w:marTop w:val="0"/>
      <w:marBottom w:val="0"/>
      <w:divBdr>
        <w:top w:val="none" w:sz="0" w:space="0" w:color="auto"/>
        <w:left w:val="none" w:sz="0" w:space="0" w:color="auto"/>
        <w:bottom w:val="none" w:sz="0" w:space="0" w:color="auto"/>
        <w:right w:val="none" w:sz="0" w:space="0" w:color="auto"/>
      </w:divBdr>
    </w:div>
    <w:div w:id="1153058029">
      <w:marLeft w:val="0"/>
      <w:marRight w:val="0"/>
      <w:marTop w:val="0"/>
      <w:marBottom w:val="0"/>
      <w:divBdr>
        <w:top w:val="none" w:sz="0" w:space="0" w:color="auto"/>
        <w:left w:val="none" w:sz="0" w:space="0" w:color="auto"/>
        <w:bottom w:val="none" w:sz="0" w:space="0" w:color="auto"/>
        <w:right w:val="none" w:sz="0" w:space="0" w:color="auto"/>
      </w:divBdr>
    </w:div>
    <w:div w:id="1153638922">
      <w:marLeft w:val="0"/>
      <w:marRight w:val="0"/>
      <w:marTop w:val="100"/>
      <w:marBottom w:val="100"/>
      <w:divBdr>
        <w:top w:val="none" w:sz="0" w:space="0" w:color="auto"/>
        <w:left w:val="none" w:sz="0" w:space="0" w:color="auto"/>
        <w:bottom w:val="none" w:sz="0" w:space="0" w:color="auto"/>
        <w:right w:val="none" w:sz="0" w:space="0" w:color="auto"/>
      </w:divBdr>
      <w:divsChild>
        <w:div w:id="1875455842">
          <w:marLeft w:val="0"/>
          <w:marRight w:val="0"/>
          <w:marTop w:val="0"/>
          <w:marBottom w:val="0"/>
          <w:divBdr>
            <w:top w:val="none" w:sz="0" w:space="0" w:color="auto"/>
            <w:left w:val="none" w:sz="0" w:space="0" w:color="auto"/>
            <w:bottom w:val="none" w:sz="0" w:space="0" w:color="auto"/>
            <w:right w:val="none" w:sz="0" w:space="0" w:color="auto"/>
          </w:divBdr>
        </w:div>
        <w:div w:id="1404136340">
          <w:marLeft w:val="0"/>
          <w:marRight w:val="0"/>
          <w:marTop w:val="0"/>
          <w:marBottom w:val="0"/>
          <w:divBdr>
            <w:top w:val="none" w:sz="0" w:space="0" w:color="auto"/>
            <w:left w:val="none" w:sz="0" w:space="0" w:color="auto"/>
            <w:bottom w:val="none" w:sz="0" w:space="0" w:color="auto"/>
            <w:right w:val="none" w:sz="0" w:space="0" w:color="auto"/>
          </w:divBdr>
        </w:div>
      </w:divsChild>
    </w:div>
    <w:div w:id="1154418519">
      <w:marLeft w:val="0"/>
      <w:marRight w:val="0"/>
      <w:marTop w:val="0"/>
      <w:marBottom w:val="0"/>
      <w:divBdr>
        <w:top w:val="none" w:sz="0" w:space="0" w:color="auto"/>
        <w:left w:val="none" w:sz="0" w:space="0" w:color="auto"/>
        <w:bottom w:val="none" w:sz="0" w:space="0" w:color="auto"/>
        <w:right w:val="none" w:sz="0" w:space="0" w:color="auto"/>
      </w:divBdr>
    </w:div>
    <w:div w:id="1157185757">
      <w:marLeft w:val="0"/>
      <w:marRight w:val="0"/>
      <w:marTop w:val="0"/>
      <w:marBottom w:val="0"/>
      <w:divBdr>
        <w:top w:val="none" w:sz="0" w:space="0" w:color="auto"/>
        <w:left w:val="none" w:sz="0" w:space="0" w:color="auto"/>
        <w:bottom w:val="none" w:sz="0" w:space="0" w:color="auto"/>
        <w:right w:val="none" w:sz="0" w:space="0" w:color="auto"/>
      </w:divBdr>
    </w:div>
    <w:div w:id="1157381304">
      <w:marLeft w:val="0"/>
      <w:marRight w:val="0"/>
      <w:marTop w:val="0"/>
      <w:marBottom w:val="0"/>
      <w:divBdr>
        <w:top w:val="none" w:sz="0" w:space="0" w:color="auto"/>
        <w:left w:val="none" w:sz="0" w:space="0" w:color="auto"/>
        <w:bottom w:val="none" w:sz="0" w:space="0" w:color="auto"/>
        <w:right w:val="none" w:sz="0" w:space="0" w:color="auto"/>
      </w:divBdr>
    </w:div>
    <w:div w:id="1158038898">
      <w:marLeft w:val="0"/>
      <w:marRight w:val="0"/>
      <w:marTop w:val="0"/>
      <w:marBottom w:val="0"/>
      <w:divBdr>
        <w:top w:val="none" w:sz="0" w:space="0" w:color="auto"/>
        <w:left w:val="none" w:sz="0" w:space="0" w:color="auto"/>
        <w:bottom w:val="none" w:sz="0" w:space="0" w:color="auto"/>
        <w:right w:val="none" w:sz="0" w:space="0" w:color="auto"/>
      </w:divBdr>
    </w:div>
    <w:div w:id="1159540222">
      <w:marLeft w:val="0"/>
      <w:marRight w:val="0"/>
      <w:marTop w:val="0"/>
      <w:marBottom w:val="0"/>
      <w:divBdr>
        <w:top w:val="none" w:sz="0" w:space="0" w:color="auto"/>
        <w:left w:val="none" w:sz="0" w:space="0" w:color="auto"/>
        <w:bottom w:val="none" w:sz="0" w:space="0" w:color="auto"/>
        <w:right w:val="none" w:sz="0" w:space="0" w:color="auto"/>
      </w:divBdr>
    </w:div>
    <w:div w:id="1159611794">
      <w:marLeft w:val="0"/>
      <w:marRight w:val="0"/>
      <w:marTop w:val="0"/>
      <w:marBottom w:val="0"/>
      <w:divBdr>
        <w:top w:val="none" w:sz="0" w:space="0" w:color="auto"/>
        <w:left w:val="none" w:sz="0" w:space="0" w:color="auto"/>
        <w:bottom w:val="none" w:sz="0" w:space="0" w:color="auto"/>
        <w:right w:val="none" w:sz="0" w:space="0" w:color="auto"/>
      </w:divBdr>
    </w:div>
    <w:div w:id="1159927446">
      <w:marLeft w:val="0"/>
      <w:marRight w:val="0"/>
      <w:marTop w:val="0"/>
      <w:marBottom w:val="0"/>
      <w:divBdr>
        <w:top w:val="none" w:sz="0" w:space="0" w:color="auto"/>
        <w:left w:val="none" w:sz="0" w:space="0" w:color="auto"/>
        <w:bottom w:val="none" w:sz="0" w:space="0" w:color="auto"/>
        <w:right w:val="none" w:sz="0" w:space="0" w:color="auto"/>
      </w:divBdr>
    </w:div>
    <w:div w:id="1160270814">
      <w:marLeft w:val="0"/>
      <w:marRight w:val="0"/>
      <w:marTop w:val="0"/>
      <w:marBottom w:val="0"/>
      <w:divBdr>
        <w:top w:val="none" w:sz="0" w:space="0" w:color="auto"/>
        <w:left w:val="none" w:sz="0" w:space="0" w:color="auto"/>
        <w:bottom w:val="none" w:sz="0" w:space="0" w:color="auto"/>
        <w:right w:val="none" w:sz="0" w:space="0" w:color="auto"/>
      </w:divBdr>
    </w:div>
    <w:div w:id="1160343904">
      <w:marLeft w:val="0"/>
      <w:marRight w:val="0"/>
      <w:marTop w:val="0"/>
      <w:marBottom w:val="0"/>
      <w:divBdr>
        <w:top w:val="none" w:sz="0" w:space="0" w:color="auto"/>
        <w:left w:val="none" w:sz="0" w:space="0" w:color="auto"/>
        <w:bottom w:val="none" w:sz="0" w:space="0" w:color="auto"/>
        <w:right w:val="none" w:sz="0" w:space="0" w:color="auto"/>
      </w:divBdr>
    </w:div>
    <w:div w:id="1161848990">
      <w:marLeft w:val="0"/>
      <w:marRight w:val="0"/>
      <w:marTop w:val="0"/>
      <w:marBottom w:val="0"/>
      <w:divBdr>
        <w:top w:val="none" w:sz="0" w:space="0" w:color="auto"/>
        <w:left w:val="none" w:sz="0" w:space="0" w:color="auto"/>
        <w:bottom w:val="none" w:sz="0" w:space="0" w:color="auto"/>
        <w:right w:val="none" w:sz="0" w:space="0" w:color="auto"/>
      </w:divBdr>
    </w:div>
    <w:div w:id="1162431567">
      <w:marLeft w:val="0"/>
      <w:marRight w:val="0"/>
      <w:marTop w:val="0"/>
      <w:marBottom w:val="0"/>
      <w:divBdr>
        <w:top w:val="none" w:sz="0" w:space="0" w:color="auto"/>
        <w:left w:val="none" w:sz="0" w:space="0" w:color="auto"/>
        <w:bottom w:val="none" w:sz="0" w:space="0" w:color="auto"/>
        <w:right w:val="none" w:sz="0" w:space="0" w:color="auto"/>
      </w:divBdr>
    </w:div>
    <w:div w:id="1163009462">
      <w:marLeft w:val="0"/>
      <w:marRight w:val="0"/>
      <w:marTop w:val="0"/>
      <w:marBottom w:val="0"/>
      <w:divBdr>
        <w:top w:val="none" w:sz="0" w:space="0" w:color="auto"/>
        <w:left w:val="none" w:sz="0" w:space="0" w:color="auto"/>
        <w:bottom w:val="none" w:sz="0" w:space="0" w:color="auto"/>
        <w:right w:val="none" w:sz="0" w:space="0" w:color="auto"/>
      </w:divBdr>
    </w:div>
    <w:div w:id="1163468393">
      <w:marLeft w:val="0"/>
      <w:marRight w:val="0"/>
      <w:marTop w:val="0"/>
      <w:marBottom w:val="0"/>
      <w:divBdr>
        <w:top w:val="none" w:sz="0" w:space="0" w:color="auto"/>
        <w:left w:val="none" w:sz="0" w:space="0" w:color="auto"/>
        <w:bottom w:val="none" w:sz="0" w:space="0" w:color="auto"/>
        <w:right w:val="none" w:sz="0" w:space="0" w:color="auto"/>
      </w:divBdr>
    </w:div>
    <w:div w:id="1163859998">
      <w:marLeft w:val="0"/>
      <w:marRight w:val="0"/>
      <w:marTop w:val="0"/>
      <w:marBottom w:val="0"/>
      <w:divBdr>
        <w:top w:val="none" w:sz="0" w:space="0" w:color="auto"/>
        <w:left w:val="none" w:sz="0" w:space="0" w:color="auto"/>
        <w:bottom w:val="none" w:sz="0" w:space="0" w:color="auto"/>
        <w:right w:val="none" w:sz="0" w:space="0" w:color="auto"/>
      </w:divBdr>
    </w:div>
    <w:div w:id="1165363529">
      <w:marLeft w:val="0"/>
      <w:marRight w:val="0"/>
      <w:marTop w:val="0"/>
      <w:marBottom w:val="0"/>
      <w:divBdr>
        <w:top w:val="none" w:sz="0" w:space="0" w:color="auto"/>
        <w:left w:val="none" w:sz="0" w:space="0" w:color="auto"/>
        <w:bottom w:val="none" w:sz="0" w:space="0" w:color="auto"/>
        <w:right w:val="none" w:sz="0" w:space="0" w:color="auto"/>
      </w:divBdr>
      <w:divsChild>
        <w:div w:id="1709451819">
          <w:marLeft w:val="0"/>
          <w:marRight w:val="0"/>
          <w:marTop w:val="0"/>
          <w:marBottom w:val="0"/>
          <w:divBdr>
            <w:top w:val="none" w:sz="0" w:space="0" w:color="auto"/>
            <w:left w:val="none" w:sz="0" w:space="0" w:color="auto"/>
            <w:bottom w:val="none" w:sz="0" w:space="0" w:color="auto"/>
            <w:right w:val="none" w:sz="0" w:space="0" w:color="auto"/>
          </w:divBdr>
        </w:div>
      </w:divsChild>
    </w:div>
    <w:div w:id="1165710563">
      <w:marLeft w:val="0"/>
      <w:marRight w:val="0"/>
      <w:marTop w:val="0"/>
      <w:marBottom w:val="0"/>
      <w:divBdr>
        <w:top w:val="none" w:sz="0" w:space="0" w:color="auto"/>
        <w:left w:val="none" w:sz="0" w:space="0" w:color="auto"/>
        <w:bottom w:val="none" w:sz="0" w:space="0" w:color="auto"/>
        <w:right w:val="none" w:sz="0" w:space="0" w:color="auto"/>
      </w:divBdr>
    </w:div>
    <w:div w:id="1165898848">
      <w:marLeft w:val="0"/>
      <w:marRight w:val="0"/>
      <w:marTop w:val="0"/>
      <w:marBottom w:val="0"/>
      <w:divBdr>
        <w:top w:val="none" w:sz="0" w:space="0" w:color="auto"/>
        <w:left w:val="none" w:sz="0" w:space="0" w:color="auto"/>
        <w:bottom w:val="none" w:sz="0" w:space="0" w:color="auto"/>
        <w:right w:val="none" w:sz="0" w:space="0" w:color="auto"/>
      </w:divBdr>
    </w:div>
    <w:div w:id="1166826695">
      <w:marLeft w:val="0"/>
      <w:marRight w:val="0"/>
      <w:marTop w:val="0"/>
      <w:marBottom w:val="0"/>
      <w:divBdr>
        <w:top w:val="none" w:sz="0" w:space="0" w:color="auto"/>
        <w:left w:val="none" w:sz="0" w:space="0" w:color="auto"/>
        <w:bottom w:val="none" w:sz="0" w:space="0" w:color="auto"/>
        <w:right w:val="none" w:sz="0" w:space="0" w:color="auto"/>
      </w:divBdr>
    </w:div>
    <w:div w:id="1168449371">
      <w:marLeft w:val="0"/>
      <w:marRight w:val="0"/>
      <w:marTop w:val="0"/>
      <w:marBottom w:val="0"/>
      <w:divBdr>
        <w:top w:val="none" w:sz="0" w:space="0" w:color="auto"/>
        <w:left w:val="none" w:sz="0" w:space="0" w:color="auto"/>
        <w:bottom w:val="none" w:sz="0" w:space="0" w:color="auto"/>
        <w:right w:val="none" w:sz="0" w:space="0" w:color="auto"/>
      </w:divBdr>
    </w:div>
    <w:div w:id="1168638276">
      <w:marLeft w:val="0"/>
      <w:marRight w:val="0"/>
      <w:marTop w:val="0"/>
      <w:marBottom w:val="0"/>
      <w:divBdr>
        <w:top w:val="none" w:sz="0" w:space="0" w:color="auto"/>
        <w:left w:val="none" w:sz="0" w:space="0" w:color="auto"/>
        <w:bottom w:val="none" w:sz="0" w:space="0" w:color="auto"/>
        <w:right w:val="none" w:sz="0" w:space="0" w:color="auto"/>
      </w:divBdr>
    </w:div>
    <w:div w:id="1168791035">
      <w:marLeft w:val="0"/>
      <w:marRight w:val="0"/>
      <w:marTop w:val="100"/>
      <w:marBottom w:val="100"/>
      <w:divBdr>
        <w:top w:val="none" w:sz="0" w:space="0" w:color="auto"/>
        <w:left w:val="none" w:sz="0" w:space="0" w:color="auto"/>
        <w:bottom w:val="none" w:sz="0" w:space="0" w:color="auto"/>
        <w:right w:val="none" w:sz="0" w:space="0" w:color="auto"/>
      </w:divBdr>
      <w:divsChild>
        <w:div w:id="1429616849">
          <w:marLeft w:val="0"/>
          <w:marRight w:val="0"/>
          <w:marTop w:val="0"/>
          <w:marBottom w:val="0"/>
          <w:divBdr>
            <w:top w:val="none" w:sz="0" w:space="0" w:color="auto"/>
            <w:left w:val="none" w:sz="0" w:space="0" w:color="auto"/>
            <w:bottom w:val="none" w:sz="0" w:space="0" w:color="auto"/>
            <w:right w:val="none" w:sz="0" w:space="0" w:color="auto"/>
          </w:divBdr>
        </w:div>
        <w:div w:id="824395026">
          <w:marLeft w:val="0"/>
          <w:marRight w:val="0"/>
          <w:marTop w:val="0"/>
          <w:marBottom w:val="0"/>
          <w:divBdr>
            <w:top w:val="none" w:sz="0" w:space="0" w:color="auto"/>
            <w:left w:val="none" w:sz="0" w:space="0" w:color="auto"/>
            <w:bottom w:val="none" w:sz="0" w:space="0" w:color="auto"/>
            <w:right w:val="none" w:sz="0" w:space="0" w:color="auto"/>
          </w:divBdr>
        </w:div>
      </w:divsChild>
    </w:div>
    <w:div w:id="1171488248">
      <w:marLeft w:val="0"/>
      <w:marRight w:val="0"/>
      <w:marTop w:val="0"/>
      <w:marBottom w:val="0"/>
      <w:divBdr>
        <w:top w:val="none" w:sz="0" w:space="0" w:color="auto"/>
        <w:left w:val="none" w:sz="0" w:space="0" w:color="auto"/>
        <w:bottom w:val="none" w:sz="0" w:space="0" w:color="auto"/>
        <w:right w:val="none" w:sz="0" w:space="0" w:color="auto"/>
      </w:divBdr>
    </w:div>
    <w:div w:id="1171523865">
      <w:marLeft w:val="0"/>
      <w:marRight w:val="0"/>
      <w:marTop w:val="0"/>
      <w:marBottom w:val="0"/>
      <w:divBdr>
        <w:top w:val="none" w:sz="0" w:space="0" w:color="auto"/>
        <w:left w:val="none" w:sz="0" w:space="0" w:color="auto"/>
        <w:bottom w:val="none" w:sz="0" w:space="0" w:color="auto"/>
        <w:right w:val="none" w:sz="0" w:space="0" w:color="auto"/>
      </w:divBdr>
    </w:div>
    <w:div w:id="1172186041">
      <w:marLeft w:val="0"/>
      <w:marRight w:val="0"/>
      <w:marTop w:val="0"/>
      <w:marBottom w:val="0"/>
      <w:divBdr>
        <w:top w:val="none" w:sz="0" w:space="0" w:color="auto"/>
        <w:left w:val="none" w:sz="0" w:space="0" w:color="auto"/>
        <w:bottom w:val="none" w:sz="0" w:space="0" w:color="auto"/>
        <w:right w:val="none" w:sz="0" w:space="0" w:color="auto"/>
      </w:divBdr>
    </w:div>
    <w:div w:id="1172840179">
      <w:marLeft w:val="0"/>
      <w:marRight w:val="0"/>
      <w:marTop w:val="0"/>
      <w:marBottom w:val="0"/>
      <w:divBdr>
        <w:top w:val="none" w:sz="0" w:space="0" w:color="auto"/>
        <w:left w:val="none" w:sz="0" w:space="0" w:color="auto"/>
        <w:bottom w:val="none" w:sz="0" w:space="0" w:color="auto"/>
        <w:right w:val="none" w:sz="0" w:space="0" w:color="auto"/>
      </w:divBdr>
    </w:div>
    <w:div w:id="1175072019">
      <w:marLeft w:val="0"/>
      <w:marRight w:val="0"/>
      <w:marTop w:val="0"/>
      <w:marBottom w:val="0"/>
      <w:divBdr>
        <w:top w:val="none" w:sz="0" w:space="0" w:color="auto"/>
        <w:left w:val="none" w:sz="0" w:space="0" w:color="auto"/>
        <w:bottom w:val="none" w:sz="0" w:space="0" w:color="auto"/>
        <w:right w:val="none" w:sz="0" w:space="0" w:color="auto"/>
      </w:divBdr>
    </w:div>
    <w:div w:id="1175532491">
      <w:marLeft w:val="0"/>
      <w:marRight w:val="0"/>
      <w:marTop w:val="0"/>
      <w:marBottom w:val="0"/>
      <w:divBdr>
        <w:top w:val="none" w:sz="0" w:space="0" w:color="auto"/>
        <w:left w:val="none" w:sz="0" w:space="0" w:color="auto"/>
        <w:bottom w:val="none" w:sz="0" w:space="0" w:color="auto"/>
        <w:right w:val="none" w:sz="0" w:space="0" w:color="auto"/>
      </w:divBdr>
    </w:div>
    <w:div w:id="1175922536">
      <w:marLeft w:val="0"/>
      <w:marRight w:val="0"/>
      <w:marTop w:val="100"/>
      <w:marBottom w:val="120"/>
      <w:divBdr>
        <w:top w:val="none" w:sz="0" w:space="0" w:color="auto"/>
        <w:left w:val="none" w:sz="0" w:space="0" w:color="auto"/>
        <w:bottom w:val="none" w:sz="0" w:space="0" w:color="auto"/>
        <w:right w:val="none" w:sz="0" w:space="0" w:color="auto"/>
      </w:divBdr>
      <w:divsChild>
        <w:div w:id="176315896">
          <w:marLeft w:val="0"/>
          <w:marRight w:val="0"/>
          <w:marTop w:val="0"/>
          <w:marBottom w:val="0"/>
          <w:divBdr>
            <w:top w:val="none" w:sz="0" w:space="0" w:color="auto"/>
            <w:left w:val="none" w:sz="0" w:space="0" w:color="auto"/>
            <w:bottom w:val="none" w:sz="0" w:space="0" w:color="auto"/>
            <w:right w:val="none" w:sz="0" w:space="0" w:color="auto"/>
          </w:divBdr>
        </w:div>
        <w:div w:id="147981291">
          <w:marLeft w:val="0"/>
          <w:marRight w:val="0"/>
          <w:marTop w:val="0"/>
          <w:marBottom w:val="0"/>
          <w:divBdr>
            <w:top w:val="none" w:sz="0" w:space="0" w:color="auto"/>
            <w:left w:val="none" w:sz="0" w:space="0" w:color="auto"/>
            <w:bottom w:val="none" w:sz="0" w:space="0" w:color="auto"/>
            <w:right w:val="none" w:sz="0" w:space="0" w:color="auto"/>
          </w:divBdr>
        </w:div>
        <w:div w:id="1693654411">
          <w:marLeft w:val="0"/>
          <w:marRight w:val="0"/>
          <w:marTop w:val="0"/>
          <w:marBottom w:val="0"/>
          <w:divBdr>
            <w:top w:val="none" w:sz="0" w:space="0" w:color="auto"/>
            <w:left w:val="none" w:sz="0" w:space="0" w:color="auto"/>
            <w:bottom w:val="none" w:sz="0" w:space="0" w:color="auto"/>
            <w:right w:val="none" w:sz="0" w:space="0" w:color="auto"/>
          </w:divBdr>
        </w:div>
        <w:div w:id="1818718407">
          <w:marLeft w:val="0"/>
          <w:marRight w:val="0"/>
          <w:marTop w:val="0"/>
          <w:marBottom w:val="0"/>
          <w:divBdr>
            <w:top w:val="none" w:sz="0" w:space="0" w:color="auto"/>
            <w:left w:val="none" w:sz="0" w:space="0" w:color="auto"/>
            <w:bottom w:val="none" w:sz="0" w:space="0" w:color="auto"/>
            <w:right w:val="none" w:sz="0" w:space="0" w:color="auto"/>
          </w:divBdr>
        </w:div>
        <w:div w:id="784278338">
          <w:marLeft w:val="0"/>
          <w:marRight w:val="0"/>
          <w:marTop w:val="0"/>
          <w:marBottom w:val="0"/>
          <w:divBdr>
            <w:top w:val="none" w:sz="0" w:space="0" w:color="auto"/>
            <w:left w:val="none" w:sz="0" w:space="0" w:color="auto"/>
            <w:bottom w:val="none" w:sz="0" w:space="0" w:color="auto"/>
            <w:right w:val="none" w:sz="0" w:space="0" w:color="auto"/>
          </w:divBdr>
        </w:div>
        <w:div w:id="1078594782">
          <w:marLeft w:val="0"/>
          <w:marRight w:val="0"/>
          <w:marTop w:val="0"/>
          <w:marBottom w:val="0"/>
          <w:divBdr>
            <w:top w:val="none" w:sz="0" w:space="0" w:color="auto"/>
            <w:left w:val="none" w:sz="0" w:space="0" w:color="auto"/>
            <w:bottom w:val="none" w:sz="0" w:space="0" w:color="auto"/>
            <w:right w:val="none" w:sz="0" w:space="0" w:color="auto"/>
          </w:divBdr>
        </w:div>
      </w:divsChild>
    </w:div>
    <w:div w:id="1178085532">
      <w:marLeft w:val="0"/>
      <w:marRight w:val="0"/>
      <w:marTop w:val="0"/>
      <w:marBottom w:val="0"/>
      <w:divBdr>
        <w:top w:val="none" w:sz="0" w:space="0" w:color="auto"/>
        <w:left w:val="none" w:sz="0" w:space="0" w:color="auto"/>
        <w:bottom w:val="none" w:sz="0" w:space="0" w:color="auto"/>
        <w:right w:val="none" w:sz="0" w:space="0" w:color="auto"/>
      </w:divBdr>
    </w:div>
    <w:div w:id="1180047861">
      <w:marLeft w:val="0"/>
      <w:marRight w:val="0"/>
      <w:marTop w:val="100"/>
      <w:marBottom w:val="100"/>
      <w:divBdr>
        <w:top w:val="none" w:sz="0" w:space="0" w:color="auto"/>
        <w:left w:val="none" w:sz="0" w:space="0" w:color="auto"/>
        <w:bottom w:val="none" w:sz="0" w:space="0" w:color="auto"/>
        <w:right w:val="none" w:sz="0" w:space="0" w:color="auto"/>
      </w:divBdr>
    </w:div>
    <w:div w:id="1180435654">
      <w:marLeft w:val="0"/>
      <w:marRight w:val="0"/>
      <w:marTop w:val="0"/>
      <w:marBottom w:val="0"/>
      <w:divBdr>
        <w:top w:val="none" w:sz="0" w:space="0" w:color="auto"/>
        <w:left w:val="none" w:sz="0" w:space="0" w:color="auto"/>
        <w:bottom w:val="none" w:sz="0" w:space="0" w:color="auto"/>
        <w:right w:val="none" w:sz="0" w:space="0" w:color="auto"/>
      </w:divBdr>
    </w:div>
    <w:div w:id="1180924172">
      <w:marLeft w:val="0"/>
      <w:marRight w:val="0"/>
      <w:marTop w:val="0"/>
      <w:marBottom w:val="0"/>
      <w:divBdr>
        <w:top w:val="none" w:sz="0" w:space="0" w:color="auto"/>
        <w:left w:val="none" w:sz="0" w:space="0" w:color="auto"/>
        <w:bottom w:val="none" w:sz="0" w:space="0" w:color="auto"/>
        <w:right w:val="none" w:sz="0" w:space="0" w:color="auto"/>
      </w:divBdr>
    </w:div>
    <w:div w:id="1181162649">
      <w:marLeft w:val="0"/>
      <w:marRight w:val="0"/>
      <w:marTop w:val="0"/>
      <w:marBottom w:val="0"/>
      <w:divBdr>
        <w:top w:val="none" w:sz="0" w:space="0" w:color="auto"/>
        <w:left w:val="none" w:sz="0" w:space="0" w:color="auto"/>
        <w:bottom w:val="none" w:sz="0" w:space="0" w:color="auto"/>
        <w:right w:val="none" w:sz="0" w:space="0" w:color="auto"/>
      </w:divBdr>
    </w:div>
    <w:div w:id="1182476125">
      <w:marLeft w:val="0"/>
      <w:marRight w:val="0"/>
      <w:marTop w:val="0"/>
      <w:marBottom w:val="0"/>
      <w:divBdr>
        <w:top w:val="none" w:sz="0" w:space="0" w:color="auto"/>
        <w:left w:val="none" w:sz="0" w:space="0" w:color="auto"/>
        <w:bottom w:val="none" w:sz="0" w:space="0" w:color="auto"/>
        <w:right w:val="none" w:sz="0" w:space="0" w:color="auto"/>
      </w:divBdr>
    </w:div>
    <w:div w:id="1184323207">
      <w:marLeft w:val="0"/>
      <w:marRight w:val="0"/>
      <w:marTop w:val="0"/>
      <w:marBottom w:val="0"/>
      <w:divBdr>
        <w:top w:val="none" w:sz="0" w:space="0" w:color="auto"/>
        <w:left w:val="none" w:sz="0" w:space="0" w:color="auto"/>
        <w:bottom w:val="none" w:sz="0" w:space="0" w:color="auto"/>
        <w:right w:val="none" w:sz="0" w:space="0" w:color="auto"/>
      </w:divBdr>
      <w:divsChild>
        <w:div w:id="1684503933">
          <w:marLeft w:val="0"/>
          <w:marRight w:val="0"/>
          <w:marTop w:val="0"/>
          <w:marBottom w:val="0"/>
          <w:divBdr>
            <w:top w:val="none" w:sz="0" w:space="0" w:color="auto"/>
            <w:left w:val="none" w:sz="0" w:space="0" w:color="auto"/>
            <w:bottom w:val="none" w:sz="0" w:space="0" w:color="auto"/>
            <w:right w:val="none" w:sz="0" w:space="0" w:color="auto"/>
          </w:divBdr>
        </w:div>
      </w:divsChild>
    </w:div>
    <w:div w:id="1184588298">
      <w:marLeft w:val="0"/>
      <w:marRight w:val="0"/>
      <w:marTop w:val="0"/>
      <w:marBottom w:val="0"/>
      <w:divBdr>
        <w:top w:val="none" w:sz="0" w:space="0" w:color="auto"/>
        <w:left w:val="none" w:sz="0" w:space="0" w:color="auto"/>
        <w:bottom w:val="none" w:sz="0" w:space="0" w:color="auto"/>
        <w:right w:val="none" w:sz="0" w:space="0" w:color="auto"/>
      </w:divBdr>
    </w:div>
    <w:div w:id="1186747045">
      <w:marLeft w:val="0"/>
      <w:marRight w:val="0"/>
      <w:marTop w:val="0"/>
      <w:marBottom w:val="0"/>
      <w:divBdr>
        <w:top w:val="none" w:sz="0" w:space="0" w:color="auto"/>
        <w:left w:val="none" w:sz="0" w:space="0" w:color="auto"/>
        <w:bottom w:val="none" w:sz="0" w:space="0" w:color="auto"/>
        <w:right w:val="none" w:sz="0" w:space="0" w:color="auto"/>
      </w:divBdr>
      <w:divsChild>
        <w:div w:id="340546134">
          <w:marLeft w:val="0"/>
          <w:marRight w:val="0"/>
          <w:marTop w:val="0"/>
          <w:marBottom w:val="0"/>
          <w:divBdr>
            <w:top w:val="none" w:sz="0" w:space="0" w:color="auto"/>
            <w:left w:val="none" w:sz="0" w:space="0" w:color="auto"/>
            <w:bottom w:val="none" w:sz="0" w:space="0" w:color="auto"/>
            <w:right w:val="none" w:sz="0" w:space="0" w:color="auto"/>
          </w:divBdr>
        </w:div>
      </w:divsChild>
    </w:div>
    <w:div w:id="1188175153">
      <w:marLeft w:val="0"/>
      <w:marRight w:val="0"/>
      <w:marTop w:val="0"/>
      <w:marBottom w:val="0"/>
      <w:divBdr>
        <w:top w:val="none" w:sz="0" w:space="0" w:color="auto"/>
        <w:left w:val="none" w:sz="0" w:space="0" w:color="auto"/>
        <w:bottom w:val="none" w:sz="0" w:space="0" w:color="auto"/>
        <w:right w:val="none" w:sz="0" w:space="0" w:color="auto"/>
      </w:divBdr>
    </w:div>
    <w:div w:id="1189218650">
      <w:marLeft w:val="0"/>
      <w:marRight w:val="0"/>
      <w:marTop w:val="0"/>
      <w:marBottom w:val="0"/>
      <w:divBdr>
        <w:top w:val="none" w:sz="0" w:space="0" w:color="auto"/>
        <w:left w:val="none" w:sz="0" w:space="0" w:color="auto"/>
        <w:bottom w:val="none" w:sz="0" w:space="0" w:color="auto"/>
        <w:right w:val="none" w:sz="0" w:space="0" w:color="auto"/>
      </w:divBdr>
      <w:divsChild>
        <w:div w:id="2134789207">
          <w:marLeft w:val="0"/>
          <w:marRight w:val="0"/>
          <w:marTop w:val="0"/>
          <w:marBottom w:val="0"/>
          <w:divBdr>
            <w:top w:val="none" w:sz="0" w:space="0" w:color="auto"/>
            <w:left w:val="none" w:sz="0" w:space="0" w:color="auto"/>
            <w:bottom w:val="none" w:sz="0" w:space="0" w:color="auto"/>
            <w:right w:val="none" w:sz="0" w:space="0" w:color="auto"/>
          </w:divBdr>
        </w:div>
      </w:divsChild>
    </w:div>
    <w:div w:id="1189484255">
      <w:marLeft w:val="0"/>
      <w:marRight w:val="0"/>
      <w:marTop w:val="0"/>
      <w:marBottom w:val="0"/>
      <w:divBdr>
        <w:top w:val="none" w:sz="0" w:space="0" w:color="auto"/>
        <w:left w:val="none" w:sz="0" w:space="0" w:color="auto"/>
        <w:bottom w:val="none" w:sz="0" w:space="0" w:color="auto"/>
        <w:right w:val="none" w:sz="0" w:space="0" w:color="auto"/>
      </w:divBdr>
    </w:div>
    <w:div w:id="1190070506">
      <w:marLeft w:val="0"/>
      <w:marRight w:val="0"/>
      <w:marTop w:val="0"/>
      <w:marBottom w:val="0"/>
      <w:divBdr>
        <w:top w:val="none" w:sz="0" w:space="0" w:color="auto"/>
        <w:left w:val="none" w:sz="0" w:space="0" w:color="auto"/>
        <w:bottom w:val="none" w:sz="0" w:space="0" w:color="auto"/>
        <w:right w:val="none" w:sz="0" w:space="0" w:color="auto"/>
      </w:divBdr>
      <w:divsChild>
        <w:div w:id="1584100535">
          <w:marLeft w:val="0"/>
          <w:marRight w:val="0"/>
          <w:marTop w:val="0"/>
          <w:marBottom w:val="0"/>
          <w:divBdr>
            <w:top w:val="none" w:sz="0" w:space="0" w:color="auto"/>
            <w:left w:val="none" w:sz="0" w:space="0" w:color="auto"/>
            <w:bottom w:val="none" w:sz="0" w:space="0" w:color="auto"/>
            <w:right w:val="none" w:sz="0" w:space="0" w:color="auto"/>
          </w:divBdr>
        </w:div>
      </w:divsChild>
    </w:div>
    <w:div w:id="1191340956">
      <w:marLeft w:val="0"/>
      <w:marRight w:val="0"/>
      <w:marTop w:val="0"/>
      <w:marBottom w:val="0"/>
      <w:divBdr>
        <w:top w:val="none" w:sz="0" w:space="0" w:color="auto"/>
        <w:left w:val="none" w:sz="0" w:space="0" w:color="auto"/>
        <w:bottom w:val="none" w:sz="0" w:space="0" w:color="auto"/>
        <w:right w:val="none" w:sz="0" w:space="0" w:color="auto"/>
      </w:divBdr>
    </w:div>
    <w:div w:id="1192381345">
      <w:marLeft w:val="0"/>
      <w:marRight w:val="0"/>
      <w:marTop w:val="0"/>
      <w:marBottom w:val="0"/>
      <w:divBdr>
        <w:top w:val="none" w:sz="0" w:space="0" w:color="auto"/>
        <w:left w:val="none" w:sz="0" w:space="0" w:color="auto"/>
        <w:bottom w:val="none" w:sz="0" w:space="0" w:color="auto"/>
        <w:right w:val="none" w:sz="0" w:space="0" w:color="auto"/>
      </w:divBdr>
    </w:div>
    <w:div w:id="1192956111">
      <w:marLeft w:val="0"/>
      <w:marRight w:val="0"/>
      <w:marTop w:val="100"/>
      <w:marBottom w:val="100"/>
      <w:divBdr>
        <w:top w:val="none" w:sz="0" w:space="0" w:color="auto"/>
        <w:left w:val="none" w:sz="0" w:space="0" w:color="auto"/>
        <w:bottom w:val="none" w:sz="0" w:space="0" w:color="auto"/>
        <w:right w:val="none" w:sz="0" w:space="0" w:color="auto"/>
      </w:divBdr>
      <w:divsChild>
        <w:div w:id="1827041627">
          <w:marLeft w:val="0"/>
          <w:marRight w:val="0"/>
          <w:marTop w:val="0"/>
          <w:marBottom w:val="0"/>
          <w:divBdr>
            <w:top w:val="none" w:sz="0" w:space="0" w:color="auto"/>
            <w:left w:val="none" w:sz="0" w:space="0" w:color="auto"/>
            <w:bottom w:val="none" w:sz="0" w:space="0" w:color="auto"/>
            <w:right w:val="none" w:sz="0" w:space="0" w:color="auto"/>
          </w:divBdr>
        </w:div>
      </w:divsChild>
    </w:div>
    <w:div w:id="1193179869">
      <w:marLeft w:val="0"/>
      <w:marRight w:val="0"/>
      <w:marTop w:val="0"/>
      <w:marBottom w:val="0"/>
      <w:divBdr>
        <w:top w:val="none" w:sz="0" w:space="0" w:color="auto"/>
        <w:left w:val="none" w:sz="0" w:space="0" w:color="auto"/>
        <w:bottom w:val="none" w:sz="0" w:space="0" w:color="auto"/>
        <w:right w:val="none" w:sz="0" w:space="0" w:color="auto"/>
      </w:divBdr>
    </w:div>
    <w:div w:id="1193958530">
      <w:marLeft w:val="0"/>
      <w:marRight w:val="0"/>
      <w:marTop w:val="100"/>
      <w:marBottom w:val="100"/>
      <w:divBdr>
        <w:top w:val="none" w:sz="0" w:space="0" w:color="auto"/>
        <w:left w:val="none" w:sz="0" w:space="0" w:color="auto"/>
        <w:bottom w:val="none" w:sz="0" w:space="0" w:color="auto"/>
        <w:right w:val="none" w:sz="0" w:space="0" w:color="auto"/>
      </w:divBdr>
      <w:divsChild>
        <w:div w:id="916136089">
          <w:marLeft w:val="0"/>
          <w:marRight w:val="0"/>
          <w:marTop w:val="0"/>
          <w:marBottom w:val="0"/>
          <w:divBdr>
            <w:top w:val="none" w:sz="0" w:space="0" w:color="auto"/>
            <w:left w:val="none" w:sz="0" w:space="0" w:color="auto"/>
            <w:bottom w:val="none" w:sz="0" w:space="0" w:color="auto"/>
            <w:right w:val="none" w:sz="0" w:space="0" w:color="auto"/>
          </w:divBdr>
        </w:div>
        <w:div w:id="599531070">
          <w:marLeft w:val="0"/>
          <w:marRight w:val="0"/>
          <w:marTop w:val="0"/>
          <w:marBottom w:val="0"/>
          <w:divBdr>
            <w:top w:val="none" w:sz="0" w:space="0" w:color="auto"/>
            <w:left w:val="none" w:sz="0" w:space="0" w:color="auto"/>
            <w:bottom w:val="none" w:sz="0" w:space="0" w:color="auto"/>
            <w:right w:val="none" w:sz="0" w:space="0" w:color="auto"/>
          </w:divBdr>
        </w:div>
      </w:divsChild>
    </w:div>
    <w:div w:id="1194149898">
      <w:marLeft w:val="0"/>
      <w:marRight w:val="0"/>
      <w:marTop w:val="0"/>
      <w:marBottom w:val="0"/>
      <w:divBdr>
        <w:top w:val="none" w:sz="0" w:space="0" w:color="auto"/>
        <w:left w:val="none" w:sz="0" w:space="0" w:color="auto"/>
        <w:bottom w:val="none" w:sz="0" w:space="0" w:color="auto"/>
        <w:right w:val="none" w:sz="0" w:space="0" w:color="auto"/>
      </w:divBdr>
    </w:div>
    <w:div w:id="1194346623">
      <w:marLeft w:val="0"/>
      <w:marRight w:val="0"/>
      <w:marTop w:val="0"/>
      <w:marBottom w:val="0"/>
      <w:divBdr>
        <w:top w:val="none" w:sz="0" w:space="0" w:color="auto"/>
        <w:left w:val="none" w:sz="0" w:space="0" w:color="auto"/>
        <w:bottom w:val="none" w:sz="0" w:space="0" w:color="auto"/>
        <w:right w:val="none" w:sz="0" w:space="0" w:color="auto"/>
      </w:divBdr>
    </w:div>
    <w:div w:id="1194996260">
      <w:marLeft w:val="0"/>
      <w:marRight w:val="0"/>
      <w:marTop w:val="0"/>
      <w:marBottom w:val="0"/>
      <w:divBdr>
        <w:top w:val="none" w:sz="0" w:space="0" w:color="auto"/>
        <w:left w:val="none" w:sz="0" w:space="0" w:color="auto"/>
        <w:bottom w:val="none" w:sz="0" w:space="0" w:color="auto"/>
        <w:right w:val="none" w:sz="0" w:space="0" w:color="auto"/>
      </w:divBdr>
    </w:div>
    <w:div w:id="1195466004">
      <w:marLeft w:val="0"/>
      <w:marRight w:val="0"/>
      <w:marTop w:val="0"/>
      <w:marBottom w:val="240"/>
      <w:divBdr>
        <w:top w:val="none" w:sz="0" w:space="0" w:color="auto"/>
        <w:left w:val="none" w:sz="0" w:space="0" w:color="auto"/>
        <w:bottom w:val="none" w:sz="0" w:space="0" w:color="auto"/>
        <w:right w:val="none" w:sz="0" w:space="0" w:color="auto"/>
      </w:divBdr>
    </w:div>
    <w:div w:id="1198004283">
      <w:marLeft w:val="0"/>
      <w:marRight w:val="0"/>
      <w:marTop w:val="0"/>
      <w:marBottom w:val="0"/>
      <w:divBdr>
        <w:top w:val="none" w:sz="0" w:space="0" w:color="auto"/>
        <w:left w:val="none" w:sz="0" w:space="0" w:color="auto"/>
        <w:bottom w:val="none" w:sz="0" w:space="0" w:color="auto"/>
        <w:right w:val="none" w:sz="0" w:space="0" w:color="auto"/>
      </w:divBdr>
    </w:div>
    <w:div w:id="1199127631">
      <w:marLeft w:val="0"/>
      <w:marRight w:val="0"/>
      <w:marTop w:val="0"/>
      <w:marBottom w:val="0"/>
      <w:divBdr>
        <w:top w:val="none" w:sz="0" w:space="0" w:color="auto"/>
        <w:left w:val="none" w:sz="0" w:space="0" w:color="auto"/>
        <w:bottom w:val="none" w:sz="0" w:space="0" w:color="auto"/>
        <w:right w:val="none" w:sz="0" w:space="0" w:color="auto"/>
      </w:divBdr>
    </w:div>
    <w:div w:id="1199319891">
      <w:marLeft w:val="0"/>
      <w:marRight w:val="0"/>
      <w:marTop w:val="0"/>
      <w:marBottom w:val="0"/>
      <w:divBdr>
        <w:top w:val="none" w:sz="0" w:space="0" w:color="auto"/>
        <w:left w:val="none" w:sz="0" w:space="0" w:color="auto"/>
        <w:bottom w:val="none" w:sz="0" w:space="0" w:color="auto"/>
        <w:right w:val="none" w:sz="0" w:space="0" w:color="auto"/>
      </w:divBdr>
    </w:div>
    <w:div w:id="1199709352">
      <w:marLeft w:val="0"/>
      <w:marRight w:val="0"/>
      <w:marTop w:val="0"/>
      <w:marBottom w:val="0"/>
      <w:divBdr>
        <w:top w:val="none" w:sz="0" w:space="0" w:color="auto"/>
        <w:left w:val="none" w:sz="0" w:space="0" w:color="auto"/>
        <w:bottom w:val="none" w:sz="0" w:space="0" w:color="auto"/>
        <w:right w:val="none" w:sz="0" w:space="0" w:color="auto"/>
      </w:divBdr>
    </w:div>
    <w:div w:id="1200241841">
      <w:marLeft w:val="0"/>
      <w:marRight w:val="0"/>
      <w:marTop w:val="0"/>
      <w:marBottom w:val="0"/>
      <w:divBdr>
        <w:top w:val="none" w:sz="0" w:space="0" w:color="auto"/>
        <w:left w:val="none" w:sz="0" w:space="0" w:color="auto"/>
        <w:bottom w:val="none" w:sz="0" w:space="0" w:color="auto"/>
        <w:right w:val="none" w:sz="0" w:space="0" w:color="auto"/>
      </w:divBdr>
      <w:divsChild>
        <w:div w:id="608855029">
          <w:marLeft w:val="0"/>
          <w:marRight w:val="0"/>
          <w:marTop w:val="0"/>
          <w:marBottom w:val="0"/>
          <w:divBdr>
            <w:top w:val="none" w:sz="0" w:space="0" w:color="auto"/>
            <w:left w:val="none" w:sz="0" w:space="0" w:color="auto"/>
            <w:bottom w:val="none" w:sz="0" w:space="0" w:color="auto"/>
            <w:right w:val="none" w:sz="0" w:space="0" w:color="auto"/>
          </w:divBdr>
        </w:div>
      </w:divsChild>
    </w:div>
    <w:div w:id="1200821287">
      <w:marLeft w:val="0"/>
      <w:marRight w:val="0"/>
      <w:marTop w:val="0"/>
      <w:marBottom w:val="0"/>
      <w:divBdr>
        <w:top w:val="none" w:sz="0" w:space="0" w:color="auto"/>
        <w:left w:val="none" w:sz="0" w:space="0" w:color="auto"/>
        <w:bottom w:val="none" w:sz="0" w:space="0" w:color="auto"/>
        <w:right w:val="none" w:sz="0" w:space="0" w:color="auto"/>
      </w:divBdr>
    </w:div>
    <w:div w:id="1200895425">
      <w:marLeft w:val="0"/>
      <w:marRight w:val="0"/>
      <w:marTop w:val="0"/>
      <w:marBottom w:val="0"/>
      <w:divBdr>
        <w:top w:val="none" w:sz="0" w:space="0" w:color="auto"/>
        <w:left w:val="none" w:sz="0" w:space="0" w:color="auto"/>
        <w:bottom w:val="none" w:sz="0" w:space="0" w:color="auto"/>
        <w:right w:val="none" w:sz="0" w:space="0" w:color="auto"/>
      </w:divBdr>
    </w:div>
    <w:div w:id="1200900678">
      <w:marLeft w:val="0"/>
      <w:marRight w:val="0"/>
      <w:marTop w:val="0"/>
      <w:marBottom w:val="0"/>
      <w:divBdr>
        <w:top w:val="none" w:sz="0" w:space="0" w:color="auto"/>
        <w:left w:val="none" w:sz="0" w:space="0" w:color="auto"/>
        <w:bottom w:val="none" w:sz="0" w:space="0" w:color="auto"/>
        <w:right w:val="none" w:sz="0" w:space="0" w:color="auto"/>
      </w:divBdr>
    </w:div>
    <w:div w:id="1201743099">
      <w:marLeft w:val="0"/>
      <w:marRight w:val="0"/>
      <w:marTop w:val="0"/>
      <w:marBottom w:val="0"/>
      <w:divBdr>
        <w:top w:val="none" w:sz="0" w:space="0" w:color="auto"/>
        <w:left w:val="none" w:sz="0" w:space="0" w:color="auto"/>
        <w:bottom w:val="none" w:sz="0" w:space="0" w:color="auto"/>
        <w:right w:val="none" w:sz="0" w:space="0" w:color="auto"/>
      </w:divBdr>
    </w:div>
    <w:div w:id="1202129999">
      <w:marLeft w:val="0"/>
      <w:marRight w:val="0"/>
      <w:marTop w:val="0"/>
      <w:marBottom w:val="0"/>
      <w:divBdr>
        <w:top w:val="none" w:sz="0" w:space="0" w:color="auto"/>
        <w:left w:val="none" w:sz="0" w:space="0" w:color="auto"/>
        <w:bottom w:val="none" w:sz="0" w:space="0" w:color="auto"/>
        <w:right w:val="none" w:sz="0" w:space="0" w:color="auto"/>
      </w:divBdr>
    </w:div>
    <w:div w:id="1203589095">
      <w:marLeft w:val="0"/>
      <w:marRight w:val="0"/>
      <w:marTop w:val="0"/>
      <w:marBottom w:val="0"/>
      <w:divBdr>
        <w:top w:val="none" w:sz="0" w:space="0" w:color="auto"/>
        <w:left w:val="none" w:sz="0" w:space="0" w:color="auto"/>
        <w:bottom w:val="none" w:sz="0" w:space="0" w:color="auto"/>
        <w:right w:val="none" w:sz="0" w:space="0" w:color="auto"/>
      </w:divBdr>
    </w:div>
    <w:div w:id="1204369124">
      <w:marLeft w:val="0"/>
      <w:marRight w:val="0"/>
      <w:marTop w:val="0"/>
      <w:marBottom w:val="0"/>
      <w:divBdr>
        <w:top w:val="none" w:sz="0" w:space="0" w:color="auto"/>
        <w:left w:val="none" w:sz="0" w:space="0" w:color="auto"/>
        <w:bottom w:val="none" w:sz="0" w:space="0" w:color="auto"/>
        <w:right w:val="none" w:sz="0" w:space="0" w:color="auto"/>
      </w:divBdr>
    </w:div>
    <w:div w:id="1205950388">
      <w:marLeft w:val="0"/>
      <w:marRight w:val="0"/>
      <w:marTop w:val="0"/>
      <w:marBottom w:val="0"/>
      <w:divBdr>
        <w:top w:val="none" w:sz="0" w:space="0" w:color="auto"/>
        <w:left w:val="none" w:sz="0" w:space="0" w:color="auto"/>
        <w:bottom w:val="none" w:sz="0" w:space="0" w:color="auto"/>
        <w:right w:val="none" w:sz="0" w:space="0" w:color="auto"/>
      </w:divBdr>
    </w:div>
    <w:div w:id="1206717055">
      <w:marLeft w:val="0"/>
      <w:marRight w:val="0"/>
      <w:marTop w:val="0"/>
      <w:marBottom w:val="0"/>
      <w:divBdr>
        <w:top w:val="none" w:sz="0" w:space="0" w:color="auto"/>
        <w:left w:val="none" w:sz="0" w:space="0" w:color="auto"/>
        <w:bottom w:val="none" w:sz="0" w:space="0" w:color="auto"/>
        <w:right w:val="none" w:sz="0" w:space="0" w:color="auto"/>
      </w:divBdr>
    </w:div>
    <w:div w:id="1207985592">
      <w:marLeft w:val="0"/>
      <w:marRight w:val="0"/>
      <w:marTop w:val="0"/>
      <w:marBottom w:val="0"/>
      <w:divBdr>
        <w:top w:val="none" w:sz="0" w:space="0" w:color="auto"/>
        <w:left w:val="none" w:sz="0" w:space="0" w:color="auto"/>
        <w:bottom w:val="none" w:sz="0" w:space="0" w:color="auto"/>
        <w:right w:val="none" w:sz="0" w:space="0" w:color="auto"/>
      </w:divBdr>
    </w:div>
    <w:div w:id="1208449253">
      <w:marLeft w:val="0"/>
      <w:marRight w:val="0"/>
      <w:marTop w:val="0"/>
      <w:marBottom w:val="0"/>
      <w:divBdr>
        <w:top w:val="none" w:sz="0" w:space="0" w:color="auto"/>
        <w:left w:val="none" w:sz="0" w:space="0" w:color="auto"/>
        <w:bottom w:val="none" w:sz="0" w:space="0" w:color="auto"/>
        <w:right w:val="none" w:sz="0" w:space="0" w:color="auto"/>
      </w:divBdr>
    </w:div>
    <w:div w:id="1208758957">
      <w:marLeft w:val="0"/>
      <w:marRight w:val="0"/>
      <w:marTop w:val="0"/>
      <w:marBottom w:val="0"/>
      <w:divBdr>
        <w:top w:val="none" w:sz="0" w:space="0" w:color="auto"/>
        <w:left w:val="none" w:sz="0" w:space="0" w:color="auto"/>
        <w:bottom w:val="none" w:sz="0" w:space="0" w:color="auto"/>
        <w:right w:val="none" w:sz="0" w:space="0" w:color="auto"/>
      </w:divBdr>
    </w:div>
    <w:div w:id="1209145869">
      <w:marLeft w:val="0"/>
      <w:marRight w:val="0"/>
      <w:marTop w:val="100"/>
      <w:marBottom w:val="100"/>
      <w:divBdr>
        <w:top w:val="none" w:sz="0" w:space="0" w:color="auto"/>
        <w:left w:val="none" w:sz="0" w:space="0" w:color="auto"/>
        <w:bottom w:val="none" w:sz="0" w:space="0" w:color="auto"/>
        <w:right w:val="none" w:sz="0" w:space="0" w:color="auto"/>
      </w:divBdr>
      <w:divsChild>
        <w:div w:id="1030496277">
          <w:marLeft w:val="0"/>
          <w:marRight w:val="0"/>
          <w:marTop w:val="0"/>
          <w:marBottom w:val="0"/>
          <w:divBdr>
            <w:top w:val="none" w:sz="0" w:space="0" w:color="auto"/>
            <w:left w:val="none" w:sz="0" w:space="0" w:color="auto"/>
            <w:bottom w:val="none" w:sz="0" w:space="0" w:color="auto"/>
            <w:right w:val="none" w:sz="0" w:space="0" w:color="auto"/>
          </w:divBdr>
        </w:div>
        <w:div w:id="1388530174">
          <w:marLeft w:val="0"/>
          <w:marRight w:val="0"/>
          <w:marTop w:val="0"/>
          <w:marBottom w:val="0"/>
          <w:divBdr>
            <w:top w:val="none" w:sz="0" w:space="0" w:color="auto"/>
            <w:left w:val="none" w:sz="0" w:space="0" w:color="auto"/>
            <w:bottom w:val="none" w:sz="0" w:space="0" w:color="auto"/>
            <w:right w:val="none" w:sz="0" w:space="0" w:color="auto"/>
          </w:divBdr>
        </w:div>
        <w:div w:id="875049097">
          <w:marLeft w:val="0"/>
          <w:marRight w:val="0"/>
          <w:marTop w:val="0"/>
          <w:marBottom w:val="0"/>
          <w:divBdr>
            <w:top w:val="none" w:sz="0" w:space="0" w:color="auto"/>
            <w:left w:val="none" w:sz="0" w:space="0" w:color="auto"/>
            <w:bottom w:val="none" w:sz="0" w:space="0" w:color="auto"/>
            <w:right w:val="none" w:sz="0" w:space="0" w:color="auto"/>
          </w:divBdr>
        </w:div>
        <w:div w:id="70587382">
          <w:marLeft w:val="0"/>
          <w:marRight w:val="0"/>
          <w:marTop w:val="0"/>
          <w:marBottom w:val="0"/>
          <w:divBdr>
            <w:top w:val="none" w:sz="0" w:space="0" w:color="auto"/>
            <w:left w:val="none" w:sz="0" w:space="0" w:color="auto"/>
            <w:bottom w:val="none" w:sz="0" w:space="0" w:color="auto"/>
            <w:right w:val="none" w:sz="0" w:space="0" w:color="auto"/>
          </w:divBdr>
        </w:div>
        <w:div w:id="1553810432">
          <w:marLeft w:val="0"/>
          <w:marRight w:val="0"/>
          <w:marTop w:val="0"/>
          <w:marBottom w:val="0"/>
          <w:divBdr>
            <w:top w:val="none" w:sz="0" w:space="0" w:color="auto"/>
            <w:left w:val="none" w:sz="0" w:space="0" w:color="auto"/>
            <w:bottom w:val="none" w:sz="0" w:space="0" w:color="auto"/>
            <w:right w:val="none" w:sz="0" w:space="0" w:color="auto"/>
          </w:divBdr>
        </w:div>
        <w:div w:id="1616983306">
          <w:marLeft w:val="0"/>
          <w:marRight w:val="0"/>
          <w:marTop w:val="0"/>
          <w:marBottom w:val="0"/>
          <w:divBdr>
            <w:top w:val="none" w:sz="0" w:space="0" w:color="auto"/>
            <w:left w:val="none" w:sz="0" w:space="0" w:color="auto"/>
            <w:bottom w:val="none" w:sz="0" w:space="0" w:color="auto"/>
            <w:right w:val="none" w:sz="0" w:space="0" w:color="auto"/>
          </w:divBdr>
        </w:div>
        <w:div w:id="1315720421">
          <w:marLeft w:val="0"/>
          <w:marRight w:val="0"/>
          <w:marTop w:val="0"/>
          <w:marBottom w:val="0"/>
          <w:divBdr>
            <w:top w:val="none" w:sz="0" w:space="0" w:color="auto"/>
            <w:left w:val="none" w:sz="0" w:space="0" w:color="auto"/>
            <w:bottom w:val="none" w:sz="0" w:space="0" w:color="auto"/>
            <w:right w:val="none" w:sz="0" w:space="0" w:color="auto"/>
          </w:divBdr>
        </w:div>
        <w:div w:id="48186470">
          <w:marLeft w:val="0"/>
          <w:marRight w:val="0"/>
          <w:marTop w:val="0"/>
          <w:marBottom w:val="0"/>
          <w:divBdr>
            <w:top w:val="none" w:sz="0" w:space="0" w:color="auto"/>
            <w:left w:val="none" w:sz="0" w:space="0" w:color="auto"/>
            <w:bottom w:val="none" w:sz="0" w:space="0" w:color="auto"/>
            <w:right w:val="none" w:sz="0" w:space="0" w:color="auto"/>
          </w:divBdr>
        </w:div>
        <w:div w:id="347371160">
          <w:marLeft w:val="0"/>
          <w:marRight w:val="0"/>
          <w:marTop w:val="0"/>
          <w:marBottom w:val="0"/>
          <w:divBdr>
            <w:top w:val="none" w:sz="0" w:space="0" w:color="auto"/>
            <w:left w:val="none" w:sz="0" w:space="0" w:color="auto"/>
            <w:bottom w:val="none" w:sz="0" w:space="0" w:color="auto"/>
            <w:right w:val="none" w:sz="0" w:space="0" w:color="auto"/>
          </w:divBdr>
        </w:div>
        <w:div w:id="1521040377">
          <w:marLeft w:val="0"/>
          <w:marRight w:val="0"/>
          <w:marTop w:val="0"/>
          <w:marBottom w:val="0"/>
          <w:divBdr>
            <w:top w:val="none" w:sz="0" w:space="0" w:color="auto"/>
            <w:left w:val="none" w:sz="0" w:space="0" w:color="auto"/>
            <w:bottom w:val="none" w:sz="0" w:space="0" w:color="auto"/>
            <w:right w:val="none" w:sz="0" w:space="0" w:color="auto"/>
          </w:divBdr>
        </w:div>
        <w:div w:id="1791901842">
          <w:marLeft w:val="0"/>
          <w:marRight w:val="0"/>
          <w:marTop w:val="0"/>
          <w:marBottom w:val="0"/>
          <w:divBdr>
            <w:top w:val="none" w:sz="0" w:space="0" w:color="auto"/>
            <w:left w:val="none" w:sz="0" w:space="0" w:color="auto"/>
            <w:bottom w:val="none" w:sz="0" w:space="0" w:color="auto"/>
            <w:right w:val="none" w:sz="0" w:space="0" w:color="auto"/>
          </w:divBdr>
        </w:div>
        <w:div w:id="1198154385">
          <w:marLeft w:val="0"/>
          <w:marRight w:val="0"/>
          <w:marTop w:val="0"/>
          <w:marBottom w:val="0"/>
          <w:divBdr>
            <w:top w:val="none" w:sz="0" w:space="0" w:color="auto"/>
            <w:left w:val="none" w:sz="0" w:space="0" w:color="auto"/>
            <w:bottom w:val="none" w:sz="0" w:space="0" w:color="auto"/>
            <w:right w:val="none" w:sz="0" w:space="0" w:color="auto"/>
          </w:divBdr>
        </w:div>
        <w:div w:id="1895197633">
          <w:marLeft w:val="0"/>
          <w:marRight w:val="0"/>
          <w:marTop w:val="0"/>
          <w:marBottom w:val="0"/>
          <w:divBdr>
            <w:top w:val="none" w:sz="0" w:space="0" w:color="auto"/>
            <w:left w:val="none" w:sz="0" w:space="0" w:color="auto"/>
            <w:bottom w:val="none" w:sz="0" w:space="0" w:color="auto"/>
            <w:right w:val="none" w:sz="0" w:space="0" w:color="auto"/>
          </w:divBdr>
        </w:div>
        <w:div w:id="1822651348">
          <w:marLeft w:val="0"/>
          <w:marRight w:val="0"/>
          <w:marTop w:val="0"/>
          <w:marBottom w:val="0"/>
          <w:divBdr>
            <w:top w:val="none" w:sz="0" w:space="0" w:color="auto"/>
            <w:left w:val="none" w:sz="0" w:space="0" w:color="auto"/>
            <w:bottom w:val="none" w:sz="0" w:space="0" w:color="auto"/>
            <w:right w:val="none" w:sz="0" w:space="0" w:color="auto"/>
          </w:divBdr>
        </w:div>
        <w:div w:id="654800117">
          <w:marLeft w:val="0"/>
          <w:marRight w:val="0"/>
          <w:marTop w:val="0"/>
          <w:marBottom w:val="0"/>
          <w:divBdr>
            <w:top w:val="none" w:sz="0" w:space="0" w:color="auto"/>
            <w:left w:val="none" w:sz="0" w:space="0" w:color="auto"/>
            <w:bottom w:val="none" w:sz="0" w:space="0" w:color="auto"/>
            <w:right w:val="none" w:sz="0" w:space="0" w:color="auto"/>
          </w:divBdr>
        </w:div>
        <w:div w:id="365372812">
          <w:marLeft w:val="0"/>
          <w:marRight w:val="0"/>
          <w:marTop w:val="0"/>
          <w:marBottom w:val="0"/>
          <w:divBdr>
            <w:top w:val="none" w:sz="0" w:space="0" w:color="auto"/>
            <w:left w:val="none" w:sz="0" w:space="0" w:color="auto"/>
            <w:bottom w:val="none" w:sz="0" w:space="0" w:color="auto"/>
            <w:right w:val="none" w:sz="0" w:space="0" w:color="auto"/>
          </w:divBdr>
        </w:div>
        <w:div w:id="1868567659">
          <w:marLeft w:val="0"/>
          <w:marRight w:val="0"/>
          <w:marTop w:val="0"/>
          <w:marBottom w:val="0"/>
          <w:divBdr>
            <w:top w:val="none" w:sz="0" w:space="0" w:color="auto"/>
            <w:left w:val="none" w:sz="0" w:space="0" w:color="auto"/>
            <w:bottom w:val="none" w:sz="0" w:space="0" w:color="auto"/>
            <w:right w:val="none" w:sz="0" w:space="0" w:color="auto"/>
          </w:divBdr>
        </w:div>
        <w:div w:id="1629628142">
          <w:marLeft w:val="0"/>
          <w:marRight w:val="0"/>
          <w:marTop w:val="0"/>
          <w:marBottom w:val="0"/>
          <w:divBdr>
            <w:top w:val="none" w:sz="0" w:space="0" w:color="auto"/>
            <w:left w:val="none" w:sz="0" w:space="0" w:color="auto"/>
            <w:bottom w:val="none" w:sz="0" w:space="0" w:color="auto"/>
            <w:right w:val="none" w:sz="0" w:space="0" w:color="auto"/>
          </w:divBdr>
        </w:div>
        <w:div w:id="127551390">
          <w:marLeft w:val="0"/>
          <w:marRight w:val="0"/>
          <w:marTop w:val="0"/>
          <w:marBottom w:val="0"/>
          <w:divBdr>
            <w:top w:val="none" w:sz="0" w:space="0" w:color="auto"/>
            <w:left w:val="none" w:sz="0" w:space="0" w:color="auto"/>
            <w:bottom w:val="none" w:sz="0" w:space="0" w:color="auto"/>
            <w:right w:val="none" w:sz="0" w:space="0" w:color="auto"/>
          </w:divBdr>
        </w:div>
        <w:div w:id="364722302">
          <w:marLeft w:val="0"/>
          <w:marRight w:val="0"/>
          <w:marTop w:val="0"/>
          <w:marBottom w:val="0"/>
          <w:divBdr>
            <w:top w:val="none" w:sz="0" w:space="0" w:color="auto"/>
            <w:left w:val="none" w:sz="0" w:space="0" w:color="auto"/>
            <w:bottom w:val="none" w:sz="0" w:space="0" w:color="auto"/>
            <w:right w:val="none" w:sz="0" w:space="0" w:color="auto"/>
          </w:divBdr>
        </w:div>
        <w:div w:id="1133404344">
          <w:marLeft w:val="0"/>
          <w:marRight w:val="0"/>
          <w:marTop w:val="0"/>
          <w:marBottom w:val="0"/>
          <w:divBdr>
            <w:top w:val="none" w:sz="0" w:space="0" w:color="auto"/>
            <w:left w:val="none" w:sz="0" w:space="0" w:color="auto"/>
            <w:bottom w:val="none" w:sz="0" w:space="0" w:color="auto"/>
            <w:right w:val="none" w:sz="0" w:space="0" w:color="auto"/>
          </w:divBdr>
        </w:div>
        <w:div w:id="541867616">
          <w:marLeft w:val="0"/>
          <w:marRight w:val="0"/>
          <w:marTop w:val="0"/>
          <w:marBottom w:val="0"/>
          <w:divBdr>
            <w:top w:val="none" w:sz="0" w:space="0" w:color="auto"/>
            <w:left w:val="none" w:sz="0" w:space="0" w:color="auto"/>
            <w:bottom w:val="none" w:sz="0" w:space="0" w:color="auto"/>
            <w:right w:val="none" w:sz="0" w:space="0" w:color="auto"/>
          </w:divBdr>
        </w:div>
        <w:div w:id="2066634264">
          <w:marLeft w:val="0"/>
          <w:marRight w:val="0"/>
          <w:marTop w:val="0"/>
          <w:marBottom w:val="0"/>
          <w:divBdr>
            <w:top w:val="none" w:sz="0" w:space="0" w:color="auto"/>
            <w:left w:val="none" w:sz="0" w:space="0" w:color="auto"/>
            <w:bottom w:val="none" w:sz="0" w:space="0" w:color="auto"/>
            <w:right w:val="none" w:sz="0" w:space="0" w:color="auto"/>
          </w:divBdr>
        </w:div>
        <w:div w:id="1810123150">
          <w:marLeft w:val="0"/>
          <w:marRight w:val="0"/>
          <w:marTop w:val="0"/>
          <w:marBottom w:val="0"/>
          <w:divBdr>
            <w:top w:val="none" w:sz="0" w:space="0" w:color="auto"/>
            <w:left w:val="none" w:sz="0" w:space="0" w:color="auto"/>
            <w:bottom w:val="none" w:sz="0" w:space="0" w:color="auto"/>
            <w:right w:val="none" w:sz="0" w:space="0" w:color="auto"/>
          </w:divBdr>
        </w:div>
      </w:divsChild>
    </w:div>
    <w:div w:id="1210386879">
      <w:marLeft w:val="0"/>
      <w:marRight w:val="0"/>
      <w:marTop w:val="0"/>
      <w:marBottom w:val="0"/>
      <w:divBdr>
        <w:top w:val="none" w:sz="0" w:space="0" w:color="auto"/>
        <w:left w:val="none" w:sz="0" w:space="0" w:color="auto"/>
        <w:bottom w:val="none" w:sz="0" w:space="0" w:color="auto"/>
        <w:right w:val="none" w:sz="0" w:space="0" w:color="auto"/>
      </w:divBdr>
    </w:div>
    <w:div w:id="1210992138">
      <w:marLeft w:val="0"/>
      <w:marRight w:val="0"/>
      <w:marTop w:val="0"/>
      <w:marBottom w:val="0"/>
      <w:divBdr>
        <w:top w:val="none" w:sz="0" w:space="0" w:color="auto"/>
        <w:left w:val="none" w:sz="0" w:space="0" w:color="auto"/>
        <w:bottom w:val="none" w:sz="0" w:space="0" w:color="auto"/>
        <w:right w:val="none" w:sz="0" w:space="0" w:color="auto"/>
      </w:divBdr>
    </w:div>
    <w:div w:id="1213466912">
      <w:marLeft w:val="0"/>
      <w:marRight w:val="0"/>
      <w:marTop w:val="0"/>
      <w:marBottom w:val="0"/>
      <w:divBdr>
        <w:top w:val="none" w:sz="0" w:space="0" w:color="auto"/>
        <w:left w:val="none" w:sz="0" w:space="0" w:color="auto"/>
        <w:bottom w:val="none" w:sz="0" w:space="0" w:color="auto"/>
        <w:right w:val="none" w:sz="0" w:space="0" w:color="auto"/>
      </w:divBdr>
    </w:div>
    <w:div w:id="1213736665">
      <w:marLeft w:val="0"/>
      <w:marRight w:val="0"/>
      <w:marTop w:val="0"/>
      <w:marBottom w:val="0"/>
      <w:divBdr>
        <w:top w:val="none" w:sz="0" w:space="0" w:color="auto"/>
        <w:left w:val="none" w:sz="0" w:space="0" w:color="auto"/>
        <w:bottom w:val="none" w:sz="0" w:space="0" w:color="auto"/>
        <w:right w:val="none" w:sz="0" w:space="0" w:color="auto"/>
      </w:divBdr>
    </w:div>
    <w:div w:id="1213812191">
      <w:marLeft w:val="0"/>
      <w:marRight w:val="0"/>
      <w:marTop w:val="0"/>
      <w:marBottom w:val="0"/>
      <w:divBdr>
        <w:top w:val="none" w:sz="0" w:space="0" w:color="auto"/>
        <w:left w:val="none" w:sz="0" w:space="0" w:color="auto"/>
        <w:bottom w:val="none" w:sz="0" w:space="0" w:color="auto"/>
        <w:right w:val="none" w:sz="0" w:space="0" w:color="auto"/>
      </w:divBdr>
    </w:div>
    <w:div w:id="1213885133">
      <w:marLeft w:val="0"/>
      <w:marRight w:val="0"/>
      <w:marTop w:val="0"/>
      <w:marBottom w:val="0"/>
      <w:divBdr>
        <w:top w:val="none" w:sz="0" w:space="0" w:color="auto"/>
        <w:left w:val="none" w:sz="0" w:space="0" w:color="auto"/>
        <w:bottom w:val="none" w:sz="0" w:space="0" w:color="auto"/>
        <w:right w:val="none" w:sz="0" w:space="0" w:color="auto"/>
      </w:divBdr>
    </w:div>
    <w:div w:id="1214195339">
      <w:marLeft w:val="0"/>
      <w:marRight w:val="0"/>
      <w:marTop w:val="0"/>
      <w:marBottom w:val="0"/>
      <w:divBdr>
        <w:top w:val="none" w:sz="0" w:space="0" w:color="auto"/>
        <w:left w:val="none" w:sz="0" w:space="0" w:color="auto"/>
        <w:bottom w:val="none" w:sz="0" w:space="0" w:color="auto"/>
        <w:right w:val="none" w:sz="0" w:space="0" w:color="auto"/>
      </w:divBdr>
    </w:div>
    <w:div w:id="1215116722">
      <w:marLeft w:val="0"/>
      <w:marRight w:val="0"/>
      <w:marTop w:val="0"/>
      <w:marBottom w:val="0"/>
      <w:divBdr>
        <w:top w:val="none" w:sz="0" w:space="0" w:color="auto"/>
        <w:left w:val="none" w:sz="0" w:space="0" w:color="auto"/>
        <w:bottom w:val="none" w:sz="0" w:space="0" w:color="auto"/>
        <w:right w:val="none" w:sz="0" w:space="0" w:color="auto"/>
      </w:divBdr>
    </w:div>
    <w:div w:id="1215191065">
      <w:marLeft w:val="0"/>
      <w:marRight w:val="0"/>
      <w:marTop w:val="0"/>
      <w:marBottom w:val="0"/>
      <w:divBdr>
        <w:top w:val="none" w:sz="0" w:space="0" w:color="auto"/>
        <w:left w:val="none" w:sz="0" w:space="0" w:color="auto"/>
        <w:bottom w:val="none" w:sz="0" w:space="0" w:color="auto"/>
        <w:right w:val="none" w:sz="0" w:space="0" w:color="auto"/>
      </w:divBdr>
    </w:div>
    <w:div w:id="1215432561">
      <w:marLeft w:val="0"/>
      <w:marRight w:val="0"/>
      <w:marTop w:val="0"/>
      <w:marBottom w:val="0"/>
      <w:divBdr>
        <w:top w:val="none" w:sz="0" w:space="0" w:color="auto"/>
        <w:left w:val="none" w:sz="0" w:space="0" w:color="auto"/>
        <w:bottom w:val="none" w:sz="0" w:space="0" w:color="auto"/>
        <w:right w:val="none" w:sz="0" w:space="0" w:color="auto"/>
      </w:divBdr>
    </w:div>
    <w:div w:id="1215697518">
      <w:marLeft w:val="0"/>
      <w:marRight w:val="0"/>
      <w:marTop w:val="0"/>
      <w:marBottom w:val="0"/>
      <w:divBdr>
        <w:top w:val="none" w:sz="0" w:space="0" w:color="auto"/>
        <w:left w:val="none" w:sz="0" w:space="0" w:color="auto"/>
        <w:bottom w:val="none" w:sz="0" w:space="0" w:color="auto"/>
        <w:right w:val="none" w:sz="0" w:space="0" w:color="auto"/>
      </w:divBdr>
    </w:div>
    <w:div w:id="1216968088">
      <w:marLeft w:val="0"/>
      <w:marRight w:val="0"/>
      <w:marTop w:val="0"/>
      <w:marBottom w:val="0"/>
      <w:divBdr>
        <w:top w:val="none" w:sz="0" w:space="0" w:color="auto"/>
        <w:left w:val="none" w:sz="0" w:space="0" w:color="auto"/>
        <w:bottom w:val="none" w:sz="0" w:space="0" w:color="auto"/>
        <w:right w:val="none" w:sz="0" w:space="0" w:color="auto"/>
      </w:divBdr>
    </w:div>
    <w:div w:id="1217014022">
      <w:marLeft w:val="0"/>
      <w:marRight w:val="0"/>
      <w:marTop w:val="0"/>
      <w:marBottom w:val="0"/>
      <w:divBdr>
        <w:top w:val="none" w:sz="0" w:space="0" w:color="auto"/>
        <w:left w:val="none" w:sz="0" w:space="0" w:color="auto"/>
        <w:bottom w:val="none" w:sz="0" w:space="0" w:color="auto"/>
        <w:right w:val="none" w:sz="0" w:space="0" w:color="auto"/>
      </w:divBdr>
    </w:div>
    <w:div w:id="1217668008">
      <w:marLeft w:val="0"/>
      <w:marRight w:val="0"/>
      <w:marTop w:val="0"/>
      <w:marBottom w:val="0"/>
      <w:divBdr>
        <w:top w:val="none" w:sz="0" w:space="0" w:color="auto"/>
        <w:left w:val="none" w:sz="0" w:space="0" w:color="auto"/>
        <w:bottom w:val="none" w:sz="0" w:space="0" w:color="auto"/>
        <w:right w:val="none" w:sz="0" w:space="0" w:color="auto"/>
      </w:divBdr>
    </w:div>
    <w:div w:id="1217813755">
      <w:marLeft w:val="0"/>
      <w:marRight w:val="0"/>
      <w:marTop w:val="0"/>
      <w:marBottom w:val="0"/>
      <w:divBdr>
        <w:top w:val="none" w:sz="0" w:space="0" w:color="auto"/>
        <w:left w:val="none" w:sz="0" w:space="0" w:color="auto"/>
        <w:bottom w:val="none" w:sz="0" w:space="0" w:color="auto"/>
        <w:right w:val="none" w:sz="0" w:space="0" w:color="auto"/>
      </w:divBdr>
    </w:div>
    <w:div w:id="1218708539">
      <w:marLeft w:val="0"/>
      <w:marRight w:val="0"/>
      <w:marTop w:val="0"/>
      <w:marBottom w:val="0"/>
      <w:divBdr>
        <w:top w:val="none" w:sz="0" w:space="0" w:color="auto"/>
        <w:left w:val="none" w:sz="0" w:space="0" w:color="auto"/>
        <w:bottom w:val="none" w:sz="0" w:space="0" w:color="auto"/>
        <w:right w:val="none" w:sz="0" w:space="0" w:color="auto"/>
      </w:divBdr>
      <w:divsChild>
        <w:div w:id="302128202">
          <w:marLeft w:val="0"/>
          <w:marRight w:val="0"/>
          <w:marTop w:val="0"/>
          <w:marBottom w:val="0"/>
          <w:divBdr>
            <w:top w:val="none" w:sz="0" w:space="0" w:color="auto"/>
            <w:left w:val="none" w:sz="0" w:space="0" w:color="auto"/>
            <w:bottom w:val="none" w:sz="0" w:space="0" w:color="auto"/>
            <w:right w:val="none" w:sz="0" w:space="0" w:color="auto"/>
          </w:divBdr>
        </w:div>
      </w:divsChild>
    </w:div>
    <w:div w:id="1218936515">
      <w:marLeft w:val="0"/>
      <w:marRight w:val="0"/>
      <w:marTop w:val="0"/>
      <w:marBottom w:val="0"/>
      <w:divBdr>
        <w:top w:val="none" w:sz="0" w:space="0" w:color="auto"/>
        <w:left w:val="none" w:sz="0" w:space="0" w:color="auto"/>
        <w:bottom w:val="none" w:sz="0" w:space="0" w:color="auto"/>
        <w:right w:val="none" w:sz="0" w:space="0" w:color="auto"/>
      </w:divBdr>
    </w:div>
    <w:div w:id="1219322368">
      <w:marLeft w:val="0"/>
      <w:marRight w:val="0"/>
      <w:marTop w:val="0"/>
      <w:marBottom w:val="0"/>
      <w:divBdr>
        <w:top w:val="none" w:sz="0" w:space="0" w:color="auto"/>
        <w:left w:val="none" w:sz="0" w:space="0" w:color="auto"/>
        <w:bottom w:val="none" w:sz="0" w:space="0" w:color="auto"/>
        <w:right w:val="none" w:sz="0" w:space="0" w:color="auto"/>
      </w:divBdr>
    </w:div>
    <w:div w:id="1222717949">
      <w:marLeft w:val="0"/>
      <w:marRight w:val="0"/>
      <w:marTop w:val="0"/>
      <w:marBottom w:val="0"/>
      <w:divBdr>
        <w:top w:val="none" w:sz="0" w:space="0" w:color="auto"/>
        <w:left w:val="none" w:sz="0" w:space="0" w:color="auto"/>
        <w:bottom w:val="none" w:sz="0" w:space="0" w:color="auto"/>
        <w:right w:val="none" w:sz="0" w:space="0" w:color="auto"/>
      </w:divBdr>
    </w:div>
    <w:div w:id="1223635424">
      <w:marLeft w:val="0"/>
      <w:marRight w:val="0"/>
      <w:marTop w:val="0"/>
      <w:marBottom w:val="0"/>
      <w:divBdr>
        <w:top w:val="none" w:sz="0" w:space="0" w:color="auto"/>
        <w:left w:val="none" w:sz="0" w:space="0" w:color="auto"/>
        <w:bottom w:val="none" w:sz="0" w:space="0" w:color="auto"/>
        <w:right w:val="none" w:sz="0" w:space="0" w:color="auto"/>
      </w:divBdr>
    </w:div>
    <w:div w:id="1224217307">
      <w:marLeft w:val="0"/>
      <w:marRight w:val="0"/>
      <w:marTop w:val="0"/>
      <w:marBottom w:val="0"/>
      <w:divBdr>
        <w:top w:val="none" w:sz="0" w:space="0" w:color="auto"/>
        <w:left w:val="none" w:sz="0" w:space="0" w:color="auto"/>
        <w:bottom w:val="none" w:sz="0" w:space="0" w:color="auto"/>
        <w:right w:val="none" w:sz="0" w:space="0" w:color="auto"/>
      </w:divBdr>
    </w:div>
    <w:div w:id="1224490271">
      <w:marLeft w:val="0"/>
      <w:marRight w:val="0"/>
      <w:marTop w:val="0"/>
      <w:marBottom w:val="0"/>
      <w:divBdr>
        <w:top w:val="none" w:sz="0" w:space="0" w:color="auto"/>
        <w:left w:val="none" w:sz="0" w:space="0" w:color="auto"/>
        <w:bottom w:val="none" w:sz="0" w:space="0" w:color="auto"/>
        <w:right w:val="none" w:sz="0" w:space="0" w:color="auto"/>
      </w:divBdr>
    </w:div>
    <w:div w:id="1225795127">
      <w:marLeft w:val="0"/>
      <w:marRight w:val="0"/>
      <w:marTop w:val="0"/>
      <w:marBottom w:val="0"/>
      <w:divBdr>
        <w:top w:val="none" w:sz="0" w:space="0" w:color="auto"/>
        <w:left w:val="none" w:sz="0" w:space="0" w:color="auto"/>
        <w:bottom w:val="none" w:sz="0" w:space="0" w:color="auto"/>
        <w:right w:val="none" w:sz="0" w:space="0" w:color="auto"/>
      </w:divBdr>
    </w:div>
    <w:div w:id="1225797016">
      <w:marLeft w:val="0"/>
      <w:marRight w:val="0"/>
      <w:marTop w:val="0"/>
      <w:marBottom w:val="0"/>
      <w:divBdr>
        <w:top w:val="none" w:sz="0" w:space="0" w:color="auto"/>
        <w:left w:val="none" w:sz="0" w:space="0" w:color="auto"/>
        <w:bottom w:val="none" w:sz="0" w:space="0" w:color="auto"/>
        <w:right w:val="none" w:sz="0" w:space="0" w:color="auto"/>
      </w:divBdr>
    </w:div>
    <w:div w:id="1226650513">
      <w:marLeft w:val="0"/>
      <w:marRight w:val="0"/>
      <w:marTop w:val="0"/>
      <w:marBottom w:val="0"/>
      <w:divBdr>
        <w:top w:val="none" w:sz="0" w:space="0" w:color="auto"/>
        <w:left w:val="none" w:sz="0" w:space="0" w:color="auto"/>
        <w:bottom w:val="none" w:sz="0" w:space="0" w:color="auto"/>
        <w:right w:val="none" w:sz="0" w:space="0" w:color="auto"/>
      </w:divBdr>
    </w:div>
    <w:div w:id="1226992152">
      <w:marLeft w:val="0"/>
      <w:marRight w:val="0"/>
      <w:marTop w:val="0"/>
      <w:marBottom w:val="0"/>
      <w:divBdr>
        <w:top w:val="none" w:sz="0" w:space="0" w:color="auto"/>
        <w:left w:val="none" w:sz="0" w:space="0" w:color="auto"/>
        <w:bottom w:val="none" w:sz="0" w:space="0" w:color="auto"/>
        <w:right w:val="none" w:sz="0" w:space="0" w:color="auto"/>
      </w:divBdr>
    </w:div>
    <w:div w:id="1227451720">
      <w:marLeft w:val="0"/>
      <w:marRight w:val="0"/>
      <w:marTop w:val="0"/>
      <w:marBottom w:val="0"/>
      <w:divBdr>
        <w:top w:val="none" w:sz="0" w:space="0" w:color="auto"/>
        <w:left w:val="none" w:sz="0" w:space="0" w:color="auto"/>
        <w:bottom w:val="none" w:sz="0" w:space="0" w:color="auto"/>
        <w:right w:val="none" w:sz="0" w:space="0" w:color="auto"/>
      </w:divBdr>
    </w:div>
    <w:div w:id="1228421325">
      <w:marLeft w:val="0"/>
      <w:marRight w:val="0"/>
      <w:marTop w:val="0"/>
      <w:marBottom w:val="0"/>
      <w:divBdr>
        <w:top w:val="none" w:sz="0" w:space="0" w:color="auto"/>
        <w:left w:val="none" w:sz="0" w:space="0" w:color="auto"/>
        <w:bottom w:val="none" w:sz="0" w:space="0" w:color="auto"/>
        <w:right w:val="none" w:sz="0" w:space="0" w:color="auto"/>
      </w:divBdr>
    </w:div>
    <w:div w:id="1231231013">
      <w:marLeft w:val="0"/>
      <w:marRight w:val="0"/>
      <w:marTop w:val="0"/>
      <w:marBottom w:val="0"/>
      <w:divBdr>
        <w:top w:val="none" w:sz="0" w:space="0" w:color="auto"/>
        <w:left w:val="none" w:sz="0" w:space="0" w:color="auto"/>
        <w:bottom w:val="none" w:sz="0" w:space="0" w:color="auto"/>
        <w:right w:val="none" w:sz="0" w:space="0" w:color="auto"/>
      </w:divBdr>
    </w:div>
    <w:div w:id="1231619191">
      <w:marLeft w:val="0"/>
      <w:marRight w:val="0"/>
      <w:marTop w:val="0"/>
      <w:marBottom w:val="0"/>
      <w:divBdr>
        <w:top w:val="none" w:sz="0" w:space="0" w:color="auto"/>
        <w:left w:val="none" w:sz="0" w:space="0" w:color="auto"/>
        <w:bottom w:val="none" w:sz="0" w:space="0" w:color="auto"/>
        <w:right w:val="none" w:sz="0" w:space="0" w:color="auto"/>
      </w:divBdr>
    </w:div>
    <w:div w:id="1232040352">
      <w:marLeft w:val="0"/>
      <w:marRight w:val="0"/>
      <w:marTop w:val="0"/>
      <w:marBottom w:val="0"/>
      <w:divBdr>
        <w:top w:val="none" w:sz="0" w:space="0" w:color="auto"/>
        <w:left w:val="none" w:sz="0" w:space="0" w:color="auto"/>
        <w:bottom w:val="none" w:sz="0" w:space="0" w:color="auto"/>
        <w:right w:val="none" w:sz="0" w:space="0" w:color="auto"/>
      </w:divBdr>
    </w:div>
    <w:div w:id="1232274641">
      <w:marLeft w:val="0"/>
      <w:marRight w:val="0"/>
      <w:marTop w:val="0"/>
      <w:marBottom w:val="0"/>
      <w:divBdr>
        <w:top w:val="none" w:sz="0" w:space="0" w:color="auto"/>
        <w:left w:val="none" w:sz="0" w:space="0" w:color="auto"/>
        <w:bottom w:val="none" w:sz="0" w:space="0" w:color="auto"/>
        <w:right w:val="none" w:sz="0" w:space="0" w:color="auto"/>
      </w:divBdr>
    </w:div>
    <w:div w:id="1235042054">
      <w:marLeft w:val="0"/>
      <w:marRight w:val="0"/>
      <w:marTop w:val="0"/>
      <w:marBottom w:val="0"/>
      <w:divBdr>
        <w:top w:val="none" w:sz="0" w:space="0" w:color="auto"/>
        <w:left w:val="none" w:sz="0" w:space="0" w:color="auto"/>
        <w:bottom w:val="none" w:sz="0" w:space="0" w:color="auto"/>
        <w:right w:val="none" w:sz="0" w:space="0" w:color="auto"/>
      </w:divBdr>
    </w:div>
    <w:div w:id="1235507621">
      <w:marLeft w:val="0"/>
      <w:marRight w:val="0"/>
      <w:marTop w:val="0"/>
      <w:marBottom w:val="0"/>
      <w:divBdr>
        <w:top w:val="none" w:sz="0" w:space="0" w:color="auto"/>
        <w:left w:val="none" w:sz="0" w:space="0" w:color="auto"/>
        <w:bottom w:val="none" w:sz="0" w:space="0" w:color="auto"/>
        <w:right w:val="none" w:sz="0" w:space="0" w:color="auto"/>
      </w:divBdr>
    </w:div>
    <w:div w:id="1235897206">
      <w:marLeft w:val="0"/>
      <w:marRight w:val="0"/>
      <w:marTop w:val="0"/>
      <w:marBottom w:val="0"/>
      <w:divBdr>
        <w:top w:val="none" w:sz="0" w:space="0" w:color="auto"/>
        <w:left w:val="none" w:sz="0" w:space="0" w:color="auto"/>
        <w:bottom w:val="none" w:sz="0" w:space="0" w:color="auto"/>
        <w:right w:val="none" w:sz="0" w:space="0" w:color="auto"/>
      </w:divBdr>
    </w:div>
    <w:div w:id="1238832196">
      <w:marLeft w:val="0"/>
      <w:marRight w:val="0"/>
      <w:marTop w:val="0"/>
      <w:marBottom w:val="0"/>
      <w:divBdr>
        <w:top w:val="none" w:sz="0" w:space="0" w:color="auto"/>
        <w:left w:val="none" w:sz="0" w:space="0" w:color="auto"/>
        <w:bottom w:val="none" w:sz="0" w:space="0" w:color="auto"/>
        <w:right w:val="none" w:sz="0" w:space="0" w:color="auto"/>
      </w:divBdr>
      <w:divsChild>
        <w:div w:id="757096833">
          <w:marLeft w:val="0"/>
          <w:marRight w:val="0"/>
          <w:marTop w:val="0"/>
          <w:marBottom w:val="0"/>
          <w:divBdr>
            <w:top w:val="none" w:sz="0" w:space="0" w:color="auto"/>
            <w:left w:val="none" w:sz="0" w:space="0" w:color="auto"/>
            <w:bottom w:val="none" w:sz="0" w:space="0" w:color="auto"/>
            <w:right w:val="none" w:sz="0" w:space="0" w:color="auto"/>
          </w:divBdr>
        </w:div>
      </w:divsChild>
    </w:div>
    <w:div w:id="1240140235">
      <w:marLeft w:val="0"/>
      <w:marRight w:val="0"/>
      <w:marTop w:val="0"/>
      <w:marBottom w:val="0"/>
      <w:divBdr>
        <w:top w:val="none" w:sz="0" w:space="0" w:color="auto"/>
        <w:left w:val="none" w:sz="0" w:space="0" w:color="auto"/>
        <w:bottom w:val="none" w:sz="0" w:space="0" w:color="auto"/>
        <w:right w:val="none" w:sz="0" w:space="0" w:color="auto"/>
      </w:divBdr>
    </w:div>
    <w:div w:id="1241016790">
      <w:marLeft w:val="0"/>
      <w:marRight w:val="0"/>
      <w:marTop w:val="0"/>
      <w:marBottom w:val="0"/>
      <w:divBdr>
        <w:top w:val="none" w:sz="0" w:space="0" w:color="auto"/>
        <w:left w:val="none" w:sz="0" w:space="0" w:color="auto"/>
        <w:bottom w:val="none" w:sz="0" w:space="0" w:color="auto"/>
        <w:right w:val="none" w:sz="0" w:space="0" w:color="auto"/>
      </w:divBdr>
    </w:div>
    <w:div w:id="1241208841">
      <w:marLeft w:val="0"/>
      <w:marRight w:val="0"/>
      <w:marTop w:val="0"/>
      <w:marBottom w:val="0"/>
      <w:divBdr>
        <w:top w:val="none" w:sz="0" w:space="0" w:color="auto"/>
        <w:left w:val="none" w:sz="0" w:space="0" w:color="auto"/>
        <w:bottom w:val="none" w:sz="0" w:space="0" w:color="auto"/>
        <w:right w:val="none" w:sz="0" w:space="0" w:color="auto"/>
      </w:divBdr>
    </w:div>
    <w:div w:id="1241407403">
      <w:marLeft w:val="0"/>
      <w:marRight w:val="0"/>
      <w:marTop w:val="0"/>
      <w:marBottom w:val="0"/>
      <w:divBdr>
        <w:top w:val="none" w:sz="0" w:space="0" w:color="auto"/>
        <w:left w:val="none" w:sz="0" w:space="0" w:color="auto"/>
        <w:bottom w:val="none" w:sz="0" w:space="0" w:color="auto"/>
        <w:right w:val="none" w:sz="0" w:space="0" w:color="auto"/>
      </w:divBdr>
    </w:div>
    <w:div w:id="1241410020">
      <w:marLeft w:val="0"/>
      <w:marRight w:val="0"/>
      <w:marTop w:val="0"/>
      <w:marBottom w:val="0"/>
      <w:divBdr>
        <w:top w:val="none" w:sz="0" w:space="0" w:color="auto"/>
        <w:left w:val="none" w:sz="0" w:space="0" w:color="auto"/>
        <w:bottom w:val="none" w:sz="0" w:space="0" w:color="auto"/>
        <w:right w:val="none" w:sz="0" w:space="0" w:color="auto"/>
      </w:divBdr>
    </w:div>
    <w:div w:id="1242177053">
      <w:marLeft w:val="0"/>
      <w:marRight w:val="0"/>
      <w:marTop w:val="0"/>
      <w:marBottom w:val="0"/>
      <w:divBdr>
        <w:top w:val="none" w:sz="0" w:space="0" w:color="auto"/>
        <w:left w:val="none" w:sz="0" w:space="0" w:color="auto"/>
        <w:bottom w:val="none" w:sz="0" w:space="0" w:color="auto"/>
        <w:right w:val="none" w:sz="0" w:space="0" w:color="auto"/>
      </w:divBdr>
    </w:div>
    <w:div w:id="1243026000">
      <w:marLeft w:val="0"/>
      <w:marRight w:val="0"/>
      <w:marTop w:val="0"/>
      <w:marBottom w:val="0"/>
      <w:divBdr>
        <w:top w:val="none" w:sz="0" w:space="0" w:color="auto"/>
        <w:left w:val="none" w:sz="0" w:space="0" w:color="auto"/>
        <w:bottom w:val="none" w:sz="0" w:space="0" w:color="auto"/>
        <w:right w:val="none" w:sz="0" w:space="0" w:color="auto"/>
      </w:divBdr>
    </w:div>
    <w:div w:id="1243178146">
      <w:marLeft w:val="0"/>
      <w:marRight w:val="0"/>
      <w:marTop w:val="0"/>
      <w:marBottom w:val="0"/>
      <w:divBdr>
        <w:top w:val="none" w:sz="0" w:space="0" w:color="auto"/>
        <w:left w:val="none" w:sz="0" w:space="0" w:color="auto"/>
        <w:bottom w:val="none" w:sz="0" w:space="0" w:color="auto"/>
        <w:right w:val="none" w:sz="0" w:space="0" w:color="auto"/>
      </w:divBdr>
    </w:div>
    <w:div w:id="1243298964">
      <w:marLeft w:val="0"/>
      <w:marRight w:val="0"/>
      <w:marTop w:val="0"/>
      <w:marBottom w:val="0"/>
      <w:divBdr>
        <w:top w:val="none" w:sz="0" w:space="0" w:color="auto"/>
        <w:left w:val="none" w:sz="0" w:space="0" w:color="auto"/>
        <w:bottom w:val="none" w:sz="0" w:space="0" w:color="auto"/>
        <w:right w:val="none" w:sz="0" w:space="0" w:color="auto"/>
      </w:divBdr>
    </w:div>
    <w:div w:id="1243371198">
      <w:marLeft w:val="0"/>
      <w:marRight w:val="0"/>
      <w:marTop w:val="0"/>
      <w:marBottom w:val="0"/>
      <w:divBdr>
        <w:top w:val="none" w:sz="0" w:space="0" w:color="auto"/>
        <w:left w:val="none" w:sz="0" w:space="0" w:color="auto"/>
        <w:bottom w:val="none" w:sz="0" w:space="0" w:color="auto"/>
        <w:right w:val="none" w:sz="0" w:space="0" w:color="auto"/>
      </w:divBdr>
    </w:div>
    <w:div w:id="1244030887">
      <w:marLeft w:val="0"/>
      <w:marRight w:val="0"/>
      <w:marTop w:val="0"/>
      <w:marBottom w:val="0"/>
      <w:divBdr>
        <w:top w:val="none" w:sz="0" w:space="0" w:color="auto"/>
        <w:left w:val="none" w:sz="0" w:space="0" w:color="auto"/>
        <w:bottom w:val="none" w:sz="0" w:space="0" w:color="auto"/>
        <w:right w:val="none" w:sz="0" w:space="0" w:color="auto"/>
      </w:divBdr>
    </w:div>
    <w:div w:id="1244532198">
      <w:marLeft w:val="0"/>
      <w:marRight w:val="0"/>
      <w:marTop w:val="0"/>
      <w:marBottom w:val="0"/>
      <w:divBdr>
        <w:top w:val="none" w:sz="0" w:space="0" w:color="auto"/>
        <w:left w:val="none" w:sz="0" w:space="0" w:color="auto"/>
        <w:bottom w:val="none" w:sz="0" w:space="0" w:color="auto"/>
        <w:right w:val="none" w:sz="0" w:space="0" w:color="auto"/>
      </w:divBdr>
    </w:div>
    <w:div w:id="1244798318">
      <w:marLeft w:val="0"/>
      <w:marRight w:val="0"/>
      <w:marTop w:val="0"/>
      <w:marBottom w:val="0"/>
      <w:divBdr>
        <w:top w:val="none" w:sz="0" w:space="0" w:color="auto"/>
        <w:left w:val="none" w:sz="0" w:space="0" w:color="auto"/>
        <w:bottom w:val="none" w:sz="0" w:space="0" w:color="auto"/>
        <w:right w:val="none" w:sz="0" w:space="0" w:color="auto"/>
      </w:divBdr>
    </w:div>
    <w:div w:id="1244952429">
      <w:marLeft w:val="0"/>
      <w:marRight w:val="0"/>
      <w:marTop w:val="0"/>
      <w:marBottom w:val="0"/>
      <w:divBdr>
        <w:top w:val="none" w:sz="0" w:space="0" w:color="auto"/>
        <w:left w:val="none" w:sz="0" w:space="0" w:color="auto"/>
        <w:bottom w:val="none" w:sz="0" w:space="0" w:color="auto"/>
        <w:right w:val="none" w:sz="0" w:space="0" w:color="auto"/>
      </w:divBdr>
    </w:div>
    <w:div w:id="1245532665">
      <w:marLeft w:val="0"/>
      <w:marRight w:val="0"/>
      <w:marTop w:val="0"/>
      <w:marBottom w:val="0"/>
      <w:divBdr>
        <w:top w:val="none" w:sz="0" w:space="0" w:color="auto"/>
        <w:left w:val="none" w:sz="0" w:space="0" w:color="auto"/>
        <w:bottom w:val="none" w:sz="0" w:space="0" w:color="auto"/>
        <w:right w:val="none" w:sz="0" w:space="0" w:color="auto"/>
      </w:divBdr>
    </w:div>
    <w:div w:id="1245533209">
      <w:marLeft w:val="0"/>
      <w:marRight w:val="0"/>
      <w:marTop w:val="0"/>
      <w:marBottom w:val="120"/>
      <w:divBdr>
        <w:top w:val="none" w:sz="0" w:space="0" w:color="auto"/>
        <w:left w:val="none" w:sz="0" w:space="0" w:color="auto"/>
        <w:bottom w:val="none" w:sz="0" w:space="0" w:color="auto"/>
        <w:right w:val="none" w:sz="0" w:space="0" w:color="auto"/>
      </w:divBdr>
    </w:div>
    <w:div w:id="1246652596">
      <w:marLeft w:val="0"/>
      <w:marRight w:val="0"/>
      <w:marTop w:val="0"/>
      <w:marBottom w:val="0"/>
      <w:divBdr>
        <w:top w:val="none" w:sz="0" w:space="0" w:color="auto"/>
        <w:left w:val="none" w:sz="0" w:space="0" w:color="auto"/>
        <w:bottom w:val="none" w:sz="0" w:space="0" w:color="auto"/>
        <w:right w:val="none" w:sz="0" w:space="0" w:color="auto"/>
      </w:divBdr>
    </w:div>
    <w:div w:id="1246768763">
      <w:marLeft w:val="0"/>
      <w:marRight w:val="0"/>
      <w:marTop w:val="0"/>
      <w:marBottom w:val="0"/>
      <w:divBdr>
        <w:top w:val="none" w:sz="0" w:space="0" w:color="auto"/>
        <w:left w:val="none" w:sz="0" w:space="0" w:color="auto"/>
        <w:bottom w:val="none" w:sz="0" w:space="0" w:color="auto"/>
        <w:right w:val="none" w:sz="0" w:space="0" w:color="auto"/>
      </w:divBdr>
      <w:divsChild>
        <w:div w:id="1403405062">
          <w:marLeft w:val="0"/>
          <w:marRight w:val="0"/>
          <w:marTop w:val="0"/>
          <w:marBottom w:val="0"/>
          <w:divBdr>
            <w:top w:val="none" w:sz="0" w:space="0" w:color="auto"/>
            <w:left w:val="none" w:sz="0" w:space="0" w:color="auto"/>
            <w:bottom w:val="none" w:sz="0" w:space="0" w:color="auto"/>
            <w:right w:val="none" w:sz="0" w:space="0" w:color="auto"/>
          </w:divBdr>
        </w:div>
      </w:divsChild>
    </w:div>
    <w:div w:id="1248198897">
      <w:marLeft w:val="0"/>
      <w:marRight w:val="0"/>
      <w:marTop w:val="0"/>
      <w:marBottom w:val="0"/>
      <w:divBdr>
        <w:top w:val="none" w:sz="0" w:space="0" w:color="auto"/>
        <w:left w:val="none" w:sz="0" w:space="0" w:color="auto"/>
        <w:bottom w:val="none" w:sz="0" w:space="0" w:color="auto"/>
        <w:right w:val="none" w:sz="0" w:space="0" w:color="auto"/>
      </w:divBdr>
    </w:div>
    <w:div w:id="1248928424">
      <w:marLeft w:val="0"/>
      <w:marRight w:val="0"/>
      <w:marTop w:val="0"/>
      <w:marBottom w:val="0"/>
      <w:divBdr>
        <w:top w:val="none" w:sz="0" w:space="0" w:color="auto"/>
        <w:left w:val="none" w:sz="0" w:space="0" w:color="auto"/>
        <w:bottom w:val="none" w:sz="0" w:space="0" w:color="auto"/>
        <w:right w:val="none" w:sz="0" w:space="0" w:color="auto"/>
      </w:divBdr>
    </w:div>
    <w:div w:id="1250193311">
      <w:marLeft w:val="0"/>
      <w:marRight w:val="0"/>
      <w:marTop w:val="0"/>
      <w:marBottom w:val="0"/>
      <w:divBdr>
        <w:top w:val="none" w:sz="0" w:space="0" w:color="auto"/>
        <w:left w:val="none" w:sz="0" w:space="0" w:color="auto"/>
        <w:bottom w:val="none" w:sz="0" w:space="0" w:color="auto"/>
        <w:right w:val="none" w:sz="0" w:space="0" w:color="auto"/>
      </w:divBdr>
    </w:div>
    <w:div w:id="1250239896">
      <w:marLeft w:val="0"/>
      <w:marRight w:val="0"/>
      <w:marTop w:val="0"/>
      <w:marBottom w:val="0"/>
      <w:divBdr>
        <w:top w:val="none" w:sz="0" w:space="0" w:color="auto"/>
        <w:left w:val="none" w:sz="0" w:space="0" w:color="auto"/>
        <w:bottom w:val="none" w:sz="0" w:space="0" w:color="auto"/>
        <w:right w:val="none" w:sz="0" w:space="0" w:color="auto"/>
      </w:divBdr>
    </w:div>
    <w:div w:id="1251088898">
      <w:marLeft w:val="0"/>
      <w:marRight w:val="0"/>
      <w:marTop w:val="0"/>
      <w:marBottom w:val="0"/>
      <w:divBdr>
        <w:top w:val="none" w:sz="0" w:space="0" w:color="auto"/>
        <w:left w:val="none" w:sz="0" w:space="0" w:color="auto"/>
        <w:bottom w:val="none" w:sz="0" w:space="0" w:color="auto"/>
        <w:right w:val="none" w:sz="0" w:space="0" w:color="auto"/>
      </w:divBdr>
    </w:div>
    <w:div w:id="1253050391">
      <w:marLeft w:val="0"/>
      <w:marRight w:val="0"/>
      <w:marTop w:val="0"/>
      <w:marBottom w:val="0"/>
      <w:divBdr>
        <w:top w:val="none" w:sz="0" w:space="0" w:color="auto"/>
        <w:left w:val="none" w:sz="0" w:space="0" w:color="auto"/>
        <w:bottom w:val="none" w:sz="0" w:space="0" w:color="auto"/>
        <w:right w:val="none" w:sz="0" w:space="0" w:color="auto"/>
      </w:divBdr>
    </w:div>
    <w:div w:id="1254440673">
      <w:marLeft w:val="0"/>
      <w:marRight w:val="0"/>
      <w:marTop w:val="0"/>
      <w:marBottom w:val="0"/>
      <w:divBdr>
        <w:top w:val="none" w:sz="0" w:space="0" w:color="auto"/>
        <w:left w:val="none" w:sz="0" w:space="0" w:color="auto"/>
        <w:bottom w:val="none" w:sz="0" w:space="0" w:color="auto"/>
        <w:right w:val="none" w:sz="0" w:space="0" w:color="auto"/>
      </w:divBdr>
    </w:div>
    <w:div w:id="1255093615">
      <w:marLeft w:val="0"/>
      <w:marRight w:val="0"/>
      <w:marTop w:val="0"/>
      <w:marBottom w:val="0"/>
      <w:divBdr>
        <w:top w:val="none" w:sz="0" w:space="0" w:color="auto"/>
        <w:left w:val="none" w:sz="0" w:space="0" w:color="auto"/>
        <w:bottom w:val="none" w:sz="0" w:space="0" w:color="auto"/>
        <w:right w:val="none" w:sz="0" w:space="0" w:color="auto"/>
      </w:divBdr>
    </w:div>
    <w:div w:id="1256473066">
      <w:marLeft w:val="0"/>
      <w:marRight w:val="0"/>
      <w:marTop w:val="0"/>
      <w:marBottom w:val="0"/>
      <w:divBdr>
        <w:top w:val="none" w:sz="0" w:space="0" w:color="auto"/>
        <w:left w:val="none" w:sz="0" w:space="0" w:color="auto"/>
        <w:bottom w:val="none" w:sz="0" w:space="0" w:color="auto"/>
        <w:right w:val="none" w:sz="0" w:space="0" w:color="auto"/>
      </w:divBdr>
    </w:div>
    <w:div w:id="1257589862">
      <w:marLeft w:val="0"/>
      <w:marRight w:val="0"/>
      <w:marTop w:val="0"/>
      <w:marBottom w:val="0"/>
      <w:divBdr>
        <w:top w:val="none" w:sz="0" w:space="0" w:color="auto"/>
        <w:left w:val="none" w:sz="0" w:space="0" w:color="auto"/>
        <w:bottom w:val="none" w:sz="0" w:space="0" w:color="auto"/>
        <w:right w:val="none" w:sz="0" w:space="0" w:color="auto"/>
      </w:divBdr>
    </w:div>
    <w:div w:id="1257708803">
      <w:marLeft w:val="0"/>
      <w:marRight w:val="0"/>
      <w:marTop w:val="0"/>
      <w:marBottom w:val="0"/>
      <w:divBdr>
        <w:top w:val="none" w:sz="0" w:space="0" w:color="auto"/>
        <w:left w:val="none" w:sz="0" w:space="0" w:color="auto"/>
        <w:bottom w:val="none" w:sz="0" w:space="0" w:color="auto"/>
        <w:right w:val="none" w:sz="0" w:space="0" w:color="auto"/>
      </w:divBdr>
    </w:div>
    <w:div w:id="1257711478">
      <w:marLeft w:val="0"/>
      <w:marRight w:val="0"/>
      <w:marTop w:val="0"/>
      <w:marBottom w:val="0"/>
      <w:divBdr>
        <w:top w:val="none" w:sz="0" w:space="0" w:color="auto"/>
        <w:left w:val="none" w:sz="0" w:space="0" w:color="auto"/>
        <w:bottom w:val="none" w:sz="0" w:space="0" w:color="auto"/>
        <w:right w:val="none" w:sz="0" w:space="0" w:color="auto"/>
      </w:divBdr>
    </w:div>
    <w:div w:id="1257712095">
      <w:marLeft w:val="0"/>
      <w:marRight w:val="0"/>
      <w:marTop w:val="0"/>
      <w:marBottom w:val="0"/>
      <w:divBdr>
        <w:top w:val="none" w:sz="0" w:space="0" w:color="auto"/>
        <w:left w:val="none" w:sz="0" w:space="0" w:color="auto"/>
        <w:bottom w:val="none" w:sz="0" w:space="0" w:color="auto"/>
        <w:right w:val="none" w:sz="0" w:space="0" w:color="auto"/>
      </w:divBdr>
    </w:div>
    <w:div w:id="1257863520">
      <w:marLeft w:val="0"/>
      <w:marRight w:val="0"/>
      <w:marTop w:val="0"/>
      <w:marBottom w:val="0"/>
      <w:divBdr>
        <w:top w:val="none" w:sz="0" w:space="0" w:color="auto"/>
        <w:left w:val="none" w:sz="0" w:space="0" w:color="auto"/>
        <w:bottom w:val="none" w:sz="0" w:space="0" w:color="auto"/>
        <w:right w:val="none" w:sz="0" w:space="0" w:color="auto"/>
      </w:divBdr>
    </w:div>
    <w:div w:id="1258440682">
      <w:marLeft w:val="0"/>
      <w:marRight w:val="0"/>
      <w:marTop w:val="0"/>
      <w:marBottom w:val="0"/>
      <w:divBdr>
        <w:top w:val="none" w:sz="0" w:space="0" w:color="auto"/>
        <w:left w:val="none" w:sz="0" w:space="0" w:color="auto"/>
        <w:bottom w:val="none" w:sz="0" w:space="0" w:color="auto"/>
        <w:right w:val="none" w:sz="0" w:space="0" w:color="auto"/>
      </w:divBdr>
    </w:div>
    <w:div w:id="1258634184">
      <w:marLeft w:val="0"/>
      <w:marRight w:val="0"/>
      <w:marTop w:val="0"/>
      <w:marBottom w:val="0"/>
      <w:divBdr>
        <w:top w:val="none" w:sz="0" w:space="0" w:color="auto"/>
        <w:left w:val="none" w:sz="0" w:space="0" w:color="auto"/>
        <w:bottom w:val="none" w:sz="0" w:space="0" w:color="auto"/>
        <w:right w:val="none" w:sz="0" w:space="0" w:color="auto"/>
      </w:divBdr>
    </w:div>
    <w:div w:id="1259674391">
      <w:marLeft w:val="0"/>
      <w:marRight w:val="0"/>
      <w:marTop w:val="60"/>
      <w:marBottom w:val="0"/>
      <w:divBdr>
        <w:top w:val="none" w:sz="0" w:space="0" w:color="auto"/>
        <w:left w:val="none" w:sz="0" w:space="0" w:color="auto"/>
        <w:bottom w:val="none" w:sz="0" w:space="0" w:color="auto"/>
        <w:right w:val="none" w:sz="0" w:space="0" w:color="auto"/>
      </w:divBdr>
    </w:div>
    <w:div w:id="1259752179">
      <w:marLeft w:val="0"/>
      <w:marRight w:val="0"/>
      <w:marTop w:val="0"/>
      <w:marBottom w:val="0"/>
      <w:divBdr>
        <w:top w:val="none" w:sz="0" w:space="0" w:color="auto"/>
        <w:left w:val="none" w:sz="0" w:space="0" w:color="auto"/>
        <w:bottom w:val="none" w:sz="0" w:space="0" w:color="auto"/>
        <w:right w:val="none" w:sz="0" w:space="0" w:color="auto"/>
      </w:divBdr>
    </w:div>
    <w:div w:id="1259946521">
      <w:marLeft w:val="0"/>
      <w:marRight w:val="0"/>
      <w:marTop w:val="0"/>
      <w:marBottom w:val="0"/>
      <w:divBdr>
        <w:top w:val="none" w:sz="0" w:space="0" w:color="auto"/>
        <w:left w:val="none" w:sz="0" w:space="0" w:color="auto"/>
        <w:bottom w:val="none" w:sz="0" w:space="0" w:color="auto"/>
        <w:right w:val="none" w:sz="0" w:space="0" w:color="auto"/>
      </w:divBdr>
    </w:div>
    <w:div w:id="1260484445">
      <w:marLeft w:val="0"/>
      <w:marRight w:val="0"/>
      <w:marTop w:val="0"/>
      <w:marBottom w:val="0"/>
      <w:divBdr>
        <w:top w:val="none" w:sz="0" w:space="0" w:color="auto"/>
        <w:left w:val="none" w:sz="0" w:space="0" w:color="auto"/>
        <w:bottom w:val="none" w:sz="0" w:space="0" w:color="auto"/>
        <w:right w:val="none" w:sz="0" w:space="0" w:color="auto"/>
      </w:divBdr>
    </w:div>
    <w:div w:id="1261528881">
      <w:marLeft w:val="0"/>
      <w:marRight w:val="0"/>
      <w:marTop w:val="0"/>
      <w:marBottom w:val="0"/>
      <w:divBdr>
        <w:top w:val="none" w:sz="0" w:space="0" w:color="auto"/>
        <w:left w:val="none" w:sz="0" w:space="0" w:color="auto"/>
        <w:bottom w:val="none" w:sz="0" w:space="0" w:color="auto"/>
        <w:right w:val="none" w:sz="0" w:space="0" w:color="auto"/>
      </w:divBdr>
    </w:div>
    <w:div w:id="1262180513">
      <w:marLeft w:val="0"/>
      <w:marRight w:val="0"/>
      <w:marTop w:val="0"/>
      <w:marBottom w:val="0"/>
      <w:divBdr>
        <w:top w:val="none" w:sz="0" w:space="0" w:color="auto"/>
        <w:left w:val="none" w:sz="0" w:space="0" w:color="auto"/>
        <w:bottom w:val="none" w:sz="0" w:space="0" w:color="auto"/>
        <w:right w:val="none" w:sz="0" w:space="0" w:color="auto"/>
      </w:divBdr>
    </w:div>
    <w:div w:id="1262690262">
      <w:marLeft w:val="0"/>
      <w:marRight w:val="0"/>
      <w:marTop w:val="0"/>
      <w:marBottom w:val="0"/>
      <w:divBdr>
        <w:top w:val="none" w:sz="0" w:space="0" w:color="auto"/>
        <w:left w:val="none" w:sz="0" w:space="0" w:color="auto"/>
        <w:bottom w:val="none" w:sz="0" w:space="0" w:color="auto"/>
        <w:right w:val="none" w:sz="0" w:space="0" w:color="auto"/>
      </w:divBdr>
    </w:div>
    <w:div w:id="1262714762">
      <w:marLeft w:val="0"/>
      <w:marRight w:val="0"/>
      <w:marTop w:val="0"/>
      <w:marBottom w:val="0"/>
      <w:divBdr>
        <w:top w:val="none" w:sz="0" w:space="0" w:color="auto"/>
        <w:left w:val="none" w:sz="0" w:space="0" w:color="auto"/>
        <w:bottom w:val="none" w:sz="0" w:space="0" w:color="auto"/>
        <w:right w:val="none" w:sz="0" w:space="0" w:color="auto"/>
      </w:divBdr>
    </w:div>
    <w:div w:id="1263369434">
      <w:marLeft w:val="0"/>
      <w:marRight w:val="0"/>
      <w:marTop w:val="0"/>
      <w:marBottom w:val="0"/>
      <w:divBdr>
        <w:top w:val="none" w:sz="0" w:space="0" w:color="auto"/>
        <w:left w:val="none" w:sz="0" w:space="0" w:color="auto"/>
        <w:bottom w:val="none" w:sz="0" w:space="0" w:color="auto"/>
        <w:right w:val="none" w:sz="0" w:space="0" w:color="auto"/>
      </w:divBdr>
    </w:div>
    <w:div w:id="1263493575">
      <w:marLeft w:val="0"/>
      <w:marRight w:val="0"/>
      <w:marTop w:val="0"/>
      <w:marBottom w:val="0"/>
      <w:divBdr>
        <w:top w:val="none" w:sz="0" w:space="0" w:color="auto"/>
        <w:left w:val="none" w:sz="0" w:space="0" w:color="auto"/>
        <w:bottom w:val="none" w:sz="0" w:space="0" w:color="auto"/>
        <w:right w:val="none" w:sz="0" w:space="0" w:color="auto"/>
      </w:divBdr>
    </w:div>
    <w:div w:id="1263563878">
      <w:marLeft w:val="0"/>
      <w:marRight w:val="0"/>
      <w:marTop w:val="0"/>
      <w:marBottom w:val="0"/>
      <w:divBdr>
        <w:top w:val="none" w:sz="0" w:space="0" w:color="auto"/>
        <w:left w:val="none" w:sz="0" w:space="0" w:color="auto"/>
        <w:bottom w:val="none" w:sz="0" w:space="0" w:color="auto"/>
        <w:right w:val="none" w:sz="0" w:space="0" w:color="auto"/>
      </w:divBdr>
    </w:div>
    <w:div w:id="1264415441">
      <w:marLeft w:val="0"/>
      <w:marRight w:val="0"/>
      <w:marTop w:val="0"/>
      <w:marBottom w:val="0"/>
      <w:divBdr>
        <w:top w:val="none" w:sz="0" w:space="0" w:color="auto"/>
        <w:left w:val="none" w:sz="0" w:space="0" w:color="auto"/>
        <w:bottom w:val="none" w:sz="0" w:space="0" w:color="auto"/>
        <w:right w:val="none" w:sz="0" w:space="0" w:color="auto"/>
      </w:divBdr>
    </w:div>
    <w:div w:id="1265114835">
      <w:marLeft w:val="0"/>
      <w:marRight w:val="0"/>
      <w:marTop w:val="0"/>
      <w:marBottom w:val="0"/>
      <w:divBdr>
        <w:top w:val="none" w:sz="0" w:space="0" w:color="auto"/>
        <w:left w:val="none" w:sz="0" w:space="0" w:color="auto"/>
        <w:bottom w:val="none" w:sz="0" w:space="0" w:color="auto"/>
        <w:right w:val="none" w:sz="0" w:space="0" w:color="auto"/>
      </w:divBdr>
    </w:div>
    <w:div w:id="1265573650">
      <w:marLeft w:val="0"/>
      <w:marRight w:val="0"/>
      <w:marTop w:val="0"/>
      <w:marBottom w:val="0"/>
      <w:divBdr>
        <w:top w:val="none" w:sz="0" w:space="0" w:color="auto"/>
        <w:left w:val="none" w:sz="0" w:space="0" w:color="auto"/>
        <w:bottom w:val="none" w:sz="0" w:space="0" w:color="auto"/>
        <w:right w:val="none" w:sz="0" w:space="0" w:color="auto"/>
      </w:divBdr>
    </w:div>
    <w:div w:id="1266111337">
      <w:marLeft w:val="0"/>
      <w:marRight w:val="0"/>
      <w:marTop w:val="0"/>
      <w:marBottom w:val="0"/>
      <w:divBdr>
        <w:top w:val="none" w:sz="0" w:space="0" w:color="auto"/>
        <w:left w:val="none" w:sz="0" w:space="0" w:color="auto"/>
        <w:bottom w:val="none" w:sz="0" w:space="0" w:color="auto"/>
        <w:right w:val="none" w:sz="0" w:space="0" w:color="auto"/>
      </w:divBdr>
    </w:div>
    <w:div w:id="1267689522">
      <w:marLeft w:val="0"/>
      <w:marRight w:val="0"/>
      <w:marTop w:val="0"/>
      <w:marBottom w:val="0"/>
      <w:divBdr>
        <w:top w:val="none" w:sz="0" w:space="0" w:color="auto"/>
        <w:left w:val="none" w:sz="0" w:space="0" w:color="auto"/>
        <w:bottom w:val="none" w:sz="0" w:space="0" w:color="auto"/>
        <w:right w:val="none" w:sz="0" w:space="0" w:color="auto"/>
      </w:divBdr>
    </w:div>
    <w:div w:id="1268198372">
      <w:marLeft w:val="0"/>
      <w:marRight w:val="0"/>
      <w:marTop w:val="0"/>
      <w:marBottom w:val="0"/>
      <w:divBdr>
        <w:top w:val="none" w:sz="0" w:space="0" w:color="auto"/>
        <w:left w:val="none" w:sz="0" w:space="0" w:color="auto"/>
        <w:bottom w:val="none" w:sz="0" w:space="0" w:color="auto"/>
        <w:right w:val="none" w:sz="0" w:space="0" w:color="auto"/>
      </w:divBdr>
    </w:div>
    <w:div w:id="1268199016">
      <w:marLeft w:val="0"/>
      <w:marRight w:val="0"/>
      <w:marTop w:val="100"/>
      <w:marBottom w:val="100"/>
      <w:divBdr>
        <w:top w:val="none" w:sz="0" w:space="0" w:color="auto"/>
        <w:left w:val="none" w:sz="0" w:space="0" w:color="auto"/>
        <w:bottom w:val="none" w:sz="0" w:space="0" w:color="auto"/>
        <w:right w:val="none" w:sz="0" w:space="0" w:color="auto"/>
      </w:divBdr>
      <w:divsChild>
        <w:div w:id="723138922">
          <w:marLeft w:val="0"/>
          <w:marRight w:val="0"/>
          <w:marTop w:val="0"/>
          <w:marBottom w:val="0"/>
          <w:divBdr>
            <w:top w:val="none" w:sz="0" w:space="0" w:color="auto"/>
            <w:left w:val="none" w:sz="0" w:space="0" w:color="auto"/>
            <w:bottom w:val="none" w:sz="0" w:space="0" w:color="auto"/>
            <w:right w:val="none" w:sz="0" w:space="0" w:color="auto"/>
          </w:divBdr>
        </w:div>
        <w:div w:id="660431225">
          <w:marLeft w:val="0"/>
          <w:marRight w:val="0"/>
          <w:marTop w:val="0"/>
          <w:marBottom w:val="0"/>
          <w:divBdr>
            <w:top w:val="none" w:sz="0" w:space="0" w:color="auto"/>
            <w:left w:val="none" w:sz="0" w:space="0" w:color="auto"/>
            <w:bottom w:val="none" w:sz="0" w:space="0" w:color="auto"/>
            <w:right w:val="none" w:sz="0" w:space="0" w:color="auto"/>
          </w:divBdr>
        </w:div>
      </w:divsChild>
    </w:div>
    <w:div w:id="1268392090">
      <w:marLeft w:val="0"/>
      <w:marRight w:val="0"/>
      <w:marTop w:val="0"/>
      <w:marBottom w:val="0"/>
      <w:divBdr>
        <w:top w:val="none" w:sz="0" w:space="0" w:color="auto"/>
        <w:left w:val="none" w:sz="0" w:space="0" w:color="auto"/>
        <w:bottom w:val="none" w:sz="0" w:space="0" w:color="auto"/>
        <w:right w:val="none" w:sz="0" w:space="0" w:color="auto"/>
      </w:divBdr>
      <w:divsChild>
        <w:div w:id="2003847252">
          <w:marLeft w:val="0"/>
          <w:marRight w:val="0"/>
          <w:marTop w:val="0"/>
          <w:marBottom w:val="0"/>
          <w:divBdr>
            <w:top w:val="none" w:sz="0" w:space="0" w:color="auto"/>
            <w:left w:val="none" w:sz="0" w:space="0" w:color="auto"/>
            <w:bottom w:val="none" w:sz="0" w:space="0" w:color="auto"/>
            <w:right w:val="none" w:sz="0" w:space="0" w:color="auto"/>
          </w:divBdr>
        </w:div>
      </w:divsChild>
    </w:div>
    <w:div w:id="1269116225">
      <w:marLeft w:val="0"/>
      <w:marRight w:val="0"/>
      <w:marTop w:val="100"/>
      <w:marBottom w:val="100"/>
      <w:divBdr>
        <w:top w:val="none" w:sz="0" w:space="0" w:color="auto"/>
        <w:left w:val="none" w:sz="0" w:space="0" w:color="auto"/>
        <w:bottom w:val="none" w:sz="0" w:space="0" w:color="auto"/>
        <w:right w:val="none" w:sz="0" w:space="0" w:color="auto"/>
      </w:divBdr>
      <w:divsChild>
        <w:div w:id="2054039364">
          <w:marLeft w:val="0"/>
          <w:marRight w:val="0"/>
          <w:marTop w:val="0"/>
          <w:marBottom w:val="0"/>
          <w:divBdr>
            <w:top w:val="none" w:sz="0" w:space="0" w:color="auto"/>
            <w:left w:val="none" w:sz="0" w:space="0" w:color="auto"/>
            <w:bottom w:val="none" w:sz="0" w:space="0" w:color="auto"/>
            <w:right w:val="none" w:sz="0" w:space="0" w:color="auto"/>
          </w:divBdr>
        </w:div>
        <w:div w:id="1665081794">
          <w:marLeft w:val="0"/>
          <w:marRight w:val="0"/>
          <w:marTop w:val="0"/>
          <w:marBottom w:val="0"/>
          <w:divBdr>
            <w:top w:val="none" w:sz="0" w:space="0" w:color="auto"/>
            <w:left w:val="none" w:sz="0" w:space="0" w:color="auto"/>
            <w:bottom w:val="none" w:sz="0" w:space="0" w:color="auto"/>
            <w:right w:val="none" w:sz="0" w:space="0" w:color="auto"/>
          </w:divBdr>
        </w:div>
        <w:div w:id="614941960">
          <w:marLeft w:val="0"/>
          <w:marRight w:val="0"/>
          <w:marTop w:val="0"/>
          <w:marBottom w:val="0"/>
          <w:divBdr>
            <w:top w:val="none" w:sz="0" w:space="0" w:color="auto"/>
            <w:left w:val="none" w:sz="0" w:space="0" w:color="auto"/>
            <w:bottom w:val="none" w:sz="0" w:space="0" w:color="auto"/>
            <w:right w:val="none" w:sz="0" w:space="0" w:color="auto"/>
          </w:divBdr>
        </w:div>
        <w:div w:id="1316952295">
          <w:marLeft w:val="0"/>
          <w:marRight w:val="0"/>
          <w:marTop w:val="0"/>
          <w:marBottom w:val="0"/>
          <w:divBdr>
            <w:top w:val="none" w:sz="0" w:space="0" w:color="auto"/>
            <w:left w:val="none" w:sz="0" w:space="0" w:color="auto"/>
            <w:bottom w:val="none" w:sz="0" w:space="0" w:color="auto"/>
            <w:right w:val="none" w:sz="0" w:space="0" w:color="auto"/>
          </w:divBdr>
        </w:div>
        <w:div w:id="1914700720">
          <w:marLeft w:val="0"/>
          <w:marRight w:val="0"/>
          <w:marTop w:val="0"/>
          <w:marBottom w:val="0"/>
          <w:divBdr>
            <w:top w:val="none" w:sz="0" w:space="0" w:color="auto"/>
            <w:left w:val="none" w:sz="0" w:space="0" w:color="auto"/>
            <w:bottom w:val="none" w:sz="0" w:space="0" w:color="auto"/>
            <w:right w:val="none" w:sz="0" w:space="0" w:color="auto"/>
          </w:divBdr>
        </w:div>
        <w:div w:id="91511013">
          <w:marLeft w:val="0"/>
          <w:marRight w:val="0"/>
          <w:marTop w:val="0"/>
          <w:marBottom w:val="0"/>
          <w:divBdr>
            <w:top w:val="none" w:sz="0" w:space="0" w:color="auto"/>
            <w:left w:val="none" w:sz="0" w:space="0" w:color="auto"/>
            <w:bottom w:val="none" w:sz="0" w:space="0" w:color="auto"/>
            <w:right w:val="none" w:sz="0" w:space="0" w:color="auto"/>
          </w:divBdr>
        </w:div>
      </w:divsChild>
    </w:div>
    <w:div w:id="1269435732">
      <w:marLeft w:val="0"/>
      <w:marRight w:val="0"/>
      <w:marTop w:val="0"/>
      <w:marBottom w:val="0"/>
      <w:divBdr>
        <w:top w:val="none" w:sz="0" w:space="0" w:color="auto"/>
        <w:left w:val="none" w:sz="0" w:space="0" w:color="auto"/>
        <w:bottom w:val="none" w:sz="0" w:space="0" w:color="auto"/>
        <w:right w:val="none" w:sz="0" w:space="0" w:color="auto"/>
      </w:divBdr>
    </w:div>
    <w:div w:id="1269699760">
      <w:marLeft w:val="0"/>
      <w:marRight w:val="0"/>
      <w:marTop w:val="0"/>
      <w:marBottom w:val="0"/>
      <w:divBdr>
        <w:top w:val="none" w:sz="0" w:space="0" w:color="auto"/>
        <w:left w:val="none" w:sz="0" w:space="0" w:color="auto"/>
        <w:bottom w:val="none" w:sz="0" w:space="0" w:color="auto"/>
        <w:right w:val="none" w:sz="0" w:space="0" w:color="auto"/>
      </w:divBdr>
    </w:div>
    <w:div w:id="1269966050">
      <w:marLeft w:val="0"/>
      <w:marRight w:val="0"/>
      <w:marTop w:val="0"/>
      <w:marBottom w:val="0"/>
      <w:divBdr>
        <w:top w:val="none" w:sz="0" w:space="0" w:color="auto"/>
        <w:left w:val="none" w:sz="0" w:space="0" w:color="auto"/>
        <w:bottom w:val="none" w:sz="0" w:space="0" w:color="auto"/>
        <w:right w:val="none" w:sz="0" w:space="0" w:color="auto"/>
      </w:divBdr>
    </w:div>
    <w:div w:id="1272973084">
      <w:marLeft w:val="0"/>
      <w:marRight w:val="0"/>
      <w:marTop w:val="0"/>
      <w:marBottom w:val="0"/>
      <w:divBdr>
        <w:top w:val="none" w:sz="0" w:space="0" w:color="auto"/>
        <w:left w:val="none" w:sz="0" w:space="0" w:color="auto"/>
        <w:bottom w:val="none" w:sz="0" w:space="0" w:color="auto"/>
        <w:right w:val="none" w:sz="0" w:space="0" w:color="auto"/>
      </w:divBdr>
    </w:div>
    <w:div w:id="1273047648">
      <w:marLeft w:val="0"/>
      <w:marRight w:val="0"/>
      <w:marTop w:val="0"/>
      <w:marBottom w:val="0"/>
      <w:divBdr>
        <w:top w:val="none" w:sz="0" w:space="0" w:color="auto"/>
        <w:left w:val="none" w:sz="0" w:space="0" w:color="auto"/>
        <w:bottom w:val="none" w:sz="0" w:space="0" w:color="auto"/>
        <w:right w:val="none" w:sz="0" w:space="0" w:color="auto"/>
      </w:divBdr>
    </w:div>
    <w:div w:id="1275671639">
      <w:marLeft w:val="0"/>
      <w:marRight w:val="0"/>
      <w:marTop w:val="0"/>
      <w:marBottom w:val="0"/>
      <w:divBdr>
        <w:top w:val="none" w:sz="0" w:space="0" w:color="auto"/>
        <w:left w:val="none" w:sz="0" w:space="0" w:color="auto"/>
        <w:bottom w:val="none" w:sz="0" w:space="0" w:color="auto"/>
        <w:right w:val="none" w:sz="0" w:space="0" w:color="auto"/>
      </w:divBdr>
    </w:div>
    <w:div w:id="1276404912">
      <w:marLeft w:val="0"/>
      <w:marRight w:val="0"/>
      <w:marTop w:val="0"/>
      <w:marBottom w:val="0"/>
      <w:divBdr>
        <w:top w:val="none" w:sz="0" w:space="0" w:color="auto"/>
        <w:left w:val="none" w:sz="0" w:space="0" w:color="auto"/>
        <w:bottom w:val="none" w:sz="0" w:space="0" w:color="auto"/>
        <w:right w:val="none" w:sz="0" w:space="0" w:color="auto"/>
      </w:divBdr>
    </w:div>
    <w:div w:id="1277177659">
      <w:marLeft w:val="0"/>
      <w:marRight w:val="0"/>
      <w:marTop w:val="0"/>
      <w:marBottom w:val="0"/>
      <w:divBdr>
        <w:top w:val="none" w:sz="0" w:space="0" w:color="auto"/>
        <w:left w:val="none" w:sz="0" w:space="0" w:color="auto"/>
        <w:bottom w:val="none" w:sz="0" w:space="0" w:color="auto"/>
        <w:right w:val="none" w:sz="0" w:space="0" w:color="auto"/>
      </w:divBdr>
    </w:div>
    <w:div w:id="1278219584">
      <w:marLeft w:val="0"/>
      <w:marRight w:val="0"/>
      <w:marTop w:val="0"/>
      <w:marBottom w:val="0"/>
      <w:divBdr>
        <w:top w:val="none" w:sz="0" w:space="0" w:color="auto"/>
        <w:left w:val="none" w:sz="0" w:space="0" w:color="auto"/>
        <w:bottom w:val="none" w:sz="0" w:space="0" w:color="auto"/>
        <w:right w:val="none" w:sz="0" w:space="0" w:color="auto"/>
      </w:divBdr>
    </w:div>
    <w:div w:id="1279029631">
      <w:marLeft w:val="0"/>
      <w:marRight w:val="0"/>
      <w:marTop w:val="0"/>
      <w:marBottom w:val="0"/>
      <w:divBdr>
        <w:top w:val="none" w:sz="0" w:space="0" w:color="auto"/>
        <w:left w:val="none" w:sz="0" w:space="0" w:color="auto"/>
        <w:bottom w:val="none" w:sz="0" w:space="0" w:color="auto"/>
        <w:right w:val="none" w:sz="0" w:space="0" w:color="auto"/>
      </w:divBdr>
    </w:div>
    <w:div w:id="1279606408">
      <w:marLeft w:val="0"/>
      <w:marRight w:val="0"/>
      <w:marTop w:val="0"/>
      <w:marBottom w:val="0"/>
      <w:divBdr>
        <w:top w:val="none" w:sz="0" w:space="0" w:color="auto"/>
        <w:left w:val="none" w:sz="0" w:space="0" w:color="auto"/>
        <w:bottom w:val="none" w:sz="0" w:space="0" w:color="auto"/>
        <w:right w:val="none" w:sz="0" w:space="0" w:color="auto"/>
      </w:divBdr>
    </w:div>
    <w:div w:id="1279606984">
      <w:marLeft w:val="0"/>
      <w:marRight w:val="0"/>
      <w:marTop w:val="0"/>
      <w:marBottom w:val="0"/>
      <w:divBdr>
        <w:top w:val="none" w:sz="0" w:space="0" w:color="auto"/>
        <w:left w:val="none" w:sz="0" w:space="0" w:color="auto"/>
        <w:bottom w:val="none" w:sz="0" w:space="0" w:color="auto"/>
        <w:right w:val="none" w:sz="0" w:space="0" w:color="auto"/>
      </w:divBdr>
    </w:div>
    <w:div w:id="1279683782">
      <w:marLeft w:val="0"/>
      <w:marRight w:val="0"/>
      <w:marTop w:val="0"/>
      <w:marBottom w:val="0"/>
      <w:divBdr>
        <w:top w:val="none" w:sz="0" w:space="0" w:color="auto"/>
        <w:left w:val="none" w:sz="0" w:space="0" w:color="auto"/>
        <w:bottom w:val="none" w:sz="0" w:space="0" w:color="auto"/>
        <w:right w:val="none" w:sz="0" w:space="0" w:color="auto"/>
      </w:divBdr>
    </w:div>
    <w:div w:id="1280337778">
      <w:marLeft w:val="0"/>
      <w:marRight w:val="0"/>
      <w:marTop w:val="0"/>
      <w:marBottom w:val="0"/>
      <w:divBdr>
        <w:top w:val="none" w:sz="0" w:space="0" w:color="auto"/>
        <w:left w:val="none" w:sz="0" w:space="0" w:color="auto"/>
        <w:bottom w:val="none" w:sz="0" w:space="0" w:color="auto"/>
        <w:right w:val="none" w:sz="0" w:space="0" w:color="auto"/>
      </w:divBdr>
    </w:div>
    <w:div w:id="1280799955">
      <w:marLeft w:val="0"/>
      <w:marRight w:val="0"/>
      <w:marTop w:val="0"/>
      <w:marBottom w:val="0"/>
      <w:divBdr>
        <w:top w:val="none" w:sz="0" w:space="0" w:color="auto"/>
        <w:left w:val="none" w:sz="0" w:space="0" w:color="auto"/>
        <w:bottom w:val="none" w:sz="0" w:space="0" w:color="auto"/>
        <w:right w:val="none" w:sz="0" w:space="0" w:color="auto"/>
      </w:divBdr>
    </w:div>
    <w:div w:id="1282224581">
      <w:marLeft w:val="0"/>
      <w:marRight w:val="0"/>
      <w:marTop w:val="0"/>
      <w:marBottom w:val="0"/>
      <w:divBdr>
        <w:top w:val="none" w:sz="0" w:space="0" w:color="auto"/>
        <w:left w:val="none" w:sz="0" w:space="0" w:color="auto"/>
        <w:bottom w:val="none" w:sz="0" w:space="0" w:color="auto"/>
        <w:right w:val="none" w:sz="0" w:space="0" w:color="auto"/>
      </w:divBdr>
    </w:div>
    <w:div w:id="1282422359">
      <w:marLeft w:val="0"/>
      <w:marRight w:val="0"/>
      <w:marTop w:val="0"/>
      <w:marBottom w:val="0"/>
      <w:divBdr>
        <w:top w:val="none" w:sz="0" w:space="0" w:color="auto"/>
        <w:left w:val="none" w:sz="0" w:space="0" w:color="auto"/>
        <w:bottom w:val="none" w:sz="0" w:space="0" w:color="auto"/>
        <w:right w:val="none" w:sz="0" w:space="0" w:color="auto"/>
      </w:divBdr>
    </w:div>
    <w:div w:id="1283415956">
      <w:marLeft w:val="0"/>
      <w:marRight w:val="0"/>
      <w:marTop w:val="0"/>
      <w:marBottom w:val="0"/>
      <w:divBdr>
        <w:top w:val="none" w:sz="0" w:space="0" w:color="auto"/>
        <w:left w:val="none" w:sz="0" w:space="0" w:color="auto"/>
        <w:bottom w:val="none" w:sz="0" w:space="0" w:color="auto"/>
        <w:right w:val="none" w:sz="0" w:space="0" w:color="auto"/>
      </w:divBdr>
    </w:div>
    <w:div w:id="1283533413">
      <w:marLeft w:val="0"/>
      <w:marRight w:val="0"/>
      <w:marTop w:val="0"/>
      <w:marBottom w:val="0"/>
      <w:divBdr>
        <w:top w:val="none" w:sz="0" w:space="0" w:color="auto"/>
        <w:left w:val="none" w:sz="0" w:space="0" w:color="auto"/>
        <w:bottom w:val="none" w:sz="0" w:space="0" w:color="auto"/>
        <w:right w:val="none" w:sz="0" w:space="0" w:color="auto"/>
      </w:divBdr>
    </w:div>
    <w:div w:id="1284338850">
      <w:marLeft w:val="0"/>
      <w:marRight w:val="0"/>
      <w:marTop w:val="0"/>
      <w:marBottom w:val="0"/>
      <w:divBdr>
        <w:top w:val="none" w:sz="0" w:space="0" w:color="auto"/>
        <w:left w:val="none" w:sz="0" w:space="0" w:color="auto"/>
        <w:bottom w:val="none" w:sz="0" w:space="0" w:color="auto"/>
        <w:right w:val="none" w:sz="0" w:space="0" w:color="auto"/>
      </w:divBdr>
    </w:div>
    <w:div w:id="1284460090">
      <w:marLeft w:val="0"/>
      <w:marRight w:val="0"/>
      <w:marTop w:val="100"/>
      <w:marBottom w:val="100"/>
      <w:divBdr>
        <w:top w:val="none" w:sz="0" w:space="0" w:color="auto"/>
        <w:left w:val="none" w:sz="0" w:space="0" w:color="auto"/>
        <w:bottom w:val="none" w:sz="0" w:space="0" w:color="auto"/>
        <w:right w:val="none" w:sz="0" w:space="0" w:color="auto"/>
      </w:divBdr>
      <w:divsChild>
        <w:div w:id="957107181">
          <w:marLeft w:val="0"/>
          <w:marRight w:val="0"/>
          <w:marTop w:val="0"/>
          <w:marBottom w:val="0"/>
          <w:divBdr>
            <w:top w:val="none" w:sz="0" w:space="0" w:color="auto"/>
            <w:left w:val="none" w:sz="0" w:space="0" w:color="auto"/>
            <w:bottom w:val="none" w:sz="0" w:space="0" w:color="auto"/>
            <w:right w:val="none" w:sz="0" w:space="0" w:color="auto"/>
          </w:divBdr>
        </w:div>
        <w:div w:id="1347564115">
          <w:marLeft w:val="0"/>
          <w:marRight w:val="0"/>
          <w:marTop w:val="0"/>
          <w:marBottom w:val="0"/>
          <w:divBdr>
            <w:top w:val="none" w:sz="0" w:space="0" w:color="auto"/>
            <w:left w:val="none" w:sz="0" w:space="0" w:color="auto"/>
            <w:bottom w:val="none" w:sz="0" w:space="0" w:color="auto"/>
            <w:right w:val="none" w:sz="0" w:space="0" w:color="auto"/>
          </w:divBdr>
        </w:div>
        <w:div w:id="1130707081">
          <w:marLeft w:val="0"/>
          <w:marRight w:val="0"/>
          <w:marTop w:val="0"/>
          <w:marBottom w:val="0"/>
          <w:divBdr>
            <w:top w:val="none" w:sz="0" w:space="0" w:color="auto"/>
            <w:left w:val="none" w:sz="0" w:space="0" w:color="auto"/>
            <w:bottom w:val="none" w:sz="0" w:space="0" w:color="auto"/>
            <w:right w:val="none" w:sz="0" w:space="0" w:color="auto"/>
          </w:divBdr>
        </w:div>
        <w:div w:id="1874883752">
          <w:marLeft w:val="0"/>
          <w:marRight w:val="0"/>
          <w:marTop w:val="0"/>
          <w:marBottom w:val="0"/>
          <w:divBdr>
            <w:top w:val="none" w:sz="0" w:space="0" w:color="auto"/>
            <w:left w:val="none" w:sz="0" w:space="0" w:color="auto"/>
            <w:bottom w:val="none" w:sz="0" w:space="0" w:color="auto"/>
            <w:right w:val="none" w:sz="0" w:space="0" w:color="auto"/>
          </w:divBdr>
        </w:div>
      </w:divsChild>
    </w:div>
    <w:div w:id="1284768703">
      <w:marLeft w:val="0"/>
      <w:marRight w:val="0"/>
      <w:marTop w:val="0"/>
      <w:marBottom w:val="0"/>
      <w:divBdr>
        <w:top w:val="none" w:sz="0" w:space="0" w:color="auto"/>
        <w:left w:val="none" w:sz="0" w:space="0" w:color="auto"/>
        <w:bottom w:val="none" w:sz="0" w:space="0" w:color="auto"/>
        <w:right w:val="none" w:sz="0" w:space="0" w:color="auto"/>
      </w:divBdr>
    </w:div>
    <w:div w:id="1285161116">
      <w:marLeft w:val="0"/>
      <w:marRight w:val="0"/>
      <w:marTop w:val="0"/>
      <w:marBottom w:val="0"/>
      <w:divBdr>
        <w:top w:val="none" w:sz="0" w:space="0" w:color="auto"/>
        <w:left w:val="none" w:sz="0" w:space="0" w:color="auto"/>
        <w:bottom w:val="none" w:sz="0" w:space="0" w:color="auto"/>
        <w:right w:val="none" w:sz="0" w:space="0" w:color="auto"/>
      </w:divBdr>
    </w:div>
    <w:div w:id="1285577526">
      <w:marLeft w:val="0"/>
      <w:marRight w:val="0"/>
      <w:marTop w:val="100"/>
      <w:marBottom w:val="100"/>
      <w:divBdr>
        <w:top w:val="none" w:sz="0" w:space="0" w:color="auto"/>
        <w:left w:val="none" w:sz="0" w:space="0" w:color="auto"/>
        <w:bottom w:val="none" w:sz="0" w:space="0" w:color="auto"/>
        <w:right w:val="none" w:sz="0" w:space="0" w:color="auto"/>
      </w:divBdr>
      <w:divsChild>
        <w:div w:id="2130974399">
          <w:marLeft w:val="0"/>
          <w:marRight w:val="0"/>
          <w:marTop w:val="0"/>
          <w:marBottom w:val="0"/>
          <w:divBdr>
            <w:top w:val="none" w:sz="0" w:space="0" w:color="auto"/>
            <w:left w:val="none" w:sz="0" w:space="0" w:color="auto"/>
            <w:bottom w:val="none" w:sz="0" w:space="0" w:color="auto"/>
            <w:right w:val="none" w:sz="0" w:space="0" w:color="auto"/>
          </w:divBdr>
        </w:div>
        <w:div w:id="1023897342">
          <w:marLeft w:val="0"/>
          <w:marRight w:val="0"/>
          <w:marTop w:val="0"/>
          <w:marBottom w:val="0"/>
          <w:divBdr>
            <w:top w:val="none" w:sz="0" w:space="0" w:color="auto"/>
            <w:left w:val="none" w:sz="0" w:space="0" w:color="auto"/>
            <w:bottom w:val="none" w:sz="0" w:space="0" w:color="auto"/>
            <w:right w:val="none" w:sz="0" w:space="0" w:color="auto"/>
          </w:divBdr>
        </w:div>
        <w:div w:id="527371994">
          <w:marLeft w:val="0"/>
          <w:marRight w:val="0"/>
          <w:marTop w:val="0"/>
          <w:marBottom w:val="0"/>
          <w:divBdr>
            <w:top w:val="none" w:sz="0" w:space="0" w:color="auto"/>
            <w:left w:val="none" w:sz="0" w:space="0" w:color="auto"/>
            <w:bottom w:val="none" w:sz="0" w:space="0" w:color="auto"/>
            <w:right w:val="none" w:sz="0" w:space="0" w:color="auto"/>
          </w:divBdr>
        </w:div>
        <w:div w:id="1446926116">
          <w:marLeft w:val="0"/>
          <w:marRight w:val="0"/>
          <w:marTop w:val="0"/>
          <w:marBottom w:val="0"/>
          <w:divBdr>
            <w:top w:val="none" w:sz="0" w:space="0" w:color="auto"/>
            <w:left w:val="none" w:sz="0" w:space="0" w:color="auto"/>
            <w:bottom w:val="none" w:sz="0" w:space="0" w:color="auto"/>
            <w:right w:val="none" w:sz="0" w:space="0" w:color="auto"/>
          </w:divBdr>
        </w:div>
        <w:div w:id="308829443">
          <w:marLeft w:val="0"/>
          <w:marRight w:val="0"/>
          <w:marTop w:val="0"/>
          <w:marBottom w:val="0"/>
          <w:divBdr>
            <w:top w:val="none" w:sz="0" w:space="0" w:color="auto"/>
            <w:left w:val="none" w:sz="0" w:space="0" w:color="auto"/>
            <w:bottom w:val="none" w:sz="0" w:space="0" w:color="auto"/>
            <w:right w:val="none" w:sz="0" w:space="0" w:color="auto"/>
          </w:divBdr>
        </w:div>
        <w:div w:id="1846480575">
          <w:marLeft w:val="0"/>
          <w:marRight w:val="0"/>
          <w:marTop w:val="0"/>
          <w:marBottom w:val="0"/>
          <w:divBdr>
            <w:top w:val="none" w:sz="0" w:space="0" w:color="auto"/>
            <w:left w:val="none" w:sz="0" w:space="0" w:color="auto"/>
            <w:bottom w:val="none" w:sz="0" w:space="0" w:color="auto"/>
            <w:right w:val="none" w:sz="0" w:space="0" w:color="auto"/>
          </w:divBdr>
        </w:div>
        <w:div w:id="1042439653">
          <w:marLeft w:val="0"/>
          <w:marRight w:val="0"/>
          <w:marTop w:val="0"/>
          <w:marBottom w:val="0"/>
          <w:divBdr>
            <w:top w:val="none" w:sz="0" w:space="0" w:color="auto"/>
            <w:left w:val="none" w:sz="0" w:space="0" w:color="auto"/>
            <w:bottom w:val="none" w:sz="0" w:space="0" w:color="auto"/>
            <w:right w:val="none" w:sz="0" w:space="0" w:color="auto"/>
          </w:divBdr>
        </w:div>
        <w:div w:id="722757434">
          <w:marLeft w:val="0"/>
          <w:marRight w:val="0"/>
          <w:marTop w:val="0"/>
          <w:marBottom w:val="0"/>
          <w:divBdr>
            <w:top w:val="none" w:sz="0" w:space="0" w:color="auto"/>
            <w:left w:val="none" w:sz="0" w:space="0" w:color="auto"/>
            <w:bottom w:val="none" w:sz="0" w:space="0" w:color="auto"/>
            <w:right w:val="none" w:sz="0" w:space="0" w:color="auto"/>
          </w:divBdr>
        </w:div>
        <w:div w:id="980812012">
          <w:marLeft w:val="0"/>
          <w:marRight w:val="0"/>
          <w:marTop w:val="0"/>
          <w:marBottom w:val="0"/>
          <w:divBdr>
            <w:top w:val="none" w:sz="0" w:space="0" w:color="auto"/>
            <w:left w:val="none" w:sz="0" w:space="0" w:color="auto"/>
            <w:bottom w:val="none" w:sz="0" w:space="0" w:color="auto"/>
            <w:right w:val="none" w:sz="0" w:space="0" w:color="auto"/>
          </w:divBdr>
        </w:div>
        <w:div w:id="1686665359">
          <w:marLeft w:val="0"/>
          <w:marRight w:val="0"/>
          <w:marTop w:val="0"/>
          <w:marBottom w:val="0"/>
          <w:divBdr>
            <w:top w:val="none" w:sz="0" w:space="0" w:color="auto"/>
            <w:left w:val="none" w:sz="0" w:space="0" w:color="auto"/>
            <w:bottom w:val="none" w:sz="0" w:space="0" w:color="auto"/>
            <w:right w:val="none" w:sz="0" w:space="0" w:color="auto"/>
          </w:divBdr>
        </w:div>
        <w:div w:id="614335694">
          <w:marLeft w:val="0"/>
          <w:marRight w:val="0"/>
          <w:marTop w:val="0"/>
          <w:marBottom w:val="0"/>
          <w:divBdr>
            <w:top w:val="none" w:sz="0" w:space="0" w:color="auto"/>
            <w:left w:val="none" w:sz="0" w:space="0" w:color="auto"/>
            <w:bottom w:val="none" w:sz="0" w:space="0" w:color="auto"/>
            <w:right w:val="none" w:sz="0" w:space="0" w:color="auto"/>
          </w:divBdr>
        </w:div>
        <w:div w:id="1297299160">
          <w:marLeft w:val="0"/>
          <w:marRight w:val="0"/>
          <w:marTop w:val="0"/>
          <w:marBottom w:val="0"/>
          <w:divBdr>
            <w:top w:val="none" w:sz="0" w:space="0" w:color="auto"/>
            <w:left w:val="none" w:sz="0" w:space="0" w:color="auto"/>
            <w:bottom w:val="none" w:sz="0" w:space="0" w:color="auto"/>
            <w:right w:val="none" w:sz="0" w:space="0" w:color="auto"/>
          </w:divBdr>
        </w:div>
        <w:div w:id="623998182">
          <w:marLeft w:val="0"/>
          <w:marRight w:val="0"/>
          <w:marTop w:val="0"/>
          <w:marBottom w:val="0"/>
          <w:divBdr>
            <w:top w:val="none" w:sz="0" w:space="0" w:color="auto"/>
            <w:left w:val="none" w:sz="0" w:space="0" w:color="auto"/>
            <w:bottom w:val="none" w:sz="0" w:space="0" w:color="auto"/>
            <w:right w:val="none" w:sz="0" w:space="0" w:color="auto"/>
          </w:divBdr>
        </w:div>
        <w:div w:id="1390570812">
          <w:marLeft w:val="0"/>
          <w:marRight w:val="0"/>
          <w:marTop w:val="0"/>
          <w:marBottom w:val="0"/>
          <w:divBdr>
            <w:top w:val="none" w:sz="0" w:space="0" w:color="auto"/>
            <w:left w:val="none" w:sz="0" w:space="0" w:color="auto"/>
            <w:bottom w:val="none" w:sz="0" w:space="0" w:color="auto"/>
            <w:right w:val="none" w:sz="0" w:space="0" w:color="auto"/>
          </w:divBdr>
        </w:div>
        <w:div w:id="749430051">
          <w:marLeft w:val="0"/>
          <w:marRight w:val="0"/>
          <w:marTop w:val="0"/>
          <w:marBottom w:val="0"/>
          <w:divBdr>
            <w:top w:val="none" w:sz="0" w:space="0" w:color="auto"/>
            <w:left w:val="none" w:sz="0" w:space="0" w:color="auto"/>
            <w:bottom w:val="none" w:sz="0" w:space="0" w:color="auto"/>
            <w:right w:val="none" w:sz="0" w:space="0" w:color="auto"/>
          </w:divBdr>
        </w:div>
        <w:div w:id="399593763">
          <w:marLeft w:val="0"/>
          <w:marRight w:val="0"/>
          <w:marTop w:val="0"/>
          <w:marBottom w:val="0"/>
          <w:divBdr>
            <w:top w:val="none" w:sz="0" w:space="0" w:color="auto"/>
            <w:left w:val="none" w:sz="0" w:space="0" w:color="auto"/>
            <w:bottom w:val="none" w:sz="0" w:space="0" w:color="auto"/>
            <w:right w:val="none" w:sz="0" w:space="0" w:color="auto"/>
          </w:divBdr>
        </w:div>
        <w:div w:id="1364406018">
          <w:marLeft w:val="0"/>
          <w:marRight w:val="0"/>
          <w:marTop w:val="0"/>
          <w:marBottom w:val="0"/>
          <w:divBdr>
            <w:top w:val="none" w:sz="0" w:space="0" w:color="auto"/>
            <w:left w:val="none" w:sz="0" w:space="0" w:color="auto"/>
            <w:bottom w:val="none" w:sz="0" w:space="0" w:color="auto"/>
            <w:right w:val="none" w:sz="0" w:space="0" w:color="auto"/>
          </w:divBdr>
        </w:div>
        <w:div w:id="13306805">
          <w:marLeft w:val="0"/>
          <w:marRight w:val="0"/>
          <w:marTop w:val="0"/>
          <w:marBottom w:val="0"/>
          <w:divBdr>
            <w:top w:val="none" w:sz="0" w:space="0" w:color="auto"/>
            <w:left w:val="none" w:sz="0" w:space="0" w:color="auto"/>
            <w:bottom w:val="none" w:sz="0" w:space="0" w:color="auto"/>
            <w:right w:val="none" w:sz="0" w:space="0" w:color="auto"/>
          </w:divBdr>
        </w:div>
      </w:divsChild>
    </w:div>
    <w:div w:id="1286230997">
      <w:marLeft w:val="0"/>
      <w:marRight w:val="0"/>
      <w:marTop w:val="0"/>
      <w:marBottom w:val="0"/>
      <w:divBdr>
        <w:top w:val="none" w:sz="0" w:space="0" w:color="auto"/>
        <w:left w:val="none" w:sz="0" w:space="0" w:color="auto"/>
        <w:bottom w:val="none" w:sz="0" w:space="0" w:color="auto"/>
        <w:right w:val="none" w:sz="0" w:space="0" w:color="auto"/>
      </w:divBdr>
    </w:div>
    <w:div w:id="1286808206">
      <w:marLeft w:val="0"/>
      <w:marRight w:val="0"/>
      <w:marTop w:val="0"/>
      <w:marBottom w:val="0"/>
      <w:divBdr>
        <w:top w:val="none" w:sz="0" w:space="0" w:color="auto"/>
        <w:left w:val="none" w:sz="0" w:space="0" w:color="auto"/>
        <w:bottom w:val="none" w:sz="0" w:space="0" w:color="auto"/>
        <w:right w:val="none" w:sz="0" w:space="0" w:color="auto"/>
      </w:divBdr>
    </w:div>
    <w:div w:id="1287010783">
      <w:marLeft w:val="0"/>
      <w:marRight w:val="0"/>
      <w:marTop w:val="0"/>
      <w:marBottom w:val="0"/>
      <w:divBdr>
        <w:top w:val="none" w:sz="0" w:space="0" w:color="auto"/>
        <w:left w:val="none" w:sz="0" w:space="0" w:color="auto"/>
        <w:bottom w:val="none" w:sz="0" w:space="0" w:color="auto"/>
        <w:right w:val="none" w:sz="0" w:space="0" w:color="auto"/>
      </w:divBdr>
    </w:div>
    <w:div w:id="1289895823">
      <w:marLeft w:val="0"/>
      <w:marRight w:val="0"/>
      <w:marTop w:val="0"/>
      <w:marBottom w:val="0"/>
      <w:divBdr>
        <w:top w:val="none" w:sz="0" w:space="0" w:color="auto"/>
        <w:left w:val="none" w:sz="0" w:space="0" w:color="auto"/>
        <w:bottom w:val="none" w:sz="0" w:space="0" w:color="auto"/>
        <w:right w:val="none" w:sz="0" w:space="0" w:color="auto"/>
      </w:divBdr>
    </w:div>
    <w:div w:id="1291205410">
      <w:marLeft w:val="0"/>
      <w:marRight w:val="0"/>
      <w:marTop w:val="0"/>
      <w:marBottom w:val="0"/>
      <w:divBdr>
        <w:top w:val="none" w:sz="0" w:space="0" w:color="auto"/>
        <w:left w:val="none" w:sz="0" w:space="0" w:color="auto"/>
        <w:bottom w:val="none" w:sz="0" w:space="0" w:color="auto"/>
        <w:right w:val="none" w:sz="0" w:space="0" w:color="auto"/>
      </w:divBdr>
    </w:div>
    <w:div w:id="1291208907">
      <w:marLeft w:val="0"/>
      <w:marRight w:val="0"/>
      <w:marTop w:val="0"/>
      <w:marBottom w:val="0"/>
      <w:divBdr>
        <w:top w:val="none" w:sz="0" w:space="0" w:color="auto"/>
        <w:left w:val="none" w:sz="0" w:space="0" w:color="auto"/>
        <w:bottom w:val="none" w:sz="0" w:space="0" w:color="auto"/>
        <w:right w:val="none" w:sz="0" w:space="0" w:color="auto"/>
      </w:divBdr>
    </w:div>
    <w:div w:id="1291937804">
      <w:marLeft w:val="0"/>
      <w:marRight w:val="0"/>
      <w:marTop w:val="0"/>
      <w:marBottom w:val="0"/>
      <w:divBdr>
        <w:top w:val="none" w:sz="0" w:space="0" w:color="auto"/>
        <w:left w:val="none" w:sz="0" w:space="0" w:color="auto"/>
        <w:bottom w:val="none" w:sz="0" w:space="0" w:color="auto"/>
        <w:right w:val="none" w:sz="0" w:space="0" w:color="auto"/>
      </w:divBdr>
    </w:div>
    <w:div w:id="1292714520">
      <w:marLeft w:val="0"/>
      <w:marRight w:val="0"/>
      <w:marTop w:val="0"/>
      <w:marBottom w:val="0"/>
      <w:divBdr>
        <w:top w:val="none" w:sz="0" w:space="0" w:color="auto"/>
        <w:left w:val="none" w:sz="0" w:space="0" w:color="auto"/>
        <w:bottom w:val="none" w:sz="0" w:space="0" w:color="auto"/>
        <w:right w:val="none" w:sz="0" w:space="0" w:color="auto"/>
      </w:divBdr>
    </w:div>
    <w:div w:id="1293092567">
      <w:marLeft w:val="0"/>
      <w:marRight w:val="0"/>
      <w:marTop w:val="0"/>
      <w:marBottom w:val="0"/>
      <w:divBdr>
        <w:top w:val="none" w:sz="0" w:space="0" w:color="auto"/>
        <w:left w:val="none" w:sz="0" w:space="0" w:color="auto"/>
        <w:bottom w:val="none" w:sz="0" w:space="0" w:color="auto"/>
        <w:right w:val="none" w:sz="0" w:space="0" w:color="auto"/>
      </w:divBdr>
    </w:div>
    <w:div w:id="1293825070">
      <w:marLeft w:val="0"/>
      <w:marRight w:val="0"/>
      <w:marTop w:val="0"/>
      <w:marBottom w:val="0"/>
      <w:divBdr>
        <w:top w:val="none" w:sz="0" w:space="0" w:color="auto"/>
        <w:left w:val="none" w:sz="0" w:space="0" w:color="auto"/>
        <w:bottom w:val="none" w:sz="0" w:space="0" w:color="auto"/>
        <w:right w:val="none" w:sz="0" w:space="0" w:color="auto"/>
      </w:divBdr>
    </w:div>
    <w:div w:id="1294290538">
      <w:marLeft w:val="0"/>
      <w:marRight w:val="0"/>
      <w:marTop w:val="0"/>
      <w:marBottom w:val="0"/>
      <w:divBdr>
        <w:top w:val="none" w:sz="0" w:space="0" w:color="auto"/>
        <w:left w:val="none" w:sz="0" w:space="0" w:color="auto"/>
        <w:bottom w:val="none" w:sz="0" w:space="0" w:color="auto"/>
        <w:right w:val="none" w:sz="0" w:space="0" w:color="auto"/>
      </w:divBdr>
    </w:div>
    <w:div w:id="1294478177">
      <w:marLeft w:val="0"/>
      <w:marRight w:val="0"/>
      <w:marTop w:val="0"/>
      <w:marBottom w:val="0"/>
      <w:divBdr>
        <w:top w:val="none" w:sz="0" w:space="0" w:color="auto"/>
        <w:left w:val="none" w:sz="0" w:space="0" w:color="auto"/>
        <w:bottom w:val="none" w:sz="0" w:space="0" w:color="auto"/>
        <w:right w:val="none" w:sz="0" w:space="0" w:color="auto"/>
      </w:divBdr>
    </w:div>
    <w:div w:id="1295793618">
      <w:marLeft w:val="0"/>
      <w:marRight w:val="0"/>
      <w:marTop w:val="0"/>
      <w:marBottom w:val="0"/>
      <w:divBdr>
        <w:top w:val="none" w:sz="0" w:space="0" w:color="auto"/>
        <w:left w:val="none" w:sz="0" w:space="0" w:color="auto"/>
        <w:bottom w:val="none" w:sz="0" w:space="0" w:color="auto"/>
        <w:right w:val="none" w:sz="0" w:space="0" w:color="auto"/>
      </w:divBdr>
    </w:div>
    <w:div w:id="1295915590">
      <w:marLeft w:val="0"/>
      <w:marRight w:val="0"/>
      <w:marTop w:val="0"/>
      <w:marBottom w:val="0"/>
      <w:divBdr>
        <w:top w:val="none" w:sz="0" w:space="0" w:color="auto"/>
        <w:left w:val="none" w:sz="0" w:space="0" w:color="auto"/>
        <w:bottom w:val="none" w:sz="0" w:space="0" w:color="auto"/>
        <w:right w:val="none" w:sz="0" w:space="0" w:color="auto"/>
      </w:divBdr>
    </w:div>
    <w:div w:id="1296254251">
      <w:marLeft w:val="0"/>
      <w:marRight w:val="0"/>
      <w:marTop w:val="0"/>
      <w:marBottom w:val="0"/>
      <w:divBdr>
        <w:top w:val="none" w:sz="0" w:space="0" w:color="auto"/>
        <w:left w:val="none" w:sz="0" w:space="0" w:color="auto"/>
        <w:bottom w:val="none" w:sz="0" w:space="0" w:color="auto"/>
        <w:right w:val="none" w:sz="0" w:space="0" w:color="auto"/>
      </w:divBdr>
    </w:div>
    <w:div w:id="1296985654">
      <w:marLeft w:val="0"/>
      <w:marRight w:val="0"/>
      <w:marTop w:val="0"/>
      <w:marBottom w:val="0"/>
      <w:divBdr>
        <w:top w:val="none" w:sz="0" w:space="0" w:color="auto"/>
        <w:left w:val="none" w:sz="0" w:space="0" w:color="auto"/>
        <w:bottom w:val="none" w:sz="0" w:space="0" w:color="auto"/>
        <w:right w:val="none" w:sz="0" w:space="0" w:color="auto"/>
      </w:divBdr>
    </w:div>
    <w:div w:id="1297684231">
      <w:marLeft w:val="0"/>
      <w:marRight w:val="0"/>
      <w:marTop w:val="0"/>
      <w:marBottom w:val="0"/>
      <w:divBdr>
        <w:top w:val="none" w:sz="0" w:space="0" w:color="auto"/>
        <w:left w:val="none" w:sz="0" w:space="0" w:color="auto"/>
        <w:bottom w:val="none" w:sz="0" w:space="0" w:color="auto"/>
        <w:right w:val="none" w:sz="0" w:space="0" w:color="auto"/>
      </w:divBdr>
    </w:div>
    <w:div w:id="1298414304">
      <w:marLeft w:val="0"/>
      <w:marRight w:val="0"/>
      <w:marTop w:val="0"/>
      <w:marBottom w:val="0"/>
      <w:divBdr>
        <w:top w:val="none" w:sz="0" w:space="0" w:color="auto"/>
        <w:left w:val="none" w:sz="0" w:space="0" w:color="auto"/>
        <w:bottom w:val="none" w:sz="0" w:space="0" w:color="auto"/>
        <w:right w:val="none" w:sz="0" w:space="0" w:color="auto"/>
      </w:divBdr>
    </w:div>
    <w:div w:id="1299870950">
      <w:marLeft w:val="0"/>
      <w:marRight w:val="0"/>
      <w:marTop w:val="0"/>
      <w:marBottom w:val="0"/>
      <w:divBdr>
        <w:top w:val="none" w:sz="0" w:space="0" w:color="auto"/>
        <w:left w:val="none" w:sz="0" w:space="0" w:color="auto"/>
        <w:bottom w:val="none" w:sz="0" w:space="0" w:color="auto"/>
        <w:right w:val="none" w:sz="0" w:space="0" w:color="auto"/>
      </w:divBdr>
    </w:div>
    <w:div w:id="1299913245">
      <w:marLeft w:val="0"/>
      <w:marRight w:val="0"/>
      <w:marTop w:val="0"/>
      <w:marBottom w:val="0"/>
      <w:divBdr>
        <w:top w:val="none" w:sz="0" w:space="0" w:color="auto"/>
        <w:left w:val="none" w:sz="0" w:space="0" w:color="auto"/>
        <w:bottom w:val="none" w:sz="0" w:space="0" w:color="auto"/>
        <w:right w:val="none" w:sz="0" w:space="0" w:color="auto"/>
      </w:divBdr>
    </w:div>
    <w:div w:id="1299992567">
      <w:marLeft w:val="0"/>
      <w:marRight w:val="0"/>
      <w:marTop w:val="0"/>
      <w:marBottom w:val="0"/>
      <w:divBdr>
        <w:top w:val="none" w:sz="0" w:space="0" w:color="auto"/>
        <w:left w:val="none" w:sz="0" w:space="0" w:color="auto"/>
        <w:bottom w:val="none" w:sz="0" w:space="0" w:color="auto"/>
        <w:right w:val="none" w:sz="0" w:space="0" w:color="auto"/>
      </w:divBdr>
    </w:div>
    <w:div w:id="1300303641">
      <w:marLeft w:val="0"/>
      <w:marRight w:val="0"/>
      <w:marTop w:val="0"/>
      <w:marBottom w:val="0"/>
      <w:divBdr>
        <w:top w:val="none" w:sz="0" w:space="0" w:color="auto"/>
        <w:left w:val="none" w:sz="0" w:space="0" w:color="auto"/>
        <w:bottom w:val="none" w:sz="0" w:space="0" w:color="auto"/>
        <w:right w:val="none" w:sz="0" w:space="0" w:color="auto"/>
      </w:divBdr>
    </w:div>
    <w:div w:id="1300384765">
      <w:marLeft w:val="0"/>
      <w:marRight w:val="0"/>
      <w:marTop w:val="0"/>
      <w:marBottom w:val="0"/>
      <w:divBdr>
        <w:top w:val="none" w:sz="0" w:space="0" w:color="auto"/>
        <w:left w:val="none" w:sz="0" w:space="0" w:color="auto"/>
        <w:bottom w:val="none" w:sz="0" w:space="0" w:color="auto"/>
        <w:right w:val="none" w:sz="0" w:space="0" w:color="auto"/>
      </w:divBdr>
    </w:div>
    <w:div w:id="1300649625">
      <w:marLeft w:val="0"/>
      <w:marRight w:val="0"/>
      <w:marTop w:val="0"/>
      <w:marBottom w:val="0"/>
      <w:divBdr>
        <w:top w:val="none" w:sz="0" w:space="0" w:color="auto"/>
        <w:left w:val="none" w:sz="0" w:space="0" w:color="auto"/>
        <w:bottom w:val="none" w:sz="0" w:space="0" w:color="auto"/>
        <w:right w:val="none" w:sz="0" w:space="0" w:color="auto"/>
      </w:divBdr>
    </w:div>
    <w:div w:id="1300723726">
      <w:marLeft w:val="0"/>
      <w:marRight w:val="0"/>
      <w:marTop w:val="0"/>
      <w:marBottom w:val="0"/>
      <w:divBdr>
        <w:top w:val="none" w:sz="0" w:space="0" w:color="auto"/>
        <w:left w:val="none" w:sz="0" w:space="0" w:color="auto"/>
        <w:bottom w:val="none" w:sz="0" w:space="0" w:color="auto"/>
        <w:right w:val="none" w:sz="0" w:space="0" w:color="auto"/>
      </w:divBdr>
    </w:div>
    <w:div w:id="1301111656">
      <w:marLeft w:val="0"/>
      <w:marRight w:val="0"/>
      <w:marTop w:val="0"/>
      <w:marBottom w:val="0"/>
      <w:divBdr>
        <w:top w:val="none" w:sz="0" w:space="0" w:color="auto"/>
        <w:left w:val="none" w:sz="0" w:space="0" w:color="auto"/>
        <w:bottom w:val="none" w:sz="0" w:space="0" w:color="auto"/>
        <w:right w:val="none" w:sz="0" w:space="0" w:color="auto"/>
      </w:divBdr>
    </w:div>
    <w:div w:id="1301765933">
      <w:marLeft w:val="0"/>
      <w:marRight w:val="0"/>
      <w:marTop w:val="0"/>
      <w:marBottom w:val="0"/>
      <w:divBdr>
        <w:top w:val="none" w:sz="0" w:space="0" w:color="auto"/>
        <w:left w:val="none" w:sz="0" w:space="0" w:color="auto"/>
        <w:bottom w:val="none" w:sz="0" w:space="0" w:color="auto"/>
        <w:right w:val="none" w:sz="0" w:space="0" w:color="auto"/>
      </w:divBdr>
    </w:div>
    <w:div w:id="1303343855">
      <w:marLeft w:val="0"/>
      <w:marRight w:val="0"/>
      <w:marTop w:val="0"/>
      <w:marBottom w:val="0"/>
      <w:divBdr>
        <w:top w:val="none" w:sz="0" w:space="0" w:color="auto"/>
        <w:left w:val="none" w:sz="0" w:space="0" w:color="auto"/>
        <w:bottom w:val="none" w:sz="0" w:space="0" w:color="auto"/>
        <w:right w:val="none" w:sz="0" w:space="0" w:color="auto"/>
      </w:divBdr>
    </w:div>
    <w:div w:id="1303844828">
      <w:marLeft w:val="0"/>
      <w:marRight w:val="0"/>
      <w:marTop w:val="0"/>
      <w:marBottom w:val="0"/>
      <w:divBdr>
        <w:top w:val="none" w:sz="0" w:space="0" w:color="auto"/>
        <w:left w:val="none" w:sz="0" w:space="0" w:color="auto"/>
        <w:bottom w:val="none" w:sz="0" w:space="0" w:color="auto"/>
        <w:right w:val="none" w:sz="0" w:space="0" w:color="auto"/>
      </w:divBdr>
    </w:div>
    <w:div w:id="1304312349">
      <w:marLeft w:val="0"/>
      <w:marRight w:val="0"/>
      <w:marTop w:val="0"/>
      <w:marBottom w:val="0"/>
      <w:divBdr>
        <w:top w:val="none" w:sz="0" w:space="0" w:color="auto"/>
        <w:left w:val="none" w:sz="0" w:space="0" w:color="auto"/>
        <w:bottom w:val="none" w:sz="0" w:space="0" w:color="auto"/>
        <w:right w:val="none" w:sz="0" w:space="0" w:color="auto"/>
      </w:divBdr>
      <w:divsChild>
        <w:div w:id="182715131">
          <w:marLeft w:val="0"/>
          <w:marRight w:val="0"/>
          <w:marTop w:val="0"/>
          <w:marBottom w:val="0"/>
          <w:divBdr>
            <w:top w:val="none" w:sz="0" w:space="0" w:color="auto"/>
            <w:left w:val="none" w:sz="0" w:space="0" w:color="auto"/>
            <w:bottom w:val="none" w:sz="0" w:space="0" w:color="auto"/>
            <w:right w:val="none" w:sz="0" w:space="0" w:color="auto"/>
          </w:divBdr>
        </w:div>
      </w:divsChild>
    </w:div>
    <w:div w:id="1304693530">
      <w:marLeft w:val="0"/>
      <w:marRight w:val="0"/>
      <w:marTop w:val="0"/>
      <w:marBottom w:val="0"/>
      <w:divBdr>
        <w:top w:val="none" w:sz="0" w:space="0" w:color="auto"/>
        <w:left w:val="none" w:sz="0" w:space="0" w:color="auto"/>
        <w:bottom w:val="none" w:sz="0" w:space="0" w:color="auto"/>
        <w:right w:val="none" w:sz="0" w:space="0" w:color="auto"/>
      </w:divBdr>
    </w:div>
    <w:div w:id="1306275988">
      <w:marLeft w:val="0"/>
      <w:marRight w:val="0"/>
      <w:marTop w:val="0"/>
      <w:marBottom w:val="0"/>
      <w:divBdr>
        <w:top w:val="none" w:sz="0" w:space="0" w:color="auto"/>
        <w:left w:val="none" w:sz="0" w:space="0" w:color="auto"/>
        <w:bottom w:val="none" w:sz="0" w:space="0" w:color="auto"/>
        <w:right w:val="none" w:sz="0" w:space="0" w:color="auto"/>
      </w:divBdr>
    </w:div>
    <w:div w:id="1309819244">
      <w:marLeft w:val="0"/>
      <w:marRight w:val="0"/>
      <w:marTop w:val="0"/>
      <w:marBottom w:val="0"/>
      <w:divBdr>
        <w:top w:val="none" w:sz="0" w:space="0" w:color="auto"/>
        <w:left w:val="none" w:sz="0" w:space="0" w:color="auto"/>
        <w:bottom w:val="none" w:sz="0" w:space="0" w:color="auto"/>
        <w:right w:val="none" w:sz="0" w:space="0" w:color="auto"/>
      </w:divBdr>
    </w:div>
    <w:div w:id="1311204713">
      <w:marLeft w:val="0"/>
      <w:marRight w:val="0"/>
      <w:marTop w:val="0"/>
      <w:marBottom w:val="0"/>
      <w:divBdr>
        <w:top w:val="none" w:sz="0" w:space="0" w:color="auto"/>
        <w:left w:val="none" w:sz="0" w:space="0" w:color="auto"/>
        <w:bottom w:val="none" w:sz="0" w:space="0" w:color="auto"/>
        <w:right w:val="none" w:sz="0" w:space="0" w:color="auto"/>
      </w:divBdr>
    </w:div>
    <w:div w:id="1311902691">
      <w:marLeft w:val="0"/>
      <w:marRight w:val="0"/>
      <w:marTop w:val="0"/>
      <w:marBottom w:val="0"/>
      <w:divBdr>
        <w:top w:val="none" w:sz="0" w:space="0" w:color="auto"/>
        <w:left w:val="none" w:sz="0" w:space="0" w:color="auto"/>
        <w:bottom w:val="none" w:sz="0" w:space="0" w:color="auto"/>
        <w:right w:val="none" w:sz="0" w:space="0" w:color="auto"/>
      </w:divBdr>
    </w:div>
    <w:div w:id="1312950498">
      <w:marLeft w:val="0"/>
      <w:marRight w:val="0"/>
      <w:marTop w:val="0"/>
      <w:marBottom w:val="0"/>
      <w:divBdr>
        <w:top w:val="none" w:sz="0" w:space="0" w:color="auto"/>
        <w:left w:val="none" w:sz="0" w:space="0" w:color="auto"/>
        <w:bottom w:val="none" w:sz="0" w:space="0" w:color="auto"/>
        <w:right w:val="none" w:sz="0" w:space="0" w:color="auto"/>
      </w:divBdr>
    </w:div>
    <w:div w:id="1313830855">
      <w:marLeft w:val="0"/>
      <w:marRight w:val="0"/>
      <w:marTop w:val="0"/>
      <w:marBottom w:val="0"/>
      <w:divBdr>
        <w:top w:val="none" w:sz="0" w:space="0" w:color="auto"/>
        <w:left w:val="none" w:sz="0" w:space="0" w:color="auto"/>
        <w:bottom w:val="none" w:sz="0" w:space="0" w:color="auto"/>
        <w:right w:val="none" w:sz="0" w:space="0" w:color="auto"/>
      </w:divBdr>
    </w:div>
    <w:div w:id="1314794191">
      <w:marLeft w:val="0"/>
      <w:marRight w:val="0"/>
      <w:marTop w:val="0"/>
      <w:marBottom w:val="0"/>
      <w:divBdr>
        <w:top w:val="none" w:sz="0" w:space="0" w:color="auto"/>
        <w:left w:val="none" w:sz="0" w:space="0" w:color="auto"/>
        <w:bottom w:val="none" w:sz="0" w:space="0" w:color="auto"/>
        <w:right w:val="none" w:sz="0" w:space="0" w:color="auto"/>
      </w:divBdr>
    </w:div>
    <w:div w:id="1315067082">
      <w:marLeft w:val="0"/>
      <w:marRight w:val="0"/>
      <w:marTop w:val="0"/>
      <w:marBottom w:val="0"/>
      <w:divBdr>
        <w:top w:val="none" w:sz="0" w:space="0" w:color="auto"/>
        <w:left w:val="none" w:sz="0" w:space="0" w:color="auto"/>
        <w:bottom w:val="none" w:sz="0" w:space="0" w:color="auto"/>
        <w:right w:val="none" w:sz="0" w:space="0" w:color="auto"/>
      </w:divBdr>
    </w:div>
    <w:div w:id="1316182945">
      <w:marLeft w:val="0"/>
      <w:marRight w:val="0"/>
      <w:marTop w:val="0"/>
      <w:marBottom w:val="0"/>
      <w:divBdr>
        <w:top w:val="none" w:sz="0" w:space="0" w:color="auto"/>
        <w:left w:val="none" w:sz="0" w:space="0" w:color="auto"/>
        <w:bottom w:val="none" w:sz="0" w:space="0" w:color="auto"/>
        <w:right w:val="none" w:sz="0" w:space="0" w:color="auto"/>
      </w:divBdr>
    </w:div>
    <w:div w:id="1316833336">
      <w:marLeft w:val="0"/>
      <w:marRight w:val="0"/>
      <w:marTop w:val="0"/>
      <w:marBottom w:val="0"/>
      <w:divBdr>
        <w:top w:val="none" w:sz="0" w:space="0" w:color="auto"/>
        <w:left w:val="none" w:sz="0" w:space="0" w:color="auto"/>
        <w:bottom w:val="none" w:sz="0" w:space="0" w:color="auto"/>
        <w:right w:val="none" w:sz="0" w:space="0" w:color="auto"/>
      </w:divBdr>
      <w:divsChild>
        <w:div w:id="1468165313">
          <w:marLeft w:val="0"/>
          <w:marRight w:val="0"/>
          <w:marTop w:val="0"/>
          <w:marBottom w:val="0"/>
          <w:divBdr>
            <w:top w:val="none" w:sz="0" w:space="0" w:color="auto"/>
            <w:left w:val="none" w:sz="0" w:space="0" w:color="auto"/>
            <w:bottom w:val="none" w:sz="0" w:space="0" w:color="auto"/>
            <w:right w:val="none" w:sz="0" w:space="0" w:color="auto"/>
          </w:divBdr>
        </w:div>
      </w:divsChild>
    </w:div>
    <w:div w:id="1317146316">
      <w:marLeft w:val="0"/>
      <w:marRight w:val="0"/>
      <w:marTop w:val="0"/>
      <w:marBottom w:val="0"/>
      <w:divBdr>
        <w:top w:val="none" w:sz="0" w:space="0" w:color="auto"/>
        <w:left w:val="none" w:sz="0" w:space="0" w:color="auto"/>
        <w:bottom w:val="none" w:sz="0" w:space="0" w:color="auto"/>
        <w:right w:val="none" w:sz="0" w:space="0" w:color="auto"/>
      </w:divBdr>
    </w:div>
    <w:div w:id="1317416776">
      <w:marLeft w:val="0"/>
      <w:marRight w:val="0"/>
      <w:marTop w:val="0"/>
      <w:marBottom w:val="0"/>
      <w:divBdr>
        <w:top w:val="none" w:sz="0" w:space="0" w:color="auto"/>
        <w:left w:val="none" w:sz="0" w:space="0" w:color="auto"/>
        <w:bottom w:val="none" w:sz="0" w:space="0" w:color="auto"/>
        <w:right w:val="none" w:sz="0" w:space="0" w:color="auto"/>
      </w:divBdr>
    </w:div>
    <w:div w:id="1319069282">
      <w:marLeft w:val="0"/>
      <w:marRight w:val="0"/>
      <w:marTop w:val="0"/>
      <w:marBottom w:val="0"/>
      <w:divBdr>
        <w:top w:val="none" w:sz="0" w:space="0" w:color="auto"/>
        <w:left w:val="none" w:sz="0" w:space="0" w:color="auto"/>
        <w:bottom w:val="none" w:sz="0" w:space="0" w:color="auto"/>
        <w:right w:val="none" w:sz="0" w:space="0" w:color="auto"/>
      </w:divBdr>
    </w:div>
    <w:div w:id="1320889844">
      <w:marLeft w:val="0"/>
      <w:marRight w:val="0"/>
      <w:marTop w:val="0"/>
      <w:marBottom w:val="0"/>
      <w:divBdr>
        <w:top w:val="none" w:sz="0" w:space="0" w:color="auto"/>
        <w:left w:val="none" w:sz="0" w:space="0" w:color="auto"/>
        <w:bottom w:val="none" w:sz="0" w:space="0" w:color="auto"/>
        <w:right w:val="none" w:sz="0" w:space="0" w:color="auto"/>
      </w:divBdr>
    </w:div>
    <w:div w:id="1321616729">
      <w:marLeft w:val="0"/>
      <w:marRight w:val="0"/>
      <w:marTop w:val="0"/>
      <w:marBottom w:val="0"/>
      <w:divBdr>
        <w:top w:val="none" w:sz="0" w:space="0" w:color="auto"/>
        <w:left w:val="none" w:sz="0" w:space="0" w:color="auto"/>
        <w:bottom w:val="none" w:sz="0" w:space="0" w:color="auto"/>
        <w:right w:val="none" w:sz="0" w:space="0" w:color="auto"/>
      </w:divBdr>
    </w:div>
    <w:div w:id="1322386388">
      <w:marLeft w:val="0"/>
      <w:marRight w:val="0"/>
      <w:marTop w:val="0"/>
      <w:marBottom w:val="0"/>
      <w:divBdr>
        <w:top w:val="none" w:sz="0" w:space="0" w:color="auto"/>
        <w:left w:val="none" w:sz="0" w:space="0" w:color="auto"/>
        <w:bottom w:val="none" w:sz="0" w:space="0" w:color="auto"/>
        <w:right w:val="none" w:sz="0" w:space="0" w:color="auto"/>
      </w:divBdr>
    </w:div>
    <w:div w:id="1322467316">
      <w:marLeft w:val="0"/>
      <w:marRight w:val="0"/>
      <w:marTop w:val="0"/>
      <w:marBottom w:val="0"/>
      <w:divBdr>
        <w:top w:val="none" w:sz="0" w:space="0" w:color="auto"/>
        <w:left w:val="none" w:sz="0" w:space="0" w:color="auto"/>
        <w:bottom w:val="none" w:sz="0" w:space="0" w:color="auto"/>
        <w:right w:val="none" w:sz="0" w:space="0" w:color="auto"/>
      </w:divBdr>
    </w:div>
    <w:div w:id="1323048451">
      <w:marLeft w:val="0"/>
      <w:marRight w:val="0"/>
      <w:marTop w:val="0"/>
      <w:marBottom w:val="0"/>
      <w:divBdr>
        <w:top w:val="none" w:sz="0" w:space="0" w:color="auto"/>
        <w:left w:val="none" w:sz="0" w:space="0" w:color="auto"/>
        <w:bottom w:val="none" w:sz="0" w:space="0" w:color="auto"/>
        <w:right w:val="none" w:sz="0" w:space="0" w:color="auto"/>
      </w:divBdr>
    </w:div>
    <w:div w:id="1323048809">
      <w:marLeft w:val="0"/>
      <w:marRight w:val="0"/>
      <w:marTop w:val="0"/>
      <w:marBottom w:val="0"/>
      <w:divBdr>
        <w:top w:val="none" w:sz="0" w:space="0" w:color="auto"/>
        <w:left w:val="none" w:sz="0" w:space="0" w:color="auto"/>
        <w:bottom w:val="none" w:sz="0" w:space="0" w:color="auto"/>
        <w:right w:val="none" w:sz="0" w:space="0" w:color="auto"/>
      </w:divBdr>
    </w:div>
    <w:div w:id="1323120315">
      <w:marLeft w:val="0"/>
      <w:marRight w:val="0"/>
      <w:marTop w:val="0"/>
      <w:marBottom w:val="0"/>
      <w:divBdr>
        <w:top w:val="none" w:sz="0" w:space="0" w:color="auto"/>
        <w:left w:val="none" w:sz="0" w:space="0" w:color="auto"/>
        <w:bottom w:val="none" w:sz="0" w:space="0" w:color="auto"/>
        <w:right w:val="none" w:sz="0" w:space="0" w:color="auto"/>
      </w:divBdr>
    </w:div>
    <w:div w:id="1323317831">
      <w:marLeft w:val="0"/>
      <w:marRight w:val="0"/>
      <w:marTop w:val="0"/>
      <w:marBottom w:val="0"/>
      <w:divBdr>
        <w:top w:val="none" w:sz="0" w:space="0" w:color="auto"/>
        <w:left w:val="none" w:sz="0" w:space="0" w:color="auto"/>
        <w:bottom w:val="none" w:sz="0" w:space="0" w:color="auto"/>
        <w:right w:val="none" w:sz="0" w:space="0" w:color="auto"/>
      </w:divBdr>
    </w:div>
    <w:div w:id="1323394738">
      <w:marLeft w:val="0"/>
      <w:marRight w:val="0"/>
      <w:marTop w:val="0"/>
      <w:marBottom w:val="0"/>
      <w:divBdr>
        <w:top w:val="none" w:sz="0" w:space="0" w:color="auto"/>
        <w:left w:val="none" w:sz="0" w:space="0" w:color="auto"/>
        <w:bottom w:val="none" w:sz="0" w:space="0" w:color="auto"/>
        <w:right w:val="none" w:sz="0" w:space="0" w:color="auto"/>
      </w:divBdr>
    </w:div>
    <w:div w:id="1323587772">
      <w:marLeft w:val="0"/>
      <w:marRight w:val="0"/>
      <w:marTop w:val="0"/>
      <w:marBottom w:val="0"/>
      <w:divBdr>
        <w:top w:val="none" w:sz="0" w:space="0" w:color="auto"/>
        <w:left w:val="none" w:sz="0" w:space="0" w:color="auto"/>
        <w:bottom w:val="none" w:sz="0" w:space="0" w:color="auto"/>
        <w:right w:val="none" w:sz="0" w:space="0" w:color="auto"/>
      </w:divBdr>
    </w:div>
    <w:div w:id="1325891176">
      <w:marLeft w:val="0"/>
      <w:marRight w:val="0"/>
      <w:marTop w:val="0"/>
      <w:marBottom w:val="0"/>
      <w:divBdr>
        <w:top w:val="none" w:sz="0" w:space="0" w:color="auto"/>
        <w:left w:val="none" w:sz="0" w:space="0" w:color="auto"/>
        <w:bottom w:val="none" w:sz="0" w:space="0" w:color="auto"/>
        <w:right w:val="none" w:sz="0" w:space="0" w:color="auto"/>
      </w:divBdr>
    </w:div>
    <w:div w:id="1326475277">
      <w:marLeft w:val="0"/>
      <w:marRight w:val="0"/>
      <w:marTop w:val="0"/>
      <w:marBottom w:val="0"/>
      <w:divBdr>
        <w:top w:val="none" w:sz="0" w:space="0" w:color="auto"/>
        <w:left w:val="none" w:sz="0" w:space="0" w:color="auto"/>
        <w:bottom w:val="none" w:sz="0" w:space="0" w:color="auto"/>
        <w:right w:val="none" w:sz="0" w:space="0" w:color="auto"/>
      </w:divBdr>
      <w:divsChild>
        <w:div w:id="889655833">
          <w:marLeft w:val="0"/>
          <w:marRight w:val="0"/>
          <w:marTop w:val="0"/>
          <w:marBottom w:val="0"/>
          <w:divBdr>
            <w:top w:val="none" w:sz="0" w:space="0" w:color="auto"/>
            <w:left w:val="none" w:sz="0" w:space="0" w:color="auto"/>
            <w:bottom w:val="none" w:sz="0" w:space="0" w:color="auto"/>
            <w:right w:val="none" w:sz="0" w:space="0" w:color="auto"/>
          </w:divBdr>
        </w:div>
      </w:divsChild>
    </w:div>
    <w:div w:id="1326864343">
      <w:marLeft w:val="0"/>
      <w:marRight w:val="0"/>
      <w:marTop w:val="0"/>
      <w:marBottom w:val="0"/>
      <w:divBdr>
        <w:top w:val="none" w:sz="0" w:space="0" w:color="auto"/>
        <w:left w:val="none" w:sz="0" w:space="0" w:color="auto"/>
        <w:bottom w:val="none" w:sz="0" w:space="0" w:color="auto"/>
        <w:right w:val="none" w:sz="0" w:space="0" w:color="auto"/>
      </w:divBdr>
    </w:div>
    <w:div w:id="1327366720">
      <w:marLeft w:val="0"/>
      <w:marRight w:val="0"/>
      <w:marTop w:val="0"/>
      <w:marBottom w:val="0"/>
      <w:divBdr>
        <w:top w:val="none" w:sz="0" w:space="0" w:color="auto"/>
        <w:left w:val="none" w:sz="0" w:space="0" w:color="auto"/>
        <w:bottom w:val="none" w:sz="0" w:space="0" w:color="auto"/>
        <w:right w:val="none" w:sz="0" w:space="0" w:color="auto"/>
      </w:divBdr>
    </w:div>
    <w:div w:id="1327855623">
      <w:marLeft w:val="0"/>
      <w:marRight w:val="0"/>
      <w:marTop w:val="0"/>
      <w:marBottom w:val="0"/>
      <w:divBdr>
        <w:top w:val="none" w:sz="0" w:space="0" w:color="auto"/>
        <w:left w:val="none" w:sz="0" w:space="0" w:color="auto"/>
        <w:bottom w:val="none" w:sz="0" w:space="0" w:color="auto"/>
        <w:right w:val="none" w:sz="0" w:space="0" w:color="auto"/>
      </w:divBdr>
    </w:div>
    <w:div w:id="1327856182">
      <w:marLeft w:val="0"/>
      <w:marRight w:val="0"/>
      <w:marTop w:val="0"/>
      <w:marBottom w:val="0"/>
      <w:divBdr>
        <w:top w:val="none" w:sz="0" w:space="0" w:color="auto"/>
        <w:left w:val="none" w:sz="0" w:space="0" w:color="auto"/>
        <w:bottom w:val="none" w:sz="0" w:space="0" w:color="auto"/>
        <w:right w:val="none" w:sz="0" w:space="0" w:color="auto"/>
      </w:divBdr>
      <w:divsChild>
        <w:div w:id="154152091">
          <w:marLeft w:val="0"/>
          <w:marRight w:val="0"/>
          <w:marTop w:val="0"/>
          <w:marBottom w:val="0"/>
          <w:divBdr>
            <w:top w:val="none" w:sz="0" w:space="0" w:color="auto"/>
            <w:left w:val="none" w:sz="0" w:space="0" w:color="auto"/>
            <w:bottom w:val="none" w:sz="0" w:space="0" w:color="auto"/>
            <w:right w:val="none" w:sz="0" w:space="0" w:color="auto"/>
          </w:divBdr>
        </w:div>
      </w:divsChild>
    </w:div>
    <w:div w:id="1330258640">
      <w:marLeft w:val="0"/>
      <w:marRight w:val="0"/>
      <w:marTop w:val="0"/>
      <w:marBottom w:val="240"/>
      <w:divBdr>
        <w:top w:val="none" w:sz="0" w:space="0" w:color="auto"/>
        <w:left w:val="none" w:sz="0" w:space="0" w:color="auto"/>
        <w:bottom w:val="none" w:sz="0" w:space="0" w:color="auto"/>
        <w:right w:val="none" w:sz="0" w:space="0" w:color="auto"/>
      </w:divBdr>
    </w:div>
    <w:div w:id="1330714035">
      <w:marLeft w:val="0"/>
      <w:marRight w:val="0"/>
      <w:marTop w:val="0"/>
      <w:marBottom w:val="0"/>
      <w:divBdr>
        <w:top w:val="none" w:sz="0" w:space="0" w:color="auto"/>
        <w:left w:val="none" w:sz="0" w:space="0" w:color="auto"/>
        <w:bottom w:val="none" w:sz="0" w:space="0" w:color="auto"/>
        <w:right w:val="none" w:sz="0" w:space="0" w:color="auto"/>
      </w:divBdr>
    </w:div>
    <w:div w:id="1331134109">
      <w:marLeft w:val="0"/>
      <w:marRight w:val="0"/>
      <w:marTop w:val="0"/>
      <w:marBottom w:val="0"/>
      <w:divBdr>
        <w:top w:val="none" w:sz="0" w:space="0" w:color="auto"/>
        <w:left w:val="none" w:sz="0" w:space="0" w:color="auto"/>
        <w:bottom w:val="none" w:sz="0" w:space="0" w:color="auto"/>
        <w:right w:val="none" w:sz="0" w:space="0" w:color="auto"/>
      </w:divBdr>
    </w:div>
    <w:div w:id="1331298361">
      <w:marLeft w:val="0"/>
      <w:marRight w:val="0"/>
      <w:marTop w:val="0"/>
      <w:marBottom w:val="0"/>
      <w:divBdr>
        <w:top w:val="none" w:sz="0" w:space="0" w:color="auto"/>
        <w:left w:val="none" w:sz="0" w:space="0" w:color="auto"/>
        <w:bottom w:val="none" w:sz="0" w:space="0" w:color="auto"/>
        <w:right w:val="none" w:sz="0" w:space="0" w:color="auto"/>
      </w:divBdr>
    </w:div>
    <w:div w:id="1331524791">
      <w:marLeft w:val="0"/>
      <w:marRight w:val="0"/>
      <w:marTop w:val="0"/>
      <w:marBottom w:val="0"/>
      <w:divBdr>
        <w:top w:val="none" w:sz="0" w:space="0" w:color="auto"/>
        <w:left w:val="none" w:sz="0" w:space="0" w:color="auto"/>
        <w:bottom w:val="none" w:sz="0" w:space="0" w:color="auto"/>
        <w:right w:val="none" w:sz="0" w:space="0" w:color="auto"/>
      </w:divBdr>
    </w:div>
    <w:div w:id="1331716176">
      <w:marLeft w:val="0"/>
      <w:marRight w:val="0"/>
      <w:marTop w:val="0"/>
      <w:marBottom w:val="0"/>
      <w:divBdr>
        <w:top w:val="none" w:sz="0" w:space="0" w:color="auto"/>
        <w:left w:val="none" w:sz="0" w:space="0" w:color="auto"/>
        <w:bottom w:val="none" w:sz="0" w:space="0" w:color="auto"/>
        <w:right w:val="none" w:sz="0" w:space="0" w:color="auto"/>
      </w:divBdr>
    </w:div>
    <w:div w:id="1332374153">
      <w:marLeft w:val="0"/>
      <w:marRight w:val="0"/>
      <w:marTop w:val="0"/>
      <w:marBottom w:val="0"/>
      <w:divBdr>
        <w:top w:val="none" w:sz="0" w:space="0" w:color="auto"/>
        <w:left w:val="none" w:sz="0" w:space="0" w:color="auto"/>
        <w:bottom w:val="none" w:sz="0" w:space="0" w:color="auto"/>
        <w:right w:val="none" w:sz="0" w:space="0" w:color="auto"/>
      </w:divBdr>
    </w:div>
    <w:div w:id="1332945539">
      <w:marLeft w:val="0"/>
      <w:marRight w:val="0"/>
      <w:marTop w:val="0"/>
      <w:marBottom w:val="0"/>
      <w:divBdr>
        <w:top w:val="none" w:sz="0" w:space="0" w:color="auto"/>
        <w:left w:val="none" w:sz="0" w:space="0" w:color="auto"/>
        <w:bottom w:val="none" w:sz="0" w:space="0" w:color="auto"/>
        <w:right w:val="none" w:sz="0" w:space="0" w:color="auto"/>
      </w:divBdr>
    </w:div>
    <w:div w:id="1334989138">
      <w:marLeft w:val="0"/>
      <w:marRight w:val="0"/>
      <w:marTop w:val="0"/>
      <w:marBottom w:val="0"/>
      <w:divBdr>
        <w:top w:val="none" w:sz="0" w:space="0" w:color="auto"/>
        <w:left w:val="none" w:sz="0" w:space="0" w:color="auto"/>
        <w:bottom w:val="none" w:sz="0" w:space="0" w:color="auto"/>
        <w:right w:val="none" w:sz="0" w:space="0" w:color="auto"/>
      </w:divBdr>
    </w:div>
    <w:div w:id="1335842821">
      <w:marLeft w:val="0"/>
      <w:marRight w:val="0"/>
      <w:marTop w:val="0"/>
      <w:marBottom w:val="0"/>
      <w:divBdr>
        <w:top w:val="none" w:sz="0" w:space="0" w:color="auto"/>
        <w:left w:val="none" w:sz="0" w:space="0" w:color="auto"/>
        <w:bottom w:val="none" w:sz="0" w:space="0" w:color="auto"/>
        <w:right w:val="none" w:sz="0" w:space="0" w:color="auto"/>
      </w:divBdr>
    </w:div>
    <w:div w:id="1336961454">
      <w:marLeft w:val="0"/>
      <w:marRight w:val="0"/>
      <w:marTop w:val="0"/>
      <w:marBottom w:val="0"/>
      <w:divBdr>
        <w:top w:val="none" w:sz="0" w:space="0" w:color="auto"/>
        <w:left w:val="none" w:sz="0" w:space="0" w:color="auto"/>
        <w:bottom w:val="none" w:sz="0" w:space="0" w:color="auto"/>
        <w:right w:val="none" w:sz="0" w:space="0" w:color="auto"/>
      </w:divBdr>
    </w:div>
    <w:div w:id="1337073661">
      <w:marLeft w:val="0"/>
      <w:marRight w:val="0"/>
      <w:marTop w:val="0"/>
      <w:marBottom w:val="0"/>
      <w:divBdr>
        <w:top w:val="none" w:sz="0" w:space="0" w:color="auto"/>
        <w:left w:val="none" w:sz="0" w:space="0" w:color="auto"/>
        <w:bottom w:val="none" w:sz="0" w:space="0" w:color="auto"/>
        <w:right w:val="none" w:sz="0" w:space="0" w:color="auto"/>
      </w:divBdr>
    </w:div>
    <w:div w:id="1337264103">
      <w:marLeft w:val="0"/>
      <w:marRight w:val="0"/>
      <w:marTop w:val="100"/>
      <w:marBottom w:val="100"/>
      <w:divBdr>
        <w:top w:val="none" w:sz="0" w:space="0" w:color="auto"/>
        <w:left w:val="none" w:sz="0" w:space="0" w:color="auto"/>
        <w:bottom w:val="none" w:sz="0" w:space="0" w:color="auto"/>
        <w:right w:val="none" w:sz="0" w:space="0" w:color="auto"/>
      </w:divBdr>
      <w:divsChild>
        <w:div w:id="1524828523">
          <w:marLeft w:val="0"/>
          <w:marRight w:val="0"/>
          <w:marTop w:val="0"/>
          <w:marBottom w:val="0"/>
          <w:divBdr>
            <w:top w:val="none" w:sz="0" w:space="0" w:color="auto"/>
            <w:left w:val="none" w:sz="0" w:space="0" w:color="auto"/>
            <w:bottom w:val="none" w:sz="0" w:space="0" w:color="auto"/>
            <w:right w:val="none" w:sz="0" w:space="0" w:color="auto"/>
          </w:divBdr>
        </w:div>
        <w:div w:id="1696543266">
          <w:marLeft w:val="0"/>
          <w:marRight w:val="0"/>
          <w:marTop w:val="0"/>
          <w:marBottom w:val="0"/>
          <w:divBdr>
            <w:top w:val="none" w:sz="0" w:space="0" w:color="auto"/>
            <w:left w:val="none" w:sz="0" w:space="0" w:color="auto"/>
            <w:bottom w:val="none" w:sz="0" w:space="0" w:color="auto"/>
            <w:right w:val="none" w:sz="0" w:space="0" w:color="auto"/>
          </w:divBdr>
        </w:div>
        <w:div w:id="1464035968">
          <w:marLeft w:val="0"/>
          <w:marRight w:val="0"/>
          <w:marTop w:val="0"/>
          <w:marBottom w:val="0"/>
          <w:divBdr>
            <w:top w:val="none" w:sz="0" w:space="0" w:color="auto"/>
            <w:left w:val="none" w:sz="0" w:space="0" w:color="auto"/>
            <w:bottom w:val="none" w:sz="0" w:space="0" w:color="auto"/>
            <w:right w:val="none" w:sz="0" w:space="0" w:color="auto"/>
          </w:divBdr>
        </w:div>
      </w:divsChild>
    </w:div>
    <w:div w:id="1337731025">
      <w:marLeft w:val="0"/>
      <w:marRight w:val="0"/>
      <w:marTop w:val="0"/>
      <w:marBottom w:val="0"/>
      <w:divBdr>
        <w:top w:val="none" w:sz="0" w:space="0" w:color="auto"/>
        <w:left w:val="none" w:sz="0" w:space="0" w:color="auto"/>
        <w:bottom w:val="none" w:sz="0" w:space="0" w:color="auto"/>
        <w:right w:val="none" w:sz="0" w:space="0" w:color="auto"/>
      </w:divBdr>
    </w:div>
    <w:div w:id="1338655603">
      <w:marLeft w:val="0"/>
      <w:marRight w:val="0"/>
      <w:marTop w:val="0"/>
      <w:marBottom w:val="0"/>
      <w:divBdr>
        <w:top w:val="none" w:sz="0" w:space="0" w:color="auto"/>
        <w:left w:val="none" w:sz="0" w:space="0" w:color="auto"/>
        <w:bottom w:val="none" w:sz="0" w:space="0" w:color="auto"/>
        <w:right w:val="none" w:sz="0" w:space="0" w:color="auto"/>
      </w:divBdr>
    </w:div>
    <w:div w:id="1338924774">
      <w:marLeft w:val="0"/>
      <w:marRight w:val="0"/>
      <w:marTop w:val="0"/>
      <w:marBottom w:val="0"/>
      <w:divBdr>
        <w:top w:val="none" w:sz="0" w:space="0" w:color="auto"/>
        <w:left w:val="none" w:sz="0" w:space="0" w:color="auto"/>
        <w:bottom w:val="none" w:sz="0" w:space="0" w:color="auto"/>
        <w:right w:val="none" w:sz="0" w:space="0" w:color="auto"/>
      </w:divBdr>
    </w:div>
    <w:div w:id="1338996040">
      <w:marLeft w:val="0"/>
      <w:marRight w:val="0"/>
      <w:marTop w:val="0"/>
      <w:marBottom w:val="0"/>
      <w:divBdr>
        <w:top w:val="none" w:sz="0" w:space="0" w:color="auto"/>
        <w:left w:val="none" w:sz="0" w:space="0" w:color="auto"/>
        <w:bottom w:val="none" w:sz="0" w:space="0" w:color="auto"/>
        <w:right w:val="none" w:sz="0" w:space="0" w:color="auto"/>
      </w:divBdr>
    </w:div>
    <w:div w:id="1339505876">
      <w:marLeft w:val="0"/>
      <w:marRight w:val="0"/>
      <w:marTop w:val="0"/>
      <w:marBottom w:val="0"/>
      <w:divBdr>
        <w:top w:val="none" w:sz="0" w:space="0" w:color="auto"/>
        <w:left w:val="none" w:sz="0" w:space="0" w:color="auto"/>
        <w:bottom w:val="none" w:sz="0" w:space="0" w:color="auto"/>
        <w:right w:val="none" w:sz="0" w:space="0" w:color="auto"/>
      </w:divBdr>
    </w:div>
    <w:div w:id="1339698120">
      <w:marLeft w:val="0"/>
      <w:marRight w:val="0"/>
      <w:marTop w:val="0"/>
      <w:marBottom w:val="0"/>
      <w:divBdr>
        <w:top w:val="none" w:sz="0" w:space="0" w:color="auto"/>
        <w:left w:val="none" w:sz="0" w:space="0" w:color="auto"/>
        <w:bottom w:val="none" w:sz="0" w:space="0" w:color="auto"/>
        <w:right w:val="none" w:sz="0" w:space="0" w:color="auto"/>
      </w:divBdr>
    </w:div>
    <w:div w:id="1340087124">
      <w:marLeft w:val="0"/>
      <w:marRight w:val="0"/>
      <w:marTop w:val="0"/>
      <w:marBottom w:val="0"/>
      <w:divBdr>
        <w:top w:val="none" w:sz="0" w:space="0" w:color="auto"/>
        <w:left w:val="none" w:sz="0" w:space="0" w:color="auto"/>
        <w:bottom w:val="none" w:sz="0" w:space="0" w:color="auto"/>
        <w:right w:val="none" w:sz="0" w:space="0" w:color="auto"/>
      </w:divBdr>
    </w:div>
    <w:div w:id="1340153916">
      <w:marLeft w:val="0"/>
      <w:marRight w:val="0"/>
      <w:marTop w:val="0"/>
      <w:marBottom w:val="0"/>
      <w:divBdr>
        <w:top w:val="none" w:sz="0" w:space="0" w:color="auto"/>
        <w:left w:val="none" w:sz="0" w:space="0" w:color="auto"/>
        <w:bottom w:val="none" w:sz="0" w:space="0" w:color="auto"/>
        <w:right w:val="none" w:sz="0" w:space="0" w:color="auto"/>
      </w:divBdr>
    </w:div>
    <w:div w:id="1345207791">
      <w:marLeft w:val="0"/>
      <w:marRight w:val="0"/>
      <w:marTop w:val="0"/>
      <w:marBottom w:val="0"/>
      <w:divBdr>
        <w:top w:val="none" w:sz="0" w:space="0" w:color="auto"/>
        <w:left w:val="none" w:sz="0" w:space="0" w:color="auto"/>
        <w:bottom w:val="none" w:sz="0" w:space="0" w:color="auto"/>
        <w:right w:val="none" w:sz="0" w:space="0" w:color="auto"/>
      </w:divBdr>
    </w:div>
    <w:div w:id="1346319486">
      <w:marLeft w:val="0"/>
      <w:marRight w:val="0"/>
      <w:marTop w:val="0"/>
      <w:marBottom w:val="0"/>
      <w:divBdr>
        <w:top w:val="none" w:sz="0" w:space="0" w:color="auto"/>
        <w:left w:val="none" w:sz="0" w:space="0" w:color="auto"/>
        <w:bottom w:val="none" w:sz="0" w:space="0" w:color="auto"/>
        <w:right w:val="none" w:sz="0" w:space="0" w:color="auto"/>
      </w:divBdr>
    </w:div>
    <w:div w:id="1347437153">
      <w:marLeft w:val="0"/>
      <w:marRight w:val="0"/>
      <w:marTop w:val="0"/>
      <w:marBottom w:val="0"/>
      <w:divBdr>
        <w:top w:val="none" w:sz="0" w:space="0" w:color="auto"/>
        <w:left w:val="none" w:sz="0" w:space="0" w:color="auto"/>
        <w:bottom w:val="none" w:sz="0" w:space="0" w:color="auto"/>
        <w:right w:val="none" w:sz="0" w:space="0" w:color="auto"/>
      </w:divBdr>
    </w:div>
    <w:div w:id="1348141572">
      <w:marLeft w:val="0"/>
      <w:marRight w:val="0"/>
      <w:marTop w:val="0"/>
      <w:marBottom w:val="0"/>
      <w:divBdr>
        <w:top w:val="none" w:sz="0" w:space="0" w:color="auto"/>
        <w:left w:val="none" w:sz="0" w:space="0" w:color="auto"/>
        <w:bottom w:val="none" w:sz="0" w:space="0" w:color="auto"/>
        <w:right w:val="none" w:sz="0" w:space="0" w:color="auto"/>
      </w:divBdr>
    </w:div>
    <w:div w:id="1348215641">
      <w:marLeft w:val="0"/>
      <w:marRight w:val="0"/>
      <w:marTop w:val="0"/>
      <w:marBottom w:val="0"/>
      <w:divBdr>
        <w:top w:val="none" w:sz="0" w:space="0" w:color="auto"/>
        <w:left w:val="none" w:sz="0" w:space="0" w:color="auto"/>
        <w:bottom w:val="none" w:sz="0" w:space="0" w:color="auto"/>
        <w:right w:val="none" w:sz="0" w:space="0" w:color="auto"/>
      </w:divBdr>
    </w:div>
    <w:div w:id="1349060767">
      <w:marLeft w:val="0"/>
      <w:marRight w:val="0"/>
      <w:marTop w:val="0"/>
      <w:marBottom w:val="0"/>
      <w:divBdr>
        <w:top w:val="none" w:sz="0" w:space="0" w:color="auto"/>
        <w:left w:val="none" w:sz="0" w:space="0" w:color="auto"/>
        <w:bottom w:val="none" w:sz="0" w:space="0" w:color="auto"/>
        <w:right w:val="none" w:sz="0" w:space="0" w:color="auto"/>
      </w:divBdr>
    </w:div>
    <w:div w:id="1349137129">
      <w:marLeft w:val="0"/>
      <w:marRight w:val="0"/>
      <w:marTop w:val="0"/>
      <w:marBottom w:val="0"/>
      <w:divBdr>
        <w:top w:val="none" w:sz="0" w:space="0" w:color="auto"/>
        <w:left w:val="none" w:sz="0" w:space="0" w:color="auto"/>
        <w:bottom w:val="none" w:sz="0" w:space="0" w:color="auto"/>
        <w:right w:val="none" w:sz="0" w:space="0" w:color="auto"/>
      </w:divBdr>
    </w:div>
    <w:div w:id="1349138600">
      <w:marLeft w:val="0"/>
      <w:marRight w:val="0"/>
      <w:marTop w:val="0"/>
      <w:marBottom w:val="0"/>
      <w:divBdr>
        <w:top w:val="none" w:sz="0" w:space="0" w:color="auto"/>
        <w:left w:val="none" w:sz="0" w:space="0" w:color="auto"/>
        <w:bottom w:val="none" w:sz="0" w:space="0" w:color="auto"/>
        <w:right w:val="none" w:sz="0" w:space="0" w:color="auto"/>
      </w:divBdr>
    </w:div>
    <w:div w:id="1350453146">
      <w:marLeft w:val="0"/>
      <w:marRight w:val="0"/>
      <w:marTop w:val="0"/>
      <w:marBottom w:val="0"/>
      <w:divBdr>
        <w:top w:val="none" w:sz="0" w:space="0" w:color="auto"/>
        <w:left w:val="none" w:sz="0" w:space="0" w:color="auto"/>
        <w:bottom w:val="none" w:sz="0" w:space="0" w:color="auto"/>
        <w:right w:val="none" w:sz="0" w:space="0" w:color="auto"/>
      </w:divBdr>
    </w:div>
    <w:div w:id="1352295074">
      <w:marLeft w:val="0"/>
      <w:marRight w:val="0"/>
      <w:marTop w:val="0"/>
      <w:marBottom w:val="0"/>
      <w:divBdr>
        <w:top w:val="none" w:sz="0" w:space="0" w:color="auto"/>
        <w:left w:val="none" w:sz="0" w:space="0" w:color="auto"/>
        <w:bottom w:val="none" w:sz="0" w:space="0" w:color="auto"/>
        <w:right w:val="none" w:sz="0" w:space="0" w:color="auto"/>
      </w:divBdr>
    </w:div>
    <w:div w:id="1352413637">
      <w:marLeft w:val="0"/>
      <w:marRight w:val="0"/>
      <w:marTop w:val="0"/>
      <w:marBottom w:val="0"/>
      <w:divBdr>
        <w:top w:val="none" w:sz="0" w:space="0" w:color="auto"/>
        <w:left w:val="none" w:sz="0" w:space="0" w:color="auto"/>
        <w:bottom w:val="none" w:sz="0" w:space="0" w:color="auto"/>
        <w:right w:val="none" w:sz="0" w:space="0" w:color="auto"/>
      </w:divBdr>
    </w:div>
    <w:div w:id="1353068360">
      <w:marLeft w:val="0"/>
      <w:marRight w:val="0"/>
      <w:marTop w:val="0"/>
      <w:marBottom w:val="0"/>
      <w:divBdr>
        <w:top w:val="none" w:sz="0" w:space="0" w:color="auto"/>
        <w:left w:val="none" w:sz="0" w:space="0" w:color="auto"/>
        <w:bottom w:val="none" w:sz="0" w:space="0" w:color="auto"/>
        <w:right w:val="none" w:sz="0" w:space="0" w:color="auto"/>
      </w:divBdr>
    </w:div>
    <w:div w:id="1353144502">
      <w:marLeft w:val="0"/>
      <w:marRight w:val="0"/>
      <w:marTop w:val="0"/>
      <w:marBottom w:val="0"/>
      <w:divBdr>
        <w:top w:val="none" w:sz="0" w:space="0" w:color="auto"/>
        <w:left w:val="none" w:sz="0" w:space="0" w:color="auto"/>
        <w:bottom w:val="none" w:sz="0" w:space="0" w:color="auto"/>
        <w:right w:val="none" w:sz="0" w:space="0" w:color="auto"/>
      </w:divBdr>
    </w:div>
    <w:div w:id="1354116630">
      <w:marLeft w:val="0"/>
      <w:marRight w:val="0"/>
      <w:marTop w:val="0"/>
      <w:marBottom w:val="0"/>
      <w:divBdr>
        <w:top w:val="none" w:sz="0" w:space="0" w:color="auto"/>
        <w:left w:val="none" w:sz="0" w:space="0" w:color="auto"/>
        <w:bottom w:val="none" w:sz="0" w:space="0" w:color="auto"/>
        <w:right w:val="none" w:sz="0" w:space="0" w:color="auto"/>
      </w:divBdr>
    </w:div>
    <w:div w:id="1354184562">
      <w:marLeft w:val="0"/>
      <w:marRight w:val="0"/>
      <w:marTop w:val="0"/>
      <w:marBottom w:val="0"/>
      <w:divBdr>
        <w:top w:val="none" w:sz="0" w:space="0" w:color="auto"/>
        <w:left w:val="none" w:sz="0" w:space="0" w:color="auto"/>
        <w:bottom w:val="none" w:sz="0" w:space="0" w:color="auto"/>
        <w:right w:val="none" w:sz="0" w:space="0" w:color="auto"/>
      </w:divBdr>
    </w:div>
    <w:div w:id="1355618748">
      <w:marLeft w:val="0"/>
      <w:marRight w:val="0"/>
      <w:marTop w:val="0"/>
      <w:marBottom w:val="0"/>
      <w:divBdr>
        <w:top w:val="none" w:sz="0" w:space="0" w:color="auto"/>
        <w:left w:val="none" w:sz="0" w:space="0" w:color="auto"/>
        <w:bottom w:val="none" w:sz="0" w:space="0" w:color="auto"/>
        <w:right w:val="none" w:sz="0" w:space="0" w:color="auto"/>
      </w:divBdr>
    </w:div>
    <w:div w:id="1357267933">
      <w:marLeft w:val="0"/>
      <w:marRight w:val="0"/>
      <w:marTop w:val="0"/>
      <w:marBottom w:val="0"/>
      <w:divBdr>
        <w:top w:val="none" w:sz="0" w:space="0" w:color="auto"/>
        <w:left w:val="none" w:sz="0" w:space="0" w:color="auto"/>
        <w:bottom w:val="none" w:sz="0" w:space="0" w:color="auto"/>
        <w:right w:val="none" w:sz="0" w:space="0" w:color="auto"/>
      </w:divBdr>
    </w:div>
    <w:div w:id="1357851147">
      <w:marLeft w:val="0"/>
      <w:marRight w:val="0"/>
      <w:marTop w:val="0"/>
      <w:marBottom w:val="0"/>
      <w:divBdr>
        <w:top w:val="none" w:sz="0" w:space="0" w:color="auto"/>
        <w:left w:val="none" w:sz="0" w:space="0" w:color="auto"/>
        <w:bottom w:val="none" w:sz="0" w:space="0" w:color="auto"/>
        <w:right w:val="none" w:sz="0" w:space="0" w:color="auto"/>
      </w:divBdr>
      <w:divsChild>
        <w:div w:id="1545681643">
          <w:marLeft w:val="0"/>
          <w:marRight w:val="0"/>
          <w:marTop w:val="0"/>
          <w:marBottom w:val="0"/>
          <w:divBdr>
            <w:top w:val="none" w:sz="0" w:space="0" w:color="auto"/>
            <w:left w:val="none" w:sz="0" w:space="0" w:color="auto"/>
            <w:bottom w:val="none" w:sz="0" w:space="0" w:color="auto"/>
            <w:right w:val="none" w:sz="0" w:space="0" w:color="auto"/>
          </w:divBdr>
        </w:div>
      </w:divsChild>
    </w:div>
    <w:div w:id="1358310110">
      <w:marLeft w:val="0"/>
      <w:marRight w:val="0"/>
      <w:marTop w:val="0"/>
      <w:marBottom w:val="0"/>
      <w:divBdr>
        <w:top w:val="none" w:sz="0" w:space="0" w:color="auto"/>
        <w:left w:val="none" w:sz="0" w:space="0" w:color="auto"/>
        <w:bottom w:val="none" w:sz="0" w:space="0" w:color="auto"/>
        <w:right w:val="none" w:sz="0" w:space="0" w:color="auto"/>
      </w:divBdr>
    </w:div>
    <w:div w:id="1358504060">
      <w:marLeft w:val="0"/>
      <w:marRight w:val="0"/>
      <w:marTop w:val="0"/>
      <w:marBottom w:val="0"/>
      <w:divBdr>
        <w:top w:val="none" w:sz="0" w:space="0" w:color="auto"/>
        <w:left w:val="none" w:sz="0" w:space="0" w:color="auto"/>
        <w:bottom w:val="none" w:sz="0" w:space="0" w:color="auto"/>
        <w:right w:val="none" w:sz="0" w:space="0" w:color="auto"/>
      </w:divBdr>
    </w:div>
    <w:div w:id="1360081983">
      <w:marLeft w:val="0"/>
      <w:marRight w:val="0"/>
      <w:marTop w:val="0"/>
      <w:marBottom w:val="0"/>
      <w:divBdr>
        <w:top w:val="none" w:sz="0" w:space="0" w:color="auto"/>
        <w:left w:val="none" w:sz="0" w:space="0" w:color="auto"/>
        <w:bottom w:val="none" w:sz="0" w:space="0" w:color="auto"/>
        <w:right w:val="none" w:sz="0" w:space="0" w:color="auto"/>
      </w:divBdr>
    </w:div>
    <w:div w:id="1360278669">
      <w:marLeft w:val="0"/>
      <w:marRight w:val="0"/>
      <w:marTop w:val="0"/>
      <w:marBottom w:val="0"/>
      <w:divBdr>
        <w:top w:val="none" w:sz="0" w:space="0" w:color="auto"/>
        <w:left w:val="none" w:sz="0" w:space="0" w:color="auto"/>
        <w:bottom w:val="none" w:sz="0" w:space="0" w:color="auto"/>
        <w:right w:val="none" w:sz="0" w:space="0" w:color="auto"/>
      </w:divBdr>
    </w:div>
    <w:div w:id="1360739283">
      <w:marLeft w:val="0"/>
      <w:marRight w:val="0"/>
      <w:marTop w:val="0"/>
      <w:marBottom w:val="0"/>
      <w:divBdr>
        <w:top w:val="none" w:sz="0" w:space="0" w:color="auto"/>
        <w:left w:val="none" w:sz="0" w:space="0" w:color="auto"/>
        <w:bottom w:val="none" w:sz="0" w:space="0" w:color="auto"/>
        <w:right w:val="none" w:sz="0" w:space="0" w:color="auto"/>
      </w:divBdr>
    </w:div>
    <w:div w:id="1361317817">
      <w:marLeft w:val="0"/>
      <w:marRight w:val="0"/>
      <w:marTop w:val="0"/>
      <w:marBottom w:val="0"/>
      <w:divBdr>
        <w:top w:val="none" w:sz="0" w:space="0" w:color="auto"/>
        <w:left w:val="none" w:sz="0" w:space="0" w:color="auto"/>
        <w:bottom w:val="none" w:sz="0" w:space="0" w:color="auto"/>
        <w:right w:val="none" w:sz="0" w:space="0" w:color="auto"/>
      </w:divBdr>
    </w:div>
    <w:div w:id="1361707401">
      <w:marLeft w:val="0"/>
      <w:marRight w:val="0"/>
      <w:marTop w:val="0"/>
      <w:marBottom w:val="0"/>
      <w:divBdr>
        <w:top w:val="none" w:sz="0" w:space="0" w:color="auto"/>
        <w:left w:val="none" w:sz="0" w:space="0" w:color="auto"/>
        <w:bottom w:val="none" w:sz="0" w:space="0" w:color="auto"/>
        <w:right w:val="none" w:sz="0" w:space="0" w:color="auto"/>
      </w:divBdr>
    </w:div>
    <w:div w:id="1365011520">
      <w:marLeft w:val="0"/>
      <w:marRight w:val="0"/>
      <w:marTop w:val="0"/>
      <w:marBottom w:val="0"/>
      <w:divBdr>
        <w:top w:val="none" w:sz="0" w:space="0" w:color="auto"/>
        <w:left w:val="none" w:sz="0" w:space="0" w:color="auto"/>
        <w:bottom w:val="none" w:sz="0" w:space="0" w:color="auto"/>
        <w:right w:val="none" w:sz="0" w:space="0" w:color="auto"/>
      </w:divBdr>
    </w:div>
    <w:div w:id="1366174278">
      <w:marLeft w:val="0"/>
      <w:marRight w:val="0"/>
      <w:marTop w:val="0"/>
      <w:marBottom w:val="0"/>
      <w:divBdr>
        <w:top w:val="none" w:sz="0" w:space="0" w:color="auto"/>
        <w:left w:val="none" w:sz="0" w:space="0" w:color="auto"/>
        <w:bottom w:val="none" w:sz="0" w:space="0" w:color="auto"/>
        <w:right w:val="none" w:sz="0" w:space="0" w:color="auto"/>
      </w:divBdr>
    </w:div>
    <w:div w:id="1366909629">
      <w:marLeft w:val="0"/>
      <w:marRight w:val="0"/>
      <w:marTop w:val="0"/>
      <w:marBottom w:val="0"/>
      <w:divBdr>
        <w:top w:val="none" w:sz="0" w:space="0" w:color="auto"/>
        <w:left w:val="none" w:sz="0" w:space="0" w:color="auto"/>
        <w:bottom w:val="none" w:sz="0" w:space="0" w:color="auto"/>
        <w:right w:val="none" w:sz="0" w:space="0" w:color="auto"/>
      </w:divBdr>
    </w:div>
    <w:div w:id="1367368311">
      <w:marLeft w:val="0"/>
      <w:marRight w:val="0"/>
      <w:marTop w:val="0"/>
      <w:marBottom w:val="0"/>
      <w:divBdr>
        <w:top w:val="none" w:sz="0" w:space="0" w:color="auto"/>
        <w:left w:val="none" w:sz="0" w:space="0" w:color="auto"/>
        <w:bottom w:val="none" w:sz="0" w:space="0" w:color="auto"/>
        <w:right w:val="none" w:sz="0" w:space="0" w:color="auto"/>
      </w:divBdr>
    </w:div>
    <w:div w:id="1367415298">
      <w:marLeft w:val="0"/>
      <w:marRight w:val="0"/>
      <w:marTop w:val="0"/>
      <w:marBottom w:val="0"/>
      <w:divBdr>
        <w:top w:val="none" w:sz="0" w:space="0" w:color="auto"/>
        <w:left w:val="none" w:sz="0" w:space="0" w:color="auto"/>
        <w:bottom w:val="none" w:sz="0" w:space="0" w:color="auto"/>
        <w:right w:val="none" w:sz="0" w:space="0" w:color="auto"/>
      </w:divBdr>
    </w:div>
    <w:div w:id="1368795148">
      <w:marLeft w:val="0"/>
      <w:marRight w:val="0"/>
      <w:marTop w:val="0"/>
      <w:marBottom w:val="0"/>
      <w:divBdr>
        <w:top w:val="none" w:sz="0" w:space="0" w:color="auto"/>
        <w:left w:val="none" w:sz="0" w:space="0" w:color="auto"/>
        <w:bottom w:val="none" w:sz="0" w:space="0" w:color="auto"/>
        <w:right w:val="none" w:sz="0" w:space="0" w:color="auto"/>
      </w:divBdr>
    </w:div>
    <w:div w:id="1368872789">
      <w:marLeft w:val="0"/>
      <w:marRight w:val="0"/>
      <w:marTop w:val="0"/>
      <w:marBottom w:val="0"/>
      <w:divBdr>
        <w:top w:val="none" w:sz="0" w:space="0" w:color="auto"/>
        <w:left w:val="none" w:sz="0" w:space="0" w:color="auto"/>
        <w:bottom w:val="none" w:sz="0" w:space="0" w:color="auto"/>
        <w:right w:val="none" w:sz="0" w:space="0" w:color="auto"/>
      </w:divBdr>
    </w:div>
    <w:div w:id="1368875286">
      <w:marLeft w:val="0"/>
      <w:marRight w:val="0"/>
      <w:marTop w:val="0"/>
      <w:marBottom w:val="0"/>
      <w:divBdr>
        <w:top w:val="none" w:sz="0" w:space="0" w:color="auto"/>
        <w:left w:val="none" w:sz="0" w:space="0" w:color="auto"/>
        <w:bottom w:val="none" w:sz="0" w:space="0" w:color="auto"/>
        <w:right w:val="none" w:sz="0" w:space="0" w:color="auto"/>
      </w:divBdr>
    </w:div>
    <w:div w:id="1370107109">
      <w:marLeft w:val="0"/>
      <w:marRight w:val="0"/>
      <w:marTop w:val="0"/>
      <w:marBottom w:val="0"/>
      <w:divBdr>
        <w:top w:val="none" w:sz="0" w:space="0" w:color="auto"/>
        <w:left w:val="none" w:sz="0" w:space="0" w:color="auto"/>
        <w:bottom w:val="none" w:sz="0" w:space="0" w:color="auto"/>
        <w:right w:val="none" w:sz="0" w:space="0" w:color="auto"/>
      </w:divBdr>
    </w:div>
    <w:div w:id="1370494834">
      <w:marLeft w:val="0"/>
      <w:marRight w:val="0"/>
      <w:marTop w:val="0"/>
      <w:marBottom w:val="0"/>
      <w:divBdr>
        <w:top w:val="none" w:sz="0" w:space="0" w:color="auto"/>
        <w:left w:val="none" w:sz="0" w:space="0" w:color="auto"/>
        <w:bottom w:val="none" w:sz="0" w:space="0" w:color="auto"/>
        <w:right w:val="none" w:sz="0" w:space="0" w:color="auto"/>
      </w:divBdr>
    </w:div>
    <w:div w:id="1371153028">
      <w:marLeft w:val="0"/>
      <w:marRight w:val="0"/>
      <w:marTop w:val="0"/>
      <w:marBottom w:val="0"/>
      <w:divBdr>
        <w:top w:val="none" w:sz="0" w:space="0" w:color="auto"/>
        <w:left w:val="none" w:sz="0" w:space="0" w:color="auto"/>
        <w:bottom w:val="none" w:sz="0" w:space="0" w:color="auto"/>
        <w:right w:val="none" w:sz="0" w:space="0" w:color="auto"/>
      </w:divBdr>
    </w:div>
    <w:div w:id="1375276460">
      <w:marLeft w:val="0"/>
      <w:marRight w:val="0"/>
      <w:marTop w:val="0"/>
      <w:marBottom w:val="0"/>
      <w:divBdr>
        <w:top w:val="none" w:sz="0" w:space="0" w:color="auto"/>
        <w:left w:val="none" w:sz="0" w:space="0" w:color="auto"/>
        <w:bottom w:val="none" w:sz="0" w:space="0" w:color="auto"/>
        <w:right w:val="none" w:sz="0" w:space="0" w:color="auto"/>
      </w:divBdr>
    </w:div>
    <w:div w:id="1375501742">
      <w:marLeft w:val="0"/>
      <w:marRight w:val="0"/>
      <w:marTop w:val="0"/>
      <w:marBottom w:val="0"/>
      <w:divBdr>
        <w:top w:val="none" w:sz="0" w:space="0" w:color="auto"/>
        <w:left w:val="none" w:sz="0" w:space="0" w:color="auto"/>
        <w:bottom w:val="none" w:sz="0" w:space="0" w:color="auto"/>
        <w:right w:val="none" w:sz="0" w:space="0" w:color="auto"/>
      </w:divBdr>
    </w:div>
    <w:div w:id="1376275278">
      <w:marLeft w:val="0"/>
      <w:marRight w:val="0"/>
      <w:marTop w:val="0"/>
      <w:marBottom w:val="0"/>
      <w:divBdr>
        <w:top w:val="none" w:sz="0" w:space="0" w:color="auto"/>
        <w:left w:val="none" w:sz="0" w:space="0" w:color="auto"/>
        <w:bottom w:val="none" w:sz="0" w:space="0" w:color="auto"/>
        <w:right w:val="none" w:sz="0" w:space="0" w:color="auto"/>
      </w:divBdr>
    </w:div>
    <w:div w:id="1376857362">
      <w:marLeft w:val="0"/>
      <w:marRight w:val="0"/>
      <w:marTop w:val="0"/>
      <w:marBottom w:val="0"/>
      <w:divBdr>
        <w:top w:val="none" w:sz="0" w:space="0" w:color="auto"/>
        <w:left w:val="none" w:sz="0" w:space="0" w:color="auto"/>
        <w:bottom w:val="none" w:sz="0" w:space="0" w:color="auto"/>
        <w:right w:val="none" w:sz="0" w:space="0" w:color="auto"/>
      </w:divBdr>
      <w:divsChild>
        <w:div w:id="1767916417">
          <w:marLeft w:val="0"/>
          <w:marRight w:val="0"/>
          <w:marTop w:val="0"/>
          <w:marBottom w:val="0"/>
          <w:divBdr>
            <w:top w:val="none" w:sz="0" w:space="0" w:color="auto"/>
            <w:left w:val="none" w:sz="0" w:space="0" w:color="auto"/>
            <w:bottom w:val="none" w:sz="0" w:space="0" w:color="auto"/>
            <w:right w:val="none" w:sz="0" w:space="0" w:color="auto"/>
          </w:divBdr>
        </w:div>
      </w:divsChild>
    </w:div>
    <w:div w:id="1377706490">
      <w:marLeft w:val="0"/>
      <w:marRight w:val="0"/>
      <w:marTop w:val="0"/>
      <w:marBottom w:val="0"/>
      <w:divBdr>
        <w:top w:val="none" w:sz="0" w:space="0" w:color="auto"/>
        <w:left w:val="none" w:sz="0" w:space="0" w:color="auto"/>
        <w:bottom w:val="none" w:sz="0" w:space="0" w:color="auto"/>
        <w:right w:val="none" w:sz="0" w:space="0" w:color="auto"/>
      </w:divBdr>
      <w:divsChild>
        <w:div w:id="1894384993">
          <w:marLeft w:val="0"/>
          <w:marRight w:val="0"/>
          <w:marTop w:val="0"/>
          <w:marBottom w:val="0"/>
          <w:divBdr>
            <w:top w:val="none" w:sz="0" w:space="0" w:color="auto"/>
            <w:left w:val="none" w:sz="0" w:space="0" w:color="auto"/>
            <w:bottom w:val="none" w:sz="0" w:space="0" w:color="auto"/>
            <w:right w:val="none" w:sz="0" w:space="0" w:color="auto"/>
          </w:divBdr>
        </w:div>
      </w:divsChild>
    </w:div>
    <w:div w:id="1379014970">
      <w:marLeft w:val="0"/>
      <w:marRight w:val="0"/>
      <w:marTop w:val="0"/>
      <w:marBottom w:val="0"/>
      <w:divBdr>
        <w:top w:val="none" w:sz="0" w:space="0" w:color="auto"/>
        <w:left w:val="none" w:sz="0" w:space="0" w:color="auto"/>
        <w:bottom w:val="none" w:sz="0" w:space="0" w:color="auto"/>
        <w:right w:val="none" w:sz="0" w:space="0" w:color="auto"/>
      </w:divBdr>
    </w:div>
    <w:div w:id="1379863766">
      <w:marLeft w:val="0"/>
      <w:marRight w:val="0"/>
      <w:marTop w:val="0"/>
      <w:marBottom w:val="0"/>
      <w:divBdr>
        <w:top w:val="none" w:sz="0" w:space="0" w:color="auto"/>
        <w:left w:val="none" w:sz="0" w:space="0" w:color="auto"/>
        <w:bottom w:val="none" w:sz="0" w:space="0" w:color="auto"/>
        <w:right w:val="none" w:sz="0" w:space="0" w:color="auto"/>
      </w:divBdr>
    </w:div>
    <w:div w:id="1381399616">
      <w:marLeft w:val="0"/>
      <w:marRight w:val="0"/>
      <w:marTop w:val="0"/>
      <w:marBottom w:val="0"/>
      <w:divBdr>
        <w:top w:val="none" w:sz="0" w:space="0" w:color="auto"/>
        <w:left w:val="none" w:sz="0" w:space="0" w:color="auto"/>
        <w:bottom w:val="none" w:sz="0" w:space="0" w:color="auto"/>
        <w:right w:val="none" w:sz="0" w:space="0" w:color="auto"/>
      </w:divBdr>
    </w:div>
    <w:div w:id="1381590095">
      <w:marLeft w:val="0"/>
      <w:marRight w:val="0"/>
      <w:marTop w:val="0"/>
      <w:marBottom w:val="0"/>
      <w:divBdr>
        <w:top w:val="none" w:sz="0" w:space="0" w:color="auto"/>
        <w:left w:val="none" w:sz="0" w:space="0" w:color="auto"/>
        <w:bottom w:val="none" w:sz="0" w:space="0" w:color="auto"/>
        <w:right w:val="none" w:sz="0" w:space="0" w:color="auto"/>
      </w:divBdr>
    </w:div>
    <w:div w:id="1381705815">
      <w:marLeft w:val="0"/>
      <w:marRight w:val="0"/>
      <w:marTop w:val="0"/>
      <w:marBottom w:val="0"/>
      <w:divBdr>
        <w:top w:val="none" w:sz="0" w:space="0" w:color="auto"/>
        <w:left w:val="none" w:sz="0" w:space="0" w:color="auto"/>
        <w:bottom w:val="none" w:sz="0" w:space="0" w:color="auto"/>
        <w:right w:val="none" w:sz="0" w:space="0" w:color="auto"/>
      </w:divBdr>
    </w:div>
    <w:div w:id="1381711956">
      <w:marLeft w:val="0"/>
      <w:marRight w:val="0"/>
      <w:marTop w:val="0"/>
      <w:marBottom w:val="0"/>
      <w:divBdr>
        <w:top w:val="none" w:sz="0" w:space="0" w:color="auto"/>
        <w:left w:val="none" w:sz="0" w:space="0" w:color="auto"/>
        <w:bottom w:val="none" w:sz="0" w:space="0" w:color="auto"/>
        <w:right w:val="none" w:sz="0" w:space="0" w:color="auto"/>
      </w:divBdr>
    </w:div>
    <w:div w:id="1381788785">
      <w:marLeft w:val="0"/>
      <w:marRight w:val="0"/>
      <w:marTop w:val="0"/>
      <w:marBottom w:val="0"/>
      <w:divBdr>
        <w:top w:val="none" w:sz="0" w:space="0" w:color="auto"/>
        <w:left w:val="none" w:sz="0" w:space="0" w:color="auto"/>
        <w:bottom w:val="none" w:sz="0" w:space="0" w:color="auto"/>
        <w:right w:val="none" w:sz="0" w:space="0" w:color="auto"/>
      </w:divBdr>
    </w:div>
    <w:div w:id="1382902523">
      <w:marLeft w:val="0"/>
      <w:marRight w:val="0"/>
      <w:marTop w:val="0"/>
      <w:marBottom w:val="0"/>
      <w:divBdr>
        <w:top w:val="none" w:sz="0" w:space="0" w:color="auto"/>
        <w:left w:val="none" w:sz="0" w:space="0" w:color="auto"/>
        <w:bottom w:val="none" w:sz="0" w:space="0" w:color="auto"/>
        <w:right w:val="none" w:sz="0" w:space="0" w:color="auto"/>
      </w:divBdr>
    </w:div>
    <w:div w:id="1384139235">
      <w:marLeft w:val="0"/>
      <w:marRight w:val="0"/>
      <w:marTop w:val="0"/>
      <w:marBottom w:val="0"/>
      <w:divBdr>
        <w:top w:val="none" w:sz="0" w:space="0" w:color="auto"/>
        <w:left w:val="none" w:sz="0" w:space="0" w:color="auto"/>
        <w:bottom w:val="none" w:sz="0" w:space="0" w:color="auto"/>
        <w:right w:val="none" w:sz="0" w:space="0" w:color="auto"/>
      </w:divBdr>
    </w:div>
    <w:div w:id="1384257253">
      <w:marLeft w:val="0"/>
      <w:marRight w:val="0"/>
      <w:marTop w:val="0"/>
      <w:marBottom w:val="0"/>
      <w:divBdr>
        <w:top w:val="none" w:sz="0" w:space="0" w:color="auto"/>
        <w:left w:val="none" w:sz="0" w:space="0" w:color="auto"/>
        <w:bottom w:val="none" w:sz="0" w:space="0" w:color="auto"/>
        <w:right w:val="none" w:sz="0" w:space="0" w:color="auto"/>
      </w:divBdr>
    </w:div>
    <w:div w:id="1385520136">
      <w:marLeft w:val="0"/>
      <w:marRight w:val="0"/>
      <w:marTop w:val="0"/>
      <w:marBottom w:val="0"/>
      <w:divBdr>
        <w:top w:val="none" w:sz="0" w:space="0" w:color="auto"/>
        <w:left w:val="none" w:sz="0" w:space="0" w:color="auto"/>
        <w:bottom w:val="none" w:sz="0" w:space="0" w:color="auto"/>
        <w:right w:val="none" w:sz="0" w:space="0" w:color="auto"/>
      </w:divBdr>
    </w:div>
    <w:div w:id="1385762825">
      <w:marLeft w:val="0"/>
      <w:marRight w:val="0"/>
      <w:marTop w:val="0"/>
      <w:marBottom w:val="0"/>
      <w:divBdr>
        <w:top w:val="none" w:sz="0" w:space="0" w:color="auto"/>
        <w:left w:val="none" w:sz="0" w:space="0" w:color="auto"/>
        <w:bottom w:val="none" w:sz="0" w:space="0" w:color="auto"/>
        <w:right w:val="none" w:sz="0" w:space="0" w:color="auto"/>
      </w:divBdr>
    </w:div>
    <w:div w:id="1386294347">
      <w:marLeft w:val="0"/>
      <w:marRight w:val="0"/>
      <w:marTop w:val="0"/>
      <w:marBottom w:val="0"/>
      <w:divBdr>
        <w:top w:val="none" w:sz="0" w:space="0" w:color="auto"/>
        <w:left w:val="none" w:sz="0" w:space="0" w:color="auto"/>
        <w:bottom w:val="none" w:sz="0" w:space="0" w:color="auto"/>
        <w:right w:val="none" w:sz="0" w:space="0" w:color="auto"/>
      </w:divBdr>
    </w:div>
    <w:div w:id="1387529458">
      <w:marLeft w:val="0"/>
      <w:marRight w:val="0"/>
      <w:marTop w:val="0"/>
      <w:marBottom w:val="0"/>
      <w:divBdr>
        <w:top w:val="none" w:sz="0" w:space="0" w:color="auto"/>
        <w:left w:val="none" w:sz="0" w:space="0" w:color="auto"/>
        <w:bottom w:val="none" w:sz="0" w:space="0" w:color="auto"/>
        <w:right w:val="none" w:sz="0" w:space="0" w:color="auto"/>
      </w:divBdr>
    </w:div>
    <w:div w:id="1387796875">
      <w:marLeft w:val="0"/>
      <w:marRight w:val="0"/>
      <w:marTop w:val="0"/>
      <w:marBottom w:val="0"/>
      <w:divBdr>
        <w:top w:val="none" w:sz="0" w:space="0" w:color="auto"/>
        <w:left w:val="none" w:sz="0" w:space="0" w:color="auto"/>
        <w:bottom w:val="none" w:sz="0" w:space="0" w:color="auto"/>
        <w:right w:val="none" w:sz="0" w:space="0" w:color="auto"/>
      </w:divBdr>
    </w:div>
    <w:div w:id="1388071019">
      <w:marLeft w:val="0"/>
      <w:marRight w:val="0"/>
      <w:marTop w:val="100"/>
      <w:marBottom w:val="120"/>
      <w:divBdr>
        <w:top w:val="none" w:sz="0" w:space="0" w:color="auto"/>
        <w:left w:val="none" w:sz="0" w:space="0" w:color="auto"/>
        <w:bottom w:val="none" w:sz="0" w:space="0" w:color="auto"/>
        <w:right w:val="none" w:sz="0" w:space="0" w:color="auto"/>
      </w:divBdr>
    </w:div>
    <w:div w:id="1388988827">
      <w:marLeft w:val="0"/>
      <w:marRight w:val="0"/>
      <w:marTop w:val="0"/>
      <w:marBottom w:val="0"/>
      <w:divBdr>
        <w:top w:val="none" w:sz="0" w:space="0" w:color="auto"/>
        <w:left w:val="none" w:sz="0" w:space="0" w:color="auto"/>
        <w:bottom w:val="none" w:sz="0" w:space="0" w:color="auto"/>
        <w:right w:val="none" w:sz="0" w:space="0" w:color="auto"/>
      </w:divBdr>
    </w:div>
    <w:div w:id="1388989423">
      <w:marLeft w:val="0"/>
      <w:marRight w:val="0"/>
      <w:marTop w:val="0"/>
      <w:marBottom w:val="0"/>
      <w:divBdr>
        <w:top w:val="none" w:sz="0" w:space="0" w:color="auto"/>
        <w:left w:val="none" w:sz="0" w:space="0" w:color="auto"/>
        <w:bottom w:val="none" w:sz="0" w:space="0" w:color="auto"/>
        <w:right w:val="none" w:sz="0" w:space="0" w:color="auto"/>
      </w:divBdr>
    </w:div>
    <w:div w:id="1388991518">
      <w:marLeft w:val="0"/>
      <w:marRight w:val="0"/>
      <w:marTop w:val="0"/>
      <w:marBottom w:val="0"/>
      <w:divBdr>
        <w:top w:val="none" w:sz="0" w:space="0" w:color="auto"/>
        <w:left w:val="none" w:sz="0" w:space="0" w:color="auto"/>
        <w:bottom w:val="none" w:sz="0" w:space="0" w:color="auto"/>
        <w:right w:val="none" w:sz="0" w:space="0" w:color="auto"/>
      </w:divBdr>
      <w:divsChild>
        <w:div w:id="392125398">
          <w:marLeft w:val="0"/>
          <w:marRight w:val="0"/>
          <w:marTop w:val="0"/>
          <w:marBottom w:val="0"/>
          <w:divBdr>
            <w:top w:val="none" w:sz="0" w:space="0" w:color="auto"/>
            <w:left w:val="none" w:sz="0" w:space="0" w:color="auto"/>
            <w:bottom w:val="none" w:sz="0" w:space="0" w:color="auto"/>
            <w:right w:val="none" w:sz="0" w:space="0" w:color="auto"/>
          </w:divBdr>
        </w:div>
      </w:divsChild>
    </w:div>
    <w:div w:id="1389064485">
      <w:marLeft w:val="0"/>
      <w:marRight w:val="0"/>
      <w:marTop w:val="100"/>
      <w:marBottom w:val="100"/>
      <w:divBdr>
        <w:top w:val="none" w:sz="0" w:space="0" w:color="auto"/>
        <w:left w:val="none" w:sz="0" w:space="0" w:color="auto"/>
        <w:bottom w:val="none" w:sz="0" w:space="0" w:color="auto"/>
        <w:right w:val="none" w:sz="0" w:space="0" w:color="auto"/>
      </w:divBdr>
      <w:divsChild>
        <w:div w:id="1782528887">
          <w:marLeft w:val="0"/>
          <w:marRight w:val="0"/>
          <w:marTop w:val="0"/>
          <w:marBottom w:val="0"/>
          <w:divBdr>
            <w:top w:val="none" w:sz="0" w:space="0" w:color="auto"/>
            <w:left w:val="none" w:sz="0" w:space="0" w:color="auto"/>
            <w:bottom w:val="none" w:sz="0" w:space="0" w:color="auto"/>
            <w:right w:val="none" w:sz="0" w:space="0" w:color="auto"/>
          </w:divBdr>
        </w:div>
        <w:div w:id="1595239132">
          <w:marLeft w:val="0"/>
          <w:marRight w:val="0"/>
          <w:marTop w:val="0"/>
          <w:marBottom w:val="0"/>
          <w:divBdr>
            <w:top w:val="none" w:sz="0" w:space="0" w:color="auto"/>
            <w:left w:val="none" w:sz="0" w:space="0" w:color="auto"/>
            <w:bottom w:val="none" w:sz="0" w:space="0" w:color="auto"/>
            <w:right w:val="none" w:sz="0" w:space="0" w:color="auto"/>
          </w:divBdr>
        </w:div>
        <w:div w:id="271982144">
          <w:marLeft w:val="0"/>
          <w:marRight w:val="0"/>
          <w:marTop w:val="0"/>
          <w:marBottom w:val="0"/>
          <w:divBdr>
            <w:top w:val="none" w:sz="0" w:space="0" w:color="auto"/>
            <w:left w:val="none" w:sz="0" w:space="0" w:color="auto"/>
            <w:bottom w:val="none" w:sz="0" w:space="0" w:color="auto"/>
            <w:right w:val="none" w:sz="0" w:space="0" w:color="auto"/>
          </w:divBdr>
        </w:div>
      </w:divsChild>
    </w:div>
    <w:div w:id="1389184645">
      <w:marLeft w:val="0"/>
      <w:marRight w:val="0"/>
      <w:marTop w:val="0"/>
      <w:marBottom w:val="0"/>
      <w:divBdr>
        <w:top w:val="none" w:sz="0" w:space="0" w:color="auto"/>
        <w:left w:val="none" w:sz="0" w:space="0" w:color="auto"/>
        <w:bottom w:val="none" w:sz="0" w:space="0" w:color="auto"/>
        <w:right w:val="none" w:sz="0" w:space="0" w:color="auto"/>
      </w:divBdr>
    </w:div>
    <w:div w:id="1389452500">
      <w:marLeft w:val="0"/>
      <w:marRight w:val="0"/>
      <w:marTop w:val="0"/>
      <w:marBottom w:val="0"/>
      <w:divBdr>
        <w:top w:val="none" w:sz="0" w:space="0" w:color="auto"/>
        <w:left w:val="none" w:sz="0" w:space="0" w:color="auto"/>
        <w:bottom w:val="none" w:sz="0" w:space="0" w:color="auto"/>
        <w:right w:val="none" w:sz="0" w:space="0" w:color="auto"/>
      </w:divBdr>
    </w:div>
    <w:div w:id="1390111964">
      <w:marLeft w:val="0"/>
      <w:marRight w:val="0"/>
      <w:marTop w:val="0"/>
      <w:marBottom w:val="0"/>
      <w:divBdr>
        <w:top w:val="none" w:sz="0" w:space="0" w:color="auto"/>
        <w:left w:val="none" w:sz="0" w:space="0" w:color="auto"/>
        <w:bottom w:val="none" w:sz="0" w:space="0" w:color="auto"/>
        <w:right w:val="none" w:sz="0" w:space="0" w:color="auto"/>
      </w:divBdr>
    </w:div>
    <w:div w:id="1390953822">
      <w:marLeft w:val="0"/>
      <w:marRight w:val="0"/>
      <w:marTop w:val="0"/>
      <w:marBottom w:val="0"/>
      <w:divBdr>
        <w:top w:val="none" w:sz="0" w:space="0" w:color="auto"/>
        <w:left w:val="none" w:sz="0" w:space="0" w:color="auto"/>
        <w:bottom w:val="none" w:sz="0" w:space="0" w:color="auto"/>
        <w:right w:val="none" w:sz="0" w:space="0" w:color="auto"/>
      </w:divBdr>
    </w:div>
    <w:div w:id="1392071136">
      <w:marLeft w:val="0"/>
      <w:marRight w:val="0"/>
      <w:marTop w:val="0"/>
      <w:marBottom w:val="0"/>
      <w:divBdr>
        <w:top w:val="none" w:sz="0" w:space="0" w:color="auto"/>
        <w:left w:val="none" w:sz="0" w:space="0" w:color="auto"/>
        <w:bottom w:val="none" w:sz="0" w:space="0" w:color="auto"/>
        <w:right w:val="none" w:sz="0" w:space="0" w:color="auto"/>
      </w:divBdr>
    </w:div>
    <w:div w:id="1392192947">
      <w:marLeft w:val="0"/>
      <w:marRight w:val="0"/>
      <w:marTop w:val="0"/>
      <w:marBottom w:val="0"/>
      <w:divBdr>
        <w:top w:val="none" w:sz="0" w:space="0" w:color="auto"/>
        <w:left w:val="none" w:sz="0" w:space="0" w:color="auto"/>
        <w:bottom w:val="none" w:sz="0" w:space="0" w:color="auto"/>
        <w:right w:val="none" w:sz="0" w:space="0" w:color="auto"/>
      </w:divBdr>
    </w:div>
    <w:div w:id="1392579272">
      <w:marLeft w:val="0"/>
      <w:marRight w:val="0"/>
      <w:marTop w:val="0"/>
      <w:marBottom w:val="0"/>
      <w:divBdr>
        <w:top w:val="none" w:sz="0" w:space="0" w:color="auto"/>
        <w:left w:val="none" w:sz="0" w:space="0" w:color="auto"/>
        <w:bottom w:val="none" w:sz="0" w:space="0" w:color="auto"/>
        <w:right w:val="none" w:sz="0" w:space="0" w:color="auto"/>
      </w:divBdr>
    </w:div>
    <w:div w:id="1394158713">
      <w:marLeft w:val="0"/>
      <w:marRight w:val="0"/>
      <w:marTop w:val="0"/>
      <w:marBottom w:val="0"/>
      <w:divBdr>
        <w:top w:val="none" w:sz="0" w:space="0" w:color="auto"/>
        <w:left w:val="none" w:sz="0" w:space="0" w:color="auto"/>
        <w:bottom w:val="none" w:sz="0" w:space="0" w:color="auto"/>
        <w:right w:val="none" w:sz="0" w:space="0" w:color="auto"/>
      </w:divBdr>
    </w:div>
    <w:div w:id="1394428066">
      <w:marLeft w:val="0"/>
      <w:marRight w:val="0"/>
      <w:marTop w:val="0"/>
      <w:marBottom w:val="0"/>
      <w:divBdr>
        <w:top w:val="none" w:sz="0" w:space="0" w:color="auto"/>
        <w:left w:val="none" w:sz="0" w:space="0" w:color="auto"/>
        <w:bottom w:val="none" w:sz="0" w:space="0" w:color="auto"/>
        <w:right w:val="none" w:sz="0" w:space="0" w:color="auto"/>
      </w:divBdr>
    </w:div>
    <w:div w:id="1395278980">
      <w:marLeft w:val="0"/>
      <w:marRight w:val="0"/>
      <w:marTop w:val="0"/>
      <w:marBottom w:val="0"/>
      <w:divBdr>
        <w:top w:val="none" w:sz="0" w:space="0" w:color="auto"/>
        <w:left w:val="none" w:sz="0" w:space="0" w:color="auto"/>
        <w:bottom w:val="none" w:sz="0" w:space="0" w:color="auto"/>
        <w:right w:val="none" w:sz="0" w:space="0" w:color="auto"/>
      </w:divBdr>
    </w:div>
    <w:div w:id="1395396922">
      <w:marLeft w:val="0"/>
      <w:marRight w:val="0"/>
      <w:marTop w:val="0"/>
      <w:marBottom w:val="0"/>
      <w:divBdr>
        <w:top w:val="none" w:sz="0" w:space="0" w:color="auto"/>
        <w:left w:val="none" w:sz="0" w:space="0" w:color="auto"/>
        <w:bottom w:val="none" w:sz="0" w:space="0" w:color="auto"/>
        <w:right w:val="none" w:sz="0" w:space="0" w:color="auto"/>
      </w:divBdr>
    </w:div>
    <w:div w:id="1397901797">
      <w:marLeft w:val="0"/>
      <w:marRight w:val="0"/>
      <w:marTop w:val="100"/>
      <w:marBottom w:val="100"/>
      <w:divBdr>
        <w:top w:val="none" w:sz="0" w:space="0" w:color="auto"/>
        <w:left w:val="none" w:sz="0" w:space="0" w:color="auto"/>
        <w:bottom w:val="none" w:sz="0" w:space="0" w:color="auto"/>
        <w:right w:val="none" w:sz="0" w:space="0" w:color="auto"/>
      </w:divBdr>
      <w:divsChild>
        <w:div w:id="1940986117">
          <w:marLeft w:val="0"/>
          <w:marRight w:val="0"/>
          <w:marTop w:val="0"/>
          <w:marBottom w:val="0"/>
          <w:divBdr>
            <w:top w:val="none" w:sz="0" w:space="0" w:color="auto"/>
            <w:left w:val="none" w:sz="0" w:space="0" w:color="auto"/>
            <w:bottom w:val="none" w:sz="0" w:space="0" w:color="auto"/>
            <w:right w:val="none" w:sz="0" w:space="0" w:color="auto"/>
          </w:divBdr>
        </w:div>
        <w:div w:id="1406340788">
          <w:marLeft w:val="0"/>
          <w:marRight w:val="0"/>
          <w:marTop w:val="0"/>
          <w:marBottom w:val="0"/>
          <w:divBdr>
            <w:top w:val="none" w:sz="0" w:space="0" w:color="auto"/>
            <w:left w:val="none" w:sz="0" w:space="0" w:color="auto"/>
            <w:bottom w:val="none" w:sz="0" w:space="0" w:color="auto"/>
            <w:right w:val="none" w:sz="0" w:space="0" w:color="auto"/>
          </w:divBdr>
        </w:div>
        <w:div w:id="366878982">
          <w:marLeft w:val="0"/>
          <w:marRight w:val="0"/>
          <w:marTop w:val="0"/>
          <w:marBottom w:val="0"/>
          <w:divBdr>
            <w:top w:val="none" w:sz="0" w:space="0" w:color="auto"/>
            <w:left w:val="none" w:sz="0" w:space="0" w:color="auto"/>
            <w:bottom w:val="none" w:sz="0" w:space="0" w:color="auto"/>
            <w:right w:val="none" w:sz="0" w:space="0" w:color="auto"/>
          </w:divBdr>
        </w:div>
        <w:div w:id="1941335840">
          <w:marLeft w:val="0"/>
          <w:marRight w:val="0"/>
          <w:marTop w:val="0"/>
          <w:marBottom w:val="0"/>
          <w:divBdr>
            <w:top w:val="none" w:sz="0" w:space="0" w:color="auto"/>
            <w:left w:val="none" w:sz="0" w:space="0" w:color="auto"/>
            <w:bottom w:val="none" w:sz="0" w:space="0" w:color="auto"/>
            <w:right w:val="none" w:sz="0" w:space="0" w:color="auto"/>
          </w:divBdr>
        </w:div>
        <w:div w:id="984239295">
          <w:marLeft w:val="0"/>
          <w:marRight w:val="0"/>
          <w:marTop w:val="0"/>
          <w:marBottom w:val="0"/>
          <w:divBdr>
            <w:top w:val="none" w:sz="0" w:space="0" w:color="auto"/>
            <w:left w:val="none" w:sz="0" w:space="0" w:color="auto"/>
            <w:bottom w:val="none" w:sz="0" w:space="0" w:color="auto"/>
            <w:right w:val="none" w:sz="0" w:space="0" w:color="auto"/>
          </w:divBdr>
        </w:div>
        <w:div w:id="1597858516">
          <w:marLeft w:val="0"/>
          <w:marRight w:val="0"/>
          <w:marTop w:val="0"/>
          <w:marBottom w:val="0"/>
          <w:divBdr>
            <w:top w:val="none" w:sz="0" w:space="0" w:color="auto"/>
            <w:left w:val="none" w:sz="0" w:space="0" w:color="auto"/>
            <w:bottom w:val="none" w:sz="0" w:space="0" w:color="auto"/>
            <w:right w:val="none" w:sz="0" w:space="0" w:color="auto"/>
          </w:divBdr>
        </w:div>
        <w:div w:id="288439568">
          <w:marLeft w:val="0"/>
          <w:marRight w:val="0"/>
          <w:marTop w:val="0"/>
          <w:marBottom w:val="0"/>
          <w:divBdr>
            <w:top w:val="none" w:sz="0" w:space="0" w:color="auto"/>
            <w:left w:val="none" w:sz="0" w:space="0" w:color="auto"/>
            <w:bottom w:val="none" w:sz="0" w:space="0" w:color="auto"/>
            <w:right w:val="none" w:sz="0" w:space="0" w:color="auto"/>
          </w:divBdr>
        </w:div>
        <w:div w:id="883372348">
          <w:marLeft w:val="0"/>
          <w:marRight w:val="0"/>
          <w:marTop w:val="0"/>
          <w:marBottom w:val="0"/>
          <w:divBdr>
            <w:top w:val="none" w:sz="0" w:space="0" w:color="auto"/>
            <w:left w:val="none" w:sz="0" w:space="0" w:color="auto"/>
            <w:bottom w:val="none" w:sz="0" w:space="0" w:color="auto"/>
            <w:right w:val="none" w:sz="0" w:space="0" w:color="auto"/>
          </w:divBdr>
        </w:div>
        <w:div w:id="1760758800">
          <w:marLeft w:val="0"/>
          <w:marRight w:val="0"/>
          <w:marTop w:val="0"/>
          <w:marBottom w:val="0"/>
          <w:divBdr>
            <w:top w:val="none" w:sz="0" w:space="0" w:color="auto"/>
            <w:left w:val="none" w:sz="0" w:space="0" w:color="auto"/>
            <w:bottom w:val="none" w:sz="0" w:space="0" w:color="auto"/>
            <w:right w:val="none" w:sz="0" w:space="0" w:color="auto"/>
          </w:divBdr>
        </w:div>
        <w:div w:id="1381053125">
          <w:marLeft w:val="0"/>
          <w:marRight w:val="0"/>
          <w:marTop w:val="0"/>
          <w:marBottom w:val="0"/>
          <w:divBdr>
            <w:top w:val="none" w:sz="0" w:space="0" w:color="auto"/>
            <w:left w:val="none" w:sz="0" w:space="0" w:color="auto"/>
            <w:bottom w:val="none" w:sz="0" w:space="0" w:color="auto"/>
            <w:right w:val="none" w:sz="0" w:space="0" w:color="auto"/>
          </w:divBdr>
        </w:div>
        <w:div w:id="1266234499">
          <w:marLeft w:val="0"/>
          <w:marRight w:val="0"/>
          <w:marTop w:val="0"/>
          <w:marBottom w:val="0"/>
          <w:divBdr>
            <w:top w:val="none" w:sz="0" w:space="0" w:color="auto"/>
            <w:left w:val="none" w:sz="0" w:space="0" w:color="auto"/>
            <w:bottom w:val="none" w:sz="0" w:space="0" w:color="auto"/>
            <w:right w:val="none" w:sz="0" w:space="0" w:color="auto"/>
          </w:divBdr>
        </w:div>
        <w:div w:id="517164204">
          <w:marLeft w:val="0"/>
          <w:marRight w:val="0"/>
          <w:marTop w:val="0"/>
          <w:marBottom w:val="0"/>
          <w:divBdr>
            <w:top w:val="none" w:sz="0" w:space="0" w:color="auto"/>
            <w:left w:val="none" w:sz="0" w:space="0" w:color="auto"/>
            <w:bottom w:val="none" w:sz="0" w:space="0" w:color="auto"/>
            <w:right w:val="none" w:sz="0" w:space="0" w:color="auto"/>
          </w:divBdr>
        </w:div>
        <w:div w:id="1979022122">
          <w:marLeft w:val="0"/>
          <w:marRight w:val="0"/>
          <w:marTop w:val="0"/>
          <w:marBottom w:val="0"/>
          <w:divBdr>
            <w:top w:val="none" w:sz="0" w:space="0" w:color="auto"/>
            <w:left w:val="none" w:sz="0" w:space="0" w:color="auto"/>
            <w:bottom w:val="none" w:sz="0" w:space="0" w:color="auto"/>
            <w:right w:val="none" w:sz="0" w:space="0" w:color="auto"/>
          </w:divBdr>
        </w:div>
        <w:div w:id="752775208">
          <w:marLeft w:val="0"/>
          <w:marRight w:val="0"/>
          <w:marTop w:val="0"/>
          <w:marBottom w:val="0"/>
          <w:divBdr>
            <w:top w:val="none" w:sz="0" w:space="0" w:color="auto"/>
            <w:left w:val="none" w:sz="0" w:space="0" w:color="auto"/>
            <w:bottom w:val="none" w:sz="0" w:space="0" w:color="auto"/>
            <w:right w:val="none" w:sz="0" w:space="0" w:color="auto"/>
          </w:divBdr>
        </w:div>
        <w:div w:id="1372874774">
          <w:marLeft w:val="0"/>
          <w:marRight w:val="0"/>
          <w:marTop w:val="0"/>
          <w:marBottom w:val="0"/>
          <w:divBdr>
            <w:top w:val="none" w:sz="0" w:space="0" w:color="auto"/>
            <w:left w:val="none" w:sz="0" w:space="0" w:color="auto"/>
            <w:bottom w:val="none" w:sz="0" w:space="0" w:color="auto"/>
            <w:right w:val="none" w:sz="0" w:space="0" w:color="auto"/>
          </w:divBdr>
        </w:div>
        <w:div w:id="754938846">
          <w:marLeft w:val="0"/>
          <w:marRight w:val="0"/>
          <w:marTop w:val="0"/>
          <w:marBottom w:val="0"/>
          <w:divBdr>
            <w:top w:val="none" w:sz="0" w:space="0" w:color="auto"/>
            <w:left w:val="none" w:sz="0" w:space="0" w:color="auto"/>
            <w:bottom w:val="none" w:sz="0" w:space="0" w:color="auto"/>
            <w:right w:val="none" w:sz="0" w:space="0" w:color="auto"/>
          </w:divBdr>
        </w:div>
        <w:div w:id="611742815">
          <w:marLeft w:val="0"/>
          <w:marRight w:val="0"/>
          <w:marTop w:val="0"/>
          <w:marBottom w:val="0"/>
          <w:divBdr>
            <w:top w:val="none" w:sz="0" w:space="0" w:color="auto"/>
            <w:left w:val="none" w:sz="0" w:space="0" w:color="auto"/>
            <w:bottom w:val="none" w:sz="0" w:space="0" w:color="auto"/>
            <w:right w:val="none" w:sz="0" w:space="0" w:color="auto"/>
          </w:divBdr>
        </w:div>
        <w:div w:id="2055613799">
          <w:marLeft w:val="0"/>
          <w:marRight w:val="0"/>
          <w:marTop w:val="0"/>
          <w:marBottom w:val="0"/>
          <w:divBdr>
            <w:top w:val="none" w:sz="0" w:space="0" w:color="auto"/>
            <w:left w:val="none" w:sz="0" w:space="0" w:color="auto"/>
            <w:bottom w:val="none" w:sz="0" w:space="0" w:color="auto"/>
            <w:right w:val="none" w:sz="0" w:space="0" w:color="auto"/>
          </w:divBdr>
        </w:div>
        <w:div w:id="1596937810">
          <w:marLeft w:val="0"/>
          <w:marRight w:val="0"/>
          <w:marTop w:val="0"/>
          <w:marBottom w:val="0"/>
          <w:divBdr>
            <w:top w:val="none" w:sz="0" w:space="0" w:color="auto"/>
            <w:left w:val="none" w:sz="0" w:space="0" w:color="auto"/>
            <w:bottom w:val="none" w:sz="0" w:space="0" w:color="auto"/>
            <w:right w:val="none" w:sz="0" w:space="0" w:color="auto"/>
          </w:divBdr>
        </w:div>
        <w:div w:id="903878712">
          <w:marLeft w:val="0"/>
          <w:marRight w:val="0"/>
          <w:marTop w:val="0"/>
          <w:marBottom w:val="0"/>
          <w:divBdr>
            <w:top w:val="none" w:sz="0" w:space="0" w:color="auto"/>
            <w:left w:val="none" w:sz="0" w:space="0" w:color="auto"/>
            <w:bottom w:val="none" w:sz="0" w:space="0" w:color="auto"/>
            <w:right w:val="none" w:sz="0" w:space="0" w:color="auto"/>
          </w:divBdr>
        </w:div>
        <w:div w:id="1033845619">
          <w:marLeft w:val="0"/>
          <w:marRight w:val="0"/>
          <w:marTop w:val="0"/>
          <w:marBottom w:val="0"/>
          <w:divBdr>
            <w:top w:val="none" w:sz="0" w:space="0" w:color="auto"/>
            <w:left w:val="none" w:sz="0" w:space="0" w:color="auto"/>
            <w:bottom w:val="none" w:sz="0" w:space="0" w:color="auto"/>
            <w:right w:val="none" w:sz="0" w:space="0" w:color="auto"/>
          </w:divBdr>
        </w:div>
        <w:div w:id="1025406892">
          <w:marLeft w:val="0"/>
          <w:marRight w:val="0"/>
          <w:marTop w:val="0"/>
          <w:marBottom w:val="0"/>
          <w:divBdr>
            <w:top w:val="none" w:sz="0" w:space="0" w:color="auto"/>
            <w:left w:val="none" w:sz="0" w:space="0" w:color="auto"/>
            <w:bottom w:val="none" w:sz="0" w:space="0" w:color="auto"/>
            <w:right w:val="none" w:sz="0" w:space="0" w:color="auto"/>
          </w:divBdr>
        </w:div>
        <w:div w:id="453250794">
          <w:marLeft w:val="0"/>
          <w:marRight w:val="0"/>
          <w:marTop w:val="0"/>
          <w:marBottom w:val="0"/>
          <w:divBdr>
            <w:top w:val="none" w:sz="0" w:space="0" w:color="auto"/>
            <w:left w:val="none" w:sz="0" w:space="0" w:color="auto"/>
            <w:bottom w:val="none" w:sz="0" w:space="0" w:color="auto"/>
            <w:right w:val="none" w:sz="0" w:space="0" w:color="auto"/>
          </w:divBdr>
        </w:div>
        <w:div w:id="1115947476">
          <w:marLeft w:val="0"/>
          <w:marRight w:val="0"/>
          <w:marTop w:val="0"/>
          <w:marBottom w:val="0"/>
          <w:divBdr>
            <w:top w:val="none" w:sz="0" w:space="0" w:color="auto"/>
            <w:left w:val="none" w:sz="0" w:space="0" w:color="auto"/>
            <w:bottom w:val="none" w:sz="0" w:space="0" w:color="auto"/>
            <w:right w:val="none" w:sz="0" w:space="0" w:color="auto"/>
          </w:divBdr>
        </w:div>
        <w:div w:id="792600568">
          <w:marLeft w:val="0"/>
          <w:marRight w:val="0"/>
          <w:marTop w:val="0"/>
          <w:marBottom w:val="0"/>
          <w:divBdr>
            <w:top w:val="none" w:sz="0" w:space="0" w:color="auto"/>
            <w:left w:val="none" w:sz="0" w:space="0" w:color="auto"/>
            <w:bottom w:val="none" w:sz="0" w:space="0" w:color="auto"/>
            <w:right w:val="none" w:sz="0" w:space="0" w:color="auto"/>
          </w:divBdr>
        </w:div>
        <w:div w:id="1970624900">
          <w:marLeft w:val="0"/>
          <w:marRight w:val="0"/>
          <w:marTop w:val="0"/>
          <w:marBottom w:val="0"/>
          <w:divBdr>
            <w:top w:val="none" w:sz="0" w:space="0" w:color="auto"/>
            <w:left w:val="none" w:sz="0" w:space="0" w:color="auto"/>
            <w:bottom w:val="none" w:sz="0" w:space="0" w:color="auto"/>
            <w:right w:val="none" w:sz="0" w:space="0" w:color="auto"/>
          </w:divBdr>
        </w:div>
        <w:div w:id="1030760332">
          <w:marLeft w:val="0"/>
          <w:marRight w:val="0"/>
          <w:marTop w:val="0"/>
          <w:marBottom w:val="0"/>
          <w:divBdr>
            <w:top w:val="none" w:sz="0" w:space="0" w:color="auto"/>
            <w:left w:val="none" w:sz="0" w:space="0" w:color="auto"/>
            <w:bottom w:val="none" w:sz="0" w:space="0" w:color="auto"/>
            <w:right w:val="none" w:sz="0" w:space="0" w:color="auto"/>
          </w:divBdr>
        </w:div>
      </w:divsChild>
    </w:div>
    <w:div w:id="1398014724">
      <w:marLeft w:val="0"/>
      <w:marRight w:val="0"/>
      <w:marTop w:val="0"/>
      <w:marBottom w:val="0"/>
      <w:divBdr>
        <w:top w:val="none" w:sz="0" w:space="0" w:color="auto"/>
        <w:left w:val="none" w:sz="0" w:space="0" w:color="auto"/>
        <w:bottom w:val="none" w:sz="0" w:space="0" w:color="auto"/>
        <w:right w:val="none" w:sz="0" w:space="0" w:color="auto"/>
      </w:divBdr>
    </w:div>
    <w:div w:id="1398161636">
      <w:marLeft w:val="0"/>
      <w:marRight w:val="0"/>
      <w:marTop w:val="0"/>
      <w:marBottom w:val="0"/>
      <w:divBdr>
        <w:top w:val="none" w:sz="0" w:space="0" w:color="auto"/>
        <w:left w:val="none" w:sz="0" w:space="0" w:color="auto"/>
        <w:bottom w:val="none" w:sz="0" w:space="0" w:color="auto"/>
        <w:right w:val="none" w:sz="0" w:space="0" w:color="auto"/>
      </w:divBdr>
    </w:div>
    <w:div w:id="1398481228">
      <w:marLeft w:val="0"/>
      <w:marRight w:val="0"/>
      <w:marTop w:val="0"/>
      <w:marBottom w:val="0"/>
      <w:divBdr>
        <w:top w:val="none" w:sz="0" w:space="0" w:color="auto"/>
        <w:left w:val="none" w:sz="0" w:space="0" w:color="auto"/>
        <w:bottom w:val="none" w:sz="0" w:space="0" w:color="auto"/>
        <w:right w:val="none" w:sz="0" w:space="0" w:color="auto"/>
      </w:divBdr>
    </w:div>
    <w:div w:id="1398936146">
      <w:marLeft w:val="0"/>
      <w:marRight w:val="0"/>
      <w:marTop w:val="0"/>
      <w:marBottom w:val="0"/>
      <w:divBdr>
        <w:top w:val="none" w:sz="0" w:space="0" w:color="auto"/>
        <w:left w:val="none" w:sz="0" w:space="0" w:color="auto"/>
        <w:bottom w:val="none" w:sz="0" w:space="0" w:color="auto"/>
        <w:right w:val="none" w:sz="0" w:space="0" w:color="auto"/>
      </w:divBdr>
    </w:div>
    <w:div w:id="1399129673">
      <w:marLeft w:val="0"/>
      <w:marRight w:val="0"/>
      <w:marTop w:val="0"/>
      <w:marBottom w:val="0"/>
      <w:divBdr>
        <w:top w:val="none" w:sz="0" w:space="0" w:color="auto"/>
        <w:left w:val="none" w:sz="0" w:space="0" w:color="auto"/>
        <w:bottom w:val="none" w:sz="0" w:space="0" w:color="auto"/>
        <w:right w:val="none" w:sz="0" w:space="0" w:color="auto"/>
      </w:divBdr>
    </w:div>
    <w:div w:id="1399284880">
      <w:marLeft w:val="0"/>
      <w:marRight w:val="0"/>
      <w:marTop w:val="0"/>
      <w:marBottom w:val="0"/>
      <w:divBdr>
        <w:top w:val="none" w:sz="0" w:space="0" w:color="auto"/>
        <w:left w:val="none" w:sz="0" w:space="0" w:color="auto"/>
        <w:bottom w:val="none" w:sz="0" w:space="0" w:color="auto"/>
        <w:right w:val="none" w:sz="0" w:space="0" w:color="auto"/>
      </w:divBdr>
    </w:div>
    <w:div w:id="1399593165">
      <w:marLeft w:val="0"/>
      <w:marRight w:val="0"/>
      <w:marTop w:val="0"/>
      <w:marBottom w:val="0"/>
      <w:divBdr>
        <w:top w:val="none" w:sz="0" w:space="0" w:color="auto"/>
        <w:left w:val="none" w:sz="0" w:space="0" w:color="auto"/>
        <w:bottom w:val="none" w:sz="0" w:space="0" w:color="auto"/>
        <w:right w:val="none" w:sz="0" w:space="0" w:color="auto"/>
      </w:divBdr>
    </w:div>
    <w:div w:id="1399788710">
      <w:marLeft w:val="0"/>
      <w:marRight w:val="0"/>
      <w:marTop w:val="0"/>
      <w:marBottom w:val="0"/>
      <w:divBdr>
        <w:top w:val="none" w:sz="0" w:space="0" w:color="auto"/>
        <w:left w:val="none" w:sz="0" w:space="0" w:color="auto"/>
        <w:bottom w:val="none" w:sz="0" w:space="0" w:color="auto"/>
        <w:right w:val="none" w:sz="0" w:space="0" w:color="auto"/>
      </w:divBdr>
    </w:div>
    <w:div w:id="1399790834">
      <w:marLeft w:val="0"/>
      <w:marRight w:val="0"/>
      <w:marTop w:val="0"/>
      <w:marBottom w:val="0"/>
      <w:divBdr>
        <w:top w:val="none" w:sz="0" w:space="0" w:color="auto"/>
        <w:left w:val="none" w:sz="0" w:space="0" w:color="auto"/>
        <w:bottom w:val="none" w:sz="0" w:space="0" w:color="auto"/>
        <w:right w:val="none" w:sz="0" w:space="0" w:color="auto"/>
      </w:divBdr>
    </w:div>
    <w:div w:id="1400128053">
      <w:marLeft w:val="0"/>
      <w:marRight w:val="0"/>
      <w:marTop w:val="0"/>
      <w:marBottom w:val="0"/>
      <w:divBdr>
        <w:top w:val="none" w:sz="0" w:space="0" w:color="auto"/>
        <w:left w:val="none" w:sz="0" w:space="0" w:color="auto"/>
        <w:bottom w:val="none" w:sz="0" w:space="0" w:color="auto"/>
        <w:right w:val="none" w:sz="0" w:space="0" w:color="auto"/>
      </w:divBdr>
    </w:div>
    <w:div w:id="1401055956">
      <w:marLeft w:val="0"/>
      <w:marRight w:val="0"/>
      <w:marTop w:val="0"/>
      <w:marBottom w:val="0"/>
      <w:divBdr>
        <w:top w:val="none" w:sz="0" w:space="0" w:color="auto"/>
        <w:left w:val="none" w:sz="0" w:space="0" w:color="auto"/>
        <w:bottom w:val="none" w:sz="0" w:space="0" w:color="auto"/>
        <w:right w:val="none" w:sz="0" w:space="0" w:color="auto"/>
      </w:divBdr>
    </w:div>
    <w:div w:id="1401781926">
      <w:marLeft w:val="0"/>
      <w:marRight w:val="0"/>
      <w:marTop w:val="0"/>
      <w:marBottom w:val="0"/>
      <w:divBdr>
        <w:top w:val="none" w:sz="0" w:space="0" w:color="auto"/>
        <w:left w:val="none" w:sz="0" w:space="0" w:color="auto"/>
        <w:bottom w:val="none" w:sz="0" w:space="0" w:color="auto"/>
        <w:right w:val="none" w:sz="0" w:space="0" w:color="auto"/>
      </w:divBdr>
    </w:div>
    <w:div w:id="1403916020">
      <w:marLeft w:val="0"/>
      <w:marRight w:val="0"/>
      <w:marTop w:val="100"/>
      <w:marBottom w:val="100"/>
      <w:divBdr>
        <w:top w:val="none" w:sz="0" w:space="0" w:color="auto"/>
        <w:left w:val="none" w:sz="0" w:space="0" w:color="auto"/>
        <w:bottom w:val="none" w:sz="0" w:space="0" w:color="auto"/>
        <w:right w:val="none" w:sz="0" w:space="0" w:color="auto"/>
      </w:divBdr>
      <w:divsChild>
        <w:div w:id="1482575092">
          <w:marLeft w:val="0"/>
          <w:marRight w:val="0"/>
          <w:marTop w:val="0"/>
          <w:marBottom w:val="0"/>
          <w:divBdr>
            <w:top w:val="none" w:sz="0" w:space="0" w:color="auto"/>
            <w:left w:val="none" w:sz="0" w:space="0" w:color="auto"/>
            <w:bottom w:val="none" w:sz="0" w:space="0" w:color="auto"/>
            <w:right w:val="none" w:sz="0" w:space="0" w:color="auto"/>
          </w:divBdr>
        </w:div>
        <w:div w:id="1148402115">
          <w:marLeft w:val="0"/>
          <w:marRight w:val="0"/>
          <w:marTop w:val="0"/>
          <w:marBottom w:val="0"/>
          <w:divBdr>
            <w:top w:val="none" w:sz="0" w:space="0" w:color="auto"/>
            <w:left w:val="none" w:sz="0" w:space="0" w:color="auto"/>
            <w:bottom w:val="none" w:sz="0" w:space="0" w:color="auto"/>
            <w:right w:val="none" w:sz="0" w:space="0" w:color="auto"/>
          </w:divBdr>
        </w:div>
        <w:div w:id="279382989">
          <w:marLeft w:val="0"/>
          <w:marRight w:val="0"/>
          <w:marTop w:val="0"/>
          <w:marBottom w:val="0"/>
          <w:divBdr>
            <w:top w:val="none" w:sz="0" w:space="0" w:color="auto"/>
            <w:left w:val="none" w:sz="0" w:space="0" w:color="auto"/>
            <w:bottom w:val="none" w:sz="0" w:space="0" w:color="auto"/>
            <w:right w:val="none" w:sz="0" w:space="0" w:color="auto"/>
          </w:divBdr>
        </w:div>
      </w:divsChild>
    </w:div>
    <w:div w:id="1405689729">
      <w:marLeft w:val="0"/>
      <w:marRight w:val="0"/>
      <w:marTop w:val="0"/>
      <w:marBottom w:val="0"/>
      <w:divBdr>
        <w:top w:val="none" w:sz="0" w:space="0" w:color="auto"/>
        <w:left w:val="none" w:sz="0" w:space="0" w:color="auto"/>
        <w:bottom w:val="none" w:sz="0" w:space="0" w:color="auto"/>
        <w:right w:val="none" w:sz="0" w:space="0" w:color="auto"/>
      </w:divBdr>
    </w:div>
    <w:div w:id="1406106177">
      <w:marLeft w:val="0"/>
      <w:marRight w:val="0"/>
      <w:marTop w:val="0"/>
      <w:marBottom w:val="0"/>
      <w:divBdr>
        <w:top w:val="none" w:sz="0" w:space="0" w:color="auto"/>
        <w:left w:val="none" w:sz="0" w:space="0" w:color="auto"/>
        <w:bottom w:val="none" w:sz="0" w:space="0" w:color="auto"/>
        <w:right w:val="none" w:sz="0" w:space="0" w:color="auto"/>
      </w:divBdr>
      <w:divsChild>
        <w:div w:id="267196253">
          <w:marLeft w:val="0"/>
          <w:marRight w:val="0"/>
          <w:marTop w:val="0"/>
          <w:marBottom w:val="0"/>
          <w:divBdr>
            <w:top w:val="none" w:sz="0" w:space="0" w:color="auto"/>
            <w:left w:val="none" w:sz="0" w:space="0" w:color="auto"/>
            <w:bottom w:val="none" w:sz="0" w:space="0" w:color="auto"/>
            <w:right w:val="none" w:sz="0" w:space="0" w:color="auto"/>
          </w:divBdr>
        </w:div>
      </w:divsChild>
    </w:div>
    <w:div w:id="1406878704">
      <w:marLeft w:val="0"/>
      <w:marRight w:val="0"/>
      <w:marTop w:val="100"/>
      <w:marBottom w:val="100"/>
      <w:divBdr>
        <w:top w:val="none" w:sz="0" w:space="0" w:color="auto"/>
        <w:left w:val="none" w:sz="0" w:space="0" w:color="auto"/>
        <w:bottom w:val="none" w:sz="0" w:space="0" w:color="auto"/>
        <w:right w:val="none" w:sz="0" w:space="0" w:color="auto"/>
      </w:divBdr>
      <w:divsChild>
        <w:div w:id="1734042709">
          <w:marLeft w:val="0"/>
          <w:marRight w:val="0"/>
          <w:marTop w:val="0"/>
          <w:marBottom w:val="0"/>
          <w:divBdr>
            <w:top w:val="none" w:sz="0" w:space="0" w:color="auto"/>
            <w:left w:val="none" w:sz="0" w:space="0" w:color="auto"/>
            <w:bottom w:val="none" w:sz="0" w:space="0" w:color="auto"/>
            <w:right w:val="none" w:sz="0" w:space="0" w:color="auto"/>
          </w:divBdr>
        </w:div>
        <w:div w:id="797381803">
          <w:marLeft w:val="0"/>
          <w:marRight w:val="0"/>
          <w:marTop w:val="0"/>
          <w:marBottom w:val="0"/>
          <w:divBdr>
            <w:top w:val="none" w:sz="0" w:space="0" w:color="auto"/>
            <w:left w:val="none" w:sz="0" w:space="0" w:color="auto"/>
            <w:bottom w:val="none" w:sz="0" w:space="0" w:color="auto"/>
            <w:right w:val="none" w:sz="0" w:space="0" w:color="auto"/>
          </w:divBdr>
        </w:div>
      </w:divsChild>
    </w:div>
    <w:div w:id="1407143052">
      <w:marLeft w:val="0"/>
      <w:marRight w:val="0"/>
      <w:marTop w:val="0"/>
      <w:marBottom w:val="0"/>
      <w:divBdr>
        <w:top w:val="none" w:sz="0" w:space="0" w:color="auto"/>
        <w:left w:val="none" w:sz="0" w:space="0" w:color="auto"/>
        <w:bottom w:val="none" w:sz="0" w:space="0" w:color="auto"/>
        <w:right w:val="none" w:sz="0" w:space="0" w:color="auto"/>
      </w:divBdr>
    </w:div>
    <w:div w:id="1408192307">
      <w:marLeft w:val="0"/>
      <w:marRight w:val="0"/>
      <w:marTop w:val="0"/>
      <w:marBottom w:val="0"/>
      <w:divBdr>
        <w:top w:val="none" w:sz="0" w:space="0" w:color="auto"/>
        <w:left w:val="none" w:sz="0" w:space="0" w:color="auto"/>
        <w:bottom w:val="none" w:sz="0" w:space="0" w:color="auto"/>
        <w:right w:val="none" w:sz="0" w:space="0" w:color="auto"/>
      </w:divBdr>
    </w:div>
    <w:div w:id="1409692424">
      <w:marLeft w:val="0"/>
      <w:marRight w:val="0"/>
      <w:marTop w:val="0"/>
      <w:marBottom w:val="0"/>
      <w:divBdr>
        <w:top w:val="none" w:sz="0" w:space="0" w:color="auto"/>
        <w:left w:val="none" w:sz="0" w:space="0" w:color="auto"/>
        <w:bottom w:val="none" w:sz="0" w:space="0" w:color="auto"/>
        <w:right w:val="none" w:sz="0" w:space="0" w:color="auto"/>
      </w:divBdr>
    </w:div>
    <w:div w:id="1410618635">
      <w:marLeft w:val="0"/>
      <w:marRight w:val="0"/>
      <w:marTop w:val="0"/>
      <w:marBottom w:val="0"/>
      <w:divBdr>
        <w:top w:val="none" w:sz="0" w:space="0" w:color="auto"/>
        <w:left w:val="none" w:sz="0" w:space="0" w:color="auto"/>
        <w:bottom w:val="none" w:sz="0" w:space="0" w:color="auto"/>
        <w:right w:val="none" w:sz="0" w:space="0" w:color="auto"/>
      </w:divBdr>
    </w:div>
    <w:div w:id="1410688263">
      <w:marLeft w:val="0"/>
      <w:marRight w:val="0"/>
      <w:marTop w:val="0"/>
      <w:marBottom w:val="0"/>
      <w:divBdr>
        <w:top w:val="none" w:sz="0" w:space="0" w:color="auto"/>
        <w:left w:val="none" w:sz="0" w:space="0" w:color="auto"/>
        <w:bottom w:val="none" w:sz="0" w:space="0" w:color="auto"/>
        <w:right w:val="none" w:sz="0" w:space="0" w:color="auto"/>
      </w:divBdr>
    </w:div>
    <w:div w:id="1411853088">
      <w:marLeft w:val="0"/>
      <w:marRight w:val="0"/>
      <w:marTop w:val="0"/>
      <w:marBottom w:val="0"/>
      <w:divBdr>
        <w:top w:val="none" w:sz="0" w:space="0" w:color="auto"/>
        <w:left w:val="none" w:sz="0" w:space="0" w:color="auto"/>
        <w:bottom w:val="none" w:sz="0" w:space="0" w:color="auto"/>
        <w:right w:val="none" w:sz="0" w:space="0" w:color="auto"/>
      </w:divBdr>
    </w:div>
    <w:div w:id="1413624297">
      <w:marLeft w:val="0"/>
      <w:marRight w:val="0"/>
      <w:marTop w:val="0"/>
      <w:marBottom w:val="0"/>
      <w:divBdr>
        <w:top w:val="none" w:sz="0" w:space="0" w:color="auto"/>
        <w:left w:val="none" w:sz="0" w:space="0" w:color="auto"/>
        <w:bottom w:val="none" w:sz="0" w:space="0" w:color="auto"/>
        <w:right w:val="none" w:sz="0" w:space="0" w:color="auto"/>
      </w:divBdr>
    </w:div>
    <w:div w:id="1413887988">
      <w:marLeft w:val="0"/>
      <w:marRight w:val="0"/>
      <w:marTop w:val="0"/>
      <w:marBottom w:val="0"/>
      <w:divBdr>
        <w:top w:val="none" w:sz="0" w:space="0" w:color="auto"/>
        <w:left w:val="none" w:sz="0" w:space="0" w:color="auto"/>
        <w:bottom w:val="none" w:sz="0" w:space="0" w:color="auto"/>
        <w:right w:val="none" w:sz="0" w:space="0" w:color="auto"/>
      </w:divBdr>
    </w:div>
    <w:div w:id="1415400242">
      <w:marLeft w:val="0"/>
      <w:marRight w:val="0"/>
      <w:marTop w:val="0"/>
      <w:marBottom w:val="0"/>
      <w:divBdr>
        <w:top w:val="none" w:sz="0" w:space="0" w:color="auto"/>
        <w:left w:val="none" w:sz="0" w:space="0" w:color="auto"/>
        <w:bottom w:val="none" w:sz="0" w:space="0" w:color="auto"/>
        <w:right w:val="none" w:sz="0" w:space="0" w:color="auto"/>
      </w:divBdr>
      <w:divsChild>
        <w:div w:id="1936093181">
          <w:marLeft w:val="0"/>
          <w:marRight w:val="0"/>
          <w:marTop w:val="0"/>
          <w:marBottom w:val="0"/>
          <w:divBdr>
            <w:top w:val="none" w:sz="0" w:space="0" w:color="auto"/>
            <w:left w:val="none" w:sz="0" w:space="0" w:color="auto"/>
            <w:bottom w:val="none" w:sz="0" w:space="0" w:color="auto"/>
            <w:right w:val="none" w:sz="0" w:space="0" w:color="auto"/>
          </w:divBdr>
        </w:div>
      </w:divsChild>
    </w:div>
    <w:div w:id="1415542861">
      <w:marLeft w:val="0"/>
      <w:marRight w:val="0"/>
      <w:marTop w:val="0"/>
      <w:marBottom w:val="0"/>
      <w:divBdr>
        <w:top w:val="none" w:sz="0" w:space="0" w:color="auto"/>
        <w:left w:val="none" w:sz="0" w:space="0" w:color="auto"/>
        <w:bottom w:val="none" w:sz="0" w:space="0" w:color="auto"/>
        <w:right w:val="none" w:sz="0" w:space="0" w:color="auto"/>
      </w:divBdr>
    </w:div>
    <w:div w:id="1415711060">
      <w:marLeft w:val="0"/>
      <w:marRight w:val="0"/>
      <w:marTop w:val="0"/>
      <w:marBottom w:val="0"/>
      <w:divBdr>
        <w:top w:val="none" w:sz="0" w:space="0" w:color="auto"/>
        <w:left w:val="none" w:sz="0" w:space="0" w:color="auto"/>
        <w:bottom w:val="none" w:sz="0" w:space="0" w:color="auto"/>
        <w:right w:val="none" w:sz="0" w:space="0" w:color="auto"/>
      </w:divBdr>
    </w:div>
    <w:div w:id="1415778719">
      <w:marLeft w:val="0"/>
      <w:marRight w:val="0"/>
      <w:marTop w:val="0"/>
      <w:marBottom w:val="0"/>
      <w:divBdr>
        <w:top w:val="none" w:sz="0" w:space="0" w:color="auto"/>
        <w:left w:val="none" w:sz="0" w:space="0" w:color="auto"/>
        <w:bottom w:val="none" w:sz="0" w:space="0" w:color="auto"/>
        <w:right w:val="none" w:sz="0" w:space="0" w:color="auto"/>
      </w:divBdr>
    </w:div>
    <w:div w:id="1415978663">
      <w:marLeft w:val="0"/>
      <w:marRight w:val="0"/>
      <w:marTop w:val="0"/>
      <w:marBottom w:val="0"/>
      <w:divBdr>
        <w:top w:val="none" w:sz="0" w:space="0" w:color="auto"/>
        <w:left w:val="none" w:sz="0" w:space="0" w:color="auto"/>
        <w:bottom w:val="none" w:sz="0" w:space="0" w:color="auto"/>
        <w:right w:val="none" w:sz="0" w:space="0" w:color="auto"/>
      </w:divBdr>
    </w:div>
    <w:div w:id="1416055531">
      <w:marLeft w:val="0"/>
      <w:marRight w:val="0"/>
      <w:marTop w:val="0"/>
      <w:marBottom w:val="0"/>
      <w:divBdr>
        <w:top w:val="none" w:sz="0" w:space="0" w:color="auto"/>
        <w:left w:val="none" w:sz="0" w:space="0" w:color="auto"/>
        <w:bottom w:val="none" w:sz="0" w:space="0" w:color="auto"/>
        <w:right w:val="none" w:sz="0" w:space="0" w:color="auto"/>
      </w:divBdr>
    </w:div>
    <w:div w:id="1416589857">
      <w:marLeft w:val="0"/>
      <w:marRight w:val="0"/>
      <w:marTop w:val="100"/>
      <w:marBottom w:val="100"/>
      <w:divBdr>
        <w:top w:val="none" w:sz="0" w:space="0" w:color="auto"/>
        <w:left w:val="none" w:sz="0" w:space="0" w:color="auto"/>
        <w:bottom w:val="none" w:sz="0" w:space="0" w:color="auto"/>
        <w:right w:val="none" w:sz="0" w:space="0" w:color="auto"/>
      </w:divBdr>
      <w:divsChild>
        <w:div w:id="775834716">
          <w:marLeft w:val="0"/>
          <w:marRight w:val="0"/>
          <w:marTop w:val="0"/>
          <w:marBottom w:val="0"/>
          <w:divBdr>
            <w:top w:val="none" w:sz="0" w:space="0" w:color="auto"/>
            <w:left w:val="none" w:sz="0" w:space="0" w:color="auto"/>
            <w:bottom w:val="none" w:sz="0" w:space="0" w:color="auto"/>
            <w:right w:val="none" w:sz="0" w:space="0" w:color="auto"/>
          </w:divBdr>
        </w:div>
        <w:div w:id="165368475">
          <w:marLeft w:val="0"/>
          <w:marRight w:val="0"/>
          <w:marTop w:val="0"/>
          <w:marBottom w:val="0"/>
          <w:divBdr>
            <w:top w:val="none" w:sz="0" w:space="0" w:color="auto"/>
            <w:left w:val="none" w:sz="0" w:space="0" w:color="auto"/>
            <w:bottom w:val="none" w:sz="0" w:space="0" w:color="auto"/>
            <w:right w:val="none" w:sz="0" w:space="0" w:color="auto"/>
          </w:divBdr>
        </w:div>
        <w:div w:id="550306925">
          <w:marLeft w:val="0"/>
          <w:marRight w:val="0"/>
          <w:marTop w:val="0"/>
          <w:marBottom w:val="0"/>
          <w:divBdr>
            <w:top w:val="none" w:sz="0" w:space="0" w:color="auto"/>
            <w:left w:val="none" w:sz="0" w:space="0" w:color="auto"/>
            <w:bottom w:val="none" w:sz="0" w:space="0" w:color="auto"/>
            <w:right w:val="none" w:sz="0" w:space="0" w:color="auto"/>
          </w:divBdr>
        </w:div>
        <w:div w:id="1341159075">
          <w:marLeft w:val="0"/>
          <w:marRight w:val="0"/>
          <w:marTop w:val="0"/>
          <w:marBottom w:val="0"/>
          <w:divBdr>
            <w:top w:val="none" w:sz="0" w:space="0" w:color="auto"/>
            <w:left w:val="none" w:sz="0" w:space="0" w:color="auto"/>
            <w:bottom w:val="none" w:sz="0" w:space="0" w:color="auto"/>
            <w:right w:val="none" w:sz="0" w:space="0" w:color="auto"/>
          </w:divBdr>
        </w:div>
        <w:div w:id="126516381">
          <w:marLeft w:val="0"/>
          <w:marRight w:val="0"/>
          <w:marTop w:val="0"/>
          <w:marBottom w:val="0"/>
          <w:divBdr>
            <w:top w:val="none" w:sz="0" w:space="0" w:color="auto"/>
            <w:left w:val="none" w:sz="0" w:space="0" w:color="auto"/>
            <w:bottom w:val="none" w:sz="0" w:space="0" w:color="auto"/>
            <w:right w:val="none" w:sz="0" w:space="0" w:color="auto"/>
          </w:divBdr>
        </w:div>
        <w:div w:id="1266184705">
          <w:marLeft w:val="0"/>
          <w:marRight w:val="0"/>
          <w:marTop w:val="0"/>
          <w:marBottom w:val="0"/>
          <w:divBdr>
            <w:top w:val="none" w:sz="0" w:space="0" w:color="auto"/>
            <w:left w:val="none" w:sz="0" w:space="0" w:color="auto"/>
            <w:bottom w:val="none" w:sz="0" w:space="0" w:color="auto"/>
            <w:right w:val="none" w:sz="0" w:space="0" w:color="auto"/>
          </w:divBdr>
        </w:div>
        <w:div w:id="1066684773">
          <w:marLeft w:val="0"/>
          <w:marRight w:val="0"/>
          <w:marTop w:val="0"/>
          <w:marBottom w:val="0"/>
          <w:divBdr>
            <w:top w:val="none" w:sz="0" w:space="0" w:color="auto"/>
            <w:left w:val="none" w:sz="0" w:space="0" w:color="auto"/>
            <w:bottom w:val="none" w:sz="0" w:space="0" w:color="auto"/>
            <w:right w:val="none" w:sz="0" w:space="0" w:color="auto"/>
          </w:divBdr>
        </w:div>
        <w:div w:id="691303784">
          <w:marLeft w:val="0"/>
          <w:marRight w:val="0"/>
          <w:marTop w:val="0"/>
          <w:marBottom w:val="0"/>
          <w:divBdr>
            <w:top w:val="none" w:sz="0" w:space="0" w:color="auto"/>
            <w:left w:val="none" w:sz="0" w:space="0" w:color="auto"/>
            <w:bottom w:val="none" w:sz="0" w:space="0" w:color="auto"/>
            <w:right w:val="none" w:sz="0" w:space="0" w:color="auto"/>
          </w:divBdr>
        </w:div>
        <w:div w:id="1395543989">
          <w:marLeft w:val="0"/>
          <w:marRight w:val="0"/>
          <w:marTop w:val="0"/>
          <w:marBottom w:val="0"/>
          <w:divBdr>
            <w:top w:val="none" w:sz="0" w:space="0" w:color="auto"/>
            <w:left w:val="none" w:sz="0" w:space="0" w:color="auto"/>
            <w:bottom w:val="none" w:sz="0" w:space="0" w:color="auto"/>
            <w:right w:val="none" w:sz="0" w:space="0" w:color="auto"/>
          </w:divBdr>
        </w:div>
        <w:div w:id="1728720220">
          <w:marLeft w:val="0"/>
          <w:marRight w:val="0"/>
          <w:marTop w:val="0"/>
          <w:marBottom w:val="0"/>
          <w:divBdr>
            <w:top w:val="none" w:sz="0" w:space="0" w:color="auto"/>
            <w:left w:val="none" w:sz="0" w:space="0" w:color="auto"/>
            <w:bottom w:val="none" w:sz="0" w:space="0" w:color="auto"/>
            <w:right w:val="none" w:sz="0" w:space="0" w:color="auto"/>
          </w:divBdr>
        </w:div>
        <w:div w:id="951977133">
          <w:marLeft w:val="0"/>
          <w:marRight w:val="0"/>
          <w:marTop w:val="0"/>
          <w:marBottom w:val="0"/>
          <w:divBdr>
            <w:top w:val="none" w:sz="0" w:space="0" w:color="auto"/>
            <w:left w:val="none" w:sz="0" w:space="0" w:color="auto"/>
            <w:bottom w:val="none" w:sz="0" w:space="0" w:color="auto"/>
            <w:right w:val="none" w:sz="0" w:space="0" w:color="auto"/>
          </w:divBdr>
        </w:div>
        <w:div w:id="1474565922">
          <w:marLeft w:val="0"/>
          <w:marRight w:val="0"/>
          <w:marTop w:val="0"/>
          <w:marBottom w:val="0"/>
          <w:divBdr>
            <w:top w:val="none" w:sz="0" w:space="0" w:color="auto"/>
            <w:left w:val="none" w:sz="0" w:space="0" w:color="auto"/>
            <w:bottom w:val="none" w:sz="0" w:space="0" w:color="auto"/>
            <w:right w:val="none" w:sz="0" w:space="0" w:color="auto"/>
          </w:divBdr>
        </w:div>
        <w:div w:id="2081321859">
          <w:marLeft w:val="0"/>
          <w:marRight w:val="0"/>
          <w:marTop w:val="0"/>
          <w:marBottom w:val="0"/>
          <w:divBdr>
            <w:top w:val="none" w:sz="0" w:space="0" w:color="auto"/>
            <w:left w:val="none" w:sz="0" w:space="0" w:color="auto"/>
            <w:bottom w:val="none" w:sz="0" w:space="0" w:color="auto"/>
            <w:right w:val="none" w:sz="0" w:space="0" w:color="auto"/>
          </w:divBdr>
        </w:div>
        <w:div w:id="174619108">
          <w:marLeft w:val="0"/>
          <w:marRight w:val="0"/>
          <w:marTop w:val="0"/>
          <w:marBottom w:val="0"/>
          <w:divBdr>
            <w:top w:val="none" w:sz="0" w:space="0" w:color="auto"/>
            <w:left w:val="none" w:sz="0" w:space="0" w:color="auto"/>
            <w:bottom w:val="none" w:sz="0" w:space="0" w:color="auto"/>
            <w:right w:val="none" w:sz="0" w:space="0" w:color="auto"/>
          </w:divBdr>
        </w:div>
        <w:div w:id="1587566847">
          <w:marLeft w:val="0"/>
          <w:marRight w:val="0"/>
          <w:marTop w:val="0"/>
          <w:marBottom w:val="0"/>
          <w:divBdr>
            <w:top w:val="none" w:sz="0" w:space="0" w:color="auto"/>
            <w:left w:val="none" w:sz="0" w:space="0" w:color="auto"/>
            <w:bottom w:val="none" w:sz="0" w:space="0" w:color="auto"/>
            <w:right w:val="none" w:sz="0" w:space="0" w:color="auto"/>
          </w:divBdr>
        </w:div>
        <w:div w:id="1438063436">
          <w:marLeft w:val="0"/>
          <w:marRight w:val="0"/>
          <w:marTop w:val="0"/>
          <w:marBottom w:val="0"/>
          <w:divBdr>
            <w:top w:val="none" w:sz="0" w:space="0" w:color="auto"/>
            <w:left w:val="none" w:sz="0" w:space="0" w:color="auto"/>
            <w:bottom w:val="none" w:sz="0" w:space="0" w:color="auto"/>
            <w:right w:val="none" w:sz="0" w:space="0" w:color="auto"/>
          </w:divBdr>
        </w:div>
        <w:div w:id="1376396092">
          <w:marLeft w:val="0"/>
          <w:marRight w:val="0"/>
          <w:marTop w:val="0"/>
          <w:marBottom w:val="0"/>
          <w:divBdr>
            <w:top w:val="none" w:sz="0" w:space="0" w:color="auto"/>
            <w:left w:val="none" w:sz="0" w:space="0" w:color="auto"/>
            <w:bottom w:val="none" w:sz="0" w:space="0" w:color="auto"/>
            <w:right w:val="none" w:sz="0" w:space="0" w:color="auto"/>
          </w:divBdr>
        </w:div>
      </w:divsChild>
    </w:div>
    <w:div w:id="1417359234">
      <w:marLeft w:val="0"/>
      <w:marRight w:val="0"/>
      <w:marTop w:val="0"/>
      <w:marBottom w:val="0"/>
      <w:divBdr>
        <w:top w:val="none" w:sz="0" w:space="0" w:color="auto"/>
        <w:left w:val="none" w:sz="0" w:space="0" w:color="auto"/>
        <w:bottom w:val="none" w:sz="0" w:space="0" w:color="auto"/>
        <w:right w:val="none" w:sz="0" w:space="0" w:color="auto"/>
      </w:divBdr>
    </w:div>
    <w:div w:id="1417627209">
      <w:marLeft w:val="0"/>
      <w:marRight w:val="0"/>
      <w:marTop w:val="0"/>
      <w:marBottom w:val="0"/>
      <w:divBdr>
        <w:top w:val="none" w:sz="0" w:space="0" w:color="auto"/>
        <w:left w:val="none" w:sz="0" w:space="0" w:color="auto"/>
        <w:bottom w:val="none" w:sz="0" w:space="0" w:color="auto"/>
        <w:right w:val="none" w:sz="0" w:space="0" w:color="auto"/>
      </w:divBdr>
      <w:divsChild>
        <w:div w:id="738602580">
          <w:marLeft w:val="0"/>
          <w:marRight w:val="0"/>
          <w:marTop w:val="0"/>
          <w:marBottom w:val="0"/>
          <w:divBdr>
            <w:top w:val="none" w:sz="0" w:space="0" w:color="auto"/>
            <w:left w:val="none" w:sz="0" w:space="0" w:color="auto"/>
            <w:bottom w:val="none" w:sz="0" w:space="0" w:color="auto"/>
            <w:right w:val="none" w:sz="0" w:space="0" w:color="auto"/>
          </w:divBdr>
        </w:div>
      </w:divsChild>
    </w:div>
    <w:div w:id="1418677073">
      <w:marLeft w:val="0"/>
      <w:marRight w:val="0"/>
      <w:marTop w:val="0"/>
      <w:marBottom w:val="0"/>
      <w:divBdr>
        <w:top w:val="none" w:sz="0" w:space="0" w:color="auto"/>
        <w:left w:val="none" w:sz="0" w:space="0" w:color="auto"/>
        <w:bottom w:val="none" w:sz="0" w:space="0" w:color="auto"/>
        <w:right w:val="none" w:sz="0" w:space="0" w:color="auto"/>
      </w:divBdr>
    </w:div>
    <w:div w:id="1419206181">
      <w:marLeft w:val="0"/>
      <w:marRight w:val="0"/>
      <w:marTop w:val="0"/>
      <w:marBottom w:val="0"/>
      <w:divBdr>
        <w:top w:val="none" w:sz="0" w:space="0" w:color="auto"/>
        <w:left w:val="none" w:sz="0" w:space="0" w:color="auto"/>
        <w:bottom w:val="none" w:sz="0" w:space="0" w:color="auto"/>
        <w:right w:val="none" w:sz="0" w:space="0" w:color="auto"/>
      </w:divBdr>
    </w:div>
    <w:div w:id="1419405567">
      <w:marLeft w:val="0"/>
      <w:marRight w:val="0"/>
      <w:marTop w:val="0"/>
      <w:marBottom w:val="0"/>
      <w:divBdr>
        <w:top w:val="none" w:sz="0" w:space="0" w:color="auto"/>
        <w:left w:val="none" w:sz="0" w:space="0" w:color="auto"/>
        <w:bottom w:val="none" w:sz="0" w:space="0" w:color="auto"/>
        <w:right w:val="none" w:sz="0" w:space="0" w:color="auto"/>
      </w:divBdr>
    </w:div>
    <w:div w:id="1420449477">
      <w:marLeft w:val="0"/>
      <w:marRight w:val="0"/>
      <w:marTop w:val="100"/>
      <w:marBottom w:val="100"/>
      <w:divBdr>
        <w:top w:val="none" w:sz="0" w:space="0" w:color="auto"/>
        <w:left w:val="none" w:sz="0" w:space="0" w:color="auto"/>
        <w:bottom w:val="none" w:sz="0" w:space="0" w:color="auto"/>
        <w:right w:val="none" w:sz="0" w:space="0" w:color="auto"/>
      </w:divBdr>
    </w:div>
    <w:div w:id="1420522294">
      <w:marLeft w:val="0"/>
      <w:marRight w:val="0"/>
      <w:marTop w:val="0"/>
      <w:marBottom w:val="0"/>
      <w:divBdr>
        <w:top w:val="none" w:sz="0" w:space="0" w:color="auto"/>
        <w:left w:val="none" w:sz="0" w:space="0" w:color="auto"/>
        <w:bottom w:val="none" w:sz="0" w:space="0" w:color="auto"/>
        <w:right w:val="none" w:sz="0" w:space="0" w:color="auto"/>
      </w:divBdr>
    </w:div>
    <w:div w:id="1421609243">
      <w:marLeft w:val="0"/>
      <w:marRight w:val="0"/>
      <w:marTop w:val="0"/>
      <w:marBottom w:val="0"/>
      <w:divBdr>
        <w:top w:val="none" w:sz="0" w:space="0" w:color="auto"/>
        <w:left w:val="none" w:sz="0" w:space="0" w:color="auto"/>
        <w:bottom w:val="none" w:sz="0" w:space="0" w:color="auto"/>
        <w:right w:val="none" w:sz="0" w:space="0" w:color="auto"/>
      </w:divBdr>
    </w:div>
    <w:div w:id="1422414894">
      <w:marLeft w:val="0"/>
      <w:marRight w:val="0"/>
      <w:marTop w:val="0"/>
      <w:marBottom w:val="0"/>
      <w:divBdr>
        <w:top w:val="none" w:sz="0" w:space="0" w:color="auto"/>
        <w:left w:val="none" w:sz="0" w:space="0" w:color="auto"/>
        <w:bottom w:val="none" w:sz="0" w:space="0" w:color="auto"/>
        <w:right w:val="none" w:sz="0" w:space="0" w:color="auto"/>
      </w:divBdr>
    </w:div>
    <w:div w:id="1423063133">
      <w:marLeft w:val="0"/>
      <w:marRight w:val="0"/>
      <w:marTop w:val="0"/>
      <w:marBottom w:val="0"/>
      <w:divBdr>
        <w:top w:val="none" w:sz="0" w:space="0" w:color="auto"/>
        <w:left w:val="none" w:sz="0" w:space="0" w:color="auto"/>
        <w:bottom w:val="none" w:sz="0" w:space="0" w:color="auto"/>
        <w:right w:val="none" w:sz="0" w:space="0" w:color="auto"/>
      </w:divBdr>
      <w:divsChild>
        <w:div w:id="1016034975">
          <w:marLeft w:val="0"/>
          <w:marRight w:val="0"/>
          <w:marTop w:val="0"/>
          <w:marBottom w:val="0"/>
          <w:divBdr>
            <w:top w:val="none" w:sz="0" w:space="0" w:color="auto"/>
            <w:left w:val="none" w:sz="0" w:space="0" w:color="auto"/>
            <w:bottom w:val="none" w:sz="0" w:space="0" w:color="auto"/>
            <w:right w:val="none" w:sz="0" w:space="0" w:color="auto"/>
          </w:divBdr>
        </w:div>
      </w:divsChild>
    </w:div>
    <w:div w:id="1423182287">
      <w:marLeft w:val="0"/>
      <w:marRight w:val="0"/>
      <w:marTop w:val="0"/>
      <w:marBottom w:val="0"/>
      <w:divBdr>
        <w:top w:val="none" w:sz="0" w:space="0" w:color="auto"/>
        <w:left w:val="none" w:sz="0" w:space="0" w:color="auto"/>
        <w:bottom w:val="none" w:sz="0" w:space="0" w:color="auto"/>
        <w:right w:val="none" w:sz="0" w:space="0" w:color="auto"/>
      </w:divBdr>
    </w:div>
    <w:div w:id="1423526066">
      <w:marLeft w:val="0"/>
      <w:marRight w:val="0"/>
      <w:marTop w:val="0"/>
      <w:marBottom w:val="0"/>
      <w:divBdr>
        <w:top w:val="none" w:sz="0" w:space="0" w:color="auto"/>
        <w:left w:val="none" w:sz="0" w:space="0" w:color="auto"/>
        <w:bottom w:val="none" w:sz="0" w:space="0" w:color="auto"/>
        <w:right w:val="none" w:sz="0" w:space="0" w:color="auto"/>
      </w:divBdr>
    </w:div>
    <w:div w:id="1425345348">
      <w:marLeft w:val="0"/>
      <w:marRight w:val="0"/>
      <w:marTop w:val="0"/>
      <w:marBottom w:val="0"/>
      <w:divBdr>
        <w:top w:val="none" w:sz="0" w:space="0" w:color="auto"/>
        <w:left w:val="none" w:sz="0" w:space="0" w:color="auto"/>
        <w:bottom w:val="none" w:sz="0" w:space="0" w:color="auto"/>
        <w:right w:val="none" w:sz="0" w:space="0" w:color="auto"/>
      </w:divBdr>
      <w:divsChild>
        <w:div w:id="483204227">
          <w:marLeft w:val="0"/>
          <w:marRight w:val="0"/>
          <w:marTop w:val="0"/>
          <w:marBottom w:val="0"/>
          <w:divBdr>
            <w:top w:val="none" w:sz="0" w:space="0" w:color="auto"/>
            <w:left w:val="none" w:sz="0" w:space="0" w:color="auto"/>
            <w:bottom w:val="none" w:sz="0" w:space="0" w:color="auto"/>
            <w:right w:val="none" w:sz="0" w:space="0" w:color="auto"/>
          </w:divBdr>
        </w:div>
      </w:divsChild>
    </w:div>
    <w:div w:id="1428581366">
      <w:marLeft w:val="0"/>
      <w:marRight w:val="0"/>
      <w:marTop w:val="0"/>
      <w:marBottom w:val="0"/>
      <w:divBdr>
        <w:top w:val="none" w:sz="0" w:space="0" w:color="auto"/>
        <w:left w:val="none" w:sz="0" w:space="0" w:color="auto"/>
        <w:bottom w:val="none" w:sz="0" w:space="0" w:color="auto"/>
        <w:right w:val="none" w:sz="0" w:space="0" w:color="auto"/>
      </w:divBdr>
    </w:div>
    <w:div w:id="1429039035">
      <w:marLeft w:val="0"/>
      <w:marRight w:val="0"/>
      <w:marTop w:val="0"/>
      <w:marBottom w:val="0"/>
      <w:divBdr>
        <w:top w:val="none" w:sz="0" w:space="0" w:color="auto"/>
        <w:left w:val="none" w:sz="0" w:space="0" w:color="auto"/>
        <w:bottom w:val="none" w:sz="0" w:space="0" w:color="auto"/>
        <w:right w:val="none" w:sz="0" w:space="0" w:color="auto"/>
      </w:divBdr>
    </w:div>
    <w:div w:id="1429306810">
      <w:marLeft w:val="0"/>
      <w:marRight w:val="0"/>
      <w:marTop w:val="0"/>
      <w:marBottom w:val="0"/>
      <w:divBdr>
        <w:top w:val="none" w:sz="0" w:space="0" w:color="auto"/>
        <w:left w:val="none" w:sz="0" w:space="0" w:color="auto"/>
        <w:bottom w:val="none" w:sz="0" w:space="0" w:color="auto"/>
        <w:right w:val="none" w:sz="0" w:space="0" w:color="auto"/>
      </w:divBdr>
    </w:div>
    <w:div w:id="1430197015">
      <w:marLeft w:val="0"/>
      <w:marRight w:val="0"/>
      <w:marTop w:val="0"/>
      <w:marBottom w:val="0"/>
      <w:divBdr>
        <w:top w:val="none" w:sz="0" w:space="0" w:color="auto"/>
        <w:left w:val="none" w:sz="0" w:space="0" w:color="auto"/>
        <w:bottom w:val="none" w:sz="0" w:space="0" w:color="auto"/>
        <w:right w:val="none" w:sz="0" w:space="0" w:color="auto"/>
      </w:divBdr>
    </w:div>
    <w:div w:id="1431390902">
      <w:marLeft w:val="0"/>
      <w:marRight w:val="0"/>
      <w:marTop w:val="0"/>
      <w:marBottom w:val="0"/>
      <w:divBdr>
        <w:top w:val="none" w:sz="0" w:space="0" w:color="auto"/>
        <w:left w:val="none" w:sz="0" w:space="0" w:color="auto"/>
        <w:bottom w:val="none" w:sz="0" w:space="0" w:color="auto"/>
        <w:right w:val="none" w:sz="0" w:space="0" w:color="auto"/>
      </w:divBdr>
    </w:div>
    <w:div w:id="1431658920">
      <w:marLeft w:val="0"/>
      <w:marRight w:val="0"/>
      <w:marTop w:val="0"/>
      <w:marBottom w:val="0"/>
      <w:divBdr>
        <w:top w:val="none" w:sz="0" w:space="0" w:color="auto"/>
        <w:left w:val="none" w:sz="0" w:space="0" w:color="auto"/>
        <w:bottom w:val="none" w:sz="0" w:space="0" w:color="auto"/>
        <w:right w:val="none" w:sz="0" w:space="0" w:color="auto"/>
      </w:divBdr>
    </w:div>
    <w:div w:id="1432167168">
      <w:marLeft w:val="0"/>
      <w:marRight w:val="0"/>
      <w:marTop w:val="0"/>
      <w:marBottom w:val="0"/>
      <w:divBdr>
        <w:top w:val="none" w:sz="0" w:space="0" w:color="auto"/>
        <w:left w:val="none" w:sz="0" w:space="0" w:color="auto"/>
        <w:bottom w:val="none" w:sz="0" w:space="0" w:color="auto"/>
        <w:right w:val="none" w:sz="0" w:space="0" w:color="auto"/>
      </w:divBdr>
    </w:div>
    <w:div w:id="1432624264">
      <w:marLeft w:val="0"/>
      <w:marRight w:val="0"/>
      <w:marTop w:val="0"/>
      <w:marBottom w:val="0"/>
      <w:divBdr>
        <w:top w:val="none" w:sz="0" w:space="0" w:color="auto"/>
        <w:left w:val="none" w:sz="0" w:space="0" w:color="auto"/>
        <w:bottom w:val="none" w:sz="0" w:space="0" w:color="auto"/>
        <w:right w:val="none" w:sz="0" w:space="0" w:color="auto"/>
      </w:divBdr>
    </w:div>
    <w:div w:id="1433747200">
      <w:marLeft w:val="0"/>
      <w:marRight w:val="0"/>
      <w:marTop w:val="0"/>
      <w:marBottom w:val="0"/>
      <w:divBdr>
        <w:top w:val="none" w:sz="0" w:space="0" w:color="auto"/>
        <w:left w:val="none" w:sz="0" w:space="0" w:color="auto"/>
        <w:bottom w:val="none" w:sz="0" w:space="0" w:color="auto"/>
        <w:right w:val="none" w:sz="0" w:space="0" w:color="auto"/>
      </w:divBdr>
    </w:div>
    <w:div w:id="1433865614">
      <w:marLeft w:val="0"/>
      <w:marRight w:val="0"/>
      <w:marTop w:val="0"/>
      <w:marBottom w:val="0"/>
      <w:divBdr>
        <w:top w:val="none" w:sz="0" w:space="0" w:color="auto"/>
        <w:left w:val="none" w:sz="0" w:space="0" w:color="auto"/>
        <w:bottom w:val="none" w:sz="0" w:space="0" w:color="auto"/>
        <w:right w:val="none" w:sz="0" w:space="0" w:color="auto"/>
      </w:divBdr>
    </w:div>
    <w:div w:id="1434788968">
      <w:marLeft w:val="0"/>
      <w:marRight w:val="0"/>
      <w:marTop w:val="0"/>
      <w:marBottom w:val="0"/>
      <w:divBdr>
        <w:top w:val="none" w:sz="0" w:space="0" w:color="auto"/>
        <w:left w:val="none" w:sz="0" w:space="0" w:color="auto"/>
        <w:bottom w:val="none" w:sz="0" w:space="0" w:color="auto"/>
        <w:right w:val="none" w:sz="0" w:space="0" w:color="auto"/>
      </w:divBdr>
    </w:div>
    <w:div w:id="1436053838">
      <w:marLeft w:val="0"/>
      <w:marRight w:val="0"/>
      <w:marTop w:val="0"/>
      <w:marBottom w:val="0"/>
      <w:divBdr>
        <w:top w:val="none" w:sz="0" w:space="0" w:color="auto"/>
        <w:left w:val="none" w:sz="0" w:space="0" w:color="auto"/>
        <w:bottom w:val="none" w:sz="0" w:space="0" w:color="auto"/>
        <w:right w:val="none" w:sz="0" w:space="0" w:color="auto"/>
      </w:divBdr>
    </w:div>
    <w:div w:id="1436317488">
      <w:marLeft w:val="0"/>
      <w:marRight w:val="0"/>
      <w:marTop w:val="0"/>
      <w:marBottom w:val="0"/>
      <w:divBdr>
        <w:top w:val="none" w:sz="0" w:space="0" w:color="auto"/>
        <w:left w:val="none" w:sz="0" w:space="0" w:color="auto"/>
        <w:bottom w:val="none" w:sz="0" w:space="0" w:color="auto"/>
        <w:right w:val="none" w:sz="0" w:space="0" w:color="auto"/>
      </w:divBdr>
    </w:div>
    <w:div w:id="1436751077">
      <w:marLeft w:val="0"/>
      <w:marRight w:val="0"/>
      <w:marTop w:val="0"/>
      <w:marBottom w:val="0"/>
      <w:divBdr>
        <w:top w:val="none" w:sz="0" w:space="0" w:color="auto"/>
        <w:left w:val="none" w:sz="0" w:space="0" w:color="auto"/>
        <w:bottom w:val="none" w:sz="0" w:space="0" w:color="auto"/>
        <w:right w:val="none" w:sz="0" w:space="0" w:color="auto"/>
      </w:divBdr>
    </w:div>
    <w:div w:id="1437364585">
      <w:marLeft w:val="0"/>
      <w:marRight w:val="0"/>
      <w:marTop w:val="0"/>
      <w:marBottom w:val="0"/>
      <w:divBdr>
        <w:top w:val="none" w:sz="0" w:space="0" w:color="auto"/>
        <w:left w:val="none" w:sz="0" w:space="0" w:color="auto"/>
        <w:bottom w:val="none" w:sz="0" w:space="0" w:color="auto"/>
        <w:right w:val="none" w:sz="0" w:space="0" w:color="auto"/>
      </w:divBdr>
    </w:div>
    <w:div w:id="1438867389">
      <w:marLeft w:val="0"/>
      <w:marRight w:val="0"/>
      <w:marTop w:val="0"/>
      <w:marBottom w:val="0"/>
      <w:divBdr>
        <w:top w:val="none" w:sz="0" w:space="0" w:color="auto"/>
        <w:left w:val="none" w:sz="0" w:space="0" w:color="auto"/>
        <w:bottom w:val="none" w:sz="0" w:space="0" w:color="auto"/>
        <w:right w:val="none" w:sz="0" w:space="0" w:color="auto"/>
      </w:divBdr>
    </w:div>
    <w:div w:id="1438911754">
      <w:marLeft w:val="0"/>
      <w:marRight w:val="0"/>
      <w:marTop w:val="0"/>
      <w:marBottom w:val="0"/>
      <w:divBdr>
        <w:top w:val="none" w:sz="0" w:space="0" w:color="auto"/>
        <w:left w:val="none" w:sz="0" w:space="0" w:color="auto"/>
        <w:bottom w:val="none" w:sz="0" w:space="0" w:color="auto"/>
        <w:right w:val="none" w:sz="0" w:space="0" w:color="auto"/>
      </w:divBdr>
    </w:div>
    <w:div w:id="1438983933">
      <w:marLeft w:val="0"/>
      <w:marRight w:val="0"/>
      <w:marTop w:val="0"/>
      <w:marBottom w:val="0"/>
      <w:divBdr>
        <w:top w:val="none" w:sz="0" w:space="0" w:color="auto"/>
        <w:left w:val="none" w:sz="0" w:space="0" w:color="auto"/>
        <w:bottom w:val="none" w:sz="0" w:space="0" w:color="auto"/>
        <w:right w:val="none" w:sz="0" w:space="0" w:color="auto"/>
      </w:divBdr>
    </w:div>
    <w:div w:id="1439564477">
      <w:marLeft w:val="0"/>
      <w:marRight w:val="0"/>
      <w:marTop w:val="0"/>
      <w:marBottom w:val="0"/>
      <w:divBdr>
        <w:top w:val="none" w:sz="0" w:space="0" w:color="auto"/>
        <w:left w:val="none" w:sz="0" w:space="0" w:color="auto"/>
        <w:bottom w:val="none" w:sz="0" w:space="0" w:color="auto"/>
        <w:right w:val="none" w:sz="0" w:space="0" w:color="auto"/>
      </w:divBdr>
    </w:div>
    <w:div w:id="1440442803">
      <w:marLeft w:val="0"/>
      <w:marRight w:val="0"/>
      <w:marTop w:val="0"/>
      <w:marBottom w:val="0"/>
      <w:divBdr>
        <w:top w:val="none" w:sz="0" w:space="0" w:color="auto"/>
        <w:left w:val="none" w:sz="0" w:space="0" w:color="auto"/>
        <w:bottom w:val="none" w:sz="0" w:space="0" w:color="auto"/>
        <w:right w:val="none" w:sz="0" w:space="0" w:color="auto"/>
      </w:divBdr>
    </w:div>
    <w:div w:id="1441296956">
      <w:marLeft w:val="0"/>
      <w:marRight w:val="0"/>
      <w:marTop w:val="0"/>
      <w:marBottom w:val="0"/>
      <w:divBdr>
        <w:top w:val="none" w:sz="0" w:space="0" w:color="auto"/>
        <w:left w:val="none" w:sz="0" w:space="0" w:color="auto"/>
        <w:bottom w:val="none" w:sz="0" w:space="0" w:color="auto"/>
        <w:right w:val="none" w:sz="0" w:space="0" w:color="auto"/>
      </w:divBdr>
    </w:div>
    <w:div w:id="1441991517">
      <w:marLeft w:val="0"/>
      <w:marRight w:val="0"/>
      <w:marTop w:val="0"/>
      <w:marBottom w:val="0"/>
      <w:divBdr>
        <w:top w:val="none" w:sz="0" w:space="0" w:color="auto"/>
        <w:left w:val="none" w:sz="0" w:space="0" w:color="auto"/>
        <w:bottom w:val="none" w:sz="0" w:space="0" w:color="auto"/>
        <w:right w:val="none" w:sz="0" w:space="0" w:color="auto"/>
      </w:divBdr>
      <w:divsChild>
        <w:div w:id="883563421">
          <w:marLeft w:val="0"/>
          <w:marRight w:val="0"/>
          <w:marTop w:val="0"/>
          <w:marBottom w:val="0"/>
          <w:divBdr>
            <w:top w:val="none" w:sz="0" w:space="0" w:color="auto"/>
            <w:left w:val="none" w:sz="0" w:space="0" w:color="auto"/>
            <w:bottom w:val="none" w:sz="0" w:space="0" w:color="auto"/>
            <w:right w:val="none" w:sz="0" w:space="0" w:color="auto"/>
          </w:divBdr>
        </w:div>
      </w:divsChild>
    </w:div>
    <w:div w:id="1442653147">
      <w:marLeft w:val="0"/>
      <w:marRight w:val="0"/>
      <w:marTop w:val="0"/>
      <w:marBottom w:val="0"/>
      <w:divBdr>
        <w:top w:val="none" w:sz="0" w:space="0" w:color="auto"/>
        <w:left w:val="none" w:sz="0" w:space="0" w:color="auto"/>
        <w:bottom w:val="none" w:sz="0" w:space="0" w:color="auto"/>
        <w:right w:val="none" w:sz="0" w:space="0" w:color="auto"/>
      </w:divBdr>
    </w:div>
    <w:div w:id="1442994291">
      <w:marLeft w:val="0"/>
      <w:marRight w:val="0"/>
      <w:marTop w:val="0"/>
      <w:marBottom w:val="0"/>
      <w:divBdr>
        <w:top w:val="none" w:sz="0" w:space="0" w:color="auto"/>
        <w:left w:val="none" w:sz="0" w:space="0" w:color="auto"/>
        <w:bottom w:val="none" w:sz="0" w:space="0" w:color="auto"/>
        <w:right w:val="none" w:sz="0" w:space="0" w:color="auto"/>
      </w:divBdr>
    </w:div>
    <w:div w:id="1443188742">
      <w:marLeft w:val="0"/>
      <w:marRight w:val="0"/>
      <w:marTop w:val="0"/>
      <w:marBottom w:val="0"/>
      <w:divBdr>
        <w:top w:val="none" w:sz="0" w:space="0" w:color="auto"/>
        <w:left w:val="none" w:sz="0" w:space="0" w:color="auto"/>
        <w:bottom w:val="none" w:sz="0" w:space="0" w:color="auto"/>
        <w:right w:val="none" w:sz="0" w:space="0" w:color="auto"/>
      </w:divBdr>
    </w:div>
    <w:div w:id="1443377427">
      <w:marLeft w:val="0"/>
      <w:marRight w:val="0"/>
      <w:marTop w:val="0"/>
      <w:marBottom w:val="0"/>
      <w:divBdr>
        <w:top w:val="none" w:sz="0" w:space="0" w:color="auto"/>
        <w:left w:val="none" w:sz="0" w:space="0" w:color="auto"/>
        <w:bottom w:val="none" w:sz="0" w:space="0" w:color="auto"/>
        <w:right w:val="none" w:sz="0" w:space="0" w:color="auto"/>
      </w:divBdr>
    </w:div>
    <w:div w:id="1443380962">
      <w:marLeft w:val="0"/>
      <w:marRight w:val="0"/>
      <w:marTop w:val="0"/>
      <w:marBottom w:val="0"/>
      <w:divBdr>
        <w:top w:val="none" w:sz="0" w:space="0" w:color="auto"/>
        <w:left w:val="none" w:sz="0" w:space="0" w:color="auto"/>
        <w:bottom w:val="none" w:sz="0" w:space="0" w:color="auto"/>
        <w:right w:val="none" w:sz="0" w:space="0" w:color="auto"/>
      </w:divBdr>
      <w:divsChild>
        <w:div w:id="1422794216">
          <w:marLeft w:val="0"/>
          <w:marRight w:val="0"/>
          <w:marTop w:val="0"/>
          <w:marBottom w:val="0"/>
          <w:divBdr>
            <w:top w:val="none" w:sz="0" w:space="0" w:color="auto"/>
            <w:left w:val="none" w:sz="0" w:space="0" w:color="auto"/>
            <w:bottom w:val="none" w:sz="0" w:space="0" w:color="auto"/>
            <w:right w:val="none" w:sz="0" w:space="0" w:color="auto"/>
          </w:divBdr>
        </w:div>
      </w:divsChild>
    </w:div>
    <w:div w:id="1443768548">
      <w:marLeft w:val="0"/>
      <w:marRight w:val="0"/>
      <w:marTop w:val="0"/>
      <w:marBottom w:val="0"/>
      <w:divBdr>
        <w:top w:val="none" w:sz="0" w:space="0" w:color="auto"/>
        <w:left w:val="none" w:sz="0" w:space="0" w:color="auto"/>
        <w:bottom w:val="none" w:sz="0" w:space="0" w:color="auto"/>
        <w:right w:val="none" w:sz="0" w:space="0" w:color="auto"/>
      </w:divBdr>
    </w:div>
    <w:div w:id="1444156649">
      <w:marLeft w:val="0"/>
      <w:marRight w:val="0"/>
      <w:marTop w:val="0"/>
      <w:marBottom w:val="0"/>
      <w:divBdr>
        <w:top w:val="none" w:sz="0" w:space="0" w:color="auto"/>
        <w:left w:val="none" w:sz="0" w:space="0" w:color="auto"/>
        <w:bottom w:val="none" w:sz="0" w:space="0" w:color="auto"/>
        <w:right w:val="none" w:sz="0" w:space="0" w:color="auto"/>
      </w:divBdr>
    </w:div>
    <w:div w:id="1444227667">
      <w:marLeft w:val="0"/>
      <w:marRight w:val="0"/>
      <w:marTop w:val="0"/>
      <w:marBottom w:val="0"/>
      <w:divBdr>
        <w:top w:val="none" w:sz="0" w:space="0" w:color="auto"/>
        <w:left w:val="none" w:sz="0" w:space="0" w:color="auto"/>
        <w:bottom w:val="none" w:sz="0" w:space="0" w:color="auto"/>
        <w:right w:val="none" w:sz="0" w:space="0" w:color="auto"/>
      </w:divBdr>
    </w:div>
    <w:div w:id="1444691290">
      <w:marLeft w:val="0"/>
      <w:marRight w:val="0"/>
      <w:marTop w:val="0"/>
      <w:marBottom w:val="0"/>
      <w:divBdr>
        <w:top w:val="none" w:sz="0" w:space="0" w:color="auto"/>
        <w:left w:val="none" w:sz="0" w:space="0" w:color="auto"/>
        <w:bottom w:val="none" w:sz="0" w:space="0" w:color="auto"/>
        <w:right w:val="none" w:sz="0" w:space="0" w:color="auto"/>
      </w:divBdr>
    </w:div>
    <w:div w:id="1448888524">
      <w:marLeft w:val="0"/>
      <w:marRight w:val="0"/>
      <w:marTop w:val="0"/>
      <w:marBottom w:val="0"/>
      <w:divBdr>
        <w:top w:val="none" w:sz="0" w:space="0" w:color="auto"/>
        <w:left w:val="none" w:sz="0" w:space="0" w:color="auto"/>
        <w:bottom w:val="none" w:sz="0" w:space="0" w:color="auto"/>
        <w:right w:val="none" w:sz="0" w:space="0" w:color="auto"/>
      </w:divBdr>
    </w:div>
    <w:div w:id="1448961450">
      <w:marLeft w:val="0"/>
      <w:marRight w:val="0"/>
      <w:marTop w:val="0"/>
      <w:marBottom w:val="0"/>
      <w:divBdr>
        <w:top w:val="none" w:sz="0" w:space="0" w:color="auto"/>
        <w:left w:val="none" w:sz="0" w:space="0" w:color="auto"/>
        <w:bottom w:val="none" w:sz="0" w:space="0" w:color="auto"/>
        <w:right w:val="none" w:sz="0" w:space="0" w:color="auto"/>
      </w:divBdr>
    </w:div>
    <w:div w:id="1450007536">
      <w:marLeft w:val="0"/>
      <w:marRight w:val="0"/>
      <w:marTop w:val="0"/>
      <w:marBottom w:val="0"/>
      <w:divBdr>
        <w:top w:val="none" w:sz="0" w:space="0" w:color="auto"/>
        <w:left w:val="none" w:sz="0" w:space="0" w:color="auto"/>
        <w:bottom w:val="none" w:sz="0" w:space="0" w:color="auto"/>
        <w:right w:val="none" w:sz="0" w:space="0" w:color="auto"/>
      </w:divBdr>
    </w:div>
    <w:div w:id="1450246488">
      <w:marLeft w:val="0"/>
      <w:marRight w:val="0"/>
      <w:marTop w:val="0"/>
      <w:marBottom w:val="0"/>
      <w:divBdr>
        <w:top w:val="none" w:sz="0" w:space="0" w:color="auto"/>
        <w:left w:val="none" w:sz="0" w:space="0" w:color="auto"/>
        <w:bottom w:val="none" w:sz="0" w:space="0" w:color="auto"/>
        <w:right w:val="none" w:sz="0" w:space="0" w:color="auto"/>
      </w:divBdr>
    </w:div>
    <w:div w:id="1450583965">
      <w:marLeft w:val="0"/>
      <w:marRight w:val="0"/>
      <w:marTop w:val="0"/>
      <w:marBottom w:val="0"/>
      <w:divBdr>
        <w:top w:val="none" w:sz="0" w:space="0" w:color="auto"/>
        <w:left w:val="none" w:sz="0" w:space="0" w:color="auto"/>
        <w:bottom w:val="none" w:sz="0" w:space="0" w:color="auto"/>
        <w:right w:val="none" w:sz="0" w:space="0" w:color="auto"/>
      </w:divBdr>
    </w:div>
    <w:div w:id="1450708277">
      <w:marLeft w:val="0"/>
      <w:marRight w:val="0"/>
      <w:marTop w:val="0"/>
      <w:marBottom w:val="0"/>
      <w:divBdr>
        <w:top w:val="none" w:sz="0" w:space="0" w:color="auto"/>
        <w:left w:val="none" w:sz="0" w:space="0" w:color="auto"/>
        <w:bottom w:val="none" w:sz="0" w:space="0" w:color="auto"/>
        <w:right w:val="none" w:sz="0" w:space="0" w:color="auto"/>
      </w:divBdr>
    </w:div>
    <w:div w:id="1451513811">
      <w:marLeft w:val="0"/>
      <w:marRight w:val="0"/>
      <w:marTop w:val="0"/>
      <w:marBottom w:val="0"/>
      <w:divBdr>
        <w:top w:val="none" w:sz="0" w:space="0" w:color="auto"/>
        <w:left w:val="none" w:sz="0" w:space="0" w:color="auto"/>
        <w:bottom w:val="none" w:sz="0" w:space="0" w:color="auto"/>
        <w:right w:val="none" w:sz="0" w:space="0" w:color="auto"/>
      </w:divBdr>
    </w:div>
    <w:div w:id="1451587661">
      <w:marLeft w:val="0"/>
      <w:marRight w:val="0"/>
      <w:marTop w:val="0"/>
      <w:marBottom w:val="0"/>
      <w:divBdr>
        <w:top w:val="none" w:sz="0" w:space="0" w:color="auto"/>
        <w:left w:val="none" w:sz="0" w:space="0" w:color="auto"/>
        <w:bottom w:val="none" w:sz="0" w:space="0" w:color="auto"/>
        <w:right w:val="none" w:sz="0" w:space="0" w:color="auto"/>
      </w:divBdr>
    </w:div>
    <w:div w:id="1452433780">
      <w:marLeft w:val="0"/>
      <w:marRight w:val="0"/>
      <w:marTop w:val="0"/>
      <w:marBottom w:val="0"/>
      <w:divBdr>
        <w:top w:val="none" w:sz="0" w:space="0" w:color="auto"/>
        <w:left w:val="none" w:sz="0" w:space="0" w:color="auto"/>
        <w:bottom w:val="none" w:sz="0" w:space="0" w:color="auto"/>
        <w:right w:val="none" w:sz="0" w:space="0" w:color="auto"/>
      </w:divBdr>
    </w:div>
    <w:div w:id="1452475900">
      <w:marLeft w:val="0"/>
      <w:marRight w:val="0"/>
      <w:marTop w:val="0"/>
      <w:marBottom w:val="0"/>
      <w:divBdr>
        <w:top w:val="none" w:sz="0" w:space="0" w:color="auto"/>
        <w:left w:val="none" w:sz="0" w:space="0" w:color="auto"/>
        <w:bottom w:val="none" w:sz="0" w:space="0" w:color="auto"/>
        <w:right w:val="none" w:sz="0" w:space="0" w:color="auto"/>
      </w:divBdr>
    </w:div>
    <w:div w:id="1453596237">
      <w:marLeft w:val="0"/>
      <w:marRight w:val="0"/>
      <w:marTop w:val="0"/>
      <w:marBottom w:val="0"/>
      <w:divBdr>
        <w:top w:val="none" w:sz="0" w:space="0" w:color="auto"/>
        <w:left w:val="none" w:sz="0" w:space="0" w:color="auto"/>
        <w:bottom w:val="none" w:sz="0" w:space="0" w:color="auto"/>
        <w:right w:val="none" w:sz="0" w:space="0" w:color="auto"/>
      </w:divBdr>
    </w:div>
    <w:div w:id="1453867116">
      <w:marLeft w:val="0"/>
      <w:marRight w:val="0"/>
      <w:marTop w:val="0"/>
      <w:marBottom w:val="0"/>
      <w:divBdr>
        <w:top w:val="none" w:sz="0" w:space="0" w:color="auto"/>
        <w:left w:val="none" w:sz="0" w:space="0" w:color="auto"/>
        <w:bottom w:val="none" w:sz="0" w:space="0" w:color="auto"/>
        <w:right w:val="none" w:sz="0" w:space="0" w:color="auto"/>
      </w:divBdr>
    </w:div>
    <w:div w:id="1454905050">
      <w:marLeft w:val="0"/>
      <w:marRight w:val="0"/>
      <w:marTop w:val="0"/>
      <w:marBottom w:val="0"/>
      <w:divBdr>
        <w:top w:val="none" w:sz="0" w:space="0" w:color="auto"/>
        <w:left w:val="none" w:sz="0" w:space="0" w:color="auto"/>
        <w:bottom w:val="none" w:sz="0" w:space="0" w:color="auto"/>
        <w:right w:val="none" w:sz="0" w:space="0" w:color="auto"/>
      </w:divBdr>
    </w:div>
    <w:div w:id="1455440428">
      <w:marLeft w:val="0"/>
      <w:marRight w:val="0"/>
      <w:marTop w:val="0"/>
      <w:marBottom w:val="0"/>
      <w:divBdr>
        <w:top w:val="none" w:sz="0" w:space="0" w:color="auto"/>
        <w:left w:val="none" w:sz="0" w:space="0" w:color="auto"/>
        <w:bottom w:val="none" w:sz="0" w:space="0" w:color="auto"/>
        <w:right w:val="none" w:sz="0" w:space="0" w:color="auto"/>
      </w:divBdr>
    </w:div>
    <w:div w:id="1456101163">
      <w:marLeft w:val="0"/>
      <w:marRight w:val="0"/>
      <w:marTop w:val="0"/>
      <w:marBottom w:val="0"/>
      <w:divBdr>
        <w:top w:val="none" w:sz="0" w:space="0" w:color="auto"/>
        <w:left w:val="none" w:sz="0" w:space="0" w:color="auto"/>
        <w:bottom w:val="none" w:sz="0" w:space="0" w:color="auto"/>
        <w:right w:val="none" w:sz="0" w:space="0" w:color="auto"/>
      </w:divBdr>
    </w:div>
    <w:div w:id="1457142202">
      <w:marLeft w:val="0"/>
      <w:marRight w:val="0"/>
      <w:marTop w:val="0"/>
      <w:marBottom w:val="0"/>
      <w:divBdr>
        <w:top w:val="none" w:sz="0" w:space="0" w:color="auto"/>
        <w:left w:val="none" w:sz="0" w:space="0" w:color="auto"/>
        <w:bottom w:val="none" w:sz="0" w:space="0" w:color="auto"/>
        <w:right w:val="none" w:sz="0" w:space="0" w:color="auto"/>
      </w:divBdr>
    </w:div>
    <w:div w:id="1458067452">
      <w:marLeft w:val="0"/>
      <w:marRight w:val="0"/>
      <w:marTop w:val="0"/>
      <w:marBottom w:val="0"/>
      <w:divBdr>
        <w:top w:val="none" w:sz="0" w:space="0" w:color="auto"/>
        <w:left w:val="none" w:sz="0" w:space="0" w:color="auto"/>
        <w:bottom w:val="none" w:sz="0" w:space="0" w:color="auto"/>
        <w:right w:val="none" w:sz="0" w:space="0" w:color="auto"/>
      </w:divBdr>
    </w:div>
    <w:div w:id="1458111457">
      <w:marLeft w:val="0"/>
      <w:marRight w:val="0"/>
      <w:marTop w:val="0"/>
      <w:marBottom w:val="0"/>
      <w:divBdr>
        <w:top w:val="none" w:sz="0" w:space="0" w:color="auto"/>
        <w:left w:val="none" w:sz="0" w:space="0" w:color="auto"/>
        <w:bottom w:val="none" w:sz="0" w:space="0" w:color="auto"/>
        <w:right w:val="none" w:sz="0" w:space="0" w:color="auto"/>
      </w:divBdr>
    </w:div>
    <w:div w:id="1459912417">
      <w:marLeft w:val="0"/>
      <w:marRight w:val="0"/>
      <w:marTop w:val="0"/>
      <w:marBottom w:val="0"/>
      <w:divBdr>
        <w:top w:val="none" w:sz="0" w:space="0" w:color="auto"/>
        <w:left w:val="none" w:sz="0" w:space="0" w:color="auto"/>
        <w:bottom w:val="none" w:sz="0" w:space="0" w:color="auto"/>
        <w:right w:val="none" w:sz="0" w:space="0" w:color="auto"/>
      </w:divBdr>
    </w:div>
    <w:div w:id="1460220903">
      <w:marLeft w:val="0"/>
      <w:marRight w:val="0"/>
      <w:marTop w:val="0"/>
      <w:marBottom w:val="0"/>
      <w:divBdr>
        <w:top w:val="none" w:sz="0" w:space="0" w:color="auto"/>
        <w:left w:val="none" w:sz="0" w:space="0" w:color="auto"/>
        <w:bottom w:val="none" w:sz="0" w:space="0" w:color="auto"/>
        <w:right w:val="none" w:sz="0" w:space="0" w:color="auto"/>
      </w:divBdr>
      <w:divsChild>
        <w:div w:id="1619918964">
          <w:marLeft w:val="0"/>
          <w:marRight w:val="0"/>
          <w:marTop w:val="0"/>
          <w:marBottom w:val="0"/>
          <w:divBdr>
            <w:top w:val="none" w:sz="0" w:space="0" w:color="auto"/>
            <w:left w:val="none" w:sz="0" w:space="0" w:color="auto"/>
            <w:bottom w:val="none" w:sz="0" w:space="0" w:color="auto"/>
            <w:right w:val="none" w:sz="0" w:space="0" w:color="auto"/>
          </w:divBdr>
        </w:div>
      </w:divsChild>
    </w:div>
    <w:div w:id="1461530353">
      <w:marLeft w:val="0"/>
      <w:marRight w:val="0"/>
      <w:marTop w:val="0"/>
      <w:marBottom w:val="0"/>
      <w:divBdr>
        <w:top w:val="none" w:sz="0" w:space="0" w:color="auto"/>
        <w:left w:val="none" w:sz="0" w:space="0" w:color="auto"/>
        <w:bottom w:val="none" w:sz="0" w:space="0" w:color="auto"/>
        <w:right w:val="none" w:sz="0" w:space="0" w:color="auto"/>
      </w:divBdr>
    </w:div>
    <w:div w:id="1462461885">
      <w:marLeft w:val="0"/>
      <w:marRight w:val="0"/>
      <w:marTop w:val="0"/>
      <w:marBottom w:val="0"/>
      <w:divBdr>
        <w:top w:val="none" w:sz="0" w:space="0" w:color="auto"/>
        <w:left w:val="none" w:sz="0" w:space="0" w:color="auto"/>
        <w:bottom w:val="none" w:sz="0" w:space="0" w:color="auto"/>
        <w:right w:val="none" w:sz="0" w:space="0" w:color="auto"/>
      </w:divBdr>
    </w:div>
    <w:div w:id="1462649243">
      <w:marLeft w:val="0"/>
      <w:marRight w:val="0"/>
      <w:marTop w:val="0"/>
      <w:marBottom w:val="0"/>
      <w:divBdr>
        <w:top w:val="none" w:sz="0" w:space="0" w:color="auto"/>
        <w:left w:val="none" w:sz="0" w:space="0" w:color="auto"/>
        <w:bottom w:val="none" w:sz="0" w:space="0" w:color="auto"/>
        <w:right w:val="none" w:sz="0" w:space="0" w:color="auto"/>
      </w:divBdr>
    </w:div>
    <w:div w:id="1463578465">
      <w:marLeft w:val="0"/>
      <w:marRight w:val="0"/>
      <w:marTop w:val="0"/>
      <w:marBottom w:val="0"/>
      <w:divBdr>
        <w:top w:val="none" w:sz="0" w:space="0" w:color="auto"/>
        <w:left w:val="none" w:sz="0" w:space="0" w:color="auto"/>
        <w:bottom w:val="none" w:sz="0" w:space="0" w:color="auto"/>
        <w:right w:val="none" w:sz="0" w:space="0" w:color="auto"/>
      </w:divBdr>
    </w:div>
    <w:div w:id="1463961321">
      <w:marLeft w:val="0"/>
      <w:marRight w:val="0"/>
      <w:marTop w:val="0"/>
      <w:marBottom w:val="0"/>
      <w:divBdr>
        <w:top w:val="none" w:sz="0" w:space="0" w:color="auto"/>
        <w:left w:val="none" w:sz="0" w:space="0" w:color="auto"/>
        <w:bottom w:val="none" w:sz="0" w:space="0" w:color="auto"/>
        <w:right w:val="none" w:sz="0" w:space="0" w:color="auto"/>
      </w:divBdr>
    </w:div>
    <w:div w:id="1464732356">
      <w:marLeft w:val="0"/>
      <w:marRight w:val="0"/>
      <w:marTop w:val="0"/>
      <w:marBottom w:val="0"/>
      <w:divBdr>
        <w:top w:val="none" w:sz="0" w:space="0" w:color="auto"/>
        <w:left w:val="none" w:sz="0" w:space="0" w:color="auto"/>
        <w:bottom w:val="none" w:sz="0" w:space="0" w:color="auto"/>
        <w:right w:val="none" w:sz="0" w:space="0" w:color="auto"/>
      </w:divBdr>
    </w:div>
    <w:div w:id="1465467974">
      <w:marLeft w:val="0"/>
      <w:marRight w:val="0"/>
      <w:marTop w:val="0"/>
      <w:marBottom w:val="0"/>
      <w:divBdr>
        <w:top w:val="none" w:sz="0" w:space="0" w:color="auto"/>
        <w:left w:val="none" w:sz="0" w:space="0" w:color="auto"/>
        <w:bottom w:val="none" w:sz="0" w:space="0" w:color="auto"/>
        <w:right w:val="none" w:sz="0" w:space="0" w:color="auto"/>
      </w:divBdr>
    </w:div>
    <w:div w:id="1465930581">
      <w:marLeft w:val="0"/>
      <w:marRight w:val="0"/>
      <w:marTop w:val="0"/>
      <w:marBottom w:val="0"/>
      <w:divBdr>
        <w:top w:val="none" w:sz="0" w:space="0" w:color="auto"/>
        <w:left w:val="none" w:sz="0" w:space="0" w:color="auto"/>
        <w:bottom w:val="none" w:sz="0" w:space="0" w:color="auto"/>
        <w:right w:val="none" w:sz="0" w:space="0" w:color="auto"/>
      </w:divBdr>
    </w:div>
    <w:div w:id="1466771028">
      <w:marLeft w:val="0"/>
      <w:marRight w:val="0"/>
      <w:marTop w:val="0"/>
      <w:marBottom w:val="0"/>
      <w:divBdr>
        <w:top w:val="none" w:sz="0" w:space="0" w:color="auto"/>
        <w:left w:val="none" w:sz="0" w:space="0" w:color="auto"/>
        <w:bottom w:val="none" w:sz="0" w:space="0" w:color="auto"/>
        <w:right w:val="none" w:sz="0" w:space="0" w:color="auto"/>
      </w:divBdr>
    </w:div>
    <w:div w:id="1466894909">
      <w:marLeft w:val="0"/>
      <w:marRight w:val="0"/>
      <w:marTop w:val="0"/>
      <w:marBottom w:val="0"/>
      <w:divBdr>
        <w:top w:val="none" w:sz="0" w:space="0" w:color="auto"/>
        <w:left w:val="none" w:sz="0" w:space="0" w:color="auto"/>
        <w:bottom w:val="none" w:sz="0" w:space="0" w:color="auto"/>
        <w:right w:val="none" w:sz="0" w:space="0" w:color="auto"/>
      </w:divBdr>
    </w:div>
    <w:div w:id="1467049003">
      <w:marLeft w:val="0"/>
      <w:marRight w:val="0"/>
      <w:marTop w:val="0"/>
      <w:marBottom w:val="0"/>
      <w:divBdr>
        <w:top w:val="none" w:sz="0" w:space="0" w:color="auto"/>
        <w:left w:val="none" w:sz="0" w:space="0" w:color="auto"/>
        <w:bottom w:val="none" w:sz="0" w:space="0" w:color="auto"/>
        <w:right w:val="none" w:sz="0" w:space="0" w:color="auto"/>
      </w:divBdr>
    </w:div>
    <w:div w:id="1468891094">
      <w:marLeft w:val="0"/>
      <w:marRight w:val="0"/>
      <w:marTop w:val="0"/>
      <w:marBottom w:val="0"/>
      <w:divBdr>
        <w:top w:val="none" w:sz="0" w:space="0" w:color="auto"/>
        <w:left w:val="none" w:sz="0" w:space="0" w:color="auto"/>
        <w:bottom w:val="none" w:sz="0" w:space="0" w:color="auto"/>
        <w:right w:val="none" w:sz="0" w:space="0" w:color="auto"/>
      </w:divBdr>
      <w:divsChild>
        <w:div w:id="1992366648">
          <w:marLeft w:val="0"/>
          <w:marRight w:val="0"/>
          <w:marTop w:val="0"/>
          <w:marBottom w:val="0"/>
          <w:divBdr>
            <w:top w:val="none" w:sz="0" w:space="0" w:color="auto"/>
            <w:left w:val="none" w:sz="0" w:space="0" w:color="auto"/>
            <w:bottom w:val="none" w:sz="0" w:space="0" w:color="auto"/>
            <w:right w:val="none" w:sz="0" w:space="0" w:color="auto"/>
          </w:divBdr>
        </w:div>
      </w:divsChild>
    </w:div>
    <w:div w:id="1469857696">
      <w:marLeft w:val="0"/>
      <w:marRight w:val="0"/>
      <w:marTop w:val="0"/>
      <w:marBottom w:val="0"/>
      <w:divBdr>
        <w:top w:val="none" w:sz="0" w:space="0" w:color="auto"/>
        <w:left w:val="none" w:sz="0" w:space="0" w:color="auto"/>
        <w:bottom w:val="none" w:sz="0" w:space="0" w:color="auto"/>
        <w:right w:val="none" w:sz="0" w:space="0" w:color="auto"/>
      </w:divBdr>
    </w:div>
    <w:div w:id="1472019332">
      <w:marLeft w:val="0"/>
      <w:marRight w:val="0"/>
      <w:marTop w:val="0"/>
      <w:marBottom w:val="0"/>
      <w:divBdr>
        <w:top w:val="none" w:sz="0" w:space="0" w:color="auto"/>
        <w:left w:val="none" w:sz="0" w:space="0" w:color="auto"/>
        <w:bottom w:val="none" w:sz="0" w:space="0" w:color="auto"/>
        <w:right w:val="none" w:sz="0" w:space="0" w:color="auto"/>
      </w:divBdr>
    </w:div>
    <w:div w:id="1472481456">
      <w:marLeft w:val="0"/>
      <w:marRight w:val="0"/>
      <w:marTop w:val="0"/>
      <w:marBottom w:val="0"/>
      <w:divBdr>
        <w:top w:val="none" w:sz="0" w:space="0" w:color="auto"/>
        <w:left w:val="none" w:sz="0" w:space="0" w:color="auto"/>
        <w:bottom w:val="none" w:sz="0" w:space="0" w:color="auto"/>
        <w:right w:val="none" w:sz="0" w:space="0" w:color="auto"/>
      </w:divBdr>
    </w:div>
    <w:div w:id="1472601418">
      <w:marLeft w:val="0"/>
      <w:marRight w:val="0"/>
      <w:marTop w:val="0"/>
      <w:marBottom w:val="0"/>
      <w:divBdr>
        <w:top w:val="none" w:sz="0" w:space="0" w:color="auto"/>
        <w:left w:val="none" w:sz="0" w:space="0" w:color="auto"/>
        <w:bottom w:val="none" w:sz="0" w:space="0" w:color="auto"/>
        <w:right w:val="none" w:sz="0" w:space="0" w:color="auto"/>
      </w:divBdr>
    </w:div>
    <w:div w:id="1474063257">
      <w:marLeft w:val="0"/>
      <w:marRight w:val="0"/>
      <w:marTop w:val="0"/>
      <w:marBottom w:val="0"/>
      <w:divBdr>
        <w:top w:val="none" w:sz="0" w:space="0" w:color="auto"/>
        <w:left w:val="none" w:sz="0" w:space="0" w:color="auto"/>
        <w:bottom w:val="none" w:sz="0" w:space="0" w:color="auto"/>
        <w:right w:val="none" w:sz="0" w:space="0" w:color="auto"/>
      </w:divBdr>
    </w:div>
    <w:div w:id="1474516354">
      <w:marLeft w:val="0"/>
      <w:marRight w:val="0"/>
      <w:marTop w:val="0"/>
      <w:marBottom w:val="0"/>
      <w:divBdr>
        <w:top w:val="none" w:sz="0" w:space="0" w:color="auto"/>
        <w:left w:val="none" w:sz="0" w:space="0" w:color="auto"/>
        <w:bottom w:val="none" w:sz="0" w:space="0" w:color="auto"/>
        <w:right w:val="none" w:sz="0" w:space="0" w:color="auto"/>
      </w:divBdr>
    </w:div>
    <w:div w:id="1474716675">
      <w:marLeft w:val="0"/>
      <w:marRight w:val="0"/>
      <w:marTop w:val="0"/>
      <w:marBottom w:val="0"/>
      <w:divBdr>
        <w:top w:val="none" w:sz="0" w:space="0" w:color="auto"/>
        <w:left w:val="none" w:sz="0" w:space="0" w:color="auto"/>
        <w:bottom w:val="none" w:sz="0" w:space="0" w:color="auto"/>
        <w:right w:val="none" w:sz="0" w:space="0" w:color="auto"/>
      </w:divBdr>
    </w:div>
    <w:div w:id="1475215872">
      <w:marLeft w:val="0"/>
      <w:marRight w:val="0"/>
      <w:marTop w:val="0"/>
      <w:marBottom w:val="0"/>
      <w:divBdr>
        <w:top w:val="none" w:sz="0" w:space="0" w:color="auto"/>
        <w:left w:val="none" w:sz="0" w:space="0" w:color="auto"/>
        <w:bottom w:val="none" w:sz="0" w:space="0" w:color="auto"/>
        <w:right w:val="none" w:sz="0" w:space="0" w:color="auto"/>
      </w:divBdr>
      <w:divsChild>
        <w:div w:id="1387101048">
          <w:marLeft w:val="0"/>
          <w:marRight w:val="0"/>
          <w:marTop w:val="0"/>
          <w:marBottom w:val="0"/>
          <w:divBdr>
            <w:top w:val="none" w:sz="0" w:space="0" w:color="auto"/>
            <w:left w:val="none" w:sz="0" w:space="0" w:color="auto"/>
            <w:bottom w:val="none" w:sz="0" w:space="0" w:color="auto"/>
            <w:right w:val="none" w:sz="0" w:space="0" w:color="auto"/>
          </w:divBdr>
        </w:div>
      </w:divsChild>
    </w:div>
    <w:div w:id="1475676303">
      <w:marLeft w:val="0"/>
      <w:marRight w:val="0"/>
      <w:marTop w:val="0"/>
      <w:marBottom w:val="0"/>
      <w:divBdr>
        <w:top w:val="none" w:sz="0" w:space="0" w:color="auto"/>
        <w:left w:val="none" w:sz="0" w:space="0" w:color="auto"/>
        <w:bottom w:val="none" w:sz="0" w:space="0" w:color="auto"/>
        <w:right w:val="none" w:sz="0" w:space="0" w:color="auto"/>
      </w:divBdr>
    </w:div>
    <w:div w:id="1475757533">
      <w:marLeft w:val="0"/>
      <w:marRight w:val="0"/>
      <w:marTop w:val="0"/>
      <w:marBottom w:val="0"/>
      <w:divBdr>
        <w:top w:val="none" w:sz="0" w:space="0" w:color="auto"/>
        <w:left w:val="none" w:sz="0" w:space="0" w:color="auto"/>
        <w:bottom w:val="none" w:sz="0" w:space="0" w:color="auto"/>
        <w:right w:val="none" w:sz="0" w:space="0" w:color="auto"/>
      </w:divBdr>
      <w:divsChild>
        <w:div w:id="422802629">
          <w:marLeft w:val="0"/>
          <w:marRight w:val="0"/>
          <w:marTop w:val="0"/>
          <w:marBottom w:val="0"/>
          <w:divBdr>
            <w:top w:val="none" w:sz="0" w:space="0" w:color="auto"/>
            <w:left w:val="none" w:sz="0" w:space="0" w:color="auto"/>
            <w:bottom w:val="none" w:sz="0" w:space="0" w:color="auto"/>
            <w:right w:val="none" w:sz="0" w:space="0" w:color="auto"/>
          </w:divBdr>
        </w:div>
      </w:divsChild>
    </w:div>
    <w:div w:id="1476070968">
      <w:marLeft w:val="0"/>
      <w:marRight w:val="0"/>
      <w:marTop w:val="0"/>
      <w:marBottom w:val="0"/>
      <w:divBdr>
        <w:top w:val="none" w:sz="0" w:space="0" w:color="auto"/>
        <w:left w:val="none" w:sz="0" w:space="0" w:color="auto"/>
        <w:bottom w:val="none" w:sz="0" w:space="0" w:color="auto"/>
        <w:right w:val="none" w:sz="0" w:space="0" w:color="auto"/>
      </w:divBdr>
    </w:div>
    <w:div w:id="1476988018">
      <w:marLeft w:val="0"/>
      <w:marRight w:val="0"/>
      <w:marTop w:val="0"/>
      <w:marBottom w:val="0"/>
      <w:divBdr>
        <w:top w:val="none" w:sz="0" w:space="0" w:color="auto"/>
        <w:left w:val="none" w:sz="0" w:space="0" w:color="auto"/>
        <w:bottom w:val="none" w:sz="0" w:space="0" w:color="auto"/>
        <w:right w:val="none" w:sz="0" w:space="0" w:color="auto"/>
      </w:divBdr>
    </w:div>
    <w:div w:id="1477260810">
      <w:marLeft w:val="0"/>
      <w:marRight w:val="0"/>
      <w:marTop w:val="0"/>
      <w:marBottom w:val="120"/>
      <w:divBdr>
        <w:top w:val="none" w:sz="0" w:space="0" w:color="auto"/>
        <w:left w:val="none" w:sz="0" w:space="0" w:color="auto"/>
        <w:bottom w:val="none" w:sz="0" w:space="0" w:color="auto"/>
        <w:right w:val="none" w:sz="0" w:space="0" w:color="auto"/>
      </w:divBdr>
    </w:div>
    <w:div w:id="1477644401">
      <w:marLeft w:val="0"/>
      <w:marRight w:val="0"/>
      <w:marTop w:val="0"/>
      <w:marBottom w:val="0"/>
      <w:divBdr>
        <w:top w:val="none" w:sz="0" w:space="0" w:color="auto"/>
        <w:left w:val="none" w:sz="0" w:space="0" w:color="auto"/>
        <w:bottom w:val="none" w:sz="0" w:space="0" w:color="auto"/>
        <w:right w:val="none" w:sz="0" w:space="0" w:color="auto"/>
      </w:divBdr>
    </w:div>
    <w:div w:id="1479225868">
      <w:marLeft w:val="0"/>
      <w:marRight w:val="0"/>
      <w:marTop w:val="0"/>
      <w:marBottom w:val="0"/>
      <w:divBdr>
        <w:top w:val="none" w:sz="0" w:space="0" w:color="auto"/>
        <w:left w:val="none" w:sz="0" w:space="0" w:color="auto"/>
        <w:bottom w:val="none" w:sz="0" w:space="0" w:color="auto"/>
        <w:right w:val="none" w:sz="0" w:space="0" w:color="auto"/>
      </w:divBdr>
      <w:divsChild>
        <w:div w:id="1756589917">
          <w:marLeft w:val="0"/>
          <w:marRight w:val="0"/>
          <w:marTop w:val="0"/>
          <w:marBottom w:val="0"/>
          <w:divBdr>
            <w:top w:val="none" w:sz="0" w:space="0" w:color="auto"/>
            <w:left w:val="none" w:sz="0" w:space="0" w:color="auto"/>
            <w:bottom w:val="none" w:sz="0" w:space="0" w:color="auto"/>
            <w:right w:val="none" w:sz="0" w:space="0" w:color="auto"/>
          </w:divBdr>
        </w:div>
        <w:div w:id="1858807831">
          <w:marLeft w:val="0"/>
          <w:marRight w:val="0"/>
          <w:marTop w:val="0"/>
          <w:marBottom w:val="0"/>
          <w:divBdr>
            <w:top w:val="none" w:sz="0" w:space="0" w:color="auto"/>
            <w:left w:val="none" w:sz="0" w:space="0" w:color="auto"/>
            <w:bottom w:val="none" w:sz="0" w:space="0" w:color="auto"/>
            <w:right w:val="none" w:sz="0" w:space="0" w:color="auto"/>
          </w:divBdr>
        </w:div>
        <w:div w:id="195043710">
          <w:marLeft w:val="0"/>
          <w:marRight w:val="0"/>
          <w:marTop w:val="0"/>
          <w:marBottom w:val="0"/>
          <w:divBdr>
            <w:top w:val="none" w:sz="0" w:space="0" w:color="auto"/>
            <w:left w:val="none" w:sz="0" w:space="0" w:color="auto"/>
            <w:bottom w:val="none" w:sz="0" w:space="0" w:color="auto"/>
            <w:right w:val="none" w:sz="0" w:space="0" w:color="auto"/>
          </w:divBdr>
        </w:div>
        <w:div w:id="1983344610">
          <w:marLeft w:val="0"/>
          <w:marRight w:val="0"/>
          <w:marTop w:val="0"/>
          <w:marBottom w:val="0"/>
          <w:divBdr>
            <w:top w:val="none" w:sz="0" w:space="0" w:color="auto"/>
            <w:left w:val="none" w:sz="0" w:space="0" w:color="auto"/>
            <w:bottom w:val="none" w:sz="0" w:space="0" w:color="auto"/>
            <w:right w:val="none" w:sz="0" w:space="0" w:color="auto"/>
          </w:divBdr>
        </w:div>
        <w:div w:id="1679582534">
          <w:marLeft w:val="0"/>
          <w:marRight w:val="0"/>
          <w:marTop w:val="0"/>
          <w:marBottom w:val="0"/>
          <w:divBdr>
            <w:top w:val="none" w:sz="0" w:space="0" w:color="auto"/>
            <w:left w:val="none" w:sz="0" w:space="0" w:color="auto"/>
            <w:bottom w:val="none" w:sz="0" w:space="0" w:color="auto"/>
            <w:right w:val="none" w:sz="0" w:space="0" w:color="auto"/>
          </w:divBdr>
        </w:div>
        <w:div w:id="1568803658">
          <w:marLeft w:val="0"/>
          <w:marRight w:val="0"/>
          <w:marTop w:val="0"/>
          <w:marBottom w:val="0"/>
          <w:divBdr>
            <w:top w:val="none" w:sz="0" w:space="0" w:color="auto"/>
            <w:left w:val="none" w:sz="0" w:space="0" w:color="auto"/>
            <w:bottom w:val="none" w:sz="0" w:space="0" w:color="auto"/>
            <w:right w:val="none" w:sz="0" w:space="0" w:color="auto"/>
          </w:divBdr>
        </w:div>
        <w:div w:id="872301325">
          <w:marLeft w:val="0"/>
          <w:marRight w:val="0"/>
          <w:marTop w:val="0"/>
          <w:marBottom w:val="0"/>
          <w:divBdr>
            <w:top w:val="none" w:sz="0" w:space="0" w:color="auto"/>
            <w:left w:val="none" w:sz="0" w:space="0" w:color="auto"/>
            <w:bottom w:val="none" w:sz="0" w:space="0" w:color="auto"/>
            <w:right w:val="none" w:sz="0" w:space="0" w:color="auto"/>
          </w:divBdr>
        </w:div>
        <w:div w:id="1549754737">
          <w:marLeft w:val="0"/>
          <w:marRight w:val="0"/>
          <w:marTop w:val="0"/>
          <w:marBottom w:val="0"/>
          <w:divBdr>
            <w:top w:val="none" w:sz="0" w:space="0" w:color="auto"/>
            <w:left w:val="none" w:sz="0" w:space="0" w:color="auto"/>
            <w:bottom w:val="none" w:sz="0" w:space="0" w:color="auto"/>
            <w:right w:val="none" w:sz="0" w:space="0" w:color="auto"/>
          </w:divBdr>
        </w:div>
        <w:div w:id="1199003252">
          <w:marLeft w:val="0"/>
          <w:marRight w:val="0"/>
          <w:marTop w:val="0"/>
          <w:marBottom w:val="0"/>
          <w:divBdr>
            <w:top w:val="none" w:sz="0" w:space="0" w:color="auto"/>
            <w:left w:val="none" w:sz="0" w:space="0" w:color="auto"/>
            <w:bottom w:val="none" w:sz="0" w:space="0" w:color="auto"/>
            <w:right w:val="none" w:sz="0" w:space="0" w:color="auto"/>
          </w:divBdr>
        </w:div>
      </w:divsChild>
    </w:div>
    <w:div w:id="1479494278">
      <w:marLeft w:val="0"/>
      <w:marRight w:val="0"/>
      <w:marTop w:val="0"/>
      <w:marBottom w:val="0"/>
      <w:divBdr>
        <w:top w:val="none" w:sz="0" w:space="0" w:color="auto"/>
        <w:left w:val="none" w:sz="0" w:space="0" w:color="auto"/>
        <w:bottom w:val="none" w:sz="0" w:space="0" w:color="auto"/>
        <w:right w:val="none" w:sz="0" w:space="0" w:color="auto"/>
      </w:divBdr>
    </w:div>
    <w:div w:id="1479760174">
      <w:marLeft w:val="0"/>
      <w:marRight w:val="0"/>
      <w:marTop w:val="0"/>
      <w:marBottom w:val="0"/>
      <w:divBdr>
        <w:top w:val="none" w:sz="0" w:space="0" w:color="auto"/>
        <w:left w:val="none" w:sz="0" w:space="0" w:color="auto"/>
        <w:bottom w:val="none" w:sz="0" w:space="0" w:color="auto"/>
        <w:right w:val="none" w:sz="0" w:space="0" w:color="auto"/>
      </w:divBdr>
    </w:div>
    <w:div w:id="1480342018">
      <w:marLeft w:val="0"/>
      <w:marRight w:val="0"/>
      <w:marTop w:val="0"/>
      <w:marBottom w:val="0"/>
      <w:divBdr>
        <w:top w:val="none" w:sz="0" w:space="0" w:color="auto"/>
        <w:left w:val="none" w:sz="0" w:space="0" w:color="auto"/>
        <w:bottom w:val="none" w:sz="0" w:space="0" w:color="auto"/>
        <w:right w:val="none" w:sz="0" w:space="0" w:color="auto"/>
      </w:divBdr>
    </w:div>
    <w:div w:id="1480684357">
      <w:marLeft w:val="0"/>
      <w:marRight w:val="0"/>
      <w:marTop w:val="0"/>
      <w:marBottom w:val="0"/>
      <w:divBdr>
        <w:top w:val="none" w:sz="0" w:space="0" w:color="auto"/>
        <w:left w:val="none" w:sz="0" w:space="0" w:color="auto"/>
        <w:bottom w:val="none" w:sz="0" w:space="0" w:color="auto"/>
        <w:right w:val="none" w:sz="0" w:space="0" w:color="auto"/>
      </w:divBdr>
    </w:div>
    <w:div w:id="1480806590">
      <w:marLeft w:val="0"/>
      <w:marRight w:val="0"/>
      <w:marTop w:val="0"/>
      <w:marBottom w:val="0"/>
      <w:divBdr>
        <w:top w:val="none" w:sz="0" w:space="0" w:color="auto"/>
        <w:left w:val="none" w:sz="0" w:space="0" w:color="auto"/>
        <w:bottom w:val="none" w:sz="0" w:space="0" w:color="auto"/>
        <w:right w:val="none" w:sz="0" w:space="0" w:color="auto"/>
      </w:divBdr>
    </w:div>
    <w:div w:id="1481267477">
      <w:marLeft w:val="0"/>
      <w:marRight w:val="0"/>
      <w:marTop w:val="0"/>
      <w:marBottom w:val="0"/>
      <w:divBdr>
        <w:top w:val="none" w:sz="0" w:space="0" w:color="auto"/>
        <w:left w:val="none" w:sz="0" w:space="0" w:color="auto"/>
        <w:bottom w:val="none" w:sz="0" w:space="0" w:color="auto"/>
        <w:right w:val="none" w:sz="0" w:space="0" w:color="auto"/>
      </w:divBdr>
    </w:div>
    <w:div w:id="1482113983">
      <w:marLeft w:val="0"/>
      <w:marRight w:val="0"/>
      <w:marTop w:val="0"/>
      <w:marBottom w:val="0"/>
      <w:divBdr>
        <w:top w:val="none" w:sz="0" w:space="0" w:color="auto"/>
        <w:left w:val="none" w:sz="0" w:space="0" w:color="auto"/>
        <w:bottom w:val="none" w:sz="0" w:space="0" w:color="auto"/>
        <w:right w:val="none" w:sz="0" w:space="0" w:color="auto"/>
      </w:divBdr>
    </w:div>
    <w:div w:id="1482117409">
      <w:marLeft w:val="0"/>
      <w:marRight w:val="0"/>
      <w:marTop w:val="0"/>
      <w:marBottom w:val="0"/>
      <w:divBdr>
        <w:top w:val="none" w:sz="0" w:space="0" w:color="auto"/>
        <w:left w:val="none" w:sz="0" w:space="0" w:color="auto"/>
        <w:bottom w:val="none" w:sz="0" w:space="0" w:color="auto"/>
        <w:right w:val="none" w:sz="0" w:space="0" w:color="auto"/>
      </w:divBdr>
    </w:div>
    <w:div w:id="1483690015">
      <w:marLeft w:val="0"/>
      <w:marRight w:val="0"/>
      <w:marTop w:val="0"/>
      <w:marBottom w:val="0"/>
      <w:divBdr>
        <w:top w:val="none" w:sz="0" w:space="0" w:color="auto"/>
        <w:left w:val="none" w:sz="0" w:space="0" w:color="auto"/>
        <w:bottom w:val="none" w:sz="0" w:space="0" w:color="auto"/>
        <w:right w:val="none" w:sz="0" w:space="0" w:color="auto"/>
      </w:divBdr>
    </w:div>
    <w:div w:id="1484199389">
      <w:marLeft w:val="0"/>
      <w:marRight w:val="0"/>
      <w:marTop w:val="0"/>
      <w:marBottom w:val="0"/>
      <w:divBdr>
        <w:top w:val="none" w:sz="0" w:space="0" w:color="auto"/>
        <w:left w:val="none" w:sz="0" w:space="0" w:color="auto"/>
        <w:bottom w:val="none" w:sz="0" w:space="0" w:color="auto"/>
        <w:right w:val="none" w:sz="0" w:space="0" w:color="auto"/>
      </w:divBdr>
    </w:div>
    <w:div w:id="1484272835">
      <w:marLeft w:val="0"/>
      <w:marRight w:val="0"/>
      <w:marTop w:val="0"/>
      <w:marBottom w:val="0"/>
      <w:divBdr>
        <w:top w:val="none" w:sz="0" w:space="0" w:color="auto"/>
        <w:left w:val="none" w:sz="0" w:space="0" w:color="auto"/>
        <w:bottom w:val="none" w:sz="0" w:space="0" w:color="auto"/>
        <w:right w:val="none" w:sz="0" w:space="0" w:color="auto"/>
      </w:divBdr>
    </w:div>
    <w:div w:id="1484347729">
      <w:marLeft w:val="0"/>
      <w:marRight w:val="0"/>
      <w:marTop w:val="0"/>
      <w:marBottom w:val="120"/>
      <w:divBdr>
        <w:top w:val="none" w:sz="0" w:space="0" w:color="auto"/>
        <w:left w:val="none" w:sz="0" w:space="0" w:color="auto"/>
        <w:bottom w:val="none" w:sz="0" w:space="0" w:color="auto"/>
        <w:right w:val="none" w:sz="0" w:space="0" w:color="auto"/>
      </w:divBdr>
      <w:divsChild>
        <w:div w:id="1892427090">
          <w:marLeft w:val="0"/>
          <w:marRight w:val="0"/>
          <w:marTop w:val="0"/>
          <w:marBottom w:val="0"/>
          <w:divBdr>
            <w:top w:val="none" w:sz="0" w:space="0" w:color="auto"/>
            <w:left w:val="none" w:sz="0" w:space="0" w:color="auto"/>
            <w:bottom w:val="none" w:sz="0" w:space="0" w:color="auto"/>
            <w:right w:val="none" w:sz="0" w:space="0" w:color="auto"/>
          </w:divBdr>
        </w:div>
      </w:divsChild>
    </w:div>
    <w:div w:id="1484731936">
      <w:marLeft w:val="0"/>
      <w:marRight w:val="0"/>
      <w:marTop w:val="0"/>
      <w:marBottom w:val="0"/>
      <w:divBdr>
        <w:top w:val="none" w:sz="0" w:space="0" w:color="auto"/>
        <w:left w:val="none" w:sz="0" w:space="0" w:color="auto"/>
        <w:bottom w:val="none" w:sz="0" w:space="0" w:color="auto"/>
        <w:right w:val="none" w:sz="0" w:space="0" w:color="auto"/>
      </w:divBdr>
    </w:div>
    <w:div w:id="1485127707">
      <w:marLeft w:val="0"/>
      <w:marRight w:val="0"/>
      <w:marTop w:val="0"/>
      <w:marBottom w:val="0"/>
      <w:divBdr>
        <w:top w:val="none" w:sz="0" w:space="0" w:color="auto"/>
        <w:left w:val="none" w:sz="0" w:space="0" w:color="auto"/>
        <w:bottom w:val="none" w:sz="0" w:space="0" w:color="auto"/>
        <w:right w:val="none" w:sz="0" w:space="0" w:color="auto"/>
      </w:divBdr>
    </w:div>
    <w:div w:id="1485314590">
      <w:marLeft w:val="0"/>
      <w:marRight w:val="0"/>
      <w:marTop w:val="0"/>
      <w:marBottom w:val="0"/>
      <w:divBdr>
        <w:top w:val="none" w:sz="0" w:space="0" w:color="auto"/>
        <w:left w:val="none" w:sz="0" w:space="0" w:color="auto"/>
        <w:bottom w:val="none" w:sz="0" w:space="0" w:color="auto"/>
        <w:right w:val="none" w:sz="0" w:space="0" w:color="auto"/>
      </w:divBdr>
    </w:div>
    <w:div w:id="1486773940">
      <w:marLeft w:val="0"/>
      <w:marRight w:val="0"/>
      <w:marTop w:val="0"/>
      <w:marBottom w:val="0"/>
      <w:divBdr>
        <w:top w:val="none" w:sz="0" w:space="0" w:color="auto"/>
        <w:left w:val="none" w:sz="0" w:space="0" w:color="auto"/>
        <w:bottom w:val="none" w:sz="0" w:space="0" w:color="auto"/>
        <w:right w:val="none" w:sz="0" w:space="0" w:color="auto"/>
      </w:divBdr>
    </w:div>
    <w:div w:id="1487042855">
      <w:marLeft w:val="0"/>
      <w:marRight w:val="0"/>
      <w:marTop w:val="240"/>
      <w:marBottom w:val="240"/>
      <w:divBdr>
        <w:top w:val="none" w:sz="0" w:space="0" w:color="auto"/>
        <w:left w:val="none" w:sz="0" w:space="0" w:color="auto"/>
        <w:bottom w:val="none" w:sz="0" w:space="0" w:color="auto"/>
        <w:right w:val="none" w:sz="0" w:space="0" w:color="auto"/>
      </w:divBdr>
    </w:div>
    <w:div w:id="1491631305">
      <w:marLeft w:val="0"/>
      <w:marRight w:val="0"/>
      <w:marTop w:val="0"/>
      <w:marBottom w:val="0"/>
      <w:divBdr>
        <w:top w:val="none" w:sz="0" w:space="0" w:color="auto"/>
        <w:left w:val="none" w:sz="0" w:space="0" w:color="auto"/>
        <w:bottom w:val="none" w:sz="0" w:space="0" w:color="auto"/>
        <w:right w:val="none" w:sz="0" w:space="0" w:color="auto"/>
      </w:divBdr>
    </w:div>
    <w:div w:id="1491826646">
      <w:marLeft w:val="0"/>
      <w:marRight w:val="0"/>
      <w:marTop w:val="0"/>
      <w:marBottom w:val="0"/>
      <w:divBdr>
        <w:top w:val="none" w:sz="0" w:space="0" w:color="auto"/>
        <w:left w:val="none" w:sz="0" w:space="0" w:color="auto"/>
        <w:bottom w:val="none" w:sz="0" w:space="0" w:color="auto"/>
        <w:right w:val="none" w:sz="0" w:space="0" w:color="auto"/>
      </w:divBdr>
    </w:div>
    <w:div w:id="1492334157">
      <w:marLeft w:val="0"/>
      <w:marRight w:val="0"/>
      <w:marTop w:val="0"/>
      <w:marBottom w:val="0"/>
      <w:divBdr>
        <w:top w:val="none" w:sz="0" w:space="0" w:color="auto"/>
        <w:left w:val="none" w:sz="0" w:space="0" w:color="auto"/>
        <w:bottom w:val="none" w:sz="0" w:space="0" w:color="auto"/>
        <w:right w:val="none" w:sz="0" w:space="0" w:color="auto"/>
      </w:divBdr>
    </w:div>
    <w:div w:id="1492676319">
      <w:marLeft w:val="0"/>
      <w:marRight w:val="0"/>
      <w:marTop w:val="0"/>
      <w:marBottom w:val="0"/>
      <w:divBdr>
        <w:top w:val="none" w:sz="0" w:space="0" w:color="auto"/>
        <w:left w:val="none" w:sz="0" w:space="0" w:color="auto"/>
        <w:bottom w:val="none" w:sz="0" w:space="0" w:color="auto"/>
        <w:right w:val="none" w:sz="0" w:space="0" w:color="auto"/>
      </w:divBdr>
    </w:div>
    <w:div w:id="1495224552">
      <w:marLeft w:val="0"/>
      <w:marRight w:val="0"/>
      <w:marTop w:val="0"/>
      <w:marBottom w:val="0"/>
      <w:divBdr>
        <w:top w:val="none" w:sz="0" w:space="0" w:color="auto"/>
        <w:left w:val="none" w:sz="0" w:space="0" w:color="auto"/>
        <w:bottom w:val="none" w:sz="0" w:space="0" w:color="auto"/>
        <w:right w:val="none" w:sz="0" w:space="0" w:color="auto"/>
      </w:divBdr>
    </w:div>
    <w:div w:id="1495609349">
      <w:marLeft w:val="0"/>
      <w:marRight w:val="0"/>
      <w:marTop w:val="0"/>
      <w:marBottom w:val="0"/>
      <w:divBdr>
        <w:top w:val="none" w:sz="0" w:space="0" w:color="auto"/>
        <w:left w:val="none" w:sz="0" w:space="0" w:color="auto"/>
        <w:bottom w:val="none" w:sz="0" w:space="0" w:color="auto"/>
        <w:right w:val="none" w:sz="0" w:space="0" w:color="auto"/>
      </w:divBdr>
    </w:div>
    <w:div w:id="1495872729">
      <w:marLeft w:val="0"/>
      <w:marRight w:val="0"/>
      <w:marTop w:val="0"/>
      <w:marBottom w:val="0"/>
      <w:divBdr>
        <w:top w:val="none" w:sz="0" w:space="0" w:color="auto"/>
        <w:left w:val="none" w:sz="0" w:space="0" w:color="auto"/>
        <w:bottom w:val="none" w:sz="0" w:space="0" w:color="auto"/>
        <w:right w:val="none" w:sz="0" w:space="0" w:color="auto"/>
      </w:divBdr>
    </w:div>
    <w:div w:id="1495953973">
      <w:marLeft w:val="0"/>
      <w:marRight w:val="0"/>
      <w:marTop w:val="0"/>
      <w:marBottom w:val="0"/>
      <w:divBdr>
        <w:top w:val="none" w:sz="0" w:space="0" w:color="auto"/>
        <w:left w:val="none" w:sz="0" w:space="0" w:color="auto"/>
        <w:bottom w:val="none" w:sz="0" w:space="0" w:color="auto"/>
        <w:right w:val="none" w:sz="0" w:space="0" w:color="auto"/>
      </w:divBdr>
    </w:div>
    <w:div w:id="1496606054">
      <w:marLeft w:val="0"/>
      <w:marRight w:val="0"/>
      <w:marTop w:val="0"/>
      <w:marBottom w:val="0"/>
      <w:divBdr>
        <w:top w:val="none" w:sz="0" w:space="0" w:color="auto"/>
        <w:left w:val="none" w:sz="0" w:space="0" w:color="auto"/>
        <w:bottom w:val="none" w:sz="0" w:space="0" w:color="auto"/>
        <w:right w:val="none" w:sz="0" w:space="0" w:color="auto"/>
      </w:divBdr>
    </w:div>
    <w:div w:id="1496722260">
      <w:marLeft w:val="0"/>
      <w:marRight w:val="0"/>
      <w:marTop w:val="0"/>
      <w:marBottom w:val="0"/>
      <w:divBdr>
        <w:top w:val="none" w:sz="0" w:space="0" w:color="auto"/>
        <w:left w:val="none" w:sz="0" w:space="0" w:color="auto"/>
        <w:bottom w:val="none" w:sz="0" w:space="0" w:color="auto"/>
        <w:right w:val="none" w:sz="0" w:space="0" w:color="auto"/>
      </w:divBdr>
    </w:div>
    <w:div w:id="1497307715">
      <w:marLeft w:val="0"/>
      <w:marRight w:val="0"/>
      <w:marTop w:val="0"/>
      <w:marBottom w:val="0"/>
      <w:divBdr>
        <w:top w:val="none" w:sz="0" w:space="0" w:color="auto"/>
        <w:left w:val="none" w:sz="0" w:space="0" w:color="auto"/>
        <w:bottom w:val="none" w:sz="0" w:space="0" w:color="auto"/>
        <w:right w:val="none" w:sz="0" w:space="0" w:color="auto"/>
      </w:divBdr>
    </w:div>
    <w:div w:id="1498613512">
      <w:marLeft w:val="0"/>
      <w:marRight w:val="0"/>
      <w:marTop w:val="0"/>
      <w:marBottom w:val="0"/>
      <w:divBdr>
        <w:top w:val="none" w:sz="0" w:space="0" w:color="auto"/>
        <w:left w:val="none" w:sz="0" w:space="0" w:color="auto"/>
        <w:bottom w:val="none" w:sz="0" w:space="0" w:color="auto"/>
        <w:right w:val="none" w:sz="0" w:space="0" w:color="auto"/>
      </w:divBdr>
      <w:divsChild>
        <w:div w:id="763110078">
          <w:marLeft w:val="0"/>
          <w:marRight w:val="0"/>
          <w:marTop w:val="0"/>
          <w:marBottom w:val="0"/>
          <w:divBdr>
            <w:top w:val="none" w:sz="0" w:space="0" w:color="auto"/>
            <w:left w:val="none" w:sz="0" w:space="0" w:color="auto"/>
            <w:bottom w:val="none" w:sz="0" w:space="0" w:color="auto"/>
            <w:right w:val="none" w:sz="0" w:space="0" w:color="auto"/>
          </w:divBdr>
        </w:div>
      </w:divsChild>
    </w:div>
    <w:div w:id="1498615374">
      <w:marLeft w:val="0"/>
      <w:marRight w:val="0"/>
      <w:marTop w:val="0"/>
      <w:marBottom w:val="0"/>
      <w:divBdr>
        <w:top w:val="none" w:sz="0" w:space="0" w:color="auto"/>
        <w:left w:val="none" w:sz="0" w:space="0" w:color="auto"/>
        <w:bottom w:val="none" w:sz="0" w:space="0" w:color="auto"/>
        <w:right w:val="none" w:sz="0" w:space="0" w:color="auto"/>
      </w:divBdr>
    </w:div>
    <w:div w:id="1499232022">
      <w:marLeft w:val="0"/>
      <w:marRight w:val="0"/>
      <w:marTop w:val="0"/>
      <w:marBottom w:val="0"/>
      <w:divBdr>
        <w:top w:val="none" w:sz="0" w:space="0" w:color="auto"/>
        <w:left w:val="none" w:sz="0" w:space="0" w:color="auto"/>
        <w:bottom w:val="none" w:sz="0" w:space="0" w:color="auto"/>
        <w:right w:val="none" w:sz="0" w:space="0" w:color="auto"/>
      </w:divBdr>
    </w:div>
    <w:div w:id="1501238067">
      <w:marLeft w:val="0"/>
      <w:marRight w:val="0"/>
      <w:marTop w:val="0"/>
      <w:marBottom w:val="0"/>
      <w:divBdr>
        <w:top w:val="none" w:sz="0" w:space="0" w:color="auto"/>
        <w:left w:val="none" w:sz="0" w:space="0" w:color="auto"/>
        <w:bottom w:val="none" w:sz="0" w:space="0" w:color="auto"/>
        <w:right w:val="none" w:sz="0" w:space="0" w:color="auto"/>
      </w:divBdr>
    </w:div>
    <w:div w:id="1501308141">
      <w:marLeft w:val="0"/>
      <w:marRight w:val="0"/>
      <w:marTop w:val="0"/>
      <w:marBottom w:val="0"/>
      <w:divBdr>
        <w:top w:val="none" w:sz="0" w:space="0" w:color="auto"/>
        <w:left w:val="none" w:sz="0" w:space="0" w:color="auto"/>
        <w:bottom w:val="none" w:sz="0" w:space="0" w:color="auto"/>
        <w:right w:val="none" w:sz="0" w:space="0" w:color="auto"/>
      </w:divBdr>
    </w:div>
    <w:div w:id="1501700882">
      <w:marLeft w:val="0"/>
      <w:marRight w:val="0"/>
      <w:marTop w:val="0"/>
      <w:marBottom w:val="0"/>
      <w:divBdr>
        <w:top w:val="none" w:sz="0" w:space="0" w:color="auto"/>
        <w:left w:val="none" w:sz="0" w:space="0" w:color="auto"/>
        <w:bottom w:val="none" w:sz="0" w:space="0" w:color="auto"/>
        <w:right w:val="none" w:sz="0" w:space="0" w:color="auto"/>
      </w:divBdr>
    </w:div>
    <w:div w:id="1504004856">
      <w:marLeft w:val="0"/>
      <w:marRight w:val="0"/>
      <w:marTop w:val="0"/>
      <w:marBottom w:val="0"/>
      <w:divBdr>
        <w:top w:val="none" w:sz="0" w:space="0" w:color="auto"/>
        <w:left w:val="none" w:sz="0" w:space="0" w:color="auto"/>
        <w:bottom w:val="none" w:sz="0" w:space="0" w:color="auto"/>
        <w:right w:val="none" w:sz="0" w:space="0" w:color="auto"/>
      </w:divBdr>
    </w:div>
    <w:div w:id="1505054909">
      <w:marLeft w:val="0"/>
      <w:marRight w:val="0"/>
      <w:marTop w:val="0"/>
      <w:marBottom w:val="0"/>
      <w:divBdr>
        <w:top w:val="none" w:sz="0" w:space="0" w:color="auto"/>
        <w:left w:val="none" w:sz="0" w:space="0" w:color="auto"/>
        <w:bottom w:val="none" w:sz="0" w:space="0" w:color="auto"/>
        <w:right w:val="none" w:sz="0" w:space="0" w:color="auto"/>
      </w:divBdr>
    </w:div>
    <w:div w:id="1505170625">
      <w:marLeft w:val="0"/>
      <w:marRight w:val="0"/>
      <w:marTop w:val="0"/>
      <w:marBottom w:val="0"/>
      <w:divBdr>
        <w:top w:val="none" w:sz="0" w:space="0" w:color="auto"/>
        <w:left w:val="none" w:sz="0" w:space="0" w:color="auto"/>
        <w:bottom w:val="none" w:sz="0" w:space="0" w:color="auto"/>
        <w:right w:val="none" w:sz="0" w:space="0" w:color="auto"/>
      </w:divBdr>
    </w:div>
    <w:div w:id="1505239784">
      <w:marLeft w:val="0"/>
      <w:marRight w:val="0"/>
      <w:marTop w:val="0"/>
      <w:marBottom w:val="0"/>
      <w:divBdr>
        <w:top w:val="none" w:sz="0" w:space="0" w:color="auto"/>
        <w:left w:val="none" w:sz="0" w:space="0" w:color="auto"/>
        <w:bottom w:val="none" w:sz="0" w:space="0" w:color="auto"/>
        <w:right w:val="none" w:sz="0" w:space="0" w:color="auto"/>
      </w:divBdr>
    </w:div>
    <w:div w:id="1505438096">
      <w:marLeft w:val="0"/>
      <w:marRight w:val="0"/>
      <w:marTop w:val="0"/>
      <w:marBottom w:val="0"/>
      <w:divBdr>
        <w:top w:val="none" w:sz="0" w:space="0" w:color="auto"/>
        <w:left w:val="none" w:sz="0" w:space="0" w:color="auto"/>
        <w:bottom w:val="none" w:sz="0" w:space="0" w:color="auto"/>
        <w:right w:val="none" w:sz="0" w:space="0" w:color="auto"/>
      </w:divBdr>
    </w:div>
    <w:div w:id="1505785150">
      <w:marLeft w:val="0"/>
      <w:marRight w:val="0"/>
      <w:marTop w:val="0"/>
      <w:marBottom w:val="0"/>
      <w:divBdr>
        <w:top w:val="none" w:sz="0" w:space="0" w:color="auto"/>
        <w:left w:val="none" w:sz="0" w:space="0" w:color="auto"/>
        <w:bottom w:val="none" w:sz="0" w:space="0" w:color="auto"/>
        <w:right w:val="none" w:sz="0" w:space="0" w:color="auto"/>
      </w:divBdr>
    </w:div>
    <w:div w:id="1505899684">
      <w:marLeft w:val="0"/>
      <w:marRight w:val="0"/>
      <w:marTop w:val="0"/>
      <w:marBottom w:val="0"/>
      <w:divBdr>
        <w:top w:val="none" w:sz="0" w:space="0" w:color="auto"/>
        <w:left w:val="none" w:sz="0" w:space="0" w:color="auto"/>
        <w:bottom w:val="none" w:sz="0" w:space="0" w:color="auto"/>
        <w:right w:val="none" w:sz="0" w:space="0" w:color="auto"/>
      </w:divBdr>
    </w:div>
    <w:div w:id="1506749676">
      <w:marLeft w:val="0"/>
      <w:marRight w:val="0"/>
      <w:marTop w:val="0"/>
      <w:marBottom w:val="0"/>
      <w:divBdr>
        <w:top w:val="none" w:sz="0" w:space="0" w:color="auto"/>
        <w:left w:val="none" w:sz="0" w:space="0" w:color="auto"/>
        <w:bottom w:val="none" w:sz="0" w:space="0" w:color="auto"/>
        <w:right w:val="none" w:sz="0" w:space="0" w:color="auto"/>
      </w:divBdr>
    </w:div>
    <w:div w:id="1507087039">
      <w:marLeft w:val="0"/>
      <w:marRight w:val="0"/>
      <w:marTop w:val="0"/>
      <w:marBottom w:val="0"/>
      <w:divBdr>
        <w:top w:val="none" w:sz="0" w:space="0" w:color="auto"/>
        <w:left w:val="none" w:sz="0" w:space="0" w:color="auto"/>
        <w:bottom w:val="none" w:sz="0" w:space="0" w:color="auto"/>
        <w:right w:val="none" w:sz="0" w:space="0" w:color="auto"/>
      </w:divBdr>
    </w:div>
    <w:div w:id="1507473661">
      <w:marLeft w:val="0"/>
      <w:marRight w:val="0"/>
      <w:marTop w:val="0"/>
      <w:marBottom w:val="0"/>
      <w:divBdr>
        <w:top w:val="none" w:sz="0" w:space="0" w:color="auto"/>
        <w:left w:val="none" w:sz="0" w:space="0" w:color="auto"/>
        <w:bottom w:val="none" w:sz="0" w:space="0" w:color="auto"/>
        <w:right w:val="none" w:sz="0" w:space="0" w:color="auto"/>
      </w:divBdr>
    </w:div>
    <w:div w:id="1508667676">
      <w:marLeft w:val="0"/>
      <w:marRight w:val="0"/>
      <w:marTop w:val="0"/>
      <w:marBottom w:val="0"/>
      <w:divBdr>
        <w:top w:val="none" w:sz="0" w:space="0" w:color="auto"/>
        <w:left w:val="none" w:sz="0" w:space="0" w:color="auto"/>
        <w:bottom w:val="none" w:sz="0" w:space="0" w:color="auto"/>
        <w:right w:val="none" w:sz="0" w:space="0" w:color="auto"/>
      </w:divBdr>
    </w:div>
    <w:div w:id="1509296862">
      <w:marLeft w:val="0"/>
      <w:marRight w:val="0"/>
      <w:marTop w:val="0"/>
      <w:marBottom w:val="0"/>
      <w:divBdr>
        <w:top w:val="none" w:sz="0" w:space="0" w:color="auto"/>
        <w:left w:val="none" w:sz="0" w:space="0" w:color="auto"/>
        <w:bottom w:val="none" w:sz="0" w:space="0" w:color="auto"/>
        <w:right w:val="none" w:sz="0" w:space="0" w:color="auto"/>
      </w:divBdr>
    </w:div>
    <w:div w:id="1509517165">
      <w:marLeft w:val="0"/>
      <w:marRight w:val="0"/>
      <w:marTop w:val="0"/>
      <w:marBottom w:val="0"/>
      <w:divBdr>
        <w:top w:val="none" w:sz="0" w:space="0" w:color="auto"/>
        <w:left w:val="none" w:sz="0" w:space="0" w:color="auto"/>
        <w:bottom w:val="none" w:sz="0" w:space="0" w:color="auto"/>
        <w:right w:val="none" w:sz="0" w:space="0" w:color="auto"/>
      </w:divBdr>
    </w:div>
    <w:div w:id="1511868512">
      <w:marLeft w:val="0"/>
      <w:marRight w:val="0"/>
      <w:marTop w:val="0"/>
      <w:marBottom w:val="0"/>
      <w:divBdr>
        <w:top w:val="none" w:sz="0" w:space="0" w:color="auto"/>
        <w:left w:val="none" w:sz="0" w:space="0" w:color="auto"/>
        <w:bottom w:val="none" w:sz="0" w:space="0" w:color="auto"/>
        <w:right w:val="none" w:sz="0" w:space="0" w:color="auto"/>
      </w:divBdr>
    </w:div>
    <w:div w:id="1513297145">
      <w:marLeft w:val="0"/>
      <w:marRight w:val="0"/>
      <w:marTop w:val="0"/>
      <w:marBottom w:val="0"/>
      <w:divBdr>
        <w:top w:val="none" w:sz="0" w:space="0" w:color="auto"/>
        <w:left w:val="none" w:sz="0" w:space="0" w:color="auto"/>
        <w:bottom w:val="none" w:sz="0" w:space="0" w:color="auto"/>
        <w:right w:val="none" w:sz="0" w:space="0" w:color="auto"/>
      </w:divBdr>
    </w:div>
    <w:div w:id="1515073879">
      <w:marLeft w:val="0"/>
      <w:marRight w:val="0"/>
      <w:marTop w:val="0"/>
      <w:marBottom w:val="0"/>
      <w:divBdr>
        <w:top w:val="none" w:sz="0" w:space="0" w:color="auto"/>
        <w:left w:val="none" w:sz="0" w:space="0" w:color="auto"/>
        <w:bottom w:val="none" w:sz="0" w:space="0" w:color="auto"/>
        <w:right w:val="none" w:sz="0" w:space="0" w:color="auto"/>
      </w:divBdr>
    </w:div>
    <w:div w:id="1516505131">
      <w:marLeft w:val="0"/>
      <w:marRight w:val="0"/>
      <w:marTop w:val="0"/>
      <w:marBottom w:val="0"/>
      <w:divBdr>
        <w:top w:val="none" w:sz="0" w:space="0" w:color="auto"/>
        <w:left w:val="none" w:sz="0" w:space="0" w:color="auto"/>
        <w:bottom w:val="none" w:sz="0" w:space="0" w:color="auto"/>
        <w:right w:val="none" w:sz="0" w:space="0" w:color="auto"/>
      </w:divBdr>
    </w:div>
    <w:div w:id="1520854422">
      <w:marLeft w:val="0"/>
      <w:marRight w:val="0"/>
      <w:marTop w:val="0"/>
      <w:marBottom w:val="0"/>
      <w:divBdr>
        <w:top w:val="none" w:sz="0" w:space="0" w:color="auto"/>
        <w:left w:val="none" w:sz="0" w:space="0" w:color="auto"/>
        <w:bottom w:val="none" w:sz="0" w:space="0" w:color="auto"/>
        <w:right w:val="none" w:sz="0" w:space="0" w:color="auto"/>
      </w:divBdr>
    </w:div>
    <w:div w:id="1522620040">
      <w:marLeft w:val="0"/>
      <w:marRight w:val="0"/>
      <w:marTop w:val="0"/>
      <w:marBottom w:val="0"/>
      <w:divBdr>
        <w:top w:val="none" w:sz="0" w:space="0" w:color="auto"/>
        <w:left w:val="none" w:sz="0" w:space="0" w:color="auto"/>
        <w:bottom w:val="none" w:sz="0" w:space="0" w:color="auto"/>
        <w:right w:val="none" w:sz="0" w:space="0" w:color="auto"/>
      </w:divBdr>
    </w:div>
    <w:div w:id="1523084947">
      <w:marLeft w:val="0"/>
      <w:marRight w:val="0"/>
      <w:marTop w:val="0"/>
      <w:marBottom w:val="0"/>
      <w:divBdr>
        <w:top w:val="none" w:sz="0" w:space="0" w:color="auto"/>
        <w:left w:val="none" w:sz="0" w:space="0" w:color="auto"/>
        <w:bottom w:val="none" w:sz="0" w:space="0" w:color="auto"/>
        <w:right w:val="none" w:sz="0" w:space="0" w:color="auto"/>
      </w:divBdr>
    </w:div>
    <w:div w:id="1525634867">
      <w:marLeft w:val="0"/>
      <w:marRight w:val="0"/>
      <w:marTop w:val="0"/>
      <w:marBottom w:val="0"/>
      <w:divBdr>
        <w:top w:val="none" w:sz="0" w:space="0" w:color="auto"/>
        <w:left w:val="none" w:sz="0" w:space="0" w:color="auto"/>
        <w:bottom w:val="none" w:sz="0" w:space="0" w:color="auto"/>
        <w:right w:val="none" w:sz="0" w:space="0" w:color="auto"/>
      </w:divBdr>
      <w:divsChild>
        <w:div w:id="219364779">
          <w:marLeft w:val="0"/>
          <w:marRight w:val="0"/>
          <w:marTop w:val="0"/>
          <w:marBottom w:val="0"/>
          <w:divBdr>
            <w:top w:val="none" w:sz="0" w:space="0" w:color="auto"/>
            <w:left w:val="none" w:sz="0" w:space="0" w:color="auto"/>
            <w:bottom w:val="none" w:sz="0" w:space="0" w:color="auto"/>
            <w:right w:val="none" w:sz="0" w:space="0" w:color="auto"/>
          </w:divBdr>
        </w:div>
      </w:divsChild>
    </w:div>
    <w:div w:id="1526090470">
      <w:marLeft w:val="0"/>
      <w:marRight w:val="0"/>
      <w:marTop w:val="0"/>
      <w:marBottom w:val="0"/>
      <w:divBdr>
        <w:top w:val="none" w:sz="0" w:space="0" w:color="auto"/>
        <w:left w:val="none" w:sz="0" w:space="0" w:color="auto"/>
        <w:bottom w:val="none" w:sz="0" w:space="0" w:color="auto"/>
        <w:right w:val="none" w:sz="0" w:space="0" w:color="auto"/>
      </w:divBdr>
    </w:div>
    <w:div w:id="1526559028">
      <w:marLeft w:val="0"/>
      <w:marRight w:val="0"/>
      <w:marTop w:val="0"/>
      <w:marBottom w:val="0"/>
      <w:divBdr>
        <w:top w:val="none" w:sz="0" w:space="0" w:color="auto"/>
        <w:left w:val="none" w:sz="0" w:space="0" w:color="auto"/>
        <w:bottom w:val="none" w:sz="0" w:space="0" w:color="auto"/>
        <w:right w:val="none" w:sz="0" w:space="0" w:color="auto"/>
      </w:divBdr>
    </w:div>
    <w:div w:id="1526747487">
      <w:marLeft w:val="0"/>
      <w:marRight w:val="0"/>
      <w:marTop w:val="0"/>
      <w:marBottom w:val="0"/>
      <w:divBdr>
        <w:top w:val="none" w:sz="0" w:space="0" w:color="auto"/>
        <w:left w:val="none" w:sz="0" w:space="0" w:color="auto"/>
        <w:bottom w:val="none" w:sz="0" w:space="0" w:color="auto"/>
        <w:right w:val="none" w:sz="0" w:space="0" w:color="auto"/>
      </w:divBdr>
    </w:div>
    <w:div w:id="1528329534">
      <w:marLeft w:val="0"/>
      <w:marRight w:val="0"/>
      <w:marTop w:val="0"/>
      <w:marBottom w:val="0"/>
      <w:divBdr>
        <w:top w:val="none" w:sz="0" w:space="0" w:color="auto"/>
        <w:left w:val="none" w:sz="0" w:space="0" w:color="auto"/>
        <w:bottom w:val="none" w:sz="0" w:space="0" w:color="auto"/>
        <w:right w:val="none" w:sz="0" w:space="0" w:color="auto"/>
      </w:divBdr>
      <w:divsChild>
        <w:div w:id="398021070">
          <w:marLeft w:val="0"/>
          <w:marRight w:val="0"/>
          <w:marTop w:val="0"/>
          <w:marBottom w:val="0"/>
          <w:divBdr>
            <w:top w:val="none" w:sz="0" w:space="0" w:color="auto"/>
            <w:left w:val="none" w:sz="0" w:space="0" w:color="auto"/>
            <w:bottom w:val="none" w:sz="0" w:space="0" w:color="auto"/>
            <w:right w:val="none" w:sz="0" w:space="0" w:color="auto"/>
          </w:divBdr>
        </w:div>
      </w:divsChild>
    </w:div>
    <w:div w:id="1529371348">
      <w:marLeft w:val="0"/>
      <w:marRight w:val="0"/>
      <w:marTop w:val="0"/>
      <w:marBottom w:val="0"/>
      <w:divBdr>
        <w:top w:val="none" w:sz="0" w:space="0" w:color="auto"/>
        <w:left w:val="none" w:sz="0" w:space="0" w:color="auto"/>
        <w:bottom w:val="none" w:sz="0" w:space="0" w:color="auto"/>
        <w:right w:val="none" w:sz="0" w:space="0" w:color="auto"/>
      </w:divBdr>
    </w:div>
    <w:div w:id="1529954681">
      <w:marLeft w:val="0"/>
      <w:marRight w:val="0"/>
      <w:marTop w:val="0"/>
      <w:marBottom w:val="0"/>
      <w:divBdr>
        <w:top w:val="none" w:sz="0" w:space="0" w:color="auto"/>
        <w:left w:val="none" w:sz="0" w:space="0" w:color="auto"/>
        <w:bottom w:val="none" w:sz="0" w:space="0" w:color="auto"/>
        <w:right w:val="none" w:sz="0" w:space="0" w:color="auto"/>
      </w:divBdr>
    </w:div>
    <w:div w:id="1530995244">
      <w:marLeft w:val="0"/>
      <w:marRight w:val="0"/>
      <w:marTop w:val="0"/>
      <w:marBottom w:val="0"/>
      <w:divBdr>
        <w:top w:val="none" w:sz="0" w:space="0" w:color="auto"/>
        <w:left w:val="none" w:sz="0" w:space="0" w:color="auto"/>
        <w:bottom w:val="none" w:sz="0" w:space="0" w:color="auto"/>
        <w:right w:val="none" w:sz="0" w:space="0" w:color="auto"/>
      </w:divBdr>
    </w:div>
    <w:div w:id="1531718852">
      <w:marLeft w:val="0"/>
      <w:marRight w:val="0"/>
      <w:marTop w:val="0"/>
      <w:marBottom w:val="0"/>
      <w:divBdr>
        <w:top w:val="none" w:sz="0" w:space="0" w:color="auto"/>
        <w:left w:val="none" w:sz="0" w:space="0" w:color="auto"/>
        <w:bottom w:val="none" w:sz="0" w:space="0" w:color="auto"/>
        <w:right w:val="none" w:sz="0" w:space="0" w:color="auto"/>
      </w:divBdr>
    </w:div>
    <w:div w:id="1532574742">
      <w:marLeft w:val="0"/>
      <w:marRight w:val="0"/>
      <w:marTop w:val="0"/>
      <w:marBottom w:val="0"/>
      <w:divBdr>
        <w:top w:val="none" w:sz="0" w:space="0" w:color="auto"/>
        <w:left w:val="none" w:sz="0" w:space="0" w:color="auto"/>
        <w:bottom w:val="none" w:sz="0" w:space="0" w:color="auto"/>
        <w:right w:val="none" w:sz="0" w:space="0" w:color="auto"/>
      </w:divBdr>
    </w:div>
    <w:div w:id="1532642445">
      <w:marLeft w:val="0"/>
      <w:marRight w:val="0"/>
      <w:marTop w:val="0"/>
      <w:marBottom w:val="0"/>
      <w:divBdr>
        <w:top w:val="none" w:sz="0" w:space="0" w:color="auto"/>
        <w:left w:val="none" w:sz="0" w:space="0" w:color="auto"/>
        <w:bottom w:val="none" w:sz="0" w:space="0" w:color="auto"/>
        <w:right w:val="none" w:sz="0" w:space="0" w:color="auto"/>
      </w:divBdr>
    </w:div>
    <w:div w:id="1532953865">
      <w:marLeft w:val="0"/>
      <w:marRight w:val="0"/>
      <w:marTop w:val="0"/>
      <w:marBottom w:val="0"/>
      <w:divBdr>
        <w:top w:val="none" w:sz="0" w:space="0" w:color="auto"/>
        <w:left w:val="none" w:sz="0" w:space="0" w:color="auto"/>
        <w:bottom w:val="none" w:sz="0" w:space="0" w:color="auto"/>
        <w:right w:val="none" w:sz="0" w:space="0" w:color="auto"/>
      </w:divBdr>
    </w:div>
    <w:div w:id="1533616014">
      <w:marLeft w:val="0"/>
      <w:marRight w:val="0"/>
      <w:marTop w:val="0"/>
      <w:marBottom w:val="0"/>
      <w:divBdr>
        <w:top w:val="none" w:sz="0" w:space="0" w:color="auto"/>
        <w:left w:val="none" w:sz="0" w:space="0" w:color="auto"/>
        <w:bottom w:val="none" w:sz="0" w:space="0" w:color="auto"/>
        <w:right w:val="none" w:sz="0" w:space="0" w:color="auto"/>
      </w:divBdr>
    </w:div>
    <w:div w:id="1533767382">
      <w:marLeft w:val="0"/>
      <w:marRight w:val="0"/>
      <w:marTop w:val="0"/>
      <w:marBottom w:val="0"/>
      <w:divBdr>
        <w:top w:val="none" w:sz="0" w:space="0" w:color="auto"/>
        <w:left w:val="none" w:sz="0" w:space="0" w:color="auto"/>
        <w:bottom w:val="none" w:sz="0" w:space="0" w:color="auto"/>
        <w:right w:val="none" w:sz="0" w:space="0" w:color="auto"/>
      </w:divBdr>
    </w:div>
    <w:div w:id="1533806576">
      <w:marLeft w:val="0"/>
      <w:marRight w:val="0"/>
      <w:marTop w:val="0"/>
      <w:marBottom w:val="0"/>
      <w:divBdr>
        <w:top w:val="none" w:sz="0" w:space="0" w:color="auto"/>
        <w:left w:val="none" w:sz="0" w:space="0" w:color="auto"/>
        <w:bottom w:val="none" w:sz="0" w:space="0" w:color="auto"/>
        <w:right w:val="none" w:sz="0" w:space="0" w:color="auto"/>
      </w:divBdr>
    </w:div>
    <w:div w:id="1535075961">
      <w:marLeft w:val="0"/>
      <w:marRight w:val="0"/>
      <w:marTop w:val="0"/>
      <w:marBottom w:val="0"/>
      <w:divBdr>
        <w:top w:val="none" w:sz="0" w:space="0" w:color="auto"/>
        <w:left w:val="none" w:sz="0" w:space="0" w:color="auto"/>
        <w:bottom w:val="none" w:sz="0" w:space="0" w:color="auto"/>
        <w:right w:val="none" w:sz="0" w:space="0" w:color="auto"/>
      </w:divBdr>
    </w:div>
    <w:div w:id="1536113614">
      <w:marLeft w:val="0"/>
      <w:marRight w:val="0"/>
      <w:marTop w:val="0"/>
      <w:marBottom w:val="240"/>
      <w:divBdr>
        <w:top w:val="none" w:sz="0" w:space="0" w:color="auto"/>
        <w:left w:val="none" w:sz="0" w:space="0" w:color="auto"/>
        <w:bottom w:val="none" w:sz="0" w:space="0" w:color="auto"/>
        <w:right w:val="none" w:sz="0" w:space="0" w:color="auto"/>
      </w:divBdr>
    </w:div>
    <w:div w:id="1536116601">
      <w:marLeft w:val="0"/>
      <w:marRight w:val="0"/>
      <w:marTop w:val="0"/>
      <w:marBottom w:val="0"/>
      <w:divBdr>
        <w:top w:val="none" w:sz="0" w:space="0" w:color="auto"/>
        <w:left w:val="none" w:sz="0" w:space="0" w:color="auto"/>
        <w:bottom w:val="none" w:sz="0" w:space="0" w:color="auto"/>
        <w:right w:val="none" w:sz="0" w:space="0" w:color="auto"/>
      </w:divBdr>
    </w:div>
    <w:div w:id="1536230779">
      <w:marLeft w:val="0"/>
      <w:marRight w:val="0"/>
      <w:marTop w:val="0"/>
      <w:marBottom w:val="0"/>
      <w:divBdr>
        <w:top w:val="none" w:sz="0" w:space="0" w:color="auto"/>
        <w:left w:val="none" w:sz="0" w:space="0" w:color="auto"/>
        <w:bottom w:val="none" w:sz="0" w:space="0" w:color="auto"/>
        <w:right w:val="none" w:sz="0" w:space="0" w:color="auto"/>
      </w:divBdr>
    </w:div>
    <w:div w:id="1538200431">
      <w:marLeft w:val="0"/>
      <w:marRight w:val="0"/>
      <w:marTop w:val="0"/>
      <w:marBottom w:val="0"/>
      <w:divBdr>
        <w:top w:val="none" w:sz="0" w:space="0" w:color="auto"/>
        <w:left w:val="none" w:sz="0" w:space="0" w:color="auto"/>
        <w:bottom w:val="none" w:sz="0" w:space="0" w:color="auto"/>
        <w:right w:val="none" w:sz="0" w:space="0" w:color="auto"/>
      </w:divBdr>
    </w:div>
    <w:div w:id="1538464487">
      <w:marLeft w:val="0"/>
      <w:marRight w:val="0"/>
      <w:marTop w:val="0"/>
      <w:marBottom w:val="0"/>
      <w:divBdr>
        <w:top w:val="none" w:sz="0" w:space="0" w:color="auto"/>
        <w:left w:val="none" w:sz="0" w:space="0" w:color="auto"/>
        <w:bottom w:val="none" w:sz="0" w:space="0" w:color="auto"/>
        <w:right w:val="none" w:sz="0" w:space="0" w:color="auto"/>
      </w:divBdr>
    </w:div>
    <w:div w:id="1539514261">
      <w:marLeft w:val="0"/>
      <w:marRight w:val="0"/>
      <w:marTop w:val="0"/>
      <w:marBottom w:val="0"/>
      <w:divBdr>
        <w:top w:val="none" w:sz="0" w:space="0" w:color="auto"/>
        <w:left w:val="none" w:sz="0" w:space="0" w:color="auto"/>
        <w:bottom w:val="none" w:sz="0" w:space="0" w:color="auto"/>
        <w:right w:val="none" w:sz="0" w:space="0" w:color="auto"/>
      </w:divBdr>
    </w:div>
    <w:div w:id="1539589168">
      <w:marLeft w:val="0"/>
      <w:marRight w:val="0"/>
      <w:marTop w:val="0"/>
      <w:marBottom w:val="0"/>
      <w:divBdr>
        <w:top w:val="none" w:sz="0" w:space="0" w:color="auto"/>
        <w:left w:val="none" w:sz="0" w:space="0" w:color="auto"/>
        <w:bottom w:val="none" w:sz="0" w:space="0" w:color="auto"/>
        <w:right w:val="none" w:sz="0" w:space="0" w:color="auto"/>
      </w:divBdr>
    </w:div>
    <w:div w:id="1539774451">
      <w:marLeft w:val="0"/>
      <w:marRight w:val="0"/>
      <w:marTop w:val="0"/>
      <w:marBottom w:val="0"/>
      <w:divBdr>
        <w:top w:val="none" w:sz="0" w:space="0" w:color="auto"/>
        <w:left w:val="none" w:sz="0" w:space="0" w:color="auto"/>
        <w:bottom w:val="none" w:sz="0" w:space="0" w:color="auto"/>
        <w:right w:val="none" w:sz="0" w:space="0" w:color="auto"/>
      </w:divBdr>
    </w:div>
    <w:div w:id="1540438981">
      <w:marLeft w:val="0"/>
      <w:marRight w:val="0"/>
      <w:marTop w:val="0"/>
      <w:marBottom w:val="0"/>
      <w:divBdr>
        <w:top w:val="none" w:sz="0" w:space="0" w:color="auto"/>
        <w:left w:val="none" w:sz="0" w:space="0" w:color="auto"/>
        <w:bottom w:val="none" w:sz="0" w:space="0" w:color="auto"/>
        <w:right w:val="none" w:sz="0" w:space="0" w:color="auto"/>
      </w:divBdr>
    </w:div>
    <w:div w:id="1540774589">
      <w:marLeft w:val="0"/>
      <w:marRight w:val="0"/>
      <w:marTop w:val="0"/>
      <w:marBottom w:val="0"/>
      <w:divBdr>
        <w:top w:val="none" w:sz="0" w:space="0" w:color="auto"/>
        <w:left w:val="none" w:sz="0" w:space="0" w:color="auto"/>
        <w:bottom w:val="none" w:sz="0" w:space="0" w:color="auto"/>
        <w:right w:val="none" w:sz="0" w:space="0" w:color="auto"/>
      </w:divBdr>
    </w:div>
    <w:div w:id="1541474190">
      <w:marLeft w:val="0"/>
      <w:marRight w:val="0"/>
      <w:marTop w:val="0"/>
      <w:marBottom w:val="0"/>
      <w:divBdr>
        <w:top w:val="none" w:sz="0" w:space="0" w:color="auto"/>
        <w:left w:val="none" w:sz="0" w:space="0" w:color="auto"/>
        <w:bottom w:val="none" w:sz="0" w:space="0" w:color="auto"/>
        <w:right w:val="none" w:sz="0" w:space="0" w:color="auto"/>
      </w:divBdr>
    </w:div>
    <w:div w:id="1542013982">
      <w:marLeft w:val="0"/>
      <w:marRight w:val="0"/>
      <w:marTop w:val="0"/>
      <w:marBottom w:val="0"/>
      <w:divBdr>
        <w:top w:val="none" w:sz="0" w:space="0" w:color="auto"/>
        <w:left w:val="none" w:sz="0" w:space="0" w:color="auto"/>
        <w:bottom w:val="none" w:sz="0" w:space="0" w:color="auto"/>
        <w:right w:val="none" w:sz="0" w:space="0" w:color="auto"/>
      </w:divBdr>
    </w:div>
    <w:div w:id="1543522090">
      <w:marLeft w:val="0"/>
      <w:marRight w:val="0"/>
      <w:marTop w:val="0"/>
      <w:marBottom w:val="0"/>
      <w:divBdr>
        <w:top w:val="none" w:sz="0" w:space="0" w:color="auto"/>
        <w:left w:val="none" w:sz="0" w:space="0" w:color="auto"/>
        <w:bottom w:val="none" w:sz="0" w:space="0" w:color="auto"/>
        <w:right w:val="none" w:sz="0" w:space="0" w:color="auto"/>
      </w:divBdr>
    </w:div>
    <w:div w:id="1543715097">
      <w:marLeft w:val="0"/>
      <w:marRight w:val="0"/>
      <w:marTop w:val="100"/>
      <w:marBottom w:val="100"/>
      <w:divBdr>
        <w:top w:val="none" w:sz="0" w:space="0" w:color="auto"/>
        <w:left w:val="none" w:sz="0" w:space="0" w:color="auto"/>
        <w:bottom w:val="none" w:sz="0" w:space="0" w:color="auto"/>
        <w:right w:val="none" w:sz="0" w:space="0" w:color="auto"/>
      </w:divBdr>
      <w:divsChild>
        <w:div w:id="1265846657">
          <w:marLeft w:val="0"/>
          <w:marRight w:val="0"/>
          <w:marTop w:val="0"/>
          <w:marBottom w:val="0"/>
          <w:divBdr>
            <w:top w:val="none" w:sz="0" w:space="0" w:color="auto"/>
            <w:left w:val="none" w:sz="0" w:space="0" w:color="auto"/>
            <w:bottom w:val="none" w:sz="0" w:space="0" w:color="auto"/>
            <w:right w:val="none" w:sz="0" w:space="0" w:color="auto"/>
          </w:divBdr>
        </w:div>
        <w:div w:id="1722513073">
          <w:marLeft w:val="0"/>
          <w:marRight w:val="0"/>
          <w:marTop w:val="0"/>
          <w:marBottom w:val="0"/>
          <w:divBdr>
            <w:top w:val="none" w:sz="0" w:space="0" w:color="auto"/>
            <w:left w:val="none" w:sz="0" w:space="0" w:color="auto"/>
            <w:bottom w:val="none" w:sz="0" w:space="0" w:color="auto"/>
            <w:right w:val="none" w:sz="0" w:space="0" w:color="auto"/>
          </w:divBdr>
        </w:div>
        <w:div w:id="323628723">
          <w:marLeft w:val="0"/>
          <w:marRight w:val="0"/>
          <w:marTop w:val="0"/>
          <w:marBottom w:val="0"/>
          <w:divBdr>
            <w:top w:val="none" w:sz="0" w:space="0" w:color="auto"/>
            <w:left w:val="none" w:sz="0" w:space="0" w:color="auto"/>
            <w:bottom w:val="none" w:sz="0" w:space="0" w:color="auto"/>
            <w:right w:val="none" w:sz="0" w:space="0" w:color="auto"/>
          </w:divBdr>
        </w:div>
        <w:div w:id="704253427">
          <w:marLeft w:val="0"/>
          <w:marRight w:val="0"/>
          <w:marTop w:val="0"/>
          <w:marBottom w:val="0"/>
          <w:divBdr>
            <w:top w:val="none" w:sz="0" w:space="0" w:color="auto"/>
            <w:left w:val="none" w:sz="0" w:space="0" w:color="auto"/>
            <w:bottom w:val="none" w:sz="0" w:space="0" w:color="auto"/>
            <w:right w:val="none" w:sz="0" w:space="0" w:color="auto"/>
          </w:divBdr>
        </w:div>
      </w:divsChild>
    </w:div>
    <w:div w:id="1544055608">
      <w:marLeft w:val="0"/>
      <w:marRight w:val="0"/>
      <w:marTop w:val="0"/>
      <w:marBottom w:val="0"/>
      <w:divBdr>
        <w:top w:val="none" w:sz="0" w:space="0" w:color="auto"/>
        <w:left w:val="none" w:sz="0" w:space="0" w:color="auto"/>
        <w:bottom w:val="none" w:sz="0" w:space="0" w:color="auto"/>
        <w:right w:val="none" w:sz="0" w:space="0" w:color="auto"/>
      </w:divBdr>
    </w:div>
    <w:div w:id="1545294065">
      <w:marLeft w:val="0"/>
      <w:marRight w:val="0"/>
      <w:marTop w:val="0"/>
      <w:marBottom w:val="0"/>
      <w:divBdr>
        <w:top w:val="none" w:sz="0" w:space="0" w:color="auto"/>
        <w:left w:val="none" w:sz="0" w:space="0" w:color="auto"/>
        <w:bottom w:val="none" w:sz="0" w:space="0" w:color="auto"/>
        <w:right w:val="none" w:sz="0" w:space="0" w:color="auto"/>
      </w:divBdr>
      <w:divsChild>
        <w:div w:id="27030835">
          <w:marLeft w:val="0"/>
          <w:marRight w:val="0"/>
          <w:marTop w:val="0"/>
          <w:marBottom w:val="0"/>
          <w:divBdr>
            <w:top w:val="none" w:sz="0" w:space="0" w:color="auto"/>
            <w:left w:val="none" w:sz="0" w:space="0" w:color="auto"/>
            <w:bottom w:val="none" w:sz="0" w:space="0" w:color="auto"/>
            <w:right w:val="none" w:sz="0" w:space="0" w:color="auto"/>
          </w:divBdr>
        </w:div>
      </w:divsChild>
    </w:div>
    <w:div w:id="1545754814">
      <w:marLeft w:val="0"/>
      <w:marRight w:val="0"/>
      <w:marTop w:val="0"/>
      <w:marBottom w:val="0"/>
      <w:divBdr>
        <w:top w:val="none" w:sz="0" w:space="0" w:color="auto"/>
        <w:left w:val="none" w:sz="0" w:space="0" w:color="auto"/>
        <w:bottom w:val="none" w:sz="0" w:space="0" w:color="auto"/>
        <w:right w:val="none" w:sz="0" w:space="0" w:color="auto"/>
      </w:divBdr>
    </w:div>
    <w:div w:id="1546288990">
      <w:marLeft w:val="0"/>
      <w:marRight w:val="0"/>
      <w:marTop w:val="0"/>
      <w:marBottom w:val="0"/>
      <w:divBdr>
        <w:top w:val="none" w:sz="0" w:space="0" w:color="auto"/>
        <w:left w:val="none" w:sz="0" w:space="0" w:color="auto"/>
        <w:bottom w:val="none" w:sz="0" w:space="0" w:color="auto"/>
        <w:right w:val="none" w:sz="0" w:space="0" w:color="auto"/>
      </w:divBdr>
    </w:div>
    <w:div w:id="1546596231">
      <w:marLeft w:val="0"/>
      <w:marRight w:val="0"/>
      <w:marTop w:val="0"/>
      <w:marBottom w:val="0"/>
      <w:divBdr>
        <w:top w:val="none" w:sz="0" w:space="0" w:color="auto"/>
        <w:left w:val="none" w:sz="0" w:space="0" w:color="auto"/>
        <w:bottom w:val="none" w:sz="0" w:space="0" w:color="auto"/>
        <w:right w:val="none" w:sz="0" w:space="0" w:color="auto"/>
      </w:divBdr>
    </w:div>
    <w:div w:id="1546602491">
      <w:marLeft w:val="0"/>
      <w:marRight w:val="0"/>
      <w:marTop w:val="0"/>
      <w:marBottom w:val="0"/>
      <w:divBdr>
        <w:top w:val="none" w:sz="0" w:space="0" w:color="auto"/>
        <w:left w:val="none" w:sz="0" w:space="0" w:color="auto"/>
        <w:bottom w:val="none" w:sz="0" w:space="0" w:color="auto"/>
        <w:right w:val="none" w:sz="0" w:space="0" w:color="auto"/>
      </w:divBdr>
    </w:div>
    <w:div w:id="1548759619">
      <w:marLeft w:val="0"/>
      <w:marRight w:val="0"/>
      <w:marTop w:val="0"/>
      <w:marBottom w:val="0"/>
      <w:divBdr>
        <w:top w:val="none" w:sz="0" w:space="0" w:color="auto"/>
        <w:left w:val="none" w:sz="0" w:space="0" w:color="auto"/>
        <w:bottom w:val="none" w:sz="0" w:space="0" w:color="auto"/>
        <w:right w:val="none" w:sz="0" w:space="0" w:color="auto"/>
      </w:divBdr>
    </w:div>
    <w:div w:id="1550070678">
      <w:marLeft w:val="0"/>
      <w:marRight w:val="0"/>
      <w:marTop w:val="0"/>
      <w:marBottom w:val="0"/>
      <w:divBdr>
        <w:top w:val="none" w:sz="0" w:space="0" w:color="auto"/>
        <w:left w:val="none" w:sz="0" w:space="0" w:color="auto"/>
        <w:bottom w:val="none" w:sz="0" w:space="0" w:color="auto"/>
        <w:right w:val="none" w:sz="0" w:space="0" w:color="auto"/>
      </w:divBdr>
    </w:div>
    <w:div w:id="1550417045">
      <w:marLeft w:val="0"/>
      <w:marRight w:val="0"/>
      <w:marTop w:val="0"/>
      <w:marBottom w:val="0"/>
      <w:divBdr>
        <w:top w:val="none" w:sz="0" w:space="0" w:color="auto"/>
        <w:left w:val="none" w:sz="0" w:space="0" w:color="auto"/>
        <w:bottom w:val="none" w:sz="0" w:space="0" w:color="auto"/>
        <w:right w:val="none" w:sz="0" w:space="0" w:color="auto"/>
      </w:divBdr>
      <w:divsChild>
        <w:div w:id="160588699">
          <w:marLeft w:val="0"/>
          <w:marRight w:val="0"/>
          <w:marTop w:val="0"/>
          <w:marBottom w:val="0"/>
          <w:divBdr>
            <w:top w:val="none" w:sz="0" w:space="0" w:color="auto"/>
            <w:left w:val="none" w:sz="0" w:space="0" w:color="auto"/>
            <w:bottom w:val="none" w:sz="0" w:space="0" w:color="auto"/>
            <w:right w:val="none" w:sz="0" w:space="0" w:color="auto"/>
          </w:divBdr>
        </w:div>
      </w:divsChild>
    </w:div>
    <w:div w:id="1550612105">
      <w:marLeft w:val="0"/>
      <w:marRight w:val="0"/>
      <w:marTop w:val="0"/>
      <w:marBottom w:val="0"/>
      <w:divBdr>
        <w:top w:val="none" w:sz="0" w:space="0" w:color="auto"/>
        <w:left w:val="none" w:sz="0" w:space="0" w:color="auto"/>
        <w:bottom w:val="none" w:sz="0" w:space="0" w:color="auto"/>
        <w:right w:val="none" w:sz="0" w:space="0" w:color="auto"/>
      </w:divBdr>
    </w:div>
    <w:div w:id="1552690300">
      <w:marLeft w:val="0"/>
      <w:marRight w:val="0"/>
      <w:marTop w:val="0"/>
      <w:marBottom w:val="0"/>
      <w:divBdr>
        <w:top w:val="none" w:sz="0" w:space="0" w:color="auto"/>
        <w:left w:val="none" w:sz="0" w:space="0" w:color="auto"/>
        <w:bottom w:val="none" w:sz="0" w:space="0" w:color="auto"/>
        <w:right w:val="none" w:sz="0" w:space="0" w:color="auto"/>
      </w:divBdr>
    </w:div>
    <w:div w:id="1552762526">
      <w:marLeft w:val="0"/>
      <w:marRight w:val="0"/>
      <w:marTop w:val="0"/>
      <w:marBottom w:val="0"/>
      <w:divBdr>
        <w:top w:val="none" w:sz="0" w:space="0" w:color="auto"/>
        <w:left w:val="none" w:sz="0" w:space="0" w:color="auto"/>
        <w:bottom w:val="none" w:sz="0" w:space="0" w:color="auto"/>
        <w:right w:val="none" w:sz="0" w:space="0" w:color="auto"/>
      </w:divBdr>
    </w:div>
    <w:div w:id="1552881583">
      <w:marLeft w:val="0"/>
      <w:marRight w:val="0"/>
      <w:marTop w:val="0"/>
      <w:marBottom w:val="0"/>
      <w:divBdr>
        <w:top w:val="none" w:sz="0" w:space="0" w:color="auto"/>
        <w:left w:val="none" w:sz="0" w:space="0" w:color="auto"/>
        <w:bottom w:val="none" w:sz="0" w:space="0" w:color="auto"/>
        <w:right w:val="none" w:sz="0" w:space="0" w:color="auto"/>
      </w:divBdr>
    </w:div>
    <w:div w:id="1553886447">
      <w:marLeft w:val="0"/>
      <w:marRight w:val="0"/>
      <w:marTop w:val="0"/>
      <w:marBottom w:val="0"/>
      <w:divBdr>
        <w:top w:val="none" w:sz="0" w:space="0" w:color="auto"/>
        <w:left w:val="none" w:sz="0" w:space="0" w:color="auto"/>
        <w:bottom w:val="none" w:sz="0" w:space="0" w:color="auto"/>
        <w:right w:val="none" w:sz="0" w:space="0" w:color="auto"/>
      </w:divBdr>
    </w:div>
    <w:div w:id="1554732058">
      <w:marLeft w:val="0"/>
      <w:marRight w:val="0"/>
      <w:marTop w:val="0"/>
      <w:marBottom w:val="0"/>
      <w:divBdr>
        <w:top w:val="none" w:sz="0" w:space="0" w:color="auto"/>
        <w:left w:val="none" w:sz="0" w:space="0" w:color="auto"/>
        <w:bottom w:val="none" w:sz="0" w:space="0" w:color="auto"/>
        <w:right w:val="none" w:sz="0" w:space="0" w:color="auto"/>
      </w:divBdr>
      <w:divsChild>
        <w:div w:id="107429094">
          <w:marLeft w:val="0"/>
          <w:marRight w:val="0"/>
          <w:marTop w:val="0"/>
          <w:marBottom w:val="0"/>
          <w:divBdr>
            <w:top w:val="none" w:sz="0" w:space="0" w:color="auto"/>
            <w:left w:val="none" w:sz="0" w:space="0" w:color="auto"/>
            <w:bottom w:val="none" w:sz="0" w:space="0" w:color="auto"/>
            <w:right w:val="none" w:sz="0" w:space="0" w:color="auto"/>
          </w:divBdr>
        </w:div>
      </w:divsChild>
    </w:div>
    <w:div w:id="1554852624">
      <w:marLeft w:val="0"/>
      <w:marRight w:val="0"/>
      <w:marTop w:val="0"/>
      <w:marBottom w:val="0"/>
      <w:divBdr>
        <w:top w:val="none" w:sz="0" w:space="0" w:color="auto"/>
        <w:left w:val="none" w:sz="0" w:space="0" w:color="auto"/>
        <w:bottom w:val="none" w:sz="0" w:space="0" w:color="auto"/>
        <w:right w:val="none" w:sz="0" w:space="0" w:color="auto"/>
      </w:divBdr>
    </w:div>
    <w:div w:id="1555505254">
      <w:marLeft w:val="0"/>
      <w:marRight w:val="0"/>
      <w:marTop w:val="100"/>
      <w:marBottom w:val="100"/>
      <w:divBdr>
        <w:top w:val="none" w:sz="0" w:space="0" w:color="auto"/>
        <w:left w:val="none" w:sz="0" w:space="0" w:color="auto"/>
        <w:bottom w:val="none" w:sz="0" w:space="0" w:color="auto"/>
        <w:right w:val="none" w:sz="0" w:space="0" w:color="auto"/>
      </w:divBdr>
      <w:divsChild>
        <w:div w:id="149636086">
          <w:marLeft w:val="0"/>
          <w:marRight w:val="0"/>
          <w:marTop w:val="0"/>
          <w:marBottom w:val="0"/>
          <w:divBdr>
            <w:top w:val="none" w:sz="0" w:space="0" w:color="auto"/>
            <w:left w:val="none" w:sz="0" w:space="0" w:color="auto"/>
            <w:bottom w:val="none" w:sz="0" w:space="0" w:color="auto"/>
            <w:right w:val="none" w:sz="0" w:space="0" w:color="auto"/>
          </w:divBdr>
        </w:div>
        <w:div w:id="1391230767">
          <w:marLeft w:val="0"/>
          <w:marRight w:val="0"/>
          <w:marTop w:val="0"/>
          <w:marBottom w:val="0"/>
          <w:divBdr>
            <w:top w:val="none" w:sz="0" w:space="0" w:color="auto"/>
            <w:left w:val="none" w:sz="0" w:space="0" w:color="auto"/>
            <w:bottom w:val="none" w:sz="0" w:space="0" w:color="auto"/>
            <w:right w:val="none" w:sz="0" w:space="0" w:color="auto"/>
          </w:divBdr>
        </w:div>
        <w:div w:id="1421565584">
          <w:marLeft w:val="0"/>
          <w:marRight w:val="0"/>
          <w:marTop w:val="0"/>
          <w:marBottom w:val="0"/>
          <w:divBdr>
            <w:top w:val="none" w:sz="0" w:space="0" w:color="auto"/>
            <w:left w:val="none" w:sz="0" w:space="0" w:color="auto"/>
            <w:bottom w:val="none" w:sz="0" w:space="0" w:color="auto"/>
            <w:right w:val="none" w:sz="0" w:space="0" w:color="auto"/>
          </w:divBdr>
        </w:div>
      </w:divsChild>
    </w:div>
    <w:div w:id="1555658041">
      <w:marLeft w:val="0"/>
      <w:marRight w:val="0"/>
      <w:marTop w:val="0"/>
      <w:marBottom w:val="0"/>
      <w:divBdr>
        <w:top w:val="none" w:sz="0" w:space="0" w:color="auto"/>
        <w:left w:val="none" w:sz="0" w:space="0" w:color="auto"/>
        <w:bottom w:val="none" w:sz="0" w:space="0" w:color="auto"/>
        <w:right w:val="none" w:sz="0" w:space="0" w:color="auto"/>
      </w:divBdr>
    </w:div>
    <w:div w:id="1556237749">
      <w:marLeft w:val="0"/>
      <w:marRight w:val="0"/>
      <w:marTop w:val="0"/>
      <w:marBottom w:val="0"/>
      <w:divBdr>
        <w:top w:val="none" w:sz="0" w:space="0" w:color="auto"/>
        <w:left w:val="none" w:sz="0" w:space="0" w:color="auto"/>
        <w:bottom w:val="none" w:sz="0" w:space="0" w:color="auto"/>
        <w:right w:val="none" w:sz="0" w:space="0" w:color="auto"/>
      </w:divBdr>
    </w:div>
    <w:div w:id="1556552272">
      <w:marLeft w:val="0"/>
      <w:marRight w:val="0"/>
      <w:marTop w:val="0"/>
      <w:marBottom w:val="0"/>
      <w:divBdr>
        <w:top w:val="none" w:sz="0" w:space="0" w:color="auto"/>
        <w:left w:val="none" w:sz="0" w:space="0" w:color="auto"/>
        <w:bottom w:val="none" w:sz="0" w:space="0" w:color="auto"/>
        <w:right w:val="none" w:sz="0" w:space="0" w:color="auto"/>
      </w:divBdr>
    </w:div>
    <w:div w:id="1557427937">
      <w:marLeft w:val="0"/>
      <w:marRight w:val="0"/>
      <w:marTop w:val="0"/>
      <w:marBottom w:val="0"/>
      <w:divBdr>
        <w:top w:val="none" w:sz="0" w:space="0" w:color="auto"/>
        <w:left w:val="none" w:sz="0" w:space="0" w:color="auto"/>
        <w:bottom w:val="none" w:sz="0" w:space="0" w:color="auto"/>
        <w:right w:val="none" w:sz="0" w:space="0" w:color="auto"/>
      </w:divBdr>
    </w:div>
    <w:div w:id="1558055119">
      <w:marLeft w:val="0"/>
      <w:marRight w:val="0"/>
      <w:marTop w:val="0"/>
      <w:marBottom w:val="0"/>
      <w:divBdr>
        <w:top w:val="none" w:sz="0" w:space="0" w:color="auto"/>
        <w:left w:val="none" w:sz="0" w:space="0" w:color="auto"/>
        <w:bottom w:val="none" w:sz="0" w:space="0" w:color="auto"/>
        <w:right w:val="none" w:sz="0" w:space="0" w:color="auto"/>
      </w:divBdr>
    </w:div>
    <w:div w:id="1558324126">
      <w:marLeft w:val="0"/>
      <w:marRight w:val="0"/>
      <w:marTop w:val="0"/>
      <w:marBottom w:val="0"/>
      <w:divBdr>
        <w:top w:val="none" w:sz="0" w:space="0" w:color="auto"/>
        <w:left w:val="none" w:sz="0" w:space="0" w:color="auto"/>
        <w:bottom w:val="none" w:sz="0" w:space="0" w:color="auto"/>
        <w:right w:val="none" w:sz="0" w:space="0" w:color="auto"/>
      </w:divBdr>
    </w:div>
    <w:div w:id="1559050606">
      <w:marLeft w:val="0"/>
      <w:marRight w:val="0"/>
      <w:marTop w:val="0"/>
      <w:marBottom w:val="0"/>
      <w:divBdr>
        <w:top w:val="none" w:sz="0" w:space="0" w:color="auto"/>
        <w:left w:val="none" w:sz="0" w:space="0" w:color="auto"/>
        <w:bottom w:val="none" w:sz="0" w:space="0" w:color="auto"/>
        <w:right w:val="none" w:sz="0" w:space="0" w:color="auto"/>
      </w:divBdr>
    </w:div>
    <w:div w:id="1560628699">
      <w:marLeft w:val="0"/>
      <w:marRight w:val="0"/>
      <w:marTop w:val="0"/>
      <w:marBottom w:val="0"/>
      <w:divBdr>
        <w:top w:val="none" w:sz="0" w:space="0" w:color="auto"/>
        <w:left w:val="none" w:sz="0" w:space="0" w:color="auto"/>
        <w:bottom w:val="none" w:sz="0" w:space="0" w:color="auto"/>
        <w:right w:val="none" w:sz="0" w:space="0" w:color="auto"/>
      </w:divBdr>
    </w:div>
    <w:div w:id="1561474511">
      <w:marLeft w:val="0"/>
      <w:marRight w:val="0"/>
      <w:marTop w:val="0"/>
      <w:marBottom w:val="0"/>
      <w:divBdr>
        <w:top w:val="none" w:sz="0" w:space="0" w:color="auto"/>
        <w:left w:val="none" w:sz="0" w:space="0" w:color="auto"/>
        <w:bottom w:val="none" w:sz="0" w:space="0" w:color="auto"/>
        <w:right w:val="none" w:sz="0" w:space="0" w:color="auto"/>
      </w:divBdr>
    </w:div>
    <w:div w:id="1561595201">
      <w:marLeft w:val="0"/>
      <w:marRight w:val="0"/>
      <w:marTop w:val="0"/>
      <w:marBottom w:val="0"/>
      <w:divBdr>
        <w:top w:val="none" w:sz="0" w:space="0" w:color="auto"/>
        <w:left w:val="none" w:sz="0" w:space="0" w:color="auto"/>
        <w:bottom w:val="none" w:sz="0" w:space="0" w:color="auto"/>
        <w:right w:val="none" w:sz="0" w:space="0" w:color="auto"/>
      </w:divBdr>
    </w:div>
    <w:div w:id="1562325120">
      <w:marLeft w:val="0"/>
      <w:marRight w:val="0"/>
      <w:marTop w:val="0"/>
      <w:marBottom w:val="0"/>
      <w:divBdr>
        <w:top w:val="none" w:sz="0" w:space="0" w:color="auto"/>
        <w:left w:val="none" w:sz="0" w:space="0" w:color="auto"/>
        <w:bottom w:val="none" w:sz="0" w:space="0" w:color="auto"/>
        <w:right w:val="none" w:sz="0" w:space="0" w:color="auto"/>
      </w:divBdr>
    </w:div>
    <w:div w:id="1562710033">
      <w:marLeft w:val="0"/>
      <w:marRight w:val="0"/>
      <w:marTop w:val="0"/>
      <w:marBottom w:val="0"/>
      <w:divBdr>
        <w:top w:val="none" w:sz="0" w:space="0" w:color="auto"/>
        <w:left w:val="none" w:sz="0" w:space="0" w:color="auto"/>
        <w:bottom w:val="none" w:sz="0" w:space="0" w:color="auto"/>
        <w:right w:val="none" w:sz="0" w:space="0" w:color="auto"/>
      </w:divBdr>
    </w:div>
    <w:div w:id="1565137744">
      <w:marLeft w:val="0"/>
      <w:marRight w:val="0"/>
      <w:marTop w:val="0"/>
      <w:marBottom w:val="0"/>
      <w:divBdr>
        <w:top w:val="none" w:sz="0" w:space="0" w:color="auto"/>
        <w:left w:val="none" w:sz="0" w:space="0" w:color="auto"/>
        <w:bottom w:val="none" w:sz="0" w:space="0" w:color="auto"/>
        <w:right w:val="none" w:sz="0" w:space="0" w:color="auto"/>
      </w:divBdr>
    </w:div>
    <w:div w:id="1565145107">
      <w:marLeft w:val="0"/>
      <w:marRight w:val="0"/>
      <w:marTop w:val="0"/>
      <w:marBottom w:val="0"/>
      <w:divBdr>
        <w:top w:val="none" w:sz="0" w:space="0" w:color="auto"/>
        <w:left w:val="none" w:sz="0" w:space="0" w:color="auto"/>
        <w:bottom w:val="none" w:sz="0" w:space="0" w:color="auto"/>
        <w:right w:val="none" w:sz="0" w:space="0" w:color="auto"/>
      </w:divBdr>
    </w:div>
    <w:div w:id="1566336878">
      <w:marLeft w:val="0"/>
      <w:marRight w:val="0"/>
      <w:marTop w:val="0"/>
      <w:marBottom w:val="0"/>
      <w:divBdr>
        <w:top w:val="none" w:sz="0" w:space="0" w:color="auto"/>
        <w:left w:val="none" w:sz="0" w:space="0" w:color="auto"/>
        <w:bottom w:val="none" w:sz="0" w:space="0" w:color="auto"/>
        <w:right w:val="none" w:sz="0" w:space="0" w:color="auto"/>
      </w:divBdr>
    </w:div>
    <w:div w:id="1567062530">
      <w:marLeft w:val="0"/>
      <w:marRight w:val="0"/>
      <w:marTop w:val="0"/>
      <w:marBottom w:val="0"/>
      <w:divBdr>
        <w:top w:val="none" w:sz="0" w:space="0" w:color="auto"/>
        <w:left w:val="none" w:sz="0" w:space="0" w:color="auto"/>
        <w:bottom w:val="none" w:sz="0" w:space="0" w:color="auto"/>
        <w:right w:val="none" w:sz="0" w:space="0" w:color="auto"/>
      </w:divBdr>
    </w:div>
    <w:div w:id="1567951981">
      <w:marLeft w:val="0"/>
      <w:marRight w:val="0"/>
      <w:marTop w:val="100"/>
      <w:marBottom w:val="100"/>
      <w:divBdr>
        <w:top w:val="none" w:sz="0" w:space="0" w:color="auto"/>
        <w:left w:val="none" w:sz="0" w:space="0" w:color="auto"/>
        <w:bottom w:val="none" w:sz="0" w:space="0" w:color="auto"/>
        <w:right w:val="none" w:sz="0" w:space="0" w:color="auto"/>
      </w:divBdr>
      <w:divsChild>
        <w:div w:id="1213928295">
          <w:marLeft w:val="0"/>
          <w:marRight w:val="0"/>
          <w:marTop w:val="0"/>
          <w:marBottom w:val="0"/>
          <w:divBdr>
            <w:top w:val="none" w:sz="0" w:space="0" w:color="auto"/>
            <w:left w:val="none" w:sz="0" w:space="0" w:color="auto"/>
            <w:bottom w:val="none" w:sz="0" w:space="0" w:color="auto"/>
            <w:right w:val="none" w:sz="0" w:space="0" w:color="auto"/>
          </w:divBdr>
        </w:div>
        <w:div w:id="1492872101">
          <w:marLeft w:val="0"/>
          <w:marRight w:val="0"/>
          <w:marTop w:val="0"/>
          <w:marBottom w:val="0"/>
          <w:divBdr>
            <w:top w:val="none" w:sz="0" w:space="0" w:color="auto"/>
            <w:left w:val="none" w:sz="0" w:space="0" w:color="auto"/>
            <w:bottom w:val="none" w:sz="0" w:space="0" w:color="auto"/>
            <w:right w:val="none" w:sz="0" w:space="0" w:color="auto"/>
          </w:divBdr>
        </w:div>
        <w:div w:id="1245190405">
          <w:marLeft w:val="0"/>
          <w:marRight w:val="0"/>
          <w:marTop w:val="0"/>
          <w:marBottom w:val="0"/>
          <w:divBdr>
            <w:top w:val="none" w:sz="0" w:space="0" w:color="auto"/>
            <w:left w:val="none" w:sz="0" w:space="0" w:color="auto"/>
            <w:bottom w:val="none" w:sz="0" w:space="0" w:color="auto"/>
            <w:right w:val="none" w:sz="0" w:space="0" w:color="auto"/>
          </w:divBdr>
        </w:div>
        <w:div w:id="1440762660">
          <w:marLeft w:val="0"/>
          <w:marRight w:val="0"/>
          <w:marTop w:val="0"/>
          <w:marBottom w:val="0"/>
          <w:divBdr>
            <w:top w:val="none" w:sz="0" w:space="0" w:color="auto"/>
            <w:left w:val="none" w:sz="0" w:space="0" w:color="auto"/>
            <w:bottom w:val="none" w:sz="0" w:space="0" w:color="auto"/>
            <w:right w:val="none" w:sz="0" w:space="0" w:color="auto"/>
          </w:divBdr>
        </w:div>
        <w:div w:id="1209758629">
          <w:marLeft w:val="0"/>
          <w:marRight w:val="0"/>
          <w:marTop w:val="0"/>
          <w:marBottom w:val="0"/>
          <w:divBdr>
            <w:top w:val="none" w:sz="0" w:space="0" w:color="auto"/>
            <w:left w:val="none" w:sz="0" w:space="0" w:color="auto"/>
            <w:bottom w:val="none" w:sz="0" w:space="0" w:color="auto"/>
            <w:right w:val="none" w:sz="0" w:space="0" w:color="auto"/>
          </w:divBdr>
        </w:div>
        <w:div w:id="466819306">
          <w:marLeft w:val="0"/>
          <w:marRight w:val="0"/>
          <w:marTop w:val="0"/>
          <w:marBottom w:val="0"/>
          <w:divBdr>
            <w:top w:val="none" w:sz="0" w:space="0" w:color="auto"/>
            <w:left w:val="none" w:sz="0" w:space="0" w:color="auto"/>
            <w:bottom w:val="none" w:sz="0" w:space="0" w:color="auto"/>
            <w:right w:val="none" w:sz="0" w:space="0" w:color="auto"/>
          </w:divBdr>
        </w:div>
        <w:div w:id="1181163873">
          <w:marLeft w:val="0"/>
          <w:marRight w:val="0"/>
          <w:marTop w:val="0"/>
          <w:marBottom w:val="0"/>
          <w:divBdr>
            <w:top w:val="none" w:sz="0" w:space="0" w:color="auto"/>
            <w:left w:val="none" w:sz="0" w:space="0" w:color="auto"/>
            <w:bottom w:val="none" w:sz="0" w:space="0" w:color="auto"/>
            <w:right w:val="none" w:sz="0" w:space="0" w:color="auto"/>
          </w:divBdr>
        </w:div>
      </w:divsChild>
    </w:div>
    <w:div w:id="1570386835">
      <w:marLeft w:val="0"/>
      <w:marRight w:val="0"/>
      <w:marTop w:val="0"/>
      <w:marBottom w:val="0"/>
      <w:divBdr>
        <w:top w:val="none" w:sz="0" w:space="0" w:color="auto"/>
        <w:left w:val="none" w:sz="0" w:space="0" w:color="auto"/>
        <w:bottom w:val="none" w:sz="0" w:space="0" w:color="auto"/>
        <w:right w:val="none" w:sz="0" w:space="0" w:color="auto"/>
      </w:divBdr>
    </w:div>
    <w:div w:id="1570462846">
      <w:marLeft w:val="0"/>
      <w:marRight w:val="0"/>
      <w:marTop w:val="0"/>
      <w:marBottom w:val="0"/>
      <w:divBdr>
        <w:top w:val="none" w:sz="0" w:space="0" w:color="auto"/>
        <w:left w:val="none" w:sz="0" w:space="0" w:color="auto"/>
        <w:bottom w:val="none" w:sz="0" w:space="0" w:color="auto"/>
        <w:right w:val="none" w:sz="0" w:space="0" w:color="auto"/>
      </w:divBdr>
    </w:div>
    <w:div w:id="1570578757">
      <w:marLeft w:val="0"/>
      <w:marRight w:val="0"/>
      <w:marTop w:val="0"/>
      <w:marBottom w:val="0"/>
      <w:divBdr>
        <w:top w:val="none" w:sz="0" w:space="0" w:color="auto"/>
        <w:left w:val="none" w:sz="0" w:space="0" w:color="auto"/>
        <w:bottom w:val="none" w:sz="0" w:space="0" w:color="auto"/>
        <w:right w:val="none" w:sz="0" w:space="0" w:color="auto"/>
      </w:divBdr>
    </w:div>
    <w:div w:id="1571454598">
      <w:marLeft w:val="0"/>
      <w:marRight w:val="0"/>
      <w:marTop w:val="0"/>
      <w:marBottom w:val="240"/>
      <w:divBdr>
        <w:top w:val="none" w:sz="0" w:space="0" w:color="auto"/>
        <w:left w:val="none" w:sz="0" w:space="0" w:color="auto"/>
        <w:bottom w:val="none" w:sz="0" w:space="0" w:color="auto"/>
        <w:right w:val="none" w:sz="0" w:space="0" w:color="auto"/>
      </w:divBdr>
    </w:div>
    <w:div w:id="1571698494">
      <w:marLeft w:val="0"/>
      <w:marRight w:val="0"/>
      <w:marTop w:val="0"/>
      <w:marBottom w:val="0"/>
      <w:divBdr>
        <w:top w:val="none" w:sz="0" w:space="0" w:color="auto"/>
        <w:left w:val="none" w:sz="0" w:space="0" w:color="auto"/>
        <w:bottom w:val="none" w:sz="0" w:space="0" w:color="auto"/>
        <w:right w:val="none" w:sz="0" w:space="0" w:color="auto"/>
      </w:divBdr>
    </w:div>
    <w:div w:id="1572078925">
      <w:marLeft w:val="0"/>
      <w:marRight w:val="0"/>
      <w:marTop w:val="0"/>
      <w:marBottom w:val="0"/>
      <w:divBdr>
        <w:top w:val="none" w:sz="0" w:space="0" w:color="auto"/>
        <w:left w:val="none" w:sz="0" w:space="0" w:color="auto"/>
        <w:bottom w:val="none" w:sz="0" w:space="0" w:color="auto"/>
        <w:right w:val="none" w:sz="0" w:space="0" w:color="auto"/>
      </w:divBdr>
      <w:divsChild>
        <w:div w:id="1923950934">
          <w:marLeft w:val="0"/>
          <w:marRight w:val="0"/>
          <w:marTop w:val="0"/>
          <w:marBottom w:val="0"/>
          <w:divBdr>
            <w:top w:val="none" w:sz="0" w:space="0" w:color="auto"/>
            <w:left w:val="none" w:sz="0" w:space="0" w:color="auto"/>
            <w:bottom w:val="none" w:sz="0" w:space="0" w:color="auto"/>
            <w:right w:val="none" w:sz="0" w:space="0" w:color="auto"/>
          </w:divBdr>
        </w:div>
      </w:divsChild>
    </w:div>
    <w:div w:id="1572352070">
      <w:marLeft w:val="0"/>
      <w:marRight w:val="0"/>
      <w:marTop w:val="0"/>
      <w:marBottom w:val="0"/>
      <w:divBdr>
        <w:top w:val="none" w:sz="0" w:space="0" w:color="auto"/>
        <w:left w:val="none" w:sz="0" w:space="0" w:color="auto"/>
        <w:bottom w:val="none" w:sz="0" w:space="0" w:color="auto"/>
        <w:right w:val="none" w:sz="0" w:space="0" w:color="auto"/>
      </w:divBdr>
    </w:div>
    <w:div w:id="1572618870">
      <w:marLeft w:val="0"/>
      <w:marRight w:val="0"/>
      <w:marTop w:val="0"/>
      <w:marBottom w:val="0"/>
      <w:divBdr>
        <w:top w:val="none" w:sz="0" w:space="0" w:color="auto"/>
        <w:left w:val="none" w:sz="0" w:space="0" w:color="auto"/>
        <w:bottom w:val="none" w:sz="0" w:space="0" w:color="auto"/>
        <w:right w:val="none" w:sz="0" w:space="0" w:color="auto"/>
      </w:divBdr>
    </w:div>
    <w:div w:id="1572889331">
      <w:marLeft w:val="0"/>
      <w:marRight w:val="0"/>
      <w:marTop w:val="0"/>
      <w:marBottom w:val="0"/>
      <w:divBdr>
        <w:top w:val="none" w:sz="0" w:space="0" w:color="auto"/>
        <w:left w:val="none" w:sz="0" w:space="0" w:color="auto"/>
        <w:bottom w:val="none" w:sz="0" w:space="0" w:color="auto"/>
        <w:right w:val="none" w:sz="0" w:space="0" w:color="auto"/>
      </w:divBdr>
    </w:div>
    <w:div w:id="1572962301">
      <w:marLeft w:val="0"/>
      <w:marRight w:val="0"/>
      <w:marTop w:val="0"/>
      <w:marBottom w:val="0"/>
      <w:divBdr>
        <w:top w:val="none" w:sz="0" w:space="0" w:color="auto"/>
        <w:left w:val="none" w:sz="0" w:space="0" w:color="auto"/>
        <w:bottom w:val="none" w:sz="0" w:space="0" w:color="auto"/>
        <w:right w:val="none" w:sz="0" w:space="0" w:color="auto"/>
      </w:divBdr>
    </w:div>
    <w:div w:id="1573464181">
      <w:marLeft w:val="0"/>
      <w:marRight w:val="0"/>
      <w:marTop w:val="0"/>
      <w:marBottom w:val="0"/>
      <w:divBdr>
        <w:top w:val="none" w:sz="0" w:space="0" w:color="auto"/>
        <w:left w:val="none" w:sz="0" w:space="0" w:color="auto"/>
        <w:bottom w:val="none" w:sz="0" w:space="0" w:color="auto"/>
        <w:right w:val="none" w:sz="0" w:space="0" w:color="auto"/>
      </w:divBdr>
    </w:div>
    <w:div w:id="1575503100">
      <w:marLeft w:val="0"/>
      <w:marRight w:val="0"/>
      <w:marTop w:val="0"/>
      <w:marBottom w:val="0"/>
      <w:divBdr>
        <w:top w:val="none" w:sz="0" w:space="0" w:color="auto"/>
        <w:left w:val="none" w:sz="0" w:space="0" w:color="auto"/>
        <w:bottom w:val="none" w:sz="0" w:space="0" w:color="auto"/>
        <w:right w:val="none" w:sz="0" w:space="0" w:color="auto"/>
      </w:divBdr>
    </w:div>
    <w:div w:id="1575503175">
      <w:marLeft w:val="0"/>
      <w:marRight w:val="0"/>
      <w:marTop w:val="0"/>
      <w:marBottom w:val="0"/>
      <w:divBdr>
        <w:top w:val="none" w:sz="0" w:space="0" w:color="auto"/>
        <w:left w:val="none" w:sz="0" w:space="0" w:color="auto"/>
        <w:bottom w:val="none" w:sz="0" w:space="0" w:color="auto"/>
        <w:right w:val="none" w:sz="0" w:space="0" w:color="auto"/>
      </w:divBdr>
    </w:div>
    <w:div w:id="1575771744">
      <w:marLeft w:val="0"/>
      <w:marRight w:val="0"/>
      <w:marTop w:val="0"/>
      <w:marBottom w:val="0"/>
      <w:divBdr>
        <w:top w:val="none" w:sz="0" w:space="0" w:color="auto"/>
        <w:left w:val="none" w:sz="0" w:space="0" w:color="auto"/>
        <w:bottom w:val="none" w:sz="0" w:space="0" w:color="auto"/>
        <w:right w:val="none" w:sz="0" w:space="0" w:color="auto"/>
      </w:divBdr>
    </w:div>
    <w:div w:id="1576427720">
      <w:marLeft w:val="0"/>
      <w:marRight w:val="0"/>
      <w:marTop w:val="0"/>
      <w:marBottom w:val="0"/>
      <w:divBdr>
        <w:top w:val="none" w:sz="0" w:space="0" w:color="auto"/>
        <w:left w:val="none" w:sz="0" w:space="0" w:color="auto"/>
        <w:bottom w:val="none" w:sz="0" w:space="0" w:color="auto"/>
        <w:right w:val="none" w:sz="0" w:space="0" w:color="auto"/>
      </w:divBdr>
    </w:div>
    <w:div w:id="1576547999">
      <w:marLeft w:val="0"/>
      <w:marRight w:val="0"/>
      <w:marTop w:val="0"/>
      <w:marBottom w:val="0"/>
      <w:divBdr>
        <w:top w:val="none" w:sz="0" w:space="0" w:color="auto"/>
        <w:left w:val="none" w:sz="0" w:space="0" w:color="auto"/>
        <w:bottom w:val="none" w:sz="0" w:space="0" w:color="auto"/>
        <w:right w:val="none" w:sz="0" w:space="0" w:color="auto"/>
      </w:divBdr>
    </w:div>
    <w:div w:id="1576813593">
      <w:marLeft w:val="0"/>
      <w:marRight w:val="0"/>
      <w:marTop w:val="0"/>
      <w:marBottom w:val="0"/>
      <w:divBdr>
        <w:top w:val="none" w:sz="0" w:space="0" w:color="auto"/>
        <w:left w:val="none" w:sz="0" w:space="0" w:color="auto"/>
        <w:bottom w:val="none" w:sz="0" w:space="0" w:color="auto"/>
        <w:right w:val="none" w:sz="0" w:space="0" w:color="auto"/>
      </w:divBdr>
    </w:div>
    <w:div w:id="1577472101">
      <w:marLeft w:val="0"/>
      <w:marRight w:val="0"/>
      <w:marTop w:val="0"/>
      <w:marBottom w:val="0"/>
      <w:divBdr>
        <w:top w:val="none" w:sz="0" w:space="0" w:color="auto"/>
        <w:left w:val="none" w:sz="0" w:space="0" w:color="auto"/>
        <w:bottom w:val="none" w:sz="0" w:space="0" w:color="auto"/>
        <w:right w:val="none" w:sz="0" w:space="0" w:color="auto"/>
      </w:divBdr>
    </w:div>
    <w:div w:id="1577668180">
      <w:marLeft w:val="0"/>
      <w:marRight w:val="0"/>
      <w:marTop w:val="0"/>
      <w:marBottom w:val="0"/>
      <w:divBdr>
        <w:top w:val="none" w:sz="0" w:space="0" w:color="auto"/>
        <w:left w:val="none" w:sz="0" w:space="0" w:color="auto"/>
        <w:bottom w:val="none" w:sz="0" w:space="0" w:color="auto"/>
        <w:right w:val="none" w:sz="0" w:space="0" w:color="auto"/>
      </w:divBdr>
    </w:div>
    <w:div w:id="1578243268">
      <w:marLeft w:val="0"/>
      <w:marRight w:val="0"/>
      <w:marTop w:val="0"/>
      <w:marBottom w:val="0"/>
      <w:divBdr>
        <w:top w:val="none" w:sz="0" w:space="0" w:color="auto"/>
        <w:left w:val="none" w:sz="0" w:space="0" w:color="auto"/>
        <w:bottom w:val="none" w:sz="0" w:space="0" w:color="auto"/>
        <w:right w:val="none" w:sz="0" w:space="0" w:color="auto"/>
      </w:divBdr>
    </w:div>
    <w:div w:id="1580291711">
      <w:marLeft w:val="0"/>
      <w:marRight w:val="0"/>
      <w:marTop w:val="0"/>
      <w:marBottom w:val="0"/>
      <w:divBdr>
        <w:top w:val="none" w:sz="0" w:space="0" w:color="auto"/>
        <w:left w:val="none" w:sz="0" w:space="0" w:color="auto"/>
        <w:bottom w:val="none" w:sz="0" w:space="0" w:color="auto"/>
        <w:right w:val="none" w:sz="0" w:space="0" w:color="auto"/>
      </w:divBdr>
      <w:divsChild>
        <w:div w:id="1546481594">
          <w:marLeft w:val="0"/>
          <w:marRight w:val="0"/>
          <w:marTop w:val="0"/>
          <w:marBottom w:val="0"/>
          <w:divBdr>
            <w:top w:val="none" w:sz="0" w:space="0" w:color="auto"/>
            <w:left w:val="none" w:sz="0" w:space="0" w:color="auto"/>
            <w:bottom w:val="none" w:sz="0" w:space="0" w:color="auto"/>
            <w:right w:val="none" w:sz="0" w:space="0" w:color="auto"/>
          </w:divBdr>
        </w:div>
      </w:divsChild>
    </w:div>
    <w:div w:id="1580679117">
      <w:marLeft w:val="0"/>
      <w:marRight w:val="0"/>
      <w:marTop w:val="0"/>
      <w:marBottom w:val="0"/>
      <w:divBdr>
        <w:top w:val="none" w:sz="0" w:space="0" w:color="auto"/>
        <w:left w:val="none" w:sz="0" w:space="0" w:color="auto"/>
        <w:bottom w:val="none" w:sz="0" w:space="0" w:color="auto"/>
        <w:right w:val="none" w:sz="0" w:space="0" w:color="auto"/>
      </w:divBdr>
    </w:div>
    <w:div w:id="1581329207">
      <w:marLeft w:val="0"/>
      <w:marRight w:val="0"/>
      <w:marTop w:val="0"/>
      <w:marBottom w:val="0"/>
      <w:divBdr>
        <w:top w:val="none" w:sz="0" w:space="0" w:color="auto"/>
        <w:left w:val="none" w:sz="0" w:space="0" w:color="auto"/>
        <w:bottom w:val="none" w:sz="0" w:space="0" w:color="auto"/>
        <w:right w:val="none" w:sz="0" w:space="0" w:color="auto"/>
      </w:divBdr>
    </w:div>
    <w:div w:id="1581333118">
      <w:marLeft w:val="0"/>
      <w:marRight w:val="0"/>
      <w:marTop w:val="0"/>
      <w:marBottom w:val="0"/>
      <w:divBdr>
        <w:top w:val="none" w:sz="0" w:space="0" w:color="auto"/>
        <w:left w:val="none" w:sz="0" w:space="0" w:color="auto"/>
        <w:bottom w:val="none" w:sz="0" w:space="0" w:color="auto"/>
        <w:right w:val="none" w:sz="0" w:space="0" w:color="auto"/>
      </w:divBdr>
    </w:div>
    <w:div w:id="1581476905">
      <w:marLeft w:val="0"/>
      <w:marRight w:val="0"/>
      <w:marTop w:val="0"/>
      <w:marBottom w:val="0"/>
      <w:divBdr>
        <w:top w:val="none" w:sz="0" w:space="0" w:color="auto"/>
        <w:left w:val="none" w:sz="0" w:space="0" w:color="auto"/>
        <w:bottom w:val="none" w:sz="0" w:space="0" w:color="auto"/>
        <w:right w:val="none" w:sz="0" w:space="0" w:color="auto"/>
      </w:divBdr>
      <w:divsChild>
        <w:div w:id="2078046142">
          <w:marLeft w:val="0"/>
          <w:marRight w:val="0"/>
          <w:marTop w:val="0"/>
          <w:marBottom w:val="0"/>
          <w:divBdr>
            <w:top w:val="none" w:sz="0" w:space="0" w:color="auto"/>
            <w:left w:val="none" w:sz="0" w:space="0" w:color="auto"/>
            <w:bottom w:val="none" w:sz="0" w:space="0" w:color="auto"/>
            <w:right w:val="none" w:sz="0" w:space="0" w:color="auto"/>
          </w:divBdr>
        </w:div>
      </w:divsChild>
    </w:div>
    <w:div w:id="1581717708">
      <w:marLeft w:val="0"/>
      <w:marRight w:val="0"/>
      <w:marTop w:val="0"/>
      <w:marBottom w:val="0"/>
      <w:divBdr>
        <w:top w:val="none" w:sz="0" w:space="0" w:color="auto"/>
        <w:left w:val="none" w:sz="0" w:space="0" w:color="auto"/>
        <w:bottom w:val="none" w:sz="0" w:space="0" w:color="auto"/>
        <w:right w:val="none" w:sz="0" w:space="0" w:color="auto"/>
      </w:divBdr>
    </w:div>
    <w:div w:id="1581787322">
      <w:marLeft w:val="0"/>
      <w:marRight w:val="0"/>
      <w:marTop w:val="0"/>
      <w:marBottom w:val="0"/>
      <w:divBdr>
        <w:top w:val="none" w:sz="0" w:space="0" w:color="auto"/>
        <w:left w:val="none" w:sz="0" w:space="0" w:color="auto"/>
        <w:bottom w:val="none" w:sz="0" w:space="0" w:color="auto"/>
        <w:right w:val="none" w:sz="0" w:space="0" w:color="auto"/>
      </w:divBdr>
    </w:div>
    <w:div w:id="1583249825">
      <w:marLeft w:val="0"/>
      <w:marRight w:val="0"/>
      <w:marTop w:val="0"/>
      <w:marBottom w:val="0"/>
      <w:divBdr>
        <w:top w:val="none" w:sz="0" w:space="0" w:color="auto"/>
        <w:left w:val="none" w:sz="0" w:space="0" w:color="auto"/>
        <w:bottom w:val="none" w:sz="0" w:space="0" w:color="auto"/>
        <w:right w:val="none" w:sz="0" w:space="0" w:color="auto"/>
      </w:divBdr>
    </w:div>
    <w:div w:id="1584294411">
      <w:marLeft w:val="0"/>
      <w:marRight w:val="0"/>
      <w:marTop w:val="0"/>
      <w:marBottom w:val="0"/>
      <w:divBdr>
        <w:top w:val="none" w:sz="0" w:space="0" w:color="auto"/>
        <w:left w:val="none" w:sz="0" w:space="0" w:color="auto"/>
        <w:bottom w:val="none" w:sz="0" w:space="0" w:color="auto"/>
        <w:right w:val="none" w:sz="0" w:space="0" w:color="auto"/>
      </w:divBdr>
    </w:div>
    <w:div w:id="1584561345">
      <w:marLeft w:val="0"/>
      <w:marRight w:val="0"/>
      <w:marTop w:val="0"/>
      <w:marBottom w:val="0"/>
      <w:divBdr>
        <w:top w:val="none" w:sz="0" w:space="0" w:color="auto"/>
        <w:left w:val="none" w:sz="0" w:space="0" w:color="auto"/>
        <w:bottom w:val="none" w:sz="0" w:space="0" w:color="auto"/>
        <w:right w:val="none" w:sz="0" w:space="0" w:color="auto"/>
      </w:divBdr>
    </w:div>
    <w:div w:id="1584875095">
      <w:marLeft w:val="0"/>
      <w:marRight w:val="0"/>
      <w:marTop w:val="0"/>
      <w:marBottom w:val="0"/>
      <w:divBdr>
        <w:top w:val="none" w:sz="0" w:space="0" w:color="auto"/>
        <w:left w:val="none" w:sz="0" w:space="0" w:color="auto"/>
        <w:bottom w:val="none" w:sz="0" w:space="0" w:color="auto"/>
        <w:right w:val="none" w:sz="0" w:space="0" w:color="auto"/>
      </w:divBdr>
    </w:div>
    <w:div w:id="1587375588">
      <w:marLeft w:val="0"/>
      <w:marRight w:val="0"/>
      <w:marTop w:val="0"/>
      <w:marBottom w:val="0"/>
      <w:divBdr>
        <w:top w:val="none" w:sz="0" w:space="0" w:color="auto"/>
        <w:left w:val="none" w:sz="0" w:space="0" w:color="auto"/>
        <w:bottom w:val="none" w:sz="0" w:space="0" w:color="auto"/>
        <w:right w:val="none" w:sz="0" w:space="0" w:color="auto"/>
      </w:divBdr>
      <w:divsChild>
        <w:div w:id="219098951">
          <w:marLeft w:val="0"/>
          <w:marRight w:val="0"/>
          <w:marTop w:val="0"/>
          <w:marBottom w:val="0"/>
          <w:divBdr>
            <w:top w:val="none" w:sz="0" w:space="0" w:color="auto"/>
            <w:left w:val="none" w:sz="0" w:space="0" w:color="auto"/>
            <w:bottom w:val="none" w:sz="0" w:space="0" w:color="auto"/>
            <w:right w:val="none" w:sz="0" w:space="0" w:color="auto"/>
          </w:divBdr>
        </w:div>
      </w:divsChild>
    </w:div>
    <w:div w:id="1588032594">
      <w:marLeft w:val="0"/>
      <w:marRight w:val="0"/>
      <w:marTop w:val="0"/>
      <w:marBottom w:val="240"/>
      <w:divBdr>
        <w:top w:val="none" w:sz="0" w:space="0" w:color="auto"/>
        <w:left w:val="none" w:sz="0" w:space="0" w:color="auto"/>
        <w:bottom w:val="none" w:sz="0" w:space="0" w:color="auto"/>
        <w:right w:val="none" w:sz="0" w:space="0" w:color="auto"/>
      </w:divBdr>
    </w:div>
    <w:div w:id="1588730600">
      <w:marLeft w:val="0"/>
      <w:marRight w:val="0"/>
      <w:marTop w:val="0"/>
      <w:marBottom w:val="0"/>
      <w:divBdr>
        <w:top w:val="none" w:sz="0" w:space="0" w:color="auto"/>
        <w:left w:val="none" w:sz="0" w:space="0" w:color="auto"/>
        <w:bottom w:val="none" w:sz="0" w:space="0" w:color="auto"/>
        <w:right w:val="none" w:sz="0" w:space="0" w:color="auto"/>
      </w:divBdr>
    </w:div>
    <w:div w:id="1589314896">
      <w:marLeft w:val="0"/>
      <w:marRight w:val="0"/>
      <w:marTop w:val="0"/>
      <w:marBottom w:val="0"/>
      <w:divBdr>
        <w:top w:val="none" w:sz="0" w:space="0" w:color="auto"/>
        <w:left w:val="none" w:sz="0" w:space="0" w:color="auto"/>
        <w:bottom w:val="none" w:sz="0" w:space="0" w:color="auto"/>
        <w:right w:val="none" w:sz="0" w:space="0" w:color="auto"/>
      </w:divBdr>
    </w:div>
    <w:div w:id="1590231370">
      <w:marLeft w:val="0"/>
      <w:marRight w:val="0"/>
      <w:marTop w:val="0"/>
      <w:marBottom w:val="0"/>
      <w:divBdr>
        <w:top w:val="none" w:sz="0" w:space="0" w:color="auto"/>
        <w:left w:val="none" w:sz="0" w:space="0" w:color="auto"/>
        <w:bottom w:val="none" w:sz="0" w:space="0" w:color="auto"/>
        <w:right w:val="none" w:sz="0" w:space="0" w:color="auto"/>
      </w:divBdr>
    </w:div>
    <w:div w:id="1591088257">
      <w:marLeft w:val="0"/>
      <w:marRight w:val="0"/>
      <w:marTop w:val="0"/>
      <w:marBottom w:val="0"/>
      <w:divBdr>
        <w:top w:val="none" w:sz="0" w:space="0" w:color="auto"/>
        <w:left w:val="none" w:sz="0" w:space="0" w:color="auto"/>
        <w:bottom w:val="none" w:sz="0" w:space="0" w:color="auto"/>
        <w:right w:val="none" w:sz="0" w:space="0" w:color="auto"/>
      </w:divBdr>
    </w:div>
    <w:div w:id="1591238333">
      <w:marLeft w:val="0"/>
      <w:marRight w:val="0"/>
      <w:marTop w:val="0"/>
      <w:marBottom w:val="0"/>
      <w:divBdr>
        <w:top w:val="none" w:sz="0" w:space="0" w:color="auto"/>
        <w:left w:val="none" w:sz="0" w:space="0" w:color="auto"/>
        <w:bottom w:val="none" w:sz="0" w:space="0" w:color="auto"/>
        <w:right w:val="none" w:sz="0" w:space="0" w:color="auto"/>
      </w:divBdr>
    </w:div>
    <w:div w:id="1591694916">
      <w:marLeft w:val="0"/>
      <w:marRight w:val="0"/>
      <w:marTop w:val="0"/>
      <w:marBottom w:val="0"/>
      <w:divBdr>
        <w:top w:val="none" w:sz="0" w:space="0" w:color="auto"/>
        <w:left w:val="none" w:sz="0" w:space="0" w:color="auto"/>
        <w:bottom w:val="none" w:sz="0" w:space="0" w:color="auto"/>
        <w:right w:val="none" w:sz="0" w:space="0" w:color="auto"/>
      </w:divBdr>
    </w:div>
    <w:div w:id="1591696316">
      <w:marLeft w:val="0"/>
      <w:marRight w:val="0"/>
      <w:marTop w:val="0"/>
      <w:marBottom w:val="0"/>
      <w:divBdr>
        <w:top w:val="none" w:sz="0" w:space="0" w:color="auto"/>
        <w:left w:val="none" w:sz="0" w:space="0" w:color="auto"/>
        <w:bottom w:val="none" w:sz="0" w:space="0" w:color="auto"/>
        <w:right w:val="none" w:sz="0" w:space="0" w:color="auto"/>
      </w:divBdr>
    </w:div>
    <w:div w:id="1591741056">
      <w:marLeft w:val="0"/>
      <w:marRight w:val="0"/>
      <w:marTop w:val="0"/>
      <w:marBottom w:val="0"/>
      <w:divBdr>
        <w:top w:val="none" w:sz="0" w:space="0" w:color="auto"/>
        <w:left w:val="none" w:sz="0" w:space="0" w:color="auto"/>
        <w:bottom w:val="none" w:sz="0" w:space="0" w:color="auto"/>
        <w:right w:val="none" w:sz="0" w:space="0" w:color="auto"/>
      </w:divBdr>
    </w:div>
    <w:div w:id="1592425674">
      <w:marLeft w:val="0"/>
      <w:marRight w:val="0"/>
      <w:marTop w:val="0"/>
      <w:marBottom w:val="0"/>
      <w:divBdr>
        <w:top w:val="none" w:sz="0" w:space="0" w:color="auto"/>
        <w:left w:val="none" w:sz="0" w:space="0" w:color="auto"/>
        <w:bottom w:val="none" w:sz="0" w:space="0" w:color="auto"/>
        <w:right w:val="none" w:sz="0" w:space="0" w:color="auto"/>
      </w:divBdr>
    </w:div>
    <w:div w:id="1593122257">
      <w:marLeft w:val="0"/>
      <w:marRight w:val="0"/>
      <w:marTop w:val="0"/>
      <w:marBottom w:val="0"/>
      <w:divBdr>
        <w:top w:val="none" w:sz="0" w:space="0" w:color="auto"/>
        <w:left w:val="none" w:sz="0" w:space="0" w:color="auto"/>
        <w:bottom w:val="none" w:sz="0" w:space="0" w:color="auto"/>
        <w:right w:val="none" w:sz="0" w:space="0" w:color="auto"/>
      </w:divBdr>
    </w:div>
    <w:div w:id="1593129534">
      <w:marLeft w:val="0"/>
      <w:marRight w:val="0"/>
      <w:marTop w:val="0"/>
      <w:marBottom w:val="0"/>
      <w:divBdr>
        <w:top w:val="none" w:sz="0" w:space="0" w:color="auto"/>
        <w:left w:val="none" w:sz="0" w:space="0" w:color="auto"/>
        <w:bottom w:val="none" w:sz="0" w:space="0" w:color="auto"/>
        <w:right w:val="none" w:sz="0" w:space="0" w:color="auto"/>
      </w:divBdr>
    </w:div>
    <w:div w:id="1593510404">
      <w:marLeft w:val="0"/>
      <w:marRight w:val="0"/>
      <w:marTop w:val="0"/>
      <w:marBottom w:val="0"/>
      <w:divBdr>
        <w:top w:val="none" w:sz="0" w:space="0" w:color="auto"/>
        <w:left w:val="none" w:sz="0" w:space="0" w:color="auto"/>
        <w:bottom w:val="none" w:sz="0" w:space="0" w:color="auto"/>
        <w:right w:val="none" w:sz="0" w:space="0" w:color="auto"/>
      </w:divBdr>
    </w:div>
    <w:div w:id="1593659054">
      <w:marLeft w:val="0"/>
      <w:marRight w:val="0"/>
      <w:marTop w:val="0"/>
      <w:marBottom w:val="0"/>
      <w:divBdr>
        <w:top w:val="none" w:sz="0" w:space="0" w:color="auto"/>
        <w:left w:val="none" w:sz="0" w:space="0" w:color="auto"/>
        <w:bottom w:val="none" w:sz="0" w:space="0" w:color="auto"/>
        <w:right w:val="none" w:sz="0" w:space="0" w:color="auto"/>
      </w:divBdr>
    </w:div>
    <w:div w:id="1596480614">
      <w:marLeft w:val="0"/>
      <w:marRight w:val="0"/>
      <w:marTop w:val="0"/>
      <w:marBottom w:val="0"/>
      <w:divBdr>
        <w:top w:val="none" w:sz="0" w:space="0" w:color="auto"/>
        <w:left w:val="none" w:sz="0" w:space="0" w:color="auto"/>
        <w:bottom w:val="none" w:sz="0" w:space="0" w:color="auto"/>
        <w:right w:val="none" w:sz="0" w:space="0" w:color="auto"/>
      </w:divBdr>
    </w:div>
    <w:div w:id="1596942633">
      <w:marLeft w:val="0"/>
      <w:marRight w:val="0"/>
      <w:marTop w:val="0"/>
      <w:marBottom w:val="0"/>
      <w:divBdr>
        <w:top w:val="none" w:sz="0" w:space="0" w:color="auto"/>
        <w:left w:val="none" w:sz="0" w:space="0" w:color="auto"/>
        <w:bottom w:val="none" w:sz="0" w:space="0" w:color="auto"/>
        <w:right w:val="none" w:sz="0" w:space="0" w:color="auto"/>
      </w:divBdr>
    </w:div>
    <w:div w:id="1597133949">
      <w:marLeft w:val="0"/>
      <w:marRight w:val="0"/>
      <w:marTop w:val="100"/>
      <w:marBottom w:val="100"/>
      <w:divBdr>
        <w:top w:val="none" w:sz="0" w:space="0" w:color="auto"/>
        <w:left w:val="none" w:sz="0" w:space="0" w:color="auto"/>
        <w:bottom w:val="none" w:sz="0" w:space="0" w:color="auto"/>
        <w:right w:val="none" w:sz="0" w:space="0" w:color="auto"/>
      </w:divBdr>
    </w:div>
    <w:div w:id="1597590838">
      <w:marLeft w:val="0"/>
      <w:marRight w:val="0"/>
      <w:marTop w:val="0"/>
      <w:marBottom w:val="0"/>
      <w:divBdr>
        <w:top w:val="none" w:sz="0" w:space="0" w:color="auto"/>
        <w:left w:val="none" w:sz="0" w:space="0" w:color="auto"/>
        <w:bottom w:val="none" w:sz="0" w:space="0" w:color="auto"/>
        <w:right w:val="none" w:sz="0" w:space="0" w:color="auto"/>
      </w:divBdr>
    </w:div>
    <w:div w:id="1597982792">
      <w:marLeft w:val="0"/>
      <w:marRight w:val="0"/>
      <w:marTop w:val="0"/>
      <w:marBottom w:val="0"/>
      <w:divBdr>
        <w:top w:val="none" w:sz="0" w:space="0" w:color="auto"/>
        <w:left w:val="none" w:sz="0" w:space="0" w:color="auto"/>
        <w:bottom w:val="none" w:sz="0" w:space="0" w:color="auto"/>
        <w:right w:val="none" w:sz="0" w:space="0" w:color="auto"/>
      </w:divBdr>
    </w:div>
    <w:div w:id="1598252176">
      <w:marLeft w:val="0"/>
      <w:marRight w:val="0"/>
      <w:marTop w:val="0"/>
      <w:marBottom w:val="0"/>
      <w:divBdr>
        <w:top w:val="none" w:sz="0" w:space="0" w:color="auto"/>
        <w:left w:val="none" w:sz="0" w:space="0" w:color="auto"/>
        <w:bottom w:val="none" w:sz="0" w:space="0" w:color="auto"/>
        <w:right w:val="none" w:sz="0" w:space="0" w:color="auto"/>
      </w:divBdr>
    </w:div>
    <w:div w:id="1598978876">
      <w:marLeft w:val="0"/>
      <w:marRight w:val="0"/>
      <w:marTop w:val="0"/>
      <w:marBottom w:val="0"/>
      <w:divBdr>
        <w:top w:val="none" w:sz="0" w:space="0" w:color="auto"/>
        <w:left w:val="none" w:sz="0" w:space="0" w:color="auto"/>
        <w:bottom w:val="none" w:sz="0" w:space="0" w:color="auto"/>
        <w:right w:val="none" w:sz="0" w:space="0" w:color="auto"/>
      </w:divBdr>
    </w:div>
    <w:div w:id="1599170060">
      <w:marLeft w:val="0"/>
      <w:marRight w:val="0"/>
      <w:marTop w:val="0"/>
      <w:marBottom w:val="0"/>
      <w:divBdr>
        <w:top w:val="none" w:sz="0" w:space="0" w:color="auto"/>
        <w:left w:val="none" w:sz="0" w:space="0" w:color="auto"/>
        <w:bottom w:val="none" w:sz="0" w:space="0" w:color="auto"/>
        <w:right w:val="none" w:sz="0" w:space="0" w:color="auto"/>
      </w:divBdr>
    </w:div>
    <w:div w:id="1600143481">
      <w:marLeft w:val="0"/>
      <w:marRight w:val="0"/>
      <w:marTop w:val="0"/>
      <w:marBottom w:val="0"/>
      <w:divBdr>
        <w:top w:val="none" w:sz="0" w:space="0" w:color="auto"/>
        <w:left w:val="none" w:sz="0" w:space="0" w:color="auto"/>
        <w:bottom w:val="none" w:sz="0" w:space="0" w:color="auto"/>
        <w:right w:val="none" w:sz="0" w:space="0" w:color="auto"/>
      </w:divBdr>
    </w:div>
    <w:div w:id="1601373282">
      <w:marLeft w:val="0"/>
      <w:marRight w:val="0"/>
      <w:marTop w:val="0"/>
      <w:marBottom w:val="0"/>
      <w:divBdr>
        <w:top w:val="none" w:sz="0" w:space="0" w:color="auto"/>
        <w:left w:val="none" w:sz="0" w:space="0" w:color="auto"/>
        <w:bottom w:val="none" w:sz="0" w:space="0" w:color="auto"/>
        <w:right w:val="none" w:sz="0" w:space="0" w:color="auto"/>
      </w:divBdr>
    </w:div>
    <w:div w:id="1602299167">
      <w:marLeft w:val="0"/>
      <w:marRight w:val="0"/>
      <w:marTop w:val="0"/>
      <w:marBottom w:val="0"/>
      <w:divBdr>
        <w:top w:val="none" w:sz="0" w:space="0" w:color="auto"/>
        <w:left w:val="none" w:sz="0" w:space="0" w:color="auto"/>
        <w:bottom w:val="none" w:sz="0" w:space="0" w:color="auto"/>
        <w:right w:val="none" w:sz="0" w:space="0" w:color="auto"/>
      </w:divBdr>
    </w:div>
    <w:div w:id="1602375802">
      <w:marLeft w:val="0"/>
      <w:marRight w:val="0"/>
      <w:marTop w:val="0"/>
      <w:marBottom w:val="0"/>
      <w:divBdr>
        <w:top w:val="none" w:sz="0" w:space="0" w:color="auto"/>
        <w:left w:val="none" w:sz="0" w:space="0" w:color="auto"/>
        <w:bottom w:val="none" w:sz="0" w:space="0" w:color="auto"/>
        <w:right w:val="none" w:sz="0" w:space="0" w:color="auto"/>
      </w:divBdr>
    </w:div>
    <w:div w:id="1603299562">
      <w:marLeft w:val="0"/>
      <w:marRight w:val="0"/>
      <w:marTop w:val="0"/>
      <w:marBottom w:val="0"/>
      <w:divBdr>
        <w:top w:val="none" w:sz="0" w:space="0" w:color="auto"/>
        <w:left w:val="none" w:sz="0" w:space="0" w:color="auto"/>
        <w:bottom w:val="none" w:sz="0" w:space="0" w:color="auto"/>
        <w:right w:val="none" w:sz="0" w:space="0" w:color="auto"/>
      </w:divBdr>
    </w:div>
    <w:div w:id="1604529065">
      <w:marLeft w:val="0"/>
      <w:marRight w:val="0"/>
      <w:marTop w:val="0"/>
      <w:marBottom w:val="0"/>
      <w:divBdr>
        <w:top w:val="none" w:sz="0" w:space="0" w:color="auto"/>
        <w:left w:val="none" w:sz="0" w:space="0" w:color="auto"/>
        <w:bottom w:val="none" w:sz="0" w:space="0" w:color="auto"/>
        <w:right w:val="none" w:sz="0" w:space="0" w:color="auto"/>
      </w:divBdr>
    </w:div>
    <w:div w:id="1605645811">
      <w:marLeft w:val="0"/>
      <w:marRight w:val="0"/>
      <w:marTop w:val="0"/>
      <w:marBottom w:val="0"/>
      <w:divBdr>
        <w:top w:val="none" w:sz="0" w:space="0" w:color="auto"/>
        <w:left w:val="none" w:sz="0" w:space="0" w:color="auto"/>
        <w:bottom w:val="none" w:sz="0" w:space="0" w:color="auto"/>
        <w:right w:val="none" w:sz="0" w:space="0" w:color="auto"/>
      </w:divBdr>
    </w:div>
    <w:div w:id="1605844085">
      <w:marLeft w:val="0"/>
      <w:marRight w:val="0"/>
      <w:marTop w:val="0"/>
      <w:marBottom w:val="0"/>
      <w:divBdr>
        <w:top w:val="none" w:sz="0" w:space="0" w:color="auto"/>
        <w:left w:val="none" w:sz="0" w:space="0" w:color="auto"/>
        <w:bottom w:val="none" w:sz="0" w:space="0" w:color="auto"/>
        <w:right w:val="none" w:sz="0" w:space="0" w:color="auto"/>
      </w:divBdr>
    </w:div>
    <w:div w:id="1606376413">
      <w:marLeft w:val="0"/>
      <w:marRight w:val="0"/>
      <w:marTop w:val="0"/>
      <w:marBottom w:val="0"/>
      <w:divBdr>
        <w:top w:val="none" w:sz="0" w:space="0" w:color="auto"/>
        <w:left w:val="none" w:sz="0" w:space="0" w:color="auto"/>
        <w:bottom w:val="none" w:sz="0" w:space="0" w:color="auto"/>
        <w:right w:val="none" w:sz="0" w:space="0" w:color="auto"/>
      </w:divBdr>
    </w:div>
    <w:div w:id="1607077813">
      <w:marLeft w:val="0"/>
      <w:marRight w:val="0"/>
      <w:marTop w:val="0"/>
      <w:marBottom w:val="0"/>
      <w:divBdr>
        <w:top w:val="none" w:sz="0" w:space="0" w:color="auto"/>
        <w:left w:val="none" w:sz="0" w:space="0" w:color="auto"/>
        <w:bottom w:val="none" w:sz="0" w:space="0" w:color="auto"/>
        <w:right w:val="none" w:sz="0" w:space="0" w:color="auto"/>
      </w:divBdr>
    </w:div>
    <w:div w:id="1607078619">
      <w:marLeft w:val="0"/>
      <w:marRight w:val="0"/>
      <w:marTop w:val="0"/>
      <w:marBottom w:val="0"/>
      <w:divBdr>
        <w:top w:val="none" w:sz="0" w:space="0" w:color="auto"/>
        <w:left w:val="none" w:sz="0" w:space="0" w:color="auto"/>
        <w:bottom w:val="none" w:sz="0" w:space="0" w:color="auto"/>
        <w:right w:val="none" w:sz="0" w:space="0" w:color="auto"/>
      </w:divBdr>
    </w:div>
    <w:div w:id="1607886804">
      <w:marLeft w:val="0"/>
      <w:marRight w:val="0"/>
      <w:marTop w:val="0"/>
      <w:marBottom w:val="0"/>
      <w:divBdr>
        <w:top w:val="none" w:sz="0" w:space="0" w:color="auto"/>
        <w:left w:val="none" w:sz="0" w:space="0" w:color="auto"/>
        <w:bottom w:val="none" w:sz="0" w:space="0" w:color="auto"/>
        <w:right w:val="none" w:sz="0" w:space="0" w:color="auto"/>
      </w:divBdr>
    </w:div>
    <w:div w:id="1607957336">
      <w:marLeft w:val="0"/>
      <w:marRight w:val="0"/>
      <w:marTop w:val="0"/>
      <w:marBottom w:val="0"/>
      <w:divBdr>
        <w:top w:val="none" w:sz="0" w:space="0" w:color="auto"/>
        <w:left w:val="none" w:sz="0" w:space="0" w:color="auto"/>
        <w:bottom w:val="none" w:sz="0" w:space="0" w:color="auto"/>
        <w:right w:val="none" w:sz="0" w:space="0" w:color="auto"/>
      </w:divBdr>
    </w:div>
    <w:div w:id="1608929017">
      <w:marLeft w:val="0"/>
      <w:marRight w:val="0"/>
      <w:marTop w:val="0"/>
      <w:marBottom w:val="0"/>
      <w:divBdr>
        <w:top w:val="none" w:sz="0" w:space="0" w:color="auto"/>
        <w:left w:val="none" w:sz="0" w:space="0" w:color="auto"/>
        <w:bottom w:val="none" w:sz="0" w:space="0" w:color="auto"/>
        <w:right w:val="none" w:sz="0" w:space="0" w:color="auto"/>
      </w:divBdr>
    </w:div>
    <w:div w:id="1610234868">
      <w:marLeft w:val="0"/>
      <w:marRight w:val="0"/>
      <w:marTop w:val="0"/>
      <w:marBottom w:val="0"/>
      <w:divBdr>
        <w:top w:val="none" w:sz="0" w:space="0" w:color="auto"/>
        <w:left w:val="none" w:sz="0" w:space="0" w:color="auto"/>
        <w:bottom w:val="none" w:sz="0" w:space="0" w:color="auto"/>
        <w:right w:val="none" w:sz="0" w:space="0" w:color="auto"/>
      </w:divBdr>
    </w:div>
    <w:div w:id="1610577117">
      <w:marLeft w:val="0"/>
      <w:marRight w:val="0"/>
      <w:marTop w:val="0"/>
      <w:marBottom w:val="0"/>
      <w:divBdr>
        <w:top w:val="none" w:sz="0" w:space="0" w:color="auto"/>
        <w:left w:val="none" w:sz="0" w:space="0" w:color="auto"/>
        <w:bottom w:val="none" w:sz="0" w:space="0" w:color="auto"/>
        <w:right w:val="none" w:sz="0" w:space="0" w:color="auto"/>
      </w:divBdr>
    </w:div>
    <w:div w:id="1610577641">
      <w:marLeft w:val="0"/>
      <w:marRight w:val="0"/>
      <w:marTop w:val="0"/>
      <w:marBottom w:val="0"/>
      <w:divBdr>
        <w:top w:val="none" w:sz="0" w:space="0" w:color="auto"/>
        <w:left w:val="none" w:sz="0" w:space="0" w:color="auto"/>
        <w:bottom w:val="none" w:sz="0" w:space="0" w:color="auto"/>
        <w:right w:val="none" w:sz="0" w:space="0" w:color="auto"/>
      </w:divBdr>
    </w:div>
    <w:div w:id="1611431685">
      <w:marLeft w:val="0"/>
      <w:marRight w:val="0"/>
      <w:marTop w:val="0"/>
      <w:marBottom w:val="0"/>
      <w:divBdr>
        <w:top w:val="none" w:sz="0" w:space="0" w:color="auto"/>
        <w:left w:val="none" w:sz="0" w:space="0" w:color="auto"/>
        <w:bottom w:val="none" w:sz="0" w:space="0" w:color="auto"/>
        <w:right w:val="none" w:sz="0" w:space="0" w:color="auto"/>
      </w:divBdr>
    </w:div>
    <w:div w:id="1611888085">
      <w:marLeft w:val="0"/>
      <w:marRight w:val="0"/>
      <w:marTop w:val="0"/>
      <w:marBottom w:val="0"/>
      <w:divBdr>
        <w:top w:val="none" w:sz="0" w:space="0" w:color="auto"/>
        <w:left w:val="none" w:sz="0" w:space="0" w:color="auto"/>
        <w:bottom w:val="none" w:sz="0" w:space="0" w:color="auto"/>
        <w:right w:val="none" w:sz="0" w:space="0" w:color="auto"/>
      </w:divBdr>
    </w:div>
    <w:div w:id="1612324984">
      <w:marLeft w:val="0"/>
      <w:marRight w:val="0"/>
      <w:marTop w:val="0"/>
      <w:marBottom w:val="0"/>
      <w:divBdr>
        <w:top w:val="none" w:sz="0" w:space="0" w:color="auto"/>
        <w:left w:val="none" w:sz="0" w:space="0" w:color="auto"/>
        <w:bottom w:val="none" w:sz="0" w:space="0" w:color="auto"/>
        <w:right w:val="none" w:sz="0" w:space="0" w:color="auto"/>
      </w:divBdr>
    </w:div>
    <w:div w:id="1613240611">
      <w:marLeft w:val="0"/>
      <w:marRight w:val="0"/>
      <w:marTop w:val="0"/>
      <w:marBottom w:val="0"/>
      <w:divBdr>
        <w:top w:val="none" w:sz="0" w:space="0" w:color="auto"/>
        <w:left w:val="none" w:sz="0" w:space="0" w:color="auto"/>
        <w:bottom w:val="none" w:sz="0" w:space="0" w:color="auto"/>
        <w:right w:val="none" w:sz="0" w:space="0" w:color="auto"/>
      </w:divBdr>
    </w:div>
    <w:div w:id="1613393300">
      <w:marLeft w:val="0"/>
      <w:marRight w:val="0"/>
      <w:marTop w:val="0"/>
      <w:marBottom w:val="0"/>
      <w:divBdr>
        <w:top w:val="none" w:sz="0" w:space="0" w:color="auto"/>
        <w:left w:val="none" w:sz="0" w:space="0" w:color="auto"/>
        <w:bottom w:val="none" w:sz="0" w:space="0" w:color="auto"/>
        <w:right w:val="none" w:sz="0" w:space="0" w:color="auto"/>
      </w:divBdr>
    </w:div>
    <w:div w:id="1613433779">
      <w:marLeft w:val="0"/>
      <w:marRight w:val="0"/>
      <w:marTop w:val="0"/>
      <w:marBottom w:val="0"/>
      <w:divBdr>
        <w:top w:val="none" w:sz="0" w:space="0" w:color="auto"/>
        <w:left w:val="none" w:sz="0" w:space="0" w:color="auto"/>
        <w:bottom w:val="none" w:sz="0" w:space="0" w:color="auto"/>
        <w:right w:val="none" w:sz="0" w:space="0" w:color="auto"/>
      </w:divBdr>
    </w:div>
    <w:div w:id="1614752582">
      <w:marLeft w:val="0"/>
      <w:marRight w:val="0"/>
      <w:marTop w:val="0"/>
      <w:marBottom w:val="0"/>
      <w:divBdr>
        <w:top w:val="none" w:sz="0" w:space="0" w:color="auto"/>
        <w:left w:val="none" w:sz="0" w:space="0" w:color="auto"/>
        <w:bottom w:val="none" w:sz="0" w:space="0" w:color="auto"/>
        <w:right w:val="none" w:sz="0" w:space="0" w:color="auto"/>
      </w:divBdr>
    </w:div>
    <w:div w:id="1615405667">
      <w:marLeft w:val="0"/>
      <w:marRight w:val="0"/>
      <w:marTop w:val="0"/>
      <w:marBottom w:val="0"/>
      <w:divBdr>
        <w:top w:val="none" w:sz="0" w:space="0" w:color="auto"/>
        <w:left w:val="none" w:sz="0" w:space="0" w:color="auto"/>
        <w:bottom w:val="none" w:sz="0" w:space="0" w:color="auto"/>
        <w:right w:val="none" w:sz="0" w:space="0" w:color="auto"/>
      </w:divBdr>
    </w:div>
    <w:div w:id="1615818417">
      <w:marLeft w:val="0"/>
      <w:marRight w:val="0"/>
      <w:marTop w:val="0"/>
      <w:marBottom w:val="0"/>
      <w:divBdr>
        <w:top w:val="none" w:sz="0" w:space="0" w:color="auto"/>
        <w:left w:val="none" w:sz="0" w:space="0" w:color="auto"/>
        <w:bottom w:val="none" w:sz="0" w:space="0" w:color="auto"/>
        <w:right w:val="none" w:sz="0" w:space="0" w:color="auto"/>
      </w:divBdr>
    </w:div>
    <w:div w:id="1617132116">
      <w:marLeft w:val="0"/>
      <w:marRight w:val="0"/>
      <w:marTop w:val="0"/>
      <w:marBottom w:val="0"/>
      <w:divBdr>
        <w:top w:val="none" w:sz="0" w:space="0" w:color="auto"/>
        <w:left w:val="none" w:sz="0" w:space="0" w:color="auto"/>
        <w:bottom w:val="none" w:sz="0" w:space="0" w:color="auto"/>
        <w:right w:val="none" w:sz="0" w:space="0" w:color="auto"/>
      </w:divBdr>
    </w:div>
    <w:div w:id="1617374028">
      <w:marLeft w:val="0"/>
      <w:marRight w:val="0"/>
      <w:marTop w:val="0"/>
      <w:marBottom w:val="240"/>
      <w:divBdr>
        <w:top w:val="none" w:sz="0" w:space="0" w:color="auto"/>
        <w:left w:val="none" w:sz="0" w:space="0" w:color="auto"/>
        <w:bottom w:val="none" w:sz="0" w:space="0" w:color="auto"/>
        <w:right w:val="none" w:sz="0" w:space="0" w:color="auto"/>
      </w:divBdr>
    </w:div>
    <w:div w:id="1618172373">
      <w:marLeft w:val="0"/>
      <w:marRight w:val="0"/>
      <w:marTop w:val="0"/>
      <w:marBottom w:val="0"/>
      <w:divBdr>
        <w:top w:val="none" w:sz="0" w:space="0" w:color="auto"/>
        <w:left w:val="none" w:sz="0" w:space="0" w:color="auto"/>
        <w:bottom w:val="none" w:sz="0" w:space="0" w:color="auto"/>
        <w:right w:val="none" w:sz="0" w:space="0" w:color="auto"/>
      </w:divBdr>
    </w:div>
    <w:div w:id="1618246286">
      <w:marLeft w:val="0"/>
      <w:marRight w:val="0"/>
      <w:marTop w:val="0"/>
      <w:marBottom w:val="0"/>
      <w:divBdr>
        <w:top w:val="none" w:sz="0" w:space="0" w:color="auto"/>
        <w:left w:val="none" w:sz="0" w:space="0" w:color="auto"/>
        <w:bottom w:val="none" w:sz="0" w:space="0" w:color="auto"/>
        <w:right w:val="none" w:sz="0" w:space="0" w:color="auto"/>
      </w:divBdr>
    </w:div>
    <w:div w:id="1619606825">
      <w:marLeft w:val="0"/>
      <w:marRight w:val="0"/>
      <w:marTop w:val="0"/>
      <w:marBottom w:val="0"/>
      <w:divBdr>
        <w:top w:val="none" w:sz="0" w:space="0" w:color="auto"/>
        <w:left w:val="none" w:sz="0" w:space="0" w:color="auto"/>
        <w:bottom w:val="none" w:sz="0" w:space="0" w:color="auto"/>
        <w:right w:val="none" w:sz="0" w:space="0" w:color="auto"/>
      </w:divBdr>
    </w:div>
    <w:div w:id="1619794650">
      <w:marLeft w:val="0"/>
      <w:marRight w:val="0"/>
      <w:marTop w:val="0"/>
      <w:marBottom w:val="0"/>
      <w:divBdr>
        <w:top w:val="none" w:sz="0" w:space="0" w:color="auto"/>
        <w:left w:val="none" w:sz="0" w:space="0" w:color="auto"/>
        <w:bottom w:val="none" w:sz="0" w:space="0" w:color="auto"/>
        <w:right w:val="none" w:sz="0" w:space="0" w:color="auto"/>
      </w:divBdr>
    </w:div>
    <w:div w:id="1620138849">
      <w:marLeft w:val="0"/>
      <w:marRight w:val="0"/>
      <w:marTop w:val="0"/>
      <w:marBottom w:val="0"/>
      <w:divBdr>
        <w:top w:val="none" w:sz="0" w:space="0" w:color="auto"/>
        <w:left w:val="none" w:sz="0" w:space="0" w:color="auto"/>
        <w:bottom w:val="none" w:sz="0" w:space="0" w:color="auto"/>
        <w:right w:val="none" w:sz="0" w:space="0" w:color="auto"/>
      </w:divBdr>
      <w:divsChild>
        <w:div w:id="1896309562">
          <w:marLeft w:val="0"/>
          <w:marRight w:val="0"/>
          <w:marTop w:val="0"/>
          <w:marBottom w:val="0"/>
          <w:divBdr>
            <w:top w:val="none" w:sz="0" w:space="0" w:color="auto"/>
            <w:left w:val="none" w:sz="0" w:space="0" w:color="auto"/>
            <w:bottom w:val="none" w:sz="0" w:space="0" w:color="auto"/>
            <w:right w:val="none" w:sz="0" w:space="0" w:color="auto"/>
          </w:divBdr>
        </w:div>
      </w:divsChild>
    </w:div>
    <w:div w:id="1622372289">
      <w:marLeft w:val="0"/>
      <w:marRight w:val="0"/>
      <w:marTop w:val="0"/>
      <w:marBottom w:val="0"/>
      <w:divBdr>
        <w:top w:val="none" w:sz="0" w:space="0" w:color="auto"/>
        <w:left w:val="none" w:sz="0" w:space="0" w:color="auto"/>
        <w:bottom w:val="none" w:sz="0" w:space="0" w:color="auto"/>
        <w:right w:val="none" w:sz="0" w:space="0" w:color="auto"/>
      </w:divBdr>
    </w:div>
    <w:div w:id="1622414203">
      <w:marLeft w:val="0"/>
      <w:marRight w:val="0"/>
      <w:marTop w:val="0"/>
      <w:marBottom w:val="0"/>
      <w:divBdr>
        <w:top w:val="none" w:sz="0" w:space="0" w:color="auto"/>
        <w:left w:val="none" w:sz="0" w:space="0" w:color="auto"/>
        <w:bottom w:val="none" w:sz="0" w:space="0" w:color="auto"/>
        <w:right w:val="none" w:sz="0" w:space="0" w:color="auto"/>
      </w:divBdr>
    </w:div>
    <w:div w:id="1623535622">
      <w:marLeft w:val="0"/>
      <w:marRight w:val="0"/>
      <w:marTop w:val="0"/>
      <w:marBottom w:val="0"/>
      <w:divBdr>
        <w:top w:val="none" w:sz="0" w:space="0" w:color="auto"/>
        <w:left w:val="none" w:sz="0" w:space="0" w:color="auto"/>
        <w:bottom w:val="none" w:sz="0" w:space="0" w:color="auto"/>
        <w:right w:val="none" w:sz="0" w:space="0" w:color="auto"/>
      </w:divBdr>
    </w:div>
    <w:div w:id="1623851360">
      <w:marLeft w:val="0"/>
      <w:marRight w:val="0"/>
      <w:marTop w:val="0"/>
      <w:marBottom w:val="0"/>
      <w:divBdr>
        <w:top w:val="none" w:sz="0" w:space="0" w:color="auto"/>
        <w:left w:val="none" w:sz="0" w:space="0" w:color="auto"/>
        <w:bottom w:val="none" w:sz="0" w:space="0" w:color="auto"/>
        <w:right w:val="none" w:sz="0" w:space="0" w:color="auto"/>
      </w:divBdr>
    </w:div>
    <w:div w:id="1624266926">
      <w:marLeft w:val="0"/>
      <w:marRight w:val="0"/>
      <w:marTop w:val="0"/>
      <w:marBottom w:val="0"/>
      <w:divBdr>
        <w:top w:val="none" w:sz="0" w:space="0" w:color="auto"/>
        <w:left w:val="none" w:sz="0" w:space="0" w:color="auto"/>
        <w:bottom w:val="none" w:sz="0" w:space="0" w:color="auto"/>
        <w:right w:val="none" w:sz="0" w:space="0" w:color="auto"/>
      </w:divBdr>
      <w:divsChild>
        <w:div w:id="1005088144">
          <w:marLeft w:val="0"/>
          <w:marRight w:val="0"/>
          <w:marTop w:val="0"/>
          <w:marBottom w:val="0"/>
          <w:divBdr>
            <w:top w:val="none" w:sz="0" w:space="0" w:color="auto"/>
            <w:left w:val="none" w:sz="0" w:space="0" w:color="auto"/>
            <w:bottom w:val="none" w:sz="0" w:space="0" w:color="auto"/>
            <w:right w:val="none" w:sz="0" w:space="0" w:color="auto"/>
          </w:divBdr>
        </w:div>
      </w:divsChild>
    </w:div>
    <w:div w:id="1624458751">
      <w:marLeft w:val="0"/>
      <w:marRight w:val="0"/>
      <w:marTop w:val="0"/>
      <w:marBottom w:val="0"/>
      <w:divBdr>
        <w:top w:val="none" w:sz="0" w:space="0" w:color="auto"/>
        <w:left w:val="none" w:sz="0" w:space="0" w:color="auto"/>
        <w:bottom w:val="none" w:sz="0" w:space="0" w:color="auto"/>
        <w:right w:val="none" w:sz="0" w:space="0" w:color="auto"/>
      </w:divBdr>
    </w:div>
    <w:div w:id="1624799976">
      <w:marLeft w:val="0"/>
      <w:marRight w:val="0"/>
      <w:marTop w:val="0"/>
      <w:marBottom w:val="0"/>
      <w:divBdr>
        <w:top w:val="none" w:sz="0" w:space="0" w:color="auto"/>
        <w:left w:val="none" w:sz="0" w:space="0" w:color="auto"/>
        <w:bottom w:val="none" w:sz="0" w:space="0" w:color="auto"/>
        <w:right w:val="none" w:sz="0" w:space="0" w:color="auto"/>
      </w:divBdr>
    </w:div>
    <w:div w:id="1626697256">
      <w:marLeft w:val="0"/>
      <w:marRight w:val="0"/>
      <w:marTop w:val="0"/>
      <w:marBottom w:val="0"/>
      <w:divBdr>
        <w:top w:val="none" w:sz="0" w:space="0" w:color="auto"/>
        <w:left w:val="none" w:sz="0" w:space="0" w:color="auto"/>
        <w:bottom w:val="none" w:sz="0" w:space="0" w:color="auto"/>
        <w:right w:val="none" w:sz="0" w:space="0" w:color="auto"/>
      </w:divBdr>
    </w:div>
    <w:div w:id="1626698158">
      <w:marLeft w:val="0"/>
      <w:marRight w:val="0"/>
      <w:marTop w:val="0"/>
      <w:marBottom w:val="0"/>
      <w:divBdr>
        <w:top w:val="none" w:sz="0" w:space="0" w:color="auto"/>
        <w:left w:val="none" w:sz="0" w:space="0" w:color="auto"/>
        <w:bottom w:val="none" w:sz="0" w:space="0" w:color="auto"/>
        <w:right w:val="none" w:sz="0" w:space="0" w:color="auto"/>
      </w:divBdr>
      <w:divsChild>
        <w:div w:id="1863005861">
          <w:marLeft w:val="0"/>
          <w:marRight w:val="0"/>
          <w:marTop w:val="0"/>
          <w:marBottom w:val="0"/>
          <w:divBdr>
            <w:top w:val="none" w:sz="0" w:space="0" w:color="auto"/>
            <w:left w:val="none" w:sz="0" w:space="0" w:color="auto"/>
            <w:bottom w:val="none" w:sz="0" w:space="0" w:color="auto"/>
            <w:right w:val="none" w:sz="0" w:space="0" w:color="auto"/>
          </w:divBdr>
        </w:div>
      </w:divsChild>
    </w:div>
    <w:div w:id="1627083938">
      <w:marLeft w:val="0"/>
      <w:marRight w:val="0"/>
      <w:marTop w:val="0"/>
      <w:marBottom w:val="0"/>
      <w:divBdr>
        <w:top w:val="none" w:sz="0" w:space="0" w:color="auto"/>
        <w:left w:val="none" w:sz="0" w:space="0" w:color="auto"/>
        <w:bottom w:val="none" w:sz="0" w:space="0" w:color="auto"/>
        <w:right w:val="none" w:sz="0" w:space="0" w:color="auto"/>
      </w:divBdr>
    </w:div>
    <w:div w:id="1627469036">
      <w:marLeft w:val="0"/>
      <w:marRight w:val="0"/>
      <w:marTop w:val="0"/>
      <w:marBottom w:val="0"/>
      <w:divBdr>
        <w:top w:val="none" w:sz="0" w:space="0" w:color="auto"/>
        <w:left w:val="none" w:sz="0" w:space="0" w:color="auto"/>
        <w:bottom w:val="none" w:sz="0" w:space="0" w:color="auto"/>
        <w:right w:val="none" w:sz="0" w:space="0" w:color="auto"/>
      </w:divBdr>
    </w:div>
    <w:div w:id="1628076336">
      <w:marLeft w:val="0"/>
      <w:marRight w:val="0"/>
      <w:marTop w:val="0"/>
      <w:marBottom w:val="0"/>
      <w:divBdr>
        <w:top w:val="none" w:sz="0" w:space="0" w:color="auto"/>
        <w:left w:val="none" w:sz="0" w:space="0" w:color="auto"/>
        <w:bottom w:val="none" w:sz="0" w:space="0" w:color="auto"/>
        <w:right w:val="none" w:sz="0" w:space="0" w:color="auto"/>
      </w:divBdr>
    </w:div>
    <w:div w:id="1629362248">
      <w:marLeft w:val="0"/>
      <w:marRight w:val="0"/>
      <w:marTop w:val="0"/>
      <w:marBottom w:val="0"/>
      <w:divBdr>
        <w:top w:val="none" w:sz="0" w:space="0" w:color="auto"/>
        <w:left w:val="none" w:sz="0" w:space="0" w:color="auto"/>
        <w:bottom w:val="none" w:sz="0" w:space="0" w:color="auto"/>
        <w:right w:val="none" w:sz="0" w:space="0" w:color="auto"/>
      </w:divBdr>
    </w:div>
    <w:div w:id="1629700920">
      <w:marLeft w:val="0"/>
      <w:marRight w:val="0"/>
      <w:marTop w:val="0"/>
      <w:marBottom w:val="0"/>
      <w:divBdr>
        <w:top w:val="none" w:sz="0" w:space="0" w:color="auto"/>
        <w:left w:val="none" w:sz="0" w:space="0" w:color="auto"/>
        <w:bottom w:val="none" w:sz="0" w:space="0" w:color="auto"/>
        <w:right w:val="none" w:sz="0" w:space="0" w:color="auto"/>
      </w:divBdr>
    </w:div>
    <w:div w:id="1629817529">
      <w:marLeft w:val="0"/>
      <w:marRight w:val="0"/>
      <w:marTop w:val="0"/>
      <w:marBottom w:val="0"/>
      <w:divBdr>
        <w:top w:val="none" w:sz="0" w:space="0" w:color="auto"/>
        <w:left w:val="none" w:sz="0" w:space="0" w:color="auto"/>
        <w:bottom w:val="none" w:sz="0" w:space="0" w:color="auto"/>
        <w:right w:val="none" w:sz="0" w:space="0" w:color="auto"/>
      </w:divBdr>
    </w:div>
    <w:div w:id="1631326815">
      <w:marLeft w:val="0"/>
      <w:marRight w:val="0"/>
      <w:marTop w:val="0"/>
      <w:marBottom w:val="0"/>
      <w:divBdr>
        <w:top w:val="none" w:sz="0" w:space="0" w:color="auto"/>
        <w:left w:val="none" w:sz="0" w:space="0" w:color="auto"/>
        <w:bottom w:val="none" w:sz="0" w:space="0" w:color="auto"/>
        <w:right w:val="none" w:sz="0" w:space="0" w:color="auto"/>
      </w:divBdr>
    </w:div>
    <w:div w:id="1631401018">
      <w:marLeft w:val="0"/>
      <w:marRight w:val="0"/>
      <w:marTop w:val="60"/>
      <w:marBottom w:val="0"/>
      <w:divBdr>
        <w:top w:val="none" w:sz="0" w:space="0" w:color="auto"/>
        <w:left w:val="none" w:sz="0" w:space="0" w:color="auto"/>
        <w:bottom w:val="none" w:sz="0" w:space="0" w:color="auto"/>
        <w:right w:val="none" w:sz="0" w:space="0" w:color="auto"/>
      </w:divBdr>
    </w:div>
    <w:div w:id="1631788948">
      <w:marLeft w:val="0"/>
      <w:marRight w:val="0"/>
      <w:marTop w:val="0"/>
      <w:marBottom w:val="0"/>
      <w:divBdr>
        <w:top w:val="none" w:sz="0" w:space="0" w:color="auto"/>
        <w:left w:val="none" w:sz="0" w:space="0" w:color="auto"/>
        <w:bottom w:val="none" w:sz="0" w:space="0" w:color="auto"/>
        <w:right w:val="none" w:sz="0" w:space="0" w:color="auto"/>
      </w:divBdr>
    </w:div>
    <w:div w:id="1632789156">
      <w:marLeft w:val="0"/>
      <w:marRight w:val="0"/>
      <w:marTop w:val="0"/>
      <w:marBottom w:val="0"/>
      <w:divBdr>
        <w:top w:val="none" w:sz="0" w:space="0" w:color="auto"/>
        <w:left w:val="none" w:sz="0" w:space="0" w:color="auto"/>
        <w:bottom w:val="none" w:sz="0" w:space="0" w:color="auto"/>
        <w:right w:val="none" w:sz="0" w:space="0" w:color="auto"/>
      </w:divBdr>
    </w:div>
    <w:div w:id="1633058147">
      <w:marLeft w:val="0"/>
      <w:marRight w:val="0"/>
      <w:marTop w:val="0"/>
      <w:marBottom w:val="0"/>
      <w:divBdr>
        <w:top w:val="none" w:sz="0" w:space="0" w:color="auto"/>
        <w:left w:val="none" w:sz="0" w:space="0" w:color="auto"/>
        <w:bottom w:val="none" w:sz="0" w:space="0" w:color="auto"/>
        <w:right w:val="none" w:sz="0" w:space="0" w:color="auto"/>
      </w:divBdr>
    </w:div>
    <w:div w:id="1633318884">
      <w:marLeft w:val="0"/>
      <w:marRight w:val="0"/>
      <w:marTop w:val="0"/>
      <w:marBottom w:val="0"/>
      <w:divBdr>
        <w:top w:val="none" w:sz="0" w:space="0" w:color="auto"/>
        <w:left w:val="none" w:sz="0" w:space="0" w:color="auto"/>
        <w:bottom w:val="none" w:sz="0" w:space="0" w:color="auto"/>
        <w:right w:val="none" w:sz="0" w:space="0" w:color="auto"/>
      </w:divBdr>
      <w:divsChild>
        <w:div w:id="1097091133">
          <w:marLeft w:val="0"/>
          <w:marRight w:val="0"/>
          <w:marTop w:val="0"/>
          <w:marBottom w:val="0"/>
          <w:divBdr>
            <w:top w:val="none" w:sz="0" w:space="0" w:color="auto"/>
            <w:left w:val="none" w:sz="0" w:space="0" w:color="auto"/>
            <w:bottom w:val="none" w:sz="0" w:space="0" w:color="auto"/>
            <w:right w:val="none" w:sz="0" w:space="0" w:color="auto"/>
          </w:divBdr>
        </w:div>
      </w:divsChild>
    </w:div>
    <w:div w:id="1634404254">
      <w:marLeft w:val="0"/>
      <w:marRight w:val="0"/>
      <w:marTop w:val="0"/>
      <w:marBottom w:val="0"/>
      <w:divBdr>
        <w:top w:val="none" w:sz="0" w:space="0" w:color="auto"/>
        <w:left w:val="none" w:sz="0" w:space="0" w:color="auto"/>
        <w:bottom w:val="none" w:sz="0" w:space="0" w:color="auto"/>
        <w:right w:val="none" w:sz="0" w:space="0" w:color="auto"/>
      </w:divBdr>
    </w:div>
    <w:div w:id="1635018391">
      <w:marLeft w:val="0"/>
      <w:marRight w:val="0"/>
      <w:marTop w:val="0"/>
      <w:marBottom w:val="0"/>
      <w:divBdr>
        <w:top w:val="none" w:sz="0" w:space="0" w:color="auto"/>
        <w:left w:val="none" w:sz="0" w:space="0" w:color="auto"/>
        <w:bottom w:val="none" w:sz="0" w:space="0" w:color="auto"/>
        <w:right w:val="none" w:sz="0" w:space="0" w:color="auto"/>
      </w:divBdr>
    </w:div>
    <w:div w:id="1636327136">
      <w:marLeft w:val="0"/>
      <w:marRight w:val="0"/>
      <w:marTop w:val="0"/>
      <w:marBottom w:val="0"/>
      <w:divBdr>
        <w:top w:val="none" w:sz="0" w:space="0" w:color="auto"/>
        <w:left w:val="none" w:sz="0" w:space="0" w:color="auto"/>
        <w:bottom w:val="none" w:sz="0" w:space="0" w:color="auto"/>
        <w:right w:val="none" w:sz="0" w:space="0" w:color="auto"/>
      </w:divBdr>
    </w:div>
    <w:div w:id="1637106019">
      <w:marLeft w:val="0"/>
      <w:marRight w:val="0"/>
      <w:marTop w:val="0"/>
      <w:marBottom w:val="0"/>
      <w:divBdr>
        <w:top w:val="none" w:sz="0" w:space="0" w:color="auto"/>
        <w:left w:val="none" w:sz="0" w:space="0" w:color="auto"/>
        <w:bottom w:val="none" w:sz="0" w:space="0" w:color="auto"/>
        <w:right w:val="none" w:sz="0" w:space="0" w:color="auto"/>
      </w:divBdr>
    </w:div>
    <w:div w:id="1637836949">
      <w:marLeft w:val="0"/>
      <w:marRight w:val="0"/>
      <w:marTop w:val="0"/>
      <w:marBottom w:val="0"/>
      <w:divBdr>
        <w:top w:val="none" w:sz="0" w:space="0" w:color="auto"/>
        <w:left w:val="none" w:sz="0" w:space="0" w:color="auto"/>
        <w:bottom w:val="none" w:sz="0" w:space="0" w:color="auto"/>
        <w:right w:val="none" w:sz="0" w:space="0" w:color="auto"/>
      </w:divBdr>
    </w:div>
    <w:div w:id="1638218016">
      <w:marLeft w:val="0"/>
      <w:marRight w:val="0"/>
      <w:marTop w:val="0"/>
      <w:marBottom w:val="0"/>
      <w:divBdr>
        <w:top w:val="none" w:sz="0" w:space="0" w:color="auto"/>
        <w:left w:val="none" w:sz="0" w:space="0" w:color="auto"/>
        <w:bottom w:val="none" w:sz="0" w:space="0" w:color="auto"/>
        <w:right w:val="none" w:sz="0" w:space="0" w:color="auto"/>
      </w:divBdr>
    </w:div>
    <w:div w:id="1638222179">
      <w:marLeft w:val="0"/>
      <w:marRight w:val="0"/>
      <w:marTop w:val="0"/>
      <w:marBottom w:val="0"/>
      <w:divBdr>
        <w:top w:val="none" w:sz="0" w:space="0" w:color="auto"/>
        <w:left w:val="none" w:sz="0" w:space="0" w:color="auto"/>
        <w:bottom w:val="none" w:sz="0" w:space="0" w:color="auto"/>
        <w:right w:val="none" w:sz="0" w:space="0" w:color="auto"/>
      </w:divBdr>
    </w:div>
    <w:div w:id="1639606973">
      <w:marLeft w:val="0"/>
      <w:marRight w:val="0"/>
      <w:marTop w:val="0"/>
      <w:marBottom w:val="0"/>
      <w:divBdr>
        <w:top w:val="none" w:sz="0" w:space="0" w:color="auto"/>
        <w:left w:val="none" w:sz="0" w:space="0" w:color="auto"/>
        <w:bottom w:val="none" w:sz="0" w:space="0" w:color="auto"/>
        <w:right w:val="none" w:sz="0" w:space="0" w:color="auto"/>
      </w:divBdr>
    </w:div>
    <w:div w:id="1639646996">
      <w:marLeft w:val="0"/>
      <w:marRight w:val="0"/>
      <w:marTop w:val="0"/>
      <w:marBottom w:val="0"/>
      <w:divBdr>
        <w:top w:val="none" w:sz="0" w:space="0" w:color="auto"/>
        <w:left w:val="none" w:sz="0" w:space="0" w:color="auto"/>
        <w:bottom w:val="none" w:sz="0" w:space="0" w:color="auto"/>
        <w:right w:val="none" w:sz="0" w:space="0" w:color="auto"/>
      </w:divBdr>
    </w:div>
    <w:div w:id="1640184404">
      <w:marLeft w:val="0"/>
      <w:marRight w:val="0"/>
      <w:marTop w:val="0"/>
      <w:marBottom w:val="0"/>
      <w:divBdr>
        <w:top w:val="none" w:sz="0" w:space="0" w:color="auto"/>
        <w:left w:val="none" w:sz="0" w:space="0" w:color="auto"/>
        <w:bottom w:val="none" w:sz="0" w:space="0" w:color="auto"/>
        <w:right w:val="none" w:sz="0" w:space="0" w:color="auto"/>
      </w:divBdr>
    </w:div>
    <w:div w:id="1640455665">
      <w:marLeft w:val="0"/>
      <w:marRight w:val="0"/>
      <w:marTop w:val="0"/>
      <w:marBottom w:val="0"/>
      <w:divBdr>
        <w:top w:val="none" w:sz="0" w:space="0" w:color="auto"/>
        <w:left w:val="none" w:sz="0" w:space="0" w:color="auto"/>
        <w:bottom w:val="none" w:sz="0" w:space="0" w:color="auto"/>
        <w:right w:val="none" w:sz="0" w:space="0" w:color="auto"/>
      </w:divBdr>
    </w:div>
    <w:div w:id="1640652799">
      <w:marLeft w:val="0"/>
      <w:marRight w:val="0"/>
      <w:marTop w:val="0"/>
      <w:marBottom w:val="0"/>
      <w:divBdr>
        <w:top w:val="none" w:sz="0" w:space="0" w:color="auto"/>
        <w:left w:val="none" w:sz="0" w:space="0" w:color="auto"/>
        <w:bottom w:val="none" w:sz="0" w:space="0" w:color="auto"/>
        <w:right w:val="none" w:sz="0" w:space="0" w:color="auto"/>
      </w:divBdr>
    </w:div>
    <w:div w:id="1640921249">
      <w:marLeft w:val="0"/>
      <w:marRight w:val="0"/>
      <w:marTop w:val="0"/>
      <w:marBottom w:val="0"/>
      <w:divBdr>
        <w:top w:val="none" w:sz="0" w:space="0" w:color="auto"/>
        <w:left w:val="none" w:sz="0" w:space="0" w:color="auto"/>
        <w:bottom w:val="none" w:sz="0" w:space="0" w:color="auto"/>
        <w:right w:val="none" w:sz="0" w:space="0" w:color="auto"/>
      </w:divBdr>
    </w:div>
    <w:div w:id="1641613096">
      <w:marLeft w:val="0"/>
      <w:marRight w:val="0"/>
      <w:marTop w:val="0"/>
      <w:marBottom w:val="0"/>
      <w:divBdr>
        <w:top w:val="none" w:sz="0" w:space="0" w:color="auto"/>
        <w:left w:val="none" w:sz="0" w:space="0" w:color="auto"/>
        <w:bottom w:val="none" w:sz="0" w:space="0" w:color="auto"/>
        <w:right w:val="none" w:sz="0" w:space="0" w:color="auto"/>
      </w:divBdr>
    </w:div>
    <w:div w:id="1642034065">
      <w:marLeft w:val="0"/>
      <w:marRight w:val="0"/>
      <w:marTop w:val="0"/>
      <w:marBottom w:val="0"/>
      <w:divBdr>
        <w:top w:val="none" w:sz="0" w:space="0" w:color="auto"/>
        <w:left w:val="none" w:sz="0" w:space="0" w:color="auto"/>
        <w:bottom w:val="none" w:sz="0" w:space="0" w:color="auto"/>
        <w:right w:val="none" w:sz="0" w:space="0" w:color="auto"/>
      </w:divBdr>
    </w:div>
    <w:div w:id="1642271758">
      <w:marLeft w:val="0"/>
      <w:marRight w:val="0"/>
      <w:marTop w:val="0"/>
      <w:marBottom w:val="0"/>
      <w:divBdr>
        <w:top w:val="none" w:sz="0" w:space="0" w:color="auto"/>
        <w:left w:val="none" w:sz="0" w:space="0" w:color="auto"/>
        <w:bottom w:val="none" w:sz="0" w:space="0" w:color="auto"/>
        <w:right w:val="none" w:sz="0" w:space="0" w:color="auto"/>
      </w:divBdr>
    </w:div>
    <w:div w:id="1642729066">
      <w:marLeft w:val="0"/>
      <w:marRight w:val="0"/>
      <w:marTop w:val="0"/>
      <w:marBottom w:val="0"/>
      <w:divBdr>
        <w:top w:val="none" w:sz="0" w:space="0" w:color="auto"/>
        <w:left w:val="none" w:sz="0" w:space="0" w:color="auto"/>
        <w:bottom w:val="none" w:sz="0" w:space="0" w:color="auto"/>
        <w:right w:val="none" w:sz="0" w:space="0" w:color="auto"/>
      </w:divBdr>
      <w:divsChild>
        <w:div w:id="12340906">
          <w:marLeft w:val="0"/>
          <w:marRight w:val="0"/>
          <w:marTop w:val="0"/>
          <w:marBottom w:val="0"/>
          <w:divBdr>
            <w:top w:val="none" w:sz="0" w:space="0" w:color="auto"/>
            <w:left w:val="none" w:sz="0" w:space="0" w:color="auto"/>
            <w:bottom w:val="none" w:sz="0" w:space="0" w:color="auto"/>
            <w:right w:val="none" w:sz="0" w:space="0" w:color="auto"/>
          </w:divBdr>
        </w:div>
      </w:divsChild>
    </w:div>
    <w:div w:id="1643265640">
      <w:marLeft w:val="0"/>
      <w:marRight w:val="0"/>
      <w:marTop w:val="0"/>
      <w:marBottom w:val="0"/>
      <w:divBdr>
        <w:top w:val="none" w:sz="0" w:space="0" w:color="auto"/>
        <w:left w:val="none" w:sz="0" w:space="0" w:color="auto"/>
        <w:bottom w:val="none" w:sz="0" w:space="0" w:color="auto"/>
        <w:right w:val="none" w:sz="0" w:space="0" w:color="auto"/>
      </w:divBdr>
    </w:div>
    <w:div w:id="1645230829">
      <w:marLeft w:val="0"/>
      <w:marRight w:val="0"/>
      <w:marTop w:val="0"/>
      <w:marBottom w:val="0"/>
      <w:divBdr>
        <w:top w:val="none" w:sz="0" w:space="0" w:color="auto"/>
        <w:left w:val="none" w:sz="0" w:space="0" w:color="auto"/>
        <w:bottom w:val="none" w:sz="0" w:space="0" w:color="auto"/>
        <w:right w:val="none" w:sz="0" w:space="0" w:color="auto"/>
      </w:divBdr>
    </w:div>
    <w:div w:id="1649479174">
      <w:marLeft w:val="0"/>
      <w:marRight w:val="0"/>
      <w:marTop w:val="100"/>
      <w:marBottom w:val="100"/>
      <w:divBdr>
        <w:top w:val="none" w:sz="0" w:space="0" w:color="auto"/>
        <w:left w:val="none" w:sz="0" w:space="0" w:color="auto"/>
        <w:bottom w:val="none" w:sz="0" w:space="0" w:color="auto"/>
        <w:right w:val="none" w:sz="0" w:space="0" w:color="auto"/>
      </w:divBdr>
    </w:div>
    <w:div w:id="1651209745">
      <w:marLeft w:val="0"/>
      <w:marRight w:val="0"/>
      <w:marTop w:val="0"/>
      <w:marBottom w:val="0"/>
      <w:divBdr>
        <w:top w:val="none" w:sz="0" w:space="0" w:color="auto"/>
        <w:left w:val="none" w:sz="0" w:space="0" w:color="auto"/>
        <w:bottom w:val="none" w:sz="0" w:space="0" w:color="auto"/>
        <w:right w:val="none" w:sz="0" w:space="0" w:color="auto"/>
      </w:divBdr>
    </w:div>
    <w:div w:id="1651403429">
      <w:marLeft w:val="0"/>
      <w:marRight w:val="0"/>
      <w:marTop w:val="0"/>
      <w:marBottom w:val="0"/>
      <w:divBdr>
        <w:top w:val="none" w:sz="0" w:space="0" w:color="auto"/>
        <w:left w:val="none" w:sz="0" w:space="0" w:color="auto"/>
        <w:bottom w:val="none" w:sz="0" w:space="0" w:color="auto"/>
        <w:right w:val="none" w:sz="0" w:space="0" w:color="auto"/>
      </w:divBdr>
    </w:div>
    <w:div w:id="1651668276">
      <w:marLeft w:val="0"/>
      <w:marRight w:val="0"/>
      <w:marTop w:val="0"/>
      <w:marBottom w:val="0"/>
      <w:divBdr>
        <w:top w:val="none" w:sz="0" w:space="0" w:color="auto"/>
        <w:left w:val="none" w:sz="0" w:space="0" w:color="auto"/>
        <w:bottom w:val="none" w:sz="0" w:space="0" w:color="auto"/>
        <w:right w:val="none" w:sz="0" w:space="0" w:color="auto"/>
      </w:divBdr>
    </w:div>
    <w:div w:id="1651859619">
      <w:marLeft w:val="0"/>
      <w:marRight w:val="0"/>
      <w:marTop w:val="0"/>
      <w:marBottom w:val="0"/>
      <w:divBdr>
        <w:top w:val="none" w:sz="0" w:space="0" w:color="auto"/>
        <w:left w:val="none" w:sz="0" w:space="0" w:color="auto"/>
        <w:bottom w:val="none" w:sz="0" w:space="0" w:color="auto"/>
        <w:right w:val="none" w:sz="0" w:space="0" w:color="auto"/>
      </w:divBdr>
    </w:div>
    <w:div w:id="1652097720">
      <w:marLeft w:val="0"/>
      <w:marRight w:val="0"/>
      <w:marTop w:val="0"/>
      <w:marBottom w:val="0"/>
      <w:divBdr>
        <w:top w:val="none" w:sz="0" w:space="0" w:color="auto"/>
        <w:left w:val="none" w:sz="0" w:space="0" w:color="auto"/>
        <w:bottom w:val="none" w:sz="0" w:space="0" w:color="auto"/>
        <w:right w:val="none" w:sz="0" w:space="0" w:color="auto"/>
      </w:divBdr>
    </w:div>
    <w:div w:id="1653219231">
      <w:marLeft w:val="0"/>
      <w:marRight w:val="0"/>
      <w:marTop w:val="0"/>
      <w:marBottom w:val="0"/>
      <w:divBdr>
        <w:top w:val="none" w:sz="0" w:space="0" w:color="auto"/>
        <w:left w:val="none" w:sz="0" w:space="0" w:color="auto"/>
        <w:bottom w:val="none" w:sz="0" w:space="0" w:color="auto"/>
        <w:right w:val="none" w:sz="0" w:space="0" w:color="auto"/>
      </w:divBdr>
    </w:div>
    <w:div w:id="1654336341">
      <w:marLeft w:val="0"/>
      <w:marRight w:val="0"/>
      <w:marTop w:val="0"/>
      <w:marBottom w:val="0"/>
      <w:divBdr>
        <w:top w:val="none" w:sz="0" w:space="0" w:color="auto"/>
        <w:left w:val="none" w:sz="0" w:space="0" w:color="auto"/>
        <w:bottom w:val="none" w:sz="0" w:space="0" w:color="auto"/>
        <w:right w:val="none" w:sz="0" w:space="0" w:color="auto"/>
      </w:divBdr>
    </w:div>
    <w:div w:id="1654724477">
      <w:marLeft w:val="0"/>
      <w:marRight w:val="0"/>
      <w:marTop w:val="0"/>
      <w:marBottom w:val="0"/>
      <w:divBdr>
        <w:top w:val="none" w:sz="0" w:space="0" w:color="auto"/>
        <w:left w:val="none" w:sz="0" w:space="0" w:color="auto"/>
        <w:bottom w:val="none" w:sz="0" w:space="0" w:color="auto"/>
        <w:right w:val="none" w:sz="0" w:space="0" w:color="auto"/>
      </w:divBdr>
    </w:div>
    <w:div w:id="1655183003">
      <w:marLeft w:val="0"/>
      <w:marRight w:val="0"/>
      <w:marTop w:val="100"/>
      <w:marBottom w:val="100"/>
      <w:divBdr>
        <w:top w:val="none" w:sz="0" w:space="0" w:color="auto"/>
        <w:left w:val="none" w:sz="0" w:space="0" w:color="auto"/>
        <w:bottom w:val="none" w:sz="0" w:space="0" w:color="auto"/>
        <w:right w:val="none" w:sz="0" w:space="0" w:color="auto"/>
      </w:divBdr>
    </w:div>
    <w:div w:id="1656452694">
      <w:marLeft w:val="0"/>
      <w:marRight w:val="0"/>
      <w:marTop w:val="0"/>
      <w:marBottom w:val="0"/>
      <w:divBdr>
        <w:top w:val="none" w:sz="0" w:space="0" w:color="auto"/>
        <w:left w:val="none" w:sz="0" w:space="0" w:color="auto"/>
        <w:bottom w:val="none" w:sz="0" w:space="0" w:color="auto"/>
        <w:right w:val="none" w:sz="0" w:space="0" w:color="auto"/>
      </w:divBdr>
    </w:div>
    <w:div w:id="1656907590">
      <w:marLeft w:val="0"/>
      <w:marRight w:val="0"/>
      <w:marTop w:val="0"/>
      <w:marBottom w:val="0"/>
      <w:divBdr>
        <w:top w:val="none" w:sz="0" w:space="0" w:color="auto"/>
        <w:left w:val="none" w:sz="0" w:space="0" w:color="auto"/>
        <w:bottom w:val="none" w:sz="0" w:space="0" w:color="auto"/>
        <w:right w:val="none" w:sz="0" w:space="0" w:color="auto"/>
      </w:divBdr>
    </w:div>
    <w:div w:id="1656912365">
      <w:marLeft w:val="0"/>
      <w:marRight w:val="0"/>
      <w:marTop w:val="0"/>
      <w:marBottom w:val="0"/>
      <w:divBdr>
        <w:top w:val="none" w:sz="0" w:space="0" w:color="auto"/>
        <w:left w:val="none" w:sz="0" w:space="0" w:color="auto"/>
        <w:bottom w:val="none" w:sz="0" w:space="0" w:color="auto"/>
        <w:right w:val="none" w:sz="0" w:space="0" w:color="auto"/>
      </w:divBdr>
    </w:div>
    <w:div w:id="1658411699">
      <w:marLeft w:val="0"/>
      <w:marRight w:val="0"/>
      <w:marTop w:val="0"/>
      <w:marBottom w:val="0"/>
      <w:divBdr>
        <w:top w:val="none" w:sz="0" w:space="0" w:color="auto"/>
        <w:left w:val="none" w:sz="0" w:space="0" w:color="auto"/>
        <w:bottom w:val="none" w:sz="0" w:space="0" w:color="auto"/>
        <w:right w:val="none" w:sz="0" w:space="0" w:color="auto"/>
      </w:divBdr>
    </w:div>
    <w:div w:id="1658605662">
      <w:marLeft w:val="0"/>
      <w:marRight w:val="0"/>
      <w:marTop w:val="0"/>
      <w:marBottom w:val="0"/>
      <w:divBdr>
        <w:top w:val="none" w:sz="0" w:space="0" w:color="auto"/>
        <w:left w:val="none" w:sz="0" w:space="0" w:color="auto"/>
        <w:bottom w:val="none" w:sz="0" w:space="0" w:color="auto"/>
        <w:right w:val="none" w:sz="0" w:space="0" w:color="auto"/>
      </w:divBdr>
    </w:div>
    <w:div w:id="1658730219">
      <w:marLeft w:val="0"/>
      <w:marRight w:val="0"/>
      <w:marTop w:val="0"/>
      <w:marBottom w:val="0"/>
      <w:divBdr>
        <w:top w:val="none" w:sz="0" w:space="0" w:color="auto"/>
        <w:left w:val="none" w:sz="0" w:space="0" w:color="auto"/>
        <w:bottom w:val="none" w:sz="0" w:space="0" w:color="auto"/>
        <w:right w:val="none" w:sz="0" w:space="0" w:color="auto"/>
      </w:divBdr>
    </w:div>
    <w:div w:id="1658875515">
      <w:marLeft w:val="0"/>
      <w:marRight w:val="0"/>
      <w:marTop w:val="0"/>
      <w:marBottom w:val="0"/>
      <w:divBdr>
        <w:top w:val="none" w:sz="0" w:space="0" w:color="auto"/>
        <w:left w:val="none" w:sz="0" w:space="0" w:color="auto"/>
        <w:bottom w:val="none" w:sz="0" w:space="0" w:color="auto"/>
        <w:right w:val="none" w:sz="0" w:space="0" w:color="auto"/>
      </w:divBdr>
    </w:div>
    <w:div w:id="1658877999">
      <w:marLeft w:val="0"/>
      <w:marRight w:val="0"/>
      <w:marTop w:val="0"/>
      <w:marBottom w:val="0"/>
      <w:divBdr>
        <w:top w:val="none" w:sz="0" w:space="0" w:color="auto"/>
        <w:left w:val="none" w:sz="0" w:space="0" w:color="auto"/>
        <w:bottom w:val="none" w:sz="0" w:space="0" w:color="auto"/>
        <w:right w:val="none" w:sz="0" w:space="0" w:color="auto"/>
      </w:divBdr>
    </w:div>
    <w:div w:id="1659265264">
      <w:marLeft w:val="0"/>
      <w:marRight w:val="0"/>
      <w:marTop w:val="0"/>
      <w:marBottom w:val="0"/>
      <w:divBdr>
        <w:top w:val="none" w:sz="0" w:space="0" w:color="auto"/>
        <w:left w:val="none" w:sz="0" w:space="0" w:color="auto"/>
        <w:bottom w:val="none" w:sz="0" w:space="0" w:color="auto"/>
        <w:right w:val="none" w:sz="0" w:space="0" w:color="auto"/>
      </w:divBdr>
    </w:div>
    <w:div w:id="1660769361">
      <w:marLeft w:val="0"/>
      <w:marRight w:val="0"/>
      <w:marTop w:val="0"/>
      <w:marBottom w:val="0"/>
      <w:divBdr>
        <w:top w:val="none" w:sz="0" w:space="0" w:color="auto"/>
        <w:left w:val="none" w:sz="0" w:space="0" w:color="auto"/>
        <w:bottom w:val="none" w:sz="0" w:space="0" w:color="auto"/>
        <w:right w:val="none" w:sz="0" w:space="0" w:color="auto"/>
      </w:divBdr>
    </w:div>
    <w:div w:id="1661620579">
      <w:marLeft w:val="0"/>
      <w:marRight w:val="0"/>
      <w:marTop w:val="0"/>
      <w:marBottom w:val="0"/>
      <w:divBdr>
        <w:top w:val="none" w:sz="0" w:space="0" w:color="auto"/>
        <w:left w:val="none" w:sz="0" w:space="0" w:color="auto"/>
        <w:bottom w:val="none" w:sz="0" w:space="0" w:color="auto"/>
        <w:right w:val="none" w:sz="0" w:space="0" w:color="auto"/>
      </w:divBdr>
      <w:divsChild>
        <w:div w:id="513803877">
          <w:marLeft w:val="0"/>
          <w:marRight w:val="0"/>
          <w:marTop w:val="0"/>
          <w:marBottom w:val="0"/>
          <w:divBdr>
            <w:top w:val="none" w:sz="0" w:space="0" w:color="auto"/>
            <w:left w:val="none" w:sz="0" w:space="0" w:color="auto"/>
            <w:bottom w:val="none" w:sz="0" w:space="0" w:color="auto"/>
            <w:right w:val="none" w:sz="0" w:space="0" w:color="auto"/>
          </w:divBdr>
        </w:div>
      </w:divsChild>
    </w:div>
    <w:div w:id="1662001903">
      <w:marLeft w:val="0"/>
      <w:marRight w:val="0"/>
      <w:marTop w:val="0"/>
      <w:marBottom w:val="0"/>
      <w:divBdr>
        <w:top w:val="none" w:sz="0" w:space="0" w:color="auto"/>
        <w:left w:val="none" w:sz="0" w:space="0" w:color="auto"/>
        <w:bottom w:val="none" w:sz="0" w:space="0" w:color="auto"/>
        <w:right w:val="none" w:sz="0" w:space="0" w:color="auto"/>
      </w:divBdr>
    </w:div>
    <w:div w:id="1663311085">
      <w:marLeft w:val="0"/>
      <w:marRight w:val="0"/>
      <w:marTop w:val="0"/>
      <w:marBottom w:val="0"/>
      <w:divBdr>
        <w:top w:val="none" w:sz="0" w:space="0" w:color="auto"/>
        <w:left w:val="none" w:sz="0" w:space="0" w:color="auto"/>
        <w:bottom w:val="none" w:sz="0" w:space="0" w:color="auto"/>
        <w:right w:val="none" w:sz="0" w:space="0" w:color="auto"/>
      </w:divBdr>
    </w:div>
    <w:div w:id="1665812182">
      <w:marLeft w:val="0"/>
      <w:marRight w:val="0"/>
      <w:marTop w:val="0"/>
      <w:marBottom w:val="0"/>
      <w:divBdr>
        <w:top w:val="none" w:sz="0" w:space="0" w:color="auto"/>
        <w:left w:val="none" w:sz="0" w:space="0" w:color="auto"/>
        <w:bottom w:val="none" w:sz="0" w:space="0" w:color="auto"/>
        <w:right w:val="none" w:sz="0" w:space="0" w:color="auto"/>
      </w:divBdr>
    </w:div>
    <w:div w:id="1666202082">
      <w:marLeft w:val="0"/>
      <w:marRight w:val="0"/>
      <w:marTop w:val="0"/>
      <w:marBottom w:val="0"/>
      <w:divBdr>
        <w:top w:val="none" w:sz="0" w:space="0" w:color="auto"/>
        <w:left w:val="none" w:sz="0" w:space="0" w:color="auto"/>
        <w:bottom w:val="none" w:sz="0" w:space="0" w:color="auto"/>
        <w:right w:val="none" w:sz="0" w:space="0" w:color="auto"/>
      </w:divBdr>
    </w:div>
    <w:div w:id="1666518079">
      <w:marLeft w:val="0"/>
      <w:marRight w:val="0"/>
      <w:marTop w:val="0"/>
      <w:marBottom w:val="0"/>
      <w:divBdr>
        <w:top w:val="none" w:sz="0" w:space="0" w:color="auto"/>
        <w:left w:val="none" w:sz="0" w:space="0" w:color="auto"/>
        <w:bottom w:val="none" w:sz="0" w:space="0" w:color="auto"/>
        <w:right w:val="none" w:sz="0" w:space="0" w:color="auto"/>
      </w:divBdr>
    </w:div>
    <w:div w:id="1666661102">
      <w:marLeft w:val="0"/>
      <w:marRight w:val="0"/>
      <w:marTop w:val="0"/>
      <w:marBottom w:val="0"/>
      <w:divBdr>
        <w:top w:val="none" w:sz="0" w:space="0" w:color="auto"/>
        <w:left w:val="none" w:sz="0" w:space="0" w:color="auto"/>
        <w:bottom w:val="none" w:sz="0" w:space="0" w:color="auto"/>
        <w:right w:val="none" w:sz="0" w:space="0" w:color="auto"/>
      </w:divBdr>
    </w:div>
    <w:div w:id="1666741888">
      <w:marLeft w:val="0"/>
      <w:marRight w:val="0"/>
      <w:marTop w:val="0"/>
      <w:marBottom w:val="0"/>
      <w:divBdr>
        <w:top w:val="none" w:sz="0" w:space="0" w:color="auto"/>
        <w:left w:val="none" w:sz="0" w:space="0" w:color="auto"/>
        <w:bottom w:val="none" w:sz="0" w:space="0" w:color="auto"/>
        <w:right w:val="none" w:sz="0" w:space="0" w:color="auto"/>
      </w:divBdr>
    </w:div>
    <w:div w:id="1667434868">
      <w:marLeft w:val="0"/>
      <w:marRight w:val="0"/>
      <w:marTop w:val="0"/>
      <w:marBottom w:val="0"/>
      <w:divBdr>
        <w:top w:val="none" w:sz="0" w:space="0" w:color="auto"/>
        <w:left w:val="none" w:sz="0" w:space="0" w:color="auto"/>
        <w:bottom w:val="none" w:sz="0" w:space="0" w:color="auto"/>
        <w:right w:val="none" w:sz="0" w:space="0" w:color="auto"/>
      </w:divBdr>
    </w:div>
    <w:div w:id="1667974680">
      <w:marLeft w:val="0"/>
      <w:marRight w:val="0"/>
      <w:marTop w:val="0"/>
      <w:marBottom w:val="0"/>
      <w:divBdr>
        <w:top w:val="none" w:sz="0" w:space="0" w:color="auto"/>
        <w:left w:val="none" w:sz="0" w:space="0" w:color="auto"/>
        <w:bottom w:val="none" w:sz="0" w:space="0" w:color="auto"/>
        <w:right w:val="none" w:sz="0" w:space="0" w:color="auto"/>
      </w:divBdr>
    </w:div>
    <w:div w:id="1668560671">
      <w:marLeft w:val="0"/>
      <w:marRight w:val="0"/>
      <w:marTop w:val="0"/>
      <w:marBottom w:val="0"/>
      <w:divBdr>
        <w:top w:val="none" w:sz="0" w:space="0" w:color="auto"/>
        <w:left w:val="none" w:sz="0" w:space="0" w:color="auto"/>
        <w:bottom w:val="none" w:sz="0" w:space="0" w:color="auto"/>
        <w:right w:val="none" w:sz="0" w:space="0" w:color="auto"/>
      </w:divBdr>
    </w:div>
    <w:div w:id="1669822792">
      <w:marLeft w:val="0"/>
      <w:marRight w:val="0"/>
      <w:marTop w:val="0"/>
      <w:marBottom w:val="0"/>
      <w:divBdr>
        <w:top w:val="none" w:sz="0" w:space="0" w:color="auto"/>
        <w:left w:val="none" w:sz="0" w:space="0" w:color="auto"/>
        <w:bottom w:val="none" w:sz="0" w:space="0" w:color="auto"/>
        <w:right w:val="none" w:sz="0" w:space="0" w:color="auto"/>
      </w:divBdr>
      <w:divsChild>
        <w:div w:id="1526940422">
          <w:marLeft w:val="0"/>
          <w:marRight w:val="0"/>
          <w:marTop w:val="0"/>
          <w:marBottom w:val="0"/>
          <w:divBdr>
            <w:top w:val="none" w:sz="0" w:space="0" w:color="auto"/>
            <w:left w:val="none" w:sz="0" w:space="0" w:color="auto"/>
            <w:bottom w:val="none" w:sz="0" w:space="0" w:color="auto"/>
            <w:right w:val="none" w:sz="0" w:space="0" w:color="auto"/>
          </w:divBdr>
        </w:div>
      </w:divsChild>
    </w:div>
    <w:div w:id="1670406117">
      <w:marLeft w:val="0"/>
      <w:marRight w:val="0"/>
      <w:marTop w:val="0"/>
      <w:marBottom w:val="120"/>
      <w:divBdr>
        <w:top w:val="none" w:sz="0" w:space="0" w:color="auto"/>
        <w:left w:val="none" w:sz="0" w:space="0" w:color="auto"/>
        <w:bottom w:val="none" w:sz="0" w:space="0" w:color="auto"/>
        <w:right w:val="none" w:sz="0" w:space="0" w:color="auto"/>
      </w:divBdr>
    </w:div>
    <w:div w:id="1670524843">
      <w:marLeft w:val="0"/>
      <w:marRight w:val="0"/>
      <w:marTop w:val="0"/>
      <w:marBottom w:val="0"/>
      <w:divBdr>
        <w:top w:val="none" w:sz="0" w:space="0" w:color="auto"/>
        <w:left w:val="none" w:sz="0" w:space="0" w:color="auto"/>
        <w:bottom w:val="none" w:sz="0" w:space="0" w:color="auto"/>
        <w:right w:val="none" w:sz="0" w:space="0" w:color="auto"/>
      </w:divBdr>
    </w:div>
    <w:div w:id="1670598854">
      <w:marLeft w:val="0"/>
      <w:marRight w:val="0"/>
      <w:marTop w:val="0"/>
      <w:marBottom w:val="0"/>
      <w:divBdr>
        <w:top w:val="none" w:sz="0" w:space="0" w:color="auto"/>
        <w:left w:val="none" w:sz="0" w:space="0" w:color="auto"/>
        <w:bottom w:val="none" w:sz="0" w:space="0" w:color="auto"/>
        <w:right w:val="none" w:sz="0" w:space="0" w:color="auto"/>
      </w:divBdr>
    </w:div>
    <w:div w:id="1670602144">
      <w:marLeft w:val="0"/>
      <w:marRight w:val="0"/>
      <w:marTop w:val="0"/>
      <w:marBottom w:val="0"/>
      <w:divBdr>
        <w:top w:val="none" w:sz="0" w:space="0" w:color="auto"/>
        <w:left w:val="none" w:sz="0" w:space="0" w:color="auto"/>
        <w:bottom w:val="none" w:sz="0" w:space="0" w:color="auto"/>
        <w:right w:val="none" w:sz="0" w:space="0" w:color="auto"/>
      </w:divBdr>
      <w:divsChild>
        <w:div w:id="670790173">
          <w:marLeft w:val="0"/>
          <w:marRight w:val="0"/>
          <w:marTop w:val="0"/>
          <w:marBottom w:val="0"/>
          <w:divBdr>
            <w:top w:val="none" w:sz="0" w:space="0" w:color="auto"/>
            <w:left w:val="none" w:sz="0" w:space="0" w:color="auto"/>
            <w:bottom w:val="none" w:sz="0" w:space="0" w:color="auto"/>
            <w:right w:val="none" w:sz="0" w:space="0" w:color="auto"/>
          </w:divBdr>
        </w:div>
      </w:divsChild>
    </w:div>
    <w:div w:id="1670908795">
      <w:marLeft w:val="0"/>
      <w:marRight w:val="0"/>
      <w:marTop w:val="0"/>
      <w:marBottom w:val="0"/>
      <w:divBdr>
        <w:top w:val="none" w:sz="0" w:space="0" w:color="auto"/>
        <w:left w:val="none" w:sz="0" w:space="0" w:color="auto"/>
        <w:bottom w:val="none" w:sz="0" w:space="0" w:color="auto"/>
        <w:right w:val="none" w:sz="0" w:space="0" w:color="auto"/>
      </w:divBdr>
    </w:div>
    <w:div w:id="1671175747">
      <w:marLeft w:val="0"/>
      <w:marRight w:val="0"/>
      <w:marTop w:val="0"/>
      <w:marBottom w:val="0"/>
      <w:divBdr>
        <w:top w:val="none" w:sz="0" w:space="0" w:color="auto"/>
        <w:left w:val="none" w:sz="0" w:space="0" w:color="auto"/>
        <w:bottom w:val="none" w:sz="0" w:space="0" w:color="auto"/>
        <w:right w:val="none" w:sz="0" w:space="0" w:color="auto"/>
      </w:divBdr>
    </w:div>
    <w:div w:id="1671252524">
      <w:marLeft w:val="0"/>
      <w:marRight w:val="0"/>
      <w:marTop w:val="0"/>
      <w:marBottom w:val="0"/>
      <w:divBdr>
        <w:top w:val="none" w:sz="0" w:space="0" w:color="auto"/>
        <w:left w:val="none" w:sz="0" w:space="0" w:color="auto"/>
        <w:bottom w:val="none" w:sz="0" w:space="0" w:color="auto"/>
        <w:right w:val="none" w:sz="0" w:space="0" w:color="auto"/>
      </w:divBdr>
    </w:div>
    <w:div w:id="1671525178">
      <w:marLeft w:val="0"/>
      <w:marRight w:val="0"/>
      <w:marTop w:val="100"/>
      <w:marBottom w:val="100"/>
      <w:divBdr>
        <w:top w:val="none" w:sz="0" w:space="0" w:color="auto"/>
        <w:left w:val="none" w:sz="0" w:space="0" w:color="auto"/>
        <w:bottom w:val="none" w:sz="0" w:space="0" w:color="auto"/>
        <w:right w:val="none" w:sz="0" w:space="0" w:color="auto"/>
      </w:divBdr>
    </w:div>
    <w:div w:id="1672565173">
      <w:marLeft w:val="0"/>
      <w:marRight w:val="0"/>
      <w:marTop w:val="0"/>
      <w:marBottom w:val="0"/>
      <w:divBdr>
        <w:top w:val="none" w:sz="0" w:space="0" w:color="auto"/>
        <w:left w:val="none" w:sz="0" w:space="0" w:color="auto"/>
        <w:bottom w:val="none" w:sz="0" w:space="0" w:color="auto"/>
        <w:right w:val="none" w:sz="0" w:space="0" w:color="auto"/>
      </w:divBdr>
    </w:div>
    <w:div w:id="1672681072">
      <w:marLeft w:val="0"/>
      <w:marRight w:val="0"/>
      <w:marTop w:val="0"/>
      <w:marBottom w:val="0"/>
      <w:divBdr>
        <w:top w:val="none" w:sz="0" w:space="0" w:color="auto"/>
        <w:left w:val="none" w:sz="0" w:space="0" w:color="auto"/>
        <w:bottom w:val="none" w:sz="0" w:space="0" w:color="auto"/>
        <w:right w:val="none" w:sz="0" w:space="0" w:color="auto"/>
      </w:divBdr>
    </w:div>
    <w:div w:id="1673725374">
      <w:marLeft w:val="0"/>
      <w:marRight w:val="0"/>
      <w:marTop w:val="0"/>
      <w:marBottom w:val="0"/>
      <w:divBdr>
        <w:top w:val="none" w:sz="0" w:space="0" w:color="auto"/>
        <w:left w:val="none" w:sz="0" w:space="0" w:color="auto"/>
        <w:bottom w:val="none" w:sz="0" w:space="0" w:color="auto"/>
        <w:right w:val="none" w:sz="0" w:space="0" w:color="auto"/>
      </w:divBdr>
    </w:div>
    <w:div w:id="1674255945">
      <w:marLeft w:val="0"/>
      <w:marRight w:val="0"/>
      <w:marTop w:val="0"/>
      <w:marBottom w:val="0"/>
      <w:divBdr>
        <w:top w:val="none" w:sz="0" w:space="0" w:color="auto"/>
        <w:left w:val="none" w:sz="0" w:space="0" w:color="auto"/>
        <w:bottom w:val="none" w:sz="0" w:space="0" w:color="auto"/>
        <w:right w:val="none" w:sz="0" w:space="0" w:color="auto"/>
      </w:divBdr>
    </w:div>
    <w:div w:id="1675381991">
      <w:marLeft w:val="0"/>
      <w:marRight w:val="0"/>
      <w:marTop w:val="0"/>
      <w:marBottom w:val="0"/>
      <w:divBdr>
        <w:top w:val="none" w:sz="0" w:space="0" w:color="auto"/>
        <w:left w:val="none" w:sz="0" w:space="0" w:color="auto"/>
        <w:bottom w:val="none" w:sz="0" w:space="0" w:color="auto"/>
        <w:right w:val="none" w:sz="0" w:space="0" w:color="auto"/>
      </w:divBdr>
    </w:div>
    <w:div w:id="1675574648">
      <w:marLeft w:val="0"/>
      <w:marRight w:val="0"/>
      <w:marTop w:val="0"/>
      <w:marBottom w:val="0"/>
      <w:divBdr>
        <w:top w:val="none" w:sz="0" w:space="0" w:color="auto"/>
        <w:left w:val="none" w:sz="0" w:space="0" w:color="auto"/>
        <w:bottom w:val="none" w:sz="0" w:space="0" w:color="auto"/>
        <w:right w:val="none" w:sz="0" w:space="0" w:color="auto"/>
      </w:divBdr>
    </w:div>
    <w:div w:id="1675840238">
      <w:marLeft w:val="0"/>
      <w:marRight w:val="0"/>
      <w:marTop w:val="0"/>
      <w:marBottom w:val="0"/>
      <w:divBdr>
        <w:top w:val="none" w:sz="0" w:space="0" w:color="auto"/>
        <w:left w:val="none" w:sz="0" w:space="0" w:color="auto"/>
        <w:bottom w:val="none" w:sz="0" w:space="0" w:color="auto"/>
        <w:right w:val="none" w:sz="0" w:space="0" w:color="auto"/>
      </w:divBdr>
    </w:div>
    <w:div w:id="1676029892">
      <w:marLeft w:val="0"/>
      <w:marRight w:val="0"/>
      <w:marTop w:val="0"/>
      <w:marBottom w:val="0"/>
      <w:divBdr>
        <w:top w:val="none" w:sz="0" w:space="0" w:color="auto"/>
        <w:left w:val="none" w:sz="0" w:space="0" w:color="auto"/>
        <w:bottom w:val="none" w:sz="0" w:space="0" w:color="auto"/>
        <w:right w:val="none" w:sz="0" w:space="0" w:color="auto"/>
      </w:divBdr>
    </w:div>
    <w:div w:id="1676348699">
      <w:marLeft w:val="0"/>
      <w:marRight w:val="0"/>
      <w:marTop w:val="0"/>
      <w:marBottom w:val="0"/>
      <w:divBdr>
        <w:top w:val="none" w:sz="0" w:space="0" w:color="auto"/>
        <w:left w:val="none" w:sz="0" w:space="0" w:color="auto"/>
        <w:bottom w:val="none" w:sz="0" w:space="0" w:color="auto"/>
        <w:right w:val="none" w:sz="0" w:space="0" w:color="auto"/>
      </w:divBdr>
    </w:div>
    <w:div w:id="1678801384">
      <w:marLeft w:val="0"/>
      <w:marRight w:val="0"/>
      <w:marTop w:val="0"/>
      <w:marBottom w:val="0"/>
      <w:divBdr>
        <w:top w:val="none" w:sz="0" w:space="0" w:color="auto"/>
        <w:left w:val="none" w:sz="0" w:space="0" w:color="auto"/>
        <w:bottom w:val="none" w:sz="0" w:space="0" w:color="auto"/>
        <w:right w:val="none" w:sz="0" w:space="0" w:color="auto"/>
      </w:divBdr>
    </w:div>
    <w:div w:id="1678842600">
      <w:marLeft w:val="0"/>
      <w:marRight w:val="0"/>
      <w:marTop w:val="0"/>
      <w:marBottom w:val="0"/>
      <w:divBdr>
        <w:top w:val="none" w:sz="0" w:space="0" w:color="auto"/>
        <w:left w:val="none" w:sz="0" w:space="0" w:color="auto"/>
        <w:bottom w:val="none" w:sz="0" w:space="0" w:color="auto"/>
        <w:right w:val="none" w:sz="0" w:space="0" w:color="auto"/>
      </w:divBdr>
    </w:div>
    <w:div w:id="1679041177">
      <w:marLeft w:val="0"/>
      <w:marRight w:val="0"/>
      <w:marTop w:val="0"/>
      <w:marBottom w:val="0"/>
      <w:divBdr>
        <w:top w:val="none" w:sz="0" w:space="0" w:color="auto"/>
        <w:left w:val="none" w:sz="0" w:space="0" w:color="auto"/>
        <w:bottom w:val="none" w:sz="0" w:space="0" w:color="auto"/>
        <w:right w:val="none" w:sz="0" w:space="0" w:color="auto"/>
      </w:divBdr>
    </w:div>
    <w:div w:id="1680044361">
      <w:marLeft w:val="0"/>
      <w:marRight w:val="0"/>
      <w:marTop w:val="0"/>
      <w:marBottom w:val="0"/>
      <w:divBdr>
        <w:top w:val="none" w:sz="0" w:space="0" w:color="auto"/>
        <w:left w:val="none" w:sz="0" w:space="0" w:color="auto"/>
        <w:bottom w:val="none" w:sz="0" w:space="0" w:color="auto"/>
        <w:right w:val="none" w:sz="0" w:space="0" w:color="auto"/>
      </w:divBdr>
    </w:div>
    <w:div w:id="1680306534">
      <w:marLeft w:val="0"/>
      <w:marRight w:val="0"/>
      <w:marTop w:val="0"/>
      <w:marBottom w:val="0"/>
      <w:divBdr>
        <w:top w:val="none" w:sz="0" w:space="0" w:color="auto"/>
        <w:left w:val="none" w:sz="0" w:space="0" w:color="auto"/>
        <w:bottom w:val="none" w:sz="0" w:space="0" w:color="auto"/>
        <w:right w:val="none" w:sz="0" w:space="0" w:color="auto"/>
      </w:divBdr>
    </w:div>
    <w:div w:id="1680503730">
      <w:marLeft w:val="0"/>
      <w:marRight w:val="0"/>
      <w:marTop w:val="0"/>
      <w:marBottom w:val="0"/>
      <w:divBdr>
        <w:top w:val="none" w:sz="0" w:space="0" w:color="auto"/>
        <w:left w:val="none" w:sz="0" w:space="0" w:color="auto"/>
        <w:bottom w:val="none" w:sz="0" w:space="0" w:color="auto"/>
        <w:right w:val="none" w:sz="0" w:space="0" w:color="auto"/>
      </w:divBdr>
      <w:divsChild>
        <w:div w:id="1854873718">
          <w:marLeft w:val="0"/>
          <w:marRight w:val="0"/>
          <w:marTop w:val="0"/>
          <w:marBottom w:val="0"/>
          <w:divBdr>
            <w:top w:val="none" w:sz="0" w:space="0" w:color="auto"/>
            <w:left w:val="none" w:sz="0" w:space="0" w:color="auto"/>
            <w:bottom w:val="none" w:sz="0" w:space="0" w:color="auto"/>
            <w:right w:val="none" w:sz="0" w:space="0" w:color="auto"/>
          </w:divBdr>
        </w:div>
      </w:divsChild>
    </w:div>
    <w:div w:id="1680965128">
      <w:marLeft w:val="0"/>
      <w:marRight w:val="0"/>
      <w:marTop w:val="0"/>
      <w:marBottom w:val="0"/>
      <w:divBdr>
        <w:top w:val="none" w:sz="0" w:space="0" w:color="auto"/>
        <w:left w:val="none" w:sz="0" w:space="0" w:color="auto"/>
        <w:bottom w:val="none" w:sz="0" w:space="0" w:color="auto"/>
        <w:right w:val="none" w:sz="0" w:space="0" w:color="auto"/>
      </w:divBdr>
    </w:div>
    <w:div w:id="1681273266">
      <w:marLeft w:val="0"/>
      <w:marRight w:val="0"/>
      <w:marTop w:val="0"/>
      <w:marBottom w:val="0"/>
      <w:divBdr>
        <w:top w:val="none" w:sz="0" w:space="0" w:color="auto"/>
        <w:left w:val="none" w:sz="0" w:space="0" w:color="auto"/>
        <w:bottom w:val="none" w:sz="0" w:space="0" w:color="auto"/>
        <w:right w:val="none" w:sz="0" w:space="0" w:color="auto"/>
      </w:divBdr>
    </w:div>
    <w:div w:id="1682853574">
      <w:marLeft w:val="0"/>
      <w:marRight w:val="0"/>
      <w:marTop w:val="0"/>
      <w:marBottom w:val="0"/>
      <w:divBdr>
        <w:top w:val="none" w:sz="0" w:space="0" w:color="auto"/>
        <w:left w:val="none" w:sz="0" w:space="0" w:color="auto"/>
        <w:bottom w:val="none" w:sz="0" w:space="0" w:color="auto"/>
        <w:right w:val="none" w:sz="0" w:space="0" w:color="auto"/>
      </w:divBdr>
    </w:div>
    <w:div w:id="1683318221">
      <w:marLeft w:val="0"/>
      <w:marRight w:val="0"/>
      <w:marTop w:val="0"/>
      <w:marBottom w:val="0"/>
      <w:divBdr>
        <w:top w:val="none" w:sz="0" w:space="0" w:color="auto"/>
        <w:left w:val="none" w:sz="0" w:space="0" w:color="auto"/>
        <w:bottom w:val="none" w:sz="0" w:space="0" w:color="auto"/>
        <w:right w:val="none" w:sz="0" w:space="0" w:color="auto"/>
      </w:divBdr>
    </w:div>
    <w:div w:id="1684626924">
      <w:marLeft w:val="0"/>
      <w:marRight w:val="0"/>
      <w:marTop w:val="0"/>
      <w:marBottom w:val="0"/>
      <w:divBdr>
        <w:top w:val="none" w:sz="0" w:space="0" w:color="auto"/>
        <w:left w:val="none" w:sz="0" w:space="0" w:color="auto"/>
        <w:bottom w:val="none" w:sz="0" w:space="0" w:color="auto"/>
        <w:right w:val="none" w:sz="0" w:space="0" w:color="auto"/>
      </w:divBdr>
    </w:div>
    <w:div w:id="1686780828">
      <w:marLeft w:val="0"/>
      <w:marRight w:val="0"/>
      <w:marTop w:val="0"/>
      <w:marBottom w:val="0"/>
      <w:divBdr>
        <w:top w:val="none" w:sz="0" w:space="0" w:color="auto"/>
        <w:left w:val="none" w:sz="0" w:space="0" w:color="auto"/>
        <w:bottom w:val="none" w:sz="0" w:space="0" w:color="auto"/>
        <w:right w:val="none" w:sz="0" w:space="0" w:color="auto"/>
      </w:divBdr>
    </w:div>
    <w:div w:id="1687706762">
      <w:marLeft w:val="0"/>
      <w:marRight w:val="0"/>
      <w:marTop w:val="0"/>
      <w:marBottom w:val="0"/>
      <w:divBdr>
        <w:top w:val="none" w:sz="0" w:space="0" w:color="auto"/>
        <w:left w:val="none" w:sz="0" w:space="0" w:color="auto"/>
        <w:bottom w:val="none" w:sz="0" w:space="0" w:color="auto"/>
        <w:right w:val="none" w:sz="0" w:space="0" w:color="auto"/>
      </w:divBdr>
    </w:div>
    <w:div w:id="1688747642">
      <w:marLeft w:val="0"/>
      <w:marRight w:val="0"/>
      <w:marTop w:val="0"/>
      <w:marBottom w:val="0"/>
      <w:divBdr>
        <w:top w:val="none" w:sz="0" w:space="0" w:color="auto"/>
        <w:left w:val="none" w:sz="0" w:space="0" w:color="auto"/>
        <w:bottom w:val="none" w:sz="0" w:space="0" w:color="auto"/>
        <w:right w:val="none" w:sz="0" w:space="0" w:color="auto"/>
      </w:divBdr>
    </w:div>
    <w:div w:id="1689215734">
      <w:marLeft w:val="0"/>
      <w:marRight w:val="0"/>
      <w:marTop w:val="0"/>
      <w:marBottom w:val="0"/>
      <w:divBdr>
        <w:top w:val="none" w:sz="0" w:space="0" w:color="auto"/>
        <w:left w:val="none" w:sz="0" w:space="0" w:color="auto"/>
        <w:bottom w:val="none" w:sz="0" w:space="0" w:color="auto"/>
        <w:right w:val="none" w:sz="0" w:space="0" w:color="auto"/>
      </w:divBdr>
    </w:div>
    <w:div w:id="1689941950">
      <w:marLeft w:val="0"/>
      <w:marRight w:val="0"/>
      <w:marTop w:val="0"/>
      <w:marBottom w:val="0"/>
      <w:divBdr>
        <w:top w:val="none" w:sz="0" w:space="0" w:color="auto"/>
        <w:left w:val="none" w:sz="0" w:space="0" w:color="auto"/>
        <w:bottom w:val="none" w:sz="0" w:space="0" w:color="auto"/>
        <w:right w:val="none" w:sz="0" w:space="0" w:color="auto"/>
      </w:divBdr>
    </w:div>
    <w:div w:id="1689982053">
      <w:marLeft w:val="0"/>
      <w:marRight w:val="0"/>
      <w:marTop w:val="0"/>
      <w:marBottom w:val="0"/>
      <w:divBdr>
        <w:top w:val="none" w:sz="0" w:space="0" w:color="auto"/>
        <w:left w:val="none" w:sz="0" w:space="0" w:color="auto"/>
        <w:bottom w:val="none" w:sz="0" w:space="0" w:color="auto"/>
        <w:right w:val="none" w:sz="0" w:space="0" w:color="auto"/>
      </w:divBdr>
    </w:div>
    <w:div w:id="1690063595">
      <w:marLeft w:val="0"/>
      <w:marRight w:val="0"/>
      <w:marTop w:val="0"/>
      <w:marBottom w:val="0"/>
      <w:divBdr>
        <w:top w:val="none" w:sz="0" w:space="0" w:color="auto"/>
        <w:left w:val="none" w:sz="0" w:space="0" w:color="auto"/>
        <w:bottom w:val="none" w:sz="0" w:space="0" w:color="auto"/>
        <w:right w:val="none" w:sz="0" w:space="0" w:color="auto"/>
      </w:divBdr>
    </w:div>
    <w:div w:id="1692490649">
      <w:marLeft w:val="0"/>
      <w:marRight w:val="0"/>
      <w:marTop w:val="0"/>
      <w:marBottom w:val="0"/>
      <w:divBdr>
        <w:top w:val="none" w:sz="0" w:space="0" w:color="auto"/>
        <w:left w:val="none" w:sz="0" w:space="0" w:color="auto"/>
        <w:bottom w:val="none" w:sz="0" w:space="0" w:color="auto"/>
        <w:right w:val="none" w:sz="0" w:space="0" w:color="auto"/>
      </w:divBdr>
    </w:div>
    <w:div w:id="1692604573">
      <w:marLeft w:val="0"/>
      <w:marRight w:val="0"/>
      <w:marTop w:val="0"/>
      <w:marBottom w:val="0"/>
      <w:divBdr>
        <w:top w:val="none" w:sz="0" w:space="0" w:color="auto"/>
        <w:left w:val="none" w:sz="0" w:space="0" w:color="auto"/>
        <w:bottom w:val="none" w:sz="0" w:space="0" w:color="auto"/>
        <w:right w:val="none" w:sz="0" w:space="0" w:color="auto"/>
      </w:divBdr>
    </w:div>
    <w:div w:id="1694303013">
      <w:marLeft w:val="0"/>
      <w:marRight w:val="0"/>
      <w:marTop w:val="0"/>
      <w:marBottom w:val="0"/>
      <w:divBdr>
        <w:top w:val="none" w:sz="0" w:space="0" w:color="auto"/>
        <w:left w:val="none" w:sz="0" w:space="0" w:color="auto"/>
        <w:bottom w:val="none" w:sz="0" w:space="0" w:color="auto"/>
        <w:right w:val="none" w:sz="0" w:space="0" w:color="auto"/>
      </w:divBdr>
    </w:div>
    <w:div w:id="1694644358">
      <w:marLeft w:val="0"/>
      <w:marRight w:val="0"/>
      <w:marTop w:val="0"/>
      <w:marBottom w:val="0"/>
      <w:divBdr>
        <w:top w:val="none" w:sz="0" w:space="0" w:color="auto"/>
        <w:left w:val="none" w:sz="0" w:space="0" w:color="auto"/>
        <w:bottom w:val="none" w:sz="0" w:space="0" w:color="auto"/>
        <w:right w:val="none" w:sz="0" w:space="0" w:color="auto"/>
      </w:divBdr>
    </w:div>
    <w:div w:id="1695620164">
      <w:marLeft w:val="0"/>
      <w:marRight w:val="0"/>
      <w:marTop w:val="0"/>
      <w:marBottom w:val="0"/>
      <w:divBdr>
        <w:top w:val="none" w:sz="0" w:space="0" w:color="auto"/>
        <w:left w:val="none" w:sz="0" w:space="0" w:color="auto"/>
        <w:bottom w:val="none" w:sz="0" w:space="0" w:color="auto"/>
        <w:right w:val="none" w:sz="0" w:space="0" w:color="auto"/>
      </w:divBdr>
    </w:div>
    <w:div w:id="1695885932">
      <w:marLeft w:val="0"/>
      <w:marRight w:val="0"/>
      <w:marTop w:val="0"/>
      <w:marBottom w:val="240"/>
      <w:divBdr>
        <w:top w:val="none" w:sz="0" w:space="0" w:color="auto"/>
        <w:left w:val="none" w:sz="0" w:space="0" w:color="auto"/>
        <w:bottom w:val="none" w:sz="0" w:space="0" w:color="auto"/>
        <w:right w:val="none" w:sz="0" w:space="0" w:color="auto"/>
      </w:divBdr>
    </w:div>
    <w:div w:id="1695886150">
      <w:marLeft w:val="0"/>
      <w:marRight w:val="0"/>
      <w:marTop w:val="0"/>
      <w:marBottom w:val="0"/>
      <w:divBdr>
        <w:top w:val="none" w:sz="0" w:space="0" w:color="auto"/>
        <w:left w:val="none" w:sz="0" w:space="0" w:color="auto"/>
        <w:bottom w:val="none" w:sz="0" w:space="0" w:color="auto"/>
        <w:right w:val="none" w:sz="0" w:space="0" w:color="auto"/>
      </w:divBdr>
    </w:div>
    <w:div w:id="1696077238">
      <w:marLeft w:val="0"/>
      <w:marRight w:val="0"/>
      <w:marTop w:val="0"/>
      <w:marBottom w:val="0"/>
      <w:divBdr>
        <w:top w:val="none" w:sz="0" w:space="0" w:color="auto"/>
        <w:left w:val="none" w:sz="0" w:space="0" w:color="auto"/>
        <w:bottom w:val="none" w:sz="0" w:space="0" w:color="auto"/>
        <w:right w:val="none" w:sz="0" w:space="0" w:color="auto"/>
      </w:divBdr>
    </w:div>
    <w:div w:id="1696152010">
      <w:marLeft w:val="0"/>
      <w:marRight w:val="0"/>
      <w:marTop w:val="0"/>
      <w:marBottom w:val="0"/>
      <w:divBdr>
        <w:top w:val="none" w:sz="0" w:space="0" w:color="auto"/>
        <w:left w:val="none" w:sz="0" w:space="0" w:color="auto"/>
        <w:bottom w:val="none" w:sz="0" w:space="0" w:color="auto"/>
        <w:right w:val="none" w:sz="0" w:space="0" w:color="auto"/>
      </w:divBdr>
    </w:div>
    <w:div w:id="1697074099">
      <w:marLeft w:val="0"/>
      <w:marRight w:val="0"/>
      <w:marTop w:val="0"/>
      <w:marBottom w:val="0"/>
      <w:divBdr>
        <w:top w:val="none" w:sz="0" w:space="0" w:color="auto"/>
        <w:left w:val="none" w:sz="0" w:space="0" w:color="auto"/>
        <w:bottom w:val="none" w:sz="0" w:space="0" w:color="auto"/>
        <w:right w:val="none" w:sz="0" w:space="0" w:color="auto"/>
      </w:divBdr>
    </w:div>
    <w:div w:id="1697152262">
      <w:marLeft w:val="0"/>
      <w:marRight w:val="0"/>
      <w:marTop w:val="0"/>
      <w:marBottom w:val="0"/>
      <w:divBdr>
        <w:top w:val="none" w:sz="0" w:space="0" w:color="auto"/>
        <w:left w:val="none" w:sz="0" w:space="0" w:color="auto"/>
        <w:bottom w:val="none" w:sz="0" w:space="0" w:color="auto"/>
        <w:right w:val="none" w:sz="0" w:space="0" w:color="auto"/>
      </w:divBdr>
      <w:divsChild>
        <w:div w:id="1450082262">
          <w:marLeft w:val="0"/>
          <w:marRight w:val="0"/>
          <w:marTop w:val="0"/>
          <w:marBottom w:val="0"/>
          <w:divBdr>
            <w:top w:val="none" w:sz="0" w:space="0" w:color="auto"/>
            <w:left w:val="none" w:sz="0" w:space="0" w:color="auto"/>
            <w:bottom w:val="none" w:sz="0" w:space="0" w:color="auto"/>
            <w:right w:val="none" w:sz="0" w:space="0" w:color="auto"/>
          </w:divBdr>
        </w:div>
      </w:divsChild>
    </w:div>
    <w:div w:id="1697269791">
      <w:marLeft w:val="0"/>
      <w:marRight w:val="0"/>
      <w:marTop w:val="0"/>
      <w:marBottom w:val="0"/>
      <w:divBdr>
        <w:top w:val="none" w:sz="0" w:space="0" w:color="auto"/>
        <w:left w:val="none" w:sz="0" w:space="0" w:color="auto"/>
        <w:bottom w:val="none" w:sz="0" w:space="0" w:color="auto"/>
        <w:right w:val="none" w:sz="0" w:space="0" w:color="auto"/>
      </w:divBdr>
    </w:div>
    <w:div w:id="1698505793">
      <w:marLeft w:val="0"/>
      <w:marRight w:val="0"/>
      <w:marTop w:val="0"/>
      <w:marBottom w:val="0"/>
      <w:divBdr>
        <w:top w:val="none" w:sz="0" w:space="0" w:color="auto"/>
        <w:left w:val="none" w:sz="0" w:space="0" w:color="auto"/>
        <w:bottom w:val="none" w:sz="0" w:space="0" w:color="auto"/>
        <w:right w:val="none" w:sz="0" w:space="0" w:color="auto"/>
      </w:divBdr>
    </w:div>
    <w:div w:id="1698508610">
      <w:marLeft w:val="0"/>
      <w:marRight w:val="0"/>
      <w:marTop w:val="0"/>
      <w:marBottom w:val="0"/>
      <w:divBdr>
        <w:top w:val="none" w:sz="0" w:space="0" w:color="auto"/>
        <w:left w:val="none" w:sz="0" w:space="0" w:color="auto"/>
        <w:bottom w:val="none" w:sz="0" w:space="0" w:color="auto"/>
        <w:right w:val="none" w:sz="0" w:space="0" w:color="auto"/>
      </w:divBdr>
    </w:div>
    <w:div w:id="1698577990">
      <w:marLeft w:val="0"/>
      <w:marRight w:val="0"/>
      <w:marTop w:val="0"/>
      <w:marBottom w:val="0"/>
      <w:divBdr>
        <w:top w:val="none" w:sz="0" w:space="0" w:color="auto"/>
        <w:left w:val="none" w:sz="0" w:space="0" w:color="auto"/>
        <w:bottom w:val="none" w:sz="0" w:space="0" w:color="auto"/>
        <w:right w:val="none" w:sz="0" w:space="0" w:color="auto"/>
      </w:divBdr>
    </w:div>
    <w:div w:id="1698770560">
      <w:marLeft w:val="0"/>
      <w:marRight w:val="0"/>
      <w:marTop w:val="0"/>
      <w:marBottom w:val="0"/>
      <w:divBdr>
        <w:top w:val="none" w:sz="0" w:space="0" w:color="auto"/>
        <w:left w:val="none" w:sz="0" w:space="0" w:color="auto"/>
        <w:bottom w:val="none" w:sz="0" w:space="0" w:color="auto"/>
        <w:right w:val="none" w:sz="0" w:space="0" w:color="auto"/>
      </w:divBdr>
    </w:div>
    <w:div w:id="1698894034">
      <w:marLeft w:val="0"/>
      <w:marRight w:val="0"/>
      <w:marTop w:val="0"/>
      <w:marBottom w:val="0"/>
      <w:divBdr>
        <w:top w:val="none" w:sz="0" w:space="0" w:color="auto"/>
        <w:left w:val="none" w:sz="0" w:space="0" w:color="auto"/>
        <w:bottom w:val="none" w:sz="0" w:space="0" w:color="auto"/>
        <w:right w:val="none" w:sz="0" w:space="0" w:color="auto"/>
      </w:divBdr>
    </w:div>
    <w:div w:id="1700007637">
      <w:marLeft w:val="0"/>
      <w:marRight w:val="0"/>
      <w:marTop w:val="0"/>
      <w:marBottom w:val="0"/>
      <w:divBdr>
        <w:top w:val="none" w:sz="0" w:space="0" w:color="auto"/>
        <w:left w:val="none" w:sz="0" w:space="0" w:color="auto"/>
        <w:bottom w:val="none" w:sz="0" w:space="0" w:color="auto"/>
        <w:right w:val="none" w:sz="0" w:space="0" w:color="auto"/>
      </w:divBdr>
    </w:div>
    <w:div w:id="1701471634">
      <w:marLeft w:val="0"/>
      <w:marRight w:val="0"/>
      <w:marTop w:val="0"/>
      <w:marBottom w:val="0"/>
      <w:divBdr>
        <w:top w:val="none" w:sz="0" w:space="0" w:color="auto"/>
        <w:left w:val="none" w:sz="0" w:space="0" w:color="auto"/>
        <w:bottom w:val="none" w:sz="0" w:space="0" w:color="auto"/>
        <w:right w:val="none" w:sz="0" w:space="0" w:color="auto"/>
      </w:divBdr>
    </w:div>
    <w:div w:id="1701516390">
      <w:marLeft w:val="0"/>
      <w:marRight w:val="0"/>
      <w:marTop w:val="0"/>
      <w:marBottom w:val="0"/>
      <w:divBdr>
        <w:top w:val="none" w:sz="0" w:space="0" w:color="auto"/>
        <w:left w:val="none" w:sz="0" w:space="0" w:color="auto"/>
        <w:bottom w:val="none" w:sz="0" w:space="0" w:color="auto"/>
        <w:right w:val="none" w:sz="0" w:space="0" w:color="auto"/>
      </w:divBdr>
    </w:div>
    <w:div w:id="1701779376">
      <w:marLeft w:val="0"/>
      <w:marRight w:val="0"/>
      <w:marTop w:val="0"/>
      <w:marBottom w:val="0"/>
      <w:divBdr>
        <w:top w:val="none" w:sz="0" w:space="0" w:color="auto"/>
        <w:left w:val="none" w:sz="0" w:space="0" w:color="auto"/>
        <w:bottom w:val="none" w:sz="0" w:space="0" w:color="auto"/>
        <w:right w:val="none" w:sz="0" w:space="0" w:color="auto"/>
      </w:divBdr>
    </w:div>
    <w:div w:id="1701970552">
      <w:marLeft w:val="0"/>
      <w:marRight w:val="0"/>
      <w:marTop w:val="0"/>
      <w:marBottom w:val="0"/>
      <w:divBdr>
        <w:top w:val="none" w:sz="0" w:space="0" w:color="auto"/>
        <w:left w:val="none" w:sz="0" w:space="0" w:color="auto"/>
        <w:bottom w:val="none" w:sz="0" w:space="0" w:color="auto"/>
        <w:right w:val="none" w:sz="0" w:space="0" w:color="auto"/>
      </w:divBdr>
    </w:div>
    <w:div w:id="1702126626">
      <w:marLeft w:val="0"/>
      <w:marRight w:val="0"/>
      <w:marTop w:val="0"/>
      <w:marBottom w:val="0"/>
      <w:divBdr>
        <w:top w:val="none" w:sz="0" w:space="0" w:color="auto"/>
        <w:left w:val="none" w:sz="0" w:space="0" w:color="auto"/>
        <w:bottom w:val="none" w:sz="0" w:space="0" w:color="auto"/>
        <w:right w:val="none" w:sz="0" w:space="0" w:color="auto"/>
      </w:divBdr>
    </w:div>
    <w:div w:id="1702238551">
      <w:marLeft w:val="0"/>
      <w:marRight w:val="0"/>
      <w:marTop w:val="0"/>
      <w:marBottom w:val="0"/>
      <w:divBdr>
        <w:top w:val="none" w:sz="0" w:space="0" w:color="auto"/>
        <w:left w:val="none" w:sz="0" w:space="0" w:color="auto"/>
        <w:bottom w:val="none" w:sz="0" w:space="0" w:color="auto"/>
        <w:right w:val="none" w:sz="0" w:space="0" w:color="auto"/>
      </w:divBdr>
    </w:div>
    <w:div w:id="1702393359">
      <w:marLeft w:val="0"/>
      <w:marRight w:val="0"/>
      <w:marTop w:val="0"/>
      <w:marBottom w:val="0"/>
      <w:divBdr>
        <w:top w:val="none" w:sz="0" w:space="0" w:color="auto"/>
        <w:left w:val="none" w:sz="0" w:space="0" w:color="auto"/>
        <w:bottom w:val="none" w:sz="0" w:space="0" w:color="auto"/>
        <w:right w:val="none" w:sz="0" w:space="0" w:color="auto"/>
      </w:divBdr>
    </w:div>
    <w:div w:id="1703282389">
      <w:marLeft w:val="0"/>
      <w:marRight w:val="0"/>
      <w:marTop w:val="0"/>
      <w:marBottom w:val="0"/>
      <w:divBdr>
        <w:top w:val="none" w:sz="0" w:space="0" w:color="auto"/>
        <w:left w:val="none" w:sz="0" w:space="0" w:color="auto"/>
        <w:bottom w:val="none" w:sz="0" w:space="0" w:color="auto"/>
        <w:right w:val="none" w:sz="0" w:space="0" w:color="auto"/>
      </w:divBdr>
      <w:divsChild>
        <w:div w:id="655962295">
          <w:marLeft w:val="0"/>
          <w:marRight w:val="0"/>
          <w:marTop w:val="0"/>
          <w:marBottom w:val="0"/>
          <w:divBdr>
            <w:top w:val="none" w:sz="0" w:space="0" w:color="auto"/>
            <w:left w:val="none" w:sz="0" w:space="0" w:color="auto"/>
            <w:bottom w:val="none" w:sz="0" w:space="0" w:color="auto"/>
            <w:right w:val="none" w:sz="0" w:space="0" w:color="auto"/>
          </w:divBdr>
        </w:div>
      </w:divsChild>
    </w:div>
    <w:div w:id="1704089940">
      <w:marLeft w:val="0"/>
      <w:marRight w:val="0"/>
      <w:marTop w:val="0"/>
      <w:marBottom w:val="0"/>
      <w:divBdr>
        <w:top w:val="none" w:sz="0" w:space="0" w:color="auto"/>
        <w:left w:val="none" w:sz="0" w:space="0" w:color="auto"/>
        <w:bottom w:val="none" w:sz="0" w:space="0" w:color="auto"/>
        <w:right w:val="none" w:sz="0" w:space="0" w:color="auto"/>
      </w:divBdr>
    </w:div>
    <w:div w:id="1705401690">
      <w:marLeft w:val="0"/>
      <w:marRight w:val="0"/>
      <w:marTop w:val="0"/>
      <w:marBottom w:val="0"/>
      <w:divBdr>
        <w:top w:val="none" w:sz="0" w:space="0" w:color="auto"/>
        <w:left w:val="none" w:sz="0" w:space="0" w:color="auto"/>
        <w:bottom w:val="none" w:sz="0" w:space="0" w:color="auto"/>
        <w:right w:val="none" w:sz="0" w:space="0" w:color="auto"/>
      </w:divBdr>
    </w:div>
    <w:div w:id="1705402146">
      <w:marLeft w:val="0"/>
      <w:marRight w:val="0"/>
      <w:marTop w:val="0"/>
      <w:marBottom w:val="0"/>
      <w:divBdr>
        <w:top w:val="none" w:sz="0" w:space="0" w:color="auto"/>
        <w:left w:val="none" w:sz="0" w:space="0" w:color="auto"/>
        <w:bottom w:val="none" w:sz="0" w:space="0" w:color="auto"/>
        <w:right w:val="none" w:sz="0" w:space="0" w:color="auto"/>
      </w:divBdr>
    </w:div>
    <w:div w:id="1705517042">
      <w:marLeft w:val="0"/>
      <w:marRight w:val="0"/>
      <w:marTop w:val="0"/>
      <w:marBottom w:val="0"/>
      <w:divBdr>
        <w:top w:val="none" w:sz="0" w:space="0" w:color="auto"/>
        <w:left w:val="none" w:sz="0" w:space="0" w:color="auto"/>
        <w:bottom w:val="none" w:sz="0" w:space="0" w:color="auto"/>
        <w:right w:val="none" w:sz="0" w:space="0" w:color="auto"/>
      </w:divBdr>
    </w:div>
    <w:div w:id="1707757501">
      <w:marLeft w:val="0"/>
      <w:marRight w:val="0"/>
      <w:marTop w:val="0"/>
      <w:marBottom w:val="0"/>
      <w:divBdr>
        <w:top w:val="none" w:sz="0" w:space="0" w:color="auto"/>
        <w:left w:val="none" w:sz="0" w:space="0" w:color="auto"/>
        <w:bottom w:val="none" w:sz="0" w:space="0" w:color="auto"/>
        <w:right w:val="none" w:sz="0" w:space="0" w:color="auto"/>
      </w:divBdr>
    </w:div>
    <w:div w:id="1708026848">
      <w:marLeft w:val="0"/>
      <w:marRight w:val="0"/>
      <w:marTop w:val="0"/>
      <w:marBottom w:val="0"/>
      <w:divBdr>
        <w:top w:val="none" w:sz="0" w:space="0" w:color="auto"/>
        <w:left w:val="none" w:sz="0" w:space="0" w:color="auto"/>
        <w:bottom w:val="none" w:sz="0" w:space="0" w:color="auto"/>
        <w:right w:val="none" w:sz="0" w:space="0" w:color="auto"/>
      </w:divBdr>
    </w:div>
    <w:div w:id="1708409431">
      <w:marLeft w:val="0"/>
      <w:marRight w:val="0"/>
      <w:marTop w:val="0"/>
      <w:marBottom w:val="0"/>
      <w:divBdr>
        <w:top w:val="none" w:sz="0" w:space="0" w:color="auto"/>
        <w:left w:val="none" w:sz="0" w:space="0" w:color="auto"/>
        <w:bottom w:val="none" w:sz="0" w:space="0" w:color="auto"/>
        <w:right w:val="none" w:sz="0" w:space="0" w:color="auto"/>
      </w:divBdr>
    </w:div>
    <w:div w:id="1709525693">
      <w:marLeft w:val="0"/>
      <w:marRight w:val="0"/>
      <w:marTop w:val="0"/>
      <w:marBottom w:val="0"/>
      <w:divBdr>
        <w:top w:val="none" w:sz="0" w:space="0" w:color="auto"/>
        <w:left w:val="none" w:sz="0" w:space="0" w:color="auto"/>
        <w:bottom w:val="none" w:sz="0" w:space="0" w:color="auto"/>
        <w:right w:val="none" w:sz="0" w:space="0" w:color="auto"/>
      </w:divBdr>
    </w:div>
    <w:div w:id="1709798427">
      <w:marLeft w:val="0"/>
      <w:marRight w:val="0"/>
      <w:marTop w:val="0"/>
      <w:marBottom w:val="0"/>
      <w:divBdr>
        <w:top w:val="none" w:sz="0" w:space="0" w:color="auto"/>
        <w:left w:val="none" w:sz="0" w:space="0" w:color="auto"/>
        <w:bottom w:val="none" w:sz="0" w:space="0" w:color="auto"/>
        <w:right w:val="none" w:sz="0" w:space="0" w:color="auto"/>
      </w:divBdr>
    </w:div>
    <w:div w:id="1710690034">
      <w:marLeft w:val="0"/>
      <w:marRight w:val="0"/>
      <w:marTop w:val="0"/>
      <w:marBottom w:val="0"/>
      <w:divBdr>
        <w:top w:val="none" w:sz="0" w:space="0" w:color="auto"/>
        <w:left w:val="none" w:sz="0" w:space="0" w:color="auto"/>
        <w:bottom w:val="none" w:sz="0" w:space="0" w:color="auto"/>
        <w:right w:val="none" w:sz="0" w:space="0" w:color="auto"/>
      </w:divBdr>
    </w:div>
    <w:div w:id="1711568711">
      <w:marLeft w:val="0"/>
      <w:marRight w:val="0"/>
      <w:marTop w:val="0"/>
      <w:marBottom w:val="0"/>
      <w:divBdr>
        <w:top w:val="none" w:sz="0" w:space="0" w:color="auto"/>
        <w:left w:val="none" w:sz="0" w:space="0" w:color="auto"/>
        <w:bottom w:val="none" w:sz="0" w:space="0" w:color="auto"/>
        <w:right w:val="none" w:sz="0" w:space="0" w:color="auto"/>
      </w:divBdr>
      <w:divsChild>
        <w:div w:id="669526175">
          <w:marLeft w:val="0"/>
          <w:marRight w:val="0"/>
          <w:marTop w:val="0"/>
          <w:marBottom w:val="0"/>
          <w:divBdr>
            <w:top w:val="none" w:sz="0" w:space="0" w:color="auto"/>
            <w:left w:val="none" w:sz="0" w:space="0" w:color="auto"/>
            <w:bottom w:val="none" w:sz="0" w:space="0" w:color="auto"/>
            <w:right w:val="none" w:sz="0" w:space="0" w:color="auto"/>
          </w:divBdr>
        </w:div>
      </w:divsChild>
    </w:div>
    <w:div w:id="1711806399">
      <w:marLeft w:val="0"/>
      <w:marRight w:val="0"/>
      <w:marTop w:val="0"/>
      <w:marBottom w:val="0"/>
      <w:divBdr>
        <w:top w:val="none" w:sz="0" w:space="0" w:color="auto"/>
        <w:left w:val="none" w:sz="0" w:space="0" w:color="auto"/>
        <w:bottom w:val="none" w:sz="0" w:space="0" w:color="auto"/>
        <w:right w:val="none" w:sz="0" w:space="0" w:color="auto"/>
      </w:divBdr>
    </w:div>
    <w:div w:id="1711953196">
      <w:marLeft w:val="0"/>
      <w:marRight w:val="0"/>
      <w:marTop w:val="0"/>
      <w:marBottom w:val="0"/>
      <w:divBdr>
        <w:top w:val="none" w:sz="0" w:space="0" w:color="auto"/>
        <w:left w:val="none" w:sz="0" w:space="0" w:color="auto"/>
        <w:bottom w:val="none" w:sz="0" w:space="0" w:color="auto"/>
        <w:right w:val="none" w:sz="0" w:space="0" w:color="auto"/>
      </w:divBdr>
    </w:div>
    <w:div w:id="1712076389">
      <w:marLeft w:val="0"/>
      <w:marRight w:val="0"/>
      <w:marTop w:val="0"/>
      <w:marBottom w:val="0"/>
      <w:divBdr>
        <w:top w:val="none" w:sz="0" w:space="0" w:color="auto"/>
        <w:left w:val="none" w:sz="0" w:space="0" w:color="auto"/>
        <w:bottom w:val="none" w:sz="0" w:space="0" w:color="auto"/>
        <w:right w:val="none" w:sz="0" w:space="0" w:color="auto"/>
      </w:divBdr>
    </w:div>
    <w:div w:id="1713073376">
      <w:marLeft w:val="0"/>
      <w:marRight w:val="0"/>
      <w:marTop w:val="0"/>
      <w:marBottom w:val="0"/>
      <w:divBdr>
        <w:top w:val="none" w:sz="0" w:space="0" w:color="auto"/>
        <w:left w:val="none" w:sz="0" w:space="0" w:color="auto"/>
        <w:bottom w:val="none" w:sz="0" w:space="0" w:color="auto"/>
        <w:right w:val="none" w:sz="0" w:space="0" w:color="auto"/>
      </w:divBdr>
    </w:div>
    <w:div w:id="1714843692">
      <w:marLeft w:val="0"/>
      <w:marRight w:val="0"/>
      <w:marTop w:val="0"/>
      <w:marBottom w:val="0"/>
      <w:divBdr>
        <w:top w:val="none" w:sz="0" w:space="0" w:color="auto"/>
        <w:left w:val="none" w:sz="0" w:space="0" w:color="auto"/>
        <w:bottom w:val="none" w:sz="0" w:space="0" w:color="auto"/>
        <w:right w:val="none" w:sz="0" w:space="0" w:color="auto"/>
      </w:divBdr>
    </w:div>
    <w:div w:id="1715422634">
      <w:marLeft w:val="0"/>
      <w:marRight w:val="0"/>
      <w:marTop w:val="0"/>
      <w:marBottom w:val="0"/>
      <w:divBdr>
        <w:top w:val="none" w:sz="0" w:space="0" w:color="auto"/>
        <w:left w:val="none" w:sz="0" w:space="0" w:color="auto"/>
        <w:bottom w:val="none" w:sz="0" w:space="0" w:color="auto"/>
        <w:right w:val="none" w:sz="0" w:space="0" w:color="auto"/>
      </w:divBdr>
    </w:div>
    <w:div w:id="1716390695">
      <w:marLeft w:val="0"/>
      <w:marRight w:val="0"/>
      <w:marTop w:val="0"/>
      <w:marBottom w:val="0"/>
      <w:divBdr>
        <w:top w:val="none" w:sz="0" w:space="0" w:color="auto"/>
        <w:left w:val="none" w:sz="0" w:space="0" w:color="auto"/>
        <w:bottom w:val="none" w:sz="0" w:space="0" w:color="auto"/>
        <w:right w:val="none" w:sz="0" w:space="0" w:color="auto"/>
      </w:divBdr>
      <w:divsChild>
        <w:div w:id="823862477">
          <w:marLeft w:val="0"/>
          <w:marRight w:val="0"/>
          <w:marTop w:val="0"/>
          <w:marBottom w:val="0"/>
          <w:divBdr>
            <w:top w:val="none" w:sz="0" w:space="0" w:color="auto"/>
            <w:left w:val="none" w:sz="0" w:space="0" w:color="auto"/>
            <w:bottom w:val="none" w:sz="0" w:space="0" w:color="auto"/>
            <w:right w:val="none" w:sz="0" w:space="0" w:color="auto"/>
          </w:divBdr>
        </w:div>
      </w:divsChild>
    </w:div>
    <w:div w:id="1718385338">
      <w:marLeft w:val="0"/>
      <w:marRight w:val="0"/>
      <w:marTop w:val="0"/>
      <w:marBottom w:val="0"/>
      <w:divBdr>
        <w:top w:val="none" w:sz="0" w:space="0" w:color="auto"/>
        <w:left w:val="none" w:sz="0" w:space="0" w:color="auto"/>
        <w:bottom w:val="none" w:sz="0" w:space="0" w:color="auto"/>
        <w:right w:val="none" w:sz="0" w:space="0" w:color="auto"/>
      </w:divBdr>
    </w:div>
    <w:div w:id="1718505480">
      <w:marLeft w:val="0"/>
      <w:marRight w:val="0"/>
      <w:marTop w:val="0"/>
      <w:marBottom w:val="0"/>
      <w:divBdr>
        <w:top w:val="none" w:sz="0" w:space="0" w:color="auto"/>
        <w:left w:val="none" w:sz="0" w:space="0" w:color="auto"/>
        <w:bottom w:val="none" w:sz="0" w:space="0" w:color="auto"/>
        <w:right w:val="none" w:sz="0" w:space="0" w:color="auto"/>
      </w:divBdr>
    </w:div>
    <w:div w:id="1719162408">
      <w:marLeft w:val="0"/>
      <w:marRight w:val="0"/>
      <w:marTop w:val="0"/>
      <w:marBottom w:val="0"/>
      <w:divBdr>
        <w:top w:val="none" w:sz="0" w:space="0" w:color="auto"/>
        <w:left w:val="none" w:sz="0" w:space="0" w:color="auto"/>
        <w:bottom w:val="none" w:sz="0" w:space="0" w:color="auto"/>
        <w:right w:val="none" w:sz="0" w:space="0" w:color="auto"/>
      </w:divBdr>
      <w:divsChild>
        <w:div w:id="67462077">
          <w:marLeft w:val="0"/>
          <w:marRight w:val="0"/>
          <w:marTop w:val="0"/>
          <w:marBottom w:val="0"/>
          <w:divBdr>
            <w:top w:val="none" w:sz="0" w:space="0" w:color="auto"/>
            <w:left w:val="none" w:sz="0" w:space="0" w:color="auto"/>
            <w:bottom w:val="none" w:sz="0" w:space="0" w:color="auto"/>
            <w:right w:val="none" w:sz="0" w:space="0" w:color="auto"/>
          </w:divBdr>
        </w:div>
      </w:divsChild>
    </w:div>
    <w:div w:id="1720398486">
      <w:marLeft w:val="0"/>
      <w:marRight w:val="0"/>
      <w:marTop w:val="0"/>
      <w:marBottom w:val="0"/>
      <w:divBdr>
        <w:top w:val="none" w:sz="0" w:space="0" w:color="auto"/>
        <w:left w:val="none" w:sz="0" w:space="0" w:color="auto"/>
        <w:bottom w:val="none" w:sz="0" w:space="0" w:color="auto"/>
        <w:right w:val="none" w:sz="0" w:space="0" w:color="auto"/>
      </w:divBdr>
    </w:div>
    <w:div w:id="1720475769">
      <w:marLeft w:val="0"/>
      <w:marRight w:val="0"/>
      <w:marTop w:val="0"/>
      <w:marBottom w:val="0"/>
      <w:divBdr>
        <w:top w:val="none" w:sz="0" w:space="0" w:color="auto"/>
        <w:left w:val="none" w:sz="0" w:space="0" w:color="auto"/>
        <w:bottom w:val="none" w:sz="0" w:space="0" w:color="auto"/>
        <w:right w:val="none" w:sz="0" w:space="0" w:color="auto"/>
      </w:divBdr>
      <w:divsChild>
        <w:div w:id="973490117">
          <w:marLeft w:val="0"/>
          <w:marRight w:val="0"/>
          <w:marTop w:val="0"/>
          <w:marBottom w:val="0"/>
          <w:divBdr>
            <w:top w:val="none" w:sz="0" w:space="0" w:color="auto"/>
            <w:left w:val="none" w:sz="0" w:space="0" w:color="auto"/>
            <w:bottom w:val="none" w:sz="0" w:space="0" w:color="auto"/>
            <w:right w:val="none" w:sz="0" w:space="0" w:color="auto"/>
          </w:divBdr>
        </w:div>
      </w:divsChild>
    </w:div>
    <w:div w:id="1720785689">
      <w:marLeft w:val="0"/>
      <w:marRight w:val="0"/>
      <w:marTop w:val="0"/>
      <w:marBottom w:val="0"/>
      <w:divBdr>
        <w:top w:val="none" w:sz="0" w:space="0" w:color="auto"/>
        <w:left w:val="none" w:sz="0" w:space="0" w:color="auto"/>
        <w:bottom w:val="none" w:sz="0" w:space="0" w:color="auto"/>
        <w:right w:val="none" w:sz="0" w:space="0" w:color="auto"/>
      </w:divBdr>
    </w:div>
    <w:div w:id="1721972698">
      <w:marLeft w:val="0"/>
      <w:marRight w:val="0"/>
      <w:marTop w:val="0"/>
      <w:marBottom w:val="0"/>
      <w:divBdr>
        <w:top w:val="none" w:sz="0" w:space="0" w:color="auto"/>
        <w:left w:val="none" w:sz="0" w:space="0" w:color="auto"/>
        <w:bottom w:val="none" w:sz="0" w:space="0" w:color="auto"/>
        <w:right w:val="none" w:sz="0" w:space="0" w:color="auto"/>
      </w:divBdr>
    </w:div>
    <w:div w:id="1723751945">
      <w:marLeft w:val="0"/>
      <w:marRight w:val="0"/>
      <w:marTop w:val="0"/>
      <w:marBottom w:val="0"/>
      <w:divBdr>
        <w:top w:val="none" w:sz="0" w:space="0" w:color="auto"/>
        <w:left w:val="none" w:sz="0" w:space="0" w:color="auto"/>
        <w:bottom w:val="none" w:sz="0" w:space="0" w:color="auto"/>
        <w:right w:val="none" w:sz="0" w:space="0" w:color="auto"/>
      </w:divBdr>
    </w:div>
    <w:div w:id="1725371702">
      <w:marLeft w:val="0"/>
      <w:marRight w:val="0"/>
      <w:marTop w:val="0"/>
      <w:marBottom w:val="0"/>
      <w:divBdr>
        <w:top w:val="none" w:sz="0" w:space="0" w:color="auto"/>
        <w:left w:val="none" w:sz="0" w:space="0" w:color="auto"/>
        <w:bottom w:val="none" w:sz="0" w:space="0" w:color="auto"/>
        <w:right w:val="none" w:sz="0" w:space="0" w:color="auto"/>
      </w:divBdr>
    </w:div>
    <w:div w:id="1725639643">
      <w:marLeft w:val="0"/>
      <w:marRight w:val="0"/>
      <w:marTop w:val="100"/>
      <w:marBottom w:val="100"/>
      <w:divBdr>
        <w:top w:val="none" w:sz="0" w:space="0" w:color="auto"/>
        <w:left w:val="none" w:sz="0" w:space="0" w:color="auto"/>
        <w:bottom w:val="none" w:sz="0" w:space="0" w:color="auto"/>
        <w:right w:val="none" w:sz="0" w:space="0" w:color="auto"/>
      </w:divBdr>
      <w:divsChild>
        <w:div w:id="791747973">
          <w:marLeft w:val="0"/>
          <w:marRight w:val="0"/>
          <w:marTop w:val="0"/>
          <w:marBottom w:val="0"/>
          <w:divBdr>
            <w:top w:val="none" w:sz="0" w:space="0" w:color="auto"/>
            <w:left w:val="none" w:sz="0" w:space="0" w:color="auto"/>
            <w:bottom w:val="none" w:sz="0" w:space="0" w:color="auto"/>
            <w:right w:val="none" w:sz="0" w:space="0" w:color="auto"/>
          </w:divBdr>
        </w:div>
        <w:div w:id="255405764">
          <w:marLeft w:val="0"/>
          <w:marRight w:val="0"/>
          <w:marTop w:val="0"/>
          <w:marBottom w:val="0"/>
          <w:divBdr>
            <w:top w:val="none" w:sz="0" w:space="0" w:color="auto"/>
            <w:left w:val="none" w:sz="0" w:space="0" w:color="auto"/>
            <w:bottom w:val="none" w:sz="0" w:space="0" w:color="auto"/>
            <w:right w:val="none" w:sz="0" w:space="0" w:color="auto"/>
          </w:divBdr>
        </w:div>
        <w:div w:id="680163970">
          <w:marLeft w:val="0"/>
          <w:marRight w:val="0"/>
          <w:marTop w:val="0"/>
          <w:marBottom w:val="0"/>
          <w:divBdr>
            <w:top w:val="none" w:sz="0" w:space="0" w:color="auto"/>
            <w:left w:val="none" w:sz="0" w:space="0" w:color="auto"/>
            <w:bottom w:val="none" w:sz="0" w:space="0" w:color="auto"/>
            <w:right w:val="none" w:sz="0" w:space="0" w:color="auto"/>
          </w:divBdr>
        </w:div>
        <w:div w:id="1810201595">
          <w:marLeft w:val="0"/>
          <w:marRight w:val="0"/>
          <w:marTop w:val="0"/>
          <w:marBottom w:val="0"/>
          <w:divBdr>
            <w:top w:val="none" w:sz="0" w:space="0" w:color="auto"/>
            <w:left w:val="none" w:sz="0" w:space="0" w:color="auto"/>
            <w:bottom w:val="none" w:sz="0" w:space="0" w:color="auto"/>
            <w:right w:val="none" w:sz="0" w:space="0" w:color="auto"/>
          </w:divBdr>
        </w:div>
      </w:divsChild>
    </w:div>
    <w:div w:id="1727297917">
      <w:marLeft w:val="0"/>
      <w:marRight w:val="0"/>
      <w:marTop w:val="0"/>
      <w:marBottom w:val="0"/>
      <w:divBdr>
        <w:top w:val="none" w:sz="0" w:space="0" w:color="auto"/>
        <w:left w:val="none" w:sz="0" w:space="0" w:color="auto"/>
        <w:bottom w:val="none" w:sz="0" w:space="0" w:color="auto"/>
        <w:right w:val="none" w:sz="0" w:space="0" w:color="auto"/>
      </w:divBdr>
    </w:div>
    <w:div w:id="1727799962">
      <w:marLeft w:val="0"/>
      <w:marRight w:val="0"/>
      <w:marTop w:val="0"/>
      <w:marBottom w:val="0"/>
      <w:divBdr>
        <w:top w:val="none" w:sz="0" w:space="0" w:color="auto"/>
        <w:left w:val="none" w:sz="0" w:space="0" w:color="auto"/>
        <w:bottom w:val="none" w:sz="0" w:space="0" w:color="auto"/>
        <w:right w:val="none" w:sz="0" w:space="0" w:color="auto"/>
      </w:divBdr>
    </w:div>
    <w:div w:id="1728020407">
      <w:marLeft w:val="0"/>
      <w:marRight w:val="0"/>
      <w:marTop w:val="0"/>
      <w:marBottom w:val="0"/>
      <w:divBdr>
        <w:top w:val="none" w:sz="0" w:space="0" w:color="auto"/>
        <w:left w:val="none" w:sz="0" w:space="0" w:color="auto"/>
        <w:bottom w:val="none" w:sz="0" w:space="0" w:color="auto"/>
        <w:right w:val="none" w:sz="0" w:space="0" w:color="auto"/>
      </w:divBdr>
    </w:div>
    <w:div w:id="1728408773">
      <w:marLeft w:val="0"/>
      <w:marRight w:val="0"/>
      <w:marTop w:val="0"/>
      <w:marBottom w:val="0"/>
      <w:divBdr>
        <w:top w:val="none" w:sz="0" w:space="0" w:color="auto"/>
        <w:left w:val="none" w:sz="0" w:space="0" w:color="auto"/>
        <w:bottom w:val="none" w:sz="0" w:space="0" w:color="auto"/>
        <w:right w:val="none" w:sz="0" w:space="0" w:color="auto"/>
      </w:divBdr>
    </w:div>
    <w:div w:id="1728456243">
      <w:marLeft w:val="0"/>
      <w:marRight w:val="0"/>
      <w:marTop w:val="0"/>
      <w:marBottom w:val="0"/>
      <w:divBdr>
        <w:top w:val="none" w:sz="0" w:space="0" w:color="auto"/>
        <w:left w:val="none" w:sz="0" w:space="0" w:color="auto"/>
        <w:bottom w:val="none" w:sz="0" w:space="0" w:color="auto"/>
        <w:right w:val="none" w:sz="0" w:space="0" w:color="auto"/>
      </w:divBdr>
      <w:divsChild>
        <w:div w:id="1390416890">
          <w:marLeft w:val="0"/>
          <w:marRight w:val="0"/>
          <w:marTop w:val="0"/>
          <w:marBottom w:val="0"/>
          <w:divBdr>
            <w:top w:val="none" w:sz="0" w:space="0" w:color="auto"/>
            <w:left w:val="none" w:sz="0" w:space="0" w:color="auto"/>
            <w:bottom w:val="none" w:sz="0" w:space="0" w:color="auto"/>
            <w:right w:val="none" w:sz="0" w:space="0" w:color="auto"/>
          </w:divBdr>
        </w:div>
      </w:divsChild>
    </w:div>
    <w:div w:id="1730760677">
      <w:marLeft w:val="0"/>
      <w:marRight w:val="0"/>
      <w:marTop w:val="0"/>
      <w:marBottom w:val="0"/>
      <w:divBdr>
        <w:top w:val="none" w:sz="0" w:space="0" w:color="auto"/>
        <w:left w:val="none" w:sz="0" w:space="0" w:color="auto"/>
        <w:bottom w:val="none" w:sz="0" w:space="0" w:color="auto"/>
        <w:right w:val="none" w:sz="0" w:space="0" w:color="auto"/>
      </w:divBdr>
    </w:div>
    <w:div w:id="1731154838">
      <w:marLeft w:val="0"/>
      <w:marRight w:val="0"/>
      <w:marTop w:val="0"/>
      <w:marBottom w:val="0"/>
      <w:divBdr>
        <w:top w:val="none" w:sz="0" w:space="0" w:color="auto"/>
        <w:left w:val="none" w:sz="0" w:space="0" w:color="auto"/>
        <w:bottom w:val="none" w:sz="0" w:space="0" w:color="auto"/>
        <w:right w:val="none" w:sz="0" w:space="0" w:color="auto"/>
      </w:divBdr>
    </w:div>
    <w:div w:id="1731879860">
      <w:marLeft w:val="0"/>
      <w:marRight w:val="0"/>
      <w:marTop w:val="0"/>
      <w:marBottom w:val="0"/>
      <w:divBdr>
        <w:top w:val="none" w:sz="0" w:space="0" w:color="auto"/>
        <w:left w:val="none" w:sz="0" w:space="0" w:color="auto"/>
        <w:bottom w:val="none" w:sz="0" w:space="0" w:color="auto"/>
        <w:right w:val="none" w:sz="0" w:space="0" w:color="auto"/>
      </w:divBdr>
    </w:div>
    <w:div w:id="1732073946">
      <w:marLeft w:val="0"/>
      <w:marRight w:val="0"/>
      <w:marTop w:val="0"/>
      <w:marBottom w:val="0"/>
      <w:divBdr>
        <w:top w:val="none" w:sz="0" w:space="0" w:color="auto"/>
        <w:left w:val="none" w:sz="0" w:space="0" w:color="auto"/>
        <w:bottom w:val="none" w:sz="0" w:space="0" w:color="auto"/>
        <w:right w:val="none" w:sz="0" w:space="0" w:color="auto"/>
      </w:divBdr>
    </w:div>
    <w:div w:id="1732607316">
      <w:marLeft w:val="0"/>
      <w:marRight w:val="0"/>
      <w:marTop w:val="0"/>
      <w:marBottom w:val="0"/>
      <w:divBdr>
        <w:top w:val="none" w:sz="0" w:space="0" w:color="auto"/>
        <w:left w:val="none" w:sz="0" w:space="0" w:color="auto"/>
        <w:bottom w:val="none" w:sz="0" w:space="0" w:color="auto"/>
        <w:right w:val="none" w:sz="0" w:space="0" w:color="auto"/>
      </w:divBdr>
    </w:div>
    <w:div w:id="1732850519">
      <w:marLeft w:val="0"/>
      <w:marRight w:val="0"/>
      <w:marTop w:val="0"/>
      <w:marBottom w:val="0"/>
      <w:divBdr>
        <w:top w:val="none" w:sz="0" w:space="0" w:color="auto"/>
        <w:left w:val="none" w:sz="0" w:space="0" w:color="auto"/>
        <w:bottom w:val="none" w:sz="0" w:space="0" w:color="auto"/>
        <w:right w:val="none" w:sz="0" w:space="0" w:color="auto"/>
      </w:divBdr>
    </w:div>
    <w:div w:id="1733239107">
      <w:marLeft w:val="0"/>
      <w:marRight w:val="0"/>
      <w:marTop w:val="0"/>
      <w:marBottom w:val="0"/>
      <w:divBdr>
        <w:top w:val="none" w:sz="0" w:space="0" w:color="auto"/>
        <w:left w:val="none" w:sz="0" w:space="0" w:color="auto"/>
        <w:bottom w:val="none" w:sz="0" w:space="0" w:color="auto"/>
        <w:right w:val="none" w:sz="0" w:space="0" w:color="auto"/>
      </w:divBdr>
    </w:div>
    <w:div w:id="1733385457">
      <w:marLeft w:val="0"/>
      <w:marRight w:val="0"/>
      <w:marTop w:val="0"/>
      <w:marBottom w:val="0"/>
      <w:divBdr>
        <w:top w:val="none" w:sz="0" w:space="0" w:color="auto"/>
        <w:left w:val="none" w:sz="0" w:space="0" w:color="auto"/>
        <w:bottom w:val="none" w:sz="0" w:space="0" w:color="auto"/>
        <w:right w:val="none" w:sz="0" w:space="0" w:color="auto"/>
      </w:divBdr>
    </w:div>
    <w:div w:id="1734237262">
      <w:marLeft w:val="0"/>
      <w:marRight w:val="0"/>
      <w:marTop w:val="0"/>
      <w:marBottom w:val="0"/>
      <w:divBdr>
        <w:top w:val="none" w:sz="0" w:space="0" w:color="auto"/>
        <w:left w:val="none" w:sz="0" w:space="0" w:color="auto"/>
        <w:bottom w:val="none" w:sz="0" w:space="0" w:color="auto"/>
        <w:right w:val="none" w:sz="0" w:space="0" w:color="auto"/>
      </w:divBdr>
    </w:div>
    <w:div w:id="1736002301">
      <w:marLeft w:val="0"/>
      <w:marRight w:val="0"/>
      <w:marTop w:val="0"/>
      <w:marBottom w:val="0"/>
      <w:divBdr>
        <w:top w:val="none" w:sz="0" w:space="0" w:color="auto"/>
        <w:left w:val="none" w:sz="0" w:space="0" w:color="auto"/>
        <w:bottom w:val="none" w:sz="0" w:space="0" w:color="auto"/>
        <w:right w:val="none" w:sz="0" w:space="0" w:color="auto"/>
      </w:divBdr>
    </w:div>
    <w:div w:id="1736051504">
      <w:marLeft w:val="0"/>
      <w:marRight w:val="0"/>
      <w:marTop w:val="0"/>
      <w:marBottom w:val="0"/>
      <w:divBdr>
        <w:top w:val="none" w:sz="0" w:space="0" w:color="auto"/>
        <w:left w:val="none" w:sz="0" w:space="0" w:color="auto"/>
        <w:bottom w:val="none" w:sz="0" w:space="0" w:color="auto"/>
        <w:right w:val="none" w:sz="0" w:space="0" w:color="auto"/>
      </w:divBdr>
    </w:div>
    <w:div w:id="1736080165">
      <w:marLeft w:val="0"/>
      <w:marRight w:val="0"/>
      <w:marTop w:val="0"/>
      <w:marBottom w:val="0"/>
      <w:divBdr>
        <w:top w:val="none" w:sz="0" w:space="0" w:color="auto"/>
        <w:left w:val="none" w:sz="0" w:space="0" w:color="auto"/>
        <w:bottom w:val="none" w:sz="0" w:space="0" w:color="auto"/>
        <w:right w:val="none" w:sz="0" w:space="0" w:color="auto"/>
      </w:divBdr>
    </w:div>
    <w:div w:id="1736850991">
      <w:marLeft w:val="0"/>
      <w:marRight w:val="0"/>
      <w:marTop w:val="0"/>
      <w:marBottom w:val="0"/>
      <w:divBdr>
        <w:top w:val="none" w:sz="0" w:space="0" w:color="auto"/>
        <w:left w:val="none" w:sz="0" w:space="0" w:color="auto"/>
        <w:bottom w:val="none" w:sz="0" w:space="0" w:color="auto"/>
        <w:right w:val="none" w:sz="0" w:space="0" w:color="auto"/>
      </w:divBdr>
    </w:div>
    <w:div w:id="1738092063">
      <w:marLeft w:val="0"/>
      <w:marRight w:val="0"/>
      <w:marTop w:val="0"/>
      <w:marBottom w:val="0"/>
      <w:divBdr>
        <w:top w:val="none" w:sz="0" w:space="0" w:color="auto"/>
        <w:left w:val="none" w:sz="0" w:space="0" w:color="auto"/>
        <w:bottom w:val="none" w:sz="0" w:space="0" w:color="auto"/>
        <w:right w:val="none" w:sz="0" w:space="0" w:color="auto"/>
      </w:divBdr>
    </w:div>
    <w:div w:id="1738161802">
      <w:marLeft w:val="0"/>
      <w:marRight w:val="0"/>
      <w:marTop w:val="0"/>
      <w:marBottom w:val="0"/>
      <w:divBdr>
        <w:top w:val="none" w:sz="0" w:space="0" w:color="auto"/>
        <w:left w:val="none" w:sz="0" w:space="0" w:color="auto"/>
        <w:bottom w:val="none" w:sz="0" w:space="0" w:color="auto"/>
        <w:right w:val="none" w:sz="0" w:space="0" w:color="auto"/>
      </w:divBdr>
    </w:div>
    <w:div w:id="1738823250">
      <w:marLeft w:val="0"/>
      <w:marRight w:val="0"/>
      <w:marTop w:val="0"/>
      <w:marBottom w:val="0"/>
      <w:divBdr>
        <w:top w:val="none" w:sz="0" w:space="0" w:color="auto"/>
        <w:left w:val="none" w:sz="0" w:space="0" w:color="auto"/>
        <w:bottom w:val="none" w:sz="0" w:space="0" w:color="auto"/>
        <w:right w:val="none" w:sz="0" w:space="0" w:color="auto"/>
      </w:divBdr>
    </w:div>
    <w:div w:id="1739279797">
      <w:marLeft w:val="0"/>
      <w:marRight w:val="0"/>
      <w:marTop w:val="0"/>
      <w:marBottom w:val="0"/>
      <w:divBdr>
        <w:top w:val="none" w:sz="0" w:space="0" w:color="auto"/>
        <w:left w:val="none" w:sz="0" w:space="0" w:color="auto"/>
        <w:bottom w:val="none" w:sz="0" w:space="0" w:color="auto"/>
        <w:right w:val="none" w:sz="0" w:space="0" w:color="auto"/>
      </w:divBdr>
    </w:div>
    <w:div w:id="1739936009">
      <w:marLeft w:val="0"/>
      <w:marRight w:val="0"/>
      <w:marTop w:val="0"/>
      <w:marBottom w:val="0"/>
      <w:divBdr>
        <w:top w:val="none" w:sz="0" w:space="0" w:color="auto"/>
        <w:left w:val="none" w:sz="0" w:space="0" w:color="auto"/>
        <w:bottom w:val="none" w:sz="0" w:space="0" w:color="auto"/>
        <w:right w:val="none" w:sz="0" w:space="0" w:color="auto"/>
      </w:divBdr>
    </w:div>
    <w:div w:id="1740403583">
      <w:marLeft w:val="0"/>
      <w:marRight w:val="0"/>
      <w:marTop w:val="0"/>
      <w:marBottom w:val="0"/>
      <w:divBdr>
        <w:top w:val="none" w:sz="0" w:space="0" w:color="auto"/>
        <w:left w:val="none" w:sz="0" w:space="0" w:color="auto"/>
        <w:bottom w:val="none" w:sz="0" w:space="0" w:color="auto"/>
        <w:right w:val="none" w:sz="0" w:space="0" w:color="auto"/>
      </w:divBdr>
    </w:div>
    <w:div w:id="1740668554">
      <w:marLeft w:val="0"/>
      <w:marRight w:val="0"/>
      <w:marTop w:val="0"/>
      <w:marBottom w:val="0"/>
      <w:divBdr>
        <w:top w:val="none" w:sz="0" w:space="0" w:color="auto"/>
        <w:left w:val="none" w:sz="0" w:space="0" w:color="auto"/>
        <w:bottom w:val="none" w:sz="0" w:space="0" w:color="auto"/>
        <w:right w:val="none" w:sz="0" w:space="0" w:color="auto"/>
      </w:divBdr>
      <w:divsChild>
        <w:div w:id="128406827">
          <w:marLeft w:val="0"/>
          <w:marRight w:val="0"/>
          <w:marTop w:val="0"/>
          <w:marBottom w:val="0"/>
          <w:divBdr>
            <w:top w:val="none" w:sz="0" w:space="0" w:color="auto"/>
            <w:left w:val="none" w:sz="0" w:space="0" w:color="auto"/>
            <w:bottom w:val="none" w:sz="0" w:space="0" w:color="auto"/>
            <w:right w:val="none" w:sz="0" w:space="0" w:color="auto"/>
          </w:divBdr>
        </w:div>
      </w:divsChild>
    </w:div>
    <w:div w:id="1741902624">
      <w:marLeft w:val="0"/>
      <w:marRight w:val="0"/>
      <w:marTop w:val="0"/>
      <w:marBottom w:val="0"/>
      <w:divBdr>
        <w:top w:val="none" w:sz="0" w:space="0" w:color="auto"/>
        <w:left w:val="none" w:sz="0" w:space="0" w:color="auto"/>
        <w:bottom w:val="none" w:sz="0" w:space="0" w:color="auto"/>
        <w:right w:val="none" w:sz="0" w:space="0" w:color="auto"/>
      </w:divBdr>
    </w:div>
    <w:div w:id="1742672022">
      <w:marLeft w:val="0"/>
      <w:marRight w:val="0"/>
      <w:marTop w:val="0"/>
      <w:marBottom w:val="0"/>
      <w:divBdr>
        <w:top w:val="none" w:sz="0" w:space="0" w:color="auto"/>
        <w:left w:val="none" w:sz="0" w:space="0" w:color="auto"/>
        <w:bottom w:val="none" w:sz="0" w:space="0" w:color="auto"/>
        <w:right w:val="none" w:sz="0" w:space="0" w:color="auto"/>
      </w:divBdr>
    </w:div>
    <w:div w:id="1742868516">
      <w:marLeft w:val="0"/>
      <w:marRight w:val="0"/>
      <w:marTop w:val="0"/>
      <w:marBottom w:val="0"/>
      <w:divBdr>
        <w:top w:val="none" w:sz="0" w:space="0" w:color="auto"/>
        <w:left w:val="none" w:sz="0" w:space="0" w:color="auto"/>
        <w:bottom w:val="none" w:sz="0" w:space="0" w:color="auto"/>
        <w:right w:val="none" w:sz="0" w:space="0" w:color="auto"/>
      </w:divBdr>
    </w:div>
    <w:div w:id="1742874953">
      <w:marLeft w:val="0"/>
      <w:marRight w:val="0"/>
      <w:marTop w:val="0"/>
      <w:marBottom w:val="0"/>
      <w:divBdr>
        <w:top w:val="none" w:sz="0" w:space="0" w:color="auto"/>
        <w:left w:val="none" w:sz="0" w:space="0" w:color="auto"/>
        <w:bottom w:val="none" w:sz="0" w:space="0" w:color="auto"/>
        <w:right w:val="none" w:sz="0" w:space="0" w:color="auto"/>
      </w:divBdr>
      <w:divsChild>
        <w:div w:id="345907792">
          <w:marLeft w:val="0"/>
          <w:marRight w:val="0"/>
          <w:marTop w:val="0"/>
          <w:marBottom w:val="0"/>
          <w:divBdr>
            <w:top w:val="none" w:sz="0" w:space="0" w:color="auto"/>
            <w:left w:val="none" w:sz="0" w:space="0" w:color="auto"/>
            <w:bottom w:val="none" w:sz="0" w:space="0" w:color="auto"/>
            <w:right w:val="none" w:sz="0" w:space="0" w:color="auto"/>
          </w:divBdr>
        </w:div>
      </w:divsChild>
    </w:div>
    <w:div w:id="1743216517">
      <w:marLeft w:val="0"/>
      <w:marRight w:val="0"/>
      <w:marTop w:val="0"/>
      <w:marBottom w:val="0"/>
      <w:divBdr>
        <w:top w:val="none" w:sz="0" w:space="0" w:color="auto"/>
        <w:left w:val="none" w:sz="0" w:space="0" w:color="auto"/>
        <w:bottom w:val="none" w:sz="0" w:space="0" w:color="auto"/>
        <w:right w:val="none" w:sz="0" w:space="0" w:color="auto"/>
      </w:divBdr>
    </w:div>
    <w:div w:id="1744332549">
      <w:marLeft w:val="0"/>
      <w:marRight w:val="0"/>
      <w:marTop w:val="0"/>
      <w:marBottom w:val="0"/>
      <w:divBdr>
        <w:top w:val="none" w:sz="0" w:space="0" w:color="auto"/>
        <w:left w:val="none" w:sz="0" w:space="0" w:color="auto"/>
        <w:bottom w:val="none" w:sz="0" w:space="0" w:color="auto"/>
        <w:right w:val="none" w:sz="0" w:space="0" w:color="auto"/>
      </w:divBdr>
    </w:div>
    <w:div w:id="1744376785">
      <w:marLeft w:val="0"/>
      <w:marRight w:val="0"/>
      <w:marTop w:val="0"/>
      <w:marBottom w:val="0"/>
      <w:divBdr>
        <w:top w:val="none" w:sz="0" w:space="0" w:color="auto"/>
        <w:left w:val="none" w:sz="0" w:space="0" w:color="auto"/>
        <w:bottom w:val="none" w:sz="0" w:space="0" w:color="auto"/>
        <w:right w:val="none" w:sz="0" w:space="0" w:color="auto"/>
      </w:divBdr>
    </w:div>
    <w:div w:id="1744569900">
      <w:marLeft w:val="0"/>
      <w:marRight w:val="0"/>
      <w:marTop w:val="0"/>
      <w:marBottom w:val="0"/>
      <w:divBdr>
        <w:top w:val="none" w:sz="0" w:space="0" w:color="auto"/>
        <w:left w:val="none" w:sz="0" w:space="0" w:color="auto"/>
        <w:bottom w:val="none" w:sz="0" w:space="0" w:color="auto"/>
        <w:right w:val="none" w:sz="0" w:space="0" w:color="auto"/>
      </w:divBdr>
    </w:div>
    <w:div w:id="1744788748">
      <w:marLeft w:val="0"/>
      <w:marRight w:val="0"/>
      <w:marTop w:val="0"/>
      <w:marBottom w:val="0"/>
      <w:divBdr>
        <w:top w:val="none" w:sz="0" w:space="0" w:color="auto"/>
        <w:left w:val="none" w:sz="0" w:space="0" w:color="auto"/>
        <w:bottom w:val="none" w:sz="0" w:space="0" w:color="auto"/>
        <w:right w:val="none" w:sz="0" w:space="0" w:color="auto"/>
      </w:divBdr>
    </w:div>
    <w:div w:id="1745108077">
      <w:marLeft w:val="0"/>
      <w:marRight w:val="0"/>
      <w:marTop w:val="0"/>
      <w:marBottom w:val="0"/>
      <w:divBdr>
        <w:top w:val="none" w:sz="0" w:space="0" w:color="auto"/>
        <w:left w:val="none" w:sz="0" w:space="0" w:color="auto"/>
        <w:bottom w:val="none" w:sz="0" w:space="0" w:color="auto"/>
        <w:right w:val="none" w:sz="0" w:space="0" w:color="auto"/>
      </w:divBdr>
    </w:div>
    <w:div w:id="1745226056">
      <w:marLeft w:val="0"/>
      <w:marRight w:val="0"/>
      <w:marTop w:val="0"/>
      <w:marBottom w:val="0"/>
      <w:divBdr>
        <w:top w:val="none" w:sz="0" w:space="0" w:color="auto"/>
        <w:left w:val="none" w:sz="0" w:space="0" w:color="auto"/>
        <w:bottom w:val="none" w:sz="0" w:space="0" w:color="auto"/>
        <w:right w:val="none" w:sz="0" w:space="0" w:color="auto"/>
      </w:divBdr>
    </w:div>
    <w:div w:id="1746873656">
      <w:marLeft w:val="0"/>
      <w:marRight w:val="0"/>
      <w:marTop w:val="0"/>
      <w:marBottom w:val="0"/>
      <w:divBdr>
        <w:top w:val="none" w:sz="0" w:space="0" w:color="auto"/>
        <w:left w:val="none" w:sz="0" w:space="0" w:color="auto"/>
        <w:bottom w:val="none" w:sz="0" w:space="0" w:color="auto"/>
        <w:right w:val="none" w:sz="0" w:space="0" w:color="auto"/>
      </w:divBdr>
    </w:div>
    <w:div w:id="1748185040">
      <w:marLeft w:val="0"/>
      <w:marRight w:val="0"/>
      <w:marTop w:val="0"/>
      <w:marBottom w:val="0"/>
      <w:divBdr>
        <w:top w:val="none" w:sz="0" w:space="0" w:color="auto"/>
        <w:left w:val="none" w:sz="0" w:space="0" w:color="auto"/>
        <w:bottom w:val="none" w:sz="0" w:space="0" w:color="auto"/>
        <w:right w:val="none" w:sz="0" w:space="0" w:color="auto"/>
      </w:divBdr>
    </w:div>
    <w:div w:id="1748454815">
      <w:marLeft w:val="0"/>
      <w:marRight w:val="0"/>
      <w:marTop w:val="0"/>
      <w:marBottom w:val="0"/>
      <w:divBdr>
        <w:top w:val="none" w:sz="0" w:space="0" w:color="auto"/>
        <w:left w:val="none" w:sz="0" w:space="0" w:color="auto"/>
        <w:bottom w:val="none" w:sz="0" w:space="0" w:color="auto"/>
        <w:right w:val="none" w:sz="0" w:space="0" w:color="auto"/>
      </w:divBdr>
    </w:div>
    <w:div w:id="1749182634">
      <w:marLeft w:val="0"/>
      <w:marRight w:val="0"/>
      <w:marTop w:val="0"/>
      <w:marBottom w:val="0"/>
      <w:divBdr>
        <w:top w:val="none" w:sz="0" w:space="0" w:color="auto"/>
        <w:left w:val="none" w:sz="0" w:space="0" w:color="auto"/>
        <w:bottom w:val="none" w:sz="0" w:space="0" w:color="auto"/>
        <w:right w:val="none" w:sz="0" w:space="0" w:color="auto"/>
      </w:divBdr>
    </w:div>
    <w:div w:id="1749615025">
      <w:marLeft w:val="0"/>
      <w:marRight w:val="0"/>
      <w:marTop w:val="0"/>
      <w:marBottom w:val="0"/>
      <w:divBdr>
        <w:top w:val="none" w:sz="0" w:space="0" w:color="auto"/>
        <w:left w:val="none" w:sz="0" w:space="0" w:color="auto"/>
        <w:bottom w:val="none" w:sz="0" w:space="0" w:color="auto"/>
        <w:right w:val="none" w:sz="0" w:space="0" w:color="auto"/>
      </w:divBdr>
      <w:divsChild>
        <w:div w:id="1931310034">
          <w:marLeft w:val="0"/>
          <w:marRight w:val="0"/>
          <w:marTop w:val="0"/>
          <w:marBottom w:val="0"/>
          <w:divBdr>
            <w:top w:val="none" w:sz="0" w:space="0" w:color="auto"/>
            <w:left w:val="none" w:sz="0" w:space="0" w:color="auto"/>
            <w:bottom w:val="none" w:sz="0" w:space="0" w:color="auto"/>
            <w:right w:val="none" w:sz="0" w:space="0" w:color="auto"/>
          </w:divBdr>
        </w:div>
      </w:divsChild>
    </w:div>
    <w:div w:id="1752122468">
      <w:marLeft w:val="0"/>
      <w:marRight w:val="0"/>
      <w:marTop w:val="0"/>
      <w:marBottom w:val="0"/>
      <w:divBdr>
        <w:top w:val="none" w:sz="0" w:space="0" w:color="auto"/>
        <w:left w:val="none" w:sz="0" w:space="0" w:color="auto"/>
        <w:bottom w:val="none" w:sz="0" w:space="0" w:color="auto"/>
        <w:right w:val="none" w:sz="0" w:space="0" w:color="auto"/>
      </w:divBdr>
    </w:div>
    <w:div w:id="1752191702">
      <w:marLeft w:val="0"/>
      <w:marRight w:val="0"/>
      <w:marTop w:val="0"/>
      <w:marBottom w:val="0"/>
      <w:divBdr>
        <w:top w:val="none" w:sz="0" w:space="0" w:color="auto"/>
        <w:left w:val="none" w:sz="0" w:space="0" w:color="auto"/>
        <w:bottom w:val="none" w:sz="0" w:space="0" w:color="auto"/>
        <w:right w:val="none" w:sz="0" w:space="0" w:color="auto"/>
      </w:divBdr>
    </w:div>
    <w:div w:id="1752194565">
      <w:marLeft w:val="0"/>
      <w:marRight w:val="0"/>
      <w:marTop w:val="0"/>
      <w:marBottom w:val="0"/>
      <w:divBdr>
        <w:top w:val="none" w:sz="0" w:space="0" w:color="auto"/>
        <w:left w:val="none" w:sz="0" w:space="0" w:color="auto"/>
        <w:bottom w:val="none" w:sz="0" w:space="0" w:color="auto"/>
        <w:right w:val="none" w:sz="0" w:space="0" w:color="auto"/>
      </w:divBdr>
    </w:div>
    <w:div w:id="1752966029">
      <w:marLeft w:val="0"/>
      <w:marRight w:val="0"/>
      <w:marTop w:val="0"/>
      <w:marBottom w:val="0"/>
      <w:divBdr>
        <w:top w:val="none" w:sz="0" w:space="0" w:color="auto"/>
        <w:left w:val="none" w:sz="0" w:space="0" w:color="auto"/>
        <w:bottom w:val="none" w:sz="0" w:space="0" w:color="auto"/>
        <w:right w:val="none" w:sz="0" w:space="0" w:color="auto"/>
      </w:divBdr>
    </w:div>
    <w:div w:id="1753046875">
      <w:marLeft w:val="0"/>
      <w:marRight w:val="0"/>
      <w:marTop w:val="0"/>
      <w:marBottom w:val="0"/>
      <w:divBdr>
        <w:top w:val="none" w:sz="0" w:space="0" w:color="auto"/>
        <w:left w:val="none" w:sz="0" w:space="0" w:color="auto"/>
        <w:bottom w:val="none" w:sz="0" w:space="0" w:color="auto"/>
        <w:right w:val="none" w:sz="0" w:space="0" w:color="auto"/>
      </w:divBdr>
    </w:div>
    <w:div w:id="1753426224">
      <w:marLeft w:val="0"/>
      <w:marRight w:val="0"/>
      <w:marTop w:val="0"/>
      <w:marBottom w:val="0"/>
      <w:divBdr>
        <w:top w:val="none" w:sz="0" w:space="0" w:color="auto"/>
        <w:left w:val="none" w:sz="0" w:space="0" w:color="auto"/>
        <w:bottom w:val="none" w:sz="0" w:space="0" w:color="auto"/>
        <w:right w:val="none" w:sz="0" w:space="0" w:color="auto"/>
      </w:divBdr>
    </w:div>
    <w:div w:id="1753625448">
      <w:marLeft w:val="0"/>
      <w:marRight w:val="0"/>
      <w:marTop w:val="0"/>
      <w:marBottom w:val="0"/>
      <w:divBdr>
        <w:top w:val="none" w:sz="0" w:space="0" w:color="auto"/>
        <w:left w:val="none" w:sz="0" w:space="0" w:color="auto"/>
        <w:bottom w:val="none" w:sz="0" w:space="0" w:color="auto"/>
        <w:right w:val="none" w:sz="0" w:space="0" w:color="auto"/>
      </w:divBdr>
    </w:div>
    <w:div w:id="1754013359">
      <w:marLeft w:val="0"/>
      <w:marRight w:val="0"/>
      <w:marTop w:val="0"/>
      <w:marBottom w:val="0"/>
      <w:divBdr>
        <w:top w:val="none" w:sz="0" w:space="0" w:color="auto"/>
        <w:left w:val="none" w:sz="0" w:space="0" w:color="auto"/>
        <w:bottom w:val="none" w:sz="0" w:space="0" w:color="auto"/>
        <w:right w:val="none" w:sz="0" w:space="0" w:color="auto"/>
      </w:divBdr>
    </w:div>
    <w:div w:id="1754231570">
      <w:marLeft w:val="0"/>
      <w:marRight w:val="0"/>
      <w:marTop w:val="0"/>
      <w:marBottom w:val="0"/>
      <w:divBdr>
        <w:top w:val="none" w:sz="0" w:space="0" w:color="auto"/>
        <w:left w:val="none" w:sz="0" w:space="0" w:color="auto"/>
        <w:bottom w:val="none" w:sz="0" w:space="0" w:color="auto"/>
        <w:right w:val="none" w:sz="0" w:space="0" w:color="auto"/>
      </w:divBdr>
    </w:div>
    <w:div w:id="1755740649">
      <w:marLeft w:val="0"/>
      <w:marRight w:val="0"/>
      <w:marTop w:val="0"/>
      <w:marBottom w:val="0"/>
      <w:divBdr>
        <w:top w:val="none" w:sz="0" w:space="0" w:color="auto"/>
        <w:left w:val="none" w:sz="0" w:space="0" w:color="auto"/>
        <w:bottom w:val="none" w:sz="0" w:space="0" w:color="auto"/>
        <w:right w:val="none" w:sz="0" w:space="0" w:color="auto"/>
      </w:divBdr>
    </w:div>
    <w:div w:id="1756050566">
      <w:marLeft w:val="0"/>
      <w:marRight w:val="0"/>
      <w:marTop w:val="0"/>
      <w:marBottom w:val="0"/>
      <w:divBdr>
        <w:top w:val="none" w:sz="0" w:space="0" w:color="auto"/>
        <w:left w:val="none" w:sz="0" w:space="0" w:color="auto"/>
        <w:bottom w:val="none" w:sz="0" w:space="0" w:color="auto"/>
        <w:right w:val="none" w:sz="0" w:space="0" w:color="auto"/>
      </w:divBdr>
    </w:div>
    <w:div w:id="1756511640">
      <w:marLeft w:val="0"/>
      <w:marRight w:val="0"/>
      <w:marTop w:val="0"/>
      <w:marBottom w:val="120"/>
      <w:divBdr>
        <w:top w:val="none" w:sz="0" w:space="0" w:color="auto"/>
        <w:left w:val="none" w:sz="0" w:space="0" w:color="auto"/>
        <w:bottom w:val="none" w:sz="0" w:space="0" w:color="auto"/>
        <w:right w:val="none" w:sz="0" w:space="0" w:color="auto"/>
      </w:divBdr>
    </w:div>
    <w:div w:id="1757171845">
      <w:marLeft w:val="0"/>
      <w:marRight w:val="0"/>
      <w:marTop w:val="0"/>
      <w:marBottom w:val="0"/>
      <w:divBdr>
        <w:top w:val="none" w:sz="0" w:space="0" w:color="auto"/>
        <w:left w:val="none" w:sz="0" w:space="0" w:color="auto"/>
        <w:bottom w:val="none" w:sz="0" w:space="0" w:color="auto"/>
        <w:right w:val="none" w:sz="0" w:space="0" w:color="auto"/>
      </w:divBdr>
    </w:div>
    <w:div w:id="1757314522">
      <w:marLeft w:val="0"/>
      <w:marRight w:val="0"/>
      <w:marTop w:val="0"/>
      <w:marBottom w:val="0"/>
      <w:divBdr>
        <w:top w:val="none" w:sz="0" w:space="0" w:color="auto"/>
        <w:left w:val="none" w:sz="0" w:space="0" w:color="auto"/>
        <w:bottom w:val="none" w:sz="0" w:space="0" w:color="auto"/>
        <w:right w:val="none" w:sz="0" w:space="0" w:color="auto"/>
      </w:divBdr>
    </w:div>
    <w:div w:id="1758095593">
      <w:marLeft w:val="0"/>
      <w:marRight w:val="0"/>
      <w:marTop w:val="0"/>
      <w:marBottom w:val="0"/>
      <w:divBdr>
        <w:top w:val="none" w:sz="0" w:space="0" w:color="auto"/>
        <w:left w:val="none" w:sz="0" w:space="0" w:color="auto"/>
        <w:bottom w:val="none" w:sz="0" w:space="0" w:color="auto"/>
        <w:right w:val="none" w:sz="0" w:space="0" w:color="auto"/>
      </w:divBdr>
    </w:div>
    <w:div w:id="1759520155">
      <w:marLeft w:val="0"/>
      <w:marRight w:val="0"/>
      <w:marTop w:val="0"/>
      <w:marBottom w:val="0"/>
      <w:divBdr>
        <w:top w:val="none" w:sz="0" w:space="0" w:color="auto"/>
        <w:left w:val="none" w:sz="0" w:space="0" w:color="auto"/>
        <w:bottom w:val="none" w:sz="0" w:space="0" w:color="auto"/>
        <w:right w:val="none" w:sz="0" w:space="0" w:color="auto"/>
      </w:divBdr>
    </w:div>
    <w:div w:id="1760172278">
      <w:marLeft w:val="0"/>
      <w:marRight w:val="0"/>
      <w:marTop w:val="0"/>
      <w:marBottom w:val="0"/>
      <w:divBdr>
        <w:top w:val="none" w:sz="0" w:space="0" w:color="auto"/>
        <w:left w:val="none" w:sz="0" w:space="0" w:color="auto"/>
        <w:bottom w:val="none" w:sz="0" w:space="0" w:color="auto"/>
        <w:right w:val="none" w:sz="0" w:space="0" w:color="auto"/>
      </w:divBdr>
    </w:div>
    <w:div w:id="1760251702">
      <w:marLeft w:val="0"/>
      <w:marRight w:val="0"/>
      <w:marTop w:val="100"/>
      <w:marBottom w:val="100"/>
      <w:divBdr>
        <w:top w:val="none" w:sz="0" w:space="0" w:color="auto"/>
        <w:left w:val="none" w:sz="0" w:space="0" w:color="auto"/>
        <w:bottom w:val="none" w:sz="0" w:space="0" w:color="auto"/>
        <w:right w:val="none" w:sz="0" w:space="0" w:color="auto"/>
      </w:divBdr>
      <w:divsChild>
        <w:div w:id="358632027">
          <w:marLeft w:val="0"/>
          <w:marRight w:val="0"/>
          <w:marTop w:val="0"/>
          <w:marBottom w:val="0"/>
          <w:divBdr>
            <w:top w:val="none" w:sz="0" w:space="0" w:color="auto"/>
            <w:left w:val="none" w:sz="0" w:space="0" w:color="auto"/>
            <w:bottom w:val="none" w:sz="0" w:space="0" w:color="auto"/>
            <w:right w:val="none" w:sz="0" w:space="0" w:color="auto"/>
          </w:divBdr>
        </w:div>
      </w:divsChild>
    </w:div>
    <w:div w:id="1760252082">
      <w:marLeft w:val="0"/>
      <w:marRight w:val="0"/>
      <w:marTop w:val="100"/>
      <w:marBottom w:val="100"/>
      <w:divBdr>
        <w:top w:val="none" w:sz="0" w:space="0" w:color="auto"/>
        <w:left w:val="none" w:sz="0" w:space="0" w:color="auto"/>
        <w:bottom w:val="none" w:sz="0" w:space="0" w:color="auto"/>
        <w:right w:val="none" w:sz="0" w:space="0" w:color="auto"/>
      </w:divBdr>
      <w:divsChild>
        <w:div w:id="1339499336">
          <w:marLeft w:val="0"/>
          <w:marRight w:val="0"/>
          <w:marTop w:val="0"/>
          <w:marBottom w:val="0"/>
          <w:divBdr>
            <w:top w:val="none" w:sz="0" w:space="0" w:color="auto"/>
            <w:left w:val="none" w:sz="0" w:space="0" w:color="auto"/>
            <w:bottom w:val="none" w:sz="0" w:space="0" w:color="auto"/>
            <w:right w:val="none" w:sz="0" w:space="0" w:color="auto"/>
          </w:divBdr>
        </w:div>
        <w:div w:id="340282774">
          <w:marLeft w:val="0"/>
          <w:marRight w:val="0"/>
          <w:marTop w:val="0"/>
          <w:marBottom w:val="0"/>
          <w:divBdr>
            <w:top w:val="none" w:sz="0" w:space="0" w:color="auto"/>
            <w:left w:val="none" w:sz="0" w:space="0" w:color="auto"/>
            <w:bottom w:val="none" w:sz="0" w:space="0" w:color="auto"/>
            <w:right w:val="none" w:sz="0" w:space="0" w:color="auto"/>
          </w:divBdr>
        </w:div>
        <w:div w:id="15934272">
          <w:marLeft w:val="0"/>
          <w:marRight w:val="0"/>
          <w:marTop w:val="0"/>
          <w:marBottom w:val="0"/>
          <w:divBdr>
            <w:top w:val="none" w:sz="0" w:space="0" w:color="auto"/>
            <w:left w:val="none" w:sz="0" w:space="0" w:color="auto"/>
            <w:bottom w:val="none" w:sz="0" w:space="0" w:color="auto"/>
            <w:right w:val="none" w:sz="0" w:space="0" w:color="auto"/>
          </w:divBdr>
        </w:div>
        <w:div w:id="1834376348">
          <w:marLeft w:val="0"/>
          <w:marRight w:val="0"/>
          <w:marTop w:val="0"/>
          <w:marBottom w:val="0"/>
          <w:divBdr>
            <w:top w:val="none" w:sz="0" w:space="0" w:color="auto"/>
            <w:left w:val="none" w:sz="0" w:space="0" w:color="auto"/>
            <w:bottom w:val="none" w:sz="0" w:space="0" w:color="auto"/>
            <w:right w:val="none" w:sz="0" w:space="0" w:color="auto"/>
          </w:divBdr>
        </w:div>
        <w:div w:id="50270694">
          <w:marLeft w:val="0"/>
          <w:marRight w:val="0"/>
          <w:marTop w:val="0"/>
          <w:marBottom w:val="0"/>
          <w:divBdr>
            <w:top w:val="none" w:sz="0" w:space="0" w:color="auto"/>
            <w:left w:val="none" w:sz="0" w:space="0" w:color="auto"/>
            <w:bottom w:val="none" w:sz="0" w:space="0" w:color="auto"/>
            <w:right w:val="none" w:sz="0" w:space="0" w:color="auto"/>
          </w:divBdr>
        </w:div>
        <w:div w:id="863860820">
          <w:marLeft w:val="0"/>
          <w:marRight w:val="0"/>
          <w:marTop w:val="0"/>
          <w:marBottom w:val="0"/>
          <w:divBdr>
            <w:top w:val="none" w:sz="0" w:space="0" w:color="auto"/>
            <w:left w:val="none" w:sz="0" w:space="0" w:color="auto"/>
            <w:bottom w:val="none" w:sz="0" w:space="0" w:color="auto"/>
            <w:right w:val="none" w:sz="0" w:space="0" w:color="auto"/>
          </w:divBdr>
        </w:div>
        <w:div w:id="1576166253">
          <w:marLeft w:val="0"/>
          <w:marRight w:val="0"/>
          <w:marTop w:val="0"/>
          <w:marBottom w:val="0"/>
          <w:divBdr>
            <w:top w:val="none" w:sz="0" w:space="0" w:color="auto"/>
            <w:left w:val="none" w:sz="0" w:space="0" w:color="auto"/>
            <w:bottom w:val="none" w:sz="0" w:space="0" w:color="auto"/>
            <w:right w:val="none" w:sz="0" w:space="0" w:color="auto"/>
          </w:divBdr>
        </w:div>
        <w:div w:id="1928802113">
          <w:marLeft w:val="0"/>
          <w:marRight w:val="0"/>
          <w:marTop w:val="0"/>
          <w:marBottom w:val="0"/>
          <w:divBdr>
            <w:top w:val="none" w:sz="0" w:space="0" w:color="auto"/>
            <w:left w:val="none" w:sz="0" w:space="0" w:color="auto"/>
            <w:bottom w:val="none" w:sz="0" w:space="0" w:color="auto"/>
            <w:right w:val="none" w:sz="0" w:space="0" w:color="auto"/>
          </w:divBdr>
        </w:div>
        <w:div w:id="1998340746">
          <w:marLeft w:val="0"/>
          <w:marRight w:val="0"/>
          <w:marTop w:val="0"/>
          <w:marBottom w:val="0"/>
          <w:divBdr>
            <w:top w:val="none" w:sz="0" w:space="0" w:color="auto"/>
            <w:left w:val="none" w:sz="0" w:space="0" w:color="auto"/>
            <w:bottom w:val="none" w:sz="0" w:space="0" w:color="auto"/>
            <w:right w:val="none" w:sz="0" w:space="0" w:color="auto"/>
          </w:divBdr>
        </w:div>
        <w:div w:id="1174030436">
          <w:marLeft w:val="0"/>
          <w:marRight w:val="0"/>
          <w:marTop w:val="0"/>
          <w:marBottom w:val="0"/>
          <w:divBdr>
            <w:top w:val="none" w:sz="0" w:space="0" w:color="auto"/>
            <w:left w:val="none" w:sz="0" w:space="0" w:color="auto"/>
            <w:bottom w:val="none" w:sz="0" w:space="0" w:color="auto"/>
            <w:right w:val="none" w:sz="0" w:space="0" w:color="auto"/>
          </w:divBdr>
        </w:div>
        <w:div w:id="959149254">
          <w:marLeft w:val="0"/>
          <w:marRight w:val="0"/>
          <w:marTop w:val="0"/>
          <w:marBottom w:val="0"/>
          <w:divBdr>
            <w:top w:val="none" w:sz="0" w:space="0" w:color="auto"/>
            <w:left w:val="none" w:sz="0" w:space="0" w:color="auto"/>
            <w:bottom w:val="none" w:sz="0" w:space="0" w:color="auto"/>
            <w:right w:val="none" w:sz="0" w:space="0" w:color="auto"/>
          </w:divBdr>
        </w:div>
      </w:divsChild>
    </w:div>
    <w:div w:id="1760255082">
      <w:marLeft w:val="0"/>
      <w:marRight w:val="0"/>
      <w:marTop w:val="0"/>
      <w:marBottom w:val="0"/>
      <w:divBdr>
        <w:top w:val="none" w:sz="0" w:space="0" w:color="auto"/>
        <w:left w:val="none" w:sz="0" w:space="0" w:color="auto"/>
        <w:bottom w:val="none" w:sz="0" w:space="0" w:color="auto"/>
        <w:right w:val="none" w:sz="0" w:space="0" w:color="auto"/>
      </w:divBdr>
    </w:div>
    <w:div w:id="1760255812">
      <w:marLeft w:val="0"/>
      <w:marRight w:val="0"/>
      <w:marTop w:val="0"/>
      <w:marBottom w:val="0"/>
      <w:divBdr>
        <w:top w:val="none" w:sz="0" w:space="0" w:color="auto"/>
        <w:left w:val="none" w:sz="0" w:space="0" w:color="auto"/>
        <w:bottom w:val="none" w:sz="0" w:space="0" w:color="auto"/>
        <w:right w:val="none" w:sz="0" w:space="0" w:color="auto"/>
      </w:divBdr>
    </w:div>
    <w:div w:id="1761489056">
      <w:marLeft w:val="0"/>
      <w:marRight w:val="0"/>
      <w:marTop w:val="0"/>
      <w:marBottom w:val="0"/>
      <w:divBdr>
        <w:top w:val="none" w:sz="0" w:space="0" w:color="auto"/>
        <w:left w:val="none" w:sz="0" w:space="0" w:color="auto"/>
        <w:bottom w:val="none" w:sz="0" w:space="0" w:color="auto"/>
        <w:right w:val="none" w:sz="0" w:space="0" w:color="auto"/>
      </w:divBdr>
    </w:div>
    <w:div w:id="1761564899">
      <w:marLeft w:val="0"/>
      <w:marRight w:val="0"/>
      <w:marTop w:val="0"/>
      <w:marBottom w:val="0"/>
      <w:divBdr>
        <w:top w:val="none" w:sz="0" w:space="0" w:color="auto"/>
        <w:left w:val="none" w:sz="0" w:space="0" w:color="auto"/>
        <w:bottom w:val="none" w:sz="0" w:space="0" w:color="auto"/>
        <w:right w:val="none" w:sz="0" w:space="0" w:color="auto"/>
      </w:divBdr>
    </w:div>
    <w:div w:id="1765149923">
      <w:marLeft w:val="0"/>
      <w:marRight w:val="0"/>
      <w:marTop w:val="0"/>
      <w:marBottom w:val="0"/>
      <w:divBdr>
        <w:top w:val="none" w:sz="0" w:space="0" w:color="auto"/>
        <w:left w:val="none" w:sz="0" w:space="0" w:color="auto"/>
        <w:bottom w:val="none" w:sz="0" w:space="0" w:color="auto"/>
        <w:right w:val="none" w:sz="0" w:space="0" w:color="auto"/>
      </w:divBdr>
    </w:div>
    <w:div w:id="1765998622">
      <w:marLeft w:val="0"/>
      <w:marRight w:val="0"/>
      <w:marTop w:val="0"/>
      <w:marBottom w:val="0"/>
      <w:divBdr>
        <w:top w:val="none" w:sz="0" w:space="0" w:color="auto"/>
        <w:left w:val="none" w:sz="0" w:space="0" w:color="auto"/>
        <w:bottom w:val="none" w:sz="0" w:space="0" w:color="auto"/>
        <w:right w:val="none" w:sz="0" w:space="0" w:color="auto"/>
      </w:divBdr>
    </w:div>
    <w:div w:id="1766145628">
      <w:marLeft w:val="0"/>
      <w:marRight w:val="0"/>
      <w:marTop w:val="0"/>
      <w:marBottom w:val="0"/>
      <w:divBdr>
        <w:top w:val="none" w:sz="0" w:space="0" w:color="auto"/>
        <w:left w:val="none" w:sz="0" w:space="0" w:color="auto"/>
        <w:bottom w:val="none" w:sz="0" w:space="0" w:color="auto"/>
        <w:right w:val="none" w:sz="0" w:space="0" w:color="auto"/>
      </w:divBdr>
    </w:div>
    <w:div w:id="1766150357">
      <w:marLeft w:val="0"/>
      <w:marRight w:val="0"/>
      <w:marTop w:val="0"/>
      <w:marBottom w:val="0"/>
      <w:divBdr>
        <w:top w:val="none" w:sz="0" w:space="0" w:color="auto"/>
        <w:left w:val="none" w:sz="0" w:space="0" w:color="auto"/>
        <w:bottom w:val="none" w:sz="0" w:space="0" w:color="auto"/>
        <w:right w:val="none" w:sz="0" w:space="0" w:color="auto"/>
      </w:divBdr>
    </w:div>
    <w:div w:id="1766337139">
      <w:marLeft w:val="0"/>
      <w:marRight w:val="0"/>
      <w:marTop w:val="0"/>
      <w:marBottom w:val="0"/>
      <w:divBdr>
        <w:top w:val="none" w:sz="0" w:space="0" w:color="auto"/>
        <w:left w:val="none" w:sz="0" w:space="0" w:color="auto"/>
        <w:bottom w:val="none" w:sz="0" w:space="0" w:color="auto"/>
        <w:right w:val="none" w:sz="0" w:space="0" w:color="auto"/>
      </w:divBdr>
    </w:div>
    <w:div w:id="1766337783">
      <w:marLeft w:val="0"/>
      <w:marRight w:val="0"/>
      <w:marTop w:val="0"/>
      <w:marBottom w:val="0"/>
      <w:divBdr>
        <w:top w:val="none" w:sz="0" w:space="0" w:color="auto"/>
        <w:left w:val="none" w:sz="0" w:space="0" w:color="auto"/>
        <w:bottom w:val="none" w:sz="0" w:space="0" w:color="auto"/>
        <w:right w:val="none" w:sz="0" w:space="0" w:color="auto"/>
      </w:divBdr>
    </w:div>
    <w:div w:id="1766996536">
      <w:marLeft w:val="0"/>
      <w:marRight w:val="0"/>
      <w:marTop w:val="0"/>
      <w:marBottom w:val="0"/>
      <w:divBdr>
        <w:top w:val="none" w:sz="0" w:space="0" w:color="auto"/>
        <w:left w:val="none" w:sz="0" w:space="0" w:color="auto"/>
        <w:bottom w:val="none" w:sz="0" w:space="0" w:color="auto"/>
        <w:right w:val="none" w:sz="0" w:space="0" w:color="auto"/>
      </w:divBdr>
      <w:divsChild>
        <w:div w:id="2031180786">
          <w:marLeft w:val="0"/>
          <w:marRight w:val="0"/>
          <w:marTop w:val="0"/>
          <w:marBottom w:val="0"/>
          <w:divBdr>
            <w:top w:val="none" w:sz="0" w:space="0" w:color="auto"/>
            <w:left w:val="none" w:sz="0" w:space="0" w:color="auto"/>
            <w:bottom w:val="none" w:sz="0" w:space="0" w:color="auto"/>
            <w:right w:val="none" w:sz="0" w:space="0" w:color="auto"/>
          </w:divBdr>
        </w:div>
      </w:divsChild>
    </w:div>
    <w:div w:id="1767536858">
      <w:marLeft w:val="0"/>
      <w:marRight w:val="0"/>
      <w:marTop w:val="0"/>
      <w:marBottom w:val="0"/>
      <w:divBdr>
        <w:top w:val="none" w:sz="0" w:space="0" w:color="auto"/>
        <w:left w:val="none" w:sz="0" w:space="0" w:color="auto"/>
        <w:bottom w:val="none" w:sz="0" w:space="0" w:color="auto"/>
        <w:right w:val="none" w:sz="0" w:space="0" w:color="auto"/>
      </w:divBdr>
    </w:div>
    <w:div w:id="1767799549">
      <w:marLeft w:val="0"/>
      <w:marRight w:val="0"/>
      <w:marTop w:val="0"/>
      <w:marBottom w:val="0"/>
      <w:divBdr>
        <w:top w:val="none" w:sz="0" w:space="0" w:color="auto"/>
        <w:left w:val="none" w:sz="0" w:space="0" w:color="auto"/>
        <w:bottom w:val="none" w:sz="0" w:space="0" w:color="auto"/>
        <w:right w:val="none" w:sz="0" w:space="0" w:color="auto"/>
      </w:divBdr>
    </w:div>
    <w:div w:id="1768501937">
      <w:marLeft w:val="0"/>
      <w:marRight w:val="0"/>
      <w:marTop w:val="0"/>
      <w:marBottom w:val="0"/>
      <w:divBdr>
        <w:top w:val="none" w:sz="0" w:space="0" w:color="auto"/>
        <w:left w:val="none" w:sz="0" w:space="0" w:color="auto"/>
        <w:bottom w:val="none" w:sz="0" w:space="0" w:color="auto"/>
        <w:right w:val="none" w:sz="0" w:space="0" w:color="auto"/>
      </w:divBdr>
    </w:div>
    <w:div w:id="1768695876">
      <w:marLeft w:val="0"/>
      <w:marRight w:val="0"/>
      <w:marTop w:val="0"/>
      <w:marBottom w:val="0"/>
      <w:divBdr>
        <w:top w:val="none" w:sz="0" w:space="0" w:color="auto"/>
        <w:left w:val="none" w:sz="0" w:space="0" w:color="auto"/>
        <w:bottom w:val="none" w:sz="0" w:space="0" w:color="auto"/>
        <w:right w:val="none" w:sz="0" w:space="0" w:color="auto"/>
      </w:divBdr>
    </w:div>
    <w:div w:id="1768883213">
      <w:marLeft w:val="0"/>
      <w:marRight w:val="0"/>
      <w:marTop w:val="0"/>
      <w:marBottom w:val="0"/>
      <w:divBdr>
        <w:top w:val="none" w:sz="0" w:space="0" w:color="auto"/>
        <w:left w:val="none" w:sz="0" w:space="0" w:color="auto"/>
        <w:bottom w:val="none" w:sz="0" w:space="0" w:color="auto"/>
        <w:right w:val="none" w:sz="0" w:space="0" w:color="auto"/>
      </w:divBdr>
    </w:div>
    <w:div w:id="1768886466">
      <w:marLeft w:val="0"/>
      <w:marRight w:val="0"/>
      <w:marTop w:val="0"/>
      <w:marBottom w:val="0"/>
      <w:divBdr>
        <w:top w:val="none" w:sz="0" w:space="0" w:color="auto"/>
        <w:left w:val="none" w:sz="0" w:space="0" w:color="auto"/>
        <w:bottom w:val="none" w:sz="0" w:space="0" w:color="auto"/>
        <w:right w:val="none" w:sz="0" w:space="0" w:color="auto"/>
      </w:divBdr>
    </w:div>
    <w:div w:id="1769424654">
      <w:marLeft w:val="0"/>
      <w:marRight w:val="0"/>
      <w:marTop w:val="0"/>
      <w:marBottom w:val="0"/>
      <w:divBdr>
        <w:top w:val="none" w:sz="0" w:space="0" w:color="auto"/>
        <w:left w:val="none" w:sz="0" w:space="0" w:color="auto"/>
        <w:bottom w:val="none" w:sz="0" w:space="0" w:color="auto"/>
        <w:right w:val="none" w:sz="0" w:space="0" w:color="auto"/>
      </w:divBdr>
    </w:div>
    <w:div w:id="1769739412">
      <w:marLeft w:val="0"/>
      <w:marRight w:val="0"/>
      <w:marTop w:val="0"/>
      <w:marBottom w:val="0"/>
      <w:divBdr>
        <w:top w:val="none" w:sz="0" w:space="0" w:color="auto"/>
        <w:left w:val="none" w:sz="0" w:space="0" w:color="auto"/>
        <w:bottom w:val="none" w:sz="0" w:space="0" w:color="auto"/>
        <w:right w:val="none" w:sz="0" w:space="0" w:color="auto"/>
      </w:divBdr>
    </w:div>
    <w:div w:id="1770082306">
      <w:marLeft w:val="0"/>
      <w:marRight w:val="0"/>
      <w:marTop w:val="0"/>
      <w:marBottom w:val="0"/>
      <w:divBdr>
        <w:top w:val="none" w:sz="0" w:space="0" w:color="auto"/>
        <w:left w:val="none" w:sz="0" w:space="0" w:color="auto"/>
        <w:bottom w:val="none" w:sz="0" w:space="0" w:color="auto"/>
        <w:right w:val="none" w:sz="0" w:space="0" w:color="auto"/>
      </w:divBdr>
    </w:div>
    <w:div w:id="1770345944">
      <w:marLeft w:val="0"/>
      <w:marRight w:val="0"/>
      <w:marTop w:val="100"/>
      <w:marBottom w:val="0"/>
      <w:divBdr>
        <w:top w:val="none" w:sz="0" w:space="0" w:color="auto"/>
        <w:left w:val="none" w:sz="0" w:space="0" w:color="auto"/>
        <w:bottom w:val="none" w:sz="0" w:space="0" w:color="auto"/>
        <w:right w:val="none" w:sz="0" w:space="0" w:color="auto"/>
      </w:divBdr>
      <w:divsChild>
        <w:div w:id="856697787">
          <w:marLeft w:val="0"/>
          <w:marRight w:val="0"/>
          <w:marTop w:val="0"/>
          <w:marBottom w:val="0"/>
          <w:divBdr>
            <w:top w:val="none" w:sz="0" w:space="0" w:color="auto"/>
            <w:left w:val="none" w:sz="0" w:space="0" w:color="auto"/>
            <w:bottom w:val="none" w:sz="0" w:space="0" w:color="auto"/>
            <w:right w:val="none" w:sz="0" w:space="0" w:color="auto"/>
          </w:divBdr>
        </w:div>
      </w:divsChild>
    </w:div>
    <w:div w:id="1770348657">
      <w:marLeft w:val="0"/>
      <w:marRight w:val="0"/>
      <w:marTop w:val="0"/>
      <w:marBottom w:val="0"/>
      <w:divBdr>
        <w:top w:val="none" w:sz="0" w:space="0" w:color="auto"/>
        <w:left w:val="none" w:sz="0" w:space="0" w:color="auto"/>
        <w:bottom w:val="none" w:sz="0" w:space="0" w:color="auto"/>
        <w:right w:val="none" w:sz="0" w:space="0" w:color="auto"/>
      </w:divBdr>
    </w:div>
    <w:div w:id="1770544958">
      <w:marLeft w:val="0"/>
      <w:marRight w:val="0"/>
      <w:marTop w:val="0"/>
      <w:marBottom w:val="0"/>
      <w:divBdr>
        <w:top w:val="none" w:sz="0" w:space="0" w:color="auto"/>
        <w:left w:val="none" w:sz="0" w:space="0" w:color="auto"/>
        <w:bottom w:val="none" w:sz="0" w:space="0" w:color="auto"/>
        <w:right w:val="none" w:sz="0" w:space="0" w:color="auto"/>
      </w:divBdr>
    </w:div>
    <w:div w:id="1771048606">
      <w:marLeft w:val="0"/>
      <w:marRight w:val="0"/>
      <w:marTop w:val="0"/>
      <w:marBottom w:val="0"/>
      <w:divBdr>
        <w:top w:val="none" w:sz="0" w:space="0" w:color="auto"/>
        <w:left w:val="none" w:sz="0" w:space="0" w:color="auto"/>
        <w:bottom w:val="none" w:sz="0" w:space="0" w:color="auto"/>
        <w:right w:val="none" w:sz="0" w:space="0" w:color="auto"/>
      </w:divBdr>
    </w:div>
    <w:div w:id="1771505691">
      <w:marLeft w:val="0"/>
      <w:marRight w:val="0"/>
      <w:marTop w:val="0"/>
      <w:marBottom w:val="0"/>
      <w:divBdr>
        <w:top w:val="none" w:sz="0" w:space="0" w:color="auto"/>
        <w:left w:val="none" w:sz="0" w:space="0" w:color="auto"/>
        <w:bottom w:val="none" w:sz="0" w:space="0" w:color="auto"/>
        <w:right w:val="none" w:sz="0" w:space="0" w:color="auto"/>
      </w:divBdr>
    </w:div>
    <w:div w:id="1772509135">
      <w:marLeft w:val="0"/>
      <w:marRight w:val="0"/>
      <w:marTop w:val="0"/>
      <w:marBottom w:val="0"/>
      <w:divBdr>
        <w:top w:val="none" w:sz="0" w:space="0" w:color="auto"/>
        <w:left w:val="none" w:sz="0" w:space="0" w:color="auto"/>
        <w:bottom w:val="none" w:sz="0" w:space="0" w:color="auto"/>
        <w:right w:val="none" w:sz="0" w:space="0" w:color="auto"/>
      </w:divBdr>
    </w:div>
    <w:div w:id="1773738321">
      <w:marLeft w:val="0"/>
      <w:marRight w:val="0"/>
      <w:marTop w:val="0"/>
      <w:marBottom w:val="0"/>
      <w:divBdr>
        <w:top w:val="none" w:sz="0" w:space="0" w:color="auto"/>
        <w:left w:val="none" w:sz="0" w:space="0" w:color="auto"/>
        <w:bottom w:val="none" w:sz="0" w:space="0" w:color="auto"/>
        <w:right w:val="none" w:sz="0" w:space="0" w:color="auto"/>
      </w:divBdr>
      <w:divsChild>
        <w:div w:id="1177499234">
          <w:marLeft w:val="0"/>
          <w:marRight w:val="0"/>
          <w:marTop w:val="0"/>
          <w:marBottom w:val="0"/>
          <w:divBdr>
            <w:top w:val="none" w:sz="0" w:space="0" w:color="auto"/>
            <w:left w:val="none" w:sz="0" w:space="0" w:color="auto"/>
            <w:bottom w:val="none" w:sz="0" w:space="0" w:color="auto"/>
            <w:right w:val="none" w:sz="0" w:space="0" w:color="auto"/>
          </w:divBdr>
        </w:div>
      </w:divsChild>
    </w:div>
    <w:div w:id="1773863232">
      <w:marLeft w:val="0"/>
      <w:marRight w:val="0"/>
      <w:marTop w:val="0"/>
      <w:marBottom w:val="0"/>
      <w:divBdr>
        <w:top w:val="none" w:sz="0" w:space="0" w:color="auto"/>
        <w:left w:val="none" w:sz="0" w:space="0" w:color="auto"/>
        <w:bottom w:val="none" w:sz="0" w:space="0" w:color="auto"/>
        <w:right w:val="none" w:sz="0" w:space="0" w:color="auto"/>
      </w:divBdr>
    </w:div>
    <w:div w:id="1773864301">
      <w:marLeft w:val="0"/>
      <w:marRight w:val="0"/>
      <w:marTop w:val="0"/>
      <w:marBottom w:val="0"/>
      <w:divBdr>
        <w:top w:val="none" w:sz="0" w:space="0" w:color="auto"/>
        <w:left w:val="none" w:sz="0" w:space="0" w:color="auto"/>
        <w:bottom w:val="none" w:sz="0" w:space="0" w:color="auto"/>
        <w:right w:val="none" w:sz="0" w:space="0" w:color="auto"/>
      </w:divBdr>
    </w:div>
    <w:div w:id="1774744595">
      <w:marLeft w:val="0"/>
      <w:marRight w:val="0"/>
      <w:marTop w:val="0"/>
      <w:marBottom w:val="0"/>
      <w:divBdr>
        <w:top w:val="none" w:sz="0" w:space="0" w:color="auto"/>
        <w:left w:val="none" w:sz="0" w:space="0" w:color="auto"/>
        <w:bottom w:val="none" w:sz="0" w:space="0" w:color="auto"/>
        <w:right w:val="none" w:sz="0" w:space="0" w:color="auto"/>
      </w:divBdr>
    </w:div>
    <w:div w:id="1774864831">
      <w:marLeft w:val="0"/>
      <w:marRight w:val="0"/>
      <w:marTop w:val="0"/>
      <w:marBottom w:val="0"/>
      <w:divBdr>
        <w:top w:val="none" w:sz="0" w:space="0" w:color="auto"/>
        <w:left w:val="none" w:sz="0" w:space="0" w:color="auto"/>
        <w:bottom w:val="none" w:sz="0" w:space="0" w:color="auto"/>
        <w:right w:val="none" w:sz="0" w:space="0" w:color="auto"/>
      </w:divBdr>
      <w:divsChild>
        <w:div w:id="440492068">
          <w:marLeft w:val="0"/>
          <w:marRight w:val="0"/>
          <w:marTop w:val="0"/>
          <w:marBottom w:val="0"/>
          <w:divBdr>
            <w:top w:val="none" w:sz="0" w:space="0" w:color="auto"/>
            <w:left w:val="none" w:sz="0" w:space="0" w:color="auto"/>
            <w:bottom w:val="none" w:sz="0" w:space="0" w:color="auto"/>
            <w:right w:val="none" w:sz="0" w:space="0" w:color="auto"/>
          </w:divBdr>
        </w:div>
      </w:divsChild>
    </w:div>
    <w:div w:id="1777210121">
      <w:marLeft w:val="0"/>
      <w:marRight w:val="0"/>
      <w:marTop w:val="0"/>
      <w:marBottom w:val="0"/>
      <w:divBdr>
        <w:top w:val="none" w:sz="0" w:space="0" w:color="auto"/>
        <w:left w:val="none" w:sz="0" w:space="0" w:color="auto"/>
        <w:bottom w:val="none" w:sz="0" w:space="0" w:color="auto"/>
        <w:right w:val="none" w:sz="0" w:space="0" w:color="auto"/>
      </w:divBdr>
    </w:div>
    <w:div w:id="1777216210">
      <w:marLeft w:val="0"/>
      <w:marRight w:val="0"/>
      <w:marTop w:val="0"/>
      <w:marBottom w:val="0"/>
      <w:divBdr>
        <w:top w:val="none" w:sz="0" w:space="0" w:color="auto"/>
        <w:left w:val="none" w:sz="0" w:space="0" w:color="auto"/>
        <w:bottom w:val="none" w:sz="0" w:space="0" w:color="auto"/>
        <w:right w:val="none" w:sz="0" w:space="0" w:color="auto"/>
      </w:divBdr>
    </w:div>
    <w:div w:id="1777627464">
      <w:marLeft w:val="0"/>
      <w:marRight w:val="0"/>
      <w:marTop w:val="0"/>
      <w:marBottom w:val="0"/>
      <w:divBdr>
        <w:top w:val="none" w:sz="0" w:space="0" w:color="auto"/>
        <w:left w:val="none" w:sz="0" w:space="0" w:color="auto"/>
        <w:bottom w:val="none" w:sz="0" w:space="0" w:color="auto"/>
        <w:right w:val="none" w:sz="0" w:space="0" w:color="auto"/>
      </w:divBdr>
    </w:div>
    <w:div w:id="1777869459">
      <w:marLeft w:val="0"/>
      <w:marRight w:val="0"/>
      <w:marTop w:val="0"/>
      <w:marBottom w:val="0"/>
      <w:divBdr>
        <w:top w:val="none" w:sz="0" w:space="0" w:color="auto"/>
        <w:left w:val="none" w:sz="0" w:space="0" w:color="auto"/>
        <w:bottom w:val="none" w:sz="0" w:space="0" w:color="auto"/>
        <w:right w:val="none" w:sz="0" w:space="0" w:color="auto"/>
      </w:divBdr>
    </w:div>
    <w:div w:id="1778744533">
      <w:marLeft w:val="0"/>
      <w:marRight w:val="0"/>
      <w:marTop w:val="0"/>
      <w:marBottom w:val="0"/>
      <w:divBdr>
        <w:top w:val="none" w:sz="0" w:space="0" w:color="auto"/>
        <w:left w:val="none" w:sz="0" w:space="0" w:color="auto"/>
        <w:bottom w:val="none" w:sz="0" w:space="0" w:color="auto"/>
        <w:right w:val="none" w:sz="0" w:space="0" w:color="auto"/>
      </w:divBdr>
    </w:div>
    <w:div w:id="1781411753">
      <w:marLeft w:val="0"/>
      <w:marRight w:val="0"/>
      <w:marTop w:val="0"/>
      <w:marBottom w:val="0"/>
      <w:divBdr>
        <w:top w:val="none" w:sz="0" w:space="0" w:color="auto"/>
        <w:left w:val="none" w:sz="0" w:space="0" w:color="auto"/>
        <w:bottom w:val="none" w:sz="0" w:space="0" w:color="auto"/>
        <w:right w:val="none" w:sz="0" w:space="0" w:color="auto"/>
      </w:divBdr>
    </w:div>
    <w:div w:id="1781417178">
      <w:marLeft w:val="0"/>
      <w:marRight w:val="0"/>
      <w:marTop w:val="0"/>
      <w:marBottom w:val="0"/>
      <w:divBdr>
        <w:top w:val="none" w:sz="0" w:space="0" w:color="auto"/>
        <w:left w:val="none" w:sz="0" w:space="0" w:color="auto"/>
        <w:bottom w:val="none" w:sz="0" w:space="0" w:color="auto"/>
        <w:right w:val="none" w:sz="0" w:space="0" w:color="auto"/>
      </w:divBdr>
    </w:div>
    <w:div w:id="1782073171">
      <w:marLeft w:val="0"/>
      <w:marRight w:val="0"/>
      <w:marTop w:val="0"/>
      <w:marBottom w:val="0"/>
      <w:divBdr>
        <w:top w:val="none" w:sz="0" w:space="0" w:color="auto"/>
        <w:left w:val="none" w:sz="0" w:space="0" w:color="auto"/>
        <w:bottom w:val="none" w:sz="0" w:space="0" w:color="auto"/>
        <w:right w:val="none" w:sz="0" w:space="0" w:color="auto"/>
      </w:divBdr>
    </w:div>
    <w:div w:id="1782601322">
      <w:marLeft w:val="0"/>
      <w:marRight w:val="0"/>
      <w:marTop w:val="0"/>
      <w:marBottom w:val="0"/>
      <w:divBdr>
        <w:top w:val="none" w:sz="0" w:space="0" w:color="auto"/>
        <w:left w:val="none" w:sz="0" w:space="0" w:color="auto"/>
        <w:bottom w:val="none" w:sz="0" w:space="0" w:color="auto"/>
        <w:right w:val="none" w:sz="0" w:space="0" w:color="auto"/>
      </w:divBdr>
    </w:div>
    <w:div w:id="1783256364">
      <w:marLeft w:val="0"/>
      <w:marRight w:val="0"/>
      <w:marTop w:val="0"/>
      <w:marBottom w:val="0"/>
      <w:divBdr>
        <w:top w:val="none" w:sz="0" w:space="0" w:color="auto"/>
        <w:left w:val="none" w:sz="0" w:space="0" w:color="auto"/>
        <w:bottom w:val="none" w:sz="0" w:space="0" w:color="auto"/>
        <w:right w:val="none" w:sz="0" w:space="0" w:color="auto"/>
      </w:divBdr>
    </w:div>
    <w:div w:id="1784567488">
      <w:marLeft w:val="0"/>
      <w:marRight w:val="0"/>
      <w:marTop w:val="0"/>
      <w:marBottom w:val="0"/>
      <w:divBdr>
        <w:top w:val="none" w:sz="0" w:space="0" w:color="auto"/>
        <w:left w:val="none" w:sz="0" w:space="0" w:color="auto"/>
        <w:bottom w:val="none" w:sz="0" w:space="0" w:color="auto"/>
        <w:right w:val="none" w:sz="0" w:space="0" w:color="auto"/>
      </w:divBdr>
    </w:div>
    <w:div w:id="1785151134">
      <w:marLeft w:val="0"/>
      <w:marRight w:val="0"/>
      <w:marTop w:val="0"/>
      <w:marBottom w:val="0"/>
      <w:divBdr>
        <w:top w:val="none" w:sz="0" w:space="0" w:color="auto"/>
        <w:left w:val="none" w:sz="0" w:space="0" w:color="auto"/>
        <w:bottom w:val="none" w:sz="0" w:space="0" w:color="auto"/>
        <w:right w:val="none" w:sz="0" w:space="0" w:color="auto"/>
      </w:divBdr>
      <w:divsChild>
        <w:div w:id="2635679">
          <w:marLeft w:val="0"/>
          <w:marRight w:val="0"/>
          <w:marTop w:val="0"/>
          <w:marBottom w:val="0"/>
          <w:divBdr>
            <w:top w:val="none" w:sz="0" w:space="0" w:color="auto"/>
            <w:left w:val="none" w:sz="0" w:space="0" w:color="auto"/>
            <w:bottom w:val="none" w:sz="0" w:space="0" w:color="auto"/>
            <w:right w:val="none" w:sz="0" w:space="0" w:color="auto"/>
          </w:divBdr>
        </w:div>
      </w:divsChild>
    </w:div>
    <w:div w:id="1786382631">
      <w:marLeft w:val="0"/>
      <w:marRight w:val="0"/>
      <w:marTop w:val="0"/>
      <w:marBottom w:val="0"/>
      <w:divBdr>
        <w:top w:val="none" w:sz="0" w:space="0" w:color="auto"/>
        <w:left w:val="none" w:sz="0" w:space="0" w:color="auto"/>
        <w:bottom w:val="none" w:sz="0" w:space="0" w:color="auto"/>
        <w:right w:val="none" w:sz="0" w:space="0" w:color="auto"/>
      </w:divBdr>
    </w:div>
    <w:div w:id="1786734129">
      <w:marLeft w:val="0"/>
      <w:marRight w:val="0"/>
      <w:marTop w:val="0"/>
      <w:marBottom w:val="0"/>
      <w:divBdr>
        <w:top w:val="none" w:sz="0" w:space="0" w:color="auto"/>
        <w:left w:val="none" w:sz="0" w:space="0" w:color="auto"/>
        <w:bottom w:val="none" w:sz="0" w:space="0" w:color="auto"/>
        <w:right w:val="none" w:sz="0" w:space="0" w:color="auto"/>
      </w:divBdr>
    </w:div>
    <w:div w:id="1787845475">
      <w:marLeft w:val="0"/>
      <w:marRight w:val="0"/>
      <w:marTop w:val="0"/>
      <w:marBottom w:val="0"/>
      <w:divBdr>
        <w:top w:val="none" w:sz="0" w:space="0" w:color="auto"/>
        <w:left w:val="none" w:sz="0" w:space="0" w:color="auto"/>
        <w:bottom w:val="none" w:sz="0" w:space="0" w:color="auto"/>
        <w:right w:val="none" w:sz="0" w:space="0" w:color="auto"/>
      </w:divBdr>
    </w:div>
    <w:div w:id="1788350526">
      <w:marLeft w:val="0"/>
      <w:marRight w:val="0"/>
      <w:marTop w:val="0"/>
      <w:marBottom w:val="0"/>
      <w:divBdr>
        <w:top w:val="none" w:sz="0" w:space="0" w:color="auto"/>
        <w:left w:val="none" w:sz="0" w:space="0" w:color="auto"/>
        <w:bottom w:val="none" w:sz="0" w:space="0" w:color="auto"/>
        <w:right w:val="none" w:sz="0" w:space="0" w:color="auto"/>
      </w:divBdr>
    </w:div>
    <w:div w:id="1789004981">
      <w:marLeft w:val="0"/>
      <w:marRight w:val="0"/>
      <w:marTop w:val="0"/>
      <w:marBottom w:val="0"/>
      <w:divBdr>
        <w:top w:val="none" w:sz="0" w:space="0" w:color="auto"/>
        <w:left w:val="none" w:sz="0" w:space="0" w:color="auto"/>
        <w:bottom w:val="none" w:sz="0" w:space="0" w:color="auto"/>
        <w:right w:val="none" w:sz="0" w:space="0" w:color="auto"/>
      </w:divBdr>
    </w:div>
    <w:div w:id="1789396374">
      <w:marLeft w:val="0"/>
      <w:marRight w:val="0"/>
      <w:marTop w:val="0"/>
      <w:marBottom w:val="60"/>
      <w:divBdr>
        <w:top w:val="none" w:sz="0" w:space="0" w:color="auto"/>
        <w:left w:val="none" w:sz="0" w:space="0" w:color="auto"/>
        <w:bottom w:val="none" w:sz="0" w:space="0" w:color="auto"/>
        <w:right w:val="none" w:sz="0" w:space="0" w:color="auto"/>
      </w:divBdr>
      <w:divsChild>
        <w:div w:id="772019925">
          <w:marLeft w:val="0"/>
          <w:marRight w:val="0"/>
          <w:marTop w:val="0"/>
          <w:marBottom w:val="0"/>
          <w:divBdr>
            <w:top w:val="none" w:sz="0" w:space="0" w:color="auto"/>
            <w:left w:val="none" w:sz="0" w:space="0" w:color="auto"/>
            <w:bottom w:val="none" w:sz="0" w:space="0" w:color="auto"/>
            <w:right w:val="none" w:sz="0" w:space="0" w:color="auto"/>
          </w:divBdr>
        </w:div>
        <w:div w:id="2063477522">
          <w:marLeft w:val="0"/>
          <w:marRight w:val="0"/>
          <w:marTop w:val="0"/>
          <w:marBottom w:val="0"/>
          <w:divBdr>
            <w:top w:val="none" w:sz="0" w:space="0" w:color="auto"/>
            <w:left w:val="none" w:sz="0" w:space="0" w:color="auto"/>
            <w:bottom w:val="none" w:sz="0" w:space="0" w:color="auto"/>
            <w:right w:val="none" w:sz="0" w:space="0" w:color="auto"/>
          </w:divBdr>
        </w:div>
        <w:div w:id="1779595675">
          <w:marLeft w:val="0"/>
          <w:marRight w:val="0"/>
          <w:marTop w:val="0"/>
          <w:marBottom w:val="0"/>
          <w:divBdr>
            <w:top w:val="none" w:sz="0" w:space="0" w:color="auto"/>
            <w:left w:val="none" w:sz="0" w:space="0" w:color="auto"/>
            <w:bottom w:val="none" w:sz="0" w:space="0" w:color="auto"/>
            <w:right w:val="none" w:sz="0" w:space="0" w:color="auto"/>
          </w:divBdr>
        </w:div>
        <w:div w:id="1240754260">
          <w:marLeft w:val="0"/>
          <w:marRight w:val="0"/>
          <w:marTop w:val="0"/>
          <w:marBottom w:val="0"/>
          <w:divBdr>
            <w:top w:val="none" w:sz="0" w:space="0" w:color="auto"/>
            <w:left w:val="none" w:sz="0" w:space="0" w:color="auto"/>
            <w:bottom w:val="none" w:sz="0" w:space="0" w:color="auto"/>
            <w:right w:val="none" w:sz="0" w:space="0" w:color="auto"/>
          </w:divBdr>
        </w:div>
        <w:div w:id="125977395">
          <w:marLeft w:val="0"/>
          <w:marRight w:val="0"/>
          <w:marTop w:val="0"/>
          <w:marBottom w:val="0"/>
          <w:divBdr>
            <w:top w:val="none" w:sz="0" w:space="0" w:color="auto"/>
            <w:left w:val="none" w:sz="0" w:space="0" w:color="auto"/>
            <w:bottom w:val="none" w:sz="0" w:space="0" w:color="auto"/>
            <w:right w:val="none" w:sz="0" w:space="0" w:color="auto"/>
          </w:divBdr>
        </w:div>
        <w:div w:id="304429776">
          <w:marLeft w:val="0"/>
          <w:marRight w:val="0"/>
          <w:marTop w:val="0"/>
          <w:marBottom w:val="0"/>
          <w:divBdr>
            <w:top w:val="none" w:sz="0" w:space="0" w:color="auto"/>
            <w:left w:val="none" w:sz="0" w:space="0" w:color="auto"/>
            <w:bottom w:val="none" w:sz="0" w:space="0" w:color="auto"/>
            <w:right w:val="none" w:sz="0" w:space="0" w:color="auto"/>
          </w:divBdr>
        </w:div>
      </w:divsChild>
    </w:div>
    <w:div w:id="1790198802">
      <w:marLeft w:val="0"/>
      <w:marRight w:val="0"/>
      <w:marTop w:val="0"/>
      <w:marBottom w:val="0"/>
      <w:divBdr>
        <w:top w:val="none" w:sz="0" w:space="0" w:color="auto"/>
        <w:left w:val="none" w:sz="0" w:space="0" w:color="auto"/>
        <w:bottom w:val="none" w:sz="0" w:space="0" w:color="auto"/>
        <w:right w:val="none" w:sz="0" w:space="0" w:color="auto"/>
      </w:divBdr>
    </w:div>
    <w:div w:id="1790275656">
      <w:marLeft w:val="0"/>
      <w:marRight w:val="0"/>
      <w:marTop w:val="0"/>
      <w:marBottom w:val="0"/>
      <w:divBdr>
        <w:top w:val="none" w:sz="0" w:space="0" w:color="auto"/>
        <w:left w:val="none" w:sz="0" w:space="0" w:color="auto"/>
        <w:bottom w:val="none" w:sz="0" w:space="0" w:color="auto"/>
        <w:right w:val="none" w:sz="0" w:space="0" w:color="auto"/>
      </w:divBdr>
    </w:div>
    <w:div w:id="1790660641">
      <w:marLeft w:val="0"/>
      <w:marRight w:val="0"/>
      <w:marTop w:val="0"/>
      <w:marBottom w:val="0"/>
      <w:divBdr>
        <w:top w:val="none" w:sz="0" w:space="0" w:color="auto"/>
        <w:left w:val="none" w:sz="0" w:space="0" w:color="auto"/>
        <w:bottom w:val="none" w:sz="0" w:space="0" w:color="auto"/>
        <w:right w:val="none" w:sz="0" w:space="0" w:color="auto"/>
      </w:divBdr>
    </w:div>
    <w:div w:id="1793983092">
      <w:marLeft w:val="0"/>
      <w:marRight w:val="0"/>
      <w:marTop w:val="0"/>
      <w:marBottom w:val="0"/>
      <w:divBdr>
        <w:top w:val="none" w:sz="0" w:space="0" w:color="auto"/>
        <w:left w:val="none" w:sz="0" w:space="0" w:color="auto"/>
        <w:bottom w:val="none" w:sz="0" w:space="0" w:color="auto"/>
        <w:right w:val="none" w:sz="0" w:space="0" w:color="auto"/>
      </w:divBdr>
    </w:div>
    <w:div w:id="1794707314">
      <w:marLeft w:val="0"/>
      <w:marRight w:val="0"/>
      <w:marTop w:val="0"/>
      <w:marBottom w:val="0"/>
      <w:divBdr>
        <w:top w:val="none" w:sz="0" w:space="0" w:color="auto"/>
        <w:left w:val="none" w:sz="0" w:space="0" w:color="auto"/>
        <w:bottom w:val="none" w:sz="0" w:space="0" w:color="auto"/>
        <w:right w:val="none" w:sz="0" w:space="0" w:color="auto"/>
      </w:divBdr>
    </w:div>
    <w:div w:id="1794710741">
      <w:marLeft w:val="0"/>
      <w:marRight w:val="0"/>
      <w:marTop w:val="0"/>
      <w:marBottom w:val="0"/>
      <w:divBdr>
        <w:top w:val="none" w:sz="0" w:space="0" w:color="auto"/>
        <w:left w:val="none" w:sz="0" w:space="0" w:color="auto"/>
        <w:bottom w:val="none" w:sz="0" w:space="0" w:color="auto"/>
        <w:right w:val="none" w:sz="0" w:space="0" w:color="auto"/>
      </w:divBdr>
    </w:div>
    <w:div w:id="1795055760">
      <w:marLeft w:val="0"/>
      <w:marRight w:val="0"/>
      <w:marTop w:val="0"/>
      <w:marBottom w:val="0"/>
      <w:divBdr>
        <w:top w:val="none" w:sz="0" w:space="0" w:color="auto"/>
        <w:left w:val="none" w:sz="0" w:space="0" w:color="auto"/>
        <w:bottom w:val="none" w:sz="0" w:space="0" w:color="auto"/>
        <w:right w:val="none" w:sz="0" w:space="0" w:color="auto"/>
      </w:divBdr>
      <w:divsChild>
        <w:div w:id="1110901740">
          <w:marLeft w:val="0"/>
          <w:marRight w:val="0"/>
          <w:marTop w:val="0"/>
          <w:marBottom w:val="0"/>
          <w:divBdr>
            <w:top w:val="none" w:sz="0" w:space="0" w:color="auto"/>
            <w:left w:val="none" w:sz="0" w:space="0" w:color="auto"/>
            <w:bottom w:val="none" w:sz="0" w:space="0" w:color="auto"/>
            <w:right w:val="none" w:sz="0" w:space="0" w:color="auto"/>
          </w:divBdr>
        </w:div>
      </w:divsChild>
    </w:div>
    <w:div w:id="1795512953">
      <w:marLeft w:val="0"/>
      <w:marRight w:val="0"/>
      <w:marTop w:val="0"/>
      <w:marBottom w:val="0"/>
      <w:divBdr>
        <w:top w:val="none" w:sz="0" w:space="0" w:color="auto"/>
        <w:left w:val="none" w:sz="0" w:space="0" w:color="auto"/>
        <w:bottom w:val="none" w:sz="0" w:space="0" w:color="auto"/>
        <w:right w:val="none" w:sz="0" w:space="0" w:color="auto"/>
      </w:divBdr>
    </w:div>
    <w:div w:id="1795824200">
      <w:marLeft w:val="0"/>
      <w:marRight w:val="0"/>
      <w:marTop w:val="0"/>
      <w:marBottom w:val="0"/>
      <w:divBdr>
        <w:top w:val="none" w:sz="0" w:space="0" w:color="auto"/>
        <w:left w:val="none" w:sz="0" w:space="0" w:color="auto"/>
        <w:bottom w:val="none" w:sz="0" w:space="0" w:color="auto"/>
        <w:right w:val="none" w:sz="0" w:space="0" w:color="auto"/>
      </w:divBdr>
    </w:div>
    <w:div w:id="1795950189">
      <w:marLeft w:val="0"/>
      <w:marRight w:val="0"/>
      <w:marTop w:val="0"/>
      <w:marBottom w:val="0"/>
      <w:divBdr>
        <w:top w:val="none" w:sz="0" w:space="0" w:color="auto"/>
        <w:left w:val="none" w:sz="0" w:space="0" w:color="auto"/>
        <w:bottom w:val="none" w:sz="0" w:space="0" w:color="auto"/>
        <w:right w:val="none" w:sz="0" w:space="0" w:color="auto"/>
      </w:divBdr>
    </w:div>
    <w:div w:id="1796217203">
      <w:marLeft w:val="0"/>
      <w:marRight w:val="0"/>
      <w:marTop w:val="0"/>
      <w:marBottom w:val="0"/>
      <w:divBdr>
        <w:top w:val="none" w:sz="0" w:space="0" w:color="auto"/>
        <w:left w:val="none" w:sz="0" w:space="0" w:color="auto"/>
        <w:bottom w:val="none" w:sz="0" w:space="0" w:color="auto"/>
        <w:right w:val="none" w:sz="0" w:space="0" w:color="auto"/>
      </w:divBdr>
    </w:div>
    <w:div w:id="1797217331">
      <w:marLeft w:val="0"/>
      <w:marRight w:val="0"/>
      <w:marTop w:val="0"/>
      <w:marBottom w:val="0"/>
      <w:divBdr>
        <w:top w:val="none" w:sz="0" w:space="0" w:color="auto"/>
        <w:left w:val="none" w:sz="0" w:space="0" w:color="auto"/>
        <w:bottom w:val="none" w:sz="0" w:space="0" w:color="auto"/>
        <w:right w:val="none" w:sz="0" w:space="0" w:color="auto"/>
      </w:divBdr>
    </w:div>
    <w:div w:id="1799108555">
      <w:marLeft w:val="0"/>
      <w:marRight w:val="0"/>
      <w:marTop w:val="0"/>
      <w:marBottom w:val="0"/>
      <w:divBdr>
        <w:top w:val="none" w:sz="0" w:space="0" w:color="auto"/>
        <w:left w:val="none" w:sz="0" w:space="0" w:color="auto"/>
        <w:bottom w:val="none" w:sz="0" w:space="0" w:color="auto"/>
        <w:right w:val="none" w:sz="0" w:space="0" w:color="auto"/>
      </w:divBdr>
    </w:div>
    <w:div w:id="1799299650">
      <w:marLeft w:val="0"/>
      <w:marRight w:val="0"/>
      <w:marTop w:val="0"/>
      <w:marBottom w:val="0"/>
      <w:divBdr>
        <w:top w:val="none" w:sz="0" w:space="0" w:color="auto"/>
        <w:left w:val="none" w:sz="0" w:space="0" w:color="auto"/>
        <w:bottom w:val="none" w:sz="0" w:space="0" w:color="auto"/>
        <w:right w:val="none" w:sz="0" w:space="0" w:color="auto"/>
      </w:divBdr>
    </w:div>
    <w:div w:id="1800301181">
      <w:marLeft w:val="0"/>
      <w:marRight w:val="0"/>
      <w:marTop w:val="0"/>
      <w:marBottom w:val="0"/>
      <w:divBdr>
        <w:top w:val="none" w:sz="0" w:space="0" w:color="auto"/>
        <w:left w:val="none" w:sz="0" w:space="0" w:color="auto"/>
        <w:bottom w:val="none" w:sz="0" w:space="0" w:color="auto"/>
        <w:right w:val="none" w:sz="0" w:space="0" w:color="auto"/>
      </w:divBdr>
    </w:div>
    <w:div w:id="1801220957">
      <w:marLeft w:val="0"/>
      <w:marRight w:val="0"/>
      <w:marTop w:val="0"/>
      <w:marBottom w:val="0"/>
      <w:divBdr>
        <w:top w:val="none" w:sz="0" w:space="0" w:color="auto"/>
        <w:left w:val="none" w:sz="0" w:space="0" w:color="auto"/>
        <w:bottom w:val="none" w:sz="0" w:space="0" w:color="auto"/>
        <w:right w:val="none" w:sz="0" w:space="0" w:color="auto"/>
      </w:divBdr>
    </w:div>
    <w:div w:id="1801726528">
      <w:marLeft w:val="0"/>
      <w:marRight w:val="0"/>
      <w:marTop w:val="0"/>
      <w:marBottom w:val="0"/>
      <w:divBdr>
        <w:top w:val="none" w:sz="0" w:space="0" w:color="auto"/>
        <w:left w:val="none" w:sz="0" w:space="0" w:color="auto"/>
        <w:bottom w:val="none" w:sz="0" w:space="0" w:color="auto"/>
        <w:right w:val="none" w:sz="0" w:space="0" w:color="auto"/>
      </w:divBdr>
    </w:div>
    <w:div w:id="1801921974">
      <w:marLeft w:val="0"/>
      <w:marRight w:val="0"/>
      <w:marTop w:val="0"/>
      <w:marBottom w:val="0"/>
      <w:divBdr>
        <w:top w:val="none" w:sz="0" w:space="0" w:color="auto"/>
        <w:left w:val="none" w:sz="0" w:space="0" w:color="auto"/>
        <w:bottom w:val="none" w:sz="0" w:space="0" w:color="auto"/>
        <w:right w:val="none" w:sz="0" w:space="0" w:color="auto"/>
      </w:divBdr>
    </w:div>
    <w:div w:id="1802453330">
      <w:marLeft w:val="0"/>
      <w:marRight w:val="0"/>
      <w:marTop w:val="0"/>
      <w:marBottom w:val="0"/>
      <w:divBdr>
        <w:top w:val="none" w:sz="0" w:space="0" w:color="auto"/>
        <w:left w:val="none" w:sz="0" w:space="0" w:color="auto"/>
        <w:bottom w:val="none" w:sz="0" w:space="0" w:color="auto"/>
        <w:right w:val="none" w:sz="0" w:space="0" w:color="auto"/>
      </w:divBdr>
    </w:div>
    <w:div w:id="1803158481">
      <w:marLeft w:val="0"/>
      <w:marRight w:val="0"/>
      <w:marTop w:val="0"/>
      <w:marBottom w:val="0"/>
      <w:divBdr>
        <w:top w:val="none" w:sz="0" w:space="0" w:color="auto"/>
        <w:left w:val="none" w:sz="0" w:space="0" w:color="auto"/>
        <w:bottom w:val="none" w:sz="0" w:space="0" w:color="auto"/>
        <w:right w:val="none" w:sz="0" w:space="0" w:color="auto"/>
      </w:divBdr>
    </w:div>
    <w:div w:id="1803693609">
      <w:marLeft w:val="0"/>
      <w:marRight w:val="0"/>
      <w:marTop w:val="0"/>
      <w:marBottom w:val="0"/>
      <w:divBdr>
        <w:top w:val="none" w:sz="0" w:space="0" w:color="auto"/>
        <w:left w:val="none" w:sz="0" w:space="0" w:color="auto"/>
        <w:bottom w:val="none" w:sz="0" w:space="0" w:color="auto"/>
        <w:right w:val="none" w:sz="0" w:space="0" w:color="auto"/>
      </w:divBdr>
    </w:div>
    <w:div w:id="1804344846">
      <w:marLeft w:val="0"/>
      <w:marRight w:val="0"/>
      <w:marTop w:val="0"/>
      <w:marBottom w:val="0"/>
      <w:divBdr>
        <w:top w:val="none" w:sz="0" w:space="0" w:color="auto"/>
        <w:left w:val="none" w:sz="0" w:space="0" w:color="auto"/>
        <w:bottom w:val="none" w:sz="0" w:space="0" w:color="auto"/>
        <w:right w:val="none" w:sz="0" w:space="0" w:color="auto"/>
      </w:divBdr>
    </w:div>
    <w:div w:id="1805387705">
      <w:marLeft w:val="0"/>
      <w:marRight w:val="0"/>
      <w:marTop w:val="0"/>
      <w:marBottom w:val="0"/>
      <w:divBdr>
        <w:top w:val="none" w:sz="0" w:space="0" w:color="auto"/>
        <w:left w:val="none" w:sz="0" w:space="0" w:color="auto"/>
        <w:bottom w:val="none" w:sz="0" w:space="0" w:color="auto"/>
        <w:right w:val="none" w:sz="0" w:space="0" w:color="auto"/>
      </w:divBdr>
    </w:div>
    <w:div w:id="1805730959">
      <w:marLeft w:val="0"/>
      <w:marRight w:val="0"/>
      <w:marTop w:val="0"/>
      <w:marBottom w:val="0"/>
      <w:divBdr>
        <w:top w:val="none" w:sz="0" w:space="0" w:color="auto"/>
        <w:left w:val="none" w:sz="0" w:space="0" w:color="auto"/>
        <w:bottom w:val="none" w:sz="0" w:space="0" w:color="auto"/>
        <w:right w:val="none" w:sz="0" w:space="0" w:color="auto"/>
      </w:divBdr>
    </w:div>
    <w:div w:id="1805731906">
      <w:marLeft w:val="0"/>
      <w:marRight w:val="0"/>
      <w:marTop w:val="0"/>
      <w:marBottom w:val="0"/>
      <w:divBdr>
        <w:top w:val="none" w:sz="0" w:space="0" w:color="auto"/>
        <w:left w:val="none" w:sz="0" w:space="0" w:color="auto"/>
        <w:bottom w:val="none" w:sz="0" w:space="0" w:color="auto"/>
        <w:right w:val="none" w:sz="0" w:space="0" w:color="auto"/>
      </w:divBdr>
    </w:div>
    <w:div w:id="1808472087">
      <w:marLeft w:val="0"/>
      <w:marRight w:val="0"/>
      <w:marTop w:val="0"/>
      <w:marBottom w:val="0"/>
      <w:divBdr>
        <w:top w:val="none" w:sz="0" w:space="0" w:color="auto"/>
        <w:left w:val="none" w:sz="0" w:space="0" w:color="auto"/>
        <w:bottom w:val="none" w:sz="0" w:space="0" w:color="auto"/>
        <w:right w:val="none" w:sz="0" w:space="0" w:color="auto"/>
      </w:divBdr>
    </w:div>
    <w:div w:id="1809587124">
      <w:marLeft w:val="0"/>
      <w:marRight w:val="0"/>
      <w:marTop w:val="0"/>
      <w:marBottom w:val="0"/>
      <w:divBdr>
        <w:top w:val="none" w:sz="0" w:space="0" w:color="auto"/>
        <w:left w:val="none" w:sz="0" w:space="0" w:color="auto"/>
        <w:bottom w:val="none" w:sz="0" w:space="0" w:color="auto"/>
        <w:right w:val="none" w:sz="0" w:space="0" w:color="auto"/>
      </w:divBdr>
    </w:div>
    <w:div w:id="1810702114">
      <w:marLeft w:val="0"/>
      <w:marRight w:val="0"/>
      <w:marTop w:val="0"/>
      <w:marBottom w:val="0"/>
      <w:divBdr>
        <w:top w:val="none" w:sz="0" w:space="0" w:color="auto"/>
        <w:left w:val="none" w:sz="0" w:space="0" w:color="auto"/>
        <w:bottom w:val="none" w:sz="0" w:space="0" w:color="auto"/>
        <w:right w:val="none" w:sz="0" w:space="0" w:color="auto"/>
      </w:divBdr>
    </w:div>
    <w:div w:id="1811284623">
      <w:marLeft w:val="0"/>
      <w:marRight w:val="0"/>
      <w:marTop w:val="0"/>
      <w:marBottom w:val="0"/>
      <w:divBdr>
        <w:top w:val="none" w:sz="0" w:space="0" w:color="auto"/>
        <w:left w:val="none" w:sz="0" w:space="0" w:color="auto"/>
        <w:bottom w:val="none" w:sz="0" w:space="0" w:color="auto"/>
        <w:right w:val="none" w:sz="0" w:space="0" w:color="auto"/>
      </w:divBdr>
    </w:div>
    <w:div w:id="1811556023">
      <w:marLeft w:val="0"/>
      <w:marRight w:val="0"/>
      <w:marTop w:val="0"/>
      <w:marBottom w:val="0"/>
      <w:divBdr>
        <w:top w:val="none" w:sz="0" w:space="0" w:color="auto"/>
        <w:left w:val="none" w:sz="0" w:space="0" w:color="auto"/>
        <w:bottom w:val="none" w:sz="0" w:space="0" w:color="auto"/>
        <w:right w:val="none" w:sz="0" w:space="0" w:color="auto"/>
      </w:divBdr>
    </w:div>
    <w:div w:id="1813598979">
      <w:marLeft w:val="0"/>
      <w:marRight w:val="0"/>
      <w:marTop w:val="0"/>
      <w:marBottom w:val="0"/>
      <w:divBdr>
        <w:top w:val="none" w:sz="0" w:space="0" w:color="auto"/>
        <w:left w:val="none" w:sz="0" w:space="0" w:color="auto"/>
        <w:bottom w:val="none" w:sz="0" w:space="0" w:color="auto"/>
        <w:right w:val="none" w:sz="0" w:space="0" w:color="auto"/>
      </w:divBdr>
    </w:div>
    <w:div w:id="1813980895">
      <w:marLeft w:val="0"/>
      <w:marRight w:val="0"/>
      <w:marTop w:val="0"/>
      <w:marBottom w:val="0"/>
      <w:divBdr>
        <w:top w:val="none" w:sz="0" w:space="0" w:color="auto"/>
        <w:left w:val="none" w:sz="0" w:space="0" w:color="auto"/>
        <w:bottom w:val="none" w:sz="0" w:space="0" w:color="auto"/>
        <w:right w:val="none" w:sz="0" w:space="0" w:color="auto"/>
      </w:divBdr>
    </w:div>
    <w:div w:id="1814717320">
      <w:marLeft w:val="0"/>
      <w:marRight w:val="0"/>
      <w:marTop w:val="0"/>
      <w:marBottom w:val="0"/>
      <w:divBdr>
        <w:top w:val="none" w:sz="0" w:space="0" w:color="auto"/>
        <w:left w:val="none" w:sz="0" w:space="0" w:color="auto"/>
        <w:bottom w:val="none" w:sz="0" w:space="0" w:color="auto"/>
        <w:right w:val="none" w:sz="0" w:space="0" w:color="auto"/>
      </w:divBdr>
    </w:div>
    <w:div w:id="1814827108">
      <w:marLeft w:val="0"/>
      <w:marRight w:val="0"/>
      <w:marTop w:val="0"/>
      <w:marBottom w:val="0"/>
      <w:divBdr>
        <w:top w:val="none" w:sz="0" w:space="0" w:color="auto"/>
        <w:left w:val="none" w:sz="0" w:space="0" w:color="auto"/>
        <w:bottom w:val="none" w:sz="0" w:space="0" w:color="auto"/>
        <w:right w:val="none" w:sz="0" w:space="0" w:color="auto"/>
      </w:divBdr>
    </w:div>
    <w:div w:id="1816678009">
      <w:marLeft w:val="0"/>
      <w:marRight w:val="0"/>
      <w:marTop w:val="0"/>
      <w:marBottom w:val="0"/>
      <w:divBdr>
        <w:top w:val="none" w:sz="0" w:space="0" w:color="auto"/>
        <w:left w:val="none" w:sz="0" w:space="0" w:color="auto"/>
        <w:bottom w:val="none" w:sz="0" w:space="0" w:color="auto"/>
        <w:right w:val="none" w:sz="0" w:space="0" w:color="auto"/>
      </w:divBdr>
    </w:div>
    <w:div w:id="1816724219">
      <w:marLeft w:val="0"/>
      <w:marRight w:val="0"/>
      <w:marTop w:val="0"/>
      <w:marBottom w:val="0"/>
      <w:divBdr>
        <w:top w:val="none" w:sz="0" w:space="0" w:color="auto"/>
        <w:left w:val="none" w:sz="0" w:space="0" w:color="auto"/>
        <w:bottom w:val="none" w:sz="0" w:space="0" w:color="auto"/>
        <w:right w:val="none" w:sz="0" w:space="0" w:color="auto"/>
      </w:divBdr>
    </w:div>
    <w:div w:id="1817333898">
      <w:marLeft w:val="0"/>
      <w:marRight w:val="0"/>
      <w:marTop w:val="0"/>
      <w:marBottom w:val="0"/>
      <w:divBdr>
        <w:top w:val="none" w:sz="0" w:space="0" w:color="auto"/>
        <w:left w:val="none" w:sz="0" w:space="0" w:color="auto"/>
        <w:bottom w:val="none" w:sz="0" w:space="0" w:color="auto"/>
        <w:right w:val="none" w:sz="0" w:space="0" w:color="auto"/>
      </w:divBdr>
    </w:div>
    <w:div w:id="1817717763">
      <w:marLeft w:val="0"/>
      <w:marRight w:val="0"/>
      <w:marTop w:val="0"/>
      <w:marBottom w:val="0"/>
      <w:divBdr>
        <w:top w:val="none" w:sz="0" w:space="0" w:color="auto"/>
        <w:left w:val="none" w:sz="0" w:space="0" w:color="auto"/>
        <w:bottom w:val="none" w:sz="0" w:space="0" w:color="auto"/>
        <w:right w:val="none" w:sz="0" w:space="0" w:color="auto"/>
      </w:divBdr>
    </w:div>
    <w:div w:id="1818917673">
      <w:marLeft w:val="0"/>
      <w:marRight w:val="0"/>
      <w:marTop w:val="0"/>
      <w:marBottom w:val="0"/>
      <w:divBdr>
        <w:top w:val="none" w:sz="0" w:space="0" w:color="auto"/>
        <w:left w:val="none" w:sz="0" w:space="0" w:color="auto"/>
        <w:bottom w:val="none" w:sz="0" w:space="0" w:color="auto"/>
        <w:right w:val="none" w:sz="0" w:space="0" w:color="auto"/>
      </w:divBdr>
    </w:div>
    <w:div w:id="1819419898">
      <w:marLeft w:val="0"/>
      <w:marRight w:val="0"/>
      <w:marTop w:val="0"/>
      <w:marBottom w:val="0"/>
      <w:divBdr>
        <w:top w:val="none" w:sz="0" w:space="0" w:color="auto"/>
        <w:left w:val="none" w:sz="0" w:space="0" w:color="auto"/>
        <w:bottom w:val="none" w:sz="0" w:space="0" w:color="auto"/>
        <w:right w:val="none" w:sz="0" w:space="0" w:color="auto"/>
      </w:divBdr>
    </w:div>
    <w:div w:id="1819492640">
      <w:marLeft w:val="0"/>
      <w:marRight w:val="0"/>
      <w:marTop w:val="0"/>
      <w:marBottom w:val="0"/>
      <w:divBdr>
        <w:top w:val="none" w:sz="0" w:space="0" w:color="auto"/>
        <w:left w:val="none" w:sz="0" w:space="0" w:color="auto"/>
        <w:bottom w:val="none" w:sz="0" w:space="0" w:color="auto"/>
        <w:right w:val="none" w:sz="0" w:space="0" w:color="auto"/>
      </w:divBdr>
    </w:div>
    <w:div w:id="1819688045">
      <w:marLeft w:val="0"/>
      <w:marRight w:val="0"/>
      <w:marTop w:val="100"/>
      <w:marBottom w:val="100"/>
      <w:divBdr>
        <w:top w:val="none" w:sz="0" w:space="0" w:color="auto"/>
        <w:left w:val="none" w:sz="0" w:space="0" w:color="auto"/>
        <w:bottom w:val="none" w:sz="0" w:space="0" w:color="auto"/>
        <w:right w:val="none" w:sz="0" w:space="0" w:color="auto"/>
      </w:divBdr>
      <w:divsChild>
        <w:div w:id="543714239">
          <w:marLeft w:val="0"/>
          <w:marRight w:val="0"/>
          <w:marTop w:val="0"/>
          <w:marBottom w:val="0"/>
          <w:divBdr>
            <w:top w:val="none" w:sz="0" w:space="0" w:color="auto"/>
            <w:left w:val="none" w:sz="0" w:space="0" w:color="auto"/>
            <w:bottom w:val="none" w:sz="0" w:space="0" w:color="auto"/>
            <w:right w:val="none" w:sz="0" w:space="0" w:color="auto"/>
          </w:divBdr>
        </w:div>
        <w:div w:id="963081927">
          <w:marLeft w:val="0"/>
          <w:marRight w:val="0"/>
          <w:marTop w:val="0"/>
          <w:marBottom w:val="0"/>
          <w:divBdr>
            <w:top w:val="none" w:sz="0" w:space="0" w:color="auto"/>
            <w:left w:val="none" w:sz="0" w:space="0" w:color="auto"/>
            <w:bottom w:val="none" w:sz="0" w:space="0" w:color="auto"/>
            <w:right w:val="none" w:sz="0" w:space="0" w:color="auto"/>
          </w:divBdr>
        </w:div>
      </w:divsChild>
    </w:div>
    <w:div w:id="1820226619">
      <w:marLeft w:val="0"/>
      <w:marRight w:val="0"/>
      <w:marTop w:val="0"/>
      <w:marBottom w:val="0"/>
      <w:divBdr>
        <w:top w:val="none" w:sz="0" w:space="0" w:color="auto"/>
        <w:left w:val="none" w:sz="0" w:space="0" w:color="auto"/>
        <w:bottom w:val="none" w:sz="0" w:space="0" w:color="auto"/>
        <w:right w:val="none" w:sz="0" w:space="0" w:color="auto"/>
      </w:divBdr>
    </w:div>
    <w:div w:id="1820808829">
      <w:marLeft w:val="0"/>
      <w:marRight w:val="0"/>
      <w:marTop w:val="100"/>
      <w:marBottom w:val="100"/>
      <w:divBdr>
        <w:top w:val="none" w:sz="0" w:space="0" w:color="auto"/>
        <w:left w:val="none" w:sz="0" w:space="0" w:color="auto"/>
        <w:bottom w:val="none" w:sz="0" w:space="0" w:color="auto"/>
        <w:right w:val="none" w:sz="0" w:space="0" w:color="auto"/>
      </w:divBdr>
    </w:div>
    <w:div w:id="1821455099">
      <w:marLeft w:val="0"/>
      <w:marRight w:val="0"/>
      <w:marTop w:val="0"/>
      <w:marBottom w:val="0"/>
      <w:divBdr>
        <w:top w:val="none" w:sz="0" w:space="0" w:color="auto"/>
        <w:left w:val="none" w:sz="0" w:space="0" w:color="auto"/>
        <w:bottom w:val="none" w:sz="0" w:space="0" w:color="auto"/>
        <w:right w:val="none" w:sz="0" w:space="0" w:color="auto"/>
      </w:divBdr>
      <w:divsChild>
        <w:div w:id="1072384868">
          <w:marLeft w:val="0"/>
          <w:marRight w:val="0"/>
          <w:marTop w:val="0"/>
          <w:marBottom w:val="0"/>
          <w:divBdr>
            <w:top w:val="none" w:sz="0" w:space="0" w:color="auto"/>
            <w:left w:val="none" w:sz="0" w:space="0" w:color="auto"/>
            <w:bottom w:val="none" w:sz="0" w:space="0" w:color="auto"/>
            <w:right w:val="none" w:sz="0" w:space="0" w:color="auto"/>
          </w:divBdr>
        </w:div>
      </w:divsChild>
    </w:div>
    <w:div w:id="1821654070">
      <w:marLeft w:val="0"/>
      <w:marRight w:val="0"/>
      <w:marTop w:val="0"/>
      <w:marBottom w:val="0"/>
      <w:divBdr>
        <w:top w:val="none" w:sz="0" w:space="0" w:color="auto"/>
        <w:left w:val="none" w:sz="0" w:space="0" w:color="auto"/>
        <w:bottom w:val="none" w:sz="0" w:space="0" w:color="auto"/>
        <w:right w:val="none" w:sz="0" w:space="0" w:color="auto"/>
      </w:divBdr>
    </w:div>
    <w:div w:id="1821843830">
      <w:marLeft w:val="0"/>
      <w:marRight w:val="0"/>
      <w:marTop w:val="100"/>
      <w:marBottom w:val="100"/>
      <w:divBdr>
        <w:top w:val="none" w:sz="0" w:space="0" w:color="auto"/>
        <w:left w:val="none" w:sz="0" w:space="0" w:color="auto"/>
        <w:bottom w:val="none" w:sz="0" w:space="0" w:color="auto"/>
        <w:right w:val="none" w:sz="0" w:space="0" w:color="auto"/>
      </w:divBdr>
      <w:divsChild>
        <w:div w:id="1306281633">
          <w:marLeft w:val="0"/>
          <w:marRight w:val="0"/>
          <w:marTop w:val="0"/>
          <w:marBottom w:val="0"/>
          <w:divBdr>
            <w:top w:val="none" w:sz="0" w:space="0" w:color="auto"/>
            <w:left w:val="none" w:sz="0" w:space="0" w:color="auto"/>
            <w:bottom w:val="none" w:sz="0" w:space="0" w:color="auto"/>
            <w:right w:val="none" w:sz="0" w:space="0" w:color="auto"/>
          </w:divBdr>
        </w:div>
        <w:div w:id="648440919">
          <w:marLeft w:val="0"/>
          <w:marRight w:val="0"/>
          <w:marTop w:val="0"/>
          <w:marBottom w:val="0"/>
          <w:divBdr>
            <w:top w:val="none" w:sz="0" w:space="0" w:color="auto"/>
            <w:left w:val="none" w:sz="0" w:space="0" w:color="auto"/>
            <w:bottom w:val="none" w:sz="0" w:space="0" w:color="auto"/>
            <w:right w:val="none" w:sz="0" w:space="0" w:color="auto"/>
          </w:divBdr>
        </w:div>
        <w:div w:id="2040154484">
          <w:marLeft w:val="0"/>
          <w:marRight w:val="0"/>
          <w:marTop w:val="0"/>
          <w:marBottom w:val="0"/>
          <w:divBdr>
            <w:top w:val="none" w:sz="0" w:space="0" w:color="auto"/>
            <w:left w:val="none" w:sz="0" w:space="0" w:color="auto"/>
            <w:bottom w:val="none" w:sz="0" w:space="0" w:color="auto"/>
            <w:right w:val="none" w:sz="0" w:space="0" w:color="auto"/>
          </w:divBdr>
        </w:div>
      </w:divsChild>
    </w:div>
    <w:div w:id="1822234907">
      <w:marLeft w:val="0"/>
      <w:marRight w:val="0"/>
      <w:marTop w:val="0"/>
      <w:marBottom w:val="0"/>
      <w:divBdr>
        <w:top w:val="none" w:sz="0" w:space="0" w:color="auto"/>
        <w:left w:val="none" w:sz="0" w:space="0" w:color="auto"/>
        <w:bottom w:val="none" w:sz="0" w:space="0" w:color="auto"/>
        <w:right w:val="none" w:sz="0" w:space="0" w:color="auto"/>
      </w:divBdr>
    </w:div>
    <w:div w:id="1822307659">
      <w:marLeft w:val="0"/>
      <w:marRight w:val="0"/>
      <w:marTop w:val="100"/>
      <w:marBottom w:val="100"/>
      <w:divBdr>
        <w:top w:val="none" w:sz="0" w:space="0" w:color="auto"/>
        <w:left w:val="none" w:sz="0" w:space="0" w:color="auto"/>
        <w:bottom w:val="none" w:sz="0" w:space="0" w:color="auto"/>
        <w:right w:val="none" w:sz="0" w:space="0" w:color="auto"/>
      </w:divBdr>
      <w:divsChild>
        <w:div w:id="372922508">
          <w:marLeft w:val="0"/>
          <w:marRight w:val="0"/>
          <w:marTop w:val="0"/>
          <w:marBottom w:val="0"/>
          <w:divBdr>
            <w:top w:val="none" w:sz="0" w:space="0" w:color="auto"/>
            <w:left w:val="none" w:sz="0" w:space="0" w:color="auto"/>
            <w:bottom w:val="none" w:sz="0" w:space="0" w:color="auto"/>
            <w:right w:val="none" w:sz="0" w:space="0" w:color="auto"/>
          </w:divBdr>
        </w:div>
        <w:div w:id="388722722">
          <w:marLeft w:val="0"/>
          <w:marRight w:val="0"/>
          <w:marTop w:val="0"/>
          <w:marBottom w:val="0"/>
          <w:divBdr>
            <w:top w:val="none" w:sz="0" w:space="0" w:color="auto"/>
            <w:left w:val="none" w:sz="0" w:space="0" w:color="auto"/>
            <w:bottom w:val="none" w:sz="0" w:space="0" w:color="auto"/>
            <w:right w:val="none" w:sz="0" w:space="0" w:color="auto"/>
          </w:divBdr>
        </w:div>
        <w:div w:id="82188500">
          <w:marLeft w:val="0"/>
          <w:marRight w:val="0"/>
          <w:marTop w:val="0"/>
          <w:marBottom w:val="0"/>
          <w:divBdr>
            <w:top w:val="none" w:sz="0" w:space="0" w:color="auto"/>
            <w:left w:val="none" w:sz="0" w:space="0" w:color="auto"/>
            <w:bottom w:val="none" w:sz="0" w:space="0" w:color="auto"/>
            <w:right w:val="none" w:sz="0" w:space="0" w:color="auto"/>
          </w:divBdr>
        </w:div>
        <w:div w:id="7025561">
          <w:marLeft w:val="0"/>
          <w:marRight w:val="0"/>
          <w:marTop w:val="0"/>
          <w:marBottom w:val="0"/>
          <w:divBdr>
            <w:top w:val="none" w:sz="0" w:space="0" w:color="auto"/>
            <w:left w:val="none" w:sz="0" w:space="0" w:color="auto"/>
            <w:bottom w:val="none" w:sz="0" w:space="0" w:color="auto"/>
            <w:right w:val="none" w:sz="0" w:space="0" w:color="auto"/>
          </w:divBdr>
        </w:div>
        <w:div w:id="396250380">
          <w:marLeft w:val="0"/>
          <w:marRight w:val="0"/>
          <w:marTop w:val="0"/>
          <w:marBottom w:val="0"/>
          <w:divBdr>
            <w:top w:val="none" w:sz="0" w:space="0" w:color="auto"/>
            <w:left w:val="none" w:sz="0" w:space="0" w:color="auto"/>
            <w:bottom w:val="none" w:sz="0" w:space="0" w:color="auto"/>
            <w:right w:val="none" w:sz="0" w:space="0" w:color="auto"/>
          </w:divBdr>
        </w:div>
        <w:div w:id="1441683285">
          <w:marLeft w:val="0"/>
          <w:marRight w:val="0"/>
          <w:marTop w:val="0"/>
          <w:marBottom w:val="0"/>
          <w:divBdr>
            <w:top w:val="none" w:sz="0" w:space="0" w:color="auto"/>
            <w:left w:val="none" w:sz="0" w:space="0" w:color="auto"/>
            <w:bottom w:val="none" w:sz="0" w:space="0" w:color="auto"/>
            <w:right w:val="none" w:sz="0" w:space="0" w:color="auto"/>
          </w:divBdr>
        </w:div>
        <w:div w:id="1895462176">
          <w:marLeft w:val="0"/>
          <w:marRight w:val="0"/>
          <w:marTop w:val="0"/>
          <w:marBottom w:val="0"/>
          <w:divBdr>
            <w:top w:val="none" w:sz="0" w:space="0" w:color="auto"/>
            <w:left w:val="none" w:sz="0" w:space="0" w:color="auto"/>
            <w:bottom w:val="none" w:sz="0" w:space="0" w:color="auto"/>
            <w:right w:val="none" w:sz="0" w:space="0" w:color="auto"/>
          </w:divBdr>
        </w:div>
        <w:div w:id="2096170905">
          <w:marLeft w:val="0"/>
          <w:marRight w:val="0"/>
          <w:marTop w:val="0"/>
          <w:marBottom w:val="0"/>
          <w:divBdr>
            <w:top w:val="none" w:sz="0" w:space="0" w:color="auto"/>
            <w:left w:val="none" w:sz="0" w:space="0" w:color="auto"/>
            <w:bottom w:val="none" w:sz="0" w:space="0" w:color="auto"/>
            <w:right w:val="none" w:sz="0" w:space="0" w:color="auto"/>
          </w:divBdr>
        </w:div>
        <w:div w:id="2013725953">
          <w:marLeft w:val="0"/>
          <w:marRight w:val="0"/>
          <w:marTop w:val="0"/>
          <w:marBottom w:val="0"/>
          <w:divBdr>
            <w:top w:val="none" w:sz="0" w:space="0" w:color="auto"/>
            <w:left w:val="none" w:sz="0" w:space="0" w:color="auto"/>
            <w:bottom w:val="none" w:sz="0" w:space="0" w:color="auto"/>
            <w:right w:val="none" w:sz="0" w:space="0" w:color="auto"/>
          </w:divBdr>
        </w:div>
        <w:div w:id="1876504473">
          <w:marLeft w:val="0"/>
          <w:marRight w:val="0"/>
          <w:marTop w:val="0"/>
          <w:marBottom w:val="0"/>
          <w:divBdr>
            <w:top w:val="none" w:sz="0" w:space="0" w:color="auto"/>
            <w:left w:val="none" w:sz="0" w:space="0" w:color="auto"/>
            <w:bottom w:val="none" w:sz="0" w:space="0" w:color="auto"/>
            <w:right w:val="none" w:sz="0" w:space="0" w:color="auto"/>
          </w:divBdr>
        </w:div>
        <w:div w:id="279386989">
          <w:marLeft w:val="0"/>
          <w:marRight w:val="0"/>
          <w:marTop w:val="0"/>
          <w:marBottom w:val="0"/>
          <w:divBdr>
            <w:top w:val="none" w:sz="0" w:space="0" w:color="auto"/>
            <w:left w:val="none" w:sz="0" w:space="0" w:color="auto"/>
            <w:bottom w:val="none" w:sz="0" w:space="0" w:color="auto"/>
            <w:right w:val="none" w:sz="0" w:space="0" w:color="auto"/>
          </w:divBdr>
        </w:div>
        <w:div w:id="752045562">
          <w:marLeft w:val="0"/>
          <w:marRight w:val="0"/>
          <w:marTop w:val="0"/>
          <w:marBottom w:val="0"/>
          <w:divBdr>
            <w:top w:val="none" w:sz="0" w:space="0" w:color="auto"/>
            <w:left w:val="none" w:sz="0" w:space="0" w:color="auto"/>
            <w:bottom w:val="none" w:sz="0" w:space="0" w:color="auto"/>
            <w:right w:val="none" w:sz="0" w:space="0" w:color="auto"/>
          </w:divBdr>
        </w:div>
        <w:div w:id="80807033">
          <w:marLeft w:val="0"/>
          <w:marRight w:val="0"/>
          <w:marTop w:val="0"/>
          <w:marBottom w:val="0"/>
          <w:divBdr>
            <w:top w:val="none" w:sz="0" w:space="0" w:color="auto"/>
            <w:left w:val="none" w:sz="0" w:space="0" w:color="auto"/>
            <w:bottom w:val="none" w:sz="0" w:space="0" w:color="auto"/>
            <w:right w:val="none" w:sz="0" w:space="0" w:color="auto"/>
          </w:divBdr>
        </w:div>
        <w:div w:id="699014708">
          <w:marLeft w:val="0"/>
          <w:marRight w:val="0"/>
          <w:marTop w:val="0"/>
          <w:marBottom w:val="0"/>
          <w:divBdr>
            <w:top w:val="none" w:sz="0" w:space="0" w:color="auto"/>
            <w:left w:val="none" w:sz="0" w:space="0" w:color="auto"/>
            <w:bottom w:val="none" w:sz="0" w:space="0" w:color="auto"/>
            <w:right w:val="none" w:sz="0" w:space="0" w:color="auto"/>
          </w:divBdr>
        </w:div>
        <w:div w:id="1336227558">
          <w:marLeft w:val="0"/>
          <w:marRight w:val="0"/>
          <w:marTop w:val="0"/>
          <w:marBottom w:val="0"/>
          <w:divBdr>
            <w:top w:val="none" w:sz="0" w:space="0" w:color="auto"/>
            <w:left w:val="none" w:sz="0" w:space="0" w:color="auto"/>
            <w:bottom w:val="none" w:sz="0" w:space="0" w:color="auto"/>
            <w:right w:val="none" w:sz="0" w:space="0" w:color="auto"/>
          </w:divBdr>
        </w:div>
        <w:div w:id="982080688">
          <w:marLeft w:val="0"/>
          <w:marRight w:val="0"/>
          <w:marTop w:val="0"/>
          <w:marBottom w:val="0"/>
          <w:divBdr>
            <w:top w:val="none" w:sz="0" w:space="0" w:color="auto"/>
            <w:left w:val="none" w:sz="0" w:space="0" w:color="auto"/>
            <w:bottom w:val="none" w:sz="0" w:space="0" w:color="auto"/>
            <w:right w:val="none" w:sz="0" w:space="0" w:color="auto"/>
          </w:divBdr>
        </w:div>
      </w:divsChild>
    </w:div>
    <w:div w:id="1823811888">
      <w:marLeft w:val="0"/>
      <w:marRight w:val="0"/>
      <w:marTop w:val="0"/>
      <w:marBottom w:val="0"/>
      <w:divBdr>
        <w:top w:val="none" w:sz="0" w:space="0" w:color="auto"/>
        <w:left w:val="none" w:sz="0" w:space="0" w:color="auto"/>
        <w:bottom w:val="none" w:sz="0" w:space="0" w:color="auto"/>
        <w:right w:val="none" w:sz="0" w:space="0" w:color="auto"/>
      </w:divBdr>
    </w:div>
    <w:div w:id="1824155313">
      <w:marLeft w:val="0"/>
      <w:marRight w:val="0"/>
      <w:marTop w:val="0"/>
      <w:marBottom w:val="0"/>
      <w:divBdr>
        <w:top w:val="none" w:sz="0" w:space="0" w:color="auto"/>
        <w:left w:val="none" w:sz="0" w:space="0" w:color="auto"/>
        <w:bottom w:val="none" w:sz="0" w:space="0" w:color="auto"/>
        <w:right w:val="none" w:sz="0" w:space="0" w:color="auto"/>
      </w:divBdr>
    </w:div>
    <w:div w:id="1825244097">
      <w:marLeft w:val="0"/>
      <w:marRight w:val="0"/>
      <w:marTop w:val="0"/>
      <w:marBottom w:val="0"/>
      <w:divBdr>
        <w:top w:val="none" w:sz="0" w:space="0" w:color="auto"/>
        <w:left w:val="none" w:sz="0" w:space="0" w:color="auto"/>
        <w:bottom w:val="none" w:sz="0" w:space="0" w:color="auto"/>
        <w:right w:val="none" w:sz="0" w:space="0" w:color="auto"/>
      </w:divBdr>
    </w:div>
    <w:div w:id="1825857482">
      <w:marLeft w:val="0"/>
      <w:marRight w:val="0"/>
      <w:marTop w:val="0"/>
      <w:marBottom w:val="0"/>
      <w:divBdr>
        <w:top w:val="none" w:sz="0" w:space="0" w:color="auto"/>
        <w:left w:val="none" w:sz="0" w:space="0" w:color="auto"/>
        <w:bottom w:val="none" w:sz="0" w:space="0" w:color="auto"/>
        <w:right w:val="none" w:sz="0" w:space="0" w:color="auto"/>
      </w:divBdr>
    </w:div>
    <w:div w:id="1826241233">
      <w:marLeft w:val="0"/>
      <w:marRight w:val="0"/>
      <w:marTop w:val="0"/>
      <w:marBottom w:val="0"/>
      <w:divBdr>
        <w:top w:val="none" w:sz="0" w:space="0" w:color="auto"/>
        <w:left w:val="none" w:sz="0" w:space="0" w:color="auto"/>
        <w:bottom w:val="none" w:sz="0" w:space="0" w:color="auto"/>
        <w:right w:val="none" w:sz="0" w:space="0" w:color="auto"/>
      </w:divBdr>
    </w:div>
    <w:div w:id="1827547918">
      <w:marLeft w:val="0"/>
      <w:marRight w:val="0"/>
      <w:marTop w:val="0"/>
      <w:marBottom w:val="0"/>
      <w:divBdr>
        <w:top w:val="none" w:sz="0" w:space="0" w:color="auto"/>
        <w:left w:val="none" w:sz="0" w:space="0" w:color="auto"/>
        <w:bottom w:val="none" w:sz="0" w:space="0" w:color="auto"/>
        <w:right w:val="none" w:sz="0" w:space="0" w:color="auto"/>
      </w:divBdr>
    </w:div>
    <w:div w:id="1827552443">
      <w:marLeft w:val="0"/>
      <w:marRight w:val="0"/>
      <w:marTop w:val="0"/>
      <w:marBottom w:val="240"/>
      <w:divBdr>
        <w:top w:val="none" w:sz="0" w:space="0" w:color="auto"/>
        <w:left w:val="none" w:sz="0" w:space="0" w:color="auto"/>
        <w:bottom w:val="none" w:sz="0" w:space="0" w:color="auto"/>
        <w:right w:val="none" w:sz="0" w:space="0" w:color="auto"/>
      </w:divBdr>
    </w:div>
    <w:div w:id="1827698730">
      <w:marLeft w:val="0"/>
      <w:marRight w:val="0"/>
      <w:marTop w:val="0"/>
      <w:marBottom w:val="0"/>
      <w:divBdr>
        <w:top w:val="none" w:sz="0" w:space="0" w:color="auto"/>
        <w:left w:val="none" w:sz="0" w:space="0" w:color="auto"/>
        <w:bottom w:val="none" w:sz="0" w:space="0" w:color="auto"/>
        <w:right w:val="none" w:sz="0" w:space="0" w:color="auto"/>
      </w:divBdr>
    </w:div>
    <w:div w:id="1827933843">
      <w:marLeft w:val="0"/>
      <w:marRight w:val="0"/>
      <w:marTop w:val="0"/>
      <w:marBottom w:val="0"/>
      <w:divBdr>
        <w:top w:val="none" w:sz="0" w:space="0" w:color="auto"/>
        <w:left w:val="none" w:sz="0" w:space="0" w:color="auto"/>
        <w:bottom w:val="none" w:sz="0" w:space="0" w:color="auto"/>
        <w:right w:val="none" w:sz="0" w:space="0" w:color="auto"/>
      </w:divBdr>
    </w:div>
    <w:div w:id="1828088095">
      <w:marLeft w:val="0"/>
      <w:marRight w:val="0"/>
      <w:marTop w:val="0"/>
      <w:marBottom w:val="0"/>
      <w:divBdr>
        <w:top w:val="none" w:sz="0" w:space="0" w:color="auto"/>
        <w:left w:val="none" w:sz="0" w:space="0" w:color="auto"/>
        <w:bottom w:val="none" w:sz="0" w:space="0" w:color="auto"/>
        <w:right w:val="none" w:sz="0" w:space="0" w:color="auto"/>
      </w:divBdr>
    </w:div>
    <w:div w:id="1829705184">
      <w:marLeft w:val="0"/>
      <w:marRight w:val="0"/>
      <w:marTop w:val="0"/>
      <w:marBottom w:val="0"/>
      <w:divBdr>
        <w:top w:val="none" w:sz="0" w:space="0" w:color="auto"/>
        <w:left w:val="none" w:sz="0" w:space="0" w:color="auto"/>
        <w:bottom w:val="none" w:sz="0" w:space="0" w:color="auto"/>
        <w:right w:val="none" w:sz="0" w:space="0" w:color="auto"/>
      </w:divBdr>
    </w:div>
    <w:div w:id="1829973485">
      <w:marLeft w:val="0"/>
      <w:marRight w:val="0"/>
      <w:marTop w:val="0"/>
      <w:marBottom w:val="0"/>
      <w:divBdr>
        <w:top w:val="none" w:sz="0" w:space="0" w:color="auto"/>
        <w:left w:val="none" w:sz="0" w:space="0" w:color="auto"/>
        <w:bottom w:val="none" w:sz="0" w:space="0" w:color="auto"/>
        <w:right w:val="none" w:sz="0" w:space="0" w:color="auto"/>
      </w:divBdr>
    </w:div>
    <w:div w:id="1829978066">
      <w:marLeft w:val="0"/>
      <w:marRight w:val="0"/>
      <w:marTop w:val="0"/>
      <w:marBottom w:val="0"/>
      <w:divBdr>
        <w:top w:val="none" w:sz="0" w:space="0" w:color="auto"/>
        <w:left w:val="none" w:sz="0" w:space="0" w:color="auto"/>
        <w:bottom w:val="none" w:sz="0" w:space="0" w:color="auto"/>
        <w:right w:val="none" w:sz="0" w:space="0" w:color="auto"/>
      </w:divBdr>
    </w:div>
    <w:div w:id="1830636487">
      <w:marLeft w:val="0"/>
      <w:marRight w:val="0"/>
      <w:marTop w:val="0"/>
      <w:marBottom w:val="0"/>
      <w:divBdr>
        <w:top w:val="none" w:sz="0" w:space="0" w:color="auto"/>
        <w:left w:val="none" w:sz="0" w:space="0" w:color="auto"/>
        <w:bottom w:val="none" w:sz="0" w:space="0" w:color="auto"/>
        <w:right w:val="none" w:sz="0" w:space="0" w:color="auto"/>
      </w:divBdr>
    </w:div>
    <w:div w:id="1831482755">
      <w:marLeft w:val="0"/>
      <w:marRight w:val="0"/>
      <w:marTop w:val="0"/>
      <w:marBottom w:val="0"/>
      <w:divBdr>
        <w:top w:val="none" w:sz="0" w:space="0" w:color="auto"/>
        <w:left w:val="none" w:sz="0" w:space="0" w:color="auto"/>
        <w:bottom w:val="none" w:sz="0" w:space="0" w:color="auto"/>
        <w:right w:val="none" w:sz="0" w:space="0" w:color="auto"/>
      </w:divBdr>
    </w:div>
    <w:div w:id="1831865648">
      <w:marLeft w:val="0"/>
      <w:marRight w:val="0"/>
      <w:marTop w:val="0"/>
      <w:marBottom w:val="0"/>
      <w:divBdr>
        <w:top w:val="none" w:sz="0" w:space="0" w:color="auto"/>
        <w:left w:val="none" w:sz="0" w:space="0" w:color="auto"/>
        <w:bottom w:val="none" w:sz="0" w:space="0" w:color="auto"/>
        <w:right w:val="none" w:sz="0" w:space="0" w:color="auto"/>
      </w:divBdr>
    </w:div>
    <w:div w:id="1832523226">
      <w:marLeft w:val="0"/>
      <w:marRight w:val="0"/>
      <w:marTop w:val="0"/>
      <w:marBottom w:val="0"/>
      <w:divBdr>
        <w:top w:val="none" w:sz="0" w:space="0" w:color="auto"/>
        <w:left w:val="none" w:sz="0" w:space="0" w:color="auto"/>
        <w:bottom w:val="none" w:sz="0" w:space="0" w:color="auto"/>
        <w:right w:val="none" w:sz="0" w:space="0" w:color="auto"/>
      </w:divBdr>
    </w:div>
    <w:div w:id="1832671346">
      <w:marLeft w:val="0"/>
      <w:marRight w:val="0"/>
      <w:marTop w:val="0"/>
      <w:marBottom w:val="0"/>
      <w:divBdr>
        <w:top w:val="none" w:sz="0" w:space="0" w:color="auto"/>
        <w:left w:val="none" w:sz="0" w:space="0" w:color="auto"/>
        <w:bottom w:val="none" w:sz="0" w:space="0" w:color="auto"/>
        <w:right w:val="none" w:sz="0" w:space="0" w:color="auto"/>
      </w:divBdr>
    </w:div>
    <w:div w:id="1833183947">
      <w:marLeft w:val="0"/>
      <w:marRight w:val="0"/>
      <w:marTop w:val="0"/>
      <w:marBottom w:val="0"/>
      <w:divBdr>
        <w:top w:val="none" w:sz="0" w:space="0" w:color="auto"/>
        <w:left w:val="none" w:sz="0" w:space="0" w:color="auto"/>
        <w:bottom w:val="none" w:sz="0" w:space="0" w:color="auto"/>
        <w:right w:val="none" w:sz="0" w:space="0" w:color="auto"/>
      </w:divBdr>
    </w:div>
    <w:div w:id="1833518790">
      <w:marLeft w:val="0"/>
      <w:marRight w:val="0"/>
      <w:marTop w:val="0"/>
      <w:marBottom w:val="0"/>
      <w:divBdr>
        <w:top w:val="none" w:sz="0" w:space="0" w:color="auto"/>
        <w:left w:val="none" w:sz="0" w:space="0" w:color="auto"/>
        <w:bottom w:val="none" w:sz="0" w:space="0" w:color="auto"/>
        <w:right w:val="none" w:sz="0" w:space="0" w:color="auto"/>
      </w:divBdr>
    </w:div>
    <w:div w:id="1833912163">
      <w:marLeft w:val="0"/>
      <w:marRight w:val="0"/>
      <w:marTop w:val="0"/>
      <w:marBottom w:val="0"/>
      <w:divBdr>
        <w:top w:val="none" w:sz="0" w:space="0" w:color="auto"/>
        <w:left w:val="none" w:sz="0" w:space="0" w:color="auto"/>
        <w:bottom w:val="none" w:sz="0" w:space="0" w:color="auto"/>
        <w:right w:val="none" w:sz="0" w:space="0" w:color="auto"/>
      </w:divBdr>
    </w:div>
    <w:div w:id="1835729771">
      <w:marLeft w:val="0"/>
      <w:marRight w:val="0"/>
      <w:marTop w:val="0"/>
      <w:marBottom w:val="0"/>
      <w:divBdr>
        <w:top w:val="none" w:sz="0" w:space="0" w:color="auto"/>
        <w:left w:val="none" w:sz="0" w:space="0" w:color="auto"/>
        <w:bottom w:val="none" w:sz="0" w:space="0" w:color="auto"/>
        <w:right w:val="none" w:sz="0" w:space="0" w:color="auto"/>
      </w:divBdr>
    </w:div>
    <w:div w:id="1836412431">
      <w:marLeft w:val="0"/>
      <w:marRight w:val="0"/>
      <w:marTop w:val="0"/>
      <w:marBottom w:val="0"/>
      <w:divBdr>
        <w:top w:val="none" w:sz="0" w:space="0" w:color="auto"/>
        <w:left w:val="none" w:sz="0" w:space="0" w:color="auto"/>
        <w:bottom w:val="none" w:sz="0" w:space="0" w:color="auto"/>
        <w:right w:val="none" w:sz="0" w:space="0" w:color="auto"/>
      </w:divBdr>
    </w:div>
    <w:div w:id="1837376065">
      <w:marLeft w:val="0"/>
      <w:marRight w:val="0"/>
      <w:marTop w:val="0"/>
      <w:marBottom w:val="0"/>
      <w:divBdr>
        <w:top w:val="none" w:sz="0" w:space="0" w:color="auto"/>
        <w:left w:val="none" w:sz="0" w:space="0" w:color="auto"/>
        <w:bottom w:val="none" w:sz="0" w:space="0" w:color="auto"/>
        <w:right w:val="none" w:sz="0" w:space="0" w:color="auto"/>
      </w:divBdr>
    </w:div>
    <w:div w:id="1838882108">
      <w:marLeft w:val="0"/>
      <w:marRight w:val="0"/>
      <w:marTop w:val="0"/>
      <w:marBottom w:val="0"/>
      <w:divBdr>
        <w:top w:val="none" w:sz="0" w:space="0" w:color="auto"/>
        <w:left w:val="none" w:sz="0" w:space="0" w:color="auto"/>
        <w:bottom w:val="none" w:sz="0" w:space="0" w:color="auto"/>
        <w:right w:val="none" w:sz="0" w:space="0" w:color="auto"/>
      </w:divBdr>
    </w:div>
    <w:div w:id="1839076925">
      <w:marLeft w:val="0"/>
      <w:marRight w:val="0"/>
      <w:marTop w:val="0"/>
      <w:marBottom w:val="0"/>
      <w:divBdr>
        <w:top w:val="none" w:sz="0" w:space="0" w:color="auto"/>
        <w:left w:val="none" w:sz="0" w:space="0" w:color="auto"/>
        <w:bottom w:val="none" w:sz="0" w:space="0" w:color="auto"/>
        <w:right w:val="none" w:sz="0" w:space="0" w:color="auto"/>
      </w:divBdr>
    </w:div>
    <w:div w:id="1839690519">
      <w:marLeft w:val="0"/>
      <w:marRight w:val="0"/>
      <w:marTop w:val="0"/>
      <w:marBottom w:val="0"/>
      <w:divBdr>
        <w:top w:val="none" w:sz="0" w:space="0" w:color="auto"/>
        <w:left w:val="none" w:sz="0" w:space="0" w:color="auto"/>
        <w:bottom w:val="none" w:sz="0" w:space="0" w:color="auto"/>
        <w:right w:val="none" w:sz="0" w:space="0" w:color="auto"/>
      </w:divBdr>
    </w:div>
    <w:div w:id="1840190552">
      <w:marLeft w:val="0"/>
      <w:marRight w:val="0"/>
      <w:marTop w:val="0"/>
      <w:marBottom w:val="0"/>
      <w:divBdr>
        <w:top w:val="none" w:sz="0" w:space="0" w:color="auto"/>
        <w:left w:val="none" w:sz="0" w:space="0" w:color="auto"/>
        <w:bottom w:val="none" w:sz="0" w:space="0" w:color="auto"/>
        <w:right w:val="none" w:sz="0" w:space="0" w:color="auto"/>
      </w:divBdr>
    </w:div>
    <w:div w:id="1840267408">
      <w:marLeft w:val="0"/>
      <w:marRight w:val="0"/>
      <w:marTop w:val="0"/>
      <w:marBottom w:val="0"/>
      <w:divBdr>
        <w:top w:val="none" w:sz="0" w:space="0" w:color="auto"/>
        <w:left w:val="none" w:sz="0" w:space="0" w:color="auto"/>
        <w:bottom w:val="none" w:sz="0" w:space="0" w:color="auto"/>
        <w:right w:val="none" w:sz="0" w:space="0" w:color="auto"/>
      </w:divBdr>
    </w:div>
    <w:div w:id="1840272154">
      <w:marLeft w:val="0"/>
      <w:marRight w:val="0"/>
      <w:marTop w:val="0"/>
      <w:marBottom w:val="0"/>
      <w:divBdr>
        <w:top w:val="none" w:sz="0" w:space="0" w:color="auto"/>
        <w:left w:val="none" w:sz="0" w:space="0" w:color="auto"/>
        <w:bottom w:val="none" w:sz="0" w:space="0" w:color="auto"/>
        <w:right w:val="none" w:sz="0" w:space="0" w:color="auto"/>
      </w:divBdr>
    </w:div>
    <w:div w:id="1840467335">
      <w:marLeft w:val="0"/>
      <w:marRight w:val="0"/>
      <w:marTop w:val="0"/>
      <w:marBottom w:val="0"/>
      <w:divBdr>
        <w:top w:val="none" w:sz="0" w:space="0" w:color="auto"/>
        <w:left w:val="none" w:sz="0" w:space="0" w:color="auto"/>
        <w:bottom w:val="none" w:sz="0" w:space="0" w:color="auto"/>
        <w:right w:val="none" w:sz="0" w:space="0" w:color="auto"/>
      </w:divBdr>
    </w:div>
    <w:div w:id="1841577087">
      <w:marLeft w:val="0"/>
      <w:marRight w:val="0"/>
      <w:marTop w:val="0"/>
      <w:marBottom w:val="0"/>
      <w:divBdr>
        <w:top w:val="none" w:sz="0" w:space="0" w:color="auto"/>
        <w:left w:val="none" w:sz="0" w:space="0" w:color="auto"/>
        <w:bottom w:val="none" w:sz="0" w:space="0" w:color="auto"/>
        <w:right w:val="none" w:sz="0" w:space="0" w:color="auto"/>
      </w:divBdr>
    </w:div>
    <w:div w:id="1842089167">
      <w:marLeft w:val="0"/>
      <w:marRight w:val="0"/>
      <w:marTop w:val="0"/>
      <w:marBottom w:val="0"/>
      <w:divBdr>
        <w:top w:val="none" w:sz="0" w:space="0" w:color="auto"/>
        <w:left w:val="none" w:sz="0" w:space="0" w:color="auto"/>
        <w:bottom w:val="none" w:sz="0" w:space="0" w:color="auto"/>
        <w:right w:val="none" w:sz="0" w:space="0" w:color="auto"/>
      </w:divBdr>
    </w:div>
    <w:div w:id="1842307819">
      <w:marLeft w:val="0"/>
      <w:marRight w:val="0"/>
      <w:marTop w:val="0"/>
      <w:marBottom w:val="0"/>
      <w:divBdr>
        <w:top w:val="none" w:sz="0" w:space="0" w:color="auto"/>
        <w:left w:val="none" w:sz="0" w:space="0" w:color="auto"/>
        <w:bottom w:val="none" w:sz="0" w:space="0" w:color="auto"/>
        <w:right w:val="none" w:sz="0" w:space="0" w:color="auto"/>
      </w:divBdr>
    </w:div>
    <w:div w:id="1842354756">
      <w:marLeft w:val="0"/>
      <w:marRight w:val="0"/>
      <w:marTop w:val="0"/>
      <w:marBottom w:val="0"/>
      <w:divBdr>
        <w:top w:val="none" w:sz="0" w:space="0" w:color="auto"/>
        <w:left w:val="none" w:sz="0" w:space="0" w:color="auto"/>
        <w:bottom w:val="none" w:sz="0" w:space="0" w:color="auto"/>
        <w:right w:val="none" w:sz="0" w:space="0" w:color="auto"/>
      </w:divBdr>
      <w:divsChild>
        <w:div w:id="994838208">
          <w:marLeft w:val="0"/>
          <w:marRight w:val="0"/>
          <w:marTop w:val="0"/>
          <w:marBottom w:val="0"/>
          <w:divBdr>
            <w:top w:val="none" w:sz="0" w:space="0" w:color="auto"/>
            <w:left w:val="none" w:sz="0" w:space="0" w:color="auto"/>
            <w:bottom w:val="none" w:sz="0" w:space="0" w:color="auto"/>
            <w:right w:val="none" w:sz="0" w:space="0" w:color="auto"/>
          </w:divBdr>
        </w:div>
      </w:divsChild>
    </w:div>
    <w:div w:id="1845052109">
      <w:marLeft w:val="0"/>
      <w:marRight w:val="0"/>
      <w:marTop w:val="0"/>
      <w:marBottom w:val="0"/>
      <w:divBdr>
        <w:top w:val="none" w:sz="0" w:space="0" w:color="auto"/>
        <w:left w:val="none" w:sz="0" w:space="0" w:color="auto"/>
        <w:bottom w:val="none" w:sz="0" w:space="0" w:color="auto"/>
        <w:right w:val="none" w:sz="0" w:space="0" w:color="auto"/>
      </w:divBdr>
    </w:div>
    <w:div w:id="1845589465">
      <w:marLeft w:val="0"/>
      <w:marRight w:val="0"/>
      <w:marTop w:val="0"/>
      <w:marBottom w:val="0"/>
      <w:divBdr>
        <w:top w:val="none" w:sz="0" w:space="0" w:color="auto"/>
        <w:left w:val="none" w:sz="0" w:space="0" w:color="auto"/>
        <w:bottom w:val="none" w:sz="0" w:space="0" w:color="auto"/>
        <w:right w:val="none" w:sz="0" w:space="0" w:color="auto"/>
      </w:divBdr>
    </w:div>
    <w:div w:id="1846431481">
      <w:marLeft w:val="0"/>
      <w:marRight w:val="0"/>
      <w:marTop w:val="0"/>
      <w:marBottom w:val="0"/>
      <w:divBdr>
        <w:top w:val="none" w:sz="0" w:space="0" w:color="auto"/>
        <w:left w:val="none" w:sz="0" w:space="0" w:color="auto"/>
        <w:bottom w:val="none" w:sz="0" w:space="0" w:color="auto"/>
        <w:right w:val="none" w:sz="0" w:space="0" w:color="auto"/>
      </w:divBdr>
    </w:div>
    <w:div w:id="1846893115">
      <w:marLeft w:val="0"/>
      <w:marRight w:val="0"/>
      <w:marTop w:val="0"/>
      <w:marBottom w:val="0"/>
      <w:divBdr>
        <w:top w:val="none" w:sz="0" w:space="0" w:color="auto"/>
        <w:left w:val="none" w:sz="0" w:space="0" w:color="auto"/>
        <w:bottom w:val="none" w:sz="0" w:space="0" w:color="auto"/>
        <w:right w:val="none" w:sz="0" w:space="0" w:color="auto"/>
      </w:divBdr>
    </w:div>
    <w:div w:id="1847600028">
      <w:marLeft w:val="0"/>
      <w:marRight w:val="0"/>
      <w:marTop w:val="0"/>
      <w:marBottom w:val="0"/>
      <w:divBdr>
        <w:top w:val="none" w:sz="0" w:space="0" w:color="auto"/>
        <w:left w:val="none" w:sz="0" w:space="0" w:color="auto"/>
        <w:bottom w:val="none" w:sz="0" w:space="0" w:color="auto"/>
        <w:right w:val="none" w:sz="0" w:space="0" w:color="auto"/>
      </w:divBdr>
    </w:div>
    <w:div w:id="1847790803">
      <w:marLeft w:val="0"/>
      <w:marRight w:val="0"/>
      <w:marTop w:val="0"/>
      <w:marBottom w:val="0"/>
      <w:divBdr>
        <w:top w:val="none" w:sz="0" w:space="0" w:color="auto"/>
        <w:left w:val="none" w:sz="0" w:space="0" w:color="auto"/>
        <w:bottom w:val="none" w:sz="0" w:space="0" w:color="auto"/>
        <w:right w:val="none" w:sz="0" w:space="0" w:color="auto"/>
      </w:divBdr>
    </w:div>
    <w:div w:id="1848324684">
      <w:marLeft w:val="0"/>
      <w:marRight w:val="0"/>
      <w:marTop w:val="0"/>
      <w:marBottom w:val="0"/>
      <w:divBdr>
        <w:top w:val="none" w:sz="0" w:space="0" w:color="auto"/>
        <w:left w:val="none" w:sz="0" w:space="0" w:color="auto"/>
        <w:bottom w:val="none" w:sz="0" w:space="0" w:color="auto"/>
        <w:right w:val="none" w:sz="0" w:space="0" w:color="auto"/>
      </w:divBdr>
    </w:div>
    <w:div w:id="1848402158">
      <w:marLeft w:val="0"/>
      <w:marRight w:val="0"/>
      <w:marTop w:val="0"/>
      <w:marBottom w:val="0"/>
      <w:divBdr>
        <w:top w:val="none" w:sz="0" w:space="0" w:color="auto"/>
        <w:left w:val="none" w:sz="0" w:space="0" w:color="auto"/>
        <w:bottom w:val="none" w:sz="0" w:space="0" w:color="auto"/>
        <w:right w:val="none" w:sz="0" w:space="0" w:color="auto"/>
      </w:divBdr>
    </w:div>
    <w:div w:id="1848447531">
      <w:marLeft w:val="0"/>
      <w:marRight w:val="0"/>
      <w:marTop w:val="0"/>
      <w:marBottom w:val="0"/>
      <w:divBdr>
        <w:top w:val="none" w:sz="0" w:space="0" w:color="auto"/>
        <w:left w:val="none" w:sz="0" w:space="0" w:color="auto"/>
        <w:bottom w:val="none" w:sz="0" w:space="0" w:color="auto"/>
        <w:right w:val="none" w:sz="0" w:space="0" w:color="auto"/>
      </w:divBdr>
    </w:div>
    <w:div w:id="1849442479">
      <w:marLeft w:val="0"/>
      <w:marRight w:val="0"/>
      <w:marTop w:val="0"/>
      <w:marBottom w:val="0"/>
      <w:divBdr>
        <w:top w:val="none" w:sz="0" w:space="0" w:color="auto"/>
        <w:left w:val="none" w:sz="0" w:space="0" w:color="auto"/>
        <w:bottom w:val="none" w:sz="0" w:space="0" w:color="auto"/>
        <w:right w:val="none" w:sz="0" w:space="0" w:color="auto"/>
      </w:divBdr>
    </w:div>
    <w:div w:id="1851485976">
      <w:marLeft w:val="0"/>
      <w:marRight w:val="0"/>
      <w:marTop w:val="0"/>
      <w:marBottom w:val="0"/>
      <w:divBdr>
        <w:top w:val="none" w:sz="0" w:space="0" w:color="auto"/>
        <w:left w:val="none" w:sz="0" w:space="0" w:color="auto"/>
        <w:bottom w:val="none" w:sz="0" w:space="0" w:color="auto"/>
        <w:right w:val="none" w:sz="0" w:space="0" w:color="auto"/>
      </w:divBdr>
    </w:div>
    <w:div w:id="1852330827">
      <w:marLeft w:val="0"/>
      <w:marRight w:val="0"/>
      <w:marTop w:val="0"/>
      <w:marBottom w:val="0"/>
      <w:divBdr>
        <w:top w:val="none" w:sz="0" w:space="0" w:color="auto"/>
        <w:left w:val="none" w:sz="0" w:space="0" w:color="auto"/>
        <w:bottom w:val="none" w:sz="0" w:space="0" w:color="auto"/>
        <w:right w:val="none" w:sz="0" w:space="0" w:color="auto"/>
      </w:divBdr>
    </w:div>
    <w:div w:id="1852917323">
      <w:marLeft w:val="0"/>
      <w:marRight w:val="0"/>
      <w:marTop w:val="0"/>
      <w:marBottom w:val="0"/>
      <w:divBdr>
        <w:top w:val="none" w:sz="0" w:space="0" w:color="auto"/>
        <w:left w:val="none" w:sz="0" w:space="0" w:color="auto"/>
        <w:bottom w:val="none" w:sz="0" w:space="0" w:color="auto"/>
        <w:right w:val="none" w:sz="0" w:space="0" w:color="auto"/>
      </w:divBdr>
    </w:div>
    <w:div w:id="1853451590">
      <w:marLeft w:val="0"/>
      <w:marRight w:val="0"/>
      <w:marTop w:val="0"/>
      <w:marBottom w:val="0"/>
      <w:divBdr>
        <w:top w:val="none" w:sz="0" w:space="0" w:color="auto"/>
        <w:left w:val="none" w:sz="0" w:space="0" w:color="auto"/>
        <w:bottom w:val="none" w:sz="0" w:space="0" w:color="auto"/>
        <w:right w:val="none" w:sz="0" w:space="0" w:color="auto"/>
      </w:divBdr>
    </w:div>
    <w:div w:id="1854145476">
      <w:marLeft w:val="0"/>
      <w:marRight w:val="0"/>
      <w:marTop w:val="0"/>
      <w:marBottom w:val="0"/>
      <w:divBdr>
        <w:top w:val="none" w:sz="0" w:space="0" w:color="auto"/>
        <w:left w:val="none" w:sz="0" w:space="0" w:color="auto"/>
        <w:bottom w:val="none" w:sz="0" w:space="0" w:color="auto"/>
        <w:right w:val="none" w:sz="0" w:space="0" w:color="auto"/>
      </w:divBdr>
    </w:div>
    <w:div w:id="1854372400">
      <w:marLeft w:val="0"/>
      <w:marRight w:val="0"/>
      <w:marTop w:val="0"/>
      <w:marBottom w:val="0"/>
      <w:divBdr>
        <w:top w:val="none" w:sz="0" w:space="0" w:color="auto"/>
        <w:left w:val="none" w:sz="0" w:space="0" w:color="auto"/>
        <w:bottom w:val="none" w:sz="0" w:space="0" w:color="auto"/>
        <w:right w:val="none" w:sz="0" w:space="0" w:color="auto"/>
      </w:divBdr>
    </w:div>
    <w:div w:id="1855920573">
      <w:marLeft w:val="0"/>
      <w:marRight w:val="0"/>
      <w:marTop w:val="0"/>
      <w:marBottom w:val="0"/>
      <w:divBdr>
        <w:top w:val="none" w:sz="0" w:space="0" w:color="auto"/>
        <w:left w:val="none" w:sz="0" w:space="0" w:color="auto"/>
        <w:bottom w:val="none" w:sz="0" w:space="0" w:color="auto"/>
        <w:right w:val="none" w:sz="0" w:space="0" w:color="auto"/>
      </w:divBdr>
    </w:div>
    <w:div w:id="1855921255">
      <w:marLeft w:val="0"/>
      <w:marRight w:val="0"/>
      <w:marTop w:val="0"/>
      <w:marBottom w:val="0"/>
      <w:divBdr>
        <w:top w:val="none" w:sz="0" w:space="0" w:color="auto"/>
        <w:left w:val="none" w:sz="0" w:space="0" w:color="auto"/>
        <w:bottom w:val="none" w:sz="0" w:space="0" w:color="auto"/>
        <w:right w:val="none" w:sz="0" w:space="0" w:color="auto"/>
      </w:divBdr>
    </w:div>
    <w:div w:id="1856841046">
      <w:marLeft w:val="0"/>
      <w:marRight w:val="0"/>
      <w:marTop w:val="0"/>
      <w:marBottom w:val="0"/>
      <w:divBdr>
        <w:top w:val="none" w:sz="0" w:space="0" w:color="auto"/>
        <w:left w:val="none" w:sz="0" w:space="0" w:color="auto"/>
        <w:bottom w:val="none" w:sz="0" w:space="0" w:color="auto"/>
        <w:right w:val="none" w:sz="0" w:space="0" w:color="auto"/>
      </w:divBdr>
      <w:divsChild>
        <w:div w:id="527303800">
          <w:marLeft w:val="0"/>
          <w:marRight w:val="0"/>
          <w:marTop w:val="0"/>
          <w:marBottom w:val="0"/>
          <w:divBdr>
            <w:top w:val="none" w:sz="0" w:space="0" w:color="auto"/>
            <w:left w:val="none" w:sz="0" w:space="0" w:color="auto"/>
            <w:bottom w:val="none" w:sz="0" w:space="0" w:color="auto"/>
            <w:right w:val="none" w:sz="0" w:space="0" w:color="auto"/>
          </w:divBdr>
        </w:div>
      </w:divsChild>
    </w:div>
    <w:div w:id="1857764417">
      <w:marLeft w:val="0"/>
      <w:marRight w:val="0"/>
      <w:marTop w:val="0"/>
      <w:marBottom w:val="0"/>
      <w:divBdr>
        <w:top w:val="none" w:sz="0" w:space="0" w:color="auto"/>
        <w:left w:val="none" w:sz="0" w:space="0" w:color="auto"/>
        <w:bottom w:val="none" w:sz="0" w:space="0" w:color="auto"/>
        <w:right w:val="none" w:sz="0" w:space="0" w:color="auto"/>
      </w:divBdr>
    </w:div>
    <w:div w:id="1858808778">
      <w:marLeft w:val="0"/>
      <w:marRight w:val="0"/>
      <w:marTop w:val="0"/>
      <w:marBottom w:val="0"/>
      <w:divBdr>
        <w:top w:val="none" w:sz="0" w:space="0" w:color="auto"/>
        <w:left w:val="none" w:sz="0" w:space="0" w:color="auto"/>
        <w:bottom w:val="none" w:sz="0" w:space="0" w:color="auto"/>
        <w:right w:val="none" w:sz="0" w:space="0" w:color="auto"/>
      </w:divBdr>
    </w:div>
    <w:div w:id="1858957391">
      <w:marLeft w:val="0"/>
      <w:marRight w:val="0"/>
      <w:marTop w:val="0"/>
      <w:marBottom w:val="0"/>
      <w:divBdr>
        <w:top w:val="none" w:sz="0" w:space="0" w:color="auto"/>
        <w:left w:val="none" w:sz="0" w:space="0" w:color="auto"/>
        <w:bottom w:val="none" w:sz="0" w:space="0" w:color="auto"/>
        <w:right w:val="none" w:sz="0" w:space="0" w:color="auto"/>
      </w:divBdr>
    </w:div>
    <w:div w:id="1859656010">
      <w:marLeft w:val="0"/>
      <w:marRight w:val="0"/>
      <w:marTop w:val="0"/>
      <w:marBottom w:val="0"/>
      <w:divBdr>
        <w:top w:val="none" w:sz="0" w:space="0" w:color="auto"/>
        <w:left w:val="none" w:sz="0" w:space="0" w:color="auto"/>
        <w:bottom w:val="none" w:sz="0" w:space="0" w:color="auto"/>
        <w:right w:val="none" w:sz="0" w:space="0" w:color="auto"/>
      </w:divBdr>
    </w:div>
    <w:div w:id="1860117556">
      <w:marLeft w:val="0"/>
      <w:marRight w:val="0"/>
      <w:marTop w:val="0"/>
      <w:marBottom w:val="0"/>
      <w:divBdr>
        <w:top w:val="none" w:sz="0" w:space="0" w:color="auto"/>
        <w:left w:val="none" w:sz="0" w:space="0" w:color="auto"/>
        <w:bottom w:val="none" w:sz="0" w:space="0" w:color="auto"/>
        <w:right w:val="none" w:sz="0" w:space="0" w:color="auto"/>
      </w:divBdr>
    </w:div>
    <w:div w:id="1861166239">
      <w:marLeft w:val="0"/>
      <w:marRight w:val="0"/>
      <w:marTop w:val="0"/>
      <w:marBottom w:val="0"/>
      <w:divBdr>
        <w:top w:val="none" w:sz="0" w:space="0" w:color="auto"/>
        <w:left w:val="none" w:sz="0" w:space="0" w:color="auto"/>
        <w:bottom w:val="none" w:sz="0" w:space="0" w:color="auto"/>
        <w:right w:val="none" w:sz="0" w:space="0" w:color="auto"/>
      </w:divBdr>
    </w:div>
    <w:div w:id="1861551708">
      <w:marLeft w:val="0"/>
      <w:marRight w:val="0"/>
      <w:marTop w:val="0"/>
      <w:marBottom w:val="0"/>
      <w:divBdr>
        <w:top w:val="none" w:sz="0" w:space="0" w:color="auto"/>
        <w:left w:val="none" w:sz="0" w:space="0" w:color="auto"/>
        <w:bottom w:val="none" w:sz="0" w:space="0" w:color="auto"/>
        <w:right w:val="none" w:sz="0" w:space="0" w:color="auto"/>
      </w:divBdr>
    </w:div>
    <w:div w:id="1862157067">
      <w:marLeft w:val="0"/>
      <w:marRight w:val="0"/>
      <w:marTop w:val="0"/>
      <w:marBottom w:val="0"/>
      <w:divBdr>
        <w:top w:val="none" w:sz="0" w:space="0" w:color="auto"/>
        <w:left w:val="none" w:sz="0" w:space="0" w:color="auto"/>
        <w:bottom w:val="none" w:sz="0" w:space="0" w:color="auto"/>
        <w:right w:val="none" w:sz="0" w:space="0" w:color="auto"/>
      </w:divBdr>
    </w:div>
    <w:div w:id="1863125888">
      <w:marLeft w:val="0"/>
      <w:marRight w:val="0"/>
      <w:marTop w:val="0"/>
      <w:marBottom w:val="0"/>
      <w:divBdr>
        <w:top w:val="none" w:sz="0" w:space="0" w:color="auto"/>
        <w:left w:val="none" w:sz="0" w:space="0" w:color="auto"/>
        <w:bottom w:val="none" w:sz="0" w:space="0" w:color="auto"/>
        <w:right w:val="none" w:sz="0" w:space="0" w:color="auto"/>
      </w:divBdr>
    </w:div>
    <w:div w:id="1863320564">
      <w:marLeft w:val="0"/>
      <w:marRight w:val="0"/>
      <w:marTop w:val="0"/>
      <w:marBottom w:val="0"/>
      <w:divBdr>
        <w:top w:val="none" w:sz="0" w:space="0" w:color="auto"/>
        <w:left w:val="none" w:sz="0" w:space="0" w:color="auto"/>
        <w:bottom w:val="none" w:sz="0" w:space="0" w:color="auto"/>
        <w:right w:val="none" w:sz="0" w:space="0" w:color="auto"/>
      </w:divBdr>
    </w:div>
    <w:div w:id="1864132256">
      <w:marLeft w:val="0"/>
      <w:marRight w:val="0"/>
      <w:marTop w:val="0"/>
      <w:marBottom w:val="0"/>
      <w:divBdr>
        <w:top w:val="none" w:sz="0" w:space="0" w:color="auto"/>
        <w:left w:val="none" w:sz="0" w:space="0" w:color="auto"/>
        <w:bottom w:val="none" w:sz="0" w:space="0" w:color="auto"/>
        <w:right w:val="none" w:sz="0" w:space="0" w:color="auto"/>
      </w:divBdr>
    </w:div>
    <w:div w:id="1865051821">
      <w:marLeft w:val="0"/>
      <w:marRight w:val="0"/>
      <w:marTop w:val="0"/>
      <w:marBottom w:val="0"/>
      <w:divBdr>
        <w:top w:val="none" w:sz="0" w:space="0" w:color="auto"/>
        <w:left w:val="none" w:sz="0" w:space="0" w:color="auto"/>
        <w:bottom w:val="none" w:sz="0" w:space="0" w:color="auto"/>
        <w:right w:val="none" w:sz="0" w:space="0" w:color="auto"/>
      </w:divBdr>
    </w:div>
    <w:div w:id="1865752034">
      <w:marLeft w:val="0"/>
      <w:marRight w:val="0"/>
      <w:marTop w:val="0"/>
      <w:marBottom w:val="0"/>
      <w:divBdr>
        <w:top w:val="none" w:sz="0" w:space="0" w:color="auto"/>
        <w:left w:val="none" w:sz="0" w:space="0" w:color="auto"/>
        <w:bottom w:val="none" w:sz="0" w:space="0" w:color="auto"/>
        <w:right w:val="none" w:sz="0" w:space="0" w:color="auto"/>
      </w:divBdr>
    </w:div>
    <w:div w:id="1865897476">
      <w:marLeft w:val="0"/>
      <w:marRight w:val="0"/>
      <w:marTop w:val="0"/>
      <w:marBottom w:val="0"/>
      <w:divBdr>
        <w:top w:val="none" w:sz="0" w:space="0" w:color="auto"/>
        <w:left w:val="none" w:sz="0" w:space="0" w:color="auto"/>
        <w:bottom w:val="none" w:sz="0" w:space="0" w:color="auto"/>
        <w:right w:val="none" w:sz="0" w:space="0" w:color="auto"/>
      </w:divBdr>
    </w:div>
    <w:div w:id="1867206849">
      <w:marLeft w:val="0"/>
      <w:marRight w:val="0"/>
      <w:marTop w:val="0"/>
      <w:marBottom w:val="0"/>
      <w:divBdr>
        <w:top w:val="none" w:sz="0" w:space="0" w:color="auto"/>
        <w:left w:val="none" w:sz="0" w:space="0" w:color="auto"/>
        <w:bottom w:val="none" w:sz="0" w:space="0" w:color="auto"/>
        <w:right w:val="none" w:sz="0" w:space="0" w:color="auto"/>
      </w:divBdr>
    </w:div>
    <w:div w:id="1867593798">
      <w:marLeft w:val="0"/>
      <w:marRight w:val="0"/>
      <w:marTop w:val="0"/>
      <w:marBottom w:val="0"/>
      <w:divBdr>
        <w:top w:val="none" w:sz="0" w:space="0" w:color="auto"/>
        <w:left w:val="none" w:sz="0" w:space="0" w:color="auto"/>
        <w:bottom w:val="none" w:sz="0" w:space="0" w:color="auto"/>
        <w:right w:val="none" w:sz="0" w:space="0" w:color="auto"/>
      </w:divBdr>
    </w:div>
    <w:div w:id="1867793687">
      <w:marLeft w:val="0"/>
      <w:marRight w:val="0"/>
      <w:marTop w:val="0"/>
      <w:marBottom w:val="0"/>
      <w:divBdr>
        <w:top w:val="none" w:sz="0" w:space="0" w:color="auto"/>
        <w:left w:val="none" w:sz="0" w:space="0" w:color="auto"/>
        <w:bottom w:val="none" w:sz="0" w:space="0" w:color="auto"/>
        <w:right w:val="none" w:sz="0" w:space="0" w:color="auto"/>
      </w:divBdr>
    </w:div>
    <w:div w:id="1869023053">
      <w:marLeft w:val="0"/>
      <w:marRight w:val="0"/>
      <w:marTop w:val="0"/>
      <w:marBottom w:val="0"/>
      <w:divBdr>
        <w:top w:val="none" w:sz="0" w:space="0" w:color="auto"/>
        <w:left w:val="none" w:sz="0" w:space="0" w:color="auto"/>
        <w:bottom w:val="none" w:sz="0" w:space="0" w:color="auto"/>
        <w:right w:val="none" w:sz="0" w:space="0" w:color="auto"/>
      </w:divBdr>
    </w:div>
    <w:div w:id="1869025647">
      <w:marLeft w:val="0"/>
      <w:marRight w:val="0"/>
      <w:marTop w:val="0"/>
      <w:marBottom w:val="0"/>
      <w:divBdr>
        <w:top w:val="none" w:sz="0" w:space="0" w:color="auto"/>
        <w:left w:val="none" w:sz="0" w:space="0" w:color="auto"/>
        <w:bottom w:val="none" w:sz="0" w:space="0" w:color="auto"/>
        <w:right w:val="none" w:sz="0" w:space="0" w:color="auto"/>
      </w:divBdr>
    </w:div>
    <w:div w:id="1869483078">
      <w:marLeft w:val="0"/>
      <w:marRight w:val="0"/>
      <w:marTop w:val="0"/>
      <w:marBottom w:val="0"/>
      <w:divBdr>
        <w:top w:val="none" w:sz="0" w:space="0" w:color="auto"/>
        <w:left w:val="none" w:sz="0" w:space="0" w:color="auto"/>
        <w:bottom w:val="none" w:sz="0" w:space="0" w:color="auto"/>
        <w:right w:val="none" w:sz="0" w:space="0" w:color="auto"/>
      </w:divBdr>
    </w:div>
    <w:div w:id="1870024656">
      <w:marLeft w:val="0"/>
      <w:marRight w:val="0"/>
      <w:marTop w:val="0"/>
      <w:marBottom w:val="0"/>
      <w:divBdr>
        <w:top w:val="none" w:sz="0" w:space="0" w:color="auto"/>
        <w:left w:val="none" w:sz="0" w:space="0" w:color="auto"/>
        <w:bottom w:val="none" w:sz="0" w:space="0" w:color="auto"/>
        <w:right w:val="none" w:sz="0" w:space="0" w:color="auto"/>
      </w:divBdr>
    </w:div>
    <w:div w:id="1870338309">
      <w:marLeft w:val="0"/>
      <w:marRight w:val="0"/>
      <w:marTop w:val="0"/>
      <w:marBottom w:val="0"/>
      <w:divBdr>
        <w:top w:val="none" w:sz="0" w:space="0" w:color="auto"/>
        <w:left w:val="none" w:sz="0" w:space="0" w:color="auto"/>
        <w:bottom w:val="none" w:sz="0" w:space="0" w:color="auto"/>
        <w:right w:val="none" w:sz="0" w:space="0" w:color="auto"/>
      </w:divBdr>
    </w:div>
    <w:div w:id="1870604774">
      <w:marLeft w:val="0"/>
      <w:marRight w:val="0"/>
      <w:marTop w:val="0"/>
      <w:marBottom w:val="0"/>
      <w:divBdr>
        <w:top w:val="none" w:sz="0" w:space="0" w:color="auto"/>
        <w:left w:val="none" w:sz="0" w:space="0" w:color="auto"/>
        <w:bottom w:val="none" w:sz="0" w:space="0" w:color="auto"/>
        <w:right w:val="none" w:sz="0" w:space="0" w:color="auto"/>
      </w:divBdr>
    </w:div>
    <w:div w:id="1870869830">
      <w:marLeft w:val="0"/>
      <w:marRight w:val="0"/>
      <w:marTop w:val="0"/>
      <w:marBottom w:val="0"/>
      <w:divBdr>
        <w:top w:val="none" w:sz="0" w:space="0" w:color="auto"/>
        <w:left w:val="none" w:sz="0" w:space="0" w:color="auto"/>
        <w:bottom w:val="none" w:sz="0" w:space="0" w:color="auto"/>
        <w:right w:val="none" w:sz="0" w:space="0" w:color="auto"/>
      </w:divBdr>
    </w:div>
    <w:div w:id="1872183863">
      <w:marLeft w:val="0"/>
      <w:marRight w:val="0"/>
      <w:marTop w:val="0"/>
      <w:marBottom w:val="0"/>
      <w:divBdr>
        <w:top w:val="none" w:sz="0" w:space="0" w:color="auto"/>
        <w:left w:val="none" w:sz="0" w:space="0" w:color="auto"/>
        <w:bottom w:val="none" w:sz="0" w:space="0" w:color="auto"/>
        <w:right w:val="none" w:sz="0" w:space="0" w:color="auto"/>
      </w:divBdr>
    </w:div>
    <w:div w:id="1872764039">
      <w:marLeft w:val="0"/>
      <w:marRight w:val="0"/>
      <w:marTop w:val="0"/>
      <w:marBottom w:val="0"/>
      <w:divBdr>
        <w:top w:val="none" w:sz="0" w:space="0" w:color="auto"/>
        <w:left w:val="none" w:sz="0" w:space="0" w:color="auto"/>
        <w:bottom w:val="none" w:sz="0" w:space="0" w:color="auto"/>
        <w:right w:val="none" w:sz="0" w:space="0" w:color="auto"/>
      </w:divBdr>
    </w:div>
    <w:div w:id="1873110472">
      <w:marLeft w:val="0"/>
      <w:marRight w:val="0"/>
      <w:marTop w:val="0"/>
      <w:marBottom w:val="120"/>
      <w:divBdr>
        <w:top w:val="none" w:sz="0" w:space="0" w:color="auto"/>
        <w:left w:val="none" w:sz="0" w:space="0" w:color="auto"/>
        <w:bottom w:val="none" w:sz="0" w:space="0" w:color="auto"/>
        <w:right w:val="none" w:sz="0" w:space="0" w:color="auto"/>
      </w:divBdr>
    </w:div>
    <w:div w:id="1873609986">
      <w:marLeft w:val="0"/>
      <w:marRight w:val="0"/>
      <w:marTop w:val="0"/>
      <w:marBottom w:val="0"/>
      <w:divBdr>
        <w:top w:val="none" w:sz="0" w:space="0" w:color="auto"/>
        <w:left w:val="none" w:sz="0" w:space="0" w:color="auto"/>
        <w:bottom w:val="none" w:sz="0" w:space="0" w:color="auto"/>
        <w:right w:val="none" w:sz="0" w:space="0" w:color="auto"/>
      </w:divBdr>
      <w:divsChild>
        <w:div w:id="1045374911">
          <w:marLeft w:val="0"/>
          <w:marRight w:val="0"/>
          <w:marTop w:val="0"/>
          <w:marBottom w:val="0"/>
          <w:divBdr>
            <w:top w:val="none" w:sz="0" w:space="0" w:color="auto"/>
            <w:left w:val="none" w:sz="0" w:space="0" w:color="auto"/>
            <w:bottom w:val="none" w:sz="0" w:space="0" w:color="auto"/>
            <w:right w:val="none" w:sz="0" w:space="0" w:color="auto"/>
          </w:divBdr>
        </w:div>
      </w:divsChild>
    </w:div>
    <w:div w:id="1874226866">
      <w:marLeft w:val="0"/>
      <w:marRight w:val="0"/>
      <w:marTop w:val="0"/>
      <w:marBottom w:val="0"/>
      <w:divBdr>
        <w:top w:val="none" w:sz="0" w:space="0" w:color="auto"/>
        <w:left w:val="none" w:sz="0" w:space="0" w:color="auto"/>
        <w:bottom w:val="none" w:sz="0" w:space="0" w:color="auto"/>
        <w:right w:val="none" w:sz="0" w:space="0" w:color="auto"/>
      </w:divBdr>
    </w:div>
    <w:div w:id="1874229263">
      <w:marLeft w:val="0"/>
      <w:marRight w:val="0"/>
      <w:marTop w:val="0"/>
      <w:marBottom w:val="0"/>
      <w:divBdr>
        <w:top w:val="none" w:sz="0" w:space="0" w:color="auto"/>
        <w:left w:val="none" w:sz="0" w:space="0" w:color="auto"/>
        <w:bottom w:val="none" w:sz="0" w:space="0" w:color="auto"/>
        <w:right w:val="none" w:sz="0" w:space="0" w:color="auto"/>
      </w:divBdr>
    </w:div>
    <w:div w:id="1874998173">
      <w:marLeft w:val="0"/>
      <w:marRight w:val="0"/>
      <w:marTop w:val="0"/>
      <w:marBottom w:val="0"/>
      <w:divBdr>
        <w:top w:val="none" w:sz="0" w:space="0" w:color="auto"/>
        <w:left w:val="none" w:sz="0" w:space="0" w:color="auto"/>
        <w:bottom w:val="none" w:sz="0" w:space="0" w:color="auto"/>
        <w:right w:val="none" w:sz="0" w:space="0" w:color="auto"/>
      </w:divBdr>
      <w:divsChild>
        <w:div w:id="2111733451">
          <w:marLeft w:val="0"/>
          <w:marRight w:val="0"/>
          <w:marTop w:val="0"/>
          <w:marBottom w:val="0"/>
          <w:divBdr>
            <w:top w:val="none" w:sz="0" w:space="0" w:color="auto"/>
            <w:left w:val="none" w:sz="0" w:space="0" w:color="auto"/>
            <w:bottom w:val="none" w:sz="0" w:space="0" w:color="auto"/>
            <w:right w:val="none" w:sz="0" w:space="0" w:color="auto"/>
          </w:divBdr>
        </w:div>
      </w:divsChild>
    </w:div>
    <w:div w:id="1875730385">
      <w:marLeft w:val="0"/>
      <w:marRight w:val="0"/>
      <w:marTop w:val="100"/>
      <w:marBottom w:val="100"/>
      <w:divBdr>
        <w:top w:val="none" w:sz="0" w:space="0" w:color="auto"/>
        <w:left w:val="none" w:sz="0" w:space="0" w:color="auto"/>
        <w:bottom w:val="none" w:sz="0" w:space="0" w:color="auto"/>
        <w:right w:val="none" w:sz="0" w:space="0" w:color="auto"/>
      </w:divBdr>
      <w:divsChild>
        <w:div w:id="2129397273">
          <w:marLeft w:val="0"/>
          <w:marRight w:val="0"/>
          <w:marTop w:val="0"/>
          <w:marBottom w:val="0"/>
          <w:divBdr>
            <w:top w:val="none" w:sz="0" w:space="0" w:color="auto"/>
            <w:left w:val="none" w:sz="0" w:space="0" w:color="auto"/>
            <w:bottom w:val="none" w:sz="0" w:space="0" w:color="auto"/>
            <w:right w:val="none" w:sz="0" w:space="0" w:color="auto"/>
          </w:divBdr>
        </w:div>
        <w:div w:id="127549048">
          <w:marLeft w:val="0"/>
          <w:marRight w:val="0"/>
          <w:marTop w:val="0"/>
          <w:marBottom w:val="0"/>
          <w:divBdr>
            <w:top w:val="none" w:sz="0" w:space="0" w:color="auto"/>
            <w:left w:val="none" w:sz="0" w:space="0" w:color="auto"/>
            <w:bottom w:val="none" w:sz="0" w:space="0" w:color="auto"/>
            <w:right w:val="none" w:sz="0" w:space="0" w:color="auto"/>
          </w:divBdr>
        </w:div>
      </w:divsChild>
    </w:div>
    <w:div w:id="1875995323">
      <w:marLeft w:val="0"/>
      <w:marRight w:val="0"/>
      <w:marTop w:val="0"/>
      <w:marBottom w:val="0"/>
      <w:divBdr>
        <w:top w:val="none" w:sz="0" w:space="0" w:color="auto"/>
        <w:left w:val="none" w:sz="0" w:space="0" w:color="auto"/>
        <w:bottom w:val="none" w:sz="0" w:space="0" w:color="auto"/>
        <w:right w:val="none" w:sz="0" w:space="0" w:color="auto"/>
      </w:divBdr>
    </w:div>
    <w:div w:id="1876041496">
      <w:marLeft w:val="0"/>
      <w:marRight w:val="0"/>
      <w:marTop w:val="0"/>
      <w:marBottom w:val="0"/>
      <w:divBdr>
        <w:top w:val="none" w:sz="0" w:space="0" w:color="auto"/>
        <w:left w:val="none" w:sz="0" w:space="0" w:color="auto"/>
        <w:bottom w:val="none" w:sz="0" w:space="0" w:color="auto"/>
        <w:right w:val="none" w:sz="0" w:space="0" w:color="auto"/>
      </w:divBdr>
    </w:div>
    <w:div w:id="1878422933">
      <w:marLeft w:val="0"/>
      <w:marRight w:val="0"/>
      <w:marTop w:val="0"/>
      <w:marBottom w:val="0"/>
      <w:divBdr>
        <w:top w:val="none" w:sz="0" w:space="0" w:color="auto"/>
        <w:left w:val="none" w:sz="0" w:space="0" w:color="auto"/>
        <w:bottom w:val="none" w:sz="0" w:space="0" w:color="auto"/>
        <w:right w:val="none" w:sz="0" w:space="0" w:color="auto"/>
      </w:divBdr>
    </w:div>
    <w:div w:id="1879469420">
      <w:marLeft w:val="0"/>
      <w:marRight w:val="0"/>
      <w:marTop w:val="0"/>
      <w:marBottom w:val="0"/>
      <w:divBdr>
        <w:top w:val="none" w:sz="0" w:space="0" w:color="auto"/>
        <w:left w:val="none" w:sz="0" w:space="0" w:color="auto"/>
        <w:bottom w:val="none" w:sz="0" w:space="0" w:color="auto"/>
        <w:right w:val="none" w:sz="0" w:space="0" w:color="auto"/>
      </w:divBdr>
    </w:div>
    <w:div w:id="1881626819">
      <w:marLeft w:val="0"/>
      <w:marRight w:val="0"/>
      <w:marTop w:val="0"/>
      <w:marBottom w:val="0"/>
      <w:divBdr>
        <w:top w:val="none" w:sz="0" w:space="0" w:color="auto"/>
        <w:left w:val="none" w:sz="0" w:space="0" w:color="auto"/>
        <w:bottom w:val="none" w:sz="0" w:space="0" w:color="auto"/>
        <w:right w:val="none" w:sz="0" w:space="0" w:color="auto"/>
      </w:divBdr>
    </w:div>
    <w:div w:id="1881824086">
      <w:marLeft w:val="0"/>
      <w:marRight w:val="0"/>
      <w:marTop w:val="0"/>
      <w:marBottom w:val="0"/>
      <w:divBdr>
        <w:top w:val="none" w:sz="0" w:space="0" w:color="auto"/>
        <w:left w:val="none" w:sz="0" w:space="0" w:color="auto"/>
        <w:bottom w:val="none" w:sz="0" w:space="0" w:color="auto"/>
        <w:right w:val="none" w:sz="0" w:space="0" w:color="auto"/>
      </w:divBdr>
    </w:div>
    <w:div w:id="1882011714">
      <w:marLeft w:val="0"/>
      <w:marRight w:val="0"/>
      <w:marTop w:val="0"/>
      <w:marBottom w:val="0"/>
      <w:divBdr>
        <w:top w:val="none" w:sz="0" w:space="0" w:color="auto"/>
        <w:left w:val="none" w:sz="0" w:space="0" w:color="auto"/>
        <w:bottom w:val="none" w:sz="0" w:space="0" w:color="auto"/>
        <w:right w:val="none" w:sz="0" w:space="0" w:color="auto"/>
      </w:divBdr>
    </w:div>
    <w:div w:id="1882085980">
      <w:marLeft w:val="0"/>
      <w:marRight w:val="0"/>
      <w:marTop w:val="0"/>
      <w:marBottom w:val="0"/>
      <w:divBdr>
        <w:top w:val="none" w:sz="0" w:space="0" w:color="auto"/>
        <w:left w:val="none" w:sz="0" w:space="0" w:color="auto"/>
        <w:bottom w:val="none" w:sz="0" w:space="0" w:color="auto"/>
        <w:right w:val="none" w:sz="0" w:space="0" w:color="auto"/>
      </w:divBdr>
    </w:div>
    <w:div w:id="1882940000">
      <w:marLeft w:val="0"/>
      <w:marRight w:val="0"/>
      <w:marTop w:val="0"/>
      <w:marBottom w:val="0"/>
      <w:divBdr>
        <w:top w:val="none" w:sz="0" w:space="0" w:color="auto"/>
        <w:left w:val="none" w:sz="0" w:space="0" w:color="auto"/>
        <w:bottom w:val="none" w:sz="0" w:space="0" w:color="auto"/>
        <w:right w:val="none" w:sz="0" w:space="0" w:color="auto"/>
      </w:divBdr>
    </w:div>
    <w:div w:id="1883131046">
      <w:marLeft w:val="0"/>
      <w:marRight w:val="0"/>
      <w:marTop w:val="0"/>
      <w:marBottom w:val="0"/>
      <w:divBdr>
        <w:top w:val="none" w:sz="0" w:space="0" w:color="auto"/>
        <w:left w:val="none" w:sz="0" w:space="0" w:color="auto"/>
        <w:bottom w:val="none" w:sz="0" w:space="0" w:color="auto"/>
        <w:right w:val="none" w:sz="0" w:space="0" w:color="auto"/>
      </w:divBdr>
    </w:div>
    <w:div w:id="1885095600">
      <w:marLeft w:val="0"/>
      <w:marRight w:val="0"/>
      <w:marTop w:val="0"/>
      <w:marBottom w:val="0"/>
      <w:divBdr>
        <w:top w:val="none" w:sz="0" w:space="0" w:color="auto"/>
        <w:left w:val="none" w:sz="0" w:space="0" w:color="auto"/>
        <w:bottom w:val="none" w:sz="0" w:space="0" w:color="auto"/>
        <w:right w:val="none" w:sz="0" w:space="0" w:color="auto"/>
      </w:divBdr>
      <w:divsChild>
        <w:div w:id="254173824">
          <w:marLeft w:val="0"/>
          <w:marRight w:val="0"/>
          <w:marTop w:val="0"/>
          <w:marBottom w:val="0"/>
          <w:divBdr>
            <w:top w:val="none" w:sz="0" w:space="0" w:color="auto"/>
            <w:left w:val="none" w:sz="0" w:space="0" w:color="auto"/>
            <w:bottom w:val="none" w:sz="0" w:space="0" w:color="auto"/>
            <w:right w:val="none" w:sz="0" w:space="0" w:color="auto"/>
          </w:divBdr>
        </w:div>
      </w:divsChild>
    </w:div>
    <w:div w:id="1888100189">
      <w:marLeft w:val="0"/>
      <w:marRight w:val="0"/>
      <w:marTop w:val="0"/>
      <w:marBottom w:val="0"/>
      <w:divBdr>
        <w:top w:val="none" w:sz="0" w:space="0" w:color="auto"/>
        <w:left w:val="none" w:sz="0" w:space="0" w:color="auto"/>
        <w:bottom w:val="none" w:sz="0" w:space="0" w:color="auto"/>
        <w:right w:val="none" w:sz="0" w:space="0" w:color="auto"/>
      </w:divBdr>
    </w:div>
    <w:div w:id="1888372454">
      <w:marLeft w:val="0"/>
      <w:marRight w:val="0"/>
      <w:marTop w:val="0"/>
      <w:marBottom w:val="0"/>
      <w:divBdr>
        <w:top w:val="none" w:sz="0" w:space="0" w:color="auto"/>
        <w:left w:val="none" w:sz="0" w:space="0" w:color="auto"/>
        <w:bottom w:val="none" w:sz="0" w:space="0" w:color="auto"/>
        <w:right w:val="none" w:sz="0" w:space="0" w:color="auto"/>
      </w:divBdr>
    </w:div>
    <w:div w:id="1888759109">
      <w:marLeft w:val="0"/>
      <w:marRight w:val="0"/>
      <w:marTop w:val="0"/>
      <w:marBottom w:val="0"/>
      <w:divBdr>
        <w:top w:val="none" w:sz="0" w:space="0" w:color="auto"/>
        <w:left w:val="none" w:sz="0" w:space="0" w:color="auto"/>
        <w:bottom w:val="none" w:sz="0" w:space="0" w:color="auto"/>
        <w:right w:val="none" w:sz="0" w:space="0" w:color="auto"/>
      </w:divBdr>
    </w:div>
    <w:div w:id="1889029485">
      <w:marLeft w:val="0"/>
      <w:marRight w:val="0"/>
      <w:marTop w:val="0"/>
      <w:marBottom w:val="0"/>
      <w:divBdr>
        <w:top w:val="none" w:sz="0" w:space="0" w:color="auto"/>
        <w:left w:val="none" w:sz="0" w:space="0" w:color="auto"/>
        <w:bottom w:val="none" w:sz="0" w:space="0" w:color="auto"/>
        <w:right w:val="none" w:sz="0" w:space="0" w:color="auto"/>
      </w:divBdr>
    </w:div>
    <w:div w:id="1889565577">
      <w:marLeft w:val="0"/>
      <w:marRight w:val="0"/>
      <w:marTop w:val="0"/>
      <w:marBottom w:val="0"/>
      <w:divBdr>
        <w:top w:val="none" w:sz="0" w:space="0" w:color="auto"/>
        <w:left w:val="none" w:sz="0" w:space="0" w:color="auto"/>
        <w:bottom w:val="none" w:sz="0" w:space="0" w:color="auto"/>
        <w:right w:val="none" w:sz="0" w:space="0" w:color="auto"/>
      </w:divBdr>
    </w:div>
    <w:div w:id="1889610249">
      <w:marLeft w:val="0"/>
      <w:marRight w:val="0"/>
      <w:marTop w:val="0"/>
      <w:marBottom w:val="0"/>
      <w:divBdr>
        <w:top w:val="none" w:sz="0" w:space="0" w:color="auto"/>
        <w:left w:val="none" w:sz="0" w:space="0" w:color="auto"/>
        <w:bottom w:val="none" w:sz="0" w:space="0" w:color="auto"/>
        <w:right w:val="none" w:sz="0" w:space="0" w:color="auto"/>
      </w:divBdr>
    </w:div>
    <w:div w:id="1891306325">
      <w:marLeft w:val="0"/>
      <w:marRight w:val="0"/>
      <w:marTop w:val="0"/>
      <w:marBottom w:val="0"/>
      <w:divBdr>
        <w:top w:val="none" w:sz="0" w:space="0" w:color="auto"/>
        <w:left w:val="none" w:sz="0" w:space="0" w:color="auto"/>
        <w:bottom w:val="none" w:sz="0" w:space="0" w:color="auto"/>
        <w:right w:val="none" w:sz="0" w:space="0" w:color="auto"/>
      </w:divBdr>
      <w:divsChild>
        <w:div w:id="75249664">
          <w:marLeft w:val="0"/>
          <w:marRight w:val="0"/>
          <w:marTop w:val="0"/>
          <w:marBottom w:val="0"/>
          <w:divBdr>
            <w:top w:val="none" w:sz="0" w:space="0" w:color="auto"/>
            <w:left w:val="none" w:sz="0" w:space="0" w:color="auto"/>
            <w:bottom w:val="none" w:sz="0" w:space="0" w:color="auto"/>
            <w:right w:val="none" w:sz="0" w:space="0" w:color="auto"/>
          </w:divBdr>
        </w:div>
      </w:divsChild>
    </w:div>
    <w:div w:id="1891335844">
      <w:marLeft w:val="0"/>
      <w:marRight w:val="0"/>
      <w:marTop w:val="0"/>
      <w:marBottom w:val="0"/>
      <w:divBdr>
        <w:top w:val="none" w:sz="0" w:space="0" w:color="auto"/>
        <w:left w:val="none" w:sz="0" w:space="0" w:color="auto"/>
        <w:bottom w:val="none" w:sz="0" w:space="0" w:color="auto"/>
        <w:right w:val="none" w:sz="0" w:space="0" w:color="auto"/>
      </w:divBdr>
    </w:div>
    <w:div w:id="1893342392">
      <w:marLeft w:val="0"/>
      <w:marRight w:val="0"/>
      <w:marTop w:val="0"/>
      <w:marBottom w:val="0"/>
      <w:divBdr>
        <w:top w:val="none" w:sz="0" w:space="0" w:color="auto"/>
        <w:left w:val="none" w:sz="0" w:space="0" w:color="auto"/>
        <w:bottom w:val="none" w:sz="0" w:space="0" w:color="auto"/>
        <w:right w:val="none" w:sz="0" w:space="0" w:color="auto"/>
      </w:divBdr>
    </w:div>
    <w:div w:id="1893424087">
      <w:marLeft w:val="0"/>
      <w:marRight w:val="0"/>
      <w:marTop w:val="0"/>
      <w:marBottom w:val="0"/>
      <w:divBdr>
        <w:top w:val="none" w:sz="0" w:space="0" w:color="auto"/>
        <w:left w:val="none" w:sz="0" w:space="0" w:color="auto"/>
        <w:bottom w:val="none" w:sz="0" w:space="0" w:color="auto"/>
        <w:right w:val="none" w:sz="0" w:space="0" w:color="auto"/>
      </w:divBdr>
    </w:div>
    <w:div w:id="1893468663">
      <w:marLeft w:val="0"/>
      <w:marRight w:val="0"/>
      <w:marTop w:val="0"/>
      <w:marBottom w:val="0"/>
      <w:divBdr>
        <w:top w:val="none" w:sz="0" w:space="0" w:color="auto"/>
        <w:left w:val="none" w:sz="0" w:space="0" w:color="auto"/>
        <w:bottom w:val="none" w:sz="0" w:space="0" w:color="auto"/>
        <w:right w:val="none" w:sz="0" w:space="0" w:color="auto"/>
      </w:divBdr>
    </w:div>
    <w:div w:id="1893543711">
      <w:marLeft w:val="0"/>
      <w:marRight w:val="0"/>
      <w:marTop w:val="0"/>
      <w:marBottom w:val="0"/>
      <w:divBdr>
        <w:top w:val="none" w:sz="0" w:space="0" w:color="auto"/>
        <w:left w:val="none" w:sz="0" w:space="0" w:color="auto"/>
        <w:bottom w:val="none" w:sz="0" w:space="0" w:color="auto"/>
        <w:right w:val="none" w:sz="0" w:space="0" w:color="auto"/>
      </w:divBdr>
    </w:div>
    <w:div w:id="1894265628">
      <w:marLeft w:val="0"/>
      <w:marRight w:val="0"/>
      <w:marTop w:val="0"/>
      <w:marBottom w:val="0"/>
      <w:divBdr>
        <w:top w:val="none" w:sz="0" w:space="0" w:color="auto"/>
        <w:left w:val="none" w:sz="0" w:space="0" w:color="auto"/>
        <w:bottom w:val="none" w:sz="0" w:space="0" w:color="auto"/>
        <w:right w:val="none" w:sz="0" w:space="0" w:color="auto"/>
      </w:divBdr>
    </w:div>
    <w:div w:id="1895117593">
      <w:marLeft w:val="0"/>
      <w:marRight w:val="0"/>
      <w:marTop w:val="0"/>
      <w:marBottom w:val="0"/>
      <w:divBdr>
        <w:top w:val="none" w:sz="0" w:space="0" w:color="auto"/>
        <w:left w:val="none" w:sz="0" w:space="0" w:color="auto"/>
        <w:bottom w:val="none" w:sz="0" w:space="0" w:color="auto"/>
        <w:right w:val="none" w:sz="0" w:space="0" w:color="auto"/>
      </w:divBdr>
    </w:div>
    <w:div w:id="1895119831">
      <w:marLeft w:val="0"/>
      <w:marRight w:val="0"/>
      <w:marTop w:val="0"/>
      <w:marBottom w:val="0"/>
      <w:divBdr>
        <w:top w:val="none" w:sz="0" w:space="0" w:color="auto"/>
        <w:left w:val="none" w:sz="0" w:space="0" w:color="auto"/>
        <w:bottom w:val="none" w:sz="0" w:space="0" w:color="auto"/>
        <w:right w:val="none" w:sz="0" w:space="0" w:color="auto"/>
      </w:divBdr>
    </w:div>
    <w:div w:id="1895464697">
      <w:marLeft w:val="0"/>
      <w:marRight w:val="0"/>
      <w:marTop w:val="0"/>
      <w:marBottom w:val="0"/>
      <w:divBdr>
        <w:top w:val="none" w:sz="0" w:space="0" w:color="auto"/>
        <w:left w:val="none" w:sz="0" w:space="0" w:color="auto"/>
        <w:bottom w:val="none" w:sz="0" w:space="0" w:color="auto"/>
        <w:right w:val="none" w:sz="0" w:space="0" w:color="auto"/>
      </w:divBdr>
    </w:div>
    <w:div w:id="1896235842">
      <w:marLeft w:val="0"/>
      <w:marRight w:val="0"/>
      <w:marTop w:val="0"/>
      <w:marBottom w:val="0"/>
      <w:divBdr>
        <w:top w:val="none" w:sz="0" w:space="0" w:color="auto"/>
        <w:left w:val="none" w:sz="0" w:space="0" w:color="auto"/>
        <w:bottom w:val="none" w:sz="0" w:space="0" w:color="auto"/>
        <w:right w:val="none" w:sz="0" w:space="0" w:color="auto"/>
      </w:divBdr>
    </w:div>
    <w:div w:id="1897424053">
      <w:marLeft w:val="0"/>
      <w:marRight w:val="0"/>
      <w:marTop w:val="100"/>
      <w:marBottom w:val="100"/>
      <w:divBdr>
        <w:top w:val="none" w:sz="0" w:space="0" w:color="auto"/>
        <w:left w:val="none" w:sz="0" w:space="0" w:color="auto"/>
        <w:bottom w:val="none" w:sz="0" w:space="0" w:color="auto"/>
        <w:right w:val="none" w:sz="0" w:space="0" w:color="auto"/>
      </w:divBdr>
      <w:divsChild>
        <w:div w:id="958149041">
          <w:marLeft w:val="0"/>
          <w:marRight w:val="0"/>
          <w:marTop w:val="0"/>
          <w:marBottom w:val="0"/>
          <w:divBdr>
            <w:top w:val="none" w:sz="0" w:space="0" w:color="auto"/>
            <w:left w:val="none" w:sz="0" w:space="0" w:color="auto"/>
            <w:bottom w:val="none" w:sz="0" w:space="0" w:color="auto"/>
            <w:right w:val="none" w:sz="0" w:space="0" w:color="auto"/>
          </w:divBdr>
        </w:div>
        <w:div w:id="1620797351">
          <w:marLeft w:val="0"/>
          <w:marRight w:val="0"/>
          <w:marTop w:val="0"/>
          <w:marBottom w:val="0"/>
          <w:divBdr>
            <w:top w:val="none" w:sz="0" w:space="0" w:color="auto"/>
            <w:left w:val="none" w:sz="0" w:space="0" w:color="auto"/>
            <w:bottom w:val="none" w:sz="0" w:space="0" w:color="auto"/>
            <w:right w:val="none" w:sz="0" w:space="0" w:color="auto"/>
          </w:divBdr>
        </w:div>
        <w:div w:id="617295011">
          <w:marLeft w:val="0"/>
          <w:marRight w:val="0"/>
          <w:marTop w:val="0"/>
          <w:marBottom w:val="0"/>
          <w:divBdr>
            <w:top w:val="none" w:sz="0" w:space="0" w:color="auto"/>
            <w:left w:val="none" w:sz="0" w:space="0" w:color="auto"/>
            <w:bottom w:val="none" w:sz="0" w:space="0" w:color="auto"/>
            <w:right w:val="none" w:sz="0" w:space="0" w:color="auto"/>
          </w:divBdr>
        </w:div>
        <w:div w:id="2058816328">
          <w:marLeft w:val="0"/>
          <w:marRight w:val="0"/>
          <w:marTop w:val="0"/>
          <w:marBottom w:val="0"/>
          <w:divBdr>
            <w:top w:val="none" w:sz="0" w:space="0" w:color="auto"/>
            <w:left w:val="none" w:sz="0" w:space="0" w:color="auto"/>
            <w:bottom w:val="none" w:sz="0" w:space="0" w:color="auto"/>
            <w:right w:val="none" w:sz="0" w:space="0" w:color="auto"/>
          </w:divBdr>
        </w:div>
        <w:div w:id="1316373502">
          <w:marLeft w:val="0"/>
          <w:marRight w:val="0"/>
          <w:marTop w:val="0"/>
          <w:marBottom w:val="0"/>
          <w:divBdr>
            <w:top w:val="none" w:sz="0" w:space="0" w:color="auto"/>
            <w:left w:val="none" w:sz="0" w:space="0" w:color="auto"/>
            <w:bottom w:val="none" w:sz="0" w:space="0" w:color="auto"/>
            <w:right w:val="none" w:sz="0" w:space="0" w:color="auto"/>
          </w:divBdr>
        </w:div>
        <w:div w:id="107051062">
          <w:marLeft w:val="0"/>
          <w:marRight w:val="0"/>
          <w:marTop w:val="0"/>
          <w:marBottom w:val="0"/>
          <w:divBdr>
            <w:top w:val="none" w:sz="0" w:space="0" w:color="auto"/>
            <w:left w:val="none" w:sz="0" w:space="0" w:color="auto"/>
            <w:bottom w:val="none" w:sz="0" w:space="0" w:color="auto"/>
            <w:right w:val="none" w:sz="0" w:space="0" w:color="auto"/>
          </w:divBdr>
        </w:div>
        <w:div w:id="1621766071">
          <w:marLeft w:val="0"/>
          <w:marRight w:val="0"/>
          <w:marTop w:val="0"/>
          <w:marBottom w:val="0"/>
          <w:divBdr>
            <w:top w:val="none" w:sz="0" w:space="0" w:color="auto"/>
            <w:left w:val="none" w:sz="0" w:space="0" w:color="auto"/>
            <w:bottom w:val="none" w:sz="0" w:space="0" w:color="auto"/>
            <w:right w:val="none" w:sz="0" w:space="0" w:color="auto"/>
          </w:divBdr>
        </w:div>
        <w:div w:id="370032085">
          <w:marLeft w:val="0"/>
          <w:marRight w:val="0"/>
          <w:marTop w:val="0"/>
          <w:marBottom w:val="0"/>
          <w:divBdr>
            <w:top w:val="none" w:sz="0" w:space="0" w:color="auto"/>
            <w:left w:val="none" w:sz="0" w:space="0" w:color="auto"/>
            <w:bottom w:val="none" w:sz="0" w:space="0" w:color="auto"/>
            <w:right w:val="none" w:sz="0" w:space="0" w:color="auto"/>
          </w:divBdr>
        </w:div>
        <w:div w:id="925919588">
          <w:marLeft w:val="0"/>
          <w:marRight w:val="0"/>
          <w:marTop w:val="0"/>
          <w:marBottom w:val="0"/>
          <w:divBdr>
            <w:top w:val="none" w:sz="0" w:space="0" w:color="auto"/>
            <w:left w:val="none" w:sz="0" w:space="0" w:color="auto"/>
            <w:bottom w:val="none" w:sz="0" w:space="0" w:color="auto"/>
            <w:right w:val="none" w:sz="0" w:space="0" w:color="auto"/>
          </w:divBdr>
        </w:div>
        <w:div w:id="1100376767">
          <w:marLeft w:val="0"/>
          <w:marRight w:val="0"/>
          <w:marTop w:val="0"/>
          <w:marBottom w:val="0"/>
          <w:divBdr>
            <w:top w:val="none" w:sz="0" w:space="0" w:color="auto"/>
            <w:left w:val="none" w:sz="0" w:space="0" w:color="auto"/>
            <w:bottom w:val="none" w:sz="0" w:space="0" w:color="auto"/>
            <w:right w:val="none" w:sz="0" w:space="0" w:color="auto"/>
          </w:divBdr>
        </w:div>
        <w:div w:id="986589997">
          <w:marLeft w:val="0"/>
          <w:marRight w:val="0"/>
          <w:marTop w:val="0"/>
          <w:marBottom w:val="0"/>
          <w:divBdr>
            <w:top w:val="none" w:sz="0" w:space="0" w:color="auto"/>
            <w:left w:val="none" w:sz="0" w:space="0" w:color="auto"/>
            <w:bottom w:val="none" w:sz="0" w:space="0" w:color="auto"/>
            <w:right w:val="none" w:sz="0" w:space="0" w:color="auto"/>
          </w:divBdr>
        </w:div>
        <w:div w:id="2049605061">
          <w:marLeft w:val="0"/>
          <w:marRight w:val="0"/>
          <w:marTop w:val="0"/>
          <w:marBottom w:val="0"/>
          <w:divBdr>
            <w:top w:val="none" w:sz="0" w:space="0" w:color="auto"/>
            <w:left w:val="none" w:sz="0" w:space="0" w:color="auto"/>
            <w:bottom w:val="none" w:sz="0" w:space="0" w:color="auto"/>
            <w:right w:val="none" w:sz="0" w:space="0" w:color="auto"/>
          </w:divBdr>
        </w:div>
        <w:div w:id="459224706">
          <w:marLeft w:val="0"/>
          <w:marRight w:val="0"/>
          <w:marTop w:val="0"/>
          <w:marBottom w:val="0"/>
          <w:divBdr>
            <w:top w:val="none" w:sz="0" w:space="0" w:color="auto"/>
            <w:left w:val="none" w:sz="0" w:space="0" w:color="auto"/>
            <w:bottom w:val="none" w:sz="0" w:space="0" w:color="auto"/>
            <w:right w:val="none" w:sz="0" w:space="0" w:color="auto"/>
          </w:divBdr>
        </w:div>
        <w:div w:id="875124718">
          <w:marLeft w:val="0"/>
          <w:marRight w:val="0"/>
          <w:marTop w:val="0"/>
          <w:marBottom w:val="0"/>
          <w:divBdr>
            <w:top w:val="none" w:sz="0" w:space="0" w:color="auto"/>
            <w:left w:val="none" w:sz="0" w:space="0" w:color="auto"/>
            <w:bottom w:val="none" w:sz="0" w:space="0" w:color="auto"/>
            <w:right w:val="none" w:sz="0" w:space="0" w:color="auto"/>
          </w:divBdr>
        </w:div>
        <w:div w:id="1573390939">
          <w:marLeft w:val="0"/>
          <w:marRight w:val="0"/>
          <w:marTop w:val="0"/>
          <w:marBottom w:val="0"/>
          <w:divBdr>
            <w:top w:val="none" w:sz="0" w:space="0" w:color="auto"/>
            <w:left w:val="none" w:sz="0" w:space="0" w:color="auto"/>
            <w:bottom w:val="none" w:sz="0" w:space="0" w:color="auto"/>
            <w:right w:val="none" w:sz="0" w:space="0" w:color="auto"/>
          </w:divBdr>
        </w:div>
        <w:div w:id="1390300976">
          <w:marLeft w:val="0"/>
          <w:marRight w:val="0"/>
          <w:marTop w:val="0"/>
          <w:marBottom w:val="0"/>
          <w:divBdr>
            <w:top w:val="none" w:sz="0" w:space="0" w:color="auto"/>
            <w:left w:val="none" w:sz="0" w:space="0" w:color="auto"/>
            <w:bottom w:val="none" w:sz="0" w:space="0" w:color="auto"/>
            <w:right w:val="none" w:sz="0" w:space="0" w:color="auto"/>
          </w:divBdr>
        </w:div>
        <w:div w:id="265121012">
          <w:marLeft w:val="0"/>
          <w:marRight w:val="0"/>
          <w:marTop w:val="0"/>
          <w:marBottom w:val="0"/>
          <w:divBdr>
            <w:top w:val="none" w:sz="0" w:space="0" w:color="auto"/>
            <w:left w:val="none" w:sz="0" w:space="0" w:color="auto"/>
            <w:bottom w:val="none" w:sz="0" w:space="0" w:color="auto"/>
            <w:right w:val="none" w:sz="0" w:space="0" w:color="auto"/>
          </w:divBdr>
        </w:div>
        <w:div w:id="1902054963">
          <w:marLeft w:val="0"/>
          <w:marRight w:val="0"/>
          <w:marTop w:val="0"/>
          <w:marBottom w:val="0"/>
          <w:divBdr>
            <w:top w:val="none" w:sz="0" w:space="0" w:color="auto"/>
            <w:left w:val="none" w:sz="0" w:space="0" w:color="auto"/>
            <w:bottom w:val="none" w:sz="0" w:space="0" w:color="auto"/>
            <w:right w:val="none" w:sz="0" w:space="0" w:color="auto"/>
          </w:divBdr>
        </w:div>
      </w:divsChild>
    </w:div>
    <w:div w:id="1897818356">
      <w:marLeft w:val="0"/>
      <w:marRight w:val="0"/>
      <w:marTop w:val="0"/>
      <w:marBottom w:val="0"/>
      <w:divBdr>
        <w:top w:val="none" w:sz="0" w:space="0" w:color="auto"/>
        <w:left w:val="none" w:sz="0" w:space="0" w:color="auto"/>
        <w:bottom w:val="none" w:sz="0" w:space="0" w:color="auto"/>
        <w:right w:val="none" w:sz="0" w:space="0" w:color="auto"/>
      </w:divBdr>
    </w:div>
    <w:div w:id="1899632964">
      <w:marLeft w:val="0"/>
      <w:marRight w:val="0"/>
      <w:marTop w:val="0"/>
      <w:marBottom w:val="0"/>
      <w:divBdr>
        <w:top w:val="none" w:sz="0" w:space="0" w:color="auto"/>
        <w:left w:val="none" w:sz="0" w:space="0" w:color="auto"/>
        <w:bottom w:val="none" w:sz="0" w:space="0" w:color="auto"/>
        <w:right w:val="none" w:sz="0" w:space="0" w:color="auto"/>
      </w:divBdr>
    </w:div>
    <w:div w:id="1899779388">
      <w:marLeft w:val="0"/>
      <w:marRight w:val="0"/>
      <w:marTop w:val="0"/>
      <w:marBottom w:val="0"/>
      <w:divBdr>
        <w:top w:val="none" w:sz="0" w:space="0" w:color="auto"/>
        <w:left w:val="none" w:sz="0" w:space="0" w:color="auto"/>
        <w:bottom w:val="none" w:sz="0" w:space="0" w:color="auto"/>
        <w:right w:val="none" w:sz="0" w:space="0" w:color="auto"/>
      </w:divBdr>
    </w:div>
    <w:div w:id="1902400172">
      <w:marLeft w:val="0"/>
      <w:marRight w:val="0"/>
      <w:marTop w:val="0"/>
      <w:marBottom w:val="0"/>
      <w:divBdr>
        <w:top w:val="none" w:sz="0" w:space="0" w:color="auto"/>
        <w:left w:val="none" w:sz="0" w:space="0" w:color="auto"/>
        <w:bottom w:val="none" w:sz="0" w:space="0" w:color="auto"/>
        <w:right w:val="none" w:sz="0" w:space="0" w:color="auto"/>
      </w:divBdr>
    </w:div>
    <w:div w:id="1902403803">
      <w:marLeft w:val="0"/>
      <w:marRight w:val="0"/>
      <w:marTop w:val="0"/>
      <w:marBottom w:val="0"/>
      <w:divBdr>
        <w:top w:val="none" w:sz="0" w:space="0" w:color="auto"/>
        <w:left w:val="none" w:sz="0" w:space="0" w:color="auto"/>
        <w:bottom w:val="none" w:sz="0" w:space="0" w:color="auto"/>
        <w:right w:val="none" w:sz="0" w:space="0" w:color="auto"/>
      </w:divBdr>
    </w:div>
    <w:div w:id="1902473141">
      <w:marLeft w:val="0"/>
      <w:marRight w:val="0"/>
      <w:marTop w:val="0"/>
      <w:marBottom w:val="0"/>
      <w:divBdr>
        <w:top w:val="none" w:sz="0" w:space="0" w:color="auto"/>
        <w:left w:val="none" w:sz="0" w:space="0" w:color="auto"/>
        <w:bottom w:val="none" w:sz="0" w:space="0" w:color="auto"/>
        <w:right w:val="none" w:sz="0" w:space="0" w:color="auto"/>
      </w:divBdr>
    </w:div>
    <w:div w:id="1902518487">
      <w:marLeft w:val="0"/>
      <w:marRight w:val="0"/>
      <w:marTop w:val="0"/>
      <w:marBottom w:val="0"/>
      <w:divBdr>
        <w:top w:val="none" w:sz="0" w:space="0" w:color="auto"/>
        <w:left w:val="none" w:sz="0" w:space="0" w:color="auto"/>
        <w:bottom w:val="none" w:sz="0" w:space="0" w:color="auto"/>
        <w:right w:val="none" w:sz="0" w:space="0" w:color="auto"/>
      </w:divBdr>
    </w:div>
    <w:div w:id="1902935118">
      <w:marLeft w:val="0"/>
      <w:marRight w:val="0"/>
      <w:marTop w:val="0"/>
      <w:marBottom w:val="0"/>
      <w:divBdr>
        <w:top w:val="none" w:sz="0" w:space="0" w:color="auto"/>
        <w:left w:val="none" w:sz="0" w:space="0" w:color="auto"/>
        <w:bottom w:val="none" w:sz="0" w:space="0" w:color="auto"/>
        <w:right w:val="none" w:sz="0" w:space="0" w:color="auto"/>
      </w:divBdr>
    </w:div>
    <w:div w:id="1903442311">
      <w:marLeft w:val="0"/>
      <w:marRight w:val="0"/>
      <w:marTop w:val="0"/>
      <w:marBottom w:val="0"/>
      <w:divBdr>
        <w:top w:val="none" w:sz="0" w:space="0" w:color="auto"/>
        <w:left w:val="none" w:sz="0" w:space="0" w:color="auto"/>
        <w:bottom w:val="none" w:sz="0" w:space="0" w:color="auto"/>
        <w:right w:val="none" w:sz="0" w:space="0" w:color="auto"/>
      </w:divBdr>
    </w:div>
    <w:div w:id="1904217921">
      <w:marLeft w:val="0"/>
      <w:marRight w:val="0"/>
      <w:marTop w:val="0"/>
      <w:marBottom w:val="0"/>
      <w:divBdr>
        <w:top w:val="none" w:sz="0" w:space="0" w:color="auto"/>
        <w:left w:val="none" w:sz="0" w:space="0" w:color="auto"/>
        <w:bottom w:val="none" w:sz="0" w:space="0" w:color="auto"/>
        <w:right w:val="none" w:sz="0" w:space="0" w:color="auto"/>
      </w:divBdr>
    </w:div>
    <w:div w:id="1906992363">
      <w:marLeft w:val="0"/>
      <w:marRight w:val="0"/>
      <w:marTop w:val="100"/>
      <w:marBottom w:val="100"/>
      <w:divBdr>
        <w:top w:val="none" w:sz="0" w:space="0" w:color="auto"/>
        <w:left w:val="none" w:sz="0" w:space="0" w:color="auto"/>
        <w:bottom w:val="none" w:sz="0" w:space="0" w:color="auto"/>
        <w:right w:val="none" w:sz="0" w:space="0" w:color="auto"/>
      </w:divBdr>
      <w:divsChild>
        <w:div w:id="581571355">
          <w:marLeft w:val="0"/>
          <w:marRight w:val="0"/>
          <w:marTop w:val="0"/>
          <w:marBottom w:val="0"/>
          <w:divBdr>
            <w:top w:val="none" w:sz="0" w:space="0" w:color="auto"/>
            <w:left w:val="none" w:sz="0" w:space="0" w:color="auto"/>
            <w:bottom w:val="none" w:sz="0" w:space="0" w:color="auto"/>
            <w:right w:val="none" w:sz="0" w:space="0" w:color="auto"/>
          </w:divBdr>
        </w:div>
        <w:div w:id="1954242518">
          <w:marLeft w:val="0"/>
          <w:marRight w:val="0"/>
          <w:marTop w:val="0"/>
          <w:marBottom w:val="0"/>
          <w:divBdr>
            <w:top w:val="none" w:sz="0" w:space="0" w:color="auto"/>
            <w:left w:val="none" w:sz="0" w:space="0" w:color="auto"/>
            <w:bottom w:val="none" w:sz="0" w:space="0" w:color="auto"/>
            <w:right w:val="none" w:sz="0" w:space="0" w:color="auto"/>
          </w:divBdr>
        </w:div>
        <w:div w:id="978995038">
          <w:marLeft w:val="0"/>
          <w:marRight w:val="0"/>
          <w:marTop w:val="0"/>
          <w:marBottom w:val="0"/>
          <w:divBdr>
            <w:top w:val="none" w:sz="0" w:space="0" w:color="auto"/>
            <w:left w:val="none" w:sz="0" w:space="0" w:color="auto"/>
            <w:bottom w:val="none" w:sz="0" w:space="0" w:color="auto"/>
            <w:right w:val="none" w:sz="0" w:space="0" w:color="auto"/>
          </w:divBdr>
        </w:div>
        <w:div w:id="1867983669">
          <w:marLeft w:val="0"/>
          <w:marRight w:val="0"/>
          <w:marTop w:val="0"/>
          <w:marBottom w:val="0"/>
          <w:divBdr>
            <w:top w:val="none" w:sz="0" w:space="0" w:color="auto"/>
            <w:left w:val="none" w:sz="0" w:space="0" w:color="auto"/>
            <w:bottom w:val="none" w:sz="0" w:space="0" w:color="auto"/>
            <w:right w:val="none" w:sz="0" w:space="0" w:color="auto"/>
          </w:divBdr>
        </w:div>
        <w:div w:id="578565932">
          <w:marLeft w:val="0"/>
          <w:marRight w:val="0"/>
          <w:marTop w:val="0"/>
          <w:marBottom w:val="0"/>
          <w:divBdr>
            <w:top w:val="none" w:sz="0" w:space="0" w:color="auto"/>
            <w:left w:val="none" w:sz="0" w:space="0" w:color="auto"/>
            <w:bottom w:val="none" w:sz="0" w:space="0" w:color="auto"/>
            <w:right w:val="none" w:sz="0" w:space="0" w:color="auto"/>
          </w:divBdr>
        </w:div>
      </w:divsChild>
    </w:div>
    <w:div w:id="1907108890">
      <w:marLeft w:val="0"/>
      <w:marRight w:val="0"/>
      <w:marTop w:val="0"/>
      <w:marBottom w:val="0"/>
      <w:divBdr>
        <w:top w:val="none" w:sz="0" w:space="0" w:color="auto"/>
        <w:left w:val="none" w:sz="0" w:space="0" w:color="auto"/>
        <w:bottom w:val="none" w:sz="0" w:space="0" w:color="auto"/>
        <w:right w:val="none" w:sz="0" w:space="0" w:color="auto"/>
      </w:divBdr>
    </w:div>
    <w:div w:id="1907186933">
      <w:marLeft w:val="0"/>
      <w:marRight w:val="0"/>
      <w:marTop w:val="0"/>
      <w:marBottom w:val="0"/>
      <w:divBdr>
        <w:top w:val="none" w:sz="0" w:space="0" w:color="auto"/>
        <w:left w:val="none" w:sz="0" w:space="0" w:color="auto"/>
        <w:bottom w:val="none" w:sz="0" w:space="0" w:color="auto"/>
        <w:right w:val="none" w:sz="0" w:space="0" w:color="auto"/>
      </w:divBdr>
    </w:div>
    <w:div w:id="1908148999">
      <w:marLeft w:val="0"/>
      <w:marRight w:val="0"/>
      <w:marTop w:val="0"/>
      <w:marBottom w:val="0"/>
      <w:divBdr>
        <w:top w:val="none" w:sz="0" w:space="0" w:color="auto"/>
        <w:left w:val="none" w:sz="0" w:space="0" w:color="auto"/>
        <w:bottom w:val="none" w:sz="0" w:space="0" w:color="auto"/>
        <w:right w:val="none" w:sz="0" w:space="0" w:color="auto"/>
      </w:divBdr>
    </w:div>
    <w:div w:id="1908756716">
      <w:marLeft w:val="0"/>
      <w:marRight w:val="0"/>
      <w:marTop w:val="0"/>
      <w:marBottom w:val="0"/>
      <w:divBdr>
        <w:top w:val="none" w:sz="0" w:space="0" w:color="auto"/>
        <w:left w:val="none" w:sz="0" w:space="0" w:color="auto"/>
        <w:bottom w:val="none" w:sz="0" w:space="0" w:color="auto"/>
        <w:right w:val="none" w:sz="0" w:space="0" w:color="auto"/>
      </w:divBdr>
    </w:div>
    <w:div w:id="1910725878">
      <w:marLeft w:val="0"/>
      <w:marRight w:val="0"/>
      <w:marTop w:val="0"/>
      <w:marBottom w:val="0"/>
      <w:divBdr>
        <w:top w:val="none" w:sz="0" w:space="0" w:color="auto"/>
        <w:left w:val="none" w:sz="0" w:space="0" w:color="auto"/>
        <w:bottom w:val="none" w:sz="0" w:space="0" w:color="auto"/>
        <w:right w:val="none" w:sz="0" w:space="0" w:color="auto"/>
      </w:divBdr>
    </w:div>
    <w:div w:id="1911228298">
      <w:marLeft w:val="0"/>
      <w:marRight w:val="0"/>
      <w:marTop w:val="0"/>
      <w:marBottom w:val="0"/>
      <w:divBdr>
        <w:top w:val="none" w:sz="0" w:space="0" w:color="auto"/>
        <w:left w:val="none" w:sz="0" w:space="0" w:color="auto"/>
        <w:bottom w:val="none" w:sz="0" w:space="0" w:color="auto"/>
        <w:right w:val="none" w:sz="0" w:space="0" w:color="auto"/>
      </w:divBdr>
    </w:div>
    <w:div w:id="1912419734">
      <w:marLeft w:val="0"/>
      <w:marRight w:val="0"/>
      <w:marTop w:val="0"/>
      <w:marBottom w:val="0"/>
      <w:divBdr>
        <w:top w:val="none" w:sz="0" w:space="0" w:color="auto"/>
        <w:left w:val="none" w:sz="0" w:space="0" w:color="auto"/>
        <w:bottom w:val="none" w:sz="0" w:space="0" w:color="auto"/>
        <w:right w:val="none" w:sz="0" w:space="0" w:color="auto"/>
      </w:divBdr>
    </w:div>
    <w:div w:id="1912423117">
      <w:marLeft w:val="0"/>
      <w:marRight w:val="0"/>
      <w:marTop w:val="60"/>
      <w:marBottom w:val="0"/>
      <w:divBdr>
        <w:top w:val="none" w:sz="0" w:space="0" w:color="auto"/>
        <w:left w:val="none" w:sz="0" w:space="0" w:color="auto"/>
        <w:bottom w:val="none" w:sz="0" w:space="0" w:color="auto"/>
        <w:right w:val="none" w:sz="0" w:space="0" w:color="auto"/>
      </w:divBdr>
    </w:div>
    <w:div w:id="1915504424">
      <w:marLeft w:val="0"/>
      <w:marRight w:val="0"/>
      <w:marTop w:val="0"/>
      <w:marBottom w:val="0"/>
      <w:divBdr>
        <w:top w:val="none" w:sz="0" w:space="0" w:color="auto"/>
        <w:left w:val="none" w:sz="0" w:space="0" w:color="auto"/>
        <w:bottom w:val="none" w:sz="0" w:space="0" w:color="auto"/>
        <w:right w:val="none" w:sz="0" w:space="0" w:color="auto"/>
      </w:divBdr>
    </w:div>
    <w:div w:id="1916624326">
      <w:marLeft w:val="0"/>
      <w:marRight w:val="0"/>
      <w:marTop w:val="100"/>
      <w:marBottom w:val="100"/>
      <w:divBdr>
        <w:top w:val="none" w:sz="0" w:space="0" w:color="auto"/>
        <w:left w:val="none" w:sz="0" w:space="0" w:color="auto"/>
        <w:bottom w:val="none" w:sz="0" w:space="0" w:color="auto"/>
        <w:right w:val="none" w:sz="0" w:space="0" w:color="auto"/>
      </w:divBdr>
    </w:div>
    <w:div w:id="1917783521">
      <w:marLeft w:val="0"/>
      <w:marRight w:val="0"/>
      <w:marTop w:val="0"/>
      <w:marBottom w:val="0"/>
      <w:divBdr>
        <w:top w:val="none" w:sz="0" w:space="0" w:color="auto"/>
        <w:left w:val="none" w:sz="0" w:space="0" w:color="auto"/>
        <w:bottom w:val="none" w:sz="0" w:space="0" w:color="auto"/>
        <w:right w:val="none" w:sz="0" w:space="0" w:color="auto"/>
      </w:divBdr>
    </w:div>
    <w:div w:id="1919363111">
      <w:marLeft w:val="0"/>
      <w:marRight w:val="0"/>
      <w:marTop w:val="0"/>
      <w:marBottom w:val="0"/>
      <w:divBdr>
        <w:top w:val="none" w:sz="0" w:space="0" w:color="auto"/>
        <w:left w:val="none" w:sz="0" w:space="0" w:color="auto"/>
        <w:bottom w:val="none" w:sz="0" w:space="0" w:color="auto"/>
        <w:right w:val="none" w:sz="0" w:space="0" w:color="auto"/>
      </w:divBdr>
    </w:div>
    <w:div w:id="1919558741">
      <w:marLeft w:val="0"/>
      <w:marRight w:val="0"/>
      <w:marTop w:val="0"/>
      <w:marBottom w:val="0"/>
      <w:divBdr>
        <w:top w:val="none" w:sz="0" w:space="0" w:color="auto"/>
        <w:left w:val="none" w:sz="0" w:space="0" w:color="auto"/>
        <w:bottom w:val="none" w:sz="0" w:space="0" w:color="auto"/>
        <w:right w:val="none" w:sz="0" w:space="0" w:color="auto"/>
      </w:divBdr>
    </w:div>
    <w:div w:id="1920485062">
      <w:marLeft w:val="0"/>
      <w:marRight w:val="0"/>
      <w:marTop w:val="0"/>
      <w:marBottom w:val="0"/>
      <w:divBdr>
        <w:top w:val="none" w:sz="0" w:space="0" w:color="auto"/>
        <w:left w:val="none" w:sz="0" w:space="0" w:color="auto"/>
        <w:bottom w:val="none" w:sz="0" w:space="0" w:color="auto"/>
        <w:right w:val="none" w:sz="0" w:space="0" w:color="auto"/>
      </w:divBdr>
    </w:div>
    <w:div w:id="1922595865">
      <w:marLeft w:val="0"/>
      <w:marRight w:val="0"/>
      <w:marTop w:val="0"/>
      <w:marBottom w:val="0"/>
      <w:divBdr>
        <w:top w:val="none" w:sz="0" w:space="0" w:color="auto"/>
        <w:left w:val="none" w:sz="0" w:space="0" w:color="auto"/>
        <w:bottom w:val="none" w:sz="0" w:space="0" w:color="auto"/>
        <w:right w:val="none" w:sz="0" w:space="0" w:color="auto"/>
      </w:divBdr>
    </w:div>
    <w:div w:id="1922837052">
      <w:marLeft w:val="0"/>
      <w:marRight w:val="0"/>
      <w:marTop w:val="0"/>
      <w:marBottom w:val="0"/>
      <w:divBdr>
        <w:top w:val="none" w:sz="0" w:space="0" w:color="auto"/>
        <w:left w:val="none" w:sz="0" w:space="0" w:color="auto"/>
        <w:bottom w:val="none" w:sz="0" w:space="0" w:color="auto"/>
        <w:right w:val="none" w:sz="0" w:space="0" w:color="auto"/>
      </w:divBdr>
    </w:div>
    <w:div w:id="1922912230">
      <w:marLeft w:val="0"/>
      <w:marRight w:val="0"/>
      <w:marTop w:val="0"/>
      <w:marBottom w:val="0"/>
      <w:divBdr>
        <w:top w:val="none" w:sz="0" w:space="0" w:color="auto"/>
        <w:left w:val="none" w:sz="0" w:space="0" w:color="auto"/>
        <w:bottom w:val="none" w:sz="0" w:space="0" w:color="auto"/>
        <w:right w:val="none" w:sz="0" w:space="0" w:color="auto"/>
      </w:divBdr>
    </w:div>
    <w:div w:id="1923221809">
      <w:marLeft w:val="0"/>
      <w:marRight w:val="0"/>
      <w:marTop w:val="0"/>
      <w:marBottom w:val="0"/>
      <w:divBdr>
        <w:top w:val="none" w:sz="0" w:space="0" w:color="auto"/>
        <w:left w:val="none" w:sz="0" w:space="0" w:color="auto"/>
        <w:bottom w:val="none" w:sz="0" w:space="0" w:color="auto"/>
        <w:right w:val="none" w:sz="0" w:space="0" w:color="auto"/>
      </w:divBdr>
    </w:div>
    <w:div w:id="1923761092">
      <w:marLeft w:val="0"/>
      <w:marRight w:val="0"/>
      <w:marTop w:val="0"/>
      <w:marBottom w:val="0"/>
      <w:divBdr>
        <w:top w:val="none" w:sz="0" w:space="0" w:color="auto"/>
        <w:left w:val="none" w:sz="0" w:space="0" w:color="auto"/>
        <w:bottom w:val="none" w:sz="0" w:space="0" w:color="auto"/>
        <w:right w:val="none" w:sz="0" w:space="0" w:color="auto"/>
      </w:divBdr>
      <w:divsChild>
        <w:div w:id="603536648">
          <w:marLeft w:val="0"/>
          <w:marRight w:val="0"/>
          <w:marTop w:val="0"/>
          <w:marBottom w:val="0"/>
          <w:divBdr>
            <w:top w:val="none" w:sz="0" w:space="0" w:color="auto"/>
            <w:left w:val="none" w:sz="0" w:space="0" w:color="auto"/>
            <w:bottom w:val="none" w:sz="0" w:space="0" w:color="auto"/>
            <w:right w:val="none" w:sz="0" w:space="0" w:color="auto"/>
          </w:divBdr>
        </w:div>
      </w:divsChild>
    </w:div>
    <w:div w:id="1924096424">
      <w:marLeft w:val="0"/>
      <w:marRight w:val="0"/>
      <w:marTop w:val="0"/>
      <w:marBottom w:val="0"/>
      <w:divBdr>
        <w:top w:val="none" w:sz="0" w:space="0" w:color="auto"/>
        <w:left w:val="none" w:sz="0" w:space="0" w:color="auto"/>
        <w:bottom w:val="none" w:sz="0" w:space="0" w:color="auto"/>
        <w:right w:val="none" w:sz="0" w:space="0" w:color="auto"/>
      </w:divBdr>
    </w:div>
    <w:div w:id="1924485272">
      <w:marLeft w:val="0"/>
      <w:marRight w:val="0"/>
      <w:marTop w:val="0"/>
      <w:marBottom w:val="0"/>
      <w:divBdr>
        <w:top w:val="none" w:sz="0" w:space="0" w:color="auto"/>
        <w:left w:val="none" w:sz="0" w:space="0" w:color="auto"/>
        <w:bottom w:val="none" w:sz="0" w:space="0" w:color="auto"/>
        <w:right w:val="none" w:sz="0" w:space="0" w:color="auto"/>
      </w:divBdr>
    </w:div>
    <w:div w:id="1924601803">
      <w:marLeft w:val="0"/>
      <w:marRight w:val="0"/>
      <w:marTop w:val="0"/>
      <w:marBottom w:val="0"/>
      <w:divBdr>
        <w:top w:val="none" w:sz="0" w:space="0" w:color="auto"/>
        <w:left w:val="none" w:sz="0" w:space="0" w:color="auto"/>
        <w:bottom w:val="none" w:sz="0" w:space="0" w:color="auto"/>
        <w:right w:val="none" w:sz="0" w:space="0" w:color="auto"/>
      </w:divBdr>
    </w:div>
    <w:div w:id="1924685252">
      <w:marLeft w:val="0"/>
      <w:marRight w:val="0"/>
      <w:marTop w:val="0"/>
      <w:marBottom w:val="0"/>
      <w:divBdr>
        <w:top w:val="none" w:sz="0" w:space="0" w:color="auto"/>
        <w:left w:val="none" w:sz="0" w:space="0" w:color="auto"/>
        <w:bottom w:val="none" w:sz="0" w:space="0" w:color="auto"/>
        <w:right w:val="none" w:sz="0" w:space="0" w:color="auto"/>
      </w:divBdr>
    </w:div>
    <w:div w:id="1925259325">
      <w:marLeft w:val="0"/>
      <w:marRight w:val="0"/>
      <w:marTop w:val="0"/>
      <w:marBottom w:val="0"/>
      <w:divBdr>
        <w:top w:val="none" w:sz="0" w:space="0" w:color="auto"/>
        <w:left w:val="none" w:sz="0" w:space="0" w:color="auto"/>
        <w:bottom w:val="none" w:sz="0" w:space="0" w:color="auto"/>
        <w:right w:val="none" w:sz="0" w:space="0" w:color="auto"/>
      </w:divBdr>
    </w:div>
    <w:div w:id="1926450479">
      <w:marLeft w:val="0"/>
      <w:marRight w:val="0"/>
      <w:marTop w:val="0"/>
      <w:marBottom w:val="0"/>
      <w:divBdr>
        <w:top w:val="none" w:sz="0" w:space="0" w:color="auto"/>
        <w:left w:val="none" w:sz="0" w:space="0" w:color="auto"/>
        <w:bottom w:val="none" w:sz="0" w:space="0" w:color="auto"/>
        <w:right w:val="none" w:sz="0" w:space="0" w:color="auto"/>
      </w:divBdr>
    </w:div>
    <w:div w:id="1929384745">
      <w:marLeft w:val="0"/>
      <w:marRight w:val="0"/>
      <w:marTop w:val="0"/>
      <w:marBottom w:val="0"/>
      <w:divBdr>
        <w:top w:val="none" w:sz="0" w:space="0" w:color="auto"/>
        <w:left w:val="none" w:sz="0" w:space="0" w:color="auto"/>
        <w:bottom w:val="none" w:sz="0" w:space="0" w:color="auto"/>
        <w:right w:val="none" w:sz="0" w:space="0" w:color="auto"/>
      </w:divBdr>
    </w:div>
    <w:div w:id="1929997431">
      <w:marLeft w:val="0"/>
      <w:marRight w:val="0"/>
      <w:marTop w:val="0"/>
      <w:marBottom w:val="0"/>
      <w:divBdr>
        <w:top w:val="none" w:sz="0" w:space="0" w:color="auto"/>
        <w:left w:val="none" w:sz="0" w:space="0" w:color="auto"/>
        <w:bottom w:val="none" w:sz="0" w:space="0" w:color="auto"/>
        <w:right w:val="none" w:sz="0" w:space="0" w:color="auto"/>
      </w:divBdr>
    </w:div>
    <w:div w:id="1930767010">
      <w:marLeft w:val="0"/>
      <w:marRight w:val="0"/>
      <w:marTop w:val="0"/>
      <w:marBottom w:val="0"/>
      <w:divBdr>
        <w:top w:val="none" w:sz="0" w:space="0" w:color="auto"/>
        <w:left w:val="none" w:sz="0" w:space="0" w:color="auto"/>
        <w:bottom w:val="none" w:sz="0" w:space="0" w:color="auto"/>
        <w:right w:val="none" w:sz="0" w:space="0" w:color="auto"/>
      </w:divBdr>
    </w:div>
    <w:div w:id="1931428969">
      <w:marLeft w:val="0"/>
      <w:marRight w:val="0"/>
      <w:marTop w:val="0"/>
      <w:marBottom w:val="0"/>
      <w:divBdr>
        <w:top w:val="none" w:sz="0" w:space="0" w:color="auto"/>
        <w:left w:val="none" w:sz="0" w:space="0" w:color="auto"/>
        <w:bottom w:val="none" w:sz="0" w:space="0" w:color="auto"/>
        <w:right w:val="none" w:sz="0" w:space="0" w:color="auto"/>
      </w:divBdr>
    </w:div>
    <w:div w:id="1931769247">
      <w:marLeft w:val="0"/>
      <w:marRight w:val="0"/>
      <w:marTop w:val="0"/>
      <w:marBottom w:val="0"/>
      <w:divBdr>
        <w:top w:val="none" w:sz="0" w:space="0" w:color="auto"/>
        <w:left w:val="none" w:sz="0" w:space="0" w:color="auto"/>
        <w:bottom w:val="none" w:sz="0" w:space="0" w:color="auto"/>
        <w:right w:val="none" w:sz="0" w:space="0" w:color="auto"/>
      </w:divBdr>
    </w:div>
    <w:div w:id="1932081270">
      <w:marLeft w:val="0"/>
      <w:marRight w:val="0"/>
      <w:marTop w:val="0"/>
      <w:marBottom w:val="0"/>
      <w:divBdr>
        <w:top w:val="none" w:sz="0" w:space="0" w:color="auto"/>
        <w:left w:val="none" w:sz="0" w:space="0" w:color="auto"/>
        <w:bottom w:val="none" w:sz="0" w:space="0" w:color="auto"/>
        <w:right w:val="none" w:sz="0" w:space="0" w:color="auto"/>
      </w:divBdr>
    </w:div>
    <w:div w:id="1932353054">
      <w:marLeft w:val="0"/>
      <w:marRight w:val="0"/>
      <w:marTop w:val="0"/>
      <w:marBottom w:val="0"/>
      <w:divBdr>
        <w:top w:val="none" w:sz="0" w:space="0" w:color="auto"/>
        <w:left w:val="none" w:sz="0" w:space="0" w:color="auto"/>
        <w:bottom w:val="none" w:sz="0" w:space="0" w:color="auto"/>
        <w:right w:val="none" w:sz="0" w:space="0" w:color="auto"/>
      </w:divBdr>
    </w:div>
    <w:div w:id="1933002447">
      <w:marLeft w:val="0"/>
      <w:marRight w:val="0"/>
      <w:marTop w:val="0"/>
      <w:marBottom w:val="0"/>
      <w:divBdr>
        <w:top w:val="none" w:sz="0" w:space="0" w:color="auto"/>
        <w:left w:val="none" w:sz="0" w:space="0" w:color="auto"/>
        <w:bottom w:val="none" w:sz="0" w:space="0" w:color="auto"/>
        <w:right w:val="none" w:sz="0" w:space="0" w:color="auto"/>
      </w:divBdr>
    </w:div>
    <w:div w:id="1933004223">
      <w:marLeft w:val="0"/>
      <w:marRight w:val="0"/>
      <w:marTop w:val="0"/>
      <w:marBottom w:val="0"/>
      <w:divBdr>
        <w:top w:val="none" w:sz="0" w:space="0" w:color="auto"/>
        <w:left w:val="none" w:sz="0" w:space="0" w:color="auto"/>
        <w:bottom w:val="none" w:sz="0" w:space="0" w:color="auto"/>
        <w:right w:val="none" w:sz="0" w:space="0" w:color="auto"/>
      </w:divBdr>
    </w:div>
    <w:div w:id="1933734947">
      <w:marLeft w:val="0"/>
      <w:marRight w:val="0"/>
      <w:marTop w:val="0"/>
      <w:marBottom w:val="0"/>
      <w:divBdr>
        <w:top w:val="none" w:sz="0" w:space="0" w:color="auto"/>
        <w:left w:val="none" w:sz="0" w:space="0" w:color="auto"/>
        <w:bottom w:val="none" w:sz="0" w:space="0" w:color="auto"/>
        <w:right w:val="none" w:sz="0" w:space="0" w:color="auto"/>
      </w:divBdr>
      <w:divsChild>
        <w:div w:id="1881934638">
          <w:marLeft w:val="0"/>
          <w:marRight w:val="0"/>
          <w:marTop w:val="0"/>
          <w:marBottom w:val="0"/>
          <w:divBdr>
            <w:top w:val="none" w:sz="0" w:space="0" w:color="auto"/>
            <w:left w:val="none" w:sz="0" w:space="0" w:color="auto"/>
            <w:bottom w:val="none" w:sz="0" w:space="0" w:color="auto"/>
            <w:right w:val="none" w:sz="0" w:space="0" w:color="auto"/>
          </w:divBdr>
        </w:div>
      </w:divsChild>
    </w:div>
    <w:div w:id="1934976830">
      <w:marLeft w:val="0"/>
      <w:marRight w:val="0"/>
      <w:marTop w:val="0"/>
      <w:marBottom w:val="0"/>
      <w:divBdr>
        <w:top w:val="none" w:sz="0" w:space="0" w:color="auto"/>
        <w:left w:val="none" w:sz="0" w:space="0" w:color="auto"/>
        <w:bottom w:val="none" w:sz="0" w:space="0" w:color="auto"/>
        <w:right w:val="none" w:sz="0" w:space="0" w:color="auto"/>
      </w:divBdr>
    </w:div>
    <w:div w:id="1936280527">
      <w:marLeft w:val="0"/>
      <w:marRight w:val="0"/>
      <w:marTop w:val="0"/>
      <w:marBottom w:val="0"/>
      <w:divBdr>
        <w:top w:val="none" w:sz="0" w:space="0" w:color="auto"/>
        <w:left w:val="none" w:sz="0" w:space="0" w:color="auto"/>
        <w:bottom w:val="none" w:sz="0" w:space="0" w:color="auto"/>
        <w:right w:val="none" w:sz="0" w:space="0" w:color="auto"/>
      </w:divBdr>
    </w:div>
    <w:div w:id="1936597387">
      <w:marLeft w:val="0"/>
      <w:marRight w:val="0"/>
      <w:marTop w:val="0"/>
      <w:marBottom w:val="0"/>
      <w:divBdr>
        <w:top w:val="none" w:sz="0" w:space="0" w:color="auto"/>
        <w:left w:val="none" w:sz="0" w:space="0" w:color="auto"/>
        <w:bottom w:val="none" w:sz="0" w:space="0" w:color="auto"/>
        <w:right w:val="none" w:sz="0" w:space="0" w:color="auto"/>
      </w:divBdr>
    </w:div>
    <w:div w:id="1936815214">
      <w:marLeft w:val="0"/>
      <w:marRight w:val="0"/>
      <w:marTop w:val="0"/>
      <w:marBottom w:val="0"/>
      <w:divBdr>
        <w:top w:val="none" w:sz="0" w:space="0" w:color="auto"/>
        <w:left w:val="none" w:sz="0" w:space="0" w:color="auto"/>
        <w:bottom w:val="none" w:sz="0" w:space="0" w:color="auto"/>
        <w:right w:val="none" w:sz="0" w:space="0" w:color="auto"/>
      </w:divBdr>
    </w:div>
    <w:div w:id="1936860944">
      <w:marLeft w:val="0"/>
      <w:marRight w:val="0"/>
      <w:marTop w:val="0"/>
      <w:marBottom w:val="0"/>
      <w:divBdr>
        <w:top w:val="none" w:sz="0" w:space="0" w:color="auto"/>
        <w:left w:val="none" w:sz="0" w:space="0" w:color="auto"/>
        <w:bottom w:val="none" w:sz="0" w:space="0" w:color="auto"/>
        <w:right w:val="none" w:sz="0" w:space="0" w:color="auto"/>
      </w:divBdr>
    </w:div>
    <w:div w:id="1937669429">
      <w:marLeft w:val="0"/>
      <w:marRight w:val="0"/>
      <w:marTop w:val="0"/>
      <w:marBottom w:val="0"/>
      <w:divBdr>
        <w:top w:val="none" w:sz="0" w:space="0" w:color="auto"/>
        <w:left w:val="none" w:sz="0" w:space="0" w:color="auto"/>
        <w:bottom w:val="none" w:sz="0" w:space="0" w:color="auto"/>
        <w:right w:val="none" w:sz="0" w:space="0" w:color="auto"/>
      </w:divBdr>
    </w:div>
    <w:div w:id="1937710902">
      <w:marLeft w:val="0"/>
      <w:marRight w:val="0"/>
      <w:marTop w:val="0"/>
      <w:marBottom w:val="0"/>
      <w:divBdr>
        <w:top w:val="none" w:sz="0" w:space="0" w:color="auto"/>
        <w:left w:val="none" w:sz="0" w:space="0" w:color="auto"/>
        <w:bottom w:val="none" w:sz="0" w:space="0" w:color="auto"/>
        <w:right w:val="none" w:sz="0" w:space="0" w:color="auto"/>
      </w:divBdr>
    </w:div>
    <w:div w:id="1937981124">
      <w:marLeft w:val="0"/>
      <w:marRight w:val="0"/>
      <w:marTop w:val="0"/>
      <w:marBottom w:val="0"/>
      <w:divBdr>
        <w:top w:val="none" w:sz="0" w:space="0" w:color="auto"/>
        <w:left w:val="none" w:sz="0" w:space="0" w:color="auto"/>
        <w:bottom w:val="none" w:sz="0" w:space="0" w:color="auto"/>
        <w:right w:val="none" w:sz="0" w:space="0" w:color="auto"/>
      </w:divBdr>
    </w:div>
    <w:div w:id="1938171706">
      <w:marLeft w:val="0"/>
      <w:marRight w:val="0"/>
      <w:marTop w:val="0"/>
      <w:marBottom w:val="0"/>
      <w:divBdr>
        <w:top w:val="none" w:sz="0" w:space="0" w:color="auto"/>
        <w:left w:val="none" w:sz="0" w:space="0" w:color="auto"/>
        <w:bottom w:val="none" w:sz="0" w:space="0" w:color="auto"/>
        <w:right w:val="none" w:sz="0" w:space="0" w:color="auto"/>
      </w:divBdr>
    </w:div>
    <w:div w:id="1938245578">
      <w:marLeft w:val="0"/>
      <w:marRight w:val="0"/>
      <w:marTop w:val="0"/>
      <w:marBottom w:val="0"/>
      <w:divBdr>
        <w:top w:val="none" w:sz="0" w:space="0" w:color="auto"/>
        <w:left w:val="none" w:sz="0" w:space="0" w:color="auto"/>
        <w:bottom w:val="none" w:sz="0" w:space="0" w:color="auto"/>
        <w:right w:val="none" w:sz="0" w:space="0" w:color="auto"/>
      </w:divBdr>
    </w:div>
    <w:div w:id="1938439314">
      <w:marLeft w:val="0"/>
      <w:marRight w:val="0"/>
      <w:marTop w:val="60"/>
      <w:marBottom w:val="0"/>
      <w:divBdr>
        <w:top w:val="none" w:sz="0" w:space="0" w:color="auto"/>
        <w:left w:val="none" w:sz="0" w:space="0" w:color="auto"/>
        <w:bottom w:val="none" w:sz="0" w:space="0" w:color="auto"/>
        <w:right w:val="none" w:sz="0" w:space="0" w:color="auto"/>
      </w:divBdr>
    </w:div>
    <w:div w:id="1940605641">
      <w:marLeft w:val="0"/>
      <w:marRight w:val="0"/>
      <w:marTop w:val="0"/>
      <w:marBottom w:val="0"/>
      <w:divBdr>
        <w:top w:val="none" w:sz="0" w:space="0" w:color="auto"/>
        <w:left w:val="none" w:sz="0" w:space="0" w:color="auto"/>
        <w:bottom w:val="none" w:sz="0" w:space="0" w:color="auto"/>
        <w:right w:val="none" w:sz="0" w:space="0" w:color="auto"/>
      </w:divBdr>
    </w:div>
    <w:div w:id="1941142578">
      <w:marLeft w:val="0"/>
      <w:marRight w:val="0"/>
      <w:marTop w:val="0"/>
      <w:marBottom w:val="0"/>
      <w:divBdr>
        <w:top w:val="none" w:sz="0" w:space="0" w:color="auto"/>
        <w:left w:val="none" w:sz="0" w:space="0" w:color="auto"/>
        <w:bottom w:val="none" w:sz="0" w:space="0" w:color="auto"/>
        <w:right w:val="none" w:sz="0" w:space="0" w:color="auto"/>
      </w:divBdr>
      <w:divsChild>
        <w:div w:id="757020742">
          <w:marLeft w:val="0"/>
          <w:marRight w:val="0"/>
          <w:marTop w:val="0"/>
          <w:marBottom w:val="0"/>
          <w:divBdr>
            <w:top w:val="none" w:sz="0" w:space="0" w:color="auto"/>
            <w:left w:val="none" w:sz="0" w:space="0" w:color="auto"/>
            <w:bottom w:val="none" w:sz="0" w:space="0" w:color="auto"/>
            <w:right w:val="none" w:sz="0" w:space="0" w:color="auto"/>
          </w:divBdr>
        </w:div>
      </w:divsChild>
    </w:div>
    <w:div w:id="1941570903">
      <w:marLeft w:val="0"/>
      <w:marRight w:val="0"/>
      <w:marTop w:val="0"/>
      <w:marBottom w:val="0"/>
      <w:divBdr>
        <w:top w:val="none" w:sz="0" w:space="0" w:color="auto"/>
        <w:left w:val="none" w:sz="0" w:space="0" w:color="auto"/>
        <w:bottom w:val="none" w:sz="0" w:space="0" w:color="auto"/>
        <w:right w:val="none" w:sz="0" w:space="0" w:color="auto"/>
      </w:divBdr>
    </w:div>
    <w:div w:id="1941644898">
      <w:marLeft w:val="0"/>
      <w:marRight w:val="0"/>
      <w:marTop w:val="0"/>
      <w:marBottom w:val="0"/>
      <w:divBdr>
        <w:top w:val="none" w:sz="0" w:space="0" w:color="auto"/>
        <w:left w:val="none" w:sz="0" w:space="0" w:color="auto"/>
        <w:bottom w:val="none" w:sz="0" w:space="0" w:color="auto"/>
        <w:right w:val="none" w:sz="0" w:space="0" w:color="auto"/>
      </w:divBdr>
    </w:div>
    <w:div w:id="1941717523">
      <w:marLeft w:val="0"/>
      <w:marRight w:val="0"/>
      <w:marTop w:val="0"/>
      <w:marBottom w:val="0"/>
      <w:divBdr>
        <w:top w:val="none" w:sz="0" w:space="0" w:color="auto"/>
        <w:left w:val="none" w:sz="0" w:space="0" w:color="auto"/>
        <w:bottom w:val="none" w:sz="0" w:space="0" w:color="auto"/>
        <w:right w:val="none" w:sz="0" w:space="0" w:color="auto"/>
      </w:divBdr>
    </w:div>
    <w:div w:id="1941789238">
      <w:marLeft w:val="0"/>
      <w:marRight w:val="0"/>
      <w:marTop w:val="0"/>
      <w:marBottom w:val="0"/>
      <w:divBdr>
        <w:top w:val="none" w:sz="0" w:space="0" w:color="auto"/>
        <w:left w:val="none" w:sz="0" w:space="0" w:color="auto"/>
        <w:bottom w:val="none" w:sz="0" w:space="0" w:color="auto"/>
        <w:right w:val="none" w:sz="0" w:space="0" w:color="auto"/>
      </w:divBdr>
    </w:div>
    <w:div w:id="1943108866">
      <w:marLeft w:val="0"/>
      <w:marRight w:val="0"/>
      <w:marTop w:val="0"/>
      <w:marBottom w:val="0"/>
      <w:divBdr>
        <w:top w:val="none" w:sz="0" w:space="0" w:color="auto"/>
        <w:left w:val="none" w:sz="0" w:space="0" w:color="auto"/>
        <w:bottom w:val="none" w:sz="0" w:space="0" w:color="auto"/>
        <w:right w:val="none" w:sz="0" w:space="0" w:color="auto"/>
      </w:divBdr>
    </w:div>
    <w:div w:id="1943150407">
      <w:marLeft w:val="0"/>
      <w:marRight w:val="0"/>
      <w:marTop w:val="0"/>
      <w:marBottom w:val="0"/>
      <w:divBdr>
        <w:top w:val="none" w:sz="0" w:space="0" w:color="auto"/>
        <w:left w:val="none" w:sz="0" w:space="0" w:color="auto"/>
        <w:bottom w:val="none" w:sz="0" w:space="0" w:color="auto"/>
        <w:right w:val="none" w:sz="0" w:space="0" w:color="auto"/>
      </w:divBdr>
    </w:div>
    <w:div w:id="1943490003">
      <w:marLeft w:val="0"/>
      <w:marRight w:val="0"/>
      <w:marTop w:val="0"/>
      <w:marBottom w:val="0"/>
      <w:divBdr>
        <w:top w:val="none" w:sz="0" w:space="0" w:color="auto"/>
        <w:left w:val="none" w:sz="0" w:space="0" w:color="auto"/>
        <w:bottom w:val="none" w:sz="0" w:space="0" w:color="auto"/>
        <w:right w:val="none" w:sz="0" w:space="0" w:color="auto"/>
      </w:divBdr>
    </w:div>
    <w:div w:id="1944149910">
      <w:marLeft w:val="0"/>
      <w:marRight w:val="0"/>
      <w:marTop w:val="0"/>
      <w:marBottom w:val="0"/>
      <w:divBdr>
        <w:top w:val="none" w:sz="0" w:space="0" w:color="auto"/>
        <w:left w:val="none" w:sz="0" w:space="0" w:color="auto"/>
        <w:bottom w:val="none" w:sz="0" w:space="0" w:color="auto"/>
        <w:right w:val="none" w:sz="0" w:space="0" w:color="auto"/>
      </w:divBdr>
    </w:div>
    <w:div w:id="1944722245">
      <w:marLeft w:val="0"/>
      <w:marRight w:val="0"/>
      <w:marTop w:val="0"/>
      <w:marBottom w:val="0"/>
      <w:divBdr>
        <w:top w:val="none" w:sz="0" w:space="0" w:color="auto"/>
        <w:left w:val="none" w:sz="0" w:space="0" w:color="auto"/>
        <w:bottom w:val="none" w:sz="0" w:space="0" w:color="auto"/>
        <w:right w:val="none" w:sz="0" w:space="0" w:color="auto"/>
      </w:divBdr>
    </w:div>
    <w:div w:id="1945768016">
      <w:marLeft w:val="0"/>
      <w:marRight w:val="0"/>
      <w:marTop w:val="0"/>
      <w:marBottom w:val="0"/>
      <w:divBdr>
        <w:top w:val="none" w:sz="0" w:space="0" w:color="auto"/>
        <w:left w:val="none" w:sz="0" w:space="0" w:color="auto"/>
        <w:bottom w:val="none" w:sz="0" w:space="0" w:color="auto"/>
        <w:right w:val="none" w:sz="0" w:space="0" w:color="auto"/>
      </w:divBdr>
    </w:div>
    <w:div w:id="1947500440">
      <w:marLeft w:val="0"/>
      <w:marRight w:val="0"/>
      <w:marTop w:val="0"/>
      <w:marBottom w:val="0"/>
      <w:divBdr>
        <w:top w:val="none" w:sz="0" w:space="0" w:color="auto"/>
        <w:left w:val="none" w:sz="0" w:space="0" w:color="auto"/>
        <w:bottom w:val="none" w:sz="0" w:space="0" w:color="auto"/>
        <w:right w:val="none" w:sz="0" w:space="0" w:color="auto"/>
      </w:divBdr>
    </w:div>
    <w:div w:id="1948806994">
      <w:marLeft w:val="0"/>
      <w:marRight w:val="0"/>
      <w:marTop w:val="0"/>
      <w:marBottom w:val="0"/>
      <w:divBdr>
        <w:top w:val="none" w:sz="0" w:space="0" w:color="auto"/>
        <w:left w:val="none" w:sz="0" w:space="0" w:color="auto"/>
        <w:bottom w:val="none" w:sz="0" w:space="0" w:color="auto"/>
        <w:right w:val="none" w:sz="0" w:space="0" w:color="auto"/>
      </w:divBdr>
    </w:div>
    <w:div w:id="1949122635">
      <w:marLeft w:val="0"/>
      <w:marRight w:val="0"/>
      <w:marTop w:val="0"/>
      <w:marBottom w:val="0"/>
      <w:divBdr>
        <w:top w:val="none" w:sz="0" w:space="0" w:color="auto"/>
        <w:left w:val="none" w:sz="0" w:space="0" w:color="auto"/>
        <w:bottom w:val="none" w:sz="0" w:space="0" w:color="auto"/>
        <w:right w:val="none" w:sz="0" w:space="0" w:color="auto"/>
      </w:divBdr>
    </w:div>
    <w:div w:id="1950383601">
      <w:marLeft w:val="0"/>
      <w:marRight w:val="0"/>
      <w:marTop w:val="0"/>
      <w:marBottom w:val="0"/>
      <w:divBdr>
        <w:top w:val="none" w:sz="0" w:space="0" w:color="auto"/>
        <w:left w:val="none" w:sz="0" w:space="0" w:color="auto"/>
        <w:bottom w:val="none" w:sz="0" w:space="0" w:color="auto"/>
        <w:right w:val="none" w:sz="0" w:space="0" w:color="auto"/>
      </w:divBdr>
    </w:div>
    <w:div w:id="1950699773">
      <w:marLeft w:val="0"/>
      <w:marRight w:val="0"/>
      <w:marTop w:val="100"/>
      <w:marBottom w:val="100"/>
      <w:divBdr>
        <w:top w:val="none" w:sz="0" w:space="0" w:color="auto"/>
        <w:left w:val="none" w:sz="0" w:space="0" w:color="auto"/>
        <w:bottom w:val="none" w:sz="0" w:space="0" w:color="auto"/>
        <w:right w:val="none" w:sz="0" w:space="0" w:color="auto"/>
      </w:divBdr>
      <w:divsChild>
        <w:div w:id="451244631">
          <w:marLeft w:val="0"/>
          <w:marRight w:val="0"/>
          <w:marTop w:val="0"/>
          <w:marBottom w:val="0"/>
          <w:divBdr>
            <w:top w:val="none" w:sz="0" w:space="0" w:color="auto"/>
            <w:left w:val="none" w:sz="0" w:space="0" w:color="auto"/>
            <w:bottom w:val="none" w:sz="0" w:space="0" w:color="auto"/>
            <w:right w:val="none" w:sz="0" w:space="0" w:color="auto"/>
          </w:divBdr>
        </w:div>
      </w:divsChild>
    </w:div>
    <w:div w:id="1951164757">
      <w:marLeft w:val="0"/>
      <w:marRight w:val="0"/>
      <w:marTop w:val="100"/>
      <w:marBottom w:val="100"/>
      <w:divBdr>
        <w:top w:val="none" w:sz="0" w:space="0" w:color="auto"/>
        <w:left w:val="none" w:sz="0" w:space="0" w:color="auto"/>
        <w:bottom w:val="none" w:sz="0" w:space="0" w:color="auto"/>
        <w:right w:val="none" w:sz="0" w:space="0" w:color="auto"/>
      </w:divBdr>
      <w:divsChild>
        <w:div w:id="153880716">
          <w:marLeft w:val="0"/>
          <w:marRight w:val="0"/>
          <w:marTop w:val="0"/>
          <w:marBottom w:val="0"/>
          <w:divBdr>
            <w:top w:val="none" w:sz="0" w:space="0" w:color="auto"/>
            <w:left w:val="none" w:sz="0" w:space="0" w:color="auto"/>
            <w:bottom w:val="none" w:sz="0" w:space="0" w:color="auto"/>
            <w:right w:val="none" w:sz="0" w:space="0" w:color="auto"/>
          </w:divBdr>
        </w:div>
      </w:divsChild>
    </w:div>
    <w:div w:id="1952083770">
      <w:marLeft w:val="0"/>
      <w:marRight w:val="0"/>
      <w:marTop w:val="0"/>
      <w:marBottom w:val="0"/>
      <w:divBdr>
        <w:top w:val="none" w:sz="0" w:space="0" w:color="auto"/>
        <w:left w:val="none" w:sz="0" w:space="0" w:color="auto"/>
        <w:bottom w:val="none" w:sz="0" w:space="0" w:color="auto"/>
        <w:right w:val="none" w:sz="0" w:space="0" w:color="auto"/>
      </w:divBdr>
    </w:div>
    <w:div w:id="1952515311">
      <w:marLeft w:val="0"/>
      <w:marRight w:val="0"/>
      <w:marTop w:val="0"/>
      <w:marBottom w:val="0"/>
      <w:divBdr>
        <w:top w:val="none" w:sz="0" w:space="0" w:color="auto"/>
        <w:left w:val="none" w:sz="0" w:space="0" w:color="auto"/>
        <w:bottom w:val="none" w:sz="0" w:space="0" w:color="auto"/>
        <w:right w:val="none" w:sz="0" w:space="0" w:color="auto"/>
      </w:divBdr>
    </w:div>
    <w:div w:id="1952517038">
      <w:marLeft w:val="0"/>
      <w:marRight w:val="0"/>
      <w:marTop w:val="0"/>
      <w:marBottom w:val="0"/>
      <w:divBdr>
        <w:top w:val="none" w:sz="0" w:space="0" w:color="auto"/>
        <w:left w:val="none" w:sz="0" w:space="0" w:color="auto"/>
        <w:bottom w:val="none" w:sz="0" w:space="0" w:color="auto"/>
        <w:right w:val="none" w:sz="0" w:space="0" w:color="auto"/>
      </w:divBdr>
    </w:div>
    <w:div w:id="1952742641">
      <w:marLeft w:val="0"/>
      <w:marRight w:val="0"/>
      <w:marTop w:val="0"/>
      <w:marBottom w:val="0"/>
      <w:divBdr>
        <w:top w:val="none" w:sz="0" w:space="0" w:color="auto"/>
        <w:left w:val="none" w:sz="0" w:space="0" w:color="auto"/>
        <w:bottom w:val="none" w:sz="0" w:space="0" w:color="auto"/>
        <w:right w:val="none" w:sz="0" w:space="0" w:color="auto"/>
      </w:divBdr>
    </w:div>
    <w:div w:id="1952979835">
      <w:marLeft w:val="0"/>
      <w:marRight w:val="0"/>
      <w:marTop w:val="0"/>
      <w:marBottom w:val="0"/>
      <w:divBdr>
        <w:top w:val="none" w:sz="0" w:space="0" w:color="auto"/>
        <w:left w:val="none" w:sz="0" w:space="0" w:color="auto"/>
        <w:bottom w:val="none" w:sz="0" w:space="0" w:color="auto"/>
        <w:right w:val="none" w:sz="0" w:space="0" w:color="auto"/>
      </w:divBdr>
      <w:divsChild>
        <w:div w:id="2062551727">
          <w:marLeft w:val="0"/>
          <w:marRight w:val="0"/>
          <w:marTop w:val="0"/>
          <w:marBottom w:val="0"/>
          <w:divBdr>
            <w:top w:val="none" w:sz="0" w:space="0" w:color="auto"/>
            <w:left w:val="none" w:sz="0" w:space="0" w:color="auto"/>
            <w:bottom w:val="none" w:sz="0" w:space="0" w:color="auto"/>
            <w:right w:val="none" w:sz="0" w:space="0" w:color="auto"/>
          </w:divBdr>
        </w:div>
      </w:divsChild>
    </w:div>
    <w:div w:id="1953393643">
      <w:marLeft w:val="0"/>
      <w:marRight w:val="0"/>
      <w:marTop w:val="20"/>
      <w:marBottom w:val="20"/>
      <w:divBdr>
        <w:top w:val="none" w:sz="0" w:space="0" w:color="auto"/>
        <w:left w:val="none" w:sz="0" w:space="0" w:color="auto"/>
        <w:bottom w:val="none" w:sz="0" w:space="0" w:color="auto"/>
        <w:right w:val="none" w:sz="0" w:space="0" w:color="auto"/>
      </w:divBdr>
    </w:div>
    <w:div w:id="1953441502">
      <w:marLeft w:val="0"/>
      <w:marRight w:val="0"/>
      <w:marTop w:val="0"/>
      <w:marBottom w:val="0"/>
      <w:divBdr>
        <w:top w:val="none" w:sz="0" w:space="0" w:color="auto"/>
        <w:left w:val="none" w:sz="0" w:space="0" w:color="auto"/>
        <w:bottom w:val="none" w:sz="0" w:space="0" w:color="auto"/>
        <w:right w:val="none" w:sz="0" w:space="0" w:color="auto"/>
      </w:divBdr>
    </w:div>
    <w:div w:id="1953706081">
      <w:marLeft w:val="0"/>
      <w:marRight w:val="0"/>
      <w:marTop w:val="0"/>
      <w:marBottom w:val="0"/>
      <w:divBdr>
        <w:top w:val="none" w:sz="0" w:space="0" w:color="auto"/>
        <w:left w:val="none" w:sz="0" w:space="0" w:color="auto"/>
        <w:bottom w:val="none" w:sz="0" w:space="0" w:color="auto"/>
        <w:right w:val="none" w:sz="0" w:space="0" w:color="auto"/>
      </w:divBdr>
    </w:div>
    <w:div w:id="1954896920">
      <w:marLeft w:val="0"/>
      <w:marRight w:val="0"/>
      <w:marTop w:val="0"/>
      <w:marBottom w:val="0"/>
      <w:divBdr>
        <w:top w:val="none" w:sz="0" w:space="0" w:color="auto"/>
        <w:left w:val="none" w:sz="0" w:space="0" w:color="auto"/>
        <w:bottom w:val="none" w:sz="0" w:space="0" w:color="auto"/>
        <w:right w:val="none" w:sz="0" w:space="0" w:color="auto"/>
      </w:divBdr>
    </w:div>
    <w:div w:id="1955673177">
      <w:marLeft w:val="0"/>
      <w:marRight w:val="0"/>
      <w:marTop w:val="0"/>
      <w:marBottom w:val="0"/>
      <w:divBdr>
        <w:top w:val="none" w:sz="0" w:space="0" w:color="auto"/>
        <w:left w:val="none" w:sz="0" w:space="0" w:color="auto"/>
        <w:bottom w:val="none" w:sz="0" w:space="0" w:color="auto"/>
        <w:right w:val="none" w:sz="0" w:space="0" w:color="auto"/>
      </w:divBdr>
    </w:div>
    <w:div w:id="1956323633">
      <w:marLeft w:val="0"/>
      <w:marRight w:val="0"/>
      <w:marTop w:val="0"/>
      <w:marBottom w:val="0"/>
      <w:divBdr>
        <w:top w:val="none" w:sz="0" w:space="0" w:color="auto"/>
        <w:left w:val="none" w:sz="0" w:space="0" w:color="auto"/>
        <w:bottom w:val="none" w:sz="0" w:space="0" w:color="auto"/>
        <w:right w:val="none" w:sz="0" w:space="0" w:color="auto"/>
      </w:divBdr>
    </w:div>
    <w:div w:id="1957904682">
      <w:marLeft w:val="0"/>
      <w:marRight w:val="0"/>
      <w:marTop w:val="0"/>
      <w:marBottom w:val="0"/>
      <w:divBdr>
        <w:top w:val="none" w:sz="0" w:space="0" w:color="auto"/>
        <w:left w:val="none" w:sz="0" w:space="0" w:color="auto"/>
        <w:bottom w:val="none" w:sz="0" w:space="0" w:color="auto"/>
        <w:right w:val="none" w:sz="0" w:space="0" w:color="auto"/>
      </w:divBdr>
    </w:div>
    <w:div w:id="1957907590">
      <w:marLeft w:val="0"/>
      <w:marRight w:val="0"/>
      <w:marTop w:val="0"/>
      <w:marBottom w:val="0"/>
      <w:divBdr>
        <w:top w:val="none" w:sz="0" w:space="0" w:color="auto"/>
        <w:left w:val="none" w:sz="0" w:space="0" w:color="auto"/>
        <w:bottom w:val="none" w:sz="0" w:space="0" w:color="auto"/>
        <w:right w:val="none" w:sz="0" w:space="0" w:color="auto"/>
      </w:divBdr>
    </w:div>
    <w:div w:id="1958027414">
      <w:marLeft w:val="0"/>
      <w:marRight w:val="0"/>
      <w:marTop w:val="0"/>
      <w:marBottom w:val="0"/>
      <w:divBdr>
        <w:top w:val="none" w:sz="0" w:space="0" w:color="auto"/>
        <w:left w:val="none" w:sz="0" w:space="0" w:color="auto"/>
        <w:bottom w:val="none" w:sz="0" w:space="0" w:color="auto"/>
        <w:right w:val="none" w:sz="0" w:space="0" w:color="auto"/>
      </w:divBdr>
    </w:div>
    <w:div w:id="1959021580">
      <w:marLeft w:val="0"/>
      <w:marRight w:val="0"/>
      <w:marTop w:val="100"/>
      <w:marBottom w:val="100"/>
      <w:divBdr>
        <w:top w:val="none" w:sz="0" w:space="0" w:color="auto"/>
        <w:left w:val="none" w:sz="0" w:space="0" w:color="auto"/>
        <w:bottom w:val="none" w:sz="0" w:space="0" w:color="auto"/>
        <w:right w:val="none" w:sz="0" w:space="0" w:color="auto"/>
      </w:divBdr>
      <w:divsChild>
        <w:div w:id="127549561">
          <w:marLeft w:val="0"/>
          <w:marRight w:val="0"/>
          <w:marTop w:val="0"/>
          <w:marBottom w:val="0"/>
          <w:divBdr>
            <w:top w:val="none" w:sz="0" w:space="0" w:color="auto"/>
            <w:left w:val="none" w:sz="0" w:space="0" w:color="auto"/>
            <w:bottom w:val="none" w:sz="0" w:space="0" w:color="auto"/>
            <w:right w:val="none" w:sz="0" w:space="0" w:color="auto"/>
          </w:divBdr>
        </w:div>
        <w:div w:id="1781753926">
          <w:marLeft w:val="0"/>
          <w:marRight w:val="0"/>
          <w:marTop w:val="0"/>
          <w:marBottom w:val="0"/>
          <w:divBdr>
            <w:top w:val="none" w:sz="0" w:space="0" w:color="auto"/>
            <w:left w:val="none" w:sz="0" w:space="0" w:color="auto"/>
            <w:bottom w:val="none" w:sz="0" w:space="0" w:color="auto"/>
            <w:right w:val="none" w:sz="0" w:space="0" w:color="auto"/>
          </w:divBdr>
        </w:div>
      </w:divsChild>
    </w:div>
    <w:div w:id="1959219509">
      <w:marLeft w:val="0"/>
      <w:marRight w:val="0"/>
      <w:marTop w:val="20"/>
      <w:marBottom w:val="20"/>
      <w:divBdr>
        <w:top w:val="none" w:sz="0" w:space="0" w:color="auto"/>
        <w:left w:val="none" w:sz="0" w:space="0" w:color="auto"/>
        <w:bottom w:val="none" w:sz="0" w:space="0" w:color="auto"/>
        <w:right w:val="none" w:sz="0" w:space="0" w:color="auto"/>
      </w:divBdr>
    </w:div>
    <w:div w:id="1959724025">
      <w:marLeft w:val="0"/>
      <w:marRight w:val="0"/>
      <w:marTop w:val="0"/>
      <w:marBottom w:val="0"/>
      <w:divBdr>
        <w:top w:val="none" w:sz="0" w:space="0" w:color="auto"/>
        <w:left w:val="none" w:sz="0" w:space="0" w:color="auto"/>
        <w:bottom w:val="none" w:sz="0" w:space="0" w:color="auto"/>
        <w:right w:val="none" w:sz="0" w:space="0" w:color="auto"/>
      </w:divBdr>
    </w:div>
    <w:div w:id="1961262559">
      <w:marLeft w:val="0"/>
      <w:marRight w:val="0"/>
      <w:marTop w:val="0"/>
      <w:marBottom w:val="0"/>
      <w:divBdr>
        <w:top w:val="none" w:sz="0" w:space="0" w:color="auto"/>
        <w:left w:val="none" w:sz="0" w:space="0" w:color="auto"/>
        <w:bottom w:val="none" w:sz="0" w:space="0" w:color="auto"/>
        <w:right w:val="none" w:sz="0" w:space="0" w:color="auto"/>
      </w:divBdr>
    </w:div>
    <w:div w:id="1962346996">
      <w:marLeft w:val="0"/>
      <w:marRight w:val="0"/>
      <w:marTop w:val="0"/>
      <w:marBottom w:val="0"/>
      <w:divBdr>
        <w:top w:val="none" w:sz="0" w:space="0" w:color="auto"/>
        <w:left w:val="none" w:sz="0" w:space="0" w:color="auto"/>
        <w:bottom w:val="none" w:sz="0" w:space="0" w:color="auto"/>
        <w:right w:val="none" w:sz="0" w:space="0" w:color="auto"/>
      </w:divBdr>
    </w:div>
    <w:div w:id="1962686255">
      <w:marLeft w:val="0"/>
      <w:marRight w:val="0"/>
      <w:marTop w:val="0"/>
      <w:marBottom w:val="0"/>
      <w:divBdr>
        <w:top w:val="none" w:sz="0" w:space="0" w:color="auto"/>
        <w:left w:val="none" w:sz="0" w:space="0" w:color="auto"/>
        <w:bottom w:val="none" w:sz="0" w:space="0" w:color="auto"/>
        <w:right w:val="none" w:sz="0" w:space="0" w:color="auto"/>
      </w:divBdr>
    </w:div>
    <w:div w:id="1963340251">
      <w:marLeft w:val="0"/>
      <w:marRight w:val="0"/>
      <w:marTop w:val="0"/>
      <w:marBottom w:val="0"/>
      <w:divBdr>
        <w:top w:val="none" w:sz="0" w:space="0" w:color="auto"/>
        <w:left w:val="none" w:sz="0" w:space="0" w:color="auto"/>
        <w:bottom w:val="none" w:sz="0" w:space="0" w:color="auto"/>
        <w:right w:val="none" w:sz="0" w:space="0" w:color="auto"/>
      </w:divBdr>
    </w:div>
    <w:div w:id="1963614882">
      <w:marLeft w:val="0"/>
      <w:marRight w:val="0"/>
      <w:marTop w:val="0"/>
      <w:marBottom w:val="0"/>
      <w:divBdr>
        <w:top w:val="none" w:sz="0" w:space="0" w:color="auto"/>
        <w:left w:val="none" w:sz="0" w:space="0" w:color="auto"/>
        <w:bottom w:val="none" w:sz="0" w:space="0" w:color="auto"/>
        <w:right w:val="none" w:sz="0" w:space="0" w:color="auto"/>
      </w:divBdr>
    </w:div>
    <w:div w:id="1964657090">
      <w:marLeft w:val="0"/>
      <w:marRight w:val="0"/>
      <w:marTop w:val="0"/>
      <w:marBottom w:val="0"/>
      <w:divBdr>
        <w:top w:val="none" w:sz="0" w:space="0" w:color="auto"/>
        <w:left w:val="none" w:sz="0" w:space="0" w:color="auto"/>
        <w:bottom w:val="none" w:sz="0" w:space="0" w:color="auto"/>
        <w:right w:val="none" w:sz="0" w:space="0" w:color="auto"/>
      </w:divBdr>
    </w:div>
    <w:div w:id="1964799806">
      <w:marLeft w:val="0"/>
      <w:marRight w:val="0"/>
      <w:marTop w:val="0"/>
      <w:marBottom w:val="0"/>
      <w:divBdr>
        <w:top w:val="none" w:sz="0" w:space="0" w:color="auto"/>
        <w:left w:val="none" w:sz="0" w:space="0" w:color="auto"/>
        <w:bottom w:val="none" w:sz="0" w:space="0" w:color="auto"/>
        <w:right w:val="none" w:sz="0" w:space="0" w:color="auto"/>
      </w:divBdr>
    </w:div>
    <w:div w:id="1964925014">
      <w:marLeft w:val="0"/>
      <w:marRight w:val="0"/>
      <w:marTop w:val="0"/>
      <w:marBottom w:val="0"/>
      <w:divBdr>
        <w:top w:val="none" w:sz="0" w:space="0" w:color="auto"/>
        <w:left w:val="none" w:sz="0" w:space="0" w:color="auto"/>
        <w:bottom w:val="none" w:sz="0" w:space="0" w:color="auto"/>
        <w:right w:val="none" w:sz="0" w:space="0" w:color="auto"/>
      </w:divBdr>
    </w:div>
    <w:div w:id="1966232755">
      <w:marLeft w:val="0"/>
      <w:marRight w:val="0"/>
      <w:marTop w:val="0"/>
      <w:marBottom w:val="0"/>
      <w:divBdr>
        <w:top w:val="none" w:sz="0" w:space="0" w:color="auto"/>
        <w:left w:val="none" w:sz="0" w:space="0" w:color="auto"/>
        <w:bottom w:val="none" w:sz="0" w:space="0" w:color="auto"/>
        <w:right w:val="none" w:sz="0" w:space="0" w:color="auto"/>
      </w:divBdr>
    </w:div>
    <w:div w:id="1966547728">
      <w:marLeft w:val="0"/>
      <w:marRight w:val="0"/>
      <w:marTop w:val="0"/>
      <w:marBottom w:val="0"/>
      <w:divBdr>
        <w:top w:val="none" w:sz="0" w:space="0" w:color="auto"/>
        <w:left w:val="none" w:sz="0" w:space="0" w:color="auto"/>
        <w:bottom w:val="none" w:sz="0" w:space="0" w:color="auto"/>
        <w:right w:val="none" w:sz="0" w:space="0" w:color="auto"/>
      </w:divBdr>
    </w:div>
    <w:div w:id="1967806716">
      <w:marLeft w:val="0"/>
      <w:marRight w:val="0"/>
      <w:marTop w:val="0"/>
      <w:marBottom w:val="0"/>
      <w:divBdr>
        <w:top w:val="none" w:sz="0" w:space="0" w:color="auto"/>
        <w:left w:val="none" w:sz="0" w:space="0" w:color="auto"/>
        <w:bottom w:val="none" w:sz="0" w:space="0" w:color="auto"/>
        <w:right w:val="none" w:sz="0" w:space="0" w:color="auto"/>
      </w:divBdr>
    </w:div>
    <w:div w:id="1968049106">
      <w:marLeft w:val="0"/>
      <w:marRight w:val="0"/>
      <w:marTop w:val="0"/>
      <w:marBottom w:val="0"/>
      <w:divBdr>
        <w:top w:val="none" w:sz="0" w:space="0" w:color="auto"/>
        <w:left w:val="none" w:sz="0" w:space="0" w:color="auto"/>
        <w:bottom w:val="none" w:sz="0" w:space="0" w:color="auto"/>
        <w:right w:val="none" w:sz="0" w:space="0" w:color="auto"/>
      </w:divBdr>
    </w:div>
    <w:div w:id="1968192689">
      <w:marLeft w:val="0"/>
      <w:marRight w:val="0"/>
      <w:marTop w:val="0"/>
      <w:marBottom w:val="0"/>
      <w:divBdr>
        <w:top w:val="none" w:sz="0" w:space="0" w:color="auto"/>
        <w:left w:val="none" w:sz="0" w:space="0" w:color="auto"/>
        <w:bottom w:val="none" w:sz="0" w:space="0" w:color="auto"/>
        <w:right w:val="none" w:sz="0" w:space="0" w:color="auto"/>
      </w:divBdr>
    </w:div>
    <w:div w:id="1968198109">
      <w:marLeft w:val="0"/>
      <w:marRight w:val="0"/>
      <w:marTop w:val="120"/>
      <w:marBottom w:val="0"/>
      <w:divBdr>
        <w:top w:val="none" w:sz="0" w:space="0" w:color="auto"/>
        <w:left w:val="none" w:sz="0" w:space="0" w:color="auto"/>
        <w:bottom w:val="none" w:sz="0" w:space="0" w:color="auto"/>
        <w:right w:val="none" w:sz="0" w:space="0" w:color="auto"/>
      </w:divBdr>
    </w:div>
    <w:div w:id="1970894637">
      <w:marLeft w:val="0"/>
      <w:marRight w:val="0"/>
      <w:marTop w:val="0"/>
      <w:marBottom w:val="0"/>
      <w:divBdr>
        <w:top w:val="none" w:sz="0" w:space="0" w:color="auto"/>
        <w:left w:val="none" w:sz="0" w:space="0" w:color="auto"/>
        <w:bottom w:val="none" w:sz="0" w:space="0" w:color="auto"/>
        <w:right w:val="none" w:sz="0" w:space="0" w:color="auto"/>
      </w:divBdr>
    </w:div>
    <w:div w:id="1971746057">
      <w:marLeft w:val="0"/>
      <w:marRight w:val="0"/>
      <w:marTop w:val="0"/>
      <w:marBottom w:val="0"/>
      <w:divBdr>
        <w:top w:val="none" w:sz="0" w:space="0" w:color="auto"/>
        <w:left w:val="none" w:sz="0" w:space="0" w:color="auto"/>
        <w:bottom w:val="none" w:sz="0" w:space="0" w:color="auto"/>
        <w:right w:val="none" w:sz="0" w:space="0" w:color="auto"/>
      </w:divBdr>
    </w:div>
    <w:div w:id="1972705742">
      <w:marLeft w:val="0"/>
      <w:marRight w:val="0"/>
      <w:marTop w:val="0"/>
      <w:marBottom w:val="0"/>
      <w:divBdr>
        <w:top w:val="none" w:sz="0" w:space="0" w:color="auto"/>
        <w:left w:val="none" w:sz="0" w:space="0" w:color="auto"/>
        <w:bottom w:val="none" w:sz="0" w:space="0" w:color="auto"/>
        <w:right w:val="none" w:sz="0" w:space="0" w:color="auto"/>
      </w:divBdr>
    </w:div>
    <w:div w:id="1972709528">
      <w:marLeft w:val="0"/>
      <w:marRight w:val="0"/>
      <w:marTop w:val="0"/>
      <w:marBottom w:val="0"/>
      <w:divBdr>
        <w:top w:val="none" w:sz="0" w:space="0" w:color="auto"/>
        <w:left w:val="none" w:sz="0" w:space="0" w:color="auto"/>
        <w:bottom w:val="none" w:sz="0" w:space="0" w:color="auto"/>
        <w:right w:val="none" w:sz="0" w:space="0" w:color="auto"/>
      </w:divBdr>
    </w:div>
    <w:div w:id="1973629807">
      <w:marLeft w:val="0"/>
      <w:marRight w:val="0"/>
      <w:marTop w:val="0"/>
      <w:marBottom w:val="0"/>
      <w:divBdr>
        <w:top w:val="none" w:sz="0" w:space="0" w:color="auto"/>
        <w:left w:val="none" w:sz="0" w:space="0" w:color="auto"/>
        <w:bottom w:val="none" w:sz="0" w:space="0" w:color="auto"/>
        <w:right w:val="none" w:sz="0" w:space="0" w:color="auto"/>
      </w:divBdr>
    </w:div>
    <w:div w:id="1973710101">
      <w:marLeft w:val="0"/>
      <w:marRight w:val="0"/>
      <w:marTop w:val="0"/>
      <w:marBottom w:val="0"/>
      <w:divBdr>
        <w:top w:val="none" w:sz="0" w:space="0" w:color="auto"/>
        <w:left w:val="none" w:sz="0" w:space="0" w:color="auto"/>
        <w:bottom w:val="none" w:sz="0" w:space="0" w:color="auto"/>
        <w:right w:val="none" w:sz="0" w:space="0" w:color="auto"/>
      </w:divBdr>
    </w:div>
    <w:div w:id="1973945347">
      <w:marLeft w:val="0"/>
      <w:marRight w:val="0"/>
      <w:marTop w:val="0"/>
      <w:marBottom w:val="0"/>
      <w:divBdr>
        <w:top w:val="none" w:sz="0" w:space="0" w:color="auto"/>
        <w:left w:val="none" w:sz="0" w:space="0" w:color="auto"/>
        <w:bottom w:val="none" w:sz="0" w:space="0" w:color="auto"/>
        <w:right w:val="none" w:sz="0" w:space="0" w:color="auto"/>
      </w:divBdr>
    </w:div>
    <w:div w:id="1974410035">
      <w:marLeft w:val="0"/>
      <w:marRight w:val="0"/>
      <w:marTop w:val="0"/>
      <w:marBottom w:val="0"/>
      <w:divBdr>
        <w:top w:val="none" w:sz="0" w:space="0" w:color="auto"/>
        <w:left w:val="none" w:sz="0" w:space="0" w:color="auto"/>
        <w:bottom w:val="none" w:sz="0" w:space="0" w:color="auto"/>
        <w:right w:val="none" w:sz="0" w:space="0" w:color="auto"/>
      </w:divBdr>
    </w:div>
    <w:div w:id="1974863892">
      <w:marLeft w:val="0"/>
      <w:marRight w:val="0"/>
      <w:marTop w:val="0"/>
      <w:marBottom w:val="0"/>
      <w:divBdr>
        <w:top w:val="none" w:sz="0" w:space="0" w:color="auto"/>
        <w:left w:val="none" w:sz="0" w:space="0" w:color="auto"/>
        <w:bottom w:val="none" w:sz="0" w:space="0" w:color="auto"/>
        <w:right w:val="none" w:sz="0" w:space="0" w:color="auto"/>
      </w:divBdr>
    </w:div>
    <w:div w:id="1974945170">
      <w:marLeft w:val="0"/>
      <w:marRight w:val="0"/>
      <w:marTop w:val="0"/>
      <w:marBottom w:val="0"/>
      <w:divBdr>
        <w:top w:val="none" w:sz="0" w:space="0" w:color="auto"/>
        <w:left w:val="none" w:sz="0" w:space="0" w:color="auto"/>
        <w:bottom w:val="none" w:sz="0" w:space="0" w:color="auto"/>
        <w:right w:val="none" w:sz="0" w:space="0" w:color="auto"/>
      </w:divBdr>
    </w:div>
    <w:div w:id="1975720572">
      <w:marLeft w:val="0"/>
      <w:marRight w:val="0"/>
      <w:marTop w:val="100"/>
      <w:marBottom w:val="100"/>
      <w:divBdr>
        <w:top w:val="none" w:sz="0" w:space="0" w:color="auto"/>
        <w:left w:val="none" w:sz="0" w:space="0" w:color="auto"/>
        <w:bottom w:val="none" w:sz="0" w:space="0" w:color="auto"/>
        <w:right w:val="none" w:sz="0" w:space="0" w:color="auto"/>
      </w:divBdr>
    </w:div>
    <w:div w:id="1975867690">
      <w:marLeft w:val="0"/>
      <w:marRight w:val="0"/>
      <w:marTop w:val="0"/>
      <w:marBottom w:val="0"/>
      <w:divBdr>
        <w:top w:val="none" w:sz="0" w:space="0" w:color="auto"/>
        <w:left w:val="none" w:sz="0" w:space="0" w:color="auto"/>
        <w:bottom w:val="none" w:sz="0" w:space="0" w:color="auto"/>
        <w:right w:val="none" w:sz="0" w:space="0" w:color="auto"/>
      </w:divBdr>
    </w:div>
    <w:div w:id="1975986695">
      <w:marLeft w:val="0"/>
      <w:marRight w:val="0"/>
      <w:marTop w:val="0"/>
      <w:marBottom w:val="0"/>
      <w:divBdr>
        <w:top w:val="none" w:sz="0" w:space="0" w:color="auto"/>
        <w:left w:val="none" w:sz="0" w:space="0" w:color="auto"/>
        <w:bottom w:val="none" w:sz="0" w:space="0" w:color="auto"/>
        <w:right w:val="none" w:sz="0" w:space="0" w:color="auto"/>
      </w:divBdr>
    </w:div>
    <w:div w:id="1976444313">
      <w:marLeft w:val="0"/>
      <w:marRight w:val="0"/>
      <w:marTop w:val="0"/>
      <w:marBottom w:val="0"/>
      <w:divBdr>
        <w:top w:val="none" w:sz="0" w:space="0" w:color="auto"/>
        <w:left w:val="none" w:sz="0" w:space="0" w:color="auto"/>
        <w:bottom w:val="none" w:sz="0" w:space="0" w:color="auto"/>
        <w:right w:val="none" w:sz="0" w:space="0" w:color="auto"/>
      </w:divBdr>
    </w:div>
    <w:div w:id="1977641312">
      <w:marLeft w:val="0"/>
      <w:marRight w:val="0"/>
      <w:marTop w:val="0"/>
      <w:marBottom w:val="0"/>
      <w:divBdr>
        <w:top w:val="none" w:sz="0" w:space="0" w:color="auto"/>
        <w:left w:val="none" w:sz="0" w:space="0" w:color="auto"/>
        <w:bottom w:val="none" w:sz="0" w:space="0" w:color="auto"/>
        <w:right w:val="none" w:sz="0" w:space="0" w:color="auto"/>
      </w:divBdr>
    </w:div>
    <w:div w:id="1978610004">
      <w:marLeft w:val="0"/>
      <w:marRight w:val="0"/>
      <w:marTop w:val="0"/>
      <w:marBottom w:val="0"/>
      <w:divBdr>
        <w:top w:val="none" w:sz="0" w:space="0" w:color="auto"/>
        <w:left w:val="none" w:sz="0" w:space="0" w:color="auto"/>
        <w:bottom w:val="none" w:sz="0" w:space="0" w:color="auto"/>
        <w:right w:val="none" w:sz="0" w:space="0" w:color="auto"/>
      </w:divBdr>
    </w:div>
    <w:div w:id="1978991622">
      <w:marLeft w:val="0"/>
      <w:marRight w:val="0"/>
      <w:marTop w:val="0"/>
      <w:marBottom w:val="0"/>
      <w:divBdr>
        <w:top w:val="none" w:sz="0" w:space="0" w:color="auto"/>
        <w:left w:val="none" w:sz="0" w:space="0" w:color="auto"/>
        <w:bottom w:val="none" w:sz="0" w:space="0" w:color="auto"/>
        <w:right w:val="none" w:sz="0" w:space="0" w:color="auto"/>
      </w:divBdr>
    </w:div>
    <w:div w:id="1979454469">
      <w:marLeft w:val="0"/>
      <w:marRight w:val="0"/>
      <w:marTop w:val="0"/>
      <w:marBottom w:val="0"/>
      <w:divBdr>
        <w:top w:val="none" w:sz="0" w:space="0" w:color="auto"/>
        <w:left w:val="none" w:sz="0" w:space="0" w:color="auto"/>
        <w:bottom w:val="none" w:sz="0" w:space="0" w:color="auto"/>
        <w:right w:val="none" w:sz="0" w:space="0" w:color="auto"/>
      </w:divBdr>
    </w:div>
    <w:div w:id="1979653055">
      <w:marLeft w:val="0"/>
      <w:marRight w:val="0"/>
      <w:marTop w:val="0"/>
      <w:marBottom w:val="0"/>
      <w:divBdr>
        <w:top w:val="none" w:sz="0" w:space="0" w:color="auto"/>
        <w:left w:val="none" w:sz="0" w:space="0" w:color="auto"/>
        <w:bottom w:val="none" w:sz="0" w:space="0" w:color="auto"/>
        <w:right w:val="none" w:sz="0" w:space="0" w:color="auto"/>
      </w:divBdr>
    </w:div>
    <w:div w:id="1980458894">
      <w:marLeft w:val="0"/>
      <w:marRight w:val="0"/>
      <w:marTop w:val="0"/>
      <w:marBottom w:val="0"/>
      <w:divBdr>
        <w:top w:val="none" w:sz="0" w:space="0" w:color="auto"/>
        <w:left w:val="none" w:sz="0" w:space="0" w:color="auto"/>
        <w:bottom w:val="none" w:sz="0" w:space="0" w:color="auto"/>
        <w:right w:val="none" w:sz="0" w:space="0" w:color="auto"/>
      </w:divBdr>
      <w:divsChild>
        <w:div w:id="347101837">
          <w:marLeft w:val="0"/>
          <w:marRight w:val="0"/>
          <w:marTop w:val="0"/>
          <w:marBottom w:val="0"/>
          <w:divBdr>
            <w:top w:val="none" w:sz="0" w:space="0" w:color="auto"/>
            <w:left w:val="none" w:sz="0" w:space="0" w:color="auto"/>
            <w:bottom w:val="none" w:sz="0" w:space="0" w:color="auto"/>
            <w:right w:val="none" w:sz="0" w:space="0" w:color="auto"/>
          </w:divBdr>
        </w:div>
      </w:divsChild>
    </w:div>
    <w:div w:id="1981962938">
      <w:marLeft w:val="0"/>
      <w:marRight w:val="0"/>
      <w:marTop w:val="0"/>
      <w:marBottom w:val="0"/>
      <w:divBdr>
        <w:top w:val="none" w:sz="0" w:space="0" w:color="auto"/>
        <w:left w:val="none" w:sz="0" w:space="0" w:color="auto"/>
        <w:bottom w:val="none" w:sz="0" w:space="0" w:color="auto"/>
        <w:right w:val="none" w:sz="0" w:space="0" w:color="auto"/>
      </w:divBdr>
      <w:divsChild>
        <w:div w:id="1492283907">
          <w:marLeft w:val="0"/>
          <w:marRight w:val="0"/>
          <w:marTop w:val="0"/>
          <w:marBottom w:val="0"/>
          <w:divBdr>
            <w:top w:val="none" w:sz="0" w:space="0" w:color="auto"/>
            <w:left w:val="none" w:sz="0" w:space="0" w:color="auto"/>
            <w:bottom w:val="none" w:sz="0" w:space="0" w:color="auto"/>
            <w:right w:val="none" w:sz="0" w:space="0" w:color="auto"/>
          </w:divBdr>
        </w:div>
      </w:divsChild>
    </w:div>
    <w:div w:id="1982691849">
      <w:marLeft w:val="0"/>
      <w:marRight w:val="0"/>
      <w:marTop w:val="0"/>
      <w:marBottom w:val="0"/>
      <w:divBdr>
        <w:top w:val="none" w:sz="0" w:space="0" w:color="auto"/>
        <w:left w:val="none" w:sz="0" w:space="0" w:color="auto"/>
        <w:bottom w:val="none" w:sz="0" w:space="0" w:color="auto"/>
        <w:right w:val="none" w:sz="0" w:space="0" w:color="auto"/>
      </w:divBdr>
    </w:div>
    <w:div w:id="1982693246">
      <w:marLeft w:val="0"/>
      <w:marRight w:val="0"/>
      <w:marTop w:val="0"/>
      <w:marBottom w:val="0"/>
      <w:divBdr>
        <w:top w:val="none" w:sz="0" w:space="0" w:color="auto"/>
        <w:left w:val="none" w:sz="0" w:space="0" w:color="auto"/>
        <w:bottom w:val="none" w:sz="0" w:space="0" w:color="auto"/>
        <w:right w:val="none" w:sz="0" w:space="0" w:color="auto"/>
      </w:divBdr>
      <w:divsChild>
        <w:div w:id="1061632661">
          <w:marLeft w:val="0"/>
          <w:marRight w:val="0"/>
          <w:marTop w:val="0"/>
          <w:marBottom w:val="0"/>
          <w:divBdr>
            <w:top w:val="none" w:sz="0" w:space="0" w:color="auto"/>
            <w:left w:val="none" w:sz="0" w:space="0" w:color="auto"/>
            <w:bottom w:val="none" w:sz="0" w:space="0" w:color="auto"/>
            <w:right w:val="none" w:sz="0" w:space="0" w:color="auto"/>
          </w:divBdr>
        </w:div>
      </w:divsChild>
    </w:div>
    <w:div w:id="1982924979">
      <w:marLeft w:val="0"/>
      <w:marRight w:val="0"/>
      <w:marTop w:val="0"/>
      <w:marBottom w:val="0"/>
      <w:divBdr>
        <w:top w:val="none" w:sz="0" w:space="0" w:color="auto"/>
        <w:left w:val="none" w:sz="0" w:space="0" w:color="auto"/>
        <w:bottom w:val="none" w:sz="0" w:space="0" w:color="auto"/>
        <w:right w:val="none" w:sz="0" w:space="0" w:color="auto"/>
      </w:divBdr>
    </w:div>
    <w:div w:id="1983122588">
      <w:marLeft w:val="0"/>
      <w:marRight w:val="0"/>
      <w:marTop w:val="0"/>
      <w:marBottom w:val="0"/>
      <w:divBdr>
        <w:top w:val="none" w:sz="0" w:space="0" w:color="auto"/>
        <w:left w:val="none" w:sz="0" w:space="0" w:color="auto"/>
        <w:bottom w:val="none" w:sz="0" w:space="0" w:color="auto"/>
        <w:right w:val="none" w:sz="0" w:space="0" w:color="auto"/>
      </w:divBdr>
    </w:div>
    <w:div w:id="1984191959">
      <w:marLeft w:val="0"/>
      <w:marRight w:val="0"/>
      <w:marTop w:val="0"/>
      <w:marBottom w:val="0"/>
      <w:divBdr>
        <w:top w:val="none" w:sz="0" w:space="0" w:color="auto"/>
        <w:left w:val="none" w:sz="0" w:space="0" w:color="auto"/>
        <w:bottom w:val="none" w:sz="0" w:space="0" w:color="auto"/>
        <w:right w:val="none" w:sz="0" w:space="0" w:color="auto"/>
      </w:divBdr>
    </w:div>
    <w:div w:id="1984458040">
      <w:marLeft w:val="0"/>
      <w:marRight w:val="0"/>
      <w:marTop w:val="0"/>
      <w:marBottom w:val="0"/>
      <w:divBdr>
        <w:top w:val="none" w:sz="0" w:space="0" w:color="auto"/>
        <w:left w:val="none" w:sz="0" w:space="0" w:color="auto"/>
        <w:bottom w:val="none" w:sz="0" w:space="0" w:color="auto"/>
        <w:right w:val="none" w:sz="0" w:space="0" w:color="auto"/>
      </w:divBdr>
    </w:div>
    <w:div w:id="1985114489">
      <w:marLeft w:val="0"/>
      <w:marRight w:val="0"/>
      <w:marTop w:val="0"/>
      <w:marBottom w:val="0"/>
      <w:divBdr>
        <w:top w:val="none" w:sz="0" w:space="0" w:color="auto"/>
        <w:left w:val="none" w:sz="0" w:space="0" w:color="auto"/>
        <w:bottom w:val="none" w:sz="0" w:space="0" w:color="auto"/>
        <w:right w:val="none" w:sz="0" w:space="0" w:color="auto"/>
      </w:divBdr>
    </w:div>
    <w:div w:id="1985348693">
      <w:marLeft w:val="0"/>
      <w:marRight w:val="0"/>
      <w:marTop w:val="0"/>
      <w:marBottom w:val="240"/>
      <w:divBdr>
        <w:top w:val="none" w:sz="0" w:space="0" w:color="auto"/>
        <w:left w:val="none" w:sz="0" w:space="0" w:color="auto"/>
        <w:bottom w:val="none" w:sz="0" w:space="0" w:color="auto"/>
        <w:right w:val="none" w:sz="0" w:space="0" w:color="auto"/>
      </w:divBdr>
    </w:div>
    <w:div w:id="1986010166">
      <w:marLeft w:val="0"/>
      <w:marRight w:val="0"/>
      <w:marTop w:val="0"/>
      <w:marBottom w:val="0"/>
      <w:divBdr>
        <w:top w:val="none" w:sz="0" w:space="0" w:color="auto"/>
        <w:left w:val="none" w:sz="0" w:space="0" w:color="auto"/>
        <w:bottom w:val="none" w:sz="0" w:space="0" w:color="auto"/>
        <w:right w:val="none" w:sz="0" w:space="0" w:color="auto"/>
      </w:divBdr>
    </w:div>
    <w:div w:id="1987203939">
      <w:marLeft w:val="0"/>
      <w:marRight w:val="0"/>
      <w:marTop w:val="0"/>
      <w:marBottom w:val="0"/>
      <w:divBdr>
        <w:top w:val="none" w:sz="0" w:space="0" w:color="auto"/>
        <w:left w:val="none" w:sz="0" w:space="0" w:color="auto"/>
        <w:bottom w:val="none" w:sz="0" w:space="0" w:color="auto"/>
        <w:right w:val="none" w:sz="0" w:space="0" w:color="auto"/>
      </w:divBdr>
    </w:div>
    <w:div w:id="1988244793">
      <w:marLeft w:val="0"/>
      <w:marRight w:val="0"/>
      <w:marTop w:val="0"/>
      <w:marBottom w:val="0"/>
      <w:divBdr>
        <w:top w:val="none" w:sz="0" w:space="0" w:color="auto"/>
        <w:left w:val="none" w:sz="0" w:space="0" w:color="auto"/>
        <w:bottom w:val="none" w:sz="0" w:space="0" w:color="auto"/>
        <w:right w:val="none" w:sz="0" w:space="0" w:color="auto"/>
      </w:divBdr>
    </w:div>
    <w:div w:id="1988513679">
      <w:marLeft w:val="0"/>
      <w:marRight w:val="0"/>
      <w:marTop w:val="0"/>
      <w:marBottom w:val="0"/>
      <w:divBdr>
        <w:top w:val="none" w:sz="0" w:space="0" w:color="auto"/>
        <w:left w:val="none" w:sz="0" w:space="0" w:color="auto"/>
        <w:bottom w:val="none" w:sz="0" w:space="0" w:color="auto"/>
        <w:right w:val="none" w:sz="0" w:space="0" w:color="auto"/>
      </w:divBdr>
    </w:div>
    <w:div w:id="1989824287">
      <w:marLeft w:val="0"/>
      <w:marRight w:val="0"/>
      <w:marTop w:val="0"/>
      <w:marBottom w:val="0"/>
      <w:divBdr>
        <w:top w:val="none" w:sz="0" w:space="0" w:color="auto"/>
        <w:left w:val="none" w:sz="0" w:space="0" w:color="auto"/>
        <w:bottom w:val="none" w:sz="0" w:space="0" w:color="auto"/>
        <w:right w:val="none" w:sz="0" w:space="0" w:color="auto"/>
      </w:divBdr>
    </w:div>
    <w:div w:id="1991865752">
      <w:marLeft w:val="0"/>
      <w:marRight w:val="0"/>
      <w:marTop w:val="0"/>
      <w:marBottom w:val="0"/>
      <w:divBdr>
        <w:top w:val="none" w:sz="0" w:space="0" w:color="auto"/>
        <w:left w:val="none" w:sz="0" w:space="0" w:color="auto"/>
        <w:bottom w:val="none" w:sz="0" w:space="0" w:color="auto"/>
        <w:right w:val="none" w:sz="0" w:space="0" w:color="auto"/>
      </w:divBdr>
    </w:div>
    <w:div w:id="1992977900">
      <w:marLeft w:val="0"/>
      <w:marRight w:val="0"/>
      <w:marTop w:val="0"/>
      <w:marBottom w:val="0"/>
      <w:divBdr>
        <w:top w:val="none" w:sz="0" w:space="0" w:color="auto"/>
        <w:left w:val="none" w:sz="0" w:space="0" w:color="auto"/>
        <w:bottom w:val="none" w:sz="0" w:space="0" w:color="auto"/>
        <w:right w:val="none" w:sz="0" w:space="0" w:color="auto"/>
      </w:divBdr>
    </w:div>
    <w:div w:id="1993482812">
      <w:marLeft w:val="0"/>
      <w:marRight w:val="0"/>
      <w:marTop w:val="0"/>
      <w:marBottom w:val="0"/>
      <w:divBdr>
        <w:top w:val="none" w:sz="0" w:space="0" w:color="auto"/>
        <w:left w:val="none" w:sz="0" w:space="0" w:color="auto"/>
        <w:bottom w:val="none" w:sz="0" w:space="0" w:color="auto"/>
        <w:right w:val="none" w:sz="0" w:space="0" w:color="auto"/>
      </w:divBdr>
    </w:div>
    <w:div w:id="1993942375">
      <w:marLeft w:val="0"/>
      <w:marRight w:val="0"/>
      <w:marTop w:val="0"/>
      <w:marBottom w:val="0"/>
      <w:divBdr>
        <w:top w:val="none" w:sz="0" w:space="0" w:color="auto"/>
        <w:left w:val="none" w:sz="0" w:space="0" w:color="auto"/>
        <w:bottom w:val="none" w:sz="0" w:space="0" w:color="auto"/>
        <w:right w:val="none" w:sz="0" w:space="0" w:color="auto"/>
      </w:divBdr>
    </w:div>
    <w:div w:id="1994210919">
      <w:marLeft w:val="0"/>
      <w:marRight w:val="0"/>
      <w:marTop w:val="0"/>
      <w:marBottom w:val="0"/>
      <w:divBdr>
        <w:top w:val="none" w:sz="0" w:space="0" w:color="auto"/>
        <w:left w:val="none" w:sz="0" w:space="0" w:color="auto"/>
        <w:bottom w:val="none" w:sz="0" w:space="0" w:color="auto"/>
        <w:right w:val="none" w:sz="0" w:space="0" w:color="auto"/>
      </w:divBdr>
    </w:div>
    <w:div w:id="1995329466">
      <w:marLeft w:val="0"/>
      <w:marRight w:val="0"/>
      <w:marTop w:val="0"/>
      <w:marBottom w:val="0"/>
      <w:divBdr>
        <w:top w:val="none" w:sz="0" w:space="0" w:color="auto"/>
        <w:left w:val="none" w:sz="0" w:space="0" w:color="auto"/>
        <w:bottom w:val="none" w:sz="0" w:space="0" w:color="auto"/>
        <w:right w:val="none" w:sz="0" w:space="0" w:color="auto"/>
      </w:divBdr>
    </w:div>
    <w:div w:id="1996953481">
      <w:marLeft w:val="0"/>
      <w:marRight w:val="0"/>
      <w:marTop w:val="0"/>
      <w:marBottom w:val="0"/>
      <w:divBdr>
        <w:top w:val="none" w:sz="0" w:space="0" w:color="auto"/>
        <w:left w:val="none" w:sz="0" w:space="0" w:color="auto"/>
        <w:bottom w:val="none" w:sz="0" w:space="0" w:color="auto"/>
        <w:right w:val="none" w:sz="0" w:space="0" w:color="auto"/>
      </w:divBdr>
    </w:div>
    <w:div w:id="1998024377">
      <w:marLeft w:val="0"/>
      <w:marRight w:val="0"/>
      <w:marTop w:val="0"/>
      <w:marBottom w:val="0"/>
      <w:divBdr>
        <w:top w:val="none" w:sz="0" w:space="0" w:color="auto"/>
        <w:left w:val="none" w:sz="0" w:space="0" w:color="auto"/>
        <w:bottom w:val="none" w:sz="0" w:space="0" w:color="auto"/>
        <w:right w:val="none" w:sz="0" w:space="0" w:color="auto"/>
      </w:divBdr>
    </w:div>
    <w:div w:id="1998068784">
      <w:marLeft w:val="0"/>
      <w:marRight w:val="0"/>
      <w:marTop w:val="0"/>
      <w:marBottom w:val="0"/>
      <w:divBdr>
        <w:top w:val="none" w:sz="0" w:space="0" w:color="auto"/>
        <w:left w:val="none" w:sz="0" w:space="0" w:color="auto"/>
        <w:bottom w:val="none" w:sz="0" w:space="0" w:color="auto"/>
        <w:right w:val="none" w:sz="0" w:space="0" w:color="auto"/>
      </w:divBdr>
    </w:div>
    <w:div w:id="2000883106">
      <w:marLeft w:val="0"/>
      <w:marRight w:val="0"/>
      <w:marTop w:val="0"/>
      <w:marBottom w:val="0"/>
      <w:divBdr>
        <w:top w:val="none" w:sz="0" w:space="0" w:color="auto"/>
        <w:left w:val="none" w:sz="0" w:space="0" w:color="auto"/>
        <w:bottom w:val="none" w:sz="0" w:space="0" w:color="auto"/>
        <w:right w:val="none" w:sz="0" w:space="0" w:color="auto"/>
      </w:divBdr>
      <w:divsChild>
        <w:div w:id="1287587570">
          <w:marLeft w:val="0"/>
          <w:marRight w:val="0"/>
          <w:marTop w:val="0"/>
          <w:marBottom w:val="0"/>
          <w:divBdr>
            <w:top w:val="none" w:sz="0" w:space="0" w:color="auto"/>
            <w:left w:val="none" w:sz="0" w:space="0" w:color="auto"/>
            <w:bottom w:val="none" w:sz="0" w:space="0" w:color="auto"/>
            <w:right w:val="none" w:sz="0" w:space="0" w:color="auto"/>
          </w:divBdr>
        </w:div>
      </w:divsChild>
    </w:div>
    <w:div w:id="2000884650">
      <w:marLeft w:val="0"/>
      <w:marRight w:val="0"/>
      <w:marTop w:val="0"/>
      <w:marBottom w:val="0"/>
      <w:divBdr>
        <w:top w:val="none" w:sz="0" w:space="0" w:color="auto"/>
        <w:left w:val="none" w:sz="0" w:space="0" w:color="auto"/>
        <w:bottom w:val="none" w:sz="0" w:space="0" w:color="auto"/>
        <w:right w:val="none" w:sz="0" w:space="0" w:color="auto"/>
      </w:divBdr>
      <w:divsChild>
        <w:div w:id="856232667">
          <w:marLeft w:val="0"/>
          <w:marRight w:val="0"/>
          <w:marTop w:val="0"/>
          <w:marBottom w:val="0"/>
          <w:divBdr>
            <w:top w:val="none" w:sz="0" w:space="0" w:color="auto"/>
            <w:left w:val="none" w:sz="0" w:space="0" w:color="auto"/>
            <w:bottom w:val="none" w:sz="0" w:space="0" w:color="auto"/>
            <w:right w:val="none" w:sz="0" w:space="0" w:color="auto"/>
          </w:divBdr>
        </w:div>
      </w:divsChild>
    </w:div>
    <w:div w:id="2000960460">
      <w:marLeft w:val="0"/>
      <w:marRight w:val="0"/>
      <w:marTop w:val="0"/>
      <w:marBottom w:val="0"/>
      <w:divBdr>
        <w:top w:val="none" w:sz="0" w:space="0" w:color="auto"/>
        <w:left w:val="none" w:sz="0" w:space="0" w:color="auto"/>
        <w:bottom w:val="none" w:sz="0" w:space="0" w:color="auto"/>
        <w:right w:val="none" w:sz="0" w:space="0" w:color="auto"/>
      </w:divBdr>
    </w:div>
    <w:div w:id="2001807064">
      <w:marLeft w:val="0"/>
      <w:marRight w:val="0"/>
      <w:marTop w:val="0"/>
      <w:marBottom w:val="0"/>
      <w:divBdr>
        <w:top w:val="none" w:sz="0" w:space="0" w:color="auto"/>
        <w:left w:val="none" w:sz="0" w:space="0" w:color="auto"/>
        <w:bottom w:val="none" w:sz="0" w:space="0" w:color="auto"/>
        <w:right w:val="none" w:sz="0" w:space="0" w:color="auto"/>
      </w:divBdr>
      <w:divsChild>
        <w:div w:id="518277835">
          <w:marLeft w:val="0"/>
          <w:marRight w:val="0"/>
          <w:marTop w:val="0"/>
          <w:marBottom w:val="0"/>
          <w:divBdr>
            <w:top w:val="none" w:sz="0" w:space="0" w:color="auto"/>
            <w:left w:val="none" w:sz="0" w:space="0" w:color="auto"/>
            <w:bottom w:val="none" w:sz="0" w:space="0" w:color="auto"/>
            <w:right w:val="none" w:sz="0" w:space="0" w:color="auto"/>
          </w:divBdr>
        </w:div>
      </w:divsChild>
    </w:div>
    <w:div w:id="2001882310">
      <w:marLeft w:val="0"/>
      <w:marRight w:val="0"/>
      <w:marTop w:val="0"/>
      <w:marBottom w:val="0"/>
      <w:divBdr>
        <w:top w:val="none" w:sz="0" w:space="0" w:color="auto"/>
        <w:left w:val="none" w:sz="0" w:space="0" w:color="auto"/>
        <w:bottom w:val="none" w:sz="0" w:space="0" w:color="auto"/>
        <w:right w:val="none" w:sz="0" w:space="0" w:color="auto"/>
      </w:divBdr>
    </w:div>
    <w:div w:id="2002267033">
      <w:marLeft w:val="0"/>
      <w:marRight w:val="0"/>
      <w:marTop w:val="0"/>
      <w:marBottom w:val="0"/>
      <w:divBdr>
        <w:top w:val="none" w:sz="0" w:space="0" w:color="auto"/>
        <w:left w:val="none" w:sz="0" w:space="0" w:color="auto"/>
        <w:bottom w:val="none" w:sz="0" w:space="0" w:color="auto"/>
        <w:right w:val="none" w:sz="0" w:space="0" w:color="auto"/>
      </w:divBdr>
    </w:div>
    <w:div w:id="2003316787">
      <w:marLeft w:val="0"/>
      <w:marRight w:val="0"/>
      <w:marTop w:val="0"/>
      <w:marBottom w:val="0"/>
      <w:divBdr>
        <w:top w:val="none" w:sz="0" w:space="0" w:color="auto"/>
        <w:left w:val="none" w:sz="0" w:space="0" w:color="auto"/>
        <w:bottom w:val="none" w:sz="0" w:space="0" w:color="auto"/>
        <w:right w:val="none" w:sz="0" w:space="0" w:color="auto"/>
      </w:divBdr>
    </w:div>
    <w:div w:id="2003654253">
      <w:marLeft w:val="0"/>
      <w:marRight w:val="0"/>
      <w:marTop w:val="0"/>
      <w:marBottom w:val="0"/>
      <w:divBdr>
        <w:top w:val="none" w:sz="0" w:space="0" w:color="auto"/>
        <w:left w:val="none" w:sz="0" w:space="0" w:color="auto"/>
        <w:bottom w:val="none" w:sz="0" w:space="0" w:color="auto"/>
        <w:right w:val="none" w:sz="0" w:space="0" w:color="auto"/>
      </w:divBdr>
    </w:div>
    <w:div w:id="2003776454">
      <w:marLeft w:val="0"/>
      <w:marRight w:val="0"/>
      <w:marTop w:val="0"/>
      <w:marBottom w:val="0"/>
      <w:divBdr>
        <w:top w:val="none" w:sz="0" w:space="0" w:color="auto"/>
        <w:left w:val="none" w:sz="0" w:space="0" w:color="auto"/>
        <w:bottom w:val="none" w:sz="0" w:space="0" w:color="auto"/>
        <w:right w:val="none" w:sz="0" w:space="0" w:color="auto"/>
      </w:divBdr>
    </w:div>
    <w:div w:id="2003925130">
      <w:marLeft w:val="0"/>
      <w:marRight w:val="0"/>
      <w:marTop w:val="0"/>
      <w:marBottom w:val="0"/>
      <w:divBdr>
        <w:top w:val="none" w:sz="0" w:space="0" w:color="auto"/>
        <w:left w:val="none" w:sz="0" w:space="0" w:color="auto"/>
        <w:bottom w:val="none" w:sz="0" w:space="0" w:color="auto"/>
        <w:right w:val="none" w:sz="0" w:space="0" w:color="auto"/>
      </w:divBdr>
    </w:div>
    <w:div w:id="2003927013">
      <w:marLeft w:val="0"/>
      <w:marRight w:val="0"/>
      <w:marTop w:val="0"/>
      <w:marBottom w:val="0"/>
      <w:divBdr>
        <w:top w:val="none" w:sz="0" w:space="0" w:color="auto"/>
        <w:left w:val="none" w:sz="0" w:space="0" w:color="auto"/>
        <w:bottom w:val="none" w:sz="0" w:space="0" w:color="auto"/>
        <w:right w:val="none" w:sz="0" w:space="0" w:color="auto"/>
      </w:divBdr>
    </w:div>
    <w:div w:id="2004773131">
      <w:marLeft w:val="0"/>
      <w:marRight w:val="0"/>
      <w:marTop w:val="0"/>
      <w:marBottom w:val="0"/>
      <w:divBdr>
        <w:top w:val="none" w:sz="0" w:space="0" w:color="auto"/>
        <w:left w:val="none" w:sz="0" w:space="0" w:color="auto"/>
        <w:bottom w:val="none" w:sz="0" w:space="0" w:color="auto"/>
        <w:right w:val="none" w:sz="0" w:space="0" w:color="auto"/>
      </w:divBdr>
    </w:div>
    <w:div w:id="2007199382">
      <w:marLeft w:val="0"/>
      <w:marRight w:val="0"/>
      <w:marTop w:val="0"/>
      <w:marBottom w:val="0"/>
      <w:divBdr>
        <w:top w:val="none" w:sz="0" w:space="0" w:color="auto"/>
        <w:left w:val="none" w:sz="0" w:space="0" w:color="auto"/>
        <w:bottom w:val="none" w:sz="0" w:space="0" w:color="auto"/>
        <w:right w:val="none" w:sz="0" w:space="0" w:color="auto"/>
      </w:divBdr>
    </w:div>
    <w:div w:id="2007242111">
      <w:marLeft w:val="0"/>
      <w:marRight w:val="0"/>
      <w:marTop w:val="0"/>
      <w:marBottom w:val="0"/>
      <w:divBdr>
        <w:top w:val="none" w:sz="0" w:space="0" w:color="auto"/>
        <w:left w:val="none" w:sz="0" w:space="0" w:color="auto"/>
        <w:bottom w:val="none" w:sz="0" w:space="0" w:color="auto"/>
        <w:right w:val="none" w:sz="0" w:space="0" w:color="auto"/>
      </w:divBdr>
    </w:div>
    <w:div w:id="2007438684">
      <w:marLeft w:val="0"/>
      <w:marRight w:val="0"/>
      <w:marTop w:val="0"/>
      <w:marBottom w:val="0"/>
      <w:divBdr>
        <w:top w:val="none" w:sz="0" w:space="0" w:color="auto"/>
        <w:left w:val="none" w:sz="0" w:space="0" w:color="auto"/>
        <w:bottom w:val="none" w:sz="0" w:space="0" w:color="auto"/>
        <w:right w:val="none" w:sz="0" w:space="0" w:color="auto"/>
      </w:divBdr>
    </w:div>
    <w:div w:id="2007703585">
      <w:marLeft w:val="0"/>
      <w:marRight w:val="0"/>
      <w:marTop w:val="0"/>
      <w:marBottom w:val="0"/>
      <w:divBdr>
        <w:top w:val="none" w:sz="0" w:space="0" w:color="auto"/>
        <w:left w:val="none" w:sz="0" w:space="0" w:color="auto"/>
        <w:bottom w:val="none" w:sz="0" w:space="0" w:color="auto"/>
        <w:right w:val="none" w:sz="0" w:space="0" w:color="auto"/>
      </w:divBdr>
    </w:div>
    <w:div w:id="2007780153">
      <w:marLeft w:val="0"/>
      <w:marRight w:val="0"/>
      <w:marTop w:val="0"/>
      <w:marBottom w:val="0"/>
      <w:divBdr>
        <w:top w:val="none" w:sz="0" w:space="0" w:color="auto"/>
        <w:left w:val="none" w:sz="0" w:space="0" w:color="auto"/>
        <w:bottom w:val="none" w:sz="0" w:space="0" w:color="auto"/>
        <w:right w:val="none" w:sz="0" w:space="0" w:color="auto"/>
      </w:divBdr>
    </w:div>
    <w:div w:id="2010206029">
      <w:marLeft w:val="0"/>
      <w:marRight w:val="0"/>
      <w:marTop w:val="0"/>
      <w:marBottom w:val="0"/>
      <w:divBdr>
        <w:top w:val="none" w:sz="0" w:space="0" w:color="auto"/>
        <w:left w:val="none" w:sz="0" w:space="0" w:color="auto"/>
        <w:bottom w:val="none" w:sz="0" w:space="0" w:color="auto"/>
        <w:right w:val="none" w:sz="0" w:space="0" w:color="auto"/>
      </w:divBdr>
    </w:div>
    <w:div w:id="2011252898">
      <w:marLeft w:val="0"/>
      <w:marRight w:val="0"/>
      <w:marTop w:val="0"/>
      <w:marBottom w:val="0"/>
      <w:divBdr>
        <w:top w:val="none" w:sz="0" w:space="0" w:color="auto"/>
        <w:left w:val="none" w:sz="0" w:space="0" w:color="auto"/>
        <w:bottom w:val="none" w:sz="0" w:space="0" w:color="auto"/>
        <w:right w:val="none" w:sz="0" w:space="0" w:color="auto"/>
      </w:divBdr>
    </w:div>
    <w:div w:id="2011906814">
      <w:marLeft w:val="0"/>
      <w:marRight w:val="0"/>
      <w:marTop w:val="0"/>
      <w:marBottom w:val="0"/>
      <w:divBdr>
        <w:top w:val="none" w:sz="0" w:space="0" w:color="auto"/>
        <w:left w:val="none" w:sz="0" w:space="0" w:color="auto"/>
        <w:bottom w:val="none" w:sz="0" w:space="0" w:color="auto"/>
        <w:right w:val="none" w:sz="0" w:space="0" w:color="auto"/>
      </w:divBdr>
    </w:div>
    <w:div w:id="2012756315">
      <w:marLeft w:val="0"/>
      <w:marRight w:val="0"/>
      <w:marTop w:val="0"/>
      <w:marBottom w:val="0"/>
      <w:divBdr>
        <w:top w:val="none" w:sz="0" w:space="0" w:color="auto"/>
        <w:left w:val="none" w:sz="0" w:space="0" w:color="auto"/>
        <w:bottom w:val="none" w:sz="0" w:space="0" w:color="auto"/>
        <w:right w:val="none" w:sz="0" w:space="0" w:color="auto"/>
      </w:divBdr>
    </w:div>
    <w:div w:id="2012829116">
      <w:marLeft w:val="0"/>
      <w:marRight w:val="0"/>
      <w:marTop w:val="0"/>
      <w:marBottom w:val="0"/>
      <w:divBdr>
        <w:top w:val="none" w:sz="0" w:space="0" w:color="auto"/>
        <w:left w:val="none" w:sz="0" w:space="0" w:color="auto"/>
        <w:bottom w:val="none" w:sz="0" w:space="0" w:color="auto"/>
        <w:right w:val="none" w:sz="0" w:space="0" w:color="auto"/>
      </w:divBdr>
    </w:div>
    <w:div w:id="2014407071">
      <w:marLeft w:val="0"/>
      <w:marRight w:val="0"/>
      <w:marTop w:val="0"/>
      <w:marBottom w:val="0"/>
      <w:divBdr>
        <w:top w:val="none" w:sz="0" w:space="0" w:color="auto"/>
        <w:left w:val="none" w:sz="0" w:space="0" w:color="auto"/>
        <w:bottom w:val="none" w:sz="0" w:space="0" w:color="auto"/>
        <w:right w:val="none" w:sz="0" w:space="0" w:color="auto"/>
      </w:divBdr>
    </w:div>
    <w:div w:id="2015911663">
      <w:marLeft w:val="0"/>
      <w:marRight w:val="0"/>
      <w:marTop w:val="0"/>
      <w:marBottom w:val="0"/>
      <w:divBdr>
        <w:top w:val="none" w:sz="0" w:space="0" w:color="auto"/>
        <w:left w:val="none" w:sz="0" w:space="0" w:color="auto"/>
        <w:bottom w:val="none" w:sz="0" w:space="0" w:color="auto"/>
        <w:right w:val="none" w:sz="0" w:space="0" w:color="auto"/>
      </w:divBdr>
    </w:div>
    <w:div w:id="2016224996">
      <w:marLeft w:val="0"/>
      <w:marRight w:val="0"/>
      <w:marTop w:val="0"/>
      <w:marBottom w:val="0"/>
      <w:divBdr>
        <w:top w:val="none" w:sz="0" w:space="0" w:color="auto"/>
        <w:left w:val="none" w:sz="0" w:space="0" w:color="auto"/>
        <w:bottom w:val="none" w:sz="0" w:space="0" w:color="auto"/>
        <w:right w:val="none" w:sz="0" w:space="0" w:color="auto"/>
      </w:divBdr>
    </w:div>
    <w:div w:id="2021076257">
      <w:marLeft w:val="0"/>
      <w:marRight w:val="0"/>
      <w:marTop w:val="0"/>
      <w:marBottom w:val="0"/>
      <w:divBdr>
        <w:top w:val="none" w:sz="0" w:space="0" w:color="auto"/>
        <w:left w:val="none" w:sz="0" w:space="0" w:color="auto"/>
        <w:bottom w:val="none" w:sz="0" w:space="0" w:color="auto"/>
        <w:right w:val="none" w:sz="0" w:space="0" w:color="auto"/>
      </w:divBdr>
    </w:div>
    <w:div w:id="2022195111">
      <w:marLeft w:val="0"/>
      <w:marRight w:val="0"/>
      <w:marTop w:val="0"/>
      <w:marBottom w:val="0"/>
      <w:divBdr>
        <w:top w:val="none" w:sz="0" w:space="0" w:color="auto"/>
        <w:left w:val="none" w:sz="0" w:space="0" w:color="auto"/>
        <w:bottom w:val="none" w:sz="0" w:space="0" w:color="auto"/>
        <w:right w:val="none" w:sz="0" w:space="0" w:color="auto"/>
      </w:divBdr>
    </w:div>
    <w:div w:id="2023583223">
      <w:marLeft w:val="0"/>
      <w:marRight w:val="0"/>
      <w:marTop w:val="0"/>
      <w:marBottom w:val="0"/>
      <w:divBdr>
        <w:top w:val="none" w:sz="0" w:space="0" w:color="auto"/>
        <w:left w:val="none" w:sz="0" w:space="0" w:color="auto"/>
        <w:bottom w:val="none" w:sz="0" w:space="0" w:color="auto"/>
        <w:right w:val="none" w:sz="0" w:space="0" w:color="auto"/>
      </w:divBdr>
    </w:div>
    <w:div w:id="2025011507">
      <w:marLeft w:val="0"/>
      <w:marRight w:val="0"/>
      <w:marTop w:val="0"/>
      <w:marBottom w:val="0"/>
      <w:divBdr>
        <w:top w:val="none" w:sz="0" w:space="0" w:color="auto"/>
        <w:left w:val="none" w:sz="0" w:space="0" w:color="auto"/>
        <w:bottom w:val="none" w:sz="0" w:space="0" w:color="auto"/>
        <w:right w:val="none" w:sz="0" w:space="0" w:color="auto"/>
      </w:divBdr>
    </w:div>
    <w:div w:id="2025279344">
      <w:marLeft w:val="0"/>
      <w:marRight w:val="0"/>
      <w:marTop w:val="0"/>
      <w:marBottom w:val="0"/>
      <w:divBdr>
        <w:top w:val="none" w:sz="0" w:space="0" w:color="auto"/>
        <w:left w:val="none" w:sz="0" w:space="0" w:color="auto"/>
        <w:bottom w:val="none" w:sz="0" w:space="0" w:color="auto"/>
        <w:right w:val="none" w:sz="0" w:space="0" w:color="auto"/>
      </w:divBdr>
    </w:div>
    <w:div w:id="2025744163">
      <w:marLeft w:val="0"/>
      <w:marRight w:val="0"/>
      <w:marTop w:val="0"/>
      <w:marBottom w:val="0"/>
      <w:divBdr>
        <w:top w:val="none" w:sz="0" w:space="0" w:color="auto"/>
        <w:left w:val="none" w:sz="0" w:space="0" w:color="auto"/>
        <w:bottom w:val="none" w:sz="0" w:space="0" w:color="auto"/>
        <w:right w:val="none" w:sz="0" w:space="0" w:color="auto"/>
      </w:divBdr>
    </w:div>
    <w:div w:id="2025860878">
      <w:marLeft w:val="0"/>
      <w:marRight w:val="0"/>
      <w:marTop w:val="0"/>
      <w:marBottom w:val="0"/>
      <w:divBdr>
        <w:top w:val="none" w:sz="0" w:space="0" w:color="auto"/>
        <w:left w:val="none" w:sz="0" w:space="0" w:color="auto"/>
        <w:bottom w:val="none" w:sz="0" w:space="0" w:color="auto"/>
        <w:right w:val="none" w:sz="0" w:space="0" w:color="auto"/>
      </w:divBdr>
    </w:div>
    <w:div w:id="2027977257">
      <w:marLeft w:val="0"/>
      <w:marRight w:val="0"/>
      <w:marTop w:val="240"/>
      <w:marBottom w:val="240"/>
      <w:divBdr>
        <w:top w:val="none" w:sz="0" w:space="0" w:color="auto"/>
        <w:left w:val="none" w:sz="0" w:space="0" w:color="auto"/>
        <w:bottom w:val="none" w:sz="0" w:space="0" w:color="auto"/>
        <w:right w:val="none" w:sz="0" w:space="0" w:color="auto"/>
      </w:divBdr>
    </w:div>
    <w:div w:id="2028939964">
      <w:marLeft w:val="0"/>
      <w:marRight w:val="0"/>
      <w:marTop w:val="0"/>
      <w:marBottom w:val="0"/>
      <w:divBdr>
        <w:top w:val="none" w:sz="0" w:space="0" w:color="auto"/>
        <w:left w:val="none" w:sz="0" w:space="0" w:color="auto"/>
        <w:bottom w:val="none" w:sz="0" w:space="0" w:color="auto"/>
        <w:right w:val="none" w:sz="0" w:space="0" w:color="auto"/>
      </w:divBdr>
    </w:div>
    <w:div w:id="2029065678">
      <w:marLeft w:val="0"/>
      <w:marRight w:val="0"/>
      <w:marTop w:val="0"/>
      <w:marBottom w:val="0"/>
      <w:divBdr>
        <w:top w:val="none" w:sz="0" w:space="0" w:color="auto"/>
        <w:left w:val="none" w:sz="0" w:space="0" w:color="auto"/>
        <w:bottom w:val="none" w:sz="0" w:space="0" w:color="auto"/>
        <w:right w:val="none" w:sz="0" w:space="0" w:color="auto"/>
      </w:divBdr>
    </w:div>
    <w:div w:id="2029327628">
      <w:marLeft w:val="0"/>
      <w:marRight w:val="0"/>
      <w:marTop w:val="0"/>
      <w:marBottom w:val="0"/>
      <w:divBdr>
        <w:top w:val="none" w:sz="0" w:space="0" w:color="auto"/>
        <w:left w:val="none" w:sz="0" w:space="0" w:color="auto"/>
        <w:bottom w:val="none" w:sz="0" w:space="0" w:color="auto"/>
        <w:right w:val="none" w:sz="0" w:space="0" w:color="auto"/>
      </w:divBdr>
    </w:div>
    <w:div w:id="2031564891">
      <w:marLeft w:val="0"/>
      <w:marRight w:val="0"/>
      <w:marTop w:val="0"/>
      <w:marBottom w:val="0"/>
      <w:divBdr>
        <w:top w:val="none" w:sz="0" w:space="0" w:color="auto"/>
        <w:left w:val="none" w:sz="0" w:space="0" w:color="auto"/>
        <w:bottom w:val="none" w:sz="0" w:space="0" w:color="auto"/>
        <w:right w:val="none" w:sz="0" w:space="0" w:color="auto"/>
      </w:divBdr>
    </w:div>
    <w:div w:id="2032102007">
      <w:marLeft w:val="0"/>
      <w:marRight w:val="0"/>
      <w:marTop w:val="0"/>
      <w:marBottom w:val="0"/>
      <w:divBdr>
        <w:top w:val="none" w:sz="0" w:space="0" w:color="auto"/>
        <w:left w:val="none" w:sz="0" w:space="0" w:color="auto"/>
        <w:bottom w:val="none" w:sz="0" w:space="0" w:color="auto"/>
        <w:right w:val="none" w:sz="0" w:space="0" w:color="auto"/>
      </w:divBdr>
    </w:div>
    <w:div w:id="2032224844">
      <w:marLeft w:val="0"/>
      <w:marRight w:val="0"/>
      <w:marTop w:val="0"/>
      <w:marBottom w:val="0"/>
      <w:divBdr>
        <w:top w:val="none" w:sz="0" w:space="0" w:color="auto"/>
        <w:left w:val="none" w:sz="0" w:space="0" w:color="auto"/>
        <w:bottom w:val="none" w:sz="0" w:space="0" w:color="auto"/>
        <w:right w:val="none" w:sz="0" w:space="0" w:color="auto"/>
      </w:divBdr>
    </w:div>
    <w:div w:id="2032951435">
      <w:marLeft w:val="0"/>
      <w:marRight w:val="0"/>
      <w:marTop w:val="0"/>
      <w:marBottom w:val="0"/>
      <w:divBdr>
        <w:top w:val="none" w:sz="0" w:space="0" w:color="auto"/>
        <w:left w:val="none" w:sz="0" w:space="0" w:color="auto"/>
        <w:bottom w:val="none" w:sz="0" w:space="0" w:color="auto"/>
        <w:right w:val="none" w:sz="0" w:space="0" w:color="auto"/>
      </w:divBdr>
    </w:div>
    <w:div w:id="2033413646">
      <w:marLeft w:val="0"/>
      <w:marRight w:val="0"/>
      <w:marTop w:val="0"/>
      <w:marBottom w:val="0"/>
      <w:divBdr>
        <w:top w:val="none" w:sz="0" w:space="0" w:color="auto"/>
        <w:left w:val="none" w:sz="0" w:space="0" w:color="auto"/>
        <w:bottom w:val="none" w:sz="0" w:space="0" w:color="auto"/>
        <w:right w:val="none" w:sz="0" w:space="0" w:color="auto"/>
      </w:divBdr>
    </w:div>
    <w:div w:id="2033719781">
      <w:marLeft w:val="0"/>
      <w:marRight w:val="0"/>
      <w:marTop w:val="0"/>
      <w:marBottom w:val="0"/>
      <w:divBdr>
        <w:top w:val="none" w:sz="0" w:space="0" w:color="auto"/>
        <w:left w:val="none" w:sz="0" w:space="0" w:color="auto"/>
        <w:bottom w:val="none" w:sz="0" w:space="0" w:color="auto"/>
        <w:right w:val="none" w:sz="0" w:space="0" w:color="auto"/>
      </w:divBdr>
    </w:div>
    <w:div w:id="2033798527">
      <w:marLeft w:val="0"/>
      <w:marRight w:val="0"/>
      <w:marTop w:val="0"/>
      <w:marBottom w:val="0"/>
      <w:divBdr>
        <w:top w:val="none" w:sz="0" w:space="0" w:color="auto"/>
        <w:left w:val="none" w:sz="0" w:space="0" w:color="auto"/>
        <w:bottom w:val="none" w:sz="0" w:space="0" w:color="auto"/>
        <w:right w:val="none" w:sz="0" w:space="0" w:color="auto"/>
      </w:divBdr>
    </w:div>
    <w:div w:id="2034107930">
      <w:marLeft w:val="0"/>
      <w:marRight w:val="0"/>
      <w:marTop w:val="0"/>
      <w:marBottom w:val="0"/>
      <w:divBdr>
        <w:top w:val="none" w:sz="0" w:space="0" w:color="auto"/>
        <w:left w:val="none" w:sz="0" w:space="0" w:color="auto"/>
        <w:bottom w:val="none" w:sz="0" w:space="0" w:color="auto"/>
        <w:right w:val="none" w:sz="0" w:space="0" w:color="auto"/>
      </w:divBdr>
    </w:div>
    <w:div w:id="2034650996">
      <w:marLeft w:val="0"/>
      <w:marRight w:val="0"/>
      <w:marTop w:val="0"/>
      <w:marBottom w:val="0"/>
      <w:divBdr>
        <w:top w:val="none" w:sz="0" w:space="0" w:color="auto"/>
        <w:left w:val="none" w:sz="0" w:space="0" w:color="auto"/>
        <w:bottom w:val="none" w:sz="0" w:space="0" w:color="auto"/>
        <w:right w:val="none" w:sz="0" w:space="0" w:color="auto"/>
      </w:divBdr>
    </w:div>
    <w:div w:id="2035035923">
      <w:marLeft w:val="0"/>
      <w:marRight w:val="0"/>
      <w:marTop w:val="0"/>
      <w:marBottom w:val="0"/>
      <w:divBdr>
        <w:top w:val="none" w:sz="0" w:space="0" w:color="auto"/>
        <w:left w:val="none" w:sz="0" w:space="0" w:color="auto"/>
        <w:bottom w:val="none" w:sz="0" w:space="0" w:color="auto"/>
        <w:right w:val="none" w:sz="0" w:space="0" w:color="auto"/>
      </w:divBdr>
    </w:div>
    <w:div w:id="2036223996">
      <w:marLeft w:val="0"/>
      <w:marRight w:val="0"/>
      <w:marTop w:val="0"/>
      <w:marBottom w:val="0"/>
      <w:divBdr>
        <w:top w:val="none" w:sz="0" w:space="0" w:color="auto"/>
        <w:left w:val="none" w:sz="0" w:space="0" w:color="auto"/>
        <w:bottom w:val="none" w:sz="0" w:space="0" w:color="auto"/>
        <w:right w:val="none" w:sz="0" w:space="0" w:color="auto"/>
      </w:divBdr>
    </w:div>
    <w:div w:id="2037349355">
      <w:marLeft w:val="0"/>
      <w:marRight w:val="0"/>
      <w:marTop w:val="0"/>
      <w:marBottom w:val="0"/>
      <w:divBdr>
        <w:top w:val="none" w:sz="0" w:space="0" w:color="auto"/>
        <w:left w:val="none" w:sz="0" w:space="0" w:color="auto"/>
        <w:bottom w:val="none" w:sz="0" w:space="0" w:color="auto"/>
        <w:right w:val="none" w:sz="0" w:space="0" w:color="auto"/>
      </w:divBdr>
    </w:div>
    <w:div w:id="2037848873">
      <w:marLeft w:val="0"/>
      <w:marRight w:val="0"/>
      <w:marTop w:val="0"/>
      <w:marBottom w:val="0"/>
      <w:divBdr>
        <w:top w:val="none" w:sz="0" w:space="0" w:color="auto"/>
        <w:left w:val="none" w:sz="0" w:space="0" w:color="auto"/>
        <w:bottom w:val="none" w:sz="0" w:space="0" w:color="auto"/>
        <w:right w:val="none" w:sz="0" w:space="0" w:color="auto"/>
      </w:divBdr>
    </w:div>
    <w:div w:id="2037852869">
      <w:marLeft w:val="0"/>
      <w:marRight w:val="0"/>
      <w:marTop w:val="0"/>
      <w:marBottom w:val="0"/>
      <w:divBdr>
        <w:top w:val="none" w:sz="0" w:space="0" w:color="auto"/>
        <w:left w:val="none" w:sz="0" w:space="0" w:color="auto"/>
        <w:bottom w:val="none" w:sz="0" w:space="0" w:color="auto"/>
        <w:right w:val="none" w:sz="0" w:space="0" w:color="auto"/>
      </w:divBdr>
    </w:div>
    <w:div w:id="2037924728">
      <w:marLeft w:val="0"/>
      <w:marRight w:val="0"/>
      <w:marTop w:val="0"/>
      <w:marBottom w:val="0"/>
      <w:divBdr>
        <w:top w:val="none" w:sz="0" w:space="0" w:color="auto"/>
        <w:left w:val="none" w:sz="0" w:space="0" w:color="auto"/>
        <w:bottom w:val="none" w:sz="0" w:space="0" w:color="auto"/>
        <w:right w:val="none" w:sz="0" w:space="0" w:color="auto"/>
      </w:divBdr>
    </w:div>
    <w:div w:id="2038046088">
      <w:marLeft w:val="0"/>
      <w:marRight w:val="0"/>
      <w:marTop w:val="0"/>
      <w:marBottom w:val="0"/>
      <w:divBdr>
        <w:top w:val="none" w:sz="0" w:space="0" w:color="auto"/>
        <w:left w:val="none" w:sz="0" w:space="0" w:color="auto"/>
        <w:bottom w:val="none" w:sz="0" w:space="0" w:color="auto"/>
        <w:right w:val="none" w:sz="0" w:space="0" w:color="auto"/>
      </w:divBdr>
    </w:div>
    <w:div w:id="2038192556">
      <w:marLeft w:val="0"/>
      <w:marRight w:val="0"/>
      <w:marTop w:val="0"/>
      <w:marBottom w:val="0"/>
      <w:divBdr>
        <w:top w:val="none" w:sz="0" w:space="0" w:color="auto"/>
        <w:left w:val="none" w:sz="0" w:space="0" w:color="auto"/>
        <w:bottom w:val="none" w:sz="0" w:space="0" w:color="auto"/>
        <w:right w:val="none" w:sz="0" w:space="0" w:color="auto"/>
      </w:divBdr>
    </w:div>
    <w:div w:id="2038580038">
      <w:marLeft w:val="0"/>
      <w:marRight w:val="0"/>
      <w:marTop w:val="0"/>
      <w:marBottom w:val="0"/>
      <w:divBdr>
        <w:top w:val="none" w:sz="0" w:space="0" w:color="auto"/>
        <w:left w:val="none" w:sz="0" w:space="0" w:color="auto"/>
        <w:bottom w:val="none" w:sz="0" w:space="0" w:color="auto"/>
        <w:right w:val="none" w:sz="0" w:space="0" w:color="auto"/>
      </w:divBdr>
    </w:div>
    <w:div w:id="2040164036">
      <w:marLeft w:val="0"/>
      <w:marRight w:val="0"/>
      <w:marTop w:val="0"/>
      <w:marBottom w:val="0"/>
      <w:divBdr>
        <w:top w:val="none" w:sz="0" w:space="0" w:color="auto"/>
        <w:left w:val="none" w:sz="0" w:space="0" w:color="auto"/>
        <w:bottom w:val="none" w:sz="0" w:space="0" w:color="auto"/>
        <w:right w:val="none" w:sz="0" w:space="0" w:color="auto"/>
      </w:divBdr>
      <w:divsChild>
        <w:div w:id="301081559">
          <w:marLeft w:val="0"/>
          <w:marRight w:val="0"/>
          <w:marTop w:val="0"/>
          <w:marBottom w:val="0"/>
          <w:divBdr>
            <w:top w:val="none" w:sz="0" w:space="0" w:color="auto"/>
            <w:left w:val="none" w:sz="0" w:space="0" w:color="auto"/>
            <w:bottom w:val="none" w:sz="0" w:space="0" w:color="auto"/>
            <w:right w:val="none" w:sz="0" w:space="0" w:color="auto"/>
          </w:divBdr>
        </w:div>
      </w:divsChild>
    </w:div>
    <w:div w:id="2040273340">
      <w:marLeft w:val="0"/>
      <w:marRight w:val="0"/>
      <w:marTop w:val="0"/>
      <w:marBottom w:val="0"/>
      <w:divBdr>
        <w:top w:val="none" w:sz="0" w:space="0" w:color="auto"/>
        <w:left w:val="none" w:sz="0" w:space="0" w:color="auto"/>
        <w:bottom w:val="none" w:sz="0" w:space="0" w:color="auto"/>
        <w:right w:val="none" w:sz="0" w:space="0" w:color="auto"/>
      </w:divBdr>
    </w:div>
    <w:div w:id="2040691981">
      <w:marLeft w:val="0"/>
      <w:marRight w:val="0"/>
      <w:marTop w:val="0"/>
      <w:marBottom w:val="0"/>
      <w:divBdr>
        <w:top w:val="none" w:sz="0" w:space="0" w:color="auto"/>
        <w:left w:val="none" w:sz="0" w:space="0" w:color="auto"/>
        <w:bottom w:val="none" w:sz="0" w:space="0" w:color="auto"/>
        <w:right w:val="none" w:sz="0" w:space="0" w:color="auto"/>
      </w:divBdr>
    </w:div>
    <w:div w:id="2041474235">
      <w:marLeft w:val="0"/>
      <w:marRight w:val="0"/>
      <w:marTop w:val="0"/>
      <w:marBottom w:val="0"/>
      <w:divBdr>
        <w:top w:val="none" w:sz="0" w:space="0" w:color="auto"/>
        <w:left w:val="none" w:sz="0" w:space="0" w:color="auto"/>
        <w:bottom w:val="none" w:sz="0" w:space="0" w:color="auto"/>
        <w:right w:val="none" w:sz="0" w:space="0" w:color="auto"/>
      </w:divBdr>
    </w:div>
    <w:div w:id="2043553892">
      <w:marLeft w:val="0"/>
      <w:marRight w:val="0"/>
      <w:marTop w:val="0"/>
      <w:marBottom w:val="0"/>
      <w:divBdr>
        <w:top w:val="none" w:sz="0" w:space="0" w:color="auto"/>
        <w:left w:val="none" w:sz="0" w:space="0" w:color="auto"/>
        <w:bottom w:val="none" w:sz="0" w:space="0" w:color="auto"/>
        <w:right w:val="none" w:sz="0" w:space="0" w:color="auto"/>
      </w:divBdr>
    </w:div>
    <w:div w:id="2043818913">
      <w:marLeft w:val="0"/>
      <w:marRight w:val="0"/>
      <w:marTop w:val="0"/>
      <w:marBottom w:val="0"/>
      <w:divBdr>
        <w:top w:val="none" w:sz="0" w:space="0" w:color="auto"/>
        <w:left w:val="none" w:sz="0" w:space="0" w:color="auto"/>
        <w:bottom w:val="none" w:sz="0" w:space="0" w:color="auto"/>
        <w:right w:val="none" w:sz="0" w:space="0" w:color="auto"/>
      </w:divBdr>
    </w:div>
    <w:div w:id="2044133708">
      <w:marLeft w:val="0"/>
      <w:marRight w:val="0"/>
      <w:marTop w:val="0"/>
      <w:marBottom w:val="0"/>
      <w:divBdr>
        <w:top w:val="none" w:sz="0" w:space="0" w:color="auto"/>
        <w:left w:val="none" w:sz="0" w:space="0" w:color="auto"/>
        <w:bottom w:val="none" w:sz="0" w:space="0" w:color="auto"/>
        <w:right w:val="none" w:sz="0" w:space="0" w:color="auto"/>
      </w:divBdr>
    </w:div>
    <w:div w:id="2044134496">
      <w:marLeft w:val="0"/>
      <w:marRight w:val="0"/>
      <w:marTop w:val="0"/>
      <w:marBottom w:val="0"/>
      <w:divBdr>
        <w:top w:val="none" w:sz="0" w:space="0" w:color="auto"/>
        <w:left w:val="none" w:sz="0" w:space="0" w:color="auto"/>
        <w:bottom w:val="none" w:sz="0" w:space="0" w:color="auto"/>
        <w:right w:val="none" w:sz="0" w:space="0" w:color="auto"/>
      </w:divBdr>
    </w:div>
    <w:div w:id="2045523712">
      <w:marLeft w:val="0"/>
      <w:marRight w:val="0"/>
      <w:marTop w:val="0"/>
      <w:marBottom w:val="0"/>
      <w:divBdr>
        <w:top w:val="none" w:sz="0" w:space="0" w:color="auto"/>
        <w:left w:val="none" w:sz="0" w:space="0" w:color="auto"/>
        <w:bottom w:val="none" w:sz="0" w:space="0" w:color="auto"/>
        <w:right w:val="none" w:sz="0" w:space="0" w:color="auto"/>
      </w:divBdr>
    </w:div>
    <w:div w:id="2046445644">
      <w:marLeft w:val="0"/>
      <w:marRight w:val="0"/>
      <w:marTop w:val="0"/>
      <w:marBottom w:val="0"/>
      <w:divBdr>
        <w:top w:val="none" w:sz="0" w:space="0" w:color="auto"/>
        <w:left w:val="none" w:sz="0" w:space="0" w:color="auto"/>
        <w:bottom w:val="none" w:sz="0" w:space="0" w:color="auto"/>
        <w:right w:val="none" w:sz="0" w:space="0" w:color="auto"/>
      </w:divBdr>
    </w:div>
    <w:div w:id="2046523336">
      <w:marLeft w:val="0"/>
      <w:marRight w:val="0"/>
      <w:marTop w:val="0"/>
      <w:marBottom w:val="0"/>
      <w:divBdr>
        <w:top w:val="none" w:sz="0" w:space="0" w:color="auto"/>
        <w:left w:val="none" w:sz="0" w:space="0" w:color="auto"/>
        <w:bottom w:val="none" w:sz="0" w:space="0" w:color="auto"/>
        <w:right w:val="none" w:sz="0" w:space="0" w:color="auto"/>
      </w:divBdr>
    </w:div>
    <w:div w:id="2046982984">
      <w:marLeft w:val="0"/>
      <w:marRight w:val="0"/>
      <w:marTop w:val="0"/>
      <w:marBottom w:val="0"/>
      <w:divBdr>
        <w:top w:val="none" w:sz="0" w:space="0" w:color="auto"/>
        <w:left w:val="none" w:sz="0" w:space="0" w:color="auto"/>
        <w:bottom w:val="none" w:sz="0" w:space="0" w:color="auto"/>
        <w:right w:val="none" w:sz="0" w:space="0" w:color="auto"/>
      </w:divBdr>
    </w:div>
    <w:div w:id="2047563646">
      <w:marLeft w:val="0"/>
      <w:marRight w:val="0"/>
      <w:marTop w:val="0"/>
      <w:marBottom w:val="0"/>
      <w:divBdr>
        <w:top w:val="none" w:sz="0" w:space="0" w:color="auto"/>
        <w:left w:val="none" w:sz="0" w:space="0" w:color="auto"/>
        <w:bottom w:val="none" w:sz="0" w:space="0" w:color="auto"/>
        <w:right w:val="none" w:sz="0" w:space="0" w:color="auto"/>
      </w:divBdr>
    </w:div>
    <w:div w:id="2050646053">
      <w:marLeft w:val="0"/>
      <w:marRight w:val="0"/>
      <w:marTop w:val="0"/>
      <w:marBottom w:val="0"/>
      <w:divBdr>
        <w:top w:val="none" w:sz="0" w:space="0" w:color="auto"/>
        <w:left w:val="none" w:sz="0" w:space="0" w:color="auto"/>
        <w:bottom w:val="none" w:sz="0" w:space="0" w:color="auto"/>
        <w:right w:val="none" w:sz="0" w:space="0" w:color="auto"/>
      </w:divBdr>
    </w:div>
    <w:div w:id="2053068416">
      <w:marLeft w:val="0"/>
      <w:marRight w:val="0"/>
      <w:marTop w:val="0"/>
      <w:marBottom w:val="0"/>
      <w:divBdr>
        <w:top w:val="none" w:sz="0" w:space="0" w:color="auto"/>
        <w:left w:val="none" w:sz="0" w:space="0" w:color="auto"/>
        <w:bottom w:val="none" w:sz="0" w:space="0" w:color="auto"/>
        <w:right w:val="none" w:sz="0" w:space="0" w:color="auto"/>
      </w:divBdr>
    </w:div>
    <w:div w:id="2053073324">
      <w:marLeft w:val="0"/>
      <w:marRight w:val="0"/>
      <w:marTop w:val="0"/>
      <w:marBottom w:val="0"/>
      <w:divBdr>
        <w:top w:val="none" w:sz="0" w:space="0" w:color="auto"/>
        <w:left w:val="none" w:sz="0" w:space="0" w:color="auto"/>
        <w:bottom w:val="none" w:sz="0" w:space="0" w:color="auto"/>
        <w:right w:val="none" w:sz="0" w:space="0" w:color="auto"/>
      </w:divBdr>
    </w:div>
    <w:div w:id="2053377653">
      <w:marLeft w:val="0"/>
      <w:marRight w:val="0"/>
      <w:marTop w:val="0"/>
      <w:marBottom w:val="0"/>
      <w:divBdr>
        <w:top w:val="none" w:sz="0" w:space="0" w:color="auto"/>
        <w:left w:val="none" w:sz="0" w:space="0" w:color="auto"/>
        <w:bottom w:val="none" w:sz="0" w:space="0" w:color="auto"/>
        <w:right w:val="none" w:sz="0" w:space="0" w:color="auto"/>
      </w:divBdr>
    </w:div>
    <w:div w:id="2053531780">
      <w:marLeft w:val="0"/>
      <w:marRight w:val="0"/>
      <w:marTop w:val="0"/>
      <w:marBottom w:val="0"/>
      <w:divBdr>
        <w:top w:val="none" w:sz="0" w:space="0" w:color="auto"/>
        <w:left w:val="none" w:sz="0" w:space="0" w:color="auto"/>
        <w:bottom w:val="none" w:sz="0" w:space="0" w:color="auto"/>
        <w:right w:val="none" w:sz="0" w:space="0" w:color="auto"/>
      </w:divBdr>
    </w:div>
    <w:div w:id="2054302396">
      <w:marLeft w:val="0"/>
      <w:marRight w:val="0"/>
      <w:marTop w:val="0"/>
      <w:marBottom w:val="0"/>
      <w:divBdr>
        <w:top w:val="none" w:sz="0" w:space="0" w:color="auto"/>
        <w:left w:val="none" w:sz="0" w:space="0" w:color="auto"/>
        <w:bottom w:val="none" w:sz="0" w:space="0" w:color="auto"/>
        <w:right w:val="none" w:sz="0" w:space="0" w:color="auto"/>
      </w:divBdr>
    </w:div>
    <w:div w:id="2054886604">
      <w:marLeft w:val="0"/>
      <w:marRight w:val="0"/>
      <w:marTop w:val="0"/>
      <w:marBottom w:val="0"/>
      <w:divBdr>
        <w:top w:val="none" w:sz="0" w:space="0" w:color="auto"/>
        <w:left w:val="none" w:sz="0" w:space="0" w:color="auto"/>
        <w:bottom w:val="none" w:sz="0" w:space="0" w:color="auto"/>
        <w:right w:val="none" w:sz="0" w:space="0" w:color="auto"/>
      </w:divBdr>
    </w:div>
    <w:div w:id="2056390763">
      <w:marLeft w:val="0"/>
      <w:marRight w:val="0"/>
      <w:marTop w:val="0"/>
      <w:marBottom w:val="0"/>
      <w:divBdr>
        <w:top w:val="none" w:sz="0" w:space="0" w:color="auto"/>
        <w:left w:val="none" w:sz="0" w:space="0" w:color="auto"/>
        <w:bottom w:val="none" w:sz="0" w:space="0" w:color="auto"/>
        <w:right w:val="none" w:sz="0" w:space="0" w:color="auto"/>
      </w:divBdr>
    </w:div>
    <w:div w:id="2057044794">
      <w:marLeft w:val="0"/>
      <w:marRight w:val="0"/>
      <w:marTop w:val="0"/>
      <w:marBottom w:val="0"/>
      <w:divBdr>
        <w:top w:val="none" w:sz="0" w:space="0" w:color="auto"/>
        <w:left w:val="none" w:sz="0" w:space="0" w:color="auto"/>
        <w:bottom w:val="none" w:sz="0" w:space="0" w:color="auto"/>
        <w:right w:val="none" w:sz="0" w:space="0" w:color="auto"/>
      </w:divBdr>
    </w:div>
    <w:div w:id="2057507707">
      <w:marLeft w:val="0"/>
      <w:marRight w:val="0"/>
      <w:marTop w:val="0"/>
      <w:marBottom w:val="0"/>
      <w:divBdr>
        <w:top w:val="none" w:sz="0" w:space="0" w:color="auto"/>
        <w:left w:val="none" w:sz="0" w:space="0" w:color="auto"/>
        <w:bottom w:val="none" w:sz="0" w:space="0" w:color="auto"/>
        <w:right w:val="none" w:sz="0" w:space="0" w:color="auto"/>
      </w:divBdr>
    </w:div>
    <w:div w:id="2058123717">
      <w:marLeft w:val="0"/>
      <w:marRight w:val="0"/>
      <w:marTop w:val="0"/>
      <w:marBottom w:val="0"/>
      <w:divBdr>
        <w:top w:val="none" w:sz="0" w:space="0" w:color="auto"/>
        <w:left w:val="none" w:sz="0" w:space="0" w:color="auto"/>
        <w:bottom w:val="none" w:sz="0" w:space="0" w:color="auto"/>
        <w:right w:val="none" w:sz="0" w:space="0" w:color="auto"/>
      </w:divBdr>
    </w:div>
    <w:div w:id="2058239152">
      <w:marLeft w:val="0"/>
      <w:marRight w:val="0"/>
      <w:marTop w:val="0"/>
      <w:marBottom w:val="0"/>
      <w:divBdr>
        <w:top w:val="none" w:sz="0" w:space="0" w:color="auto"/>
        <w:left w:val="none" w:sz="0" w:space="0" w:color="auto"/>
        <w:bottom w:val="none" w:sz="0" w:space="0" w:color="auto"/>
        <w:right w:val="none" w:sz="0" w:space="0" w:color="auto"/>
      </w:divBdr>
    </w:div>
    <w:div w:id="2058969013">
      <w:marLeft w:val="0"/>
      <w:marRight w:val="0"/>
      <w:marTop w:val="0"/>
      <w:marBottom w:val="0"/>
      <w:divBdr>
        <w:top w:val="none" w:sz="0" w:space="0" w:color="auto"/>
        <w:left w:val="none" w:sz="0" w:space="0" w:color="auto"/>
        <w:bottom w:val="none" w:sz="0" w:space="0" w:color="auto"/>
        <w:right w:val="none" w:sz="0" w:space="0" w:color="auto"/>
      </w:divBdr>
    </w:div>
    <w:div w:id="2059431115">
      <w:marLeft w:val="0"/>
      <w:marRight w:val="0"/>
      <w:marTop w:val="0"/>
      <w:marBottom w:val="0"/>
      <w:divBdr>
        <w:top w:val="none" w:sz="0" w:space="0" w:color="auto"/>
        <w:left w:val="none" w:sz="0" w:space="0" w:color="auto"/>
        <w:bottom w:val="none" w:sz="0" w:space="0" w:color="auto"/>
        <w:right w:val="none" w:sz="0" w:space="0" w:color="auto"/>
      </w:divBdr>
    </w:div>
    <w:div w:id="2061395358">
      <w:marLeft w:val="0"/>
      <w:marRight w:val="0"/>
      <w:marTop w:val="0"/>
      <w:marBottom w:val="0"/>
      <w:divBdr>
        <w:top w:val="none" w:sz="0" w:space="0" w:color="auto"/>
        <w:left w:val="none" w:sz="0" w:space="0" w:color="auto"/>
        <w:bottom w:val="none" w:sz="0" w:space="0" w:color="auto"/>
        <w:right w:val="none" w:sz="0" w:space="0" w:color="auto"/>
      </w:divBdr>
    </w:div>
    <w:div w:id="2062050252">
      <w:marLeft w:val="0"/>
      <w:marRight w:val="0"/>
      <w:marTop w:val="0"/>
      <w:marBottom w:val="0"/>
      <w:divBdr>
        <w:top w:val="none" w:sz="0" w:space="0" w:color="auto"/>
        <w:left w:val="none" w:sz="0" w:space="0" w:color="auto"/>
        <w:bottom w:val="none" w:sz="0" w:space="0" w:color="auto"/>
        <w:right w:val="none" w:sz="0" w:space="0" w:color="auto"/>
      </w:divBdr>
    </w:div>
    <w:div w:id="2062707648">
      <w:marLeft w:val="0"/>
      <w:marRight w:val="0"/>
      <w:marTop w:val="0"/>
      <w:marBottom w:val="0"/>
      <w:divBdr>
        <w:top w:val="none" w:sz="0" w:space="0" w:color="auto"/>
        <w:left w:val="none" w:sz="0" w:space="0" w:color="auto"/>
        <w:bottom w:val="none" w:sz="0" w:space="0" w:color="auto"/>
        <w:right w:val="none" w:sz="0" w:space="0" w:color="auto"/>
      </w:divBdr>
    </w:div>
    <w:div w:id="2064599636">
      <w:marLeft w:val="0"/>
      <w:marRight w:val="0"/>
      <w:marTop w:val="0"/>
      <w:marBottom w:val="0"/>
      <w:divBdr>
        <w:top w:val="none" w:sz="0" w:space="0" w:color="auto"/>
        <w:left w:val="none" w:sz="0" w:space="0" w:color="auto"/>
        <w:bottom w:val="none" w:sz="0" w:space="0" w:color="auto"/>
        <w:right w:val="none" w:sz="0" w:space="0" w:color="auto"/>
      </w:divBdr>
    </w:div>
    <w:div w:id="2066836553">
      <w:marLeft w:val="0"/>
      <w:marRight w:val="0"/>
      <w:marTop w:val="0"/>
      <w:marBottom w:val="0"/>
      <w:divBdr>
        <w:top w:val="none" w:sz="0" w:space="0" w:color="auto"/>
        <w:left w:val="none" w:sz="0" w:space="0" w:color="auto"/>
        <w:bottom w:val="none" w:sz="0" w:space="0" w:color="auto"/>
        <w:right w:val="none" w:sz="0" w:space="0" w:color="auto"/>
      </w:divBdr>
    </w:div>
    <w:div w:id="2067680686">
      <w:marLeft w:val="0"/>
      <w:marRight w:val="0"/>
      <w:marTop w:val="0"/>
      <w:marBottom w:val="0"/>
      <w:divBdr>
        <w:top w:val="none" w:sz="0" w:space="0" w:color="auto"/>
        <w:left w:val="none" w:sz="0" w:space="0" w:color="auto"/>
        <w:bottom w:val="none" w:sz="0" w:space="0" w:color="auto"/>
        <w:right w:val="none" w:sz="0" w:space="0" w:color="auto"/>
      </w:divBdr>
      <w:divsChild>
        <w:div w:id="1056706130">
          <w:marLeft w:val="0"/>
          <w:marRight w:val="0"/>
          <w:marTop w:val="0"/>
          <w:marBottom w:val="0"/>
          <w:divBdr>
            <w:top w:val="none" w:sz="0" w:space="0" w:color="auto"/>
            <w:left w:val="none" w:sz="0" w:space="0" w:color="auto"/>
            <w:bottom w:val="none" w:sz="0" w:space="0" w:color="auto"/>
            <w:right w:val="none" w:sz="0" w:space="0" w:color="auto"/>
          </w:divBdr>
        </w:div>
      </w:divsChild>
    </w:div>
    <w:div w:id="2068257921">
      <w:marLeft w:val="0"/>
      <w:marRight w:val="0"/>
      <w:marTop w:val="0"/>
      <w:marBottom w:val="0"/>
      <w:divBdr>
        <w:top w:val="none" w:sz="0" w:space="0" w:color="auto"/>
        <w:left w:val="none" w:sz="0" w:space="0" w:color="auto"/>
        <w:bottom w:val="none" w:sz="0" w:space="0" w:color="auto"/>
        <w:right w:val="none" w:sz="0" w:space="0" w:color="auto"/>
      </w:divBdr>
    </w:div>
    <w:div w:id="2069910389">
      <w:marLeft w:val="0"/>
      <w:marRight w:val="0"/>
      <w:marTop w:val="0"/>
      <w:marBottom w:val="0"/>
      <w:divBdr>
        <w:top w:val="none" w:sz="0" w:space="0" w:color="auto"/>
        <w:left w:val="none" w:sz="0" w:space="0" w:color="auto"/>
        <w:bottom w:val="none" w:sz="0" w:space="0" w:color="auto"/>
        <w:right w:val="none" w:sz="0" w:space="0" w:color="auto"/>
      </w:divBdr>
    </w:div>
    <w:div w:id="2069918858">
      <w:marLeft w:val="0"/>
      <w:marRight w:val="0"/>
      <w:marTop w:val="0"/>
      <w:marBottom w:val="0"/>
      <w:divBdr>
        <w:top w:val="none" w:sz="0" w:space="0" w:color="auto"/>
        <w:left w:val="none" w:sz="0" w:space="0" w:color="auto"/>
        <w:bottom w:val="none" w:sz="0" w:space="0" w:color="auto"/>
        <w:right w:val="none" w:sz="0" w:space="0" w:color="auto"/>
      </w:divBdr>
    </w:div>
    <w:div w:id="2070348807">
      <w:marLeft w:val="0"/>
      <w:marRight w:val="0"/>
      <w:marTop w:val="0"/>
      <w:marBottom w:val="0"/>
      <w:divBdr>
        <w:top w:val="none" w:sz="0" w:space="0" w:color="auto"/>
        <w:left w:val="none" w:sz="0" w:space="0" w:color="auto"/>
        <w:bottom w:val="none" w:sz="0" w:space="0" w:color="auto"/>
        <w:right w:val="none" w:sz="0" w:space="0" w:color="auto"/>
      </w:divBdr>
    </w:div>
    <w:div w:id="2070612366">
      <w:marLeft w:val="0"/>
      <w:marRight w:val="0"/>
      <w:marTop w:val="0"/>
      <w:marBottom w:val="0"/>
      <w:divBdr>
        <w:top w:val="none" w:sz="0" w:space="0" w:color="auto"/>
        <w:left w:val="none" w:sz="0" w:space="0" w:color="auto"/>
        <w:bottom w:val="none" w:sz="0" w:space="0" w:color="auto"/>
        <w:right w:val="none" w:sz="0" w:space="0" w:color="auto"/>
      </w:divBdr>
      <w:divsChild>
        <w:div w:id="348217773">
          <w:marLeft w:val="0"/>
          <w:marRight w:val="0"/>
          <w:marTop w:val="0"/>
          <w:marBottom w:val="0"/>
          <w:divBdr>
            <w:top w:val="none" w:sz="0" w:space="0" w:color="auto"/>
            <w:left w:val="none" w:sz="0" w:space="0" w:color="auto"/>
            <w:bottom w:val="none" w:sz="0" w:space="0" w:color="auto"/>
            <w:right w:val="none" w:sz="0" w:space="0" w:color="auto"/>
          </w:divBdr>
        </w:div>
      </w:divsChild>
    </w:div>
    <w:div w:id="2073262185">
      <w:marLeft w:val="0"/>
      <w:marRight w:val="0"/>
      <w:marTop w:val="0"/>
      <w:marBottom w:val="0"/>
      <w:divBdr>
        <w:top w:val="none" w:sz="0" w:space="0" w:color="auto"/>
        <w:left w:val="none" w:sz="0" w:space="0" w:color="auto"/>
        <w:bottom w:val="none" w:sz="0" w:space="0" w:color="auto"/>
        <w:right w:val="none" w:sz="0" w:space="0" w:color="auto"/>
      </w:divBdr>
    </w:div>
    <w:div w:id="2073431080">
      <w:marLeft w:val="0"/>
      <w:marRight w:val="0"/>
      <w:marTop w:val="0"/>
      <w:marBottom w:val="0"/>
      <w:divBdr>
        <w:top w:val="none" w:sz="0" w:space="0" w:color="auto"/>
        <w:left w:val="none" w:sz="0" w:space="0" w:color="auto"/>
        <w:bottom w:val="none" w:sz="0" w:space="0" w:color="auto"/>
        <w:right w:val="none" w:sz="0" w:space="0" w:color="auto"/>
      </w:divBdr>
    </w:div>
    <w:div w:id="2074311249">
      <w:marLeft w:val="0"/>
      <w:marRight w:val="0"/>
      <w:marTop w:val="0"/>
      <w:marBottom w:val="0"/>
      <w:divBdr>
        <w:top w:val="none" w:sz="0" w:space="0" w:color="auto"/>
        <w:left w:val="none" w:sz="0" w:space="0" w:color="auto"/>
        <w:bottom w:val="none" w:sz="0" w:space="0" w:color="auto"/>
        <w:right w:val="none" w:sz="0" w:space="0" w:color="auto"/>
      </w:divBdr>
    </w:div>
    <w:div w:id="2074964357">
      <w:marLeft w:val="0"/>
      <w:marRight w:val="0"/>
      <w:marTop w:val="0"/>
      <w:marBottom w:val="0"/>
      <w:divBdr>
        <w:top w:val="none" w:sz="0" w:space="0" w:color="auto"/>
        <w:left w:val="none" w:sz="0" w:space="0" w:color="auto"/>
        <w:bottom w:val="none" w:sz="0" w:space="0" w:color="auto"/>
        <w:right w:val="none" w:sz="0" w:space="0" w:color="auto"/>
      </w:divBdr>
    </w:div>
    <w:div w:id="2077242202">
      <w:marLeft w:val="0"/>
      <w:marRight w:val="0"/>
      <w:marTop w:val="0"/>
      <w:marBottom w:val="0"/>
      <w:divBdr>
        <w:top w:val="none" w:sz="0" w:space="0" w:color="auto"/>
        <w:left w:val="none" w:sz="0" w:space="0" w:color="auto"/>
        <w:bottom w:val="none" w:sz="0" w:space="0" w:color="auto"/>
        <w:right w:val="none" w:sz="0" w:space="0" w:color="auto"/>
      </w:divBdr>
      <w:divsChild>
        <w:div w:id="1641837726">
          <w:marLeft w:val="0"/>
          <w:marRight w:val="0"/>
          <w:marTop w:val="0"/>
          <w:marBottom w:val="0"/>
          <w:divBdr>
            <w:top w:val="none" w:sz="0" w:space="0" w:color="auto"/>
            <w:left w:val="none" w:sz="0" w:space="0" w:color="auto"/>
            <w:bottom w:val="none" w:sz="0" w:space="0" w:color="auto"/>
            <w:right w:val="none" w:sz="0" w:space="0" w:color="auto"/>
          </w:divBdr>
        </w:div>
      </w:divsChild>
    </w:div>
    <w:div w:id="2079742985">
      <w:marLeft w:val="0"/>
      <w:marRight w:val="0"/>
      <w:marTop w:val="0"/>
      <w:marBottom w:val="0"/>
      <w:divBdr>
        <w:top w:val="none" w:sz="0" w:space="0" w:color="auto"/>
        <w:left w:val="none" w:sz="0" w:space="0" w:color="auto"/>
        <w:bottom w:val="none" w:sz="0" w:space="0" w:color="auto"/>
        <w:right w:val="none" w:sz="0" w:space="0" w:color="auto"/>
      </w:divBdr>
    </w:div>
    <w:div w:id="2080785317">
      <w:marLeft w:val="0"/>
      <w:marRight w:val="0"/>
      <w:marTop w:val="0"/>
      <w:marBottom w:val="0"/>
      <w:divBdr>
        <w:top w:val="none" w:sz="0" w:space="0" w:color="auto"/>
        <w:left w:val="none" w:sz="0" w:space="0" w:color="auto"/>
        <w:bottom w:val="none" w:sz="0" w:space="0" w:color="auto"/>
        <w:right w:val="none" w:sz="0" w:space="0" w:color="auto"/>
      </w:divBdr>
    </w:div>
    <w:div w:id="2081245541">
      <w:marLeft w:val="0"/>
      <w:marRight w:val="0"/>
      <w:marTop w:val="0"/>
      <w:marBottom w:val="0"/>
      <w:divBdr>
        <w:top w:val="none" w:sz="0" w:space="0" w:color="auto"/>
        <w:left w:val="none" w:sz="0" w:space="0" w:color="auto"/>
        <w:bottom w:val="none" w:sz="0" w:space="0" w:color="auto"/>
        <w:right w:val="none" w:sz="0" w:space="0" w:color="auto"/>
      </w:divBdr>
    </w:div>
    <w:div w:id="2082171998">
      <w:marLeft w:val="0"/>
      <w:marRight w:val="0"/>
      <w:marTop w:val="0"/>
      <w:marBottom w:val="0"/>
      <w:divBdr>
        <w:top w:val="none" w:sz="0" w:space="0" w:color="auto"/>
        <w:left w:val="none" w:sz="0" w:space="0" w:color="auto"/>
        <w:bottom w:val="none" w:sz="0" w:space="0" w:color="auto"/>
        <w:right w:val="none" w:sz="0" w:space="0" w:color="auto"/>
      </w:divBdr>
    </w:div>
    <w:div w:id="2083719966">
      <w:marLeft w:val="0"/>
      <w:marRight w:val="0"/>
      <w:marTop w:val="0"/>
      <w:marBottom w:val="0"/>
      <w:divBdr>
        <w:top w:val="none" w:sz="0" w:space="0" w:color="auto"/>
        <w:left w:val="none" w:sz="0" w:space="0" w:color="auto"/>
        <w:bottom w:val="none" w:sz="0" w:space="0" w:color="auto"/>
        <w:right w:val="none" w:sz="0" w:space="0" w:color="auto"/>
      </w:divBdr>
      <w:divsChild>
        <w:div w:id="2118788772">
          <w:marLeft w:val="0"/>
          <w:marRight w:val="0"/>
          <w:marTop w:val="0"/>
          <w:marBottom w:val="0"/>
          <w:divBdr>
            <w:top w:val="none" w:sz="0" w:space="0" w:color="auto"/>
            <w:left w:val="none" w:sz="0" w:space="0" w:color="auto"/>
            <w:bottom w:val="none" w:sz="0" w:space="0" w:color="auto"/>
            <w:right w:val="none" w:sz="0" w:space="0" w:color="auto"/>
          </w:divBdr>
        </w:div>
      </w:divsChild>
    </w:div>
    <w:div w:id="2084599079">
      <w:marLeft w:val="0"/>
      <w:marRight w:val="0"/>
      <w:marTop w:val="0"/>
      <w:marBottom w:val="0"/>
      <w:divBdr>
        <w:top w:val="none" w:sz="0" w:space="0" w:color="auto"/>
        <w:left w:val="none" w:sz="0" w:space="0" w:color="auto"/>
        <w:bottom w:val="none" w:sz="0" w:space="0" w:color="auto"/>
        <w:right w:val="none" w:sz="0" w:space="0" w:color="auto"/>
      </w:divBdr>
    </w:div>
    <w:div w:id="2085031294">
      <w:marLeft w:val="0"/>
      <w:marRight w:val="0"/>
      <w:marTop w:val="0"/>
      <w:marBottom w:val="0"/>
      <w:divBdr>
        <w:top w:val="none" w:sz="0" w:space="0" w:color="auto"/>
        <w:left w:val="none" w:sz="0" w:space="0" w:color="auto"/>
        <w:bottom w:val="none" w:sz="0" w:space="0" w:color="auto"/>
        <w:right w:val="none" w:sz="0" w:space="0" w:color="auto"/>
      </w:divBdr>
      <w:divsChild>
        <w:div w:id="1057167151">
          <w:marLeft w:val="0"/>
          <w:marRight w:val="0"/>
          <w:marTop w:val="0"/>
          <w:marBottom w:val="0"/>
          <w:divBdr>
            <w:top w:val="none" w:sz="0" w:space="0" w:color="auto"/>
            <w:left w:val="none" w:sz="0" w:space="0" w:color="auto"/>
            <w:bottom w:val="none" w:sz="0" w:space="0" w:color="auto"/>
            <w:right w:val="none" w:sz="0" w:space="0" w:color="auto"/>
          </w:divBdr>
        </w:div>
      </w:divsChild>
    </w:div>
    <w:div w:id="2086032010">
      <w:marLeft w:val="0"/>
      <w:marRight w:val="0"/>
      <w:marTop w:val="0"/>
      <w:marBottom w:val="0"/>
      <w:divBdr>
        <w:top w:val="none" w:sz="0" w:space="0" w:color="auto"/>
        <w:left w:val="none" w:sz="0" w:space="0" w:color="auto"/>
        <w:bottom w:val="none" w:sz="0" w:space="0" w:color="auto"/>
        <w:right w:val="none" w:sz="0" w:space="0" w:color="auto"/>
      </w:divBdr>
    </w:div>
    <w:div w:id="2087606726">
      <w:marLeft w:val="0"/>
      <w:marRight w:val="0"/>
      <w:marTop w:val="0"/>
      <w:marBottom w:val="0"/>
      <w:divBdr>
        <w:top w:val="none" w:sz="0" w:space="0" w:color="auto"/>
        <w:left w:val="none" w:sz="0" w:space="0" w:color="auto"/>
        <w:bottom w:val="none" w:sz="0" w:space="0" w:color="auto"/>
        <w:right w:val="none" w:sz="0" w:space="0" w:color="auto"/>
      </w:divBdr>
    </w:div>
    <w:div w:id="2087800160">
      <w:marLeft w:val="0"/>
      <w:marRight w:val="0"/>
      <w:marTop w:val="0"/>
      <w:marBottom w:val="0"/>
      <w:divBdr>
        <w:top w:val="none" w:sz="0" w:space="0" w:color="auto"/>
        <w:left w:val="none" w:sz="0" w:space="0" w:color="auto"/>
        <w:bottom w:val="none" w:sz="0" w:space="0" w:color="auto"/>
        <w:right w:val="none" w:sz="0" w:space="0" w:color="auto"/>
      </w:divBdr>
    </w:div>
    <w:div w:id="2088335276">
      <w:marLeft w:val="0"/>
      <w:marRight w:val="0"/>
      <w:marTop w:val="0"/>
      <w:marBottom w:val="0"/>
      <w:divBdr>
        <w:top w:val="none" w:sz="0" w:space="0" w:color="auto"/>
        <w:left w:val="none" w:sz="0" w:space="0" w:color="auto"/>
        <w:bottom w:val="none" w:sz="0" w:space="0" w:color="auto"/>
        <w:right w:val="none" w:sz="0" w:space="0" w:color="auto"/>
      </w:divBdr>
    </w:div>
    <w:div w:id="2090157680">
      <w:marLeft w:val="0"/>
      <w:marRight w:val="0"/>
      <w:marTop w:val="0"/>
      <w:marBottom w:val="0"/>
      <w:divBdr>
        <w:top w:val="none" w:sz="0" w:space="0" w:color="auto"/>
        <w:left w:val="none" w:sz="0" w:space="0" w:color="auto"/>
        <w:bottom w:val="none" w:sz="0" w:space="0" w:color="auto"/>
        <w:right w:val="none" w:sz="0" w:space="0" w:color="auto"/>
      </w:divBdr>
    </w:div>
    <w:div w:id="2090230792">
      <w:marLeft w:val="0"/>
      <w:marRight w:val="0"/>
      <w:marTop w:val="0"/>
      <w:marBottom w:val="0"/>
      <w:divBdr>
        <w:top w:val="none" w:sz="0" w:space="0" w:color="auto"/>
        <w:left w:val="none" w:sz="0" w:space="0" w:color="auto"/>
        <w:bottom w:val="none" w:sz="0" w:space="0" w:color="auto"/>
        <w:right w:val="none" w:sz="0" w:space="0" w:color="auto"/>
      </w:divBdr>
    </w:div>
    <w:div w:id="2091463147">
      <w:marLeft w:val="0"/>
      <w:marRight w:val="0"/>
      <w:marTop w:val="0"/>
      <w:marBottom w:val="0"/>
      <w:divBdr>
        <w:top w:val="none" w:sz="0" w:space="0" w:color="auto"/>
        <w:left w:val="none" w:sz="0" w:space="0" w:color="auto"/>
        <w:bottom w:val="none" w:sz="0" w:space="0" w:color="auto"/>
        <w:right w:val="none" w:sz="0" w:space="0" w:color="auto"/>
      </w:divBdr>
    </w:div>
    <w:div w:id="2091613880">
      <w:marLeft w:val="0"/>
      <w:marRight w:val="0"/>
      <w:marTop w:val="0"/>
      <w:marBottom w:val="0"/>
      <w:divBdr>
        <w:top w:val="none" w:sz="0" w:space="0" w:color="auto"/>
        <w:left w:val="none" w:sz="0" w:space="0" w:color="auto"/>
        <w:bottom w:val="none" w:sz="0" w:space="0" w:color="auto"/>
        <w:right w:val="none" w:sz="0" w:space="0" w:color="auto"/>
      </w:divBdr>
    </w:div>
    <w:div w:id="2091729520">
      <w:marLeft w:val="0"/>
      <w:marRight w:val="0"/>
      <w:marTop w:val="0"/>
      <w:marBottom w:val="0"/>
      <w:divBdr>
        <w:top w:val="none" w:sz="0" w:space="0" w:color="auto"/>
        <w:left w:val="none" w:sz="0" w:space="0" w:color="auto"/>
        <w:bottom w:val="none" w:sz="0" w:space="0" w:color="auto"/>
        <w:right w:val="none" w:sz="0" w:space="0" w:color="auto"/>
      </w:divBdr>
    </w:div>
    <w:div w:id="2092192138">
      <w:marLeft w:val="0"/>
      <w:marRight w:val="0"/>
      <w:marTop w:val="0"/>
      <w:marBottom w:val="0"/>
      <w:divBdr>
        <w:top w:val="none" w:sz="0" w:space="0" w:color="auto"/>
        <w:left w:val="none" w:sz="0" w:space="0" w:color="auto"/>
        <w:bottom w:val="none" w:sz="0" w:space="0" w:color="auto"/>
        <w:right w:val="none" w:sz="0" w:space="0" w:color="auto"/>
      </w:divBdr>
    </w:div>
    <w:div w:id="2093115226">
      <w:marLeft w:val="0"/>
      <w:marRight w:val="0"/>
      <w:marTop w:val="0"/>
      <w:marBottom w:val="0"/>
      <w:divBdr>
        <w:top w:val="none" w:sz="0" w:space="0" w:color="auto"/>
        <w:left w:val="none" w:sz="0" w:space="0" w:color="auto"/>
        <w:bottom w:val="none" w:sz="0" w:space="0" w:color="auto"/>
        <w:right w:val="none" w:sz="0" w:space="0" w:color="auto"/>
      </w:divBdr>
    </w:div>
    <w:div w:id="2093697946">
      <w:marLeft w:val="0"/>
      <w:marRight w:val="0"/>
      <w:marTop w:val="100"/>
      <w:marBottom w:val="100"/>
      <w:divBdr>
        <w:top w:val="none" w:sz="0" w:space="0" w:color="auto"/>
        <w:left w:val="none" w:sz="0" w:space="0" w:color="auto"/>
        <w:bottom w:val="none" w:sz="0" w:space="0" w:color="auto"/>
        <w:right w:val="none" w:sz="0" w:space="0" w:color="auto"/>
      </w:divBdr>
      <w:divsChild>
        <w:div w:id="245648815">
          <w:marLeft w:val="0"/>
          <w:marRight w:val="0"/>
          <w:marTop w:val="0"/>
          <w:marBottom w:val="0"/>
          <w:divBdr>
            <w:top w:val="none" w:sz="0" w:space="0" w:color="auto"/>
            <w:left w:val="none" w:sz="0" w:space="0" w:color="auto"/>
            <w:bottom w:val="none" w:sz="0" w:space="0" w:color="auto"/>
            <w:right w:val="none" w:sz="0" w:space="0" w:color="auto"/>
          </w:divBdr>
        </w:div>
      </w:divsChild>
    </w:div>
    <w:div w:id="2095586691">
      <w:marLeft w:val="0"/>
      <w:marRight w:val="0"/>
      <w:marTop w:val="0"/>
      <w:marBottom w:val="0"/>
      <w:divBdr>
        <w:top w:val="none" w:sz="0" w:space="0" w:color="auto"/>
        <w:left w:val="none" w:sz="0" w:space="0" w:color="auto"/>
        <w:bottom w:val="none" w:sz="0" w:space="0" w:color="auto"/>
        <w:right w:val="none" w:sz="0" w:space="0" w:color="auto"/>
      </w:divBdr>
    </w:div>
    <w:div w:id="2096243301">
      <w:marLeft w:val="0"/>
      <w:marRight w:val="0"/>
      <w:marTop w:val="0"/>
      <w:marBottom w:val="0"/>
      <w:divBdr>
        <w:top w:val="none" w:sz="0" w:space="0" w:color="auto"/>
        <w:left w:val="none" w:sz="0" w:space="0" w:color="auto"/>
        <w:bottom w:val="none" w:sz="0" w:space="0" w:color="auto"/>
        <w:right w:val="none" w:sz="0" w:space="0" w:color="auto"/>
      </w:divBdr>
    </w:div>
    <w:div w:id="2096319029">
      <w:marLeft w:val="0"/>
      <w:marRight w:val="0"/>
      <w:marTop w:val="0"/>
      <w:marBottom w:val="0"/>
      <w:divBdr>
        <w:top w:val="none" w:sz="0" w:space="0" w:color="auto"/>
        <w:left w:val="none" w:sz="0" w:space="0" w:color="auto"/>
        <w:bottom w:val="none" w:sz="0" w:space="0" w:color="auto"/>
        <w:right w:val="none" w:sz="0" w:space="0" w:color="auto"/>
      </w:divBdr>
    </w:div>
    <w:div w:id="2096827138">
      <w:marLeft w:val="0"/>
      <w:marRight w:val="0"/>
      <w:marTop w:val="0"/>
      <w:marBottom w:val="0"/>
      <w:divBdr>
        <w:top w:val="none" w:sz="0" w:space="0" w:color="auto"/>
        <w:left w:val="none" w:sz="0" w:space="0" w:color="auto"/>
        <w:bottom w:val="none" w:sz="0" w:space="0" w:color="auto"/>
        <w:right w:val="none" w:sz="0" w:space="0" w:color="auto"/>
      </w:divBdr>
    </w:div>
    <w:div w:id="2097283284">
      <w:marLeft w:val="0"/>
      <w:marRight w:val="0"/>
      <w:marTop w:val="0"/>
      <w:marBottom w:val="0"/>
      <w:divBdr>
        <w:top w:val="none" w:sz="0" w:space="0" w:color="auto"/>
        <w:left w:val="none" w:sz="0" w:space="0" w:color="auto"/>
        <w:bottom w:val="none" w:sz="0" w:space="0" w:color="auto"/>
        <w:right w:val="none" w:sz="0" w:space="0" w:color="auto"/>
      </w:divBdr>
    </w:div>
    <w:div w:id="2097633972">
      <w:marLeft w:val="0"/>
      <w:marRight w:val="0"/>
      <w:marTop w:val="0"/>
      <w:marBottom w:val="0"/>
      <w:divBdr>
        <w:top w:val="none" w:sz="0" w:space="0" w:color="auto"/>
        <w:left w:val="none" w:sz="0" w:space="0" w:color="auto"/>
        <w:bottom w:val="none" w:sz="0" w:space="0" w:color="auto"/>
        <w:right w:val="none" w:sz="0" w:space="0" w:color="auto"/>
      </w:divBdr>
    </w:div>
    <w:div w:id="2098942874">
      <w:marLeft w:val="0"/>
      <w:marRight w:val="0"/>
      <w:marTop w:val="0"/>
      <w:marBottom w:val="0"/>
      <w:divBdr>
        <w:top w:val="none" w:sz="0" w:space="0" w:color="auto"/>
        <w:left w:val="none" w:sz="0" w:space="0" w:color="auto"/>
        <w:bottom w:val="none" w:sz="0" w:space="0" w:color="auto"/>
        <w:right w:val="none" w:sz="0" w:space="0" w:color="auto"/>
      </w:divBdr>
    </w:div>
    <w:div w:id="2099448659">
      <w:marLeft w:val="0"/>
      <w:marRight w:val="0"/>
      <w:marTop w:val="0"/>
      <w:marBottom w:val="0"/>
      <w:divBdr>
        <w:top w:val="none" w:sz="0" w:space="0" w:color="auto"/>
        <w:left w:val="none" w:sz="0" w:space="0" w:color="auto"/>
        <w:bottom w:val="none" w:sz="0" w:space="0" w:color="auto"/>
        <w:right w:val="none" w:sz="0" w:space="0" w:color="auto"/>
      </w:divBdr>
    </w:div>
    <w:div w:id="2099521558">
      <w:marLeft w:val="0"/>
      <w:marRight w:val="0"/>
      <w:marTop w:val="0"/>
      <w:marBottom w:val="0"/>
      <w:divBdr>
        <w:top w:val="none" w:sz="0" w:space="0" w:color="auto"/>
        <w:left w:val="none" w:sz="0" w:space="0" w:color="auto"/>
        <w:bottom w:val="none" w:sz="0" w:space="0" w:color="auto"/>
        <w:right w:val="none" w:sz="0" w:space="0" w:color="auto"/>
      </w:divBdr>
    </w:div>
    <w:div w:id="2100710198">
      <w:marLeft w:val="0"/>
      <w:marRight w:val="0"/>
      <w:marTop w:val="0"/>
      <w:marBottom w:val="0"/>
      <w:divBdr>
        <w:top w:val="none" w:sz="0" w:space="0" w:color="auto"/>
        <w:left w:val="none" w:sz="0" w:space="0" w:color="auto"/>
        <w:bottom w:val="none" w:sz="0" w:space="0" w:color="auto"/>
        <w:right w:val="none" w:sz="0" w:space="0" w:color="auto"/>
      </w:divBdr>
    </w:div>
    <w:div w:id="2101371725">
      <w:marLeft w:val="0"/>
      <w:marRight w:val="0"/>
      <w:marTop w:val="0"/>
      <w:marBottom w:val="0"/>
      <w:divBdr>
        <w:top w:val="none" w:sz="0" w:space="0" w:color="auto"/>
        <w:left w:val="none" w:sz="0" w:space="0" w:color="auto"/>
        <w:bottom w:val="none" w:sz="0" w:space="0" w:color="auto"/>
        <w:right w:val="none" w:sz="0" w:space="0" w:color="auto"/>
      </w:divBdr>
    </w:div>
    <w:div w:id="2101827188">
      <w:marLeft w:val="0"/>
      <w:marRight w:val="0"/>
      <w:marTop w:val="0"/>
      <w:marBottom w:val="0"/>
      <w:divBdr>
        <w:top w:val="none" w:sz="0" w:space="0" w:color="auto"/>
        <w:left w:val="none" w:sz="0" w:space="0" w:color="auto"/>
        <w:bottom w:val="none" w:sz="0" w:space="0" w:color="auto"/>
        <w:right w:val="none" w:sz="0" w:space="0" w:color="auto"/>
      </w:divBdr>
    </w:div>
    <w:div w:id="2102138968">
      <w:marLeft w:val="0"/>
      <w:marRight w:val="0"/>
      <w:marTop w:val="0"/>
      <w:marBottom w:val="0"/>
      <w:divBdr>
        <w:top w:val="none" w:sz="0" w:space="0" w:color="auto"/>
        <w:left w:val="none" w:sz="0" w:space="0" w:color="auto"/>
        <w:bottom w:val="none" w:sz="0" w:space="0" w:color="auto"/>
        <w:right w:val="none" w:sz="0" w:space="0" w:color="auto"/>
      </w:divBdr>
    </w:div>
    <w:div w:id="2102213911">
      <w:marLeft w:val="0"/>
      <w:marRight w:val="0"/>
      <w:marTop w:val="0"/>
      <w:marBottom w:val="0"/>
      <w:divBdr>
        <w:top w:val="none" w:sz="0" w:space="0" w:color="auto"/>
        <w:left w:val="none" w:sz="0" w:space="0" w:color="auto"/>
        <w:bottom w:val="none" w:sz="0" w:space="0" w:color="auto"/>
        <w:right w:val="none" w:sz="0" w:space="0" w:color="auto"/>
      </w:divBdr>
    </w:div>
    <w:div w:id="2102951656">
      <w:marLeft w:val="0"/>
      <w:marRight w:val="0"/>
      <w:marTop w:val="0"/>
      <w:marBottom w:val="0"/>
      <w:divBdr>
        <w:top w:val="none" w:sz="0" w:space="0" w:color="auto"/>
        <w:left w:val="none" w:sz="0" w:space="0" w:color="auto"/>
        <w:bottom w:val="none" w:sz="0" w:space="0" w:color="auto"/>
        <w:right w:val="none" w:sz="0" w:space="0" w:color="auto"/>
      </w:divBdr>
    </w:div>
    <w:div w:id="2103992508">
      <w:marLeft w:val="0"/>
      <w:marRight w:val="0"/>
      <w:marTop w:val="100"/>
      <w:marBottom w:val="100"/>
      <w:divBdr>
        <w:top w:val="none" w:sz="0" w:space="0" w:color="auto"/>
        <w:left w:val="none" w:sz="0" w:space="0" w:color="auto"/>
        <w:bottom w:val="none" w:sz="0" w:space="0" w:color="auto"/>
        <w:right w:val="none" w:sz="0" w:space="0" w:color="auto"/>
      </w:divBdr>
      <w:divsChild>
        <w:div w:id="1986470926">
          <w:marLeft w:val="0"/>
          <w:marRight w:val="0"/>
          <w:marTop w:val="0"/>
          <w:marBottom w:val="0"/>
          <w:divBdr>
            <w:top w:val="none" w:sz="0" w:space="0" w:color="auto"/>
            <w:left w:val="none" w:sz="0" w:space="0" w:color="auto"/>
            <w:bottom w:val="none" w:sz="0" w:space="0" w:color="auto"/>
            <w:right w:val="none" w:sz="0" w:space="0" w:color="auto"/>
          </w:divBdr>
        </w:div>
        <w:div w:id="1124883340">
          <w:marLeft w:val="0"/>
          <w:marRight w:val="0"/>
          <w:marTop w:val="0"/>
          <w:marBottom w:val="0"/>
          <w:divBdr>
            <w:top w:val="none" w:sz="0" w:space="0" w:color="auto"/>
            <w:left w:val="none" w:sz="0" w:space="0" w:color="auto"/>
            <w:bottom w:val="none" w:sz="0" w:space="0" w:color="auto"/>
            <w:right w:val="none" w:sz="0" w:space="0" w:color="auto"/>
          </w:divBdr>
        </w:div>
        <w:div w:id="634603362">
          <w:marLeft w:val="0"/>
          <w:marRight w:val="0"/>
          <w:marTop w:val="0"/>
          <w:marBottom w:val="0"/>
          <w:divBdr>
            <w:top w:val="none" w:sz="0" w:space="0" w:color="auto"/>
            <w:left w:val="none" w:sz="0" w:space="0" w:color="auto"/>
            <w:bottom w:val="none" w:sz="0" w:space="0" w:color="auto"/>
            <w:right w:val="none" w:sz="0" w:space="0" w:color="auto"/>
          </w:divBdr>
        </w:div>
        <w:div w:id="324434870">
          <w:marLeft w:val="0"/>
          <w:marRight w:val="0"/>
          <w:marTop w:val="0"/>
          <w:marBottom w:val="0"/>
          <w:divBdr>
            <w:top w:val="none" w:sz="0" w:space="0" w:color="auto"/>
            <w:left w:val="none" w:sz="0" w:space="0" w:color="auto"/>
            <w:bottom w:val="none" w:sz="0" w:space="0" w:color="auto"/>
            <w:right w:val="none" w:sz="0" w:space="0" w:color="auto"/>
          </w:divBdr>
        </w:div>
        <w:div w:id="509024406">
          <w:marLeft w:val="0"/>
          <w:marRight w:val="0"/>
          <w:marTop w:val="0"/>
          <w:marBottom w:val="0"/>
          <w:divBdr>
            <w:top w:val="none" w:sz="0" w:space="0" w:color="auto"/>
            <w:left w:val="none" w:sz="0" w:space="0" w:color="auto"/>
            <w:bottom w:val="none" w:sz="0" w:space="0" w:color="auto"/>
            <w:right w:val="none" w:sz="0" w:space="0" w:color="auto"/>
          </w:divBdr>
        </w:div>
        <w:div w:id="1349482223">
          <w:marLeft w:val="0"/>
          <w:marRight w:val="0"/>
          <w:marTop w:val="0"/>
          <w:marBottom w:val="0"/>
          <w:divBdr>
            <w:top w:val="none" w:sz="0" w:space="0" w:color="auto"/>
            <w:left w:val="none" w:sz="0" w:space="0" w:color="auto"/>
            <w:bottom w:val="none" w:sz="0" w:space="0" w:color="auto"/>
            <w:right w:val="none" w:sz="0" w:space="0" w:color="auto"/>
          </w:divBdr>
        </w:div>
        <w:div w:id="1645811455">
          <w:marLeft w:val="0"/>
          <w:marRight w:val="0"/>
          <w:marTop w:val="0"/>
          <w:marBottom w:val="0"/>
          <w:divBdr>
            <w:top w:val="none" w:sz="0" w:space="0" w:color="auto"/>
            <w:left w:val="none" w:sz="0" w:space="0" w:color="auto"/>
            <w:bottom w:val="none" w:sz="0" w:space="0" w:color="auto"/>
            <w:right w:val="none" w:sz="0" w:space="0" w:color="auto"/>
          </w:divBdr>
        </w:div>
        <w:div w:id="1351297138">
          <w:marLeft w:val="0"/>
          <w:marRight w:val="0"/>
          <w:marTop w:val="0"/>
          <w:marBottom w:val="0"/>
          <w:divBdr>
            <w:top w:val="none" w:sz="0" w:space="0" w:color="auto"/>
            <w:left w:val="none" w:sz="0" w:space="0" w:color="auto"/>
            <w:bottom w:val="none" w:sz="0" w:space="0" w:color="auto"/>
            <w:right w:val="none" w:sz="0" w:space="0" w:color="auto"/>
          </w:divBdr>
        </w:div>
        <w:div w:id="564268459">
          <w:marLeft w:val="0"/>
          <w:marRight w:val="0"/>
          <w:marTop w:val="0"/>
          <w:marBottom w:val="0"/>
          <w:divBdr>
            <w:top w:val="none" w:sz="0" w:space="0" w:color="auto"/>
            <w:left w:val="none" w:sz="0" w:space="0" w:color="auto"/>
            <w:bottom w:val="none" w:sz="0" w:space="0" w:color="auto"/>
            <w:right w:val="none" w:sz="0" w:space="0" w:color="auto"/>
          </w:divBdr>
        </w:div>
        <w:div w:id="1515538837">
          <w:marLeft w:val="0"/>
          <w:marRight w:val="0"/>
          <w:marTop w:val="0"/>
          <w:marBottom w:val="0"/>
          <w:divBdr>
            <w:top w:val="none" w:sz="0" w:space="0" w:color="auto"/>
            <w:left w:val="none" w:sz="0" w:space="0" w:color="auto"/>
            <w:bottom w:val="none" w:sz="0" w:space="0" w:color="auto"/>
            <w:right w:val="none" w:sz="0" w:space="0" w:color="auto"/>
          </w:divBdr>
        </w:div>
        <w:div w:id="16079234">
          <w:marLeft w:val="0"/>
          <w:marRight w:val="0"/>
          <w:marTop w:val="0"/>
          <w:marBottom w:val="0"/>
          <w:divBdr>
            <w:top w:val="none" w:sz="0" w:space="0" w:color="auto"/>
            <w:left w:val="none" w:sz="0" w:space="0" w:color="auto"/>
            <w:bottom w:val="none" w:sz="0" w:space="0" w:color="auto"/>
            <w:right w:val="none" w:sz="0" w:space="0" w:color="auto"/>
          </w:divBdr>
        </w:div>
        <w:div w:id="2071227613">
          <w:marLeft w:val="0"/>
          <w:marRight w:val="0"/>
          <w:marTop w:val="0"/>
          <w:marBottom w:val="0"/>
          <w:divBdr>
            <w:top w:val="none" w:sz="0" w:space="0" w:color="auto"/>
            <w:left w:val="none" w:sz="0" w:space="0" w:color="auto"/>
            <w:bottom w:val="none" w:sz="0" w:space="0" w:color="auto"/>
            <w:right w:val="none" w:sz="0" w:space="0" w:color="auto"/>
          </w:divBdr>
        </w:div>
      </w:divsChild>
    </w:div>
    <w:div w:id="2105879358">
      <w:marLeft w:val="0"/>
      <w:marRight w:val="0"/>
      <w:marTop w:val="0"/>
      <w:marBottom w:val="0"/>
      <w:divBdr>
        <w:top w:val="none" w:sz="0" w:space="0" w:color="auto"/>
        <w:left w:val="none" w:sz="0" w:space="0" w:color="auto"/>
        <w:bottom w:val="none" w:sz="0" w:space="0" w:color="auto"/>
        <w:right w:val="none" w:sz="0" w:space="0" w:color="auto"/>
      </w:divBdr>
    </w:div>
    <w:div w:id="2107800993">
      <w:marLeft w:val="0"/>
      <w:marRight w:val="0"/>
      <w:marTop w:val="0"/>
      <w:marBottom w:val="0"/>
      <w:divBdr>
        <w:top w:val="none" w:sz="0" w:space="0" w:color="auto"/>
        <w:left w:val="none" w:sz="0" w:space="0" w:color="auto"/>
        <w:bottom w:val="none" w:sz="0" w:space="0" w:color="auto"/>
        <w:right w:val="none" w:sz="0" w:space="0" w:color="auto"/>
      </w:divBdr>
    </w:div>
    <w:div w:id="2108305786">
      <w:marLeft w:val="0"/>
      <w:marRight w:val="0"/>
      <w:marTop w:val="0"/>
      <w:marBottom w:val="0"/>
      <w:divBdr>
        <w:top w:val="none" w:sz="0" w:space="0" w:color="auto"/>
        <w:left w:val="none" w:sz="0" w:space="0" w:color="auto"/>
        <w:bottom w:val="none" w:sz="0" w:space="0" w:color="auto"/>
        <w:right w:val="none" w:sz="0" w:space="0" w:color="auto"/>
      </w:divBdr>
    </w:div>
    <w:div w:id="2108311132">
      <w:marLeft w:val="0"/>
      <w:marRight w:val="0"/>
      <w:marTop w:val="0"/>
      <w:marBottom w:val="0"/>
      <w:divBdr>
        <w:top w:val="none" w:sz="0" w:space="0" w:color="auto"/>
        <w:left w:val="none" w:sz="0" w:space="0" w:color="auto"/>
        <w:bottom w:val="none" w:sz="0" w:space="0" w:color="auto"/>
        <w:right w:val="none" w:sz="0" w:space="0" w:color="auto"/>
      </w:divBdr>
    </w:div>
    <w:div w:id="2108889733">
      <w:marLeft w:val="0"/>
      <w:marRight w:val="0"/>
      <w:marTop w:val="0"/>
      <w:marBottom w:val="0"/>
      <w:divBdr>
        <w:top w:val="none" w:sz="0" w:space="0" w:color="auto"/>
        <w:left w:val="none" w:sz="0" w:space="0" w:color="auto"/>
        <w:bottom w:val="none" w:sz="0" w:space="0" w:color="auto"/>
        <w:right w:val="none" w:sz="0" w:space="0" w:color="auto"/>
      </w:divBdr>
    </w:div>
    <w:div w:id="2109426325">
      <w:marLeft w:val="0"/>
      <w:marRight w:val="0"/>
      <w:marTop w:val="0"/>
      <w:marBottom w:val="0"/>
      <w:divBdr>
        <w:top w:val="none" w:sz="0" w:space="0" w:color="auto"/>
        <w:left w:val="none" w:sz="0" w:space="0" w:color="auto"/>
        <w:bottom w:val="none" w:sz="0" w:space="0" w:color="auto"/>
        <w:right w:val="none" w:sz="0" w:space="0" w:color="auto"/>
      </w:divBdr>
    </w:div>
    <w:div w:id="2109809701">
      <w:marLeft w:val="0"/>
      <w:marRight w:val="0"/>
      <w:marTop w:val="0"/>
      <w:marBottom w:val="0"/>
      <w:divBdr>
        <w:top w:val="none" w:sz="0" w:space="0" w:color="auto"/>
        <w:left w:val="none" w:sz="0" w:space="0" w:color="auto"/>
        <w:bottom w:val="none" w:sz="0" w:space="0" w:color="auto"/>
        <w:right w:val="none" w:sz="0" w:space="0" w:color="auto"/>
      </w:divBdr>
    </w:div>
    <w:div w:id="2109887252">
      <w:marLeft w:val="0"/>
      <w:marRight w:val="0"/>
      <w:marTop w:val="0"/>
      <w:marBottom w:val="0"/>
      <w:divBdr>
        <w:top w:val="none" w:sz="0" w:space="0" w:color="auto"/>
        <w:left w:val="none" w:sz="0" w:space="0" w:color="auto"/>
        <w:bottom w:val="none" w:sz="0" w:space="0" w:color="auto"/>
        <w:right w:val="none" w:sz="0" w:space="0" w:color="auto"/>
      </w:divBdr>
    </w:div>
    <w:div w:id="2110200418">
      <w:marLeft w:val="0"/>
      <w:marRight w:val="0"/>
      <w:marTop w:val="0"/>
      <w:marBottom w:val="0"/>
      <w:divBdr>
        <w:top w:val="none" w:sz="0" w:space="0" w:color="auto"/>
        <w:left w:val="none" w:sz="0" w:space="0" w:color="auto"/>
        <w:bottom w:val="none" w:sz="0" w:space="0" w:color="auto"/>
        <w:right w:val="none" w:sz="0" w:space="0" w:color="auto"/>
      </w:divBdr>
    </w:div>
    <w:div w:id="2111120758">
      <w:marLeft w:val="0"/>
      <w:marRight w:val="0"/>
      <w:marTop w:val="0"/>
      <w:marBottom w:val="0"/>
      <w:divBdr>
        <w:top w:val="none" w:sz="0" w:space="0" w:color="auto"/>
        <w:left w:val="none" w:sz="0" w:space="0" w:color="auto"/>
        <w:bottom w:val="none" w:sz="0" w:space="0" w:color="auto"/>
        <w:right w:val="none" w:sz="0" w:space="0" w:color="auto"/>
      </w:divBdr>
    </w:div>
    <w:div w:id="2111704948">
      <w:marLeft w:val="0"/>
      <w:marRight w:val="0"/>
      <w:marTop w:val="0"/>
      <w:marBottom w:val="0"/>
      <w:divBdr>
        <w:top w:val="none" w:sz="0" w:space="0" w:color="auto"/>
        <w:left w:val="none" w:sz="0" w:space="0" w:color="auto"/>
        <w:bottom w:val="none" w:sz="0" w:space="0" w:color="auto"/>
        <w:right w:val="none" w:sz="0" w:space="0" w:color="auto"/>
      </w:divBdr>
    </w:div>
    <w:div w:id="2112234394">
      <w:marLeft w:val="0"/>
      <w:marRight w:val="0"/>
      <w:marTop w:val="0"/>
      <w:marBottom w:val="0"/>
      <w:divBdr>
        <w:top w:val="none" w:sz="0" w:space="0" w:color="auto"/>
        <w:left w:val="none" w:sz="0" w:space="0" w:color="auto"/>
        <w:bottom w:val="none" w:sz="0" w:space="0" w:color="auto"/>
        <w:right w:val="none" w:sz="0" w:space="0" w:color="auto"/>
      </w:divBdr>
    </w:div>
    <w:div w:id="2112235375">
      <w:marLeft w:val="0"/>
      <w:marRight w:val="0"/>
      <w:marTop w:val="0"/>
      <w:marBottom w:val="0"/>
      <w:divBdr>
        <w:top w:val="none" w:sz="0" w:space="0" w:color="auto"/>
        <w:left w:val="none" w:sz="0" w:space="0" w:color="auto"/>
        <w:bottom w:val="none" w:sz="0" w:space="0" w:color="auto"/>
        <w:right w:val="none" w:sz="0" w:space="0" w:color="auto"/>
      </w:divBdr>
    </w:div>
    <w:div w:id="2112384593">
      <w:marLeft w:val="0"/>
      <w:marRight w:val="0"/>
      <w:marTop w:val="100"/>
      <w:marBottom w:val="100"/>
      <w:divBdr>
        <w:top w:val="none" w:sz="0" w:space="0" w:color="auto"/>
        <w:left w:val="none" w:sz="0" w:space="0" w:color="auto"/>
        <w:bottom w:val="none" w:sz="0" w:space="0" w:color="auto"/>
        <w:right w:val="none" w:sz="0" w:space="0" w:color="auto"/>
      </w:divBdr>
    </w:div>
    <w:div w:id="2113743396">
      <w:marLeft w:val="0"/>
      <w:marRight w:val="0"/>
      <w:marTop w:val="0"/>
      <w:marBottom w:val="0"/>
      <w:divBdr>
        <w:top w:val="none" w:sz="0" w:space="0" w:color="auto"/>
        <w:left w:val="none" w:sz="0" w:space="0" w:color="auto"/>
        <w:bottom w:val="none" w:sz="0" w:space="0" w:color="auto"/>
        <w:right w:val="none" w:sz="0" w:space="0" w:color="auto"/>
      </w:divBdr>
    </w:div>
    <w:div w:id="2113934123">
      <w:marLeft w:val="0"/>
      <w:marRight w:val="0"/>
      <w:marTop w:val="0"/>
      <w:marBottom w:val="0"/>
      <w:divBdr>
        <w:top w:val="none" w:sz="0" w:space="0" w:color="auto"/>
        <w:left w:val="none" w:sz="0" w:space="0" w:color="auto"/>
        <w:bottom w:val="none" w:sz="0" w:space="0" w:color="auto"/>
        <w:right w:val="none" w:sz="0" w:space="0" w:color="auto"/>
      </w:divBdr>
    </w:div>
    <w:div w:id="2115976901">
      <w:marLeft w:val="0"/>
      <w:marRight w:val="0"/>
      <w:marTop w:val="0"/>
      <w:marBottom w:val="0"/>
      <w:divBdr>
        <w:top w:val="none" w:sz="0" w:space="0" w:color="auto"/>
        <w:left w:val="none" w:sz="0" w:space="0" w:color="auto"/>
        <w:bottom w:val="none" w:sz="0" w:space="0" w:color="auto"/>
        <w:right w:val="none" w:sz="0" w:space="0" w:color="auto"/>
      </w:divBdr>
    </w:div>
    <w:div w:id="2116555805">
      <w:marLeft w:val="0"/>
      <w:marRight w:val="0"/>
      <w:marTop w:val="0"/>
      <w:marBottom w:val="0"/>
      <w:divBdr>
        <w:top w:val="none" w:sz="0" w:space="0" w:color="auto"/>
        <w:left w:val="none" w:sz="0" w:space="0" w:color="auto"/>
        <w:bottom w:val="none" w:sz="0" w:space="0" w:color="auto"/>
        <w:right w:val="none" w:sz="0" w:space="0" w:color="auto"/>
      </w:divBdr>
    </w:div>
    <w:div w:id="2116898524">
      <w:marLeft w:val="0"/>
      <w:marRight w:val="0"/>
      <w:marTop w:val="0"/>
      <w:marBottom w:val="0"/>
      <w:divBdr>
        <w:top w:val="none" w:sz="0" w:space="0" w:color="auto"/>
        <w:left w:val="none" w:sz="0" w:space="0" w:color="auto"/>
        <w:bottom w:val="none" w:sz="0" w:space="0" w:color="auto"/>
        <w:right w:val="none" w:sz="0" w:space="0" w:color="auto"/>
      </w:divBdr>
    </w:div>
    <w:div w:id="2117360665">
      <w:marLeft w:val="0"/>
      <w:marRight w:val="0"/>
      <w:marTop w:val="0"/>
      <w:marBottom w:val="0"/>
      <w:divBdr>
        <w:top w:val="none" w:sz="0" w:space="0" w:color="auto"/>
        <w:left w:val="none" w:sz="0" w:space="0" w:color="auto"/>
        <w:bottom w:val="none" w:sz="0" w:space="0" w:color="auto"/>
        <w:right w:val="none" w:sz="0" w:space="0" w:color="auto"/>
      </w:divBdr>
    </w:div>
    <w:div w:id="2118719411">
      <w:marLeft w:val="0"/>
      <w:marRight w:val="0"/>
      <w:marTop w:val="0"/>
      <w:marBottom w:val="0"/>
      <w:divBdr>
        <w:top w:val="none" w:sz="0" w:space="0" w:color="auto"/>
        <w:left w:val="none" w:sz="0" w:space="0" w:color="auto"/>
        <w:bottom w:val="none" w:sz="0" w:space="0" w:color="auto"/>
        <w:right w:val="none" w:sz="0" w:space="0" w:color="auto"/>
      </w:divBdr>
    </w:div>
    <w:div w:id="2118793629">
      <w:marLeft w:val="0"/>
      <w:marRight w:val="0"/>
      <w:marTop w:val="0"/>
      <w:marBottom w:val="0"/>
      <w:divBdr>
        <w:top w:val="none" w:sz="0" w:space="0" w:color="auto"/>
        <w:left w:val="none" w:sz="0" w:space="0" w:color="auto"/>
        <w:bottom w:val="none" w:sz="0" w:space="0" w:color="auto"/>
        <w:right w:val="none" w:sz="0" w:space="0" w:color="auto"/>
      </w:divBdr>
    </w:div>
    <w:div w:id="2119638199">
      <w:marLeft w:val="0"/>
      <w:marRight w:val="0"/>
      <w:marTop w:val="0"/>
      <w:marBottom w:val="0"/>
      <w:divBdr>
        <w:top w:val="none" w:sz="0" w:space="0" w:color="auto"/>
        <w:left w:val="none" w:sz="0" w:space="0" w:color="auto"/>
        <w:bottom w:val="none" w:sz="0" w:space="0" w:color="auto"/>
        <w:right w:val="none" w:sz="0" w:space="0" w:color="auto"/>
      </w:divBdr>
    </w:div>
    <w:div w:id="2119717905">
      <w:marLeft w:val="0"/>
      <w:marRight w:val="0"/>
      <w:marTop w:val="0"/>
      <w:marBottom w:val="0"/>
      <w:divBdr>
        <w:top w:val="none" w:sz="0" w:space="0" w:color="auto"/>
        <w:left w:val="none" w:sz="0" w:space="0" w:color="auto"/>
        <w:bottom w:val="none" w:sz="0" w:space="0" w:color="auto"/>
        <w:right w:val="none" w:sz="0" w:space="0" w:color="auto"/>
      </w:divBdr>
    </w:div>
    <w:div w:id="2119985094">
      <w:marLeft w:val="0"/>
      <w:marRight w:val="0"/>
      <w:marTop w:val="0"/>
      <w:marBottom w:val="0"/>
      <w:divBdr>
        <w:top w:val="none" w:sz="0" w:space="0" w:color="auto"/>
        <w:left w:val="none" w:sz="0" w:space="0" w:color="auto"/>
        <w:bottom w:val="none" w:sz="0" w:space="0" w:color="auto"/>
        <w:right w:val="none" w:sz="0" w:space="0" w:color="auto"/>
      </w:divBdr>
      <w:divsChild>
        <w:div w:id="618224473">
          <w:marLeft w:val="0"/>
          <w:marRight w:val="0"/>
          <w:marTop w:val="0"/>
          <w:marBottom w:val="0"/>
          <w:divBdr>
            <w:top w:val="none" w:sz="0" w:space="0" w:color="auto"/>
            <w:left w:val="none" w:sz="0" w:space="0" w:color="auto"/>
            <w:bottom w:val="none" w:sz="0" w:space="0" w:color="auto"/>
            <w:right w:val="none" w:sz="0" w:space="0" w:color="auto"/>
          </w:divBdr>
        </w:div>
      </w:divsChild>
    </w:div>
    <w:div w:id="2120223760">
      <w:marLeft w:val="0"/>
      <w:marRight w:val="0"/>
      <w:marTop w:val="0"/>
      <w:marBottom w:val="0"/>
      <w:divBdr>
        <w:top w:val="none" w:sz="0" w:space="0" w:color="auto"/>
        <w:left w:val="none" w:sz="0" w:space="0" w:color="auto"/>
        <w:bottom w:val="none" w:sz="0" w:space="0" w:color="auto"/>
        <w:right w:val="none" w:sz="0" w:space="0" w:color="auto"/>
      </w:divBdr>
    </w:div>
    <w:div w:id="2120442665">
      <w:marLeft w:val="0"/>
      <w:marRight w:val="0"/>
      <w:marTop w:val="0"/>
      <w:marBottom w:val="0"/>
      <w:divBdr>
        <w:top w:val="none" w:sz="0" w:space="0" w:color="auto"/>
        <w:left w:val="none" w:sz="0" w:space="0" w:color="auto"/>
        <w:bottom w:val="none" w:sz="0" w:space="0" w:color="auto"/>
        <w:right w:val="none" w:sz="0" w:space="0" w:color="auto"/>
      </w:divBdr>
    </w:div>
    <w:div w:id="2120685631">
      <w:marLeft w:val="0"/>
      <w:marRight w:val="0"/>
      <w:marTop w:val="0"/>
      <w:marBottom w:val="0"/>
      <w:divBdr>
        <w:top w:val="none" w:sz="0" w:space="0" w:color="auto"/>
        <w:left w:val="none" w:sz="0" w:space="0" w:color="auto"/>
        <w:bottom w:val="none" w:sz="0" w:space="0" w:color="auto"/>
        <w:right w:val="none" w:sz="0" w:space="0" w:color="auto"/>
      </w:divBdr>
    </w:div>
    <w:div w:id="2123499754">
      <w:marLeft w:val="0"/>
      <w:marRight w:val="0"/>
      <w:marTop w:val="0"/>
      <w:marBottom w:val="0"/>
      <w:divBdr>
        <w:top w:val="none" w:sz="0" w:space="0" w:color="auto"/>
        <w:left w:val="none" w:sz="0" w:space="0" w:color="auto"/>
        <w:bottom w:val="none" w:sz="0" w:space="0" w:color="auto"/>
        <w:right w:val="none" w:sz="0" w:space="0" w:color="auto"/>
      </w:divBdr>
    </w:div>
    <w:div w:id="2123914542">
      <w:marLeft w:val="0"/>
      <w:marRight w:val="0"/>
      <w:marTop w:val="0"/>
      <w:marBottom w:val="0"/>
      <w:divBdr>
        <w:top w:val="none" w:sz="0" w:space="0" w:color="auto"/>
        <w:left w:val="none" w:sz="0" w:space="0" w:color="auto"/>
        <w:bottom w:val="none" w:sz="0" w:space="0" w:color="auto"/>
        <w:right w:val="none" w:sz="0" w:space="0" w:color="auto"/>
      </w:divBdr>
      <w:divsChild>
        <w:div w:id="778718857">
          <w:marLeft w:val="0"/>
          <w:marRight w:val="0"/>
          <w:marTop w:val="0"/>
          <w:marBottom w:val="0"/>
          <w:divBdr>
            <w:top w:val="none" w:sz="0" w:space="0" w:color="auto"/>
            <w:left w:val="none" w:sz="0" w:space="0" w:color="auto"/>
            <w:bottom w:val="none" w:sz="0" w:space="0" w:color="auto"/>
            <w:right w:val="none" w:sz="0" w:space="0" w:color="auto"/>
          </w:divBdr>
        </w:div>
      </w:divsChild>
    </w:div>
    <w:div w:id="2125537617">
      <w:marLeft w:val="0"/>
      <w:marRight w:val="0"/>
      <w:marTop w:val="0"/>
      <w:marBottom w:val="0"/>
      <w:divBdr>
        <w:top w:val="none" w:sz="0" w:space="0" w:color="auto"/>
        <w:left w:val="none" w:sz="0" w:space="0" w:color="auto"/>
        <w:bottom w:val="none" w:sz="0" w:space="0" w:color="auto"/>
        <w:right w:val="none" w:sz="0" w:space="0" w:color="auto"/>
      </w:divBdr>
    </w:div>
    <w:div w:id="2125540280">
      <w:marLeft w:val="0"/>
      <w:marRight w:val="0"/>
      <w:marTop w:val="0"/>
      <w:marBottom w:val="0"/>
      <w:divBdr>
        <w:top w:val="none" w:sz="0" w:space="0" w:color="auto"/>
        <w:left w:val="none" w:sz="0" w:space="0" w:color="auto"/>
        <w:bottom w:val="none" w:sz="0" w:space="0" w:color="auto"/>
        <w:right w:val="none" w:sz="0" w:space="0" w:color="auto"/>
      </w:divBdr>
    </w:div>
    <w:div w:id="2126189138">
      <w:marLeft w:val="0"/>
      <w:marRight w:val="0"/>
      <w:marTop w:val="0"/>
      <w:marBottom w:val="0"/>
      <w:divBdr>
        <w:top w:val="none" w:sz="0" w:space="0" w:color="auto"/>
        <w:left w:val="none" w:sz="0" w:space="0" w:color="auto"/>
        <w:bottom w:val="none" w:sz="0" w:space="0" w:color="auto"/>
        <w:right w:val="none" w:sz="0" w:space="0" w:color="auto"/>
      </w:divBdr>
    </w:div>
    <w:div w:id="2127234793">
      <w:marLeft w:val="0"/>
      <w:marRight w:val="0"/>
      <w:marTop w:val="0"/>
      <w:marBottom w:val="0"/>
      <w:divBdr>
        <w:top w:val="none" w:sz="0" w:space="0" w:color="auto"/>
        <w:left w:val="none" w:sz="0" w:space="0" w:color="auto"/>
        <w:bottom w:val="none" w:sz="0" w:space="0" w:color="auto"/>
        <w:right w:val="none" w:sz="0" w:space="0" w:color="auto"/>
      </w:divBdr>
    </w:div>
    <w:div w:id="2127311381">
      <w:marLeft w:val="0"/>
      <w:marRight w:val="0"/>
      <w:marTop w:val="0"/>
      <w:marBottom w:val="0"/>
      <w:divBdr>
        <w:top w:val="none" w:sz="0" w:space="0" w:color="auto"/>
        <w:left w:val="none" w:sz="0" w:space="0" w:color="auto"/>
        <w:bottom w:val="none" w:sz="0" w:space="0" w:color="auto"/>
        <w:right w:val="none" w:sz="0" w:space="0" w:color="auto"/>
      </w:divBdr>
    </w:div>
    <w:div w:id="2128116131">
      <w:marLeft w:val="0"/>
      <w:marRight w:val="0"/>
      <w:marTop w:val="0"/>
      <w:marBottom w:val="0"/>
      <w:divBdr>
        <w:top w:val="none" w:sz="0" w:space="0" w:color="auto"/>
        <w:left w:val="none" w:sz="0" w:space="0" w:color="auto"/>
        <w:bottom w:val="none" w:sz="0" w:space="0" w:color="auto"/>
        <w:right w:val="none" w:sz="0" w:space="0" w:color="auto"/>
      </w:divBdr>
    </w:div>
    <w:div w:id="2128156717">
      <w:marLeft w:val="0"/>
      <w:marRight w:val="0"/>
      <w:marTop w:val="0"/>
      <w:marBottom w:val="0"/>
      <w:divBdr>
        <w:top w:val="none" w:sz="0" w:space="0" w:color="auto"/>
        <w:left w:val="none" w:sz="0" w:space="0" w:color="auto"/>
        <w:bottom w:val="none" w:sz="0" w:space="0" w:color="auto"/>
        <w:right w:val="none" w:sz="0" w:space="0" w:color="auto"/>
      </w:divBdr>
      <w:divsChild>
        <w:div w:id="1289244260">
          <w:marLeft w:val="0"/>
          <w:marRight w:val="0"/>
          <w:marTop w:val="0"/>
          <w:marBottom w:val="0"/>
          <w:divBdr>
            <w:top w:val="none" w:sz="0" w:space="0" w:color="auto"/>
            <w:left w:val="none" w:sz="0" w:space="0" w:color="auto"/>
            <w:bottom w:val="none" w:sz="0" w:space="0" w:color="auto"/>
            <w:right w:val="none" w:sz="0" w:space="0" w:color="auto"/>
          </w:divBdr>
        </w:div>
      </w:divsChild>
    </w:div>
    <w:div w:id="2128309563">
      <w:marLeft w:val="0"/>
      <w:marRight w:val="0"/>
      <w:marTop w:val="0"/>
      <w:marBottom w:val="0"/>
      <w:divBdr>
        <w:top w:val="none" w:sz="0" w:space="0" w:color="auto"/>
        <w:left w:val="none" w:sz="0" w:space="0" w:color="auto"/>
        <w:bottom w:val="none" w:sz="0" w:space="0" w:color="auto"/>
        <w:right w:val="none" w:sz="0" w:space="0" w:color="auto"/>
      </w:divBdr>
      <w:divsChild>
        <w:div w:id="1813130336">
          <w:marLeft w:val="0"/>
          <w:marRight w:val="0"/>
          <w:marTop w:val="0"/>
          <w:marBottom w:val="0"/>
          <w:divBdr>
            <w:top w:val="none" w:sz="0" w:space="0" w:color="auto"/>
            <w:left w:val="none" w:sz="0" w:space="0" w:color="auto"/>
            <w:bottom w:val="none" w:sz="0" w:space="0" w:color="auto"/>
            <w:right w:val="none" w:sz="0" w:space="0" w:color="auto"/>
          </w:divBdr>
        </w:div>
      </w:divsChild>
    </w:div>
    <w:div w:id="2128694917">
      <w:marLeft w:val="0"/>
      <w:marRight w:val="0"/>
      <w:marTop w:val="0"/>
      <w:marBottom w:val="0"/>
      <w:divBdr>
        <w:top w:val="none" w:sz="0" w:space="0" w:color="auto"/>
        <w:left w:val="none" w:sz="0" w:space="0" w:color="auto"/>
        <w:bottom w:val="none" w:sz="0" w:space="0" w:color="auto"/>
        <w:right w:val="none" w:sz="0" w:space="0" w:color="auto"/>
      </w:divBdr>
    </w:div>
    <w:div w:id="2130001749">
      <w:marLeft w:val="0"/>
      <w:marRight w:val="0"/>
      <w:marTop w:val="0"/>
      <w:marBottom w:val="0"/>
      <w:divBdr>
        <w:top w:val="none" w:sz="0" w:space="0" w:color="auto"/>
        <w:left w:val="none" w:sz="0" w:space="0" w:color="auto"/>
        <w:bottom w:val="none" w:sz="0" w:space="0" w:color="auto"/>
        <w:right w:val="none" w:sz="0" w:space="0" w:color="auto"/>
      </w:divBdr>
    </w:div>
    <w:div w:id="2130001977">
      <w:marLeft w:val="0"/>
      <w:marRight w:val="0"/>
      <w:marTop w:val="0"/>
      <w:marBottom w:val="0"/>
      <w:divBdr>
        <w:top w:val="none" w:sz="0" w:space="0" w:color="auto"/>
        <w:left w:val="none" w:sz="0" w:space="0" w:color="auto"/>
        <w:bottom w:val="none" w:sz="0" w:space="0" w:color="auto"/>
        <w:right w:val="none" w:sz="0" w:space="0" w:color="auto"/>
      </w:divBdr>
    </w:div>
    <w:div w:id="2133474091">
      <w:marLeft w:val="0"/>
      <w:marRight w:val="0"/>
      <w:marTop w:val="0"/>
      <w:marBottom w:val="0"/>
      <w:divBdr>
        <w:top w:val="none" w:sz="0" w:space="0" w:color="auto"/>
        <w:left w:val="none" w:sz="0" w:space="0" w:color="auto"/>
        <w:bottom w:val="none" w:sz="0" w:space="0" w:color="auto"/>
        <w:right w:val="none" w:sz="0" w:space="0" w:color="auto"/>
      </w:divBdr>
    </w:div>
    <w:div w:id="2133863461">
      <w:marLeft w:val="0"/>
      <w:marRight w:val="0"/>
      <w:marTop w:val="0"/>
      <w:marBottom w:val="0"/>
      <w:divBdr>
        <w:top w:val="none" w:sz="0" w:space="0" w:color="auto"/>
        <w:left w:val="none" w:sz="0" w:space="0" w:color="auto"/>
        <w:bottom w:val="none" w:sz="0" w:space="0" w:color="auto"/>
        <w:right w:val="none" w:sz="0" w:space="0" w:color="auto"/>
      </w:divBdr>
    </w:div>
    <w:div w:id="2133983234">
      <w:marLeft w:val="0"/>
      <w:marRight w:val="0"/>
      <w:marTop w:val="0"/>
      <w:marBottom w:val="0"/>
      <w:divBdr>
        <w:top w:val="none" w:sz="0" w:space="0" w:color="auto"/>
        <w:left w:val="none" w:sz="0" w:space="0" w:color="auto"/>
        <w:bottom w:val="none" w:sz="0" w:space="0" w:color="auto"/>
        <w:right w:val="none" w:sz="0" w:space="0" w:color="auto"/>
      </w:divBdr>
    </w:div>
    <w:div w:id="2134790390">
      <w:marLeft w:val="0"/>
      <w:marRight w:val="0"/>
      <w:marTop w:val="0"/>
      <w:marBottom w:val="0"/>
      <w:divBdr>
        <w:top w:val="none" w:sz="0" w:space="0" w:color="auto"/>
        <w:left w:val="none" w:sz="0" w:space="0" w:color="auto"/>
        <w:bottom w:val="none" w:sz="0" w:space="0" w:color="auto"/>
        <w:right w:val="none" w:sz="0" w:space="0" w:color="auto"/>
      </w:divBdr>
    </w:div>
    <w:div w:id="2135634518">
      <w:marLeft w:val="0"/>
      <w:marRight w:val="0"/>
      <w:marTop w:val="0"/>
      <w:marBottom w:val="0"/>
      <w:divBdr>
        <w:top w:val="none" w:sz="0" w:space="0" w:color="auto"/>
        <w:left w:val="none" w:sz="0" w:space="0" w:color="auto"/>
        <w:bottom w:val="none" w:sz="0" w:space="0" w:color="auto"/>
        <w:right w:val="none" w:sz="0" w:space="0" w:color="auto"/>
      </w:divBdr>
      <w:divsChild>
        <w:div w:id="208616776">
          <w:marLeft w:val="0"/>
          <w:marRight w:val="0"/>
          <w:marTop w:val="0"/>
          <w:marBottom w:val="0"/>
          <w:divBdr>
            <w:top w:val="none" w:sz="0" w:space="0" w:color="auto"/>
            <w:left w:val="none" w:sz="0" w:space="0" w:color="auto"/>
            <w:bottom w:val="none" w:sz="0" w:space="0" w:color="auto"/>
            <w:right w:val="none" w:sz="0" w:space="0" w:color="auto"/>
          </w:divBdr>
        </w:div>
      </w:divsChild>
    </w:div>
    <w:div w:id="2136679371">
      <w:marLeft w:val="0"/>
      <w:marRight w:val="0"/>
      <w:marTop w:val="0"/>
      <w:marBottom w:val="0"/>
      <w:divBdr>
        <w:top w:val="none" w:sz="0" w:space="0" w:color="auto"/>
        <w:left w:val="none" w:sz="0" w:space="0" w:color="auto"/>
        <w:bottom w:val="none" w:sz="0" w:space="0" w:color="auto"/>
        <w:right w:val="none" w:sz="0" w:space="0" w:color="auto"/>
      </w:divBdr>
    </w:div>
    <w:div w:id="2137523006">
      <w:marLeft w:val="0"/>
      <w:marRight w:val="0"/>
      <w:marTop w:val="0"/>
      <w:marBottom w:val="0"/>
      <w:divBdr>
        <w:top w:val="none" w:sz="0" w:space="0" w:color="auto"/>
        <w:left w:val="none" w:sz="0" w:space="0" w:color="auto"/>
        <w:bottom w:val="none" w:sz="0" w:space="0" w:color="auto"/>
        <w:right w:val="none" w:sz="0" w:space="0" w:color="auto"/>
      </w:divBdr>
      <w:divsChild>
        <w:div w:id="369304061">
          <w:marLeft w:val="0"/>
          <w:marRight w:val="0"/>
          <w:marTop w:val="0"/>
          <w:marBottom w:val="0"/>
          <w:divBdr>
            <w:top w:val="none" w:sz="0" w:space="0" w:color="auto"/>
            <w:left w:val="none" w:sz="0" w:space="0" w:color="auto"/>
            <w:bottom w:val="none" w:sz="0" w:space="0" w:color="auto"/>
            <w:right w:val="none" w:sz="0" w:space="0" w:color="auto"/>
          </w:divBdr>
        </w:div>
      </w:divsChild>
    </w:div>
    <w:div w:id="2138257284">
      <w:marLeft w:val="0"/>
      <w:marRight w:val="0"/>
      <w:marTop w:val="100"/>
      <w:marBottom w:val="180"/>
      <w:divBdr>
        <w:top w:val="none" w:sz="0" w:space="0" w:color="auto"/>
        <w:left w:val="none" w:sz="0" w:space="0" w:color="auto"/>
        <w:bottom w:val="none" w:sz="0" w:space="0" w:color="auto"/>
        <w:right w:val="none" w:sz="0" w:space="0" w:color="auto"/>
      </w:divBdr>
      <w:divsChild>
        <w:div w:id="1359627285">
          <w:marLeft w:val="0"/>
          <w:marRight w:val="0"/>
          <w:marTop w:val="0"/>
          <w:marBottom w:val="0"/>
          <w:divBdr>
            <w:top w:val="none" w:sz="0" w:space="0" w:color="auto"/>
            <w:left w:val="none" w:sz="0" w:space="0" w:color="auto"/>
            <w:bottom w:val="none" w:sz="0" w:space="0" w:color="auto"/>
            <w:right w:val="none" w:sz="0" w:space="0" w:color="auto"/>
          </w:divBdr>
        </w:div>
      </w:divsChild>
    </w:div>
    <w:div w:id="2138911642">
      <w:marLeft w:val="0"/>
      <w:marRight w:val="0"/>
      <w:marTop w:val="0"/>
      <w:marBottom w:val="0"/>
      <w:divBdr>
        <w:top w:val="none" w:sz="0" w:space="0" w:color="auto"/>
        <w:left w:val="none" w:sz="0" w:space="0" w:color="auto"/>
        <w:bottom w:val="none" w:sz="0" w:space="0" w:color="auto"/>
        <w:right w:val="none" w:sz="0" w:space="0" w:color="auto"/>
      </w:divBdr>
    </w:div>
    <w:div w:id="2139226270">
      <w:marLeft w:val="0"/>
      <w:marRight w:val="0"/>
      <w:marTop w:val="0"/>
      <w:marBottom w:val="0"/>
      <w:divBdr>
        <w:top w:val="none" w:sz="0" w:space="0" w:color="auto"/>
        <w:left w:val="none" w:sz="0" w:space="0" w:color="auto"/>
        <w:bottom w:val="none" w:sz="0" w:space="0" w:color="auto"/>
        <w:right w:val="none" w:sz="0" w:space="0" w:color="auto"/>
      </w:divBdr>
    </w:div>
    <w:div w:id="2139294373">
      <w:marLeft w:val="0"/>
      <w:marRight w:val="0"/>
      <w:marTop w:val="0"/>
      <w:marBottom w:val="0"/>
      <w:divBdr>
        <w:top w:val="none" w:sz="0" w:space="0" w:color="auto"/>
        <w:left w:val="none" w:sz="0" w:space="0" w:color="auto"/>
        <w:bottom w:val="none" w:sz="0" w:space="0" w:color="auto"/>
        <w:right w:val="none" w:sz="0" w:space="0" w:color="auto"/>
      </w:divBdr>
    </w:div>
    <w:div w:id="2140417831">
      <w:marLeft w:val="0"/>
      <w:marRight w:val="0"/>
      <w:marTop w:val="0"/>
      <w:marBottom w:val="0"/>
      <w:divBdr>
        <w:top w:val="none" w:sz="0" w:space="0" w:color="auto"/>
        <w:left w:val="none" w:sz="0" w:space="0" w:color="auto"/>
        <w:bottom w:val="none" w:sz="0" w:space="0" w:color="auto"/>
        <w:right w:val="none" w:sz="0" w:space="0" w:color="auto"/>
      </w:divBdr>
    </w:div>
    <w:div w:id="2141461663">
      <w:marLeft w:val="0"/>
      <w:marRight w:val="0"/>
      <w:marTop w:val="0"/>
      <w:marBottom w:val="0"/>
      <w:divBdr>
        <w:top w:val="none" w:sz="0" w:space="0" w:color="auto"/>
        <w:left w:val="none" w:sz="0" w:space="0" w:color="auto"/>
        <w:bottom w:val="none" w:sz="0" w:space="0" w:color="auto"/>
        <w:right w:val="none" w:sz="0" w:space="0" w:color="auto"/>
      </w:divBdr>
    </w:div>
    <w:div w:id="2144151127">
      <w:marLeft w:val="0"/>
      <w:marRight w:val="0"/>
      <w:marTop w:val="0"/>
      <w:marBottom w:val="0"/>
      <w:divBdr>
        <w:top w:val="none" w:sz="0" w:space="0" w:color="auto"/>
        <w:left w:val="none" w:sz="0" w:space="0" w:color="auto"/>
        <w:bottom w:val="none" w:sz="0" w:space="0" w:color="auto"/>
        <w:right w:val="none" w:sz="0" w:space="0" w:color="auto"/>
      </w:divBdr>
    </w:div>
    <w:div w:id="2144813497">
      <w:marLeft w:val="0"/>
      <w:marRight w:val="0"/>
      <w:marTop w:val="0"/>
      <w:marBottom w:val="0"/>
      <w:divBdr>
        <w:top w:val="none" w:sz="0" w:space="0" w:color="auto"/>
        <w:left w:val="none" w:sz="0" w:space="0" w:color="auto"/>
        <w:bottom w:val="none" w:sz="0" w:space="0" w:color="auto"/>
        <w:right w:val="none" w:sz="0" w:space="0" w:color="auto"/>
      </w:divBdr>
    </w:div>
    <w:div w:id="2145006336">
      <w:marLeft w:val="0"/>
      <w:marRight w:val="0"/>
      <w:marTop w:val="0"/>
      <w:marBottom w:val="0"/>
      <w:divBdr>
        <w:top w:val="none" w:sz="0" w:space="0" w:color="auto"/>
        <w:left w:val="none" w:sz="0" w:space="0" w:color="auto"/>
        <w:bottom w:val="none" w:sz="0" w:space="0" w:color="auto"/>
        <w:right w:val="none" w:sz="0" w:space="0" w:color="auto"/>
      </w:divBdr>
    </w:div>
    <w:div w:id="2145341655">
      <w:marLeft w:val="0"/>
      <w:marRight w:val="0"/>
      <w:marTop w:val="0"/>
      <w:marBottom w:val="0"/>
      <w:divBdr>
        <w:top w:val="none" w:sz="0" w:space="0" w:color="auto"/>
        <w:left w:val="none" w:sz="0" w:space="0" w:color="auto"/>
        <w:bottom w:val="none" w:sz="0" w:space="0" w:color="auto"/>
        <w:right w:val="none" w:sz="0" w:space="0" w:color="auto"/>
      </w:divBdr>
    </w:div>
    <w:div w:id="2145660427">
      <w:marLeft w:val="0"/>
      <w:marRight w:val="0"/>
      <w:marTop w:val="0"/>
      <w:marBottom w:val="0"/>
      <w:divBdr>
        <w:top w:val="none" w:sz="0" w:space="0" w:color="auto"/>
        <w:left w:val="none" w:sz="0" w:space="0" w:color="auto"/>
        <w:bottom w:val="none" w:sz="0" w:space="0" w:color="auto"/>
        <w:right w:val="none" w:sz="0" w:space="0" w:color="auto"/>
      </w:divBdr>
    </w:div>
    <w:div w:id="2145732488">
      <w:marLeft w:val="0"/>
      <w:marRight w:val="0"/>
      <w:marTop w:val="0"/>
      <w:marBottom w:val="0"/>
      <w:divBdr>
        <w:top w:val="none" w:sz="0" w:space="0" w:color="auto"/>
        <w:left w:val="none" w:sz="0" w:space="0" w:color="auto"/>
        <w:bottom w:val="none" w:sz="0" w:space="0" w:color="auto"/>
        <w:right w:val="none" w:sz="0" w:space="0" w:color="auto"/>
      </w:divBdr>
    </w:div>
    <w:div w:id="2145736387">
      <w:marLeft w:val="0"/>
      <w:marRight w:val="0"/>
      <w:marTop w:val="0"/>
      <w:marBottom w:val="0"/>
      <w:divBdr>
        <w:top w:val="none" w:sz="0" w:space="0" w:color="auto"/>
        <w:left w:val="none" w:sz="0" w:space="0" w:color="auto"/>
        <w:bottom w:val="none" w:sz="0" w:space="0" w:color="auto"/>
        <w:right w:val="none" w:sz="0" w:space="0" w:color="auto"/>
      </w:divBdr>
    </w:div>
    <w:div w:id="2145848497">
      <w:marLeft w:val="0"/>
      <w:marRight w:val="0"/>
      <w:marTop w:val="0"/>
      <w:marBottom w:val="0"/>
      <w:divBdr>
        <w:top w:val="none" w:sz="0" w:space="0" w:color="auto"/>
        <w:left w:val="none" w:sz="0" w:space="0" w:color="auto"/>
        <w:bottom w:val="none" w:sz="0" w:space="0" w:color="auto"/>
        <w:right w:val="none" w:sz="0" w:space="0" w:color="auto"/>
      </w:divBdr>
    </w:div>
    <w:div w:id="2145852681">
      <w:marLeft w:val="0"/>
      <w:marRight w:val="0"/>
      <w:marTop w:val="0"/>
      <w:marBottom w:val="0"/>
      <w:divBdr>
        <w:top w:val="none" w:sz="0" w:space="0" w:color="auto"/>
        <w:left w:val="none" w:sz="0" w:space="0" w:color="auto"/>
        <w:bottom w:val="none" w:sz="0" w:space="0" w:color="auto"/>
        <w:right w:val="none" w:sz="0" w:space="0" w:color="auto"/>
      </w:divBdr>
    </w:div>
    <w:div w:id="2147311865">
      <w:marLeft w:val="0"/>
      <w:marRight w:val="0"/>
      <w:marTop w:val="0"/>
      <w:marBottom w:val="0"/>
      <w:divBdr>
        <w:top w:val="none" w:sz="0" w:space="0" w:color="auto"/>
        <w:left w:val="none" w:sz="0" w:space="0" w:color="auto"/>
        <w:bottom w:val="none" w:sz="0" w:space="0" w:color="auto"/>
        <w:right w:val="none" w:sz="0" w:space="0" w:color="auto"/>
      </w:divBdr>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sec.gov/Archives/edgar/data/895728/000119312519088225/d715756ddef14a.htm" TargetMode="External"/><Relationship Id="rId21" Type="http://schemas.openxmlformats.org/officeDocument/2006/relationships/hyperlink" Target="http://www.sec.gov/Archives/edgar/data/895728/000119312516718317/d407725dex317.htm" TargetMode="External"/><Relationship Id="rId42" Type="http://schemas.openxmlformats.org/officeDocument/2006/relationships/hyperlink" Target="http://www.sec.gov/Archives/edgar/data/895728/000119312516718317/d407725dex328.htm" TargetMode="External"/><Relationship Id="rId63" Type="http://schemas.openxmlformats.org/officeDocument/2006/relationships/hyperlink" Target="http://www.sec.gov/Archives/edgar/data/895728/000110465918023633/a18-9991_1ex3d1.htm" TargetMode="External"/><Relationship Id="rId84" Type="http://schemas.openxmlformats.org/officeDocument/2006/relationships/hyperlink" Target="http://www.sec.gov/Archives/edgar/data/895728/000110465920082081/tm2024345d1_ex4-1.htm" TargetMode="External"/><Relationship Id="rId138" Type="http://schemas.openxmlformats.org/officeDocument/2006/relationships/hyperlink" Target="http://www.sec.gov/Archives/edgar/data/895728/000089572820000016/a1042020cash-settledrs.htm" TargetMode="External"/><Relationship Id="rId159" Type="http://schemas.openxmlformats.org/officeDocument/2006/relationships/hyperlink" Target="http://www.sec.gov/Archives/edgar/data/895728/000089572818000008/a1014-enbridgeincincentive.htm" TargetMode="External"/><Relationship Id="rId170" Type="http://schemas.openxmlformats.org/officeDocument/2006/relationships/hyperlink" Target="http://www.sec.gov/Archives/edgar/data/895728/000089572819000099/a102-enbridgeincdirect.htm" TargetMode="External"/><Relationship Id="rId191" Type="http://schemas.openxmlformats.org/officeDocument/2006/relationships/hyperlink" Target="http://www.sec.gov/Archives/edgar/data/895728/000089572818000008/a1021-amendment1andamendme.htm" TargetMode="External"/><Relationship Id="rId205" Type="http://schemas.openxmlformats.org/officeDocument/2006/relationships/hyperlink" Target="http://www.sec.gov/Archives/edgar/data/895728/000089572818000008/a1028-formofspectraenergyc.htm" TargetMode="External"/><Relationship Id="rId226" Type="http://schemas.openxmlformats.org/officeDocument/2006/relationships/fontTable" Target="fontTable.xml"/><Relationship Id="rId107" Type="http://schemas.openxmlformats.org/officeDocument/2006/relationships/hyperlink" Target="http://www.sec.gov/Archives/edgar/data/895728/000089572818000008/a102-formofexecutiveemploy.htm" TargetMode="External"/><Relationship Id="rId11" Type="http://schemas.openxmlformats.org/officeDocument/2006/relationships/hyperlink" Target="http://www.sec.gov/Archives/edgar/data/895728/000113031905000505/o17431exv2w1.htm" TargetMode="External"/><Relationship Id="rId32" Type="http://schemas.openxmlformats.org/officeDocument/2006/relationships/hyperlink" Target="http://www.sec.gov/Archives/edgar/data/895728/000119312516718317/d407725dex323.htm" TargetMode="External"/><Relationship Id="rId53" Type="http://schemas.openxmlformats.org/officeDocument/2006/relationships/hyperlink" Target="http://www.sec.gov/Archives/edgar/data/895728/000110465917044842/a17-17937_16k.htm" TargetMode="External"/><Relationship Id="rId74" Type="http://schemas.openxmlformats.org/officeDocument/2006/relationships/hyperlink" Target="http://www.sec.gov/Archives/edgar/data/895728/000110465916163074/a16-22873_7ex4d1.htm" TargetMode="External"/><Relationship Id="rId128" Type="http://schemas.openxmlformats.org/officeDocument/2006/relationships/hyperlink" Target="http://www.sec.gov/Archives/edgar/data/895728/000089572820000016/a1012020stockoptionawa.htm" TargetMode="External"/><Relationship Id="rId149" Type="http://schemas.openxmlformats.org/officeDocument/2006/relationships/hyperlink" Target="http://www.sec.gov/Archives/edgar/data/895728/000089572819000099/a107formofenb2019ltipr.htm" TargetMode="External"/><Relationship Id="rId5" Type="http://schemas.openxmlformats.org/officeDocument/2006/relationships/image" Target="file:///E:\projects\LLMs\new_data_collection\data_new\htm\ENBRIDGE%20INC\enb-20211231_g2.jpg" TargetMode="External"/><Relationship Id="rId95" Type="http://schemas.openxmlformats.org/officeDocument/2006/relationships/hyperlink" Target="http://www.sec.gov/Archives/edgar/data/895728/000089572818000008/a101-enbridgepipelinesincc.htm" TargetMode="External"/><Relationship Id="rId160" Type="http://schemas.openxmlformats.org/officeDocument/2006/relationships/hyperlink" Target="http://www.sec.gov/Archives/edgar/data/895728/000089572818000008/a1014-enbridgeincincentive.htm" TargetMode="External"/><Relationship Id="rId181" Type="http://schemas.openxmlformats.org/officeDocument/2006/relationships/hyperlink" Target="http://www.sec.gov/Archives/edgar/data/895728/000089572819000099/a101-enbridgeincshortt.htm" TargetMode="External"/><Relationship Id="rId216" Type="http://schemas.openxmlformats.org/officeDocument/2006/relationships/hyperlink" Target="a231enbexhibit2021.htm" TargetMode="External"/><Relationship Id="rId22" Type="http://schemas.openxmlformats.org/officeDocument/2006/relationships/hyperlink" Target="http://www.sec.gov/Archives/edgar/data/895728/000119312516718317/d407725dex318.htm" TargetMode="External"/><Relationship Id="rId43" Type="http://schemas.openxmlformats.org/officeDocument/2006/relationships/hyperlink" Target="http://www.sec.gov/Archives/edgar/data/895728/000119312516718317/d407725dex328.htm" TargetMode="External"/><Relationship Id="rId64" Type="http://schemas.openxmlformats.org/officeDocument/2006/relationships/hyperlink" Target="http://www.sec.gov/Archives/edgar/data/895728/000110465920082081/tm2024345d1_ex3-1.htm" TargetMode="External"/><Relationship Id="rId118" Type="http://schemas.openxmlformats.org/officeDocument/2006/relationships/hyperlink" Target="http://www.sec.gov/Archives/edgar/data/895728/000089572821000021/a101formofenbridgeinc2019l.htm" TargetMode="External"/><Relationship Id="rId139" Type="http://schemas.openxmlformats.org/officeDocument/2006/relationships/hyperlink" Target="http://www.sec.gov/Archives/edgar/data/895728/000089572820000016/a1042020cash-settledrs.htm" TargetMode="External"/><Relationship Id="rId85" Type="http://schemas.openxmlformats.org/officeDocument/2006/relationships/hyperlink" Target="http://www.sec.gov/Archives/edgar/data/895728/000110465920082081/tm2024345d1_ex4-1.htm" TargetMode="External"/><Relationship Id="rId150" Type="http://schemas.openxmlformats.org/officeDocument/2006/relationships/hyperlink" Target="http://www.sec.gov/Archives/edgar/data/895728/000089572819000099/a107formofenb2019ltipr.htm" TargetMode="External"/><Relationship Id="rId171" Type="http://schemas.openxmlformats.org/officeDocument/2006/relationships/hyperlink" Target="http://www.sec.gov/Archives/edgar/data/895728/000089572819000099/a102-enbridgeincdirect.htm" TargetMode="External"/><Relationship Id="rId192" Type="http://schemas.openxmlformats.org/officeDocument/2006/relationships/hyperlink" Target="http://www.sec.gov/Archives/edgar/data/895728/000089572818000008/a1021-amendment1andamendme.htm" TargetMode="External"/><Relationship Id="rId206" Type="http://schemas.openxmlformats.org/officeDocument/2006/relationships/hyperlink" Target="http://www.sec.gov/Archives/edgar/data/895728/000089572818000008/a1032-spectraenergycorp200.htm" TargetMode="External"/><Relationship Id="rId227" Type="http://schemas.openxmlformats.org/officeDocument/2006/relationships/theme" Target="theme/theme1.xml"/><Relationship Id="rId12" Type="http://schemas.openxmlformats.org/officeDocument/2006/relationships/hyperlink" Target="http://www.sec.gov/Archives/edgar/data/895728/000119312516718317/d407725dex313.htm" TargetMode="External"/><Relationship Id="rId33" Type="http://schemas.openxmlformats.org/officeDocument/2006/relationships/hyperlink" Target="http://www.sec.gov/Archives/edgar/data/895728/000119312516718317/d407725dex323.htm" TargetMode="External"/><Relationship Id="rId108" Type="http://schemas.openxmlformats.org/officeDocument/2006/relationships/hyperlink" Target="http://www.sec.gov/Archives/edgar/data/895728/000089572818000008/a103-formofexecutiveemploy.htm" TargetMode="External"/><Relationship Id="rId129" Type="http://schemas.openxmlformats.org/officeDocument/2006/relationships/hyperlink" Target="http://www.sec.gov/Archives/edgar/data/895728/000089572820000016/a1012020stockoptionawa.htm" TargetMode="External"/><Relationship Id="rId54" Type="http://schemas.openxmlformats.org/officeDocument/2006/relationships/hyperlink" Target="http://www.sec.gov/Archives/edgar/data/895728/000089572818000008/a334-certificateofamendmen.htm" TargetMode="External"/><Relationship Id="rId75" Type="http://schemas.openxmlformats.org/officeDocument/2006/relationships/hyperlink" Target="http://www.sec.gov/Archives/edgar/data/895728/000110465916163074/a16-22873_7ex4d1.htm" TargetMode="External"/><Relationship Id="rId96" Type="http://schemas.openxmlformats.org/officeDocument/2006/relationships/hyperlink" Target="http://www.sec.gov/Archives/edgar/data/895728/000110465919003146/a19-3385_1ex4d1.htm" TargetMode="External"/><Relationship Id="rId140" Type="http://schemas.openxmlformats.org/officeDocument/2006/relationships/hyperlink" Target="http://www.sec.gov/Archives/edgar/data/895728/000089572819000099/a104formofenb2019ltips.htm" TargetMode="External"/><Relationship Id="rId161" Type="http://schemas.openxmlformats.org/officeDocument/2006/relationships/hyperlink" Target="http://www.sec.gov/Archives/edgar/data/895728/000089572818000008/a1015-enbridgeincincentive.htm" TargetMode="External"/><Relationship Id="rId182" Type="http://schemas.openxmlformats.org/officeDocument/2006/relationships/hyperlink" Target="http://www.sec.gov/Archives/edgar/data/895728/000089572819000099/a101-enbridgeincshortt.htm" TargetMode="External"/><Relationship Id="rId217" Type="http://schemas.openxmlformats.org/officeDocument/2006/relationships/hyperlink" Target="a231enbexhibit2021.htm" TargetMode="External"/><Relationship Id="rId6" Type="http://schemas.openxmlformats.org/officeDocument/2006/relationships/image" Target="file:///E:\projects\LLMs\new_data_collection\data_new\htm\ENBRIDGE%20INC\enb-20211231_g3.jpg" TargetMode="External"/><Relationship Id="rId23" Type="http://schemas.openxmlformats.org/officeDocument/2006/relationships/hyperlink" Target="http://www.sec.gov/Archives/edgar/data/895728/000119312516718317/d407725dex318.htm" TargetMode="External"/><Relationship Id="rId119" Type="http://schemas.openxmlformats.org/officeDocument/2006/relationships/hyperlink" Target="http://www.sec.gov/Archives/edgar/data/895728/000089572821000021/a101formofenbridgeinc2019l.htm" TargetMode="External"/><Relationship Id="rId44" Type="http://schemas.openxmlformats.org/officeDocument/2006/relationships/hyperlink" Target="http://www.sec.gov/Archives/edgar/data/895728/000119312516718317/d407725dex329.htm" TargetMode="External"/><Relationship Id="rId65" Type="http://schemas.openxmlformats.org/officeDocument/2006/relationships/hyperlink" Target="http://www.sec.gov/Archives/edgar/data/895728/000110465920082081/tm2024345d1_ex3-1.htm" TargetMode="External"/><Relationship Id="rId86" Type="http://schemas.openxmlformats.org/officeDocument/2006/relationships/hyperlink" Target="http://www.sec.gov/Archives/edgar/data/895728/000110465921086340/tm2120801d1_ex4-4.htm" TargetMode="External"/><Relationship Id="rId130" Type="http://schemas.openxmlformats.org/officeDocument/2006/relationships/hyperlink" Target="http://www.sec.gov/Archives/edgar/data/895728/000089572820000016/a1012020stockoptionawa.htm" TargetMode="External"/><Relationship Id="rId151" Type="http://schemas.openxmlformats.org/officeDocument/2006/relationships/hyperlink" Target="http://www.sec.gov/Archives/edgar/data/895728/000089572819000099/a107formofenb2019ltipr.htm" TargetMode="External"/><Relationship Id="rId172" Type="http://schemas.openxmlformats.org/officeDocument/2006/relationships/hyperlink" Target="http://www.sec.gov/Archives/edgar/data/895728/000089572819000099/a102-enbridgeincdirect.htm" TargetMode="External"/><Relationship Id="rId193" Type="http://schemas.openxmlformats.org/officeDocument/2006/relationships/hyperlink" Target="http://www.sec.gov/Archives/edgar/data/895728/000089572818000017/exhibit102-ussppamendment.htm" TargetMode="External"/><Relationship Id="rId207" Type="http://schemas.openxmlformats.org/officeDocument/2006/relationships/hyperlink" Target="http://www.sec.gov/Archives/edgar/data/895728/000089572818000008/a1032-spectraenergycorp200.htm" TargetMode="External"/><Relationship Id="rId13" Type="http://schemas.openxmlformats.org/officeDocument/2006/relationships/hyperlink" Target="http://www.sec.gov/Archives/edgar/data/895728/000119312516718317/d407725dex313.htm" TargetMode="External"/><Relationship Id="rId109" Type="http://schemas.openxmlformats.org/officeDocument/2006/relationships/hyperlink" Target="http://www.sec.gov/Archives/edgar/data/895728/000089572818000008/a103-formofexecutiveemploy.htm" TargetMode="External"/><Relationship Id="rId34" Type="http://schemas.openxmlformats.org/officeDocument/2006/relationships/hyperlink" Target="http://www.sec.gov/Archives/edgar/data/895728/000119312516718317/d407725dex324.htm" TargetMode="External"/><Relationship Id="rId55" Type="http://schemas.openxmlformats.org/officeDocument/2006/relationships/hyperlink" Target="http://www.sec.gov/Archives/edgar/data/895728/000089572818000008/a334-certificateofamendmen.htm" TargetMode="External"/><Relationship Id="rId76" Type="http://schemas.openxmlformats.org/officeDocument/2006/relationships/hyperlink" Target="http://www.sec.gov/Archives/edgar/data/895728/000110465917044936/a17-17937_2ex4d1.htm" TargetMode="External"/><Relationship Id="rId97" Type="http://schemas.openxmlformats.org/officeDocument/2006/relationships/hyperlink" Target="http://www.sec.gov/Archives/edgar/data/895728/000110465919003146/a19-3385_1ex4d1.htm" TargetMode="External"/><Relationship Id="rId120" Type="http://schemas.openxmlformats.org/officeDocument/2006/relationships/hyperlink" Target="http://www.sec.gov/Archives/edgar/data/895728/000089572821000021/a102formofenbridgeinc2019l.htm" TargetMode="External"/><Relationship Id="rId141" Type="http://schemas.openxmlformats.org/officeDocument/2006/relationships/hyperlink" Target="http://www.sec.gov/Archives/edgar/data/895728/000089572819000099/a104formofenb2019ltips.htm" TargetMode="External"/><Relationship Id="rId7" Type="http://schemas.openxmlformats.org/officeDocument/2006/relationships/image" Target="file:///E:\projects\LLMs\new_data_collection\data_new\htm\ENBRIDGE%20INC\enb-20211231_g4.jpg" TargetMode="External"/><Relationship Id="rId162" Type="http://schemas.openxmlformats.org/officeDocument/2006/relationships/hyperlink" Target="http://www.sec.gov/Archives/edgar/data/895728/000089572818000008/a1015-enbridgeincincentive.htm" TargetMode="External"/><Relationship Id="rId183" Type="http://schemas.openxmlformats.org/officeDocument/2006/relationships/hyperlink" Target="http://www.sec.gov/Archives/edgar/data/895728/000089572819000099/a101-enbridgeincshortt.htm" TargetMode="External"/><Relationship Id="rId218" Type="http://schemas.openxmlformats.org/officeDocument/2006/relationships/hyperlink" Target="a311-q42021ceocertificatio.htm" TargetMode="External"/><Relationship Id="rId24" Type="http://schemas.openxmlformats.org/officeDocument/2006/relationships/hyperlink" Target="http://www.sec.gov/Archives/edgar/data/895728/000119312516718317/d407725dex319.htm" TargetMode="External"/><Relationship Id="rId45" Type="http://schemas.openxmlformats.org/officeDocument/2006/relationships/hyperlink" Target="http://www.sec.gov/Archives/edgar/data/895728/000119312516718317/d407725dex329.htm" TargetMode="External"/><Relationship Id="rId66" Type="http://schemas.openxmlformats.org/officeDocument/2006/relationships/hyperlink" Target="a340enbexhibit2021.htm" TargetMode="External"/><Relationship Id="rId87" Type="http://schemas.openxmlformats.org/officeDocument/2006/relationships/hyperlink" Target="http://www.sec.gov/Archives/edgar/data/895728/000110465921086340/tm2120801d1_ex4-4.htm" TargetMode="External"/><Relationship Id="rId110" Type="http://schemas.openxmlformats.org/officeDocument/2006/relationships/hyperlink" Target="http://www.sec.gov/Archives/edgar/data/895728/000089572818000008/a104-formofexecutiveemploy.htm" TargetMode="External"/><Relationship Id="rId131" Type="http://schemas.openxmlformats.org/officeDocument/2006/relationships/hyperlink" Target="http://www.sec.gov/Archives/edgar/data/895728/000089572820000016/a1022020psugrantagreem.htm" TargetMode="External"/><Relationship Id="rId152" Type="http://schemas.openxmlformats.org/officeDocument/2006/relationships/hyperlink" Target="http://www.sec.gov/Archives/edgar/data/895728/000089572819000141/a2019rsuretentiongrant.htm" TargetMode="External"/><Relationship Id="rId173" Type="http://schemas.openxmlformats.org/officeDocument/2006/relationships/hyperlink" Target="http://www.sec.gov/Archives/edgar/data/895728/000089572819000099/a102-enbridgeincdirect.htm" TargetMode="External"/><Relationship Id="rId194" Type="http://schemas.openxmlformats.org/officeDocument/2006/relationships/hyperlink" Target="http://www.sec.gov/Archives/edgar/data/895728/000089572818000017/exhibit102-ussppamendment.htm" TargetMode="External"/><Relationship Id="rId208" Type="http://schemas.openxmlformats.org/officeDocument/2006/relationships/hyperlink" Target="http://www.sec.gov/Archives/edgar/data/895728/000089572818000008/a1036-secondamendmenttothe.htm" TargetMode="External"/><Relationship Id="rId14" Type="http://schemas.openxmlformats.org/officeDocument/2006/relationships/hyperlink" Target="http://www.sec.gov/Archives/edgar/data/895728/000119312516718317/d407725dex314.htm" TargetMode="External"/><Relationship Id="rId35" Type="http://schemas.openxmlformats.org/officeDocument/2006/relationships/hyperlink" Target="http://www.sec.gov/Archives/edgar/data/895728/000119312516718317/d407725dex324.htm" TargetMode="External"/><Relationship Id="rId56" Type="http://schemas.openxmlformats.org/officeDocument/2006/relationships/hyperlink" Target="http://www.sec.gov/Archives/edgar/data/895728/000089572818000008/a335-certificateofamendmen.htm" TargetMode="External"/><Relationship Id="rId77" Type="http://schemas.openxmlformats.org/officeDocument/2006/relationships/hyperlink" Target="http://www.sec.gov/Archives/edgar/data/895728/000110465917044936/a17-17937_2ex4d1.htm" TargetMode="External"/><Relationship Id="rId100" Type="http://schemas.openxmlformats.org/officeDocument/2006/relationships/hyperlink" Target="http://www.sec.gov/Archives/edgar/data/895728/000110465919003146/a19-3385_1ex4d3.htm" TargetMode="External"/><Relationship Id="rId8" Type="http://schemas.openxmlformats.org/officeDocument/2006/relationships/image" Target="file:///E:\projects\LLMs\new_data_collection\data_new\htm\ENBRIDGE%20INC\enb-20211231_g5.jpg" TargetMode="External"/><Relationship Id="rId98" Type="http://schemas.openxmlformats.org/officeDocument/2006/relationships/hyperlink" Target="http://www.sec.gov/Archives/edgar/data/895728/000110465919003146/a19-3385_1ex4d2.htm" TargetMode="External"/><Relationship Id="rId121" Type="http://schemas.openxmlformats.org/officeDocument/2006/relationships/hyperlink" Target="http://www.sec.gov/Archives/edgar/data/895728/000089572821000021/a102formofenbridgeinc2019l.htm" TargetMode="External"/><Relationship Id="rId142" Type="http://schemas.openxmlformats.org/officeDocument/2006/relationships/hyperlink" Target="http://www.sec.gov/Archives/edgar/data/895728/000089572819000099/a104formofenb2019ltips.htm" TargetMode="External"/><Relationship Id="rId163" Type="http://schemas.openxmlformats.org/officeDocument/2006/relationships/hyperlink" Target="http://www.sec.gov/Archives/edgar/data/895728/000089572818000008/a1015-enbridgeincincentive.htm" TargetMode="External"/><Relationship Id="rId184" Type="http://schemas.openxmlformats.org/officeDocument/2006/relationships/hyperlink" Target="http://www.sec.gov/Archives/edgar/data/895728/000089572818000017/exhibit101-eisppamendedand.htm" TargetMode="External"/><Relationship Id="rId219" Type="http://schemas.openxmlformats.org/officeDocument/2006/relationships/hyperlink" Target="a311-q42021ceocertificatio.htm" TargetMode="External"/><Relationship Id="rId3" Type="http://schemas.openxmlformats.org/officeDocument/2006/relationships/webSettings" Target="webSettings.xml"/><Relationship Id="rId214" Type="http://schemas.openxmlformats.org/officeDocument/2006/relationships/hyperlink" Target="a221enbexhibit2021.htm" TargetMode="External"/><Relationship Id="rId25" Type="http://schemas.openxmlformats.org/officeDocument/2006/relationships/hyperlink" Target="http://www.sec.gov/Archives/edgar/data/895728/000119312516718317/d407725dex319.htm" TargetMode="External"/><Relationship Id="rId46" Type="http://schemas.openxmlformats.org/officeDocument/2006/relationships/hyperlink" Target="http://www.sec.gov/Archives/edgar/data/895728/000119312516718317/d407725dex330.htm" TargetMode="External"/><Relationship Id="rId67" Type="http://schemas.openxmlformats.org/officeDocument/2006/relationships/hyperlink" Target="a340enbexhibit2021.htm" TargetMode="External"/><Relationship Id="rId116" Type="http://schemas.openxmlformats.org/officeDocument/2006/relationships/hyperlink" Target="http://www.sec.gov/Archives/edgar/data/895728/000119312519088225/d715756ddef14a.htm" TargetMode="External"/><Relationship Id="rId137" Type="http://schemas.openxmlformats.org/officeDocument/2006/relationships/hyperlink" Target="http://www.sec.gov/Archives/edgar/data/895728/000089572820000016/a1042020cash-settledrs.htm" TargetMode="External"/><Relationship Id="rId158" Type="http://schemas.openxmlformats.org/officeDocument/2006/relationships/hyperlink" Target="http://www.sec.gov/Archives/edgar/data/895728/000089572818000008/a1014-enbridgeincincentive.htm" TargetMode="External"/><Relationship Id="rId20" Type="http://schemas.openxmlformats.org/officeDocument/2006/relationships/hyperlink" Target="http://www.sec.gov/Archives/edgar/data/895728/000119312516718317/d407725dex317.htm" TargetMode="External"/><Relationship Id="rId41" Type="http://schemas.openxmlformats.org/officeDocument/2006/relationships/hyperlink" Target="http://www.sec.gov/Archives/edgar/data/895728/000119312516718317/d407725dex327.htm" TargetMode="External"/><Relationship Id="rId62" Type="http://schemas.openxmlformats.org/officeDocument/2006/relationships/hyperlink" Target="http://www.sec.gov/Archives/edgar/data/895728/000110465918023633/a18-9991_1ex3d1.htm" TargetMode="External"/><Relationship Id="rId83" Type="http://schemas.openxmlformats.org/officeDocument/2006/relationships/hyperlink" Target="http://www.sec.gov/Archives/edgar/data/880285/000110465919030063/a19-9777_1ex4d7.htm" TargetMode="External"/><Relationship Id="rId88" Type="http://schemas.openxmlformats.org/officeDocument/2006/relationships/hyperlink" Target="http://www.sec.gov/Archives/edgar/data/895728/000110465920057434/tm2018789d1_ex4-1.htm" TargetMode="External"/><Relationship Id="rId111" Type="http://schemas.openxmlformats.org/officeDocument/2006/relationships/hyperlink" Target="http://www.sec.gov/Archives/edgar/data/895728/000089572818000008/a104-formofexecutiveemploy.htm" TargetMode="External"/><Relationship Id="rId132" Type="http://schemas.openxmlformats.org/officeDocument/2006/relationships/hyperlink" Target="http://www.sec.gov/Archives/edgar/data/895728/000089572820000016/a1022020psugrantagreem.htm" TargetMode="External"/><Relationship Id="rId153" Type="http://schemas.openxmlformats.org/officeDocument/2006/relationships/hyperlink" Target="http://www.sec.gov/Archives/edgar/data/895728/000089572819000141/a2019rsuretentiongrant.htm" TargetMode="External"/><Relationship Id="rId174" Type="http://schemas.openxmlformats.org/officeDocument/2006/relationships/hyperlink" Target="http://www.sec.gov/Archives/edgar/data/895728/000089572818000017/exhibit103-directorscompen.htm" TargetMode="External"/><Relationship Id="rId179" Type="http://schemas.openxmlformats.org/officeDocument/2006/relationships/hyperlink" Target="http://www.sec.gov/Archives/edgar/data/0000895728/000089572818000008/a1016-enbridgeincdirectors.htm" TargetMode="External"/><Relationship Id="rId195" Type="http://schemas.openxmlformats.org/officeDocument/2006/relationships/hyperlink" Target="http://www.sec.gov/Archives/edgar/data/895728/000089572818000017/exhibit102-ussppamendment.htm" TargetMode="External"/><Relationship Id="rId209" Type="http://schemas.openxmlformats.org/officeDocument/2006/relationships/hyperlink" Target="http://www.sec.gov/Archives/edgar/data/895728/000089572818000008/a1036-secondamendmenttothe.htm" TargetMode="External"/><Relationship Id="rId190" Type="http://schemas.openxmlformats.org/officeDocument/2006/relationships/hyperlink" Target="http://www.sec.gov/Archives/edgar/data/895728/000089572818000008/a1021-amendment1andamendme.htm" TargetMode="External"/><Relationship Id="rId204" Type="http://schemas.openxmlformats.org/officeDocument/2006/relationships/hyperlink" Target="http://www.sec.gov/Archives/edgar/data/895728/000089572818000008/a1028-formofspectraenergyc.htm" TargetMode="External"/><Relationship Id="rId220" Type="http://schemas.openxmlformats.org/officeDocument/2006/relationships/hyperlink" Target="a312-q42021cfocertificatio.htm" TargetMode="External"/><Relationship Id="rId225" Type="http://schemas.openxmlformats.org/officeDocument/2006/relationships/hyperlink" Target="a322-q42021cfocertificatio.htm" TargetMode="External"/><Relationship Id="rId15" Type="http://schemas.openxmlformats.org/officeDocument/2006/relationships/hyperlink" Target="http://www.sec.gov/Archives/edgar/data/895728/000119312516718317/d407725dex314.htm" TargetMode="External"/><Relationship Id="rId36" Type="http://schemas.openxmlformats.org/officeDocument/2006/relationships/hyperlink" Target="http://www.sec.gov/Archives/edgar/data/895728/000119312516718317/d407725dex325.htm" TargetMode="External"/><Relationship Id="rId57" Type="http://schemas.openxmlformats.org/officeDocument/2006/relationships/hyperlink" Target="http://www.sec.gov/Archives/edgar/data/895728/000089572818000008/a335-certificateofamendmen.htm" TargetMode="External"/><Relationship Id="rId106" Type="http://schemas.openxmlformats.org/officeDocument/2006/relationships/hyperlink" Target="http://www.sec.gov/Archives/edgar/data/895728/000089572818000008/a102-formofexecutiveemploy.htm" TargetMode="External"/><Relationship Id="rId127" Type="http://schemas.openxmlformats.org/officeDocument/2006/relationships/hyperlink" Target="http://www.sec.gov/Archives/edgar/data/895728/000089572821000021/a105formofenbridgeinc2019l.htm" TargetMode="External"/><Relationship Id="rId10" Type="http://schemas.openxmlformats.org/officeDocument/2006/relationships/hyperlink" Target="http://www.sec.gov/Archives/edgar/data/895728/000113031905000505/o17431exv2w1.htm" TargetMode="External"/><Relationship Id="rId31" Type="http://schemas.openxmlformats.org/officeDocument/2006/relationships/hyperlink" Target="http://www.sec.gov/Archives/edgar/data/895728/000119312516718317/d407725dex322.htm" TargetMode="External"/><Relationship Id="rId52" Type="http://schemas.openxmlformats.org/officeDocument/2006/relationships/hyperlink" Target="http://www.sec.gov/Archives/edgar/data/895728/000110465917044842/a17-17937_16k.htm" TargetMode="External"/><Relationship Id="rId73" Type="http://schemas.openxmlformats.org/officeDocument/2006/relationships/hyperlink" Target="http://www.sec.gov/Archives/edgar/data/895728/000104746912005813/a2209509zex-7_3.htm" TargetMode="External"/><Relationship Id="rId78" Type="http://schemas.openxmlformats.org/officeDocument/2006/relationships/hyperlink" Target="http://www.sec.gov/Archives/edgar/data/895728/000110465918014115/a18-7369_1ex4d1.htm" TargetMode="External"/><Relationship Id="rId94" Type="http://schemas.openxmlformats.org/officeDocument/2006/relationships/hyperlink" Target="http://www.sec.gov/Archives/edgar/data/895728/000089572818000008/a101-enbridgepipelinesincc.htm" TargetMode="External"/><Relationship Id="rId99" Type="http://schemas.openxmlformats.org/officeDocument/2006/relationships/hyperlink" Target="http://www.sec.gov/Archives/edgar/data/895728/000110465919003146/a19-3385_1ex4d2.htm" TargetMode="External"/><Relationship Id="rId101" Type="http://schemas.openxmlformats.org/officeDocument/2006/relationships/hyperlink" Target="http://www.sec.gov/Archives/edgar/data/895728/000110465919003146/a19-3385_1ex4d3.htm" TargetMode="External"/><Relationship Id="rId122" Type="http://schemas.openxmlformats.org/officeDocument/2006/relationships/hyperlink" Target="http://www.sec.gov/Archives/edgar/data/895728/000089572821000021/a103formofenbridgeinc2019l.htm" TargetMode="External"/><Relationship Id="rId143" Type="http://schemas.openxmlformats.org/officeDocument/2006/relationships/hyperlink" Target="http://www.sec.gov/Archives/edgar/data/895728/000089572819000099/a105formofenb2019ltipp.htm" TargetMode="External"/><Relationship Id="rId148" Type="http://schemas.openxmlformats.org/officeDocument/2006/relationships/hyperlink" Target="http://www.sec.gov/Archives/edgar/data/895728/000089572819000099/a106formofenb2019ltipr.htm" TargetMode="External"/><Relationship Id="rId164" Type="http://schemas.openxmlformats.org/officeDocument/2006/relationships/hyperlink" Target="http://www.sec.gov/Archives/edgar/data/895728/000089572821000021/a106enbridgeincdirectorsco.htm" TargetMode="External"/><Relationship Id="rId169" Type="http://schemas.openxmlformats.org/officeDocument/2006/relationships/hyperlink" Target="http://www.sec.gov/Archives/edgar/data/895728/000089572820000023/dircompplan-feb2020xju.htm" TargetMode="External"/><Relationship Id="rId185" Type="http://schemas.openxmlformats.org/officeDocument/2006/relationships/hyperlink" Target="http://www.sec.gov/Archives/edgar/data/895728/000089572818000017/exhibit101-eisppamendedand.htm" TargetMode="External"/><Relationship Id="rId4" Type="http://schemas.openxmlformats.org/officeDocument/2006/relationships/image" Target="file:///E:\projects\LLMs\new_data_collection\data_new\htm\ENBRIDGE%20INC\enb-20211231_g1.jpg" TargetMode="External"/><Relationship Id="rId9" Type="http://schemas.openxmlformats.org/officeDocument/2006/relationships/image" Target="file:///E:\projects\LLMs\new_data_collection\data_new\htm\ENBRIDGE%20INC\enb-20211231_g6.jpg" TargetMode="External"/><Relationship Id="rId180" Type="http://schemas.openxmlformats.org/officeDocument/2006/relationships/hyperlink" Target="http://www.sec.gov/Archives/edgar/data/895728/000089572819000099/a101-enbridgeincshortt.htm" TargetMode="External"/><Relationship Id="rId210" Type="http://schemas.openxmlformats.org/officeDocument/2006/relationships/hyperlink" Target="http://www.sec.gov/Archives/edgar/data/895728/000089572818000008/a1037-secondamendmenttothe.htm" TargetMode="External"/><Relationship Id="rId215" Type="http://schemas.openxmlformats.org/officeDocument/2006/relationships/hyperlink" Target="a221enbexhibit2021.htm" TargetMode="External"/><Relationship Id="rId26" Type="http://schemas.openxmlformats.org/officeDocument/2006/relationships/hyperlink" Target="http://www.sec.gov/Archives/edgar/data/895728/000119312516718317/d407725dex320.htm" TargetMode="External"/><Relationship Id="rId47" Type="http://schemas.openxmlformats.org/officeDocument/2006/relationships/hyperlink" Target="http://www.sec.gov/Archives/edgar/data/895728/000119312516718317/d407725dex330.htm" TargetMode="External"/><Relationship Id="rId68" Type="http://schemas.openxmlformats.org/officeDocument/2006/relationships/hyperlink" Target="http://www.sec.gov/Archives/edgar/data/895728/000119312514434675/d836242d6k.htm" TargetMode="External"/><Relationship Id="rId89" Type="http://schemas.openxmlformats.org/officeDocument/2006/relationships/hyperlink" Target="http://www.sec.gov/Archives/edgar/data/895728/000110465920057434/tm2018789d1_ex4-1.htm" TargetMode="External"/><Relationship Id="rId112" Type="http://schemas.openxmlformats.org/officeDocument/2006/relationships/hyperlink" Target="http://www.sec.gov/Archives/edgar/data/895728/000110465918047700/a18-17817_1ex10d1.htm" TargetMode="External"/><Relationship Id="rId133" Type="http://schemas.openxmlformats.org/officeDocument/2006/relationships/hyperlink" Target="http://www.sec.gov/Archives/edgar/data/895728/000089572820000016/a1022020psugrantagreem.htm" TargetMode="External"/><Relationship Id="rId154" Type="http://schemas.openxmlformats.org/officeDocument/2006/relationships/hyperlink" Target="http://www.sec.gov/Archives/edgar/data/895728/000089572819000141/a2019rsuretentiongrant.htm" TargetMode="External"/><Relationship Id="rId175" Type="http://schemas.openxmlformats.org/officeDocument/2006/relationships/hyperlink" Target="http://www.sec.gov/Archives/edgar/data/895728/000089572818000017/exhibit103-directorscompen.htm" TargetMode="External"/><Relationship Id="rId196" Type="http://schemas.openxmlformats.org/officeDocument/2006/relationships/hyperlink" Target="http://www.sec.gov/Archives/edgar/data/895728/000089572818000008/a1022-spectraenergycorpdir.htm" TargetMode="External"/><Relationship Id="rId200" Type="http://schemas.openxmlformats.org/officeDocument/2006/relationships/hyperlink" Target="http://www.sec.gov/Archives/edgar/data/895728/000089572818000008/a1024-spectraenergyexecuti.htm" TargetMode="External"/><Relationship Id="rId16" Type="http://schemas.openxmlformats.org/officeDocument/2006/relationships/hyperlink" Target="http://www.sec.gov/Archives/edgar/data/895728/000119312516718317/d407725dex315.htm" TargetMode="External"/><Relationship Id="rId221" Type="http://schemas.openxmlformats.org/officeDocument/2006/relationships/hyperlink" Target="a312-q42021cfocertificatio.htm" TargetMode="External"/><Relationship Id="rId37" Type="http://schemas.openxmlformats.org/officeDocument/2006/relationships/hyperlink" Target="http://www.sec.gov/Archives/edgar/data/895728/000119312516718317/d407725dex325.htm" TargetMode="External"/><Relationship Id="rId58" Type="http://schemas.openxmlformats.org/officeDocument/2006/relationships/hyperlink" Target="http://www.sec.gov/Archives/edgar/data/895728/000110465918014115/a18-7369_1ex3d1.htm" TargetMode="External"/><Relationship Id="rId79" Type="http://schemas.openxmlformats.org/officeDocument/2006/relationships/hyperlink" Target="http://www.sec.gov/Archives/edgar/data/895728/000110465918014115/a18-7369_1ex4d1.htm" TargetMode="External"/><Relationship Id="rId102" Type="http://schemas.openxmlformats.org/officeDocument/2006/relationships/hyperlink" Target="http://www.sec.gov/Archives/edgar/data/895728/000110465919003146/a19-3385_1ex4d4.htm" TargetMode="External"/><Relationship Id="rId123" Type="http://schemas.openxmlformats.org/officeDocument/2006/relationships/hyperlink" Target="http://www.sec.gov/Archives/edgar/data/895728/000089572821000021/a103formofenbridgeinc2019l.htm" TargetMode="External"/><Relationship Id="rId144" Type="http://schemas.openxmlformats.org/officeDocument/2006/relationships/hyperlink" Target="http://www.sec.gov/Archives/edgar/data/895728/000089572819000099/a105formofenb2019ltipp.htm" TargetMode="External"/><Relationship Id="rId90" Type="http://schemas.openxmlformats.org/officeDocument/2006/relationships/hyperlink" Target="http://www.sec.gov/Archives/edgar/data/895728/000110465920057434/tm2018789d1_ex4-1.htm" TargetMode="External"/><Relationship Id="rId165" Type="http://schemas.openxmlformats.org/officeDocument/2006/relationships/hyperlink" Target="http://www.sec.gov/Archives/edgar/data/895728/000089572821000021/a106enbridgeincdirectorsco.htm" TargetMode="External"/><Relationship Id="rId186" Type="http://schemas.openxmlformats.org/officeDocument/2006/relationships/hyperlink" Target="http://www.sec.gov/Archives/edgar/data/895728/000089572818000017/exhibit101-eisppamendedand.htm" TargetMode="External"/><Relationship Id="rId211" Type="http://schemas.openxmlformats.org/officeDocument/2006/relationships/hyperlink" Target="http://www.sec.gov/Archives/edgar/data/895728/000089572818000008/a1037-secondamendmenttothe.htm" TargetMode="External"/><Relationship Id="rId27" Type="http://schemas.openxmlformats.org/officeDocument/2006/relationships/hyperlink" Target="http://www.sec.gov/Archives/edgar/data/895728/000119312516718317/d407725dex320.htm" TargetMode="External"/><Relationship Id="rId48" Type="http://schemas.openxmlformats.org/officeDocument/2006/relationships/hyperlink" Target="http://www.sec.gov/Archives/edgar/data/895728/000119312516782493/d298730d6k.htm" TargetMode="External"/><Relationship Id="rId69" Type="http://schemas.openxmlformats.org/officeDocument/2006/relationships/hyperlink" Target="http://www.sec.gov/Archives/edgar/data/895728/000119312514434675/d836242d6k.htm" TargetMode="External"/><Relationship Id="rId113" Type="http://schemas.openxmlformats.org/officeDocument/2006/relationships/hyperlink" Target="http://www.sec.gov/Archives/edgar/data/895728/000110465918047700/a18-17817_1ex10d1.htm" TargetMode="External"/><Relationship Id="rId134" Type="http://schemas.openxmlformats.org/officeDocument/2006/relationships/hyperlink" Target="http://www.sec.gov/Archives/edgar/data/895728/000089572820000016/a1032020share-settledr.htm" TargetMode="External"/><Relationship Id="rId80" Type="http://schemas.openxmlformats.org/officeDocument/2006/relationships/hyperlink" Target="http://www.sec.gov/Archives/edgar/data/895728/000110465918023655/a18-9987_1ex4d1.htm" TargetMode="External"/><Relationship Id="rId155" Type="http://schemas.openxmlformats.org/officeDocument/2006/relationships/hyperlink" Target="http://www.sec.gov/Archives/edgar/data/895728/000089572818000008/a1013-enbridgeincincentive.htm" TargetMode="External"/><Relationship Id="rId176" Type="http://schemas.openxmlformats.org/officeDocument/2006/relationships/hyperlink" Target="http://www.sec.gov/Archives/edgar/data/895728/000089572818000017/exhibit103-directorscompen.htm" TargetMode="External"/><Relationship Id="rId197" Type="http://schemas.openxmlformats.org/officeDocument/2006/relationships/hyperlink" Target="http://www.sec.gov/Archives/edgar/data/895728/000089572818000008/a1022-spectraenergycorpdir.htm" TargetMode="External"/><Relationship Id="rId201" Type="http://schemas.openxmlformats.org/officeDocument/2006/relationships/hyperlink" Target="http://www.sec.gov/Archives/edgar/data/895728/000089572818000008/a1024-spectraenergyexecuti.htm" TargetMode="External"/><Relationship Id="rId222" Type="http://schemas.openxmlformats.org/officeDocument/2006/relationships/hyperlink" Target="a321-q42021ceocertificatio.htm" TargetMode="External"/><Relationship Id="rId17" Type="http://schemas.openxmlformats.org/officeDocument/2006/relationships/hyperlink" Target="http://www.sec.gov/Archives/edgar/data/895728/000119312516718317/d407725dex315.htm" TargetMode="External"/><Relationship Id="rId38" Type="http://schemas.openxmlformats.org/officeDocument/2006/relationships/hyperlink" Target="http://www.sec.gov/Archives/edgar/data/895728/000119312516718317/d407725dex326.htm" TargetMode="External"/><Relationship Id="rId59" Type="http://schemas.openxmlformats.org/officeDocument/2006/relationships/hyperlink" Target="http://www.sec.gov/Archives/edgar/data/895728/000110465918014115/a18-7369_1ex3d1.htm" TargetMode="External"/><Relationship Id="rId103" Type="http://schemas.openxmlformats.org/officeDocument/2006/relationships/hyperlink" Target="http://www.sec.gov/Archives/edgar/data/895728/000110465919003146/a19-3385_1ex4d4.htm" TargetMode="External"/><Relationship Id="rId124" Type="http://schemas.openxmlformats.org/officeDocument/2006/relationships/hyperlink" Target="http://www.sec.gov/Archives/edgar/data/895728/000089572821000021/a104formofenbridgeinc2019l.htm" TargetMode="External"/><Relationship Id="rId70" Type="http://schemas.openxmlformats.org/officeDocument/2006/relationships/hyperlink" Target="http://www.sec.gov/Archives/edgar/data/895728/000104746905002317/a2150846zex-7_1.htm" TargetMode="External"/><Relationship Id="rId91" Type="http://schemas.openxmlformats.org/officeDocument/2006/relationships/hyperlink" Target="http://www.sec.gov/Archives/edgar/data/895728/000089572820000009/a49descriptionofsecuri.htm" TargetMode="External"/><Relationship Id="rId145" Type="http://schemas.openxmlformats.org/officeDocument/2006/relationships/hyperlink" Target="http://www.sec.gov/Archives/edgar/data/895728/000089572819000099/a105formofenb2019ltipp.htm" TargetMode="External"/><Relationship Id="rId166" Type="http://schemas.openxmlformats.org/officeDocument/2006/relationships/hyperlink" Target="http://www.sec.gov/Archives/edgar/data/895728/000089572820000023/dircompplan-feb2020xju.htm" TargetMode="External"/><Relationship Id="rId187" Type="http://schemas.openxmlformats.org/officeDocument/2006/relationships/hyperlink" Target="http://www.sec.gov/Archives/edgar/data/895728/000089572818000008/a1020-enbridgesupplemental.htm" TargetMode="External"/><Relationship Id="rId1" Type="http://schemas.openxmlformats.org/officeDocument/2006/relationships/styles" Target="styles.xml"/><Relationship Id="rId212" Type="http://schemas.openxmlformats.org/officeDocument/2006/relationships/hyperlink" Target="a211enbexhibit2021.htm" TargetMode="External"/><Relationship Id="rId28" Type="http://schemas.openxmlformats.org/officeDocument/2006/relationships/hyperlink" Target="http://www.sec.gov/Archives/edgar/data/895728/000119312516718317/d407725dex321.htm" TargetMode="External"/><Relationship Id="rId49" Type="http://schemas.openxmlformats.org/officeDocument/2006/relationships/hyperlink" Target="http://www.sec.gov/Archives/edgar/data/895728/000119312516782493/d298730d6k.htm" TargetMode="External"/><Relationship Id="rId114" Type="http://schemas.openxmlformats.org/officeDocument/2006/relationships/hyperlink" Target="http://www.sec.gov/Archives/edgar/data/895728/000089572819000033/enbindemnityagreementfebru.htm" TargetMode="External"/><Relationship Id="rId60" Type="http://schemas.openxmlformats.org/officeDocument/2006/relationships/hyperlink" Target="http://www.sec.gov/Archives/edgar/data/895728/000110465918023655/a18-9987_1ex3d1.htm" TargetMode="External"/><Relationship Id="rId81" Type="http://schemas.openxmlformats.org/officeDocument/2006/relationships/hyperlink" Target="http://www.sec.gov/Archives/edgar/data/895728/000110465918023655/a18-9987_1ex4d1.htm" TargetMode="External"/><Relationship Id="rId135" Type="http://schemas.openxmlformats.org/officeDocument/2006/relationships/hyperlink" Target="http://www.sec.gov/Archives/edgar/data/895728/000089572820000016/a1032020share-settledr.htm" TargetMode="External"/><Relationship Id="rId156" Type="http://schemas.openxmlformats.org/officeDocument/2006/relationships/hyperlink" Target="http://www.sec.gov/Archives/edgar/data/895728/000089572818000008/a1013-enbridgeincincentive.htm" TargetMode="External"/><Relationship Id="rId177" Type="http://schemas.openxmlformats.org/officeDocument/2006/relationships/hyperlink" Target="http://www.sec.gov/Archives/edgar/data/895728/000089572818000017/exhibit103-directorscompen.htm" TargetMode="External"/><Relationship Id="rId198" Type="http://schemas.openxmlformats.org/officeDocument/2006/relationships/hyperlink" Target="http://www.sec.gov/Archives/edgar/data/895728/000089572818000008/a1023-spectraenergycorpexe.htm" TargetMode="External"/><Relationship Id="rId202" Type="http://schemas.openxmlformats.org/officeDocument/2006/relationships/hyperlink" Target="http://www.sec.gov/Archives/edgar/data/895728/000089572818000008/a1025-omnibusamendmentdate.htm" TargetMode="External"/><Relationship Id="rId223" Type="http://schemas.openxmlformats.org/officeDocument/2006/relationships/hyperlink" Target="a321-q42021ceocertificatio.htm" TargetMode="External"/><Relationship Id="rId18" Type="http://schemas.openxmlformats.org/officeDocument/2006/relationships/hyperlink" Target="http://www.sec.gov/Archives/edgar/data/895728/000119312516718317/d407725dex316.htm" TargetMode="External"/><Relationship Id="rId39" Type="http://schemas.openxmlformats.org/officeDocument/2006/relationships/hyperlink" Target="http://www.sec.gov/Archives/edgar/data/895728/000119312516718317/d407725dex326.htm" TargetMode="External"/><Relationship Id="rId50" Type="http://schemas.openxmlformats.org/officeDocument/2006/relationships/hyperlink" Target="http://www.sec.gov/Archives/edgar/data/895728/000119312516795927/d311557d6k.htm" TargetMode="External"/><Relationship Id="rId104" Type="http://schemas.openxmlformats.org/officeDocument/2006/relationships/hyperlink" Target="http://www.sec.gov/Archives/edgar/data/895728/000110465919003146/a19-3385_1ex4d5.htm" TargetMode="External"/><Relationship Id="rId125" Type="http://schemas.openxmlformats.org/officeDocument/2006/relationships/hyperlink" Target="http://www.sec.gov/Archives/edgar/data/895728/000089572821000021/a104formofenbridgeinc2019l.htm" TargetMode="External"/><Relationship Id="rId146" Type="http://schemas.openxmlformats.org/officeDocument/2006/relationships/hyperlink" Target="http://www.sec.gov/Archives/edgar/data/895728/000089572819000099/a106formofenb2019ltipr.htm" TargetMode="External"/><Relationship Id="rId167" Type="http://schemas.openxmlformats.org/officeDocument/2006/relationships/hyperlink" Target="http://www.sec.gov/Archives/edgar/data/895728/000089572820000023/dircompplan-feb2020xju.htm" TargetMode="External"/><Relationship Id="rId188" Type="http://schemas.openxmlformats.org/officeDocument/2006/relationships/hyperlink" Target="http://www.sec.gov/Archives/edgar/data/895728/000089572818000008/a1020-enbridgesupplemental.htm" TargetMode="External"/><Relationship Id="rId71" Type="http://schemas.openxmlformats.org/officeDocument/2006/relationships/hyperlink" Target="http://www.sec.gov/Archives/edgar/data/895728/000104746905002317/a2150846zex-7_1.htm" TargetMode="External"/><Relationship Id="rId92" Type="http://schemas.openxmlformats.org/officeDocument/2006/relationships/hyperlink" Target="http://www.sec.gov/Archives/edgar/data/895728/000089572820000009/a49descriptionofsecuri.htm" TargetMode="External"/><Relationship Id="rId213" Type="http://schemas.openxmlformats.org/officeDocument/2006/relationships/hyperlink" Target="a211enbexhibit2021.htm" TargetMode="External"/><Relationship Id="rId2" Type="http://schemas.openxmlformats.org/officeDocument/2006/relationships/settings" Target="settings.xml"/><Relationship Id="rId29" Type="http://schemas.openxmlformats.org/officeDocument/2006/relationships/hyperlink" Target="http://www.sec.gov/Archives/edgar/data/895728/000119312516718317/d407725dex321.htm" TargetMode="External"/><Relationship Id="rId40" Type="http://schemas.openxmlformats.org/officeDocument/2006/relationships/hyperlink" Target="http://www.sec.gov/Archives/edgar/data/895728/000119312516718317/d407725dex327.htm" TargetMode="External"/><Relationship Id="rId115" Type="http://schemas.openxmlformats.org/officeDocument/2006/relationships/hyperlink" Target="http://www.sec.gov/Archives/edgar/data/895728/000089572819000033/enbindemnityagreementfebru.htm" TargetMode="External"/><Relationship Id="rId136" Type="http://schemas.openxmlformats.org/officeDocument/2006/relationships/hyperlink" Target="http://www.sec.gov/Archives/edgar/data/895728/000089572820000016/a1032020share-settledr.htm" TargetMode="External"/><Relationship Id="rId157" Type="http://schemas.openxmlformats.org/officeDocument/2006/relationships/hyperlink" Target="http://www.sec.gov/Archives/edgar/data/895728/000089572818000008/a1013-enbridgeincincentive.htm" TargetMode="External"/><Relationship Id="rId178" Type="http://schemas.openxmlformats.org/officeDocument/2006/relationships/hyperlink" Target="http://www.sec.gov/Archives/edgar/data/0000895728/000089572818000008/a1016-enbridgeincdirectors.htm" TargetMode="External"/><Relationship Id="rId61" Type="http://schemas.openxmlformats.org/officeDocument/2006/relationships/hyperlink" Target="http://www.sec.gov/Archives/edgar/data/895728/000110465918023655/a18-9987_1ex3d1.htm" TargetMode="External"/><Relationship Id="rId82" Type="http://schemas.openxmlformats.org/officeDocument/2006/relationships/hyperlink" Target="http://www.sec.gov/Archives/edgar/data/880285/000110465919030063/a19-9777_1ex4d7.htm" TargetMode="External"/><Relationship Id="rId199" Type="http://schemas.openxmlformats.org/officeDocument/2006/relationships/hyperlink" Target="http://www.sec.gov/Archives/edgar/data/895728/000089572818000008/a1023-spectraenergycorpexe.htm" TargetMode="External"/><Relationship Id="rId203" Type="http://schemas.openxmlformats.org/officeDocument/2006/relationships/hyperlink" Target="http://www.sec.gov/Archives/edgar/data/895728/000089572818000008/a1025-omnibusamendmentdate.htm" TargetMode="External"/><Relationship Id="rId19" Type="http://schemas.openxmlformats.org/officeDocument/2006/relationships/hyperlink" Target="http://www.sec.gov/Archives/edgar/data/895728/000119312516718317/d407725dex316.htm" TargetMode="External"/><Relationship Id="rId224" Type="http://schemas.openxmlformats.org/officeDocument/2006/relationships/hyperlink" Target="a322-q42021cfocertificatio.htm" TargetMode="External"/><Relationship Id="rId30" Type="http://schemas.openxmlformats.org/officeDocument/2006/relationships/hyperlink" Target="http://www.sec.gov/Archives/edgar/data/895728/000119312516718317/d407725dex322.htm" TargetMode="External"/><Relationship Id="rId105" Type="http://schemas.openxmlformats.org/officeDocument/2006/relationships/hyperlink" Target="http://www.sec.gov/Archives/edgar/data/895728/000110465919003146/a19-3385_1ex4d5.htm" TargetMode="External"/><Relationship Id="rId126" Type="http://schemas.openxmlformats.org/officeDocument/2006/relationships/hyperlink" Target="http://www.sec.gov/Archives/edgar/data/895728/000089572821000021/a105formofenbridgeinc2019l.htm" TargetMode="External"/><Relationship Id="rId147" Type="http://schemas.openxmlformats.org/officeDocument/2006/relationships/hyperlink" Target="http://www.sec.gov/Archives/edgar/data/895728/000089572819000099/a106formofenb2019ltipr.htm" TargetMode="External"/><Relationship Id="rId168" Type="http://schemas.openxmlformats.org/officeDocument/2006/relationships/hyperlink" Target="http://www.sec.gov/Archives/edgar/data/895728/000089572820000023/dircompplan-feb2020xju.htm" TargetMode="External"/><Relationship Id="rId51" Type="http://schemas.openxmlformats.org/officeDocument/2006/relationships/hyperlink" Target="http://www.sec.gov/Archives/edgar/data/895728/000119312516795927/d311557d6k.htm" TargetMode="External"/><Relationship Id="rId72" Type="http://schemas.openxmlformats.org/officeDocument/2006/relationships/hyperlink" Target="http://www.sec.gov/Archives/edgar/data/895728/000104746912005813/a2209509zex-7_3.htm" TargetMode="External"/><Relationship Id="rId93" Type="http://schemas.openxmlformats.org/officeDocument/2006/relationships/hyperlink" Target="http://www.sec.gov/Archives/edgar/data/895728/000089572820000009/a49descriptionofsecuri.htm" TargetMode="External"/><Relationship Id="rId189" Type="http://schemas.openxmlformats.org/officeDocument/2006/relationships/hyperlink" Target="http://www.sec.gov/Archives/edgar/data/895728/000089572818000008/a1020-enbridgesupplemental.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113823</Words>
  <Characters>648796</Characters>
  <Application>Microsoft Office Word</Application>
  <DocSecurity>0</DocSecurity>
  <Lines>5406</Lines>
  <Paragraphs>1522</Paragraphs>
  <ScaleCrop>false</ScaleCrop>
  <Company/>
  <LinksUpToDate>false</LinksUpToDate>
  <CharactersWithSpaces>761097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enb-20211231</dc:title>
  <dc:subject/>
  <dc:creator>Chongjian.Yue</dc:creator>
  <cp:keywords/>
  <dc:description/>
  <cp:lastModifiedBy>Yue Chongjian</cp:lastModifiedBy>
  <cp:revision>1</cp:revision>
  <dcterms:created xsi:type="dcterms:W3CDTF">2024-01-04T15:40:00Z</dcterms:created>
  <dcterms:modified xsi:type="dcterms:W3CDTF">2024-01-04T15:40:00Z</dcterms:modified>
</cp:coreProperties>
</file>